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E734" w14:textId="77777777" w:rsidR="00673C0E" w:rsidRDefault="00673C0E" w:rsidP="007E0DDF">
      <w:pPr>
        <w:spacing w:line="360" w:lineRule="auto"/>
        <w:jc w:val="center"/>
        <w:rPr>
          <w:rFonts w:ascii="Verdana" w:hAnsi="Verdana"/>
          <w:b/>
          <w:sz w:val="20"/>
          <w:szCs w:val="20"/>
        </w:rPr>
      </w:pPr>
    </w:p>
    <w:p w14:paraId="372486BD" w14:textId="77777777" w:rsidR="00673C0E" w:rsidRDefault="00673C0E" w:rsidP="007E0DDF">
      <w:pPr>
        <w:spacing w:line="360" w:lineRule="auto"/>
        <w:jc w:val="center"/>
        <w:rPr>
          <w:rFonts w:ascii="Verdana" w:hAnsi="Verdana"/>
          <w:b/>
          <w:sz w:val="20"/>
          <w:szCs w:val="20"/>
        </w:rPr>
      </w:pPr>
    </w:p>
    <w:p w14:paraId="0F51DA21" w14:textId="77777777" w:rsidR="00673C0E" w:rsidRDefault="00673C0E" w:rsidP="007E0DDF">
      <w:pPr>
        <w:spacing w:line="360" w:lineRule="auto"/>
        <w:jc w:val="center"/>
        <w:rPr>
          <w:rFonts w:ascii="Verdana" w:hAnsi="Verdana"/>
          <w:b/>
          <w:sz w:val="20"/>
          <w:szCs w:val="20"/>
        </w:rPr>
      </w:pPr>
    </w:p>
    <w:p w14:paraId="5229D2D1" w14:textId="77777777" w:rsidR="00673C0E" w:rsidRDefault="00673C0E" w:rsidP="007E0DDF">
      <w:pPr>
        <w:spacing w:line="360" w:lineRule="auto"/>
        <w:jc w:val="center"/>
        <w:rPr>
          <w:rFonts w:ascii="Verdana" w:hAnsi="Verdana"/>
          <w:b/>
          <w:sz w:val="20"/>
          <w:szCs w:val="20"/>
        </w:rPr>
      </w:pPr>
    </w:p>
    <w:p w14:paraId="298989EC" w14:textId="77777777" w:rsidR="00673C0E" w:rsidRDefault="00673C0E" w:rsidP="007E0DDF">
      <w:pPr>
        <w:spacing w:line="360" w:lineRule="auto"/>
        <w:jc w:val="center"/>
        <w:rPr>
          <w:rFonts w:ascii="Verdana" w:hAnsi="Verdana"/>
          <w:b/>
          <w:sz w:val="20"/>
          <w:szCs w:val="20"/>
        </w:rPr>
      </w:pPr>
    </w:p>
    <w:p w14:paraId="1C7CEF17" w14:textId="77777777" w:rsidR="00673C0E" w:rsidRDefault="00673C0E" w:rsidP="007E0DDF">
      <w:pPr>
        <w:spacing w:line="360" w:lineRule="auto"/>
        <w:jc w:val="center"/>
        <w:rPr>
          <w:rFonts w:ascii="Verdana" w:hAnsi="Verdana"/>
          <w:b/>
          <w:sz w:val="20"/>
          <w:szCs w:val="20"/>
        </w:rPr>
      </w:pPr>
    </w:p>
    <w:p w14:paraId="7FECFC59" w14:textId="77777777" w:rsidR="00673C0E" w:rsidRDefault="00673C0E" w:rsidP="007E0DDF">
      <w:pPr>
        <w:spacing w:line="360" w:lineRule="auto"/>
        <w:jc w:val="center"/>
        <w:rPr>
          <w:rFonts w:ascii="Verdana" w:hAnsi="Verdana"/>
          <w:b/>
          <w:sz w:val="20"/>
          <w:szCs w:val="20"/>
        </w:rPr>
      </w:pPr>
    </w:p>
    <w:p w14:paraId="5B930CF0" w14:textId="6696F1F3" w:rsidR="00346B30" w:rsidRPr="00C84A6F" w:rsidRDefault="001322F1" w:rsidP="007E0DDF">
      <w:pPr>
        <w:spacing w:line="360" w:lineRule="auto"/>
        <w:jc w:val="center"/>
        <w:rPr>
          <w:rFonts w:ascii="Verdana" w:hAnsi="Verdana"/>
          <w:b/>
          <w:sz w:val="20"/>
          <w:szCs w:val="20"/>
        </w:rPr>
      </w:pPr>
      <w:r>
        <w:rPr>
          <w:rFonts w:ascii="Verdana" w:hAnsi="Verdana"/>
          <w:b/>
          <w:sz w:val="20"/>
          <w:szCs w:val="20"/>
        </w:rPr>
        <w:t xml:space="preserve">VOTO </w:t>
      </w:r>
      <w:r w:rsidR="00A5368D">
        <w:rPr>
          <w:rFonts w:ascii="Verdana" w:hAnsi="Verdana"/>
          <w:b/>
          <w:sz w:val="20"/>
          <w:szCs w:val="20"/>
        </w:rPr>
        <w:t>RAZONADO</w:t>
      </w:r>
      <w:r>
        <w:rPr>
          <w:rFonts w:ascii="Verdana" w:hAnsi="Verdana"/>
          <w:b/>
          <w:sz w:val="20"/>
          <w:szCs w:val="20"/>
        </w:rPr>
        <w:t xml:space="preserve"> </w:t>
      </w:r>
      <w:r w:rsidR="00346B30" w:rsidRPr="00C84A6F">
        <w:rPr>
          <w:rFonts w:ascii="Verdana" w:hAnsi="Verdana"/>
          <w:b/>
          <w:sz w:val="20"/>
          <w:szCs w:val="20"/>
        </w:rPr>
        <w:t>DEL</w:t>
      </w:r>
    </w:p>
    <w:p w14:paraId="336433B2" w14:textId="4C783D18" w:rsidR="00C763B1" w:rsidRPr="00A5368D" w:rsidRDefault="00346B30" w:rsidP="007E0DDF">
      <w:pPr>
        <w:spacing w:line="360" w:lineRule="auto"/>
        <w:jc w:val="center"/>
        <w:rPr>
          <w:rFonts w:ascii="Verdana" w:hAnsi="Verdana"/>
          <w:b/>
          <w:sz w:val="20"/>
          <w:szCs w:val="20"/>
          <w:lang w:val="pt-BR"/>
        </w:rPr>
      </w:pPr>
      <w:r w:rsidRPr="00A5368D">
        <w:rPr>
          <w:rFonts w:ascii="Verdana" w:hAnsi="Verdana"/>
          <w:b/>
          <w:sz w:val="20"/>
          <w:szCs w:val="20"/>
          <w:lang w:val="pt-BR"/>
        </w:rPr>
        <w:t>JUEZ EDUARDO FERRER MAC-GREGOR POISOT</w:t>
      </w:r>
    </w:p>
    <w:p w14:paraId="070E688E" w14:textId="77777777" w:rsidR="001322F1" w:rsidRPr="00A5368D" w:rsidRDefault="001322F1" w:rsidP="00F63A8B">
      <w:pPr>
        <w:jc w:val="center"/>
        <w:rPr>
          <w:rFonts w:ascii="Verdana" w:hAnsi="Verdana"/>
          <w:b/>
          <w:sz w:val="20"/>
          <w:szCs w:val="20"/>
          <w:lang w:val="pt-BR"/>
        </w:rPr>
      </w:pPr>
    </w:p>
    <w:p w14:paraId="26200BB5" w14:textId="411509A2" w:rsidR="00346B30" w:rsidRPr="002B3520" w:rsidRDefault="00346B30" w:rsidP="00F63A8B">
      <w:pPr>
        <w:jc w:val="center"/>
        <w:rPr>
          <w:rFonts w:ascii="Verdana" w:hAnsi="Verdana"/>
          <w:b/>
          <w:i/>
          <w:sz w:val="20"/>
          <w:szCs w:val="20"/>
          <w:u w:val="single"/>
        </w:rPr>
      </w:pPr>
      <w:r w:rsidRPr="002B3520">
        <w:rPr>
          <w:rFonts w:ascii="Verdana" w:hAnsi="Verdana"/>
          <w:b/>
          <w:i/>
          <w:sz w:val="20"/>
          <w:szCs w:val="20"/>
          <w:u w:val="single"/>
        </w:rPr>
        <w:t>CASO MALDONADO ORDOÑEZ VS. GUATEMALA</w:t>
      </w:r>
    </w:p>
    <w:p w14:paraId="200DB896" w14:textId="77777777" w:rsidR="004D49D4" w:rsidRDefault="004D49D4" w:rsidP="00F63A8B">
      <w:pPr>
        <w:jc w:val="center"/>
        <w:rPr>
          <w:rFonts w:ascii="Verdana" w:hAnsi="Verdana"/>
          <w:b/>
          <w:i/>
          <w:sz w:val="18"/>
          <w:szCs w:val="18"/>
        </w:rPr>
      </w:pPr>
    </w:p>
    <w:p w14:paraId="366DE2A4" w14:textId="08902BC0" w:rsidR="00346B30" w:rsidRPr="001322F1" w:rsidRDefault="00D90036" w:rsidP="00F63A8B">
      <w:pPr>
        <w:jc w:val="center"/>
        <w:rPr>
          <w:rFonts w:ascii="Verdana" w:hAnsi="Verdana"/>
          <w:b/>
          <w:i/>
          <w:sz w:val="18"/>
          <w:szCs w:val="18"/>
        </w:rPr>
      </w:pPr>
      <w:r w:rsidRPr="001322F1">
        <w:rPr>
          <w:rFonts w:ascii="Verdana" w:hAnsi="Verdana"/>
          <w:b/>
          <w:i/>
          <w:sz w:val="18"/>
          <w:szCs w:val="18"/>
        </w:rPr>
        <w:t>SENTENCIA DE 3 DE MAYO</w:t>
      </w:r>
      <w:r w:rsidR="00346B30" w:rsidRPr="001322F1">
        <w:rPr>
          <w:rFonts w:ascii="Verdana" w:hAnsi="Verdana"/>
          <w:b/>
          <w:i/>
          <w:sz w:val="18"/>
          <w:szCs w:val="18"/>
        </w:rPr>
        <w:t xml:space="preserve"> DE 2016</w:t>
      </w:r>
    </w:p>
    <w:p w14:paraId="309C76C9" w14:textId="77777777" w:rsidR="00346B30" w:rsidRDefault="00346B30" w:rsidP="00F63A8B">
      <w:pPr>
        <w:jc w:val="center"/>
        <w:rPr>
          <w:rFonts w:ascii="Verdana" w:hAnsi="Verdana"/>
          <w:b/>
          <w:i/>
          <w:sz w:val="18"/>
          <w:szCs w:val="18"/>
        </w:rPr>
      </w:pPr>
      <w:r w:rsidRPr="001322F1">
        <w:rPr>
          <w:rFonts w:ascii="Verdana" w:hAnsi="Verdana"/>
          <w:b/>
          <w:i/>
          <w:sz w:val="18"/>
          <w:szCs w:val="18"/>
        </w:rPr>
        <w:t>(Excepción Preliminar, Fondo, Reparaciones y Costas)</w:t>
      </w:r>
    </w:p>
    <w:p w14:paraId="4D2A201C" w14:textId="77777777" w:rsidR="001322F1" w:rsidRPr="001322F1" w:rsidRDefault="001322F1" w:rsidP="00F63A8B">
      <w:pPr>
        <w:jc w:val="center"/>
        <w:rPr>
          <w:rFonts w:ascii="Verdana" w:hAnsi="Verdana"/>
          <w:b/>
          <w:i/>
          <w:sz w:val="18"/>
          <w:szCs w:val="18"/>
        </w:rPr>
      </w:pPr>
    </w:p>
    <w:p w14:paraId="3E4F5CE1" w14:textId="77777777" w:rsidR="00D133EC" w:rsidRPr="00C84A6F" w:rsidRDefault="00D133EC" w:rsidP="00F63A8B">
      <w:pPr>
        <w:jc w:val="center"/>
        <w:rPr>
          <w:rFonts w:ascii="Verdana" w:hAnsi="Verdana"/>
          <w:b/>
          <w:i/>
          <w:sz w:val="20"/>
          <w:szCs w:val="20"/>
        </w:rPr>
      </w:pPr>
    </w:p>
    <w:p w14:paraId="797CAFA1" w14:textId="77777777" w:rsidR="00800F6F" w:rsidRPr="00101EAC" w:rsidRDefault="00D133EC" w:rsidP="00A24C2B">
      <w:pPr>
        <w:jc w:val="center"/>
        <w:rPr>
          <w:rFonts w:ascii="Verdana" w:hAnsi="Verdana"/>
          <w:b/>
          <w:sz w:val="20"/>
          <w:szCs w:val="20"/>
        </w:rPr>
      </w:pPr>
      <w:r w:rsidRPr="00101EAC">
        <w:rPr>
          <w:rFonts w:ascii="Verdana" w:hAnsi="Verdana"/>
          <w:b/>
          <w:sz w:val="20"/>
          <w:szCs w:val="20"/>
        </w:rPr>
        <w:t>INTRODUCCIÓN</w:t>
      </w:r>
      <w:r w:rsidR="001322F1" w:rsidRPr="00101EAC">
        <w:rPr>
          <w:rFonts w:ascii="Verdana" w:hAnsi="Verdana"/>
          <w:b/>
          <w:sz w:val="20"/>
          <w:szCs w:val="20"/>
        </w:rPr>
        <w:t xml:space="preserve">:  </w:t>
      </w:r>
      <w:r w:rsidR="00800F6F" w:rsidRPr="00101EAC">
        <w:rPr>
          <w:rFonts w:ascii="Verdana" w:hAnsi="Verdana"/>
          <w:b/>
          <w:sz w:val="20"/>
          <w:szCs w:val="20"/>
        </w:rPr>
        <w:t xml:space="preserve"> </w:t>
      </w:r>
    </w:p>
    <w:p w14:paraId="7D85C240" w14:textId="5B1506CC" w:rsidR="007F0D1A" w:rsidRPr="00101EAC" w:rsidRDefault="00646006" w:rsidP="00A24C2B">
      <w:pPr>
        <w:jc w:val="center"/>
        <w:rPr>
          <w:rFonts w:ascii="Verdana" w:hAnsi="Verdana"/>
          <w:b/>
          <w:sz w:val="20"/>
          <w:szCs w:val="20"/>
        </w:rPr>
      </w:pPr>
      <w:r>
        <w:rPr>
          <w:rFonts w:ascii="Verdana" w:hAnsi="Verdana"/>
          <w:b/>
          <w:i/>
          <w:sz w:val="20"/>
          <w:szCs w:val="20"/>
        </w:rPr>
        <w:t xml:space="preserve">SOBRE LAS </w:t>
      </w:r>
      <w:r w:rsidR="001322F1" w:rsidRPr="00101EAC">
        <w:rPr>
          <w:rFonts w:ascii="Verdana" w:hAnsi="Verdana"/>
          <w:b/>
          <w:i/>
          <w:sz w:val="20"/>
          <w:szCs w:val="20"/>
        </w:rPr>
        <w:t>GARANTÍAS MÍNIMAS DEL DEBIDO PROCESO APLICABLES</w:t>
      </w:r>
      <w:r w:rsidR="007324F8" w:rsidRPr="00101EAC">
        <w:rPr>
          <w:rFonts w:ascii="Verdana" w:hAnsi="Verdana"/>
          <w:b/>
          <w:i/>
          <w:sz w:val="20"/>
          <w:szCs w:val="20"/>
        </w:rPr>
        <w:t xml:space="preserve"> </w:t>
      </w:r>
      <w:r w:rsidR="001322F1" w:rsidRPr="00101EAC">
        <w:rPr>
          <w:rFonts w:ascii="Verdana" w:hAnsi="Verdana"/>
          <w:b/>
          <w:i/>
          <w:sz w:val="20"/>
          <w:szCs w:val="20"/>
        </w:rPr>
        <w:t>A OTRAS MATERIAS DISTINTAS DE LA PENAL</w:t>
      </w:r>
      <w:r w:rsidR="00116833" w:rsidRPr="00101EAC">
        <w:rPr>
          <w:rFonts w:ascii="Verdana" w:hAnsi="Verdana"/>
          <w:b/>
          <w:i/>
          <w:sz w:val="20"/>
          <w:szCs w:val="20"/>
        </w:rPr>
        <w:t xml:space="preserve"> (INTERPRETACIÓN DE LOS ALCANCES DEL ARTÍCULO 8.2 DE LA CONVENCIÓN AMERICANA)</w:t>
      </w:r>
    </w:p>
    <w:p w14:paraId="33BC8882" w14:textId="77777777" w:rsidR="006B53A9" w:rsidRPr="00C84A6F" w:rsidRDefault="006B53A9" w:rsidP="00F63A8B">
      <w:pPr>
        <w:jc w:val="both"/>
        <w:rPr>
          <w:rFonts w:ascii="Verdana" w:hAnsi="Verdana"/>
          <w:b/>
          <w:sz w:val="20"/>
          <w:szCs w:val="20"/>
        </w:rPr>
      </w:pPr>
    </w:p>
    <w:p w14:paraId="223CF11E" w14:textId="77679F40" w:rsidR="00042951" w:rsidRPr="00042951" w:rsidRDefault="006B53A9" w:rsidP="000E6EDD">
      <w:pPr>
        <w:pStyle w:val="ListParagraph"/>
        <w:numPr>
          <w:ilvl w:val="0"/>
          <w:numId w:val="1"/>
        </w:numPr>
        <w:ind w:left="0" w:firstLine="0"/>
        <w:jc w:val="both"/>
        <w:rPr>
          <w:rFonts w:ascii="Verdana" w:hAnsi="Verdana"/>
          <w:b/>
          <w:sz w:val="20"/>
          <w:szCs w:val="20"/>
        </w:rPr>
      </w:pPr>
      <w:r w:rsidRPr="00C84A6F">
        <w:rPr>
          <w:rFonts w:ascii="Verdana" w:hAnsi="Verdana"/>
          <w:sz w:val="20"/>
          <w:szCs w:val="20"/>
        </w:rPr>
        <w:t xml:space="preserve">Concurro esencialmente con lo decidido en el presente caso, en el que se </w:t>
      </w:r>
      <w:r w:rsidR="00F8539F" w:rsidRPr="00C84A6F">
        <w:rPr>
          <w:rFonts w:ascii="Verdana" w:hAnsi="Verdana"/>
          <w:sz w:val="20"/>
          <w:szCs w:val="20"/>
        </w:rPr>
        <w:t>reiteraron</w:t>
      </w:r>
      <w:r w:rsidRPr="00C84A6F">
        <w:rPr>
          <w:rFonts w:ascii="Verdana" w:hAnsi="Verdana"/>
          <w:sz w:val="20"/>
          <w:szCs w:val="20"/>
        </w:rPr>
        <w:t xml:space="preserve"> estándares interamericanos de relevancia, </w:t>
      </w:r>
      <w:r w:rsidRPr="00C84A6F">
        <w:rPr>
          <w:rFonts w:ascii="Verdana" w:hAnsi="Verdana"/>
          <w:i/>
          <w:sz w:val="20"/>
          <w:szCs w:val="20"/>
        </w:rPr>
        <w:t>inter alia</w:t>
      </w:r>
      <w:r w:rsidRPr="00C84A6F">
        <w:rPr>
          <w:rFonts w:ascii="Verdana" w:hAnsi="Verdana"/>
          <w:sz w:val="20"/>
          <w:szCs w:val="20"/>
        </w:rPr>
        <w:t xml:space="preserve">, </w:t>
      </w:r>
      <w:r w:rsidR="00F8539F" w:rsidRPr="00C84A6F">
        <w:rPr>
          <w:rFonts w:ascii="Verdana" w:hAnsi="Verdana"/>
          <w:sz w:val="20"/>
          <w:szCs w:val="20"/>
        </w:rPr>
        <w:t xml:space="preserve">sobre la aplicación de las </w:t>
      </w:r>
      <w:r w:rsidR="00477238" w:rsidRPr="00C84A6F">
        <w:rPr>
          <w:rFonts w:ascii="Verdana" w:hAnsi="Verdana"/>
          <w:sz w:val="20"/>
          <w:szCs w:val="20"/>
        </w:rPr>
        <w:t>garantías</w:t>
      </w:r>
      <w:r w:rsidR="00F8539F" w:rsidRPr="00C84A6F">
        <w:rPr>
          <w:rFonts w:ascii="Verdana" w:hAnsi="Verdana"/>
          <w:sz w:val="20"/>
          <w:szCs w:val="20"/>
        </w:rPr>
        <w:t xml:space="preserve"> mínimas que contempla el </w:t>
      </w:r>
      <w:r w:rsidR="00993381" w:rsidRPr="00C84A6F">
        <w:rPr>
          <w:rFonts w:ascii="Verdana" w:hAnsi="Verdana"/>
          <w:sz w:val="20"/>
          <w:szCs w:val="20"/>
        </w:rPr>
        <w:t>art</w:t>
      </w:r>
      <w:r w:rsidR="00993381">
        <w:rPr>
          <w:rFonts w:ascii="Verdana" w:hAnsi="Verdana"/>
          <w:sz w:val="20"/>
          <w:szCs w:val="20"/>
        </w:rPr>
        <w:t>í</w:t>
      </w:r>
      <w:r w:rsidR="00993381" w:rsidRPr="00C84A6F">
        <w:rPr>
          <w:rFonts w:ascii="Verdana" w:hAnsi="Verdana"/>
          <w:sz w:val="20"/>
          <w:szCs w:val="20"/>
        </w:rPr>
        <w:t xml:space="preserve">culo </w:t>
      </w:r>
      <w:r w:rsidR="00F8539F" w:rsidRPr="00C84A6F">
        <w:rPr>
          <w:rFonts w:ascii="Verdana" w:hAnsi="Verdana"/>
          <w:sz w:val="20"/>
          <w:szCs w:val="20"/>
        </w:rPr>
        <w:t xml:space="preserve">8.2 de la </w:t>
      </w:r>
      <w:r w:rsidR="00477238" w:rsidRPr="00C84A6F">
        <w:rPr>
          <w:rFonts w:ascii="Verdana" w:hAnsi="Verdana"/>
          <w:sz w:val="20"/>
          <w:szCs w:val="20"/>
        </w:rPr>
        <w:t>Convención</w:t>
      </w:r>
      <w:r w:rsidR="00116833">
        <w:rPr>
          <w:rFonts w:ascii="Verdana" w:hAnsi="Verdana"/>
          <w:sz w:val="20"/>
          <w:szCs w:val="20"/>
        </w:rPr>
        <w:t xml:space="preserve"> Americana sobre</w:t>
      </w:r>
      <w:r w:rsidR="00F8539F" w:rsidRPr="00C84A6F">
        <w:rPr>
          <w:rFonts w:ascii="Verdana" w:hAnsi="Verdana"/>
          <w:sz w:val="20"/>
          <w:szCs w:val="20"/>
        </w:rPr>
        <w:t xml:space="preserve"> Derechos Humanos</w:t>
      </w:r>
      <w:r w:rsidR="00F0723A">
        <w:rPr>
          <w:rFonts w:ascii="Verdana" w:hAnsi="Verdana"/>
          <w:sz w:val="20"/>
          <w:szCs w:val="20"/>
        </w:rPr>
        <w:t xml:space="preserve"> </w:t>
      </w:r>
      <w:r w:rsidR="00C61205">
        <w:rPr>
          <w:rFonts w:ascii="Verdana" w:hAnsi="Verdana"/>
          <w:sz w:val="20"/>
          <w:szCs w:val="20"/>
        </w:rPr>
        <w:t>(en adelante</w:t>
      </w:r>
      <w:r w:rsidR="00DF019F">
        <w:rPr>
          <w:rFonts w:ascii="Verdana" w:hAnsi="Verdana"/>
          <w:sz w:val="20"/>
          <w:szCs w:val="20"/>
        </w:rPr>
        <w:t xml:space="preserve"> “</w:t>
      </w:r>
      <w:r w:rsidR="00E00A2B">
        <w:rPr>
          <w:rFonts w:ascii="Verdana" w:hAnsi="Verdana"/>
          <w:sz w:val="20"/>
          <w:szCs w:val="20"/>
        </w:rPr>
        <w:t>Convención Americana” o “</w:t>
      </w:r>
      <w:r w:rsidR="004E7A88">
        <w:rPr>
          <w:rFonts w:ascii="Verdana" w:hAnsi="Verdana"/>
          <w:sz w:val="20"/>
          <w:szCs w:val="20"/>
        </w:rPr>
        <w:t>Pacto de San José”)</w:t>
      </w:r>
      <w:r w:rsidR="00F8539F" w:rsidRPr="00C84A6F">
        <w:rPr>
          <w:rFonts w:ascii="Verdana" w:hAnsi="Verdana"/>
          <w:sz w:val="20"/>
          <w:szCs w:val="20"/>
        </w:rPr>
        <w:t xml:space="preserve"> </w:t>
      </w:r>
      <w:r w:rsidR="00116833">
        <w:rPr>
          <w:rFonts w:ascii="Verdana" w:hAnsi="Verdana"/>
          <w:sz w:val="20"/>
          <w:szCs w:val="20"/>
        </w:rPr>
        <w:t>a un procedimiento</w:t>
      </w:r>
      <w:r w:rsidR="00F8539F" w:rsidRPr="00C84A6F">
        <w:rPr>
          <w:rFonts w:ascii="Verdana" w:hAnsi="Verdana"/>
          <w:sz w:val="20"/>
          <w:szCs w:val="20"/>
        </w:rPr>
        <w:t xml:space="preserve"> sancionatorio no penal, </w:t>
      </w:r>
      <w:r w:rsidR="00116833">
        <w:rPr>
          <w:rFonts w:ascii="Verdana" w:hAnsi="Verdana"/>
          <w:sz w:val="20"/>
          <w:szCs w:val="20"/>
        </w:rPr>
        <w:t>en el caso concreto, a</w:t>
      </w:r>
      <w:r w:rsidR="001C2A76">
        <w:rPr>
          <w:rFonts w:ascii="Verdana" w:hAnsi="Verdana"/>
          <w:sz w:val="20"/>
          <w:szCs w:val="20"/>
        </w:rPr>
        <w:t>tendiendo a la naturaleza sancionatoria del procedimiento de destitución de la señora Maldonado</w:t>
      </w:r>
      <w:r w:rsidR="004E7A88">
        <w:rPr>
          <w:rFonts w:ascii="Verdana" w:hAnsi="Verdana"/>
          <w:sz w:val="20"/>
          <w:szCs w:val="20"/>
        </w:rPr>
        <w:t xml:space="preserve"> Ordoñez</w:t>
      </w:r>
      <w:r w:rsidR="001C2A76">
        <w:rPr>
          <w:rFonts w:ascii="Verdana" w:hAnsi="Verdana"/>
          <w:sz w:val="20"/>
          <w:szCs w:val="20"/>
        </w:rPr>
        <w:t>.</w:t>
      </w:r>
      <w:r w:rsidR="00F8539F" w:rsidRPr="00C84A6F">
        <w:rPr>
          <w:rFonts w:ascii="Verdana" w:hAnsi="Verdana"/>
          <w:sz w:val="20"/>
          <w:szCs w:val="20"/>
        </w:rPr>
        <w:t xml:space="preserve"> Al respec</w:t>
      </w:r>
      <w:r w:rsidR="00042951">
        <w:rPr>
          <w:rFonts w:ascii="Verdana" w:hAnsi="Verdana"/>
          <w:sz w:val="20"/>
          <w:szCs w:val="20"/>
        </w:rPr>
        <w:t xml:space="preserve">to, </w:t>
      </w:r>
      <w:r w:rsidR="001C2A76">
        <w:rPr>
          <w:rFonts w:ascii="Verdana" w:hAnsi="Verdana"/>
          <w:sz w:val="20"/>
          <w:szCs w:val="20"/>
        </w:rPr>
        <w:t xml:space="preserve">en </w:t>
      </w:r>
      <w:r w:rsidR="00042951">
        <w:rPr>
          <w:rFonts w:ascii="Verdana" w:hAnsi="Verdana"/>
          <w:sz w:val="20"/>
          <w:szCs w:val="20"/>
        </w:rPr>
        <w:t xml:space="preserve">la Sentencia </w:t>
      </w:r>
      <w:r w:rsidR="001C2A76">
        <w:rPr>
          <w:rFonts w:ascii="Verdana" w:hAnsi="Verdana"/>
          <w:sz w:val="20"/>
          <w:szCs w:val="20"/>
        </w:rPr>
        <w:t>se reitera</w:t>
      </w:r>
      <w:r w:rsidR="00F8539F" w:rsidRPr="00C84A6F">
        <w:rPr>
          <w:rFonts w:ascii="Verdana" w:hAnsi="Verdana"/>
          <w:sz w:val="20"/>
          <w:szCs w:val="20"/>
        </w:rPr>
        <w:t xml:space="preserve"> lo que desde </w:t>
      </w:r>
      <w:r w:rsidR="00116833">
        <w:rPr>
          <w:rFonts w:ascii="Verdana" w:hAnsi="Verdana"/>
          <w:sz w:val="20"/>
          <w:szCs w:val="20"/>
        </w:rPr>
        <w:t>2001</w:t>
      </w:r>
      <w:r w:rsidR="00FD435D" w:rsidRPr="00C84A6F">
        <w:rPr>
          <w:rFonts w:ascii="Verdana" w:hAnsi="Verdana"/>
          <w:sz w:val="20"/>
          <w:szCs w:val="20"/>
        </w:rPr>
        <w:t xml:space="preserve"> la Corte </w:t>
      </w:r>
      <w:r w:rsidR="00116833">
        <w:rPr>
          <w:rFonts w:ascii="Verdana" w:hAnsi="Verdana"/>
          <w:sz w:val="20"/>
          <w:szCs w:val="20"/>
        </w:rPr>
        <w:t xml:space="preserve">Interamericana </w:t>
      </w:r>
      <w:r w:rsidR="00C172A4">
        <w:rPr>
          <w:rFonts w:ascii="Verdana" w:hAnsi="Verdana"/>
          <w:sz w:val="20"/>
          <w:szCs w:val="20"/>
        </w:rPr>
        <w:t>de Derechos Humanos</w:t>
      </w:r>
      <w:r w:rsidR="00F0723A">
        <w:rPr>
          <w:rFonts w:ascii="Verdana" w:hAnsi="Verdana"/>
          <w:sz w:val="20"/>
          <w:szCs w:val="20"/>
        </w:rPr>
        <w:t xml:space="preserve"> </w:t>
      </w:r>
      <w:r w:rsidR="004E7A88">
        <w:rPr>
          <w:rFonts w:ascii="Verdana" w:hAnsi="Verdana"/>
          <w:sz w:val="20"/>
          <w:szCs w:val="20"/>
        </w:rPr>
        <w:t xml:space="preserve">(en adelante </w:t>
      </w:r>
      <w:r w:rsidR="00C61205">
        <w:rPr>
          <w:rFonts w:ascii="Verdana" w:hAnsi="Verdana"/>
          <w:sz w:val="20"/>
          <w:szCs w:val="20"/>
        </w:rPr>
        <w:t>“</w:t>
      </w:r>
      <w:r w:rsidR="004E7A88">
        <w:rPr>
          <w:rFonts w:ascii="Verdana" w:hAnsi="Verdana"/>
          <w:sz w:val="20"/>
          <w:szCs w:val="20"/>
        </w:rPr>
        <w:t xml:space="preserve">Corte IDH” o </w:t>
      </w:r>
      <w:r w:rsidR="00C61205">
        <w:rPr>
          <w:rFonts w:ascii="Verdana" w:hAnsi="Verdana"/>
          <w:sz w:val="20"/>
          <w:szCs w:val="20"/>
        </w:rPr>
        <w:t>“</w:t>
      </w:r>
      <w:r w:rsidR="004E7A88">
        <w:rPr>
          <w:rFonts w:ascii="Verdana" w:hAnsi="Verdana"/>
          <w:sz w:val="20"/>
          <w:szCs w:val="20"/>
        </w:rPr>
        <w:t xml:space="preserve">Tribunal Interamericano”) </w:t>
      </w:r>
      <w:r w:rsidR="00FD435D" w:rsidRPr="00C84A6F">
        <w:rPr>
          <w:rFonts w:ascii="Verdana" w:hAnsi="Verdana"/>
          <w:sz w:val="20"/>
          <w:szCs w:val="20"/>
        </w:rPr>
        <w:t xml:space="preserve">ha desarrollado de manera amplia en la </w:t>
      </w:r>
      <w:r w:rsidR="00477238" w:rsidRPr="00C84A6F">
        <w:rPr>
          <w:rFonts w:ascii="Verdana" w:hAnsi="Verdana"/>
          <w:sz w:val="20"/>
          <w:szCs w:val="20"/>
        </w:rPr>
        <w:t>protección</w:t>
      </w:r>
      <w:r w:rsidR="00FD435D" w:rsidRPr="00C84A6F">
        <w:rPr>
          <w:rFonts w:ascii="Verdana" w:hAnsi="Verdana"/>
          <w:sz w:val="20"/>
          <w:szCs w:val="20"/>
        </w:rPr>
        <w:t xml:space="preserve"> del debido proceso no pena</w:t>
      </w:r>
      <w:r w:rsidR="001A1E04" w:rsidRPr="00C84A6F">
        <w:rPr>
          <w:rFonts w:ascii="Verdana" w:hAnsi="Verdana"/>
          <w:sz w:val="20"/>
          <w:szCs w:val="20"/>
        </w:rPr>
        <w:t>l</w:t>
      </w:r>
      <w:r w:rsidR="00FD435D" w:rsidRPr="00C84A6F">
        <w:rPr>
          <w:rFonts w:ascii="Verdana" w:hAnsi="Verdana"/>
          <w:sz w:val="20"/>
          <w:szCs w:val="20"/>
        </w:rPr>
        <w:t xml:space="preserve">, </w:t>
      </w:r>
      <w:r w:rsidR="001A1E04" w:rsidRPr="00C84A6F">
        <w:rPr>
          <w:rFonts w:ascii="Verdana" w:hAnsi="Verdana"/>
          <w:sz w:val="20"/>
          <w:szCs w:val="20"/>
        </w:rPr>
        <w:t xml:space="preserve">aspecto </w:t>
      </w:r>
      <w:r w:rsidRPr="00C84A6F">
        <w:rPr>
          <w:rFonts w:ascii="Verdana" w:hAnsi="Verdana"/>
          <w:sz w:val="20"/>
          <w:szCs w:val="20"/>
        </w:rPr>
        <w:t xml:space="preserve">que estimo de </w:t>
      </w:r>
      <w:r w:rsidR="00C84A6F" w:rsidRPr="00C84A6F">
        <w:rPr>
          <w:rFonts w:ascii="Verdana" w:hAnsi="Verdana"/>
          <w:sz w:val="20"/>
          <w:szCs w:val="20"/>
        </w:rPr>
        <w:t xml:space="preserve">gran </w:t>
      </w:r>
      <w:r w:rsidRPr="00C84A6F">
        <w:rPr>
          <w:rFonts w:ascii="Verdana" w:hAnsi="Verdana"/>
          <w:sz w:val="20"/>
          <w:szCs w:val="20"/>
        </w:rPr>
        <w:t>relevancia para el Sistema Int</w:t>
      </w:r>
      <w:r w:rsidR="00C84A6F" w:rsidRPr="00C84A6F">
        <w:rPr>
          <w:rFonts w:ascii="Verdana" w:hAnsi="Verdana"/>
          <w:sz w:val="20"/>
          <w:szCs w:val="20"/>
        </w:rPr>
        <w:t>eramericano en su integralidad</w:t>
      </w:r>
      <w:r w:rsidR="00116833">
        <w:rPr>
          <w:rFonts w:ascii="Verdana" w:hAnsi="Verdana"/>
          <w:sz w:val="20"/>
          <w:szCs w:val="20"/>
        </w:rPr>
        <w:t>, impactando de</w:t>
      </w:r>
      <w:r w:rsidR="00FD435D" w:rsidRPr="00C84A6F">
        <w:rPr>
          <w:rFonts w:ascii="Verdana" w:hAnsi="Verdana"/>
          <w:sz w:val="20"/>
          <w:szCs w:val="20"/>
        </w:rPr>
        <w:t xml:space="preserve"> manera específica </w:t>
      </w:r>
      <w:r w:rsidR="00A35BAA">
        <w:rPr>
          <w:rFonts w:ascii="Verdana" w:hAnsi="Verdana"/>
          <w:sz w:val="20"/>
          <w:szCs w:val="20"/>
        </w:rPr>
        <w:t xml:space="preserve">como estándares aplicables </w:t>
      </w:r>
      <w:r w:rsidR="00FD435D" w:rsidRPr="00C84A6F">
        <w:rPr>
          <w:rFonts w:ascii="Verdana" w:hAnsi="Verdana"/>
          <w:sz w:val="20"/>
          <w:szCs w:val="20"/>
        </w:rPr>
        <w:t xml:space="preserve">en cada uno de los </w:t>
      </w:r>
      <w:r w:rsidR="00477238" w:rsidRPr="00C84A6F">
        <w:rPr>
          <w:rFonts w:ascii="Verdana" w:hAnsi="Verdana"/>
          <w:sz w:val="20"/>
          <w:szCs w:val="20"/>
        </w:rPr>
        <w:t>órganos</w:t>
      </w:r>
      <w:r w:rsidR="00FD435D" w:rsidRPr="00C84A6F">
        <w:rPr>
          <w:rFonts w:ascii="Verdana" w:hAnsi="Verdana"/>
          <w:sz w:val="20"/>
          <w:szCs w:val="20"/>
        </w:rPr>
        <w:t xml:space="preserve"> nacionales </w:t>
      </w:r>
      <w:r w:rsidR="00C84A6F" w:rsidRPr="00C84A6F">
        <w:rPr>
          <w:rFonts w:ascii="Verdana" w:hAnsi="Verdana"/>
          <w:sz w:val="20"/>
          <w:szCs w:val="20"/>
        </w:rPr>
        <w:t>(administrativos</w:t>
      </w:r>
      <w:r w:rsidR="0062665D">
        <w:rPr>
          <w:rFonts w:ascii="Verdana" w:hAnsi="Verdana"/>
          <w:sz w:val="20"/>
          <w:szCs w:val="20"/>
        </w:rPr>
        <w:t xml:space="preserve"> y jurisdiccionales</w:t>
      </w:r>
      <w:r w:rsidR="00C84A6F" w:rsidRPr="00C84A6F">
        <w:rPr>
          <w:rFonts w:ascii="Verdana" w:hAnsi="Verdana"/>
          <w:sz w:val="20"/>
          <w:szCs w:val="20"/>
        </w:rPr>
        <w:t xml:space="preserve">) </w:t>
      </w:r>
      <w:r w:rsidR="00FD435D" w:rsidRPr="00C84A6F">
        <w:rPr>
          <w:rFonts w:ascii="Verdana" w:hAnsi="Verdana"/>
          <w:sz w:val="20"/>
          <w:szCs w:val="20"/>
        </w:rPr>
        <w:t>de los Estados parte</w:t>
      </w:r>
      <w:r w:rsidR="00116833">
        <w:rPr>
          <w:rFonts w:ascii="Verdana" w:hAnsi="Verdana"/>
          <w:sz w:val="20"/>
          <w:szCs w:val="20"/>
        </w:rPr>
        <w:t xml:space="preserve"> </w:t>
      </w:r>
      <w:r w:rsidR="00042951">
        <w:rPr>
          <w:rFonts w:ascii="Verdana" w:hAnsi="Verdana"/>
          <w:sz w:val="20"/>
          <w:szCs w:val="20"/>
        </w:rPr>
        <w:t>del Pacto de San José.</w:t>
      </w:r>
    </w:p>
    <w:p w14:paraId="0E16812A" w14:textId="16FAD3FB" w:rsidR="00F8539F" w:rsidRPr="00C84A6F" w:rsidRDefault="00042951" w:rsidP="000E6EDD">
      <w:pPr>
        <w:pStyle w:val="ListParagraph"/>
        <w:ind w:left="0"/>
        <w:jc w:val="both"/>
        <w:rPr>
          <w:rFonts w:ascii="Verdana" w:hAnsi="Verdana"/>
          <w:b/>
          <w:sz w:val="20"/>
          <w:szCs w:val="20"/>
        </w:rPr>
      </w:pPr>
      <w:r w:rsidRPr="00C84A6F">
        <w:rPr>
          <w:rFonts w:ascii="Verdana" w:hAnsi="Verdana"/>
          <w:b/>
          <w:sz w:val="20"/>
          <w:szCs w:val="20"/>
        </w:rPr>
        <w:t xml:space="preserve"> </w:t>
      </w:r>
    </w:p>
    <w:p w14:paraId="1173D7B5" w14:textId="7A811EEA" w:rsidR="00DB3817" w:rsidRPr="009F758F" w:rsidRDefault="00F8539F" w:rsidP="000E6EDD">
      <w:pPr>
        <w:pStyle w:val="ListParagraph"/>
        <w:numPr>
          <w:ilvl w:val="0"/>
          <w:numId w:val="1"/>
        </w:numPr>
        <w:ind w:left="0" w:firstLine="0"/>
        <w:jc w:val="both"/>
        <w:rPr>
          <w:rFonts w:ascii="Verdana" w:hAnsi="Verdana"/>
          <w:b/>
          <w:sz w:val="20"/>
          <w:szCs w:val="20"/>
        </w:rPr>
      </w:pPr>
      <w:r w:rsidRPr="00C84A6F">
        <w:rPr>
          <w:rFonts w:ascii="Verdana" w:eastAsia="Times New Roman" w:hAnsi="Verdana"/>
          <w:sz w:val="20"/>
          <w:szCs w:val="20"/>
        </w:rPr>
        <w:t>En la Sentencia, l</w:t>
      </w:r>
      <w:r w:rsidRPr="00C84A6F">
        <w:rPr>
          <w:rFonts w:ascii="Verdana" w:hAnsi="Verdana"/>
          <w:sz w:val="20"/>
          <w:szCs w:val="20"/>
        </w:rPr>
        <w:t>a Corte I</w:t>
      </w:r>
      <w:r w:rsidR="0062665D">
        <w:rPr>
          <w:rFonts w:ascii="Verdana" w:hAnsi="Verdana"/>
          <w:sz w:val="20"/>
          <w:szCs w:val="20"/>
        </w:rPr>
        <w:t>DH</w:t>
      </w:r>
      <w:r w:rsidRPr="00C84A6F">
        <w:rPr>
          <w:rFonts w:ascii="Verdana" w:hAnsi="Verdana"/>
          <w:sz w:val="20"/>
          <w:szCs w:val="20"/>
        </w:rPr>
        <w:t xml:space="preserve"> declaró responsable internacionalmente al Estado demandado por la violación de los derechos a las garantías judiciales y a la protección judicia</w:t>
      </w:r>
      <w:r w:rsidR="00C84A6F" w:rsidRPr="00C84A6F">
        <w:rPr>
          <w:rFonts w:ascii="Verdana" w:hAnsi="Verdana"/>
          <w:sz w:val="20"/>
          <w:szCs w:val="20"/>
        </w:rPr>
        <w:t>l previstos en los artículos 8 y 25 de la Convención</w:t>
      </w:r>
      <w:r w:rsidR="00DF019F">
        <w:rPr>
          <w:rFonts w:ascii="Verdana" w:hAnsi="Verdana"/>
          <w:sz w:val="20"/>
          <w:szCs w:val="20"/>
        </w:rPr>
        <w:t xml:space="preserve"> Americana</w:t>
      </w:r>
      <w:r w:rsidR="00DB3817" w:rsidRPr="00C84A6F">
        <w:rPr>
          <w:rFonts w:ascii="Verdana" w:hAnsi="Verdana"/>
          <w:sz w:val="20"/>
          <w:szCs w:val="20"/>
        </w:rPr>
        <w:t xml:space="preserve">. En lo particular, y </w:t>
      </w:r>
      <w:r w:rsidR="00042951">
        <w:rPr>
          <w:rFonts w:ascii="Verdana" w:hAnsi="Verdana"/>
          <w:sz w:val="20"/>
          <w:szCs w:val="20"/>
        </w:rPr>
        <w:t>respecto del</w:t>
      </w:r>
      <w:r w:rsidR="00DB3817" w:rsidRPr="00C84A6F">
        <w:rPr>
          <w:rFonts w:ascii="Verdana" w:hAnsi="Verdana"/>
          <w:sz w:val="20"/>
          <w:szCs w:val="20"/>
        </w:rPr>
        <w:t xml:space="preserve"> tema que nos ocupa, encontró que el Estado guatemalteco </w:t>
      </w:r>
      <w:r w:rsidR="00477238" w:rsidRPr="00C84A6F">
        <w:rPr>
          <w:rFonts w:ascii="Verdana" w:hAnsi="Verdana"/>
          <w:sz w:val="20"/>
          <w:szCs w:val="20"/>
        </w:rPr>
        <w:t>había</w:t>
      </w:r>
      <w:r w:rsidR="00DB3817" w:rsidRPr="00C84A6F">
        <w:rPr>
          <w:rFonts w:ascii="Verdana" w:hAnsi="Verdana"/>
          <w:sz w:val="20"/>
          <w:szCs w:val="20"/>
        </w:rPr>
        <w:t xml:space="preserve"> incumplido con las </w:t>
      </w:r>
      <w:r w:rsidR="00477238" w:rsidRPr="00C84A6F">
        <w:rPr>
          <w:rFonts w:ascii="Verdana" w:hAnsi="Verdana"/>
          <w:sz w:val="20"/>
          <w:szCs w:val="20"/>
        </w:rPr>
        <w:t>garantías</w:t>
      </w:r>
      <w:r w:rsidR="00DB3817" w:rsidRPr="00C84A6F">
        <w:rPr>
          <w:rFonts w:ascii="Verdana" w:hAnsi="Verdana"/>
          <w:sz w:val="20"/>
          <w:szCs w:val="20"/>
        </w:rPr>
        <w:t xml:space="preserve"> dispuestas en </w:t>
      </w:r>
      <w:r w:rsidR="001A1E04" w:rsidRPr="00C84A6F">
        <w:rPr>
          <w:rFonts w:ascii="Verdana" w:hAnsi="Verdana"/>
          <w:sz w:val="20"/>
          <w:szCs w:val="20"/>
        </w:rPr>
        <w:t xml:space="preserve">el </w:t>
      </w:r>
      <w:r w:rsidR="00993381" w:rsidRPr="00C84A6F">
        <w:rPr>
          <w:rFonts w:ascii="Verdana" w:hAnsi="Verdana"/>
          <w:sz w:val="20"/>
          <w:szCs w:val="20"/>
        </w:rPr>
        <w:t>artículo</w:t>
      </w:r>
      <w:r w:rsidR="001A1E04" w:rsidRPr="00C84A6F">
        <w:rPr>
          <w:rFonts w:ascii="Verdana" w:hAnsi="Verdana"/>
          <w:sz w:val="20"/>
          <w:szCs w:val="20"/>
        </w:rPr>
        <w:t xml:space="preserve"> 8.2, incisos b) y c)</w:t>
      </w:r>
      <w:r w:rsidR="0062665D">
        <w:rPr>
          <w:rFonts w:ascii="Verdana" w:hAnsi="Verdana"/>
          <w:sz w:val="20"/>
          <w:szCs w:val="20"/>
        </w:rPr>
        <w:t>;</w:t>
      </w:r>
      <w:r w:rsidR="00DB3817" w:rsidRPr="00C84A6F">
        <w:rPr>
          <w:rFonts w:ascii="Verdana" w:hAnsi="Verdana"/>
          <w:sz w:val="20"/>
          <w:szCs w:val="20"/>
        </w:rPr>
        <w:t xml:space="preserve"> es decir,</w:t>
      </w:r>
      <w:r w:rsidR="00646006">
        <w:rPr>
          <w:rFonts w:ascii="Verdana" w:hAnsi="Verdana"/>
          <w:sz w:val="20"/>
          <w:szCs w:val="20"/>
        </w:rPr>
        <w:t xml:space="preserve"> que </w:t>
      </w:r>
      <w:r w:rsidR="001A1E04" w:rsidRPr="00C84A6F">
        <w:rPr>
          <w:rFonts w:ascii="Verdana" w:hAnsi="Verdana"/>
          <w:sz w:val="20"/>
          <w:szCs w:val="20"/>
        </w:rPr>
        <w:t xml:space="preserve">se </w:t>
      </w:r>
      <w:r w:rsidR="00C84A6F" w:rsidRPr="00C84A6F">
        <w:rPr>
          <w:rFonts w:ascii="Verdana" w:hAnsi="Verdana"/>
          <w:sz w:val="20"/>
          <w:szCs w:val="20"/>
        </w:rPr>
        <w:t>había materializado</w:t>
      </w:r>
      <w:r w:rsidR="00042951">
        <w:rPr>
          <w:rFonts w:ascii="Verdana" w:hAnsi="Verdana"/>
          <w:sz w:val="20"/>
          <w:szCs w:val="20"/>
        </w:rPr>
        <w:t xml:space="preserve"> una violación del derecho al debido proceso</w:t>
      </w:r>
      <w:r w:rsidR="009F758F">
        <w:rPr>
          <w:rFonts w:ascii="Verdana" w:hAnsi="Verdana"/>
          <w:sz w:val="20"/>
          <w:szCs w:val="20"/>
        </w:rPr>
        <w:t>, por no</w:t>
      </w:r>
      <w:r w:rsidR="00A35BAA">
        <w:rPr>
          <w:rFonts w:ascii="Verdana" w:hAnsi="Verdana"/>
          <w:sz w:val="20"/>
          <w:szCs w:val="20"/>
        </w:rPr>
        <w:t xml:space="preserve"> haber contad</w:t>
      </w:r>
      <w:r w:rsidR="00993381">
        <w:rPr>
          <w:rFonts w:ascii="Verdana" w:hAnsi="Verdana"/>
          <w:sz w:val="20"/>
          <w:szCs w:val="20"/>
        </w:rPr>
        <w:t>o</w:t>
      </w:r>
      <w:r w:rsidR="00A35BAA">
        <w:rPr>
          <w:rFonts w:ascii="Verdana" w:hAnsi="Verdana"/>
          <w:sz w:val="20"/>
          <w:szCs w:val="20"/>
        </w:rPr>
        <w:t xml:space="preserve"> la víctima</w:t>
      </w:r>
      <w:r w:rsidR="001A1E04" w:rsidRPr="00C84A6F">
        <w:rPr>
          <w:rFonts w:ascii="Verdana" w:hAnsi="Verdana"/>
          <w:sz w:val="20"/>
          <w:szCs w:val="20"/>
        </w:rPr>
        <w:t xml:space="preserve"> con inf</w:t>
      </w:r>
      <w:r w:rsidR="00C84A6F" w:rsidRPr="00C84A6F">
        <w:rPr>
          <w:rFonts w:ascii="Verdana" w:hAnsi="Verdana"/>
          <w:sz w:val="20"/>
          <w:szCs w:val="20"/>
        </w:rPr>
        <w:t>ormación previa y detallada</w:t>
      </w:r>
      <w:r w:rsidR="0062665D">
        <w:rPr>
          <w:rFonts w:ascii="Verdana" w:hAnsi="Verdana"/>
          <w:sz w:val="20"/>
          <w:szCs w:val="20"/>
        </w:rPr>
        <w:t>,</w:t>
      </w:r>
      <w:r w:rsidR="00C84A6F" w:rsidRPr="00C84A6F">
        <w:rPr>
          <w:rFonts w:ascii="Verdana" w:hAnsi="Verdana"/>
          <w:sz w:val="20"/>
          <w:szCs w:val="20"/>
        </w:rPr>
        <w:t xml:space="preserve"> </w:t>
      </w:r>
      <w:r w:rsidR="00A35BAA">
        <w:rPr>
          <w:rFonts w:ascii="Verdana" w:hAnsi="Verdana"/>
          <w:sz w:val="20"/>
          <w:szCs w:val="20"/>
        </w:rPr>
        <w:t>además de no disponer con</w:t>
      </w:r>
      <w:r w:rsidR="001A1E04" w:rsidRPr="00C84A6F">
        <w:rPr>
          <w:rFonts w:ascii="Verdana" w:hAnsi="Verdana"/>
          <w:sz w:val="20"/>
          <w:szCs w:val="20"/>
        </w:rPr>
        <w:t xml:space="preserve"> los medios adecuados para la preparación de su defensa </w:t>
      </w:r>
      <w:r w:rsidR="00DB3817" w:rsidRPr="00C84A6F">
        <w:rPr>
          <w:rFonts w:ascii="Verdana" w:hAnsi="Verdana"/>
          <w:sz w:val="20"/>
          <w:szCs w:val="20"/>
        </w:rPr>
        <w:t>durante el proce</w:t>
      </w:r>
      <w:r w:rsidR="009F758F">
        <w:rPr>
          <w:rFonts w:ascii="Verdana" w:hAnsi="Verdana"/>
          <w:sz w:val="20"/>
          <w:szCs w:val="20"/>
        </w:rPr>
        <w:t>dimiento</w:t>
      </w:r>
      <w:r w:rsidR="00DB3817" w:rsidRPr="00C84A6F">
        <w:rPr>
          <w:rFonts w:ascii="Verdana" w:hAnsi="Verdana"/>
          <w:sz w:val="20"/>
          <w:szCs w:val="20"/>
        </w:rPr>
        <w:t xml:space="preserve"> de destitución que se siguió en </w:t>
      </w:r>
      <w:r w:rsidR="00C84A6F" w:rsidRPr="00C84A6F">
        <w:rPr>
          <w:rFonts w:ascii="Verdana" w:hAnsi="Verdana"/>
          <w:sz w:val="20"/>
          <w:szCs w:val="20"/>
        </w:rPr>
        <w:t xml:space="preserve">su </w:t>
      </w:r>
      <w:r w:rsidR="00DB3817" w:rsidRPr="00C84A6F">
        <w:rPr>
          <w:rFonts w:ascii="Verdana" w:hAnsi="Verdana"/>
          <w:sz w:val="20"/>
          <w:szCs w:val="20"/>
        </w:rPr>
        <w:t>contra</w:t>
      </w:r>
      <w:r w:rsidR="001A1E04" w:rsidRPr="00C84A6F">
        <w:rPr>
          <w:rStyle w:val="FootnoteReference"/>
          <w:rFonts w:ascii="Verdana" w:hAnsi="Verdana"/>
          <w:sz w:val="20"/>
          <w:szCs w:val="20"/>
        </w:rPr>
        <w:footnoteReference w:id="1"/>
      </w:r>
      <w:r w:rsidR="00DB3817" w:rsidRPr="00C84A6F">
        <w:rPr>
          <w:rFonts w:ascii="Verdana" w:hAnsi="Verdana"/>
          <w:sz w:val="20"/>
          <w:szCs w:val="20"/>
        </w:rPr>
        <w:t>.</w:t>
      </w:r>
    </w:p>
    <w:p w14:paraId="3255C416" w14:textId="77777777" w:rsidR="009F758F" w:rsidRPr="009F758F" w:rsidRDefault="009F758F" w:rsidP="000E6EDD">
      <w:pPr>
        <w:jc w:val="both"/>
        <w:rPr>
          <w:rFonts w:ascii="Verdana" w:hAnsi="Verdana"/>
          <w:b/>
          <w:sz w:val="20"/>
          <w:szCs w:val="20"/>
        </w:rPr>
      </w:pPr>
    </w:p>
    <w:p w14:paraId="58DA5772" w14:textId="66C262BC" w:rsidR="009F758F" w:rsidRPr="002528E8" w:rsidRDefault="00767F71" w:rsidP="000E6EDD">
      <w:pPr>
        <w:ind w:right="4"/>
        <w:jc w:val="both"/>
        <w:rPr>
          <w:rFonts w:ascii="Verdana" w:hAnsi="Verdana"/>
          <w:sz w:val="20"/>
          <w:szCs w:val="20"/>
        </w:rPr>
      </w:pPr>
      <w:r>
        <w:rPr>
          <w:rFonts w:ascii="Verdana" w:hAnsi="Verdana"/>
          <w:sz w:val="20"/>
          <w:szCs w:val="20"/>
        </w:rPr>
        <w:t xml:space="preserve">3. </w:t>
      </w:r>
      <w:r>
        <w:rPr>
          <w:rFonts w:ascii="Verdana" w:hAnsi="Verdana"/>
          <w:sz w:val="20"/>
          <w:szCs w:val="20"/>
        </w:rPr>
        <w:tab/>
      </w:r>
      <w:r w:rsidR="00D016C0">
        <w:rPr>
          <w:rFonts w:ascii="Verdana" w:hAnsi="Verdana"/>
          <w:sz w:val="20"/>
          <w:szCs w:val="20"/>
        </w:rPr>
        <w:t>De esta manera</w:t>
      </w:r>
      <w:r w:rsidR="009F758F" w:rsidRPr="00767F71">
        <w:rPr>
          <w:rFonts w:ascii="Verdana" w:hAnsi="Verdana"/>
          <w:sz w:val="20"/>
          <w:szCs w:val="20"/>
        </w:rPr>
        <w:t xml:space="preserve">, en el presente voto </w:t>
      </w:r>
      <w:r w:rsidRPr="00767F71">
        <w:rPr>
          <w:rFonts w:ascii="Verdana" w:hAnsi="Verdana"/>
          <w:sz w:val="20"/>
          <w:szCs w:val="20"/>
        </w:rPr>
        <w:t xml:space="preserve">se explica </w:t>
      </w:r>
      <w:r w:rsidR="009F758F" w:rsidRPr="00767F71">
        <w:rPr>
          <w:rFonts w:ascii="Verdana" w:hAnsi="Verdana"/>
          <w:sz w:val="20"/>
          <w:szCs w:val="20"/>
        </w:rPr>
        <w:t xml:space="preserve">el importante desarrollo jurisprudencial que ha tenido </w:t>
      </w:r>
      <w:r w:rsidR="00C53398">
        <w:rPr>
          <w:rFonts w:ascii="Verdana" w:hAnsi="Verdana"/>
          <w:sz w:val="20"/>
          <w:szCs w:val="20"/>
        </w:rPr>
        <w:t xml:space="preserve">el Tribunal Interamericano </w:t>
      </w:r>
      <w:r w:rsidR="009F758F" w:rsidRPr="00767F71">
        <w:rPr>
          <w:rFonts w:ascii="Verdana" w:hAnsi="Verdana"/>
          <w:sz w:val="20"/>
          <w:szCs w:val="20"/>
        </w:rPr>
        <w:t xml:space="preserve">respecto a cada una de las </w:t>
      </w:r>
      <w:r w:rsidR="009F758F" w:rsidRPr="00767F71">
        <w:rPr>
          <w:rFonts w:ascii="Verdana" w:hAnsi="Verdana"/>
          <w:sz w:val="20"/>
          <w:szCs w:val="20"/>
        </w:rPr>
        <w:lastRenderedPageBreak/>
        <w:t>garantías judiciales establecidas en los artículos 8.1 y 8.2 del Pacto de San José</w:t>
      </w:r>
      <w:r w:rsidR="00660B00" w:rsidRPr="00C84A6F">
        <w:rPr>
          <w:rStyle w:val="FootnoteReference"/>
          <w:rFonts w:ascii="Verdana" w:hAnsi="Verdana"/>
          <w:sz w:val="20"/>
          <w:szCs w:val="20"/>
        </w:rPr>
        <w:footnoteReference w:id="2"/>
      </w:r>
      <w:r w:rsidR="009F758F" w:rsidRPr="00767F71">
        <w:rPr>
          <w:rFonts w:ascii="Verdana" w:hAnsi="Verdana"/>
          <w:sz w:val="20"/>
          <w:szCs w:val="20"/>
        </w:rPr>
        <w:t xml:space="preserve">; que, como se verá </w:t>
      </w:r>
      <w:r w:rsidR="009F758F" w:rsidRPr="00767F71">
        <w:rPr>
          <w:rFonts w:ascii="Verdana" w:hAnsi="Verdana"/>
          <w:i/>
          <w:sz w:val="20"/>
          <w:szCs w:val="20"/>
        </w:rPr>
        <w:t xml:space="preserve">infra, </w:t>
      </w:r>
      <w:r w:rsidR="00A35BAA" w:rsidRPr="00767F71">
        <w:rPr>
          <w:rFonts w:ascii="Verdana" w:hAnsi="Verdana"/>
          <w:sz w:val="20"/>
          <w:szCs w:val="20"/>
        </w:rPr>
        <w:t>no sólo han</w:t>
      </w:r>
      <w:r w:rsidR="009F758F" w:rsidRPr="00767F71">
        <w:rPr>
          <w:rFonts w:ascii="Verdana" w:hAnsi="Verdana"/>
          <w:sz w:val="20"/>
          <w:szCs w:val="20"/>
        </w:rPr>
        <w:t xml:space="preserve"> tenido un impacto </w:t>
      </w:r>
      <w:r w:rsidR="00D016C0">
        <w:rPr>
          <w:rFonts w:ascii="Verdana" w:hAnsi="Verdana"/>
          <w:sz w:val="20"/>
          <w:szCs w:val="20"/>
        </w:rPr>
        <w:t xml:space="preserve">importante </w:t>
      </w:r>
      <w:r w:rsidR="009F758F" w:rsidRPr="00767F71">
        <w:rPr>
          <w:rFonts w:ascii="Verdana" w:hAnsi="Verdana"/>
          <w:sz w:val="20"/>
          <w:szCs w:val="20"/>
        </w:rPr>
        <w:t xml:space="preserve">en los procedimientos penales, </w:t>
      </w:r>
      <w:r w:rsidR="000E6BD8">
        <w:rPr>
          <w:rFonts w:ascii="Verdana" w:hAnsi="Verdana"/>
          <w:sz w:val="20"/>
          <w:szCs w:val="20"/>
        </w:rPr>
        <w:t xml:space="preserve">sino que también </w:t>
      </w:r>
      <w:r w:rsidRPr="00767F71">
        <w:rPr>
          <w:rFonts w:ascii="Verdana" w:hAnsi="Verdana"/>
          <w:sz w:val="20"/>
          <w:szCs w:val="20"/>
        </w:rPr>
        <w:t xml:space="preserve">las </w:t>
      </w:r>
      <w:r w:rsidRPr="00767F71">
        <w:rPr>
          <w:rFonts w:ascii="Verdana" w:hAnsi="Verdana"/>
          <w:i/>
          <w:sz w:val="20"/>
          <w:szCs w:val="20"/>
        </w:rPr>
        <w:t>garantías mínimas</w:t>
      </w:r>
      <w:r w:rsidRPr="00767F71">
        <w:rPr>
          <w:rFonts w:ascii="Verdana" w:hAnsi="Verdana"/>
          <w:sz w:val="20"/>
          <w:szCs w:val="20"/>
        </w:rPr>
        <w:t xml:space="preserve"> </w:t>
      </w:r>
      <w:r w:rsidR="002528E8">
        <w:rPr>
          <w:rFonts w:ascii="Verdana" w:hAnsi="Verdana"/>
          <w:sz w:val="20"/>
          <w:szCs w:val="20"/>
        </w:rPr>
        <w:t xml:space="preserve">en materia penal </w:t>
      </w:r>
      <w:r w:rsidR="00DA6F86">
        <w:rPr>
          <w:rFonts w:ascii="Verdana" w:hAnsi="Verdana"/>
          <w:sz w:val="20"/>
          <w:szCs w:val="20"/>
        </w:rPr>
        <w:t>previstas en el mencionado artículo</w:t>
      </w:r>
      <w:r w:rsidRPr="00767F71">
        <w:rPr>
          <w:rFonts w:ascii="Verdana" w:hAnsi="Verdana"/>
          <w:sz w:val="20"/>
          <w:szCs w:val="20"/>
        </w:rPr>
        <w:t xml:space="preserve"> 8.2</w:t>
      </w:r>
      <w:r w:rsidR="00DA6F86">
        <w:rPr>
          <w:rFonts w:ascii="Verdana" w:hAnsi="Verdana"/>
          <w:sz w:val="20"/>
          <w:szCs w:val="20"/>
        </w:rPr>
        <w:t>,</w:t>
      </w:r>
      <w:r w:rsidRPr="00767F71">
        <w:rPr>
          <w:rFonts w:ascii="Verdana" w:hAnsi="Verdana"/>
          <w:sz w:val="20"/>
          <w:szCs w:val="20"/>
        </w:rPr>
        <w:t xml:space="preserve"> se extienden a procedimientos de índole civil, laboral, fiscal o de otra índole</w:t>
      </w:r>
      <w:r w:rsidR="002528E8">
        <w:rPr>
          <w:rFonts w:ascii="Verdana" w:hAnsi="Verdana"/>
          <w:sz w:val="20"/>
          <w:szCs w:val="20"/>
        </w:rPr>
        <w:t xml:space="preserve">, toda vez que </w:t>
      </w:r>
      <w:r w:rsidRPr="00767F71">
        <w:rPr>
          <w:rFonts w:ascii="Verdana" w:hAnsi="Verdana"/>
          <w:sz w:val="20"/>
          <w:szCs w:val="20"/>
        </w:rPr>
        <w:t>“</w:t>
      </w:r>
      <w:r w:rsidRPr="00DA6F86">
        <w:rPr>
          <w:rFonts w:ascii="Verdana" w:hAnsi="Verdana"/>
          <w:sz w:val="20"/>
          <w:szCs w:val="20"/>
          <w:u w:val="single"/>
        </w:rPr>
        <w:t>en ese tipo de materias el individuo tiene también el derecho, en general, al debido proceso que se aplica en materia penal”</w:t>
      </w:r>
      <w:r w:rsidR="002528E8" w:rsidRPr="00DA6F86">
        <w:rPr>
          <w:rStyle w:val="FootnoteReference"/>
          <w:rFonts w:ascii="Verdana" w:hAnsi="Verdana"/>
          <w:sz w:val="20"/>
          <w:szCs w:val="20"/>
          <w:u w:val="single"/>
        </w:rPr>
        <w:t xml:space="preserve"> </w:t>
      </w:r>
      <w:r w:rsidR="002528E8" w:rsidRPr="00DA6F86">
        <w:rPr>
          <w:rStyle w:val="FootnoteReference"/>
          <w:rFonts w:ascii="Verdana" w:hAnsi="Verdana"/>
          <w:sz w:val="20"/>
          <w:szCs w:val="20"/>
          <w:u w:val="single"/>
        </w:rPr>
        <w:footnoteReference w:id="3"/>
      </w:r>
      <w:r w:rsidR="002528E8" w:rsidRPr="00DA6F86">
        <w:rPr>
          <w:rFonts w:ascii="Verdana" w:hAnsi="Verdana"/>
          <w:sz w:val="20"/>
          <w:szCs w:val="20"/>
          <w:u w:val="single"/>
        </w:rPr>
        <w:t>; línea jurisprudencial que el Tribunal Interamericano sigue en el presente caso</w:t>
      </w:r>
      <w:r w:rsidR="00DA6F86" w:rsidRPr="00C84A6F">
        <w:rPr>
          <w:rStyle w:val="FootnoteReference"/>
          <w:rFonts w:ascii="Verdana" w:hAnsi="Verdana"/>
          <w:sz w:val="20"/>
          <w:szCs w:val="20"/>
        </w:rPr>
        <w:footnoteReference w:id="4"/>
      </w:r>
      <w:r w:rsidR="002528E8">
        <w:rPr>
          <w:rFonts w:ascii="Verdana" w:hAnsi="Verdana"/>
          <w:sz w:val="20"/>
          <w:szCs w:val="20"/>
        </w:rPr>
        <w:t>.</w:t>
      </w:r>
    </w:p>
    <w:p w14:paraId="4B598A8D" w14:textId="77777777" w:rsidR="009F758F" w:rsidRPr="009F758F" w:rsidRDefault="009F758F" w:rsidP="000E6EDD">
      <w:pPr>
        <w:jc w:val="both"/>
        <w:rPr>
          <w:rFonts w:ascii="Verdana" w:hAnsi="Verdana"/>
          <w:sz w:val="20"/>
          <w:szCs w:val="20"/>
        </w:rPr>
      </w:pPr>
    </w:p>
    <w:p w14:paraId="29230927" w14:textId="439D1F28" w:rsidR="0062665D" w:rsidRDefault="00660B00" w:rsidP="000E6EDD">
      <w:pPr>
        <w:pStyle w:val="ListParagraph"/>
        <w:ind w:left="0"/>
        <w:jc w:val="both"/>
        <w:rPr>
          <w:rFonts w:ascii="Verdana" w:hAnsi="Verdana"/>
          <w:sz w:val="20"/>
          <w:szCs w:val="20"/>
        </w:rPr>
      </w:pPr>
      <w:r>
        <w:rPr>
          <w:rFonts w:ascii="Verdana" w:hAnsi="Verdana"/>
          <w:sz w:val="20"/>
          <w:szCs w:val="20"/>
        </w:rPr>
        <w:t xml:space="preserve">4. </w:t>
      </w:r>
      <w:r>
        <w:rPr>
          <w:rFonts w:ascii="Verdana" w:hAnsi="Verdana"/>
          <w:sz w:val="20"/>
          <w:szCs w:val="20"/>
        </w:rPr>
        <w:tab/>
      </w:r>
      <w:r w:rsidR="003406A5">
        <w:rPr>
          <w:rFonts w:ascii="Verdana" w:hAnsi="Verdana"/>
          <w:sz w:val="20"/>
          <w:szCs w:val="20"/>
        </w:rPr>
        <w:t xml:space="preserve">En </w:t>
      </w:r>
      <w:r w:rsidR="00A57D5A">
        <w:rPr>
          <w:rFonts w:ascii="Verdana" w:hAnsi="Verdana"/>
          <w:sz w:val="20"/>
          <w:szCs w:val="20"/>
        </w:rPr>
        <w:t>esta tesitura</w:t>
      </w:r>
      <w:r w:rsidR="00A73EBE">
        <w:rPr>
          <w:rFonts w:ascii="Verdana" w:hAnsi="Verdana"/>
          <w:sz w:val="20"/>
          <w:szCs w:val="20"/>
        </w:rPr>
        <w:t>,</w:t>
      </w:r>
      <w:r w:rsidR="00DB3817" w:rsidRPr="00C84A6F">
        <w:rPr>
          <w:rFonts w:ascii="Verdana" w:hAnsi="Verdana"/>
          <w:sz w:val="20"/>
          <w:szCs w:val="20"/>
        </w:rPr>
        <w:t xml:space="preserve"> el presente</w:t>
      </w:r>
      <w:r>
        <w:rPr>
          <w:rFonts w:ascii="Verdana" w:hAnsi="Verdana"/>
          <w:sz w:val="20"/>
          <w:szCs w:val="20"/>
        </w:rPr>
        <w:t xml:space="preserve"> voto </w:t>
      </w:r>
      <w:r w:rsidR="00A57D5A">
        <w:rPr>
          <w:rFonts w:ascii="Verdana" w:hAnsi="Verdana"/>
          <w:sz w:val="20"/>
          <w:szCs w:val="20"/>
        </w:rPr>
        <w:t xml:space="preserve">se divide </w:t>
      </w:r>
      <w:r>
        <w:rPr>
          <w:rFonts w:ascii="Verdana" w:hAnsi="Verdana"/>
          <w:sz w:val="20"/>
          <w:szCs w:val="20"/>
        </w:rPr>
        <w:t xml:space="preserve">en </w:t>
      </w:r>
      <w:r w:rsidR="00A57D5A">
        <w:rPr>
          <w:rFonts w:ascii="Verdana" w:hAnsi="Verdana"/>
          <w:sz w:val="20"/>
          <w:szCs w:val="20"/>
        </w:rPr>
        <w:t>tres</w:t>
      </w:r>
      <w:r w:rsidR="00F8539F" w:rsidRPr="00C84A6F">
        <w:rPr>
          <w:rFonts w:ascii="Verdana" w:hAnsi="Verdana"/>
          <w:sz w:val="20"/>
          <w:szCs w:val="20"/>
        </w:rPr>
        <w:t xml:space="preserve"> partes. </w:t>
      </w:r>
      <w:r w:rsidR="00A57D5A">
        <w:rPr>
          <w:rFonts w:ascii="Verdana" w:hAnsi="Verdana"/>
          <w:sz w:val="20"/>
          <w:szCs w:val="20"/>
        </w:rPr>
        <w:t>En la primera</w:t>
      </w:r>
      <w:r>
        <w:rPr>
          <w:rFonts w:ascii="Verdana" w:hAnsi="Verdana"/>
          <w:sz w:val="20"/>
          <w:szCs w:val="20"/>
        </w:rPr>
        <w:t xml:space="preserve"> </w:t>
      </w:r>
      <w:r w:rsidRPr="00A53820">
        <w:rPr>
          <w:rFonts w:ascii="Verdana" w:hAnsi="Verdana"/>
          <w:i/>
          <w:sz w:val="20"/>
          <w:szCs w:val="20"/>
        </w:rPr>
        <w:t>i)</w:t>
      </w:r>
      <w:r w:rsidR="00DA6F86">
        <w:rPr>
          <w:rFonts w:ascii="Verdana" w:hAnsi="Verdana"/>
          <w:sz w:val="20"/>
          <w:szCs w:val="20"/>
        </w:rPr>
        <w:t xml:space="preserve"> se aborda</w:t>
      </w:r>
      <w:r w:rsidR="0062665D">
        <w:rPr>
          <w:rFonts w:ascii="Verdana" w:hAnsi="Verdana"/>
          <w:sz w:val="20"/>
          <w:szCs w:val="20"/>
        </w:rPr>
        <w:t xml:space="preserve"> </w:t>
      </w:r>
      <w:r w:rsidR="00DB3817" w:rsidRPr="00C84A6F">
        <w:rPr>
          <w:rFonts w:ascii="Verdana" w:hAnsi="Verdana"/>
          <w:sz w:val="20"/>
          <w:szCs w:val="20"/>
        </w:rPr>
        <w:t xml:space="preserve">el </w:t>
      </w:r>
      <w:r w:rsidR="00477238" w:rsidRPr="00C84A6F">
        <w:rPr>
          <w:rFonts w:ascii="Verdana" w:hAnsi="Verdana"/>
          <w:sz w:val="20"/>
          <w:szCs w:val="20"/>
        </w:rPr>
        <w:t>contenido</w:t>
      </w:r>
      <w:r w:rsidR="00DB3817" w:rsidRPr="00C84A6F">
        <w:rPr>
          <w:rFonts w:ascii="Verdana" w:hAnsi="Verdana"/>
          <w:sz w:val="20"/>
          <w:szCs w:val="20"/>
        </w:rPr>
        <w:t xml:space="preserve"> jurisprudencial que la Corte I</w:t>
      </w:r>
      <w:r w:rsidR="0062665D">
        <w:rPr>
          <w:rFonts w:ascii="Verdana" w:hAnsi="Verdana"/>
          <w:sz w:val="20"/>
          <w:szCs w:val="20"/>
        </w:rPr>
        <w:t>DH</w:t>
      </w:r>
      <w:r w:rsidR="00DB3817" w:rsidRPr="00C84A6F">
        <w:rPr>
          <w:rFonts w:ascii="Verdana" w:hAnsi="Verdana"/>
          <w:sz w:val="20"/>
          <w:szCs w:val="20"/>
        </w:rPr>
        <w:t xml:space="preserve"> ha ido desarrollando</w:t>
      </w:r>
      <w:r w:rsidR="00477238" w:rsidRPr="00C84A6F">
        <w:rPr>
          <w:rFonts w:ascii="Verdana" w:hAnsi="Verdana"/>
          <w:sz w:val="20"/>
          <w:szCs w:val="20"/>
        </w:rPr>
        <w:t>,</w:t>
      </w:r>
      <w:r w:rsidR="00DB3817" w:rsidRPr="00C84A6F">
        <w:rPr>
          <w:rFonts w:ascii="Verdana" w:hAnsi="Verdana"/>
          <w:sz w:val="20"/>
          <w:szCs w:val="20"/>
        </w:rPr>
        <w:t xml:space="preserve"> paulatinamente</w:t>
      </w:r>
      <w:r w:rsidR="0062665D">
        <w:rPr>
          <w:rFonts w:ascii="Verdana" w:hAnsi="Verdana"/>
          <w:sz w:val="20"/>
          <w:szCs w:val="20"/>
        </w:rPr>
        <w:t>, sobre la interpretación</w:t>
      </w:r>
      <w:r w:rsidR="00C84A6F" w:rsidRPr="00C84A6F">
        <w:rPr>
          <w:rFonts w:ascii="Verdana" w:hAnsi="Verdana"/>
          <w:sz w:val="20"/>
          <w:szCs w:val="20"/>
        </w:rPr>
        <w:t xml:space="preserve"> del artículo 8.1 y, en especí</w:t>
      </w:r>
      <w:r w:rsidR="00DB3817" w:rsidRPr="00C84A6F">
        <w:rPr>
          <w:rFonts w:ascii="Verdana" w:hAnsi="Verdana"/>
          <w:sz w:val="20"/>
          <w:szCs w:val="20"/>
        </w:rPr>
        <w:t xml:space="preserve">fico, </w:t>
      </w:r>
      <w:r w:rsidR="0062665D">
        <w:rPr>
          <w:rFonts w:ascii="Verdana" w:hAnsi="Verdana"/>
          <w:sz w:val="20"/>
          <w:szCs w:val="20"/>
        </w:rPr>
        <w:t>d</w:t>
      </w:r>
      <w:r w:rsidR="00DA6F86">
        <w:rPr>
          <w:rFonts w:ascii="Verdana" w:hAnsi="Verdana"/>
          <w:sz w:val="20"/>
          <w:szCs w:val="20"/>
        </w:rPr>
        <w:t>el alcance</w:t>
      </w:r>
      <w:r w:rsidR="00DB3817" w:rsidRPr="00C84A6F">
        <w:rPr>
          <w:rFonts w:ascii="Verdana" w:hAnsi="Verdana"/>
          <w:sz w:val="20"/>
          <w:szCs w:val="20"/>
        </w:rPr>
        <w:t xml:space="preserve"> de cada una de las </w:t>
      </w:r>
      <w:r w:rsidR="00477238" w:rsidRPr="00C84A6F">
        <w:rPr>
          <w:rFonts w:ascii="Verdana" w:hAnsi="Verdana"/>
          <w:i/>
          <w:sz w:val="20"/>
          <w:szCs w:val="20"/>
        </w:rPr>
        <w:t>garantías</w:t>
      </w:r>
      <w:r w:rsidR="00DB3817" w:rsidRPr="00C84A6F">
        <w:rPr>
          <w:rFonts w:ascii="Verdana" w:hAnsi="Verdana"/>
          <w:i/>
          <w:sz w:val="20"/>
          <w:szCs w:val="20"/>
        </w:rPr>
        <w:t xml:space="preserve"> </w:t>
      </w:r>
      <w:r w:rsidR="00477238" w:rsidRPr="00C84A6F">
        <w:rPr>
          <w:rFonts w:ascii="Verdana" w:hAnsi="Verdana"/>
          <w:i/>
          <w:sz w:val="20"/>
          <w:szCs w:val="20"/>
        </w:rPr>
        <w:t>mínimas</w:t>
      </w:r>
      <w:r w:rsidR="00DB3817" w:rsidRPr="00C84A6F">
        <w:rPr>
          <w:rFonts w:ascii="Verdana" w:hAnsi="Verdana"/>
          <w:i/>
          <w:sz w:val="20"/>
          <w:szCs w:val="20"/>
        </w:rPr>
        <w:t xml:space="preserve"> </w:t>
      </w:r>
      <w:r w:rsidR="00DB3817" w:rsidRPr="00C84A6F">
        <w:rPr>
          <w:rFonts w:ascii="Verdana" w:hAnsi="Verdana"/>
          <w:sz w:val="20"/>
          <w:szCs w:val="20"/>
        </w:rPr>
        <w:t xml:space="preserve">a </w:t>
      </w:r>
      <w:r w:rsidR="00C84A6F">
        <w:rPr>
          <w:rFonts w:ascii="Verdana" w:hAnsi="Verdana"/>
          <w:sz w:val="20"/>
          <w:szCs w:val="20"/>
        </w:rPr>
        <w:t xml:space="preserve">las </w:t>
      </w:r>
      <w:r w:rsidR="00DB3817" w:rsidRPr="00C84A6F">
        <w:rPr>
          <w:rFonts w:ascii="Verdana" w:hAnsi="Verdana"/>
          <w:sz w:val="20"/>
          <w:szCs w:val="20"/>
        </w:rPr>
        <w:t>que hace alusión e</w:t>
      </w:r>
      <w:r>
        <w:rPr>
          <w:rFonts w:ascii="Verdana" w:hAnsi="Verdana"/>
          <w:sz w:val="20"/>
          <w:szCs w:val="20"/>
        </w:rPr>
        <w:t xml:space="preserve">l artículo 8.2 de la Convención </w:t>
      </w:r>
      <w:r w:rsidR="00DF019F">
        <w:rPr>
          <w:rFonts w:ascii="Verdana" w:hAnsi="Verdana"/>
          <w:sz w:val="20"/>
          <w:szCs w:val="20"/>
        </w:rPr>
        <w:t xml:space="preserve">Americana </w:t>
      </w:r>
      <w:r w:rsidR="0062665D">
        <w:rPr>
          <w:rFonts w:ascii="Verdana" w:hAnsi="Verdana"/>
          <w:sz w:val="20"/>
          <w:szCs w:val="20"/>
        </w:rPr>
        <w:t>(</w:t>
      </w:r>
      <w:r w:rsidR="00B37BE8" w:rsidRPr="00800F6F">
        <w:rPr>
          <w:rFonts w:ascii="Verdana" w:hAnsi="Verdana"/>
          <w:i/>
          <w:sz w:val="20"/>
          <w:szCs w:val="20"/>
        </w:rPr>
        <w:t>párrs. 5</w:t>
      </w:r>
      <w:r w:rsidR="0062665D" w:rsidRPr="00800F6F">
        <w:rPr>
          <w:rFonts w:ascii="Verdana" w:hAnsi="Verdana"/>
          <w:i/>
          <w:sz w:val="20"/>
          <w:szCs w:val="20"/>
        </w:rPr>
        <w:t>-</w:t>
      </w:r>
      <w:r w:rsidR="00800F6F" w:rsidRPr="00800F6F">
        <w:rPr>
          <w:rFonts w:ascii="Verdana" w:hAnsi="Verdana"/>
          <w:i/>
          <w:sz w:val="20"/>
          <w:szCs w:val="20"/>
        </w:rPr>
        <w:t>22</w:t>
      </w:r>
      <w:r w:rsidR="0062665D">
        <w:rPr>
          <w:rFonts w:ascii="Verdana" w:hAnsi="Verdana"/>
          <w:sz w:val="20"/>
          <w:szCs w:val="20"/>
        </w:rPr>
        <w:t>)</w:t>
      </w:r>
      <w:r w:rsidR="00DB3817" w:rsidRPr="00C84A6F">
        <w:rPr>
          <w:rFonts w:ascii="Verdana" w:hAnsi="Verdana"/>
          <w:sz w:val="20"/>
          <w:szCs w:val="20"/>
        </w:rPr>
        <w:t>.</w:t>
      </w:r>
      <w:r>
        <w:rPr>
          <w:rFonts w:ascii="Verdana" w:hAnsi="Verdana"/>
          <w:sz w:val="20"/>
          <w:szCs w:val="20"/>
        </w:rPr>
        <w:t xml:space="preserve"> En </w:t>
      </w:r>
      <w:r w:rsidR="00A57D5A">
        <w:rPr>
          <w:rFonts w:ascii="Verdana" w:hAnsi="Verdana"/>
          <w:sz w:val="20"/>
          <w:szCs w:val="20"/>
        </w:rPr>
        <w:t xml:space="preserve">la segunda </w:t>
      </w:r>
      <w:r w:rsidRPr="000E6BD8">
        <w:rPr>
          <w:rFonts w:ascii="Verdana" w:hAnsi="Verdana"/>
          <w:i/>
          <w:sz w:val="20"/>
          <w:szCs w:val="20"/>
        </w:rPr>
        <w:t>ii)</w:t>
      </w:r>
      <w:r w:rsidR="00DA6F86">
        <w:rPr>
          <w:rFonts w:ascii="Verdana" w:hAnsi="Verdana"/>
          <w:sz w:val="20"/>
          <w:szCs w:val="20"/>
        </w:rPr>
        <w:t xml:space="preserve"> se desarrolla lo que hasta la</w:t>
      </w:r>
      <w:r>
        <w:rPr>
          <w:rFonts w:ascii="Verdana" w:hAnsi="Verdana"/>
          <w:sz w:val="20"/>
          <w:szCs w:val="20"/>
        </w:rPr>
        <w:t xml:space="preserve"> fecha</w:t>
      </w:r>
      <w:r w:rsidR="00DB3817" w:rsidRPr="00C84A6F">
        <w:rPr>
          <w:rFonts w:ascii="Verdana" w:hAnsi="Verdana"/>
          <w:sz w:val="20"/>
          <w:szCs w:val="20"/>
        </w:rPr>
        <w:t xml:space="preserve"> el Tribunal Interamericano ha mantenido como su jurisprudencia constante respecto de </w:t>
      </w:r>
      <w:r w:rsidR="00477238" w:rsidRPr="00C84A6F">
        <w:rPr>
          <w:rFonts w:ascii="Verdana" w:hAnsi="Verdana"/>
          <w:sz w:val="20"/>
          <w:szCs w:val="20"/>
        </w:rPr>
        <w:t xml:space="preserve">la aplicación de las </w:t>
      </w:r>
      <w:r w:rsidR="00477238" w:rsidRPr="00A73EBE">
        <w:rPr>
          <w:rFonts w:ascii="Verdana" w:hAnsi="Verdana"/>
          <w:i/>
          <w:sz w:val="20"/>
          <w:szCs w:val="20"/>
        </w:rPr>
        <w:t xml:space="preserve">garantías </w:t>
      </w:r>
      <w:r w:rsidR="00DA6F86" w:rsidRPr="00A73EBE">
        <w:rPr>
          <w:rFonts w:ascii="Verdana" w:hAnsi="Verdana"/>
          <w:i/>
          <w:sz w:val="20"/>
          <w:szCs w:val="20"/>
        </w:rPr>
        <w:t>mínimas</w:t>
      </w:r>
      <w:r w:rsidR="00477238" w:rsidRPr="00C84A6F">
        <w:rPr>
          <w:rFonts w:ascii="Verdana" w:hAnsi="Verdana"/>
          <w:sz w:val="20"/>
          <w:szCs w:val="20"/>
        </w:rPr>
        <w:t xml:space="preserve"> </w:t>
      </w:r>
      <w:r w:rsidR="00A73EBE">
        <w:rPr>
          <w:rFonts w:ascii="Verdana" w:hAnsi="Verdana"/>
          <w:sz w:val="20"/>
          <w:szCs w:val="20"/>
        </w:rPr>
        <w:t xml:space="preserve">del debido proceso </w:t>
      </w:r>
      <w:r w:rsidR="00477238" w:rsidRPr="00C84A6F">
        <w:rPr>
          <w:rFonts w:ascii="Verdana" w:hAnsi="Verdana"/>
          <w:sz w:val="20"/>
          <w:szCs w:val="20"/>
        </w:rPr>
        <w:t>a los procedimientos no penales</w:t>
      </w:r>
      <w:r w:rsidR="0062665D">
        <w:rPr>
          <w:rFonts w:ascii="Verdana" w:hAnsi="Verdana"/>
          <w:sz w:val="20"/>
          <w:szCs w:val="20"/>
        </w:rPr>
        <w:t xml:space="preserve"> (</w:t>
      </w:r>
      <w:r w:rsidR="00800F6F" w:rsidRPr="00800F6F">
        <w:rPr>
          <w:rFonts w:ascii="Verdana" w:hAnsi="Verdana"/>
          <w:i/>
          <w:sz w:val="20"/>
          <w:szCs w:val="20"/>
        </w:rPr>
        <w:t>párrs. 23</w:t>
      </w:r>
      <w:r w:rsidR="00EB5937" w:rsidRPr="00800F6F">
        <w:rPr>
          <w:rFonts w:ascii="Verdana" w:hAnsi="Verdana"/>
          <w:i/>
          <w:sz w:val="20"/>
          <w:szCs w:val="20"/>
        </w:rPr>
        <w:t>-2</w:t>
      </w:r>
      <w:r w:rsidR="00800F6F" w:rsidRPr="00800F6F">
        <w:rPr>
          <w:rFonts w:ascii="Verdana" w:hAnsi="Verdana"/>
          <w:i/>
          <w:sz w:val="20"/>
          <w:szCs w:val="20"/>
        </w:rPr>
        <w:t>8</w:t>
      </w:r>
      <w:r>
        <w:rPr>
          <w:rFonts w:ascii="Verdana" w:hAnsi="Verdana"/>
          <w:sz w:val="20"/>
          <w:szCs w:val="20"/>
        </w:rPr>
        <w:t xml:space="preserve">). En </w:t>
      </w:r>
      <w:r w:rsidR="00A57D5A">
        <w:rPr>
          <w:rFonts w:ascii="Verdana" w:hAnsi="Verdana"/>
          <w:sz w:val="20"/>
          <w:szCs w:val="20"/>
        </w:rPr>
        <w:t>la tercera</w:t>
      </w:r>
      <w:r>
        <w:rPr>
          <w:rFonts w:ascii="Verdana" w:hAnsi="Verdana"/>
          <w:sz w:val="20"/>
          <w:szCs w:val="20"/>
        </w:rPr>
        <w:t xml:space="preserve"> </w:t>
      </w:r>
      <w:r w:rsidRPr="00A53820">
        <w:rPr>
          <w:rFonts w:ascii="Verdana" w:hAnsi="Verdana"/>
          <w:i/>
          <w:sz w:val="20"/>
          <w:szCs w:val="20"/>
        </w:rPr>
        <w:t>iii)</w:t>
      </w:r>
      <w:r w:rsidR="00477238" w:rsidRPr="00C84A6F">
        <w:rPr>
          <w:rFonts w:ascii="Verdana" w:hAnsi="Verdana"/>
          <w:sz w:val="20"/>
          <w:szCs w:val="20"/>
        </w:rPr>
        <w:t xml:space="preserve"> </w:t>
      </w:r>
      <w:r>
        <w:rPr>
          <w:rFonts w:ascii="Verdana" w:hAnsi="Verdana"/>
          <w:sz w:val="20"/>
          <w:szCs w:val="20"/>
        </w:rPr>
        <w:t>se analiza</w:t>
      </w:r>
      <w:r w:rsidR="0062665D">
        <w:rPr>
          <w:rFonts w:ascii="Verdana" w:hAnsi="Verdana"/>
          <w:sz w:val="20"/>
          <w:szCs w:val="20"/>
        </w:rPr>
        <w:t xml:space="preserve"> lo decidido por e</w:t>
      </w:r>
      <w:r w:rsidR="00477238" w:rsidRPr="00C84A6F">
        <w:rPr>
          <w:rFonts w:ascii="Verdana" w:hAnsi="Verdana"/>
          <w:sz w:val="20"/>
          <w:szCs w:val="20"/>
        </w:rPr>
        <w:t xml:space="preserve">ste Tribunal Interamericano, en </w:t>
      </w:r>
      <w:r w:rsidR="0062665D">
        <w:rPr>
          <w:rFonts w:ascii="Verdana" w:hAnsi="Verdana"/>
          <w:sz w:val="20"/>
          <w:szCs w:val="20"/>
        </w:rPr>
        <w:t xml:space="preserve">el que </w:t>
      </w:r>
      <w:r w:rsidR="00477238" w:rsidRPr="00C84A6F">
        <w:rPr>
          <w:rFonts w:ascii="Verdana" w:hAnsi="Verdana"/>
          <w:sz w:val="20"/>
          <w:szCs w:val="20"/>
        </w:rPr>
        <w:t xml:space="preserve">mantiene la jurisprudencia consolidada sobre la aplicación de las </w:t>
      </w:r>
      <w:r w:rsidR="00477238" w:rsidRPr="000E6BD8">
        <w:rPr>
          <w:rFonts w:ascii="Verdana" w:hAnsi="Verdana"/>
          <w:i/>
          <w:sz w:val="20"/>
          <w:szCs w:val="20"/>
        </w:rPr>
        <w:t xml:space="preserve">garantías </w:t>
      </w:r>
      <w:r w:rsidR="00EB5937" w:rsidRPr="000E6BD8">
        <w:rPr>
          <w:rFonts w:ascii="Verdana" w:hAnsi="Verdana"/>
          <w:i/>
          <w:sz w:val="20"/>
          <w:szCs w:val="20"/>
        </w:rPr>
        <w:t>mínimas</w:t>
      </w:r>
      <w:r w:rsidR="00EB5937">
        <w:rPr>
          <w:rFonts w:ascii="Verdana" w:hAnsi="Verdana"/>
          <w:sz w:val="20"/>
          <w:szCs w:val="20"/>
        </w:rPr>
        <w:t xml:space="preserve"> del debido proceso (</w:t>
      </w:r>
      <w:r w:rsidR="00477238" w:rsidRPr="00C84A6F">
        <w:rPr>
          <w:rFonts w:ascii="Verdana" w:hAnsi="Verdana"/>
          <w:sz w:val="20"/>
          <w:szCs w:val="20"/>
        </w:rPr>
        <w:t>artículo 8.2</w:t>
      </w:r>
      <w:r w:rsidR="00EB5937">
        <w:rPr>
          <w:rFonts w:ascii="Verdana" w:hAnsi="Verdana"/>
          <w:sz w:val="20"/>
          <w:szCs w:val="20"/>
        </w:rPr>
        <w:t>)</w:t>
      </w:r>
      <w:r w:rsidR="00477238" w:rsidRPr="00C84A6F">
        <w:rPr>
          <w:rFonts w:ascii="Verdana" w:hAnsi="Verdana"/>
          <w:sz w:val="20"/>
          <w:szCs w:val="20"/>
        </w:rPr>
        <w:t xml:space="preserve">, en el caso </w:t>
      </w:r>
      <w:r w:rsidR="00477238" w:rsidRPr="00C84A6F">
        <w:rPr>
          <w:rFonts w:ascii="Verdana" w:hAnsi="Verdana"/>
          <w:i/>
          <w:sz w:val="20"/>
          <w:szCs w:val="20"/>
        </w:rPr>
        <w:t>sub judice</w:t>
      </w:r>
      <w:r w:rsidR="00477238" w:rsidRPr="00C84A6F">
        <w:rPr>
          <w:rFonts w:ascii="Verdana" w:hAnsi="Verdana"/>
          <w:sz w:val="20"/>
          <w:szCs w:val="20"/>
        </w:rPr>
        <w:t xml:space="preserve">, </w:t>
      </w:r>
      <w:r w:rsidR="00EB5937">
        <w:rPr>
          <w:rFonts w:ascii="Verdana" w:hAnsi="Verdana"/>
          <w:sz w:val="20"/>
          <w:szCs w:val="20"/>
        </w:rPr>
        <w:t>atendiendo la naturaleza sancionatoria no penal del procedimien</w:t>
      </w:r>
      <w:r w:rsidR="000901BB">
        <w:rPr>
          <w:rFonts w:ascii="Verdana" w:hAnsi="Verdana"/>
          <w:sz w:val="20"/>
          <w:szCs w:val="20"/>
        </w:rPr>
        <w:t>to de destitución de la víctima;</w:t>
      </w:r>
      <w:r w:rsidR="00EB5937">
        <w:rPr>
          <w:rFonts w:ascii="Verdana" w:hAnsi="Verdana"/>
          <w:sz w:val="20"/>
          <w:szCs w:val="20"/>
        </w:rPr>
        <w:t xml:space="preserve"> </w:t>
      </w:r>
      <w:r w:rsidR="000901BB">
        <w:rPr>
          <w:rFonts w:ascii="Verdana" w:hAnsi="Verdana"/>
          <w:sz w:val="20"/>
          <w:szCs w:val="20"/>
        </w:rPr>
        <w:t xml:space="preserve">y </w:t>
      </w:r>
      <w:r w:rsidR="00EB5937">
        <w:rPr>
          <w:rFonts w:ascii="Verdana" w:hAnsi="Verdana"/>
          <w:sz w:val="20"/>
          <w:szCs w:val="20"/>
        </w:rPr>
        <w:t>reflexionando sobre la expresión “en general” y “en lo pertinente” que utiliza la Sentencia</w:t>
      </w:r>
      <w:r w:rsidR="000901BB">
        <w:rPr>
          <w:rFonts w:ascii="Verdana" w:hAnsi="Verdana"/>
          <w:sz w:val="20"/>
          <w:szCs w:val="20"/>
        </w:rPr>
        <w:t xml:space="preserve">, para establecer la necesidad de lineamientos que rijan específicamente la aplicación de las garantías penales en otros ámbitos sancionadores </w:t>
      </w:r>
      <w:r w:rsidR="00B37BE8" w:rsidRPr="00EB5937">
        <w:rPr>
          <w:rFonts w:ascii="Verdana" w:hAnsi="Verdana"/>
          <w:sz w:val="20"/>
          <w:szCs w:val="20"/>
        </w:rPr>
        <w:t>(</w:t>
      </w:r>
      <w:r w:rsidR="00800F6F" w:rsidRPr="00800F6F">
        <w:rPr>
          <w:rFonts w:ascii="Verdana" w:hAnsi="Verdana"/>
          <w:i/>
          <w:sz w:val="20"/>
          <w:szCs w:val="20"/>
        </w:rPr>
        <w:t>párrs. 29-70</w:t>
      </w:r>
      <w:r w:rsidR="00025C2A">
        <w:rPr>
          <w:rFonts w:ascii="Verdana" w:hAnsi="Verdana"/>
          <w:sz w:val="20"/>
          <w:szCs w:val="20"/>
        </w:rPr>
        <w:t>).</w:t>
      </w:r>
    </w:p>
    <w:p w14:paraId="152592C4" w14:textId="77777777" w:rsidR="000B6820" w:rsidRDefault="000B6820" w:rsidP="000E6EDD">
      <w:pPr>
        <w:pStyle w:val="ListParagraph"/>
        <w:ind w:left="0"/>
        <w:jc w:val="both"/>
        <w:rPr>
          <w:rFonts w:ascii="Verdana" w:hAnsi="Verdana"/>
          <w:sz w:val="20"/>
          <w:szCs w:val="20"/>
        </w:rPr>
      </w:pPr>
    </w:p>
    <w:p w14:paraId="1639B258" w14:textId="77777777" w:rsidR="000901BB" w:rsidRPr="00597B9C" w:rsidRDefault="000901BB" w:rsidP="000E6EDD">
      <w:pPr>
        <w:pStyle w:val="ListParagraph"/>
        <w:ind w:left="0"/>
        <w:jc w:val="both"/>
        <w:rPr>
          <w:rFonts w:ascii="Verdana" w:hAnsi="Verdana"/>
          <w:sz w:val="20"/>
          <w:szCs w:val="20"/>
        </w:rPr>
      </w:pPr>
    </w:p>
    <w:p w14:paraId="0065CFF5" w14:textId="6AF76F82" w:rsidR="00080D12" w:rsidRPr="00597B9C" w:rsidRDefault="0062665D" w:rsidP="00A24C2B">
      <w:pPr>
        <w:jc w:val="center"/>
        <w:rPr>
          <w:rFonts w:ascii="Verdana" w:hAnsi="Verdana"/>
          <w:b/>
          <w:sz w:val="20"/>
          <w:szCs w:val="20"/>
        </w:rPr>
      </w:pPr>
      <w:r w:rsidRPr="00597B9C">
        <w:rPr>
          <w:rFonts w:ascii="Verdana" w:hAnsi="Verdana"/>
          <w:b/>
          <w:sz w:val="20"/>
          <w:szCs w:val="20"/>
        </w:rPr>
        <w:t>I.</w:t>
      </w:r>
      <w:r w:rsidR="007F0D1A" w:rsidRPr="00597B9C">
        <w:rPr>
          <w:rFonts w:ascii="Verdana" w:hAnsi="Verdana"/>
          <w:b/>
          <w:sz w:val="20"/>
          <w:szCs w:val="20"/>
        </w:rPr>
        <w:t xml:space="preserve"> </w:t>
      </w:r>
      <w:r w:rsidR="002B3520" w:rsidRPr="00597B9C">
        <w:rPr>
          <w:rFonts w:ascii="Verdana" w:hAnsi="Verdana"/>
          <w:b/>
          <w:sz w:val="20"/>
          <w:szCs w:val="20"/>
        </w:rPr>
        <w:t xml:space="preserve"> </w:t>
      </w:r>
      <w:r w:rsidR="007F0D1A" w:rsidRPr="00597B9C">
        <w:rPr>
          <w:rFonts w:ascii="Verdana" w:hAnsi="Verdana"/>
          <w:b/>
          <w:sz w:val="20"/>
          <w:szCs w:val="20"/>
        </w:rPr>
        <w:t xml:space="preserve">LAS GARANTÍAS </w:t>
      </w:r>
      <w:r w:rsidR="00FD788D" w:rsidRPr="00597B9C">
        <w:rPr>
          <w:rFonts w:ascii="Verdana" w:hAnsi="Verdana"/>
          <w:b/>
          <w:sz w:val="20"/>
          <w:szCs w:val="20"/>
        </w:rPr>
        <w:t>MÍNIMAS</w:t>
      </w:r>
      <w:r w:rsidR="007F0D1A" w:rsidRPr="00597B9C">
        <w:rPr>
          <w:rFonts w:ascii="Verdana" w:hAnsi="Verdana"/>
          <w:b/>
          <w:sz w:val="20"/>
          <w:szCs w:val="20"/>
        </w:rPr>
        <w:t xml:space="preserve"> </w:t>
      </w:r>
      <w:r w:rsidR="00A57D5A" w:rsidRPr="00597B9C">
        <w:rPr>
          <w:rFonts w:ascii="Verdana" w:hAnsi="Verdana"/>
          <w:b/>
          <w:sz w:val="20"/>
          <w:szCs w:val="20"/>
        </w:rPr>
        <w:t>DE</w:t>
      </w:r>
      <w:r w:rsidR="000E6EDD" w:rsidRPr="00597B9C">
        <w:rPr>
          <w:rFonts w:ascii="Verdana" w:hAnsi="Verdana"/>
          <w:b/>
          <w:sz w:val="20"/>
          <w:szCs w:val="20"/>
        </w:rPr>
        <w:t xml:space="preserve"> LOS PROCEDIMIENTOS SANCION</w:t>
      </w:r>
      <w:r w:rsidR="00F63A8B" w:rsidRPr="00597B9C">
        <w:rPr>
          <w:rFonts w:ascii="Verdana" w:hAnsi="Verdana"/>
          <w:b/>
          <w:sz w:val="20"/>
          <w:szCs w:val="20"/>
        </w:rPr>
        <w:t>A</w:t>
      </w:r>
      <w:r w:rsidR="004B2D72">
        <w:rPr>
          <w:rFonts w:ascii="Verdana" w:hAnsi="Verdana"/>
          <w:b/>
          <w:sz w:val="20"/>
          <w:szCs w:val="20"/>
        </w:rPr>
        <w:t>TORIO</w:t>
      </w:r>
      <w:r w:rsidR="000E6EDD" w:rsidRPr="00597B9C">
        <w:rPr>
          <w:rFonts w:ascii="Verdana" w:hAnsi="Verdana"/>
          <w:b/>
          <w:sz w:val="20"/>
          <w:szCs w:val="20"/>
        </w:rPr>
        <w:t xml:space="preserve">S </w:t>
      </w:r>
    </w:p>
    <w:p w14:paraId="08139870" w14:textId="42B18C37" w:rsidR="00BB6942" w:rsidRPr="00597B9C" w:rsidRDefault="00080D12" w:rsidP="00A24C2B">
      <w:pPr>
        <w:jc w:val="center"/>
        <w:rPr>
          <w:rFonts w:ascii="Verdana" w:hAnsi="Verdana"/>
          <w:b/>
          <w:sz w:val="20"/>
          <w:szCs w:val="20"/>
        </w:rPr>
      </w:pPr>
      <w:r w:rsidRPr="00597B9C">
        <w:rPr>
          <w:rFonts w:ascii="Verdana" w:hAnsi="Verdana"/>
          <w:b/>
          <w:sz w:val="20"/>
          <w:szCs w:val="20"/>
        </w:rPr>
        <w:t xml:space="preserve">EN LA </w:t>
      </w:r>
      <w:r w:rsidR="000E6EDD" w:rsidRPr="00597B9C">
        <w:rPr>
          <w:rFonts w:ascii="Verdana" w:hAnsi="Verdana"/>
          <w:b/>
          <w:sz w:val="20"/>
          <w:szCs w:val="20"/>
        </w:rPr>
        <w:t xml:space="preserve">JURISPRUDENCIA </w:t>
      </w:r>
      <w:r w:rsidR="007F0D1A" w:rsidRPr="00597B9C">
        <w:rPr>
          <w:rFonts w:ascii="Verdana" w:hAnsi="Verdana"/>
          <w:b/>
          <w:sz w:val="20"/>
          <w:szCs w:val="20"/>
        </w:rPr>
        <w:t>INT</w:t>
      </w:r>
      <w:r w:rsidR="00FD788D" w:rsidRPr="00597B9C">
        <w:rPr>
          <w:rFonts w:ascii="Verdana" w:hAnsi="Verdana"/>
          <w:b/>
          <w:sz w:val="20"/>
          <w:szCs w:val="20"/>
        </w:rPr>
        <w:t>ERAMERICANA</w:t>
      </w:r>
    </w:p>
    <w:p w14:paraId="62630AF3" w14:textId="77777777" w:rsidR="006B53A9" w:rsidRPr="00597B9C" w:rsidRDefault="006B53A9" w:rsidP="000E6EDD">
      <w:pPr>
        <w:rPr>
          <w:rFonts w:ascii="Verdana" w:hAnsi="Verdana"/>
          <w:b/>
          <w:sz w:val="20"/>
          <w:szCs w:val="20"/>
        </w:rPr>
      </w:pPr>
    </w:p>
    <w:p w14:paraId="09C0455A" w14:textId="26B5BB32" w:rsidR="000E6EDD" w:rsidRPr="00597B9C" w:rsidRDefault="002B3520" w:rsidP="002B3520">
      <w:pPr>
        <w:pStyle w:val="Heading2"/>
        <w:numPr>
          <w:ilvl w:val="0"/>
          <w:numId w:val="0"/>
        </w:numPr>
        <w:spacing w:before="0" w:after="0"/>
        <w:rPr>
          <w:noProof w:val="0"/>
        </w:rPr>
      </w:pPr>
      <w:r w:rsidRPr="00597B9C">
        <w:rPr>
          <w:noProof w:val="0"/>
        </w:rPr>
        <w:t xml:space="preserve">A.  </w:t>
      </w:r>
      <w:r w:rsidR="000E6EDD" w:rsidRPr="00597B9C">
        <w:rPr>
          <w:noProof w:val="0"/>
        </w:rPr>
        <w:t>La concepción del debido proceso de este Tribunal Interamericano</w:t>
      </w:r>
    </w:p>
    <w:p w14:paraId="4FB1C2F8" w14:textId="67A36990" w:rsidR="000E6EDD" w:rsidRDefault="000E6EDD" w:rsidP="000E6EDD">
      <w:pPr>
        <w:rPr>
          <w:rFonts w:ascii="Verdana" w:hAnsi="Verdana"/>
          <w:b/>
          <w:sz w:val="20"/>
          <w:szCs w:val="20"/>
        </w:rPr>
      </w:pPr>
    </w:p>
    <w:p w14:paraId="72CBA566" w14:textId="474A16C7" w:rsidR="00BB6942" w:rsidRPr="00C84A6F" w:rsidRDefault="00660B00" w:rsidP="000E6EDD">
      <w:pPr>
        <w:pStyle w:val="ListParagraph"/>
        <w:ind w:left="0"/>
        <w:jc w:val="both"/>
        <w:rPr>
          <w:rFonts w:ascii="Verdana" w:hAnsi="Verdana"/>
          <w:sz w:val="20"/>
          <w:szCs w:val="20"/>
        </w:rPr>
      </w:pPr>
      <w:r>
        <w:rPr>
          <w:rFonts w:ascii="Verdana" w:hAnsi="Verdana"/>
          <w:sz w:val="20"/>
          <w:szCs w:val="20"/>
        </w:rPr>
        <w:t xml:space="preserve">5. </w:t>
      </w:r>
      <w:r>
        <w:rPr>
          <w:rFonts w:ascii="Verdana" w:hAnsi="Verdana"/>
          <w:sz w:val="20"/>
          <w:szCs w:val="20"/>
        </w:rPr>
        <w:tab/>
      </w:r>
      <w:r w:rsidR="007F0D1A" w:rsidRPr="00C84A6F">
        <w:rPr>
          <w:rFonts w:ascii="Verdana" w:hAnsi="Verdana"/>
          <w:sz w:val="20"/>
          <w:szCs w:val="20"/>
        </w:rPr>
        <w:t xml:space="preserve">La </w:t>
      </w:r>
      <w:r w:rsidR="0062665D">
        <w:rPr>
          <w:rFonts w:ascii="Verdana" w:hAnsi="Verdana"/>
          <w:sz w:val="20"/>
          <w:szCs w:val="20"/>
        </w:rPr>
        <w:t>Corte IDH</w:t>
      </w:r>
      <w:r w:rsidR="007F0D1A" w:rsidRPr="00C84A6F">
        <w:rPr>
          <w:rFonts w:ascii="Verdana" w:hAnsi="Verdana"/>
          <w:sz w:val="20"/>
          <w:szCs w:val="20"/>
        </w:rPr>
        <w:t xml:space="preserve"> ha establecido que, de conformidad con la </w:t>
      </w:r>
      <w:r w:rsidR="00FD788D" w:rsidRPr="00C84A6F">
        <w:rPr>
          <w:rFonts w:ascii="Verdana" w:hAnsi="Verdana"/>
          <w:sz w:val="20"/>
          <w:szCs w:val="20"/>
        </w:rPr>
        <w:t>Convención</w:t>
      </w:r>
      <w:r w:rsidR="007F0D1A" w:rsidRPr="00C84A6F">
        <w:rPr>
          <w:rFonts w:ascii="Verdana" w:hAnsi="Verdana"/>
          <w:sz w:val="20"/>
          <w:szCs w:val="20"/>
        </w:rPr>
        <w:t xml:space="preserve"> Americana, los Estados </w:t>
      </w:r>
      <w:r w:rsidR="00744F11">
        <w:rPr>
          <w:rFonts w:ascii="Verdana" w:hAnsi="Verdana"/>
          <w:sz w:val="20"/>
          <w:szCs w:val="20"/>
        </w:rPr>
        <w:t>parte</w:t>
      </w:r>
      <w:r w:rsidR="007F0D1A" w:rsidRPr="00C84A6F">
        <w:rPr>
          <w:rFonts w:ascii="Verdana" w:hAnsi="Verdana"/>
          <w:sz w:val="20"/>
          <w:szCs w:val="20"/>
        </w:rPr>
        <w:t xml:space="preserve"> </w:t>
      </w:r>
      <w:r w:rsidR="00FD788D" w:rsidRPr="00C84A6F">
        <w:rPr>
          <w:rFonts w:ascii="Verdana" w:hAnsi="Verdana"/>
          <w:sz w:val="20"/>
          <w:szCs w:val="20"/>
        </w:rPr>
        <w:t>están</w:t>
      </w:r>
      <w:r w:rsidR="007F0D1A" w:rsidRPr="00C84A6F">
        <w:rPr>
          <w:rFonts w:ascii="Verdana" w:hAnsi="Verdana"/>
          <w:sz w:val="20"/>
          <w:szCs w:val="20"/>
        </w:rPr>
        <w:t xml:space="preserve"> obligados a suministrar recursos judiciales efectivos a las </w:t>
      </w:r>
      <w:r w:rsidR="00993381" w:rsidRPr="00C84A6F">
        <w:rPr>
          <w:rFonts w:ascii="Verdana" w:hAnsi="Verdana"/>
          <w:sz w:val="20"/>
          <w:szCs w:val="20"/>
        </w:rPr>
        <w:t>víctimas</w:t>
      </w:r>
      <w:r w:rsidR="007F0D1A" w:rsidRPr="00C84A6F">
        <w:rPr>
          <w:rFonts w:ascii="Verdana" w:hAnsi="Verdana"/>
          <w:sz w:val="20"/>
          <w:szCs w:val="20"/>
        </w:rPr>
        <w:t xml:space="preserve"> de violaciones de los derechos humanos (</w:t>
      </w:r>
      <w:r w:rsidR="00CA2664" w:rsidRPr="00C84A6F">
        <w:rPr>
          <w:rFonts w:ascii="Verdana" w:hAnsi="Verdana"/>
          <w:sz w:val="20"/>
          <w:szCs w:val="20"/>
        </w:rPr>
        <w:t>artículo</w:t>
      </w:r>
      <w:r w:rsidR="007F0D1A" w:rsidRPr="00C84A6F">
        <w:rPr>
          <w:rFonts w:ascii="Verdana" w:hAnsi="Verdana"/>
          <w:sz w:val="20"/>
          <w:szCs w:val="20"/>
        </w:rPr>
        <w:t xml:space="preserve"> 25), recursos que deben ser sustanciados de conformidad con las reglas del debido proceso legal (</w:t>
      </w:r>
      <w:r w:rsidR="00993381" w:rsidRPr="00C84A6F">
        <w:rPr>
          <w:rFonts w:ascii="Verdana" w:hAnsi="Verdana"/>
          <w:sz w:val="20"/>
          <w:szCs w:val="20"/>
        </w:rPr>
        <w:t>artículo</w:t>
      </w:r>
      <w:r w:rsidR="007F0D1A" w:rsidRPr="00C84A6F">
        <w:rPr>
          <w:rFonts w:ascii="Verdana" w:hAnsi="Verdana"/>
          <w:sz w:val="20"/>
          <w:szCs w:val="20"/>
        </w:rPr>
        <w:t xml:space="preserve"> 8.1), todo ello dentro de la </w:t>
      </w:r>
      <w:r w:rsidR="00FD788D" w:rsidRPr="00C84A6F">
        <w:rPr>
          <w:rFonts w:ascii="Verdana" w:hAnsi="Verdana"/>
          <w:sz w:val="20"/>
          <w:szCs w:val="20"/>
        </w:rPr>
        <w:t>obligación</w:t>
      </w:r>
      <w:r w:rsidR="007F0D1A" w:rsidRPr="00C84A6F">
        <w:rPr>
          <w:rFonts w:ascii="Verdana" w:hAnsi="Verdana"/>
          <w:sz w:val="20"/>
          <w:szCs w:val="20"/>
        </w:rPr>
        <w:t xml:space="preserve"> general de garantizar el libre y pleno ejercicio de los de</w:t>
      </w:r>
      <w:r w:rsidR="00DF019F">
        <w:rPr>
          <w:rFonts w:ascii="Verdana" w:hAnsi="Verdana"/>
          <w:sz w:val="20"/>
          <w:szCs w:val="20"/>
        </w:rPr>
        <w:t>rechos reconocidos por el</w:t>
      </w:r>
      <w:r w:rsidR="007F0D1A" w:rsidRPr="00C84A6F">
        <w:rPr>
          <w:rFonts w:ascii="Verdana" w:hAnsi="Verdana"/>
          <w:sz w:val="20"/>
          <w:szCs w:val="20"/>
        </w:rPr>
        <w:t xml:space="preserve"> </w:t>
      </w:r>
      <w:r w:rsidR="00DF019F">
        <w:rPr>
          <w:rFonts w:ascii="Verdana" w:hAnsi="Verdana"/>
          <w:sz w:val="20"/>
          <w:szCs w:val="20"/>
        </w:rPr>
        <w:t>Pacto de San José</w:t>
      </w:r>
      <w:r w:rsidR="007F0D1A" w:rsidRPr="00C84A6F">
        <w:rPr>
          <w:rFonts w:ascii="Verdana" w:hAnsi="Verdana"/>
          <w:sz w:val="20"/>
          <w:szCs w:val="20"/>
        </w:rPr>
        <w:t xml:space="preserve"> a toda persona que se encuentre bajo su </w:t>
      </w:r>
      <w:r w:rsidR="00CA2664" w:rsidRPr="00C84A6F">
        <w:rPr>
          <w:rFonts w:ascii="Verdana" w:hAnsi="Verdana"/>
          <w:sz w:val="20"/>
          <w:szCs w:val="20"/>
        </w:rPr>
        <w:t>jurisdicción</w:t>
      </w:r>
      <w:r w:rsidR="007F0D1A" w:rsidRPr="00C84A6F">
        <w:rPr>
          <w:rFonts w:ascii="Verdana" w:hAnsi="Verdana"/>
          <w:sz w:val="20"/>
          <w:szCs w:val="20"/>
        </w:rPr>
        <w:t xml:space="preserve"> (</w:t>
      </w:r>
      <w:r w:rsidR="00CA2664" w:rsidRPr="00C84A6F">
        <w:rPr>
          <w:rFonts w:ascii="Verdana" w:hAnsi="Verdana"/>
          <w:sz w:val="20"/>
          <w:szCs w:val="20"/>
        </w:rPr>
        <w:t>artículo</w:t>
      </w:r>
      <w:r w:rsidR="007F0D1A" w:rsidRPr="00C84A6F">
        <w:rPr>
          <w:rFonts w:ascii="Verdana" w:hAnsi="Verdana"/>
          <w:sz w:val="20"/>
          <w:szCs w:val="20"/>
        </w:rPr>
        <w:t xml:space="preserve"> 1.1)</w:t>
      </w:r>
      <w:r w:rsidR="00BB6942" w:rsidRPr="00C84A6F">
        <w:rPr>
          <w:rStyle w:val="FootnoteReference"/>
          <w:rFonts w:ascii="Verdana" w:hAnsi="Verdana"/>
          <w:sz w:val="20"/>
          <w:szCs w:val="20"/>
        </w:rPr>
        <w:footnoteReference w:id="5"/>
      </w:r>
      <w:r w:rsidR="00BB6942" w:rsidRPr="00C84A6F">
        <w:rPr>
          <w:rFonts w:ascii="Verdana" w:hAnsi="Verdana"/>
          <w:sz w:val="20"/>
          <w:szCs w:val="20"/>
        </w:rPr>
        <w:t>.</w:t>
      </w:r>
      <w:r w:rsidR="007F0D1A" w:rsidRPr="00C84A6F">
        <w:rPr>
          <w:rFonts w:ascii="Verdana" w:hAnsi="Verdana"/>
          <w:sz w:val="20"/>
          <w:szCs w:val="20"/>
        </w:rPr>
        <w:t xml:space="preserve"> </w:t>
      </w:r>
    </w:p>
    <w:p w14:paraId="3CEE8777" w14:textId="77777777" w:rsidR="00BB6942" w:rsidRPr="00C84A6F" w:rsidRDefault="00BB6942" w:rsidP="000E6EDD">
      <w:pPr>
        <w:pStyle w:val="ListParagraph"/>
        <w:ind w:left="0"/>
        <w:jc w:val="both"/>
        <w:rPr>
          <w:rFonts w:ascii="Verdana" w:hAnsi="Verdana"/>
          <w:sz w:val="20"/>
          <w:szCs w:val="20"/>
        </w:rPr>
      </w:pPr>
    </w:p>
    <w:p w14:paraId="0B1BE72D" w14:textId="5D93B022" w:rsidR="00576010" w:rsidRDefault="00660B00" w:rsidP="000E6EDD">
      <w:pPr>
        <w:pStyle w:val="ListParagraph"/>
        <w:ind w:left="0"/>
        <w:jc w:val="both"/>
        <w:rPr>
          <w:rFonts w:ascii="Verdana" w:hAnsi="Verdana"/>
          <w:sz w:val="20"/>
          <w:szCs w:val="20"/>
        </w:rPr>
      </w:pPr>
      <w:r>
        <w:rPr>
          <w:rFonts w:ascii="Verdana" w:hAnsi="Verdana" w:cs="Times New Roman"/>
          <w:sz w:val="20"/>
          <w:szCs w:val="20"/>
        </w:rPr>
        <w:t xml:space="preserve">6. </w:t>
      </w:r>
      <w:r>
        <w:rPr>
          <w:rFonts w:ascii="Verdana" w:hAnsi="Verdana" w:cs="Times New Roman"/>
          <w:sz w:val="20"/>
          <w:szCs w:val="20"/>
        </w:rPr>
        <w:tab/>
      </w:r>
      <w:r w:rsidR="00AE22E5" w:rsidRPr="00C84A6F">
        <w:rPr>
          <w:rFonts w:ascii="Verdana" w:hAnsi="Verdana" w:cs="Times New Roman"/>
          <w:sz w:val="20"/>
          <w:szCs w:val="20"/>
        </w:rPr>
        <w:t xml:space="preserve">En </w:t>
      </w:r>
      <w:r w:rsidR="00856B94" w:rsidRPr="00C84A6F">
        <w:rPr>
          <w:rFonts w:ascii="Verdana" w:hAnsi="Verdana" w:cs="Times New Roman"/>
          <w:sz w:val="20"/>
          <w:szCs w:val="20"/>
        </w:rPr>
        <w:t>términos</w:t>
      </w:r>
      <w:r w:rsidR="00AE22E5" w:rsidRPr="00C84A6F">
        <w:rPr>
          <w:rFonts w:ascii="Verdana" w:hAnsi="Verdana" w:cs="Times New Roman"/>
          <w:sz w:val="20"/>
          <w:szCs w:val="20"/>
        </w:rPr>
        <w:t xml:space="preserve"> convencionales el debido proceso se traduce centralmente en las </w:t>
      </w:r>
      <w:r w:rsidR="00856B94" w:rsidRPr="00C84A6F">
        <w:rPr>
          <w:rFonts w:ascii="Verdana" w:hAnsi="Verdana" w:cs="Times New Roman"/>
          <w:i/>
          <w:sz w:val="20"/>
          <w:szCs w:val="20"/>
        </w:rPr>
        <w:t>garantías</w:t>
      </w:r>
      <w:r w:rsidR="00AE22E5" w:rsidRPr="00C84A6F">
        <w:rPr>
          <w:rFonts w:ascii="Verdana" w:hAnsi="Verdana" w:cs="Times New Roman"/>
          <w:i/>
          <w:sz w:val="20"/>
          <w:szCs w:val="20"/>
        </w:rPr>
        <w:t xml:space="preserve"> judiciales</w:t>
      </w:r>
      <w:r w:rsidR="00AE22E5" w:rsidRPr="00C84A6F">
        <w:rPr>
          <w:rFonts w:ascii="Verdana" w:hAnsi="Verdana" w:cs="Times New Roman"/>
          <w:sz w:val="20"/>
          <w:szCs w:val="20"/>
        </w:rPr>
        <w:t xml:space="preserve"> reconocidas en el </w:t>
      </w:r>
      <w:r w:rsidR="00856B94" w:rsidRPr="00C84A6F">
        <w:rPr>
          <w:rFonts w:ascii="Verdana" w:hAnsi="Verdana" w:cs="Times New Roman"/>
          <w:sz w:val="20"/>
          <w:szCs w:val="20"/>
        </w:rPr>
        <w:t>artículo</w:t>
      </w:r>
      <w:r w:rsidR="00AE22E5" w:rsidRPr="00C84A6F">
        <w:rPr>
          <w:rFonts w:ascii="Verdana" w:hAnsi="Verdana" w:cs="Times New Roman"/>
          <w:sz w:val="20"/>
          <w:szCs w:val="20"/>
        </w:rPr>
        <w:t xml:space="preserve"> 8 de la </w:t>
      </w:r>
      <w:r w:rsidR="00856B94" w:rsidRPr="00C84A6F">
        <w:rPr>
          <w:rFonts w:ascii="Verdana" w:hAnsi="Verdana" w:cs="Times New Roman"/>
          <w:sz w:val="20"/>
          <w:szCs w:val="20"/>
        </w:rPr>
        <w:t>Convención</w:t>
      </w:r>
      <w:r w:rsidR="00AE22E5" w:rsidRPr="00C84A6F">
        <w:rPr>
          <w:rFonts w:ascii="Verdana" w:hAnsi="Verdana" w:cs="Times New Roman"/>
          <w:sz w:val="20"/>
          <w:szCs w:val="20"/>
        </w:rPr>
        <w:t xml:space="preserve"> Americana. La referida </w:t>
      </w:r>
      <w:r w:rsidR="00856B94" w:rsidRPr="00C84A6F">
        <w:rPr>
          <w:rFonts w:ascii="Verdana" w:hAnsi="Verdana" w:cs="Times New Roman"/>
          <w:sz w:val="20"/>
          <w:szCs w:val="20"/>
        </w:rPr>
        <w:t>disposición</w:t>
      </w:r>
      <w:r w:rsidR="00AE22E5" w:rsidRPr="00C84A6F">
        <w:rPr>
          <w:rFonts w:ascii="Verdana" w:hAnsi="Verdana" w:cs="Times New Roman"/>
          <w:sz w:val="20"/>
          <w:szCs w:val="20"/>
        </w:rPr>
        <w:t xml:space="preserve"> convencional contempla un sistema de </w:t>
      </w:r>
      <w:r w:rsidR="00856B94" w:rsidRPr="00C84A6F">
        <w:rPr>
          <w:rFonts w:ascii="Verdana" w:hAnsi="Verdana" w:cs="Times New Roman"/>
          <w:sz w:val="20"/>
          <w:szCs w:val="20"/>
        </w:rPr>
        <w:t>garantías</w:t>
      </w:r>
      <w:r w:rsidR="00AE22E5" w:rsidRPr="00C84A6F">
        <w:rPr>
          <w:rFonts w:ascii="Verdana" w:hAnsi="Verdana" w:cs="Times New Roman"/>
          <w:sz w:val="20"/>
          <w:szCs w:val="20"/>
        </w:rPr>
        <w:t xml:space="preserve"> </w:t>
      </w:r>
      <w:r w:rsidR="004B2D72">
        <w:rPr>
          <w:rFonts w:ascii="Verdana" w:hAnsi="Verdana" w:cs="Times New Roman"/>
          <w:sz w:val="20"/>
          <w:szCs w:val="20"/>
        </w:rPr>
        <w:t xml:space="preserve">(en realidad auténticos </w:t>
      </w:r>
      <w:r w:rsidR="0062665D">
        <w:rPr>
          <w:rFonts w:ascii="Verdana" w:hAnsi="Verdana" w:cs="Times New Roman"/>
          <w:sz w:val="20"/>
          <w:szCs w:val="20"/>
        </w:rPr>
        <w:t xml:space="preserve">derechos) </w:t>
      </w:r>
      <w:r w:rsidR="00AE22E5" w:rsidRPr="00C84A6F">
        <w:rPr>
          <w:rFonts w:ascii="Verdana" w:hAnsi="Verdana" w:cs="Times New Roman"/>
          <w:sz w:val="20"/>
          <w:szCs w:val="20"/>
        </w:rPr>
        <w:t>que condicionan el ejercicio del</w:t>
      </w:r>
      <w:r w:rsidR="00AE22E5" w:rsidRPr="00C84A6F">
        <w:rPr>
          <w:rFonts w:ascii="Verdana" w:hAnsi="Verdana" w:cs="Times New Roman"/>
          <w:i/>
          <w:sz w:val="20"/>
          <w:szCs w:val="20"/>
        </w:rPr>
        <w:t xml:space="preserve"> </w:t>
      </w:r>
      <w:proofErr w:type="spellStart"/>
      <w:r w:rsidR="00AE22E5" w:rsidRPr="00C84A6F">
        <w:rPr>
          <w:rFonts w:ascii="Verdana" w:hAnsi="Verdana" w:cs="Times New Roman"/>
          <w:i/>
          <w:sz w:val="20"/>
          <w:szCs w:val="20"/>
        </w:rPr>
        <w:t>ius</w:t>
      </w:r>
      <w:proofErr w:type="spellEnd"/>
      <w:r w:rsidR="00AE22E5" w:rsidRPr="00C84A6F">
        <w:rPr>
          <w:rFonts w:ascii="Verdana" w:hAnsi="Verdana" w:cs="Times New Roman"/>
          <w:i/>
          <w:sz w:val="20"/>
          <w:szCs w:val="20"/>
        </w:rPr>
        <w:t xml:space="preserve"> </w:t>
      </w:r>
      <w:proofErr w:type="spellStart"/>
      <w:r w:rsidR="00AE22E5" w:rsidRPr="00C84A6F">
        <w:rPr>
          <w:rFonts w:ascii="Verdana" w:hAnsi="Verdana" w:cs="Times New Roman"/>
          <w:i/>
          <w:sz w:val="20"/>
          <w:szCs w:val="20"/>
        </w:rPr>
        <w:t>puniendi</w:t>
      </w:r>
      <w:proofErr w:type="spellEnd"/>
      <w:r w:rsidR="00AE22E5" w:rsidRPr="00C84A6F">
        <w:rPr>
          <w:rFonts w:ascii="Verdana,Italic" w:hAnsi="Verdana,Italic" w:cs="Times New Roman"/>
          <w:sz w:val="20"/>
          <w:szCs w:val="20"/>
        </w:rPr>
        <w:t xml:space="preserve"> </w:t>
      </w:r>
      <w:r w:rsidR="00AE22E5" w:rsidRPr="00C84A6F">
        <w:rPr>
          <w:rFonts w:ascii="Verdana" w:hAnsi="Verdana" w:cs="Times New Roman"/>
          <w:sz w:val="20"/>
          <w:szCs w:val="20"/>
        </w:rPr>
        <w:t xml:space="preserve">del Estado y que buscan asegurar que el inculpado o imputado no sea sometido a decisiones arbitrarias, toda vez que se </w:t>
      </w:r>
      <w:r w:rsidR="00AE22E5" w:rsidRPr="00C84A6F">
        <w:rPr>
          <w:rFonts w:ascii="Verdana" w:hAnsi="Verdana" w:cs="Times New Roman"/>
          <w:sz w:val="20"/>
          <w:szCs w:val="20"/>
        </w:rPr>
        <w:lastRenderedPageBreak/>
        <w:t xml:space="preserve">deben observar </w:t>
      </w:r>
      <w:r w:rsidR="00AE22E5" w:rsidRPr="00C84A6F">
        <w:rPr>
          <w:rFonts w:ascii="Verdana" w:hAnsi="Verdana" w:cs="Times New Roman"/>
          <w:i/>
          <w:sz w:val="20"/>
          <w:szCs w:val="20"/>
        </w:rPr>
        <w:t xml:space="preserve">las debidas </w:t>
      </w:r>
      <w:r w:rsidR="00856B94" w:rsidRPr="00C84A6F">
        <w:rPr>
          <w:rFonts w:ascii="Verdana" w:hAnsi="Verdana" w:cs="Times New Roman"/>
          <w:i/>
          <w:sz w:val="20"/>
          <w:szCs w:val="20"/>
        </w:rPr>
        <w:t>garantías</w:t>
      </w:r>
      <w:r w:rsidR="00AE22E5" w:rsidRPr="00C84A6F">
        <w:rPr>
          <w:rFonts w:ascii="Verdana" w:hAnsi="Verdana" w:cs="Times New Roman"/>
          <w:sz w:val="20"/>
          <w:szCs w:val="20"/>
        </w:rPr>
        <w:t xml:space="preserve"> que aseguren, </w:t>
      </w:r>
      <w:r w:rsidR="00856B94" w:rsidRPr="00C84A6F">
        <w:rPr>
          <w:rFonts w:ascii="Verdana" w:hAnsi="Verdana" w:cs="Times New Roman"/>
          <w:sz w:val="20"/>
          <w:szCs w:val="20"/>
        </w:rPr>
        <w:t>según</w:t>
      </w:r>
      <w:r w:rsidR="00AE22E5" w:rsidRPr="00C84A6F">
        <w:rPr>
          <w:rFonts w:ascii="Verdana" w:hAnsi="Verdana" w:cs="Times New Roman"/>
          <w:sz w:val="20"/>
          <w:szCs w:val="20"/>
        </w:rPr>
        <w:t xml:space="preserve"> el procedimiento de que se trat</w:t>
      </w:r>
      <w:r w:rsidR="00A01A24" w:rsidRPr="00C84A6F">
        <w:rPr>
          <w:rFonts w:ascii="Verdana" w:hAnsi="Verdana" w:cs="Times New Roman"/>
          <w:sz w:val="20"/>
          <w:szCs w:val="20"/>
        </w:rPr>
        <w:t>e, el derecho al debido proceso</w:t>
      </w:r>
      <w:r w:rsidR="00BB6942" w:rsidRPr="00C84A6F">
        <w:rPr>
          <w:rStyle w:val="FootnoteReference"/>
          <w:rFonts w:ascii="Verdana" w:hAnsi="Verdana" w:cs="Times New Roman"/>
          <w:sz w:val="20"/>
          <w:szCs w:val="20"/>
        </w:rPr>
        <w:footnoteReference w:id="6"/>
      </w:r>
      <w:r w:rsidR="00A01A24" w:rsidRPr="00C84A6F">
        <w:rPr>
          <w:rFonts w:ascii="Verdana" w:hAnsi="Verdana" w:cs="Times New Roman"/>
          <w:sz w:val="20"/>
          <w:szCs w:val="20"/>
        </w:rPr>
        <w:t xml:space="preserve">. </w:t>
      </w:r>
      <w:r w:rsidR="00BB6942" w:rsidRPr="00C84A6F">
        <w:rPr>
          <w:rFonts w:ascii="Verdana" w:hAnsi="Verdana"/>
          <w:sz w:val="20"/>
          <w:szCs w:val="20"/>
        </w:rPr>
        <w:t>Así,</w:t>
      </w:r>
      <w:r w:rsidR="007B77A9" w:rsidRPr="00C84A6F">
        <w:rPr>
          <w:rFonts w:ascii="Verdana" w:hAnsi="Verdana"/>
          <w:sz w:val="20"/>
          <w:szCs w:val="20"/>
        </w:rPr>
        <w:t xml:space="preserve"> </w:t>
      </w:r>
      <w:r w:rsidR="00BB6942" w:rsidRPr="00C84A6F">
        <w:rPr>
          <w:rFonts w:ascii="Verdana" w:hAnsi="Verdana"/>
          <w:sz w:val="20"/>
          <w:szCs w:val="20"/>
        </w:rPr>
        <w:t xml:space="preserve">las garantías consagradas en el </w:t>
      </w:r>
      <w:r w:rsidR="00993381" w:rsidRPr="00C84A6F">
        <w:rPr>
          <w:rFonts w:ascii="Verdana" w:hAnsi="Verdana"/>
          <w:sz w:val="20"/>
          <w:szCs w:val="20"/>
        </w:rPr>
        <w:t>artículo</w:t>
      </w:r>
      <w:r w:rsidR="00BB6942" w:rsidRPr="00C84A6F">
        <w:rPr>
          <w:rFonts w:ascii="Verdana" w:hAnsi="Verdana"/>
          <w:sz w:val="20"/>
          <w:szCs w:val="20"/>
        </w:rPr>
        <w:t xml:space="preserve"> 8 del Pacto de San José</w:t>
      </w:r>
      <w:r w:rsidR="007F0D1A" w:rsidRPr="00C84A6F">
        <w:rPr>
          <w:rFonts w:ascii="Verdana" w:hAnsi="Verdana"/>
          <w:sz w:val="20"/>
          <w:szCs w:val="20"/>
        </w:rPr>
        <w:t xml:space="preserve"> consisten en el derecho de toda persona a ser </w:t>
      </w:r>
      <w:r w:rsidR="00B043DB" w:rsidRPr="00C84A6F">
        <w:rPr>
          <w:rFonts w:ascii="Verdana" w:hAnsi="Verdana"/>
          <w:sz w:val="20"/>
          <w:szCs w:val="20"/>
        </w:rPr>
        <w:t>oída</w:t>
      </w:r>
      <w:r w:rsidR="007F0D1A" w:rsidRPr="00C84A6F">
        <w:rPr>
          <w:rFonts w:ascii="Verdana" w:hAnsi="Verdana"/>
          <w:sz w:val="20"/>
          <w:szCs w:val="20"/>
        </w:rPr>
        <w:t xml:space="preserve"> con las debidas </w:t>
      </w:r>
      <w:r w:rsidR="00B043DB" w:rsidRPr="00C84A6F">
        <w:rPr>
          <w:rFonts w:ascii="Verdana" w:hAnsi="Verdana"/>
          <w:sz w:val="20"/>
          <w:szCs w:val="20"/>
        </w:rPr>
        <w:t>garantías</w:t>
      </w:r>
      <w:r w:rsidR="007F0D1A" w:rsidRPr="00C84A6F">
        <w:rPr>
          <w:rFonts w:ascii="Verdana" w:hAnsi="Verdana"/>
          <w:sz w:val="20"/>
          <w:szCs w:val="20"/>
        </w:rPr>
        <w:t xml:space="preserve"> y dentro de un plazo razonable por un juez o tribunal competente, independiente e imparcial, establecido con anterioridad por la ley, en la </w:t>
      </w:r>
      <w:r w:rsidR="00B043DB" w:rsidRPr="00C84A6F">
        <w:rPr>
          <w:rFonts w:ascii="Verdana" w:hAnsi="Verdana"/>
          <w:sz w:val="20"/>
          <w:szCs w:val="20"/>
        </w:rPr>
        <w:t>sustanciación</w:t>
      </w:r>
      <w:r w:rsidR="007F0D1A" w:rsidRPr="00C84A6F">
        <w:rPr>
          <w:rFonts w:ascii="Verdana" w:hAnsi="Verdana"/>
          <w:sz w:val="20"/>
          <w:szCs w:val="20"/>
        </w:rPr>
        <w:t xml:space="preserve"> de cualquier </w:t>
      </w:r>
      <w:r w:rsidR="00AE22E5" w:rsidRPr="00C84A6F">
        <w:rPr>
          <w:rFonts w:ascii="Verdana" w:hAnsi="Verdana"/>
          <w:sz w:val="20"/>
          <w:szCs w:val="20"/>
        </w:rPr>
        <w:t>acusación</w:t>
      </w:r>
      <w:r w:rsidR="007F0D1A" w:rsidRPr="00C84A6F">
        <w:rPr>
          <w:rFonts w:ascii="Verdana" w:hAnsi="Verdana"/>
          <w:sz w:val="20"/>
          <w:szCs w:val="20"/>
        </w:rPr>
        <w:t xml:space="preserve"> penal formulada en su contra</w:t>
      </w:r>
      <w:r w:rsidR="007B77A9" w:rsidRPr="00C84A6F">
        <w:rPr>
          <w:rStyle w:val="FootnoteReference"/>
          <w:rFonts w:ascii="Verdana" w:hAnsi="Verdana"/>
          <w:sz w:val="20"/>
          <w:szCs w:val="20"/>
        </w:rPr>
        <w:footnoteReference w:id="7"/>
      </w:r>
      <w:r w:rsidR="007B77A9" w:rsidRPr="00C84A6F">
        <w:rPr>
          <w:rFonts w:ascii="Verdana" w:hAnsi="Verdana"/>
          <w:sz w:val="20"/>
          <w:szCs w:val="20"/>
        </w:rPr>
        <w:t>.</w:t>
      </w:r>
      <w:r w:rsidR="007F0D1A" w:rsidRPr="00C84A6F">
        <w:rPr>
          <w:rFonts w:ascii="Verdana" w:hAnsi="Verdana"/>
          <w:sz w:val="20"/>
          <w:szCs w:val="20"/>
        </w:rPr>
        <w:t xml:space="preserve"> Al respecto, y en consonancia con lo anterior, la jurisprudencia de la Corte </w:t>
      </w:r>
      <w:r w:rsidR="0062665D">
        <w:rPr>
          <w:rFonts w:ascii="Verdana" w:hAnsi="Verdana"/>
          <w:sz w:val="20"/>
          <w:szCs w:val="20"/>
        </w:rPr>
        <w:t xml:space="preserve">IDH </w:t>
      </w:r>
      <w:r w:rsidR="007F0D1A" w:rsidRPr="00C84A6F">
        <w:rPr>
          <w:rFonts w:ascii="Verdana" w:hAnsi="Verdana"/>
          <w:sz w:val="20"/>
          <w:szCs w:val="20"/>
        </w:rPr>
        <w:t xml:space="preserve">ha desarrollado </w:t>
      </w:r>
      <w:r w:rsidR="00A52352" w:rsidRPr="00C84A6F">
        <w:rPr>
          <w:rFonts w:ascii="Verdana" w:hAnsi="Verdana"/>
          <w:sz w:val="20"/>
          <w:szCs w:val="20"/>
        </w:rPr>
        <w:t>de manera amplia, las garantías procesale</w:t>
      </w:r>
      <w:r w:rsidR="00B043DB" w:rsidRPr="00C84A6F">
        <w:rPr>
          <w:rFonts w:ascii="Verdana" w:hAnsi="Verdana"/>
          <w:sz w:val="20"/>
          <w:szCs w:val="20"/>
        </w:rPr>
        <w:t xml:space="preserve">s establecidas en el artículo 8.1 que abarcan el derecho a ser oído en el proceso, a ser juzgado ante un tribunal competente e imparcial, el deber de motivar las resoluciones, a obtener una resolución dentro de un plazo razonable y el derecho de defensa dentro de todo procedimiento llevado en contra del inculpado. </w:t>
      </w:r>
    </w:p>
    <w:p w14:paraId="446869C4" w14:textId="77777777" w:rsidR="00C84A6F" w:rsidRPr="00C84A6F" w:rsidRDefault="00C84A6F" w:rsidP="000E6EDD">
      <w:pPr>
        <w:pStyle w:val="ListParagraph"/>
        <w:ind w:left="0"/>
        <w:jc w:val="both"/>
        <w:rPr>
          <w:rFonts w:ascii="Verdana" w:hAnsi="Verdana"/>
          <w:sz w:val="20"/>
          <w:szCs w:val="20"/>
        </w:rPr>
      </w:pPr>
    </w:p>
    <w:p w14:paraId="7339BA7C" w14:textId="0058BBAB" w:rsidR="000273EF" w:rsidRPr="00C84A6F" w:rsidRDefault="00660B00" w:rsidP="000E6EDD">
      <w:pPr>
        <w:pStyle w:val="ListParagraph"/>
        <w:ind w:left="0"/>
        <w:jc w:val="both"/>
        <w:rPr>
          <w:rFonts w:ascii="Verdana" w:hAnsi="Verdana"/>
          <w:sz w:val="20"/>
          <w:szCs w:val="20"/>
        </w:rPr>
      </w:pPr>
      <w:r>
        <w:rPr>
          <w:rFonts w:ascii="Verdana" w:hAnsi="Verdana"/>
          <w:sz w:val="20"/>
          <w:szCs w:val="20"/>
        </w:rPr>
        <w:t xml:space="preserve">7. </w:t>
      </w:r>
      <w:r>
        <w:rPr>
          <w:rFonts w:ascii="Verdana" w:hAnsi="Verdana"/>
          <w:sz w:val="20"/>
          <w:szCs w:val="20"/>
        </w:rPr>
        <w:tab/>
      </w:r>
      <w:r w:rsidR="00174081" w:rsidRPr="00C84A6F">
        <w:rPr>
          <w:rFonts w:ascii="Verdana" w:hAnsi="Verdana"/>
          <w:sz w:val="20"/>
          <w:szCs w:val="20"/>
        </w:rPr>
        <w:t>En primer lugar, r</w:t>
      </w:r>
      <w:r w:rsidR="00A52352" w:rsidRPr="00C84A6F">
        <w:rPr>
          <w:rFonts w:ascii="Verdana" w:hAnsi="Verdana"/>
          <w:sz w:val="20"/>
          <w:szCs w:val="20"/>
        </w:rPr>
        <w:t xml:space="preserve">especto al </w:t>
      </w:r>
      <w:r w:rsidR="00B8742C" w:rsidRPr="00C84A6F">
        <w:rPr>
          <w:rFonts w:ascii="Verdana" w:hAnsi="Verdana"/>
          <w:i/>
          <w:sz w:val="20"/>
          <w:szCs w:val="20"/>
        </w:rPr>
        <w:t>d</w:t>
      </w:r>
      <w:r w:rsidR="00A52352" w:rsidRPr="00C84A6F">
        <w:rPr>
          <w:rFonts w:ascii="Verdana" w:hAnsi="Verdana"/>
          <w:i/>
          <w:sz w:val="20"/>
          <w:szCs w:val="20"/>
        </w:rPr>
        <w:t>erecho a ser oído</w:t>
      </w:r>
      <w:r w:rsidR="00A52352" w:rsidRPr="00C84A6F">
        <w:rPr>
          <w:rFonts w:ascii="Verdana" w:hAnsi="Verdana"/>
          <w:sz w:val="20"/>
          <w:szCs w:val="20"/>
        </w:rPr>
        <w:t xml:space="preserve"> en el proceso, el Tribunal I</w:t>
      </w:r>
      <w:r w:rsidR="0062665D">
        <w:rPr>
          <w:rFonts w:ascii="Verdana" w:hAnsi="Verdana"/>
          <w:sz w:val="20"/>
          <w:szCs w:val="20"/>
        </w:rPr>
        <w:t>nteramericano ha expresado que e</w:t>
      </w:r>
      <w:r w:rsidR="00A52352" w:rsidRPr="00C84A6F">
        <w:rPr>
          <w:rFonts w:ascii="Verdana" w:hAnsi="Verdana"/>
          <w:sz w:val="20"/>
          <w:szCs w:val="20"/>
        </w:rPr>
        <w:t>ste derecho exige que toda persona pueda tener acceso al tribunal u órgano estatal encargado de determinar sus derechos y obligaciones</w:t>
      </w:r>
      <w:r w:rsidR="00BB6942" w:rsidRPr="00C84A6F">
        <w:rPr>
          <w:rStyle w:val="FootnoteReference"/>
          <w:rFonts w:ascii="Verdana" w:hAnsi="Verdana"/>
          <w:sz w:val="20"/>
          <w:szCs w:val="20"/>
        </w:rPr>
        <w:footnoteReference w:id="8"/>
      </w:r>
      <w:r w:rsidR="00BB6942" w:rsidRPr="00C84A6F">
        <w:rPr>
          <w:rFonts w:ascii="Verdana" w:hAnsi="Verdana"/>
          <w:sz w:val="20"/>
          <w:szCs w:val="20"/>
        </w:rPr>
        <w:t>.</w:t>
      </w:r>
      <w:r w:rsidR="0062665D">
        <w:rPr>
          <w:rFonts w:ascii="Verdana" w:hAnsi="Verdana"/>
          <w:sz w:val="20"/>
          <w:szCs w:val="20"/>
        </w:rPr>
        <w:t xml:space="preserve"> </w:t>
      </w:r>
      <w:r w:rsidR="00C172A4">
        <w:rPr>
          <w:rFonts w:ascii="Verdana" w:hAnsi="Verdana"/>
          <w:sz w:val="20"/>
          <w:szCs w:val="20"/>
        </w:rPr>
        <w:t>La Corte IDH</w:t>
      </w:r>
      <w:r w:rsidR="00576010" w:rsidRPr="00C84A6F">
        <w:rPr>
          <w:rFonts w:ascii="Verdana" w:hAnsi="Verdana"/>
          <w:sz w:val="20"/>
          <w:szCs w:val="20"/>
        </w:rPr>
        <w:t xml:space="preserve"> ha desarrollado el derecho a ser </w:t>
      </w:r>
      <w:r w:rsidR="00856B94" w:rsidRPr="00C84A6F">
        <w:rPr>
          <w:rFonts w:ascii="Verdana" w:hAnsi="Verdana"/>
          <w:sz w:val="20"/>
          <w:szCs w:val="20"/>
        </w:rPr>
        <w:t>oído</w:t>
      </w:r>
      <w:r w:rsidR="00B87BA1">
        <w:rPr>
          <w:rFonts w:ascii="Verdana" w:hAnsi="Verdana"/>
          <w:sz w:val="20"/>
          <w:szCs w:val="20"/>
        </w:rPr>
        <w:t xml:space="preserve">, </w:t>
      </w:r>
      <w:r w:rsidR="00576010" w:rsidRPr="00C84A6F">
        <w:rPr>
          <w:rFonts w:ascii="Verdana" w:hAnsi="Verdana"/>
          <w:sz w:val="20"/>
          <w:szCs w:val="20"/>
        </w:rPr>
        <w:t xml:space="preserve">protegido en el </w:t>
      </w:r>
      <w:r w:rsidR="00856B94" w:rsidRPr="00C84A6F">
        <w:rPr>
          <w:rFonts w:ascii="Verdana" w:hAnsi="Verdana"/>
          <w:sz w:val="20"/>
          <w:szCs w:val="20"/>
        </w:rPr>
        <w:t>artículo</w:t>
      </w:r>
      <w:r w:rsidR="00576010" w:rsidRPr="00C84A6F">
        <w:rPr>
          <w:rFonts w:ascii="Verdana" w:hAnsi="Verdana"/>
          <w:sz w:val="20"/>
          <w:szCs w:val="20"/>
        </w:rPr>
        <w:t xml:space="preserve"> 8.1 de la </w:t>
      </w:r>
      <w:r w:rsidR="00856B94" w:rsidRPr="00C84A6F">
        <w:rPr>
          <w:rFonts w:ascii="Verdana" w:hAnsi="Verdana"/>
          <w:sz w:val="20"/>
          <w:szCs w:val="20"/>
        </w:rPr>
        <w:t>Convención</w:t>
      </w:r>
      <w:r w:rsidR="00DF019F">
        <w:rPr>
          <w:rFonts w:ascii="Verdana" w:hAnsi="Verdana"/>
          <w:sz w:val="20"/>
          <w:szCs w:val="20"/>
        </w:rPr>
        <w:t xml:space="preserve"> Americana</w:t>
      </w:r>
      <w:r w:rsidR="00B87BA1">
        <w:rPr>
          <w:rFonts w:ascii="Verdana" w:hAnsi="Verdana"/>
          <w:sz w:val="20"/>
          <w:szCs w:val="20"/>
        </w:rPr>
        <w:t>,</w:t>
      </w:r>
      <w:r w:rsidR="00576010" w:rsidRPr="00C84A6F">
        <w:rPr>
          <w:rFonts w:ascii="Verdana" w:hAnsi="Verdana"/>
          <w:sz w:val="20"/>
          <w:szCs w:val="20"/>
        </w:rPr>
        <w:t xml:space="preserve"> en el sentido general de comprender el derecho de toda persona a tener acceso al tribunal u </w:t>
      </w:r>
      <w:r w:rsidR="00856B94" w:rsidRPr="00C84A6F">
        <w:rPr>
          <w:rFonts w:ascii="Verdana" w:hAnsi="Verdana"/>
          <w:sz w:val="20"/>
          <w:szCs w:val="20"/>
        </w:rPr>
        <w:t>órgano</w:t>
      </w:r>
      <w:r w:rsidR="00576010" w:rsidRPr="00C84A6F">
        <w:rPr>
          <w:rFonts w:ascii="Verdana" w:hAnsi="Verdana"/>
          <w:sz w:val="20"/>
          <w:szCs w:val="20"/>
        </w:rPr>
        <w:t xml:space="preserve"> estatal encargado de determinar sus derechos y obligaciones</w:t>
      </w:r>
      <w:r w:rsidR="007F7B3D" w:rsidRPr="00C84A6F">
        <w:rPr>
          <w:rStyle w:val="FootnoteReference"/>
          <w:rFonts w:ascii="Verdana" w:hAnsi="Verdana"/>
          <w:sz w:val="20"/>
          <w:szCs w:val="20"/>
        </w:rPr>
        <w:footnoteReference w:id="9"/>
      </w:r>
      <w:r w:rsidR="00A9436C" w:rsidRPr="00C84A6F">
        <w:rPr>
          <w:rFonts w:ascii="Verdana" w:hAnsi="Verdana"/>
          <w:sz w:val="20"/>
          <w:szCs w:val="20"/>
        </w:rPr>
        <w:t xml:space="preserve">. </w:t>
      </w:r>
      <w:r w:rsidR="00AD5EE9">
        <w:rPr>
          <w:rFonts w:ascii="Verdana" w:hAnsi="Verdana"/>
          <w:sz w:val="20"/>
          <w:szCs w:val="20"/>
        </w:rPr>
        <w:t>L</w:t>
      </w:r>
      <w:r w:rsidR="00576010" w:rsidRPr="00C84A6F">
        <w:rPr>
          <w:rFonts w:ascii="Verdana" w:hAnsi="Verdana"/>
          <w:sz w:val="20"/>
          <w:szCs w:val="20"/>
        </w:rPr>
        <w:t>a Corte</w:t>
      </w:r>
      <w:r w:rsidR="003809A3">
        <w:rPr>
          <w:rFonts w:ascii="Verdana" w:hAnsi="Verdana"/>
          <w:sz w:val="20"/>
          <w:szCs w:val="20"/>
        </w:rPr>
        <w:t xml:space="preserve"> IDH</w:t>
      </w:r>
      <w:r w:rsidR="00576010" w:rsidRPr="00C84A6F">
        <w:rPr>
          <w:rFonts w:ascii="Verdana" w:hAnsi="Verdana"/>
          <w:sz w:val="20"/>
          <w:szCs w:val="20"/>
        </w:rPr>
        <w:t xml:space="preserve">, </w:t>
      </w:r>
      <w:r w:rsidR="00B8742C" w:rsidRPr="00C84A6F">
        <w:rPr>
          <w:rFonts w:ascii="Verdana" w:hAnsi="Verdana"/>
          <w:sz w:val="20"/>
          <w:szCs w:val="20"/>
        </w:rPr>
        <w:t>sobre este derecho</w:t>
      </w:r>
      <w:r w:rsidR="00B87BA1">
        <w:rPr>
          <w:rFonts w:ascii="Verdana" w:hAnsi="Verdana"/>
          <w:sz w:val="20"/>
          <w:szCs w:val="20"/>
        </w:rPr>
        <w:t>,</w:t>
      </w:r>
      <w:r w:rsidR="00B8742C" w:rsidRPr="00C84A6F">
        <w:rPr>
          <w:rFonts w:ascii="Verdana" w:hAnsi="Verdana"/>
          <w:sz w:val="20"/>
          <w:szCs w:val="20"/>
        </w:rPr>
        <w:t xml:space="preserve"> ha reconocido que el derecho a ser oído comprende dos ámbitos</w:t>
      </w:r>
      <w:r w:rsidR="00576010" w:rsidRPr="00C84A6F">
        <w:rPr>
          <w:rFonts w:ascii="Verdana" w:hAnsi="Verdana"/>
          <w:sz w:val="20"/>
          <w:szCs w:val="20"/>
        </w:rPr>
        <w:t xml:space="preserve">: por un lado, </w:t>
      </w:r>
      <w:r w:rsidR="00576010" w:rsidRPr="00C84A6F">
        <w:rPr>
          <w:rFonts w:ascii="Verdana" w:hAnsi="Verdana"/>
          <w:i/>
          <w:sz w:val="20"/>
          <w:szCs w:val="20"/>
        </w:rPr>
        <w:t xml:space="preserve">un </w:t>
      </w:r>
      <w:r w:rsidR="00856B94" w:rsidRPr="00C84A6F">
        <w:rPr>
          <w:rFonts w:ascii="Verdana" w:hAnsi="Verdana"/>
          <w:i/>
          <w:sz w:val="20"/>
          <w:szCs w:val="20"/>
        </w:rPr>
        <w:t>ámbito</w:t>
      </w:r>
      <w:r w:rsidR="00576010" w:rsidRPr="00C84A6F">
        <w:rPr>
          <w:rFonts w:ascii="Verdana" w:hAnsi="Verdana"/>
          <w:i/>
          <w:sz w:val="20"/>
          <w:szCs w:val="20"/>
        </w:rPr>
        <w:t xml:space="preserve"> formal y procesal</w:t>
      </w:r>
      <w:r w:rsidR="00576010" w:rsidRPr="00C84A6F">
        <w:rPr>
          <w:rFonts w:ascii="Verdana" w:hAnsi="Verdana"/>
          <w:sz w:val="20"/>
          <w:szCs w:val="20"/>
        </w:rPr>
        <w:t xml:space="preserve"> de asegurar el acceso al </w:t>
      </w:r>
      <w:r w:rsidR="00856B94" w:rsidRPr="00C84A6F">
        <w:rPr>
          <w:rFonts w:ascii="Verdana" w:hAnsi="Verdana"/>
          <w:sz w:val="20"/>
          <w:szCs w:val="20"/>
        </w:rPr>
        <w:t>órgano</w:t>
      </w:r>
      <w:r w:rsidR="00576010" w:rsidRPr="00C84A6F">
        <w:rPr>
          <w:rFonts w:ascii="Verdana" w:hAnsi="Verdana"/>
          <w:sz w:val="20"/>
          <w:szCs w:val="20"/>
        </w:rPr>
        <w:t xml:space="preserve"> competente para que determine el derecho que se reclama en apego a las debidas </w:t>
      </w:r>
      <w:r w:rsidR="00856B94" w:rsidRPr="00C84A6F">
        <w:rPr>
          <w:rFonts w:ascii="Verdana" w:hAnsi="Verdana"/>
          <w:sz w:val="20"/>
          <w:szCs w:val="20"/>
        </w:rPr>
        <w:t>garantías</w:t>
      </w:r>
      <w:r w:rsidR="00576010" w:rsidRPr="00C84A6F">
        <w:rPr>
          <w:rFonts w:ascii="Verdana" w:hAnsi="Verdana"/>
          <w:sz w:val="20"/>
          <w:szCs w:val="20"/>
        </w:rPr>
        <w:t xml:space="preserve"> procesales (tales como la </w:t>
      </w:r>
      <w:r w:rsidR="00856B94" w:rsidRPr="00C84A6F">
        <w:rPr>
          <w:rFonts w:ascii="Verdana" w:hAnsi="Verdana"/>
          <w:sz w:val="20"/>
          <w:szCs w:val="20"/>
        </w:rPr>
        <w:t>presentación</w:t>
      </w:r>
      <w:r w:rsidR="00576010" w:rsidRPr="00C84A6F">
        <w:rPr>
          <w:rFonts w:ascii="Verdana" w:hAnsi="Verdana"/>
          <w:sz w:val="20"/>
          <w:szCs w:val="20"/>
        </w:rPr>
        <w:t xml:space="preserve"> de alegatos y la </w:t>
      </w:r>
      <w:r w:rsidR="00856B94" w:rsidRPr="00C84A6F">
        <w:rPr>
          <w:rFonts w:ascii="Verdana" w:hAnsi="Verdana"/>
          <w:sz w:val="20"/>
          <w:szCs w:val="20"/>
        </w:rPr>
        <w:t>aportación</w:t>
      </w:r>
      <w:r w:rsidR="00576010" w:rsidRPr="00C84A6F">
        <w:rPr>
          <w:rFonts w:ascii="Verdana" w:hAnsi="Verdana"/>
          <w:sz w:val="20"/>
          <w:szCs w:val="20"/>
        </w:rPr>
        <w:t xml:space="preserve"> de prueba). Por otra parte, ese derecho abarca un </w:t>
      </w:r>
      <w:r w:rsidR="00856B94" w:rsidRPr="00C84A6F">
        <w:rPr>
          <w:rFonts w:ascii="Verdana" w:hAnsi="Verdana"/>
          <w:i/>
          <w:sz w:val="20"/>
          <w:szCs w:val="20"/>
        </w:rPr>
        <w:t>ámbito</w:t>
      </w:r>
      <w:r w:rsidR="00576010" w:rsidRPr="00C84A6F">
        <w:rPr>
          <w:rFonts w:ascii="Verdana" w:hAnsi="Verdana"/>
          <w:i/>
          <w:sz w:val="20"/>
          <w:szCs w:val="20"/>
        </w:rPr>
        <w:t xml:space="preserve"> de </w:t>
      </w:r>
      <w:r w:rsidR="00856B94" w:rsidRPr="00C84A6F">
        <w:rPr>
          <w:rFonts w:ascii="Verdana" w:hAnsi="Verdana"/>
          <w:i/>
          <w:sz w:val="20"/>
          <w:szCs w:val="20"/>
        </w:rPr>
        <w:t>protección</w:t>
      </w:r>
      <w:r w:rsidR="00576010" w:rsidRPr="00C84A6F">
        <w:rPr>
          <w:rFonts w:ascii="Verdana" w:hAnsi="Verdana"/>
          <w:i/>
          <w:sz w:val="20"/>
          <w:szCs w:val="20"/>
        </w:rPr>
        <w:t xml:space="preserve"> material</w:t>
      </w:r>
      <w:r w:rsidR="00576010" w:rsidRPr="00C84A6F">
        <w:rPr>
          <w:rFonts w:ascii="Verdana" w:hAnsi="Verdana"/>
          <w:sz w:val="20"/>
          <w:szCs w:val="20"/>
        </w:rPr>
        <w:t xml:space="preserve"> que implica que el Estado garantice que la </w:t>
      </w:r>
      <w:r w:rsidR="00856B94" w:rsidRPr="00C84A6F">
        <w:rPr>
          <w:rFonts w:ascii="Verdana" w:hAnsi="Verdana"/>
          <w:sz w:val="20"/>
          <w:szCs w:val="20"/>
        </w:rPr>
        <w:t>decisión</w:t>
      </w:r>
      <w:r w:rsidR="00576010" w:rsidRPr="00C84A6F">
        <w:rPr>
          <w:rFonts w:ascii="Verdana" w:hAnsi="Verdana"/>
          <w:sz w:val="20"/>
          <w:szCs w:val="20"/>
        </w:rPr>
        <w:t xml:space="preserve"> que se produzca a </w:t>
      </w:r>
      <w:r w:rsidR="00D90036" w:rsidRPr="00C84A6F">
        <w:rPr>
          <w:rFonts w:ascii="Verdana" w:hAnsi="Verdana"/>
          <w:sz w:val="20"/>
          <w:szCs w:val="20"/>
        </w:rPr>
        <w:t>través</w:t>
      </w:r>
      <w:r w:rsidR="00576010" w:rsidRPr="00C84A6F">
        <w:rPr>
          <w:rFonts w:ascii="Verdana" w:hAnsi="Verdana"/>
          <w:sz w:val="20"/>
          <w:szCs w:val="20"/>
        </w:rPr>
        <w:t xml:space="preserve"> del procedimiento satisfaga el fin para el cual fue concebido</w:t>
      </w:r>
      <w:r w:rsidR="00A9436C" w:rsidRPr="00C84A6F">
        <w:rPr>
          <w:rStyle w:val="FootnoteReference"/>
          <w:rFonts w:ascii="Verdana" w:hAnsi="Verdana"/>
          <w:sz w:val="20"/>
          <w:szCs w:val="20"/>
        </w:rPr>
        <w:footnoteReference w:id="10"/>
      </w:r>
      <w:r w:rsidR="00576010" w:rsidRPr="00C84A6F">
        <w:rPr>
          <w:rFonts w:ascii="Verdana" w:hAnsi="Verdana"/>
          <w:sz w:val="20"/>
          <w:szCs w:val="20"/>
        </w:rPr>
        <w:t>.</w:t>
      </w:r>
    </w:p>
    <w:p w14:paraId="000DEE20" w14:textId="77777777" w:rsidR="000273EF" w:rsidRPr="00C84A6F" w:rsidRDefault="000273EF" w:rsidP="000E6EDD">
      <w:pPr>
        <w:pStyle w:val="ListParagraph"/>
        <w:ind w:left="0"/>
        <w:jc w:val="both"/>
        <w:rPr>
          <w:rFonts w:ascii="Verdana" w:hAnsi="Verdana"/>
          <w:sz w:val="20"/>
          <w:szCs w:val="20"/>
        </w:rPr>
      </w:pPr>
    </w:p>
    <w:p w14:paraId="0D19820F" w14:textId="445649F8" w:rsidR="00C85C66" w:rsidRPr="00C84A6F" w:rsidRDefault="00660B00" w:rsidP="000E6EDD">
      <w:pPr>
        <w:pStyle w:val="ListParagraph"/>
        <w:ind w:left="0"/>
        <w:jc w:val="both"/>
        <w:rPr>
          <w:rFonts w:ascii="Verdana" w:hAnsi="Verdana"/>
          <w:sz w:val="20"/>
          <w:szCs w:val="20"/>
        </w:rPr>
      </w:pPr>
      <w:r>
        <w:rPr>
          <w:rFonts w:ascii="Verdana" w:hAnsi="Verdana"/>
          <w:sz w:val="20"/>
          <w:szCs w:val="20"/>
        </w:rPr>
        <w:t xml:space="preserve">8. </w:t>
      </w:r>
      <w:r>
        <w:rPr>
          <w:rFonts w:ascii="Verdana" w:hAnsi="Verdana"/>
          <w:sz w:val="20"/>
          <w:szCs w:val="20"/>
        </w:rPr>
        <w:tab/>
      </w:r>
      <w:r w:rsidR="00C85C66" w:rsidRPr="00C84A6F">
        <w:rPr>
          <w:rFonts w:ascii="Verdana" w:hAnsi="Verdana"/>
          <w:sz w:val="20"/>
          <w:szCs w:val="20"/>
        </w:rPr>
        <w:t>En segundo lugar, en lo relativo</w:t>
      </w:r>
      <w:r w:rsidR="00576010" w:rsidRPr="00C84A6F">
        <w:rPr>
          <w:rFonts w:ascii="Verdana" w:hAnsi="Verdana"/>
          <w:sz w:val="20"/>
          <w:szCs w:val="20"/>
        </w:rPr>
        <w:t xml:space="preserve"> al </w:t>
      </w:r>
      <w:r w:rsidR="00576010" w:rsidRPr="00C84A6F">
        <w:rPr>
          <w:rFonts w:ascii="Verdana" w:hAnsi="Verdana"/>
          <w:i/>
          <w:sz w:val="20"/>
          <w:szCs w:val="20"/>
        </w:rPr>
        <w:t>derecho a un debido proceso ante un juez o tribunal competente, independiente e imparcial, establecido con anterioridad por ley</w:t>
      </w:r>
      <w:r w:rsidR="00576010" w:rsidRPr="00C84A6F">
        <w:rPr>
          <w:rFonts w:ascii="Verdana" w:hAnsi="Verdana"/>
          <w:sz w:val="20"/>
          <w:szCs w:val="20"/>
        </w:rPr>
        <w:t>, la Corte</w:t>
      </w:r>
      <w:r w:rsidR="000B6820">
        <w:rPr>
          <w:rFonts w:ascii="Verdana" w:hAnsi="Verdana"/>
          <w:sz w:val="20"/>
          <w:szCs w:val="20"/>
        </w:rPr>
        <w:t xml:space="preserve"> IDH</w:t>
      </w:r>
      <w:r w:rsidR="00B87BA1">
        <w:rPr>
          <w:rFonts w:ascii="Verdana" w:hAnsi="Verdana"/>
          <w:sz w:val="20"/>
          <w:szCs w:val="20"/>
        </w:rPr>
        <w:t xml:space="preserve"> </w:t>
      </w:r>
      <w:r w:rsidR="00576010" w:rsidRPr="00C84A6F">
        <w:rPr>
          <w:rFonts w:ascii="Verdana" w:hAnsi="Verdana"/>
          <w:sz w:val="20"/>
          <w:szCs w:val="20"/>
        </w:rPr>
        <w:t xml:space="preserve">ha enfatizado que </w:t>
      </w:r>
      <w:r w:rsidR="00993381">
        <w:rPr>
          <w:rFonts w:ascii="Verdana" w:hAnsi="Verdana"/>
          <w:sz w:val="20"/>
          <w:szCs w:val="20"/>
        </w:rPr>
        <w:t>e</w:t>
      </w:r>
      <w:r w:rsidR="00576010" w:rsidRPr="00C84A6F">
        <w:rPr>
          <w:rFonts w:ascii="Verdana" w:hAnsi="Verdana"/>
          <w:sz w:val="20"/>
          <w:szCs w:val="20"/>
        </w:rPr>
        <w:t xml:space="preserve">ste derecho constituye un principio básico del debido proceso que a su vez implica que las personas tienen derecho a ser juzgadas, en general, por tribunales ordinarios con arreglo </w:t>
      </w:r>
      <w:r w:rsidR="00345CB6" w:rsidRPr="00C84A6F">
        <w:rPr>
          <w:rFonts w:ascii="Verdana" w:hAnsi="Verdana"/>
          <w:sz w:val="20"/>
          <w:szCs w:val="20"/>
        </w:rPr>
        <w:t>a procedimientos legalmente establecidos</w:t>
      </w:r>
      <w:r w:rsidR="00C85C66" w:rsidRPr="00C84A6F">
        <w:rPr>
          <w:rStyle w:val="FootnoteReference"/>
          <w:rFonts w:ascii="Verdana" w:hAnsi="Verdana"/>
          <w:sz w:val="20"/>
          <w:szCs w:val="20"/>
        </w:rPr>
        <w:footnoteReference w:id="11"/>
      </w:r>
      <w:r w:rsidR="00345CB6" w:rsidRPr="00C84A6F">
        <w:rPr>
          <w:rFonts w:ascii="Verdana" w:hAnsi="Verdana"/>
          <w:sz w:val="20"/>
          <w:szCs w:val="20"/>
        </w:rPr>
        <w:t xml:space="preserve">. </w:t>
      </w:r>
      <w:r w:rsidR="00AD5EE9">
        <w:rPr>
          <w:rFonts w:ascii="Verdana" w:hAnsi="Verdana"/>
          <w:sz w:val="20"/>
          <w:szCs w:val="20"/>
        </w:rPr>
        <w:t xml:space="preserve">De esta forma, </w:t>
      </w:r>
      <w:r w:rsidR="00AD5EE9">
        <w:rPr>
          <w:rFonts w:ascii="Verdana" w:hAnsi="Verdana"/>
          <w:sz w:val="20"/>
          <w:szCs w:val="20"/>
        </w:rPr>
        <w:lastRenderedPageBreak/>
        <w:t>e</w:t>
      </w:r>
      <w:r w:rsidR="00C85C66" w:rsidRPr="00C84A6F">
        <w:rPr>
          <w:rFonts w:ascii="Verdana" w:hAnsi="Verdana"/>
          <w:sz w:val="20"/>
          <w:szCs w:val="20"/>
        </w:rPr>
        <w:t xml:space="preserve">l juez natural deriva su existencia y competencia de la ley, la cual ha sido definida por la Corte </w:t>
      </w:r>
      <w:r w:rsidR="000B6820">
        <w:rPr>
          <w:rFonts w:ascii="Verdana" w:hAnsi="Verdana"/>
          <w:sz w:val="20"/>
          <w:szCs w:val="20"/>
        </w:rPr>
        <w:t xml:space="preserve">IDH </w:t>
      </w:r>
      <w:r w:rsidR="00C85C66" w:rsidRPr="00C84A6F">
        <w:rPr>
          <w:rFonts w:ascii="Verdana" w:hAnsi="Verdana"/>
          <w:sz w:val="20"/>
          <w:szCs w:val="20"/>
        </w:rPr>
        <w:t xml:space="preserve">como la “norma </w:t>
      </w:r>
      <w:r w:rsidR="0088534D" w:rsidRPr="00C84A6F">
        <w:rPr>
          <w:rFonts w:ascii="Verdana" w:hAnsi="Verdana"/>
          <w:sz w:val="20"/>
          <w:szCs w:val="20"/>
        </w:rPr>
        <w:t>jurídica</w:t>
      </w:r>
      <w:r w:rsidR="00C85C66" w:rsidRPr="00C84A6F">
        <w:rPr>
          <w:rFonts w:ascii="Verdana" w:hAnsi="Verdana"/>
          <w:sz w:val="20"/>
          <w:szCs w:val="20"/>
        </w:rPr>
        <w:t xml:space="preserve"> de </w:t>
      </w:r>
      <w:r w:rsidR="0088534D" w:rsidRPr="00C84A6F">
        <w:rPr>
          <w:rFonts w:ascii="Verdana" w:hAnsi="Verdana"/>
          <w:sz w:val="20"/>
          <w:szCs w:val="20"/>
        </w:rPr>
        <w:t>carácter</w:t>
      </w:r>
      <w:r w:rsidR="00C85C66" w:rsidRPr="00C84A6F">
        <w:rPr>
          <w:rFonts w:ascii="Verdana" w:hAnsi="Verdana"/>
          <w:sz w:val="20"/>
          <w:szCs w:val="20"/>
        </w:rPr>
        <w:t xml:space="preserve"> general, </w:t>
      </w:r>
      <w:r w:rsidR="0088534D" w:rsidRPr="00C84A6F">
        <w:rPr>
          <w:rFonts w:ascii="Verdana" w:hAnsi="Verdana"/>
          <w:sz w:val="20"/>
          <w:szCs w:val="20"/>
        </w:rPr>
        <w:t>ceñida</w:t>
      </w:r>
      <w:r w:rsidR="00C85C66" w:rsidRPr="00C84A6F">
        <w:rPr>
          <w:rFonts w:ascii="Verdana" w:hAnsi="Verdana"/>
          <w:sz w:val="20"/>
          <w:szCs w:val="20"/>
        </w:rPr>
        <w:t xml:space="preserve"> al bien </w:t>
      </w:r>
      <w:r w:rsidR="0088534D" w:rsidRPr="00C84A6F">
        <w:rPr>
          <w:rFonts w:ascii="Verdana" w:hAnsi="Verdana"/>
          <w:sz w:val="20"/>
          <w:szCs w:val="20"/>
        </w:rPr>
        <w:t>común</w:t>
      </w:r>
      <w:r w:rsidR="00C85C66" w:rsidRPr="00C84A6F">
        <w:rPr>
          <w:rFonts w:ascii="Verdana" w:hAnsi="Verdana"/>
          <w:sz w:val="20"/>
          <w:szCs w:val="20"/>
        </w:rPr>
        <w:t xml:space="preserve">, emanada de los </w:t>
      </w:r>
      <w:r w:rsidR="0088534D" w:rsidRPr="00C84A6F">
        <w:rPr>
          <w:rFonts w:ascii="Verdana" w:hAnsi="Verdana"/>
          <w:sz w:val="20"/>
          <w:szCs w:val="20"/>
        </w:rPr>
        <w:t>órganos</w:t>
      </w:r>
      <w:r w:rsidR="00C85C66" w:rsidRPr="00C84A6F">
        <w:rPr>
          <w:rFonts w:ascii="Verdana" w:hAnsi="Verdana"/>
          <w:sz w:val="20"/>
          <w:szCs w:val="20"/>
        </w:rPr>
        <w:t xml:space="preserve"> legislativos constitucionalmente previstos y </w:t>
      </w:r>
      <w:r w:rsidR="00F2526E" w:rsidRPr="00C84A6F">
        <w:rPr>
          <w:rFonts w:ascii="Verdana" w:hAnsi="Verdana"/>
          <w:sz w:val="20"/>
          <w:szCs w:val="20"/>
        </w:rPr>
        <w:t>democráticamente</w:t>
      </w:r>
      <w:r w:rsidR="00C85C66" w:rsidRPr="00C84A6F">
        <w:rPr>
          <w:rFonts w:ascii="Verdana" w:hAnsi="Verdana"/>
          <w:sz w:val="20"/>
          <w:szCs w:val="20"/>
        </w:rPr>
        <w:t xml:space="preserve"> elegidos, y elaborada </w:t>
      </w:r>
      <w:r w:rsidR="00F2526E" w:rsidRPr="00C84A6F">
        <w:rPr>
          <w:rFonts w:ascii="Verdana" w:hAnsi="Verdana"/>
          <w:sz w:val="20"/>
          <w:szCs w:val="20"/>
        </w:rPr>
        <w:t>según</w:t>
      </w:r>
      <w:r w:rsidR="00C85C66" w:rsidRPr="00C84A6F">
        <w:rPr>
          <w:rFonts w:ascii="Verdana" w:hAnsi="Verdana"/>
          <w:sz w:val="20"/>
          <w:szCs w:val="20"/>
        </w:rPr>
        <w:t xml:space="preserve"> el procedimiento establecido por las constituciones de los Estados Partes para la </w:t>
      </w:r>
      <w:r w:rsidR="0088534D" w:rsidRPr="00C84A6F">
        <w:rPr>
          <w:rFonts w:ascii="Verdana" w:hAnsi="Verdana"/>
          <w:sz w:val="20"/>
          <w:szCs w:val="20"/>
        </w:rPr>
        <w:t>formación</w:t>
      </w:r>
      <w:r w:rsidR="00C85C66" w:rsidRPr="00C84A6F">
        <w:rPr>
          <w:rFonts w:ascii="Verdana" w:hAnsi="Verdana"/>
          <w:sz w:val="20"/>
          <w:szCs w:val="20"/>
        </w:rPr>
        <w:t xml:space="preserve"> de las leyes”</w:t>
      </w:r>
      <w:r w:rsidR="00C85C66" w:rsidRPr="00C84A6F">
        <w:rPr>
          <w:rStyle w:val="FootnoteReference"/>
          <w:rFonts w:ascii="Verdana" w:hAnsi="Verdana"/>
          <w:sz w:val="20"/>
          <w:szCs w:val="20"/>
        </w:rPr>
        <w:footnoteReference w:id="12"/>
      </w:r>
      <w:r w:rsidR="00C85C66" w:rsidRPr="00C84A6F">
        <w:rPr>
          <w:rFonts w:ascii="Verdana" w:hAnsi="Verdana"/>
          <w:sz w:val="20"/>
          <w:szCs w:val="20"/>
        </w:rPr>
        <w:t xml:space="preserve">. Consecuentemente, en un Estado de Derecho </w:t>
      </w:r>
      <w:r w:rsidR="00F2526E" w:rsidRPr="00C84A6F">
        <w:rPr>
          <w:rFonts w:ascii="Verdana" w:hAnsi="Verdana"/>
          <w:sz w:val="20"/>
          <w:szCs w:val="20"/>
        </w:rPr>
        <w:t>sólo</w:t>
      </w:r>
      <w:r w:rsidR="00C85C66" w:rsidRPr="00C84A6F">
        <w:rPr>
          <w:rFonts w:ascii="Verdana" w:hAnsi="Verdana"/>
          <w:sz w:val="20"/>
          <w:szCs w:val="20"/>
        </w:rPr>
        <w:t xml:space="preserve"> el Poder Legislativo puede regular, a </w:t>
      </w:r>
      <w:r w:rsidR="00F2526E" w:rsidRPr="00C84A6F">
        <w:rPr>
          <w:rFonts w:ascii="Verdana" w:hAnsi="Verdana"/>
          <w:sz w:val="20"/>
          <w:szCs w:val="20"/>
        </w:rPr>
        <w:t>través</w:t>
      </w:r>
      <w:r w:rsidR="00C85C66" w:rsidRPr="00C84A6F">
        <w:rPr>
          <w:rFonts w:ascii="Verdana" w:hAnsi="Verdana"/>
          <w:sz w:val="20"/>
          <w:szCs w:val="20"/>
        </w:rPr>
        <w:t xml:space="preserve"> de leyes, </w:t>
      </w:r>
      <w:r w:rsidR="00E76B08" w:rsidRPr="00C84A6F">
        <w:rPr>
          <w:rFonts w:ascii="Verdana" w:hAnsi="Verdana"/>
          <w:sz w:val="20"/>
          <w:szCs w:val="20"/>
        </w:rPr>
        <w:t>la competencia de los juzgadores</w:t>
      </w:r>
      <w:r w:rsidR="000273EF" w:rsidRPr="00C84A6F">
        <w:rPr>
          <w:rStyle w:val="FootnoteReference"/>
          <w:rFonts w:ascii="Verdana" w:hAnsi="Verdana"/>
          <w:sz w:val="20"/>
          <w:szCs w:val="20"/>
        </w:rPr>
        <w:footnoteReference w:id="13"/>
      </w:r>
      <w:r w:rsidR="00C85C66" w:rsidRPr="00C84A6F">
        <w:rPr>
          <w:rFonts w:ascii="Verdana" w:hAnsi="Verdana"/>
          <w:sz w:val="20"/>
          <w:szCs w:val="20"/>
        </w:rPr>
        <w:t xml:space="preserve">. </w:t>
      </w:r>
    </w:p>
    <w:p w14:paraId="470430DD" w14:textId="77777777" w:rsidR="004933F2" w:rsidRPr="00C84A6F" w:rsidRDefault="004933F2" w:rsidP="000E6EDD">
      <w:pPr>
        <w:pStyle w:val="ListParagraph"/>
        <w:ind w:left="0"/>
        <w:jc w:val="both"/>
        <w:rPr>
          <w:rFonts w:ascii="Verdana" w:hAnsi="Verdana"/>
          <w:sz w:val="20"/>
          <w:szCs w:val="20"/>
        </w:rPr>
      </w:pPr>
    </w:p>
    <w:p w14:paraId="6A8028EC" w14:textId="3D609A3E" w:rsidR="004933F2" w:rsidRPr="00C84A6F" w:rsidRDefault="00660B00" w:rsidP="000E6EDD">
      <w:pPr>
        <w:pStyle w:val="ListParagraph"/>
        <w:ind w:left="0"/>
        <w:jc w:val="both"/>
        <w:rPr>
          <w:rFonts w:ascii="Verdana" w:hAnsi="Verdana"/>
          <w:sz w:val="20"/>
          <w:szCs w:val="20"/>
        </w:rPr>
      </w:pPr>
      <w:r>
        <w:rPr>
          <w:rFonts w:ascii="Verdana" w:hAnsi="Verdana"/>
          <w:sz w:val="20"/>
          <w:szCs w:val="20"/>
        </w:rPr>
        <w:t xml:space="preserve">9. </w:t>
      </w:r>
      <w:r>
        <w:rPr>
          <w:rFonts w:ascii="Verdana" w:hAnsi="Verdana"/>
          <w:sz w:val="20"/>
          <w:szCs w:val="20"/>
        </w:rPr>
        <w:tab/>
      </w:r>
      <w:r w:rsidR="00211919" w:rsidRPr="00C84A6F">
        <w:rPr>
          <w:rFonts w:ascii="Verdana" w:hAnsi="Verdana"/>
          <w:sz w:val="20"/>
          <w:szCs w:val="20"/>
        </w:rPr>
        <w:t>S</w:t>
      </w:r>
      <w:r w:rsidR="004933F2" w:rsidRPr="00C84A6F">
        <w:rPr>
          <w:rFonts w:ascii="Verdana" w:hAnsi="Verdana"/>
          <w:sz w:val="20"/>
          <w:szCs w:val="20"/>
        </w:rPr>
        <w:t>obre</w:t>
      </w:r>
      <w:r w:rsidR="004933F2" w:rsidRPr="00C84A6F">
        <w:rPr>
          <w:rFonts w:ascii="Verdana" w:hAnsi="Verdana"/>
          <w:i/>
          <w:sz w:val="20"/>
          <w:szCs w:val="20"/>
        </w:rPr>
        <w:t xml:space="preserve"> el plazo razonable</w:t>
      </w:r>
      <w:r w:rsidR="004933F2" w:rsidRPr="00C84A6F">
        <w:rPr>
          <w:rFonts w:ascii="Verdana" w:hAnsi="Verdana"/>
          <w:sz w:val="20"/>
          <w:szCs w:val="20"/>
        </w:rPr>
        <w:t xml:space="preserve">, el Tribunal </w:t>
      </w:r>
      <w:r w:rsidR="003809A3">
        <w:rPr>
          <w:rFonts w:ascii="Verdana" w:hAnsi="Verdana"/>
          <w:sz w:val="20"/>
          <w:szCs w:val="20"/>
        </w:rPr>
        <w:t xml:space="preserve">Interamericano </w:t>
      </w:r>
      <w:r w:rsidR="004933F2" w:rsidRPr="00C84A6F">
        <w:rPr>
          <w:rFonts w:ascii="Verdana" w:hAnsi="Verdana"/>
          <w:sz w:val="20"/>
          <w:szCs w:val="20"/>
        </w:rPr>
        <w:t xml:space="preserve">ha </w:t>
      </w:r>
      <w:r w:rsidR="007B0DE2" w:rsidRPr="00C84A6F">
        <w:rPr>
          <w:rFonts w:ascii="Verdana" w:hAnsi="Verdana"/>
          <w:sz w:val="20"/>
          <w:szCs w:val="20"/>
        </w:rPr>
        <w:t>señalado</w:t>
      </w:r>
      <w:r w:rsidR="004933F2" w:rsidRPr="00C84A6F">
        <w:rPr>
          <w:rFonts w:ascii="Verdana" w:hAnsi="Verdana"/>
          <w:sz w:val="20"/>
          <w:szCs w:val="20"/>
        </w:rPr>
        <w:t xml:space="preserve"> que el derecho de acceso a la justicia implica que la </w:t>
      </w:r>
      <w:r w:rsidR="007B0DE2" w:rsidRPr="00C84A6F">
        <w:rPr>
          <w:rFonts w:ascii="Verdana" w:hAnsi="Verdana"/>
          <w:sz w:val="20"/>
          <w:szCs w:val="20"/>
        </w:rPr>
        <w:t>solución</w:t>
      </w:r>
      <w:r w:rsidR="004933F2" w:rsidRPr="00C84A6F">
        <w:rPr>
          <w:rFonts w:ascii="Verdana" w:hAnsi="Verdana"/>
          <w:sz w:val="20"/>
          <w:szCs w:val="20"/>
        </w:rPr>
        <w:t xml:space="preserve"> de la controversia se produzca en tiempo razonable, ya que una demora prolongada puede llegar a constituir, por sí misma, una </w:t>
      </w:r>
      <w:r w:rsidR="007B0DE2" w:rsidRPr="00C84A6F">
        <w:rPr>
          <w:rFonts w:ascii="Verdana" w:hAnsi="Verdana"/>
          <w:sz w:val="20"/>
          <w:szCs w:val="20"/>
        </w:rPr>
        <w:t>violación</w:t>
      </w:r>
      <w:r w:rsidR="004933F2" w:rsidRPr="00C84A6F">
        <w:rPr>
          <w:rFonts w:ascii="Verdana" w:hAnsi="Verdana"/>
          <w:sz w:val="20"/>
          <w:szCs w:val="20"/>
        </w:rPr>
        <w:t xml:space="preserve"> de las </w:t>
      </w:r>
      <w:r w:rsidR="007B0DE2" w:rsidRPr="00C84A6F">
        <w:rPr>
          <w:rFonts w:ascii="Verdana" w:hAnsi="Verdana"/>
          <w:sz w:val="20"/>
          <w:szCs w:val="20"/>
        </w:rPr>
        <w:t>garantías</w:t>
      </w:r>
      <w:r w:rsidR="004933F2" w:rsidRPr="00C84A6F">
        <w:rPr>
          <w:rFonts w:ascii="Verdana" w:hAnsi="Verdana"/>
          <w:sz w:val="20"/>
          <w:szCs w:val="20"/>
        </w:rPr>
        <w:t xml:space="preserve"> judiciales</w:t>
      </w:r>
      <w:r w:rsidR="004933F2" w:rsidRPr="00C84A6F">
        <w:rPr>
          <w:rStyle w:val="FootnoteReference"/>
          <w:rFonts w:ascii="Verdana" w:hAnsi="Verdana"/>
          <w:sz w:val="20"/>
          <w:szCs w:val="20"/>
        </w:rPr>
        <w:footnoteReference w:id="14"/>
      </w:r>
      <w:r w:rsidR="004933F2" w:rsidRPr="00C84A6F">
        <w:rPr>
          <w:rFonts w:ascii="Verdana" w:hAnsi="Verdana"/>
          <w:sz w:val="20"/>
          <w:szCs w:val="20"/>
        </w:rPr>
        <w:t xml:space="preserve">. </w:t>
      </w:r>
      <w:r w:rsidR="005E1676" w:rsidRPr="00C84A6F">
        <w:rPr>
          <w:rFonts w:ascii="Verdana" w:hAnsi="Verdana"/>
          <w:sz w:val="20"/>
          <w:szCs w:val="20"/>
        </w:rPr>
        <w:t xml:space="preserve">Para lo anterior, la Corte </w:t>
      </w:r>
      <w:r w:rsidR="000B6820">
        <w:rPr>
          <w:rFonts w:ascii="Verdana" w:hAnsi="Verdana"/>
          <w:sz w:val="20"/>
          <w:szCs w:val="20"/>
        </w:rPr>
        <w:t xml:space="preserve">IDH </w:t>
      </w:r>
      <w:r w:rsidR="005E1676" w:rsidRPr="00C84A6F">
        <w:rPr>
          <w:rFonts w:ascii="Verdana" w:hAnsi="Verdana"/>
          <w:sz w:val="20"/>
          <w:szCs w:val="20"/>
        </w:rPr>
        <w:t xml:space="preserve">ha </w:t>
      </w:r>
      <w:r w:rsidR="004933F2" w:rsidRPr="00C84A6F">
        <w:rPr>
          <w:rFonts w:ascii="Verdana" w:hAnsi="Verdana"/>
          <w:sz w:val="20"/>
          <w:szCs w:val="20"/>
        </w:rPr>
        <w:t>establecido que es preciso tomar en cuenta cuatro elementos para determinar la razonabilidad del plazo: a) la complejidad del asunto, b) la actividad procesal del interesado, c) la conducta de las autoridades judiciales</w:t>
      </w:r>
      <w:r w:rsidR="00DE7F0D" w:rsidRPr="00C84A6F">
        <w:rPr>
          <w:rStyle w:val="FootnoteReference"/>
          <w:rFonts w:ascii="Verdana" w:hAnsi="Verdana"/>
          <w:sz w:val="20"/>
          <w:szCs w:val="20"/>
        </w:rPr>
        <w:footnoteReference w:id="15"/>
      </w:r>
      <w:r w:rsidR="00993381">
        <w:rPr>
          <w:rFonts w:ascii="Verdana" w:hAnsi="Verdana"/>
          <w:sz w:val="20"/>
          <w:szCs w:val="20"/>
        </w:rPr>
        <w:t xml:space="preserve"> y d)</w:t>
      </w:r>
      <w:r w:rsidR="004933F2" w:rsidRPr="00C84A6F">
        <w:rPr>
          <w:rFonts w:ascii="Verdana" w:hAnsi="Verdana"/>
          <w:sz w:val="20"/>
          <w:szCs w:val="20"/>
        </w:rPr>
        <w:t xml:space="preserve"> la </w:t>
      </w:r>
      <w:r w:rsidR="007B0DE2" w:rsidRPr="00C84A6F">
        <w:rPr>
          <w:rFonts w:ascii="Verdana" w:hAnsi="Verdana"/>
          <w:sz w:val="20"/>
          <w:szCs w:val="20"/>
        </w:rPr>
        <w:t>afectación</w:t>
      </w:r>
      <w:r w:rsidR="004933F2" w:rsidRPr="00C84A6F">
        <w:rPr>
          <w:rFonts w:ascii="Verdana" w:hAnsi="Verdana"/>
          <w:sz w:val="20"/>
          <w:szCs w:val="20"/>
        </w:rPr>
        <w:t xml:space="preserve"> generada por la </w:t>
      </w:r>
      <w:r w:rsidR="007B0DE2" w:rsidRPr="00C84A6F">
        <w:rPr>
          <w:rFonts w:ascii="Verdana" w:hAnsi="Verdana"/>
          <w:sz w:val="20"/>
          <w:szCs w:val="20"/>
        </w:rPr>
        <w:t>duración</w:t>
      </w:r>
      <w:r w:rsidR="004933F2" w:rsidRPr="00C84A6F">
        <w:rPr>
          <w:rFonts w:ascii="Verdana" w:hAnsi="Verdana"/>
          <w:sz w:val="20"/>
          <w:szCs w:val="20"/>
        </w:rPr>
        <w:t xml:space="preserve"> del procedimiento en la </w:t>
      </w:r>
      <w:r w:rsidR="007B0DE2" w:rsidRPr="00C84A6F">
        <w:rPr>
          <w:rFonts w:ascii="Verdana" w:hAnsi="Verdana"/>
          <w:sz w:val="20"/>
          <w:szCs w:val="20"/>
        </w:rPr>
        <w:t>situación</w:t>
      </w:r>
      <w:r w:rsidR="004933F2" w:rsidRPr="00C84A6F">
        <w:rPr>
          <w:rFonts w:ascii="Verdana" w:hAnsi="Verdana"/>
          <w:sz w:val="20"/>
          <w:szCs w:val="20"/>
        </w:rPr>
        <w:t xml:space="preserve"> </w:t>
      </w:r>
      <w:r w:rsidR="007B0DE2" w:rsidRPr="00C84A6F">
        <w:rPr>
          <w:rFonts w:ascii="Verdana" w:hAnsi="Verdana"/>
          <w:sz w:val="20"/>
          <w:szCs w:val="20"/>
        </w:rPr>
        <w:t>jurídica</w:t>
      </w:r>
      <w:r w:rsidR="004933F2" w:rsidRPr="00C84A6F">
        <w:rPr>
          <w:rFonts w:ascii="Verdana" w:hAnsi="Verdana"/>
          <w:sz w:val="20"/>
          <w:szCs w:val="20"/>
        </w:rPr>
        <w:t xml:space="preserve"> de la persona involucrada en el mismo</w:t>
      </w:r>
      <w:r w:rsidR="005E1676" w:rsidRPr="00C84A6F">
        <w:rPr>
          <w:rStyle w:val="FootnoteReference"/>
          <w:rFonts w:ascii="Verdana" w:hAnsi="Verdana"/>
          <w:sz w:val="20"/>
          <w:szCs w:val="20"/>
        </w:rPr>
        <w:footnoteReference w:id="16"/>
      </w:r>
      <w:r w:rsidR="005E1676" w:rsidRPr="00C84A6F">
        <w:rPr>
          <w:rFonts w:ascii="Verdana" w:hAnsi="Verdana"/>
          <w:sz w:val="20"/>
          <w:szCs w:val="20"/>
        </w:rPr>
        <w:t>.</w:t>
      </w:r>
      <w:r w:rsidR="003B091E" w:rsidRPr="00C84A6F">
        <w:rPr>
          <w:rFonts w:ascii="Verdana" w:hAnsi="Verdana"/>
          <w:sz w:val="20"/>
          <w:szCs w:val="20"/>
        </w:rPr>
        <w:t xml:space="preserve"> </w:t>
      </w:r>
      <w:r w:rsidR="004933F2" w:rsidRPr="00C84A6F">
        <w:rPr>
          <w:rFonts w:ascii="Verdana" w:hAnsi="Verdana"/>
          <w:sz w:val="20"/>
          <w:szCs w:val="20"/>
        </w:rPr>
        <w:t xml:space="preserve"> </w:t>
      </w:r>
    </w:p>
    <w:p w14:paraId="502998EF" w14:textId="77777777" w:rsidR="00211919" w:rsidRPr="00C84A6F" w:rsidRDefault="00211919" w:rsidP="000E6EDD">
      <w:pPr>
        <w:pStyle w:val="ListParagraph"/>
        <w:ind w:left="0"/>
        <w:jc w:val="both"/>
        <w:rPr>
          <w:rFonts w:ascii="Verdana" w:hAnsi="Verdana"/>
          <w:sz w:val="20"/>
          <w:szCs w:val="20"/>
        </w:rPr>
      </w:pPr>
    </w:p>
    <w:p w14:paraId="7D3C82C7" w14:textId="1A94C0C4" w:rsidR="00B11FA1" w:rsidRPr="00A24C2B" w:rsidRDefault="00660B00" w:rsidP="00A24C2B">
      <w:pPr>
        <w:pStyle w:val="ListParagraph"/>
        <w:ind w:left="0"/>
        <w:jc w:val="both"/>
        <w:rPr>
          <w:rFonts w:ascii="Verdana" w:hAnsi="Verdana"/>
          <w:sz w:val="20"/>
          <w:szCs w:val="20"/>
        </w:rPr>
      </w:pPr>
      <w:r>
        <w:rPr>
          <w:rFonts w:ascii="Verdana" w:hAnsi="Verdana"/>
          <w:sz w:val="20"/>
          <w:szCs w:val="20"/>
        </w:rPr>
        <w:t xml:space="preserve">10. </w:t>
      </w:r>
      <w:r>
        <w:rPr>
          <w:rFonts w:ascii="Verdana" w:hAnsi="Verdana"/>
          <w:sz w:val="20"/>
          <w:szCs w:val="20"/>
        </w:rPr>
        <w:tab/>
      </w:r>
      <w:r w:rsidR="005060FC" w:rsidRPr="00C84A6F">
        <w:rPr>
          <w:rFonts w:ascii="Verdana" w:hAnsi="Verdana"/>
          <w:sz w:val="20"/>
          <w:szCs w:val="20"/>
        </w:rPr>
        <w:t xml:space="preserve">En lo tocante al </w:t>
      </w:r>
      <w:r w:rsidR="005060FC" w:rsidRPr="00C84A6F">
        <w:rPr>
          <w:rFonts w:ascii="Verdana" w:hAnsi="Verdana"/>
          <w:i/>
          <w:sz w:val="20"/>
          <w:szCs w:val="20"/>
        </w:rPr>
        <w:t>deber de motivar las resoluciones en un procedimiento</w:t>
      </w:r>
      <w:r w:rsidR="005060FC" w:rsidRPr="00C84A6F">
        <w:rPr>
          <w:rFonts w:ascii="Verdana" w:hAnsi="Verdana"/>
          <w:sz w:val="20"/>
          <w:szCs w:val="20"/>
        </w:rPr>
        <w:t xml:space="preserve">, </w:t>
      </w:r>
      <w:r w:rsidR="008D1DDE">
        <w:rPr>
          <w:rFonts w:ascii="Verdana" w:hAnsi="Verdana"/>
          <w:sz w:val="20"/>
          <w:szCs w:val="20"/>
        </w:rPr>
        <w:t>la Corte IDH</w:t>
      </w:r>
      <w:r w:rsidR="003E385C" w:rsidRPr="00C84A6F">
        <w:rPr>
          <w:rFonts w:ascii="Verdana" w:hAnsi="Verdana"/>
          <w:sz w:val="20"/>
          <w:szCs w:val="20"/>
        </w:rPr>
        <w:t xml:space="preserve"> ha expresado que la motivación es la exteriorización de la justificación razonada que permite llegar a una conclusión</w:t>
      </w:r>
      <w:r w:rsidR="003B091E" w:rsidRPr="00C84A6F">
        <w:rPr>
          <w:rStyle w:val="FootnoteReference"/>
          <w:rFonts w:ascii="Verdana" w:hAnsi="Verdana"/>
          <w:sz w:val="20"/>
          <w:szCs w:val="20"/>
        </w:rPr>
        <w:footnoteReference w:id="17"/>
      </w:r>
      <w:r w:rsidR="003E385C" w:rsidRPr="00C84A6F">
        <w:rPr>
          <w:rFonts w:ascii="Verdana" w:hAnsi="Verdana"/>
          <w:sz w:val="20"/>
          <w:szCs w:val="20"/>
        </w:rPr>
        <w:t xml:space="preserve">. </w:t>
      </w:r>
      <w:r w:rsidR="00893F5C" w:rsidRPr="00C84A6F">
        <w:rPr>
          <w:rFonts w:ascii="Verdana" w:hAnsi="Verdana"/>
          <w:sz w:val="20"/>
          <w:szCs w:val="20"/>
        </w:rPr>
        <w:t>De esta forma, se protege el derecho de los ciudadanos a ser juzgados por las razones que el Derecho suministra, y otorga credibilidad a las decisiones jurídicas en el ma</w:t>
      </w:r>
      <w:r w:rsidR="00DE21BA" w:rsidRPr="00C84A6F">
        <w:rPr>
          <w:rFonts w:ascii="Verdana" w:hAnsi="Verdana"/>
          <w:sz w:val="20"/>
          <w:szCs w:val="20"/>
        </w:rPr>
        <w:t>rco de una sociedad democrática</w:t>
      </w:r>
      <w:r w:rsidR="00DE21BA" w:rsidRPr="00C84A6F">
        <w:rPr>
          <w:rStyle w:val="FootnoteReference"/>
          <w:rFonts w:ascii="Verdana" w:hAnsi="Verdana"/>
          <w:sz w:val="20"/>
          <w:szCs w:val="20"/>
        </w:rPr>
        <w:footnoteReference w:id="18"/>
      </w:r>
      <w:r w:rsidR="00DE21BA" w:rsidRPr="00C84A6F">
        <w:rPr>
          <w:rFonts w:ascii="Verdana" w:hAnsi="Verdana"/>
          <w:sz w:val="20"/>
          <w:szCs w:val="20"/>
        </w:rPr>
        <w:t xml:space="preserve">. </w:t>
      </w:r>
    </w:p>
    <w:p w14:paraId="5D7C22AC" w14:textId="77777777" w:rsidR="000B6820" w:rsidRDefault="000B6820" w:rsidP="00B11FA1">
      <w:pPr>
        <w:rPr>
          <w:rFonts w:ascii="Verdana" w:hAnsi="Verdana"/>
          <w:b/>
          <w:sz w:val="20"/>
          <w:szCs w:val="20"/>
        </w:rPr>
      </w:pPr>
    </w:p>
    <w:p w14:paraId="1572187D" w14:textId="24DB2896" w:rsidR="00B11FA1" w:rsidRPr="001020FF" w:rsidRDefault="002B3520" w:rsidP="002B3520">
      <w:pPr>
        <w:pStyle w:val="Heading2"/>
        <w:numPr>
          <w:ilvl w:val="0"/>
          <w:numId w:val="0"/>
        </w:numPr>
        <w:spacing w:before="0" w:after="0"/>
        <w:rPr>
          <w:noProof w:val="0"/>
        </w:rPr>
      </w:pPr>
      <w:r>
        <w:rPr>
          <w:noProof w:val="0"/>
        </w:rPr>
        <w:t xml:space="preserve">B.  </w:t>
      </w:r>
      <w:r w:rsidR="00B11FA1">
        <w:rPr>
          <w:noProof w:val="0"/>
        </w:rPr>
        <w:t>Garantías mínimas en procedim</w:t>
      </w:r>
      <w:r w:rsidR="0025055F">
        <w:rPr>
          <w:noProof w:val="0"/>
        </w:rPr>
        <w:t>i</w:t>
      </w:r>
      <w:r w:rsidR="00B11FA1">
        <w:rPr>
          <w:noProof w:val="0"/>
        </w:rPr>
        <w:t>entos penales</w:t>
      </w:r>
    </w:p>
    <w:p w14:paraId="118CB3EE" w14:textId="77777777" w:rsidR="00D32407" w:rsidRDefault="00D32407" w:rsidP="000E6EDD">
      <w:pPr>
        <w:pStyle w:val="ListParagraph"/>
        <w:ind w:left="0"/>
        <w:jc w:val="both"/>
        <w:rPr>
          <w:rFonts w:ascii="Verdana" w:hAnsi="Verdana"/>
          <w:sz w:val="20"/>
          <w:szCs w:val="20"/>
        </w:rPr>
      </w:pPr>
    </w:p>
    <w:p w14:paraId="1BDA0410" w14:textId="67244DC2" w:rsidR="00D32407" w:rsidRPr="00D32407" w:rsidRDefault="00660B00" w:rsidP="000E6EDD">
      <w:pPr>
        <w:pStyle w:val="ListParagraph"/>
        <w:ind w:left="0"/>
        <w:jc w:val="both"/>
        <w:rPr>
          <w:rFonts w:ascii="Verdana" w:hAnsi="Verdana"/>
          <w:sz w:val="20"/>
          <w:szCs w:val="20"/>
        </w:rPr>
      </w:pPr>
      <w:r>
        <w:rPr>
          <w:rFonts w:ascii="Verdana" w:hAnsi="Verdana"/>
          <w:sz w:val="20"/>
          <w:szCs w:val="20"/>
        </w:rPr>
        <w:t xml:space="preserve">11. </w:t>
      </w:r>
      <w:r>
        <w:rPr>
          <w:rFonts w:ascii="Verdana" w:hAnsi="Verdana"/>
          <w:sz w:val="20"/>
          <w:szCs w:val="20"/>
        </w:rPr>
        <w:tab/>
      </w:r>
      <w:r w:rsidR="00D32407" w:rsidRPr="00C84A6F">
        <w:rPr>
          <w:rFonts w:ascii="Verdana" w:hAnsi="Verdana"/>
          <w:sz w:val="20"/>
          <w:szCs w:val="20"/>
        </w:rPr>
        <w:t xml:space="preserve">Sergio García Ramírez, en su voto en el </w:t>
      </w:r>
      <w:r w:rsidR="00580D1E" w:rsidRPr="00580D1E">
        <w:rPr>
          <w:rFonts w:ascii="Verdana" w:hAnsi="Verdana"/>
          <w:i/>
          <w:sz w:val="20"/>
          <w:szCs w:val="20"/>
        </w:rPr>
        <w:t>Caso</w:t>
      </w:r>
      <w:r w:rsidR="00580D1E" w:rsidRPr="00C84A6F">
        <w:rPr>
          <w:rFonts w:ascii="Verdana" w:hAnsi="Verdana"/>
          <w:sz w:val="20"/>
          <w:szCs w:val="20"/>
        </w:rPr>
        <w:t xml:space="preserve"> </w:t>
      </w:r>
      <w:proofErr w:type="spellStart"/>
      <w:r w:rsidR="00D32407" w:rsidRPr="00C84A6F">
        <w:rPr>
          <w:rFonts w:ascii="Verdana" w:hAnsi="Verdana"/>
          <w:i/>
          <w:sz w:val="20"/>
          <w:szCs w:val="20"/>
        </w:rPr>
        <w:t>Usón</w:t>
      </w:r>
      <w:proofErr w:type="spellEnd"/>
      <w:r w:rsidR="00D32407" w:rsidRPr="00C84A6F">
        <w:rPr>
          <w:rFonts w:ascii="Verdana" w:hAnsi="Verdana"/>
          <w:i/>
          <w:sz w:val="20"/>
          <w:szCs w:val="20"/>
        </w:rPr>
        <w:t xml:space="preserve"> Ramírez Vs. Venezuela, </w:t>
      </w:r>
      <w:r w:rsidR="00FD3E72">
        <w:rPr>
          <w:rFonts w:ascii="Verdana" w:hAnsi="Verdana"/>
          <w:sz w:val="20"/>
          <w:szCs w:val="20"/>
        </w:rPr>
        <w:t>ponía de</w:t>
      </w:r>
      <w:r w:rsidR="00D32407" w:rsidRPr="00C84A6F">
        <w:rPr>
          <w:rFonts w:ascii="Verdana" w:hAnsi="Verdana"/>
          <w:sz w:val="20"/>
          <w:szCs w:val="20"/>
        </w:rPr>
        <w:t xml:space="preserve"> manifiesto </w:t>
      </w:r>
      <w:r w:rsidR="00FD3E72">
        <w:rPr>
          <w:rFonts w:ascii="Verdana" w:hAnsi="Verdana"/>
          <w:sz w:val="20"/>
          <w:szCs w:val="20"/>
        </w:rPr>
        <w:t xml:space="preserve">la </w:t>
      </w:r>
      <w:r w:rsidR="00D32407" w:rsidRPr="00C84A6F">
        <w:rPr>
          <w:rFonts w:ascii="Verdana" w:hAnsi="Verdana"/>
          <w:sz w:val="20"/>
          <w:szCs w:val="20"/>
        </w:rPr>
        <w:t xml:space="preserve">relación existente entre </w:t>
      </w:r>
      <w:r w:rsidR="00FD3E72">
        <w:rPr>
          <w:rFonts w:ascii="Verdana" w:hAnsi="Verdana"/>
          <w:sz w:val="20"/>
          <w:szCs w:val="20"/>
        </w:rPr>
        <w:t>los dispositivos</w:t>
      </w:r>
      <w:r w:rsidR="00D32407" w:rsidRPr="00C84A6F">
        <w:rPr>
          <w:rFonts w:ascii="Verdana" w:hAnsi="Verdana"/>
          <w:sz w:val="20"/>
          <w:szCs w:val="20"/>
        </w:rPr>
        <w:t xml:space="preserve"> 8.1 y 8.2 de la Convención</w:t>
      </w:r>
      <w:r w:rsidR="00DF019F">
        <w:rPr>
          <w:rFonts w:ascii="Verdana" w:hAnsi="Verdana"/>
          <w:sz w:val="20"/>
          <w:szCs w:val="20"/>
        </w:rPr>
        <w:t xml:space="preserve"> Americana</w:t>
      </w:r>
      <w:r w:rsidR="00D32407" w:rsidRPr="00C84A6F">
        <w:rPr>
          <w:rFonts w:ascii="Verdana" w:hAnsi="Verdana"/>
          <w:sz w:val="20"/>
          <w:szCs w:val="20"/>
        </w:rPr>
        <w:t xml:space="preserve">, pero con efectos distintos. De esta forma, el </w:t>
      </w:r>
      <w:r w:rsidR="00FD3E72" w:rsidRPr="00E00A2B">
        <w:rPr>
          <w:rFonts w:ascii="Verdana" w:hAnsi="Verdana"/>
          <w:sz w:val="20"/>
          <w:szCs w:val="20"/>
        </w:rPr>
        <w:t>expresidente</w:t>
      </w:r>
      <w:r w:rsidR="00FD3E72">
        <w:rPr>
          <w:rFonts w:ascii="Verdana" w:hAnsi="Verdana"/>
          <w:sz w:val="20"/>
          <w:szCs w:val="20"/>
        </w:rPr>
        <w:t xml:space="preserve"> de la Corte IDH</w:t>
      </w:r>
      <w:r w:rsidR="00D32407" w:rsidRPr="00C84A6F">
        <w:rPr>
          <w:rFonts w:ascii="Verdana" w:hAnsi="Verdana"/>
          <w:sz w:val="20"/>
          <w:szCs w:val="20"/>
        </w:rPr>
        <w:t xml:space="preserve"> enfatizó que si, por ejemplo, en un procedimiento se hubiesen observado formalmente todas las garantías judiciales mínimas señaladas en el artículo 8.2 de la Convención Americana, pero no la garantía del juez competente, independiente e imparcial prevista en el artículo 8.1, no se entendería que hubo debido proceso ni se aceptaría que su culminación constituye sentencia definitiva, ya que todas las actuaciones fueron realizadas ante un órgano que no cumplía las </w:t>
      </w:r>
      <w:r w:rsidR="00D32407" w:rsidRPr="00C84A6F">
        <w:rPr>
          <w:rFonts w:ascii="Verdana" w:hAnsi="Verdana"/>
          <w:sz w:val="20"/>
          <w:szCs w:val="20"/>
        </w:rPr>
        <w:lastRenderedPageBreak/>
        <w:t>condiciones del artículo 8.1, lo cual es un defecto insubsanable. No obstante, si por el contrario, la garantía del juez natural se cumple en un caso en concreto pero, al menos, una de las garantías no es cumplida a cabalidad por el juez, podría ser admisible la reposición de actos o etapas de procedimiento en la medida que esto sea jurídicamente necesario y posible</w:t>
      </w:r>
      <w:r w:rsidR="00D32407" w:rsidRPr="00C84A6F">
        <w:rPr>
          <w:rStyle w:val="FootnoteReference"/>
          <w:rFonts w:ascii="Verdana" w:hAnsi="Verdana"/>
          <w:sz w:val="20"/>
          <w:szCs w:val="20"/>
        </w:rPr>
        <w:footnoteReference w:id="19"/>
      </w:r>
      <w:r w:rsidR="00D32407" w:rsidRPr="00C84A6F">
        <w:rPr>
          <w:rFonts w:ascii="Verdana" w:hAnsi="Verdana"/>
          <w:sz w:val="20"/>
          <w:szCs w:val="20"/>
        </w:rPr>
        <w:t>.</w:t>
      </w:r>
    </w:p>
    <w:p w14:paraId="7F7EAA4C" w14:textId="77777777" w:rsidR="00522983" w:rsidRPr="00C84A6F" w:rsidRDefault="00522983" w:rsidP="000E6EDD">
      <w:pPr>
        <w:jc w:val="both"/>
        <w:rPr>
          <w:rFonts w:ascii="Verdana" w:hAnsi="Verdana"/>
          <w:sz w:val="20"/>
          <w:szCs w:val="20"/>
        </w:rPr>
      </w:pPr>
    </w:p>
    <w:p w14:paraId="565DF59E" w14:textId="1124C44C" w:rsidR="00522983" w:rsidRPr="00C84A6F" w:rsidRDefault="00660B00" w:rsidP="000E6EDD">
      <w:pPr>
        <w:pStyle w:val="ListParagraph"/>
        <w:ind w:left="0"/>
        <w:jc w:val="both"/>
        <w:rPr>
          <w:rFonts w:ascii="Verdana" w:hAnsi="Verdana"/>
          <w:i/>
          <w:sz w:val="20"/>
          <w:szCs w:val="20"/>
        </w:rPr>
      </w:pPr>
      <w:r>
        <w:rPr>
          <w:rFonts w:ascii="Verdana" w:hAnsi="Verdana"/>
          <w:sz w:val="20"/>
          <w:szCs w:val="20"/>
        </w:rPr>
        <w:t xml:space="preserve">12. </w:t>
      </w:r>
      <w:r>
        <w:rPr>
          <w:rFonts w:ascii="Verdana" w:hAnsi="Verdana"/>
          <w:sz w:val="20"/>
          <w:szCs w:val="20"/>
        </w:rPr>
        <w:tab/>
      </w:r>
      <w:r w:rsidR="00DD6028" w:rsidRPr="00C84A6F">
        <w:rPr>
          <w:rFonts w:ascii="Verdana" w:hAnsi="Verdana"/>
          <w:sz w:val="20"/>
          <w:szCs w:val="20"/>
        </w:rPr>
        <w:t xml:space="preserve">En este sentido, la Corte </w:t>
      </w:r>
      <w:r w:rsidR="003809A3">
        <w:rPr>
          <w:rFonts w:ascii="Verdana" w:hAnsi="Verdana"/>
          <w:sz w:val="20"/>
          <w:szCs w:val="20"/>
        </w:rPr>
        <w:t xml:space="preserve">IDH </w:t>
      </w:r>
      <w:r w:rsidR="00DD6028" w:rsidRPr="00C84A6F">
        <w:rPr>
          <w:rFonts w:ascii="Verdana" w:hAnsi="Verdana"/>
          <w:sz w:val="20"/>
          <w:szCs w:val="20"/>
        </w:rPr>
        <w:t xml:space="preserve">ha precisado que el artículo </w:t>
      </w:r>
      <w:r w:rsidR="00EA3889">
        <w:rPr>
          <w:rFonts w:ascii="Verdana" w:hAnsi="Verdana"/>
          <w:sz w:val="20"/>
          <w:szCs w:val="20"/>
        </w:rPr>
        <w:t>8.2</w:t>
      </w:r>
      <w:r w:rsidR="00C26260" w:rsidRPr="00C84A6F">
        <w:rPr>
          <w:rFonts w:ascii="Verdana" w:hAnsi="Verdana"/>
          <w:sz w:val="20"/>
          <w:szCs w:val="20"/>
        </w:rPr>
        <w:t xml:space="preserve"> de la Convención </w:t>
      </w:r>
      <w:r w:rsidR="00DF019F">
        <w:rPr>
          <w:rFonts w:ascii="Verdana" w:hAnsi="Verdana"/>
          <w:sz w:val="20"/>
          <w:szCs w:val="20"/>
        </w:rPr>
        <w:t xml:space="preserve">Americana </w:t>
      </w:r>
      <w:r w:rsidR="00C26260" w:rsidRPr="00C84A6F">
        <w:rPr>
          <w:rFonts w:ascii="Verdana" w:hAnsi="Verdana"/>
          <w:sz w:val="20"/>
          <w:szCs w:val="20"/>
        </w:rPr>
        <w:t xml:space="preserve">establece </w:t>
      </w:r>
      <w:r w:rsidR="00DD6028" w:rsidRPr="00C84A6F">
        <w:rPr>
          <w:rFonts w:ascii="Verdana" w:hAnsi="Verdana"/>
          <w:sz w:val="20"/>
          <w:szCs w:val="20"/>
        </w:rPr>
        <w:t xml:space="preserve">aquellas </w:t>
      </w:r>
      <w:r w:rsidR="00DD6028" w:rsidRPr="003809A3">
        <w:rPr>
          <w:rFonts w:ascii="Verdana" w:hAnsi="Verdana"/>
          <w:i/>
          <w:sz w:val="20"/>
          <w:szCs w:val="20"/>
        </w:rPr>
        <w:t xml:space="preserve">garantías </w:t>
      </w:r>
      <w:r w:rsidR="00433141" w:rsidRPr="003809A3">
        <w:rPr>
          <w:rFonts w:ascii="Verdana" w:hAnsi="Verdana"/>
          <w:i/>
          <w:sz w:val="20"/>
          <w:szCs w:val="20"/>
        </w:rPr>
        <w:t>mínimas</w:t>
      </w:r>
      <w:r w:rsidR="00DD6028" w:rsidRPr="00C84A6F">
        <w:rPr>
          <w:rFonts w:ascii="Verdana" w:hAnsi="Verdana"/>
          <w:sz w:val="20"/>
          <w:szCs w:val="20"/>
        </w:rPr>
        <w:t xml:space="preserve"> que por</w:t>
      </w:r>
      <w:r w:rsidR="00433141" w:rsidRPr="00C84A6F">
        <w:rPr>
          <w:rFonts w:ascii="Verdana" w:hAnsi="Verdana"/>
          <w:sz w:val="20"/>
          <w:szCs w:val="20"/>
        </w:rPr>
        <w:t xml:space="preserve"> lo menos, deben ser aseguradas por los Estados a toda persona durante el proceso, en plena igualdad de condiciones, en función de las exigencias del debido proceso legal. </w:t>
      </w:r>
      <w:r w:rsidR="00FD788D" w:rsidRPr="00C84A6F">
        <w:rPr>
          <w:rFonts w:ascii="Verdana" w:hAnsi="Verdana"/>
          <w:sz w:val="20"/>
          <w:szCs w:val="20"/>
        </w:rPr>
        <w:t xml:space="preserve">Bajo esta concepción, </w:t>
      </w:r>
      <w:r w:rsidR="00DF019F">
        <w:rPr>
          <w:rFonts w:ascii="Verdana" w:hAnsi="Verdana"/>
          <w:sz w:val="20"/>
          <w:szCs w:val="20"/>
        </w:rPr>
        <w:t>el Pacto de San José</w:t>
      </w:r>
      <w:r w:rsidR="00433141" w:rsidRPr="00C84A6F">
        <w:rPr>
          <w:rFonts w:ascii="Verdana" w:hAnsi="Verdana"/>
          <w:sz w:val="20"/>
          <w:szCs w:val="20"/>
        </w:rPr>
        <w:t xml:space="preserve"> no acoge un sistema procesal penal en particular, sino que deja a los Estados en libertad </w:t>
      </w:r>
      <w:r w:rsidR="00C26260" w:rsidRPr="00C84A6F">
        <w:rPr>
          <w:rFonts w:ascii="Verdana" w:hAnsi="Verdana"/>
          <w:sz w:val="20"/>
          <w:szCs w:val="20"/>
        </w:rPr>
        <w:t>para determinar el que consideren preferible, siempre que se respeten las garantías establecidas en la propia Convención</w:t>
      </w:r>
      <w:r w:rsidR="00DF019F">
        <w:rPr>
          <w:rFonts w:ascii="Verdana" w:hAnsi="Verdana"/>
          <w:sz w:val="20"/>
          <w:szCs w:val="20"/>
        </w:rPr>
        <w:t xml:space="preserve"> Americana</w:t>
      </w:r>
      <w:r w:rsidR="00C26260" w:rsidRPr="00C84A6F">
        <w:rPr>
          <w:rFonts w:ascii="Verdana" w:hAnsi="Verdana"/>
          <w:sz w:val="20"/>
          <w:szCs w:val="20"/>
        </w:rPr>
        <w:t>, en el derecho interno</w:t>
      </w:r>
      <w:r w:rsidR="00884AA7" w:rsidRPr="00C84A6F">
        <w:rPr>
          <w:rFonts w:ascii="Verdana" w:hAnsi="Verdana"/>
          <w:sz w:val="20"/>
          <w:szCs w:val="20"/>
        </w:rPr>
        <w:t>, en otros tratados internacionales aplicables, en las normas consuetudinarias y en las disposiciones imperativas de derecho internacional</w:t>
      </w:r>
      <w:r w:rsidR="00B67B35" w:rsidRPr="00C84A6F">
        <w:rPr>
          <w:rStyle w:val="FootnoteReference"/>
          <w:rFonts w:ascii="Verdana" w:hAnsi="Verdana"/>
          <w:sz w:val="20"/>
          <w:szCs w:val="20"/>
        </w:rPr>
        <w:footnoteReference w:id="20"/>
      </w:r>
      <w:r w:rsidR="00FD788D" w:rsidRPr="00C84A6F">
        <w:rPr>
          <w:rFonts w:ascii="Verdana" w:hAnsi="Verdana"/>
          <w:sz w:val="20"/>
          <w:szCs w:val="20"/>
        </w:rPr>
        <w:t xml:space="preserve">. Sobre esta temática, cabe resaltar </w:t>
      </w:r>
      <w:r w:rsidR="003809A3">
        <w:rPr>
          <w:rFonts w:ascii="Verdana" w:hAnsi="Verdana"/>
          <w:sz w:val="20"/>
          <w:szCs w:val="20"/>
        </w:rPr>
        <w:t>lo expresado por e</w:t>
      </w:r>
      <w:r w:rsidR="00B506C0" w:rsidRPr="00C84A6F">
        <w:rPr>
          <w:rFonts w:ascii="Verdana" w:hAnsi="Verdana"/>
          <w:sz w:val="20"/>
          <w:szCs w:val="20"/>
        </w:rPr>
        <w:t>ste Tribunal</w:t>
      </w:r>
      <w:r w:rsidR="009064B5" w:rsidRPr="00C84A6F">
        <w:rPr>
          <w:rFonts w:ascii="Verdana" w:hAnsi="Verdana"/>
          <w:sz w:val="20"/>
          <w:szCs w:val="20"/>
        </w:rPr>
        <w:t xml:space="preserve"> </w:t>
      </w:r>
      <w:r w:rsidR="003809A3">
        <w:rPr>
          <w:rFonts w:ascii="Verdana" w:hAnsi="Verdana"/>
          <w:sz w:val="20"/>
          <w:szCs w:val="20"/>
        </w:rPr>
        <w:t xml:space="preserve">Interamericano </w:t>
      </w:r>
      <w:r w:rsidR="009064B5" w:rsidRPr="00C84A6F">
        <w:rPr>
          <w:rFonts w:ascii="Verdana" w:hAnsi="Verdana"/>
          <w:sz w:val="20"/>
          <w:szCs w:val="20"/>
        </w:rPr>
        <w:t xml:space="preserve">en el </w:t>
      </w:r>
      <w:r w:rsidR="00340DB8" w:rsidRPr="00340DB8">
        <w:rPr>
          <w:rFonts w:ascii="Verdana" w:hAnsi="Verdana"/>
          <w:i/>
          <w:sz w:val="20"/>
          <w:szCs w:val="20"/>
        </w:rPr>
        <w:t>Caso</w:t>
      </w:r>
      <w:r w:rsidR="00340DB8" w:rsidRPr="00C84A6F">
        <w:rPr>
          <w:rFonts w:ascii="Verdana" w:hAnsi="Verdana"/>
          <w:sz w:val="20"/>
          <w:szCs w:val="20"/>
        </w:rPr>
        <w:t xml:space="preserve"> </w:t>
      </w:r>
      <w:proofErr w:type="spellStart"/>
      <w:r w:rsidR="009064B5" w:rsidRPr="00AD5EE9">
        <w:rPr>
          <w:rFonts w:ascii="Verdana" w:hAnsi="Verdana"/>
          <w:i/>
          <w:sz w:val="20"/>
          <w:szCs w:val="20"/>
        </w:rPr>
        <w:t>Lori</w:t>
      </w:r>
      <w:proofErr w:type="spellEnd"/>
      <w:r w:rsidR="009064B5" w:rsidRPr="00AD5EE9">
        <w:rPr>
          <w:rFonts w:ascii="Verdana" w:hAnsi="Verdana"/>
          <w:i/>
          <w:sz w:val="20"/>
          <w:szCs w:val="20"/>
        </w:rPr>
        <w:t xml:space="preserve"> </w:t>
      </w:r>
      <w:proofErr w:type="spellStart"/>
      <w:r w:rsidR="009064B5" w:rsidRPr="00AD5EE9">
        <w:rPr>
          <w:rFonts w:ascii="Verdana" w:hAnsi="Verdana"/>
          <w:i/>
          <w:sz w:val="20"/>
          <w:szCs w:val="20"/>
        </w:rPr>
        <w:t>Berenson</w:t>
      </w:r>
      <w:proofErr w:type="spellEnd"/>
      <w:r w:rsidR="009064B5" w:rsidRPr="00AD5EE9">
        <w:rPr>
          <w:rFonts w:ascii="Verdana" w:hAnsi="Verdana"/>
          <w:i/>
          <w:sz w:val="20"/>
          <w:szCs w:val="20"/>
        </w:rPr>
        <w:t xml:space="preserve"> Mejía Vs. Perú</w:t>
      </w:r>
      <w:r w:rsidR="009E3F13" w:rsidRPr="00C84A6F">
        <w:rPr>
          <w:rFonts w:ascii="Verdana" w:hAnsi="Verdana"/>
          <w:sz w:val="20"/>
          <w:szCs w:val="20"/>
        </w:rPr>
        <w:t>,</w:t>
      </w:r>
      <w:r w:rsidR="00B506C0" w:rsidRPr="00C84A6F">
        <w:rPr>
          <w:rFonts w:ascii="Verdana" w:hAnsi="Verdana"/>
          <w:sz w:val="20"/>
          <w:szCs w:val="20"/>
        </w:rPr>
        <w:t xml:space="preserve"> pues: </w:t>
      </w:r>
    </w:p>
    <w:p w14:paraId="21707BD3" w14:textId="77777777" w:rsidR="00FD1931" w:rsidRPr="00C84A6F" w:rsidRDefault="00FD1931" w:rsidP="000E6EDD">
      <w:pPr>
        <w:pStyle w:val="ListParagraph"/>
        <w:ind w:left="0"/>
        <w:jc w:val="both"/>
        <w:rPr>
          <w:rFonts w:ascii="Verdana" w:hAnsi="Verdana"/>
          <w:i/>
          <w:sz w:val="20"/>
          <w:szCs w:val="20"/>
        </w:rPr>
      </w:pPr>
    </w:p>
    <w:p w14:paraId="4DBEF50C" w14:textId="75901A99" w:rsidR="00522983" w:rsidRPr="00C84A6F" w:rsidRDefault="009064B5" w:rsidP="000E6EDD">
      <w:pPr>
        <w:tabs>
          <w:tab w:val="left" w:pos="8647"/>
        </w:tabs>
        <w:ind w:left="709" w:right="713"/>
        <w:jc w:val="both"/>
        <w:rPr>
          <w:rFonts w:ascii="Verdana" w:hAnsi="Verdana" w:cs="Times New Roman"/>
          <w:i/>
          <w:sz w:val="18"/>
          <w:szCs w:val="18"/>
        </w:rPr>
      </w:pPr>
      <w:r w:rsidRPr="00C84A6F">
        <w:rPr>
          <w:rFonts w:ascii="Verdana" w:hAnsi="Verdana" w:cs="Times New Roman"/>
          <w:i/>
          <w:sz w:val="18"/>
          <w:szCs w:val="18"/>
        </w:rPr>
        <w:t xml:space="preserve">176. El </w:t>
      </w:r>
      <w:r w:rsidR="0088534D" w:rsidRPr="00C84A6F">
        <w:rPr>
          <w:rFonts w:ascii="Verdana" w:hAnsi="Verdana" w:cs="Times New Roman"/>
          <w:i/>
          <w:sz w:val="18"/>
          <w:szCs w:val="18"/>
        </w:rPr>
        <w:t>concepto</w:t>
      </w:r>
      <w:r w:rsidRPr="00C84A6F">
        <w:rPr>
          <w:rFonts w:ascii="Verdana" w:hAnsi="Verdana" w:cs="Times New Roman"/>
          <w:i/>
          <w:sz w:val="18"/>
          <w:szCs w:val="18"/>
        </w:rPr>
        <w:t xml:space="preserve"> del debido proceso en casos penales debe incluir, </w:t>
      </w:r>
      <w:r w:rsidRPr="002B3520">
        <w:rPr>
          <w:rFonts w:ascii="Verdana" w:hAnsi="Verdana" w:cs="Times New Roman"/>
          <w:i/>
          <w:sz w:val="18"/>
          <w:szCs w:val="18"/>
          <w:u w:val="single"/>
        </w:rPr>
        <w:t>por lo menos</w:t>
      </w:r>
      <w:r w:rsidRPr="00C84A6F">
        <w:rPr>
          <w:rFonts w:ascii="Verdana" w:hAnsi="Verdana" w:cs="Times New Roman"/>
          <w:i/>
          <w:sz w:val="18"/>
          <w:szCs w:val="18"/>
        </w:rPr>
        <w:t xml:space="preserve">, las </w:t>
      </w:r>
      <w:r w:rsidR="0088534D" w:rsidRPr="00C84A6F">
        <w:rPr>
          <w:rFonts w:ascii="Verdana" w:hAnsi="Verdana" w:cs="Times New Roman"/>
          <w:i/>
          <w:sz w:val="18"/>
          <w:szCs w:val="18"/>
        </w:rPr>
        <w:t>garantías</w:t>
      </w:r>
      <w:r w:rsidRPr="00C84A6F">
        <w:rPr>
          <w:rFonts w:ascii="Verdana" w:hAnsi="Verdana" w:cs="Times New Roman"/>
          <w:i/>
          <w:sz w:val="18"/>
          <w:szCs w:val="18"/>
        </w:rPr>
        <w:t xml:space="preserve"> </w:t>
      </w:r>
      <w:r w:rsidR="0088534D" w:rsidRPr="00C84A6F">
        <w:rPr>
          <w:rFonts w:ascii="Verdana" w:hAnsi="Verdana" w:cs="Times New Roman"/>
          <w:i/>
          <w:sz w:val="18"/>
          <w:szCs w:val="18"/>
        </w:rPr>
        <w:t>mínimas</w:t>
      </w:r>
      <w:r w:rsidRPr="00C84A6F">
        <w:rPr>
          <w:rFonts w:ascii="Verdana" w:hAnsi="Verdana" w:cs="Times New Roman"/>
          <w:i/>
          <w:sz w:val="18"/>
          <w:szCs w:val="18"/>
        </w:rPr>
        <w:t xml:space="preserve"> a que hace referencia el </w:t>
      </w:r>
      <w:r w:rsidR="0088534D" w:rsidRPr="00C84A6F">
        <w:rPr>
          <w:rFonts w:ascii="Verdana" w:hAnsi="Verdana" w:cs="Times New Roman"/>
          <w:i/>
          <w:sz w:val="18"/>
          <w:szCs w:val="18"/>
        </w:rPr>
        <w:t>artículo</w:t>
      </w:r>
      <w:r w:rsidRPr="00C84A6F">
        <w:rPr>
          <w:rFonts w:ascii="Verdana" w:hAnsi="Verdana" w:cs="Times New Roman"/>
          <w:i/>
          <w:sz w:val="18"/>
          <w:szCs w:val="18"/>
        </w:rPr>
        <w:t xml:space="preserve"> 8 de la </w:t>
      </w:r>
      <w:r w:rsidR="0088534D" w:rsidRPr="00C84A6F">
        <w:rPr>
          <w:rFonts w:ascii="Verdana" w:hAnsi="Verdana" w:cs="Times New Roman"/>
          <w:i/>
          <w:sz w:val="18"/>
          <w:szCs w:val="18"/>
        </w:rPr>
        <w:t>Convención</w:t>
      </w:r>
      <w:r w:rsidRPr="00C84A6F">
        <w:rPr>
          <w:rFonts w:ascii="Verdana" w:hAnsi="Verdana" w:cs="Times New Roman"/>
          <w:i/>
          <w:sz w:val="18"/>
          <w:szCs w:val="18"/>
          <w:u w:val="single"/>
        </w:rPr>
        <w:t xml:space="preserve">. Al denominarlas </w:t>
      </w:r>
      <w:r w:rsidR="0088534D" w:rsidRPr="00C84A6F">
        <w:rPr>
          <w:rFonts w:ascii="Verdana" w:hAnsi="Verdana" w:cs="Times New Roman"/>
          <w:i/>
          <w:sz w:val="18"/>
          <w:szCs w:val="18"/>
          <w:u w:val="single"/>
        </w:rPr>
        <w:t>mínimas</w:t>
      </w:r>
      <w:r w:rsidRPr="00C84A6F">
        <w:rPr>
          <w:rFonts w:ascii="Verdana" w:hAnsi="Verdana" w:cs="Times New Roman"/>
          <w:i/>
          <w:sz w:val="18"/>
          <w:szCs w:val="18"/>
          <w:u w:val="single"/>
        </w:rPr>
        <w:t xml:space="preserve"> </w:t>
      </w:r>
      <w:r w:rsidR="0088534D" w:rsidRPr="00C84A6F">
        <w:rPr>
          <w:rFonts w:ascii="Verdana" w:hAnsi="Verdana" w:cs="Times New Roman"/>
          <w:i/>
          <w:sz w:val="18"/>
          <w:szCs w:val="18"/>
          <w:u w:val="single"/>
        </w:rPr>
        <w:t>ésta</w:t>
      </w:r>
      <w:r w:rsidRPr="00C84A6F">
        <w:rPr>
          <w:rFonts w:ascii="Verdana" w:hAnsi="Verdana" w:cs="Times New Roman"/>
          <w:i/>
          <w:sz w:val="18"/>
          <w:szCs w:val="18"/>
          <w:u w:val="single"/>
        </w:rPr>
        <w:t xml:space="preserve"> presume que, en circunstancias </w:t>
      </w:r>
      <w:r w:rsidR="00EA3889" w:rsidRPr="00C84A6F">
        <w:rPr>
          <w:rFonts w:ascii="Verdana" w:hAnsi="Verdana" w:cs="Times New Roman"/>
          <w:i/>
          <w:sz w:val="18"/>
          <w:szCs w:val="18"/>
          <w:u w:val="single"/>
        </w:rPr>
        <w:t>específicas</w:t>
      </w:r>
      <w:r w:rsidRPr="00C84A6F">
        <w:rPr>
          <w:rFonts w:ascii="Verdana" w:hAnsi="Verdana" w:cs="Times New Roman"/>
          <w:i/>
          <w:sz w:val="18"/>
          <w:szCs w:val="18"/>
          <w:u w:val="single"/>
        </w:rPr>
        <w:t xml:space="preserve">, otras </w:t>
      </w:r>
      <w:r w:rsidR="0088534D" w:rsidRPr="00C84A6F">
        <w:rPr>
          <w:rFonts w:ascii="Verdana" w:hAnsi="Verdana" w:cs="Times New Roman"/>
          <w:i/>
          <w:sz w:val="18"/>
          <w:szCs w:val="18"/>
          <w:u w:val="single"/>
        </w:rPr>
        <w:t>garantías</w:t>
      </w:r>
      <w:r w:rsidRPr="00C84A6F">
        <w:rPr>
          <w:rFonts w:ascii="Verdana" w:hAnsi="Verdana" w:cs="Times New Roman"/>
          <w:i/>
          <w:sz w:val="18"/>
          <w:szCs w:val="18"/>
          <w:u w:val="single"/>
        </w:rPr>
        <w:t xml:space="preserve"> adicionales pueden ser necesarias si se trata de un debido proceso lega</w:t>
      </w:r>
      <w:r w:rsidRPr="00C84A6F">
        <w:rPr>
          <w:rFonts w:ascii="Verdana" w:hAnsi="Verdana" w:cs="Times New Roman"/>
          <w:i/>
          <w:sz w:val="18"/>
          <w:szCs w:val="18"/>
        </w:rPr>
        <w:t>l</w:t>
      </w:r>
      <w:r w:rsidRPr="002D4B8E">
        <w:rPr>
          <w:rStyle w:val="FootnoteReference"/>
          <w:rFonts w:ascii="Verdana" w:hAnsi="Verdana"/>
          <w:sz w:val="18"/>
          <w:szCs w:val="18"/>
        </w:rPr>
        <w:footnoteReference w:id="21"/>
      </w:r>
      <w:r w:rsidRPr="00C84A6F">
        <w:rPr>
          <w:rFonts w:ascii="Verdana" w:hAnsi="Verdana" w:cs="Times New Roman"/>
          <w:i/>
          <w:sz w:val="18"/>
          <w:szCs w:val="18"/>
        </w:rPr>
        <w:t xml:space="preserve">. </w:t>
      </w:r>
      <w:r w:rsidR="008D1DDE">
        <w:rPr>
          <w:rFonts w:ascii="Verdana" w:hAnsi="Verdana" w:cs="Times New Roman"/>
          <w:i/>
          <w:sz w:val="18"/>
          <w:szCs w:val="18"/>
        </w:rPr>
        <w:t>(Subrayado añadido)</w:t>
      </w:r>
    </w:p>
    <w:p w14:paraId="27FA494E" w14:textId="77777777" w:rsidR="00682E43" w:rsidRPr="00C84A6F" w:rsidRDefault="00682E43" w:rsidP="000E6EDD">
      <w:pPr>
        <w:pStyle w:val="ListParagraph"/>
        <w:ind w:left="0"/>
        <w:jc w:val="both"/>
        <w:rPr>
          <w:rFonts w:ascii="Verdana" w:hAnsi="Verdana"/>
          <w:sz w:val="20"/>
          <w:szCs w:val="20"/>
        </w:rPr>
      </w:pPr>
    </w:p>
    <w:p w14:paraId="380DF387" w14:textId="0362C4C9" w:rsidR="00D43714" w:rsidRPr="00C84A6F" w:rsidRDefault="00660B00" w:rsidP="000E6EDD">
      <w:pPr>
        <w:pStyle w:val="ListParagraph"/>
        <w:ind w:left="0"/>
        <w:jc w:val="both"/>
        <w:rPr>
          <w:rFonts w:ascii="Verdana" w:hAnsi="Verdana"/>
          <w:sz w:val="20"/>
          <w:szCs w:val="20"/>
        </w:rPr>
      </w:pPr>
      <w:r>
        <w:rPr>
          <w:rFonts w:ascii="Verdana" w:hAnsi="Verdana"/>
          <w:sz w:val="20"/>
          <w:szCs w:val="20"/>
        </w:rPr>
        <w:t xml:space="preserve">13. </w:t>
      </w:r>
      <w:r>
        <w:rPr>
          <w:rFonts w:ascii="Verdana" w:hAnsi="Verdana"/>
          <w:sz w:val="20"/>
          <w:szCs w:val="20"/>
        </w:rPr>
        <w:tab/>
      </w:r>
      <w:r w:rsidR="00537741" w:rsidRPr="00C84A6F">
        <w:rPr>
          <w:rFonts w:ascii="Verdana" w:hAnsi="Verdana"/>
          <w:sz w:val="20"/>
          <w:szCs w:val="20"/>
        </w:rPr>
        <w:t>De esta manera, las</w:t>
      </w:r>
      <w:r w:rsidR="00682E43" w:rsidRPr="00C84A6F">
        <w:rPr>
          <w:rFonts w:ascii="Verdana" w:hAnsi="Verdana"/>
          <w:sz w:val="20"/>
          <w:szCs w:val="20"/>
        </w:rPr>
        <w:t xml:space="preserve"> </w:t>
      </w:r>
      <w:r w:rsidR="00682E43" w:rsidRPr="003809A3">
        <w:rPr>
          <w:rFonts w:ascii="Verdana" w:hAnsi="Verdana"/>
          <w:i/>
          <w:sz w:val="20"/>
          <w:szCs w:val="20"/>
        </w:rPr>
        <w:t>garantías mín</w:t>
      </w:r>
      <w:r w:rsidR="00543594" w:rsidRPr="003809A3">
        <w:rPr>
          <w:rFonts w:ascii="Verdana" w:hAnsi="Verdana"/>
          <w:i/>
          <w:sz w:val="20"/>
          <w:szCs w:val="20"/>
        </w:rPr>
        <w:t>imas</w:t>
      </w:r>
      <w:r w:rsidR="00543594" w:rsidRPr="00C84A6F">
        <w:rPr>
          <w:rFonts w:ascii="Verdana" w:hAnsi="Verdana"/>
          <w:sz w:val="20"/>
          <w:szCs w:val="20"/>
        </w:rPr>
        <w:t xml:space="preserve"> </w:t>
      </w:r>
      <w:r w:rsidR="00537741" w:rsidRPr="00C84A6F">
        <w:rPr>
          <w:rFonts w:ascii="Verdana" w:hAnsi="Verdana"/>
          <w:sz w:val="20"/>
          <w:szCs w:val="20"/>
        </w:rPr>
        <w:t>a las que hace alusión el</w:t>
      </w:r>
      <w:r w:rsidR="00543594" w:rsidRPr="00C84A6F">
        <w:rPr>
          <w:rFonts w:ascii="Verdana" w:hAnsi="Verdana"/>
          <w:sz w:val="20"/>
          <w:szCs w:val="20"/>
        </w:rPr>
        <w:t xml:space="preserve"> artículo 8.2</w:t>
      </w:r>
      <w:r w:rsidR="00580D1E">
        <w:rPr>
          <w:rFonts w:ascii="Verdana" w:hAnsi="Verdana"/>
          <w:sz w:val="20"/>
          <w:szCs w:val="20"/>
        </w:rPr>
        <w:t xml:space="preserve"> de la Convención Americana</w:t>
      </w:r>
      <w:r w:rsidR="00340DB8">
        <w:rPr>
          <w:rFonts w:ascii="Verdana" w:hAnsi="Verdana"/>
          <w:sz w:val="20"/>
          <w:szCs w:val="20"/>
        </w:rPr>
        <w:t xml:space="preserve"> son las siguientes:</w:t>
      </w:r>
      <w:r w:rsidR="00D43714" w:rsidRPr="00C84A6F">
        <w:rPr>
          <w:rFonts w:ascii="Verdana" w:hAnsi="Verdana" w:cs="Tahoma"/>
          <w:sz w:val="20"/>
          <w:szCs w:val="20"/>
        </w:rPr>
        <w:t> a) derecho del inculpado de ser asistido gratuitamente por el traductor o intérprete, si no comprende o no habla el idioma del juzgado o tribunal</w:t>
      </w:r>
      <w:r w:rsidR="00D43714" w:rsidRPr="00C84A6F">
        <w:rPr>
          <w:rFonts w:ascii="Verdana" w:hAnsi="Verdana"/>
          <w:sz w:val="20"/>
          <w:szCs w:val="20"/>
        </w:rPr>
        <w:t xml:space="preserve">; </w:t>
      </w:r>
      <w:r w:rsidR="00D43714" w:rsidRPr="00C84A6F">
        <w:rPr>
          <w:rFonts w:ascii="Verdana" w:hAnsi="Verdana" w:cs="Tahoma"/>
          <w:sz w:val="20"/>
          <w:szCs w:val="20"/>
        </w:rPr>
        <w:t>b) comunicación previa y detallada al inculpado de la acusación formulada;</w:t>
      </w:r>
      <w:r w:rsidR="00D43714" w:rsidRPr="00C84A6F">
        <w:rPr>
          <w:rFonts w:ascii="Verdana" w:hAnsi="Verdana"/>
          <w:sz w:val="20"/>
          <w:szCs w:val="20"/>
        </w:rPr>
        <w:t xml:space="preserve"> </w:t>
      </w:r>
      <w:r w:rsidR="00D43714" w:rsidRPr="00C84A6F">
        <w:rPr>
          <w:rFonts w:ascii="Verdana" w:hAnsi="Verdana" w:cs="Tahoma"/>
          <w:sz w:val="20"/>
          <w:szCs w:val="20"/>
        </w:rPr>
        <w:t>c) concesión al inculpado del tiempo y de los medios adecuados para la preparación de su defensa</w:t>
      </w:r>
      <w:r w:rsidR="00D43714" w:rsidRPr="00C84A6F">
        <w:rPr>
          <w:rFonts w:ascii="Verdana" w:hAnsi="Verdana"/>
          <w:sz w:val="20"/>
          <w:szCs w:val="20"/>
        </w:rPr>
        <w:t xml:space="preserve">; </w:t>
      </w:r>
      <w:r w:rsidR="00D43714" w:rsidRPr="00C84A6F">
        <w:rPr>
          <w:rFonts w:ascii="Verdana" w:hAnsi="Verdana" w:cs="Tahoma"/>
          <w:sz w:val="20"/>
          <w:szCs w:val="20"/>
        </w:rPr>
        <w:t>d) derecho del inculpado de defenderse personalmente o de ser asistido por un defensor de su elección y de comunicarse libre y privadamente con su defensor</w:t>
      </w:r>
      <w:r w:rsidR="00D43714" w:rsidRPr="00C84A6F">
        <w:rPr>
          <w:rFonts w:ascii="Verdana" w:hAnsi="Verdana"/>
          <w:sz w:val="20"/>
          <w:szCs w:val="20"/>
        </w:rPr>
        <w:t xml:space="preserve">; </w:t>
      </w:r>
      <w:r w:rsidR="00D43714" w:rsidRPr="00C84A6F">
        <w:rPr>
          <w:rFonts w:ascii="Verdana" w:hAnsi="Verdana" w:cs="Tahoma"/>
          <w:sz w:val="20"/>
          <w:szCs w:val="20"/>
        </w:rPr>
        <w:t xml:space="preserve">e) derecho irrenunciable de ser asistido por un defensor proporcionado por el Estado, remunerado o no según la legislación interna, si el inculpado no se defendiere por sí mismo ni </w:t>
      </w:r>
      <w:r w:rsidR="00EA3889" w:rsidRPr="00C84A6F">
        <w:rPr>
          <w:rFonts w:ascii="Verdana" w:hAnsi="Verdana" w:cs="Tahoma"/>
          <w:sz w:val="20"/>
          <w:szCs w:val="20"/>
        </w:rPr>
        <w:t>nombra</w:t>
      </w:r>
      <w:r w:rsidR="00EA3889">
        <w:rPr>
          <w:rFonts w:ascii="Verdana" w:hAnsi="Verdana" w:cs="Tahoma"/>
          <w:sz w:val="20"/>
          <w:szCs w:val="20"/>
        </w:rPr>
        <w:t>s</w:t>
      </w:r>
      <w:r w:rsidR="00EA3889" w:rsidRPr="00C84A6F">
        <w:rPr>
          <w:rFonts w:ascii="Verdana" w:hAnsi="Verdana" w:cs="Tahoma"/>
          <w:sz w:val="20"/>
          <w:szCs w:val="20"/>
        </w:rPr>
        <w:t xml:space="preserve">e </w:t>
      </w:r>
      <w:r w:rsidR="00D43714" w:rsidRPr="00C84A6F">
        <w:rPr>
          <w:rFonts w:ascii="Verdana" w:hAnsi="Verdana" w:cs="Tahoma"/>
          <w:sz w:val="20"/>
          <w:szCs w:val="20"/>
        </w:rPr>
        <w:t>defensor dentro del plazo establecido por la ley;</w:t>
      </w:r>
      <w:r w:rsidR="00D43714" w:rsidRPr="00C84A6F">
        <w:rPr>
          <w:rFonts w:ascii="Verdana" w:hAnsi="Verdana"/>
          <w:sz w:val="20"/>
          <w:szCs w:val="20"/>
        </w:rPr>
        <w:t xml:space="preserve"> </w:t>
      </w:r>
      <w:r w:rsidR="00D43714" w:rsidRPr="00C84A6F">
        <w:rPr>
          <w:rFonts w:ascii="Verdana" w:hAnsi="Verdana" w:cs="Tahoma"/>
          <w:sz w:val="20"/>
          <w:szCs w:val="20"/>
        </w:rPr>
        <w:t>f) derecho de la defensa de interrogar a los testigos presentes en el tribunal y de obtener la comparecencia, como testigos o peritos, de otras personas que puedan arrojar luz sobre los hechos;</w:t>
      </w:r>
      <w:r w:rsidR="00D43714" w:rsidRPr="00C84A6F">
        <w:rPr>
          <w:rFonts w:ascii="Verdana" w:hAnsi="Verdana"/>
          <w:sz w:val="20"/>
          <w:szCs w:val="20"/>
        </w:rPr>
        <w:t xml:space="preserve"> </w:t>
      </w:r>
      <w:r w:rsidR="00D43714" w:rsidRPr="00C84A6F">
        <w:rPr>
          <w:rFonts w:ascii="Verdana" w:hAnsi="Verdana" w:cs="Tahoma"/>
          <w:sz w:val="20"/>
          <w:szCs w:val="20"/>
        </w:rPr>
        <w:t>g) derecho a no ser obligado a declarar contra sí mismo ni a declararse culpable y h) derecho de recurrir del fallo ante juez o tribunal superior.</w:t>
      </w:r>
    </w:p>
    <w:p w14:paraId="37C758AE" w14:textId="77777777" w:rsidR="005D5976" w:rsidRDefault="005D5976" w:rsidP="000E6EDD">
      <w:pPr>
        <w:pStyle w:val="ListParagraph"/>
        <w:ind w:left="0"/>
        <w:jc w:val="both"/>
        <w:rPr>
          <w:rFonts w:ascii="Verdana" w:hAnsi="Verdana"/>
          <w:sz w:val="20"/>
          <w:szCs w:val="20"/>
        </w:rPr>
      </w:pPr>
    </w:p>
    <w:p w14:paraId="5D39A1C5" w14:textId="2C2BE113" w:rsidR="0091516F" w:rsidRPr="0091516F" w:rsidRDefault="0091516F" w:rsidP="000E6EDD">
      <w:pPr>
        <w:pStyle w:val="ListParagraph"/>
        <w:ind w:left="708"/>
        <w:jc w:val="both"/>
        <w:rPr>
          <w:rFonts w:ascii="Verdana" w:hAnsi="Verdana"/>
          <w:i/>
          <w:sz w:val="20"/>
          <w:szCs w:val="20"/>
        </w:rPr>
      </w:pPr>
      <w:r w:rsidRPr="0091516F">
        <w:rPr>
          <w:rFonts w:ascii="Verdana" w:hAnsi="Verdana"/>
          <w:i/>
          <w:sz w:val="20"/>
          <w:szCs w:val="20"/>
        </w:rPr>
        <w:t>i)</w:t>
      </w:r>
      <w:r>
        <w:rPr>
          <w:rFonts w:ascii="Verdana" w:hAnsi="Verdana"/>
          <w:sz w:val="20"/>
          <w:szCs w:val="20"/>
        </w:rPr>
        <w:t xml:space="preserve"> </w:t>
      </w:r>
      <w:r w:rsidR="0025055F">
        <w:rPr>
          <w:rFonts w:ascii="Verdana" w:hAnsi="Verdana"/>
          <w:i/>
          <w:sz w:val="20"/>
          <w:szCs w:val="20"/>
        </w:rPr>
        <w:t xml:space="preserve">Las </w:t>
      </w:r>
      <w:r>
        <w:rPr>
          <w:rFonts w:ascii="Verdana" w:hAnsi="Verdana"/>
          <w:i/>
          <w:sz w:val="20"/>
          <w:szCs w:val="20"/>
        </w:rPr>
        <w:t>garan</w:t>
      </w:r>
      <w:r w:rsidR="003809A3">
        <w:rPr>
          <w:rFonts w:ascii="Verdana" w:hAnsi="Verdana"/>
          <w:i/>
          <w:sz w:val="20"/>
          <w:szCs w:val="20"/>
        </w:rPr>
        <w:t>tías mínimas del debido proceso</w:t>
      </w:r>
      <w:r>
        <w:rPr>
          <w:rFonts w:ascii="Verdana" w:hAnsi="Verdana"/>
          <w:i/>
          <w:sz w:val="20"/>
          <w:szCs w:val="20"/>
        </w:rPr>
        <w:t xml:space="preserve"> (Artículo 8.2 de la Convención Americana)</w:t>
      </w:r>
    </w:p>
    <w:p w14:paraId="06FFDDC2" w14:textId="77777777" w:rsidR="0091516F" w:rsidRPr="00C84A6F" w:rsidRDefault="0091516F" w:rsidP="000E6EDD">
      <w:pPr>
        <w:pStyle w:val="ListParagraph"/>
        <w:ind w:left="0"/>
        <w:jc w:val="both"/>
        <w:rPr>
          <w:rFonts w:ascii="Verdana" w:hAnsi="Verdana"/>
          <w:sz w:val="20"/>
          <w:szCs w:val="20"/>
        </w:rPr>
      </w:pPr>
    </w:p>
    <w:p w14:paraId="331E3FA2" w14:textId="3E0A0C9F" w:rsidR="00106986" w:rsidRPr="00C84A6F" w:rsidRDefault="00660B00" w:rsidP="000E6EDD">
      <w:pPr>
        <w:pStyle w:val="ListParagraph"/>
        <w:ind w:left="0"/>
        <w:jc w:val="both"/>
        <w:rPr>
          <w:rFonts w:ascii="Verdana" w:hAnsi="Verdana"/>
          <w:sz w:val="20"/>
          <w:szCs w:val="20"/>
        </w:rPr>
      </w:pPr>
      <w:r>
        <w:rPr>
          <w:rFonts w:ascii="Verdana" w:hAnsi="Verdana"/>
          <w:sz w:val="20"/>
          <w:szCs w:val="20"/>
        </w:rPr>
        <w:t xml:space="preserve">14. </w:t>
      </w:r>
      <w:r>
        <w:rPr>
          <w:rFonts w:ascii="Verdana" w:hAnsi="Verdana"/>
          <w:sz w:val="20"/>
          <w:szCs w:val="20"/>
        </w:rPr>
        <w:tab/>
      </w:r>
      <w:r w:rsidR="00211CBB" w:rsidRPr="00C84A6F">
        <w:rPr>
          <w:rFonts w:ascii="Verdana" w:hAnsi="Verdana"/>
          <w:sz w:val="20"/>
          <w:szCs w:val="20"/>
        </w:rPr>
        <w:t xml:space="preserve">Respecto </w:t>
      </w:r>
      <w:r w:rsidR="004511AA" w:rsidRPr="00C84A6F">
        <w:rPr>
          <w:rFonts w:ascii="Verdana" w:hAnsi="Verdana"/>
          <w:sz w:val="20"/>
          <w:szCs w:val="20"/>
        </w:rPr>
        <w:t xml:space="preserve">del </w:t>
      </w:r>
      <w:r w:rsidR="004511AA" w:rsidRPr="00A0371C">
        <w:rPr>
          <w:rFonts w:ascii="Verdana" w:hAnsi="Verdana"/>
          <w:i/>
          <w:sz w:val="20"/>
          <w:szCs w:val="20"/>
        </w:rPr>
        <w:t>derecho a ser asistido gratuitamente por un intérprete o traductor</w:t>
      </w:r>
      <w:r w:rsidR="00A0371C">
        <w:rPr>
          <w:rFonts w:ascii="Verdana" w:hAnsi="Verdana"/>
          <w:i/>
          <w:sz w:val="20"/>
          <w:szCs w:val="20"/>
        </w:rPr>
        <w:t xml:space="preserve"> (8.2.a)</w:t>
      </w:r>
      <w:r w:rsidR="004511AA" w:rsidRPr="00C84A6F">
        <w:rPr>
          <w:rFonts w:ascii="Verdana" w:hAnsi="Verdana"/>
          <w:sz w:val="20"/>
          <w:szCs w:val="20"/>
        </w:rPr>
        <w:t xml:space="preserve">, la Corte </w:t>
      </w:r>
      <w:r w:rsidR="000B6820">
        <w:rPr>
          <w:rFonts w:ascii="Verdana" w:hAnsi="Verdana"/>
          <w:sz w:val="20"/>
          <w:szCs w:val="20"/>
        </w:rPr>
        <w:t xml:space="preserve">IDH </w:t>
      </w:r>
      <w:r w:rsidR="004511AA" w:rsidRPr="00C84A6F">
        <w:rPr>
          <w:rFonts w:ascii="Verdana" w:hAnsi="Verdana"/>
          <w:sz w:val="20"/>
          <w:szCs w:val="20"/>
        </w:rPr>
        <w:t>ha precisado que para que u</w:t>
      </w:r>
      <w:r w:rsidR="00A0371C">
        <w:rPr>
          <w:rFonts w:ascii="Verdana" w:hAnsi="Verdana"/>
          <w:sz w:val="20"/>
          <w:szCs w:val="20"/>
        </w:rPr>
        <w:t xml:space="preserve">n proceso alcance sus objetivos, </w:t>
      </w:r>
      <w:r w:rsidR="004511AA" w:rsidRPr="00C84A6F">
        <w:rPr>
          <w:rFonts w:ascii="Verdana" w:hAnsi="Verdana"/>
          <w:sz w:val="20"/>
          <w:szCs w:val="20"/>
        </w:rPr>
        <w:t xml:space="preserve">debe reconocer y resolver los factores de desigualdad real de quienes son llevados ante </w:t>
      </w:r>
      <w:r w:rsidR="00EA3889">
        <w:rPr>
          <w:rFonts w:ascii="Verdana" w:hAnsi="Verdana"/>
          <w:sz w:val="20"/>
          <w:szCs w:val="20"/>
        </w:rPr>
        <w:t>la</w:t>
      </w:r>
      <w:r w:rsidR="00EA3889" w:rsidRPr="00C84A6F">
        <w:rPr>
          <w:rFonts w:ascii="Verdana" w:hAnsi="Verdana"/>
          <w:sz w:val="20"/>
          <w:szCs w:val="20"/>
        </w:rPr>
        <w:t xml:space="preserve"> </w:t>
      </w:r>
      <w:r w:rsidR="004511AA" w:rsidRPr="00C84A6F">
        <w:rPr>
          <w:rFonts w:ascii="Verdana" w:hAnsi="Verdana"/>
          <w:sz w:val="20"/>
          <w:szCs w:val="20"/>
        </w:rPr>
        <w:t xml:space="preserve">justicia, atendiendo al principio de igualdad ante la ley y los tribunales, y a la correlativa </w:t>
      </w:r>
      <w:r w:rsidR="004511AA" w:rsidRPr="00C84A6F">
        <w:rPr>
          <w:rFonts w:ascii="Verdana" w:hAnsi="Verdana"/>
          <w:sz w:val="20"/>
          <w:szCs w:val="20"/>
        </w:rPr>
        <w:lastRenderedPageBreak/>
        <w:t>prohibición de discriminación</w:t>
      </w:r>
      <w:r w:rsidR="00211CBB" w:rsidRPr="00C84A6F">
        <w:rPr>
          <w:rStyle w:val="FootnoteReference"/>
          <w:rFonts w:ascii="Verdana" w:hAnsi="Verdana"/>
          <w:sz w:val="20"/>
          <w:szCs w:val="20"/>
        </w:rPr>
        <w:footnoteReference w:id="22"/>
      </w:r>
      <w:r w:rsidR="004511AA" w:rsidRPr="00C84A6F">
        <w:rPr>
          <w:rFonts w:ascii="Verdana" w:hAnsi="Verdana"/>
          <w:sz w:val="20"/>
          <w:szCs w:val="20"/>
        </w:rPr>
        <w:t>. Así, si</w:t>
      </w:r>
      <w:r w:rsidR="00EA3889">
        <w:rPr>
          <w:rFonts w:ascii="Verdana" w:hAnsi="Verdana"/>
          <w:sz w:val="20"/>
          <w:szCs w:val="20"/>
        </w:rPr>
        <w:t xml:space="preserve"> </w:t>
      </w:r>
      <w:r w:rsidR="004511AA" w:rsidRPr="00C84A6F">
        <w:rPr>
          <w:rFonts w:ascii="Verdana" w:hAnsi="Verdana"/>
          <w:sz w:val="20"/>
          <w:szCs w:val="20"/>
        </w:rPr>
        <w:t xml:space="preserve">no existieran esos medios de compensación, ampliamente reconocidos </w:t>
      </w:r>
      <w:r w:rsidR="00DC0D32">
        <w:rPr>
          <w:rFonts w:ascii="Verdana" w:hAnsi="Verdana"/>
          <w:sz w:val="20"/>
          <w:szCs w:val="20"/>
        </w:rPr>
        <w:t>en diversas</w:t>
      </w:r>
      <w:r w:rsidR="00694741" w:rsidRPr="00C84A6F">
        <w:rPr>
          <w:rFonts w:ascii="Verdana" w:hAnsi="Verdana"/>
          <w:sz w:val="20"/>
          <w:szCs w:val="20"/>
        </w:rPr>
        <w:t xml:space="preserve"> vertientes del procedimiento, difícilmente se podría decir que quienes se encuentran en condiciones de desventaja disfrutan de un verdadero acceso a la justicia </w:t>
      </w:r>
      <w:r w:rsidR="008611F5" w:rsidRPr="00C84A6F">
        <w:rPr>
          <w:rFonts w:ascii="Verdana" w:hAnsi="Verdana"/>
          <w:sz w:val="20"/>
          <w:szCs w:val="20"/>
        </w:rPr>
        <w:t>y se benefician de un debido proceso legal en condiciones de igualdad con quien</w:t>
      </w:r>
      <w:r w:rsidR="00211CBB" w:rsidRPr="00C84A6F">
        <w:rPr>
          <w:rFonts w:ascii="Verdana" w:hAnsi="Verdana"/>
          <w:sz w:val="20"/>
          <w:szCs w:val="20"/>
        </w:rPr>
        <w:t>es no afrontan esas desventajas</w:t>
      </w:r>
      <w:r w:rsidR="00211CBB" w:rsidRPr="00C84A6F">
        <w:rPr>
          <w:rStyle w:val="FootnoteReference"/>
          <w:rFonts w:ascii="Verdana" w:hAnsi="Verdana"/>
          <w:sz w:val="20"/>
          <w:szCs w:val="20"/>
        </w:rPr>
        <w:footnoteReference w:id="23"/>
      </w:r>
      <w:r w:rsidR="00211CBB" w:rsidRPr="00C84A6F">
        <w:rPr>
          <w:rFonts w:ascii="Verdana" w:hAnsi="Verdana"/>
          <w:sz w:val="20"/>
          <w:szCs w:val="20"/>
        </w:rPr>
        <w:t xml:space="preserve">. </w:t>
      </w:r>
    </w:p>
    <w:p w14:paraId="7255F297" w14:textId="77777777" w:rsidR="00106986" w:rsidRPr="00C84A6F" w:rsidRDefault="00106986" w:rsidP="000E6EDD">
      <w:pPr>
        <w:jc w:val="both"/>
        <w:rPr>
          <w:rFonts w:ascii="Verdana" w:hAnsi="Verdana"/>
          <w:sz w:val="20"/>
          <w:szCs w:val="20"/>
        </w:rPr>
      </w:pPr>
    </w:p>
    <w:p w14:paraId="7E6FD3D7" w14:textId="6D9D1232" w:rsidR="00567260" w:rsidRPr="00C84A6F" w:rsidRDefault="00660B00" w:rsidP="000E6EDD">
      <w:pPr>
        <w:pStyle w:val="ListParagraph"/>
        <w:ind w:left="0"/>
        <w:jc w:val="both"/>
        <w:rPr>
          <w:rFonts w:ascii="Verdana" w:hAnsi="Verdana"/>
          <w:sz w:val="20"/>
          <w:szCs w:val="20"/>
        </w:rPr>
      </w:pPr>
      <w:r>
        <w:rPr>
          <w:rFonts w:ascii="Verdana" w:hAnsi="Verdana"/>
          <w:sz w:val="20"/>
          <w:szCs w:val="20"/>
        </w:rPr>
        <w:t xml:space="preserve">15. </w:t>
      </w:r>
      <w:r>
        <w:rPr>
          <w:rFonts w:ascii="Verdana" w:hAnsi="Verdana"/>
          <w:sz w:val="20"/>
          <w:szCs w:val="20"/>
        </w:rPr>
        <w:tab/>
      </w:r>
      <w:r w:rsidR="00475FC7">
        <w:rPr>
          <w:rFonts w:ascii="Verdana" w:hAnsi="Verdana"/>
          <w:sz w:val="20"/>
          <w:szCs w:val="20"/>
        </w:rPr>
        <w:t>E</w:t>
      </w:r>
      <w:r w:rsidR="00DC0DE6" w:rsidRPr="00C84A6F">
        <w:rPr>
          <w:rFonts w:ascii="Verdana" w:hAnsi="Verdana"/>
          <w:sz w:val="20"/>
          <w:szCs w:val="20"/>
        </w:rPr>
        <w:t xml:space="preserve">l </w:t>
      </w:r>
      <w:r w:rsidR="00DC0DE6" w:rsidRPr="00A0371C">
        <w:rPr>
          <w:rFonts w:ascii="Verdana" w:hAnsi="Verdana"/>
          <w:i/>
          <w:sz w:val="20"/>
          <w:szCs w:val="20"/>
        </w:rPr>
        <w:t>derecho a la comunicación previa y detallada de la acusación</w:t>
      </w:r>
      <w:r w:rsidR="00A0371C">
        <w:rPr>
          <w:rFonts w:ascii="Verdana" w:hAnsi="Verdana"/>
          <w:sz w:val="20"/>
          <w:szCs w:val="20"/>
        </w:rPr>
        <w:t xml:space="preserve"> </w:t>
      </w:r>
      <w:r w:rsidR="003809A3">
        <w:rPr>
          <w:rFonts w:ascii="Verdana" w:hAnsi="Verdana"/>
          <w:i/>
          <w:sz w:val="20"/>
          <w:szCs w:val="20"/>
        </w:rPr>
        <w:t>(8.2</w:t>
      </w:r>
      <w:r w:rsidR="00A0371C" w:rsidRPr="00A0371C">
        <w:rPr>
          <w:rFonts w:ascii="Verdana" w:hAnsi="Verdana"/>
          <w:i/>
          <w:sz w:val="20"/>
          <w:szCs w:val="20"/>
        </w:rPr>
        <w:t>.b)</w:t>
      </w:r>
      <w:r w:rsidR="00DC0DE6" w:rsidRPr="00A0371C">
        <w:rPr>
          <w:rFonts w:ascii="Verdana" w:hAnsi="Verdana"/>
          <w:i/>
          <w:sz w:val="20"/>
          <w:szCs w:val="20"/>
        </w:rPr>
        <w:t>,</w:t>
      </w:r>
      <w:r w:rsidR="00DC0DE6" w:rsidRPr="00C84A6F">
        <w:rPr>
          <w:rFonts w:ascii="Verdana" w:hAnsi="Verdana"/>
          <w:sz w:val="20"/>
          <w:szCs w:val="20"/>
        </w:rPr>
        <w:t xml:space="preserve"> </w:t>
      </w:r>
      <w:r w:rsidR="00567260" w:rsidRPr="00C84A6F">
        <w:rPr>
          <w:rFonts w:ascii="Verdana" w:hAnsi="Verdana"/>
          <w:sz w:val="20"/>
          <w:szCs w:val="20"/>
        </w:rPr>
        <w:t>a criterio d</w:t>
      </w:r>
      <w:r w:rsidR="00106986" w:rsidRPr="00C84A6F">
        <w:rPr>
          <w:rFonts w:ascii="Verdana" w:hAnsi="Verdana"/>
          <w:sz w:val="20"/>
          <w:szCs w:val="20"/>
        </w:rPr>
        <w:t>e</w:t>
      </w:r>
      <w:r w:rsidR="003809A3">
        <w:rPr>
          <w:rFonts w:ascii="Verdana" w:hAnsi="Verdana"/>
          <w:sz w:val="20"/>
          <w:szCs w:val="20"/>
        </w:rPr>
        <w:t>l Tribunal Interamericano</w:t>
      </w:r>
      <w:r w:rsidR="00567260" w:rsidRPr="00C84A6F">
        <w:rPr>
          <w:rFonts w:ascii="Verdana" w:hAnsi="Verdana"/>
          <w:sz w:val="20"/>
          <w:szCs w:val="20"/>
        </w:rPr>
        <w:t>,</w:t>
      </w:r>
      <w:r w:rsidR="00DC0DE6" w:rsidRPr="00C84A6F">
        <w:rPr>
          <w:rFonts w:ascii="Verdana" w:hAnsi="Verdana"/>
          <w:sz w:val="20"/>
          <w:szCs w:val="20"/>
        </w:rPr>
        <w:t xml:space="preserve"> consiste en que el Estado debe de informar al interesado no solamente de la causa de la acusación, esto es, de las acciones u omisiones que se le imputan, sino también de las razones que llevan al Estado a formular la imputación, los fundamentos probatorios de ésta y la caracterización legal que se da de esos hechos. Esta información debe ser expresa, clara, integral y suficientemente detallada para permitir al acusado que ejerza plenamente su derecho de defensa y muestre al juez su versión de los hechos</w:t>
      </w:r>
      <w:r w:rsidR="00B81DA8" w:rsidRPr="00C84A6F">
        <w:rPr>
          <w:rStyle w:val="FootnoteReference"/>
          <w:rFonts w:ascii="Verdana" w:hAnsi="Verdana"/>
          <w:sz w:val="20"/>
          <w:szCs w:val="20"/>
        </w:rPr>
        <w:footnoteReference w:id="24"/>
      </w:r>
      <w:r w:rsidR="00DC0DE6" w:rsidRPr="00C84A6F">
        <w:rPr>
          <w:rFonts w:ascii="Verdana" w:hAnsi="Verdana"/>
          <w:sz w:val="20"/>
          <w:szCs w:val="20"/>
        </w:rPr>
        <w:t>. Además, la descripción material de la conducta imputada debe contener los datos fácticos recogidos en la acusación, que constituyen la referencia indispensable para el ejercicio de la defensa del imputado y la consecuente consideración del juzgador en la sentencia</w:t>
      </w:r>
      <w:r w:rsidR="00B81DA8" w:rsidRPr="00C84A6F">
        <w:rPr>
          <w:rStyle w:val="FootnoteReference"/>
          <w:rFonts w:ascii="Verdana" w:hAnsi="Verdana"/>
          <w:sz w:val="20"/>
          <w:szCs w:val="20"/>
        </w:rPr>
        <w:footnoteReference w:id="25"/>
      </w:r>
      <w:r w:rsidR="00DC0DE6" w:rsidRPr="00C84A6F">
        <w:rPr>
          <w:rFonts w:ascii="Verdana" w:hAnsi="Verdana"/>
          <w:sz w:val="20"/>
          <w:szCs w:val="20"/>
        </w:rPr>
        <w:t xml:space="preserve">. </w:t>
      </w:r>
      <w:r w:rsidR="00106986" w:rsidRPr="00C84A6F">
        <w:rPr>
          <w:rFonts w:ascii="Verdana" w:hAnsi="Verdana"/>
          <w:sz w:val="20"/>
          <w:szCs w:val="20"/>
        </w:rPr>
        <w:t xml:space="preserve">Asimismo, la Corte </w:t>
      </w:r>
      <w:r w:rsidR="003809A3">
        <w:rPr>
          <w:rFonts w:ascii="Verdana" w:hAnsi="Verdana"/>
          <w:sz w:val="20"/>
          <w:szCs w:val="20"/>
        </w:rPr>
        <w:t xml:space="preserve">IDH </w:t>
      </w:r>
      <w:r w:rsidR="00106986" w:rsidRPr="00C84A6F">
        <w:rPr>
          <w:rFonts w:ascii="Verdana" w:hAnsi="Verdana"/>
          <w:sz w:val="20"/>
          <w:szCs w:val="20"/>
        </w:rPr>
        <w:t xml:space="preserve">ha expresado que “el </w:t>
      </w:r>
      <w:r w:rsidR="0088534D" w:rsidRPr="00C84A6F">
        <w:rPr>
          <w:rFonts w:ascii="Verdana" w:hAnsi="Verdana"/>
          <w:sz w:val="20"/>
          <w:szCs w:val="20"/>
        </w:rPr>
        <w:t>artículo</w:t>
      </w:r>
      <w:r w:rsidR="00106986" w:rsidRPr="00C84A6F">
        <w:rPr>
          <w:rFonts w:ascii="Verdana" w:hAnsi="Verdana"/>
          <w:sz w:val="20"/>
          <w:szCs w:val="20"/>
        </w:rPr>
        <w:t xml:space="preserve"> 8.2.b convencional rige incluso antes de que se formule una ‘</w:t>
      </w:r>
      <w:r w:rsidR="0088534D" w:rsidRPr="00C84A6F">
        <w:rPr>
          <w:rFonts w:ascii="Verdana" w:hAnsi="Verdana"/>
          <w:sz w:val="20"/>
          <w:szCs w:val="20"/>
        </w:rPr>
        <w:t>acusación</w:t>
      </w:r>
      <w:r w:rsidR="00106986" w:rsidRPr="00C84A6F">
        <w:rPr>
          <w:rFonts w:ascii="Verdana" w:hAnsi="Verdana"/>
          <w:sz w:val="20"/>
          <w:szCs w:val="20"/>
        </w:rPr>
        <w:t xml:space="preserve">’ en sentido estricto. Para que el mencionado </w:t>
      </w:r>
      <w:r w:rsidR="0088534D" w:rsidRPr="00C84A6F">
        <w:rPr>
          <w:rFonts w:ascii="Verdana" w:hAnsi="Verdana"/>
          <w:sz w:val="20"/>
          <w:szCs w:val="20"/>
        </w:rPr>
        <w:t>artículo</w:t>
      </w:r>
      <w:r w:rsidR="00106986" w:rsidRPr="00C84A6F">
        <w:rPr>
          <w:rFonts w:ascii="Verdana" w:hAnsi="Verdana"/>
          <w:sz w:val="20"/>
          <w:szCs w:val="20"/>
        </w:rPr>
        <w:t xml:space="preserve"> satisfaga los fines que le son inherentes, es necesario que la </w:t>
      </w:r>
      <w:r w:rsidR="0088534D" w:rsidRPr="00C84A6F">
        <w:rPr>
          <w:rFonts w:ascii="Verdana" w:hAnsi="Verdana"/>
          <w:sz w:val="20"/>
          <w:szCs w:val="20"/>
        </w:rPr>
        <w:t>notificación</w:t>
      </w:r>
      <w:r w:rsidR="00106986" w:rsidRPr="00C84A6F">
        <w:rPr>
          <w:rFonts w:ascii="Verdana" w:hAnsi="Verdana"/>
          <w:sz w:val="20"/>
          <w:szCs w:val="20"/>
        </w:rPr>
        <w:t xml:space="preserve"> ocurra previamente a que el inculpado rinda su primera </w:t>
      </w:r>
      <w:r w:rsidR="0088534D" w:rsidRPr="00C84A6F">
        <w:rPr>
          <w:rFonts w:ascii="Verdana" w:hAnsi="Verdana"/>
          <w:sz w:val="20"/>
          <w:szCs w:val="20"/>
        </w:rPr>
        <w:t>declaración</w:t>
      </w:r>
      <w:r w:rsidR="00106986" w:rsidRPr="00C84A6F">
        <w:rPr>
          <w:rFonts w:ascii="Verdana" w:hAnsi="Verdana"/>
          <w:sz w:val="20"/>
          <w:szCs w:val="20"/>
        </w:rPr>
        <w:t xml:space="preserve"> ante cualquier autoridad </w:t>
      </w:r>
      <w:r w:rsidR="0088534D" w:rsidRPr="00C84A6F">
        <w:rPr>
          <w:rFonts w:ascii="Verdana" w:hAnsi="Verdana"/>
          <w:sz w:val="20"/>
          <w:szCs w:val="20"/>
        </w:rPr>
        <w:t>pública</w:t>
      </w:r>
      <w:r w:rsidR="0016217E">
        <w:rPr>
          <w:rFonts w:ascii="Verdana" w:hAnsi="Verdana"/>
          <w:sz w:val="20"/>
          <w:szCs w:val="20"/>
        </w:rPr>
        <w:t>”</w:t>
      </w:r>
      <w:r w:rsidR="00106986" w:rsidRPr="00C84A6F">
        <w:rPr>
          <w:rStyle w:val="FootnoteReference"/>
          <w:rFonts w:ascii="Verdana" w:hAnsi="Verdana"/>
          <w:sz w:val="20"/>
          <w:szCs w:val="20"/>
        </w:rPr>
        <w:footnoteReference w:id="26"/>
      </w:r>
      <w:r w:rsidR="00106986" w:rsidRPr="00C84A6F">
        <w:rPr>
          <w:rFonts w:ascii="Verdana" w:hAnsi="Verdana"/>
          <w:sz w:val="20"/>
          <w:szCs w:val="20"/>
        </w:rPr>
        <w:t>.</w:t>
      </w:r>
    </w:p>
    <w:p w14:paraId="1DAA0773" w14:textId="77777777" w:rsidR="00106986" w:rsidRPr="00C84A6F" w:rsidRDefault="00106986" w:rsidP="000E6EDD">
      <w:pPr>
        <w:pStyle w:val="ListParagraph"/>
        <w:ind w:left="0"/>
        <w:jc w:val="both"/>
        <w:rPr>
          <w:rFonts w:ascii="Verdana" w:hAnsi="Verdana"/>
          <w:sz w:val="20"/>
          <w:szCs w:val="20"/>
        </w:rPr>
      </w:pPr>
    </w:p>
    <w:p w14:paraId="75AAD72D" w14:textId="4668D4C1" w:rsidR="00237A71" w:rsidRDefault="00B174B6" w:rsidP="00237A71">
      <w:pPr>
        <w:pStyle w:val="ListParagraph"/>
        <w:ind w:left="0"/>
        <w:jc w:val="both"/>
        <w:rPr>
          <w:rFonts w:ascii="Verdana" w:hAnsi="Verdana"/>
          <w:sz w:val="20"/>
          <w:szCs w:val="20"/>
        </w:rPr>
      </w:pPr>
      <w:r>
        <w:rPr>
          <w:rFonts w:ascii="Verdana" w:hAnsi="Verdana"/>
          <w:sz w:val="20"/>
          <w:szCs w:val="20"/>
        </w:rPr>
        <w:t>16</w:t>
      </w:r>
      <w:r w:rsidR="00237A71">
        <w:rPr>
          <w:rFonts w:ascii="Verdana" w:hAnsi="Verdana"/>
          <w:sz w:val="20"/>
          <w:szCs w:val="20"/>
        </w:rPr>
        <w:t xml:space="preserve">. </w:t>
      </w:r>
      <w:r w:rsidR="00237A71">
        <w:rPr>
          <w:rFonts w:ascii="Verdana" w:hAnsi="Verdana"/>
          <w:sz w:val="20"/>
          <w:szCs w:val="20"/>
        </w:rPr>
        <w:tab/>
      </w:r>
      <w:r w:rsidR="00237A71" w:rsidRPr="00AD5EE9">
        <w:rPr>
          <w:rFonts w:ascii="Verdana" w:hAnsi="Verdana"/>
          <w:sz w:val="20"/>
          <w:szCs w:val="20"/>
        </w:rPr>
        <w:t xml:space="preserve">Respecto </w:t>
      </w:r>
      <w:r w:rsidR="00237A71" w:rsidRPr="00F35F35">
        <w:rPr>
          <w:rFonts w:ascii="Verdana" w:hAnsi="Verdana"/>
          <w:sz w:val="20"/>
          <w:szCs w:val="20"/>
        </w:rPr>
        <w:t>del</w:t>
      </w:r>
      <w:r w:rsidR="00237A71" w:rsidRPr="00AD5EE9">
        <w:rPr>
          <w:rFonts w:ascii="Verdana" w:hAnsi="Verdana"/>
          <w:i/>
          <w:sz w:val="20"/>
          <w:szCs w:val="20"/>
        </w:rPr>
        <w:t xml:space="preserve"> derecho de defensa</w:t>
      </w:r>
      <w:r w:rsidR="00F35F35">
        <w:rPr>
          <w:rFonts w:ascii="Verdana" w:hAnsi="Verdana"/>
          <w:i/>
          <w:sz w:val="20"/>
          <w:szCs w:val="20"/>
        </w:rPr>
        <w:t xml:space="preserve"> (8.2</w:t>
      </w:r>
      <w:r w:rsidR="00F35F35" w:rsidRPr="00A0371C">
        <w:rPr>
          <w:rFonts w:ascii="Verdana" w:hAnsi="Verdana"/>
          <w:i/>
          <w:sz w:val="20"/>
          <w:szCs w:val="20"/>
        </w:rPr>
        <w:t>.</w:t>
      </w:r>
      <w:r w:rsidR="00F35F35">
        <w:rPr>
          <w:rFonts w:ascii="Verdana" w:hAnsi="Verdana"/>
          <w:i/>
          <w:sz w:val="20"/>
          <w:szCs w:val="20"/>
        </w:rPr>
        <w:t>c</w:t>
      </w:r>
      <w:r w:rsidR="00F35F35" w:rsidRPr="00A0371C">
        <w:rPr>
          <w:rFonts w:ascii="Verdana" w:hAnsi="Verdana"/>
          <w:i/>
          <w:sz w:val="20"/>
          <w:szCs w:val="20"/>
        </w:rPr>
        <w:t>)</w:t>
      </w:r>
      <w:r w:rsidR="00237A71" w:rsidRPr="00AD5EE9">
        <w:rPr>
          <w:rFonts w:ascii="Verdana" w:hAnsi="Verdana"/>
          <w:sz w:val="20"/>
          <w:szCs w:val="20"/>
        </w:rPr>
        <w:t>, el Tribunal</w:t>
      </w:r>
      <w:r w:rsidR="0016217E">
        <w:rPr>
          <w:rFonts w:ascii="Verdana" w:hAnsi="Verdana"/>
          <w:sz w:val="20"/>
          <w:szCs w:val="20"/>
        </w:rPr>
        <w:t xml:space="preserve"> Interamericano</w:t>
      </w:r>
      <w:r w:rsidR="00237A71" w:rsidRPr="00AD5EE9">
        <w:rPr>
          <w:rFonts w:ascii="Verdana" w:hAnsi="Verdana"/>
          <w:sz w:val="20"/>
          <w:szCs w:val="20"/>
        </w:rPr>
        <w:t xml:space="preserve"> ha señalado que debe poder ejercerse desde que se señala a una persona como posible autor o participe de un hecho punible y sólo culmina cuando finaliza el proceso</w:t>
      </w:r>
      <w:r w:rsidR="00237A71" w:rsidRPr="00C84A6F">
        <w:rPr>
          <w:rStyle w:val="FootnoteReference"/>
          <w:rFonts w:ascii="Verdana" w:hAnsi="Verdana"/>
          <w:sz w:val="20"/>
          <w:szCs w:val="20"/>
        </w:rPr>
        <w:footnoteReference w:id="27"/>
      </w:r>
      <w:r w:rsidR="00237A71" w:rsidRPr="00AD5EE9">
        <w:rPr>
          <w:rFonts w:ascii="Verdana" w:hAnsi="Verdana"/>
          <w:sz w:val="20"/>
          <w:szCs w:val="20"/>
        </w:rPr>
        <w:t>, incluyendo la ejecución de la sentencia</w:t>
      </w:r>
      <w:r w:rsidR="00237A71" w:rsidRPr="00C84A6F">
        <w:rPr>
          <w:rStyle w:val="FootnoteReference"/>
          <w:rFonts w:ascii="Verdana" w:hAnsi="Verdana"/>
          <w:sz w:val="20"/>
          <w:szCs w:val="20"/>
        </w:rPr>
        <w:footnoteReference w:id="28"/>
      </w:r>
      <w:r w:rsidR="00237A71" w:rsidRPr="00AD5EE9">
        <w:rPr>
          <w:rFonts w:ascii="Verdana" w:hAnsi="Verdana"/>
          <w:sz w:val="20"/>
          <w:szCs w:val="20"/>
        </w:rPr>
        <w:t>. De esta manera, sostener lo opuesto implicaría supeditar las garantías convencionales que protegen el derecho de defensa, a que la investigación se encuentre en determinada fase procesal, dejando abierta la posibilidad de que con anterioridad se afecte un ámbito de sus derechos a través de actos de autoridad que desconoce a los que no puede controlar y oponerse con eficacia, lo cual es evidentemente contrario a la Convención</w:t>
      </w:r>
      <w:r w:rsidR="00DF019F">
        <w:rPr>
          <w:rFonts w:ascii="Verdana" w:hAnsi="Verdana"/>
          <w:sz w:val="20"/>
          <w:szCs w:val="20"/>
        </w:rPr>
        <w:t xml:space="preserve"> Americana</w:t>
      </w:r>
      <w:r w:rsidR="00237A71" w:rsidRPr="00C84A6F">
        <w:rPr>
          <w:rStyle w:val="FootnoteReference"/>
          <w:rFonts w:ascii="Verdana" w:hAnsi="Verdana"/>
          <w:sz w:val="20"/>
          <w:szCs w:val="20"/>
        </w:rPr>
        <w:footnoteReference w:id="29"/>
      </w:r>
      <w:r w:rsidR="00237A71" w:rsidRPr="00AD5EE9">
        <w:rPr>
          <w:rFonts w:ascii="Verdana" w:hAnsi="Verdana"/>
          <w:sz w:val="20"/>
          <w:szCs w:val="20"/>
        </w:rPr>
        <w:t>. Impedir que una persona ejerza su derecho de defensa, desde que se inicia un proceso que la involucra y la autoridad dispone o ejecutan actos que implican afectación de derechos, es potenciar los poderes investigativos del Estado en desmedro de derechos fundamentales de la persona</w:t>
      </w:r>
      <w:r w:rsidR="00237A71" w:rsidRPr="00C84A6F">
        <w:rPr>
          <w:rStyle w:val="FootnoteReference"/>
          <w:rFonts w:ascii="Verdana" w:hAnsi="Verdana"/>
          <w:sz w:val="20"/>
          <w:szCs w:val="20"/>
        </w:rPr>
        <w:footnoteReference w:id="30"/>
      </w:r>
      <w:r w:rsidR="00237A71" w:rsidRPr="00AD5EE9">
        <w:rPr>
          <w:rFonts w:ascii="Verdana" w:hAnsi="Verdana"/>
          <w:sz w:val="20"/>
          <w:szCs w:val="20"/>
        </w:rPr>
        <w:t xml:space="preserve">. Parte del derecho de defensa que ha desarrollado la </w:t>
      </w:r>
      <w:r w:rsidR="00237A71" w:rsidRPr="00AD5EE9">
        <w:rPr>
          <w:rFonts w:ascii="Verdana" w:hAnsi="Verdana"/>
          <w:sz w:val="20"/>
          <w:szCs w:val="20"/>
        </w:rPr>
        <w:lastRenderedPageBreak/>
        <w:t>jurisprudenc</w:t>
      </w:r>
      <w:r w:rsidR="000B6820">
        <w:rPr>
          <w:rFonts w:ascii="Verdana" w:hAnsi="Verdana"/>
          <w:sz w:val="20"/>
          <w:szCs w:val="20"/>
        </w:rPr>
        <w:t>ia de la Corte IDH</w:t>
      </w:r>
      <w:r w:rsidR="00237A71" w:rsidRPr="00AD5EE9">
        <w:rPr>
          <w:rFonts w:ascii="Verdana" w:hAnsi="Verdana"/>
          <w:sz w:val="20"/>
          <w:szCs w:val="20"/>
        </w:rPr>
        <w:t xml:space="preserve"> tiene un víncu</w:t>
      </w:r>
      <w:r w:rsidR="00FD3E72">
        <w:rPr>
          <w:rFonts w:ascii="Verdana" w:hAnsi="Verdana"/>
          <w:sz w:val="20"/>
          <w:szCs w:val="20"/>
        </w:rPr>
        <w:t>lo directo con el hecho de que e</w:t>
      </w:r>
      <w:r w:rsidR="00237A71" w:rsidRPr="00AD5EE9">
        <w:rPr>
          <w:rFonts w:ascii="Verdana" w:hAnsi="Verdana"/>
          <w:sz w:val="20"/>
          <w:szCs w:val="20"/>
        </w:rPr>
        <w:t>ste derecho obliga al Estado a tratar al individuo en todo momento como un verdadero sujeto del proceso, en el más amplio sentido de este concepto, y no simplemente como objeto del mismo</w:t>
      </w:r>
      <w:r w:rsidR="00237A71" w:rsidRPr="00C84A6F">
        <w:rPr>
          <w:rStyle w:val="FootnoteReference"/>
          <w:rFonts w:ascii="Verdana" w:hAnsi="Verdana"/>
          <w:sz w:val="20"/>
          <w:szCs w:val="20"/>
        </w:rPr>
        <w:footnoteReference w:id="31"/>
      </w:r>
      <w:r w:rsidR="00237A71" w:rsidRPr="00AD5EE9">
        <w:rPr>
          <w:rFonts w:ascii="Verdana" w:hAnsi="Verdana"/>
          <w:sz w:val="20"/>
          <w:szCs w:val="20"/>
        </w:rPr>
        <w:t xml:space="preserve">. De esta forma, el desarrollo jurisprudencial del Tribunal Interamericano ha considerado </w:t>
      </w:r>
      <w:r w:rsidR="00237A71" w:rsidRPr="00AD5EE9">
        <w:rPr>
          <w:rFonts w:ascii="Verdana" w:hAnsi="Verdana"/>
          <w:i/>
          <w:sz w:val="20"/>
          <w:szCs w:val="20"/>
        </w:rPr>
        <w:t xml:space="preserve">una serie de garantías mínimas </w:t>
      </w:r>
      <w:r w:rsidR="00237A71" w:rsidRPr="00AD5EE9">
        <w:rPr>
          <w:rFonts w:ascii="Verdana" w:hAnsi="Verdana"/>
          <w:sz w:val="20"/>
          <w:szCs w:val="20"/>
        </w:rPr>
        <w:t>derivadas del artículo 8.2 del Pacto de San José, y</w:t>
      </w:r>
      <w:r w:rsidR="00237A71" w:rsidRPr="00AD5EE9">
        <w:rPr>
          <w:rFonts w:ascii="Verdana" w:hAnsi="Verdana"/>
          <w:i/>
          <w:sz w:val="20"/>
          <w:szCs w:val="20"/>
        </w:rPr>
        <w:t xml:space="preserve"> </w:t>
      </w:r>
      <w:r w:rsidR="00237A71" w:rsidRPr="00AD5EE9">
        <w:rPr>
          <w:rFonts w:ascii="Verdana" w:hAnsi="Verdana"/>
          <w:sz w:val="20"/>
          <w:szCs w:val="20"/>
        </w:rPr>
        <w:t>que se vinculan directamente con el derecho de defensa</w:t>
      </w:r>
      <w:r w:rsidR="00237A71">
        <w:rPr>
          <w:rFonts w:ascii="Verdana" w:hAnsi="Verdana"/>
          <w:sz w:val="20"/>
          <w:szCs w:val="20"/>
        </w:rPr>
        <w:t>.</w:t>
      </w:r>
    </w:p>
    <w:p w14:paraId="7D436449" w14:textId="77777777" w:rsidR="00237A71" w:rsidRDefault="00237A71" w:rsidP="00237A71">
      <w:pPr>
        <w:pStyle w:val="ListParagraph"/>
        <w:ind w:left="0"/>
        <w:jc w:val="both"/>
        <w:rPr>
          <w:rFonts w:ascii="Verdana" w:hAnsi="Verdana"/>
          <w:sz w:val="20"/>
          <w:szCs w:val="20"/>
        </w:rPr>
      </w:pPr>
    </w:p>
    <w:p w14:paraId="08C588CA" w14:textId="5B02D791" w:rsidR="003862F6" w:rsidRPr="00C84A6F" w:rsidRDefault="00B174B6" w:rsidP="000E6EDD">
      <w:pPr>
        <w:pStyle w:val="ListParagraph"/>
        <w:ind w:left="0"/>
        <w:jc w:val="both"/>
        <w:rPr>
          <w:rFonts w:ascii="Verdana" w:hAnsi="Verdana"/>
          <w:sz w:val="20"/>
          <w:szCs w:val="20"/>
        </w:rPr>
      </w:pPr>
      <w:r>
        <w:rPr>
          <w:rFonts w:ascii="Verdana" w:hAnsi="Verdana"/>
          <w:sz w:val="20"/>
          <w:szCs w:val="20"/>
        </w:rPr>
        <w:t>17</w:t>
      </w:r>
      <w:r w:rsidR="00660B00">
        <w:rPr>
          <w:rFonts w:ascii="Verdana" w:hAnsi="Verdana"/>
          <w:sz w:val="20"/>
          <w:szCs w:val="20"/>
        </w:rPr>
        <w:t xml:space="preserve">. </w:t>
      </w:r>
      <w:r w:rsidR="00660B00">
        <w:rPr>
          <w:rFonts w:ascii="Verdana" w:hAnsi="Verdana"/>
          <w:sz w:val="20"/>
          <w:szCs w:val="20"/>
        </w:rPr>
        <w:tab/>
      </w:r>
      <w:r w:rsidR="00BD5A81" w:rsidRPr="00C84A6F">
        <w:rPr>
          <w:rFonts w:ascii="Verdana" w:hAnsi="Verdana"/>
          <w:sz w:val="20"/>
          <w:szCs w:val="20"/>
        </w:rPr>
        <w:t xml:space="preserve">En consonancia con lo anterior, </w:t>
      </w:r>
      <w:r w:rsidR="00BD5A81" w:rsidRPr="00A0371C">
        <w:rPr>
          <w:rFonts w:ascii="Verdana" w:hAnsi="Verdana"/>
          <w:i/>
          <w:sz w:val="20"/>
          <w:szCs w:val="20"/>
        </w:rPr>
        <w:t>sobre la preparación adecuada del derecho de defensa (tiempo y medios)</w:t>
      </w:r>
      <w:r w:rsidR="00A0371C" w:rsidRPr="00A0371C">
        <w:rPr>
          <w:rFonts w:ascii="Verdana" w:hAnsi="Verdana"/>
          <w:i/>
          <w:sz w:val="20"/>
          <w:szCs w:val="20"/>
        </w:rPr>
        <w:t xml:space="preserve"> (8.2.c)</w:t>
      </w:r>
      <w:r w:rsidR="00BD5A81" w:rsidRPr="00A0371C">
        <w:rPr>
          <w:rFonts w:ascii="Verdana" w:hAnsi="Verdana"/>
          <w:i/>
          <w:sz w:val="20"/>
          <w:szCs w:val="20"/>
        </w:rPr>
        <w:t>,</w:t>
      </w:r>
      <w:r w:rsidR="00FD3E72">
        <w:rPr>
          <w:rFonts w:ascii="Verdana" w:hAnsi="Verdana"/>
          <w:sz w:val="20"/>
          <w:szCs w:val="20"/>
        </w:rPr>
        <w:t xml:space="preserve"> la Corte</w:t>
      </w:r>
      <w:r w:rsidR="00070D41">
        <w:rPr>
          <w:rFonts w:ascii="Verdana" w:hAnsi="Verdana"/>
          <w:sz w:val="20"/>
          <w:szCs w:val="20"/>
        </w:rPr>
        <w:t xml:space="preserve"> IDH</w:t>
      </w:r>
      <w:r w:rsidR="00FD3E72">
        <w:rPr>
          <w:rFonts w:ascii="Verdana" w:hAnsi="Verdana"/>
          <w:sz w:val="20"/>
          <w:szCs w:val="20"/>
        </w:rPr>
        <w:t xml:space="preserve"> ha expresado que e</w:t>
      </w:r>
      <w:r w:rsidR="00BD5A81" w:rsidRPr="00C84A6F">
        <w:rPr>
          <w:rFonts w:ascii="Verdana" w:hAnsi="Verdana"/>
          <w:sz w:val="20"/>
          <w:szCs w:val="20"/>
        </w:rPr>
        <w:t>ste derecho implica que se le permita al inculpado tener acceso a</w:t>
      </w:r>
      <w:r w:rsidR="00E944CD">
        <w:rPr>
          <w:rFonts w:ascii="Verdana" w:hAnsi="Verdana"/>
          <w:sz w:val="20"/>
          <w:szCs w:val="20"/>
        </w:rPr>
        <w:t>l</w:t>
      </w:r>
      <w:r w:rsidR="00BD5A81" w:rsidRPr="00C84A6F">
        <w:rPr>
          <w:rFonts w:ascii="Verdana" w:hAnsi="Verdana"/>
          <w:sz w:val="20"/>
          <w:szCs w:val="20"/>
        </w:rPr>
        <w:t xml:space="preserve"> expediente llevado en su contra</w:t>
      </w:r>
      <w:r w:rsidR="00B81DA8" w:rsidRPr="00C84A6F">
        <w:rPr>
          <w:rStyle w:val="FootnoteReference"/>
          <w:rFonts w:ascii="Verdana" w:hAnsi="Verdana"/>
          <w:sz w:val="20"/>
          <w:szCs w:val="20"/>
        </w:rPr>
        <w:footnoteReference w:id="32"/>
      </w:r>
      <w:r w:rsidR="00BD5A81" w:rsidRPr="00C84A6F">
        <w:rPr>
          <w:rFonts w:ascii="Verdana" w:hAnsi="Verdana"/>
          <w:sz w:val="20"/>
          <w:szCs w:val="20"/>
        </w:rPr>
        <w:t>, siempre que se respete el principio del contradictorio, que garantiza la intervención del inculpado en el análisis de la prueba</w:t>
      </w:r>
      <w:r w:rsidR="00AC4703" w:rsidRPr="00C84A6F">
        <w:rPr>
          <w:rStyle w:val="FootnoteReference"/>
          <w:rFonts w:ascii="Verdana" w:hAnsi="Verdana"/>
          <w:sz w:val="20"/>
          <w:szCs w:val="20"/>
        </w:rPr>
        <w:footnoteReference w:id="33"/>
      </w:r>
      <w:r w:rsidR="00BD5A81" w:rsidRPr="00C84A6F">
        <w:rPr>
          <w:rFonts w:ascii="Verdana" w:hAnsi="Verdana"/>
          <w:sz w:val="20"/>
          <w:szCs w:val="20"/>
        </w:rPr>
        <w:t xml:space="preserve"> por lo que el acceso al expediente es requisito </w:t>
      </w:r>
      <w:r w:rsidR="00BD5A81" w:rsidRPr="00C84A6F">
        <w:rPr>
          <w:rFonts w:ascii="Verdana" w:hAnsi="Verdana"/>
          <w:i/>
          <w:sz w:val="20"/>
          <w:szCs w:val="20"/>
        </w:rPr>
        <w:t xml:space="preserve">sine qua non </w:t>
      </w:r>
      <w:r w:rsidR="00BD5A81" w:rsidRPr="00C84A6F">
        <w:rPr>
          <w:rFonts w:ascii="Verdana" w:hAnsi="Verdana"/>
          <w:sz w:val="20"/>
          <w:szCs w:val="20"/>
        </w:rPr>
        <w:t>de la intervención procesal de la víctima en la causa en la que se constituye como parte coadyuvante o querellante, según la legislación interna</w:t>
      </w:r>
      <w:r w:rsidR="00AC4703" w:rsidRPr="00C84A6F">
        <w:rPr>
          <w:rStyle w:val="FootnoteReference"/>
          <w:rFonts w:ascii="Verdana" w:hAnsi="Verdana"/>
          <w:sz w:val="20"/>
          <w:szCs w:val="20"/>
        </w:rPr>
        <w:footnoteReference w:id="34"/>
      </w:r>
      <w:r w:rsidR="00BD5A81" w:rsidRPr="00C84A6F">
        <w:rPr>
          <w:rFonts w:ascii="Verdana" w:hAnsi="Verdana"/>
          <w:sz w:val="20"/>
          <w:szCs w:val="20"/>
        </w:rPr>
        <w:t xml:space="preserve">. </w:t>
      </w:r>
    </w:p>
    <w:p w14:paraId="0CDCF54B" w14:textId="77777777" w:rsidR="003862F6" w:rsidRPr="00C84A6F" w:rsidRDefault="003862F6" w:rsidP="000E6EDD">
      <w:pPr>
        <w:jc w:val="both"/>
        <w:rPr>
          <w:rFonts w:ascii="Verdana" w:hAnsi="Verdana"/>
          <w:sz w:val="20"/>
          <w:szCs w:val="20"/>
        </w:rPr>
      </w:pPr>
    </w:p>
    <w:p w14:paraId="58A66E3F" w14:textId="39C396E6" w:rsidR="00B4146F" w:rsidRDefault="003406A5" w:rsidP="000E6EDD">
      <w:pPr>
        <w:pStyle w:val="ListParagraph"/>
        <w:ind w:left="0"/>
        <w:jc w:val="both"/>
        <w:rPr>
          <w:rFonts w:ascii="Verdana" w:hAnsi="Verdana"/>
          <w:sz w:val="20"/>
          <w:szCs w:val="20"/>
        </w:rPr>
      </w:pPr>
      <w:r>
        <w:rPr>
          <w:rFonts w:ascii="Verdana" w:hAnsi="Verdana"/>
          <w:sz w:val="20"/>
          <w:szCs w:val="20"/>
        </w:rPr>
        <w:t>18</w:t>
      </w:r>
      <w:r w:rsidR="00660B00">
        <w:rPr>
          <w:rFonts w:ascii="Verdana" w:hAnsi="Verdana"/>
          <w:sz w:val="20"/>
          <w:szCs w:val="20"/>
        </w:rPr>
        <w:t xml:space="preserve">. </w:t>
      </w:r>
      <w:r w:rsidR="00660B00">
        <w:rPr>
          <w:rFonts w:ascii="Verdana" w:hAnsi="Verdana"/>
          <w:sz w:val="20"/>
          <w:szCs w:val="20"/>
        </w:rPr>
        <w:tab/>
      </w:r>
      <w:r w:rsidR="00544B33" w:rsidRPr="00C84A6F">
        <w:rPr>
          <w:rFonts w:ascii="Verdana" w:hAnsi="Verdana"/>
          <w:sz w:val="20"/>
          <w:szCs w:val="20"/>
        </w:rPr>
        <w:t xml:space="preserve">Sobre el derecho contemplado en el </w:t>
      </w:r>
      <w:r w:rsidR="00EA3889" w:rsidRPr="00C84A6F">
        <w:rPr>
          <w:rFonts w:ascii="Verdana" w:hAnsi="Verdana"/>
          <w:sz w:val="20"/>
          <w:szCs w:val="20"/>
        </w:rPr>
        <w:t>artículo</w:t>
      </w:r>
      <w:r w:rsidR="00544B33" w:rsidRPr="00C84A6F">
        <w:rPr>
          <w:rFonts w:ascii="Verdana" w:hAnsi="Verdana"/>
          <w:sz w:val="20"/>
          <w:szCs w:val="20"/>
        </w:rPr>
        <w:t xml:space="preserve"> 8.2</w:t>
      </w:r>
      <w:r w:rsidR="00F77516">
        <w:rPr>
          <w:rFonts w:ascii="Verdana" w:hAnsi="Verdana"/>
          <w:sz w:val="20"/>
          <w:szCs w:val="20"/>
        </w:rPr>
        <w:t>.d</w:t>
      </w:r>
      <w:r w:rsidR="00580D1E">
        <w:rPr>
          <w:rFonts w:ascii="Verdana" w:hAnsi="Verdana"/>
          <w:sz w:val="20"/>
          <w:szCs w:val="20"/>
        </w:rPr>
        <w:t xml:space="preserve"> de la Convención</w:t>
      </w:r>
      <w:r w:rsidR="00DF019F">
        <w:rPr>
          <w:rFonts w:ascii="Verdana" w:hAnsi="Verdana"/>
          <w:sz w:val="20"/>
          <w:szCs w:val="20"/>
        </w:rPr>
        <w:t xml:space="preserve"> Americana</w:t>
      </w:r>
      <w:r w:rsidR="00544B33" w:rsidRPr="00C84A6F">
        <w:rPr>
          <w:rFonts w:ascii="Verdana" w:hAnsi="Verdana"/>
          <w:sz w:val="20"/>
          <w:szCs w:val="20"/>
        </w:rPr>
        <w:t xml:space="preserve">, el Tribunal </w:t>
      </w:r>
      <w:r w:rsidR="00A73EBE">
        <w:rPr>
          <w:rFonts w:ascii="Verdana" w:hAnsi="Verdana"/>
          <w:sz w:val="20"/>
          <w:szCs w:val="20"/>
        </w:rPr>
        <w:t xml:space="preserve">Interamericano </w:t>
      </w:r>
      <w:r w:rsidR="00544B33" w:rsidRPr="00C84A6F">
        <w:rPr>
          <w:rFonts w:ascii="Verdana" w:hAnsi="Verdana"/>
          <w:sz w:val="20"/>
          <w:szCs w:val="20"/>
        </w:rPr>
        <w:t xml:space="preserve">ha destacado que el inculpado puede defenderse personalmente, siempre que esto lo </w:t>
      </w:r>
      <w:r w:rsidR="005A4DB8" w:rsidRPr="00C84A6F">
        <w:rPr>
          <w:rFonts w:ascii="Verdana" w:hAnsi="Verdana"/>
          <w:sz w:val="20"/>
          <w:szCs w:val="20"/>
        </w:rPr>
        <w:t xml:space="preserve">permita </w:t>
      </w:r>
      <w:r w:rsidR="00544B33" w:rsidRPr="00C84A6F">
        <w:rPr>
          <w:rFonts w:ascii="Verdana" w:hAnsi="Verdana"/>
          <w:sz w:val="20"/>
          <w:szCs w:val="20"/>
        </w:rPr>
        <w:t>la legislación interna</w:t>
      </w:r>
      <w:r w:rsidR="00941750" w:rsidRPr="00C84A6F">
        <w:rPr>
          <w:rFonts w:ascii="Verdana" w:hAnsi="Verdana"/>
          <w:sz w:val="20"/>
          <w:szCs w:val="20"/>
        </w:rPr>
        <w:t>.</w:t>
      </w:r>
      <w:r w:rsidR="00544B33" w:rsidRPr="00C84A6F">
        <w:rPr>
          <w:rFonts w:ascii="Verdana" w:hAnsi="Verdana"/>
          <w:sz w:val="20"/>
          <w:szCs w:val="20"/>
        </w:rPr>
        <w:t xml:space="preserve"> </w:t>
      </w:r>
      <w:r w:rsidR="00070D41">
        <w:rPr>
          <w:rFonts w:ascii="Verdana" w:hAnsi="Verdana"/>
          <w:sz w:val="20"/>
          <w:szCs w:val="20"/>
        </w:rPr>
        <w:t xml:space="preserve">La </w:t>
      </w:r>
      <w:r w:rsidR="003862F6" w:rsidRPr="00C84A6F">
        <w:rPr>
          <w:rFonts w:ascii="Verdana" w:hAnsi="Verdana"/>
          <w:sz w:val="20"/>
          <w:szCs w:val="20"/>
        </w:rPr>
        <w:t>Corte</w:t>
      </w:r>
      <w:r w:rsidR="000B6820">
        <w:rPr>
          <w:rFonts w:ascii="Verdana" w:hAnsi="Verdana"/>
          <w:sz w:val="20"/>
          <w:szCs w:val="20"/>
        </w:rPr>
        <w:t xml:space="preserve"> IDH</w:t>
      </w:r>
      <w:r w:rsidR="003862F6" w:rsidRPr="00C84A6F">
        <w:rPr>
          <w:rFonts w:ascii="Verdana" w:hAnsi="Verdana"/>
          <w:sz w:val="20"/>
          <w:szCs w:val="20"/>
        </w:rPr>
        <w:t xml:space="preserve"> ha establecido que el derecho a la defensa debe poder ejercerse desde que se </w:t>
      </w:r>
      <w:r w:rsidR="0088534D" w:rsidRPr="00C84A6F">
        <w:rPr>
          <w:rFonts w:ascii="Verdana" w:hAnsi="Verdana"/>
          <w:sz w:val="20"/>
          <w:szCs w:val="20"/>
        </w:rPr>
        <w:t>señala</w:t>
      </w:r>
      <w:r w:rsidR="003862F6" w:rsidRPr="00C84A6F">
        <w:rPr>
          <w:rFonts w:ascii="Verdana" w:hAnsi="Verdana"/>
          <w:sz w:val="20"/>
          <w:szCs w:val="20"/>
        </w:rPr>
        <w:t xml:space="preserve"> a una persona como posible autor o </w:t>
      </w:r>
      <w:r w:rsidR="0088534D" w:rsidRPr="00C84A6F">
        <w:rPr>
          <w:rFonts w:ascii="Verdana" w:hAnsi="Verdana"/>
          <w:sz w:val="20"/>
          <w:szCs w:val="20"/>
        </w:rPr>
        <w:t>partícipe</w:t>
      </w:r>
      <w:r w:rsidR="003862F6" w:rsidRPr="00C84A6F">
        <w:rPr>
          <w:rFonts w:ascii="Verdana" w:hAnsi="Verdana"/>
          <w:sz w:val="20"/>
          <w:szCs w:val="20"/>
        </w:rPr>
        <w:t xml:space="preserve"> de un hecho punible y </w:t>
      </w:r>
      <w:r w:rsidR="0088534D" w:rsidRPr="00C84A6F">
        <w:rPr>
          <w:rFonts w:ascii="Verdana" w:hAnsi="Verdana"/>
          <w:sz w:val="20"/>
          <w:szCs w:val="20"/>
        </w:rPr>
        <w:t>sólo</w:t>
      </w:r>
      <w:r w:rsidR="003862F6" w:rsidRPr="00C84A6F">
        <w:rPr>
          <w:rFonts w:ascii="Verdana" w:hAnsi="Verdana"/>
          <w:sz w:val="20"/>
          <w:szCs w:val="20"/>
        </w:rPr>
        <w:t xml:space="preserve"> culmina cuando finaliza el proceso</w:t>
      </w:r>
      <w:r w:rsidR="003862F6" w:rsidRPr="00C84A6F">
        <w:rPr>
          <w:rStyle w:val="FootnoteReference"/>
          <w:rFonts w:ascii="Verdana" w:hAnsi="Verdana"/>
          <w:sz w:val="20"/>
          <w:szCs w:val="20"/>
        </w:rPr>
        <w:footnoteReference w:id="35"/>
      </w:r>
      <w:r w:rsidR="003862F6" w:rsidRPr="00C84A6F">
        <w:rPr>
          <w:rFonts w:ascii="Verdana" w:hAnsi="Verdana"/>
          <w:sz w:val="20"/>
          <w:szCs w:val="20"/>
        </w:rPr>
        <w:t>.</w:t>
      </w:r>
      <w:r w:rsidR="003862F6" w:rsidRPr="00C84A6F">
        <w:rPr>
          <w:rFonts w:ascii="Verdana" w:hAnsi="Verdana"/>
        </w:rPr>
        <w:t xml:space="preserve"> </w:t>
      </w:r>
      <w:r w:rsidR="00703AC3" w:rsidRPr="00C84A6F">
        <w:rPr>
          <w:rFonts w:ascii="Verdana" w:hAnsi="Verdana"/>
          <w:sz w:val="20"/>
          <w:szCs w:val="20"/>
        </w:rPr>
        <w:t>La defensa técnica, supone que un defensor asesore al investigado sobre sus deberes y derechos, sobre la posibilidad de ejercer recursos</w:t>
      </w:r>
      <w:r w:rsidR="00795C82" w:rsidRPr="00C84A6F">
        <w:rPr>
          <w:rFonts w:ascii="Verdana" w:hAnsi="Verdana"/>
          <w:sz w:val="20"/>
          <w:szCs w:val="20"/>
        </w:rPr>
        <w:t xml:space="preserve"> contra actos que afecten derechos, y ejecute, un control </w:t>
      </w:r>
      <w:r w:rsidR="00EA3889" w:rsidRPr="00C84A6F">
        <w:rPr>
          <w:rFonts w:ascii="Verdana" w:hAnsi="Verdana"/>
          <w:sz w:val="20"/>
          <w:szCs w:val="20"/>
        </w:rPr>
        <w:t>crítico</w:t>
      </w:r>
      <w:r w:rsidR="00795C82" w:rsidRPr="00C84A6F">
        <w:rPr>
          <w:rFonts w:ascii="Verdana" w:hAnsi="Verdana"/>
          <w:sz w:val="20"/>
          <w:szCs w:val="20"/>
        </w:rPr>
        <w:t xml:space="preserve"> y de legalidad en la producción de pruebas</w:t>
      </w:r>
      <w:r w:rsidR="005A4DB8" w:rsidRPr="00C84A6F">
        <w:rPr>
          <w:rStyle w:val="FootnoteReference"/>
          <w:rFonts w:ascii="Verdana" w:hAnsi="Verdana"/>
          <w:sz w:val="20"/>
          <w:szCs w:val="20"/>
        </w:rPr>
        <w:footnoteReference w:id="36"/>
      </w:r>
      <w:r w:rsidR="00795C82" w:rsidRPr="00C84A6F">
        <w:rPr>
          <w:rFonts w:ascii="Verdana" w:hAnsi="Verdana"/>
          <w:sz w:val="20"/>
          <w:szCs w:val="20"/>
        </w:rPr>
        <w:t>. Asimismo, e</w:t>
      </w:r>
      <w:r w:rsidR="00544B33" w:rsidRPr="00C84A6F">
        <w:rPr>
          <w:rFonts w:ascii="Verdana" w:hAnsi="Verdana"/>
          <w:sz w:val="20"/>
          <w:szCs w:val="20"/>
        </w:rPr>
        <w:t>l inculpado</w:t>
      </w:r>
      <w:r w:rsidR="00703AC3" w:rsidRPr="00C84A6F">
        <w:rPr>
          <w:rFonts w:ascii="Verdana" w:hAnsi="Verdana"/>
          <w:sz w:val="20"/>
          <w:szCs w:val="20"/>
        </w:rPr>
        <w:t>, a través de</w:t>
      </w:r>
      <w:r w:rsidR="00795C82" w:rsidRPr="00C84A6F">
        <w:rPr>
          <w:rFonts w:ascii="Verdana" w:hAnsi="Verdana"/>
          <w:sz w:val="20"/>
          <w:szCs w:val="20"/>
        </w:rPr>
        <w:t xml:space="preserve"> sus propios actos, entre ellos</w:t>
      </w:r>
      <w:r w:rsidR="00703AC3" w:rsidRPr="00C84A6F">
        <w:rPr>
          <w:rFonts w:ascii="Verdana" w:hAnsi="Verdana"/>
          <w:sz w:val="20"/>
          <w:szCs w:val="20"/>
        </w:rPr>
        <w:t xml:space="preserve"> la declaración que rinda sobre los hechos que se le atribuyen, puede enfrentar y refutar la acusación en su contra</w:t>
      </w:r>
      <w:r w:rsidR="005A4DB8" w:rsidRPr="00C84A6F">
        <w:rPr>
          <w:rFonts w:ascii="Verdana" w:hAnsi="Verdana"/>
          <w:sz w:val="20"/>
          <w:szCs w:val="20"/>
        </w:rPr>
        <w:t xml:space="preserve">; además, </w:t>
      </w:r>
      <w:r w:rsidR="00703AC3" w:rsidRPr="00C84A6F">
        <w:rPr>
          <w:rFonts w:ascii="Verdana" w:hAnsi="Verdana"/>
          <w:sz w:val="20"/>
          <w:szCs w:val="20"/>
        </w:rPr>
        <w:t>si el inculpado no quiere o no puede hacer su defensa personalmente, tiene derecho a ser asistido por un defensor de su elección</w:t>
      </w:r>
      <w:r w:rsidR="005A4DB8" w:rsidRPr="00C84A6F">
        <w:rPr>
          <w:rStyle w:val="FootnoteReference"/>
          <w:rFonts w:ascii="Verdana" w:hAnsi="Verdana"/>
          <w:sz w:val="20"/>
          <w:szCs w:val="20"/>
        </w:rPr>
        <w:footnoteReference w:id="37"/>
      </w:r>
      <w:r w:rsidR="005A4DB8" w:rsidRPr="00C84A6F">
        <w:rPr>
          <w:rFonts w:ascii="Verdana" w:hAnsi="Verdana"/>
          <w:sz w:val="20"/>
          <w:szCs w:val="20"/>
        </w:rPr>
        <w:t xml:space="preserve">. </w:t>
      </w:r>
    </w:p>
    <w:p w14:paraId="45B2829B" w14:textId="77777777" w:rsidR="00A24C2B" w:rsidRPr="00C84A6F" w:rsidRDefault="00A24C2B" w:rsidP="000E6EDD">
      <w:pPr>
        <w:pStyle w:val="ListParagraph"/>
        <w:ind w:left="0"/>
        <w:jc w:val="both"/>
        <w:rPr>
          <w:rFonts w:ascii="Verdana" w:hAnsi="Verdana"/>
          <w:sz w:val="20"/>
          <w:szCs w:val="20"/>
        </w:rPr>
      </w:pPr>
    </w:p>
    <w:p w14:paraId="4C6699FB" w14:textId="55118DDD" w:rsidR="000A709C" w:rsidRPr="00C84A6F" w:rsidRDefault="00B174B6" w:rsidP="000E6EDD">
      <w:pPr>
        <w:pStyle w:val="ListParagraph"/>
        <w:ind w:left="0"/>
        <w:jc w:val="both"/>
        <w:rPr>
          <w:rFonts w:ascii="Verdana" w:hAnsi="Verdana"/>
          <w:sz w:val="20"/>
          <w:szCs w:val="20"/>
        </w:rPr>
      </w:pPr>
      <w:r>
        <w:rPr>
          <w:rFonts w:ascii="Verdana" w:hAnsi="Verdana" w:cs="Times New Roman"/>
          <w:sz w:val="20"/>
          <w:szCs w:val="20"/>
        </w:rPr>
        <w:t>19</w:t>
      </w:r>
      <w:r w:rsidR="00660B00">
        <w:rPr>
          <w:rFonts w:ascii="Verdana" w:hAnsi="Verdana" w:cs="Times New Roman"/>
          <w:sz w:val="20"/>
          <w:szCs w:val="20"/>
        </w:rPr>
        <w:t xml:space="preserve">. </w:t>
      </w:r>
      <w:r w:rsidR="00660B00">
        <w:rPr>
          <w:rFonts w:ascii="Verdana" w:hAnsi="Verdana" w:cs="Times New Roman"/>
          <w:sz w:val="20"/>
          <w:szCs w:val="20"/>
        </w:rPr>
        <w:tab/>
      </w:r>
      <w:r w:rsidR="000A709C" w:rsidRPr="00C84A6F">
        <w:rPr>
          <w:rFonts w:ascii="Verdana" w:hAnsi="Verdana" w:cs="Times New Roman"/>
          <w:sz w:val="20"/>
          <w:szCs w:val="20"/>
        </w:rPr>
        <w:t>Respecto al derecho contemplado en el artícul</w:t>
      </w:r>
      <w:r w:rsidR="00A73EBE">
        <w:rPr>
          <w:rFonts w:ascii="Verdana" w:hAnsi="Verdana" w:cs="Times New Roman"/>
          <w:sz w:val="20"/>
          <w:szCs w:val="20"/>
        </w:rPr>
        <w:t>o 8.2.e, la Corte I</w:t>
      </w:r>
      <w:r w:rsidR="003809A3">
        <w:rPr>
          <w:rFonts w:ascii="Verdana" w:hAnsi="Verdana" w:cs="Times New Roman"/>
          <w:sz w:val="20"/>
          <w:szCs w:val="20"/>
        </w:rPr>
        <w:t>DH</w:t>
      </w:r>
      <w:r w:rsidR="000A709C" w:rsidRPr="00C84A6F">
        <w:rPr>
          <w:rFonts w:ascii="Verdana" w:hAnsi="Verdana" w:cs="Times New Roman"/>
          <w:sz w:val="20"/>
          <w:szCs w:val="20"/>
        </w:rPr>
        <w:t xml:space="preserve"> ha considerado </w:t>
      </w:r>
      <w:r w:rsidR="00070D41">
        <w:rPr>
          <w:rFonts w:ascii="Verdana" w:hAnsi="Verdana" w:cs="Times New Roman"/>
          <w:sz w:val="20"/>
          <w:szCs w:val="20"/>
        </w:rPr>
        <w:t xml:space="preserve">que </w:t>
      </w:r>
      <w:r w:rsidR="000A709C" w:rsidRPr="00C84A6F">
        <w:rPr>
          <w:rFonts w:ascii="Verdana" w:hAnsi="Verdana" w:cs="Times New Roman"/>
          <w:sz w:val="20"/>
          <w:szCs w:val="20"/>
        </w:rPr>
        <w:t xml:space="preserve">si es evidente que la defensa </w:t>
      </w:r>
      <w:r w:rsidR="00856B94" w:rsidRPr="00C84A6F">
        <w:rPr>
          <w:rFonts w:ascii="Verdana" w:hAnsi="Verdana" w:cs="Times New Roman"/>
          <w:sz w:val="20"/>
          <w:szCs w:val="20"/>
        </w:rPr>
        <w:t>pública</w:t>
      </w:r>
      <w:r w:rsidR="000A709C" w:rsidRPr="00C84A6F">
        <w:rPr>
          <w:rFonts w:ascii="Verdana" w:hAnsi="Verdana" w:cs="Times New Roman"/>
          <w:sz w:val="20"/>
          <w:szCs w:val="20"/>
        </w:rPr>
        <w:t xml:space="preserve"> </w:t>
      </w:r>
      <w:r w:rsidR="00941750" w:rsidRPr="00C84A6F">
        <w:rPr>
          <w:rFonts w:ascii="Verdana" w:hAnsi="Verdana" w:cs="Times New Roman"/>
          <w:sz w:val="20"/>
          <w:szCs w:val="20"/>
        </w:rPr>
        <w:t>actuó</w:t>
      </w:r>
      <w:r w:rsidR="000A709C" w:rsidRPr="00C84A6F">
        <w:rPr>
          <w:rFonts w:ascii="Verdana" w:hAnsi="Verdana" w:cs="Times New Roman"/>
          <w:sz w:val="20"/>
          <w:szCs w:val="20"/>
        </w:rPr>
        <w:t xml:space="preserve">́ sin la diligencia debida, recae sobre las autoridades judiciales un deber de tutela o control. Además, la </w:t>
      </w:r>
      <w:r w:rsidR="00856B94" w:rsidRPr="00C84A6F">
        <w:rPr>
          <w:rFonts w:ascii="Verdana" w:hAnsi="Verdana" w:cs="Times New Roman"/>
          <w:sz w:val="20"/>
          <w:szCs w:val="20"/>
        </w:rPr>
        <w:t>función</w:t>
      </w:r>
      <w:r w:rsidR="000A709C" w:rsidRPr="00C84A6F">
        <w:rPr>
          <w:rFonts w:ascii="Verdana" w:hAnsi="Verdana" w:cs="Times New Roman"/>
          <w:sz w:val="20"/>
          <w:szCs w:val="20"/>
        </w:rPr>
        <w:t xml:space="preserve"> judicial debe vigilar que el derecho a la defensa no se torne ilusorio a </w:t>
      </w:r>
      <w:r w:rsidR="00856B94" w:rsidRPr="00C84A6F">
        <w:rPr>
          <w:rFonts w:ascii="Verdana" w:hAnsi="Verdana" w:cs="Times New Roman"/>
          <w:sz w:val="20"/>
          <w:szCs w:val="20"/>
        </w:rPr>
        <w:t>través</w:t>
      </w:r>
      <w:r w:rsidR="000A709C" w:rsidRPr="00C84A6F">
        <w:rPr>
          <w:rFonts w:ascii="Verdana" w:hAnsi="Verdana" w:cs="Times New Roman"/>
          <w:sz w:val="20"/>
          <w:szCs w:val="20"/>
        </w:rPr>
        <w:t xml:space="preserve"> de una asistencia </w:t>
      </w:r>
      <w:r w:rsidR="00856B94" w:rsidRPr="00C84A6F">
        <w:rPr>
          <w:rFonts w:ascii="Verdana" w:hAnsi="Verdana" w:cs="Times New Roman"/>
          <w:sz w:val="20"/>
          <w:szCs w:val="20"/>
        </w:rPr>
        <w:t>jurídica</w:t>
      </w:r>
      <w:r w:rsidR="000A709C" w:rsidRPr="00C84A6F">
        <w:rPr>
          <w:rFonts w:ascii="Verdana" w:hAnsi="Verdana" w:cs="Times New Roman"/>
          <w:sz w:val="20"/>
          <w:szCs w:val="20"/>
        </w:rPr>
        <w:t xml:space="preserve"> ineficaz. En esta </w:t>
      </w:r>
      <w:r w:rsidR="00856B94" w:rsidRPr="00C84A6F">
        <w:rPr>
          <w:rFonts w:ascii="Verdana" w:hAnsi="Verdana" w:cs="Times New Roman"/>
          <w:sz w:val="20"/>
          <w:szCs w:val="20"/>
        </w:rPr>
        <w:t>línea</w:t>
      </w:r>
      <w:r w:rsidR="000A709C" w:rsidRPr="00C84A6F">
        <w:rPr>
          <w:rFonts w:ascii="Verdana" w:hAnsi="Verdana" w:cs="Times New Roman"/>
          <w:sz w:val="20"/>
          <w:szCs w:val="20"/>
        </w:rPr>
        <w:t xml:space="preserve">, resulta esencial la </w:t>
      </w:r>
      <w:r w:rsidR="00941750" w:rsidRPr="00C84A6F">
        <w:rPr>
          <w:rFonts w:ascii="Verdana" w:hAnsi="Verdana" w:cs="Times New Roman"/>
          <w:sz w:val="20"/>
          <w:szCs w:val="20"/>
        </w:rPr>
        <w:t>función</w:t>
      </w:r>
      <w:r w:rsidR="000A709C" w:rsidRPr="00C84A6F">
        <w:rPr>
          <w:rFonts w:ascii="Verdana" w:hAnsi="Verdana" w:cs="Times New Roman"/>
          <w:sz w:val="20"/>
          <w:szCs w:val="20"/>
        </w:rPr>
        <w:t xml:space="preserve"> de resguardo del debido proceso que deben ejercer las autoridades judiciales. Tal deber de tutela o de control ha sido reconocido en la medida </w:t>
      </w:r>
      <w:r w:rsidR="000A709C" w:rsidRPr="00C84A6F">
        <w:rPr>
          <w:rFonts w:ascii="Verdana" w:hAnsi="Verdana" w:cs="Times New Roman"/>
          <w:sz w:val="20"/>
          <w:szCs w:val="20"/>
        </w:rPr>
        <w:lastRenderedPageBreak/>
        <w:t xml:space="preserve">que se han invalidado procesos cuando resulta patente una falla en la </w:t>
      </w:r>
      <w:r w:rsidR="00856B94" w:rsidRPr="00C84A6F">
        <w:rPr>
          <w:rFonts w:ascii="Verdana" w:hAnsi="Verdana" w:cs="Times New Roman"/>
          <w:sz w:val="20"/>
          <w:szCs w:val="20"/>
        </w:rPr>
        <w:t>actuación</w:t>
      </w:r>
      <w:r w:rsidR="000A709C" w:rsidRPr="00C84A6F">
        <w:rPr>
          <w:rFonts w:ascii="Verdana" w:hAnsi="Verdana" w:cs="Times New Roman"/>
          <w:sz w:val="20"/>
          <w:szCs w:val="20"/>
        </w:rPr>
        <w:t xml:space="preserve"> de la defensa </w:t>
      </w:r>
      <w:r w:rsidR="00856B94" w:rsidRPr="00C84A6F">
        <w:rPr>
          <w:rFonts w:ascii="Verdana" w:hAnsi="Verdana" w:cs="Times New Roman"/>
          <w:sz w:val="20"/>
          <w:szCs w:val="20"/>
        </w:rPr>
        <w:t>técnica</w:t>
      </w:r>
      <w:r w:rsidR="005A4DB8" w:rsidRPr="00C84A6F">
        <w:rPr>
          <w:rStyle w:val="FootnoteReference"/>
          <w:rFonts w:ascii="Verdana" w:hAnsi="Verdana" w:cs="Times New Roman"/>
          <w:sz w:val="20"/>
          <w:szCs w:val="20"/>
        </w:rPr>
        <w:footnoteReference w:id="38"/>
      </w:r>
      <w:r w:rsidR="005A4DB8" w:rsidRPr="00C84A6F">
        <w:rPr>
          <w:rFonts w:ascii="Verdana" w:hAnsi="Verdana" w:cs="Times New Roman"/>
          <w:sz w:val="20"/>
          <w:szCs w:val="20"/>
        </w:rPr>
        <w:t>.</w:t>
      </w:r>
      <w:r w:rsidR="000A709C" w:rsidRPr="00C84A6F">
        <w:rPr>
          <w:rFonts w:ascii="Verdana" w:hAnsi="Verdana" w:cs="Times New Roman"/>
          <w:sz w:val="20"/>
          <w:szCs w:val="20"/>
        </w:rPr>
        <w:t xml:space="preserve"> </w:t>
      </w:r>
    </w:p>
    <w:p w14:paraId="389EBBE7" w14:textId="77777777" w:rsidR="00795C82" w:rsidRPr="00C84A6F" w:rsidRDefault="00795C82" w:rsidP="000E6EDD">
      <w:pPr>
        <w:jc w:val="both"/>
        <w:rPr>
          <w:rFonts w:ascii="Verdana" w:hAnsi="Verdana"/>
          <w:sz w:val="20"/>
          <w:szCs w:val="20"/>
        </w:rPr>
      </w:pPr>
    </w:p>
    <w:p w14:paraId="593746AA" w14:textId="3FE0A3FD" w:rsidR="00795C82" w:rsidRPr="00C84A6F" w:rsidRDefault="00B174B6" w:rsidP="000E6EDD">
      <w:pPr>
        <w:pStyle w:val="ListParagraph"/>
        <w:ind w:left="0"/>
        <w:jc w:val="both"/>
        <w:rPr>
          <w:rFonts w:ascii="Verdana" w:hAnsi="Verdana"/>
          <w:sz w:val="20"/>
          <w:szCs w:val="20"/>
        </w:rPr>
      </w:pPr>
      <w:r>
        <w:rPr>
          <w:rFonts w:ascii="Verdana" w:hAnsi="Verdana"/>
          <w:sz w:val="20"/>
          <w:szCs w:val="20"/>
        </w:rPr>
        <w:t>20</w:t>
      </w:r>
      <w:r w:rsidR="00660B00">
        <w:rPr>
          <w:rFonts w:ascii="Verdana" w:hAnsi="Verdana"/>
          <w:sz w:val="20"/>
          <w:szCs w:val="20"/>
        </w:rPr>
        <w:t xml:space="preserve">. </w:t>
      </w:r>
      <w:r w:rsidR="00660B00">
        <w:rPr>
          <w:rFonts w:ascii="Verdana" w:hAnsi="Verdana"/>
          <w:sz w:val="20"/>
          <w:szCs w:val="20"/>
        </w:rPr>
        <w:tab/>
      </w:r>
      <w:r w:rsidR="00D806A7" w:rsidRPr="00C84A6F">
        <w:rPr>
          <w:rFonts w:ascii="Verdana" w:hAnsi="Verdana"/>
          <w:sz w:val="20"/>
          <w:szCs w:val="20"/>
        </w:rPr>
        <w:t xml:space="preserve">Sobre el </w:t>
      </w:r>
      <w:r w:rsidR="00D806A7" w:rsidRPr="00774D5F">
        <w:rPr>
          <w:rFonts w:ascii="Verdana" w:hAnsi="Verdana"/>
          <w:i/>
          <w:sz w:val="20"/>
          <w:szCs w:val="20"/>
        </w:rPr>
        <w:t>derecho de interrogar a los testigos</w:t>
      </w:r>
      <w:r w:rsidR="00D806A7" w:rsidRPr="00C84A6F">
        <w:rPr>
          <w:rFonts w:ascii="Verdana" w:hAnsi="Verdana"/>
          <w:sz w:val="20"/>
          <w:szCs w:val="20"/>
        </w:rPr>
        <w:t xml:space="preserve">, la Corte </w:t>
      </w:r>
      <w:r w:rsidR="003809A3">
        <w:rPr>
          <w:rFonts w:ascii="Verdana" w:hAnsi="Verdana"/>
          <w:sz w:val="20"/>
          <w:szCs w:val="20"/>
        </w:rPr>
        <w:t xml:space="preserve">IDH </w:t>
      </w:r>
      <w:r w:rsidR="00D806A7" w:rsidRPr="00C84A6F">
        <w:rPr>
          <w:rFonts w:ascii="Verdana" w:hAnsi="Verdana"/>
          <w:sz w:val="20"/>
          <w:szCs w:val="20"/>
        </w:rPr>
        <w:t>ha entendido que, dentro de las prerrogativas que deben concederse a quienes hayan sido acusados está la de examinar los testigos en su contra y a su favor, bajo las mismas condiciones que el Estado, con el objeto de ejercer su defensa y hacer comparecer a personas que pued</w:t>
      </w:r>
      <w:r w:rsidR="00CE7068">
        <w:rPr>
          <w:rFonts w:ascii="Verdana" w:hAnsi="Verdana"/>
          <w:sz w:val="20"/>
          <w:szCs w:val="20"/>
        </w:rPr>
        <w:t>an arrojar luz sobre los hechos;</w:t>
      </w:r>
      <w:r w:rsidR="00D806A7" w:rsidRPr="00C84A6F">
        <w:rPr>
          <w:rFonts w:ascii="Verdana" w:hAnsi="Verdana"/>
          <w:sz w:val="20"/>
          <w:szCs w:val="20"/>
        </w:rPr>
        <w:t xml:space="preserve"> además, la imposición de restricciones a los abogados defensores de las victimas vulnera el derecho de defensa de interrogar testigos y hacer comparecer personas en el proceso</w:t>
      </w:r>
      <w:r w:rsidR="006A6D3B" w:rsidRPr="00C84A6F">
        <w:rPr>
          <w:rStyle w:val="FootnoteReference"/>
          <w:rFonts w:ascii="Verdana" w:hAnsi="Verdana"/>
          <w:sz w:val="20"/>
          <w:szCs w:val="20"/>
        </w:rPr>
        <w:footnoteReference w:id="39"/>
      </w:r>
      <w:r w:rsidR="00D806A7" w:rsidRPr="00C84A6F">
        <w:rPr>
          <w:rFonts w:ascii="Verdana" w:hAnsi="Verdana"/>
          <w:sz w:val="20"/>
          <w:szCs w:val="20"/>
        </w:rPr>
        <w:t xml:space="preserve">. </w:t>
      </w:r>
      <w:r w:rsidR="00172FB2">
        <w:rPr>
          <w:rFonts w:ascii="Verdana" w:hAnsi="Verdana"/>
          <w:sz w:val="20"/>
          <w:szCs w:val="20"/>
        </w:rPr>
        <w:t xml:space="preserve">Por otro lado, </w:t>
      </w:r>
      <w:r w:rsidR="00172FB2">
        <w:rPr>
          <w:rFonts w:ascii="Verdana" w:hAnsi="Verdana" w:cs="Times New Roman"/>
          <w:sz w:val="20"/>
          <w:szCs w:val="20"/>
        </w:rPr>
        <w:t>l</w:t>
      </w:r>
      <w:r w:rsidR="00A342C5" w:rsidRPr="00C84A6F">
        <w:rPr>
          <w:rFonts w:ascii="Verdana" w:hAnsi="Verdana" w:cs="Times New Roman"/>
          <w:sz w:val="20"/>
          <w:szCs w:val="20"/>
        </w:rPr>
        <w:t xml:space="preserve">a reserva de identidad del testigo limita el ejercicio de este derecho puesto que impide a la defensa realizar preguntas relacionadas con la posible enemistad, prejuicio y confiabilidad de la persona misma del declarante, </w:t>
      </w:r>
      <w:r w:rsidR="0088534D" w:rsidRPr="00C84A6F">
        <w:rPr>
          <w:rFonts w:ascii="Verdana" w:hAnsi="Verdana" w:cs="Times New Roman"/>
          <w:sz w:val="20"/>
          <w:szCs w:val="20"/>
        </w:rPr>
        <w:t>así</w:t>
      </w:r>
      <w:r w:rsidR="00A342C5" w:rsidRPr="00C84A6F">
        <w:rPr>
          <w:rFonts w:ascii="Verdana" w:hAnsi="Verdana" w:cs="Times New Roman"/>
          <w:sz w:val="20"/>
          <w:szCs w:val="20"/>
        </w:rPr>
        <w:t xml:space="preserve">́ como otras que permitan argumentar que la </w:t>
      </w:r>
      <w:r w:rsidR="0088534D" w:rsidRPr="00C84A6F">
        <w:rPr>
          <w:rFonts w:ascii="Verdana" w:hAnsi="Verdana" w:cs="Times New Roman"/>
          <w:sz w:val="20"/>
          <w:szCs w:val="20"/>
        </w:rPr>
        <w:t>declaración</w:t>
      </w:r>
      <w:r w:rsidR="00A342C5" w:rsidRPr="00C84A6F">
        <w:rPr>
          <w:rFonts w:ascii="Verdana" w:hAnsi="Verdana" w:cs="Times New Roman"/>
          <w:sz w:val="20"/>
          <w:szCs w:val="20"/>
        </w:rPr>
        <w:t xml:space="preserve"> es falsa o equivocada</w:t>
      </w:r>
      <w:r w:rsidR="00A342C5" w:rsidRPr="00C84A6F">
        <w:rPr>
          <w:rStyle w:val="FootnoteReference"/>
          <w:rFonts w:ascii="Verdana" w:hAnsi="Verdana" w:cs="Times New Roman"/>
          <w:sz w:val="20"/>
          <w:szCs w:val="20"/>
        </w:rPr>
        <w:footnoteReference w:id="40"/>
      </w:r>
      <w:r w:rsidR="00A342C5" w:rsidRPr="00C84A6F">
        <w:rPr>
          <w:rFonts w:ascii="Verdana" w:hAnsi="Verdana" w:cs="Times New Roman"/>
          <w:sz w:val="20"/>
          <w:szCs w:val="20"/>
        </w:rPr>
        <w:t xml:space="preserve">. </w:t>
      </w:r>
      <w:r w:rsidR="00854CCE" w:rsidRPr="00C84A6F">
        <w:rPr>
          <w:rFonts w:ascii="Verdana" w:hAnsi="Verdana"/>
          <w:sz w:val="20"/>
          <w:szCs w:val="20"/>
        </w:rPr>
        <w:t xml:space="preserve">En </w:t>
      </w:r>
      <w:r w:rsidR="00D9250A" w:rsidRPr="00C84A6F">
        <w:rPr>
          <w:rFonts w:ascii="Verdana" w:hAnsi="Verdana"/>
          <w:sz w:val="20"/>
          <w:szCs w:val="20"/>
        </w:rPr>
        <w:t>relación</w:t>
      </w:r>
      <w:r w:rsidR="00172FB2">
        <w:rPr>
          <w:rFonts w:ascii="Verdana" w:hAnsi="Verdana"/>
          <w:sz w:val="20"/>
          <w:szCs w:val="20"/>
        </w:rPr>
        <w:t xml:space="preserve"> al artí</w:t>
      </w:r>
      <w:r w:rsidR="00854CCE" w:rsidRPr="00C84A6F">
        <w:rPr>
          <w:rFonts w:ascii="Verdana" w:hAnsi="Verdana"/>
          <w:sz w:val="20"/>
          <w:szCs w:val="20"/>
        </w:rPr>
        <w:t>culo</w:t>
      </w:r>
      <w:r w:rsidR="00D9250A" w:rsidRPr="00C84A6F">
        <w:rPr>
          <w:rFonts w:ascii="Verdana" w:hAnsi="Verdana"/>
          <w:sz w:val="20"/>
          <w:szCs w:val="20"/>
        </w:rPr>
        <w:t xml:space="preserve"> </w:t>
      </w:r>
      <w:r w:rsidR="00854CCE" w:rsidRPr="00C84A6F">
        <w:rPr>
          <w:rFonts w:ascii="Verdana" w:hAnsi="Verdana"/>
          <w:sz w:val="20"/>
          <w:szCs w:val="20"/>
        </w:rPr>
        <w:t xml:space="preserve">8.2.g, </w:t>
      </w:r>
      <w:r w:rsidR="00854CCE" w:rsidRPr="00172FB2">
        <w:rPr>
          <w:rFonts w:ascii="Verdana" w:hAnsi="Verdana"/>
          <w:i/>
          <w:sz w:val="20"/>
          <w:szCs w:val="20"/>
        </w:rPr>
        <w:t xml:space="preserve">el derecho a no declarar contra </w:t>
      </w:r>
      <w:r w:rsidR="00EA3889" w:rsidRPr="00172FB2">
        <w:rPr>
          <w:rFonts w:ascii="Verdana" w:hAnsi="Verdana"/>
          <w:i/>
          <w:sz w:val="20"/>
          <w:szCs w:val="20"/>
        </w:rPr>
        <w:t>sí</w:t>
      </w:r>
      <w:r w:rsidR="00854CCE" w:rsidRPr="00172FB2">
        <w:rPr>
          <w:rFonts w:ascii="Verdana" w:hAnsi="Verdana"/>
          <w:i/>
          <w:sz w:val="20"/>
          <w:szCs w:val="20"/>
        </w:rPr>
        <w:t xml:space="preserve"> mismo</w:t>
      </w:r>
      <w:r w:rsidR="00854CCE" w:rsidRPr="00C84A6F">
        <w:rPr>
          <w:rFonts w:ascii="Verdana" w:hAnsi="Verdana"/>
          <w:sz w:val="20"/>
          <w:szCs w:val="20"/>
        </w:rPr>
        <w:t xml:space="preserve"> </w:t>
      </w:r>
      <w:r w:rsidR="00854CCE" w:rsidRPr="00774D5F">
        <w:rPr>
          <w:rFonts w:ascii="Verdana" w:hAnsi="Verdana"/>
          <w:i/>
          <w:sz w:val="20"/>
          <w:szCs w:val="20"/>
        </w:rPr>
        <w:t>ni declararse culpable</w:t>
      </w:r>
      <w:r w:rsidR="00854CCE" w:rsidRPr="00C84A6F">
        <w:rPr>
          <w:rFonts w:ascii="Verdana" w:hAnsi="Verdana"/>
          <w:sz w:val="20"/>
          <w:szCs w:val="20"/>
        </w:rPr>
        <w:t xml:space="preserve">, </w:t>
      </w:r>
      <w:r w:rsidR="007B4185">
        <w:rPr>
          <w:rFonts w:ascii="Verdana" w:hAnsi="Verdana"/>
          <w:sz w:val="20"/>
          <w:szCs w:val="20"/>
        </w:rPr>
        <w:t>el Tribunal Interamericano</w:t>
      </w:r>
      <w:r w:rsidR="000F373D">
        <w:rPr>
          <w:rFonts w:ascii="Verdana" w:hAnsi="Verdana"/>
          <w:sz w:val="20"/>
          <w:szCs w:val="20"/>
        </w:rPr>
        <w:t xml:space="preserve"> </w:t>
      </w:r>
      <w:r w:rsidR="00854CCE" w:rsidRPr="00C84A6F">
        <w:rPr>
          <w:rFonts w:ascii="Verdana" w:hAnsi="Verdana"/>
          <w:sz w:val="20"/>
          <w:szCs w:val="20"/>
        </w:rPr>
        <w:t>ha entendido que este derecho también se tiene que respetar en procedimientos o actuaciones previas o concomitantes a los procesos judiciales que, de no someterse a tales garantías, pueden tener un impa</w:t>
      </w:r>
      <w:r w:rsidR="00D9250A" w:rsidRPr="00C84A6F">
        <w:rPr>
          <w:rFonts w:ascii="Verdana" w:hAnsi="Verdana"/>
          <w:sz w:val="20"/>
          <w:szCs w:val="20"/>
        </w:rPr>
        <w:t>cto desfavorable no justificado sobre la situación jurídica de la persona de que se trata</w:t>
      </w:r>
      <w:r w:rsidR="006A6D3B" w:rsidRPr="00C84A6F">
        <w:rPr>
          <w:rStyle w:val="FootnoteReference"/>
          <w:rFonts w:ascii="Verdana" w:hAnsi="Verdana"/>
          <w:sz w:val="20"/>
          <w:szCs w:val="20"/>
        </w:rPr>
        <w:footnoteReference w:id="41"/>
      </w:r>
      <w:r w:rsidR="00D9250A" w:rsidRPr="00C84A6F">
        <w:rPr>
          <w:rFonts w:ascii="Verdana" w:hAnsi="Verdana"/>
          <w:sz w:val="20"/>
          <w:szCs w:val="20"/>
        </w:rPr>
        <w:t xml:space="preserve">. </w:t>
      </w:r>
    </w:p>
    <w:p w14:paraId="078E4399" w14:textId="77777777" w:rsidR="00A97122" w:rsidRPr="00C84A6F" w:rsidRDefault="00A97122" w:rsidP="000E6EDD">
      <w:pPr>
        <w:jc w:val="both"/>
        <w:rPr>
          <w:rFonts w:ascii="Verdana" w:hAnsi="Verdana"/>
          <w:sz w:val="20"/>
          <w:szCs w:val="20"/>
        </w:rPr>
      </w:pPr>
    </w:p>
    <w:p w14:paraId="3F6C9DB5" w14:textId="0A438E36" w:rsidR="00556E44" w:rsidRPr="00C84A6F" w:rsidRDefault="00B174B6" w:rsidP="000E6EDD">
      <w:pPr>
        <w:pStyle w:val="ListParagraph"/>
        <w:ind w:left="0"/>
        <w:jc w:val="both"/>
        <w:rPr>
          <w:rFonts w:ascii="Verdana" w:hAnsi="Verdana"/>
          <w:sz w:val="20"/>
          <w:szCs w:val="20"/>
        </w:rPr>
      </w:pPr>
      <w:r>
        <w:rPr>
          <w:rFonts w:ascii="Verdana" w:hAnsi="Verdana"/>
          <w:sz w:val="20"/>
          <w:szCs w:val="20"/>
        </w:rPr>
        <w:t>21</w:t>
      </w:r>
      <w:r w:rsidR="00660B00">
        <w:rPr>
          <w:rFonts w:ascii="Verdana" w:hAnsi="Verdana"/>
          <w:sz w:val="20"/>
          <w:szCs w:val="20"/>
        </w:rPr>
        <w:t xml:space="preserve">. </w:t>
      </w:r>
      <w:r w:rsidR="00660B00">
        <w:rPr>
          <w:rFonts w:ascii="Verdana" w:hAnsi="Verdana"/>
          <w:sz w:val="20"/>
          <w:szCs w:val="20"/>
        </w:rPr>
        <w:tab/>
      </w:r>
      <w:r w:rsidR="00A97122" w:rsidRPr="00C84A6F">
        <w:rPr>
          <w:rFonts w:ascii="Verdana" w:hAnsi="Verdana"/>
          <w:sz w:val="20"/>
          <w:szCs w:val="20"/>
        </w:rPr>
        <w:t xml:space="preserve">Finalmente, sobre el </w:t>
      </w:r>
      <w:r w:rsidR="00A97122" w:rsidRPr="00940646">
        <w:rPr>
          <w:rFonts w:ascii="Verdana" w:hAnsi="Verdana"/>
          <w:i/>
          <w:sz w:val="20"/>
          <w:szCs w:val="20"/>
        </w:rPr>
        <w:t>derecho a recurrir el fallo</w:t>
      </w:r>
      <w:r w:rsidR="00A97122" w:rsidRPr="00C84A6F">
        <w:rPr>
          <w:rFonts w:ascii="Verdana" w:hAnsi="Verdana"/>
          <w:sz w:val="20"/>
          <w:szCs w:val="20"/>
        </w:rPr>
        <w:t xml:space="preserve"> establecido en el </w:t>
      </w:r>
      <w:r w:rsidR="00EA3889" w:rsidRPr="00C84A6F">
        <w:rPr>
          <w:rFonts w:ascii="Verdana" w:hAnsi="Verdana"/>
          <w:sz w:val="20"/>
          <w:szCs w:val="20"/>
        </w:rPr>
        <w:t>artículo</w:t>
      </w:r>
      <w:r w:rsidR="00A97122" w:rsidRPr="00C84A6F">
        <w:rPr>
          <w:rFonts w:ascii="Verdana" w:hAnsi="Verdana"/>
          <w:sz w:val="20"/>
          <w:szCs w:val="20"/>
        </w:rPr>
        <w:t xml:space="preserve"> 8.2.h, la Corte </w:t>
      </w:r>
      <w:r w:rsidR="003809A3">
        <w:rPr>
          <w:rFonts w:ascii="Verdana" w:hAnsi="Verdana"/>
          <w:sz w:val="20"/>
          <w:szCs w:val="20"/>
        </w:rPr>
        <w:t>IDH ha señalado que e</w:t>
      </w:r>
      <w:r w:rsidR="00A97122" w:rsidRPr="00C84A6F">
        <w:rPr>
          <w:rFonts w:ascii="Verdana" w:hAnsi="Verdana"/>
          <w:sz w:val="20"/>
          <w:szCs w:val="20"/>
        </w:rPr>
        <w:t xml:space="preserve">sta es una garantía primordial que se debe de respetar en el marco del debido proceso legal, en aras de permitir que una sentencia adversa pueda ser revisada por un juez o tribunal distinto </w:t>
      </w:r>
      <w:r w:rsidR="00695920" w:rsidRPr="00C84A6F">
        <w:rPr>
          <w:rFonts w:ascii="Verdana" w:hAnsi="Verdana"/>
          <w:sz w:val="20"/>
          <w:szCs w:val="20"/>
        </w:rPr>
        <w:t>y de superior jerarquía orgánica que procure la corrección de decisiones jurisdic</w:t>
      </w:r>
      <w:r w:rsidR="00326146" w:rsidRPr="00C84A6F">
        <w:rPr>
          <w:rFonts w:ascii="Verdana" w:hAnsi="Verdana"/>
          <w:sz w:val="20"/>
          <w:szCs w:val="20"/>
        </w:rPr>
        <w:t>cionales contrarias al derecho</w:t>
      </w:r>
      <w:r w:rsidR="00695920" w:rsidRPr="00C84A6F">
        <w:rPr>
          <w:rFonts w:ascii="Verdana" w:hAnsi="Verdana"/>
          <w:sz w:val="20"/>
          <w:szCs w:val="20"/>
        </w:rPr>
        <w:t>. De esta forma, el derecho a recurrir el fallo busca proteger el derecho de defensa, en la medida en que otorga la posibilidad de interponer un recurso para evitar que quede firme una decisión adoptada en un procedimiento viciado y que contiene errores que ocasionarán un perjuicio indebido</w:t>
      </w:r>
      <w:r w:rsidR="00326146" w:rsidRPr="00C84A6F">
        <w:rPr>
          <w:rFonts w:ascii="Verdana" w:hAnsi="Verdana"/>
          <w:sz w:val="20"/>
          <w:szCs w:val="20"/>
        </w:rPr>
        <w:t xml:space="preserve"> a los intereses de una persona</w:t>
      </w:r>
      <w:r w:rsidR="00556E44" w:rsidRPr="00C84A6F">
        <w:rPr>
          <w:rFonts w:ascii="Verdana" w:hAnsi="Verdana"/>
          <w:sz w:val="20"/>
          <w:szCs w:val="20"/>
        </w:rPr>
        <w:t xml:space="preserve">. Abonando a lo anterior, </w:t>
      </w:r>
      <w:r w:rsidR="007B4185">
        <w:rPr>
          <w:rFonts w:ascii="Verdana" w:hAnsi="Verdana"/>
          <w:sz w:val="20"/>
          <w:szCs w:val="20"/>
        </w:rPr>
        <w:t xml:space="preserve">el Tribunal Interamericano </w:t>
      </w:r>
      <w:r w:rsidR="00556E44" w:rsidRPr="00C84A6F">
        <w:rPr>
          <w:rFonts w:ascii="Verdana" w:hAnsi="Verdana"/>
          <w:sz w:val="20"/>
          <w:szCs w:val="20"/>
        </w:rPr>
        <w:t>ha expresado que la falta de garantía del derecho a recurrir el fallo impide el ejercicio del derecho a la defensa que se protege a través de este medio y trae implícita la ausencia de protección de otras garantías mínimas del debido proceso que deben asegurarse al recurrente, según correspondan, para que el juez o tribunal superior pueda pronunciarse sobre los agravios sustentados</w:t>
      </w:r>
      <w:r w:rsidR="006A6D3B" w:rsidRPr="00C84A6F">
        <w:rPr>
          <w:rStyle w:val="FootnoteReference"/>
          <w:rFonts w:ascii="Verdana" w:hAnsi="Verdana"/>
          <w:sz w:val="20"/>
          <w:szCs w:val="20"/>
        </w:rPr>
        <w:footnoteReference w:id="42"/>
      </w:r>
      <w:r w:rsidR="00556E44" w:rsidRPr="00C84A6F">
        <w:rPr>
          <w:rFonts w:ascii="Verdana" w:hAnsi="Verdana"/>
          <w:sz w:val="20"/>
          <w:szCs w:val="20"/>
        </w:rPr>
        <w:t xml:space="preserve">. </w:t>
      </w:r>
    </w:p>
    <w:p w14:paraId="348D520D" w14:textId="6014B3FE" w:rsidR="00556E44" w:rsidRPr="00C84A6F" w:rsidRDefault="00556E44" w:rsidP="000E6EDD">
      <w:pPr>
        <w:pStyle w:val="ListParagraph"/>
        <w:ind w:left="0"/>
        <w:jc w:val="both"/>
        <w:rPr>
          <w:rFonts w:ascii="Verdana" w:hAnsi="Verdana"/>
          <w:sz w:val="20"/>
          <w:szCs w:val="20"/>
        </w:rPr>
      </w:pPr>
    </w:p>
    <w:p w14:paraId="668FD420" w14:textId="6212D9A4" w:rsidR="001078C3" w:rsidRDefault="00B174B6" w:rsidP="000E6EDD">
      <w:pPr>
        <w:pStyle w:val="ListParagraph"/>
        <w:ind w:left="0"/>
        <w:jc w:val="both"/>
        <w:rPr>
          <w:rFonts w:ascii="Verdana" w:hAnsi="Verdana"/>
          <w:sz w:val="20"/>
          <w:szCs w:val="20"/>
        </w:rPr>
      </w:pPr>
      <w:r>
        <w:rPr>
          <w:rFonts w:ascii="Verdana" w:hAnsi="Verdana"/>
          <w:sz w:val="20"/>
          <w:szCs w:val="20"/>
        </w:rPr>
        <w:t>22</w:t>
      </w:r>
      <w:r w:rsidR="00660B00">
        <w:rPr>
          <w:rFonts w:ascii="Verdana" w:hAnsi="Verdana"/>
          <w:sz w:val="20"/>
          <w:szCs w:val="20"/>
        </w:rPr>
        <w:t xml:space="preserve">. </w:t>
      </w:r>
      <w:r w:rsidR="00660B00">
        <w:rPr>
          <w:rFonts w:ascii="Verdana" w:hAnsi="Verdana"/>
          <w:sz w:val="20"/>
          <w:szCs w:val="20"/>
        </w:rPr>
        <w:tab/>
      </w:r>
      <w:r w:rsidR="00556E44" w:rsidRPr="00C84A6F">
        <w:rPr>
          <w:rFonts w:ascii="Verdana" w:hAnsi="Verdana"/>
          <w:sz w:val="20"/>
          <w:szCs w:val="20"/>
        </w:rPr>
        <w:t>Sin embargo, es importante resaltar que si bien el artículo 8.1 se ha aplicado con mayor frecuencia en el ámbito del derecho penal en la jurisprudencia de la Corte</w:t>
      </w:r>
      <w:r w:rsidR="003809A3">
        <w:rPr>
          <w:rFonts w:ascii="Verdana" w:hAnsi="Verdana"/>
          <w:sz w:val="20"/>
          <w:szCs w:val="20"/>
        </w:rPr>
        <w:t xml:space="preserve"> IDH</w:t>
      </w:r>
      <w:r w:rsidR="00556E44" w:rsidRPr="00C84A6F">
        <w:rPr>
          <w:rFonts w:ascii="Verdana" w:hAnsi="Verdana"/>
          <w:sz w:val="20"/>
          <w:szCs w:val="20"/>
        </w:rPr>
        <w:t xml:space="preserve">, lo cierto es que también el Tribunal Interamericano ha desarrollado, en su jurisprudencia constante, que las garantías </w:t>
      </w:r>
      <w:r w:rsidR="00556E44" w:rsidRPr="00C84A6F">
        <w:rPr>
          <w:rFonts w:ascii="Verdana" w:hAnsi="Verdana"/>
          <w:i/>
          <w:sz w:val="20"/>
          <w:szCs w:val="20"/>
        </w:rPr>
        <w:t xml:space="preserve">mínimas </w:t>
      </w:r>
      <w:r w:rsidR="00556E44" w:rsidRPr="00C84A6F">
        <w:rPr>
          <w:rFonts w:ascii="Verdana" w:hAnsi="Verdana"/>
          <w:sz w:val="20"/>
          <w:szCs w:val="20"/>
        </w:rPr>
        <w:t xml:space="preserve">contempladas en el artículo 8.2 de la Convención </w:t>
      </w:r>
      <w:r w:rsidR="00556E44" w:rsidRPr="00C84A6F">
        <w:rPr>
          <w:rFonts w:ascii="Verdana" w:hAnsi="Verdana"/>
          <w:sz w:val="20"/>
          <w:szCs w:val="20"/>
        </w:rPr>
        <w:lastRenderedPageBreak/>
        <w:t xml:space="preserve">Americana </w:t>
      </w:r>
      <w:r w:rsidR="00A73EBE">
        <w:rPr>
          <w:rFonts w:ascii="Verdana" w:hAnsi="Verdana"/>
          <w:sz w:val="20"/>
          <w:szCs w:val="20"/>
        </w:rPr>
        <w:t>resultan</w:t>
      </w:r>
      <w:r w:rsidR="00556E44" w:rsidRPr="00C84A6F">
        <w:rPr>
          <w:rFonts w:ascii="Verdana" w:hAnsi="Verdana"/>
          <w:sz w:val="20"/>
          <w:szCs w:val="20"/>
        </w:rPr>
        <w:t xml:space="preserve"> aplicables a otros procedimientos de índo</w:t>
      </w:r>
      <w:r w:rsidR="003809A3">
        <w:rPr>
          <w:rFonts w:ascii="Verdana" w:hAnsi="Verdana"/>
          <w:sz w:val="20"/>
          <w:szCs w:val="20"/>
        </w:rPr>
        <w:t>le diferente a la materia penal, como a continuación pasamos a analizar.</w:t>
      </w:r>
      <w:r w:rsidR="00556E44" w:rsidRPr="00C84A6F">
        <w:rPr>
          <w:rFonts w:ascii="Verdana" w:hAnsi="Verdana"/>
          <w:sz w:val="20"/>
          <w:szCs w:val="20"/>
        </w:rPr>
        <w:t xml:space="preserve"> </w:t>
      </w:r>
    </w:p>
    <w:p w14:paraId="349BFA08" w14:textId="77777777" w:rsidR="002B3520" w:rsidRDefault="002B3520" w:rsidP="00CE7068">
      <w:pPr>
        <w:spacing w:line="360" w:lineRule="auto"/>
        <w:rPr>
          <w:rFonts w:ascii="Verdana" w:hAnsi="Verdana"/>
          <w:b/>
          <w:sz w:val="20"/>
          <w:szCs w:val="20"/>
        </w:rPr>
      </w:pPr>
    </w:p>
    <w:p w14:paraId="7E4B0689" w14:textId="77777777" w:rsidR="000B6820" w:rsidRDefault="000B6820" w:rsidP="00CE7068">
      <w:pPr>
        <w:spacing w:line="360" w:lineRule="auto"/>
        <w:rPr>
          <w:rFonts w:ascii="Verdana" w:hAnsi="Verdana"/>
          <w:b/>
          <w:sz w:val="20"/>
          <w:szCs w:val="20"/>
        </w:rPr>
      </w:pPr>
    </w:p>
    <w:p w14:paraId="723B87DE" w14:textId="77777777" w:rsidR="002B3520" w:rsidRDefault="00800F6F" w:rsidP="00A24C2B">
      <w:pPr>
        <w:jc w:val="center"/>
        <w:rPr>
          <w:rFonts w:ascii="Verdana" w:hAnsi="Verdana"/>
          <w:b/>
          <w:sz w:val="20"/>
          <w:szCs w:val="20"/>
        </w:rPr>
      </w:pPr>
      <w:r>
        <w:rPr>
          <w:rFonts w:ascii="Verdana" w:hAnsi="Verdana"/>
          <w:b/>
          <w:sz w:val="20"/>
          <w:szCs w:val="20"/>
        </w:rPr>
        <w:t>I</w:t>
      </w:r>
      <w:r w:rsidR="00D133EC" w:rsidRPr="009F2838">
        <w:rPr>
          <w:rFonts w:ascii="Verdana" w:hAnsi="Verdana"/>
          <w:b/>
          <w:sz w:val="20"/>
          <w:szCs w:val="20"/>
        </w:rPr>
        <w:t>I</w:t>
      </w:r>
      <w:r w:rsidR="003809A3" w:rsidRPr="009F2838">
        <w:rPr>
          <w:rFonts w:ascii="Verdana" w:hAnsi="Verdana"/>
          <w:b/>
          <w:sz w:val="20"/>
          <w:szCs w:val="20"/>
        </w:rPr>
        <w:t>.</w:t>
      </w:r>
      <w:r w:rsidR="001078C3" w:rsidRPr="009F2838">
        <w:rPr>
          <w:rFonts w:ascii="Verdana" w:hAnsi="Verdana"/>
          <w:b/>
          <w:sz w:val="20"/>
          <w:szCs w:val="20"/>
        </w:rPr>
        <w:t xml:space="preserve"> </w:t>
      </w:r>
      <w:r w:rsidR="009F2838">
        <w:rPr>
          <w:rFonts w:ascii="Verdana" w:hAnsi="Verdana"/>
          <w:b/>
          <w:sz w:val="20"/>
          <w:szCs w:val="20"/>
        </w:rPr>
        <w:t>EXTENSIÓN</w:t>
      </w:r>
      <w:r w:rsidR="00081CE5">
        <w:rPr>
          <w:rFonts w:ascii="Verdana" w:hAnsi="Verdana"/>
          <w:b/>
          <w:sz w:val="20"/>
          <w:szCs w:val="20"/>
        </w:rPr>
        <w:t xml:space="preserve"> DE LAS GARANTÍAS DEL DEBIDO PROCESO</w:t>
      </w:r>
    </w:p>
    <w:p w14:paraId="3B162987" w14:textId="70D84A01" w:rsidR="001078C3" w:rsidRPr="009F2838" w:rsidRDefault="00081CE5" w:rsidP="00A24C2B">
      <w:pPr>
        <w:jc w:val="center"/>
        <w:rPr>
          <w:rFonts w:ascii="Verdana" w:hAnsi="Verdana"/>
          <w:b/>
          <w:sz w:val="20"/>
          <w:szCs w:val="20"/>
        </w:rPr>
      </w:pPr>
      <w:r>
        <w:rPr>
          <w:rFonts w:ascii="Verdana" w:hAnsi="Verdana"/>
          <w:b/>
          <w:sz w:val="20"/>
          <w:szCs w:val="20"/>
        </w:rPr>
        <w:t xml:space="preserve"> A DIVERSOS PROCEDIMIENTOS</w:t>
      </w:r>
      <w:r w:rsidR="001078C3" w:rsidRPr="009F2838">
        <w:rPr>
          <w:rFonts w:ascii="Verdana" w:hAnsi="Verdana"/>
          <w:b/>
          <w:sz w:val="20"/>
          <w:szCs w:val="20"/>
        </w:rPr>
        <w:t xml:space="preserve"> </w:t>
      </w:r>
    </w:p>
    <w:p w14:paraId="762B8CB7" w14:textId="77777777" w:rsidR="001078C3" w:rsidRPr="00C84A6F" w:rsidRDefault="001078C3" w:rsidP="009F2838">
      <w:pPr>
        <w:jc w:val="both"/>
        <w:rPr>
          <w:rFonts w:ascii="Verdana" w:hAnsi="Verdana"/>
          <w:sz w:val="20"/>
          <w:szCs w:val="20"/>
        </w:rPr>
      </w:pPr>
    </w:p>
    <w:p w14:paraId="743B310B" w14:textId="03D6CD25" w:rsidR="001078C3" w:rsidRPr="00C84A6F" w:rsidRDefault="00B174B6" w:rsidP="000E6EDD">
      <w:pPr>
        <w:pStyle w:val="ListParagraph"/>
        <w:ind w:left="0"/>
        <w:jc w:val="both"/>
        <w:rPr>
          <w:rFonts w:ascii="Verdana" w:hAnsi="Verdana"/>
          <w:sz w:val="20"/>
          <w:szCs w:val="20"/>
        </w:rPr>
      </w:pPr>
      <w:r>
        <w:rPr>
          <w:rFonts w:ascii="Verdana" w:hAnsi="Verdana"/>
          <w:sz w:val="20"/>
          <w:szCs w:val="20"/>
        </w:rPr>
        <w:t>23</w:t>
      </w:r>
      <w:r w:rsidR="00660B00">
        <w:rPr>
          <w:rFonts w:ascii="Verdana" w:hAnsi="Verdana"/>
          <w:sz w:val="20"/>
          <w:szCs w:val="20"/>
        </w:rPr>
        <w:t xml:space="preserve">. </w:t>
      </w:r>
      <w:r w:rsidR="00660B00">
        <w:rPr>
          <w:rFonts w:ascii="Verdana" w:hAnsi="Verdana"/>
          <w:sz w:val="20"/>
          <w:szCs w:val="20"/>
        </w:rPr>
        <w:tab/>
      </w:r>
      <w:r w:rsidR="00E33783">
        <w:rPr>
          <w:rFonts w:ascii="Verdana" w:hAnsi="Verdana"/>
          <w:sz w:val="20"/>
          <w:szCs w:val="20"/>
        </w:rPr>
        <w:t>La Corte IDH</w:t>
      </w:r>
      <w:r w:rsidR="003809A3">
        <w:rPr>
          <w:rFonts w:ascii="Verdana" w:hAnsi="Verdana"/>
          <w:sz w:val="20"/>
          <w:szCs w:val="20"/>
        </w:rPr>
        <w:t xml:space="preserve"> </w:t>
      </w:r>
      <w:r w:rsidR="00277878" w:rsidRPr="00C84A6F">
        <w:rPr>
          <w:rFonts w:ascii="Verdana" w:hAnsi="Verdana"/>
          <w:sz w:val="20"/>
          <w:szCs w:val="20"/>
        </w:rPr>
        <w:t xml:space="preserve">ha </w:t>
      </w:r>
      <w:r w:rsidR="00856B94" w:rsidRPr="00C84A6F">
        <w:rPr>
          <w:rFonts w:ascii="Verdana" w:hAnsi="Verdana"/>
          <w:sz w:val="20"/>
          <w:szCs w:val="20"/>
        </w:rPr>
        <w:t>señalado</w:t>
      </w:r>
      <w:r w:rsidR="00277878" w:rsidRPr="00C84A6F">
        <w:rPr>
          <w:rFonts w:ascii="Verdana" w:hAnsi="Verdana"/>
          <w:sz w:val="20"/>
          <w:szCs w:val="20"/>
        </w:rPr>
        <w:t xml:space="preserve"> que las </w:t>
      </w:r>
      <w:r w:rsidR="00856B94" w:rsidRPr="00C84A6F">
        <w:rPr>
          <w:rFonts w:ascii="Verdana" w:hAnsi="Verdana"/>
          <w:sz w:val="20"/>
          <w:szCs w:val="20"/>
        </w:rPr>
        <w:t>garantías</w:t>
      </w:r>
      <w:r w:rsidR="00277878" w:rsidRPr="00C84A6F">
        <w:rPr>
          <w:rFonts w:ascii="Verdana" w:hAnsi="Verdana"/>
          <w:sz w:val="20"/>
          <w:szCs w:val="20"/>
        </w:rPr>
        <w:t xml:space="preserve"> contempladas en el </w:t>
      </w:r>
      <w:r w:rsidR="00EA3889" w:rsidRPr="00C84A6F">
        <w:rPr>
          <w:rFonts w:ascii="Verdana" w:hAnsi="Verdana"/>
          <w:sz w:val="20"/>
          <w:szCs w:val="20"/>
        </w:rPr>
        <w:t>artículo</w:t>
      </w:r>
      <w:r w:rsidR="00277878" w:rsidRPr="00C84A6F">
        <w:rPr>
          <w:rFonts w:ascii="Verdana" w:hAnsi="Verdana"/>
          <w:sz w:val="20"/>
          <w:szCs w:val="20"/>
        </w:rPr>
        <w:t xml:space="preserve"> 8.1 de la </w:t>
      </w:r>
      <w:r w:rsidR="00856B94" w:rsidRPr="00C84A6F">
        <w:rPr>
          <w:rFonts w:ascii="Verdana" w:hAnsi="Verdana"/>
          <w:sz w:val="20"/>
          <w:szCs w:val="20"/>
        </w:rPr>
        <w:t>Convención</w:t>
      </w:r>
      <w:r w:rsidR="00277878" w:rsidRPr="00C84A6F">
        <w:rPr>
          <w:rFonts w:ascii="Verdana" w:hAnsi="Verdana"/>
          <w:sz w:val="20"/>
          <w:szCs w:val="20"/>
        </w:rPr>
        <w:t xml:space="preserve"> </w:t>
      </w:r>
      <w:r w:rsidR="00DF019F">
        <w:rPr>
          <w:rFonts w:ascii="Verdana" w:hAnsi="Verdana"/>
          <w:sz w:val="20"/>
          <w:szCs w:val="20"/>
        </w:rPr>
        <w:t xml:space="preserve">Americana </w:t>
      </w:r>
      <w:r w:rsidR="00277878" w:rsidRPr="00C84A6F">
        <w:rPr>
          <w:rFonts w:ascii="Verdana" w:hAnsi="Verdana"/>
          <w:sz w:val="20"/>
          <w:szCs w:val="20"/>
        </w:rPr>
        <w:t xml:space="preserve">son </w:t>
      </w:r>
      <w:r w:rsidR="00856B94" w:rsidRPr="00C84A6F">
        <w:rPr>
          <w:rFonts w:ascii="Verdana" w:hAnsi="Verdana"/>
          <w:sz w:val="20"/>
          <w:szCs w:val="20"/>
        </w:rPr>
        <w:t>también</w:t>
      </w:r>
      <w:r w:rsidR="00277878" w:rsidRPr="00C84A6F">
        <w:rPr>
          <w:rFonts w:ascii="Verdana" w:hAnsi="Verdana"/>
          <w:sz w:val="20"/>
          <w:szCs w:val="20"/>
        </w:rPr>
        <w:t xml:space="preserve"> aplicables al supuesto en que alguna autoridad no judicial adopte decisiones que afecten la </w:t>
      </w:r>
      <w:r w:rsidR="00856B94" w:rsidRPr="00C84A6F">
        <w:rPr>
          <w:rFonts w:ascii="Verdana" w:hAnsi="Verdana"/>
          <w:sz w:val="20"/>
          <w:szCs w:val="20"/>
        </w:rPr>
        <w:t>determinación</w:t>
      </w:r>
      <w:r w:rsidR="00277878" w:rsidRPr="00C84A6F">
        <w:rPr>
          <w:rFonts w:ascii="Verdana" w:hAnsi="Verdana"/>
          <w:sz w:val="20"/>
          <w:szCs w:val="20"/>
        </w:rPr>
        <w:t xml:space="preserve"> de los derechos de las personas, </w:t>
      </w:r>
      <w:r w:rsidR="00D90036" w:rsidRPr="00C84A6F">
        <w:rPr>
          <w:rFonts w:ascii="Verdana" w:hAnsi="Verdana"/>
          <w:sz w:val="20"/>
          <w:szCs w:val="20"/>
        </w:rPr>
        <w:t>t</w:t>
      </w:r>
      <w:r w:rsidR="00277878" w:rsidRPr="00C84A6F">
        <w:rPr>
          <w:rFonts w:ascii="Verdana" w:hAnsi="Verdana"/>
          <w:sz w:val="20"/>
          <w:szCs w:val="20"/>
        </w:rPr>
        <w:t xml:space="preserve">omando en cuenta que no le son exigibles aquellas propias de un </w:t>
      </w:r>
      <w:r w:rsidR="00856B94" w:rsidRPr="00C84A6F">
        <w:rPr>
          <w:rFonts w:ascii="Verdana" w:hAnsi="Verdana"/>
          <w:sz w:val="20"/>
          <w:szCs w:val="20"/>
        </w:rPr>
        <w:t>órgano</w:t>
      </w:r>
      <w:r w:rsidR="00277878" w:rsidRPr="00C84A6F">
        <w:rPr>
          <w:rFonts w:ascii="Verdana" w:hAnsi="Verdana"/>
          <w:sz w:val="20"/>
          <w:szCs w:val="20"/>
        </w:rPr>
        <w:t xml:space="preserve"> jurisdiccional, pero sí debe cumplir con aquellas destinadas a asegurar que la </w:t>
      </w:r>
      <w:r w:rsidR="00856B94" w:rsidRPr="00C84A6F">
        <w:rPr>
          <w:rFonts w:ascii="Verdana" w:hAnsi="Verdana"/>
          <w:sz w:val="20"/>
          <w:szCs w:val="20"/>
        </w:rPr>
        <w:t>decisión</w:t>
      </w:r>
      <w:r w:rsidR="00277878" w:rsidRPr="00C84A6F">
        <w:rPr>
          <w:rFonts w:ascii="Verdana" w:hAnsi="Verdana"/>
          <w:sz w:val="20"/>
          <w:szCs w:val="20"/>
        </w:rPr>
        <w:t xml:space="preserve"> no sea arbitraria</w:t>
      </w:r>
      <w:r w:rsidR="00795B28" w:rsidRPr="00C84A6F">
        <w:rPr>
          <w:rStyle w:val="FootnoteReference"/>
          <w:rFonts w:ascii="Verdana" w:hAnsi="Verdana"/>
          <w:sz w:val="20"/>
          <w:szCs w:val="20"/>
        </w:rPr>
        <w:footnoteReference w:id="43"/>
      </w:r>
      <w:r w:rsidR="0088534D" w:rsidRPr="00C84A6F">
        <w:rPr>
          <w:rFonts w:ascii="Verdana" w:hAnsi="Verdana"/>
          <w:sz w:val="20"/>
          <w:szCs w:val="20"/>
        </w:rPr>
        <w:t xml:space="preserve">. </w:t>
      </w:r>
    </w:p>
    <w:p w14:paraId="30C1B6C3" w14:textId="77777777" w:rsidR="003074F8" w:rsidRPr="00C84A6F" w:rsidRDefault="003074F8" w:rsidP="000E6EDD">
      <w:pPr>
        <w:pStyle w:val="ListParagraph"/>
        <w:ind w:left="0"/>
        <w:jc w:val="both"/>
        <w:rPr>
          <w:rFonts w:ascii="Verdana" w:hAnsi="Verdana"/>
          <w:sz w:val="20"/>
          <w:szCs w:val="20"/>
        </w:rPr>
      </w:pPr>
    </w:p>
    <w:p w14:paraId="0A12E390" w14:textId="69DFB908" w:rsidR="007E645E" w:rsidRPr="00C84A6F" w:rsidRDefault="00B174B6" w:rsidP="000E6EDD">
      <w:pPr>
        <w:pStyle w:val="ListParagraph"/>
        <w:ind w:left="0"/>
        <w:jc w:val="both"/>
        <w:rPr>
          <w:rFonts w:ascii="Verdana" w:hAnsi="Verdana"/>
          <w:sz w:val="20"/>
          <w:szCs w:val="20"/>
        </w:rPr>
      </w:pPr>
      <w:r>
        <w:rPr>
          <w:rFonts w:ascii="Verdana" w:hAnsi="Verdana"/>
          <w:sz w:val="20"/>
          <w:szCs w:val="20"/>
        </w:rPr>
        <w:t>24</w:t>
      </w:r>
      <w:r w:rsidR="00660B00">
        <w:rPr>
          <w:rFonts w:ascii="Verdana" w:hAnsi="Verdana"/>
          <w:sz w:val="20"/>
          <w:szCs w:val="20"/>
        </w:rPr>
        <w:t xml:space="preserve">. </w:t>
      </w:r>
      <w:r w:rsidR="00660B00">
        <w:rPr>
          <w:rFonts w:ascii="Verdana" w:hAnsi="Verdana"/>
          <w:sz w:val="20"/>
          <w:szCs w:val="20"/>
        </w:rPr>
        <w:tab/>
      </w:r>
      <w:r w:rsidR="003809A3">
        <w:rPr>
          <w:rFonts w:ascii="Verdana" w:hAnsi="Verdana"/>
          <w:sz w:val="20"/>
          <w:szCs w:val="20"/>
        </w:rPr>
        <w:t>Además, ha sido criterio de e</w:t>
      </w:r>
      <w:r w:rsidR="001078C3" w:rsidRPr="00C84A6F">
        <w:rPr>
          <w:rFonts w:ascii="Verdana" w:hAnsi="Verdana"/>
          <w:sz w:val="20"/>
          <w:szCs w:val="20"/>
        </w:rPr>
        <w:t>st</w:t>
      </w:r>
      <w:r w:rsidR="00E33783">
        <w:rPr>
          <w:rFonts w:ascii="Verdana" w:hAnsi="Verdana"/>
          <w:sz w:val="20"/>
          <w:szCs w:val="20"/>
        </w:rPr>
        <w:t>e Tribunal Interamericano</w:t>
      </w:r>
      <w:r w:rsidR="00C461B8">
        <w:rPr>
          <w:rFonts w:ascii="Verdana" w:hAnsi="Verdana"/>
          <w:sz w:val="20"/>
          <w:szCs w:val="20"/>
        </w:rPr>
        <w:t xml:space="preserve"> establecer que</w:t>
      </w:r>
      <w:r w:rsidR="001078C3" w:rsidRPr="00C84A6F">
        <w:rPr>
          <w:rFonts w:ascii="Verdana" w:hAnsi="Verdana"/>
          <w:sz w:val="20"/>
          <w:szCs w:val="20"/>
        </w:rPr>
        <w:t xml:space="preserve"> de acuerdo a lo dispuesto en el artículo 8.1 de la Convención</w:t>
      </w:r>
      <w:r w:rsidR="00DF019F">
        <w:rPr>
          <w:rFonts w:ascii="Verdana" w:hAnsi="Verdana"/>
          <w:sz w:val="20"/>
          <w:szCs w:val="20"/>
        </w:rPr>
        <w:t xml:space="preserve"> Americana</w:t>
      </w:r>
      <w:r w:rsidR="001078C3" w:rsidRPr="00C84A6F">
        <w:rPr>
          <w:rFonts w:ascii="Verdana" w:hAnsi="Verdana"/>
          <w:sz w:val="20"/>
          <w:szCs w:val="20"/>
        </w:rPr>
        <w:t xml:space="preserve">, en la determinación de los derechos y obligaciones de las personas, de orden penal, civil, laboral, fiscal o de cualquier otro carácter, </w:t>
      </w:r>
      <w:r w:rsidR="001078C3" w:rsidRPr="00D337E8">
        <w:rPr>
          <w:rFonts w:ascii="Verdana" w:hAnsi="Verdana"/>
          <w:i/>
          <w:sz w:val="20"/>
          <w:szCs w:val="20"/>
          <w:u w:val="single"/>
        </w:rPr>
        <w:t>se deben observar “las debidas garantías” que aseguren, según el procedimiento de que se trate, el derecho al debido proceso</w:t>
      </w:r>
      <w:r w:rsidR="001078C3" w:rsidRPr="00D337E8">
        <w:rPr>
          <w:rFonts w:ascii="Verdana" w:hAnsi="Verdana"/>
          <w:sz w:val="20"/>
          <w:szCs w:val="20"/>
          <w:u w:val="single"/>
        </w:rPr>
        <w:t>; y que el incumplimiento de una de esas garantías conlleva una violación de dicha disposición convencional</w:t>
      </w:r>
      <w:r w:rsidR="001078C3" w:rsidRPr="00C84A6F">
        <w:rPr>
          <w:rStyle w:val="FootnoteReference"/>
          <w:rFonts w:ascii="Verdana" w:hAnsi="Verdana"/>
          <w:sz w:val="20"/>
          <w:szCs w:val="20"/>
        </w:rPr>
        <w:footnoteReference w:id="44"/>
      </w:r>
      <w:r w:rsidR="001078C3" w:rsidRPr="00C84A6F">
        <w:rPr>
          <w:rFonts w:ascii="Verdana" w:hAnsi="Verdana"/>
          <w:sz w:val="20"/>
          <w:szCs w:val="20"/>
        </w:rPr>
        <w:t>. Bajo esta amplia concepción</w:t>
      </w:r>
      <w:r w:rsidR="003809A3">
        <w:rPr>
          <w:rFonts w:ascii="Verdana" w:hAnsi="Verdana"/>
          <w:sz w:val="20"/>
          <w:szCs w:val="20"/>
        </w:rPr>
        <w:t>, e</w:t>
      </w:r>
      <w:r w:rsidR="001078C3" w:rsidRPr="00C84A6F">
        <w:rPr>
          <w:rFonts w:ascii="Verdana" w:hAnsi="Verdana"/>
          <w:sz w:val="20"/>
          <w:szCs w:val="20"/>
        </w:rPr>
        <w:t xml:space="preserve">stas </w:t>
      </w:r>
      <w:r w:rsidR="00856B94" w:rsidRPr="00C84A6F">
        <w:rPr>
          <w:rFonts w:ascii="Verdana" w:hAnsi="Verdana"/>
          <w:sz w:val="20"/>
          <w:szCs w:val="20"/>
        </w:rPr>
        <w:t>garantías</w:t>
      </w:r>
      <w:r w:rsidR="001078C3" w:rsidRPr="00C84A6F">
        <w:rPr>
          <w:rFonts w:ascii="Verdana" w:hAnsi="Verdana"/>
          <w:sz w:val="20"/>
          <w:szCs w:val="20"/>
        </w:rPr>
        <w:t xml:space="preserve"> judiciales han sid</w:t>
      </w:r>
      <w:r w:rsidR="00D337E8">
        <w:rPr>
          <w:rFonts w:ascii="Verdana" w:hAnsi="Verdana"/>
          <w:sz w:val="20"/>
          <w:szCs w:val="20"/>
        </w:rPr>
        <w:t>o extendidas a diversos procedimientos</w:t>
      </w:r>
      <w:r w:rsidR="001078C3" w:rsidRPr="00C84A6F">
        <w:rPr>
          <w:rFonts w:ascii="Verdana" w:hAnsi="Verdana"/>
          <w:sz w:val="20"/>
          <w:szCs w:val="20"/>
        </w:rPr>
        <w:t xml:space="preserve"> relacionados con </w:t>
      </w:r>
      <w:r w:rsidR="007E645E" w:rsidRPr="00C84A6F">
        <w:rPr>
          <w:rFonts w:ascii="Verdana" w:hAnsi="Verdana" w:cs="Times New Roman"/>
          <w:sz w:val="20"/>
          <w:szCs w:val="20"/>
        </w:rPr>
        <w:t xml:space="preserve">mecanismos administrativos efectivos y expeditos para proteger, garantizar y promover sus derechos sobre los territorios </w:t>
      </w:r>
      <w:r w:rsidR="00856B94" w:rsidRPr="00C84A6F">
        <w:rPr>
          <w:rFonts w:ascii="Verdana" w:hAnsi="Verdana" w:cs="Times New Roman"/>
          <w:sz w:val="20"/>
          <w:szCs w:val="20"/>
        </w:rPr>
        <w:t>indígenas</w:t>
      </w:r>
      <w:r w:rsidR="007E645E" w:rsidRPr="00C84A6F">
        <w:rPr>
          <w:rStyle w:val="FootnoteReference"/>
          <w:rFonts w:ascii="Verdana" w:hAnsi="Verdana" w:cs="Times New Roman"/>
          <w:sz w:val="20"/>
          <w:szCs w:val="20"/>
        </w:rPr>
        <w:footnoteReference w:id="45"/>
      </w:r>
      <w:r w:rsidR="00A22A81" w:rsidRPr="00C84A6F">
        <w:rPr>
          <w:rFonts w:ascii="Verdana" w:hAnsi="Verdana" w:cs="Times New Roman"/>
          <w:sz w:val="20"/>
          <w:szCs w:val="20"/>
        </w:rPr>
        <w:t xml:space="preserve">, </w:t>
      </w:r>
      <w:r w:rsidR="007E645E" w:rsidRPr="00C461B8">
        <w:rPr>
          <w:rFonts w:ascii="Verdana" w:hAnsi="Verdana" w:cs="Times New Roman"/>
          <w:sz w:val="20"/>
          <w:szCs w:val="20"/>
        </w:rPr>
        <w:t>procedimientos disciplinarios</w:t>
      </w:r>
      <w:r w:rsidR="007E645E" w:rsidRPr="00C84A6F">
        <w:rPr>
          <w:rFonts w:ascii="Verdana" w:hAnsi="Verdana" w:cs="Times New Roman"/>
          <w:sz w:val="20"/>
          <w:szCs w:val="20"/>
        </w:rPr>
        <w:t xml:space="preserve"> sobre destitución de jueces</w:t>
      </w:r>
      <w:r w:rsidR="007E645E" w:rsidRPr="00C84A6F">
        <w:rPr>
          <w:rStyle w:val="FootnoteReference"/>
          <w:rFonts w:ascii="Verdana" w:hAnsi="Verdana" w:cs="Times New Roman"/>
          <w:sz w:val="20"/>
          <w:szCs w:val="20"/>
        </w:rPr>
        <w:footnoteReference w:id="46"/>
      </w:r>
      <w:r w:rsidR="007E645E" w:rsidRPr="00C84A6F">
        <w:rPr>
          <w:rFonts w:ascii="Verdana" w:hAnsi="Verdana" w:cs="Times New Roman"/>
          <w:sz w:val="20"/>
          <w:szCs w:val="20"/>
        </w:rPr>
        <w:t xml:space="preserve">, </w:t>
      </w:r>
      <w:r w:rsidR="00A13732" w:rsidRPr="00C84A6F">
        <w:rPr>
          <w:rFonts w:ascii="Verdana" w:hAnsi="Verdana" w:cs="Times New Roman"/>
          <w:sz w:val="20"/>
          <w:szCs w:val="20"/>
        </w:rPr>
        <w:t>procedimientos administrativos migratorios</w:t>
      </w:r>
      <w:r w:rsidR="00A13732" w:rsidRPr="00C84A6F">
        <w:rPr>
          <w:rStyle w:val="FootnoteReference"/>
          <w:rFonts w:ascii="Verdana" w:hAnsi="Verdana" w:cs="Times New Roman"/>
          <w:sz w:val="20"/>
          <w:szCs w:val="20"/>
        </w:rPr>
        <w:footnoteReference w:id="47"/>
      </w:r>
      <w:r w:rsidR="00A13732" w:rsidRPr="00C84A6F">
        <w:rPr>
          <w:rFonts w:ascii="Verdana" w:hAnsi="Verdana" w:cs="Times New Roman"/>
          <w:sz w:val="20"/>
          <w:szCs w:val="20"/>
        </w:rPr>
        <w:t>, procedimientos civiles por daños y perjuicios</w:t>
      </w:r>
      <w:r w:rsidR="00A13732" w:rsidRPr="00C84A6F">
        <w:rPr>
          <w:rStyle w:val="FootnoteReference"/>
          <w:rFonts w:ascii="Verdana" w:hAnsi="Verdana" w:cs="Times New Roman"/>
          <w:sz w:val="20"/>
          <w:szCs w:val="20"/>
        </w:rPr>
        <w:footnoteReference w:id="48"/>
      </w:r>
      <w:r w:rsidR="00A22A81" w:rsidRPr="00C84A6F">
        <w:rPr>
          <w:rFonts w:ascii="Verdana" w:hAnsi="Verdana" w:cs="Times New Roman"/>
          <w:sz w:val="20"/>
          <w:szCs w:val="20"/>
        </w:rPr>
        <w:t xml:space="preserve">, </w:t>
      </w:r>
      <w:r w:rsidR="000E0250" w:rsidRPr="00C461B8">
        <w:rPr>
          <w:rFonts w:ascii="Verdana" w:hAnsi="Verdana" w:cs="Times New Roman"/>
          <w:sz w:val="20"/>
          <w:szCs w:val="20"/>
        </w:rPr>
        <w:t xml:space="preserve">procedimientos </w:t>
      </w:r>
      <w:r w:rsidR="00856B94" w:rsidRPr="00C461B8">
        <w:rPr>
          <w:rFonts w:ascii="Verdana" w:hAnsi="Verdana" w:cs="Times New Roman"/>
          <w:sz w:val="20"/>
          <w:szCs w:val="20"/>
        </w:rPr>
        <w:t>admi</w:t>
      </w:r>
      <w:r w:rsidR="00664902" w:rsidRPr="00C461B8">
        <w:rPr>
          <w:rFonts w:ascii="Verdana" w:hAnsi="Verdana" w:cs="Times New Roman"/>
          <w:sz w:val="20"/>
          <w:szCs w:val="20"/>
        </w:rPr>
        <w:t>nist</w:t>
      </w:r>
      <w:r w:rsidR="00856B94" w:rsidRPr="00C461B8">
        <w:rPr>
          <w:rFonts w:ascii="Verdana" w:hAnsi="Verdana" w:cs="Times New Roman"/>
          <w:sz w:val="20"/>
          <w:szCs w:val="20"/>
        </w:rPr>
        <w:t>rativos</w:t>
      </w:r>
      <w:r w:rsidR="000E0250" w:rsidRPr="00C461B8">
        <w:rPr>
          <w:rFonts w:ascii="Verdana" w:hAnsi="Verdana" w:cs="Times New Roman"/>
          <w:sz w:val="20"/>
          <w:szCs w:val="20"/>
        </w:rPr>
        <w:t xml:space="preserve"> especiales</w:t>
      </w:r>
      <w:r w:rsidR="000E0250" w:rsidRPr="00C84A6F">
        <w:rPr>
          <w:rStyle w:val="FootnoteReference"/>
          <w:rFonts w:ascii="Verdana" w:hAnsi="Verdana" w:cs="Times New Roman"/>
          <w:sz w:val="20"/>
          <w:szCs w:val="20"/>
        </w:rPr>
        <w:footnoteReference w:id="49"/>
      </w:r>
      <w:r w:rsidR="000E0250" w:rsidRPr="00C84A6F">
        <w:rPr>
          <w:rFonts w:ascii="Verdana" w:hAnsi="Verdana" w:cs="Times New Roman"/>
          <w:sz w:val="20"/>
          <w:szCs w:val="20"/>
        </w:rPr>
        <w:t xml:space="preserve">, </w:t>
      </w:r>
      <w:r w:rsidR="003367D3" w:rsidRPr="00C84A6F">
        <w:rPr>
          <w:rFonts w:ascii="Verdana" w:hAnsi="Verdana" w:cs="Times New Roman"/>
          <w:sz w:val="20"/>
          <w:szCs w:val="20"/>
        </w:rPr>
        <w:lastRenderedPageBreak/>
        <w:t xml:space="preserve">procedimientos administrativos para </w:t>
      </w:r>
      <w:r w:rsidR="003F0BDC" w:rsidRPr="00C84A6F">
        <w:rPr>
          <w:rFonts w:ascii="Verdana" w:hAnsi="Verdana" w:cs="Times New Roman"/>
          <w:sz w:val="20"/>
          <w:szCs w:val="20"/>
        </w:rPr>
        <w:t>inhabilitación</w:t>
      </w:r>
      <w:r w:rsidR="003367D3" w:rsidRPr="00C84A6F">
        <w:rPr>
          <w:rFonts w:ascii="Verdana" w:hAnsi="Verdana" w:cs="Times New Roman"/>
          <w:sz w:val="20"/>
          <w:szCs w:val="20"/>
        </w:rPr>
        <w:t xml:space="preserve"> de candidatos </w:t>
      </w:r>
      <w:r w:rsidR="00856B94" w:rsidRPr="00C84A6F">
        <w:rPr>
          <w:rFonts w:ascii="Verdana" w:hAnsi="Verdana" w:cs="Times New Roman"/>
          <w:sz w:val="20"/>
          <w:szCs w:val="20"/>
        </w:rPr>
        <w:t>políticos</w:t>
      </w:r>
      <w:r w:rsidR="003367D3" w:rsidRPr="00C84A6F">
        <w:rPr>
          <w:rStyle w:val="FootnoteReference"/>
          <w:rFonts w:ascii="Verdana" w:hAnsi="Verdana" w:cs="Times New Roman"/>
          <w:sz w:val="20"/>
          <w:szCs w:val="20"/>
        </w:rPr>
        <w:footnoteReference w:id="50"/>
      </w:r>
      <w:r w:rsidR="003367D3" w:rsidRPr="00C84A6F">
        <w:rPr>
          <w:rFonts w:ascii="Verdana" w:hAnsi="Verdana" w:cs="Times New Roman"/>
          <w:sz w:val="20"/>
          <w:szCs w:val="20"/>
        </w:rPr>
        <w:t xml:space="preserve">, </w:t>
      </w:r>
      <w:r w:rsidR="003F0BDC" w:rsidRPr="00C84A6F">
        <w:rPr>
          <w:rFonts w:ascii="Verdana" w:hAnsi="Verdana" w:cs="Times New Roman"/>
          <w:sz w:val="20"/>
          <w:szCs w:val="20"/>
        </w:rPr>
        <w:t>procesos de solicitud de acceso a la información</w:t>
      </w:r>
      <w:r w:rsidR="003F0BDC" w:rsidRPr="00C84A6F">
        <w:rPr>
          <w:rStyle w:val="FootnoteReference"/>
          <w:rFonts w:ascii="Verdana" w:hAnsi="Verdana" w:cs="Times New Roman"/>
          <w:sz w:val="20"/>
          <w:szCs w:val="20"/>
        </w:rPr>
        <w:footnoteReference w:id="51"/>
      </w:r>
      <w:r w:rsidR="003F0BDC" w:rsidRPr="00C84A6F">
        <w:rPr>
          <w:rFonts w:ascii="Verdana" w:hAnsi="Verdana" w:cs="Times New Roman"/>
          <w:sz w:val="20"/>
          <w:szCs w:val="20"/>
        </w:rPr>
        <w:t xml:space="preserve"> o algunas decisiones en procedimientos electorales</w:t>
      </w:r>
      <w:r w:rsidR="003F0BDC" w:rsidRPr="00C84A6F">
        <w:rPr>
          <w:rStyle w:val="FootnoteReference"/>
          <w:rFonts w:ascii="Verdana" w:hAnsi="Verdana" w:cs="Times New Roman"/>
          <w:sz w:val="20"/>
          <w:szCs w:val="20"/>
        </w:rPr>
        <w:footnoteReference w:id="52"/>
      </w:r>
      <w:r w:rsidR="003F0BDC" w:rsidRPr="00C84A6F">
        <w:rPr>
          <w:rFonts w:ascii="Verdana" w:hAnsi="Verdana" w:cs="Times New Roman"/>
          <w:sz w:val="20"/>
          <w:szCs w:val="20"/>
        </w:rPr>
        <w:t xml:space="preserve">.  </w:t>
      </w:r>
    </w:p>
    <w:p w14:paraId="582F1B5B" w14:textId="77777777" w:rsidR="001078C3" w:rsidRPr="00C84A6F" w:rsidRDefault="001078C3" w:rsidP="000E6EDD">
      <w:pPr>
        <w:pStyle w:val="ListParagraph"/>
        <w:ind w:left="0"/>
        <w:jc w:val="both"/>
        <w:rPr>
          <w:rFonts w:ascii="Verdana" w:hAnsi="Verdana"/>
          <w:sz w:val="20"/>
          <w:szCs w:val="20"/>
        </w:rPr>
      </w:pPr>
    </w:p>
    <w:p w14:paraId="5DCF4F8D" w14:textId="50D7A37B" w:rsidR="002F1A72" w:rsidRPr="00C84A6F" w:rsidRDefault="00B174B6" w:rsidP="000E6EDD">
      <w:pPr>
        <w:pStyle w:val="ListParagraph"/>
        <w:ind w:left="0"/>
        <w:jc w:val="both"/>
        <w:rPr>
          <w:rFonts w:ascii="Verdana" w:hAnsi="Verdana"/>
          <w:sz w:val="20"/>
          <w:szCs w:val="20"/>
        </w:rPr>
      </w:pPr>
      <w:r>
        <w:rPr>
          <w:rFonts w:ascii="Verdana" w:hAnsi="Verdana"/>
          <w:sz w:val="20"/>
          <w:szCs w:val="20"/>
        </w:rPr>
        <w:t>25</w:t>
      </w:r>
      <w:r w:rsidR="00660B00">
        <w:rPr>
          <w:rFonts w:ascii="Verdana" w:hAnsi="Verdana"/>
          <w:sz w:val="20"/>
          <w:szCs w:val="20"/>
        </w:rPr>
        <w:t xml:space="preserve">. </w:t>
      </w:r>
      <w:r w:rsidR="00660B00">
        <w:rPr>
          <w:rFonts w:ascii="Verdana" w:hAnsi="Verdana"/>
          <w:sz w:val="20"/>
          <w:szCs w:val="20"/>
        </w:rPr>
        <w:tab/>
      </w:r>
      <w:r w:rsidR="002B0AC6">
        <w:rPr>
          <w:rFonts w:ascii="Verdana" w:hAnsi="Verdana"/>
          <w:sz w:val="20"/>
          <w:szCs w:val="20"/>
        </w:rPr>
        <w:t>C</w:t>
      </w:r>
      <w:r w:rsidR="002B0AC6" w:rsidRPr="00C84A6F">
        <w:rPr>
          <w:rFonts w:ascii="Verdana" w:hAnsi="Verdana"/>
          <w:sz w:val="20"/>
          <w:szCs w:val="20"/>
        </w:rPr>
        <w:t>omo se había mencionado</w:t>
      </w:r>
      <w:r w:rsidR="001078C3" w:rsidRPr="00C84A6F">
        <w:rPr>
          <w:rFonts w:ascii="Verdana" w:hAnsi="Verdana"/>
          <w:sz w:val="20"/>
          <w:szCs w:val="20"/>
        </w:rPr>
        <w:t xml:space="preserve">, el artículo 8.2 de la Convención </w:t>
      </w:r>
      <w:r w:rsidR="00DF019F">
        <w:rPr>
          <w:rFonts w:ascii="Verdana" w:hAnsi="Verdana"/>
          <w:sz w:val="20"/>
          <w:szCs w:val="20"/>
        </w:rPr>
        <w:t xml:space="preserve">Americana </w:t>
      </w:r>
      <w:r w:rsidR="002B0AC6">
        <w:rPr>
          <w:rFonts w:ascii="Verdana" w:hAnsi="Verdana"/>
          <w:sz w:val="20"/>
          <w:szCs w:val="20"/>
        </w:rPr>
        <w:t>establece</w:t>
      </w:r>
      <w:r w:rsidR="00500517">
        <w:rPr>
          <w:rFonts w:ascii="Verdana" w:hAnsi="Verdana"/>
          <w:sz w:val="20"/>
          <w:szCs w:val="20"/>
        </w:rPr>
        <w:t>,</w:t>
      </w:r>
      <w:r w:rsidR="001078C3" w:rsidRPr="00C84A6F">
        <w:rPr>
          <w:rFonts w:ascii="Verdana" w:hAnsi="Verdana"/>
          <w:sz w:val="20"/>
          <w:szCs w:val="20"/>
        </w:rPr>
        <w:t xml:space="preserve"> adicionalmente</w:t>
      </w:r>
      <w:r w:rsidR="00500517">
        <w:rPr>
          <w:rFonts w:ascii="Verdana" w:hAnsi="Verdana"/>
          <w:sz w:val="20"/>
          <w:szCs w:val="20"/>
        </w:rPr>
        <w:t>,</w:t>
      </w:r>
      <w:r w:rsidR="001078C3" w:rsidRPr="00C84A6F">
        <w:rPr>
          <w:rFonts w:ascii="Verdana" w:hAnsi="Verdana"/>
          <w:sz w:val="20"/>
          <w:szCs w:val="20"/>
        </w:rPr>
        <w:t xml:space="preserve"> las garantías mínimas que deben ser aseguradas por los Estados en función del debido proceso legal</w:t>
      </w:r>
      <w:r w:rsidR="001078C3" w:rsidRPr="00C84A6F">
        <w:rPr>
          <w:rStyle w:val="FootnoteReference"/>
          <w:rFonts w:ascii="Verdana" w:hAnsi="Verdana"/>
          <w:sz w:val="20"/>
          <w:szCs w:val="20"/>
        </w:rPr>
        <w:footnoteReference w:id="53"/>
      </w:r>
      <w:r w:rsidR="001078C3" w:rsidRPr="00C84A6F">
        <w:rPr>
          <w:rFonts w:ascii="Verdana" w:hAnsi="Verdana"/>
          <w:sz w:val="20"/>
          <w:szCs w:val="20"/>
        </w:rPr>
        <w:t xml:space="preserve">. </w:t>
      </w:r>
      <w:r w:rsidR="00F20D29" w:rsidRPr="00C84A6F">
        <w:rPr>
          <w:rFonts w:ascii="Verdana" w:hAnsi="Verdana"/>
          <w:sz w:val="20"/>
          <w:szCs w:val="20"/>
        </w:rPr>
        <w:t>Así, e</w:t>
      </w:r>
      <w:r w:rsidR="001078C3" w:rsidRPr="00C84A6F">
        <w:rPr>
          <w:rFonts w:ascii="Verdana" w:hAnsi="Verdana"/>
          <w:sz w:val="20"/>
          <w:szCs w:val="20"/>
        </w:rPr>
        <w:t>s un derecho humano el obtener todas las garantías que permitan alcanzar decisiones justas. Las garantías mínimas deben respetarse en el procedimiento administrativo y en cualquier otro procedimiento cuya decisión pueda afectar los derechos de las personas</w:t>
      </w:r>
      <w:r w:rsidR="001078C3" w:rsidRPr="00C84A6F">
        <w:rPr>
          <w:rStyle w:val="FootnoteReference"/>
          <w:rFonts w:ascii="Verdana" w:hAnsi="Verdana"/>
          <w:sz w:val="20"/>
          <w:szCs w:val="20"/>
        </w:rPr>
        <w:footnoteReference w:id="54"/>
      </w:r>
      <w:r w:rsidR="001078C3" w:rsidRPr="00C84A6F">
        <w:rPr>
          <w:rFonts w:ascii="Verdana" w:hAnsi="Verdana"/>
          <w:sz w:val="20"/>
          <w:szCs w:val="20"/>
        </w:rPr>
        <w:t>.</w:t>
      </w:r>
      <w:r w:rsidR="00F20D29" w:rsidRPr="00C84A6F">
        <w:rPr>
          <w:rFonts w:ascii="Verdana" w:hAnsi="Verdana"/>
          <w:sz w:val="20"/>
          <w:szCs w:val="20"/>
        </w:rPr>
        <w:t xml:space="preserve"> Bajo esta concepción</w:t>
      </w:r>
      <w:r w:rsidR="00E446DF">
        <w:rPr>
          <w:rFonts w:ascii="Verdana" w:hAnsi="Verdana"/>
          <w:sz w:val="20"/>
          <w:szCs w:val="20"/>
        </w:rPr>
        <w:t>,</w:t>
      </w:r>
      <w:r w:rsidR="00F20D29" w:rsidRPr="00C84A6F">
        <w:rPr>
          <w:rFonts w:ascii="Verdana" w:hAnsi="Verdana"/>
          <w:sz w:val="20"/>
          <w:szCs w:val="20"/>
        </w:rPr>
        <w:t xml:space="preserve"> la Corte </w:t>
      </w:r>
      <w:r w:rsidR="003809A3">
        <w:rPr>
          <w:rFonts w:ascii="Verdana" w:hAnsi="Verdana"/>
          <w:sz w:val="20"/>
          <w:szCs w:val="20"/>
        </w:rPr>
        <w:t xml:space="preserve">IDH </w:t>
      </w:r>
      <w:r w:rsidR="00F20D29" w:rsidRPr="00C84A6F">
        <w:rPr>
          <w:rFonts w:ascii="Verdana" w:hAnsi="Verdana"/>
          <w:sz w:val="20"/>
          <w:szCs w:val="20"/>
        </w:rPr>
        <w:t xml:space="preserve">ha aplicado las </w:t>
      </w:r>
      <w:r w:rsidR="00856B94" w:rsidRPr="00C84A6F">
        <w:rPr>
          <w:rFonts w:ascii="Verdana" w:hAnsi="Verdana"/>
          <w:sz w:val="20"/>
          <w:szCs w:val="20"/>
        </w:rPr>
        <w:t>garantías</w:t>
      </w:r>
      <w:r w:rsidR="00F20D29" w:rsidRPr="00C84A6F">
        <w:rPr>
          <w:rFonts w:ascii="Verdana" w:hAnsi="Verdana"/>
          <w:sz w:val="20"/>
          <w:szCs w:val="20"/>
        </w:rPr>
        <w:t xml:space="preserve"> </w:t>
      </w:r>
      <w:r w:rsidR="0049101E" w:rsidRPr="00C84A6F">
        <w:rPr>
          <w:rFonts w:ascii="Verdana" w:hAnsi="Verdana"/>
          <w:sz w:val="20"/>
          <w:szCs w:val="20"/>
        </w:rPr>
        <w:t>mínimas</w:t>
      </w:r>
      <w:r w:rsidR="00F20D29" w:rsidRPr="00C84A6F">
        <w:rPr>
          <w:rFonts w:ascii="Verdana" w:hAnsi="Verdana"/>
          <w:sz w:val="20"/>
          <w:szCs w:val="20"/>
        </w:rPr>
        <w:t xml:space="preserve"> del </w:t>
      </w:r>
      <w:r w:rsidR="00EB0D7B" w:rsidRPr="00C84A6F">
        <w:rPr>
          <w:rFonts w:ascii="Verdana" w:hAnsi="Verdana"/>
          <w:sz w:val="20"/>
          <w:szCs w:val="20"/>
        </w:rPr>
        <w:t>artículo</w:t>
      </w:r>
      <w:r w:rsidR="00F20D29" w:rsidRPr="00C84A6F">
        <w:rPr>
          <w:rFonts w:ascii="Verdana" w:hAnsi="Verdana"/>
          <w:sz w:val="20"/>
          <w:szCs w:val="20"/>
        </w:rPr>
        <w:t xml:space="preserve"> 8.2 de la Convención Americana en juicios políticos</w:t>
      </w:r>
      <w:r w:rsidR="00F20D29" w:rsidRPr="00C84A6F">
        <w:rPr>
          <w:rStyle w:val="FootnoteReference"/>
          <w:rFonts w:ascii="Verdana" w:hAnsi="Verdana"/>
          <w:sz w:val="20"/>
          <w:szCs w:val="20"/>
        </w:rPr>
        <w:footnoteReference w:id="55"/>
      </w:r>
      <w:r w:rsidR="00F20D29" w:rsidRPr="00C84A6F">
        <w:rPr>
          <w:rFonts w:ascii="Verdana" w:hAnsi="Verdana"/>
          <w:sz w:val="20"/>
          <w:szCs w:val="20"/>
        </w:rPr>
        <w:t xml:space="preserve">, procedimientos administrativos </w:t>
      </w:r>
      <w:r w:rsidR="00EE74FB" w:rsidRPr="00C84A6F">
        <w:rPr>
          <w:rFonts w:ascii="Verdana" w:hAnsi="Verdana"/>
          <w:sz w:val="20"/>
          <w:szCs w:val="20"/>
        </w:rPr>
        <w:t>conducidos por el poder ejecutivo</w:t>
      </w:r>
      <w:r w:rsidR="00EE74FB" w:rsidRPr="00C84A6F">
        <w:rPr>
          <w:rStyle w:val="FootnoteReference"/>
          <w:rFonts w:ascii="Verdana" w:hAnsi="Verdana"/>
          <w:sz w:val="20"/>
          <w:szCs w:val="20"/>
        </w:rPr>
        <w:footnoteReference w:id="56"/>
      </w:r>
      <w:r w:rsidR="00EE74FB" w:rsidRPr="00C84A6F">
        <w:rPr>
          <w:rFonts w:ascii="Verdana" w:hAnsi="Verdana"/>
          <w:sz w:val="20"/>
          <w:szCs w:val="20"/>
        </w:rPr>
        <w:t xml:space="preserve"> y procedimientos administrativos migratorios</w:t>
      </w:r>
      <w:r w:rsidR="00EE74FB" w:rsidRPr="00C84A6F">
        <w:rPr>
          <w:rStyle w:val="FootnoteReference"/>
          <w:rFonts w:ascii="Verdana" w:hAnsi="Verdana"/>
          <w:sz w:val="20"/>
          <w:szCs w:val="20"/>
        </w:rPr>
        <w:footnoteReference w:id="57"/>
      </w:r>
      <w:r w:rsidR="00EE74FB" w:rsidRPr="00C84A6F">
        <w:rPr>
          <w:rFonts w:ascii="Verdana" w:hAnsi="Verdana"/>
          <w:sz w:val="20"/>
          <w:szCs w:val="20"/>
        </w:rPr>
        <w:t xml:space="preserve">. </w:t>
      </w:r>
    </w:p>
    <w:p w14:paraId="62AA8A12" w14:textId="77777777" w:rsidR="0049101E" w:rsidRPr="00C84A6F" w:rsidRDefault="0049101E" w:rsidP="000E6EDD">
      <w:pPr>
        <w:pStyle w:val="ListParagraph"/>
        <w:ind w:left="0"/>
        <w:jc w:val="both"/>
        <w:rPr>
          <w:rFonts w:ascii="Verdana" w:hAnsi="Verdana"/>
          <w:sz w:val="20"/>
          <w:szCs w:val="20"/>
        </w:rPr>
      </w:pPr>
    </w:p>
    <w:p w14:paraId="7335331B" w14:textId="69925AF9" w:rsidR="00795C82" w:rsidRPr="00C84A6F" w:rsidRDefault="00B174B6" w:rsidP="000E6EDD">
      <w:pPr>
        <w:pStyle w:val="ListParagraph"/>
        <w:ind w:left="0"/>
        <w:jc w:val="both"/>
        <w:rPr>
          <w:rFonts w:ascii="Verdana" w:hAnsi="Verdana"/>
          <w:sz w:val="20"/>
          <w:szCs w:val="20"/>
        </w:rPr>
      </w:pPr>
      <w:r>
        <w:rPr>
          <w:rFonts w:ascii="Verdana" w:hAnsi="Verdana"/>
          <w:sz w:val="20"/>
          <w:szCs w:val="20"/>
        </w:rPr>
        <w:t>26</w:t>
      </w:r>
      <w:r w:rsidR="00660B00">
        <w:rPr>
          <w:rFonts w:ascii="Verdana" w:hAnsi="Verdana"/>
          <w:sz w:val="20"/>
          <w:szCs w:val="20"/>
        </w:rPr>
        <w:t xml:space="preserve">. </w:t>
      </w:r>
      <w:r w:rsidR="00660B00">
        <w:rPr>
          <w:rFonts w:ascii="Verdana" w:hAnsi="Verdana"/>
          <w:sz w:val="20"/>
          <w:szCs w:val="20"/>
        </w:rPr>
        <w:tab/>
      </w:r>
      <w:r w:rsidR="0049101E" w:rsidRPr="00C84A6F">
        <w:rPr>
          <w:rFonts w:ascii="Verdana" w:hAnsi="Verdana"/>
          <w:sz w:val="20"/>
          <w:szCs w:val="20"/>
        </w:rPr>
        <w:t>En el c</w:t>
      </w:r>
      <w:r w:rsidR="003074F8" w:rsidRPr="00C84A6F">
        <w:rPr>
          <w:rFonts w:ascii="Verdana" w:hAnsi="Verdana"/>
          <w:sz w:val="20"/>
          <w:szCs w:val="20"/>
        </w:rPr>
        <w:t xml:space="preserve">aso del </w:t>
      </w:r>
      <w:r w:rsidR="003074F8" w:rsidRPr="00C84A6F">
        <w:rPr>
          <w:rFonts w:ascii="Verdana" w:hAnsi="Verdana"/>
          <w:i/>
          <w:sz w:val="20"/>
          <w:szCs w:val="20"/>
        </w:rPr>
        <w:t>Tribunal Constitucional</w:t>
      </w:r>
      <w:r w:rsidR="0049101E" w:rsidRPr="00C84A6F">
        <w:rPr>
          <w:rFonts w:ascii="Verdana" w:hAnsi="Verdana"/>
          <w:i/>
          <w:sz w:val="20"/>
          <w:szCs w:val="20"/>
        </w:rPr>
        <w:t xml:space="preserve"> </w:t>
      </w:r>
      <w:r w:rsidR="003074F8" w:rsidRPr="00C84A6F">
        <w:rPr>
          <w:rFonts w:ascii="Verdana" w:hAnsi="Verdana"/>
          <w:i/>
          <w:sz w:val="20"/>
          <w:szCs w:val="20"/>
        </w:rPr>
        <w:t>(Campa Campos y otros) Vs. Ecuador</w:t>
      </w:r>
      <w:r w:rsidR="003809A3">
        <w:rPr>
          <w:rFonts w:ascii="Verdana" w:hAnsi="Verdana"/>
          <w:i/>
          <w:sz w:val="20"/>
          <w:szCs w:val="20"/>
        </w:rPr>
        <w:t xml:space="preserve"> </w:t>
      </w:r>
      <w:r w:rsidR="003809A3">
        <w:rPr>
          <w:rFonts w:ascii="Verdana" w:hAnsi="Verdana"/>
          <w:sz w:val="20"/>
          <w:szCs w:val="20"/>
        </w:rPr>
        <w:t>(2013)</w:t>
      </w:r>
      <w:r w:rsidR="000B641F" w:rsidRPr="00A60CAD">
        <w:rPr>
          <w:rStyle w:val="FootnoteReference"/>
          <w:rFonts w:ascii="Verdana" w:hAnsi="Verdana"/>
          <w:sz w:val="20"/>
          <w:szCs w:val="20"/>
        </w:rPr>
        <w:footnoteReference w:id="58"/>
      </w:r>
      <w:r w:rsidR="003074F8" w:rsidRPr="00C84A6F">
        <w:rPr>
          <w:rFonts w:ascii="Verdana" w:hAnsi="Verdana"/>
          <w:sz w:val="20"/>
          <w:szCs w:val="20"/>
        </w:rPr>
        <w:t>, sobre la aplicación de las garantías judiciales establecidas en el artículo 8.2 del Pacto de Sa</w:t>
      </w:r>
      <w:r w:rsidR="0049101E" w:rsidRPr="00C84A6F">
        <w:rPr>
          <w:rFonts w:ascii="Verdana" w:hAnsi="Verdana"/>
          <w:sz w:val="20"/>
          <w:szCs w:val="20"/>
        </w:rPr>
        <w:t xml:space="preserve">n </w:t>
      </w:r>
      <w:r w:rsidR="00A73EBE">
        <w:rPr>
          <w:rFonts w:ascii="Verdana" w:hAnsi="Verdana"/>
          <w:sz w:val="20"/>
          <w:szCs w:val="20"/>
        </w:rPr>
        <w:t xml:space="preserve">José </w:t>
      </w:r>
      <w:r w:rsidR="003809A3">
        <w:rPr>
          <w:rFonts w:ascii="Verdana" w:hAnsi="Verdana"/>
          <w:sz w:val="20"/>
          <w:szCs w:val="20"/>
        </w:rPr>
        <w:t xml:space="preserve">a los juicios políticos, esta Corte IDH </w:t>
      </w:r>
      <w:r w:rsidR="003074F8" w:rsidRPr="00C84A6F">
        <w:rPr>
          <w:rFonts w:ascii="Verdana" w:hAnsi="Verdana"/>
          <w:sz w:val="20"/>
          <w:szCs w:val="20"/>
        </w:rPr>
        <w:t xml:space="preserve">se pronunció en el sentido de reiterar su </w:t>
      </w:r>
      <w:proofErr w:type="spellStart"/>
      <w:r w:rsidR="003074F8" w:rsidRPr="00C84A6F">
        <w:rPr>
          <w:rFonts w:ascii="Verdana" w:hAnsi="Verdana"/>
          <w:i/>
          <w:sz w:val="20"/>
          <w:szCs w:val="20"/>
        </w:rPr>
        <w:t>leading</w:t>
      </w:r>
      <w:proofErr w:type="spellEnd"/>
      <w:r w:rsidR="003074F8" w:rsidRPr="00C84A6F">
        <w:rPr>
          <w:rFonts w:ascii="Verdana" w:hAnsi="Verdana"/>
          <w:i/>
          <w:sz w:val="20"/>
          <w:szCs w:val="20"/>
        </w:rPr>
        <w:t xml:space="preserve"> case </w:t>
      </w:r>
      <w:r w:rsidR="003074F8" w:rsidRPr="00C84A6F">
        <w:rPr>
          <w:rFonts w:ascii="Verdana" w:hAnsi="Verdana"/>
          <w:sz w:val="20"/>
          <w:szCs w:val="20"/>
        </w:rPr>
        <w:t xml:space="preserve">en la materia, el caso del </w:t>
      </w:r>
      <w:r w:rsidR="003074F8" w:rsidRPr="00C84A6F">
        <w:rPr>
          <w:rFonts w:ascii="Verdana" w:hAnsi="Verdana"/>
          <w:i/>
          <w:sz w:val="20"/>
          <w:szCs w:val="20"/>
        </w:rPr>
        <w:t>Tribunal Constitucional Vs. Perú</w:t>
      </w:r>
      <w:r w:rsidR="003809A3">
        <w:rPr>
          <w:rFonts w:ascii="Verdana" w:hAnsi="Verdana"/>
          <w:i/>
          <w:sz w:val="20"/>
          <w:szCs w:val="20"/>
        </w:rPr>
        <w:t xml:space="preserve"> </w:t>
      </w:r>
      <w:r w:rsidR="003809A3">
        <w:rPr>
          <w:rFonts w:ascii="Verdana" w:hAnsi="Verdana"/>
          <w:sz w:val="20"/>
          <w:szCs w:val="20"/>
        </w:rPr>
        <w:t>(2001)</w:t>
      </w:r>
      <w:r w:rsidR="000C4068" w:rsidRPr="00C84A6F">
        <w:rPr>
          <w:rFonts w:ascii="Verdana" w:hAnsi="Verdana"/>
          <w:sz w:val="20"/>
          <w:szCs w:val="20"/>
        </w:rPr>
        <w:t xml:space="preserve">, y ratificó los siguientes criterios: </w:t>
      </w:r>
    </w:p>
    <w:p w14:paraId="281F18FF" w14:textId="77777777" w:rsidR="0088534D" w:rsidRPr="00C84A6F" w:rsidRDefault="0088534D" w:rsidP="000E6EDD">
      <w:pPr>
        <w:pStyle w:val="ListParagraph"/>
        <w:ind w:left="0"/>
        <w:jc w:val="both"/>
        <w:rPr>
          <w:rFonts w:ascii="Verdana" w:hAnsi="Verdana"/>
          <w:sz w:val="20"/>
          <w:szCs w:val="20"/>
        </w:rPr>
      </w:pPr>
    </w:p>
    <w:p w14:paraId="325BA1B4" w14:textId="4C1D239D" w:rsidR="0088534D" w:rsidRPr="00C84A6F" w:rsidRDefault="00A107FA" w:rsidP="000E6EDD">
      <w:pPr>
        <w:ind w:left="709" w:right="855"/>
        <w:jc w:val="both"/>
        <w:rPr>
          <w:rFonts w:ascii="Times" w:hAnsi="Times" w:cs="Times New Roman"/>
          <w:sz w:val="18"/>
          <w:szCs w:val="18"/>
        </w:rPr>
      </w:pPr>
      <w:r w:rsidRPr="00C84A6F">
        <w:rPr>
          <w:rFonts w:ascii="Verdana" w:hAnsi="Verdana" w:cs="Times New Roman"/>
          <w:sz w:val="18"/>
          <w:szCs w:val="18"/>
        </w:rPr>
        <w:t xml:space="preserve">68. El respeto a los derechos humanos constituye un </w:t>
      </w:r>
      <w:r w:rsidR="0049101E" w:rsidRPr="00C84A6F">
        <w:rPr>
          <w:rFonts w:ascii="Verdana" w:hAnsi="Verdana" w:cs="Times New Roman"/>
          <w:sz w:val="18"/>
          <w:szCs w:val="18"/>
        </w:rPr>
        <w:t>límite</w:t>
      </w:r>
      <w:r w:rsidRPr="00C84A6F">
        <w:rPr>
          <w:rFonts w:ascii="Verdana" w:hAnsi="Verdana" w:cs="Times New Roman"/>
          <w:sz w:val="18"/>
          <w:szCs w:val="18"/>
        </w:rPr>
        <w:t xml:space="preserve"> a la actividad estatal, lo cual vale para todo </w:t>
      </w:r>
      <w:r w:rsidR="00856B94" w:rsidRPr="00C84A6F">
        <w:rPr>
          <w:rFonts w:ascii="Verdana" w:hAnsi="Verdana" w:cs="Times New Roman"/>
          <w:sz w:val="18"/>
          <w:szCs w:val="18"/>
        </w:rPr>
        <w:t>órgano</w:t>
      </w:r>
      <w:r w:rsidRPr="00C84A6F">
        <w:rPr>
          <w:rFonts w:ascii="Verdana" w:hAnsi="Verdana" w:cs="Times New Roman"/>
          <w:sz w:val="18"/>
          <w:szCs w:val="18"/>
        </w:rPr>
        <w:t xml:space="preserve"> o funcionario que se encuentre en una </w:t>
      </w:r>
      <w:r w:rsidR="0049101E" w:rsidRPr="00C84A6F">
        <w:rPr>
          <w:rFonts w:ascii="Verdana" w:hAnsi="Verdana" w:cs="Times New Roman"/>
          <w:sz w:val="18"/>
          <w:szCs w:val="18"/>
        </w:rPr>
        <w:t>situación</w:t>
      </w:r>
      <w:r w:rsidRPr="00C84A6F">
        <w:rPr>
          <w:rFonts w:ascii="Verdana" w:hAnsi="Verdana" w:cs="Times New Roman"/>
          <w:sz w:val="18"/>
          <w:szCs w:val="18"/>
        </w:rPr>
        <w:t xml:space="preserve"> de poder, en </w:t>
      </w:r>
      <w:r w:rsidR="0049101E" w:rsidRPr="00C84A6F">
        <w:rPr>
          <w:rFonts w:ascii="Verdana" w:hAnsi="Verdana" w:cs="Times New Roman"/>
          <w:sz w:val="18"/>
          <w:szCs w:val="18"/>
        </w:rPr>
        <w:t>razón</w:t>
      </w:r>
      <w:r w:rsidRPr="00C84A6F">
        <w:rPr>
          <w:rFonts w:ascii="Verdana" w:hAnsi="Verdana" w:cs="Times New Roman"/>
          <w:sz w:val="18"/>
          <w:szCs w:val="18"/>
        </w:rPr>
        <w:t xml:space="preserve"> de su </w:t>
      </w:r>
      <w:r w:rsidR="0049101E" w:rsidRPr="00C84A6F">
        <w:rPr>
          <w:rFonts w:ascii="Verdana" w:hAnsi="Verdana" w:cs="Times New Roman"/>
          <w:sz w:val="18"/>
          <w:szCs w:val="18"/>
        </w:rPr>
        <w:t>carácter</w:t>
      </w:r>
      <w:r w:rsidRPr="00C84A6F">
        <w:rPr>
          <w:rFonts w:ascii="Verdana" w:hAnsi="Verdana" w:cs="Times New Roman"/>
          <w:sz w:val="18"/>
          <w:szCs w:val="18"/>
        </w:rPr>
        <w:t xml:space="preserve"> oficial, respecto de las </w:t>
      </w:r>
      <w:r w:rsidR="0049101E" w:rsidRPr="00C84A6F">
        <w:rPr>
          <w:rFonts w:ascii="Verdana" w:hAnsi="Verdana" w:cs="Times New Roman"/>
          <w:sz w:val="18"/>
          <w:szCs w:val="18"/>
        </w:rPr>
        <w:t>demás</w:t>
      </w:r>
      <w:r w:rsidRPr="00C84A6F">
        <w:rPr>
          <w:rFonts w:ascii="Verdana" w:hAnsi="Verdana" w:cs="Times New Roman"/>
          <w:sz w:val="18"/>
          <w:szCs w:val="18"/>
        </w:rPr>
        <w:t xml:space="preserve"> personas. Es, </w:t>
      </w:r>
      <w:r w:rsidR="00EB0D7B">
        <w:rPr>
          <w:rFonts w:ascii="Verdana" w:hAnsi="Verdana" w:cs="Times New Roman"/>
          <w:sz w:val="18"/>
          <w:szCs w:val="18"/>
        </w:rPr>
        <w:t>así</w:t>
      </w:r>
      <w:r w:rsidRPr="00C84A6F">
        <w:rPr>
          <w:rFonts w:ascii="Verdana" w:hAnsi="Verdana" w:cs="Times New Roman"/>
          <w:sz w:val="18"/>
          <w:szCs w:val="18"/>
        </w:rPr>
        <w:t xml:space="preserve">, </w:t>
      </w:r>
      <w:r w:rsidR="0049101E" w:rsidRPr="00C84A6F">
        <w:rPr>
          <w:rFonts w:ascii="Verdana" w:hAnsi="Verdana" w:cs="Times New Roman"/>
          <w:sz w:val="18"/>
          <w:szCs w:val="18"/>
        </w:rPr>
        <w:t>ilícita</w:t>
      </w:r>
      <w:r w:rsidRPr="00C84A6F">
        <w:rPr>
          <w:rFonts w:ascii="Verdana" w:hAnsi="Verdana" w:cs="Times New Roman"/>
          <w:sz w:val="18"/>
          <w:szCs w:val="18"/>
        </w:rPr>
        <w:t xml:space="preserve">, toda forma de ejercicio del poder </w:t>
      </w:r>
      <w:r w:rsidR="0049101E" w:rsidRPr="00C84A6F">
        <w:rPr>
          <w:rFonts w:ascii="Verdana" w:hAnsi="Verdana" w:cs="Times New Roman"/>
          <w:sz w:val="18"/>
          <w:szCs w:val="18"/>
        </w:rPr>
        <w:t>público</w:t>
      </w:r>
      <w:r w:rsidRPr="00C84A6F">
        <w:rPr>
          <w:rFonts w:ascii="Verdana" w:hAnsi="Verdana" w:cs="Times New Roman"/>
          <w:sz w:val="18"/>
          <w:szCs w:val="18"/>
        </w:rPr>
        <w:t xml:space="preserve"> que viole los derechos reconocidos por la </w:t>
      </w:r>
      <w:r w:rsidR="0049101E" w:rsidRPr="00C84A6F">
        <w:rPr>
          <w:rFonts w:ascii="Verdana" w:hAnsi="Verdana" w:cs="Times New Roman"/>
          <w:sz w:val="18"/>
          <w:szCs w:val="18"/>
        </w:rPr>
        <w:t>Convención</w:t>
      </w:r>
      <w:r w:rsidRPr="00C84A6F">
        <w:rPr>
          <w:rFonts w:ascii="Verdana" w:hAnsi="Verdana" w:cs="Times New Roman"/>
          <w:sz w:val="18"/>
          <w:szCs w:val="18"/>
        </w:rPr>
        <w:t xml:space="preserve">. Esto es </w:t>
      </w:r>
      <w:r w:rsidR="0049101E" w:rsidRPr="00E446DF">
        <w:rPr>
          <w:rFonts w:ascii="Verdana" w:hAnsi="Verdana" w:cs="Times New Roman"/>
          <w:sz w:val="18"/>
          <w:szCs w:val="18"/>
          <w:u w:val="single"/>
        </w:rPr>
        <w:t>aún</w:t>
      </w:r>
      <w:r w:rsidRPr="00E446DF">
        <w:rPr>
          <w:rFonts w:ascii="Verdana" w:hAnsi="Verdana" w:cs="Times New Roman"/>
          <w:sz w:val="18"/>
          <w:szCs w:val="18"/>
          <w:u w:val="single"/>
        </w:rPr>
        <w:t xml:space="preserve"> </w:t>
      </w:r>
      <w:r w:rsidR="0049101E" w:rsidRPr="00E446DF">
        <w:rPr>
          <w:rFonts w:ascii="Verdana" w:hAnsi="Verdana" w:cs="Times New Roman"/>
          <w:sz w:val="18"/>
          <w:szCs w:val="18"/>
          <w:u w:val="single"/>
        </w:rPr>
        <w:t>más</w:t>
      </w:r>
      <w:r w:rsidRPr="00E446DF">
        <w:rPr>
          <w:rFonts w:ascii="Verdana" w:hAnsi="Verdana" w:cs="Times New Roman"/>
          <w:sz w:val="18"/>
          <w:szCs w:val="18"/>
          <w:u w:val="single"/>
        </w:rPr>
        <w:t xml:space="preserve"> importante cuando el Estado ejerce su poder sancionatorio</w:t>
      </w:r>
      <w:r w:rsidRPr="00C84A6F">
        <w:rPr>
          <w:rFonts w:ascii="Verdana" w:hAnsi="Verdana" w:cs="Times New Roman"/>
          <w:sz w:val="18"/>
          <w:szCs w:val="18"/>
        </w:rPr>
        <w:t xml:space="preserve">, pues </w:t>
      </w:r>
      <w:r w:rsidR="0049101E" w:rsidRPr="00C84A6F">
        <w:rPr>
          <w:rFonts w:ascii="Verdana" w:hAnsi="Verdana" w:cs="Times New Roman"/>
          <w:sz w:val="18"/>
          <w:szCs w:val="18"/>
        </w:rPr>
        <w:t>éste</w:t>
      </w:r>
      <w:r w:rsidRPr="00C84A6F">
        <w:rPr>
          <w:rFonts w:ascii="Verdana" w:hAnsi="Verdana" w:cs="Times New Roman"/>
          <w:sz w:val="18"/>
          <w:szCs w:val="18"/>
        </w:rPr>
        <w:t xml:space="preserve"> no </w:t>
      </w:r>
      <w:r w:rsidR="0049101E" w:rsidRPr="00C84A6F">
        <w:rPr>
          <w:rFonts w:ascii="Verdana" w:hAnsi="Verdana" w:cs="Times New Roman"/>
          <w:sz w:val="18"/>
          <w:szCs w:val="18"/>
        </w:rPr>
        <w:t>sólo</w:t>
      </w:r>
      <w:r w:rsidRPr="00C84A6F">
        <w:rPr>
          <w:rFonts w:ascii="Verdana" w:hAnsi="Verdana" w:cs="Times New Roman"/>
          <w:sz w:val="18"/>
          <w:szCs w:val="18"/>
        </w:rPr>
        <w:t xml:space="preserve"> presupone la </w:t>
      </w:r>
      <w:r w:rsidR="0049101E" w:rsidRPr="00C84A6F">
        <w:rPr>
          <w:rFonts w:ascii="Verdana" w:hAnsi="Verdana" w:cs="Times New Roman"/>
          <w:sz w:val="18"/>
          <w:szCs w:val="18"/>
        </w:rPr>
        <w:t>actuación</w:t>
      </w:r>
      <w:r w:rsidRPr="00C84A6F">
        <w:rPr>
          <w:rFonts w:ascii="Verdana" w:hAnsi="Verdana" w:cs="Times New Roman"/>
          <w:sz w:val="18"/>
          <w:szCs w:val="18"/>
        </w:rPr>
        <w:t xml:space="preserve"> de las autoridades con un total apego al orden </w:t>
      </w:r>
      <w:r w:rsidR="0049101E" w:rsidRPr="00C84A6F">
        <w:rPr>
          <w:rFonts w:ascii="Verdana" w:hAnsi="Verdana" w:cs="Times New Roman"/>
          <w:sz w:val="18"/>
          <w:szCs w:val="18"/>
        </w:rPr>
        <w:t>jurídico</w:t>
      </w:r>
      <w:r w:rsidRPr="00C84A6F">
        <w:rPr>
          <w:rFonts w:ascii="Verdana" w:hAnsi="Verdana" w:cs="Times New Roman"/>
          <w:sz w:val="18"/>
          <w:szCs w:val="18"/>
        </w:rPr>
        <w:t xml:space="preserve">, sino implica </w:t>
      </w:r>
      <w:r w:rsidR="0049101E" w:rsidRPr="00C84A6F">
        <w:rPr>
          <w:rFonts w:ascii="Verdana" w:hAnsi="Verdana" w:cs="Times New Roman"/>
          <w:sz w:val="18"/>
          <w:szCs w:val="18"/>
        </w:rPr>
        <w:t>además</w:t>
      </w:r>
      <w:r w:rsidRPr="00C84A6F">
        <w:rPr>
          <w:rFonts w:ascii="Verdana" w:hAnsi="Verdana" w:cs="Times New Roman"/>
          <w:sz w:val="18"/>
          <w:szCs w:val="18"/>
        </w:rPr>
        <w:t xml:space="preserve"> la </w:t>
      </w:r>
      <w:r w:rsidR="0049101E" w:rsidRPr="00C84A6F">
        <w:rPr>
          <w:rFonts w:ascii="Verdana" w:hAnsi="Verdana" w:cs="Times New Roman"/>
          <w:sz w:val="18"/>
          <w:szCs w:val="18"/>
        </w:rPr>
        <w:t>concesión</w:t>
      </w:r>
      <w:r w:rsidRPr="00C84A6F">
        <w:rPr>
          <w:rFonts w:ascii="Verdana" w:hAnsi="Verdana" w:cs="Times New Roman"/>
          <w:sz w:val="18"/>
          <w:szCs w:val="18"/>
        </w:rPr>
        <w:t xml:space="preserve"> de las </w:t>
      </w:r>
      <w:r w:rsidR="0049101E" w:rsidRPr="00C84A6F">
        <w:rPr>
          <w:rFonts w:ascii="Verdana" w:hAnsi="Verdana" w:cs="Times New Roman"/>
          <w:sz w:val="18"/>
          <w:szCs w:val="18"/>
        </w:rPr>
        <w:t>garantías</w:t>
      </w:r>
      <w:r w:rsidRPr="00C84A6F">
        <w:rPr>
          <w:rFonts w:ascii="Verdana" w:hAnsi="Verdana" w:cs="Times New Roman"/>
          <w:sz w:val="18"/>
          <w:szCs w:val="18"/>
        </w:rPr>
        <w:t xml:space="preserve"> </w:t>
      </w:r>
      <w:r w:rsidR="0049101E" w:rsidRPr="00C84A6F">
        <w:rPr>
          <w:rFonts w:ascii="Verdana" w:hAnsi="Verdana" w:cs="Times New Roman"/>
          <w:sz w:val="18"/>
          <w:szCs w:val="18"/>
        </w:rPr>
        <w:t>mínimas</w:t>
      </w:r>
      <w:r w:rsidRPr="00C84A6F">
        <w:rPr>
          <w:rFonts w:ascii="Verdana" w:hAnsi="Verdana" w:cs="Times New Roman"/>
          <w:sz w:val="18"/>
          <w:szCs w:val="18"/>
        </w:rPr>
        <w:t xml:space="preserve"> del debido proceso a todas las personas que se encuentran sujetas a su </w:t>
      </w:r>
      <w:r w:rsidR="0049101E" w:rsidRPr="00C84A6F">
        <w:rPr>
          <w:rFonts w:ascii="Verdana" w:hAnsi="Verdana" w:cs="Times New Roman"/>
          <w:sz w:val="18"/>
          <w:szCs w:val="18"/>
        </w:rPr>
        <w:t>jurisdicción</w:t>
      </w:r>
      <w:r w:rsidRPr="00C84A6F">
        <w:rPr>
          <w:rFonts w:ascii="Verdana" w:hAnsi="Verdana" w:cs="Times New Roman"/>
          <w:sz w:val="18"/>
          <w:szCs w:val="18"/>
        </w:rPr>
        <w:t xml:space="preserve">, bajo las exigencias establecidas en la </w:t>
      </w:r>
      <w:r w:rsidR="0049101E" w:rsidRPr="00C84A6F">
        <w:rPr>
          <w:rFonts w:ascii="Verdana" w:hAnsi="Verdana" w:cs="Times New Roman"/>
          <w:sz w:val="18"/>
          <w:szCs w:val="18"/>
        </w:rPr>
        <w:t>Convención</w:t>
      </w:r>
      <w:r w:rsidRPr="00C84A6F">
        <w:rPr>
          <w:rFonts w:ascii="Verdana" w:hAnsi="Verdana" w:cs="Times New Roman"/>
          <w:sz w:val="18"/>
          <w:szCs w:val="18"/>
        </w:rPr>
        <w:t xml:space="preserve">. </w:t>
      </w:r>
    </w:p>
    <w:p w14:paraId="2DF33888" w14:textId="77777777" w:rsidR="0088534D" w:rsidRPr="00C84A6F" w:rsidRDefault="0088534D" w:rsidP="000E6EDD">
      <w:pPr>
        <w:ind w:left="709" w:right="855"/>
        <w:jc w:val="both"/>
        <w:rPr>
          <w:rFonts w:ascii="Times" w:hAnsi="Times" w:cs="Times New Roman"/>
          <w:sz w:val="18"/>
          <w:szCs w:val="18"/>
        </w:rPr>
      </w:pPr>
    </w:p>
    <w:p w14:paraId="36D6B55D" w14:textId="00573E07" w:rsidR="00A107FA" w:rsidRPr="00C84A6F" w:rsidRDefault="00A107FA" w:rsidP="000E6EDD">
      <w:pPr>
        <w:ind w:left="709" w:right="855"/>
        <w:jc w:val="both"/>
        <w:rPr>
          <w:rFonts w:ascii="Verdana" w:hAnsi="Verdana" w:cs="Times New Roman"/>
          <w:sz w:val="18"/>
          <w:szCs w:val="18"/>
        </w:rPr>
      </w:pPr>
      <w:r w:rsidRPr="00C84A6F">
        <w:rPr>
          <w:rFonts w:ascii="Verdana" w:hAnsi="Verdana" w:cs="Times New Roman"/>
          <w:sz w:val="18"/>
          <w:szCs w:val="18"/>
        </w:rPr>
        <w:t xml:space="preserve">69. Si bien el </w:t>
      </w:r>
      <w:r w:rsidR="0049101E" w:rsidRPr="00C84A6F">
        <w:rPr>
          <w:rFonts w:ascii="Verdana" w:hAnsi="Verdana" w:cs="Times New Roman"/>
          <w:sz w:val="18"/>
          <w:szCs w:val="18"/>
        </w:rPr>
        <w:t>artículo</w:t>
      </w:r>
      <w:r w:rsidRPr="00C84A6F">
        <w:rPr>
          <w:rFonts w:ascii="Verdana" w:hAnsi="Verdana" w:cs="Times New Roman"/>
          <w:sz w:val="18"/>
          <w:szCs w:val="18"/>
        </w:rPr>
        <w:t xml:space="preserve"> 8 de la </w:t>
      </w:r>
      <w:r w:rsidR="0049101E" w:rsidRPr="00C84A6F">
        <w:rPr>
          <w:rFonts w:ascii="Verdana" w:hAnsi="Verdana" w:cs="Times New Roman"/>
          <w:sz w:val="18"/>
          <w:szCs w:val="18"/>
        </w:rPr>
        <w:t>Convención</w:t>
      </w:r>
      <w:r w:rsidRPr="00C84A6F">
        <w:rPr>
          <w:rFonts w:ascii="Verdana" w:hAnsi="Verdana" w:cs="Times New Roman"/>
          <w:sz w:val="18"/>
          <w:szCs w:val="18"/>
        </w:rPr>
        <w:t xml:space="preserve"> Americana se titula “</w:t>
      </w:r>
      <w:r w:rsidR="0049101E" w:rsidRPr="00C84A6F">
        <w:rPr>
          <w:rFonts w:ascii="Verdana" w:hAnsi="Verdana" w:cs="Times New Roman"/>
          <w:sz w:val="18"/>
          <w:szCs w:val="18"/>
        </w:rPr>
        <w:t>Garantías</w:t>
      </w:r>
      <w:r w:rsidRPr="00C84A6F">
        <w:rPr>
          <w:rFonts w:ascii="Verdana" w:hAnsi="Verdana" w:cs="Times New Roman"/>
          <w:sz w:val="18"/>
          <w:szCs w:val="18"/>
        </w:rPr>
        <w:t xml:space="preserve"> Judiciales”, su </w:t>
      </w:r>
      <w:r w:rsidR="0049101E" w:rsidRPr="00C84A6F">
        <w:rPr>
          <w:rFonts w:ascii="Verdana" w:hAnsi="Verdana" w:cs="Times New Roman"/>
          <w:sz w:val="18"/>
          <w:szCs w:val="18"/>
        </w:rPr>
        <w:t>aplicación</w:t>
      </w:r>
      <w:r w:rsidRPr="00C84A6F">
        <w:rPr>
          <w:rFonts w:ascii="Verdana" w:hAnsi="Verdana" w:cs="Times New Roman"/>
          <w:sz w:val="18"/>
          <w:szCs w:val="18"/>
        </w:rPr>
        <w:t xml:space="preserve"> no se limita a los recursos judiciales en sentido estricto, “sino el conjunto de requisitos que deben observarse en las instancias procesales” a efecto de que las personas puedan defenderse adecuadamente ante cualquier tipo de acto emanado del Estado que pueda afectar sus derechos. </w:t>
      </w:r>
    </w:p>
    <w:p w14:paraId="66CC96C4" w14:textId="77777777" w:rsidR="0088534D" w:rsidRPr="00C84A6F" w:rsidRDefault="0088534D" w:rsidP="000E6EDD">
      <w:pPr>
        <w:ind w:left="709" w:right="571"/>
        <w:jc w:val="both"/>
        <w:rPr>
          <w:rFonts w:ascii="Times" w:hAnsi="Times" w:cs="Times New Roman"/>
          <w:sz w:val="18"/>
          <w:szCs w:val="18"/>
        </w:rPr>
      </w:pPr>
    </w:p>
    <w:p w14:paraId="27C75C38" w14:textId="3D4A60CE" w:rsidR="00A107FA" w:rsidRDefault="00A107FA" w:rsidP="000E6EDD">
      <w:pPr>
        <w:tabs>
          <w:tab w:val="left" w:pos="7797"/>
          <w:tab w:val="left" w:pos="7938"/>
        </w:tabs>
        <w:ind w:left="709" w:right="855"/>
        <w:jc w:val="both"/>
        <w:rPr>
          <w:rFonts w:ascii="Verdana" w:hAnsi="Verdana" w:cs="Times New Roman"/>
          <w:sz w:val="18"/>
          <w:szCs w:val="18"/>
        </w:rPr>
      </w:pPr>
      <w:r w:rsidRPr="00C84A6F">
        <w:rPr>
          <w:rFonts w:ascii="Verdana" w:hAnsi="Verdana" w:cs="Times New Roman"/>
          <w:sz w:val="18"/>
          <w:szCs w:val="18"/>
        </w:rPr>
        <w:t xml:space="preserve">70. Ya la Corte ha dejado establecido que a pesar de que el citado </w:t>
      </w:r>
      <w:r w:rsidR="0049101E" w:rsidRPr="00C84A6F">
        <w:rPr>
          <w:rFonts w:ascii="Verdana" w:hAnsi="Verdana" w:cs="Times New Roman"/>
          <w:sz w:val="18"/>
          <w:szCs w:val="18"/>
        </w:rPr>
        <w:t>artículo</w:t>
      </w:r>
      <w:r w:rsidRPr="00C84A6F">
        <w:rPr>
          <w:rFonts w:ascii="Verdana" w:hAnsi="Verdana" w:cs="Times New Roman"/>
          <w:sz w:val="18"/>
          <w:szCs w:val="18"/>
        </w:rPr>
        <w:t xml:space="preserve"> no especifica </w:t>
      </w:r>
      <w:r w:rsidR="0049101E" w:rsidRPr="00C84A6F">
        <w:rPr>
          <w:rFonts w:ascii="Verdana" w:hAnsi="Verdana" w:cs="Times New Roman"/>
          <w:sz w:val="18"/>
          <w:szCs w:val="18"/>
        </w:rPr>
        <w:t>garantías</w:t>
      </w:r>
      <w:r w:rsidRPr="00C84A6F">
        <w:rPr>
          <w:rFonts w:ascii="Verdana" w:hAnsi="Verdana" w:cs="Times New Roman"/>
          <w:sz w:val="18"/>
          <w:szCs w:val="18"/>
        </w:rPr>
        <w:t xml:space="preserve"> </w:t>
      </w:r>
      <w:r w:rsidR="0049101E" w:rsidRPr="00C84A6F">
        <w:rPr>
          <w:rFonts w:ascii="Verdana" w:hAnsi="Verdana" w:cs="Times New Roman"/>
          <w:sz w:val="18"/>
          <w:szCs w:val="18"/>
        </w:rPr>
        <w:t>mínimas</w:t>
      </w:r>
      <w:r w:rsidRPr="00C84A6F">
        <w:rPr>
          <w:rFonts w:ascii="Verdana" w:hAnsi="Verdana" w:cs="Times New Roman"/>
          <w:sz w:val="18"/>
          <w:szCs w:val="18"/>
        </w:rPr>
        <w:t xml:space="preserve"> en materias que conciernen a la </w:t>
      </w:r>
      <w:r w:rsidR="0049101E" w:rsidRPr="00C84A6F">
        <w:rPr>
          <w:rFonts w:ascii="Verdana" w:hAnsi="Verdana" w:cs="Times New Roman"/>
          <w:sz w:val="18"/>
          <w:szCs w:val="18"/>
        </w:rPr>
        <w:t>determinación</w:t>
      </w:r>
      <w:r w:rsidRPr="00C84A6F">
        <w:rPr>
          <w:rFonts w:ascii="Verdana" w:hAnsi="Verdana" w:cs="Times New Roman"/>
          <w:sz w:val="18"/>
          <w:szCs w:val="18"/>
        </w:rPr>
        <w:t xml:space="preserve"> de los </w:t>
      </w:r>
      <w:r w:rsidRPr="00C84A6F">
        <w:rPr>
          <w:rFonts w:ascii="Verdana" w:hAnsi="Verdana" w:cs="Times New Roman"/>
          <w:sz w:val="18"/>
          <w:szCs w:val="18"/>
        </w:rPr>
        <w:lastRenderedPageBreak/>
        <w:t xml:space="preserve">derechos y obligaciones de orden civil, laboral, fiscal o de cualquier otro </w:t>
      </w:r>
      <w:r w:rsidR="0049101E" w:rsidRPr="00C84A6F">
        <w:rPr>
          <w:rFonts w:ascii="Verdana" w:hAnsi="Verdana" w:cs="Times New Roman"/>
          <w:sz w:val="18"/>
          <w:szCs w:val="18"/>
        </w:rPr>
        <w:t>carácter</w:t>
      </w:r>
      <w:r w:rsidRPr="00C84A6F">
        <w:rPr>
          <w:rFonts w:ascii="Verdana" w:hAnsi="Verdana" w:cs="Times New Roman"/>
          <w:sz w:val="18"/>
          <w:szCs w:val="18"/>
        </w:rPr>
        <w:t xml:space="preserve">, el elenco de </w:t>
      </w:r>
      <w:r w:rsidR="0049101E" w:rsidRPr="00C84A6F">
        <w:rPr>
          <w:rFonts w:ascii="Verdana" w:hAnsi="Verdana" w:cs="Times New Roman"/>
          <w:sz w:val="18"/>
          <w:szCs w:val="18"/>
        </w:rPr>
        <w:t>garantías</w:t>
      </w:r>
      <w:r w:rsidRPr="00C84A6F">
        <w:rPr>
          <w:rFonts w:ascii="Verdana" w:hAnsi="Verdana" w:cs="Times New Roman"/>
          <w:sz w:val="18"/>
          <w:szCs w:val="18"/>
        </w:rPr>
        <w:t xml:space="preserve"> </w:t>
      </w:r>
      <w:r w:rsidR="0049101E" w:rsidRPr="00C84A6F">
        <w:rPr>
          <w:rFonts w:ascii="Verdana" w:hAnsi="Verdana" w:cs="Times New Roman"/>
          <w:sz w:val="18"/>
          <w:szCs w:val="18"/>
        </w:rPr>
        <w:t>mínimas</w:t>
      </w:r>
      <w:r w:rsidRPr="00C84A6F">
        <w:rPr>
          <w:rFonts w:ascii="Verdana" w:hAnsi="Verdana" w:cs="Times New Roman"/>
          <w:sz w:val="18"/>
          <w:szCs w:val="18"/>
        </w:rPr>
        <w:t xml:space="preserve"> establecido en el numeral 2 del mismo precepto se aplica </w:t>
      </w:r>
      <w:r w:rsidR="0049101E" w:rsidRPr="00E0154C">
        <w:rPr>
          <w:rFonts w:ascii="Verdana" w:hAnsi="Verdana" w:cs="Times New Roman"/>
          <w:sz w:val="18"/>
          <w:szCs w:val="18"/>
          <w:u w:val="single"/>
        </w:rPr>
        <w:t>también</w:t>
      </w:r>
      <w:r w:rsidRPr="00E0154C">
        <w:rPr>
          <w:rFonts w:ascii="Verdana" w:hAnsi="Verdana" w:cs="Times New Roman"/>
          <w:sz w:val="18"/>
          <w:szCs w:val="18"/>
          <w:u w:val="single"/>
        </w:rPr>
        <w:t xml:space="preserve"> a esos </w:t>
      </w:r>
      <w:r w:rsidR="0049101E" w:rsidRPr="00E0154C">
        <w:rPr>
          <w:rFonts w:ascii="Verdana" w:hAnsi="Verdana" w:cs="Times New Roman"/>
          <w:sz w:val="18"/>
          <w:szCs w:val="18"/>
          <w:u w:val="single"/>
        </w:rPr>
        <w:t>órdenes</w:t>
      </w:r>
      <w:r w:rsidRPr="00E0154C">
        <w:rPr>
          <w:rFonts w:ascii="Verdana" w:hAnsi="Verdana" w:cs="Times New Roman"/>
          <w:sz w:val="18"/>
          <w:szCs w:val="18"/>
          <w:u w:val="single"/>
        </w:rPr>
        <w:t xml:space="preserve"> y, por ende, en ese tipo de materias el individuo tiene </w:t>
      </w:r>
      <w:r w:rsidR="0049101E" w:rsidRPr="00E0154C">
        <w:rPr>
          <w:rFonts w:ascii="Verdana" w:hAnsi="Verdana" w:cs="Times New Roman"/>
          <w:sz w:val="18"/>
          <w:szCs w:val="18"/>
          <w:u w:val="single"/>
        </w:rPr>
        <w:t>también</w:t>
      </w:r>
      <w:r w:rsidRPr="00E0154C">
        <w:rPr>
          <w:rFonts w:ascii="Verdana" w:hAnsi="Verdana" w:cs="Times New Roman"/>
          <w:sz w:val="18"/>
          <w:szCs w:val="18"/>
          <w:u w:val="single"/>
        </w:rPr>
        <w:t xml:space="preserve"> el derecho, en general, al debido proceso</w:t>
      </w:r>
      <w:r w:rsidR="00332ECD">
        <w:rPr>
          <w:rFonts w:ascii="Verdana" w:hAnsi="Verdana" w:cs="Times New Roman"/>
          <w:sz w:val="18"/>
          <w:szCs w:val="18"/>
          <w:u w:val="single"/>
        </w:rPr>
        <w:t xml:space="preserve"> que se aplica en materia penal</w:t>
      </w:r>
      <w:r w:rsidR="00A73EBE">
        <w:rPr>
          <w:rFonts w:ascii="Verdana" w:hAnsi="Verdana" w:cs="Times New Roman"/>
          <w:sz w:val="18"/>
          <w:szCs w:val="18"/>
        </w:rPr>
        <w:t>.</w:t>
      </w:r>
    </w:p>
    <w:p w14:paraId="2CC6FC62" w14:textId="77777777" w:rsidR="00664902" w:rsidRPr="00C84A6F" w:rsidRDefault="00664902" w:rsidP="000F373D">
      <w:pPr>
        <w:tabs>
          <w:tab w:val="left" w:pos="7797"/>
          <w:tab w:val="left" w:pos="7938"/>
        </w:tabs>
        <w:ind w:left="709" w:right="855"/>
        <w:jc w:val="both"/>
        <w:rPr>
          <w:rFonts w:ascii="Times" w:hAnsi="Times" w:cs="Times New Roman"/>
          <w:sz w:val="18"/>
          <w:szCs w:val="18"/>
        </w:rPr>
      </w:pPr>
    </w:p>
    <w:p w14:paraId="0D37DCEF" w14:textId="612CD250" w:rsidR="00A107FA" w:rsidRPr="00C84A6F" w:rsidRDefault="00A107FA" w:rsidP="000F373D">
      <w:pPr>
        <w:tabs>
          <w:tab w:val="left" w:pos="7797"/>
          <w:tab w:val="left" w:pos="7938"/>
          <w:tab w:val="left" w:pos="8505"/>
          <w:tab w:val="left" w:pos="8789"/>
        </w:tabs>
        <w:ind w:left="709" w:right="855"/>
        <w:jc w:val="both"/>
        <w:rPr>
          <w:rFonts w:ascii="Verdana" w:hAnsi="Verdana" w:cs="Times New Roman"/>
          <w:sz w:val="18"/>
          <w:szCs w:val="18"/>
        </w:rPr>
      </w:pPr>
      <w:r w:rsidRPr="00C84A6F">
        <w:rPr>
          <w:rFonts w:ascii="Verdana" w:hAnsi="Verdana" w:cs="Times New Roman"/>
          <w:sz w:val="18"/>
          <w:szCs w:val="18"/>
        </w:rPr>
        <w:t xml:space="preserve">71. De conformidad con la </w:t>
      </w:r>
      <w:r w:rsidR="0049101E" w:rsidRPr="00C84A6F">
        <w:rPr>
          <w:rFonts w:ascii="Verdana" w:hAnsi="Verdana" w:cs="Times New Roman"/>
          <w:sz w:val="18"/>
          <w:szCs w:val="18"/>
        </w:rPr>
        <w:t>separación</w:t>
      </w:r>
      <w:r w:rsidRPr="00C84A6F">
        <w:rPr>
          <w:rFonts w:ascii="Verdana" w:hAnsi="Verdana" w:cs="Times New Roman"/>
          <w:sz w:val="18"/>
          <w:szCs w:val="18"/>
        </w:rPr>
        <w:t xml:space="preserve"> de los poderes </w:t>
      </w:r>
      <w:r w:rsidR="0049101E" w:rsidRPr="00C84A6F">
        <w:rPr>
          <w:rFonts w:ascii="Verdana" w:hAnsi="Verdana" w:cs="Times New Roman"/>
          <w:sz w:val="18"/>
          <w:szCs w:val="18"/>
        </w:rPr>
        <w:t>públicos</w:t>
      </w:r>
      <w:r w:rsidRPr="00C84A6F">
        <w:rPr>
          <w:rFonts w:ascii="Verdana" w:hAnsi="Verdana" w:cs="Times New Roman"/>
          <w:sz w:val="18"/>
          <w:szCs w:val="18"/>
        </w:rPr>
        <w:t xml:space="preserve"> que existe en el Estado de Derecho, si bien la </w:t>
      </w:r>
      <w:r w:rsidR="0049101E" w:rsidRPr="00C84A6F">
        <w:rPr>
          <w:rFonts w:ascii="Verdana" w:hAnsi="Verdana" w:cs="Times New Roman"/>
          <w:sz w:val="18"/>
          <w:szCs w:val="18"/>
        </w:rPr>
        <w:t>función</w:t>
      </w:r>
      <w:r w:rsidRPr="00C84A6F">
        <w:rPr>
          <w:rFonts w:ascii="Verdana" w:hAnsi="Verdana" w:cs="Times New Roman"/>
          <w:sz w:val="18"/>
          <w:szCs w:val="18"/>
        </w:rPr>
        <w:t xml:space="preserve"> jurisdiccional compete eminentemente al Poder Judicial, otros </w:t>
      </w:r>
      <w:r w:rsidR="0049101E" w:rsidRPr="00C84A6F">
        <w:rPr>
          <w:rFonts w:ascii="Verdana" w:hAnsi="Verdana" w:cs="Times New Roman"/>
          <w:sz w:val="18"/>
          <w:szCs w:val="18"/>
        </w:rPr>
        <w:t>órganos</w:t>
      </w:r>
      <w:r w:rsidRPr="00C84A6F">
        <w:rPr>
          <w:rFonts w:ascii="Verdana" w:hAnsi="Verdana" w:cs="Times New Roman"/>
          <w:sz w:val="18"/>
          <w:szCs w:val="18"/>
        </w:rPr>
        <w:t xml:space="preserve"> o autoridades </w:t>
      </w:r>
      <w:r w:rsidR="0049101E" w:rsidRPr="00C84A6F">
        <w:rPr>
          <w:rFonts w:ascii="Verdana" w:hAnsi="Verdana" w:cs="Times New Roman"/>
          <w:sz w:val="18"/>
          <w:szCs w:val="18"/>
        </w:rPr>
        <w:t>públicas</w:t>
      </w:r>
      <w:r w:rsidRPr="00C84A6F">
        <w:rPr>
          <w:rFonts w:ascii="Verdana" w:hAnsi="Verdana" w:cs="Times New Roman"/>
          <w:sz w:val="18"/>
          <w:szCs w:val="18"/>
        </w:rPr>
        <w:t xml:space="preserve"> pueden ejercer funciones del mismo tipo. Es decir, que cuando la </w:t>
      </w:r>
      <w:r w:rsidR="0049101E" w:rsidRPr="00C84A6F">
        <w:rPr>
          <w:rFonts w:ascii="Verdana" w:hAnsi="Verdana" w:cs="Times New Roman"/>
          <w:sz w:val="18"/>
          <w:szCs w:val="18"/>
        </w:rPr>
        <w:t>Convención</w:t>
      </w:r>
      <w:r w:rsidRPr="00C84A6F">
        <w:rPr>
          <w:rFonts w:ascii="Verdana" w:hAnsi="Verdana" w:cs="Times New Roman"/>
          <w:sz w:val="18"/>
          <w:szCs w:val="18"/>
        </w:rPr>
        <w:t xml:space="preserve"> se refiere al derecho de toda persona a ser </w:t>
      </w:r>
      <w:r w:rsidR="0049101E" w:rsidRPr="00C84A6F">
        <w:rPr>
          <w:rFonts w:ascii="Verdana" w:hAnsi="Verdana" w:cs="Times New Roman"/>
          <w:sz w:val="18"/>
          <w:szCs w:val="18"/>
        </w:rPr>
        <w:t>oída</w:t>
      </w:r>
      <w:r w:rsidRPr="00C84A6F">
        <w:rPr>
          <w:rFonts w:ascii="Verdana" w:hAnsi="Verdana" w:cs="Times New Roman"/>
          <w:sz w:val="18"/>
          <w:szCs w:val="18"/>
        </w:rPr>
        <w:t xml:space="preserve"> por un “juez o tribunal competente” para la “</w:t>
      </w:r>
      <w:r w:rsidR="0049101E" w:rsidRPr="00C84A6F">
        <w:rPr>
          <w:rFonts w:ascii="Verdana" w:hAnsi="Verdana" w:cs="Times New Roman"/>
          <w:sz w:val="18"/>
          <w:szCs w:val="18"/>
        </w:rPr>
        <w:t>determinación</w:t>
      </w:r>
      <w:r w:rsidRPr="00C84A6F">
        <w:rPr>
          <w:rFonts w:ascii="Verdana" w:hAnsi="Verdana" w:cs="Times New Roman"/>
          <w:sz w:val="18"/>
          <w:szCs w:val="18"/>
        </w:rPr>
        <w:t xml:space="preserve"> de sus derechos”, esta </w:t>
      </w:r>
      <w:r w:rsidR="0049101E" w:rsidRPr="00C84A6F">
        <w:rPr>
          <w:rFonts w:ascii="Verdana" w:hAnsi="Verdana" w:cs="Times New Roman"/>
          <w:sz w:val="18"/>
          <w:szCs w:val="18"/>
        </w:rPr>
        <w:t>expresión</w:t>
      </w:r>
      <w:r w:rsidRPr="00C84A6F">
        <w:rPr>
          <w:rFonts w:ascii="Verdana" w:hAnsi="Verdana" w:cs="Times New Roman"/>
          <w:sz w:val="18"/>
          <w:szCs w:val="18"/>
        </w:rPr>
        <w:t xml:space="preserve"> se refiere a cualquier autoridad </w:t>
      </w:r>
      <w:r w:rsidR="0049101E" w:rsidRPr="00C84A6F">
        <w:rPr>
          <w:rFonts w:ascii="Verdana" w:hAnsi="Verdana" w:cs="Times New Roman"/>
          <w:sz w:val="18"/>
          <w:szCs w:val="18"/>
        </w:rPr>
        <w:t>pública</w:t>
      </w:r>
      <w:r w:rsidRPr="00C84A6F">
        <w:rPr>
          <w:rFonts w:ascii="Verdana" w:hAnsi="Verdana" w:cs="Times New Roman"/>
          <w:sz w:val="18"/>
          <w:szCs w:val="18"/>
        </w:rPr>
        <w:t xml:space="preserve">, sea administrativa, legislativa o judicial, que a </w:t>
      </w:r>
      <w:r w:rsidR="0049101E" w:rsidRPr="00C84A6F">
        <w:rPr>
          <w:rFonts w:ascii="Verdana" w:hAnsi="Verdana" w:cs="Times New Roman"/>
          <w:sz w:val="18"/>
          <w:szCs w:val="18"/>
        </w:rPr>
        <w:t>través</w:t>
      </w:r>
      <w:r w:rsidRPr="00C84A6F">
        <w:rPr>
          <w:rFonts w:ascii="Verdana" w:hAnsi="Verdana" w:cs="Times New Roman"/>
          <w:sz w:val="18"/>
          <w:szCs w:val="18"/>
        </w:rPr>
        <w:t xml:space="preserve"> de sus resoluciones determine derechos y obligaciones de las personas. Por la </w:t>
      </w:r>
      <w:r w:rsidR="0049101E" w:rsidRPr="00C84A6F">
        <w:rPr>
          <w:rFonts w:ascii="Verdana" w:hAnsi="Verdana" w:cs="Times New Roman"/>
          <w:sz w:val="18"/>
          <w:szCs w:val="18"/>
        </w:rPr>
        <w:t>razón</w:t>
      </w:r>
      <w:r w:rsidRPr="00C84A6F">
        <w:rPr>
          <w:rFonts w:ascii="Verdana" w:hAnsi="Verdana" w:cs="Times New Roman"/>
          <w:sz w:val="18"/>
          <w:szCs w:val="18"/>
        </w:rPr>
        <w:t xml:space="preserve"> mencionada, esta Corte considera que cualquier </w:t>
      </w:r>
      <w:r w:rsidR="0049101E" w:rsidRPr="00C84A6F">
        <w:rPr>
          <w:rFonts w:ascii="Verdana" w:hAnsi="Verdana" w:cs="Times New Roman"/>
          <w:sz w:val="18"/>
          <w:szCs w:val="18"/>
        </w:rPr>
        <w:t>órgano</w:t>
      </w:r>
      <w:r w:rsidRPr="00C84A6F">
        <w:rPr>
          <w:rFonts w:ascii="Verdana" w:hAnsi="Verdana" w:cs="Times New Roman"/>
          <w:sz w:val="18"/>
          <w:szCs w:val="18"/>
        </w:rPr>
        <w:t xml:space="preserve"> del Estado que ejerza funciones de </w:t>
      </w:r>
      <w:r w:rsidR="0049101E" w:rsidRPr="00C84A6F">
        <w:rPr>
          <w:rFonts w:ascii="Verdana" w:hAnsi="Verdana" w:cs="Times New Roman"/>
          <w:sz w:val="18"/>
          <w:szCs w:val="18"/>
        </w:rPr>
        <w:t>carácter</w:t>
      </w:r>
      <w:r w:rsidRPr="00C84A6F">
        <w:rPr>
          <w:rFonts w:ascii="Verdana" w:hAnsi="Verdana" w:cs="Times New Roman"/>
          <w:sz w:val="18"/>
          <w:szCs w:val="18"/>
        </w:rPr>
        <w:t xml:space="preserve"> materialmente jurisdiccional, tiene la </w:t>
      </w:r>
      <w:r w:rsidR="0049101E" w:rsidRPr="00C84A6F">
        <w:rPr>
          <w:rFonts w:ascii="Verdana" w:hAnsi="Verdana" w:cs="Times New Roman"/>
          <w:sz w:val="18"/>
          <w:szCs w:val="18"/>
        </w:rPr>
        <w:t>obligación</w:t>
      </w:r>
      <w:r w:rsidRPr="00C84A6F">
        <w:rPr>
          <w:rFonts w:ascii="Verdana" w:hAnsi="Verdana" w:cs="Times New Roman"/>
          <w:sz w:val="18"/>
          <w:szCs w:val="18"/>
        </w:rPr>
        <w:t xml:space="preserve"> de adoptar resoluciones apegadas a las </w:t>
      </w:r>
      <w:r w:rsidR="0049101E" w:rsidRPr="00C84A6F">
        <w:rPr>
          <w:rFonts w:ascii="Verdana" w:hAnsi="Verdana" w:cs="Times New Roman"/>
          <w:sz w:val="18"/>
          <w:szCs w:val="18"/>
        </w:rPr>
        <w:t>garantías</w:t>
      </w:r>
      <w:r w:rsidRPr="00C84A6F">
        <w:rPr>
          <w:rFonts w:ascii="Verdana" w:hAnsi="Verdana" w:cs="Times New Roman"/>
          <w:sz w:val="18"/>
          <w:szCs w:val="18"/>
        </w:rPr>
        <w:t xml:space="preserve"> del debido proceso legal en los </w:t>
      </w:r>
      <w:r w:rsidR="0049101E" w:rsidRPr="00C84A6F">
        <w:rPr>
          <w:rFonts w:ascii="Verdana" w:hAnsi="Verdana" w:cs="Times New Roman"/>
          <w:sz w:val="18"/>
          <w:szCs w:val="18"/>
        </w:rPr>
        <w:t>términos</w:t>
      </w:r>
      <w:r w:rsidRPr="00C84A6F">
        <w:rPr>
          <w:rFonts w:ascii="Verdana" w:hAnsi="Verdana" w:cs="Times New Roman"/>
          <w:sz w:val="18"/>
          <w:szCs w:val="18"/>
        </w:rPr>
        <w:t xml:space="preserve"> del </w:t>
      </w:r>
      <w:r w:rsidR="0049101E" w:rsidRPr="00C84A6F">
        <w:rPr>
          <w:rFonts w:ascii="Verdana" w:hAnsi="Verdana" w:cs="Times New Roman"/>
          <w:sz w:val="18"/>
          <w:szCs w:val="18"/>
        </w:rPr>
        <w:t>artículo</w:t>
      </w:r>
      <w:r w:rsidRPr="00C84A6F">
        <w:rPr>
          <w:rFonts w:ascii="Verdana" w:hAnsi="Verdana" w:cs="Times New Roman"/>
          <w:sz w:val="18"/>
          <w:szCs w:val="18"/>
        </w:rPr>
        <w:t xml:space="preserve"> 8 de la </w:t>
      </w:r>
      <w:r w:rsidR="0049101E" w:rsidRPr="00C84A6F">
        <w:rPr>
          <w:rFonts w:ascii="Verdana" w:hAnsi="Verdana" w:cs="Times New Roman"/>
          <w:sz w:val="18"/>
          <w:szCs w:val="18"/>
        </w:rPr>
        <w:t>Convención</w:t>
      </w:r>
      <w:r w:rsidRPr="00C84A6F">
        <w:rPr>
          <w:rFonts w:ascii="Verdana" w:hAnsi="Verdana" w:cs="Times New Roman"/>
          <w:sz w:val="18"/>
          <w:szCs w:val="18"/>
        </w:rPr>
        <w:t xml:space="preserve"> Americana. </w:t>
      </w:r>
    </w:p>
    <w:p w14:paraId="51C0D1DE" w14:textId="77777777" w:rsidR="0088534D" w:rsidRPr="00C84A6F" w:rsidRDefault="0088534D" w:rsidP="000E6EDD">
      <w:pPr>
        <w:tabs>
          <w:tab w:val="left" w:pos="7797"/>
          <w:tab w:val="left" w:pos="7938"/>
        </w:tabs>
        <w:ind w:left="709" w:right="1280"/>
        <w:jc w:val="both"/>
        <w:rPr>
          <w:rFonts w:ascii="Times" w:hAnsi="Times" w:cs="Times New Roman"/>
          <w:sz w:val="18"/>
          <w:szCs w:val="18"/>
        </w:rPr>
      </w:pPr>
    </w:p>
    <w:p w14:paraId="33236404" w14:textId="77777777" w:rsidR="00A107FA" w:rsidRPr="00C84A6F" w:rsidRDefault="00A107FA" w:rsidP="000E6EDD">
      <w:pPr>
        <w:tabs>
          <w:tab w:val="left" w:pos="7797"/>
          <w:tab w:val="left" w:pos="7938"/>
        </w:tabs>
        <w:ind w:left="709" w:right="1280"/>
        <w:jc w:val="both"/>
        <w:rPr>
          <w:rFonts w:ascii="Verdana" w:hAnsi="Verdana" w:cs="Times New Roman"/>
          <w:sz w:val="18"/>
          <w:szCs w:val="18"/>
        </w:rPr>
      </w:pPr>
      <w:r w:rsidRPr="00C84A6F">
        <w:rPr>
          <w:rFonts w:ascii="Verdana" w:hAnsi="Verdana" w:cs="Times New Roman"/>
          <w:sz w:val="18"/>
          <w:szCs w:val="18"/>
        </w:rPr>
        <w:t xml:space="preserve">[...] </w:t>
      </w:r>
    </w:p>
    <w:p w14:paraId="6D40045E" w14:textId="77777777" w:rsidR="0088534D" w:rsidRPr="00C84A6F" w:rsidRDefault="0088534D" w:rsidP="000E6EDD">
      <w:pPr>
        <w:tabs>
          <w:tab w:val="left" w:pos="7797"/>
          <w:tab w:val="left" w:pos="7938"/>
        </w:tabs>
        <w:ind w:left="709" w:right="1280"/>
        <w:jc w:val="both"/>
        <w:rPr>
          <w:rFonts w:ascii="Times" w:hAnsi="Times" w:cs="Times New Roman"/>
          <w:sz w:val="18"/>
          <w:szCs w:val="18"/>
        </w:rPr>
      </w:pPr>
    </w:p>
    <w:p w14:paraId="6FC0B7D8" w14:textId="20CB7B15" w:rsidR="00A107FA" w:rsidRPr="00C84A6F" w:rsidRDefault="00A107FA" w:rsidP="000F373D">
      <w:pPr>
        <w:tabs>
          <w:tab w:val="left" w:pos="7797"/>
          <w:tab w:val="left" w:pos="7938"/>
        </w:tabs>
        <w:ind w:left="709" w:right="996"/>
        <w:jc w:val="both"/>
        <w:rPr>
          <w:rFonts w:ascii="Verdana" w:hAnsi="Verdana" w:cs="Times New Roman"/>
          <w:sz w:val="18"/>
          <w:szCs w:val="18"/>
        </w:rPr>
      </w:pPr>
      <w:r w:rsidRPr="00C84A6F">
        <w:rPr>
          <w:rFonts w:ascii="Verdana" w:hAnsi="Verdana" w:cs="Times New Roman"/>
          <w:sz w:val="18"/>
          <w:szCs w:val="18"/>
        </w:rPr>
        <w:t xml:space="preserve">75. Esta Corte considera necesario que se garantice la independencia de cualquier juez en un Estado de Derecho y, en especial, la del juez constitucional en </w:t>
      </w:r>
      <w:r w:rsidR="0049101E" w:rsidRPr="00C84A6F">
        <w:rPr>
          <w:rFonts w:ascii="Verdana" w:hAnsi="Verdana" w:cs="Times New Roman"/>
          <w:sz w:val="18"/>
          <w:szCs w:val="18"/>
        </w:rPr>
        <w:t>razón</w:t>
      </w:r>
      <w:r w:rsidRPr="00C84A6F">
        <w:rPr>
          <w:rFonts w:ascii="Verdana" w:hAnsi="Verdana" w:cs="Times New Roman"/>
          <w:sz w:val="18"/>
          <w:szCs w:val="18"/>
        </w:rPr>
        <w:t xml:space="preserve"> de la naturaleza de los asuntos sometidos a su conocimiento. Como lo </w:t>
      </w:r>
      <w:r w:rsidR="0049101E" w:rsidRPr="00C84A6F">
        <w:rPr>
          <w:rFonts w:ascii="Verdana" w:hAnsi="Verdana" w:cs="Times New Roman"/>
          <w:sz w:val="18"/>
          <w:szCs w:val="18"/>
        </w:rPr>
        <w:t>señalara</w:t>
      </w:r>
      <w:r w:rsidRPr="00C84A6F">
        <w:rPr>
          <w:rFonts w:ascii="Verdana" w:hAnsi="Verdana" w:cs="Times New Roman"/>
          <w:sz w:val="18"/>
          <w:szCs w:val="18"/>
        </w:rPr>
        <w:t xml:space="preserve"> la Corte Europea, la independencia de cualquier juez supone que se cuente con un adecuado proceso de nombramiento, con una </w:t>
      </w:r>
      <w:r w:rsidR="0049101E" w:rsidRPr="00C84A6F">
        <w:rPr>
          <w:rFonts w:ascii="Verdana" w:hAnsi="Verdana" w:cs="Times New Roman"/>
          <w:sz w:val="18"/>
          <w:szCs w:val="18"/>
        </w:rPr>
        <w:t>duración</w:t>
      </w:r>
      <w:r w:rsidRPr="00C84A6F">
        <w:rPr>
          <w:rFonts w:ascii="Verdana" w:hAnsi="Verdana" w:cs="Times New Roman"/>
          <w:sz w:val="18"/>
          <w:szCs w:val="18"/>
        </w:rPr>
        <w:t xml:space="preserve"> establecida en el cargo y con una </w:t>
      </w:r>
      <w:r w:rsidR="0049101E" w:rsidRPr="00C84A6F">
        <w:rPr>
          <w:rFonts w:ascii="Verdana" w:hAnsi="Verdana" w:cs="Times New Roman"/>
          <w:sz w:val="18"/>
          <w:szCs w:val="18"/>
        </w:rPr>
        <w:t>garantía</w:t>
      </w:r>
      <w:r w:rsidRPr="00C84A6F">
        <w:rPr>
          <w:rFonts w:ascii="Verdana" w:hAnsi="Verdana" w:cs="Times New Roman"/>
          <w:sz w:val="18"/>
          <w:szCs w:val="18"/>
        </w:rPr>
        <w:t xml:space="preserve"> contra presiones externas. </w:t>
      </w:r>
    </w:p>
    <w:p w14:paraId="4BF4785E" w14:textId="77777777" w:rsidR="0088534D" w:rsidRPr="00C84A6F" w:rsidRDefault="0088534D" w:rsidP="000F373D">
      <w:pPr>
        <w:tabs>
          <w:tab w:val="left" w:pos="7797"/>
          <w:tab w:val="left" w:pos="7938"/>
          <w:tab w:val="left" w:pos="8505"/>
        </w:tabs>
        <w:ind w:left="709" w:right="1280"/>
        <w:jc w:val="both"/>
        <w:rPr>
          <w:rFonts w:ascii="Times" w:hAnsi="Times" w:cs="Times New Roman"/>
          <w:sz w:val="18"/>
          <w:szCs w:val="18"/>
        </w:rPr>
      </w:pPr>
    </w:p>
    <w:p w14:paraId="11DCDB44" w14:textId="77777777" w:rsidR="00A107FA" w:rsidRPr="00C84A6F" w:rsidRDefault="00A107FA" w:rsidP="000F373D">
      <w:pPr>
        <w:tabs>
          <w:tab w:val="left" w:pos="7797"/>
          <w:tab w:val="left" w:pos="7938"/>
          <w:tab w:val="left" w:pos="8505"/>
        </w:tabs>
        <w:ind w:left="709" w:right="1280"/>
        <w:jc w:val="both"/>
        <w:rPr>
          <w:rFonts w:ascii="Verdana" w:hAnsi="Verdana" w:cs="Times New Roman"/>
          <w:sz w:val="18"/>
          <w:szCs w:val="18"/>
        </w:rPr>
      </w:pPr>
      <w:r w:rsidRPr="00C84A6F">
        <w:rPr>
          <w:rFonts w:ascii="Verdana" w:hAnsi="Verdana" w:cs="Times New Roman"/>
          <w:sz w:val="18"/>
          <w:szCs w:val="18"/>
        </w:rPr>
        <w:t xml:space="preserve">[...] </w:t>
      </w:r>
    </w:p>
    <w:p w14:paraId="7CBA8F7A" w14:textId="77777777" w:rsidR="0088534D" w:rsidRPr="00C84A6F" w:rsidRDefault="0088534D" w:rsidP="000F373D">
      <w:pPr>
        <w:tabs>
          <w:tab w:val="left" w:pos="7797"/>
          <w:tab w:val="left" w:pos="7938"/>
          <w:tab w:val="left" w:pos="8505"/>
        </w:tabs>
        <w:ind w:left="709" w:right="1280"/>
        <w:jc w:val="both"/>
        <w:rPr>
          <w:rFonts w:ascii="Times" w:hAnsi="Times" w:cs="Times New Roman"/>
          <w:sz w:val="18"/>
          <w:szCs w:val="18"/>
        </w:rPr>
      </w:pPr>
    </w:p>
    <w:p w14:paraId="2D15FB7A" w14:textId="387613F7" w:rsidR="008045A2" w:rsidRPr="00A24C2B" w:rsidRDefault="00A107FA" w:rsidP="00A24C2B">
      <w:pPr>
        <w:tabs>
          <w:tab w:val="left" w:pos="7797"/>
          <w:tab w:val="left" w:pos="7938"/>
          <w:tab w:val="left" w:pos="8505"/>
        </w:tabs>
        <w:ind w:left="709" w:right="996"/>
        <w:jc w:val="both"/>
        <w:rPr>
          <w:rFonts w:ascii="Verdana" w:hAnsi="Verdana" w:cs="Times New Roman"/>
          <w:sz w:val="18"/>
          <w:szCs w:val="18"/>
        </w:rPr>
      </w:pPr>
      <w:r w:rsidRPr="00C84A6F">
        <w:rPr>
          <w:rFonts w:ascii="Verdana" w:hAnsi="Verdana" w:cs="Times New Roman"/>
          <w:sz w:val="18"/>
          <w:szCs w:val="18"/>
        </w:rPr>
        <w:t xml:space="preserve">77. En cuanto al ejercicio de las atribuciones del Congreso para llevar a cabo un juicio </w:t>
      </w:r>
      <w:r w:rsidR="0049101E" w:rsidRPr="00C84A6F">
        <w:rPr>
          <w:rFonts w:ascii="Verdana" w:hAnsi="Verdana" w:cs="Times New Roman"/>
          <w:sz w:val="18"/>
          <w:szCs w:val="18"/>
        </w:rPr>
        <w:t>político</w:t>
      </w:r>
      <w:r w:rsidRPr="00C84A6F">
        <w:rPr>
          <w:rFonts w:ascii="Verdana" w:hAnsi="Verdana" w:cs="Times New Roman"/>
          <w:sz w:val="18"/>
          <w:szCs w:val="18"/>
        </w:rPr>
        <w:t xml:space="preserve">, del que derivará la responsabilidad de un funcionario </w:t>
      </w:r>
      <w:r w:rsidR="0049101E" w:rsidRPr="00C84A6F">
        <w:rPr>
          <w:rFonts w:ascii="Verdana" w:hAnsi="Verdana" w:cs="Times New Roman"/>
          <w:sz w:val="18"/>
          <w:szCs w:val="18"/>
        </w:rPr>
        <w:t>público</w:t>
      </w:r>
      <w:r w:rsidRPr="00C84A6F">
        <w:rPr>
          <w:rFonts w:ascii="Verdana" w:hAnsi="Verdana" w:cs="Times New Roman"/>
          <w:sz w:val="18"/>
          <w:szCs w:val="18"/>
        </w:rPr>
        <w:t xml:space="preserve">, la Corte estima necesario recordar que toda persona sujeta a juicio de cualquier naturaleza ante un </w:t>
      </w:r>
      <w:r w:rsidR="0049101E" w:rsidRPr="00C84A6F">
        <w:rPr>
          <w:rFonts w:ascii="Verdana" w:hAnsi="Verdana" w:cs="Times New Roman"/>
          <w:sz w:val="18"/>
          <w:szCs w:val="18"/>
        </w:rPr>
        <w:t>órgano</w:t>
      </w:r>
      <w:r w:rsidRPr="00C84A6F">
        <w:rPr>
          <w:rFonts w:ascii="Verdana" w:hAnsi="Verdana" w:cs="Times New Roman"/>
          <w:sz w:val="18"/>
          <w:szCs w:val="18"/>
        </w:rPr>
        <w:t xml:space="preserve"> del Estado </w:t>
      </w:r>
      <w:r w:rsidR="0049101E" w:rsidRPr="00C84A6F">
        <w:rPr>
          <w:rFonts w:ascii="Verdana" w:hAnsi="Verdana" w:cs="Times New Roman"/>
          <w:sz w:val="18"/>
          <w:szCs w:val="18"/>
        </w:rPr>
        <w:t>deberá</w:t>
      </w:r>
      <w:r w:rsidRPr="00C84A6F">
        <w:rPr>
          <w:rFonts w:ascii="Verdana" w:hAnsi="Verdana" w:cs="Times New Roman"/>
          <w:sz w:val="18"/>
          <w:szCs w:val="18"/>
        </w:rPr>
        <w:t xml:space="preserve">́ contar con la </w:t>
      </w:r>
      <w:r w:rsidR="0049101E" w:rsidRPr="00C84A6F">
        <w:rPr>
          <w:rFonts w:ascii="Verdana" w:hAnsi="Verdana" w:cs="Times New Roman"/>
          <w:sz w:val="18"/>
          <w:szCs w:val="18"/>
        </w:rPr>
        <w:t>garantía</w:t>
      </w:r>
      <w:r w:rsidRPr="00C84A6F">
        <w:rPr>
          <w:rFonts w:ascii="Verdana" w:hAnsi="Verdana" w:cs="Times New Roman"/>
          <w:sz w:val="18"/>
          <w:szCs w:val="18"/>
        </w:rPr>
        <w:t xml:space="preserve"> de que dicho </w:t>
      </w:r>
      <w:r w:rsidR="0049101E" w:rsidRPr="00C84A6F">
        <w:rPr>
          <w:rFonts w:ascii="Verdana" w:hAnsi="Verdana" w:cs="Times New Roman"/>
          <w:sz w:val="18"/>
          <w:szCs w:val="18"/>
        </w:rPr>
        <w:t>órgano</w:t>
      </w:r>
      <w:r w:rsidRPr="00C84A6F">
        <w:rPr>
          <w:rFonts w:ascii="Verdana" w:hAnsi="Verdana" w:cs="Times New Roman"/>
          <w:sz w:val="18"/>
          <w:szCs w:val="18"/>
        </w:rPr>
        <w:t xml:space="preserve"> sea competente, independiente e imparcial y </w:t>
      </w:r>
      <w:r w:rsidR="0049101E" w:rsidRPr="00C84A6F">
        <w:rPr>
          <w:rFonts w:ascii="Verdana" w:hAnsi="Verdana" w:cs="Times New Roman"/>
          <w:sz w:val="18"/>
          <w:szCs w:val="18"/>
        </w:rPr>
        <w:t>actúe</w:t>
      </w:r>
      <w:r w:rsidRPr="00C84A6F">
        <w:rPr>
          <w:rFonts w:ascii="Verdana" w:hAnsi="Verdana" w:cs="Times New Roman"/>
          <w:sz w:val="18"/>
          <w:szCs w:val="18"/>
        </w:rPr>
        <w:t xml:space="preserve"> en los </w:t>
      </w:r>
      <w:r w:rsidR="0049101E" w:rsidRPr="00C84A6F">
        <w:rPr>
          <w:rFonts w:ascii="Verdana" w:hAnsi="Verdana" w:cs="Times New Roman"/>
          <w:sz w:val="18"/>
          <w:szCs w:val="18"/>
        </w:rPr>
        <w:t>términos</w:t>
      </w:r>
      <w:r w:rsidRPr="00C84A6F">
        <w:rPr>
          <w:rFonts w:ascii="Verdana" w:hAnsi="Verdana" w:cs="Times New Roman"/>
          <w:sz w:val="18"/>
          <w:szCs w:val="18"/>
        </w:rPr>
        <w:t xml:space="preserve"> del procedimiento legalmente previsto para el conocimiento y la </w:t>
      </w:r>
      <w:r w:rsidR="0049101E" w:rsidRPr="00C84A6F">
        <w:rPr>
          <w:rFonts w:ascii="Verdana" w:hAnsi="Verdana" w:cs="Times New Roman"/>
          <w:sz w:val="18"/>
          <w:szCs w:val="18"/>
        </w:rPr>
        <w:t>resolución</w:t>
      </w:r>
      <w:r w:rsidRPr="00C84A6F">
        <w:rPr>
          <w:rFonts w:ascii="Verdana" w:hAnsi="Verdana" w:cs="Times New Roman"/>
          <w:sz w:val="18"/>
          <w:szCs w:val="18"/>
        </w:rPr>
        <w:t xml:space="preserve"> del caso que se le somete</w:t>
      </w:r>
      <w:r w:rsidR="009F2838">
        <w:rPr>
          <w:rStyle w:val="FootnoteReference"/>
          <w:rFonts w:ascii="Verdana" w:hAnsi="Verdana" w:cs="Times New Roman"/>
          <w:sz w:val="18"/>
          <w:szCs w:val="18"/>
        </w:rPr>
        <w:footnoteReference w:id="59"/>
      </w:r>
      <w:r w:rsidRPr="00C84A6F">
        <w:rPr>
          <w:rFonts w:ascii="Verdana" w:hAnsi="Verdana" w:cs="Times New Roman"/>
          <w:sz w:val="18"/>
          <w:szCs w:val="18"/>
        </w:rPr>
        <w:t xml:space="preserve">. </w:t>
      </w:r>
      <w:r w:rsidR="00F6538E">
        <w:rPr>
          <w:rFonts w:ascii="Verdana" w:hAnsi="Verdana" w:cs="Times New Roman"/>
          <w:sz w:val="18"/>
          <w:szCs w:val="18"/>
        </w:rPr>
        <w:t>(Subrayado añadido).</w:t>
      </w:r>
    </w:p>
    <w:p w14:paraId="3F5D4F96" w14:textId="77777777" w:rsidR="008045A2" w:rsidRPr="00C84A6F" w:rsidRDefault="008045A2" w:rsidP="000E6EDD">
      <w:pPr>
        <w:tabs>
          <w:tab w:val="left" w:pos="7797"/>
          <w:tab w:val="left" w:pos="7938"/>
        </w:tabs>
        <w:ind w:left="709" w:right="996"/>
        <w:jc w:val="both"/>
        <w:rPr>
          <w:rFonts w:ascii="Times" w:hAnsi="Times" w:cs="Times New Roman"/>
          <w:sz w:val="18"/>
          <w:szCs w:val="18"/>
        </w:rPr>
      </w:pPr>
    </w:p>
    <w:p w14:paraId="03BA1F82" w14:textId="08211C2B" w:rsidR="00F76866" w:rsidRPr="00C84A6F" w:rsidRDefault="00B174B6" w:rsidP="000E6EDD">
      <w:pPr>
        <w:pStyle w:val="ListParagraph"/>
        <w:ind w:left="0"/>
        <w:jc w:val="both"/>
        <w:rPr>
          <w:rFonts w:ascii="Verdana" w:hAnsi="Verdana"/>
          <w:sz w:val="20"/>
          <w:szCs w:val="20"/>
        </w:rPr>
      </w:pPr>
      <w:r>
        <w:rPr>
          <w:rFonts w:ascii="Verdana" w:hAnsi="Verdana"/>
          <w:sz w:val="20"/>
          <w:szCs w:val="20"/>
        </w:rPr>
        <w:t>27</w:t>
      </w:r>
      <w:r w:rsidR="00F76866">
        <w:rPr>
          <w:rFonts w:ascii="Verdana" w:hAnsi="Verdana"/>
          <w:sz w:val="20"/>
          <w:szCs w:val="20"/>
        </w:rPr>
        <w:t xml:space="preserve">. </w:t>
      </w:r>
      <w:r w:rsidR="00F76866">
        <w:rPr>
          <w:rFonts w:ascii="Verdana" w:hAnsi="Verdana"/>
          <w:sz w:val="20"/>
          <w:szCs w:val="20"/>
        </w:rPr>
        <w:tab/>
        <w:t>De igual manera, este Tribunal Interamericano estableció lo siguiente</w:t>
      </w:r>
      <w:r w:rsidR="00FD0438" w:rsidRPr="00FD0438">
        <w:rPr>
          <w:rFonts w:ascii="Verdana" w:hAnsi="Verdana"/>
          <w:sz w:val="20"/>
          <w:szCs w:val="20"/>
        </w:rPr>
        <w:t xml:space="preserve"> </w:t>
      </w:r>
      <w:r w:rsidR="00FD0438">
        <w:rPr>
          <w:rFonts w:ascii="Verdana" w:hAnsi="Verdana"/>
          <w:sz w:val="20"/>
          <w:szCs w:val="20"/>
        </w:rPr>
        <w:t xml:space="preserve">en el </w:t>
      </w:r>
      <w:r w:rsidR="00A60CAD">
        <w:rPr>
          <w:rFonts w:ascii="Verdana" w:hAnsi="Verdana"/>
          <w:i/>
          <w:sz w:val="20"/>
          <w:szCs w:val="20"/>
        </w:rPr>
        <w:t xml:space="preserve">Caso </w:t>
      </w:r>
      <w:r w:rsidR="00FD0438" w:rsidRPr="00FD0438">
        <w:rPr>
          <w:rFonts w:ascii="Verdana" w:hAnsi="Verdana"/>
          <w:i/>
          <w:sz w:val="20"/>
          <w:szCs w:val="20"/>
        </w:rPr>
        <w:t>Baena Ricardo</w:t>
      </w:r>
      <w:r w:rsidR="00A60CAD">
        <w:rPr>
          <w:rFonts w:ascii="Verdana" w:hAnsi="Verdana"/>
          <w:i/>
          <w:sz w:val="20"/>
          <w:szCs w:val="20"/>
        </w:rPr>
        <w:t xml:space="preserve"> y otros</w:t>
      </w:r>
      <w:r w:rsidR="00FD0438" w:rsidRPr="00FD0438">
        <w:rPr>
          <w:rFonts w:ascii="Verdana" w:hAnsi="Verdana"/>
          <w:i/>
          <w:sz w:val="20"/>
          <w:szCs w:val="20"/>
        </w:rPr>
        <w:t xml:space="preserve"> Vs. Panamá</w:t>
      </w:r>
      <w:r w:rsidR="00A60CAD" w:rsidRPr="00A60CAD">
        <w:rPr>
          <w:rStyle w:val="FootnoteReference"/>
          <w:rFonts w:ascii="Verdana" w:hAnsi="Verdana"/>
          <w:sz w:val="20"/>
          <w:szCs w:val="20"/>
        </w:rPr>
        <w:footnoteReference w:id="60"/>
      </w:r>
      <w:r w:rsidR="00F76866" w:rsidRPr="00C84A6F">
        <w:rPr>
          <w:rFonts w:ascii="Verdana" w:hAnsi="Verdana"/>
          <w:sz w:val="20"/>
          <w:szCs w:val="20"/>
        </w:rPr>
        <w:t xml:space="preserve">: </w:t>
      </w:r>
    </w:p>
    <w:p w14:paraId="3B6B9F8F" w14:textId="77777777" w:rsidR="0088534D" w:rsidRPr="00C84A6F" w:rsidRDefault="0088534D" w:rsidP="000E6EDD">
      <w:pPr>
        <w:ind w:left="709" w:right="996"/>
        <w:jc w:val="both"/>
        <w:rPr>
          <w:rFonts w:ascii="Times" w:hAnsi="Times" w:cs="Times New Roman"/>
          <w:sz w:val="18"/>
          <w:szCs w:val="18"/>
        </w:rPr>
      </w:pPr>
    </w:p>
    <w:p w14:paraId="187EAE05" w14:textId="5A3B2C49" w:rsidR="00A107FA" w:rsidRPr="00C84A6F" w:rsidRDefault="00A107FA" w:rsidP="000E6EDD">
      <w:pPr>
        <w:ind w:left="709" w:right="996"/>
        <w:jc w:val="both"/>
        <w:rPr>
          <w:rFonts w:ascii="Verdana" w:hAnsi="Verdana" w:cs="Times New Roman"/>
          <w:sz w:val="18"/>
          <w:szCs w:val="18"/>
        </w:rPr>
      </w:pPr>
      <w:r w:rsidRPr="00C84A6F">
        <w:rPr>
          <w:rFonts w:ascii="Verdana" w:hAnsi="Verdana" w:cs="Times New Roman"/>
          <w:sz w:val="18"/>
          <w:szCs w:val="18"/>
        </w:rPr>
        <w:t xml:space="preserve">125. La Corte observa que </w:t>
      </w:r>
      <w:r w:rsidRPr="00F6538E">
        <w:rPr>
          <w:rFonts w:ascii="Verdana" w:hAnsi="Verdana" w:cs="Times New Roman"/>
          <w:sz w:val="18"/>
          <w:szCs w:val="18"/>
          <w:u w:val="single"/>
        </w:rPr>
        <w:t xml:space="preserve">el elenco de </w:t>
      </w:r>
      <w:r w:rsidR="0049101E" w:rsidRPr="00F6538E">
        <w:rPr>
          <w:rFonts w:ascii="Verdana" w:hAnsi="Verdana" w:cs="Times New Roman"/>
          <w:sz w:val="18"/>
          <w:szCs w:val="18"/>
          <w:u w:val="single"/>
        </w:rPr>
        <w:t>garantías</w:t>
      </w:r>
      <w:r w:rsidRPr="00F6538E">
        <w:rPr>
          <w:rFonts w:ascii="Verdana" w:hAnsi="Verdana" w:cs="Times New Roman"/>
          <w:sz w:val="18"/>
          <w:szCs w:val="18"/>
          <w:u w:val="single"/>
        </w:rPr>
        <w:t xml:space="preserve"> </w:t>
      </w:r>
      <w:r w:rsidR="0049101E" w:rsidRPr="00F6538E">
        <w:rPr>
          <w:rFonts w:ascii="Verdana" w:hAnsi="Verdana" w:cs="Times New Roman"/>
          <w:sz w:val="18"/>
          <w:szCs w:val="18"/>
          <w:u w:val="single"/>
        </w:rPr>
        <w:t>mínimas</w:t>
      </w:r>
      <w:r w:rsidRPr="00F6538E">
        <w:rPr>
          <w:rFonts w:ascii="Verdana" w:hAnsi="Verdana" w:cs="Times New Roman"/>
          <w:sz w:val="18"/>
          <w:szCs w:val="18"/>
          <w:u w:val="single"/>
        </w:rPr>
        <w:t xml:space="preserve"> establecido en el numeral 2 del </w:t>
      </w:r>
      <w:r w:rsidR="0049101E" w:rsidRPr="00F6538E">
        <w:rPr>
          <w:rFonts w:ascii="Verdana" w:hAnsi="Verdana" w:cs="Times New Roman"/>
          <w:sz w:val="18"/>
          <w:szCs w:val="18"/>
          <w:u w:val="single"/>
        </w:rPr>
        <w:t>artículo</w:t>
      </w:r>
      <w:r w:rsidRPr="00F6538E">
        <w:rPr>
          <w:rFonts w:ascii="Verdana" w:hAnsi="Verdana" w:cs="Times New Roman"/>
          <w:sz w:val="18"/>
          <w:szCs w:val="18"/>
          <w:u w:val="single"/>
        </w:rPr>
        <w:t xml:space="preserve"> 8 de la </w:t>
      </w:r>
      <w:r w:rsidR="0049101E" w:rsidRPr="00F6538E">
        <w:rPr>
          <w:rFonts w:ascii="Verdana" w:hAnsi="Verdana" w:cs="Times New Roman"/>
          <w:sz w:val="18"/>
          <w:szCs w:val="18"/>
          <w:u w:val="single"/>
        </w:rPr>
        <w:t>Convención</w:t>
      </w:r>
      <w:r w:rsidRPr="00F6538E">
        <w:rPr>
          <w:rFonts w:ascii="Verdana" w:hAnsi="Verdana" w:cs="Times New Roman"/>
          <w:sz w:val="18"/>
          <w:szCs w:val="18"/>
          <w:u w:val="single"/>
        </w:rPr>
        <w:t xml:space="preserve"> se aplica a los </w:t>
      </w:r>
      <w:r w:rsidR="0049101E" w:rsidRPr="00F6538E">
        <w:rPr>
          <w:rFonts w:ascii="Verdana" w:hAnsi="Verdana" w:cs="Times New Roman"/>
          <w:sz w:val="18"/>
          <w:szCs w:val="18"/>
          <w:u w:val="single"/>
        </w:rPr>
        <w:t>órdenes</w:t>
      </w:r>
      <w:r w:rsidRPr="00F6538E">
        <w:rPr>
          <w:rFonts w:ascii="Verdana" w:hAnsi="Verdana" w:cs="Times New Roman"/>
          <w:sz w:val="18"/>
          <w:szCs w:val="18"/>
          <w:u w:val="single"/>
        </w:rPr>
        <w:t xml:space="preserve"> mencionados en el numeral 1 del mismo </w:t>
      </w:r>
      <w:r w:rsidR="0049101E" w:rsidRPr="00F6538E">
        <w:rPr>
          <w:rFonts w:ascii="Verdana" w:hAnsi="Verdana" w:cs="Times New Roman"/>
          <w:sz w:val="18"/>
          <w:szCs w:val="18"/>
          <w:u w:val="single"/>
        </w:rPr>
        <w:t>artículo</w:t>
      </w:r>
      <w:r w:rsidRPr="00F6538E">
        <w:rPr>
          <w:rFonts w:ascii="Verdana" w:hAnsi="Verdana" w:cs="Times New Roman"/>
          <w:sz w:val="18"/>
          <w:szCs w:val="18"/>
          <w:u w:val="single"/>
        </w:rPr>
        <w:t xml:space="preserve">, o sea, la </w:t>
      </w:r>
      <w:r w:rsidR="0049101E" w:rsidRPr="00F6538E">
        <w:rPr>
          <w:rFonts w:ascii="Verdana" w:hAnsi="Verdana" w:cs="Times New Roman"/>
          <w:sz w:val="18"/>
          <w:szCs w:val="18"/>
          <w:u w:val="single"/>
        </w:rPr>
        <w:t>determinación</w:t>
      </w:r>
      <w:r w:rsidRPr="00F6538E">
        <w:rPr>
          <w:rFonts w:ascii="Verdana" w:hAnsi="Verdana" w:cs="Times New Roman"/>
          <w:sz w:val="18"/>
          <w:szCs w:val="18"/>
          <w:u w:val="single"/>
        </w:rPr>
        <w:t xml:space="preserve"> de derechos y obligaciones de orden “civil, laboral, fiscal o de cualquier otro </w:t>
      </w:r>
      <w:r w:rsidR="0049101E" w:rsidRPr="00F6538E">
        <w:rPr>
          <w:rFonts w:ascii="Verdana" w:hAnsi="Verdana" w:cs="Times New Roman"/>
          <w:sz w:val="18"/>
          <w:szCs w:val="18"/>
          <w:u w:val="single"/>
        </w:rPr>
        <w:t>carácter</w:t>
      </w:r>
      <w:r w:rsidRPr="00C84A6F">
        <w:rPr>
          <w:rFonts w:ascii="Verdana" w:hAnsi="Verdana" w:cs="Times New Roman"/>
          <w:sz w:val="18"/>
          <w:szCs w:val="18"/>
        </w:rPr>
        <w:t xml:space="preserve">”. Esto revela el amplio alcance del debido proceso; </w:t>
      </w:r>
      <w:r w:rsidRPr="00F6538E">
        <w:rPr>
          <w:rFonts w:ascii="Verdana" w:hAnsi="Verdana" w:cs="Times New Roman"/>
          <w:sz w:val="18"/>
          <w:szCs w:val="18"/>
          <w:u w:val="single"/>
        </w:rPr>
        <w:t xml:space="preserve">el individuo tiene el derecho al debido proceso entendido en los </w:t>
      </w:r>
      <w:r w:rsidR="0049101E" w:rsidRPr="00F6538E">
        <w:rPr>
          <w:rFonts w:ascii="Verdana" w:hAnsi="Verdana" w:cs="Times New Roman"/>
          <w:sz w:val="18"/>
          <w:szCs w:val="18"/>
          <w:u w:val="single"/>
        </w:rPr>
        <w:t>términos</w:t>
      </w:r>
      <w:r w:rsidRPr="00F6538E">
        <w:rPr>
          <w:rFonts w:ascii="Verdana" w:hAnsi="Verdana" w:cs="Times New Roman"/>
          <w:sz w:val="18"/>
          <w:szCs w:val="18"/>
          <w:u w:val="single"/>
        </w:rPr>
        <w:t xml:space="preserve"> del </w:t>
      </w:r>
      <w:r w:rsidR="0049101E" w:rsidRPr="00F6538E">
        <w:rPr>
          <w:rFonts w:ascii="Verdana" w:hAnsi="Verdana" w:cs="Times New Roman"/>
          <w:sz w:val="18"/>
          <w:szCs w:val="18"/>
          <w:u w:val="single"/>
        </w:rPr>
        <w:t>artículo</w:t>
      </w:r>
      <w:r w:rsidRPr="00F6538E">
        <w:rPr>
          <w:rFonts w:ascii="Verdana" w:hAnsi="Verdana" w:cs="Times New Roman"/>
          <w:sz w:val="18"/>
          <w:szCs w:val="18"/>
          <w:u w:val="single"/>
        </w:rPr>
        <w:t xml:space="preserve"> 8.1 y 8.2, tanto en materia penal como en todos estos otros </w:t>
      </w:r>
      <w:r w:rsidR="0049101E" w:rsidRPr="00F6538E">
        <w:rPr>
          <w:rFonts w:ascii="Verdana" w:hAnsi="Verdana" w:cs="Times New Roman"/>
          <w:sz w:val="18"/>
          <w:szCs w:val="18"/>
          <w:u w:val="single"/>
        </w:rPr>
        <w:t>órdenes</w:t>
      </w:r>
      <w:r w:rsidRPr="00F6538E">
        <w:rPr>
          <w:rFonts w:ascii="Verdana" w:hAnsi="Verdana" w:cs="Times New Roman"/>
          <w:sz w:val="18"/>
          <w:szCs w:val="18"/>
          <w:u w:val="single"/>
        </w:rPr>
        <w:t>.</w:t>
      </w:r>
      <w:r w:rsidRPr="00C84A6F">
        <w:rPr>
          <w:rFonts w:ascii="Verdana" w:hAnsi="Verdana" w:cs="Times New Roman"/>
          <w:sz w:val="18"/>
          <w:szCs w:val="18"/>
        </w:rPr>
        <w:t xml:space="preserve"> </w:t>
      </w:r>
    </w:p>
    <w:p w14:paraId="4B702905" w14:textId="77777777" w:rsidR="0088534D" w:rsidRPr="00C84A6F" w:rsidRDefault="0088534D" w:rsidP="000E6EDD">
      <w:pPr>
        <w:ind w:left="709" w:right="996"/>
        <w:jc w:val="both"/>
        <w:rPr>
          <w:rFonts w:ascii="Times" w:hAnsi="Times" w:cs="Times New Roman"/>
          <w:sz w:val="18"/>
          <w:szCs w:val="18"/>
        </w:rPr>
      </w:pPr>
    </w:p>
    <w:p w14:paraId="4EE6B162" w14:textId="03B2C934" w:rsidR="00A107FA" w:rsidRPr="00C84A6F" w:rsidRDefault="00A107FA" w:rsidP="000E6EDD">
      <w:pPr>
        <w:ind w:left="709" w:right="996"/>
        <w:jc w:val="both"/>
        <w:rPr>
          <w:rFonts w:ascii="Verdana" w:hAnsi="Verdana" w:cs="Times New Roman"/>
          <w:sz w:val="18"/>
          <w:szCs w:val="18"/>
        </w:rPr>
      </w:pPr>
      <w:r w:rsidRPr="00C84A6F">
        <w:rPr>
          <w:rFonts w:ascii="Verdana" w:hAnsi="Verdana" w:cs="Times New Roman"/>
          <w:sz w:val="18"/>
          <w:szCs w:val="18"/>
        </w:rPr>
        <w:t xml:space="preserve">126. En cualquier materia, inclusive en la laboral y la administrativa, la discrecionalidad de la </w:t>
      </w:r>
      <w:r w:rsidR="0049101E" w:rsidRPr="00C84A6F">
        <w:rPr>
          <w:rFonts w:ascii="Verdana" w:hAnsi="Verdana" w:cs="Times New Roman"/>
          <w:sz w:val="18"/>
          <w:szCs w:val="18"/>
        </w:rPr>
        <w:t>administración</w:t>
      </w:r>
      <w:r w:rsidRPr="00C84A6F">
        <w:rPr>
          <w:rFonts w:ascii="Verdana" w:hAnsi="Verdana" w:cs="Times New Roman"/>
          <w:sz w:val="18"/>
          <w:szCs w:val="18"/>
        </w:rPr>
        <w:t xml:space="preserve"> tiene </w:t>
      </w:r>
      <w:r w:rsidR="0049101E" w:rsidRPr="00C84A6F">
        <w:rPr>
          <w:rFonts w:ascii="Verdana" w:hAnsi="Verdana" w:cs="Times New Roman"/>
          <w:sz w:val="18"/>
          <w:szCs w:val="18"/>
        </w:rPr>
        <w:t>límites</w:t>
      </w:r>
      <w:r w:rsidRPr="00C84A6F">
        <w:rPr>
          <w:rFonts w:ascii="Verdana" w:hAnsi="Verdana" w:cs="Times New Roman"/>
          <w:sz w:val="18"/>
          <w:szCs w:val="18"/>
        </w:rPr>
        <w:t xml:space="preserve"> infranqueables, siendo uno de ellos el respeto de los derechos humanos. Es importante que la </w:t>
      </w:r>
      <w:r w:rsidR="0049101E" w:rsidRPr="00C84A6F">
        <w:rPr>
          <w:rFonts w:ascii="Verdana" w:hAnsi="Verdana" w:cs="Times New Roman"/>
          <w:sz w:val="18"/>
          <w:szCs w:val="18"/>
        </w:rPr>
        <w:t>actuación</w:t>
      </w:r>
      <w:r w:rsidRPr="00C84A6F">
        <w:rPr>
          <w:rFonts w:ascii="Verdana" w:hAnsi="Verdana" w:cs="Times New Roman"/>
          <w:sz w:val="18"/>
          <w:szCs w:val="18"/>
        </w:rPr>
        <w:t xml:space="preserve"> de la </w:t>
      </w:r>
      <w:r w:rsidR="0049101E" w:rsidRPr="00C84A6F">
        <w:rPr>
          <w:rFonts w:ascii="Verdana" w:hAnsi="Verdana" w:cs="Times New Roman"/>
          <w:sz w:val="18"/>
          <w:szCs w:val="18"/>
        </w:rPr>
        <w:t>administración</w:t>
      </w:r>
      <w:r w:rsidRPr="00C84A6F">
        <w:rPr>
          <w:rFonts w:ascii="Verdana" w:hAnsi="Verdana" w:cs="Times New Roman"/>
          <w:sz w:val="18"/>
          <w:szCs w:val="18"/>
        </w:rPr>
        <w:t xml:space="preserve"> se encuentre regulada, y </w:t>
      </w:r>
      <w:r w:rsidR="0049101E" w:rsidRPr="00C84A6F">
        <w:rPr>
          <w:rFonts w:ascii="Verdana" w:hAnsi="Verdana" w:cs="Times New Roman"/>
          <w:sz w:val="18"/>
          <w:szCs w:val="18"/>
        </w:rPr>
        <w:t>ésta</w:t>
      </w:r>
      <w:r w:rsidRPr="00C84A6F">
        <w:rPr>
          <w:rFonts w:ascii="Verdana" w:hAnsi="Verdana" w:cs="Times New Roman"/>
          <w:sz w:val="18"/>
          <w:szCs w:val="18"/>
        </w:rPr>
        <w:t xml:space="preserve"> no puede invocar el orden </w:t>
      </w:r>
      <w:r w:rsidR="0049101E" w:rsidRPr="00C84A6F">
        <w:rPr>
          <w:rFonts w:ascii="Verdana" w:hAnsi="Verdana" w:cs="Times New Roman"/>
          <w:sz w:val="18"/>
          <w:szCs w:val="18"/>
        </w:rPr>
        <w:t>público</w:t>
      </w:r>
      <w:r w:rsidRPr="00C84A6F">
        <w:rPr>
          <w:rFonts w:ascii="Verdana" w:hAnsi="Verdana" w:cs="Times New Roman"/>
          <w:sz w:val="18"/>
          <w:szCs w:val="18"/>
        </w:rPr>
        <w:t xml:space="preserve"> para reducir discrecionalmente las </w:t>
      </w:r>
      <w:r w:rsidR="0049101E" w:rsidRPr="00C84A6F">
        <w:rPr>
          <w:rFonts w:ascii="Verdana" w:hAnsi="Verdana" w:cs="Times New Roman"/>
          <w:sz w:val="18"/>
          <w:szCs w:val="18"/>
        </w:rPr>
        <w:t>garantías</w:t>
      </w:r>
      <w:r w:rsidRPr="00C84A6F">
        <w:rPr>
          <w:rFonts w:ascii="Verdana" w:hAnsi="Verdana" w:cs="Times New Roman"/>
          <w:sz w:val="18"/>
          <w:szCs w:val="18"/>
        </w:rPr>
        <w:t xml:space="preserve"> de los administrados. Por ejemplo, no puede la </w:t>
      </w:r>
      <w:r w:rsidR="0049101E" w:rsidRPr="00C84A6F">
        <w:rPr>
          <w:rFonts w:ascii="Verdana" w:hAnsi="Verdana" w:cs="Times New Roman"/>
          <w:sz w:val="18"/>
          <w:szCs w:val="18"/>
        </w:rPr>
        <w:t>administración</w:t>
      </w:r>
      <w:r w:rsidRPr="00C84A6F">
        <w:rPr>
          <w:rFonts w:ascii="Verdana" w:hAnsi="Verdana" w:cs="Times New Roman"/>
          <w:sz w:val="18"/>
          <w:szCs w:val="18"/>
        </w:rPr>
        <w:t xml:space="preserve"> dictar actos administrativos sancionatorios sin otorgar a los sancionados la </w:t>
      </w:r>
      <w:r w:rsidR="0049101E" w:rsidRPr="00C84A6F">
        <w:rPr>
          <w:rFonts w:ascii="Verdana" w:hAnsi="Verdana" w:cs="Times New Roman"/>
          <w:sz w:val="18"/>
          <w:szCs w:val="18"/>
        </w:rPr>
        <w:t>garantía</w:t>
      </w:r>
      <w:r w:rsidRPr="00C84A6F">
        <w:rPr>
          <w:rFonts w:ascii="Verdana" w:hAnsi="Verdana" w:cs="Times New Roman"/>
          <w:sz w:val="18"/>
          <w:szCs w:val="18"/>
        </w:rPr>
        <w:t xml:space="preserve"> del debido proceso. </w:t>
      </w:r>
    </w:p>
    <w:p w14:paraId="28E271EB" w14:textId="77777777" w:rsidR="0088534D" w:rsidRPr="00C84A6F" w:rsidRDefault="0088534D" w:rsidP="000E6EDD">
      <w:pPr>
        <w:ind w:left="709" w:right="996"/>
        <w:jc w:val="both"/>
        <w:rPr>
          <w:rFonts w:ascii="Times" w:hAnsi="Times" w:cs="Times New Roman"/>
          <w:sz w:val="18"/>
          <w:szCs w:val="18"/>
        </w:rPr>
      </w:pPr>
    </w:p>
    <w:p w14:paraId="032FE5F4" w14:textId="5AEB66E0" w:rsidR="00A107FA" w:rsidRPr="00C84A6F" w:rsidRDefault="00A107FA" w:rsidP="000E6EDD">
      <w:pPr>
        <w:ind w:left="709" w:right="996"/>
        <w:jc w:val="both"/>
        <w:rPr>
          <w:rFonts w:ascii="Verdana" w:hAnsi="Verdana" w:cs="Times New Roman"/>
          <w:sz w:val="18"/>
          <w:szCs w:val="18"/>
        </w:rPr>
      </w:pPr>
      <w:r w:rsidRPr="00C84A6F">
        <w:rPr>
          <w:rFonts w:ascii="Verdana" w:hAnsi="Verdana" w:cs="Times New Roman"/>
          <w:sz w:val="18"/>
          <w:szCs w:val="18"/>
        </w:rPr>
        <w:t xml:space="preserve">127. Es un derecho humano el obtener todas las </w:t>
      </w:r>
      <w:r w:rsidR="0049101E" w:rsidRPr="00C84A6F">
        <w:rPr>
          <w:rFonts w:ascii="Verdana" w:hAnsi="Verdana" w:cs="Times New Roman"/>
          <w:sz w:val="18"/>
          <w:szCs w:val="18"/>
        </w:rPr>
        <w:t>garantías</w:t>
      </w:r>
      <w:r w:rsidRPr="00C84A6F">
        <w:rPr>
          <w:rFonts w:ascii="Verdana" w:hAnsi="Verdana" w:cs="Times New Roman"/>
          <w:sz w:val="18"/>
          <w:szCs w:val="18"/>
        </w:rPr>
        <w:t xml:space="preserve"> que permitan alcanzar decisiones justas, no estando la </w:t>
      </w:r>
      <w:r w:rsidR="0049101E" w:rsidRPr="00C84A6F">
        <w:rPr>
          <w:rFonts w:ascii="Verdana" w:hAnsi="Verdana" w:cs="Times New Roman"/>
          <w:sz w:val="18"/>
          <w:szCs w:val="18"/>
        </w:rPr>
        <w:t>administración</w:t>
      </w:r>
      <w:r w:rsidRPr="00C84A6F">
        <w:rPr>
          <w:rFonts w:ascii="Verdana" w:hAnsi="Verdana" w:cs="Times New Roman"/>
          <w:sz w:val="18"/>
          <w:szCs w:val="18"/>
        </w:rPr>
        <w:t xml:space="preserve"> excluida de cumplir con este deber. Las </w:t>
      </w:r>
      <w:r w:rsidR="0049101E" w:rsidRPr="00C84A6F">
        <w:rPr>
          <w:rFonts w:ascii="Verdana" w:hAnsi="Verdana" w:cs="Times New Roman"/>
          <w:sz w:val="18"/>
          <w:szCs w:val="18"/>
        </w:rPr>
        <w:t>garantías</w:t>
      </w:r>
      <w:r w:rsidRPr="00C84A6F">
        <w:rPr>
          <w:rFonts w:ascii="Verdana" w:hAnsi="Verdana" w:cs="Times New Roman"/>
          <w:sz w:val="18"/>
          <w:szCs w:val="18"/>
        </w:rPr>
        <w:t xml:space="preserve"> </w:t>
      </w:r>
      <w:r w:rsidR="0049101E" w:rsidRPr="00C84A6F">
        <w:rPr>
          <w:rFonts w:ascii="Verdana" w:hAnsi="Verdana" w:cs="Times New Roman"/>
          <w:sz w:val="18"/>
          <w:szCs w:val="18"/>
        </w:rPr>
        <w:t>mínimas</w:t>
      </w:r>
      <w:r w:rsidRPr="00C84A6F">
        <w:rPr>
          <w:rFonts w:ascii="Verdana" w:hAnsi="Verdana" w:cs="Times New Roman"/>
          <w:sz w:val="18"/>
          <w:szCs w:val="18"/>
        </w:rPr>
        <w:t xml:space="preserve"> deben respetarse en el procedimiento administrativo y en cualquier otro procedimiento cuya </w:t>
      </w:r>
      <w:r w:rsidR="0049101E" w:rsidRPr="00C84A6F">
        <w:rPr>
          <w:rFonts w:ascii="Verdana" w:hAnsi="Verdana" w:cs="Times New Roman"/>
          <w:sz w:val="18"/>
          <w:szCs w:val="18"/>
        </w:rPr>
        <w:t>decisión</w:t>
      </w:r>
      <w:r w:rsidRPr="00C84A6F">
        <w:rPr>
          <w:rFonts w:ascii="Verdana" w:hAnsi="Verdana" w:cs="Times New Roman"/>
          <w:sz w:val="18"/>
          <w:szCs w:val="18"/>
        </w:rPr>
        <w:t xml:space="preserve"> pueda afectar los derechos de las personas. </w:t>
      </w:r>
    </w:p>
    <w:p w14:paraId="33C1B55E" w14:textId="77777777" w:rsidR="0088534D" w:rsidRPr="00C84A6F" w:rsidRDefault="0088534D" w:rsidP="000E6EDD">
      <w:pPr>
        <w:ind w:left="709" w:right="996"/>
        <w:jc w:val="both"/>
        <w:rPr>
          <w:rFonts w:ascii="Times" w:hAnsi="Times" w:cs="Times New Roman"/>
          <w:sz w:val="18"/>
          <w:szCs w:val="18"/>
        </w:rPr>
      </w:pPr>
    </w:p>
    <w:p w14:paraId="0A3DBDBE" w14:textId="368E4D75" w:rsidR="00A107FA" w:rsidRPr="00C84A6F" w:rsidRDefault="00A107FA" w:rsidP="000E6EDD">
      <w:pPr>
        <w:ind w:left="709" w:right="996"/>
        <w:jc w:val="both"/>
        <w:rPr>
          <w:rFonts w:ascii="Verdana" w:hAnsi="Verdana" w:cs="Times New Roman"/>
          <w:sz w:val="18"/>
          <w:szCs w:val="18"/>
        </w:rPr>
      </w:pPr>
      <w:r w:rsidRPr="00C84A6F">
        <w:rPr>
          <w:rFonts w:ascii="Verdana" w:hAnsi="Verdana" w:cs="Times New Roman"/>
          <w:sz w:val="18"/>
          <w:szCs w:val="18"/>
        </w:rPr>
        <w:t xml:space="preserve">[...] </w:t>
      </w:r>
    </w:p>
    <w:p w14:paraId="12391AB1" w14:textId="77777777" w:rsidR="0088534D" w:rsidRPr="00C84A6F" w:rsidRDefault="0088534D" w:rsidP="000E6EDD">
      <w:pPr>
        <w:ind w:left="709" w:right="996"/>
        <w:jc w:val="both"/>
        <w:rPr>
          <w:rFonts w:ascii="Times" w:hAnsi="Times" w:cs="Times New Roman"/>
          <w:sz w:val="18"/>
          <w:szCs w:val="18"/>
        </w:rPr>
      </w:pPr>
    </w:p>
    <w:p w14:paraId="2DAD2EFF" w14:textId="2BB321B7" w:rsidR="00D133EC" w:rsidRPr="00C84A6F" w:rsidRDefault="00A107FA" w:rsidP="000E6EDD">
      <w:pPr>
        <w:ind w:left="709" w:right="996"/>
        <w:jc w:val="both"/>
        <w:rPr>
          <w:rFonts w:ascii="Verdana" w:hAnsi="Verdana" w:cs="Times New Roman"/>
          <w:sz w:val="18"/>
          <w:szCs w:val="18"/>
        </w:rPr>
      </w:pPr>
      <w:r w:rsidRPr="00C84A6F">
        <w:rPr>
          <w:rFonts w:ascii="Verdana" w:hAnsi="Verdana" w:cs="Times New Roman"/>
          <w:sz w:val="18"/>
          <w:szCs w:val="18"/>
        </w:rPr>
        <w:t xml:space="preserve">129. La justicia, realizada a </w:t>
      </w:r>
      <w:r w:rsidR="000B641F" w:rsidRPr="00C84A6F">
        <w:rPr>
          <w:rFonts w:ascii="Verdana" w:hAnsi="Verdana" w:cs="Times New Roman"/>
          <w:sz w:val="18"/>
          <w:szCs w:val="18"/>
        </w:rPr>
        <w:t>través</w:t>
      </w:r>
      <w:r w:rsidRPr="00C84A6F">
        <w:rPr>
          <w:rFonts w:ascii="Verdana" w:hAnsi="Verdana" w:cs="Times New Roman"/>
          <w:sz w:val="18"/>
          <w:szCs w:val="18"/>
        </w:rPr>
        <w:t xml:space="preserve"> del debido proceso legal, como verdadero valor </w:t>
      </w:r>
      <w:r w:rsidR="000B641F" w:rsidRPr="00C84A6F">
        <w:rPr>
          <w:rFonts w:ascii="Verdana" w:hAnsi="Verdana" w:cs="Times New Roman"/>
          <w:sz w:val="18"/>
          <w:szCs w:val="18"/>
        </w:rPr>
        <w:t>jurídicamente</w:t>
      </w:r>
      <w:r w:rsidRPr="00C84A6F">
        <w:rPr>
          <w:rFonts w:ascii="Verdana" w:hAnsi="Verdana" w:cs="Times New Roman"/>
          <w:sz w:val="18"/>
          <w:szCs w:val="18"/>
        </w:rPr>
        <w:t xml:space="preserve"> protegido, se debe garantizar en todo proceso disciplinario, y los Estados no pueden sustraerse de esta </w:t>
      </w:r>
      <w:r w:rsidR="000B641F" w:rsidRPr="00C84A6F">
        <w:rPr>
          <w:rFonts w:ascii="Verdana" w:hAnsi="Verdana" w:cs="Times New Roman"/>
          <w:sz w:val="18"/>
          <w:szCs w:val="18"/>
        </w:rPr>
        <w:t>obligación</w:t>
      </w:r>
      <w:r w:rsidRPr="00C84A6F">
        <w:rPr>
          <w:rFonts w:ascii="Verdana" w:hAnsi="Verdana" w:cs="Times New Roman"/>
          <w:sz w:val="18"/>
          <w:szCs w:val="18"/>
        </w:rPr>
        <w:t xml:space="preserve"> argumentando que no se aplican las debidas </w:t>
      </w:r>
      <w:r w:rsidR="000B641F" w:rsidRPr="00C84A6F">
        <w:rPr>
          <w:rFonts w:ascii="Verdana" w:hAnsi="Verdana" w:cs="Times New Roman"/>
          <w:sz w:val="18"/>
          <w:szCs w:val="18"/>
        </w:rPr>
        <w:t>garantías</w:t>
      </w:r>
      <w:r w:rsidRPr="00C84A6F">
        <w:rPr>
          <w:rFonts w:ascii="Verdana" w:hAnsi="Verdana" w:cs="Times New Roman"/>
          <w:sz w:val="18"/>
          <w:szCs w:val="18"/>
        </w:rPr>
        <w:t xml:space="preserve"> del </w:t>
      </w:r>
      <w:r w:rsidR="000B641F" w:rsidRPr="00C84A6F">
        <w:rPr>
          <w:rFonts w:ascii="Verdana" w:hAnsi="Verdana" w:cs="Times New Roman"/>
          <w:sz w:val="18"/>
          <w:szCs w:val="18"/>
        </w:rPr>
        <w:t>artículo</w:t>
      </w:r>
      <w:r w:rsidRPr="00C84A6F">
        <w:rPr>
          <w:rFonts w:ascii="Verdana" w:hAnsi="Verdana" w:cs="Times New Roman"/>
          <w:sz w:val="18"/>
          <w:szCs w:val="18"/>
        </w:rPr>
        <w:t xml:space="preserve"> 8 de la </w:t>
      </w:r>
      <w:r w:rsidR="000B641F" w:rsidRPr="00C84A6F">
        <w:rPr>
          <w:rFonts w:ascii="Verdana" w:hAnsi="Verdana" w:cs="Times New Roman"/>
          <w:sz w:val="18"/>
          <w:szCs w:val="18"/>
        </w:rPr>
        <w:t>Convención</w:t>
      </w:r>
      <w:r w:rsidRPr="00C84A6F">
        <w:rPr>
          <w:rFonts w:ascii="Verdana" w:hAnsi="Verdana" w:cs="Times New Roman"/>
          <w:sz w:val="18"/>
          <w:szCs w:val="18"/>
        </w:rPr>
        <w:t xml:space="preserve"> Americana en el caso de sanciones disciplinarias y no penales. Permitirle a los Estados dicha </w:t>
      </w:r>
      <w:r w:rsidR="000B641F" w:rsidRPr="00C84A6F">
        <w:rPr>
          <w:rFonts w:ascii="Verdana" w:hAnsi="Verdana" w:cs="Times New Roman"/>
          <w:sz w:val="18"/>
          <w:szCs w:val="18"/>
        </w:rPr>
        <w:t>interpretación</w:t>
      </w:r>
      <w:r w:rsidRPr="00C84A6F">
        <w:rPr>
          <w:rFonts w:ascii="Verdana" w:hAnsi="Verdana" w:cs="Times New Roman"/>
          <w:sz w:val="18"/>
          <w:szCs w:val="18"/>
        </w:rPr>
        <w:t xml:space="preserve"> </w:t>
      </w:r>
      <w:r w:rsidR="000B641F" w:rsidRPr="00C84A6F">
        <w:rPr>
          <w:rFonts w:ascii="Verdana" w:hAnsi="Verdana" w:cs="Times New Roman"/>
          <w:sz w:val="18"/>
          <w:szCs w:val="18"/>
        </w:rPr>
        <w:t>equivaldría</w:t>
      </w:r>
      <w:r w:rsidRPr="00C84A6F">
        <w:rPr>
          <w:rFonts w:ascii="Verdana" w:hAnsi="Verdana" w:cs="Times New Roman"/>
          <w:sz w:val="18"/>
          <w:szCs w:val="18"/>
        </w:rPr>
        <w:t xml:space="preserve"> a dejar a su libre voluntad la </w:t>
      </w:r>
      <w:r w:rsidR="000B641F" w:rsidRPr="00C84A6F">
        <w:rPr>
          <w:rFonts w:ascii="Verdana" w:hAnsi="Verdana" w:cs="Times New Roman"/>
          <w:sz w:val="18"/>
          <w:szCs w:val="18"/>
        </w:rPr>
        <w:t>aplicación</w:t>
      </w:r>
      <w:r w:rsidRPr="00C84A6F">
        <w:rPr>
          <w:rFonts w:ascii="Verdana" w:hAnsi="Verdana" w:cs="Times New Roman"/>
          <w:sz w:val="18"/>
          <w:szCs w:val="18"/>
        </w:rPr>
        <w:t xml:space="preserve"> o no del derecho de toda persona a un debido proceso.</w:t>
      </w:r>
      <w:r w:rsidR="00F6538E">
        <w:rPr>
          <w:rFonts w:ascii="Verdana" w:hAnsi="Verdana" w:cs="Times New Roman"/>
          <w:sz w:val="18"/>
          <w:szCs w:val="18"/>
        </w:rPr>
        <w:t xml:space="preserve"> (Subrayado añadido).</w:t>
      </w:r>
    </w:p>
    <w:p w14:paraId="2957B26A" w14:textId="77777777" w:rsidR="0088534D" w:rsidRPr="00C84A6F" w:rsidRDefault="0088534D" w:rsidP="000E6EDD">
      <w:pPr>
        <w:ind w:left="709" w:right="571"/>
        <w:jc w:val="both"/>
        <w:rPr>
          <w:rFonts w:ascii="Verdana" w:hAnsi="Verdana" w:cs="Times New Roman"/>
          <w:sz w:val="18"/>
          <w:szCs w:val="18"/>
        </w:rPr>
      </w:pPr>
    </w:p>
    <w:p w14:paraId="5AFFDA96" w14:textId="0116D348" w:rsidR="001373EB" w:rsidRPr="00C84A6F" w:rsidRDefault="00B174B6" w:rsidP="000E6EDD">
      <w:pPr>
        <w:pStyle w:val="NormalWeb"/>
        <w:spacing w:before="0" w:beforeAutospacing="0" w:after="0" w:afterAutospacing="0"/>
        <w:jc w:val="both"/>
        <w:rPr>
          <w:b/>
          <w:lang w:val="es-ES_tradnl"/>
        </w:rPr>
      </w:pPr>
      <w:r>
        <w:rPr>
          <w:rFonts w:ascii="Verdana" w:hAnsi="Verdana"/>
          <w:lang w:val="es-ES_tradnl"/>
        </w:rPr>
        <w:t>28</w:t>
      </w:r>
      <w:r w:rsidR="00660B00">
        <w:rPr>
          <w:rFonts w:ascii="Verdana" w:hAnsi="Verdana"/>
          <w:lang w:val="es-ES_tradnl"/>
        </w:rPr>
        <w:t xml:space="preserve">. </w:t>
      </w:r>
      <w:r w:rsidR="00660B00">
        <w:rPr>
          <w:rFonts w:ascii="Verdana" w:hAnsi="Verdana"/>
          <w:lang w:val="es-ES_tradnl"/>
        </w:rPr>
        <w:tab/>
      </w:r>
      <w:r w:rsidR="00B64FB0" w:rsidRPr="00C84A6F">
        <w:rPr>
          <w:rFonts w:ascii="Verdana" w:hAnsi="Verdana"/>
          <w:lang w:val="es-ES_tradnl"/>
        </w:rPr>
        <w:t>En suma, a</w:t>
      </w:r>
      <w:r w:rsidR="00E0154C">
        <w:rPr>
          <w:rFonts w:ascii="Verdana" w:hAnsi="Verdana"/>
          <w:lang w:val="es-ES_tradnl"/>
        </w:rPr>
        <w:t>u</w:t>
      </w:r>
      <w:r w:rsidR="00817D73" w:rsidRPr="00C84A6F">
        <w:rPr>
          <w:rFonts w:ascii="Verdana" w:hAnsi="Verdana"/>
          <w:lang w:val="es-ES_tradnl"/>
        </w:rPr>
        <w:t xml:space="preserve">n cuando la </w:t>
      </w:r>
      <w:r w:rsidR="000B641F" w:rsidRPr="00C84A6F">
        <w:rPr>
          <w:rFonts w:ascii="Verdana" w:hAnsi="Verdana"/>
          <w:lang w:val="es-ES_tradnl"/>
        </w:rPr>
        <w:t>función</w:t>
      </w:r>
      <w:r w:rsidR="00817D73" w:rsidRPr="00C84A6F">
        <w:rPr>
          <w:rFonts w:ascii="Verdana" w:hAnsi="Verdana"/>
          <w:lang w:val="es-ES_tradnl"/>
        </w:rPr>
        <w:t xml:space="preserve"> jurisdiccional compete eminentemente a</w:t>
      </w:r>
      <w:r w:rsidR="00E0154C">
        <w:rPr>
          <w:rFonts w:ascii="Verdana" w:hAnsi="Verdana"/>
          <w:lang w:val="es-ES_tradnl"/>
        </w:rPr>
        <w:t xml:space="preserve"> los órganos jurisdiccionales en sentido estricto,</w:t>
      </w:r>
      <w:r w:rsidR="00817D73" w:rsidRPr="00C84A6F">
        <w:rPr>
          <w:rFonts w:ascii="Verdana" w:hAnsi="Verdana"/>
          <w:lang w:val="es-ES_tradnl"/>
        </w:rPr>
        <w:t xml:space="preserve"> </w:t>
      </w:r>
      <w:r w:rsidR="00B64FB0" w:rsidRPr="00C84A6F">
        <w:rPr>
          <w:rFonts w:ascii="Verdana" w:hAnsi="Verdana"/>
          <w:lang w:val="es-ES_tradnl"/>
        </w:rPr>
        <w:t xml:space="preserve">la Corte </w:t>
      </w:r>
      <w:r w:rsidR="00E0154C">
        <w:rPr>
          <w:rFonts w:ascii="Verdana" w:hAnsi="Verdana"/>
          <w:lang w:val="es-ES_tradnl"/>
        </w:rPr>
        <w:t xml:space="preserve">IDH </w:t>
      </w:r>
      <w:r w:rsidR="00B64FB0" w:rsidRPr="00C84A6F">
        <w:rPr>
          <w:rFonts w:ascii="Verdana" w:hAnsi="Verdana"/>
          <w:lang w:val="es-ES_tradnl"/>
        </w:rPr>
        <w:t xml:space="preserve">ha sido enfática al señalar que </w:t>
      </w:r>
      <w:r w:rsidR="00817D73" w:rsidRPr="00C84A6F">
        <w:rPr>
          <w:rFonts w:ascii="Verdana" w:hAnsi="Verdana"/>
          <w:lang w:val="es-ES_tradnl"/>
        </w:rPr>
        <w:t xml:space="preserve">en algunos Estados otros </w:t>
      </w:r>
      <w:r w:rsidR="000B641F" w:rsidRPr="00C84A6F">
        <w:rPr>
          <w:rFonts w:ascii="Verdana" w:hAnsi="Verdana"/>
          <w:lang w:val="es-ES_tradnl"/>
        </w:rPr>
        <w:t>órganos</w:t>
      </w:r>
      <w:r w:rsidR="00817D73" w:rsidRPr="00C84A6F">
        <w:rPr>
          <w:rFonts w:ascii="Verdana" w:hAnsi="Verdana"/>
          <w:lang w:val="es-ES_tradnl"/>
        </w:rPr>
        <w:t xml:space="preserve"> o autoridades </w:t>
      </w:r>
      <w:r w:rsidR="000B641F" w:rsidRPr="00C84A6F">
        <w:rPr>
          <w:rFonts w:ascii="Verdana" w:hAnsi="Verdana"/>
          <w:lang w:val="es-ES_tradnl"/>
        </w:rPr>
        <w:t>públicas</w:t>
      </w:r>
      <w:r w:rsidR="00817D73" w:rsidRPr="00C84A6F">
        <w:rPr>
          <w:rFonts w:ascii="Verdana" w:hAnsi="Verdana"/>
          <w:lang w:val="es-ES_tradnl"/>
        </w:rPr>
        <w:t xml:space="preserve"> </w:t>
      </w:r>
      <w:r w:rsidR="000B641F" w:rsidRPr="00C84A6F">
        <w:rPr>
          <w:rFonts w:ascii="Verdana" w:hAnsi="Verdana"/>
          <w:lang w:val="es-ES_tradnl"/>
        </w:rPr>
        <w:t>también</w:t>
      </w:r>
      <w:r w:rsidR="00817D73" w:rsidRPr="00C84A6F">
        <w:rPr>
          <w:rFonts w:ascii="Verdana" w:hAnsi="Verdana"/>
          <w:lang w:val="es-ES_tradnl"/>
        </w:rPr>
        <w:t xml:space="preserve"> ejercen en ciertos casos funciones de </w:t>
      </w:r>
      <w:r w:rsidR="000B641F" w:rsidRPr="00C84A6F">
        <w:rPr>
          <w:rFonts w:ascii="Verdana" w:hAnsi="Verdana"/>
          <w:lang w:val="es-ES_tradnl"/>
        </w:rPr>
        <w:t>carácter</w:t>
      </w:r>
      <w:r w:rsidR="00817D73" w:rsidRPr="00C84A6F">
        <w:rPr>
          <w:rFonts w:ascii="Verdana" w:hAnsi="Verdana"/>
          <w:lang w:val="es-ES_tradnl"/>
        </w:rPr>
        <w:t xml:space="preserve"> materialmente jurisdiccional y toman decisiones que afectan derechos fundamentales</w:t>
      </w:r>
      <w:r w:rsidR="0087064E" w:rsidRPr="00C84A6F">
        <w:rPr>
          <w:rFonts w:ascii="Verdana" w:hAnsi="Verdana"/>
          <w:lang w:val="es-ES_tradnl"/>
        </w:rPr>
        <w:t xml:space="preserve">. Sin embargo, la </w:t>
      </w:r>
      <w:r w:rsidR="000B641F" w:rsidRPr="00C84A6F">
        <w:rPr>
          <w:rFonts w:ascii="Verdana" w:hAnsi="Verdana"/>
          <w:lang w:val="es-ES_tradnl"/>
        </w:rPr>
        <w:t>actuación</w:t>
      </w:r>
      <w:r w:rsidR="0087064E" w:rsidRPr="00C84A6F">
        <w:rPr>
          <w:rFonts w:ascii="Verdana" w:hAnsi="Verdana"/>
          <w:lang w:val="es-ES_tradnl"/>
        </w:rPr>
        <w:t xml:space="preserve"> de la </w:t>
      </w:r>
      <w:r w:rsidR="000B641F" w:rsidRPr="00C84A6F">
        <w:rPr>
          <w:rFonts w:ascii="Verdana" w:hAnsi="Verdana"/>
          <w:lang w:val="es-ES_tradnl"/>
        </w:rPr>
        <w:t>administración</w:t>
      </w:r>
      <w:r w:rsidR="0087064E" w:rsidRPr="00C84A6F">
        <w:rPr>
          <w:rFonts w:ascii="Verdana" w:hAnsi="Verdana"/>
          <w:lang w:val="es-ES_tradnl"/>
        </w:rPr>
        <w:t xml:space="preserve"> tiene </w:t>
      </w:r>
      <w:r w:rsidR="000B641F" w:rsidRPr="00C84A6F">
        <w:rPr>
          <w:rFonts w:ascii="Verdana" w:hAnsi="Verdana"/>
          <w:lang w:val="es-ES_tradnl"/>
        </w:rPr>
        <w:t>límites</w:t>
      </w:r>
      <w:r w:rsidR="0087064E" w:rsidRPr="00C84A6F">
        <w:rPr>
          <w:rFonts w:ascii="Verdana" w:hAnsi="Verdana"/>
          <w:lang w:val="es-ES_tradnl"/>
        </w:rPr>
        <w:t xml:space="preserve"> infranqueables, entre los que ocupa un </w:t>
      </w:r>
      <w:r w:rsidR="000B641F" w:rsidRPr="00C84A6F">
        <w:rPr>
          <w:rFonts w:ascii="Verdana" w:hAnsi="Verdana"/>
          <w:lang w:val="es-ES_tradnl"/>
        </w:rPr>
        <w:t>primerísimo</w:t>
      </w:r>
      <w:r w:rsidR="0087064E" w:rsidRPr="00C84A6F">
        <w:rPr>
          <w:rFonts w:ascii="Verdana" w:hAnsi="Verdana"/>
          <w:lang w:val="es-ES_tradnl"/>
        </w:rPr>
        <w:t xml:space="preserve"> lugar el respeto de los derechos humanos, por lo que se torna necesario que su </w:t>
      </w:r>
      <w:r w:rsidR="000B641F" w:rsidRPr="00C84A6F">
        <w:rPr>
          <w:rFonts w:ascii="Verdana" w:hAnsi="Verdana"/>
          <w:lang w:val="es-ES_tradnl"/>
        </w:rPr>
        <w:t>actuación</w:t>
      </w:r>
      <w:r w:rsidR="0087064E" w:rsidRPr="00C84A6F">
        <w:rPr>
          <w:rFonts w:ascii="Verdana" w:hAnsi="Verdana"/>
          <w:lang w:val="es-ES_tradnl"/>
        </w:rPr>
        <w:t xml:space="preserve"> se encuentre regulada. Es por ello que se exige que cualquier autoridad </w:t>
      </w:r>
      <w:r w:rsidR="000B641F" w:rsidRPr="00C84A6F">
        <w:rPr>
          <w:rFonts w:ascii="Verdana" w:hAnsi="Verdana"/>
          <w:lang w:val="es-ES_tradnl"/>
        </w:rPr>
        <w:t>pública</w:t>
      </w:r>
      <w:r w:rsidR="0087064E" w:rsidRPr="00C84A6F">
        <w:rPr>
          <w:rFonts w:ascii="Verdana" w:hAnsi="Verdana"/>
          <w:lang w:val="es-ES_tradnl"/>
        </w:rPr>
        <w:t>, sea admini</w:t>
      </w:r>
      <w:r w:rsidR="00E0154C">
        <w:rPr>
          <w:rFonts w:ascii="Verdana" w:hAnsi="Verdana"/>
          <w:lang w:val="es-ES_tradnl"/>
        </w:rPr>
        <w:t>strativa, legislativa o judicial</w:t>
      </w:r>
      <w:r w:rsidR="0087064E" w:rsidRPr="00C84A6F">
        <w:rPr>
          <w:rFonts w:ascii="Verdana" w:hAnsi="Verdana"/>
          <w:lang w:val="es-ES_tradnl"/>
        </w:rPr>
        <w:t xml:space="preserve">, cuyas decisiones puedan afectar los derechos de las personas, adopte tales decisiones con pleno respeto de las </w:t>
      </w:r>
      <w:r w:rsidR="000B641F" w:rsidRPr="00C84A6F">
        <w:rPr>
          <w:rFonts w:ascii="Verdana" w:hAnsi="Verdana"/>
          <w:lang w:val="es-ES_tradnl"/>
        </w:rPr>
        <w:t>garantías</w:t>
      </w:r>
      <w:r w:rsidR="00E0154C">
        <w:rPr>
          <w:rFonts w:ascii="Verdana" w:hAnsi="Verdana"/>
          <w:lang w:val="es-ES_tradnl"/>
        </w:rPr>
        <w:t xml:space="preserve"> del debido proceso legal;</w:t>
      </w:r>
      <w:r w:rsidR="0087064E" w:rsidRPr="00C84A6F">
        <w:rPr>
          <w:rFonts w:ascii="Verdana" w:hAnsi="Verdana"/>
          <w:lang w:val="es-ES_tradnl"/>
        </w:rPr>
        <w:t xml:space="preserve"> por esta </w:t>
      </w:r>
      <w:r w:rsidR="000B641F" w:rsidRPr="00C84A6F">
        <w:rPr>
          <w:rFonts w:ascii="Verdana" w:hAnsi="Verdana"/>
          <w:lang w:val="es-ES_tradnl"/>
        </w:rPr>
        <w:t>razón</w:t>
      </w:r>
      <w:r w:rsidR="0087064E" w:rsidRPr="00C84A6F">
        <w:rPr>
          <w:rFonts w:ascii="Verdana" w:hAnsi="Verdana"/>
          <w:lang w:val="es-ES_tradnl"/>
        </w:rPr>
        <w:t xml:space="preserve">, no puede la </w:t>
      </w:r>
      <w:r w:rsidR="000B641F" w:rsidRPr="00C84A6F">
        <w:rPr>
          <w:rFonts w:ascii="Verdana" w:hAnsi="Verdana"/>
          <w:lang w:val="es-ES_tradnl"/>
        </w:rPr>
        <w:t>administración</w:t>
      </w:r>
      <w:r w:rsidR="0087064E" w:rsidRPr="00C84A6F">
        <w:rPr>
          <w:rFonts w:ascii="Verdana" w:hAnsi="Verdana"/>
          <w:lang w:val="es-ES_tradnl"/>
        </w:rPr>
        <w:t xml:space="preserve"> dictar actos administrativos, sancionatorios o de otra </w:t>
      </w:r>
      <w:r w:rsidR="006A6D3B" w:rsidRPr="00C84A6F">
        <w:rPr>
          <w:rFonts w:ascii="Verdana" w:hAnsi="Verdana"/>
          <w:lang w:val="es-ES_tradnl"/>
        </w:rPr>
        <w:t>índole</w:t>
      </w:r>
      <w:r w:rsidR="0087064E" w:rsidRPr="00C84A6F">
        <w:rPr>
          <w:rFonts w:ascii="Verdana" w:hAnsi="Verdana"/>
          <w:lang w:val="es-ES_tradnl"/>
        </w:rPr>
        <w:t xml:space="preserve"> (civil, fiscal, laboral, etc.) sin otorgar </w:t>
      </w:r>
      <w:r w:rsidR="000B641F" w:rsidRPr="00C84A6F">
        <w:rPr>
          <w:rFonts w:ascii="Verdana" w:hAnsi="Verdana"/>
          <w:lang w:val="es-ES_tradnl"/>
        </w:rPr>
        <w:t>también</w:t>
      </w:r>
      <w:r w:rsidR="0087064E" w:rsidRPr="00C84A6F">
        <w:rPr>
          <w:rFonts w:ascii="Verdana" w:hAnsi="Verdana"/>
          <w:lang w:val="es-ES_tradnl"/>
        </w:rPr>
        <w:t xml:space="preserve"> a las personas sometidas a dichos procesos las referidas </w:t>
      </w:r>
      <w:r w:rsidR="000B641F" w:rsidRPr="00E0154C">
        <w:rPr>
          <w:rFonts w:ascii="Verdana" w:hAnsi="Verdana"/>
          <w:i/>
          <w:lang w:val="es-ES_tradnl"/>
        </w:rPr>
        <w:t>garantías</w:t>
      </w:r>
      <w:r w:rsidR="0087064E" w:rsidRPr="00E0154C">
        <w:rPr>
          <w:rFonts w:ascii="Verdana" w:hAnsi="Verdana"/>
          <w:i/>
          <w:lang w:val="es-ES_tradnl"/>
        </w:rPr>
        <w:t xml:space="preserve"> </w:t>
      </w:r>
      <w:r w:rsidR="000B641F" w:rsidRPr="00E0154C">
        <w:rPr>
          <w:rFonts w:ascii="Verdana" w:hAnsi="Verdana"/>
          <w:i/>
          <w:lang w:val="es-ES_tradnl"/>
        </w:rPr>
        <w:t>mínimas</w:t>
      </w:r>
      <w:r w:rsidR="0087064E" w:rsidRPr="00C84A6F">
        <w:rPr>
          <w:rFonts w:ascii="Verdana" w:hAnsi="Verdana"/>
          <w:lang w:val="es-ES_tradnl"/>
        </w:rPr>
        <w:t xml:space="preserve">, las cuales se aplican </w:t>
      </w:r>
      <w:r w:rsidR="0087064E" w:rsidRPr="00C84A6F">
        <w:rPr>
          <w:rFonts w:ascii="Verdana" w:hAnsi="Verdana"/>
          <w:i/>
          <w:lang w:val="es-ES_tradnl"/>
        </w:rPr>
        <w:t>mutatis mutandis</w:t>
      </w:r>
      <w:r w:rsidR="0087064E" w:rsidRPr="00C84A6F">
        <w:rPr>
          <w:rFonts w:ascii="Verdana,Italic" w:hAnsi="Verdana,Italic"/>
          <w:lang w:val="es-ES_tradnl"/>
        </w:rPr>
        <w:t xml:space="preserve"> </w:t>
      </w:r>
      <w:r w:rsidR="0087064E" w:rsidRPr="00C84A6F">
        <w:rPr>
          <w:rFonts w:ascii="Verdana" w:hAnsi="Verdana"/>
          <w:lang w:val="es-ES_tradnl"/>
        </w:rPr>
        <w:t>en lo que corresponda</w:t>
      </w:r>
      <w:r w:rsidR="000B641F" w:rsidRPr="00C84A6F">
        <w:rPr>
          <w:rStyle w:val="FootnoteReference"/>
          <w:rFonts w:ascii="Verdana" w:hAnsi="Verdana"/>
          <w:lang w:val="es-ES_tradnl"/>
        </w:rPr>
        <w:footnoteReference w:id="61"/>
      </w:r>
      <w:r w:rsidR="0087064E" w:rsidRPr="00C84A6F">
        <w:rPr>
          <w:rFonts w:ascii="Verdana" w:hAnsi="Verdana"/>
          <w:lang w:val="es-ES_tradnl"/>
        </w:rPr>
        <w:t xml:space="preserve">. </w:t>
      </w:r>
    </w:p>
    <w:p w14:paraId="76E9369F" w14:textId="77777777" w:rsidR="00800F6F" w:rsidRPr="000F373D" w:rsidRDefault="00800F6F" w:rsidP="00A24C2B">
      <w:pPr>
        <w:rPr>
          <w:rFonts w:ascii="Verdana" w:hAnsi="Verdana"/>
          <w:b/>
          <w:sz w:val="20"/>
          <w:szCs w:val="20"/>
        </w:rPr>
      </w:pPr>
    </w:p>
    <w:p w14:paraId="5B42D4F8" w14:textId="2A0440D9" w:rsidR="004B42A5" w:rsidRPr="005E5804" w:rsidRDefault="00800F6F" w:rsidP="00A24C2B">
      <w:pPr>
        <w:pStyle w:val="ListParagraph"/>
        <w:ind w:left="357"/>
        <w:jc w:val="center"/>
        <w:rPr>
          <w:rFonts w:ascii="Verdana" w:hAnsi="Verdana"/>
          <w:b/>
          <w:sz w:val="20"/>
          <w:szCs w:val="20"/>
        </w:rPr>
      </w:pPr>
      <w:r>
        <w:rPr>
          <w:rFonts w:ascii="Verdana" w:hAnsi="Verdana"/>
          <w:b/>
          <w:sz w:val="20"/>
          <w:szCs w:val="20"/>
        </w:rPr>
        <w:t>III</w:t>
      </w:r>
      <w:r w:rsidR="00E0154C" w:rsidRPr="005E5804">
        <w:rPr>
          <w:rFonts w:ascii="Verdana" w:hAnsi="Verdana"/>
          <w:b/>
          <w:sz w:val="20"/>
          <w:szCs w:val="20"/>
        </w:rPr>
        <w:t xml:space="preserve">. </w:t>
      </w:r>
      <w:r w:rsidR="004B42A5" w:rsidRPr="005E5804">
        <w:rPr>
          <w:rFonts w:ascii="Verdana" w:hAnsi="Verdana"/>
          <w:b/>
          <w:sz w:val="20"/>
          <w:szCs w:val="20"/>
        </w:rPr>
        <w:t xml:space="preserve"> </w:t>
      </w:r>
      <w:r w:rsidR="00E06C76">
        <w:rPr>
          <w:rFonts w:ascii="Verdana" w:hAnsi="Verdana"/>
          <w:b/>
          <w:sz w:val="20"/>
          <w:szCs w:val="20"/>
        </w:rPr>
        <w:t>EXTENSIÓN DE LAS GARANTÍAS DEL DEBIDO PROCESO PENAL A OTROS ÓRDENES SANCIONATORIOS (PARTICULARMENTE EL ADMINISTRATIVO)</w:t>
      </w:r>
    </w:p>
    <w:p w14:paraId="6B50131F" w14:textId="77777777" w:rsidR="008C460C" w:rsidRPr="001020FF" w:rsidRDefault="008C460C" w:rsidP="008C460C">
      <w:pPr>
        <w:rPr>
          <w:lang w:val="es-CR"/>
        </w:rPr>
      </w:pPr>
    </w:p>
    <w:p w14:paraId="79FA8DCF" w14:textId="45AF9010" w:rsidR="008C460C" w:rsidRPr="00314281" w:rsidRDefault="00800F6F" w:rsidP="00800F6F">
      <w:pPr>
        <w:pStyle w:val="Heading2"/>
        <w:numPr>
          <w:ilvl w:val="0"/>
          <w:numId w:val="0"/>
        </w:numPr>
        <w:spacing w:before="0" w:after="0"/>
        <w:rPr>
          <w:noProof w:val="0"/>
        </w:rPr>
      </w:pPr>
      <w:r>
        <w:rPr>
          <w:noProof w:val="0"/>
        </w:rPr>
        <w:t xml:space="preserve">A.  </w:t>
      </w:r>
      <w:r w:rsidR="008C460C" w:rsidRPr="00314281">
        <w:rPr>
          <w:noProof w:val="0"/>
        </w:rPr>
        <w:t>Ratificación de la línea jurisprudencial de este Tribunal Interamericano</w:t>
      </w:r>
    </w:p>
    <w:p w14:paraId="42004485" w14:textId="77777777" w:rsidR="003E69A2" w:rsidRPr="00C84A6F" w:rsidRDefault="003E69A2" w:rsidP="005E5804">
      <w:pPr>
        <w:pStyle w:val="NormalWeb"/>
        <w:spacing w:before="0" w:beforeAutospacing="0" w:after="0" w:afterAutospacing="0"/>
        <w:jc w:val="both"/>
        <w:rPr>
          <w:rFonts w:ascii="Verdana" w:hAnsi="Verdana"/>
          <w:b/>
          <w:lang w:val="es-ES_tradnl"/>
        </w:rPr>
      </w:pPr>
    </w:p>
    <w:p w14:paraId="6F2587ED" w14:textId="2FAABF1B" w:rsidR="005111DB" w:rsidRPr="00C84A6F" w:rsidRDefault="00B174B6" w:rsidP="000E6EDD">
      <w:pPr>
        <w:pStyle w:val="ListParagraph"/>
        <w:ind w:left="0"/>
        <w:jc w:val="both"/>
        <w:rPr>
          <w:rFonts w:ascii="Verdana" w:hAnsi="Verdana"/>
          <w:sz w:val="20"/>
          <w:szCs w:val="20"/>
        </w:rPr>
      </w:pPr>
      <w:r>
        <w:rPr>
          <w:rFonts w:ascii="Verdana" w:hAnsi="Verdana"/>
          <w:sz w:val="20"/>
          <w:szCs w:val="20"/>
        </w:rPr>
        <w:t>29</w:t>
      </w:r>
      <w:r w:rsidR="00A57D5A">
        <w:rPr>
          <w:rFonts w:ascii="Verdana" w:hAnsi="Verdana"/>
          <w:sz w:val="20"/>
          <w:szCs w:val="20"/>
        </w:rPr>
        <w:t xml:space="preserve">. </w:t>
      </w:r>
      <w:r w:rsidR="00A57D5A">
        <w:rPr>
          <w:rFonts w:ascii="Verdana" w:hAnsi="Verdana"/>
          <w:sz w:val="20"/>
          <w:szCs w:val="20"/>
        </w:rPr>
        <w:tab/>
      </w:r>
      <w:r w:rsidR="005111DB" w:rsidRPr="00C84A6F">
        <w:rPr>
          <w:rFonts w:ascii="Verdana" w:hAnsi="Verdana"/>
          <w:sz w:val="20"/>
          <w:szCs w:val="20"/>
        </w:rPr>
        <w:t>En lo que respecta a la aplicación de las garantías contenidas en el artículo 8 de la Convención Americana para procesos</w:t>
      </w:r>
      <w:r w:rsidR="00D337E8">
        <w:rPr>
          <w:rFonts w:ascii="Verdana" w:hAnsi="Verdana"/>
          <w:sz w:val="20"/>
          <w:szCs w:val="20"/>
        </w:rPr>
        <w:t xml:space="preserve"> y procedimientos</w:t>
      </w:r>
      <w:r w:rsidR="005111DB" w:rsidRPr="00C84A6F">
        <w:rPr>
          <w:rFonts w:ascii="Verdana" w:hAnsi="Verdana"/>
          <w:sz w:val="20"/>
          <w:szCs w:val="20"/>
        </w:rPr>
        <w:t xml:space="preserve"> que no sean de naturaleza penal, la Corte </w:t>
      </w:r>
      <w:r w:rsidR="00E0154C">
        <w:rPr>
          <w:rFonts w:ascii="Verdana" w:hAnsi="Verdana"/>
          <w:sz w:val="20"/>
          <w:szCs w:val="20"/>
        </w:rPr>
        <w:t xml:space="preserve">IDH </w:t>
      </w:r>
      <w:r w:rsidR="008A4C54" w:rsidRPr="00C84A6F">
        <w:rPr>
          <w:rFonts w:ascii="Verdana" w:hAnsi="Verdana"/>
          <w:sz w:val="20"/>
          <w:szCs w:val="20"/>
        </w:rPr>
        <w:t xml:space="preserve">ha </w:t>
      </w:r>
      <w:r w:rsidR="0088534D" w:rsidRPr="00C84A6F">
        <w:rPr>
          <w:rFonts w:ascii="Verdana" w:hAnsi="Verdana"/>
          <w:sz w:val="20"/>
          <w:szCs w:val="20"/>
        </w:rPr>
        <w:t>recordado</w:t>
      </w:r>
      <w:r w:rsidR="005111DB" w:rsidRPr="00C84A6F">
        <w:rPr>
          <w:rFonts w:ascii="Verdana" w:hAnsi="Verdana"/>
          <w:sz w:val="20"/>
          <w:szCs w:val="20"/>
        </w:rPr>
        <w:t xml:space="preserve"> que si bien esta disposición se titula “Garantías Judiciales”, su aplicación no se limita a los recursos judiciales en sentido estricto, sino al conjunto de requisitos que deben observarse en </w:t>
      </w:r>
      <w:r w:rsidR="008C460C">
        <w:rPr>
          <w:rFonts w:ascii="Verdana" w:hAnsi="Verdana"/>
          <w:sz w:val="20"/>
          <w:szCs w:val="20"/>
        </w:rPr>
        <w:t>todo procedimiento</w:t>
      </w:r>
      <w:r w:rsidR="005111DB" w:rsidRPr="00C84A6F">
        <w:rPr>
          <w:rFonts w:ascii="Verdana" w:hAnsi="Verdana"/>
          <w:sz w:val="20"/>
          <w:szCs w:val="20"/>
        </w:rPr>
        <w:t xml:space="preserve"> a efecto</w:t>
      </w:r>
      <w:r w:rsidR="00080D12">
        <w:rPr>
          <w:rFonts w:ascii="Verdana" w:hAnsi="Verdana"/>
          <w:sz w:val="20"/>
          <w:szCs w:val="20"/>
        </w:rPr>
        <w:t>s</w:t>
      </w:r>
      <w:r w:rsidR="005111DB" w:rsidRPr="00C84A6F">
        <w:rPr>
          <w:rFonts w:ascii="Verdana" w:hAnsi="Verdana"/>
          <w:sz w:val="20"/>
          <w:szCs w:val="20"/>
        </w:rPr>
        <w:t xml:space="preserve"> de que las personas estén en condiciones de defender adecuadamente sus derechos ante cualquier tipo de acto del Estado que pueda afectarlos. Es decir, cualquier actuación u omisión de los órganos estatales dentro de un </w:t>
      </w:r>
      <w:r w:rsidR="008C460C">
        <w:rPr>
          <w:rFonts w:ascii="Verdana" w:hAnsi="Verdana"/>
          <w:sz w:val="20"/>
          <w:szCs w:val="20"/>
        </w:rPr>
        <w:t>procedimiento</w:t>
      </w:r>
      <w:r w:rsidR="005111DB" w:rsidRPr="00C84A6F">
        <w:rPr>
          <w:rFonts w:ascii="Verdana" w:hAnsi="Verdana"/>
          <w:sz w:val="20"/>
          <w:szCs w:val="20"/>
        </w:rPr>
        <w:t>, sea administrativo sancionatorio o jurisdiccional, debe respetar el debido proceso legal</w:t>
      </w:r>
      <w:r w:rsidR="005111DB" w:rsidRPr="00C84A6F">
        <w:rPr>
          <w:rStyle w:val="FootnoteReference"/>
          <w:rFonts w:ascii="Verdana" w:hAnsi="Verdana"/>
          <w:sz w:val="20"/>
          <w:szCs w:val="20"/>
        </w:rPr>
        <w:footnoteReference w:id="62"/>
      </w:r>
      <w:r w:rsidR="00080D12">
        <w:rPr>
          <w:rFonts w:ascii="Verdana" w:hAnsi="Verdana"/>
          <w:sz w:val="20"/>
          <w:szCs w:val="20"/>
        </w:rPr>
        <w:t>.</w:t>
      </w:r>
    </w:p>
    <w:p w14:paraId="0D223A7A" w14:textId="77777777" w:rsidR="005111DB" w:rsidRPr="00C84A6F" w:rsidRDefault="005111DB" w:rsidP="000E6EDD">
      <w:pPr>
        <w:pStyle w:val="ListParagraph"/>
        <w:ind w:left="360"/>
        <w:jc w:val="both"/>
        <w:rPr>
          <w:szCs w:val="20"/>
        </w:rPr>
      </w:pPr>
    </w:p>
    <w:p w14:paraId="688E5A77" w14:textId="008E94A1" w:rsidR="00F2526E" w:rsidRPr="00664902" w:rsidRDefault="00B174B6" w:rsidP="000E6EDD">
      <w:pPr>
        <w:pStyle w:val="NormalWeb"/>
        <w:spacing w:before="0" w:beforeAutospacing="0" w:after="0" w:afterAutospacing="0"/>
        <w:jc w:val="both"/>
        <w:rPr>
          <w:rFonts w:ascii="Verdana" w:hAnsi="Verdana"/>
          <w:b/>
          <w:lang w:val="es-ES_tradnl"/>
        </w:rPr>
      </w:pPr>
      <w:r>
        <w:rPr>
          <w:rFonts w:ascii="Verdana" w:hAnsi="Verdana"/>
          <w:lang w:val="es-ES_tradnl"/>
        </w:rPr>
        <w:t>30</w:t>
      </w:r>
      <w:r w:rsidR="00A57D5A">
        <w:rPr>
          <w:rFonts w:ascii="Verdana" w:hAnsi="Verdana"/>
          <w:lang w:val="es-ES_tradnl"/>
        </w:rPr>
        <w:t xml:space="preserve">. </w:t>
      </w:r>
      <w:r w:rsidR="00A57D5A">
        <w:rPr>
          <w:rFonts w:ascii="Verdana" w:hAnsi="Verdana"/>
          <w:lang w:val="es-ES_tradnl"/>
        </w:rPr>
        <w:tab/>
      </w:r>
      <w:r w:rsidR="005111DB" w:rsidRPr="00C84A6F">
        <w:rPr>
          <w:rFonts w:ascii="Verdana" w:hAnsi="Verdana"/>
          <w:lang w:val="es-ES_tradnl"/>
        </w:rPr>
        <w:t>En el</w:t>
      </w:r>
      <w:r w:rsidR="001373EB" w:rsidRPr="00C84A6F">
        <w:rPr>
          <w:rFonts w:ascii="Verdana" w:hAnsi="Verdana"/>
          <w:lang w:val="es-ES_tradnl"/>
        </w:rPr>
        <w:t xml:space="preserve"> caso </w:t>
      </w:r>
      <w:r w:rsidR="008A4C54" w:rsidRPr="00C84A6F">
        <w:rPr>
          <w:rFonts w:ascii="Verdana" w:hAnsi="Verdana"/>
          <w:i/>
          <w:lang w:val="es-ES_tradnl"/>
        </w:rPr>
        <w:t>sub judice</w:t>
      </w:r>
      <w:r w:rsidR="008A4C54" w:rsidRPr="00C84A6F">
        <w:rPr>
          <w:rFonts w:ascii="Verdana" w:hAnsi="Verdana"/>
          <w:lang w:val="es-ES_tradnl"/>
        </w:rPr>
        <w:t xml:space="preserve"> </w:t>
      </w:r>
      <w:r w:rsidR="001373EB" w:rsidRPr="00C84A6F">
        <w:rPr>
          <w:rFonts w:ascii="Verdana" w:hAnsi="Verdana"/>
          <w:lang w:val="es-ES_tradnl"/>
        </w:rPr>
        <w:t>de la señora Maldonado</w:t>
      </w:r>
      <w:r w:rsidR="00E0154C">
        <w:rPr>
          <w:rFonts w:ascii="Verdana" w:hAnsi="Verdana"/>
          <w:lang w:val="es-ES_tradnl"/>
        </w:rPr>
        <w:t xml:space="preserve"> Ordoñez, el caso se relaciona</w:t>
      </w:r>
      <w:r w:rsidR="001373EB" w:rsidRPr="00C84A6F">
        <w:rPr>
          <w:rFonts w:ascii="Verdana" w:hAnsi="Verdana"/>
          <w:lang w:val="es-ES_tradnl"/>
        </w:rPr>
        <w:t xml:space="preserve"> con un proceso de </w:t>
      </w:r>
      <w:r w:rsidR="00AC4703" w:rsidRPr="00C84A6F">
        <w:rPr>
          <w:rFonts w:ascii="Verdana" w:hAnsi="Verdana"/>
          <w:lang w:val="es-ES_tradnl"/>
        </w:rPr>
        <w:t>destitución</w:t>
      </w:r>
      <w:r w:rsidR="001373EB" w:rsidRPr="00C84A6F">
        <w:rPr>
          <w:rFonts w:ascii="Verdana" w:hAnsi="Verdana"/>
          <w:lang w:val="es-ES_tradnl"/>
        </w:rPr>
        <w:t xml:space="preserve"> de la </w:t>
      </w:r>
      <w:r w:rsidR="00AC4703" w:rsidRPr="00C84A6F">
        <w:rPr>
          <w:rFonts w:ascii="Verdana" w:hAnsi="Verdana"/>
          <w:lang w:val="es-ES_tradnl"/>
        </w:rPr>
        <w:t>Procuraduría</w:t>
      </w:r>
      <w:r w:rsidR="001373EB" w:rsidRPr="00C84A6F">
        <w:rPr>
          <w:rFonts w:ascii="Verdana" w:hAnsi="Verdana"/>
          <w:lang w:val="es-ES_tradnl"/>
        </w:rPr>
        <w:t xml:space="preserve"> de los Derechos Humanos en Guatemala</w:t>
      </w:r>
      <w:r w:rsidR="00D337E8">
        <w:rPr>
          <w:rFonts w:ascii="Verdana" w:hAnsi="Verdana"/>
          <w:lang w:val="es-ES_tradnl"/>
        </w:rPr>
        <w:t>,</w:t>
      </w:r>
      <w:r w:rsidR="005111DB" w:rsidRPr="00C84A6F">
        <w:rPr>
          <w:rFonts w:ascii="Verdana" w:hAnsi="Verdana"/>
          <w:lang w:val="es-ES_tradnl"/>
        </w:rPr>
        <w:t xml:space="preserve"> en </w:t>
      </w:r>
      <w:r w:rsidR="005111DB" w:rsidRPr="00C84A6F">
        <w:rPr>
          <w:rFonts w:ascii="Verdana" w:hAnsi="Verdana"/>
          <w:lang w:val="es-ES_tradnl"/>
        </w:rPr>
        <w:lastRenderedPageBreak/>
        <w:t xml:space="preserve">donde </w:t>
      </w:r>
      <w:r w:rsidR="00D337E8">
        <w:rPr>
          <w:rFonts w:ascii="Verdana" w:hAnsi="Verdana"/>
          <w:lang w:val="es-ES_tradnl"/>
        </w:rPr>
        <w:t xml:space="preserve">la víctima </w:t>
      </w:r>
      <w:r w:rsidR="005111DB" w:rsidRPr="00C84A6F">
        <w:rPr>
          <w:rFonts w:ascii="Verdana" w:hAnsi="Verdana"/>
          <w:lang w:val="es-ES_tradnl"/>
        </w:rPr>
        <w:t>se desempeñaba como auxiliar departamental</w:t>
      </w:r>
      <w:r w:rsidR="001373EB" w:rsidRPr="00C84A6F">
        <w:rPr>
          <w:rFonts w:ascii="Verdana" w:hAnsi="Verdana"/>
          <w:lang w:val="es-ES_tradnl"/>
        </w:rPr>
        <w:t xml:space="preserve">, lo que se enmarca </w:t>
      </w:r>
      <w:r w:rsidR="00E0154C">
        <w:rPr>
          <w:rFonts w:ascii="Verdana" w:hAnsi="Verdana"/>
          <w:lang w:val="es-ES_tradnl"/>
        </w:rPr>
        <w:t>dentro de la jurisprudencia de e</w:t>
      </w:r>
      <w:r w:rsidR="001373EB" w:rsidRPr="00C84A6F">
        <w:rPr>
          <w:rFonts w:ascii="Verdana" w:hAnsi="Verdana"/>
          <w:lang w:val="es-ES_tradnl"/>
        </w:rPr>
        <w:t xml:space="preserve">ste Tribunal </w:t>
      </w:r>
      <w:r w:rsidR="00E0154C">
        <w:rPr>
          <w:rFonts w:ascii="Verdana" w:hAnsi="Verdana"/>
          <w:lang w:val="es-ES_tradnl"/>
        </w:rPr>
        <w:t xml:space="preserve">Interamericano </w:t>
      </w:r>
      <w:r w:rsidR="001373EB" w:rsidRPr="00C84A6F">
        <w:rPr>
          <w:rFonts w:ascii="Verdana" w:hAnsi="Verdana"/>
          <w:lang w:val="es-ES_tradnl"/>
        </w:rPr>
        <w:t>sobre los procedimientos no penales</w:t>
      </w:r>
      <w:r w:rsidR="005111DB" w:rsidRPr="00C84A6F">
        <w:rPr>
          <w:rFonts w:ascii="Verdana" w:hAnsi="Verdana"/>
          <w:lang w:val="es-ES_tradnl"/>
        </w:rPr>
        <w:t xml:space="preserve"> o en los procedimientos administrativos sancionatorios</w:t>
      </w:r>
      <w:r w:rsidR="001373EB" w:rsidRPr="00C84A6F">
        <w:rPr>
          <w:rFonts w:ascii="Verdana" w:hAnsi="Verdana"/>
          <w:lang w:val="es-ES_tradnl"/>
        </w:rPr>
        <w:t>. Al respecto</w:t>
      </w:r>
      <w:r w:rsidR="00E0154C">
        <w:rPr>
          <w:rFonts w:ascii="Verdana" w:hAnsi="Verdana"/>
          <w:lang w:val="es-ES_tradnl"/>
        </w:rPr>
        <w:t>, en su S</w:t>
      </w:r>
      <w:r w:rsidR="001373EB" w:rsidRPr="00C84A6F">
        <w:rPr>
          <w:rFonts w:ascii="Verdana" w:hAnsi="Verdana"/>
          <w:lang w:val="es-ES_tradnl"/>
        </w:rPr>
        <w:t xml:space="preserve">entencia la Corte </w:t>
      </w:r>
      <w:r w:rsidR="00E0154C">
        <w:rPr>
          <w:rFonts w:ascii="Verdana" w:hAnsi="Verdana"/>
          <w:lang w:val="es-ES_tradnl"/>
        </w:rPr>
        <w:t xml:space="preserve">IDH </w:t>
      </w:r>
      <w:r w:rsidR="000F1AE2" w:rsidRPr="00C84A6F">
        <w:rPr>
          <w:rFonts w:ascii="Verdana" w:hAnsi="Verdana"/>
          <w:lang w:val="es-ES_tradnl"/>
        </w:rPr>
        <w:t>reiteró que</w:t>
      </w:r>
      <w:r w:rsidR="00CF3A73" w:rsidRPr="00C84A6F">
        <w:rPr>
          <w:rFonts w:ascii="Verdana" w:hAnsi="Verdana"/>
          <w:lang w:val="es-ES_tradnl"/>
        </w:rPr>
        <w:t>:</w:t>
      </w:r>
    </w:p>
    <w:p w14:paraId="38318808" w14:textId="77777777" w:rsidR="00F2526E" w:rsidRPr="00C84A6F" w:rsidRDefault="00F2526E" w:rsidP="000E6EDD">
      <w:pPr>
        <w:pStyle w:val="NormalWeb"/>
        <w:spacing w:before="0" w:beforeAutospacing="0" w:after="0" w:afterAutospacing="0"/>
        <w:jc w:val="both"/>
        <w:rPr>
          <w:rFonts w:ascii="Verdana" w:hAnsi="Verdana"/>
          <w:b/>
          <w:lang w:val="es-ES_tradnl"/>
        </w:rPr>
      </w:pPr>
    </w:p>
    <w:p w14:paraId="7F1170C7" w14:textId="37DB3683" w:rsidR="000F1AE2" w:rsidRPr="00A60CAD" w:rsidRDefault="00CF3A73" w:rsidP="000E6EDD">
      <w:pPr>
        <w:pStyle w:val="ListParagraph"/>
        <w:numPr>
          <w:ilvl w:val="0"/>
          <w:numId w:val="12"/>
        </w:numPr>
        <w:autoSpaceDE w:val="0"/>
        <w:autoSpaceDN w:val="0"/>
        <w:ind w:right="713" w:hanging="11"/>
        <w:jc w:val="both"/>
        <w:rPr>
          <w:rFonts w:ascii="Verdana" w:hAnsi="Verdana"/>
          <w:sz w:val="18"/>
          <w:szCs w:val="18"/>
        </w:rPr>
      </w:pPr>
      <w:r w:rsidRPr="00A60CAD">
        <w:rPr>
          <w:rFonts w:ascii="Verdana" w:hAnsi="Verdana"/>
          <w:sz w:val="18"/>
          <w:szCs w:val="18"/>
          <w:u w:val="single"/>
        </w:rPr>
        <w:t>Del recuento de la jurisprudencia que ha desarrollado la Corte hasta al momento, se entiende que ésta ha considerado que las garantías del artículo 8.2 de la Convención no son exclusivas de los procesos penales, sino que además pueden ser aplicables a procesos de carácter sancionatorio</w:t>
      </w:r>
      <w:r w:rsidRPr="00A60CAD">
        <w:rPr>
          <w:rFonts w:ascii="Verdana" w:hAnsi="Verdana"/>
          <w:sz w:val="18"/>
          <w:szCs w:val="18"/>
        </w:rPr>
        <w:t xml:space="preserve">. </w:t>
      </w:r>
      <w:r w:rsidRPr="00A60CAD">
        <w:rPr>
          <w:rFonts w:ascii="Verdana" w:hAnsi="Verdana"/>
          <w:color w:val="000000"/>
          <w:sz w:val="18"/>
          <w:szCs w:val="18"/>
          <w:lang w:eastAsia="es-ES_tradnl"/>
        </w:rPr>
        <w:t>Ahora bien, lo que corresponde en cada caso es determinar las garantías mínimas que conciernen a un determinado proceso sancionatorio no penal, según su naturaleza y alcance</w:t>
      </w:r>
      <w:r w:rsidR="0014536B" w:rsidRPr="00A60CAD">
        <w:rPr>
          <w:rStyle w:val="FootnoteReference"/>
          <w:rFonts w:ascii="Verdana" w:hAnsi="Verdana"/>
          <w:color w:val="000000"/>
          <w:sz w:val="18"/>
          <w:szCs w:val="18"/>
          <w:lang w:eastAsia="es-ES_tradnl"/>
        </w:rPr>
        <w:footnoteReference w:id="63"/>
      </w:r>
      <w:r w:rsidRPr="00A60CAD">
        <w:rPr>
          <w:rFonts w:ascii="Verdana" w:hAnsi="Verdana"/>
          <w:color w:val="000000"/>
          <w:sz w:val="18"/>
          <w:szCs w:val="18"/>
          <w:lang w:eastAsia="es-ES_tradnl"/>
        </w:rPr>
        <w:t>.</w:t>
      </w:r>
      <w:r w:rsidR="009F758F" w:rsidRPr="00A60CAD">
        <w:rPr>
          <w:rFonts w:ascii="Verdana" w:hAnsi="Verdana"/>
          <w:color w:val="000000"/>
          <w:sz w:val="18"/>
          <w:szCs w:val="18"/>
          <w:lang w:eastAsia="es-ES_tradnl"/>
        </w:rPr>
        <w:t xml:space="preserve"> (Subrayado añadido).</w:t>
      </w:r>
    </w:p>
    <w:p w14:paraId="076C7E60" w14:textId="77777777" w:rsidR="000F1AE2" w:rsidRPr="00C84A6F" w:rsidRDefault="000F1AE2" w:rsidP="000E6EDD">
      <w:pPr>
        <w:pStyle w:val="NormalWeb"/>
        <w:spacing w:before="0" w:beforeAutospacing="0" w:after="0" w:afterAutospacing="0"/>
        <w:jc w:val="both"/>
        <w:rPr>
          <w:rFonts w:ascii="Verdana" w:hAnsi="Verdana"/>
          <w:b/>
          <w:lang w:val="es-ES_tradnl"/>
        </w:rPr>
      </w:pPr>
    </w:p>
    <w:p w14:paraId="1AE2A796" w14:textId="3CBEFE46" w:rsidR="000F1AE2" w:rsidRPr="00C84A6F" w:rsidRDefault="00B174B6" w:rsidP="000E6EDD">
      <w:pPr>
        <w:contextualSpacing/>
        <w:jc w:val="both"/>
        <w:rPr>
          <w:rFonts w:ascii="Verdana" w:hAnsi="Verdana"/>
          <w:sz w:val="20"/>
          <w:szCs w:val="20"/>
        </w:rPr>
      </w:pPr>
      <w:r>
        <w:rPr>
          <w:rFonts w:ascii="Verdana" w:hAnsi="Verdana"/>
          <w:sz w:val="20"/>
          <w:szCs w:val="20"/>
        </w:rPr>
        <w:t>31</w:t>
      </w:r>
      <w:r w:rsidR="00A57D5A">
        <w:rPr>
          <w:rFonts w:ascii="Verdana" w:hAnsi="Verdana"/>
          <w:sz w:val="20"/>
          <w:szCs w:val="20"/>
        </w:rPr>
        <w:t xml:space="preserve">. </w:t>
      </w:r>
      <w:r w:rsidR="00A57D5A">
        <w:rPr>
          <w:rFonts w:ascii="Verdana" w:hAnsi="Verdana"/>
          <w:sz w:val="20"/>
          <w:szCs w:val="20"/>
        </w:rPr>
        <w:tab/>
      </w:r>
      <w:r w:rsidR="0014536B" w:rsidRPr="00C84A6F">
        <w:rPr>
          <w:rFonts w:ascii="Verdana" w:hAnsi="Verdana"/>
          <w:sz w:val="20"/>
          <w:szCs w:val="20"/>
        </w:rPr>
        <w:t>En el presente caso</w:t>
      </w:r>
      <w:r w:rsidR="003F152D">
        <w:rPr>
          <w:rFonts w:ascii="Verdana" w:hAnsi="Verdana"/>
          <w:sz w:val="20"/>
          <w:szCs w:val="20"/>
        </w:rPr>
        <w:t>,</w:t>
      </w:r>
      <w:r w:rsidR="0014536B" w:rsidRPr="00C84A6F">
        <w:rPr>
          <w:rFonts w:ascii="Verdana" w:hAnsi="Verdana"/>
          <w:sz w:val="20"/>
          <w:szCs w:val="20"/>
        </w:rPr>
        <w:t xml:space="preserve"> la Corte</w:t>
      </w:r>
      <w:r w:rsidR="000F1AE2" w:rsidRPr="00C84A6F">
        <w:rPr>
          <w:rFonts w:ascii="Verdana" w:hAnsi="Verdana"/>
          <w:sz w:val="20"/>
          <w:szCs w:val="20"/>
        </w:rPr>
        <w:t xml:space="preserve"> </w:t>
      </w:r>
      <w:r w:rsidR="00E0154C">
        <w:rPr>
          <w:rFonts w:ascii="Verdana" w:hAnsi="Verdana"/>
          <w:sz w:val="20"/>
          <w:szCs w:val="20"/>
        </w:rPr>
        <w:t>IDH advirtió</w:t>
      </w:r>
      <w:r w:rsidR="000F1AE2" w:rsidRPr="00C84A6F">
        <w:rPr>
          <w:rFonts w:ascii="Verdana" w:hAnsi="Verdana"/>
          <w:sz w:val="20"/>
          <w:szCs w:val="20"/>
        </w:rPr>
        <w:t xml:space="preserve"> que el oficio por el cual se le notificó a la señora Maldonado el inicio del procedimiento disciplinario únicamente transcribía extractos de los artículos del reglam</w:t>
      </w:r>
      <w:r w:rsidR="00E0154C">
        <w:rPr>
          <w:rFonts w:ascii="Verdana" w:hAnsi="Verdana"/>
          <w:sz w:val="20"/>
          <w:szCs w:val="20"/>
        </w:rPr>
        <w:t>ento de Personal del Procurador;</w:t>
      </w:r>
      <w:r w:rsidR="000F1AE2" w:rsidRPr="00C84A6F">
        <w:rPr>
          <w:rFonts w:ascii="Verdana" w:hAnsi="Verdana"/>
          <w:sz w:val="20"/>
          <w:szCs w:val="20"/>
        </w:rPr>
        <w:t xml:space="preserve"> además</w:t>
      </w:r>
      <w:r w:rsidR="003F152D">
        <w:rPr>
          <w:rFonts w:ascii="Verdana" w:hAnsi="Verdana"/>
          <w:sz w:val="20"/>
          <w:szCs w:val="20"/>
        </w:rPr>
        <w:t>,</w:t>
      </w:r>
      <w:r w:rsidR="000F1AE2" w:rsidRPr="00C84A6F">
        <w:rPr>
          <w:rFonts w:ascii="Verdana" w:hAnsi="Verdana"/>
          <w:sz w:val="20"/>
          <w:szCs w:val="20"/>
        </w:rPr>
        <w:t xml:space="preserve"> si bien se adjuntó una copia de la denuncia presentada por los</w:t>
      </w:r>
      <w:r w:rsidR="00B17219" w:rsidRPr="00C84A6F">
        <w:rPr>
          <w:rFonts w:ascii="Verdana" w:hAnsi="Verdana"/>
          <w:sz w:val="20"/>
          <w:szCs w:val="20"/>
        </w:rPr>
        <w:t xml:space="preserve"> hermanos de la señora </w:t>
      </w:r>
      <w:r w:rsidR="00AC4703" w:rsidRPr="00C84A6F">
        <w:rPr>
          <w:rFonts w:ascii="Verdana" w:hAnsi="Verdana"/>
          <w:sz w:val="20"/>
          <w:szCs w:val="20"/>
        </w:rPr>
        <w:t>Maldonado</w:t>
      </w:r>
      <w:r w:rsidR="00B17219" w:rsidRPr="00C84A6F">
        <w:rPr>
          <w:rFonts w:ascii="Verdana" w:hAnsi="Verdana"/>
          <w:sz w:val="20"/>
          <w:szCs w:val="20"/>
        </w:rPr>
        <w:t xml:space="preserve">, ésta no </w:t>
      </w:r>
      <w:r w:rsidR="00AC4703" w:rsidRPr="00C84A6F">
        <w:rPr>
          <w:rFonts w:ascii="Verdana" w:hAnsi="Verdana"/>
          <w:sz w:val="20"/>
          <w:szCs w:val="20"/>
        </w:rPr>
        <w:t>contenía</w:t>
      </w:r>
      <w:r w:rsidR="00B17219" w:rsidRPr="00C84A6F">
        <w:rPr>
          <w:rFonts w:ascii="Verdana" w:hAnsi="Verdana"/>
          <w:sz w:val="20"/>
          <w:szCs w:val="20"/>
        </w:rPr>
        <w:t xml:space="preserve"> un análisis claro y concreto respecto a la aplicación de las causales señaladas en dichos artículos. Así, </w:t>
      </w:r>
      <w:r w:rsidR="00F6750B">
        <w:rPr>
          <w:rFonts w:ascii="Verdana" w:hAnsi="Verdana"/>
          <w:sz w:val="20"/>
          <w:szCs w:val="20"/>
        </w:rPr>
        <w:t>el Tribunal Interamericano</w:t>
      </w:r>
      <w:r w:rsidR="00E0154C">
        <w:rPr>
          <w:rFonts w:ascii="Verdana" w:hAnsi="Verdana"/>
          <w:sz w:val="20"/>
          <w:szCs w:val="20"/>
        </w:rPr>
        <w:t xml:space="preserve"> </w:t>
      </w:r>
      <w:r w:rsidR="00B17219" w:rsidRPr="00C84A6F">
        <w:rPr>
          <w:rFonts w:ascii="Verdana" w:hAnsi="Verdana"/>
          <w:sz w:val="20"/>
          <w:szCs w:val="20"/>
        </w:rPr>
        <w:t xml:space="preserve">observó que la notificación de los </w:t>
      </w:r>
      <w:r w:rsidR="00AC4703" w:rsidRPr="00C84A6F">
        <w:rPr>
          <w:rFonts w:ascii="Verdana" w:hAnsi="Verdana"/>
          <w:sz w:val="20"/>
          <w:szCs w:val="20"/>
        </w:rPr>
        <w:t>supuestos</w:t>
      </w:r>
      <w:r w:rsidR="00B17219" w:rsidRPr="00C84A6F">
        <w:rPr>
          <w:rFonts w:ascii="Verdana" w:hAnsi="Verdana"/>
          <w:sz w:val="20"/>
          <w:szCs w:val="20"/>
        </w:rPr>
        <w:t xml:space="preserve"> que dieron lugar a la sanción administrativa, no se indicaba de qué manera la acción atribuida a la señora Maldonado encuadraba en las conductas descritas. </w:t>
      </w:r>
      <w:r w:rsidR="000F1AE2" w:rsidRPr="00C84A6F">
        <w:rPr>
          <w:rFonts w:ascii="Verdana" w:hAnsi="Verdana"/>
          <w:sz w:val="20"/>
          <w:szCs w:val="20"/>
        </w:rPr>
        <w:t xml:space="preserve">Es así que, </w:t>
      </w:r>
      <w:r w:rsidR="00B17219" w:rsidRPr="00C84A6F">
        <w:rPr>
          <w:rFonts w:ascii="Verdana" w:hAnsi="Verdana"/>
          <w:sz w:val="20"/>
          <w:szCs w:val="20"/>
        </w:rPr>
        <w:t>en lo correspond</w:t>
      </w:r>
      <w:r w:rsidR="00E46983">
        <w:rPr>
          <w:rFonts w:ascii="Verdana" w:hAnsi="Verdana"/>
          <w:sz w:val="20"/>
          <w:szCs w:val="20"/>
        </w:rPr>
        <w:t>i</w:t>
      </w:r>
      <w:r w:rsidR="00B17219" w:rsidRPr="00C84A6F">
        <w:rPr>
          <w:rFonts w:ascii="Verdana" w:hAnsi="Verdana"/>
          <w:sz w:val="20"/>
          <w:szCs w:val="20"/>
        </w:rPr>
        <w:t>e</w:t>
      </w:r>
      <w:r w:rsidR="00E46983">
        <w:rPr>
          <w:rFonts w:ascii="Verdana" w:hAnsi="Verdana"/>
          <w:sz w:val="20"/>
          <w:szCs w:val="20"/>
        </w:rPr>
        <w:t>nte</w:t>
      </w:r>
      <w:r w:rsidR="000F1AE2" w:rsidRPr="00C84A6F">
        <w:rPr>
          <w:rFonts w:ascii="Verdana" w:hAnsi="Verdana"/>
          <w:sz w:val="20"/>
          <w:szCs w:val="20"/>
        </w:rPr>
        <w:t xml:space="preserve"> al </w:t>
      </w:r>
      <w:r w:rsidR="00AC4703" w:rsidRPr="00C84A6F">
        <w:rPr>
          <w:rFonts w:ascii="Verdana" w:hAnsi="Verdana"/>
          <w:sz w:val="20"/>
          <w:szCs w:val="20"/>
        </w:rPr>
        <w:t>derecho</w:t>
      </w:r>
      <w:r w:rsidR="000F1AE2" w:rsidRPr="00C84A6F">
        <w:rPr>
          <w:rFonts w:ascii="Verdana" w:hAnsi="Verdana"/>
          <w:sz w:val="20"/>
          <w:szCs w:val="20"/>
        </w:rPr>
        <w:t xml:space="preserve"> que ostentaba para conocer con certeza las bases de su destitución, la víctima no tuvo un conocimiento claro respecto de la forma en que la conducta que se alegaba en la denuncia en su contra podría motivar su destitución ni de las razones de la misma</w:t>
      </w:r>
      <w:r w:rsidR="00F1301A" w:rsidRPr="00C84A6F">
        <w:rPr>
          <w:rStyle w:val="FootnoteReference"/>
          <w:rFonts w:ascii="Verdana" w:hAnsi="Verdana"/>
          <w:sz w:val="20"/>
          <w:szCs w:val="20"/>
        </w:rPr>
        <w:footnoteReference w:id="64"/>
      </w:r>
      <w:r w:rsidR="00B17219" w:rsidRPr="00C84A6F">
        <w:rPr>
          <w:rFonts w:ascii="Verdana" w:hAnsi="Verdana"/>
          <w:sz w:val="20"/>
          <w:szCs w:val="20"/>
        </w:rPr>
        <w:t xml:space="preserve">. </w:t>
      </w:r>
      <w:r w:rsidR="000F1AE2" w:rsidRPr="00C84A6F">
        <w:rPr>
          <w:rFonts w:ascii="Verdana" w:hAnsi="Verdana"/>
          <w:sz w:val="20"/>
          <w:szCs w:val="20"/>
        </w:rPr>
        <w:t xml:space="preserve"> </w:t>
      </w:r>
      <w:r w:rsidR="00B17219" w:rsidRPr="00C84A6F">
        <w:rPr>
          <w:rFonts w:ascii="Verdana" w:hAnsi="Verdana"/>
          <w:sz w:val="20"/>
          <w:szCs w:val="20"/>
        </w:rPr>
        <w:t xml:space="preserve">De esta forma, la Corte </w:t>
      </w:r>
      <w:r w:rsidR="00E0154C">
        <w:rPr>
          <w:rFonts w:ascii="Verdana" w:hAnsi="Verdana"/>
          <w:sz w:val="20"/>
          <w:szCs w:val="20"/>
        </w:rPr>
        <w:t xml:space="preserve">IDH </w:t>
      </w:r>
      <w:r w:rsidR="00B17219" w:rsidRPr="00C84A6F">
        <w:rPr>
          <w:rFonts w:ascii="Verdana" w:hAnsi="Verdana"/>
          <w:sz w:val="20"/>
          <w:szCs w:val="20"/>
        </w:rPr>
        <w:t xml:space="preserve">concluyó que: </w:t>
      </w:r>
    </w:p>
    <w:p w14:paraId="0443DA78" w14:textId="77777777" w:rsidR="000F1AE2" w:rsidRPr="00C84A6F" w:rsidRDefault="000F1AE2" w:rsidP="000E6EDD">
      <w:pPr>
        <w:ind w:right="713"/>
        <w:contextualSpacing/>
        <w:jc w:val="both"/>
        <w:rPr>
          <w:rFonts w:ascii="Verdana" w:hAnsi="Verdana"/>
          <w:i/>
          <w:sz w:val="18"/>
          <w:szCs w:val="18"/>
        </w:rPr>
      </w:pPr>
    </w:p>
    <w:p w14:paraId="3A20F12E" w14:textId="77FC5B67" w:rsidR="000F1AE2" w:rsidRPr="00A60CAD" w:rsidRDefault="00F1301A" w:rsidP="000E6EDD">
      <w:pPr>
        <w:ind w:left="851" w:right="713"/>
        <w:contextualSpacing/>
        <w:jc w:val="both"/>
        <w:rPr>
          <w:rFonts w:ascii="Verdana" w:hAnsi="Verdana"/>
          <w:sz w:val="18"/>
          <w:szCs w:val="18"/>
        </w:rPr>
      </w:pPr>
      <w:r w:rsidRPr="00A60CAD">
        <w:rPr>
          <w:rFonts w:ascii="Verdana" w:hAnsi="Verdana"/>
          <w:sz w:val="18"/>
          <w:szCs w:val="18"/>
        </w:rPr>
        <w:t xml:space="preserve">82. </w:t>
      </w:r>
      <w:r w:rsidR="00B17219" w:rsidRPr="00A60CAD">
        <w:rPr>
          <w:rFonts w:ascii="Verdana" w:hAnsi="Verdana"/>
          <w:sz w:val="18"/>
          <w:szCs w:val="18"/>
        </w:rPr>
        <w:t>[E]</w:t>
      </w:r>
      <w:proofErr w:type="spellStart"/>
      <w:r w:rsidR="000F1AE2" w:rsidRPr="00A60CAD">
        <w:rPr>
          <w:rFonts w:ascii="Verdana" w:hAnsi="Verdana"/>
          <w:sz w:val="18"/>
          <w:szCs w:val="18"/>
        </w:rPr>
        <w:t>ra</w:t>
      </w:r>
      <w:proofErr w:type="spellEnd"/>
      <w:r w:rsidR="000F1AE2" w:rsidRPr="00A60CAD">
        <w:rPr>
          <w:rFonts w:ascii="Verdana" w:hAnsi="Verdana"/>
          <w:sz w:val="18"/>
          <w:szCs w:val="18"/>
        </w:rPr>
        <w:t xml:space="preserve"> necesario que, por lo menos, se suministrara información que fuera clara respecto de la motivación del proceso de destitución, así como una mínima referencia a la relación existente entre los hechos respecto de los cuales se aplicaría la sanción disciplinaria y la norma supuestamente infringida.</w:t>
      </w:r>
    </w:p>
    <w:p w14:paraId="4C380C8E" w14:textId="77777777" w:rsidR="00B17219" w:rsidRPr="00A60CAD" w:rsidRDefault="00B17219" w:rsidP="000E6EDD">
      <w:pPr>
        <w:pStyle w:val="Header"/>
        <w:tabs>
          <w:tab w:val="clear" w:pos="4419"/>
          <w:tab w:val="clear" w:pos="8838"/>
        </w:tabs>
        <w:ind w:left="851" w:right="713"/>
        <w:contextualSpacing/>
        <w:rPr>
          <w:rFonts w:eastAsiaTheme="minorEastAsia" w:cstheme="minorBidi"/>
          <w:sz w:val="18"/>
          <w:szCs w:val="18"/>
          <w:lang w:eastAsia="es-ES"/>
        </w:rPr>
      </w:pPr>
    </w:p>
    <w:p w14:paraId="23607C80" w14:textId="274B800C" w:rsidR="000F1AE2" w:rsidRPr="00A60CAD" w:rsidRDefault="00F1301A" w:rsidP="000E6EDD">
      <w:pPr>
        <w:pStyle w:val="Header"/>
        <w:tabs>
          <w:tab w:val="clear" w:pos="4419"/>
          <w:tab w:val="clear" w:pos="8838"/>
        </w:tabs>
        <w:ind w:left="851" w:right="713"/>
        <w:contextualSpacing/>
        <w:rPr>
          <w:rFonts w:cs="Arial"/>
          <w:sz w:val="18"/>
          <w:szCs w:val="18"/>
          <w:u w:val="single"/>
        </w:rPr>
      </w:pPr>
      <w:r w:rsidRPr="00A60CAD">
        <w:rPr>
          <w:rFonts w:cs="Arial"/>
          <w:sz w:val="18"/>
          <w:szCs w:val="18"/>
        </w:rPr>
        <w:t xml:space="preserve">83. </w:t>
      </w:r>
      <w:r w:rsidR="000F1AE2" w:rsidRPr="00A60CAD">
        <w:rPr>
          <w:rFonts w:cs="Arial"/>
          <w:sz w:val="18"/>
          <w:szCs w:val="18"/>
        </w:rPr>
        <w:t xml:space="preserve">De la lectura de la mencionada notificación no resultaba claro el motivo específico por el cual la señora Maldonado estaba siendo objeto de un proceso disciplinario; en consecuencia no contó con información detallada de las razones por las cuales podría ser destituida de su trabajo. </w:t>
      </w:r>
      <w:r w:rsidR="000F1AE2" w:rsidRPr="00A60CAD">
        <w:rPr>
          <w:rFonts w:cs="Arial"/>
          <w:sz w:val="18"/>
          <w:szCs w:val="18"/>
          <w:u w:val="single"/>
        </w:rPr>
        <w:t>Esta falta de información constituyó una violación a la garantía de contar con información previa y detallada del proceso iniciado en su contra, contenida en el artículo 8.2.b de la Convención Americana.</w:t>
      </w:r>
    </w:p>
    <w:p w14:paraId="1D467CD4" w14:textId="77777777" w:rsidR="00B17219" w:rsidRPr="00A60CAD" w:rsidRDefault="00B17219" w:rsidP="000E6EDD">
      <w:pPr>
        <w:ind w:left="851" w:right="713"/>
        <w:contextualSpacing/>
        <w:jc w:val="both"/>
        <w:rPr>
          <w:rFonts w:ascii="Verdana" w:hAnsi="Verdana" w:cs="Arial"/>
          <w:sz w:val="18"/>
          <w:szCs w:val="18"/>
        </w:rPr>
      </w:pPr>
    </w:p>
    <w:p w14:paraId="3C0F2CBA" w14:textId="3A0B2770" w:rsidR="000F1AE2" w:rsidRPr="00A60CAD" w:rsidRDefault="00F1301A" w:rsidP="000E6EDD">
      <w:pPr>
        <w:ind w:left="851" w:right="713"/>
        <w:contextualSpacing/>
        <w:jc w:val="both"/>
        <w:rPr>
          <w:rFonts w:ascii="Verdana" w:hAnsi="Verdana"/>
          <w:sz w:val="18"/>
          <w:szCs w:val="18"/>
          <w:u w:val="single"/>
        </w:rPr>
      </w:pPr>
      <w:r w:rsidRPr="00A60CAD">
        <w:rPr>
          <w:rFonts w:ascii="Verdana" w:hAnsi="Verdana" w:cs="Arial"/>
          <w:sz w:val="18"/>
          <w:szCs w:val="18"/>
        </w:rPr>
        <w:t xml:space="preserve">84. </w:t>
      </w:r>
      <w:r w:rsidR="000F1AE2" w:rsidRPr="00A60CAD">
        <w:rPr>
          <w:rFonts w:ascii="Verdana" w:hAnsi="Verdana" w:cs="Arial"/>
          <w:sz w:val="18"/>
          <w:szCs w:val="18"/>
        </w:rPr>
        <w:t xml:space="preserve">En ese sentido, no obstante la señora Maldonado contó con el tiempo y la posibilidad de defenderse a nombre propio y a pesar de haber sido asistida por los defensores de su elección, los medios para la preparación de su defensa no fueron adecuados como consecuencia de la falta de la claridad respecto del motivo específico por el cual se iniciaba el proceso de destitución en su contra. </w:t>
      </w:r>
      <w:r w:rsidR="000F1AE2" w:rsidRPr="00A60CAD">
        <w:rPr>
          <w:rFonts w:ascii="Verdana" w:hAnsi="Verdana" w:cs="Arial"/>
          <w:sz w:val="18"/>
          <w:szCs w:val="18"/>
          <w:u w:val="single"/>
        </w:rPr>
        <w:t>Lo anterior constituyó una vulneración adicional al derecho a la defensa de la señora Maldonado, contenido en el artículo 8.2.c de la Convención Americana</w:t>
      </w:r>
      <w:r w:rsidRPr="008641EB">
        <w:rPr>
          <w:rStyle w:val="FootnoteReference"/>
          <w:rFonts w:ascii="Verdana" w:hAnsi="Verdana" w:cs="Arial"/>
          <w:sz w:val="18"/>
          <w:szCs w:val="18"/>
        </w:rPr>
        <w:footnoteReference w:id="65"/>
      </w:r>
      <w:r w:rsidR="000F1AE2" w:rsidRPr="008641EB">
        <w:rPr>
          <w:rFonts w:ascii="Verdana" w:hAnsi="Verdana" w:cs="Arial"/>
          <w:sz w:val="18"/>
          <w:szCs w:val="18"/>
        </w:rPr>
        <w:t>.</w:t>
      </w:r>
      <w:r w:rsidR="00F6750B">
        <w:rPr>
          <w:rFonts w:ascii="Verdana" w:hAnsi="Verdana" w:cs="Arial"/>
          <w:sz w:val="18"/>
          <w:szCs w:val="18"/>
        </w:rPr>
        <w:t>(</w:t>
      </w:r>
      <w:r w:rsidR="00F6750B" w:rsidRPr="00F6750B">
        <w:rPr>
          <w:rFonts w:ascii="Verdana" w:hAnsi="Verdana"/>
          <w:sz w:val="16"/>
          <w:szCs w:val="16"/>
        </w:rPr>
        <w:t xml:space="preserve"> Subrayado añadido.</w:t>
      </w:r>
      <w:r w:rsidR="00F6750B">
        <w:rPr>
          <w:rFonts w:ascii="Verdana" w:hAnsi="Verdana" w:cs="Arial"/>
          <w:sz w:val="18"/>
          <w:szCs w:val="18"/>
        </w:rPr>
        <w:t>)</w:t>
      </w:r>
    </w:p>
    <w:p w14:paraId="679B43AD" w14:textId="77777777" w:rsidR="000F1AE2" w:rsidRPr="00A60CAD" w:rsidRDefault="000F1AE2" w:rsidP="000E6EDD">
      <w:pPr>
        <w:pStyle w:val="NormalWeb"/>
        <w:spacing w:before="0" w:beforeAutospacing="0" w:after="0" w:afterAutospacing="0"/>
        <w:jc w:val="both"/>
        <w:rPr>
          <w:rFonts w:ascii="Verdana" w:hAnsi="Verdana"/>
          <w:b/>
          <w:lang w:val="es-ES_tradnl"/>
        </w:rPr>
      </w:pPr>
    </w:p>
    <w:p w14:paraId="3DE8C5F3" w14:textId="2C5B2D84" w:rsidR="00CF3A73" w:rsidRPr="00C84A6F" w:rsidRDefault="00B174B6" w:rsidP="000E6EDD">
      <w:pPr>
        <w:pStyle w:val="NormalWeb"/>
        <w:spacing w:before="0" w:beforeAutospacing="0" w:after="0" w:afterAutospacing="0"/>
        <w:jc w:val="both"/>
        <w:rPr>
          <w:rFonts w:ascii="Verdana" w:hAnsi="Verdana"/>
          <w:b/>
          <w:lang w:val="es-ES_tradnl"/>
        </w:rPr>
      </w:pPr>
      <w:r>
        <w:rPr>
          <w:rFonts w:ascii="Verdana" w:hAnsi="Verdana"/>
          <w:lang w:val="es-ES_tradnl"/>
        </w:rPr>
        <w:t>32</w:t>
      </w:r>
      <w:r w:rsidR="00A57D5A">
        <w:rPr>
          <w:rFonts w:ascii="Verdana" w:hAnsi="Verdana"/>
          <w:lang w:val="es-ES_tradnl"/>
        </w:rPr>
        <w:t xml:space="preserve">. </w:t>
      </w:r>
      <w:r w:rsidR="00A57D5A">
        <w:rPr>
          <w:rFonts w:ascii="Verdana" w:hAnsi="Verdana"/>
          <w:lang w:val="es-ES_tradnl"/>
        </w:rPr>
        <w:tab/>
      </w:r>
      <w:r w:rsidR="00856B94" w:rsidRPr="00C84A6F">
        <w:rPr>
          <w:rFonts w:ascii="Verdana" w:hAnsi="Verdana"/>
          <w:lang w:val="es-ES_tradnl"/>
        </w:rPr>
        <w:t>Como podemos observar</w:t>
      </w:r>
      <w:r w:rsidR="00DF0691">
        <w:rPr>
          <w:rFonts w:ascii="Verdana" w:hAnsi="Verdana"/>
          <w:lang w:val="es-ES_tradnl"/>
        </w:rPr>
        <w:t>,</w:t>
      </w:r>
      <w:r w:rsidR="00856B94" w:rsidRPr="00C84A6F">
        <w:rPr>
          <w:rFonts w:ascii="Verdana" w:hAnsi="Verdana"/>
          <w:lang w:val="es-ES_tradnl"/>
        </w:rPr>
        <w:t xml:space="preserve"> </w:t>
      </w:r>
      <w:r w:rsidR="00B17219" w:rsidRPr="00C84A6F">
        <w:rPr>
          <w:rFonts w:ascii="Verdana" w:hAnsi="Verdana"/>
          <w:lang w:val="es-ES_tradnl"/>
        </w:rPr>
        <w:t>la Corte</w:t>
      </w:r>
      <w:r w:rsidR="00DF0691">
        <w:rPr>
          <w:rFonts w:ascii="Verdana" w:hAnsi="Verdana"/>
          <w:lang w:val="es-ES_tradnl"/>
        </w:rPr>
        <w:t xml:space="preserve"> IDH</w:t>
      </w:r>
      <w:r w:rsidR="00856B94" w:rsidRPr="00C84A6F">
        <w:rPr>
          <w:rFonts w:ascii="Verdana" w:hAnsi="Verdana"/>
          <w:lang w:val="es-ES_tradnl"/>
        </w:rPr>
        <w:t>,</w:t>
      </w:r>
      <w:r w:rsidR="00B17219" w:rsidRPr="00C84A6F">
        <w:rPr>
          <w:rFonts w:ascii="Verdana" w:hAnsi="Verdana"/>
          <w:lang w:val="es-ES_tradnl"/>
        </w:rPr>
        <w:t xml:space="preserve"> nuevamente, en este tipo de procedimientos aplica lo que desde el </w:t>
      </w:r>
      <w:r w:rsidR="00081CE5" w:rsidRPr="005E5804">
        <w:rPr>
          <w:rFonts w:ascii="Verdana" w:hAnsi="Verdana"/>
          <w:i/>
          <w:lang w:val="es-ES_tradnl"/>
        </w:rPr>
        <w:t xml:space="preserve">Caso </w:t>
      </w:r>
      <w:r w:rsidR="00B17219" w:rsidRPr="005E5804">
        <w:rPr>
          <w:rFonts w:ascii="Verdana" w:hAnsi="Verdana"/>
          <w:i/>
          <w:lang w:val="es-ES_tradnl"/>
        </w:rPr>
        <w:t xml:space="preserve">del Tribunal </w:t>
      </w:r>
      <w:r w:rsidR="00AC4703" w:rsidRPr="005E5804">
        <w:rPr>
          <w:rFonts w:ascii="Verdana" w:hAnsi="Verdana"/>
          <w:i/>
          <w:lang w:val="es-ES_tradnl"/>
        </w:rPr>
        <w:t>Constitucional</w:t>
      </w:r>
      <w:r w:rsidR="00B17219" w:rsidRPr="005E5804">
        <w:rPr>
          <w:rFonts w:ascii="Verdana" w:hAnsi="Verdana"/>
          <w:i/>
          <w:lang w:val="es-ES_tradnl"/>
        </w:rPr>
        <w:t xml:space="preserve"> </w:t>
      </w:r>
      <w:r w:rsidR="009F758F" w:rsidRPr="005E5804">
        <w:rPr>
          <w:rFonts w:ascii="Verdana" w:hAnsi="Verdana"/>
          <w:i/>
          <w:lang w:val="es-ES_tradnl"/>
        </w:rPr>
        <w:t>vs. Perú</w:t>
      </w:r>
      <w:r w:rsidR="009F758F">
        <w:rPr>
          <w:rFonts w:ascii="Verdana" w:hAnsi="Verdana"/>
          <w:lang w:val="es-ES_tradnl"/>
        </w:rPr>
        <w:t xml:space="preserve"> (2001) </w:t>
      </w:r>
      <w:r w:rsidR="00B17219" w:rsidRPr="00C84A6F">
        <w:rPr>
          <w:rFonts w:ascii="Verdana" w:hAnsi="Verdana"/>
          <w:lang w:val="es-ES_tradnl"/>
        </w:rPr>
        <w:t xml:space="preserve">ha desarrollado como la </w:t>
      </w:r>
      <w:r w:rsidR="00856B94" w:rsidRPr="00C84A6F">
        <w:rPr>
          <w:rFonts w:ascii="Verdana" w:hAnsi="Verdana"/>
          <w:lang w:val="es-ES_tradnl"/>
        </w:rPr>
        <w:t>aplicación d</w:t>
      </w:r>
      <w:r w:rsidR="00B17219" w:rsidRPr="00C84A6F">
        <w:rPr>
          <w:rFonts w:ascii="Verdana" w:hAnsi="Verdana"/>
          <w:lang w:val="es-ES_tradnl"/>
        </w:rPr>
        <w:t>e</w:t>
      </w:r>
      <w:r w:rsidR="00856B94" w:rsidRPr="00C84A6F">
        <w:rPr>
          <w:rFonts w:ascii="Verdana" w:hAnsi="Verdana"/>
          <w:lang w:val="es-ES_tradnl"/>
        </w:rPr>
        <w:t xml:space="preserve"> las </w:t>
      </w:r>
      <w:r w:rsidR="00AC4703" w:rsidRPr="00C84A6F">
        <w:rPr>
          <w:rFonts w:ascii="Verdana" w:hAnsi="Verdana"/>
          <w:lang w:val="es-ES_tradnl"/>
        </w:rPr>
        <w:t>garantías</w:t>
      </w:r>
      <w:r w:rsidR="00856B94" w:rsidRPr="00C84A6F">
        <w:rPr>
          <w:rFonts w:ascii="Verdana" w:hAnsi="Verdana"/>
          <w:lang w:val="es-ES_tradnl"/>
        </w:rPr>
        <w:t xml:space="preserve"> mí</w:t>
      </w:r>
      <w:r w:rsidR="00B17219" w:rsidRPr="00C84A6F">
        <w:rPr>
          <w:rFonts w:ascii="Verdana" w:hAnsi="Verdana"/>
          <w:lang w:val="es-ES_tradnl"/>
        </w:rPr>
        <w:t>nim</w:t>
      </w:r>
      <w:r w:rsidR="003F152D">
        <w:rPr>
          <w:rFonts w:ascii="Verdana" w:hAnsi="Verdana"/>
          <w:lang w:val="es-ES_tradnl"/>
        </w:rPr>
        <w:t>as del debido proceso a procedimientos</w:t>
      </w:r>
      <w:r w:rsidR="00B17219" w:rsidRPr="00C84A6F">
        <w:rPr>
          <w:rFonts w:ascii="Verdana" w:hAnsi="Verdana"/>
          <w:lang w:val="es-ES_tradnl"/>
        </w:rPr>
        <w:t xml:space="preserve"> no penales, ampliando el </w:t>
      </w:r>
      <w:r w:rsidR="00AC4703" w:rsidRPr="00C84A6F">
        <w:rPr>
          <w:rFonts w:ascii="Verdana" w:hAnsi="Verdana"/>
          <w:lang w:val="es-ES_tradnl"/>
        </w:rPr>
        <w:t>ámbito</w:t>
      </w:r>
      <w:r w:rsidR="00B17219" w:rsidRPr="00C84A6F">
        <w:rPr>
          <w:rFonts w:ascii="Verdana" w:hAnsi="Verdana"/>
          <w:lang w:val="es-ES_tradnl"/>
        </w:rPr>
        <w:t xml:space="preserve"> de protección que establece el </w:t>
      </w:r>
      <w:r w:rsidR="000D382A" w:rsidRPr="00C84A6F">
        <w:rPr>
          <w:rFonts w:ascii="Verdana" w:hAnsi="Verdana"/>
          <w:lang w:val="es-ES_tradnl"/>
        </w:rPr>
        <w:t>artículo</w:t>
      </w:r>
      <w:r w:rsidR="00B17219" w:rsidRPr="00C84A6F">
        <w:rPr>
          <w:rFonts w:ascii="Verdana" w:hAnsi="Verdana"/>
          <w:lang w:val="es-ES_tradnl"/>
        </w:rPr>
        <w:t xml:space="preserve"> 8 de la Convención</w:t>
      </w:r>
      <w:r w:rsidR="00DF019F">
        <w:rPr>
          <w:rFonts w:ascii="Verdana" w:hAnsi="Verdana"/>
          <w:lang w:val="es-ES_tradnl"/>
        </w:rPr>
        <w:t xml:space="preserve"> Americana</w:t>
      </w:r>
      <w:r w:rsidR="003F152D">
        <w:rPr>
          <w:rFonts w:ascii="Verdana" w:hAnsi="Verdana"/>
          <w:lang w:val="es-ES_tradnl"/>
        </w:rPr>
        <w:t xml:space="preserve">; </w:t>
      </w:r>
      <w:r w:rsidR="008A4C54" w:rsidRPr="00C84A6F">
        <w:rPr>
          <w:rFonts w:ascii="Verdana" w:hAnsi="Verdana"/>
          <w:lang w:val="es-ES_tradnl"/>
        </w:rPr>
        <w:lastRenderedPageBreak/>
        <w:t>en este caso</w:t>
      </w:r>
      <w:r w:rsidR="003F152D">
        <w:rPr>
          <w:rFonts w:ascii="Verdana" w:hAnsi="Verdana"/>
          <w:lang w:val="es-ES_tradnl"/>
        </w:rPr>
        <w:t>,</w:t>
      </w:r>
      <w:r w:rsidR="008A4C54" w:rsidRPr="00C84A6F">
        <w:rPr>
          <w:rFonts w:ascii="Verdana" w:hAnsi="Verdana"/>
          <w:lang w:val="es-ES_tradnl"/>
        </w:rPr>
        <w:t xml:space="preserve"> declarando violado</w:t>
      </w:r>
      <w:r w:rsidR="00A83A36">
        <w:rPr>
          <w:rFonts w:ascii="Verdana" w:hAnsi="Verdana"/>
          <w:lang w:val="es-ES_tradnl"/>
        </w:rPr>
        <w:t>s</w:t>
      </w:r>
      <w:r w:rsidR="008A4C54" w:rsidRPr="00C84A6F">
        <w:rPr>
          <w:rFonts w:ascii="Verdana" w:hAnsi="Verdana"/>
          <w:lang w:val="es-ES_tradnl"/>
        </w:rPr>
        <w:t xml:space="preserve"> los artículos 8.2.b y 8.2.c de</w:t>
      </w:r>
      <w:r w:rsidR="00DF0691">
        <w:rPr>
          <w:rFonts w:ascii="Verdana" w:hAnsi="Verdana"/>
          <w:lang w:val="es-ES_tradnl"/>
        </w:rPr>
        <w:t>l Pacto de San José</w:t>
      </w:r>
      <w:r w:rsidR="00B17219" w:rsidRPr="00C84A6F">
        <w:rPr>
          <w:rFonts w:ascii="Verdana" w:hAnsi="Verdana"/>
          <w:lang w:val="es-ES_tradnl"/>
        </w:rPr>
        <w:t>. En este sentido, como</w:t>
      </w:r>
      <w:r w:rsidR="00CF3A73" w:rsidRPr="00C84A6F">
        <w:rPr>
          <w:rFonts w:ascii="Verdana" w:hAnsi="Verdana"/>
          <w:lang w:val="es-ES_tradnl"/>
        </w:rPr>
        <w:t xml:space="preserve"> lo expresé con anterioridad en el caso </w:t>
      </w:r>
      <w:r w:rsidR="00CF3A73" w:rsidRPr="00C84A6F">
        <w:rPr>
          <w:rFonts w:ascii="Verdana" w:hAnsi="Verdana"/>
          <w:i/>
          <w:lang w:val="es-ES_tradnl"/>
        </w:rPr>
        <w:t>Camba Campos Vs. Ecuador</w:t>
      </w:r>
      <w:r w:rsidR="009F758F">
        <w:rPr>
          <w:rFonts w:ascii="Verdana" w:hAnsi="Verdana"/>
          <w:i/>
          <w:lang w:val="es-ES_tradnl"/>
        </w:rPr>
        <w:t xml:space="preserve"> </w:t>
      </w:r>
      <w:r w:rsidR="009F758F">
        <w:rPr>
          <w:rFonts w:ascii="Verdana" w:hAnsi="Verdana"/>
          <w:lang w:val="es-ES_tradnl"/>
        </w:rPr>
        <w:t>(2013)</w:t>
      </w:r>
      <w:r w:rsidR="00CF3A73" w:rsidRPr="00C84A6F">
        <w:rPr>
          <w:rFonts w:ascii="Verdana" w:hAnsi="Verdana"/>
          <w:lang w:val="es-ES_tradnl"/>
        </w:rPr>
        <w:t xml:space="preserve">, conforme a una larga línea jurisprudencial del Tribunal Interamericano, las </w:t>
      </w:r>
      <w:r w:rsidR="00AC4703" w:rsidRPr="00C84A6F">
        <w:rPr>
          <w:rFonts w:ascii="Verdana" w:hAnsi="Verdana"/>
          <w:lang w:val="es-ES_tradnl"/>
        </w:rPr>
        <w:t>garantías</w:t>
      </w:r>
      <w:r w:rsidR="00CF3A73" w:rsidRPr="00C84A6F">
        <w:rPr>
          <w:rFonts w:ascii="Verdana" w:hAnsi="Verdana"/>
          <w:lang w:val="es-ES_tradnl"/>
        </w:rPr>
        <w:t xml:space="preserve"> del artículo 8.2 de la Convención Americana son aplicables a cualquier </w:t>
      </w:r>
      <w:r w:rsidR="00AC4703" w:rsidRPr="00C84A6F">
        <w:rPr>
          <w:rFonts w:ascii="Verdana" w:hAnsi="Verdana"/>
          <w:lang w:val="es-ES_tradnl"/>
        </w:rPr>
        <w:t>actuación</w:t>
      </w:r>
      <w:r w:rsidR="00CF3A73" w:rsidRPr="00C84A6F">
        <w:rPr>
          <w:rFonts w:ascii="Verdana" w:hAnsi="Verdana"/>
          <w:lang w:val="es-ES_tradnl"/>
        </w:rPr>
        <w:t xml:space="preserve"> de algún poder del Estado en el que se vean afectados los derechos de las personas</w:t>
      </w:r>
      <w:r w:rsidR="00F1301A" w:rsidRPr="00C84A6F">
        <w:rPr>
          <w:rStyle w:val="FootnoteReference"/>
          <w:rFonts w:ascii="Verdana" w:hAnsi="Verdana"/>
          <w:lang w:val="es-ES_tradnl"/>
        </w:rPr>
        <w:footnoteReference w:id="66"/>
      </w:r>
      <w:r w:rsidR="00CF3A73" w:rsidRPr="00C84A6F">
        <w:rPr>
          <w:rFonts w:ascii="Verdana" w:hAnsi="Verdana"/>
          <w:lang w:val="es-ES_tradnl"/>
        </w:rPr>
        <w:t xml:space="preserve">. </w:t>
      </w:r>
    </w:p>
    <w:p w14:paraId="25FECC94" w14:textId="77777777" w:rsidR="00CF3A73" w:rsidRPr="00C84A6F" w:rsidRDefault="00CF3A73" w:rsidP="000E6EDD">
      <w:pPr>
        <w:pStyle w:val="NormalWeb"/>
        <w:spacing w:before="0" w:beforeAutospacing="0" w:after="0" w:afterAutospacing="0"/>
        <w:jc w:val="both"/>
        <w:rPr>
          <w:rFonts w:ascii="Verdana" w:hAnsi="Verdana"/>
          <w:lang w:val="es-ES_tradnl"/>
        </w:rPr>
      </w:pPr>
    </w:p>
    <w:p w14:paraId="1DAC97D6" w14:textId="207D29A0" w:rsidR="00385C66"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33</w:t>
      </w:r>
      <w:r w:rsidR="00A57D5A">
        <w:rPr>
          <w:rFonts w:ascii="Verdana" w:hAnsi="Verdana"/>
          <w:lang w:val="es-ES_tradnl"/>
        </w:rPr>
        <w:t xml:space="preserve">. </w:t>
      </w:r>
      <w:r w:rsidR="00A57D5A">
        <w:rPr>
          <w:rFonts w:ascii="Verdana" w:hAnsi="Verdana"/>
          <w:lang w:val="es-ES_tradnl"/>
        </w:rPr>
        <w:tab/>
      </w:r>
      <w:r w:rsidR="00CF3A73" w:rsidRPr="00C84A6F">
        <w:rPr>
          <w:rFonts w:ascii="Verdana" w:hAnsi="Verdana"/>
          <w:lang w:val="es-ES_tradnl"/>
        </w:rPr>
        <w:t>La prese</w:t>
      </w:r>
      <w:r w:rsidR="00DF0691">
        <w:rPr>
          <w:rFonts w:ascii="Verdana" w:hAnsi="Verdana"/>
          <w:lang w:val="es-ES_tradnl"/>
        </w:rPr>
        <w:t>nte S</w:t>
      </w:r>
      <w:r w:rsidR="00CF3A73" w:rsidRPr="00C84A6F">
        <w:rPr>
          <w:rFonts w:ascii="Verdana" w:hAnsi="Verdana"/>
          <w:lang w:val="es-ES_tradnl"/>
        </w:rPr>
        <w:t>entencia emitida por el Tribunal Interamericano ratifica</w:t>
      </w:r>
      <w:r w:rsidR="000D382A">
        <w:rPr>
          <w:rFonts w:ascii="Verdana" w:hAnsi="Verdana"/>
          <w:lang w:val="es-ES_tradnl"/>
        </w:rPr>
        <w:t xml:space="preserve"> una vez más</w:t>
      </w:r>
      <w:r w:rsidR="00CF3A73" w:rsidRPr="00C84A6F">
        <w:rPr>
          <w:rFonts w:ascii="Verdana" w:hAnsi="Verdana"/>
          <w:lang w:val="es-ES_tradnl"/>
        </w:rPr>
        <w:t xml:space="preserve"> l</w:t>
      </w:r>
      <w:r w:rsidR="009F758F">
        <w:rPr>
          <w:rFonts w:ascii="Verdana" w:hAnsi="Verdana"/>
          <w:lang w:val="es-ES_tradnl"/>
        </w:rPr>
        <w:t xml:space="preserve">o expresado en </w:t>
      </w:r>
      <w:r w:rsidR="00E70D9C">
        <w:rPr>
          <w:rFonts w:ascii="Verdana" w:hAnsi="Verdana"/>
          <w:lang w:val="es-ES_tradnl"/>
        </w:rPr>
        <w:t>los precedentes de 2001 y 2013</w:t>
      </w:r>
      <w:r w:rsidR="00E70D9C" w:rsidRPr="00C84A6F">
        <w:rPr>
          <w:rFonts w:ascii="Verdana" w:hAnsi="Verdana"/>
          <w:lang w:val="es-ES_tradnl"/>
        </w:rPr>
        <w:t xml:space="preserve"> </w:t>
      </w:r>
      <w:r w:rsidR="00F2526E" w:rsidRPr="00C84A6F">
        <w:rPr>
          <w:rFonts w:ascii="Verdana" w:hAnsi="Verdana"/>
          <w:lang w:val="es-ES_tradnl"/>
        </w:rPr>
        <w:t>(</w:t>
      </w:r>
      <w:r w:rsidR="00F2526E" w:rsidRPr="00C84A6F">
        <w:rPr>
          <w:rFonts w:ascii="Verdana" w:hAnsi="Verdana"/>
          <w:i/>
          <w:lang w:val="es-ES_tradnl"/>
        </w:rPr>
        <w:t>supra</w:t>
      </w:r>
      <w:r w:rsidR="00E70D9C">
        <w:rPr>
          <w:rFonts w:ascii="Verdana" w:hAnsi="Verdana"/>
          <w:lang w:val="es-ES_tradnl"/>
        </w:rPr>
        <w:t xml:space="preserve"> párr. 26</w:t>
      </w:r>
      <w:r w:rsidR="005111DB" w:rsidRPr="00C84A6F">
        <w:rPr>
          <w:rFonts w:ascii="Verdana" w:hAnsi="Verdana"/>
          <w:lang w:val="es-ES_tradnl"/>
        </w:rPr>
        <w:t>)</w:t>
      </w:r>
      <w:r w:rsidR="009F758F">
        <w:rPr>
          <w:rFonts w:ascii="Verdana" w:hAnsi="Verdana"/>
          <w:lang w:val="es-ES_tradnl"/>
        </w:rPr>
        <w:t>,</w:t>
      </w:r>
      <w:r w:rsidR="00CF3A73" w:rsidRPr="00C84A6F">
        <w:rPr>
          <w:rFonts w:ascii="Verdana" w:hAnsi="Verdana"/>
          <w:lang w:val="es-ES_tradnl"/>
        </w:rPr>
        <w:t xml:space="preserve"> lo cual tiene, a mi entender, una trascendencia en la actualidad si considera</w:t>
      </w:r>
      <w:r w:rsidR="003F152D">
        <w:rPr>
          <w:rFonts w:ascii="Verdana" w:hAnsi="Verdana"/>
          <w:lang w:val="es-ES_tradnl"/>
        </w:rPr>
        <w:t>m</w:t>
      </w:r>
      <w:r w:rsidR="00CF3A73" w:rsidRPr="00C84A6F">
        <w:rPr>
          <w:rFonts w:ascii="Verdana" w:hAnsi="Verdana"/>
          <w:lang w:val="es-ES_tradnl"/>
        </w:rPr>
        <w:t xml:space="preserve">os una </w:t>
      </w:r>
      <w:r w:rsidR="000D382A">
        <w:rPr>
          <w:rFonts w:ascii="Verdana" w:hAnsi="Verdana"/>
          <w:lang w:val="es-ES_tradnl"/>
        </w:rPr>
        <w:t xml:space="preserve">firme </w:t>
      </w:r>
      <w:r w:rsidR="00AC4703" w:rsidRPr="00C84A6F">
        <w:rPr>
          <w:rFonts w:ascii="Verdana" w:hAnsi="Verdana"/>
          <w:lang w:val="es-ES_tradnl"/>
        </w:rPr>
        <w:t>continuación</w:t>
      </w:r>
      <w:r w:rsidR="00CF3A73" w:rsidRPr="00C84A6F">
        <w:rPr>
          <w:rFonts w:ascii="Verdana" w:hAnsi="Verdana"/>
          <w:lang w:val="es-ES_tradnl"/>
        </w:rPr>
        <w:t xml:space="preserve"> en la </w:t>
      </w:r>
      <w:r w:rsidR="00AC4703" w:rsidRPr="00C84A6F">
        <w:rPr>
          <w:rFonts w:ascii="Verdana" w:hAnsi="Verdana"/>
          <w:lang w:val="es-ES_tradnl"/>
        </w:rPr>
        <w:t>línea</w:t>
      </w:r>
      <w:r w:rsidR="00CF3A73" w:rsidRPr="00C84A6F">
        <w:rPr>
          <w:rFonts w:ascii="Verdana" w:hAnsi="Verdana"/>
          <w:lang w:val="es-ES_tradnl"/>
        </w:rPr>
        <w:t xml:space="preserve"> jurisprudencial que ha venido desarrollando desde entonces </w:t>
      </w:r>
      <w:r w:rsidR="00DF0691">
        <w:rPr>
          <w:rFonts w:ascii="Verdana" w:hAnsi="Verdana"/>
          <w:lang w:val="es-ES_tradnl"/>
        </w:rPr>
        <w:t>la Corte IDH</w:t>
      </w:r>
      <w:r w:rsidR="00CF3A73" w:rsidRPr="00C84A6F">
        <w:rPr>
          <w:rFonts w:ascii="Verdana" w:hAnsi="Verdana"/>
          <w:lang w:val="es-ES_tradnl"/>
        </w:rPr>
        <w:t xml:space="preserve"> sobre el debido proceso convencional; de tal manera que los derechos previstos en el artículo 8.2 de la Convención Americana</w:t>
      </w:r>
      <w:r w:rsidR="00520BB0">
        <w:rPr>
          <w:rFonts w:ascii="Verdana" w:hAnsi="Verdana"/>
          <w:lang w:val="es-ES_tradnl"/>
        </w:rPr>
        <w:t xml:space="preserve"> —</w:t>
      </w:r>
      <w:r w:rsidR="00CF3A73" w:rsidRPr="00C84A6F">
        <w:rPr>
          <w:rFonts w:ascii="Verdana" w:hAnsi="Verdana"/>
          <w:lang w:val="es-ES_tradnl"/>
        </w:rPr>
        <w:t xml:space="preserve">en principio dirigido a las </w:t>
      </w:r>
      <w:r w:rsidR="00AC4703" w:rsidRPr="00C84A6F">
        <w:rPr>
          <w:rFonts w:ascii="Verdana" w:hAnsi="Verdana"/>
          <w:lang w:val="es-ES_tradnl"/>
        </w:rPr>
        <w:t>garantías</w:t>
      </w:r>
      <w:r w:rsidR="00CF3A73" w:rsidRPr="00C84A6F">
        <w:rPr>
          <w:rFonts w:ascii="Verdana" w:hAnsi="Verdana"/>
          <w:lang w:val="es-ES_tradnl"/>
        </w:rPr>
        <w:t xml:space="preserve"> mínimas en el proceso penal</w:t>
      </w:r>
      <w:r w:rsidR="00520BB0">
        <w:rPr>
          <w:rFonts w:ascii="Verdana" w:hAnsi="Verdana"/>
          <w:lang w:val="es-ES_tradnl"/>
        </w:rPr>
        <w:t>—</w:t>
      </w:r>
      <w:r w:rsidR="00CF3A73" w:rsidRPr="00C84A6F">
        <w:rPr>
          <w:rFonts w:ascii="Verdana" w:hAnsi="Verdana"/>
          <w:lang w:val="es-ES_tradnl"/>
        </w:rPr>
        <w:t xml:space="preserve"> se extienden </w:t>
      </w:r>
      <w:r w:rsidR="00AC4703" w:rsidRPr="00C84A6F">
        <w:rPr>
          <w:rFonts w:ascii="Verdana" w:hAnsi="Verdana"/>
          <w:lang w:val="es-ES_tradnl"/>
        </w:rPr>
        <w:t>también</w:t>
      </w:r>
      <w:r w:rsidR="00CF3A73" w:rsidRPr="00C84A6F">
        <w:rPr>
          <w:rFonts w:ascii="Verdana" w:hAnsi="Verdana"/>
          <w:lang w:val="es-ES_tradnl"/>
        </w:rPr>
        <w:t xml:space="preserve"> a los órdenes civil, laboral, fiscal o de cualquier otro carácter; es decir, son aplicables a esos </w:t>
      </w:r>
      <w:r w:rsidR="00AC4703" w:rsidRPr="00C84A6F">
        <w:rPr>
          <w:rFonts w:ascii="Verdana" w:hAnsi="Verdana"/>
          <w:lang w:val="es-ES_tradnl"/>
        </w:rPr>
        <w:t>órdenes</w:t>
      </w:r>
      <w:r w:rsidR="00CF3A73" w:rsidRPr="00C84A6F">
        <w:rPr>
          <w:rFonts w:ascii="Verdana" w:hAnsi="Verdana"/>
          <w:lang w:val="es-ES_tradnl"/>
        </w:rPr>
        <w:t xml:space="preserve"> las </w:t>
      </w:r>
      <w:r w:rsidR="00AC4703" w:rsidRPr="00C84A6F">
        <w:rPr>
          <w:rFonts w:ascii="Verdana" w:hAnsi="Verdana"/>
          <w:lang w:val="es-ES_tradnl"/>
        </w:rPr>
        <w:t>garantías</w:t>
      </w:r>
      <w:r w:rsidR="00CF3A73" w:rsidRPr="00C84A6F">
        <w:rPr>
          <w:rFonts w:ascii="Verdana" w:hAnsi="Verdana"/>
          <w:lang w:val="es-ES_tradnl"/>
        </w:rPr>
        <w:t xml:space="preserve"> </w:t>
      </w:r>
      <w:r w:rsidR="00AC4703" w:rsidRPr="00C84A6F">
        <w:rPr>
          <w:rFonts w:ascii="Verdana" w:hAnsi="Verdana"/>
          <w:lang w:val="es-ES_tradnl"/>
        </w:rPr>
        <w:t>mínimas</w:t>
      </w:r>
      <w:r w:rsidR="00CF3A73" w:rsidRPr="00C84A6F">
        <w:rPr>
          <w:rFonts w:ascii="Verdana" w:hAnsi="Verdana"/>
          <w:lang w:val="es-ES_tradnl"/>
        </w:rPr>
        <w:t xml:space="preserve"> previstas en el </w:t>
      </w:r>
      <w:r w:rsidR="000D382A" w:rsidRPr="00C84A6F">
        <w:rPr>
          <w:rFonts w:ascii="Verdana" w:hAnsi="Verdana"/>
          <w:lang w:val="es-ES_tradnl"/>
        </w:rPr>
        <w:t>artículo</w:t>
      </w:r>
      <w:r w:rsidR="00CF3A73" w:rsidRPr="00C84A6F">
        <w:rPr>
          <w:rFonts w:ascii="Verdana" w:hAnsi="Verdana"/>
          <w:lang w:val="es-ES_tradnl"/>
        </w:rPr>
        <w:t xml:space="preserve"> 8.2 de la Convención </w:t>
      </w:r>
      <w:r w:rsidR="00AC4703" w:rsidRPr="00C84A6F">
        <w:rPr>
          <w:rFonts w:ascii="Verdana" w:hAnsi="Verdana"/>
          <w:lang w:val="es-ES_tradnl"/>
        </w:rPr>
        <w:t>Americana</w:t>
      </w:r>
      <w:r w:rsidR="00CF3A73" w:rsidRPr="00C84A6F">
        <w:rPr>
          <w:rFonts w:ascii="Verdana" w:hAnsi="Verdana"/>
          <w:lang w:val="es-ES_tradnl"/>
        </w:rPr>
        <w:t xml:space="preserve"> y, por ende, en ese tipo de materias tiene </w:t>
      </w:r>
      <w:r w:rsidR="00AC4703" w:rsidRPr="00C84A6F">
        <w:rPr>
          <w:rFonts w:ascii="Verdana" w:hAnsi="Verdana"/>
          <w:lang w:val="es-ES_tradnl"/>
        </w:rPr>
        <w:t>también</w:t>
      </w:r>
      <w:r w:rsidR="00CF3A73" w:rsidRPr="00C84A6F">
        <w:rPr>
          <w:rFonts w:ascii="Verdana" w:hAnsi="Verdana"/>
          <w:lang w:val="es-ES_tradnl"/>
        </w:rPr>
        <w:t xml:space="preserve"> derecho, “en general” al debido proceso que se aplica en </w:t>
      </w:r>
      <w:r w:rsidR="00F76866">
        <w:rPr>
          <w:rFonts w:ascii="Verdana" w:hAnsi="Verdana"/>
          <w:lang w:val="es-ES_tradnl"/>
        </w:rPr>
        <w:t>materia</w:t>
      </w:r>
      <w:r w:rsidR="00CF3A73" w:rsidRPr="00C84A6F">
        <w:rPr>
          <w:rFonts w:ascii="Verdana" w:hAnsi="Verdana"/>
          <w:lang w:val="es-ES_tradnl"/>
        </w:rPr>
        <w:t xml:space="preserve"> penal. Inclusive para reforzar esta postura, ha recurrido de manera complementaria a lo dispuesto en el caso </w:t>
      </w:r>
      <w:r w:rsidR="00CF3A73" w:rsidRPr="00C84A6F">
        <w:rPr>
          <w:rFonts w:ascii="Verdana" w:hAnsi="Verdana"/>
          <w:i/>
          <w:lang w:val="es-ES_tradnl"/>
        </w:rPr>
        <w:t>Baena Ricardo Vs. Panamá</w:t>
      </w:r>
      <w:r w:rsidR="00E70D9C">
        <w:rPr>
          <w:rFonts w:ascii="Verdana" w:hAnsi="Verdana"/>
          <w:lang w:val="es-ES_tradnl"/>
        </w:rPr>
        <w:t xml:space="preserve">, en el que se establece </w:t>
      </w:r>
      <w:r w:rsidR="00CF3A73" w:rsidRPr="00C84A6F">
        <w:rPr>
          <w:rFonts w:ascii="Verdana" w:hAnsi="Verdana"/>
          <w:lang w:val="es-ES_tradnl"/>
        </w:rPr>
        <w:t xml:space="preserve">que el elenco de </w:t>
      </w:r>
      <w:r w:rsidR="00AC4703" w:rsidRPr="00C84A6F">
        <w:rPr>
          <w:rFonts w:ascii="Verdana" w:hAnsi="Verdana"/>
          <w:lang w:val="es-ES_tradnl"/>
        </w:rPr>
        <w:t>garantías</w:t>
      </w:r>
      <w:r w:rsidR="00CF3A73" w:rsidRPr="00C84A6F">
        <w:rPr>
          <w:rFonts w:ascii="Verdana" w:hAnsi="Verdana"/>
          <w:lang w:val="es-ES_tradnl"/>
        </w:rPr>
        <w:t xml:space="preserve"> </w:t>
      </w:r>
      <w:r w:rsidR="00AC4703" w:rsidRPr="00C84A6F">
        <w:rPr>
          <w:rFonts w:ascii="Verdana" w:hAnsi="Verdana"/>
          <w:lang w:val="es-ES_tradnl"/>
        </w:rPr>
        <w:t>mínimas</w:t>
      </w:r>
      <w:r w:rsidR="00CF3A73" w:rsidRPr="00C84A6F">
        <w:rPr>
          <w:rFonts w:ascii="Verdana" w:hAnsi="Verdana"/>
          <w:lang w:val="es-ES_tradnl"/>
        </w:rPr>
        <w:t xml:space="preserve"> establecido en el numeral 2 del </w:t>
      </w:r>
      <w:r w:rsidR="00AC4703" w:rsidRPr="00C84A6F">
        <w:rPr>
          <w:rFonts w:ascii="Verdana" w:hAnsi="Verdana"/>
          <w:lang w:val="es-ES_tradnl"/>
        </w:rPr>
        <w:t>artículo</w:t>
      </w:r>
      <w:r w:rsidR="00CF3A73" w:rsidRPr="00C84A6F">
        <w:rPr>
          <w:rFonts w:ascii="Verdana" w:hAnsi="Verdana"/>
          <w:lang w:val="es-ES_tradnl"/>
        </w:rPr>
        <w:t xml:space="preserve"> 8 de la </w:t>
      </w:r>
      <w:r w:rsidR="00AC4703" w:rsidRPr="00C84A6F">
        <w:rPr>
          <w:rFonts w:ascii="Verdana" w:hAnsi="Verdana"/>
          <w:lang w:val="es-ES_tradnl"/>
        </w:rPr>
        <w:t>Convención</w:t>
      </w:r>
      <w:r w:rsidR="00CF3A73" w:rsidRPr="00C84A6F">
        <w:rPr>
          <w:rFonts w:ascii="Verdana" w:hAnsi="Verdana"/>
          <w:lang w:val="es-ES_tradnl"/>
        </w:rPr>
        <w:t xml:space="preserve"> </w:t>
      </w:r>
      <w:r w:rsidR="00DF019F">
        <w:rPr>
          <w:rFonts w:ascii="Verdana" w:hAnsi="Verdana"/>
          <w:lang w:val="es-ES_tradnl"/>
        </w:rPr>
        <w:t xml:space="preserve">Americana </w:t>
      </w:r>
      <w:r w:rsidR="00CF3A73" w:rsidRPr="00C84A6F">
        <w:rPr>
          <w:rFonts w:ascii="Verdana" w:hAnsi="Verdana"/>
          <w:lang w:val="es-ES_tradnl"/>
        </w:rPr>
        <w:t xml:space="preserve">se aplica a los </w:t>
      </w:r>
      <w:r w:rsidR="00AC4703" w:rsidRPr="00C84A6F">
        <w:rPr>
          <w:rFonts w:ascii="Verdana" w:hAnsi="Verdana"/>
          <w:lang w:val="es-ES_tradnl"/>
        </w:rPr>
        <w:t>órdenes</w:t>
      </w:r>
      <w:r w:rsidR="00CF3A73" w:rsidRPr="00C84A6F">
        <w:rPr>
          <w:rFonts w:ascii="Verdana" w:hAnsi="Verdana"/>
          <w:lang w:val="es-ES_tradnl"/>
        </w:rPr>
        <w:t xml:space="preserve"> mencionados en el numeral 1 del mismo </w:t>
      </w:r>
      <w:r w:rsidR="00AC4703" w:rsidRPr="00C84A6F">
        <w:rPr>
          <w:rFonts w:ascii="Verdana" w:hAnsi="Verdana"/>
          <w:lang w:val="es-ES_tradnl"/>
        </w:rPr>
        <w:t>artículo</w:t>
      </w:r>
      <w:r w:rsidR="00CF3A73" w:rsidRPr="00C84A6F">
        <w:rPr>
          <w:rFonts w:ascii="Verdana" w:hAnsi="Verdana"/>
          <w:lang w:val="es-ES_tradnl"/>
        </w:rPr>
        <w:t xml:space="preserve">, o sea, la </w:t>
      </w:r>
      <w:r w:rsidR="00AC4703" w:rsidRPr="00C84A6F">
        <w:rPr>
          <w:rFonts w:ascii="Verdana" w:hAnsi="Verdana"/>
          <w:lang w:val="es-ES_tradnl"/>
        </w:rPr>
        <w:t>determinación</w:t>
      </w:r>
      <w:r w:rsidR="00CF3A73" w:rsidRPr="00C84A6F">
        <w:rPr>
          <w:rFonts w:ascii="Verdana" w:hAnsi="Verdana"/>
          <w:lang w:val="es-ES_tradnl"/>
        </w:rPr>
        <w:t xml:space="preserve"> de derechos y obligaciones de orden civil, laboral, fiscal o de cualquier otro </w:t>
      </w:r>
      <w:r w:rsidR="00AC4703" w:rsidRPr="00C84A6F">
        <w:rPr>
          <w:rFonts w:ascii="Verdana" w:hAnsi="Verdana"/>
          <w:lang w:val="es-ES_tradnl"/>
        </w:rPr>
        <w:t>carácter</w:t>
      </w:r>
      <w:r w:rsidR="00CF3A73" w:rsidRPr="00C84A6F">
        <w:rPr>
          <w:rFonts w:ascii="Verdana" w:hAnsi="Verdana"/>
          <w:lang w:val="es-ES_tradnl"/>
        </w:rPr>
        <w:t xml:space="preserve">. Esto revela el </w:t>
      </w:r>
      <w:r w:rsidR="00CF3A73" w:rsidRPr="00332ECD">
        <w:rPr>
          <w:rFonts w:ascii="Verdana" w:hAnsi="Verdana"/>
          <w:i/>
          <w:lang w:val="es-ES_tradnl"/>
        </w:rPr>
        <w:t>amplio alcance del debido proceso</w:t>
      </w:r>
      <w:r w:rsidR="00CF3A73" w:rsidRPr="00C84A6F">
        <w:rPr>
          <w:rFonts w:ascii="Verdana" w:hAnsi="Verdana"/>
          <w:lang w:val="es-ES_tradnl"/>
        </w:rPr>
        <w:t xml:space="preserve">; el individuo tiene el derecho al debido proceso entendido en los </w:t>
      </w:r>
      <w:r w:rsidR="00AC4703" w:rsidRPr="00C84A6F">
        <w:rPr>
          <w:rFonts w:ascii="Verdana" w:hAnsi="Verdana"/>
          <w:lang w:val="es-ES_tradnl"/>
        </w:rPr>
        <w:t>términos</w:t>
      </w:r>
      <w:r w:rsidR="00CF3A73" w:rsidRPr="00C84A6F">
        <w:rPr>
          <w:rFonts w:ascii="Verdana" w:hAnsi="Verdana"/>
          <w:lang w:val="es-ES_tradnl"/>
        </w:rPr>
        <w:t xml:space="preserve"> del </w:t>
      </w:r>
      <w:r w:rsidR="00AC4703" w:rsidRPr="00C84A6F">
        <w:rPr>
          <w:rFonts w:ascii="Verdana" w:hAnsi="Verdana"/>
          <w:lang w:val="es-ES_tradnl"/>
        </w:rPr>
        <w:t>artículo</w:t>
      </w:r>
      <w:r w:rsidR="00CF3A73" w:rsidRPr="00C84A6F">
        <w:rPr>
          <w:rFonts w:ascii="Verdana" w:hAnsi="Verdana"/>
          <w:lang w:val="es-ES_tradnl"/>
        </w:rPr>
        <w:t xml:space="preserve"> 8.1 y 8.2, tanto en materia penal como en otros </w:t>
      </w:r>
      <w:r w:rsidR="00AC4703" w:rsidRPr="00C84A6F">
        <w:rPr>
          <w:rFonts w:ascii="Verdana" w:hAnsi="Verdana"/>
          <w:lang w:val="es-ES_tradnl"/>
        </w:rPr>
        <w:t>órdenes</w:t>
      </w:r>
      <w:r w:rsidR="00315187">
        <w:rPr>
          <w:rFonts w:ascii="Verdana" w:hAnsi="Verdana"/>
          <w:lang w:val="es-ES_tradnl"/>
        </w:rPr>
        <w:t>, en todo procedimiento jurídico en el que se determinen sus derechos y sus obligaciones de cualquier índole</w:t>
      </w:r>
      <w:r w:rsidR="00914A14" w:rsidRPr="00C84A6F">
        <w:rPr>
          <w:rStyle w:val="FootnoteReference"/>
          <w:rFonts w:ascii="Verdana" w:hAnsi="Verdana"/>
          <w:lang w:val="es-ES_tradnl"/>
        </w:rPr>
        <w:footnoteReference w:id="67"/>
      </w:r>
      <w:r w:rsidR="00CF3A73" w:rsidRPr="00C84A6F">
        <w:rPr>
          <w:rFonts w:ascii="Verdana" w:hAnsi="Verdana"/>
          <w:lang w:val="es-ES_tradnl"/>
        </w:rPr>
        <w:t>.</w:t>
      </w:r>
    </w:p>
    <w:p w14:paraId="44F6C76F" w14:textId="77777777" w:rsidR="00385C66" w:rsidRDefault="00385C66" w:rsidP="000E6EDD">
      <w:pPr>
        <w:pStyle w:val="NormalWeb"/>
        <w:spacing w:before="0" w:beforeAutospacing="0" w:after="0" w:afterAutospacing="0"/>
        <w:jc w:val="both"/>
        <w:rPr>
          <w:rFonts w:ascii="Verdana" w:hAnsi="Verdana"/>
          <w:lang w:val="es-ES_tradnl"/>
        </w:rPr>
      </w:pPr>
    </w:p>
    <w:p w14:paraId="2F989A8A" w14:textId="7CB2AA0D" w:rsidR="0062434D" w:rsidRPr="00FD2112"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34</w:t>
      </w:r>
      <w:r w:rsidR="00385C66" w:rsidRPr="00FD2112">
        <w:rPr>
          <w:rFonts w:ascii="Verdana" w:hAnsi="Verdana"/>
          <w:lang w:val="es-ES_tradnl"/>
        </w:rPr>
        <w:t>.</w:t>
      </w:r>
      <w:r w:rsidR="00385C66" w:rsidRPr="00FD2112">
        <w:rPr>
          <w:rFonts w:ascii="Verdana" w:hAnsi="Verdana"/>
          <w:lang w:val="es-ES_tradnl"/>
        </w:rPr>
        <w:tab/>
      </w:r>
      <w:r w:rsidR="002A0927" w:rsidRPr="00FD2112">
        <w:rPr>
          <w:rFonts w:ascii="Verdana" w:hAnsi="Verdana"/>
          <w:lang w:val="es-ES_tradnl"/>
        </w:rPr>
        <w:t xml:space="preserve">En este sentido, considero acertado lo que la Corte IDH expresa en los párrafos 74 y 75 de la presente Sentencia. En efecto, </w:t>
      </w:r>
      <w:r w:rsidR="00432075" w:rsidRPr="00FD2112">
        <w:rPr>
          <w:rFonts w:ascii="Verdana" w:hAnsi="Verdana"/>
          <w:lang w:val="es-ES_tradnl"/>
        </w:rPr>
        <w:t>del recuento jurisprudencial efectuado en párrafos anteriores, como indican las indicadas secciones de la resolución que nos ocupa, se desprende que es una posición firme de este Tribunal Interamericano reconocer que las garantías mínimas del debido proceso en materia penal que prevé el artículo 8.2 de la Convención</w:t>
      </w:r>
      <w:r w:rsidR="00DF019F">
        <w:rPr>
          <w:rFonts w:ascii="Verdana" w:hAnsi="Verdana"/>
          <w:lang w:val="es-ES_tradnl"/>
        </w:rPr>
        <w:t xml:space="preserve"> Americana</w:t>
      </w:r>
      <w:r w:rsidR="00432075" w:rsidRPr="00FD2112">
        <w:rPr>
          <w:rFonts w:ascii="Verdana" w:hAnsi="Verdana"/>
          <w:lang w:val="es-ES_tradnl"/>
        </w:rPr>
        <w:t xml:space="preserve">, </w:t>
      </w:r>
      <w:r w:rsidR="00432075" w:rsidRPr="00E70D9C">
        <w:rPr>
          <w:rFonts w:ascii="Verdana" w:hAnsi="Verdana"/>
          <w:u w:val="single"/>
          <w:lang w:val="es-ES_tradnl"/>
        </w:rPr>
        <w:t xml:space="preserve">no se hallan restringidas a éste sino que </w:t>
      </w:r>
      <w:r w:rsidR="00432075" w:rsidRPr="00E70D9C">
        <w:rPr>
          <w:rFonts w:ascii="Verdana" w:hAnsi="Verdana"/>
          <w:i/>
          <w:u w:val="single"/>
          <w:lang w:val="es-ES_tradnl"/>
        </w:rPr>
        <w:t>“en general” también son aplicables a otros procedimientos de naturaleza sancionadora de diversos órdenes</w:t>
      </w:r>
      <w:r w:rsidR="00432075" w:rsidRPr="00E70D9C">
        <w:rPr>
          <w:rFonts w:ascii="Verdana" w:hAnsi="Verdana"/>
          <w:u w:val="single"/>
          <w:lang w:val="es-ES_tradnl"/>
        </w:rPr>
        <w:t xml:space="preserve">, en particular el </w:t>
      </w:r>
      <w:r w:rsidR="00432075" w:rsidRPr="00E70D9C">
        <w:rPr>
          <w:rFonts w:ascii="Verdana" w:hAnsi="Verdana"/>
          <w:i/>
          <w:u w:val="single"/>
          <w:lang w:val="es-ES_tradnl"/>
        </w:rPr>
        <w:t>administrativo</w:t>
      </w:r>
      <w:r w:rsidR="00432075" w:rsidRPr="00E70D9C">
        <w:rPr>
          <w:rFonts w:ascii="Verdana" w:hAnsi="Verdana"/>
          <w:u w:val="single"/>
          <w:lang w:val="es-ES_tradnl"/>
        </w:rPr>
        <w:t xml:space="preserve"> sobre el que versa este caso. Es muy claro que las garantías que dicho artículo prevé, no son exclusivas de los procedimientos penales, sino que </w:t>
      </w:r>
      <w:r w:rsidR="00BB79B3" w:rsidRPr="00E70D9C">
        <w:rPr>
          <w:rFonts w:ascii="Verdana" w:hAnsi="Verdana"/>
          <w:u w:val="single"/>
          <w:lang w:val="es-ES_tradnl"/>
        </w:rPr>
        <w:t xml:space="preserve">su sentido puede llevarse </w:t>
      </w:r>
      <w:r w:rsidR="0062434D" w:rsidRPr="00E70D9C">
        <w:rPr>
          <w:rFonts w:ascii="Verdana" w:hAnsi="Verdana"/>
          <w:u w:val="single"/>
          <w:lang w:val="es-ES_tradnl"/>
        </w:rPr>
        <w:t xml:space="preserve">de modo “pertinente” </w:t>
      </w:r>
      <w:r w:rsidR="00432075" w:rsidRPr="00E70D9C">
        <w:rPr>
          <w:rFonts w:ascii="Verdana" w:hAnsi="Verdana"/>
          <w:u w:val="single"/>
          <w:lang w:val="es-ES_tradnl"/>
        </w:rPr>
        <w:t>a los de otra clase</w:t>
      </w:r>
      <w:r w:rsidR="0062434D" w:rsidRPr="00E70D9C">
        <w:rPr>
          <w:rFonts w:ascii="Verdana" w:hAnsi="Verdana"/>
          <w:u w:val="single"/>
          <w:lang w:val="es-ES_tradnl"/>
        </w:rPr>
        <w:t xml:space="preserve"> sancionatoria</w:t>
      </w:r>
      <w:r w:rsidR="0062434D" w:rsidRPr="00FD2112">
        <w:rPr>
          <w:rFonts w:ascii="Verdana" w:hAnsi="Verdana"/>
          <w:lang w:val="es-ES_tradnl"/>
        </w:rPr>
        <w:t>.</w:t>
      </w:r>
    </w:p>
    <w:p w14:paraId="37CCED1B" w14:textId="77777777" w:rsidR="0062434D" w:rsidRPr="00FD2112" w:rsidRDefault="0062434D" w:rsidP="000E6EDD">
      <w:pPr>
        <w:pStyle w:val="NormalWeb"/>
        <w:spacing w:before="0" w:beforeAutospacing="0" w:after="0" w:afterAutospacing="0"/>
        <w:jc w:val="both"/>
        <w:rPr>
          <w:rFonts w:ascii="Verdana" w:hAnsi="Verdana"/>
          <w:highlight w:val="yellow"/>
          <w:lang w:val="es-ES_tradnl"/>
        </w:rPr>
      </w:pPr>
    </w:p>
    <w:p w14:paraId="3C412612" w14:textId="3B79301F" w:rsidR="002A0927" w:rsidRPr="00FD2112"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35</w:t>
      </w:r>
      <w:r w:rsidR="0062434D" w:rsidRPr="00FD2112">
        <w:rPr>
          <w:rFonts w:ascii="Verdana" w:hAnsi="Verdana"/>
          <w:lang w:val="es-ES_tradnl"/>
        </w:rPr>
        <w:t>.</w:t>
      </w:r>
      <w:r w:rsidR="0062434D" w:rsidRPr="00FD2112">
        <w:rPr>
          <w:rFonts w:ascii="Verdana" w:hAnsi="Verdana"/>
          <w:lang w:val="es-ES_tradnl"/>
        </w:rPr>
        <w:tab/>
        <w:t xml:space="preserve">Ahora bien, la cuestión que en este punto surge es si el traslado de las garantías de naturaleza penal que contiene el artículo 8.2 de la Convención </w:t>
      </w:r>
      <w:r w:rsidR="00DF019F">
        <w:rPr>
          <w:rFonts w:ascii="Verdana" w:hAnsi="Verdana"/>
          <w:lang w:val="es-ES_tradnl"/>
        </w:rPr>
        <w:t xml:space="preserve">Americana </w:t>
      </w:r>
      <w:r w:rsidR="0062434D" w:rsidRPr="00FD2112">
        <w:rPr>
          <w:rFonts w:ascii="Verdana" w:hAnsi="Verdana"/>
          <w:lang w:val="es-ES_tradnl"/>
        </w:rPr>
        <w:t xml:space="preserve">es </w:t>
      </w:r>
      <w:r w:rsidR="0062434D" w:rsidRPr="00FD2112">
        <w:rPr>
          <w:rFonts w:ascii="Verdana" w:hAnsi="Verdana"/>
          <w:i/>
          <w:lang w:val="es-ES_tradnl"/>
        </w:rPr>
        <w:t>imperativo</w:t>
      </w:r>
      <w:r w:rsidR="0062434D" w:rsidRPr="00FD2112">
        <w:rPr>
          <w:rFonts w:ascii="Verdana" w:hAnsi="Verdana"/>
          <w:lang w:val="es-ES_tradnl"/>
        </w:rPr>
        <w:t xml:space="preserve"> —aunque sea con adaptaciones “pertinentes”—, o meramente </w:t>
      </w:r>
      <w:r w:rsidR="0062434D" w:rsidRPr="00FD2112">
        <w:rPr>
          <w:rFonts w:ascii="Verdana" w:hAnsi="Verdana"/>
          <w:i/>
          <w:lang w:val="es-ES_tradnl"/>
        </w:rPr>
        <w:t>facultativo</w:t>
      </w:r>
      <w:r w:rsidR="0062434D" w:rsidRPr="00FD2112">
        <w:rPr>
          <w:rFonts w:ascii="Verdana" w:hAnsi="Verdana"/>
          <w:lang w:val="es-ES_tradnl"/>
        </w:rPr>
        <w:t xml:space="preserve"> como el énfasis que se diera a este último adjetivo haría pensar. Este problema no es meramente especulativo, pues el sentido </w:t>
      </w:r>
      <w:r w:rsidR="00A83A36">
        <w:rPr>
          <w:rFonts w:ascii="Verdana" w:hAnsi="Verdana"/>
          <w:lang w:val="es-ES_tradnl"/>
        </w:rPr>
        <w:t>en</w:t>
      </w:r>
      <w:r w:rsidR="0062434D" w:rsidRPr="00FD2112">
        <w:rPr>
          <w:rFonts w:ascii="Verdana" w:hAnsi="Verdana"/>
          <w:lang w:val="es-ES_tradnl"/>
        </w:rPr>
        <w:t xml:space="preserve"> que lo respondamos llevará a fortalecer o debilitar el régimen de garantías en procedimientos sancionadores. </w:t>
      </w:r>
    </w:p>
    <w:p w14:paraId="68C2B207" w14:textId="77777777" w:rsidR="00BB79B3" w:rsidRPr="00FD2112" w:rsidRDefault="00BB79B3" w:rsidP="000E6EDD">
      <w:pPr>
        <w:pStyle w:val="NormalWeb"/>
        <w:spacing w:before="0" w:beforeAutospacing="0" w:after="0" w:afterAutospacing="0"/>
        <w:jc w:val="both"/>
        <w:rPr>
          <w:rFonts w:ascii="Verdana" w:hAnsi="Verdana"/>
          <w:highlight w:val="yellow"/>
          <w:lang w:val="es-ES_tradnl"/>
        </w:rPr>
      </w:pPr>
    </w:p>
    <w:p w14:paraId="7344CB4B" w14:textId="2649DA9A" w:rsidR="000B6820" w:rsidRDefault="00B174B6" w:rsidP="00A24C2B">
      <w:pPr>
        <w:pStyle w:val="NormalWeb"/>
        <w:spacing w:before="0" w:beforeAutospacing="0" w:after="0" w:afterAutospacing="0"/>
        <w:jc w:val="both"/>
        <w:rPr>
          <w:rFonts w:ascii="Verdana" w:hAnsi="Verdana"/>
          <w:lang w:val="es-ES_tradnl"/>
        </w:rPr>
      </w:pPr>
      <w:r>
        <w:rPr>
          <w:rFonts w:ascii="Verdana" w:hAnsi="Verdana"/>
          <w:lang w:val="es-ES_tradnl"/>
        </w:rPr>
        <w:t>36</w:t>
      </w:r>
      <w:r w:rsidR="00BB79B3" w:rsidRPr="00FD2112">
        <w:rPr>
          <w:rFonts w:ascii="Verdana" w:hAnsi="Verdana"/>
          <w:lang w:val="es-ES_tradnl"/>
        </w:rPr>
        <w:t>.</w:t>
      </w:r>
      <w:r w:rsidR="00BB79B3" w:rsidRPr="00FD2112">
        <w:rPr>
          <w:rFonts w:ascii="Verdana" w:hAnsi="Verdana"/>
          <w:lang w:val="es-ES_tradnl"/>
        </w:rPr>
        <w:tab/>
        <w:t xml:space="preserve">Antes de continuar, debo aclarar que </w:t>
      </w:r>
      <w:r w:rsidR="00A83A36">
        <w:rPr>
          <w:rFonts w:ascii="Verdana" w:hAnsi="Verdana"/>
          <w:lang w:val="es-ES_tradnl"/>
        </w:rPr>
        <w:t>refiriéndome a</w:t>
      </w:r>
      <w:r w:rsidR="00BB79B3" w:rsidRPr="00FD2112">
        <w:rPr>
          <w:rFonts w:ascii="Verdana" w:hAnsi="Verdana"/>
          <w:lang w:val="es-ES_tradnl"/>
        </w:rPr>
        <w:t xml:space="preserve"> “trasladar”, “transportar”</w:t>
      </w:r>
      <w:r w:rsidR="00016DAD" w:rsidRPr="00FD2112">
        <w:rPr>
          <w:rFonts w:ascii="Verdana" w:hAnsi="Verdana"/>
          <w:lang w:val="es-ES_tradnl"/>
        </w:rPr>
        <w:t xml:space="preserve"> o </w:t>
      </w:r>
      <w:r w:rsidR="00BB79B3" w:rsidRPr="00FD2112">
        <w:rPr>
          <w:rFonts w:ascii="Verdana" w:hAnsi="Verdana"/>
          <w:lang w:val="es-ES_tradnl"/>
        </w:rPr>
        <w:t xml:space="preserve"> “llevar” </w:t>
      </w:r>
      <w:r w:rsidR="00016DAD" w:rsidRPr="00FD2112">
        <w:rPr>
          <w:rFonts w:ascii="Verdana" w:hAnsi="Verdana"/>
          <w:lang w:val="es-ES_tradnl"/>
        </w:rPr>
        <w:t xml:space="preserve">las garantías mínimas de orden penal que prevé la Convención </w:t>
      </w:r>
      <w:r w:rsidR="00DF019F">
        <w:rPr>
          <w:rFonts w:ascii="Verdana" w:hAnsi="Verdana"/>
          <w:lang w:val="es-ES_tradnl"/>
        </w:rPr>
        <w:t xml:space="preserve">Americana </w:t>
      </w:r>
      <w:r w:rsidR="00016DAD" w:rsidRPr="00FD2112">
        <w:rPr>
          <w:rFonts w:ascii="Verdana" w:hAnsi="Verdana"/>
          <w:lang w:val="es-ES_tradnl"/>
        </w:rPr>
        <w:t>a un diverso sector normativo san</w:t>
      </w:r>
      <w:r w:rsidR="00E70D9C">
        <w:rPr>
          <w:rFonts w:ascii="Verdana" w:hAnsi="Verdana"/>
          <w:lang w:val="es-ES_tradnl"/>
        </w:rPr>
        <w:t xml:space="preserve">cionador; estoy usando </w:t>
      </w:r>
      <w:r w:rsidR="00016DAD" w:rsidRPr="00FD2112">
        <w:rPr>
          <w:rFonts w:ascii="Verdana" w:hAnsi="Verdana"/>
          <w:lang w:val="es-ES_tradnl"/>
        </w:rPr>
        <w:t xml:space="preserve">por facilidad expresiones </w:t>
      </w:r>
      <w:r w:rsidR="00016DAD" w:rsidRPr="00FD2112">
        <w:rPr>
          <w:rFonts w:ascii="Verdana" w:hAnsi="Verdana"/>
          <w:lang w:val="es-ES_tradnl"/>
        </w:rPr>
        <w:lastRenderedPageBreak/>
        <w:t>habitualmente asociadas a esta operación, pero no indicando que con ella necesariamente acaecen las acciones a que aluden estos términos. Como veremos líneas abajo, la cuestión es sutil y tiene connotaciones teóricas importantes y trascendentes a la práctica.</w:t>
      </w:r>
      <w:r w:rsidR="00016DAD">
        <w:rPr>
          <w:rFonts w:ascii="Verdana" w:hAnsi="Verdana"/>
          <w:lang w:val="es-ES_tradnl"/>
        </w:rPr>
        <w:t xml:space="preserve"> </w:t>
      </w:r>
    </w:p>
    <w:p w14:paraId="7A53FDD7" w14:textId="77777777" w:rsidR="00A83A36" w:rsidRDefault="00A83A36" w:rsidP="00A24C2B">
      <w:pPr>
        <w:pStyle w:val="NormalWeb"/>
        <w:spacing w:before="0" w:beforeAutospacing="0" w:after="0" w:afterAutospacing="0"/>
        <w:jc w:val="both"/>
        <w:rPr>
          <w:rFonts w:ascii="Verdana" w:hAnsi="Verdana"/>
          <w:lang w:val="es-ES_tradnl"/>
        </w:rPr>
      </w:pPr>
    </w:p>
    <w:p w14:paraId="678BC2CA" w14:textId="77777777" w:rsidR="00724EEC" w:rsidRPr="00A24C2B" w:rsidRDefault="00724EEC" w:rsidP="00A24C2B">
      <w:pPr>
        <w:pStyle w:val="NormalWeb"/>
        <w:spacing w:before="0" w:beforeAutospacing="0" w:after="0" w:afterAutospacing="0"/>
        <w:jc w:val="both"/>
        <w:rPr>
          <w:rFonts w:ascii="Verdana" w:hAnsi="Verdana"/>
          <w:lang w:val="es-ES_tradnl"/>
        </w:rPr>
      </w:pPr>
    </w:p>
    <w:p w14:paraId="7C78EE4F" w14:textId="00387F0E" w:rsidR="000A3110" w:rsidRDefault="00800F6F" w:rsidP="00A24C2B">
      <w:pPr>
        <w:pStyle w:val="Heading2"/>
        <w:numPr>
          <w:ilvl w:val="0"/>
          <w:numId w:val="0"/>
        </w:numPr>
        <w:spacing w:before="0" w:after="0"/>
      </w:pPr>
      <w:r>
        <w:t xml:space="preserve">B. </w:t>
      </w:r>
      <w:r w:rsidR="00AB09E6">
        <w:t>Alcance</w:t>
      </w:r>
      <w:r w:rsidR="00AB09E6" w:rsidRPr="009373A7">
        <w:t xml:space="preserve"> de las expresiones “en general” y “en lo pertinente”</w:t>
      </w:r>
      <w:r w:rsidR="00BB79B3">
        <w:t xml:space="preserve"> en la</w:t>
      </w:r>
      <w:r w:rsidR="00AB09E6" w:rsidRPr="009373A7">
        <w:t xml:space="preserve"> aplicación </w:t>
      </w:r>
      <w:r w:rsidR="00AB09E6">
        <w:t xml:space="preserve">extensiva </w:t>
      </w:r>
      <w:r w:rsidR="00AB09E6" w:rsidRPr="009373A7">
        <w:t xml:space="preserve">de las garantías </w:t>
      </w:r>
      <w:r w:rsidR="00BB79B3">
        <w:t>mínimas</w:t>
      </w:r>
      <w:r w:rsidR="00AB09E6" w:rsidRPr="009373A7">
        <w:t xml:space="preserve"> </w:t>
      </w:r>
      <w:r w:rsidR="00AB09E6">
        <w:t>d</w:t>
      </w:r>
      <w:r w:rsidR="00AB09E6" w:rsidRPr="009373A7">
        <w:t>el artículo 8</w:t>
      </w:r>
      <w:r w:rsidR="00AB09E6">
        <w:t xml:space="preserve">.2 </w:t>
      </w:r>
      <w:r w:rsidR="00AB09E6" w:rsidRPr="009373A7">
        <w:t xml:space="preserve">de la </w:t>
      </w:r>
      <w:r w:rsidR="00AB09E6">
        <w:t>Convención Americana sobre Derechos Humanos</w:t>
      </w:r>
    </w:p>
    <w:p w14:paraId="34E0A468" w14:textId="77777777" w:rsidR="00AB09E6" w:rsidRPr="00AB09E6" w:rsidRDefault="00AB09E6" w:rsidP="00A24C2B">
      <w:pPr>
        <w:rPr>
          <w:highlight w:val="yellow"/>
          <w:lang w:eastAsia="en-US"/>
        </w:rPr>
      </w:pPr>
    </w:p>
    <w:p w14:paraId="0C326A1E" w14:textId="29A731D4" w:rsidR="00AB09E6" w:rsidRPr="00A24C2B" w:rsidRDefault="00AB09E6" w:rsidP="00A24C2B">
      <w:pPr>
        <w:ind w:left="709"/>
        <w:jc w:val="both"/>
        <w:outlineLvl w:val="2"/>
        <w:rPr>
          <w:rFonts w:ascii="Verdana" w:eastAsia="Batang" w:hAnsi="Verdana" w:cs="Times"/>
          <w:i/>
          <w:noProof/>
          <w:sz w:val="20"/>
          <w:lang w:eastAsia="en-US"/>
        </w:rPr>
      </w:pPr>
      <w:r w:rsidRPr="00A24C2B">
        <w:rPr>
          <w:rFonts w:ascii="Verdana" w:eastAsia="Batang" w:hAnsi="Verdana" w:cs="Times"/>
          <w:i/>
          <w:noProof/>
          <w:sz w:val="20"/>
          <w:lang w:eastAsia="en-US"/>
        </w:rPr>
        <w:tab/>
      </w:r>
      <w:r w:rsidR="00D276A1">
        <w:rPr>
          <w:rFonts w:ascii="Verdana" w:eastAsia="Batang" w:hAnsi="Verdana" w:cs="Times"/>
          <w:i/>
          <w:noProof/>
          <w:sz w:val="20"/>
          <w:lang w:eastAsia="en-US"/>
        </w:rPr>
        <w:t xml:space="preserve">i) </w:t>
      </w:r>
      <w:r w:rsidRPr="00A24C2B">
        <w:rPr>
          <w:rFonts w:ascii="Verdana" w:eastAsia="Batang" w:hAnsi="Verdana" w:cs="Times"/>
          <w:i/>
          <w:noProof/>
          <w:sz w:val="20"/>
          <w:lang w:eastAsia="en-US"/>
        </w:rPr>
        <w:t xml:space="preserve"> </w:t>
      </w:r>
      <w:r w:rsidR="0046200A" w:rsidRPr="00A24C2B">
        <w:rPr>
          <w:rFonts w:ascii="Verdana" w:eastAsia="Batang" w:hAnsi="Verdana" w:cs="Times"/>
          <w:i/>
          <w:noProof/>
          <w:sz w:val="20"/>
          <w:lang w:eastAsia="en-US"/>
        </w:rPr>
        <w:t xml:space="preserve">Necesidad de lineamientos generales que rijan específicamente la aplicación de las garantías penales en otros </w:t>
      </w:r>
      <w:r w:rsidR="00C307F0" w:rsidRPr="00A24C2B">
        <w:rPr>
          <w:rFonts w:ascii="Verdana" w:eastAsia="Batang" w:hAnsi="Verdana" w:cs="Times"/>
          <w:i/>
          <w:noProof/>
          <w:sz w:val="20"/>
          <w:lang w:eastAsia="en-US"/>
        </w:rPr>
        <w:t>ámbitos sancionadores</w:t>
      </w:r>
      <w:r w:rsidRPr="00A24C2B">
        <w:rPr>
          <w:rFonts w:ascii="Verdana" w:eastAsia="Batang" w:hAnsi="Verdana" w:cs="Times"/>
          <w:i/>
          <w:noProof/>
          <w:sz w:val="20"/>
          <w:lang w:eastAsia="en-US"/>
        </w:rPr>
        <w:t xml:space="preserve"> </w:t>
      </w:r>
    </w:p>
    <w:p w14:paraId="74530E6C" w14:textId="4A5FC1BE" w:rsidR="00B37BE8" w:rsidRDefault="00B37BE8" w:rsidP="000E6EDD">
      <w:pPr>
        <w:pStyle w:val="NormalWeb"/>
        <w:spacing w:before="0" w:beforeAutospacing="0" w:after="0" w:afterAutospacing="0"/>
        <w:jc w:val="both"/>
        <w:rPr>
          <w:rFonts w:ascii="Verdana" w:hAnsi="Verdana"/>
          <w:lang w:val="es-ES_tradnl"/>
        </w:rPr>
      </w:pPr>
    </w:p>
    <w:p w14:paraId="6E95C84C" w14:textId="6FA2FADC" w:rsidR="00DC0D32"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37</w:t>
      </w:r>
      <w:r w:rsidR="00A57D5A">
        <w:rPr>
          <w:rFonts w:ascii="Verdana" w:hAnsi="Verdana"/>
          <w:lang w:val="es-ES_tradnl"/>
        </w:rPr>
        <w:t xml:space="preserve">. </w:t>
      </w:r>
      <w:r w:rsidR="00A57D5A">
        <w:rPr>
          <w:rFonts w:ascii="Verdana" w:hAnsi="Verdana"/>
          <w:lang w:val="es-ES_tradnl"/>
        </w:rPr>
        <w:tab/>
      </w:r>
      <w:r w:rsidR="002A0927">
        <w:rPr>
          <w:rFonts w:ascii="Verdana" w:hAnsi="Verdana"/>
          <w:lang w:val="es-ES_tradnl"/>
        </w:rPr>
        <w:t>L</w:t>
      </w:r>
      <w:r w:rsidR="00DC0D32" w:rsidRPr="00DC0D32">
        <w:rPr>
          <w:rFonts w:ascii="Verdana" w:hAnsi="Verdana"/>
          <w:lang w:val="es-ES_tradnl"/>
        </w:rPr>
        <w:t xml:space="preserve">a expresión </w:t>
      </w:r>
      <w:r w:rsidR="00DC0D32" w:rsidRPr="00DC0D32">
        <w:rPr>
          <w:rFonts w:ascii="Verdana" w:hAnsi="Verdana"/>
          <w:i/>
          <w:lang w:val="es-ES_tradnl"/>
        </w:rPr>
        <w:t>“en general”</w:t>
      </w:r>
      <w:r w:rsidR="00DC0D32" w:rsidRPr="00DC0D32">
        <w:rPr>
          <w:rFonts w:ascii="Verdana" w:hAnsi="Verdana"/>
          <w:lang w:val="es-ES_tradnl"/>
        </w:rPr>
        <w:t xml:space="preserve"> </w:t>
      </w:r>
      <w:r w:rsidR="00AB09E6">
        <w:rPr>
          <w:rFonts w:ascii="Verdana" w:hAnsi="Verdana"/>
          <w:lang w:val="es-ES_tradnl"/>
        </w:rPr>
        <w:t>que usa</w:t>
      </w:r>
      <w:r w:rsidR="00DC0D32" w:rsidRPr="00DC0D32">
        <w:rPr>
          <w:rFonts w:ascii="Verdana" w:hAnsi="Verdana"/>
          <w:lang w:val="es-ES_tradnl"/>
        </w:rPr>
        <w:t xml:space="preserve"> la Corte IDH en su jurisprudencia sobre procedimientos no penales —</w:t>
      </w:r>
      <w:r w:rsidR="00AB09E6">
        <w:rPr>
          <w:rFonts w:ascii="Verdana" w:hAnsi="Verdana"/>
          <w:lang w:val="es-ES_tradnl"/>
        </w:rPr>
        <w:t>aplicada</w:t>
      </w:r>
      <w:r w:rsidR="00DC0D32" w:rsidRPr="00DC0D32">
        <w:rPr>
          <w:rFonts w:ascii="Verdana" w:hAnsi="Verdana"/>
          <w:lang w:val="es-ES_tradnl"/>
        </w:rPr>
        <w:t xml:space="preserve"> también en la Sentencia del presente caso</w:t>
      </w:r>
      <w:r w:rsidR="00DC0D32" w:rsidRPr="00DC0D32">
        <w:rPr>
          <w:rFonts w:ascii="Verdana" w:hAnsi="Verdana"/>
          <w:vertAlign w:val="superscript"/>
          <w:lang w:val="es-ES_tradnl"/>
        </w:rPr>
        <w:footnoteReference w:id="68"/>
      </w:r>
      <w:r w:rsidR="00DC0D32" w:rsidRPr="00DC0D32">
        <w:rPr>
          <w:rFonts w:ascii="Verdana" w:hAnsi="Verdana"/>
          <w:lang w:val="es-ES_tradnl"/>
        </w:rPr>
        <w:t xml:space="preserve">— debe entenderse en el sentido de </w:t>
      </w:r>
      <w:r w:rsidR="00044F34">
        <w:rPr>
          <w:rFonts w:ascii="Verdana" w:hAnsi="Verdana"/>
          <w:lang w:val="es-ES_tradnl"/>
        </w:rPr>
        <w:t xml:space="preserve">que </w:t>
      </w:r>
      <w:r w:rsidR="00044F34" w:rsidRPr="005E5804">
        <w:rPr>
          <w:rFonts w:ascii="Verdana" w:hAnsi="Verdana"/>
          <w:i/>
          <w:lang w:val="es-ES_tradnl"/>
        </w:rPr>
        <w:t>en principio</w:t>
      </w:r>
      <w:r w:rsidR="00044F34">
        <w:rPr>
          <w:rFonts w:ascii="Verdana" w:hAnsi="Verdana"/>
          <w:lang w:val="es-ES_tradnl"/>
        </w:rPr>
        <w:t xml:space="preserve"> deben </w:t>
      </w:r>
      <w:r w:rsidR="003C47FC">
        <w:rPr>
          <w:rFonts w:ascii="Verdana" w:hAnsi="Verdana"/>
          <w:lang w:val="es-ES_tradnl"/>
        </w:rPr>
        <w:t>ser</w:t>
      </w:r>
      <w:r w:rsidR="00044F34">
        <w:rPr>
          <w:rFonts w:ascii="Verdana" w:hAnsi="Verdana"/>
          <w:lang w:val="es-ES_tradnl"/>
        </w:rPr>
        <w:t xml:space="preserve"> aplicables,</w:t>
      </w:r>
      <w:r w:rsidR="00044F34" w:rsidRPr="00DC0D32">
        <w:rPr>
          <w:rFonts w:ascii="Verdana" w:hAnsi="Verdana"/>
          <w:lang w:val="es-ES_tradnl"/>
        </w:rPr>
        <w:t xml:space="preserve"> </w:t>
      </w:r>
      <w:r w:rsidR="00BB79B3">
        <w:rPr>
          <w:rFonts w:ascii="Verdana" w:hAnsi="Verdana"/>
          <w:lang w:val="es-ES_tradnl"/>
        </w:rPr>
        <w:t>a</w:t>
      </w:r>
      <w:r w:rsidR="00044F34">
        <w:rPr>
          <w:rFonts w:ascii="Verdana" w:hAnsi="Verdana"/>
          <w:lang w:val="es-ES_tradnl"/>
        </w:rPr>
        <w:t xml:space="preserve"> cualquier procedimiento de naturaleza sancionatoria, </w:t>
      </w:r>
      <w:r w:rsidR="00DC0D32" w:rsidRPr="00AB09E6">
        <w:rPr>
          <w:rFonts w:ascii="Verdana" w:hAnsi="Verdana"/>
          <w:i/>
          <w:lang w:val="es-ES_tradnl"/>
        </w:rPr>
        <w:t xml:space="preserve">todas las </w:t>
      </w:r>
      <w:r w:rsidR="00DC0D32" w:rsidRPr="00044F34">
        <w:rPr>
          <w:rFonts w:ascii="Verdana" w:hAnsi="Verdana"/>
          <w:i/>
          <w:lang w:val="es-ES_tradnl"/>
        </w:rPr>
        <w:t>garantías</w:t>
      </w:r>
      <w:r w:rsidR="00DC0D32" w:rsidRPr="00DC0D32">
        <w:rPr>
          <w:rFonts w:ascii="Verdana" w:hAnsi="Verdana"/>
          <w:i/>
          <w:lang w:val="es-ES_tradnl"/>
        </w:rPr>
        <w:t xml:space="preserve"> mínimas</w:t>
      </w:r>
      <w:r w:rsidR="00DC0D32" w:rsidRPr="00DC0D32">
        <w:rPr>
          <w:rFonts w:ascii="Verdana" w:hAnsi="Verdana"/>
          <w:lang w:val="es-ES_tradnl"/>
        </w:rPr>
        <w:t xml:space="preserve"> necesarias</w:t>
      </w:r>
      <w:r w:rsidR="00DC0D32">
        <w:rPr>
          <w:rFonts w:ascii="Verdana" w:hAnsi="Verdana"/>
          <w:lang w:val="es-ES_tradnl"/>
        </w:rPr>
        <w:t xml:space="preserve"> </w:t>
      </w:r>
      <w:r w:rsidR="00DC0D32" w:rsidRPr="00DC0D32">
        <w:rPr>
          <w:rFonts w:ascii="Verdana" w:hAnsi="Verdana"/>
          <w:lang w:val="es-ES_tradnl"/>
        </w:rPr>
        <w:t xml:space="preserve">para tutelar el debido proceso que la jurisprudencia del Tribunal Interamericano </w:t>
      </w:r>
      <w:r w:rsidR="00044F34">
        <w:rPr>
          <w:rFonts w:ascii="Verdana" w:hAnsi="Verdana"/>
          <w:lang w:val="es-ES_tradnl"/>
        </w:rPr>
        <w:t xml:space="preserve">deriva de </w:t>
      </w:r>
      <w:r w:rsidR="00DC0D32" w:rsidRPr="00DC0D32">
        <w:rPr>
          <w:rFonts w:ascii="Verdana" w:hAnsi="Verdana"/>
          <w:lang w:val="es-ES_tradnl"/>
        </w:rPr>
        <w:t>los artículos 8 y 25 del Pacto de San José</w:t>
      </w:r>
      <w:r w:rsidR="00DC0D32">
        <w:rPr>
          <w:rFonts w:ascii="Verdana" w:hAnsi="Verdana"/>
          <w:lang w:val="es-ES_tradnl"/>
        </w:rPr>
        <w:t>. D</w:t>
      </w:r>
      <w:r w:rsidR="00DC0D32" w:rsidRPr="00DC0D32">
        <w:rPr>
          <w:rFonts w:ascii="Verdana" w:hAnsi="Verdana"/>
          <w:lang w:val="es-ES_tradnl"/>
        </w:rPr>
        <w:t xml:space="preserve">e esta forma, interpretar la expresión </w:t>
      </w:r>
      <w:r w:rsidR="00DC0D32" w:rsidRPr="00DC0D32">
        <w:rPr>
          <w:rFonts w:ascii="Verdana" w:hAnsi="Verdana"/>
          <w:i/>
          <w:lang w:val="es-ES_tradnl"/>
        </w:rPr>
        <w:t>“en general”</w:t>
      </w:r>
      <w:r w:rsidR="00DC0D32" w:rsidRPr="00DC0D32">
        <w:rPr>
          <w:rFonts w:ascii="Verdana" w:hAnsi="Verdana"/>
          <w:lang w:val="es-ES_tradnl"/>
        </w:rPr>
        <w:t xml:space="preserve"> para </w:t>
      </w:r>
      <w:r w:rsidR="00DC0D32">
        <w:rPr>
          <w:rFonts w:ascii="Verdana" w:hAnsi="Verdana"/>
          <w:lang w:val="es-ES_tradnl"/>
        </w:rPr>
        <w:t>reducir</w:t>
      </w:r>
      <w:r w:rsidR="00DC0D32" w:rsidRPr="00DC0D32">
        <w:rPr>
          <w:rFonts w:ascii="Verdana" w:hAnsi="Verdana"/>
          <w:lang w:val="es-ES_tradnl"/>
        </w:rPr>
        <w:t xml:space="preserve"> los alcances que la jurisprudencia </w:t>
      </w:r>
      <w:r w:rsidR="002F2315">
        <w:rPr>
          <w:rFonts w:ascii="Verdana" w:hAnsi="Verdana"/>
          <w:lang w:val="es-ES_tradnl"/>
        </w:rPr>
        <w:t>interamericana</w:t>
      </w:r>
      <w:r w:rsidR="002F2315" w:rsidRPr="00DC0D32">
        <w:rPr>
          <w:rFonts w:ascii="Verdana" w:hAnsi="Verdana"/>
          <w:lang w:val="es-ES_tradnl"/>
        </w:rPr>
        <w:t xml:space="preserve"> </w:t>
      </w:r>
      <w:r w:rsidR="00DC0D32" w:rsidRPr="00DC0D32">
        <w:rPr>
          <w:rFonts w:ascii="Verdana" w:hAnsi="Verdana"/>
          <w:lang w:val="es-ES_tradnl"/>
        </w:rPr>
        <w:t>ha otorgado al art</w:t>
      </w:r>
      <w:r w:rsidR="00044F34">
        <w:rPr>
          <w:rFonts w:ascii="Verdana" w:hAnsi="Verdana"/>
          <w:lang w:val="es-ES_tradnl"/>
        </w:rPr>
        <w:t>ículo 8.2 del Pacto de San José</w:t>
      </w:r>
      <w:r w:rsidR="006C445C">
        <w:rPr>
          <w:rFonts w:ascii="Verdana" w:hAnsi="Verdana"/>
          <w:lang w:val="es-ES_tradnl"/>
        </w:rPr>
        <w:t xml:space="preserve"> representaría un</w:t>
      </w:r>
      <w:r w:rsidR="00DC0D32" w:rsidRPr="00DC0D32">
        <w:rPr>
          <w:rFonts w:ascii="Verdana" w:hAnsi="Verdana"/>
          <w:lang w:val="es-ES_tradnl"/>
        </w:rPr>
        <w:t xml:space="preserve"> retroceso</w:t>
      </w:r>
      <w:r w:rsidR="00044F34">
        <w:rPr>
          <w:rFonts w:ascii="Verdana" w:hAnsi="Verdana"/>
          <w:lang w:val="es-ES_tradnl"/>
        </w:rPr>
        <w:t>,</w:t>
      </w:r>
      <w:r w:rsidR="00DC0D32" w:rsidRPr="00DC0D32">
        <w:rPr>
          <w:rFonts w:ascii="Verdana" w:hAnsi="Verdana"/>
          <w:lang w:val="es-ES_tradnl"/>
        </w:rPr>
        <w:t xml:space="preserve"> e implicaría ir contra </w:t>
      </w:r>
      <w:r w:rsidR="00EF2636" w:rsidRPr="00DC0D32">
        <w:rPr>
          <w:rFonts w:ascii="Verdana" w:hAnsi="Verdana"/>
          <w:lang w:val="es-ES_tradnl"/>
        </w:rPr>
        <w:t>la</w:t>
      </w:r>
      <w:r w:rsidR="00EF2636">
        <w:rPr>
          <w:rFonts w:ascii="Verdana" w:hAnsi="Verdana"/>
          <w:lang w:val="es-ES_tradnl"/>
        </w:rPr>
        <w:t xml:space="preserve"> </w:t>
      </w:r>
      <w:r w:rsidR="00DC0D32" w:rsidRPr="00DC0D32">
        <w:rPr>
          <w:rFonts w:ascii="Verdana" w:hAnsi="Verdana"/>
          <w:lang w:val="es-ES_tradnl"/>
        </w:rPr>
        <w:t xml:space="preserve">jurisprudencia </w:t>
      </w:r>
      <w:r w:rsidR="00EF2636">
        <w:rPr>
          <w:rFonts w:ascii="Verdana" w:hAnsi="Verdana"/>
          <w:lang w:val="es-ES_tradnl"/>
        </w:rPr>
        <w:t>que</w:t>
      </w:r>
      <w:r w:rsidR="00EF2636" w:rsidRPr="00DC0D32">
        <w:rPr>
          <w:rFonts w:ascii="Verdana" w:hAnsi="Verdana"/>
          <w:lang w:val="es-ES_tradnl"/>
        </w:rPr>
        <w:t xml:space="preserve"> </w:t>
      </w:r>
      <w:r w:rsidR="00DC0D32" w:rsidRPr="00DC0D32">
        <w:rPr>
          <w:rFonts w:ascii="Verdana" w:hAnsi="Verdana"/>
          <w:lang w:val="es-ES_tradnl"/>
        </w:rPr>
        <w:t>este Tribunal Interamericano</w:t>
      </w:r>
      <w:r w:rsidR="00EF2636">
        <w:rPr>
          <w:rFonts w:ascii="Verdana" w:hAnsi="Verdana"/>
          <w:lang w:val="es-ES_tradnl"/>
        </w:rPr>
        <w:t xml:space="preserve"> </w:t>
      </w:r>
      <w:r w:rsidR="00EF2636" w:rsidRPr="00DC0D32">
        <w:rPr>
          <w:rFonts w:ascii="Verdana" w:hAnsi="Verdana"/>
          <w:lang w:val="es-ES_tradnl"/>
        </w:rPr>
        <w:t xml:space="preserve">ha ido consolidando </w:t>
      </w:r>
      <w:r w:rsidR="00EF2636">
        <w:rPr>
          <w:rFonts w:ascii="Verdana" w:hAnsi="Verdana"/>
          <w:lang w:val="es-ES_tradnl"/>
        </w:rPr>
        <w:t>por</w:t>
      </w:r>
      <w:r w:rsidR="00DC0D32" w:rsidRPr="00DC0D32">
        <w:rPr>
          <w:rFonts w:ascii="Verdana" w:hAnsi="Verdana"/>
          <w:lang w:val="es-ES_tradnl"/>
        </w:rPr>
        <w:t xml:space="preserve"> más de quince años</w:t>
      </w:r>
      <w:r w:rsidR="002F2315">
        <w:rPr>
          <w:rFonts w:ascii="Verdana" w:hAnsi="Verdana"/>
          <w:lang w:val="es-ES_tradnl"/>
        </w:rPr>
        <w:t>.</w:t>
      </w:r>
    </w:p>
    <w:p w14:paraId="5D5C9676" w14:textId="77777777" w:rsidR="00315187" w:rsidRDefault="00315187" w:rsidP="000E6EDD">
      <w:pPr>
        <w:pStyle w:val="NormalWeb"/>
        <w:spacing w:before="0" w:beforeAutospacing="0" w:after="0" w:afterAutospacing="0"/>
        <w:jc w:val="both"/>
        <w:rPr>
          <w:rFonts w:ascii="Verdana" w:hAnsi="Verdana"/>
          <w:lang w:val="es-ES_tradnl"/>
        </w:rPr>
      </w:pPr>
    </w:p>
    <w:p w14:paraId="28C14DB1" w14:textId="6DB795DD" w:rsidR="00364BDF"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38</w:t>
      </w:r>
      <w:r w:rsidR="00364BDF">
        <w:rPr>
          <w:rFonts w:ascii="Verdana" w:hAnsi="Verdana"/>
          <w:lang w:val="es-ES_tradnl"/>
        </w:rPr>
        <w:t xml:space="preserve">. </w:t>
      </w:r>
      <w:r w:rsidR="00364BDF">
        <w:rPr>
          <w:rFonts w:ascii="Verdana" w:hAnsi="Verdana"/>
          <w:lang w:val="es-ES_tradnl"/>
        </w:rPr>
        <w:tab/>
      </w:r>
      <w:r w:rsidR="007406B8">
        <w:rPr>
          <w:rFonts w:ascii="Verdana" w:hAnsi="Verdana"/>
          <w:lang w:val="es-ES_tradnl"/>
        </w:rPr>
        <w:t>Por ello</w:t>
      </w:r>
      <w:r w:rsidR="00364BDF" w:rsidRPr="00C84A6F">
        <w:rPr>
          <w:rFonts w:ascii="Verdana" w:hAnsi="Verdana"/>
          <w:lang w:val="es-ES_tradnl"/>
        </w:rPr>
        <w:t xml:space="preserve">, coincido con el fallo en el presente caso pues da </w:t>
      </w:r>
      <w:r w:rsidR="00364BDF" w:rsidRPr="00EA52D0">
        <w:rPr>
          <w:rFonts w:ascii="Verdana" w:hAnsi="Verdana"/>
          <w:i/>
          <w:lang w:val="es-ES_tradnl"/>
        </w:rPr>
        <w:t>continuidad y solidez jurisprudencial</w:t>
      </w:r>
      <w:r w:rsidR="00364BDF" w:rsidRPr="00C84A6F">
        <w:rPr>
          <w:rFonts w:ascii="Verdana" w:hAnsi="Verdana"/>
          <w:lang w:val="es-ES_tradnl"/>
        </w:rPr>
        <w:t xml:space="preserve"> a lo desarrollado en la materia </w:t>
      </w:r>
      <w:r w:rsidR="00364BDF">
        <w:rPr>
          <w:rFonts w:ascii="Verdana" w:hAnsi="Verdana"/>
          <w:lang w:val="es-ES_tradnl"/>
        </w:rPr>
        <w:t>en</w:t>
      </w:r>
      <w:r w:rsidR="00364BDF" w:rsidRPr="00C84A6F">
        <w:rPr>
          <w:rFonts w:ascii="Verdana" w:hAnsi="Verdana"/>
          <w:lang w:val="es-ES_tradnl"/>
        </w:rPr>
        <w:t xml:space="preserve"> procedimientos </w:t>
      </w:r>
      <w:r w:rsidR="00364BDF">
        <w:rPr>
          <w:rFonts w:ascii="Verdana" w:hAnsi="Verdana"/>
          <w:lang w:val="es-ES_tradnl"/>
        </w:rPr>
        <w:t>sancionadores</w:t>
      </w:r>
      <w:r w:rsidR="00364BDF" w:rsidRPr="00C84A6F">
        <w:rPr>
          <w:rFonts w:ascii="Verdana" w:hAnsi="Verdana"/>
          <w:lang w:val="es-ES_tradnl"/>
        </w:rPr>
        <w:t xml:space="preserve"> y la aplicación de la amplia gama de garantías mínimas que deben ser </w:t>
      </w:r>
      <w:r w:rsidR="00364BDF">
        <w:rPr>
          <w:rFonts w:ascii="Verdana" w:hAnsi="Verdana"/>
          <w:lang w:val="es-ES_tradnl"/>
        </w:rPr>
        <w:t>garantizadas en ellos. Como</w:t>
      </w:r>
      <w:r w:rsidR="00364BDF" w:rsidRPr="00C84A6F">
        <w:rPr>
          <w:rFonts w:ascii="Verdana" w:hAnsi="Verdana"/>
          <w:lang w:val="es-ES_tradnl"/>
        </w:rPr>
        <w:t xml:space="preserve"> </w:t>
      </w:r>
      <w:r w:rsidR="00364BDF">
        <w:rPr>
          <w:rFonts w:ascii="Verdana" w:hAnsi="Verdana"/>
          <w:lang w:val="es-ES_tradnl"/>
        </w:rPr>
        <w:t>expresa la Sentencia,</w:t>
      </w:r>
      <w:r w:rsidR="00364BDF" w:rsidRPr="00C84A6F">
        <w:rPr>
          <w:rFonts w:ascii="Verdana" w:hAnsi="Verdana"/>
          <w:lang w:val="es-ES_tradnl"/>
        </w:rPr>
        <w:t xml:space="preserve"> la aplicación de estas garantías enumeradas en el artículo 8.2 de la Convención</w:t>
      </w:r>
      <w:r w:rsidR="00364BDF">
        <w:rPr>
          <w:rFonts w:ascii="Verdana" w:hAnsi="Verdana"/>
          <w:lang w:val="es-ES_tradnl"/>
        </w:rPr>
        <w:t xml:space="preserve"> Americana</w:t>
      </w:r>
      <w:r w:rsidR="00364BDF" w:rsidRPr="00C84A6F">
        <w:rPr>
          <w:rFonts w:ascii="Verdana" w:hAnsi="Verdana"/>
          <w:lang w:val="es-ES_tradnl"/>
        </w:rPr>
        <w:t xml:space="preserve"> a los </w:t>
      </w:r>
      <w:r w:rsidR="00FD2112">
        <w:rPr>
          <w:rFonts w:ascii="Verdana" w:hAnsi="Verdana"/>
          <w:lang w:val="es-ES_tradnl"/>
        </w:rPr>
        <w:t xml:space="preserve">demás </w:t>
      </w:r>
      <w:r w:rsidR="00FD2112" w:rsidRPr="00C84A6F">
        <w:rPr>
          <w:rFonts w:ascii="Verdana" w:hAnsi="Verdana"/>
          <w:lang w:val="es-ES_tradnl"/>
        </w:rPr>
        <w:t>órdenes</w:t>
      </w:r>
      <w:r w:rsidR="00364BDF" w:rsidRPr="00C84A6F">
        <w:rPr>
          <w:rFonts w:ascii="Verdana" w:hAnsi="Verdana"/>
          <w:lang w:val="es-ES_tradnl"/>
        </w:rPr>
        <w:t xml:space="preserve"> establecidos en el artículo 8.1</w:t>
      </w:r>
      <w:r w:rsidR="00364BDF">
        <w:rPr>
          <w:rFonts w:ascii="Verdana" w:hAnsi="Verdana"/>
          <w:lang w:val="es-ES_tradnl"/>
        </w:rPr>
        <w:t xml:space="preserve"> de la misma</w:t>
      </w:r>
      <w:r w:rsidR="00364BDF" w:rsidRPr="00C84A6F">
        <w:rPr>
          <w:rFonts w:ascii="Verdana" w:hAnsi="Verdana"/>
          <w:lang w:val="es-ES_tradnl"/>
        </w:rPr>
        <w:t xml:space="preserve">, </w:t>
      </w:r>
      <w:r w:rsidR="00364BDF" w:rsidRPr="008B3C8D">
        <w:rPr>
          <w:rFonts w:ascii="Verdana" w:hAnsi="Verdana"/>
          <w:lang w:val="es-ES_tradnl"/>
        </w:rPr>
        <w:t>puede ser menos rigurosa o de otra naturaleza, es decir, la intensidad de su exigencia puede ser diferente a la materia penal</w:t>
      </w:r>
      <w:r w:rsidR="00364BDF" w:rsidRPr="00C84A6F">
        <w:rPr>
          <w:rStyle w:val="FootnoteReference"/>
          <w:rFonts w:ascii="Verdana" w:hAnsi="Verdana"/>
          <w:lang w:val="es-ES_tradnl"/>
        </w:rPr>
        <w:footnoteReference w:id="69"/>
      </w:r>
      <w:r w:rsidR="00364BDF" w:rsidRPr="00C84A6F">
        <w:rPr>
          <w:rFonts w:ascii="Verdana" w:hAnsi="Verdana"/>
          <w:lang w:val="es-ES_tradnl"/>
        </w:rPr>
        <w:t xml:space="preserve">. </w:t>
      </w:r>
      <w:r w:rsidR="00364BDF">
        <w:rPr>
          <w:rFonts w:ascii="Verdana" w:hAnsi="Verdana"/>
          <w:lang w:val="es-ES_tradnl"/>
        </w:rPr>
        <w:t xml:space="preserve">Lo anterior, sin embargo, </w:t>
      </w:r>
      <w:r w:rsidR="00364BDF" w:rsidRPr="00A203CB">
        <w:rPr>
          <w:rFonts w:ascii="Verdana" w:hAnsi="Verdana"/>
          <w:i/>
          <w:lang w:val="es-ES_tradnl"/>
        </w:rPr>
        <w:t>no implica dejar de aplicar dichas garantías mínimas</w:t>
      </w:r>
      <w:r w:rsidR="00364BDF">
        <w:rPr>
          <w:rFonts w:ascii="Verdana" w:hAnsi="Verdana"/>
          <w:lang w:val="es-ES_tradnl"/>
        </w:rPr>
        <w:t xml:space="preserve">, sino en todo caso </w:t>
      </w:r>
      <w:r w:rsidR="00364BDF" w:rsidRPr="00A0707F">
        <w:rPr>
          <w:rFonts w:ascii="Verdana" w:hAnsi="Verdana"/>
          <w:lang w:val="es-ES_tradnl"/>
        </w:rPr>
        <w:t>graduar la intensidad</w:t>
      </w:r>
      <w:r w:rsidR="00364BDF">
        <w:rPr>
          <w:rFonts w:ascii="Verdana" w:hAnsi="Verdana"/>
          <w:lang w:val="es-ES_tradnl"/>
        </w:rPr>
        <w:t xml:space="preserve"> con la cual se aplican dependiendo de la naturaleza de cada procedimiento.</w:t>
      </w:r>
    </w:p>
    <w:p w14:paraId="5BE1DD2C" w14:textId="77777777" w:rsidR="00314281" w:rsidRDefault="00314281" w:rsidP="000E6EDD">
      <w:pPr>
        <w:pStyle w:val="NormalWeb"/>
        <w:spacing w:before="0" w:beforeAutospacing="0" w:after="0" w:afterAutospacing="0"/>
        <w:jc w:val="both"/>
        <w:rPr>
          <w:rFonts w:ascii="Verdana" w:hAnsi="Verdana"/>
          <w:lang w:val="es-ES_tradnl"/>
        </w:rPr>
      </w:pPr>
    </w:p>
    <w:p w14:paraId="1A508F3D" w14:textId="034F0709" w:rsidR="00315187"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39</w:t>
      </w:r>
      <w:r w:rsidR="00315187">
        <w:rPr>
          <w:rFonts w:ascii="Verdana" w:hAnsi="Verdana"/>
          <w:lang w:val="es-ES_tradnl"/>
        </w:rPr>
        <w:t xml:space="preserve">. </w:t>
      </w:r>
      <w:r w:rsidR="00315187">
        <w:rPr>
          <w:rFonts w:ascii="Verdana" w:hAnsi="Verdana"/>
          <w:lang w:val="es-ES_tradnl"/>
        </w:rPr>
        <w:tab/>
      </w:r>
      <w:r w:rsidR="005A0196">
        <w:rPr>
          <w:rFonts w:ascii="Verdana" w:hAnsi="Verdana"/>
          <w:lang w:val="es-ES_tradnl"/>
        </w:rPr>
        <w:t xml:space="preserve">Sin perjuicio de lo anterior, considero </w:t>
      </w:r>
      <w:r w:rsidR="00315187">
        <w:rPr>
          <w:rFonts w:ascii="Verdana" w:hAnsi="Verdana"/>
          <w:lang w:val="es-ES_tradnl"/>
        </w:rPr>
        <w:t>indispensable que</w:t>
      </w:r>
      <w:r w:rsidR="005A0196">
        <w:rPr>
          <w:rFonts w:ascii="Verdana" w:hAnsi="Verdana"/>
          <w:lang w:val="es-ES_tradnl"/>
        </w:rPr>
        <w:t xml:space="preserve"> el siguiente paso </w:t>
      </w:r>
      <w:r w:rsidR="003511C2">
        <w:rPr>
          <w:rFonts w:ascii="Verdana" w:hAnsi="Verdana"/>
          <w:lang w:val="es-ES_tradnl"/>
        </w:rPr>
        <w:t xml:space="preserve">en nuestra reflexión sobre estos temas </w:t>
      </w:r>
      <w:r w:rsidR="005A0196">
        <w:rPr>
          <w:rFonts w:ascii="Verdana" w:hAnsi="Verdana"/>
          <w:lang w:val="es-ES_tradnl"/>
        </w:rPr>
        <w:t xml:space="preserve">sea </w:t>
      </w:r>
      <w:r w:rsidR="00F544C6">
        <w:rPr>
          <w:rFonts w:ascii="Verdana" w:hAnsi="Verdana"/>
          <w:lang w:val="es-ES_tradnl"/>
        </w:rPr>
        <w:t xml:space="preserve">formular </w:t>
      </w:r>
      <w:r w:rsidR="000733B3">
        <w:rPr>
          <w:rFonts w:ascii="Verdana" w:hAnsi="Verdana"/>
          <w:lang w:val="es-ES_tradnl"/>
        </w:rPr>
        <w:t>reglas generales</w:t>
      </w:r>
      <w:r w:rsidR="00315187">
        <w:rPr>
          <w:rFonts w:ascii="Verdana" w:hAnsi="Verdana"/>
          <w:lang w:val="es-ES_tradnl"/>
        </w:rPr>
        <w:t xml:space="preserve"> que </w:t>
      </w:r>
      <w:r w:rsidR="000733B3" w:rsidRPr="008B3C8D">
        <w:rPr>
          <w:rFonts w:ascii="Verdana" w:hAnsi="Verdana"/>
          <w:i/>
          <w:lang w:val="es-ES_tradnl"/>
        </w:rPr>
        <w:t>sinteticen</w:t>
      </w:r>
      <w:r w:rsidR="00315187">
        <w:rPr>
          <w:rFonts w:ascii="Verdana" w:hAnsi="Verdana"/>
          <w:lang w:val="es-ES_tradnl"/>
        </w:rPr>
        <w:t xml:space="preserve"> </w:t>
      </w:r>
      <w:r w:rsidR="005A0196">
        <w:rPr>
          <w:rFonts w:ascii="Verdana" w:hAnsi="Verdana"/>
          <w:lang w:val="es-ES_tradnl"/>
        </w:rPr>
        <w:t xml:space="preserve">la </w:t>
      </w:r>
      <w:r w:rsidR="00315187">
        <w:rPr>
          <w:rFonts w:ascii="Verdana" w:hAnsi="Verdana"/>
          <w:lang w:val="es-ES_tradnl"/>
        </w:rPr>
        <w:t xml:space="preserve">concepción sistemática </w:t>
      </w:r>
      <w:r w:rsidR="005A0196">
        <w:rPr>
          <w:rFonts w:ascii="Verdana" w:hAnsi="Verdana"/>
          <w:lang w:val="es-ES_tradnl"/>
        </w:rPr>
        <w:t xml:space="preserve">y consolidada </w:t>
      </w:r>
      <w:r w:rsidR="00315187">
        <w:rPr>
          <w:rFonts w:ascii="Verdana" w:hAnsi="Verdana"/>
          <w:lang w:val="es-ES_tradnl"/>
        </w:rPr>
        <w:t>sobre el particular</w:t>
      </w:r>
      <w:r w:rsidR="006C445C">
        <w:rPr>
          <w:rFonts w:ascii="Verdana" w:hAnsi="Verdana"/>
          <w:lang w:val="es-ES_tradnl"/>
        </w:rPr>
        <w:t xml:space="preserve"> que se desprende de la</w:t>
      </w:r>
      <w:r w:rsidR="005A0196">
        <w:rPr>
          <w:rFonts w:ascii="Verdana" w:hAnsi="Verdana"/>
          <w:lang w:val="es-ES_tradnl"/>
        </w:rPr>
        <w:t xml:space="preserve"> jurisprudencia</w:t>
      </w:r>
      <w:r w:rsidR="000B6820">
        <w:rPr>
          <w:rFonts w:ascii="Verdana" w:hAnsi="Verdana"/>
          <w:lang w:val="es-ES_tradnl"/>
        </w:rPr>
        <w:t xml:space="preserve"> de la Corte IDH</w:t>
      </w:r>
      <w:r w:rsidR="005A0196">
        <w:rPr>
          <w:rFonts w:ascii="Verdana" w:hAnsi="Verdana"/>
          <w:lang w:val="es-ES_tradnl"/>
        </w:rPr>
        <w:t>, y que brinden lineamientos generales para determinar cuándo y cómo deben extenderse las garantías judiciales penales a otros ámbitos sancionadores</w:t>
      </w:r>
      <w:r w:rsidR="00315187">
        <w:rPr>
          <w:rFonts w:ascii="Verdana" w:hAnsi="Verdana"/>
          <w:lang w:val="es-ES_tradnl"/>
        </w:rPr>
        <w:t>. Est</w:t>
      </w:r>
      <w:r w:rsidR="00EA52D0">
        <w:rPr>
          <w:rFonts w:ascii="Verdana" w:hAnsi="Verdana"/>
          <w:lang w:val="es-ES_tradnl"/>
        </w:rPr>
        <w:t>e</w:t>
      </w:r>
      <w:r w:rsidR="00315187">
        <w:rPr>
          <w:rFonts w:ascii="Verdana" w:hAnsi="Verdana"/>
          <w:lang w:val="es-ES_tradnl"/>
        </w:rPr>
        <w:t xml:space="preserve"> </w:t>
      </w:r>
      <w:r w:rsidR="005A0196">
        <w:rPr>
          <w:rFonts w:ascii="Verdana" w:hAnsi="Verdana"/>
          <w:lang w:val="es-ES_tradnl"/>
        </w:rPr>
        <w:t xml:space="preserve">tema </w:t>
      </w:r>
      <w:r w:rsidR="00F544C6">
        <w:rPr>
          <w:rFonts w:ascii="Verdana" w:hAnsi="Verdana"/>
          <w:lang w:val="es-ES_tradnl"/>
        </w:rPr>
        <w:t>se ha</w:t>
      </w:r>
      <w:r w:rsidR="000733B3">
        <w:rPr>
          <w:rFonts w:ascii="Verdana" w:hAnsi="Verdana"/>
          <w:lang w:val="es-ES_tradnl"/>
        </w:rPr>
        <w:t xml:space="preserve"> abordado</w:t>
      </w:r>
      <w:r w:rsidR="00315187">
        <w:rPr>
          <w:rFonts w:ascii="Verdana" w:hAnsi="Verdana"/>
          <w:lang w:val="es-ES_tradnl"/>
        </w:rPr>
        <w:t xml:space="preserve">, sobre todo en </w:t>
      </w:r>
      <w:r w:rsidR="00F544C6">
        <w:rPr>
          <w:rFonts w:ascii="Verdana" w:hAnsi="Verdana"/>
          <w:lang w:val="es-ES_tradnl"/>
        </w:rPr>
        <w:t>la S</w:t>
      </w:r>
      <w:r w:rsidR="000733B3">
        <w:rPr>
          <w:rFonts w:ascii="Verdana" w:hAnsi="Verdana"/>
          <w:lang w:val="es-ES_tradnl"/>
        </w:rPr>
        <w:t>entencia de este caso (párrs. 70 a 75) y en el presente voto razonado</w:t>
      </w:r>
      <w:r w:rsidR="00B2742B">
        <w:rPr>
          <w:rFonts w:ascii="Verdana" w:hAnsi="Verdana"/>
          <w:lang w:val="es-ES_tradnl"/>
        </w:rPr>
        <w:t xml:space="preserve"> (</w:t>
      </w:r>
      <w:r w:rsidR="00B2742B" w:rsidRPr="00B2742B">
        <w:rPr>
          <w:rFonts w:ascii="Verdana" w:hAnsi="Verdana"/>
          <w:i/>
          <w:lang w:val="es-ES_tradnl"/>
        </w:rPr>
        <w:t>supra</w:t>
      </w:r>
      <w:r w:rsidR="00B2742B">
        <w:rPr>
          <w:rFonts w:ascii="Verdana" w:hAnsi="Verdana"/>
          <w:lang w:val="es-ES_tradnl"/>
        </w:rPr>
        <w:t xml:space="preserve"> párrs. 23 a 34)</w:t>
      </w:r>
      <w:r w:rsidR="00315187">
        <w:rPr>
          <w:rFonts w:ascii="Verdana" w:hAnsi="Verdana"/>
          <w:lang w:val="es-ES_tradnl"/>
        </w:rPr>
        <w:t>, a través de recuentos jurisprudenciales que relacionan los múltiples precedentes en</w:t>
      </w:r>
      <w:r w:rsidR="000733B3">
        <w:rPr>
          <w:rFonts w:ascii="Verdana" w:hAnsi="Verdana"/>
          <w:lang w:val="es-ES_tradnl"/>
        </w:rPr>
        <w:t xml:space="preserve"> que este </w:t>
      </w:r>
      <w:r w:rsidR="006C445C">
        <w:rPr>
          <w:rFonts w:ascii="Verdana" w:hAnsi="Verdana"/>
          <w:lang w:val="es-ES_tradnl"/>
        </w:rPr>
        <w:t>T</w:t>
      </w:r>
      <w:r w:rsidR="000733B3">
        <w:rPr>
          <w:rFonts w:ascii="Verdana" w:hAnsi="Verdana"/>
          <w:lang w:val="es-ES_tradnl"/>
        </w:rPr>
        <w:t>ribunal internacional ha extendido las garantías del debido proceso penal a distintos procedimientos, constituidos a efecto de</w:t>
      </w:r>
      <w:r w:rsidR="00B2742B">
        <w:rPr>
          <w:rFonts w:ascii="Verdana" w:hAnsi="Verdana"/>
          <w:lang w:val="es-ES_tradnl"/>
        </w:rPr>
        <w:t xml:space="preserve"> advertir</w:t>
      </w:r>
      <w:r w:rsidR="00E37324">
        <w:rPr>
          <w:rFonts w:ascii="Verdana" w:hAnsi="Verdana"/>
          <w:lang w:val="es-ES_tradnl"/>
        </w:rPr>
        <w:t xml:space="preserve"> de ellos la referida extensión de dichas garantías</w:t>
      </w:r>
      <w:r w:rsidR="00315187">
        <w:rPr>
          <w:rFonts w:ascii="Verdana" w:hAnsi="Verdana"/>
          <w:lang w:val="es-ES_tradnl"/>
        </w:rPr>
        <w:t>.</w:t>
      </w:r>
      <w:r w:rsidR="00E37324">
        <w:rPr>
          <w:rFonts w:ascii="Verdana" w:hAnsi="Verdana"/>
          <w:lang w:val="es-ES_tradnl"/>
        </w:rPr>
        <w:t xml:space="preserve"> </w:t>
      </w:r>
    </w:p>
    <w:p w14:paraId="667CBED4" w14:textId="77777777" w:rsidR="00E37324" w:rsidRDefault="00E37324" w:rsidP="000E6EDD">
      <w:pPr>
        <w:pStyle w:val="NormalWeb"/>
        <w:spacing w:before="0" w:beforeAutospacing="0" w:after="0" w:afterAutospacing="0"/>
        <w:jc w:val="both"/>
        <w:rPr>
          <w:rFonts w:ascii="Verdana" w:hAnsi="Verdana"/>
          <w:lang w:val="es-ES_tradnl"/>
        </w:rPr>
      </w:pPr>
    </w:p>
    <w:p w14:paraId="01174E11" w14:textId="3FA52690" w:rsidR="001D1C55" w:rsidRDefault="00B174B6" w:rsidP="00D16A3F">
      <w:pPr>
        <w:pStyle w:val="NormalWeb"/>
        <w:spacing w:before="0" w:beforeAutospacing="0" w:after="0" w:afterAutospacing="0"/>
        <w:jc w:val="both"/>
        <w:rPr>
          <w:rFonts w:ascii="Verdana" w:hAnsi="Verdana"/>
          <w:lang w:val="es-ES_tradnl"/>
        </w:rPr>
      </w:pPr>
      <w:r>
        <w:rPr>
          <w:rFonts w:ascii="Verdana" w:hAnsi="Verdana"/>
          <w:lang w:val="es-ES_tradnl"/>
        </w:rPr>
        <w:t>40</w:t>
      </w:r>
      <w:r w:rsidR="00E37324">
        <w:rPr>
          <w:rFonts w:ascii="Verdana" w:hAnsi="Verdana"/>
          <w:lang w:val="es-ES_tradnl"/>
        </w:rPr>
        <w:t>.</w:t>
      </w:r>
      <w:r w:rsidR="00E37324">
        <w:rPr>
          <w:rFonts w:ascii="Verdana" w:hAnsi="Verdana"/>
          <w:lang w:val="es-ES_tradnl"/>
        </w:rPr>
        <w:tab/>
      </w:r>
      <w:r w:rsidR="00744F11">
        <w:rPr>
          <w:rFonts w:ascii="Verdana" w:hAnsi="Verdana"/>
          <w:lang w:val="es-ES_tradnl"/>
        </w:rPr>
        <w:t>De esta manera, la cuestión</w:t>
      </w:r>
      <w:r w:rsidR="00E37324">
        <w:rPr>
          <w:rFonts w:ascii="Verdana" w:hAnsi="Verdana"/>
          <w:lang w:val="es-ES_tradnl"/>
        </w:rPr>
        <w:t xml:space="preserve"> es </w:t>
      </w:r>
      <w:r w:rsidR="00744F11">
        <w:rPr>
          <w:rFonts w:ascii="Verdana" w:hAnsi="Verdana"/>
          <w:lang w:val="es-ES_tradnl"/>
        </w:rPr>
        <w:t xml:space="preserve">entonces </w:t>
      </w:r>
      <w:r w:rsidR="00E37324">
        <w:rPr>
          <w:rFonts w:ascii="Verdana" w:hAnsi="Verdana"/>
          <w:lang w:val="es-ES_tradnl"/>
        </w:rPr>
        <w:t xml:space="preserve">sentar </w:t>
      </w:r>
      <w:r w:rsidR="00BB79B3">
        <w:rPr>
          <w:rFonts w:ascii="Verdana" w:hAnsi="Verdana"/>
          <w:lang w:val="es-ES_tradnl"/>
        </w:rPr>
        <w:t xml:space="preserve">lineamientos generales </w:t>
      </w:r>
      <w:r w:rsidR="00B15F96">
        <w:rPr>
          <w:rFonts w:ascii="Verdana" w:hAnsi="Verdana"/>
          <w:lang w:val="es-ES_tradnl"/>
        </w:rPr>
        <w:t>a manera de guía para precisar</w:t>
      </w:r>
      <w:r w:rsidR="00E37324">
        <w:rPr>
          <w:rFonts w:ascii="Verdana" w:hAnsi="Verdana"/>
          <w:lang w:val="es-ES_tradnl"/>
        </w:rPr>
        <w:t xml:space="preserve"> la </w:t>
      </w:r>
      <w:r w:rsidR="00BB79B3">
        <w:rPr>
          <w:rFonts w:ascii="Verdana" w:hAnsi="Verdana"/>
          <w:lang w:val="es-ES_tradnl"/>
        </w:rPr>
        <w:t xml:space="preserve">extensión </w:t>
      </w:r>
      <w:r w:rsidR="00E37324">
        <w:rPr>
          <w:rFonts w:ascii="Verdana" w:hAnsi="Verdana"/>
          <w:lang w:val="es-ES_tradnl"/>
        </w:rPr>
        <w:t xml:space="preserve">de las garantías judiciales </w:t>
      </w:r>
      <w:r w:rsidR="00250D20">
        <w:rPr>
          <w:rFonts w:ascii="Verdana" w:hAnsi="Verdana"/>
          <w:lang w:val="es-ES_tradnl"/>
        </w:rPr>
        <w:t>previstas por</w:t>
      </w:r>
      <w:r w:rsidR="00E37324">
        <w:rPr>
          <w:rFonts w:ascii="Verdana" w:hAnsi="Verdana"/>
          <w:lang w:val="es-ES_tradnl"/>
        </w:rPr>
        <w:t xml:space="preserve"> los artículos 8 </w:t>
      </w:r>
      <w:r w:rsidR="00BB79B3">
        <w:rPr>
          <w:rFonts w:ascii="Verdana" w:hAnsi="Verdana"/>
          <w:lang w:val="es-ES_tradnl"/>
        </w:rPr>
        <w:t xml:space="preserve">(particularmente </w:t>
      </w:r>
      <w:r w:rsidR="008641EB">
        <w:rPr>
          <w:rFonts w:ascii="Verdana" w:hAnsi="Verdana"/>
          <w:lang w:val="es-ES_tradnl"/>
        </w:rPr>
        <w:t xml:space="preserve">en </w:t>
      </w:r>
      <w:r w:rsidR="00BB79B3">
        <w:rPr>
          <w:rFonts w:ascii="Verdana" w:hAnsi="Verdana"/>
          <w:lang w:val="es-ES_tradnl"/>
        </w:rPr>
        <w:t xml:space="preserve">su numeral 2) </w:t>
      </w:r>
      <w:r w:rsidR="00E37324">
        <w:rPr>
          <w:rFonts w:ascii="Verdana" w:hAnsi="Verdana"/>
          <w:lang w:val="es-ES_tradnl"/>
        </w:rPr>
        <w:t>y 25 del Pacto de San José a procedimientos sancionatorios diversos al penal</w:t>
      </w:r>
      <w:r w:rsidR="008B3C8D">
        <w:rPr>
          <w:rFonts w:ascii="Verdana" w:hAnsi="Verdana"/>
          <w:lang w:val="es-ES_tradnl"/>
        </w:rPr>
        <w:t>;</w:t>
      </w:r>
      <w:r w:rsidR="00E37324">
        <w:rPr>
          <w:rFonts w:ascii="Verdana" w:hAnsi="Verdana"/>
          <w:lang w:val="es-ES_tradnl"/>
        </w:rPr>
        <w:t xml:space="preserve"> lo que </w:t>
      </w:r>
      <w:r w:rsidR="00BB79B3">
        <w:rPr>
          <w:rFonts w:ascii="Verdana" w:hAnsi="Verdana"/>
          <w:lang w:val="es-ES_tradnl"/>
        </w:rPr>
        <w:t>especial</w:t>
      </w:r>
      <w:r w:rsidR="00E37324">
        <w:rPr>
          <w:rFonts w:ascii="Verdana" w:hAnsi="Verdana"/>
          <w:lang w:val="es-ES_tradnl"/>
        </w:rPr>
        <w:t>, mas no únicamente</w:t>
      </w:r>
      <w:r w:rsidR="00E37324">
        <w:rPr>
          <w:rStyle w:val="FootnoteReference"/>
          <w:rFonts w:ascii="Verdana" w:hAnsi="Verdana"/>
          <w:lang w:val="es-ES_tradnl"/>
        </w:rPr>
        <w:footnoteReference w:id="70"/>
      </w:r>
      <w:r w:rsidR="00250D20">
        <w:rPr>
          <w:rFonts w:ascii="Verdana" w:hAnsi="Verdana"/>
          <w:lang w:val="es-ES_tradnl"/>
        </w:rPr>
        <w:t>,</w:t>
      </w:r>
      <w:r w:rsidR="00E37324">
        <w:rPr>
          <w:rFonts w:ascii="Verdana" w:hAnsi="Verdana"/>
          <w:lang w:val="es-ES_tradnl"/>
        </w:rPr>
        <w:t xml:space="preserve"> se enfoca al ámbito </w:t>
      </w:r>
      <w:r w:rsidR="00E37324">
        <w:rPr>
          <w:rFonts w:ascii="Verdana" w:hAnsi="Verdana"/>
          <w:lang w:val="es-ES_tradnl"/>
        </w:rPr>
        <w:lastRenderedPageBreak/>
        <w:t>administrativo</w:t>
      </w:r>
      <w:r w:rsidR="008B3C8D">
        <w:rPr>
          <w:rFonts w:ascii="Verdana" w:hAnsi="Verdana"/>
          <w:lang w:val="es-ES_tradnl"/>
        </w:rPr>
        <w:t xml:space="preserve"> al que pertenece el caso que en esta ocasión nos </w:t>
      </w:r>
      <w:r w:rsidR="0013611A">
        <w:rPr>
          <w:rFonts w:ascii="Verdana" w:hAnsi="Verdana"/>
          <w:lang w:val="es-ES_tradnl"/>
        </w:rPr>
        <w:t xml:space="preserve">ha tocado </w:t>
      </w:r>
      <w:r w:rsidR="008B3C8D">
        <w:rPr>
          <w:rFonts w:ascii="Verdana" w:hAnsi="Verdana"/>
          <w:lang w:val="es-ES_tradnl"/>
        </w:rPr>
        <w:t>resolver</w:t>
      </w:r>
      <w:r w:rsidR="00E37324">
        <w:rPr>
          <w:rFonts w:ascii="Verdana" w:hAnsi="Verdana"/>
          <w:lang w:val="es-ES_tradnl"/>
        </w:rPr>
        <w:t xml:space="preserve">. </w:t>
      </w:r>
      <w:r w:rsidR="0013611A">
        <w:rPr>
          <w:rFonts w:ascii="Verdana" w:hAnsi="Verdana"/>
          <w:lang w:val="es-ES_tradnl"/>
        </w:rPr>
        <w:t>Estas determinaciones tienen a mi juicio la máxima importancia</w:t>
      </w:r>
      <w:r w:rsidR="00741F96">
        <w:rPr>
          <w:rFonts w:ascii="Verdana" w:hAnsi="Verdana"/>
          <w:lang w:val="es-ES_tradnl"/>
        </w:rPr>
        <w:t xml:space="preserve"> debido a que</w:t>
      </w:r>
      <w:r w:rsidR="0013611A">
        <w:rPr>
          <w:rFonts w:ascii="Verdana" w:hAnsi="Verdana"/>
          <w:lang w:val="es-ES_tradnl"/>
        </w:rPr>
        <w:t xml:space="preserve"> </w:t>
      </w:r>
      <w:r w:rsidR="0094414C">
        <w:rPr>
          <w:rFonts w:ascii="Verdana" w:hAnsi="Verdana"/>
          <w:lang w:val="es-ES_tradnl"/>
        </w:rPr>
        <w:t>puede</w:t>
      </w:r>
      <w:r w:rsidR="00512370">
        <w:rPr>
          <w:rFonts w:ascii="Verdana" w:hAnsi="Verdana"/>
          <w:lang w:val="es-ES_tradnl"/>
        </w:rPr>
        <w:t>n</w:t>
      </w:r>
      <w:r w:rsidR="0094414C">
        <w:rPr>
          <w:rFonts w:ascii="Verdana" w:hAnsi="Verdana"/>
          <w:lang w:val="es-ES_tradnl"/>
        </w:rPr>
        <w:t xml:space="preserve"> repercutir en el ordenamiento</w:t>
      </w:r>
      <w:r w:rsidR="00B15F96">
        <w:rPr>
          <w:rFonts w:ascii="Verdana" w:hAnsi="Verdana"/>
          <w:lang w:val="es-ES_tradnl"/>
        </w:rPr>
        <w:t>, la interpretación</w:t>
      </w:r>
      <w:r w:rsidR="000F623D">
        <w:rPr>
          <w:rFonts w:ascii="Verdana" w:hAnsi="Verdana"/>
          <w:lang w:val="es-ES_tradnl"/>
        </w:rPr>
        <w:t xml:space="preserve"> y </w:t>
      </w:r>
      <w:r w:rsidR="00B15F96">
        <w:rPr>
          <w:rFonts w:ascii="Verdana" w:hAnsi="Verdana"/>
          <w:lang w:val="es-ES_tradnl"/>
        </w:rPr>
        <w:t xml:space="preserve">las </w:t>
      </w:r>
      <w:r w:rsidR="000F623D">
        <w:rPr>
          <w:rFonts w:ascii="Verdana" w:hAnsi="Verdana"/>
          <w:lang w:val="es-ES_tradnl"/>
        </w:rPr>
        <w:t>prácticas</w:t>
      </w:r>
      <w:r w:rsidR="0094414C">
        <w:rPr>
          <w:rFonts w:ascii="Verdana" w:hAnsi="Verdana"/>
          <w:lang w:val="es-ES_tradnl"/>
        </w:rPr>
        <w:t xml:space="preserve"> de </w:t>
      </w:r>
      <w:r w:rsidR="0013611A">
        <w:rPr>
          <w:rFonts w:ascii="Verdana" w:hAnsi="Verdana"/>
          <w:lang w:val="es-ES_tradnl"/>
        </w:rPr>
        <w:t xml:space="preserve">los Estados parte de la Convención </w:t>
      </w:r>
      <w:r w:rsidR="00DF019F">
        <w:rPr>
          <w:rFonts w:ascii="Verdana" w:hAnsi="Verdana"/>
          <w:lang w:val="es-ES_tradnl"/>
        </w:rPr>
        <w:t>Americana</w:t>
      </w:r>
      <w:r w:rsidR="0094414C">
        <w:rPr>
          <w:rFonts w:ascii="Verdana" w:hAnsi="Verdana"/>
          <w:lang w:val="es-ES_tradnl"/>
        </w:rPr>
        <w:t xml:space="preserve">, </w:t>
      </w:r>
      <w:r w:rsidR="006C445C">
        <w:rPr>
          <w:rFonts w:ascii="Verdana" w:hAnsi="Verdana"/>
          <w:lang w:val="es-ES_tradnl"/>
        </w:rPr>
        <w:t>en términos del artículo 2 del Pacto de San José; y en virtud del</w:t>
      </w:r>
      <w:r w:rsidR="0094414C">
        <w:rPr>
          <w:rFonts w:ascii="Verdana" w:hAnsi="Verdana"/>
          <w:lang w:val="es-ES_tradnl"/>
        </w:rPr>
        <w:t xml:space="preserve"> deber que tienen de efectuar un </w:t>
      </w:r>
      <w:r w:rsidR="000F623D">
        <w:rPr>
          <w:rFonts w:ascii="Verdana" w:hAnsi="Verdana"/>
          <w:lang w:val="es-ES_tradnl"/>
        </w:rPr>
        <w:t>“</w:t>
      </w:r>
      <w:r w:rsidR="0094414C">
        <w:rPr>
          <w:rFonts w:ascii="Verdana" w:hAnsi="Verdana"/>
          <w:lang w:val="es-ES_tradnl"/>
        </w:rPr>
        <w:t>control de convencionalidad</w:t>
      </w:r>
      <w:r w:rsidR="000F623D">
        <w:rPr>
          <w:rFonts w:ascii="Verdana" w:hAnsi="Verdana"/>
          <w:lang w:val="es-ES_tradnl"/>
        </w:rPr>
        <w:t>” acorde a</w:t>
      </w:r>
      <w:r w:rsidR="0094414C">
        <w:rPr>
          <w:rFonts w:ascii="Verdana" w:hAnsi="Verdana"/>
          <w:lang w:val="es-ES_tradnl"/>
        </w:rPr>
        <w:t xml:space="preserve"> las interpretaciones que contienen los precedentes de este tribunal internacional</w:t>
      </w:r>
      <w:r w:rsidR="000F623D">
        <w:rPr>
          <w:rFonts w:ascii="Verdana" w:hAnsi="Verdana"/>
          <w:lang w:val="es-ES_tradnl"/>
        </w:rPr>
        <w:t xml:space="preserve">, teniendo </w:t>
      </w:r>
      <w:r w:rsidR="00B2742B">
        <w:rPr>
          <w:rFonts w:ascii="Verdana" w:hAnsi="Verdana"/>
          <w:lang w:val="es-ES_tradnl"/>
        </w:rPr>
        <w:t xml:space="preserve">particularmente </w:t>
      </w:r>
      <w:r w:rsidR="000F623D">
        <w:rPr>
          <w:rFonts w:ascii="Verdana" w:hAnsi="Verdana"/>
          <w:lang w:val="es-ES_tradnl"/>
        </w:rPr>
        <w:t xml:space="preserve">en cuenta la eficacia de </w:t>
      </w:r>
      <w:r w:rsidR="00B2742B">
        <w:rPr>
          <w:rFonts w:ascii="Verdana" w:hAnsi="Verdana"/>
          <w:lang w:val="es-ES_tradnl"/>
        </w:rPr>
        <w:t xml:space="preserve">la </w:t>
      </w:r>
      <w:r w:rsidR="000F623D">
        <w:rPr>
          <w:rFonts w:ascii="Verdana" w:hAnsi="Verdana"/>
          <w:lang w:val="es-ES_tradnl"/>
        </w:rPr>
        <w:t>“norma convencional interpretada”</w:t>
      </w:r>
      <w:r w:rsidR="00B15F96">
        <w:rPr>
          <w:rFonts w:ascii="Verdana" w:hAnsi="Verdana"/>
          <w:lang w:val="es-ES_tradnl"/>
        </w:rPr>
        <w:t xml:space="preserve"> (</w:t>
      </w:r>
      <w:r w:rsidR="00B15F96" w:rsidRPr="006C445C">
        <w:rPr>
          <w:rFonts w:ascii="Verdana" w:hAnsi="Verdana"/>
          <w:i/>
          <w:lang w:val="es-ES_tradnl"/>
        </w:rPr>
        <w:t xml:space="preserve">res </w:t>
      </w:r>
      <w:proofErr w:type="spellStart"/>
      <w:r w:rsidR="00B15F96" w:rsidRPr="006C445C">
        <w:rPr>
          <w:rFonts w:ascii="Verdana" w:hAnsi="Verdana"/>
          <w:i/>
          <w:lang w:val="es-ES_tradnl"/>
        </w:rPr>
        <w:t>interpretata</w:t>
      </w:r>
      <w:proofErr w:type="spellEnd"/>
      <w:r w:rsidR="00B15F96">
        <w:rPr>
          <w:rFonts w:ascii="Verdana" w:hAnsi="Verdana"/>
          <w:lang w:val="es-ES_tradnl"/>
        </w:rPr>
        <w:t>)</w:t>
      </w:r>
      <w:r w:rsidR="0013611A">
        <w:rPr>
          <w:rStyle w:val="FootnoteReference"/>
          <w:rFonts w:ascii="Verdana" w:hAnsi="Verdana"/>
          <w:lang w:val="es-ES_tradnl"/>
        </w:rPr>
        <w:footnoteReference w:id="71"/>
      </w:r>
      <w:r w:rsidR="00BD48BD">
        <w:rPr>
          <w:rFonts w:ascii="Verdana" w:hAnsi="Verdana"/>
          <w:lang w:val="es-ES_tradnl"/>
        </w:rPr>
        <w:t xml:space="preserve">. </w:t>
      </w:r>
      <w:r w:rsidR="00741F96">
        <w:rPr>
          <w:rFonts w:ascii="Verdana" w:hAnsi="Verdana"/>
          <w:lang w:val="es-ES_tradnl"/>
        </w:rPr>
        <w:t xml:space="preserve">Con este punto de vista, se percibe la relevancia </w:t>
      </w:r>
      <w:r w:rsidR="00B2742B">
        <w:rPr>
          <w:rFonts w:ascii="Verdana" w:hAnsi="Verdana"/>
          <w:lang w:val="es-ES_tradnl"/>
        </w:rPr>
        <w:t>de ir elaborando</w:t>
      </w:r>
      <w:r w:rsidR="00741F96">
        <w:rPr>
          <w:rFonts w:ascii="Verdana" w:hAnsi="Verdana"/>
          <w:lang w:val="es-ES_tradnl"/>
        </w:rPr>
        <w:t xml:space="preserve"> </w:t>
      </w:r>
      <w:r w:rsidR="003511C2">
        <w:rPr>
          <w:rFonts w:ascii="Verdana" w:hAnsi="Verdana"/>
          <w:lang w:val="es-ES_tradnl"/>
        </w:rPr>
        <w:t xml:space="preserve">tales lineamientos generales que, por lo anterior, influirían positivamente para </w:t>
      </w:r>
      <w:r w:rsidR="003511C2" w:rsidRPr="008641EB">
        <w:rPr>
          <w:rFonts w:ascii="Verdana" w:hAnsi="Verdana"/>
          <w:i/>
          <w:lang w:val="es-ES_tradnl"/>
        </w:rPr>
        <w:t xml:space="preserve">fortalecer </w:t>
      </w:r>
      <w:r w:rsidR="0094414C">
        <w:rPr>
          <w:rFonts w:ascii="Verdana" w:hAnsi="Verdana"/>
          <w:i/>
          <w:lang w:val="es-ES_tradnl"/>
        </w:rPr>
        <w:t>la aplicación generalizada de las garantías d</w:t>
      </w:r>
      <w:r w:rsidR="003511C2" w:rsidRPr="008641EB">
        <w:rPr>
          <w:rFonts w:ascii="Verdana" w:hAnsi="Verdana"/>
          <w:i/>
          <w:lang w:val="es-ES_tradnl"/>
        </w:rPr>
        <w:t>el debido proceso y la vigencia de las garantías mínimas penales en todo procedimiento sancionador</w:t>
      </w:r>
      <w:r w:rsidR="003511C2">
        <w:rPr>
          <w:rFonts w:ascii="Verdana" w:hAnsi="Verdana"/>
          <w:lang w:val="es-ES_tradnl"/>
        </w:rPr>
        <w:t xml:space="preserve"> </w:t>
      </w:r>
      <w:r w:rsidR="0094414C">
        <w:rPr>
          <w:rFonts w:ascii="Verdana" w:hAnsi="Verdana"/>
          <w:lang w:val="es-ES_tradnl"/>
        </w:rPr>
        <w:t>en la región</w:t>
      </w:r>
      <w:r w:rsidR="003511C2">
        <w:rPr>
          <w:rFonts w:ascii="Verdana" w:hAnsi="Verdana"/>
          <w:lang w:val="es-ES_tradnl"/>
        </w:rPr>
        <w:t>. A este propósito, y con el objeto de iniciar la reflexión sobre estas cuestiones, me permito manifestar mi posición a su respecto</w:t>
      </w:r>
      <w:r w:rsidR="003511C2" w:rsidRPr="003511C2">
        <w:rPr>
          <w:rFonts w:ascii="Verdana" w:hAnsi="Verdana"/>
          <w:lang w:val="es-ES_tradnl"/>
        </w:rPr>
        <w:t xml:space="preserve"> </w:t>
      </w:r>
      <w:r w:rsidR="003511C2">
        <w:rPr>
          <w:rFonts w:ascii="Verdana" w:hAnsi="Verdana"/>
          <w:lang w:val="es-ES_tradnl"/>
        </w:rPr>
        <w:t>en las siguientes líneas.</w:t>
      </w:r>
    </w:p>
    <w:p w14:paraId="3137E825" w14:textId="77777777" w:rsidR="000B6820" w:rsidRPr="00D16A3F" w:rsidRDefault="000B6820" w:rsidP="00A24C2B">
      <w:pPr>
        <w:pStyle w:val="NormalWeb"/>
        <w:spacing w:before="0" w:beforeAutospacing="0" w:after="0" w:afterAutospacing="0"/>
        <w:jc w:val="both"/>
        <w:rPr>
          <w:rFonts w:ascii="Verdana" w:hAnsi="Verdana"/>
          <w:lang w:val="es-ES_tradnl"/>
        </w:rPr>
      </w:pPr>
    </w:p>
    <w:p w14:paraId="596DED1E" w14:textId="2895E93D" w:rsidR="00F65875" w:rsidRPr="00D21CD1" w:rsidRDefault="00F65875" w:rsidP="00A24C2B">
      <w:pPr>
        <w:ind w:left="709"/>
        <w:jc w:val="both"/>
        <w:outlineLvl w:val="2"/>
        <w:rPr>
          <w:rFonts w:ascii="Verdana" w:eastAsia="Batang" w:hAnsi="Verdana" w:cs="Times"/>
          <w:i/>
          <w:noProof/>
          <w:sz w:val="20"/>
          <w:lang w:eastAsia="en-US"/>
        </w:rPr>
      </w:pPr>
      <w:r w:rsidRPr="00800F6F">
        <w:rPr>
          <w:rFonts w:ascii="Verdana" w:eastAsia="Batang" w:hAnsi="Verdana" w:cs="Times"/>
          <w:b/>
          <w:i/>
          <w:noProof/>
          <w:sz w:val="20"/>
          <w:lang w:eastAsia="en-US"/>
        </w:rPr>
        <w:tab/>
      </w:r>
      <w:r w:rsidR="00D21CD1" w:rsidRPr="00D21CD1">
        <w:rPr>
          <w:rFonts w:ascii="Verdana" w:eastAsia="Batang" w:hAnsi="Verdana" w:cs="Times"/>
          <w:i/>
          <w:noProof/>
          <w:sz w:val="20"/>
          <w:lang w:eastAsia="en-US"/>
        </w:rPr>
        <w:t xml:space="preserve">ii) </w:t>
      </w:r>
      <w:r w:rsidRPr="00800F6F">
        <w:rPr>
          <w:rFonts w:ascii="Verdana" w:eastAsia="Batang" w:hAnsi="Verdana" w:cs="Times"/>
          <w:b/>
          <w:i/>
          <w:noProof/>
          <w:sz w:val="20"/>
          <w:lang w:eastAsia="en-US"/>
        </w:rPr>
        <w:t xml:space="preserve"> </w:t>
      </w:r>
      <w:r w:rsidR="00E41CEE" w:rsidRPr="00D21CD1">
        <w:rPr>
          <w:rFonts w:ascii="Verdana" w:eastAsia="Batang" w:hAnsi="Verdana" w:cs="Times"/>
          <w:i/>
          <w:noProof/>
          <w:sz w:val="20"/>
          <w:lang w:eastAsia="en-US"/>
        </w:rPr>
        <w:t>Comparación y diálogo jurídicos: La doctrina y la jurisprudencia españolas, elementos clave para la aplicación extensiva de las garantías penales a otros ámbitos sancionadores</w:t>
      </w:r>
    </w:p>
    <w:p w14:paraId="02EEBCED" w14:textId="77777777" w:rsidR="00314281" w:rsidRDefault="00314281" w:rsidP="000E6EDD">
      <w:pPr>
        <w:pStyle w:val="NormalWeb"/>
        <w:spacing w:before="0" w:beforeAutospacing="0" w:after="0" w:afterAutospacing="0"/>
        <w:jc w:val="both"/>
        <w:rPr>
          <w:rFonts w:ascii="Verdana" w:hAnsi="Verdana"/>
          <w:lang w:val="es-ES_tradnl"/>
        </w:rPr>
      </w:pPr>
    </w:p>
    <w:p w14:paraId="5AB1B27E" w14:textId="279D4D63" w:rsidR="00E37324"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41</w:t>
      </w:r>
      <w:r w:rsidR="00F65875">
        <w:rPr>
          <w:rFonts w:ascii="Verdana" w:hAnsi="Verdana"/>
          <w:lang w:val="es-ES_tradnl"/>
        </w:rPr>
        <w:t>.</w:t>
      </w:r>
      <w:r w:rsidR="00F65875">
        <w:rPr>
          <w:rFonts w:ascii="Verdana" w:hAnsi="Verdana"/>
          <w:lang w:val="es-ES_tradnl"/>
        </w:rPr>
        <w:tab/>
        <w:t>Considero que la experiencia española relativa a la extensión de las garantías del proceso penal al procedimiento administrativo sancionador es de suma utilidad para elaborar reglas g</w:t>
      </w:r>
      <w:r w:rsidR="001F19C3">
        <w:rPr>
          <w:rFonts w:ascii="Verdana" w:hAnsi="Verdana"/>
          <w:lang w:val="es-ES_tradnl"/>
        </w:rPr>
        <w:t>enerales sobre el tema para el Sistema I</w:t>
      </w:r>
      <w:r w:rsidR="00F65875">
        <w:rPr>
          <w:rFonts w:ascii="Verdana" w:hAnsi="Verdana"/>
          <w:lang w:val="es-ES_tradnl"/>
        </w:rPr>
        <w:t xml:space="preserve">nteramericano. Lo anterior </w:t>
      </w:r>
      <w:r w:rsidR="00E37324">
        <w:rPr>
          <w:rFonts w:ascii="Verdana" w:hAnsi="Verdana"/>
          <w:lang w:val="es-ES_tradnl"/>
        </w:rPr>
        <w:t xml:space="preserve">por </w:t>
      </w:r>
      <w:r w:rsidR="00F65875">
        <w:rPr>
          <w:rFonts w:ascii="Verdana" w:hAnsi="Verdana"/>
          <w:lang w:val="es-ES_tradnl"/>
        </w:rPr>
        <w:t>estas</w:t>
      </w:r>
      <w:r w:rsidR="00E37324">
        <w:rPr>
          <w:rFonts w:ascii="Verdana" w:hAnsi="Verdana"/>
          <w:lang w:val="es-ES_tradnl"/>
        </w:rPr>
        <w:t xml:space="preserve"> razones: </w:t>
      </w:r>
      <w:r w:rsidR="0025055F">
        <w:rPr>
          <w:rFonts w:ascii="Verdana" w:hAnsi="Verdana"/>
          <w:lang w:val="es-ES_tradnl"/>
        </w:rPr>
        <w:t>(i)</w:t>
      </w:r>
      <w:r w:rsidR="00E37324">
        <w:rPr>
          <w:rFonts w:ascii="Verdana" w:hAnsi="Verdana"/>
          <w:lang w:val="es-ES_tradnl"/>
        </w:rPr>
        <w:t xml:space="preserve"> </w:t>
      </w:r>
      <w:r w:rsidR="00E41CEE">
        <w:rPr>
          <w:rFonts w:ascii="Verdana" w:hAnsi="Verdana"/>
          <w:lang w:val="es-ES_tradnl"/>
        </w:rPr>
        <w:t>el sistema jurídico español en general, y por supuesto en los ámbitos penal y administrativo, se ha nutrido</w:t>
      </w:r>
      <w:r w:rsidR="00E37324">
        <w:rPr>
          <w:rFonts w:ascii="Verdana" w:hAnsi="Verdana"/>
          <w:lang w:val="es-ES_tradnl"/>
        </w:rPr>
        <w:t xml:space="preserve"> </w:t>
      </w:r>
      <w:r w:rsidR="00E41CEE">
        <w:rPr>
          <w:rFonts w:ascii="Verdana" w:hAnsi="Verdana"/>
          <w:lang w:val="es-ES_tradnl"/>
        </w:rPr>
        <w:t>del conocimiento teórico y dogmático de otros</w:t>
      </w:r>
      <w:r w:rsidR="00E37324">
        <w:rPr>
          <w:rFonts w:ascii="Verdana" w:hAnsi="Verdana"/>
          <w:lang w:val="es-ES_tradnl"/>
        </w:rPr>
        <w:t xml:space="preserve"> </w:t>
      </w:r>
      <w:r w:rsidR="00E41CEE">
        <w:rPr>
          <w:rFonts w:ascii="Verdana" w:hAnsi="Verdana"/>
          <w:lang w:val="es-ES_tradnl"/>
        </w:rPr>
        <w:t xml:space="preserve">ordenamientos </w:t>
      </w:r>
      <w:r w:rsidR="00E37324">
        <w:rPr>
          <w:rFonts w:ascii="Verdana" w:hAnsi="Verdana"/>
          <w:lang w:val="es-ES_tradnl"/>
        </w:rPr>
        <w:t>reconocid</w:t>
      </w:r>
      <w:r w:rsidR="00E41CEE">
        <w:rPr>
          <w:rFonts w:ascii="Verdana" w:hAnsi="Verdana"/>
          <w:lang w:val="es-ES_tradnl"/>
        </w:rPr>
        <w:t>o</w:t>
      </w:r>
      <w:r w:rsidR="00E37324">
        <w:rPr>
          <w:rFonts w:ascii="Verdana" w:hAnsi="Verdana"/>
          <w:lang w:val="es-ES_tradnl"/>
        </w:rPr>
        <w:t>s por su calidad</w:t>
      </w:r>
      <w:r w:rsidR="00E41CEE">
        <w:rPr>
          <w:rFonts w:ascii="Verdana" w:hAnsi="Verdana"/>
          <w:lang w:val="es-ES_tradnl"/>
        </w:rPr>
        <w:t xml:space="preserve"> —para el tema que nos interesa destacan Alemania y Francia—</w:t>
      </w:r>
      <w:r w:rsidR="008B3C8D">
        <w:rPr>
          <w:rFonts w:ascii="Verdana" w:hAnsi="Verdana"/>
          <w:lang w:val="es-ES_tradnl"/>
        </w:rPr>
        <w:t xml:space="preserve">; </w:t>
      </w:r>
      <w:r w:rsidR="0025055F">
        <w:rPr>
          <w:rFonts w:ascii="Verdana" w:hAnsi="Verdana"/>
          <w:lang w:val="es-ES_tradnl"/>
        </w:rPr>
        <w:t>(ii)</w:t>
      </w:r>
      <w:r w:rsidR="00F65875">
        <w:rPr>
          <w:rFonts w:ascii="Verdana" w:hAnsi="Verdana"/>
          <w:lang w:val="es-ES_tradnl"/>
        </w:rPr>
        <w:t xml:space="preserve"> en dicho sistema ha tenido lugar desde décadas atrás una muy amplia y profunda discusión doctrinal y jurisprudencial sobre el tema, que </w:t>
      </w:r>
      <w:r w:rsidR="00E41CEE">
        <w:rPr>
          <w:rFonts w:ascii="Verdana" w:hAnsi="Verdana"/>
          <w:lang w:val="es-ES_tradnl"/>
        </w:rPr>
        <w:t>ha arrojado luz</w:t>
      </w:r>
      <w:r w:rsidR="00F65875">
        <w:rPr>
          <w:rFonts w:ascii="Verdana" w:hAnsi="Verdana"/>
          <w:lang w:val="es-ES_tradnl"/>
        </w:rPr>
        <w:t xml:space="preserve"> </w:t>
      </w:r>
      <w:r w:rsidR="00E41CEE">
        <w:rPr>
          <w:rFonts w:ascii="Verdana" w:hAnsi="Verdana"/>
          <w:lang w:val="es-ES_tradnl"/>
        </w:rPr>
        <w:t>sobre la gran mayoría de sus aspectos,</w:t>
      </w:r>
      <w:r w:rsidR="00F65875">
        <w:rPr>
          <w:rFonts w:ascii="Verdana" w:hAnsi="Verdana"/>
          <w:lang w:val="es-ES_tradnl"/>
        </w:rPr>
        <w:t xml:space="preserve"> y</w:t>
      </w:r>
      <w:r w:rsidR="00E41CEE">
        <w:rPr>
          <w:rFonts w:ascii="Verdana" w:hAnsi="Verdana"/>
          <w:lang w:val="es-ES_tradnl"/>
        </w:rPr>
        <w:t xml:space="preserve"> que</w:t>
      </w:r>
      <w:r w:rsidR="00F65875">
        <w:rPr>
          <w:rFonts w:ascii="Verdana" w:hAnsi="Verdana"/>
          <w:lang w:val="es-ES_tradnl"/>
        </w:rPr>
        <w:t xml:space="preserve"> se halla muy próxima a una solución satisfactoria de la cuestión; </w:t>
      </w:r>
      <w:r w:rsidR="0025055F">
        <w:rPr>
          <w:rFonts w:ascii="Verdana" w:hAnsi="Verdana"/>
          <w:lang w:val="es-ES_tradnl"/>
        </w:rPr>
        <w:t>(iii)</w:t>
      </w:r>
      <w:r w:rsidR="008B3C8D">
        <w:rPr>
          <w:rFonts w:ascii="Verdana" w:hAnsi="Verdana"/>
          <w:lang w:val="es-ES_tradnl"/>
        </w:rPr>
        <w:t xml:space="preserve"> el acceso lingüístico a sus </w:t>
      </w:r>
      <w:r w:rsidR="00566373">
        <w:rPr>
          <w:rFonts w:ascii="Verdana" w:hAnsi="Verdana"/>
          <w:lang w:val="es-ES_tradnl"/>
        </w:rPr>
        <w:t>materiales</w:t>
      </w:r>
      <w:r w:rsidR="008B3C8D">
        <w:rPr>
          <w:rFonts w:ascii="Verdana" w:hAnsi="Verdana"/>
          <w:lang w:val="es-ES_tradnl"/>
        </w:rPr>
        <w:t xml:space="preserve"> legales, doctrinales y jurisprudenciales no comporta problema para la mayoría de los justiciables </w:t>
      </w:r>
      <w:r w:rsidR="001F19C3">
        <w:rPr>
          <w:rFonts w:ascii="Verdana" w:hAnsi="Verdana"/>
          <w:lang w:val="es-ES_tradnl"/>
        </w:rPr>
        <w:t xml:space="preserve">que están bajo la jurisdicción </w:t>
      </w:r>
      <w:r w:rsidR="008B3C8D">
        <w:rPr>
          <w:rFonts w:ascii="Verdana" w:hAnsi="Verdana"/>
          <w:lang w:val="es-ES_tradnl"/>
        </w:rPr>
        <w:t xml:space="preserve">de este Tribunal Interamericano; y </w:t>
      </w:r>
      <w:r w:rsidR="0025055F">
        <w:rPr>
          <w:rFonts w:ascii="Verdana" w:hAnsi="Verdana"/>
          <w:lang w:val="es-ES_tradnl"/>
        </w:rPr>
        <w:t>(iv</w:t>
      </w:r>
      <w:r w:rsidR="008B3C8D">
        <w:rPr>
          <w:rFonts w:ascii="Verdana" w:hAnsi="Verdana"/>
          <w:lang w:val="es-ES_tradnl"/>
        </w:rPr>
        <w:t xml:space="preserve">) en su transición democrática y en el cambio que </w:t>
      </w:r>
      <w:r w:rsidR="00566373">
        <w:rPr>
          <w:rFonts w:ascii="Verdana" w:hAnsi="Verdana"/>
          <w:lang w:val="es-ES_tradnl"/>
        </w:rPr>
        <w:t xml:space="preserve">ésta </w:t>
      </w:r>
      <w:r w:rsidR="008B3C8D">
        <w:rPr>
          <w:rFonts w:ascii="Verdana" w:hAnsi="Verdana"/>
          <w:lang w:val="es-ES_tradnl"/>
        </w:rPr>
        <w:t xml:space="preserve">operó en las concepciones sobre el </w:t>
      </w:r>
      <w:proofErr w:type="spellStart"/>
      <w:r w:rsidR="008B3C8D" w:rsidRPr="00566373">
        <w:rPr>
          <w:rFonts w:ascii="Verdana" w:hAnsi="Verdana"/>
          <w:i/>
          <w:lang w:val="es-ES_tradnl"/>
        </w:rPr>
        <w:t>ius</w:t>
      </w:r>
      <w:proofErr w:type="spellEnd"/>
      <w:r w:rsidR="008B3C8D" w:rsidRPr="00566373">
        <w:rPr>
          <w:rFonts w:ascii="Verdana" w:hAnsi="Verdana"/>
          <w:i/>
          <w:lang w:val="es-ES_tradnl"/>
        </w:rPr>
        <w:t xml:space="preserve"> </w:t>
      </w:r>
      <w:proofErr w:type="spellStart"/>
      <w:r w:rsidR="008B3C8D" w:rsidRPr="00566373">
        <w:rPr>
          <w:rFonts w:ascii="Verdana" w:hAnsi="Verdana"/>
          <w:i/>
          <w:lang w:val="es-ES_tradnl"/>
        </w:rPr>
        <w:t>puniendi</w:t>
      </w:r>
      <w:proofErr w:type="spellEnd"/>
      <w:r w:rsidR="000A171F">
        <w:rPr>
          <w:rFonts w:ascii="Verdana" w:hAnsi="Verdana"/>
          <w:lang w:val="es-ES_tradnl"/>
        </w:rPr>
        <w:t xml:space="preserve"> estatal</w:t>
      </w:r>
      <w:r w:rsidR="008B3C8D">
        <w:rPr>
          <w:rFonts w:ascii="Verdana" w:hAnsi="Verdana"/>
          <w:lang w:val="es-ES_tradnl"/>
        </w:rPr>
        <w:t xml:space="preserve"> pueden verse reflejados varios Estados parte de la Convención</w:t>
      </w:r>
      <w:r w:rsidR="00DF019F">
        <w:rPr>
          <w:rFonts w:ascii="Verdana" w:hAnsi="Verdana"/>
          <w:lang w:val="es-ES_tradnl"/>
        </w:rPr>
        <w:t xml:space="preserve"> Americana</w:t>
      </w:r>
      <w:r w:rsidR="00566373">
        <w:rPr>
          <w:rFonts w:ascii="Verdana" w:hAnsi="Verdana"/>
          <w:lang w:val="es-ES_tradnl"/>
        </w:rPr>
        <w:t xml:space="preserve">. Tales motivos me llevan a pensar que este ejercicio </w:t>
      </w:r>
      <w:r w:rsidR="00156886">
        <w:rPr>
          <w:rFonts w:ascii="Verdana" w:hAnsi="Verdana"/>
          <w:lang w:val="es-ES_tradnl"/>
        </w:rPr>
        <w:t xml:space="preserve">de derecho </w:t>
      </w:r>
      <w:r w:rsidR="001F19C3">
        <w:rPr>
          <w:rFonts w:ascii="Verdana" w:hAnsi="Verdana"/>
          <w:lang w:val="es-ES_tradnl"/>
        </w:rPr>
        <w:t>comparado resulta pertinente y sería</w:t>
      </w:r>
      <w:r w:rsidR="00566373">
        <w:rPr>
          <w:rFonts w:ascii="Verdana" w:hAnsi="Verdana"/>
          <w:lang w:val="es-ES_tradnl"/>
        </w:rPr>
        <w:t xml:space="preserve"> provechoso para </w:t>
      </w:r>
      <w:r w:rsidR="000A171F">
        <w:rPr>
          <w:rFonts w:ascii="Verdana" w:hAnsi="Verdana"/>
          <w:lang w:val="es-ES_tradnl"/>
        </w:rPr>
        <w:t xml:space="preserve">construir estándares </w:t>
      </w:r>
      <w:r w:rsidR="00566373">
        <w:rPr>
          <w:rFonts w:ascii="Verdana" w:hAnsi="Verdana"/>
          <w:lang w:val="es-ES_tradnl"/>
        </w:rPr>
        <w:t>interamericano</w:t>
      </w:r>
      <w:r w:rsidR="000A171F">
        <w:rPr>
          <w:rFonts w:ascii="Verdana" w:hAnsi="Verdana"/>
          <w:lang w:val="es-ES_tradnl"/>
        </w:rPr>
        <w:t>s</w:t>
      </w:r>
      <w:r w:rsidR="00566373">
        <w:rPr>
          <w:rFonts w:ascii="Verdana" w:hAnsi="Verdana"/>
          <w:lang w:val="es-ES_tradnl"/>
        </w:rPr>
        <w:t xml:space="preserve"> para el tema que nos ocupa.</w:t>
      </w:r>
    </w:p>
    <w:p w14:paraId="7D6FB578" w14:textId="77777777" w:rsidR="00BB79B3" w:rsidRDefault="00BB79B3" w:rsidP="000E6EDD">
      <w:pPr>
        <w:pStyle w:val="NormalWeb"/>
        <w:spacing w:before="0" w:beforeAutospacing="0" w:after="0" w:afterAutospacing="0"/>
        <w:jc w:val="both"/>
        <w:rPr>
          <w:rFonts w:ascii="Verdana" w:hAnsi="Verdana"/>
          <w:lang w:val="es-ES_tradnl"/>
        </w:rPr>
      </w:pPr>
    </w:p>
    <w:p w14:paraId="6C37D0EA" w14:textId="05D5663B" w:rsidR="005665D7"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42</w:t>
      </w:r>
      <w:r w:rsidR="00566373">
        <w:rPr>
          <w:rFonts w:ascii="Verdana" w:hAnsi="Verdana"/>
          <w:lang w:val="es-ES_tradnl"/>
        </w:rPr>
        <w:t>.</w:t>
      </w:r>
      <w:r w:rsidR="00566373">
        <w:rPr>
          <w:rFonts w:ascii="Verdana" w:hAnsi="Verdana"/>
          <w:lang w:val="es-ES_tradnl"/>
        </w:rPr>
        <w:tab/>
      </w:r>
      <w:r w:rsidR="00EB34A1">
        <w:rPr>
          <w:rFonts w:ascii="Verdana" w:hAnsi="Verdana"/>
          <w:lang w:val="es-ES_tradnl"/>
        </w:rPr>
        <w:t>El postulado fundamental español</w:t>
      </w:r>
      <w:r w:rsidR="007E7806">
        <w:rPr>
          <w:rFonts w:ascii="Verdana" w:hAnsi="Verdana"/>
          <w:lang w:val="es-ES_tradnl"/>
        </w:rPr>
        <w:t xml:space="preserve">, absolutamente dominante, es que la potestad punitiva del Estado es </w:t>
      </w:r>
      <w:r w:rsidR="007E7806">
        <w:rPr>
          <w:rFonts w:ascii="Verdana" w:hAnsi="Verdana"/>
          <w:i/>
          <w:lang w:val="es-ES_tradnl"/>
        </w:rPr>
        <w:t>una sola</w:t>
      </w:r>
      <w:r w:rsidR="007E7806">
        <w:rPr>
          <w:rFonts w:ascii="Verdana" w:hAnsi="Verdana"/>
          <w:lang w:val="es-ES_tradnl"/>
        </w:rPr>
        <w:t xml:space="preserve">, y comprende </w:t>
      </w:r>
      <w:r w:rsidR="000C3665">
        <w:rPr>
          <w:rFonts w:ascii="Verdana" w:hAnsi="Verdana"/>
          <w:lang w:val="es-ES_tradnl"/>
        </w:rPr>
        <w:t>por lo</w:t>
      </w:r>
      <w:r w:rsidR="007E7806">
        <w:rPr>
          <w:rFonts w:ascii="Verdana" w:hAnsi="Verdana"/>
          <w:lang w:val="es-ES_tradnl"/>
        </w:rPr>
        <w:t xml:space="preserve"> menos dos manifestaciones: el Derecho penal y el administrativo sancionador, que por su naturaleza común se rigen por los mismos principios.</w:t>
      </w:r>
      <w:r w:rsidR="007E7806">
        <w:rPr>
          <w:rStyle w:val="FootnoteReference"/>
          <w:rFonts w:ascii="Verdana" w:hAnsi="Verdana"/>
          <w:lang w:val="es-ES_tradnl"/>
        </w:rPr>
        <w:footnoteReference w:id="72"/>
      </w:r>
      <w:r w:rsidR="000A171F">
        <w:rPr>
          <w:rFonts w:ascii="Verdana" w:hAnsi="Verdana"/>
          <w:lang w:val="es-ES_tradnl"/>
        </w:rPr>
        <w:t xml:space="preserve"> La unidad del </w:t>
      </w:r>
      <w:proofErr w:type="spellStart"/>
      <w:r w:rsidR="000A171F" w:rsidRPr="000A171F">
        <w:rPr>
          <w:rFonts w:ascii="Verdana" w:hAnsi="Verdana"/>
          <w:i/>
          <w:lang w:val="es-ES_tradnl"/>
        </w:rPr>
        <w:t>ius</w:t>
      </w:r>
      <w:proofErr w:type="spellEnd"/>
      <w:r w:rsidR="000A171F" w:rsidRPr="000A171F">
        <w:rPr>
          <w:rFonts w:ascii="Verdana" w:hAnsi="Verdana"/>
          <w:i/>
          <w:lang w:val="es-ES_tradnl"/>
        </w:rPr>
        <w:t xml:space="preserve"> </w:t>
      </w:r>
      <w:proofErr w:type="spellStart"/>
      <w:r w:rsidR="000A171F" w:rsidRPr="000A171F">
        <w:rPr>
          <w:rFonts w:ascii="Verdana" w:hAnsi="Verdana"/>
          <w:i/>
          <w:lang w:val="es-ES_tradnl"/>
        </w:rPr>
        <w:t>puniendi</w:t>
      </w:r>
      <w:proofErr w:type="spellEnd"/>
      <w:r w:rsidR="000A171F">
        <w:rPr>
          <w:rFonts w:ascii="Verdana" w:hAnsi="Verdana"/>
          <w:lang w:val="es-ES_tradnl"/>
        </w:rPr>
        <w:t xml:space="preserve"> estatal es signo de un ordenamiento garantista y democrático: durante el franquismo, en España se mantuvo rigurosamente la separación </w:t>
      </w:r>
      <w:r w:rsidR="00CD5A01">
        <w:rPr>
          <w:rFonts w:ascii="Verdana" w:hAnsi="Verdana"/>
          <w:lang w:val="es-ES_tradnl"/>
        </w:rPr>
        <w:t>de</w:t>
      </w:r>
      <w:r w:rsidR="000A171F">
        <w:rPr>
          <w:rFonts w:ascii="Verdana" w:hAnsi="Verdana"/>
          <w:lang w:val="es-ES_tradnl"/>
        </w:rPr>
        <w:t xml:space="preserve"> las sancione</w:t>
      </w:r>
      <w:r w:rsidR="00CD5A01">
        <w:rPr>
          <w:rFonts w:ascii="Verdana" w:hAnsi="Verdana"/>
          <w:lang w:val="es-ES_tradnl"/>
        </w:rPr>
        <w:t>s penales y las administrativas,</w:t>
      </w:r>
      <w:r w:rsidR="000A171F">
        <w:rPr>
          <w:rFonts w:ascii="Verdana" w:hAnsi="Verdana"/>
          <w:lang w:val="es-ES_tradnl"/>
        </w:rPr>
        <w:t xml:space="preserve"> y se afirmaba </w:t>
      </w:r>
      <w:r w:rsidR="00ED0390">
        <w:rPr>
          <w:rFonts w:ascii="Verdana" w:hAnsi="Verdana"/>
          <w:lang w:val="es-ES_tradnl"/>
        </w:rPr>
        <w:t>su</w:t>
      </w:r>
      <w:r w:rsidR="000A171F">
        <w:rPr>
          <w:rFonts w:ascii="Verdana" w:hAnsi="Verdana"/>
          <w:lang w:val="es-ES_tradnl"/>
        </w:rPr>
        <w:t xml:space="preserve"> diferente naturaleza</w:t>
      </w:r>
      <w:r w:rsidR="00B063F5">
        <w:rPr>
          <w:rFonts w:ascii="Verdana" w:hAnsi="Verdana"/>
          <w:lang w:val="es-ES_tradnl"/>
        </w:rPr>
        <w:t xml:space="preserve"> —</w:t>
      </w:r>
      <w:r w:rsidR="00B063F5" w:rsidRPr="00B063F5">
        <w:rPr>
          <w:rFonts w:ascii="Verdana" w:hAnsi="Verdana"/>
          <w:lang w:val="es-ES_tradnl"/>
        </w:rPr>
        <w:t xml:space="preserve"> </w:t>
      </w:r>
      <w:r w:rsidR="00B063F5">
        <w:rPr>
          <w:rFonts w:ascii="Verdana" w:hAnsi="Verdana"/>
          <w:lang w:val="es-ES_tradnl"/>
        </w:rPr>
        <w:t>concibiéndolas como actos políticos o discrecionales sustraídos del control judicial—</w:t>
      </w:r>
      <w:r w:rsidR="00ED0390">
        <w:rPr>
          <w:rFonts w:ascii="Verdana" w:hAnsi="Verdana"/>
          <w:lang w:val="es-ES_tradnl"/>
        </w:rPr>
        <w:t xml:space="preserve">, con el propósito de excluir a las últimas de </w:t>
      </w:r>
      <w:r w:rsidR="00CD5A01">
        <w:rPr>
          <w:rFonts w:ascii="Verdana" w:hAnsi="Verdana"/>
          <w:lang w:val="es-ES_tradnl"/>
        </w:rPr>
        <w:t>regirse por</w:t>
      </w:r>
      <w:r w:rsidR="00ED0390">
        <w:rPr>
          <w:rFonts w:ascii="Verdana" w:hAnsi="Verdana"/>
          <w:lang w:val="es-ES_tradnl"/>
        </w:rPr>
        <w:t xml:space="preserve"> las garantías legalmente previstas para las </w:t>
      </w:r>
      <w:r w:rsidR="00B063F5">
        <w:rPr>
          <w:rFonts w:ascii="Verdana" w:hAnsi="Verdana"/>
          <w:lang w:val="es-ES_tradnl"/>
        </w:rPr>
        <w:t>primeras</w:t>
      </w:r>
      <w:r w:rsidR="000A171F">
        <w:rPr>
          <w:rFonts w:ascii="Verdana" w:hAnsi="Verdana"/>
          <w:lang w:val="es-ES_tradnl"/>
        </w:rPr>
        <w:t xml:space="preserve">; </w:t>
      </w:r>
      <w:r w:rsidR="009B3B2B">
        <w:rPr>
          <w:rFonts w:ascii="Verdana" w:hAnsi="Verdana"/>
          <w:lang w:val="es-ES_tradnl"/>
        </w:rPr>
        <w:t>aunque iniciada por el Tribunal Supremo en la década de los setenta, l</w:t>
      </w:r>
      <w:r w:rsidR="000A171F">
        <w:rPr>
          <w:rFonts w:ascii="Verdana" w:hAnsi="Verdana"/>
          <w:lang w:val="es-ES_tradnl"/>
        </w:rPr>
        <w:t xml:space="preserve">a </w:t>
      </w:r>
      <w:r w:rsidR="000A171F">
        <w:rPr>
          <w:rFonts w:ascii="Verdana" w:hAnsi="Verdana"/>
          <w:lang w:val="es-ES_tradnl"/>
        </w:rPr>
        <w:lastRenderedPageBreak/>
        <w:t xml:space="preserve">Constitución </w:t>
      </w:r>
      <w:r w:rsidR="00B063F5">
        <w:rPr>
          <w:rFonts w:ascii="Verdana" w:hAnsi="Verdana"/>
          <w:lang w:val="es-ES_tradnl"/>
        </w:rPr>
        <w:t xml:space="preserve">democrática </w:t>
      </w:r>
      <w:r w:rsidR="000A171F">
        <w:rPr>
          <w:rFonts w:ascii="Verdana" w:hAnsi="Verdana"/>
          <w:lang w:val="es-ES_tradnl"/>
        </w:rPr>
        <w:t xml:space="preserve">de 1978 y su posterior interpretación </w:t>
      </w:r>
      <w:r w:rsidR="009B3B2B">
        <w:rPr>
          <w:rFonts w:ascii="Verdana" w:hAnsi="Verdana"/>
          <w:lang w:val="es-ES_tradnl"/>
        </w:rPr>
        <w:t>consolidó la unidad de la potestad punitiva estatal</w:t>
      </w:r>
      <w:r w:rsidR="00D24AA2">
        <w:rPr>
          <w:rFonts w:ascii="Verdana" w:hAnsi="Verdana"/>
          <w:lang w:val="es-ES_tradnl"/>
        </w:rPr>
        <w:t>, y sujetó su vertiente administrativa a reglas constitucionales y al control contencioso</w:t>
      </w:r>
      <w:r w:rsidR="009B3B2B">
        <w:rPr>
          <w:rStyle w:val="FootnoteReference"/>
          <w:rFonts w:ascii="Verdana" w:hAnsi="Verdana"/>
          <w:lang w:val="es-ES_tradnl"/>
        </w:rPr>
        <w:footnoteReference w:id="73"/>
      </w:r>
      <w:r w:rsidR="00CD5A01">
        <w:rPr>
          <w:rFonts w:ascii="Verdana" w:hAnsi="Verdana"/>
          <w:lang w:val="es-ES_tradnl"/>
        </w:rPr>
        <w:t>.</w:t>
      </w:r>
      <w:r w:rsidR="00B063F5">
        <w:rPr>
          <w:rFonts w:ascii="Verdana" w:hAnsi="Verdana"/>
          <w:lang w:val="es-ES_tradnl"/>
        </w:rPr>
        <w:t xml:space="preserve"> </w:t>
      </w:r>
    </w:p>
    <w:p w14:paraId="77236C70" w14:textId="77777777" w:rsidR="005665D7" w:rsidRDefault="005665D7" w:rsidP="000E6EDD">
      <w:pPr>
        <w:pStyle w:val="NormalWeb"/>
        <w:spacing w:before="0" w:beforeAutospacing="0" w:after="0" w:afterAutospacing="0"/>
        <w:jc w:val="both"/>
        <w:rPr>
          <w:rFonts w:ascii="Verdana" w:hAnsi="Verdana"/>
          <w:lang w:val="es-ES_tradnl"/>
        </w:rPr>
      </w:pPr>
    </w:p>
    <w:p w14:paraId="446D9036" w14:textId="39C306A2" w:rsidR="00315187" w:rsidRPr="007E7806"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43</w:t>
      </w:r>
      <w:r w:rsidR="005665D7">
        <w:rPr>
          <w:rFonts w:ascii="Verdana" w:hAnsi="Verdana"/>
          <w:lang w:val="es-ES_tradnl"/>
        </w:rPr>
        <w:t>.</w:t>
      </w:r>
      <w:r w:rsidR="005665D7">
        <w:rPr>
          <w:rFonts w:ascii="Verdana" w:hAnsi="Verdana"/>
          <w:lang w:val="es-ES_tradnl"/>
        </w:rPr>
        <w:tab/>
      </w:r>
      <w:r w:rsidR="00B063F5">
        <w:rPr>
          <w:rFonts w:ascii="Verdana" w:hAnsi="Verdana"/>
          <w:lang w:val="es-ES_tradnl"/>
        </w:rPr>
        <w:t>Aunque se acusa la “fragilidad”, y el carácter “artificial” y “circular” de esta unidad</w:t>
      </w:r>
      <w:r w:rsidR="00B063F5">
        <w:rPr>
          <w:rStyle w:val="FootnoteReference"/>
          <w:rFonts w:ascii="Verdana" w:hAnsi="Verdana"/>
          <w:lang w:val="es-ES_tradnl"/>
        </w:rPr>
        <w:footnoteReference w:id="74"/>
      </w:r>
      <w:r w:rsidR="001F19C3">
        <w:rPr>
          <w:rFonts w:ascii="Verdana" w:hAnsi="Verdana"/>
          <w:lang w:val="es-ES_tradnl"/>
        </w:rPr>
        <w:t>,</w:t>
      </w:r>
      <w:r w:rsidR="00B063F5">
        <w:rPr>
          <w:rFonts w:ascii="Verdana" w:hAnsi="Verdana"/>
          <w:lang w:val="es-ES_tradnl"/>
        </w:rPr>
        <w:t xml:space="preserve"> </w:t>
      </w:r>
      <w:r w:rsidR="005665D7">
        <w:rPr>
          <w:rFonts w:ascii="Verdana" w:hAnsi="Verdana"/>
          <w:lang w:val="es-ES_tradnl"/>
        </w:rPr>
        <w:t xml:space="preserve">una reflexión detenida nos hace ver que estos reparos son infundados. Para cumplir sus fines de brindar seguridad a su elemento humano y </w:t>
      </w:r>
      <w:r w:rsidR="00156886">
        <w:rPr>
          <w:rFonts w:ascii="Verdana" w:hAnsi="Verdana"/>
          <w:lang w:val="es-ES_tradnl"/>
        </w:rPr>
        <w:t>los demás</w:t>
      </w:r>
      <w:r w:rsidR="005665D7">
        <w:rPr>
          <w:rFonts w:ascii="Verdana" w:hAnsi="Verdana"/>
          <w:lang w:val="es-ES_tradnl"/>
        </w:rPr>
        <w:t xml:space="preserve"> que se le hayan encomendado, el Estado ha de tener expedita la posibilidad de reprimir y prevenir, </w:t>
      </w:r>
      <w:r w:rsidR="00D33B25">
        <w:rPr>
          <w:rFonts w:ascii="Verdana" w:hAnsi="Verdana"/>
          <w:lang w:val="es-ES_tradnl"/>
        </w:rPr>
        <w:t>desincentivando</w:t>
      </w:r>
      <w:r w:rsidR="005665D7">
        <w:rPr>
          <w:rFonts w:ascii="Verdana" w:hAnsi="Verdana"/>
          <w:lang w:val="es-ES_tradnl"/>
        </w:rPr>
        <w:t xml:space="preserve"> por la amenaza de su sanción, las conductas contrarias a la realización de dichos propósitos; </w:t>
      </w:r>
      <w:r w:rsidR="00156886">
        <w:rPr>
          <w:rFonts w:ascii="Verdana" w:hAnsi="Verdana"/>
          <w:lang w:val="es-ES_tradnl"/>
        </w:rPr>
        <w:t>ahora bien, cómo lo hará, o sea, si encargará dicha función al ámbito penal, al administrativo o a otro, queda a su discreción para cumplirse conforme a la pol</w:t>
      </w:r>
      <w:r w:rsidR="00A203CB">
        <w:rPr>
          <w:rFonts w:ascii="Verdana" w:hAnsi="Verdana"/>
          <w:lang w:val="es-ES_tradnl"/>
        </w:rPr>
        <w:t>ítica que al respecto determine</w:t>
      </w:r>
      <w:r w:rsidR="00156886">
        <w:rPr>
          <w:rStyle w:val="FootnoteReference"/>
          <w:rFonts w:ascii="Verdana" w:hAnsi="Verdana"/>
          <w:lang w:val="es-ES_tradnl"/>
        </w:rPr>
        <w:footnoteReference w:id="75"/>
      </w:r>
      <w:r w:rsidR="00A203CB">
        <w:rPr>
          <w:rFonts w:ascii="Verdana" w:hAnsi="Verdana"/>
          <w:lang w:val="es-ES_tradnl"/>
        </w:rPr>
        <w:t>.</w:t>
      </w:r>
      <w:r w:rsidR="00156886">
        <w:rPr>
          <w:rFonts w:ascii="Verdana" w:hAnsi="Verdana"/>
          <w:lang w:val="es-ES_tradnl"/>
        </w:rPr>
        <w:t xml:space="preserve"> </w:t>
      </w:r>
      <w:r w:rsidR="00417F13">
        <w:rPr>
          <w:rFonts w:ascii="Verdana" w:hAnsi="Verdana"/>
          <w:lang w:val="es-ES_tradnl"/>
        </w:rPr>
        <w:t>É</w:t>
      </w:r>
      <w:r w:rsidR="005665D7">
        <w:rPr>
          <w:rFonts w:ascii="Verdana" w:hAnsi="Verdana"/>
          <w:lang w:val="es-ES_tradnl"/>
        </w:rPr>
        <w:t xml:space="preserve">sta sin duda es una elaboración teórica, es decir, intelectual, </w:t>
      </w:r>
      <w:r w:rsidR="00B55C19">
        <w:rPr>
          <w:rFonts w:ascii="Verdana" w:hAnsi="Verdana"/>
          <w:lang w:val="es-ES_tradnl"/>
        </w:rPr>
        <w:t>pero no de otra forma puede</w:t>
      </w:r>
      <w:r w:rsidR="00417F13">
        <w:rPr>
          <w:rFonts w:ascii="Verdana" w:hAnsi="Verdana"/>
          <w:lang w:val="es-ES_tradnl"/>
        </w:rPr>
        <w:t>n</w:t>
      </w:r>
      <w:r w:rsidR="00B55C19">
        <w:rPr>
          <w:rFonts w:ascii="Verdana" w:hAnsi="Verdana"/>
          <w:lang w:val="es-ES_tradnl"/>
        </w:rPr>
        <w:t xml:space="preserve"> concebirse y </w:t>
      </w:r>
      <w:r w:rsidR="00156886">
        <w:rPr>
          <w:rFonts w:ascii="Verdana" w:hAnsi="Verdana"/>
          <w:lang w:val="es-ES_tradnl"/>
        </w:rPr>
        <w:t>comprenderse</w:t>
      </w:r>
      <w:r w:rsidR="00B55C19">
        <w:rPr>
          <w:rFonts w:ascii="Verdana" w:hAnsi="Verdana"/>
          <w:lang w:val="es-ES_tradnl"/>
        </w:rPr>
        <w:t xml:space="preserve"> los entes políticamente ideales y jurídicamente ficticios que son el Estado y su actividad. Es llamativo que el mismo autor que atribuyó aquellos adjetivos a la unidad del </w:t>
      </w:r>
      <w:proofErr w:type="spellStart"/>
      <w:r w:rsidR="00B55C19" w:rsidRPr="00B55C19">
        <w:rPr>
          <w:rFonts w:ascii="Verdana" w:hAnsi="Verdana"/>
          <w:i/>
          <w:lang w:val="es-ES_tradnl"/>
        </w:rPr>
        <w:t>ius</w:t>
      </w:r>
      <w:proofErr w:type="spellEnd"/>
      <w:r w:rsidR="00B55C19" w:rsidRPr="00B55C19">
        <w:rPr>
          <w:rFonts w:ascii="Verdana" w:hAnsi="Verdana"/>
          <w:i/>
          <w:lang w:val="es-ES_tradnl"/>
        </w:rPr>
        <w:t xml:space="preserve"> </w:t>
      </w:r>
      <w:proofErr w:type="spellStart"/>
      <w:r w:rsidR="00B55C19" w:rsidRPr="00B55C19">
        <w:rPr>
          <w:rFonts w:ascii="Verdana" w:hAnsi="Verdana"/>
          <w:i/>
          <w:lang w:val="es-ES_tradnl"/>
        </w:rPr>
        <w:t>puniendi</w:t>
      </w:r>
      <w:proofErr w:type="spellEnd"/>
      <w:r w:rsidR="00B55C19">
        <w:rPr>
          <w:rFonts w:ascii="Verdana" w:hAnsi="Verdana"/>
          <w:lang w:val="es-ES_tradnl"/>
        </w:rPr>
        <w:t xml:space="preserve">, también </w:t>
      </w:r>
      <w:r w:rsidR="00C52989">
        <w:rPr>
          <w:rFonts w:ascii="Verdana" w:hAnsi="Verdana"/>
          <w:lang w:val="es-ES_tradnl"/>
        </w:rPr>
        <w:t>señaló</w:t>
      </w:r>
      <w:r w:rsidR="00B55C19">
        <w:rPr>
          <w:rFonts w:ascii="Verdana" w:hAnsi="Verdana"/>
          <w:lang w:val="es-ES_tradnl"/>
        </w:rPr>
        <w:t xml:space="preserve"> que ésta es una tesis “sumamente ingeniosa”, </w:t>
      </w:r>
      <w:r w:rsidR="00783DA1">
        <w:rPr>
          <w:rFonts w:ascii="Verdana" w:hAnsi="Verdana"/>
          <w:lang w:val="es-ES_tradnl"/>
        </w:rPr>
        <w:t xml:space="preserve">de “indiscutible superioridad”, </w:t>
      </w:r>
      <w:r w:rsidR="00B55C19">
        <w:rPr>
          <w:rFonts w:ascii="Verdana" w:hAnsi="Verdana"/>
          <w:lang w:val="es-ES_tradnl"/>
        </w:rPr>
        <w:t xml:space="preserve">“de gran utilidad en cuanto que sirve para proporcionar al Derecho Administrativo Sancionador un aparato conceptual y práctico del que […] carecía”; y que “se </w:t>
      </w:r>
      <w:proofErr w:type="spellStart"/>
      <w:r w:rsidR="00B55C19">
        <w:rPr>
          <w:rFonts w:ascii="Verdana" w:hAnsi="Verdana"/>
          <w:lang w:val="es-ES_tradnl"/>
        </w:rPr>
        <w:t>trat</w:t>
      </w:r>
      <w:proofErr w:type="spellEnd"/>
      <w:r w:rsidR="00B55C19">
        <w:rPr>
          <w:rFonts w:ascii="Verdana" w:hAnsi="Verdana"/>
          <w:lang w:val="es-ES_tradnl"/>
        </w:rPr>
        <w:t>[e] de una construcción jurídica admirable tanto por la sencillez de su planta como por su utilidad y porque ha hecho posible la aparición y la rápida maduración de un Derecho Administrativo Sancionador moderno, cuya perfección contrasta con los modelos alternativos que se conocían antes”</w:t>
      </w:r>
      <w:r w:rsidR="00B55C19">
        <w:rPr>
          <w:rStyle w:val="FootnoteReference"/>
          <w:rFonts w:ascii="Verdana" w:hAnsi="Verdana"/>
          <w:lang w:val="es-ES_tradnl"/>
        </w:rPr>
        <w:footnoteReference w:id="76"/>
      </w:r>
      <w:r w:rsidR="00B55C19">
        <w:rPr>
          <w:rFonts w:ascii="Verdana" w:hAnsi="Verdana"/>
          <w:lang w:val="es-ES_tradnl"/>
        </w:rPr>
        <w:t>.</w:t>
      </w:r>
    </w:p>
    <w:p w14:paraId="3A423EAF" w14:textId="77777777" w:rsidR="00315187" w:rsidRDefault="00315187" w:rsidP="000E6EDD">
      <w:pPr>
        <w:pStyle w:val="NormalWeb"/>
        <w:spacing w:before="0" w:beforeAutospacing="0" w:after="0" w:afterAutospacing="0"/>
        <w:jc w:val="both"/>
        <w:rPr>
          <w:rFonts w:ascii="Verdana" w:hAnsi="Verdana"/>
          <w:lang w:val="es-ES_tradnl"/>
        </w:rPr>
      </w:pPr>
    </w:p>
    <w:p w14:paraId="1A6B9BF7" w14:textId="4C7A1F4C" w:rsidR="00315187"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44</w:t>
      </w:r>
      <w:r w:rsidR="000346FF">
        <w:rPr>
          <w:rFonts w:ascii="Verdana" w:hAnsi="Verdana"/>
          <w:lang w:val="es-ES_tradnl"/>
        </w:rPr>
        <w:t xml:space="preserve">. </w:t>
      </w:r>
      <w:r w:rsidR="002E695B">
        <w:rPr>
          <w:rFonts w:ascii="Verdana" w:hAnsi="Verdana"/>
          <w:lang w:val="es-ES_tradnl"/>
        </w:rPr>
        <w:tab/>
      </w:r>
      <w:r w:rsidR="000346FF">
        <w:rPr>
          <w:rFonts w:ascii="Verdana" w:hAnsi="Verdana"/>
          <w:lang w:val="es-ES_tradnl"/>
        </w:rPr>
        <w:t xml:space="preserve">Desde un primer momento, </w:t>
      </w:r>
      <w:r w:rsidR="00C04F6F">
        <w:rPr>
          <w:rFonts w:ascii="Verdana" w:hAnsi="Verdana"/>
          <w:lang w:val="es-ES_tradnl"/>
        </w:rPr>
        <w:t xml:space="preserve">el Tribunal Constitucional español adoptó la idea </w:t>
      </w:r>
      <w:r w:rsidR="00143451">
        <w:rPr>
          <w:rFonts w:ascii="Verdana" w:hAnsi="Verdana"/>
          <w:lang w:val="es-ES_tradnl"/>
        </w:rPr>
        <w:t>de la naturaleza común</w:t>
      </w:r>
      <w:r w:rsidR="009D5132">
        <w:rPr>
          <w:rFonts w:ascii="Verdana" w:hAnsi="Verdana"/>
          <w:lang w:val="es-ES_tradnl"/>
        </w:rPr>
        <w:t xml:space="preserve"> </w:t>
      </w:r>
      <w:r w:rsidR="00143451">
        <w:rPr>
          <w:rFonts w:ascii="Verdana" w:hAnsi="Verdana"/>
          <w:lang w:val="es-ES_tradnl"/>
        </w:rPr>
        <w:t>d</w:t>
      </w:r>
      <w:r w:rsidR="00C04F6F">
        <w:rPr>
          <w:rFonts w:ascii="Verdana" w:hAnsi="Verdana"/>
          <w:lang w:val="es-ES_tradnl"/>
        </w:rPr>
        <w:t>el Derecho penal y el administrativo sancionatorio</w:t>
      </w:r>
      <w:r w:rsidR="00111267">
        <w:rPr>
          <w:rFonts w:ascii="Verdana" w:hAnsi="Verdana"/>
          <w:lang w:val="es-ES_tradnl"/>
        </w:rPr>
        <w:t>:</w:t>
      </w:r>
    </w:p>
    <w:p w14:paraId="43D8FE31" w14:textId="77777777" w:rsidR="004E1FBB" w:rsidRPr="00C84A6F" w:rsidRDefault="004E1FBB" w:rsidP="000E6EDD">
      <w:pPr>
        <w:ind w:right="713"/>
        <w:contextualSpacing/>
        <w:jc w:val="both"/>
        <w:rPr>
          <w:rFonts w:ascii="Verdana" w:hAnsi="Verdana"/>
          <w:i/>
          <w:sz w:val="18"/>
          <w:szCs w:val="18"/>
        </w:rPr>
      </w:pPr>
    </w:p>
    <w:p w14:paraId="4D77EAE9" w14:textId="77777777" w:rsidR="004E1FBB" w:rsidRPr="00A60CAD" w:rsidRDefault="004E1FBB" w:rsidP="000E6EDD">
      <w:pPr>
        <w:ind w:left="709" w:right="713"/>
        <w:contextualSpacing/>
        <w:jc w:val="both"/>
        <w:rPr>
          <w:rFonts w:ascii="Verdana" w:hAnsi="Verdana"/>
          <w:sz w:val="18"/>
          <w:szCs w:val="18"/>
        </w:rPr>
      </w:pPr>
      <w:r w:rsidRPr="00A60CAD">
        <w:rPr>
          <w:rFonts w:ascii="Verdana" w:hAnsi="Verdana"/>
          <w:sz w:val="18"/>
          <w:szCs w:val="18"/>
        </w:rPr>
        <w:t xml:space="preserve">Para llevar a cabo dicha interpretación, ha de recordarse que </w:t>
      </w:r>
      <w:r w:rsidRPr="00A60CAD">
        <w:rPr>
          <w:rFonts w:ascii="Verdana" w:hAnsi="Verdana"/>
          <w:sz w:val="18"/>
          <w:szCs w:val="18"/>
          <w:u w:val="single"/>
        </w:rPr>
        <w:t>los principios inspiradores del orden penal son de aplicación, con ciertos matices, al derecho administrativo sancionador, dado que ambos son manifestaciones del ordenamiento punitivo del Estado, tal y como refleja la propia Constitución (art. 25, principio de legalidad) y una muy reiterada jurisprudencia de nuestro Tribunal Supremo</w:t>
      </w:r>
      <w:r w:rsidRPr="00A60CAD">
        <w:rPr>
          <w:rFonts w:ascii="Verdana" w:hAnsi="Verdana"/>
          <w:sz w:val="18"/>
          <w:szCs w:val="18"/>
        </w:rPr>
        <w:t xml:space="preserve"> (Sentencia de la Sala Cuarta de 29 de septiembre, 4 y 10 de noviembre de 1980, entre las más recientes), hasta el punto de que un mismo bien jurídico puede ser protegido por técnicas administrativas o penales, si bien en el primer caso con el límite que establece el propio art. 25.3, al señalar que la Administración Civil no podrá imponer penas que directa o subsidiariamente impliquen privación de libertad. Debe añadirse que junto a las diferencias apuntadas en la aplicación de los principios inspiradores existen otras de carácter formal en orden a la calificación (delito o falta, o infracción administrativa), la competencia y el procedimiento (penal o administrativo con posterior recurso ante la jurisdicción contencioso-administrativa); ello, además del límite ya señalado respecto al contenido de las sanciones administrativas. </w:t>
      </w:r>
    </w:p>
    <w:p w14:paraId="042F6C93" w14:textId="77777777" w:rsidR="004E1FBB" w:rsidRPr="00A60CAD" w:rsidRDefault="004E1FBB" w:rsidP="000E6EDD">
      <w:pPr>
        <w:ind w:left="709" w:right="713"/>
        <w:contextualSpacing/>
        <w:jc w:val="both"/>
        <w:rPr>
          <w:rFonts w:ascii="Verdana" w:hAnsi="Verdana"/>
          <w:sz w:val="18"/>
          <w:szCs w:val="18"/>
        </w:rPr>
      </w:pPr>
    </w:p>
    <w:p w14:paraId="201BF755" w14:textId="38D45ACC" w:rsidR="00C04F6F" w:rsidRPr="00A60CAD" w:rsidRDefault="004E1FBB" w:rsidP="000E6EDD">
      <w:pPr>
        <w:ind w:left="709" w:right="713"/>
        <w:contextualSpacing/>
        <w:jc w:val="both"/>
        <w:rPr>
          <w:rFonts w:ascii="Verdana" w:hAnsi="Verdana"/>
          <w:sz w:val="18"/>
          <w:szCs w:val="18"/>
        </w:rPr>
      </w:pPr>
      <w:r w:rsidRPr="00A60CAD">
        <w:rPr>
          <w:rFonts w:ascii="Verdana" w:hAnsi="Verdana"/>
          <w:sz w:val="18"/>
          <w:szCs w:val="18"/>
        </w:rPr>
        <w:t xml:space="preserve">Las consideraciones expuestas en relación al ordenamiento punitivo, y la interpretación finalista de la Norma Fundamental, nos lleva a la idea de que </w:t>
      </w:r>
      <w:r w:rsidRPr="00A60CAD">
        <w:rPr>
          <w:rFonts w:ascii="Verdana" w:hAnsi="Verdana"/>
          <w:sz w:val="18"/>
          <w:szCs w:val="18"/>
          <w:u w:val="single"/>
        </w:rPr>
        <w:t>los principios esenciales reflejados en el art. 24 de la Constitución</w:t>
      </w:r>
      <w:r w:rsidRPr="00A60CAD">
        <w:rPr>
          <w:rFonts w:ascii="Verdana" w:hAnsi="Verdana"/>
          <w:sz w:val="18"/>
          <w:szCs w:val="18"/>
          <w:u w:val="single"/>
          <w:vertAlign w:val="superscript"/>
        </w:rPr>
        <w:t>[</w:t>
      </w:r>
      <w:r w:rsidRPr="00A60CAD">
        <w:rPr>
          <w:rStyle w:val="FootnoteReference"/>
          <w:rFonts w:ascii="Verdana" w:hAnsi="Verdana"/>
          <w:sz w:val="18"/>
          <w:szCs w:val="18"/>
          <w:u w:val="single"/>
        </w:rPr>
        <w:footnoteReference w:id="77"/>
      </w:r>
      <w:r w:rsidRPr="00A60CAD">
        <w:rPr>
          <w:rFonts w:ascii="Verdana" w:hAnsi="Verdana"/>
          <w:sz w:val="18"/>
          <w:szCs w:val="18"/>
          <w:u w:val="single"/>
          <w:vertAlign w:val="superscript"/>
        </w:rPr>
        <w:t>]</w:t>
      </w:r>
      <w:r w:rsidRPr="00A60CAD">
        <w:rPr>
          <w:rFonts w:ascii="Verdana" w:hAnsi="Verdana"/>
          <w:sz w:val="18"/>
          <w:szCs w:val="18"/>
          <w:u w:val="single"/>
        </w:rPr>
        <w:t xml:space="preserve"> en materia de [debido] procedimiento han </w:t>
      </w:r>
      <w:r w:rsidRPr="00A60CAD">
        <w:rPr>
          <w:rFonts w:ascii="Verdana" w:hAnsi="Verdana"/>
          <w:sz w:val="18"/>
          <w:szCs w:val="18"/>
          <w:u w:val="single"/>
        </w:rPr>
        <w:lastRenderedPageBreak/>
        <w:t>de ser aplicables a la actividad sancionadora de la Administración, en la medida necesaria para preservar los valores esenciales que se encuentran en la base del precepto, y la seguridad jurídica</w:t>
      </w:r>
      <w:r w:rsidRPr="00A60CAD">
        <w:rPr>
          <w:rFonts w:ascii="Verdana" w:hAnsi="Verdana"/>
          <w:sz w:val="18"/>
          <w:szCs w:val="18"/>
        </w:rPr>
        <w:t xml:space="preserve"> que garantiza el art. 9 de la Constitución. No se trata, por tanto, de una aplicación literal, dadas las diferencias apuntadas, sino con el alcance que requiere la finalidad que justif</w:t>
      </w:r>
      <w:r w:rsidR="00A203CB" w:rsidRPr="00A60CAD">
        <w:rPr>
          <w:rFonts w:ascii="Verdana" w:hAnsi="Verdana"/>
          <w:sz w:val="18"/>
          <w:szCs w:val="18"/>
        </w:rPr>
        <w:t>ica la previsión constitucional</w:t>
      </w:r>
      <w:r w:rsidR="00C04F6F" w:rsidRPr="00A60CAD">
        <w:rPr>
          <w:rStyle w:val="FootnoteReference"/>
          <w:rFonts w:ascii="Verdana" w:hAnsi="Verdana"/>
          <w:sz w:val="18"/>
          <w:szCs w:val="18"/>
        </w:rPr>
        <w:footnoteReference w:id="78"/>
      </w:r>
      <w:r w:rsidR="00A203CB" w:rsidRPr="00A60CAD">
        <w:rPr>
          <w:rFonts w:ascii="Verdana" w:hAnsi="Verdana"/>
          <w:sz w:val="18"/>
          <w:szCs w:val="18"/>
        </w:rPr>
        <w:t>.</w:t>
      </w:r>
      <w:r w:rsidR="00A229E2">
        <w:rPr>
          <w:rFonts w:ascii="Verdana" w:hAnsi="Verdana"/>
          <w:sz w:val="18"/>
          <w:szCs w:val="18"/>
        </w:rPr>
        <w:t xml:space="preserve"> (Subrayado añadido)</w:t>
      </w:r>
    </w:p>
    <w:p w14:paraId="2D4B04C9" w14:textId="77777777" w:rsidR="00315187" w:rsidRDefault="00315187" w:rsidP="000E6EDD">
      <w:pPr>
        <w:pStyle w:val="NormalWeb"/>
        <w:spacing w:before="0" w:beforeAutospacing="0" w:after="0" w:afterAutospacing="0"/>
        <w:jc w:val="both"/>
        <w:rPr>
          <w:rFonts w:ascii="Verdana" w:hAnsi="Verdana"/>
          <w:lang w:val="es-ES_tradnl"/>
        </w:rPr>
      </w:pPr>
    </w:p>
    <w:p w14:paraId="3A8B434B" w14:textId="7E4587DD" w:rsidR="005665D7"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45</w:t>
      </w:r>
      <w:r w:rsidR="00C52989">
        <w:rPr>
          <w:rFonts w:ascii="Verdana" w:hAnsi="Verdana"/>
          <w:lang w:val="es-ES_tradnl"/>
        </w:rPr>
        <w:t>.</w:t>
      </w:r>
      <w:r w:rsidR="00C52989">
        <w:rPr>
          <w:rFonts w:ascii="Verdana" w:hAnsi="Verdana"/>
          <w:lang w:val="es-ES_tradnl"/>
        </w:rPr>
        <w:tab/>
        <w:t xml:space="preserve">Con base en este precedente, </w:t>
      </w:r>
      <w:r w:rsidR="00E554CD">
        <w:rPr>
          <w:rFonts w:ascii="Verdana" w:hAnsi="Verdana"/>
          <w:lang w:val="es-ES_tradnl"/>
        </w:rPr>
        <w:t xml:space="preserve">reiteradamente se llevaron “con </w:t>
      </w:r>
      <w:r w:rsidR="00070EC2">
        <w:rPr>
          <w:rFonts w:ascii="Verdana" w:hAnsi="Verdana"/>
          <w:lang w:val="es-ES_tradnl"/>
        </w:rPr>
        <w:t xml:space="preserve">ciertos </w:t>
      </w:r>
      <w:r w:rsidR="00E554CD">
        <w:rPr>
          <w:rFonts w:ascii="Verdana" w:hAnsi="Verdana"/>
          <w:lang w:val="es-ES_tradnl"/>
        </w:rPr>
        <w:t xml:space="preserve">matices” los principios del Derecho penal al administrativo sancionatorio, adaptándolos con “atenuado rigor y mayor flexibilidad” </w:t>
      </w:r>
      <w:r w:rsidR="00070EC2">
        <w:rPr>
          <w:rFonts w:ascii="Verdana" w:hAnsi="Verdana"/>
          <w:lang w:val="es-ES_tradnl"/>
        </w:rPr>
        <w:t xml:space="preserve">—según una muy repetida fórmula jurisprudencial— </w:t>
      </w:r>
      <w:r w:rsidR="00E554CD">
        <w:rPr>
          <w:rFonts w:ascii="Verdana" w:hAnsi="Verdana"/>
          <w:lang w:val="es-ES_tradnl"/>
        </w:rPr>
        <w:t>y sin que pareciera haber un criterio general para “graduar con precisión la diferente intensidad de tales matices”.</w:t>
      </w:r>
      <w:r w:rsidR="00E554CD">
        <w:rPr>
          <w:rStyle w:val="FootnoteReference"/>
          <w:rFonts w:ascii="Verdana" w:hAnsi="Verdana"/>
          <w:lang w:val="es-ES_tradnl"/>
        </w:rPr>
        <w:footnoteReference w:id="79"/>
      </w:r>
      <w:r w:rsidR="00860EF2">
        <w:rPr>
          <w:rFonts w:ascii="Verdana" w:hAnsi="Verdana"/>
          <w:lang w:val="es-ES_tradnl"/>
        </w:rPr>
        <w:t xml:space="preserve"> En distintas ocasiones, el Tribunal Constitucional fue “matizando” esta aplicación de un modo que “no </w:t>
      </w:r>
      <w:proofErr w:type="spellStart"/>
      <w:r w:rsidR="00860EF2">
        <w:rPr>
          <w:rFonts w:ascii="Verdana" w:hAnsi="Verdana"/>
          <w:lang w:val="es-ES_tradnl"/>
        </w:rPr>
        <w:t>hac</w:t>
      </w:r>
      <w:proofErr w:type="spellEnd"/>
      <w:r w:rsidR="00860EF2">
        <w:rPr>
          <w:rFonts w:ascii="Verdana" w:hAnsi="Verdana"/>
          <w:lang w:val="es-ES_tradnl"/>
        </w:rPr>
        <w:t>[</w:t>
      </w:r>
      <w:proofErr w:type="spellStart"/>
      <w:r w:rsidR="00860EF2">
        <w:rPr>
          <w:rFonts w:ascii="Verdana" w:hAnsi="Verdana"/>
          <w:lang w:val="es-ES_tradnl"/>
        </w:rPr>
        <w:t>ía</w:t>
      </w:r>
      <w:proofErr w:type="spellEnd"/>
      <w:r w:rsidR="00860EF2">
        <w:rPr>
          <w:rFonts w:ascii="Verdana" w:hAnsi="Verdana"/>
          <w:lang w:val="es-ES_tradnl"/>
        </w:rPr>
        <w:t>] compatibles en su generalidad esos principios del orden penal al campo de las sanciones administrativas”</w:t>
      </w:r>
      <w:r w:rsidR="00F13482">
        <w:rPr>
          <w:rFonts w:ascii="Verdana" w:hAnsi="Verdana"/>
          <w:lang w:val="es-ES_tradnl"/>
        </w:rPr>
        <w:t>, sino habiéndolos relajado o debilitado notablemente, “incluso hasta su desaparición pura y simple”</w:t>
      </w:r>
      <w:r w:rsidR="00860EF2">
        <w:rPr>
          <w:rStyle w:val="FootnoteReference"/>
          <w:rFonts w:ascii="Verdana" w:hAnsi="Verdana"/>
          <w:lang w:val="es-ES_tradnl"/>
        </w:rPr>
        <w:footnoteReference w:id="80"/>
      </w:r>
      <w:r w:rsidR="00A203CB">
        <w:rPr>
          <w:rFonts w:ascii="Verdana" w:hAnsi="Verdana"/>
          <w:lang w:val="es-ES_tradnl"/>
        </w:rPr>
        <w:t>.</w:t>
      </w:r>
      <w:r w:rsidR="00860EF2">
        <w:rPr>
          <w:rFonts w:ascii="Verdana" w:hAnsi="Verdana"/>
          <w:lang w:val="es-ES_tradnl"/>
        </w:rPr>
        <w:t xml:space="preserve"> </w:t>
      </w:r>
      <w:r w:rsidR="00F13482">
        <w:rPr>
          <w:rFonts w:ascii="Verdana" w:hAnsi="Verdana"/>
          <w:lang w:val="es-ES_tradnl"/>
        </w:rPr>
        <w:t xml:space="preserve">Al parecer de tantas “puntualizaciones” llevaron a “una intensa relativización de la regla de la transposición de principios o criterios”, cuya </w:t>
      </w:r>
      <w:r w:rsidR="002311B0">
        <w:rPr>
          <w:rFonts w:ascii="Verdana" w:hAnsi="Verdana"/>
          <w:lang w:val="es-ES_tradnl"/>
        </w:rPr>
        <w:t>aplicación definitiva</w:t>
      </w:r>
      <w:r w:rsidR="00F13482">
        <w:rPr>
          <w:rFonts w:ascii="Verdana" w:hAnsi="Verdana"/>
          <w:lang w:val="es-ES_tradnl"/>
        </w:rPr>
        <w:t xml:space="preserve"> quedaba al </w:t>
      </w:r>
      <w:proofErr w:type="spellStart"/>
      <w:r w:rsidR="00F13482">
        <w:rPr>
          <w:rFonts w:ascii="Verdana" w:hAnsi="Verdana"/>
          <w:lang w:val="es-ES_tradnl"/>
        </w:rPr>
        <w:t>decisionismo</w:t>
      </w:r>
      <w:proofErr w:type="spellEnd"/>
      <w:r w:rsidR="00F13482">
        <w:rPr>
          <w:rFonts w:ascii="Verdana" w:hAnsi="Verdana"/>
          <w:lang w:val="es-ES_tradnl"/>
        </w:rPr>
        <w:t xml:space="preserve"> judicial; es decir, </w:t>
      </w:r>
      <w:r w:rsidR="002311B0">
        <w:rPr>
          <w:rFonts w:ascii="Verdana" w:hAnsi="Verdana"/>
          <w:lang w:val="es-ES_tradnl"/>
        </w:rPr>
        <w:t>el imperio</w:t>
      </w:r>
      <w:r w:rsidR="00F13482">
        <w:rPr>
          <w:rFonts w:ascii="Verdana" w:hAnsi="Verdana"/>
          <w:lang w:val="es-ES_tradnl"/>
        </w:rPr>
        <w:t xml:space="preserve"> de los principios penales </w:t>
      </w:r>
      <w:r w:rsidR="002311B0">
        <w:rPr>
          <w:rFonts w:ascii="Verdana" w:hAnsi="Verdana"/>
          <w:lang w:val="es-ES_tradnl"/>
        </w:rPr>
        <w:t>en el</w:t>
      </w:r>
      <w:r w:rsidR="00F13482">
        <w:rPr>
          <w:rFonts w:ascii="Verdana" w:hAnsi="Verdana"/>
          <w:lang w:val="es-ES_tradnl"/>
        </w:rPr>
        <w:t xml:space="preserve"> ámbito administrativo se fincaba </w:t>
      </w:r>
      <w:r w:rsidR="002311B0">
        <w:rPr>
          <w:rFonts w:ascii="Verdana" w:hAnsi="Verdana"/>
          <w:lang w:val="es-ES_tradnl"/>
        </w:rPr>
        <w:t>en realidad sobre</w:t>
      </w:r>
      <w:r w:rsidR="00F13482">
        <w:rPr>
          <w:rFonts w:ascii="Verdana" w:hAnsi="Verdana"/>
          <w:lang w:val="es-ES_tradnl"/>
        </w:rPr>
        <w:t xml:space="preserve"> </w:t>
      </w:r>
      <w:r w:rsidR="002311B0">
        <w:rPr>
          <w:rFonts w:ascii="Verdana" w:hAnsi="Verdana"/>
          <w:lang w:val="es-ES_tradnl"/>
        </w:rPr>
        <w:t xml:space="preserve">una amplia </w:t>
      </w:r>
      <w:r w:rsidR="00F13482">
        <w:rPr>
          <w:rFonts w:ascii="Verdana" w:hAnsi="Verdana"/>
          <w:lang w:val="es-ES_tradnl"/>
        </w:rPr>
        <w:t>discrecionalidad judicial que mermaba la seguridad jurídica</w:t>
      </w:r>
      <w:r w:rsidR="00A203CB">
        <w:rPr>
          <w:rFonts w:ascii="Verdana" w:hAnsi="Verdana"/>
          <w:lang w:val="es-ES_tradnl"/>
        </w:rPr>
        <w:t xml:space="preserve"> y favorecía la arbitrariedad</w:t>
      </w:r>
      <w:r w:rsidR="00F13482">
        <w:rPr>
          <w:rStyle w:val="FootnoteReference"/>
          <w:rFonts w:ascii="Verdana" w:hAnsi="Verdana"/>
          <w:lang w:val="es-ES_tradnl"/>
        </w:rPr>
        <w:footnoteReference w:id="81"/>
      </w:r>
      <w:r w:rsidR="00A203CB">
        <w:rPr>
          <w:rFonts w:ascii="Verdana" w:hAnsi="Verdana"/>
          <w:lang w:val="es-ES_tradnl"/>
        </w:rPr>
        <w:t>.</w:t>
      </w:r>
    </w:p>
    <w:p w14:paraId="0BA16060" w14:textId="77777777" w:rsidR="005665D7" w:rsidRDefault="005665D7" w:rsidP="000E6EDD">
      <w:pPr>
        <w:pStyle w:val="NormalWeb"/>
        <w:spacing w:before="0" w:beforeAutospacing="0" w:after="0" w:afterAutospacing="0"/>
        <w:jc w:val="both"/>
        <w:rPr>
          <w:rFonts w:ascii="Verdana" w:hAnsi="Verdana"/>
          <w:lang w:val="es-ES_tradnl"/>
        </w:rPr>
      </w:pPr>
    </w:p>
    <w:p w14:paraId="60C4D114" w14:textId="56CB2E80" w:rsidR="00143451" w:rsidRDefault="00B174B6" w:rsidP="000E6EDD">
      <w:pPr>
        <w:pStyle w:val="NormalWeb"/>
        <w:spacing w:before="0" w:beforeAutospacing="0" w:after="0" w:afterAutospacing="0"/>
        <w:jc w:val="both"/>
        <w:rPr>
          <w:rFonts w:ascii="Verdana" w:hAnsi="Verdana"/>
          <w:lang w:val="es-ES_tradnl"/>
        </w:rPr>
      </w:pPr>
      <w:r>
        <w:rPr>
          <w:rFonts w:ascii="Verdana" w:hAnsi="Verdana"/>
          <w:lang w:val="es-ES_tradnl"/>
        </w:rPr>
        <w:t>46</w:t>
      </w:r>
      <w:r w:rsidR="00143451">
        <w:rPr>
          <w:rFonts w:ascii="Verdana" w:hAnsi="Verdana"/>
          <w:lang w:val="es-ES_tradnl"/>
        </w:rPr>
        <w:t>.</w:t>
      </w:r>
      <w:r w:rsidR="00143451">
        <w:rPr>
          <w:rFonts w:ascii="Verdana" w:hAnsi="Verdana"/>
          <w:lang w:val="es-ES_tradnl"/>
        </w:rPr>
        <w:tab/>
        <w:t>De modo claro</w:t>
      </w:r>
      <w:r w:rsidR="00943194">
        <w:rPr>
          <w:rFonts w:ascii="Verdana" w:hAnsi="Verdana"/>
          <w:lang w:val="es-ES_tradnl"/>
        </w:rPr>
        <w:t xml:space="preserve"> y reiterando su posición </w:t>
      </w:r>
      <w:r w:rsidR="00744F11">
        <w:rPr>
          <w:rFonts w:ascii="Verdana" w:hAnsi="Verdana"/>
          <w:lang w:val="es-ES_tradnl"/>
        </w:rPr>
        <w:t>mencionada</w:t>
      </w:r>
      <w:r w:rsidR="00943194">
        <w:rPr>
          <w:rFonts w:ascii="Verdana" w:hAnsi="Verdana"/>
          <w:lang w:val="es-ES_tradnl"/>
        </w:rPr>
        <w:t xml:space="preserve"> en el párrafo </w:t>
      </w:r>
      <w:r w:rsidR="00744F11">
        <w:rPr>
          <w:rFonts w:ascii="Verdana" w:hAnsi="Verdana"/>
          <w:lang w:val="es-ES_tradnl"/>
        </w:rPr>
        <w:t>44</w:t>
      </w:r>
      <w:r w:rsidR="00943194">
        <w:rPr>
          <w:rFonts w:ascii="Verdana" w:hAnsi="Verdana"/>
          <w:lang w:val="es-ES_tradnl"/>
        </w:rPr>
        <w:t xml:space="preserve"> anterior</w:t>
      </w:r>
      <w:r w:rsidR="00143451">
        <w:rPr>
          <w:rFonts w:ascii="Verdana" w:hAnsi="Verdana"/>
          <w:lang w:val="es-ES_tradnl"/>
        </w:rPr>
        <w:t>, el Tribunal Constitucional</w:t>
      </w:r>
      <w:r w:rsidR="0015593E">
        <w:rPr>
          <w:rFonts w:ascii="Verdana" w:hAnsi="Verdana"/>
          <w:lang w:val="es-ES_tradnl"/>
        </w:rPr>
        <w:t xml:space="preserve"> español</w:t>
      </w:r>
      <w:r w:rsidR="00143451">
        <w:rPr>
          <w:rFonts w:ascii="Verdana" w:hAnsi="Verdana"/>
          <w:lang w:val="es-ES_tradnl"/>
        </w:rPr>
        <w:t xml:space="preserve"> dio una pauta determinante “que parece marcar [su] postura definitiva […</w:t>
      </w:r>
      <w:r w:rsidR="00A203CB">
        <w:rPr>
          <w:rFonts w:ascii="Verdana" w:hAnsi="Verdana"/>
          <w:lang w:val="es-ES_tradnl"/>
        </w:rPr>
        <w:t>] sobre la materia”</w:t>
      </w:r>
      <w:r w:rsidR="00143451">
        <w:rPr>
          <w:rStyle w:val="FootnoteReference"/>
          <w:rFonts w:ascii="Verdana" w:hAnsi="Verdana"/>
          <w:lang w:val="es-ES_tradnl"/>
        </w:rPr>
        <w:footnoteReference w:id="82"/>
      </w:r>
      <w:r w:rsidR="00A203CB">
        <w:rPr>
          <w:rFonts w:ascii="Verdana" w:hAnsi="Verdana"/>
          <w:lang w:val="es-ES_tradnl"/>
        </w:rPr>
        <w:t>:</w:t>
      </w:r>
    </w:p>
    <w:p w14:paraId="440D7FE9" w14:textId="77777777" w:rsidR="00943194" w:rsidRDefault="00943194" w:rsidP="000E6EDD">
      <w:pPr>
        <w:pStyle w:val="NormalWeb"/>
        <w:spacing w:before="0" w:beforeAutospacing="0" w:after="0" w:afterAutospacing="0"/>
        <w:jc w:val="both"/>
        <w:rPr>
          <w:rFonts w:ascii="Verdana" w:hAnsi="Verdana"/>
          <w:lang w:val="es-ES_tradnl"/>
        </w:rPr>
      </w:pPr>
    </w:p>
    <w:p w14:paraId="2326AF72" w14:textId="66FF8FC5"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 xml:space="preserve">6.  </w:t>
      </w:r>
      <w:r w:rsidR="00943194" w:rsidRPr="004E5792">
        <w:rPr>
          <w:rFonts w:ascii="Verdana" w:hAnsi="Verdana" w:cstheme="minorBidi"/>
          <w:sz w:val="18"/>
          <w:szCs w:val="18"/>
          <w:lang w:val="es-ES_tradnl"/>
        </w:rPr>
        <w:t>[…]</w:t>
      </w:r>
    </w:p>
    <w:p w14:paraId="54F0F292" w14:textId="77777777" w:rsidR="00943194" w:rsidRPr="004E5792" w:rsidRDefault="00943194" w:rsidP="000E6EDD">
      <w:pPr>
        <w:pStyle w:val="NormalWeb"/>
        <w:spacing w:before="0" w:beforeAutospacing="0" w:after="0" w:afterAutospacing="0"/>
        <w:ind w:left="709"/>
        <w:jc w:val="both"/>
        <w:rPr>
          <w:rFonts w:ascii="Verdana" w:hAnsi="Verdana" w:cstheme="minorBidi"/>
          <w:sz w:val="18"/>
          <w:szCs w:val="18"/>
          <w:lang w:val="es-ES_tradnl"/>
        </w:rPr>
      </w:pPr>
    </w:p>
    <w:p w14:paraId="1E4C6D02" w14:textId="74610D83"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 xml:space="preserve">Cierto es que la tesis podría conectarse con la nota o concepto de </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debilitamiento</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o relativización del principio de legalidad que este Tribunal -en ciertos casos- ha considerado en los supuestos de las llamadas </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relaciones de sujeción especial</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Se alude así a que en esas peculiares relaciones y asimilables entran en juego amplias facultades </w:t>
      </w:r>
      <w:proofErr w:type="spellStart"/>
      <w:r w:rsidRPr="004E5792">
        <w:rPr>
          <w:rFonts w:ascii="Verdana" w:hAnsi="Verdana" w:cstheme="minorBidi"/>
          <w:sz w:val="18"/>
          <w:szCs w:val="18"/>
          <w:lang w:val="es-ES_tradnl"/>
        </w:rPr>
        <w:t>autoorganizativas</w:t>
      </w:r>
      <w:proofErr w:type="spellEnd"/>
      <w:r w:rsidRPr="004E5792">
        <w:rPr>
          <w:rFonts w:ascii="Verdana" w:hAnsi="Verdana" w:cstheme="minorBidi"/>
          <w:sz w:val="18"/>
          <w:szCs w:val="18"/>
          <w:lang w:val="es-ES_tradnl"/>
        </w:rPr>
        <w:t xml:space="preserve">, que confieren cierta prepotencia a la Administración para regularlas. Pero no cabe duda que </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sin perjuicio de lo que después se dirá al respecto</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no puede excluirse que en el ámbito de las relaciones de sujeción, general o especial, determinadas medidas sean sancionadas o tenga naturaleza sancionadora </w:t>
      </w:r>
      <w:r w:rsidR="00943194" w:rsidRPr="004E5792">
        <w:rPr>
          <w:rFonts w:ascii="Verdana" w:hAnsi="Verdana" w:cstheme="minorBidi"/>
          <w:sz w:val="18"/>
          <w:szCs w:val="18"/>
          <w:lang w:val="es-ES_tradnl"/>
        </w:rPr>
        <w:t>[…]</w:t>
      </w:r>
    </w:p>
    <w:p w14:paraId="726DB2C0" w14:textId="77777777" w:rsidR="00943194" w:rsidRPr="004E5792" w:rsidRDefault="00943194" w:rsidP="000E6EDD">
      <w:pPr>
        <w:pStyle w:val="NormalWeb"/>
        <w:spacing w:before="0" w:beforeAutospacing="0" w:after="0" w:afterAutospacing="0"/>
        <w:ind w:left="709"/>
        <w:jc w:val="both"/>
        <w:rPr>
          <w:rFonts w:ascii="Verdana" w:hAnsi="Verdana" w:cstheme="minorBidi"/>
          <w:sz w:val="18"/>
          <w:szCs w:val="18"/>
          <w:lang w:val="es-ES_tradnl"/>
        </w:rPr>
      </w:pPr>
    </w:p>
    <w:p w14:paraId="6B48C7F2" w14:textId="77777777"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 xml:space="preserve">Hay que </w:t>
      </w:r>
      <w:r w:rsidRPr="004E5792">
        <w:rPr>
          <w:rFonts w:ascii="Verdana" w:hAnsi="Verdana" w:cstheme="minorBidi"/>
          <w:sz w:val="18"/>
          <w:szCs w:val="18"/>
          <w:u w:val="single"/>
          <w:lang w:val="es-ES_tradnl"/>
        </w:rPr>
        <w:t>admitir, pues, en el caso, la naturaleza sancionatoria de la medida</w:t>
      </w:r>
      <w:r w:rsidRPr="004E5792">
        <w:rPr>
          <w:rFonts w:ascii="Verdana" w:hAnsi="Verdana" w:cstheme="minorBidi"/>
          <w:sz w:val="18"/>
          <w:szCs w:val="18"/>
          <w:lang w:val="es-ES_tradnl"/>
        </w:rPr>
        <w:t xml:space="preserve">, sin que la distinción entre relaciones de sujeción general y especial, ya en si misma imprecisa, pueda desvirtuar aquella naturaleza del acto administrativo y sin que, por lo demás, y esto es más importante, pueda dejar de considerarse al respecto la </w:t>
      </w:r>
      <w:r w:rsidRPr="004E5792">
        <w:rPr>
          <w:rFonts w:ascii="Verdana" w:hAnsi="Verdana" w:cstheme="minorBidi"/>
          <w:sz w:val="18"/>
          <w:szCs w:val="18"/>
          <w:u w:val="single"/>
          <w:lang w:val="es-ES_tradnl"/>
        </w:rPr>
        <w:t>posibilidad de que dicho acto incida en los derechos del administrado</w:t>
      </w:r>
      <w:r w:rsidRPr="004E5792">
        <w:rPr>
          <w:rFonts w:ascii="Verdana" w:hAnsi="Verdana" w:cstheme="minorBidi"/>
          <w:sz w:val="18"/>
          <w:szCs w:val="18"/>
          <w:lang w:val="es-ES_tradnl"/>
        </w:rPr>
        <w:t xml:space="preserve"> (en el supuesto del recurso, el ejercicio de una actividad profesional conectada con los arts. 35.1 y 38 de la Constitución), con el riesgo de lesionar </w:t>
      </w:r>
      <w:r w:rsidRPr="004E5792">
        <w:rPr>
          <w:rFonts w:ascii="Verdana" w:hAnsi="Verdana" w:cstheme="minorBidi"/>
          <w:sz w:val="18"/>
          <w:szCs w:val="18"/>
          <w:u w:val="single"/>
          <w:lang w:val="es-ES_tradnl"/>
        </w:rPr>
        <w:t>derechos fundamentales</w:t>
      </w:r>
      <w:r w:rsidRPr="004E5792">
        <w:rPr>
          <w:rFonts w:ascii="Verdana" w:hAnsi="Verdana" w:cstheme="minorBidi"/>
          <w:sz w:val="18"/>
          <w:szCs w:val="18"/>
          <w:lang w:val="es-ES_tradnl"/>
        </w:rPr>
        <w:t xml:space="preserve">. </w:t>
      </w:r>
    </w:p>
    <w:p w14:paraId="622B8107" w14:textId="77777777"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p>
    <w:p w14:paraId="74602DDA" w14:textId="5D581F44"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lastRenderedPageBreak/>
        <w:t xml:space="preserve">7.  El derecho fundamental que aquí se estima violado es el previsto en el art. 25.1 de la </w:t>
      </w:r>
      <w:r w:rsidR="00943194" w:rsidRPr="004E5792">
        <w:rPr>
          <w:rFonts w:ascii="Verdana" w:hAnsi="Verdana" w:cstheme="minorBidi"/>
          <w:sz w:val="18"/>
          <w:szCs w:val="18"/>
          <w:lang w:val="es-ES_tradnl"/>
        </w:rPr>
        <w:t>[Constitución española]</w:t>
      </w:r>
      <w:r w:rsidRPr="004E5792">
        <w:rPr>
          <w:rFonts w:ascii="Verdana" w:hAnsi="Verdana" w:cstheme="minorBidi"/>
          <w:sz w:val="18"/>
          <w:szCs w:val="18"/>
          <w:lang w:val="es-ES_tradnl"/>
        </w:rPr>
        <w:t xml:space="preserve">, por la </w:t>
      </w:r>
      <w:r w:rsidRPr="004E5792">
        <w:rPr>
          <w:rFonts w:ascii="Verdana" w:hAnsi="Verdana" w:cstheme="minorBidi"/>
          <w:sz w:val="18"/>
          <w:szCs w:val="18"/>
          <w:u w:val="single"/>
          <w:lang w:val="es-ES_tradnl"/>
        </w:rPr>
        <w:t>falta de cobertura legal</w:t>
      </w:r>
      <w:r w:rsidRPr="004E5792">
        <w:rPr>
          <w:rFonts w:ascii="Verdana" w:hAnsi="Verdana" w:cstheme="minorBidi"/>
          <w:sz w:val="18"/>
          <w:szCs w:val="18"/>
          <w:lang w:val="es-ES_tradnl"/>
        </w:rPr>
        <w:t xml:space="preserve"> de la Orden de 20 de enero de 1981, al amparo de la cual </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art. 12</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se impuso por las Resoluciones impugnadas la sanción al recurrente.</w:t>
      </w:r>
    </w:p>
    <w:p w14:paraId="28CBFAF5" w14:textId="77777777"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p>
    <w:p w14:paraId="34675F19" w14:textId="589B74C8"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 xml:space="preserve">La doctrina de este Tribunal </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con las matizaciones impuestas por los casos concretos decididos</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es reiterada y explícita.</w:t>
      </w:r>
    </w:p>
    <w:p w14:paraId="7CB8109A" w14:textId="77777777"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p>
    <w:p w14:paraId="3C61F1EF" w14:textId="2636B8AF"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u w:val="single"/>
          <w:lang w:val="es-ES_tradnl"/>
        </w:rPr>
        <w:t>Partiendo del principio (STC 18/1981) de que la regulación de las sanciones administrativas ha de estar inspirada en los principios propios y característicos del Derecho Penal</w:t>
      </w:r>
      <w:r w:rsidRPr="004E5792">
        <w:rPr>
          <w:rFonts w:ascii="Verdana" w:hAnsi="Verdana" w:cstheme="minorBidi"/>
          <w:sz w:val="18"/>
          <w:szCs w:val="18"/>
          <w:lang w:val="es-ES_tradnl"/>
        </w:rPr>
        <w:t xml:space="preserve"> (doctrina también del </w:t>
      </w:r>
      <w:r w:rsidR="00943194" w:rsidRPr="004E5792">
        <w:rPr>
          <w:rFonts w:ascii="Verdana" w:hAnsi="Verdana" w:cstheme="minorBidi"/>
          <w:sz w:val="18"/>
          <w:szCs w:val="18"/>
          <w:lang w:val="es-ES_tradnl"/>
        </w:rPr>
        <w:t>[Tribunal Supremo]</w:t>
      </w:r>
      <w:r w:rsidRPr="004E5792">
        <w:rPr>
          <w:rFonts w:ascii="Verdana" w:hAnsi="Verdana" w:cstheme="minorBidi"/>
          <w:sz w:val="18"/>
          <w:szCs w:val="18"/>
          <w:lang w:val="es-ES_tradnl"/>
        </w:rPr>
        <w:t xml:space="preserve"> y del </w:t>
      </w:r>
      <w:r w:rsidR="00943194" w:rsidRPr="004E5792">
        <w:rPr>
          <w:rFonts w:ascii="Verdana" w:hAnsi="Verdana" w:cstheme="minorBidi"/>
          <w:sz w:val="18"/>
          <w:szCs w:val="18"/>
          <w:lang w:val="es-ES_tradnl"/>
        </w:rPr>
        <w:t>[Tribunal Europeo de Derechos Humanos]</w:t>
      </w:r>
      <w:r w:rsidRPr="004E5792">
        <w:rPr>
          <w:rFonts w:ascii="Verdana" w:hAnsi="Verdana" w:cstheme="minorBidi"/>
          <w:sz w:val="18"/>
          <w:szCs w:val="18"/>
          <w:lang w:val="es-ES_tradnl"/>
        </w:rPr>
        <w:t xml:space="preserve">), en ya numerosas Sentencias se ha declarado </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dado que el </w:t>
      </w:r>
      <w:r w:rsidRPr="004E5792">
        <w:rPr>
          <w:rFonts w:ascii="Verdana" w:hAnsi="Verdana" w:cstheme="minorBidi"/>
          <w:sz w:val="18"/>
          <w:szCs w:val="18"/>
          <w:u w:val="single"/>
          <w:lang w:val="es-ES_tradnl"/>
        </w:rPr>
        <w:t>principio de legalidad</w:t>
      </w:r>
      <w:r w:rsidRPr="004E5792">
        <w:rPr>
          <w:rFonts w:ascii="Verdana" w:hAnsi="Verdana" w:cstheme="minorBidi"/>
          <w:sz w:val="18"/>
          <w:szCs w:val="18"/>
          <w:lang w:val="es-ES_tradnl"/>
        </w:rPr>
        <w:t xml:space="preserve"> del art. 25.1 se traduce en un derecho subjetivo de carácter fundamental, SSTC 77/1983 y 3/1988</w:t>
      </w:r>
      <w:r w:rsidR="00943194"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que dicho principio comprende una doble garantía: la primera, de orden material y alcance absoluto, </w:t>
      </w:r>
      <w:r w:rsidRPr="004E5792">
        <w:rPr>
          <w:rFonts w:ascii="Verdana" w:hAnsi="Verdana" w:cstheme="minorBidi"/>
          <w:sz w:val="18"/>
          <w:szCs w:val="18"/>
          <w:u w:val="single"/>
          <w:lang w:val="es-ES_tradnl"/>
        </w:rPr>
        <w:t>tanto referida al ámbito estrictamente penal como al de las sanciones administrativas</w:t>
      </w:r>
      <w:r w:rsidRPr="004E5792">
        <w:rPr>
          <w:rFonts w:ascii="Verdana" w:hAnsi="Verdana" w:cstheme="minorBidi"/>
          <w:sz w:val="18"/>
          <w:szCs w:val="18"/>
          <w:lang w:val="es-ES_tradnl"/>
        </w:rPr>
        <w:t>, refleja la especial transcendencia del principio de seguridad jurídica en dichos campos limitativos y supone la imperiosa necesidad de predeterminación normativa de las conductas infractoras y de las sanciones correspondientes</w:t>
      </w:r>
      <w:r w:rsidR="004501C9" w:rsidRPr="004E5792">
        <w:rPr>
          <w:rFonts w:ascii="Verdana" w:hAnsi="Verdana" w:cstheme="minorBidi"/>
          <w:sz w:val="18"/>
          <w:szCs w:val="18"/>
          <w:lang w:val="es-ES_tradnl"/>
        </w:rPr>
        <w:t xml:space="preserve"> […]</w:t>
      </w:r>
    </w:p>
    <w:p w14:paraId="3D19B877" w14:textId="77777777"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p>
    <w:p w14:paraId="1EC66F8B" w14:textId="0ED2B759"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 xml:space="preserve">8.  Cierto es que esta garantía formal, repetimos, ha sido considerada a veces susceptible de </w:t>
      </w:r>
      <w:r w:rsidRPr="004E5792">
        <w:rPr>
          <w:rFonts w:ascii="Verdana" w:hAnsi="Verdana" w:cstheme="minorBidi"/>
          <w:sz w:val="18"/>
          <w:szCs w:val="18"/>
          <w:u w:val="single"/>
          <w:lang w:val="es-ES_tradnl"/>
        </w:rPr>
        <w:t>minoración o de menor exigencia</w:t>
      </w:r>
      <w:r w:rsidR="004501C9" w:rsidRPr="004E5792">
        <w:rPr>
          <w:rFonts w:ascii="Verdana" w:hAnsi="Verdana" w:cstheme="minorBidi"/>
          <w:sz w:val="18"/>
          <w:szCs w:val="18"/>
          <w:lang w:val="es-ES_tradnl"/>
        </w:rPr>
        <w:t xml:space="preserve"> […en]</w:t>
      </w:r>
      <w:r w:rsidRPr="004E5792">
        <w:rPr>
          <w:rFonts w:ascii="Verdana" w:hAnsi="Verdana" w:cstheme="minorBidi"/>
          <w:sz w:val="18"/>
          <w:szCs w:val="18"/>
          <w:lang w:val="es-ES_tradnl"/>
        </w:rPr>
        <w:t xml:space="preserve"> caso de remisión de la norma legal a normas reglamentarias, </w:t>
      </w:r>
      <w:r w:rsidRPr="004E5792">
        <w:rPr>
          <w:rFonts w:ascii="Verdana" w:hAnsi="Verdana" w:cstheme="minorBidi"/>
          <w:sz w:val="18"/>
          <w:szCs w:val="18"/>
          <w:u w:val="single"/>
          <w:lang w:val="es-ES_tradnl"/>
        </w:rPr>
        <w:t xml:space="preserve">si en aquélla quedan </w:t>
      </w:r>
      <w:r w:rsidR="004501C9" w:rsidRPr="004E5792">
        <w:rPr>
          <w:rFonts w:ascii="Verdana" w:hAnsi="Verdana" w:cstheme="minorBidi"/>
          <w:sz w:val="18"/>
          <w:szCs w:val="18"/>
          <w:u w:val="single"/>
          <w:lang w:val="es-ES_tradnl"/>
        </w:rPr>
        <w:t>“</w:t>
      </w:r>
      <w:r w:rsidRPr="004E5792">
        <w:rPr>
          <w:rFonts w:ascii="Verdana" w:hAnsi="Verdana" w:cstheme="minorBidi"/>
          <w:sz w:val="18"/>
          <w:szCs w:val="18"/>
          <w:u w:val="single"/>
          <w:lang w:val="es-ES_tradnl"/>
        </w:rPr>
        <w:t>suficientemente determinados los elementos esenciales de la conducta antijurídica</w:t>
      </w:r>
      <w:r w:rsidRPr="004E5792">
        <w:rPr>
          <w:rFonts w:ascii="Verdana" w:hAnsi="Verdana" w:cstheme="minorBidi"/>
          <w:sz w:val="18"/>
          <w:szCs w:val="18"/>
          <w:lang w:val="es-ES_tradnl"/>
        </w:rPr>
        <w:t>... y naturaleza y límites de las sanciones a imponen</w:t>
      </w:r>
      <w:r w:rsidR="004501C9"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(STC 3/1988, fundamento jurídico 9.º), como, en fin, en las situaciones llamadas de sujeción especial </w:t>
      </w:r>
      <w:r w:rsidR="00F85A89" w:rsidRPr="004E5792">
        <w:rPr>
          <w:rFonts w:ascii="Verdana" w:hAnsi="Verdana" w:cstheme="minorBidi"/>
          <w:sz w:val="18"/>
          <w:szCs w:val="18"/>
          <w:lang w:val="es-ES_tradnl"/>
        </w:rPr>
        <w:t>“</w:t>
      </w:r>
      <w:r w:rsidRPr="004E5792">
        <w:rPr>
          <w:rFonts w:ascii="Verdana" w:hAnsi="Verdana" w:cstheme="minorBidi"/>
          <w:sz w:val="18"/>
          <w:szCs w:val="18"/>
          <w:lang w:val="es-ES_tradnl"/>
        </w:rPr>
        <w:t>aunque incluso en dicho ámbito una sanción carente de toda base legal devendría lesiva del derecho fundamental que reconoce el art. 25.1 de la Constitución</w:t>
      </w:r>
      <w:r w:rsidR="00F85A89" w:rsidRPr="004E5792">
        <w:rPr>
          <w:rFonts w:ascii="Verdana" w:hAnsi="Verdana" w:cstheme="minorBidi"/>
          <w:sz w:val="18"/>
          <w:szCs w:val="18"/>
          <w:lang w:val="es-ES_tradnl"/>
        </w:rPr>
        <w:t>”</w:t>
      </w:r>
      <w:r w:rsidRPr="004E5792">
        <w:rPr>
          <w:rFonts w:ascii="Verdana" w:hAnsi="Verdana" w:cstheme="minorBidi"/>
          <w:sz w:val="18"/>
          <w:szCs w:val="18"/>
          <w:lang w:val="es-ES_tradnl"/>
        </w:rPr>
        <w:t xml:space="preserve"> (STC 219/1989, fundamento jurídico 2.º). En todo caso, se dice en estas Sentencias, </w:t>
      </w:r>
      <w:r w:rsidRPr="004E5792">
        <w:rPr>
          <w:rFonts w:ascii="Verdana" w:hAnsi="Verdana" w:cstheme="minorBidi"/>
          <w:sz w:val="18"/>
          <w:szCs w:val="18"/>
          <w:u w:val="single"/>
          <w:lang w:val="es-ES_tradnl"/>
        </w:rPr>
        <w:t>lo que prohíbe el art. 25.1 C.E. es la remisión al reglamento que haga posible una regulación independiente y no claramente subordinada a la Ley</w:t>
      </w:r>
      <w:r w:rsidRPr="004E5792">
        <w:rPr>
          <w:rFonts w:ascii="Verdana" w:hAnsi="Verdana" w:cstheme="minorBidi"/>
          <w:sz w:val="18"/>
          <w:szCs w:val="18"/>
          <w:lang w:val="es-ES_tradnl"/>
        </w:rPr>
        <w:t>, pero no la colaboración reglamentaria en la normativa sancionadora.</w:t>
      </w:r>
    </w:p>
    <w:p w14:paraId="29CF8F49" w14:textId="77777777" w:rsidR="00143451" w:rsidRPr="004E5792" w:rsidRDefault="00143451" w:rsidP="000E6EDD">
      <w:pPr>
        <w:pStyle w:val="NormalWeb"/>
        <w:spacing w:before="0" w:beforeAutospacing="0" w:after="0" w:afterAutospacing="0"/>
        <w:ind w:left="709"/>
        <w:jc w:val="both"/>
        <w:rPr>
          <w:rFonts w:ascii="Verdana" w:hAnsi="Verdana" w:cstheme="minorBidi"/>
          <w:sz w:val="18"/>
          <w:szCs w:val="18"/>
          <w:lang w:val="es-ES_tradnl"/>
        </w:rPr>
      </w:pPr>
    </w:p>
    <w:p w14:paraId="1AB8A8AE" w14:textId="77D1A0DE" w:rsidR="00143451" w:rsidRPr="004E5792" w:rsidRDefault="00F85A89"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w:t>
      </w:r>
    </w:p>
    <w:p w14:paraId="392BE7CA" w14:textId="77777777" w:rsidR="00143451" w:rsidRPr="004E5792" w:rsidRDefault="00143451" w:rsidP="000E6EDD">
      <w:pPr>
        <w:pStyle w:val="NormalWeb"/>
        <w:spacing w:before="0" w:beforeAutospacing="0" w:after="0" w:afterAutospacing="0"/>
        <w:ind w:left="851"/>
        <w:jc w:val="both"/>
        <w:rPr>
          <w:rFonts w:ascii="Verdana" w:hAnsi="Verdana" w:cstheme="minorBidi"/>
          <w:sz w:val="18"/>
          <w:szCs w:val="18"/>
          <w:lang w:val="es-ES_tradnl"/>
        </w:rPr>
      </w:pPr>
    </w:p>
    <w:p w14:paraId="082FAEB9" w14:textId="421CEB4F" w:rsidR="00105617" w:rsidRDefault="00143451" w:rsidP="00457CC3">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 xml:space="preserve">La insistencia del Abogado del Estado en la peculiar relación del recurrente con la Administración para entender relativizado el requisito de la cobertura por Ley no es, por otra parte, convincente, pese a su loable esfuerzo dialéctico. </w:t>
      </w:r>
      <w:r w:rsidRPr="004E5792">
        <w:rPr>
          <w:rFonts w:ascii="Verdana" w:hAnsi="Verdana" w:cstheme="minorBidi"/>
          <w:sz w:val="18"/>
          <w:szCs w:val="18"/>
          <w:u w:val="single"/>
          <w:lang w:val="es-ES_tradnl"/>
        </w:rPr>
        <w:t>Una cosa es, en efecto, que quepan restricciones en el ejercicio de los derechos en los casos de sujeción especial y otra que los principios constitucionales (y derechos fundamentales en ellos subsumidos) puedan ser también restringidos o perder eficacia y virtualidad</w:t>
      </w:r>
      <w:r w:rsidRPr="004E5792">
        <w:rPr>
          <w:rFonts w:ascii="Verdana" w:hAnsi="Verdana" w:cstheme="minorBidi"/>
          <w:sz w:val="18"/>
          <w:szCs w:val="18"/>
          <w:lang w:val="es-ES_tradnl"/>
        </w:rPr>
        <w:t xml:space="preserve">. No se puede relativizar un principio sin riesgo de suprimirlo. Y siempre deberá ser exigible en el campo sancionatorio administrativo (no hay duda en el penal) el cumplimiento de los requisitos constitucionales de legalidad formal y tipicidad como garantía de la seguridad jurídica del ciudadano. </w:t>
      </w:r>
      <w:r w:rsidRPr="004E5792">
        <w:rPr>
          <w:rFonts w:ascii="Verdana" w:hAnsi="Verdana" w:cstheme="minorBidi"/>
          <w:sz w:val="18"/>
          <w:szCs w:val="18"/>
          <w:u w:val="single"/>
          <w:lang w:val="es-ES_tradnl"/>
        </w:rPr>
        <w:t>Otra cosa es que esos requisitos permitan una adaptación -nunca supresión- a los casos e hipótesis de relaciones Administración-administrado y en concordancia con la intensidad de la sujeción</w:t>
      </w:r>
      <w:r w:rsidRPr="004E5792">
        <w:rPr>
          <w:rFonts w:ascii="Verdana" w:hAnsi="Verdana" w:cstheme="minorBidi"/>
          <w:sz w:val="18"/>
          <w:szCs w:val="18"/>
          <w:lang w:val="es-ES_tradnl"/>
        </w:rPr>
        <w:t xml:space="preserve">. A un supuesto de máxima intensidad se refería, por ejemplo, la STC 2/1987 (situación de preso), que admitió la </w:t>
      </w:r>
      <w:proofErr w:type="spellStart"/>
      <w:r w:rsidRPr="004E5792">
        <w:rPr>
          <w:rFonts w:ascii="Verdana" w:hAnsi="Verdana" w:cstheme="minorBidi"/>
          <w:sz w:val="18"/>
          <w:szCs w:val="18"/>
          <w:lang w:val="es-ES_tradnl"/>
        </w:rPr>
        <w:t>normación</w:t>
      </w:r>
      <w:proofErr w:type="spellEnd"/>
      <w:r w:rsidRPr="004E5792">
        <w:rPr>
          <w:rFonts w:ascii="Verdana" w:hAnsi="Verdana" w:cstheme="minorBidi"/>
          <w:sz w:val="18"/>
          <w:szCs w:val="18"/>
          <w:lang w:val="es-ES_tradnl"/>
        </w:rPr>
        <w:t xml:space="preserve"> reglamentaria en castigos, bien que en relación con la Ley (General Penitenciaria) que estab</w:t>
      </w:r>
      <w:r w:rsidR="00A203CB" w:rsidRPr="004E5792">
        <w:rPr>
          <w:rFonts w:ascii="Verdana" w:hAnsi="Verdana" w:cstheme="minorBidi"/>
          <w:sz w:val="18"/>
          <w:szCs w:val="18"/>
          <w:lang w:val="es-ES_tradnl"/>
        </w:rPr>
        <w:t>lecía las previsiones generales</w:t>
      </w:r>
      <w:r w:rsidR="00F85A89" w:rsidRPr="004E5792">
        <w:rPr>
          <w:rStyle w:val="FootnoteReference"/>
          <w:rFonts w:ascii="Verdana" w:hAnsi="Verdana" w:cstheme="minorBidi"/>
          <w:sz w:val="18"/>
          <w:szCs w:val="18"/>
          <w:lang w:val="es-ES_tradnl"/>
        </w:rPr>
        <w:footnoteReference w:id="83"/>
      </w:r>
      <w:r w:rsidR="00A203CB" w:rsidRPr="004E5792">
        <w:rPr>
          <w:rFonts w:ascii="Verdana" w:hAnsi="Verdana" w:cstheme="minorBidi"/>
          <w:sz w:val="18"/>
          <w:szCs w:val="18"/>
          <w:lang w:val="es-ES_tradnl"/>
        </w:rPr>
        <w:t>.</w:t>
      </w:r>
      <w:r w:rsidR="00F6538E">
        <w:rPr>
          <w:rFonts w:ascii="Verdana" w:hAnsi="Verdana" w:cstheme="minorBidi"/>
          <w:sz w:val="18"/>
          <w:szCs w:val="18"/>
          <w:lang w:val="es-ES_tradnl"/>
        </w:rPr>
        <w:t xml:space="preserve"> (Subrayado añadido).</w:t>
      </w:r>
    </w:p>
    <w:p w14:paraId="6A7C0007" w14:textId="77777777" w:rsidR="00457CC3" w:rsidRPr="00457CC3" w:rsidRDefault="00457CC3" w:rsidP="00457CC3">
      <w:pPr>
        <w:pStyle w:val="NormalWeb"/>
        <w:spacing w:before="0" w:beforeAutospacing="0" w:after="0" w:afterAutospacing="0"/>
        <w:ind w:left="709"/>
        <w:jc w:val="both"/>
        <w:rPr>
          <w:rFonts w:ascii="Verdana" w:hAnsi="Verdana" w:cstheme="minorBidi"/>
          <w:sz w:val="18"/>
          <w:szCs w:val="18"/>
          <w:lang w:val="es-ES_tradnl"/>
        </w:rPr>
      </w:pPr>
    </w:p>
    <w:p w14:paraId="39BE3DDF" w14:textId="4CD1A303" w:rsidR="00E41CEE" w:rsidRPr="00254178" w:rsidRDefault="00E41CEE" w:rsidP="00457CC3">
      <w:pPr>
        <w:ind w:left="706"/>
        <w:jc w:val="both"/>
        <w:outlineLvl w:val="2"/>
        <w:rPr>
          <w:rFonts w:ascii="Verdana" w:eastAsia="Batang" w:hAnsi="Verdana" w:cs="Times"/>
          <w:i/>
          <w:noProof/>
          <w:sz w:val="20"/>
          <w:lang w:eastAsia="en-US"/>
        </w:rPr>
      </w:pPr>
      <w:r w:rsidRPr="00254178">
        <w:rPr>
          <w:rFonts w:ascii="Verdana" w:eastAsia="Batang" w:hAnsi="Verdana" w:cs="Times"/>
          <w:i/>
          <w:noProof/>
          <w:sz w:val="20"/>
          <w:lang w:eastAsia="en-US"/>
        </w:rPr>
        <w:tab/>
      </w:r>
      <w:r w:rsidR="00254178">
        <w:rPr>
          <w:rFonts w:ascii="Verdana" w:eastAsia="Batang" w:hAnsi="Verdana" w:cs="Times"/>
          <w:i/>
          <w:noProof/>
          <w:sz w:val="20"/>
          <w:lang w:eastAsia="en-US"/>
        </w:rPr>
        <w:t xml:space="preserve">iii) </w:t>
      </w:r>
      <w:r w:rsidRPr="00254178">
        <w:rPr>
          <w:rFonts w:ascii="Verdana" w:eastAsia="Batang" w:hAnsi="Verdana" w:cs="Times"/>
          <w:i/>
          <w:noProof/>
          <w:sz w:val="20"/>
          <w:lang w:eastAsia="en-US"/>
        </w:rPr>
        <w:t xml:space="preserve"> </w:t>
      </w:r>
      <w:r w:rsidR="006B7ADF" w:rsidRPr="00254178">
        <w:rPr>
          <w:rFonts w:ascii="Verdana" w:eastAsia="Batang" w:hAnsi="Verdana" w:cs="Times"/>
          <w:i/>
          <w:noProof/>
          <w:sz w:val="20"/>
          <w:lang w:eastAsia="en-US"/>
        </w:rPr>
        <w:t>Cuatro postulados para fortalecer las garantías mínimas del artículo 8.2 de la Convención Americana sobre Derechos Humanos como base de todo ámbito jurídico sancionador</w:t>
      </w:r>
      <w:r w:rsidRPr="00254178">
        <w:rPr>
          <w:rFonts w:ascii="Verdana" w:eastAsia="Batang" w:hAnsi="Verdana" w:cs="Times"/>
          <w:i/>
          <w:noProof/>
          <w:sz w:val="20"/>
          <w:lang w:eastAsia="en-US"/>
        </w:rPr>
        <w:t xml:space="preserve"> </w:t>
      </w:r>
    </w:p>
    <w:p w14:paraId="009BB482" w14:textId="77777777" w:rsidR="00E41CEE" w:rsidRDefault="00E41CEE" w:rsidP="000E6EDD">
      <w:pPr>
        <w:pStyle w:val="NormalWeb"/>
        <w:spacing w:before="0" w:beforeAutospacing="0" w:after="0" w:afterAutospacing="0"/>
        <w:jc w:val="both"/>
        <w:rPr>
          <w:rFonts w:ascii="Verdana" w:hAnsi="Verdana"/>
          <w:lang w:val="es-ES_tradnl"/>
        </w:rPr>
      </w:pPr>
    </w:p>
    <w:p w14:paraId="1FAE3CF7" w14:textId="0712EFCA" w:rsidR="00F85A89" w:rsidRDefault="00744F11" w:rsidP="000E6EDD">
      <w:pPr>
        <w:pStyle w:val="NormalWeb"/>
        <w:spacing w:before="0" w:beforeAutospacing="0" w:after="0" w:afterAutospacing="0"/>
        <w:jc w:val="both"/>
        <w:rPr>
          <w:rFonts w:ascii="Verdana" w:hAnsi="Verdana"/>
          <w:lang w:val="es-ES_tradnl"/>
        </w:rPr>
      </w:pPr>
      <w:r>
        <w:rPr>
          <w:rFonts w:ascii="Verdana" w:hAnsi="Verdana"/>
          <w:lang w:val="es-ES_tradnl"/>
        </w:rPr>
        <w:t>47</w:t>
      </w:r>
      <w:r w:rsidR="00F85A89">
        <w:rPr>
          <w:rFonts w:ascii="Verdana" w:hAnsi="Verdana"/>
          <w:lang w:val="es-ES_tradnl"/>
        </w:rPr>
        <w:t xml:space="preserve">. </w:t>
      </w:r>
      <w:r w:rsidR="00F85A89">
        <w:rPr>
          <w:rFonts w:ascii="Verdana" w:hAnsi="Verdana"/>
          <w:lang w:val="es-ES_tradnl"/>
        </w:rPr>
        <w:tab/>
      </w:r>
      <w:r w:rsidR="00F65875">
        <w:rPr>
          <w:rFonts w:ascii="Verdana" w:hAnsi="Verdana"/>
          <w:lang w:val="es-ES_tradnl"/>
        </w:rPr>
        <w:t>Son sumamente ilustrativas las</w:t>
      </w:r>
      <w:r w:rsidR="00B81517">
        <w:rPr>
          <w:rFonts w:ascii="Verdana" w:hAnsi="Verdana"/>
          <w:lang w:val="es-ES_tradnl"/>
        </w:rPr>
        <w:t xml:space="preserve"> anteriores</w:t>
      </w:r>
      <w:r w:rsidR="00F85A89">
        <w:rPr>
          <w:rFonts w:ascii="Verdana" w:hAnsi="Verdana"/>
          <w:lang w:val="es-ES_tradnl"/>
        </w:rPr>
        <w:t xml:space="preserve"> consideraciones</w:t>
      </w:r>
      <w:r w:rsidR="00F65875">
        <w:rPr>
          <w:rFonts w:ascii="Verdana" w:hAnsi="Verdana"/>
          <w:lang w:val="es-ES_tradnl"/>
        </w:rPr>
        <w:t>, sobre todo las correspondientes a</w:t>
      </w:r>
      <w:r w:rsidR="00F85A89">
        <w:rPr>
          <w:rFonts w:ascii="Verdana" w:hAnsi="Verdana"/>
          <w:lang w:val="es-ES_tradnl"/>
        </w:rPr>
        <w:t xml:space="preserve"> la jurisdicción constitucional hispana </w:t>
      </w:r>
      <w:r w:rsidR="00E41CEE">
        <w:rPr>
          <w:rFonts w:ascii="Verdana" w:hAnsi="Verdana"/>
          <w:lang w:val="es-ES_tradnl"/>
        </w:rPr>
        <w:t>que reproduje en el párrafo anterior. De e</w:t>
      </w:r>
      <w:r w:rsidR="002C65B6">
        <w:rPr>
          <w:rFonts w:ascii="Verdana" w:hAnsi="Verdana"/>
          <w:lang w:val="es-ES_tradnl"/>
        </w:rPr>
        <w:t xml:space="preserve">llas se infieren los </w:t>
      </w:r>
      <w:r w:rsidR="0030311A">
        <w:rPr>
          <w:rFonts w:ascii="Verdana" w:hAnsi="Verdana"/>
          <w:b/>
          <w:i/>
          <w:lang w:val="es-ES_tradnl"/>
        </w:rPr>
        <w:t>cuatro</w:t>
      </w:r>
      <w:r w:rsidR="00182A72" w:rsidRPr="00182A72">
        <w:rPr>
          <w:rFonts w:ascii="Verdana" w:hAnsi="Verdana"/>
          <w:b/>
          <w:i/>
          <w:lang w:val="es-ES_tradnl"/>
        </w:rPr>
        <w:t xml:space="preserve"> </w:t>
      </w:r>
      <w:r w:rsidR="00F85A89" w:rsidRPr="00182A72">
        <w:rPr>
          <w:rFonts w:ascii="Verdana" w:hAnsi="Verdana"/>
          <w:b/>
          <w:i/>
          <w:lang w:val="es-ES_tradnl"/>
        </w:rPr>
        <w:t>postulados</w:t>
      </w:r>
      <w:r w:rsidR="00182A72" w:rsidRPr="00182A72">
        <w:rPr>
          <w:rFonts w:ascii="Verdana" w:hAnsi="Verdana"/>
          <w:lang w:val="es-ES_tradnl"/>
        </w:rPr>
        <w:t xml:space="preserve"> </w:t>
      </w:r>
      <w:r w:rsidR="00182A72">
        <w:rPr>
          <w:rFonts w:ascii="Verdana" w:hAnsi="Verdana"/>
          <w:lang w:val="es-ES_tradnl"/>
        </w:rPr>
        <w:t>siguientes</w:t>
      </w:r>
      <w:r>
        <w:rPr>
          <w:rFonts w:ascii="Verdana" w:hAnsi="Verdana"/>
          <w:lang w:val="es-ES_tradnl"/>
        </w:rPr>
        <w:t>: (i</w:t>
      </w:r>
      <w:r w:rsidR="00F85A89">
        <w:rPr>
          <w:rFonts w:ascii="Verdana" w:hAnsi="Verdana"/>
          <w:lang w:val="es-ES_tradnl"/>
        </w:rPr>
        <w:t>) en principio, “</w:t>
      </w:r>
      <w:r w:rsidR="00F85A89" w:rsidRPr="00F85A89">
        <w:rPr>
          <w:rFonts w:ascii="Verdana" w:hAnsi="Verdana"/>
          <w:lang w:val="es-ES_tradnl"/>
        </w:rPr>
        <w:t xml:space="preserve">la regulación de las sanciones administrativas </w:t>
      </w:r>
      <w:r w:rsidR="00F85A89">
        <w:rPr>
          <w:rFonts w:ascii="Verdana" w:hAnsi="Verdana"/>
          <w:lang w:val="es-ES_tradnl"/>
        </w:rPr>
        <w:t xml:space="preserve">[u otras] </w:t>
      </w:r>
      <w:r w:rsidR="00F85A89" w:rsidRPr="00F85A89">
        <w:rPr>
          <w:rFonts w:ascii="Verdana" w:hAnsi="Verdana"/>
          <w:lang w:val="es-ES_tradnl"/>
        </w:rPr>
        <w:t xml:space="preserve">ha de estar inspirada en los principios </w:t>
      </w:r>
      <w:r w:rsidR="00F85A89" w:rsidRPr="00F85A89">
        <w:rPr>
          <w:rFonts w:ascii="Verdana" w:hAnsi="Verdana"/>
          <w:lang w:val="es-ES_tradnl"/>
        </w:rPr>
        <w:lastRenderedPageBreak/>
        <w:t>propios y característicos del Derecho Penal</w:t>
      </w:r>
      <w:r w:rsidR="00F85A89">
        <w:rPr>
          <w:rFonts w:ascii="Verdana" w:hAnsi="Verdana"/>
          <w:lang w:val="es-ES_tradnl"/>
        </w:rPr>
        <w:t xml:space="preserve">”, </w:t>
      </w:r>
      <w:r w:rsidR="00635B60">
        <w:rPr>
          <w:rFonts w:ascii="Verdana" w:hAnsi="Verdana"/>
          <w:lang w:val="es-ES_tradnl"/>
        </w:rPr>
        <w:t>por lo que é</w:t>
      </w:r>
      <w:r w:rsidR="00F85A89">
        <w:rPr>
          <w:rFonts w:ascii="Verdana" w:hAnsi="Verdana"/>
          <w:lang w:val="es-ES_tradnl"/>
        </w:rPr>
        <w:t xml:space="preserve">stos </w:t>
      </w:r>
      <w:r w:rsidR="00B81517" w:rsidRPr="002C65B6">
        <w:rPr>
          <w:rFonts w:ascii="Verdana" w:hAnsi="Verdana"/>
          <w:i/>
          <w:lang w:val="es-ES_tradnl"/>
        </w:rPr>
        <w:t xml:space="preserve">necesariamente </w:t>
      </w:r>
      <w:r w:rsidR="00F85A89" w:rsidRPr="002C65B6">
        <w:rPr>
          <w:rFonts w:ascii="Verdana" w:hAnsi="Verdana"/>
          <w:i/>
          <w:lang w:val="es-ES_tradnl"/>
        </w:rPr>
        <w:t>cobran aplicación</w:t>
      </w:r>
      <w:r w:rsidR="00F85A89">
        <w:rPr>
          <w:rFonts w:ascii="Verdana" w:hAnsi="Verdana"/>
          <w:lang w:val="es-ES_tradnl"/>
        </w:rPr>
        <w:t xml:space="preserve"> respecto de aquel ámbito como lo </w:t>
      </w:r>
      <w:r w:rsidR="00B81517">
        <w:rPr>
          <w:rFonts w:ascii="Verdana" w:hAnsi="Verdana"/>
          <w:lang w:val="es-ES_tradnl"/>
        </w:rPr>
        <w:t>tienen</w:t>
      </w:r>
      <w:r w:rsidR="00F85A89">
        <w:rPr>
          <w:rFonts w:ascii="Verdana" w:hAnsi="Verdana"/>
          <w:lang w:val="es-ES_tradnl"/>
        </w:rPr>
        <w:t xml:space="preserve"> en </w:t>
      </w:r>
      <w:r w:rsidR="00B81517">
        <w:rPr>
          <w:rFonts w:ascii="Verdana" w:hAnsi="Verdana"/>
          <w:lang w:val="es-ES_tradnl"/>
        </w:rPr>
        <w:t>el último</w:t>
      </w:r>
      <w:r w:rsidR="00F85A89">
        <w:rPr>
          <w:rFonts w:ascii="Verdana" w:hAnsi="Verdana"/>
          <w:lang w:val="es-ES_tradnl"/>
        </w:rPr>
        <w:t xml:space="preserve">; </w:t>
      </w:r>
      <w:r w:rsidR="0025055F">
        <w:rPr>
          <w:rFonts w:ascii="Verdana" w:hAnsi="Verdana"/>
          <w:lang w:val="es-ES_tradnl"/>
        </w:rPr>
        <w:t>(ii</w:t>
      </w:r>
      <w:r w:rsidR="00F85A89">
        <w:rPr>
          <w:rFonts w:ascii="Verdana" w:hAnsi="Verdana"/>
          <w:lang w:val="es-ES_tradnl"/>
        </w:rPr>
        <w:t xml:space="preserve">) por ende, cualquier debilitamiento de </w:t>
      </w:r>
      <w:r w:rsidR="00B81517">
        <w:rPr>
          <w:rFonts w:ascii="Verdana" w:hAnsi="Verdana"/>
          <w:lang w:val="es-ES_tradnl"/>
        </w:rPr>
        <w:t xml:space="preserve">los </w:t>
      </w:r>
      <w:r w:rsidR="00F85A89">
        <w:rPr>
          <w:rFonts w:ascii="Verdana" w:hAnsi="Verdana"/>
          <w:lang w:val="es-ES_tradnl"/>
        </w:rPr>
        <w:t>principios</w:t>
      </w:r>
      <w:r w:rsidR="00B81517">
        <w:rPr>
          <w:rFonts w:ascii="Verdana" w:hAnsi="Verdana"/>
          <w:lang w:val="es-ES_tradnl"/>
        </w:rPr>
        <w:t xml:space="preserve"> penales cuando se transportan al ámbito sancionador de otra materia es </w:t>
      </w:r>
      <w:r w:rsidR="00B81517">
        <w:rPr>
          <w:rFonts w:ascii="Verdana" w:hAnsi="Verdana"/>
          <w:i/>
          <w:lang w:val="es-ES_tradnl"/>
        </w:rPr>
        <w:t>excepcional</w:t>
      </w:r>
      <w:r w:rsidR="0030311A">
        <w:rPr>
          <w:rFonts w:ascii="Verdana" w:hAnsi="Verdana"/>
          <w:lang w:val="es-ES_tradnl"/>
        </w:rPr>
        <w:t>, y justificarlo recae sobre quien pretende hacerlo valer, por lo general, la Administración</w:t>
      </w:r>
      <w:r w:rsidR="00B81517">
        <w:rPr>
          <w:rFonts w:ascii="Verdana" w:hAnsi="Verdana"/>
          <w:lang w:val="es-ES_tradnl"/>
        </w:rPr>
        <w:t xml:space="preserve">; </w:t>
      </w:r>
      <w:r w:rsidR="0025055F">
        <w:rPr>
          <w:rFonts w:ascii="Verdana" w:hAnsi="Verdana"/>
          <w:lang w:val="es-ES_tradnl"/>
        </w:rPr>
        <w:t>(iii</w:t>
      </w:r>
      <w:r w:rsidR="00B81517">
        <w:rPr>
          <w:rFonts w:ascii="Verdana" w:hAnsi="Verdana"/>
          <w:lang w:val="es-ES_tradnl"/>
        </w:rPr>
        <w:t xml:space="preserve">) </w:t>
      </w:r>
      <w:r w:rsidR="00635B60">
        <w:rPr>
          <w:rFonts w:ascii="Verdana" w:hAnsi="Verdana"/>
          <w:lang w:val="es-ES_tradnl"/>
        </w:rPr>
        <w:t xml:space="preserve">si bien </w:t>
      </w:r>
      <w:r w:rsidR="002C65B6">
        <w:rPr>
          <w:rFonts w:ascii="Verdana" w:hAnsi="Verdana"/>
          <w:lang w:val="es-ES_tradnl"/>
        </w:rPr>
        <w:t>es admisible</w:t>
      </w:r>
      <w:r w:rsidR="00635B60">
        <w:rPr>
          <w:rFonts w:ascii="Verdana" w:hAnsi="Verdana"/>
          <w:lang w:val="es-ES_tradnl"/>
        </w:rPr>
        <w:t xml:space="preserve"> que excepcionalmente los principios penales sean restringidos, relajados o pierdan virtualidad </w:t>
      </w:r>
      <w:r w:rsidR="002C65B6">
        <w:rPr>
          <w:rFonts w:ascii="Verdana" w:hAnsi="Verdana"/>
          <w:lang w:val="es-ES_tradnl"/>
        </w:rPr>
        <w:t>al trasladarse</w:t>
      </w:r>
      <w:r w:rsidR="00635B60">
        <w:rPr>
          <w:rFonts w:ascii="Verdana" w:hAnsi="Verdana"/>
          <w:lang w:val="es-ES_tradnl"/>
        </w:rPr>
        <w:t xml:space="preserve"> a un ámbito diferente, </w:t>
      </w:r>
      <w:r w:rsidR="002C65B6">
        <w:rPr>
          <w:rFonts w:ascii="Verdana" w:hAnsi="Verdana"/>
          <w:lang w:val="es-ES_tradnl"/>
        </w:rPr>
        <w:t xml:space="preserve">su inserción en éste debe consistir en </w:t>
      </w:r>
      <w:r w:rsidR="002C65B6" w:rsidRPr="002E695B">
        <w:rPr>
          <w:rFonts w:ascii="Verdana" w:hAnsi="Verdana"/>
          <w:b/>
          <w:i/>
          <w:lang w:val="es-ES_tradnl"/>
        </w:rPr>
        <w:t>una adaptación, nunca una supresión</w:t>
      </w:r>
      <w:r w:rsidR="002C65B6">
        <w:rPr>
          <w:rFonts w:ascii="Verdana" w:hAnsi="Verdana"/>
          <w:lang w:val="es-ES_tradnl"/>
        </w:rPr>
        <w:t xml:space="preserve">, </w:t>
      </w:r>
      <w:r w:rsidR="002C65B6" w:rsidRPr="002E695B">
        <w:rPr>
          <w:rFonts w:ascii="Verdana" w:hAnsi="Verdana"/>
          <w:b/>
          <w:lang w:val="es-ES_tradnl"/>
        </w:rPr>
        <w:t xml:space="preserve">debiendo mantenerse su </w:t>
      </w:r>
      <w:r w:rsidR="002C65B6" w:rsidRPr="002E695B">
        <w:rPr>
          <w:rFonts w:ascii="Verdana" w:hAnsi="Verdana"/>
          <w:b/>
          <w:i/>
          <w:lang w:val="es-ES_tradnl"/>
        </w:rPr>
        <w:t>contenido esencial</w:t>
      </w:r>
      <w:r w:rsidR="002C65B6" w:rsidRPr="002C65B6">
        <w:rPr>
          <w:rFonts w:ascii="Verdana" w:hAnsi="Verdana"/>
          <w:lang w:val="es-ES_tradnl"/>
        </w:rPr>
        <w:t>, como mostraron los ejemplos que dio el tribunal citado</w:t>
      </w:r>
      <w:r w:rsidR="002C65B6">
        <w:rPr>
          <w:rFonts w:ascii="Verdana" w:hAnsi="Verdana"/>
          <w:lang w:val="es-ES_tradnl"/>
        </w:rPr>
        <w:t xml:space="preserve">; </w:t>
      </w:r>
      <w:r w:rsidR="0030311A">
        <w:rPr>
          <w:rFonts w:ascii="Verdana" w:hAnsi="Verdana"/>
          <w:lang w:val="es-ES_tradnl"/>
        </w:rPr>
        <w:t xml:space="preserve">y </w:t>
      </w:r>
      <w:r w:rsidR="0025055F">
        <w:rPr>
          <w:rFonts w:ascii="Verdana" w:hAnsi="Verdana"/>
          <w:lang w:val="es-ES_tradnl"/>
        </w:rPr>
        <w:t>(iv</w:t>
      </w:r>
      <w:r w:rsidR="002C65B6">
        <w:rPr>
          <w:rFonts w:ascii="Verdana" w:hAnsi="Verdana"/>
          <w:lang w:val="es-ES_tradnl"/>
        </w:rPr>
        <w:t>) el grado con que podrán atemperarse dichos principios penales en su transposición a otra materia, depende de una ponderación basa</w:t>
      </w:r>
      <w:r w:rsidR="00026CBA">
        <w:rPr>
          <w:rFonts w:ascii="Verdana" w:hAnsi="Verdana"/>
          <w:lang w:val="es-ES_tradnl"/>
        </w:rPr>
        <w:t>da</w:t>
      </w:r>
      <w:r w:rsidR="002C65B6">
        <w:rPr>
          <w:rFonts w:ascii="Verdana" w:hAnsi="Verdana"/>
          <w:lang w:val="es-ES_tradnl"/>
        </w:rPr>
        <w:t xml:space="preserve"> primordialmente en la importancia que en abstracto tenga el bien jurídico afectado a la persona y la intensidad con que se menoscabe</w:t>
      </w:r>
      <w:r w:rsidR="0030311A">
        <w:rPr>
          <w:rFonts w:ascii="Verdana" w:hAnsi="Verdana"/>
          <w:lang w:val="es-ES_tradnl"/>
        </w:rPr>
        <w:t>.</w:t>
      </w:r>
    </w:p>
    <w:p w14:paraId="75F535FD" w14:textId="77777777" w:rsidR="007E2751" w:rsidRDefault="007E2751" w:rsidP="000E6EDD">
      <w:pPr>
        <w:pStyle w:val="NormalWeb"/>
        <w:spacing w:before="0" w:beforeAutospacing="0" w:after="0" w:afterAutospacing="0"/>
        <w:jc w:val="both"/>
        <w:rPr>
          <w:rFonts w:ascii="Verdana" w:hAnsi="Verdana"/>
          <w:lang w:val="es-ES_tradnl"/>
        </w:rPr>
      </w:pPr>
    </w:p>
    <w:p w14:paraId="5B2531A1" w14:textId="1ABBD8BD" w:rsidR="007E2751" w:rsidRDefault="00744F11" w:rsidP="000E6EDD">
      <w:pPr>
        <w:pStyle w:val="NormalWeb"/>
        <w:spacing w:before="0" w:beforeAutospacing="0" w:after="0" w:afterAutospacing="0"/>
        <w:jc w:val="both"/>
        <w:rPr>
          <w:rFonts w:ascii="Verdana" w:hAnsi="Verdana"/>
          <w:lang w:val="es-ES_tradnl"/>
        </w:rPr>
      </w:pPr>
      <w:r>
        <w:rPr>
          <w:rFonts w:ascii="Verdana" w:hAnsi="Verdana"/>
          <w:lang w:val="es-ES_tradnl"/>
        </w:rPr>
        <w:t>48</w:t>
      </w:r>
      <w:r w:rsidR="007E2751">
        <w:rPr>
          <w:rFonts w:ascii="Verdana" w:hAnsi="Verdana"/>
          <w:lang w:val="es-ES_tradnl"/>
        </w:rPr>
        <w:t>.</w:t>
      </w:r>
      <w:r w:rsidR="007E2751">
        <w:rPr>
          <w:rFonts w:ascii="Verdana" w:hAnsi="Verdana"/>
          <w:lang w:val="es-ES_tradnl"/>
        </w:rPr>
        <w:tab/>
        <w:t xml:space="preserve">El </w:t>
      </w:r>
      <w:r w:rsidR="007E2751" w:rsidRPr="00182A72">
        <w:rPr>
          <w:rFonts w:ascii="Verdana" w:hAnsi="Verdana"/>
          <w:b/>
          <w:i/>
          <w:lang w:val="es-ES_tradnl"/>
        </w:rPr>
        <w:t>primer postulado</w:t>
      </w:r>
      <w:r w:rsidR="007E2751">
        <w:rPr>
          <w:rFonts w:ascii="Verdana" w:hAnsi="Verdana"/>
          <w:lang w:val="es-ES_tradnl"/>
        </w:rPr>
        <w:t xml:space="preserve"> requiere precisiones. La práctica que se aprecia es la aplicación de principios elaborados para la materia penal en el campo administrativo sancionatorio, realizada de un modo directo; pero en realidad </w:t>
      </w:r>
      <w:r w:rsidR="00093E13">
        <w:rPr>
          <w:rFonts w:ascii="Verdana" w:hAnsi="Verdana"/>
          <w:lang w:val="es-ES_tradnl"/>
        </w:rPr>
        <w:t>é</w:t>
      </w:r>
      <w:r w:rsidR="007E2751">
        <w:rPr>
          <w:rFonts w:ascii="Verdana" w:hAnsi="Verdana"/>
          <w:lang w:val="es-ES_tradnl"/>
        </w:rPr>
        <w:t xml:space="preserve">sta es solo el aspecto evidente de una operación más compleja. </w:t>
      </w:r>
      <w:r w:rsidR="00CD5A01">
        <w:rPr>
          <w:rFonts w:ascii="Verdana" w:hAnsi="Verdana"/>
          <w:lang w:val="es-ES_tradnl"/>
        </w:rPr>
        <w:t>D</w:t>
      </w:r>
      <w:r w:rsidR="00093E13">
        <w:rPr>
          <w:rFonts w:ascii="Verdana" w:hAnsi="Verdana"/>
          <w:lang w:val="es-ES_tradnl"/>
        </w:rPr>
        <w:t>e acuerdo con su desarrollo histórico</w:t>
      </w:r>
      <w:r w:rsidR="00A203CB">
        <w:rPr>
          <w:rFonts w:ascii="Verdana" w:hAnsi="Verdana"/>
          <w:lang w:val="es-ES_tradnl"/>
        </w:rPr>
        <w:t xml:space="preserve"> en España</w:t>
      </w:r>
      <w:r w:rsidR="00093E13">
        <w:rPr>
          <w:rFonts w:ascii="Verdana" w:hAnsi="Verdana"/>
          <w:lang w:val="es-ES_tradnl"/>
        </w:rPr>
        <w:t>, la traslación de los principios penales al ámbito administrativo sancionatorio</w:t>
      </w:r>
      <w:r w:rsidR="00A203CB">
        <w:rPr>
          <w:rFonts w:ascii="Verdana" w:hAnsi="Verdana"/>
          <w:lang w:val="es-ES_tradnl"/>
        </w:rPr>
        <w:t xml:space="preserve"> comenzó a darse con la aplicación supletoria de </w:t>
      </w:r>
      <w:r w:rsidR="00A203CB" w:rsidRPr="00A203CB">
        <w:rPr>
          <w:rFonts w:ascii="Verdana" w:hAnsi="Verdana"/>
          <w:i/>
          <w:lang w:val="es-ES_tradnl"/>
        </w:rPr>
        <w:t>disposiciones</w:t>
      </w:r>
      <w:r w:rsidR="00A203CB">
        <w:rPr>
          <w:rFonts w:ascii="Verdana" w:hAnsi="Verdana"/>
          <w:lang w:val="es-ES_tradnl"/>
        </w:rPr>
        <w:t xml:space="preserve"> del Código Penal en el último, luego se produjo mediante la aplicación de </w:t>
      </w:r>
      <w:r w:rsidR="00A203CB" w:rsidRPr="00A203CB">
        <w:rPr>
          <w:rFonts w:ascii="Verdana" w:hAnsi="Verdana"/>
          <w:i/>
          <w:lang w:val="es-ES_tradnl"/>
        </w:rPr>
        <w:t>principios</w:t>
      </w:r>
      <w:r w:rsidR="00A203CB">
        <w:rPr>
          <w:rFonts w:ascii="Verdana" w:hAnsi="Verdana"/>
          <w:lang w:val="es-ES_tradnl"/>
        </w:rPr>
        <w:t xml:space="preserve"> del Derecho Penal, y finalmente </w:t>
      </w:r>
      <w:r w:rsidR="00CD5A01">
        <w:rPr>
          <w:rFonts w:ascii="Verdana" w:hAnsi="Verdana"/>
          <w:lang w:val="es-ES_tradnl"/>
        </w:rPr>
        <w:t xml:space="preserve">con la de </w:t>
      </w:r>
      <w:r w:rsidR="00A203CB">
        <w:rPr>
          <w:rFonts w:ascii="Verdana" w:hAnsi="Verdana"/>
          <w:lang w:val="es-ES_tradnl"/>
        </w:rPr>
        <w:t xml:space="preserve">estos principios que fueron </w:t>
      </w:r>
      <w:r w:rsidR="00A203CB" w:rsidRPr="00A203CB">
        <w:rPr>
          <w:rFonts w:ascii="Verdana" w:hAnsi="Verdana"/>
          <w:i/>
          <w:lang w:val="es-ES_tradnl"/>
        </w:rPr>
        <w:t>constitucionalizados</w:t>
      </w:r>
      <w:r w:rsidR="00A203CB">
        <w:rPr>
          <w:rFonts w:ascii="Verdana" w:hAnsi="Verdana"/>
          <w:lang w:val="es-ES_tradnl"/>
        </w:rPr>
        <w:t xml:space="preserve"> como </w:t>
      </w:r>
      <w:r w:rsidR="00A203CB" w:rsidRPr="00230923">
        <w:rPr>
          <w:rFonts w:ascii="Verdana" w:hAnsi="Verdana"/>
          <w:i/>
          <w:lang w:val="es-ES_tradnl"/>
        </w:rPr>
        <w:t>derechos fundamentales</w:t>
      </w:r>
      <w:r w:rsidR="00A203CB">
        <w:rPr>
          <w:rFonts w:ascii="Verdana" w:hAnsi="Verdana"/>
          <w:lang w:val="es-ES_tradnl"/>
        </w:rPr>
        <w:t xml:space="preserve"> en la ley suprema española de 1978.</w:t>
      </w:r>
      <w:r w:rsidR="00CD5A01">
        <w:rPr>
          <w:rFonts w:ascii="Verdana" w:hAnsi="Verdana"/>
          <w:lang w:val="es-ES_tradnl"/>
        </w:rPr>
        <w:t xml:space="preserve"> Su desarrollo ha llegado al punto en que es pacífico </w:t>
      </w:r>
      <w:r w:rsidR="00364BDF">
        <w:rPr>
          <w:rFonts w:ascii="Verdana" w:hAnsi="Verdana"/>
          <w:lang w:val="es-ES_tradnl"/>
        </w:rPr>
        <w:t xml:space="preserve">afirmar </w:t>
      </w:r>
      <w:r w:rsidR="00CD5A01">
        <w:rPr>
          <w:rFonts w:ascii="Verdana" w:hAnsi="Verdana"/>
          <w:lang w:val="es-ES_tradnl"/>
        </w:rPr>
        <w:t xml:space="preserve">que se trata de la “aplicación de </w:t>
      </w:r>
      <w:r w:rsidR="00CD5A01" w:rsidRPr="00CD5A01">
        <w:rPr>
          <w:rFonts w:ascii="Verdana" w:hAnsi="Verdana"/>
          <w:i/>
          <w:lang w:val="es-ES_tradnl"/>
        </w:rPr>
        <w:t>principios</w:t>
      </w:r>
      <w:r w:rsidR="00CD5A01">
        <w:rPr>
          <w:rFonts w:ascii="Verdana" w:hAnsi="Verdana"/>
          <w:lang w:val="es-ES_tradnl"/>
        </w:rPr>
        <w:t xml:space="preserve">[,] no de normas y mucho menos de textos”, y primordialmente de la aplicación de aquellos que tienen una </w:t>
      </w:r>
      <w:r w:rsidR="00CD5A01" w:rsidRPr="00CD5A01">
        <w:rPr>
          <w:rFonts w:ascii="Verdana" w:hAnsi="Verdana"/>
          <w:i/>
          <w:lang w:val="es-ES_tradnl"/>
        </w:rPr>
        <w:t>expresión constitucional precisa para el área penal</w:t>
      </w:r>
      <w:r w:rsidR="00CD5A01" w:rsidRPr="00CD5A01">
        <w:rPr>
          <w:rStyle w:val="FootnoteReference"/>
          <w:rFonts w:ascii="Verdana" w:hAnsi="Verdana"/>
          <w:lang w:val="es-ES_tradnl"/>
        </w:rPr>
        <w:footnoteReference w:id="84"/>
      </w:r>
      <w:r w:rsidR="00CD5A01">
        <w:rPr>
          <w:rFonts w:ascii="Verdana" w:hAnsi="Verdana"/>
          <w:i/>
          <w:lang w:val="es-ES_tradnl"/>
        </w:rPr>
        <w:t>.</w:t>
      </w:r>
      <w:r w:rsidR="00AE6CCE">
        <w:rPr>
          <w:rFonts w:ascii="Verdana" w:hAnsi="Verdana"/>
          <w:i/>
          <w:lang w:val="es-ES_tradnl"/>
        </w:rPr>
        <w:t xml:space="preserve"> </w:t>
      </w:r>
    </w:p>
    <w:p w14:paraId="4C27B1C4" w14:textId="77777777" w:rsidR="00AE6CCE" w:rsidRDefault="00AE6CCE" w:rsidP="000E6EDD">
      <w:pPr>
        <w:pStyle w:val="NormalWeb"/>
        <w:spacing w:before="0" w:beforeAutospacing="0" w:after="0" w:afterAutospacing="0"/>
        <w:jc w:val="both"/>
        <w:rPr>
          <w:rFonts w:ascii="Verdana" w:hAnsi="Verdana"/>
          <w:lang w:val="es-ES_tradnl"/>
        </w:rPr>
      </w:pPr>
    </w:p>
    <w:p w14:paraId="29DB8691" w14:textId="3E4596F5" w:rsidR="00AE6CCE" w:rsidRDefault="00744F11" w:rsidP="000E6EDD">
      <w:pPr>
        <w:pStyle w:val="NormalWeb"/>
        <w:spacing w:before="0" w:beforeAutospacing="0" w:after="0" w:afterAutospacing="0"/>
        <w:jc w:val="both"/>
        <w:rPr>
          <w:rFonts w:ascii="Verdana" w:hAnsi="Verdana"/>
          <w:lang w:val="es-ES_tradnl"/>
        </w:rPr>
      </w:pPr>
      <w:r>
        <w:rPr>
          <w:rFonts w:ascii="Verdana" w:hAnsi="Verdana"/>
          <w:lang w:val="es-ES_tradnl"/>
        </w:rPr>
        <w:t>49</w:t>
      </w:r>
      <w:r w:rsidR="00AE6CCE">
        <w:rPr>
          <w:rFonts w:ascii="Verdana" w:hAnsi="Verdana"/>
          <w:lang w:val="es-ES_tradnl"/>
        </w:rPr>
        <w:t xml:space="preserve">. </w:t>
      </w:r>
      <w:r w:rsidR="00AE6CCE">
        <w:rPr>
          <w:rFonts w:ascii="Verdana" w:hAnsi="Verdana"/>
          <w:lang w:val="es-ES_tradnl"/>
        </w:rPr>
        <w:tab/>
        <w:t xml:space="preserve">No obstante </w:t>
      </w:r>
      <w:r w:rsidR="009C32C2">
        <w:rPr>
          <w:rFonts w:ascii="Verdana" w:hAnsi="Verdana"/>
          <w:lang w:val="es-ES_tradnl"/>
        </w:rPr>
        <w:t xml:space="preserve">las apariencias que señalé al inicio del párrafo anterior, el recurso del Derecho administrativo sancionador al penal se produce en atención a la unidad del </w:t>
      </w:r>
      <w:proofErr w:type="spellStart"/>
      <w:r w:rsidR="009C32C2" w:rsidRPr="0015593E">
        <w:rPr>
          <w:rFonts w:ascii="Verdana" w:hAnsi="Verdana"/>
          <w:i/>
          <w:lang w:val="es-ES_tradnl"/>
        </w:rPr>
        <w:t>ius</w:t>
      </w:r>
      <w:proofErr w:type="spellEnd"/>
      <w:r w:rsidR="009C32C2" w:rsidRPr="0015593E">
        <w:rPr>
          <w:rFonts w:ascii="Verdana" w:hAnsi="Verdana"/>
          <w:i/>
          <w:lang w:val="es-ES_tradnl"/>
        </w:rPr>
        <w:t xml:space="preserve"> </w:t>
      </w:r>
      <w:proofErr w:type="spellStart"/>
      <w:r w:rsidR="009C32C2" w:rsidRPr="0015593E">
        <w:rPr>
          <w:rFonts w:ascii="Verdana" w:hAnsi="Verdana"/>
          <w:i/>
          <w:lang w:val="es-ES_tradnl"/>
        </w:rPr>
        <w:t>puniendi</w:t>
      </w:r>
      <w:proofErr w:type="spellEnd"/>
      <w:r w:rsidR="009C32C2">
        <w:rPr>
          <w:rFonts w:ascii="Verdana" w:hAnsi="Verdana"/>
          <w:lang w:val="es-ES_tradnl"/>
        </w:rPr>
        <w:t xml:space="preserve">, no por influencia autónoma </w:t>
      </w:r>
      <w:r w:rsidR="00A05864">
        <w:rPr>
          <w:rFonts w:ascii="Verdana" w:hAnsi="Verdana"/>
          <w:lang w:val="es-ES_tradnl"/>
        </w:rPr>
        <w:t xml:space="preserve">o casual </w:t>
      </w:r>
      <w:r w:rsidR="009C32C2">
        <w:rPr>
          <w:rFonts w:ascii="Verdana" w:hAnsi="Verdana"/>
          <w:lang w:val="es-ES_tradnl"/>
        </w:rPr>
        <w:t xml:space="preserve">de la última materia. Nieto García lo </w:t>
      </w:r>
      <w:r w:rsidR="001F19C3">
        <w:rPr>
          <w:rFonts w:ascii="Verdana" w:hAnsi="Verdana"/>
          <w:lang w:val="es-ES_tradnl"/>
        </w:rPr>
        <w:t>expresa</w:t>
      </w:r>
      <w:r w:rsidR="0025055F">
        <w:rPr>
          <w:rFonts w:ascii="Verdana" w:hAnsi="Verdana"/>
          <w:lang w:val="es-ES_tradnl"/>
        </w:rPr>
        <w:t xml:space="preserve"> </w:t>
      </w:r>
      <w:r w:rsidR="009C32C2">
        <w:rPr>
          <w:rFonts w:ascii="Verdana" w:hAnsi="Verdana"/>
          <w:lang w:val="es-ES_tradnl"/>
        </w:rPr>
        <w:t xml:space="preserve">en </w:t>
      </w:r>
      <w:r w:rsidR="001F19C3">
        <w:rPr>
          <w:rFonts w:ascii="Verdana" w:hAnsi="Verdana"/>
          <w:lang w:val="es-ES_tradnl"/>
        </w:rPr>
        <w:t xml:space="preserve">los siguientes </w:t>
      </w:r>
      <w:r w:rsidR="009C32C2">
        <w:rPr>
          <w:rFonts w:ascii="Verdana" w:hAnsi="Verdana"/>
          <w:lang w:val="es-ES_tradnl"/>
        </w:rPr>
        <w:t>términos:</w:t>
      </w:r>
    </w:p>
    <w:p w14:paraId="3ABBB5CD" w14:textId="77777777" w:rsidR="009C32C2" w:rsidRDefault="009C32C2" w:rsidP="000E6EDD">
      <w:pPr>
        <w:pStyle w:val="NormalWeb"/>
        <w:spacing w:before="0" w:beforeAutospacing="0" w:after="0" w:afterAutospacing="0"/>
        <w:jc w:val="both"/>
        <w:rPr>
          <w:rFonts w:ascii="Verdana" w:hAnsi="Verdana"/>
          <w:lang w:val="es-ES_tradnl"/>
        </w:rPr>
      </w:pPr>
    </w:p>
    <w:p w14:paraId="2F189A35" w14:textId="55903EBC" w:rsidR="009C32C2" w:rsidRPr="004E5792" w:rsidRDefault="009C32C2"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El Derecho Administrativo Sancionador y el Derecho Penal convencional forman parte de una unidad superior —el Derecho punitivo del Estado—, que hasta ahora venía identificándose con el Derecho Penal en sentido estricto. En rigor, por tanto, cuando se imponen al Derecho Administrativo Sancionador los principios del Derecho Penal no es porque se considere a éste de naturaleza superior, sino porque tales principios son los únicos que se conocen —hasta ahora— como expresión del Derecho punitivo del Estado</w:t>
      </w:r>
      <w:r w:rsidRPr="004E5792">
        <w:rPr>
          <w:rStyle w:val="FootnoteReference"/>
          <w:rFonts w:ascii="Verdana" w:hAnsi="Verdana" w:cstheme="minorBidi"/>
          <w:sz w:val="18"/>
          <w:szCs w:val="18"/>
          <w:lang w:val="es-ES_tradnl"/>
        </w:rPr>
        <w:footnoteReference w:id="85"/>
      </w:r>
      <w:r w:rsidRPr="004E5792">
        <w:rPr>
          <w:rFonts w:ascii="Verdana" w:hAnsi="Verdana" w:cstheme="minorBidi"/>
          <w:sz w:val="18"/>
          <w:szCs w:val="18"/>
          <w:lang w:val="es-ES_tradnl"/>
        </w:rPr>
        <w:t>.</w:t>
      </w:r>
    </w:p>
    <w:p w14:paraId="2B33FCEC" w14:textId="77777777" w:rsidR="009C32C2" w:rsidRPr="00AE6CCE" w:rsidRDefault="009C32C2" w:rsidP="000E6EDD">
      <w:pPr>
        <w:pStyle w:val="NormalWeb"/>
        <w:spacing w:before="0" w:beforeAutospacing="0" w:after="0" w:afterAutospacing="0"/>
        <w:jc w:val="both"/>
        <w:rPr>
          <w:rFonts w:ascii="Verdana" w:hAnsi="Verdana"/>
          <w:lang w:val="es-ES_tradnl"/>
        </w:rPr>
      </w:pPr>
    </w:p>
    <w:p w14:paraId="68E1AFCD" w14:textId="58AE9133" w:rsidR="00F85A89" w:rsidRDefault="00737D16" w:rsidP="00737D16">
      <w:pPr>
        <w:pStyle w:val="NormalWeb"/>
        <w:spacing w:before="0" w:beforeAutospacing="0" w:after="0" w:afterAutospacing="0"/>
        <w:jc w:val="both"/>
        <w:rPr>
          <w:rFonts w:ascii="Verdana" w:hAnsi="Verdana"/>
          <w:lang w:val="es-ES_tradnl"/>
        </w:rPr>
      </w:pPr>
      <w:r>
        <w:rPr>
          <w:rFonts w:ascii="Verdana" w:hAnsi="Verdana"/>
          <w:lang w:val="es-ES_tradnl"/>
        </w:rPr>
        <w:t>50.</w:t>
      </w:r>
      <w:r>
        <w:rPr>
          <w:rFonts w:ascii="Verdana" w:hAnsi="Verdana"/>
          <w:lang w:val="es-ES_tradnl"/>
        </w:rPr>
        <w:tab/>
      </w:r>
      <w:r w:rsidR="0015593E">
        <w:rPr>
          <w:rFonts w:ascii="Verdana" w:hAnsi="Verdana"/>
          <w:lang w:val="es-ES_tradnl"/>
        </w:rPr>
        <w:t xml:space="preserve">No debe extrañar que las Constituciones y los instrumentos internacionales como el artículo 8.2 de la Convención </w:t>
      </w:r>
      <w:r w:rsidR="00DF019F">
        <w:rPr>
          <w:rFonts w:ascii="Verdana" w:hAnsi="Verdana"/>
          <w:lang w:val="es-ES_tradnl"/>
        </w:rPr>
        <w:t xml:space="preserve">Americana </w:t>
      </w:r>
      <w:r w:rsidR="0015593E">
        <w:rPr>
          <w:rFonts w:ascii="Verdana" w:hAnsi="Verdana"/>
          <w:lang w:val="es-ES_tradnl"/>
        </w:rPr>
        <w:t>prevean disposiciones cuya letra garantice el debido proceso de modo específico para el ámbito penal. La importancia de los bienes jurídicos en juego en esta materia</w:t>
      </w:r>
      <w:r w:rsidR="008D4AFE">
        <w:rPr>
          <w:rFonts w:ascii="Verdana" w:hAnsi="Verdana"/>
          <w:lang w:val="es-ES_tradnl"/>
        </w:rPr>
        <w:t>,</w:t>
      </w:r>
      <w:r w:rsidR="0015593E">
        <w:rPr>
          <w:rFonts w:ascii="Verdana" w:hAnsi="Verdana"/>
          <w:lang w:val="es-ES_tradnl"/>
        </w:rPr>
        <w:t xml:space="preserve"> y la experiencia histórica que la muestra como un ámbito proclive al abuso del poder y a la arbitrariedad con muy grave perjuicio para los más importantes valores de las personas y de los órdenes jurídicos internacional y doméstico</w:t>
      </w:r>
      <w:r w:rsidR="008D4AFE">
        <w:rPr>
          <w:rFonts w:ascii="Verdana" w:hAnsi="Verdana"/>
          <w:lang w:val="es-ES_tradnl"/>
        </w:rPr>
        <w:t xml:space="preserve">, explican que el Derecho penal haya obtenido mayor atención por parte de quienes legislan y de los pensadores jurídicos. Es notorio que por lo general la privación de la libertad y </w:t>
      </w:r>
      <w:r w:rsidR="00230923">
        <w:rPr>
          <w:rFonts w:ascii="Verdana" w:hAnsi="Verdana"/>
          <w:lang w:val="es-ES_tradnl"/>
        </w:rPr>
        <w:t xml:space="preserve">la deshonra </w:t>
      </w:r>
      <w:r w:rsidR="008D4AFE">
        <w:rPr>
          <w:rFonts w:ascii="Verdana" w:hAnsi="Verdana"/>
          <w:lang w:val="es-ES_tradnl"/>
        </w:rPr>
        <w:t xml:space="preserve">ocasionadas por una condena penal a una persona </w:t>
      </w:r>
      <w:r w:rsidR="00230923">
        <w:rPr>
          <w:rFonts w:ascii="Verdana" w:hAnsi="Verdana"/>
          <w:lang w:val="es-ES_tradnl"/>
        </w:rPr>
        <w:t xml:space="preserve">tienen mayor trascendencia </w:t>
      </w:r>
      <w:r w:rsidR="008D4AFE">
        <w:rPr>
          <w:rFonts w:ascii="Verdana" w:hAnsi="Verdana"/>
          <w:lang w:val="es-ES_tradnl"/>
        </w:rPr>
        <w:t>que la clausura de su establecimiento mercantil, y por eso ha preocupado con mayor antelación e intensidad garantizar que la</w:t>
      </w:r>
      <w:r w:rsidR="00230923">
        <w:rPr>
          <w:rFonts w:ascii="Verdana" w:hAnsi="Verdana"/>
          <w:lang w:val="es-ES_tradnl"/>
        </w:rPr>
        <w:t>s</w:t>
      </w:r>
      <w:r w:rsidR="008D4AFE">
        <w:rPr>
          <w:rFonts w:ascii="Verdana" w:hAnsi="Verdana"/>
          <w:lang w:val="es-ES_tradnl"/>
        </w:rPr>
        <w:t xml:space="preserve"> primera</w:t>
      </w:r>
      <w:r w:rsidR="00230923">
        <w:rPr>
          <w:rFonts w:ascii="Verdana" w:hAnsi="Verdana"/>
          <w:lang w:val="es-ES_tradnl"/>
        </w:rPr>
        <w:t>s</w:t>
      </w:r>
      <w:r w:rsidR="008D4AFE">
        <w:rPr>
          <w:rFonts w:ascii="Verdana" w:hAnsi="Verdana"/>
          <w:lang w:val="es-ES_tradnl"/>
        </w:rPr>
        <w:t xml:space="preserve"> no se produzca</w:t>
      </w:r>
      <w:r w:rsidR="00230923">
        <w:rPr>
          <w:rFonts w:ascii="Verdana" w:hAnsi="Verdana"/>
          <w:lang w:val="es-ES_tradnl"/>
        </w:rPr>
        <w:t>n</w:t>
      </w:r>
      <w:r w:rsidR="008D4AFE">
        <w:rPr>
          <w:rFonts w:ascii="Verdana" w:hAnsi="Verdana"/>
          <w:lang w:val="es-ES_tradnl"/>
        </w:rPr>
        <w:t xml:space="preserve"> arbitrariamente.</w:t>
      </w:r>
    </w:p>
    <w:p w14:paraId="3EB3B81C" w14:textId="77777777" w:rsidR="008D4AFE" w:rsidRPr="0015593E" w:rsidRDefault="008D4AFE" w:rsidP="000E6EDD">
      <w:pPr>
        <w:pStyle w:val="NormalWeb"/>
        <w:spacing w:before="0" w:beforeAutospacing="0" w:after="0" w:afterAutospacing="0"/>
        <w:ind w:firstLine="851"/>
        <w:jc w:val="both"/>
        <w:rPr>
          <w:rFonts w:ascii="Verdana" w:hAnsi="Verdana"/>
          <w:lang w:val="es-ES_tradnl"/>
        </w:rPr>
      </w:pPr>
    </w:p>
    <w:p w14:paraId="1A6053B6" w14:textId="1AAE8738" w:rsidR="008D4AFE" w:rsidRDefault="00737D16" w:rsidP="000E6EDD">
      <w:pPr>
        <w:pStyle w:val="NormalWeb"/>
        <w:spacing w:before="0" w:beforeAutospacing="0" w:after="0" w:afterAutospacing="0"/>
        <w:jc w:val="both"/>
        <w:rPr>
          <w:rFonts w:ascii="Verdana" w:hAnsi="Verdana"/>
          <w:lang w:val="es-ES_tradnl"/>
        </w:rPr>
      </w:pPr>
      <w:r>
        <w:rPr>
          <w:rFonts w:ascii="Verdana" w:hAnsi="Verdana"/>
          <w:lang w:val="es-ES_tradnl"/>
        </w:rPr>
        <w:lastRenderedPageBreak/>
        <w:t>51</w:t>
      </w:r>
      <w:r w:rsidR="008D4AFE">
        <w:rPr>
          <w:rFonts w:ascii="Verdana" w:hAnsi="Verdana"/>
          <w:lang w:val="es-ES_tradnl"/>
        </w:rPr>
        <w:t xml:space="preserve">. </w:t>
      </w:r>
      <w:r w:rsidR="008D4AFE">
        <w:rPr>
          <w:rFonts w:ascii="Verdana" w:hAnsi="Verdana"/>
          <w:lang w:val="es-ES_tradnl"/>
        </w:rPr>
        <w:tab/>
      </w:r>
      <w:r w:rsidR="00277DCA">
        <w:rPr>
          <w:rFonts w:ascii="Verdana" w:hAnsi="Verdana"/>
          <w:lang w:val="es-ES_tradnl"/>
        </w:rPr>
        <w:t>La</w:t>
      </w:r>
      <w:r w:rsidR="00230923">
        <w:rPr>
          <w:rFonts w:ascii="Verdana" w:hAnsi="Verdana"/>
          <w:lang w:val="es-ES_tradnl"/>
        </w:rPr>
        <w:t xml:space="preserve"> unidad del </w:t>
      </w:r>
      <w:proofErr w:type="spellStart"/>
      <w:r w:rsidR="00230923" w:rsidRPr="00D170FD">
        <w:rPr>
          <w:rFonts w:ascii="Verdana" w:hAnsi="Verdana"/>
          <w:i/>
          <w:lang w:val="es-ES_tradnl"/>
        </w:rPr>
        <w:t>ius</w:t>
      </w:r>
      <w:proofErr w:type="spellEnd"/>
      <w:r w:rsidR="00230923" w:rsidRPr="00D170FD">
        <w:rPr>
          <w:rFonts w:ascii="Verdana" w:hAnsi="Verdana"/>
          <w:i/>
          <w:lang w:val="es-ES_tradnl"/>
        </w:rPr>
        <w:t xml:space="preserve"> </w:t>
      </w:r>
      <w:proofErr w:type="spellStart"/>
      <w:r w:rsidR="00230923" w:rsidRPr="00D170FD">
        <w:rPr>
          <w:rFonts w:ascii="Verdana" w:hAnsi="Verdana"/>
          <w:i/>
          <w:lang w:val="es-ES_tradnl"/>
        </w:rPr>
        <w:t>puniendi</w:t>
      </w:r>
      <w:proofErr w:type="spellEnd"/>
      <w:r w:rsidR="00277DCA">
        <w:rPr>
          <w:rFonts w:ascii="Verdana" w:hAnsi="Verdana"/>
          <w:lang w:val="es-ES_tradnl"/>
        </w:rPr>
        <w:t xml:space="preserve"> hace que los mismos principios </w:t>
      </w:r>
      <w:r w:rsidR="00D170FD">
        <w:rPr>
          <w:rFonts w:ascii="Verdana" w:hAnsi="Verdana"/>
          <w:lang w:val="es-ES_tradnl"/>
        </w:rPr>
        <w:t>inspiradores de</w:t>
      </w:r>
      <w:r w:rsidR="00277DCA">
        <w:rPr>
          <w:rFonts w:ascii="Verdana" w:hAnsi="Verdana"/>
          <w:lang w:val="es-ES_tradnl"/>
        </w:rPr>
        <w:t xml:space="preserve"> las normas garantistas en la materia penal</w:t>
      </w:r>
      <w:r w:rsidR="00D170FD">
        <w:rPr>
          <w:rFonts w:ascii="Verdana" w:hAnsi="Verdana"/>
          <w:lang w:val="es-ES_tradnl"/>
        </w:rPr>
        <w:t xml:space="preserve"> den lugar a normas idénticas o análogas </w:t>
      </w:r>
      <w:r w:rsidR="00CC2EE0">
        <w:rPr>
          <w:rFonts w:ascii="Verdana" w:hAnsi="Verdana"/>
          <w:lang w:val="es-ES_tradnl"/>
        </w:rPr>
        <w:t xml:space="preserve">específicamente </w:t>
      </w:r>
      <w:r w:rsidR="00F25CA0">
        <w:rPr>
          <w:rFonts w:ascii="Verdana" w:hAnsi="Verdana"/>
          <w:lang w:val="es-ES_tradnl"/>
        </w:rPr>
        <w:t>propias de</w:t>
      </w:r>
      <w:r w:rsidR="00D170FD">
        <w:rPr>
          <w:rFonts w:ascii="Verdana" w:hAnsi="Verdana"/>
          <w:lang w:val="es-ES_tradnl"/>
        </w:rPr>
        <w:t xml:space="preserve"> otros campos sancionatorios</w:t>
      </w:r>
      <w:r w:rsidR="00F25CA0">
        <w:rPr>
          <w:rStyle w:val="FootnoteReference"/>
          <w:rFonts w:ascii="Verdana" w:hAnsi="Verdana"/>
          <w:lang w:val="es-ES_tradnl"/>
        </w:rPr>
        <w:footnoteReference w:id="86"/>
      </w:r>
      <w:r w:rsidR="00D170FD">
        <w:rPr>
          <w:rFonts w:ascii="Verdana" w:hAnsi="Verdana"/>
          <w:lang w:val="es-ES_tradnl"/>
        </w:rPr>
        <w:t xml:space="preserve">. </w:t>
      </w:r>
      <w:r w:rsidR="00A4352E">
        <w:rPr>
          <w:rFonts w:ascii="Verdana" w:hAnsi="Verdana"/>
          <w:lang w:val="es-ES_tradnl"/>
        </w:rPr>
        <w:t>La referencia que se hace al “importar” los principios penales al ámbito administrativo sancionador</w:t>
      </w:r>
      <w:r w:rsidR="00A4352E" w:rsidRPr="00A4352E">
        <w:rPr>
          <w:rFonts w:ascii="Verdana" w:hAnsi="Verdana"/>
          <w:lang w:val="es-ES_tradnl"/>
        </w:rPr>
        <w:t xml:space="preserve"> </w:t>
      </w:r>
      <w:r w:rsidR="00A4352E">
        <w:rPr>
          <w:rFonts w:ascii="Verdana" w:hAnsi="Verdana"/>
          <w:lang w:val="es-ES_tradnl"/>
        </w:rPr>
        <w:t xml:space="preserve">no termina </w:t>
      </w:r>
      <w:r w:rsidR="00CC2EE0">
        <w:rPr>
          <w:rFonts w:ascii="Verdana" w:hAnsi="Verdana"/>
          <w:lang w:val="es-ES_tradnl"/>
        </w:rPr>
        <w:t>en</w:t>
      </w:r>
      <w:r w:rsidR="00A4352E">
        <w:rPr>
          <w:rFonts w:ascii="Verdana" w:hAnsi="Verdana"/>
          <w:lang w:val="es-ES_tradnl"/>
        </w:rPr>
        <w:t xml:space="preserve"> aquellos, sino que en realidad </w:t>
      </w:r>
      <w:r w:rsidR="00CC2EE0">
        <w:rPr>
          <w:rFonts w:ascii="Verdana" w:hAnsi="Verdana"/>
          <w:lang w:val="es-ES_tradnl"/>
        </w:rPr>
        <w:t>invoca</w:t>
      </w:r>
      <w:r w:rsidR="00A4352E">
        <w:rPr>
          <w:rFonts w:ascii="Verdana" w:hAnsi="Verdana"/>
          <w:lang w:val="es-ES_tradnl"/>
        </w:rPr>
        <w:t xml:space="preserve"> </w:t>
      </w:r>
      <w:r w:rsidR="00A4352E" w:rsidRPr="0026516F">
        <w:rPr>
          <w:rFonts w:ascii="Verdana" w:hAnsi="Verdana"/>
          <w:i/>
          <w:lang w:val="es-ES_tradnl"/>
        </w:rPr>
        <w:t xml:space="preserve">principios generales punitivos </w:t>
      </w:r>
      <w:r w:rsidR="00CC2EE0" w:rsidRPr="0026516F">
        <w:rPr>
          <w:rFonts w:ascii="Verdana" w:hAnsi="Verdana"/>
          <w:i/>
          <w:lang w:val="es-ES_tradnl"/>
        </w:rPr>
        <w:t>superiores</w:t>
      </w:r>
      <w:r w:rsidR="00CC2EE0">
        <w:rPr>
          <w:rFonts w:ascii="Verdana" w:hAnsi="Verdana"/>
          <w:lang w:val="es-ES_tradnl"/>
        </w:rPr>
        <w:t xml:space="preserve"> </w:t>
      </w:r>
      <w:r w:rsidR="00A4352E">
        <w:rPr>
          <w:rFonts w:ascii="Verdana" w:hAnsi="Verdana"/>
          <w:lang w:val="es-ES_tradnl"/>
        </w:rPr>
        <w:t xml:space="preserve">a los </w:t>
      </w:r>
      <w:r w:rsidR="00CC2EE0">
        <w:rPr>
          <w:rFonts w:ascii="Verdana" w:hAnsi="Verdana"/>
          <w:lang w:val="es-ES_tradnl"/>
        </w:rPr>
        <w:t>propios del</w:t>
      </w:r>
      <w:r w:rsidR="00A4352E">
        <w:rPr>
          <w:rFonts w:ascii="Verdana" w:hAnsi="Verdana"/>
          <w:lang w:val="es-ES_tradnl"/>
        </w:rPr>
        <w:t xml:space="preserve"> Derecho penal</w:t>
      </w:r>
      <w:r w:rsidR="0026516F">
        <w:rPr>
          <w:rFonts w:ascii="Verdana" w:hAnsi="Verdana"/>
          <w:lang w:val="es-ES_tradnl"/>
        </w:rPr>
        <w:t>,</w:t>
      </w:r>
      <w:r w:rsidR="00A4352E">
        <w:rPr>
          <w:rFonts w:ascii="Verdana" w:hAnsi="Verdana"/>
          <w:lang w:val="es-ES_tradnl"/>
        </w:rPr>
        <w:t xml:space="preserve"> </w:t>
      </w:r>
      <w:r w:rsidR="00CC2EE0">
        <w:rPr>
          <w:rFonts w:ascii="Verdana" w:hAnsi="Verdana"/>
          <w:lang w:val="es-ES_tradnl"/>
        </w:rPr>
        <w:t>imbíbitos</w:t>
      </w:r>
      <w:r w:rsidR="00433005">
        <w:rPr>
          <w:rFonts w:ascii="Verdana" w:hAnsi="Verdana"/>
          <w:lang w:val="es-ES_tradnl"/>
        </w:rPr>
        <w:t xml:space="preserve"> en las normas fundamentales del ordenamiento</w:t>
      </w:r>
      <w:r w:rsidR="00433005">
        <w:rPr>
          <w:rStyle w:val="FootnoteReference"/>
          <w:rFonts w:ascii="Verdana" w:hAnsi="Verdana"/>
          <w:lang w:val="es-ES_tradnl"/>
        </w:rPr>
        <w:footnoteReference w:id="87"/>
      </w:r>
      <w:r w:rsidR="00433005">
        <w:rPr>
          <w:rFonts w:ascii="Verdana" w:hAnsi="Verdana"/>
          <w:lang w:val="es-ES_tradnl"/>
        </w:rPr>
        <w:t xml:space="preserve">, sean las constitucionales o las que </w:t>
      </w:r>
      <w:r w:rsidR="00F13FDE">
        <w:rPr>
          <w:rFonts w:ascii="Verdana" w:hAnsi="Verdana"/>
          <w:lang w:val="es-ES_tradnl"/>
        </w:rPr>
        <w:t xml:space="preserve">comportan elementos del </w:t>
      </w:r>
      <w:r w:rsidR="00433005">
        <w:rPr>
          <w:rFonts w:ascii="Verdana" w:hAnsi="Verdana"/>
          <w:lang w:val="es-ES_tradnl"/>
        </w:rPr>
        <w:t>orden público internacional como la Convención Americana sobre Derechos Humanos</w:t>
      </w:r>
      <w:r w:rsidR="002E695B" w:rsidRPr="00BC04CC">
        <w:rPr>
          <w:rFonts w:ascii="Verdana" w:hAnsi="Verdana"/>
          <w:lang w:val="es-ES_tradnl"/>
        </w:rPr>
        <w:t xml:space="preserve"> o en general el </w:t>
      </w:r>
      <w:r w:rsidR="002E695B" w:rsidRPr="00BC04CC">
        <w:rPr>
          <w:rFonts w:ascii="Verdana" w:hAnsi="Verdana"/>
          <w:i/>
          <w:lang w:val="es-ES_tradnl"/>
        </w:rPr>
        <w:t>corpus juris</w:t>
      </w:r>
      <w:r w:rsidR="002E695B" w:rsidRPr="00BC04CC">
        <w:rPr>
          <w:rFonts w:ascii="Verdana" w:hAnsi="Verdana"/>
          <w:lang w:val="es-ES_tradnl"/>
        </w:rPr>
        <w:t xml:space="preserve"> interamericano</w:t>
      </w:r>
      <w:r w:rsidR="00BC04CC" w:rsidRPr="0069714A">
        <w:rPr>
          <w:rStyle w:val="FootnoteReference"/>
          <w:rFonts w:ascii="Verdana" w:hAnsi="Verdana"/>
          <w:lang w:val="es-ES_tradnl"/>
        </w:rPr>
        <w:footnoteReference w:id="88"/>
      </w:r>
      <w:r w:rsidR="00433005" w:rsidRPr="0069714A">
        <w:rPr>
          <w:rFonts w:ascii="Verdana" w:hAnsi="Verdana"/>
          <w:lang w:val="es-ES_tradnl"/>
        </w:rPr>
        <w:t>.</w:t>
      </w:r>
    </w:p>
    <w:p w14:paraId="7C783A5D" w14:textId="77777777" w:rsidR="008D4AFE" w:rsidRDefault="008D4AFE" w:rsidP="000E6EDD">
      <w:pPr>
        <w:pStyle w:val="NormalWeb"/>
        <w:spacing w:before="0" w:beforeAutospacing="0" w:after="0" w:afterAutospacing="0"/>
        <w:jc w:val="both"/>
        <w:rPr>
          <w:rFonts w:ascii="Verdana" w:hAnsi="Verdana"/>
          <w:lang w:val="es-ES_tradnl"/>
        </w:rPr>
      </w:pPr>
    </w:p>
    <w:p w14:paraId="22AA1FF8" w14:textId="79A17CC9" w:rsidR="00CB08B4" w:rsidRDefault="00737D16" w:rsidP="00737D16">
      <w:pPr>
        <w:pStyle w:val="NormalWeb"/>
        <w:spacing w:before="0" w:beforeAutospacing="0" w:after="0" w:afterAutospacing="0"/>
        <w:jc w:val="both"/>
        <w:rPr>
          <w:rFonts w:ascii="Verdana" w:hAnsi="Verdana"/>
          <w:lang w:val="es-ES_tradnl"/>
        </w:rPr>
      </w:pPr>
      <w:r>
        <w:rPr>
          <w:rFonts w:ascii="Verdana" w:hAnsi="Verdana"/>
          <w:lang w:val="es-ES_tradnl"/>
        </w:rPr>
        <w:t>52</w:t>
      </w:r>
      <w:r w:rsidR="00182A72">
        <w:rPr>
          <w:rFonts w:ascii="Verdana" w:hAnsi="Verdana"/>
          <w:lang w:val="es-ES_tradnl"/>
        </w:rPr>
        <w:t xml:space="preserve">. </w:t>
      </w:r>
      <w:r w:rsidR="00182A72">
        <w:rPr>
          <w:rFonts w:ascii="Verdana" w:hAnsi="Verdana"/>
          <w:lang w:val="es-ES_tradnl"/>
        </w:rPr>
        <w:tab/>
        <w:t xml:space="preserve">La conclusión de lo anterior es que entre el Derecho penal </w:t>
      </w:r>
      <w:r w:rsidR="00182A72">
        <w:rPr>
          <w:rFonts w:ascii="Verdana" w:hAnsi="Verdana"/>
          <w:i/>
          <w:lang w:val="es-ES_tradnl"/>
        </w:rPr>
        <w:t xml:space="preserve">stricto sensu </w:t>
      </w:r>
      <w:r w:rsidR="00182A72">
        <w:rPr>
          <w:rFonts w:ascii="Verdana" w:hAnsi="Verdana"/>
          <w:lang w:val="es-ES_tradnl"/>
        </w:rPr>
        <w:t xml:space="preserve">y el administrativo sancionador existen </w:t>
      </w:r>
      <w:r w:rsidR="00182A72" w:rsidRPr="002A7CB2">
        <w:rPr>
          <w:rFonts w:ascii="Verdana" w:hAnsi="Verdana"/>
          <w:i/>
          <w:lang w:val="es-ES_tradnl"/>
        </w:rPr>
        <w:t>las mismas diferencias</w:t>
      </w:r>
      <w:r w:rsidR="00182A72">
        <w:rPr>
          <w:rFonts w:ascii="Verdana" w:hAnsi="Verdana"/>
          <w:lang w:val="es-ES_tradnl"/>
        </w:rPr>
        <w:t xml:space="preserve">, pero también </w:t>
      </w:r>
      <w:r w:rsidR="00182A72" w:rsidRPr="002A7CB2">
        <w:rPr>
          <w:rFonts w:ascii="Verdana" w:hAnsi="Verdana"/>
          <w:i/>
          <w:lang w:val="es-ES_tradnl"/>
        </w:rPr>
        <w:t>las mismas similitudes</w:t>
      </w:r>
      <w:r w:rsidR="00182A72">
        <w:rPr>
          <w:rFonts w:ascii="Verdana" w:hAnsi="Verdana"/>
          <w:lang w:val="es-ES_tradnl"/>
        </w:rPr>
        <w:t>, que</w:t>
      </w:r>
      <w:r w:rsidR="002A7CB2">
        <w:rPr>
          <w:rFonts w:ascii="Verdana" w:hAnsi="Verdana"/>
          <w:lang w:val="es-ES_tradnl"/>
        </w:rPr>
        <w:t xml:space="preserve"> hay siempre</w:t>
      </w:r>
      <w:r w:rsidR="00182A72">
        <w:rPr>
          <w:rFonts w:ascii="Verdana" w:hAnsi="Verdana"/>
          <w:lang w:val="es-ES_tradnl"/>
        </w:rPr>
        <w:t xml:space="preserve"> entre </w:t>
      </w:r>
      <w:r w:rsidR="00182A72" w:rsidRPr="0026516F">
        <w:rPr>
          <w:rFonts w:ascii="Verdana" w:hAnsi="Verdana"/>
          <w:i/>
          <w:lang w:val="es-ES_tradnl"/>
        </w:rPr>
        <w:t xml:space="preserve">las </w:t>
      </w:r>
      <w:r w:rsidR="00182A72" w:rsidRPr="002A7CB2">
        <w:rPr>
          <w:rFonts w:ascii="Verdana" w:hAnsi="Verdana"/>
          <w:i/>
          <w:lang w:val="es-ES_tradnl"/>
        </w:rPr>
        <w:t>diversas especies de un mismo género</w:t>
      </w:r>
      <w:r w:rsidR="00182A72">
        <w:rPr>
          <w:rFonts w:ascii="Verdana" w:hAnsi="Verdana"/>
          <w:lang w:val="es-ES_tradnl"/>
        </w:rPr>
        <w:t xml:space="preserve">. En ello también en realidad coincide Nieto García, a quien se le atribuye </w:t>
      </w:r>
      <w:r w:rsidR="002D0C3B">
        <w:rPr>
          <w:rFonts w:ascii="Verdana" w:hAnsi="Verdana"/>
          <w:lang w:val="es-ES_tradnl"/>
        </w:rPr>
        <w:t>la</w:t>
      </w:r>
      <w:r w:rsidR="00182A72">
        <w:rPr>
          <w:rFonts w:ascii="Verdana" w:hAnsi="Verdana"/>
          <w:lang w:val="es-ES_tradnl"/>
        </w:rPr>
        <w:t xml:space="preserve"> voz discrepante de la opinión dominante en España </w:t>
      </w:r>
      <w:r w:rsidR="002D0C3B">
        <w:rPr>
          <w:rFonts w:ascii="Verdana" w:hAnsi="Verdana"/>
          <w:lang w:val="es-ES_tradnl"/>
        </w:rPr>
        <w:t xml:space="preserve">que afirma la consolidación del Derecho </w:t>
      </w:r>
      <w:r w:rsidR="00C40AEA">
        <w:rPr>
          <w:rFonts w:ascii="Verdana" w:hAnsi="Verdana"/>
          <w:lang w:val="es-ES_tradnl"/>
        </w:rPr>
        <w:t xml:space="preserve">penal y </w:t>
      </w:r>
      <w:r w:rsidR="002D0C3B">
        <w:rPr>
          <w:rFonts w:ascii="Verdana" w:hAnsi="Verdana"/>
          <w:lang w:val="es-ES_tradnl"/>
        </w:rPr>
        <w:t>el administrativo sancionador</w:t>
      </w:r>
      <w:r w:rsidR="002D0C3B">
        <w:rPr>
          <w:rStyle w:val="FootnoteReference"/>
          <w:rFonts w:ascii="Verdana" w:hAnsi="Verdana"/>
          <w:lang w:val="es-ES_tradnl"/>
        </w:rPr>
        <w:footnoteReference w:id="89"/>
      </w:r>
      <w:r w:rsidR="002D0C3B">
        <w:rPr>
          <w:rFonts w:ascii="Verdana" w:hAnsi="Verdana"/>
          <w:lang w:val="es-ES_tradnl"/>
        </w:rPr>
        <w:t xml:space="preserve">. Pero en realidad, este autor sostiene una posición </w:t>
      </w:r>
      <w:r w:rsidR="00C40AEA">
        <w:rPr>
          <w:rFonts w:ascii="Verdana" w:hAnsi="Verdana"/>
          <w:lang w:val="es-ES_tradnl"/>
        </w:rPr>
        <w:t xml:space="preserve">que </w:t>
      </w:r>
      <w:r w:rsidR="00C2776F">
        <w:rPr>
          <w:rFonts w:ascii="Verdana" w:hAnsi="Verdana"/>
          <w:lang w:val="es-ES_tradnl"/>
        </w:rPr>
        <w:t xml:space="preserve">en buena medida </w:t>
      </w:r>
      <w:r w:rsidR="00CB08B4">
        <w:rPr>
          <w:rFonts w:ascii="Verdana" w:hAnsi="Verdana"/>
          <w:lang w:val="es-ES_tradnl"/>
        </w:rPr>
        <w:t>contradice esta imputación</w:t>
      </w:r>
      <w:r w:rsidR="00C40AEA">
        <w:rPr>
          <w:rFonts w:ascii="Verdana" w:hAnsi="Verdana"/>
          <w:lang w:val="es-ES_tradnl"/>
        </w:rPr>
        <w:t xml:space="preserve">, </w:t>
      </w:r>
      <w:r w:rsidR="0026516F">
        <w:rPr>
          <w:rFonts w:ascii="Verdana" w:hAnsi="Verdana"/>
          <w:lang w:val="es-ES_tradnl"/>
        </w:rPr>
        <w:t xml:space="preserve">y que se halla </w:t>
      </w:r>
      <w:r w:rsidR="00CB08B4">
        <w:rPr>
          <w:rFonts w:ascii="Verdana" w:hAnsi="Verdana"/>
          <w:lang w:val="es-ES_tradnl"/>
        </w:rPr>
        <w:t xml:space="preserve">muy próxima a la </w:t>
      </w:r>
      <w:r w:rsidR="00C40AEA">
        <w:rPr>
          <w:rFonts w:ascii="Verdana" w:hAnsi="Verdana"/>
          <w:lang w:val="es-ES_tradnl"/>
        </w:rPr>
        <w:t>desarrollada</w:t>
      </w:r>
      <w:r w:rsidR="00CB08B4">
        <w:rPr>
          <w:rFonts w:ascii="Verdana" w:hAnsi="Verdana"/>
          <w:lang w:val="es-ES_tradnl"/>
        </w:rPr>
        <w:t xml:space="preserve"> en estas </w:t>
      </w:r>
      <w:r>
        <w:rPr>
          <w:rFonts w:ascii="Verdana" w:hAnsi="Verdana"/>
          <w:lang w:val="es-ES_tradnl"/>
        </w:rPr>
        <w:t>líneas; enunciando</w:t>
      </w:r>
      <w:r w:rsidR="00CB08B4">
        <w:rPr>
          <w:rFonts w:ascii="Verdana" w:hAnsi="Verdana"/>
          <w:lang w:val="es-ES_tradnl"/>
        </w:rPr>
        <w:t xml:space="preserve"> la tesis central de su obra, </w:t>
      </w:r>
      <w:r w:rsidR="00BC04CC">
        <w:rPr>
          <w:rFonts w:ascii="Verdana" w:hAnsi="Verdana"/>
          <w:lang w:val="es-ES_tradnl"/>
        </w:rPr>
        <w:t>dicho autor</w:t>
      </w:r>
      <w:r w:rsidR="00CB08B4">
        <w:rPr>
          <w:rFonts w:ascii="Verdana" w:hAnsi="Verdana"/>
          <w:lang w:val="es-ES_tradnl"/>
        </w:rPr>
        <w:t xml:space="preserve"> expresa</w:t>
      </w:r>
      <w:r w:rsidR="00113645">
        <w:rPr>
          <w:rFonts w:ascii="Verdana" w:hAnsi="Verdana"/>
          <w:lang w:val="es-ES_tradnl"/>
        </w:rPr>
        <w:t xml:space="preserve"> lo siguiente</w:t>
      </w:r>
      <w:r w:rsidR="00CB08B4">
        <w:rPr>
          <w:rFonts w:ascii="Verdana" w:hAnsi="Verdana"/>
          <w:lang w:val="es-ES_tradnl"/>
        </w:rPr>
        <w:t>:</w:t>
      </w:r>
    </w:p>
    <w:p w14:paraId="6DAAB393" w14:textId="77777777" w:rsidR="00CB08B4" w:rsidRDefault="00CB08B4" w:rsidP="000E6EDD">
      <w:pPr>
        <w:pStyle w:val="NormalWeb"/>
        <w:spacing w:before="0" w:beforeAutospacing="0" w:after="0" w:afterAutospacing="0"/>
        <w:jc w:val="both"/>
        <w:rPr>
          <w:rFonts w:ascii="Verdana" w:hAnsi="Verdana"/>
          <w:lang w:val="es-ES_tradnl"/>
        </w:rPr>
      </w:pPr>
    </w:p>
    <w:p w14:paraId="3D4B2C74" w14:textId="7A30018E" w:rsidR="00CB08B4" w:rsidRPr="00A6585F" w:rsidRDefault="00056E83" w:rsidP="000E6EDD">
      <w:pPr>
        <w:pStyle w:val="NormalWeb"/>
        <w:spacing w:before="0" w:beforeAutospacing="0" w:after="0" w:afterAutospacing="0"/>
        <w:ind w:left="709"/>
        <w:jc w:val="both"/>
        <w:rPr>
          <w:rFonts w:ascii="Verdana" w:hAnsi="Verdana" w:cstheme="minorBidi"/>
          <w:sz w:val="18"/>
          <w:szCs w:val="18"/>
          <w:lang w:val="es-ES_tradnl"/>
        </w:rPr>
      </w:pPr>
      <w:r w:rsidRPr="00A6585F">
        <w:rPr>
          <w:rFonts w:ascii="Verdana" w:hAnsi="Verdana" w:cstheme="minorBidi"/>
          <w:sz w:val="18"/>
          <w:szCs w:val="18"/>
          <w:lang w:val="es-ES_tradnl"/>
        </w:rPr>
        <w:t>e</w:t>
      </w:r>
      <w:r w:rsidR="00CB08B4" w:rsidRPr="00A6585F">
        <w:rPr>
          <w:rFonts w:ascii="Verdana" w:hAnsi="Verdana" w:cstheme="minorBidi"/>
          <w:sz w:val="18"/>
          <w:szCs w:val="18"/>
          <w:lang w:val="es-ES_tradnl"/>
        </w:rPr>
        <w:t xml:space="preserve">l Derecho Administrativo Sancionador no debe ser construido con los materiales y con las técnicas del Derecho Penal sino desde el propio Derecho Administrativo, del que obviamente forma parte, y </w:t>
      </w:r>
      <w:r w:rsidR="00CB08B4" w:rsidRPr="00A6585F">
        <w:rPr>
          <w:rFonts w:ascii="Verdana" w:hAnsi="Verdana" w:cstheme="minorBidi"/>
          <w:sz w:val="18"/>
          <w:szCs w:val="18"/>
          <w:u w:val="single"/>
          <w:lang w:val="es-ES_tradnl"/>
        </w:rPr>
        <w:t>desde la matriz constitucional</w:t>
      </w:r>
      <w:r w:rsidR="00CB08B4" w:rsidRPr="00A6585F">
        <w:rPr>
          <w:rFonts w:ascii="Verdana" w:hAnsi="Verdana" w:cstheme="minorBidi"/>
          <w:sz w:val="18"/>
          <w:szCs w:val="18"/>
          <w:lang w:val="es-ES_tradnl"/>
        </w:rPr>
        <w:t xml:space="preserve"> y del Derecho Público estatal</w:t>
      </w:r>
      <w:r w:rsidR="00CB08B4" w:rsidRPr="00A6585F">
        <w:rPr>
          <w:rStyle w:val="FootnoteReference"/>
          <w:rFonts w:ascii="Verdana" w:hAnsi="Verdana" w:cstheme="minorBidi"/>
          <w:sz w:val="18"/>
          <w:szCs w:val="18"/>
          <w:lang w:val="es-ES_tradnl"/>
        </w:rPr>
        <w:footnoteReference w:id="90"/>
      </w:r>
      <w:r w:rsidR="00CB08B4" w:rsidRPr="00A6585F">
        <w:rPr>
          <w:rFonts w:ascii="Verdana" w:hAnsi="Verdana" w:cstheme="minorBidi"/>
          <w:sz w:val="18"/>
          <w:szCs w:val="18"/>
          <w:lang w:val="es-ES_tradnl"/>
        </w:rPr>
        <w:t>.</w:t>
      </w:r>
    </w:p>
    <w:p w14:paraId="07F52CAB" w14:textId="77777777" w:rsidR="00CB08B4" w:rsidRPr="00AE6CCE" w:rsidRDefault="00CB08B4" w:rsidP="000E6EDD">
      <w:pPr>
        <w:pStyle w:val="NormalWeb"/>
        <w:spacing w:before="0" w:beforeAutospacing="0" w:after="0" w:afterAutospacing="0"/>
        <w:jc w:val="both"/>
        <w:rPr>
          <w:rFonts w:ascii="Verdana" w:hAnsi="Verdana"/>
          <w:lang w:val="es-ES_tradnl"/>
        </w:rPr>
      </w:pPr>
    </w:p>
    <w:p w14:paraId="0C0A2708" w14:textId="20D7FF86" w:rsidR="00CB08B4"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t>53</w:t>
      </w:r>
      <w:r w:rsidR="00A0707F">
        <w:rPr>
          <w:rFonts w:ascii="Verdana" w:hAnsi="Verdana"/>
          <w:lang w:val="es-ES_tradnl"/>
        </w:rPr>
        <w:t>.</w:t>
      </w:r>
      <w:r w:rsidR="00A0707F">
        <w:rPr>
          <w:rFonts w:ascii="Verdana" w:hAnsi="Verdana"/>
          <w:lang w:val="es-ES_tradnl"/>
        </w:rPr>
        <w:tab/>
        <w:t xml:space="preserve">Los principios generales punitivos a que obedecen las garantías específicas elaboradas en materia penal y las que se van elaborado para otros ámbitos, son los pertenecientes al </w:t>
      </w:r>
      <w:r w:rsidR="00A0707F" w:rsidRPr="00A0707F">
        <w:rPr>
          <w:rFonts w:ascii="Verdana" w:hAnsi="Verdana"/>
          <w:i/>
          <w:lang w:val="es-ES_tradnl"/>
        </w:rPr>
        <w:t>debido proceso</w:t>
      </w:r>
      <w:r w:rsidR="00A0707F">
        <w:rPr>
          <w:rFonts w:ascii="Verdana" w:hAnsi="Verdana"/>
          <w:lang w:val="es-ES_tradnl"/>
        </w:rPr>
        <w:t xml:space="preserve"> y a su finalidad última de resolver de modo “</w:t>
      </w:r>
      <w:r w:rsidR="00A0707F" w:rsidRPr="00BD0B45">
        <w:rPr>
          <w:rFonts w:ascii="Verdana" w:hAnsi="Verdana"/>
          <w:i/>
          <w:lang w:val="es-ES_tradnl"/>
        </w:rPr>
        <w:t>justo</w:t>
      </w:r>
      <w:r w:rsidR="00A0707F">
        <w:rPr>
          <w:rFonts w:ascii="Verdana" w:hAnsi="Verdana"/>
          <w:lang w:val="es-ES_tradnl"/>
        </w:rPr>
        <w:t>” una cuestión jur</w:t>
      </w:r>
      <w:r w:rsidR="00D55C1B">
        <w:rPr>
          <w:rFonts w:ascii="Verdana" w:hAnsi="Verdana"/>
          <w:lang w:val="es-ES_tradnl"/>
        </w:rPr>
        <w:t>ídica</w:t>
      </w:r>
      <w:r w:rsidR="00D55C1B">
        <w:rPr>
          <w:rStyle w:val="FootnoteReference"/>
          <w:rFonts w:ascii="Verdana" w:hAnsi="Verdana"/>
          <w:lang w:val="es-ES_tradnl"/>
        </w:rPr>
        <w:footnoteReference w:id="91"/>
      </w:r>
      <w:r w:rsidR="00D55C1B">
        <w:rPr>
          <w:rFonts w:ascii="Verdana" w:hAnsi="Verdana"/>
          <w:lang w:val="es-ES_tradnl"/>
        </w:rPr>
        <w:t>.</w:t>
      </w:r>
      <w:r w:rsidR="00A0707F">
        <w:rPr>
          <w:rFonts w:ascii="Verdana" w:hAnsi="Verdana"/>
          <w:lang w:val="es-ES_tradnl"/>
        </w:rPr>
        <w:t xml:space="preserve"> </w:t>
      </w:r>
      <w:r w:rsidR="00D55C1B">
        <w:rPr>
          <w:rFonts w:ascii="Verdana" w:hAnsi="Verdana"/>
          <w:lang w:val="es-ES_tradnl"/>
        </w:rPr>
        <w:t>En</w:t>
      </w:r>
      <w:r w:rsidR="00A0707F">
        <w:rPr>
          <w:rFonts w:ascii="Verdana" w:hAnsi="Verdana"/>
          <w:lang w:val="es-ES_tradnl"/>
        </w:rPr>
        <w:t xml:space="preserve"> términos concretos</w:t>
      </w:r>
      <w:r w:rsidR="00D55C1B">
        <w:rPr>
          <w:rFonts w:ascii="Verdana" w:hAnsi="Verdana"/>
          <w:lang w:val="es-ES_tradnl"/>
        </w:rPr>
        <w:t>, esta “justicia”</w:t>
      </w:r>
      <w:r w:rsidR="00A0707F">
        <w:rPr>
          <w:rFonts w:ascii="Verdana" w:hAnsi="Verdana"/>
          <w:lang w:val="es-ES_tradnl"/>
        </w:rPr>
        <w:t xml:space="preserve"> se traduce en que el procedimiento </w:t>
      </w:r>
      <w:r w:rsidR="00A0707F">
        <w:rPr>
          <w:rFonts w:ascii="Verdana" w:hAnsi="Verdana"/>
          <w:lang w:val="es-ES_tradnl"/>
        </w:rPr>
        <w:lastRenderedPageBreak/>
        <w:t xml:space="preserve">de que se trate </w:t>
      </w:r>
      <w:r w:rsidR="00D55C1B">
        <w:rPr>
          <w:rFonts w:ascii="Verdana" w:hAnsi="Verdana"/>
          <w:lang w:val="es-ES_tradnl"/>
        </w:rPr>
        <w:t xml:space="preserve">se desarrolle objetivamente, en condiciones que </w:t>
      </w:r>
      <w:r w:rsidR="00A0707F">
        <w:rPr>
          <w:rFonts w:ascii="Verdana" w:hAnsi="Verdana"/>
          <w:lang w:val="es-ES_tradnl"/>
        </w:rPr>
        <w:t>propicie</w:t>
      </w:r>
      <w:r w:rsidR="00D55C1B">
        <w:rPr>
          <w:rFonts w:ascii="Verdana" w:hAnsi="Verdana"/>
          <w:lang w:val="es-ES_tradnl"/>
        </w:rPr>
        <w:t>n</w:t>
      </w:r>
      <w:r w:rsidR="00A0707F">
        <w:rPr>
          <w:rFonts w:ascii="Verdana" w:hAnsi="Verdana"/>
          <w:lang w:val="es-ES_tradnl"/>
        </w:rPr>
        <w:t xml:space="preserve"> el apego a la “verdad” como valor jurídico</w:t>
      </w:r>
      <w:r w:rsidR="00D55C1B">
        <w:rPr>
          <w:rFonts w:ascii="Verdana" w:hAnsi="Verdana"/>
          <w:lang w:val="es-ES_tradnl"/>
        </w:rPr>
        <w:t>,</w:t>
      </w:r>
      <w:r w:rsidR="00A0707F">
        <w:rPr>
          <w:rFonts w:ascii="Verdana" w:hAnsi="Verdana"/>
          <w:lang w:val="es-ES_tradnl"/>
        </w:rPr>
        <w:t xml:space="preserve"> mediante </w:t>
      </w:r>
      <w:r w:rsidR="00D55C1B">
        <w:rPr>
          <w:rFonts w:ascii="Verdana" w:hAnsi="Verdana"/>
          <w:lang w:val="es-ES_tradnl"/>
        </w:rPr>
        <w:t>la</w:t>
      </w:r>
      <w:r w:rsidR="00A0707F">
        <w:rPr>
          <w:rFonts w:ascii="Verdana" w:hAnsi="Verdana"/>
          <w:lang w:val="es-ES_tradnl"/>
        </w:rPr>
        <w:t xml:space="preserve"> “correcta” interpretación del Derecho aplicable</w:t>
      </w:r>
      <w:r w:rsidR="00D55C1B">
        <w:rPr>
          <w:rFonts w:ascii="Verdana" w:hAnsi="Verdana"/>
          <w:lang w:val="es-ES_tradnl"/>
        </w:rPr>
        <w:t xml:space="preserve"> y la confirmación “razonable” del apego a la realidad de los hechos que lo constituyen</w:t>
      </w:r>
      <w:r w:rsidR="00D55C1B">
        <w:rPr>
          <w:rStyle w:val="FootnoteReference"/>
          <w:rFonts w:ascii="Verdana" w:hAnsi="Verdana"/>
          <w:lang w:val="es-ES_tradnl"/>
        </w:rPr>
        <w:footnoteReference w:id="92"/>
      </w:r>
      <w:r w:rsidR="00D55C1B">
        <w:rPr>
          <w:rFonts w:ascii="Verdana" w:hAnsi="Verdana"/>
          <w:lang w:val="es-ES_tradnl"/>
        </w:rPr>
        <w:t xml:space="preserve">. No </w:t>
      </w:r>
      <w:r w:rsidR="00BC04CC">
        <w:rPr>
          <w:rFonts w:ascii="Verdana" w:hAnsi="Verdana"/>
          <w:lang w:val="es-ES_tradnl"/>
        </w:rPr>
        <w:t>entraré</w:t>
      </w:r>
      <w:r w:rsidR="00D55C1B">
        <w:rPr>
          <w:rFonts w:ascii="Verdana" w:hAnsi="Verdana"/>
          <w:lang w:val="es-ES_tradnl"/>
        </w:rPr>
        <w:t xml:space="preserve"> en las complejidades </w:t>
      </w:r>
      <w:r>
        <w:rPr>
          <w:rFonts w:ascii="Verdana" w:hAnsi="Verdana"/>
          <w:lang w:val="es-ES_tradnl"/>
        </w:rPr>
        <w:t>de</w:t>
      </w:r>
      <w:r w:rsidR="00D55C1B">
        <w:rPr>
          <w:rFonts w:ascii="Verdana" w:hAnsi="Verdana"/>
          <w:lang w:val="es-ES_tradnl"/>
        </w:rPr>
        <w:t xml:space="preserve"> los temas anteriores; a muy grandes rasgos, todos sabemos </w:t>
      </w:r>
      <w:r w:rsidR="00AB5C84">
        <w:rPr>
          <w:rFonts w:ascii="Verdana" w:hAnsi="Verdana"/>
          <w:lang w:val="es-ES_tradnl"/>
        </w:rPr>
        <w:t>a qué se refiere</w:t>
      </w:r>
      <w:r w:rsidR="00D55C1B">
        <w:rPr>
          <w:rFonts w:ascii="Verdana" w:hAnsi="Verdana"/>
          <w:lang w:val="es-ES_tradnl"/>
        </w:rPr>
        <w:t xml:space="preserve"> una “decisión justa”</w:t>
      </w:r>
      <w:r w:rsidR="00AB5C84">
        <w:rPr>
          <w:rFonts w:ascii="Verdana" w:hAnsi="Verdana"/>
          <w:lang w:val="es-ES_tradnl"/>
        </w:rPr>
        <w:t>;</w:t>
      </w:r>
      <w:r w:rsidR="00D55C1B">
        <w:rPr>
          <w:rFonts w:ascii="Verdana" w:hAnsi="Verdana"/>
          <w:lang w:val="es-ES_tradnl"/>
        </w:rPr>
        <w:t xml:space="preserve"> y en particular </w:t>
      </w:r>
      <w:r>
        <w:rPr>
          <w:rFonts w:ascii="Verdana" w:hAnsi="Verdana"/>
          <w:lang w:val="es-ES_tradnl"/>
        </w:rPr>
        <w:t xml:space="preserve">lo que esta expresión quiere decir </w:t>
      </w:r>
      <w:r w:rsidR="00AB5C84">
        <w:rPr>
          <w:rFonts w:ascii="Verdana" w:hAnsi="Verdana"/>
          <w:lang w:val="es-ES_tradnl"/>
        </w:rPr>
        <w:t>para el campo de las sanciones, entendidas básicamente como una aflicción represiva que impone el Derecho a una conducta irregular</w:t>
      </w:r>
      <w:r w:rsidR="00BD0B45">
        <w:rPr>
          <w:rFonts w:ascii="Verdana" w:hAnsi="Verdana"/>
          <w:lang w:val="es-ES_tradnl"/>
        </w:rPr>
        <w:t>:</w:t>
      </w:r>
      <w:r w:rsidR="00AB5C84">
        <w:rPr>
          <w:rFonts w:ascii="Verdana" w:hAnsi="Verdana"/>
          <w:lang w:val="es-ES_tradnl"/>
        </w:rPr>
        <w:t xml:space="preserve"> a que con objetividad se hayan constatado </w:t>
      </w:r>
      <w:r w:rsidR="00E07E96">
        <w:rPr>
          <w:rFonts w:ascii="Verdana" w:hAnsi="Verdana"/>
          <w:lang w:val="es-ES_tradnl"/>
        </w:rPr>
        <w:t xml:space="preserve">la realidad de </w:t>
      </w:r>
      <w:r w:rsidR="00AB5C84">
        <w:rPr>
          <w:rFonts w:ascii="Verdana" w:hAnsi="Verdana"/>
          <w:lang w:val="es-ES_tradnl"/>
        </w:rPr>
        <w:t>los hechos que integran dicha conducta</w:t>
      </w:r>
      <w:r w:rsidR="00E07E96">
        <w:rPr>
          <w:rFonts w:ascii="Verdana" w:hAnsi="Verdana"/>
          <w:lang w:val="es-ES_tradnl"/>
        </w:rPr>
        <w:t xml:space="preserve"> y </w:t>
      </w:r>
      <w:r w:rsidR="00BD0B45">
        <w:rPr>
          <w:rFonts w:ascii="Verdana" w:hAnsi="Verdana"/>
          <w:lang w:val="es-ES_tradnl"/>
        </w:rPr>
        <w:t>su subsunción</w:t>
      </w:r>
      <w:r w:rsidR="00E07E96">
        <w:rPr>
          <w:rFonts w:ascii="Verdana" w:hAnsi="Verdana"/>
          <w:lang w:val="es-ES_tradnl"/>
        </w:rPr>
        <w:t xml:space="preserve"> en la hipótesis normativa </w:t>
      </w:r>
      <w:r w:rsidR="00BD0B45">
        <w:rPr>
          <w:rFonts w:ascii="Verdana" w:hAnsi="Verdana"/>
          <w:lang w:val="es-ES_tradnl"/>
        </w:rPr>
        <w:t xml:space="preserve">efectivamente </w:t>
      </w:r>
      <w:r w:rsidR="00E07E96">
        <w:rPr>
          <w:rFonts w:ascii="Verdana" w:hAnsi="Verdana"/>
          <w:lang w:val="es-ES_tradnl"/>
        </w:rPr>
        <w:t>correspondiente.</w:t>
      </w:r>
    </w:p>
    <w:p w14:paraId="7C88089D" w14:textId="77777777" w:rsidR="00CB08B4" w:rsidRDefault="00CB08B4" w:rsidP="000E6EDD">
      <w:pPr>
        <w:pStyle w:val="NormalWeb"/>
        <w:spacing w:before="0" w:beforeAutospacing="0" w:after="0" w:afterAutospacing="0"/>
        <w:jc w:val="both"/>
        <w:rPr>
          <w:rFonts w:ascii="Verdana" w:hAnsi="Verdana"/>
          <w:lang w:val="es-ES_tradnl"/>
        </w:rPr>
      </w:pPr>
    </w:p>
    <w:p w14:paraId="09BF5D68" w14:textId="57768A64" w:rsidR="00CB08B4"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t>54</w:t>
      </w:r>
      <w:r w:rsidR="00BD0B45">
        <w:rPr>
          <w:rFonts w:ascii="Verdana" w:hAnsi="Verdana"/>
          <w:lang w:val="es-ES_tradnl"/>
        </w:rPr>
        <w:t>.</w:t>
      </w:r>
      <w:r w:rsidR="00BD0B45">
        <w:rPr>
          <w:rFonts w:ascii="Verdana" w:hAnsi="Verdana"/>
          <w:lang w:val="es-ES_tradnl"/>
        </w:rPr>
        <w:tab/>
      </w:r>
      <w:r w:rsidR="00744F11">
        <w:rPr>
          <w:rFonts w:ascii="Verdana" w:hAnsi="Verdana"/>
          <w:lang w:val="es-ES_tradnl"/>
        </w:rPr>
        <w:t>L</w:t>
      </w:r>
      <w:r w:rsidR="00BD0B45">
        <w:rPr>
          <w:rFonts w:ascii="Verdana" w:hAnsi="Verdana"/>
          <w:lang w:val="es-ES_tradnl"/>
        </w:rPr>
        <w:t>as garantías judiciales de los artículos 8 y 25 de la Convención Americana sobre Derechos Humanos pretenden como finalidad general que todos los procedimientos en que se determinen los derecho</w:t>
      </w:r>
      <w:r w:rsidR="001033AE">
        <w:rPr>
          <w:rFonts w:ascii="Verdana" w:hAnsi="Verdana"/>
          <w:lang w:val="es-ES_tradnl"/>
        </w:rPr>
        <w:t>s</w:t>
      </w:r>
      <w:r w:rsidR="00BD0B45">
        <w:rPr>
          <w:rFonts w:ascii="Verdana" w:hAnsi="Verdana"/>
          <w:lang w:val="es-ES_tradnl"/>
        </w:rPr>
        <w:t xml:space="preserve"> y las obligaciones de las personas </w:t>
      </w:r>
      <w:r w:rsidR="001033AE">
        <w:rPr>
          <w:rFonts w:ascii="Verdana" w:hAnsi="Verdana"/>
          <w:lang w:val="es-ES_tradnl"/>
        </w:rPr>
        <w:t>tengan una solución “justa”, con independencia de que su naturaleza sea procesal o procedimental, y de que sean “</w:t>
      </w:r>
      <w:r w:rsidR="001033AE" w:rsidRPr="001033AE">
        <w:rPr>
          <w:rFonts w:ascii="Verdana" w:hAnsi="Verdana"/>
          <w:lang w:val="es-ES_tradnl"/>
        </w:rPr>
        <w:t>de orden</w:t>
      </w:r>
      <w:r w:rsidR="001033AE">
        <w:rPr>
          <w:rFonts w:ascii="Verdana" w:hAnsi="Verdana"/>
          <w:lang w:val="es-ES_tradnl"/>
        </w:rPr>
        <w:t xml:space="preserve"> [penal,]</w:t>
      </w:r>
      <w:r w:rsidR="001033AE" w:rsidRPr="001033AE">
        <w:rPr>
          <w:rFonts w:ascii="Verdana" w:hAnsi="Verdana"/>
          <w:lang w:val="es-ES_tradnl"/>
        </w:rPr>
        <w:t xml:space="preserve"> civil, laboral, fiscal o de cualquier otro carácter”</w:t>
      </w:r>
      <w:r w:rsidR="001033AE">
        <w:rPr>
          <w:rFonts w:ascii="Verdana" w:hAnsi="Verdana"/>
          <w:lang w:val="es-ES_tradnl"/>
        </w:rPr>
        <w:t xml:space="preserve">; son absolutos y comprehensivos los términos de este mandato convencional de “justicia” en los procedimientos. Y desde luego, esa finalidad general tan abstracta de justicia y otros principios aún generales —independencia e imparcialidad, predeterminación legal, etc.— adquieren </w:t>
      </w:r>
      <w:r w:rsidR="001F24D8">
        <w:rPr>
          <w:rFonts w:ascii="Verdana" w:hAnsi="Verdana"/>
          <w:lang w:val="es-ES_tradnl"/>
        </w:rPr>
        <w:t xml:space="preserve">una manifestación particular </w:t>
      </w:r>
      <w:r w:rsidR="001033AE">
        <w:rPr>
          <w:rFonts w:ascii="Verdana" w:hAnsi="Verdana"/>
          <w:lang w:val="es-ES_tradnl"/>
        </w:rPr>
        <w:t>en cada especie que rigen</w:t>
      </w:r>
      <w:r w:rsidR="00E47FB3">
        <w:rPr>
          <w:rStyle w:val="FootnoteReference"/>
          <w:rFonts w:ascii="Verdana" w:hAnsi="Verdana"/>
          <w:lang w:val="es-ES_tradnl"/>
        </w:rPr>
        <w:footnoteReference w:id="93"/>
      </w:r>
      <w:r w:rsidR="001033AE">
        <w:rPr>
          <w:rFonts w:ascii="Verdana" w:hAnsi="Verdana"/>
          <w:lang w:val="es-ES_tradnl"/>
        </w:rPr>
        <w:t>.</w:t>
      </w:r>
    </w:p>
    <w:p w14:paraId="0D6F27B1" w14:textId="77777777" w:rsidR="00CB08B4" w:rsidRDefault="00CB08B4" w:rsidP="000E6EDD">
      <w:pPr>
        <w:pStyle w:val="NormalWeb"/>
        <w:spacing w:before="0" w:beforeAutospacing="0" w:after="0" w:afterAutospacing="0"/>
        <w:jc w:val="both"/>
        <w:rPr>
          <w:rFonts w:ascii="Verdana" w:hAnsi="Verdana"/>
          <w:lang w:val="es-ES_tradnl"/>
        </w:rPr>
      </w:pPr>
    </w:p>
    <w:p w14:paraId="74423776" w14:textId="30A4E10F" w:rsidR="00C2776F"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t>55</w:t>
      </w:r>
      <w:r w:rsidR="001033AE">
        <w:rPr>
          <w:rFonts w:ascii="Verdana" w:hAnsi="Verdana"/>
          <w:lang w:val="es-ES_tradnl"/>
        </w:rPr>
        <w:t>.</w:t>
      </w:r>
      <w:r w:rsidR="001033AE">
        <w:rPr>
          <w:rFonts w:ascii="Verdana" w:hAnsi="Verdana"/>
          <w:lang w:val="es-ES_tradnl"/>
        </w:rPr>
        <w:tab/>
        <w:t xml:space="preserve">Como señalé, la importancia del ámbito penal </w:t>
      </w:r>
      <w:r w:rsidR="001033AE">
        <w:rPr>
          <w:rFonts w:ascii="Verdana" w:hAnsi="Verdana"/>
          <w:i/>
          <w:lang w:val="es-ES_tradnl"/>
        </w:rPr>
        <w:t>stricto sensu</w:t>
      </w:r>
      <w:r w:rsidR="001033AE">
        <w:rPr>
          <w:rFonts w:ascii="Verdana" w:hAnsi="Verdana"/>
          <w:lang w:val="es-ES_tradnl"/>
        </w:rPr>
        <w:t xml:space="preserve"> </w:t>
      </w:r>
      <w:r w:rsidR="001F24D8">
        <w:rPr>
          <w:rFonts w:ascii="Verdana" w:hAnsi="Verdana"/>
          <w:lang w:val="es-ES_tradnl"/>
        </w:rPr>
        <w:t xml:space="preserve">explica que el artículo 8.2 de la Convención </w:t>
      </w:r>
      <w:r w:rsidR="00DF019F">
        <w:rPr>
          <w:rFonts w:ascii="Verdana" w:hAnsi="Verdana"/>
          <w:lang w:val="es-ES_tradnl"/>
        </w:rPr>
        <w:t xml:space="preserve">Americana </w:t>
      </w:r>
      <w:r w:rsidR="001F24D8">
        <w:rPr>
          <w:rFonts w:ascii="Verdana" w:hAnsi="Verdana"/>
          <w:lang w:val="es-ES_tradnl"/>
        </w:rPr>
        <w:t>sea un apartado con garantías dedicadas a este ámbito</w:t>
      </w:r>
      <w:r w:rsidR="000A2E33">
        <w:rPr>
          <w:rFonts w:ascii="Verdana" w:hAnsi="Verdana"/>
          <w:lang w:val="es-ES_tradnl"/>
        </w:rPr>
        <w:t>. En éste</w:t>
      </w:r>
      <w:r w:rsidR="001F24D8">
        <w:rPr>
          <w:rFonts w:ascii="Verdana" w:hAnsi="Verdana"/>
          <w:lang w:val="es-ES_tradnl"/>
        </w:rPr>
        <w:t xml:space="preserve"> se concretizan las más relevantes exigencias del debido proceso </w:t>
      </w:r>
      <w:r w:rsidR="000A2E33">
        <w:rPr>
          <w:rFonts w:ascii="Verdana" w:hAnsi="Verdana"/>
          <w:lang w:val="es-ES_tradnl"/>
        </w:rPr>
        <w:t>a</w:t>
      </w:r>
      <w:r w:rsidR="001F24D8">
        <w:rPr>
          <w:rFonts w:ascii="Verdana" w:hAnsi="Verdana"/>
          <w:lang w:val="es-ES_tradnl"/>
        </w:rPr>
        <w:t xml:space="preserve"> la materia </w:t>
      </w:r>
      <w:r w:rsidR="000A2E33">
        <w:rPr>
          <w:rFonts w:ascii="Verdana" w:hAnsi="Verdana"/>
          <w:lang w:val="es-ES_tradnl"/>
        </w:rPr>
        <w:t xml:space="preserve">penal </w:t>
      </w:r>
      <w:r w:rsidR="001F24D8">
        <w:rPr>
          <w:rFonts w:ascii="Verdana" w:hAnsi="Verdana"/>
          <w:lang w:val="es-ES_tradnl"/>
        </w:rPr>
        <w:t>de acuerdo con “su significación, su carácter y su contexto en [el] sistema legal”</w:t>
      </w:r>
      <w:r w:rsidR="001F24D8">
        <w:rPr>
          <w:rStyle w:val="FootnoteReference"/>
          <w:rFonts w:ascii="Verdana" w:hAnsi="Verdana"/>
          <w:lang w:val="es-ES_tradnl"/>
        </w:rPr>
        <w:footnoteReference w:id="94"/>
      </w:r>
      <w:r w:rsidR="00BC04CC">
        <w:rPr>
          <w:rFonts w:ascii="Verdana" w:hAnsi="Verdana"/>
          <w:lang w:val="es-ES_tradnl"/>
        </w:rPr>
        <w:t>; de manera</w:t>
      </w:r>
      <w:r w:rsidR="001F24D8">
        <w:rPr>
          <w:rFonts w:ascii="Verdana" w:hAnsi="Verdana"/>
          <w:lang w:val="es-ES_tradnl"/>
        </w:rPr>
        <w:t xml:space="preserve"> que pueden ser —como </w:t>
      </w:r>
      <w:r w:rsidR="003F4911">
        <w:rPr>
          <w:rFonts w:ascii="Verdana" w:hAnsi="Verdana"/>
          <w:lang w:val="es-ES_tradnl"/>
        </w:rPr>
        <w:t xml:space="preserve">en efecto </w:t>
      </w:r>
      <w:r w:rsidR="001F24D8">
        <w:rPr>
          <w:rFonts w:ascii="Verdana" w:hAnsi="Verdana"/>
          <w:lang w:val="es-ES_tradnl"/>
        </w:rPr>
        <w:t>acontece— diferentes a su especificación en los ámbitos civil o laboral</w:t>
      </w:r>
      <w:r w:rsidR="003F4911">
        <w:rPr>
          <w:rFonts w:ascii="Verdana" w:hAnsi="Verdana"/>
          <w:lang w:val="es-ES_tradnl"/>
        </w:rPr>
        <w:t xml:space="preserve">. Dichas garantías penales específicas son expresión de lo que el debido proceso exige al Estado </w:t>
      </w:r>
      <w:r w:rsidR="00433D2A">
        <w:rPr>
          <w:rFonts w:ascii="Verdana" w:hAnsi="Verdana"/>
          <w:lang w:val="es-ES_tradnl"/>
        </w:rPr>
        <w:t>al ejercer</w:t>
      </w:r>
      <w:r w:rsidR="003F4911">
        <w:rPr>
          <w:rFonts w:ascii="Verdana" w:hAnsi="Verdana"/>
          <w:lang w:val="es-ES_tradnl"/>
        </w:rPr>
        <w:t xml:space="preserve"> </w:t>
      </w:r>
      <w:r w:rsidR="000A2E33">
        <w:rPr>
          <w:rFonts w:ascii="Verdana" w:hAnsi="Verdana"/>
          <w:lang w:val="es-ES_tradnl"/>
        </w:rPr>
        <w:t xml:space="preserve">su poder punitivo, y por lo mismo resultan </w:t>
      </w:r>
      <w:r w:rsidR="000A2E33" w:rsidRPr="000A2E33">
        <w:rPr>
          <w:rFonts w:ascii="Verdana" w:hAnsi="Verdana"/>
          <w:i/>
          <w:lang w:val="es-ES_tradnl"/>
        </w:rPr>
        <w:t xml:space="preserve">en principio </w:t>
      </w:r>
      <w:r w:rsidR="000A2E33" w:rsidRPr="00433D2A">
        <w:rPr>
          <w:rFonts w:ascii="Verdana" w:hAnsi="Verdana"/>
          <w:lang w:val="es-ES_tradnl"/>
        </w:rPr>
        <w:t>aplicables también a cualquier otra manifestación de dicho poder</w:t>
      </w:r>
      <w:r w:rsidR="000A2E33">
        <w:rPr>
          <w:rFonts w:ascii="Verdana" w:hAnsi="Verdana"/>
          <w:lang w:val="es-ES_tradnl"/>
        </w:rPr>
        <w:t xml:space="preserve">. Esto quiere decir que debe </w:t>
      </w:r>
      <w:r w:rsidR="000A2E33" w:rsidRPr="000A2E33">
        <w:rPr>
          <w:rFonts w:ascii="Verdana" w:hAnsi="Verdana"/>
          <w:i/>
          <w:lang w:val="es-ES_tradnl"/>
        </w:rPr>
        <w:t xml:space="preserve">presumirse la </w:t>
      </w:r>
      <w:r w:rsidR="00433D2A">
        <w:rPr>
          <w:rFonts w:ascii="Verdana" w:hAnsi="Verdana"/>
          <w:i/>
          <w:lang w:val="es-ES_tradnl"/>
        </w:rPr>
        <w:t>aplicabilidad, en sus términos, de</w:t>
      </w:r>
      <w:r w:rsidR="000A2E33" w:rsidRPr="000A2E33">
        <w:rPr>
          <w:rFonts w:ascii="Verdana" w:hAnsi="Verdana"/>
          <w:i/>
          <w:lang w:val="es-ES_tradnl"/>
        </w:rPr>
        <w:t xml:space="preserve"> tales garantías penales en otros ámbitos sancionadores</w:t>
      </w:r>
      <w:r w:rsidR="000A2E33">
        <w:rPr>
          <w:rFonts w:ascii="Verdana" w:hAnsi="Verdana"/>
          <w:lang w:val="es-ES_tradnl"/>
        </w:rPr>
        <w:t xml:space="preserve">; </w:t>
      </w:r>
      <w:r w:rsidR="00433D2A">
        <w:rPr>
          <w:rFonts w:ascii="Verdana" w:hAnsi="Verdana"/>
          <w:lang w:val="es-ES_tradnl"/>
        </w:rPr>
        <w:t xml:space="preserve">pero ello debe hacerse, partiéndose </w:t>
      </w:r>
      <w:r w:rsidR="000A2E33">
        <w:rPr>
          <w:rFonts w:ascii="Verdana" w:hAnsi="Verdana"/>
          <w:lang w:val="es-ES_tradnl"/>
        </w:rPr>
        <w:t xml:space="preserve">de la idea de </w:t>
      </w:r>
      <w:r w:rsidR="00433D2A">
        <w:rPr>
          <w:rFonts w:ascii="Verdana" w:hAnsi="Verdana"/>
          <w:lang w:val="es-ES_tradnl"/>
        </w:rPr>
        <w:t xml:space="preserve">que </w:t>
      </w:r>
      <w:r w:rsidR="00993470">
        <w:rPr>
          <w:rFonts w:ascii="Verdana" w:hAnsi="Verdana"/>
          <w:lang w:val="es-ES_tradnl"/>
        </w:rPr>
        <w:t>la</w:t>
      </w:r>
      <w:r w:rsidR="00433D2A">
        <w:rPr>
          <w:rFonts w:ascii="Verdana" w:hAnsi="Verdana"/>
          <w:lang w:val="es-ES_tradnl"/>
        </w:rPr>
        <w:t xml:space="preserve"> transposición</w:t>
      </w:r>
      <w:r w:rsidR="00993470">
        <w:rPr>
          <w:rFonts w:ascii="Verdana" w:hAnsi="Verdana"/>
          <w:lang w:val="es-ES_tradnl"/>
        </w:rPr>
        <w:t xml:space="preserve"> de dichas normas penales</w:t>
      </w:r>
      <w:r w:rsidR="00433D2A">
        <w:rPr>
          <w:rFonts w:ascii="Verdana" w:hAnsi="Verdana"/>
          <w:lang w:val="es-ES_tradnl"/>
        </w:rPr>
        <w:t xml:space="preserve"> en realidad remonta al </w:t>
      </w:r>
      <w:r w:rsidR="00433D2A" w:rsidRPr="00433D2A">
        <w:rPr>
          <w:rFonts w:ascii="Verdana" w:hAnsi="Verdana"/>
          <w:i/>
          <w:lang w:val="es-ES_tradnl"/>
        </w:rPr>
        <w:t>principio punitivo general</w:t>
      </w:r>
      <w:r w:rsidR="00433D2A">
        <w:rPr>
          <w:rFonts w:ascii="Verdana" w:hAnsi="Verdana"/>
          <w:lang w:val="es-ES_tradnl"/>
        </w:rPr>
        <w:t xml:space="preserve"> que las inspira</w:t>
      </w:r>
      <w:r w:rsidR="00AA2CF7">
        <w:rPr>
          <w:rStyle w:val="FootnoteReference"/>
          <w:rFonts w:ascii="Verdana" w:hAnsi="Verdana"/>
          <w:lang w:val="es-ES_tradnl"/>
        </w:rPr>
        <w:footnoteReference w:id="95"/>
      </w:r>
      <w:r w:rsidR="00BC04CC">
        <w:rPr>
          <w:rFonts w:ascii="Verdana" w:hAnsi="Verdana"/>
          <w:lang w:val="es-ES_tradnl"/>
        </w:rPr>
        <w:t>,</w:t>
      </w:r>
      <w:r w:rsidR="00433D2A">
        <w:rPr>
          <w:rFonts w:ascii="Verdana" w:hAnsi="Verdana"/>
          <w:lang w:val="es-ES_tradnl"/>
        </w:rPr>
        <w:t xml:space="preserve"> —por ejemplo, </w:t>
      </w:r>
      <w:r w:rsidR="00993470">
        <w:rPr>
          <w:rFonts w:ascii="Verdana" w:hAnsi="Verdana"/>
          <w:lang w:val="es-ES_tradnl"/>
        </w:rPr>
        <w:t>una genérica presunción de inocencia que impone la carga de demostrar la presencia de toda responsabilidad y no su ausencia</w:t>
      </w:r>
      <w:r w:rsidR="00433D2A">
        <w:rPr>
          <w:rFonts w:ascii="Verdana" w:hAnsi="Verdana"/>
          <w:lang w:val="es-ES_tradnl"/>
        </w:rPr>
        <w:t xml:space="preserve">—, del cual resultan manifestaciones específicas que lo hacen “visible” y </w:t>
      </w:r>
      <w:r w:rsidR="00993470">
        <w:rPr>
          <w:rFonts w:ascii="Verdana" w:hAnsi="Verdana"/>
          <w:lang w:val="es-ES_tradnl"/>
        </w:rPr>
        <w:t>facilitan su aplicación en un ámbito distinto. Las garantías mínimas penales</w:t>
      </w:r>
      <w:r w:rsidR="00783DA1">
        <w:rPr>
          <w:rFonts w:ascii="Verdana" w:hAnsi="Verdana"/>
          <w:lang w:val="es-ES_tradnl"/>
        </w:rPr>
        <w:t xml:space="preserve"> que prevé el artículo 8.2 de la Convención</w:t>
      </w:r>
      <w:r w:rsidR="00993470">
        <w:rPr>
          <w:rFonts w:ascii="Verdana" w:hAnsi="Verdana"/>
          <w:lang w:val="es-ES_tradnl"/>
        </w:rPr>
        <w:t xml:space="preserve"> </w:t>
      </w:r>
      <w:r w:rsidR="00DF019F">
        <w:rPr>
          <w:rFonts w:ascii="Verdana" w:hAnsi="Verdana"/>
          <w:lang w:val="es-ES_tradnl"/>
        </w:rPr>
        <w:t xml:space="preserve">Americana </w:t>
      </w:r>
      <w:r w:rsidR="00993470">
        <w:rPr>
          <w:rFonts w:ascii="Verdana" w:hAnsi="Verdana"/>
          <w:lang w:val="es-ES_tradnl"/>
        </w:rPr>
        <w:t>no por sí mismas cobran “aplicación” en otra clase de procedimientos</w:t>
      </w:r>
      <w:r w:rsidR="00783DA1">
        <w:rPr>
          <w:rFonts w:ascii="Verdana" w:hAnsi="Verdana"/>
          <w:lang w:val="es-ES_tradnl"/>
        </w:rPr>
        <w:t xml:space="preserve"> sancionadores</w:t>
      </w:r>
      <w:r w:rsidR="00993470">
        <w:rPr>
          <w:rFonts w:ascii="Verdana" w:hAnsi="Verdana"/>
          <w:lang w:val="es-ES_tradnl"/>
        </w:rPr>
        <w:t xml:space="preserve">, sino por ser </w:t>
      </w:r>
      <w:r w:rsidR="008E1025">
        <w:rPr>
          <w:rFonts w:ascii="Verdana" w:hAnsi="Verdana"/>
          <w:lang w:val="es-ES_tradnl"/>
        </w:rPr>
        <w:t xml:space="preserve">instrumento </w:t>
      </w:r>
      <w:r w:rsidR="00993470">
        <w:rPr>
          <w:rFonts w:ascii="Verdana" w:hAnsi="Verdana"/>
          <w:lang w:val="es-ES_tradnl"/>
        </w:rPr>
        <w:t>para hallar</w:t>
      </w:r>
      <w:r w:rsidR="008E1025">
        <w:rPr>
          <w:rFonts w:ascii="Verdana" w:hAnsi="Verdana"/>
          <w:lang w:val="es-ES_tradnl"/>
        </w:rPr>
        <w:t xml:space="preserve"> el principio general que las inspira</w:t>
      </w:r>
      <w:r w:rsidR="00783DA1">
        <w:rPr>
          <w:rFonts w:ascii="Verdana" w:hAnsi="Verdana"/>
          <w:lang w:val="es-ES_tradnl"/>
        </w:rPr>
        <w:t xml:space="preserve">; éste es el que </w:t>
      </w:r>
      <w:r w:rsidR="0035322D">
        <w:rPr>
          <w:rFonts w:ascii="Verdana" w:hAnsi="Verdana"/>
          <w:lang w:val="es-ES_tradnl"/>
        </w:rPr>
        <w:t xml:space="preserve">rige </w:t>
      </w:r>
      <w:r w:rsidR="00EE1B6B">
        <w:rPr>
          <w:rFonts w:ascii="Verdana" w:hAnsi="Verdana"/>
          <w:lang w:val="es-ES_tradnl"/>
        </w:rPr>
        <w:t xml:space="preserve">directamente </w:t>
      </w:r>
      <w:r w:rsidR="00783DA1">
        <w:rPr>
          <w:rFonts w:ascii="Verdana" w:hAnsi="Verdana"/>
          <w:lang w:val="es-ES_tradnl"/>
        </w:rPr>
        <w:t xml:space="preserve">otros sectores jurídicos punitivos, y </w:t>
      </w:r>
      <w:r w:rsidR="00783DA1" w:rsidRPr="00FE0A8C">
        <w:rPr>
          <w:rFonts w:ascii="Verdana" w:hAnsi="Verdana"/>
          <w:i/>
          <w:lang w:val="es-ES_tradnl"/>
        </w:rPr>
        <w:t>en tanto no se advierta que deba tener otra formulación</w:t>
      </w:r>
      <w:r w:rsidR="00783DA1">
        <w:rPr>
          <w:rFonts w:ascii="Verdana" w:hAnsi="Verdana"/>
          <w:lang w:val="es-ES_tradnl"/>
        </w:rPr>
        <w:t xml:space="preserve">, </w:t>
      </w:r>
      <w:r w:rsidR="00EE1B6B">
        <w:rPr>
          <w:rFonts w:ascii="Verdana" w:hAnsi="Verdana"/>
          <w:lang w:val="es-ES_tradnl"/>
        </w:rPr>
        <w:t xml:space="preserve">se le ha de atribuir </w:t>
      </w:r>
      <w:r w:rsidR="00783DA1">
        <w:rPr>
          <w:rFonts w:ascii="Verdana" w:hAnsi="Verdana"/>
          <w:lang w:val="es-ES_tradnl"/>
        </w:rPr>
        <w:t>la reconocida en el ámbito penal</w:t>
      </w:r>
      <w:r w:rsidR="00FE0A8C">
        <w:rPr>
          <w:rFonts w:ascii="Verdana" w:hAnsi="Verdana"/>
          <w:lang w:val="es-ES_tradnl"/>
        </w:rPr>
        <w:t xml:space="preserve"> como primera manifestación </w:t>
      </w:r>
      <w:r w:rsidR="00EE1B6B">
        <w:rPr>
          <w:rFonts w:ascii="Verdana" w:hAnsi="Verdana"/>
          <w:lang w:val="es-ES_tradnl"/>
        </w:rPr>
        <w:t>del mismo</w:t>
      </w:r>
      <w:r w:rsidR="001E1440">
        <w:rPr>
          <w:rStyle w:val="FootnoteReference"/>
          <w:rFonts w:ascii="Verdana" w:hAnsi="Verdana"/>
          <w:lang w:val="es-ES_tradnl"/>
        </w:rPr>
        <w:footnoteReference w:id="96"/>
      </w:r>
      <w:r w:rsidR="00BC04CC">
        <w:rPr>
          <w:rFonts w:ascii="Verdana" w:hAnsi="Verdana"/>
          <w:lang w:val="es-ES_tradnl"/>
        </w:rPr>
        <w:t>.</w:t>
      </w:r>
    </w:p>
    <w:p w14:paraId="7B80E375" w14:textId="78BFD12E" w:rsidR="00EE1B6B" w:rsidRDefault="00EE1B6B" w:rsidP="000E6EDD">
      <w:pPr>
        <w:pStyle w:val="NormalWeb"/>
        <w:spacing w:before="0" w:beforeAutospacing="0" w:after="0" w:afterAutospacing="0"/>
        <w:jc w:val="both"/>
        <w:rPr>
          <w:rFonts w:ascii="Verdana" w:hAnsi="Verdana"/>
          <w:lang w:val="es-ES_tradnl"/>
        </w:rPr>
      </w:pPr>
    </w:p>
    <w:p w14:paraId="20984DA1" w14:textId="734F7F13" w:rsidR="0030311A"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t>56</w:t>
      </w:r>
      <w:r w:rsidR="00D30F44">
        <w:rPr>
          <w:rFonts w:ascii="Verdana" w:hAnsi="Verdana"/>
          <w:lang w:val="es-ES_tradnl"/>
        </w:rPr>
        <w:t xml:space="preserve">. El </w:t>
      </w:r>
      <w:r w:rsidR="00D30F44" w:rsidRPr="00D30F44">
        <w:rPr>
          <w:rFonts w:ascii="Verdana" w:hAnsi="Verdana"/>
          <w:b/>
          <w:i/>
          <w:lang w:val="es-ES_tradnl"/>
        </w:rPr>
        <w:t>segundo postulado</w:t>
      </w:r>
      <w:r w:rsidR="00D30F44">
        <w:rPr>
          <w:rFonts w:ascii="Verdana" w:hAnsi="Verdana"/>
          <w:lang w:val="es-ES_tradnl"/>
        </w:rPr>
        <w:t xml:space="preserve"> que mencioné en torno </w:t>
      </w:r>
      <w:r w:rsidR="008F4E7D">
        <w:rPr>
          <w:rFonts w:ascii="Verdana" w:hAnsi="Verdana"/>
          <w:lang w:val="es-ES_tradnl"/>
        </w:rPr>
        <w:t xml:space="preserve">a </w:t>
      </w:r>
      <w:r w:rsidR="00D30F44">
        <w:rPr>
          <w:rFonts w:ascii="Verdana" w:hAnsi="Verdana"/>
          <w:lang w:val="es-ES_tradnl"/>
        </w:rPr>
        <w:t xml:space="preserve">esta cuestión expresa que el debilitamiento de los principios penales cuando se transportan a otro ámbito sancionador es </w:t>
      </w:r>
      <w:r w:rsidR="00D30F44">
        <w:rPr>
          <w:rFonts w:ascii="Verdana" w:hAnsi="Verdana"/>
          <w:i/>
          <w:lang w:val="es-ES_tradnl"/>
        </w:rPr>
        <w:t>excepcional</w:t>
      </w:r>
      <w:r w:rsidR="0013582E" w:rsidRPr="0013582E">
        <w:rPr>
          <w:rFonts w:ascii="Verdana" w:hAnsi="Verdana"/>
          <w:lang w:val="es-ES_tradnl"/>
        </w:rPr>
        <w:t xml:space="preserve">, y quien quiera introducirlos </w:t>
      </w:r>
      <w:r w:rsidR="009665CB">
        <w:rPr>
          <w:rFonts w:ascii="Verdana" w:hAnsi="Verdana"/>
          <w:lang w:val="es-ES_tradnl"/>
        </w:rPr>
        <w:t>tiene la carga de</w:t>
      </w:r>
      <w:r w:rsidR="0013582E" w:rsidRPr="0013582E">
        <w:rPr>
          <w:rFonts w:ascii="Verdana" w:hAnsi="Verdana"/>
          <w:lang w:val="es-ES_tradnl"/>
        </w:rPr>
        <w:t xml:space="preserve"> argumentar a </w:t>
      </w:r>
      <w:r w:rsidR="009665CB">
        <w:rPr>
          <w:rFonts w:ascii="Verdana" w:hAnsi="Verdana"/>
          <w:lang w:val="es-ES_tradnl"/>
        </w:rPr>
        <w:t>favor de ese cambio</w:t>
      </w:r>
      <w:r w:rsidR="00D30F44">
        <w:rPr>
          <w:rFonts w:ascii="Verdana" w:hAnsi="Verdana"/>
          <w:lang w:val="es-ES_tradnl"/>
        </w:rPr>
        <w:t xml:space="preserve">. Se trata de un corolario del </w:t>
      </w:r>
      <w:r w:rsidR="009665CB">
        <w:rPr>
          <w:rFonts w:ascii="Verdana" w:hAnsi="Verdana"/>
          <w:lang w:val="es-ES_tradnl"/>
        </w:rPr>
        <w:t xml:space="preserve">postulado </w:t>
      </w:r>
      <w:r w:rsidR="00D30F44">
        <w:rPr>
          <w:rFonts w:ascii="Verdana" w:hAnsi="Verdana"/>
          <w:lang w:val="es-ES_tradnl"/>
        </w:rPr>
        <w:t xml:space="preserve">anterior: si lo ordinario es que los principios penales deben trasladarse sin más a diverso sector punitivo, no hacerlo será una rareza. Es preciso hacer una aclaración: lo anterior se refiere a un </w:t>
      </w:r>
      <w:r w:rsidR="00D30F44" w:rsidRPr="00D30F44">
        <w:rPr>
          <w:rFonts w:ascii="Verdana" w:hAnsi="Verdana"/>
          <w:i/>
          <w:lang w:val="es-ES_tradnl"/>
        </w:rPr>
        <w:t>plano argumentativo, no fáctico</w:t>
      </w:r>
      <w:r w:rsidR="002648A0">
        <w:rPr>
          <w:rFonts w:ascii="Verdana" w:hAnsi="Verdana"/>
          <w:lang w:val="es-ES_tradnl"/>
        </w:rPr>
        <w:t>. S</w:t>
      </w:r>
      <w:r w:rsidR="00D30F44">
        <w:rPr>
          <w:rFonts w:ascii="Verdana" w:hAnsi="Verdana"/>
          <w:lang w:val="es-ES_tradnl"/>
        </w:rPr>
        <w:t>i hablara en el último, tendría razón Nieto García, pues los “matices” impuestos a los principios penales en su traslación pueden ser en los hechos tan numerosos</w:t>
      </w:r>
      <w:r w:rsidR="002648A0">
        <w:rPr>
          <w:rFonts w:ascii="Verdana" w:hAnsi="Verdana"/>
          <w:lang w:val="es-ES_tradnl"/>
        </w:rPr>
        <w:t>, que justificadamente nos harían preguntarnos qué tan “excepcionales” resultan</w:t>
      </w:r>
      <w:r w:rsidR="002648A0">
        <w:rPr>
          <w:rStyle w:val="FootnoteReference"/>
          <w:rFonts w:ascii="Verdana" w:hAnsi="Verdana"/>
          <w:lang w:val="es-ES_tradnl"/>
        </w:rPr>
        <w:footnoteReference w:id="97"/>
      </w:r>
      <w:r w:rsidR="00BC04CC">
        <w:rPr>
          <w:rFonts w:ascii="Verdana" w:hAnsi="Verdana"/>
          <w:lang w:val="es-ES_tradnl"/>
        </w:rPr>
        <w:t>.</w:t>
      </w:r>
      <w:r w:rsidR="006E5EDB">
        <w:rPr>
          <w:rFonts w:ascii="Verdana" w:hAnsi="Verdana"/>
          <w:lang w:val="es-ES_tradnl"/>
        </w:rPr>
        <w:t xml:space="preserve"> En cambio, al decir que la “regla general” es trasladar sin cambios los principios penales a otro ámbito, establezco un “dato” argumentativo, es decir, </w:t>
      </w:r>
      <w:r w:rsidR="000E1C5F">
        <w:rPr>
          <w:rFonts w:ascii="Verdana" w:hAnsi="Verdana"/>
          <w:lang w:val="es-ES_tradnl"/>
        </w:rPr>
        <w:t>el</w:t>
      </w:r>
      <w:r w:rsidR="006E5EDB">
        <w:rPr>
          <w:rFonts w:ascii="Verdana" w:hAnsi="Verdana"/>
          <w:lang w:val="es-ES_tradnl"/>
        </w:rPr>
        <w:t xml:space="preserve"> </w:t>
      </w:r>
      <w:r w:rsidR="000E1C5F">
        <w:rPr>
          <w:rFonts w:ascii="Verdana" w:hAnsi="Verdana"/>
          <w:lang w:val="es-ES_tradnl"/>
        </w:rPr>
        <w:t>presupuesto y punto de partida del que se conforma lo que debe discutirse y justificarse en este tema</w:t>
      </w:r>
      <w:r w:rsidR="000E1C5F">
        <w:rPr>
          <w:rStyle w:val="FootnoteReference"/>
          <w:rFonts w:ascii="Verdana" w:hAnsi="Verdana"/>
          <w:lang w:val="es-ES_tradnl"/>
        </w:rPr>
        <w:footnoteReference w:id="98"/>
      </w:r>
      <w:r w:rsidR="0030311A">
        <w:rPr>
          <w:rFonts w:ascii="Verdana" w:hAnsi="Verdana"/>
          <w:lang w:val="es-ES_tradnl"/>
        </w:rPr>
        <w:t>.</w:t>
      </w:r>
      <w:r w:rsidR="000E1C5F">
        <w:rPr>
          <w:rFonts w:ascii="Verdana" w:hAnsi="Verdana"/>
          <w:lang w:val="es-ES_tradnl"/>
        </w:rPr>
        <w:t xml:space="preserve"> </w:t>
      </w:r>
    </w:p>
    <w:p w14:paraId="4E0484EC" w14:textId="77777777" w:rsidR="00C2776F" w:rsidRDefault="00C2776F" w:rsidP="00C2776F">
      <w:pPr>
        <w:pStyle w:val="NormalWeb"/>
        <w:spacing w:before="0" w:beforeAutospacing="0" w:after="0" w:afterAutospacing="0"/>
        <w:jc w:val="both"/>
        <w:rPr>
          <w:rFonts w:ascii="Verdana" w:hAnsi="Verdana"/>
          <w:lang w:val="es-ES_tradnl"/>
        </w:rPr>
      </w:pPr>
    </w:p>
    <w:p w14:paraId="461BDAC3" w14:textId="1F6120AC" w:rsidR="000D7965" w:rsidRDefault="00C2776F" w:rsidP="00C2776F">
      <w:pPr>
        <w:pStyle w:val="NormalWeb"/>
        <w:spacing w:before="0" w:beforeAutospacing="0" w:after="0" w:afterAutospacing="0"/>
        <w:jc w:val="both"/>
        <w:rPr>
          <w:rFonts w:ascii="Verdana" w:hAnsi="Verdana"/>
          <w:lang w:val="es-ES_tradnl"/>
        </w:rPr>
      </w:pPr>
      <w:r>
        <w:rPr>
          <w:rFonts w:ascii="Verdana" w:hAnsi="Verdana"/>
          <w:lang w:val="es-ES_tradnl"/>
        </w:rPr>
        <w:t>57.</w:t>
      </w:r>
      <w:r>
        <w:rPr>
          <w:rFonts w:ascii="Verdana" w:hAnsi="Verdana"/>
          <w:lang w:val="es-ES_tradnl"/>
        </w:rPr>
        <w:tab/>
      </w:r>
      <w:r w:rsidR="0030311A">
        <w:rPr>
          <w:rFonts w:ascii="Verdana" w:hAnsi="Verdana"/>
          <w:lang w:val="es-ES_tradnl"/>
        </w:rPr>
        <w:t>A</w:t>
      </w:r>
      <w:r w:rsidR="000E1C5F">
        <w:rPr>
          <w:rFonts w:ascii="Verdana" w:hAnsi="Verdana"/>
          <w:lang w:val="es-ES_tradnl"/>
        </w:rPr>
        <w:t xml:space="preserve">nte la cuestión relativa a si debe demostrarse que los principios penales </w:t>
      </w:r>
      <w:r w:rsidR="00B12262">
        <w:rPr>
          <w:rFonts w:ascii="Verdana" w:hAnsi="Verdana"/>
          <w:lang w:val="es-ES_tradnl"/>
        </w:rPr>
        <w:t>han de</w:t>
      </w:r>
      <w:r w:rsidR="000E1C5F">
        <w:rPr>
          <w:rFonts w:ascii="Verdana" w:hAnsi="Verdana"/>
          <w:lang w:val="es-ES_tradnl"/>
        </w:rPr>
        <w:t xml:space="preserve"> mantenerse o cambiarse en otro ámbito punitivo, por las razones expuestas con anterioridad me inclino por partir de la primera idea.</w:t>
      </w:r>
      <w:r w:rsidR="000D7965">
        <w:rPr>
          <w:rFonts w:ascii="Verdana" w:hAnsi="Verdana"/>
          <w:lang w:val="es-ES_tradnl"/>
        </w:rPr>
        <w:t xml:space="preserve"> Los principios penales apuntan a resolver situaciones que probablemente guardan parecido con las de otros escenarios en que también se manifiesta el </w:t>
      </w:r>
      <w:proofErr w:type="spellStart"/>
      <w:r w:rsidR="000D7965" w:rsidRPr="000D7965">
        <w:rPr>
          <w:rFonts w:ascii="Verdana" w:hAnsi="Verdana"/>
          <w:i/>
          <w:lang w:val="es-ES_tradnl"/>
        </w:rPr>
        <w:t>ius</w:t>
      </w:r>
      <w:proofErr w:type="spellEnd"/>
      <w:r w:rsidR="000D7965" w:rsidRPr="000D7965">
        <w:rPr>
          <w:rFonts w:ascii="Verdana" w:hAnsi="Verdana"/>
          <w:i/>
          <w:lang w:val="es-ES_tradnl"/>
        </w:rPr>
        <w:t xml:space="preserve"> </w:t>
      </w:r>
      <w:proofErr w:type="spellStart"/>
      <w:r w:rsidR="000D7965" w:rsidRPr="000D7965">
        <w:rPr>
          <w:rFonts w:ascii="Verdana" w:hAnsi="Verdana"/>
          <w:i/>
          <w:lang w:val="es-ES_tradnl"/>
        </w:rPr>
        <w:t>puniendi</w:t>
      </w:r>
      <w:proofErr w:type="spellEnd"/>
      <w:r w:rsidR="000D7965">
        <w:rPr>
          <w:rFonts w:ascii="Verdana" w:hAnsi="Verdana"/>
          <w:lang w:val="es-ES_tradnl"/>
        </w:rPr>
        <w:t xml:space="preserve">, por ende también servirían en los últimos si les faltara una regla establecida de modo específico para ellos. </w:t>
      </w:r>
      <w:r w:rsidR="0013582E">
        <w:rPr>
          <w:rFonts w:ascii="Verdana" w:hAnsi="Verdana"/>
          <w:lang w:val="es-ES_tradnl"/>
        </w:rPr>
        <w:t xml:space="preserve">La probabilidad de dicha similitud y la imposibilidad de hacer valer una regla específica cuya existencia se desconoce plantearnos esta cuestión, orilla a adoptar como posición de partida de toda discusión sobre este tema la que señalé: </w:t>
      </w:r>
      <w:r w:rsidR="0013582E" w:rsidRPr="00BC04CC">
        <w:rPr>
          <w:rFonts w:ascii="Verdana" w:hAnsi="Verdana"/>
          <w:b/>
          <w:lang w:val="es-ES_tradnl"/>
        </w:rPr>
        <w:t>en principio, las garantías penales son aplicables sin matices a otros ámbitos sancionadores</w:t>
      </w:r>
      <w:r w:rsidR="0013582E">
        <w:rPr>
          <w:rFonts w:ascii="Verdana" w:hAnsi="Verdana"/>
          <w:lang w:val="es-ES_tradnl"/>
        </w:rPr>
        <w:t>. Y quien tenga interés en afirmar lo contrario, tendrá la carga de justificar su propuesta con argumentos que demuestren que determinados matices o adaptaciones son necesarios</w:t>
      </w:r>
      <w:r w:rsidR="0013582E">
        <w:rPr>
          <w:rStyle w:val="FootnoteReference"/>
          <w:rFonts w:ascii="Verdana" w:hAnsi="Verdana"/>
          <w:lang w:val="es-ES_tradnl"/>
        </w:rPr>
        <w:footnoteReference w:id="99"/>
      </w:r>
      <w:r w:rsidR="00525377">
        <w:rPr>
          <w:rFonts w:ascii="Verdana" w:hAnsi="Verdana"/>
          <w:lang w:val="es-ES_tradnl"/>
        </w:rPr>
        <w:t>.</w:t>
      </w:r>
    </w:p>
    <w:p w14:paraId="783C6C47" w14:textId="77777777" w:rsidR="000D7965" w:rsidRDefault="000D7965" w:rsidP="000E6EDD">
      <w:pPr>
        <w:pStyle w:val="NormalWeb"/>
        <w:spacing w:before="0" w:beforeAutospacing="0" w:after="0" w:afterAutospacing="0"/>
        <w:ind w:firstLine="708"/>
        <w:jc w:val="both"/>
        <w:rPr>
          <w:rFonts w:ascii="Verdana" w:hAnsi="Verdana"/>
          <w:lang w:val="es-ES_tradnl"/>
        </w:rPr>
      </w:pPr>
    </w:p>
    <w:p w14:paraId="7FE68F88" w14:textId="7A31E546" w:rsidR="000178DE"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t>58</w:t>
      </w:r>
      <w:r w:rsidR="00B12262">
        <w:rPr>
          <w:rFonts w:ascii="Verdana" w:hAnsi="Verdana"/>
          <w:lang w:val="es-ES_tradnl"/>
        </w:rPr>
        <w:t>.</w:t>
      </w:r>
      <w:r w:rsidR="00B12262">
        <w:rPr>
          <w:rFonts w:ascii="Verdana" w:hAnsi="Verdana"/>
          <w:lang w:val="es-ES_tradnl"/>
        </w:rPr>
        <w:tab/>
        <w:t xml:space="preserve">Para el </w:t>
      </w:r>
      <w:r w:rsidR="00B12262" w:rsidRPr="00B12262">
        <w:rPr>
          <w:rFonts w:ascii="Verdana" w:hAnsi="Verdana"/>
          <w:b/>
          <w:i/>
          <w:lang w:val="es-ES_tradnl"/>
        </w:rPr>
        <w:t>tercer postulado</w:t>
      </w:r>
      <w:r w:rsidR="00B12262">
        <w:rPr>
          <w:rFonts w:ascii="Verdana" w:hAnsi="Verdana"/>
          <w:lang w:val="es-ES_tradnl"/>
        </w:rPr>
        <w:t xml:space="preserve">, relativo a que los principios del Derecho penal </w:t>
      </w:r>
      <w:r w:rsidR="000178DE">
        <w:rPr>
          <w:rFonts w:ascii="Verdana" w:hAnsi="Verdana"/>
          <w:lang w:val="es-ES_tradnl"/>
        </w:rPr>
        <w:t xml:space="preserve">pueden excepcionalmente </w:t>
      </w:r>
      <w:r w:rsidR="00B12262">
        <w:rPr>
          <w:rFonts w:ascii="Verdana" w:hAnsi="Verdana"/>
          <w:lang w:val="es-ES_tradnl"/>
        </w:rPr>
        <w:t>llevarse “con matices” a otro ámbito sancionador</w:t>
      </w:r>
      <w:r w:rsidR="000178DE">
        <w:rPr>
          <w:rFonts w:ascii="Verdana" w:hAnsi="Verdana"/>
          <w:lang w:val="es-ES_tradnl"/>
        </w:rPr>
        <w:t xml:space="preserve">, conviene recordar el énfasis del </w:t>
      </w:r>
      <w:r w:rsidR="00B12262">
        <w:rPr>
          <w:rFonts w:ascii="Verdana" w:hAnsi="Verdana"/>
          <w:lang w:val="es-ES_tradnl"/>
        </w:rPr>
        <w:t>Tribunal Constitucional español</w:t>
      </w:r>
      <w:r w:rsidR="000178DE">
        <w:rPr>
          <w:rFonts w:ascii="Verdana" w:hAnsi="Verdana"/>
          <w:lang w:val="es-ES_tradnl"/>
        </w:rPr>
        <w:t xml:space="preserve"> en que ello consista </w:t>
      </w:r>
      <w:r w:rsidR="000178DE" w:rsidRPr="00854D51">
        <w:rPr>
          <w:rFonts w:ascii="Verdana" w:hAnsi="Verdana"/>
          <w:i/>
          <w:lang w:val="es-ES_tradnl"/>
        </w:rPr>
        <w:t>en su adaptación y no en su supresión</w:t>
      </w:r>
      <w:r w:rsidR="00854D51">
        <w:rPr>
          <w:rStyle w:val="FootnoteReference"/>
          <w:rFonts w:ascii="Verdana" w:hAnsi="Verdana"/>
          <w:i/>
          <w:lang w:val="es-ES_tradnl"/>
        </w:rPr>
        <w:footnoteReference w:id="100"/>
      </w:r>
      <w:r w:rsidR="000178DE">
        <w:rPr>
          <w:rFonts w:ascii="Verdana" w:hAnsi="Verdana"/>
          <w:lang w:val="es-ES_tradnl"/>
        </w:rPr>
        <w:t xml:space="preserve">, manteniéndose el contenido esencial de dichos principios. Se hallan varios </w:t>
      </w:r>
      <w:r w:rsidR="00854D51">
        <w:rPr>
          <w:rFonts w:ascii="Verdana" w:hAnsi="Verdana"/>
          <w:lang w:val="es-ES_tradnl"/>
        </w:rPr>
        <w:t xml:space="preserve">posibles </w:t>
      </w:r>
      <w:r w:rsidR="000178DE">
        <w:rPr>
          <w:rFonts w:ascii="Verdana" w:hAnsi="Verdana"/>
          <w:lang w:val="es-ES_tradnl"/>
        </w:rPr>
        <w:t>ejemplos de lo anterior</w:t>
      </w:r>
      <w:r w:rsidR="00854D51">
        <w:rPr>
          <w:rFonts w:ascii="Verdana" w:hAnsi="Verdana"/>
          <w:lang w:val="es-ES_tradnl"/>
        </w:rPr>
        <w:t xml:space="preserve"> que expongo sólo con intención ilustrativa, a reserva en cada uno de ellos de un análisis más detenido y pormenorizado que considere sus circunstancias propias</w:t>
      </w:r>
      <w:r w:rsidR="000178DE">
        <w:rPr>
          <w:rFonts w:ascii="Verdana" w:hAnsi="Verdana"/>
          <w:lang w:val="es-ES_tradnl"/>
        </w:rPr>
        <w:t>.</w:t>
      </w:r>
    </w:p>
    <w:p w14:paraId="25221CF9" w14:textId="77777777" w:rsidR="00C2776F" w:rsidRDefault="000178DE" w:rsidP="000E6EDD">
      <w:pPr>
        <w:pStyle w:val="NormalWeb"/>
        <w:spacing w:before="0" w:beforeAutospacing="0" w:after="0" w:afterAutospacing="0"/>
        <w:jc w:val="both"/>
        <w:rPr>
          <w:rFonts w:ascii="Verdana" w:hAnsi="Verdana"/>
          <w:lang w:val="es-ES_tradnl"/>
        </w:rPr>
      </w:pPr>
      <w:r>
        <w:rPr>
          <w:rFonts w:ascii="Verdana" w:hAnsi="Verdana"/>
          <w:lang w:val="es-ES_tradnl"/>
        </w:rPr>
        <w:tab/>
      </w:r>
    </w:p>
    <w:p w14:paraId="58D867A9" w14:textId="7D8503ED" w:rsidR="009A6F33"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t>59.</w:t>
      </w:r>
      <w:r>
        <w:rPr>
          <w:rFonts w:ascii="Verdana" w:hAnsi="Verdana"/>
          <w:lang w:val="es-ES_tradnl"/>
        </w:rPr>
        <w:tab/>
      </w:r>
      <w:r w:rsidR="000178DE">
        <w:rPr>
          <w:rFonts w:ascii="Verdana" w:hAnsi="Verdana"/>
          <w:lang w:val="es-ES_tradnl"/>
        </w:rPr>
        <w:t xml:space="preserve">El principio de </w:t>
      </w:r>
      <w:r w:rsidR="000178DE" w:rsidRPr="009A6F33">
        <w:rPr>
          <w:rFonts w:ascii="Verdana" w:hAnsi="Verdana"/>
          <w:i/>
          <w:lang w:val="es-ES_tradnl"/>
        </w:rPr>
        <w:t>legalidad punitiva</w:t>
      </w:r>
      <w:r w:rsidR="000178DE">
        <w:rPr>
          <w:rFonts w:ascii="Verdana" w:hAnsi="Verdana"/>
          <w:lang w:val="es-ES_tradnl"/>
        </w:rPr>
        <w:t xml:space="preserve"> prescribe que los delitos, y por ende las faltas administrativas, habrán de ser establecidas por una ley en sentido formal y material. Sin embargo, respecto de las infracciones administrativas el Tribunal Constitucional español ha reconocido la posibilidad de una “colaboración reglamentaria” en la precisi</w:t>
      </w:r>
      <w:r w:rsidR="00563027">
        <w:rPr>
          <w:rFonts w:ascii="Verdana" w:hAnsi="Verdana"/>
          <w:lang w:val="es-ES_tradnl"/>
        </w:rPr>
        <w:t>ón de dichas faltas</w:t>
      </w:r>
      <w:r w:rsidR="00854D51">
        <w:rPr>
          <w:rStyle w:val="FootnoteReference"/>
          <w:rFonts w:ascii="Verdana" w:hAnsi="Verdana"/>
          <w:lang w:val="es-ES_tradnl"/>
        </w:rPr>
        <w:footnoteReference w:id="101"/>
      </w:r>
      <w:r w:rsidR="00563027">
        <w:rPr>
          <w:rFonts w:ascii="Verdana" w:hAnsi="Verdana"/>
          <w:lang w:val="es-ES_tradnl"/>
        </w:rPr>
        <w:t>.</w:t>
      </w:r>
      <w:r w:rsidR="00854D51">
        <w:rPr>
          <w:rFonts w:ascii="Verdana" w:hAnsi="Verdana"/>
          <w:lang w:val="es-ES_tradnl"/>
        </w:rPr>
        <w:t xml:space="preserve"> </w:t>
      </w:r>
      <w:r w:rsidR="006B49A4">
        <w:rPr>
          <w:rFonts w:ascii="Verdana" w:hAnsi="Verdana"/>
          <w:lang w:val="es-ES_tradnl"/>
        </w:rPr>
        <w:t>En una sentencia previamente invocada, este órgano jurisdiccional señaló que se halla prohibida una regulación administrativa</w:t>
      </w:r>
      <w:r w:rsidR="006B49A4" w:rsidRPr="006B49A4">
        <w:rPr>
          <w:rFonts w:ascii="Verdana" w:hAnsi="Verdana"/>
          <w:lang w:val="es-ES_tradnl"/>
        </w:rPr>
        <w:t xml:space="preserve"> </w:t>
      </w:r>
      <w:r w:rsidR="006B49A4">
        <w:rPr>
          <w:rFonts w:ascii="Verdana" w:hAnsi="Verdana"/>
          <w:lang w:val="es-ES_tradnl"/>
        </w:rPr>
        <w:t>autónoma, carente de subordinación a la ley, de los tipos de infracción administrativa y de sus sanciones; pero admitiendo la “colaboración reglamentaria en la normativa sancionatoria”, entendida como “</w:t>
      </w:r>
      <w:r w:rsidR="006B49A4" w:rsidRPr="006B49A4">
        <w:rPr>
          <w:rFonts w:ascii="Verdana" w:hAnsi="Verdana"/>
          <w:lang w:val="es-ES_tradnl"/>
        </w:rPr>
        <w:t xml:space="preserve">el desarrollo y </w:t>
      </w:r>
      <w:r w:rsidR="006B49A4" w:rsidRPr="006B49A4">
        <w:rPr>
          <w:rFonts w:ascii="Verdana" w:hAnsi="Verdana"/>
          <w:lang w:val="es-ES_tradnl"/>
        </w:rPr>
        <w:lastRenderedPageBreak/>
        <w:t>precisión de los tipos de infracciones previamente establecidos por la Ley</w:t>
      </w:r>
      <w:r w:rsidR="006B49A4">
        <w:rPr>
          <w:rFonts w:ascii="Verdana" w:hAnsi="Verdana"/>
          <w:lang w:val="es-ES_tradnl"/>
        </w:rPr>
        <w:t>”</w:t>
      </w:r>
      <w:r w:rsidR="006B49A4">
        <w:rPr>
          <w:rStyle w:val="FootnoteReference"/>
          <w:rFonts w:ascii="Verdana" w:hAnsi="Verdana"/>
          <w:lang w:val="es-ES_tradnl"/>
        </w:rPr>
        <w:footnoteReference w:id="102"/>
      </w:r>
      <w:r w:rsidR="00CD1364">
        <w:rPr>
          <w:rFonts w:ascii="Verdana" w:hAnsi="Verdana"/>
          <w:lang w:val="es-ES_tradnl"/>
        </w:rPr>
        <w:t>. Hay aquí un claro relajamiento del principio de legalidad punitiva al impactar en el ámbito administrativo, lo que se da particularmente con las llamadas “relaciones de sujeción especial”</w:t>
      </w:r>
      <w:r w:rsidR="00CD1364">
        <w:rPr>
          <w:rStyle w:val="FootnoteReference"/>
          <w:rFonts w:ascii="Verdana" w:hAnsi="Verdana"/>
          <w:lang w:val="es-ES_tradnl"/>
        </w:rPr>
        <w:footnoteReference w:id="103"/>
      </w:r>
      <w:r w:rsidR="00CD1364">
        <w:rPr>
          <w:rFonts w:ascii="Verdana" w:hAnsi="Verdana"/>
          <w:lang w:val="es-ES_tradnl"/>
        </w:rPr>
        <w:t>.</w:t>
      </w:r>
    </w:p>
    <w:p w14:paraId="70553FC1" w14:textId="77777777" w:rsidR="00C2776F" w:rsidRDefault="00057280" w:rsidP="000E6EDD">
      <w:pPr>
        <w:pStyle w:val="NormalWeb"/>
        <w:spacing w:before="0" w:beforeAutospacing="0" w:after="0" w:afterAutospacing="0"/>
        <w:jc w:val="both"/>
        <w:rPr>
          <w:rFonts w:ascii="Verdana" w:hAnsi="Verdana"/>
          <w:lang w:val="es-ES_tradnl"/>
        </w:rPr>
      </w:pPr>
      <w:r>
        <w:rPr>
          <w:rFonts w:ascii="Verdana" w:hAnsi="Verdana"/>
          <w:lang w:val="es-ES_tradnl"/>
        </w:rPr>
        <w:tab/>
      </w:r>
    </w:p>
    <w:p w14:paraId="1922595B" w14:textId="41A587FE" w:rsidR="00B12262"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t>60.</w:t>
      </w:r>
      <w:r>
        <w:rPr>
          <w:rFonts w:ascii="Verdana" w:hAnsi="Verdana"/>
          <w:lang w:val="es-ES_tradnl"/>
        </w:rPr>
        <w:tab/>
      </w:r>
      <w:r w:rsidR="00057280">
        <w:rPr>
          <w:rFonts w:ascii="Verdana" w:hAnsi="Verdana"/>
          <w:lang w:val="es-ES_tradnl"/>
        </w:rPr>
        <w:t xml:space="preserve">Un ejemplo difícil, pero por lo mismo ilustrativo, corresponde a los principios de </w:t>
      </w:r>
      <w:r w:rsidR="00057280" w:rsidRPr="009A6F33">
        <w:rPr>
          <w:rFonts w:ascii="Verdana" w:hAnsi="Verdana"/>
          <w:i/>
          <w:lang w:val="es-ES_tradnl"/>
        </w:rPr>
        <w:t>independencia e imparcialidad judiciales</w:t>
      </w:r>
      <w:r w:rsidR="00057280">
        <w:rPr>
          <w:rFonts w:ascii="Verdana" w:hAnsi="Verdana"/>
          <w:lang w:val="es-ES_tradnl"/>
        </w:rPr>
        <w:t xml:space="preserve">, que </w:t>
      </w:r>
      <w:r w:rsidR="00057280" w:rsidRPr="009A6F33">
        <w:rPr>
          <w:rFonts w:ascii="Verdana" w:hAnsi="Verdana"/>
          <w:i/>
          <w:lang w:val="es-ES_tradnl"/>
        </w:rPr>
        <w:t>prima facie</w:t>
      </w:r>
      <w:r w:rsidR="00057280">
        <w:rPr>
          <w:rFonts w:ascii="Verdana" w:hAnsi="Verdana"/>
          <w:lang w:val="es-ES_tradnl"/>
        </w:rPr>
        <w:t xml:space="preserve"> no parecen poder </w:t>
      </w:r>
      <w:r w:rsidR="000E337A">
        <w:rPr>
          <w:rFonts w:ascii="Verdana" w:hAnsi="Verdana"/>
          <w:lang w:val="es-ES_tradnl"/>
        </w:rPr>
        <w:t xml:space="preserve">ser trasladados </w:t>
      </w:r>
      <w:r w:rsidR="00057280">
        <w:rPr>
          <w:rFonts w:ascii="Verdana" w:hAnsi="Verdana"/>
          <w:lang w:val="es-ES_tradnl"/>
        </w:rPr>
        <w:t xml:space="preserve">al ámbito </w:t>
      </w:r>
      <w:r w:rsidR="00130E80">
        <w:rPr>
          <w:rFonts w:ascii="Verdana" w:hAnsi="Verdana"/>
          <w:lang w:val="es-ES_tradnl"/>
        </w:rPr>
        <w:t>de la Administración</w:t>
      </w:r>
      <w:r w:rsidR="009A6F33">
        <w:rPr>
          <w:rStyle w:val="FootnoteReference"/>
          <w:rFonts w:ascii="Verdana" w:hAnsi="Verdana"/>
          <w:lang w:val="es-ES_tradnl"/>
        </w:rPr>
        <w:footnoteReference w:id="104"/>
      </w:r>
      <w:r w:rsidR="00CA4519">
        <w:rPr>
          <w:rFonts w:ascii="Verdana" w:hAnsi="Verdana"/>
          <w:lang w:val="es-ES_tradnl"/>
        </w:rPr>
        <w:t>,</w:t>
      </w:r>
      <w:r w:rsidR="00057280">
        <w:rPr>
          <w:rFonts w:ascii="Verdana" w:hAnsi="Verdana"/>
          <w:lang w:val="es-ES_tradnl"/>
        </w:rPr>
        <w:t xml:space="preserve"> caracterizado por una clara y rígida dependencia jerárquica que supone la ausencia del primer principio y un gran riesgo para el segundo, y </w:t>
      </w:r>
      <w:r w:rsidR="00130E80">
        <w:rPr>
          <w:rFonts w:ascii="Verdana" w:hAnsi="Verdana"/>
          <w:lang w:val="es-ES_tradnl"/>
        </w:rPr>
        <w:t xml:space="preserve">a la cual además naturalmente le corresponde resolver con </w:t>
      </w:r>
      <w:r w:rsidR="00026CBA">
        <w:rPr>
          <w:rFonts w:ascii="Verdana" w:hAnsi="Verdana"/>
          <w:lang w:val="es-ES_tradnl"/>
        </w:rPr>
        <w:t xml:space="preserve">miras a </w:t>
      </w:r>
      <w:r w:rsidR="00130E80">
        <w:rPr>
          <w:rFonts w:ascii="Verdana" w:hAnsi="Verdana"/>
          <w:lang w:val="es-ES_tradnl"/>
        </w:rPr>
        <w:t>satisfacer un interés general, siendo intérprete de este interés “y, al propio tiempo, parte del procedimiento y árbitro del mismo”</w:t>
      </w:r>
      <w:r w:rsidR="00130E80">
        <w:rPr>
          <w:rStyle w:val="FootnoteReference"/>
          <w:rFonts w:ascii="Verdana" w:hAnsi="Verdana"/>
          <w:lang w:val="es-ES_tradnl"/>
        </w:rPr>
        <w:footnoteReference w:id="105"/>
      </w:r>
      <w:r w:rsidR="00057280">
        <w:rPr>
          <w:rFonts w:ascii="Verdana" w:hAnsi="Verdana"/>
          <w:lang w:val="es-ES_tradnl"/>
        </w:rPr>
        <w:t xml:space="preserve">. En efecto, </w:t>
      </w:r>
      <w:r w:rsidR="00D35811">
        <w:rPr>
          <w:rFonts w:ascii="Verdana" w:hAnsi="Verdana"/>
          <w:lang w:val="es-ES_tradnl"/>
        </w:rPr>
        <w:t>parece</w:t>
      </w:r>
      <w:r w:rsidR="0064148D">
        <w:rPr>
          <w:rFonts w:ascii="Verdana" w:hAnsi="Verdana"/>
          <w:lang w:val="es-ES_tradnl"/>
        </w:rPr>
        <w:t xml:space="preserve"> inevitable renunciar a implementar estos principios en el Derecho administrativo sancionador; pero con una firme intención de dar alguna eficacia a esos valores, </w:t>
      </w:r>
      <w:r w:rsidR="00D35811">
        <w:rPr>
          <w:rFonts w:ascii="Verdana" w:hAnsi="Verdana"/>
          <w:lang w:val="es-ES_tradnl"/>
        </w:rPr>
        <w:t>como dispone</w:t>
      </w:r>
      <w:r w:rsidR="0064148D">
        <w:rPr>
          <w:rFonts w:ascii="Verdana" w:hAnsi="Verdana"/>
          <w:lang w:val="es-ES_tradnl"/>
        </w:rPr>
        <w:t xml:space="preserve"> el artículo 2 del Pacto de San José obliga al “</w:t>
      </w:r>
      <w:r w:rsidR="0064148D" w:rsidRPr="0064148D">
        <w:rPr>
          <w:rFonts w:ascii="Verdana" w:hAnsi="Verdana"/>
          <w:lang w:val="es-ES_tradnl"/>
        </w:rPr>
        <w:t>desarrollo de prácticas conducentes a la efectiva</w:t>
      </w:r>
      <w:r w:rsidR="0064148D">
        <w:rPr>
          <w:rFonts w:ascii="Verdana" w:hAnsi="Verdana"/>
          <w:lang w:val="es-ES_tradnl"/>
        </w:rPr>
        <w:t xml:space="preserve"> o</w:t>
      </w:r>
      <w:r w:rsidR="0064148D" w:rsidRPr="0064148D">
        <w:rPr>
          <w:rFonts w:ascii="Verdana" w:hAnsi="Verdana"/>
          <w:lang w:val="es-ES_tradnl"/>
        </w:rPr>
        <w:t>bservancia de dichas garantías</w:t>
      </w:r>
      <w:r w:rsidR="0064148D">
        <w:rPr>
          <w:rFonts w:ascii="Verdana" w:hAnsi="Verdana"/>
          <w:lang w:val="es-ES_tradnl"/>
        </w:rPr>
        <w:t>”</w:t>
      </w:r>
      <w:r w:rsidR="0064148D">
        <w:rPr>
          <w:rStyle w:val="FootnoteReference"/>
          <w:rFonts w:ascii="Verdana" w:hAnsi="Verdana"/>
          <w:lang w:val="es-ES_tradnl"/>
        </w:rPr>
        <w:footnoteReference w:id="106"/>
      </w:r>
      <w:r w:rsidR="00D35811">
        <w:rPr>
          <w:rFonts w:ascii="Verdana" w:hAnsi="Verdana"/>
          <w:lang w:val="es-ES_tradnl"/>
        </w:rPr>
        <w:t xml:space="preserve">, pueden hallarse soluciones creativas que tiendan a lograr los </w:t>
      </w:r>
      <w:r w:rsidR="005D6360" w:rsidRPr="008641EB">
        <w:rPr>
          <w:rFonts w:ascii="Verdana" w:hAnsi="Verdana"/>
          <w:i/>
          <w:lang w:val="es-ES_tradnl"/>
        </w:rPr>
        <w:t>fines últimos</w:t>
      </w:r>
      <w:r w:rsidR="005D6360">
        <w:rPr>
          <w:rFonts w:ascii="Verdana" w:hAnsi="Verdana"/>
          <w:lang w:val="es-ES_tradnl"/>
        </w:rPr>
        <w:t xml:space="preserve"> </w:t>
      </w:r>
      <w:r w:rsidR="00D35811">
        <w:rPr>
          <w:rFonts w:ascii="Verdana" w:hAnsi="Verdana"/>
          <w:lang w:val="es-ES_tradnl"/>
        </w:rPr>
        <w:t xml:space="preserve">de aquellos principios. Para ello adquiriría máxima relevancia el principio de </w:t>
      </w:r>
      <w:r w:rsidR="00D35811" w:rsidRPr="00D35811">
        <w:rPr>
          <w:rFonts w:ascii="Verdana" w:hAnsi="Verdana"/>
          <w:i/>
          <w:lang w:val="es-ES_tradnl"/>
        </w:rPr>
        <w:t>buena fe administrativa</w:t>
      </w:r>
      <w:r w:rsidR="00563027">
        <w:rPr>
          <w:rFonts w:ascii="Verdana" w:hAnsi="Verdana"/>
          <w:lang w:val="es-ES_tradnl"/>
        </w:rPr>
        <w:t>, y lo muestra el siguiente ejemplo: una autoridad que al margen de su finalidad preventiva utilice las multas para aumentar la recaudación</w:t>
      </w:r>
      <w:r w:rsidR="00563027">
        <w:rPr>
          <w:rStyle w:val="FootnoteReference"/>
          <w:rFonts w:ascii="Verdana" w:hAnsi="Verdana"/>
          <w:lang w:val="es-ES_tradnl"/>
        </w:rPr>
        <w:footnoteReference w:id="107"/>
      </w:r>
      <w:r w:rsidR="00563027">
        <w:rPr>
          <w:rFonts w:ascii="Verdana" w:hAnsi="Verdana"/>
          <w:lang w:val="es-ES_tradnl"/>
        </w:rPr>
        <w:t xml:space="preserve"> obraría con un designio predeterminado de imputar </w:t>
      </w:r>
      <w:r w:rsidR="00F637FB">
        <w:rPr>
          <w:rFonts w:ascii="Verdana" w:hAnsi="Verdana"/>
          <w:lang w:val="es-ES_tradnl"/>
        </w:rPr>
        <w:t xml:space="preserve">una </w:t>
      </w:r>
      <w:r w:rsidR="00563027">
        <w:rPr>
          <w:rFonts w:ascii="Verdana" w:hAnsi="Verdana"/>
          <w:lang w:val="es-ES_tradnl"/>
        </w:rPr>
        <w:t xml:space="preserve">infracción al administrado, lo que </w:t>
      </w:r>
      <w:r w:rsidR="00F637FB">
        <w:rPr>
          <w:rFonts w:ascii="Verdana" w:hAnsi="Verdana"/>
          <w:lang w:val="es-ES_tradnl"/>
        </w:rPr>
        <w:t xml:space="preserve">supondría </w:t>
      </w:r>
      <w:r w:rsidR="00563027">
        <w:rPr>
          <w:rFonts w:ascii="Verdana" w:hAnsi="Verdana"/>
          <w:lang w:val="es-ES_tradnl"/>
        </w:rPr>
        <w:t xml:space="preserve">un actuar parcial; y el superior jerárquico que ordene a sus subalternos que incurran en esa deslealtad, afectaría la independencia de éstos y su imparcialidad. En estos casos, más que a </w:t>
      </w:r>
      <w:r w:rsidR="00026CBA">
        <w:rPr>
          <w:rFonts w:ascii="Verdana" w:hAnsi="Verdana"/>
          <w:lang w:val="es-ES_tradnl"/>
        </w:rPr>
        <w:t>una</w:t>
      </w:r>
      <w:r w:rsidR="00563027">
        <w:rPr>
          <w:rFonts w:ascii="Verdana" w:hAnsi="Verdana"/>
          <w:lang w:val="es-ES_tradnl"/>
        </w:rPr>
        <w:t xml:space="preserve"> configuración formal que asegure estos principios, difícilmente </w:t>
      </w:r>
      <w:r w:rsidR="00F637FB">
        <w:rPr>
          <w:rFonts w:ascii="Verdana" w:hAnsi="Verdana"/>
          <w:lang w:val="es-ES_tradnl"/>
        </w:rPr>
        <w:t>alcanzables para</w:t>
      </w:r>
      <w:r w:rsidR="00563027">
        <w:rPr>
          <w:rFonts w:ascii="Verdana" w:hAnsi="Verdana"/>
          <w:lang w:val="es-ES_tradnl"/>
        </w:rPr>
        <w:t xml:space="preserve"> la Administración</w:t>
      </w:r>
      <w:r w:rsidR="00026CBA">
        <w:rPr>
          <w:rFonts w:ascii="Verdana" w:hAnsi="Verdana"/>
          <w:lang w:val="es-ES_tradnl"/>
        </w:rPr>
        <w:t xml:space="preserve">, habríamos de estar atentos a que ésta actúe con la máxima objetividad posible, que al cabo es el </w:t>
      </w:r>
      <w:r w:rsidR="00F637FB">
        <w:rPr>
          <w:rFonts w:ascii="Verdana" w:hAnsi="Verdana"/>
          <w:lang w:val="es-ES_tradnl"/>
        </w:rPr>
        <w:t>propósito que los inspira</w:t>
      </w:r>
      <w:r w:rsidR="00026CBA">
        <w:rPr>
          <w:rFonts w:ascii="Verdana" w:hAnsi="Verdana"/>
          <w:lang w:val="es-ES_tradnl"/>
        </w:rPr>
        <w:t>.</w:t>
      </w:r>
    </w:p>
    <w:p w14:paraId="11B8D026" w14:textId="77777777" w:rsidR="00C2776F" w:rsidRDefault="00C2776F" w:rsidP="00C2776F">
      <w:pPr>
        <w:pStyle w:val="NormalWeb"/>
        <w:spacing w:before="0" w:beforeAutospacing="0" w:after="0" w:afterAutospacing="0"/>
        <w:jc w:val="both"/>
        <w:rPr>
          <w:rFonts w:ascii="Verdana" w:hAnsi="Verdana"/>
          <w:lang w:val="es-ES_tradnl"/>
        </w:rPr>
      </w:pPr>
    </w:p>
    <w:p w14:paraId="06339C80" w14:textId="75ADFFA4" w:rsidR="000F2C73" w:rsidRDefault="00C2776F" w:rsidP="00C2776F">
      <w:pPr>
        <w:pStyle w:val="NormalWeb"/>
        <w:spacing w:before="0" w:beforeAutospacing="0" w:after="0" w:afterAutospacing="0"/>
        <w:jc w:val="both"/>
        <w:rPr>
          <w:rFonts w:ascii="Verdana" w:hAnsi="Verdana"/>
          <w:lang w:val="es-ES_tradnl"/>
        </w:rPr>
      </w:pPr>
      <w:r>
        <w:rPr>
          <w:rFonts w:ascii="Verdana" w:hAnsi="Verdana"/>
          <w:lang w:val="es-ES_tradnl"/>
        </w:rPr>
        <w:t xml:space="preserve">61. </w:t>
      </w:r>
      <w:r>
        <w:rPr>
          <w:rFonts w:ascii="Verdana" w:hAnsi="Verdana"/>
          <w:lang w:val="es-ES_tradnl"/>
        </w:rPr>
        <w:tab/>
      </w:r>
      <w:r w:rsidR="000F2C73">
        <w:rPr>
          <w:rFonts w:ascii="Verdana" w:hAnsi="Verdana"/>
          <w:lang w:val="es-ES_tradnl"/>
        </w:rPr>
        <w:t xml:space="preserve">En cambio, la </w:t>
      </w:r>
      <w:r w:rsidR="000F2C73" w:rsidRPr="000F2C73">
        <w:rPr>
          <w:rFonts w:ascii="Verdana" w:hAnsi="Verdana"/>
          <w:i/>
          <w:lang w:val="es-ES_tradnl"/>
        </w:rPr>
        <w:t>presunción de inocencia</w:t>
      </w:r>
      <w:r w:rsidR="000F2C73">
        <w:rPr>
          <w:rFonts w:ascii="Verdana" w:hAnsi="Verdana"/>
          <w:lang w:val="es-ES_tradnl"/>
        </w:rPr>
        <w:t xml:space="preserve"> —un tema central </w:t>
      </w:r>
      <w:r w:rsidR="00576E6B">
        <w:rPr>
          <w:rFonts w:ascii="Verdana" w:hAnsi="Verdana"/>
          <w:lang w:val="es-ES_tradnl"/>
        </w:rPr>
        <w:t>en el</w:t>
      </w:r>
      <w:r w:rsidR="000F2C73">
        <w:rPr>
          <w:rFonts w:ascii="Verdana" w:hAnsi="Verdana"/>
          <w:lang w:val="es-ES_tradnl"/>
        </w:rPr>
        <w:t xml:space="preserve"> presente caso resuelto por este Tribunal Interamericano— es reacia a adoptar “matices” en ámbitos sancionadores diferentes al penal. Si a una persona no se le presume inocente —en los amplios términos con que lo ha establecido esta Corte</w:t>
      </w:r>
      <w:r w:rsidR="000B6820">
        <w:rPr>
          <w:rFonts w:ascii="Verdana" w:hAnsi="Verdana"/>
          <w:lang w:val="es-ES_tradnl"/>
        </w:rPr>
        <w:t xml:space="preserve"> IDH</w:t>
      </w:r>
      <w:r w:rsidR="000F2C73">
        <w:rPr>
          <w:rFonts w:ascii="Verdana" w:hAnsi="Verdana"/>
          <w:lang w:val="es-ES_tradnl"/>
        </w:rPr>
        <w:t xml:space="preserve">— de una conducta irregular, se le tiene que presumir culpable; no hay término medio, porque estamos hablando también de un “dato” argumentativo que sirve de punto de partida para el debate que tendrá efecto en el procedimiento, el cual resulta indispensable a éste. Excluir la presunción de inocencia de los ámbitos sancionadores </w:t>
      </w:r>
      <w:r w:rsidR="00B317C1">
        <w:rPr>
          <w:rFonts w:ascii="Verdana" w:hAnsi="Verdana"/>
          <w:lang w:val="es-ES_tradnl"/>
        </w:rPr>
        <w:t xml:space="preserve">y obligar no a quien atribuya una responsabilidad a alguien la demuestre, sino que el imputado sea quien deba acreditar hallarse libre de ella, siempre origina un gran riesgo de arbitrariedad y propicia condiciones </w:t>
      </w:r>
      <w:r w:rsidR="00B317C1" w:rsidRPr="00B317C1">
        <w:rPr>
          <w:rFonts w:ascii="Verdana" w:hAnsi="Verdana"/>
          <w:i/>
          <w:lang w:val="es-ES_tradnl"/>
        </w:rPr>
        <w:t>verdaderamente tiránicas</w:t>
      </w:r>
      <w:r w:rsidR="00B317C1">
        <w:rPr>
          <w:rFonts w:ascii="Verdana" w:hAnsi="Verdana"/>
          <w:lang w:val="es-ES_tradnl"/>
        </w:rPr>
        <w:t>, por completo ajenas a la sociedad democrática que la Convención A</w:t>
      </w:r>
      <w:r w:rsidR="00DF019F">
        <w:rPr>
          <w:rFonts w:ascii="Verdana" w:hAnsi="Verdana"/>
          <w:lang w:val="es-ES_tradnl"/>
        </w:rPr>
        <w:t xml:space="preserve">mericana </w:t>
      </w:r>
      <w:r w:rsidR="00B317C1">
        <w:rPr>
          <w:rFonts w:ascii="Verdana" w:hAnsi="Verdana"/>
          <w:lang w:val="es-ES_tradnl"/>
        </w:rPr>
        <w:t>promueve</w:t>
      </w:r>
      <w:r w:rsidR="00B317C1">
        <w:rPr>
          <w:rStyle w:val="FootnoteReference"/>
          <w:rFonts w:ascii="Verdana" w:hAnsi="Verdana"/>
          <w:lang w:val="es-ES_tradnl"/>
        </w:rPr>
        <w:footnoteReference w:id="108"/>
      </w:r>
      <w:r w:rsidR="00B317C1">
        <w:rPr>
          <w:rFonts w:ascii="Verdana" w:hAnsi="Verdana"/>
          <w:lang w:val="es-ES_tradnl"/>
        </w:rPr>
        <w:t>.</w:t>
      </w:r>
    </w:p>
    <w:p w14:paraId="648424BA" w14:textId="77777777" w:rsidR="006648FF" w:rsidRDefault="006648FF" w:rsidP="00C2776F">
      <w:pPr>
        <w:pStyle w:val="NormalWeb"/>
        <w:spacing w:before="0" w:beforeAutospacing="0" w:after="0" w:afterAutospacing="0"/>
        <w:jc w:val="both"/>
        <w:rPr>
          <w:rFonts w:ascii="Verdana" w:hAnsi="Verdana"/>
          <w:lang w:val="es-ES_tradnl"/>
        </w:rPr>
      </w:pPr>
    </w:p>
    <w:p w14:paraId="19DC0414" w14:textId="4149AA62" w:rsidR="00026CBA"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t>62.</w:t>
      </w:r>
      <w:r>
        <w:rPr>
          <w:rFonts w:ascii="Verdana" w:hAnsi="Verdana"/>
          <w:lang w:val="es-ES_tradnl"/>
        </w:rPr>
        <w:tab/>
      </w:r>
      <w:r w:rsidR="00026CBA">
        <w:rPr>
          <w:rFonts w:ascii="Verdana" w:hAnsi="Verdana"/>
          <w:lang w:val="es-ES_tradnl"/>
        </w:rPr>
        <w:t>Con los anteriores ejemplos podemos ver que sí es posible trasladar los principios del Derecho penal al administrativo sancionador, no suprimirlos, hallando la manera en que pueden tener cabida en él con la flexibilidad y la agilidad que requiere la Administración, o en cualquier otro de acuerdo con las peculiaridades de la materia de que se trate.</w:t>
      </w:r>
    </w:p>
    <w:p w14:paraId="4112E3E4" w14:textId="77777777" w:rsidR="000D7965" w:rsidRDefault="000D7965" w:rsidP="00C47813">
      <w:pPr>
        <w:pStyle w:val="NormalWeb"/>
        <w:spacing w:before="0" w:beforeAutospacing="0" w:after="0" w:afterAutospacing="0"/>
        <w:jc w:val="both"/>
        <w:rPr>
          <w:rFonts w:ascii="Verdana" w:hAnsi="Verdana"/>
          <w:lang w:val="es-ES_tradnl"/>
        </w:rPr>
      </w:pPr>
    </w:p>
    <w:p w14:paraId="59FC5D1C" w14:textId="1F3BD7F7" w:rsidR="00CB08B4" w:rsidRDefault="00C2776F" w:rsidP="000E6EDD">
      <w:pPr>
        <w:pStyle w:val="NormalWeb"/>
        <w:spacing w:before="0" w:beforeAutospacing="0" w:after="0" w:afterAutospacing="0"/>
        <w:jc w:val="both"/>
        <w:rPr>
          <w:rFonts w:ascii="Verdana" w:hAnsi="Verdana"/>
          <w:lang w:val="es-ES_tradnl"/>
        </w:rPr>
      </w:pPr>
      <w:r>
        <w:rPr>
          <w:rFonts w:ascii="Verdana" w:hAnsi="Verdana"/>
          <w:lang w:val="es-ES_tradnl"/>
        </w:rPr>
        <w:lastRenderedPageBreak/>
        <w:t>63</w:t>
      </w:r>
      <w:r w:rsidR="00026CBA">
        <w:rPr>
          <w:rFonts w:ascii="Verdana" w:hAnsi="Verdana"/>
          <w:lang w:val="es-ES_tradnl"/>
        </w:rPr>
        <w:t>.</w:t>
      </w:r>
      <w:r w:rsidR="00026CBA">
        <w:rPr>
          <w:rFonts w:ascii="Verdana" w:hAnsi="Verdana"/>
          <w:lang w:val="es-ES_tradnl"/>
        </w:rPr>
        <w:tab/>
        <w:t xml:space="preserve">Finalmente, el </w:t>
      </w:r>
      <w:r w:rsidR="00026CBA" w:rsidRPr="00026CBA">
        <w:rPr>
          <w:rFonts w:ascii="Verdana" w:hAnsi="Verdana"/>
          <w:b/>
          <w:i/>
          <w:lang w:val="es-ES_tradnl"/>
        </w:rPr>
        <w:t>cuarto postulado</w:t>
      </w:r>
      <w:r w:rsidR="00026CBA">
        <w:rPr>
          <w:rFonts w:ascii="Verdana" w:hAnsi="Verdana"/>
          <w:lang w:val="es-ES_tradnl"/>
        </w:rPr>
        <w:t xml:space="preserve"> se refiere al parámetro que debe usarse para determinar si es necesario atemperar un principio penal que busca llevarse a otra materia sancionadora, y en su caso el grado con que debe hacerse. Se trata de un ejercicio de </w:t>
      </w:r>
      <w:r w:rsidR="00026CBA" w:rsidRPr="00F416F0">
        <w:rPr>
          <w:rFonts w:ascii="Verdana" w:hAnsi="Verdana"/>
          <w:i/>
          <w:lang w:val="es-ES_tradnl"/>
        </w:rPr>
        <w:t>ponderaci</w:t>
      </w:r>
      <w:r w:rsidR="00F416F0" w:rsidRPr="00F416F0">
        <w:rPr>
          <w:rFonts w:ascii="Verdana" w:hAnsi="Verdana"/>
          <w:i/>
          <w:lang w:val="es-ES_tradnl"/>
        </w:rPr>
        <w:t>ón</w:t>
      </w:r>
      <w:r w:rsidR="00F416F0">
        <w:rPr>
          <w:rFonts w:ascii="Verdana" w:hAnsi="Verdana"/>
          <w:lang w:val="es-ES_tradnl"/>
        </w:rPr>
        <w:t xml:space="preserve">, o mejor un juicio de </w:t>
      </w:r>
      <w:r w:rsidR="00F416F0" w:rsidRPr="00F416F0">
        <w:rPr>
          <w:rFonts w:ascii="Verdana" w:hAnsi="Verdana"/>
          <w:i/>
          <w:lang w:val="es-ES_tradnl"/>
        </w:rPr>
        <w:t>proporcionalidad</w:t>
      </w:r>
      <w:r w:rsidR="00F416F0">
        <w:rPr>
          <w:rFonts w:ascii="Verdana" w:hAnsi="Verdana"/>
          <w:lang w:val="es-ES_tradnl"/>
        </w:rPr>
        <w:t xml:space="preserve">, que toma en cuenta los bienes jurídicos </w:t>
      </w:r>
      <w:r w:rsidR="003F27FE">
        <w:rPr>
          <w:rFonts w:ascii="Verdana" w:hAnsi="Verdana"/>
          <w:lang w:val="es-ES_tradnl"/>
        </w:rPr>
        <w:t>que entran en</w:t>
      </w:r>
      <w:r w:rsidR="00F416F0">
        <w:rPr>
          <w:rFonts w:ascii="Verdana" w:hAnsi="Verdana"/>
          <w:lang w:val="es-ES_tradnl"/>
        </w:rPr>
        <w:t xml:space="preserve"> </w:t>
      </w:r>
      <w:r w:rsidR="002422A3">
        <w:rPr>
          <w:rFonts w:ascii="Verdana" w:hAnsi="Verdana"/>
          <w:lang w:val="es-ES_tradnl"/>
        </w:rPr>
        <w:t>conflicto</w:t>
      </w:r>
      <w:r w:rsidR="00F416F0">
        <w:rPr>
          <w:rFonts w:ascii="Verdana" w:hAnsi="Verdana"/>
          <w:lang w:val="es-ES_tradnl"/>
        </w:rPr>
        <w:t xml:space="preserve"> y la intensidad con que recíprocamente</w:t>
      </w:r>
      <w:r w:rsidR="003F27FE" w:rsidRPr="003F27FE">
        <w:rPr>
          <w:rFonts w:ascii="Verdana" w:hAnsi="Verdana"/>
          <w:lang w:val="es-ES_tradnl"/>
        </w:rPr>
        <w:t xml:space="preserve"> </w:t>
      </w:r>
      <w:r w:rsidR="003F27FE">
        <w:rPr>
          <w:rFonts w:ascii="Verdana" w:hAnsi="Verdana"/>
          <w:lang w:val="es-ES_tradnl"/>
        </w:rPr>
        <w:t>se afectan</w:t>
      </w:r>
      <w:r w:rsidR="00F416F0">
        <w:rPr>
          <w:rFonts w:ascii="Verdana" w:hAnsi="Verdana"/>
          <w:lang w:val="es-ES_tradnl"/>
        </w:rPr>
        <w:t xml:space="preserve">, que </w:t>
      </w:r>
      <w:r w:rsidR="003F27FE">
        <w:rPr>
          <w:rFonts w:ascii="Verdana" w:hAnsi="Verdana"/>
          <w:lang w:val="es-ES_tradnl"/>
        </w:rPr>
        <w:t>no</w:t>
      </w:r>
      <w:r w:rsidR="00F416F0">
        <w:rPr>
          <w:rFonts w:ascii="Verdana" w:hAnsi="Verdana"/>
          <w:lang w:val="es-ES_tradnl"/>
        </w:rPr>
        <w:t xml:space="preserve"> </w:t>
      </w:r>
      <w:r w:rsidR="003F27FE">
        <w:rPr>
          <w:rFonts w:ascii="Verdana" w:hAnsi="Verdana"/>
          <w:lang w:val="es-ES_tradnl"/>
        </w:rPr>
        <w:t>es</w:t>
      </w:r>
      <w:r w:rsidR="00F416F0">
        <w:rPr>
          <w:rFonts w:ascii="Verdana" w:hAnsi="Verdana"/>
          <w:lang w:val="es-ES_tradnl"/>
        </w:rPr>
        <w:t xml:space="preserve"> extraño para este Tribunal Interamericano</w:t>
      </w:r>
      <w:r w:rsidR="00F416F0">
        <w:rPr>
          <w:rStyle w:val="FootnoteReference"/>
          <w:rFonts w:ascii="Verdana" w:hAnsi="Verdana"/>
          <w:lang w:val="es-ES_tradnl"/>
        </w:rPr>
        <w:footnoteReference w:id="109"/>
      </w:r>
      <w:r w:rsidR="00F416F0">
        <w:rPr>
          <w:rFonts w:ascii="Verdana" w:hAnsi="Verdana"/>
          <w:lang w:val="es-ES_tradnl"/>
        </w:rPr>
        <w:t>.</w:t>
      </w:r>
      <w:r w:rsidR="002422A3">
        <w:rPr>
          <w:rFonts w:ascii="Verdana" w:hAnsi="Verdana"/>
          <w:lang w:val="es-ES_tradnl"/>
        </w:rPr>
        <w:t xml:space="preserve"> Un ejemplo claro de lo anterior lo vemos </w:t>
      </w:r>
      <w:r w:rsidR="00CA4519">
        <w:rPr>
          <w:rFonts w:ascii="Verdana" w:hAnsi="Verdana"/>
          <w:lang w:val="es-ES_tradnl"/>
        </w:rPr>
        <w:t xml:space="preserve">en la parte relativa al fallo </w:t>
      </w:r>
      <w:r w:rsidR="002422A3">
        <w:rPr>
          <w:rFonts w:ascii="Verdana" w:hAnsi="Verdana"/>
          <w:lang w:val="es-ES_tradnl"/>
        </w:rPr>
        <w:t>del Tribunal Constitucional español:</w:t>
      </w:r>
    </w:p>
    <w:p w14:paraId="7C386B15" w14:textId="77777777" w:rsidR="002422A3" w:rsidRDefault="002422A3" w:rsidP="000E6EDD">
      <w:pPr>
        <w:pStyle w:val="NormalWeb"/>
        <w:spacing w:before="0" w:beforeAutospacing="0" w:after="0" w:afterAutospacing="0"/>
        <w:jc w:val="both"/>
        <w:rPr>
          <w:rFonts w:ascii="Verdana" w:hAnsi="Verdana"/>
          <w:lang w:val="es-ES_tradnl"/>
        </w:rPr>
      </w:pPr>
    </w:p>
    <w:p w14:paraId="1B70FEC4" w14:textId="04401C86" w:rsidR="002422A3" w:rsidRPr="004E5792" w:rsidRDefault="002422A3" w:rsidP="000E6EDD">
      <w:pPr>
        <w:pStyle w:val="NormalWeb"/>
        <w:spacing w:before="0" w:beforeAutospacing="0" w:after="0" w:afterAutospacing="0"/>
        <w:ind w:left="709"/>
        <w:jc w:val="both"/>
        <w:rPr>
          <w:rFonts w:ascii="Verdana" w:hAnsi="Verdana" w:cstheme="minorBidi"/>
          <w:sz w:val="18"/>
          <w:szCs w:val="18"/>
          <w:lang w:val="es-ES_tradnl"/>
        </w:rPr>
      </w:pPr>
      <w:r w:rsidRPr="004E5792">
        <w:rPr>
          <w:rFonts w:ascii="Verdana" w:hAnsi="Verdana" w:cstheme="minorBidi"/>
          <w:sz w:val="18"/>
          <w:szCs w:val="18"/>
          <w:lang w:val="es-ES_tradnl"/>
        </w:rPr>
        <w:t xml:space="preserve">no es trasladable al ámbito de las infracciones administrativas la interdicción constitucional de la responsabilidad solidaria en el ámbito del Derecho Penal, puesto que </w:t>
      </w:r>
      <w:r w:rsidRPr="004E5792">
        <w:rPr>
          <w:rFonts w:ascii="Verdana" w:hAnsi="Verdana" w:cstheme="minorBidi"/>
          <w:sz w:val="18"/>
          <w:szCs w:val="18"/>
          <w:u w:val="single"/>
          <w:lang w:val="es-ES_tradnl"/>
        </w:rPr>
        <w:t>no es lo mismo responder solidariamente cuando lo que está en juego es la libertad personal […] que hacerlo a través del pago de una cierta suma de dinero</w:t>
      </w:r>
      <w:r w:rsidRPr="004E5792">
        <w:rPr>
          <w:rFonts w:ascii="Verdana" w:hAnsi="Verdana" w:cstheme="minorBidi"/>
          <w:sz w:val="18"/>
          <w:szCs w:val="18"/>
          <w:lang w:val="es-ES_tradnl"/>
        </w:rPr>
        <w:t xml:space="preserve"> en la que se concreta la sanción tributaria, siempre </w:t>
      </w:r>
      <w:proofErr w:type="spellStart"/>
      <w:r w:rsidRPr="004E5792">
        <w:rPr>
          <w:rFonts w:ascii="Verdana" w:hAnsi="Verdana" w:cstheme="minorBidi"/>
          <w:sz w:val="18"/>
          <w:szCs w:val="18"/>
          <w:lang w:val="es-ES_tradnl"/>
        </w:rPr>
        <w:t>prorrateable</w:t>
      </w:r>
      <w:proofErr w:type="spellEnd"/>
      <w:r w:rsidRPr="004E5792">
        <w:rPr>
          <w:rFonts w:ascii="Verdana" w:hAnsi="Verdana" w:cstheme="minorBidi"/>
          <w:sz w:val="18"/>
          <w:szCs w:val="18"/>
          <w:lang w:val="es-ES_tradnl"/>
        </w:rPr>
        <w:t xml:space="preserve"> a posteriori entre los distintos responsables individuales. De ahí la necesidad de tener en cuenta en esta ocasión, como en otras semejantes, que la recepción de los principios constitucionales del orden penal por el Derecho administrativo sancionador no puede hacerse mecánicamente y sin matices, esto es, sin </w:t>
      </w:r>
      <w:r w:rsidRPr="004E5792">
        <w:rPr>
          <w:rFonts w:ascii="Verdana" w:hAnsi="Verdana" w:cstheme="minorBidi"/>
          <w:sz w:val="18"/>
          <w:szCs w:val="18"/>
          <w:u w:val="single"/>
          <w:lang w:val="es-ES_tradnl"/>
        </w:rPr>
        <w:t>ponderar los aspectos que diferencian a uno y otro sector</w:t>
      </w:r>
      <w:r w:rsidRPr="004E5792">
        <w:rPr>
          <w:rFonts w:ascii="Verdana" w:hAnsi="Verdana" w:cstheme="minorBidi"/>
          <w:sz w:val="18"/>
          <w:szCs w:val="18"/>
          <w:lang w:val="es-ES_tradnl"/>
        </w:rPr>
        <w:t xml:space="preserve"> del ordenamiento jurídico</w:t>
      </w:r>
      <w:r w:rsidRPr="004E5792">
        <w:rPr>
          <w:rStyle w:val="FootnoteReference"/>
          <w:rFonts w:ascii="Verdana" w:hAnsi="Verdana" w:cstheme="minorBidi"/>
          <w:sz w:val="18"/>
          <w:szCs w:val="18"/>
          <w:lang w:val="es-ES_tradnl"/>
        </w:rPr>
        <w:footnoteReference w:id="110"/>
      </w:r>
      <w:r w:rsidRPr="004E5792">
        <w:rPr>
          <w:rFonts w:ascii="Verdana" w:hAnsi="Verdana" w:cstheme="minorBidi"/>
          <w:sz w:val="18"/>
          <w:szCs w:val="18"/>
          <w:lang w:val="es-ES_tradnl"/>
        </w:rPr>
        <w:t>.</w:t>
      </w:r>
    </w:p>
    <w:p w14:paraId="4EC7924F" w14:textId="77777777" w:rsidR="00B522A0" w:rsidRDefault="002422A3" w:rsidP="000E6EDD">
      <w:pPr>
        <w:pStyle w:val="NormalWeb"/>
        <w:spacing w:before="0" w:beforeAutospacing="0" w:after="0" w:afterAutospacing="0"/>
        <w:jc w:val="both"/>
        <w:rPr>
          <w:rFonts w:ascii="Verdana" w:hAnsi="Verdana"/>
          <w:lang w:val="es-ES_tradnl"/>
        </w:rPr>
      </w:pPr>
      <w:r>
        <w:rPr>
          <w:rFonts w:ascii="Verdana" w:hAnsi="Verdana"/>
          <w:lang w:val="es-ES_tradnl"/>
        </w:rPr>
        <w:tab/>
      </w:r>
    </w:p>
    <w:p w14:paraId="58EA5BAD" w14:textId="4ABB1217" w:rsidR="002422A3" w:rsidRDefault="00C2776F" w:rsidP="00C2776F">
      <w:pPr>
        <w:pStyle w:val="NormalWeb"/>
        <w:spacing w:before="0" w:beforeAutospacing="0" w:after="0" w:afterAutospacing="0"/>
        <w:jc w:val="both"/>
        <w:rPr>
          <w:rFonts w:ascii="Verdana" w:hAnsi="Verdana"/>
          <w:lang w:val="es-ES_tradnl"/>
        </w:rPr>
      </w:pPr>
      <w:r>
        <w:rPr>
          <w:rFonts w:ascii="Verdana" w:hAnsi="Verdana"/>
          <w:lang w:val="es-ES_tradnl"/>
        </w:rPr>
        <w:t>64.</w:t>
      </w:r>
      <w:r>
        <w:rPr>
          <w:rFonts w:ascii="Verdana" w:hAnsi="Verdana"/>
          <w:lang w:val="es-ES_tradnl"/>
        </w:rPr>
        <w:tab/>
      </w:r>
      <w:r w:rsidR="002422A3">
        <w:rPr>
          <w:rFonts w:ascii="Verdana" w:hAnsi="Verdana"/>
          <w:lang w:val="es-ES_tradnl"/>
        </w:rPr>
        <w:t xml:space="preserve">Por constituir una reducción al absurdo, será más claro nuestro análisis </w:t>
      </w:r>
      <w:r w:rsidR="00B522A0">
        <w:rPr>
          <w:rFonts w:ascii="Verdana" w:hAnsi="Verdana"/>
          <w:lang w:val="es-ES_tradnl"/>
        </w:rPr>
        <w:t>pensando</w:t>
      </w:r>
      <w:r w:rsidR="002422A3">
        <w:rPr>
          <w:rFonts w:ascii="Verdana" w:hAnsi="Verdana"/>
          <w:lang w:val="es-ES_tradnl"/>
        </w:rPr>
        <w:t xml:space="preserve"> que el caso fuera a la inversa de lo que sucedió en el ejemplo señalado: llevar al ámbito penal la obligación </w:t>
      </w:r>
      <w:r w:rsidR="00B522A0">
        <w:rPr>
          <w:rFonts w:ascii="Verdana" w:hAnsi="Verdana"/>
          <w:lang w:val="es-ES_tradnl"/>
        </w:rPr>
        <w:t xml:space="preserve">solidaria de los responsables de una infracción administrativa, lo que implicaría que uno solo de ellos purgara todas las penas de prisión que correspondieran a los demás. Si bien el juicio, test o examen de proporcionalidad </w:t>
      </w:r>
      <w:r w:rsidR="00B522A0" w:rsidRPr="00B522A0">
        <w:rPr>
          <w:rFonts w:ascii="Verdana" w:hAnsi="Verdana"/>
          <w:i/>
          <w:lang w:val="es-ES_tradnl"/>
        </w:rPr>
        <w:t>lato sensu</w:t>
      </w:r>
      <w:r w:rsidR="00B522A0">
        <w:rPr>
          <w:rFonts w:ascii="Verdana" w:hAnsi="Verdana"/>
          <w:lang w:val="es-ES_tradnl"/>
        </w:rPr>
        <w:t xml:space="preserve"> en su más difundida caracterización se refiere a un análisis que se da en fases sucesivas: determinación de un fin legítimo que persiga la medida restrictiva de derechos que se enjuicia, de su idoneidad, de su necesidad y de su proporcionalidad en sentido estricto o “ponderación”</w:t>
      </w:r>
      <w:r w:rsidR="00E0692D">
        <w:rPr>
          <w:rFonts w:ascii="Verdana" w:hAnsi="Verdana"/>
          <w:lang w:val="es-ES_tradnl"/>
        </w:rPr>
        <w:t xml:space="preserve"> como mejor se le conoce</w:t>
      </w:r>
      <w:r w:rsidR="00B522A0">
        <w:rPr>
          <w:rStyle w:val="FootnoteReference"/>
          <w:rFonts w:ascii="Verdana" w:hAnsi="Verdana"/>
          <w:lang w:val="es-ES_tradnl"/>
        </w:rPr>
        <w:footnoteReference w:id="111"/>
      </w:r>
      <w:r w:rsidR="00B522A0">
        <w:rPr>
          <w:rFonts w:ascii="Verdana" w:hAnsi="Verdana"/>
          <w:lang w:val="es-ES_tradnl"/>
        </w:rPr>
        <w:t>; en la práctica, lo más común al analizar la proporcionalidad de una sanción, es decir si resulta un medio estrictamente apegado a la realización de un fin legítimo, es que ella supere las primeras fases de este examen, y su validez se resuelva en la última de ellas</w:t>
      </w:r>
      <w:r w:rsidR="00723CBD">
        <w:rPr>
          <w:rStyle w:val="FootnoteReference"/>
          <w:rFonts w:ascii="Verdana" w:hAnsi="Verdana"/>
          <w:lang w:val="es-ES_tradnl"/>
        </w:rPr>
        <w:footnoteReference w:id="112"/>
      </w:r>
      <w:r w:rsidR="00B522A0">
        <w:rPr>
          <w:rFonts w:ascii="Verdana" w:hAnsi="Verdana"/>
          <w:lang w:val="es-ES_tradnl"/>
        </w:rPr>
        <w:t>.</w:t>
      </w:r>
      <w:r w:rsidR="00723CBD">
        <w:rPr>
          <w:rFonts w:ascii="Verdana" w:hAnsi="Verdana"/>
          <w:lang w:val="es-ES_tradnl"/>
        </w:rPr>
        <w:t xml:space="preserve"> Por eso hablaremos solo de la “ponderación”.</w:t>
      </w:r>
    </w:p>
    <w:p w14:paraId="08E1154D" w14:textId="77777777" w:rsidR="00CF05EB" w:rsidRDefault="00CF05EB" w:rsidP="00CF05EB">
      <w:pPr>
        <w:pStyle w:val="NormalWeb"/>
        <w:spacing w:before="0" w:beforeAutospacing="0" w:after="0" w:afterAutospacing="0"/>
        <w:jc w:val="both"/>
        <w:rPr>
          <w:rFonts w:ascii="Verdana" w:hAnsi="Verdana"/>
          <w:lang w:val="es-ES_tradnl"/>
        </w:rPr>
      </w:pPr>
    </w:p>
    <w:p w14:paraId="33E9274D" w14:textId="3383DB63" w:rsidR="00723CBD" w:rsidRDefault="00CF05EB" w:rsidP="00CF05EB">
      <w:pPr>
        <w:pStyle w:val="NormalWeb"/>
        <w:spacing w:before="0" w:beforeAutospacing="0" w:after="0" w:afterAutospacing="0"/>
        <w:jc w:val="both"/>
        <w:rPr>
          <w:rFonts w:ascii="Verdana" w:hAnsi="Verdana"/>
          <w:lang w:val="es-ES_tradnl"/>
        </w:rPr>
      </w:pPr>
      <w:r>
        <w:rPr>
          <w:rFonts w:ascii="Verdana" w:hAnsi="Verdana"/>
          <w:lang w:val="es-ES_tradnl"/>
        </w:rPr>
        <w:t>65.</w:t>
      </w:r>
      <w:r>
        <w:rPr>
          <w:rFonts w:ascii="Verdana" w:hAnsi="Verdana"/>
          <w:lang w:val="es-ES_tradnl"/>
        </w:rPr>
        <w:tab/>
      </w:r>
      <w:r w:rsidR="00723CBD">
        <w:rPr>
          <w:rFonts w:ascii="Verdana" w:hAnsi="Verdana"/>
          <w:lang w:val="es-ES_tradnl"/>
        </w:rPr>
        <w:t xml:space="preserve">En un </w:t>
      </w:r>
      <w:r w:rsidR="000766E9">
        <w:rPr>
          <w:rFonts w:ascii="Verdana" w:hAnsi="Verdana"/>
          <w:lang w:val="es-ES_tradnl"/>
        </w:rPr>
        <w:t>relevante</w:t>
      </w:r>
      <w:r w:rsidR="00723CBD">
        <w:rPr>
          <w:rFonts w:ascii="Verdana" w:hAnsi="Verdana"/>
          <w:lang w:val="es-ES_tradnl"/>
        </w:rPr>
        <w:t xml:space="preserve"> estudio, Robert Alexy prop</w:t>
      </w:r>
      <w:r w:rsidR="000766E9">
        <w:rPr>
          <w:rFonts w:ascii="Verdana" w:hAnsi="Verdana"/>
          <w:lang w:val="es-ES_tradnl"/>
        </w:rPr>
        <w:t>uso</w:t>
      </w:r>
      <w:r w:rsidR="00723CBD">
        <w:rPr>
          <w:rFonts w:ascii="Verdana" w:hAnsi="Verdana"/>
          <w:lang w:val="es-ES_tradnl"/>
        </w:rPr>
        <w:t xml:space="preserve"> distintos </w:t>
      </w:r>
      <w:r w:rsidR="00E0692D">
        <w:rPr>
          <w:rFonts w:ascii="Verdana" w:hAnsi="Verdana"/>
          <w:lang w:val="es-ES_tradnl"/>
        </w:rPr>
        <w:t>criterios</w:t>
      </w:r>
      <w:r w:rsidR="00723CBD">
        <w:rPr>
          <w:rFonts w:ascii="Verdana" w:hAnsi="Verdana"/>
          <w:lang w:val="es-ES_tradnl"/>
        </w:rPr>
        <w:t xml:space="preserve"> </w:t>
      </w:r>
      <w:r>
        <w:rPr>
          <w:rFonts w:ascii="Verdana" w:hAnsi="Verdana"/>
          <w:lang w:val="es-ES_tradnl"/>
        </w:rPr>
        <w:t>que demuestran la racionalidad de</w:t>
      </w:r>
      <w:r w:rsidR="00723CBD">
        <w:rPr>
          <w:rFonts w:ascii="Verdana" w:hAnsi="Verdana"/>
          <w:lang w:val="es-ES_tradnl"/>
        </w:rPr>
        <w:t xml:space="preserve"> este procedimiento que</w:t>
      </w:r>
      <w:r>
        <w:rPr>
          <w:rFonts w:ascii="Verdana" w:hAnsi="Verdana"/>
          <w:lang w:val="es-ES_tradnl"/>
        </w:rPr>
        <w:t>,</w:t>
      </w:r>
      <w:r w:rsidR="00723CBD">
        <w:rPr>
          <w:rFonts w:ascii="Verdana" w:hAnsi="Verdana"/>
          <w:lang w:val="es-ES_tradnl"/>
        </w:rPr>
        <w:t xml:space="preserve"> a primera vista</w:t>
      </w:r>
      <w:r>
        <w:rPr>
          <w:rFonts w:ascii="Verdana" w:hAnsi="Verdana"/>
          <w:lang w:val="es-ES_tradnl"/>
        </w:rPr>
        <w:t>,</w:t>
      </w:r>
      <w:r w:rsidR="00723CBD">
        <w:rPr>
          <w:rFonts w:ascii="Verdana" w:hAnsi="Verdana"/>
          <w:lang w:val="es-ES_tradnl"/>
        </w:rPr>
        <w:t xml:space="preserve"> </w:t>
      </w:r>
      <w:r>
        <w:rPr>
          <w:rFonts w:ascii="Verdana" w:hAnsi="Verdana"/>
          <w:lang w:val="es-ES_tradnl"/>
        </w:rPr>
        <w:t>no</w:t>
      </w:r>
      <w:r w:rsidR="00723CBD">
        <w:rPr>
          <w:rFonts w:ascii="Verdana" w:hAnsi="Verdana"/>
          <w:lang w:val="es-ES_tradnl"/>
        </w:rPr>
        <w:t xml:space="preserve"> pocos </w:t>
      </w:r>
      <w:r>
        <w:rPr>
          <w:rFonts w:ascii="Verdana" w:hAnsi="Verdana"/>
          <w:lang w:val="es-ES_tradnl"/>
        </w:rPr>
        <w:t xml:space="preserve">tienen por </w:t>
      </w:r>
      <w:r w:rsidR="00723CBD">
        <w:rPr>
          <w:rFonts w:ascii="Verdana" w:hAnsi="Verdana"/>
          <w:lang w:val="es-ES_tradnl"/>
        </w:rPr>
        <w:t>arbitrario</w:t>
      </w:r>
      <w:r w:rsidR="00723CBD">
        <w:rPr>
          <w:rStyle w:val="FootnoteReference"/>
          <w:rFonts w:ascii="Verdana" w:hAnsi="Verdana"/>
          <w:lang w:val="es-ES_tradnl"/>
        </w:rPr>
        <w:footnoteReference w:id="113"/>
      </w:r>
      <w:r w:rsidR="006648FF">
        <w:rPr>
          <w:rFonts w:ascii="Verdana" w:hAnsi="Verdana"/>
          <w:lang w:val="es-ES_tradnl"/>
        </w:rPr>
        <w:t>.</w:t>
      </w:r>
      <w:r w:rsidR="00723CBD">
        <w:rPr>
          <w:rFonts w:ascii="Verdana" w:hAnsi="Verdana"/>
          <w:lang w:val="es-ES_tradnl"/>
        </w:rPr>
        <w:t xml:space="preserve"> Se basa en una comparación de tres diferentes aspectos de la afectación que en el caso particular sufran los principios jurídicos que se confrontan en él</w:t>
      </w:r>
      <w:r w:rsidR="000766E9">
        <w:rPr>
          <w:rFonts w:ascii="Verdana" w:hAnsi="Verdana"/>
          <w:lang w:val="es-ES_tradnl"/>
        </w:rPr>
        <w:t xml:space="preserve">: el grado de intensidad con que cada principio se afecta en el caso particular, la importancia que en abstracto tiene cada uno en el sistema jurídico, y la probabilidad con que </w:t>
      </w:r>
      <w:r w:rsidR="00487115">
        <w:rPr>
          <w:rFonts w:ascii="Verdana" w:hAnsi="Verdana"/>
          <w:lang w:val="es-ES_tradnl"/>
        </w:rPr>
        <w:t xml:space="preserve">aquella afectación </w:t>
      </w:r>
      <w:r w:rsidR="0085005D">
        <w:rPr>
          <w:rFonts w:ascii="Verdana" w:hAnsi="Verdana"/>
          <w:lang w:val="es-ES_tradnl"/>
        </w:rPr>
        <w:t>se producirá</w:t>
      </w:r>
      <w:r w:rsidR="00487115">
        <w:rPr>
          <w:rStyle w:val="FootnoteReference"/>
          <w:rFonts w:ascii="Verdana" w:hAnsi="Verdana"/>
          <w:lang w:val="es-ES_tradnl"/>
        </w:rPr>
        <w:footnoteReference w:id="114"/>
      </w:r>
      <w:r w:rsidR="00487115">
        <w:rPr>
          <w:rFonts w:ascii="Verdana" w:hAnsi="Verdana"/>
          <w:lang w:val="es-ES_tradnl"/>
        </w:rPr>
        <w:t>.</w:t>
      </w:r>
    </w:p>
    <w:p w14:paraId="5B6710EE" w14:textId="77777777" w:rsidR="00CF05EB" w:rsidRDefault="00CF05EB" w:rsidP="00CF05EB">
      <w:pPr>
        <w:pStyle w:val="NormalWeb"/>
        <w:spacing w:before="0" w:beforeAutospacing="0" w:after="0" w:afterAutospacing="0"/>
        <w:jc w:val="both"/>
        <w:rPr>
          <w:rFonts w:ascii="Verdana" w:hAnsi="Verdana"/>
          <w:lang w:val="es-ES_tradnl"/>
        </w:rPr>
      </w:pPr>
    </w:p>
    <w:p w14:paraId="486227D4" w14:textId="3719AC51" w:rsidR="00B522A0" w:rsidRDefault="00CF05EB" w:rsidP="00CF05EB">
      <w:pPr>
        <w:pStyle w:val="NormalWeb"/>
        <w:spacing w:before="0" w:beforeAutospacing="0" w:after="0" w:afterAutospacing="0"/>
        <w:jc w:val="both"/>
        <w:rPr>
          <w:rFonts w:ascii="Verdana" w:hAnsi="Verdana"/>
          <w:lang w:val="es-ES_tradnl"/>
        </w:rPr>
      </w:pPr>
      <w:r>
        <w:rPr>
          <w:rFonts w:ascii="Verdana" w:hAnsi="Verdana"/>
          <w:lang w:val="es-ES_tradnl"/>
        </w:rPr>
        <w:t>66.</w:t>
      </w:r>
      <w:r>
        <w:rPr>
          <w:rFonts w:ascii="Verdana" w:hAnsi="Verdana"/>
          <w:lang w:val="es-ES_tradnl"/>
        </w:rPr>
        <w:tab/>
      </w:r>
      <w:r w:rsidR="00487115">
        <w:rPr>
          <w:rFonts w:ascii="Verdana" w:hAnsi="Verdana"/>
          <w:lang w:val="es-ES_tradnl"/>
        </w:rPr>
        <w:t xml:space="preserve">Aplicando estos parámetros al examen del ejemplo referido —justificar una “responsabilidad penal solidaria”— es fácil concluir que </w:t>
      </w:r>
      <w:r w:rsidR="00487115" w:rsidRPr="00487115">
        <w:rPr>
          <w:rFonts w:ascii="Verdana" w:hAnsi="Verdana"/>
          <w:i/>
          <w:lang w:val="es-ES_tradnl"/>
        </w:rPr>
        <w:t>con toda certeza</w:t>
      </w:r>
      <w:r w:rsidR="00487115">
        <w:rPr>
          <w:rFonts w:ascii="Verdana" w:hAnsi="Verdana"/>
          <w:lang w:val="es-ES_tradnl"/>
        </w:rPr>
        <w:t xml:space="preserve"> esta medida ocasionaría una gravísima afectación a un bien jurídico sumamente importante —la libertad </w:t>
      </w:r>
      <w:r w:rsidR="00487115">
        <w:rPr>
          <w:rFonts w:ascii="Verdana" w:hAnsi="Verdana"/>
          <w:lang w:val="es-ES_tradnl"/>
        </w:rPr>
        <w:lastRenderedPageBreak/>
        <w:t xml:space="preserve">personal—, lo que no se justifica frente a la </w:t>
      </w:r>
      <w:r w:rsidR="00487115" w:rsidRPr="00487115">
        <w:rPr>
          <w:rFonts w:ascii="Verdana" w:hAnsi="Verdana"/>
          <w:i/>
          <w:lang w:val="es-ES_tradnl"/>
        </w:rPr>
        <w:t>meramente posible prevención</w:t>
      </w:r>
      <w:r w:rsidR="00487115">
        <w:rPr>
          <w:rFonts w:ascii="Verdana" w:hAnsi="Verdana"/>
          <w:lang w:val="es-ES_tradnl"/>
        </w:rPr>
        <w:t xml:space="preserve"> de una determinada afectación </w:t>
      </w:r>
      <w:r w:rsidR="001325FD">
        <w:rPr>
          <w:rFonts w:ascii="Verdana" w:hAnsi="Verdana"/>
          <w:lang w:val="es-ES_tradnl"/>
        </w:rPr>
        <w:t>a otro bien jurídico por intensa y relevante que pudiera ser</w:t>
      </w:r>
      <w:r w:rsidR="001325FD">
        <w:rPr>
          <w:rStyle w:val="FootnoteReference"/>
          <w:rFonts w:ascii="Verdana" w:hAnsi="Verdana"/>
          <w:lang w:val="es-ES_tradnl"/>
        </w:rPr>
        <w:footnoteReference w:id="115"/>
      </w:r>
      <w:r w:rsidR="006648FF">
        <w:rPr>
          <w:rFonts w:ascii="Verdana" w:hAnsi="Verdana"/>
          <w:lang w:val="es-ES_tradnl"/>
        </w:rPr>
        <w:t>.</w:t>
      </w:r>
      <w:r w:rsidR="001325FD">
        <w:rPr>
          <w:rFonts w:ascii="Verdana" w:hAnsi="Verdana"/>
          <w:lang w:val="es-ES_tradnl"/>
        </w:rPr>
        <w:t xml:space="preserve"> En cambio, en el caso al que realmente se refirió la sentencia constitucional española aludida, la “responsabilidad solidaria administrativa” se refiere a cierta cantidad de dinero que en abstracto es de menor importancia que la libertad, y su afectación con la intensidad que le imponga la solidaridad será en realidad improbable, pues como advirtió el Tribunal Constitucional, el administrado podría posteriormente prorratear entre los demás responsables ese importe.</w:t>
      </w:r>
    </w:p>
    <w:p w14:paraId="357D5F75" w14:textId="77777777" w:rsidR="00CF05EB" w:rsidRDefault="00CF05EB" w:rsidP="00CF05EB">
      <w:pPr>
        <w:pStyle w:val="NormalWeb"/>
        <w:spacing w:before="0" w:beforeAutospacing="0" w:after="0" w:afterAutospacing="0"/>
        <w:jc w:val="both"/>
        <w:rPr>
          <w:rFonts w:ascii="Verdana" w:hAnsi="Verdana"/>
          <w:lang w:val="es-ES_tradnl"/>
        </w:rPr>
      </w:pPr>
    </w:p>
    <w:p w14:paraId="0A2BC443" w14:textId="3AFDA351" w:rsidR="001325FD" w:rsidRDefault="00CF05EB" w:rsidP="00CF05EB">
      <w:pPr>
        <w:pStyle w:val="NormalWeb"/>
        <w:spacing w:before="0" w:beforeAutospacing="0" w:after="0" w:afterAutospacing="0"/>
        <w:jc w:val="both"/>
        <w:rPr>
          <w:rFonts w:ascii="Verdana" w:hAnsi="Verdana"/>
          <w:lang w:val="es-ES_tradnl"/>
        </w:rPr>
      </w:pPr>
      <w:r>
        <w:rPr>
          <w:rFonts w:ascii="Verdana" w:hAnsi="Verdana"/>
          <w:lang w:val="es-ES_tradnl"/>
        </w:rPr>
        <w:t>67.</w:t>
      </w:r>
      <w:r>
        <w:rPr>
          <w:rFonts w:ascii="Verdana" w:hAnsi="Verdana"/>
          <w:lang w:val="es-ES_tradnl"/>
        </w:rPr>
        <w:tab/>
      </w:r>
      <w:r w:rsidR="001325FD">
        <w:rPr>
          <w:rFonts w:ascii="Verdana" w:hAnsi="Verdana"/>
          <w:lang w:val="es-ES_tradnl"/>
        </w:rPr>
        <w:t>De lo anterior podemos concluir que sí hay parámetros</w:t>
      </w:r>
      <w:r w:rsidR="001902C4">
        <w:rPr>
          <w:rFonts w:ascii="Verdana" w:hAnsi="Verdana"/>
          <w:lang w:val="es-ES_tradnl"/>
        </w:rPr>
        <w:t xml:space="preserve"> objetivos</w:t>
      </w:r>
      <w:r w:rsidR="001325FD">
        <w:rPr>
          <w:rFonts w:ascii="Verdana" w:hAnsi="Verdana"/>
          <w:lang w:val="es-ES_tradnl"/>
        </w:rPr>
        <w:t xml:space="preserve"> que determinen la aplicabilidad de los principios penales al ámbito administrativo sancionador, o bien la validez de </w:t>
      </w:r>
      <w:r w:rsidR="00364BDF">
        <w:rPr>
          <w:rFonts w:ascii="Verdana" w:hAnsi="Verdana"/>
          <w:lang w:val="es-ES_tradnl"/>
        </w:rPr>
        <w:t>su</w:t>
      </w:r>
      <w:r w:rsidR="001325FD">
        <w:rPr>
          <w:rFonts w:ascii="Verdana" w:hAnsi="Verdana"/>
          <w:lang w:val="es-ES_tradnl"/>
        </w:rPr>
        <w:t xml:space="preserve"> adaptación </w:t>
      </w:r>
      <w:r w:rsidR="00364BDF">
        <w:rPr>
          <w:rFonts w:ascii="Verdana" w:hAnsi="Verdana"/>
          <w:lang w:val="es-ES_tradnl"/>
        </w:rPr>
        <w:t>a</w:t>
      </w:r>
      <w:r w:rsidR="001325FD">
        <w:rPr>
          <w:rFonts w:ascii="Verdana" w:hAnsi="Verdana"/>
          <w:lang w:val="es-ES_tradnl"/>
        </w:rPr>
        <w:t xml:space="preserve">l nuevo terreno, aunque requieren la atención detenida </w:t>
      </w:r>
      <w:r w:rsidR="00961472">
        <w:rPr>
          <w:rFonts w:ascii="Verdana" w:hAnsi="Verdana"/>
          <w:lang w:val="es-ES_tradnl"/>
        </w:rPr>
        <w:t>de la autoridad judicial o administrativa</w:t>
      </w:r>
      <w:r w:rsidR="00364BDF">
        <w:rPr>
          <w:rFonts w:ascii="Verdana" w:hAnsi="Verdana"/>
          <w:lang w:val="es-ES_tradnl"/>
        </w:rPr>
        <w:t xml:space="preserve"> para advertir qué elementos son determinantes en su resultado.</w:t>
      </w:r>
    </w:p>
    <w:p w14:paraId="2C6D91CC" w14:textId="77777777" w:rsidR="000B6820" w:rsidRDefault="000B6820" w:rsidP="00457CC3">
      <w:pPr>
        <w:pStyle w:val="NormalWeb"/>
        <w:spacing w:before="0" w:beforeAutospacing="0" w:after="0" w:afterAutospacing="0"/>
        <w:jc w:val="both"/>
        <w:rPr>
          <w:rFonts w:ascii="Verdana" w:hAnsi="Verdana"/>
          <w:lang w:val="es-ES_tradnl"/>
        </w:rPr>
      </w:pPr>
    </w:p>
    <w:p w14:paraId="4F13FC14" w14:textId="3D64CBDA" w:rsidR="00760E18" w:rsidRPr="00A60C23" w:rsidRDefault="00A60C23" w:rsidP="00457CC3">
      <w:pPr>
        <w:ind w:left="709"/>
        <w:jc w:val="both"/>
        <w:outlineLvl w:val="2"/>
        <w:rPr>
          <w:rFonts w:ascii="Verdana" w:eastAsia="Batang" w:hAnsi="Verdana" w:cs="Times"/>
          <w:i/>
          <w:noProof/>
          <w:sz w:val="20"/>
          <w:lang w:eastAsia="en-US"/>
        </w:rPr>
      </w:pPr>
      <w:r>
        <w:rPr>
          <w:rFonts w:ascii="Verdana" w:eastAsia="Batang" w:hAnsi="Verdana" w:cs="Times"/>
          <w:i/>
          <w:noProof/>
          <w:sz w:val="20"/>
          <w:lang w:eastAsia="en-US"/>
        </w:rPr>
        <w:t xml:space="preserve">iv) </w:t>
      </w:r>
      <w:r w:rsidR="00760E18" w:rsidRPr="00A60C23">
        <w:rPr>
          <w:rFonts w:ascii="Verdana" w:eastAsia="Batang" w:hAnsi="Verdana" w:cs="Times"/>
          <w:i/>
          <w:noProof/>
          <w:sz w:val="20"/>
          <w:lang w:eastAsia="en-US"/>
        </w:rPr>
        <w:tab/>
        <w:t xml:space="preserve"> Conclusión: Las garantías penales “en general” aplican a otros órdenes sancionadores, aunque “en lo pertinente” pueden ser objeto de adaptaciones justificadas que demuestren su necesidad</w:t>
      </w:r>
    </w:p>
    <w:p w14:paraId="307E4BD4" w14:textId="77777777" w:rsidR="000B6820" w:rsidRDefault="000B6820" w:rsidP="00760E18">
      <w:pPr>
        <w:pStyle w:val="NormalWeb"/>
        <w:spacing w:before="0" w:beforeAutospacing="0" w:after="0" w:afterAutospacing="0"/>
        <w:jc w:val="both"/>
        <w:rPr>
          <w:rFonts w:ascii="Verdana" w:hAnsi="Verdana"/>
          <w:lang w:val="es-ES_tradnl"/>
        </w:rPr>
      </w:pPr>
    </w:p>
    <w:p w14:paraId="363B89D2" w14:textId="73A31186" w:rsidR="00CF05EB" w:rsidRDefault="00CF05EB" w:rsidP="00572E41">
      <w:pPr>
        <w:pStyle w:val="NormalWeb"/>
        <w:spacing w:before="0" w:beforeAutospacing="0" w:after="0" w:afterAutospacing="0"/>
        <w:jc w:val="both"/>
        <w:rPr>
          <w:rFonts w:ascii="Verdana" w:hAnsi="Verdana"/>
          <w:lang w:val="es-ES_tradnl"/>
        </w:rPr>
      </w:pPr>
      <w:r>
        <w:rPr>
          <w:rFonts w:ascii="Verdana" w:hAnsi="Verdana"/>
          <w:lang w:val="es-ES_tradnl"/>
        </w:rPr>
        <w:t>6</w:t>
      </w:r>
      <w:r w:rsidR="003406A5">
        <w:rPr>
          <w:rFonts w:ascii="Verdana" w:hAnsi="Verdana"/>
          <w:lang w:val="es-ES_tradnl"/>
        </w:rPr>
        <w:t>8</w:t>
      </w:r>
      <w:r w:rsidR="000F2C73">
        <w:rPr>
          <w:rFonts w:ascii="Verdana" w:hAnsi="Verdana"/>
          <w:lang w:val="es-ES_tradnl"/>
        </w:rPr>
        <w:t>.</w:t>
      </w:r>
      <w:r w:rsidR="000F2C73">
        <w:rPr>
          <w:rFonts w:ascii="Verdana" w:hAnsi="Verdana"/>
          <w:lang w:val="es-ES_tradnl"/>
        </w:rPr>
        <w:tab/>
      </w:r>
      <w:r w:rsidR="00572E41">
        <w:rPr>
          <w:rFonts w:ascii="Verdana" w:hAnsi="Verdana"/>
          <w:lang w:val="es-ES_tradnl"/>
        </w:rPr>
        <w:t xml:space="preserve">Los cuatro postulados que expliqué en los párrafos anteriores constituyen reglas </w:t>
      </w:r>
      <w:r w:rsidR="002F41EE">
        <w:rPr>
          <w:rFonts w:ascii="Verdana" w:hAnsi="Verdana"/>
          <w:lang w:val="es-ES_tradnl"/>
        </w:rPr>
        <w:t xml:space="preserve">que guían la interpretación </w:t>
      </w:r>
      <w:r w:rsidR="00572E41">
        <w:rPr>
          <w:rFonts w:ascii="Verdana" w:hAnsi="Verdana"/>
          <w:lang w:val="es-ES_tradnl"/>
        </w:rPr>
        <w:t xml:space="preserve">para establecer la dinámica </w:t>
      </w:r>
      <w:r w:rsidR="002F41EE">
        <w:rPr>
          <w:rFonts w:ascii="Verdana" w:hAnsi="Verdana"/>
          <w:lang w:val="es-ES_tradnl"/>
        </w:rPr>
        <w:t xml:space="preserve">y aplicación </w:t>
      </w:r>
      <w:r w:rsidR="00572E41">
        <w:rPr>
          <w:rFonts w:ascii="Verdana" w:hAnsi="Verdana"/>
          <w:lang w:val="es-ES_tradnl"/>
        </w:rPr>
        <w:t>de</w:t>
      </w:r>
      <w:r w:rsidR="00572E41" w:rsidRPr="007A45C9">
        <w:rPr>
          <w:rFonts w:ascii="Verdana" w:hAnsi="Verdana"/>
          <w:lang w:val="es-ES_tradnl"/>
        </w:rPr>
        <w:t xml:space="preserve"> </w:t>
      </w:r>
      <w:r w:rsidR="00572E41">
        <w:rPr>
          <w:rFonts w:ascii="Verdana" w:hAnsi="Verdana"/>
          <w:lang w:val="es-ES_tradnl"/>
        </w:rPr>
        <w:t xml:space="preserve">las garantías relevantes en </w:t>
      </w:r>
      <w:r w:rsidR="00572E41" w:rsidRPr="0085005D">
        <w:rPr>
          <w:rFonts w:ascii="Verdana" w:hAnsi="Verdana"/>
          <w:i/>
          <w:lang w:val="es-ES_tradnl"/>
        </w:rPr>
        <w:t>cualquier</w:t>
      </w:r>
      <w:r w:rsidR="00572E41">
        <w:rPr>
          <w:rFonts w:ascii="Verdana" w:hAnsi="Verdana"/>
          <w:lang w:val="es-ES_tradnl"/>
        </w:rPr>
        <w:t xml:space="preserve"> ámbito sancionador —el administrativo en particular, pero también en el civil, laboral,</w:t>
      </w:r>
      <w:r w:rsidR="002F41EE">
        <w:rPr>
          <w:rFonts w:ascii="Verdana" w:hAnsi="Verdana"/>
          <w:lang w:val="es-ES_tradnl"/>
        </w:rPr>
        <w:t xml:space="preserve"> fiscal,</w:t>
      </w:r>
      <w:r w:rsidR="00572E41">
        <w:rPr>
          <w:rFonts w:ascii="Verdana" w:hAnsi="Verdana"/>
          <w:lang w:val="es-ES_tradnl"/>
        </w:rPr>
        <w:t xml:space="preserve"> </w:t>
      </w:r>
      <w:r w:rsidR="00597B9C">
        <w:rPr>
          <w:rFonts w:ascii="Verdana" w:hAnsi="Verdana"/>
          <w:lang w:val="es-ES_tradnl"/>
        </w:rPr>
        <w:t xml:space="preserve">político </w:t>
      </w:r>
      <w:r w:rsidR="002F41EE">
        <w:rPr>
          <w:rFonts w:ascii="Verdana" w:hAnsi="Verdana"/>
          <w:lang w:val="es-ES_tradnl"/>
        </w:rPr>
        <w:t>o de otra índole</w:t>
      </w:r>
      <w:r w:rsidR="00572E41">
        <w:rPr>
          <w:rFonts w:ascii="Verdana" w:hAnsi="Verdana"/>
          <w:lang w:val="es-ES_tradnl"/>
        </w:rPr>
        <w:t>—.</w:t>
      </w:r>
    </w:p>
    <w:p w14:paraId="53B570A7" w14:textId="77777777" w:rsidR="00CF05EB" w:rsidRDefault="00CF05EB" w:rsidP="00572E41">
      <w:pPr>
        <w:pStyle w:val="NormalWeb"/>
        <w:spacing w:before="0" w:beforeAutospacing="0" w:after="0" w:afterAutospacing="0"/>
        <w:jc w:val="both"/>
        <w:rPr>
          <w:rFonts w:ascii="Verdana" w:hAnsi="Verdana"/>
          <w:lang w:val="es-ES_tradnl"/>
        </w:rPr>
      </w:pPr>
    </w:p>
    <w:p w14:paraId="779B3A0D" w14:textId="4D4463C3" w:rsidR="00CF05EB" w:rsidRDefault="00CF05EB" w:rsidP="00CF05EB">
      <w:pPr>
        <w:pStyle w:val="NormalWeb"/>
        <w:spacing w:before="0" w:beforeAutospacing="0" w:after="0" w:afterAutospacing="0"/>
        <w:jc w:val="both"/>
        <w:rPr>
          <w:rFonts w:ascii="Verdana" w:hAnsi="Verdana"/>
          <w:lang w:val="es-ES_tradnl"/>
        </w:rPr>
      </w:pPr>
      <w:r>
        <w:rPr>
          <w:rFonts w:ascii="Verdana" w:hAnsi="Verdana"/>
          <w:lang w:val="es-ES_tradnl"/>
        </w:rPr>
        <w:t>69.</w:t>
      </w:r>
      <w:r>
        <w:rPr>
          <w:rFonts w:ascii="Verdana" w:hAnsi="Verdana"/>
          <w:lang w:val="es-ES_tradnl"/>
        </w:rPr>
        <w:tab/>
        <w:t xml:space="preserve">La aplicación de estos postulados fortalecería </w:t>
      </w:r>
      <w:r w:rsidR="00572E41">
        <w:rPr>
          <w:rFonts w:ascii="Verdana" w:hAnsi="Verdana"/>
          <w:lang w:val="es-ES_tradnl"/>
        </w:rPr>
        <w:t xml:space="preserve">la vigencia </w:t>
      </w:r>
      <w:r w:rsidR="00572E41" w:rsidRPr="00944DC3">
        <w:rPr>
          <w:rFonts w:ascii="Verdana" w:hAnsi="Verdana"/>
          <w:i/>
          <w:lang w:val="es-ES_tradnl"/>
        </w:rPr>
        <w:t>general</w:t>
      </w:r>
      <w:r w:rsidR="00572E41">
        <w:rPr>
          <w:rFonts w:ascii="Verdana" w:hAnsi="Verdana"/>
          <w:lang w:val="es-ES_tradnl"/>
        </w:rPr>
        <w:t xml:space="preserve"> que</w:t>
      </w:r>
      <w:r w:rsidR="00113645">
        <w:rPr>
          <w:rFonts w:ascii="Verdana" w:hAnsi="Verdana"/>
          <w:lang w:val="es-ES_tradnl"/>
        </w:rPr>
        <w:t>,</w:t>
      </w:r>
      <w:r w:rsidR="00572E41">
        <w:rPr>
          <w:rFonts w:ascii="Verdana" w:hAnsi="Verdana"/>
          <w:lang w:val="es-ES_tradnl"/>
        </w:rPr>
        <w:t xml:space="preserve"> </w:t>
      </w:r>
      <w:r w:rsidR="00572E41" w:rsidRPr="00944DC3">
        <w:rPr>
          <w:rFonts w:ascii="Verdana" w:hAnsi="Verdana"/>
          <w:i/>
          <w:lang w:val="es-ES_tradnl"/>
        </w:rPr>
        <w:t>en principio</w:t>
      </w:r>
      <w:r w:rsidR="00113645">
        <w:rPr>
          <w:rFonts w:ascii="Verdana" w:hAnsi="Verdana"/>
          <w:lang w:val="es-ES_tradnl"/>
        </w:rPr>
        <w:t>,</w:t>
      </w:r>
      <w:r w:rsidR="00572E41">
        <w:rPr>
          <w:rFonts w:ascii="Verdana" w:hAnsi="Verdana"/>
          <w:lang w:val="es-ES_tradnl"/>
        </w:rPr>
        <w:t xml:space="preserve"> </w:t>
      </w:r>
      <w:r w:rsidR="0025063E">
        <w:rPr>
          <w:rFonts w:ascii="Verdana" w:hAnsi="Verdana"/>
          <w:lang w:val="es-ES_tradnl"/>
        </w:rPr>
        <w:t xml:space="preserve">deben tener </w:t>
      </w:r>
      <w:r w:rsidR="00572E41">
        <w:rPr>
          <w:rFonts w:ascii="Verdana" w:hAnsi="Verdana"/>
          <w:lang w:val="es-ES_tradnl"/>
        </w:rPr>
        <w:t xml:space="preserve">las garantías mínimas penales que prevé el artículo 8.2 de la Convención </w:t>
      </w:r>
      <w:r w:rsidR="00DF019F">
        <w:rPr>
          <w:rFonts w:ascii="Verdana" w:hAnsi="Verdana"/>
          <w:lang w:val="es-ES_tradnl"/>
        </w:rPr>
        <w:t>Americana</w:t>
      </w:r>
      <w:r w:rsidRPr="00CF05EB">
        <w:rPr>
          <w:rFonts w:ascii="Verdana" w:hAnsi="Verdana"/>
          <w:lang w:val="es-ES_tradnl"/>
        </w:rPr>
        <w:t xml:space="preserve"> </w:t>
      </w:r>
      <w:r>
        <w:rPr>
          <w:rFonts w:ascii="Verdana" w:hAnsi="Verdana"/>
          <w:lang w:val="es-ES_tradnl"/>
        </w:rPr>
        <w:t xml:space="preserve">en los casos en que </w:t>
      </w:r>
      <w:r w:rsidR="00113645">
        <w:rPr>
          <w:rFonts w:ascii="Verdana" w:hAnsi="Verdana"/>
          <w:lang w:val="es-ES_tradnl"/>
        </w:rPr>
        <w:t>podría sancionarse</w:t>
      </w:r>
      <w:r>
        <w:rPr>
          <w:rFonts w:ascii="Verdana" w:hAnsi="Verdana"/>
          <w:lang w:val="es-ES_tradnl"/>
        </w:rPr>
        <w:t xml:space="preserve"> a una persona</w:t>
      </w:r>
      <w:r w:rsidR="00572E41">
        <w:rPr>
          <w:rFonts w:ascii="Verdana" w:hAnsi="Verdana"/>
          <w:lang w:val="es-ES_tradnl"/>
        </w:rPr>
        <w:t>.</w:t>
      </w:r>
      <w:r w:rsidR="00961472">
        <w:rPr>
          <w:rFonts w:ascii="Verdana" w:hAnsi="Verdana"/>
          <w:lang w:val="es-ES_tradnl"/>
        </w:rPr>
        <w:t xml:space="preserve"> </w:t>
      </w:r>
      <w:r w:rsidR="00113645">
        <w:rPr>
          <w:rFonts w:ascii="Verdana" w:hAnsi="Verdana"/>
          <w:lang w:val="es-ES_tradnl"/>
        </w:rPr>
        <w:t>S</w:t>
      </w:r>
      <w:r>
        <w:rPr>
          <w:rFonts w:ascii="Verdana" w:hAnsi="Verdana"/>
          <w:lang w:val="es-ES_tradnl"/>
        </w:rPr>
        <w:t>in perjuicio de esta vigencia inicia</w:t>
      </w:r>
      <w:r w:rsidR="00113645">
        <w:rPr>
          <w:rFonts w:ascii="Verdana" w:hAnsi="Verdana"/>
          <w:lang w:val="es-ES_tradnl"/>
        </w:rPr>
        <w:t>l</w:t>
      </w:r>
      <w:r>
        <w:rPr>
          <w:rFonts w:ascii="Verdana" w:hAnsi="Verdana"/>
          <w:lang w:val="es-ES_tradnl"/>
        </w:rPr>
        <w:t xml:space="preserve">, </w:t>
      </w:r>
      <w:r w:rsidR="00113645">
        <w:rPr>
          <w:rFonts w:ascii="Verdana" w:hAnsi="Verdana"/>
          <w:lang w:val="es-ES_tradnl"/>
        </w:rPr>
        <w:t xml:space="preserve">dichos postulados </w:t>
      </w:r>
      <w:r w:rsidR="00572E41">
        <w:rPr>
          <w:rFonts w:ascii="Verdana" w:hAnsi="Verdana"/>
          <w:lang w:val="es-ES_tradnl"/>
        </w:rPr>
        <w:t xml:space="preserve">reconocen la posibilidad de que en ocasiones las garantías mínimas penales </w:t>
      </w:r>
      <w:r w:rsidR="00113645">
        <w:rPr>
          <w:rFonts w:ascii="Verdana" w:hAnsi="Verdana"/>
          <w:lang w:val="es-ES_tradnl"/>
        </w:rPr>
        <w:t>tendrían</w:t>
      </w:r>
      <w:r w:rsidR="00572E41">
        <w:rPr>
          <w:rFonts w:ascii="Verdana" w:hAnsi="Verdana"/>
          <w:lang w:val="es-ES_tradnl"/>
        </w:rPr>
        <w:t xml:space="preserve"> una adaptación </w:t>
      </w:r>
      <w:r w:rsidR="00572E41" w:rsidRPr="00460547">
        <w:rPr>
          <w:rFonts w:ascii="Verdana" w:hAnsi="Verdana"/>
          <w:i/>
          <w:lang w:val="es-ES_tradnl"/>
        </w:rPr>
        <w:t>pertinente</w:t>
      </w:r>
      <w:r w:rsidR="00572E41">
        <w:rPr>
          <w:rFonts w:ascii="Verdana" w:hAnsi="Verdana"/>
          <w:lang w:val="es-ES_tradnl"/>
        </w:rPr>
        <w:t xml:space="preserve"> a un ámbito distinto del penal</w:t>
      </w:r>
      <w:r w:rsidR="00113645">
        <w:rPr>
          <w:rFonts w:ascii="Verdana" w:hAnsi="Verdana"/>
          <w:lang w:val="es-ES_tradnl"/>
        </w:rPr>
        <w:t>, pero contribuyen a impedir</w:t>
      </w:r>
      <w:r w:rsidR="00572E41">
        <w:rPr>
          <w:rFonts w:ascii="Verdana" w:hAnsi="Verdana"/>
          <w:lang w:val="es-ES_tradnl"/>
        </w:rPr>
        <w:t xml:space="preserve"> que tal </w:t>
      </w:r>
      <w:r w:rsidR="0025063E">
        <w:rPr>
          <w:rFonts w:ascii="Verdana" w:hAnsi="Verdana"/>
          <w:lang w:val="es-ES_tradnl"/>
        </w:rPr>
        <w:t xml:space="preserve">ajuste </w:t>
      </w:r>
      <w:r w:rsidR="00572E41">
        <w:rPr>
          <w:rFonts w:ascii="Verdana" w:hAnsi="Verdana"/>
          <w:lang w:val="es-ES_tradnl"/>
        </w:rPr>
        <w:t xml:space="preserve">se haga de modo arbitrario. </w:t>
      </w:r>
    </w:p>
    <w:p w14:paraId="447105D8" w14:textId="77777777" w:rsidR="00CF05EB" w:rsidRDefault="00CF05EB" w:rsidP="00CF05EB">
      <w:pPr>
        <w:pStyle w:val="NormalWeb"/>
        <w:spacing w:before="0" w:beforeAutospacing="0" w:after="0" w:afterAutospacing="0"/>
        <w:jc w:val="both"/>
        <w:rPr>
          <w:rFonts w:ascii="Verdana" w:hAnsi="Verdana"/>
          <w:lang w:val="es-ES_tradnl"/>
        </w:rPr>
      </w:pPr>
    </w:p>
    <w:p w14:paraId="7CCBEF8E" w14:textId="1C36DBB1" w:rsidR="00572E41" w:rsidRDefault="00CF05EB" w:rsidP="00CF05EB">
      <w:pPr>
        <w:pStyle w:val="NormalWeb"/>
        <w:spacing w:before="0" w:beforeAutospacing="0" w:after="0" w:afterAutospacing="0"/>
        <w:jc w:val="both"/>
        <w:rPr>
          <w:rFonts w:ascii="Verdana" w:hAnsi="Verdana"/>
          <w:lang w:val="es-ES_tradnl"/>
        </w:rPr>
      </w:pPr>
      <w:r>
        <w:rPr>
          <w:rFonts w:ascii="Verdana" w:hAnsi="Verdana"/>
          <w:lang w:val="es-ES_tradnl"/>
        </w:rPr>
        <w:t>70.</w:t>
      </w:r>
      <w:r>
        <w:rPr>
          <w:rFonts w:ascii="Verdana" w:hAnsi="Verdana"/>
          <w:lang w:val="es-ES_tradnl"/>
        </w:rPr>
        <w:tab/>
      </w:r>
      <w:r w:rsidR="00572E41">
        <w:rPr>
          <w:rFonts w:ascii="Verdana" w:hAnsi="Verdana"/>
          <w:lang w:val="es-ES_tradnl"/>
        </w:rPr>
        <w:t xml:space="preserve">La idea es partir de </w:t>
      </w:r>
      <w:r w:rsidR="00C9559B">
        <w:rPr>
          <w:rFonts w:ascii="Verdana" w:hAnsi="Verdana"/>
          <w:lang w:val="es-ES_tradnl"/>
        </w:rPr>
        <w:t xml:space="preserve">la </w:t>
      </w:r>
      <w:r w:rsidR="00572E41">
        <w:rPr>
          <w:rFonts w:ascii="Verdana" w:hAnsi="Verdana"/>
          <w:lang w:val="es-ES_tradnl"/>
        </w:rPr>
        <w:t>apl</w:t>
      </w:r>
      <w:r w:rsidR="00AE4234">
        <w:rPr>
          <w:rFonts w:ascii="Verdana" w:hAnsi="Verdana"/>
          <w:lang w:val="es-ES_tradnl"/>
        </w:rPr>
        <w:t xml:space="preserve">icabilidad inicial y </w:t>
      </w:r>
      <w:r w:rsidR="002F41EE" w:rsidRPr="002F41EE">
        <w:rPr>
          <w:rFonts w:ascii="Verdana" w:hAnsi="Verdana"/>
          <w:i/>
          <w:lang w:val="es-ES_tradnl"/>
        </w:rPr>
        <w:t xml:space="preserve">en </w:t>
      </w:r>
      <w:r w:rsidR="00AE4234" w:rsidRPr="002F41EE">
        <w:rPr>
          <w:rFonts w:ascii="Verdana" w:hAnsi="Verdana"/>
          <w:i/>
          <w:lang w:val="es-ES_tradnl"/>
        </w:rPr>
        <w:t>general</w:t>
      </w:r>
      <w:r w:rsidR="00AE4234">
        <w:rPr>
          <w:rFonts w:ascii="Verdana" w:hAnsi="Verdana"/>
          <w:lang w:val="es-ES_tradnl"/>
        </w:rPr>
        <w:t xml:space="preserve"> </w:t>
      </w:r>
      <w:r w:rsidR="0025063E">
        <w:rPr>
          <w:rFonts w:ascii="Verdana" w:hAnsi="Verdana"/>
          <w:lang w:val="es-ES_tradnl"/>
        </w:rPr>
        <w:t>de las garantías del debido proceso y las mínimas penales en todo ámbito sancionador</w:t>
      </w:r>
      <w:r w:rsidR="00572E41">
        <w:rPr>
          <w:rFonts w:ascii="Verdana" w:hAnsi="Verdana"/>
          <w:lang w:val="es-ES_tradnl"/>
        </w:rPr>
        <w:t xml:space="preserve">, y que </w:t>
      </w:r>
      <w:r w:rsidR="0025063E">
        <w:rPr>
          <w:rFonts w:ascii="Verdana" w:hAnsi="Verdana"/>
          <w:lang w:val="es-ES_tradnl"/>
        </w:rPr>
        <w:t>se justifique</w:t>
      </w:r>
      <w:r w:rsidR="00572E41">
        <w:rPr>
          <w:rFonts w:ascii="Verdana" w:hAnsi="Verdana"/>
          <w:lang w:val="es-ES_tradnl"/>
        </w:rPr>
        <w:t xml:space="preserve"> cabalmente la mayor o menor pérdida de vigencia que se les imponga </w:t>
      </w:r>
      <w:r w:rsidR="00C9559B">
        <w:rPr>
          <w:rFonts w:ascii="Verdana" w:hAnsi="Verdana"/>
          <w:lang w:val="es-ES_tradnl"/>
        </w:rPr>
        <w:t>por resultar</w:t>
      </w:r>
      <w:r w:rsidR="00572E41">
        <w:rPr>
          <w:rFonts w:ascii="Verdana" w:hAnsi="Verdana"/>
          <w:lang w:val="es-ES_tradnl"/>
        </w:rPr>
        <w:t xml:space="preserve"> estrictamente necesaria y proporcionada</w:t>
      </w:r>
      <w:r>
        <w:rPr>
          <w:rFonts w:ascii="Verdana" w:hAnsi="Verdana"/>
          <w:lang w:val="es-ES_tradnl"/>
        </w:rPr>
        <w:t>. D</w:t>
      </w:r>
      <w:r w:rsidR="00572E41">
        <w:rPr>
          <w:rFonts w:ascii="Verdana" w:hAnsi="Verdana"/>
          <w:lang w:val="es-ES_tradnl"/>
        </w:rPr>
        <w:t xml:space="preserve">e lo contrario, </w:t>
      </w:r>
      <w:r w:rsidR="00C9559B">
        <w:rPr>
          <w:rFonts w:ascii="Verdana" w:hAnsi="Verdana"/>
          <w:lang w:val="es-ES_tradnl"/>
        </w:rPr>
        <w:t>la aplicabilidad de dichas garantías</w:t>
      </w:r>
      <w:r w:rsidR="00572E41">
        <w:rPr>
          <w:rFonts w:ascii="Verdana" w:hAnsi="Verdana"/>
          <w:lang w:val="es-ES_tradnl"/>
        </w:rPr>
        <w:t xml:space="preserve"> sí sería intensamente relativizada con grave perjuicio para los derechos de las personas y de su </w:t>
      </w:r>
      <w:bookmarkStart w:id="0" w:name="_GoBack"/>
      <w:r w:rsidR="00572E41">
        <w:rPr>
          <w:rFonts w:ascii="Verdana" w:hAnsi="Verdana"/>
          <w:lang w:val="es-ES_tradnl"/>
        </w:rPr>
        <w:t>seguridad jurídica.</w:t>
      </w:r>
    </w:p>
    <w:p w14:paraId="189D1597" w14:textId="77777777" w:rsidR="00A02F1D" w:rsidRDefault="00A02F1D" w:rsidP="00061532">
      <w:pPr>
        <w:pStyle w:val="NormalWeb"/>
        <w:spacing w:before="0" w:beforeAutospacing="0" w:after="0" w:afterAutospacing="0"/>
        <w:jc w:val="both"/>
        <w:rPr>
          <w:rFonts w:ascii="Verdana" w:hAnsi="Verdana"/>
          <w:lang w:val="es-ES_tradnl"/>
        </w:rPr>
      </w:pPr>
    </w:p>
    <w:p w14:paraId="5D51FFBF" w14:textId="77777777" w:rsidR="00A02F1D" w:rsidRDefault="00A02F1D" w:rsidP="00061532">
      <w:pPr>
        <w:pStyle w:val="NormalWeb"/>
        <w:spacing w:before="0" w:beforeAutospacing="0" w:after="0" w:afterAutospacing="0"/>
        <w:jc w:val="both"/>
        <w:rPr>
          <w:rFonts w:ascii="Verdana" w:hAnsi="Verdana"/>
          <w:lang w:val="es-ES_tradnl"/>
        </w:rPr>
      </w:pPr>
    </w:p>
    <w:p w14:paraId="6B6E31E4" w14:textId="77777777" w:rsidR="00061532" w:rsidRDefault="00061532" w:rsidP="00061532">
      <w:pPr>
        <w:pStyle w:val="NormalWeb"/>
        <w:spacing w:before="0" w:beforeAutospacing="0" w:after="0" w:afterAutospacing="0"/>
        <w:jc w:val="both"/>
        <w:rPr>
          <w:rFonts w:ascii="Verdana" w:hAnsi="Verdana"/>
          <w:lang w:val="es-ES_tradnl"/>
        </w:rPr>
      </w:pPr>
    </w:p>
    <w:p w14:paraId="0D841FB5" w14:textId="77777777" w:rsidR="00760E18" w:rsidRPr="00A24C2B" w:rsidRDefault="00760E18" w:rsidP="000E6EDD">
      <w:pPr>
        <w:tabs>
          <w:tab w:val="left" w:pos="709"/>
          <w:tab w:val="left" w:pos="9356"/>
        </w:tabs>
        <w:ind w:left="5041" w:right="6"/>
        <w:jc w:val="center"/>
        <w:rPr>
          <w:rFonts w:ascii="Verdana" w:hAnsi="Verdana"/>
          <w:sz w:val="20"/>
          <w:szCs w:val="20"/>
          <w:lang w:val="es-ES"/>
        </w:rPr>
      </w:pPr>
    </w:p>
    <w:p w14:paraId="4472692B" w14:textId="77777777" w:rsidR="00607A5B" w:rsidRPr="000C24AE" w:rsidRDefault="00607A5B" w:rsidP="000E6EDD">
      <w:pPr>
        <w:tabs>
          <w:tab w:val="left" w:pos="709"/>
          <w:tab w:val="left" w:pos="9356"/>
        </w:tabs>
        <w:ind w:left="5041" w:right="6"/>
        <w:jc w:val="center"/>
        <w:rPr>
          <w:rFonts w:ascii="Verdana" w:hAnsi="Verdana"/>
          <w:sz w:val="20"/>
          <w:szCs w:val="20"/>
          <w:lang w:val="pt-BR"/>
        </w:rPr>
      </w:pPr>
      <w:r w:rsidRPr="000C24AE">
        <w:rPr>
          <w:rFonts w:ascii="Verdana" w:hAnsi="Verdana"/>
          <w:sz w:val="20"/>
          <w:szCs w:val="20"/>
          <w:lang w:val="pt-BR"/>
        </w:rPr>
        <w:t>Eduardo Ferrer Mac-Gregor Poisot</w:t>
      </w:r>
    </w:p>
    <w:p w14:paraId="7439655E" w14:textId="77777777" w:rsidR="00607A5B" w:rsidRPr="00A24C2B" w:rsidRDefault="00607A5B" w:rsidP="000E6EDD">
      <w:pPr>
        <w:tabs>
          <w:tab w:val="left" w:pos="709"/>
          <w:tab w:val="left" w:pos="9356"/>
        </w:tabs>
        <w:ind w:left="5041" w:right="6"/>
        <w:jc w:val="center"/>
        <w:rPr>
          <w:rFonts w:ascii="Verdana" w:hAnsi="Verdana"/>
          <w:i/>
          <w:sz w:val="20"/>
          <w:szCs w:val="20"/>
          <w:lang w:val="pt-BR"/>
        </w:rPr>
      </w:pPr>
      <w:r w:rsidRPr="00A24C2B">
        <w:rPr>
          <w:rFonts w:ascii="Verdana" w:hAnsi="Verdana"/>
          <w:sz w:val="20"/>
          <w:szCs w:val="20"/>
          <w:lang w:val="pt-BR"/>
        </w:rPr>
        <w:t>Juez</w:t>
      </w:r>
    </w:p>
    <w:p w14:paraId="58F2C3AE" w14:textId="77777777" w:rsidR="00607A5B" w:rsidRPr="00A24C2B" w:rsidRDefault="00607A5B" w:rsidP="000E6EDD">
      <w:pPr>
        <w:tabs>
          <w:tab w:val="left" w:pos="709"/>
          <w:tab w:val="left" w:pos="9356"/>
        </w:tabs>
        <w:ind w:right="6"/>
        <w:jc w:val="both"/>
        <w:rPr>
          <w:rFonts w:ascii="Verdana" w:hAnsi="Verdana" w:cs="Verdana"/>
          <w:sz w:val="20"/>
          <w:szCs w:val="20"/>
          <w:lang w:val="pt-BR"/>
        </w:rPr>
      </w:pPr>
    </w:p>
    <w:p w14:paraId="00C8EA5C" w14:textId="77777777" w:rsidR="00607A5B" w:rsidRPr="00A24C2B" w:rsidRDefault="00607A5B" w:rsidP="000E6EDD">
      <w:pPr>
        <w:tabs>
          <w:tab w:val="left" w:pos="709"/>
          <w:tab w:val="left" w:pos="9356"/>
        </w:tabs>
        <w:ind w:right="6"/>
        <w:jc w:val="both"/>
        <w:rPr>
          <w:rFonts w:ascii="Verdana" w:hAnsi="Verdana" w:cs="Verdana"/>
          <w:sz w:val="20"/>
          <w:szCs w:val="20"/>
          <w:lang w:val="pt-BR"/>
        </w:rPr>
      </w:pPr>
    </w:p>
    <w:p w14:paraId="284EB57E" w14:textId="77777777" w:rsidR="00105617" w:rsidRPr="00A24C2B" w:rsidRDefault="00105617" w:rsidP="000E6EDD">
      <w:pPr>
        <w:tabs>
          <w:tab w:val="left" w:pos="709"/>
          <w:tab w:val="left" w:pos="9356"/>
        </w:tabs>
        <w:ind w:right="6"/>
        <w:jc w:val="both"/>
        <w:rPr>
          <w:rFonts w:ascii="Verdana" w:hAnsi="Verdana" w:cs="Verdana"/>
          <w:sz w:val="20"/>
          <w:szCs w:val="20"/>
          <w:lang w:val="pt-BR"/>
        </w:rPr>
      </w:pPr>
    </w:p>
    <w:p w14:paraId="6E9564C8" w14:textId="77777777" w:rsidR="00105617" w:rsidRPr="00A24C2B" w:rsidRDefault="00105617" w:rsidP="000E6EDD">
      <w:pPr>
        <w:tabs>
          <w:tab w:val="left" w:pos="709"/>
          <w:tab w:val="left" w:pos="9356"/>
        </w:tabs>
        <w:ind w:right="6"/>
        <w:jc w:val="both"/>
        <w:rPr>
          <w:rFonts w:ascii="Verdana" w:hAnsi="Verdana" w:cs="Verdana"/>
          <w:sz w:val="20"/>
          <w:szCs w:val="20"/>
          <w:lang w:val="pt-BR"/>
        </w:rPr>
      </w:pPr>
    </w:p>
    <w:p w14:paraId="36D36C3E" w14:textId="77777777" w:rsidR="00607A5B" w:rsidRPr="000C24AE" w:rsidRDefault="00607A5B" w:rsidP="000E6EDD">
      <w:pPr>
        <w:tabs>
          <w:tab w:val="left" w:pos="709"/>
          <w:tab w:val="left" w:pos="9356"/>
        </w:tabs>
        <w:ind w:right="6"/>
        <w:jc w:val="both"/>
        <w:rPr>
          <w:rFonts w:ascii="Verdana" w:hAnsi="Verdana" w:cs="Verdana"/>
          <w:sz w:val="20"/>
          <w:szCs w:val="20"/>
        </w:rPr>
      </w:pPr>
      <w:r w:rsidRPr="000C24AE">
        <w:rPr>
          <w:rFonts w:ascii="Verdana" w:hAnsi="Verdana" w:cs="Verdana"/>
          <w:sz w:val="20"/>
          <w:szCs w:val="20"/>
        </w:rPr>
        <w:t>Pablo Saavedra Alessandri</w:t>
      </w:r>
    </w:p>
    <w:p w14:paraId="65C6A697" w14:textId="2B5BBD12" w:rsidR="004B42A5" w:rsidRPr="00C84A6F" w:rsidRDefault="00607A5B" w:rsidP="00760E18">
      <w:pPr>
        <w:tabs>
          <w:tab w:val="left" w:pos="709"/>
          <w:tab w:val="left" w:pos="9356"/>
        </w:tabs>
        <w:ind w:right="6"/>
        <w:rPr>
          <w:rFonts w:ascii="Verdana" w:hAnsi="Verdana"/>
          <w:b/>
          <w:sz w:val="20"/>
          <w:szCs w:val="20"/>
        </w:rPr>
      </w:pPr>
      <w:r w:rsidRPr="000C24AE">
        <w:rPr>
          <w:rFonts w:ascii="Verdana" w:hAnsi="Verdana" w:cs="Verdana"/>
          <w:sz w:val="20"/>
          <w:szCs w:val="20"/>
        </w:rPr>
        <w:tab/>
        <w:t>Secretario</w:t>
      </w:r>
      <w:bookmarkEnd w:id="0"/>
    </w:p>
    <w:sectPr w:rsidR="004B42A5" w:rsidRPr="00C84A6F" w:rsidSect="0085524D">
      <w:footerReference w:type="even" r:id="rId9"/>
      <w:footerReference w:type="default" r:id="rId10"/>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C76DD" w14:textId="77777777" w:rsidR="00C9442F" w:rsidRDefault="00C9442F" w:rsidP="004933F2">
      <w:r>
        <w:separator/>
      </w:r>
    </w:p>
  </w:endnote>
  <w:endnote w:type="continuationSeparator" w:id="0">
    <w:p w14:paraId="31868E2A" w14:textId="77777777" w:rsidR="00C9442F" w:rsidRDefault="00C9442F" w:rsidP="0049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217B" w14:textId="77777777" w:rsidR="00CB2B4E" w:rsidRDefault="00CB2B4E" w:rsidP="00F25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7AE5DD" w14:textId="77777777" w:rsidR="00CB2B4E" w:rsidRDefault="00CB2B4E" w:rsidP="00B25B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148C" w14:textId="77777777" w:rsidR="00CB2B4E" w:rsidRPr="00F2526E" w:rsidRDefault="00CB2B4E" w:rsidP="00F2526E">
    <w:pPr>
      <w:pStyle w:val="Footer"/>
      <w:framePr w:wrap="around" w:vAnchor="text" w:hAnchor="margin" w:xAlign="center" w:y="1"/>
      <w:rPr>
        <w:rStyle w:val="PageNumber"/>
        <w:rFonts w:ascii="Verdana" w:hAnsi="Verdana"/>
        <w:sz w:val="20"/>
        <w:szCs w:val="20"/>
      </w:rPr>
    </w:pPr>
    <w:r w:rsidRPr="00F2526E">
      <w:rPr>
        <w:rStyle w:val="PageNumber"/>
        <w:rFonts w:ascii="Verdana" w:hAnsi="Verdana"/>
        <w:sz w:val="20"/>
        <w:szCs w:val="20"/>
      </w:rPr>
      <w:fldChar w:fldCharType="begin"/>
    </w:r>
    <w:r w:rsidRPr="00F2526E">
      <w:rPr>
        <w:rStyle w:val="PageNumber"/>
        <w:rFonts w:ascii="Verdana" w:hAnsi="Verdana"/>
        <w:sz w:val="20"/>
        <w:szCs w:val="20"/>
      </w:rPr>
      <w:instrText xml:space="preserve">PAGE  </w:instrText>
    </w:r>
    <w:r w:rsidRPr="00F2526E">
      <w:rPr>
        <w:rStyle w:val="PageNumber"/>
        <w:rFonts w:ascii="Verdana" w:hAnsi="Verdana"/>
        <w:sz w:val="20"/>
        <w:szCs w:val="20"/>
      </w:rPr>
      <w:fldChar w:fldCharType="separate"/>
    </w:r>
    <w:r w:rsidR="00C47813">
      <w:rPr>
        <w:rStyle w:val="PageNumber"/>
        <w:rFonts w:ascii="Verdana" w:hAnsi="Verdana"/>
        <w:noProof/>
        <w:sz w:val="20"/>
        <w:szCs w:val="20"/>
      </w:rPr>
      <w:t>2</w:t>
    </w:r>
    <w:r w:rsidRPr="00F2526E">
      <w:rPr>
        <w:rStyle w:val="PageNumber"/>
        <w:rFonts w:ascii="Verdana" w:hAnsi="Verdana"/>
        <w:sz w:val="20"/>
        <w:szCs w:val="20"/>
      </w:rPr>
      <w:fldChar w:fldCharType="end"/>
    </w:r>
  </w:p>
  <w:p w14:paraId="373C4627" w14:textId="77777777" w:rsidR="00CB2B4E" w:rsidRDefault="00CB2B4E" w:rsidP="00B25B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16FB9" w14:textId="77777777" w:rsidR="00C9442F" w:rsidRDefault="00C9442F" w:rsidP="004933F2">
      <w:r>
        <w:separator/>
      </w:r>
    </w:p>
  </w:footnote>
  <w:footnote w:type="continuationSeparator" w:id="0">
    <w:p w14:paraId="61F3555B" w14:textId="77777777" w:rsidR="00C9442F" w:rsidRDefault="00C9442F" w:rsidP="004933F2">
      <w:r>
        <w:continuationSeparator/>
      </w:r>
    </w:p>
  </w:footnote>
  <w:footnote w:id="1">
    <w:p w14:paraId="3A4AC919" w14:textId="5959C1F1" w:rsidR="00CB2B4E" w:rsidRPr="00D34116" w:rsidRDefault="00CB2B4E" w:rsidP="00D34116">
      <w:pPr>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w:t>
      </w:r>
      <w:r w:rsidRPr="00D34116">
        <w:rPr>
          <w:rFonts w:ascii="Verdana" w:hAnsi="Verdana"/>
          <w:i/>
          <w:sz w:val="16"/>
          <w:szCs w:val="16"/>
        </w:rPr>
        <w:t>Caso Maldonado Ordoñez Vs. Guatemala. Excepción Preliminar, Fondo, Reparaciones y Costas.</w:t>
      </w:r>
      <w:r w:rsidRPr="00D34116">
        <w:rPr>
          <w:rFonts w:ascii="Verdana" w:hAnsi="Verdana"/>
          <w:sz w:val="16"/>
          <w:szCs w:val="16"/>
        </w:rPr>
        <w:t xml:space="preserve"> Sentencia de 3 de mayo de 2016, Serie C No. </w:t>
      </w:r>
      <w:r w:rsidR="00646006">
        <w:rPr>
          <w:rFonts w:ascii="Verdana" w:hAnsi="Verdana"/>
          <w:sz w:val="16"/>
          <w:szCs w:val="16"/>
        </w:rPr>
        <w:t>311</w:t>
      </w:r>
      <w:r w:rsidRPr="00D34116">
        <w:rPr>
          <w:rFonts w:ascii="Verdana" w:hAnsi="Verdana"/>
          <w:sz w:val="16"/>
          <w:szCs w:val="16"/>
        </w:rPr>
        <w:t>, párrs. 83 y 84.</w:t>
      </w:r>
    </w:p>
  </w:footnote>
  <w:footnote w:id="2">
    <w:p w14:paraId="111D4F40" w14:textId="4011E857" w:rsidR="00CB2B4E" w:rsidRPr="00D34116" w:rsidRDefault="00CB2B4E" w:rsidP="00D34116">
      <w:pPr>
        <w:pStyle w:val="NormalWeb"/>
        <w:spacing w:before="0" w:beforeAutospacing="0" w:after="0" w:afterAutospacing="0"/>
        <w:jc w:val="both"/>
        <w:rPr>
          <w:rFonts w:ascii="Verdana" w:hAnsi="Verdana"/>
          <w:i/>
          <w:sz w:val="16"/>
          <w:szCs w:val="16"/>
        </w:rPr>
      </w:pPr>
      <w:r w:rsidRPr="00D34116">
        <w:rPr>
          <w:rStyle w:val="FootnoteReference"/>
          <w:rFonts w:ascii="Verdana" w:hAnsi="Verdana"/>
          <w:sz w:val="16"/>
          <w:szCs w:val="16"/>
        </w:rPr>
        <w:footnoteRef/>
      </w:r>
      <w:r w:rsidRPr="00D34116">
        <w:rPr>
          <w:rFonts w:ascii="Verdana" w:hAnsi="Verdana"/>
          <w:sz w:val="16"/>
          <w:szCs w:val="16"/>
        </w:rPr>
        <w:tab/>
        <w:t xml:space="preserve">En efecto, de los 201 casos que ha resuelto hasta el momento la Corte IDH, se ha declarado la violación del artículo 8 (en cualquiera de sus apartados) en 161 ocasiones. En 32 casos el Tribunal Interamericano se ha referido a las </w:t>
      </w:r>
      <w:r w:rsidRPr="00D34116">
        <w:rPr>
          <w:rFonts w:ascii="Verdana" w:hAnsi="Verdana"/>
          <w:i/>
          <w:sz w:val="16"/>
          <w:szCs w:val="16"/>
        </w:rPr>
        <w:t xml:space="preserve">garantías mínimas </w:t>
      </w:r>
      <w:r w:rsidRPr="00D34116">
        <w:rPr>
          <w:rFonts w:ascii="Verdana" w:hAnsi="Verdana"/>
          <w:sz w:val="16"/>
          <w:szCs w:val="16"/>
        </w:rPr>
        <w:t xml:space="preserve">contempladas en el artículo 8.2 (en sus diferentes incisos) aplicables en los procedimientos penales, civiles, laborales, fiscales o de otra índole. </w:t>
      </w:r>
    </w:p>
    <w:p w14:paraId="2C7605E5" w14:textId="77777777" w:rsidR="00CB2B4E" w:rsidRPr="00D34116" w:rsidRDefault="00CB2B4E" w:rsidP="00D34116">
      <w:pPr>
        <w:pStyle w:val="FootnoteText"/>
        <w:ind w:right="4"/>
        <w:jc w:val="both"/>
        <w:rPr>
          <w:rFonts w:ascii="Verdana" w:hAnsi="Verdana"/>
          <w:sz w:val="16"/>
          <w:szCs w:val="16"/>
        </w:rPr>
      </w:pPr>
    </w:p>
  </w:footnote>
  <w:footnote w:id="3">
    <w:p w14:paraId="0B7BE5D2" w14:textId="6FBA3D52" w:rsidR="00CB2B4E" w:rsidRPr="00D34116" w:rsidRDefault="00CB2B4E" w:rsidP="00D34116">
      <w:pPr>
        <w:pStyle w:val="FootnoteText"/>
        <w:jc w:val="both"/>
        <w:rPr>
          <w:rFonts w:ascii="Verdana" w:hAnsi="Verdana"/>
          <w:bCs/>
          <w:color w:val="000000"/>
          <w:sz w:val="16"/>
          <w:szCs w:val="16"/>
          <w:shd w:val="clear" w:color="auto" w:fill="FFFFFF"/>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del Tribunal Constitucional Vs. Perú. Fondo, Reparaciones y Costas</w:t>
      </w:r>
      <w:r w:rsidRPr="00D34116">
        <w:rPr>
          <w:rFonts w:ascii="Verdana" w:hAnsi="Verdana" w:cs="Verdana"/>
          <w:bCs/>
          <w:sz w:val="16"/>
          <w:szCs w:val="16"/>
        </w:rPr>
        <w:t>. Sentencia de 31 de enero de 2001. Serie C No. 71, párr. 70</w:t>
      </w:r>
      <w:r w:rsidR="004B2D72">
        <w:rPr>
          <w:rFonts w:ascii="Verdana" w:hAnsi="Verdana"/>
          <w:sz w:val="16"/>
          <w:szCs w:val="16"/>
        </w:rPr>
        <w:t>,</w:t>
      </w:r>
      <w:r w:rsidRPr="00D34116">
        <w:rPr>
          <w:rFonts w:ascii="Verdana" w:hAnsi="Verdana"/>
          <w:sz w:val="16"/>
          <w:szCs w:val="16"/>
        </w:rPr>
        <w:t xml:space="preserve"> y </w:t>
      </w:r>
      <w:r w:rsidRPr="00D34116">
        <w:rPr>
          <w:rStyle w:val="Strong"/>
          <w:rFonts w:ascii="Verdana" w:hAnsi="Verdana"/>
          <w:b w:val="0"/>
          <w:i/>
          <w:color w:val="000000"/>
          <w:sz w:val="16"/>
          <w:szCs w:val="16"/>
          <w:shd w:val="clear" w:color="auto" w:fill="FFFFFF"/>
        </w:rPr>
        <w:t>Caso del Tribunal Constitucional (Camba Campos y otros) Vs. Ecuador. Excepciones Preliminares, Fondo, Reparaciones y Costas</w:t>
      </w:r>
      <w:r w:rsidRPr="00D34116">
        <w:rPr>
          <w:rStyle w:val="Strong"/>
          <w:rFonts w:ascii="Verdana" w:hAnsi="Verdana"/>
          <w:b w:val="0"/>
          <w:color w:val="000000"/>
          <w:sz w:val="16"/>
          <w:szCs w:val="16"/>
          <w:shd w:val="clear" w:color="auto" w:fill="FFFFFF"/>
        </w:rPr>
        <w:t xml:space="preserve">. Sentencia de 28 de agosto de 2013. Serie C No. 268, párr. 166. </w:t>
      </w:r>
    </w:p>
  </w:footnote>
  <w:footnote w:id="4">
    <w:p w14:paraId="0517815A" w14:textId="401B7152" w:rsidR="00CB2B4E" w:rsidRPr="00D34116" w:rsidRDefault="00CB2B4E" w:rsidP="00D34116">
      <w:pPr>
        <w:pStyle w:val="FootnoteText"/>
        <w:jc w:val="both"/>
        <w:rPr>
          <w:rFonts w:ascii="Verdana" w:hAnsi="Verdana"/>
          <w:bCs/>
          <w:color w:val="000000"/>
          <w:sz w:val="16"/>
          <w:szCs w:val="16"/>
          <w:shd w:val="clear" w:color="auto" w:fill="FFFFFF"/>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sz w:val="16"/>
          <w:szCs w:val="16"/>
        </w:rPr>
        <w:t xml:space="preserve">Véase párr. 74, </w:t>
      </w:r>
      <w:r w:rsidRPr="00D34116">
        <w:rPr>
          <w:rFonts w:ascii="Verdana" w:hAnsi="Verdana" w:cs="Verdana"/>
          <w:bCs/>
          <w:i/>
          <w:sz w:val="16"/>
          <w:szCs w:val="16"/>
        </w:rPr>
        <w:t>in fine</w:t>
      </w:r>
      <w:r w:rsidRPr="00D34116">
        <w:rPr>
          <w:rFonts w:ascii="Verdana" w:hAnsi="Verdana" w:cs="Verdana"/>
          <w:bCs/>
          <w:sz w:val="16"/>
          <w:szCs w:val="16"/>
        </w:rPr>
        <w:t>, de la presente Sentencia</w:t>
      </w:r>
      <w:r w:rsidRPr="00D34116">
        <w:rPr>
          <w:rStyle w:val="Strong"/>
          <w:rFonts w:ascii="Verdana" w:hAnsi="Verdana"/>
          <w:b w:val="0"/>
          <w:color w:val="000000"/>
          <w:sz w:val="16"/>
          <w:szCs w:val="16"/>
          <w:shd w:val="clear" w:color="auto" w:fill="FFFFFF"/>
        </w:rPr>
        <w:t xml:space="preserve">. </w:t>
      </w:r>
    </w:p>
  </w:footnote>
  <w:footnote w:id="5">
    <w:p w14:paraId="3819CA96" w14:textId="296671C5" w:rsidR="00CB2B4E" w:rsidRPr="00D34116" w:rsidRDefault="00CB2B4E" w:rsidP="00D34116">
      <w:pPr>
        <w:pStyle w:val="NormalWeb"/>
        <w:spacing w:before="0" w:beforeAutospacing="0" w:after="0" w:afterAutospacing="0"/>
        <w:jc w:val="both"/>
        <w:rPr>
          <w:rFonts w:ascii="Verdana" w:hAnsi="Verdana"/>
          <w:sz w:val="16"/>
          <w:szCs w:val="16"/>
          <w:lang w:val="es-ES_tradnl"/>
        </w:rPr>
      </w:pPr>
      <w:r w:rsidRPr="00D34116">
        <w:rPr>
          <w:rStyle w:val="FootnoteReference"/>
          <w:rFonts w:ascii="Verdana" w:hAnsi="Verdana"/>
          <w:sz w:val="16"/>
          <w:szCs w:val="16"/>
          <w:lang w:val="es-ES_tradnl"/>
        </w:rPr>
        <w:footnoteRef/>
      </w:r>
      <w:r w:rsidRPr="00D34116">
        <w:rPr>
          <w:rFonts w:ascii="Verdana" w:hAnsi="Verdana"/>
          <w:sz w:val="16"/>
          <w:szCs w:val="16"/>
          <w:lang w:val="es-ES_tradnl"/>
        </w:rPr>
        <w:t xml:space="preserve"> </w:t>
      </w:r>
      <w:r w:rsidRPr="00D34116">
        <w:rPr>
          <w:rFonts w:ascii="Verdana" w:hAnsi="Verdana"/>
          <w:sz w:val="16"/>
          <w:szCs w:val="16"/>
          <w:lang w:val="es-ES_tradnl"/>
        </w:rPr>
        <w:tab/>
      </w:r>
      <w:r w:rsidRPr="00D34116">
        <w:rPr>
          <w:rFonts w:ascii="Verdana" w:hAnsi="Verdana" w:cs="Verdana"/>
          <w:bCs/>
          <w:i/>
          <w:sz w:val="16"/>
          <w:szCs w:val="16"/>
          <w:lang w:val="es-ES_tradnl"/>
        </w:rPr>
        <w:t xml:space="preserve">Caso Velásquez </w:t>
      </w:r>
      <w:proofErr w:type="spellStart"/>
      <w:r w:rsidRPr="00D34116">
        <w:rPr>
          <w:rFonts w:ascii="Verdana" w:hAnsi="Verdana" w:cs="Verdana"/>
          <w:bCs/>
          <w:i/>
          <w:sz w:val="16"/>
          <w:szCs w:val="16"/>
          <w:lang w:val="es-ES_tradnl"/>
        </w:rPr>
        <w:t>Paiz</w:t>
      </w:r>
      <w:proofErr w:type="spellEnd"/>
      <w:r w:rsidRPr="00D34116">
        <w:rPr>
          <w:rFonts w:ascii="Verdana" w:hAnsi="Verdana" w:cs="Verdana"/>
          <w:bCs/>
          <w:i/>
          <w:sz w:val="16"/>
          <w:szCs w:val="16"/>
          <w:lang w:val="es-ES_tradnl"/>
        </w:rPr>
        <w:t xml:space="preserve"> y otros Vs. Guatemala. Excepciones Preliminares, Fondo, Reparaciones y Costas</w:t>
      </w:r>
      <w:r w:rsidRPr="00D34116">
        <w:rPr>
          <w:rFonts w:ascii="Verdana" w:hAnsi="Verdana" w:cs="Verdana"/>
          <w:bCs/>
          <w:sz w:val="16"/>
          <w:szCs w:val="16"/>
          <w:lang w:val="es-ES_tradnl"/>
        </w:rPr>
        <w:t>. Sentencia de 19 de noviembre de 2015. Serie C No. 307</w:t>
      </w:r>
      <w:r w:rsidRPr="00D34116">
        <w:rPr>
          <w:rFonts w:ascii="Verdana" w:hAnsi="Verdana"/>
          <w:sz w:val="16"/>
          <w:szCs w:val="16"/>
          <w:lang w:val="es-ES_tradnl"/>
        </w:rPr>
        <w:t>, párr. 142</w:t>
      </w:r>
      <w:r w:rsidR="004B2D72">
        <w:rPr>
          <w:rFonts w:ascii="Verdana" w:hAnsi="Verdana"/>
          <w:sz w:val="16"/>
          <w:szCs w:val="16"/>
          <w:lang w:val="es-ES_tradnl"/>
        </w:rPr>
        <w:t>,</w:t>
      </w:r>
      <w:r w:rsidRPr="00D34116">
        <w:rPr>
          <w:rFonts w:ascii="Verdana" w:hAnsi="Verdana"/>
          <w:sz w:val="16"/>
          <w:szCs w:val="16"/>
          <w:lang w:val="es-ES_tradnl"/>
        </w:rPr>
        <w:t xml:space="preserve"> y </w:t>
      </w:r>
      <w:r w:rsidRPr="00D34116">
        <w:rPr>
          <w:rFonts w:ascii="Verdana" w:hAnsi="Verdana"/>
          <w:i/>
          <w:sz w:val="16"/>
          <w:szCs w:val="16"/>
          <w:lang w:val="es-ES_tradnl"/>
        </w:rPr>
        <w:t>Cfr. Caso Velásquez Rodríguez Vs. Honduras. Excepciones Preliminares.</w:t>
      </w:r>
      <w:r w:rsidRPr="00D34116">
        <w:rPr>
          <w:rFonts w:ascii="Verdana" w:hAnsi="Verdana"/>
          <w:sz w:val="16"/>
          <w:szCs w:val="16"/>
          <w:lang w:val="es-ES_tradnl"/>
        </w:rPr>
        <w:t xml:space="preserve"> Sentencia de 26 de junio de 1987. Serie C No. 1, párr. 91. </w:t>
      </w:r>
    </w:p>
  </w:footnote>
  <w:footnote w:id="6">
    <w:p w14:paraId="507DBE20" w14:textId="435EDD8E" w:rsidR="00CB2B4E" w:rsidRPr="00D34116" w:rsidRDefault="00CB2B4E" w:rsidP="00D34116">
      <w:pPr>
        <w:jc w:val="both"/>
        <w:rPr>
          <w:rFonts w:ascii="Verdana" w:hAnsi="Verdana" w:cs="Times New Roman"/>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Ruano Torres y otros Vs. El Salvador. Fondo, Reparaciones y Costas.</w:t>
      </w:r>
      <w:r w:rsidRPr="00D34116">
        <w:rPr>
          <w:rFonts w:ascii="Verdana" w:hAnsi="Verdana" w:cs="Verdana"/>
          <w:bCs/>
          <w:sz w:val="16"/>
          <w:szCs w:val="16"/>
        </w:rPr>
        <w:t xml:space="preserve"> Sentencia de 05 de o</w:t>
      </w:r>
      <w:r w:rsidR="004B2D72">
        <w:rPr>
          <w:rFonts w:ascii="Verdana" w:hAnsi="Verdana" w:cs="Verdana"/>
          <w:bCs/>
          <w:sz w:val="16"/>
          <w:szCs w:val="16"/>
        </w:rPr>
        <w:t>ctubre de 2015. Serie C No. 303,</w:t>
      </w:r>
      <w:r w:rsidRPr="00D34116">
        <w:rPr>
          <w:rFonts w:ascii="Verdana" w:hAnsi="Verdana" w:cs="Verdana"/>
          <w:bCs/>
          <w:sz w:val="16"/>
          <w:szCs w:val="16"/>
        </w:rPr>
        <w:t xml:space="preserve"> </w:t>
      </w:r>
      <w:r w:rsidRPr="00D34116">
        <w:rPr>
          <w:rFonts w:ascii="Verdana" w:hAnsi="Verdana" w:cs="Times New Roman"/>
          <w:sz w:val="16"/>
          <w:szCs w:val="16"/>
        </w:rPr>
        <w:t>párr. 152. En el mismo sentido:</w:t>
      </w:r>
      <w:r w:rsidRPr="00D34116">
        <w:rPr>
          <w:rFonts w:ascii="Verdana" w:hAnsi="Verdana"/>
          <w:sz w:val="16"/>
          <w:szCs w:val="16"/>
        </w:rPr>
        <w:t xml:space="preserve"> </w:t>
      </w:r>
      <w:r w:rsidRPr="00D34116">
        <w:rPr>
          <w:rFonts w:ascii="Verdana" w:hAnsi="Verdana" w:cs="Times New Roman"/>
          <w:i/>
          <w:sz w:val="16"/>
          <w:szCs w:val="16"/>
        </w:rPr>
        <w:t xml:space="preserve">Cfr. Excepciones al Agotamiento de los Recursos Internos (arts. 46.1, 46.2.a y 46.2.b, Convención Americanas sobre </w:t>
      </w:r>
      <w:r w:rsidRPr="00D34116">
        <w:rPr>
          <w:rFonts w:ascii="Verdana" w:hAnsi="Verdana"/>
          <w:i/>
          <w:sz w:val="16"/>
          <w:szCs w:val="16"/>
        </w:rPr>
        <w:t>Derechos Humanos).</w:t>
      </w:r>
      <w:r w:rsidRPr="00D34116">
        <w:rPr>
          <w:rFonts w:ascii="Verdana" w:hAnsi="Verdana"/>
          <w:sz w:val="16"/>
          <w:szCs w:val="16"/>
        </w:rPr>
        <w:t xml:space="preserve"> Opinión Consultiva OC-11/90 del 10 de agosto de 1990. Serie A No. 11, párr. 28, y </w:t>
      </w:r>
      <w:r w:rsidRPr="00D34116">
        <w:rPr>
          <w:rFonts w:ascii="Verdana" w:hAnsi="Verdana" w:cs="Verdana"/>
          <w:bCs/>
          <w:i/>
          <w:sz w:val="16"/>
          <w:szCs w:val="16"/>
        </w:rPr>
        <w:t>Caso J. Vs. Perú. Excepción Preliminar, Fondo, Reparaciones y Costas</w:t>
      </w:r>
      <w:r w:rsidRPr="00D34116">
        <w:rPr>
          <w:rFonts w:ascii="Verdana" w:hAnsi="Verdana" w:cs="Verdana"/>
          <w:bCs/>
          <w:sz w:val="16"/>
          <w:szCs w:val="16"/>
        </w:rPr>
        <w:t xml:space="preserve">. Sentencia de 27 de noviembre de 2013. Serie C No. 275, </w:t>
      </w:r>
      <w:r w:rsidRPr="00D34116">
        <w:rPr>
          <w:rFonts w:ascii="Verdana" w:hAnsi="Verdana" w:cs="Times New Roman"/>
          <w:sz w:val="16"/>
          <w:szCs w:val="16"/>
        </w:rPr>
        <w:t xml:space="preserve">párr. 258. </w:t>
      </w:r>
    </w:p>
  </w:footnote>
  <w:footnote w:id="7">
    <w:p w14:paraId="6289DF94" w14:textId="5A275C98"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w:t>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Genie</w:t>
      </w:r>
      <w:proofErr w:type="spellEnd"/>
      <w:r w:rsidRPr="00D34116">
        <w:rPr>
          <w:rFonts w:ascii="Verdana" w:hAnsi="Verdana" w:cs="Verdana"/>
          <w:bCs/>
          <w:i/>
          <w:sz w:val="16"/>
          <w:szCs w:val="16"/>
        </w:rPr>
        <w:t xml:space="preserve"> Lacayo Vs. Nicaragua. Fondo, Reparaciones y Costas</w:t>
      </w:r>
      <w:r w:rsidRPr="00D34116">
        <w:rPr>
          <w:rFonts w:ascii="Verdana" w:hAnsi="Verdana" w:cs="Verdana"/>
          <w:bCs/>
          <w:sz w:val="16"/>
          <w:szCs w:val="16"/>
        </w:rPr>
        <w:t>. Sentencia de 29 de enero de 1997. Serie C No. 30</w:t>
      </w:r>
      <w:r w:rsidRPr="00D34116">
        <w:rPr>
          <w:rFonts w:ascii="Verdana" w:hAnsi="Verdana"/>
          <w:sz w:val="16"/>
          <w:szCs w:val="16"/>
        </w:rPr>
        <w:t>, párr. 74</w:t>
      </w:r>
      <w:r w:rsidR="004B2D72">
        <w:rPr>
          <w:rFonts w:ascii="Verdana" w:hAnsi="Verdana"/>
          <w:sz w:val="16"/>
          <w:szCs w:val="16"/>
        </w:rPr>
        <w:t>,</w:t>
      </w:r>
      <w:r w:rsidRPr="00D34116">
        <w:rPr>
          <w:rFonts w:ascii="Verdana" w:hAnsi="Verdana"/>
          <w:sz w:val="16"/>
          <w:szCs w:val="16"/>
        </w:rPr>
        <w:t xml:space="preserve"> y </w:t>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Yvon</w:t>
      </w:r>
      <w:proofErr w:type="spellEnd"/>
      <w:r w:rsidRPr="00D34116">
        <w:rPr>
          <w:rFonts w:ascii="Verdana" w:hAnsi="Verdana" w:cs="Verdana"/>
          <w:bCs/>
          <w:i/>
          <w:sz w:val="16"/>
          <w:szCs w:val="16"/>
        </w:rPr>
        <w:t xml:space="preserve"> </w:t>
      </w:r>
      <w:proofErr w:type="spellStart"/>
      <w:r w:rsidRPr="00D34116">
        <w:rPr>
          <w:rFonts w:ascii="Verdana" w:hAnsi="Verdana" w:cs="Verdana"/>
          <w:bCs/>
          <w:i/>
          <w:sz w:val="16"/>
          <w:szCs w:val="16"/>
        </w:rPr>
        <w:t>Neptune</w:t>
      </w:r>
      <w:proofErr w:type="spellEnd"/>
      <w:r w:rsidRPr="00D34116">
        <w:rPr>
          <w:rFonts w:ascii="Verdana" w:hAnsi="Verdana" w:cs="Verdana"/>
          <w:bCs/>
          <w:i/>
          <w:sz w:val="16"/>
          <w:szCs w:val="16"/>
        </w:rPr>
        <w:t xml:space="preserve"> Vs. Haití. Fondo, Reparaciones y Costas</w:t>
      </w:r>
      <w:r w:rsidRPr="00D34116">
        <w:rPr>
          <w:rFonts w:ascii="Verdana" w:hAnsi="Verdana" w:cs="Verdana"/>
          <w:bCs/>
          <w:sz w:val="16"/>
          <w:szCs w:val="16"/>
        </w:rPr>
        <w:t>. Sentencia de 6 de mayo de 2008. Serie C No. 180</w:t>
      </w:r>
      <w:r w:rsidRPr="00D34116">
        <w:rPr>
          <w:rFonts w:ascii="Verdana" w:hAnsi="Verdana"/>
          <w:sz w:val="16"/>
          <w:szCs w:val="16"/>
        </w:rPr>
        <w:t xml:space="preserve">, párr. 79. </w:t>
      </w:r>
    </w:p>
  </w:footnote>
  <w:footnote w:id="8">
    <w:p w14:paraId="2FD495A8" w14:textId="14B3C25E"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Furlan y Familiares Vs. Argentina. Excepciones Preliminares, Fondo, Reparaciones y Costas.</w:t>
      </w:r>
      <w:r w:rsidRPr="00D34116">
        <w:rPr>
          <w:rFonts w:ascii="Verdana" w:hAnsi="Verdana" w:cs="Verdana"/>
          <w:bCs/>
          <w:sz w:val="16"/>
          <w:szCs w:val="16"/>
        </w:rPr>
        <w:t xml:space="preserve"> Sentencia de 31 de agosto de 2012. Serie C No. 246</w:t>
      </w:r>
      <w:r w:rsidRPr="00D34116">
        <w:rPr>
          <w:rFonts w:ascii="Verdana" w:hAnsi="Verdana"/>
          <w:sz w:val="16"/>
          <w:szCs w:val="16"/>
        </w:rPr>
        <w:t>, párr. 228.</w:t>
      </w:r>
    </w:p>
  </w:footnote>
  <w:footnote w:id="9">
    <w:p w14:paraId="23AC2BA5" w14:textId="6C96CE53" w:rsidR="00CB2B4E" w:rsidRPr="00D34116" w:rsidRDefault="00CB2B4E" w:rsidP="00D34116">
      <w:pPr>
        <w:pStyle w:val="NormalWeb"/>
        <w:spacing w:before="0" w:beforeAutospacing="0" w:after="0" w:afterAutospacing="0"/>
        <w:jc w:val="both"/>
        <w:rPr>
          <w:rFonts w:ascii="Verdana" w:hAnsi="Verdana"/>
          <w:sz w:val="16"/>
          <w:szCs w:val="16"/>
          <w:lang w:val="es-ES_tradnl"/>
        </w:rPr>
      </w:pPr>
      <w:r w:rsidRPr="00D34116">
        <w:rPr>
          <w:rStyle w:val="FootnoteReference"/>
          <w:rFonts w:ascii="Verdana" w:hAnsi="Verdana"/>
          <w:sz w:val="16"/>
          <w:szCs w:val="16"/>
          <w:lang w:val="es-ES_tradnl"/>
        </w:rPr>
        <w:footnoteRef/>
      </w:r>
      <w:r w:rsidRPr="00D34116">
        <w:rPr>
          <w:rFonts w:ascii="Verdana" w:hAnsi="Verdana"/>
          <w:sz w:val="16"/>
          <w:szCs w:val="16"/>
          <w:lang w:val="es-ES_tradnl"/>
        </w:rPr>
        <w:t xml:space="preserve"> </w:t>
      </w:r>
      <w:r w:rsidRPr="00D34116">
        <w:rPr>
          <w:rFonts w:ascii="Verdana" w:hAnsi="Verdana"/>
          <w:sz w:val="16"/>
          <w:szCs w:val="16"/>
          <w:lang w:val="es-ES_tradnl"/>
        </w:rPr>
        <w:tab/>
      </w:r>
      <w:r w:rsidRPr="00D34116">
        <w:rPr>
          <w:rFonts w:ascii="Verdana" w:hAnsi="Verdana"/>
          <w:i/>
          <w:iCs/>
          <w:sz w:val="16"/>
          <w:szCs w:val="16"/>
          <w:lang w:val="es-ES_tradnl"/>
        </w:rPr>
        <w:t xml:space="preserve">Cfr. Caso </w:t>
      </w:r>
      <w:proofErr w:type="spellStart"/>
      <w:r w:rsidRPr="00D34116">
        <w:rPr>
          <w:rFonts w:ascii="Verdana" w:hAnsi="Verdana"/>
          <w:i/>
          <w:iCs/>
          <w:sz w:val="16"/>
          <w:szCs w:val="16"/>
          <w:lang w:val="es-ES_tradnl"/>
        </w:rPr>
        <w:t>Apitz</w:t>
      </w:r>
      <w:proofErr w:type="spellEnd"/>
      <w:r w:rsidRPr="00D34116">
        <w:rPr>
          <w:rFonts w:ascii="Verdana" w:hAnsi="Verdana"/>
          <w:i/>
          <w:iCs/>
          <w:sz w:val="16"/>
          <w:szCs w:val="16"/>
          <w:lang w:val="es-ES_tradnl"/>
        </w:rPr>
        <w:t xml:space="preserve"> Barbera y otros (“Corte Primera de lo Contencioso Administrativo”) Vs. Venezuela. Excepción Preliminar, Fondo, Reparaciones y Costas. </w:t>
      </w:r>
      <w:r w:rsidRPr="00D34116">
        <w:rPr>
          <w:rFonts w:ascii="Verdana" w:hAnsi="Verdana"/>
          <w:sz w:val="16"/>
          <w:szCs w:val="16"/>
          <w:lang w:val="es-ES_tradnl"/>
        </w:rPr>
        <w:t xml:space="preserve">Sentencia de 5 de agosto de 2008. Serie C No. 182, párr. 72; </w:t>
      </w:r>
      <w:r w:rsidRPr="00D34116">
        <w:rPr>
          <w:rFonts w:ascii="Verdana" w:hAnsi="Verdana"/>
          <w:i/>
          <w:iCs/>
          <w:sz w:val="16"/>
          <w:szCs w:val="16"/>
          <w:lang w:val="es-ES_tradnl"/>
        </w:rPr>
        <w:t>Caso Bayarri Vs. Argentina. Excepción Preliminar, Fondo, Reparaciones y Costas</w:t>
      </w:r>
      <w:r w:rsidRPr="00D34116">
        <w:rPr>
          <w:rFonts w:ascii="Verdana" w:hAnsi="Verdana"/>
          <w:sz w:val="16"/>
          <w:szCs w:val="16"/>
          <w:lang w:val="es-ES_tradnl"/>
        </w:rPr>
        <w:t xml:space="preserve">. Sentencia de 30 de octubre de 2008. Serie C No. 187, </w:t>
      </w:r>
      <w:proofErr w:type="spellStart"/>
      <w:r w:rsidRPr="00D34116">
        <w:rPr>
          <w:rFonts w:ascii="Verdana" w:hAnsi="Verdana"/>
          <w:sz w:val="16"/>
          <w:szCs w:val="16"/>
          <w:lang w:val="es-ES_tradnl"/>
        </w:rPr>
        <w:t>párr</w:t>
      </w:r>
      <w:proofErr w:type="spellEnd"/>
      <w:r w:rsidRPr="00D34116">
        <w:rPr>
          <w:rFonts w:ascii="Verdana" w:hAnsi="Verdana"/>
          <w:sz w:val="16"/>
          <w:szCs w:val="16"/>
          <w:lang w:val="es-ES_tradnl"/>
        </w:rPr>
        <w:t xml:space="preserve">. 101, y </w:t>
      </w:r>
      <w:r w:rsidRPr="00D34116">
        <w:rPr>
          <w:rFonts w:ascii="Verdana" w:hAnsi="Verdana"/>
          <w:i/>
          <w:iCs/>
          <w:sz w:val="16"/>
          <w:szCs w:val="16"/>
          <w:lang w:val="es-ES_tradnl"/>
        </w:rPr>
        <w:t>Caso Cabrera García y Montiel Flores Vs. México. Excepción Preliminar, Fondo, Reparaciones y Costas</w:t>
      </w:r>
      <w:r w:rsidRPr="00D34116">
        <w:rPr>
          <w:rFonts w:ascii="Verdana" w:hAnsi="Verdana"/>
          <w:sz w:val="16"/>
          <w:szCs w:val="16"/>
          <w:lang w:val="es-ES_tradnl"/>
        </w:rPr>
        <w:t xml:space="preserve">. Sentencia de 26 de noviembre de 2010. Serie C No. 220, párr. 140. </w:t>
      </w:r>
    </w:p>
  </w:footnote>
  <w:footnote w:id="10">
    <w:p w14:paraId="7460682D" w14:textId="67757ED8" w:rsidR="00CB2B4E" w:rsidRPr="00D34116" w:rsidRDefault="00CB2B4E" w:rsidP="00D34116">
      <w:pPr>
        <w:pStyle w:val="FootnoteText"/>
        <w:jc w:val="both"/>
        <w:rPr>
          <w:rFonts w:ascii="Verdana" w:hAnsi="Verdana" w:cs="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Barbani</w:t>
      </w:r>
      <w:proofErr w:type="spellEnd"/>
      <w:r w:rsidRPr="00D34116">
        <w:rPr>
          <w:rFonts w:ascii="Verdana" w:hAnsi="Verdana" w:cs="Verdana"/>
          <w:bCs/>
          <w:i/>
          <w:sz w:val="16"/>
          <w:szCs w:val="16"/>
        </w:rPr>
        <w:t xml:space="preserve"> Duarte y Otros Vs. Uruguay. Fon</w:t>
      </w:r>
      <w:r w:rsidR="004B2D72">
        <w:rPr>
          <w:rFonts w:ascii="Verdana" w:hAnsi="Verdana" w:cs="Verdana"/>
          <w:bCs/>
          <w:i/>
          <w:sz w:val="16"/>
          <w:szCs w:val="16"/>
        </w:rPr>
        <w:t>do Reparaciones y C</w:t>
      </w:r>
      <w:r w:rsidRPr="00D34116">
        <w:rPr>
          <w:rFonts w:ascii="Verdana" w:hAnsi="Verdana" w:cs="Verdana"/>
          <w:bCs/>
          <w:i/>
          <w:sz w:val="16"/>
          <w:szCs w:val="16"/>
        </w:rPr>
        <w:t>ostas</w:t>
      </w:r>
      <w:r w:rsidRPr="00D34116">
        <w:rPr>
          <w:rFonts w:ascii="Verdana" w:hAnsi="Verdana" w:cs="Verdana"/>
          <w:bCs/>
          <w:sz w:val="16"/>
          <w:szCs w:val="16"/>
        </w:rPr>
        <w:t xml:space="preserve">. Sentencia de 13 de octubre de 2011. Serie C No. 234, párr. 122. </w:t>
      </w:r>
    </w:p>
  </w:footnote>
  <w:footnote w:id="11">
    <w:p w14:paraId="7C9BE45F" w14:textId="6A72C060" w:rsidR="00CB2B4E" w:rsidRPr="00D34116" w:rsidRDefault="00CB2B4E" w:rsidP="00D34116">
      <w:pPr>
        <w:pStyle w:val="ListParagraph"/>
        <w:ind w:left="0"/>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w:t>
      </w:r>
      <w:r w:rsidRPr="00D34116">
        <w:rPr>
          <w:rFonts w:ascii="Verdana" w:hAnsi="Verdana" w:cs="Verdana"/>
          <w:bCs/>
          <w:i/>
          <w:sz w:val="16"/>
          <w:szCs w:val="16"/>
        </w:rPr>
        <w:t>Caso Barreto Leiva Vs. Venezuela. Fondo, Reparaciones y Costas.</w:t>
      </w:r>
      <w:r w:rsidRPr="00D34116">
        <w:rPr>
          <w:rFonts w:ascii="Verdana" w:hAnsi="Verdana" w:cs="Verdana"/>
          <w:bCs/>
          <w:sz w:val="16"/>
          <w:szCs w:val="16"/>
        </w:rPr>
        <w:t xml:space="preserve"> Sentencia de 17 de noviembre de 2009. Serie C No. 206, </w:t>
      </w:r>
      <w:r w:rsidRPr="00D34116">
        <w:rPr>
          <w:rFonts w:ascii="Verdana" w:hAnsi="Verdana"/>
          <w:sz w:val="16"/>
          <w:szCs w:val="16"/>
        </w:rPr>
        <w:t xml:space="preserve">párr. 75. En la misma línea, uno de los mayores desarrollos jurisprudenciales en esta materia ha versado en la temática de jurisdicción militar. Bajo esta concepción, la Corte IDH ha declarado que, en caso de que un Estado conserve la jurisdicción militar, ésta debe de cumplir con tres características: i) tener un alcance restrictivo y excepcional, ii) encontrarse inspirada en los principios y garantías que rigen el derecho penal moderno y iii) estar encaminada a la protección de intereses jurídicos especiales, vinculados a las funciones propias de las fuerzas militares. </w:t>
      </w:r>
      <w:r w:rsidRPr="00D34116">
        <w:rPr>
          <w:rFonts w:ascii="Verdana" w:hAnsi="Verdana"/>
          <w:i/>
          <w:sz w:val="16"/>
          <w:szCs w:val="16"/>
        </w:rPr>
        <w:t xml:space="preserve">Cfr. </w:t>
      </w:r>
      <w:r w:rsidRPr="00D34116">
        <w:rPr>
          <w:rFonts w:ascii="Verdana" w:hAnsi="Verdana" w:cs="Verdana"/>
          <w:bCs/>
          <w:i/>
          <w:sz w:val="16"/>
          <w:szCs w:val="16"/>
        </w:rPr>
        <w:t>Caso Durand y Ugarte Vs. Perú. Fondo.</w:t>
      </w:r>
      <w:r w:rsidRPr="00D34116">
        <w:rPr>
          <w:rFonts w:ascii="Verdana" w:hAnsi="Verdana" w:cs="Verdana"/>
          <w:bCs/>
          <w:sz w:val="16"/>
          <w:szCs w:val="16"/>
        </w:rPr>
        <w:t xml:space="preserve"> Sentencia de 16 de agosto de 2000. Serie C No. 68, párr. 117; </w:t>
      </w:r>
      <w:r w:rsidRPr="00D34116">
        <w:rPr>
          <w:rFonts w:ascii="Verdana" w:hAnsi="Verdana" w:cs="Verdana"/>
          <w:bCs/>
          <w:i/>
          <w:sz w:val="16"/>
          <w:szCs w:val="16"/>
        </w:rPr>
        <w:t>Caso Masacre de Santo Domingo Vs. Colombia. Excepciones Preliminares, Fondo y Reparaciones</w:t>
      </w:r>
      <w:r w:rsidRPr="00D34116">
        <w:rPr>
          <w:rFonts w:ascii="Verdana" w:hAnsi="Verdana" w:cs="Verdana"/>
          <w:bCs/>
          <w:sz w:val="16"/>
          <w:szCs w:val="16"/>
        </w:rPr>
        <w:t>. Sentencia de 30 de noviembre de 2012. Serie C No. 259, párr. 158</w:t>
      </w:r>
      <w:r w:rsidR="00E44FDA">
        <w:rPr>
          <w:rFonts w:ascii="Verdana" w:hAnsi="Verdana" w:cs="Verdana"/>
          <w:bCs/>
          <w:sz w:val="16"/>
          <w:szCs w:val="16"/>
        </w:rPr>
        <w:t>,</w:t>
      </w:r>
      <w:r w:rsidRPr="00D34116">
        <w:rPr>
          <w:rFonts w:ascii="Verdana" w:hAnsi="Verdana" w:cs="Verdana"/>
          <w:bCs/>
          <w:sz w:val="16"/>
          <w:szCs w:val="16"/>
        </w:rPr>
        <w:t xml:space="preserve"> y </w:t>
      </w:r>
      <w:r w:rsidRPr="00D34116">
        <w:rPr>
          <w:rFonts w:ascii="Verdana" w:hAnsi="Verdana" w:cs="Verdana"/>
          <w:bCs/>
          <w:i/>
          <w:sz w:val="16"/>
          <w:szCs w:val="16"/>
        </w:rPr>
        <w:t>Caso Radilla Pacheco Vs. México. Excepciones Preliminares, Fondo, Reparaciones y Costas</w:t>
      </w:r>
      <w:r w:rsidRPr="00D34116">
        <w:rPr>
          <w:rFonts w:ascii="Verdana" w:hAnsi="Verdana" w:cs="Verdana"/>
          <w:bCs/>
          <w:sz w:val="16"/>
          <w:szCs w:val="16"/>
        </w:rPr>
        <w:t xml:space="preserve">. Sentencia de 23 de Noviembre de 2009. Serie C No. 209, párr. 272. </w:t>
      </w:r>
    </w:p>
    <w:p w14:paraId="5C3076C6" w14:textId="77777777" w:rsidR="00CB2B4E" w:rsidRPr="00D34116" w:rsidRDefault="00CB2B4E" w:rsidP="00D34116">
      <w:pPr>
        <w:pStyle w:val="FootnoteText"/>
        <w:jc w:val="both"/>
        <w:rPr>
          <w:rFonts w:ascii="Verdana" w:hAnsi="Verdana"/>
          <w:sz w:val="16"/>
          <w:szCs w:val="16"/>
        </w:rPr>
      </w:pPr>
    </w:p>
  </w:footnote>
  <w:footnote w:id="12">
    <w:p w14:paraId="33E1516F" w14:textId="20148A57" w:rsidR="00CB2B4E" w:rsidRPr="00D34116" w:rsidRDefault="00CB2B4E" w:rsidP="00D34116">
      <w:pPr>
        <w:pStyle w:val="FootnoteText"/>
        <w:jc w:val="both"/>
        <w:rPr>
          <w:rFonts w:ascii="Verdana" w:hAnsi="Verdana" w:cs="Verdana"/>
          <w:b/>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La Expresión "Leyes" en el Artículo 30 de la Convención Americana sobre Derechos Humanos</w:t>
      </w:r>
      <w:r w:rsidRPr="00D34116">
        <w:rPr>
          <w:rFonts w:ascii="Verdana" w:hAnsi="Verdana" w:cs="Verdana"/>
          <w:bCs/>
          <w:sz w:val="16"/>
          <w:szCs w:val="16"/>
        </w:rPr>
        <w:t>. Opinión Consultiva OC-6/86 del 9 de mayo de 1986. Serie A No. 6, párr. 38</w:t>
      </w:r>
      <w:r w:rsidR="00282521">
        <w:rPr>
          <w:rFonts w:ascii="Verdana" w:hAnsi="Verdana" w:cs="Verdana"/>
          <w:bCs/>
          <w:sz w:val="16"/>
          <w:szCs w:val="16"/>
        </w:rPr>
        <w:t>.</w:t>
      </w:r>
    </w:p>
  </w:footnote>
  <w:footnote w:id="13">
    <w:p w14:paraId="523D1774" w14:textId="7AF52D5F"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Barreto Leiva Vs. Venezuela. Fondo, Reparaciones y Costas.</w:t>
      </w:r>
      <w:r w:rsidRPr="00D34116">
        <w:rPr>
          <w:rFonts w:ascii="Verdana" w:hAnsi="Verdana" w:cs="Verdana"/>
          <w:bCs/>
          <w:sz w:val="16"/>
          <w:szCs w:val="16"/>
        </w:rPr>
        <w:t xml:space="preserve"> Sentencia de 17 de noviembre de 2009. Serie C No. 206, </w:t>
      </w:r>
      <w:r w:rsidRPr="00D34116">
        <w:rPr>
          <w:rFonts w:ascii="Verdana" w:hAnsi="Verdana"/>
          <w:sz w:val="16"/>
          <w:szCs w:val="16"/>
        </w:rPr>
        <w:t>párr. 75.</w:t>
      </w:r>
    </w:p>
  </w:footnote>
  <w:footnote w:id="14">
    <w:p w14:paraId="2FCF4BC7" w14:textId="2ADA981D" w:rsidR="00CB2B4E" w:rsidRPr="00D34116" w:rsidRDefault="00CB2B4E" w:rsidP="00D34116">
      <w:pPr>
        <w:pStyle w:val="NormalWeb"/>
        <w:spacing w:before="0" w:beforeAutospacing="0" w:after="0" w:afterAutospacing="0"/>
        <w:jc w:val="both"/>
        <w:rPr>
          <w:rFonts w:ascii="Verdana" w:hAnsi="Verdana"/>
          <w:sz w:val="16"/>
          <w:szCs w:val="16"/>
          <w:lang w:val="es-ES_tradnl"/>
        </w:rPr>
      </w:pPr>
      <w:r w:rsidRPr="00D34116">
        <w:rPr>
          <w:rStyle w:val="FootnoteReference"/>
          <w:rFonts w:ascii="Verdana" w:hAnsi="Verdana"/>
          <w:sz w:val="16"/>
          <w:szCs w:val="16"/>
          <w:lang w:val="es-ES_tradnl"/>
        </w:rPr>
        <w:footnoteRef/>
      </w:r>
      <w:r w:rsidRPr="00D34116">
        <w:rPr>
          <w:rFonts w:ascii="Verdana" w:hAnsi="Verdana"/>
          <w:sz w:val="16"/>
          <w:szCs w:val="16"/>
          <w:lang w:val="es-ES_tradnl"/>
        </w:rPr>
        <w:t xml:space="preserve"> </w:t>
      </w:r>
      <w:r w:rsidRPr="00D34116">
        <w:rPr>
          <w:rFonts w:ascii="Verdana" w:hAnsi="Verdana"/>
          <w:sz w:val="16"/>
          <w:szCs w:val="16"/>
          <w:lang w:val="es-ES_tradnl"/>
        </w:rPr>
        <w:tab/>
      </w:r>
      <w:r w:rsidRPr="00D34116">
        <w:rPr>
          <w:rFonts w:ascii="Verdana" w:hAnsi="Verdana"/>
          <w:i/>
          <w:iCs/>
          <w:sz w:val="16"/>
          <w:szCs w:val="16"/>
          <w:lang w:val="es-ES_tradnl"/>
        </w:rPr>
        <w:t xml:space="preserve">Cfr. Caso </w:t>
      </w:r>
      <w:proofErr w:type="spellStart"/>
      <w:r w:rsidRPr="00D34116">
        <w:rPr>
          <w:rFonts w:ascii="Verdana" w:hAnsi="Verdana"/>
          <w:i/>
          <w:iCs/>
          <w:sz w:val="16"/>
          <w:szCs w:val="16"/>
          <w:lang w:val="es-ES_tradnl"/>
        </w:rPr>
        <w:t>Hilaire</w:t>
      </w:r>
      <w:proofErr w:type="spellEnd"/>
      <w:r w:rsidRPr="00D34116">
        <w:rPr>
          <w:rFonts w:ascii="Verdana" w:hAnsi="Verdana"/>
          <w:i/>
          <w:iCs/>
          <w:sz w:val="16"/>
          <w:szCs w:val="16"/>
          <w:lang w:val="es-ES_tradnl"/>
        </w:rPr>
        <w:t xml:space="preserve">, </w:t>
      </w:r>
      <w:proofErr w:type="spellStart"/>
      <w:r w:rsidRPr="00D34116">
        <w:rPr>
          <w:rFonts w:ascii="Verdana" w:hAnsi="Verdana"/>
          <w:i/>
          <w:iCs/>
          <w:sz w:val="16"/>
          <w:szCs w:val="16"/>
          <w:lang w:val="es-ES_tradnl"/>
        </w:rPr>
        <w:t>Constantine</w:t>
      </w:r>
      <w:proofErr w:type="spellEnd"/>
      <w:r w:rsidRPr="00D34116">
        <w:rPr>
          <w:rFonts w:ascii="Verdana" w:hAnsi="Verdana"/>
          <w:i/>
          <w:iCs/>
          <w:sz w:val="16"/>
          <w:szCs w:val="16"/>
          <w:lang w:val="es-ES_tradnl"/>
        </w:rPr>
        <w:t xml:space="preserve"> y </w:t>
      </w:r>
      <w:proofErr w:type="spellStart"/>
      <w:r w:rsidRPr="00D34116">
        <w:rPr>
          <w:rFonts w:ascii="Verdana" w:hAnsi="Verdana"/>
          <w:i/>
          <w:iCs/>
          <w:sz w:val="16"/>
          <w:szCs w:val="16"/>
          <w:lang w:val="es-ES_tradnl"/>
        </w:rPr>
        <w:t>Benjamin</w:t>
      </w:r>
      <w:proofErr w:type="spellEnd"/>
      <w:r w:rsidRPr="00D34116">
        <w:rPr>
          <w:rFonts w:ascii="Verdana" w:hAnsi="Verdana"/>
          <w:i/>
          <w:iCs/>
          <w:sz w:val="16"/>
          <w:szCs w:val="16"/>
          <w:lang w:val="es-ES_tradnl"/>
        </w:rPr>
        <w:t xml:space="preserve"> y otros Vs. Trinidad y Tobago</w:t>
      </w:r>
      <w:r w:rsidRPr="00D34116">
        <w:rPr>
          <w:rFonts w:ascii="Verdana" w:hAnsi="Verdana"/>
          <w:sz w:val="16"/>
          <w:szCs w:val="16"/>
          <w:lang w:val="es-ES_tradnl"/>
        </w:rPr>
        <w:t xml:space="preserve">. </w:t>
      </w:r>
      <w:r w:rsidRPr="00D34116">
        <w:rPr>
          <w:rFonts w:ascii="Verdana" w:hAnsi="Verdana"/>
          <w:i/>
          <w:iCs/>
          <w:sz w:val="16"/>
          <w:szCs w:val="16"/>
          <w:lang w:val="es-ES_tradnl"/>
        </w:rPr>
        <w:t>Fondo, Reparaciones y Costas</w:t>
      </w:r>
      <w:r w:rsidRPr="00D34116">
        <w:rPr>
          <w:rFonts w:ascii="Verdana" w:hAnsi="Verdana"/>
          <w:sz w:val="16"/>
          <w:szCs w:val="16"/>
          <w:lang w:val="es-ES_tradnl"/>
        </w:rPr>
        <w:t xml:space="preserve">. Sentencia de 21 de junio de 2002. Serie C No. 94, </w:t>
      </w:r>
      <w:proofErr w:type="spellStart"/>
      <w:r w:rsidRPr="00D34116">
        <w:rPr>
          <w:rFonts w:ascii="Verdana" w:hAnsi="Verdana"/>
          <w:sz w:val="16"/>
          <w:szCs w:val="16"/>
          <w:lang w:val="es-ES_tradnl"/>
        </w:rPr>
        <w:t>párr</w:t>
      </w:r>
      <w:proofErr w:type="spellEnd"/>
      <w:r w:rsidRPr="00D34116">
        <w:rPr>
          <w:rFonts w:ascii="Verdana" w:hAnsi="Verdana"/>
          <w:sz w:val="16"/>
          <w:szCs w:val="16"/>
          <w:lang w:val="es-ES_tradnl"/>
        </w:rPr>
        <w:t xml:space="preserve">. 145; </w:t>
      </w:r>
      <w:r w:rsidRPr="00D34116">
        <w:rPr>
          <w:rFonts w:ascii="Verdana" w:hAnsi="Verdana" w:cs="Verdana"/>
          <w:bCs/>
          <w:i/>
          <w:sz w:val="16"/>
          <w:szCs w:val="16"/>
          <w:lang w:val="es-ES_tradnl"/>
        </w:rPr>
        <w:t>Caso Heliodoro Portugal Vs. Panamá. Excepciones Preliminares, Fondo, Reparaciones y Costas.</w:t>
      </w:r>
      <w:r w:rsidRPr="00D34116">
        <w:rPr>
          <w:rFonts w:ascii="Verdana" w:hAnsi="Verdana" w:cs="Verdana"/>
          <w:bCs/>
          <w:sz w:val="16"/>
          <w:szCs w:val="16"/>
          <w:lang w:val="es-ES_tradnl"/>
        </w:rPr>
        <w:t xml:space="preserve"> Sentencia de 12 de agosto de 2008. Serie C No. 186,</w:t>
      </w:r>
      <w:r w:rsidRPr="00D34116">
        <w:rPr>
          <w:rFonts w:ascii="Verdana" w:hAnsi="Verdana"/>
          <w:sz w:val="16"/>
          <w:szCs w:val="16"/>
          <w:lang w:val="es-ES_tradnl"/>
        </w:rPr>
        <w:t xml:space="preserve"> </w:t>
      </w:r>
      <w:proofErr w:type="spellStart"/>
      <w:r w:rsidRPr="00D34116">
        <w:rPr>
          <w:rFonts w:ascii="Verdana" w:hAnsi="Verdana"/>
          <w:sz w:val="16"/>
          <w:szCs w:val="16"/>
          <w:lang w:val="es-ES_tradnl"/>
        </w:rPr>
        <w:t>párr</w:t>
      </w:r>
      <w:proofErr w:type="spellEnd"/>
      <w:r w:rsidRPr="00D34116">
        <w:rPr>
          <w:rFonts w:ascii="Verdana" w:hAnsi="Verdana"/>
          <w:sz w:val="16"/>
          <w:szCs w:val="16"/>
          <w:lang w:val="es-ES_tradnl"/>
        </w:rPr>
        <w:t xml:space="preserve">. 148, y </w:t>
      </w:r>
      <w:r w:rsidRPr="00D34116">
        <w:rPr>
          <w:rFonts w:ascii="Verdana" w:hAnsi="Verdana" w:cs="Verdana"/>
          <w:bCs/>
          <w:i/>
          <w:sz w:val="16"/>
          <w:szCs w:val="16"/>
          <w:lang w:val="es-ES_tradnl"/>
        </w:rPr>
        <w:t>Caso Salvador Chiriboga Vs. Ecuador. Reparaciones y Costas</w:t>
      </w:r>
      <w:r w:rsidRPr="00D34116">
        <w:rPr>
          <w:rFonts w:ascii="Verdana" w:hAnsi="Verdana" w:cs="Verdana"/>
          <w:bCs/>
          <w:sz w:val="16"/>
          <w:szCs w:val="16"/>
          <w:lang w:val="es-ES_tradnl"/>
        </w:rPr>
        <w:t>. Sentencia de 3 de marzo de 2011 Serie C No. 222</w:t>
      </w:r>
      <w:r w:rsidRPr="00D34116">
        <w:rPr>
          <w:rFonts w:ascii="Verdana" w:hAnsi="Verdana"/>
          <w:i/>
          <w:iCs/>
          <w:sz w:val="16"/>
          <w:szCs w:val="16"/>
          <w:lang w:val="es-ES_tradnl"/>
        </w:rPr>
        <w:t xml:space="preserve">, </w:t>
      </w:r>
      <w:proofErr w:type="spellStart"/>
      <w:r w:rsidRPr="00D34116">
        <w:rPr>
          <w:rFonts w:ascii="Verdana" w:hAnsi="Verdana"/>
          <w:sz w:val="16"/>
          <w:szCs w:val="16"/>
          <w:lang w:val="es-ES_tradnl"/>
        </w:rPr>
        <w:t>párr</w:t>
      </w:r>
      <w:proofErr w:type="spellEnd"/>
      <w:r w:rsidRPr="00D34116">
        <w:rPr>
          <w:rFonts w:ascii="Verdana" w:hAnsi="Verdana"/>
          <w:sz w:val="16"/>
          <w:szCs w:val="16"/>
          <w:lang w:val="es-ES_tradnl"/>
        </w:rPr>
        <w:t xml:space="preserve">. 59. </w:t>
      </w:r>
    </w:p>
  </w:footnote>
  <w:footnote w:id="15">
    <w:p w14:paraId="064E09D5" w14:textId="50DB6488" w:rsidR="00CB2B4E" w:rsidRPr="00D34116" w:rsidRDefault="00CB2B4E" w:rsidP="00D34116">
      <w:pPr>
        <w:pStyle w:val="NormalWeb"/>
        <w:spacing w:before="0" w:beforeAutospacing="0" w:after="0" w:afterAutospacing="0"/>
        <w:jc w:val="both"/>
        <w:rPr>
          <w:rFonts w:ascii="Verdana" w:hAnsi="Verdana"/>
          <w:sz w:val="16"/>
          <w:szCs w:val="16"/>
          <w:lang w:val="es-ES_tradnl"/>
        </w:rPr>
      </w:pPr>
      <w:r w:rsidRPr="00D34116">
        <w:rPr>
          <w:rStyle w:val="FootnoteReference"/>
          <w:rFonts w:ascii="Verdana" w:hAnsi="Verdana"/>
          <w:sz w:val="16"/>
          <w:szCs w:val="16"/>
          <w:lang w:val="es-ES_tradnl"/>
        </w:rPr>
        <w:footnoteRef/>
      </w:r>
      <w:r w:rsidRPr="00D34116">
        <w:rPr>
          <w:rFonts w:ascii="Verdana" w:hAnsi="Verdana"/>
          <w:sz w:val="16"/>
          <w:szCs w:val="16"/>
          <w:lang w:val="es-ES_tradnl"/>
        </w:rPr>
        <w:t xml:space="preserve"> </w:t>
      </w:r>
      <w:r w:rsidRPr="00D34116">
        <w:rPr>
          <w:rFonts w:ascii="Verdana" w:hAnsi="Verdana"/>
          <w:sz w:val="16"/>
          <w:szCs w:val="16"/>
          <w:lang w:val="es-ES_tradnl"/>
        </w:rPr>
        <w:tab/>
      </w:r>
      <w:r w:rsidRPr="00D34116">
        <w:rPr>
          <w:rFonts w:ascii="Verdana" w:hAnsi="Verdana"/>
          <w:i/>
          <w:sz w:val="16"/>
          <w:szCs w:val="16"/>
          <w:lang w:val="es-ES_tradnl"/>
        </w:rPr>
        <w:t>Cfr.</w:t>
      </w:r>
      <w:r w:rsidRPr="00D34116">
        <w:rPr>
          <w:rFonts w:ascii="Verdana" w:hAnsi="Verdana"/>
          <w:sz w:val="16"/>
          <w:szCs w:val="16"/>
          <w:lang w:val="es-ES_tradnl"/>
        </w:rPr>
        <w:t xml:space="preserve"> </w:t>
      </w:r>
      <w:r w:rsidRPr="00D34116">
        <w:rPr>
          <w:rFonts w:ascii="Verdana" w:hAnsi="Verdana" w:cs="Verdana"/>
          <w:bCs/>
          <w:i/>
          <w:sz w:val="16"/>
          <w:szCs w:val="16"/>
          <w:lang w:val="es-ES_tradnl"/>
        </w:rPr>
        <w:t>Caso Suárez Rosero Vs. Ecuador. Fondo.</w:t>
      </w:r>
      <w:r w:rsidRPr="00D34116">
        <w:rPr>
          <w:rFonts w:ascii="Verdana" w:hAnsi="Verdana" w:cs="Verdana"/>
          <w:bCs/>
          <w:sz w:val="16"/>
          <w:szCs w:val="16"/>
          <w:lang w:val="es-ES_tradnl"/>
        </w:rPr>
        <w:t xml:space="preserve"> Sentencia de 12 de noviembre de 1997. Serie C No. 35,</w:t>
      </w:r>
      <w:r w:rsidRPr="00D34116">
        <w:rPr>
          <w:rFonts w:ascii="Verdana" w:hAnsi="Verdana" w:cs="Verdana"/>
          <w:b/>
          <w:bCs/>
          <w:sz w:val="16"/>
          <w:szCs w:val="16"/>
          <w:lang w:val="es-ES_tradnl"/>
        </w:rPr>
        <w:t xml:space="preserve"> </w:t>
      </w:r>
      <w:proofErr w:type="spellStart"/>
      <w:r w:rsidRPr="00D34116">
        <w:rPr>
          <w:rFonts w:ascii="Verdana" w:hAnsi="Verdana"/>
          <w:sz w:val="16"/>
          <w:szCs w:val="16"/>
          <w:lang w:val="es-ES_tradnl"/>
        </w:rPr>
        <w:t>párr</w:t>
      </w:r>
      <w:proofErr w:type="spellEnd"/>
      <w:r w:rsidRPr="00D34116">
        <w:rPr>
          <w:rFonts w:ascii="Verdana" w:hAnsi="Verdana"/>
          <w:sz w:val="16"/>
          <w:szCs w:val="16"/>
          <w:lang w:val="es-ES_tradnl"/>
        </w:rPr>
        <w:t xml:space="preserve">. 72; </w:t>
      </w:r>
      <w:r w:rsidRPr="00D34116">
        <w:rPr>
          <w:rFonts w:ascii="Verdana" w:hAnsi="Verdana"/>
          <w:i/>
          <w:sz w:val="16"/>
          <w:szCs w:val="16"/>
          <w:lang w:val="es-ES_tradnl"/>
        </w:rPr>
        <w:t xml:space="preserve">Caso Gonzales </w:t>
      </w:r>
      <w:proofErr w:type="spellStart"/>
      <w:r w:rsidRPr="00D34116">
        <w:rPr>
          <w:rFonts w:ascii="Verdana" w:hAnsi="Verdana"/>
          <w:i/>
          <w:sz w:val="16"/>
          <w:szCs w:val="16"/>
          <w:lang w:val="es-ES_tradnl"/>
        </w:rPr>
        <w:t>Lluy</w:t>
      </w:r>
      <w:proofErr w:type="spellEnd"/>
      <w:r w:rsidRPr="00D34116">
        <w:rPr>
          <w:rFonts w:ascii="Verdana" w:hAnsi="Verdana"/>
          <w:i/>
          <w:sz w:val="16"/>
          <w:szCs w:val="16"/>
          <w:lang w:val="es-ES_tradnl"/>
        </w:rPr>
        <w:t xml:space="preserve"> y otros Vs. Ecuador. Excepciones Preliminares, Fondo, Reparaciones y Costas.</w:t>
      </w:r>
      <w:r w:rsidRPr="00D34116">
        <w:rPr>
          <w:rFonts w:ascii="Verdana" w:hAnsi="Verdana"/>
          <w:sz w:val="16"/>
          <w:szCs w:val="16"/>
          <w:lang w:val="es-ES_tradnl"/>
        </w:rPr>
        <w:t xml:space="preserve"> Sentencia de 1 de septiembre de 2015. Serie C No. 298, </w:t>
      </w:r>
      <w:proofErr w:type="spellStart"/>
      <w:r w:rsidRPr="00D34116">
        <w:rPr>
          <w:rFonts w:ascii="Verdana" w:hAnsi="Verdana"/>
          <w:sz w:val="16"/>
          <w:szCs w:val="16"/>
          <w:lang w:val="es-ES_tradnl"/>
        </w:rPr>
        <w:t>párr</w:t>
      </w:r>
      <w:proofErr w:type="spellEnd"/>
      <w:r w:rsidRPr="00D34116">
        <w:rPr>
          <w:rFonts w:ascii="Verdana" w:hAnsi="Verdana"/>
          <w:sz w:val="16"/>
          <w:szCs w:val="16"/>
          <w:lang w:val="es-ES_tradnl"/>
        </w:rPr>
        <w:t xml:space="preserve">. 298 y </w:t>
      </w:r>
      <w:r w:rsidRPr="00D34116">
        <w:rPr>
          <w:rFonts w:ascii="Verdana" w:hAnsi="Verdana" w:cs="Verdana"/>
          <w:bCs/>
          <w:i/>
          <w:sz w:val="16"/>
          <w:szCs w:val="16"/>
          <w:lang w:val="es-ES_tradnl"/>
        </w:rPr>
        <w:t>Caso Quispialaya Vilcapoma Vs. Perú. Excepciones Preliminares, Fondo, Reparaciones y Costas.</w:t>
      </w:r>
      <w:r w:rsidRPr="00D34116">
        <w:rPr>
          <w:rFonts w:ascii="Verdana" w:hAnsi="Verdana" w:cs="Verdana"/>
          <w:bCs/>
          <w:sz w:val="16"/>
          <w:szCs w:val="16"/>
          <w:lang w:val="es-ES_tradnl"/>
        </w:rPr>
        <w:t xml:space="preserve"> Sentencia de 23 de noviembre de 2015. Serie C No. 308, párr. 178. </w:t>
      </w:r>
    </w:p>
  </w:footnote>
  <w:footnote w:id="16">
    <w:p w14:paraId="1A88B3D5" w14:textId="4F0BFB67" w:rsidR="00CB2B4E" w:rsidRPr="00D34116" w:rsidRDefault="00CB2B4E" w:rsidP="00D34116">
      <w:pPr>
        <w:pStyle w:val="FootnoteText"/>
        <w:jc w:val="both"/>
        <w:rPr>
          <w:rFonts w:ascii="Verdana" w:hAnsi="Verdana" w:cs="Verdana"/>
          <w:b/>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 xml:space="preserve">Caso Valle Jaramillo y otros Vs. Colombia. Fondo, Reparaciones y Costas. </w:t>
      </w:r>
      <w:r w:rsidRPr="00D34116">
        <w:rPr>
          <w:rFonts w:ascii="Verdana" w:hAnsi="Verdana" w:cs="Verdana"/>
          <w:bCs/>
          <w:sz w:val="16"/>
          <w:szCs w:val="16"/>
        </w:rPr>
        <w:t>Sentencia de 27 de noviembre de 2008. Serie C No. 192, párr. 155</w:t>
      </w:r>
      <w:r w:rsidR="00282521">
        <w:rPr>
          <w:rFonts w:ascii="Verdana" w:hAnsi="Verdana" w:cs="Verdana"/>
          <w:bCs/>
          <w:sz w:val="16"/>
          <w:szCs w:val="16"/>
        </w:rPr>
        <w:t>,</w:t>
      </w:r>
      <w:r w:rsidRPr="00D34116">
        <w:rPr>
          <w:rFonts w:ascii="Verdana" w:hAnsi="Verdana" w:cs="Verdana"/>
          <w:bCs/>
          <w:sz w:val="16"/>
          <w:szCs w:val="16"/>
        </w:rPr>
        <w:t xml:space="preserve"> y</w:t>
      </w:r>
      <w:r w:rsidRPr="00D34116">
        <w:rPr>
          <w:rFonts w:ascii="Verdana" w:hAnsi="Verdana" w:cs="Verdana"/>
          <w:b/>
          <w:bCs/>
          <w:sz w:val="16"/>
          <w:szCs w:val="16"/>
        </w:rPr>
        <w:t xml:space="preserve"> </w:t>
      </w:r>
      <w:r w:rsidRPr="00D34116">
        <w:rPr>
          <w:rFonts w:ascii="Verdana" w:hAnsi="Verdana"/>
          <w:i/>
          <w:sz w:val="16"/>
          <w:szCs w:val="16"/>
        </w:rPr>
        <w:t xml:space="preserve">Caso Gonzales </w:t>
      </w:r>
      <w:proofErr w:type="spellStart"/>
      <w:r w:rsidRPr="00D34116">
        <w:rPr>
          <w:rFonts w:ascii="Verdana" w:hAnsi="Verdana"/>
          <w:i/>
          <w:sz w:val="16"/>
          <w:szCs w:val="16"/>
        </w:rPr>
        <w:t>Lluy</w:t>
      </w:r>
      <w:proofErr w:type="spellEnd"/>
      <w:r w:rsidRPr="00D34116">
        <w:rPr>
          <w:rFonts w:ascii="Verdana" w:hAnsi="Verdana"/>
          <w:i/>
          <w:sz w:val="16"/>
          <w:szCs w:val="16"/>
        </w:rPr>
        <w:t xml:space="preserve"> y otros Vs. Ecuador. Excepciones Preliminares, Fondo, Reparaciones y Costas.</w:t>
      </w:r>
      <w:r w:rsidRPr="00D34116">
        <w:rPr>
          <w:rFonts w:ascii="Verdana" w:hAnsi="Verdana"/>
          <w:sz w:val="16"/>
          <w:szCs w:val="16"/>
        </w:rPr>
        <w:t xml:space="preserve"> Sentencia de 1 de septiembre de 2015. Serie C No. 298, </w:t>
      </w:r>
      <w:proofErr w:type="spellStart"/>
      <w:r w:rsidRPr="00D34116">
        <w:rPr>
          <w:rFonts w:ascii="Verdana" w:hAnsi="Verdana"/>
          <w:sz w:val="16"/>
          <w:szCs w:val="16"/>
        </w:rPr>
        <w:t>párr</w:t>
      </w:r>
      <w:proofErr w:type="spellEnd"/>
      <w:r w:rsidRPr="00D34116">
        <w:rPr>
          <w:rFonts w:ascii="Verdana" w:hAnsi="Verdana"/>
          <w:sz w:val="16"/>
          <w:szCs w:val="16"/>
        </w:rPr>
        <w:t>. 298</w:t>
      </w:r>
      <w:r w:rsidRPr="00D34116">
        <w:rPr>
          <w:rFonts w:ascii="Verdana" w:hAnsi="Verdana" w:cs="Verdana"/>
          <w:bCs/>
          <w:sz w:val="16"/>
          <w:szCs w:val="16"/>
        </w:rPr>
        <w:t>.</w:t>
      </w:r>
      <w:r w:rsidRPr="00D34116">
        <w:rPr>
          <w:rFonts w:ascii="Verdana" w:hAnsi="Verdana" w:cs="Verdana"/>
          <w:b/>
          <w:bCs/>
          <w:sz w:val="16"/>
          <w:szCs w:val="16"/>
        </w:rPr>
        <w:t xml:space="preserve"> </w:t>
      </w:r>
    </w:p>
  </w:footnote>
  <w:footnote w:id="17">
    <w:p w14:paraId="3059A843" w14:textId="19B8896B" w:rsidR="00CB2B4E" w:rsidRPr="00D34116" w:rsidRDefault="00CB2B4E" w:rsidP="00D34116">
      <w:pPr>
        <w:pStyle w:val="FootnoteText"/>
        <w:jc w:val="both"/>
        <w:rPr>
          <w:rFonts w:ascii="Verdana" w:hAnsi="Verdana" w:cs="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Chaparro Álvarez y Lapo Íñiguez. Vs. Ecuador. Excepciones Preliminares, Fondo, Reparaciones y Costas.</w:t>
      </w:r>
      <w:r w:rsidRPr="00D34116">
        <w:rPr>
          <w:rFonts w:ascii="Verdana" w:hAnsi="Verdana" w:cs="Verdana"/>
          <w:bCs/>
          <w:sz w:val="16"/>
          <w:szCs w:val="16"/>
        </w:rPr>
        <w:t xml:space="preserve"> Sentencia de 21 de noviembre de 2007. Serie C No. 170, párr. 107</w:t>
      </w:r>
      <w:r w:rsidR="00282521">
        <w:rPr>
          <w:rFonts w:ascii="Verdana" w:hAnsi="Verdana" w:cs="Verdana"/>
          <w:bCs/>
          <w:sz w:val="16"/>
          <w:szCs w:val="16"/>
        </w:rPr>
        <w:t>,</w:t>
      </w:r>
      <w:r w:rsidRPr="00D34116">
        <w:rPr>
          <w:rFonts w:ascii="Verdana" w:hAnsi="Verdana" w:cs="Verdana"/>
          <w:bCs/>
          <w:sz w:val="16"/>
          <w:szCs w:val="16"/>
        </w:rPr>
        <w:t xml:space="preserve"> y </w:t>
      </w:r>
      <w:r w:rsidRPr="00D34116">
        <w:rPr>
          <w:rFonts w:ascii="Verdana" w:hAnsi="Verdana" w:cs="Verdana"/>
          <w:bCs/>
          <w:i/>
          <w:sz w:val="16"/>
          <w:szCs w:val="16"/>
        </w:rPr>
        <w:t>Caso Palma Mendoza y otros Vs. Ecuador. Excepción Preliminar y Fondo.</w:t>
      </w:r>
      <w:r w:rsidRPr="00D34116">
        <w:rPr>
          <w:rFonts w:ascii="Verdana" w:hAnsi="Verdana" w:cs="Verdana"/>
          <w:bCs/>
          <w:sz w:val="16"/>
          <w:szCs w:val="16"/>
        </w:rPr>
        <w:t xml:space="preserve"> Sentencia de 3 de septiembre de 2012. Serie C No. 247, párr. 100.</w:t>
      </w:r>
    </w:p>
  </w:footnote>
  <w:footnote w:id="18">
    <w:p w14:paraId="6501EA78" w14:textId="682EB09C" w:rsidR="00CB2B4E" w:rsidRPr="00D34116" w:rsidRDefault="00CB2B4E" w:rsidP="00D34116">
      <w:pPr>
        <w:pStyle w:val="FootnoteText"/>
        <w:jc w:val="both"/>
        <w:rPr>
          <w:rFonts w:ascii="Verdana" w:hAnsi="Verdana" w:cs="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Palma Mendoza y otros Vs. Ecuador. Excepción Preliminar y Fondo.</w:t>
      </w:r>
      <w:r w:rsidRPr="00D34116">
        <w:rPr>
          <w:rFonts w:ascii="Verdana" w:hAnsi="Verdana" w:cs="Verdana"/>
          <w:bCs/>
          <w:sz w:val="16"/>
          <w:szCs w:val="16"/>
        </w:rPr>
        <w:t xml:space="preserve"> Sentencia de 3 de septiembre de 2012. Serie C No. 247, párr. 100.</w:t>
      </w:r>
    </w:p>
    <w:p w14:paraId="744FC6B1" w14:textId="77777777" w:rsidR="00CB2B4E" w:rsidRPr="00D34116" w:rsidRDefault="00CB2B4E" w:rsidP="00D34116">
      <w:pPr>
        <w:pStyle w:val="FootnoteText"/>
        <w:jc w:val="both"/>
        <w:rPr>
          <w:rFonts w:ascii="Verdana" w:hAnsi="Verdana" w:cs="Verdana"/>
          <w:bCs/>
          <w:sz w:val="16"/>
          <w:szCs w:val="16"/>
        </w:rPr>
      </w:pPr>
    </w:p>
  </w:footnote>
  <w:footnote w:id="19">
    <w:p w14:paraId="1E53D7DB" w14:textId="07956D55" w:rsidR="00CB2B4E" w:rsidRPr="00D34116" w:rsidRDefault="00CB2B4E" w:rsidP="00D34116">
      <w:pPr>
        <w:pStyle w:val="FootnoteText"/>
        <w:jc w:val="both"/>
        <w:rPr>
          <w:rFonts w:ascii="Verdana" w:hAnsi="Verdana" w:cs="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Voto razonado del Juez Sergio García Ramírez, </w:t>
      </w:r>
      <w:r w:rsidRPr="00D34116">
        <w:rPr>
          <w:rFonts w:ascii="Verdana" w:hAnsi="Verdana" w:cs="Verdana"/>
          <w:bCs/>
          <w:sz w:val="16"/>
          <w:szCs w:val="16"/>
        </w:rPr>
        <w:t xml:space="preserve">párrs. 7, 8 y 10, </w:t>
      </w:r>
      <w:r w:rsidR="00DB53BE">
        <w:rPr>
          <w:rFonts w:ascii="Verdana" w:hAnsi="Verdana"/>
          <w:sz w:val="16"/>
          <w:szCs w:val="16"/>
        </w:rPr>
        <w:t xml:space="preserve"> en e</w:t>
      </w:r>
      <w:r w:rsidRPr="00D34116">
        <w:rPr>
          <w:rFonts w:ascii="Verdana" w:hAnsi="Verdana"/>
          <w:sz w:val="16"/>
          <w:szCs w:val="16"/>
        </w:rPr>
        <w:t xml:space="preserve">l </w:t>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Usón</w:t>
      </w:r>
      <w:proofErr w:type="spellEnd"/>
      <w:r w:rsidRPr="00D34116">
        <w:rPr>
          <w:rFonts w:ascii="Verdana" w:hAnsi="Verdana" w:cs="Verdana"/>
          <w:bCs/>
          <w:i/>
          <w:sz w:val="16"/>
          <w:szCs w:val="16"/>
        </w:rPr>
        <w:t xml:space="preserve"> Ramírez Vs. Venezuela. Excepción Preliminar, Fondo, Reparaciones y Costas</w:t>
      </w:r>
      <w:r w:rsidRPr="00D34116">
        <w:rPr>
          <w:rFonts w:ascii="Verdana" w:hAnsi="Verdana" w:cs="Verdana"/>
          <w:bCs/>
          <w:sz w:val="16"/>
          <w:szCs w:val="16"/>
        </w:rPr>
        <w:t>. Sentencia de 20 de noviembre de 2009. Serie C No. 207.</w:t>
      </w:r>
    </w:p>
  </w:footnote>
  <w:footnote w:id="20">
    <w:p w14:paraId="185F743A" w14:textId="5C7907AB"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w:t>
      </w:r>
      <w:r w:rsidRPr="00D34116">
        <w:rPr>
          <w:rFonts w:ascii="Verdana" w:hAnsi="Verdana" w:cs="Verdana"/>
          <w:bCs/>
          <w:i/>
          <w:sz w:val="16"/>
          <w:szCs w:val="16"/>
        </w:rPr>
        <w:t>aso Fermín Ramírez Vs. Guatemala. Fondo, Reparaciones y Costas.</w:t>
      </w:r>
      <w:r w:rsidRPr="00D34116">
        <w:rPr>
          <w:rFonts w:ascii="Verdana" w:hAnsi="Verdana" w:cs="Verdana"/>
          <w:bCs/>
          <w:sz w:val="16"/>
          <w:szCs w:val="16"/>
        </w:rPr>
        <w:t xml:space="preserve"> Sentencia de 20 de junio de 2005. Serie C No. 126</w:t>
      </w:r>
      <w:r w:rsidRPr="00D34116">
        <w:rPr>
          <w:rFonts w:ascii="Verdana" w:hAnsi="Verdana"/>
          <w:sz w:val="16"/>
          <w:szCs w:val="16"/>
        </w:rPr>
        <w:t xml:space="preserve">. párr. 66. </w:t>
      </w:r>
    </w:p>
  </w:footnote>
  <w:footnote w:id="21">
    <w:p w14:paraId="2E1C8E7D" w14:textId="6640D0E5"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Lori</w:t>
      </w:r>
      <w:proofErr w:type="spellEnd"/>
      <w:r w:rsidRPr="00D34116">
        <w:rPr>
          <w:rFonts w:ascii="Verdana" w:hAnsi="Verdana" w:cs="Verdana"/>
          <w:bCs/>
          <w:i/>
          <w:sz w:val="16"/>
          <w:szCs w:val="16"/>
        </w:rPr>
        <w:t xml:space="preserve"> </w:t>
      </w:r>
      <w:proofErr w:type="spellStart"/>
      <w:r w:rsidRPr="00D34116">
        <w:rPr>
          <w:rFonts w:ascii="Verdana" w:hAnsi="Verdana" w:cs="Verdana"/>
          <w:bCs/>
          <w:i/>
          <w:sz w:val="16"/>
          <w:szCs w:val="16"/>
        </w:rPr>
        <w:t>Berenson</w:t>
      </w:r>
      <w:proofErr w:type="spellEnd"/>
      <w:r w:rsidRPr="00D34116">
        <w:rPr>
          <w:rFonts w:ascii="Verdana" w:hAnsi="Verdana" w:cs="Verdana"/>
          <w:bCs/>
          <w:i/>
          <w:sz w:val="16"/>
          <w:szCs w:val="16"/>
        </w:rPr>
        <w:t xml:space="preserve"> Mejía Vs. Perú. Fondo, Reparaciones y Costas. </w:t>
      </w:r>
      <w:r w:rsidRPr="00D34116">
        <w:rPr>
          <w:rFonts w:ascii="Verdana" w:hAnsi="Verdana" w:cs="Verdana"/>
          <w:bCs/>
          <w:sz w:val="16"/>
          <w:szCs w:val="16"/>
        </w:rPr>
        <w:t xml:space="preserve">Sentencia de 25 de noviembre de 2004. Serie C No. 119, </w:t>
      </w:r>
      <w:r w:rsidRPr="00D34116">
        <w:rPr>
          <w:rFonts w:ascii="Verdana" w:hAnsi="Verdana"/>
          <w:sz w:val="16"/>
          <w:szCs w:val="16"/>
        </w:rPr>
        <w:t xml:space="preserve">párr. 176. </w:t>
      </w:r>
    </w:p>
  </w:footnote>
  <w:footnote w:id="22">
    <w:p w14:paraId="3DD734A6" w14:textId="2A2808DC"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El Derecho a la Información sobre la Asistencia Consular en el Marco de las Garantías del Debido Proceso Legal.</w:t>
      </w:r>
      <w:r w:rsidRPr="00D34116">
        <w:rPr>
          <w:rFonts w:ascii="Verdana" w:hAnsi="Verdana" w:cs="Verdana"/>
          <w:bCs/>
          <w:sz w:val="16"/>
          <w:szCs w:val="16"/>
        </w:rPr>
        <w:t xml:space="preserve"> Opinión Consultiva OC-16/99 de 1 de octubre de 1999. Serie A No. 16, </w:t>
      </w:r>
      <w:r w:rsidRPr="00D34116">
        <w:rPr>
          <w:rFonts w:ascii="Verdana" w:hAnsi="Verdana"/>
          <w:sz w:val="16"/>
          <w:szCs w:val="16"/>
        </w:rPr>
        <w:t>párr</w:t>
      </w:r>
      <w:r w:rsidRPr="00D34116">
        <w:rPr>
          <w:rFonts w:ascii="Verdana" w:hAnsi="Verdana" w:cs="Verdana"/>
          <w:bCs/>
          <w:sz w:val="16"/>
          <w:szCs w:val="16"/>
        </w:rPr>
        <w:t xml:space="preserve">. </w:t>
      </w:r>
      <w:r w:rsidRPr="00D34116">
        <w:rPr>
          <w:rFonts w:ascii="Verdana" w:hAnsi="Verdana"/>
          <w:sz w:val="16"/>
          <w:szCs w:val="16"/>
        </w:rPr>
        <w:t xml:space="preserve">119. </w:t>
      </w:r>
    </w:p>
  </w:footnote>
  <w:footnote w:id="23">
    <w:p w14:paraId="406C6086" w14:textId="5CE89C50" w:rsidR="00CB2B4E" w:rsidRPr="00D34116" w:rsidRDefault="00CB2B4E" w:rsidP="00D34116">
      <w:pPr>
        <w:pStyle w:val="ListParagraph"/>
        <w:ind w:left="0"/>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Baldeón</w:t>
      </w:r>
      <w:proofErr w:type="spellEnd"/>
      <w:r w:rsidRPr="00D34116">
        <w:rPr>
          <w:rFonts w:ascii="Verdana" w:hAnsi="Verdana" w:cs="Verdana"/>
          <w:bCs/>
          <w:i/>
          <w:sz w:val="16"/>
          <w:szCs w:val="16"/>
        </w:rPr>
        <w:t xml:space="preserve"> García Vs. Perú. Fondo, Reparaciones y Costas</w:t>
      </w:r>
      <w:r w:rsidRPr="00D34116">
        <w:rPr>
          <w:rFonts w:ascii="Verdana" w:hAnsi="Verdana" w:cs="Verdana"/>
          <w:bCs/>
          <w:sz w:val="16"/>
          <w:szCs w:val="16"/>
        </w:rPr>
        <w:t xml:space="preserve">. Sentencia de 6 de abril de 2006. Serie C No. 147, </w:t>
      </w:r>
      <w:r w:rsidRPr="00D34116">
        <w:rPr>
          <w:rFonts w:ascii="Verdana" w:hAnsi="Verdana"/>
          <w:sz w:val="16"/>
          <w:szCs w:val="16"/>
        </w:rPr>
        <w:t>párr. 203.</w:t>
      </w:r>
    </w:p>
  </w:footnote>
  <w:footnote w:id="24">
    <w:p w14:paraId="24F32809" w14:textId="6C3B047D"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Tibi Vs. Ecuador. Excepciones Preliminares, Fondo, Reparaciones y Costas</w:t>
      </w:r>
      <w:r w:rsidRPr="00D34116">
        <w:rPr>
          <w:rFonts w:ascii="Verdana" w:hAnsi="Verdana" w:cs="Verdana"/>
          <w:bCs/>
          <w:sz w:val="16"/>
          <w:szCs w:val="16"/>
        </w:rPr>
        <w:t>. Sentencia de 7 de septiembre de 2004. Serie C No. 114</w:t>
      </w:r>
      <w:r w:rsidRPr="00D34116">
        <w:rPr>
          <w:rFonts w:ascii="Verdana" w:hAnsi="Verdana"/>
          <w:sz w:val="16"/>
          <w:szCs w:val="16"/>
        </w:rPr>
        <w:t>, párr. 187</w:t>
      </w:r>
      <w:r w:rsidR="00247038">
        <w:rPr>
          <w:rFonts w:ascii="Verdana" w:hAnsi="Verdana"/>
          <w:sz w:val="16"/>
          <w:szCs w:val="16"/>
        </w:rPr>
        <w:t>,</w:t>
      </w:r>
      <w:r w:rsidRPr="00D34116">
        <w:rPr>
          <w:rFonts w:ascii="Verdana" w:hAnsi="Verdana"/>
          <w:sz w:val="16"/>
          <w:szCs w:val="16"/>
        </w:rPr>
        <w:t xml:space="preserve"> y </w:t>
      </w:r>
      <w:r w:rsidRPr="00D34116">
        <w:rPr>
          <w:rFonts w:ascii="Verdana" w:hAnsi="Verdana" w:cs="Verdana"/>
          <w:bCs/>
          <w:i/>
          <w:sz w:val="16"/>
          <w:szCs w:val="16"/>
        </w:rPr>
        <w:t>Caso Barreto Leiva Vs. Venezuela. Fondo, Reparaciones y Costas</w:t>
      </w:r>
      <w:r w:rsidRPr="00D34116">
        <w:rPr>
          <w:rFonts w:ascii="Verdana" w:hAnsi="Verdana" w:cs="Verdana"/>
          <w:bCs/>
          <w:sz w:val="16"/>
          <w:szCs w:val="16"/>
        </w:rPr>
        <w:t xml:space="preserve">. Sentencia de 17 de noviembre de 2009. Serie C No. 206, </w:t>
      </w:r>
      <w:r w:rsidRPr="00D34116">
        <w:rPr>
          <w:rFonts w:ascii="Verdana" w:hAnsi="Verdana"/>
          <w:sz w:val="16"/>
          <w:szCs w:val="16"/>
        </w:rPr>
        <w:t>párr</w:t>
      </w:r>
      <w:r w:rsidRPr="00D34116">
        <w:rPr>
          <w:rFonts w:ascii="Verdana" w:hAnsi="Verdana" w:cs="Verdana"/>
          <w:bCs/>
          <w:sz w:val="16"/>
          <w:szCs w:val="16"/>
        </w:rPr>
        <w:t xml:space="preserve">. </w:t>
      </w:r>
      <w:r w:rsidRPr="00D34116">
        <w:rPr>
          <w:rFonts w:ascii="Verdana" w:hAnsi="Verdana"/>
          <w:sz w:val="16"/>
          <w:szCs w:val="16"/>
        </w:rPr>
        <w:t xml:space="preserve">28. </w:t>
      </w:r>
    </w:p>
  </w:footnote>
  <w:footnote w:id="25">
    <w:p w14:paraId="4BC66B31" w14:textId="62C19256"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Fermín Ramírez Vs. Guatemala. Fondo, Reparaciones y Costas</w:t>
      </w:r>
      <w:r w:rsidRPr="00D34116">
        <w:rPr>
          <w:rFonts w:ascii="Verdana" w:hAnsi="Verdana" w:cs="Verdana"/>
          <w:bCs/>
          <w:sz w:val="16"/>
          <w:szCs w:val="16"/>
        </w:rPr>
        <w:t xml:space="preserve">. Sentencia de 20 de junio de 2005. Serie C No. 126, </w:t>
      </w:r>
      <w:r w:rsidRPr="00D34116">
        <w:rPr>
          <w:rFonts w:ascii="Verdana" w:hAnsi="Verdana"/>
          <w:sz w:val="16"/>
          <w:szCs w:val="16"/>
        </w:rPr>
        <w:t>párr. 67.</w:t>
      </w:r>
    </w:p>
  </w:footnote>
  <w:footnote w:id="26">
    <w:p w14:paraId="74429CF1" w14:textId="2F280E7F" w:rsidR="00CB2B4E" w:rsidRPr="00D34116" w:rsidRDefault="00CB2B4E" w:rsidP="00D34116">
      <w:pPr>
        <w:pStyle w:val="NormalWeb"/>
        <w:spacing w:before="0" w:beforeAutospacing="0" w:after="0" w:afterAutospacing="0"/>
        <w:jc w:val="both"/>
        <w:rPr>
          <w:rFonts w:ascii="Verdana" w:hAnsi="Verdana" w:cs="Verdana"/>
          <w:bCs/>
          <w:sz w:val="16"/>
          <w:szCs w:val="16"/>
          <w:lang w:val="es-ES_tradnl"/>
        </w:rPr>
      </w:pPr>
      <w:r w:rsidRPr="00D34116">
        <w:rPr>
          <w:rStyle w:val="FootnoteReference"/>
          <w:rFonts w:ascii="Verdana" w:hAnsi="Verdana"/>
          <w:sz w:val="16"/>
          <w:szCs w:val="16"/>
          <w:lang w:val="es-ES_tradnl"/>
        </w:rPr>
        <w:footnoteRef/>
      </w:r>
      <w:r w:rsidRPr="00D34116">
        <w:rPr>
          <w:rFonts w:ascii="Verdana" w:hAnsi="Verdana"/>
          <w:sz w:val="16"/>
          <w:szCs w:val="16"/>
          <w:lang w:val="es-ES_tradnl"/>
        </w:rPr>
        <w:t xml:space="preserve"> </w:t>
      </w:r>
      <w:r w:rsidRPr="00D34116">
        <w:rPr>
          <w:rFonts w:ascii="Verdana" w:hAnsi="Verdana"/>
          <w:sz w:val="16"/>
          <w:szCs w:val="16"/>
          <w:lang w:val="es-ES_tradnl"/>
        </w:rPr>
        <w:tab/>
      </w:r>
      <w:r w:rsidRPr="00D34116">
        <w:rPr>
          <w:rFonts w:ascii="Verdana" w:hAnsi="Verdana"/>
          <w:i/>
          <w:sz w:val="16"/>
          <w:szCs w:val="16"/>
          <w:lang w:val="es-ES_tradnl"/>
        </w:rPr>
        <w:t xml:space="preserve">Cfr. </w:t>
      </w:r>
      <w:r w:rsidRPr="00D34116">
        <w:rPr>
          <w:rFonts w:ascii="Verdana" w:hAnsi="Verdana" w:cs="Verdana"/>
          <w:bCs/>
          <w:i/>
          <w:sz w:val="16"/>
          <w:szCs w:val="16"/>
          <w:lang w:val="es-ES_tradnl"/>
        </w:rPr>
        <w:t>Caso Galindo Cárdenas y otros Vs. Perú. Excepciones Preliminares, Fondo, Reparaciones y Costas.</w:t>
      </w:r>
      <w:r w:rsidRPr="00D34116">
        <w:rPr>
          <w:rFonts w:ascii="Verdana" w:hAnsi="Verdana" w:cs="Verdana"/>
          <w:bCs/>
          <w:sz w:val="16"/>
          <w:szCs w:val="16"/>
          <w:lang w:val="es-ES_tradnl"/>
        </w:rPr>
        <w:t xml:space="preserve"> Sentencia de 02 de octubre de 2015. Serie C No. 301, </w:t>
      </w:r>
      <w:r w:rsidRPr="00D34116">
        <w:rPr>
          <w:rFonts w:ascii="Verdana" w:hAnsi="Verdana"/>
          <w:sz w:val="16"/>
          <w:szCs w:val="16"/>
          <w:lang w:val="es-ES_tradnl"/>
        </w:rPr>
        <w:t>párr</w:t>
      </w:r>
      <w:r w:rsidRPr="00D34116">
        <w:rPr>
          <w:rFonts w:ascii="Verdana" w:hAnsi="Verdana" w:cs="Verdana"/>
          <w:bCs/>
          <w:sz w:val="16"/>
          <w:szCs w:val="16"/>
          <w:lang w:val="es-ES_tradnl"/>
        </w:rPr>
        <w:t>. 209</w:t>
      </w:r>
      <w:r w:rsidR="00247038">
        <w:rPr>
          <w:rFonts w:ascii="Verdana" w:hAnsi="Verdana" w:cs="Verdana"/>
          <w:bCs/>
          <w:sz w:val="16"/>
          <w:szCs w:val="16"/>
          <w:lang w:val="es-ES_tradnl"/>
        </w:rPr>
        <w:t>,</w:t>
      </w:r>
      <w:r w:rsidRPr="00D34116">
        <w:rPr>
          <w:rFonts w:ascii="Verdana" w:hAnsi="Verdana" w:cs="Verdana"/>
          <w:bCs/>
          <w:sz w:val="16"/>
          <w:szCs w:val="16"/>
          <w:lang w:val="es-ES_tradnl"/>
        </w:rPr>
        <w:t xml:space="preserve"> </w:t>
      </w:r>
      <w:r w:rsidRPr="00247038">
        <w:rPr>
          <w:rFonts w:ascii="Verdana" w:hAnsi="Verdana" w:cs="Verdana"/>
          <w:bCs/>
          <w:sz w:val="16"/>
          <w:szCs w:val="16"/>
          <w:lang w:val="es-ES_tradnl"/>
        </w:rPr>
        <w:t>y</w:t>
      </w:r>
      <w:r w:rsidRPr="00D34116">
        <w:rPr>
          <w:rFonts w:ascii="Verdana" w:hAnsi="Verdana" w:cs="Verdana"/>
          <w:bCs/>
          <w:i/>
          <w:sz w:val="16"/>
          <w:szCs w:val="16"/>
          <w:lang w:val="es-ES_tradnl"/>
        </w:rPr>
        <w:t xml:space="preserve"> Caso Barreto Leiva Vs. Venezuela. Fondo, Reparaciones y Costas.</w:t>
      </w:r>
      <w:r w:rsidRPr="00D34116">
        <w:rPr>
          <w:rFonts w:ascii="Verdana" w:hAnsi="Verdana" w:cs="Verdana"/>
          <w:bCs/>
          <w:sz w:val="16"/>
          <w:szCs w:val="16"/>
          <w:lang w:val="es-ES_tradnl"/>
        </w:rPr>
        <w:t xml:space="preserve"> Sentencia de 17 de noviembre de 2009. Serie C No. 206</w:t>
      </w:r>
      <w:r w:rsidRPr="00D34116">
        <w:rPr>
          <w:rFonts w:ascii="Verdana" w:hAnsi="Verdana"/>
          <w:sz w:val="16"/>
          <w:szCs w:val="16"/>
          <w:lang w:val="es-ES_tradnl"/>
        </w:rPr>
        <w:t>, párr. 30.</w:t>
      </w:r>
    </w:p>
  </w:footnote>
  <w:footnote w:id="27">
    <w:p w14:paraId="49F8A3A5" w14:textId="2EC0E4F2" w:rsidR="00CB2B4E" w:rsidRPr="00D34116" w:rsidRDefault="00CB2B4E" w:rsidP="00D34116">
      <w:pPr>
        <w:pStyle w:val="NormalWeb"/>
        <w:spacing w:before="0" w:beforeAutospacing="0" w:after="0" w:afterAutospacing="0"/>
        <w:jc w:val="both"/>
        <w:rPr>
          <w:rFonts w:ascii="Verdana" w:hAnsi="Verdana" w:cs="Verdana"/>
          <w:bCs/>
          <w:sz w:val="16"/>
          <w:szCs w:val="16"/>
          <w:lang w:val="es-ES_tradnl"/>
        </w:rPr>
      </w:pPr>
      <w:r w:rsidRPr="00D34116">
        <w:rPr>
          <w:rStyle w:val="FootnoteReference"/>
          <w:rFonts w:ascii="Verdana" w:hAnsi="Verdana"/>
          <w:sz w:val="16"/>
          <w:szCs w:val="16"/>
          <w:lang w:val="es-ES_tradnl"/>
        </w:rPr>
        <w:footnoteRef/>
      </w:r>
      <w:r w:rsidRPr="00D34116">
        <w:rPr>
          <w:rFonts w:ascii="Verdana" w:hAnsi="Verdana"/>
          <w:sz w:val="16"/>
          <w:szCs w:val="16"/>
          <w:lang w:val="es-ES_tradnl"/>
        </w:rPr>
        <w:t xml:space="preserve"> </w:t>
      </w:r>
      <w:r w:rsidRPr="00D34116">
        <w:rPr>
          <w:rFonts w:ascii="Verdana" w:hAnsi="Verdana"/>
          <w:sz w:val="16"/>
          <w:szCs w:val="16"/>
          <w:lang w:val="es-ES_tradnl"/>
        </w:rPr>
        <w:tab/>
      </w:r>
      <w:r w:rsidRPr="00D34116">
        <w:rPr>
          <w:rFonts w:ascii="Verdana" w:hAnsi="Verdana" w:cs="Verdana"/>
          <w:bCs/>
          <w:i/>
          <w:sz w:val="16"/>
          <w:szCs w:val="16"/>
          <w:lang w:val="es-ES_tradnl"/>
        </w:rPr>
        <w:t>Caso Barreto Leiva Vs. Venezuela. Fondo, Reparaciones y Costas</w:t>
      </w:r>
      <w:r w:rsidRPr="00D34116">
        <w:rPr>
          <w:rFonts w:ascii="Verdana" w:hAnsi="Verdana" w:cs="Verdana"/>
          <w:bCs/>
          <w:sz w:val="16"/>
          <w:szCs w:val="16"/>
          <w:lang w:val="es-ES_tradnl"/>
        </w:rPr>
        <w:t xml:space="preserve">. Sentencia de 17 de noviembre de 2009. Serie C No. 206, </w:t>
      </w:r>
      <w:r w:rsidRPr="00D34116">
        <w:rPr>
          <w:rFonts w:ascii="Verdana" w:hAnsi="Verdana"/>
          <w:sz w:val="16"/>
          <w:szCs w:val="16"/>
          <w:lang w:val="es-ES_tradnl"/>
        </w:rPr>
        <w:t>párr</w:t>
      </w:r>
      <w:r w:rsidRPr="00D34116">
        <w:rPr>
          <w:rFonts w:ascii="Verdana" w:hAnsi="Verdana" w:cs="Verdana"/>
          <w:bCs/>
          <w:sz w:val="16"/>
          <w:szCs w:val="16"/>
          <w:lang w:val="es-ES_tradnl"/>
        </w:rPr>
        <w:t xml:space="preserve">. </w:t>
      </w:r>
      <w:r w:rsidRPr="00D34116">
        <w:rPr>
          <w:rFonts w:ascii="Verdana" w:hAnsi="Verdana"/>
          <w:sz w:val="16"/>
          <w:szCs w:val="16"/>
          <w:lang w:val="es-ES_tradnl"/>
        </w:rPr>
        <w:t xml:space="preserve">29; </w:t>
      </w:r>
      <w:r w:rsidRPr="00D34116">
        <w:rPr>
          <w:rFonts w:ascii="Verdana" w:hAnsi="Verdana"/>
          <w:i/>
          <w:iCs/>
          <w:sz w:val="16"/>
          <w:szCs w:val="16"/>
          <w:lang w:val="es-ES_tradnl"/>
        </w:rPr>
        <w:t xml:space="preserve">Caso Heliodoro Portugal Vs. </w:t>
      </w:r>
      <w:proofErr w:type="spellStart"/>
      <w:r w:rsidRPr="00D34116">
        <w:rPr>
          <w:rFonts w:ascii="Verdana" w:hAnsi="Verdana"/>
          <w:i/>
          <w:iCs/>
          <w:sz w:val="16"/>
          <w:szCs w:val="16"/>
          <w:lang w:val="es-ES_tradnl"/>
        </w:rPr>
        <w:t>Panama</w:t>
      </w:r>
      <w:proofErr w:type="spellEnd"/>
      <w:r w:rsidRPr="00D34116">
        <w:rPr>
          <w:rFonts w:ascii="Verdana" w:hAnsi="Verdana"/>
          <w:i/>
          <w:iCs/>
          <w:sz w:val="16"/>
          <w:szCs w:val="16"/>
          <w:lang w:val="es-ES_tradnl"/>
        </w:rPr>
        <w:t xml:space="preserve">́. Excepciones Preliminares, Fondo, Reparaciones y Costas. </w:t>
      </w:r>
      <w:r w:rsidRPr="00D34116">
        <w:rPr>
          <w:rFonts w:ascii="Verdana" w:hAnsi="Verdana"/>
          <w:sz w:val="16"/>
          <w:szCs w:val="16"/>
          <w:lang w:val="es-ES_tradnl"/>
        </w:rPr>
        <w:t xml:space="preserve">Sentencia de 12 de agosto de 2008. Serie C No. 186, </w:t>
      </w:r>
      <w:proofErr w:type="spellStart"/>
      <w:r w:rsidRPr="00D34116">
        <w:rPr>
          <w:rFonts w:ascii="Verdana" w:hAnsi="Verdana"/>
          <w:sz w:val="16"/>
          <w:szCs w:val="16"/>
          <w:lang w:val="es-ES_tradnl"/>
        </w:rPr>
        <w:t>párr</w:t>
      </w:r>
      <w:proofErr w:type="spellEnd"/>
      <w:r w:rsidRPr="00D34116">
        <w:rPr>
          <w:rFonts w:ascii="Verdana" w:hAnsi="Verdana"/>
          <w:sz w:val="16"/>
          <w:szCs w:val="16"/>
          <w:lang w:val="es-ES_tradnl"/>
        </w:rPr>
        <w:t>. 148</w:t>
      </w:r>
      <w:r w:rsidR="00247038">
        <w:rPr>
          <w:rFonts w:ascii="Verdana" w:hAnsi="Verdana"/>
          <w:sz w:val="16"/>
          <w:szCs w:val="16"/>
          <w:lang w:val="es-ES_tradnl"/>
        </w:rPr>
        <w:t>,</w:t>
      </w:r>
      <w:r w:rsidRPr="00D34116">
        <w:rPr>
          <w:rFonts w:ascii="Verdana" w:hAnsi="Verdana"/>
          <w:sz w:val="16"/>
          <w:szCs w:val="16"/>
          <w:lang w:val="es-ES_tradnl"/>
        </w:rPr>
        <w:t xml:space="preserve"> y </w:t>
      </w:r>
      <w:r w:rsidRPr="00D34116">
        <w:rPr>
          <w:rFonts w:ascii="Verdana" w:hAnsi="Verdana" w:cs="Verdana"/>
          <w:bCs/>
          <w:i/>
          <w:sz w:val="16"/>
          <w:szCs w:val="16"/>
          <w:lang w:val="es-ES_tradnl"/>
        </w:rPr>
        <w:t>Caso Bayarri Vs. Argentina. Excepción Preliminar, Fondo, Reparaciones y Costas</w:t>
      </w:r>
      <w:r w:rsidRPr="00D34116">
        <w:rPr>
          <w:rFonts w:ascii="Verdana" w:hAnsi="Verdana" w:cs="Verdana"/>
          <w:bCs/>
          <w:sz w:val="16"/>
          <w:szCs w:val="16"/>
          <w:lang w:val="es-ES_tradnl"/>
        </w:rPr>
        <w:t xml:space="preserve">. Sentencia de 30 de octubre de 2008. Serie C No. 187, </w:t>
      </w:r>
      <w:r w:rsidRPr="00D34116">
        <w:rPr>
          <w:rFonts w:ascii="Verdana" w:hAnsi="Verdana"/>
          <w:sz w:val="16"/>
          <w:szCs w:val="16"/>
          <w:lang w:val="es-ES_tradnl"/>
        </w:rPr>
        <w:t>párr</w:t>
      </w:r>
      <w:r w:rsidRPr="00D34116">
        <w:rPr>
          <w:rFonts w:ascii="Verdana" w:hAnsi="Verdana" w:cs="Verdana"/>
          <w:bCs/>
          <w:sz w:val="16"/>
          <w:szCs w:val="16"/>
          <w:lang w:val="es-ES_tradnl"/>
        </w:rPr>
        <w:t xml:space="preserve">. 105. </w:t>
      </w:r>
    </w:p>
  </w:footnote>
  <w:footnote w:id="28">
    <w:p w14:paraId="4E1B01DA" w14:textId="5206CBE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 xml:space="preserve">Caso Cabrera García y Montiel Flores Vs. México. Excepción Preliminar, Fondo, Reparaciones y Costas. </w:t>
      </w:r>
      <w:r w:rsidRPr="00D34116">
        <w:rPr>
          <w:rFonts w:ascii="Verdana" w:hAnsi="Verdana" w:cs="Verdana"/>
          <w:bCs/>
          <w:sz w:val="16"/>
          <w:szCs w:val="16"/>
        </w:rPr>
        <w:t>Sentencia de 26 de noviembre de 2010 Serie C No. 220</w:t>
      </w:r>
      <w:r w:rsidRPr="00D34116">
        <w:rPr>
          <w:rFonts w:ascii="Verdana" w:hAnsi="Verdana"/>
          <w:sz w:val="16"/>
          <w:szCs w:val="16"/>
        </w:rPr>
        <w:t xml:space="preserve">, párr. 154. </w:t>
      </w:r>
    </w:p>
  </w:footnote>
  <w:footnote w:id="29">
    <w:p w14:paraId="7D22ED0C" w14:textId="2DDB3A9C"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Barreto Leiva Vs. Venezuela. Fondo, Reparaciones y Costas</w:t>
      </w:r>
      <w:r w:rsidRPr="00D34116">
        <w:rPr>
          <w:rFonts w:ascii="Verdana" w:hAnsi="Verdana" w:cs="Verdana"/>
          <w:bCs/>
          <w:sz w:val="16"/>
          <w:szCs w:val="16"/>
        </w:rPr>
        <w:t xml:space="preserve">. Sentencia de 17 de noviembre de 2009. Serie C No. 206, </w:t>
      </w:r>
      <w:r w:rsidRPr="00D34116">
        <w:rPr>
          <w:rFonts w:ascii="Verdana" w:hAnsi="Verdana"/>
          <w:sz w:val="16"/>
          <w:szCs w:val="16"/>
        </w:rPr>
        <w:t>párr</w:t>
      </w:r>
      <w:r w:rsidRPr="00D34116">
        <w:rPr>
          <w:rFonts w:ascii="Verdana" w:hAnsi="Verdana" w:cs="Verdana"/>
          <w:bCs/>
          <w:sz w:val="16"/>
          <w:szCs w:val="16"/>
        </w:rPr>
        <w:t xml:space="preserve">. </w:t>
      </w:r>
      <w:r w:rsidRPr="00D34116">
        <w:rPr>
          <w:rFonts w:ascii="Verdana" w:hAnsi="Verdana"/>
          <w:sz w:val="16"/>
          <w:szCs w:val="16"/>
        </w:rPr>
        <w:t xml:space="preserve">197. </w:t>
      </w:r>
    </w:p>
  </w:footnote>
  <w:footnote w:id="30">
    <w:p w14:paraId="7B3E78F0" w14:textId="69C86C4C"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López Mendoza Vs. Venezuela. Fondo Reparaciones y Costas</w:t>
      </w:r>
      <w:r w:rsidRPr="00D34116">
        <w:rPr>
          <w:rFonts w:ascii="Verdana" w:hAnsi="Verdana" w:cs="Verdana"/>
          <w:bCs/>
          <w:sz w:val="16"/>
          <w:szCs w:val="16"/>
        </w:rPr>
        <w:t>. Sentencia de 1 de septiembre de 2011 Serie C No. 233,</w:t>
      </w:r>
      <w:r w:rsidRPr="00D34116">
        <w:rPr>
          <w:rFonts w:ascii="Verdana" w:hAnsi="Verdana"/>
          <w:sz w:val="16"/>
          <w:szCs w:val="16"/>
        </w:rPr>
        <w:t xml:space="preserve"> párr. 117.</w:t>
      </w:r>
    </w:p>
  </w:footnote>
  <w:footnote w:id="31">
    <w:p w14:paraId="2D028C2E" w14:textId="47BD9760"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w:t>
      </w:r>
      <w:r w:rsidRPr="00D34116">
        <w:rPr>
          <w:rFonts w:ascii="Verdana" w:hAnsi="Verdana" w:cs="Verdana"/>
          <w:bCs/>
          <w:i/>
          <w:sz w:val="16"/>
          <w:szCs w:val="16"/>
        </w:rPr>
        <w:t>Caso Barreto Leiva Vs. Venezuela. Fondo, Reparaciones y Costas</w:t>
      </w:r>
      <w:r w:rsidRPr="00D34116">
        <w:rPr>
          <w:rFonts w:ascii="Verdana" w:hAnsi="Verdana" w:cs="Verdana"/>
          <w:bCs/>
          <w:sz w:val="16"/>
          <w:szCs w:val="16"/>
        </w:rPr>
        <w:t xml:space="preserve">. Sentencia de 17 de noviembre de 2009. Serie C No. 206, </w:t>
      </w:r>
      <w:r w:rsidRPr="00D34116">
        <w:rPr>
          <w:rFonts w:ascii="Verdana" w:hAnsi="Verdana"/>
          <w:sz w:val="16"/>
          <w:szCs w:val="16"/>
        </w:rPr>
        <w:t>párr</w:t>
      </w:r>
      <w:r w:rsidRPr="00D34116">
        <w:rPr>
          <w:rFonts w:ascii="Verdana" w:hAnsi="Verdana" w:cs="Verdana"/>
          <w:bCs/>
          <w:sz w:val="16"/>
          <w:szCs w:val="16"/>
        </w:rPr>
        <w:t xml:space="preserve">. </w:t>
      </w:r>
      <w:r w:rsidRPr="00D34116">
        <w:rPr>
          <w:rFonts w:ascii="Verdana" w:hAnsi="Verdana"/>
          <w:sz w:val="16"/>
          <w:szCs w:val="16"/>
        </w:rPr>
        <w:t>29</w:t>
      </w:r>
      <w:r w:rsidR="00457AFB">
        <w:rPr>
          <w:rFonts w:ascii="Verdana" w:hAnsi="Verdana"/>
          <w:sz w:val="16"/>
          <w:szCs w:val="16"/>
        </w:rPr>
        <w:t>,</w:t>
      </w:r>
      <w:r w:rsidRPr="00D34116">
        <w:rPr>
          <w:rFonts w:ascii="Verdana" w:hAnsi="Verdana"/>
          <w:sz w:val="16"/>
          <w:szCs w:val="16"/>
        </w:rPr>
        <w:t xml:space="preserve"> y </w:t>
      </w:r>
      <w:r w:rsidRPr="00D34116">
        <w:rPr>
          <w:rFonts w:ascii="Verdana" w:hAnsi="Verdana" w:cs="Verdana"/>
          <w:bCs/>
          <w:i/>
          <w:sz w:val="16"/>
          <w:szCs w:val="16"/>
        </w:rPr>
        <w:t>Caso López Mendoza Vs. Venezuela. Fondo Reparaciones y Costas</w:t>
      </w:r>
      <w:r w:rsidRPr="00D34116">
        <w:rPr>
          <w:rFonts w:ascii="Verdana" w:hAnsi="Verdana" w:cs="Verdana"/>
          <w:bCs/>
          <w:sz w:val="16"/>
          <w:szCs w:val="16"/>
        </w:rPr>
        <w:t>. Sentencia de 1 de septiembre de 2011 Serie C No. 233,</w:t>
      </w:r>
      <w:r w:rsidRPr="00D34116">
        <w:rPr>
          <w:rFonts w:ascii="Verdana" w:hAnsi="Verdana"/>
          <w:sz w:val="16"/>
          <w:szCs w:val="16"/>
        </w:rPr>
        <w:t xml:space="preserve"> párr. 117.</w:t>
      </w:r>
    </w:p>
  </w:footnote>
  <w:footnote w:id="32">
    <w:p w14:paraId="3F814FEF" w14:textId="4F650BE0"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w:t>
      </w:r>
      <w:r w:rsidRPr="00D34116">
        <w:rPr>
          <w:rFonts w:ascii="Verdana" w:hAnsi="Verdana" w:cs="Verdana"/>
          <w:bCs/>
          <w:i/>
          <w:sz w:val="16"/>
          <w:szCs w:val="16"/>
        </w:rPr>
        <w:t>Caso Galindo Cárdenas y otros Vs. Perú. Excepciones Preliminares, Fondo, Reparaciones y Costas.</w:t>
      </w:r>
      <w:r w:rsidRPr="00D34116">
        <w:rPr>
          <w:rFonts w:ascii="Verdana" w:hAnsi="Verdana" w:cs="Verdana"/>
          <w:bCs/>
          <w:sz w:val="16"/>
          <w:szCs w:val="16"/>
        </w:rPr>
        <w:t xml:space="preserve"> Sentencia de 02 de octubre de 2015. Serie C No. 301, </w:t>
      </w:r>
      <w:r w:rsidRPr="00D34116">
        <w:rPr>
          <w:rFonts w:ascii="Verdana" w:hAnsi="Verdana"/>
          <w:sz w:val="16"/>
          <w:szCs w:val="16"/>
        </w:rPr>
        <w:t>párr</w:t>
      </w:r>
      <w:r w:rsidRPr="00D34116">
        <w:rPr>
          <w:rFonts w:ascii="Verdana" w:hAnsi="Verdana" w:cs="Verdana"/>
          <w:bCs/>
          <w:sz w:val="16"/>
          <w:szCs w:val="16"/>
        </w:rPr>
        <w:t>. 209;</w:t>
      </w:r>
      <w:r w:rsidRPr="00D34116">
        <w:rPr>
          <w:rFonts w:ascii="Verdana" w:hAnsi="Verdana" w:cs="Verdana"/>
          <w:b/>
          <w:bCs/>
          <w:sz w:val="16"/>
          <w:szCs w:val="16"/>
        </w:rPr>
        <w:t xml:space="preserve"> </w:t>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Palamara</w:t>
      </w:r>
      <w:proofErr w:type="spellEnd"/>
      <w:r w:rsidRPr="00D34116">
        <w:rPr>
          <w:rFonts w:ascii="Verdana" w:hAnsi="Verdana" w:cs="Verdana"/>
          <w:bCs/>
          <w:i/>
          <w:sz w:val="16"/>
          <w:szCs w:val="16"/>
        </w:rPr>
        <w:t xml:space="preserve"> Iribarne Vs. Chile. Fondo, Reparaciones y Costas</w:t>
      </w:r>
      <w:r w:rsidRPr="00D34116">
        <w:rPr>
          <w:rFonts w:ascii="Verdana" w:hAnsi="Verdana" w:cs="Verdana"/>
          <w:bCs/>
          <w:sz w:val="16"/>
          <w:szCs w:val="16"/>
        </w:rPr>
        <w:t xml:space="preserve">. Sentencia de 22 de noviembre de 2005. Serie C No. 135, </w:t>
      </w:r>
      <w:r w:rsidRPr="00D34116">
        <w:rPr>
          <w:rFonts w:ascii="Verdana" w:hAnsi="Verdana"/>
          <w:sz w:val="16"/>
          <w:szCs w:val="16"/>
        </w:rPr>
        <w:t>párr</w:t>
      </w:r>
      <w:r w:rsidRPr="00D34116">
        <w:rPr>
          <w:rFonts w:ascii="Verdana" w:hAnsi="Verdana" w:cs="Verdana"/>
          <w:bCs/>
          <w:sz w:val="16"/>
          <w:szCs w:val="16"/>
        </w:rPr>
        <w:t>. 170</w:t>
      </w:r>
      <w:r w:rsidR="00457AFB">
        <w:rPr>
          <w:rFonts w:ascii="Verdana" w:hAnsi="Verdana" w:cs="Verdana"/>
          <w:bCs/>
          <w:sz w:val="16"/>
          <w:szCs w:val="16"/>
        </w:rPr>
        <w:t>,</w:t>
      </w:r>
      <w:r w:rsidRPr="00D34116">
        <w:rPr>
          <w:rFonts w:ascii="Verdana" w:hAnsi="Verdana" w:cs="Verdana"/>
          <w:bCs/>
          <w:sz w:val="16"/>
          <w:szCs w:val="16"/>
        </w:rPr>
        <w:t xml:space="preserve"> y </w:t>
      </w:r>
      <w:r w:rsidRPr="00D34116">
        <w:rPr>
          <w:rFonts w:ascii="Verdana" w:hAnsi="Verdana" w:cs="Verdana"/>
          <w:bCs/>
          <w:i/>
          <w:sz w:val="16"/>
          <w:szCs w:val="16"/>
        </w:rPr>
        <w:t>Caso Cabrera García y Montiel Flores Vs. México. Excepción Preliminar, Fondo, Reparaciones y Costas</w:t>
      </w:r>
      <w:r w:rsidRPr="00D34116">
        <w:rPr>
          <w:rFonts w:ascii="Verdana" w:hAnsi="Verdana" w:cs="Verdana"/>
          <w:bCs/>
          <w:sz w:val="16"/>
          <w:szCs w:val="16"/>
        </w:rPr>
        <w:t xml:space="preserve">. Sentencia de 26 de noviembre de 2010 Serie C No. 220, </w:t>
      </w:r>
      <w:r w:rsidRPr="00D34116">
        <w:rPr>
          <w:rFonts w:ascii="Verdana" w:hAnsi="Verdana"/>
          <w:sz w:val="16"/>
          <w:szCs w:val="16"/>
        </w:rPr>
        <w:t>párr</w:t>
      </w:r>
      <w:r w:rsidRPr="00D34116">
        <w:rPr>
          <w:rFonts w:ascii="Verdana" w:hAnsi="Verdana" w:cs="Verdana"/>
          <w:bCs/>
          <w:sz w:val="16"/>
          <w:szCs w:val="16"/>
        </w:rPr>
        <w:t xml:space="preserve">. </w:t>
      </w:r>
      <w:r w:rsidRPr="00D34116">
        <w:rPr>
          <w:rFonts w:ascii="Verdana" w:hAnsi="Verdana"/>
          <w:sz w:val="16"/>
          <w:szCs w:val="16"/>
        </w:rPr>
        <w:t>156.</w:t>
      </w:r>
    </w:p>
  </w:footnote>
  <w:footnote w:id="33">
    <w:p w14:paraId="6776DF76" w14:textId="04525985"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Barreto Leiva Vs. Venezuela. Fondo, Reparaciones y Costas</w:t>
      </w:r>
      <w:r w:rsidRPr="00D34116">
        <w:rPr>
          <w:rFonts w:ascii="Verdana" w:hAnsi="Verdana" w:cs="Verdana"/>
          <w:bCs/>
          <w:sz w:val="16"/>
          <w:szCs w:val="16"/>
        </w:rPr>
        <w:t xml:space="preserve">. Sentencia de 17 de noviembre de 2009. Serie C No. 206, </w:t>
      </w:r>
      <w:r w:rsidRPr="00D34116">
        <w:rPr>
          <w:rFonts w:ascii="Verdana" w:hAnsi="Verdana"/>
          <w:sz w:val="16"/>
          <w:szCs w:val="16"/>
        </w:rPr>
        <w:t>párr</w:t>
      </w:r>
      <w:r w:rsidRPr="00D34116">
        <w:rPr>
          <w:rFonts w:ascii="Verdana" w:hAnsi="Verdana" w:cs="Verdana"/>
          <w:bCs/>
          <w:sz w:val="16"/>
          <w:szCs w:val="16"/>
        </w:rPr>
        <w:t>. 54.</w:t>
      </w:r>
    </w:p>
  </w:footnote>
  <w:footnote w:id="34">
    <w:p w14:paraId="3B23BD9F" w14:textId="72856D95"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Radilla Pacheco Vs. México. Excepciones Preliminares, Fondo, Reparaciones y Costas</w:t>
      </w:r>
      <w:r w:rsidRPr="00D34116">
        <w:rPr>
          <w:rFonts w:ascii="Verdana" w:hAnsi="Verdana" w:cs="Verdana"/>
          <w:bCs/>
          <w:sz w:val="16"/>
          <w:szCs w:val="16"/>
        </w:rPr>
        <w:t xml:space="preserve">. Sentencia de 23 de Noviembre de 2009. Serie C No. 209, </w:t>
      </w:r>
      <w:r w:rsidRPr="00D34116">
        <w:rPr>
          <w:rFonts w:ascii="Verdana" w:hAnsi="Verdana"/>
          <w:sz w:val="16"/>
          <w:szCs w:val="16"/>
        </w:rPr>
        <w:t>párr</w:t>
      </w:r>
      <w:r w:rsidRPr="00D34116">
        <w:rPr>
          <w:rFonts w:ascii="Verdana" w:hAnsi="Verdana" w:cs="Verdana"/>
          <w:bCs/>
          <w:sz w:val="16"/>
          <w:szCs w:val="16"/>
        </w:rPr>
        <w:t>. 252</w:t>
      </w:r>
      <w:r w:rsidR="00457AFB">
        <w:rPr>
          <w:rFonts w:ascii="Verdana" w:hAnsi="Verdana" w:cs="Verdana"/>
          <w:bCs/>
          <w:sz w:val="16"/>
          <w:szCs w:val="16"/>
        </w:rPr>
        <w:t>,</w:t>
      </w:r>
      <w:r w:rsidRPr="00D34116">
        <w:rPr>
          <w:rFonts w:ascii="Verdana" w:hAnsi="Verdana" w:cs="Verdana"/>
          <w:bCs/>
          <w:sz w:val="16"/>
          <w:szCs w:val="16"/>
        </w:rPr>
        <w:t xml:space="preserve"> y </w:t>
      </w:r>
      <w:r w:rsidRPr="00D34116">
        <w:rPr>
          <w:rFonts w:ascii="Verdana" w:hAnsi="Verdana" w:cs="Verdana"/>
          <w:bCs/>
          <w:i/>
          <w:sz w:val="16"/>
          <w:szCs w:val="16"/>
        </w:rPr>
        <w:t>Caso Castillo González y otros Vs. Venezuela. Fondo.</w:t>
      </w:r>
      <w:r w:rsidRPr="00D34116">
        <w:rPr>
          <w:rFonts w:ascii="Verdana" w:hAnsi="Verdana" w:cs="Verdana"/>
          <w:bCs/>
          <w:sz w:val="16"/>
          <w:szCs w:val="16"/>
        </w:rPr>
        <w:t xml:space="preserve"> Sentencia de 27 de noviembre de 2012. Serie C No. 256</w:t>
      </w:r>
      <w:r w:rsidRPr="00D34116">
        <w:rPr>
          <w:rFonts w:ascii="Verdana" w:hAnsi="Verdana"/>
          <w:sz w:val="16"/>
          <w:szCs w:val="16"/>
        </w:rPr>
        <w:t xml:space="preserve">, párr. 168. </w:t>
      </w:r>
    </w:p>
  </w:footnote>
  <w:footnote w:id="35">
    <w:p w14:paraId="2AB369E6" w14:textId="635FF167" w:rsidR="00CB2B4E" w:rsidRPr="00D34116" w:rsidRDefault="00CB2B4E" w:rsidP="00D34116">
      <w:pPr>
        <w:pStyle w:val="FootnoteText"/>
        <w:jc w:val="both"/>
        <w:rPr>
          <w:rFonts w:ascii="Verdana" w:hAnsi="Verdana" w:cs="Verdana"/>
          <w:b/>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Argüelles y otros Vs. Argentina. Excepciones Preliminares, Fondo, Reparaciones y C</w:t>
      </w:r>
      <w:r w:rsidRPr="00D34116">
        <w:rPr>
          <w:rFonts w:ascii="Verdana" w:hAnsi="Verdana" w:cs="Verdana"/>
          <w:bCs/>
          <w:sz w:val="16"/>
          <w:szCs w:val="16"/>
        </w:rPr>
        <w:t xml:space="preserve">ostas. Sentencia de 20 de noviembre de 2014. Serie C No. 288, </w:t>
      </w:r>
      <w:r w:rsidRPr="00D34116">
        <w:rPr>
          <w:rFonts w:ascii="Verdana" w:hAnsi="Verdana"/>
          <w:sz w:val="16"/>
          <w:szCs w:val="16"/>
        </w:rPr>
        <w:t>párr</w:t>
      </w:r>
      <w:r w:rsidRPr="00D34116">
        <w:rPr>
          <w:rFonts w:ascii="Verdana" w:hAnsi="Verdana" w:cs="Verdana"/>
          <w:bCs/>
          <w:sz w:val="16"/>
          <w:szCs w:val="16"/>
        </w:rPr>
        <w:t>. 175.</w:t>
      </w:r>
      <w:r w:rsidRPr="00D34116">
        <w:rPr>
          <w:rFonts w:ascii="Verdana" w:hAnsi="Verdana" w:cs="Verdana"/>
          <w:b/>
          <w:bCs/>
          <w:sz w:val="16"/>
          <w:szCs w:val="16"/>
        </w:rPr>
        <w:t xml:space="preserve"> </w:t>
      </w:r>
    </w:p>
  </w:footnote>
  <w:footnote w:id="36">
    <w:p w14:paraId="11672F84" w14:textId="03C9EBD6"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Argüelles y otros Vs. Argentina. Excepciones Preliminares, Fondo, Reparaciones y C</w:t>
      </w:r>
      <w:r w:rsidRPr="00D34116">
        <w:rPr>
          <w:rFonts w:ascii="Verdana" w:hAnsi="Verdana" w:cs="Verdana"/>
          <w:bCs/>
          <w:sz w:val="16"/>
          <w:szCs w:val="16"/>
        </w:rPr>
        <w:t>ostas. Sentencia de 20 de noviembre de 2014. Serie C No. 288, párrs. 176 y 177</w:t>
      </w:r>
      <w:r w:rsidR="00457AFB">
        <w:rPr>
          <w:rFonts w:ascii="Verdana" w:hAnsi="Verdana" w:cs="Verdana"/>
          <w:bCs/>
          <w:sz w:val="16"/>
          <w:szCs w:val="16"/>
        </w:rPr>
        <w:t>,</w:t>
      </w:r>
      <w:r w:rsidRPr="00D34116">
        <w:rPr>
          <w:rFonts w:ascii="Verdana" w:hAnsi="Verdana" w:cs="Verdana"/>
          <w:bCs/>
          <w:sz w:val="16"/>
          <w:szCs w:val="16"/>
        </w:rPr>
        <w:t xml:space="preserve"> y </w:t>
      </w:r>
      <w:r w:rsidRPr="00D34116">
        <w:rPr>
          <w:rFonts w:ascii="Verdana" w:hAnsi="Verdana" w:cs="Verdana"/>
          <w:bCs/>
          <w:i/>
          <w:sz w:val="16"/>
          <w:szCs w:val="16"/>
        </w:rPr>
        <w:t>Caso Barreto Leiva Vs. Venezuela. Fondo, Reparaciones y Costas</w:t>
      </w:r>
      <w:r w:rsidRPr="00D34116">
        <w:rPr>
          <w:rFonts w:ascii="Verdana" w:hAnsi="Verdana" w:cs="Verdana"/>
          <w:bCs/>
          <w:sz w:val="16"/>
          <w:szCs w:val="16"/>
        </w:rPr>
        <w:t xml:space="preserve">. Sentencia de 17 de noviembre de 2009. Serie C No. 206, párr. </w:t>
      </w:r>
      <w:r w:rsidRPr="00D34116">
        <w:rPr>
          <w:rFonts w:ascii="Verdana" w:hAnsi="Verdana"/>
          <w:sz w:val="16"/>
          <w:szCs w:val="16"/>
        </w:rPr>
        <w:t xml:space="preserve">61. </w:t>
      </w:r>
    </w:p>
  </w:footnote>
  <w:footnote w:id="37">
    <w:p w14:paraId="1204CF63" w14:textId="5B3C06F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Excepciones al Agotamiento de los Recursos Internos (arts. 46.1, 46.2.a y 46.2.b, Convención Americana sobre Derechos Humanos).</w:t>
      </w:r>
      <w:r w:rsidRPr="00D34116">
        <w:rPr>
          <w:rFonts w:ascii="Verdana" w:hAnsi="Verdana" w:cs="Verdana"/>
          <w:bCs/>
          <w:sz w:val="16"/>
          <w:szCs w:val="16"/>
        </w:rPr>
        <w:t xml:space="preserve"> Opinión Consultiva OC-11/90 del 10 de agosto de 1990. Serie A No. 11</w:t>
      </w:r>
      <w:r w:rsidRPr="00D34116">
        <w:rPr>
          <w:rFonts w:ascii="Verdana" w:hAnsi="Verdana"/>
          <w:sz w:val="16"/>
          <w:szCs w:val="16"/>
        </w:rPr>
        <w:t xml:space="preserve">, párr. 25. </w:t>
      </w:r>
    </w:p>
  </w:footnote>
  <w:footnote w:id="38">
    <w:p w14:paraId="7D455B10" w14:textId="52E46318" w:rsidR="00CB2B4E" w:rsidRPr="00D34116" w:rsidRDefault="00CB2B4E" w:rsidP="00D34116">
      <w:pPr>
        <w:pStyle w:val="FootnoteText"/>
        <w:jc w:val="both"/>
        <w:rPr>
          <w:rFonts w:ascii="Verdana" w:hAnsi="Verdana" w:cs="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w:t>
      </w:r>
      <w:r w:rsidRPr="00D34116">
        <w:rPr>
          <w:rFonts w:ascii="Verdana" w:hAnsi="Verdana" w:cs="Verdana"/>
          <w:bCs/>
          <w:i/>
          <w:sz w:val="16"/>
          <w:szCs w:val="16"/>
        </w:rPr>
        <w:t>Caso Ruano Torres y otros Vs. El Salvador. Fondo, Reparaciones y Costas.</w:t>
      </w:r>
      <w:r w:rsidRPr="00D34116">
        <w:rPr>
          <w:rFonts w:ascii="Verdana" w:hAnsi="Verdana" w:cs="Verdana"/>
          <w:bCs/>
          <w:sz w:val="16"/>
          <w:szCs w:val="16"/>
        </w:rPr>
        <w:t xml:space="preserve"> Sentencia de 05 de octubre de 2015. Serie C No. 303, párr. 168. </w:t>
      </w:r>
    </w:p>
  </w:footnote>
  <w:footnote w:id="39">
    <w:p w14:paraId="1A5240B1" w14:textId="4E0E343A" w:rsidR="00CB2B4E" w:rsidRPr="00D34116" w:rsidRDefault="00CB2B4E" w:rsidP="00D34116">
      <w:pPr>
        <w:pStyle w:val="FootnoteText"/>
        <w:jc w:val="both"/>
        <w:rPr>
          <w:rFonts w:ascii="Verdana" w:hAnsi="Verdana"/>
          <w:b/>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Norín</w:t>
      </w:r>
      <w:proofErr w:type="spellEnd"/>
      <w:r w:rsidRPr="00D34116">
        <w:rPr>
          <w:rFonts w:ascii="Verdana" w:hAnsi="Verdana" w:cs="Verdana"/>
          <w:bCs/>
          <w:i/>
          <w:sz w:val="16"/>
          <w:szCs w:val="16"/>
        </w:rPr>
        <w:t xml:space="preserve"> </w:t>
      </w:r>
      <w:proofErr w:type="spellStart"/>
      <w:r w:rsidRPr="00D34116">
        <w:rPr>
          <w:rFonts w:ascii="Verdana" w:hAnsi="Verdana" w:cs="Verdana"/>
          <w:bCs/>
          <w:i/>
          <w:sz w:val="16"/>
          <w:szCs w:val="16"/>
        </w:rPr>
        <w:t>Catrimán</w:t>
      </w:r>
      <w:proofErr w:type="spellEnd"/>
      <w:r w:rsidRPr="00D34116">
        <w:rPr>
          <w:rFonts w:ascii="Verdana" w:hAnsi="Verdana" w:cs="Verdana"/>
          <w:bCs/>
          <w:i/>
          <w:sz w:val="16"/>
          <w:szCs w:val="16"/>
        </w:rPr>
        <w:t xml:space="preserve"> y otros (Dirigentes, miembros y activista del Pueblo Indígena Mapuche) Vs. Chile. Fondo, Reparaciones y Costas.</w:t>
      </w:r>
      <w:r w:rsidRPr="00D34116">
        <w:rPr>
          <w:rFonts w:ascii="Verdana" w:hAnsi="Verdana" w:cs="Verdana"/>
          <w:bCs/>
          <w:sz w:val="16"/>
          <w:szCs w:val="16"/>
        </w:rPr>
        <w:t xml:space="preserve"> Sentencia de 29 de mayo de 2014. Serie C No. 279, </w:t>
      </w:r>
      <w:r w:rsidRPr="00D34116">
        <w:rPr>
          <w:rFonts w:ascii="Verdana" w:hAnsi="Verdana"/>
          <w:sz w:val="16"/>
          <w:szCs w:val="16"/>
        </w:rPr>
        <w:t>párr</w:t>
      </w:r>
      <w:r w:rsidRPr="00D34116">
        <w:rPr>
          <w:rFonts w:ascii="Verdana" w:hAnsi="Verdana" w:cs="Verdana"/>
          <w:bCs/>
          <w:sz w:val="16"/>
          <w:szCs w:val="16"/>
        </w:rPr>
        <w:t xml:space="preserve">. 242; </w:t>
      </w:r>
      <w:r w:rsidRPr="00D34116">
        <w:rPr>
          <w:rFonts w:ascii="Verdana" w:hAnsi="Verdana" w:cs="Verdana"/>
          <w:bCs/>
          <w:i/>
          <w:sz w:val="16"/>
          <w:szCs w:val="16"/>
        </w:rPr>
        <w:t>Caso J. Vs. Perú. Excepción Preliminar, Fondo, Reparaciones y Costas</w:t>
      </w:r>
      <w:r w:rsidRPr="00D34116">
        <w:rPr>
          <w:rFonts w:ascii="Verdana" w:hAnsi="Verdana" w:cs="Verdana"/>
          <w:bCs/>
          <w:sz w:val="16"/>
          <w:szCs w:val="16"/>
        </w:rPr>
        <w:t xml:space="preserve">. Sentencia de 27 de noviembre de 2013. Serie C No. 275, </w:t>
      </w:r>
      <w:r w:rsidRPr="00D34116">
        <w:rPr>
          <w:rFonts w:ascii="Verdana" w:hAnsi="Verdana"/>
          <w:sz w:val="16"/>
          <w:szCs w:val="16"/>
        </w:rPr>
        <w:t>párr</w:t>
      </w:r>
      <w:r w:rsidRPr="00D34116">
        <w:rPr>
          <w:rFonts w:ascii="Verdana" w:hAnsi="Verdana" w:cs="Verdana"/>
          <w:bCs/>
          <w:sz w:val="16"/>
          <w:szCs w:val="16"/>
        </w:rPr>
        <w:t xml:space="preserve">. 208; </w:t>
      </w:r>
      <w:r w:rsidRPr="00D34116">
        <w:rPr>
          <w:rFonts w:ascii="Verdana" w:hAnsi="Verdana" w:cs="Verdana"/>
          <w:bCs/>
          <w:i/>
          <w:sz w:val="16"/>
          <w:szCs w:val="16"/>
        </w:rPr>
        <w:t xml:space="preserve">Caso Castillo </w:t>
      </w:r>
      <w:proofErr w:type="spellStart"/>
      <w:r w:rsidRPr="00D34116">
        <w:rPr>
          <w:rFonts w:ascii="Verdana" w:hAnsi="Verdana" w:cs="Verdana"/>
          <w:bCs/>
          <w:i/>
          <w:sz w:val="16"/>
          <w:szCs w:val="16"/>
        </w:rPr>
        <w:t>Petruzzi</w:t>
      </w:r>
      <w:proofErr w:type="spellEnd"/>
      <w:r w:rsidRPr="00D34116">
        <w:rPr>
          <w:rFonts w:ascii="Verdana" w:hAnsi="Verdana" w:cs="Verdana"/>
          <w:bCs/>
          <w:i/>
          <w:sz w:val="16"/>
          <w:szCs w:val="16"/>
        </w:rPr>
        <w:t xml:space="preserve"> y otros Vs. Perú. Fondo</w:t>
      </w:r>
      <w:r w:rsidRPr="00D34116">
        <w:rPr>
          <w:rFonts w:ascii="Verdana" w:hAnsi="Verdana" w:cs="Verdana"/>
          <w:bCs/>
          <w:sz w:val="16"/>
          <w:szCs w:val="16"/>
        </w:rPr>
        <w:t xml:space="preserve">, </w:t>
      </w:r>
      <w:r w:rsidRPr="00D34116">
        <w:rPr>
          <w:rFonts w:ascii="Verdana" w:hAnsi="Verdana" w:cs="Verdana"/>
          <w:bCs/>
          <w:i/>
          <w:sz w:val="16"/>
          <w:szCs w:val="16"/>
        </w:rPr>
        <w:t>Reparaciones y Costas</w:t>
      </w:r>
      <w:r w:rsidRPr="00D34116">
        <w:rPr>
          <w:rFonts w:ascii="Verdana" w:hAnsi="Verdana" w:cs="Verdana"/>
          <w:bCs/>
          <w:sz w:val="16"/>
          <w:szCs w:val="16"/>
        </w:rPr>
        <w:t>. Sentencia de 30 de mayo de 1999. Serie C No. 52, párrs.</w:t>
      </w:r>
      <w:r w:rsidR="00552850">
        <w:rPr>
          <w:rFonts w:ascii="Verdana" w:hAnsi="Verdana"/>
          <w:sz w:val="16"/>
          <w:szCs w:val="16"/>
        </w:rPr>
        <w:t xml:space="preserve"> 84 y 155,</w:t>
      </w:r>
      <w:r w:rsidRPr="00D34116">
        <w:rPr>
          <w:rFonts w:ascii="Verdana" w:hAnsi="Verdana"/>
          <w:sz w:val="16"/>
          <w:szCs w:val="16"/>
        </w:rPr>
        <w:t xml:space="preserve"> y </w:t>
      </w:r>
      <w:r w:rsidRPr="00D34116">
        <w:rPr>
          <w:rFonts w:ascii="Verdana" w:hAnsi="Verdana" w:cs="Verdana"/>
          <w:bCs/>
          <w:i/>
          <w:sz w:val="16"/>
          <w:szCs w:val="16"/>
        </w:rPr>
        <w:t xml:space="preserve">Caso García </w:t>
      </w:r>
      <w:proofErr w:type="spellStart"/>
      <w:r w:rsidRPr="00D34116">
        <w:rPr>
          <w:rFonts w:ascii="Verdana" w:hAnsi="Verdana" w:cs="Verdana"/>
          <w:bCs/>
          <w:i/>
          <w:sz w:val="16"/>
          <w:szCs w:val="16"/>
        </w:rPr>
        <w:t>Asto</w:t>
      </w:r>
      <w:proofErr w:type="spellEnd"/>
      <w:r w:rsidRPr="00D34116">
        <w:rPr>
          <w:rFonts w:ascii="Verdana" w:hAnsi="Verdana" w:cs="Verdana"/>
          <w:bCs/>
          <w:i/>
          <w:sz w:val="16"/>
          <w:szCs w:val="16"/>
        </w:rPr>
        <w:t xml:space="preserve"> y Ramírez Rojas Vs. Perú</w:t>
      </w:r>
      <w:r w:rsidRPr="00D34116">
        <w:rPr>
          <w:rFonts w:ascii="Verdana" w:hAnsi="Verdana" w:cs="Verdana"/>
          <w:bCs/>
          <w:sz w:val="16"/>
          <w:szCs w:val="16"/>
        </w:rPr>
        <w:t>. Sentencia de 25 de noviembre de 2005. Serie C No. 137, párr. 152.</w:t>
      </w:r>
    </w:p>
  </w:footnote>
  <w:footnote w:id="40">
    <w:p w14:paraId="783792BB" w14:textId="71D4D495" w:rsidR="00CB2B4E" w:rsidRPr="00D34116" w:rsidRDefault="00CB2B4E" w:rsidP="00D34116">
      <w:pPr>
        <w:pStyle w:val="FootnoteText"/>
        <w:jc w:val="both"/>
        <w:rPr>
          <w:rFonts w:ascii="Verdana" w:hAnsi="Verdana" w:cs="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Norín</w:t>
      </w:r>
      <w:proofErr w:type="spellEnd"/>
      <w:r w:rsidRPr="00D34116">
        <w:rPr>
          <w:rFonts w:ascii="Verdana" w:hAnsi="Verdana" w:cs="Verdana"/>
          <w:bCs/>
          <w:i/>
          <w:sz w:val="16"/>
          <w:szCs w:val="16"/>
        </w:rPr>
        <w:t xml:space="preserve"> </w:t>
      </w:r>
      <w:proofErr w:type="spellStart"/>
      <w:r w:rsidRPr="00D34116">
        <w:rPr>
          <w:rFonts w:ascii="Verdana" w:hAnsi="Verdana" w:cs="Verdana"/>
          <w:bCs/>
          <w:i/>
          <w:sz w:val="16"/>
          <w:szCs w:val="16"/>
        </w:rPr>
        <w:t>Catrimán</w:t>
      </w:r>
      <w:proofErr w:type="spellEnd"/>
      <w:r w:rsidRPr="00D34116">
        <w:rPr>
          <w:rFonts w:ascii="Verdana" w:hAnsi="Verdana" w:cs="Verdana"/>
          <w:bCs/>
          <w:i/>
          <w:sz w:val="16"/>
          <w:szCs w:val="16"/>
        </w:rPr>
        <w:t xml:space="preserve"> y otros (Dirigentes, miembros y activista del Pueblo Indígena Mapuche) Vs. Chile. Fondo, Reparaciones y Costas.</w:t>
      </w:r>
      <w:r w:rsidRPr="00D34116">
        <w:rPr>
          <w:rFonts w:ascii="Verdana" w:hAnsi="Verdana" w:cs="Verdana"/>
          <w:bCs/>
          <w:sz w:val="16"/>
          <w:szCs w:val="16"/>
        </w:rPr>
        <w:t xml:space="preserve"> Sentencia de 29 de mayo de 2014. Serie C No. 279, párr. 242.</w:t>
      </w:r>
    </w:p>
  </w:footnote>
  <w:footnote w:id="41">
    <w:p w14:paraId="4ED7EA42" w14:textId="67A7AA86" w:rsidR="00CB2B4E" w:rsidRPr="00D34116" w:rsidRDefault="00CB2B4E" w:rsidP="00D34116">
      <w:pPr>
        <w:pStyle w:val="FootnoteText"/>
        <w:jc w:val="both"/>
        <w:rPr>
          <w:rFonts w:ascii="Verdana" w:hAnsi="Verdana" w:cs="Verdana"/>
          <w:b/>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Maritza Urrutia Vs. Guatemala. Fondo, Reparaciones y Costas</w:t>
      </w:r>
      <w:r w:rsidRPr="00D34116">
        <w:rPr>
          <w:rFonts w:ascii="Verdana" w:hAnsi="Verdana" w:cs="Verdana"/>
          <w:bCs/>
          <w:sz w:val="16"/>
          <w:szCs w:val="16"/>
        </w:rPr>
        <w:t>. Sentencia de 27 de noviembre de 2003. Serie C No. 103, párrs. 120 y 121.</w:t>
      </w:r>
      <w:r w:rsidRPr="00D34116">
        <w:rPr>
          <w:rFonts w:ascii="Verdana" w:hAnsi="Verdana" w:cs="Verdana"/>
          <w:b/>
          <w:bCs/>
          <w:sz w:val="16"/>
          <w:szCs w:val="16"/>
        </w:rPr>
        <w:t xml:space="preserve"> </w:t>
      </w:r>
    </w:p>
  </w:footnote>
  <w:footnote w:id="42">
    <w:p w14:paraId="66FFF4E5" w14:textId="0251FA1B" w:rsidR="00CB2B4E" w:rsidRPr="00D34116" w:rsidRDefault="00CB2B4E" w:rsidP="00D34116">
      <w:pPr>
        <w:pStyle w:val="NormalWeb"/>
        <w:spacing w:before="0" w:beforeAutospacing="0" w:after="0" w:afterAutospacing="0"/>
        <w:jc w:val="both"/>
        <w:rPr>
          <w:rFonts w:ascii="Verdana" w:hAnsi="Verdana"/>
          <w:sz w:val="16"/>
          <w:szCs w:val="16"/>
          <w:lang w:val="es-ES_tradnl"/>
        </w:rPr>
      </w:pPr>
      <w:r w:rsidRPr="00D34116">
        <w:rPr>
          <w:rStyle w:val="FootnoteReference"/>
          <w:rFonts w:ascii="Verdana" w:hAnsi="Verdana"/>
          <w:sz w:val="16"/>
          <w:szCs w:val="16"/>
          <w:lang w:val="es-ES_tradnl"/>
        </w:rPr>
        <w:footnoteRef/>
      </w:r>
      <w:r w:rsidRPr="00D34116">
        <w:rPr>
          <w:rFonts w:ascii="Verdana" w:hAnsi="Verdana"/>
          <w:sz w:val="16"/>
          <w:szCs w:val="16"/>
          <w:lang w:val="es-ES_tradnl"/>
        </w:rPr>
        <w:t xml:space="preserve"> </w:t>
      </w:r>
      <w:r w:rsidRPr="00D34116">
        <w:rPr>
          <w:rFonts w:ascii="Verdana" w:hAnsi="Verdana"/>
          <w:sz w:val="16"/>
          <w:szCs w:val="16"/>
          <w:lang w:val="es-ES_tradnl"/>
        </w:rPr>
        <w:tab/>
      </w:r>
      <w:r w:rsidRPr="00D34116">
        <w:rPr>
          <w:rFonts w:ascii="Verdana" w:hAnsi="Verdana"/>
          <w:i/>
          <w:sz w:val="16"/>
          <w:szCs w:val="16"/>
          <w:lang w:val="es-ES_tradnl"/>
        </w:rPr>
        <w:t>Cfr.</w:t>
      </w:r>
      <w:r w:rsidRPr="00D34116">
        <w:rPr>
          <w:rFonts w:ascii="Verdana" w:hAnsi="Verdana"/>
          <w:sz w:val="16"/>
          <w:szCs w:val="16"/>
          <w:lang w:val="es-ES_tradnl"/>
        </w:rPr>
        <w:t xml:space="preserve"> </w:t>
      </w:r>
      <w:r w:rsidRPr="00D34116">
        <w:rPr>
          <w:rFonts w:ascii="Verdana" w:hAnsi="Verdana" w:cs="Verdana"/>
          <w:bCs/>
          <w:i/>
          <w:sz w:val="16"/>
          <w:szCs w:val="16"/>
          <w:lang w:val="es-ES_tradnl"/>
        </w:rPr>
        <w:t xml:space="preserve">Caso </w:t>
      </w:r>
      <w:proofErr w:type="spellStart"/>
      <w:r w:rsidRPr="00D34116">
        <w:rPr>
          <w:rFonts w:ascii="Verdana" w:hAnsi="Verdana" w:cs="Verdana"/>
          <w:bCs/>
          <w:i/>
          <w:sz w:val="16"/>
          <w:szCs w:val="16"/>
          <w:lang w:val="es-ES_tradnl"/>
        </w:rPr>
        <w:t>Norín</w:t>
      </w:r>
      <w:proofErr w:type="spellEnd"/>
      <w:r w:rsidRPr="00D34116">
        <w:rPr>
          <w:rFonts w:ascii="Verdana" w:hAnsi="Verdana" w:cs="Verdana"/>
          <w:bCs/>
          <w:i/>
          <w:sz w:val="16"/>
          <w:szCs w:val="16"/>
          <w:lang w:val="es-ES_tradnl"/>
        </w:rPr>
        <w:t xml:space="preserve"> </w:t>
      </w:r>
      <w:proofErr w:type="spellStart"/>
      <w:r w:rsidRPr="00D34116">
        <w:rPr>
          <w:rFonts w:ascii="Verdana" w:hAnsi="Verdana" w:cs="Verdana"/>
          <w:bCs/>
          <w:i/>
          <w:sz w:val="16"/>
          <w:szCs w:val="16"/>
          <w:lang w:val="es-ES_tradnl"/>
        </w:rPr>
        <w:t>Catrimán</w:t>
      </w:r>
      <w:proofErr w:type="spellEnd"/>
      <w:r w:rsidRPr="00D34116">
        <w:rPr>
          <w:rFonts w:ascii="Verdana" w:hAnsi="Verdana" w:cs="Verdana"/>
          <w:bCs/>
          <w:i/>
          <w:sz w:val="16"/>
          <w:szCs w:val="16"/>
          <w:lang w:val="es-ES_tradnl"/>
        </w:rPr>
        <w:t xml:space="preserve"> y otros (Dirigentes, miembros y activista del Pueblo Indígena Mapuche) Vs. Chile. Fondo, Reparaciones y Costas.</w:t>
      </w:r>
      <w:r w:rsidRPr="00D34116">
        <w:rPr>
          <w:rFonts w:ascii="Verdana" w:hAnsi="Verdana" w:cs="Verdana"/>
          <w:bCs/>
          <w:sz w:val="16"/>
          <w:szCs w:val="16"/>
          <w:lang w:val="es-ES_tradnl"/>
        </w:rPr>
        <w:t xml:space="preserve"> Sentencia de 29 de mayo de 2014. Serie C No. 279, párr. 269; </w:t>
      </w:r>
      <w:r w:rsidRPr="00D34116">
        <w:rPr>
          <w:rFonts w:ascii="Verdana" w:hAnsi="Verdana" w:cs="Verdana"/>
          <w:bCs/>
          <w:i/>
          <w:sz w:val="16"/>
          <w:szCs w:val="16"/>
          <w:lang w:val="es-ES_tradnl"/>
        </w:rPr>
        <w:t xml:space="preserve">Caso </w:t>
      </w:r>
      <w:proofErr w:type="spellStart"/>
      <w:r w:rsidRPr="00D34116">
        <w:rPr>
          <w:rFonts w:ascii="Verdana" w:hAnsi="Verdana" w:cs="Verdana"/>
          <w:bCs/>
          <w:i/>
          <w:sz w:val="16"/>
          <w:szCs w:val="16"/>
          <w:lang w:val="es-ES_tradnl"/>
        </w:rPr>
        <w:t>Liakat</w:t>
      </w:r>
      <w:proofErr w:type="spellEnd"/>
      <w:r w:rsidRPr="00D34116">
        <w:rPr>
          <w:rFonts w:ascii="Verdana" w:hAnsi="Verdana" w:cs="Verdana"/>
          <w:bCs/>
          <w:i/>
          <w:sz w:val="16"/>
          <w:szCs w:val="16"/>
          <w:lang w:val="es-ES_tradnl"/>
        </w:rPr>
        <w:t xml:space="preserve"> Ali </w:t>
      </w:r>
      <w:proofErr w:type="spellStart"/>
      <w:r w:rsidRPr="00D34116">
        <w:rPr>
          <w:rFonts w:ascii="Verdana" w:hAnsi="Verdana" w:cs="Verdana"/>
          <w:bCs/>
          <w:i/>
          <w:sz w:val="16"/>
          <w:szCs w:val="16"/>
          <w:lang w:val="es-ES_tradnl"/>
        </w:rPr>
        <w:t>Alibux</w:t>
      </w:r>
      <w:proofErr w:type="spellEnd"/>
      <w:r w:rsidRPr="00D34116">
        <w:rPr>
          <w:rFonts w:ascii="Verdana" w:hAnsi="Verdana" w:cs="Verdana"/>
          <w:bCs/>
          <w:i/>
          <w:sz w:val="16"/>
          <w:szCs w:val="16"/>
          <w:lang w:val="es-ES_tradnl"/>
        </w:rPr>
        <w:t xml:space="preserve"> Vs. Surinam. Excepciones Preliminares, Fondo, Reparaciones y Costas.</w:t>
      </w:r>
      <w:r w:rsidRPr="00D34116">
        <w:rPr>
          <w:rFonts w:ascii="Verdana" w:hAnsi="Verdana" w:cs="Verdana"/>
          <w:bCs/>
          <w:sz w:val="16"/>
          <w:szCs w:val="16"/>
          <w:lang w:val="es-ES_tradnl"/>
        </w:rPr>
        <w:t xml:space="preserve"> Sentencia de 23 noviembre de 2012</w:t>
      </w:r>
      <w:r w:rsidR="00B20D4D">
        <w:rPr>
          <w:rFonts w:ascii="Verdana" w:hAnsi="Verdana" w:cs="Verdana"/>
          <w:bCs/>
          <w:sz w:val="16"/>
          <w:szCs w:val="16"/>
          <w:lang w:val="es-ES_tradnl"/>
        </w:rPr>
        <w:t>.</w:t>
      </w:r>
      <w:r w:rsidRPr="00D34116">
        <w:rPr>
          <w:rFonts w:ascii="Verdana" w:hAnsi="Verdana" w:cs="Verdana"/>
          <w:bCs/>
          <w:sz w:val="16"/>
          <w:szCs w:val="16"/>
          <w:lang w:val="es-ES_tradnl"/>
        </w:rPr>
        <w:t xml:space="preserve"> </w:t>
      </w:r>
      <w:r w:rsidR="00552850">
        <w:rPr>
          <w:rFonts w:ascii="Verdana" w:hAnsi="Verdana" w:cs="Verdana"/>
          <w:bCs/>
          <w:sz w:val="16"/>
          <w:szCs w:val="16"/>
          <w:lang w:val="es-ES_tradnl"/>
        </w:rPr>
        <w:t>Serie C No. 255, párrs. 84 y 85,</w:t>
      </w:r>
      <w:r w:rsidRPr="00D34116">
        <w:rPr>
          <w:rFonts w:ascii="Verdana" w:hAnsi="Verdana" w:cs="Verdana"/>
          <w:bCs/>
          <w:sz w:val="16"/>
          <w:szCs w:val="16"/>
          <w:lang w:val="es-ES_tradnl"/>
        </w:rPr>
        <w:t xml:space="preserve"> y </w:t>
      </w:r>
      <w:r w:rsidRPr="00D34116">
        <w:rPr>
          <w:rFonts w:ascii="Verdana" w:hAnsi="Verdana" w:cs="Verdana"/>
          <w:bCs/>
          <w:i/>
          <w:sz w:val="16"/>
          <w:szCs w:val="16"/>
          <w:lang w:val="es-ES_tradnl"/>
        </w:rPr>
        <w:t>Caso Herrera Ulloa Vs. Costa Rica. Excepciones Preliminares, Fondo, Reparaciones y Costas.</w:t>
      </w:r>
      <w:r w:rsidRPr="00D34116">
        <w:rPr>
          <w:rFonts w:ascii="Verdana" w:hAnsi="Verdana" w:cs="Verdana"/>
          <w:bCs/>
          <w:sz w:val="16"/>
          <w:szCs w:val="16"/>
          <w:lang w:val="es-ES_tradnl"/>
        </w:rPr>
        <w:t xml:space="preserve"> Sentencia de 2 de julio de 2004. Serie C No. 107,</w:t>
      </w:r>
      <w:r w:rsidRPr="00D34116">
        <w:rPr>
          <w:rFonts w:ascii="Verdana" w:hAnsi="Verdana" w:cs="Verdana"/>
          <w:b/>
          <w:bCs/>
          <w:sz w:val="16"/>
          <w:szCs w:val="16"/>
          <w:lang w:val="es-ES_tradnl"/>
        </w:rPr>
        <w:t xml:space="preserve"> </w:t>
      </w:r>
      <w:proofErr w:type="spellStart"/>
      <w:r w:rsidRPr="00D34116">
        <w:rPr>
          <w:rFonts w:ascii="Verdana" w:hAnsi="Verdana"/>
          <w:sz w:val="16"/>
          <w:szCs w:val="16"/>
          <w:lang w:val="es-ES_tradnl"/>
        </w:rPr>
        <w:t>párr</w:t>
      </w:r>
      <w:proofErr w:type="spellEnd"/>
      <w:r w:rsidRPr="00D34116">
        <w:rPr>
          <w:rFonts w:ascii="Verdana" w:hAnsi="Verdana"/>
          <w:sz w:val="16"/>
          <w:szCs w:val="16"/>
          <w:lang w:val="es-ES_tradnl"/>
        </w:rPr>
        <w:t>. 158.</w:t>
      </w:r>
    </w:p>
  </w:footnote>
  <w:footnote w:id="43">
    <w:p w14:paraId="73DA457E" w14:textId="70F46787" w:rsidR="00CB2B4E" w:rsidRPr="00D34116" w:rsidRDefault="00CB2B4E" w:rsidP="00D34116">
      <w:pPr>
        <w:pStyle w:val="FootnoteText"/>
        <w:jc w:val="both"/>
        <w:rPr>
          <w:rFonts w:ascii="Verdana" w:hAnsi="Verdana" w:cs="Verdana"/>
          <w:b/>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w:t>
      </w:r>
      <w:r w:rsidRPr="00D34116">
        <w:rPr>
          <w:rFonts w:ascii="Verdana" w:hAnsi="Verdana" w:cs="Verdana"/>
          <w:bCs/>
          <w:i/>
          <w:sz w:val="16"/>
          <w:szCs w:val="16"/>
        </w:rPr>
        <w:t xml:space="preserve">Caso López </w:t>
      </w:r>
      <w:proofErr w:type="spellStart"/>
      <w:r w:rsidRPr="00D34116">
        <w:rPr>
          <w:rFonts w:ascii="Verdana" w:hAnsi="Verdana" w:cs="Verdana"/>
          <w:bCs/>
          <w:i/>
          <w:sz w:val="16"/>
          <w:szCs w:val="16"/>
        </w:rPr>
        <w:t>Lone</w:t>
      </w:r>
      <w:proofErr w:type="spellEnd"/>
      <w:r w:rsidRPr="00D34116">
        <w:rPr>
          <w:rFonts w:ascii="Verdana" w:hAnsi="Verdana" w:cs="Verdana"/>
          <w:bCs/>
          <w:i/>
          <w:sz w:val="16"/>
          <w:szCs w:val="16"/>
        </w:rPr>
        <w:t xml:space="preserve"> y otros Vs. Honduras. Excepción Preliminar, Fondo, Reparaciones y Costas</w:t>
      </w:r>
      <w:r w:rsidRPr="00D34116">
        <w:rPr>
          <w:rFonts w:ascii="Verdana" w:hAnsi="Verdana" w:cs="Verdana"/>
          <w:bCs/>
          <w:sz w:val="16"/>
          <w:szCs w:val="16"/>
        </w:rPr>
        <w:t xml:space="preserve">. Sentencia de 05 de octubre de 2015. Serie C No. 302, párr. 207; </w:t>
      </w:r>
      <w:r w:rsidRPr="00D34116">
        <w:rPr>
          <w:rFonts w:ascii="Verdana" w:hAnsi="Verdana" w:cs="Verdana"/>
          <w:bCs/>
          <w:i/>
          <w:sz w:val="16"/>
          <w:szCs w:val="16"/>
        </w:rPr>
        <w:t>Caso del Tribunal Constitucional Vs. Perú. Fondo, Reparaciones y Costas</w:t>
      </w:r>
      <w:r w:rsidRPr="00D34116">
        <w:rPr>
          <w:rFonts w:ascii="Verdana" w:hAnsi="Verdana" w:cs="Verdana"/>
          <w:bCs/>
          <w:sz w:val="16"/>
          <w:szCs w:val="16"/>
        </w:rPr>
        <w:t>. Sentencia de 31 de enero de 2001. Serie C No. 71, párr. 71</w:t>
      </w:r>
      <w:r w:rsidR="00146737">
        <w:rPr>
          <w:rFonts w:ascii="Verdana" w:hAnsi="Verdana" w:cs="Verdana"/>
          <w:bCs/>
          <w:sz w:val="16"/>
          <w:szCs w:val="16"/>
        </w:rPr>
        <w:t>,</w:t>
      </w:r>
      <w:r w:rsidRPr="00D34116">
        <w:rPr>
          <w:rFonts w:ascii="Verdana" w:hAnsi="Verdana" w:cs="Verdana"/>
          <w:bCs/>
          <w:sz w:val="16"/>
          <w:szCs w:val="16"/>
        </w:rPr>
        <w:t xml:space="preserve"> </w:t>
      </w:r>
      <w:r w:rsidRPr="00146737">
        <w:rPr>
          <w:rFonts w:ascii="Verdana" w:hAnsi="Verdana" w:cs="Verdana"/>
          <w:bCs/>
          <w:sz w:val="16"/>
          <w:szCs w:val="16"/>
        </w:rPr>
        <w:t>y</w:t>
      </w:r>
      <w:r w:rsidRPr="00D34116">
        <w:rPr>
          <w:rFonts w:ascii="Verdana" w:hAnsi="Verdana" w:cs="Verdana"/>
          <w:bCs/>
          <w:i/>
          <w:sz w:val="16"/>
          <w:szCs w:val="16"/>
        </w:rPr>
        <w:t xml:space="preserve"> Caso Claude Reyes y otros Vs. Chile. Fondo, Reparaciones y Costas</w:t>
      </w:r>
      <w:r w:rsidRPr="00D34116">
        <w:rPr>
          <w:rFonts w:ascii="Verdana" w:hAnsi="Verdana" w:cs="Verdana"/>
          <w:bCs/>
          <w:sz w:val="16"/>
          <w:szCs w:val="16"/>
        </w:rPr>
        <w:t>. Sentencia de 19 de septiembre de 2006. Serie C No. 151, párr. 119.</w:t>
      </w:r>
      <w:r w:rsidRPr="00D34116">
        <w:rPr>
          <w:rFonts w:ascii="Verdana" w:hAnsi="Verdana" w:cs="Verdana"/>
          <w:b/>
          <w:bCs/>
          <w:sz w:val="16"/>
          <w:szCs w:val="16"/>
        </w:rPr>
        <w:t xml:space="preserve"> </w:t>
      </w:r>
    </w:p>
  </w:footnote>
  <w:footnote w:id="44">
    <w:p w14:paraId="5802664B" w14:textId="6B349802" w:rsidR="00CB2B4E" w:rsidRPr="00D34116" w:rsidRDefault="00CB2B4E" w:rsidP="00D34116">
      <w:pPr>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w:t>
      </w:r>
      <w:r w:rsidRPr="00D34116">
        <w:rPr>
          <w:rStyle w:val="Strong"/>
          <w:rFonts w:ascii="Verdana" w:hAnsi="Verdana"/>
          <w:b w:val="0"/>
          <w:i/>
          <w:color w:val="000000"/>
          <w:sz w:val="16"/>
          <w:szCs w:val="16"/>
          <w:shd w:val="clear" w:color="auto" w:fill="FFFFFF"/>
        </w:rPr>
        <w:t>Caso Claude Reyes y otros Vs. Chile. Fondo, Reparaciones y Costas</w:t>
      </w:r>
      <w:r w:rsidRPr="00D34116">
        <w:rPr>
          <w:rStyle w:val="Strong"/>
          <w:rFonts w:ascii="Verdana" w:hAnsi="Verdana"/>
          <w:b w:val="0"/>
          <w:color w:val="000000"/>
          <w:sz w:val="16"/>
          <w:szCs w:val="16"/>
          <w:shd w:val="clear" w:color="auto" w:fill="FFFFFF"/>
        </w:rPr>
        <w:t>. Sentencia de 19 de septiembre de 2006. Serie C No. 151,</w:t>
      </w:r>
      <w:r w:rsidRPr="00D34116">
        <w:rPr>
          <w:rFonts w:ascii="Verdana" w:hAnsi="Verdana"/>
          <w:i/>
          <w:sz w:val="16"/>
          <w:szCs w:val="16"/>
        </w:rPr>
        <w:t xml:space="preserve"> </w:t>
      </w:r>
      <w:r w:rsidRPr="00D34116">
        <w:rPr>
          <w:rFonts w:ascii="Verdana" w:hAnsi="Verdana"/>
          <w:sz w:val="16"/>
          <w:szCs w:val="16"/>
        </w:rPr>
        <w:t>párr. 117</w:t>
      </w:r>
      <w:r w:rsidR="00146737">
        <w:rPr>
          <w:rFonts w:ascii="Verdana" w:hAnsi="Verdana"/>
          <w:sz w:val="16"/>
          <w:szCs w:val="16"/>
        </w:rPr>
        <w:t>,</w:t>
      </w:r>
      <w:r w:rsidRPr="00D34116">
        <w:rPr>
          <w:rFonts w:ascii="Verdana" w:hAnsi="Verdana"/>
          <w:sz w:val="16"/>
          <w:szCs w:val="16"/>
        </w:rPr>
        <w:t xml:space="preserve"> y</w:t>
      </w:r>
      <w:r w:rsidRPr="00D34116">
        <w:rPr>
          <w:rFonts w:ascii="Verdana" w:hAnsi="Verdana"/>
          <w:i/>
          <w:sz w:val="16"/>
          <w:szCs w:val="16"/>
        </w:rPr>
        <w:t xml:space="preserve"> Caso </w:t>
      </w:r>
      <w:proofErr w:type="spellStart"/>
      <w:r w:rsidRPr="00D34116">
        <w:rPr>
          <w:rFonts w:ascii="Verdana" w:hAnsi="Verdana"/>
          <w:i/>
          <w:sz w:val="16"/>
          <w:szCs w:val="16"/>
        </w:rPr>
        <w:t>Barbani</w:t>
      </w:r>
      <w:proofErr w:type="spellEnd"/>
      <w:r w:rsidRPr="00D34116">
        <w:rPr>
          <w:rFonts w:ascii="Verdana" w:hAnsi="Verdana"/>
          <w:i/>
          <w:sz w:val="16"/>
          <w:szCs w:val="16"/>
        </w:rPr>
        <w:t xml:space="preserve"> Duarte Vs. Uruguay. Fondo, Reparaciones y Costas</w:t>
      </w:r>
      <w:r w:rsidRPr="00D34116">
        <w:rPr>
          <w:rFonts w:ascii="Verdana" w:hAnsi="Verdana"/>
          <w:sz w:val="16"/>
          <w:szCs w:val="16"/>
        </w:rPr>
        <w:t xml:space="preserve">. Sentencia de 13 de octubre de 2011 Serie C No. 234, párr. 117. </w:t>
      </w:r>
    </w:p>
  </w:footnote>
  <w:footnote w:id="45">
    <w:p w14:paraId="127CBCEF" w14:textId="5BB86934"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Comunidad Garífuna Triunfo de la Cruz y sus Miembros Vs. Honduras. Fondo, Reparaciones y Costas</w:t>
      </w:r>
      <w:r w:rsidRPr="00D34116">
        <w:rPr>
          <w:rFonts w:ascii="Verdana" w:hAnsi="Verdana" w:cs="Verdana"/>
          <w:bCs/>
          <w:sz w:val="16"/>
          <w:szCs w:val="16"/>
        </w:rPr>
        <w:t xml:space="preserve">. Sentencia de 08 de octubre de 2015. Serie C No. 305, </w:t>
      </w:r>
      <w:r w:rsidRPr="00D34116">
        <w:rPr>
          <w:rFonts w:ascii="Verdana" w:hAnsi="Verdana"/>
          <w:sz w:val="16"/>
          <w:szCs w:val="16"/>
        </w:rPr>
        <w:t xml:space="preserve">párr. 227; </w:t>
      </w:r>
      <w:r w:rsidRPr="00D34116">
        <w:rPr>
          <w:rFonts w:ascii="Verdana" w:hAnsi="Verdana" w:cs="Verdana"/>
          <w:bCs/>
          <w:i/>
          <w:sz w:val="16"/>
          <w:szCs w:val="16"/>
        </w:rPr>
        <w:t xml:space="preserve">Caso Comunidad Indígena </w:t>
      </w:r>
      <w:proofErr w:type="spellStart"/>
      <w:r w:rsidRPr="00D34116">
        <w:rPr>
          <w:rFonts w:ascii="Verdana" w:hAnsi="Verdana" w:cs="Verdana"/>
          <w:bCs/>
          <w:i/>
          <w:sz w:val="16"/>
          <w:szCs w:val="16"/>
        </w:rPr>
        <w:t>Xákmok</w:t>
      </w:r>
      <w:proofErr w:type="spellEnd"/>
      <w:r w:rsidRPr="00D34116">
        <w:rPr>
          <w:rFonts w:ascii="Verdana" w:hAnsi="Verdana" w:cs="Verdana"/>
          <w:bCs/>
          <w:i/>
          <w:sz w:val="16"/>
          <w:szCs w:val="16"/>
        </w:rPr>
        <w:t xml:space="preserve"> </w:t>
      </w:r>
      <w:proofErr w:type="spellStart"/>
      <w:r w:rsidRPr="00D34116">
        <w:rPr>
          <w:rFonts w:ascii="Verdana" w:hAnsi="Verdana" w:cs="Verdana"/>
          <w:bCs/>
          <w:i/>
          <w:sz w:val="16"/>
          <w:szCs w:val="16"/>
        </w:rPr>
        <w:t>Kásek</w:t>
      </w:r>
      <w:proofErr w:type="spellEnd"/>
      <w:r w:rsidRPr="00D34116">
        <w:rPr>
          <w:rFonts w:ascii="Verdana" w:hAnsi="Verdana" w:cs="Verdana"/>
          <w:bCs/>
          <w:i/>
          <w:sz w:val="16"/>
          <w:szCs w:val="16"/>
        </w:rPr>
        <w:t>. Vs. Paraguay. Fondo, Reparaciones y Costas</w:t>
      </w:r>
      <w:r w:rsidRPr="00D34116">
        <w:rPr>
          <w:rFonts w:ascii="Verdana" w:hAnsi="Verdana" w:cs="Verdana"/>
          <w:bCs/>
          <w:sz w:val="16"/>
          <w:szCs w:val="16"/>
        </w:rPr>
        <w:t>. Sentencia de 24 de agosto de 2010 Serie C No. 214, párr.</w:t>
      </w:r>
      <w:r w:rsidRPr="00D34116">
        <w:rPr>
          <w:rFonts w:ascii="Verdana" w:hAnsi="Verdana"/>
          <w:sz w:val="16"/>
          <w:szCs w:val="16"/>
        </w:rPr>
        <w:t xml:space="preserve"> 109</w:t>
      </w:r>
      <w:r w:rsidR="00146737">
        <w:rPr>
          <w:rFonts w:ascii="Verdana" w:hAnsi="Verdana"/>
          <w:sz w:val="16"/>
          <w:szCs w:val="16"/>
        </w:rPr>
        <w:t>,</w:t>
      </w:r>
      <w:r w:rsidRPr="00D34116">
        <w:rPr>
          <w:rFonts w:ascii="Verdana" w:hAnsi="Verdana"/>
          <w:sz w:val="16"/>
          <w:szCs w:val="16"/>
        </w:rPr>
        <w:t xml:space="preserve"> y </w:t>
      </w:r>
      <w:r w:rsidRPr="00D34116">
        <w:rPr>
          <w:rFonts w:ascii="Verdana" w:hAnsi="Verdana" w:cs="Verdana"/>
          <w:bCs/>
          <w:i/>
          <w:sz w:val="16"/>
          <w:szCs w:val="16"/>
        </w:rPr>
        <w:t xml:space="preserve">Caso de la Comunidad </w:t>
      </w:r>
      <w:proofErr w:type="spellStart"/>
      <w:r w:rsidRPr="00D34116">
        <w:rPr>
          <w:rFonts w:ascii="Verdana" w:hAnsi="Verdana" w:cs="Verdana"/>
          <w:bCs/>
          <w:i/>
          <w:sz w:val="16"/>
          <w:szCs w:val="16"/>
        </w:rPr>
        <w:t>Mayagna</w:t>
      </w:r>
      <w:proofErr w:type="spellEnd"/>
      <w:r w:rsidRPr="00D34116">
        <w:rPr>
          <w:rFonts w:ascii="Verdana" w:hAnsi="Verdana" w:cs="Verdana"/>
          <w:bCs/>
          <w:i/>
          <w:sz w:val="16"/>
          <w:szCs w:val="16"/>
        </w:rPr>
        <w:t xml:space="preserve"> (Sumo) </w:t>
      </w:r>
      <w:proofErr w:type="spellStart"/>
      <w:r w:rsidRPr="00D34116">
        <w:rPr>
          <w:rFonts w:ascii="Verdana" w:hAnsi="Verdana" w:cs="Verdana"/>
          <w:bCs/>
          <w:i/>
          <w:sz w:val="16"/>
          <w:szCs w:val="16"/>
        </w:rPr>
        <w:t>Awas</w:t>
      </w:r>
      <w:proofErr w:type="spellEnd"/>
      <w:r w:rsidRPr="00D34116">
        <w:rPr>
          <w:rFonts w:ascii="Verdana" w:hAnsi="Verdana" w:cs="Verdana"/>
          <w:bCs/>
          <w:i/>
          <w:sz w:val="16"/>
          <w:szCs w:val="16"/>
        </w:rPr>
        <w:t xml:space="preserve"> </w:t>
      </w:r>
      <w:proofErr w:type="spellStart"/>
      <w:r w:rsidRPr="00D34116">
        <w:rPr>
          <w:rFonts w:ascii="Verdana" w:hAnsi="Verdana" w:cs="Verdana"/>
          <w:bCs/>
          <w:i/>
          <w:sz w:val="16"/>
          <w:szCs w:val="16"/>
        </w:rPr>
        <w:t>Tingni</w:t>
      </w:r>
      <w:proofErr w:type="spellEnd"/>
      <w:r w:rsidRPr="00D34116">
        <w:rPr>
          <w:rFonts w:ascii="Verdana" w:hAnsi="Verdana" w:cs="Verdana"/>
          <w:bCs/>
          <w:i/>
          <w:sz w:val="16"/>
          <w:szCs w:val="16"/>
        </w:rPr>
        <w:t xml:space="preserve"> Vs. Nicaragua. Fondo, Reparaciones y Costas</w:t>
      </w:r>
      <w:r w:rsidRPr="00D34116">
        <w:rPr>
          <w:rFonts w:ascii="Verdana" w:hAnsi="Verdana" w:cs="Verdana"/>
          <w:bCs/>
          <w:sz w:val="16"/>
          <w:szCs w:val="16"/>
        </w:rPr>
        <w:t>. Sentencia de 31 de agosto de 2001. Serie C No. 79, párr.</w:t>
      </w:r>
      <w:r w:rsidRPr="00D34116">
        <w:rPr>
          <w:rFonts w:ascii="Verdana" w:hAnsi="Verdana"/>
          <w:sz w:val="16"/>
          <w:szCs w:val="16"/>
        </w:rPr>
        <w:t xml:space="preserve"> 138. </w:t>
      </w:r>
    </w:p>
  </w:footnote>
  <w:footnote w:id="46">
    <w:p w14:paraId="665BA88E" w14:textId="4CA8E00F"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w:t>
      </w:r>
      <w:r w:rsidRPr="00D34116">
        <w:rPr>
          <w:rFonts w:ascii="Verdana" w:hAnsi="Verdana" w:cs="Verdana"/>
          <w:bCs/>
          <w:i/>
          <w:sz w:val="16"/>
          <w:szCs w:val="16"/>
        </w:rPr>
        <w:t xml:space="preserve">Caso López </w:t>
      </w:r>
      <w:proofErr w:type="spellStart"/>
      <w:r w:rsidRPr="00D34116">
        <w:rPr>
          <w:rFonts w:ascii="Verdana" w:hAnsi="Verdana" w:cs="Verdana"/>
          <w:bCs/>
          <w:i/>
          <w:sz w:val="16"/>
          <w:szCs w:val="16"/>
        </w:rPr>
        <w:t>Lone</w:t>
      </w:r>
      <w:proofErr w:type="spellEnd"/>
      <w:r w:rsidRPr="00D34116">
        <w:rPr>
          <w:rFonts w:ascii="Verdana" w:hAnsi="Verdana" w:cs="Verdana"/>
          <w:bCs/>
          <w:i/>
          <w:sz w:val="16"/>
          <w:szCs w:val="16"/>
        </w:rPr>
        <w:t xml:space="preserve"> y otros Vs. Honduras. Excepción Preliminar, Fondo, Reparaciones y Costas</w:t>
      </w:r>
      <w:r w:rsidRPr="00D34116">
        <w:rPr>
          <w:rFonts w:ascii="Verdana" w:hAnsi="Verdana" w:cs="Verdana"/>
          <w:bCs/>
          <w:sz w:val="16"/>
          <w:szCs w:val="16"/>
        </w:rPr>
        <w:t xml:space="preserve">. Sentencia de 05 de octubre de 2015. Serie C No. 302, párrs. </w:t>
      </w:r>
      <w:r w:rsidRPr="00D34116">
        <w:rPr>
          <w:rFonts w:ascii="Verdana" w:hAnsi="Verdana"/>
          <w:sz w:val="16"/>
          <w:szCs w:val="16"/>
        </w:rPr>
        <w:t xml:space="preserve">190 y 207. Véase en el mismo sentido: </w:t>
      </w:r>
      <w:r w:rsidRPr="00D34116">
        <w:rPr>
          <w:rFonts w:ascii="Verdana" w:hAnsi="Verdana"/>
          <w:i/>
          <w:sz w:val="16"/>
          <w:szCs w:val="16"/>
        </w:rPr>
        <w:t>C</w:t>
      </w:r>
      <w:r w:rsidRPr="00D34116">
        <w:rPr>
          <w:rFonts w:ascii="Verdana" w:hAnsi="Verdana" w:cs="Verdana"/>
          <w:bCs/>
          <w:i/>
          <w:sz w:val="16"/>
          <w:szCs w:val="16"/>
        </w:rPr>
        <w:t xml:space="preserve">aso </w:t>
      </w:r>
      <w:proofErr w:type="spellStart"/>
      <w:r w:rsidRPr="00D34116">
        <w:rPr>
          <w:rFonts w:ascii="Verdana" w:hAnsi="Verdana" w:cs="Verdana"/>
          <w:bCs/>
          <w:i/>
          <w:sz w:val="16"/>
          <w:szCs w:val="16"/>
        </w:rPr>
        <w:t>Apitz</w:t>
      </w:r>
      <w:proofErr w:type="spellEnd"/>
      <w:r w:rsidRPr="00D34116">
        <w:rPr>
          <w:rFonts w:ascii="Verdana" w:hAnsi="Verdana" w:cs="Verdana"/>
          <w:bCs/>
          <w:i/>
          <w:sz w:val="16"/>
          <w:szCs w:val="16"/>
        </w:rPr>
        <w:t xml:space="preserve"> Barbera y otros (“Corte Primera de lo Contencioso Administrativo”) Vs. Venezuela. Excepción Preliminar, Fondo, Reparaciones y Costas</w:t>
      </w:r>
      <w:r w:rsidRPr="00D34116">
        <w:rPr>
          <w:rFonts w:ascii="Verdana" w:hAnsi="Verdana" w:cs="Verdana"/>
          <w:bCs/>
          <w:sz w:val="16"/>
          <w:szCs w:val="16"/>
        </w:rPr>
        <w:t xml:space="preserve">. Sentencia de 5 de agosto de 2008. Serie C No. 182; </w:t>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Reverón</w:t>
      </w:r>
      <w:proofErr w:type="spellEnd"/>
      <w:r w:rsidRPr="00D34116">
        <w:rPr>
          <w:rFonts w:ascii="Verdana" w:hAnsi="Verdana" w:cs="Verdana"/>
          <w:bCs/>
          <w:i/>
          <w:sz w:val="16"/>
          <w:szCs w:val="16"/>
        </w:rPr>
        <w:t xml:space="preserve"> Trujillo Vs. Venezuela. Excepción Preliminar, Fondo, Reparaciones y Costas</w:t>
      </w:r>
      <w:r w:rsidRPr="00D34116">
        <w:rPr>
          <w:rFonts w:ascii="Verdana" w:hAnsi="Verdana" w:cs="Verdana"/>
          <w:bCs/>
          <w:sz w:val="16"/>
          <w:szCs w:val="16"/>
        </w:rPr>
        <w:t>. Sentencia de 30 de junio de 2009. Serie C No. 197</w:t>
      </w:r>
      <w:r w:rsidR="00146737">
        <w:rPr>
          <w:rFonts w:ascii="Verdana" w:hAnsi="Verdana" w:cs="Verdana"/>
          <w:bCs/>
          <w:sz w:val="16"/>
          <w:szCs w:val="16"/>
        </w:rPr>
        <w:t>,</w:t>
      </w:r>
      <w:r w:rsidRPr="00D34116">
        <w:rPr>
          <w:rFonts w:ascii="Verdana" w:hAnsi="Verdana" w:cs="Verdana"/>
          <w:bCs/>
          <w:sz w:val="16"/>
          <w:szCs w:val="16"/>
        </w:rPr>
        <w:t xml:space="preserve"> y </w:t>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Chocrón</w:t>
      </w:r>
      <w:proofErr w:type="spellEnd"/>
      <w:r w:rsidRPr="00D34116">
        <w:rPr>
          <w:rFonts w:ascii="Verdana" w:hAnsi="Verdana" w:cs="Verdana"/>
          <w:bCs/>
          <w:i/>
          <w:sz w:val="16"/>
          <w:szCs w:val="16"/>
        </w:rPr>
        <w:t xml:space="preserve"> </w:t>
      </w:r>
      <w:proofErr w:type="spellStart"/>
      <w:r w:rsidRPr="00D34116">
        <w:rPr>
          <w:rFonts w:ascii="Verdana" w:hAnsi="Verdana" w:cs="Verdana"/>
          <w:bCs/>
          <w:i/>
          <w:sz w:val="16"/>
          <w:szCs w:val="16"/>
        </w:rPr>
        <w:t>Chocrón</w:t>
      </w:r>
      <w:proofErr w:type="spellEnd"/>
      <w:r w:rsidRPr="00D34116">
        <w:rPr>
          <w:rFonts w:ascii="Verdana" w:hAnsi="Verdana" w:cs="Verdana"/>
          <w:bCs/>
          <w:i/>
          <w:sz w:val="16"/>
          <w:szCs w:val="16"/>
        </w:rPr>
        <w:t xml:space="preserve"> Vs. Venezuela. Excepción Preliminar, Fondo, Reparaciones y Costas</w:t>
      </w:r>
      <w:r w:rsidRPr="00D34116">
        <w:rPr>
          <w:rFonts w:ascii="Verdana" w:hAnsi="Verdana" w:cs="Verdana"/>
          <w:bCs/>
          <w:sz w:val="16"/>
          <w:szCs w:val="16"/>
        </w:rPr>
        <w:t xml:space="preserve">. Sentencia de 1 de julio de 2011. Serie C No. 227. </w:t>
      </w:r>
    </w:p>
  </w:footnote>
  <w:footnote w:id="47">
    <w:p w14:paraId="751C9F28" w14:textId="05A8761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cs="Verdana"/>
          <w:bCs/>
          <w:i/>
          <w:sz w:val="16"/>
          <w:szCs w:val="16"/>
        </w:rPr>
        <w:t>. Caso de personas dominicanas y haitianas expulsadas Vs. República Dominicana. Excepciones Preliminares, Fondo, Reparaciones y Costas</w:t>
      </w:r>
      <w:r w:rsidRPr="00D34116">
        <w:rPr>
          <w:rFonts w:ascii="Verdana" w:hAnsi="Verdana" w:cs="Verdana"/>
          <w:bCs/>
          <w:sz w:val="16"/>
          <w:szCs w:val="16"/>
        </w:rPr>
        <w:t xml:space="preserve">. Sentencia de 28 de agosto de 2014. Serie C No. 282, párrs. </w:t>
      </w:r>
      <w:r w:rsidRPr="00D34116">
        <w:rPr>
          <w:rFonts w:ascii="Verdana" w:hAnsi="Verdana"/>
          <w:sz w:val="16"/>
          <w:szCs w:val="16"/>
        </w:rPr>
        <w:t xml:space="preserve">349 a 358; </w:t>
      </w:r>
      <w:r w:rsidRPr="00D34116">
        <w:rPr>
          <w:rFonts w:ascii="Verdana" w:hAnsi="Verdana" w:cs="Verdana"/>
          <w:bCs/>
          <w:i/>
          <w:sz w:val="16"/>
          <w:szCs w:val="16"/>
        </w:rPr>
        <w:t>Caso Familia Pacheco Tineo Vs. Bolivia. Excepciones Preliminares, Fondo, Reparaciones y Costas</w:t>
      </w:r>
      <w:r w:rsidRPr="00D34116">
        <w:rPr>
          <w:rFonts w:ascii="Verdana" w:hAnsi="Verdana" w:cs="Verdana"/>
          <w:bCs/>
          <w:sz w:val="16"/>
          <w:szCs w:val="16"/>
        </w:rPr>
        <w:t>. Sentencia de 25 de noviembre de 2013. Serie C No. 272,</w:t>
      </w:r>
      <w:r w:rsidRPr="00D34116">
        <w:rPr>
          <w:rFonts w:ascii="Verdana" w:hAnsi="Verdana"/>
          <w:sz w:val="16"/>
          <w:szCs w:val="16"/>
        </w:rPr>
        <w:t xml:space="preserve"> párr. 132</w:t>
      </w:r>
      <w:r w:rsidR="00146737">
        <w:rPr>
          <w:rFonts w:ascii="Verdana" w:hAnsi="Verdana"/>
          <w:sz w:val="16"/>
          <w:szCs w:val="16"/>
        </w:rPr>
        <w:t>,</w:t>
      </w:r>
      <w:r w:rsidRPr="00D34116">
        <w:rPr>
          <w:rFonts w:ascii="Verdana" w:hAnsi="Verdana"/>
          <w:sz w:val="16"/>
          <w:szCs w:val="16"/>
        </w:rPr>
        <w:t xml:space="preserve"> y </w:t>
      </w:r>
      <w:r w:rsidRPr="00D34116">
        <w:rPr>
          <w:rFonts w:ascii="Verdana" w:hAnsi="Verdana" w:cs="Verdana"/>
          <w:bCs/>
          <w:i/>
          <w:sz w:val="16"/>
          <w:szCs w:val="16"/>
        </w:rPr>
        <w:t xml:space="preserve">Caso </w:t>
      </w:r>
      <w:proofErr w:type="spellStart"/>
      <w:r w:rsidRPr="00D34116">
        <w:rPr>
          <w:rFonts w:ascii="Verdana" w:hAnsi="Verdana" w:cs="Verdana"/>
          <w:bCs/>
          <w:i/>
          <w:sz w:val="16"/>
          <w:szCs w:val="16"/>
        </w:rPr>
        <w:t>Nadege</w:t>
      </w:r>
      <w:proofErr w:type="spellEnd"/>
      <w:r w:rsidRPr="00D34116">
        <w:rPr>
          <w:rFonts w:ascii="Verdana" w:hAnsi="Verdana" w:cs="Verdana"/>
          <w:bCs/>
          <w:i/>
          <w:sz w:val="16"/>
          <w:szCs w:val="16"/>
        </w:rPr>
        <w:t xml:space="preserve"> </w:t>
      </w:r>
      <w:proofErr w:type="spellStart"/>
      <w:r w:rsidRPr="00D34116">
        <w:rPr>
          <w:rFonts w:ascii="Verdana" w:hAnsi="Verdana" w:cs="Verdana"/>
          <w:bCs/>
          <w:i/>
          <w:sz w:val="16"/>
          <w:szCs w:val="16"/>
        </w:rPr>
        <w:t>Dorzema</w:t>
      </w:r>
      <w:proofErr w:type="spellEnd"/>
      <w:r w:rsidRPr="00D34116">
        <w:rPr>
          <w:rFonts w:ascii="Verdana" w:hAnsi="Verdana" w:cs="Verdana"/>
          <w:bCs/>
          <w:i/>
          <w:sz w:val="16"/>
          <w:szCs w:val="16"/>
        </w:rPr>
        <w:t xml:space="preserve"> y otros Vs. República Dominicana. Fondo Reparaciones y Costas</w:t>
      </w:r>
      <w:r w:rsidRPr="00D34116">
        <w:rPr>
          <w:rFonts w:ascii="Verdana" w:hAnsi="Verdana" w:cs="Verdana"/>
          <w:bCs/>
          <w:sz w:val="16"/>
          <w:szCs w:val="16"/>
        </w:rPr>
        <w:t>. Sentencia de 24 de octubre de 2012 Serie C No. 251,</w:t>
      </w:r>
      <w:r w:rsidRPr="00D34116">
        <w:rPr>
          <w:rFonts w:ascii="Verdana" w:hAnsi="Verdana"/>
          <w:sz w:val="16"/>
          <w:szCs w:val="16"/>
        </w:rPr>
        <w:t xml:space="preserve"> párr. 157. </w:t>
      </w:r>
    </w:p>
  </w:footnote>
  <w:footnote w:id="48">
    <w:p w14:paraId="6612AFAD" w14:textId="2374613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cs="Verdana"/>
          <w:bCs/>
          <w:i/>
          <w:sz w:val="16"/>
          <w:szCs w:val="16"/>
        </w:rPr>
        <w:t>. Caso Mémoli Vs. Argentina. Excepciones Preliminares, Fondo, Reparaciones y Costas</w:t>
      </w:r>
      <w:r w:rsidRPr="00D34116">
        <w:rPr>
          <w:rFonts w:ascii="Verdana" w:hAnsi="Verdana" w:cs="Verdana"/>
          <w:bCs/>
          <w:sz w:val="16"/>
          <w:szCs w:val="16"/>
        </w:rPr>
        <w:t>. Sentencia de 22 de agosto de 2013. Serie C No. 265,</w:t>
      </w:r>
      <w:r w:rsidRPr="00D34116">
        <w:rPr>
          <w:rFonts w:ascii="Verdana" w:hAnsi="Verdana"/>
          <w:sz w:val="16"/>
          <w:szCs w:val="16"/>
        </w:rPr>
        <w:t xml:space="preserve"> párr. 171.</w:t>
      </w:r>
    </w:p>
  </w:footnote>
  <w:footnote w:id="49">
    <w:p w14:paraId="228C02C6" w14:textId="42C1929B"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cs="Verdana"/>
          <w:bCs/>
          <w:i/>
          <w:sz w:val="16"/>
          <w:szCs w:val="16"/>
        </w:rPr>
        <w:t xml:space="preserve">. Caso </w:t>
      </w:r>
      <w:proofErr w:type="spellStart"/>
      <w:r w:rsidRPr="00D34116">
        <w:rPr>
          <w:rFonts w:ascii="Verdana" w:hAnsi="Verdana" w:cs="Verdana"/>
          <w:bCs/>
          <w:i/>
          <w:sz w:val="16"/>
          <w:szCs w:val="16"/>
        </w:rPr>
        <w:t>Barbani</w:t>
      </w:r>
      <w:proofErr w:type="spellEnd"/>
      <w:r w:rsidRPr="00D34116">
        <w:rPr>
          <w:rFonts w:ascii="Verdana" w:hAnsi="Verdana" w:cs="Verdana"/>
          <w:bCs/>
          <w:i/>
          <w:sz w:val="16"/>
          <w:szCs w:val="16"/>
        </w:rPr>
        <w:t xml:space="preserve"> Duarte y Otros Vs. Uruguay. Fondo Reparaciones y costas</w:t>
      </w:r>
      <w:r w:rsidRPr="00D34116">
        <w:rPr>
          <w:rFonts w:ascii="Verdana" w:hAnsi="Verdana" w:cs="Verdana"/>
          <w:bCs/>
          <w:sz w:val="16"/>
          <w:szCs w:val="16"/>
        </w:rPr>
        <w:t xml:space="preserve">. Sentencia de 13 de octubre de 2011. Serie C No. 234, </w:t>
      </w:r>
      <w:r w:rsidRPr="00D34116">
        <w:rPr>
          <w:rFonts w:ascii="Verdana" w:hAnsi="Verdana"/>
          <w:sz w:val="16"/>
          <w:szCs w:val="16"/>
        </w:rPr>
        <w:t xml:space="preserve">párr. 142. </w:t>
      </w:r>
    </w:p>
  </w:footnote>
  <w:footnote w:id="50">
    <w:p w14:paraId="76AED47D" w14:textId="17221D2D"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cs="Verdana"/>
          <w:bCs/>
          <w:i/>
          <w:sz w:val="16"/>
          <w:szCs w:val="16"/>
        </w:rPr>
        <w:t>. Caso López Mendoza Vs. Venezuela. Fondo Reparaciones y Costas.</w:t>
      </w:r>
      <w:r w:rsidRPr="00D34116">
        <w:rPr>
          <w:rFonts w:ascii="Verdana" w:hAnsi="Verdana" w:cs="Verdana"/>
          <w:bCs/>
          <w:sz w:val="16"/>
          <w:szCs w:val="16"/>
        </w:rPr>
        <w:t xml:space="preserve"> Sentencia de 1 de septiembre de 2011 Serie C No. 233, </w:t>
      </w:r>
      <w:r w:rsidRPr="00D34116">
        <w:rPr>
          <w:rFonts w:ascii="Verdana" w:hAnsi="Verdana"/>
          <w:sz w:val="16"/>
          <w:szCs w:val="16"/>
        </w:rPr>
        <w:t xml:space="preserve">párr. 149. </w:t>
      </w:r>
    </w:p>
  </w:footnote>
  <w:footnote w:id="51">
    <w:p w14:paraId="0D432B19" w14:textId="12C60B29"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cs="Verdana"/>
          <w:bCs/>
          <w:i/>
          <w:sz w:val="16"/>
          <w:szCs w:val="16"/>
        </w:rPr>
        <w:t>. Caso Claude Reyes y otros Vs. Chile. Fondo, Reparaciones y Costas</w:t>
      </w:r>
      <w:r w:rsidRPr="00D34116">
        <w:rPr>
          <w:rFonts w:ascii="Verdana" w:hAnsi="Verdana" w:cs="Verdana"/>
          <w:bCs/>
          <w:sz w:val="16"/>
          <w:szCs w:val="16"/>
        </w:rPr>
        <w:t xml:space="preserve">. Sentencia de 19 de septiembre de 2006. Serie C No. 151, </w:t>
      </w:r>
      <w:r w:rsidRPr="00D34116">
        <w:rPr>
          <w:rFonts w:ascii="Verdana" w:hAnsi="Verdana"/>
          <w:sz w:val="16"/>
          <w:szCs w:val="16"/>
        </w:rPr>
        <w:t>párr. 115 a 123.</w:t>
      </w:r>
    </w:p>
  </w:footnote>
  <w:footnote w:id="52">
    <w:p w14:paraId="5D76A83D" w14:textId="52A6E621"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77427A">
        <w:rPr>
          <w:rFonts w:ascii="Verdana" w:hAnsi="Verdana"/>
          <w:sz w:val="16"/>
          <w:szCs w:val="16"/>
          <w:lang w:val="pt-BR"/>
        </w:rPr>
        <w:t xml:space="preserve"> </w:t>
      </w:r>
      <w:r w:rsidRPr="0077427A">
        <w:rPr>
          <w:rFonts w:ascii="Verdana" w:hAnsi="Verdana"/>
          <w:sz w:val="16"/>
          <w:szCs w:val="16"/>
          <w:lang w:val="pt-BR"/>
        </w:rPr>
        <w:tab/>
      </w:r>
      <w:r w:rsidRPr="0077427A">
        <w:rPr>
          <w:rFonts w:ascii="Verdana" w:hAnsi="Verdana"/>
          <w:i/>
          <w:iCs/>
          <w:sz w:val="16"/>
          <w:szCs w:val="16"/>
          <w:lang w:val="pt-BR"/>
        </w:rPr>
        <w:t>Cfr</w:t>
      </w:r>
      <w:r w:rsidRPr="0077427A">
        <w:rPr>
          <w:rFonts w:ascii="Verdana" w:hAnsi="Verdana" w:cs="Verdana"/>
          <w:bCs/>
          <w:i/>
          <w:sz w:val="16"/>
          <w:szCs w:val="16"/>
          <w:lang w:val="pt-BR"/>
        </w:rPr>
        <w:t xml:space="preserve">. Caso Yatama Vs. Nicaragua. </w:t>
      </w:r>
      <w:r w:rsidRPr="00D34116">
        <w:rPr>
          <w:rFonts w:ascii="Verdana" w:hAnsi="Verdana" w:cs="Verdana"/>
          <w:bCs/>
          <w:i/>
          <w:sz w:val="16"/>
          <w:szCs w:val="16"/>
        </w:rPr>
        <w:t>Excepciones Preliminares, Fondo, Reparaciones y Costas</w:t>
      </w:r>
      <w:r w:rsidRPr="00D34116">
        <w:rPr>
          <w:rFonts w:ascii="Verdana" w:hAnsi="Verdana" w:cs="Verdana"/>
          <w:bCs/>
          <w:sz w:val="16"/>
          <w:szCs w:val="16"/>
        </w:rPr>
        <w:t xml:space="preserve">. Sentencia de 23 de junio de 2005. Serie C No. 127, párr. </w:t>
      </w:r>
      <w:r w:rsidRPr="00D34116">
        <w:rPr>
          <w:rFonts w:ascii="Verdana" w:hAnsi="Verdana"/>
          <w:sz w:val="16"/>
          <w:szCs w:val="16"/>
        </w:rPr>
        <w:t>164.</w:t>
      </w:r>
    </w:p>
  </w:footnote>
  <w:footnote w:id="53">
    <w:p w14:paraId="7584E766" w14:textId="67D76FB4"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sz w:val="16"/>
          <w:szCs w:val="16"/>
        </w:rPr>
        <w:t xml:space="preserve"> </w:t>
      </w:r>
      <w:r w:rsidRPr="00D34116">
        <w:rPr>
          <w:rFonts w:ascii="Verdana" w:hAnsi="Verdana"/>
          <w:i/>
          <w:iCs/>
          <w:sz w:val="16"/>
          <w:szCs w:val="16"/>
        </w:rPr>
        <w:t>Caso Baena Ricardo Vs. Panamá</w:t>
      </w:r>
      <w:r w:rsidRPr="00D34116">
        <w:rPr>
          <w:rFonts w:ascii="Verdana" w:hAnsi="Verdana"/>
          <w:sz w:val="16"/>
          <w:szCs w:val="16"/>
        </w:rPr>
        <w:t xml:space="preserve">. </w:t>
      </w:r>
      <w:r w:rsidRPr="00D34116">
        <w:rPr>
          <w:rFonts w:ascii="Verdana" w:hAnsi="Verdana"/>
          <w:i/>
          <w:sz w:val="16"/>
          <w:szCs w:val="16"/>
        </w:rPr>
        <w:t>Fondo, Reparaciones y Costas</w:t>
      </w:r>
      <w:r w:rsidRPr="00D34116">
        <w:rPr>
          <w:rFonts w:ascii="Verdana" w:hAnsi="Verdana"/>
          <w:sz w:val="16"/>
          <w:szCs w:val="16"/>
        </w:rPr>
        <w:t>. Sentencia de 2 de febrero de 2001. Serie C No. 72, párr. 137.</w:t>
      </w:r>
    </w:p>
  </w:footnote>
  <w:footnote w:id="54">
    <w:p w14:paraId="06AE2ABF" w14:textId="4EE545EC" w:rsidR="00CB2B4E" w:rsidRPr="00D34116" w:rsidRDefault="00CB2B4E" w:rsidP="00D34116">
      <w:pPr>
        <w:pStyle w:val="FootnoteText"/>
        <w:jc w:val="both"/>
        <w:rPr>
          <w:rFonts w:ascii="Verdana" w:hAnsi="Verdana"/>
          <w:bCs/>
          <w:color w:val="000000"/>
          <w:sz w:val="16"/>
          <w:szCs w:val="16"/>
          <w:shd w:val="clear" w:color="auto" w:fill="FFFFFF"/>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sz w:val="16"/>
          <w:szCs w:val="16"/>
        </w:rPr>
        <w:t xml:space="preserve"> </w:t>
      </w:r>
      <w:r w:rsidRPr="00D34116">
        <w:rPr>
          <w:rFonts w:ascii="Verdana" w:hAnsi="Verdana"/>
          <w:i/>
          <w:iCs/>
          <w:sz w:val="16"/>
          <w:szCs w:val="16"/>
        </w:rPr>
        <w:t>Caso Baena Ricardo Vs. Panamá</w:t>
      </w:r>
      <w:r w:rsidRPr="00D34116">
        <w:rPr>
          <w:rFonts w:ascii="Verdana" w:hAnsi="Verdana"/>
          <w:sz w:val="16"/>
          <w:szCs w:val="16"/>
        </w:rPr>
        <w:t xml:space="preserve">. </w:t>
      </w:r>
      <w:r w:rsidRPr="00D34116">
        <w:rPr>
          <w:rFonts w:ascii="Verdana" w:hAnsi="Verdana"/>
          <w:i/>
          <w:sz w:val="16"/>
          <w:szCs w:val="16"/>
        </w:rPr>
        <w:t>Fondo, Reparaciones y Costas</w:t>
      </w:r>
      <w:r w:rsidRPr="00D34116">
        <w:rPr>
          <w:rFonts w:ascii="Verdana" w:hAnsi="Verdana"/>
          <w:sz w:val="16"/>
          <w:szCs w:val="16"/>
        </w:rPr>
        <w:t xml:space="preserve">. Sentencia de 2 de febrero de 2001. Serie C No. 72, párr. 127, y </w:t>
      </w:r>
      <w:r w:rsidRPr="00D34116">
        <w:rPr>
          <w:rStyle w:val="Strong"/>
          <w:rFonts w:ascii="Verdana" w:hAnsi="Verdana"/>
          <w:b w:val="0"/>
          <w:i/>
          <w:color w:val="000000"/>
          <w:sz w:val="16"/>
          <w:szCs w:val="16"/>
          <w:shd w:val="clear" w:color="auto" w:fill="FFFFFF"/>
        </w:rPr>
        <w:t>Caso del Tribunal Constitucional (Camba Campos y otros) Vs. Ecuador. Excepciones Preliminares, Fondo, Reparaciones y Costas</w:t>
      </w:r>
      <w:r w:rsidRPr="00D34116">
        <w:rPr>
          <w:rStyle w:val="Strong"/>
          <w:rFonts w:ascii="Verdana" w:hAnsi="Verdana"/>
          <w:b w:val="0"/>
          <w:color w:val="000000"/>
          <w:sz w:val="16"/>
          <w:szCs w:val="16"/>
          <w:shd w:val="clear" w:color="auto" w:fill="FFFFFF"/>
        </w:rPr>
        <w:t>. Sentencia de 28 de agosto de 2013. Serie C No. 268, párr. 167.</w:t>
      </w:r>
    </w:p>
  </w:footnote>
  <w:footnote w:id="55">
    <w:p w14:paraId="48703F88" w14:textId="71413DD2" w:rsidR="00CB2B4E" w:rsidRPr="00D34116" w:rsidRDefault="00CB2B4E" w:rsidP="00D34116">
      <w:pPr>
        <w:pStyle w:val="FootnoteText"/>
        <w:jc w:val="both"/>
        <w:rPr>
          <w:rFonts w:ascii="Verdana" w:hAnsi="Verdana"/>
          <w:bCs/>
          <w:i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sz w:val="16"/>
          <w:szCs w:val="16"/>
        </w:rPr>
        <w:t xml:space="preserve"> </w:t>
      </w:r>
      <w:r w:rsidRPr="00D34116">
        <w:rPr>
          <w:rFonts w:ascii="Verdana" w:hAnsi="Verdana"/>
          <w:i/>
          <w:iCs/>
          <w:sz w:val="16"/>
          <w:szCs w:val="16"/>
        </w:rPr>
        <w:t xml:space="preserve">Caso del Tribunal Constitucional Vs. Perú. Fondo, Reparaciones y Costas. </w:t>
      </w:r>
      <w:r w:rsidRPr="00D34116">
        <w:rPr>
          <w:rFonts w:ascii="Verdana" w:hAnsi="Verdana"/>
          <w:sz w:val="16"/>
          <w:szCs w:val="16"/>
        </w:rPr>
        <w:t>Sentencia de 31 d</w:t>
      </w:r>
      <w:r w:rsidR="00973094">
        <w:rPr>
          <w:rFonts w:ascii="Verdana" w:hAnsi="Verdana"/>
          <w:sz w:val="16"/>
          <w:szCs w:val="16"/>
        </w:rPr>
        <w:t>e enero de 2001. Serie C No. 71, y</w:t>
      </w:r>
      <w:r w:rsidRPr="00D34116">
        <w:rPr>
          <w:rFonts w:ascii="Verdana" w:hAnsi="Verdana"/>
          <w:sz w:val="16"/>
          <w:szCs w:val="16"/>
        </w:rPr>
        <w:t xml:space="preserve"> </w:t>
      </w:r>
      <w:r w:rsidRPr="00D34116">
        <w:rPr>
          <w:rFonts w:ascii="Verdana" w:hAnsi="Verdana"/>
          <w:i/>
          <w:iCs/>
          <w:sz w:val="16"/>
          <w:szCs w:val="16"/>
        </w:rPr>
        <w:t xml:space="preserve">Caso </w:t>
      </w:r>
      <w:r w:rsidRPr="00D34116">
        <w:rPr>
          <w:rFonts w:ascii="Verdana" w:hAnsi="Verdana"/>
          <w:bCs/>
          <w:i/>
          <w:iCs/>
          <w:sz w:val="16"/>
          <w:szCs w:val="16"/>
        </w:rPr>
        <w:t>del Tribunal Constitucional (Camba Campos y otros) Vs. Ecuador. Excepciones Preliminares, Fondo, Reparaciones y Costas.</w:t>
      </w:r>
      <w:r w:rsidRPr="00D34116">
        <w:rPr>
          <w:rFonts w:ascii="Verdana" w:hAnsi="Verdana"/>
          <w:b/>
          <w:bCs/>
          <w:i/>
          <w:iCs/>
          <w:sz w:val="16"/>
          <w:szCs w:val="16"/>
        </w:rPr>
        <w:t xml:space="preserve"> </w:t>
      </w:r>
      <w:r w:rsidRPr="00D34116">
        <w:rPr>
          <w:rFonts w:ascii="Verdana" w:hAnsi="Verdana"/>
          <w:bCs/>
          <w:iCs/>
          <w:sz w:val="16"/>
          <w:szCs w:val="16"/>
        </w:rPr>
        <w:t>Sentencia de 28 de agosto de 2013. Serie C No. 268.</w:t>
      </w:r>
    </w:p>
  </w:footnote>
  <w:footnote w:id="56">
    <w:p w14:paraId="74DCFCF0" w14:textId="6EED8803"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Cfr.</w:t>
      </w:r>
      <w:r w:rsidRPr="00D34116">
        <w:rPr>
          <w:rFonts w:ascii="Verdana" w:hAnsi="Verdana"/>
          <w:sz w:val="16"/>
          <w:szCs w:val="16"/>
        </w:rPr>
        <w:t xml:space="preserve"> </w:t>
      </w:r>
      <w:r w:rsidRPr="00D34116">
        <w:rPr>
          <w:rFonts w:ascii="Verdana" w:hAnsi="Verdana"/>
          <w:i/>
          <w:iCs/>
          <w:sz w:val="16"/>
          <w:szCs w:val="16"/>
        </w:rPr>
        <w:t>Caso Baena Ricardo Vs. Panamá. Fondo, Reparaciones y Costas.</w:t>
      </w:r>
      <w:r w:rsidRPr="00D34116">
        <w:rPr>
          <w:rFonts w:ascii="Verdana" w:hAnsi="Verdana"/>
          <w:sz w:val="16"/>
          <w:szCs w:val="16"/>
        </w:rPr>
        <w:t xml:space="preserve"> Sentencia de 2 de febrero de 2001. Serie C No. 72</w:t>
      </w:r>
      <w:r w:rsidR="00973094">
        <w:rPr>
          <w:rFonts w:ascii="Verdana" w:hAnsi="Verdana"/>
          <w:sz w:val="16"/>
          <w:szCs w:val="16"/>
        </w:rPr>
        <w:t>,</w:t>
      </w:r>
      <w:r w:rsidRPr="00D34116">
        <w:rPr>
          <w:rFonts w:ascii="Verdana" w:hAnsi="Verdana"/>
          <w:sz w:val="16"/>
          <w:szCs w:val="16"/>
        </w:rPr>
        <w:t xml:space="preserve"> y </w:t>
      </w:r>
      <w:r w:rsidRPr="00D34116">
        <w:rPr>
          <w:rFonts w:ascii="Verdana" w:hAnsi="Verdana"/>
          <w:i/>
          <w:iCs/>
          <w:sz w:val="16"/>
          <w:szCs w:val="16"/>
        </w:rPr>
        <w:t>Cfr.</w:t>
      </w:r>
      <w:r w:rsidRPr="00D34116">
        <w:rPr>
          <w:rFonts w:ascii="Verdana" w:hAnsi="Verdana"/>
          <w:sz w:val="16"/>
          <w:szCs w:val="16"/>
        </w:rPr>
        <w:t xml:space="preserve"> </w:t>
      </w:r>
      <w:r w:rsidRPr="00D34116">
        <w:rPr>
          <w:rFonts w:ascii="Verdana" w:hAnsi="Verdana"/>
          <w:i/>
          <w:iCs/>
          <w:sz w:val="16"/>
          <w:szCs w:val="16"/>
        </w:rPr>
        <w:t xml:space="preserve">Caso </w:t>
      </w:r>
      <w:proofErr w:type="spellStart"/>
      <w:r w:rsidRPr="00D34116">
        <w:rPr>
          <w:rFonts w:ascii="Verdana" w:hAnsi="Verdana"/>
          <w:i/>
          <w:iCs/>
          <w:sz w:val="16"/>
          <w:szCs w:val="16"/>
        </w:rPr>
        <w:t>Ivcher</w:t>
      </w:r>
      <w:proofErr w:type="spellEnd"/>
      <w:r w:rsidRPr="00D34116">
        <w:rPr>
          <w:rFonts w:ascii="Verdana" w:hAnsi="Verdana"/>
          <w:i/>
          <w:iCs/>
          <w:sz w:val="16"/>
          <w:szCs w:val="16"/>
        </w:rPr>
        <w:t xml:space="preserve"> </w:t>
      </w:r>
      <w:proofErr w:type="spellStart"/>
      <w:r w:rsidRPr="00D34116">
        <w:rPr>
          <w:rFonts w:ascii="Verdana" w:hAnsi="Verdana"/>
          <w:i/>
          <w:iCs/>
          <w:sz w:val="16"/>
          <w:szCs w:val="16"/>
        </w:rPr>
        <w:t>Bronstein</w:t>
      </w:r>
      <w:proofErr w:type="spellEnd"/>
      <w:r w:rsidRPr="00D34116">
        <w:rPr>
          <w:rFonts w:ascii="Verdana" w:hAnsi="Verdana"/>
          <w:i/>
          <w:iCs/>
          <w:sz w:val="16"/>
          <w:szCs w:val="16"/>
        </w:rPr>
        <w:t xml:space="preserve"> Vs. Perú</w:t>
      </w:r>
      <w:r w:rsidRPr="00D34116">
        <w:rPr>
          <w:rFonts w:ascii="Verdana" w:hAnsi="Verdana"/>
          <w:b/>
          <w:bCs/>
          <w:i/>
          <w:iCs/>
          <w:sz w:val="16"/>
          <w:szCs w:val="16"/>
        </w:rPr>
        <w:t xml:space="preserve">. </w:t>
      </w:r>
      <w:r w:rsidRPr="00D34116">
        <w:rPr>
          <w:rFonts w:ascii="Verdana" w:hAnsi="Verdana"/>
          <w:i/>
          <w:iCs/>
          <w:sz w:val="16"/>
          <w:szCs w:val="16"/>
        </w:rPr>
        <w:t>Reparaciones y Costas.</w:t>
      </w:r>
      <w:r w:rsidRPr="00D34116">
        <w:rPr>
          <w:rFonts w:ascii="Verdana" w:hAnsi="Verdana"/>
          <w:sz w:val="16"/>
          <w:szCs w:val="16"/>
        </w:rPr>
        <w:t xml:space="preserve"> Sentencia de 6 de febrero de 2001. Serie C No. 74.</w:t>
      </w:r>
    </w:p>
  </w:footnote>
  <w:footnote w:id="57">
    <w:p w14:paraId="68FDC7DE" w14:textId="203E9886"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w:t>
      </w:r>
      <w:r w:rsidRPr="00D34116">
        <w:rPr>
          <w:rFonts w:ascii="Verdana" w:hAnsi="Verdana"/>
          <w:i/>
          <w:sz w:val="16"/>
          <w:szCs w:val="16"/>
        </w:rPr>
        <w:t>Caso Vélez Loor Vs. Panamá. Excepciones Preliminares, Fondo, Reparaciones y Costas</w:t>
      </w:r>
      <w:r w:rsidRPr="00D34116">
        <w:rPr>
          <w:rFonts w:ascii="Verdana" w:hAnsi="Verdana"/>
          <w:sz w:val="16"/>
          <w:szCs w:val="16"/>
        </w:rPr>
        <w:t>. Sentencia de 23 de noviembre de 2010. Serie C No. 218, párr. 178.</w:t>
      </w:r>
    </w:p>
  </w:footnote>
  <w:footnote w:id="58">
    <w:p w14:paraId="4AD49175" w14:textId="36C1948F"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w:t>
      </w:r>
      <w:r w:rsidRPr="00D34116">
        <w:rPr>
          <w:rFonts w:ascii="Verdana" w:hAnsi="Verdana" w:cs="Verdana"/>
          <w:bCs/>
          <w:i/>
          <w:sz w:val="16"/>
          <w:szCs w:val="16"/>
        </w:rPr>
        <w:t>aso del Tribunal Constitucional (Camba Campos y otros) Vs. Ecuador. Excepciones Preliminares, Fondo, Reparaciones y Costas</w:t>
      </w:r>
      <w:r w:rsidRPr="00D34116">
        <w:rPr>
          <w:rFonts w:ascii="Verdana" w:hAnsi="Verdana" w:cs="Verdana"/>
          <w:bCs/>
          <w:sz w:val="16"/>
          <w:szCs w:val="16"/>
        </w:rPr>
        <w:t>. Sentencia de 28 de agosto de 2013. Serie C No. 268, párr. 166.</w:t>
      </w:r>
    </w:p>
  </w:footnote>
  <w:footnote w:id="59">
    <w:p w14:paraId="68722455" w14:textId="43F16C7C"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iCs/>
          <w:sz w:val="16"/>
          <w:szCs w:val="16"/>
        </w:rPr>
        <w:t xml:space="preserve">Caso del Tribunal Constitucional Vs. Perú. Fondo, Reparaciones y Costas. </w:t>
      </w:r>
      <w:r w:rsidRPr="00D34116">
        <w:rPr>
          <w:rFonts w:ascii="Verdana" w:hAnsi="Verdana"/>
          <w:sz w:val="16"/>
          <w:szCs w:val="16"/>
        </w:rPr>
        <w:t xml:space="preserve">Sentencia de 31 de enero de 2001. Serie C No. 71. </w:t>
      </w:r>
    </w:p>
  </w:footnote>
  <w:footnote w:id="60">
    <w:p w14:paraId="5ED3CD83" w14:textId="47A63B0D" w:rsidR="00CB2B4E" w:rsidRPr="00D34116" w:rsidRDefault="00CB2B4E" w:rsidP="00D34116">
      <w:pPr>
        <w:pStyle w:val="FootnoteText"/>
        <w:jc w:val="both"/>
        <w:rPr>
          <w:rFonts w:ascii="Verdana" w:hAnsi="Verdana" w:cs="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w:t>
      </w:r>
      <w:r w:rsidRPr="00D34116">
        <w:rPr>
          <w:rFonts w:ascii="Verdana" w:hAnsi="Verdana" w:cs="Verdana"/>
          <w:bCs/>
          <w:i/>
          <w:sz w:val="16"/>
          <w:szCs w:val="16"/>
        </w:rPr>
        <w:t>aso Ricardo Baena y otros Vs. Ecuador. Fondo, Reparaciones y Costas</w:t>
      </w:r>
      <w:r w:rsidRPr="00D34116">
        <w:rPr>
          <w:rFonts w:ascii="Verdana" w:hAnsi="Verdana" w:cs="Verdana"/>
          <w:bCs/>
          <w:sz w:val="16"/>
          <w:szCs w:val="16"/>
        </w:rPr>
        <w:t>. Sentencia de 2 de febrero de 2001. Serie C No. 72.</w:t>
      </w:r>
    </w:p>
  </w:footnote>
  <w:footnote w:id="61">
    <w:p w14:paraId="33EF33E6" w14:textId="27BAFA4A" w:rsidR="00CB2B4E" w:rsidRPr="005703F2" w:rsidRDefault="00CB2B4E" w:rsidP="00D34116">
      <w:pPr>
        <w:pStyle w:val="FootnoteText"/>
        <w:jc w:val="both"/>
        <w:rPr>
          <w:rFonts w:ascii="Verdana" w:hAnsi="Verdana" w:cs="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cs="Verdana"/>
          <w:bCs/>
          <w:i/>
          <w:sz w:val="16"/>
          <w:szCs w:val="16"/>
        </w:rPr>
        <w:t>Caso Vélez Loor Vs. Panamá. Excepciones Preliminares, Fondo, Reparaciones y Costas</w:t>
      </w:r>
      <w:r w:rsidRPr="00D34116">
        <w:rPr>
          <w:rFonts w:ascii="Verdana" w:hAnsi="Verdana" w:cs="Verdana"/>
          <w:bCs/>
          <w:sz w:val="16"/>
          <w:szCs w:val="16"/>
        </w:rPr>
        <w:t>. Sentencia de 23 de noviembre de 2010</w:t>
      </w:r>
      <w:r w:rsidR="005703F2">
        <w:rPr>
          <w:rFonts w:ascii="Verdana" w:hAnsi="Verdana" w:cs="Verdana"/>
          <w:bCs/>
          <w:sz w:val="16"/>
          <w:szCs w:val="16"/>
        </w:rPr>
        <w:t>.</w:t>
      </w:r>
      <w:r w:rsidRPr="00D34116">
        <w:rPr>
          <w:rFonts w:ascii="Verdana" w:hAnsi="Verdana" w:cs="Verdana"/>
          <w:bCs/>
          <w:sz w:val="16"/>
          <w:szCs w:val="16"/>
        </w:rPr>
        <w:t xml:space="preserve"> Serie C No. 218, párr</w:t>
      </w:r>
      <w:r w:rsidR="005703F2">
        <w:rPr>
          <w:rFonts w:ascii="Verdana" w:hAnsi="Verdana" w:cs="Verdana"/>
          <w:bCs/>
          <w:sz w:val="16"/>
          <w:szCs w:val="16"/>
        </w:rPr>
        <w:t>s</w:t>
      </w:r>
      <w:r w:rsidRPr="00D34116">
        <w:rPr>
          <w:rFonts w:ascii="Verdana" w:hAnsi="Verdana" w:cs="Verdana"/>
          <w:bCs/>
          <w:sz w:val="16"/>
          <w:szCs w:val="16"/>
        </w:rPr>
        <w:t xml:space="preserve">. 141 y 142. </w:t>
      </w:r>
    </w:p>
  </w:footnote>
  <w:footnote w:id="62">
    <w:p w14:paraId="798633B5" w14:textId="079CDC45" w:rsidR="00CB2B4E" w:rsidRPr="00D34116" w:rsidRDefault="00CB2B4E" w:rsidP="00D34116">
      <w:pPr>
        <w:jc w:val="both"/>
        <w:rPr>
          <w:rFonts w:ascii="Verdana" w:hAnsi="Verdana"/>
          <w:bCs/>
          <w:color w:val="000000"/>
          <w:sz w:val="16"/>
          <w:szCs w:val="16"/>
          <w:shd w:val="clear" w:color="auto" w:fill="FFFFFF"/>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 Caso Baena Ricardo Vs. Panamá. Fondo, Reparaciones y Costas</w:t>
      </w:r>
      <w:r w:rsidRPr="00D34116">
        <w:rPr>
          <w:rFonts w:ascii="Verdana" w:hAnsi="Verdana"/>
          <w:sz w:val="16"/>
          <w:szCs w:val="16"/>
        </w:rPr>
        <w:t>. Sentencia de 2 de febrero de 2001</w:t>
      </w:r>
      <w:r w:rsidR="005703F2">
        <w:rPr>
          <w:rFonts w:ascii="Verdana" w:hAnsi="Verdana"/>
          <w:sz w:val="16"/>
          <w:szCs w:val="16"/>
        </w:rPr>
        <w:t>.</w:t>
      </w:r>
      <w:r w:rsidRPr="00D34116">
        <w:rPr>
          <w:rFonts w:ascii="Verdana" w:hAnsi="Verdana"/>
          <w:sz w:val="16"/>
          <w:szCs w:val="16"/>
        </w:rPr>
        <w:t xml:space="preserve"> Serie C N° 72, párr. 124, y </w:t>
      </w:r>
      <w:r w:rsidRPr="00D34116">
        <w:rPr>
          <w:rStyle w:val="Strong"/>
          <w:rFonts w:ascii="Verdana" w:hAnsi="Verdana"/>
          <w:b w:val="0"/>
          <w:i/>
          <w:color w:val="000000"/>
          <w:sz w:val="16"/>
          <w:szCs w:val="16"/>
          <w:shd w:val="clear" w:color="auto" w:fill="FFFFFF"/>
        </w:rPr>
        <w:t>Caso de personas dominicanas y haitianas expulsadas Vs. República Dominicana. Excepciones Preliminares, Fondo, Reparaciones y Costas</w:t>
      </w:r>
      <w:r w:rsidRPr="00D34116">
        <w:rPr>
          <w:rStyle w:val="Strong"/>
          <w:rFonts w:ascii="Verdana" w:hAnsi="Verdana"/>
          <w:b w:val="0"/>
          <w:color w:val="000000"/>
          <w:sz w:val="16"/>
          <w:szCs w:val="16"/>
          <w:shd w:val="clear" w:color="auto" w:fill="FFFFFF"/>
        </w:rPr>
        <w:t>. Sentencia de 28 de agosto de 2014. Serie C No. 282, párr. 349.</w:t>
      </w:r>
    </w:p>
  </w:footnote>
  <w:footnote w:id="63">
    <w:p w14:paraId="7DAD3990" w14:textId="75CBA9C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Caso Maldonado Ordoñez Vs. Guatemala. Excepción Preliminar, Fondo, Reparaciones y Costa</w:t>
      </w:r>
      <w:r w:rsidRPr="00D34116">
        <w:rPr>
          <w:rFonts w:ascii="Verdana" w:hAnsi="Verdana"/>
          <w:sz w:val="16"/>
          <w:szCs w:val="16"/>
        </w:rPr>
        <w:t xml:space="preserve">s. </w:t>
      </w:r>
      <w:r w:rsidR="006A03F7">
        <w:rPr>
          <w:rFonts w:ascii="Verdana" w:hAnsi="Verdana"/>
          <w:sz w:val="16"/>
          <w:szCs w:val="16"/>
        </w:rPr>
        <w:t>Sentencia de 3 de mayo de 2016.</w:t>
      </w:r>
      <w:r w:rsidRPr="00D34116">
        <w:rPr>
          <w:rFonts w:ascii="Verdana" w:hAnsi="Verdana"/>
          <w:sz w:val="16"/>
          <w:szCs w:val="16"/>
        </w:rPr>
        <w:t xml:space="preserve"> Serie C No. </w:t>
      </w:r>
      <w:r w:rsidR="001275EE">
        <w:rPr>
          <w:rFonts w:ascii="Verdana" w:hAnsi="Verdana"/>
          <w:sz w:val="16"/>
          <w:szCs w:val="16"/>
        </w:rPr>
        <w:t>311</w:t>
      </w:r>
      <w:r w:rsidRPr="00D34116">
        <w:rPr>
          <w:rFonts w:ascii="Verdana" w:hAnsi="Verdana"/>
          <w:sz w:val="16"/>
          <w:szCs w:val="16"/>
        </w:rPr>
        <w:t>, párr. 75.</w:t>
      </w:r>
    </w:p>
  </w:footnote>
  <w:footnote w:id="64">
    <w:p w14:paraId="7E58FA69" w14:textId="263CCEC4"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Caso Maldonado Ordoñez Vs. Guatemala. Excepción Preliminar, Fondo, Reparaciones y Costa</w:t>
      </w:r>
      <w:r w:rsidRPr="00D34116">
        <w:rPr>
          <w:rFonts w:ascii="Verdana" w:hAnsi="Verdana"/>
          <w:sz w:val="16"/>
          <w:szCs w:val="16"/>
        </w:rPr>
        <w:t>s.</w:t>
      </w:r>
      <w:r w:rsidR="006A03F7">
        <w:rPr>
          <w:rFonts w:ascii="Verdana" w:hAnsi="Verdana"/>
          <w:sz w:val="16"/>
          <w:szCs w:val="16"/>
        </w:rPr>
        <w:t xml:space="preserve"> Sentencia de 3 de mayo de 2016.</w:t>
      </w:r>
      <w:r w:rsidRPr="00D34116">
        <w:rPr>
          <w:rFonts w:ascii="Verdana" w:hAnsi="Verdana"/>
          <w:sz w:val="16"/>
          <w:szCs w:val="16"/>
        </w:rPr>
        <w:t xml:space="preserve"> Serie C No. </w:t>
      </w:r>
      <w:r w:rsidR="001275EE">
        <w:rPr>
          <w:rFonts w:ascii="Verdana" w:hAnsi="Verdana"/>
          <w:sz w:val="16"/>
          <w:szCs w:val="16"/>
        </w:rPr>
        <w:t>311</w:t>
      </w:r>
      <w:r w:rsidRPr="00D34116">
        <w:rPr>
          <w:rFonts w:ascii="Verdana" w:hAnsi="Verdana"/>
          <w:sz w:val="16"/>
          <w:szCs w:val="16"/>
        </w:rPr>
        <w:t>, párr. 81.</w:t>
      </w:r>
    </w:p>
  </w:footnote>
  <w:footnote w:id="65">
    <w:p w14:paraId="79E8B4A5" w14:textId="2B342C7F"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Caso Maldonado Ordoñez Vs. Guatemala. Excepción Preliminar, Fondo, Reparaciones y Costa</w:t>
      </w:r>
      <w:r w:rsidRPr="00D34116">
        <w:rPr>
          <w:rFonts w:ascii="Verdana" w:hAnsi="Verdana"/>
          <w:sz w:val="16"/>
          <w:szCs w:val="16"/>
        </w:rPr>
        <w:t>s. Sentencia de 3 de</w:t>
      </w:r>
      <w:r w:rsidR="006A03F7">
        <w:rPr>
          <w:rFonts w:ascii="Verdana" w:hAnsi="Verdana"/>
          <w:sz w:val="16"/>
          <w:szCs w:val="16"/>
        </w:rPr>
        <w:t xml:space="preserve"> mayo de 2016.</w:t>
      </w:r>
      <w:r w:rsidRPr="00D34116">
        <w:rPr>
          <w:rFonts w:ascii="Verdana" w:hAnsi="Verdana"/>
          <w:sz w:val="16"/>
          <w:szCs w:val="16"/>
        </w:rPr>
        <w:t xml:space="preserve"> Serie C No. </w:t>
      </w:r>
      <w:r w:rsidR="001275EE">
        <w:rPr>
          <w:rFonts w:ascii="Verdana" w:hAnsi="Verdana"/>
          <w:sz w:val="16"/>
          <w:szCs w:val="16"/>
        </w:rPr>
        <w:t>311</w:t>
      </w:r>
      <w:r w:rsidRPr="00D34116">
        <w:rPr>
          <w:rFonts w:ascii="Verdana" w:hAnsi="Verdana"/>
          <w:sz w:val="16"/>
          <w:szCs w:val="16"/>
        </w:rPr>
        <w:t xml:space="preserve">, párrs. 82, 83 y 84. </w:t>
      </w:r>
    </w:p>
  </w:footnote>
  <w:footnote w:id="66">
    <w:p w14:paraId="4117F2DC" w14:textId="0FBD81DC"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el párr. 82 del Voto Parcialmente Disidente emitido en el </w:t>
      </w:r>
      <w:r w:rsidRPr="006A03F7">
        <w:rPr>
          <w:rFonts w:ascii="Verdana" w:hAnsi="Verdana" w:cs="Verdana"/>
          <w:bCs/>
          <w:i/>
          <w:sz w:val="16"/>
          <w:szCs w:val="16"/>
        </w:rPr>
        <w:t>Caso del Tribunal Constitucional (Camba Campos y otros) Vs. Ecuador. Excepciones Preliminares, Fondo, Reparaciones y Costas</w:t>
      </w:r>
      <w:r w:rsidRPr="00D34116">
        <w:rPr>
          <w:rFonts w:ascii="Verdana" w:hAnsi="Verdana" w:cs="Verdana"/>
          <w:bCs/>
          <w:sz w:val="16"/>
          <w:szCs w:val="16"/>
        </w:rPr>
        <w:t xml:space="preserve">. Sentencia de 28 de agosto de 2013. Serie C No. 268. </w:t>
      </w:r>
    </w:p>
    <w:p w14:paraId="1F69FC41" w14:textId="77777777" w:rsidR="00CB2B4E" w:rsidRPr="00D34116" w:rsidRDefault="00CB2B4E" w:rsidP="00D34116">
      <w:pPr>
        <w:pStyle w:val="FootnoteText"/>
        <w:jc w:val="both"/>
        <w:rPr>
          <w:rFonts w:ascii="Verdana" w:hAnsi="Verdana"/>
          <w:sz w:val="16"/>
          <w:szCs w:val="16"/>
        </w:rPr>
      </w:pPr>
    </w:p>
  </w:footnote>
  <w:footnote w:id="67">
    <w:p w14:paraId="3AC85DA0" w14:textId="76ACE494"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el párr. 83 del Voto Parcialmente Disidente emitido en el </w:t>
      </w:r>
      <w:r w:rsidRPr="00D34116">
        <w:rPr>
          <w:rFonts w:ascii="Verdana" w:hAnsi="Verdana" w:cs="Verdana"/>
          <w:bCs/>
          <w:i/>
          <w:sz w:val="16"/>
          <w:szCs w:val="16"/>
        </w:rPr>
        <w:t>Caso del Tribunal Constitucional (Camba Campos y otros) Vs. Ecuador</w:t>
      </w:r>
      <w:r w:rsidRPr="00D34116">
        <w:rPr>
          <w:rFonts w:ascii="Verdana" w:hAnsi="Verdana" w:cs="Verdana"/>
          <w:bCs/>
          <w:sz w:val="16"/>
          <w:szCs w:val="16"/>
        </w:rPr>
        <w:t xml:space="preserve">. </w:t>
      </w:r>
      <w:r w:rsidRPr="00A83A36">
        <w:rPr>
          <w:rFonts w:ascii="Verdana" w:hAnsi="Verdana" w:cs="Verdana"/>
          <w:bCs/>
          <w:i/>
          <w:sz w:val="16"/>
          <w:szCs w:val="16"/>
        </w:rPr>
        <w:t>Excepciones Preliminares, Fondo, Reparaciones y Costas</w:t>
      </w:r>
      <w:r w:rsidRPr="00D34116">
        <w:rPr>
          <w:rFonts w:ascii="Verdana" w:hAnsi="Verdana" w:cs="Verdana"/>
          <w:bCs/>
          <w:sz w:val="16"/>
          <w:szCs w:val="16"/>
        </w:rPr>
        <w:t>. Sentencia de 28 de agosto de 2013. Serie C No. 268.</w:t>
      </w:r>
    </w:p>
  </w:footnote>
  <w:footnote w:id="68">
    <w:p w14:paraId="2B0402F4" w14:textId="7F8392C9" w:rsidR="00CB2B4E" w:rsidRPr="00D34116" w:rsidRDefault="00CB2B4E" w:rsidP="00D34116">
      <w:pPr>
        <w:pStyle w:val="FootnoteText"/>
        <w:jc w:val="both"/>
        <w:rPr>
          <w:rFonts w:ascii="Verdana" w:hAnsi="Verdana"/>
          <w:sz w:val="16"/>
          <w:szCs w:val="16"/>
        </w:rPr>
      </w:pPr>
      <w:r w:rsidRPr="00D34116">
        <w:rPr>
          <w:rFonts w:ascii="Verdana" w:hAnsi="Verdana"/>
          <w:sz w:val="16"/>
          <w:szCs w:val="16"/>
          <w:vertAlign w:val="superscript"/>
        </w:rPr>
        <w:footnoteRef/>
      </w:r>
      <w:r w:rsidRPr="00D34116">
        <w:rPr>
          <w:rFonts w:ascii="Verdana" w:hAnsi="Verdana"/>
          <w:sz w:val="16"/>
          <w:szCs w:val="16"/>
        </w:rPr>
        <w:t xml:space="preserve"> </w:t>
      </w:r>
      <w:r w:rsidRPr="00D34116">
        <w:rPr>
          <w:rFonts w:ascii="Verdana" w:hAnsi="Verdana"/>
          <w:sz w:val="16"/>
          <w:szCs w:val="16"/>
        </w:rPr>
        <w:tab/>
        <w:t xml:space="preserve">Véase el párr. 74, </w:t>
      </w:r>
      <w:r w:rsidRPr="00D34116">
        <w:rPr>
          <w:rFonts w:ascii="Verdana" w:hAnsi="Verdana"/>
          <w:i/>
          <w:sz w:val="16"/>
          <w:szCs w:val="16"/>
        </w:rPr>
        <w:t>in fine</w:t>
      </w:r>
      <w:r w:rsidRPr="00D34116">
        <w:rPr>
          <w:rFonts w:ascii="Verdana" w:hAnsi="Verdana"/>
          <w:sz w:val="16"/>
          <w:szCs w:val="16"/>
        </w:rPr>
        <w:t>, de la presente sentencia</w:t>
      </w:r>
      <w:r w:rsidRPr="00D34116">
        <w:rPr>
          <w:rFonts w:ascii="Verdana" w:hAnsi="Verdana" w:cs="Verdana"/>
          <w:bCs/>
          <w:sz w:val="16"/>
          <w:szCs w:val="16"/>
        </w:rPr>
        <w:t>.</w:t>
      </w:r>
    </w:p>
  </w:footnote>
  <w:footnote w:id="69">
    <w:p w14:paraId="5C02C112" w14:textId="609B6087"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Caso Maldonado Ordoñez Vs. Guatemala</w:t>
      </w:r>
      <w:r w:rsidRPr="00D34116">
        <w:rPr>
          <w:rFonts w:ascii="Verdana" w:hAnsi="Verdana"/>
          <w:sz w:val="16"/>
          <w:szCs w:val="16"/>
        </w:rPr>
        <w:t xml:space="preserve">. Excepción Preliminar, Fondo, Reparaciones y Costas. Sentencia de 3 de mayo de 2016, Serie C No. </w:t>
      </w:r>
      <w:r w:rsidR="00512370">
        <w:rPr>
          <w:rFonts w:ascii="Verdana" w:hAnsi="Verdana"/>
          <w:sz w:val="16"/>
          <w:szCs w:val="16"/>
        </w:rPr>
        <w:t>311</w:t>
      </w:r>
      <w:r w:rsidRPr="00D34116">
        <w:rPr>
          <w:rFonts w:ascii="Verdana" w:hAnsi="Verdana"/>
          <w:sz w:val="16"/>
          <w:szCs w:val="16"/>
        </w:rPr>
        <w:t>, párr. 80.</w:t>
      </w:r>
    </w:p>
  </w:footnote>
  <w:footnote w:id="70">
    <w:p w14:paraId="7C56F85A" w14:textId="57F6B3C9"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Debe recordarse que en la línea jurisprudencia de esta Corte IDH se encuentran los casos relativos a los tribunales constitucionales de Perú (2001) y de Ecuador (2013), referentes a la aplicación de las garantías judiciales en el juicio político que evidentemente tiene una función punitiva. Véase </w:t>
      </w:r>
      <w:r w:rsidRPr="00D34116">
        <w:rPr>
          <w:rFonts w:ascii="Verdana" w:hAnsi="Verdana"/>
          <w:i/>
          <w:sz w:val="16"/>
          <w:szCs w:val="16"/>
        </w:rPr>
        <w:t>supra</w:t>
      </w:r>
      <w:r w:rsidRPr="00D34116">
        <w:rPr>
          <w:rFonts w:ascii="Verdana" w:hAnsi="Verdana"/>
          <w:sz w:val="16"/>
          <w:szCs w:val="16"/>
        </w:rPr>
        <w:t xml:space="preserve">, párr. 26 del presente voto </w:t>
      </w:r>
      <w:r w:rsidR="006767C7">
        <w:rPr>
          <w:rFonts w:ascii="Verdana" w:hAnsi="Verdana"/>
          <w:sz w:val="16"/>
          <w:szCs w:val="16"/>
        </w:rPr>
        <w:t>razonado</w:t>
      </w:r>
      <w:r w:rsidRPr="00D34116">
        <w:rPr>
          <w:rFonts w:ascii="Verdana" w:hAnsi="Verdana"/>
          <w:sz w:val="16"/>
          <w:szCs w:val="16"/>
        </w:rPr>
        <w:t>.</w:t>
      </w:r>
    </w:p>
  </w:footnote>
  <w:footnote w:id="71">
    <w:p w14:paraId="4B93C001" w14:textId="59A59BF1" w:rsidR="00CB2B4E" w:rsidRPr="00A24C2B" w:rsidRDefault="00CB2B4E" w:rsidP="00D34116">
      <w:pPr>
        <w:pStyle w:val="FootnoteText"/>
        <w:jc w:val="both"/>
        <w:rPr>
          <w:rFonts w:ascii="Verdana" w:hAnsi="Verdana"/>
          <w:bCs/>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w:t>
      </w:r>
      <w:r w:rsidRPr="008177E6">
        <w:rPr>
          <w:rStyle w:val="Strong"/>
          <w:rFonts w:ascii="Verdana" w:hAnsi="Verdana"/>
          <w:b w:val="0"/>
          <w:i/>
          <w:sz w:val="16"/>
          <w:szCs w:val="16"/>
        </w:rPr>
        <w:t>Caso</w:t>
      </w:r>
      <w:r w:rsidRPr="00D34116">
        <w:rPr>
          <w:rStyle w:val="Strong"/>
          <w:rFonts w:ascii="Verdana" w:hAnsi="Verdana"/>
          <w:b w:val="0"/>
          <w:sz w:val="16"/>
          <w:szCs w:val="16"/>
        </w:rPr>
        <w:t xml:space="preserve"> </w:t>
      </w:r>
      <w:proofErr w:type="spellStart"/>
      <w:r w:rsidRPr="00D34116">
        <w:rPr>
          <w:rStyle w:val="Strong"/>
          <w:rFonts w:ascii="Verdana" w:hAnsi="Verdana"/>
          <w:b w:val="0"/>
          <w:i/>
          <w:sz w:val="16"/>
          <w:szCs w:val="16"/>
        </w:rPr>
        <w:t>Gelman</w:t>
      </w:r>
      <w:proofErr w:type="spellEnd"/>
      <w:r w:rsidRPr="00D34116">
        <w:rPr>
          <w:rStyle w:val="Strong"/>
          <w:rFonts w:ascii="Verdana" w:hAnsi="Verdana"/>
          <w:b w:val="0"/>
          <w:i/>
          <w:sz w:val="16"/>
          <w:szCs w:val="16"/>
        </w:rPr>
        <w:t xml:space="preserve"> Vs. Uruguay</w:t>
      </w:r>
      <w:r w:rsidRPr="00D34116">
        <w:rPr>
          <w:rStyle w:val="Strong"/>
          <w:rFonts w:ascii="Verdana" w:hAnsi="Verdana"/>
          <w:b w:val="0"/>
          <w:sz w:val="16"/>
          <w:szCs w:val="16"/>
        </w:rPr>
        <w:t xml:space="preserve">. </w:t>
      </w:r>
      <w:r w:rsidRPr="00D34116">
        <w:rPr>
          <w:rStyle w:val="Strong"/>
          <w:rFonts w:ascii="Verdana" w:hAnsi="Verdana"/>
          <w:b w:val="0"/>
          <w:i/>
          <w:sz w:val="16"/>
          <w:szCs w:val="16"/>
        </w:rPr>
        <w:t>Supervisión de Cumplimiento de Sentencia.</w:t>
      </w:r>
      <w:r w:rsidRPr="00D34116">
        <w:rPr>
          <w:rStyle w:val="Strong"/>
          <w:rFonts w:ascii="Verdana" w:hAnsi="Verdana"/>
          <w:b w:val="0"/>
          <w:sz w:val="16"/>
          <w:szCs w:val="16"/>
        </w:rPr>
        <w:t xml:space="preserve"> Resolución de 20 de mar</w:t>
      </w:r>
      <w:r w:rsidR="008177E6">
        <w:rPr>
          <w:rStyle w:val="Strong"/>
          <w:rFonts w:ascii="Verdana" w:hAnsi="Verdana"/>
          <w:b w:val="0"/>
          <w:sz w:val="16"/>
          <w:szCs w:val="16"/>
        </w:rPr>
        <w:t>zo de 2013, párrs. 65 a 69 y 72. S</w:t>
      </w:r>
      <w:r w:rsidRPr="00D34116">
        <w:rPr>
          <w:rStyle w:val="Strong"/>
          <w:rFonts w:ascii="Verdana" w:hAnsi="Verdana"/>
          <w:b w:val="0"/>
          <w:sz w:val="16"/>
          <w:szCs w:val="16"/>
        </w:rPr>
        <w:t xml:space="preserve">obre la eficacia directa (cosa juzgada) e indirecta (cosa </w:t>
      </w:r>
      <w:r w:rsidR="008177E6" w:rsidRPr="00D34116">
        <w:rPr>
          <w:rStyle w:val="Strong"/>
          <w:rFonts w:ascii="Verdana" w:hAnsi="Verdana"/>
          <w:b w:val="0"/>
          <w:sz w:val="16"/>
          <w:szCs w:val="16"/>
        </w:rPr>
        <w:t>interpretada</w:t>
      </w:r>
      <w:r w:rsidRPr="00D34116">
        <w:rPr>
          <w:rStyle w:val="Strong"/>
          <w:rFonts w:ascii="Verdana" w:hAnsi="Verdana"/>
          <w:b w:val="0"/>
          <w:sz w:val="16"/>
          <w:szCs w:val="16"/>
        </w:rPr>
        <w:t>) de la sentencia interamerican</w:t>
      </w:r>
      <w:r w:rsidR="008177E6">
        <w:rPr>
          <w:rStyle w:val="Strong"/>
          <w:rFonts w:ascii="Verdana" w:hAnsi="Verdana"/>
          <w:b w:val="0"/>
          <w:sz w:val="16"/>
          <w:szCs w:val="16"/>
        </w:rPr>
        <w:t xml:space="preserve">a, véase </w:t>
      </w:r>
      <w:r w:rsidR="009B158F">
        <w:rPr>
          <w:rStyle w:val="Strong"/>
          <w:rFonts w:ascii="Verdana" w:hAnsi="Verdana"/>
          <w:b w:val="0"/>
          <w:sz w:val="16"/>
          <w:szCs w:val="16"/>
        </w:rPr>
        <w:t>el</w:t>
      </w:r>
      <w:r w:rsidR="008177E6">
        <w:rPr>
          <w:rStyle w:val="Strong"/>
          <w:rFonts w:ascii="Verdana" w:hAnsi="Verdana"/>
          <w:b w:val="0"/>
          <w:sz w:val="16"/>
          <w:szCs w:val="16"/>
        </w:rPr>
        <w:t xml:space="preserve"> voto razonado</w:t>
      </w:r>
      <w:r w:rsidRPr="00D34116">
        <w:rPr>
          <w:rStyle w:val="Strong"/>
          <w:rFonts w:ascii="Verdana" w:hAnsi="Verdana"/>
          <w:b w:val="0"/>
          <w:sz w:val="16"/>
          <w:szCs w:val="16"/>
        </w:rPr>
        <w:t xml:space="preserve"> en dicha resolución, párrs. 22 a 79.</w:t>
      </w:r>
    </w:p>
  </w:footnote>
  <w:footnote w:id="72">
    <w:p w14:paraId="2F827F65" w14:textId="22678C7E"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Nieto García, Alejandro, </w:t>
      </w:r>
      <w:r w:rsidRPr="00D34116">
        <w:rPr>
          <w:rFonts w:ascii="Verdana" w:hAnsi="Verdana"/>
          <w:i/>
          <w:sz w:val="16"/>
          <w:szCs w:val="16"/>
        </w:rPr>
        <w:t>Derecho administrativo sancionador</w:t>
      </w:r>
      <w:r w:rsidRPr="00D34116">
        <w:rPr>
          <w:rFonts w:ascii="Verdana" w:hAnsi="Verdana"/>
          <w:sz w:val="16"/>
          <w:szCs w:val="16"/>
        </w:rPr>
        <w:t xml:space="preserve">, 5a. edición, Madrid, </w:t>
      </w:r>
      <w:proofErr w:type="spellStart"/>
      <w:r w:rsidRPr="00D34116">
        <w:rPr>
          <w:rFonts w:ascii="Verdana" w:hAnsi="Verdana"/>
          <w:sz w:val="16"/>
          <w:szCs w:val="16"/>
        </w:rPr>
        <w:t>Tecnos</w:t>
      </w:r>
      <w:proofErr w:type="spellEnd"/>
      <w:r w:rsidRPr="00D34116">
        <w:rPr>
          <w:rFonts w:ascii="Verdana" w:hAnsi="Verdana"/>
          <w:sz w:val="16"/>
          <w:szCs w:val="16"/>
        </w:rPr>
        <w:t xml:space="preserve">, 2015, pp. 46, 52, 132 y 135. Véanse también García de Enterría, Eduardo y Fernández, Tomás-Ramón, </w:t>
      </w:r>
      <w:r w:rsidRPr="00D34116">
        <w:rPr>
          <w:rFonts w:ascii="Verdana" w:hAnsi="Verdana"/>
          <w:i/>
          <w:sz w:val="16"/>
          <w:szCs w:val="16"/>
        </w:rPr>
        <w:t>Curso de derecho administrativo II</w:t>
      </w:r>
      <w:r w:rsidRPr="00D34116">
        <w:rPr>
          <w:rFonts w:ascii="Verdana" w:hAnsi="Verdana"/>
          <w:sz w:val="16"/>
          <w:szCs w:val="16"/>
        </w:rPr>
        <w:t xml:space="preserve">, 13a. edición, </w:t>
      </w:r>
      <w:proofErr w:type="spellStart"/>
      <w:r w:rsidRPr="00D34116">
        <w:rPr>
          <w:rFonts w:ascii="Verdana" w:hAnsi="Verdana"/>
          <w:sz w:val="16"/>
          <w:szCs w:val="16"/>
        </w:rPr>
        <w:t>Cizur</w:t>
      </w:r>
      <w:proofErr w:type="spellEnd"/>
      <w:r w:rsidRPr="00D34116">
        <w:rPr>
          <w:rFonts w:ascii="Verdana" w:hAnsi="Verdana"/>
          <w:sz w:val="16"/>
          <w:szCs w:val="16"/>
        </w:rPr>
        <w:t xml:space="preserve"> Menor (Navarra), </w:t>
      </w:r>
      <w:proofErr w:type="spellStart"/>
      <w:r w:rsidRPr="00D34116">
        <w:rPr>
          <w:rFonts w:ascii="Verdana" w:hAnsi="Verdana"/>
          <w:sz w:val="16"/>
          <w:szCs w:val="16"/>
        </w:rPr>
        <w:t>Civitas</w:t>
      </w:r>
      <w:proofErr w:type="spellEnd"/>
      <w:r w:rsidRPr="00D34116">
        <w:rPr>
          <w:rFonts w:ascii="Verdana" w:hAnsi="Verdana"/>
          <w:sz w:val="16"/>
          <w:szCs w:val="16"/>
        </w:rPr>
        <w:t xml:space="preserve">-Thomson Reuters, 2013, pp. 172 y 173; y Parejo Alfonso, Luciano, </w:t>
      </w:r>
      <w:r w:rsidRPr="00D34116">
        <w:rPr>
          <w:rFonts w:ascii="Verdana" w:hAnsi="Verdana"/>
          <w:i/>
          <w:sz w:val="16"/>
          <w:szCs w:val="16"/>
        </w:rPr>
        <w:t>Derecho administrativo</w:t>
      </w:r>
      <w:r w:rsidRPr="00D34116">
        <w:rPr>
          <w:rFonts w:ascii="Verdana" w:hAnsi="Verdana"/>
          <w:sz w:val="16"/>
          <w:szCs w:val="16"/>
        </w:rPr>
        <w:t>, Barcelona, Ariel, 2003, p. 787.</w:t>
      </w:r>
    </w:p>
  </w:footnote>
  <w:footnote w:id="73">
    <w:p w14:paraId="3C5E1258" w14:textId="79856F99"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xml:space="preserve">, p. 127 y 170; y García de Enterría y Fernández, </w:t>
      </w:r>
      <w:r w:rsidRPr="00D34116">
        <w:rPr>
          <w:rFonts w:ascii="Verdana" w:hAnsi="Verdana"/>
          <w:i/>
          <w:sz w:val="16"/>
          <w:szCs w:val="16"/>
        </w:rPr>
        <w:t>Curso de derecho administrativo II</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173 a 175.</w:t>
      </w:r>
    </w:p>
  </w:footnote>
  <w:footnote w:id="74">
    <w:p w14:paraId="7FF28CD6" w14:textId="22CACB91"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47, 124 y 128.</w:t>
      </w:r>
    </w:p>
  </w:footnote>
  <w:footnote w:id="75">
    <w:p w14:paraId="1711E9E7" w14:textId="0F1738C5"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García de Enterría y Fernández, </w:t>
      </w:r>
      <w:r w:rsidRPr="00D34116">
        <w:rPr>
          <w:rFonts w:ascii="Verdana" w:hAnsi="Verdana"/>
          <w:i/>
          <w:sz w:val="16"/>
          <w:szCs w:val="16"/>
        </w:rPr>
        <w:t>Curso de derecho administrativo II</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 164.</w:t>
      </w:r>
    </w:p>
  </w:footnote>
  <w:footnote w:id="76">
    <w:p w14:paraId="2546F5A5" w14:textId="08E99E88"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46, 122 y 125.</w:t>
      </w:r>
    </w:p>
  </w:footnote>
  <w:footnote w:id="77">
    <w:p w14:paraId="1662CD7B" w14:textId="0CB081B1"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“1. Todas las personas tienen derecho a obtener la tutela efectiva de los jueces y tribunales en el ejercicio de sus derechos e intereses legítimos, sin que, en ningún caso, pueda producirse indefensión. </w:t>
      </w:r>
    </w:p>
    <w:p w14:paraId="4E59B17C" w14:textId="77777777" w:rsidR="00CB2B4E" w:rsidRPr="00D34116" w:rsidRDefault="00CB2B4E" w:rsidP="00D34116">
      <w:pPr>
        <w:pStyle w:val="FootnoteText"/>
        <w:ind w:firstLine="708"/>
        <w:jc w:val="both"/>
        <w:rPr>
          <w:rFonts w:ascii="Verdana" w:hAnsi="Verdana"/>
          <w:sz w:val="16"/>
          <w:szCs w:val="16"/>
        </w:rPr>
      </w:pPr>
      <w:r w:rsidRPr="00D34116">
        <w:rPr>
          <w:rFonts w:ascii="Verdana" w:hAnsi="Verdana"/>
          <w:sz w:val="16"/>
          <w:szCs w:val="16"/>
        </w:rPr>
        <w:t>2. Asimismo, todos tienen derecho al Juez ordinario predeterminado por la ley, a la defensa y a la asistencia de letrado, a ser informados de la acusación formulada contra ellos, a un proceso público sin dilaciones indebidas y con todas las garantías, a utilizar los medios de prueba pertinentes para su defensa, a no declarar contra sí mismos, a no confesarse culpables y a la presunción de inocencia.</w:t>
      </w:r>
    </w:p>
    <w:p w14:paraId="5679D276" w14:textId="77777777" w:rsidR="00CB2B4E" w:rsidRPr="00D34116" w:rsidRDefault="00CB2B4E" w:rsidP="00D34116">
      <w:pPr>
        <w:pStyle w:val="FootnoteText"/>
        <w:ind w:firstLine="708"/>
        <w:jc w:val="both"/>
        <w:rPr>
          <w:rFonts w:ascii="Verdana" w:hAnsi="Verdana"/>
          <w:sz w:val="16"/>
          <w:szCs w:val="16"/>
        </w:rPr>
      </w:pPr>
      <w:r w:rsidRPr="00D34116">
        <w:rPr>
          <w:rFonts w:ascii="Verdana" w:hAnsi="Verdana"/>
          <w:sz w:val="16"/>
          <w:szCs w:val="16"/>
        </w:rPr>
        <w:t xml:space="preserve">La ley regulará los casos en que, por razón de parentesco o de secreto profesional, no se estará obligado a declarar sobre hechos presuntamente delictivos”. </w:t>
      </w:r>
    </w:p>
    <w:p w14:paraId="2E4A93A8" w14:textId="0EE0AAB8" w:rsidR="00CB2B4E" w:rsidRPr="00D34116" w:rsidRDefault="00CB2B4E" w:rsidP="00D34116">
      <w:pPr>
        <w:pStyle w:val="FootnoteText"/>
        <w:ind w:firstLine="708"/>
        <w:jc w:val="both"/>
        <w:rPr>
          <w:rFonts w:ascii="Verdana" w:hAnsi="Verdana"/>
          <w:sz w:val="16"/>
          <w:szCs w:val="16"/>
        </w:rPr>
      </w:pPr>
      <w:r w:rsidRPr="00D34116">
        <w:rPr>
          <w:rFonts w:ascii="Verdana" w:hAnsi="Verdana"/>
          <w:sz w:val="16"/>
          <w:szCs w:val="16"/>
        </w:rPr>
        <w:t>Texto tomado en la sección correspondiente a la Constitución del sitio oficial del Congreso d</w:t>
      </w:r>
      <w:r w:rsidR="00B24799">
        <w:rPr>
          <w:rFonts w:ascii="Verdana" w:hAnsi="Verdana"/>
          <w:sz w:val="16"/>
          <w:szCs w:val="16"/>
        </w:rPr>
        <w:t>e los Diputados español, ubicado</w:t>
      </w:r>
      <w:r w:rsidRPr="00D34116">
        <w:rPr>
          <w:rFonts w:ascii="Verdana" w:hAnsi="Verdana"/>
          <w:sz w:val="16"/>
          <w:szCs w:val="16"/>
        </w:rPr>
        <w:t xml:space="preserve"> en </w:t>
      </w:r>
      <w:hyperlink r:id="rId1" w:history="1">
        <w:r w:rsidR="00A24C2B" w:rsidRPr="00EE42D6">
          <w:rPr>
            <w:rStyle w:val="Hyperlink"/>
            <w:rFonts w:ascii="Verdana" w:hAnsi="Verdana"/>
            <w:i/>
            <w:sz w:val="16"/>
            <w:szCs w:val="16"/>
          </w:rPr>
          <w:t>http://www.congreso.es/consti/constitucion/indice/index.htm</w:t>
        </w:r>
      </w:hyperlink>
      <w:r w:rsidR="00ED18EC" w:rsidRPr="00ED18EC">
        <w:rPr>
          <w:rFonts w:ascii="Verdana" w:hAnsi="Verdana" w:cs="Lucida Sans Unicode"/>
          <w:sz w:val="16"/>
          <w:szCs w:val="16"/>
        </w:rPr>
        <w:t>.</w:t>
      </w:r>
      <w:r w:rsidR="00A24C2B">
        <w:rPr>
          <w:rFonts w:ascii="Verdana" w:hAnsi="Verdana"/>
          <w:sz w:val="16"/>
          <w:szCs w:val="16"/>
        </w:rPr>
        <w:t xml:space="preserve"> </w:t>
      </w:r>
    </w:p>
  </w:footnote>
  <w:footnote w:id="78">
    <w:p w14:paraId="6016631B" w14:textId="2F9F650D" w:rsidR="00CB2B4E" w:rsidRPr="00D34116" w:rsidRDefault="00CB2B4E" w:rsidP="00D34116">
      <w:pPr>
        <w:pStyle w:val="FootnoteText"/>
        <w:jc w:val="both"/>
        <w:rPr>
          <w:rFonts w:ascii="Verdana" w:hAnsi="Verdana" w:cs="Lucida Sans Unicode"/>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STC </w:t>
      </w:r>
      <w:r w:rsidRPr="00D34116">
        <w:rPr>
          <w:rFonts w:ascii="Verdana" w:hAnsi="Verdana" w:cs="Lucida Sans Unicode"/>
          <w:sz w:val="16"/>
          <w:szCs w:val="16"/>
        </w:rPr>
        <w:t>18/1981, de 8 de junio de 1981, fundamento jurídico 2o. Seguiré el uso español de referir las Sentencias del Tribunal Constitucional con la abreviatura “STC” (en plural “SSTC”). Estas resoluciones y otras están disponibles en el Buscador de Jurispru</w:t>
      </w:r>
      <w:r w:rsidR="00237CEB">
        <w:rPr>
          <w:rFonts w:ascii="Verdana" w:hAnsi="Verdana" w:cs="Lucida Sans Unicode"/>
          <w:sz w:val="16"/>
          <w:szCs w:val="16"/>
        </w:rPr>
        <w:t>dencia Constitucional de dicho T</w:t>
      </w:r>
      <w:r w:rsidRPr="00D34116">
        <w:rPr>
          <w:rFonts w:ascii="Verdana" w:hAnsi="Verdana" w:cs="Lucida Sans Unicode"/>
          <w:sz w:val="16"/>
          <w:szCs w:val="16"/>
        </w:rPr>
        <w:t xml:space="preserve">ribunal, ubicado en </w:t>
      </w:r>
      <w:hyperlink r:id="rId2" w:history="1">
        <w:r w:rsidR="00457CC3" w:rsidRPr="00EE42D6">
          <w:rPr>
            <w:rStyle w:val="Hyperlink"/>
            <w:rFonts w:ascii="Verdana" w:hAnsi="Verdana" w:cs="Lucida Sans Unicode"/>
            <w:i/>
            <w:sz w:val="16"/>
            <w:szCs w:val="16"/>
          </w:rPr>
          <w:t>http://hj.tribunalconstitucional.es/</w:t>
        </w:r>
      </w:hyperlink>
      <w:r w:rsidR="00ED18EC" w:rsidRPr="00ED18EC">
        <w:rPr>
          <w:rFonts w:ascii="Verdana" w:hAnsi="Verdana" w:cs="Lucida Sans Unicode"/>
          <w:sz w:val="16"/>
          <w:szCs w:val="16"/>
        </w:rPr>
        <w:t>.</w:t>
      </w:r>
      <w:r w:rsidR="00457CC3">
        <w:rPr>
          <w:rFonts w:ascii="Verdana" w:hAnsi="Verdana" w:cs="Lucida Sans Unicode"/>
          <w:sz w:val="16"/>
          <w:szCs w:val="16"/>
        </w:rPr>
        <w:t xml:space="preserve"> </w:t>
      </w:r>
    </w:p>
  </w:footnote>
  <w:footnote w:id="79">
    <w:p w14:paraId="0DB920FE" w14:textId="3D0401D5"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135, 136 y 138.</w:t>
      </w:r>
    </w:p>
  </w:footnote>
  <w:footnote w:id="80">
    <w:p w14:paraId="123358AA" w14:textId="5DC70D50"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Cfr.</w:t>
      </w:r>
      <w:r w:rsidRPr="00D34116">
        <w:rPr>
          <w:rFonts w:ascii="Verdana" w:hAnsi="Verdana"/>
          <w:sz w:val="16"/>
          <w:szCs w:val="16"/>
        </w:rPr>
        <w:t xml:space="preserve"> García de Enterría y Fernández, </w:t>
      </w:r>
      <w:r w:rsidRPr="00D34116">
        <w:rPr>
          <w:rFonts w:ascii="Verdana" w:hAnsi="Verdana"/>
          <w:i/>
          <w:sz w:val="16"/>
          <w:szCs w:val="16"/>
        </w:rPr>
        <w:t>Curso de derecho administrativo II</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 175.</w:t>
      </w:r>
    </w:p>
  </w:footnote>
  <w:footnote w:id="81">
    <w:p w14:paraId="56DD2190" w14:textId="38569419"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w:t>
      </w:r>
      <w:r w:rsidRPr="00D34116">
        <w:rPr>
          <w:rFonts w:ascii="Verdana" w:hAnsi="Verdana"/>
          <w:sz w:val="16"/>
          <w:szCs w:val="16"/>
        </w:rPr>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 137.</w:t>
      </w:r>
    </w:p>
  </w:footnote>
  <w:footnote w:id="82">
    <w:p w14:paraId="7491D49C" w14:textId="03ADE5BA"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García de Enterría y Fernández, </w:t>
      </w:r>
      <w:r w:rsidRPr="00D34116">
        <w:rPr>
          <w:rFonts w:ascii="Verdana" w:hAnsi="Verdana"/>
          <w:i/>
          <w:sz w:val="16"/>
          <w:szCs w:val="16"/>
        </w:rPr>
        <w:t>Curso de derecho administrativo II</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 175.</w:t>
      </w:r>
    </w:p>
    <w:p w14:paraId="7C5D66CD" w14:textId="77777777" w:rsidR="00CB2B4E" w:rsidRPr="00D34116" w:rsidRDefault="00CB2B4E" w:rsidP="00D34116">
      <w:pPr>
        <w:pStyle w:val="FootnoteText"/>
        <w:jc w:val="both"/>
        <w:rPr>
          <w:rFonts w:ascii="Verdana" w:hAnsi="Verdana"/>
          <w:sz w:val="16"/>
          <w:szCs w:val="16"/>
        </w:rPr>
      </w:pPr>
    </w:p>
  </w:footnote>
  <w:footnote w:id="83">
    <w:p w14:paraId="263DD058" w14:textId="57605EAD"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STC 61/1990, de 29 de marzo de 1990, fundamentos jurídicos 6o. a 8o. </w:t>
      </w:r>
    </w:p>
  </w:footnote>
  <w:footnote w:id="84">
    <w:p w14:paraId="2C6E7BD7" w14:textId="6C7C5B58"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131 a 134.</w:t>
      </w:r>
    </w:p>
  </w:footnote>
  <w:footnote w:id="85">
    <w:p w14:paraId="25919F9A" w14:textId="35B4840D"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proofErr w:type="spellStart"/>
      <w:r w:rsidRPr="00D34116">
        <w:rPr>
          <w:rFonts w:ascii="Verdana" w:hAnsi="Verdana"/>
          <w:i/>
          <w:sz w:val="16"/>
          <w:szCs w:val="16"/>
        </w:rPr>
        <w:t>Ibidem</w:t>
      </w:r>
      <w:proofErr w:type="spellEnd"/>
      <w:r w:rsidRPr="00D34116">
        <w:rPr>
          <w:rFonts w:ascii="Verdana" w:hAnsi="Verdana"/>
          <w:sz w:val="16"/>
          <w:szCs w:val="16"/>
        </w:rPr>
        <w:t>, p. 135.</w:t>
      </w:r>
    </w:p>
  </w:footnote>
  <w:footnote w:id="86">
    <w:p w14:paraId="5EA4AF22" w14:textId="5C021954"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Sobre el uso de esta técnica por el Tribunal Constitucional español —pudiendo ser uno de</w:t>
      </w:r>
      <w:r w:rsidR="00E42230">
        <w:rPr>
          <w:rFonts w:ascii="Verdana" w:hAnsi="Verdana"/>
          <w:sz w:val="16"/>
          <w:szCs w:val="16"/>
        </w:rPr>
        <w:t xml:space="preserve"> sus ejemplos el “principio de </w:t>
      </w:r>
      <w:r w:rsidRPr="00D34116">
        <w:rPr>
          <w:rFonts w:ascii="Verdana" w:hAnsi="Verdana"/>
          <w:sz w:val="16"/>
          <w:szCs w:val="16"/>
        </w:rPr>
        <w:t xml:space="preserve">legalidad en materia sancionadora”— véase </w:t>
      </w:r>
      <w:proofErr w:type="spellStart"/>
      <w:r w:rsidRPr="00D34116">
        <w:rPr>
          <w:rFonts w:ascii="Verdana" w:hAnsi="Verdana" w:cs="Times New Roman"/>
          <w:sz w:val="16"/>
          <w:szCs w:val="16"/>
        </w:rPr>
        <w:t>Ezquiaga</w:t>
      </w:r>
      <w:proofErr w:type="spellEnd"/>
      <w:r w:rsidRPr="00D34116">
        <w:rPr>
          <w:rFonts w:ascii="Verdana" w:hAnsi="Verdana" w:cs="Times New Roman"/>
          <w:sz w:val="16"/>
          <w:szCs w:val="16"/>
        </w:rPr>
        <w:t xml:space="preserve"> </w:t>
      </w:r>
      <w:proofErr w:type="spellStart"/>
      <w:r w:rsidRPr="00D34116">
        <w:rPr>
          <w:rFonts w:ascii="Verdana" w:hAnsi="Verdana" w:cs="Times New Roman"/>
          <w:sz w:val="16"/>
          <w:szCs w:val="16"/>
        </w:rPr>
        <w:t>Ganuzas</w:t>
      </w:r>
      <w:proofErr w:type="spellEnd"/>
      <w:r w:rsidRPr="00D34116">
        <w:rPr>
          <w:rFonts w:ascii="Verdana" w:hAnsi="Verdana" w:cs="Times New Roman"/>
          <w:sz w:val="16"/>
          <w:szCs w:val="16"/>
        </w:rPr>
        <w:t xml:space="preserve">, Francisco Javier, </w:t>
      </w:r>
      <w:r w:rsidRPr="00D34116">
        <w:rPr>
          <w:rFonts w:ascii="Verdana" w:hAnsi="Verdana" w:cs="Times New Roman"/>
          <w:i/>
          <w:sz w:val="16"/>
          <w:szCs w:val="16"/>
        </w:rPr>
        <w:t>La argumentación en la justicia constitucional y otros problemas de aplicación e interpretación del Derecho</w:t>
      </w:r>
      <w:r w:rsidRPr="00D34116">
        <w:rPr>
          <w:rFonts w:ascii="Verdana" w:hAnsi="Verdana" w:cs="Times New Roman"/>
          <w:sz w:val="16"/>
          <w:szCs w:val="16"/>
        </w:rPr>
        <w:t xml:space="preserve">, México, Tribunal Electoral del Poder Judicial de la Federación, 2006, pp. </w:t>
      </w:r>
      <w:r w:rsidRPr="00D34116">
        <w:rPr>
          <w:rFonts w:ascii="Verdana" w:hAnsi="Verdana"/>
          <w:sz w:val="16"/>
          <w:szCs w:val="16"/>
        </w:rPr>
        <w:t>49 a 53. La versión electrónica de esta obra se halla disponible en:</w:t>
      </w:r>
      <w:r w:rsidRPr="00D34116">
        <w:rPr>
          <w:rFonts w:ascii="Verdana" w:hAnsi="Verdana" w:cs="Times New Roman"/>
          <w:i/>
          <w:sz w:val="16"/>
          <w:szCs w:val="16"/>
        </w:rPr>
        <w:t>http://portal.te.gob.mx/sites/default/files/publ</w:t>
      </w:r>
      <w:r w:rsidR="00A1459F">
        <w:rPr>
          <w:rFonts w:ascii="Verdana" w:hAnsi="Verdana" w:cs="Times New Roman"/>
          <w:i/>
          <w:sz w:val="16"/>
          <w:szCs w:val="16"/>
        </w:rPr>
        <w:t>icaciones/file/argumentacion.pdf</w:t>
      </w:r>
      <w:r w:rsidR="00ED18EC" w:rsidRPr="00ED18EC">
        <w:rPr>
          <w:rFonts w:ascii="Verdana" w:hAnsi="Verdana" w:cs="Lucida Sans Unicode"/>
          <w:sz w:val="16"/>
          <w:szCs w:val="16"/>
        </w:rPr>
        <w:t>.</w:t>
      </w:r>
      <w:r w:rsidR="00A1459F">
        <w:rPr>
          <w:rFonts w:ascii="Verdana" w:hAnsi="Verdana" w:cs="Times New Roman"/>
          <w:i/>
          <w:sz w:val="16"/>
          <w:szCs w:val="16"/>
        </w:rPr>
        <w:t xml:space="preserve"> </w:t>
      </w:r>
      <w:r w:rsidRPr="00D34116">
        <w:rPr>
          <w:rFonts w:ascii="Verdana" w:hAnsi="Verdana" w:cs="Times New Roman"/>
          <w:i/>
          <w:sz w:val="16"/>
          <w:szCs w:val="16"/>
        </w:rPr>
        <w:t xml:space="preserve"> </w:t>
      </w:r>
    </w:p>
  </w:footnote>
  <w:footnote w:id="87">
    <w:p w14:paraId="492F7923" w14:textId="38C2C478" w:rsidR="00CB2B4E" w:rsidRPr="0027682B"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w:t>
      </w:r>
      <w:r w:rsidRPr="00D34116">
        <w:rPr>
          <w:rFonts w:ascii="Verdana" w:hAnsi="Verdana"/>
          <w:sz w:val="16"/>
          <w:szCs w:val="16"/>
        </w:rPr>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122 y 133 (citando a Quintero Olivares, Gonzalo, “</w:t>
      </w:r>
      <w:r w:rsidRPr="00B53D9A">
        <w:rPr>
          <w:rFonts w:ascii="Verdana" w:hAnsi="Verdana"/>
          <w:i/>
          <w:sz w:val="16"/>
          <w:szCs w:val="16"/>
        </w:rPr>
        <w:t xml:space="preserve">La </w:t>
      </w:r>
      <w:proofErr w:type="spellStart"/>
      <w:r w:rsidRPr="00B53D9A">
        <w:rPr>
          <w:rFonts w:ascii="Verdana" w:hAnsi="Verdana"/>
          <w:i/>
          <w:sz w:val="16"/>
          <w:szCs w:val="16"/>
        </w:rPr>
        <w:t>autotutela</w:t>
      </w:r>
      <w:proofErr w:type="spellEnd"/>
      <w:r w:rsidRPr="00B53D9A">
        <w:rPr>
          <w:rFonts w:ascii="Verdana" w:hAnsi="Verdana"/>
          <w:i/>
          <w:sz w:val="16"/>
          <w:szCs w:val="16"/>
        </w:rPr>
        <w:t>, los límites al poder sancionador de la Administración Pública y los principios inspiradores del Derecho Penal</w:t>
      </w:r>
      <w:r w:rsidRPr="00D34116">
        <w:rPr>
          <w:rFonts w:ascii="Verdana" w:hAnsi="Verdana"/>
          <w:sz w:val="16"/>
          <w:szCs w:val="16"/>
        </w:rPr>
        <w:t xml:space="preserve">”, </w:t>
      </w:r>
      <w:r w:rsidRPr="00B53D9A">
        <w:rPr>
          <w:rFonts w:ascii="Verdana" w:hAnsi="Verdana"/>
          <w:sz w:val="16"/>
          <w:szCs w:val="16"/>
        </w:rPr>
        <w:t>Revista de Administración Pública</w:t>
      </w:r>
      <w:r w:rsidRPr="00D34116">
        <w:rPr>
          <w:rFonts w:ascii="Verdana" w:hAnsi="Verdana"/>
          <w:sz w:val="16"/>
          <w:szCs w:val="16"/>
        </w:rPr>
        <w:t>, Madrid, número 126, Septiembre-Diciembre de 1991, p. 262</w:t>
      </w:r>
      <w:r w:rsidR="0027682B">
        <w:rPr>
          <w:rFonts w:ascii="Verdana" w:hAnsi="Verdana"/>
          <w:sz w:val="16"/>
          <w:szCs w:val="16"/>
        </w:rPr>
        <w:t>.</w:t>
      </w:r>
      <w:r w:rsidRPr="00D34116">
        <w:rPr>
          <w:rFonts w:ascii="Verdana" w:hAnsi="Verdana"/>
          <w:sz w:val="16"/>
          <w:szCs w:val="16"/>
        </w:rPr>
        <w:t xml:space="preserve"> La versión electrónica de la obra referida en último lugar se halla disponible en:</w:t>
      </w:r>
      <w:r w:rsidRPr="00D34116">
        <w:rPr>
          <w:rFonts w:ascii="Verdana" w:hAnsi="Verdana"/>
          <w:i/>
          <w:sz w:val="16"/>
          <w:szCs w:val="16"/>
        </w:rPr>
        <w:t>http://www.cepc.gob.es/publicaciones/revistas/revistaselectronicas?IDR=1&amp;IDN=124&amp;IDA=23772</w:t>
      </w:r>
      <w:r w:rsidR="0027682B">
        <w:rPr>
          <w:rFonts w:ascii="Verdana" w:hAnsi="Verdana"/>
          <w:sz w:val="16"/>
          <w:szCs w:val="16"/>
        </w:rPr>
        <w:t>.</w:t>
      </w:r>
    </w:p>
  </w:footnote>
  <w:footnote w:id="88">
    <w:p w14:paraId="34864044" w14:textId="4C62CA73" w:rsidR="00CB2B4E" w:rsidRPr="0077427A" w:rsidRDefault="00CB2B4E" w:rsidP="00D34116">
      <w:pPr>
        <w:pStyle w:val="FootnoteText"/>
        <w:jc w:val="both"/>
        <w:rPr>
          <w:rFonts w:ascii="Verdana" w:hAnsi="Verdana"/>
          <w:sz w:val="16"/>
          <w:szCs w:val="16"/>
          <w:lang w:val="es-ES"/>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Caso </w:t>
      </w:r>
      <w:proofErr w:type="spellStart"/>
      <w:r w:rsidRPr="00D34116">
        <w:rPr>
          <w:rFonts w:ascii="Verdana" w:hAnsi="Verdana"/>
          <w:i/>
          <w:sz w:val="16"/>
          <w:szCs w:val="16"/>
        </w:rPr>
        <w:t>Gelman</w:t>
      </w:r>
      <w:proofErr w:type="spellEnd"/>
      <w:r w:rsidRPr="00D34116">
        <w:rPr>
          <w:rFonts w:ascii="Verdana" w:hAnsi="Verdana"/>
          <w:i/>
          <w:sz w:val="16"/>
          <w:szCs w:val="16"/>
        </w:rPr>
        <w:t xml:space="preserve"> Vs. Uruguay</w:t>
      </w:r>
      <w:r w:rsidRPr="00D34116">
        <w:rPr>
          <w:rFonts w:ascii="Verdana" w:hAnsi="Verdana"/>
          <w:sz w:val="16"/>
          <w:szCs w:val="16"/>
        </w:rPr>
        <w:t xml:space="preserve">. </w:t>
      </w:r>
      <w:r w:rsidRPr="002F60E4">
        <w:rPr>
          <w:rFonts w:ascii="Verdana" w:hAnsi="Verdana"/>
          <w:i/>
          <w:sz w:val="16"/>
          <w:szCs w:val="16"/>
        </w:rPr>
        <w:t>Fondo y Reparaciones</w:t>
      </w:r>
      <w:r w:rsidRPr="00D34116">
        <w:rPr>
          <w:rFonts w:ascii="Verdana" w:hAnsi="Verdana"/>
          <w:sz w:val="16"/>
          <w:szCs w:val="16"/>
        </w:rPr>
        <w:t xml:space="preserve">. Sentencia de 24 de febrero de 2011, Serie C No. 221, párr. </w:t>
      </w:r>
      <w:proofErr w:type="gramStart"/>
      <w:r w:rsidR="002F60E4">
        <w:rPr>
          <w:rFonts w:ascii="Verdana" w:hAnsi="Verdana"/>
          <w:sz w:val="16"/>
          <w:szCs w:val="16"/>
          <w:lang w:val="en-US"/>
        </w:rPr>
        <w:t>24,</w:t>
      </w:r>
      <w:r w:rsidRPr="00D34116">
        <w:rPr>
          <w:rFonts w:ascii="Verdana" w:hAnsi="Verdana"/>
          <w:sz w:val="16"/>
          <w:szCs w:val="16"/>
          <w:lang w:val="en-US"/>
        </w:rPr>
        <w:t xml:space="preserve"> y </w:t>
      </w:r>
      <w:r w:rsidR="002F60E4">
        <w:rPr>
          <w:rFonts w:ascii="Verdana" w:hAnsi="Verdana"/>
          <w:i/>
          <w:sz w:val="16"/>
          <w:szCs w:val="16"/>
          <w:lang w:val="en-US"/>
        </w:rPr>
        <w:t>ECHR</w:t>
      </w:r>
      <w:r w:rsidRPr="00D34116">
        <w:rPr>
          <w:rFonts w:ascii="Verdana" w:hAnsi="Verdana"/>
          <w:i/>
          <w:sz w:val="16"/>
          <w:szCs w:val="16"/>
          <w:lang w:val="en-US"/>
        </w:rPr>
        <w:t xml:space="preserve">, Case </w:t>
      </w:r>
      <w:proofErr w:type="spellStart"/>
      <w:r w:rsidRPr="00D34116">
        <w:rPr>
          <w:rFonts w:ascii="Verdana" w:hAnsi="Verdana"/>
          <w:i/>
          <w:sz w:val="16"/>
          <w:szCs w:val="16"/>
          <w:lang w:val="en-US"/>
        </w:rPr>
        <w:t>Loizidou</w:t>
      </w:r>
      <w:proofErr w:type="spellEnd"/>
      <w:r w:rsidRPr="00D34116">
        <w:rPr>
          <w:rFonts w:ascii="Verdana" w:hAnsi="Verdana"/>
          <w:i/>
          <w:sz w:val="16"/>
          <w:szCs w:val="16"/>
          <w:lang w:val="en-US"/>
        </w:rPr>
        <w:t xml:space="preserve"> v. Turkey </w:t>
      </w:r>
      <w:r w:rsidRPr="00D34116">
        <w:rPr>
          <w:rFonts w:ascii="Verdana" w:hAnsi="Verdana"/>
          <w:i/>
          <w:color w:val="000000"/>
          <w:sz w:val="16"/>
          <w:szCs w:val="16"/>
          <w:lang w:val="en-US"/>
        </w:rPr>
        <w:t>(Preliminary Objections)</w:t>
      </w:r>
      <w:r w:rsidRPr="00D34116">
        <w:rPr>
          <w:rFonts w:ascii="Verdana" w:hAnsi="Verdana"/>
          <w:i/>
          <w:sz w:val="16"/>
          <w:szCs w:val="16"/>
          <w:lang w:val="en-US"/>
        </w:rPr>
        <w:t>, No. 15318/89</w:t>
      </w:r>
      <w:r w:rsidRPr="00D34116">
        <w:rPr>
          <w:rFonts w:ascii="Verdana" w:hAnsi="Verdana"/>
          <w:i/>
          <w:color w:val="000000"/>
          <w:sz w:val="16"/>
          <w:szCs w:val="16"/>
          <w:lang w:val="en-US"/>
        </w:rPr>
        <w:t>.</w:t>
      </w:r>
      <w:proofErr w:type="gramEnd"/>
      <w:r w:rsidRPr="00D34116">
        <w:rPr>
          <w:rFonts w:ascii="Verdana" w:hAnsi="Verdana"/>
          <w:i/>
          <w:color w:val="000000"/>
          <w:sz w:val="16"/>
          <w:szCs w:val="16"/>
          <w:lang w:val="en-US"/>
        </w:rPr>
        <w:t xml:space="preserve"> </w:t>
      </w:r>
      <w:proofErr w:type="gramStart"/>
      <w:r w:rsidRPr="00D34116">
        <w:rPr>
          <w:rFonts w:ascii="Verdana" w:hAnsi="Verdana"/>
          <w:i/>
          <w:color w:val="000000"/>
          <w:sz w:val="16"/>
          <w:szCs w:val="16"/>
          <w:lang w:val="en-US"/>
        </w:rPr>
        <w:t xml:space="preserve">Judgment of 23 March 1995, </w:t>
      </w:r>
      <w:r w:rsidRPr="00D34116">
        <w:rPr>
          <w:rFonts w:ascii="Verdana" w:hAnsi="Verdana"/>
          <w:i/>
          <w:sz w:val="16"/>
          <w:szCs w:val="16"/>
          <w:lang w:val="en-US"/>
        </w:rPr>
        <w:t>para.</w:t>
      </w:r>
      <w:proofErr w:type="gramEnd"/>
      <w:r w:rsidRPr="00D34116">
        <w:rPr>
          <w:rFonts w:ascii="Verdana" w:hAnsi="Verdana"/>
          <w:i/>
          <w:sz w:val="16"/>
          <w:szCs w:val="16"/>
          <w:lang w:val="en-US"/>
        </w:rPr>
        <w:t xml:space="preserve"> </w:t>
      </w:r>
      <w:r w:rsidRPr="0077427A">
        <w:rPr>
          <w:rFonts w:ascii="Verdana" w:hAnsi="Verdana"/>
          <w:i/>
          <w:sz w:val="16"/>
          <w:szCs w:val="16"/>
          <w:lang w:val="es-ES"/>
        </w:rPr>
        <w:t>75 and 93</w:t>
      </w:r>
      <w:r w:rsidRPr="0077427A">
        <w:rPr>
          <w:rFonts w:ascii="Verdana" w:hAnsi="Verdana"/>
          <w:sz w:val="16"/>
          <w:szCs w:val="16"/>
          <w:lang w:val="es-ES"/>
        </w:rPr>
        <w:t>.</w:t>
      </w:r>
    </w:p>
  </w:footnote>
  <w:footnote w:id="89">
    <w:p w14:paraId="478C9388" w14:textId="51D6BE62" w:rsidR="00CB2B4E" w:rsidRPr="0077427A" w:rsidRDefault="00CB2B4E" w:rsidP="00D34116">
      <w:pPr>
        <w:pStyle w:val="FootnoteText"/>
        <w:jc w:val="both"/>
        <w:rPr>
          <w:rFonts w:ascii="Verdana" w:hAnsi="Verdana"/>
          <w:sz w:val="16"/>
          <w:szCs w:val="16"/>
          <w:lang w:val="es-ES"/>
        </w:rPr>
      </w:pPr>
      <w:r w:rsidRPr="00D34116">
        <w:rPr>
          <w:rStyle w:val="FootnoteReference"/>
          <w:rFonts w:ascii="Verdana" w:hAnsi="Verdana"/>
          <w:sz w:val="16"/>
          <w:szCs w:val="16"/>
        </w:rPr>
        <w:footnoteRef/>
      </w:r>
      <w:r w:rsidRPr="0077427A">
        <w:rPr>
          <w:rFonts w:ascii="Verdana" w:hAnsi="Verdana"/>
          <w:sz w:val="16"/>
          <w:szCs w:val="16"/>
          <w:lang w:val="es-ES"/>
        </w:rPr>
        <w:t xml:space="preserve"> </w:t>
      </w:r>
      <w:r w:rsidRPr="0077427A">
        <w:rPr>
          <w:rFonts w:ascii="Verdana" w:hAnsi="Verdana"/>
          <w:sz w:val="16"/>
          <w:szCs w:val="16"/>
          <w:lang w:val="es-ES"/>
        </w:rPr>
        <w:tab/>
        <w:t xml:space="preserve">Parejo Alfonso, </w:t>
      </w:r>
      <w:r w:rsidRPr="0077427A">
        <w:rPr>
          <w:rFonts w:ascii="Verdana" w:hAnsi="Verdana"/>
          <w:i/>
          <w:sz w:val="16"/>
          <w:szCs w:val="16"/>
          <w:lang w:val="es-ES"/>
        </w:rPr>
        <w:t>Derecho administrativo</w:t>
      </w:r>
      <w:r w:rsidRPr="0077427A">
        <w:rPr>
          <w:rFonts w:ascii="Verdana" w:hAnsi="Verdana"/>
          <w:sz w:val="16"/>
          <w:szCs w:val="16"/>
          <w:lang w:val="es-ES"/>
        </w:rPr>
        <w:t xml:space="preserve">, </w:t>
      </w:r>
      <w:r w:rsidRPr="0077427A">
        <w:rPr>
          <w:rFonts w:ascii="Verdana" w:hAnsi="Verdana"/>
          <w:i/>
          <w:sz w:val="16"/>
          <w:szCs w:val="16"/>
          <w:lang w:val="es-ES"/>
        </w:rPr>
        <w:t>cit.</w:t>
      </w:r>
      <w:r w:rsidRPr="0077427A">
        <w:rPr>
          <w:rFonts w:ascii="Verdana" w:hAnsi="Verdana"/>
          <w:sz w:val="16"/>
          <w:szCs w:val="16"/>
          <w:lang w:val="es-ES"/>
        </w:rPr>
        <w:t>, p. 788.</w:t>
      </w:r>
    </w:p>
  </w:footnote>
  <w:footnote w:id="90">
    <w:p w14:paraId="77049834" w14:textId="54FB024D" w:rsidR="00CB2B4E" w:rsidRPr="00D34116" w:rsidRDefault="00CB2B4E" w:rsidP="00D34116">
      <w:pPr>
        <w:pStyle w:val="NormalWeb"/>
        <w:spacing w:before="0" w:beforeAutospacing="0" w:after="0" w:afterAutospacing="0"/>
        <w:jc w:val="both"/>
        <w:rPr>
          <w:rFonts w:ascii="Verdana" w:hAnsi="Verdana"/>
          <w:sz w:val="16"/>
          <w:szCs w:val="16"/>
          <w:lang w:val="es-ES_tradnl"/>
        </w:rPr>
      </w:pPr>
      <w:r w:rsidRPr="00D34116">
        <w:rPr>
          <w:rStyle w:val="FootnoteReference"/>
          <w:rFonts w:ascii="Verdana" w:hAnsi="Verdana"/>
          <w:sz w:val="16"/>
          <w:szCs w:val="16"/>
          <w:lang w:val="es-ES_tradnl"/>
        </w:rPr>
        <w:footnoteRef/>
      </w:r>
      <w:r w:rsidRPr="00CD3F78">
        <w:rPr>
          <w:rFonts w:ascii="Verdana" w:hAnsi="Verdana"/>
          <w:sz w:val="16"/>
          <w:szCs w:val="16"/>
          <w:lang w:val="es-ES"/>
        </w:rPr>
        <w:t xml:space="preserve"> </w:t>
      </w:r>
      <w:r w:rsidRPr="00CD3F78">
        <w:rPr>
          <w:rFonts w:ascii="Verdana" w:hAnsi="Verdana"/>
          <w:sz w:val="16"/>
          <w:szCs w:val="16"/>
          <w:lang w:val="es-ES"/>
        </w:rPr>
        <w:tab/>
        <w:t xml:space="preserve">Nieto García, </w:t>
      </w:r>
      <w:r w:rsidRPr="00CD3F78">
        <w:rPr>
          <w:rFonts w:ascii="Verdana" w:hAnsi="Verdana"/>
          <w:i/>
          <w:sz w:val="16"/>
          <w:szCs w:val="16"/>
          <w:lang w:val="es-ES"/>
        </w:rPr>
        <w:t>Derecho administrativo sancionador</w:t>
      </w:r>
      <w:r w:rsidRPr="00CD3F78">
        <w:rPr>
          <w:rFonts w:ascii="Verdana" w:hAnsi="Verdana"/>
          <w:sz w:val="16"/>
          <w:szCs w:val="16"/>
          <w:lang w:val="es-ES"/>
        </w:rPr>
        <w:t xml:space="preserve">, </w:t>
      </w:r>
      <w:r w:rsidRPr="00CD3F78">
        <w:rPr>
          <w:rFonts w:ascii="Verdana" w:hAnsi="Verdana"/>
          <w:i/>
          <w:sz w:val="16"/>
          <w:szCs w:val="16"/>
          <w:lang w:val="es-ES"/>
        </w:rPr>
        <w:t>cit.</w:t>
      </w:r>
      <w:r w:rsidRPr="00CD3F78">
        <w:rPr>
          <w:rFonts w:ascii="Verdana" w:hAnsi="Verdana"/>
          <w:sz w:val="16"/>
          <w:szCs w:val="16"/>
          <w:lang w:val="es-ES"/>
        </w:rPr>
        <w:t xml:space="preserve">, p. 30 </w:t>
      </w:r>
      <w:r w:rsidR="00CD3F78" w:rsidRPr="00CD3F78">
        <w:rPr>
          <w:rFonts w:ascii="Verdana" w:hAnsi="Verdana"/>
          <w:sz w:val="16"/>
          <w:szCs w:val="16"/>
          <w:lang w:val="es-ES"/>
        </w:rPr>
        <w:t>(</w:t>
      </w:r>
      <w:r w:rsidRPr="00CD3F78">
        <w:rPr>
          <w:rFonts w:ascii="Verdana" w:hAnsi="Verdana"/>
          <w:sz w:val="16"/>
          <w:szCs w:val="16"/>
          <w:lang w:val="es-ES"/>
        </w:rPr>
        <w:t>Subrayado añadido</w:t>
      </w:r>
      <w:r w:rsidR="00CD3F78" w:rsidRPr="00CD3F78">
        <w:rPr>
          <w:rFonts w:ascii="Verdana" w:hAnsi="Verdana"/>
          <w:sz w:val="16"/>
          <w:szCs w:val="16"/>
          <w:lang w:val="es-ES"/>
        </w:rPr>
        <w:t>)</w:t>
      </w:r>
      <w:r w:rsidRPr="00CD3F78">
        <w:rPr>
          <w:rFonts w:ascii="Verdana" w:hAnsi="Verdana"/>
          <w:sz w:val="16"/>
          <w:szCs w:val="16"/>
          <w:lang w:val="es-ES"/>
        </w:rPr>
        <w:t xml:space="preserve">. </w:t>
      </w:r>
      <w:r w:rsidRPr="00D34116">
        <w:rPr>
          <w:rFonts w:ascii="Verdana" w:hAnsi="Verdana"/>
          <w:sz w:val="16"/>
          <w:szCs w:val="16"/>
          <w:lang w:val="es-ES_tradnl"/>
        </w:rPr>
        <w:t>Parece que este autor pugna por suprimir la traslación de los principios del Derecho penal al administrativo sancionador. Pero líneas abajo, en el mismo párrafo, aclara su idea al indicar que: “</w:t>
      </w:r>
      <w:r w:rsidRPr="00D34116">
        <w:rPr>
          <w:rFonts w:ascii="Verdana" w:hAnsi="Verdana" w:cstheme="minorBidi"/>
          <w:sz w:val="16"/>
          <w:szCs w:val="16"/>
          <w:lang w:val="es-ES_tradnl"/>
        </w:rPr>
        <w:t xml:space="preserve">no hay más remedio que volver a empezar desde el principio y en el principio están, como he repetido, la </w:t>
      </w:r>
      <w:r w:rsidRPr="00D34116">
        <w:rPr>
          <w:rFonts w:ascii="Verdana" w:hAnsi="Verdana" w:cstheme="minorBidi"/>
          <w:sz w:val="16"/>
          <w:szCs w:val="16"/>
          <w:u w:val="single"/>
          <w:lang w:val="es-ES_tradnl"/>
        </w:rPr>
        <w:t>Constitución</w:t>
      </w:r>
      <w:r w:rsidRPr="00D34116">
        <w:rPr>
          <w:rFonts w:ascii="Verdana" w:hAnsi="Verdana" w:cstheme="minorBidi"/>
          <w:sz w:val="16"/>
          <w:szCs w:val="16"/>
          <w:lang w:val="es-ES_tradnl"/>
        </w:rPr>
        <w:t xml:space="preserve">, el Derecho Público estatal y el Derecho Administrativo, por este orden. Ahora bien, en esta tarea </w:t>
      </w:r>
      <w:r w:rsidRPr="00D34116">
        <w:rPr>
          <w:rFonts w:ascii="Verdana" w:hAnsi="Verdana" w:cstheme="minorBidi"/>
          <w:sz w:val="16"/>
          <w:szCs w:val="16"/>
          <w:u w:val="single"/>
          <w:lang w:val="es-ES_tradnl"/>
        </w:rPr>
        <w:t>la presencia del Derecho Penal es no ya sólo útil sino imprescindible y ha de seguir operando</w:t>
      </w:r>
      <w:r w:rsidRPr="00D34116">
        <w:rPr>
          <w:rFonts w:ascii="Verdana" w:hAnsi="Verdana" w:cstheme="minorBidi"/>
          <w:sz w:val="16"/>
          <w:szCs w:val="16"/>
          <w:lang w:val="es-ES_tradnl"/>
        </w:rPr>
        <w:t xml:space="preserve">, no obstante y en todo caso, como punto de referencia, como pauta técnica y, sobre todo, como cota de máxima de las garantías individuales que el Derecho Administrativo Sancionador debe tener </w:t>
      </w:r>
      <w:r w:rsidRPr="00D34116">
        <w:rPr>
          <w:rFonts w:ascii="Verdana" w:hAnsi="Verdana" w:cstheme="minorBidi"/>
          <w:sz w:val="16"/>
          <w:szCs w:val="16"/>
          <w:u w:val="single"/>
          <w:lang w:val="es-ES_tradnl"/>
        </w:rPr>
        <w:t>siempre</w:t>
      </w:r>
      <w:r w:rsidRPr="00D34116">
        <w:rPr>
          <w:rFonts w:ascii="Verdana" w:hAnsi="Verdana" w:cstheme="minorBidi"/>
          <w:sz w:val="16"/>
          <w:szCs w:val="16"/>
          <w:lang w:val="es-ES_tradnl"/>
        </w:rPr>
        <w:t xml:space="preserve"> presentes</w:t>
      </w:r>
      <w:r w:rsidRPr="00D34116">
        <w:rPr>
          <w:rFonts w:ascii="Verdana" w:hAnsi="Verdana"/>
          <w:sz w:val="16"/>
          <w:szCs w:val="16"/>
          <w:lang w:val="es-ES_tradnl"/>
        </w:rPr>
        <w:t xml:space="preserve">”; </w:t>
      </w:r>
      <w:proofErr w:type="spellStart"/>
      <w:r w:rsidRPr="00D34116">
        <w:rPr>
          <w:rFonts w:ascii="Verdana" w:hAnsi="Verdana"/>
          <w:i/>
          <w:sz w:val="16"/>
          <w:szCs w:val="16"/>
          <w:lang w:val="es-ES_tradnl"/>
        </w:rPr>
        <w:t>idem</w:t>
      </w:r>
      <w:proofErr w:type="spellEnd"/>
      <w:r w:rsidRPr="00D34116">
        <w:rPr>
          <w:rFonts w:ascii="Verdana" w:hAnsi="Verdana"/>
          <w:sz w:val="16"/>
          <w:szCs w:val="16"/>
          <w:lang w:val="es-ES_tradnl"/>
        </w:rPr>
        <w:t xml:space="preserve">. </w:t>
      </w:r>
      <w:r w:rsidR="00CD3F78">
        <w:rPr>
          <w:rFonts w:ascii="Verdana" w:hAnsi="Verdana"/>
          <w:sz w:val="16"/>
          <w:szCs w:val="16"/>
          <w:lang w:val="es-ES_tradnl"/>
        </w:rPr>
        <w:t>(</w:t>
      </w:r>
      <w:r w:rsidRPr="00D34116">
        <w:rPr>
          <w:rFonts w:ascii="Verdana" w:hAnsi="Verdana"/>
          <w:sz w:val="16"/>
          <w:szCs w:val="16"/>
          <w:lang w:val="es-ES_tradnl"/>
        </w:rPr>
        <w:t>Subrayado añadido</w:t>
      </w:r>
      <w:r w:rsidR="00CD3F78">
        <w:rPr>
          <w:rFonts w:ascii="Verdana" w:hAnsi="Verdana"/>
          <w:sz w:val="16"/>
          <w:szCs w:val="16"/>
          <w:lang w:val="es-ES_tradnl"/>
        </w:rPr>
        <w:t>)</w:t>
      </w:r>
      <w:r w:rsidRPr="00D34116">
        <w:rPr>
          <w:rFonts w:ascii="Verdana" w:hAnsi="Verdana"/>
          <w:sz w:val="16"/>
          <w:szCs w:val="16"/>
          <w:lang w:val="es-ES_tradnl"/>
        </w:rPr>
        <w:t xml:space="preserve">. Véase también </w:t>
      </w:r>
      <w:proofErr w:type="spellStart"/>
      <w:r w:rsidRPr="00D34116">
        <w:rPr>
          <w:rFonts w:ascii="Verdana" w:hAnsi="Verdana"/>
          <w:i/>
          <w:sz w:val="16"/>
          <w:szCs w:val="16"/>
          <w:lang w:val="es-ES_tradnl"/>
        </w:rPr>
        <w:t>ibidem</w:t>
      </w:r>
      <w:proofErr w:type="spellEnd"/>
      <w:r w:rsidRPr="00D34116">
        <w:rPr>
          <w:rFonts w:ascii="Verdana" w:hAnsi="Verdana"/>
          <w:sz w:val="16"/>
          <w:szCs w:val="16"/>
          <w:lang w:val="es-ES_tradnl"/>
        </w:rPr>
        <w:t xml:space="preserve">, p. 137. Entonces, decantándome con base en los motivos antes expuestos por adoptar su afirmación de la unidad del </w:t>
      </w:r>
      <w:proofErr w:type="spellStart"/>
      <w:r w:rsidRPr="00D34116">
        <w:rPr>
          <w:rFonts w:ascii="Verdana" w:hAnsi="Verdana"/>
          <w:i/>
          <w:sz w:val="16"/>
          <w:szCs w:val="16"/>
          <w:lang w:val="es-ES_tradnl"/>
        </w:rPr>
        <w:t>ius</w:t>
      </w:r>
      <w:proofErr w:type="spellEnd"/>
      <w:r w:rsidRPr="00D34116">
        <w:rPr>
          <w:rFonts w:ascii="Verdana" w:hAnsi="Verdana"/>
          <w:i/>
          <w:sz w:val="16"/>
          <w:szCs w:val="16"/>
          <w:lang w:val="es-ES_tradnl"/>
        </w:rPr>
        <w:t xml:space="preserve"> </w:t>
      </w:r>
      <w:proofErr w:type="spellStart"/>
      <w:r w:rsidRPr="00D34116">
        <w:rPr>
          <w:rFonts w:ascii="Verdana" w:hAnsi="Verdana"/>
          <w:i/>
          <w:sz w:val="16"/>
          <w:szCs w:val="16"/>
          <w:lang w:val="es-ES_tradnl"/>
        </w:rPr>
        <w:t>puniendi</w:t>
      </w:r>
      <w:proofErr w:type="spellEnd"/>
      <w:r w:rsidRPr="00D34116">
        <w:rPr>
          <w:rFonts w:ascii="Verdana" w:hAnsi="Verdana"/>
          <w:sz w:val="16"/>
          <w:szCs w:val="16"/>
          <w:lang w:val="es-ES_tradnl"/>
        </w:rPr>
        <w:t xml:space="preserve"> ante su oscilante posición al respecto (</w:t>
      </w:r>
      <w:r w:rsidRPr="00D34116">
        <w:rPr>
          <w:rFonts w:ascii="Verdana" w:hAnsi="Verdana"/>
          <w:i/>
          <w:sz w:val="16"/>
          <w:szCs w:val="16"/>
          <w:lang w:val="es-ES_tradnl"/>
        </w:rPr>
        <w:t xml:space="preserve">cfr. </w:t>
      </w:r>
      <w:proofErr w:type="spellStart"/>
      <w:r w:rsidRPr="00D34116">
        <w:rPr>
          <w:rFonts w:ascii="Verdana" w:hAnsi="Verdana"/>
          <w:i/>
          <w:sz w:val="16"/>
          <w:szCs w:val="16"/>
          <w:lang w:val="es-ES_tradnl"/>
        </w:rPr>
        <w:t>ibidem</w:t>
      </w:r>
      <w:proofErr w:type="spellEnd"/>
      <w:r w:rsidRPr="00D34116">
        <w:rPr>
          <w:rFonts w:ascii="Verdana" w:hAnsi="Verdana"/>
          <w:sz w:val="16"/>
          <w:szCs w:val="16"/>
          <w:lang w:val="es-ES_tradnl"/>
        </w:rPr>
        <w:t xml:space="preserve">, pp. 47 y 135), la posición de Nieto García puede tomarse del modo siguiente: el ejercicio el poder punitivo </w:t>
      </w:r>
      <w:r w:rsidRPr="00D34116">
        <w:rPr>
          <w:rFonts w:ascii="Verdana" w:hAnsi="Verdana"/>
          <w:i/>
          <w:sz w:val="16"/>
          <w:szCs w:val="16"/>
          <w:lang w:val="es-ES_tradnl"/>
        </w:rPr>
        <w:t>in genere</w:t>
      </w:r>
      <w:r w:rsidRPr="00D34116">
        <w:rPr>
          <w:rFonts w:ascii="Verdana" w:hAnsi="Verdana"/>
          <w:sz w:val="16"/>
          <w:szCs w:val="16"/>
          <w:lang w:val="es-ES_tradnl"/>
        </w:rPr>
        <w:t xml:space="preserve"> del Estado se halla sujeto a determinados principios de los que me ocuparé luego; la satisfacción de estos principios inspiró las normas garantistas específicas del ámbito penal, muchas de las cuales tienen expresión precisa en las disposiciones fundamentales; puede presumirse que aquellos principios generales inspiren en diversos ámbitos sancionadores, como el administrativo en particular, normas propias de contenido idéntico o similar a las que origina en el penal; y de esta suerte, es factible tomar como referencia del sentido de aquellos principios las normas de este último y llevarlas sin más a un nuevo terreno jurídico o imponiéndoles de modo justificado ciertas adaptaciones.</w:t>
      </w:r>
    </w:p>
  </w:footnote>
  <w:footnote w:id="91">
    <w:p w14:paraId="7A747FF6" w14:textId="174D3FA0"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w:t>
      </w:r>
      <w:r w:rsidRPr="00D34116">
        <w:rPr>
          <w:rFonts w:ascii="Verdana" w:hAnsi="Verdana" w:cs="Verdana"/>
          <w:bCs/>
          <w:i/>
          <w:sz w:val="16"/>
          <w:szCs w:val="16"/>
        </w:rPr>
        <w:t>El Derecho a la Información sobre la Asistencia Consular en el Marco de las Garantías del Debido Proceso Legal.</w:t>
      </w:r>
      <w:r w:rsidRPr="00D34116">
        <w:rPr>
          <w:rFonts w:ascii="Verdana" w:hAnsi="Verdana" w:cs="Verdana"/>
          <w:bCs/>
          <w:sz w:val="16"/>
          <w:szCs w:val="16"/>
        </w:rPr>
        <w:t xml:space="preserve"> Opinión Consultiva OC-16/99 de 1 de octubre de 1999. Serie A No. 16, párr. </w:t>
      </w:r>
      <w:r w:rsidRPr="00D34116">
        <w:rPr>
          <w:rFonts w:ascii="Verdana" w:hAnsi="Verdana"/>
          <w:sz w:val="16"/>
          <w:szCs w:val="16"/>
        </w:rPr>
        <w:t>117.</w:t>
      </w:r>
    </w:p>
  </w:footnote>
  <w:footnote w:id="92">
    <w:p w14:paraId="625DF9D3" w14:textId="098E8BA9"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w:t>
      </w:r>
      <w:proofErr w:type="spellStart"/>
      <w:r w:rsidRPr="00D34116">
        <w:rPr>
          <w:rFonts w:ascii="Verdana" w:hAnsi="Verdana"/>
          <w:sz w:val="16"/>
          <w:szCs w:val="16"/>
        </w:rPr>
        <w:t>Taruffo</w:t>
      </w:r>
      <w:proofErr w:type="spellEnd"/>
      <w:r w:rsidRPr="00D34116">
        <w:rPr>
          <w:rFonts w:ascii="Verdana" w:hAnsi="Verdana"/>
          <w:sz w:val="16"/>
          <w:szCs w:val="16"/>
        </w:rPr>
        <w:t xml:space="preserve">, </w:t>
      </w:r>
      <w:proofErr w:type="spellStart"/>
      <w:r w:rsidRPr="00D34116">
        <w:rPr>
          <w:rFonts w:ascii="Verdana" w:hAnsi="Verdana"/>
          <w:sz w:val="16"/>
          <w:szCs w:val="16"/>
        </w:rPr>
        <w:t>Michele</w:t>
      </w:r>
      <w:proofErr w:type="spellEnd"/>
      <w:r w:rsidRPr="00D34116">
        <w:rPr>
          <w:rFonts w:ascii="Verdana" w:hAnsi="Verdana"/>
          <w:sz w:val="16"/>
          <w:szCs w:val="16"/>
        </w:rPr>
        <w:t xml:space="preserve">, </w:t>
      </w:r>
      <w:r w:rsidRPr="00D34116">
        <w:rPr>
          <w:rFonts w:ascii="Verdana" w:hAnsi="Verdana"/>
          <w:i/>
          <w:sz w:val="16"/>
          <w:szCs w:val="16"/>
        </w:rPr>
        <w:t>Proceso y decisión. Lecciones mexicanas de Derecho Procesal</w:t>
      </w:r>
      <w:r w:rsidRPr="00D34116">
        <w:rPr>
          <w:rFonts w:ascii="Verdana" w:hAnsi="Verdana"/>
          <w:sz w:val="16"/>
          <w:szCs w:val="16"/>
        </w:rPr>
        <w:t>, Madrid, Marcial Pons, 2012, pp. 44 a 48.</w:t>
      </w:r>
    </w:p>
  </w:footnote>
  <w:footnote w:id="93">
    <w:p w14:paraId="1C4883EE" w14:textId="0EEAA6EE" w:rsidR="00CB2B4E" w:rsidRPr="008340D3" w:rsidRDefault="00CB2B4E" w:rsidP="00D34116">
      <w:pPr>
        <w:pStyle w:val="FootnoteText"/>
        <w:jc w:val="both"/>
        <w:rPr>
          <w:rFonts w:ascii="Verdana" w:hAnsi="Verdana"/>
          <w:i/>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De particular significado para el ámbito administrativo en general, y especialmente para su vertiente sancionadora, es la </w:t>
      </w:r>
      <w:r w:rsidRPr="00D34116">
        <w:rPr>
          <w:rFonts w:ascii="Verdana" w:hAnsi="Verdana"/>
          <w:i/>
          <w:sz w:val="16"/>
          <w:szCs w:val="16"/>
        </w:rPr>
        <w:t>Carta Iberoamericana de los Derechos y Deberes del Ciudadano en Relación con la Administración Pública</w:t>
      </w:r>
      <w:r w:rsidRPr="00D34116">
        <w:rPr>
          <w:rFonts w:ascii="Verdana" w:hAnsi="Verdana"/>
          <w:sz w:val="16"/>
          <w:szCs w:val="16"/>
        </w:rPr>
        <w:t xml:space="preserve"> emitida por el organismo internacional Centro Latinoamericano de Administración para el Desarrollo. Los párrafos 24, 27 y 28, </w:t>
      </w:r>
      <w:r w:rsidRPr="00D34116">
        <w:rPr>
          <w:rFonts w:ascii="Verdana" w:hAnsi="Verdana"/>
          <w:i/>
          <w:sz w:val="16"/>
          <w:szCs w:val="16"/>
        </w:rPr>
        <w:t>inter alia</w:t>
      </w:r>
      <w:r w:rsidRPr="00D34116">
        <w:rPr>
          <w:rFonts w:ascii="Verdana" w:hAnsi="Verdana"/>
          <w:sz w:val="16"/>
          <w:szCs w:val="16"/>
        </w:rPr>
        <w:t>, del referido instrumento prevén garantías del debido proceso en la esfera administrativa. La mencionada Carta puede consultarse en la siguiente dirección electrónica:</w:t>
      </w:r>
      <w:r w:rsidRPr="00D34116">
        <w:rPr>
          <w:rFonts w:ascii="Verdana" w:hAnsi="Verdana"/>
          <w:i/>
          <w:sz w:val="16"/>
          <w:szCs w:val="16"/>
        </w:rPr>
        <w:t xml:space="preserve"> </w:t>
      </w:r>
      <w:hyperlink r:id="rId3" w:history="1">
        <w:r w:rsidRPr="00D34116">
          <w:rPr>
            <w:rStyle w:val="Hyperlink"/>
            <w:rFonts w:ascii="Verdana" w:hAnsi="Verdana"/>
            <w:i/>
            <w:color w:val="auto"/>
            <w:sz w:val="16"/>
            <w:szCs w:val="16"/>
          </w:rPr>
          <w:t>http://old.clad.org/documentos/declaraciones/Carta%20Iberoamericana%20de%20los%20deberes%20y%20derechos%20-%20documento%20aprobado.pdf</w:t>
        </w:r>
      </w:hyperlink>
      <w:r w:rsidR="008340D3" w:rsidRPr="00ED18EC">
        <w:rPr>
          <w:rFonts w:ascii="Verdana" w:hAnsi="Verdana" w:cs="Lucida Sans Unicode"/>
          <w:sz w:val="16"/>
          <w:szCs w:val="16"/>
        </w:rPr>
        <w:t>.</w:t>
      </w:r>
    </w:p>
  </w:footnote>
  <w:footnote w:id="94">
    <w:p w14:paraId="4A45FE6D" w14:textId="20D7ABD4"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Excepciones al Agotamiento de los Recursos Internos (artículos 46.1, 46.2a y 46.2b, Convención Americana sobre Derechos Humanos</w:t>
      </w:r>
      <w:r w:rsidRPr="00D34116">
        <w:rPr>
          <w:rFonts w:ascii="Verdana" w:hAnsi="Verdana"/>
          <w:sz w:val="16"/>
          <w:szCs w:val="16"/>
        </w:rPr>
        <w:t>. Opinión Consultiva OC-11/90 del 10 de agosto de 1990. Serie A, No. 11, párr. 28.</w:t>
      </w:r>
    </w:p>
  </w:footnote>
  <w:footnote w:id="95">
    <w:p w14:paraId="7A3E6F37" w14:textId="0CE79CF7"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w:t>
      </w:r>
      <w:r w:rsidRPr="00D34116">
        <w:rPr>
          <w:rFonts w:ascii="Verdana" w:hAnsi="Verdana"/>
          <w:sz w:val="16"/>
          <w:szCs w:val="16"/>
        </w:rPr>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 48.</w:t>
      </w:r>
    </w:p>
  </w:footnote>
  <w:footnote w:id="96">
    <w:p w14:paraId="483D8618" w14:textId="2C7D650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En este preciso punto es que me aparto de las apreciaciones de Nieto García. Para este autor es indudable que los principios penales serán aplicables al ámbito administrativo, pero “no van a serlo de forma mecánica, sino ‘con matices’, es decir, debidamente adaptados al campo que los importa” (</w:t>
      </w:r>
      <w:proofErr w:type="spellStart"/>
      <w:r w:rsidRPr="00D34116">
        <w:rPr>
          <w:rFonts w:ascii="Verdana" w:hAnsi="Verdana"/>
          <w:i/>
          <w:sz w:val="16"/>
          <w:szCs w:val="16"/>
        </w:rPr>
        <w:t>ibidem</w:t>
      </w:r>
      <w:proofErr w:type="spellEnd"/>
      <w:r w:rsidRPr="00D34116">
        <w:rPr>
          <w:rFonts w:ascii="Verdana" w:hAnsi="Verdana"/>
          <w:sz w:val="16"/>
          <w:szCs w:val="16"/>
        </w:rPr>
        <w:t xml:space="preserve">, p. 138). Mi discrepancia es que Nieto García aquí afirma rotundamente que </w:t>
      </w:r>
      <w:r w:rsidRPr="00D34116">
        <w:rPr>
          <w:rFonts w:ascii="Verdana" w:hAnsi="Verdana"/>
          <w:i/>
          <w:sz w:val="16"/>
          <w:szCs w:val="16"/>
        </w:rPr>
        <w:t xml:space="preserve">siempre </w:t>
      </w:r>
      <w:r w:rsidRPr="00D34116">
        <w:rPr>
          <w:rFonts w:ascii="Verdana" w:hAnsi="Verdana"/>
          <w:sz w:val="16"/>
          <w:szCs w:val="16"/>
        </w:rPr>
        <w:t xml:space="preserve">habrá un matiz, una adaptación; en cambio, yo opino que como expresión de una norma más general, </w:t>
      </w:r>
      <w:r w:rsidRPr="00D34116">
        <w:rPr>
          <w:rFonts w:ascii="Verdana" w:hAnsi="Verdana"/>
          <w:i/>
          <w:sz w:val="16"/>
          <w:szCs w:val="16"/>
        </w:rPr>
        <w:t>en principio</w:t>
      </w:r>
      <w:r w:rsidRPr="00D34116">
        <w:rPr>
          <w:rFonts w:ascii="Verdana" w:hAnsi="Verdana"/>
          <w:sz w:val="16"/>
          <w:szCs w:val="16"/>
        </w:rPr>
        <w:t xml:space="preserve"> aplican sin más, tal como son, a diverso ámbito sancionador, </w:t>
      </w:r>
      <w:r w:rsidRPr="00D34116">
        <w:rPr>
          <w:rFonts w:ascii="Verdana" w:hAnsi="Verdana"/>
          <w:i/>
          <w:sz w:val="16"/>
          <w:szCs w:val="16"/>
        </w:rPr>
        <w:t>a menos</w:t>
      </w:r>
      <w:r w:rsidRPr="00D34116">
        <w:rPr>
          <w:rFonts w:ascii="Verdana" w:hAnsi="Verdana"/>
          <w:sz w:val="16"/>
          <w:szCs w:val="16"/>
        </w:rPr>
        <w:t xml:space="preserve"> que se demuestre que requieren algún matiz.</w:t>
      </w:r>
    </w:p>
  </w:footnote>
  <w:footnote w:id="97">
    <w:p w14:paraId="77193245" w14:textId="3AAA7FDD"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w:t>
      </w:r>
      <w:r w:rsidRPr="00D34116">
        <w:rPr>
          <w:rFonts w:ascii="Verdana" w:hAnsi="Verdana"/>
          <w:sz w:val="16"/>
          <w:szCs w:val="16"/>
        </w:rPr>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 137.</w:t>
      </w:r>
    </w:p>
  </w:footnote>
  <w:footnote w:id="98">
    <w:p w14:paraId="3CB2D58D" w14:textId="308A00D8"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w:t>
      </w:r>
      <w:proofErr w:type="spellStart"/>
      <w:r w:rsidRPr="00D34116">
        <w:rPr>
          <w:rFonts w:ascii="Verdana" w:hAnsi="Verdana"/>
          <w:sz w:val="16"/>
          <w:szCs w:val="16"/>
        </w:rPr>
        <w:t>Plantin</w:t>
      </w:r>
      <w:proofErr w:type="spellEnd"/>
      <w:r w:rsidRPr="00D34116">
        <w:rPr>
          <w:rFonts w:ascii="Verdana" w:hAnsi="Verdana"/>
          <w:sz w:val="16"/>
          <w:szCs w:val="16"/>
        </w:rPr>
        <w:t xml:space="preserve">, Christian, </w:t>
      </w:r>
      <w:r w:rsidRPr="00D34116">
        <w:rPr>
          <w:rFonts w:ascii="Verdana" w:hAnsi="Verdana"/>
          <w:i/>
          <w:sz w:val="16"/>
          <w:szCs w:val="16"/>
        </w:rPr>
        <w:t>La argumentación</w:t>
      </w:r>
      <w:r w:rsidRPr="00D34116">
        <w:rPr>
          <w:rFonts w:ascii="Verdana" w:hAnsi="Verdana"/>
          <w:sz w:val="16"/>
          <w:szCs w:val="16"/>
        </w:rPr>
        <w:t>, 3a. edición, traducción de Amparo Tusón Valls, Barcelona, Ariel, 2002, pp. 35 y 36.</w:t>
      </w:r>
    </w:p>
  </w:footnote>
  <w:footnote w:id="99">
    <w:p w14:paraId="19FDBE63" w14:textId="39F81881"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w:t>
      </w:r>
      <w:proofErr w:type="spellStart"/>
      <w:r w:rsidRPr="00D34116">
        <w:rPr>
          <w:rFonts w:ascii="Verdana" w:hAnsi="Verdana"/>
          <w:sz w:val="16"/>
          <w:szCs w:val="16"/>
        </w:rPr>
        <w:t>Alexy</w:t>
      </w:r>
      <w:proofErr w:type="spellEnd"/>
      <w:r w:rsidRPr="00D34116">
        <w:rPr>
          <w:rFonts w:ascii="Verdana" w:hAnsi="Verdana"/>
          <w:sz w:val="16"/>
          <w:szCs w:val="16"/>
        </w:rPr>
        <w:t xml:space="preserve">, Robert, </w:t>
      </w:r>
      <w:r w:rsidRPr="00D34116">
        <w:rPr>
          <w:rFonts w:ascii="Verdana" w:hAnsi="Verdana"/>
          <w:i/>
          <w:sz w:val="16"/>
          <w:szCs w:val="16"/>
        </w:rPr>
        <w:t>Teoría de la argumentación jurídica</w:t>
      </w:r>
      <w:r w:rsidRPr="00D34116">
        <w:rPr>
          <w:rFonts w:ascii="Verdana" w:hAnsi="Verdana"/>
          <w:sz w:val="16"/>
          <w:szCs w:val="16"/>
        </w:rPr>
        <w:t xml:space="preserve">, 2a. edición, traducción de Manuel </w:t>
      </w:r>
      <w:proofErr w:type="spellStart"/>
      <w:r w:rsidRPr="00D34116">
        <w:rPr>
          <w:rFonts w:ascii="Verdana" w:hAnsi="Verdana"/>
          <w:sz w:val="16"/>
          <w:szCs w:val="16"/>
        </w:rPr>
        <w:t>Atienza</w:t>
      </w:r>
      <w:proofErr w:type="spellEnd"/>
      <w:r w:rsidRPr="00D34116">
        <w:rPr>
          <w:rFonts w:ascii="Verdana" w:hAnsi="Verdana"/>
          <w:sz w:val="16"/>
          <w:szCs w:val="16"/>
        </w:rPr>
        <w:t xml:space="preserve"> e Isabel Espejo, Madrid, Centro de Estudios Políticos y Constitucionales, 2012, pp. 191 a 193.</w:t>
      </w:r>
    </w:p>
  </w:footnote>
  <w:footnote w:id="100">
    <w:p w14:paraId="41BC2E41" w14:textId="7DD0D0D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STC 61/1990, de 29 de marzo de 1990, fundamento jurídico 8o.</w:t>
      </w:r>
    </w:p>
  </w:footnote>
  <w:footnote w:id="101">
    <w:p w14:paraId="63D448A3" w14:textId="4EE7FED3"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García de Enterría y Fernández, </w:t>
      </w:r>
      <w:r w:rsidRPr="00D34116">
        <w:rPr>
          <w:rFonts w:ascii="Verdana" w:hAnsi="Verdana"/>
          <w:i/>
          <w:sz w:val="16"/>
          <w:szCs w:val="16"/>
        </w:rPr>
        <w:t>Curso de derecho administrativo II</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181-183.</w:t>
      </w:r>
    </w:p>
  </w:footnote>
  <w:footnote w:id="102">
    <w:p w14:paraId="358D2420" w14:textId="3527CC47"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Por todas, véase STC 60/2000, de 2 de marzo de 2000, fundamento jurídico 3o.</w:t>
      </w:r>
    </w:p>
  </w:footnote>
  <w:footnote w:id="103">
    <w:p w14:paraId="24AE3A75" w14:textId="52D4A1A6"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Con relación a este tema particular y el general del que se desprende, véase Ruiz Robledo, Agustín, </w:t>
      </w:r>
      <w:r w:rsidRPr="00D34116">
        <w:rPr>
          <w:rFonts w:ascii="Verdana" w:hAnsi="Verdana"/>
          <w:i/>
          <w:sz w:val="16"/>
          <w:szCs w:val="16"/>
        </w:rPr>
        <w:t>El derecho fundamental a la legalidad punitiva</w:t>
      </w:r>
      <w:r w:rsidRPr="00D34116">
        <w:rPr>
          <w:rFonts w:ascii="Verdana" w:hAnsi="Verdana"/>
          <w:sz w:val="16"/>
          <w:szCs w:val="16"/>
        </w:rPr>
        <w:t>, Valencia, Tirant Lo Blanch, 2003, pp. 134 y siguientes.</w:t>
      </w:r>
    </w:p>
  </w:footnote>
  <w:footnote w:id="104">
    <w:p w14:paraId="4934CF86" w14:textId="424A3FB0"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138 y 139.</w:t>
      </w:r>
    </w:p>
  </w:footnote>
  <w:footnote w:id="105">
    <w:p w14:paraId="727B2632" w14:textId="357A095F"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García de Enterría y Fernández, </w:t>
      </w:r>
      <w:r w:rsidRPr="00D34116">
        <w:rPr>
          <w:rFonts w:ascii="Verdana" w:hAnsi="Verdana"/>
          <w:i/>
          <w:sz w:val="16"/>
          <w:szCs w:val="16"/>
        </w:rPr>
        <w:t>Curso de derecho administrativo II</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 459.</w:t>
      </w:r>
    </w:p>
  </w:footnote>
  <w:footnote w:id="106">
    <w:p w14:paraId="79753FED" w14:textId="702E0530"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Caso Castillo </w:t>
      </w:r>
      <w:proofErr w:type="spellStart"/>
      <w:r w:rsidRPr="00D34116">
        <w:rPr>
          <w:rFonts w:ascii="Verdana" w:hAnsi="Verdana"/>
          <w:i/>
          <w:sz w:val="16"/>
          <w:szCs w:val="16"/>
        </w:rPr>
        <w:t>Petruzzi</w:t>
      </w:r>
      <w:proofErr w:type="spellEnd"/>
      <w:r w:rsidRPr="00D34116">
        <w:rPr>
          <w:rFonts w:ascii="Verdana" w:hAnsi="Verdana"/>
          <w:i/>
          <w:sz w:val="16"/>
          <w:szCs w:val="16"/>
        </w:rPr>
        <w:t xml:space="preserve"> y otros Vs. Perú</w:t>
      </w:r>
      <w:r w:rsidRPr="00D34116">
        <w:rPr>
          <w:rFonts w:ascii="Verdana" w:hAnsi="Verdana"/>
          <w:sz w:val="16"/>
          <w:szCs w:val="16"/>
        </w:rPr>
        <w:t>. Fondo, Reparaciones y Costas. Sentencia de 30 de mayo de 1999, Serie C, No. 52, párr. 207.</w:t>
      </w:r>
    </w:p>
  </w:footnote>
  <w:footnote w:id="107">
    <w:p w14:paraId="473517E3" w14:textId="25C65176"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Cfr. </w:t>
      </w:r>
      <w:r w:rsidRPr="00D34116">
        <w:rPr>
          <w:rFonts w:ascii="Verdana" w:hAnsi="Verdana"/>
          <w:sz w:val="16"/>
          <w:szCs w:val="16"/>
        </w:rPr>
        <w:t xml:space="preserve">Nieto García, </w:t>
      </w:r>
      <w:r w:rsidRPr="00D34116">
        <w:rPr>
          <w:rFonts w:ascii="Verdana" w:hAnsi="Verdana"/>
          <w:i/>
          <w:sz w:val="16"/>
          <w:szCs w:val="16"/>
        </w:rPr>
        <w:t>Derecho administrativo sancionador</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 60.</w:t>
      </w:r>
    </w:p>
  </w:footnote>
  <w:footnote w:id="108">
    <w:p w14:paraId="5BEB65AD" w14:textId="442FEE70"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Véase García de Enterría y Fernández, </w:t>
      </w:r>
      <w:r w:rsidRPr="00D34116">
        <w:rPr>
          <w:rFonts w:ascii="Verdana" w:hAnsi="Verdana"/>
          <w:i/>
          <w:sz w:val="16"/>
          <w:szCs w:val="16"/>
        </w:rPr>
        <w:t>Curso de derecho administrativo II</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188 a 191.</w:t>
      </w:r>
    </w:p>
  </w:footnote>
  <w:footnote w:id="109">
    <w:p w14:paraId="73C2D8B5" w14:textId="7DDB1EF8"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r>
      <w:r w:rsidRPr="00D34116">
        <w:rPr>
          <w:rFonts w:ascii="Verdana" w:hAnsi="Verdana"/>
          <w:i/>
          <w:sz w:val="16"/>
          <w:szCs w:val="16"/>
        </w:rPr>
        <w:t xml:space="preserve">Caso </w:t>
      </w:r>
      <w:proofErr w:type="spellStart"/>
      <w:r w:rsidRPr="00D34116">
        <w:rPr>
          <w:rFonts w:ascii="Verdana" w:hAnsi="Verdana"/>
          <w:i/>
          <w:sz w:val="16"/>
          <w:szCs w:val="16"/>
        </w:rPr>
        <w:t>Kimel</w:t>
      </w:r>
      <w:proofErr w:type="spellEnd"/>
      <w:r w:rsidRPr="00D34116">
        <w:rPr>
          <w:rFonts w:ascii="Verdana" w:hAnsi="Verdana"/>
          <w:i/>
          <w:sz w:val="16"/>
          <w:szCs w:val="16"/>
        </w:rPr>
        <w:t xml:space="preserve"> Vs. Argentina</w:t>
      </w:r>
      <w:r w:rsidRPr="00D34116">
        <w:rPr>
          <w:rFonts w:ascii="Verdana" w:hAnsi="Verdana"/>
          <w:sz w:val="16"/>
          <w:szCs w:val="16"/>
        </w:rPr>
        <w:t xml:space="preserve">. Fondo, Reparaciones y Costas. Sentencia de 2 de mayo de 2008, Serie C, No. 177, párrs. 51 y siguientes. En la doctrina véase particularmente Bernal Pulido, Carlos, </w:t>
      </w:r>
      <w:r w:rsidRPr="00D34116">
        <w:rPr>
          <w:rFonts w:ascii="Verdana" w:hAnsi="Verdana"/>
          <w:i/>
          <w:sz w:val="16"/>
          <w:szCs w:val="16"/>
        </w:rPr>
        <w:t>El principio de proporcionalidad y los derechos fundamentales</w:t>
      </w:r>
      <w:r w:rsidRPr="00D34116">
        <w:rPr>
          <w:rFonts w:ascii="Verdana" w:hAnsi="Verdana"/>
          <w:sz w:val="16"/>
          <w:szCs w:val="16"/>
        </w:rPr>
        <w:t>, 3a. edición, Madrid, Centro de Estudios Políticos y Constitucionales, 2007.</w:t>
      </w:r>
    </w:p>
  </w:footnote>
  <w:footnote w:id="110">
    <w:p w14:paraId="741F2F1D" w14:textId="6C51E05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STC 76/1990, de 26 de abril de 1990, fundamento jurídico 4o.B. </w:t>
      </w:r>
      <w:r w:rsidR="00746BE6">
        <w:rPr>
          <w:rFonts w:ascii="Verdana" w:hAnsi="Verdana"/>
          <w:sz w:val="16"/>
          <w:szCs w:val="16"/>
        </w:rPr>
        <w:t>(</w:t>
      </w:r>
      <w:r w:rsidRPr="00D34116">
        <w:rPr>
          <w:rFonts w:ascii="Verdana" w:hAnsi="Verdana"/>
          <w:sz w:val="16"/>
          <w:szCs w:val="16"/>
        </w:rPr>
        <w:t>Subrayado añadido</w:t>
      </w:r>
      <w:r w:rsidR="00746BE6">
        <w:rPr>
          <w:rFonts w:ascii="Verdana" w:hAnsi="Verdana"/>
          <w:sz w:val="16"/>
          <w:szCs w:val="16"/>
        </w:rPr>
        <w:t>)</w:t>
      </w:r>
      <w:r w:rsidRPr="00D34116">
        <w:rPr>
          <w:rFonts w:ascii="Verdana" w:hAnsi="Verdana"/>
          <w:sz w:val="16"/>
          <w:szCs w:val="16"/>
        </w:rPr>
        <w:t>.</w:t>
      </w:r>
    </w:p>
  </w:footnote>
  <w:footnote w:id="111">
    <w:p w14:paraId="133C9C19" w14:textId="5A3FF997"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Bernal Pulido, </w:t>
      </w:r>
      <w:r w:rsidRPr="00D34116">
        <w:rPr>
          <w:rFonts w:ascii="Verdana" w:hAnsi="Verdana"/>
          <w:i/>
          <w:sz w:val="16"/>
          <w:szCs w:val="16"/>
        </w:rPr>
        <w:t>El principio de proporcionalidad y los derechos fundamentales</w:t>
      </w:r>
      <w:r w:rsidRPr="00D34116">
        <w:rPr>
          <w:rFonts w:ascii="Verdana" w:hAnsi="Verdana"/>
          <w:sz w:val="16"/>
          <w:szCs w:val="16"/>
        </w:rPr>
        <w:t>,</w:t>
      </w:r>
      <w:r w:rsidRPr="00D34116">
        <w:rPr>
          <w:rFonts w:ascii="Verdana" w:hAnsi="Verdana"/>
          <w:i/>
          <w:sz w:val="16"/>
          <w:szCs w:val="16"/>
        </w:rPr>
        <w:t xml:space="preserve"> cit.</w:t>
      </w:r>
    </w:p>
  </w:footnote>
  <w:footnote w:id="112">
    <w:p w14:paraId="1FEF2C8F" w14:textId="63570C77"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Así sucede en el ejemplo que estudiamos. Sancionar “solidariamente” una conducta ilegal persigue el fin legítimo de prevenirla de modo represivo; resulta “idónea” para este propósito, pues naturalmente contribuirá a evitar que las personas incurran en ella; y habitualmente también será “necesaria”, porque con una medida diferente a la sanción, difícilmente se logrará con el mismo grado de persuasión evitar el actuar ilícito.</w:t>
      </w:r>
    </w:p>
  </w:footnote>
  <w:footnote w:id="113">
    <w:p w14:paraId="68F63784" w14:textId="1D861FAD"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“La fórmula del peso”, traducción de Carlos Bernal Pulido, </w:t>
      </w:r>
      <w:proofErr w:type="spellStart"/>
      <w:r w:rsidRPr="00D34116">
        <w:rPr>
          <w:rFonts w:ascii="Verdana" w:hAnsi="Verdana"/>
          <w:sz w:val="16"/>
          <w:szCs w:val="16"/>
        </w:rPr>
        <w:t>addenda</w:t>
      </w:r>
      <w:proofErr w:type="spellEnd"/>
      <w:r w:rsidRPr="00D34116">
        <w:rPr>
          <w:rFonts w:ascii="Verdana" w:hAnsi="Verdana"/>
          <w:sz w:val="16"/>
          <w:szCs w:val="16"/>
        </w:rPr>
        <w:t xml:space="preserve"> a </w:t>
      </w:r>
      <w:proofErr w:type="spellStart"/>
      <w:r w:rsidRPr="00D34116">
        <w:rPr>
          <w:rFonts w:ascii="Verdana" w:hAnsi="Verdana"/>
          <w:sz w:val="16"/>
          <w:szCs w:val="16"/>
        </w:rPr>
        <w:t>Alexy</w:t>
      </w:r>
      <w:proofErr w:type="spellEnd"/>
      <w:r w:rsidRPr="00D34116">
        <w:rPr>
          <w:rFonts w:ascii="Verdana" w:hAnsi="Verdana"/>
          <w:sz w:val="16"/>
          <w:szCs w:val="16"/>
        </w:rPr>
        <w:t xml:space="preserve">, </w:t>
      </w:r>
      <w:r w:rsidRPr="00D34116">
        <w:rPr>
          <w:rFonts w:ascii="Verdana" w:hAnsi="Verdana"/>
          <w:i/>
          <w:sz w:val="16"/>
          <w:szCs w:val="16"/>
        </w:rPr>
        <w:t>Teoría de la argumentación jurídica</w:t>
      </w:r>
      <w:r w:rsidRPr="00D34116">
        <w:rPr>
          <w:rFonts w:ascii="Verdana" w:hAnsi="Verdana"/>
          <w:sz w:val="16"/>
          <w:szCs w:val="16"/>
        </w:rPr>
        <w:t xml:space="preserve">, </w:t>
      </w:r>
      <w:r w:rsidRPr="00D34116">
        <w:rPr>
          <w:rFonts w:ascii="Verdana" w:hAnsi="Verdana"/>
          <w:i/>
          <w:sz w:val="16"/>
          <w:szCs w:val="16"/>
        </w:rPr>
        <w:t>cit.</w:t>
      </w:r>
      <w:r w:rsidRPr="00D34116">
        <w:rPr>
          <w:rFonts w:ascii="Verdana" w:hAnsi="Verdana"/>
          <w:sz w:val="16"/>
          <w:szCs w:val="16"/>
        </w:rPr>
        <w:t>, pp. 349 y siguientes.</w:t>
      </w:r>
    </w:p>
  </w:footnote>
  <w:footnote w:id="114">
    <w:p w14:paraId="751FB0CD" w14:textId="35A63DAD"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 xml:space="preserve">Con gran parecido a lo que esta Corte IDH estableció en el </w:t>
      </w:r>
      <w:r w:rsidRPr="00D34116">
        <w:rPr>
          <w:rFonts w:ascii="Verdana" w:hAnsi="Verdana"/>
          <w:i/>
          <w:sz w:val="16"/>
          <w:szCs w:val="16"/>
        </w:rPr>
        <w:t xml:space="preserve">Caso </w:t>
      </w:r>
      <w:proofErr w:type="spellStart"/>
      <w:r w:rsidRPr="00D34116">
        <w:rPr>
          <w:rFonts w:ascii="Verdana" w:hAnsi="Verdana"/>
          <w:i/>
          <w:sz w:val="16"/>
          <w:szCs w:val="16"/>
        </w:rPr>
        <w:t>Kimel</w:t>
      </w:r>
      <w:proofErr w:type="spellEnd"/>
      <w:r w:rsidRPr="00D34116">
        <w:rPr>
          <w:rFonts w:ascii="Verdana" w:hAnsi="Verdana"/>
          <w:i/>
          <w:sz w:val="16"/>
          <w:szCs w:val="16"/>
        </w:rPr>
        <w:t xml:space="preserve"> Vs. Argentina</w:t>
      </w:r>
      <w:r w:rsidRPr="00D34116">
        <w:rPr>
          <w:rFonts w:ascii="Verdana" w:hAnsi="Verdana"/>
          <w:sz w:val="16"/>
          <w:szCs w:val="16"/>
        </w:rPr>
        <w:t>. Fondo, Reparaciones y Costas. Sentencia de 2 de mayo de 2008, Serie C, No. 177, párr. 84.</w:t>
      </w:r>
    </w:p>
  </w:footnote>
  <w:footnote w:id="115">
    <w:p w14:paraId="57F3494B" w14:textId="53936872" w:rsidR="00CB2B4E" w:rsidRPr="00D34116" w:rsidRDefault="00CB2B4E" w:rsidP="00D34116">
      <w:pPr>
        <w:pStyle w:val="FootnoteText"/>
        <w:jc w:val="both"/>
        <w:rPr>
          <w:rFonts w:ascii="Verdana" w:hAnsi="Verdana"/>
          <w:sz w:val="16"/>
          <w:szCs w:val="16"/>
        </w:rPr>
      </w:pPr>
      <w:r w:rsidRPr="00D34116">
        <w:rPr>
          <w:rStyle w:val="FootnoteReference"/>
          <w:rFonts w:ascii="Verdana" w:hAnsi="Verdana"/>
          <w:sz w:val="16"/>
          <w:szCs w:val="16"/>
        </w:rPr>
        <w:footnoteRef/>
      </w:r>
      <w:r w:rsidRPr="00D34116">
        <w:rPr>
          <w:rFonts w:ascii="Verdana" w:hAnsi="Verdana"/>
          <w:sz w:val="16"/>
          <w:szCs w:val="16"/>
        </w:rPr>
        <w:t xml:space="preserve"> </w:t>
      </w:r>
      <w:r w:rsidRPr="00D34116">
        <w:rPr>
          <w:rFonts w:ascii="Verdana" w:hAnsi="Verdana"/>
          <w:sz w:val="16"/>
          <w:szCs w:val="16"/>
        </w:rPr>
        <w:tab/>
        <w:t>Desde luego, este examen en la práctica requiere un análisis exhaustivo y pormenorizado de todas las circunstancias del caso. No es posible mostrarlo a cabalidad en abstracto. Aquí se realiza para efectos meramente ilustrativos.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17"/>
    <w:multiLevelType w:val="hybridMultilevel"/>
    <w:tmpl w:val="BCA0F320"/>
    <w:lvl w:ilvl="0" w:tplc="0C0A000F">
      <w:start w:val="7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82341A"/>
    <w:multiLevelType w:val="hybridMultilevel"/>
    <w:tmpl w:val="83D892BC"/>
    <w:lvl w:ilvl="0" w:tplc="A41083B8">
      <w:start w:val="1"/>
      <w:numFmt w:val="decimal"/>
      <w:lvlText w:val="%1."/>
      <w:lvlJc w:val="left"/>
      <w:pPr>
        <w:ind w:left="360" w:hanging="360"/>
      </w:pPr>
      <w:rPr>
        <w:rFonts w:ascii="Verdana" w:hAnsi="Verdana"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F12708"/>
    <w:multiLevelType w:val="hybridMultilevel"/>
    <w:tmpl w:val="48E27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2300E1"/>
    <w:multiLevelType w:val="multilevel"/>
    <w:tmpl w:val="377C1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B879B9"/>
    <w:multiLevelType w:val="hybridMultilevel"/>
    <w:tmpl w:val="F42E0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E23B5C"/>
    <w:multiLevelType w:val="hybridMultilevel"/>
    <w:tmpl w:val="F72CD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432366"/>
    <w:multiLevelType w:val="hybridMultilevel"/>
    <w:tmpl w:val="7BFCD5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4F0621"/>
    <w:multiLevelType w:val="hybridMultilevel"/>
    <w:tmpl w:val="65446486"/>
    <w:lvl w:ilvl="0" w:tplc="954CEE0A">
      <w:start w:val="1"/>
      <w:numFmt w:val="upperLetter"/>
      <w:pStyle w:val="Heading2"/>
      <w:lvlText w:val="%1."/>
      <w:lvlJc w:val="left"/>
      <w:pPr>
        <w:ind w:left="279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46E7BAC"/>
    <w:multiLevelType w:val="hybridMultilevel"/>
    <w:tmpl w:val="A8762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5D2118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5F96EA4"/>
    <w:multiLevelType w:val="hybridMultilevel"/>
    <w:tmpl w:val="B13E2F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6C4366B"/>
    <w:multiLevelType w:val="hybridMultilevel"/>
    <w:tmpl w:val="D82ED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4538A1"/>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6F473A24"/>
    <w:multiLevelType w:val="hybridMultilevel"/>
    <w:tmpl w:val="D0C21C1A"/>
    <w:lvl w:ilvl="0" w:tplc="0C0A000F">
      <w:start w:val="7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5">
    <w:nsid w:val="773E57E4"/>
    <w:multiLevelType w:val="hybridMultilevel"/>
    <w:tmpl w:val="34D8D4F8"/>
    <w:lvl w:ilvl="0" w:tplc="72242B7E">
      <w:start w:val="1"/>
      <w:numFmt w:val="decimal"/>
      <w:lvlText w:val="%1."/>
      <w:lvlJc w:val="left"/>
      <w:pPr>
        <w:ind w:left="720" w:hanging="360"/>
      </w:pPr>
      <w:rPr>
        <w:rFonts w:ascii="Verdana" w:hAnsi="Verdan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14"/>
  </w:num>
  <w:num w:numId="4">
    <w:abstractNumId w:val="4"/>
  </w:num>
  <w:num w:numId="5">
    <w:abstractNumId w:val="8"/>
  </w:num>
  <w:num w:numId="6">
    <w:abstractNumId w:val="5"/>
  </w:num>
  <w:num w:numId="7">
    <w:abstractNumId w:val="10"/>
  </w:num>
  <w:num w:numId="8">
    <w:abstractNumId w:val="11"/>
  </w:num>
  <w:num w:numId="9">
    <w:abstractNumId w:val="3"/>
  </w:num>
  <w:num w:numId="10">
    <w:abstractNumId w:val="15"/>
  </w:num>
  <w:num w:numId="11">
    <w:abstractNumId w:val="2"/>
  </w:num>
  <w:num w:numId="12">
    <w:abstractNumId w:val="13"/>
  </w:num>
  <w:num w:numId="13">
    <w:abstractNumId w:val="0"/>
  </w:num>
  <w:num w:numId="14">
    <w:abstractNumId w:val="7"/>
  </w:num>
  <w:num w:numId="15">
    <w:abstractNumId w:val="9"/>
  </w:num>
  <w:num w:numId="16">
    <w:abstractNumId w:val="12"/>
  </w:num>
  <w:num w:numId="17">
    <w:abstractNumId w:val="0"/>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B30"/>
    <w:rsid w:val="0000116A"/>
    <w:rsid w:val="00016DAD"/>
    <w:rsid w:val="000178DE"/>
    <w:rsid w:val="00025C2A"/>
    <w:rsid w:val="00026CBA"/>
    <w:rsid w:val="000273EF"/>
    <w:rsid w:val="00032265"/>
    <w:rsid w:val="000333A7"/>
    <w:rsid w:val="000346FF"/>
    <w:rsid w:val="00041BF1"/>
    <w:rsid w:val="000426B2"/>
    <w:rsid w:val="00042951"/>
    <w:rsid w:val="00043DFD"/>
    <w:rsid w:val="00044F34"/>
    <w:rsid w:val="00047F25"/>
    <w:rsid w:val="00056E83"/>
    <w:rsid w:val="00057280"/>
    <w:rsid w:val="00061532"/>
    <w:rsid w:val="000649FA"/>
    <w:rsid w:val="00066543"/>
    <w:rsid w:val="00067733"/>
    <w:rsid w:val="00070D41"/>
    <w:rsid w:val="00070EC2"/>
    <w:rsid w:val="000733B3"/>
    <w:rsid w:val="000766E9"/>
    <w:rsid w:val="00080D12"/>
    <w:rsid w:val="00081CE5"/>
    <w:rsid w:val="00084B5A"/>
    <w:rsid w:val="000901BB"/>
    <w:rsid w:val="00092C57"/>
    <w:rsid w:val="00093E13"/>
    <w:rsid w:val="000A171F"/>
    <w:rsid w:val="000A2E33"/>
    <w:rsid w:val="000A3110"/>
    <w:rsid w:val="000A709C"/>
    <w:rsid w:val="000B60B5"/>
    <w:rsid w:val="000B641F"/>
    <w:rsid w:val="000B6820"/>
    <w:rsid w:val="000C3665"/>
    <w:rsid w:val="000C4068"/>
    <w:rsid w:val="000D382A"/>
    <w:rsid w:val="000D7965"/>
    <w:rsid w:val="000E0250"/>
    <w:rsid w:val="000E1C5F"/>
    <w:rsid w:val="000E337A"/>
    <w:rsid w:val="000E6BD8"/>
    <w:rsid w:val="000E6C55"/>
    <w:rsid w:val="000E6EDD"/>
    <w:rsid w:val="000F1AE2"/>
    <w:rsid w:val="000F2C73"/>
    <w:rsid w:val="000F373D"/>
    <w:rsid w:val="000F623D"/>
    <w:rsid w:val="00101EAC"/>
    <w:rsid w:val="001033AE"/>
    <w:rsid w:val="00105617"/>
    <w:rsid w:val="00106986"/>
    <w:rsid w:val="001078C3"/>
    <w:rsid w:val="00111267"/>
    <w:rsid w:val="00113645"/>
    <w:rsid w:val="00116833"/>
    <w:rsid w:val="001275EE"/>
    <w:rsid w:val="00130E80"/>
    <w:rsid w:val="001322F1"/>
    <w:rsid w:val="001325FD"/>
    <w:rsid w:val="0013582E"/>
    <w:rsid w:val="0013611A"/>
    <w:rsid w:val="001373EB"/>
    <w:rsid w:val="00140544"/>
    <w:rsid w:val="001410E2"/>
    <w:rsid w:val="00143451"/>
    <w:rsid w:val="0014536B"/>
    <w:rsid w:val="00146737"/>
    <w:rsid w:val="0015593E"/>
    <w:rsid w:val="00155E36"/>
    <w:rsid w:val="00156886"/>
    <w:rsid w:val="0016217E"/>
    <w:rsid w:val="00172FB2"/>
    <w:rsid w:val="00174081"/>
    <w:rsid w:val="00182A72"/>
    <w:rsid w:val="001902C4"/>
    <w:rsid w:val="00194CA3"/>
    <w:rsid w:val="001A1E04"/>
    <w:rsid w:val="001B7828"/>
    <w:rsid w:val="001C2A76"/>
    <w:rsid w:val="001D1C55"/>
    <w:rsid w:val="001E0CBE"/>
    <w:rsid w:val="001E1440"/>
    <w:rsid w:val="001E68D4"/>
    <w:rsid w:val="001F19C3"/>
    <w:rsid w:val="001F24D8"/>
    <w:rsid w:val="00211919"/>
    <w:rsid w:val="00211CBB"/>
    <w:rsid w:val="00217663"/>
    <w:rsid w:val="00230923"/>
    <w:rsid w:val="002309C9"/>
    <w:rsid w:val="002311B0"/>
    <w:rsid w:val="00237A71"/>
    <w:rsid w:val="00237CEB"/>
    <w:rsid w:val="002422A3"/>
    <w:rsid w:val="00247038"/>
    <w:rsid w:val="00247F46"/>
    <w:rsid w:val="002500AC"/>
    <w:rsid w:val="0025055F"/>
    <w:rsid w:val="0025063E"/>
    <w:rsid w:val="00250D20"/>
    <w:rsid w:val="002528E8"/>
    <w:rsid w:val="00254178"/>
    <w:rsid w:val="002648A0"/>
    <w:rsid w:val="0026516F"/>
    <w:rsid w:val="00265BAC"/>
    <w:rsid w:val="0027682B"/>
    <w:rsid w:val="00277878"/>
    <w:rsid w:val="00277DCA"/>
    <w:rsid w:val="00282521"/>
    <w:rsid w:val="002A0927"/>
    <w:rsid w:val="002A7CB2"/>
    <w:rsid w:val="002B0AC6"/>
    <w:rsid w:val="002B2EAB"/>
    <w:rsid w:val="002B3520"/>
    <w:rsid w:val="002C65B6"/>
    <w:rsid w:val="002C70DC"/>
    <w:rsid w:val="002C77A6"/>
    <w:rsid w:val="002D0C3B"/>
    <w:rsid w:val="002D4B8E"/>
    <w:rsid w:val="002D6E06"/>
    <w:rsid w:val="002E695B"/>
    <w:rsid w:val="002E69A2"/>
    <w:rsid w:val="002F1A72"/>
    <w:rsid w:val="002F2315"/>
    <w:rsid w:val="002F41EE"/>
    <w:rsid w:val="002F60E4"/>
    <w:rsid w:val="0030311A"/>
    <w:rsid w:val="003074F8"/>
    <w:rsid w:val="00313174"/>
    <w:rsid w:val="00314281"/>
    <w:rsid w:val="00315187"/>
    <w:rsid w:val="00320C61"/>
    <w:rsid w:val="0032599F"/>
    <w:rsid w:val="00326146"/>
    <w:rsid w:val="00332ECD"/>
    <w:rsid w:val="003367D3"/>
    <w:rsid w:val="003406A5"/>
    <w:rsid w:val="00340DB8"/>
    <w:rsid w:val="00345CB6"/>
    <w:rsid w:val="00346B30"/>
    <w:rsid w:val="003511C2"/>
    <w:rsid w:val="0035322D"/>
    <w:rsid w:val="0036439A"/>
    <w:rsid w:val="00364BDF"/>
    <w:rsid w:val="003809A3"/>
    <w:rsid w:val="00384227"/>
    <w:rsid w:val="00385C66"/>
    <w:rsid w:val="0038600D"/>
    <w:rsid w:val="003862F6"/>
    <w:rsid w:val="003B091E"/>
    <w:rsid w:val="003C47FC"/>
    <w:rsid w:val="003C4D2A"/>
    <w:rsid w:val="003E385C"/>
    <w:rsid w:val="003E69A2"/>
    <w:rsid w:val="003E6BE1"/>
    <w:rsid w:val="003F0BDC"/>
    <w:rsid w:val="003F152D"/>
    <w:rsid w:val="003F27FE"/>
    <w:rsid w:val="003F4911"/>
    <w:rsid w:val="003F4CEA"/>
    <w:rsid w:val="004006D1"/>
    <w:rsid w:val="00401D81"/>
    <w:rsid w:val="00417F13"/>
    <w:rsid w:val="0042365C"/>
    <w:rsid w:val="00432075"/>
    <w:rsid w:val="00433005"/>
    <w:rsid w:val="00433141"/>
    <w:rsid w:val="00433D2A"/>
    <w:rsid w:val="00443B3B"/>
    <w:rsid w:val="004501C9"/>
    <w:rsid w:val="004511AA"/>
    <w:rsid w:val="00452477"/>
    <w:rsid w:val="004549DA"/>
    <w:rsid w:val="0045732C"/>
    <w:rsid w:val="00457AFB"/>
    <w:rsid w:val="00457CC3"/>
    <w:rsid w:val="00460547"/>
    <w:rsid w:val="0046200A"/>
    <w:rsid w:val="0046264B"/>
    <w:rsid w:val="00475FC7"/>
    <w:rsid w:val="00476FBF"/>
    <w:rsid w:val="00477238"/>
    <w:rsid w:val="00487115"/>
    <w:rsid w:val="0049101E"/>
    <w:rsid w:val="004933F2"/>
    <w:rsid w:val="0049406A"/>
    <w:rsid w:val="004B2D72"/>
    <w:rsid w:val="004B42A5"/>
    <w:rsid w:val="004C5481"/>
    <w:rsid w:val="004D49D4"/>
    <w:rsid w:val="004E1FBB"/>
    <w:rsid w:val="004E5792"/>
    <w:rsid w:val="004E788A"/>
    <w:rsid w:val="004E7A88"/>
    <w:rsid w:val="004E7E69"/>
    <w:rsid w:val="00500517"/>
    <w:rsid w:val="00503311"/>
    <w:rsid w:val="00503CA9"/>
    <w:rsid w:val="005060FC"/>
    <w:rsid w:val="005111DB"/>
    <w:rsid w:val="00512370"/>
    <w:rsid w:val="00512541"/>
    <w:rsid w:val="00520BB0"/>
    <w:rsid w:val="00522983"/>
    <w:rsid w:val="00525377"/>
    <w:rsid w:val="00526084"/>
    <w:rsid w:val="005348B7"/>
    <w:rsid w:val="00535DD8"/>
    <w:rsid w:val="00537741"/>
    <w:rsid w:val="00541C5A"/>
    <w:rsid w:val="00543594"/>
    <w:rsid w:val="00544B33"/>
    <w:rsid w:val="00552850"/>
    <w:rsid w:val="00556E44"/>
    <w:rsid w:val="00563027"/>
    <w:rsid w:val="00566373"/>
    <w:rsid w:val="005665D7"/>
    <w:rsid w:val="00567260"/>
    <w:rsid w:val="005675D2"/>
    <w:rsid w:val="005703F2"/>
    <w:rsid w:val="00572E41"/>
    <w:rsid w:val="00574660"/>
    <w:rsid w:val="00576010"/>
    <w:rsid w:val="00576E6B"/>
    <w:rsid w:val="00580D1E"/>
    <w:rsid w:val="00597B9C"/>
    <w:rsid w:val="005A0196"/>
    <w:rsid w:val="005A4DB8"/>
    <w:rsid w:val="005B0294"/>
    <w:rsid w:val="005B5FD7"/>
    <w:rsid w:val="005D5976"/>
    <w:rsid w:val="005D6360"/>
    <w:rsid w:val="005E1676"/>
    <w:rsid w:val="005E33B4"/>
    <w:rsid w:val="005E5804"/>
    <w:rsid w:val="005E5944"/>
    <w:rsid w:val="005F1032"/>
    <w:rsid w:val="00607A5B"/>
    <w:rsid w:val="00620304"/>
    <w:rsid w:val="00621C6E"/>
    <w:rsid w:val="0062434D"/>
    <w:rsid w:val="0062665D"/>
    <w:rsid w:val="00627E18"/>
    <w:rsid w:val="00635B60"/>
    <w:rsid w:val="0064148D"/>
    <w:rsid w:val="00644D39"/>
    <w:rsid w:val="00646006"/>
    <w:rsid w:val="00660B00"/>
    <w:rsid w:val="006648FF"/>
    <w:rsid w:val="00664902"/>
    <w:rsid w:val="00667C82"/>
    <w:rsid w:val="00670599"/>
    <w:rsid w:val="00672434"/>
    <w:rsid w:val="00673C0E"/>
    <w:rsid w:val="006767C7"/>
    <w:rsid w:val="00682E43"/>
    <w:rsid w:val="00694741"/>
    <w:rsid w:val="00695920"/>
    <w:rsid w:val="0069714A"/>
    <w:rsid w:val="006A03F7"/>
    <w:rsid w:val="006A6D3B"/>
    <w:rsid w:val="006B49A4"/>
    <w:rsid w:val="006B53A9"/>
    <w:rsid w:val="006B672E"/>
    <w:rsid w:val="006B7ADF"/>
    <w:rsid w:val="006C445C"/>
    <w:rsid w:val="006D10A5"/>
    <w:rsid w:val="006D7E47"/>
    <w:rsid w:val="006E248D"/>
    <w:rsid w:val="006E5EDB"/>
    <w:rsid w:val="00703AC3"/>
    <w:rsid w:val="00703DC6"/>
    <w:rsid w:val="00723CBD"/>
    <w:rsid w:val="00724EEC"/>
    <w:rsid w:val="007324F8"/>
    <w:rsid w:val="00733AD4"/>
    <w:rsid w:val="00734F7C"/>
    <w:rsid w:val="00737D16"/>
    <w:rsid w:val="007406B8"/>
    <w:rsid w:val="00741F96"/>
    <w:rsid w:val="00744F11"/>
    <w:rsid w:val="00746BE6"/>
    <w:rsid w:val="00753DDE"/>
    <w:rsid w:val="00760E18"/>
    <w:rsid w:val="00763A43"/>
    <w:rsid w:val="00767F71"/>
    <w:rsid w:val="0077427A"/>
    <w:rsid w:val="00774D5F"/>
    <w:rsid w:val="007824C4"/>
    <w:rsid w:val="00783DA1"/>
    <w:rsid w:val="00795B28"/>
    <w:rsid w:val="00795C82"/>
    <w:rsid w:val="007A45C9"/>
    <w:rsid w:val="007A50DF"/>
    <w:rsid w:val="007B0DE2"/>
    <w:rsid w:val="007B4185"/>
    <w:rsid w:val="007B77A9"/>
    <w:rsid w:val="007B7AE3"/>
    <w:rsid w:val="007C2B4A"/>
    <w:rsid w:val="007C5E77"/>
    <w:rsid w:val="007C64DB"/>
    <w:rsid w:val="007D7192"/>
    <w:rsid w:val="007E0DDF"/>
    <w:rsid w:val="007E2751"/>
    <w:rsid w:val="007E645E"/>
    <w:rsid w:val="007E7806"/>
    <w:rsid w:val="007F0D1A"/>
    <w:rsid w:val="007F2B5A"/>
    <w:rsid w:val="007F70D9"/>
    <w:rsid w:val="007F7B3D"/>
    <w:rsid w:val="00800F6F"/>
    <w:rsid w:val="00801C15"/>
    <w:rsid w:val="008045A2"/>
    <w:rsid w:val="00816A2E"/>
    <w:rsid w:val="008177E6"/>
    <w:rsid w:val="00817D73"/>
    <w:rsid w:val="00832265"/>
    <w:rsid w:val="008340D3"/>
    <w:rsid w:val="0084028A"/>
    <w:rsid w:val="0085005D"/>
    <w:rsid w:val="00854CCE"/>
    <w:rsid w:val="00854D51"/>
    <w:rsid w:val="0085524D"/>
    <w:rsid w:val="00856285"/>
    <w:rsid w:val="00856B94"/>
    <w:rsid w:val="00860EF2"/>
    <w:rsid w:val="008611F5"/>
    <w:rsid w:val="008641EB"/>
    <w:rsid w:val="0087064E"/>
    <w:rsid w:val="00884AA7"/>
    <w:rsid w:val="0088534D"/>
    <w:rsid w:val="00893F5C"/>
    <w:rsid w:val="008A4C54"/>
    <w:rsid w:val="008B3C8D"/>
    <w:rsid w:val="008C34EB"/>
    <w:rsid w:val="008C460C"/>
    <w:rsid w:val="008D1DDE"/>
    <w:rsid w:val="008D4AFE"/>
    <w:rsid w:val="008D6AED"/>
    <w:rsid w:val="008E1025"/>
    <w:rsid w:val="008F4E7D"/>
    <w:rsid w:val="0090524D"/>
    <w:rsid w:val="009064B5"/>
    <w:rsid w:val="00914A14"/>
    <w:rsid w:val="0091516F"/>
    <w:rsid w:val="00924598"/>
    <w:rsid w:val="00925719"/>
    <w:rsid w:val="00940646"/>
    <w:rsid w:val="00941750"/>
    <w:rsid w:val="00943194"/>
    <w:rsid w:val="0094414C"/>
    <w:rsid w:val="009473A1"/>
    <w:rsid w:val="00961472"/>
    <w:rsid w:val="00961EF7"/>
    <w:rsid w:val="009665CB"/>
    <w:rsid w:val="00973094"/>
    <w:rsid w:val="009816AE"/>
    <w:rsid w:val="00993381"/>
    <w:rsid w:val="00993470"/>
    <w:rsid w:val="00997A8E"/>
    <w:rsid w:val="009A6CFA"/>
    <w:rsid w:val="009A6F33"/>
    <w:rsid w:val="009B158F"/>
    <w:rsid w:val="009B3B2B"/>
    <w:rsid w:val="009B3C40"/>
    <w:rsid w:val="009C32C2"/>
    <w:rsid w:val="009D17E4"/>
    <w:rsid w:val="009D5132"/>
    <w:rsid w:val="009E3F13"/>
    <w:rsid w:val="009F2838"/>
    <w:rsid w:val="009F507E"/>
    <w:rsid w:val="009F5DBE"/>
    <w:rsid w:val="009F758F"/>
    <w:rsid w:val="00A01A24"/>
    <w:rsid w:val="00A02F1D"/>
    <w:rsid w:val="00A0371C"/>
    <w:rsid w:val="00A05864"/>
    <w:rsid w:val="00A0707F"/>
    <w:rsid w:val="00A079B3"/>
    <w:rsid w:val="00A107FA"/>
    <w:rsid w:val="00A13732"/>
    <w:rsid w:val="00A1459F"/>
    <w:rsid w:val="00A203CB"/>
    <w:rsid w:val="00A229E2"/>
    <w:rsid w:val="00A22A81"/>
    <w:rsid w:val="00A24C2B"/>
    <w:rsid w:val="00A27C75"/>
    <w:rsid w:val="00A342C5"/>
    <w:rsid w:val="00A3559F"/>
    <w:rsid w:val="00A35BAA"/>
    <w:rsid w:val="00A41D46"/>
    <w:rsid w:val="00A4352E"/>
    <w:rsid w:val="00A43DB9"/>
    <w:rsid w:val="00A44BAF"/>
    <w:rsid w:val="00A52352"/>
    <w:rsid w:val="00A523FE"/>
    <w:rsid w:val="00A535F0"/>
    <w:rsid w:val="00A5368D"/>
    <w:rsid w:val="00A53820"/>
    <w:rsid w:val="00A57104"/>
    <w:rsid w:val="00A57D5A"/>
    <w:rsid w:val="00A60C23"/>
    <w:rsid w:val="00A60CAD"/>
    <w:rsid w:val="00A6585F"/>
    <w:rsid w:val="00A73EBE"/>
    <w:rsid w:val="00A83A36"/>
    <w:rsid w:val="00A86B89"/>
    <w:rsid w:val="00A87A23"/>
    <w:rsid w:val="00A9436C"/>
    <w:rsid w:val="00A97122"/>
    <w:rsid w:val="00AA2CF7"/>
    <w:rsid w:val="00AB09E6"/>
    <w:rsid w:val="00AB5C84"/>
    <w:rsid w:val="00AC4703"/>
    <w:rsid w:val="00AD5EE9"/>
    <w:rsid w:val="00AE02CC"/>
    <w:rsid w:val="00AE22E5"/>
    <w:rsid w:val="00AE4234"/>
    <w:rsid w:val="00AE6CCE"/>
    <w:rsid w:val="00B043DB"/>
    <w:rsid w:val="00B063F5"/>
    <w:rsid w:val="00B069A4"/>
    <w:rsid w:val="00B079A0"/>
    <w:rsid w:val="00B11FA1"/>
    <w:rsid w:val="00B12262"/>
    <w:rsid w:val="00B15F96"/>
    <w:rsid w:val="00B17219"/>
    <w:rsid w:val="00B174B6"/>
    <w:rsid w:val="00B20035"/>
    <w:rsid w:val="00B20D4D"/>
    <w:rsid w:val="00B24799"/>
    <w:rsid w:val="00B25BE9"/>
    <w:rsid w:val="00B2742B"/>
    <w:rsid w:val="00B317C1"/>
    <w:rsid w:val="00B3331E"/>
    <w:rsid w:val="00B33EE6"/>
    <w:rsid w:val="00B344F0"/>
    <w:rsid w:val="00B37BE8"/>
    <w:rsid w:val="00B4146F"/>
    <w:rsid w:val="00B50148"/>
    <w:rsid w:val="00B506C0"/>
    <w:rsid w:val="00B51890"/>
    <w:rsid w:val="00B522A0"/>
    <w:rsid w:val="00B53D9A"/>
    <w:rsid w:val="00B55C19"/>
    <w:rsid w:val="00B64FB0"/>
    <w:rsid w:val="00B67B35"/>
    <w:rsid w:val="00B765FB"/>
    <w:rsid w:val="00B81517"/>
    <w:rsid w:val="00B81DA8"/>
    <w:rsid w:val="00B81E64"/>
    <w:rsid w:val="00B8742C"/>
    <w:rsid w:val="00B87BA1"/>
    <w:rsid w:val="00B87E7F"/>
    <w:rsid w:val="00BA6B8D"/>
    <w:rsid w:val="00BA7CF7"/>
    <w:rsid w:val="00BB0834"/>
    <w:rsid w:val="00BB4B69"/>
    <w:rsid w:val="00BB6942"/>
    <w:rsid w:val="00BB79B3"/>
    <w:rsid w:val="00BC04CC"/>
    <w:rsid w:val="00BC40AB"/>
    <w:rsid w:val="00BD0B45"/>
    <w:rsid w:val="00BD48BD"/>
    <w:rsid w:val="00BD4E7C"/>
    <w:rsid w:val="00BD5A81"/>
    <w:rsid w:val="00BF32D1"/>
    <w:rsid w:val="00BF597E"/>
    <w:rsid w:val="00C01F4F"/>
    <w:rsid w:val="00C04F6F"/>
    <w:rsid w:val="00C172A4"/>
    <w:rsid w:val="00C17436"/>
    <w:rsid w:val="00C26260"/>
    <w:rsid w:val="00C2776F"/>
    <w:rsid w:val="00C307F0"/>
    <w:rsid w:val="00C31CF0"/>
    <w:rsid w:val="00C40AEA"/>
    <w:rsid w:val="00C43A00"/>
    <w:rsid w:val="00C461B8"/>
    <w:rsid w:val="00C47813"/>
    <w:rsid w:val="00C50208"/>
    <w:rsid w:val="00C52989"/>
    <w:rsid w:val="00C53398"/>
    <w:rsid w:val="00C61205"/>
    <w:rsid w:val="00C62AC2"/>
    <w:rsid w:val="00C63A2B"/>
    <w:rsid w:val="00C70BDC"/>
    <w:rsid w:val="00C73CB8"/>
    <w:rsid w:val="00C763B1"/>
    <w:rsid w:val="00C84A6F"/>
    <w:rsid w:val="00C85C66"/>
    <w:rsid w:val="00C9442F"/>
    <w:rsid w:val="00C9475F"/>
    <w:rsid w:val="00C9559B"/>
    <w:rsid w:val="00C97D6B"/>
    <w:rsid w:val="00CA2664"/>
    <w:rsid w:val="00CA4519"/>
    <w:rsid w:val="00CB08B4"/>
    <w:rsid w:val="00CB2B4E"/>
    <w:rsid w:val="00CB6B71"/>
    <w:rsid w:val="00CC2EE0"/>
    <w:rsid w:val="00CC54F2"/>
    <w:rsid w:val="00CD1364"/>
    <w:rsid w:val="00CD3F78"/>
    <w:rsid w:val="00CD5A01"/>
    <w:rsid w:val="00CE28E7"/>
    <w:rsid w:val="00CE7068"/>
    <w:rsid w:val="00CF05EB"/>
    <w:rsid w:val="00CF3A73"/>
    <w:rsid w:val="00D016C0"/>
    <w:rsid w:val="00D133EC"/>
    <w:rsid w:val="00D16A3F"/>
    <w:rsid w:val="00D170FD"/>
    <w:rsid w:val="00D21CD1"/>
    <w:rsid w:val="00D24AA2"/>
    <w:rsid w:val="00D276A1"/>
    <w:rsid w:val="00D30F44"/>
    <w:rsid w:val="00D32407"/>
    <w:rsid w:val="00D337E8"/>
    <w:rsid w:val="00D33B25"/>
    <w:rsid w:val="00D34116"/>
    <w:rsid w:val="00D35811"/>
    <w:rsid w:val="00D4262C"/>
    <w:rsid w:val="00D43714"/>
    <w:rsid w:val="00D46B79"/>
    <w:rsid w:val="00D4738B"/>
    <w:rsid w:val="00D55C1B"/>
    <w:rsid w:val="00D56CB2"/>
    <w:rsid w:val="00D57457"/>
    <w:rsid w:val="00D803E8"/>
    <w:rsid w:val="00D806A7"/>
    <w:rsid w:val="00D85C40"/>
    <w:rsid w:val="00D90036"/>
    <w:rsid w:val="00D9250A"/>
    <w:rsid w:val="00D951DC"/>
    <w:rsid w:val="00DA6F86"/>
    <w:rsid w:val="00DA73C4"/>
    <w:rsid w:val="00DB3817"/>
    <w:rsid w:val="00DB53BE"/>
    <w:rsid w:val="00DC0D32"/>
    <w:rsid w:val="00DC0DE6"/>
    <w:rsid w:val="00DD6028"/>
    <w:rsid w:val="00DE21BA"/>
    <w:rsid w:val="00DE46EB"/>
    <w:rsid w:val="00DE7F0D"/>
    <w:rsid w:val="00DF019F"/>
    <w:rsid w:val="00DF0691"/>
    <w:rsid w:val="00DF3C5F"/>
    <w:rsid w:val="00E00A2B"/>
    <w:rsid w:val="00E0154C"/>
    <w:rsid w:val="00E0692D"/>
    <w:rsid w:val="00E06C76"/>
    <w:rsid w:val="00E07E96"/>
    <w:rsid w:val="00E24AC4"/>
    <w:rsid w:val="00E27C55"/>
    <w:rsid w:val="00E33783"/>
    <w:rsid w:val="00E37324"/>
    <w:rsid w:val="00E41CEE"/>
    <w:rsid w:val="00E42230"/>
    <w:rsid w:val="00E446DF"/>
    <w:rsid w:val="00E44FDA"/>
    <w:rsid w:val="00E46983"/>
    <w:rsid w:val="00E47FB3"/>
    <w:rsid w:val="00E554CD"/>
    <w:rsid w:val="00E70D9C"/>
    <w:rsid w:val="00E75B83"/>
    <w:rsid w:val="00E76B08"/>
    <w:rsid w:val="00E915BA"/>
    <w:rsid w:val="00E944CD"/>
    <w:rsid w:val="00EA3889"/>
    <w:rsid w:val="00EA52D0"/>
    <w:rsid w:val="00EA7B88"/>
    <w:rsid w:val="00EB0D7B"/>
    <w:rsid w:val="00EB34A1"/>
    <w:rsid w:val="00EB5937"/>
    <w:rsid w:val="00EB721F"/>
    <w:rsid w:val="00EC459E"/>
    <w:rsid w:val="00EC717D"/>
    <w:rsid w:val="00ED0390"/>
    <w:rsid w:val="00ED18EC"/>
    <w:rsid w:val="00EE1B6B"/>
    <w:rsid w:val="00EE3206"/>
    <w:rsid w:val="00EE74FB"/>
    <w:rsid w:val="00EE7E12"/>
    <w:rsid w:val="00EF2636"/>
    <w:rsid w:val="00EF7E9C"/>
    <w:rsid w:val="00F06D98"/>
    <w:rsid w:val="00F0723A"/>
    <w:rsid w:val="00F1301A"/>
    <w:rsid w:val="00F13482"/>
    <w:rsid w:val="00F13FDE"/>
    <w:rsid w:val="00F158D8"/>
    <w:rsid w:val="00F1755B"/>
    <w:rsid w:val="00F20D29"/>
    <w:rsid w:val="00F24351"/>
    <w:rsid w:val="00F2448E"/>
    <w:rsid w:val="00F2526E"/>
    <w:rsid w:val="00F25CA0"/>
    <w:rsid w:val="00F35F35"/>
    <w:rsid w:val="00F416F0"/>
    <w:rsid w:val="00F443B0"/>
    <w:rsid w:val="00F544C6"/>
    <w:rsid w:val="00F637FB"/>
    <w:rsid w:val="00F63A8B"/>
    <w:rsid w:val="00F6538E"/>
    <w:rsid w:val="00F65875"/>
    <w:rsid w:val="00F6750B"/>
    <w:rsid w:val="00F75574"/>
    <w:rsid w:val="00F762D6"/>
    <w:rsid w:val="00F76866"/>
    <w:rsid w:val="00F77516"/>
    <w:rsid w:val="00F81718"/>
    <w:rsid w:val="00F8539F"/>
    <w:rsid w:val="00F85A89"/>
    <w:rsid w:val="00F9056A"/>
    <w:rsid w:val="00FC7C46"/>
    <w:rsid w:val="00FD0438"/>
    <w:rsid w:val="00FD1931"/>
    <w:rsid w:val="00FD2112"/>
    <w:rsid w:val="00FD3E72"/>
    <w:rsid w:val="00FD435D"/>
    <w:rsid w:val="00FD70B5"/>
    <w:rsid w:val="00FD788D"/>
    <w:rsid w:val="00FE0A8C"/>
    <w:rsid w:val="00FE762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218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2">
    <w:name w:val="heading 2"/>
    <w:basedOn w:val="Normal"/>
    <w:next w:val="Normal"/>
    <w:link w:val="Heading2Char"/>
    <w:uiPriority w:val="9"/>
    <w:qFormat/>
    <w:rsid w:val="000E6EDD"/>
    <w:pPr>
      <w:keepNext/>
      <w:keepLines/>
      <w:numPr>
        <w:numId w:val="14"/>
      </w:numPr>
      <w:spacing w:before="60" w:after="60"/>
      <w:jc w:val="both"/>
      <w:outlineLvl w:val="1"/>
    </w:pPr>
    <w:rPr>
      <w:rFonts w:ascii="Verdana" w:eastAsia="Times New Roman" w:hAnsi="Verdana" w:cs="Times New Roman"/>
      <w:b/>
      <w:bCs/>
      <w:i/>
      <w:noProof/>
      <w:sz w:val="20"/>
      <w:szCs w:val="20"/>
      <w:lang w:eastAsia="en-US"/>
    </w:rPr>
  </w:style>
  <w:style w:type="paragraph" w:styleId="Heading3">
    <w:name w:val="heading 3"/>
    <w:basedOn w:val="Normal"/>
    <w:next w:val="Normal"/>
    <w:link w:val="Heading3Char"/>
    <w:uiPriority w:val="9"/>
    <w:semiHidden/>
    <w:unhideWhenUsed/>
    <w:qFormat/>
    <w:rsid w:val="00AB09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30"/>
    <w:pPr>
      <w:ind w:left="720"/>
      <w:contextualSpacing/>
    </w:pPr>
  </w:style>
  <w:style w:type="paragraph" w:styleId="NormalWeb">
    <w:name w:val="Normal (Web)"/>
    <w:basedOn w:val="Normal"/>
    <w:uiPriority w:val="99"/>
    <w:unhideWhenUsed/>
    <w:rsid w:val="007F0D1A"/>
    <w:pPr>
      <w:spacing w:before="100" w:beforeAutospacing="1" w:after="100" w:afterAutospacing="1"/>
    </w:pPr>
    <w:rPr>
      <w:rFonts w:ascii="Times" w:hAnsi="Times" w:cs="Times New Roman"/>
      <w:sz w:val="20"/>
      <w:szCs w:val="20"/>
      <w:lang w:val="es-MX"/>
    </w:rPr>
  </w:style>
  <w:style w:type="character" w:styleId="CommentReference">
    <w:name w:val="annotation reference"/>
    <w:basedOn w:val="DefaultParagraphFont"/>
    <w:uiPriority w:val="99"/>
    <w:semiHidden/>
    <w:unhideWhenUsed/>
    <w:rsid w:val="00576010"/>
    <w:rPr>
      <w:sz w:val="18"/>
      <w:szCs w:val="18"/>
    </w:rPr>
  </w:style>
  <w:style w:type="paragraph" w:styleId="CommentText">
    <w:name w:val="annotation text"/>
    <w:basedOn w:val="Normal"/>
    <w:link w:val="CommentTextChar"/>
    <w:uiPriority w:val="99"/>
    <w:semiHidden/>
    <w:unhideWhenUsed/>
    <w:rsid w:val="00576010"/>
  </w:style>
  <w:style w:type="character" w:customStyle="1" w:styleId="CommentTextChar">
    <w:name w:val="Comment Text Char"/>
    <w:basedOn w:val="DefaultParagraphFont"/>
    <w:link w:val="CommentText"/>
    <w:uiPriority w:val="99"/>
    <w:semiHidden/>
    <w:rsid w:val="00576010"/>
    <w:rPr>
      <w:lang w:val="es-ES_tradnl"/>
    </w:rPr>
  </w:style>
  <w:style w:type="paragraph" w:styleId="CommentSubject">
    <w:name w:val="annotation subject"/>
    <w:basedOn w:val="CommentText"/>
    <w:next w:val="CommentText"/>
    <w:link w:val="CommentSubjectChar"/>
    <w:uiPriority w:val="99"/>
    <w:semiHidden/>
    <w:unhideWhenUsed/>
    <w:rsid w:val="00576010"/>
    <w:rPr>
      <w:b/>
      <w:bCs/>
      <w:sz w:val="20"/>
      <w:szCs w:val="20"/>
    </w:rPr>
  </w:style>
  <w:style w:type="character" w:customStyle="1" w:styleId="CommentSubjectChar">
    <w:name w:val="Comment Subject Char"/>
    <w:basedOn w:val="CommentTextChar"/>
    <w:link w:val="CommentSubject"/>
    <w:uiPriority w:val="99"/>
    <w:semiHidden/>
    <w:rsid w:val="00576010"/>
    <w:rPr>
      <w:b/>
      <w:bCs/>
      <w:sz w:val="20"/>
      <w:szCs w:val="20"/>
      <w:lang w:val="es-ES_tradnl"/>
    </w:rPr>
  </w:style>
  <w:style w:type="paragraph" w:styleId="BalloonText">
    <w:name w:val="Balloon Text"/>
    <w:basedOn w:val="Normal"/>
    <w:link w:val="BalloonTextChar"/>
    <w:uiPriority w:val="99"/>
    <w:semiHidden/>
    <w:unhideWhenUsed/>
    <w:rsid w:val="00576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010"/>
    <w:rPr>
      <w:rFonts w:ascii="Lucida Grande" w:hAnsi="Lucida Grande" w:cs="Lucida Grande"/>
      <w:sz w:val="18"/>
      <w:szCs w:val="18"/>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Footnote Text Char Char,Ca,C"/>
    <w:basedOn w:val="Normal"/>
    <w:link w:val="FootnoteTextChar"/>
    <w:unhideWhenUsed/>
    <w:qFormat/>
    <w:rsid w:val="004933F2"/>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link w:val="FootnoteText"/>
    <w:rsid w:val="004933F2"/>
    <w:rPr>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4933F2"/>
    <w:rPr>
      <w:vertAlign w:val="superscript"/>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rsid w:val="001078C3"/>
    <w:rPr>
      <w:rFonts w:ascii="Verdana" w:eastAsia="Batang" w:hAnsi="Verdana" w:cs="Times"/>
      <w:noProof/>
      <w:sz w:val="16"/>
      <w:szCs w:val="20"/>
      <w:lang w:val="es-ES_tradnl"/>
    </w:rPr>
  </w:style>
  <w:style w:type="character" w:styleId="Strong">
    <w:name w:val="Strong"/>
    <w:uiPriority w:val="22"/>
    <w:qFormat/>
    <w:rsid w:val="001078C3"/>
    <w:rPr>
      <w:b/>
      <w:bCs/>
    </w:rPr>
  </w:style>
  <w:style w:type="paragraph" w:styleId="Header">
    <w:name w:val="header"/>
    <w:basedOn w:val="Normal"/>
    <w:link w:val="HeaderChar"/>
    <w:uiPriority w:val="99"/>
    <w:unhideWhenUsed/>
    <w:rsid w:val="000F1AE2"/>
    <w:pPr>
      <w:tabs>
        <w:tab w:val="center" w:pos="4419"/>
        <w:tab w:val="right" w:pos="8838"/>
      </w:tabs>
      <w:jc w:val="both"/>
    </w:pPr>
    <w:rPr>
      <w:rFonts w:ascii="Verdana" w:eastAsia="Batang" w:hAnsi="Verdana" w:cs="Times"/>
      <w:sz w:val="20"/>
      <w:lang w:eastAsia="en-US"/>
    </w:rPr>
  </w:style>
  <w:style w:type="character" w:customStyle="1" w:styleId="HeaderChar">
    <w:name w:val="Header Char"/>
    <w:basedOn w:val="DefaultParagraphFont"/>
    <w:link w:val="Header"/>
    <w:uiPriority w:val="99"/>
    <w:rsid w:val="000F1AE2"/>
    <w:rPr>
      <w:rFonts w:ascii="Verdana" w:eastAsia="Batang" w:hAnsi="Verdana" w:cs="Times"/>
      <w:noProof/>
      <w:sz w:val="20"/>
      <w:lang w:val="es-ES_tradnl" w:eastAsia="en-US"/>
    </w:rPr>
  </w:style>
  <w:style w:type="paragraph" w:styleId="Footer">
    <w:name w:val="footer"/>
    <w:basedOn w:val="Normal"/>
    <w:link w:val="FooterChar"/>
    <w:uiPriority w:val="99"/>
    <w:unhideWhenUsed/>
    <w:rsid w:val="00B25BE9"/>
    <w:pPr>
      <w:tabs>
        <w:tab w:val="center" w:pos="4252"/>
        <w:tab w:val="right" w:pos="8504"/>
      </w:tabs>
    </w:pPr>
  </w:style>
  <w:style w:type="character" w:customStyle="1" w:styleId="FooterChar">
    <w:name w:val="Footer Char"/>
    <w:basedOn w:val="DefaultParagraphFont"/>
    <w:link w:val="Footer"/>
    <w:uiPriority w:val="99"/>
    <w:rsid w:val="00B25BE9"/>
    <w:rPr>
      <w:lang w:val="es-ES_tradnl"/>
    </w:rPr>
  </w:style>
  <w:style w:type="character" w:styleId="PageNumber">
    <w:name w:val="page number"/>
    <w:basedOn w:val="DefaultParagraphFont"/>
    <w:uiPriority w:val="99"/>
    <w:semiHidden/>
    <w:unhideWhenUsed/>
    <w:rsid w:val="00B25BE9"/>
  </w:style>
  <w:style w:type="character" w:styleId="Hyperlink">
    <w:name w:val="Hyperlink"/>
    <w:basedOn w:val="DefaultParagraphFont"/>
    <w:uiPriority w:val="99"/>
    <w:unhideWhenUsed/>
    <w:rsid w:val="00111267"/>
    <w:rPr>
      <w:color w:val="0000FF" w:themeColor="hyperlink"/>
      <w:u w:val="single"/>
    </w:rPr>
  </w:style>
  <w:style w:type="paragraph" w:styleId="Revision">
    <w:name w:val="Revision"/>
    <w:hidden/>
    <w:uiPriority w:val="99"/>
    <w:semiHidden/>
    <w:rsid w:val="00DC0D32"/>
    <w:rPr>
      <w:lang w:val="es-ES_tradnl"/>
    </w:rPr>
  </w:style>
  <w:style w:type="character" w:customStyle="1" w:styleId="Heading2Char">
    <w:name w:val="Heading 2 Char"/>
    <w:basedOn w:val="DefaultParagraphFont"/>
    <w:link w:val="Heading2"/>
    <w:uiPriority w:val="9"/>
    <w:rsid w:val="000E6EDD"/>
    <w:rPr>
      <w:rFonts w:ascii="Verdana" w:eastAsia="Times New Roman" w:hAnsi="Verdana" w:cs="Times New Roman"/>
      <w:b/>
      <w:bCs/>
      <w:i/>
      <w:noProof/>
      <w:sz w:val="20"/>
      <w:szCs w:val="20"/>
      <w:lang w:val="es-ES_tradnl" w:eastAsia="en-US"/>
    </w:rPr>
  </w:style>
  <w:style w:type="character" w:customStyle="1" w:styleId="Heading3Char">
    <w:name w:val="Heading 3 Char"/>
    <w:basedOn w:val="DefaultParagraphFont"/>
    <w:link w:val="Heading3"/>
    <w:uiPriority w:val="9"/>
    <w:semiHidden/>
    <w:rsid w:val="00AB09E6"/>
    <w:rPr>
      <w:rFonts w:asciiTheme="majorHAnsi" w:eastAsiaTheme="majorEastAsia" w:hAnsiTheme="majorHAnsi" w:cstheme="majorBidi"/>
      <w:color w:val="243F60" w:themeColor="accent1" w:themeShade="7F"/>
      <w:lang w:val="es-ES_tradnl"/>
    </w:rPr>
  </w:style>
  <w:style w:type="character" w:styleId="FollowedHyperlink">
    <w:name w:val="FollowedHyperlink"/>
    <w:basedOn w:val="DefaultParagraphFont"/>
    <w:uiPriority w:val="99"/>
    <w:semiHidden/>
    <w:unhideWhenUsed/>
    <w:rsid w:val="00C612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2">
    <w:name w:val="heading 2"/>
    <w:basedOn w:val="Normal"/>
    <w:next w:val="Normal"/>
    <w:link w:val="Heading2Char"/>
    <w:uiPriority w:val="9"/>
    <w:qFormat/>
    <w:rsid w:val="000E6EDD"/>
    <w:pPr>
      <w:keepNext/>
      <w:keepLines/>
      <w:numPr>
        <w:numId w:val="14"/>
      </w:numPr>
      <w:spacing w:before="60" w:after="60"/>
      <w:jc w:val="both"/>
      <w:outlineLvl w:val="1"/>
    </w:pPr>
    <w:rPr>
      <w:rFonts w:ascii="Verdana" w:eastAsia="Times New Roman" w:hAnsi="Verdana" w:cs="Times New Roman"/>
      <w:b/>
      <w:bCs/>
      <w:i/>
      <w:noProof/>
      <w:sz w:val="20"/>
      <w:szCs w:val="20"/>
      <w:lang w:eastAsia="en-US"/>
    </w:rPr>
  </w:style>
  <w:style w:type="paragraph" w:styleId="Heading3">
    <w:name w:val="heading 3"/>
    <w:basedOn w:val="Normal"/>
    <w:next w:val="Normal"/>
    <w:link w:val="Heading3Char"/>
    <w:uiPriority w:val="9"/>
    <w:semiHidden/>
    <w:unhideWhenUsed/>
    <w:qFormat/>
    <w:rsid w:val="00AB09E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30"/>
    <w:pPr>
      <w:ind w:left="720"/>
      <w:contextualSpacing/>
    </w:pPr>
  </w:style>
  <w:style w:type="paragraph" w:styleId="NormalWeb">
    <w:name w:val="Normal (Web)"/>
    <w:basedOn w:val="Normal"/>
    <w:uiPriority w:val="99"/>
    <w:unhideWhenUsed/>
    <w:rsid w:val="007F0D1A"/>
    <w:pPr>
      <w:spacing w:before="100" w:beforeAutospacing="1" w:after="100" w:afterAutospacing="1"/>
    </w:pPr>
    <w:rPr>
      <w:rFonts w:ascii="Times" w:hAnsi="Times" w:cs="Times New Roman"/>
      <w:sz w:val="20"/>
      <w:szCs w:val="20"/>
      <w:lang w:val="es-MX"/>
    </w:rPr>
  </w:style>
  <w:style w:type="character" w:styleId="CommentReference">
    <w:name w:val="annotation reference"/>
    <w:basedOn w:val="DefaultParagraphFont"/>
    <w:uiPriority w:val="99"/>
    <w:semiHidden/>
    <w:unhideWhenUsed/>
    <w:rsid w:val="00576010"/>
    <w:rPr>
      <w:sz w:val="18"/>
      <w:szCs w:val="18"/>
    </w:rPr>
  </w:style>
  <w:style w:type="paragraph" w:styleId="CommentText">
    <w:name w:val="annotation text"/>
    <w:basedOn w:val="Normal"/>
    <w:link w:val="CommentTextChar"/>
    <w:uiPriority w:val="99"/>
    <w:semiHidden/>
    <w:unhideWhenUsed/>
    <w:rsid w:val="00576010"/>
  </w:style>
  <w:style w:type="character" w:customStyle="1" w:styleId="CommentTextChar">
    <w:name w:val="Comment Text Char"/>
    <w:basedOn w:val="DefaultParagraphFont"/>
    <w:link w:val="CommentText"/>
    <w:uiPriority w:val="99"/>
    <w:semiHidden/>
    <w:rsid w:val="00576010"/>
    <w:rPr>
      <w:lang w:val="es-ES_tradnl"/>
    </w:rPr>
  </w:style>
  <w:style w:type="paragraph" w:styleId="CommentSubject">
    <w:name w:val="annotation subject"/>
    <w:basedOn w:val="CommentText"/>
    <w:next w:val="CommentText"/>
    <w:link w:val="CommentSubjectChar"/>
    <w:uiPriority w:val="99"/>
    <w:semiHidden/>
    <w:unhideWhenUsed/>
    <w:rsid w:val="00576010"/>
    <w:rPr>
      <w:b/>
      <w:bCs/>
      <w:sz w:val="20"/>
      <w:szCs w:val="20"/>
    </w:rPr>
  </w:style>
  <w:style w:type="character" w:customStyle="1" w:styleId="CommentSubjectChar">
    <w:name w:val="Comment Subject Char"/>
    <w:basedOn w:val="CommentTextChar"/>
    <w:link w:val="CommentSubject"/>
    <w:uiPriority w:val="99"/>
    <w:semiHidden/>
    <w:rsid w:val="00576010"/>
    <w:rPr>
      <w:b/>
      <w:bCs/>
      <w:sz w:val="20"/>
      <w:szCs w:val="20"/>
      <w:lang w:val="es-ES_tradnl"/>
    </w:rPr>
  </w:style>
  <w:style w:type="paragraph" w:styleId="BalloonText">
    <w:name w:val="Balloon Text"/>
    <w:basedOn w:val="Normal"/>
    <w:link w:val="BalloonTextChar"/>
    <w:uiPriority w:val="99"/>
    <w:semiHidden/>
    <w:unhideWhenUsed/>
    <w:rsid w:val="005760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010"/>
    <w:rPr>
      <w:rFonts w:ascii="Lucida Grande" w:hAnsi="Lucida Grande" w:cs="Lucida Grande"/>
      <w:sz w:val="18"/>
      <w:szCs w:val="18"/>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Footnote Text Char Char,Ca,C"/>
    <w:basedOn w:val="Normal"/>
    <w:link w:val="FootnoteTextChar"/>
    <w:unhideWhenUsed/>
    <w:qFormat/>
    <w:rsid w:val="004933F2"/>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link w:val="FootnoteText"/>
    <w:rsid w:val="004933F2"/>
    <w:rPr>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uiPriority w:val="99"/>
    <w:unhideWhenUsed/>
    <w:qFormat/>
    <w:rsid w:val="004933F2"/>
    <w:rPr>
      <w:vertAlign w:val="superscript"/>
    </w:rPr>
  </w:style>
  <w:style w:type="character" w:customStyle="1" w:styleId="TextonotapieCar1">
    <w:name w:val="Texto nota pie Car1"/>
    <w:aliases w:val="2. Footnote Text Car,Footnote Tesina Car,FA Fu Car,Footnote Text Char Char Char Char Char Car,Footnote Text Char Char Char Char Car,Footnote reference Car,Footnote Text Char Char Char Car,Footnote Text Cha Car,FA Fußnotentext Car"/>
    <w:rsid w:val="001078C3"/>
    <w:rPr>
      <w:rFonts w:ascii="Verdana" w:eastAsia="Batang" w:hAnsi="Verdana" w:cs="Times"/>
      <w:noProof/>
      <w:sz w:val="16"/>
      <w:szCs w:val="20"/>
      <w:lang w:val="es-ES_tradnl"/>
    </w:rPr>
  </w:style>
  <w:style w:type="character" w:styleId="Strong">
    <w:name w:val="Strong"/>
    <w:uiPriority w:val="22"/>
    <w:qFormat/>
    <w:rsid w:val="001078C3"/>
    <w:rPr>
      <w:b/>
      <w:bCs/>
    </w:rPr>
  </w:style>
  <w:style w:type="paragraph" w:styleId="Header">
    <w:name w:val="header"/>
    <w:basedOn w:val="Normal"/>
    <w:link w:val="HeaderChar"/>
    <w:uiPriority w:val="99"/>
    <w:unhideWhenUsed/>
    <w:rsid w:val="000F1AE2"/>
    <w:pPr>
      <w:tabs>
        <w:tab w:val="center" w:pos="4419"/>
        <w:tab w:val="right" w:pos="8838"/>
      </w:tabs>
      <w:jc w:val="both"/>
    </w:pPr>
    <w:rPr>
      <w:rFonts w:ascii="Verdana" w:eastAsia="Batang" w:hAnsi="Verdana" w:cs="Times"/>
      <w:sz w:val="20"/>
      <w:lang w:eastAsia="en-US"/>
    </w:rPr>
  </w:style>
  <w:style w:type="character" w:customStyle="1" w:styleId="HeaderChar">
    <w:name w:val="Header Char"/>
    <w:basedOn w:val="DefaultParagraphFont"/>
    <w:link w:val="Header"/>
    <w:uiPriority w:val="99"/>
    <w:rsid w:val="000F1AE2"/>
    <w:rPr>
      <w:rFonts w:ascii="Verdana" w:eastAsia="Batang" w:hAnsi="Verdana" w:cs="Times"/>
      <w:noProof/>
      <w:sz w:val="20"/>
      <w:lang w:val="es-ES_tradnl" w:eastAsia="en-US"/>
    </w:rPr>
  </w:style>
  <w:style w:type="paragraph" w:styleId="Footer">
    <w:name w:val="footer"/>
    <w:basedOn w:val="Normal"/>
    <w:link w:val="FooterChar"/>
    <w:uiPriority w:val="99"/>
    <w:unhideWhenUsed/>
    <w:rsid w:val="00B25BE9"/>
    <w:pPr>
      <w:tabs>
        <w:tab w:val="center" w:pos="4252"/>
        <w:tab w:val="right" w:pos="8504"/>
      </w:tabs>
    </w:pPr>
  </w:style>
  <w:style w:type="character" w:customStyle="1" w:styleId="FooterChar">
    <w:name w:val="Footer Char"/>
    <w:basedOn w:val="DefaultParagraphFont"/>
    <w:link w:val="Footer"/>
    <w:uiPriority w:val="99"/>
    <w:rsid w:val="00B25BE9"/>
    <w:rPr>
      <w:lang w:val="es-ES_tradnl"/>
    </w:rPr>
  </w:style>
  <w:style w:type="character" w:styleId="PageNumber">
    <w:name w:val="page number"/>
    <w:basedOn w:val="DefaultParagraphFont"/>
    <w:uiPriority w:val="99"/>
    <w:semiHidden/>
    <w:unhideWhenUsed/>
    <w:rsid w:val="00B25BE9"/>
  </w:style>
  <w:style w:type="character" w:styleId="Hyperlink">
    <w:name w:val="Hyperlink"/>
    <w:basedOn w:val="DefaultParagraphFont"/>
    <w:uiPriority w:val="99"/>
    <w:unhideWhenUsed/>
    <w:rsid w:val="00111267"/>
    <w:rPr>
      <w:color w:val="0000FF" w:themeColor="hyperlink"/>
      <w:u w:val="single"/>
    </w:rPr>
  </w:style>
  <w:style w:type="paragraph" w:styleId="Revision">
    <w:name w:val="Revision"/>
    <w:hidden/>
    <w:uiPriority w:val="99"/>
    <w:semiHidden/>
    <w:rsid w:val="00DC0D32"/>
    <w:rPr>
      <w:lang w:val="es-ES_tradnl"/>
    </w:rPr>
  </w:style>
  <w:style w:type="character" w:customStyle="1" w:styleId="Heading2Char">
    <w:name w:val="Heading 2 Char"/>
    <w:basedOn w:val="DefaultParagraphFont"/>
    <w:link w:val="Heading2"/>
    <w:uiPriority w:val="9"/>
    <w:rsid w:val="000E6EDD"/>
    <w:rPr>
      <w:rFonts w:ascii="Verdana" w:eastAsia="Times New Roman" w:hAnsi="Verdana" w:cs="Times New Roman"/>
      <w:b/>
      <w:bCs/>
      <w:i/>
      <w:noProof/>
      <w:sz w:val="20"/>
      <w:szCs w:val="20"/>
      <w:lang w:val="es-ES_tradnl" w:eastAsia="en-US"/>
    </w:rPr>
  </w:style>
  <w:style w:type="character" w:customStyle="1" w:styleId="Heading3Char">
    <w:name w:val="Heading 3 Char"/>
    <w:basedOn w:val="DefaultParagraphFont"/>
    <w:link w:val="Heading3"/>
    <w:uiPriority w:val="9"/>
    <w:semiHidden/>
    <w:rsid w:val="00AB09E6"/>
    <w:rPr>
      <w:rFonts w:asciiTheme="majorHAnsi" w:eastAsiaTheme="majorEastAsia" w:hAnsiTheme="majorHAnsi" w:cstheme="majorBidi"/>
      <w:color w:val="243F60" w:themeColor="accent1" w:themeShade="7F"/>
      <w:lang w:val="es-ES_tradnl"/>
    </w:rPr>
  </w:style>
  <w:style w:type="character" w:styleId="FollowedHyperlink">
    <w:name w:val="FollowedHyperlink"/>
    <w:basedOn w:val="DefaultParagraphFont"/>
    <w:uiPriority w:val="99"/>
    <w:semiHidden/>
    <w:unhideWhenUsed/>
    <w:rsid w:val="00C612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5726">
      <w:bodyDiv w:val="1"/>
      <w:marLeft w:val="0"/>
      <w:marRight w:val="0"/>
      <w:marTop w:val="0"/>
      <w:marBottom w:val="0"/>
      <w:divBdr>
        <w:top w:val="none" w:sz="0" w:space="0" w:color="auto"/>
        <w:left w:val="none" w:sz="0" w:space="0" w:color="auto"/>
        <w:bottom w:val="none" w:sz="0" w:space="0" w:color="auto"/>
        <w:right w:val="none" w:sz="0" w:space="0" w:color="auto"/>
      </w:divBdr>
      <w:divsChild>
        <w:div w:id="522671844">
          <w:marLeft w:val="0"/>
          <w:marRight w:val="0"/>
          <w:marTop w:val="0"/>
          <w:marBottom w:val="0"/>
          <w:divBdr>
            <w:top w:val="none" w:sz="0" w:space="0" w:color="auto"/>
            <w:left w:val="none" w:sz="0" w:space="0" w:color="auto"/>
            <w:bottom w:val="none" w:sz="0" w:space="0" w:color="auto"/>
            <w:right w:val="none" w:sz="0" w:space="0" w:color="auto"/>
          </w:divBdr>
          <w:divsChild>
            <w:div w:id="853035217">
              <w:marLeft w:val="0"/>
              <w:marRight w:val="0"/>
              <w:marTop w:val="0"/>
              <w:marBottom w:val="0"/>
              <w:divBdr>
                <w:top w:val="none" w:sz="0" w:space="0" w:color="auto"/>
                <w:left w:val="none" w:sz="0" w:space="0" w:color="auto"/>
                <w:bottom w:val="none" w:sz="0" w:space="0" w:color="auto"/>
                <w:right w:val="none" w:sz="0" w:space="0" w:color="auto"/>
              </w:divBdr>
              <w:divsChild>
                <w:div w:id="13273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8667">
      <w:bodyDiv w:val="1"/>
      <w:marLeft w:val="0"/>
      <w:marRight w:val="0"/>
      <w:marTop w:val="0"/>
      <w:marBottom w:val="0"/>
      <w:divBdr>
        <w:top w:val="none" w:sz="0" w:space="0" w:color="auto"/>
        <w:left w:val="none" w:sz="0" w:space="0" w:color="auto"/>
        <w:bottom w:val="none" w:sz="0" w:space="0" w:color="auto"/>
        <w:right w:val="none" w:sz="0" w:space="0" w:color="auto"/>
      </w:divBdr>
      <w:divsChild>
        <w:div w:id="1655643095">
          <w:marLeft w:val="0"/>
          <w:marRight w:val="0"/>
          <w:marTop w:val="0"/>
          <w:marBottom w:val="0"/>
          <w:divBdr>
            <w:top w:val="none" w:sz="0" w:space="0" w:color="auto"/>
            <w:left w:val="none" w:sz="0" w:space="0" w:color="auto"/>
            <w:bottom w:val="none" w:sz="0" w:space="0" w:color="auto"/>
            <w:right w:val="none" w:sz="0" w:space="0" w:color="auto"/>
          </w:divBdr>
          <w:divsChild>
            <w:div w:id="1794051866">
              <w:marLeft w:val="0"/>
              <w:marRight w:val="0"/>
              <w:marTop w:val="0"/>
              <w:marBottom w:val="0"/>
              <w:divBdr>
                <w:top w:val="none" w:sz="0" w:space="0" w:color="auto"/>
                <w:left w:val="none" w:sz="0" w:space="0" w:color="auto"/>
                <w:bottom w:val="none" w:sz="0" w:space="0" w:color="auto"/>
                <w:right w:val="none" w:sz="0" w:space="0" w:color="auto"/>
              </w:divBdr>
              <w:divsChild>
                <w:div w:id="1849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3349">
      <w:bodyDiv w:val="1"/>
      <w:marLeft w:val="0"/>
      <w:marRight w:val="0"/>
      <w:marTop w:val="0"/>
      <w:marBottom w:val="0"/>
      <w:divBdr>
        <w:top w:val="none" w:sz="0" w:space="0" w:color="auto"/>
        <w:left w:val="none" w:sz="0" w:space="0" w:color="auto"/>
        <w:bottom w:val="none" w:sz="0" w:space="0" w:color="auto"/>
        <w:right w:val="none" w:sz="0" w:space="0" w:color="auto"/>
      </w:divBdr>
      <w:divsChild>
        <w:div w:id="590550685">
          <w:marLeft w:val="0"/>
          <w:marRight w:val="0"/>
          <w:marTop w:val="0"/>
          <w:marBottom w:val="0"/>
          <w:divBdr>
            <w:top w:val="none" w:sz="0" w:space="0" w:color="auto"/>
            <w:left w:val="none" w:sz="0" w:space="0" w:color="auto"/>
            <w:bottom w:val="none" w:sz="0" w:space="0" w:color="auto"/>
            <w:right w:val="none" w:sz="0" w:space="0" w:color="auto"/>
          </w:divBdr>
          <w:divsChild>
            <w:div w:id="121272806">
              <w:marLeft w:val="0"/>
              <w:marRight w:val="0"/>
              <w:marTop w:val="0"/>
              <w:marBottom w:val="0"/>
              <w:divBdr>
                <w:top w:val="none" w:sz="0" w:space="0" w:color="auto"/>
                <w:left w:val="none" w:sz="0" w:space="0" w:color="auto"/>
                <w:bottom w:val="none" w:sz="0" w:space="0" w:color="auto"/>
                <w:right w:val="none" w:sz="0" w:space="0" w:color="auto"/>
              </w:divBdr>
              <w:divsChild>
                <w:div w:id="9561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8562">
      <w:bodyDiv w:val="1"/>
      <w:marLeft w:val="0"/>
      <w:marRight w:val="0"/>
      <w:marTop w:val="0"/>
      <w:marBottom w:val="0"/>
      <w:divBdr>
        <w:top w:val="none" w:sz="0" w:space="0" w:color="auto"/>
        <w:left w:val="none" w:sz="0" w:space="0" w:color="auto"/>
        <w:bottom w:val="none" w:sz="0" w:space="0" w:color="auto"/>
        <w:right w:val="none" w:sz="0" w:space="0" w:color="auto"/>
      </w:divBdr>
      <w:divsChild>
        <w:div w:id="1811168965">
          <w:marLeft w:val="0"/>
          <w:marRight w:val="0"/>
          <w:marTop w:val="0"/>
          <w:marBottom w:val="0"/>
          <w:divBdr>
            <w:top w:val="none" w:sz="0" w:space="0" w:color="auto"/>
            <w:left w:val="none" w:sz="0" w:space="0" w:color="auto"/>
            <w:bottom w:val="none" w:sz="0" w:space="0" w:color="auto"/>
            <w:right w:val="none" w:sz="0" w:space="0" w:color="auto"/>
          </w:divBdr>
          <w:divsChild>
            <w:div w:id="1407338464">
              <w:marLeft w:val="0"/>
              <w:marRight w:val="0"/>
              <w:marTop w:val="0"/>
              <w:marBottom w:val="0"/>
              <w:divBdr>
                <w:top w:val="none" w:sz="0" w:space="0" w:color="auto"/>
                <w:left w:val="none" w:sz="0" w:space="0" w:color="auto"/>
                <w:bottom w:val="none" w:sz="0" w:space="0" w:color="auto"/>
                <w:right w:val="none" w:sz="0" w:space="0" w:color="auto"/>
              </w:divBdr>
              <w:divsChild>
                <w:div w:id="7302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78938">
      <w:bodyDiv w:val="1"/>
      <w:marLeft w:val="0"/>
      <w:marRight w:val="0"/>
      <w:marTop w:val="0"/>
      <w:marBottom w:val="0"/>
      <w:divBdr>
        <w:top w:val="none" w:sz="0" w:space="0" w:color="auto"/>
        <w:left w:val="none" w:sz="0" w:space="0" w:color="auto"/>
        <w:bottom w:val="none" w:sz="0" w:space="0" w:color="auto"/>
        <w:right w:val="none" w:sz="0" w:space="0" w:color="auto"/>
      </w:divBdr>
      <w:divsChild>
        <w:div w:id="787316018">
          <w:marLeft w:val="0"/>
          <w:marRight w:val="0"/>
          <w:marTop w:val="0"/>
          <w:marBottom w:val="0"/>
          <w:divBdr>
            <w:top w:val="none" w:sz="0" w:space="0" w:color="auto"/>
            <w:left w:val="none" w:sz="0" w:space="0" w:color="auto"/>
            <w:bottom w:val="none" w:sz="0" w:space="0" w:color="auto"/>
            <w:right w:val="none" w:sz="0" w:space="0" w:color="auto"/>
          </w:divBdr>
          <w:divsChild>
            <w:div w:id="1231497560">
              <w:marLeft w:val="0"/>
              <w:marRight w:val="0"/>
              <w:marTop w:val="0"/>
              <w:marBottom w:val="0"/>
              <w:divBdr>
                <w:top w:val="none" w:sz="0" w:space="0" w:color="auto"/>
                <w:left w:val="none" w:sz="0" w:space="0" w:color="auto"/>
                <w:bottom w:val="none" w:sz="0" w:space="0" w:color="auto"/>
                <w:right w:val="none" w:sz="0" w:space="0" w:color="auto"/>
              </w:divBdr>
              <w:divsChild>
                <w:div w:id="105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87252">
      <w:bodyDiv w:val="1"/>
      <w:marLeft w:val="0"/>
      <w:marRight w:val="0"/>
      <w:marTop w:val="0"/>
      <w:marBottom w:val="0"/>
      <w:divBdr>
        <w:top w:val="none" w:sz="0" w:space="0" w:color="auto"/>
        <w:left w:val="none" w:sz="0" w:space="0" w:color="auto"/>
        <w:bottom w:val="none" w:sz="0" w:space="0" w:color="auto"/>
        <w:right w:val="none" w:sz="0" w:space="0" w:color="auto"/>
      </w:divBdr>
      <w:divsChild>
        <w:div w:id="1715151421">
          <w:marLeft w:val="0"/>
          <w:marRight w:val="0"/>
          <w:marTop w:val="0"/>
          <w:marBottom w:val="0"/>
          <w:divBdr>
            <w:top w:val="none" w:sz="0" w:space="0" w:color="auto"/>
            <w:left w:val="none" w:sz="0" w:space="0" w:color="auto"/>
            <w:bottom w:val="none" w:sz="0" w:space="0" w:color="auto"/>
            <w:right w:val="none" w:sz="0" w:space="0" w:color="auto"/>
          </w:divBdr>
          <w:divsChild>
            <w:div w:id="1979456897">
              <w:marLeft w:val="0"/>
              <w:marRight w:val="0"/>
              <w:marTop w:val="0"/>
              <w:marBottom w:val="0"/>
              <w:divBdr>
                <w:top w:val="none" w:sz="0" w:space="0" w:color="auto"/>
                <w:left w:val="none" w:sz="0" w:space="0" w:color="auto"/>
                <w:bottom w:val="none" w:sz="0" w:space="0" w:color="auto"/>
                <w:right w:val="none" w:sz="0" w:space="0" w:color="auto"/>
              </w:divBdr>
              <w:divsChild>
                <w:div w:id="1757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3341">
      <w:bodyDiv w:val="1"/>
      <w:marLeft w:val="0"/>
      <w:marRight w:val="0"/>
      <w:marTop w:val="0"/>
      <w:marBottom w:val="0"/>
      <w:divBdr>
        <w:top w:val="none" w:sz="0" w:space="0" w:color="auto"/>
        <w:left w:val="none" w:sz="0" w:space="0" w:color="auto"/>
        <w:bottom w:val="none" w:sz="0" w:space="0" w:color="auto"/>
        <w:right w:val="none" w:sz="0" w:space="0" w:color="auto"/>
      </w:divBdr>
      <w:divsChild>
        <w:div w:id="709259716">
          <w:marLeft w:val="0"/>
          <w:marRight w:val="0"/>
          <w:marTop w:val="0"/>
          <w:marBottom w:val="0"/>
          <w:divBdr>
            <w:top w:val="none" w:sz="0" w:space="0" w:color="auto"/>
            <w:left w:val="none" w:sz="0" w:space="0" w:color="auto"/>
            <w:bottom w:val="none" w:sz="0" w:space="0" w:color="auto"/>
            <w:right w:val="none" w:sz="0" w:space="0" w:color="auto"/>
          </w:divBdr>
          <w:divsChild>
            <w:div w:id="1522207963">
              <w:marLeft w:val="0"/>
              <w:marRight w:val="0"/>
              <w:marTop w:val="0"/>
              <w:marBottom w:val="0"/>
              <w:divBdr>
                <w:top w:val="none" w:sz="0" w:space="0" w:color="auto"/>
                <w:left w:val="none" w:sz="0" w:space="0" w:color="auto"/>
                <w:bottom w:val="none" w:sz="0" w:space="0" w:color="auto"/>
                <w:right w:val="none" w:sz="0" w:space="0" w:color="auto"/>
              </w:divBdr>
              <w:divsChild>
                <w:div w:id="3374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59930">
      <w:bodyDiv w:val="1"/>
      <w:marLeft w:val="0"/>
      <w:marRight w:val="0"/>
      <w:marTop w:val="0"/>
      <w:marBottom w:val="0"/>
      <w:divBdr>
        <w:top w:val="none" w:sz="0" w:space="0" w:color="auto"/>
        <w:left w:val="none" w:sz="0" w:space="0" w:color="auto"/>
        <w:bottom w:val="none" w:sz="0" w:space="0" w:color="auto"/>
        <w:right w:val="none" w:sz="0" w:space="0" w:color="auto"/>
      </w:divBdr>
      <w:divsChild>
        <w:div w:id="1587836333">
          <w:marLeft w:val="0"/>
          <w:marRight w:val="0"/>
          <w:marTop w:val="0"/>
          <w:marBottom w:val="0"/>
          <w:divBdr>
            <w:top w:val="none" w:sz="0" w:space="0" w:color="auto"/>
            <w:left w:val="none" w:sz="0" w:space="0" w:color="auto"/>
            <w:bottom w:val="none" w:sz="0" w:space="0" w:color="auto"/>
            <w:right w:val="none" w:sz="0" w:space="0" w:color="auto"/>
          </w:divBdr>
          <w:divsChild>
            <w:div w:id="1259173289">
              <w:marLeft w:val="0"/>
              <w:marRight w:val="0"/>
              <w:marTop w:val="0"/>
              <w:marBottom w:val="0"/>
              <w:divBdr>
                <w:top w:val="none" w:sz="0" w:space="0" w:color="auto"/>
                <w:left w:val="none" w:sz="0" w:space="0" w:color="auto"/>
                <w:bottom w:val="none" w:sz="0" w:space="0" w:color="auto"/>
                <w:right w:val="none" w:sz="0" w:space="0" w:color="auto"/>
              </w:divBdr>
              <w:divsChild>
                <w:div w:id="1364599389">
                  <w:marLeft w:val="0"/>
                  <w:marRight w:val="0"/>
                  <w:marTop w:val="0"/>
                  <w:marBottom w:val="0"/>
                  <w:divBdr>
                    <w:top w:val="none" w:sz="0" w:space="0" w:color="auto"/>
                    <w:left w:val="none" w:sz="0" w:space="0" w:color="auto"/>
                    <w:bottom w:val="none" w:sz="0" w:space="0" w:color="auto"/>
                    <w:right w:val="none" w:sz="0" w:space="0" w:color="auto"/>
                  </w:divBdr>
                </w:div>
              </w:divsChild>
            </w:div>
            <w:div w:id="1424499127">
              <w:marLeft w:val="0"/>
              <w:marRight w:val="0"/>
              <w:marTop w:val="0"/>
              <w:marBottom w:val="0"/>
              <w:divBdr>
                <w:top w:val="none" w:sz="0" w:space="0" w:color="auto"/>
                <w:left w:val="none" w:sz="0" w:space="0" w:color="auto"/>
                <w:bottom w:val="none" w:sz="0" w:space="0" w:color="auto"/>
                <w:right w:val="none" w:sz="0" w:space="0" w:color="auto"/>
              </w:divBdr>
              <w:divsChild>
                <w:div w:id="88046142">
                  <w:marLeft w:val="0"/>
                  <w:marRight w:val="0"/>
                  <w:marTop w:val="0"/>
                  <w:marBottom w:val="0"/>
                  <w:divBdr>
                    <w:top w:val="none" w:sz="0" w:space="0" w:color="auto"/>
                    <w:left w:val="none" w:sz="0" w:space="0" w:color="auto"/>
                    <w:bottom w:val="none" w:sz="0" w:space="0" w:color="auto"/>
                    <w:right w:val="none" w:sz="0" w:space="0" w:color="auto"/>
                  </w:divBdr>
                </w:div>
              </w:divsChild>
            </w:div>
            <w:div w:id="509754458">
              <w:marLeft w:val="0"/>
              <w:marRight w:val="0"/>
              <w:marTop w:val="0"/>
              <w:marBottom w:val="0"/>
              <w:divBdr>
                <w:top w:val="none" w:sz="0" w:space="0" w:color="auto"/>
                <w:left w:val="none" w:sz="0" w:space="0" w:color="auto"/>
                <w:bottom w:val="none" w:sz="0" w:space="0" w:color="auto"/>
                <w:right w:val="none" w:sz="0" w:space="0" w:color="auto"/>
              </w:divBdr>
              <w:divsChild>
                <w:div w:id="20190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1790">
      <w:bodyDiv w:val="1"/>
      <w:marLeft w:val="0"/>
      <w:marRight w:val="0"/>
      <w:marTop w:val="0"/>
      <w:marBottom w:val="0"/>
      <w:divBdr>
        <w:top w:val="none" w:sz="0" w:space="0" w:color="auto"/>
        <w:left w:val="none" w:sz="0" w:space="0" w:color="auto"/>
        <w:bottom w:val="none" w:sz="0" w:space="0" w:color="auto"/>
        <w:right w:val="none" w:sz="0" w:space="0" w:color="auto"/>
      </w:divBdr>
      <w:divsChild>
        <w:div w:id="2122993383">
          <w:marLeft w:val="0"/>
          <w:marRight w:val="0"/>
          <w:marTop w:val="0"/>
          <w:marBottom w:val="0"/>
          <w:divBdr>
            <w:top w:val="none" w:sz="0" w:space="0" w:color="auto"/>
            <w:left w:val="none" w:sz="0" w:space="0" w:color="auto"/>
            <w:bottom w:val="none" w:sz="0" w:space="0" w:color="auto"/>
            <w:right w:val="none" w:sz="0" w:space="0" w:color="auto"/>
          </w:divBdr>
          <w:divsChild>
            <w:div w:id="1970554444">
              <w:marLeft w:val="0"/>
              <w:marRight w:val="0"/>
              <w:marTop w:val="0"/>
              <w:marBottom w:val="0"/>
              <w:divBdr>
                <w:top w:val="none" w:sz="0" w:space="0" w:color="auto"/>
                <w:left w:val="none" w:sz="0" w:space="0" w:color="auto"/>
                <w:bottom w:val="none" w:sz="0" w:space="0" w:color="auto"/>
                <w:right w:val="none" w:sz="0" w:space="0" w:color="auto"/>
              </w:divBdr>
              <w:divsChild>
                <w:div w:id="18567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6584">
      <w:bodyDiv w:val="1"/>
      <w:marLeft w:val="0"/>
      <w:marRight w:val="0"/>
      <w:marTop w:val="0"/>
      <w:marBottom w:val="0"/>
      <w:divBdr>
        <w:top w:val="none" w:sz="0" w:space="0" w:color="auto"/>
        <w:left w:val="none" w:sz="0" w:space="0" w:color="auto"/>
        <w:bottom w:val="none" w:sz="0" w:space="0" w:color="auto"/>
        <w:right w:val="none" w:sz="0" w:space="0" w:color="auto"/>
      </w:divBdr>
      <w:divsChild>
        <w:div w:id="740325295">
          <w:marLeft w:val="0"/>
          <w:marRight w:val="0"/>
          <w:marTop w:val="0"/>
          <w:marBottom w:val="0"/>
          <w:divBdr>
            <w:top w:val="none" w:sz="0" w:space="0" w:color="auto"/>
            <w:left w:val="none" w:sz="0" w:space="0" w:color="auto"/>
            <w:bottom w:val="none" w:sz="0" w:space="0" w:color="auto"/>
            <w:right w:val="none" w:sz="0" w:space="0" w:color="auto"/>
          </w:divBdr>
          <w:divsChild>
            <w:div w:id="310402689">
              <w:marLeft w:val="0"/>
              <w:marRight w:val="0"/>
              <w:marTop w:val="0"/>
              <w:marBottom w:val="0"/>
              <w:divBdr>
                <w:top w:val="none" w:sz="0" w:space="0" w:color="auto"/>
                <w:left w:val="none" w:sz="0" w:space="0" w:color="auto"/>
                <w:bottom w:val="none" w:sz="0" w:space="0" w:color="auto"/>
                <w:right w:val="none" w:sz="0" w:space="0" w:color="auto"/>
              </w:divBdr>
              <w:divsChild>
                <w:div w:id="20572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6866">
      <w:bodyDiv w:val="1"/>
      <w:marLeft w:val="0"/>
      <w:marRight w:val="0"/>
      <w:marTop w:val="0"/>
      <w:marBottom w:val="0"/>
      <w:divBdr>
        <w:top w:val="none" w:sz="0" w:space="0" w:color="auto"/>
        <w:left w:val="none" w:sz="0" w:space="0" w:color="auto"/>
        <w:bottom w:val="none" w:sz="0" w:space="0" w:color="auto"/>
        <w:right w:val="none" w:sz="0" w:space="0" w:color="auto"/>
      </w:divBdr>
      <w:divsChild>
        <w:div w:id="805047785">
          <w:marLeft w:val="0"/>
          <w:marRight w:val="0"/>
          <w:marTop w:val="0"/>
          <w:marBottom w:val="0"/>
          <w:divBdr>
            <w:top w:val="none" w:sz="0" w:space="0" w:color="auto"/>
            <w:left w:val="none" w:sz="0" w:space="0" w:color="auto"/>
            <w:bottom w:val="none" w:sz="0" w:space="0" w:color="auto"/>
            <w:right w:val="none" w:sz="0" w:space="0" w:color="auto"/>
          </w:divBdr>
          <w:divsChild>
            <w:div w:id="745998656">
              <w:marLeft w:val="0"/>
              <w:marRight w:val="0"/>
              <w:marTop w:val="0"/>
              <w:marBottom w:val="0"/>
              <w:divBdr>
                <w:top w:val="none" w:sz="0" w:space="0" w:color="auto"/>
                <w:left w:val="none" w:sz="0" w:space="0" w:color="auto"/>
                <w:bottom w:val="none" w:sz="0" w:space="0" w:color="auto"/>
                <w:right w:val="none" w:sz="0" w:space="0" w:color="auto"/>
              </w:divBdr>
              <w:divsChild>
                <w:div w:id="1780954630">
                  <w:marLeft w:val="0"/>
                  <w:marRight w:val="0"/>
                  <w:marTop w:val="0"/>
                  <w:marBottom w:val="0"/>
                  <w:divBdr>
                    <w:top w:val="none" w:sz="0" w:space="0" w:color="auto"/>
                    <w:left w:val="none" w:sz="0" w:space="0" w:color="auto"/>
                    <w:bottom w:val="none" w:sz="0" w:space="0" w:color="auto"/>
                    <w:right w:val="none" w:sz="0" w:space="0" w:color="auto"/>
                  </w:divBdr>
                </w:div>
              </w:divsChild>
            </w:div>
            <w:div w:id="1970434956">
              <w:marLeft w:val="0"/>
              <w:marRight w:val="0"/>
              <w:marTop w:val="0"/>
              <w:marBottom w:val="0"/>
              <w:divBdr>
                <w:top w:val="none" w:sz="0" w:space="0" w:color="auto"/>
                <w:left w:val="none" w:sz="0" w:space="0" w:color="auto"/>
                <w:bottom w:val="none" w:sz="0" w:space="0" w:color="auto"/>
                <w:right w:val="none" w:sz="0" w:space="0" w:color="auto"/>
              </w:divBdr>
              <w:divsChild>
                <w:div w:id="1526796259">
                  <w:marLeft w:val="0"/>
                  <w:marRight w:val="0"/>
                  <w:marTop w:val="0"/>
                  <w:marBottom w:val="0"/>
                  <w:divBdr>
                    <w:top w:val="none" w:sz="0" w:space="0" w:color="auto"/>
                    <w:left w:val="none" w:sz="0" w:space="0" w:color="auto"/>
                    <w:bottom w:val="none" w:sz="0" w:space="0" w:color="auto"/>
                    <w:right w:val="none" w:sz="0" w:space="0" w:color="auto"/>
                  </w:divBdr>
                </w:div>
              </w:divsChild>
            </w:div>
            <w:div w:id="1457062726">
              <w:marLeft w:val="0"/>
              <w:marRight w:val="0"/>
              <w:marTop w:val="0"/>
              <w:marBottom w:val="0"/>
              <w:divBdr>
                <w:top w:val="none" w:sz="0" w:space="0" w:color="auto"/>
                <w:left w:val="none" w:sz="0" w:space="0" w:color="auto"/>
                <w:bottom w:val="none" w:sz="0" w:space="0" w:color="auto"/>
                <w:right w:val="none" w:sz="0" w:space="0" w:color="auto"/>
              </w:divBdr>
              <w:divsChild>
                <w:div w:id="19589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937">
      <w:bodyDiv w:val="1"/>
      <w:marLeft w:val="0"/>
      <w:marRight w:val="0"/>
      <w:marTop w:val="0"/>
      <w:marBottom w:val="0"/>
      <w:divBdr>
        <w:top w:val="none" w:sz="0" w:space="0" w:color="auto"/>
        <w:left w:val="none" w:sz="0" w:space="0" w:color="auto"/>
        <w:bottom w:val="none" w:sz="0" w:space="0" w:color="auto"/>
        <w:right w:val="none" w:sz="0" w:space="0" w:color="auto"/>
      </w:divBdr>
      <w:divsChild>
        <w:div w:id="1588004001">
          <w:marLeft w:val="0"/>
          <w:marRight w:val="0"/>
          <w:marTop w:val="0"/>
          <w:marBottom w:val="0"/>
          <w:divBdr>
            <w:top w:val="none" w:sz="0" w:space="0" w:color="auto"/>
            <w:left w:val="none" w:sz="0" w:space="0" w:color="auto"/>
            <w:bottom w:val="none" w:sz="0" w:space="0" w:color="auto"/>
            <w:right w:val="none" w:sz="0" w:space="0" w:color="auto"/>
          </w:divBdr>
          <w:divsChild>
            <w:div w:id="280039301">
              <w:marLeft w:val="0"/>
              <w:marRight w:val="0"/>
              <w:marTop w:val="0"/>
              <w:marBottom w:val="0"/>
              <w:divBdr>
                <w:top w:val="none" w:sz="0" w:space="0" w:color="auto"/>
                <w:left w:val="none" w:sz="0" w:space="0" w:color="auto"/>
                <w:bottom w:val="none" w:sz="0" w:space="0" w:color="auto"/>
                <w:right w:val="none" w:sz="0" w:space="0" w:color="auto"/>
              </w:divBdr>
              <w:divsChild>
                <w:div w:id="3423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4776">
      <w:bodyDiv w:val="1"/>
      <w:marLeft w:val="0"/>
      <w:marRight w:val="0"/>
      <w:marTop w:val="0"/>
      <w:marBottom w:val="0"/>
      <w:divBdr>
        <w:top w:val="none" w:sz="0" w:space="0" w:color="auto"/>
        <w:left w:val="none" w:sz="0" w:space="0" w:color="auto"/>
        <w:bottom w:val="none" w:sz="0" w:space="0" w:color="auto"/>
        <w:right w:val="none" w:sz="0" w:space="0" w:color="auto"/>
      </w:divBdr>
      <w:divsChild>
        <w:div w:id="1806270240">
          <w:marLeft w:val="0"/>
          <w:marRight w:val="0"/>
          <w:marTop w:val="0"/>
          <w:marBottom w:val="0"/>
          <w:divBdr>
            <w:top w:val="none" w:sz="0" w:space="0" w:color="auto"/>
            <w:left w:val="none" w:sz="0" w:space="0" w:color="auto"/>
            <w:bottom w:val="none" w:sz="0" w:space="0" w:color="auto"/>
            <w:right w:val="none" w:sz="0" w:space="0" w:color="auto"/>
          </w:divBdr>
          <w:divsChild>
            <w:div w:id="982537935">
              <w:marLeft w:val="0"/>
              <w:marRight w:val="0"/>
              <w:marTop w:val="0"/>
              <w:marBottom w:val="0"/>
              <w:divBdr>
                <w:top w:val="none" w:sz="0" w:space="0" w:color="auto"/>
                <w:left w:val="none" w:sz="0" w:space="0" w:color="auto"/>
                <w:bottom w:val="none" w:sz="0" w:space="0" w:color="auto"/>
                <w:right w:val="none" w:sz="0" w:space="0" w:color="auto"/>
              </w:divBdr>
              <w:divsChild>
                <w:div w:id="6552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9237">
      <w:bodyDiv w:val="1"/>
      <w:marLeft w:val="0"/>
      <w:marRight w:val="0"/>
      <w:marTop w:val="0"/>
      <w:marBottom w:val="0"/>
      <w:divBdr>
        <w:top w:val="none" w:sz="0" w:space="0" w:color="auto"/>
        <w:left w:val="none" w:sz="0" w:space="0" w:color="auto"/>
        <w:bottom w:val="none" w:sz="0" w:space="0" w:color="auto"/>
        <w:right w:val="none" w:sz="0" w:space="0" w:color="auto"/>
      </w:divBdr>
      <w:divsChild>
        <w:div w:id="265122051">
          <w:marLeft w:val="0"/>
          <w:marRight w:val="0"/>
          <w:marTop w:val="0"/>
          <w:marBottom w:val="0"/>
          <w:divBdr>
            <w:top w:val="none" w:sz="0" w:space="0" w:color="auto"/>
            <w:left w:val="none" w:sz="0" w:space="0" w:color="auto"/>
            <w:bottom w:val="none" w:sz="0" w:space="0" w:color="auto"/>
            <w:right w:val="none" w:sz="0" w:space="0" w:color="auto"/>
          </w:divBdr>
          <w:divsChild>
            <w:div w:id="840969119">
              <w:marLeft w:val="0"/>
              <w:marRight w:val="0"/>
              <w:marTop w:val="0"/>
              <w:marBottom w:val="0"/>
              <w:divBdr>
                <w:top w:val="none" w:sz="0" w:space="0" w:color="auto"/>
                <w:left w:val="none" w:sz="0" w:space="0" w:color="auto"/>
                <w:bottom w:val="none" w:sz="0" w:space="0" w:color="auto"/>
                <w:right w:val="none" w:sz="0" w:space="0" w:color="auto"/>
              </w:divBdr>
              <w:divsChild>
                <w:div w:id="1093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02503">
      <w:bodyDiv w:val="1"/>
      <w:marLeft w:val="0"/>
      <w:marRight w:val="0"/>
      <w:marTop w:val="0"/>
      <w:marBottom w:val="0"/>
      <w:divBdr>
        <w:top w:val="none" w:sz="0" w:space="0" w:color="auto"/>
        <w:left w:val="none" w:sz="0" w:space="0" w:color="auto"/>
        <w:bottom w:val="none" w:sz="0" w:space="0" w:color="auto"/>
        <w:right w:val="none" w:sz="0" w:space="0" w:color="auto"/>
      </w:divBdr>
      <w:divsChild>
        <w:div w:id="2067756088">
          <w:marLeft w:val="0"/>
          <w:marRight w:val="0"/>
          <w:marTop w:val="0"/>
          <w:marBottom w:val="0"/>
          <w:divBdr>
            <w:top w:val="none" w:sz="0" w:space="0" w:color="auto"/>
            <w:left w:val="none" w:sz="0" w:space="0" w:color="auto"/>
            <w:bottom w:val="none" w:sz="0" w:space="0" w:color="auto"/>
            <w:right w:val="none" w:sz="0" w:space="0" w:color="auto"/>
          </w:divBdr>
          <w:divsChild>
            <w:div w:id="1038433521">
              <w:marLeft w:val="0"/>
              <w:marRight w:val="0"/>
              <w:marTop w:val="0"/>
              <w:marBottom w:val="0"/>
              <w:divBdr>
                <w:top w:val="none" w:sz="0" w:space="0" w:color="auto"/>
                <w:left w:val="none" w:sz="0" w:space="0" w:color="auto"/>
                <w:bottom w:val="none" w:sz="0" w:space="0" w:color="auto"/>
                <w:right w:val="none" w:sz="0" w:space="0" w:color="auto"/>
              </w:divBdr>
              <w:divsChild>
                <w:div w:id="1419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8636">
      <w:bodyDiv w:val="1"/>
      <w:marLeft w:val="0"/>
      <w:marRight w:val="0"/>
      <w:marTop w:val="0"/>
      <w:marBottom w:val="0"/>
      <w:divBdr>
        <w:top w:val="none" w:sz="0" w:space="0" w:color="auto"/>
        <w:left w:val="none" w:sz="0" w:space="0" w:color="auto"/>
        <w:bottom w:val="none" w:sz="0" w:space="0" w:color="auto"/>
        <w:right w:val="none" w:sz="0" w:space="0" w:color="auto"/>
      </w:divBdr>
      <w:divsChild>
        <w:div w:id="519051223">
          <w:marLeft w:val="0"/>
          <w:marRight w:val="0"/>
          <w:marTop w:val="0"/>
          <w:marBottom w:val="0"/>
          <w:divBdr>
            <w:top w:val="none" w:sz="0" w:space="0" w:color="auto"/>
            <w:left w:val="none" w:sz="0" w:space="0" w:color="auto"/>
            <w:bottom w:val="none" w:sz="0" w:space="0" w:color="auto"/>
            <w:right w:val="none" w:sz="0" w:space="0" w:color="auto"/>
          </w:divBdr>
          <w:divsChild>
            <w:div w:id="1624457908">
              <w:marLeft w:val="0"/>
              <w:marRight w:val="0"/>
              <w:marTop w:val="0"/>
              <w:marBottom w:val="0"/>
              <w:divBdr>
                <w:top w:val="none" w:sz="0" w:space="0" w:color="auto"/>
                <w:left w:val="none" w:sz="0" w:space="0" w:color="auto"/>
                <w:bottom w:val="none" w:sz="0" w:space="0" w:color="auto"/>
                <w:right w:val="none" w:sz="0" w:space="0" w:color="auto"/>
              </w:divBdr>
              <w:divsChild>
                <w:div w:id="1128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9461">
      <w:bodyDiv w:val="1"/>
      <w:marLeft w:val="0"/>
      <w:marRight w:val="0"/>
      <w:marTop w:val="0"/>
      <w:marBottom w:val="0"/>
      <w:divBdr>
        <w:top w:val="none" w:sz="0" w:space="0" w:color="auto"/>
        <w:left w:val="none" w:sz="0" w:space="0" w:color="auto"/>
        <w:bottom w:val="none" w:sz="0" w:space="0" w:color="auto"/>
        <w:right w:val="none" w:sz="0" w:space="0" w:color="auto"/>
      </w:divBdr>
      <w:divsChild>
        <w:div w:id="1948658342">
          <w:marLeft w:val="0"/>
          <w:marRight w:val="0"/>
          <w:marTop w:val="0"/>
          <w:marBottom w:val="0"/>
          <w:divBdr>
            <w:top w:val="none" w:sz="0" w:space="0" w:color="auto"/>
            <w:left w:val="none" w:sz="0" w:space="0" w:color="auto"/>
            <w:bottom w:val="none" w:sz="0" w:space="0" w:color="auto"/>
            <w:right w:val="none" w:sz="0" w:space="0" w:color="auto"/>
          </w:divBdr>
          <w:divsChild>
            <w:div w:id="369769872">
              <w:marLeft w:val="0"/>
              <w:marRight w:val="0"/>
              <w:marTop w:val="0"/>
              <w:marBottom w:val="0"/>
              <w:divBdr>
                <w:top w:val="none" w:sz="0" w:space="0" w:color="auto"/>
                <w:left w:val="none" w:sz="0" w:space="0" w:color="auto"/>
                <w:bottom w:val="none" w:sz="0" w:space="0" w:color="auto"/>
                <w:right w:val="none" w:sz="0" w:space="0" w:color="auto"/>
              </w:divBdr>
              <w:divsChild>
                <w:div w:id="160394118">
                  <w:marLeft w:val="0"/>
                  <w:marRight w:val="0"/>
                  <w:marTop w:val="0"/>
                  <w:marBottom w:val="0"/>
                  <w:divBdr>
                    <w:top w:val="none" w:sz="0" w:space="0" w:color="auto"/>
                    <w:left w:val="none" w:sz="0" w:space="0" w:color="auto"/>
                    <w:bottom w:val="none" w:sz="0" w:space="0" w:color="auto"/>
                    <w:right w:val="none" w:sz="0" w:space="0" w:color="auto"/>
                  </w:divBdr>
                </w:div>
              </w:divsChild>
            </w:div>
            <w:div w:id="1188373635">
              <w:marLeft w:val="0"/>
              <w:marRight w:val="0"/>
              <w:marTop w:val="0"/>
              <w:marBottom w:val="0"/>
              <w:divBdr>
                <w:top w:val="none" w:sz="0" w:space="0" w:color="auto"/>
                <w:left w:val="none" w:sz="0" w:space="0" w:color="auto"/>
                <w:bottom w:val="none" w:sz="0" w:space="0" w:color="auto"/>
                <w:right w:val="none" w:sz="0" w:space="0" w:color="auto"/>
              </w:divBdr>
              <w:divsChild>
                <w:div w:id="1476947083">
                  <w:marLeft w:val="0"/>
                  <w:marRight w:val="0"/>
                  <w:marTop w:val="0"/>
                  <w:marBottom w:val="0"/>
                  <w:divBdr>
                    <w:top w:val="none" w:sz="0" w:space="0" w:color="auto"/>
                    <w:left w:val="none" w:sz="0" w:space="0" w:color="auto"/>
                    <w:bottom w:val="none" w:sz="0" w:space="0" w:color="auto"/>
                    <w:right w:val="none" w:sz="0" w:space="0" w:color="auto"/>
                  </w:divBdr>
                </w:div>
              </w:divsChild>
            </w:div>
            <w:div w:id="261376859">
              <w:marLeft w:val="0"/>
              <w:marRight w:val="0"/>
              <w:marTop w:val="0"/>
              <w:marBottom w:val="0"/>
              <w:divBdr>
                <w:top w:val="none" w:sz="0" w:space="0" w:color="auto"/>
                <w:left w:val="none" w:sz="0" w:space="0" w:color="auto"/>
                <w:bottom w:val="none" w:sz="0" w:space="0" w:color="auto"/>
                <w:right w:val="none" w:sz="0" w:space="0" w:color="auto"/>
              </w:divBdr>
              <w:divsChild>
                <w:div w:id="15120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3003">
      <w:bodyDiv w:val="1"/>
      <w:marLeft w:val="0"/>
      <w:marRight w:val="0"/>
      <w:marTop w:val="0"/>
      <w:marBottom w:val="0"/>
      <w:divBdr>
        <w:top w:val="none" w:sz="0" w:space="0" w:color="auto"/>
        <w:left w:val="none" w:sz="0" w:space="0" w:color="auto"/>
        <w:bottom w:val="none" w:sz="0" w:space="0" w:color="auto"/>
        <w:right w:val="none" w:sz="0" w:space="0" w:color="auto"/>
      </w:divBdr>
      <w:divsChild>
        <w:div w:id="1579365110">
          <w:marLeft w:val="0"/>
          <w:marRight w:val="0"/>
          <w:marTop w:val="0"/>
          <w:marBottom w:val="0"/>
          <w:divBdr>
            <w:top w:val="none" w:sz="0" w:space="0" w:color="auto"/>
            <w:left w:val="none" w:sz="0" w:space="0" w:color="auto"/>
            <w:bottom w:val="none" w:sz="0" w:space="0" w:color="auto"/>
            <w:right w:val="none" w:sz="0" w:space="0" w:color="auto"/>
          </w:divBdr>
          <w:divsChild>
            <w:div w:id="1300720203">
              <w:marLeft w:val="0"/>
              <w:marRight w:val="0"/>
              <w:marTop w:val="0"/>
              <w:marBottom w:val="0"/>
              <w:divBdr>
                <w:top w:val="none" w:sz="0" w:space="0" w:color="auto"/>
                <w:left w:val="none" w:sz="0" w:space="0" w:color="auto"/>
                <w:bottom w:val="none" w:sz="0" w:space="0" w:color="auto"/>
                <w:right w:val="none" w:sz="0" w:space="0" w:color="auto"/>
              </w:divBdr>
              <w:divsChild>
                <w:div w:id="5793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71352">
      <w:bodyDiv w:val="1"/>
      <w:marLeft w:val="0"/>
      <w:marRight w:val="0"/>
      <w:marTop w:val="0"/>
      <w:marBottom w:val="0"/>
      <w:divBdr>
        <w:top w:val="none" w:sz="0" w:space="0" w:color="auto"/>
        <w:left w:val="none" w:sz="0" w:space="0" w:color="auto"/>
        <w:bottom w:val="none" w:sz="0" w:space="0" w:color="auto"/>
        <w:right w:val="none" w:sz="0" w:space="0" w:color="auto"/>
      </w:divBdr>
      <w:divsChild>
        <w:div w:id="2082871052">
          <w:marLeft w:val="0"/>
          <w:marRight w:val="0"/>
          <w:marTop w:val="0"/>
          <w:marBottom w:val="0"/>
          <w:divBdr>
            <w:top w:val="none" w:sz="0" w:space="0" w:color="auto"/>
            <w:left w:val="none" w:sz="0" w:space="0" w:color="auto"/>
            <w:bottom w:val="none" w:sz="0" w:space="0" w:color="auto"/>
            <w:right w:val="none" w:sz="0" w:space="0" w:color="auto"/>
          </w:divBdr>
          <w:divsChild>
            <w:div w:id="1943414713">
              <w:marLeft w:val="0"/>
              <w:marRight w:val="0"/>
              <w:marTop w:val="0"/>
              <w:marBottom w:val="0"/>
              <w:divBdr>
                <w:top w:val="none" w:sz="0" w:space="0" w:color="auto"/>
                <w:left w:val="none" w:sz="0" w:space="0" w:color="auto"/>
                <w:bottom w:val="none" w:sz="0" w:space="0" w:color="auto"/>
                <w:right w:val="none" w:sz="0" w:space="0" w:color="auto"/>
              </w:divBdr>
              <w:divsChild>
                <w:div w:id="1701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30543">
      <w:bodyDiv w:val="1"/>
      <w:marLeft w:val="0"/>
      <w:marRight w:val="0"/>
      <w:marTop w:val="0"/>
      <w:marBottom w:val="0"/>
      <w:divBdr>
        <w:top w:val="none" w:sz="0" w:space="0" w:color="auto"/>
        <w:left w:val="none" w:sz="0" w:space="0" w:color="auto"/>
        <w:bottom w:val="none" w:sz="0" w:space="0" w:color="auto"/>
        <w:right w:val="none" w:sz="0" w:space="0" w:color="auto"/>
      </w:divBdr>
      <w:divsChild>
        <w:div w:id="1994019270">
          <w:marLeft w:val="0"/>
          <w:marRight w:val="0"/>
          <w:marTop w:val="0"/>
          <w:marBottom w:val="0"/>
          <w:divBdr>
            <w:top w:val="none" w:sz="0" w:space="0" w:color="auto"/>
            <w:left w:val="none" w:sz="0" w:space="0" w:color="auto"/>
            <w:bottom w:val="none" w:sz="0" w:space="0" w:color="auto"/>
            <w:right w:val="none" w:sz="0" w:space="0" w:color="auto"/>
          </w:divBdr>
          <w:divsChild>
            <w:div w:id="1266694698">
              <w:marLeft w:val="0"/>
              <w:marRight w:val="0"/>
              <w:marTop w:val="0"/>
              <w:marBottom w:val="0"/>
              <w:divBdr>
                <w:top w:val="none" w:sz="0" w:space="0" w:color="auto"/>
                <w:left w:val="none" w:sz="0" w:space="0" w:color="auto"/>
                <w:bottom w:val="none" w:sz="0" w:space="0" w:color="auto"/>
                <w:right w:val="none" w:sz="0" w:space="0" w:color="auto"/>
              </w:divBdr>
              <w:divsChild>
                <w:div w:id="17475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3186">
      <w:bodyDiv w:val="1"/>
      <w:marLeft w:val="0"/>
      <w:marRight w:val="0"/>
      <w:marTop w:val="0"/>
      <w:marBottom w:val="0"/>
      <w:divBdr>
        <w:top w:val="none" w:sz="0" w:space="0" w:color="auto"/>
        <w:left w:val="none" w:sz="0" w:space="0" w:color="auto"/>
        <w:bottom w:val="none" w:sz="0" w:space="0" w:color="auto"/>
        <w:right w:val="none" w:sz="0" w:space="0" w:color="auto"/>
      </w:divBdr>
      <w:divsChild>
        <w:div w:id="1964261775">
          <w:marLeft w:val="0"/>
          <w:marRight w:val="0"/>
          <w:marTop w:val="0"/>
          <w:marBottom w:val="0"/>
          <w:divBdr>
            <w:top w:val="none" w:sz="0" w:space="0" w:color="auto"/>
            <w:left w:val="none" w:sz="0" w:space="0" w:color="auto"/>
            <w:bottom w:val="none" w:sz="0" w:space="0" w:color="auto"/>
            <w:right w:val="none" w:sz="0" w:space="0" w:color="auto"/>
          </w:divBdr>
          <w:divsChild>
            <w:div w:id="1001930583">
              <w:marLeft w:val="0"/>
              <w:marRight w:val="0"/>
              <w:marTop w:val="0"/>
              <w:marBottom w:val="0"/>
              <w:divBdr>
                <w:top w:val="none" w:sz="0" w:space="0" w:color="auto"/>
                <w:left w:val="none" w:sz="0" w:space="0" w:color="auto"/>
                <w:bottom w:val="none" w:sz="0" w:space="0" w:color="auto"/>
                <w:right w:val="none" w:sz="0" w:space="0" w:color="auto"/>
              </w:divBdr>
              <w:divsChild>
                <w:div w:id="11280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0942">
      <w:bodyDiv w:val="1"/>
      <w:marLeft w:val="0"/>
      <w:marRight w:val="0"/>
      <w:marTop w:val="0"/>
      <w:marBottom w:val="0"/>
      <w:divBdr>
        <w:top w:val="none" w:sz="0" w:space="0" w:color="auto"/>
        <w:left w:val="none" w:sz="0" w:space="0" w:color="auto"/>
        <w:bottom w:val="none" w:sz="0" w:space="0" w:color="auto"/>
        <w:right w:val="none" w:sz="0" w:space="0" w:color="auto"/>
      </w:divBdr>
      <w:divsChild>
        <w:div w:id="84884956">
          <w:marLeft w:val="0"/>
          <w:marRight w:val="0"/>
          <w:marTop w:val="0"/>
          <w:marBottom w:val="0"/>
          <w:divBdr>
            <w:top w:val="none" w:sz="0" w:space="0" w:color="auto"/>
            <w:left w:val="none" w:sz="0" w:space="0" w:color="auto"/>
            <w:bottom w:val="none" w:sz="0" w:space="0" w:color="auto"/>
            <w:right w:val="none" w:sz="0" w:space="0" w:color="auto"/>
          </w:divBdr>
          <w:divsChild>
            <w:div w:id="118963868">
              <w:marLeft w:val="0"/>
              <w:marRight w:val="0"/>
              <w:marTop w:val="0"/>
              <w:marBottom w:val="0"/>
              <w:divBdr>
                <w:top w:val="none" w:sz="0" w:space="0" w:color="auto"/>
                <w:left w:val="none" w:sz="0" w:space="0" w:color="auto"/>
                <w:bottom w:val="none" w:sz="0" w:space="0" w:color="auto"/>
                <w:right w:val="none" w:sz="0" w:space="0" w:color="auto"/>
              </w:divBdr>
              <w:divsChild>
                <w:div w:id="12757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03954">
      <w:bodyDiv w:val="1"/>
      <w:marLeft w:val="0"/>
      <w:marRight w:val="0"/>
      <w:marTop w:val="0"/>
      <w:marBottom w:val="0"/>
      <w:divBdr>
        <w:top w:val="none" w:sz="0" w:space="0" w:color="auto"/>
        <w:left w:val="none" w:sz="0" w:space="0" w:color="auto"/>
        <w:bottom w:val="none" w:sz="0" w:space="0" w:color="auto"/>
        <w:right w:val="none" w:sz="0" w:space="0" w:color="auto"/>
      </w:divBdr>
      <w:divsChild>
        <w:div w:id="164977241">
          <w:marLeft w:val="0"/>
          <w:marRight w:val="0"/>
          <w:marTop w:val="0"/>
          <w:marBottom w:val="0"/>
          <w:divBdr>
            <w:top w:val="none" w:sz="0" w:space="0" w:color="auto"/>
            <w:left w:val="none" w:sz="0" w:space="0" w:color="auto"/>
            <w:bottom w:val="none" w:sz="0" w:space="0" w:color="auto"/>
            <w:right w:val="none" w:sz="0" w:space="0" w:color="auto"/>
          </w:divBdr>
          <w:divsChild>
            <w:div w:id="1965041056">
              <w:marLeft w:val="0"/>
              <w:marRight w:val="0"/>
              <w:marTop w:val="0"/>
              <w:marBottom w:val="0"/>
              <w:divBdr>
                <w:top w:val="none" w:sz="0" w:space="0" w:color="auto"/>
                <w:left w:val="none" w:sz="0" w:space="0" w:color="auto"/>
                <w:bottom w:val="none" w:sz="0" w:space="0" w:color="auto"/>
                <w:right w:val="none" w:sz="0" w:space="0" w:color="auto"/>
              </w:divBdr>
              <w:divsChild>
                <w:div w:id="19105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8643">
      <w:bodyDiv w:val="1"/>
      <w:marLeft w:val="0"/>
      <w:marRight w:val="0"/>
      <w:marTop w:val="0"/>
      <w:marBottom w:val="0"/>
      <w:divBdr>
        <w:top w:val="none" w:sz="0" w:space="0" w:color="auto"/>
        <w:left w:val="none" w:sz="0" w:space="0" w:color="auto"/>
        <w:bottom w:val="none" w:sz="0" w:space="0" w:color="auto"/>
        <w:right w:val="none" w:sz="0" w:space="0" w:color="auto"/>
      </w:divBdr>
      <w:divsChild>
        <w:div w:id="890263262">
          <w:marLeft w:val="0"/>
          <w:marRight w:val="0"/>
          <w:marTop w:val="0"/>
          <w:marBottom w:val="0"/>
          <w:divBdr>
            <w:top w:val="none" w:sz="0" w:space="0" w:color="auto"/>
            <w:left w:val="none" w:sz="0" w:space="0" w:color="auto"/>
            <w:bottom w:val="none" w:sz="0" w:space="0" w:color="auto"/>
            <w:right w:val="none" w:sz="0" w:space="0" w:color="auto"/>
          </w:divBdr>
          <w:divsChild>
            <w:div w:id="1380713146">
              <w:marLeft w:val="0"/>
              <w:marRight w:val="0"/>
              <w:marTop w:val="0"/>
              <w:marBottom w:val="0"/>
              <w:divBdr>
                <w:top w:val="none" w:sz="0" w:space="0" w:color="auto"/>
                <w:left w:val="none" w:sz="0" w:space="0" w:color="auto"/>
                <w:bottom w:val="none" w:sz="0" w:space="0" w:color="auto"/>
                <w:right w:val="none" w:sz="0" w:space="0" w:color="auto"/>
              </w:divBdr>
              <w:divsChild>
                <w:div w:id="8970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1597">
      <w:bodyDiv w:val="1"/>
      <w:marLeft w:val="0"/>
      <w:marRight w:val="0"/>
      <w:marTop w:val="0"/>
      <w:marBottom w:val="0"/>
      <w:divBdr>
        <w:top w:val="none" w:sz="0" w:space="0" w:color="auto"/>
        <w:left w:val="none" w:sz="0" w:space="0" w:color="auto"/>
        <w:bottom w:val="none" w:sz="0" w:space="0" w:color="auto"/>
        <w:right w:val="none" w:sz="0" w:space="0" w:color="auto"/>
      </w:divBdr>
      <w:divsChild>
        <w:div w:id="949632469">
          <w:marLeft w:val="0"/>
          <w:marRight w:val="0"/>
          <w:marTop w:val="0"/>
          <w:marBottom w:val="0"/>
          <w:divBdr>
            <w:top w:val="none" w:sz="0" w:space="0" w:color="auto"/>
            <w:left w:val="none" w:sz="0" w:space="0" w:color="auto"/>
            <w:bottom w:val="none" w:sz="0" w:space="0" w:color="auto"/>
            <w:right w:val="none" w:sz="0" w:space="0" w:color="auto"/>
          </w:divBdr>
          <w:divsChild>
            <w:div w:id="1439986204">
              <w:marLeft w:val="0"/>
              <w:marRight w:val="0"/>
              <w:marTop w:val="0"/>
              <w:marBottom w:val="0"/>
              <w:divBdr>
                <w:top w:val="none" w:sz="0" w:space="0" w:color="auto"/>
                <w:left w:val="none" w:sz="0" w:space="0" w:color="auto"/>
                <w:bottom w:val="none" w:sz="0" w:space="0" w:color="auto"/>
                <w:right w:val="none" w:sz="0" w:space="0" w:color="auto"/>
              </w:divBdr>
              <w:divsChild>
                <w:div w:id="17533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18752">
      <w:bodyDiv w:val="1"/>
      <w:marLeft w:val="0"/>
      <w:marRight w:val="0"/>
      <w:marTop w:val="0"/>
      <w:marBottom w:val="0"/>
      <w:divBdr>
        <w:top w:val="none" w:sz="0" w:space="0" w:color="auto"/>
        <w:left w:val="none" w:sz="0" w:space="0" w:color="auto"/>
        <w:bottom w:val="none" w:sz="0" w:space="0" w:color="auto"/>
        <w:right w:val="none" w:sz="0" w:space="0" w:color="auto"/>
      </w:divBdr>
      <w:divsChild>
        <w:div w:id="1991671658">
          <w:marLeft w:val="0"/>
          <w:marRight w:val="0"/>
          <w:marTop w:val="0"/>
          <w:marBottom w:val="0"/>
          <w:divBdr>
            <w:top w:val="none" w:sz="0" w:space="0" w:color="auto"/>
            <w:left w:val="none" w:sz="0" w:space="0" w:color="auto"/>
            <w:bottom w:val="none" w:sz="0" w:space="0" w:color="auto"/>
            <w:right w:val="none" w:sz="0" w:space="0" w:color="auto"/>
          </w:divBdr>
          <w:divsChild>
            <w:div w:id="757753189">
              <w:marLeft w:val="0"/>
              <w:marRight w:val="0"/>
              <w:marTop w:val="0"/>
              <w:marBottom w:val="0"/>
              <w:divBdr>
                <w:top w:val="none" w:sz="0" w:space="0" w:color="auto"/>
                <w:left w:val="none" w:sz="0" w:space="0" w:color="auto"/>
                <w:bottom w:val="none" w:sz="0" w:space="0" w:color="auto"/>
                <w:right w:val="none" w:sz="0" w:space="0" w:color="auto"/>
              </w:divBdr>
              <w:divsChild>
                <w:div w:id="11489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5782">
      <w:bodyDiv w:val="1"/>
      <w:marLeft w:val="0"/>
      <w:marRight w:val="0"/>
      <w:marTop w:val="0"/>
      <w:marBottom w:val="0"/>
      <w:divBdr>
        <w:top w:val="none" w:sz="0" w:space="0" w:color="auto"/>
        <w:left w:val="none" w:sz="0" w:space="0" w:color="auto"/>
        <w:bottom w:val="none" w:sz="0" w:space="0" w:color="auto"/>
        <w:right w:val="none" w:sz="0" w:space="0" w:color="auto"/>
      </w:divBdr>
      <w:divsChild>
        <w:div w:id="1516766126">
          <w:marLeft w:val="0"/>
          <w:marRight w:val="0"/>
          <w:marTop w:val="0"/>
          <w:marBottom w:val="0"/>
          <w:divBdr>
            <w:top w:val="none" w:sz="0" w:space="0" w:color="auto"/>
            <w:left w:val="none" w:sz="0" w:space="0" w:color="auto"/>
            <w:bottom w:val="none" w:sz="0" w:space="0" w:color="auto"/>
            <w:right w:val="none" w:sz="0" w:space="0" w:color="auto"/>
          </w:divBdr>
          <w:divsChild>
            <w:div w:id="1246451223">
              <w:marLeft w:val="0"/>
              <w:marRight w:val="0"/>
              <w:marTop w:val="0"/>
              <w:marBottom w:val="0"/>
              <w:divBdr>
                <w:top w:val="none" w:sz="0" w:space="0" w:color="auto"/>
                <w:left w:val="none" w:sz="0" w:space="0" w:color="auto"/>
                <w:bottom w:val="none" w:sz="0" w:space="0" w:color="auto"/>
                <w:right w:val="none" w:sz="0" w:space="0" w:color="auto"/>
              </w:divBdr>
              <w:divsChild>
                <w:div w:id="1721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6213">
      <w:bodyDiv w:val="1"/>
      <w:marLeft w:val="0"/>
      <w:marRight w:val="0"/>
      <w:marTop w:val="0"/>
      <w:marBottom w:val="0"/>
      <w:divBdr>
        <w:top w:val="none" w:sz="0" w:space="0" w:color="auto"/>
        <w:left w:val="none" w:sz="0" w:space="0" w:color="auto"/>
        <w:bottom w:val="none" w:sz="0" w:space="0" w:color="auto"/>
        <w:right w:val="none" w:sz="0" w:space="0" w:color="auto"/>
      </w:divBdr>
      <w:divsChild>
        <w:div w:id="1822497535">
          <w:marLeft w:val="0"/>
          <w:marRight w:val="0"/>
          <w:marTop w:val="0"/>
          <w:marBottom w:val="0"/>
          <w:divBdr>
            <w:top w:val="none" w:sz="0" w:space="0" w:color="auto"/>
            <w:left w:val="none" w:sz="0" w:space="0" w:color="auto"/>
            <w:bottom w:val="none" w:sz="0" w:space="0" w:color="auto"/>
            <w:right w:val="none" w:sz="0" w:space="0" w:color="auto"/>
          </w:divBdr>
          <w:divsChild>
            <w:div w:id="2023121900">
              <w:marLeft w:val="0"/>
              <w:marRight w:val="0"/>
              <w:marTop w:val="0"/>
              <w:marBottom w:val="0"/>
              <w:divBdr>
                <w:top w:val="none" w:sz="0" w:space="0" w:color="auto"/>
                <w:left w:val="none" w:sz="0" w:space="0" w:color="auto"/>
                <w:bottom w:val="none" w:sz="0" w:space="0" w:color="auto"/>
                <w:right w:val="none" w:sz="0" w:space="0" w:color="auto"/>
              </w:divBdr>
              <w:divsChild>
                <w:div w:id="1236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0508">
      <w:bodyDiv w:val="1"/>
      <w:marLeft w:val="0"/>
      <w:marRight w:val="0"/>
      <w:marTop w:val="0"/>
      <w:marBottom w:val="0"/>
      <w:divBdr>
        <w:top w:val="none" w:sz="0" w:space="0" w:color="auto"/>
        <w:left w:val="none" w:sz="0" w:space="0" w:color="auto"/>
        <w:bottom w:val="none" w:sz="0" w:space="0" w:color="auto"/>
        <w:right w:val="none" w:sz="0" w:space="0" w:color="auto"/>
      </w:divBdr>
      <w:divsChild>
        <w:div w:id="1163663854">
          <w:marLeft w:val="0"/>
          <w:marRight w:val="0"/>
          <w:marTop w:val="390"/>
          <w:marBottom w:val="0"/>
          <w:divBdr>
            <w:top w:val="single" w:sz="18" w:space="4" w:color="2A5790"/>
            <w:left w:val="single" w:sz="18" w:space="4" w:color="2A5790"/>
            <w:bottom w:val="single" w:sz="18" w:space="4" w:color="2A5790"/>
            <w:right w:val="single" w:sz="18" w:space="4" w:color="2A5790"/>
          </w:divBdr>
          <w:divsChild>
            <w:div w:id="1748765488">
              <w:marLeft w:val="0"/>
              <w:marRight w:val="0"/>
              <w:marTop w:val="0"/>
              <w:marBottom w:val="240"/>
              <w:divBdr>
                <w:top w:val="none" w:sz="0" w:space="0" w:color="auto"/>
                <w:left w:val="none" w:sz="0" w:space="0" w:color="auto"/>
                <w:bottom w:val="none" w:sz="0" w:space="0" w:color="auto"/>
                <w:right w:val="none" w:sz="0" w:space="0" w:color="auto"/>
              </w:divBdr>
              <w:divsChild>
                <w:div w:id="1938753289">
                  <w:marLeft w:val="0"/>
                  <w:marRight w:val="0"/>
                  <w:marTop w:val="0"/>
                  <w:marBottom w:val="0"/>
                  <w:divBdr>
                    <w:top w:val="none" w:sz="0" w:space="0" w:color="auto"/>
                    <w:left w:val="none" w:sz="0" w:space="0" w:color="auto"/>
                    <w:bottom w:val="none" w:sz="0" w:space="0" w:color="auto"/>
                    <w:right w:val="none" w:sz="0" w:space="0" w:color="auto"/>
                  </w:divBdr>
                  <w:divsChild>
                    <w:div w:id="1672641054">
                      <w:marLeft w:val="0"/>
                      <w:marRight w:val="0"/>
                      <w:marTop w:val="0"/>
                      <w:marBottom w:val="0"/>
                      <w:divBdr>
                        <w:top w:val="none" w:sz="0" w:space="0" w:color="auto"/>
                        <w:left w:val="none" w:sz="0" w:space="0" w:color="auto"/>
                        <w:bottom w:val="none" w:sz="0" w:space="0" w:color="auto"/>
                        <w:right w:val="none" w:sz="0" w:space="0" w:color="auto"/>
                      </w:divBdr>
                      <w:divsChild>
                        <w:div w:id="1558128586">
                          <w:marLeft w:val="0"/>
                          <w:marRight w:val="0"/>
                          <w:marTop w:val="0"/>
                          <w:marBottom w:val="0"/>
                          <w:divBdr>
                            <w:top w:val="none" w:sz="0" w:space="0" w:color="auto"/>
                            <w:left w:val="none" w:sz="0" w:space="0" w:color="auto"/>
                            <w:bottom w:val="none" w:sz="0" w:space="0" w:color="auto"/>
                            <w:right w:val="none" w:sz="0" w:space="0" w:color="auto"/>
                          </w:divBdr>
                        </w:div>
                        <w:div w:id="1902862006">
                          <w:marLeft w:val="0"/>
                          <w:marRight w:val="0"/>
                          <w:marTop w:val="0"/>
                          <w:marBottom w:val="0"/>
                          <w:divBdr>
                            <w:top w:val="none" w:sz="0" w:space="0" w:color="auto"/>
                            <w:left w:val="none" w:sz="0" w:space="0" w:color="auto"/>
                            <w:bottom w:val="none" w:sz="0" w:space="0" w:color="auto"/>
                            <w:right w:val="none" w:sz="0" w:space="0" w:color="auto"/>
                          </w:divBdr>
                        </w:div>
                        <w:div w:id="1566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551512">
      <w:bodyDiv w:val="1"/>
      <w:marLeft w:val="0"/>
      <w:marRight w:val="0"/>
      <w:marTop w:val="0"/>
      <w:marBottom w:val="0"/>
      <w:divBdr>
        <w:top w:val="none" w:sz="0" w:space="0" w:color="auto"/>
        <w:left w:val="none" w:sz="0" w:space="0" w:color="auto"/>
        <w:bottom w:val="none" w:sz="0" w:space="0" w:color="auto"/>
        <w:right w:val="none" w:sz="0" w:space="0" w:color="auto"/>
      </w:divBdr>
      <w:divsChild>
        <w:div w:id="691876546">
          <w:marLeft w:val="0"/>
          <w:marRight w:val="0"/>
          <w:marTop w:val="0"/>
          <w:marBottom w:val="0"/>
          <w:divBdr>
            <w:top w:val="none" w:sz="0" w:space="0" w:color="auto"/>
            <w:left w:val="none" w:sz="0" w:space="0" w:color="auto"/>
            <w:bottom w:val="none" w:sz="0" w:space="0" w:color="auto"/>
            <w:right w:val="none" w:sz="0" w:space="0" w:color="auto"/>
          </w:divBdr>
          <w:divsChild>
            <w:div w:id="1434010823">
              <w:marLeft w:val="0"/>
              <w:marRight w:val="0"/>
              <w:marTop w:val="0"/>
              <w:marBottom w:val="0"/>
              <w:divBdr>
                <w:top w:val="none" w:sz="0" w:space="0" w:color="auto"/>
                <w:left w:val="none" w:sz="0" w:space="0" w:color="auto"/>
                <w:bottom w:val="none" w:sz="0" w:space="0" w:color="auto"/>
                <w:right w:val="none" w:sz="0" w:space="0" w:color="auto"/>
              </w:divBdr>
              <w:divsChild>
                <w:div w:id="13887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527">
      <w:bodyDiv w:val="1"/>
      <w:marLeft w:val="0"/>
      <w:marRight w:val="0"/>
      <w:marTop w:val="0"/>
      <w:marBottom w:val="0"/>
      <w:divBdr>
        <w:top w:val="none" w:sz="0" w:space="0" w:color="auto"/>
        <w:left w:val="none" w:sz="0" w:space="0" w:color="auto"/>
        <w:bottom w:val="none" w:sz="0" w:space="0" w:color="auto"/>
        <w:right w:val="none" w:sz="0" w:space="0" w:color="auto"/>
      </w:divBdr>
      <w:divsChild>
        <w:div w:id="1990596708">
          <w:marLeft w:val="0"/>
          <w:marRight w:val="0"/>
          <w:marTop w:val="0"/>
          <w:marBottom w:val="0"/>
          <w:divBdr>
            <w:top w:val="none" w:sz="0" w:space="0" w:color="auto"/>
            <w:left w:val="none" w:sz="0" w:space="0" w:color="auto"/>
            <w:bottom w:val="none" w:sz="0" w:space="0" w:color="auto"/>
            <w:right w:val="none" w:sz="0" w:space="0" w:color="auto"/>
          </w:divBdr>
          <w:divsChild>
            <w:div w:id="1262683396">
              <w:marLeft w:val="0"/>
              <w:marRight w:val="0"/>
              <w:marTop w:val="0"/>
              <w:marBottom w:val="0"/>
              <w:divBdr>
                <w:top w:val="none" w:sz="0" w:space="0" w:color="auto"/>
                <w:left w:val="none" w:sz="0" w:space="0" w:color="auto"/>
                <w:bottom w:val="none" w:sz="0" w:space="0" w:color="auto"/>
                <w:right w:val="none" w:sz="0" w:space="0" w:color="auto"/>
              </w:divBdr>
              <w:divsChild>
                <w:div w:id="19520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581">
      <w:bodyDiv w:val="1"/>
      <w:marLeft w:val="0"/>
      <w:marRight w:val="0"/>
      <w:marTop w:val="0"/>
      <w:marBottom w:val="0"/>
      <w:divBdr>
        <w:top w:val="none" w:sz="0" w:space="0" w:color="auto"/>
        <w:left w:val="none" w:sz="0" w:space="0" w:color="auto"/>
        <w:bottom w:val="none" w:sz="0" w:space="0" w:color="auto"/>
        <w:right w:val="none" w:sz="0" w:space="0" w:color="auto"/>
      </w:divBdr>
      <w:divsChild>
        <w:div w:id="1669946773">
          <w:marLeft w:val="0"/>
          <w:marRight w:val="0"/>
          <w:marTop w:val="0"/>
          <w:marBottom w:val="0"/>
          <w:divBdr>
            <w:top w:val="none" w:sz="0" w:space="0" w:color="auto"/>
            <w:left w:val="none" w:sz="0" w:space="0" w:color="auto"/>
            <w:bottom w:val="none" w:sz="0" w:space="0" w:color="auto"/>
            <w:right w:val="none" w:sz="0" w:space="0" w:color="auto"/>
          </w:divBdr>
          <w:divsChild>
            <w:div w:id="1493251268">
              <w:marLeft w:val="0"/>
              <w:marRight w:val="0"/>
              <w:marTop w:val="0"/>
              <w:marBottom w:val="0"/>
              <w:divBdr>
                <w:top w:val="none" w:sz="0" w:space="0" w:color="auto"/>
                <w:left w:val="none" w:sz="0" w:space="0" w:color="auto"/>
                <w:bottom w:val="none" w:sz="0" w:space="0" w:color="auto"/>
                <w:right w:val="none" w:sz="0" w:space="0" w:color="auto"/>
              </w:divBdr>
              <w:divsChild>
                <w:div w:id="11452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7128">
      <w:bodyDiv w:val="1"/>
      <w:marLeft w:val="0"/>
      <w:marRight w:val="0"/>
      <w:marTop w:val="0"/>
      <w:marBottom w:val="0"/>
      <w:divBdr>
        <w:top w:val="none" w:sz="0" w:space="0" w:color="auto"/>
        <w:left w:val="none" w:sz="0" w:space="0" w:color="auto"/>
        <w:bottom w:val="none" w:sz="0" w:space="0" w:color="auto"/>
        <w:right w:val="none" w:sz="0" w:space="0" w:color="auto"/>
      </w:divBdr>
      <w:divsChild>
        <w:div w:id="956528614">
          <w:marLeft w:val="0"/>
          <w:marRight w:val="0"/>
          <w:marTop w:val="0"/>
          <w:marBottom w:val="0"/>
          <w:divBdr>
            <w:top w:val="none" w:sz="0" w:space="0" w:color="auto"/>
            <w:left w:val="none" w:sz="0" w:space="0" w:color="auto"/>
            <w:bottom w:val="none" w:sz="0" w:space="0" w:color="auto"/>
            <w:right w:val="none" w:sz="0" w:space="0" w:color="auto"/>
          </w:divBdr>
          <w:divsChild>
            <w:div w:id="2008555554">
              <w:marLeft w:val="0"/>
              <w:marRight w:val="0"/>
              <w:marTop w:val="0"/>
              <w:marBottom w:val="0"/>
              <w:divBdr>
                <w:top w:val="none" w:sz="0" w:space="0" w:color="auto"/>
                <w:left w:val="none" w:sz="0" w:space="0" w:color="auto"/>
                <w:bottom w:val="none" w:sz="0" w:space="0" w:color="auto"/>
                <w:right w:val="none" w:sz="0" w:space="0" w:color="auto"/>
              </w:divBdr>
              <w:divsChild>
                <w:div w:id="10473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8454">
      <w:bodyDiv w:val="1"/>
      <w:marLeft w:val="0"/>
      <w:marRight w:val="0"/>
      <w:marTop w:val="0"/>
      <w:marBottom w:val="0"/>
      <w:divBdr>
        <w:top w:val="none" w:sz="0" w:space="0" w:color="auto"/>
        <w:left w:val="none" w:sz="0" w:space="0" w:color="auto"/>
        <w:bottom w:val="none" w:sz="0" w:space="0" w:color="auto"/>
        <w:right w:val="none" w:sz="0" w:space="0" w:color="auto"/>
      </w:divBdr>
      <w:divsChild>
        <w:div w:id="1385451804">
          <w:marLeft w:val="0"/>
          <w:marRight w:val="0"/>
          <w:marTop w:val="390"/>
          <w:marBottom w:val="0"/>
          <w:divBdr>
            <w:top w:val="single" w:sz="18" w:space="4" w:color="2A5790"/>
            <w:left w:val="single" w:sz="18" w:space="4" w:color="2A5790"/>
            <w:bottom w:val="single" w:sz="18" w:space="4" w:color="2A5790"/>
            <w:right w:val="single" w:sz="18" w:space="4" w:color="2A5790"/>
          </w:divBdr>
          <w:divsChild>
            <w:div w:id="633372066">
              <w:marLeft w:val="0"/>
              <w:marRight w:val="0"/>
              <w:marTop w:val="0"/>
              <w:marBottom w:val="240"/>
              <w:divBdr>
                <w:top w:val="none" w:sz="0" w:space="0" w:color="auto"/>
                <w:left w:val="none" w:sz="0" w:space="0" w:color="auto"/>
                <w:bottom w:val="none" w:sz="0" w:space="0" w:color="auto"/>
                <w:right w:val="none" w:sz="0" w:space="0" w:color="auto"/>
              </w:divBdr>
              <w:divsChild>
                <w:div w:id="337661318">
                  <w:marLeft w:val="0"/>
                  <w:marRight w:val="0"/>
                  <w:marTop w:val="0"/>
                  <w:marBottom w:val="0"/>
                  <w:divBdr>
                    <w:top w:val="none" w:sz="0" w:space="0" w:color="auto"/>
                    <w:left w:val="none" w:sz="0" w:space="0" w:color="auto"/>
                    <w:bottom w:val="none" w:sz="0" w:space="0" w:color="auto"/>
                    <w:right w:val="none" w:sz="0" w:space="0" w:color="auto"/>
                  </w:divBdr>
                  <w:divsChild>
                    <w:div w:id="1650017195">
                      <w:marLeft w:val="0"/>
                      <w:marRight w:val="0"/>
                      <w:marTop w:val="0"/>
                      <w:marBottom w:val="0"/>
                      <w:divBdr>
                        <w:top w:val="none" w:sz="0" w:space="0" w:color="auto"/>
                        <w:left w:val="none" w:sz="0" w:space="0" w:color="auto"/>
                        <w:bottom w:val="none" w:sz="0" w:space="0" w:color="auto"/>
                        <w:right w:val="none" w:sz="0" w:space="0" w:color="auto"/>
                      </w:divBdr>
                      <w:divsChild>
                        <w:div w:id="13583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536895">
      <w:bodyDiv w:val="1"/>
      <w:marLeft w:val="0"/>
      <w:marRight w:val="0"/>
      <w:marTop w:val="0"/>
      <w:marBottom w:val="0"/>
      <w:divBdr>
        <w:top w:val="none" w:sz="0" w:space="0" w:color="auto"/>
        <w:left w:val="none" w:sz="0" w:space="0" w:color="auto"/>
        <w:bottom w:val="none" w:sz="0" w:space="0" w:color="auto"/>
        <w:right w:val="none" w:sz="0" w:space="0" w:color="auto"/>
      </w:divBdr>
      <w:divsChild>
        <w:div w:id="266694669">
          <w:marLeft w:val="0"/>
          <w:marRight w:val="0"/>
          <w:marTop w:val="0"/>
          <w:marBottom w:val="0"/>
          <w:divBdr>
            <w:top w:val="none" w:sz="0" w:space="0" w:color="auto"/>
            <w:left w:val="none" w:sz="0" w:space="0" w:color="auto"/>
            <w:bottom w:val="none" w:sz="0" w:space="0" w:color="auto"/>
            <w:right w:val="none" w:sz="0" w:space="0" w:color="auto"/>
          </w:divBdr>
          <w:divsChild>
            <w:div w:id="779177499">
              <w:marLeft w:val="0"/>
              <w:marRight w:val="0"/>
              <w:marTop w:val="0"/>
              <w:marBottom w:val="0"/>
              <w:divBdr>
                <w:top w:val="none" w:sz="0" w:space="0" w:color="auto"/>
                <w:left w:val="none" w:sz="0" w:space="0" w:color="auto"/>
                <w:bottom w:val="none" w:sz="0" w:space="0" w:color="auto"/>
                <w:right w:val="none" w:sz="0" w:space="0" w:color="auto"/>
              </w:divBdr>
              <w:divsChild>
                <w:div w:id="590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6647">
      <w:bodyDiv w:val="1"/>
      <w:marLeft w:val="0"/>
      <w:marRight w:val="0"/>
      <w:marTop w:val="0"/>
      <w:marBottom w:val="0"/>
      <w:divBdr>
        <w:top w:val="none" w:sz="0" w:space="0" w:color="auto"/>
        <w:left w:val="none" w:sz="0" w:space="0" w:color="auto"/>
        <w:bottom w:val="none" w:sz="0" w:space="0" w:color="auto"/>
        <w:right w:val="none" w:sz="0" w:space="0" w:color="auto"/>
      </w:divBdr>
      <w:divsChild>
        <w:div w:id="2063357373">
          <w:marLeft w:val="0"/>
          <w:marRight w:val="0"/>
          <w:marTop w:val="0"/>
          <w:marBottom w:val="0"/>
          <w:divBdr>
            <w:top w:val="none" w:sz="0" w:space="0" w:color="auto"/>
            <w:left w:val="none" w:sz="0" w:space="0" w:color="auto"/>
            <w:bottom w:val="none" w:sz="0" w:space="0" w:color="auto"/>
            <w:right w:val="none" w:sz="0" w:space="0" w:color="auto"/>
          </w:divBdr>
          <w:divsChild>
            <w:div w:id="895775532">
              <w:marLeft w:val="0"/>
              <w:marRight w:val="0"/>
              <w:marTop w:val="0"/>
              <w:marBottom w:val="0"/>
              <w:divBdr>
                <w:top w:val="none" w:sz="0" w:space="0" w:color="auto"/>
                <w:left w:val="none" w:sz="0" w:space="0" w:color="auto"/>
                <w:bottom w:val="none" w:sz="0" w:space="0" w:color="auto"/>
                <w:right w:val="none" w:sz="0" w:space="0" w:color="auto"/>
              </w:divBdr>
              <w:divsChild>
                <w:div w:id="1332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1380">
      <w:bodyDiv w:val="1"/>
      <w:marLeft w:val="0"/>
      <w:marRight w:val="0"/>
      <w:marTop w:val="0"/>
      <w:marBottom w:val="0"/>
      <w:divBdr>
        <w:top w:val="none" w:sz="0" w:space="0" w:color="auto"/>
        <w:left w:val="none" w:sz="0" w:space="0" w:color="auto"/>
        <w:bottom w:val="none" w:sz="0" w:space="0" w:color="auto"/>
        <w:right w:val="none" w:sz="0" w:space="0" w:color="auto"/>
      </w:divBdr>
      <w:divsChild>
        <w:div w:id="1021322992">
          <w:marLeft w:val="0"/>
          <w:marRight w:val="0"/>
          <w:marTop w:val="0"/>
          <w:marBottom w:val="0"/>
          <w:divBdr>
            <w:top w:val="none" w:sz="0" w:space="0" w:color="auto"/>
            <w:left w:val="none" w:sz="0" w:space="0" w:color="auto"/>
            <w:bottom w:val="none" w:sz="0" w:space="0" w:color="auto"/>
            <w:right w:val="none" w:sz="0" w:space="0" w:color="auto"/>
          </w:divBdr>
          <w:divsChild>
            <w:div w:id="1699503089">
              <w:marLeft w:val="0"/>
              <w:marRight w:val="0"/>
              <w:marTop w:val="0"/>
              <w:marBottom w:val="0"/>
              <w:divBdr>
                <w:top w:val="none" w:sz="0" w:space="0" w:color="auto"/>
                <w:left w:val="none" w:sz="0" w:space="0" w:color="auto"/>
                <w:bottom w:val="none" w:sz="0" w:space="0" w:color="auto"/>
                <w:right w:val="none" w:sz="0" w:space="0" w:color="auto"/>
              </w:divBdr>
              <w:divsChild>
                <w:div w:id="4246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12691">
      <w:bodyDiv w:val="1"/>
      <w:marLeft w:val="0"/>
      <w:marRight w:val="0"/>
      <w:marTop w:val="0"/>
      <w:marBottom w:val="0"/>
      <w:divBdr>
        <w:top w:val="none" w:sz="0" w:space="0" w:color="auto"/>
        <w:left w:val="none" w:sz="0" w:space="0" w:color="auto"/>
        <w:bottom w:val="none" w:sz="0" w:space="0" w:color="auto"/>
        <w:right w:val="none" w:sz="0" w:space="0" w:color="auto"/>
      </w:divBdr>
      <w:divsChild>
        <w:div w:id="309601952">
          <w:marLeft w:val="0"/>
          <w:marRight w:val="0"/>
          <w:marTop w:val="0"/>
          <w:marBottom w:val="0"/>
          <w:divBdr>
            <w:top w:val="none" w:sz="0" w:space="0" w:color="auto"/>
            <w:left w:val="none" w:sz="0" w:space="0" w:color="auto"/>
            <w:bottom w:val="none" w:sz="0" w:space="0" w:color="auto"/>
            <w:right w:val="none" w:sz="0" w:space="0" w:color="auto"/>
          </w:divBdr>
          <w:divsChild>
            <w:div w:id="1809854688">
              <w:marLeft w:val="0"/>
              <w:marRight w:val="0"/>
              <w:marTop w:val="0"/>
              <w:marBottom w:val="0"/>
              <w:divBdr>
                <w:top w:val="none" w:sz="0" w:space="0" w:color="auto"/>
                <w:left w:val="none" w:sz="0" w:space="0" w:color="auto"/>
                <w:bottom w:val="none" w:sz="0" w:space="0" w:color="auto"/>
                <w:right w:val="none" w:sz="0" w:space="0" w:color="auto"/>
              </w:divBdr>
              <w:divsChild>
                <w:div w:id="1842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2665">
      <w:bodyDiv w:val="1"/>
      <w:marLeft w:val="144"/>
      <w:marRight w:val="144"/>
      <w:marTop w:val="48"/>
      <w:marBottom w:val="144"/>
      <w:divBdr>
        <w:top w:val="none" w:sz="0" w:space="0" w:color="auto"/>
        <w:left w:val="none" w:sz="0" w:space="0" w:color="auto"/>
        <w:bottom w:val="none" w:sz="0" w:space="0" w:color="auto"/>
        <w:right w:val="none" w:sz="0" w:space="0" w:color="auto"/>
      </w:divBdr>
    </w:div>
    <w:div w:id="1526213039">
      <w:bodyDiv w:val="1"/>
      <w:marLeft w:val="0"/>
      <w:marRight w:val="0"/>
      <w:marTop w:val="0"/>
      <w:marBottom w:val="0"/>
      <w:divBdr>
        <w:top w:val="none" w:sz="0" w:space="0" w:color="auto"/>
        <w:left w:val="none" w:sz="0" w:space="0" w:color="auto"/>
        <w:bottom w:val="none" w:sz="0" w:space="0" w:color="auto"/>
        <w:right w:val="none" w:sz="0" w:space="0" w:color="auto"/>
      </w:divBdr>
    </w:div>
    <w:div w:id="1535194650">
      <w:bodyDiv w:val="1"/>
      <w:marLeft w:val="0"/>
      <w:marRight w:val="0"/>
      <w:marTop w:val="0"/>
      <w:marBottom w:val="0"/>
      <w:divBdr>
        <w:top w:val="none" w:sz="0" w:space="0" w:color="auto"/>
        <w:left w:val="none" w:sz="0" w:space="0" w:color="auto"/>
        <w:bottom w:val="none" w:sz="0" w:space="0" w:color="auto"/>
        <w:right w:val="none" w:sz="0" w:space="0" w:color="auto"/>
      </w:divBdr>
      <w:divsChild>
        <w:div w:id="1584534615">
          <w:marLeft w:val="0"/>
          <w:marRight w:val="0"/>
          <w:marTop w:val="0"/>
          <w:marBottom w:val="0"/>
          <w:divBdr>
            <w:top w:val="none" w:sz="0" w:space="0" w:color="auto"/>
            <w:left w:val="none" w:sz="0" w:space="0" w:color="auto"/>
            <w:bottom w:val="none" w:sz="0" w:space="0" w:color="auto"/>
            <w:right w:val="none" w:sz="0" w:space="0" w:color="auto"/>
          </w:divBdr>
          <w:divsChild>
            <w:div w:id="185758634">
              <w:marLeft w:val="0"/>
              <w:marRight w:val="0"/>
              <w:marTop w:val="0"/>
              <w:marBottom w:val="0"/>
              <w:divBdr>
                <w:top w:val="none" w:sz="0" w:space="0" w:color="auto"/>
                <w:left w:val="none" w:sz="0" w:space="0" w:color="auto"/>
                <w:bottom w:val="none" w:sz="0" w:space="0" w:color="auto"/>
                <w:right w:val="none" w:sz="0" w:space="0" w:color="auto"/>
              </w:divBdr>
              <w:divsChild>
                <w:div w:id="14754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7760">
      <w:bodyDiv w:val="1"/>
      <w:marLeft w:val="0"/>
      <w:marRight w:val="0"/>
      <w:marTop w:val="0"/>
      <w:marBottom w:val="0"/>
      <w:divBdr>
        <w:top w:val="none" w:sz="0" w:space="0" w:color="auto"/>
        <w:left w:val="none" w:sz="0" w:space="0" w:color="auto"/>
        <w:bottom w:val="none" w:sz="0" w:space="0" w:color="auto"/>
        <w:right w:val="none" w:sz="0" w:space="0" w:color="auto"/>
      </w:divBdr>
      <w:divsChild>
        <w:div w:id="2114401583">
          <w:marLeft w:val="0"/>
          <w:marRight w:val="0"/>
          <w:marTop w:val="0"/>
          <w:marBottom w:val="0"/>
          <w:divBdr>
            <w:top w:val="none" w:sz="0" w:space="0" w:color="auto"/>
            <w:left w:val="none" w:sz="0" w:space="0" w:color="auto"/>
            <w:bottom w:val="none" w:sz="0" w:space="0" w:color="auto"/>
            <w:right w:val="none" w:sz="0" w:space="0" w:color="auto"/>
          </w:divBdr>
          <w:divsChild>
            <w:div w:id="639382488">
              <w:marLeft w:val="0"/>
              <w:marRight w:val="0"/>
              <w:marTop w:val="0"/>
              <w:marBottom w:val="0"/>
              <w:divBdr>
                <w:top w:val="none" w:sz="0" w:space="0" w:color="auto"/>
                <w:left w:val="none" w:sz="0" w:space="0" w:color="auto"/>
                <w:bottom w:val="none" w:sz="0" w:space="0" w:color="auto"/>
                <w:right w:val="none" w:sz="0" w:space="0" w:color="auto"/>
              </w:divBdr>
              <w:divsChild>
                <w:div w:id="477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1116">
      <w:bodyDiv w:val="1"/>
      <w:marLeft w:val="0"/>
      <w:marRight w:val="0"/>
      <w:marTop w:val="0"/>
      <w:marBottom w:val="0"/>
      <w:divBdr>
        <w:top w:val="none" w:sz="0" w:space="0" w:color="auto"/>
        <w:left w:val="none" w:sz="0" w:space="0" w:color="auto"/>
        <w:bottom w:val="none" w:sz="0" w:space="0" w:color="auto"/>
        <w:right w:val="none" w:sz="0" w:space="0" w:color="auto"/>
      </w:divBdr>
      <w:divsChild>
        <w:div w:id="1639604787">
          <w:marLeft w:val="0"/>
          <w:marRight w:val="0"/>
          <w:marTop w:val="0"/>
          <w:marBottom w:val="0"/>
          <w:divBdr>
            <w:top w:val="none" w:sz="0" w:space="0" w:color="auto"/>
            <w:left w:val="none" w:sz="0" w:space="0" w:color="auto"/>
            <w:bottom w:val="none" w:sz="0" w:space="0" w:color="auto"/>
            <w:right w:val="none" w:sz="0" w:space="0" w:color="auto"/>
          </w:divBdr>
          <w:divsChild>
            <w:div w:id="1006862234">
              <w:marLeft w:val="0"/>
              <w:marRight w:val="0"/>
              <w:marTop w:val="0"/>
              <w:marBottom w:val="0"/>
              <w:divBdr>
                <w:top w:val="none" w:sz="0" w:space="0" w:color="auto"/>
                <w:left w:val="none" w:sz="0" w:space="0" w:color="auto"/>
                <w:bottom w:val="none" w:sz="0" w:space="0" w:color="auto"/>
                <w:right w:val="none" w:sz="0" w:space="0" w:color="auto"/>
              </w:divBdr>
              <w:divsChild>
                <w:div w:id="1135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54320">
      <w:bodyDiv w:val="1"/>
      <w:marLeft w:val="0"/>
      <w:marRight w:val="0"/>
      <w:marTop w:val="0"/>
      <w:marBottom w:val="0"/>
      <w:divBdr>
        <w:top w:val="none" w:sz="0" w:space="0" w:color="auto"/>
        <w:left w:val="none" w:sz="0" w:space="0" w:color="auto"/>
        <w:bottom w:val="none" w:sz="0" w:space="0" w:color="auto"/>
        <w:right w:val="none" w:sz="0" w:space="0" w:color="auto"/>
      </w:divBdr>
      <w:divsChild>
        <w:div w:id="1772164627">
          <w:marLeft w:val="0"/>
          <w:marRight w:val="0"/>
          <w:marTop w:val="0"/>
          <w:marBottom w:val="0"/>
          <w:divBdr>
            <w:top w:val="none" w:sz="0" w:space="0" w:color="auto"/>
            <w:left w:val="none" w:sz="0" w:space="0" w:color="auto"/>
            <w:bottom w:val="none" w:sz="0" w:space="0" w:color="auto"/>
            <w:right w:val="none" w:sz="0" w:space="0" w:color="auto"/>
          </w:divBdr>
          <w:divsChild>
            <w:div w:id="1260676773">
              <w:marLeft w:val="0"/>
              <w:marRight w:val="0"/>
              <w:marTop w:val="0"/>
              <w:marBottom w:val="0"/>
              <w:divBdr>
                <w:top w:val="none" w:sz="0" w:space="0" w:color="auto"/>
                <w:left w:val="none" w:sz="0" w:space="0" w:color="auto"/>
                <w:bottom w:val="none" w:sz="0" w:space="0" w:color="auto"/>
                <w:right w:val="none" w:sz="0" w:space="0" w:color="auto"/>
              </w:divBdr>
              <w:divsChild>
                <w:div w:id="9912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7100">
      <w:bodyDiv w:val="1"/>
      <w:marLeft w:val="0"/>
      <w:marRight w:val="0"/>
      <w:marTop w:val="0"/>
      <w:marBottom w:val="0"/>
      <w:divBdr>
        <w:top w:val="none" w:sz="0" w:space="0" w:color="auto"/>
        <w:left w:val="none" w:sz="0" w:space="0" w:color="auto"/>
        <w:bottom w:val="none" w:sz="0" w:space="0" w:color="auto"/>
        <w:right w:val="none" w:sz="0" w:space="0" w:color="auto"/>
      </w:divBdr>
      <w:divsChild>
        <w:div w:id="938172792">
          <w:marLeft w:val="0"/>
          <w:marRight w:val="0"/>
          <w:marTop w:val="0"/>
          <w:marBottom w:val="0"/>
          <w:divBdr>
            <w:top w:val="none" w:sz="0" w:space="0" w:color="auto"/>
            <w:left w:val="none" w:sz="0" w:space="0" w:color="auto"/>
            <w:bottom w:val="none" w:sz="0" w:space="0" w:color="auto"/>
            <w:right w:val="none" w:sz="0" w:space="0" w:color="auto"/>
          </w:divBdr>
          <w:divsChild>
            <w:div w:id="246616310">
              <w:marLeft w:val="0"/>
              <w:marRight w:val="0"/>
              <w:marTop w:val="0"/>
              <w:marBottom w:val="0"/>
              <w:divBdr>
                <w:top w:val="none" w:sz="0" w:space="0" w:color="auto"/>
                <w:left w:val="none" w:sz="0" w:space="0" w:color="auto"/>
                <w:bottom w:val="none" w:sz="0" w:space="0" w:color="auto"/>
                <w:right w:val="none" w:sz="0" w:space="0" w:color="auto"/>
              </w:divBdr>
              <w:divsChild>
                <w:div w:id="2100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2501">
      <w:bodyDiv w:val="1"/>
      <w:marLeft w:val="0"/>
      <w:marRight w:val="0"/>
      <w:marTop w:val="0"/>
      <w:marBottom w:val="0"/>
      <w:divBdr>
        <w:top w:val="none" w:sz="0" w:space="0" w:color="auto"/>
        <w:left w:val="none" w:sz="0" w:space="0" w:color="auto"/>
        <w:bottom w:val="none" w:sz="0" w:space="0" w:color="auto"/>
        <w:right w:val="none" w:sz="0" w:space="0" w:color="auto"/>
      </w:divBdr>
      <w:divsChild>
        <w:div w:id="1305548944">
          <w:marLeft w:val="0"/>
          <w:marRight w:val="0"/>
          <w:marTop w:val="0"/>
          <w:marBottom w:val="0"/>
          <w:divBdr>
            <w:top w:val="none" w:sz="0" w:space="0" w:color="auto"/>
            <w:left w:val="none" w:sz="0" w:space="0" w:color="auto"/>
            <w:bottom w:val="none" w:sz="0" w:space="0" w:color="auto"/>
            <w:right w:val="none" w:sz="0" w:space="0" w:color="auto"/>
          </w:divBdr>
          <w:divsChild>
            <w:div w:id="759957596">
              <w:marLeft w:val="0"/>
              <w:marRight w:val="0"/>
              <w:marTop w:val="0"/>
              <w:marBottom w:val="0"/>
              <w:divBdr>
                <w:top w:val="none" w:sz="0" w:space="0" w:color="auto"/>
                <w:left w:val="none" w:sz="0" w:space="0" w:color="auto"/>
                <w:bottom w:val="none" w:sz="0" w:space="0" w:color="auto"/>
                <w:right w:val="none" w:sz="0" w:space="0" w:color="auto"/>
              </w:divBdr>
              <w:divsChild>
                <w:div w:id="14301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2387">
      <w:bodyDiv w:val="1"/>
      <w:marLeft w:val="0"/>
      <w:marRight w:val="0"/>
      <w:marTop w:val="0"/>
      <w:marBottom w:val="0"/>
      <w:divBdr>
        <w:top w:val="none" w:sz="0" w:space="0" w:color="auto"/>
        <w:left w:val="none" w:sz="0" w:space="0" w:color="auto"/>
        <w:bottom w:val="none" w:sz="0" w:space="0" w:color="auto"/>
        <w:right w:val="none" w:sz="0" w:space="0" w:color="auto"/>
      </w:divBdr>
      <w:divsChild>
        <w:div w:id="1355570876">
          <w:marLeft w:val="0"/>
          <w:marRight w:val="0"/>
          <w:marTop w:val="0"/>
          <w:marBottom w:val="0"/>
          <w:divBdr>
            <w:top w:val="none" w:sz="0" w:space="0" w:color="auto"/>
            <w:left w:val="none" w:sz="0" w:space="0" w:color="auto"/>
            <w:bottom w:val="none" w:sz="0" w:space="0" w:color="auto"/>
            <w:right w:val="none" w:sz="0" w:space="0" w:color="auto"/>
          </w:divBdr>
          <w:divsChild>
            <w:div w:id="1285651473">
              <w:marLeft w:val="0"/>
              <w:marRight w:val="0"/>
              <w:marTop w:val="0"/>
              <w:marBottom w:val="0"/>
              <w:divBdr>
                <w:top w:val="none" w:sz="0" w:space="0" w:color="auto"/>
                <w:left w:val="none" w:sz="0" w:space="0" w:color="auto"/>
                <w:bottom w:val="none" w:sz="0" w:space="0" w:color="auto"/>
                <w:right w:val="none" w:sz="0" w:space="0" w:color="auto"/>
              </w:divBdr>
              <w:divsChild>
                <w:div w:id="265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8477">
      <w:bodyDiv w:val="1"/>
      <w:marLeft w:val="0"/>
      <w:marRight w:val="0"/>
      <w:marTop w:val="0"/>
      <w:marBottom w:val="0"/>
      <w:divBdr>
        <w:top w:val="none" w:sz="0" w:space="0" w:color="auto"/>
        <w:left w:val="none" w:sz="0" w:space="0" w:color="auto"/>
        <w:bottom w:val="none" w:sz="0" w:space="0" w:color="auto"/>
        <w:right w:val="none" w:sz="0" w:space="0" w:color="auto"/>
      </w:divBdr>
      <w:divsChild>
        <w:div w:id="1487547571">
          <w:marLeft w:val="0"/>
          <w:marRight w:val="0"/>
          <w:marTop w:val="0"/>
          <w:marBottom w:val="0"/>
          <w:divBdr>
            <w:top w:val="none" w:sz="0" w:space="0" w:color="auto"/>
            <w:left w:val="none" w:sz="0" w:space="0" w:color="auto"/>
            <w:bottom w:val="none" w:sz="0" w:space="0" w:color="auto"/>
            <w:right w:val="none" w:sz="0" w:space="0" w:color="auto"/>
          </w:divBdr>
          <w:divsChild>
            <w:div w:id="638926601">
              <w:marLeft w:val="0"/>
              <w:marRight w:val="0"/>
              <w:marTop w:val="0"/>
              <w:marBottom w:val="0"/>
              <w:divBdr>
                <w:top w:val="none" w:sz="0" w:space="0" w:color="auto"/>
                <w:left w:val="none" w:sz="0" w:space="0" w:color="auto"/>
                <w:bottom w:val="none" w:sz="0" w:space="0" w:color="auto"/>
                <w:right w:val="none" w:sz="0" w:space="0" w:color="auto"/>
              </w:divBdr>
              <w:divsChild>
                <w:div w:id="1344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33399">
      <w:bodyDiv w:val="1"/>
      <w:marLeft w:val="0"/>
      <w:marRight w:val="0"/>
      <w:marTop w:val="0"/>
      <w:marBottom w:val="0"/>
      <w:divBdr>
        <w:top w:val="none" w:sz="0" w:space="0" w:color="auto"/>
        <w:left w:val="none" w:sz="0" w:space="0" w:color="auto"/>
        <w:bottom w:val="none" w:sz="0" w:space="0" w:color="auto"/>
        <w:right w:val="none" w:sz="0" w:space="0" w:color="auto"/>
      </w:divBdr>
      <w:divsChild>
        <w:div w:id="1514875843">
          <w:marLeft w:val="0"/>
          <w:marRight w:val="0"/>
          <w:marTop w:val="0"/>
          <w:marBottom w:val="0"/>
          <w:divBdr>
            <w:top w:val="none" w:sz="0" w:space="0" w:color="auto"/>
            <w:left w:val="none" w:sz="0" w:space="0" w:color="auto"/>
            <w:bottom w:val="none" w:sz="0" w:space="0" w:color="auto"/>
            <w:right w:val="none" w:sz="0" w:space="0" w:color="auto"/>
          </w:divBdr>
          <w:divsChild>
            <w:div w:id="1687829831">
              <w:marLeft w:val="0"/>
              <w:marRight w:val="0"/>
              <w:marTop w:val="0"/>
              <w:marBottom w:val="0"/>
              <w:divBdr>
                <w:top w:val="none" w:sz="0" w:space="0" w:color="auto"/>
                <w:left w:val="none" w:sz="0" w:space="0" w:color="auto"/>
                <w:bottom w:val="none" w:sz="0" w:space="0" w:color="auto"/>
                <w:right w:val="none" w:sz="0" w:space="0" w:color="auto"/>
              </w:divBdr>
              <w:divsChild>
                <w:div w:id="11157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68595">
      <w:bodyDiv w:val="1"/>
      <w:marLeft w:val="0"/>
      <w:marRight w:val="0"/>
      <w:marTop w:val="0"/>
      <w:marBottom w:val="0"/>
      <w:divBdr>
        <w:top w:val="none" w:sz="0" w:space="0" w:color="auto"/>
        <w:left w:val="none" w:sz="0" w:space="0" w:color="auto"/>
        <w:bottom w:val="none" w:sz="0" w:space="0" w:color="auto"/>
        <w:right w:val="none" w:sz="0" w:space="0" w:color="auto"/>
      </w:divBdr>
      <w:divsChild>
        <w:div w:id="1500464746">
          <w:marLeft w:val="0"/>
          <w:marRight w:val="0"/>
          <w:marTop w:val="0"/>
          <w:marBottom w:val="0"/>
          <w:divBdr>
            <w:top w:val="none" w:sz="0" w:space="0" w:color="auto"/>
            <w:left w:val="none" w:sz="0" w:space="0" w:color="auto"/>
            <w:bottom w:val="none" w:sz="0" w:space="0" w:color="auto"/>
            <w:right w:val="none" w:sz="0" w:space="0" w:color="auto"/>
          </w:divBdr>
          <w:divsChild>
            <w:div w:id="166022765">
              <w:marLeft w:val="0"/>
              <w:marRight w:val="0"/>
              <w:marTop w:val="0"/>
              <w:marBottom w:val="0"/>
              <w:divBdr>
                <w:top w:val="none" w:sz="0" w:space="0" w:color="auto"/>
                <w:left w:val="none" w:sz="0" w:space="0" w:color="auto"/>
                <w:bottom w:val="none" w:sz="0" w:space="0" w:color="auto"/>
                <w:right w:val="none" w:sz="0" w:space="0" w:color="auto"/>
              </w:divBdr>
              <w:divsChild>
                <w:div w:id="1020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27515951">
          <w:marLeft w:val="0"/>
          <w:marRight w:val="0"/>
          <w:marTop w:val="0"/>
          <w:marBottom w:val="0"/>
          <w:divBdr>
            <w:top w:val="none" w:sz="0" w:space="0" w:color="auto"/>
            <w:left w:val="none" w:sz="0" w:space="0" w:color="auto"/>
            <w:bottom w:val="none" w:sz="0" w:space="0" w:color="auto"/>
            <w:right w:val="none" w:sz="0" w:space="0" w:color="auto"/>
          </w:divBdr>
          <w:divsChild>
            <w:div w:id="1906210941">
              <w:marLeft w:val="0"/>
              <w:marRight w:val="0"/>
              <w:marTop w:val="0"/>
              <w:marBottom w:val="0"/>
              <w:divBdr>
                <w:top w:val="none" w:sz="0" w:space="0" w:color="auto"/>
                <w:left w:val="none" w:sz="0" w:space="0" w:color="auto"/>
                <w:bottom w:val="none" w:sz="0" w:space="0" w:color="auto"/>
                <w:right w:val="none" w:sz="0" w:space="0" w:color="auto"/>
              </w:divBdr>
              <w:divsChild>
                <w:div w:id="12145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10980">
      <w:bodyDiv w:val="1"/>
      <w:marLeft w:val="0"/>
      <w:marRight w:val="0"/>
      <w:marTop w:val="0"/>
      <w:marBottom w:val="0"/>
      <w:divBdr>
        <w:top w:val="none" w:sz="0" w:space="0" w:color="auto"/>
        <w:left w:val="none" w:sz="0" w:space="0" w:color="auto"/>
        <w:bottom w:val="none" w:sz="0" w:space="0" w:color="auto"/>
        <w:right w:val="none" w:sz="0" w:space="0" w:color="auto"/>
      </w:divBdr>
      <w:divsChild>
        <w:div w:id="153108367">
          <w:marLeft w:val="0"/>
          <w:marRight w:val="0"/>
          <w:marTop w:val="0"/>
          <w:marBottom w:val="0"/>
          <w:divBdr>
            <w:top w:val="none" w:sz="0" w:space="0" w:color="auto"/>
            <w:left w:val="none" w:sz="0" w:space="0" w:color="auto"/>
            <w:bottom w:val="none" w:sz="0" w:space="0" w:color="auto"/>
            <w:right w:val="none" w:sz="0" w:space="0" w:color="auto"/>
          </w:divBdr>
          <w:divsChild>
            <w:div w:id="37050191">
              <w:marLeft w:val="0"/>
              <w:marRight w:val="0"/>
              <w:marTop w:val="0"/>
              <w:marBottom w:val="0"/>
              <w:divBdr>
                <w:top w:val="none" w:sz="0" w:space="0" w:color="auto"/>
                <w:left w:val="none" w:sz="0" w:space="0" w:color="auto"/>
                <w:bottom w:val="none" w:sz="0" w:space="0" w:color="auto"/>
                <w:right w:val="none" w:sz="0" w:space="0" w:color="auto"/>
              </w:divBdr>
              <w:divsChild>
                <w:div w:id="18375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8933">
      <w:bodyDiv w:val="1"/>
      <w:marLeft w:val="0"/>
      <w:marRight w:val="0"/>
      <w:marTop w:val="0"/>
      <w:marBottom w:val="0"/>
      <w:divBdr>
        <w:top w:val="none" w:sz="0" w:space="0" w:color="auto"/>
        <w:left w:val="none" w:sz="0" w:space="0" w:color="auto"/>
        <w:bottom w:val="none" w:sz="0" w:space="0" w:color="auto"/>
        <w:right w:val="none" w:sz="0" w:space="0" w:color="auto"/>
      </w:divBdr>
      <w:divsChild>
        <w:div w:id="252319719">
          <w:marLeft w:val="0"/>
          <w:marRight w:val="0"/>
          <w:marTop w:val="0"/>
          <w:marBottom w:val="0"/>
          <w:divBdr>
            <w:top w:val="none" w:sz="0" w:space="0" w:color="auto"/>
            <w:left w:val="none" w:sz="0" w:space="0" w:color="auto"/>
            <w:bottom w:val="none" w:sz="0" w:space="0" w:color="auto"/>
            <w:right w:val="none" w:sz="0" w:space="0" w:color="auto"/>
          </w:divBdr>
          <w:divsChild>
            <w:div w:id="930553021">
              <w:marLeft w:val="0"/>
              <w:marRight w:val="0"/>
              <w:marTop w:val="0"/>
              <w:marBottom w:val="0"/>
              <w:divBdr>
                <w:top w:val="none" w:sz="0" w:space="0" w:color="auto"/>
                <w:left w:val="none" w:sz="0" w:space="0" w:color="auto"/>
                <w:bottom w:val="none" w:sz="0" w:space="0" w:color="auto"/>
                <w:right w:val="none" w:sz="0" w:space="0" w:color="auto"/>
              </w:divBdr>
              <w:divsChild>
                <w:div w:id="8266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1259">
      <w:bodyDiv w:val="1"/>
      <w:marLeft w:val="0"/>
      <w:marRight w:val="0"/>
      <w:marTop w:val="0"/>
      <w:marBottom w:val="0"/>
      <w:divBdr>
        <w:top w:val="none" w:sz="0" w:space="0" w:color="auto"/>
        <w:left w:val="none" w:sz="0" w:space="0" w:color="auto"/>
        <w:bottom w:val="none" w:sz="0" w:space="0" w:color="auto"/>
        <w:right w:val="none" w:sz="0" w:space="0" w:color="auto"/>
      </w:divBdr>
      <w:divsChild>
        <w:div w:id="1340155483">
          <w:marLeft w:val="0"/>
          <w:marRight w:val="0"/>
          <w:marTop w:val="0"/>
          <w:marBottom w:val="0"/>
          <w:divBdr>
            <w:top w:val="none" w:sz="0" w:space="0" w:color="auto"/>
            <w:left w:val="none" w:sz="0" w:space="0" w:color="auto"/>
            <w:bottom w:val="none" w:sz="0" w:space="0" w:color="auto"/>
            <w:right w:val="none" w:sz="0" w:space="0" w:color="auto"/>
          </w:divBdr>
          <w:divsChild>
            <w:div w:id="993946687">
              <w:marLeft w:val="0"/>
              <w:marRight w:val="0"/>
              <w:marTop w:val="0"/>
              <w:marBottom w:val="0"/>
              <w:divBdr>
                <w:top w:val="none" w:sz="0" w:space="0" w:color="auto"/>
                <w:left w:val="none" w:sz="0" w:space="0" w:color="auto"/>
                <w:bottom w:val="none" w:sz="0" w:space="0" w:color="auto"/>
                <w:right w:val="none" w:sz="0" w:space="0" w:color="auto"/>
              </w:divBdr>
              <w:divsChild>
                <w:div w:id="14705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7648">
      <w:bodyDiv w:val="1"/>
      <w:marLeft w:val="0"/>
      <w:marRight w:val="0"/>
      <w:marTop w:val="0"/>
      <w:marBottom w:val="0"/>
      <w:divBdr>
        <w:top w:val="none" w:sz="0" w:space="0" w:color="auto"/>
        <w:left w:val="none" w:sz="0" w:space="0" w:color="auto"/>
        <w:bottom w:val="none" w:sz="0" w:space="0" w:color="auto"/>
        <w:right w:val="none" w:sz="0" w:space="0" w:color="auto"/>
      </w:divBdr>
      <w:divsChild>
        <w:div w:id="1147240363">
          <w:marLeft w:val="0"/>
          <w:marRight w:val="0"/>
          <w:marTop w:val="0"/>
          <w:marBottom w:val="0"/>
          <w:divBdr>
            <w:top w:val="none" w:sz="0" w:space="0" w:color="auto"/>
            <w:left w:val="none" w:sz="0" w:space="0" w:color="auto"/>
            <w:bottom w:val="none" w:sz="0" w:space="0" w:color="auto"/>
            <w:right w:val="none" w:sz="0" w:space="0" w:color="auto"/>
          </w:divBdr>
          <w:divsChild>
            <w:div w:id="755976382">
              <w:marLeft w:val="0"/>
              <w:marRight w:val="0"/>
              <w:marTop w:val="0"/>
              <w:marBottom w:val="0"/>
              <w:divBdr>
                <w:top w:val="none" w:sz="0" w:space="0" w:color="auto"/>
                <w:left w:val="none" w:sz="0" w:space="0" w:color="auto"/>
                <w:bottom w:val="none" w:sz="0" w:space="0" w:color="auto"/>
                <w:right w:val="none" w:sz="0" w:space="0" w:color="auto"/>
              </w:divBdr>
              <w:divsChild>
                <w:div w:id="20716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0580">
      <w:bodyDiv w:val="1"/>
      <w:marLeft w:val="0"/>
      <w:marRight w:val="0"/>
      <w:marTop w:val="0"/>
      <w:marBottom w:val="0"/>
      <w:divBdr>
        <w:top w:val="none" w:sz="0" w:space="0" w:color="auto"/>
        <w:left w:val="none" w:sz="0" w:space="0" w:color="auto"/>
        <w:bottom w:val="none" w:sz="0" w:space="0" w:color="auto"/>
        <w:right w:val="none" w:sz="0" w:space="0" w:color="auto"/>
      </w:divBdr>
      <w:divsChild>
        <w:div w:id="1963144195">
          <w:marLeft w:val="0"/>
          <w:marRight w:val="0"/>
          <w:marTop w:val="0"/>
          <w:marBottom w:val="0"/>
          <w:divBdr>
            <w:top w:val="none" w:sz="0" w:space="0" w:color="auto"/>
            <w:left w:val="none" w:sz="0" w:space="0" w:color="auto"/>
            <w:bottom w:val="none" w:sz="0" w:space="0" w:color="auto"/>
            <w:right w:val="none" w:sz="0" w:space="0" w:color="auto"/>
          </w:divBdr>
          <w:divsChild>
            <w:div w:id="530144886">
              <w:marLeft w:val="0"/>
              <w:marRight w:val="0"/>
              <w:marTop w:val="0"/>
              <w:marBottom w:val="0"/>
              <w:divBdr>
                <w:top w:val="none" w:sz="0" w:space="0" w:color="auto"/>
                <w:left w:val="none" w:sz="0" w:space="0" w:color="auto"/>
                <w:bottom w:val="none" w:sz="0" w:space="0" w:color="auto"/>
                <w:right w:val="none" w:sz="0" w:space="0" w:color="auto"/>
              </w:divBdr>
              <w:divsChild>
                <w:div w:id="2104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1061">
      <w:bodyDiv w:val="1"/>
      <w:marLeft w:val="0"/>
      <w:marRight w:val="0"/>
      <w:marTop w:val="0"/>
      <w:marBottom w:val="0"/>
      <w:divBdr>
        <w:top w:val="none" w:sz="0" w:space="0" w:color="auto"/>
        <w:left w:val="none" w:sz="0" w:space="0" w:color="auto"/>
        <w:bottom w:val="none" w:sz="0" w:space="0" w:color="auto"/>
        <w:right w:val="none" w:sz="0" w:space="0" w:color="auto"/>
      </w:divBdr>
      <w:divsChild>
        <w:div w:id="545988663">
          <w:marLeft w:val="0"/>
          <w:marRight w:val="0"/>
          <w:marTop w:val="0"/>
          <w:marBottom w:val="0"/>
          <w:divBdr>
            <w:top w:val="none" w:sz="0" w:space="0" w:color="auto"/>
            <w:left w:val="none" w:sz="0" w:space="0" w:color="auto"/>
            <w:bottom w:val="none" w:sz="0" w:space="0" w:color="auto"/>
            <w:right w:val="none" w:sz="0" w:space="0" w:color="auto"/>
          </w:divBdr>
          <w:divsChild>
            <w:div w:id="1985236925">
              <w:marLeft w:val="0"/>
              <w:marRight w:val="0"/>
              <w:marTop w:val="0"/>
              <w:marBottom w:val="0"/>
              <w:divBdr>
                <w:top w:val="none" w:sz="0" w:space="0" w:color="auto"/>
                <w:left w:val="none" w:sz="0" w:space="0" w:color="auto"/>
                <w:bottom w:val="none" w:sz="0" w:space="0" w:color="auto"/>
                <w:right w:val="none" w:sz="0" w:space="0" w:color="auto"/>
              </w:divBdr>
              <w:divsChild>
                <w:div w:id="498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2280">
      <w:bodyDiv w:val="1"/>
      <w:marLeft w:val="0"/>
      <w:marRight w:val="0"/>
      <w:marTop w:val="0"/>
      <w:marBottom w:val="0"/>
      <w:divBdr>
        <w:top w:val="none" w:sz="0" w:space="0" w:color="auto"/>
        <w:left w:val="none" w:sz="0" w:space="0" w:color="auto"/>
        <w:bottom w:val="none" w:sz="0" w:space="0" w:color="auto"/>
        <w:right w:val="none" w:sz="0" w:space="0" w:color="auto"/>
      </w:divBdr>
      <w:divsChild>
        <w:div w:id="731198918">
          <w:marLeft w:val="0"/>
          <w:marRight w:val="0"/>
          <w:marTop w:val="0"/>
          <w:marBottom w:val="0"/>
          <w:divBdr>
            <w:top w:val="none" w:sz="0" w:space="0" w:color="auto"/>
            <w:left w:val="none" w:sz="0" w:space="0" w:color="auto"/>
            <w:bottom w:val="none" w:sz="0" w:space="0" w:color="auto"/>
            <w:right w:val="none" w:sz="0" w:space="0" w:color="auto"/>
          </w:divBdr>
          <w:divsChild>
            <w:div w:id="224608185">
              <w:marLeft w:val="0"/>
              <w:marRight w:val="0"/>
              <w:marTop w:val="0"/>
              <w:marBottom w:val="0"/>
              <w:divBdr>
                <w:top w:val="none" w:sz="0" w:space="0" w:color="auto"/>
                <w:left w:val="none" w:sz="0" w:space="0" w:color="auto"/>
                <w:bottom w:val="none" w:sz="0" w:space="0" w:color="auto"/>
                <w:right w:val="none" w:sz="0" w:space="0" w:color="auto"/>
              </w:divBdr>
              <w:divsChild>
                <w:div w:id="508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4642">
      <w:bodyDiv w:val="1"/>
      <w:marLeft w:val="0"/>
      <w:marRight w:val="0"/>
      <w:marTop w:val="0"/>
      <w:marBottom w:val="0"/>
      <w:divBdr>
        <w:top w:val="none" w:sz="0" w:space="0" w:color="auto"/>
        <w:left w:val="none" w:sz="0" w:space="0" w:color="auto"/>
        <w:bottom w:val="none" w:sz="0" w:space="0" w:color="auto"/>
        <w:right w:val="none" w:sz="0" w:space="0" w:color="auto"/>
      </w:divBdr>
      <w:divsChild>
        <w:div w:id="1776708428">
          <w:marLeft w:val="0"/>
          <w:marRight w:val="0"/>
          <w:marTop w:val="0"/>
          <w:marBottom w:val="0"/>
          <w:divBdr>
            <w:top w:val="none" w:sz="0" w:space="0" w:color="auto"/>
            <w:left w:val="none" w:sz="0" w:space="0" w:color="auto"/>
            <w:bottom w:val="none" w:sz="0" w:space="0" w:color="auto"/>
            <w:right w:val="none" w:sz="0" w:space="0" w:color="auto"/>
          </w:divBdr>
          <w:divsChild>
            <w:div w:id="192503180">
              <w:marLeft w:val="0"/>
              <w:marRight w:val="0"/>
              <w:marTop w:val="0"/>
              <w:marBottom w:val="0"/>
              <w:divBdr>
                <w:top w:val="none" w:sz="0" w:space="0" w:color="auto"/>
                <w:left w:val="none" w:sz="0" w:space="0" w:color="auto"/>
                <w:bottom w:val="none" w:sz="0" w:space="0" w:color="auto"/>
                <w:right w:val="none" w:sz="0" w:space="0" w:color="auto"/>
              </w:divBdr>
              <w:divsChild>
                <w:div w:id="20508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old.clad.org/documentos/declaraciones/Carta%20Iberoamericana%20de%20los%20deberes%20y%20derechos%20-%20documento%20aprobado.pdf" TargetMode="External"/><Relationship Id="rId2" Type="http://schemas.openxmlformats.org/officeDocument/2006/relationships/hyperlink" Target="http://hj.tribunalconstitucional.es/" TargetMode="External"/><Relationship Id="rId1" Type="http://schemas.openxmlformats.org/officeDocument/2006/relationships/hyperlink" Target="http://www.congreso.es/consti/constitucion/indice/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AEE9-F82A-4D6F-85C8-BAF3F552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11971</Words>
  <Characters>65841</Characters>
  <Application>Microsoft Office Word</Application>
  <DocSecurity>0</DocSecurity>
  <Lines>548</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8</cp:revision>
  <cp:lastPrinted>2016-06-22T21:54:00Z</cp:lastPrinted>
  <dcterms:created xsi:type="dcterms:W3CDTF">2016-06-23T21:53:00Z</dcterms:created>
  <dcterms:modified xsi:type="dcterms:W3CDTF">2016-06-27T17:00:00Z</dcterms:modified>
</cp:coreProperties>
</file>