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F6EFE" w14:textId="77777777" w:rsidR="00AD360E" w:rsidRDefault="00AD360E" w:rsidP="00AD360E">
      <w:pPr>
        <w:jc w:val="center"/>
        <w:rPr>
          <w:rFonts w:ascii="Verdana" w:hAnsi="Verdana" w:cs="Times New Roman"/>
          <w:b/>
          <w:caps/>
          <w:sz w:val="20"/>
          <w:szCs w:val="20"/>
        </w:rPr>
      </w:pPr>
    </w:p>
    <w:p w14:paraId="3CE20700" w14:textId="77777777" w:rsidR="00AD360E" w:rsidRDefault="00AD360E" w:rsidP="00AD360E">
      <w:pPr>
        <w:jc w:val="center"/>
        <w:rPr>
          <w:rFonts w:ascii="Verdana" w:hAnsi="Verdana" w:cs="Times New Roman"/>
          <w:b/>
          <w:caps/>
          <w:sz w:val="20"/>
          <w:szCs w:val="20"/>
        </w:rPr>
      </w:pPr>
    </w:p>
    <w:p w14:paraId="5EA54DFC" w14:textId="77777777" w:rsidR="00DE4860" w:rsidRDefault="00DE4860" w:rsidP="00AD360E">
      <w:pPr>
        <w:jc w:val="center"/>
        <w:rPr>
          <w:rFonts w:ascii="Verdana" w:hAnsi="Verdana" w:cs="Times New Roman"/>
          <w:b/>
          <w:caps/>
          <w:sz w:val="20"/>
          <w:szCs w:val="20"/>
        </w:rPr>
      </w:pPr>
    </w:p>
    <w:p w14:paraId="06AD9A70" w14:textId="77777777" w:rsidR="00DE4860" w:rsidRDefault="00DE4860" w:rsidP="00AD360E">
      <w:pPr>
        <w:jc w:val="center"/>
        <w:rPr>
          <w:rFonts w:ascii="Verdana" w:hAnsi="Verdana" w:cs="Times New Roman"/>
          <w:b/>
          <w:caps/>
          <w:sz w:val="20"/>
          <w:szCs w:val="20"/>
        </w:rPr>
      </w:pPr>
    </w:p>
    <w:p w14:paraId="4D0A5EA7" w14:textId="77777777" w:rsidR="00DE4860" w:rsidRDefault="00DE4860" w:rsidP="00AD360E">
      <w:pPr>
        <w:jc w:val="center"/>
        <w:rPr>
          <w:rFonts w:ascii="Verdana" w:hAnsi="Verdana" w:cs="Times New Roman"/>
          <w:b/>
          <w:caps/>
          <w:sz w:val="20"/>
          <w:szCs w:val="20"/>
        </w:rPr>
      </w:pPr>
    </w:p>
    <w:p w14:paraId="3D0699E6" w14:textId="77777777" w:rsidR="00AD360E" w:rsidRPr="003341C9" w:rsidRDefault="00AD360E" w:rsidP="00DE4860">
      <w:pPr>
        <w:rPr>
          <w:rFonts w:ascii="Verdana" w:hAnsi="Verdana" w:cs="Times New Roman"/>
          <w:b/>
          <w:caps/>
          <w:sz w:val="20"/>
          <w:szCs w:val="20"/>
          <w:lang w:val="en-US"/>
        </w:rPr>
      </w:pPr>
    </w:p>
    <w:p w14:paraId="09EC1334" w14:textId="15A32601" w:rsidR="00A25DA7" w:rsidRPr="003D4E91" w:rsidRDefault="0012613C" w:rsidP="00AD360E">
      <w:pPr>
        <w:jc w:val="center"/>
        <w:rPr>
          <w:rFonts w:ascii="Verdana" w:hAnsi="Verdana" w:cs="Times New Roman"/>
          <w:b/>
          <w:caps/>
          <w:sz w:val="20"/>
          <w:szCs w:val="20"/>
        </w:rPr>
      </w:pPr>
      <w:r w:rsidRPr="003D4E91">
        <w:rPr>
          <w:rFonts w:ascii="Verdana" w:hAnsi="Verdana" w:cs="Times New Roman"/>
          <w:b/>
          <w:caps/>
          <w:sz w:val="20"/>
          <w:szCs w:val="20"/>
        </w:rPr>
        <w:t>VOTO CONCURRENTE DEL</w:t>
      </w:r>
    </w:p>
    <w:p w14:paraId="4D8D6364" w14:textId="09257392" w:rsidR="0012613C" w:rsidRPr="003D4E91" w:rsidRDefault="0012613C" w:rsidP="00AD360E">
      <w:pPr>
        <w:jc w:val="center"/>
        <w:rPr>
          <w:rFonts w:ascii="Verdana" w:hAnsi="Verdana" w:cs="Times New Roman"/>
          <w:b/>
          <w:caps/>
          <w:sz w:val="20"/>
          <w:szCs w:val="20"/>
        </w:rPr>
      </w:pPr>
      <w:r w:rsidRPr="003D4E91">
        <w:rPr>
          <w:rFonts w:ascii="Verdana" w:hAnsi="Verdana" w:cs="Times New Roman"/>
          <w:b/>
          <w:caps/>
          <w:sz w:val="20"/>
          <w:szCs w:val="20"/>
        </w:rPr>
        <w:t>JUEZ EDUARDO FERRER MAC-GREGOR POISOT</w:t>
      </w:r>
    </w:p>
    <w:p w14:paraId="2836DF66" w14:textId="77777777" w:rsidR="001D59FD" w:rsidRPr="00DC6005" w:rsidRDefault="001D59FD" w:rsidP="00AD360E">
      <w:pPr>
        <w:jc w:val="center"/>
        <w:rPr>
          <w:rFonts w:ascii="Verdana" w:hAnsi="Verdana" w:cs="Times New Roman"/>
          <w:caps/>
          <w:sz w:val="20"/>
          <w:szCs w:val="20"/>
        </w:rPr>
      </w:pPr>
    </w:p>
    <w:p w14:paraId="756CEA28" w14:textId="66355CD2" w:rsidR="0012613C" w:rsidRPr="003D4E91" w:rsidRDefault="00944821" w:rsidP="00AD360E">
      <w:pPr>
        <w:jc w:val="center"/>
        <w:rPr>
          <w:rFonts w:ascii="Verdana" w:hAnsi="Verdana" w:cs="Times New Roman"/>
          <w:b/>
          <w:i/>
          <w:caps/>
          <w:sz w:val="20"/>
          <w:szCs w:val="20"/>
          <w:u w:val="single"/>
        </w:rPr>
      </w:pPr>
      <w:r w:rsidRPr="003D4E91">
        <w:rPr>
          <w:rFonts w:ascii="Verdana" w:hAnsi="Verdana" w:cs="Times New Roman"/>
          <w:b/>
          <w:i/>
          <w:caps/>
          <w:sz w:val="20"/>
          <w:szCs w:val="20"/>
          <w:u w:val="single"/>
        </w:rPr>
        <w:t>caso lagos del cA</w:t>
      </w:r>
      <w:r w:rsidR="00A25DA7" w:rsidRPr="003D4E91">
        <w:rPr>
          <w:rFonts w:ascii="Verdana" w:hAnsi="Verdana" w:cs="Times New Roman"/>
          <w:b/>
          <w:i/>
          <w:caps/>
          <w:sz w:val="20"/>
          <w:szCs w:val="20"/>
          <w:u w:val="single"/>
        </w:rPr>
        <w:t>mpo vs. perú</w:t>
      </w:r>
      <w:r w:rsidR="0012613C" w:rsidRPr="003D4E91">
        <w:rPr>
          <w:rFonts w:ascii="Verdana" w:hAnsi="Verdana" w:cs="Times New Roman"/>
          <w:b/>
          <w:i/>
          <w:caps/>
          <w:sz w:val="20"/>
          <w:szCs w:val="20"/>
          <w:u w:val="single"/>
        </w:rPr>
        <w:t xml:space="preserve"> </w:t>
      </w:r>
    </w:p>
    <w:p w14:paraId="5C25103D" w14:textId="77777777" w:rsidR="001D59FD" w:rsidRPr="003D4E91" w:rsidRDefault="001D59FD" w:rsidP="00AD360E">
      <w:pPr>
        <w:jc w:val="center"/>
        <w:rPr>
          <w:rFonts w:ascii="Verdana" w:hAnsi="Verdana" w:cs="Times New Roman"/>
          <w:b/>
          <w:caps/>
          <w:sz w:val="20"/>
          <w:szCs w:val="20"/>
        </w:rPr>
      </w:pPr>
    </w:p>
    <w:p w14:paraId="442AC73F" w14:textId="5C92B89E" w:rsidR="0012613C" w:rsidRPr="003D4E91" w:rsidRDefault="0012613C" w:rsidP="00AD360E">
      <w:pPr>
        <w:jc w:val="center"/>
        <w:rPr>
          <w:rFonts w:ascii="Verdana" w:hAnsi="Verdana" w:cs="Times New Roman"/>
          <w:b/>
          <w:caps/>
          <w:sz w:val="18"/>
          <w:szCs w:val="18"/>
        </w:rPr>
      </w:pPr>
      <w:r w:rsidRPr="003D4E91">
        <w:rPr>
          <w:rFonts w:ascii="Verdana" w:hAnsi="Verdana" w:cs="Times New Roman"/>
          <w:b/>
          <w:caps/>
          <w:sz w:val="18"/>
          <w:szCs w:val="18"/>
        </w:rPr>
        <w:t xml:space="preserve">Sentencia de </w:t>
      </w:r>
      <w:r w:rsidR="003C6C24" w:rsidRPr="003D4E91">
        <w:rPr>
          <w:rFonts w:ascii="Verdana" w:hAnsi="Verdana" w:cs="Times New Roman"/>
          <w:b/>
          <w:caps/>
          <w:sz w:val="18"/>
          <w:szCs w:val="18"/>
        </w:rPr>
        <w:t>31</w:t>
      </w:r>
      <w:r w:rsidRPr="003D4E91">
        <w:rPr>
          <w:rFonts w:ascii="Verdana" w:hAnsi="Verdana" w:cs="Times New Roman"/>
          <w:b/>
          <w:caps/>
          <w:sz w:val="18"/>
          <w:szCs w:val="18"/>
        </w:rPr>
        <w:t xml:space="preserve"> de</w:t>
      </w:r>
      <w:r w:rsidR="003C6C24" w:rsidRPr="003D4E91">
        <w:rPr>
          <w:rFonts w:ascii="Verdana" w:hAnsi="Verdana" w:cs="Times New Roman"/>
          <w:b/>
          <w:caps/>
          <w:sz w:val="18"/>
          <w:szCs w:val="18"/>
        </w:rPr>
        <w:t xml:space="preserve"> agosto de</w:t>
      </w:r>
      <w:r w:rsidRPr="003D4E91">
        <w:rPr>
          <w:rFonts w:ascii="Verdana" w:hAnsi="Verdana" w:cs="Times New Roman"/>
          <w:b/>
          <w:caps/>
          <w:sz w:val="18"/>
          <w:szCs w:val="18"/>
        </w:rPr>
        <w:t xml:space="preserve"> 2017</w:t>
      </w:r>
    </w:p>
    <w:p w14:paraId="05B609F3" w14:textId="33A85052" w:rsidR="00E3412E" w:rsidRPr="003D4E91" w:rsidRDefault="001D59FD" w:rsidP="00AD360E">
      <w:pPr>
        <w:widowControl w:val="0"/>
        <w:autoSpaceDE w:val="0"/>
        <w:autoSpaceDN w:val="0"/>
        <w:adjustRightInd w:val="0"/>
        <w:jc w:val="center"/>
        <w:rPr>
          <w:rFonts w:ascii="Verdana" w:hAnsi="Verdana" w:cs="Times New Roman"/>
          <w:b/>
          <w:i/>
          <w:caps/>
          <w:sz w:val="18"/>
          <w:szCs w:val="18"/>
        </w:rPr>
      </w:pPr>
      <w:r w:rsidRPr="003D4E91">
        <w:rPr>
          <w:rFonts w:ascii="Verdana" w:hAnsi="Verdana" w:cs="Times New Roman"/>
          <w:b/>
          <w:i/>
          <w:caps/>
          <w:sz w:val="18"/>
          <w:szCs w:val="18"/>
        </w:rPr>
        <w:t>(</w:t>
      </w:r>
      <w:r w:rsidR="0012613C" w:rsidRPr="003D4E91">
        <w:rPr>
          <w:rFonts w:ascii="Verdana" w:hAnsi="Verdana" w:cs="Times New Roman"/>
          <w:b/>
          <w:i/>
          <w:caps/>
          <w:sz w:val="18"/>
          <w:szCs w:val="18"/>
        </w:rPr>
        <w:t>Excepciones preliminares, fondo, reparaciones y costas</w:t>
      </w:r>
      <w:r w:rsidRPr="003D4E91">
        <w:rPr>
          <w:rFonts w:ascii="Verdana" w:hAnsi="Verdana" w:cs="Times New Roman"/>
          <w:b/>
          <w:i/>
          <w:caps/>
          <w:sz w:val="18"/>
          <w:szCs w:val="18"/>
        </w:rPr>
        <w:t>)</w:t>
      </w:r>
    </w:p>
    <w:p w14:paraId="70C39243" w14:textId="77777777" w:rsidR="003D4E91" w:rsidRDefault="003D4E91" w:rsidP="00AD360E">
      <w:pPr>
        <w:widowControl w:val="0"/>
        <w:autoSpaceDE w:val="0"/>
        <w:autoSpaceDN w:val="0"/>
        <w:adjustRightInd w:val="0"/>
        <w:rPr>
          <w:rFonts w:ascii="Verdana" w:hAnsi="Verdana" w:cs="Times New Roman"/>
          <w:i/>
          <w:sz w:val="20"/>
          <w:szCs w:val="20"/>
        </w:rPr>
      </w:pPr>
    </w:p>
    <w:p w14:paraId="7755107A" w14:textId="4133C4D3" w:rsidR="00071BDF" w:rsidRPr="00DC6005" w:rsidRDefault="00197873" w:rsidP="00AD360E">
      <w:pPr>
        <w:widowControl w:val="0"/>
        <w:autoSpaceDE w:val="0"/>
        <w:autoSpaceDN w:val="0"/>
        <w:adjustRightInd w:val="0"/>
        <w:jc w:val="center"/>
        <w:rPr>
          <w:rFonts w:ascii="Verdana" w:hAnsi="Verdana" w:cs="Times New Roman"/>
          <w:i/>
          <w:sz w:val="20"/>
          <w:szCs w:val="20"/>
        </w:rPr>
      </w:pPr>
      <w:r w:rsidRPr="00DC6005">
        <w:rPr>
          <w:rFonts w:ascii="Verdana" w:hAnsi="Verdana" w:cs="Times New Roman"/>
          <w:i/>
          <w:sz w:val="20"/>
          <w:szCs w:val="20"/>
        </w:rPr>
        <w:t xml:space="preserve">LA JUSTICIABILIDAD DIRECTA DE LOS </w:t>
      </w:r>
    </w:p>
    <w:p w14:paraId="1923D27C" w14:textId="15661C32" w:rsidR="00071BDF" w:rsidRPr="00DC6005" w:rsidRDefault="00197873" w:rsidP="00AD360E">
      <w:pPr>
        <w:widowControl w:val="0"/>
        <w:autoSpaceDE w:val="0"/>
        <w:autoSpaceDN w:val="0"/>
        <w:adjustRightInd w:val="0"/>
        <w:jc w:val="center"/>
        <w:rPr>
          <w:rFonts w:ascii="Verdana" w:hAnsi="Verdana" w:cs="Times New Roman"/>
          <w:i/>
          <w:sz w:val="20"/>
          <w:szCs w:val="20"/>
        </w:rPr>
      </w:pPr>
      <w:r w:rsidRPr="00DC6005">
        <w:rPr>
          <w:rFonts w:ascii="Verdana" w:hAnsi="Verdana" w:cs="Times New Roman"/>
          <w:i/>
          <w:sz w:val="20"/>
          <w:szCs w:val="20"/>
        </w:rPr>
        <w:t xml:space="preserve">DERECHOS ECONÓMICOS, SOCIALES, CULTURALES Y AMBIENTALES: </w:t>
      </w:r>
    </w:p>
    <w:p w14:paraId="38CAA60D" w14:textId="0E4E9273" w:rsidR="00D14043" w:rsidRPr="00DC6005" w:rsidRDefault="00197873" w:rsidP="00AD360E">
      <w:pPr>
        <w:widowControl w:val="0"/>
        <w:autoSpaceDE w:val="0"/>
        <w:autoSpaceDN w:val="0"/>
        <w:adjustRightInd w:val="0"/>
        <w:jc w:val="center"/>
        <w:rPr>
          <w:rFonts w:ascii="Verdana" w:hAnsi="Verdana" w:cs="Times New Roman"/>
          <w:i/>
          <w:sz w:val="20"/>
          <w:szCs w:val="20"/>
        </w:rPr>
      </w:pPr>
      <w:r w:rsidRPr="00DC6005">
        <w:rPr>
          <w:rFonts w:ascii="Verdana" w:hAnsi="Verdana" w:cs="Times New Roman"/>
          <w:i/>
          <w:sz w:val="20"/>
          <w:szCs w:val="20"/>
        </w:rPr>
        <w:t>UNA NUEVA ETAPA EN LA JURISPRUDENCIA INTERAMERICANA</w:t>
      </w:r>
    </w:p>
    <w:p w14:paraId="1B26A5E1" w14:textId="77777777" w:rsidR="009E0482" w:rsidRDefault="009E0482" w:rsidP="00AD360E">
      <w:pPr>
        <w:widowControl w:val="0"/>
        <w:autoSpaceDE w:val="0"/>
        <w:autoSpaceDN w:val="0"/>
        <w:adjustRightInd w:val="0"/>
        <w:jc w:val="center"/>
        <w:rPr>
          <w:rFonts w:ascii="Verdana" w:hAnsi="Verdana" w:cs="Times New Roman"/>
          <w:b/>
          <w:sz w:val="20"/>
          <w:szCs w:val="20"/>
        </w:rPr>
      </w:pPr>
    </w:p>
    <w:p w14:paraId="25FAB6A1" w14:textId="1FE17118" w:rsidR="00A1496A" w:rsidRDefault="00200095" w:rsidP="00AD360E">
      <w:pPr>
        <w:pStyle w:val="ListParagraph"/>
        <w:widowControl w:val="0"/>
        <w:numPr>
          <w:ilvl w:val="0"/>
          <w:numId w:val="2"/>
        </w:numPr>
        <w:autoSpaceDE w:val="0"/>
        <w:autoSpaceDN w:val="0"/>
        <w:adjustRightInd w:val="0"/>
        <w:ind w:left="0" w:firstLine="0"/>
        <w:jc w:val="both"/>
        <w:rPr>
          <w:rFonts w:ascii="Verdana" w:hAnsi="Verdana" w:cs="Times New Roman"/>
          <w:sz w:val="20"/>
          <w:szCs w:val="20"/>
        </w:rPr>
      </w:pPr>
      <w:r w:rsidRPr="000A31C6">
        <w:rPr>
          <w:rFonts w:ascii="Verdana" w:hAnsi="Verdana" w:cs="Times New Roman"/>
          <w:sz w:val="20"/>
          <w:szCs w:val="20"/>
        </w:rPr>
        <w:t xml:space="preserve">El caso </w:t>
      </w:r>
      <w:r w:rsidRPr="000A31C6">
        <w:rPr>
          <w:rFonts w:ascii="Verdana" w:hAnsi="Verdana" w:cs="Times New Roman"/>
          <w:i/>
          <w:sz w:val="20"/>
          <w:szCs w:val="20"/>
        </w:rPr>
        <w:t xml:space="preserve">Lagos del Campos Vs. Perú </w:t>
      </w:r>
      <w:r w:rsidRPr="000A31C6">
        <w:rPr>
          <w:rFonts w:ascii="Verdana" w:hAnsi="Verdana" w:cs="Times New Roman"/>
          <w:sz w:val="20"/>
          <w:szCs w:val="20"/>
        </w:rPr>
        <w:t xml:space="preserve">abre un </w:t>
      </w:r>
      <w:r w:rsidR="0077077F" w:rsidRPr="000A31C6">
        <w:rPr>
          <w:rFonts w:ascii="Verdana" w:hAnsi="Verdana" w:cs="Times New Roman"/>
          <w:sz w:val="20"/>
          <w:szCs w:val="20"/>
        </w:rPr>
        <w:t>nuevo</w:t>
      </w:r>
      <w:r w:rsidR="004C102F">
        <w:rPr>
          <w:rFonts w:ascii="Verdana" w:hAnsi="Verdana" w:cs="Times New Roman"/>
          <w:sz w:val="20"/>
          <w:szCs w:val="20"/>
        </w:rPr>
        <w:t xml:space="preserve"> y rico</w:t>
      </w:r>
      <w:r w:rsidR="0077077F" w:rsidRPr="000A31C6">
        <w:rPr>
          <w:rFonts w:ascii="Verdana" w:hAnsi="Verdana" w:cs="Times New Roman"/>
          <w:sz w:val="20"/>
          <w:szCs w:val="20"/>
        </w:rPr>
        <w:t xml:space="preserve"> horizonte </w:t>
      </w:r>
      <w:r w:rsidRPr="000A31C6">
        <w:rPr>
          <w:rFonts w:ascii="Verdana" w:hAnsi="Verdana" w:cs="Times New Roman"/>
          <w:sz w:val="20"/>
          <w:szCs w:val="20"/>
        </w:rPr>
        <w:t>en el Sistema In</w:t>
      </w:r>
      <w:r w:rsidR="002172FA" w:rsidRPr="000A31C6">
        <w:rPr>
          <w:rFonts w:ascii="Verdana" w:hAnsi="Verdana" w:cs="Times New Roman"/>
          <w:sz w:val="20"/>
          <w:szCs w:val="20"/>
        </w:rPr>
        <w:t>teramericano de Derechos Humanos</w:t>
      </w:r>
      <w:r w:rsidR="00A1496A">
        <w:rPr>
          <w:rFonts w:ascii="Verdana" w:hAnsi="Verdana" w:cs="Times New Roman"/>
          <w:sz w:val="20"/>
          <w:szCs w:val="20"/>
        </w:rPr>
        <w:t>.</w:t>
      </w:r>
      <w:r w:rsidR="00472FD4">
        <w:rPr>
          <w:rFonts w:ascii="Verdana" w:hAnsi="Verdana" w:cs="Times New Roman"/>
          <w:sz w:val="20"/>
          <w:szCs w:val="20"/>
        </w:rPr>
        <w:t xml:space="preserve"> Lo anterior debido a la interpretación evolutiva</w:t>
      </w:r>
      <w:r w:rsidR="00206283">
        <w:rPr>
          <w:rStyle w:val="FootnoteReference"/>
          <w:rFonts w:ascii="Verdana" w:hAnsi="Verdana" w:cs="Times New Roman"/>
          <w:sz w:val="20"/>
          <w:szCs w:val="20"/>
        </w:rPr>
        <w:footnoteReference w:id="1"/>
      </w:r>
      <w:r w:rsidR="00472FD4">
        <w:rPr>
          <w:rFonts w:ascii="Verdana" w:hAnsi="Verdana" w:cs="Times New Roman"/>
          <w:sz w:val="20"/>
          <w:szCs w:val="20"/>
        </w:rPr>
        <w:t xml:space="preserve"> que </w:t>
      </w:r>
      <w:r w:rsidR="00637792">
        <w:rPr>
          <w:rFonts w:ascii="Verdana" w:hAnsi="Verdana" w:cs="Times New Roman"/>
          <w:sz w:val="20"/>
          <w:szCs w:val="20"/>
        </w:rPr>
        <w:t>la Corte Interamericana de Derechos Humanos (en adelante “la Corte IDH” o “el Tribunal Interamericano”</w:t>
      </w:r>
      <w:r w:rsidR="007E09A0">
        <w:rPr>
          <w:rFonts w:ascii="Verdana" w:hAnsi="Verdana" w:cs="Times New Roman"/>
          <w:sz w:val="20"/>
          <w:szCs w:val="20"/>
        </w:rPr>
        <w:t>)</w:t>
      </w:r>
      <w:r w:rsidR="00637792">
        <w:rPr>
          <w:rFonts w:ascii="Verdana" w:hAnsi="Verdana" w:cs="Times New Roman"/>
          <w:sz w:val="20"/>
          <w:szCs w:val="20"/>
        </w:rPr>
        <w:t xml:space="preserve"> </w:t>
      </w:r>
      <w:r w:rsidR="00472FD4">
        <w:rPr>
          <w:rFonts w:ascii="Verdana" w:hAnsi="Verdana" w:cs="Times New Roman"/>
          <w:sz w:val="20"/>
          <w:szCs w:val="20"/>
        </w:rPr>
        <w:t>realiza del artículo 26 de la Convención Americana sobre Derechos Humanos (en adelante “Convención Americana” o “Pacto de San José”)</w:t>
      </w:r>
      <w:r w:rsidR="00347C3B">
        <w:rPr>
          <w:rFonts w:ascii="Verdana" w:hAnsi="Verdana" w:cs="Times New Roman"/>
          <w:sz w:val="20"/>
          <w:szCs w:val="20"/>
        </w:rPr>
        <w:t>.</w:t>
      </w:r>
      <w:r w:rsidR="007E09A0">
        <w:rPr>
          <w:rFonts w:ascii="Verdana" w:hAnsi="Verdana" w:cs="Times New Roman"/>
          <w:sz w:val="20"/>
          <w:szCs w:val="20"/>
        </w:rPr>
        <w:t xml:space="preserve"> </w:t>
      </w:r>
      <w:r w:rsidR="00347C3B">
        <w:rPr>
          <w:rFonts w:ascii="Verdana" w:hAnsi="Verdana" w:cs="Times New Roman"/>
          <w:sz w:val="20"/>
          <w:szCs w:val="20"/>
        </w:rPr>
        <w:t xml:space="preserve"> P</w:t>
      </w:r>
      <w:r w:rsidR="00472FD4">
        <w:rPr>
          <w:rFonts w:ascii="Verdana" w:hAnsi="Verdana" w:cs="Times New Roman"/>
          <w:sz w:val="20"/>
          <w:szCs w:val="20"/>
        </w:rPr>
        <w:t>articularmente</w:t>
      </w:r>
      <w:r w:rsidR="00347C3B">
        <w:rPr>
          <w:rFonts w:ascii="Verdana" w:hAnsi="Verdana" w:cs="Times New Roman"/>
          <w:sz w:val="20"/>
          <w:szCs w:val="20"/>
        </w:rPr>
        <w:t>,</w:t>
      </w:r>
      <w:r w:rsidR="00472FD4">
        <w:rPr>
          <w:rFonts w:ascii="Verdana" w:hAnsi="Verdana" w:cs="Times New Roman"/>
          <w:sz w:val="20"/>
          <w:szCs w:val="20"/>
        </w:rPr>
        <w:t xml:space="preserve"> </w:t>
      </w:r>
      <w:r w:rsidR="003F23A0">
        <w:rPr>
          <w:rFonts w:ascii="Verdana" w:hAnsi="Verdana" w:cs="Times New Roman"/>
          <w:sz w:val="20"/>
          <w:szCs w:val="20"/>
        </w:rPr>
        <w:t>por el paso q</w:t>
      </w:r>
      <w:r w:rsidR="00347C3B">
        <w:rPr>
          <w:rFonts w:ascii="Verdana" w:hAnsi="Verdana" w:cs="Times New Roman"/>
          <w:sz w:val="20"/>
          <w:szCs w:val="20"/>
        </w:rPr>
        <w:t>ue se d</w:t>
      </w:r>
      <w:r w:rsidR="003F23A0">
        <w:rPr>
          <w:rFonts w:ascii="Verdana" w:hAnsi="Verdana" w:cs="Times New Roman"/>
          <w:sz w:val="20"/>
          <w:szCs w:val="20"/>
        </w:rPr>
        <w:t xml:space="preserve">a </w:t>
      </w:r>
      <w:r w:rsidR="001776BD">
        <w:rPr>
          <w:rFonts w:ascii="Verdana" w:hAnsi="Verdana" w:cs="Times New Roman"/>
          <w:sz w:val="20"/>
          <w:szCs w:val="20"/>
        </w:rPr>
        <w:t>hacia</w:t>
      </w:r>
      <w:r w:rsidR="00637792">
        <w:rPr>
          <w:rFonts w:ascii="Verdana" w:hAnsi="Verdana" w:cs="Times New Roman"/>
          <w:sz w:val="20"/>
          <w:szCs w:val="20"/>
        </w:rPr>
        <w:t xml:space="preserve"> </w:t>
      </w:r>
      <w:r w:rsidR="003F23A0">
        <w:rPr>
          <w:rFonts w:ascii="Verdana" w:hAnsi="Verdana" w:cs="Times New Roman"/>
          <w:sz w:val="20"/>
          <w:szCs w:val="20"/>
        </w:rPr>
        <w:t xml:space="preserve">la </w:t>
      </w:r>
      <w:proofErr w:type="spellStart"/>
      <w:r w:rsidR="00472FD4">
        <w:rPr>
          <w:rFonts w:ascii="Verdana" w:hAnsi="Verdana" w:cs="Times New Roman"/>
          <w:sz w:val="20"/>
          <w:szCs w:val="20"/>
        </w:rPr>
        <w:t>justiciabilidad</w:t>
      </w:r>
      <w:proofErr w:type="spellEnd"/>
      <w:r w:rsidR="00472FD4">
        <w:rPr>
          <w:rFonts w:ascii="Verdana" w:hAnsi="Verdana" w:cs="Times New Roman"/>
          <w:sz w:val="20"/>
          <w:szCs w:val="20"/>
        </w:rPr>
        <w:t xml:space="preserve"> </w:t>
      </w:r>
      <w:r w:rsidR="003F23A0">
        <w:rPr>
          <w:rFonts w:ascii="Verdana" w:hAnsi="Verdana" w:cs="Times New Roman"/>
          <w:sz w:val="20"/>
          <w:szCs w:val="20"/>
        </w:rPr>
        <w:t xml:space="preserve">plena y directa </w:t>
      </w:r>
      <w:r w:rsidR="00472FD4">
        <w:rPr>
          <w:rFonts w:ascii="Verdana" w:hAnsi="Verdana" w:cs="Times New Roman"/>
          <w:sz w:val="20"/>
          <w:szCs w:val="20"/>
        </w:rPr>
        <w:t xml:space="preserve">de los derechos económicos, sociales, culturales y ambientales (en adelante “los DESCA” o “los derechos sociales”). </w:t>
      </w:r>
    </w:p>
    <w:p w14:paraId="44515B54" w14:textId="77777777" w:rsidR="00F15BE7" w:rsidRDefault="00F15BE7" w:rsidP="00AD360E">
      <w:pPr>
        <w:pStyle w:val="ListParagraph"/>
        <w:widowControl w:val="0"/>
        <w:autoSpaceDE w:val="0"/>
        <w:autoSpaceDN w:val="0"/>
        <w:adjustRightInd w:val="0"/>
        <w:ind w:left="0"/>
        <w:jc w:val="both"/>
        <w:rPr>
          <w:rFonts w:ascii="Verdana" w:hAnsi="Verdana" w:cs="Times New Roman"/>
          <w:sz w:val="20"/>
          <w:szCs w:val="20"/>
        </w:rPr>
      </w:pPr>
    </w:p>
    <w:p w14:paraId="4E36CB3F" w14:textId="105F960C" w:rsidR="002172FA" w:rsidRPr="00DB23E2" w:rsidRDefault="00200095" w:rsidP="00AD360E">
      <w:pPr>
        <w:pStyle w:val="ListParagraph"/>
        <w:widowControl w:val="0"/>
        <w:numPr>
          <w:ilvl w:val="0"/>
          <w:numId w:val="2"/>
        </w:numPr>
        <w:autoSpaceDE w:val="0"/>
        <w:autoSpaceDN w:val="0"/>
        <w:adjustRightInd w:val="0"/>
        <w:ind w:left="0" w:firstLine="0"/>
        <w:jc w:val="both"/>
        <w:rPr>
          <w:rFonts w:ascii="Verdana" w:hAnsi="Verdana" w:cs="Times New Roman"/>
          <w:sz w:val="20"/>
          <w:szCs w:val="20"/>
        </w:rPr>
      </w:pPr>
      <w:r w:rsidRPr="00EE74D4">
        <w:rPr>
          <w:rFonts w:ascii="Verdana" w:hAnsi="Verdana" w:cs="Times New Roman"/>
          <w:sz w:val="20"/>
          <w:szCs w:val="20"/>
          <w:u w:val="single"/>
        </w:rPr>
        <w:t>En primer lugar</w:t>
      </w:r>
      <w:r w:rsidRPr="000A31C6">
        <w:rPr>
          <w:rFonts w:ascii="Verdana" w:hAnsi="Verdana" w:cs="Times New Roman"/>
          <w:sz w:val="20"/>
          <w:szCs w:val="20"/>
        </w:rPr>
        <w:t xml:space="preserve">, </w:t>
      </w:r>
      <w:r w:rsidR="00A635E6">
        <w:rPr>
          <w:rFonts w:ascii="Verdana" w:hAnsi="Verdana" w:cs="Times New Roman"/>
          <w:sz w:val="20"/>
          <w:szCs w:val="20"/>
        </w:rPr>
        <w:t xml:space="preserve">en la Sentencia se </w:t>
      </w:r>
      <w:r w:rsidRPr="000A31C6">
        <w:rPr>
          <w:rFonts w:ascii="Verdana" w:hAnsi="Verdana" w:cs="Times New Roman"/>
          <w:sz w:val="20"/>
          <w:szCs w:val="20"/>
        </w:rPr>
        <w:t>aborda la violación de</w:t>
      </w:r>
      <w:r w:rsidR="002172FA" w:rsidRPr="000A31C6">
        <w:rPr>
          <w:rFonts w:ascii="Verdana" w:hAnsi="Verdana" w:cs="Times New Roman"/>
          <w:sz w:val="20"/>
          <w:szCs w:val="20"/>
        </w:rPr>
        <w:t>l derecho a</w:t>
      </w:r>
      <w:r w:rsidRPr="000A31C6">
        <w:rPr>
          <w:rFonts w:ascii="Verdana" w:hAnsi="Verdana" w:cs="Times New Roman"/>
          <w:sz w:val="20"/>
          <w:szCs w:val="20"/>
        </w:rPr>
        <w:t xml:space="preserve"> la libertad de expresión desde el ámbito de las relaciones entre parti</w:t>
      </w:r>
      <w:r w:rsidR="0077077F" w:rsidRPr="000A31C6">
        <w:rPr>
          <w:rFonts w:ascii="Verdana" w:hAnsi="Verdana" w:cs="Times New Roman"/>
          <w:sz w:val="20"/>
          <w:szCs w:val="20"/>
        </w:rPr>
        <w:t>culares en contextos laborales —trabajador/</w:t>
      </w:r>
      <w:r w:rsidRPr="000A31C6">
        <w:rPr>
          <w:rFonts w:ascii="Verdana" w:hAnsi="Verdana" w:cs="Times New Roman"/>
          <w:sz w:val="20"/>
          <w:szCs w:val="20"/>
        </w:rPr>
        <w:t>empresa</w:t>
      </w:r>
      <w:r w:rsidR="0077077F" w:rsidRPr="000A31C6">
        <w:rPr>
          <w:rFonts w:ascii="Verdana" w:hAnsi="Verdana" w:cs="Times New Roman"/>
          <w:sz w:val="20"/>
          <w:szCs w:val="20"/>
        </w:rPr>
        <w:t>—</w:t>
      </w:r>
      <w:r w:rsidR="00347C3B">
        <w:rPr>
          <w:rFonts w:ascii="Verdana" w:hAnsi="Verdana" w:cs="Times New Roman"/>
          <w:sz w:val="20"/>
          <w:szCs w:val="20"/>
        </w:rPr>
        <w:t>. En el fallo se comprueba</w:t>
      </w:r>
      <w:r w:rsidR="00295CC3">
        <w:rPr>
          <w:rFonts w:ascii="Verdana" w:hAnsi="Verdana" w:cs="Times New Roman"/>
          <w:sz w:val="20"/>
          <w:szCs w:val="20"/>
        </w:rPr>
        <w:t xml:space="preserve"> </w:t>
      </w:r>
      <w:r w:rsidR="00EE74D4" w:rsidRPr="00295CC3">
        <w:rPr>
          <w:rFonts w:ascii="Verdana" w:hAnsi="Verdana"/>
          <w:sz w:val="20"/>
        </w:rPr>
        <w:t>que</w:t>
      </w:r>
      <w:r w:rsidR="00EE74D4" w:rsidRPr="00295CC3">
        <w:rPr>
          <w:rFonts w:ascii="Verdana" w:hAnsi="Verdana"/>
          <w:sz w:val="20"/>
          <w:szCs w:val="20"/>
          <w:lang w:val="es-CR"/>
        </w:rPr>
        <w:t xml:space="preserve"> “</w:t>
      </w:r>
      <w:r w:rsidR="00EE74D4" w:rsidRPr="00295CC3">
        <w:rPr>
          <w:rFonts w:ascii="Verdana" w:hAnsi="Verdana"/>
          <w:sz w:val="20"/>
        </w:rPr>
        <w:t>no existió una necesidad imperante que justificara el despido del señor Lagos del Campo”</w:t>
      </w:r>
      <w:r w:rsidR="00472FD4">
        <w:rPr>
          <w:rFonts w:ascii="Verdana" w:hAnsi="Verdana"/>
          <w:sz w:val="20"/>
        </w:rPr>
        <w:t xml:space="preserve">, </w:t>
      </w:r>
      <w:r w:rsidR="00347C3B">
        <w:rPr>
          <w:rFonts w:ascii="Verdana" w:hAnsi="Verdana"/>
          <w:sz w:val="20"/>
        </w:rPr>
        <w:t xml:space="preserve">el cual se </w:t>
      </w:r>
      <w:r w:rsidR="007E09A0">
        <w:rPr>
          <w:rFonts w:ascii="Verdana" w:hAnsi="Verdana"/>
          <w:sz w:val="20"/>
        </w:rPr>
        <w:t>produ</w:t>
      </w:r>
      <w:r w:rsidR="00347C3B">
        <w:rPr>
          <w:rFonts w:ascii="Verdana" w:hAnsi="Verdana"/>
          <w:sz w:val="20"/>
        </w:rPr>
        <w:t>jo</w:t>
      </w:r>
      <w:r w:rsidR="007E09A0">
        <w:rPr>
          <w:rFonts w:ascii="Verdana" w:hAnsi="Verdana"/>
          <w:sz w:val="20"/>
        </w:rPr>
        <w:t xml:space="preserve"> debido a</w:t>
      </w:r>
      <w:r w:rsidR="005A6F99">
        <w:rPr>
          <w:rFonts w:ascii="Verdana" w:hAnsi="Verdana"/>
          <w:sz w:val="20"/>
        </w:rPr>
        <w:t xml:space="preserve"> sus declaraciones</w:t>
      </w:r>
      <w:r w:rsidR="007E09A0">
        <w:rPr>
          <w:rFonts w:ascii="Verdana" w:hAnsi="Verdana"/>
          <w:sz w:val="20"/>
        </w:rPr>
        <w:t xml:space="preserve"> públicas como dirigente laboral</w:t>
      </w:r>
      <w:r w:rsidR="00347C3B">
        <w:rPr>
          <w:rFonts w:ascii="Verdana" w:hAnsi="Verdana"/>
          <w:sz w:val="20"/>
        </w:rPr>
        <w:t>. Por ello, se restringió</w:t>
      </w:r>
      <w:r w:rsidR="00EE74D4" w:rsidRPr="00295CC3">
        <w:rPr>
          <w:rFonts w:ascii="Verdana" w:hAnsi="Verdana"/>
          <w:sz w:val="20"/>
        </w:rPr>
        <w:t xml:space="preserve"> su libertad de expresión sin</w:t>
      </w:r>
      <w:r w:rsidR="005A6F99">
        <w:rPr>
          <w:rFonts w:ascii="Verdana" w:hAnsi="Verdana"/>
          <w:sz w:val="20"/>
        </w:rPr>
        <w:t xml:space="preserve"> tener en consideración que dichas </w:t>
      </w:r>
      <w:r w:rsidR="00EE74D4" w:rsidRPr="00295CC3">
        <w:rPr>
          <w:rFonts w:ascii="Verdana" w:hAnsi="Verdana"/>
          <w:sz w:val="20"/>
        </w:rPr>
        <w:t xml:space="preserve">declaraciones se referían </w:t>
      </w:r>
      <w:r w:rsidR="00295CC3">
        <w:rPr>
          <w:rFonts w:ascii="Verdana" w:hAnsi="Verdana"/>
          <w:sz w:val="20"/>
        </w:rPr>
        <w:t xml:space="preserve">esencialmente </w:t>
      </w:r>
      <w:r w:rsidR="00EE74D4" w:rsidRPr="00295CC3">
        <w:rPr>
          <w:rFonts w:ascii="Verdana" w:hAnsi="Verdana"/>
          <w:sz w:val="20"/>
        </w:rPr>
        <w:t xml:space="preserve">a cuestiones de interés público, las cuales </w:t>
      </w:r>
      <w:r w:rsidR="00347C3B">
        <w:rPr>
          <w:rFonts w:ascii="Verdana" w:hAnsi="Verdana"/>
          <w:sz w:val="20"/>
        </w:rPr>
        <w:t>le correspondían dar al señor Lagos del Campo en su</w:t>
      </w:r>
      <w:r w:rsidR="00EE74D4" w:rsidRPr="00295CC3">
        <w:rPr>
          <w:rFonts w:ascii="Verdana" w:hAnsi="Verdana"/>
          <w:sz w:val="20"/>
        </w:rPr>
        <w:t xml:space="preserve"> calidad de representante de los trabajadores </w:t>
      </w:r>
      <w:r w:rsidR="00DC67BA">
        <w:rPr>
          <w:rFonts w:ascii="Verdana" w:hAnsi="Verdana"/>
          <w:sz w:val="20"/>
        </w:rPr>
        <w:t xml:space="preserve">y </w:t>
      </w:r>
      <w:r w:rsidR="00EE74D4" w:rsidRPr="00295CC3">
        <w:rPr>
          <w:rFonts w:ascii="Verdana" w:hAnsi="Verdana"/>
          <w:sz w:val="20"/>
        </w:rPr>
        <w:t>como Presidente del Comité Electoral.</w:t>
      </w:r>
      <w:r w:rsidR="00295CC3">
        <w:rPr>
          <w:rFonts w:ascii="Verdana" w:hAnsi="Verdana"/>
          <w:sz w:val="20"/>
        </w:rPr>
        <w:t xml:space="preserve"> </w:t>
      </w:r>
      <w:r w:rsidR="00A1496A">
        <w:rPr>
          <w:rFonts w:ascii="Verdana" w:hAnsi="Verdana"/>
          <w:sz w:val="20"/>
        </w:rPr>
        <w:t xml:space="preserve">En ese sentido, </w:t>
      </w:r>
      <w:r w:rsidR="00295CC3">
        <w:rPr>
          <w:rFonts w:ascii="Verdana" w:hAnsi="Verdana"/>
          <w:sz w:val="20"/>
        </w:rPr>
        <w:t xml:space="preserve">se consolida y amplía </w:t>
      </w:r>
      <w:r w:rsidR="004314B5" w:rsidRPr="00295CC3">
        <w:rPr>
          <w:rFonts w:ascii="Verdana" w:hAnsi="Verdana" w:cs="Times New Roman"/>
          <w:sz w:val="20"/>
          <w:szCs w:val="20"/>
        </w:rPr>
        <w:t>la extensa</w:t>
      </w:r>
      <w:r w:rsidR="002172FA" w:rsidRPr="00295CC3">
        <w:rPr>
          <w:rFonts w:ascii="Verdana" w:hAnsi="Verdana" w:cs="Times New Roman"/>
          <w:sz w:val="20"/>
          <w:szCs w:val="20"/>
        </w:rPr>
        <w:t xml:space="preserve"> jurisprudencia interamericana sobre </w:t>
      </w:r>
      <w:r w:rsidR="004C102F" w:rsidRPr="00295CC3">
        <w:rPr>
          <w:rFonts w:ascii="Verdana" w:hAnsi="Verdana" w:cs="Times New Roman"/>
          <w:sz w:val="20"/>
          <w:szCs w:val="20"/>
        </w:rPr>
        <w:t xml:space="preserve">el derecho a </w:t>
      </w:r>
      <w:r w:rsidR="002172FA" w:rsidRPr="00295CC3">
        <w:rPr>
          <w:rFonts w:ascii="Verdana" w:hAnsi="Verdana" w:cs="Times New Roman"/>
          <w:sz w:val="20"/>
          <w:szCs w:val="20"/>
        </w:rPr>
        <w:t xml:space="preserve">la libertad de </w:t>
      </w:r>
      <w:r w:rsidR="004C102F" w:rsidRPr="00295CC3">
        <w:rPr>
          <w:rFonts w:ascii="Verdana" w:hAnsi="Verdana" w:cs="Times New Roman"/>
          <w:sz w:val="20"/>
          <w:szCs w:val="20"/>
        </w:rPr>
        <w:t xml:space="preserve">pensamiento y </w:t>
      </w:r>
      <w:r w:rsidR="002172FA" w:rsidRPr="00295CC3">
        <w:rPr>
          <w:rFonts w:ascii="Verdana" w:hAnsi="Verdana" w:cs="Times New Roman"/>
          <w:sz w:val="20"/>
          <w:szCs w:val="20"/>
        </w:rPr>
        <w:t>expresión</w:t>
      </w:r>
      <w:r w:rsidR="004C102F" w:rsidRPr="00295CC3">
        <w:rPr>
          <w:rFonts w:ascii="Verdana" w:hAnsi="Verdana" w:cs="Times New Roman"/>
          <w:sz w:val="20"/>
          <w:szCs w:val="20"/>
        </w:rPr>
        <w:t xml:space="preserve"> consagrado en el artículo 13 de</w:t>
      </w:r>
      <w:r w:rsidR="00EE74D4" w:rsidRPr="00295CC3">
        <w:rPr>
          <w:rFonts w:ascii="Verdana" w:hAnsi="Verdana" w:cs="Times New Roman"/>
          <w:sz w:val="20"/>
          <w:szCs w:val="20"/>
        </w:rPr>
        <w:t>l Pacto de San José</w:t>
      </w:r>
      <w:r w:rsidR="00E3412E" w:rsidRPr="00295CC3">
        <w:rPr>
          <w:rStyle w:val="FootnoteReference"/>
          <w:rFonts w:ascii="Verdana" w:hAnsi="Verdana" w:cs="Arial"/>
          <w:iCs/>
          <w:sz w:val="20"/>
          <w:szCs w:val="20"/>
          <w:lang w:val="es-ES"/>
        </w:rPr>
        <w:t xml:space="preserve"> </w:t>
      </w:r>
      <w:r w:rsidR="00E3412E" w:rsidRPr="00E35C84">
        <w:rPr>
          <w:rStyle w:val="FootnoteReference"/>
          <w:rFonts w:ascii="Verdana" w:hAnsi="Verdana" w:cs="Arial"/>
          <w:iCs/>
          <w:sz w:val="20"/>
          <w:szCs w:val="20"/>
          <w:lang w:val="es-ES"/>
        </w:rPr>
        <w:footnoteReference w:id="2"/>
      </w:r>
      <w:r w:rsidR="00E3412E" w:rsidRPr="00295CC3">
        <w:rPr>
          <w:rFonts w:ascii="Verdana" w:hAnsi="Verdana" w:cs="Arial"/>
          <w:sz w:val="20"/>
          <w:szCs w:val="20"/>
          <w:lang w:val="es-ES"/>
        </w:rPr>
        <w:t>.</w:t>
      </w:r>
    </w:p>
    <w:p w14:paraId="143972EA" w14:textId="7B61C625" w:rsidR="0077077F" w:rsidRDefault="0077077F" w:rsidP="00AD360E">
      <w:pPr>
        <w:pStyle w:val="ListParagraph"/>
        <w:widowControl w:val="0"/>
        <w:autoSpaceDE w:val="0"/>
        <w:autoSpaceDN w:val="0"/>
        <w:adjustRightInd w:val="0"/>
        <w:ind w:left="0"/>
        <w:jc w:val="both"/>
        <w:rPr>
          <w:rFonts w:ascii="Verdana" w:hAnsi="Verdana" w:cs="Times New Roman"/>
          <w:sz w:val="20"/>
          <w:szCs w:val="20"/>
        </w:rPr>
      </w:pPr>
    </w:p>
    <w:p w14:paraId="7F290B12" w14:textId="1E4EC855" w:rsidR="00CB1BC9" w:rsidRPr="00CB1BC9" w:rsidRDefault="00200095" w:rsidP="00AD360E">
      <w:pPr>
        <w:pStyle w:val="ListParagraph"/>
        <w:widowControl w:val="0"/>
        <w:numPr>
          <w:ilvl w:val="0"/>
          <w:numId w:val="2"/>
        </w:numPr>
        <w:autoSpaceDE w:val="0"/>
        <w:autoSpaceDN w:val="0"/>
        <w:adjustRightInd w:val="0"/>
        <w:ind w:left="0" w:firstLine="0"/>
        <w:jc w:val="both"/>
        <w:rPr>
          <w:rFonts w:ascii="Verdana" w:hAnsi="Verdana" w:cs="Times New Roman"/>
          <w:sz w:val="20"/>
          <w:szCs w:val="20"/>
        </w:rPr>
      </w:pPr>
      <w:r w:rsidRPr="00295CC3">
        <w:rPr>
          <w:rFonts w:ascii="Verdana" w:hAnsi="Verdana" w:cs="Times New Roman"/>
          <w:sz w:val="20"/>
          <w:szCs w:val="20"/>
          <w:u w:val="single"/>
        </w:rPr>
        <w:t>En segundo lugar</w:t>
      </w:r>
      <w:r w:rsidR="00E445C2">
        <w:rPr>
          <w:rFonts w:ascii="Verdana" w:hAnsi="Verdana" w:cs="Times New Roman"/>
          <w:sz w:val="20"/>
          <w:szCs w:val="20"/>
        </w:rPr>
        <w:t xml:space="preserve">, </w:t>
      </w:r>
      <w:r w:rsidR="00222532">
        <w:rPr>
          <w:rFonts w:ascii="Verdana" w:hAnsi="Verdana" w:cs="Times New Roman"/>
          <w:sz w:val="20"/>
          <w:szCs w:val="20"/>
        </w:rPr>
        <w:t>en esta histórica Sentencia se declara</w:t>
      </w:r>
      <w:r w:rsidR="00DC67BA">
        <w:rPr>
          <w:rStyle w:val="FootnoteReference"/>
          <w:rFonts w:ascii="Verdana" w:hAnsi="Verdana" w:cs="Times New Roman"/>
          <w:sz w:val="20"/>
          <w:szCs w:val="20"/>
        </w:rPr>
        <w:footnoteReference w:id="3"/>
      </w:r>
      <w:r w:rsidR="00222532">
        <w:rPr>
          <w:rFonts w:ascii="Verdana" w:hAnsi="Verdana" w:cs="Times New Roman"/>
          <w:sz w:val="20"/>
          <w:szCs w:val="20"/>
        </w:rPr>
        <w:t xml:space="preserve">, </w:t>
      </w:r>
      <w:r w:rsidR="00A1496A">
        <w:rPr>
          <w:rFonts w:ascii="Verdana" w:hAnsi="Verdana" w:cs="Times New Roman"/>
          <w:sz w:val="20"/>
          <w:szCs w:val="20"/>
        </w:rPr>
        <w:t>por primera vez</w:t>
      </w:r>
      <w:r w:rsidR="00222532">
        <w:rPr>
          <w:rFonts w:ascii="Verdana" w:hAnsi="Verdana" w:cs="Times New Roman"/>
          <w:sz w:val="20"/>
          <w:szCs w:val="20"/>
        </w:rPr>
        <w:t>,</w:t>
      </w:r>
      <w:r w:rsidR="00A1496A">
        <w:rPr>
          <w:rFonts w:ascii="Verdana" w:hAnsi="Verdana" w:cs="Times New Roman"/>
          <w:sz w:val="20"/>
          <w:szCs w:val="20"/>
        </w:rPr>
        <w:t xml:space="preserve"> </w:t>
      </w:r>
      <w:r w:rsidRPr="0077077F">
        <w:rPr>
          <w:rFonts w:ascii="Verdana" w:hAnsi="Verdana" w:cs="Times New Roman"/>
          <w:sz w:val="20"/>
          <w:szCs w:val="20"/>
        </w:rPr>
        <w:t>la violación del artículo 26 de la Convención Americana</w:t>
      </w:r>
      <w:r w:rsidR="005B3CA3">
        <w:rPr>
          <w:rFonts w:ascii="Verdana" w:hAnsi="Verdana" w:cs="Times New Roman"/>
          <w:sz w:val="20"/>
          <w:szCs w:val="20"/>
        </w:rPr>
        <w:t xml:space="preserve"> en relación </w:t>
      </w:r>
      <w:r w:rsidR="00305AB2">
        <w:rPr>
          <w:rFonts w:ascii="Verdana" w:hAnsi="Verdana" w:cs="Times New Roman"/>
          <w:sz w:val="20"/>
          <w:szCs w:val="20"/>
        </w:rPr>
        <w:t>con el</w:t>
      </w:r>
      <w:r w:rsidR="005B3CA3">
        <w:rPr>
          <w:rFonts w:ascii="Verdana" w:hAnsi="Verdana" w:cs="Times New Roman"/>
          <w:sz w:val="20"/>
          <w:szCs w:val="20"/>
        </w:rPr>
        <w:t xml:space="preserve"> artículo 1.1</w:t>
      </w:r>
      <w:r w:rsidR="005B3CA3" w:rsidRPr="005B3CA3">
        <w:rPr>
          <w:rStyle w:val="FootnoteReference"/>
          <w:rFonts w:ascii="Verdana" w:hAnsi="Verdana" w:cs="Times New Roman"/>
          <w:sz w:val="20"/>
          <w:szCs w:val="20"/>
        </w:rPr>
        <w:footnoteReference w:id="4"/>
      </w:r>
      <w:r w:rsidR="005B3CA3">
        <w:rPr>
          <w:rFonts w:ascii="Verdana" w:hAnsi="Verdana" w:cs="Times New Roman"/>
          <w:sz w:val="20"/>
          <w:szCs w:val="20"/>
        </w:rPr>
        <w:t>,</w:t>
      </w:r>
      <w:r w:rsidRPr="0077077F">
        <w:rPr>
          <w:rFonts w:ascii="Verdana" w:hAnsi="Verdana" w:cs="Times New Roman"/>
          <w:sz w:val="20"/>
          <w:szCs w:val="20"/>
        </w:rPr>
        <w:t xml:space="preserve"> por la vulneración de la estabilidad la</w:t>
      </w:r>
      <w:r w:rsidR="0077077F">
        <w:rPr>
          <w:rFonts w:ascii="Verdana" w:hAnsi="Verdana" w:cs="Times New Roman"/>
          <w:sz w:val="20"/>
          <w:szCs w:val="20"/>
        </w:rPr>
        <w:t>boral del señor Lagos del Campo</w:t>
      </w:r>
      <w:r w:rsidR="005B3CA3" w:rsidRPr="005B3CA3">
        <w:rPr>
          <w:rStyle w:val="FootnoteReference"/>
          <w:rFonts w:ascii="Verdana" w:hAnsi="Verdana" w:cs="Times New Roman"/>
          <w:sz w:val="20"/>
          <w:szCs w:val="20"/>
        </w:rPr>
        <w:footnoteReference w:id="5"/>
      </w:r>
      <w:r w:rsidR="0077077F" w:rsidRPr="005B3CA3">
        <w:rPr>
          <w:rFonts w:ascii="Verdana" w:hAnsi="Verdana" w:cs="Times New Roman"/>
          <w:sz w:val="20"/>
          <w:szCs w:val="20"/>
        </w:rPr>
        <w:t>.</w:t>
      </w:r>
      <w:r w:rsidR="0077077F">
        <w:rPr>
          <w:rFonts w:ascii="Verdana" w:hAnsi="Verdana" w:cs="Times New Roman"/>
          <w:sz w:val="20"/>
          <w:szCs w:val="20"/>
        </w:rPr>
        <w:t xml:space="preserve"> </w:t>
      </w:r>
      <w:r w:rsidR="00222532">
        <w:rPr>
          <w:rFonts w:ascii="Verdana" w:hAnsi="Verdana" w:cs="Times New Roman"/>
          <w:sz w:val="20"/>
          <w:szCs w:val="20"/>
        </w:rPr>
        <w:t xml:space="preserve">A través de una interpretación evolutiva y apartándose de su </w:t>
      </w:r>
      <w:r w:rsidR="00A635E6">
        <w:rPr>
          <w:rFonts w:ascii="Verdana" w:hAnsi="Verdana"/>
          <w:bCs/>
          <w:sz w:val="20"/>
          <w:szCs w:val="20"/>
        </w:rPr>
        <w:t>jurisprudencia tradicional,</w:t>
      </w:r>
      <w:r w:rsidR="0077077F" w:rsidRPr="0077077F">
        <w:rPr>
          <w:rFonts w:ascii="Verdana" w:hAnsi="Verdana"/>
          <w:bCs/>
          <w:sz w:val="20"/>
          <w:szCs w:val="20"/>
        </w:rPr>
        <w:t xml:space="preserve"> </w:t>
      </w:r>
      <w:r w:rsidR="00222532">
        <w:rPr>
          <w:rFonts w:ascii="Verdana" w:hAnsi="Verdana"/>
          <w:bCs/>
          <w:sz w:val="20"/>
          <w:szCs w:val="20"/>
        </w:rPr>
        <w:t>la Cort</w:t>
      </w:r>
      <w:r w:rsidR="009E2C07">
        <w:rPr>
          <w:rFonts w:ascii="Verdana" w:hAnsi="Verdana"/>
          <w:bCs/>
          <w:sz w:val="20"/>
          <w:szCs w:val="20"/>
        </w:rPr>
        <w:t>e IDH le otorga un nuevo contenido</w:t>
      </w:r>
      <w:r w:rsidR="00222532">
        <w:rPr>
          <w:rFonts w:ascii="Verdana" w:hAnsi="Verdana"/>
          <w:bCs/>
          <w:sz w:val="20"/>
          <w:szCs w:val="20"/>
        </w:rPr>
        <w:t xml:space="preserve"> </w:t>
      </w:r>
      <w:r w:rsidR="009E2C07">
        <w:rPr>
          <w:rFonts w:ascii="Verdana" w:hAnsi="Verdana"/>
          <w:bCs/>
          <w:sz w:val="20"/>
          <w:szCs w:val="20"/>
        </w:rPr>
        <w:t xml:space="preserve">normativo </w:t>
      </w:r>
      <w:r w:rsidR="00222532">
        <w:rPr>
          <w:rFonts w:ascii="Verdana" w:hAnsi="Verdana"/>
          <w:bCs/>
          <w:sz w:val="20"/>
          <w:szCs w:val="20"/>
        </w:rPr>
        <w:t>al</w:t>
      </w:r>
      <w:r w:rsidR="0077077F" w:rsidRPr="0077077F">
        <w:rPr>
          <w:rFonts w:ascii="Verdana" w:hAnsi="Verdana"/>
          <w:bCs/>
          <w:sz w:val="20"/>
          <w:szCs w:val="20"/>
        </w:rPr>
        <w:t xml:space="preserve"> ar</w:t>
      </w:r>
      <w:r w:rsidR="005A6F99">
        <w:rPr>
          <w:rFonts w:ascii="Verdana" w:hAnsi="Verdana"/>
          <w:bCs/>
          <w:sz w:val="20"/>
          <w:szCs w:val="20"/>
        </w:rPr>
        <w:t xml:space="preserve">tículo 26 del Pacto de San </w:t>
      </w:r>
      <w:r w:rsidR="00222532">
        <w:rPr>
          <w:rFonts w:ascii="Verdana" w:hAnsi="Verdana"/>
          <w:bCs/>
          <w:sz w:val="20"/>
          <w:szCs w:val="20"/>
        </w:rPr>
        <w:t xml:space="preserve">José, </w:t>
      </w:r>
      <w:r w:rsidR="00472FD4">
        <w:rPr>
          <w:rFonts w:ascii="Verdana" w:hAnsi="Verdana"/>
          <w:bCs/>
          <w:sz w:val="20"/>
          <w:szCs w:val="20"/>
        </w:rPr>
        <w:t xml:space="preserve">leído </w:t>
      </w:r>
      <w:r w:rsidR="00222532">
        <w:rPr>
          <w:rFonts w:ascii="Verdana" w:hAnsi="Verdana"/>
          <w:bCs/>
          <w:sz w:val="20"/>
          <w:szCs w:val="20"/>
        </w:rPr>
        <w:t>a la luz d</w:t>
      </w:r>
      <w:r w:rsidR="00472FD4">
        <w:rPr>
          <w:rFonts w:ascii="Verdana" w:hAnsi="Verdana"/>
          <w:bCs/>
          <w:sz w:val="20"/>
          <w:szCs w:val="20"/>
        </w:rPr>
        <w:t>el</w:t>
      </w:r>
      <w:r w:rsidR="005A6F99">
        <w:rPr>
          <w:rFonts w:ascii="Verdana" w:hAnsi="Verdana"/>
          <w:bCs/>
          <w:sz w:val="20"/>
          <w:szCs w:val="20"/>
        </w:rPr>
        <w:t xml:space="preserve"> ar</w:t>
      </w:r>
      <w:r w:rsidR="00222532">
        <w:rPr>
          <w:rFonts w:ascii="Verdana" w:hAnsi="Verdana"/>
          <w:bCs/>
          <w:sz w:val="20"/>
          <w:szCs w:val="20"/>
        </w:rPr>
        <w:t xml:space="preserve">tículo 29 del mismo instrumento. </w:t>
      </w:r>
      <w:r w:rsidR="00223E4E">
        <w:rPr>
          <w:rFonts w:ascii="Verdana" w:hAnsi="Verdana"/>
          <w:bCs/>
          <w:sz w:val="20"/>
          <w:szCs w:val="20"/>
        </w:rPr>
        <w:t>Así,</w:t>
      </w:r>
      <w:r w:rsidR="00222532">
        <w:rPr>
          <w:rFonts w:ascii="Verdana" w:hAnsi="Verdana"/>
          <w:bCs/>
          <w:sz w:val="20"/>
          <w:szCs w:val="20"/>
        </w:rPr>
        <w:t xml:space="preserve"> dicho artículo</w:t>
      </w:r>
      <w:r w:rsidR="005A6F99">
        <w:rPr>
          <w:rFonts w:ascii="Verdana" w:hAnsi="Verdana"/>
          <w:bCs/>
          <w:sz w:val="20"/>
          <w:szCs w:val="20"/>
        </w:rPr>
        <w:t xml:space="preserve"> </w:t>
      </w:r>
      <w:r w:rsidR="0077077F" w:rsidRPr="0077077F">
        <w:rPr>
          <w:rFonts w:ascii="Verdana" w:hAnsi="Verdana"/>
          <w:bCs/>
          <w:sz w:val="20"/>
          <w:szCs w:val="20"/>
        </w:rPr>
        <w:t xml:space="preserve">no es meramente una norma programática para los Estados Parte de la Convención Americana, sino que constituye una disposición que impone a este Tribunal </w:t>
      </w:r>
      <w:r w:rsidR="00091B08">
        <w:rPr>
          <w:rFonts w:ascii="Verdana" w:hAnsi="Verdana"/>
          <w:bCs/>
          <w:sz w:val="20"/>
          <w:szCs w:val="20"/>
        </w:rPr>
        <w:t xml:space="preserve">Interamericano </w:t>
      </w:r>
      <w:r w:rsidR="00222532">
        <w:rPr>
          <w:rFonts w:ascii="Verdana" w:hAnsi="Verdana"/>
          <w:bCs/>
          <w:sz w:val="20"/>
          <w:szCs w:val="20"/>
        </w:rPr>
        <w:t>la obligación de remitirse a la Carta de la Organización de Estados Americanos (en adelante “la Carta de la OEA”) para lograr la plena efectividad de los derechos que se deriven</w:t>
      </w:r>
      <w:r w:rsidR="0077077F" w:rsidRPr="0077077F">
        <w:rPr>
          <w:rFonts w:ascii="Verdana" w:hAnsi="Verdana"/>
          <w:bCs/>
          <w:i/>
          <w:sz w:val="20"/>
          <w:szCs w:val="20"/>
        </w:rPr>
        <w:t xml:space="preserve"> </w:t>
      </w:r>
      <w:r w:rsidR="0077077F" w:rsidRPr="00222532">
        <w:rPr>
          <w:rFonts w:ascii="Verdana" w:hAnsi="Verdana"/>
          <w:bCs/>
          <w:sz w:val="20"/>
          <w:szCs w:val="20"/>
        </w:rPr>
        <w:t>de las normas económicas, sociales y sobre educac</w:t>
      </w:r>
      <w:r w:rsidR="00222532">
        <w:rPr>
          <w:rFonts w:ascii="Verdana" w:hAnsi="Verdana"/>
          <w:bCs/>
          <w:sz w:val="20"/>
          <w:szCs w:val="20"/>
        </w:rPr>
        <w:t>ión, ciencia y cultura contenida</w:t>
      </w:r>
      <w:r w:rsidR="0077077F" w:rsidRPr="00222532">
        <w:rPr>
          <w:rFonts w:ascii="Verdana" w:hAnsi="Verdana"/>
          <w:bCs/>
          <w:sz w:val="20"/>
          <w:szCs w:val="20"/>
        </w:rPr>
        <w:t xml:space="preserve">s en </w:t>
      </w:r>
      <w:r w:rsidR="00222532" w:rsidRPr="00222532">
        <w:rPr>
          <w:rFonts w:ascii="Verdana" w:hAnsi="Verdana"/>
          <w:bCs/>
          <w:sz w:val="20"/>
          <w:szCs w:val="20"/>
        </w:rPr>
        <w:t>dicha Carta</w:t>
      </w:r>
      <w:r w:rsidR="0077077F" w:rsidRPr="00223E4E">
        <w:rPr>
          <w:rStyle w:val="FootnoteReference"/>
          <w:rFonts w:ascii="Verdana" w:hAnsi="Verdana"/>
          <w:bCs/>
          <w:sz w:val="20"/>
          <w:szCs w:val="20"/>
        </w:rPr>
        <w:footnoteReference w:id="6"/>
      </w:r>
      <w:r w:rsidR="00071BDF">
        <w:rPr>
          <w:rFonts w:ascii="Verdana" w:hAnsi="Verdana"/>
          <w:bCs/>
          <w:i/>
          <w:sz w:val="20"/>
          <w:szCs w:val="20"/>
        </w:rPr>
        <w:t xml:space="preserve">. </w:t>
      </w:r>
      <w:r w:rsidR="00071BDF">
        <w:rPr>
          <w:rFonts w:ascii="Verdana" w:hAnsi="Verdana"/>
          <w:bCs/>
          <w:sz w:val="20"/>
          <w:szCs w:val="20"/>
        </w:rPr>
        <w:t>La posibilidad para considerar justiciable</w:t>
      </w:r>
      <w:r w:rsidR="002971BB">
        <w:rPr>
          <w:rFonts w:ascii="Verdana" w:hAnsi="Verdana"/>
          <w:bCs/>
          <w:sz w:val="20"/>
          <w:szCs w:val="20"/>
        </w:rPr>
        <w:t xml:space="preserve"> los DESCA</w:t>
      </w:r>
      <w:r w:rsidR="00222532">
        <w:rPr>
          <w:rFonts w:ascii="Verdana" w:hAnsi="Verdana"/>
          <w:bCs/>
          <w:sz w:val="20"/>
          <w:szCs w:val="20"/>
        </w:rPr>
        <w:t>,</w:t>
      </w:r>
      <w:r w:rsidR="00071BDF">
        <w:rPr>
          <w:rFonts w:ascii="Verdana" w:hAnsi="Verdana"/>
          <w:bCs/>
          <w:sz w:val="20"/>
          <w:szCs w:val="20"/>
        </w:rPr>
        <w:t xml:space="preserve"> vía artículo 26</w:t>
      </w:r>
      <w:r w:rsidR="00222532">
        <w:rPr>
          <w:rFonts w:ascii="Verdana" w:hAnsi="Verdana"/>
          <w:bCs/>
          <w:sz w:val="20"/>
          <w:szCs w:val="20"/>
        </w:rPr>
        <w:t xml:space="preserve"> de la Convención Americana,</w:t>
      </w:r>
      <w:r w:rsidR="00071BDF">
        <w:rPr>
          <w:rFonts w:ascii="Verdana" w:hAnsi="Verdana"/>
          <w:bCs/>
          <w:sz w:val="20"/>
          <w:szCs w:val="20"/>
        </w:rPr>
        <w:t xml:space="preserve"> </w:t>
      </w:r>
      <w:r w:rsidR="005A6F99">
        <w:rPr>
          <w:rFonts w:ascii="Verdana" w:hAnsi="Verdana"/>
          <w:bCs/>
          <w:sz w:val="20"/>
          <w:szCs w:val="20"/>
        </w:rPr>
        <w:t xml:space="preserve">la expresé </w:t>
      </w:r>
      <w:r w:rsidR="00974A3E">
        <w:rPr>
          <w:rFonts w:ascii="Verdana" w:hAnsi="Verdana"/>
          <w:bCs/>
          <w:sz w:val="20"/>
          <w:szCs w:val="20"/>
        </w:rPr>
        <w:t>en</w:t>
      </w:r>
      <w:r w:rsidR="002172FA">
        <w:rPr>
          <w:rFonts w:ascii="Verdana" w:hAnsi="Verdana"/>
          <w:bCs/>
          <w:sz w:val="20"/>
          <w:szCs w:val="20"/>
        </w:rPr>
        <w:t xml:space="preserve"> el primer caso que conocí como juez titular de la Corte IDH</w:t>
      </w:r>
      <w:r w:rsidR="00071BDF">
        <w:rPr>
          <w:rFonts w:ascii="Verdana" w:hAnsi="Verdana"/>
          <w:bCs/>
          <w:sz w:val="20"/>
          <w:szCs w:val="20"/>
        </w:rPr>
        <w:t xml:space="preserve"> en </w:t>
      </w:r>
      <w:r w:rsidR="00A635E6">
        <w:rPr>
          <w:rFonts w:ascii="Verdana" w:hAnsi="Verdana"/>
          <w:bCs/>
          <w:sz w:val="20"/>
          <w:szCs w:val="20"/>
        </w:rPr>
        <w:t>2013</w:t>
      </w:r>
      <w:r w:rsidR="00F74B60" w:rsidRPr="004E66B4">
        <w:rPr>
          <w:rStyle w:val="FootnoteReference"/>
          <w:rFonts w:ascii="Verdana" w:hAnsi="Verdana" w:cs="Times New Roman"/>
          <w:sz w:val="20"/>
          <w:szCs w:val="20"/>
        </w:rPr>
        <w:footnoteReference w:id="7"/>
      </w:r>
      <w:r w:rsidR="00222532">
        <w:rPr>
          <w:rFonts w:ascii="Verdana" w:hAnsi="Verdana"/>
          <w:bCs/>
          <w:sz w:val="20"/>
          <w:szCs w:val="20"/>
        </w:rPr>
        <w:t>. Asimismo, lo he</w:t>
      </w:r>
      <w:r w:rsidR="004C102F">
        <w:rPr>
          <w:rFonts w:ascii="Verdana" w:hAnsi="Verdana"/>
          <w:bCs/>
          <w:sz w:val="20"/>
          <w:szCs w:val="20"/>
        </w:rPr>
        <w:t xml:space="preserve"> reiterado </w:t>
      </w:r>
      <w:r w:rsidR="002172FA">
        <w:rPr>
          <w:rFonts w:ascii="Verdana" w:hAnsi="Verdana"/>
          <w:bCs/>
          <w:sz w:val="20"/>
          <w:szCs w:val="20"/>
        </w:rPr>
        <w:t>en casos posteriores relacionados con el derecho a la salud</w:t>
      </w:r>
      <w:r w:rsidR="001E543E">
        <w:rPr>
          <w:rFonts w:ascii="Verdana" w:hAnsi="Verdana"/>
          <w:bCs/>
          <w:sz w:val="20"/>
          <w:szCs w:val="20"/>
        </w:rPr>
        <w:t xml:space="preserve"> (2015-</w:t>
      </w:r>
      <w:r w:rsidR="00222532">
        <w:rPr>
          <w:rFonts w:ascii="Verdana" w:hAnsi="Verdana"/>
          <w:bCs/>
          <w:sz w:val="20"/>
          <w:szCs w:val="20"/>
        </w:rPr>
        <w:t>20</w:t>
      </w:r>
      <w:r w:rsidR="001E543E">
        <w:rPr>
          <w:rFonts w:ascii="Verdana" w:hAnsi="Verdana"/>
          <w:bCs/>
          <w:sz w:val="20"/>
          <w:szCs w:val="20"/>
        </w:rPr>
        <w:t>16)</w:t>
      </w:r>
      <w:r w:rsidR="00F74B60" w:rsidRPr="00F74B60">
        <w:rPr>
          <w:rStyle w:val="FootnoteReference"/>
          <w:rFonts w:ascii="Verdana" w:hAnsi="Verdana" w:cs="Times New Roman"/>
          <w:sz w:val="20"/>
          <w:szCs w:val="20"/>
        </w:rPr>
        <w:footnoteReference w:id="8"/>
      </w:r>
      <w:r w:rsidR="002172FA">
        <w:rPr>
          <w:rFonts w:ascii="Verdana" w:hAnsi="Verdana"/>
          <w:bCs/>
          <w:sz w:val="20"/>
          <w:szCs w:val="20"/>
        </w:rPr>
        <w:t xml:space="preserve">, </w:t>
      </w:r>
      <w:r w:rsidR="00091B08">
        <w:rPr>
          <w:rFonts w:ascii="Verdana" w:hAnsi="Verdana"/>
          <w:bCs/>
          <w:sz w:val="20"/>
          <w:szCs w:val="20"/>
        </w:rPr>
        <w:t xml:space="preserve">el </w:t>
      </w:r>
      <w:r w:rsidR="002172FA">
        <w:rPr>
          <w:rFonts w:ascii="Verdana" w:hAnsi="Verdana"/>
          <w:bCs/>
          <w:sz w:val="20"/>
          <w:szCs w:val="20"/>
        </w:rPr>
        <w:t>derecho al trabaj</w:t>
      </w:r>
      <w:r w:rsidR="00091B08">
        <w:rPr>
          <w:rFonts w:ascii="Verdana" w:hAnsi="Verdana"/>
          <w:bCs/>
          <w:sz w:val="20"/>
          <w:szCs w:val="20"/>
        </w:rPr>
        <w:t>o</w:t>
      </w:r>
      <w:r w:rsidR="001E543E">
        <w:rPr>
          <w:rFonts w:ascii="Verdana" w:hAnsi="Verdana"/>
          <w:bCs/>
          <w:sz w:val="20"/>
          <w:szCs w:val="20"/>
        </w:rPr>
        <w:t xml:space="preserve"> (2015)</w:t>
      </w:r>
      <w:r w:rsidR="00F74B60" w:rsidRPr="00F74B60">
        <w:rPr>
          <w:rStyle w:val="FootnoteReference"/>
          <w:rFonts w:ascii="Verdana" w:hAnsi="Verdana" w:cs="Times New Roman"/>
          <w:sz w:val="20"/>
          <w:szCs w:val="20"/>
        </w:rPr>
        <w:footnoteReference w:id="9"/>
      </w:r>
      <w:r w:rsidR="00091B08" w:rsidRPr="00F74B60">
        <w:rPr>
          <w:rFonts w:ascii="Verdana" w:hAnsi="Verdana"/>
          <w:bCs/>
          <w:sz w:val="20"/>
          <w:szCs w:val="20"/>
        </w:rPr>
        <w:t xml:space="preserve"> </w:t>
      </w:r>
      <w:r w:rsidR="00091B08">
        <w:rPr>
          <w:rFonts w:ascii="Verdana" w:hAnsi="Verdana"/>
          <w:bCs/>
          <w:sz w:val="20"/>
          <w:szCs w:val="20"/>
        </w:rPr>
        <w:t xml:space="preserve">y el derecho a la </w:t>
      </w:r>
      <w:r w:rsidR="00091B08">
        <w:rPr>
          <w:rFonts w:ascii="Verdana" w:hAnsi="Verdana"/>
          <w:bCs/>
          <w:sz w:val="20"/>
          <w:szCs w:val="20"/>
        </w:rPr>
        <w:lastRenderedPageBreak/>
        <w:t>vivienda digna</w:t>
      </w:r>
      <w:r w:rsidR="001E543E">
        <w:rPr>
          <w:rFonts w:ascii="Verdana" w:hAnsi="Verdana"/>
          <w:bCs/>
          <w:sz w:val="20"/>
          <w:szCs w:val="20"/>
        </w:rPr>
        <w:t xml:space="preserve"> (2016</w:t>
      </w:r>
      <w:r w:rsidR="00222532">
        <w:rPr>
          <w:rFonts w:ascii="Verdana" w:hAnsi="Verdana"/>
          <w:bCs/>
          <w:sz w:val="20"/>
          <w:szCs w:val="20"/>
        </w:rPr>
        <w:t>)</w:t>
      </w:r>
      <w:r w:rsidR="00F74B60" w:rsidRPr="00F74B60">
        <w:rPr>
          <w:rStyle w:val="FootnoteReference"/>
          <w:rFonts w:ascii="Verdana" w:hAnsi="Verdana" w:cs="Times New Roman"/>
          <w:sz w:val="20"/>
          <w:szCs w:val="20"/>
        </w:rPr>
        <w:footnoteReference w:id="10"/>
      </w:r>
      <w:r w:rsidR="005E3299">
        <w:rPr>
          <w:rFonts w:ascii="Verdana" w:hAnsi="Verdana"/>
          <w:bCs/>
          <w:sz w:val="20"/>
          <w:szCs w:val="20"/>
        </w:rPr>
        <w:t>;</w:t>
      </w:r>
      <w:r w:rsidR="00071BDF">
        <w:rPr>
          <w:rFonts w:ascii="Verdana" w:hAnsi="Verdana"/>
          <w:bCs/>
          <w:sz w:val="20"/>
          <w:szCs w:val="20"/>
        </w:rPr>
        <w:t xml:space="preserve"> </w:t>
      </w:r>
      <w:r w:rsidR="00254A83">
        <w:rPr>
          <w:rFonts w:ascii="Verdana" w:hAnsi="Verdana"/>
          <w:bCs/>
          <w:sz w:val="20"/>
          <w:szCs w:val="20"/>
        </w:rPr>
        <w:t xml:space="preserve">materias </w:t>
      </w:r>
      <w:r w:rsidR="00222532">
        <w:rPr>
          <w:rFonts w:ascii="Verdana" w:hAnsi="Verdana"/>
          <w:bCs/>
          <w:sz w:val="20"/>
          <w:szCs w:val="20"/>
        </w:rPr>
        <w:t xml:space="preserve">sobre las </w:t>
      </w:r>
      <w:r w:rsidR="00254A83">
        <w:rPr>
          <w:rFonts w:ascii="Verdana" w:hAnsi="Verdana"/>
          <w:bCs/>
          <w:sz w:val="20"/>
          <w:szCs w:val="20"/>
        </w:rPr>
        <w:t>que h</w:t>
      </w:r>
      <w:r w:rsidR="00222532">
        <w:rPr>
          <w:rFonts w:ascii="Verdana" w:hAnsi="Verdana"/>
          <w:bCs/>
          <w:sz w:val="20"/>
          <w:szCs w:val="20"/>
        </w:rPr>
        <w:t>e</w:t>
      </w:r>
      <w:r w:rsidR="00091B08">
        <w:rPr>
          <w:rFonts w:ascii="Verdana" w:hAnsi="Verdana"/>
          <w:bCs/>
          <w:sz w:val="20"/>
          <w:szCs w:val="20"/>
        </w:rPr>
        <w:t xml:space="preserve"> tenido oportunidad </w:t>
      </w:r>
      <w:r w:rsidR="00254A83">
        <w:rPr>
          <w:rFonts w:ascii="Verdana" w:hAnsi="Verdana"/>
          <w:bCs/>
          <w:sz w:val="20"/>
          <w:szCs w:val="20"/>
        </w:rPr>
        <w:t>de pronunciarme</w:t>
      </w:r>
      <w:r w:rsidR="00222532">
        <w:rPr>
          <w:rFonts w:ascii="Verdana" w:hAnsi="Verdana"/>
          <w:bCs/>
          <w:sz w:val="20"/>
          <w:szCs w:val="20"/>
        </w:rPr>
        <w:t xml:space="preserve"> hasta el momento</w:t>
      </w:r>
      <w:r w:rsidR="00091B08">
        <w:rPr>
          <w:rFonts w:ascii="Verdana" w:hAnsi="Verdana"/>
          <w:bCs/>
          <w:sz w:val="20"/>
          <w:szCs w:val="20"/>
        </w:rPr>
        <w:t>.</w:t>
      </w:r>
      <w:r w:rsidR="00CB1BC9">
        <w:rPr>
          <w:rFonts w:ascii="Verdana" w:hAnsi="Verdana"/>
          <w:bCs/>
          <w:sz w:val="20"/>
          <w:szCs w:val="20"/>
        </w:rPr>
        <w:t xml:space="preserve"> </w:t>
      </w:r>
    </w:p>
    <w:p w14:paraId="1E1D3249" w14:textId="77777777" w:rsidR="00CB1BC9" w:rsidRDefault="00CB1BC9" w:rsidP="00AD360E">
      <w:pPr>
        <w:pStyle w:val="ListParagraph"/>
        <w:widowControl w:val="0"/>
        <w:autoSpaceDE w:val="0"/>
        <w:autoSpaceDN w:val="0"/>
        <w:adjustRightInd w:val="0"/>
        <w:ind w:left="0"/>
        <w:jc w:val="both"/>
        <w:rPr>
          <w:rFonts w:ascii="Verdana" w:hAnsi="Verdana" w:cs="Times New Roman"/>
          <w:sz w:val="20"/>
          <w:szCs w:val="20"/>
        </w:rPr>
      </w:pPr>
    </w:p>
    <w:p w14:paraId="76AAB0DB" w14:textId="0A8CE076" w:rsidR="00295CC3" w:rsidRPr="00CB1BC9" w:rsidRDefault="00295CC3" w:rsidP="00AD360E">
      <w:pPr>
        <w:pStyle w:val="ListParagraph"/>
        <w:widowControl w:val="0"/>
        <w:numPr>
          <w:ilvl w:val="0"/>
          <w:numId w:val="2"/>
        </w:numPr>
        <w:autoSpaceDE w:val="0"/>
        <w:autoSpaceDN w:val="0"/>
        <w:adjustRightInd w:val="0"/>
        <w:ind w:left="0" w:firstLine="0"/>
        <w:jc w:val="both"/>
        <w:rPr>
          <w:rFonts w:ascii="Verdana" w:hAnsi="Verdana" w:cs="Times New Roman"/>
          <w:sz w:val="20"/>
          <w:szCs w:val="20"/>
        </w:rPr>
      </w:pPr>
      <w:r w:rsidRPr="00CB1BC9">
        <w:rPr>
          <w:rFonts w:ascii="Verdana" w:hAnsi="Verdana" w:cs="Times New Roman"/>
          <w:sz w:val="20"/>
          <w:szCs w:val="20"/>
        </w:rPr>
        <w:t xml:space="preserve">De esta manera, </w:t>
      </w:r>
      <w:r w:rsidR="001E543E" w:rsidRPr="00CB1BC9">
        <w:rPr>
          <w:rFonts w:ascii="Verdana" w:hAnsi="Verdana" w:cs="Times New Roman"/>
          <w:sz w:val="20"/>
          <w:szCs w:val="20"/>
        </w:rPr>
        <w:t xml:space="preserve">el Tribunal Interamericano consideró </w:t>
      </w:r>
      <w:r w:rsidR="005A6F99" w:rsidRPr="00CB1BC9">
        <w:rPr>
          <w:rFonts w:ascii="Verdana" w:hAnsi="Verdana" w:cs="Times New Roman"/>
          <w:sz w:val="20"/>
          <w:szCs w:val="20"/>
        </w:rPr>
        <w:t>el derecho a la estabilidad laboral</w:t>
      </w:r>
      <w:r w:rsidR="001E543E" w:rsidRPr="00CB1BC9">
        <w:rPr>
          <w:rFonts w:ascii="Verdana" w:hAnsi="Verdana" w:cs="Times New Roman"/>
          <w:sz w:val="20"/>
          <w:szCs w:val="20"/>
        </w:rPr>
        <w:t xml:space="preserve"> como</w:t>
      </w:r>
      <w:r w:rsidR="00974A3E" w:rsidRPr="00CB1BC9">
        <w:rPr>
          <w:rFonts w:ascii="Verdana" w:hAnsi="Verdana" w:cs="Times New Roman"/>
          <w:sz w:val="20"/>
          <w:szCs w:val="20"/>
        </w:rPr>
        <w:t xml:space="preserve"> </w:t>
      </w:r>
      <w:r w:rsidR="005A6F99" w:rsidRPr="00CB1BC9">
        <w:rPr>
          <w:rFonts w:ascii="Verdana" w:hAnsi="Verdana" w:cs="Times New Roman"/>
          <w:sz w:val="20"/>
          <w:szCs w:val="20"/>
        </w:rPr>
        <w:t xml:space="preserve">un </w:t>
      </w:r>
      <w:r w:rsidR="001E543E" w:rsidRPr="00CB1BC9">
        <w:rPr>
          <w:rFonts w:ascii="Verdana" w:hAnsi="Verdana" w:cs="Times New Roman"/>
          <w:sz w:val="20"/>
          <w:szCs w:val="20"/>
        </w:rPr>
        <w:t>derecho protegido por el artículo 26 de la Convenció</w:t>
      </w:r>
      <w:r w:rsidR="005A6F99" w:rsidRPr="00CB1BC9">
        <w:rPr>
          <w:rFonts w:ascii="Verdana" w:hAnsi="Verdana" w:cs="Times New Roman"/>
          <w:sz w:val="20"/>
          <w:szCs w:val="20"/>
        </w:rPr>
        <w:t>n Americana</w:t>
      </w:r>
      <w:r w:rsidR="005E3299">
        <w:rPr>
          <w:rFonts w:ascii="Verdana" w:hAnsi="Verdana" w:cs="Times New Roman"/>
          <w:sz w:val="20"/>
          <w:szCs w:val="20"/>
        </w:rPr>
        <w:t>;</w:t>
      </w:r>
      <w:r w:rsidR="00CB1BC9" w:rsidRPr="00CB1BC9">
        <w:rPr>
          <w:rFonts w:ascii="Verdana" w:hAnsi="Verdana" w:cs="Times New Roman"/>
          <w:sz w:val="20"/>
          <w:szCs w:val="20"/>
        </w:rPr>
        <w:t xml:space="preserve"> y</w:t>
      </w:r>
      <w:r w:rsidR="00222532">
        <w:rPr>
          <w:rFonts w:ascii="Verdana" w:hAnsi="Verdana" w:cs="Times New Roman"/>
          <w:sz w:val="20"/>
          <w:szCs w:val="20"/>
        </w:rPr>
        <w:t xml:space="preserve"> por ende,</w:t>
      </w:r>
      <w:r w:rsidR="00CB1BC9" w:rsidRPr="00CB1BC9">
        <w:rPr>
          <w:rFonts w:ascii="Verdana" w:hAnsi="Verdana" w:cs="Times New Roman"/>
          <w:sz w:val="20"/>
          <w:szCs w:val="20"/>
        </w:rPr>
        <w:t xml:space="preserve"> </w:t>
      </w:r>
      <w:r w:rsidR="00222532">
        <w:rPr>
          <w:rFonts w:ascii="Verdana" w:hAnsi="Verdana" w:cs="Times New Roman"/>
          <w:sz w:val="20"/>
          <w:szCs w:val="20"/>
        </w:rPr>
        <w:t>declara</w:t>
      </w:r>
      <w:r w:rsidR="00CB1BC9">
        <w:rPr>
          <w:rFonts w:ascii="Verdana" w:hAnsi="Verdana" w:cs="Times New Roman"/>
          <w:sz w:val="20"/>
          <w:szCs w:val="20"/>
        </w:rPr>
        <w:t xml:space="preserve"> responsable </w:t>
      </w:r>
      <w:r w:rsidR="00222532">
        <w:rPr>
          <w:rFonts w:ascii="Verdana" w:hAnsi="Verdana" w:cs="Times New Roman"/>
          <w:sz w:val="20"/>
          <w:szCs w:val="20"/>
        </w:rPr>
        <w:t xml:space="preserve">internacionalmente </w:t>
      </w:r>
      <w:r w:rsidR="00CB1BC9">
        <w:rPr>
          <w:rFonts w:ascii="Verdana" w:hAnsi="Verdana" w:cs="Times New Roman"/>
          <w:sz w:val="20"/>
          <w:szCs w:val="20"/>
        </w:rPr>
        <w:t xml:space="preserve">al </w:t>
      </w:r>
      <w:r w:rsidR="00CB1BC9" w:rsidRPr="00CB1BC9">
        <w:rPr>
          <w:rFonts w:ascii="Verdana" w:hAnsi="Verdana"/>
          <w:color w:val="000000"/>
          <w:sz w:val="20"/>
          <w:szCs w:val="20"/>
        </w:rPr>
        <w:t xml:space="preserve">Estado </w:t>
      </w:r>
      <w:r w:rsidR="0047021F">
        <w:rPr>
          <w:rFonts w:ascii="Verdana" w:hAnsi="Verdana"/>
          <w:color w:val="000000"/>
          <w:sz w:val="20"/>
          <w:szCs w:val="20"/>
        </w:rPr>
        <w:t xml:space="preserve">peruano </w:t>
      </w:r>
      <w:r w:rsidR="00CB1BC9">
        <w:rPr>
          <w:rFonts w:ascii="Verdana" w:hAnsi="Verdana"/>
          <w:color w:val="000000"/>
          <w:sz w:val="20"/>
          <w:szCs w:val="20"/>
        </w:rPr>
        <w:t>por no adoptar</w:t>
      </w:r>
      <w:r w:rsidR="00CB1BC9" w:rsidRPr="00CB1BC9">
        <w:rPr>
          <w:rFonts w:ascii="Verdana" w:hAnsi="Verdana"/>
          <w:color w:val="000000"/>
          <w:sz w:val="20"/>
          <w:szCs w:val="20"/>
        </w:rPr>
        <w:t xml:space="preserve"> las medidas adecuadas para proteger la vulneración del derecho al trabajo imputable a terceros</w:t>
      </w:r>
      <w:r w:rsidR="00206283">
        <w:rPr>
          <w:rStyle w:val="FootnoteReference"/>
          <w:rFonts w:ascii="Verdana" w:hAnsi="Verdana"/>
          <w:color w:val="000000"/>
          <w:sz w:val="20"/>
          <w:szCs w:val="20"/>
        </w:rPr>
        <w:footnoteReference w:id="11"/>
      </w:r>
      <w:r w:rsidR="00CB1BC9" w:rsidRPr="00CB1BC9">
        <w:rPr>
          <w:rFonts w:ascii="Verdana" w:hAnsi="Verdana"/>
          <w:color w:val="000000"/>
          <w:sz w:val="20"/>
          <w:szCs w:val="20"/>
        </w:rPr>
        <w:t xml:space="preserve">. </w:t>
      </w:r>
      <w:r w:rsidR="0047021F">
        <w:rPr>
          <w:rFonts w:ascii="Verdana" w:hAnsi="Verdana"/>
          <w:color w:val="000000"/>
          <w:sz w:val="20"/>
          <w:szCs w:val="20"/>
        </w:rPr>
        <w:t xml:space="preserve">Ahora bien, </w:t>
      </w:r>
      <w:r w:rsidR="0047021F">
        <w:rPr>
          <w:rFonts w:ascii="Verdana" w:hAnsi="Verdana" w:cs="Times New Roman"/>
          <w:sz w:val="20"/>
          <w:szCs w:val="20"/>
        </w:rPr>
        <w:t>p</w:t>
      </w:r>
      <w:r w:rsidR="00974A3E" w:rsidRPr="00CB1BC9">
        <w:rPr>
          <w:rFonts w:ascii="Verdana" w:hAnsi="Verdana" w:cs="Times New Roman"/>
          <w:sz w:val="20"/>
          <w:szCs w:val="20"/>
        </w:rPr>
        <w:t>ara analizar el contenido y alcance de</w:t>
      </w:r>
      <w:r w:rsidR="00CB1BC9">
        <w:rPr>
          <w:rFonts w:ascii="Verdana" w:hAnsi="Verdana" w:cs="Times New Roman"/>
          <w:sz w:val="20"/>
          <w:szCs w:val="20"/>
        </w:rPr>
        <w:t>l artículo 26 del Pacto de San José</w:t>
      </w:r>
      <w:r w:rsidR="00974A3E" w:rsidRPr="00CB1BC9">
        <w:rPr>
          <w:rFonts w:ascii="Verdana" w:hAnsi="Verdana" w:cs="Times New Roman"/>
          <w:sz w:val="20"/>
          <w:szCs w:val="20"/>
        </w:rPr>
        <w:t xml:space="preserve">, se tuvo en consideración las reglas generales de interpretación establecidas </w:t>
      </w:r>
      <w:r w:rsidR="00E335CB" w:rsidRPr="00CB1BC9">
        <w:rPr>
          <w:rFonts w:ascii="Verdana" w:hAnsi="Verdana" w:cs="Times New Roman"/>
          <w:sz w:val="20"/>
          <w:szCs w:val="20"/>
        </w:rPr>
        <w:t xml:space="preserve">en el </w:t>
      </w:r>
      <w:r w:rsidR="00974A3E" w:rsidRPr="00CB1BC9">
        <w:rPr>
          <w:rFonts w:ascii="Verdana" w:hAnsi="Verdana" w:cs="Verdana"/>
          <w:sz w:val="20"/>
          <w:szCs w:val="20"/>
        </w:rPr>
        <w:t>artículo 29</w:t>
      </w:r>
      <w:r w:rsidR="00E335CB" w:rsidRPr="00CB1BC9">
        <w:rPr>
          <w:rFonts w:ascii="Verdana" w:hAnsi="Verdana" w:cs="Verdana"/>
          <w:sz w:val="20"/>
          <w:szCs w:val="20"/>
        </w:rPr>
        <w:t>, incisos b, c</w:t>
      </w:r>
      <w:r w:rsidR="00974A3E" w:rsidRPr="00CB1BC9">
        <w:rPr>
          <w:rFonts w:ascii="Verdana" w:hAnsi="Verdana" w:cs="Verdana"/>
          <w:sz w:val="20"/>
          <w:szCs w:val="20"/>
        </w:rPr>
        <w:t xml:space="preserve"> y d del mismo tratad</w:t>
      </w:r>
      <w:r w:rsidR="00E335CB" w:rsidRPr="00CB1BC9">
        <w:rPr>
          <w:rFonts w:ascii="Verdana" w:hAnsi="Verdana" w:cs="Verdana"/>
          <w:sz w:val="20"/>
          <w:szCs w:val="20"/>
        </w:rPr>
        <w:t>o</w:t>
      </w:r>
      <w:r w:rsidR="00974A3E" w:rsidRPr="00CB1BC9">
        <w:rPr>
          <w:rFonts w:ascii="Verdana" w:hAnsi="Verdana" w:cs="Verdana"/>
          <w:sz w:val="20"/>
          <w:szCs w:val="20"/>
        </w:rPr>
        <w:t>; y en ese sentido se derivaron derechos laborales específicos</w:t>
      </w:r>
      <w:r w:rsidR="00F8270C" w:rsidRPr="00CB1BC9">
        <w:rPr>
          <w:rFonts w:ascii="Verdana" w:hAnsi="Verdana" w:cs="Verdana"/>
          <w:sz w:val="20"/>
          <w:szCs w:val="20"/>
        </w:rPr>
        <w:t xml:space="preserve"> contenidos en los </w:t>
      </w:r>
      <w:r w:rsidR="005A6F99" w:rsidRPr="00CB1BC9">
        <w:rPr>
          <w:rFonts w:ascii="Verdana" w:hAnsi="Verdana"/>
          <w:color w:val="000000"/>
          <w:sz w:val="20"/>
          <w:szCs w:val="20"/>
        </w:rPr>
        <w:t xml:space="preserve">artículos </w:t>
      </w:r>
      <w:r w:rsidR="002971BB">
        <w:rPr>
          <w:rFonts w:ascii="Verdana" w:hAnsi="Verdana"/>
          <w:color w:val="000000"/>
          <w:sz w:val="20"/>
          <w:szCs w:val="20"/>
        </w:rPr>
        <w:t xml:space="preserve">34 inciso g, </w:t>
      </w:r>
      <w:r w:rsidR="005A6F99" w:rsidRPr="00CB1BC9">
        <w:rPr>
          <w:rFonts w:ascii="Verdana" w:hAnsi="Verdana"/>
          <w:color w:val="000000"/>
          <w:sz w:val="20"/>
          <w:szCs w:val="20"/>
        </w:rPr>
        <w:t>45</w:t>
      </w:r>
      <w:r w:rsidR="0047021F">
        <w:rPr>
          <w:rFonts w:ascii="Verdana" w:hAnsi="Verdana"/>
          <w:color w:val="000000"/>
          <w:sz w:val="20"/>
          <w:szCs w:val="20"/>
        </w:rPr>
        <w:t>, incisos b y c</w:t>
      </w:r>
      <w:r w:rsidR="002971BB">
        <w:rPr>
          <w:rFonts w:ascii="Verdana" w:hAnsi="Verdana"/>
          <w:color w:val="000000"/>
          <w:sz w:val="20"/>
          <w:szCs w:val="20"/>
        </w:rPr>
        <w:t>, y</w:t>
      </w:r>
      <w:r w:rsidR="005A6F99" w:rsidRPr="00CB1BC9">
        <w:rPr>
          <w:rFonts w:ascii="Verdana" w:hAnsi="Verdana"/>
          <w:color w:val="000000"/>
          <w:sz w:val="20"/>
          <w:szCs w:val="20"/>
        </w:rPr>
        <w:t xml:space="preserve"> 46 de la Carta </w:t>
      </w:r>
      <w:r w:rsidR="00F8270C" w:rsidRPr="00CB1BC9">
        <w:rPr>
          <w:rFonts w:ascii="Verdana" w:hAnsi="Verdana"/>
          <w:color w:val="000000"/>
          <w:sz w:val="20"/>
          <w:szCs w:val="20"/>
        </w:rPr>
        <w:t>de la OEA</w:t>
      </w:r>
      <w:r w:rsidR="00F8270C">
        <w:rPr>
          <w:rStyle w:val="FootnoteReference"/>
          <w:rFonts w:ascii="Verdana" w:hAnsi="Verdana"/>
          <w:color w:val="000000"/>
          <w:sz w:val="20"/>
          <w:szCs w:val="20"/>
        </w:rPr>
        <w:footnoteReference w:id="12"/>
      </w:r>
      <w:r w:rsidR="0047021F">
        <w:rPr>
          <w:rFonts w:ascii="Verdana" w:hAnsi="Verdana"/>
          <w:color w:val="000000"/>
          <w:sz w:val="20"/>
          <w:szCs w:val="20"/>
        </w:rPr>
        <w:t>. Así también, se consideró</w:t>
      </w:r>
      <w:r w:rsidR="00E335CB" w:rsidRPr="00CB1BC9">
        <w:rPr>
          <w:rFonts w:ascii="Verdana" w:hAnsi="Verdana"/>
          <w:color w:val="000000"/>
          <w:sz w:val="20"/>
          <w:szCs w:val="20"/>
        </w:rPr>
        <w:t xml:space="preserve"> la Declaración Americana de l</w:t>
      </w:r>
      <w:r w:rsidR="00CB1BC9" w:rsidRPr="00CB1BC9">
        <w:rPr>
          <w:rFonts w:ascii="Verdana" w:hAnsi="Verdana"/>
          <w:color w:val="000000"/>
          <w:sz w:val="20"/>
          <w:szCs w:val="20"/>
        </w:rPr>
        <w:t>os Derechos y Deberes del Hombre</w:t>
      </w:r>
      <w:r w:rsidR="00CB1BC9">
        <w:rPr>
          <w:rStyle w:val="FootnoteReference"/>
          <w:rFonts w:ascii="Verdana" w:hAnsi="Verdana"/>
          <w:color w:val="000000"/>
          <w:sz w:val="20"/>
          <w:szCs w:val="20"/>
        </w:rPr>
        <w:footnoteReference w:id="13"/>
      </w:r>
      <w:r w:rsidR="00CB1BC9" w:rsidRPr="00CB1BC9">
        <w:rPr>
          <w:rFonts w:ascii="Verdana" w:hAnsi="Verdana"/>
          <w:color w:val="000000"/>
          <w:sz w:val="20"/>
          <w:szCs w:val="20"/>
        </w:rPr>
        <w:t xml:space="preserve">, </w:t>
      </w:r>
      <w:r w:rsidR="0047021F">
        <w:rPr>
          <w:rFonts w:ascii="Verdana" w:hAnsi="Verdana"/>
          <w:color w:val="000000"/>
          <w:sz w:val="20"/>
          <w:szCs w:val="20"/>
        </w:rPr>
        <w:t>el</w:t>
      </w:r>
      <w:r w:rsidR="00CB1BC9" w:rsidRPr="00CB1BC9">
        <w:rPr>
          <w:rFonts w:ascii="Verdana" w:hAnsi="Verdana"/>
          <w:color w:val="000000"/>
          <w:sz w:val="20"/>
          <w:szCs w:val="20"/>
        </w:rPr>
        <w:t xml:space="preserve"> reconocimiento explícito </w:t>
      </w:r>
      <w:r w:rsidR="0047021F">
        <w:rPr>
          <w:rFonts w:ascii="Verdana" w:hAnsi="Verdana"/>
          <w:color w:val="000000"/>
          <w:sz w:val="20"/>
          <w:szCs w:val="20"/>
        </w:rPr>
        <w:t xml:space="preserve">de los derechos controvertidos </w:t>
      </w:r>
      <w:r w:rsidR="007E09A0">
        <w:rPr>
          <w:rFonts w:ascii="Verdana" w:hAnsi="Verdana"/>
          <w:color w:val="000000"/>
          <w:sz w:val="20"/>
          <w:szCs w:val="20"/>
        </w:rPr>
        <w:t>en la Con</w:t>
      </w:r>
      <w:r w:rsidR="0047021F">
        <w:rPr>
          <w:rFonts w:ascii="Verdana" w:hAnsi="Verdana"/>
          <w:color w:val="000000"/>
          <w:sz w:val="20"/>
          <w:szCs w:val="20"/>
        </w:rPr>
        <w:t>stitución y leyes en el Perú (</w:t>
      </w:r>
      <w:r w:rsidR="007E09A0">
        <w:rPr>
          <w:rFonts w:ascii="Verdana" w:hAnsi="Verdana"/>
          <w:color w:val="000000"/>
          <w:sz w:val="20"/>
          <w:szCs w:val="20"/>
        </w:rPr>
        <w:t xml:space="preserve">advirtiendo la </w:t>
      </w:r>
      <w:r w:rsidR="0047021F">
        <w:rPr>
          <w:rFonts w:ascii="Verdana" w:hAnsi="Verdana"/>
          <w:color w:val="000000"/>
          <w:sz w:val="20"/>
          <w:szCs w:val="20"/>
        </w:rPr>
        <w:t>tendencia regional</w:t>
      </w:r>
      <w:r w:rsidR="007E09A0">
        <w:rPr>
          <w:rFonts w:ascii="Verdana" w:hAnsi="Verdana"/>
          <w:color w:val="000000"/>
          <w:sz w:val="20"/>
          <w:szCs w:val="20"/>
        </w:rPr>
        <w:t>)</w:t>
      </w:r>
      <w:r w:rsidR="0047021F">
        <w:rPr>
          <w:rFonts w:ascii="Verdana" w:hAnsi="Verdana"/>
          <w:color w:val="000000"/>
          <w:sz w:val="20"/>
          <w:szCs w:val="20"/>
        </w:rPr>
        <w:t>,</w:t>
      </w:r>
      <w:r w:rsidR="00CB1BC9" w:rsidRPr="00CB1BC9">
        <w:rPr>
          <w:rFonts w:ascii="Verdana" w:hAnsi="Verdana"/>
          <w:color w:val="000000"/>
          <w:sz w:val="20"/>
          <w:szCs w:val="20"/>
        </w:rPr>
        <w:t xml:space="preserve"> y</w:t>
      </w:r>
      <w:r w:rsidR="0047021F">
        <w:rPr>
          <w:rFonts w:ascii="Verdana" w:hAnsi="Verdana"/>
          <w:color w:val="000000"/>
          <w:sz w:val="20"/>
          <w:szCs w:val="20"/>
        </w:rPr>
        <w:t xml:space="preserve"> </w:t>
      </w:r>
      <w:r w:rsidR="00CB1BC9" w:rsidRPr="00CB1BC9">
        <w:rPr>
          <w:rFonts w:ascii="Verdana" w:hAnsi="Verdana"/>
          <w:color w:val="000000"/>
          <w:sz w:val="20"/>
          <w:szCs w:val="20"/>
        </w:rPr>
        <w:t xml:space="preserve">el vasto </w:t>
      </w:r>
      <w:r w:rsidR="00CB1BC9" w:rsidRPr="009058DE">
        <w:rPr>
          <w:rFonts w:ascii="Verdana" w:hAnsi="Verdana"/>
          <w:i/>
          <w:color w:val="000000"/>
          <w:sz w:val="20"/>
          <w:szCs w:val="20"/>
        </w:rPr>
        <w:t>corpus iuris</w:t>
      </w:r>
      <w:r w:rsidR="00CB1BC9" w:rsidRPr="00CB1BC9">
        <w:rPr>
          <w:rFonts w:ascii="Verdana" w:hAnsi="Verdana"/>
          <w:color w:val="000000"/>
          <w:sz w:val="20"/>
          <w:szCs w:val="20"/>
        </w:rPr>
        <w:t xml:space="preserve"> internacional sobre la materia</w:t>
      </w:r>
      <w:r w:rsidR="005B3CA3">
        <w:rPr>
          <w:rFonts w:ascii="Verdana" w:hAnsi="Verdana"/>
          <w:color w:val="000000"/>
          <w:sz w:val="20"/>
          <w:szCs w:val="20"/>
        </w:rPr>
        <w:t xml:space="preserve">, </w:t>
      </w:r>
      <w:r w:rsidR="005B3CA3" w:rsidRPr="001A0F20">
        <w:rPr>
          <w:rFonts w:ascii="Verdana" w:hAnsi="Verdana"/>
          <w:color w:val="000000"/>
          <w:sz w:val="20"/>
          <w:szCs w:val="20"/>
        </w:rPr>
        <w:t>que se ha visto reflejado, por ejemplo, en los 17 Objetivos de Naciones Unidas para el año 2030</w:t>
      </w:r>
      <w:r w:rsidR="005B3CA3" w:rsidRPr="001A0F20">
        <w:rPr>
          <w:rStyle w:val="FootnoteReference"/>
          <w:rFonts w:ascii="Verdana" w:hAnsi="Verdana"/>
          <w:color w:val="000000"/>
          <w:sz w:val="20"/>
          <w:szCs w:val="20"/>
        </w:rPr>
        <w:footnoteReference w:id="14"/>
      </w:r>
      <w:r w:rsidR="005B3CA3" w:rsidRPr="001A0F20">
        <w:rPr>
          <w:rFonts w:ascii="Verdana" w:hAnsi="Verdana"/>
          <w:color w:val="000000"/>
          <w:sz w:val="20"/>
          <w:szCs w:val="20"/>
        </w:rPr>
        <w:t>.</w:t>
      </w:r>
    </w:p>
    <w:p w14:paraId="58C9E867" w14:textId="77777777" w:rsidR="0077077F" w:rsidRPr="0077077F" w:rsidRDefault="0077077F" w:rsidP="00AD360E">
      <w:pPr>
        <w:widowControl w:val="0"/>
        <w:autoSpaceDE w:val="0"/>
        <w:autoSpaceDN w:val="0"/>
        <w:adjustRightInd w:val="0"/>
        <w:jc w:val="both"/>
        <w:rPr>
          <w:rFonts w:ascii="Verdana" w:hAnsi="Verdana" w:cs="Times New Roman"/>
          <w:sz w:val="20"/>
          <w:szCs w:val="20"/>
        </w:rPr>
      </w:pPr>
    </w:p>
    <w:p w14:paraId="0A71F0AC" w14:textId="23B2041B" w:rsidR="00A75D43" w:rsidRDefault="002172FA" w:rsidP="00AD360E">
      <w:pPr>
        <w:pStyle w:val="ListParagraph"/>
        <w:widowControl w:val="0"/>
        <w:numPr>
          <w:ilvl w:val="0"/>
          <w:numId w:val="2"/>
        </w:numPr>
        <w:autoSpaceDE w:val="0"/>
        <w:autoSpaceDN w:val="0"/>
        <w:adjustRightInd w:val="0"/>
        <w:ind w:left="0" w:firstLine="0"/>
        <w:jc w:val="both"/>
        <w:rPr>
          <w:rFonts w:ascii="Verdana" w:hAnsi="Verdana" w:cs="Times New Roman"/>
          <w:sz w:val="20"/>
          <w:szCs w:val="20"/>
        </w:rPr>
      </w:pPr>
      <w:r w:rsidRPr="00A1496A">
        <w:rPr>
          <w:rFonts w:ascii="Verdana" w:hAnsi="Verdana" w:cs="Times New Roman"/>
          <w:sz w:val="20"/>
          <w:szCs w:val="20"/>
          <w:u w:val="single"/>
        </w:rPr>
        <w:t>E</w:t>
      </w:r>
      <w:r w:rsidR="00200095" w:rsidRPr="00A1496A">
        <w:rPr>
          <w:rFonts w:ascii="Verdana" w:hAnsi="Verdana" w:cs="Times New Roman"/>
          <w:sz w:val="20"/>
          <w:szCs w:val="20"/>
          <w:u w:val="single"/>
        </w:rPr>
        <w:t>n tercer lugar</w:t>
      </w:r>
      <w:r w:rsidR="00200095" w:rsidRPr="002172FA">
        <w:rPr>
          <w:rFonts w:ascii="Verdana" w:hAnsi="Verdana" w:cs="Times New Roman"/>
          <w:sz w:val="20"/>
          <w:szCs w:val="20"/>
        </w:rPr>
        <w:t>, la Corte IDH aplica la protección de</w:t>
      </w:r>
      <w:r w:rsidR="00305AB2">
        <w:rPr>
          <w:rFonts w:ascii="Verdana" w:hAnsi="Verdana" w:cs="Times New Roman"/>
          <w:sz w:val="20"/>
          <w:szCs w:val="20"/>
        </w:rPr>
        <w:t>l artículo 16 en relación con el</w:t>
      </w:r>
      <w:r w:rsidR="00200095" w:rsidRPr="002172FA">
        <w:rPr>
          <w:rFonts w:ascii="Verdana" w:hAnsi="Verdana" w:cs="Times New Roman"/>
          <w:sz w:val="20"/>
          <w:szCs w:val="20"/>
        </w:rPr>
        <w:t xml:space="preserve"> artículo 26 </w:t>
      </w:r>
      <w:r w:rsidR="00091B08">
        <w:rPr>
          <w:rFonts w:ascii="Verdana" w:hAnsi="Verdana" w:cs="Times New Roman"/>
          <w:sz w:val="20"/>
          <w:szCs w:val="20"/>
        </w:rPr>
        <w:t xml:space="preserve">del Pacto de San José, </w:t>
      </w:r>
      <w:r w:rsidR="00200095" w:rsidRPr="002172FA">
        <w:rPr>
          <w:rFonts w:ascii="Verdana" w:hAnsi="Verdana" w:cs="Times New Roman"/>
          <w:sz w:val="20"/>
          <w:szCs w:val="20"/>
        </w:rPr>
        <w:t xml:space="preserve">por la vulneración </w:t>
      </w:r>
      <w:r w:rsidR="0077077F" w:rsidRPr="002172FA">
        <w:rPr>
          <w:rFonts w:ascii="Verdana" w:hAnsi="Verdana" w:cs="Times New Roman"/>
          <w:sz w:val="20"/>
          <w:szCs w:val="20"/>
        </w:rPr>
        <w:t xml:space="preserve">del </w:t>
      </w:r>
      <w:r w:rsidR="0077077F" w:rsidRPr="00A635E6">
        <w:rPr>
          <w:rFonts w:ascii="Verdana" w:hAnsi="Verdana" w:cs="Times New Roman"/>
          <w:i/>
          <w:sz w:val="20"/>
          <w:szCs w:val="20"/>
        </w:rPr>
        <w:t>derecho de asociación</w:t>
      </w:r>
      <w:r w:rsidR="00091B08" w:rsidRPr="00A635E6">
        <w:rPr>
          <w:rFonts w:ascii="Verdana" w:hAnsi="Verdana" w:cs="Times New Roman"/>
          <w:i/>
          <w:sz w:val="20"/>
          <w:szCs w:val="20"/>
        </w:rPr>
        <w:t xml:space="preserve"> en contextos laborales.</w:t>
      </w:r>
      <w:r w:rsidR="00200095" w:rsidRPr="002172FA">
        <w:rPr>
          <w:rFonts w:ascii="Verdana" w:hAnsi="Verdana" w:cs="Times New Roman"/>
          <w:sz w:val="20"/>
          <w:szCs w:val="20"/>
        </w:rPr>
        <w:t xml:space="preserve"> </w:t>
      </w:r>
      <w:r w:rsidR="00091B08">
        <w:rPr>
          <w:rFonts w:ascii="Verdana" w:hAnsi="Verdana" w:cs="Times New Roman"/>
          <w:sz w:val="20"/>
          <w:szCs w:val="20"/>
        </w:rPr>
        <w:t xml:space="preserve">Lo anterior es de vital importancia, teniendo en consideración que también </w:t>
      </w:r>
      <w:r w:rsidR="00B5676E">
        <w:rPr>
          <w:rFonts w:ascii="Verdana" w:hAnsi="Verdana" w:cs="Times New Roman"/>
          <w:sz w:val="20"/>
          <w:szCs w:val="20"/>
        </w:rPr>
        <w:t xml:space="preserve">constituye </w:t>
      </w:r>
      <w:r w:rsidR="00091B08">
        <w:rPr>
          <w:rFonts w:ascii="Verdana" w:hAnsi="Verdana" w:cs="Times New Roman"/>
          <w:sz w:val="20"/>
          <w:szCs w:val="20"/>
        </w:rPr>
        <w:t xml:space="preserve">la primera ocasión </w:t>
      </w:r>
      <w:r w:rsidR="00B5676E">
        <w:rPr>
          <w:rFonts w:ascii="Verdana" w:hAnsi="Verdana" w:cs="Times New Roman"/>
          <w:sz w:val="20"/>
          <w:szCs w:val="20"/>
        </w:rPr>
        <w:t xml:space="preserve">en </w:t>
      </w:r>
      <w:r w:rsidR="00091B08">
        <w:rPr>
          <w:rFonts w:ascii="Verdana" w:hAnsi="Verdana" w:cs="Times New Roman"/>
          <w:sz w:val="20"/>
          <w:szCs w:val="20"/>
        </w:rPr>
        <w:t>que el Tribunal Interamericano aborda la protección de la libertad de asociación en materia estrictamente laboral</w:t>
      </w:r>
      <w:r w:rsidR="005E3299">
        <w:rPr>
          <w:rFonts w:ascii="Verdana" w:hAnsi="Verdana" w:cs="Times New Roman"/>
          <w:sz w:val="20"/>
          <w:szCs w:val="20"/>
        </w:rPr>
        <w:t>;</w:t>
      </w:r>
      <w:r w:rsidR="0047021F">
        <w:rPr>
          <w:rFonts w:ascii="Verdana" w:hAnsi="Verdana" w:cs="Times New Roman"/>
          <w:sz w:val="20"/>
          <w:szCs w:val="20"/>
        </w:rPr>
        <w:t xml:space="preserve"> </w:t>
      </w:r>
      <w:r w:rsidR="00091B08">
        <w:rPr>
          <w:rFonts w:ascii="Verdana" w:hAnsi="Verdana" w:cs="Times New Roman"/>
          <w:sz w:val="20"/>
          <w:szCs w:val="20"/>
        </w:rPr>
        <w:t>y no</w:t>
      </w:r>
      <w:r w:rsidR="0047021F">
        <w:rPr>
          <w:rFonts w:ascii="Verdana" w:hAnsi="Verdana" w:cs="Times New Roman"/>
          <w:sz w:val="20"/>
          <w:szCs w:val="20"/>
        </w:rPr>
        <w:t>, como en casos anteriores,</w:t>
      </w:r>
      <w:r w:rsidR="00091B08">
        <w:rPr>
          <w:rFonts w:ascii="Verdana" w:hAnsi="Verdana" w:cs="Times New Roman"/>
          <w:sz w:val="20"/>
          <w:szCs w:val="20"/>
        </w:rPr>
        <w:t xml:space="preserve"> </w:t>
      </w:r>
      <w:r w:rsidR="001724E4">
        <w:rPr>
          <w:rFonts w:ascii="Verdana" w:hAnsi="Verdana" w:cs="Times New Roman"/>
          <w:sz w:val="20"/>
          <w:szCs w:val="20"/>
        </w:rPr>
        <w:t>solo “</w:t>
      </w:r>
      <w:r w:rsidR="00091B08">
        <w:rPr>
          <w:rFonts w:ascii="Verdana" w:hAnsi="Verdana" w:cs="Times New Roman"/>
          <w:sz w:val="20"/>
          <w:szCs w:val="20"/>
        </w:rPr>
        <w:t>sindical</w:t>
      </w:r>
      <w:r w:rsidR="001724E4">
        <w:rPr>
          <w:rFonts w:ascii="Verdana" w:hAnsi="Verdana" w:cs="Times New Roman"/>
          <w:sz w:val="20"/>
          <w:szCs w:val="20"/>
        </w:rPr>
        <w:t>”</w:t>
      </w:r>
      <w:r w:rsidR="00091B08">
        <w:rPr>
          <w:rFonts w:ascii="Verdana" w:hAnsi="Verdana" w:cs="Times New Roman"/>
          <w:sz w:val="20"/>
          <w:szCs w:val="20"/>
        </w:rPr>
        <w:t>. Precisamente</w:t>
      </w:r>
      <w:r w:rsidR="0047021F">
        <w:rPr>
          <w:rFonts w:ascii="Verdana" w:hAnsi="Verdana" w:cs="Times New Roman"/>
          <w:sz w:val="20"/>
          <w:szCs w:val="20"/>
        </w:rPr>
        <w:t>,</w:t>
      </w:r>
      <w:r w:rsidR="00091B08">
        <w:rPr>
          <w:rFonts w:ascii="Verdana" w:hAnsi="Verdana" w:cs="Times New Roman"/>
          <w:sz w:val="20"/>
          <w:szCs w:val="20"/>
        </w:rPr>
        <w:t xml:space="preserve"> </w:t>
      </w:r>
      <w:r w:rsidR="00B5676E">
        <w:rPr>
          <w:rFonts w:ascii="Verdana" w:hAnsi="Verdana" w:cs="Times New Roman"/>
          <w:sz w:val="20"/>
          <w:szCs w:val="20"/>
        </w:rPr>
        <w:t xml:space="preserve">esta nueva vertiente en la </w:t>
      </w:r>
      <w:r w:rsidR="00091B08">
        <w:rPr>
          <w:rFonts w:ascii="Verdana" w:hAnsi="Verdana" w:cs="Times New Roman"/>
          <w:sz w:val="20"/>
          <w:szCs w:val="20"/>
        </w:rPr>
        <w:t xml:space="preserve">jurisprudencia interamericana </w:t>
      </w:r>
      <w:r w:rsidR="0047021F">
        <w:rPr>
          <w:rFonts w:ascii="Verdana" w:hAnsi="Verdana" w:cs="Times New Roman"/>
          <w:sz w:val="20"/>
          <w:szCs w:val="20"/>
        </w:rPr>
        <w:t xml:space="preserve">es la </w:t>
      </w:r>
      <w:r w:rsidR="00091B08">
        <w:rPr>
          <w:rFonts w:ascii="Verdana" w:hAnsi="Verdana" w:cs="Times New Roman"/>
          <w:sz w:val="20"/>
          <w:szCs w:val="20"/>
        </w:rPr>
        <w:t>que estimo pertinente desarrollar en el presente voto.</w:t>
      </w:r>
    </w:p>
    <w:p w14:paraId="0D882DE8" w14:textId="77777777" w:rsidR="00A75D43" w:rsidRPr="00A75D43" w:rsidRDefault="00A75D43" w:rsidP="00AD360E">
      <w:pPr>
        <w:widowControl w:val="0"/>
        <w:autoSpaceDE w:val="0"/>
        <w:autoSpaceDN w:val="0"/>
        <w:adjustRightInd w:val="0"/>
        <w:jc w:val="both"/>
        <w:rPr>
          <w:rFonts w:ascii="Verdana" w:hAnsi="Verdana" w:cs="Times New Roman"/>
          <w:sz w:val="20"/>
          <w:szCs w:val="20"/>
        </w:rPr>
      </w:pPr>
    </w:p>
    <w:p w14:paraId="60593F33" w14:textId="5E276845" w:rsidR="00B46BC3" w:rsidRPr="0047021F" w:rsidRDefault="00B46BC3" w:rsidP="00AD360E">
      <w:pPr>
        <w:pStyle w:val="ListParagraph"/>
        <w:widowControl w:val="0"/>
        <w:numPr>
          <w:ilvl w:val="0"/>
          <w:numId w:val="2"/>
        </w:numPr>
        <w:autoSpaceDE w:val="0"/>
        <w:autoSpaceDN w:val="0"/>
        <w:adjustRightInd w:val="0"/>
        <w:ind w:left="0" w:firstLine="0"/>
        <w:jc w:val="both"/>
        <w:rPr>
          <w:rFonts w:ascii="Verdana" w:hAnsi="Verdana" w:cs="Times New Roman"/>
          <w:sz w:val="20"/>
          <w:szCs w:val="20"/>
        </w:rPr>
      </w:pPr>
      <w:r w:rsidRPr="00A75D43">
        <w:rPr>
          <w:rFonts w:ascii="Verdana" w:hAnsi="Verdana" w:cs="Times New Roman"/>
          <w:sz w:val="20"/>
          <w:szCs w:val="20"/>
        </w:rPr>
        <w:t xml:space="preserve">En </w:t>
      </w:r>
      <w:r w:rsidR="0047021F">
        <w:rPr>
          <w:rFonts w:ascii="Verdana" w:hAnsi="Verdana" w:cs="Times New Roman"/>
          <w:sz w:val="20"/>
          <w:szCs w:val="20"/>
        </w:rPr>
        <w:t xml:space="preserve">el presente caso, la Corte IDH aborda los derechos violados </w:t>
      </w:r>
      <w:r w:rsidR="005E3299">
        <w:rPr>
          <w:rFonts w:ascii="Verdana" w:hAnsi="Verdana" w:cs="Times New Roman"/>
          <w:sz w:val="20"/>
          <w:szCs w:val="20"/>
        </w:rPr>
        <w:t xml:space="preserve">integralmente y </w:t>
      </w:r>
      <w:r w:rsidR="0047021F">
        <w:rPr>
          <w:rFonts w:ascii="Verdana" w:hAnsi="Verdana" w:cs="Times New Roman"/>
          <w:sz w:val="20"/>
          <w:szCs w:val="20"/>
        </w:rPr>
        <w:t>de forma conglobada</w:t>
      </w:r>
      <w:r w:rsidR="005E3299">
        <w:rPr>
          <w:rFonts w:ascii="Verdana" w:hAnsi="Verdana" w:cs="Times New Roman"/>
          <w:sz w:val="20"/>
          <w:szCs w:val="20"/>
        </w:rPr>
        <w:t>,</w:t>
      </w:r>
      <w:r w:rsidR="0047021F">
        <w:rPr>
          <w:rFonts w:ascii="Verdana" w:hAnsi="Verdana" w:cs="Times New Roman"/>
          <w:sz w:val="20"/>
          <w:szCs w:val="20"/>
        </w:rPr>
        <w:t xml:space="preserve"> declara</w:t>
      </w:r>
      <w:r w:rsidR="005E3299">
        <w:rPr>
          <w:rFonts w:ascii="Verdana" w:hAnsi="Verdana" w:cs="Times New Roman"/>
          <w:sz w:val="20"/>
          <w:szCs w:val="20"/>
        </w:rPr>
        <w:t>ndo</w:t>
      </w:r>
      <w:r w:rsidR="0047021F">
        <w:rPr>
          <w:rFonts w:ascii="Verdana" w:hAnsi="Verdana" w:cs="Times New Roman"/>
          <w:sz w:val="20"/>
          <w:szCs w:val="20"/>
        </w:rPr>
        <w:t xml:space="preserve"> la violación directa del artículo 26 de la Convención Americana. Ello, en contraste con la jurisprudencia histórica que lo hacía mediante la conexidad </w:t>
      </w:r>
      <w:r w:rsidR="002971BB">
        <w:rPr>
          <w:rFonts w:ascii="Verdana" w:hAnsi="Verdana" w:cs="Times New Roman"/>
          <w:sz w:val="20"/>
          <w:szCs w:val="20"/>
        </w:rPr>
        <w:t>con los derechos civiles y políticos</w:t>
      </w:r>
      <w:r w:rsidR="0047021F">
        <w:rPr>
          <w:rFonts w:ascii="Verdana" w:hAnsi="Verdana" w:cs="Times New Roman"/>
          <w:sz w:val="20"/>
          <w:szCs w:val="20"/>
        </w:rPr>
        <w:t xml:space="preserve">. Por tal razón, </w:t>
      </w:r>
      <w:r w:rsidRPr="00A75D43">
        <w:rPr>
          <w:rFonts w:ascii="Verdana" w:hAnsi="Verdana" w:cs="Times New Roman"/>
          <w:sz w:val="20"/>
          <w:szCs w:val="20"/>
        </w:rPr>
        <w:t xml:space="preserve">concurro esencialmente con todas las violaciones declaradas en </w:t>
      </w:r>
      <w:r w:rsidR="0047021F">
        <w:rPr>
          <w:rFonts w:ascii="Verdana" w:hAnsi="Verdana" w:cs="Times New Roman"/>
          <w:sz w:val="20"/>
          <w:szCs w:val="20"/>
        </w:rPr>
        <w:t xml:space="preserve">la Sentencia. Sin embargo, debido a la importancia de la decisión en materia de </w:t>
      </w:r>
      <w:proofErr w:type="spellStart"/>
      <w:r w:rsidR="0047021F">
        <w:rPr>
          <w:rFonts w:ascii="Verdana" w:hAnsi="Verdana" w:cs="Times New Roman"/>
          <w:sz w:val="20"/>
          <w:szCs w:val="20"/>
        </w:rPr>
        <w:t>justiciabilidad</w:t>
      </w:r>
      <w:proofErr w:type="spellEnd"/>
      <w:r w:rsidR="0047021F">
        <w:rPr>
          <w:rFonts w:ascii="Verdana" w:hAnsi="Verdana" w:cs="Times New Roman"/>
          <w:sz w:val="20"/>
          <w:szCs w:val="20"/>
        </w:rPr>
        <w:t xml:space="preserve"> pl</w:t>
      </w:r>
      <w:r w:rsidR="005E3299">
        <w:rPr>
          <w:rFonts w:ascii="Verdana" w:hAnsi="Verdana" w:cs="Times New Roman"/>
          <w:sz w:val="20"/>
          <w:szCs w:val="20"/>
        </w:rPr>
        <w:t xml:space="preserve">ena de los DESCA, </w:t>
      </w:r>
      <w:r w:rsidR="0047021F">
        <w:rPr>
          <w:rFonts w:ascii="Verdana" w:hAnsi="Verdana" w:cs="Times New Roman"/>
          <w:sz w:val="20"/>
          <w:szCs w:val="20"/>
        </w:rPr>
        <w:t xml:space="preserve">considero oportuno </w:t>
      </w:r>
      <w:r w:rsidRPr="0047021F">
        <w:rPr>
          <w:rFonts w:ascii="Verdana" w:hAnsi="Verdana" w:cs="Times New Roman"/>
          <w:sz w:val="20"/>
          <w:szCs w:val="20"/>
        </w:rPr>
        <w:t xml:space="preserve">establecer algunos alcances </w:t>
      </w:r>
      <w:r w:rsidRPr="00C761FB">
        <w:rPr>
          <w:rFonts w:ascii="Verdana" w:hAnsi="Verdana" w:cs="Times New Roman"/>
          <w:sz w:val="20"/>
          <w:szCs w:val="20"/>
        </w:rPr>
        <w:t xml:space="preserve">en relación </w:t>
      </w:r>
      <w:r w:rsidR="002971BB" w:rsidRPr="00C761FB">
        <w:rPr>
          <w:rFonts w:ascii="Verdana" w:hAnsi="Verdana" w:cs="Times New Roman"/>
          <w:sz w:val="20"/>
          <w:szCs w:val="20"/>
        </w:rPr>
        <w:t>con el</w:t>
      </w:r>
      <w:r w:rsidRPr="0047021F">
        <w:rPr>
          <w:rFonts w:ascii="Verdana" w:hAnsi="Verdana" w:cs="Times New Roman"/>
          <w:i/>
          <w:sz w:val="20"/>
          <w:szCs w:val="20"/>
        </w:rPr>
        <w:t xml:space="preserve"> derecho de asociación en materia laboral para la defensa y promoción de los intereses de los trabajadores </w:t>
      </w:r>
      <w:r w:rsidRPr="0047021F">
        <w:rPr>
          <w:rFonts w:ascii="Verdana" w:hAnsi="Verdana" w:cs="Times New Roman"/>
          <w:sz w:val="20"/>
          <w:szCs w:val="20"/>
        </w:rPr>
        <w:t xml:space="preserve">mediante </w:t>
      </w:r>
      <w:r w:rsidR="00472FD4" w:rsidRPr="0047021F">
        <w:rPr>
          <w:rFonts w:ascii="Verdana" w:hAnsi="Verdana" w:cs="Times New Roman"/>
          <w:sz w:val="20"/>
          <w:szCs w:val="20"/>
        </w:rPr>
        <w:t>los artículos</w:t>
      </w:r>
      <w:r w:rsidRPr="0047021F">
        <w:rPr>
          <w:rFonts w:ascii="Verdana" w:hAnsi="Verdana" w:cs="Times New Roman"/>
          <w:sz w:val="20"/>
          <w:szCs w:val="20"/>
        </w:rPr>
        <w:t xml:space="preserve"> 26 y 16 de la Convención Americ</w:t>
      </w:r>
      <w:r w:rsidR="0047021F">
        <w:rPr>
          <w:rFonts w:ascii="Verdana" w:hAnsi="Verdana" w:cs="Times New Roman"/>
          <w:sz w:val="20"/>
          <w:szCs w:val="20"/>
        </w:rPr>
        <w:t>ana. L</w:t>
      </w:r>
      <w:r w:rsidRPr="0047021F">
        <w:rPr>
          <w:rFonts w:ascii="Verdana" w:hAnsi="Verdana" w:cs="Times New Roman"/>
          <w:sz w:val="20"/>
          <w:szCs w:val="20"/>
        </w:rPr>
        <w:t xml:space="preserve">o anterior, con la finalidad de destacar cómo diversos instrumentos internacionales pueden actuar de </w:t>
      </w:r>
      <w:r w:rsidRPr="0047021F">
        <w:rPr>
          <w:rFonts w:ascii="Verdana" w:hAnsi="Verdana" w:cs="Times New Roman"/>
          <w:sz w:val="20"/>
          <w:szCs w:val="20"/>
        </w:rPr>
        <w:lastRenderedPageBreak/>
        <w:t xml:space="preserve">manera sinérgica para delimitar los alcances de la protección de derechos sociales </w:t>
      </w:r>
      <w:r w:rsidR="002971BB">
        <w:rPr>
          <w:rFonts w:ascii="Verdana" w:hAnsi="Verdana" w:cs="Times New Roman"/>
          <w:sz w:val="20"/>
          <w:szCs w:val="20"/>
        </w:rPr>
        <w:t xml:space="preserve">interamericanos </w:t>
      </w:r>
      <w:r w:rsidRPr="0047021F">
        <w:rPr>
          <w:rFonts w:ascii="Verdana" w:hAnsi="Verdana" w:cs="Times New Roman"/>
          <w:sz w:val="20"/>
          <w:szCs w:val="20"/>
        </w:rPr>
        <w:t xml:space="preserve">mediante </w:t>
      </w:r>
      <w:r w:rsidR="00472FD4" w:rsidRPr="0047021F">
        <w:rPr>
          <w:rFonts w:ascii="Verdana" w:hAnsi="Verdana" w:cs="Times New Roman"/>
          <w:sz w:val="20"/>
          <w:szCs w:val="20"/>
        </w:rPr>
        <w:t>el Pacto de San José</w:t>
      </w:r>
      <w:r w:rsidRPr="0047021F">
        <w:rPr>
          <w:rFonts w:ascii="Verdana" w:hAnsi="Verdana" w:cs="Times New Roman"/>
          <w:sz w:val="20"/>
          <w:szCs w:val="20"/>
        </w:rPr>
        <w:t xml:space="preserve">. </w:t>
      </w:r>
    </w:p>
    <w:p w14:paraId="2CECC334" w14:textId="77777777" w:rsidR="00B46BC3" w:rsidRPr="00B46BC3" w:rsidRDefault="00B46BC3" w:rsidP="00AD360E">
      <w:pPr>
        <w:widowControl w:val="0"/>
        <w:autoSpaceDE w:val="0"/>
        <w:autoSpaceDN w:val="0"/>
        <w:adjustRightInd w:val="0"/>
        <w:jc w:val="both"/>
        <w:rPr>
          <w:rFonts w:ascii="Verdana" w:hAnsi="Verdana" w:cs="Times New Roman"/>
          <w:sz w:val="20"/>
          <w:szCs w:val="20"/>
          <w:highlight w:val="yellow"/>
        </w:rPr>
      </w:pPr>
    </w:p>
    <w:p w14:paraId="3E0A42C0" w14:textId="60B07D57" w:rsidR="00200095" w:rsidRPr="003D4E91" w:rsidRDefault="00A635E6" w:rsidP="00AD360E">
      <w:pPr>
        <w:pStyle w:val="ListParagraph"/>
        <w:widowControl w:val="0"/>
        <w:numPr>
          <w:ilvl w:val="0"/>
          <w:numId w:val="2"/>
        </w:numPr>
        <w:autoSpaceDE w:val="0"/>
        <w:autoSpaceDN w:val="0"/>
        <w:adjustRightInd w:val="0"/>
        <w:ind w:left="0" w:firstLine="0"/>
        <w:jc w:val="both"/>
        <w:rPr>
          <w:rFonts w:ascii="Verdana" w:hAnsi="Verdana" w:cs="Times New Roman"/>
          <w:b/>
          <w:sz w:val="20"/>
          <w:szCs w:val="20"/>
        </w:rPr>
      </w:pPr>
      <w:r>
        <w:rPr>
          <w:rFonts w:ascii="Verdana" w:hAnsi="Verdana" w:cs="Times New Roman"/>
          <w:sz w:val="20"/>
          <w:szCs w:val="20"/>
        </w:rPr>
        <w:t>Teniendo en cuenta lo anterior,</w:t>
      </w:r>
      <w:r w:rsidR="00B46BC3" w:rsidRPr="0055116B">
        <w:rPr>
          <w:rFonts w:ascii="Verdana" w:hAnsi="Verdana" w:cs="Times New Roman"/>
          <w:sz w:val="20"/>
          <w:szCs w:val="20"/>
        </w:rPr>
        <w:t xml:space="preserve"> a continuación desarrollaré</w:t>
      </w:r>
      <w:r w:rsidR="00B46BC3" w:rsidRPr="00B5676E">
        <w:rPr>
          <w:rFonts w:ascii="Verdana" w:hAnsi="Verdana" w:cs="Times New Roman"/>
          <w:sz w:val="20"/>
          <w:szCs w:val="20"/>
        </w:rPr>
        <w:t xml:space="preserve">: </w:t>
      </w:r>
      <w:r w:rsidR="00064565">
        <w:rPr>
          <w:rFonts w:ascii="Verdana" w:hAnsi="Verdana" w:cs="Times New Roman"/>
          <w:b/>
          <w:bCs/>
          <w:iCs/>
          <w:sz w:val="20"/>
          <w:szCs w:val="20"/>
        </w:rPr>
        <w:t>I</w:t>
      </w:r>
      <w:r w:rsidR="001724E4" w:rsidRPr="001C21C2">
        <w:rPr>
          <w:rFonts w:ascii="Verdana" w:hAnsi="Verdana" w:cs="Times New Roman"/>
          <w:bCs/>
          <w:iCs/>
          <w:sz w:val="20"/>
          <w:szCs w:val="20"/>
        </w:rPr>
        <w:t>.</w:t>
      </w:r>
      <w:r w:rsidR="001724E4">
        <w:rPr>
          <w:rFonts w:ascii="Verdana" w:hAnsi="Verdana" w:cs="Times New Roman"/>
          <w:bCs/>
          <w:iCs/>
          <w:sz w:val="20"/>
          <w:szCs w:val="20"/>
        </w:rPr>
        <w:t xml:space="preserve"> L</w:t>
      </w:r>
      <w:r w:rsidR="00B46BC3" w:rsidRPr="00B5676E">
        <w:rPr>
          <w:rFonts w:ascii="Verdana" w:hAnsi="Verdana" w:cs="Times New Roman"/>
          <w:bCs/>
          <w:iCs/>
          <w:sz w:val="20"/>
          <w:szCs w:val="20"/>
        </w:rPr>
        <w:t xml:space="preserve">a </w:t>
      </w:r>
      <w:proofErr w:type="spellStart"/>
      <w:r w:rsidR="00B46BC3" w:rsidRPr="00B5676E">
        <w:rPr>
          <w:rFonts w:ascii="Verdana" w:hAnsi="Verdana" w:cs="Times New Roman"/>
          <w:bCs/>
          <w:iCs/>
          <w:sz w:val="20"/>
          <w:szCs w:val="20"/>
        </w:rPr>
        <w:t>justiciabilidad</w:t>
      </w:r>
      <w:proofErr w:type="spellEnd"/>
      <w:r w:rsidR="00B46BC3" w:rsidRPr="00B5676E">
        <w:rPr>
          <w:rFonts w:ascii="Verdana" w:hAnsi="Verdana" w:cs="Times New Roman"/>
          <w:bCs/>
          <w:iCs/>
          <w:sz w:val="20"/>
          <w:szCs w:val="20"/>
        </w:rPr>
        <w:t xml:space="preserve"> del derecho al trabajo mediante el artículo 26 de la Convención Americana y la aplicación del principio </w:t>
      </w:r>
      <w:proofErr w:type="spellStart"/>
      <w:r w:rsidR="00B46BC3" w:rsidRPr="00A635E6">
        <w:rPr>
          <w:rFonts w:ascii="Verdana" w:hAnsi="Verdana" w:cs="Times New Roman"/>
          <w:bCs/>
          <w:i/>
          <w:iCs/>
          <w:sz w:val="20"/>
          <w:szCs w:val="20"/>
        </w:rPr>
        <w:t>iura</w:t>
      </w:r>
      <w:proofErr w:type="spellEnd"/>
      <w:r w:rsidR="00B46BC3" w:rsidRPr="00A635E6">
        <w:rPr>
          <w:rFonts w:ascii="Verdana" w:hAnsi="Verdana" w:cs="Times New Roman"/>
          <w:bCs/>
          <w:i/>
          <w:iCs/>
          <w:sz w:val="20"/>
          <w:szCs w:val="20"/>
        </w:rPr>
        <w:t xml:space="preserve"> </w:t>
      </w:r>
      <w:proofErr w:type="spellStart"/>
      <w:r w:rsidR="00B46BC3" w:rsidRPr="00A635E6">
        <w:rPr>
          <w:rFonts w:ascii="Verdana" w:hAnsi="Verdana" w:cs="Times New Roman"/>
          <w:bCs/>
          <w:i/>
          <w:iCs/>
          <w:sz w:val="20"/>
          <w:szCs w:val="20"/>
        </w:rPr>
        <w:t>novit</w:t>
      </w:r>
      <w:proofErr w:type="spellEnd"/>
      <w:r w:rsidR="00B46BC3" w:rsidRPr="00A635E6">
        <w:rPr>
          <w:rFonts w:ascii="Verdana" w:hAnsi="Verdana" w:cs="Times New Roman"/>
          <w:bCs/>
          <w:i/>
          <w:iCs/>
          <w:sz w:val="20"/>
          <w:szCs w:val="20"/>
        </w:rPr>
        <w:t xml:space="preserve"> curia</w:t>
      </w:r>
      <w:r w:rsidR="00B324ED">
        <w:rPr>
          <w:rFonts w:ascii="Verdana" w:hAnsi="Verdana" w:cs="Times New Roman"/>
          <w:bCs/>
          <w:i/>
          <w:iCs/>
          <w:sz w:val="20"/>
          <w:szCs w:val="20"/>
        </w:rPr>
        <w:t>;</w:t>
      </w:r>
      <w:r w:rsidR="00B46BC3" w:rsidRPr="0055116B">
        <w:rPr>
          <w:rFonts w:ascii="Verdana" w:hAnsi="Verdana" w:cs="Times New Roman"/>
          <w:bCs/>
          <w:i/>
          <w:iCs/>
          <w:sz w:val="20"/>
          <w:szCs w:val="20"/>
        </w:rPr>
        <w:t xml:space="preserve"> </w:t>
      </w:r>
      <w:r w:rsidR="00064565">
        <w:rPr>
          <w:rFonts w:ascii="Verdana" w:hAnsi="Verdana" w:cs="Times New Roman"/>
          <w:b/>
          <w:sz w:val="20"/>
          <w:szCs w:val="20"/>
        </w:rPr>
        <w:t>II</w:t>
      </w:r>
      <w:r w:rsidR="00A43AEF">
        <w:rPr>
          <w:rFonts w:ascii="Verdana" w:hAnsi="Verdana" w:cs="Times New Roman"/>
          <w:sz w:val="20"/>
          <w:szCs w:val="20"/>
        </w:rPr>
        <w:t>.</w:t>
      </w:r>
      <w:r w:rsidR="00B46BC3" w:rsidRPr="00B5676E">
        <w:rPr>
          <w:rFonts w:ascii="Verdana" w:hAnsi="Verdana" w:cs="Times New Roman"/>
          <w:bCs/>
          <w:iCs/>
          <w:sz w:val="20"/>
          <w:szCs w:val="20"/>
        </w:rPr>
        <w:t xml:space="preserve"> El derecho de asociación en la jurisprudencia de la Corte I</w:t>
      </w:r>
      <w:r w:rsidR="009058DE">
        <w:rPr>
          <w:rFonts w:ascii="Verdana" w:hAnsi="Verdana" w:cs="Times New Roman"/>
          <w:bCs/>
          <w:iCs/>
          <w:sz w:val="20"/>
          <w:szCs w:val="20"/>
        </w:rPr>
        <w:t>DH</w:t>
      </w:r>
      <w:r w:rsidR="00B324ED">
        <w:rPr>
          <w:rFonts w:ascii="Verdana" w:hAnsi="Verdana" w:cs="Times New Roman"/>
          <w:sz w:val="20"/>
          <w:szCs w:val="20"/>
        </w:rPr>
        <w:t xml:space="preserve">.; </w:t>
      </w:r>
      <w:r w:rsidR="00B324ED">
        <w:rPr>
          <w:rFonts w:ascii="Verdana" w:hAnsi="Verdana" w:cs="Times New Roman"/>
          <w:b/>
          <w:sz w:val="20"/>
          <w:szCs w:val="20"/>
        </w:rPr>
        <w:t>III</w:t>
      </w:r>
      <w:r w:rsidR="00B324ED" w:rsidRPr="001C21C2">
        <w:rPr>
          <w:rFonts w:ascii="Verdana" w:hAnsi="Verdana" w:cs="Times New Roman"/>
          <w:sz w:val="20"/>
          <w:szCs w:val="20"/>
        </w:rPr>
        <w:t>.</w:t>
      </w:r>
      <w:r w:rsidR="00B46BC3" w:rsidRPr="00B5676E">
        <w:rPr>
          <w:rFonts w:ascii="Verdana" w:hAnsi="Verdana" w:cs="Times New Roman"/>
          <w:bCs/>
          <w:iCs/>
          <w:sz w:val="20"/>
          <w:szCs w:val="20"/>
        </w:rPr>
        <w:t xml:space="preserve"> derecho de asociación laboral para la protección y promoción de los intereses de los trabajadores como parte del derecho al trabajo</w:t>
      </w:r>
      <w:r w:rsidR="001C21C2">
        <w:rPr>
          <w:rFonts w:ascii="Verdana" w:hAnsi="Verdana" w:cs="Times New Roman"/>
          <w:bCs/>
          <w:iCs/>
          <w:sz w:val="20"/>
          <w:szCs w:val="20"/>
        </w:rPr>
        <w:t>,</w:t>
      </w:r>
      <w:r w:rsidR="00B46BC3" w:rsidRPr="0055116B">
        <w:rPr>
          <w:rFonts w:ascii="Verdana" w:hAnsi="Verdana" w:cs="Times New Roman"/>
          <w:bCs/>
          <w:i/>
          <w:iCs/>
          <w:sz w:val="20"/>
          <w:szCs w:val="20"/>
        </w:rPr>
        <w:t xml:space="preserve"> </w:t>
      </w:r>
      <w:r w:rsidR="00B46BC3" w:rsidRPr="0055116B">
        <w:rPr>
          <w:rFonts w:ascii="Verdana" w:hAnsi="Verdana" w:cs="Times New Roman"/>
          <w:sz w:val="20"/>
          <w:szCs w:val="20"/>
        </w:rPr>
        <w:t xml:space="preserve">y </w:t>
      </w:r>
      <w:r w:rsidR="00064565" w:rsidRPr="00064565">
        <w:rPr>
          <w:rFonts w:ascii="Verdana" w:hAnsi="Verdana" w:cs="Times New Roman"/>
          <w:b/>
          <w:sz w:val="20"/>
          <w:szCs w:val="20"/>
        </w:rPr>
        <w:t>IV</w:t>
      </w:r>
      <w:r w:rsidR="00A43AEF" w:rsidRPr="001C21C2">
        <w:rPr>
          <w:rFonts w:ascii="Verdana" w:hAnsi="Verdana" w:cs="Times New Roman"/>
          <w:sz w:val="20"/>
          <w:szCs w:val="20"/>
        </w:rPr>
        <w:t>.</w:t>
      </w:r>
      <w:r w:rsidR="001C21C2">
        <w:rPr>
          <w:rFonts w:ascii="Verdana" w:hAnsi="Verdana" w:cs="Times New Roman"/>
          <w:bCs/>
          <w:i/>
          <w:iCs/>
          <w:sz w:val="20"/>
          <w:szCs w:val="20"/>
        </w:rPr>
        <w:t xml:space="preserve"> Conclusiones.</w:t>
      </w:r>
    </w:p>
    <w:p w14:paraId="302C2F61" w14:textId="77777777" w:rsidR="00374FA9" w:rsidRPr="00AD360E" w:rsidRDefault="00374FA9" w:rsidP="00AD360E">
      <w:pPr>
        <w:widowControl w:val="0"/>
        <w:autoSpaceDE w:val="0"/>
        <w:autoSpaceDN w:val="0"/>
        <w:adjustRightInd w:val="0"/>
        <w:rPr>
          <w:rFonts w:ascii="Verdana" w:hAnsi="Verdana" w:cs="Times New Roman"/>
          <w:sz w:val="20"/>
          <w:szCs w:val="20"/>
        </w:rPr>
      </w:pPr>
    </w:p>
    <w:p w14:paraId="229CAFA6" w14:textId="7E016BA0" w:rsidR="00971EA4" w:rsidRPr="00064565" w:rsidRDefault="00064565" w:rsidP="00AD360E">
      <w:pPr>
        <w:widowControl w:val="0"/>
        <w:autoSpaceDE w:val="0"/>
        <w:autoSpaceDN w:val="0"/>
        <w:adjustRightInd w:val="0"/>
        <w:jc w:val="center"/>
        <w:rPr>
          <w:rFonts w:ascii="Verdana" w:hAnsi="Verdana" w:cs="Times New Roman"/>
          <w:sz w:val="20"/>
          <w:szCs w:val="20"/>
        </w:rPr>
      </w:pPr>
      <w:r w:rsidRPr="00064565">
        <w:rPr>
          <w:rFonts w:ascii="Verdana" w:hAnsi="Verdana" w:cs="Times New Roman"/>
          <w:sz w:val="20"/>
          <w:szCs w:val="20"/>
        </w:rPr>
        <w:t xml:space="preserve">I. </w:t>
      </w:r>
      <w:r w:rsidR="00FD58B6">
        <w:rPr>
          <w:rFonts w:ascii="Verdana" w:hAnsi="Verdana" w:cs="Times New Roman"/>
          <w:sz w:val="20"/>
          <w:szCs w:val="20"/>
        </w:rPr>
        <w:t xml:space="preserve"> </w:t>
      </w:r>
      <w:r w:rsidRPr="00064565">
        <w:rPr>
          <w:rFonts w:ascii="Verdana" w:hAnsi="Verdana" w:cs="Times New Roman"/>
          <w:sz w:val="20"/>
          <w:szCs w:val="20"/>
        </w:rPr>
        <w:t>L</w:t>
      </w:r>
      <w:r w:rsidR="00971EA4" w:rsidRPr="00064565">
        <w:rPr>
          <w:rFonts w:ascii="Verdana" w:hAnsi="Verdana" w:cs="Times New Roman"/>
          <w:sz w:val="20"/>
          <w:szCs w:val="20"/>
        </w:rPr>
        <w:t xml:space="preserve">A JUSTICIABILIDAD DEL DERECHO AL TRABAJO MEDIANTE EL ARTÍCULO 26 DE LA CONVENCIÓN AMERICANA Y LA APLICACIÓN DEL PRINCIPIO </w:t>
      </w:r>
      <w:r w:rsidR="00971EA4" w:rsidRPr="00064565">
        <w:rPr>
          <w:rFonts w:ascii="Verdana" w:hAnsi="Verdana" w:cs="Times New Roman"/>
          <w:i/>
          <w:sz w:val="20"/>
          <w:szCs w:val="20"/>
        </w:rPr>
        <w:t>IURA NOVIT CURIA</w:t>
      </w:r>
      <w:r w:rsidR="00971EA4" w:rsidRPr="00064565">
        <w:rPr>
          <w:rFonts w:ascii="Verdana" w:hAnsi="Verdana" w:cs="Times New Roman"/>
          <w:sz w:val="20"/>
          <w:szCs w:val="20"/>
        </w:rPr>
        <w:t xml:space="preserve"> </w:t>
      </w:r>
    </w:p>
    <w:p w14:paraId="2A227C39" w14:textId="77777777" w:rsidR="00374FA9" w:rsidRPr="00AD360E" w:rsidRDefault="00374FA9" w:rsidP="00AD360E">
      <w:pPr>
        <w:widowControl w:val="0"/>
        <w:autoSpaceDE w:val="0"/>
        <w:autoSpaceDN w:val="0"/>
        <w:adjustRightInd w:val="0"/>
        <w:jc w:val="both"/>
        <w:rPr>
          <w:rFonts w:ascii="Verdana" w:hAnsi="Verdana" w:cs="Times New Roman"/>
          <w:sz w:val="20"/>
          <w:szCs w:val="20"/>
        </w:rPr>
      </w:pPr>
    </w:p>
    <w:p w14:paraId="778DD04F" w14:textId="03B3E234" w:rsidR="00971EA4" w:rsidRPr="004E66B4" w:rsidRDefault="00971EA4"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4E66B4">
        <w:rPr>
          <w:rFonts w:ascii="Verdana" w:hAnsi="Verdana" w:cs="Times New Roman"/>
          <w:sz w:val="20"/>
          <w:szCs w:val="20"/>
        </w:rPr>
        <w:t>Como se mencionó</w:t>
      </w:r>
      <w:r w:rsidR="00064565">
        <w:rPr>
          <w:rFonts w:ascii="Verdana" w:hAnsi="Verdana" w:cs="Times New Roman"/>
          <w:sz w:val="20"/>
          <w:szCs w:val="20"/>
        </w:rPr>
        <w:t>, en el presente caso</w:t>
      </w:r>
      <w:r w:rsidR="0047021F">
        <w:rPr>
          <w:rFonts w:ascii="Verdana" w:hAnsi="Verdana" w:cs="Times New Roman"/>
          <w:sz w:val="20"/>
          <w:szCs w:val="20"/>
        </w:rPr>
        <w:t xml:space="preserve"> la Corte IDH declara</w:t>
      </w:r>
      <w:r w:rsidRPr="004E66B4">
        <w:rPr>
          <w:rFonts w:ascii="Verdana" w:hAnsi="Verdana" w:cs="Times New Roman"/>
          <w:sz w:val="20"/>
          <w:szCs w:val="20"/>
        </w:rPr>
        <w:t xml:space="preserve"> </w:t>
      </w:r>
      <w:r w:rsidR="00A75D43">
        <w:rPr>
          <w:rFonts w:ascii="Verdana" w:hAnsi="Verdana" w:cs="Times New Roman"/>
          <w:sz w:val="20"/>
          <w:szCs w:val="20"/>
        </w:rPr>
        <w:t>por primera vez violado</w:t>
      </w:r>
      <w:r w:rsidRPr="004E66B4">
        <w:rPr>
          <w:rFonts w:ascii="Verdana" w:hAnsi="Verdana" w:cs="Times New Roman"/>
          <w:sz w:val="20"/>
          <w:szCs w:val="20"/>
        </w:rPr>
        <w:t xml:space="preserve"> el artículo 26 de la Convención Americana</w:t>
      </w:r>
      <w:r w:rsidR="00A75D43">
        <w:rPr>
          <w:rFonts w:ascii="Verdana" w:hAnsi="Verdana" w:cs="Times New Roman"/>
          <w:sz w:val="20"/>
          <w:szCs w:val="20"/>
        </w:rPr>
        <w:t>,</w:t>
      </w:r>
      <w:r w:rsidRPr="004E66B4">
        <w:rPr>
          <w:rFonts w:ascii="Verdana" w:hAnsi="Verdana" w:cs="Times New Roman"/>
          <w:sz w:val="20"/>
          <w:szCs w:val="20"/>
        </w:rPr>
        <w:t xml:space="preserve"> </w:t>
      </w:r>
      <w:r w:rsidR="00C761FB">
        <w:rPr>
          <w:rFonts w:ascii="Verdana" w:hAnsi="Verdana" w:cs="Times New Roman"/>
          <w:sz w:val="20"/>
          <w:szCs w:val="20"/>
        </w:rPr>
        <w:t>en relación con el</w:t>
      </w:r>
      <w:r w:rsidRPr="004E66B4">
        <w:rPr>
          <w:rFonts w:ascii="Verdana" w:hAnsi="Verdana" w:cs="Times New Roman"/>
          <w:sz w:val="20"/>
          <w:szCs w:val="20"/>
        </w:rPr>
        <w:t xml:space="preserve"> derecho a la estabilidad laboral</w:t>
      </w:r>
      <w:r w:rsidRPr="004E66B4">
        <w:rPr>
          <w:rStyle w:val="FootnoteReference"/>
          <w:rFonts w:ascii="Verdana" w:hAnsi="Verdana" w:cs="Times New Roman"/>
          <w:sz w:val="20"/>
          <w:szCs w:val="20"/>
        </w:rPr>
        <w:footnoteReference w:id="15"/>
      </w:r>
      <w:r w:rsidRPr="004E66B4">
        <w:rPr>
          <w:rFonts w:ascii="Verdana" w:hAnsi="Verdana" w:cs="Times New Roman"/>
          <w:sz w:val="20"/>
          <w:szCs w:val="20"/>
        </w:rPr>
        <w:t xml:space="preserve"> y </w:t>
      </w:r>
      <w:r w:rsidR="00305AB2">
        <w:rPr>
          <w:rFonts w:ascii="Verdana" w:hAnsi="Verdana" w:cs="Times New Roman"/>
          <w:sz w:val="20"/>
          <w:szCs w:val="20"/>
        </w:rPr>
        <w:t xml:space="preserve">con el </w:t>
      </w:r>
      <w:r w:rsidRPr="004E66B4">
        <w:rPr>
          <w:rFonts w:ascii="Verdana" w:hAnsi="Verdana" w:cs="Times New Roman"/>
          <w:sz w:val="20"/>
          <w:szCs w:val="20"/>
        </w:rPr>
        <w:t>derecho a la asociación laboral</w:t>
      </w:r>
      <w:r w:rsidRPr="004E66B4">
        <w:rPr>
          <w:rStyle w:val="FootnoteReference"/>
          <w:rFonts w:ascii="Verdana" w:hAnsi="Verdana" w:cs="Times New Roman"/>
          <w:sz w:val="20"/>
          <w:szCs w:val="20"/>
        </w:rPr>
        <w:footnoteReference w:id="16"/>
      </w:r>
      <w:r w:rsidR="00A75D43">
        <w:rPr>
          <w:rFonts w:ascii="Verdana" w:hAnsi="Verdana" w:cs="Times New Roman"/>
          <w:sz w:val="20"/>
          <w:szCs w:val="20"/>
        </w:rPr>
        <w:t>. En ambos casos</w:t>
      </w:r>
      <w:r w:rsidRPr="004E66B4">
        <w:rPr>
          <w:rFonts w:ascii="Verdana" w:hAnsi="Verdana" w:cs="Times New Roman"/>
          <w:sz w:val="20"/>
          <w:szCs w:val="20"/>
        </w:rPr>
        <w:t xml:space="preserve"> invocando el principio </w:t>
      </w:r>
      <w:proofErr w:type="spellStart"/>
      <w:r w:rsidRPr="004E66B4">
        <w:rPr>
          <w:rFonts w:ascii="Verdana" w:hAnsi="Verdana" w:cs="Times New Roman"/>
          <w:i/>
          <w:sz w:val="20"/>
          <w:szCs w:val="20"/>
        </w:rPr>
        <w:t>iura</w:t>
      </w:r>
      <w:proofErr w:type="spellEnd"/>
      <w:r w:rsidRPr="004E66B4">
        <w:rPr>
          <w:rFonts w:ascii="Verdana" w:hAnsi="Verdana" w:cs="Times New Roman"/>
          <w:i/>
          <w:sz w:val="20"/>
          <w:szCs w:val="20"/>
        </w:rPr>
        <w:t xml:space="preserve"> </w:t>
      </w:r>
      <w:proofErr w:type="spellStart"/>
      <w:r w:rsidRPr="004E66B4">
        <w:rPr>
          <w:rFonts w:ascii="Verdana" w:hAnsi="Verdana" w:cs="Times New Roman"/>
          <w:i/>
          <w:sz w:val="20"/>
          <w:szCs w:val="20"/>
        </w:rPr>
        <w:t>novit</w:t>
      </w:r>
      <w:proofErr w:type="spellEnd"/>
      <w:r w:rsidRPr="004E66B4">
        <w:rPr>
          <w:rFonts w:ascii="Verdana" w:hAnsi="Verdana" w:cs="Times New Roman"/>
          <w:i/>
          <w:sz w:val="20"/>
          <w:szCs w:val="20"/>
        </w:rPr>
        <w:t xml:space="preserve"> curia</w:t>
      </w:r>
      <w:r w:rsidRPr="004E66B4">
        <w:rPr>
          <w:rFonts w:ascii="Verdana" w:hAnsi="Verdana" w:cs="Times New Roman"/>
          <w:sz w:val="20"/>
          <w:szCs w:val="20"/>
        </w:rPr>
        <w:t xml:space="preserve">. En este sentido, la Corte IDH sienta un precedente importante para la </w:t>
      </w:r>
      <w:proofErr w:type="spellStart"/>
      <w:r w:rsidRPr="004E66B4">
        <w:rPr>
          <w:rFonts w:ascii="Verdana" w:hAnsi="Verdana" w:cs="Times New Roman"/>
          <w:sz w:val="20"/>
          <w:szCs w:val="20"/>
        </w:rPr>
        <w:t>justiciabilidad</w:t>
      </w:r>
      <w:proofErr w:type="spellEnd"/>
      <w:r w:rsidRPr="004E66B4">
        <w:rPr>
          <w:rFonts w:ascii="Verdana" w:hAnsi="Verdana" w:cs="Times New Roman"/>
          <w:sz w:val="20"/>
          <w:szCs w:val="20"/>
        </w:rPr>
        <w:t xml:space="preserve"> de los derechos sociales en el Sistema Interamericano</w:t>
      </w:r>
      <w:r w:rsidR="00064565">
        <w:rPr>
          <w:rFonts w:ascii="Verdana" w:hAnsi="Verdana" w:cs="Times New Roman"/>
          <w:sz w:val="20"/>
          <w:szCs w:val="20"/>
        </w:rPr>
        <w:t>,</w:t>
      </w:r>
      <w:r w:rsidRPr="004E66B4">
        <w:rPr>
          <w:rFonts w:ascii="Verdana" w:hAnsi="Verdana" w:cs="Times New Roman"/>
          <w:sz w:val="20"/>
          <w:szCs w:val="20"/>
        </w:rPr>
        <w:t xml:space="preserve"> </w:t>
      </w:r>
      <w:r w:rsidR="00064565">
        <w:rPr>
          <w:rFonts w:ascii="Verdana" w:hAnsi="Verdana" w:cs="Times New Roman"/>
          <w:sz w:val="20"/>
          <w:szCs w:val="20"/>
        </w:rPr>
        <w:t xml:space="preserve">al abrir </w:t>
      </w:r>
      <w:r w:rsidRPr="004E66B4">
        <w:rPr>
          <w:rFonts w:ascii="Verdana" w:hAnsi="Verdana" w:cs="Times New Roman"/>
          <w:sz w:val="20"/>
          <w:szCs w:val="20"/>
        </w:rPr>
        <w:t>la posibilida</w:t>
      </w:r>
      <w:r w:rsidR="009058DE">
        <w:rPr>
          <w:rFonts w:ascii="Verdana" w:hAnsi="Verdana" w:cs="Times New Roman"/>
          <w:sz w:val="20"/>
          <w:szCs w:val="20"/>
        </w:rPr>
        <w:t xml:space="preserve">d de que derechos que no fueron </w:t>
      </w:r>
      <w:r w:rsidR="00064565">
        <w:rPr>
          <w:rFonts w:ascii="Verdana" w:hAnsi="Verdana" w:cs="Times New Roman"/>
          <w:sz w:val="20"/>
          <w:szCs w:val="20"/>
        </w:rPr>
        <w:t xml:space="preserve">expresamente </w:t>
      </w:r>
      <w:r w:rsidRPr="004E66B4">
        <w:rPr>
          <w:rFonts w:ascii="Verdana" w:hAnsi="Verdana" w:cs="Times New Roman"/>
          <w:sz w:val="20"/>
          <w:szCs w:val="20"/>
        </w:rPr>
        <w:t>contemplados en el</w:t>
      </w:r>
      <w:r w:rsidR="00A37AB9" w:rsidRPr="004E66B4">
        <w:rPr>
          <w:rFonts w:ascii="Verdana" w:hAnsi="Verdana" w:cs="Times New Roman"/>
          <w:sz w:val="20"/>
          <w:szCs w:val="20"/>
        </w:rPr>
        <w:t xml:space="preserve"> artículo 19.6 del</w:t>
      </w:r>
      <w:r w:rsidR="00064565">
        <w:rPr>
          <w:rFonts w:ascii="Verdana" w:hAnsi="Verdana" w:cs="Times New Roman"/>
          <w:sz w:val="20"/>
          <w:szCs w:val="20"/>
        </w:rPr>
        <w:t xml:space="preserve"> Protocolo de San Salvador</w:t>
      </w:r>
      <w:r w:rsidR="009D4896">
        <w:rPr>
          <w:rStyle w:val="FootnoteReference"/>
          <w:rFonts w:ascii="Verdana" w:hAnsi="Verdana" w:cs="Times New Roman"/>
          <w:sz w:val="20"/>
          <w:szCs w:val="20"/>
        </w:rPr>
        <w:footnoteReference w:id="17"/>
      </w:r>
      <w:r w:rsidR="00DC6005">
        <w:rPr>
          <w:rFonts w:ascii="Verdana" w:hAnsi="Verdana" w:cs="Times New Roman"/>
          <w:sz w:val="20"/>
          <w:szCs w:val="20"/>
        </w:rPr>
        <w:t xml:space="preserve"> </w:t>
      </w:r>
      <w:r w:rsidR="00064565">
        <w:rPr>
          <w:rFonts w:ascii="Verdana" w:hAnsi="Verdana" w:cs="Times New Roman"/>
          <w:sz w:val="20"/>
          <w:szCs w:val="20"/>
        </w:rPr>
        <w:t>—</w:t>
      </w:r>
      <w:r w:rsidRPr="004E66B4">
        <w:rPr>
          <w:rFonts w:ascii="Verdana" w:hAnsi="Verdana" w:cs="Times New Roman"/>
          <w:sz w:val="20"/>
          <w:szCs w:val="20"/>
        </w:rPr>
        <w:t>como el derecho al trabajo y sus vertientes</w:t>
      </w:r>
      <w:r w:rsidR="00064565">
        <w:rPr>
          <w:rFonts w:ascii="Verdana" w:hAnsi="Verdana" w:cs="Times New Roman"/>
          <w:sz w:val="20"/>
          <w:szCs w:val="20"/>
        </w:rPr>
        <w:t>—</w:t>
      </w:r>
      <w:r w:rsidR="00DC6005">
        <w:rPr>
          <w:rFonts w:ascii="Verdana" w:hAnsi="Verdana" w:cs="Times New Roman"/>
          <w:sz w:val="20"/>
          <w:szCs w:val="20"/>
        </w:rPr>
        <w:t>,</w:t>
      </w:r>
      <w:r w:rsidRPr="004E66B4">
        <w:rPr>
          <w:rFonts w:ascii="Verdana" w:hAnsi="Verdana" w:cs="Times New Roman"/>
          <w:sz w:val="20"/>
          <w:szCs w:val="20"/>
        </w:rPr>
        <w:t xml:space="preserve"> puedan ser protegidos </w:t>
      </w:r>
      <w:r w:rsidR="00064565">
        <w:rPr>
          <w:rFonts w:ascii="Verdana" w:hAnsi="Verdana" w:cs="Times New Roman"/>
          <w:sz w:val="20"/>
          <w:szCs w:val="20"/>
        </w:rPr>
        <w:t xml:space="preserve">directamente </w:t>
      </w:r>
      <w:r w:rsidRPr="004E66B4">
        <w:rPr>
          <w:rFonts w:ascii="Verdana" w:hAnsi="Verdana" w:cs="Times New Roman"/>
          <w:sz w:val="20"/>
          <w:szCs w:val="20"/>
        </w:rPr>
        <w:t xml:space="preserve">mediante la Convención Americana.  </w:t>
      </w:r>
    </w:p>
    <w:p w14:paraId="167D4D21" w14:textId="77777777" w:rsidR="00971EA4" w:rsidRPr="004E66B4" w:rsidRDefault="00971EA4" w:rsidP="00AD360E">
      <w:pPr>
        <w:pStyle w:val="ListParagraph"/>
        <w:widowControl w:val="0"/>
        <w:autoSpaceDE w:val="0"/>
        <w:autoSpaceDN w:val="0"/>
        <w:adjustRightInd w:val="0"/>
        <w:ind w:left="0" w:right="49"/>
        <w:jc w:val="both"/>
        <w:rPr>
          <w:rFonts w:ascii="Verdana" w:hAnsi="Verdana" w:cs="Times New Roman"/>
          <w:sz w:val="20"/>
          <w:szCs w:val="20"/>
        </w:rPr>
      </w:pPr>
    </w:p>
    <w:p w14:paraId="2747F149" w14:textId="77777777" w:rsidR="00AD07F6" w:rsidRDefault="003B391E"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E</w:t>
      </w:r>
      <w:r w:rsidRPr="004E66B4">
        <w:rPr>
          <w:rFonts w:ascii="Verdana" w:hAnsi="Verdana" w:cs="Times New Roman"/>
          <w:sz w:val="20"/>
          <w:szCs w:val="20"/>
        </w:rPr>
        <w:t>n la Sentencia</w:t>
      </w:r>
      <w:r>
        <w:rPr>
          <w:rFonts w:ascii="Verdana" w:hAnsi="Verdana" w:cs="Times New Roman"/>
          <w:sz w:val="20"/>
          <w:szCs w:val="20"/>
        </w:rPr>
        <w:t>, l</w:t>
      </w:r>
      <w:r w:rsidR="00971EA4" w:rsidRPr="004E66B4">
        <w:rPr>
          <w:rFonts w:ascii="Verdana" w:hAnsi="Verdana" w:cs="Times New Roman"/>
          <w:sz w:val="20"/>
          <w:szCs w:val="20"/>
        </w:rPr>
        <w:t>a Corte IDH afianza los principios de interdependencia e indivisibilidad entre los derechos económicos, sociales</w:t>
      </w:r>
      <w:r w:rsidR="007D3603">
        <w:rPr>
          <w:rFonts w:ascii="Verdana" w:hAnsi="Verdana" w:cs="Times New Roman"/>
          <w:sz w:val="20"/>
          <w:szCs w:val="20"/>
        </w:rPr>
        <w:t xml:space="preserve">, </w:t>
      </w:r>
      <w:r w:rsidR="00971EA4" w:rsidRPr="004E66B4">
        <w:rPr>
          <w:rFonts w:ascii="Verdana" w:hAnsi="Verdana" w:cs="Times New Roman"/>
          <w:sz w:val="20"/>
          <w:szCs w:val="20"/>
        </w:rPr>
        <w:t>culturales</w:t>
      </w:r>
      <w:r w:rsidR="00064565">
        <w:rPr>
          <w:rFonts w:ascii="Verdana" w:hAnsi="Verdana" w:cs="Times New Roman"/>
          <w:sz w:val="20"/>
          <w:szCs w:val="20"/>
        </w:rPr>
        <w:t xml:space="preserve"> </w:t>
      </w:r>
      <w:r w:rsidR="007D3603">
        <w:rPr>
          <w:rFonts w:ascii="Verdana" w:hAnsi="Verdana" w:cs="Times New Roman"/>
          <w:sz w:val="20"/>
          <w:szCs w:val="20"/>
        </w:rPr>
        <w:t xml:space="preserve">y ambientales </w:t>
      </w:r>
      <w:r w:rsidR="00064565">
        <w:rPr>
          <w:rFonts w:ascii="Verdana" w:hAnsi="Verdana" w:cs="Times New Roman"/>
          <w:sz w:val="20"/>
          <w:szCs w:val="20"/>
        </w:rPr>
        <w:t>con respecto a</w:t>
      </w:r>
      <w:r w:rsidR="00971EA4" w:rsidRPr="004E66B4">
        <w:rPr>
          <w:rFonts w:ascii="Verdana" w:hAnsi="Verdana" w:cs="Times New Roman"/>
          <w:sz w:val="20"/>
          <w:szCs w:val="20"/>
        </w:rPr>
        <w:t xml:space="preserve"> l</w:t>
      </w:r>
      <w:r w:rsidR="0047021F">
        <w:rPr>
          <w:rFonts w:ascii="Verdana" w:hAnsi="Verdana" w:cs="Times New Roman"/>
          <w:sz w:val="20"/>
          <w:szCs w:val="20"/>
        </w:rPr>
        <w:t xml:space="preserve">os derechos civiles y políticos. Ello es así, a partir de su comprensión </w:t>
      </w:r>
      <w:r w:rsidR="00DD3372">
        <w:rPr>
          <w:rFonts w:ascii="Verdana" w:hAnsi="Verdana" w:cs="Times New Roman"/>
          <w:sz w:val="20"/>
          <w:szCs w:val="20"/>
        </w:rPr>
        <w:t>de los derechos humanos entendidos integralmente y de forma</w:t>
      </w:r>
      <w:r w:rsidR="0047021F">
        <w:rPr>
          <w:rFonts w:ascii="Verdana" w:hAnsi="Verdana" w:cs="Times New Roman"/>
          <w:sz w:val="20"/>
          <w:szCs w:val="20"/>
        </w:rPr>
        <w:t xml:space="preserve"> conglobada</w:t>
      </w:r>
      <w:r w:rsidR="00DD3372">
        <w:rPr>
          <w:rFonts w:ascii="Verdana" w:hAnsi="Verdana" w:cs="Verdana"/>
          <w:sz w:val="20"/>
          <w:szCs w:val="20"/>
          <w:lang w:eastAsia="es-MX"/>
        </w:rPr>
        <w:t xml:space="preserve">, </w:t>
      </w:r>
      <w:r w:rsidR="009D4896" w:rsidRPr="00B3760D">
        <w:rPr>
          <w:rFonts w:ascii="Verdana" w:hAnsi="Verdana" w:cs="Verdana"/>
          <w:sz w:val="20"/>
          <w:szCs w:val="20"/>
          <w:lang w:eastAsia="es-MX"/>
        </w:rPr>
        <w:t>sin jerarquía entre sí y exigibles en todos los casos ante aquellas autoridades que resulten competentes para ello</w:t>
      </w:r>
      <w:r w:rsidR="006065E7">
        <w:rPr>
          <w:rStyle w:val="FootnoteReference"/>
          <w:rFonts w:ascii="Verdana" w:hAnsi="Verdana" w:cs="Verdana"/>
          <w:sz w:val="20"/>
          <w:szCs w:val="20"/>
          <w:lang w:eastAsia="es-MX"/>
        </w:rPr>
        <w:footnoteReference w:id="18"/>
      </w:r>
      <w:r w:rsidR="00DD3372" w:rsidRPr="00BD786A">
        <w:rPr>
          <w:rFonts w:ascii="Verdana" w:hAnsi="Verdana" w:cs="Verdana"/>
          <w:sz w:val="20"/>
          <w:szCs w:val="20"/>
          <w:lang w:eastAsia="es-MX"/>
        </w:rPr>
        <w:t>.</w:t>
      </w:r>
      <w:r w:rsidR="0047021F">
        <w:rPr>
          <w:rFonts w:ascii="Verdana" w:hAnsi="Verdana" w:cs="Verdana"/>
          <w:sz w:val="20"/>
          <w:szCs w:val="20"/>
          <w:lang w:eastAsia="es-MX"/>
        </w:rPr>
        <w:t xml:space="preserve"> </w:t>
      </w:r>
      <w:r w:rsidR="0047021F" w:rsidRPr="00AD07F6">
        <w:rPr>
          <w:rFonts w:ascii="Verdana" w:hAnsi="Verdana" w:cs="Verdana"/>
          <w:sz w:val="20"/>
          <w:szCs w:val="20"/>
          <w:lang w:eastAsia="es-MX"/>
        </w:rPr>
        <w:t>En</w:t>
      </w:r>
      <w:r w:rsidRPr="00AD07F6">
        <w:rPr>
          <w:rFonts w:ascii="Verdana" w:hAnsi="Verdana" w:cs="Verdana"/>
          <w:sz w:val="20"/>
          <w:szCs w:val="20"/>
          <w:lang w:eastAsia="es-MX"/>
        </w:rPr>
        <w:t xml:space="preserve"> otras palabras, la Sentencia reconoce</w:t>
      </w:r>
      <w:r w:rsidR="009058DE" w:rsidRPr="00AD07F6">
        <w:rPr>
          <w:rFonts w:ascii="Verdana" w:hAnsi="Verdana" w:cs="Verdana"/>
          <w:sz w:val="20"/>
          <w:szCs w:val="20"/>
          <w:lang w:eastAsia="es-MX"/>
        </w:rPr>
        <w:t xml:space="preserve"> que existe una dependencia recí</w:t>
      </w:r>
      <w:r w:rsidRPr="00AD07F6">
        <w:rPr>
          <w:rFonts w:ascii="Verdana" w:hAnsi="Verdana" w:cs="Verdana"/>
          <w:sz w:val="20"/>
          <w:szCs w:val="20"/>
          <w:lang w:eastAsia="es-MX"/>
        </w:rPr>
        <w:t>proca entre todos los derechos humanos</w:t>
      </w:r>
      <w:r w:rsidR="0047021F" w:rsidRPr="00AD07F6">
        <w:rPr>
          <w:rFonts w:ascii="Verdana" w:hAnsi="Verdana" w:cs="Verdana"/>
          <w:sz w:val="20"/>
          <w:szCs w:val="20"/>
          <w:lang w:eastAsia="es-MX"/>
        </w:rPr>
        <w:t>, lo cual ha</w:t>
      </w:r>
      <w:r w:rsidRPr="00AD07F6">
        <w:rPr>
          <w:rFonts w:ascii="Verdana" w:hAnsi="Verdana" w:cs="Verdana"/>
          <w:sz w:val="20"/>
          <w:szCs w:val="20"/>
          <w:lang w:eastAsia="es-MX"/>
        </w:rPr>
        <w:t xml:space="preserve"> sido </w:t>
      </w:r>
      <w:r w:rsidR="0047021F" w:rsidRPr="00AD07F6">
        <w:rPr>
          <w:rFonts w:ascii="Verdana" w:hAnsi="Verdana" w:cs="Verdana"/>
          <w:sz w:val="20"/>
          <w:szCs w:val="20"/>
          <w:lang w:eastAsia="es-MX"/>
        </w:rPr>
        <w:t>incorporado</w:t>
      </w:r>
      <w:r w:rsidR="00965F52" w:rsidRPr="00AD07F6">
        <w:rPr>
          <w:rFonts w:ascii="Verdana" w:hAnsi="Verdana" w:cs="Verdana"/>
          <w:sz w:val="20"/>
          <w:szCs w:val="20"/>
          <w:lang w:eastAsia="es-MX"/>
        </w:rPr>
        <w:t xml:space="preserve"> en el marco internacional de los dere</w:t>
      </w:r>
      <w:r w:rsidR="008C23C8" w:rsidRPr="00AD07F6">
        <w:rPr>
          <w:rFonts w:ascii="Verdana" w:hAnsi="Verdana" w:cs="Verdana"/>
          <w:sz w:val="20"/>
          <w:szCs w:val="20"/>
          <w:lang w:eastAsia="es-MX"/>
        </w:rPr>
        <w:t>chos humanos, sin jerarquizar ni subsumir</w:t>
      </w:r>
      <w:r w:rsidR="00965F52" w:rsidRPr="00AD07F6">
        <w:rPr>
          <w:rFonts w:ascii="Verdana" w:hAnsi="Verdana" w:cs="Verdana"/>
          <w:sz w:val="20"/>
          <w:szCs w:val="20"/>
          <w:lang w:eastAsia="es-MX"/>
        </w:rPr>
        <w:t xml:space="preserve"> en algunos</w:t>
      </w:r>
      <w:r w:rsidR="008C23C8" w:rsidRPr="00AD07F6">
        <w:rPr>
          <w:rFonts w:ascii="Verdana" w:hAnsi="Verdana" w:cs="Verdana"/>
          <w:sz w:val="20"/>
          <w:szCs w:val="20"/>
          <w:lang w:eastAsia="es-MX"/>
        </w:rPr>
        <w:t xml:space="preserve"> derechos el contenido de otros</w:t>
      </w:r>
      <w:r w:rsidR="00DE22F1" w:rsidRPr="00AD07F6">
        <w:rPr>
          <w:rStyle w:val="FootnoteReference"/>
          <w:rFonts w:ascii="Verdana" w:hAnsi="Verdana" w:cs="Verdana"/>
          <w:sz w:val="20"/>
          <w:szCs w:val="20"/>
          <w:lang w:eastAsia="es-MX"/>
        </w:rPr>
        <w:footnoteReference w:id="19"/>
      </w:r>
      <w:r w:rsidR="008C23C8" w:rsidRPr="00AD07F6">
        <w:rPr>
          <w:rFonts w:ascii="Verdana" w:hAnsi="Verdana" w:cs="Verdana"/>
          <w:sz w:val="20"/>
          <w:szCs w:val="20"/>
          <w:lang w:eastAsia="es-MX"/>
        </w:rPr>
        <w:t>.</w:t>
      </w:r>
    </w:p>
    <w:p w14:paraId="39786BE5" w14:textId="77777777" w:rsidR="00AD07F6" w:rsidRPr="00AD07F6" w:rsidRDefault="00AD07F6" w:rsidP="00AD360E">
      <w:pPr>
        <w:widowControl w:val="0"/>
        <w:autoSpaceDE w:val="0"/>
        <w:autoSpaceDN w:val="0"/>
        <w:adjustRightInd w:val="0"/>
        <w:ind w:right="49"/>
        <w:jc w:val="both"/>
        <w:rPr>
          <w:rFonts w:ascii="Verdana" w:hAnsi="Verdana" w:cs="Times New Roman"/>
          <w:sz w:val="20"/>
          <w:szCs w:val="20"/>
        </w:rPr>
      </w:pPr>
    </w:p>
    <w:p w14:paraId="1DFB9E5B" w14:textId="005E740F" w:rsidR="00761869" w:rsidRPr="00AD07F6" w:rsidRDefault="00965F52"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AD07F6">
        <w:rPr>
          <w:rFonts w:ascii="Verdana" w:hAnsi="Verdana" w:cs="Times New Roman"/>
          <w:sz w:val="20"/>
          <w:szCs w:val="20"/>
        </w:rPr>
        <w:t>Así, p</w:t>
      </w:r>
      <w:r w:rsidR="00971EA4" w:rsidRPr="00AD07F6">
        <w:rPr>
          <w:rFonts w:ascii="Verdana" w:hAnsi="Verdana" w:cs="Times New Roman"/>
          <w:sz w:val="20"/>
          <w:szCs w:val="20"/>
        </w:rPr>
        <w:t xml:space="preserve">ara derivar la estabilidad laboral como parte del derecho al trabajo mediante el artículo 26 de la Convención Americana, la Corte IDH </w:t>
      </w:r>
      <w:r w:rsidR="008C23C8" w:rsidRPr="00AD07F6">
        <w:rPr>
          <w:rFonts w:ascii="Verdana" w:hAnsi="Verdana" w:cs="Times New Roman"/>
          <w:sz w:val="20"/>
          <w:szCs w:val="20"/>
        </w:rPr>
        <w:t>considera</w:t>
      </w:r>
      <w:r w:rsidR="00971EA4" w:rsidRPr="00AD07F6">
        <w:rPr>
          <w:rFonts w:ascii="Verdana" w:hAnsi="Verdana" w:cs="Times New Roman"/>
          <w:sz w:val="20"/>
          <w:szCs w:val="20"/>
        </w:rPr>
        <w:t xml:space="preserve"> cuatro </w:t>
      </w:r>
      <w:r w:rsidR="00064565" w:rsidRPr="00AD07F6">
        <w:rPr>
          <w:rFonts w:ascii="Verdana" w:hAnsi="Verdana" w:cs="Times New Roman"/>
          <w:sz w:val="20"/>
          <w:szCs w:val="20"/>
        </w:rPr>
        <w:t>aspectos de especial relevancia. E</w:t>
      </w:r>
      <w:r w:rsidR="00D23F2F" w:rsidRPr="00AD07F6">
        <w:rPr>
          <w:rFonts w:ascii="Verdana" w:hAnsi="Verdana" w:cs="Times New Roman"/>
          <w:sz w:val="20"/>
          <w:szCs w:val="20"/>
        </w:rPr>
        <w:t>l primer aspecto</w:t>
      </w:r>
      <w:r w:rsidR="008C23C8" w:rsidRPr="00AD07F6">
        <w:rPr>
          <w:rFonts w:ascii="Verdana" w:hAnsi="Verdana" w:cs="Times New Roman"/>
          <w:sz w:val="20"/>
          <w:szCs w:val="20"/>
        </w:rPr>
        <w:t xml:space="preserve">, referido a los derechos que se </w:t>
      </w:r>
      <w:r w:rsidR="008C23C8" w:rsidRPr="00AD07F6">
        <w:rPr>
          <w:rFonts w:ascii="Verdana" w:hAnsi="Verdana" w:cs="Times New Roman"/>
          <w:sz w:val="20"/>
          <w:szCs w:val="20"/>
        </w:rPr>
        <w:lastRenderedPageBreak/>
        <w:t>pueden proteger</w:t>
      </w:r>
      <w:r w:rsidR="00971EA4" w:rsidRPr="00AD07F6">
        <w:rPr>
          <w:rFonts w:ascii="Verdana" w:hAnsi="Verdana" w:cs="Times New Roman"/>
          <w:sz w:val="20"/>
          <w:szCs w:val="20"/>
        </w:rPr>
        <w:t xml:space="preserve"> por el artículo 26 de la Convención Americana,</w:t>
      </w:r>
      <w:r w:rsidR="00C7426F" w:rsidRPr="00AD07F6">
        <w:rPr>
          <w:rFonts w:ascii="Verdana" w:hAnsi="Verdana" w:cs="Times New Roman"/>
          <w:sz w:val="20"/>
          <w:szCs w:val="20"/>
        </w:rPr>
        <w:t xml:space="preserve"> son aquellos</w:t>
      </w:r>
      <w:r w:rsidR="00971EA4" w:rsidRPr="00AD07F6">
        <w:rPr>
          <w:rFonts w:ascii="Verdana" w:hAnsi="Verdana" w:cs="Times New Roman"/>
          <w:sz w:val="20"/>
          <w:szCs w:val="20"/>
        </w:rPr>
        <w:t xml:space="preserve"> </w:t>
      </w:r>
      <w:r w:rsidR="008C23C8" w:rsidRPr="00AD07F6">
        <w:rPr>
          <w:rFonts w:ascii="Verdana" w:hAnsi="Verdana" w:cs="Times New Roman"/>
          <w:sz w:val="20"/>
          <w:szCs w:val="20"/>
        </w:rPr>
        <w:t xml:space="preserve">que </w:t>
      </w:r>
      <w:r w:rsidR="00971EA4" w:rsidRPr="00AD07F6">
        <w:rPr>
          <w:rFonts w:ascii="Verdana" w:hAnsi="Verdana" w:cs="Times New Roman"/>
          <w:sz w:val="20"/>
          <w:szCs w:val="20"/>
        </w:rPr>
        <w:t xml:space="preserve">se derivan </w:t>
      </w:r>
      <w:r w:rsidR="00C7426F" w:rsidRPr="00AD07F6">
        <w:rPr>
          <w:rFonts w:ascii="Verdana" w:hAnsi="Verdana" w:cs="Times New Roman"/>
          <w:sz w:val="20"/>
          <w:szCs w:val="20"/>
        </w:rPr>
        <w:t xml:space="preserve">o se identifican </w:t>
      </w:r>
      <w:r w:rsidR="00971EA4" w:rsidRPr="00AD07F6">
        <w:rPr>
          <w:rFonts w:ascii="Verdana" w:hAnsi="Verdana" w:cs="Times New Roman"/>
          <w:sz w:val="20"/>
          <w:szCs w:val="20"/>
        </w:rPr>
        <w:t xml:space="preserve">de las normas económicas, sociales y sobre educación, ciencia y </w:t>
      </w:r>
      <w:r w:rsidR="00064565" w:rsidRPr="00AD07F6">
        <w:rPr>
          <w:rFonts w:ascii="Verdana" w:hAnsi="Verdana" w:cs="Times New Roman"/>
          <w:sz w:val="20"/>
          <w:szCs w:val="20"/>
        </w:rPr>
        <w:t>cultura</w:t>
      </w:r>
      <w:r w:rsidR="007D3603" w:rsidRPr="00AD07F6">
        <w:rPr>
          <w:rFonts w:ascii="Verdana" w:hAnsi="Verdana" w:cs="Times New Roman"/>
          <w:sz w:val="20"/>
          <w:szCs w:val="20"/>
        </w:rPr>
        <w:t xml:space="preserve"> que se encuentran </w:t>
      </w:r>
      <w:r w:rsidR="00C7426F" w:rsidRPr="00AD07F6">
        <w:rPr>
          <w:rFonts w:ascii="Verdana" w:hAnsi="Verdana" w:cs="Times New Roman"/>
          <w:sz w:val="20"/>
          <w:szCs w:val="20"/>
        </w:rPr>
        <w:t xml:space="preserve">contenidas </w:t>
      </w:r>
      <w:r w:rsidR="007D3603" w:rsidRPr="00AD07F6">
        <w:rPr>
          <w:rFonts w:ascii="Verdana" w:hAnsi="Verdana" w:cs="Times New Roman"/>
          <w:sz w:val="20"/>
          <w:szCs w:val="20"/>
        </w:rPr>
        <w:t xml:space="preserve">en la </w:t>
      </w:r>
      <w:r w:rsidR="008C23C8" w:rsidRPr="00AD07F6">
        <w:rPr>
          <w:rFonts w:ascii="Verdana" w:hAnsi="Verdana" w:cs="Times New Roman"/>
          <w:sz w:val="20"/>
          <w:szCs w:val="20"/>
        </w:rPr>
        <w:t>Carta de la OEA. En particular,</w:t>
      </w:r>
      <w:r w:rsidR="00971EA4" w:rsidRPr="00AD07F6">
        <w:rPr>
          <w:rFonts w:ascii="Verdana" w:hAnsi="Verdana" w:cs="Times New Roman"/>
          <w:sz w:val="20"/>
          <w:szCs w:val="20"/>
        </w:rPr>
        <w:t xml:space="preserve"> para los efectos del caso </w:t>
      </w:r>
      <w:r w:rsidR="00971EA4" w:rsidRPr="00AD07F6">
        <w:rPr>
          <w:rFonts w:ascii="Verdana" w:hAnsi="Verdana" w:cs="Times New Roman"/>
          <w:i/>
          <w:sz w:val="20"/>
          <w:szCs w:val="20"/>
        </w:rPr>
        <w:t xml:space="preserve">Lagos del Campos, </w:t>
      </w:r>
      <w:r w:rsidR="00971EA4" w:rsidRPr="00AD07F6">
        <w:rPr>
          <w:rFonts w:ascii="Verdana" w:hAnsi="Verdana" w:cs="Times New Roman"/>
          <w:sz w:val="20"/>
          <w:szCs w:val="20"/>
        </w:rPr>
        <w:t>la Cort</w:t>
      </w:r>
      <w:r w:rsidR="008C23C8" w:rsidRPr="00AD07F6">
        <w:rPr>
          <w:rFonts w:ascii="Verdana" w:hAnsi="Verdana" w:cs="Times New Roman"/>
          <w:sz w:val="20"/>
          <w:szCs w:val="20"/>
        </w:rPr>
        <w:t>e IDH estima</w:t>
      </w:r>
      <w:r w:rsidR="00064565" w:rsidRPr="00AD07F6">
        <w:rPr>
          <w:rFonts w:ascii="Verdana" w:hAnsi="Verdana" w:cs="Times New Roman"/>
          <w:sz w:val="20"/>
          <w:szCs w:val="20"/>
        </w:rPr>
        <w:t xml:space="preserve"> que el artículo</w:t>
      </w:r>
      <w:r w:rsidR="00AD07F6">
        <w:rPr>
          <w:rFonts w:ascii="Verdana" w:hAnsi="Verdana" w:cs="Times New Roman"/>
          <w:sz w:val="20"/>
          <w:szCs w:val="20"/>
        </w:rPr>
        <w:t xml:space="preserve"> 34 </w:t>
      </w:r>
      <w:proofErr w:type="gramStart"/>
      <w:r w:rsidR="00AD07F6">
        <w:rPr>
          <w:rFonts w:ascii="Verdana" w:hAnsi="Verdana" w:cs="Times New Roman"/>
          <w:sz w:val="20"/>
          <w:szCs w:val="20"/>
        </w:rPr>
        <w:t>inciso</w:t>
      </w:r>
      <w:proofErr w:type="gramEnd"/>
      <w:r w:rsidR="00AD07F6">
        <w:rPr>
          <w:rFonts w:ascii="Verdana" w:hAnsi="Verdana" w:cs="Times New Roman"/>
          <w:sz w:val="20"/>
          <w:szCs w:val="20"/>
        </w:rPr>
        <w:t xml:space="preserve"> g</w:t>
      </w:r>
      <w:r w:rsidR="008C23C8" w:rsidRPr="00AD07F6">
        <w:rPr>
          <w:rFonts w:ascii="Verdana" w:hAnsi="Verdana" w:cs="Times New Roman"/>
          <w:sz w:val="20"/>
          <w:szCs w:val="20"/>
        </w:rPr>
        <w:t>), artículo</w:t>
      </w:r>
      <w:r w:rsidR="00064565" w:rsidRPr="00AD07F6">
        <w:rPr>
          <w:rFonts w:ascii="Verdana" w:hAnsi="Verdana" w:cs="Times New Roman"/>
          <w:sz w:val="20"/>
          <w:szCs w:val="20"/>
        </w:rPr>
        <w:t xml:space="preserve"> 45, </w:t>
      </w:r>
      <w:r w:rsidR="00971EA4" w:rsidRPr="00AD07F6">
        <w:rPr>
          <w:rFonts w:ascii="Verdana" w:hAnsi="Verdana" w:cs="Times New Roman"/>
          <w:sz w:val="20"/>
          <w:szCs w:val="20"/>
        </w:rPr>
        <w:t xml:space="preserve">incisos b) y c), </w:t>
      </w:r>
      <w:r w:rsidR="008C23C8" w:rsidRPr="00AD07F6">
        <w:rPr>
          <w:rFonts w:ascii="Verdana" w:hAnsi="Verdana" w:cs="Times New Roman"/>
          <w:sz w:val="20"/>
          <w:szCs w:val="20"/>
        </w:rPr>
        <w:t xml:space="preserve">y </w:t>
      </w:r>
      <w:r w:rsidR="00971EA4" w:rsidRPr="00AD07F6">
        <w:rPr>
          <w:rFonts w:ascii="Verdana" w:hAnsi="Verdana" w:cs="Times New Roman"/>
          <w:sz w:val="20"/>
          <w:szCs w:val="20"/>
        </w:rPr>
        <w:t>el artículo 46</w:t>
      </w:r>
      <w:r w:rsidR="007D3603" w:rsidRPr="00AD07F6">
        <w:rPr>
          <w:rFonts w:ascii="Verdana" w:hAnsi="Verdana" w:cs="Times New Roman"/>
          <w:sz w:val="20"/>
          <w:szCs w:val="20"/>
        </w:rPr>
        <w:t xml:space="preserve"> de la Carta de la OEA</w:t>
      </w:r>
      <w:r w:rsidR="009058DE" w:rsidRPr="00AD07F6">
        <w:rPr>
          <w:rFonts w:ascii="Verdana" w:hAnsi="Verdana" w:cs="Times New Roman"/>
          <w:sz w:val="20"/>
          <w:szCs w:val="20"/>
        </w:rPr>
        <w:t>, contemplan</w:t>
      </w:r>
      <w:r w:rsidR="00971EA4" w:rsidRPr="00AD07F6">
        <w:rPr>
          <w:rFonts w:ascii="Verdana" w:hAnsi="Verdana" w:cs="Times New Roman"/>
          <w:sz w:val="20"/>
          <w:szCs w:val="20"/>
        </w:rPr>
        <w:t xml:space="preserve"> diversos aspectos del derecho al trabajo</w:t>
      </w:r>
      <w:r w:rsidR="00971EA4" w:rsidRPr="004E66B4">
        <w:rPr>
          <w:rStyle w:val="FootnoteReference"/>
          <w:rFonts w:ascii="Verdana" w:hAnsi="Verdana" w:cs="Times New Roman"/>
          <w:sz w:val="20"/>
          <w:szCs w:val="20"/>
        </w:rPr>
        <w:footnoteReference w:id="20"/>
      </w:r>
      <w:r w:rsidR="00971EA4" w:rsidRPr="00AD07F6">
        <w:rPr>
          <w:rFonts w:ascii="Verdana" w:hAnsi="Verdana" w:cs="Times New Roman"/>
          <w:sz w:val="20"/>
          <w:szCs w:val="20"/>
        </w:rPr>
        <w:t xml:space="preserve">. </w:t>
      </w:r>
      <w:r w:rsidR="004D67FA" w:rsidRPr="00AD07F6">
        <w:rPr>
          <w:rFonts w:ascii="Verdana" w:hAnsi="Verdana" w:cs="Times New Roman"/>
          <w:sz w:val="20"/>
          <w:szCs w:val="20"/>
        </w:rPr>
        <w:t>Así, el artículo 26 contiene derechos sociales y no es una mera norma programática como algunos opinan. Sobre el particular, me permito reproducir lo que expresé en mi</w:t>
      </w:r>
      <w:r w:rsidR="009B6A6A" w:rsidRPr="00AD07F6">
        <w:rPr>
          <w:rFonts w:ascii="Verdana" w:hAnsi="Verdana" w:cs="Times New Roman"/>
          <w:sz w:val="20"/>
          <w:szCs w:val="20"/>
        </w:rPr>
        <w:t xml:space="preserve"> Voto Concurrente a la Sentencia del </w:t>
      </w:r>
      <w:r w:rsidR="009B6A6A" w:rsidRPr="00AD07F6">
        <w:rPr>
          <w:rFonts w:ascii="Verdana" w:hAnsi="Verdana" w:cs="Times New Roman"/>
          <w:i/>
          <w:sz w:val="20"/>
          <w:szCs w:val="20"/>
        </w:rPr>
        <w:t xml:space="preserve">Caso </w:t>
      </w:r>
      <w:proofErr w:type="spellStart"/>
      <w:r w:rsidR="009B6A6A" w:rsidRPr="00AD07F6">
        <w:rPr>
          <w:rFonts w:ascii="Verdana" w:hAnsi="Verdana" w:cs="Times New Roman"/>
          <w:i/>
          <w:sz w:val="20"/>
          <w:szCs w:val="20"/>
        </w:rPr>
        <w:t>Yarce</w:t>
      </w:r>
      <w:proofErr w:type="spellEnd"/>
      <w:r w:rsidR="009B6A6A" w:rsidRPr="00AD07F6">
        <w:rPr>
          <w:rFonts w:ascii="Verdana" w:hAnsi="Verdana" w:cs="Times New Roman"/>
          <w:i/>
          <w:sz w:val="20"/>
          <w:szCs w:val="20"/>
        </w:rPr>
        <w:t xml:space="preserve"> y Otras Vs. Colombia</w:t>
      </w:r>
      <w:r w:rsidR="009B6A6A" w:rsidRPr="00AD07F6">
        <w:rPr>
          <w:rStyle w:val="FootnoteReference"/>
          <w:rFonts w:ascii="Verdana" w:hAnsi="Verdana" w:cs="Times New Roman"/>
          <w:sz w:val="20"/>
          <w:szCs w:val="20"/>
        </w:rPr>
        <w:footnoteReference w:id="21"/>
      </w:r>
      <w:r w:rsidR="009B6A6A" w:rsidRPr="00AD07F6">
        <w:rPr>
          <w:rFonts w:ascii="Verdana" w:hAnsi="Verdana" w:cs="Times New Roman"/>
          <w:sz w:val="20"/>
          <w:szCs w:val="20"/>
        </w:rPr>
        <w:t>:</w:t>
      </w:r>
      <w:r w:rsidR="004B5AAB" w:rsidRPr="00AD07F6">
        <w:rPr>
          <w:rFonts w:ascii="Verdana" w:hAnsi="Verdana" w:cs="Times New Roman"/>
          <w:sz w:val="20"/>
          <w:szCs w:val="20"/>
        </w:rPr>
        <w:t xml:space="preserve"> </w:t>
      </w:r>
    </w:p>
    <w:p w14:paraId="05D3899F" w14:textId="77777777" w:rsidR="004B5AAB" w:rsidRPr="00AD07F6" w:rsidRDefault="004B5AAB" w:rsidP="00AD360E">
      <w:pPr>
        <w:widowControl w:val="0"/>
        <w:autoSpaceDE w:val="0"/>
        <w:autoSpaceDN w:val="0"/>
        <w:adjustRightInd w:val="0"/>
        <w:ind w:right="49"/>
        <w:jc w:val="both"/>
        <w:rPr>
          <w:rFonts w:ascii="Verdana" w:hAnsi="Verdana" w:cs="Times New Roman"/>
          <w:sz w:val="20"/>
          <w:szCs w:val="20"/>
        </w:rPr>
      </w:pPr>
    </w:p>
    <w:p w14:paraId="793D9EED" w14:textId="77777777" w:rsidR="004B5AAB" w:rsidRPr="00AD07F6" w:rsidRDefault="004B5AAB" w:rsidP="004B76C5">
      <w:pPr>
        <w:pStyle w:val="ListParagraph"/>
        <w:ind w:right="738"/>
        <w:contextualSpacing w:val="0"/>
        <w:jc w:val="both"/>
        <w:rPr>
          <w:rFonts w:ascii="Verdana" w:hAnsi="Verdana"/>
          <w:sz w:val="16"/>
          <w:szCs w:val="16"/>
        </w:rPr>
      </w:pPr>
      <w:r w:rsidRPr="00AD07F6">
        <w:rPr>
          <w:rFonts w:ascii="Verdana" w:hAnsi="Verdana"/>
          <w:sz w:val="16"/>
          <w:szCs w:val="16"/>
        </w:rPr>
        <w:t xml:space="preserve">19. </w:t>
      </w:r>
      <w:r w:rsidRPr="00AD07F6">
        <w:rPr>
          <w:rFonts w:ascii="Verdana" w:hAnsi="Verdana"/>
          <w:sz w:val="16"/>
          <w:szCs w:val="16"/>
        </w:rPr>
        <w:tab/>
        <w:t>Una argumentación recurrente para pretender negar competencia a la Corte IDH en relación a los “derechos” que consagra el artículo 26 parte del entendimiento de que esa norma no establece propiamente “derechos”, sino solo el compromiso de “desarrollo progresivo”; es decir, un objetivo programático. Considero que esta perspectiva que se argumenta resulta limitada a la luz de la protección que debe brindar el Sistema Interamericano por lo que no comparto esta visión por diversos motivos.</w:t>
      </w:r>
    </w:p>
    <w:p w14:paraId="4C06E880" w14:textId="77777777" w:rsidR="004B5AAB" w:rsidRPr="00AD07F6" w:rsidRDefault="004B5AAB" w:rsidP="004B76C5">
      <w:pPr>
        <w:pStyle w:val="ListParagraph"/>
        <w:ind w:right="738"/>
        <w:contextualSpacing w:val="0"/>
        <w:jc w:val="both"/>
        <w:rPr>
          <w:rFonts w:ascii="Verdana" w:hAnsi="Verdana"/>
          <w:sz w:val="16"/>
          <w:szCs w:val="16"/>
        </w:rPr>
      </w:pPr>
    </w:p>
    <w:p w14:paraId="401260D3" w14:textId="77777777" w:rsidR="004B5AAB" w:rsidRPr="00AD07F6" w:rsidRDefault="004B5AAB" w:rsidP="004B76C5">
      <w:pPr>
        <w:pStyle w:val="ListParagraph"/>
        <w:ind w:right="738"/>
        <w:contextualSpacing w:val="0"/>
        <w:jc w:val="both"/>
        <w:rPr>
          <w:rFonts w:ascii="Verdana" w:hAnsi="Verdana"/>
          <w:sz w:val="16"/>
          <w:szCs w:val="16"/>
        </w:rPr>
      </w:pPr>
      <w:r w:rsidRPr="00AD07F6">
        <w:rPr>
          <w:rFonts w:ascii="Verdana" w:hAnsi="Verdana"/>
          <w:sz w:val="16"/>
          <w:szCs w:val="16"/>
        </w:rPr>
        <w:t xml:space="preserve">20. </w:t>
      </w:r>
      <w:r w:rsidRPr="00AD07F6">
        <w:rPr>
          <w:rFonts w:ascii="Verdana" w:hAnsi="Verdana"/>
          <w:sz w:val="16"/>
          <w:szCs w:val="16"/>
        </w:rPr>
        <w:tab/>
        <w:t xml:space="preserve">En primer lugar, de acuerdo al texto del artículo 26, el compromiso de desarrollo progresivo se refiere a “derechos”, por el señalamiento literal de la norma; es decir, no podría predicarse tal obligación sino respecto de “derechos”, por lo que es imperioso colegir que la norma refiere a “derechos” y no a meros objetivos. </w:t>
      </w:r>
    </w:p>
    <w:p w14:paraId="1C194ED4" w14:textId="77777777" w:rsidR="004B5AAB" w:rsidRPr="00AD07F6" w:rsidRDefault="004B5AAB" w:rsidP="004B76C5">
      <w:pPr>
        <w:pStyle w:val="ListParagraph"/>
        <w:ind w:right="738"/>
        <w:contextualSpacing w:val="0"/>
        <w:jc w:val="both"/>
        <w:rPr>
          <w:rFonts w:ascii="Verdana" w:hAnsi="Verdana"/>
          <w:sz w:val="16"/>
          <w:szCs w:val="16"/>
        </w:rPr>
      </w:pPr>
    </w:p>
    <w:p w14:paraId="11F1DC22" w14:textId="2BDDC2D0" w:rsidR="004B5AAB" w:rsidRPr="00AD07F6" w:rsidRDefault="004B5AAB" w:rsidP="004B76C5">
      <w:pPr>
        <w:pStyle w:val="ListParagraph"/>
        <w:ind w:right="738"/>
        <w:contextualSpacing w:val="0"/>
        <w:jc w:val="both"/>
        <w:rPr>
          <w:rFonts w:ascii="Verdana" w:hAnsi="Verdana"/>
          <w:sz w:val="16"/>
          <w:szCs w:val="16"/>
        </w:rPr>
      </w:pPr>
      <w:r w:rsidRPr="00AD07F6">
        <w:rPr>
          <w:rFonts w:ascii="Verdana" w:hAnsi="Verdana"/>
          <w:sz w:val="16"/>
          <w:szCs w:val="16"/>
        </w:rPr>
        <w:t xml:space="preserve">21. </w:t>
      </w:r>
      <w:r w:rsidRPr="00AD07F6">
        <w:rPr>
          <w:rFonts w:ascii="Verdana" w:hAnsi="Verdana"/>
          <w:sz w:val="16"/>
          <w:szCs w:val="16"/>
        </w:rPr>
        <w:tab/>
        <w:t>Este entendimiento es acorde a lo previsto en la Convención de Viena sobre el Derecho de los Tratados, que manda a interpretar un tratado “de buena fe conforme al sentido corriente que haya de atribuirse a los términos del tratado en el contexto de estos y teniendo en cuenta su objeto y fin”</w:t>
      </w:r>
      <w:r w:rsidRPr="00AD07F6">
        <w:rPr>
          <w:rStyle w:val="FootnoteReference"/>
          <w:rFonts w:ascii="Verdana" w:hAnsi="Verdana"/>
          <w:sz w:val="16"/>
          <w:szCs w:val="16"/>
        </w:rPr>
        <w:footnoteReference w:id="22"/>
      </w:r>
      <w:r w:rsidRPr="00AD07F6">
        <w:rPr>
          <w:rFonts w:ascii="Verdana" w:hAnsi="Verdana"/>
          <w:sz w:val="16"/>
          <w:szCs w:val="16"/>
        </w:rPr>
        <w:t>. En ese sentido, es evidente que un entendimiento de buena fe de la palabra “derechos” incluida en el citado artículo 26, que sea “conforme al sentido corriente” del término, indica que el mismo se refiere a “derechos” propiamente dichos, de igual naturaleza que el resto de los “derechos” aludidos en la Convención Americana. Lo anterior se corrobora al advertirse que precisamente el artículo 26 es el único artículo del Capítulo III denominado “</w:t>
      </w:r>
      <w:r w:rsidRPr="00AD07F6">
        <w:rPr>
          <w:rFonts w:ascii="Verdana" w:hAnsi="Verdana"/>
          <w:sz w:val="16"/>
          <w:szCs w:val="16"/>
          <w:u w:val="single"/>
        </w:rPr>
        <w:t>Derechos</w:t>
      </w:r>
      <w:r w:rsidRPr="00AD07F6">
        <w:rPr>
          <w:rFonts w:ascii="Verdana" w:hAnsi="Verdana"/>
          <w:sz w:val="16"/>
          <w:szCs w:val="16"/>
        </w:rPr>
        <w:t xml:space="preserve"> económicos, sociales y culturales”. Tal entendimiento es acorde al objeto y fin del tratado, que propende a la protección de los derechos de la persona humana. </w:t>
      </w:r>
    </w:p>
    <w:p w14:paraId="0696B1E9" w14:textId="77777777" w:rsidR="004B5AAB" w:rsidRPr="00AD07F6" w:rsidRDefault="004B5AAB" w:rsidP="004B76C5">
      <w:pPr>
        <w:pStyle w:val="Estilo4"/>
        <w:numPr>
          <w:ilvl w:val="0"/>
          <w:numId w:val="0"/>
        </w:numPr>
        <w:spacing w:after="0"/>
        <w:ind w:left="720" w:right="738"/>
        <w:rPr>
          <w:sz w:val="16"/>
          <w:szCs w:val="16"/>
          <w:lang w:val="es-ES_tradnl"/>
        </w:rPr>
      </w:pPr>
    </w:p>
    <w:p w14:paraId="1ACCE9CF" w14:textId="42326A43" w:rsidR="002228F7" w:rsidRPr="002228F7" w:rsidRDefault="004B5AAB" w:rsidP="004B76C5">
      <w:pPr>
        <w:pStyle w:val="Estilo4"/>
        <w:numPr>
          <w:ilvl w:val="0"/>
          <w:numId w:val="0"/>
        </w:numPr>
        <w:spacing w:after="0"/>
        <w:ind w:left="720" w:right="738"/>
        <w:rPr>
          <w:sz w:val="16"/>
          <w:szCs w:val="16"/>
          <w:lang w:val="es-ES_tradnl"/>
        </w:rPr>
      </w:pPr>
      <w:r w:rsidRPr="00AD07F6">
        <w:rPr>
          <w:sz w:val="16"/>
          <w:szCs w:val="16"/>
          <w:lang w:val="es-ES_tradnl"/>
        </w:rPr>
        <w:t xml:space="preserve">22. </w:t>
      </w:r>
      <w:r w:rsidRPr="00AD07F6">
        <w:rPr>
          <w:sz w:val="16"/>
          <w:szCs w:val="16"/>
          <w:lang w:val="es-ES_tradnl"/>
        </w:rPr>
        <w:tab/>
        <w:t>Así, el artículo 26 no es meramente una norma programática para los Estados Parte de la Convención Americana, sino que constituye una disposición que impone a la Corte IDH derivar derechos de las normas existentes en la Carta de la OEA, por lo que, atendiendo al caso concreto, contiene derechos de naturaleza económica, social o cultural y no meros objetivos</w:t>
      </w:r>
      <w:r w:rsidR="002228F7">
        <w:rPr>
          <w:sz w:val="16"/>
          <w:szCs w:val="16"/>
          <w:lang w:val="es-ES_tradnl"/>
        </w:rPr>
        <w:t xml:space="preserve">. </w:t>
      </w:r>
      <w:r w:rsidR="002228F7" w:rsidRPr="002228F7">
        <w:rPr>
          <w:sz w:val="16"/>
          <w:szCs w:val="16"/>
          <w:lang w:val="es-ES_tradnl"/>
        </w:rPr>
        <w:t>[…].</w:t>
      </w:r>
    </w:p>
    <w:p w14:paraId="0B53B8F8" w14:textId="77777777" w:rsidR="004B5AAB" w:rsidRPr="00AD07F6" w:rsidRDefault="004B5AAB" w:rsidP="004B76C5">
      <w:pPr>
        <w:pStyle w:val="Estilo4"/>
        <w:numPr>
          <w:ilvl w:val="0"/>
          <w:numId w:val="0"/>
        </w:numPr>
        <w:spacing w:after="0"/>
        <w:ind w:left="720" w:right="738"/>
        <w:rPr>
          <w:sz w:val="16"/>
          <w:szCs w:val="16"/>
          <w:lang w:val="es-ES_tradnl"/>
        </w:rPr>
      </w:pPr>
    </w:p>
    <w:p w14:paraId="25EBB2B9" w14:textId="77777777" w:rsidR="004B5AAB" w:rsidRPr="00AD07F6" w:rsidRDefault="004B5AAB" w:rsidP="004B76C5">
      <w:pPr>
        <w:pStyle w:val="Estilo4"/>
        <w:numPr>
          <w:ilvl w:val="0"/>
          <w:numId w:val="0"/>
        </w:numPr>
        <w:spacing w:after="0"/>
        <w:ind w:left="720" w:right="738"/>
        <w:rPr>
          <w:sz w:val="16"/>
          <w:szCs w:val="16"/>
          <w:lang w:val="es-ES_tradnl"/>
        </w:rPr>
      </w:pPr>
      <w:r w:rsidRPr="00AD07F6">
        <w:rPr>
          <w:sz w:val="16"/>
          <w:szCs w:val="16"/>
          <w:lang w:val="es-ES_tradnl"/>
        </w:rPr>
        <w:lastRenderedPageBreak/>
        <w:t xml:space="preserve">23. </w:t>
      </w:r>
      <w:r w:rsidRPr="00AD07F6">
        <w:rPr>
          <w:sz w:val="16"/>
          <w:szCs w:val="16"/>
          <w:lang w:val="es-ES_tradnl"/>
        </w:rPr>
        <w:tab/>
        <w:t>En segundo lugar, y siguiendo con la argumentación precedente, no puede pasar inadvertido que el artículo 26 de la Convención Americana expresamente indica que de las normas pertinentes de la Carta de la OEA</w:t>
      </w:r>
      <w:r w:rsidRPr="00AD07F6">
        <w:rPr>
          <w:rStyle w:val="FootnoteReference"/>
          <w:sz w:val="16"/>
          <w:szCs w:val="16"/>
          <w:lang w:val="es-ES_tradnl"/>
        </w:rPr>
        <w:footnoteReference w:id="23"/>
      </w:r>
      <w:r w:rsidRPr="00AD07F6">
        <w:rPr>
          <w:sz w:val="16"/>
          <w:szCs w:val="16"/>
          <w:lang w:val="es-ES_tradnl"/>
        </w:rPr>
        <w:t xml:space="preserve"> se “derivan” derechos. El sentido literal es claro</w:t>
      </w:r>
      <w:r w:rsidRPr="00AD07F6">
        <w:rPr>
          <w:rStyle w:val="FootnoteReference"/>
          <w:sz w:val="16"/>
          <w:szCs w:val="16"/>
          <w:lang w:val="es-ES_tradnl"/>
        </w:rPr>
        <w:footnoteReference w:id="24"/>
      </w:r>
      <w:r w:rsidRPr="00AD07F6">
        <w:rPr>
          <w:sz w:val="16"/>
          <w:szCs w:val="16"/>
          <w:lang w:val="es-ES_tradnl"/>
        </w:rPr>
        <w:t>: la norma no señala que para esclarecer cuáles son los “derechos” a los que se refiere el artículo 26 deba buscarse a aquellos derechos que estén reconocidos expresamente como tales en la Carta de la OEA; por el contrario, lo que expresa este precepto —siendo el mandato principal del artículo 26— es que hay derechos que se “derivan” de ciertas normas de la Carta: “</w:t>
      </w:r>
      <w:r w:rsidRPr="00AD07F6">
        <w:rPr>
          <w:sz w:val="16"/>
          <w:szCs w:val="16"/>
        </w:rPr>
        <w:t>las normas económicas, sociales y sobre educación, ciencia y cultura”.</w:t>
      </w:r>
      <w:r w:rsidRPr="00AD07F6">
        <w:rPr>
          <w:sz w:val="16"/>
          <w:szCs w:val="16"/>
          <w:lang w:val="es-ES_tradnl"/>
        </w:rPr>
        <w:t xml:space="preserve"> </w:t>
      </w:r>
    </w:p>
    <w:p w14:paraId="5E3438A0" w14:textId="77777777" w:rsidR="004B5AAB" w:rsidRPr="00AD07F6" w:rsidRDefault="004B5AAB" w:rsidP="004B76C5">
      <w:pPr>
        <w:pStyle w:val="Estilo4"/>
        <w:numPr>
          <w:ilvl w:val="0"/>
          <w:numId w:val="0"/>
        </w:numPr>
        <w:spacing w:after="0"/>
        <w:ind w:left="720" w:right="738"/>
        <w:rPr>
          <w:sz w:val="16"/>
          <w:szCs w:val="16"/>
          <w:lang w:val="es-ES_tradnl"/>
        </w:rPr>
      </w:pPr>
    </w:p>
    <w:p w14:paraId="146D2EAA" w14:textId="77777777" w:rsidR="004B5AAB" w:rsidRPr="00AD07F6" w:rsidRDefault="004B5AAB" w:rsidP="004B76C5">
      <w:pPr>
        <w:pStyle w:val="Estilo4"/>
        <w:numPr>
          <w:ilvl w:val="0"/>
          <w:numId w:val="0"/>
        </w:numPr>
        <w:spacing w:after="0"/>
        <w:ind w:left="720" w:right="738"/>
        <w:rPr>
          <w:sz w:val="16"/>
          <w:szCs w:val="16"/>
          <w:lang w:val="es-ES_tradnl"/>
        </w:rPr>
      </w:pPr>
      <w:r w:rsidRPr="00AD07F6">
        <w:rPr>
          <w:sz w:val="16"/>
          <w:szCs w:val="16"/>
          <w:lang w:val="es-ES_tradnl"/>
        </w:rPr>
        <w:t xml:space="preserve">24. </w:t>
      </w:r>
      <w:r w:rsidRPr="00AD07F6">
        <w:rPr>
          <w:sz w:val="16"/>
          <w:szCs w:val="16"/>
          <w:lang w:val="es-ES_tradnl"/>
        </w:rPr>
        <w:tab/>
        <w:t>De acuerdo al diccionario de la Real Academia Española “derivar”, en las acepciones pertinentes, es: “[d]</w:t>
      </w:r>
      <w:r w:rsidRPr="00AD07F6">
        <w:rPr>
          <w:rFonts w:eastAsia="Arial Unicode MS" w:cs="Arial Unicode MS"/>
          <w:sz w:val="16"/>
          <w:szCs w:val="16"/>
          <w:lang w:val="es-ES_tradnl"/>
        </w:rPr>
        <w:t xml:space="preserve">icho de una cosa: Traer su origen de </w:t>
      </w:r>
      <w:proofErr w:type="gramStart"/>
      <w:r w:rsidRPr="00AD07F6">
        <w:rPr>
          <w:rFonts w:eastAsia="Arial Unicode MS" w:cs="Arial Unicode MS"/>
          <w:sz w:val="16"/>
          <w:szCs w:val="16"/>
          <w:lang w:val="es-ES_tradnl"/>
        </w:rPr>
        <w:t>otra[</w:t>
      </w:r>
      <w:proofErr w:type="gramEnd"/>
      <w:r w:rsidRPr="00AD07F6">
        <w:rPr>
          <w:rFonts w:eastAsia="Arial Unicode MS" w:cs="Arial Unicode MS"/>
          <w:sz w:val="16"/>
          <w:szCs w:val="16"/>
          <w:lang w:val="es-ES_tradnl"/>
        </w:rPr>
        <w:t>; d]icho de una palabra: Proceder de cierta base léxica[, y] establecer una relación morfológica o etimológica entre dos voces”</w:t>
      </w:r>
      <w:r w:rsidRPr="00AD07F6">
        <w:rPr>
          <w:rStyle w:val="FootnoteReference"/>
          <w:sz w:val="16"/>
          <w:szCs w:val="16"/>
          <w:lang w:val="es-ES_tradnl"/>
        </w:rPr>
        <w:t xml:space="preserve"> </w:t>
      </w:r>
      <w:r w:rsidRPr="00AD07F6">
        <w:rPr>
          <w:rStyle w:val="FootnoteReference"/>
          <w:sz w:val="16"/>
          <w:szCs w:val="16"/>
          <w:lang w:val="es-ES_tradnl"/>
        </w:rPr>
        <w:footnoteReference w:id="25"/>
      </w:r>
      <w:r w:rsidRPr="00AD07F6">
        <w:rPr>
          <w:rFonts w:eastAsia="Arial Unicode MS" w:cs="Arial Unicode MS"/>
          <w:sz w:val="16"/>
          <w:szCs w:val="16"/>
          <w:lang w:val="es-ES_tradnl"/>
        </w:rPr>
        <w:t>.</w:t>
      </w:r>
    </w:p>
    <w:p w14:paraId="3BA3EFBF" w14:textId="77777777" w:rsidR="004B5AAB" w:rsidRPr="00AD07F6" w:rsidRDefault="004B5AAB" w:rsidP="004B76C5">
      <w:pPr>
        <w:pStyle w:val="Estilo4"/>
        <w:numPr>
          <w:ilvl w:val="0"/>
          <w:numId w:val="0"/>
        </w:numPr>
        <w:spacing w:after="0"/>
        <w:ind w:left="720" w:right="738"/>
        <w:rPr>
          <w:rFonts w:eastAsia="Arial Unicode MS" w:cs="Arial Unicode MS"/>
          <w:sz w:val="16"/>
          <w:szCs w:val="16"/>
          <w:lang w:val="es-ES_tradnl"/>
        </w:rPr>
      </w:pPr>
    </w:p>
    <w:p w14:paraId="1B3150E0" w14:textId="2FE629C9" w:rsidR="004B5AAB" w:rsidRPr="00AD07F6" w:rsidRDefault="004B5AAB" w:rsidP="004B76C5">
      <w:pPr>
        <w:pStyle w:val="Estilo4"/>
        <w:numPr>
          <w:ilvl w:val="0"/>
          <w:numId w:val="0"/>
        </w:numPr>
        <w:spacing w:after="0"/>
        <w:ind w:left="720" w:right="738"/>
        <w:rPr>
          <w:rFonts w:eastAsia="Arial Unicode MS" w:cs="Arial Unicode MS"/>
          <w:sz w:val="16"/>
          <w:szCs w:val="16"/>
          <w:lang w:val="es-ES_tradnl"/>
        </w:rPr>
      </w:pPr>
      <w:r w:rsidRPr="00AD07F6">
        <w:rPr>
          <w:rFonts w:eastAsia="Arial Unicode MS" w:cs="Arial Unicode MS"/>
          <w:sz w:val="16"/>
          <w:szCs w:val="16"/>
          <w:lang w:val="es-ES_tradnl"/>
        </w:rPr>
        <w:t xml:space="preserve">25. </w:t>
      </w:r>
      <w:r w:rsidRPr="00AD07F6">
        <w:rPr>
          <w:rFonts w:eastAsia="Arial Unicode MS" w:cs="Arial Unicode MS"/>
          <w:sz w:val="16"/>
          <w:szCs w:val="16"/>
          <w:lang w:val="es-ES_tradnl"/>
        </w:rPr>
        <w:tab/>
        <w:t>Por lo tanto, no debe acotarse el entendimiento de los derechos recogidos en el artículo 26 de la Convención Americana solo a aquellos que puedan encontrarse literalmente como tales —como podría entenderse el “derecho al trabajo”</w:t>
      </w:r>
      <w:r w:rsidRPr="00AD07F6">
        <w:rPr>
          <w:rStyle w:val="FootnoteReference"/>
          <w:rFonts w:eastAsia="Arial Unicode MS"/>
          <w:sz w:val="16"/>
          <w:szCs w:val="16"/>
          <w:lang w:val="es-ES_tradnl"/>
        </w:rPr>
        <w:footnoteReference w:id="26"/>
      </w:r>
      <w:r w:rsidRPr="00AD07F6">
        <w:rPr>
          <w:rFonts w:eastAsia="Arial Unicode MS" w:cs="Arial Unicode MS"/>
          <w:sz w:val="16"/>
          <w:szCs w:val="16"/>
          <w:lang w:val="es-ES_tradnl"/>
        </w:rPr>
        <w:t>— en el texto de la Carta de la OEA. Por el contrario, debe efectuarse una “derivación” de las normas correspondientes referidas: “proceder” a partir de “cierta base léxica” para encontrar un derecho. El texto del artículo 26, que habla de “derechos” que se “derivan” de las normas “económicas, sociales y sobre educación, ciencia y cultura, contenidas en la Carta” obliga al interprete, quien no puede desconocer el texto señalado y sostener de modo válido que las normas correspondientes de la Carta de la OEA no ofrecen una base suficiente para “derivar” derechos, pues ello está mandado por el texto convencional. Ello no obsta a la procedencia de métodos de interpretación que lleven a tener en consideración otras normas; inclusive el Protocolo Adicional a la Convención Americana sobre Derechos Humanos en materia de Derechos Económicos, Sociales y Culturales “Protocolo de San Salvador”</w:t>
      </w:r>
      <w:r w:rsidRPr="00AD07F6">
        <w:rPr>
          <w:rStyle w:val="FootnoteReference"/>
          <w:rFonts w:eastAsia="Arial Unicode MS"/>
          <w:sz w:val="16"/>
          <w:szCs w:val="16"/>
          <w:lang w:val="es-ES_tradnl"/>
        </w:rPr>
        <w:footnoteReference w:id="27"/>
      </w:r>
      <w:r w:rsidRPr="00AD07F6">
        <w:rPr>
          <w:rFonts w:eastAsia="Arial Unicode MS" w:cs="Arial Unicode MS"/>
          <w:sz w:val="16"/>
          <w:szCs w:val="16"/>
          <w:lang w:val="es-ES_tradnl"/>
        </w:rPr>
        <w:t>; sobre el particular ya me he referido en otras ocasione</w:t>
      </w:r>
      <w:r w:rsidR="002228F7">
        <w:rPr>
          <w:rFonts w:eastAsia="Arial Unicode MS" w:cs="Arial Unicode MS"/>
          <w:sz w:val="16"/>
          <w:szCs w:val="16"/>
          <w:lang w:val="es-ES_tradnl"/>
        </w:rPr>
        <w:t>s</w:t>
      </w:r>
      <w:r w:rsidRPr="00AD07F6">
        <w:rPr>
          <w:rFonts w:eastAsia="Arial Unicode MS" w:cs="Arial Unicode MS"/>
          <w:sz w:val="16"/>
          <w:szCs w:val="16"/>
          <w:lang w:val="es-ES_tradnl"/>
        </w:rPr>
        <w:t>.</w:t>
      </w:r>
    </w:p>
    <w:p w14:paraId="4DF856B9" w14:textId="77777777" w:rsidR="004B5AAB" w:rsidRPr="00AD07F6" w:rsidRDefault="004B5AAB" w:rsidP="004B76C5">
      <w:pPr>
        <w:pStyle w:val="Estilo4"/>
        <w:numPr>
          <w:ilvl w:val="0"/>
          <w:numId w:val="0"/>
        </w:numPr>
        <w:spacing w:after="0"/>
        <w:ind w:left="720" w:right="738"/>
        <w:rPr>
          <w:sz w:val="16"/>
          <w:szCs w:val="16"/>
          <w:lang w:val="es-ES_tradnl"/>
        </w:rPr>
      </w:pPr>
    </w:p>
    <w:p w14:paraId="4B23DDA2" w14:textId="77777777" w:rsidR="004B5AAB" w:rsidRPr="009B6A6A" w:rsidRDefault="004B5AAB" w:rsidP="004B76C5">
      <w:pPr>
        <w:pStyle w:val="Estilo4"/>
        <w:numPr>
          <w:ilvl w:val="0"/>
          <w:numId w:val="0"/>
        </w:numPr>
        <w:spacing w:after="0"/>
        <w:ind w:left="720" w:right="738"/>
        <w:rPr>
          <w:rFonts w:eastAsia="Arial Unicode MS" w:cs="Arial Unicode MS"/>
          <w:sz w:val="16"/>
          <w:szCs w:val="16"/>
          <w:lang w:val="es-ES_tradnl"/>
        </w:rPr>
      </w:pPr>
      <w:r w:rsidRPr="00AD07F6">
        <w:rPr>
          <w:rFonts w:eastAsia="Arial Unicode MS" w:cs="Arial Unicode MS"/>
          <w:sz w:val="16"/>
          <w:szCs w:val="16"/>
          <w:lang w:val="es-ES_tradnl"/>
        </w:rPr>
        <w:t xml:space="preserve">26. </w:t>
      </w:r>
      <w:r w:rsidRPr="00AD07F6">
        <w:rPr>
          <w:rFonts w:eastAsia="Arial Unicode MS" w:cs="Arial Unicode MS"/>
          <w:sz w:val="16"/>
          <w:szCs w:val="16"/>
          <w:lang w:val="es-ES_tradnl"/>
        </w:rPr>
        <w:tab/>
        <w:t xml:space="preserve">Lo expuesto hace evidente que se requiere un ejercicio interpretativo evolutivo y dinámico por parte del Tribunal Interamericano y que si bien, ciertamente, existen dificultades interpretativas por el modo en que la Convención Americana ha establecido los derechos económicos, sociales y culturales plasmados en ella, no constituye una dificultad para que la labor hermenéutica e interpretativa sea realizada. Precisamente, es la función propia de la Corte IDH llevar a cabo la interpretación de la Convención Americana, sin que pueda excusarse en la obscuridad, vaguedad o ambigüedad de los términos del tratado y teniendo en consideración el principio </w:t>
      </w:r>
      <w:r w:rsidRPr="00AD07F6">
        <w:rPr>
          <w:rFonts w:eastAsia="Arial Unicode MS" w:cs="Arial Unicode MS"/>
          <w:i/>
          <w:sz w:val="16"/>
          <w:szCs w:val="16"/>
          <w:lang w:val="es-ES_tradnl"/>
        </w:rPr>
        <w:t>pro persona</w:t>
      </w:r>
      <w:r w:rsidRPr="00AD07F6">
        <w:rPr>
          <w:rFonts w:eastAsia="Arial Unicode MS" w:cs="Arial Unicode MS"/>
          <w:sz w:val="16"/>
          <w:szCs w:val="16"/>
          <w:lang w:val="es-ES_tradnl"/>
        </w:rPr>
        <w:t xml:space="preserve"> contenido en el artículo 29 del propio Pacto de San José.</w:t>
      </w:r>
      <w:r w:rsidRPr="009B6A6A">
        <w:rPr>
          <w:rFonts w:eastAsia="Arial Unicode MS" w:cs="Arial Unicode MS"/>
          <w:sz w:val="16"/>
          <w:szCs w:val="16"/>
          <w:lang w:val="es-ES_tradnl"/>
        </w:rPr>
        <w:t xml:space="preserve"> </w:t>
      </w:r>
    </w:p>
    <w:p w14:paraId="0E43D315" w14:textId="77777777" w:rsidR="00761869" w:rsidRPr="00761869" w:rsidRDefault="00761869" w:rsidP="00AD360E">
      <w:pPr>
        <w:widowControl w:val="0"/>
        <w:autoSpaceDE w:val="0"/>
        <w:autoSpaceDN w:val="0"/>
        <w:adjustRightInd w:val="0"/>
        <w:ind w:right="49"/>
        <w:jc w:val="both"/>
        <w:rPr>
          <w:rFonts w:ascii="Verdana" w:hAnsi="Verdana" w:cs="Times New Roman"/>
          <w:sz w:val="20"/>
          <w:szCs w:val="20"/>
        </w:rPr>
      </w:pPr>
    </w:p>
    <w:p w14:paraId="63245A40" w14:textId="3768CE7C" w:rsidR="00971EA4" w:rsidRPr="004E66B4" w:rsidRDefault="008C23C8"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El segundo</w:t>
      </w:r>
      <w:r w:rsidR="00D23F2F">
        <w:rPr>
          <w:rFonts w:ascii="Verdana" w:hAnsi="Verdana" w:cs="Times New Roman"/>
          <w:sz w:val="20"/>
          <w:szCs w:val="20"/>
        </w:rPr>
        <w:t xml:space="preserve"> aspecto relevante</w:t>
      </w:r>
      <w:r>
        <w:rPr>
          <w:rFonts w:ascii="Verdana" w:hAnsi="Verdana" w:cs="Times New Roman"/>
          <w:sz w:val="20"/>
          <w:szCs w:val="20"/>
        </w:rPr>
        <w:t>, referido</w:t>
      </w:r>
      <w:r w:rsidR="00971EA4" w:rsidRPr="004E66B4">
        <w:rPr>
          <w:rFonts w:ascii="Verdana" w:hAnsi="Verdana" w:cs="Times New Roman"/>
          <w:sz w:val="20"/>
          <w:szCs w:val="20"/>
        </w:rPr>
        <w:t xml:space="preserve"> a</w:t>
      </w:r>
      <w:r w:rsidR="00064565">
        <w:rPr>
          <w:rFonts w:ascii="Verdana" w:hAnsi="Verdana" w:cs="Times New Roman"/>
          <w:sz w:val="20"/>
          <w:szCs w:val="20"/>
        </w:rPr>
        <w:t xml:space="preserve"> la Opinión Consultiva No. 10 —</w:t>
      </w:r>
      <w:r w:rsidR="00971EA4" w:rsidRPr="004E66B4">
        <w:rPr>
          <w:rFonts w:ascii="Verdana" w:hAnsi="Verdana" w:cs="Times New Roman"/>
          <w:sz w:val="20"/>
          <w:szCs w:val="20"/>
        </w:rPr>
        <w:t>sobre la Interpretación de la Declaración Americana de los Derechos y Deberes del Hombre</w:t>
      </w:r>
      <w:r w:rsidR="00971EA4" w:rsidRPr="004E66B4">
        <w:rPr>
          <w:rFonts w:ascii="Verdana" w:hAnsi="Verdana"/>
          <w:sz w:val="20"/>
          <w:szCs w:val="20"/>
        </w:rPr>
        <w:t xml:space="preserve"> en </w:t>
      </w:r>
      <w:r w:rsidR="00971EA4" w:rsidRPr="004E66B4">
        <w:rPr>
          <w:rFonts w:ascii="Verdana" w:hAnsi="Verdana"/>
          <w:sz w:val="20"/>
          <w:szCs w:val="20"/>
        </w:rPr>
        <w:lastRenderedPageBreak/>
        <w:t>el marco del artículo 64 de la Convención Americana</w:t>
      </w:r>
      <w:r w:rsidR="00064565">
        <w:rPr>
          <w:rStyle w:val="FootnoteReference"/>
          <w:rFonts w:ascii="Verdana" w:hAnsi="Verdana"/>
          <w:sz w:val="20"/>
          <w:szCs w:val="20"/>
        </w:rPr>
        <w:footnoteReference w:id="28"/>
      </w:r>
      <w:r w:rsidR="00064565">
        <w:rPr>
          <w:rFonts w:ascii="Verdana" w:hAnsi="Verdana"/>
          <w:sz w:val="20"/>
          <w:szCs w:val="20"/>
        </w:rPr>
        <w:t>—,</w:t>
      </w:r>
      <w:r w:rsidR="00971EA4" w:rsidRPr="004E66B4">
        <w:rPr>
          <w:rFonts w:ascii="Verdana" w:hAnsi="Verdana"/>
          <w:sz w:val="20"/>
          <w:szCs w:val="20"/>
        </w:rPr>
        <w:t xml:space="preserve"> </w:t>
      </w:r>
      <w:r>
        <w:rPr>
          <w:rFonts w:ascii="Verdana" w:hAnsi="Verdana"/>
          <w:sz w:val="20"/>
          <w:szCs w:val="20"/>
        </w:rPr>
        <w:t>que la Corte IDH utiliza al emitir la Sentencia. Ello se debe a que,</w:t>
      </w:r>
      <w:r w:rsidR="00064565">
        <w:rPr>
          <w:rFonts w:ascii="Verdana" w:hAnsi="Verdana"/>
          <w:sz w:val="20"/>
          <w:szCs w:val="20"/>
        </w:rPr>
        <w:t xml:space="preserve"> en esa ocasión</w:t>
      </w:r>
      <w:r>
        <w:rPr>
          <w:rFonts w:ascii="Verdana" w:hAnsi="Verdana"/>
          <w:sz w:val="20"/>
          <w:szCs w:val="20"/>
        </w:rPr>
        <w:t>, el Tribunal Interamericano</w:t>
      </w:r>
      <w:r w:rsidR="00064565">
        <w:rPr>
          <w:rFonts w:ascii="Verdana" w:hAnsi="Verdana"/>
          <w:sz w:val="20"/>
          <w:szCs w:val="20"/>
        </w:rPr>
        <w:t xml:space="preserve"> consideró que</w:t>
      </w:r>
      <w:r w:rsidR="00971EA4" w:rsidRPr="004E66B4">
        <w:rPr>
          <w:rFonts w:ascii="Verdana" w:hAnsi="Verdana"/>
          <w:sz w:val="20"/>
          <w:szCs w:val="20"/>
        </w:rPr>
        <w:t xml:space="preserve"> “[l]</w:t>
      </w:r>
      <w:r w:rsidR="00971EA4" w:rsidRPr="004E66B4">
        <w:rPr>
          <w:rFonts w:ascii="Verdana" w:eastAsiaTheme="minorHAnsi" w:hAnsi="Verdana" w:cs="Verdana"/>
          <w:sz w:val="20"/>
          <w:szCs w:val="20"/>
        </w:rPr>
        <w:t>os Estados Miembros han entendido que la Declaración contiene y define aquellos derechos humanos esenciales a l</w:t>
      </w:r>
      <w:r w:rsidR="00A75D43">
        <w:rPr>
          <w:rFonts w:ascii="Verdana" w:eastAsiaTheme="minorHAnsi" w:hAnsi="Verdana" w:cs="Verdana"/>
          <w:sz w:val="20"/>
          <w:szCs w:val="20"/>
        </w:rPr>
        <w:t>os que la Ca</w:t>
      </w:r>
      <w:r>
        <w:rPr>
          <w:rFonts w:ascii="Verdana" w:eastAsiaTheme="minorHAnsi" w:hAnsi="Verdana" w:cs="Verdana"/>
          <w:sz w:val="20"/>
          <w:szCs w:val="20"/>
        </w:rPr>
        <w:t>rta se refiere […]”. Con lo anterior,</w:t>
      </w:r>
      <w:r w:rsidR="00971EA4" w:rsidRPr="004E66B4">
        <w:rPr>
          <w:rFonts w:ascii="Verdana" w:eastAsiaTheme="minorHAnsi" w:hAnsi="Verdana" w:cs="Verdana"/>
          <w:sz w:val="20"/>
          <w:szCs w:val="20"/>
        </w:rPr>
        <w:t xml:space="preserve"> la Corte ID</w:t>
      </w:r>
      <w:r w:rsidR="00A37AB9" w:rsidRPr="004E66B4">
        <w:rPr>
          <w:rFonts w:ascii="Verdana" w:eastAsiaTheme="minorHAnsi" w:hAnsi="Verdana" w:cs="Verdana"/>
          <w:sz w:val="20"/>
          <w:szCs w:val="20"/>
        </w:rPr>
        <w:t>H</w:t>
      </w:r>
      <w:r>
        <w:rPr>
          <w:rFonts w:ascii="Verdana" w:eastAsiaTheme="minorHAnsi" w:hAnsi="Verdana" w:cs="Verdana"/>
          <w:sz w:val="20"/>
          <w:szCs w:val="20"/>
        </w:rPr>
        <w:t xml:space="preserve"> observa</w:t>
      </w:r>
      <w:r w:rsidR="00971EA4" w:rsidRPr="004E66B4">
        <w:rPr>
          <w:rFonts w:ascii="Verdana" w:eastAsiaTheme="minorHAnsi" w:hAnsi="Verdana" w:cs="Verdana"/>
          <w:sz w:val="20"/>
          <w:szCs w:val="20"/>
        </w:rPr>
        <w:t xml:space="preserve"> que el derecho al trabajo se encuentra en el artículo XIV de la Declaración Americana</w:t>
      </w:r>
      <w:r w:rsidR="00971EA4" w:rsidRPr="004E66B4">
        <w:rPr>
          <w:rStyle w:val="FootnoteReference"/>
          <w:rFonts w:ascii="Verdana" w:eastAsiaTheme="minorHAnsi" w:hAnsi="Verdana" w:cs="Verdana"/>
          <w:sz w:val="20"/>
          <w:szCs w:val="20"/>
        </w:rPr>
        <w:footnoteReference w:id="29"/>
      </w:r>
      <w:r w:rsidR="00971EA4" w:rsidRPr="004E66B4">
        <w:rPr>
          <w:rFonts w:ascii="Verdana" w:eastAsiaTheme="minorHAnsi" w:hAnsi="Verdana" w:cs="Verdana"/>
          <w:sz w:val="20"/>
          <w:szCs w:val="20"/>
        </w:rPr>
        <w:t>. E</w:t>
      </w:r>
      <w:r>
        <w:rPr>
          <w:rFonts w:ascii="Verdana" w:eastAsiaTheme="minorHAnsi" w:hAnsi="Verdana" w:cs="Verdana"/>
          <w:sz w:val="20"/>
          <w:szCs w:val="20"/>
        </w:rPr>
        <w:t>l tercer aspecto relevante consiste en el</w:t>
      </w:r>
      <w:r w:rsidR="00971EA4" w:rsidRPr="004E66B4">
        <w:rPr>
          <w:rFonts w:ascii="Verdana" w:eastAsiaTheme="minorHAnsi" w:hAnsi="Verdana" w:cs="Verdana"/>
          <w:sz w:val="20"/>
          <w:szCs w:val="20"/>
        </w:rPr>
        <w:t xml:space="preserve"> </w:t>
      </w:r>
      <w:r w:rsidR="00971EA4" w:rsidRPr="004E66B4">
        <w:rPr>
          <w:rFonts w:ascii="Verdana" w:eastAsiaTheme="minorHAnsi" w:hAnsi="Verdana" w:cs="Verdana"/>
          <w:i/>
          <w:sz w:val="20"/>
          <w:szCs w:val="20"/>
        </w:rPr>
        <w:t>corpus iuris</w:t>
      </w:r>
      <w:r w:rsidR="00971EA4" w:rsidRPr="004E66B4">
        <w:rPr>
          <w:rFonts w:ascii="Verdana" w:eastAsiaTheme="minorHAnsi" w:hAnsi="Verdana" w:cs="Verdana"/>
          <w:sz w:val="20"/>
          <w:szCs w:val="20"/>
        </w:rPr>
        <w:t xml:space="preserve"> nacional e internacional que </w:t>
      </w:r>
      <w:r w:rsidR="00A75D43">
        <w:rPr>
          <w:rFonts w:ascii="Verdana" w:eastAsiaTheme="minorHAnsi" w:hAnsi="Verdana" w:cs="Verdana"/>
          <w:sz w:val="20"/>
          <w:szCs w:val="20"/>
        </w:rPr>
        <w:t>protege</w:t>
      </w:r>
      <w:r w:rsidR="00971EA4" w:rsidRPr="004E66B4">
        <w:rPr>
          <w:rFonts w:ascii="Verdana" w:eastAsiaTheme="minorHAnsi" w:hAnsi="Verdana" w:cs="Verdana"/>
          <w:sz w:val="20"/>
          <w:szCs w:val="20"/>
        </w:rPr>
        <w:t xml:space="preserve"> el derecho al trabajo como derecho autónom</w:t>
      </w:r>
      <w:r>
        <w:rPr>
          <w:rFonts w:ascii="Verdana" w:eastAsiaTheme="minorHAnsi" w:hAnsi="Verdana" w:cs="Verdana"/>
          <w:sz w:val="20"/>
          <w:szCs w:val="20"/>
        </w:rPr>
        <w:t>o</w:t>
      </w:r>
      <w:r w:rsidR="00971EA4" w:rsidRPr="004E66B4">
        <w:rPr>
          <w:rStyle w:val="FootnoteReference"/>
          <w:rFonts w:ascii="Verdana" w:eastAsiaTheme="minorHAnsi" w:hAnsi="Verdana" w:cs="Verdana"/>
          <w:sz w:val="20"/>
          <w:szCs w:val="20"/>
        </w:rPr>
        <w:footnoteReference w:id="30"/>
      </w:r>
      <w:r>
        <w:rPr>
          <w:rFonts w:ascii="Verdana" w:eastAsiaTheme="minorHAnsi" w:hAnsi="Verdana" w:cs="Verdana"/>
          <w:sz w:val="20"/>
          <w:szCs w:val="20"/>
        </w:rPr>
        <w:t>, que la Corte IDH consideró al tomar su decisión respecto a este caso</w:t>
      </w:r>
      <w:r w:rsidR="00A75D43">
        <w:rPr>
          <w:rFonts w:ascii="Verdana" w:eastAsiaTheme="minorHAnsi" w:hAnsi="Verdana" w:cs="Verdana"/>
          <w:sz w:val="20"/>
          <w:szCs w:val="20"/>
        </w:rPr>
        <w:t xml:space="preserve">.  </w:t>
      </w:r>
      <w:r>
        <w:rPr>
          <w:rFonts w:ascii="Verdana" w:eastAsiaTheme="minorHAnsi" w:hAnsi="Verdana" w:cs="Verdana"/>
          <w:sz w:val="20"/>
          <w:szCs w:val="20"/>
        </w:rPr>
        <w:t xml:space="preserve">Por último, el cuarto aspecto relevante refiere al desarrollo del derecho a la estabilidad laboral en la </w:t>
      </w:r>
      <w:r w:rsidR="00357AA1">
        <w:rPr>
          <w:rFonts w:ascii="Verdana" w:eastAsiaTheme="minorHAnsi" w:hAnsi="Verdana" w:cs="Verdana"/>
          <w:sz w:val="20"/>
          <w:szCs w:val="20"/>
        </w:rPr>
        <w:t xml:space="preserve">normativa </w:t>
      </w:r>
      <w:r>
        <w:rPr>
          <w:rFonts w:ascii="Verdana" w:eastAsiaTheme="minorHAnsi" w:hAnsi="Verdana" w:cs="Verdana"/>
          <w:sz w:val="20"/>
          <w:szCs w:val="20"/>
        </w:rPr>
        <w:t>peruana, mediante</w:t>
      </w:r>
      <w:r w:rsidR="00971EA4" w:rsidRPr="004E66B4">
        <w:rPr>
          <w:rFonts w:ascii="Verdana" w:eastAsiaTheme="minorHAnsi" w:hAnsi="Verdana" w:cs="Verdana"/>
          <w:sz w:val="20"/>
          <w:szCs w:val="20"/>
        </w:rPr>
        <w:t xml:space="preserve"> la</w:t>
      </w:r>
      <w:r w:rsidR="00BE21C9">
        <w:rPr>
          <w:rFonts w:ascii="Verdana" w:eastAsiaTheme="minorHAnsi" w:hAnsi="Verdana" w:cs="Verdana"/>
          <w:sz w:val="20"/>
          <w:szCs w:val="20"/>
        </w:rPr>
        <w:t>s</w:t>
      </w:r>
      <w:r w:rsidR="00A75D43">
        <w:rPr>
          <w:rFonts w:ascii="Verdana" w:eastAsiaTheme="minorHAnsi" w:hAnsi="Verdana" w:cs="Verdana"/>
          <w:sz w:val="20"/>
          <w:szCs w:val="20"/>
        </w:rPr>
        <w:t xml:space="preserve"> c</w:t>
      </w:r>
      <w:r w:rsidR="00971EA4" w:rsidRPr="004E66B4">
        <w:rPr>
          <w:rFonts w:ascii="Verdana" w:eastAsiaTheme="minorHAnsi" w:hAnsi="Verdana" w:cs="Verdana"/>
          <w:sz w:val="20"/>
          <w:szCs w:val="20"/>
        </w:rPr>
        <w:t>onstituci</w:t>
      </w:r>
      <w:r w:rsidR="00BE21C9">
        <w:rPr>
          <w:rFonts w:ascii="Verdana" w:eastAsiaTheme="minorHAnsi" w:hAnsi="Verdana" w:cs="Verdana"/>
          <w:sz w:val="20"/>
          <w:szCs w:val="20"/>
        </w:rPr>
        <w:t>ones (de 1979 y 1993)</w:t>
      </w:r>
      <w:r w:rsidR="001459D3">
        <w:rPr>
          <w:rFonts w:ascii="Verdana" w:eastAsiaTheme="minorHAnsi" w:hAnsi="Verdana" w:cs="Verdana"/>
          <w:sz w:val="20"/>
          <w:szCs w:val="20"/>
        </w:rPr>
        <w:t xml:space="preserve"> </w:t>
      </w:r>
      <w:r w:rsidR="00971EA4" w:rsidRPr="004E66B4">
        <w:rPr>
          <w:rFonts w:ascii="Verdana" w:eastAsiaTheme="minorHAnsi" w:hAnsi="Verdana" w:cs="Verdana"/>
          <w:sz w:val="20"/>
          <w:szCs w:val="20"/>
        </w:rPr>
        <w:t>y la</w:t>
      </w:r>
      <w:r w:rsidR="00A75D43">
        <w:rPr>
          <w:rFonts w:ascii="Verdana" w:eastAsiaTheme="minorHAnsi" w:hAnsi="Verdana" w:cs="Verdana"/>
          <w:sz w:val="20"/>
          <w:szCs w:val="20"/>
        </w:rPr>
        <w:t>s leyes laborales</w:t>
      </w:r>
      <w:r w:rsidR="00971EA4" w:rsidRPr="004E66B4">
        <w:rPr>
          <w:rStyle w:val="FootnoteReference"/>
          <w:rFonts w:ascii="Verdana" w:eastAsiaTheme="minorHAnsi" w:hAnsi="Verdana" w:cs="Verdana"/>
          <w:sz w:val="20"/>
          <w:szCs w:val="20"/>
        </w:rPr>
        <w:footnoteReference w:id="31"/>
      </w:r>
      <w:r w:rsidR="00971EA4" w:rsidRPr="004E66B4">
        <w:rPr>
          <w:rFonts w:ascii="Verdana" w:eastAsiaTheme="minorHAnsi" w:hAnsi="Verdana" w:cs="Verdana"/>
          <w:sz w:val="20"/>
          <w:szCs w:val="20"/>
        </w:rPr>
        <w:t xml:space="preserve">.  </w:t>
      </w:r>
    </w:p>
    <w:p w14:paraId="04A72B8F" w14:textId="77777777" w:rsidR="00971EA4" w:rsidRPr="004E66B4" w:rsidRDefault="00971EA4" w:rsidP="00AD360E">
      <w:pPr>
        <w:pStyle w:val="ListParagraph"/>
        <w:widowControl w:val="0"/>
        <w:autoSpaceDE w:val="0"/>
        <w:autoSpaceDN w:val="0"/>
        <w:adjustRightInd w:val="0"/>
        <w:ind w:left="0" w:right="49"/>
        <w:jc w:val="both"/>
        <w:rPr>
          <w:rFonts w:ascii="Verdana" w:hAnsi="Verdana" w:cs="Times New Roman"/>
          <w:sz w:val="20"/>
          <w:szCs w:val="20"/>
        </w:rPr>
      </w:pPr>
    </w:p>
    <w:p w14:paraId="02FAF278" w14:textId="6D8B307F" w:rsidR="00652C2C" w:rsidRPr="000C7DD1" w:rsidRDefault="00652C2C"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0C7DD1">
        <w:rPr>
          <w:rFonts w:ascii="Verdana" w:eastAsiaTheme="minorHAnsi" w:hAnsi="Verdana" w:cs="Verdana"/>
          <w:sz w:val="20"/>
          <w:szCs w:val="20"/>
        </w:rPr>
        <w:t>Asimismo</w:t>
      </w:r>
      <w:r w:rsidR="00A75D43" w:rsidRPr="000C7DD1">
        <w:rPr>
          <w:rFonts w:ascii="Verdana" w:eastAsiaTheme="minorHAnsi" w:hAnsi="Verdana" w:cs="Verdana"/>
          <w:sz w:val="20"/>
          <w:szCs w:val="20"/>
        </w:rPr>
        <w:t>, el Tribuna</w:t>
      </w:r>
      <w:r w:rsidR="00965F52" w:rsidRPr="000C7DD1">
        <w:rPr>
          <w:rFonts w:ascii="Verdana" w:eastAsiaTheme="minorHAnsi" w:hAnsi="Verdana" w:cs="Verdana"/>
          <w:sz w:val="20"/>
          <w:szCs w:val="20"/>
        </w:rPr>
        <w:t>l</w:t>
      </w:r>
      <w:r w:rsidR="00A75D43" w:rsidRPr="000C7DD1">
        <w:rPr>
          <w:rFonts w:ascii="Verdana" w:eastAsiaTheme="minorHAnsi" w:hAnsi="Verdana" w:cs="Verdana"/>
          <w:sz w:val="20"/>
          <w:szCs w:val="20"/>
        </w:rPr>
        <w:t xml:space="preserve"> Interamericano</w:t>
      </w:r>
      <w:r w:rsidRPr="000C7DD1">
        <w:rPr>
          <w:rFonts w:ascii="Verdana" w:eastAsiaTheme="minorHAnsi" w:hAnsi="Verdana" w:cs="Verdana"/>
          <w:sz w:val="20"/>
          <w:szCs w:val="20"/>
        </w:rPr>
        <w:t xml:space="preserve"> utiliza</w:t>
      </w:r>
      <w:r w:rsidR="00971EA4" w:rsidRPr="000C7DD1">
        <w:rPr>
          <w:rFonts w:ascii="Verdana" w:eastAsiaTheme="minorHAnsi" w:hAnsi="Verdana" w:cs="Verdana"/>
          <w:sz w:val="20"/>
          <w:szCs w:val="20"/>
        </w:rPr>
        <w:t xml:space="preserve"> </w:t>
      </w:r>
      <w:r w:rsidRPr="000C7DD1">
        <w:rPr>
          <w:rFonts w:ascii="Verdana" w:eastAsiaTheme="minorHAnsi" w:hAnsi="Verdana" w:cs="Verdana"/>
          <w:sz w:val="20"/>
          <w:szCs w:val="20"/>
        </w:rPr>
        <w:t xml:space="preserve">en la Sentencia </w:t>
      </w:r>
      <w:r w:rsidR="00971EA4" w:rsidRPr="000C7DD1">
        <w:rPr>
          <w:rFonts w:ascii="Verdana" w:eastAsiaTheme="minorHAnsi" w:hAnsi="Verdana" w:cs="Verdana"/>
          <w:sz w:val="20"/>
          <w:szCs w:val="20"/>
        </w:rPr>
        <w:t xml:space="preserve">tres </w:t>
      </w:r>
      <w:r w:rsidR="00A75D43" w:rsidRPr="000C7DD1">
        <w:rPr>
          <w:rFonts w:ascii="Verdana" w:eastAsiaTheme="minorHAnsi" w:hAnsi="Verdana" w:cs="Verdana"/>
          <w:sz w:val="20"/>
          <w:szCs w:val="20"/>
        </w:rPr>
        <w:t xml:space="preserve">de los </w:t>
      </w:r>
      <w:r w:rsidR="00971EA4" w:rsidRPr="000C7DD1">
        <w:rPr>
          <w:rFonts w:ascii="Verdana" w:eastAsiaTheme="minorHAnsi" w:hAnsi="Verdana" w:cs="Verdana"/>
          <w:sz w:val="20"/>
          <w:szCs w:val="20"/>
        </w:rPr>
        <w:t>incisos del artículo 29 (b, c y d</w:t>
      </w:r>
      <w:r w:rsidRPr="000C7DD1">
        <w:rPr>
          <w:rFonts w:ascii="Verdana" w:eastAsiaTheme="minorHAnsi" w:hAnsi="Verdana" w:cs="Verdana"/>
          <w:sz w:val="20"/>
          <w:szCs w:val="20"/>
        </w:rPr>
        <w:t>) de la Convención Americana</w:t>
      </w:r>
      <w:r w:rsidRPr="000C7DD1">
        <w:rPr>
          <w:rStyle w:val="FootnoteReference"/>
          <w:rFonts w:ascii="Verdana" w:eastAsiaTheme="minorHAnsi" w:hAnsi="Verdana" w:cs="Verdana"/>
          <w:sz w:val="20"/>
          <w:szCs w:val="20"/>
        </w:rPr>
        <w:t xml:space="preserve"> </w:t>
      </w:r>
      <w:r w:rsidR="00971EA4" w:rsidRPr="004E66B4">
        <w:rPr>
          <w:rStyle w:val="FootnoteReference"/>
          <w:rFonts w:ascii="Verdana" w:eastAsiaTheme="minorHAnsi" w:hAnsi="Verdana" w:cs="Verdana"/>
          <w:sz w:val="20"/>
          <w:szCs w:val="20"/>
        </w:rPr>
        <w:footnoteReference w:id="32"/>
      </w:r>
      <w:r w:rsidRPr="000C7DD1">
        <w:rPr>
          <w:rFonts w:ascii="Verdana" w:eastAsiaTheme="minorHAnsi" w:hAnsi="Verdana" w:cs="Verdana"/>
          <w:sz w:val="20"/>
          <w:szCs w:val="20"/>
        </w:rPr>
        <w:t>. E</w:t>
      </w:r>
      <w:r w:rsidR="00971EA4" w:rsidRPr="000C7DD1">
        <w:rPr>
          <w:rFonts w:ascii="Verdana" w:eastAsiaTheme="minorHAnsi" w:hAnsi="Verdana" w:cs="Verdana"/>
          <w:sz w:val="20"/>
          <w:szCs w:val="20"/>
        </w:rPr>
        <w:t xml:space="preserve">s decir, </w:t>
      </w:r>
      <w:r w:rsidRPr="000C7DD1">
        <w:rPr>
          <w:rFonts w:ascii="Verdana" w:eastAsiaTheme="minorHAnsi" w:hAnsi="Verdana" w:cs="Verdana"/>
          <w:sz w:val="20"/>
          <w:szCs w:val="20"/>
        </w:rPr>
        <w:t xml:space="preserve">la Corte IDH otorga </w:t>
      </w:r>
      <w:r w:rsidR="00971EA4" w:rsidRPr="000C7DD1">
        <w:rPr>
          <w:rFonts w:ascii="Verdana" w:eastAsiaTheme="minorHAnsi" w:hAnsi="Verdana" w:cs="Verdana"/>
          <w:sz w:val="20"/>
          <w:szCs w:val="20"/>
        </w:rPr>
        <w:t>una protección más amplia</w:t>
      </w:r>
      <w:r w:rsidRPr="000C7DD1">
        <w:rPr>
          <w:rFonts w:ascii="Verdana" w:eastAsiaTheme="minorHAnsi" w:hAnsi="Verdana" w:cs="Verdana"/>
          <w:sz w:val="20"/>
          <w:szCs w:val="20"/>
        </w:rPr>
        <w:t>,</w:t>
      </w:r>
      <w:r w:rsidR="00971EA4" w:rsidRPr="000C7DD1">
        <w:rPr>
          <w:rFonts w:ascii="Verdana" w:eastAsiaTheme="minorHAnsi" w:hAnsi="Verdana" w:cs="Verdana"/>
          <w:sz w:val="20"/>
          <w:szCs w:val="20"/>
        </w:rPr>
        <w:t xml:space="preserve"> que </w:t>
      </w:r>
      <w:r w:rsidRPr="000C7DD1">
        <w:rPr>
          <w:rFonts w:ascii="Verdana" w:eastAsiaTheme="minorHAnsi" w:hAnsi="Verdana" w:cs="Verdana"/>
          <w:sz w:val="20"/>
          <w:szCs w:val="20"/>
        </w:rPr>
        <w:t xml:space="preserve">se </w:t>
      </w:r>
      <w:r w:rsidR="00971EA4" w:rsidRPr="000C7DD1">
        <w:rPr>
          <w:rFonts w:ascii="Verdana" w:eastAsiaTheme="minorHAnsi" w:hAnsi="Verdana" w:cs="Verdana"/>
          <w:sz w:val="20"/>
          <w:szCs w:val="20"/>
        </w:rPr>
        <w:t xml:space="preserve">deriva del reconocimiento del derecho al trabajo tanto en la ley </w:t>
      </w:r>
      <w:r w:rsidR="00C743BD" w:rsidRPr="000C7DD1">
        <w:rPr>
          <w:rFonts w:ascii="Verdana" w:eastAsiaTheme="minorHAnsi" w:hAnsi="Verdana" w:cs="Verdana"/>
          <w:sz w:val="20"/>
          <w:szCs w:val="20"/>
        </w:rPr>
        <w:t>como en la Constitución n</w:t>
      </w:r>
      <w:r w:rsidR="00971EA4" w:rsidRPr="000C7DD1">
        <w:rPr>
          <w:rFonts w:ascii="Verdana" w:eastAsiaTheme="minorHAnsi" w:hAnsi="Verdana" w:cs="Verdana"/>
          <w:sz w:val="20"/>
          <w:szCs w:val="20"/>
        </w:rPr>
        <w:t xml:space="preserve">acional, así como </w:t>
      </w:r>
      <w:r w:rsidRPr="000C7DD1">
        <w:rPr>
          <w:rFonts w:ascii="Verdana" w:eastAsiaTheme="minorHAnsi" w:hAnsi="Verdana" w:cs="Verdana"/>
          <w:sz w:val="20"/>
          <w:szCs w:val="20"/>
        </w:rPr>
        <w:t xml:space="preserve">de los </w:t>
      </w:r>
      <w:r w:rsidR="00971EA4" w:rsidRPr="000C7DD1">
        <w:rPr>
          <w:rFonts w:ascii="Verdana" w:eastAsiaTheme="minorHAnsi" w:hAnsi="Verdana" w:cs="Verdana"/>
          <w:sz w:val="20"/>
          <w:szCs w:val="20"/>
        </w:rPr>
        <w:t>derechos reconocidos en cualquier tratado del que el Estado sea Parte y los efectos que produzcan la Declaración Americana sobre los Derechos y Deberes del Homb</w:t>
      </w:r>
      <w:r w:rsidRPr="000C7DD1">
        <w:rPr>
          <w:rFonts w:ascii="Verdana" w:eastAsiaTheme="minorHAnsi" w:hAnsi="Verdana" w:cs="Verdana"/>
          <w:sz w:val="20"/>
          <w:szCs w:val="20"/>
        </w:rPr>
        <w:t>re.  E</w:t>
      </w:r>
      <w:r w:rsidR="00A75D43" w:rsidRPr="000C7DD1">
        <w:rPr>
          <w:rFonts w:ascii="Verdana" w:eastAsiaTheme="minorHAnsi" w:hAnsi="Verdana" w:cs="Verdana"/>
          <w:sz w:val="20"/>
          <w:szCs w:val="20"/>
        </w:rPr>
        <w:t xml:space="preserve">n este caso, su efecto </w:t>
      </w:r>
      <w:r w:rsidR="00965F52" w:rsidRPr="000C7DD1">
        <w:rPr>
          <w:rFonts w:ascii="Verdana" w:eastAsiaTheme="minorHAnsi" w:hAnsi="Verdana" w:cs="Verdana"/>
          <w:sz w:val="20"/>
          <w:szCs w:val="20"/>
        </w:rPr>
        <w:t>fue</w:t>
      </w:r>
      <w:r w:rsidR="00971EA4" w:rsidRPr="000C7DD1">
        <w:rPr>
          <w:rFonts w:ascii="Verdana" w:eastAsiaTheme="minorHAnsi" w:hAnsi="Verdana" w:cs="Verdana"/>
          <w:sz w:val="20"/>
          <w:szCs w:val="20"/>
        </w:rPr>
        <w:t xml:space="preserve"> delimitar los derechos que se </w:t>
      </w:r>
      <w:r w:rsidR="00A37AB9" w:rsidRPr="000C7DD1">
        <w:rPr>
          <w:rFonts w:ascii="Verdana" w:eastAsiaTheme="minorHAnsi" w:hAnsi="Verdana" w:cs="Verdana"/>
          <w:sz w:val="20"/>
          <w:szCs w:val="20"/>
        </w:rPr>
        <w:t>encuentran</w:t>
      </w:r>
      <w:r w:rsidR="00971EA4" w:rsidRPr="000C7DD1">
        <w:rPr>
          <w:rFonts w:ascii="Verdana" w:eastAsiaTheme="minorHAnsi" w:hAnsi="Verdana" w:cs="Verdana"/>
          <w:sz w:val="20"/>
          <w:szCs w:val="20"/>
        </w:rPr>
        <w:t xml:space="preserve"> expresados en normas de la Carta de la OEA. Cabe destacar que estos tres incisos no tienen, </w:t>
      </w:r>
      <w:r w:rsidR="00971EA4" w:rsidRPr="000C7DD1">
        <w:rPr>
          <w:rFonts w:ascii="Verdana" w:eastAsiaTheme="minorHAnsi" w:hAnsi="Verdana" w:cs="Verdana"/>
          <w:i/>
          <w:sz w:val="20"/>
          <w:szCs w:val="20"/>
        </w:rPr>
        <w:t xml:space="preserve">prima facie, </w:t>
      </w:r>
      <w:r w:rsidR="00971EA4" w:rsidRPr="000C7DD1">
        <w:rPr>
          <w:rFonts w:ascii="Verdana" w:eastAsiaTheme="minorHAnsi" w:hAnsi="Verdana" w:cs="Verdana"/>
          <w:sz w:val="20"/>
          <w:szCs w:val="20"/>
        </w:rPr>
        <w:t>que ser concurrentes para hacer justiciable</w:t>
      </w:r>
      <w:r w:rsidRPr="000C7DD1">
        <w:rPr>
          <w:rFonts w:ascii="Verdana" w:eastAsiaTheme="minorHAnsi" w:hAnsi="Verdana" w:cs="Verdana"/>
          <w:sz w:val="20"/>
          <w:szCs w:val="20"/>
        </w:rPr>
        <w:t>s derechos de naturaleza social. Dicho de otro modo,</w:t>
      </w:r>
      <w:r w:rsidR="009058DE" w:rsidRPr="000C7DD1">
        <w:rPr>
          <w:rFonts w:ascii="Verdana" w:eastAsiaTheme="minorHAnsi" w:hAnsi="Verdana" w:cs="Verdana"/>
          <w:sz w:val="20"/>
          <w:szCs w:val="20"/>
        </w:rPr>
        <w:t xml:space="preserve"> puede que el derecho no esté</w:t>
      </w:r>
      <w:r w:rsidR="00971EA4" w:rsidRPr="000C7DD1">
        <w:rPr>
          <w:rFonts w:ascii="Verdana" w:eastAsiaTheme="minorHAnsi" w:hAnsi="Verdana" w:cs="Verdana"/>
          <w:sz w:val="20"/>
          <w:szCs w:val="20"/>
        </w:rPr>
        <w:t xml:space="preserve"> reconocido expresamente </w:t>
      </w:r>
      <w:r w:rsidR="00A75D43" w:rsidRPr="000C7DD1">
        <w:rPr>
          <w:rFonts w:ascii="Verdana" w:eastAsiaTheme="minorHAnsi" w:hAnsi="Verdana" w:cs="Verdana"/>
          <w:sz w:val="20"/>
          <w:szCs w:val="20"/>
        </w:rPr>
        <w:t xml:space="preserve">en </w:t>
      </w:r>
      <w:r w:rsidR="00971EA4" w:rsidRPr="000C7DD1">
        <w:rPr>
          <w:rFonts w:ascii="Verdana" w:eastAsiaTheme="minorHAnsi" w:hAnsi="Verdana" w:cs="Verdana"/>
          <w:sz w:val="20"/>
          <w:szCs w:val="20"/>
        </w:rPr>
        <w:t>la legislación nacional, pero si se encuentre en un tratado internacional del</w:t>
      </w:r>
      <w:r w:rsidRPr="000C7DD1">
        <w:rPr>
          <w:rFonts w:ascii="Verdana" w:eastAsiaTheme="minorHAnsi" w:hAnsi="Verdana" w:cs="Verdana"/>
          <w:sz w:val="20"/>
          <w:szCs w:val="20"/>
        </w:rPr>
        <w:t xml:space="preserve"> que el Estado sea parte. O bien,</w:t>
      </w:r>
      <w:r w:rsidR="00971EA4" w:rsidRPr="000C7DD1">
        <w:rPr>
          <w:rFonts w:ascii="Verdana" w:eastAsiaTheme="minorHAnsi" w:hAnsi="Verdana" w:cs="Verdana"/>
          <w:sz w:val="20"/>
          <w:szCs w:val="20"/>
        </w:rPr>
        <w:t xml:space="preserve"> de manera inversa, puede que el derecho no se encuentre expresamente contemplado en los tratados internacionales del cual el Estado es parte,</w:t>
      </w:r>
      <w:r w:rsidRPr="000C7DD1">
        <w:rPr>
          <w:rFonts w:ascii="Verdana" w:eastAsiaTheme="minorHAnsi" w:hAnsi="Verdana" w:cs="Verdana"/>
          <w:sz w:val="20"/>
          <w:szCs w:val="20"/>
        </w:rPr>
        <w:t xml:space="preserve"> pero su legislación nacional sí</w:t>
      </w:r>
      <w:r w:rsidR="00971EA4" w:rsidRPr="000C7DD1">
        <w:rPr>
          <w:rFonts w:ascii="Verdana" w:eastAsiaTheme="minorHAnsi" w:hAnsi="Verdana" w:cs="Verdana"/>
          <w:sz w:val="20"/>
          <w:szCs w:val="20"/>
        </w:rPr>
        <w:t xml:space="preserve"> lo contemple. </w:t>
      </w:r>
    </w:p>
    <w:p w14:paraId="0FD0690F" w14:textId="77777777" w:rsidR="000C7DD1" w:rsidRPr="000C7DD1" w:rsidRDefault="000C7DD1" w:rsidP="00AD360E">
      <w:pPr>
        <w:pStyle w:val="ListParagraph"/>
        <w:widowControl w:val="0"/>
        <w:autoSpaceDE w:val="0"/>
        <w:autoSpaceDN w:val="0"/>
        <w:adjustRightInd w:val="0"/>
        <w:ind w:left="0" w:right="49"/>
        <w:jc w:val="both"/>
        <w:rPr>
          <w:rFonts w:ascii="Verdana" w:hAnsi="Verdana" w:cs="Times New Roman"/>
          <w:sz w:val="20"/>
          <w:szCs w:val="20"/>
        </w:rPr>
      </w:pPr>
    </w:p>
    <w:p w14:paraId="1C3ECC6A" w14:textId="3B7F6B37" w:rsidR="00971EA4" w:rsidRPr="00652C2C" w:rsidRDefault="00971EA4"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652C2C">
        <w:rPr>
          <w:rFonts w:ascii="Verdana" w:eastAsiaTheme="minorHAnsi" w:hAnsi="Verdana" w:cs="Verdana"/>
          <w:sz w:val="20"/>
          <w:szCs w:val="20"/>
        </w:rPr>
        <w:t xml:space="preserve">Por otro lado, </w:t>
      </w:r>
      <w:r w:rsidR="00652C2C">
        <w:rPr>
          <w:rFonts w:ascii="Verdana" w:eastAsiaTheme="minorHAnsi" w:hAnsi="Verdana" w:cs="Verdana"/>
          <w:sz w:val="20"/>
          <w:szCs w:val="20"/>
        </w:rPr>
        <w:t>se debe</w:t>
      </w:r>
      <w:r w:rsidR="00A75D43" w:rsidRPr="00652C2C">
        <w:rPr>
          <w:rFonts w:ascii="Verdana" w:eastAsiaTheme="minorHAnsi" w:hAnsi="Verdana" w:cs="Verdana"/>
          <w:sz w:val="20"/>
          <w:szCs w:val="20"/>
        </w:rPr>
        <w:t xml:space="preserve"> tener</w:t>
      </w:r>
      <w:r w:rsidRPr="00652C2C">
        <w:rPr>
          <w:rFonts w:ascii="Verdana" w:eastAsiaTheme="minorHAnsi" w:hAnsi="Verdana" w:cs="Verdana"/>
          <w:sz w:val="20"/>
          <w:szCs w:val="20"/>
        </w:rPr>
        <w:t xml:space="preserve"> en c</w:t>
      </w:r>
      <w:r w:rsidR="00A75D43" w:rsidRPr="00652C2C">
        <w:rPr>
          <w:rFonts w:ascii="Verdana" w:eastAsiaTheme="minorHAnsi" w:hAnsi="Verdana" w:cs="Verdana"/>
          <w:sz w:val="20"/>
          <w:szCs w:val="20"/>
        </w:rPr>
        <w:t>onsideración</w:t>
      </w:r>
      <w:r w:rsidRPr="00652C2C">
        <w:rPr>
          <w:rFonts w:ascii="Verdana" w:eastAsiaTheme="minorHAnsi" w:hAnsi="Verdana" w:cs="Verdana"/>
          <w:sz w:val="20"/>
          <w:szCs w:val="20"/>
        </w:rPr>
        <w:t xml:space="preserve"> los efectos de la Declaración Americana sobre los Derechos y Deberes del Hombre</w:t>
      </w:r>
      <w:r w:rsidR="009058DE" w:rsidRPr="00652C2C">
        <w:rPr>
          <w:rFonts w:ascii="Verdana" w:eastAsiaTheme="minorHAnsi" w:hAnsi="Verdana" w:cs="Verdana"/>
          <w:sz w:val="20"/>
          <w:szCs w:val="20"/>
        </w:rPr>
        <w:t>,</w:t>
      </w:r>
      <w:r w:rsidR="003B391E" w:rsidRPr="00652C2C">
        <w:rPr>
          <w:rFonts w:ascii="Verdana" w:eastAsiaTheme="minorHAnsi" w:hAnsi="Verdana" w:cs="Verdana"/>
          <w:sz w:val="20"/>
          <w:szCs w:val="20"/>
        </w:rPr>
        <w:t xml:space="preserve"> mediante la derivación</w:t>
      </w:r>
      <w:r w:rsidR="009058DE" w:rsidRPr="00652C2C">
        <w:rPr>
          <w:rFonts w:ascii="Verdana" w:eastAsiaTheme="minorHAnsi" w:hAnsi="Verdana" w:cs="Verdana"/>
          <w:sz w:val="20"/>
          <w:szCs w:val="20"/>
        </w:rPr>
        <w:t xml:space="preserve"> de derechos vía artículo 26, </w:t>
      </w:r>
      <w:r w:rsidR="003B391E" w:rsidRPr="008D2569">
        <w:rPr>
          <w:rFonts w:ascii="Verdana" w:eastAsiaTheme="minorHAnsi" w:hAnsi="Verdana" w:cs="Verdana"/>
          <w:sz w:val="20"/>
          <w:szCs w:val="20"/>
        </w:rPr>
        <w:t xml:space="preserve">que delimita con mayor </w:t>
      </w:r>
      <w:r w:rsidR="008D2569" w:rsidRPr="008D2569">
        <w:rPr>
          <w:rFonts w:ascii="Verdana" w:eastAsiaTheme="minorHAnsi" w:hAnsi="Verdana" w:cs="Verdana"/>
          <w:sz w:val="20"/>
          <w:szCs w:val="20"/>
        </w:rPr>
        <w:t>claridad el</w:t>
      </w:r>
      <w:r w:rsidR="003B391E" w:rsidRPr="008D2569">
        <w:rPr>
          <w:rFonts w:ascii="Verdana" w:eastAsiaTheme="minorHAnsi" w:hAnsi="Verdana" w:cs="Verdana"/>
          <w:sz w:val="20"/>
          <w:szCs w:val="20"/>
        </w:rPr>
        <w:t xml:space="preserve"> </w:t>
      </w:r>
      <w:r w:rsidRPr="008D2569">
        <w:rPr>
          <w:rFonts w:ascii="Verdana" w:eastAsiaTheme="minorHAnsi" w:hAnsi="Verdana" w:cs="Verdana"/>
          <w:sz w:val="20"/>
          <w:szCs w:val="20"/>
        </w:rPr>
        <w:t>catálogo de derechos que se encuentran contenidos en la Carta de la OEA</w:t>
      </w:r>
      <w:r w:rsidR="00A75D43" w:rsidRPr="00652C2C">
        <w:rPr>
          <w:rFonts w:ascii="Verdana" w:eastAsiaTheme="minorHAnsi" w:hAnsi="Verdana" w:cs="Verdana"/>
          <w:sz w:val="20"/>
          <w:szCs w:val="20"/>
        </w:rPr>
        <w:t>. Así,</w:t>
      </w:r>
      <w:r w:rsidR="00965F52" w:rsidRPr="00652C2C">
        <w:rPr>
          <w:rFonts w:ascii="Verdana" w:eastAsiaTheme="minorHAnsi" w:hAnsi="Verdana" w:cs="Verdana"/>
          <w:sz w:val="20"/>
          <w:szCs w:val="20"/>
        </w:rPr>
        <w:t xml:space="preserve"> dependiendo del caso y del derecho bajo análisis, </w:t>
      </w:r>
      <w:r w:rsidRPr="00652C2C">
        <w:rPr>
          <w:rFonts w:ascii="Verdana" w:eastAsiaTheme="minorHAnsi" w:hAnsi="Verdana" w:cs="Verdana"/>
          <w:sz w:val="20"/>
          <w:szCs w:val="20"/>
        </w:rPr>
        <w:t>competerá</w:t>
      </w:r>
      <w:r w:rsidR="00965F52" w:rsidRPr="00652C2C">
        <w:rPr>
          <w:rFonts w:ascii="Verdana" w:eastAsiaTheme="minorHAnsi" w:hAnsi="Verdana" w:cs="Verdana"/>
          <w:sz w:val="20"/>
          <w:szCs w:val="20"/>
        </w:rPr>
        <w:t xml:space="preserve"> </w:t>
      </w:r>
      <w:r w:rsidRPr="00652C2C">
        <w:rPr>
          <w:rFonts w:ascii="Verdana" w:eastAsiaTheme="minorHAnsi" w:hAnsi="Verdana" w:cs="Verdana"/>
          <w:sz w:val="20"/>
          <w:szCs w:val="20"/>
        </w:rPr>
        <w:t>a este Tribunal Interamericano</w:t>
      </w:r>
      <w:r w:rsidR="00965F52" w:rsidRPr="00652C2C">
        <w:rPr>
          <w:rFonts w:ascii="Verdana" w:eastAsiaTheme="minorHAnsi" w:hAnsi="Verdana" w:cs="Verdana"/>
          <w:sz w:val="20"/>
          <w:szCs w:val="20"/>
        </w:rPr>
        <w:t xml:space="preserve"> </w:t>
      </w:r>
      <w:r w:rsidRPr="00652C2C">
        <w:rPr>
          <w:rFonts w:ascii="Verdana" w:eastAsiaTheme="minorHAnsi" w:hAnsi="Verdana" w:cs="Verdana"/>
          <w:sz w:val="20"/>
          <w:szCs w:val="20"/>
        </w:rPr>
        <w:t>verificar qu</w:t>
      </w:r>
      <w:r w:rsidR="00A37AB9" w:rsidRPr="00652C2C">
        <w:rPr>
          <w:rFonts w:ascii="Verdana" w:eastAsiaTheme="minorHAnsi" w:hAnsi="Verdana" w:cs="Verdana"/>
          <w:sz w:val="20"/>
          <w:szCs w:val="20"/>
        </w:rPr>
        <w:t>é</w:t>
      </w:r>
      <w:r w:rsidRPr="00652C2C">
        <w:rPr>
          <w:rFonts w:ascii="Verdana" w:eastAsiaTheme="minorHAnsi" w:hAnsi="Verdana" w:cs="Verdana"/>
          <w:sz w:val="20"/>
          <w:szCs w:val="20"/>
        </w:rPr>
        <w:t xml:space="preserve"> normas de </w:t>
      </w:r>
      <w:r w:rsidR="00A37AB9" w:rsidRPr="00652C2C">
        <w:rPr>
          <w:rFonts w:ascii="Verdana" w:eastAsiaTheme="minorHAnsi" w:hAnsi="Verdana" w:cs="Verdana"/>
          <w:sz w:val="20"/>
          <w:szCs w:val="20"/>
        </w:rPr>
        <w:t>interpretación</w:t>
      </w:r>
      <w:r w:rsidRPr="00652C2C">
        <w:rPr>
          <w:rFonts w:ascii="Verdana" w:eastAsiaTheme="minorHAnsi" w:hAnsi="Verdana" w:cs="Verdana"/>
          <w:sz w:val="20"/>
          <w:szCs w:val="20"/>
        </w:rPr>
        <w:t xml:space="preserve"> se deben aplicar para brindar una mayor protección</w:t>
      </w:r>
      <w:r w:rsidR="00965F52" w:rsidRPr="00652C2C">
        <w:rPr>
          <w:rFonts w:ascii="Verdana" w:eastAsiaTheme="minorHAnsi" w:hAnsi="Verdana" w:cs="Verdana"/>
          <w:sz w:val="20"/>
          <w:szCs w:val="20"/>
        </w:rPr>
        <w:t xml:space="preserve"> </w:t>
      </w:r>
      <w:r w:rsidR="00652C2C">
        <w:rPr>
          <w:rFonts w:ascii="Verdana" w:eastAsiaTheme="minorHAnsi" w:hAnsi="Verdana" w:cs="Verdana"/>
          <w:sz w:val="20"/>
          <w:szCs w:val="20"/>
        </w:rPr>
        <w:t xml:space="preserve">a la víctima, </w:t>
      </w:r>
      <w:r w:rsidR="00965F52" w:rsidRPr="00652C2C">
        <w:rPr>
          <w:rFonts w:ascii="Verdana" w:eastAsiaTheme="minorHAnsi" w:hAnsi="Verdana" w:cs="Verdana"/>
          <w:sz w:val="20"/>
          <w:szCs w:val="20"/>
        </w:rPr>
        <w:t xml:space="preserve">y </w:t>
      </w:r>
      <w:r w:rsidRPr="00652C2C">
        <w:rPr>
          <w:rFonts w:ascii="Verdana" w:eastAsiaTheme="minorHAnsi" w:hAnsi="Verdana" w:cs="Verdana"/>
          <w:sz w:val="20"/>
          <w:szCs w:val="20"/>
        </w:rPr>
        <w:t xml:space="preserve"> para valorar si existe o no una violación a los derechos sociales que se aleguen. </w:t>
      </w:r>
    </w:p>
    <w:p w14:paraId="3034D294" w14:textId="77777777" w:rsidR="00971EA4" w:rsidRPr="004E66B4" w:rsidRDefault="00971EA4" w:rsidP="00AD360E">
      <w:pPr>
        <w:pStyle w:val="ListParagraph"/>
        <w:widowControl w:val="0"/>
        <w:autoSpaceDE w:val="0"/>
        <w:autoSpaceDN w:val="0"/>
        <w:adjustRightInd w:val="0"/>
        <w:ind w:left="0" w:right="49"/>
        <w:jc w:val="both"/>
        <w:rPr>
          <w:rFonts w:ascii="Verdana" w:hAnsi="Verdana" w:cs="Times New Roman"/>
          <w:sz w:val="20"/>
          <w:szCs w:val="20"/>
        </w:rPr>
      </w:pPr>
    </w:p>
    <w:p w14:paraId="757F49F6" w14:textId="618D0C26" w:rsidR="00971EA4" w:rsidRPr="004E66B4" w:rsidRDefault="00971EA4"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4E66B4">
        <w:rPr>
          <w:rFonts w:ascii="Verdana" w:hAnsi="Verdana" w:cs="Times New Roman"/>
          <w:sz w:val="20"/>
          <w:szCs w:val="20"/>
        </w:rPr>
        <w:lastRenderedPageBreak/>
        <w:t>Com</w:t>
      </w:r>
      <w:r w:rsidR="00195059">
        <w:rPr>
          <w:rFonts w:ascii="Verdana" w:hAnsi="Verdana" w:cs="Times New Roman"/>
          <w:sz w:val="20"/>
          <w:szCs w:val="20"/>
        </w:rPr>
        <w:t xml:space="preserve">plementando </w:t>
      </w:r>
      <w:r w:rsidRPr="004E66B4">
        <w:rPr>
          <w:rFonts w:ascii="Verdana" w:hAnsi="Verdana" w:cs="Times New Roman"/>
          <w:sz w:val="20"/>
          <w:szCs w:val="20"/>
        </w:rPr>
        <w:t>este análisis, la Corte IDH concluye una serie de obligaciones que, en principio</w:t>
      </w:r>
      <w:r w:rsidR="00A75D43">
        <w:rPr>
          <w:rFonts w:ascii="Verdana" w:hAnsi="Verdana" w:cs="Times New Roman"/>
          <w:sz w:val="20"/>
          <w:szCs w:val="20"/>
        </w:rPr>
        <w:t>, se</w:t>
      </w:r>
      <w:r w:rsidRPr="004E66B4">
        <w:rPr>
          <w:rFonts w:ascii="Verdana" w:hAnsi="Verdana" w:cs="Times New Roman"/>
          <w:sz w:val="20"/>
          <w:szCs w:val="20"/>
        </w:rPr>
        <w:t xml:space="preserve"> traducen en los siguientes deberes: “</w:t>
      </w:r>
      <w:r w:rsidRPr="004E66B4">
        <w:rPr>
          <w:rFonts w:ascii="Verdana" w:hAnsi="Verdana"/>
          <w:sz w:val="20"/>
          <w:szCs w:val="20"/>
        </w:rPr>
        <w:t>a) adoptar las medidas adecuadas para la debi</w:t>
      </w:r>
      <w:r w:rsidR="00195059">
        <w:rPr>
          <w:rFonts w:ascii="Verdana" w:hAnsi="Verdana"/>
          <w:sz w:val="20"/>
          <w:szCs w:val="20"/>
        </w:rPr>
        <w:t>da regulación y fiscalización [del derecho al trabajo]</w:t>
      </w:r>
      <w:r w:rsidRPr="004E66B4">
        <w:rPr>
          <w:rFonts w:ascii="Verdana" w:hAnsi="Verdana"/>
          <w:sz w:val="20"/>
          <w:szCs w:val="20"/>
        </w:rPr>
        <w:t xml:space="preserve">; b) proteger al trabajador y trabajadora, a través de sus órganos competentes, contra el despido injustificado, c) en caso de despido injustificado, remediar la situación (ya sea, a través de la reinstalación o, en su caso, mediante la indemnización y otras prestaciones previstas en la legislación nacional). Por ende, d) el Estado debe </w:t>
      </w:r>
      <w:r w:rsidRPr="004E66B4">
        <w:rPr>
          <w:rFonts w:ascii="Verdana" w:hAnsi="Verdana" w:cs="Verdana"/>
          <w:sz w:val="20"/>
          <w:szCs w:val="20"/>
        </w:rPr>
        <w:t>disponer de mecanismos efectivos de reclamo frente</w:t>
      </w:r>
      <w:r w:rsidRPr="004E66B4">
        <w:rPr>
          <w:rFonts w:ascii="Verdana" w:hAnsi="Verdana"/>
          <w:sz w:val="20"/>
          <w:szCs w:val="20"/>
        </w:rPr>
        <w:t xml:space="preserve"> a una situación de despido injustificado, a fin de garantizar el acceso a la justicia y la tutela judicial efectiva de tales derechos</w:t>
      </w:r>
      <w:r w:rsidR="004C2ED5">
        <w:rPr>
          <w:rFonts w:ascii="Verdana" w:hAnsi="Verdana"/>
          <w:sz w:val="20"/>
          <w:szCs w:val="20"/>
        </w:rPr>
        <w:t>”</w:t>
      </w:r>
      <w:r w:rsidRPr="004E66B4">
        <w:rPr>
          <w:rStyle w:val="FootnoteReference"/>
          <w:rFonts w:ascii="Verdana" w:hAnsi="Verdana"/>
          <w:sz w:val="20"/>
          <w:szCs w:val="20"/>
        </w:rPr>
        <w:footnoteReference w:id="33"/>
      </w:r>
      <w:r w:rsidRPr="004E66B4">
        <w:rPr>
          <w:rFonts w:ascii="Verdana" w:hAnsi="Verdana"/>
          <w:sz w:val="20"/>
          <w:szCs w:val="20"/>
        </w:rPr>
        <w:t>.</w:t>
      </w:r>
      <w:r w:rsidR="00A37AB9" w:rsidRPr="004E66B4">
        <w:rPr>
          <w:rFonts w:ascii="Verdana" w:hAnsi="Verdana"/>
          <w:sz w:val="20"/>
          <w:szCs w:val="20"/>
        </w:rPr>
        <w:t xml:space="preserve"> Es decir, </w:t>
      </w:r>
      <w:r w:rsidR="00195059">
        <w:rPr>
          <w:rFonts w:ascii="Verdana" w:hAnsi="Verdana"/>
          <w:sz w:val="20"/>
          <w:szCs w:val="20"/>
        </w:rPr>
        <w:t xml:space="preserve">la Corte IDH </w:t>
      </w:r>
      <w:r w:rsidR="00A37AB9" w:rsidRPr="004E66B4">
        <w:rPr>
          <w:rFonts w:ascii="Verdana" w:hAnsi="Verdana"/>
          <w:sz w:val="20"/>
          <w:szCs w:val="20"/>
        </w:rPr>
        <w:t xml:space="preserve">identifica </w:t>
      </w:r>
      <w:r w:rsidR="00ED21FB" w:rsidRPr="004E66B4">
        <w:rPr>
          <w:rFonts w:ascii="Verdana" w:hAnsi="Verdana"/>
          <w:sz w:val="20"/>
          <w:szCs w:val="20"/>
        </w:rPr>
        <w:t xml:space="preserve">obligaciones concretas en relación </w:t>
      </w:r>
      <w:r w:rsidR="00305AB2">
        <w:rPr>
          <w:rFonts w:ascii="Verdana" w:hAnsi="Verdana"/>
          <w:sz w:val="20"/>
          <w:szCs w:val="20"/>
        </w:rPr>
        <w:t>con el</w:t>
      </w:r>
      <w:r w:rsidR="00ED21FB" w:rsidRPr="004E66B4">
        <w:rPr>
          <w:rFonts w:ascii="Verdana" w:hAnsi="Verdana"/>
          <w:sz w:val="20"/>
          <w:szCs w:val="20"/>
        </w:rPr>
        <w:t xml:space="preserve"> derecho al trabajo (estabilidad laboral). </w:t>
      </w:r>
    </w:p>
    <w:p w14:paraId="2F45462C" w14:textId="77777777" w:rsidR="00971EA4" w:rsidRPr="004E66B4" w:rsidRDefault="00971EA4" w:rsidP="00AD360E">
      <w:pPr>
        <w:widowControl w:val="0"/>
        <w:autoSpaceDE w:val="0"/>
        <w:autoSpaceDN w:val="0"/>
        <w:adjustRightInd w:val="0"/>
        <w:ind w:right="49"/>
        <w:jc w:val="both"/>
        <w:rPr>
          <w:rFonts w:ascii="Verdana" w:hAnsi="Verdana" w:cs="Times New Roman"/>
          <w:sz w:val="20"/>
          <w:szCs w:val="20"/>
        </w:rPr>
      </w:pPr>
    </w:p>
    <w:p w14:paraId="4FC3F6F2" w14:textId="66625DBC" w:rsidR="00971EA4" w:rsidRPr="005B3CA3" w:rsidRDefault="00195059"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E</w:t>
      </w:r>
      <w:r w:rsidR="00971EA4" w:rsidRPr="004E66B4">
        <w:rPr>
          <w:rFonts w:ascii="Verdana" w:hAnsi="Verdana" w:cs="Times New Roman"/>
          <w:sz w:val="20"/>
          <w:szCs w:val="20"/>
        </w:rPr>
        <w:t xml:space="preserve">n cuanto </w:t>
      </w:r>
      <w:r w:rsidR="009058DE">
        <w:rPr>
          <w:rFonts w:ascii="Verdana" w:hAnsi="Verdana" w:cs="Times New Roman"/>
          <w:sz w:val="20"/>
          <w:szCs w:val="20"/>
        </w:rPr>
        <w:t xml:space="preserve">a </w:t>
      </w:r>
      <w:r w:rsidR="00971EA4" w:rsidRPr="004E66B4">
        <w:rPr>
          <w:rFonts w:ascii="Verdana" w:hAnsi="Verdana" w:cs="Times New Roman"/>
          <w:sz w:val="20"/>
          <w:szCs w:val="20"/>
        </w:rPr>
        <w:t>la violación del derecho a la estabilidad laboral como parte del derecho a</w:t>
      </w:r>
      <w:r>
        <w:rPr>
          <w:rFonts w:ascii="Verdana" w:hAnsi="Verdana" w:cs="Times New Roman"/>
          <w:sz w:val="20"/>
          <w:szCs w:val="20"/>
        </w:rPr>
        <w:t>l trabajo, la Corte IDH concluye</w:t>
      </w:r>
      <w:r w:rsidR="00971EA4" w:rsidRPr="004E66B4">
        <w:rPr>
          <w:rFonts w:ascii="Verdana" w:hAnsi="Verdana" w:cs="Times New Roman"/>
          <w:sz w:val="20"/>
          <w:szCs w:val="20"/>
        </w:rPr>
        <w:t xml:space="preserve"> que: </w:t>
      </w:r>
    </w:p>
    <w:p w14:paraId="2BE57B9B" w14:textId="77777777" w:rsidR="00971EA4" w:rsidRPr="004E66B4" w:rsidRDefault="00971EA4" w:rsidP="00AD360E">
      <w:pPr>
        <w:pStyle w:val="ListParagraph"/>
        <w:widowControl w:val="0"/>
        <w:autoSpaceDE w:val="0"/>
        <w:autoSpaceDN w:val="0"/>
        <w:adjustRightInd w:val="0"/>
        <w:ind w:left="0" w:right="855"/>
        <w:jc w:val="both"/>
        <w:rPr>
          <w:rFonts w:ascii="Verdana" w:hAnsi="Verdana" w:cs="Times New Roman"/>
          <w:sz w:val="16"/>
          <w:szCs w:val="16"/>
        </w:rPr>
      </w:pPr>
      <w:r w:rsidRPr="004E66B4">
        <w:rPr>
          <w:rFonts w:ascii="Verdana" w:hAnsi="Verdana" w:cs="Times New Roman"/>
          <w:sz w:val="20"/>
          <w:szCs w:val="20"/>
        </w:rPr>
        <w:t xml:space="preserve"> </w:t>
      </w:r>
    </w:p>
    <w:p w14:paraId="1DC3AD0C" w14:textId="51866ECC" w:rsidR="00971EA4" w:rsidRPr="004E66B4" w:rsidRDefault="00971EA4" w:rsidP="004B76C5">
      <w:pPr>
        <w:pStyle w:val="ListParagraph"/>
        <w:numPr>
          <w:ilvl w:val="0"/>
          <w:numId w:val="17"/>
        </w:numPr>
        <w:ind w:left="709" w:right="738" w:firstLine="0"/>
        <w:jc w:val="both"/>
        <w:rPr>
          <w:rFonts w:ascii="Verdana" w:hAnsi="Verdana"/>
          <w:sz w:val="16"/>
          <w:szCs w:val="16"/>
        </w:rPr>
      </w:pPr>
      <w:r w:rsidRPr="004E66B4">
        <w:rPr>
          <w:rFonts w:ascii="Verdana" w:hAnsi="Verdana"/>
          <w:sz w:val="16"/>
          <w:szCs w:val="16"/>
        </w:rPr>
        <w:t>En el caso concreto, el señor Lagos del Campo había trabajado como obrero aproximadamente 13 años en la referida empresa, y al momento de los hechos ocupaba el cargo de Presidente del Comité Electoral de la Comunidad Industrial de la empresa y delegado pleno ante el CONACI. Con motivo de las manifestaciones recogidas en la entrevista publicada en la revista La Razón, en el contexto de las elecciones internas, el señor Lagos del Campo fue despedido bajo la causal de haber realizado una falta grave de palabra contra el empleador. El señor Lagos del Campo impugnó dicha decisión ante los órganos competentes, la cual fue avalada en segunda instancia, al considerar el despido se habría dado bajo causa justificada. Dicha decisión fue recurrida ante diversas instancias internas sin haber encontrado tutela, particularmente, respecto de su derecho a la estabilidad laboral, al alegarse causas injustificadas o carentes de motivos para el despido y afectaciones al debido proceso. Es decir, frente al despido arbitrario por parte de la empresa (</w:t>
      </w:r>
      <w:r w:rsidRPr="004E66B4">
        <w:rPr>
          <w:rFonts w:ascii="Verdana" w:hAnsi="Verdana"/>
          <w:i/>
          <w:sz w:val="16"/>
          <w:szCs w:val="16"/>
        </w:rPr>
        <w:t>supra</w:t>
      </w:r>
      <w:r w:rsidR="00357AA1">
        <w:rPr>
          <w:rFonts w:ascii="Verdana" w:hAnsi="Verdana"/>
          <w:sz w:val="16"/>
          <w:szCs w:val="16"/>
        </w:rPr>
        <w:t>, párr. 132</w:t>
      </w:r>
      <w:r w:rsidRPr="004E66B4">
        <w:rPr>
          <w:rFonts w:ascii="Verdana" w:hAnsi="Verdana"/>
          <w:sz w:val="16"/>
          <w:szCs w:val="16"/>
        </w:rPr>
        <w:t xml:space="preserve">) el Estado no adoptó las medidas adecuadas para proteger la vulneración del derecho al trabajo imputable a terceros. Por ende, no se le reinstaló en su puesto de trabajo ni recibió ninguna indemnización ni los beneficios correspondientes. </w:t>
      </w:r>
    </w:p>
    <w:p w14:paraId="76D260A0" w14:textId="77777777" w:rsidR="00971EA4" w:rsidRPr="004E66B4" w:rsidRDefault="00971EA4" w:rsidP="004B76C5">
      <w:pPr>
        <w:pStyle w:val="ListParagraph"/>
        <w:ind w:left="709" w:right="738"/>
        <w:jc w:val="both"/>
        <w:rPr>
          <w:rFonts w:ascii="Verdana" w:hAnsi="Verdana"/>
          <w:sz w:val="16"/>
          <w:szCs w:val="16"/>
        </w:rPr>
      </w:pPr>
    </w:p>
    <w:p w14:paraId="7FD1CDF6" w14:textId="77777777" w:rsidR="00971EA4" w:rsidRPr="004E66B4" w:rsidRDefault="00971EA4" w:rsidP="004B76C5">
      <w:pPr>
        <w:pStyle w:val="ListParagraph"/>
        <w:numPr>
          <w:ilvl w:val="0"/>
          <w:numId w:val="17"/>
        </w:numPr>
        <w:ind w:left="709" w:right="738" w:firstLine="0"/>
        <w:jc w:val="both"/>
        <w:rPr>
          <w:rFonts w:ascii="Verdana" w:hAnsi="Verdana"/>
          <w:sz w:val="16"/>
          <w:szCs w:val="16"/>
        </w:rPr>
      </w:pPr>
      <w:r w:rsidRPr="004E66B4">
        <w:rPr>
          <w:rFonts w:ascii="Verdana" w:hAnsi="Verdana"/>
          <w:sz w:val="16"/>
          <w:szCs w:val="16"/>
        </w:rPr>
        <w:t>Con motivo de ello, el señor Lagos del Campo perdió su empleo, la posibilidad de acceder a una pensión por jubilación, así como ejercer sus derechos como representante de los trabajadores. Tal incidente tuvo como consecuencia ciertas repercusiones en su vida profesional, personal y familiar (</w:t>
      </w:r>
      <w:r w:rsidRPr="004E66B4">
        <w:rPr>
          <w:rFonts w:ascii="Verdana" w:hAnsi="Verdana"/>
          <w:i/>
          <w:sz w:val="16"/>
          <w:szCs w:val="16"/>
        </w:rPr>
        <w:t>supra,</w:t>
      </w:r>
      <w:r w:rsidRPr="004E66B4">
        <w:rPr>
          <w:rFonts w:ascii="Verdana" w:hAnsi="Verdana"/>
          <w:sz w:val="16"/>
          <w:szCs w:val="16"/>
        </w:rPr>
        <w:t xml:space="preserve"> párr. 72). […]</w:t>
      </w:r>
    </w:p>
    <w:p w14:paraId="2ED74FAD" w14:textId="77777777" w:rsidR="00971EA4" w:rsidRPr="004E66B4" w:rsidRDefault="00971EA4" w:rsidP="004B76C5">
      <w:pPr>
        <w:ind w:right="738"/>
        <w:jc w:val="both"/>
        <w:rPr>
          <w:rFonts w:ascii="Verdana" w:hAnsi="Verdana"/>
          <w:b/>
          <w:sz w:val="16"/>
          <w:szCs w:val="16"/>
        </w:rPr>
      </w:pPr>
    </w:p>
    <w:p w14:paraId="15187CB0" w14:textId="67C5985F" w:rsidR="00971EA4" w:rsidRPr="004E66B4" w:rsidRDefault="00971EA4" w:rsidP="004B76C5">
      <w:pPr>
        <w:pStyle w:val="ListParagraph"/>
        <w:numPr>
          <w:ilvl w:val="0"/>
          <w:numId w:val="17"/>
        </w:numPr>
        <w:ind w:left="709" w:right="738" w:firstLine="0"/>
        <w:jc w:val="both"/>
        <w:rPr>
          <w:rFonts w:ascii="Verdana" w:hAnsi="Verdana"/>
          <w:sz w:val="16"/>
          <w:szCs w:val="16"/>
        </w:rPr>
      </w:pPr>
      <w:r w:rsidRPr="004E66B4">
        <w:rPr>
          <w:rFonts w:ascii="Verdana" w:hAnsi="Verdana"/>
          <w:sz w:val="16"/>
          <w:szCs w:val="16"/>
        </w:rPr>
        <w:t xml:space="preserve">En vista de lo anterior, </w:t>
      </w:r>
      <w:r w:rsidRPr="004E66B4">
        <w:rPr>
          <w:rFonts w:ascii="Verdana" w:hAnsi="Verdana"/>
          <w:sz w:val="16"/>
          <w:szCs w:val="16"/>
          <w:u w:val="single"/>
        </w:rPr>
        <w:t>la Corte concluye que, con motivo del despido arbitrario del señor Lagos del Campo, se le privó de su empleo y demás beneficios derivados de la seguridad social,</w:t>
      </w:r>
      <w:r w:rsidRPr="004E66B4">
        <w:rPr>
          <w:rFonts w:ascii="Verdana" w:hAnsi="Verdana"/>
          <w:sz w:val="16"/>
          <w:szCs w:val="16"/>
        </w:rPr>
        <w:t xml:space="preserve"> ante lo cual </w:t>
      </w:r>
      <w:r w:rsidRPr="004E66B4">
        <w:rPr>
          <w:rFonts w:ascii="Verdana" w:hAnsi="Verdana"/>
          <w:b/>
          <w:sz w:val="16"/>
          <w:szCs w:val="16"/>
        </w:rPr>
        <w:t>el Estado peruano no tuteló el derecho a la estabilidad laboral, en interpretación del artículo 26 de la Convención Americana, en relación con los artículos 1.1, 13, 8 y 16</w:t>
      </w:r>
      <w:r w:rsidRPr="004E66B4">
        <w:rPr>
          <w:rFonts w:ascii="Verdana" w:hAnsi="Verdana"/>
          <w:sz w:val="16"/>
          <w:szCs w:val="16"/>
        </w:rPr>
        <w:t xml:space="preserve"> de la misma, en perjuicio del señor Lagos del Campo</w:t>
      </w:r>
      <w:r w:rsidR="00DD3372">
        <w:rPr>
          <w:rStyle w:val="FootnoteReference"/>
          <w:rFonts w:ascii="Verdana" w:hAnsi="Verdana"/>
          <w:sz w:val="16"/>
          <w:szCs w:val="16"/>
        </w:rPr>
        <w:footnoteReference w:id="34"/>
      </w:r>
      <w:r w:rsidRPr="004E66B4">
        <w:rPr>
          <w:rFonts w:ascii="Verdana" w:hAnsi="Verdana"/>
          <w:sz w:val="16"/>
          <w:szCs w:val="16"/>
        </w:rPr>
        <w:t>.</w:t>
      </w:r>
    </w:p>
    <w:p w14:paraId="6774216F" w14:textId="77777777" w:rsidR="00971EA4" w:rsidRPr="004E66B4" w:rsidRDefault="00971EA4" w:rsidP="00AD360E">
      <w:pPr>
        <w:jc w:val="both"/>
        <w:rPr>
          <w:rFonts w:ascii="Verdana" w:hAnsi="Verdana"/>
          <w:sz w:val="20"/>
          <w:szCs w:val="20"/>
        </w:rPr>
      </w:pPr>
    </w:p>
    <w:p w14:paraId="6D3393AF" w14:textId="5E5D679C" w:rsidR="00971EA4" w:rsidRPr="004E66B4" w:rsidRDefault="00195059" w:rsidP="00AD360E">
      <w:pPr>
        <w:pStyle w:val="ListParagraph"/>
        <w:numPr>
          <w:ilvl w:val="0"/>
          <w:numId w:val="2"/>
        </w:numPr>
        <w:ind w:left="0" w:firstLine="0"/>
        <w:jc w:val="both"/>
        <w:rPr>
          <w:rFonts w:ascii="Verdana" w:hAnsi="Verdana"/>
          <w:b/>
          <w:bCs/>
          <w:sz w:val="20"/>
          <w:szCs w:val="20"/>
          <w:u w:val="single"/>
        </w:rPr>
      </w:pPr>
      <w:r>
        <w:rPr>
          <w:rFonts w:ascii="Verdana" w:hAnsi="Verdana"/>
          <w:bCs/>
          <w:sz w:val="20"/>
          <w:szCs w:val="20"/>
        </w:rPr>
        <w:t xml:space="preserve">Como se </w:t>
      </w:r>
      <w:r w:rsidR="00971EA4" w:rsidRPr="004E66B4">
        <w:rPr>
          <w:rFonts w:ascii="Verdana" w:hAnsi="Verdana"/>
          <w:bCs/>
          <w:sz w:val="20"/>
          <w:szCs w:val="20"/>
        </w:rPr>
        <w:t>hace alusión en la Sentencia:</w:t>
      </w:r>
      <w:r w:rsidR="00A75D43">
        <w:rPr>
          <w:rFonts w:ascii="Verdana" w:hAnsi="Verdana"/>
          <w:bCs/>
          <w:sz w:val="20"/>
          <w:szCs w:val="20"/>
        </w:rPr>
        <w:t xml:space="preserve"> “[…] l</w:t>
      </w:r>
      <w:r w:rsidR="00971EA4" w:rsidRPr="004E66B4">
        <w:rPr>
          <w:rFonts w:ascii="Verdana" w:hAnsi="Verdana"/>
          <w:bCs/>
          <w:sz w:val="20"/>
          <w:szCs w:val="20"/>
        </w:rPr>
        <w:t xml:space="preserve">a Corte ha establecido […] su competencia para conocer y resolver controversias relativas al artículo 26 de la Convención Americana, como parte integrante de los </w:t>
      </w:r>
      <w:r>
        <w:rPr>
          <w:rFonts w:ascii="Verdana" w:hAnsi="Verdana"/>
          <w:bCs/>
          <w:sz w:val="20"/>
          <w:szCs w:val="20"/>
        </w:rPr>
        <w:t>derechos enumerados en la misma. Al respecto,</w:t>
      </w:r>
      <w:r w:rsidR="00971EA4" w:rsidRPr="004E66B4">
        <w:rPr>
          <w:rFonts w:ascii="Verdana" w:hAnsi="Verdana"/>
          <w:bCs/>
          <w:sz w:val="20"/>
          <w:szCs w:val="20"/>
        </w:rPr>
        <w:t xml:space="preserve"> el artículo 1.1 </w:t>
      </w:r>
      <w:r>
        <w:rPr>
          <w:rFonts w:ascii="Verdana" w:hAnsi="Verdana"/>
          <w:bCs/>
          <w:sz w:val="20"/>
          <w:szCs w:val="20"/>
        </w:rPr>
        <w:t xml:space="preserve">de la Convención Americana </w:t>
      </w:r>
      <w:r w:rsidR="00971EA4" w:rsidRPr="004E66B4">
        <w:rPr>
          <w:rFonts w:ascii="Verdana" w:hAnsi="Verdana"/>
          <w:bCs/>
          <w:sz w:val="20"/>
          <w:szCs w:val="20"/>
        </w:rPr>
        <w:t>confiere obligaciones general</w:t>
      </w:r>
      <w:r>
        <w:rPr>
          <w:rFonts w:ascii="Verdana" w:hAnsi="Verdana"/>
          <w:bCs/>
          <w:sz w:val="20"/>
          <w:szCs w:val="20"/>
        </w:rPr>
        <w:t>es</w:t>
      </w:r>
      <w:r w:rsidR="00971EA4" w:rsidRPr="004E66B4">
        <w:rPr>
          <w:rFonts w:ascii="Verdana" w:hAnsi="Verdana"/>
          <w:bCs/>
          <w:sz w:val="20"/>
          <w:szCs w:val="20"/>
        </w:rPr>
        <w:t xml:space="preserve"> de respecto y garantía a los Estados  [en materia de derechos económicos, sociales, culturales y ambientales]. Asimismo, la Corte ha dispuesto importantes desarrollos jurisprudenciales en la materia a la luz de diversos artículos convencionales […]”. Y agrega: </w:t>
      </w:r>
    </w:p>
    <w:p w14:paraId="6EB5A425" w14:textId="77777777" w:rsidR="00971EA4" w:rsidRPr="004E66B4" w:rsidRDefault="00971EA4" w:rsidP="00AD360E">
      <w:pPr>
        <w:pStyle w:val="ListParagraph"/>
        <w:ind w:left="0"/>
        <w:jc w:val="both"/>
        <w:rPr>
          <w:rFonts w:ascii="Verdana" w:hAnsi="Verdana"/>
          <w:b/>
          <w:bCs/>
          <w:sz w:val="20"/>
          <w:szCs w:val="20"/>
          <w:u w:val="single"/>
        </w:rPr>
      </w:pPr>
      <w:r w:rsidRPr="004E66B4">
        <w:rPr>
          <w:rFonts w:ascii="Verdana" w:hAnsi="Verdana"/>
          <w:bCs/>
          <w:sz w:val="20"/>
          <w:szCs w:val="20"/>
        </w:rPr>
        <w:t xml:space="preserve"> </w:t>
      </w:r>
    </w:p>
    <w:p w14:paraId="49671E25" w14:textId="181F881B" w:rsidR="00971EA4" w:rsidRPr="004E66B4" w:rsidRDefault="00971EA4" w:rsidP="004B76C5">
      <w:pPr>
        <w:pStyle w:val="ListParagraph"/>
        <w:ind w:left="708" w:right="738"/>
        <w:jc w:val="both"/>
        <w:rPr>
          <w:rFonts w:ascii="Verdana" w:hAnsi="Verdana"/>
          <w:bCs/>
          <w:sz w:val="16"/>
          <w:szCs w:val="16"/>
          <w:u w:val="single"/>
        </w:rPr>
      </w:pPr>
      <w:r w:rsidRPr="004E66B4">
        <w:rPr>
          <w:rFonts w:ascii="Verdana" w:hAnsi="Verdana"/>
          <w:bCs/>
          <w:sz w:val="16"/>
          <w:szCs w:val="16"/>
        </w:rPr>
        <w:t xml:space="preserve">154. […]En atención a estos precedentes, </w:t>
      </w:r>
      <w:r w:rsidRPr="004E66B4">
        <w:rPr>
          <w:rFonts w:ascii="Verdana" w:hAnsi="Verdana"/>
          <w:b/>
          <w:bCs/>
          <w:sz w:val="16"/>
          <w:szCs w:val="16"/>
        </w:rPr>
        <w:t xml:space="preserve">con esta Sentencia se desarrolla y concreta una condena específica por la violación del artículo 26 de la Convención </w:t>
      </w:r>
      <w:r w:rsidRPr="004E66B4">
        <w:rPr>
          <w:rFonts w:ascii="Verdana" w:hAnsi="Verdana"/>
          <w:b/>
          <w:bCs/>
          <w:sz w:val="16"/>
          <w:szCs w:val="16"/>
        </w:rPr>
        <w:lastRenderedPageBreak/>
        <w:t>Americana sobre Derechos Humanos</w:t>
      </w:r>
      <w:r w:rsidRPr="004E66B4">
        <w:rPr>
          <w:rFonts w:ascii="Verdana" w:hAnsi="Verdana"/>
          <w:bCs/>
          <w:sz w:val="16"/>
          <w:szCs w:val="16"/>
        </w:rPr>
        <w:t xml:space="preserve">, </w:t>
      </w:r>
      <w:r w:rsidRPr="004E66B4">
        <w:rPr>
          <w:rFonts w:ascii="Verdana" w:hAnsi="Verdana"/>
          <w:bCs/>
          <w:i/>
          <w:sz w:val="16"/>
          <w:szCs w:val="16"/>
        </w:rPr>
        <w:t>dispuesto en el Capítulo III, titulado Derechos Económicos, Sociales y Culturales de este tratado</w:t>
      </w:r>
      <w:r w:rsidR="00DD3372">
        <w:rPr>
          <w:rStyle w:val="FootnoteReference"/>
          <w:rFonts w:ascii="Verdana" w:hAnsi="Verdana"/>
          <w:bCs/>
          <w:i/>
          <w:sz w:val="16"/>
          <w:szCs w:val="16"/>
        </w:rPr>
        <w:footnoteReference w:id="35"/>
      </w:r>
      <w:r w:rsidRPr="004E66B4">
        <w:rPr>
          <w:rFonts w:ascii="Verdana" w:hAnsi="Verdana"/>
          <w:bCs/>
          <w:sz w:val="16"/>
          <w:szCs w:val="16"/>
        </w:rPr>
        <w:t>.</w:t>
      </w:r>
      <w:r w:rsidRPr="004E66B4">
        <w:rPr>
          <w:rFonts w:ascii="Verdana" w:hAnsi="Verdana"/>
          <w:bCs/>
          <w:sz w:val="16"/>
          <w:szCs w:val="16"/>
          <w:u w:val="single"/>
        </w:rPr>
        <w:t xml:space="preserve"> </w:t>
      </w:r>
    </w:p>
    <w:p w14:paraId="13FC5147" w14:textId="77777777" w:rsidR="00971EA4" w:rsidRPr="004E66B4" w:rsidRDefault="00971EA4" w:rsidP="00AD360E">
      <w:pPr>
        <w:widowControl w:val="0"/>
        <w:autoSpaceDE w:val="0"/>
        <w:autoSpaceDN w:val="0"/>
        <w:adjustRightInd w:val="0"/>
        <w:ind w:right="49"/>
        <w:jc w:val="both"/>
        <w:rPr>
          <w:rFonts w:ascii="Verdana" w:hAnsi="Verdana" w:cs="Times New Roman"/>
          <w:sz w:val="20"/>
          <w:szCs w:val="20"/>
        </w:rPr>
      </w:pPr>
    </w:p>
    <w:p w14:paraId="174774B3" w14:textId="7C16927C" w:rsidR="00DC6005" w:rsidRDefault="005C3E8D"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Este primer análisis nos ha permitido observar que</w:t>
      </w:r>
      <w:r w:rsidR="00971EA4" w:rsidRPr="004E66B4">
        <w:rPr>
          <w:rFonts w:ascii="Verdana" w:hAnsi="Verdana" w:cs="Times New Roman"/>
          <w:sz w:val="20"/>
          <w:szCs w:val="20"/>
        </w:rPr>
        <w:t xml:space="preserve"> la Corte IDH </w:t>
      </w:r>
      <w:r>
        <w:rPr>
          <w:rFonts w:ascii="Verdana" w:hAnsi="Verdana" w:cs="Times New Roman"/>
          <w:sz w:val="20"/>
          <w:szCs w:val="20"/>
        </w:rPr>
        <w:t>desarrolla</w:t>
      </w:r>
      <w:r w:rsidR="00971EA4" w:rsidRPr="004E66B4">
        <w:rPr>
          <w:rFonts w:ascii="Verdana" w:hAnsi="Verdana" w:cs="Times New Roman"/>
          <w:sz w:val="20"/>
          <w:szCs w:val="20"/>
        </w:rPr>
        <w:t xml:space="preserve"> la violación del artículo 26 </w:t>
      </w:r>
      <w:r>
        <w:rPr>
          <w:rFonts w:ascii="Verdana" w:hAnsi="Verdana" w:cs="Times New Roman"/>
          <w:sz w:val="20"/>
          <w:szCs w:val="20"/>
        </w:rPr>
        <w:t xml:space="preserve">de la Convención Americana, </w:t>
      </w:r>
      <w:r w:rsidR="00971EA4" w:rsidRPr="004E66B4">
        <w:rPr>
          <w:rFonts w:ascii="Verdana" w:hAnsi="Verdana" w:cs="Times New Roman"/>
          <w:sz w:val="20"/>
          <w:szCs w:val="20"/>
        </w:rPr>
        <w:t>concretamente</w:t>
      </w:r>
      <w:r>
        <w:rPr>
          <w:rFonts w:ascii="Verdana" w:hAnsi="Verdana" w:cs="Times New Roman"/>
          <w:sz w:val="20"/>
          <w:szCs w:val="20"/>
        </w:rPr>
        <w:t>,</w:t>
      </w:r>
      <w:r w:rsidR="00971EA4" w:rsidRPr="004E66B4">
        <w:rPr>
          <w:rFonts w:ascii="Verdana" w:hAnsi="Verdana" w:cs="Times New Roman"/>
          <w:sz w:val="20"/>
          <w:szCs w:val="20"/>
        </w:rPr>
        <w:t xml:space="preserve"> en relación con la estabilidad laboral. En este sentido, y ello constituye la esencia del presente voto, </w:t>
      </w:r>
      <w:r w:rsidR="00971EA4" w:rsidRPr="005C3E8D">
        <w:rPr>
          <w:rFonts w:ascii="Verdana" w:hAnsi="Verdana" w:cs="Times New Roman"/>
          <w:sz w:val="20"/>
          <w:szCs w:val="20"/>
        </w:rPr>
        <w:t xml:space="preserve">este mismo análisis </w:t>
      </w:r>
      <w:r w:rsidR="00A75D43" w:rsidRPr="005C3E8D">
        <w:rPr>
          <w:rFonts w:ascii="Verdana" w:hAnsi="Verdana" w:cs="Times New Roman"/>
          <w:sz w:val="20"/>
          <w:szCs w:val="20"/>
        </w:rPr>
        <w:t>pudo</w:t>
      </w:r>
      <w:r w:rsidR="009058DE" w:rsidRPr="005C3E8D">
        <w:rPr>
          <w:rFonts w:ascii="Verdana" w:hAnsi="Verdana" w:cs="Times New Roman"/>
          <w:sz w:val="20"/>
          <w:szCs w:val="20"/>
        </w:rPr>
        <w:t xml:space="preserve"> haberse </w:t>
      </w:r>
      <w:r>
        <w:rPr>
          <w:rFonts w:ascii="Verdana" w:hAnsi="Verdana" w:cs="Times New Roman"/>
          <w:sz w:val="20"/>
          <w:szCs w:val="20"/>
        </w:rPr>
        <w:t>seguido</w:t>
      </w:r>
      <w:r w:rsidR="00971EA4" w:rsidRPr="005C3E8D">
        <w:rPr>
          <w:rFonts w:ascii="Verdana" w:hAnsi="Verdana" w:cs="Times New Roman"/>
          <w:sz w:val="20"/>
          <w:szCs w:val="20"/>
        </w:rPr>
        <w:t xml:space="preserve"> en la afectación del derecho de asociación laboral para la protección y promoción de los intereses de los trabajadores</w:t>
      </w:r>
      <w:r>
        <w:rPr>
          <w:rFonts w:ascii="Verdana" w:hAnsi="Verdana" w:cs="Times New Roman"/>
          <w:sz w:val="20"/>
          <w:szCs w:val="20"/>
        </w:rPr>
        <w:t>. De</w:t>
      </w:r>
      <w:r w:rsidR="00A75D43" w:rsidRPr="005C3E8D">
        <w:rPr>
          <w:rFonts w:ascii="Verdana" w:hAnsi="Verdana" w:cs="Times New Roman"/>
          <w:sz w:val="20"/>
          <w:szCs w:val="20"/>
        </w:rPr>
        <w:t xml:space="preserve"> esta</w:t>
      </w:r>
      <w:r w:rsidR="00A75D43">
        <w:rPr>
          <w:rFonts w:ascii="Verdana" w:hAnsi="Verdana" w:cs="Times New Roman"/>
          <w:sz w:val="20"/>
          <w:szCs w:val="20"/>
        </w:rPr>
        <w:t xml:space="preserve"> forma </w:t>
      </w:r>
      <w:r>
        <w:rPr>
          <w:rFonts w:ascii="Verdana" w:hAnsi="Verdana" w:cs="Times New Roman"/>
          <w:sz w:val="20"/>
          <w:szCs w:val="20"/>
        </w:rPr>
        <w:t xml:space="preserve">se pudo </w:t>
      </w:r>
      <w:r w:rsidR="00D23F2F">
        <w:rPr>
          <w:rFonts w:ascii="Verdana" w:hAnsi="Verdana" w:cs="Times New Roman"/>
          <w:sz w:val="20"/>
          <w:szCs w:val="20"/>
        </w:rPr>
        <w:t xml:space="preserve">haber establecido </w:t>
      </w:r>
      <w:r w:rsidR="00805560" w:rsidRPr="004E66B4">
        <w:rPr>
          <w:rFonts w:ascii="Verdana" w:hAnsi="Verdana" w:cs="Times New Roman"/>
          <w:sz w:val="20"/>
          <w:szCs w:val="20"/>
        </w:rPr>
        <w:t xml:space="preserve">las diferencias con la jurisprudencia anterior en materia de asociación sindical. </w:t>
      </w:r>
    </w:p>
    <w:p w14:paraId="08046456" w14:textId="77777777" w:rsidR="00374FA9" w:rsidRPr="00ED5B40" w:rsidRDefault="00374FA9" w:rsidP="00AD360E">
      <w:pPr>
        <w:pStyle w:val="ListParagraph"/>
        <w:widowControl w:val="0"/>
        <w:autoSpaceDE w:val="0"/>
        <w:autoSpaceDN w:val="0"/>
        <w:adjustRightInd w:val="0"/>
        <w:ind w:left="0" w:right="49"/>
        <w:jc w:val="both"/>
        <w:rPr>
          <w:rFonts w:ascii="Verdana" w:hAnsi="Verdana" w:cs="Times New Roman"/>
          <w:sz w:val="20"/>
          <w:szCs w:val="20"/>
        </w:rPr>
      </w:pPr>
    </w:p>
    <w:p w14:paraId="116DB19E" w14:textId="178AE060" w:rsidR="00A75D43" w:rsidRDefault="0012613C" w:rsidP="00AD360E">
      <w:pPr>
        <w:pStyle w:val="ListParagraph"/>
        <w:widowControl w:val="0"/>
        <w:autoSpaceDE w:val="0"/>
        <w:autoSpaceDN w:val="0"/>
        <w:adjustRightInd w:val="0"/>
        <w:ind w:left="0"/>
        <w:jc w:val="center"/>
        <w:rPr>
          <w:rFonts w:ascii="Verdana" w:hAnsi="Verdana" w:cs="Times New Roman"/>
          <w:sz w:val="20"/>
          <w:szCs w:val="20"/>
        </w:rPr>
      </w:pPr>
      <w:r w:rsidRPr="00A75D43">
        <w:rPr>
          <w:rFonts w:ascii="Verdana" w:hAnsi="Verdana" w:cs="Times New Roman"/>
          <w:sz w:val="20"/>
          <w:szCs w:val="20"/>
        </w:rPr>
        <w:t>I</w:t>
      </w:r>
      <w:r w:rsidR="00971EA4" w:rsidRPr="00A75D43">
        <w:rPr>
          <w:rFonts w:ascii="Verdana" w:hAnsi="Verdana" w:cs="Times New Roman"/>
          <w:sz w:val="20"/>
          <w:szCs w:val="20"/>
        </w:rPr>
        <w:t>I</w:t>
      </w:r>
      <w:r w:rsidR="00A75D43" w:rsidRPr="00A75D43">
        <w:rPr>
          <w:rFonts w:ascii="Verdana" w:hAnsi="Verdana" w:cs="Times New Roman"/>
          <w:sz w:val="20"/>
          <w:szCs w:val="20"/>
        </w:rPr>
        <w:t>.</w:t>
      </w:r>
      <w:r w:rsidRPr="00A75D43">
        <w:rPr>
          <w:rFonts w:ascii="Verdana" w:hAnsi="Verdana" w:cs="Times New Roman"/>
          <w:sz w:val="20"/>
          <w:szCs w:val="20"/>
        </w:rPr>
        <w:t xml:space="preserve"> </w:t>
      </w:r>
      <w:r w:rsidR="00FD58B6">
        <w:rPr>
          <w:rFonts w:ascii="Verdana" w:hAnsi="Verdana" w:cs="Times New Roman"/>
          <w:sz w:val="20"/>
          <w:szCs w:val="20"/>
        </w:rPr>
        <w:t xml:space="preserve"> </w:t>
      </w:r>
      <w:r w:rsidRPr="00A75D43">
        <w:rPr>
          <w:rFonts w:ascii="Verdana" w:hAnsi="Verdana" w:cs="Times New Roman"/>
          <w:sz w:val="20"/>
          <w:szCs w:val="20"/>
        </w:rPr>
        <w:t>EL DERECHO DE ASOCIACIÓN</w:t>
      </w:r>
      <w:r w:rsidR="00D70DD6" w:rsidRPr="00A75D43">
        <w:rPr>
          <w:rFonts w:ascii="Verdana" w:hAnsi="Verdana" w:cs="Times New Roman"/>
          <w:sz w:val="20"/>
          <w:szCs w:val="20"/>
        </w:rPr>
        <w:t xml:space="preserve"> </w:t>
      </w:r>
      <w:r w:rsidRPr="00A75D43">
        <w:rPr>
          <w:rFonts w:ascii="Verdana" w:hAnsi="Verdana" w:cs="Times New Roman"/>
          <w:sz w:val="20"/>
          <w:szCs w:val="20"/>
        </w:rPr>
        <w:t xml:space="preserve">EN LA JURISPRUDENCIA DE LA </w:t>
      </w:r>
    </w:p>
    <w:p w14:paraId="32CC8CB6" w14:textId="2BCE44F6" w:rsidR="009E0482" w:rsidRDefault="0012613C" w:rsidP="00AD360E">
      <w:pPr>
        <w:pStyle w:val="ListParagraph"/>
        <w:widowControl w:val="0"/>
        <w:autoSpaceDE w:val="0"/>
        <w:autoSpaceDN w:val="0"/>
        <w:adjustRightInd w:val="0"/>
        <w:ind w:left="0"/>
        <w:jc w:val="center"/>
        <w:rPr>
          <w:rFonts w:ascii="Verdana" w:hAnsi="Verdana" w:cs="Times New Roman"/>
          <w:sz w:val="20"/>
          <w:szCs w:val="20"/>
        </w:rPr>
      </w:pPr>
      <w:r w:rsidRPr="00A75D43">
        <w:rPr>
          <w:rFonts w:ascii="Verdana" w:hAnsi="Verdana" w:cs="Times New Roman"/>
          <w:sz w:val="20"/>
          <w:szCs w:val="20"/>
        </w:rPr>
        <w:t>CORTE INTERAMERICANA DE DERECHOS HUMANOS</w:t>
      </w:r>
    </w:p>
    <w:p w14:paraId="2B89F19D" w14:textId="77777777" w:rsidR="00374FA9" w:rsidRPr="004E66B4" w:rsidRDefault="00374FA9" w:rsidP="001C21C2">
      <w:pPr>
        <w:pStyle w:val="ListParagraph"/>
        <w:widowControl w:val="0"/>
        <w:autoSpaceDE w:val="0"/>
        <w:autoSpaceDN w:val="0"/>
        <w:adjustRightInd w:val="0"/>
        <w:ind w:left="0"/>
        <w:rPr>
          <w:rFonts w:ascii="Verdana" w:hAnsi="Verdana" w:cs="Times New Roman"/>
          <w:sz w:val="20"/>
          <w:szCs w:val="20"/>
        </w:rPr>
      </w:pPr>
    </w:p>
    <w:p w14:paraId="42BE0C1E" w14:textId="50F81894" w:rsidR="001D1F4D" w:rsidRPr="004E66B4" w:rsidRDefault="00E328D6" w:rsidP="00AD360E">
      <w:pPr>
        <w:pStyle w:val="ListParagraph"/>
        <w:numPr>
          <w:ilvl w:val="0"/>
          <w:numId w:val="2"/>
        </w:numPr>
        <w:ind w:left="0" w:firstLine="0"/>
        <w:jc w:val="both"/>
        <w:rPr>
          <w:rFonts w:ascii="Verdana" w:hAnsi="Verdana" w:cs="Times New Roman"/>
          <w:sz w:val="20"/>
          <w:szCs w:val="20"/>
        </w:rPr>
      </w:pPr>
      <w:r w:rsidRPr="004E66B4">
        <w:rPr>
          <w:rFonts w:ascii="Verdana" w:hAnsi="Verdana" w:cs="Times New Roman"/>
          <w:sz w:val="20"/>
          <w:szCs w:val="20"/>
        </w:rPr>
        <w:t xml:space="preserve">El derecho de </w:t>
      </w:r>
      <w:r w:rsidR="00965F52">
        <w:rPr>
          <w:rFonts w:ascii="Verdana" w:hAnsi="Verdana" w:cs="Times New Roman"/>
          <w:sz w:val="20"/>
          <w:szCs w:val="20"/>
        </w:rPr>
        <w:t>“</w:t>
      </w:r>
      <w:r w:rsidRPr="004E66B4">
        <w:rPr>
          <w:rFonts w:ascii="Verdana" w:hAnsi="Verdana" w:cs="Times New Roman"/>
          <w:sz w:val="20"/>
          <w:szCs w:val="20"/>
        </w:rPr>
        <w:t>asociación</w:t>
      </w:r>
      <w:r w:rsidR="00965F52">
        <w:rPr>
          <w:rFonts w:ascii="Verdana" w:hAnsi="Verdana" w:cs="Times New Roman"/>
          <w:sz w:val="20"/>
          <w:szCs w:val="20"/>
        </w:rPr>
        <w:t xml:space="preserve"> laboral”</w:t>
      </w:r>
      <w:r w:rsidRPr="004E66B4">
        <w:rPr>
          <w:rFonts w:ascii="Verdana" w:hAnsi="Verdana" w:cs="Times New Roman"/>
          <w:sz w:val="20"/>
          <w:szCs w:val="20"/>
        </w:rPr>
        <w:t xml:space="preserve"> en la jurisprudencia de la Corte I</w:t>
      </w:r>
      <w:r w:rsidR="00A75D43">
        <w:rPr>
          <w:rFonts w:ascii="Verdana" w:hAnsi="Verdana" w:cs="Times New Roman"/>
          <w:sz w:val="20"/>
          <w:szCs w:val="20"/>
        </w:rPr>
        <w:t>DH</w:t>
      </w:r>
      <w:r w:rsidRPr="004E66B4">
        <w:rPr>
          <w:rFonts w:ascii="Verdana" w:hAnsi="Verdana" w:cs="Times New Roman"/>
          <w:sz w:val="20"/>
          <w:szCs w:val="20"/>
        </w:rPr>
        <w:t xml:space="preserve">, </w:t>
      </w:r>
      <w:r w:rsidR="0065705B">
        <w:rPr>
          <w:rFonts w:ascii="Verdana" w:hAnsi="Verdana" w:cs="Times New Roman"/>
          <w:sz w:val="20"/>
          <w:szCs w:val="20"/>
        </w:rPr>
        <w:t>fue abordado solo</w:t>
      </w:r>
      <w:r w:rsidR="00075518">
        <w:rPr>
          <w:rFonts w:ascii="Verdana" w:hAnsi="Verdana" w:cs="Times New Roman"/>
          <w:sz w:val="20"/>
          <w:szCs w:val="20"/>
        </w:rPr>
        <w:t xml:space="preserve"> </w:t>
      </w:r>
      <w:r w:rsidR="007A5D3F" w:rsidRPr="004E66B4">
        <w:rPr>
          <w:rFonts w:ascii="Verdana" w:hAnsi="Verdana" w:cs="Times New Roman"/>
          <w:sz w:val="20"/>
          <w:szCs w:val="20"/>
        </w:rPr>
        <w:t>en rela</w:t>
      </w:r>
      <w:r w:rsidR="00142E2B" w:rsidRPr="004E66B4">
        <w:rPr>
          <w:rFonts w:ascii="Verdana" w:hAnsi="Verdana" w:cs="Times New Roman"/>
          <w:sz w:val="20"/>
          <w:szCs w:val="20"/>
        </w:rPr>
        <w:t xml:space="preserve">ción </w:t>
      </w:r>
      <w:r w:rsidR="00305AB2">
        <w:rPr>
          <w:rFonts w:ascii="Verdana" w:hAnsi="Verdana" w:cs="Times New Roman"/>
          <w:sz w:val="20"/>
          <w:szCs w:val="20"/>
        </w:rPr>
        <w:t>con</w:t>
      </w:r>
      <w:r w:rsidR="00142E2B" w:rsidRPr="004E66B4">
        <w:rPr>
          <w:rFonts w:ascii="Verdana" w:hAnsi="Verdana" w:cs="Times New Roman"/>
          <w:sz w:val="20"/>
          <w:szCs w:val="20"/>
        </w:rPr>
        <w:t xml:space="preserve"> </w:t>
      </w:r>
      <w:r w:rsidR="000016C6" w:rsidRPr="004E66B4">
        <w:rPr>
          <w:rFonts w:ascii="Verdana" w:hAnsi="Verdana" w:cs="Times New Roman"/>
          <w:sz w:val="20"/>
          <w:szCs w:val="20"/>
        </w:rPr>
        <w:t>la temática sindical</w:t>
      </w:r>
      <w:r w:rsidR="00142E2B" w:rsidRPr="004E66B4">
        <w:rPr>
          <w:rFonts w:ascii="Verdana" w:hAnsi="Verdana" w:cs="Times New Roman"/>
          <w:sz w:val="20"/>
          <w:szCs w:val="20"/>
        </w:rPr>
        <w:t xml:space="preserve">, es decir, </w:t>
      </w:r>
      <w:r w:rsidR="00D23F2F">
        <w:rPr>
          <w:rFonts w:ascii="Verdana" w:hAnsi="Verdana" w:cs="Times New Roman"/>
          <w:sz w:val="20"/>
          <w:szCs w:val="20"/>
        </w:rPr>
        <w:t>a</w:t>
      </w:r>
      <w:r w:rsidR="007A5D3F" w:rsidRPr="004E66B4">
        <w:rPr>
          <w:rFonts w:ascii="Verdana" w:hAnsi="Verdana" w:cs="Times New Roman"/>
          <w:sz w:val="20"/>
          <w:szCs w:val="20"/>
        </w:rPr>
        <w:t>l</w:t>
      </w:r>
      <w:r w:rsidR="0065705B">
        <w:rPr>
          <w:rFonts w:ascii="Verdana" w:hAnsi="Verdana" w:cs="Times New Roman"/>
          <w:sz w:val="20"/>
          <w:szCs w:val="20"/>
        </w:rPr>
        <w:t xml:space="preserve"> derecho de asociación sindical.</w:t>
      </w:r>
      <w:r w:rsidRPr="004E66B4">
        <w:rPr>
          <w:rFonts w:ascii="Verdana" w:hAnsi="Verdana" w:cs="Times New Roman"/>
          <w:sz w:val="20"/>
          <w:szCs w:val="20"/>
        </w:rPr>
        <w:t xml:space="preserve"> </w:t>
      </w:r>
      <w:r w:rsidR="0065705B">
        <w:rPr>
          <w:rFonts w:ascii="Verdana" w:hAnsi="Verdana" w:cs="Times New Roman"/>
          <w:sz w:val="20"/>
          <w:szCs w:val="20"/>
        </w:rPr>
        <w:t>A</w:t>
      </w:r>
      <w:r w:rsidR="000016C6" w:rsidRPr="004E66B4">
        <w:rPr>
          <w:rFonts w:ascii="Verdana" w:hAnsi="Verdana" w:cs="Times New Roman"/>
          <w:sz w:val="20"/>
          <w:szCs w:val="20"/>
        </w:rPr>
        <w:t>dicionalmente</w:t>
      </w:r>
      <w:r w:rsidRPr="004E66B4">
        <w:rPr>
          <w:rFonts w:ascii="Verdana" w:hAnsi="Verdana" w:cs="Times New Roman"/>
          <w:sz w:val="20"/>
          <w:szCs w:val="20"/>
        </w:rPr>
        <w:t>, también es muy impor</w:t>
      </w:r>
      <w:r w:rsidR="007A5D3F" w:rsidRPr="004E66B4">
        <w:rPr>
          <w:rFonts w:ascii="Verdana" w:hAnsi="Verdana" w:cs="Times New Roman"/>
          <w:sz w:val="20"/>
          <w:szCs w:val="20"/>
        </w:rPr>
        <w:t>tan</w:t>
      </w:r>
      <w:r w:rsidRPr="004E66B4">
        <w:rPr>
          <w:rFonts w:ascii="Verdana" w:hAnsi="Verdana" w:cs="Times New Roman"/>
          <w:sz w:val="20"/>
          <w:szCs w:val="20"/>
        </w:rPr>
        <w:t xml:space="preserve">te puntualizar que pese </w:t>
      </w:r>
      <w:r w:rsidR="00674E6D" w:rsidRPr="004E66B4">
        <w:rPr>
          <w:rFonts w:ascii="Verdana" w:hAnsi="Verdana" w:cs="Times New Roman"/>
          <w:sz w:val="20"/>
          <w:szCs w:val="20"/>
        </w:rPr>
        <w:t xml:space="preserve">a que el artículo </w:t>
      </w:r>
      <w:r w:rsidRPr="004E66B4">
        <w:rPr>
          <w:rFonts w:ascii="Verdana" w:hAnsi="Verdana" w:cs="Times New Roman"/>
          <w:sz w:val="20"/>
          <w:szCs w:val="20"/>
        </w:rPr>
        <w:t xml:space="preserve">19.6 del Protocolo Adicional a la Convención Americana en materia de Derechos Económicos, Sociales y Culturales </w:t>
      </w:r>
      <w:r w:rsidR="007A5D3F" w:rsidRPr="004E66B4">
        <w:rPr>
          <w:rFonts w:ascii="Verdana" w:hAnsi="Verdana" w:cs="Times New Roman"/>
          <w:sz w:val="20"/>
          <w:szCs w:val="20"/>
        </w:rPr>
        <w:t>(en adelante “el Protocolo de San Salvador”)</w:t>
      </w:r>
      <w:r w:rsidR="00142E2B" w:rsidRPr="004E66B4">
        <w:rPr>
          <w:rFonts w:ascii="Verdana" w:hAnsi="Verdana" w:cs="Times New Roman"/>
          <w:sz w:val="20"/>
          <w:szCs w:val="20"/>
        </w:rPr>
        <w:t xml:space="preserve"> contempla </w:t>
      </w:r>
      <w:r w:rsidR="000016C6" w:rsidRPr="004E66B4">
        <w:rPr>
          <w:rFonts w:ascii="Verdana" w:hAnsi="Verdana" w:cs="Times New Roman"/>
          <w:sz w:val="20"/>
          <w:szCs w:val="20"/>
        </w:rPr>
        <w:t>el derecho de asociación sindical (artículo 8.1.a del Protocolo de San Salvador)</w:t>
      </w:r>
      <w:r w:rsidR="00075518">
        <w:rPr>
          <w:rFonts w:ascii="Verdana" w:hAnsi="Verdana" w:cs="Times New Roman"/>
          <w:sz w:val="20"/>
          <w:szCs w:val="20"/>
        </w:rPr>
        <w:t xml:space="preserve"> </w:t>
      </w:r>
      <w:r w:rsidR="00142E2B" w:rsidRPr="004E66B4">
        <w:rPr>
          <w:rFonts w:ascii="Verdana" w:hAnsi="Verdana" w:cs="Times New Roman"/>
          <w:sz w:val="20"/>
          <w:szCs w:val="20"/>
        </w:rPr>
        <w:t xml:space="preserve">como uno de los dos derechos </w:t>
      </w:r>
      <w:r w:rsidR="00075518">
        <w:rPr>
          <w:rFonts w:ascii="Verdana" w:hAnsi="Verdana" w:cs="Times New Roman"/>
          <w:sz w:val="20"/>
          <w:szCs w:val="20"/>
        </w:rPr>
        <w:t xml:space="preserve">expresamente </w:t>
      </w:r>
      <w:r w:rsidR="00D23F2F">
        <w:rPr>
          <w:rFonts w:ascii="Verdana" w:hAnsi="Verdana" w:cs="Times New Roman"/>
          <w:sz w:val="20"/>
          <w:szCs w:val="20"/>
        </w:rPr>
        <w:t xml:space="preserve">mencionados como </w:t>
      </w:r>
      <w:r w:rsidR="00142E2B" w:rsidRPr="004E66B4">
        <w:rPr>
          <w:rFonts w:ascii="Verdana" w:hAnsi="Verdana" w:cs="Times New Roman"/>
          <w:sz w:val="20"/>
          <w:szCs w:val="20"/>
        </w:rPr>
        <w:t>exigibles ante los órganos del Sistema Interamericano, la jurisprudencia</w:t>
      </w:r>
      <w:r w:rsidR="00805560" w:rsidRPr="004E66B4">
        <w:rPr>
          <w:rFonts w:ascii="Verdana" w:hAnsi="Verdana" w:cs="Times New Roman"/>
          <w:sz w:val="20"/>
          <w:szCs w:val="20"/>
        </w:rPr>
        <w:t xml:space="preserve"> anterior</w:t>
      </w:r>
      <w:r w:rsidR="00142E2B" w:rsidRPr="004E66B4">
        <w:rPr>
          <w:rFonts w:ascii="Verdana" w:hAnsi="Verdana" w:cs="Times New Roman"/>
          <w:sz w:val="20"/>
          <w:szCs w:val="20"/>
        </w:rPr>
        <w:t xml:space="preserve"> </w:t>
      </w:r>
      <w:r w:rsidR="000016C6" w:rsidRPr="004E66B4">
        <w:rPr>
          <w:rFonts w:ascii="Verdana" w:hAnsi="Verdana" w:cs="Times New Roman"/>
          <w:sz w:val="20"/>
          <w:szCs w:val="20"/>
        </w:rPr>
        <w:t>de la Corte I</w:t>
      </w:r>
      <w:r w:rsidR="00075518">
        <w:rPr>
          <w:rFonts w:ascii="Verdana" w:hAnsi="Verdana" w:cs="Times New Roman"/>
          <w:sz w:val="20"/>
          <w:szCs w:val="20"/>
        </w:rPr>
        <w:t>DH</w:t>
      </w:r>
      <w:r w:rsidR="000016C6" w:rsidRPr="004E66B4">
        <w:rPr>
          <w:rFonts w:ascii="Verdana" w:hAnsi="Verdana" w:cs="Times New Roman"/>
          <w:sz w:val="20"/>
          <w:szCs w:val="20"/>
        </w:rPr>
        <w:t xml:space="preserve"> </w:t>
      </w:r>
      <w:r w:rsidR="00142E2B" w:rsidRPr="004E66B4">
        <w:rPr>
          <w:rFonts w:ascii="Verdana" w:hAnsi="Verdana" w:cs="Times New Roman"/>
          <w:sz w:val="20"/>
          <w:szCs w:val="20"/>
        </w:rPr>
        <w:t>lo ha subsumido dentro del contenido del art</w:t>
      </w:r>
      <w:r w:rsidR="00674E6D" w:rsidRPr="004E66B4">
        <w:rPr>
          <w:rFonts w:ascii="Verdana" w:hAnsi="Verdana" w:cs="Times New Roman"/>
          <w:sz w:val="20"/>
          <w:szCs w:val="20"/>
        </w:rPr>
        <w:t>ículo</w:t>
      </w:r>
      <w:r w:rsidR="00142E2B" w:rsidRPr="004E66B4">
        <w:rPr>
          <w:rFonts w:ascii="Verdana" w:hAnsi="Verdana" w:cs="Times New Roman"/>
          <w:sz w:val="20"/>
          <w:szCs w:val="20"/>
        </w:rPr>
        <w:t xml:space="preserve"> 16</w:t>
      </w:r>
      <w:r w:rsidR="000016C6" w:rsidRPr="004E66B4">
        <w:rPr>
          <w:rFonts w:ascii="Verdana" w:hAnsi="Verdana" w:cs="Times New Roman"/>
          <w:sz w:val="20"/>
          <w:szCs w:val="20"/>
        </w:rPr>
        <w:t xml:space="preserve"> </w:t>
      </w:r>
      <w:r w:rsidR="00142E2B" w:rsidRPr="004E66B4">
        <w:rPr>
          <w:rFonts w:ascii="Verdana" w:hAnsi="Verdana" w:cs="Times New Roman"/>
          <w:sz w:val="20"/>
          <w:szCs w:val="20"/>
        </w:rPr>
        <w:t>de la Convención Americana.</w:t>
      </w:r>
      <w:r w:rsidR="00F0175B" w:rsidRPr="004E66B4">
        <w:rPr>
          <w:rFonts w:ascii="Verdana" w:hAnsi="Verdana" w:cs="Times New Roman"/>
          <w:sz w:val="20"/>
          <w:szCs w:val="20"/>
        </w:rPr>
        <w:t xml:space="preserve"> </w:t>
      </w:r>
      <w:r w:rsidR="00C17861">
        <w:rPr>
          <w:rFonts w:ascii="Verdana" w:hAnsi="Verdana" w:cs="Times New Roman"/>
          <w:sz w:val="20"/>
          <w:szCs w:val="20"/>
        </w:rPr>
        <w:t>En</w:t>
      </w:r>
      <w:r w:rsidR="00965F52">
        <w:rPr>
          <w:rFonts w:ascii="Verdana" w:hAnsi="Verdana" w:cs="Times New Roman"/>
          <w:sz w:val="20"/>
          <w:szCs w:val="20"/>
        </w:rPr>
        <w:t xml:space="preserve"> este sentido</w:t>
      </w:r>
      <w:r w:rsidR="00C17861">
        <w:rPr>
          <w:rFonts w:ascii="Verdana" w:hAnsi="Verdana" w:cs="Times New Roman"/>
          <w:sz w:val="20"/>
          <w:szCs w:val="20"/>
        </w:rPr>
        <w:t>,</w:t>
      </w:r>
      <w:r w:rsidR="00965F52">
        <w:rPr>
          <w:rFonts w:ascii="Verdana" w:hAnsi="Verdana" w:cs="Times New Roman"/>
          <w:sz w:val="20"/>
          <w:szCs w:val="20"/>
        </w:rPr>
        <w:t xml:space="preserve"> resulta ilustrativo hacer mención de aquellos estándares que se han vertido en la materia de asociación sindical derivado de la expresión “laboral”</w:t>
      </w:r>
      <w:r w:rsidR="0065705B">
        <w:rPr>
          <w:rFonts w:ascii="Verdana" w:hAnsi="Verdana" w:cs="Times New Roman"/>
          <w:sz w:val="20"/>
          <w:szCs w:val="20"/>
        </w:rPr>
        <w:t>, contemplada</w:t>
      </w:r>
      <w:r w:rsidR="00965F52">
        <w:rPr>
          <w:rFonts w:ascii="Verdana" w:hAnsi="Verdana" w:cs="Times New Roman"/>
          <w:sz w:val="20"/>
          <w:szCs w:val="20"/>
        </w:rPr>
        <w:t xml:space="preserve"> en el artículo 16 del Pacto de San José.</w:t>
      </w:r>
    </w:p>
    <w:p w14:paraId="1F761BB6" w14:textId="77777777" w:rsidR="001D1F4D" w:rsidRPr="004E66B4" w:rsidRDefault="001D1F4D" w:rsidP="00AD360E">
      <w:pPr>
        <w:pStyle w:val="ListParagraph"/>
        <w:ind w:left="0"/>
        <w:jc w:val="both"/>
        <w:rPr>
          <w:rFonts w:ascii="Verdana" w:hAnsi="Verdana" w:cs="Times New Roman"/>
          <w:sz w:val="20"/>
          <w:szCs w:val="20"/>
        </w:rPr>
      </w:pPr>
    </w:p>
    <w:p w14:paraId="65E60421" w14:textId="67461CE9" w:rsidR="00BD303A" w:rsidRPr="00786B04" w:rsidRDefault="00F0175B" w:rsidP="00AD360E">
      <w:pPr>
        <w:pStyle w:val="ListParagraph"/>
        <w:numPr>
          <w:ilvl w:val="0"/>
          <w:numId w:val="2"/>
        </w:numPr>
        <w:ind w:left="0" w:firstLine="0"/>
        <w:jc w:val="both"/>
        <w:rPr>
          <w:rFonts w:ascii="Verdana" w:hAnsi="Verdana" w:cs="Times New Roman"/>
          <w:sz w:val="20"/>
          <w:szCs w:val="20"/>
        </w:rPr>
      </w:pPr>
      <w:r w:rsidRPr="00786B04">
        <w:rPr>
          <w:rFonts w:ascii="Verdana" w:hAnsi="Verdana" w:cs="Times New Roman"/>
          <w:sz w:val="20"/>
          <w:szCs w:val="20"/>
        </w:rPr>
        <w:t>En cuanto a la función contenciosa</w:t>
      </w:r>
      <w:r w:rsidR="000016C6" w:rsidRPr="00786B04">
        <w:rPr>
          <w:rFonts w:ascii="Verdana" w:hAnsi="Verdana" w:cs="Times New Roman"/>
          <w:sz w:val="20"/>
          <w:szCs w:val="20"/>
        </w:rPr>
        <w:t xml:space="preserve">, </w:t>
      </w:r>
      <w:r w:rsidRPr="00786B04">
        <w:rPr>
          <w:rFonts w:ascii="Verdana" w:hAnsi="Verdana" w:cs="Times New Roman"/>
          <w:sz w:val="20"/>
          <w:szCs w:val="20"/>
        </w:rPr>
        <w:t>e</w:t>
      </w:r>
      <w:r w:rsidR="009E0482" w:rsidRPr="00786B04">
        <w:rPr>
          <w:rFonts w:ascii="Verdana" w:hAnsi="Verdana" w:cs="Times New Roman"/>
          <w:sz w:val="20"/>
          <w:szCs w:val="20"/>
        </w:rPr>
        <w:t>l tema sindical</w:t>
      </w:r>
      <w:r w:rsidR="00BD303A" w:rsidRPr="00786B04">
        <w:rPr>
          <w:rFonts w:ascii="Verdana" w:hAnsi="Verdana" w:cs="Times New Roman"/>
          <w:sz w:val="20"/>
          <w:szCs w:val="20"/>
        </w:rPr>
        <w:t xml:space="preserve"> </w:t>
      </w:r>
      <w:r w:rsidR="000016C6" w:rsidRPr="00786B04">
        <w:rPr>
          <w:rFonts w:ascii="Verdana" w:hAnsi="Verdana" w:cs="Times New Roman"/>
          <w:sz w:val="20"/>
          <w:szCs w:val="20"/>
        </w:rPr>
        <w:t xml:space="preserve">y de </w:t>
      </w:r>
      <w:r w:rsidR="00805560" w:rsidRPr="00786B04">
        <w:rPr>
          <w:rFonts w:ascii="Verdana" w:hAnsi="Verdana" w:cs="Times New Roman"/>
          <w:sz w:val="20"/>
          <w:szCs w:val="20"/>
        </w:rPr>
        <w:t>asociación</w:t>
      </w:r>
      <w:r w:rsidR="000016C6" w:rsidRPr="00786B04">
        <w:rPr>
          <w:rFonts w:ascii="Verdana" w:hAnsi="Verdana" w:cs="Times New Roman"/>
          <w:sz w:val="20"/>
          <w:szCs w:val="20"/>
        </w:rPr>
        <w:t xml:space="preserve"> </w:t>
      </w:r>
      <w:r w:rsidR="009E0482" w:rsidRPr="00786B04">
        <w:rPr>
          <w:rFonts w:ascii="Verdana" w:hAnsi="Verdana" w:cs="Times New Roman"/>
          <w:sz w:val="20"/>
          <w:szCs w:val="20"/>
        </w:rPr>
        <w:t>ante la Corte I</w:t>
      </w:r>
      <w:r w:rsidR="00075518" w:rsidRPr="00786B04">
        <w:rPr>
          <w:rFonts w:ascii="Verdana" w:hAnsi="Verdana" w:cs="Times New Roman"/>
          <w:sz w:val="20"/>
          <w:szCs w:val="20"/>
        </w:rPr>
        <w:t>DH</w:t>
      </w:r>
      <w:r w:rsidR="009E0482" w:rsidRPr="00786B04">
        <w:rPr>
          <w:rFonts w:ascii="Verdana" w:hAnsi="Verdana" w:cs="Times New Roman"/>
          <w:sz w:val="20"/>
          <w:szCs w:val="20"/>
        </w:rPr>
        <w:t xml:space="preserve"> ha versado sobre despidos de personas integrantes d</w:t>
      </w:r>
      <w:r w:rsidR="0065705B">
        <w:rPr>
          <w:rFonts w:ascii="Verdana" w:hAnsi="Verdana" w:cs="Times New Roman"/>
          <w:sz w:val="20"/>
          <w:szCs w:val="20"/>
        </w:rPr>
        <w:t>e sindicatos y ejecuciones de lí</w:t>
      </w:r>
      <w:r w:rsidR="009E0482" w:rsidRPr="00786B04">
        <w:rPr>
          <w:rFonts w:ascii="Verdana" w:hAnsi="Verdana" w:cs="Times New Roman"/>
          <w:sz w:val="20"/>
          <w:szCs w:val="20"/>
        </w:rPr>
        <w:t>deres sindicales. En los caso</w:t>
      </w:r>
      <w:r w:rsidR="008A6553" w:rsidRPr="00786B04">
        <w:rPr>
          <w:rFonts w:ascii="Verdana" w:hAnsi="Verdana" w:cs="Times New Roman"/>
          <w:sz w:val="20"/>
          <w:szCs w:val="20"/>
        </w:rPr>
        <w:t>s</w:t>
      </w:r>
      <w:r w:rsidR="009E0482" w:rsidRPr="00786B04">
        <w:rPr>
          <w:rFonts w:ascii="Verdana" w:hAnsi="Verdana" w:cs="Times New Roman"/>
          <w:sz w:val="20"/>
          <w:szCs w:val="20"/>
        </w:rPr>
        <w:t xml:space="preserve"> </w:t>
      </w:r>
      <w:r w:rsidR="009E0482" w:rsidRPr="00786B04">
        <w:rPr>
          <w:rFonts w:ascii="Verdana" w:hAnsi="Verdana" w:cs="Times New Roman"/>
          <w:i/>
          <w:sz w:val="20"/>
          <w:szCs w:val="20"/>
        </w:rPr>
        <w:t>Baena Ricardo Vs. Panamá</w:t>
      </w:r>
      <w:r w:rsidR="00075518" w:rsidRPr="00786B04">
        <w:rPr>
          <w:rStyle w:val="FootnoteReference"/>
          <w:rFonts w:ascii="Verdana" w:hAnsi="Verdana" w:cs="Times New Roman"/>
          <w:i/>
          <w:sz w:val="20"/>
          <w:szCs w:val="20"/>
        </w:rPr>
        <w:footnoteReference w:id="36"/>
      </w:r>
      <w:r w:rsidR="009E0482" w:rsidRPr="00786B04">
        <w:rPr>
          <w:rFonts w:ascii="Verdana" w:hAnsi="Verdana" w:cs="Times New Roman"/>
          <w:sz w:val="20"/>
          <w:szCs w:val="20"/>
        </w:rPr>
        <w:t xml:space="preserve">, </w:t>
      </w:r>
      <w:proofErr w:type="spellStart"/>
      <w:r w:rsidR="009E0482" w:rsidRPr="00786B04">
        <w:rPr>
          <w:rFonts w:ascii="Verdana" w:hAnsi="Verdana" w:cs="Times New Roman"/>
          <w:i/>
          <w:sz w:val="20"/>
          <w:szCs w:val="20"/>
        </w:rPr>
        <w:t>Huilca</w:t>
      </w:r>
      <w:proofErr w:type="spellEnd"/>
      <w:r w:rsidR="009E0482" w:rsidRPr="00786B04">
        <w:rPr>
          <w:rFonts w:ascii="Verdana" w:hAnsi="Verdana" w:cs="Times New Roman"/>
          <w:i/>
          <w:sz w:val="20"/>
          <w:szCs w:val="20"/>
        </w:rPr>
        <w:t xml:space="preserve"> </w:t>
      </w:r>
      <w:proofErr w:type="spellStart"/>
      <w:r w:rsidR="009E0482" w:rsidRPr="00786B04">
        <w:rPr>
          <w:rFonts w:ascii="Verdana" w:hAnsi="Verdana" w:cs="Times New Roman"/>
          <w:i/>
          <w:sz w:val="20"/>
          <w:szCs w:val="20"/>
        </w:rPr>
        <w:t>Tecse</w:t>
      </w:r>
      <w:proofErr w:type="spellEnd"/>
      <w:r w:rsidR="009E0482" w:rsidRPr="00786B04">
        <w:rPr>
          <w:rFonts w:ascii="Verdana" w:hAnsi="Verdana" w:cs="Times New Roman"/>
          <w:i/>
          <w:sz w:val="20"/>
          <w:szCs w:val="20"/>
        </w:rPr>
        <w:t xml:space="preserve"> Vs. Perú</w:t>
      </w:r>
      <w:r w:rsidR="00075518" w:rsidRPr="00786B04">
        <w:rPr>
          <w:rStyle w:val="FootnoteReference"/>
          <w:rFonts w:ascii="Verdana" w:hAnsi="Verdana" w:cs="Times New Roman"/>
          <w:i/>
          <w:sz w:val="20"/>
          <w:szCs w:val="20"/>
        </w:rPr>
        <w:footnoteReference w:id="37"/>
      </w:r>
      <w:r w:rsidR="00EA051E" w:rsidRPr="00786B04">
        <w:rPr>
          <w:rFonts w:ascii="Verdana" w:hAnsi="Verdana" w:cs="Times New Roman"/>
          <w:i/>
          <w:sz w:val="20"/>
          <w:szCs w:val="20"/>
        </w:rPr>
        <w:t xml:space="preserve"> </w:t>
      </w:r>
      <w:r w:rsidR="009E0482" w:rsidRPr="00786B04">
        <w:rPr>
          <w:rFonts w:ascii="Verdana" w:hAnsi="Verdana" w:cs="Times New Roman"/>
          <w:sz w:val="20"/>
          <w:szCs w:val="20"/>
        </w:rPr>
        <w:t xml:space="preserve">y </w:t>
      </w:r>
      <w:r w:rsidR="009E0482" w:rsidRPr="00786B04">
        <w:rPr>
          <w:rFonts w:ascii="Verdana" w:hAnsi="Verdana" w:cs="Times New Roman"/>
          <w:i/>
          <w:sz w:val="20"/>
          <w:szCs w:val="20"/>
        </w:rPr>
        <w:t xml:space="preserve">Cantoral </w:t>
      </w:r>
      <w:proofErr w:type="spellStart"/>
      <w:r w:rsidR="009E0482" w:rsidRPr="00786B04">
        <w:rPr>
          <w:rFonts w:ascii="Verdana" w:hAnsi="Verdana" w:cs="Times New Roman"/>
          <w:i/>
          <w:sz w:val="20"/>
          <w:szCs w:val="20"/>
        </w:rPr>
        <w:t>Huamaní</w:t>
      </w:r>
      <w:proofErr w:type="spellEnd"/>
      <w:r w:rsidR="009E0482" w:rsidRPr="00786B04">
        <w:rPr>
          <w:rFonts w:ascii="Verdana" w:hAnsi="Verdana" w:cs="Times New Roman"/>
          <w:i/>
          <w:sz w:val="20"/>
          <w:szCs w:val="20"/>
        </w:rPr>
        <w:t xml:space="preserve"> y García Santa Cruz Vs. Perú</w:t>
      </w:r>
      <w:r w:rsidR="00075518" w:rsidRPr="00786B04">
        <w:rPr>
          <w:rStyle w:val="FootnoteReference"/>
          <w:rFonts w:ascii="Verdana" w:hAnsi="Verdana" w:cs="Times New Roman"/>
          <w:i/>
          <w:sz w:val="20"/>
          <w:szCs w:val="20"/>
        </w:rPr>
        <w:footnoteReference w:id="38"/>
      </w:r>
      <w:r w:rsidR="009E0482" w:rsidRPr="00786B04">
        <w:rPr>
          <w:rFonts w:ascii="Verdana" w:hAnsi="Verdana" w:cs="Times New Roman"/>
          <w:i/>
          <w:sz w:val="20"/>
          <w:szCs w:val="20"/>
        </w:rPr>
        <w:t xml:space="preserve">, </w:t>
      </w:r>
      <w:r w:rsidR="000016C6" w:rsidRPr="00786B04">
        <w:rPr>
          <w:rFonts w:ascii="Verdana" w:hAnsi="Verdana" w:cs="Times New Roman"/>
          <w:sz w:val="20"/>
          <w:szCs w:val="20"/>
        </w:rPr>
        <w:t>el Tribunal Interamericano</w:t>
      </w:r>
      <w:r w:rsidR="009E0482" w:rsidRPr="00786B04">
        <w:rPr>
          <w:rFonts w:ascii="Verdana" w:hAnsi="Verdana" w:cs="Times New Roman"/>
          <w:sz w:val="20"/>
          <w:szCs w:val="20"/>
        </w:rPr>
        <w:t xml:space="preserve"> ha desarr</w:t>
      </w:r>
      <w:r w:rsidR="0083216C" w:rsidRPr="00786B04">
        <w:rPr>
          <w:rFonts w:ascii="Verdana" w:hAnsi="Verdana" w:cs="Times New Roman"/>
          <w:sz w:val="20"/>
          <w:szCs w:val="20"/>
        </w:rPr>
        <w:t>ollado el contenido</w:t>
      </w:r>
      <w:r w:rsidR="009E0482" w:rsidRPr="00786B04">
        <w:rPr>
          <w:rFonts w:ascii="Verdana" w:hAnsi="Verdana" w:cs="Times New Roman"/>
          <w:sz w:val="20"/>
          <w:szCs w:val="20"/>
        </w:rPr>
        <w:t xml:space="preserve"> del derecho de asociación</w:t>
      </w:r>
      <w:r w:rsidR="00142E2B" w:rsidRPr="00786B04">
        <w:rPr>
          <w:rFonts w:ascii="Verdana" w:hAnsi="Verdana" w:cs="Times New Roman"/>
          <w:sz w:val="20"/>
          <w:szCs w:val="20"/>
        </w:rPr>
        <w:t xml:space="preserve"> “laboral”</w:t>
      </w:r>
      <w:r w:rsidR="0065705B">
        <w:rPr>
          <w:rFonts w:ascii="Verdana" w:hAnsi="Verdana" w:cs="Times New Roman"/>
          <w:sz w:val="20"/>
          <w:szCs w:val="20"/>
        </w:rPr>
        <w:t xml:space="preserve"> </w:t>
      </w:r>
      <w:proofErr w:type="gramStart"/>
      <w:r w:rsidR="0065705B">
        <w:rPr>
          <w:rFonts w:ascii="Verdana" w:hAnsi="Verdana" w:cs="Times New Roman"/>
          <w:sz w:val="20"/>
          <w:szCs w:val="20"/>
        </w:rPr>
        <w:t>consagrado en el artí</w:t>
      </w:r>
      <w:r w:rsidR="009E0482" w:rsidRPr="00786B04">
        <w:rPr>
          <w:rFonts w:ascii="Verdana" w:hAnsi="Verdana" w:cs="Times New Roman"/>
          <w:sz w:val="20"/>
          <w:szCs w:val="20"/>
        </w:rPr>
        <w:t>culo 16 de la Convención Americana</w:t>
      </w:r>
      <w:r w:rsidRPr="00786B04">
        <w:rPr>
          <w:rFonts w:ascii="Verdana" w:hAnsi="Verdana" w:cs="Times New Roman"/>
          <w:sz w:val="20"/>
          <w:szCs w:val="20"/>
        </w:rPr>
        <w:t xml:space="preserve">, </w:t>
      </w:r>
      <w:r w:rsidR="0065705B">
        <w:rPr>
          <w:rFonts w:ascii="Verdana" w:hAnsi="Verdana" w:cs="Times New Roman"/>
          <w:sz w:val="20"/>
          <w:szCs w:val="20"/>
        </w:rPr>
        <w:t>relativo</w:t>
      </w:r>
      <w:proofErr w:type="gramEnd"/>
      <w:r w:rsidR="0065705B">
        <w:rPr>
          <w:rFonts w:ascii="Verdana" w:hAnsi="Verdana" w:cs="Times New Roman"/>
          <w:sz w:val="20"/>
          <w:szCs w:val="20"/>
        </w:rPr>
        <w:t xml:space="preserve"> a</w:t>
      </w:r>
      <w:r w:rsidR="00BD303A" w:rsidRPr="00786B04">
        <w:rPr>
          <w:rFonts w:ascii="Verdana" w:hAnsi="Verdana" w:cs="Times New Roman"/>
          <w:sz w:val="20"/>
          <w:szCs w:val="20"/>
        </w:rPr>
        <w:t xml:space="preserve"> las violaciones </w:t>
      </w:r>
      <w:r w:rsidR="0065705B">
        <w:rPr>
          <w:rFonts w:ascii="Verdana" w:hAnsi="Verdana" w:cs="Times New Roman"/>
          <w:sz w:val="20"/>
          <w:szCs w:val="20"/>
        </w:rPr>
        <w:t>a</w:t>
      </w:r>
      <w:r w:rsidR="00BD303A" w:rsidRPr="00786B04">
        <w:rPr>
          <w:rFonts w:ascii="Verdana" w:hAnsi="Verdana" w:cs="Times New Roman"/>
          <w:sz w:val="20"/>
          <w:szCs w:val="20"/>
        </w:rPr>
        <w:t xml:space="preserve"> la asociación sindical. </w:t>
      </w:r>
    </w:p>
    <w:p w14:paraId="47437874" w14:textId="77777777" w:rsidR="009E0482" w:rsidRPr="004E66B4" w:rsidRDefault="009E0482" w:rsidP="00AD360E">
      <w:pPr>
        <w:pStyle w:val="ListParagraph"/>
        <w:ind w:left="0"/>
        <w:jc w:val="both"/>
        <w:rPr>
          <w:rFonts w:ascii="Verdana" w:hAnsi="Verdana" w:cs="Times New Roman"/>
          <w:sz w:val="20"/>
          <w:szCs w:val="20"/>
        </w:rPr>
      </w:pPr>
    </w:p>
    <w:p w14:paraId="0270C5E6" w14:textId="3F567C0E" w:rsidR="009E0482" w:rsidRPr="004E66B4" w:rsidRDefault="009E0482" w:rsidP="00AD360E">
      <w:pPr>
        <w:pStyle w:val="ListParagraph"/>
        <w:numPr>
          <w:ilvl w:val="0"/>
          <w:numId w:val="2"/>
        </w:numPr>
        <w:ind w:left="0" w:firstLine="0"/>
        <w:jc w:val="both"/>
        <w:rPr>
          <w:rFonts w:ascii="Verdana" w:hAnsi="Verdana" w:cs="Times New Roman"/>
          <w:sz w:val="20"/>
          <w:szCs w:val="20"/>
        </w:rPr>
      </w:pPr>
      <w:r w:rsidRPr="004E66B4">
        <w:rPr>
          <w:rFonts w:ascii="Verdana" w:hAnsi="Verdana" w:cs="Times New Roman"/>
          <w:sz w:val="20"/>
          <w:szCs w:val="20"/>
        </w:rPr>
        <w:t xml:space="preserve">En el caso </w:t>
      </w:r>
      <w:r w:rsidRPr="004E66B4">
        <w:rPr>
          <w:rFonts w:ascii="Verdana" w:hAnsi="Verdana" w:cs="Times New Roman"/>
          <w:i/>
          <w:sz w:val="20"/>
          <w:szCs w:val="20"/>
        </w:rPr>
        <w:t>Baena Ricardo</w:t>
      </w:r>
      <w:r w:rsidR="0065705B">
        <w:rPr>
          <w:rFonts w:ascii="Verdana" w:hAnsi="Verdana" w:cs="Times New Roman"/>
          <w:i/>
          <w:sz w:val="20"/>
          <w:szCs w:val="20"/>
        </w:rPr>
        <w:t xml:space="preserve"> vs. Panamá</w:t>
      </w:r>
      <w:r w:rsidRPr="004E66B4">
        <w:rPr>
          <w:rFonts w:ascii="Verdana" w:hAnsi="Verdana" w:cs="Times New Roman"/>
          <w:sz w:val="20"/>
          <w:szCs w:val="20"/>
        </w:rPr>
        <w:t>, la Corte</w:t>
      </w:r>
      <w:r w:rsidR="00F0175B" w:rsidRPr="004E66B4">
        <w:rPr>
          <w:rFonts w:ascii="Verdana" w:hAnsi="Verdana" w:cs="Times New Roman"/>
          <w:sz w:val="20"/>
          <w:szCs w:val="20"/>
        </w:rPr>
        <w:t xml:space="preserve"> IDH</w:t>
      </w:r>
      <w:r w:rsidRPr="004E66B4">
        <w:rPr>
          <w:rFonts w:ascii="Verdana" w:hAnsi="Verdana" w:cs="Times New Roman"/>
          <w:sz w:val="20"/>
          <w:szCs w:val="20"/>
        </w:rPr>
        <w:t xml:space="preserve"> consideró que para analizar si se había configurado una violación del derecho </w:t>
      </w:r>
      <w:r w:rsidR="00357AA1">
        <w:rPr>
          <w:rFonts w:ascii="Verdana" w:hAnsi="Verdana" w:cs="Times New Roman"/>
          <w:sz w:val="20"/>
          <w:szCs w:val="20"/>
        </w:rPr>
        <w:t xml:space="preserve">a </w:t>
      </w:r>
      <w:r w:rsidRPr="004E66B4">
        <w:rPr>
          <w:rFonts w:ascii="Verdana" w:hAnsi="Verdana" w:cs="Times New Roman"/>
          <w:sz w:val="20"/>
          <w:szCs w:val="20"/>
        </w:rPr>
        <w:t xml:space="preserve">la libertad de asociación, </w:t>
      </w:r>
      <w:r w:rsidR="0065705B">
        <w:rPr>
          <w:rFonts w:ascii="Verdana" w:hAnsi="Verdana" w:cs="Times New Roman"/>
          <w:sz w:val="20"/>
          <w:szCs w:val="20"/>
        </w:rPr>
        <w:t>ello debía ser analizado</w:t>
      </w:r>
      <w:r w:rsidRPr="004E66B4">
        <w:rPr>
          <w:rFonts w:ascii="Verdana" w:hAnsi="Verdana" w:cs="Times New Roman"/>
          <w:sz w:val="20"/>
          <w:szCs w:val="20"/>
        </w:rPr>
        <w:t xml:space="preserve"> en relación con la libertad sindical. Así, consideró que la libertad de asociación, en materia sindical, consiste básicamente en la facultad de constituir organizaciones sindicales y poner en marcha su estructura interna, actividades y programa de acción, sin intervención de las autoridades públicas que limite</w:t>
      </w:r>
      <w:r w:rsidR="0065705B">
        <w:rPr>
          <w:rFonts w:ascii="Verdana" w:hAnsi="Verdana" w:cs="Times New Roman"/>
          <w:sz w:val="20"/>
          <w:szCs w:val="20"/>
        </w:rPr>
        <w:t>n</w:t>
      </w:r>
      <w:r w:rsidRPr="004E66B4">
        <w:rPr>
          <w:rFonts w:ascii="Verdana" w:hAnsi="Verdana" w:cs="Times New Roman"/>
          <w:sz w:val="20"/>
          <w:szCs w:val="20"/>
        </w:rPr>
        <w:t xml:space="preserve"> o entorpezca el ejercicio del respectivo derecho. Por otra parte, esta libertad supone que cada persona pueda determinar</w:t>
      </w:r>
      <w:r w:rsidR="0065705B">
        <w:rPr>
          <w:rFonts w:ascii="Verdana" w:hAnsi="Verdana" w:cs="Times New Roman"/>
          <w:sz w:val="20"/>
          <w:szCs w:val="20"/>
        </w:rPr>
        <w:t>,</w:t>
      </w:r>
      <w:r w:rsidRPr="004E66B4">
        <w:rPr>
          <w:rFonts w:ascii="Verdana" w:hAnsi="Verdana" w:cs="Times New Roman"/>
          <w:sz w:val="20"/>
          <w:szCs w:val="20"/>
        </w:rPr>
        <w:t xml:space="preserve"> si</w:t>
      </w:r>
      <w:r w:rsidR="0065705B">
        <w:rPr>
          <w:rFonts w:ascii="Verdana" w:hAnsi="Verdana" w:cs="Times New Roman"/>
          <w:sz w:val="20"/>
          <w:szCs w:val="20"/>
        </w:rPr>
        <w:t>n</w:t>
      </w:r>
      <w:r w:rsidRPr="004E66B4">
        <w:rPr>
          <w:rFonts w:ascii="Verdana" w:hAnsi="Verdana" w:cs="Times New Roman"/>
          <w:sz w:val="20"/>
          <w:szCs w:val="20"/>
        </w:rPr>
        <w:t xml:space="preserve"> coacción alguna</w:t>
      </w:r>
      <w:r w:rsidR="0065705B">
        <w:rPr>
          <w:rFonts w:ascii="Verdana" w:hAnsi="Verdana" w:cs="Times New Roman"/>
          <w:sz w:val="20"/>
          <w:szCs w:val="20"/>
        </w:rPr>
        <w:t>,</w:t>
      </w:r>
      <w:r w:rsidRPr="004E66B4">
        <w:rPr>
          <w:rFonts w:ascii="Verdana" w:hAnsi="Verdana" w:cs="Times New Roman"/>
          <w:sz w:val="20"/>
          <w:szCs w:val="20"/>
        </w:rPr>
        <w:t xml:space="preserve"> si desea o no formar parte de la </w:t>
      </w:r>
      <w:r w:rsidRPr="004E66B4">
        <w:rPr>
          <w:rFonts w:ascii="Verdana" w:hAnsi="Verdana" w:cs="Times New Roman"/>
          <w:sz w:val="20"/>
          <w:szCs w:val="20"/>
        </w:rPr>
        <w:lastRenderedPageBreak/>
        <w:t>asociación. Se trata, pues, del derecho fundamental de agruparse para la realización de un fin licito sin presiones o intromisiones que puedan alterar o desnaturalizar su finalidad</w:t>
      </w:r>
      <w:r w:rsidRPr="004E66B4">
        <w:rPr>
          <w:rStyle w:val="FootnoteReference"/>
          <w:rFonts w:ascii="Verdana" w:hAnsi="Verdana" w:cs="Times New Roman"/>
          <w:sz w:val="20"/>
          <w:szCs w:val="20"/>
        </w:rPr>
        <w:footnoteReference w:id="39"/>
      </w:r>
      <w:r w:rsidRPr="004E66B4">
        <w:rPr>
          <w:rFonts w:ascii="Verdana" w:hAnsi="Verdana" w:cs="Times New Roman"/>
          <w:sz w:val="20"/>
          <w:szCs w:val="20"/>
        </w:rPr>
        <w:t>.</w:t>
      </w:r>
    </w:p>
    <w:p w14:paraId="3B64AE2B" w14:textId="77777777" w:rsidR="009E0482" w:rsidRPr="004E66B4" w:rsidRDefault="009E0482" w:rsidP="00AD360E">
      <w:pPr>
        <w:jc w:val="both"/>
        <w:rPr>
          <w:rFonts w:ascii="Verdana" w:hAnsi="Verdana" w:cs="Times New Roman"/>
          <w:sz w:val="20"/>
          <w:szCs w:val="20"/>
        </w:rPr>
      </w:pPr>
    </w:p>
    <w:p w14:paraId="207A8882" w14:textId="5E3DDA3A" w:rsidR="009E0482" w:rsidRPr="004E66B4" w:rsidRDefault="009E0482" w:rsidP="00AD360E">
      <w:pPr>
        <w:pStyle w:val="ListParagraph"/>
        <w:numPr>
          <w:ilvl w:val="0"/>
          <w:numId w:val="2"/>
        </w:numPr>
        <w:ind w:left="0" w:firstLine="0"/>
        <w:jc w:val="both"/>
        <w:rPr>
          <w:rFonts w:ascii="Verdana" w:hAnsi="Verdana" w:cs="Times New Roman"/>
          <w:sz w:val="20"/>
          <w:szCs w:val="20"/>
        </w:rPr>
      </w:pPr>
      <w:r w:rsidRPr="004E66B4">
        <w:rPr>
          <w:rFonts w:ascii="Verdana" w:hAnsi="Verdana" w:cs="Times New Roman"/>
          <w:sz w:val="20"/>
          <w:szCs w:val="20"/>
        </w:rPr>
        <w:t>En este sent</w:t>
      </w:r>
      <w:r w:rsidR="00075518">
        <w:rPr>
          <w:rFonts w:ascii="Verdana" w:hAnsi="Verdana" w:cs="Times New Roman"/>
          <w:sz w:val="20"/>
          <w:szCs w:val="20"/>
        </w:rPr>
        <w:t>ido, el Tribunal Interamericano</w:t>
      </w:r>
      <w:r w:rsidRPr="004E66B4">
        <w:rPr>
          <w:rFonts w:ascii="Verdana" w:hAnsi="Verdana" w:cs="Times New Roman"/>
          <w:sz w:val="20"/>
          <w:szCs w:val="20"/>
        </w:rPr>
        <w:t xml:space="preserve"> consideró que la libertad de asociación, en materia sindical, reviste la mayor importancia para la defensa de los intereses legítimos de los trabajadores y se enmarca en el </w:t>
      </w:r>
      <w:r w:rsidRPr="004E66B4">
        <w:rPr>
          <w:rFonts w:ascii="Verdana" w:hAnsi="Verdana" w:cs="Times New Roman"/>
          <w:i/>
          <w:sz w:val="20"/>
          <w:szCs w:val="20"/>
        </w:rPr>
        <w:t xml:space="preserve">corpus </w:t>
      </w:r>
      <w:proofErr w:type="spellStart"/>
      <w:r w:rsidRPr="004E66B4">
        <w:rPr>
          <w:rFonts w:ascii="Verdana" w:hAnsi="Verdana" w:cs="Times New Roman"/>
          <w:i/>
          <w:sz w:val="20"/>
          <w:szCs w:val="20"/>
        </w:rPr>
        <w:t>juris</w:t>
      </w:r>
      <w:proofErr w:type="spellEnd"/>
      <w:r w:rsidRPr="004E66B4">
        <w:rPr>
          <w:rFonts w:ascii="Verdana" w:hAnsi="Verdana" w:cs="Times New Roman"/>
          <w:sz w:val="20"/>
          <w:szCs w:val="20"/>
        </w:rPr>
        <w:t xml:space="preserve"> de los derechos humanos</w:t>
      </w:r>
      <w:r w:rsidRPr="004E66B4">
        <w:rPr>
          <w:rStyle w:val="FootnoteReference"/>
          <w:rFonts w:ascii="Verdana" w:hAnsi="Verdana" w:cs="Times New Roman"/>
          <w:sz w:val="20"/>
          <w:szCs w:val="20"/>
        </w:rPr>
        <w:footnoteReference w:id="40"/>
      </w:r>
      <w:r w:rsidRPr="004E66B4">
        <w:rPr>
          <w:rFonts w:ascii="Verdana" w:hAnsi="Verdana" w:cs="Times New Roman"/>
          <w:sz w:val="20"/>
          <w:szCs w:val="20"/>
        </w:rPr>
        <w:t xml:space="preserve">. </w:t>
      </w:r>
      <w:r w:rsidR="0065705B">
        <w:rPr>
          <w:rFonts w:ascii="Verdana" w:hAnsi="Verdana" w:cs="Times New Roman"/>
          <w:sz w:val="20"/>
          <w:szCs w:val="20"/>
        </w:rPr>
        <w:t>En materia laboral, l</w:t>
      </w:r>
      <w:r w:rsidRPr="004E66B4">
        <w:rPr>
          <w:rFonts w:ascii="Verdana" w:hAnsi="Verdana" w:cs="Times New Roman"/>
          <w:sz w:val="20"/>
          <w:szCs w:val="20"/>
        </w:rPr>
        <w:t>a libertad de asociación, en materia labor</w:t>
      </w:r>
      <w:r w:rsidR="00357AA1">
        <w:rPr>
          <w:rFonts w:ascii="Verdana" w:hAnsi="Verdana" w:cs="Times New Roman"/>
          <w:sz w:val="20"/>
          <w:szCs w:val="20"/>
        </w:rPr>
        <w:t>al, en los términos del artí</w:t>
      </w:r>
      <w:r w:rsidRPr="004E66B4">
        <w:rPr>
          <w:rFonts w:ascii="Verdana" w:hAnsi="Verdana" w:cs="Times New Roman"/>
          <w:sz w:val="20"/>
          <w:szCs w:val="20"/>
        </w:rPr>
        <w:t>culo 16 de la Convención Americana, comp</w:t>
      </w:r>
      <w:r w:rsidR="0065705B">
        <w:rPr>
          <w:rFonts w:ascii="Verdana" w:hAnsi="Verdana" w:cs="Times New Roman"/>
          <w:sz w:val="20"/>
          <w:szCs w:val="20"/>
        </w:rPr>
        <w:t>rende un derecho y una libertad:</w:t>
      </w:r>
      <w:r w:rsidRPr="004E66B4">
        <w:rPr>
          <w:rFonts w:ascii="Verdana" w:hAnsi="Verdana" w:cs="Times New Roman"/>
          <w:sz w:val="20"/>
          <w:szCs w:val="20"/>
        </w:rPr>
        <w:t xml:space="preserve"> </w:t>
      </w:r>
      <w:r w:rsidR="0065705B">
        <w:rPr>
          <w:rFonts w:ascii="Verdana" w:hAnsi="Verdana" w:cs="Times New Roman"/>
          <w:sz w:val="20"/>
          <w:szCs w:val="20"/>
        </w:rPr>
        <w:t>(i)</w:t>
      </w:r>
      <w:r w:rsidRPr="004E66B4">
        <w:rPr>
          <w:rFonts w:ascii="Verdana" w:hAnsi="Verdana" w:cs="Times New Roman"/>
          <w:sz w:val="20"/>
          <w:szCs w:val="20"/>
        </w:rPr>
        <w:t xml:space="preserve"> el derecho de formar asociaciones sin restricciones distintas a las permitidas en los incisos 2 y 3 del propio articulo 16</w:t>
      </w:r>
      <w:r w:rsidRPr="004E66B4">
        <w:rPr>
          <w:rStyle w:val="FootnoteReference"/>
          <w:rFonts w:ascii="Verdana" w:hAnsi="Verdana" w:cs="Times New Roman"/>
          <w:sz w:val="20"/>
          <w:szCs w:val="20"/>
        </w:rPr>
        <w:footnoteReference w:id="41"/>
      </w:r>
      <w:r w:rsidR="0065705B">
        <w:rPr>
          <w:rFonts w:ascii="Verdana" w:hAnsi="Verdana" w:cs="Times New Roman"/>
          <w:sz w:val="20"/>
          <w:szCs w:val="20"/>
        </w:rPr>
        <w:t>;</w:t>
      </w:r>
      <w:r w:rsidRPr="004E66B4">
        <w:rPr>
          <w:rFonts w:ascii="Verdana" w:hAnsi="Verdana" w:cs="Times New Roman"/>
          <w:sz w:val="20"/>
          <w:szCs w:val="20"/>
        </w:rPr>
        <w:t xml:space="preserve"> y </w:t>
      </w:r>
      <w:r w:rsidR="0065705B">
        <w:rPr>
          <w:rFonts w:ascii="Verdana" w:hAnsi="Verdana" w:cs="Times New Roman"/>
          <w:sz w:val="20"/>
          <w:szCs w:val="20"/>
        </w:rPr>
        <w:t xml:space="preserve">(ii) </w:t>
      </w:r>
      <w:r w:rsidRPr="004E66B4">
        <w:rPr>
          <w:rFonts w:ascii="Verdana" w:hAnsi="Verdana" w:cs="Times New Roman"/>
          <w:sz w:val="20"/>
          <w:szCs w:val="20"/>
        </w:rPr>
        <w:t>la libertad de toda persona de no ser compelida y obligada a asociarse</w:t>
      </w:r>
      <w:r w:rsidRPr="004E66B4">
        <w:rPr>
          <w:rStyle w:val="FootnoteReference"/>
          <w:rFonts w:ascii="Verdana" w:hAnsi="Verdana" w:cs="Times New Roman"/>
          <w:sz w:val="20"/>
          <w:szCs w:val="20"/>
        </w:rPr>
        <w:footnoteReference w:id="42"/>
      </w:r>
      <w:r w:rsidRPr="004E66B4">
        <w:rPr>
          <w:rFonts w:ascii="Verdana" w:hAnsi="Verdana" w:cs="Times New Roman"/>
          <w:sz w:val="20"/>
          <w:szCs w:val="20"/>
        </w:rPr>
        <w:t xml:space="preserve">. </w:t>
      </w:r>
    </w:p>
    <w:p w14:paraId="17D3A863" w14:textId="77777777" w:rsidR="009E0482" w:rsidRPr="004E66B4" w:rsidRDefault="009E0482" w:rsidP="00AD360E">
      <w:pPr>
        <w:jc w:val="both"/>
        <w:rPr>
          <w:rFonts w:ascii="Verdana" w:hAnsi="Verdana" w:cs="Times New Roman"/>
          <w:sz w:val="20"/>
          <w:szCs w:val="20"/>
        </w:rPr>
      </w:pPr>
    </w:p>
    <w:p w14:paraId="2DEFAA8B" w14:textId="4F993058" w:rsidR="009E0482" w:rsidRPr="004E66B4" w:rsidRDefault="009E0482" w:rsidP="00AD360E">
      <w:pPr>
        <w:pStyle w:val="ListParagraph"/>
        <w:numPr>
          <w:ilvl w:val="0"/>
          <w:numId w:val="2"/>
        </w:numPr>
        <w:ind w:left="0" w:firstLine="0"/>
        <w:jc w:val="both"/>
        <w:rPr>
          <w:rFonts w:ascii="Verdana" w:hAnsi="Verdana" w:cs="Times New Roman"/>
          <w:sz w:val="20"/>
          <w:szCs w:val="20"/>
        </w:rPr>
      </w:pPr>
      <w:r w:rsidRPr="004E66B4">
        <w:rPr>
          <w:rFonts w:ascii="Verdana" w:hAnsi="Verdana" w:cs="Times New Roman"/>
          <w:sz w:val="20"/>
          <w:szCs w:val="20"/>
        </w:rPr>
        <w:t xml:space="preserve">En el caso </w:t>
      </w:r>
      <w:proofErr w:type="spellStart"/>
      <w:r w:rsidRPr="004E66B4">
        <w:rPr>
          <w:rFonts w:ascii="Verdana" w:hAnsi="Verdana" w:cs="Times New Roman"/>
          <w:i/>
          <w:sz w:val="20"/>
          <w:szCs w:val="20"/>
        </w:rPr>
        <w:t>Huilca</w:t>
      </w:r>
      <w:proofErr w:type="spellEnd"/>
      <w:r w:rsidRPr="004E66B4">
        <w:rPr>
          <w:rFonts w:ascii="Verdana" w:hAnsi="Verdana" w:cs="Times New Roman"/>
          <w:i/>
          <w:sz w:val="20"/>
          <w:szCs w:val="20"/>
        </w:rPr>
        <w:t xml:space="preserve"> </w:t>
      </w:r>
      <w:proofErr w:type="spellStart"/>
      <w:r w:rsidRPr="004E66B4">
        <w:rPr>
          <w:rFonts w:ascii="Verdana" w:hAnsi="Verdana" w:cs="Times New Roman"/>
          <w:i/>
          <w:sz w:val="20"/>
          <w:szCs w:val="20"/>
        </w:rPr>
        <w:t>Tecse</w:t>
      </w:r>
      <w:proofErr w:type="spellEnd"/>
      <w:r w:rsidRPr="004E66B4">
        <w:rPr>
          <w:rFonts w:ascii="Verdana" w:hAnsi="Verdana" w:cs="Times New Roman"/>
          <w:sz w:val="20"/>
          <w:szCs w:val="20"/>
        </w:rPr>
        <w:t>, tras el reconocimiento de res</w:t>
      </w:r>
      <w:r w:rsidR="000E4AFD">
        <w:rPr>
          <w:rFonts w:ascii="Verdana" w:hAnsi="Verdana" w:cs="Times New Roman"/>
          <w:sz w:val="20"/>
          <w:szCs w:val="20"/>
        </w:rPr>
        <w:t>ponsabilidad internacional realizada</w:t>
      </w:r>
      <w:r w:rsidRPr="004E66B4">
        <w:rPr>
          <w:rFonts w:ascii="Verdana" w:hAnsi="Verdana" w:cs="Times New Roman"/>
          <w:sz w:val="20"/>
          <w:szCs w:val="20"/>
        </w:rPr>
        <w:t xml:space="preserve"> por el Estado peruano, la Corte </w:t>
      </w:r>
      <w:r w:rsidR="00142E2B" w:rsidRPr="004E66B4">
        <w:rPr>
          <w:rFonts w:ascii="Verdana" w:hAnsi="Verdana" w:cs="Times New Roman"/>
          <w:sz w:val="20"/>
          <w:szCs w:val="20"/>
        </w:rPr>
        <w:t xml:space="preserve">IDH </w:t>
      </w:r>
      <w:r w:rsidRPr="004E66B4">
        <w:rPr>
          <w:rFonts w:ascii="Verdana" w:hAnsi="Verdana" w:cs="Times New Roman"/>
          <w:sz w:val="20"/>
          <w:szCs w:val="20"/>
        </w:rPr>
        <w:t xml:space="preserve">consideró que la ejecución extrajudicial del señor Pedro </w:t>
      </w:r>
      <w:proofErr w:type="spellStart"/>
      <w:r w:rsidRPr="004E66B4">
        <w:rPr>
          <w:rFonts w:ascii="Verdana" w:hAnsi="Verdana" w:cs="Times New Roman"/>
          <w:sz w:val="20"/>
          <w:szCs w:val="20"/>
        </w:rPr>
        <w:t>Huilca</w:t>
      </w:r>
      <w:proofErr w:type="spellEnd"/>
      <w:r w:rsidRPr="004E66B4">
        <w:rPr>
          <w:rFonts w:ascii="Verdana" w:hAnsi="Verdana" w:cs="Times New Roman"/>
          <w:sz w:val="20"/>
          <w:szCs w:val="20"/>
        </w:rPr>
        <w:t xml:space="preserve"> </w:t>
      </w:r>
      <w:proofErr w:type="spellStart"/>
      <w:r w:rsidRPr="004E66B4">
        <w:rPr>
          <w:rFonts w:ascii="Verdana" w:hAnsi="Verdana" w:cs="Times New Roman"/>
          <w:sz w:val="20"/>
          <w:szCs w:val="20"/>
        </w:rPr>
        <w:t>Tecse</w:t>
      </w:r>
      <w:proofErr w:type="spellEnd"/>
      <w:r w:rsidRPr="004E66B4">
        <w:rPr>
          <w:rFonts w:ascii="Verdana" w:hAnsi="Verdana" w:cs="Times New Roman"/>
          <w:sz w:val="20"/>
          <w:szCs w:val="20"/>
        </w:rPr>
        <w:t xml:space="preserve"> </w:t>
      </w:r>
      <w:r w:rsidRPr="004E66B4">
        <w:rPr>
          <w:rFonts w:ascii="Verdana" w:hAnsi="Verdana" w:cs="Times New Roman"/>
          <w:i/>
          <w:sz w:val="20"/>
          <w:szCs w:val="20"/>
          <w:u w:val="single"/>
        </w:rPr>
        <w:t>había configurado una violación del contenido del derecho a la libertad de asociación, en relación con la libertad sindical</w:t>
      </w:r>
      <w:r w:rsidRPr="00075518">
        <w:rPr>
          <w:rStyle w:val="FootnoteReference"/>
          <w:rFonts w:ascii="Verdana" w:hAnsi="Verdana" w:cs="Times New Roman"/>
          <w:sz w:val="20"/>
          <w:szCs w:val="20"/>
        </w:rPr>
        <w:footnoteReference w:id="43"/>
      </w:r>
      <w:r w:rsidRPr="00075518">
        <w:rPr>
          <w:rFonts w:ascii="Verdana" w:hAnsi="Verdana" w:cs="Times New Roman"/>
          <w:sz w:val="20"/>
          <w:szCs w:val="20"/>
        </w:rPr>
        <w:t>.</w:t>
      </w:r>
      <w:r w:rsidRPr="004E66B4">
        <w:rPr>
          <w:rFonts w:ascii="Verdana" w:hAnsi="Verdana" w:cs="Times New Roman"/>
          <w:i/>
          <w:sz w:val="20"/>
          <w:szCs w:val="20"/>
        </w:rPr>
        <w:t xml:space="preserve"> </w:t>
      </w:r>
      <w:r w:rsidRPr="004E66B4">
        <w:rPr>
          <w:rFonts w:ascii="Verdana" w:hAnsi="Verdana" w:cs="Times New Roman"/>
          <w:sz w:val="20"/>
          <w:szCs w:val="20"/>
        </w:rPr>
        <w:t xml:space="preserve">Además, el Tribunal Interamericano estableció que la ejecución de un líder sindical, no solo restringía la libertad de asociación de un individuo, sino también el derecho y la libertad de determinado grupo a asociarse libremente, sin miedo o temor, de donde resulta que el derecho protegido por el articulo 16 tiene un alcance y un carácter especial. </w:t>
      </w:r>
      <w:r w:rsidRPr="004E66B4">
        <w:rPr>
          <w:rFonts w:ascii="Verdana" w:hAnsi="Verdana" w:cs="Times New Roman"/>
          <w:i/>
          <w:sz w:val="20"/>
          <w:szCs w:val="20"/>
          <w:u w:val="single"/>
        </w:rPr>
        <w:t>Se ponen así de manifiesto las dos dimensiones de la libertad de asociación</w:t>
      </w:r>
      <w:r w:rsidRPr="004E66B4">
        <w:rPr>
          <w:rStyle w:val="FootnoteReference"/>
          <w:rFonts w:ascii="Verdana" w:hAnsi="Verdana" w:cs="Times New Roman"/>
          <w:sz w:val="20"/>
          <w:szCs w:val="20"/>
        </w:rPr>
        <w:footnoteReference w:id="44"/>
      </w:r>
      <w:r w:rsidRPr="00075518">
        <w:rPr>
          <w:rFonts w:ascii="Verdana" w:hAnsi="Verdana" w:cs="Times New Roman"/>
          <w:sz w:val="20"/>
          <w:szCs w:val="20"/>
        </w:rPr>
        <w:t>.</w:t>
      </w:r>
    </w:p>
    <w:p w14:paraId="5E6E6266" w14:textId="77777777" w:rsidR="009E0482" w:rsidRPr="004E66B4" w:rsidRDefault="009E0482" w:rsidP="00AD360E">
      <w:pPr>
        <w:jc w:val="both"/>
        <w:rPr>
          <w:rFonts w:ascii="Verdana" w:hAnsi="Verdana" w:cs="Times New Roman"/>
          <w:i/>
          <w:sz w:val="20"/>
          <w:szCs w:val="20"/>
          <w:u w:val="single"/>
        </w:rPr>
      </w:pPr>
    </w:p>
    <w:p w14:paraId="4BC1BCF8" w14:textId="0D2921D8" w:rsidR="009E0482" w:rsidRPr="004E66B4" w:rsidRDefault="009E0482" w:rsidP="00AD360E">
      <w:pPr>
        <w:pStyle w:val="ListParagraph"/>
        <w:numPr>
          <w:ilvl w:val="0"/>
          <w:numId w:val="2"/>
        </w:numPr>
        <w:ind w:left="0" w:firstLine="0"/>
        <w:jc w:val="both"/>
        <w:rPr>
          <w:rFonts w:ascii="Verdana" w:hAnsi="Verdana" w:cs="Times New Roman"/>
          <w:i/>
          <w:sz w:val="20"/>
          <w:szCs w:val="20"/>
          <w:u w:val="single"/>
        </w:rPr>
      </w:pPr>
      <w:r w:rsidRPr="004E66B4">
        <w:rPr>
          <w:rFonts w:ascii="Verdana" w:hAnsi="Verdana" w:cs="Times New Roman"/>
          <w:sz w:val="20"/>
          <w:szCs w:val="20"/>
        </w:rPr>
        <w:t>Sobre las dos dimensiones</w:t>
      </w:r>
      <w:r w:rsidR="00075518">
        <w:rPr>
          <w:rFonts w:ascii="Verdana" w:hAnsi="Verdana" w:cs="Times New Roman"/>
          <w:sz w:val="20"/>
          <w:szCs w:val="20"/>
        </w:rPr>
        <w:t xml:space="preserve"> del derecho de asociación</w:t>
      </w:r>
      <w:r w:rsidRPr="004E66B4">
        <w:rPr>
          <w:rFonts w:ascii="Verdana" w:hAnsi="Verdana" w:cs="Times New Roman"/>
          <w:sz w:val="20"/>
          <w:szCs w:val="20"/>
        </w:rPr>
        <w:t xml:space="preserve">, la individual y </w:t>
      </w:r>
      <w:r w:rsidR="00075518">
        <w:rPr>
          <w:rFonts w:ascii="Verdana" w:hAnsi="Verdana" w:cs="Times New Roman"/>
          <w:sz w:val="20"/>
          <w:szCs w:val="20"/>
        </w:rPr>
        <w:t>la social,</w:t>
      </w:r>
      <w:r w:rsidRPr="004E66B4">
        <w:rPr>
          <w:rFonts w:ascii="Verdana" w:hAnsi="Verdana" w:cs="Times New Roman"/>
          <w:sz w:val="20"/>
          <w:szCs w:val="20"/>
        </w:rPr>
        <w:t xml:space="preserve"> la Corte</w:t>
      </w:r>
      <w:r w:rsidR="00BD303A" w:rsidRPr="004E66B4">
        <w:rPr>
          <w:rFonts w:ascii="Verdana" w:hAnsi="Verdana" w:cs="Times New Roman"/>
          <w:sz w:val="20"/>
          <w:szCs w:val="20"/>
        </w:rPr>
        <w:t xml:space="preserve"> IDH</w:t>
      </w:r>
      <w:r w:rsidRPr="004E66B4">
        <w:rPr>
          <w:rFonts w:ascii="Verdana" w:hAnsi="Verdana" w:cs="Times New Roman"/>
          <w:sz w:val="20"/>
          <w:szCs w:val="20"/>
        </w:rPr>
        <w:t xml:space="preserve"> agregó que:</w:t>
      </w:r>
    </w:p>
    <w:p w14:paraId="627B4EBB" w14:textId="77777777" w:rsidR="009E0482" w:rsidRPr="004E66B4" w:rsidRDefault="009E0482" w:rsidP="00AD360E">
      <w:pPr>
        <w:pStyle w:val="ListParagraph"/>
        <w:ind w:left="0"/>
        <w:jc w:val="both"/>
        <w:rPr>
          <w:rFonts w:ascii="Verdana" w:hAnsi="Verdana" w:cs="Times New Roman"/>
          <w:i/>
          <w:sz w:val="20"/>
          <w:szCs w:val="20"/>
          <w:u w:val="single"/>
        </w:rPr>
      </w:pPr>
    </w:p>
    <w:p w14:paraId="2F885791" w14:textId="3119C85C" w:rsidR="009E0482" w:rsidRDefault="009E0482" w:rsidP="004B76C5">
      <w:pPr>
        <w:ind w:left="709" w:right="738"/>
        <w:jc w:val="both"/>
        <w:rPr>
          <w:rFonts w:ascii="Verdana" w:hAnsi="Verdana" w:cs="Times New Roman"/>
          <w:sz w:val="16"/>
          <w:szCs w:val="16"/>
        </w:rPr>
      </w:pPr>
      <w:r w:rsidRPr="004E66B4">
        <w:rPr>
          <w:rFonts w:ascii="Verdana" w:hAnsi="Verdana" w:cs="Times New Roman"/>
          <w:sz w:val="16"/>
          <w:szCs w:val="16"/>
        </w:rPr>
        <w:t xml:space="preserve">70. En su </w:t>
      </w:r>
      <w:r w:rsidRPr="004E66B4">
        <w:rPr>
          <w:rFonts w:ascii="Verdana" w:hAnsi="Verdana" w:cs="Times New Roman"/>
          <w:sz w:val="16"/>
          <w:szCs w:val="16"/>
          <w:u w:val="single"/>
        </w:rPr>
        <w:t>dimensión individual</w:t>
      </w:r>
      <w:r w:rsidRPr="004E66B4">
        <w:rPr>
          <w:rFonts w:ascii="Verdana" w:hAnsi="Verdana" w:cs="Times New Roman"/>
          <w:sz w:val="16"/>
          <w:szCs w:val="16"/>
        </w:rPr>
        <w:t>, la libertad de asociación, en materia laboral, no se agota con el reconocimiento teórico del derecho a formar sindicatos, sino que comprende además, inseparablemente, el derecho a utilizar cualquier medio apropiado para ejercer esa libertad. Cuando la Convención proclama que la libertad de asociación comprende el derecho de asociarse libremente con fines “de cualquier [...] índole”, está subrayando que la libertad para asociarse y la persecución de ciertos fines colectivos son indivisibles, de modo que una restricción de las posibilidades de asociarse representa directamente, y en la misma medida, un límite al derecho de la colectividad de alcanzar lo</w:t>
      </w:r>
      <w:r w:rsidR="00357AA1">
        <w:rPr>
          <w:rFonts w:ascii="Verdana" w:hAnsi="Verdana" w:cs="Times New Roman"/>
          <w:sz w:val="16"/>
          <w:szCs w:val="16"/>
        </w:rPr>
        <w:t>s fines que se proponga. De ahí</w:t>
      </w:r>
      <w:r w:rsidRPr="004E66B4">
        <w:rPr>
          <w:rFonts w:ascii="Verdana" w:hAnsi="Verdana" w:cs="Times New Roman"/>
          <w:sz w:val="16"/>
          <w:szCs w:val="16"/>
        </w:rPr>
        <w:t xml:space="preserve"> la importancia de la adecuación con la Convención del régimen legal aplicable a los sindicatos y de las acciones del Estado, o que ocurran con tolerancia de este, que pudieran hacer i</w:t>
      </w:r>
      <w:r w:rsidR="00357AA1">
        <w:rPr>
          <w:rFonts w:ascii="Verdana" w:hAnsi="Verdana" w:cs="Times New Roman"/>
          <w:sz w:val="16"/>
          <w:szCs w:val="16"/>
        </w:rPr>
        <w:t>noperante este derecho en la prá</w:t>
      </w:r>
      <w:r w:rsidRPr="004E66B4">
        <w:rPr>
          <w:rFonts w:ascii="Verdana" w:hAnsi="Verdana" w:cs="Times New Roman"/>
          <w:sz w:val="16"/>
          <w:szCs w:val="16"/>
        </w:rPr>
        <w:t xml:space="preserve">ctica. </w:t>
      </w:r>
    </w:p>
    <w:p w14:paraId="43A384F0" w14:textId="77777777" w:rsidR="004B76C5" w:rsidRPr="004E66B4" w:rsidRDefault="004B76C5" w:rsidP="004B76C5">
      <w:pPr>
        <w:ind w:left="709" w:right="738"/>
        <w:jc w:val="both"/>
        <w:rPr>
          <w:rFonts w:ascii="Verdana" w:hAnsi="Verdana" w:cs="Times New Roman"/>
          <w:sz w:val="16"/>
          <w:szCs w:val="16"/>
        </w:rPr>
      </w:pPr>
    </w:p>
    <w:p w14:paraId="1C942447" w14:textId="77777777" w:rsidR="009E0482" w:rsidRPr="004E66B4" w:rsidRDefault="009E0482" w:rsidP="004B76C5">
      <w:pPr>
        <w:ind w:left="709" w:right="738"/>
        <w:jc w:val="both"/>
        <w:rPr>
          <w:rFonts w:ascii="Verdana" w:hAnsi="Verdana" w:cs="Times New Roman"/>
          <w:sz w:val="16"/>
          <w:szCs w:val="16"/>
        </w:rPr>
      </w:pPr>
      <w:r w:rsidRPr="004E66B4">
        <w:rPr>
          <w:rFonts w:ascii="Verdana" w:hAnsi="Verdana" w:cs="Times New Roman"/>
          <w:sz w:val="16"/>
          <w:szCs w:val="16"/>
        </w:rPr>
        <w:t xml:space="preserve">71. En su </w:t>
      </w:r>
      <w:r w:rsidRPr="004E66B4">
        <w:rPr>
          <w:rFonts w:ascii="Verdana" w:hAnsi="Verdana" w:cs="Times New Roman"/>
          <w:sz w:val="16"/>
          <w:szCs w:val="16"/>
          <w:u w:val="single"/>
        </w:rPr>
        <w:t>dimensión social</w:t>
      </w:r>
      <w:r w:rsidRPr="004E66B4">
        <w:rPr>
          <w:rFonts w:ascii="Verdana" w:hAnsi="Verdana" w:cs="Times New Roman"/>
          <w:sz w:val="16"/>
          <w:szCs w:val="16"/>
        </w:rPr>
        <w:t xml:space="preserve"> la libertad de asociación es un medio que permite a los integrantes de un grupo o colectividad laboral alcanzar determinados fines en conjunto y beneficiarse de los mismos. </w:t>
      </w:r>
    </w:p>
    <w:p w14:paraId="7A408005" w14:textId="7A0DD80F" w:rsidR="009E0482" w:rsidRPr="004E66B4" w:rsidRDefault="009E0482" w:rsidP="00577626">
      <w:pPr>
        <w:pStyle w:val="ListParagraph"/>
        <w:ind w:left="709" w:right="918"/>
        <w:jc w:val="both"/>
        <w:rPr>
          <w:rFonts w:ascii="Verdana" w:hAnsi="Verdana" w:cs="Times New Roman"/>
          <w:sz w:val="16"/>
          <w:szCs w:val="16"/>
          <w:u w:val="single"/>
        </w:rPr>
      </w:pPr>
      <w:r w:rsidRPr="004E66B4">
        <w:rPr>
          <w:rFonts w:ascii="Verdana" w:hAnsi="Verdana" w:cs="Times New Roman"/>
          <w:sz w:val="16"/>
          <w:szCs w:val="16"/>
        </w:rPr>
        <w:lastRenderedPageBreak/>
        <w:t xml:space="preserve">72. </w:t>
      </w:r>
      <w:r w:rsidRPr="004E66B4">
        <w:rPr>
          <w:rFonts w:ascii="Verdana" w:hAnsi="Verdana" w:cs="Times New Roman"/>
          <w:sz w:val="16"/>
          <w:szCs w:val="16"/>
          <w:u w:val="single"/>
        </w:rPr>
        <w:t>Las dos dimensiones mencionadas de la libertad de asociación deben ser garantizadas simultáneamente,</w:t>
      </w:r>
      <w:r w:rsidRPr="004E66B4">
        <w:rPr>
          <w:rFonts w:ascii="Verdana" w:hAnsi="Verdana" w:cs="Times New Roman"/>
          <w:sz w:val="16"/>
          <w:szCs w:val="16"/>
        </w:rPr>
        <w:t xml:space="preserve"> sin perjuicio de las restricciones pe</w:t>
      </w:r>
      <w:r w:rsidR="00357AA1">
        <w:rPr>
          <w:rFonts w:ascii="Verdana" w:hAnsi="Verdana" w:cs="Times New Roman"/>
          <w:sz w:val="16"/>
          <w:szCs w:val="16"/>
        </w:rPr>
        <w:t>rmitidas en el inciso 2 del artí</w:t>
      </w:r>
      <w:r w:rsidRPr="004E66B4">
        <w:rPr>
          <w:rFonts w:ascii="Verdana" w:hAnsi="Verdana" w:cs="Times New Roman"/>
          <w:sz w:val="16"/>
          <w:szCs w:val="16"/>
        </w:rPr>
        <w:t>culo 16 de la Convención</w:t>
      </w:r>
      <w:r w:rsidRPr="004E66B4">
        <w:rPr>
          <w:rStyle w:val="FootnoteReference"/>
          <w:rFonts w:ascii="Verdana" w:hAnsi="Verdana" w:cs="Times New Roman"/>
          <w:sz w:val="16"/>
          <w:szCs w:val="16"/>
        </w:rPr>
        <w:footnoteReference w:id="45"/>
      </w:r>
      <w:r w:rsidRPr="004E66B4">
        <w:rPr>
          <w:rFonts w:ascii="Verdana" w:hAnsi="Verdana" w:cs="Times New Roman"/>
          <w:sz w:val="16"/>
          <w:szCs w:val="16"/>
        </w:rPr>
        <w:t>.</w:t>
      </w:r>
    </w:p>
    <w:p w14:paraId="177C43EB" w14:textId="77777777" w:rsidR="009E0482" w:rsidRPr="004E66B4" w:rsidRDefault="009E0482" w:rsidP="00AD360E">
      <w:pPr>
        <w:jc w:val="both"/>
        <w:rPr>
          <w:rFonts w:ascii="Verdana" w:hAnsi="Verdana" w:cs="Times New Roman"/>
          <w:sz w:val="20"/>
          <w:szCs w:val="20"/>
          <w:u w:val="single"/>
        </w:rPr>
      </w:pPr>
    </w:p>
    <w:p w14:paraId="15464AD7" w14:textId="7EDB17DF" w:rsidR="009E0482" w:rsidRPr="004E66B4" w:rsidRDefault="002971BB" w:rsidP="00AD360E">
      <w:pPr>
        <w:pStyle w:val="ListParagraph"/>
        <w:numPr>
          <w:ilvl w:val="0"/>
          <w:numId w:val="2"/>
        </w:numPr>
        <w:ind w:left="0" w:firstLine="0"/>
        <w:jc w:val="both"/>
        <w:rPr>
          <w:rFonts w:ascii="Verdana" w:hAnsi="Verdana" w:cs="Times New Roman"/>
          <w:i/>
          <w:sz w:val="20"/>
          <w:szCs w:val="20"/>
        </w:rPr>
      </w:pPr>
      <w:r>
        <w:rPr>
          <w:rFonts w:ascii="Verdana" w:hAnsi="Verdana" w:cs="Times New Roman"/>
          <w:sz w:val="20"/>
          <w:szCs w:val="20"/>
        </w:rPr>
        <w:t>En ese mismo caso,</w:t>
      </w:r>
      <w:r w:rsidR="009E0482" w:rsidRPr="004E66B4">
        <w:rPr>
          <w:rFonts w:ascii="Verdana" w:hAnsi="Verdana" w:cs="Times New Roman"/>
          <w:sz w:val="20"/>
          <w:szCs w:val="20"/>
        </w:rPr>
        <w:t xml:space="preserve"> la Corte I</w:t>
      </w:r>
      <w:r w:rsidR="00075518">
        <w:rPr>
          <w:rFonts w:ascii="Verdana" w:hAnsi="Verdana" w:cs="Times New Roman"/>
          <w:sz w:val="20"/>
          <w:szCs w:val="20"/>
        </w:rPr>
        <w:t>DH</w:t>
      </w:r>
      <w:r w:rsidR="009E0482" w:rsidRPr="004E66B4">
        <w:rPr>
          <w:rFonts w:ascii="Verdana" w:hAnsi="Verdana" w:cs="Times New Roman"/>
          <w:sz w:val="20"/>
          <w:szCs w:val="20"/>
        </w:rPr>
        <w:t xml:space="preserve"> se refirió, por primera vez, al Protocolo de San Salvador y al Convenio No. 87 de la Organización Internacional de Trabajo, relativo a la Libertad Sindical y a la Protec</w:t>
      </w:r>
      <w:r w:rsidR="000E4AFD">
        <w:rPr>
          <w:rFonts w:ascii="Verdana" w:hAnsi="Verdana" w:cs="Times New Roman"/>
          <w:sz w:val="20"/>
          <w:szCs w:val="20"/>
        </w:rPr>
        <w:t>ción del Derecho de Sindicación;</w:t>
      </w:r>
      <w:r w:rsidR="009E0482" w:rsidRPr="004E66B4">
        <w:rPr>
          <w:rFonts w:ascii="Verdana" w:hAnsi="Verdana" w:cs="Times New Roman"/>
          <w:sz w:val="20"/>
          <w:szCs w:val="20"/>
        </w:rPr>
        <w:t xml:space="preserve"> los cuales en sus artículos 8.1.a y 11, respecti</w:t>
      </w:r>
      <w:r w:rsidR="00142E2B" w:rsidRPr="004E66B4">
        <w:rPr>
          <w:rFonts w:ascii="Verdana" w:hAnsi="Verdana" w:cs="Times New Roman"/>
          <w:sz w:val="20"/>
          <w:szCs w:val="20"/>
        </w:rPr>
        <w:t>vamente, comprenden</w:t>
      </w:r>
      <w:r w:rsidR="009E0482" w:rsidRPr="004E66B4">
        <w:rPr>
          <w:rFonts w:ascii="Verdana" w:hAnsi="Verdana" w:cs="Times New Roman"/>
          <w:sz w:val="20"/>
          <w:szCs w:val="20"/>
        </w:rPr>
        <w:t xml:space="preserve"> la obligación del Estado de permitir que los sindicatos, federaci</w:t>
      </w:r>
      <w:r w:rsidR="00C17861">
        <w:rPr>
          <w:rFonts w:ascii="Verdana" w:hAnsi="Verdana" w:cs="Times New Roman"/>
          <w:sz w:val="20"/>
          <w:szCs w:val="20"/>
        </w:rPr>
        <w:t>ones y confederaciones funcionen</w:t>
      </w:r>
      <w:r w:rsidR="009E0482" w:rsidRPr="004E66B4">
        <w:rPr>
          <w:rFonts w:ascii="Verdana" w:hAnsi="Verdana" w:cs="Times New Roman"/>
          <w:sz w:val="20"/>
          <w:szCs w:val="20"/>
        </w:rPr>
        <w:t xml:space="preserve"> libremente</w:t>
      </w:r>
      <w:r w:rsidR="009E0482" w:rsidRPr="004E66B4">
        <w:rPr>
          <w:rStyle w:val="FootnoteReference"/>
          <w:rFonts w:ascii="Verdana" w:hAnsi="Verdana" w:cs="Times New Roman"/>
          <w:sz w:val="20"/>
          <w:szCs w:val="20"/>
        </w:rPr>
        <w:footnoteReference w:id="46"/>
      </w:r>
      <w:r w:rsidR="009E0482" w:rsidRPr="004E66B4">
        <w:rPr>
          <w:rFonts w:ascii="Verdana" w:hAnsi="Verdana" w:cs="Times New Roman"/>
          <w:sz w:val="20"/>
          <w:szCs w:val="20"/>
        </w:rPr>
        <w:t xml:space="preserve">. </w:t>
      </w:r>
    </w:p>
    <w:p w14:paraId="44B1E3FC" w14:textId="77777777" w:rsidR="009E0482" w:rsidRPr="004E66B4" w:rsidRDefault="009E0482" w:rsidP="00AD360E">
      <w:pPr>
        <w:pStyle w:val="ListParagraph"/>
        <w:ind w:left="0"/>
        <w:jc w:val="both"/>
        <w:rPr>
          <w:rFonts w:ascii="Verdana" w:hAnsi="Verdana" w:cs="Times New Roman"/>
          <w:i/>
          <w:sz w:val="20"/>
          <w:szCs w:val="20"/>
        </w:rPr>
      </w:pPr>
    </w:p>
    <w:p w14:paraId="77841821" w14:textId="60474F93" w:rsidR="009E0482" w:rsidRPr="004E66B4" w:rsidRDefault="009E0482" w:rsidP="00AD360E">
      <w:pPr>
        <w:pStyle w:val="ListParagraph"/>
        <w:numPr>
          <w:ilvl w:val="0"/>
          <w:numId w:val="2"/>
        </w:numPr>
        <w:ind w:left="0" w:firstLine="0"/>
        <w:jc w:val="both"/>
        <w:rPr>
          <w:rFonts w:ascii="Verdana" w:hAnsi="Verdana" w:cs="Times New Roman"/>
          <w:i/>
          <w:sz w:val="20"/>
          <w:szCs w:val="20"/>
        </w:rPr>
      </w:pPr>
      <w:r w:rsidRPr="004E66B4">
        <w:rPr>
          <w:rFonts w:ascii="Verdana" w:hAnsi="Verdana" w:cs="Times New Roman"/>
          <w:sz w:val="20"/>
          <w:szCs w:val="20"/>
        </w:rPr>
        <w:t xml:space="preserve">En el caso </w:t>
      </w:r>
      <w:r w:rsidRPr="004E66B4">
        <w:rPr>
          <w:rFonts w:ascii="Verdana" w:hAnsi="Verdana" w:cs="Times New Roman"/>
          <w:i/>
          <w:sz w:val="20"/>
          <w:szCs w:val="20"/>
        </w:rPr>
        <w:t xml:space="preserve">Cantoral </w:t>
      </w:r>
      <w:proofErr w:type="spellStart"/>
      <w:r w:rsidRPr="004E66B4">
        <w:rPr>
          <w:rFonts w:ascii="Verdana" w:hAnsi="Verdana" w:cs="Times New Roman"/>
          <w:i/>
          <w:sz w:val="20"/>
          <w:szCs w:val="20"/>
        </w:rPr>
        <w:t>Huamaní</w:t>
      </w:r>
      <w:proofErr w:type="spellEnd"/>
      <w:r w:rsidRPr="004E66B4">
        <w:rPr>
          <w:rFonts w:ascii="Verdana" w:hAnsi="Verdana" w:cs="Times New Roman"/>
          <w:i/>
          <w:sz w:val="20"/>
          <w:szCs w:val="20"/>
        </w:rPr>
        <w:t xml:space="preserve"> y García Santa Cruz</w:t>
      </w:r>
      <w:r w:rsidRPr="004E66B4">
        <w:rPr>
          <w:rFonts w:ascii="Verdana" w:hAnsi="Verdana" w:cs="Times New Roman"/>
          <w:sz w:val="20"/>
          <w:szCs w:val="20"/>
        </w:rPr>
        <w:t xml:space="preserve">, </w:t>
      </w:r>
      <w:r w:rsidR="00075518">
        <w:rPr>
          <w:rFonts w:ascii="Verdana" w:hAnsi="Verdana" w:cs="Times New Roman"/>
          <w:sz w:val="20"/>
          <w:szCs w:val="20"/>
        </w:rPr>
        <w:t>el Tribunal Interamericano</w:t>
      </w:r>
      <w:r w:rsidR="00BD5340">
        <w:rPr>
          <w:rFonts w:ascii="Verdana" w:hAnsi="Verdana" w:cs="Times New Roman"/>
          <w:sz w:val="20"/>
          <w:szCs w:val="20"/>
        </w:rPr>
        <w:t xml:space="preserve"> consideró violado el artí</w:t>
      </w:r>
      <w:r w:rsidRPr="004E66B4">
        <w:rPr>
          <w:rFonts w:ascii="Verdana" w:hAnsi="Verdana" w:cs="Times New Roman"/>
          <w:sz w:val="20"/>
          <w:szCs w:val="20"/>
        </w:rPr>
        <w:t>culo 16</w:t>
      </w:r>
      <w:r w:rsidR="00C17861">
        <w:rPr>
          <w:rFonts w:ascii="Verdana" w:hAnsi="Verdana" w:cs="Times New Roman"/>
          <w:sz w:val="20"/>
          <w:szCs w:val="20"/>
        </w:rPr>
        <w:t xml:space="preserve"> del Pacto de San José</w:t>
      </w:r>
      <w:r w:rsidR="00BD5340">
        <w:rPr>
          <w:rFonts w:ascii="Verdana" w:hAnsi="Verdana" w:cs="Times New Roman"/>
          <w:sz w:val="20"/>
          <w:szCs w:val="20"/>
        </w:rPr>
        <w:t>. Ello</w:t>
      </w:r>
      <w:r w:rsidRPr="004E66B4">
        <w:rPr>
          <w:rFonts w:ascii="Verdana" w:hAnsi="Verdana" w:cs="Times New Roman"/>
          <w:sz w:val="20"/>
          <w:szCs w:val="20"/>
        </w:rPr>
        <w:t xml:space="preserve"> en virtud de que las ejecuciones de las victimas tuvieron un efecto amedrentador e intimidador en los trabajadores del movimient</w:t>
      </w:r>
      <w:r w:rsidR="002971BB">
        <w:rPr>
          <w:rFonts w:ascii="Verdana" w:hAnsi="Verdana" w:cs="Times New Roman"/>
          <w:sz w:val="20"/>
          <w:szCs w:val="20"/>
        </w:rPr>
        <w:t>o sindical minero peruano. Esas</w:t>
      </w:r>
      <w:r w:rsidR="00BD5340">
        <w:rPr>
          <w:rFonts w:ascii="Verdana" w:hAnsi="Verdana" w:cs="Times New Roman"/>
          <w:sz w:val="20"/>
          <w:szCs w:val="20"/>
        </w:rPr>
        <w:t xml:space="preserve"> ejecuciones no restringieron so</w:t>
      </w:r>
      <w:r w:rsidRPr="004E66B4">
        <w:rPr>
          <w:rFonts w:ascii="Verdana" w:hAnsi="Verdana" w:cs="Times New Roman"/>
          <w:sz w:val="20"/>
          <w:szCs w:val="20"/>
        </w:rPr>
        <w:t xml:space="preserve">lo la libertad de un grupo determinado para asociarse libremente sin miedo o temor, </w:t>
      </w:r>
      <w:r w:rsidR="00BD5340">
        <w:rPr>
          <w:rFonts w:ascii="Verdana" w:hAnsi="Verdana" w:cs="Times New Roman"/>
          <w:sz w:val="20"/>
          <w:szCs w:val="20"/>
        </w:rPr>
        <w:t>sino</w:t>
      </w:r>
      <w:r w:rsidRPr="004E66B4">
        <w:rPr>
          <w:rFonts w:ascii="Verdana" w:hAnsi="Verdana" w:cs="Times New Roman"/>
          <w:sz w:val="20"/>
          <w:szCs w:val="20"/>
        </w:rPr>
        <w:t xml:space="preserve"> se afectó la libertad de los trabajadores mineros para ejercer este derecho</w:t>
      </w:r>
      <w:r w:rsidRPr="004E66B4">
        <w:rPr>
          <w:rStyle w:val="FootnoteReference"/>
          <w:rFonts w:ascii="Verdana" w:hAnsi="Verdana" w:cs="Times New Roman"/>
          <w:sz w:val="20"/>
          <w:szCs w:val="20"/>
        </w:rPr>
        <w:footnoteReference w:id="47"/>
      </w:r>
      <w:r w:rsidRPr="004E66B4">
        <w:rPr>
          <w:rFonts w:ascii="Verdana" w:hAnsi="Verdana" w:cs="Times New Roman"/>
          <w:sz w:val="20"/>
          <w:szCs w:val="20"/>
        </w:rPr>
        <w:t>.</w:t>
      </w:r>
      <w:r w:rsidRPr="004E66B4">
        <w:rPr>
          <w:rFonts w:ascii="Verdana" w:hAnsi="Verdana" w:cs="Times New Roman"/>
          <w:b/>
          <w:sz w:val="20"/>
          <w:szCs w:val="20"/>
        </w:rPr>
        <w:t xml:space="preserve"> </w:t>
      </w:r>
      <w:r w:rsidRPr="004E66B4">
        <w:rPr>
          <w:rFonts w:ascii="Verdana" w:hAnsi="Verdana" w:cs="Times New Roman"/>
          <w:sz w:val="20"/>
          <w:szCs w:val="20"/>
        </w:rPr>
        <w:t xml:space="preserve">En este caso la Corte </w:t>
      </w:r>
      <w:r w:rsidR="00866FF2" w:rsidRPr="004E66B4">
        <w:rPr>
          <w:rFonts w:ascii="Verdana" w:hAnsi="Verdana" w:cs="Times New Roman"/>
          <w:sz w:val="20"/>
          <w:szCs w:val="20"/>
        </w:rPr>
        <w:t xml:space="preserve">IDH </w:t>
      </w:r>
      <w:r w:rsidRPr="004E66B4">
        <w:rPr>
          <w:rFonts w:ascii="Verdana" w:hAnsi="Verdana" w:cs="Times New Roman"/>
          <w:sz w:val="20"/>
          <w:szCs w:val="20"/>
        </w:rPr>
        <w:t xml:space="preserve">hizo una distinción entre los dos tipos de obligaciones (negativas y positivas) que enmarca el articulo 16 al considerar que: </w:t>
      </w:r>
    </w:p>
    <w:p w14:paraId="219EA52C" w14:textId="77777777" w:rsidR="009E0482" w:rsidRPr="004E66B4" w:rsidRDefault="009E0482" w:rsidP="00AD360E">
      <w:pPr>
        <w:jc w:val="both"/>
        <w:rPr>
          <w:rFonts w:ascii="Verdana" w:hAnsi="Verdana" w:cs="Times New Roman"/>
          <w:i/>
          <w:sz w:val="20"/>
          <w:szCs w:val="20"/>
        </w:rPr>
      </w:pPr>
    </w:p>
    <w:p w14:paraId="5E335423" w14:textId="3E1D05EE" w:rsidR="009E0482" w:rsidRPr="004E66B4" w:rsidRDefault="00357AA1" w:rsidP="004B76C5">
      <w:pPr>
        <w:pStyle w:val="NormalWeb"/>
        <w:spacing w:before="0" w:beforeAutospacing="0" w:after="0" w:afterAutospacing="0"/>
        <w:ind w:left="709" w:right="738"/>
        <w:jc w:val="both"/>
        <w:rPr>
          <w:rFonts w:ascii="Verdana" w:hAnsi="Verdana"/>
          <w:noProof w:val="0"/>
          <w:sz w:val="16"/>
          <w:szCs w:val="16"/>
          <w:lang w:val="es-ES_tradnl"/>
        </w:rPr>
      </w:pPr>
      <w:r>
        <w:rPr>
          <w:rFonts w:ascii="Verdana" w:hAnsi="Verdana"/>
          <w:noProof w:val="0"/>
          <w:sz w:val="16"/>
          <w:szCs w:val="16"/>
          <w:lang w:val="es-ES_tradnl"/>
        </w:rPr>
        <w:t>144.  El artí</w:t>
      </w:r>
      <w:r w:rsidR="009E0482" w:rsidRPr="004E66B4">
        <w:rPr>
          <w:rFonts w:ascii="Verdana" w:hAnsi="Verdana"/>
          <w:noProof w:val="0"/>
          <w:sz w:val="16"/>
          <w:szCs w:val="16"/>
          <w:lang w:val="es-ES_tradnl"/>
        </w:rPr>
        <w:t xml:space="preserve">culo 16.1 de la Convención establece que quienes están bajo la jurisdicción de los Estados Partes </w:t>
      </w:r>
      <w:r w:rsidR="009E0482" w:rsidRPr="004E66B4">
        <w:rPr>
          <w:rFonts w:ascii="Verdana" w:hAnsi="Verdana"/>
          <w:noProof w:val="0"/>
          <w:sz w:val="16"/>
          <w:szCs w:val="16"/>
          <w:u w:val="single"/>
          <w:lang w:val="es-ES_tradnl"/>
        </w:rPr>
        <w:t>tienen el derecho y la libertad de asociarse libremente con otras personas, sin intervención de las autoridades públicas que limiten o entorpezcan el ejercicio del referido derecho</w:t>
      </w:r>
      <w:r w:rsidR="009E0482" w:rsidRPr="004E66B4">
        <w:rPr>
          <w:rFonts w:ascii="Verdana" w:hAnsi="Verdana"/>
          <w:noProof w:val="0"/>
          <w:sz w:val="16"/>
          <w:szCs w:val="16"/>
          <w:lang w:val="es-ES_tradnl"/>
        </w:rPr>
        <w:t xml:space="preserve">. </w:t>
      </w:r>
      <w:r w:rsidR="009E0482" w:rsidRPr="004E66B4">
        <w:rPr>
          <w:rFonts w:ascii="Verdana" w:hAnsi="Verdana"/>
          <w:noProof w:val="0"/>
          <w:sz w:val="16"/>
          <w:szCs w:val="16"/>
          <w:u w:val="single"/>
          <w:lang w:val="es-ES_tradnl"/>
        </w:rPr>
        <w:t>Además, gozan del derecho y la libertad de reunirse con la finalidad de buscar la realización común de un fin lícito, sin presiones o intromisiones que puedan alterar o desnaturalizar dicha finalidad [Obligación negativa]. [T</w:t>
      </w:r>
      <w:proofErr w:type="gramStart"/>
      <w:r w:rsidR="009E0482" w:rsidRPr="004E66B4">
        <w:rPr>
          <w:rFonts w:ascii="Verdana" w:hAnsi="Verdana"/>
          <w:noProof w:val="0"/>
          <w:sz w:val="16"/>
          <w:szCs w:val="16"/>
          <w:u w:val="single"/>
          <w:lang w:val="es-ES_tradnl"/>
        </w:rPr>
        <w:t>]</w:t>
      </w:r>
      <w:proofErr w:type="spellStart"/>
      <w:r w:rsidR="009E0482" w:rsidRPr="004E66B4">
        <w:rPr>
          <w:rFonts w:ascii="Verdana" w:hAnsi="Verdana"/>
          <w:noProof w:val="0"/>
          <w:sz w:val="16"/>
          <w:szCs w:val="16"/>
          <w:u w:val="single"/>
          <w:lang w:val="es-ES_tradnl"/>
        </w:rPr>
        <w:t>ambie</w:t>
      </w:r>
      <w:proofErr w:type="gramEnd"/>
      <w:r w:rsidR="009E0482" w:rsidRPr="004E66B4">
        <w:rPr>
          <w:rFonts w:ascii="Verdana" w:hAnsi="Verdana"/>
          <w:noProof w:val="0"/>
          <w:sz w:val="16"/>
          <w:szCs w:val="16"/>
          <w:u w:val="single"/>
          <w:lang w:val="es-ES_tradnl"/>
        </w:rPr>
        <w:t>́n</w:t>
      </w:r>
      <w:proofErr w:type="spellEnd"/>
      <w:r w:rsidR="009E0482" w:rsidRPr="004E66B4">
        <w:rPr>
          <w:rFonts w:ascii="Verdana" w:hAnsi="Verdana"/>
          <w:noProof w:val="0"/>
          <w:sz w:val="16"/>
          <w:szCs w:val="16"/>
          <w:u w:val="single"/>
          <w:lang w:val="es-ES_tradnl"/>
        </w:rPr>
        <w:t xml:space="preserve"> se derivan obligaciones positivas de prevenir los atentados contra la misma, proteger a quienes la ejercen e investigar las violaciones de dicha libertad. Estas obligaciones positivas deben adoptarse, incluso en la esfera de relaciones entre particulares, si el caso así́ lo amerita</w:t>
      </w:r>
      <w:r w:rsidR="009E0482" w:rsidRPr="004E66B4">
        <w:rPr>
          <w:rFonts w:ascii="Verdana" w:hAnsi="Verdana"/>
          <w:noProof w:val="0"/>
          <w:sz w:val="16"/>
          <w:szCs w:val="16"/>
          <w:lang w:val="es-ES_tradnl"/>
        </w:rPr>
        <w:t>. Como lo ha determinado anteriormente, la Corte considera que el ámbito de protección del artículo 16.1 incluye el ejercicio de la libertad sindical</w:t>
      </w:r>
      <w:r w:rsidR="009E0482" w:rsidRPr="004E66B4">
        <w:rPr>
          <w:rStyle w:val="FootnoteReference"/>
          <w:rFonts w:ascii="Verdana" w:hAnsi="Verdana"/>
          <w:noProof w:val="0"/>
          <w:sz w:val="16"/>
          <w:szCs w:val="16"/>
          <w:lang w:val="es-ES_tradnl"/>
        </w:rPr>
        <w:footnoteReference w:id="48"/>
      </w:r>
      <w:r w:rsidR="009E0482" w:rsidRPr="004E66B4">
        <w:rPr>
          <w:rFonts w:ascii="Verdana" w:hAnsi="Verdana"/>
          <w:noProof w:val="0"/>
          <w:sz w:val="16"/>
          <w:szCs w:val="16"/>
          <w:lang w:val="es-ES_tradnl"/>
        </w:rPr>
        <w:t xml:space="preserve">. </w:t>
      </w:r>
    </w:p>
    <w:p w14:paraId="48FCADE8" w14:textId="097CB2D8" w:rsidR="00D70DD6" w:rsidRPr="004E66B4" w:rsidRDefault="00D70DD6" w:rsidP="00AD360E">
      <w:pPr>
        <w:pStyle w:val="NormalWeb"/>
        <w:spacing w:before="0" w:beforeAutospacing="0" w:after="0" w:afterAutospacing="0"/>
        <w:ind w:right="567"/>
        <w:jc w:val="both"/>
        <w:rPr>
          <w:rFonts w:ascii="Verdana" w:hAnsi="Verdana"/>
          <w:noProof w:val="0"/>
          <w:sz w:val="16"/>
          <w:szCs w:val="16"/>
          <w:lang w:val="es-ES_tradnl"/>
        </w:rPr>
      </w:pPr>
    </w:p>
    <w:p w14:paraId="1F2AFE8C" w14:textId="0F1FCF60" w:rsidR="00142E2B" w:rsidRPr="00354EF9" w:rsidRDefault="00BD5340"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Asimismo,</w:t>
      </w:r>
      <w:r w:rsidR="00142E2B" w:rsidRPr="004E66B4">
        <w:rPr>
          <w:rFonts w:ascii="Verdana" w:hAnsi="Verdana" w:cs="Times New Roman"/>
          <w:sz w:val="20"/>
          <w:szCs w:val="20"/>
        </w:rPr>
        <w:t xml:space="preserve"> e</w:t>
      </w:r>
      <w:r w:rsidR="00A26255" w:rsidRPr="004E66B4">
        <w:rPr>
          <w:rFonts w:ascii="Verdana" w:hAnsi="Verdana" w:cs="Times New Roman"/>
          <w:sz w:val="20"/>
          <w:szCs w:val="20"/>
        </w:rPr>
        <w:t>n la Opinión Consultiva No. 22</w:t>
      </w:r>
      <w:r w:rsidR="00C17861">
        <w:rPr>
          <w:rFonts w:ascii="Verdana" w:hAnsi="Verdana" w:cs="Times New Roman"/>
          <w:sz w:val="20"/>
          <w:szCs w:val="20"/>
        </w:rPr>
        <w:t>,</w:t>
      </w:r>
      <w:r w:rsidR="00A26255" w:rsidRPr="004E66B4">
        <w:rPr>
          <w:rFonts w:ascii="Verdana" w:hAnsi="Verdana" w:cs="Times New Roman"/>
          <w:sz w:val="20"/>
          <w:szCs w:val="20"/>
        </w:rPr>
        <w:t xml:space="preserve"> </w:t>
      </w:r>
      <w:r w:rsidR="00357AA1">
        <w:rPr>
          <w:rFonts w:ascii="Verdana" w:hAnsi="Verdana" w:cs="Times New Roman"/>
          <w:sz w:val="20"/>
          <w:szCs w:val="20"/>
        </w:rPr>
        <w:t xml:space="preserve">sobre la </w:t>
      </w:r>
      <w:r w:rsidR="00357AA1" w:rsidRPr="00357AA1">
        <w:rPr>
          <w:rFonts w:ascii="Verdana" w:hAnsi="Verdana" w:cs="Times New Roman"/>
          <w:i/>
          <w:sz w:val="20"/>
          <w:szCs w:val="20"/>
        </w:rPr>
        <w:t>titularidad de derechos de las personas jurídicas</w:t>
      </w:r>
      <w:r w:rsidR="00357AA1">
        <w:rPr>
          <w:rFonts w:ascii="Verdana" w:hAnsi="Verdana" w:cs="Times New Roman"/>
          <w:sz w:val="20"/>
          <w:szCs w:val="20"/>
        </w:rPr>
        <w:t xml:space="preserve">, </w:t>
      </w:r>
      <w:r w:rsidR="00A26255" w:rsidRPr="004E66B4">
        <w:rPr>
          <w:rFonts w:ascii="Verdana" w:hAnsi="Verdana" w:cs="Times New Roman"/>
          <w:sz w:val="20"/>
          <w:szCs w:val="20"/>
        </w:rPr>
        <w:t xml:space="preserve">el Tribunal Interamericano </w:t>
      </w:r>
      <w:r w:rsidR="00C4526E">
        <w:rPr>
          <w:rFonts w:ascii="Verdana" w:hAnsi="Verdana" w:cs="Times New Roman"/>
          <w:sz w:val="20"/>
          <w:szCs w:val="20"/>
        </w:rPr>
        <w:t>consideró que “</w:t>
      </w:r>
      <w:r w:rsidR="00A26255" w:rsidRPr="004E66B4">
        <w:rPr>
          <w:rFonts w:ascii="Verdana" w:hAnsi="Verdana" w:cs="Times New Roman"/>
          <w:sz w:val="20"/>
          <w:szCs w:val="20"/>
        </w:rPr>
        <w:t xml:space="preserve">cuando el </w:t>
      </w:r>
      <w:r w:rsidR="001D1F4D" w:rsidRPr="004E66B4">
        <w:rPr>
          <w:rFonts w:ascii="Verdana" w:hAnsi="Verdana" w:cs="Times New Roman"/>
          <w:sz w:val="20"/>
          <w:szCs w:val="20"/>
        </w:rPr>
        <w:t>artículo</w:t>
      </w:r>
      <w:r w:rsidR="00C4526E">
        <w:rPr>
          <w:rFonts w:ascii="Verdana" w:hAnsi="Verdana" w:cs="Times New Roman"/>
          <w:sz w:val="20"/>
          <w:szCs w:val="20"/>
        </w:rPr>
        <w:t xml:space="preserve"> 8.1.a indica que ‘</w:t>
      </w:r>
      <w:r w:rsidR="00A26255" w:rsidRPr="004E66B4">
        <w:rPr>
          <w:rFonts w:ascii="Verdana" w:hAnsi="Verdana" w:cs="Times New Roman"/>
          <w:sz w:val="20"/>
          <w:szCs w:val="20"/>
        </w:rPr>
        <w:t xml:space="preserve">como </w:t>
      </w:r>
      <w:r w:rsidR="0065672D" w:rsidRPr="004E66B4">
        <w:rPr>
          <w:rFonts w:ascii="Verdana" w:hAnsi="Verdana" w:cs="Times New Roman"/>
          <w:sz w:val="20"/>
          <w:szCs w:val="20"/>
        </w:rPr>
        <w:t>proyección</w:t>
      </w:r>
      <w:r w:rsidR="00A26255" w:rsidRPr="004E66B4">
        <w:rPr>
          <w:rFonts w:ascii="Verdana" w:hAnsi="Verdana" w:cs="Times New Roman"/>
          <w:sz w:val="20"/>
          <w:szCs w:val="20"/>
        </w:rPr>
        <w:t xml:space="preserve"> del derecho de los trabajadores, el Estado </w:t>
      </w:r>
      <w:r w:rsidR="001D1F4D" w:rsidRPr="004E66B4">
        <w:rPr>
          <w:rFonts w:ascii="Verdana" w:hAnsi="Verdana" w:cs="Times New Roman"/>
          <w:sz w:val="20"/>
          <w:szCs w:val="20"/>
        </w:rPr>
        <w:t>permitirá</w:t>
      </w:r>
      <w:r w:rsidR="00A26255" w:rsidRPr="004E66B4">
        <w:rPr>
          <w:rFonts w:ascii="Verdana" w:hAnsi="Verdana" w:cs="Times New Roman"/>
          <w:sz w:val="20"/>
          <w:szCs w:val="20"/>
        </w:rPr>
        <w:t>́ a los sindicatos, las federaciones y las confederaciones actuar libremente</w:t>
      </w:r>
      <w:r>
        <w:rPr>
          <w:rFonts w:ascii="Verdana" w:hAnsi="Verdana" w:cs="Times New Roman"/>
          <w:sz w:val="20"/>
          <w:szCs w:val="20"/>
        </w:rPr>
        <w:t>,</w:t>
      </w:r>
      <w:r w:rsidR="00A26255" w:rsidRPr="004E66B4">
        <w:rPr>
          <w:rFonts w:ascii="Verdana" w:hAnsi="Verdana" w:cs="Times New Roman"/>
          <w:sz w:val="20"/>
          <w:szCs w:val="20"/>
        </w:rPr>
        <w:t xml:space="preserve"> </w:t>
      </w:r>
      <w:r w:rsidR="001D1F4D" w:rsidRPr="004E66B4">
        <w:rPr>
          <w:rFonts w:ascii="Verdana" w:hAnsi="Verdana" w:cs="Times New Roman"/>
          <w:sz w:val="20"/>
          <w:szCs w:val="20"/>
        </w:rPr>
        <w:t>así</w:t>
      </w:r>
      <w:r w:rsidR="00A26255" w:rsidRPr="004E66B4">
        <w:rPr>
          <w:rFonts w:ascii="Verdana" w:hAnsi="Verdana" w:cs="Times New Roman"/>
          <w:sz w:val="20"/>
          <w:szCs w:val="20"/>
        </w:rPr>
        <w:t xml:space="preserve"> como </w:t>
      </w:r>
      <w:r w:rsidR="00A26255" w:rsidRPr="00BD5340">
        <w:rPr>
          <w:rFonts w:ascii="Verdana" w:hAnsi="Verdana" w:cs="Times New Roman"/>
          <w:sz w:val="20"/>
          <w:szCs w:val="20"/>
        </w:rPr>
        <w:t>a los sindicatos asociarse y formar federaciones y confederaciones nacionales, y organizaciones sindicales internacionales</w:t>
      </w:r>
      <w:r w:rsidR="00C4526E">
        <w:rPr>
          <w:rFonts w:ascii="Verdana" w:hAnsi="Verdana" w:cs="Times New Roman"/>
          <w:sz w:val="20"/>
          <w:szCs w:val="20"/>
        </w:rPr>
        <w:t>’</w:t>
      </w:r>
      <w:r w:rsidR="00A26255" w:rsidRPr="00BD5340">
        <w:rPr>
          <w:rFonts w:ascii="Verdana" w:hAnsi="Verdana" w:cs="Times New Roman"/>
          <w:sz w:val="20"/>
          <w:szCs w:val="20"/>
        </w:rPr>
        <w:t xml:space="preserve">, lo que la norma hace es darle un alcance al derecho de los trabajadores </w:t>
      </w:r>
      <w:r w:rsidR="00354EF9" w:rsidRPr="00BD5340">
        <w:rPr>
          <w:rFonts w:ascii="Verdana" w:hAnsi="Verdana" w:cs="Times New Roman"/>
          <w:sz w:val="20"/>
          <w:szCs w:val="20"/>
        </w:rPr>
        <w:t>más</w:t>
      </w:r>
      <w:r w:rsidR="00A26255" w:rsidRPr="00BD5340">
        <w:rPr>
          <w:rFonts w:ascii="Verdana" w:hAnsi="Verdana" w:cs="Times New Roman"/>
          <w:sz w:val="20"/>
          <w:szCs w:val="20"/>
        </w:rPr>
        <w:t xml:space="preserve"> amplio que el solo hecho de poder organizar sindicatos y afiliarse al de su </w:t>
      </w:r>
      <w:r w:rsidR="00354EF9" w:rsidRPr="00BD5340">
        <w:rPr>
          <w:rFonts w:ascii="Verdana" w:hAnsi="Verdana" w:cs="Times New Roman"/>
          <w:sz w:val="20"/>
          <w:szCs w:val="20"/>
        </w:rPr>
        <w:t>elección</w:t>
      </w:r>
      <w:r w:rsidR="00A26255" w:rsidRPr="00C17861">
        <w:rPr>
          <w:rFonts w:ascii="Verdana" w:hAnsi="Verdana" w:cs="Times New Roman"/>
          <w:sz w:val="20"/>
          <w:szCs w:val="20"/>
        </w:rPr>
        <w:t xml:space="preserve">. </w:t>
      </w:r>
      <w:r w:rsidR="00A26255" w:rsidRPr="004E66B4">
        <w:rPr>
          <w:rFonts w:ascii="Verdana" w:hAnsi="Verdana" w:cs="Times New Roman"/>
          <w:sz w:val="20"/>
          <w:szCs w:val="20"/>
        </w:rPr>
        <w:t xml:space="preserve">Esto lo logra </w:t>
      </w:r>
      <w:r>
        <w:rPr>
          <w:rFonts w:ascii="Verdana" w:hAnsi="Verdana" w:cs="Times New Roman"/>
          <w:sz w:val="20"/>
          <w:szCs w:val="20"/>
        </w:rPr>
        <w:t xml:space="preserve">la Corte IDH </w:t>
      </w:r>
      <w:r w:rsidR="00A26255" w:rsidRPr="004E66B4">
        <w:rPr>
          <w:rFonts w:ascii="Verdana" w:hAnsi="Verdana" w:cs="Times New Roman"/>
          <w:sz w:val="20"/>
          <w:szCs w:val="20"/>
        </w:rPr>
        <w:t xml:space="preserve">especificando los medios </w:t>
      </w:r>
      <w:r w:rsidR="009D25ED" w:rsidRPr="004E66B4">
        <w:rPr>
          <w:rFonts w:ascii="Verdana" w:hAnsi="Verdana" w:cs="Times New Roman"/>
          <w:sz w:val="20"/>
          <w:szCs w:val="20"/>
        </w:rPr>
        <w:t>mínimos</w:t>
      </w:r>
      <w:r w:rsidR="00A26255" w:rsidRPr="004E66B4">
        <w:rPr>
          <w:rFonts w:ascii="Verdana" w:hAnsi="Verdana" w:cs="Times New Roman"/>
          <w:sz w:val="20"/>
          <w:szCs w:val="20"/>
        </w:rPr>
        <w:t xml:space="preserve"> a </w:t>
      </w:r>
      <w:r w:rsidR="00354EF9" w:rsidRPr="004E66B4">
        <w:rPr>
          <w:rFonts w:ascii="Verdana" w:hAnsi="Verdana" w:cs="Times New Roman"/>
          <w:sz w:val="20"/>
          <w:szCs w:val="20"/>
        </w:rPr>
        <w:t>través</w:t>
      </w:r>
      <w:r w:rsidR="00A26255" w:rsidRPr="004E66B4">
        <w:rPr>
          <w:rFonts w:ascii="Verdana" w:hAnsi="Verdana" w:cs="Times New Roman"/>
          <w:sz w:val="20"/>
          <w:szCs w:val="20"/>
        </w:rPr>
        <w:t xml:space="preserve"> de los cuales los Estados </w:t>
      </w:r>
      <w:r w:rsidR="00354EF9" w:rsidRPr="004E66B4">
        <w:rPr>
          <w:rFonts w:ascii="Verdana" w:hAnsi="Verdana" w:cs="Times New Roman"/>
          <w:sz w:val="20"/>
          <w:szCs w:val="20"/>
        </w:rPr>
        <w:t>garantizaran</w:t>
      </w:r>
      <w:r w:rsidR="00A26255" w:rsidRPr="004E66B4">
        <w:rPr>
          <w:rFonts w:ascii="Verdana" w:hAnsi="Verdana" w:cs="Times New Roman"/>
          <w:sz w:val="20"/>
          <w:szCs w:val="20"/>
        </w:rPr>
        <w:t xml:space="preserve"> el ejercicio de dicho derecho. En consecuencia, el derecho que la norma consagra a favor de los trabajadores constituye un marco a </w:t>
      </w:r>
      <w:r w:rsidR="00354EF9" w:rsidRPr="004E66B4">
        <w:rPr>
          <w:rFonts w:ascii="Verdana" w:hAnsi="Verdana" w:cs="Times New Roman"/>
          <w:sz w:val="20"/>
          <w:szCs w:val="20"/>
        </w:rPr>
        <w:t>través</w:t>
      </w:r>
      <w:r w:rsidR="00A26255" w:rsidRPr="004E66B4">
        <w:rPr>
          <w:rFonts w:ascii="Verdana" w:hAnsi="Verdana" w:cs="Times New Roman"/>
          <w:sz w:val="20"/>
          <w:szCs w:val="20"/>
        </w:rPr>
        <w:t xml:space="preserve"> del </w:t>
      </w:r>
      <w:r w:rsidR="00A26255" w:rsidRPr="00212BD6">
        <w:rPr>
          <w:rFonts w:ascii="Verdana" w:hAnsi="Verdana" w:cs="Times New Roman"/>
          <w:sz w:val="20"/>
          <w:szCs w:val="20"/>
        </w:rPr>
        <w:t xml:space="preserve">cual se generan derechos </w:t>
      </w:r>
      <w:r w:rsidR="00354EF9" w:rsidRPr="00212BD6">
        <w:rPr>
          <w:rFonts w:ascii="Verdana" w:hAnsi="Verdana" w:cs="Times New Roman"/>
          <w:sz w:val="20"/>
          <w:szCs w:val="20"/>
        </w:rPr>
        <w:t>más</w:t>
      </w:r>
      <w:r w:rsidR="00A26255" w:rsidRPr="00212BD6">
        <w:rPr>
          <w:rFonts w:ascii="Verdana" w:hAnsi="Verdana" w:cs="Times New Roman"/>
          <w:sz w:val="20"/>
          <w:szCs w:val="20"/>
        </w:rPr>
        <w:t xml:space="preserve"> </w:t>
      </w:r>
      <w:r w:rsidR="009D25ED" w:rsidRPr="00354EF9">
        <w:rPr>
          <w:rFonts w:ascii="Verdana" w:hAnsi="Verdana" w:cs="Times New Roman"/>
          <w:sz w:val="20"/>
          <w:szCs w:val="20"/>
        </w:rPr>
        <w:t>específicos</w:t>
      </w:r>
      <w:r w:rsidR="00A26255" w:rsidRPr="00354EF9">
        <w:rPr>
          <w:rFonts w:ascii="Verdana" w:hAnsi="Verdana" w:cs="Times New Roman"/>
          <w:sz w:val="20"/>
          <w:szCs w:val="20"/>
        </w:rPr>
        <w:t xml:space="preserve"> en cabeza de los sindicatos, las federaciones y confederaciones como sujetos de derechos </w:t>
      </w:r>
      <w:r w:rsidR="009D25ED" w:rsidRPr="005B6191">
        <w:rPr>
          <w:rFonts w:ascii="Verdana" w:hAnsi="Verdana" w:cs="Times New Roman"/>
          <w:sz w:val="20"/>
          <w:szCs w:val="20"/>
        </w:rPr>
        <w:t>autónomos</w:t>
      </w:r>
      <w:r w:rsidR="00A26255" w:rsidRPr="005B6191">
        <w:rPr>
          <w:rFonts w:ascii="Verdana" w:hAnsi="Verdana" w:cs="Times New Roman"/>
          <w:sz w:val="20"/>
          <w:szCs w:val="20"/>
        </w:rPr>
        <w:t xml:space="preserve">, cuya finalidad es permitirles ser interlocutores de sus asociados, facilitando a </w:t>
      </w:r>
      <w:r w:rsidR="00354EF9" w:rsidRPr="005B6191">
        <w:rPr>
          <w:rFonts w:ascii="Verdana" w:hAnsi="Verdana" w:cs="Times New Roman"/>
          <w:sz w:val="20"/>
          <w:szCs w:val="20"/>
        </w:rPr>
        <w:t>través</w:t>
      </w:r>
      <w:r w:rsidR="00A26255" w:rsidRPr="005B6191">
        <w:rPr>
          <w:rFonts w:ascii="Verdana" w:hAnsi="Verdana" w:cs="Times New Roman"/>
          <w:sz w:val="20"/>
          <w:szCs w:val="20"/>
        </w:rPr>
        <w:t xml:space="preserve"> de esta </w:t>
      </w:r>
      <w:r w:rsidR="00354EF9" w:rsidRPr="005B6191">
        <w:rPr>
          <w:rFonts w:ascii="Verdana" w:hAnsi="Verdana" w:cs="Times New Roman"/>
          <w:sz w:val="20"/>
          <w:szCs w:val="20"/>
        </w:rPr>
        <w:t>función</w:t>
      </w:r>
      <w:r w:rsidR="00A26255" w:rsidRPr="005B6191">
        <w:rPr>
          <w:rFonts w:ascii="Verdana" w:hAnsi="Verdana" w:cs="Times New Roman"/>
          <w:sz w:val="20"/>
          <w:szCs w:val="20"/>
        </w:rPr>
        <w:t xml:space="preserve"> una </w:t>
      </w:r>
      <w:r w:rsidR="00354EF9" w:rsidRPr="005B6191">
        <w:rPr>
          <w:rFonts w:ascii="Verdana" w:hAnsi="Verdana" w:cs="Times New Roman"/>
          <w:sz w:val="20"/>
          <w:szCs w:val="20"/>
        </w:rPr>
        <w:t>protección</w:t>
      </w:r>
      <w:r w:rsidR="00A26255" w:rsidRPr="005B6191">
        <w:rPr>
          <w:rFonts w:ascii="Verdana" w:hAnsi="Verdana" w:cs="Times New Roman"/>
          <w:sz w:val="20"/>
          <w:szCs w:val="20"/>
        </w:rPr>
        <w:t xml:space="preserve"> </w:t>
      </w:r>
      <w:proofErr w:type="spellStart"/>
      <w:r w:rsidR="00A26255" w:rsidRPr="005B6191">
        <w:rPr>
          <w:rFonts w:ascii="Verdana" w:hAnsi="Verdana" w:cs="Times New Roman"/>
          <w:sz w:val="20"/>
          <w:szCs w:val="20"/>
        </w:rPr>
        <w:t>más</w:t>
      </w:r>
      <w:proofErr w:type="spellEnd"/>
      <w:r w:rsidR="00A26255" w:rsidRPr="005B6191">
        <w:rPr>
          <w:rFonts w:ascii="Verdana" w:hAnsi="Verdana" w:cs="Times New Roman"/>
          <w:sz w:val="20"/>
          <w:szCs w:val="20"/>
        </w:rPr>
        <w:t xml:space="preserve"> extensa y el goce efectivo del derecho de los trabajadores”</w:t>
      </w:r>
      <w:r w:rsidR="00A26255" w:rsidRPr="00212BD6">
        <w:rPr>
          <w:rStyle w:val="FootnoteReference"/>
          <w:rFonts w:ascii="Verdana" w:hAnsi="Verdana" w:cs="Times New Roman"/>
          <w:sz w:val="20"/>
          <w:szCs w:val="20"/>
        </w:rPr>
        <w:footnoteReference w:id="49"/>
      </w:r>
      <w:r w:rsidR="00A26255" w:rsidRPr="00212BD6">
        <w:rPr>
          <w:rFonts w:ascii="Verdana" w:hAnsi="Verdana" w:cs="Times New Roman"/>
          <w:sz w:val="20"/>
          <w:szCs w:val="20"/>
        </w:rPr>
        <w:t xml:space="preserve">.  </w:t>
      </w:r>
    </w:p>
    <w:p w14:paraId="2E297C26" w14:textId="77777777" w:rsidR="00142E2B" w:rsidRPr="005B6191" w:rsidRDefault="00142E2B" w:rsidP="00AD360E">
      <w:pPr>
        <w:pStyle w:val="ListParagraph"/>
        <w:widowControl w:val="0"/>
        <w:autoSpaceDE w:val="0"/>
        <w:autoSpaceDN w:val="0"/>
        <w:adjustRightInd w:val="0"/>
        <w:ind w:left="0" w:right="49"/>
        <w:jc w:val="both"/>
        <w:rPr>
          <w:rFonts w:ascii="Verdana" w:hAnsi="Verdana" w:cs="Times New Roman"/>
          <w:sz w:val="20"/>
          <w:szCs w:val="20"/>
        </w:rPr>
      </w:pPr>
    </w:p>
    <w:p w14:paraId="1A12D117" w14:textId="52635DF5" w:rsidR="008A6553" w:rsidRPr="00354EF9" w:rsidRDefault="00142E2B"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8D2569">
        <w:rPr>
          <w:rFonts w:ascii="Verdana" w:hAnsi="Verdana" w:cs="Times New Roman"/>
          <w:sz w:val="20"/>
          <w:szCs w:val="20"/>
        </w:rPr>
        <w:t xml:space="preserve">En suma, </w:t>
      </w:r>
      <w:r w:rsidR="008D2569" w:rsidRPr="008D2569">
        <w:rPr>
          <w:rFonts w:ascii="Verdana" w:hAnsi="Verdana" w:cs="Times New Roman"/>
          <w:sz w:val="20"/>
          <w:szCs w:val="20"/>
        </w:rPr>
        <w:t>el derecho de asociación sindical ha sido protegido por la vía de la conexidad, subsumiéndolo en el derecho de asociación contemplado en el artículo 16 de la Convención Americana</w:t>
      </w:r>
      <w:r w:rsidR="0080585D" w:rsidRPr="008D2569">
        <w:rPr>
          <w:rFonts w:ascii="Verdana" w:hAnsi="Verdana" w:cs="Times New Roman"/>
          <w:sz w:val="20"/>
          <w:szCs w:val="20"/>
        </w:rPr>
        <w:t xml:space="preserve"> (</w:t>
      </w:r>
      <w:proofErr w:type="spellStart"/>
      <w:r w:rsidR="0080585D" w:rsidRPr="008D2569">
        <w:rPr>
          <w:rFonts w:ascii="Verdana" w:hAnsi="Verdana" w:cs="Times New Roman"/>
          <w:sz w:val="20"/>
          <w:szCs w:val="20"/>
        </w:rPr>
        <w:t>justiciabilidad</w:t>
      </w:r>
      <w:proofErr w:type="spellEnd"/>
      <w:r w:rsidR="0080585D" w:rsidRPr="008D2569">
        <w:rPr>
          <w:rFonts w:ascii="Verdana" w:hAnsi="Verdana" w:cs="Times New Roman"/>
          <w:sz w:val="20"/>
          <w:szCs w:val="20"/>
        </w:rPr>
        <w:t xml:space="preserve"> indirecta por conexidad)</w:t>
      </w:r>
      <w:r w:rsidRPr="008D2569">
        <w:rPr>
          <w:rFonts w:ascii="Verdana" w:hAnsi="Verdana" w:cs="Times New Roman"/>
          <w:sz w:val="20"/>
          <w:szCs w:val="20"/>
        </w:rPr>
        <w:t xml:space="preserve">. </w:t>
      </w:r>
      <w:r w:rsidR="000016C6" w:rsidRPr="008D2569">
        <w:rPr>
          <w:rFonts w:ascii="Verdana" w:hAnsi="Verdana" w:cs="Times New Roman"/>
          <w:sz w:val="20"/>
          <w:szCs w:val="20"/>
        </w:rPr>
        <w:t xml:space="preserve">No obstante, </w:t>
      </w:r>
      <w:r w:rsidR="00C17861" w:rsidRPr="008D2569">
        <w:rPr>
          <w:rFonts w:ascii="Verdana" w:hAnsi="Verdana" w:cs="Times New Roman"/>
          <w:sz w:val="20"/>
          <w:szCs w:val="20"/>
        </w:rPr>
        <w:t>el Tribunal Interamericano</w:t>
      </w:r>
      <w:r w:rsidR="000016C6" w:rsidRPr="008D2569">
        <w:rPr>
          <w:rFonts w:ascii="Verdana" w:hAnsi="Verdana" w:cs="Times New Roman"/>
          <w:sz w:val="20"/>
          <w:szCs w:val="20"/>
        </w:rPr>
        <w:t>, como veremos en el siguiente apartado</w:t>
      </w:r>
      <w:r w:rsidR="000016C6" w:rsidRPr="005B6191">
        <w:rPr>
          <w:rFonts w:ascii="Verdana" w:hAnsi="Verdana" w:cs="Times New Roman"/>
          <w:sz w:val="20"/>
          <w:szCs w:val="20"/>
        </w:rPr>
        <w:t xml:space="preserve">, extiende </w:t>
      </w:r>
      <w:r w:rsidR="00C4526E">
        <w:rPr>
          <w:rFonts w:ascii="Verdana" w:hAnsi="Verdana" w:cs="Times New Roman"/>
          <w:sz w:val="20"/>
          <w:szCs w:val="20"/>
        </w:rPr>
        <w:t xml:space="preserve">en el presente caso </w:t>
      </w:r>
      <w:r w:rsidR="000016C6" w:rsidRPr="005B6191">
        <w:rPr>
          <w:rFonts w:ascii="Verdana" w:hAnsi="Verdana" w:cs="Times New Roman"/>
          <w:sz w:val="20"/>
          <w:szCs w:val="20"/>
        </w:rPr>
        <w:t>la protección de asociaci</w:t>
      </w:r>
      <w:r w:rsidR="00BD5340">
        <w:rPr>
          <w:rFonts w:ascii="Verdana" w:hAnsi="Verdana" w:cs="Times New Roman"/>
          <w:sz w:val="20"/>
          <w:szCs w:val="20"/>
        </w:rPr>
        <w:t xml:space="preserve">ones a instituciones laborales </w:t>
      </w:r>
      <w:r w:rsidR="000016C6" w:rsidRPr="005B6191">
        <w:rPr>
          <w:rFonts w:ascii="Verdana" w:hAnsi="Verdana" w:cs="Times New Roman"/>
          <w:sz w:val="20"/>
          <w:szCs w:val="20"/>
        </w:rPr>
        <w:t>que no conforman sindicatos</w:t>
      </w:r>
      <w:r w:rsidR="00BD5340">
        <w:rPr>
          <w:rFonts w:ascii="Verdana" w:hAnsi="Verdana" w:cs="Times New Roman"/>
          <w:sz w:val="20"/>
          <w:szCs w:val="20"/>
        </w:rPr>
        <w:t>,</w:t>
      </w:r>
      <w:r w:rsidR="000016C6" w:rsidRPr="005B6191">
        <w:rPr>
          <w:rFonts w:ascii="Verdana" w:hAnsi="Verdana" w:cs="Times New Roman"/>
          <w:sz w:val="20"/>
          <w:szCs w:val="20"/>
        </w:rPr>
        <w:t xml:space="preserve"> y a diferencia de los casos anteriormente enunciados, </w:t>
      </w:r>
      <w:r w:rsidR="00BD5340">
        <w:rPr>
          <w:rFonts w:ascii="Verdana" w:hAnsi="Verdana" w:cs="Times New Roman"/>
          <w:sz w:val="20"/>
          <w:szCs w:val="20"/>
        </w:rPr>
        <w:t xml:space="preserve">la Corte IDH </w:t>
      </w:r>
      <w:r w:rsidR="000016C6" w:rsidRPr="005B6191">
        <w:rPr>
          <w:rFonts w:ascii="Verdana" w:hAnsi="Verdana" w:cs="Times New Roman"/>
          <w:sz w:val="20"/>
          <w:szCs w:val="20"/>
        </w:rPr>
        <w:t>aborda de manera</w:t>
      </w:r>
      <w:r w:rsidR="00BD303A" w:rsidRPr="005B6191">
        <w:rPr>
          <w:rFonts w:ascii="Verdana" w:hAnsi="Verdana" w:cs="Times New Roman"/>
          <w:sz w:val="20"/>
          <w:szCs w:val="20"/>
        </w:rPr>
        <w:t xml:space="preserve"> directa</w:t>
      </w:r>
      <w:r w:rsidR="000016C6" w:rsidRPr="005B6191">
        <w:rPr>
          <w:rFonts w:ascii="Verdana" w:hAnsi="Verdana" w:cs="Times New Roman"/>
          <w:sz w:val="20"/>
          <w:szCs w:val="20"/>
        </w:rPr>
        <w:t xml:space="preserve"> el</w:t>
      </w:r>
      <w:r w:rsidR="00786B04" w:rsidRPr="005B6191">
        <w:rPr>
          <w:rFonts w:ascii="Verdana" w:hAnsi="Verdana" w:cs="Times New Roman"/>
          <w:sz w:val="20"/>
          <w:szCs w:val="20"/>
        </w:rPr>
        <w:t xml:space="preserve"> derecho</w:t>
      </w:r>
      <w:r w:rsidR="000016C6" w:rsidRPr="00212BD6">
        <w:rPr>
          <w:rFonts w:ascii="Verdana" w:hAnsi="Verdana" w:cs="Times New Roman"/>
          <w:sz w:val="20"/>
          <w:szCs w:val="20"/>
        </w:rPr>
        <w:t xml:space="preserve"> </w:t>
      </w:r>
      <w:r w:rsidR="000016C6" w:rsidRPr="00354EF9">
        <w:rPr>
          <w:rFonts w:ascii="Verdana" w:hAnsi="Verdana" w:cs="Times New Roman"/>
          <w:i/>
          <w:sz w:val="20"/>
          <w:szCs w:val="20"/>
        </w:rPr>
        <w:t>de asociación laboral</w:t>
      </w:r>
      <w:r w:rsidR="00786B04" w:rsidRPr="005B6191">
        <w:rPr>
          <w:rFonts w:ascii="Verdana" w:hAnsi="Verdana" w:cs="Times New Roman"/>
          <w:i/>
          <w:sz w:val="20"/>
          <w:szCs w:val="20"/>
        </w:rPr>
        <w:t xml:space="preserve"> desde la óptica del artículo 26 de la Convención Americana</w:t>
      </w:r>
      <w:r w:rsidR="000016C6" w:rsidRPr="00354EF9">
        <w:rPr>
          <w:rFonts w:ascii="Verdana" w:hAnsi="Verdana" w:cs="Times New Roman"/>
          <w:i/>
          <w:sz w:val="20"/>
          <w:szCs w:val="20"/>
        </w:rPr>
        <w:t xml:space="preserve">. </w:t>
      </w:r>
      <w:r w:rsidR="003138F3" w:rsidRPr="00354EF9">
        <w:rPr>
          <w:rFonts w:ascii="Verdana" w:hAnsi="Verdana" w:cs="Times New Roman"/>
          <w:sz w:val="20"/>
          <w:szCs w:val="20"/>
        </w:rPr>
        <w:t xml:space="preserve"> </w:t>
      </w:r>
    </w:p>
    <w:p w14:paraId="6606DA9E" w14:textId="77777777" w:rsidR="00374FA9" w:rsidRPr="0065672D" w:rsidRDefault="00374FA9" w:rsidP="00AD360E">
      <w:pPr>
        <w:widowControl w:val="0"/>
        <w:autoSpaceDE w:val="0"/>
        <w:autoSpaceDN w:val="0"/>
        <w:adjustRightInd w:val="0"/>
        <w:ind w:right="49"/>
        <w:jc w:val="both"/>
        <w:rPr>
          <w:rFonts w:ascii="Verdana" w:hAnsi="Verdana" w:cs="Times New Roman"/>
          <w:sz w:val="20"/>
          <w:szCs w:val="20"/>
        </w:rPr>
      </w:pPr>
    </w:p>
    <w:p w14:paraId="08E758EE" w14:textId="4CB16CD5" w:rsidR="00ED5B40" w:rsidRDefault="00075518" w:rsidP="00AD360E">
      <w:pPr>
        <w:pStyle w:val="ListParagraph"/>
        <w:widowControl w:val="0"/>
        <w:autoSpaceDE w:val="0"/>
        <w:autoSpaceDN w:val="0"/>
        <w:adjustRightInd w:val="0"/>
        <w:ind w:left="0" w:right="51"/>
        <w:jc w:val="center"/>
        <w:rPr>
          <w:rFonts w:ascii="Verdana" w:hAnsi="Verdana" w:cs="Times New Roman"/>
          <w:b/>
          <w:sz w:val="20"/>
          <w:szCs w:val="20"/>
        </w:rPr>
      </w:pPr>
      <w:r w:rsidRPr="00761869">
        <w:rPr>
          <w:rFonts w:ascii="Verdana" w:hAnsi="Verdana" w:cs="Times New Roman"/>
          <w:bCs/>
          <w:iCs/>
          <w:sz w:val="20"/>
          <w:szCs w:val="20"/>
        </w:rPr>
        <w:t>III.</w:t>
      </w:r>
      <w:r w:rsidR="0065672D" w:rsidRPr="00761869">
        <w:rPr>
          <w:rFonts w:ascii="Verdana" w:hAnsi="Verdana" w:cs="Times New Roman"/>
          <w:bCs/>
          <w:iCs/>
          <w:sz w:val="20"/>
          <w:szCs w:val="20"/>
        </w:rPr>
        <w:t xml:space="preserve">  EL DERECHO DE ASOCIACIÓN LABORAL PARA LA PROTECCIÓNY PROMOCIÓN DE LOS INTERESES DE LOS TRABAJADORES COMO PARTE DEL DERECHO AL TRABAJO</w:t>
      </w:r>
      <w:r w:rsidR="000A00A0">
        <w:rPr>
          <w:rFonts w:ascii="Verdana" w:hAnsi="Verdana" w:cs="Times New Roman"/>
          <w:b/>
          <w:sz w:val="20"/>
          <w:szCs w:val="20"/>
        </w:rPr>
        <w:t xml:space="preserve"> </w:t>
      </w:r>
    </w:p>
    <w:p w14:paraId="2FFDBD49" w14:textId="77777777" w:rsidR="00374FA9" w:rsidRPr="00FD58B6" w:rsidRDefault="00374FA9" w:rsidP="001C21C2">
      <w:pPr>
        <w:pStyle w:val="ListParagraph"/>
        <w:widowControl w:val="0"/>
        <w:autoSpaceDE w:val="0"/>
        <w:autoSpaceDN w:val="0"/>
        <w:adjustRightInd w:val="0"/>
        <w:ind w:left="0" w:right="51"/>
        <w:rPr>
          <w:rFonts w:ascii="Verdana" w:hAnsi="Verdana" w:cs="Times New Roman"/>
          <w:sz w:val="20"/>
          <w:szCs w:val="20"/>
        </w:rPr>
      </w:pPr>
    </w:p>
    <w:p w14:paraId="6C67FEE6" w14:textId="6927EBBC" w:rsidR="00BF5462" w:rsidRPr="004E66B4" w:rsidRDefault="00BF5462"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4E66B4">
        <w:rPr>
          <w:rFonts w:ascii="Verdana" w:hAnsi="Verdana" w:cs="Times New Roman"/>
          <w:sz w:val="20"/>
          <w:szCs w:val="20"/>
        </w:rPr>
        <w:t xml:space="preserve">En la </w:t>
      </w:r>
      <w:r w:rsidR="00E03B31">
        <w:rPr>
          <w:rFonts w:ascii="Verdana" w:hAnsi="Verdana" w:cs="Times New Roman"/>
          <w:sz w:val="20"/>
          <w:szCs w:val="20"/>
        </w:rPr>
        <w:t>Sentencia, la Corte IDH concluye que existe</w:t>
      </w:r>
      <w:r w:rsidRPr="004E66B4">
        <w:rPr>
          <w:rFonts w:ascii="Verdana" w:hAnsi="Verdana" w:cs="Times New Roman"/>
          <w:sz w:val="20"/>
          <w:szCs w:val="20"/>
        </w:rPr>
        <w:t xml:space="preserve"> una violación a los artículos 16.1 y 26 </w:t>
      </w:r>
      <w:r w:rsidR="00E03B31">
        <w:rPr>
          <w:rFonts w:ascii="Verdana" w:hAnsi="Verdana" w:cs="Times New Roman"/>
          <w:sz w:val="20"/>
          <w:szCs w:val="20"/>
        </w:rPr>
        <w:t xml:space="preserve">de la Convención Americana, </w:t>
      </w:r>
      <w:r w:rsidRPr="004E66B4">
        <w:rPr>
          <w:rFonts w:ascii="Verdana" w:hAnsi="Verdana" w:cs="Times New Roman"/>
          <w:sz w:val="20"/>
          <w:szCs w:val="20"/>
        </w:rPr>
        <w:t>en relació</w:t>
      </w:r>
      <w:r w:rsidR="00C17861">
        <w:rPr>
          <w:rFonts w:ascii="Verdana" w:hAnsi="Verdana" w:cs="Times New Roman"/>
          <w:sz w:val="20"/>
          <w:szCs w:val="20"/>
        </w:rPr>
        <w:t xml:space="preserve">n </w:t>
      </w:r>
      <w:r w:rsidR="00075518">
        <w:rPr>
          <w:rFonts w:ascii="Verdana" w:hAnsi="Verdana" w:cs="Times New Roman"/>
          <w:sz w:val="20"/>
          <w:szCs w:val="20"/>
        </w:rPr>
        <w:t>con los artículo</w:t>
      </w:r>
      <w:r w:rsidR="00E03B31">
        <w:rPr>
          <w:rFonts w:ascii="Verdana" w:hAnsi="Verdana" w:cs="Times New Roman"/>
          <w:sz w:val="20"/>
          <w:szCs w:val="20"/>
        </w:rPr>
        <w:t>s</w:t>
      </w:r>
      <w:r w:rsidR="00075518">
        <w:rPr>
          <w:rFonts w:ascii="Verdana" w:hAnsi="Verdana" w:cs="Times New Roman"/>
          <w:sz w:val="20"/>
          <w:szCs w:val="20"/>
        </w:rPr>
        <w:t xml:space="preserve"> 8, 11, y 13 de</w:t>
      </w:r>
      <w:r w:rsidR="00E03B31">
        <w:rPr>
          <w:rFonts w:ascii="Verdana" w:hAnsi="Verdana" w:cs="Times New Roman"/>
          <w:sz w:val="20"/>
          <w:szCs w:val="20"/>
        </w:rPr>
        <w:t>l mismo instrumento</w:t>
      </w:r>
      <w:r w:rsidR="00075518">
        <w:rPr>
          <w:rFonts w:ascii="Verdana" w:hAnsi="Verdana" w:cs="Times New Roman"/>
          <w:sz w:val="20"/>
          <w:szCs w:val="20"/>
        </w:rPr>
        <w:t>,</w:t>
      </w:r>
      <w:r w:rsidRPr="004E66B4">
        <w:rPr>
          <w:rFonts w:ascii="Verdana" w:hAnsi="Verdana" w:cs="Times New Roman"/>
          <w:sz w:val="20"/>
          <w:szCs w:val="20"/>
        </w:rPr>
        <w:t xml:space="preserve"> en perjuicio del señor Lagos del Campos</w:t>
      </w:r>
      <w:r w:rsidR="00E03B31">
        <w:rPr>
          <w:rFonts w:ascii="Verdana" w:hAnsi="Verdana" w:cs="Times New Roman"/>
          <w:sz w:val="20"/>
          <w:szCs w:val="20"/>
        </w:rPr>
        <w:t>,</w:t>
      </w:r>
      <w:r w:rsidRPr="004E66B4">
        <w:rPr>
          <w:rFonts w:ascii="Verdana" w:hAnsi="Verdana" w:cs="Times New Roman"/>
          <w:sz w:val="20"/>
          <w:szCs w:val="20"/>
        </w:rPr>
        <w:t xml:space="preserve"> en los siguientes términos: </w:t>
      </w:r>
    </w:p>
    <w:p w14:paraId="71BAA145" w14:textId="77777777" w:rsidR="00BF5462" w:rsidRPr="004E66B4" w:rsidRDefault="00BF5462" w:rsidP="00AD360E">
      <w:pPr>
        <w:pStyle w:val="ListParagraph"/>
        <w:widowControl w:val="0"/>
        <w:autoSpaceDE w:val="0"/>
        <w:autoSpaceDN w:val="0"/>
        <w:adjustRightInd w:val="0"/>
        <w:ind w:left="0" w:right="49"/>
        <w:jc w:val="both"/>
        <w:rPr>
          <w:rFonts w:ascii="Verdana" w:hAnsi="Verdana" w:cs="Times New Roman"/>
          <w:sz w:val="20"/>
          <w:szCs w:val="20"/>
        </w:rPr>
      </w:pPr>
    </w:p>
    <w:p w14:paraId="1188D1B6" w14:textId="1BD5F56C" w:rsidR="00BF5462" w:rsidRPr="004E66B4" w:rsidRDefault="00BF5462" w:rsidP="004B76C5">
      <w:pPr>
        <w:ind w:left="720" w:right="738"/>
        <w:contextualSpacing/>
        <w:jc w:val="both"/>
        <w:rPr>
          <w:rFonts w:ascii="Verdana" w:hAnsi="Verdana"/>
          <w:b/>
          <w:sz w:val="16"/>
          <w:szCs w:val="16"/>
        </w:rPr>
      </w:pPr>
      <w:r w:rsidRPr="004E66B4">
        <w:rPr>
          <w:rFonts w:ascii="Verdana" w:hAnsi="Verdana"/>
          <w:sz w:val="16"/>
          <w:szCs w:val="16"/>
        </w:rPr>
        <w:t>162. […] la Corte encuentra que el despido del señor Lagos del Campo trascendió a la violación de su derecho individual a la libertad de asociación, pues privó a los trabajadores de la Comunidad Industrial de la representación de uno de sus líderes, en especial en la elección que habría tenido lugar bajo su supervisión como Presidente del Comité Electoral […]</w:t>
      </w:r>
      <w:r w:rsidRPr="004E66B4">
        <w:rPr>
          <w:rFonts w:ascii="Verdana" w:hAnsi="Verdana"/>
          <w:i/>
          <w:sz w:val="16"/>
          <w:szCs w:val="16"/>
        </w:rPr>
        <w:t>.</w:t>
      </w:r>
      <w:r w:rsidRPr="004E66B4">
        <w:rPr>
          <w:rFonts w:ascii="Verdana" w:hAnsi="Verdana"/>
          <w:sz w:val="16"/>
          <w:szCs w:val="16"/>
        </w:rPr>
        <w:t xml:space="preserve"> De igual forma, la Corte advierte que el despido del señor Lagos del Campo, al haber sido realizado en represalia por sus labores de representación, pudo tener un efecto amedrentador e intimidante en los demás miembros de la Comunidad Industrial</w:t>
      </w:r>
      <w:r w:rsidR="00FD58B6">
        <w:rPr>
          <w:rFonts w:ascii="Verdana" w:hAnsi="Verdana"/>
          <w:sz w:val="16"/>
          <w:szCs w:val="16"/>
        </w:rPr>
        <w:t xml:space="preserve"> </w:t>
      </w:r>
      <w:r w:rsidRPr="004E66B4">
        <w:rPr>
          <w:rFonts w:ascii="Verdana" w:hAnsi="Verdana"/>
          <w:sz w:val="16"/>
          <w:szCs w:val="16"/>
        </w:rPr>
        <w:t>[…]</w:t>
      </w:r>
      <w:r w:rsidR="004D230F">
        <w:rPr>
          <w:rStyle w:val="FootnoteReference"/>
          <w:rFonts w:ascii="Verdana" w:hAnsi="Verdana"/>
          <w:sz w:val="16"/>
          <w:szCs w:val="16"/>
        </w:rPr>
        <w:footnoteReference w:id="50"/>
      </w:r>
      <w:r w:rsidRPr="004E66B4">
        <w:rPr>
          <w:rFonts w:ascii="Verdana" w:hAnsi="Verdana"/>
          <w:sz w:val="16"/>
          <w:szCs w:val="16"/>
        </w:rPr>
        <w:t xml:space="preserve">. </w:t>
      </w:r>
    </w:p>
    <w:p w14:paraId="1BA7DAFD" w14:textId="77777777" w:rsidR="00BF5462" w:rsidRPr="004E66B4" w:rsidRDefault="00BF5462" w:rsidP="00AD360E">
      <w:pPr>
        <w:pStyle w:val="ListParagraph"/>
        <w:widowControl w:val="0"/>
        <w:autoSpaceDE w:val="0"/>
        <w:autoSpaceDN w:val="0"/>
        <w:adjustRightInd w:val="0"/>
        <w:ind w:left="0" w:right="49"/>
        <w:jc w:val="both"/>
        <w:rPr>
          <w:rFonts w:ascii="Verdana" w:hAnsi="Verdana" w:cs="Times New Roman"/>
          <w:sz w:val="20"/>
          <w:szCs w:val="20"/>
        </w:rPr>
      </w:pPr>
    </w:p>
    <w:p w14:paraId="5300531B" w14:textId="23005F28" w:rsidR="00A31ABA" w:rsidRDefault="00BF5462"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C4526E">
        <w:rPr>
          <w:rFonts w:ascii="Verdana" w:hAnsi="Verdana" w:cs="Times New Roman"/>
          <w:sz w:val="20"/>
          <w:szCs w:val="20"/>
        </w:rPr>
        <w:t xml:space="preserve">Al respecto, si bien coincido con la Sentencia, creo importante hacer </w:t>
      </w:r>
      <w:r w:rsidR="00354EF9" w:rsidRPr="00C4526E">
        <w:rPr>
          <w:rFonts w:ascii="Verdana" w:hAnsi="Verdana" w:cs="Times New Roman"/>
          <w:sz w:val="20"/>
          <w:szCs w:val="20"/>
        </w:rPr>
        <w:t>alg</w:t>
      </w:r>
      <w:r w:rsidRPr="00C4526E">
        <w:rPr>
          <w:rFonts w:ascii="Verdana" w:hAnsi="Verdana" w:cs="Times New Roman"/>
          <w:sz w:val="20"/>
          <w:szCs w:val="20"/>
        </w:rPr>
        <w:t xml:space="preserve">unas precisiones en relación </w:t>
      </w:r>
      <w:r w:rsidR="00305AB2">
        <w:rPr>
          <w:rFonts w:ascii="Verdana" w:hAnsi="Verdana" w:cs="Times New Roman"/>
          <w:sz w:val="20"/>
          <w:szCs w:val="20"/>
        </w:rPr>
        <w:t>con</w:t>
      </w:r>
      <w:r w:rsidRPr="00C4526E">
        <w:rPr>
          <w:rFonts w:ascii="Verdana" w:hAnsi="Verdana" w:cs="Times New Roman"/>
          <w:sz w:val="20"/>
          <w:szCs w:val="20"/>
        </w:rPr>
        <w:t xml:space="preserve"> la afect</w:t>
      </w:r>
      <w:r w:rsidR="00C4526E">
        <w:rPr>
          <w:rFonts w:ascii="Verdana" w:hAnsi="Verdana" w:cs="Times New Roman"/>
          <w:sz w:val="20"/>
          <w:szCs w:val="20"/>
        </w:rPr>
        <w:t>ación del derecho de asociación</w:t>
      </w:r>
      <w:r w:rsidRPr="00C4526E">
        <w:rPr>
          <w:rFonts w:ascii="Verdana" w:hAnsi="Verdana" w:cs="Times New Roman"/>
          <w:sz w:val="20"/>
          <w:szCs w:val="20"/>
        </w:rPr>
        <w:t xml:space="preserve"> y su impacto en la materia laboral</w:t>
      </w:r>
      <w:r w:rsidR="00E03B31" w:rsidRPr="00C4526E">
        <w:rPr>
          <w:rFonts w:ascii="Verdana" w:hAnsi="Verdana" w:cs="Times New Roman"/>
          <w:sz w:val="20"/>
          <w:szCs w:val="20"/>
        </w:rPr>
        <w:t xml:space="preserve">. </w:t>
      </w:r>
      <w:r w:rsidR="00C4526E" w:rsidRPr="00360566">
        <w:rPr>
          <w:rFonts w:ascii="Verdana" w:hAnsi="Verdana" w:cs="Times New Roman"/>
          <w:sz w:val="20"/>
          <w:szCs w:val="20"/>
        </w:rPr>
        <w:t xml:space="preserve">Lo anterior, teniendo en consideración que en la Sentencia no se expresan las razones por las cuales se relaciona el artículo 26 del Pacto de San José, con el derecho de asociación en materia laboral para la protección y promoción de los intereses de la víctima, contenido </w:t>
      </w:r>
      <w:r w:rsidR="00A31ABA" w:rsidRPr="00360566">
        <w:rPr>
          <w:rFonts w:ascii="Verdana" w:hAnsi="Verdana" w:cs="Times New Roman"/>
          <w:sz w:val="20"/>
          <w:szCs w:val="20"/>
        </w:rPr>
        <w:t>expresamente en el artículo 45, inciso c) de la Carta de la OEA; y su relación con el artículo 16 de la Convención Americana</w:t>
      </w:r>
      <w:r w:rsidR="00360566" w:rsidRPr="004E66B4">
        <w:rPr>
          <w:rStyle w:val="FootnoteReference"/>
          <w:rFonts w:ascii="Verdana" w:hAnsi="Verdana" w:cs="Times New Roman"/>
          <w:sz w:val="20"/>
          <w:szCs w:val="20"/>
        </w:rPr>
        <w:footnoteReference w:id="51"/>
      </w:r>
      <w:r w:rsidR="00A31ABA" w:rsidRPr="00360566">
        <w:rPr>
          <w:rFonts w:ascii="Verdana" w:hAnsi="Verdana" w:cs="Times New Roman"/>
          <w:sz w:val="20"/>
          <w:szCs w:val="20"/>
        </w:rPr>
        <w:t>.</w:t>
      </w:r>
      <w:r w:rsidR="00A31ABA">
        <w:rPr>
          <w:rFonts w:ascii="Verdana" w:hAnsi="Verdana" w:cs="Times New Roman"/>
          <w:sz w:val="20"/>
          <w:szCs w:val="20"/>
        </w:rPr>
        <w:t xml:space="preserve"> </w:t>
      </w:r>
    </w:p>
    <w:p w14:paraId="4A1F3356" w14:textId="77777777" w:rsidR="00A31ABA" w:rsidRPr="00C4526E" w:rsidRDefault="00A31ABA" w:rsidP="00AD360E">
      <w:pPr>
        <w:pStyle w:val="ListParagraph"/>
        <w:widowControl w:val="0"/>
        <w:autoSpaceDE w:val="0"/>
        <w:autoSpaceDN w:val="0"/>
        <w:adjustRightInd w:val="0"/>
        <w:ind w:left="0" w:right="49"/>
        <w:jc w:val="both"/>
        <w:rPr>
          <w:rFonts w:ascii="Verdana" w:hAnsi="Verdana" w:cs="Times New Roman"/>
          <w:sz w:val="20"/>
          <w:szCs w:val="20"/>
        </w:rPr>
      </w:pPr>
    </w:p>
    <w:p w14:paraId="7A11B276" w14:textId="3869153E" w:rsidR="00A068F0" w:rsidRPr="00A068F0" w:rsidRDefault="00A068F0"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A068F0">
        <w:rPr>
          <w:rFonts w:ascii="Verdana" w:hAnsi="Verdana" w:cs="Times New Roman"/>
          <w:sz w:val="20"/>
          <w:szCs w:val="20"/>
        </w:rPr>
        <w:t>En el presente caso, la Corte IDH reconoció que la temática de asociación laboral en materia sind</w:t>
      </w:r>
      <w:r w:rsidR="00E03B31">
        <w:rPr>
          <w:rFonts w:ascii="Verdana" w:hAnsi="Verdana" w:cs="Times New Roman"/>
          <w:sz w:val="20"/>
          <w:szCs w:val="20"/>
        </w:rPr>
        <w:t>ical es de especial importancia. Incluso</w:t>
      </w:r>
      <w:r w:rsidR="001B19E4">
        <w:rPr>
          <w:rFonts w:ascii="Verdana" w:hAnsi="Verdana" w:cs="Times New Roman"/>
          <w:sz w:val="20"/>
          <w:szCs w:val="20"/>
        </w:rPr>
        <w:t>,</w:t>
      </w:r>
      <w:r w:rsidR="00E03B31">
        <w:rPr>
          <w:rFonts w:ascii="Verdana" w:hAnsi="Verdana" w:cs="Times New Roman"/>
          <w:sz w:val="20"/>
          <w:szCs w:val="20"/>
        </w:rPr>
        <w:t xml:space="preserve"> el</w:t>
      </w:r>
      <w:r w:rsidRPr="00A068F0">
        <w:rPr>
          <w:rFonts w:ascii="Verdana" w:hAnsi="Verdana" w:cs="Times New Roman"/>
          <w:sz w:val="20"/>
          <w:szCs w:val="20"/>
        </w:rPr>
        <w:t xml:space="preserve"> artículo 19.6 del Protocolo de San Salvador </w:t>
      </w:r>
      <w:r w:rsidRPr="00E03B31">
        <w:rPr>
          <w:rFonts w:ascii="Verdana" w:hAnsi="Verdana" w:cs="Times New Roman"/>
          <w:sz w:val="20"/>
          <w:szCs w:val="20"/>
        </w:rPr>
        <w:t xml:space="preserve">le confiere a la Corte IDH </w:t>
      </w:r>
      <w:r w:rsidR="001B19E4">
        <w:rPr>
          <w:rFonts w:ascii="Verdana" w:hAnsi="Verdana" w:cs="Times New Roman"/>
          <w:sz w:val="20"/>
          <w:szCs w:val="20"/>
        </w:rPr>
        <w:t xml:space="preserve">la </w:t>
      </w:r>
      <w:r w:rsidRPr="00E03B31">
        <w:rPr>
          <w:rFonts w:ascii="Verdana" w:hAnsi="Verdana" w:cs="Times New Roman"/>
          <w:sz w:val="20"/>
          <w:szCs w:val="20"/>
        </w:rPr>
        <w:t xml:space="preserve">competencia </w:t>
      </w:r>
      <w:r w:rsidR="001B19E4">
        <w:rPr>
          <w:rFonts w:ascii="Verdana" w:hAnsi="Verdana" w:cs="Times New Roman"/>
          <w:sz w:val="20"/>
          <w:szCs w:val="20"/>
        </w:rPr>
        <w:t xml:space="preserve">expresa </w:t>
      </w:r>
      <w:r w:rsidRPr="00A068F0">
        <w:rPr>
          <w:rFonts w:ascii="Verdana" w:hAnsi="Verdana" w:cs="Times New Roman"/>
          <w:sz w:val="20"/>
          <w:szCs w:val="20"/>
        </w:rPr>
        <w:t>para pronunciarse sobre violaciones a la obligación del Estado de permitir que los sindicatos, federaciones y confederaciones funcionen libremente</w:t>
      </w:r>
      <w:r w:rsidR="001B19E4">
        <w:rPr>
          <w:rFonts w:ascii="Verdana" w:hAnsi="Verdana" w:cs="Times New Roman"/>
          <w:sz w:val="20"/>
          <w:szCs w:val="20"/>
        </w:rPr>
        <w:t xml:space="preserve">, como se encuentra </w:t>
      </w:r>
      <w:r w:rsidR="000E4AFD">
        <w:rPr>
          <w:rFonts w:ascii="Verdana" w:hAnsi="Verdana" w:cs="Times New Roman"/>
          <w:sz w:val="20"/>
          <w:szCs w:val="20"/>
        </w:rPr>
        <w:t xml:space="preserve"> contemplado en el artículo</w:t>
      </w:r>
      <w:r w:rsidRPr="00A068F0">
        <w:rPr>
          <w:rFonts w:ascii="Verdana" w:hAnsi="Verdana" w:cs="Times New Roman"/>
          <w:sz w:val="20"/>
          <w:szCs w:val="20"/>
        </w:rPr>
        <w:t xml:space="preserve"> 8.1</w:t>
      </w:r>
      <w:r w:rsidR="000E4AFD">
        <w:rPr>
          <w:rFonts w:ascii="Verdana" w:hAnsi="Verdana" w:cs="Times New Roman"/>
          <w:sz w:val="20"/>
          <w:szCs w:val="20"/>
        </w:rPr>
        <w:t xml:space="preserve"> inciso </w:t>
      </w:r>
      <w:r w:rsidRPr="00A068F0">
        <w:rPr>
          <w:rFonts w:ascii="Verdana" w:hAnsi="Verdana" w:cs="Times New Roman"/>
          <w:sz w:val="20"/>
          <w:szCs w:val="20"/>
        </w:rPr>
        <w:t>a</w:t>
      </w:r>
      <w:r w:rsidR="000E4AFD">
        <w:rPr>
          <w:rFonts w:ascii="Verdana" w:hAnsi="Verdana" w:cs="Times New Roman"/>
          <w:sz w:val="20"/>
          <w:szCs w:val="20"/>
        </w:rPr>
        <w:t>)</w:t>
      </w:r>
      <w:r w:rsidRPr="004E66B4">
        <w:rPr>
          <w:rStyle w:val="FootnoteReference"/>
          <w:rFonts w:ascii="Verdana" w:hAnsi="Verdana" w:cs="Times New Roman"/>
          <w:sz w:val="20"/>
          <w:szCs w:val="20"/>
        </w:rPr>
        <w:footnoteReference w:id="52"/>
      </w:r>
      <w:r w:rsidRPr="00A068F0">
        <w:rPr>
          <w:rFonts w:ascii="Verdana" w:hAnsi="Verdana" w:cs="Times New Roman"/>
          <w:sz w:val="20"/>
          <w:szCs w:val="20"/>
        </w:rPr>
        <w:t xml:space="preserve">. Además, la Corte IDH expresó una vertiente de los derechos sindicales al expresar que “la libertad de asociación en materia sindical reviste la mayor importancia </w:t>
      </w:r>
      <w:r w:rsidRPr="001B19E4">
        <w:rPr>
          <w:rFonts w:ascii="Verdana" w:hAnsi="Verdana" w:cs="Times New Roman"/>
          <w:sz w:val="20"/>
          <w:szCs w:val="20"/>
        </w:rPr>
        <w:t>para la defensa de los intereses legítimos de los</w:t>
      </w:r>
      <w:r w:rsidRPr="00A068F0">
        <w:rPr>
          <w:rFonts w:ascii="Verdana" w:hAnsi="Verdana" w:cs="Times New Roman"/>
          <w:sz w:val="20"/>
          <w:szCs w:val="20"/>
          <w:u w:val="single"/>
        </w:rPr>
        <w:t xml:space="preserve"> trabajadores</w:t>
      </w:r>
      <w:r w:rsidRPr="00A068F0">
        <w:rPr>
          <w:rFonts w:ascii="Verdana" w:hAnsi="Verdana" w:cs="Times New Roman"/>
          <w:sz w:val="20"/>
          <w:szCs w:val="20"/>
        </w:rPr>
        <w:t xml:space="preserve">, y se enmarca en el </w:t>
      </w:r>
      <w:r w:rsidRPr="00A068F0">
        <w:rPr>
          <w:rFonts w:ascii="Verdana" w:hAnsi="Verdana" w:cs="Times New Roman"/>
          <w:i/>
          <w:sz w:val="20"/>
          <w:szCs w:val="20"/>
        </w:rPr>
        <w:t xml:space="preserve">corpus </w:t>
      </w:r>
      <w:proofErr w:type="spellStart"/>
      <w:r w:rsidRPr="00A068F0">
        <w:rPr>
          <w:rFonts w:ascii="Verdana" w:hAnsi="Verdana" w:cs="Times New Roman"/>
          <w:i/>
          <w:sz w:val="20"/>
          <w:szCs w:val="20"/>
        </w:rPr>
        <w:t>juris</w:t>
      </w:r>
      <w:proofErr w:type="spellEnd"/>
      <w:r w:rsidRPr="00A068F0">
        <w:rPr>
          <w:rFonts w:ascii="Verdana" w:hAnsi="Verdana" w:cs="Times New Roman"/>
          <w:i/>
          <w:sz w:val="20"/>
          <w:szCs w:val="20"/>
        </w:rPr>
        <w:t xml:space="preserve"> </w:t>
      </w:r>
      <w:r w:rsidRPr="00A068F0">
        <w:rPr>
          <w:rFonts w:ascii="Verdana" w:hAnsi="Verdana" w:cs="Times New Roman"/>
          <w:sz w:val="20"/>
          <w:szCs w:val="20"/>
        </w:rPr>
        <w:t>de derechos humanos</w:t>
      </w:r>
      <w:r w:rsidRPr="004E66B4">
        <w:rPr>
          <w:rFonts w:ascii="Verdana" w:hAnsi="Verdana" w:cs="Times New Roman"/>
          <w:sz w:val="20"/>
          <w:szCs w:val="20"/>
          <w:vertAlign w:val="superscript"/>
        </w:rPr>
        <w:footnoteReference w:id="53"/>
      </w:r>
      <w:r w:rsidRPr="00A068F0">
        <w:rPr>
          <w:rFonts w:ascii="Verdana" w:hAnsi="Verdana" w:cs="Times New Roman"/>
          <w:sz w:val="20"/>
          <w:szCs w:val="20"/>
        </w:rPr>
        <w:t xml:space="preserve">. </w:t>
      </w:r>
      <w:r>
        <w:rPr>
          <w:rFonts w:ascii="Verdana" w:hAnsi="Verdana" w:cs="Times New Roman"/>
          <w:sz w:val="20"/>
          <w:szCs w:val="20"/>
        </w:rPr>
        <w:t xml:space="preserve">No obstante, lo </w:t>
      </w:r>
      <w:r>
        <w:rPr>
          <w:rFonts w:ascii="Verdana" w:hAnsi="Verdana" w:cs="Times New Roman"/>
          <w:sz w:val="20"/>
          <w:szCs w:val="20"/>
        </w:rPr>
        <w:lastRenderedPageBreak/>
        <w:t xml:space="preserve">cierto es que el artículo 8.1.a del Protocolo de San Salvador no contempló todos los supuestos en los cuales se podría declarar una violación cuando se afecte la asociación en materia sindical. </w:t>
      </w:r>
    </w:p>
    <w:p w14:paraId="13F845F7" w14:textId="77777777" w:rsidR="00A068F0" w:rsidRPr="004E66B4" w:rsidRDefault="00A068F0" w:rsidP="00AD360E">
      <w:pPr>
        <w:widowControl w:val="0"/>
        <w:autoSpaceDE w:val="0"/>
        <w:autoSpaceDN w:val="0"/>
        <w:adjustRightInd w:val="0"/>
        <w:ind w:right="49"/>
        <w:jc w:val="both"/>
        <w:rPr>
          <w:rFonts w:ascii="Verdana" w:hAnsi="Verdana" w:cs="Times New Roman"/>
          <w:sz w:val="20"/>
          <w:szCs w:val="20"/>
        </w:rPr>
      </w:pPr>
    </w:p>
    <w:p w14:paraId="36A0DA31" w14:textId="6F77A557" w:rsidR="00A068F0" w:rsidRDefault="001B19E4"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Por ejemplo,</w:t>
      </w:r>
      <w:r w:rsidR="00A068F0" w:rsidRPr="004E66B4">
        <w:rPr>
          <w:rFonts w:ascii="Verdana" w:hAnsi="Verdana" w:cs="Times New Roman"/>
          <w:sz w:val="20"/>
          <w:szCs w:val="20"/>
        </w:rPr>
        <w:t xml:space="preserve"> en la Opinión Consultiva No. 22 sobre </w:t>
      </w:r>
      <w:r w:rsidR="00A068F0" w:rsidRPr="004E66B4">
        <w:rPr>
          <w:rFonts w:ascii="Verdana" w:hAnsi="Verdana" w:cs="Times New Roman"/>
          <w:i/>
          <w:sz w:val="20"/>
          <w:szCs w:val="20"/>
        </w:rPr>
        <w:t>la titularidad de derechos de las personas jurídicas en el Sistema Interamericano</w:t>
      </w:r>
      <w:r w:rsidR="00A068F0" w:rsidRPr="004E66B4">
        <w:rPr>
          <w:rFonts w:ascii="Verdana" w:hAnsi="Verdana" w:cs="Times New Roman"/>
          <w:sz w:val="20"/>
          <w:szCs w:val="20"/>
        </w:rPr>
        <w:t>, al establecer el régimen obligacional de los Estados en materia sindical</w:t>
      </w:r>
      <w:r w:rsidR="00844C91">
        <w:rPr>
          <w:rFonts w:ascii="Verdana" w:hAnsi="Verdana" w:cs="Times New Roman"/>
          <w:sz w:val="20"/>
          <w:szCs w:val="20"/>
        </w:rPr>
        <w:t>,</w:t>
      </w:r>
      <w:r w:rsidR="00A068F0" w:rsidRPr="004E66B4">
        <w:rPr>
          <w:rFonts w:ascii="Verdana" w:hAnsi="Verdana" w:cs="Times New Roman"/>
          <w:sz w:val="20"/>
          <w:szCs w:val="20"/>
        </w:rPr>
        <w:t xml:space="preserve"> el Tribunal Interamericano no delimitó ni estableció una serie de derechos </w:t>
      </w:r>
      <w:r w:rsidR="00844C91">
        <w:rPr>
          <w:rFonts w:ascii="Verdana" w:hAnsi="Verdana" w:cs="Times New Roman"/>
          <w:sz w:val="20"/>
          <w:szCs w:val="20"/>
        </w:rPr>
        <w:t xml:space="preserve">de manera </w:t>
      </w:r>
      <w:r w:rsidR="00A068F0" w:rsidRPr="004E66B4">
        <w:rPr>
          <w:rFonts w:ascii="Verdana" w:hAnsi="Verdana" w:cs="Times New Roman"/>
          <w:sz w:val="20"/>
          <w:szCs w:val="20"/>
        </w:rPr>
        <w:t>taxativa ni limitativa</w:t>
      </w:r>
      <w:r w:rsidR="00A068F0" w:rsidRPr="004E66B4">
        <w:rPr>
          <w:rStyle w:val="FootnoteReference"/>
          <w:rFonts w:ascii="Verdana" w:hAnsi="Verdana" w:cs="Times New Roman"/>
          <w:sz w:val="20"/>
          <w:szCs w:val="20"/>
        </w:rPr>
        <w:footnoteReference w:id="54"/>
      </w:r>
      <w:r>
        <w:rPr>
          <w:rFonts w:ascii="Verdana" w:hAnsi="Verdana" w:cs="Times New Roman"/>
          <w:sz w:val="20"/>
          <w:szCs w:val="20"/>
        </w:rPr>
        <w:t>, los cuales</w:t>
      </w:r>
      <w:r w:rsidR="00A068F0" w:rsidRPr="004E66B4">
        <w:rPr>
          <w:rFonts w:ascii="Verdana" w:hAnsi="Verdana" w:cs="Times New Roman"/>
          <w:sz w:val="20"/>
          <w:szCs w:val="20"/>
        </w:rPr>
        <w:t xml:space="preserve"> se contemplarían en el art</w:t>
      </w:r>
      <w:r w:rsidR="00A068F0">
        <w:rPr>
          <w:rFonts w:ascii="Verdana" w:hAnsi="Verdana" w:cs="Times New Roman"/>
          <w:sz w:val="20"/>
          <w:szCs w:val="20"/>
        </w:rPr>
        <w:t>ículo</w:t>
      </w:r>
      <w:r w:rsidR="00A068F0" w:rsidRPr="004E66B4">
        <w:rPr>
          <w:rFonts w:ascii="Verdana" w:hAnsi="Verdana" w:cs="Times New Roman"/>
          <w:sz w:val="20"/>
          <w:szCs w:val="20"/>
        </w:rPr>
        <w:t xml:space="preserve"> 8.1.a</w:t>
      </w:r>
      <w:r w:rsidR="00A068F0">
        <w:rPr>
          <w:rFonts w:ascii="Verdana" w:hAnsi="Verdana" w:cs="Times New Roman"/>
          <w:sz w:val="20"/>
          <w:szCs w:val="20"/>
        </w:rPr>
        <w:t xml:space="preserve"> del Protocolo de San Salvador</w:t>
      </w:r>
      <w:r>
        <w:rPr>
          <w:rFonts w:ascii="Verdana" w:hAnsi="Verdana" w:cs="Times New Roman"/>
          <w:sz w:val="20"/>
          <w:szCs w:val="20"/>
        </w:rPr>
        <w:t>. Sino que, la Corte IDH</w:t>
      </w:r>
      <w:r w:rsidR="00A068F0" w:rsidRPr="004E66B4">
        <w:rPr>
          <w:rFonts w:ascii="Verdana" w:hAnsi="Verdana" w:cs="Times New Roman"/>
          <w:sz w:val="20"/>
          <w:szCs w:val="20"/>
        </w:rPr>
        <w:t xml:space="preserve"> se limitó a establecer</w:t>
      </w:r>
      <w:r w:rsidR="00A068F0">
        <w:rPr>
          <w:rFonts w:ascii="Verdana" w:hAnsi="Verdana" w:cs="Times New Roman"/>
          <w:sz w:val="20"/>
          <w:szCs w:val="20"/>
        </w:rPr>
        <w:t xml:space="preserve"> y a interpretar</w:t>
      </w:r>
      <w:r w:rsidR="00A068F0" w:rsidRPr="004E66B4">
        <w:rPr>
          <w:rFonts w:ascii="Verdana" w:hAnsi="Verdana" w:cs="Times New Roman"/>
          <w:sz w:val="20"/>
          <w:szCs w:val="20"/>
        </w:rPr>
        <w:t xml:space="preserve"> algunos “ejemplos” de obligaciones, </w:t>
      </w:r>
      <w:r w:rsidR="00A068F0">
        <w:rPr>
          <w:rFonts w:ascii="Verdana" w:hAnsi="Verdana" w:cs="Times New Roman"/>
          <w:sz w:val="20"/>
          <w:szCs w:val="20"/>
        </w:rPr>
        <w:t xml:space="preserve">y que de no respetarse o garantizarse </w:t>
      </w:r>
      <w:r>
        <w:rPr>
          <w:rFonts w:ascii="Verdana" w:hAnsi="Verdana" w:cs="Times New Roman"/>
          <w:sz w:val="20"/>
          <w:szCs w:val="20"/>
        </w:rPr>
        <w:t xml:space="preserve">tales obligaciones, </w:t>
      </w:r>
      <w:r w:rsidR="00A068F0">
        <w:rPr>
          <w:rFonts w:ascii="Verdana" w:hAnsi="Verdana" w:cs="Times New Roman"/>
          <w:sz w:val="20"/>
          <w:szCs w:val="20"/>
        </w:rPr>
        <w:t xml:space="preserve">se podría </w:t>
      </w:r>
      <w:r w:rsidR="00844C91">
        <w:rPr>
          <w:rFonts w:ascii="Verdana" w:hAnsi="Verdana" w:cs="Times New Roman"/>
          <w:sz w:val="20"/>
          <w:szCs w:val="20"/>
        </w:rPr>
        <w:t xml:space="preserve">violar </w:t>
      </w:r>
      <w:r w:rsidR="00A068F0">
        <w:rPr>
          <w:rFonts w:ascii="Verdana" w:hAnsi="Verdana" w:cs="Times New Roman"/>
          <w:sz w:val="20"/>
          <w:szCs w:val="20"/>
        </w:rPr>
        <w:t>el artículo 8.1.</w:t>
      </w:r>
      <w:proofErr w:type="spellStart"/>
      <w:r w:rsidR="00A068F0">
        <w:rPr>
          <w:rFonts w:ascii="Verdana" w:hAnsi="Verdana" w:cs="Times New Roman"/>
          <w:sz w:val="20"/>
          <w:szCs w:val="20"/>
        </w:rPr>
        <w:t>a</w:t>
      </w:r>
      <w:proofErr w:type="spellEnd"/>
      <w:r w:rsidR="00A068F0">
        <w:rPr>
          <w:rFonts w:ascii="Verdana" w:hAnsi="Verdana" w:cs="Times New Roman"/>
          <w:sz w:val="20"/>
          <w:szCs w:val="20"/>
        </w:rPr>
        <w:t xml:space="preserve"> de Protocolo de San Salvador</w:t>
      </w:r>
      <w:r w:rsidR="00A068F0" w:rsidRPr="004E66B4">
        <w:rPr>
          <w:rFonts w:ascii="Verdana" w:hAnsi="Verdana" w:cs="Times New Roman"/>
          <w:sz w:val="20"/>
          <w:szCs w:val="20"/>
        </w:rPr>
        <w:t xml:space="preserve">. De esta manera, la Corte IDH consideró que: </w:t>
      </w:r>
      <w:r w:rsidR="00FD58B6">
        <w:rPr>
          <w:rFonts w:ascii="Verdana" w:hAnsi="Verdana" w:cs="Times New Roman"/>
          <w:sz w:val="20"/>
          <w:szCs w:val="20"/>
        </w:rPr>
        <w:t xml:space="preserve"> </w:t>
      </w:r>
    </w:p>
    <w:p w14:paraId="5C0EED52" w14:textId="77777777" w:rsidR="00FD58B6" w:rsidRPr="00FD58B6" w:rsidRDefault="00FD58B6" w:rsidP="00FD58B6">
      <w:pPr>
        <w:pStyle w:val="ListParagraph"/>
        <w:rPr>
          <w:rFonts w:ascii="Verdana" w:hAnsi="Verdana" w:cs="Times New Roman"/>
          <w:sz w:val="20"/>
          <w:szCs w:val="20"/>
        </w:rPr>
      </w:pPr>
    </w:p>
    <w:p w14:paraId="6AA24D2D" w14:textId="77777777" w:rsidR="00FD58B6" w:rsidRPr="004E66B4" w:rsidRDefault="00FD58B6"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p>
    <w:p w14:paraId="53DF4BE3" w14:textId="77777777" w:rsidR="00A068F0" w:rsidRDefault="00A068F0" w:rsidP="00577626">
      <w:pPr>
        <w:tabs>
          <w:tab w:val="left" w:pos="8222"/>
        </w:tabs>
        <w:ind w:left="708" w:right="918"/>
        <w:jc w:val="both"/>
        <w:rPr>
          <w:rFonts w:ascii="Verdana" w:hAnsi="Verdana" w:cs="Times New Roman"/>
          <w:sz w:val="16"/>
          <w:szCs w:val="16"/>
        </w:rPr>
      </w:pPr>
      <w:r w:rsidRPr="004E66B4">
        <w:rPr>
          <w:rFonts w:ascii="Verdana" w:hAnsi="Verdana" w:cs="Times New Roman"/>
          <w:sz w:val="16"/>
          <w:szCs w:val="16"/>
        </w:rPr>
        <w:t xml:space="preserve">101. Adicionalmente, la Corte considera que la </w:t>
      </w:r>
      <w:proofErr w:type="spellStart"/>
      <w:r w:rsidRPr="004E66B4">
        <w:rPr>
          <w:rFonts w:ascii="Verdana" w:hAnsi="Verdana" w:cs="Times New Roman"/>
          <w:b/>
          <w:sz w:val="16"/>
          <w:szCs w:val="16"/>
        </w:rPr>
        <w:t>obligación</w:t>
      </w:r>
      <w:proofErr w:type="spellEnd"/>
      <w:r w:rsidRPr="004E66B4">
        <w:rPr>
          <w:rFonts w:ascii="Verdana" w:hAnsi="Verdana" w:cs="Times New Roman"/>
          <w:b/>
          <w:sz w:val="16"/>
          <w:szCs w:val="16"/>
        </w:rPr>
        <w:t xml:space="preserve"> general que tienen los Estados de garantizar</w:t>
      </w:r>
      <w:r w:rsidRPr="004E66B4">
        <w:rPr>
          <w:rFonts w:ascii="Verdana" w:hAnsi="Verdana" w:cs="Times New Roman"/>
          <w:sz w:val="16"/>
          <w:szCs w:val="16"/>
        </w:rPr>
        <w:t xml:space="preserve"> </w:t>
      </w:r>
      <w:r w:rsidRPr="004E66B4">
        <w:rPr>
          <w:rFonts w:ascii="Verdana" w:hAnsi="Verdana" w:cs="Times New Roman"/>
          <w:sz w:val="16"/>
          <w:szCs w:val="16"/>
          <w:u w:val="single"/>
        </w:rPr>
        <w:t xml:space="preserve">los derechos sindicales contenidos en el </w:t>
      </w:r>
      <w:proofErr w:type="spellStart"/>
      <w:r w:rsidRPr="004E66B4">
        <w:rPr>
          <w:rFonts w:ascii="Verdana" w:hAnsi="Verdana" w:cs="Times New Roman"/>
          <w:sz w:val="16"/>
          <w:szCs w:val="16"/>
          <w:u w:val="single"/>
        </w:rPr>
        <w:t>artículo</w:t>
      </w:r>
      <w:proofErr w:type="spellEnd"/>
      <w:r w:rsidRPr="004E66B4">
        <w:rPr>
          <w:rFonts w:ascii="Verdana" w:hAnsi="Verdana" w:cs="Times New Roman"/>
          <w:sz w:val="16"/>
          <w:szCs w:val="16"/>
          <w:u w:val="single"/>
        </w:rPr>
        <w:t xml:space="preserve"> 8.1.a del Protocolo se traduce en las obligaciones positivas de permitir e incentivar la </w:t>
      </w:r>
      <w:proofErr w:type="spellStart"/>
      <w:r w:rsidRPr="004E66B4">
        <w:rPr>
          <w:rFonts w:ascii="Verdana" w:hAnsi="Verdana" w:cs="Times New Roman"/>
          <w:sz w:val="16"/>
          <w:szCs w:val="16"/>
          <w:u w:val="single"/>
        </w:rPr>
        <w:t>generación</w:t>
      </w:r>
      <w:proofErr w:type="spellEnd"/>
      <w:r w:rsidRPr="004E66B4">
        <w:rPr>
          <w:rFonts w:ascii="Verdana" w:hAnsi="Verdana" w:cs="Times New Roman"/>
          <w:sz w:val="16"/>
          <w:szCs w:val="16"/>
          <w:u w:val="single"/>
        </w:rPr>
        <w:t xml:space="preserve"> de las condiciones aptas para que tales derechos se puedan llevar a cabo efectivamente</w:t>
      </w:r>
      <w:r w:rsidRPr="004E66B4">
        <w:rPr>
          <w:rFonts w:ascii="Verdana" w:hAnsi="Verdana" w:cs="Times New Roman"/>
          <w:sz w:val="16"/>
          <w:szCs w:val="16"/>
        </w:rPr>
        <w:t>. En este sentido,</w:t>
      </w:r>
      <w:r w:rsidRPr="004E66B4">
        <w:rPr>
          <w:rFonts w:ascii="Verdana" w:hAnsi="Verdana" w:cs="Times New Roman"/>
          <w:b/>
          <w:sz w:val="16"/>
          <w:szCs w:val="16"/>
        </w:rPr>
        <w:t xml:space="preserve"> la Corte acude al Convenio 87 de la OIT con el fin de mencionar ejemplos </w:t>
      </w:r>
      <w:r w:rsidRPr="004E66B4">
        <w:rPr>
          <w:rFonts w:ascii="Verdana" w:hAnsi="Verdana" w:cs="Times New Roman"/>
          <w:sz w:val="16"/>
          <w:szCs w:val="16"/>
        </w:rPr>
        <w:t xml:space="preserve">que ilustren las obligaciones positivas que surgen de la </w:t>
      </w:r>
      <w:proofErr w:type="spellStart"/>
      <w:r w:rsidRPr="004E66B4">
        <w:rPr>
          <w:rFonts w:ascii="Verdana" w:hAnsi="Verdana" w:cs="Times New Roman"/>
          <w:sz w:val="16"/>
          <w:szCs w:val="16"/>
        </w:rPr>
        <w:t>obligación</w:t>
      </w:r>
      <w:proofErr w:type="spellEnd"/>
      <w:r w:rsidRPr="004E66B4">
        <w:rPr>
          <w:rFonts w:ascii="Verdana" w:hAnsi="Verdana" w:cs="Times New Roman"/>
          <w:sz w:val="16"/>
          <w:szCs w:val="16"/>
        </w:rPr>
        <w:t xml:space="preserve"> general de garantizar los derechos reconocidos a los sindicatos, las federaciones y las confederaciones. En este sentido, la Corte nota que el </w:t>
      </w:r>
      <w:proofErr w:type="spellStart"/>
      <w:r w:rsidRPr="004E66B4">
        <w:rPr>
          <w:rFonts w:ascii="Verdana" w:hAnsi="Verdana" w:cs="Times New Roman"/>
          <w:sz w:val="16"/>
          <w:szCs w:val="16"/>
        </w:rPr>
        <w:t>artículo</w:t>
      </w:r>
      <w:proofErr w:type="spellEnd"/>
      <w:r w:rsidRPr="004E66B4">
        <w:rPr>
          <w:rFonts w:ascii="Verdana" w:hAnsi="Verdana" w:cs="Times New Roman"/>
          <w:sz w:val="16"/>
          <w:szCs w:val="16"/>
        </w:rPr>
        <w:t xml:space="preserve"> 3.1 del Convenio establece el derecho de las organizaciones de trabajadores a “r</w:t>
      </w:r>
      <w:r w:rsidRPr="004E66B4">
        <w:rPr>
          <w:rFonts w:ascii="Verdana" w:hAnsi="Verdana" w:cs="Times New Roman"/>
          <w:sz w:val="16"/>
          <w:szCs w:val="16"/>
          <w:u w:val="single"/>
        </w:rPr>
        <w:t xml:space="preserve">edactar sus estatutos y reglamentos administrativos, el de elegir a sus representantes, el de organizar su </w:t>
      </w:r>
      <w:proofErr w:type="spellStart"/>
      <w:r w:rsidRPr="004E66B4">
        <w:rPr>
          <w:rFonts w:ascii="Verdana" w:hAnsi="Verdana" w:cs="Times New Roman"/>
          <w:sz w:val="16"/>
          <w:szCs w:val="16"/>
          <w:u w:val="single"/>
        </w:rPr>
        <w:t>administración</w:t>
      </w:r>
      <w:proofErr w:type="spellEnd"/>
      <w:r w:rsidRPr="004E66B4">
        <w:rPr>
          <w:rFonts w:ascii="Verdana" w:hAnsi="Verdana" w:cs="Times New Roman"/>
          <w:sz w:val="16"/>
          <w:szCs w:val="16"/>
          <w:u w:val="single"/>
        </w:rPr>
        <w:t xml:space="preserve"> y sus actividades y el de formular su programa de </w:t>
      </w:r>
      <w:proofErr w:type="spellStart"/>
      <w:r w:rsidRPr="004E66B4">
        <w:rPr>
          <w:rFonts w:ascii="Verdana" w:hAnsi="Verdana" w:cs="Times New Roman"/>
          <w:sz w:val="16"/>
          <w:szCs w:val="16"/>
          <w:u w:val="single"/>
        </w:rPr>
        <w:t>acción</w:t>
      </w:r>
      <w:proofErr w:type="spellEnd"/>
      <w:r w:rsidRPr="004E66B4">
        <w:rPr>
          <w:rFonts w:ascii="Verdana" w:hAnsi="Verdana" w:cs="Times New Roman"/>
          <w:sz w:val="16"/>
          <w:szCs w:val="16"/>
        </w:rPr>
        <w:t xml:space="preserve">”. </w:t>
      </w:r>
    </w:p>
    <w:p w14:paraId="546BDD90" w14:textId="77777777" w:rsidR="00FD58B6" w:rsidRPr="004E66B4" w:rsidRDefault="00FD58B6" w:rsidP="00577626">
      <w:pPr>
        <w:tabs>
          <w:tab w:val="left" w:pos="8222"/>
        </w:tabs>
        <w:ind w:left="708" w:right="918"/>
        <w:jc w:val="both"/>
        <w:rPr>
          <w:rFonts w:ascii="Verdana" w:hAnsi="Verdana" w:cs="Times New Roman"/>
          <w:sz w:val="16"/>
          <w:szCs w:val="16"/>
        </w:rPr>
      </w:pPr>
    </w:p>
    <w:p w14:paraId="386F253F" w14:textId="6B1AF07A" w:rsidR="00A068F0" w:rsidRDefault="00A068F0" w:rsidP="00577626">
      <w:pPr>
        <w:tabs>
          <w:tab w:val="left" w:pos="8222"/>
        </w:tabs>
        <w:ind w:left="708" w:right="918"/>
        <w:jc w:val="both"/>
        <w:rPr>
          <w:rFonts w:ascii="Verdana" w:hAnsi="Verdana" w:cs="Times New Roman"/>
          <w:sz w:val="20"/>
          <w:szCs w:val="20"/>
        </w:rPr>
      </w:pPr>
      <w:r w:rsidRPr="004E66B4">
        <w:rPr>
          <w:rFonts w:ascii="Verdana" w:hAnsi="Verdana" w:cs="Times New Roman"/>
          <w:sz w:val="16"/>
          <w:szCs w:val="16"/>
        </w:rPr>
        <w:t xml:space="preserve">102. En consonancia con lo anterior, </w:t>
      </w:r>
      <w:r w:rsidRPr="004E66B4">
        <w:rPr>
          <w:rFonts w:ascii="Verdana" w:hAnsi="Verdana" w:cs="Times New Roman"/>
          <w:b/>
          <w:sz w:val="16"/>
          <w:szCs w:val="16"/>
        </w:rPr>
        <w:t xml:space="preserve">la </w:t>
      </w:r>
      <w:proofErr w:type="spellStart"/>
      <w:r w:rsidRPr="004E66B4">
        <w:rPr>
          <w:rFonts w:ascii="Verdana" w:hAnsi="Verdana" w:cs="Times New Roman"/>
          <w:b/>
          <w:sz w:val="16"/>
          <w:szCs w:val="16"/>
        </w:rPr>
        <w:t>obligación</w:t>
      </w:r>
      <w:proofErr w:type="spellEnd"/>
      <w:r w:rsidRPr="004E66B4">
        <w:rPr>
          <w:rFonts w:ascii="Verdana" w:hAnsi="Verdana" w:cs="Times New Roman"/>
          <w:b/>
          <w:sz w:val="16"/>
          <w:szCs w:val="16"/>
        </w:rPr>
        <w:t xml:space="preserve"> general de los Estados de respetar</w:t>
      </w:r>
      <w:r w:rsidRPr="004E66B4">
        <w:rPr>
          <w:rFonts w:ascii="Verdana" w:hAnsi="Verdana" w:cs="Times New Roman"/>
          <w:sz w:val="16"/>
          <w:szCs w:val="16"/>
        </w:rPr>
        <w:t xml:space="preserve"> los </w:t>
      </w:r>
      <w:r w:rsidRPr="004E66B4">
        <w:rPr>
          <w:rFonts w:ascii="Verdana" w:hAnsi="Verdana" w:cs="Times New Roman"/>
          <w:sz w:val="16"/>
          <w:szCs w:val="16"/>
          <w:u w:val="single"/>
        </w:rPr>
        <w:t xml:space="preserve">derechos implica las obligaciones negativas de abstener de crear barreras tales como legales o </w:t>
      </w:r>
      <w:r w:rsidR="00E34565" w:rsidRPr="004E66B4">
        <w:rPr>
          <w:rFonts w:ascii="Verdana" w:hAnsi="Verdana" w:cs="Times New Roman"/>
          <w:sz w:val="16"/>
          <w:szCs w:val="16"/>
          <w:u w:val="single"/>
        </w:rPr>
        <w:t>políticas</w:t>
      </w:r>
      <w:r w:rsidRPr="004E66B4">
        <w:rPr>
          <w:rFonts w:ascii="Verdana" w:hAnsi="Verdana" w:cs="Times New Roman"/>
          <w:sz w:val="16"/>
          <w:szCs w:val="16"/>
          <w:u w:val="single"/>
        </w:rPr>
        <w:t xml:space="preserve"> tendientes a impedir a los sindicatos, las federaciones y las confederaciones la posibilidad de gozar de un libre funcionamiento y adicionalmente a los sindicatos la posibilidad de asociarse</w:t>
      </w:r>
      <w:r w:rsidRPr="004E66B4">
        <w:rPr>
          <w:rFonts w:ascii="Verdana" w:hAnsi="Verdana" w:cs="Times New Roman"/>
          <w:sz w:val="16"/>
          <w:szCs w:val="16"/>
        </w:rPr>
        <w:t xml:space="preserve">. En este sentido, </w:t>
      </w:r>
      <w:r w:rsidRPr="004E66B4">
        <w:rPr>
          <w:rFonts w:ascii="Verdana" w:hAnsi="Verdana" w:cs="Times New Roman"/>
          <w:b/>
          <w:sz w:val="16"/>
          <w:szCs w:val="16"/>
          <w:u w:val="single"/>
        </w:rPr>
        <w:t xml:space="preserve">la Corte nota que el referido </w:t>
      </w:r>
      <w:proofErr w:type="spellStart"/>
      <w:r w:rsidRPr="004E66B4">
        <w:rPr>
          <w:rFonts w:ascii="Verdana" w:hAnsi="Verdana" w:cs="Times New Roman"/>
          <w:b/>
          <w:sz w:val="16"/>
          <w:szCs w:val="16"/>
          <w:u w:val="single"/>
        </w:rPr>
        <w:t>artículo</w:t>
      </w:r>
      <w:proofErr w:type="spellEnd"/>
      <w:r w:rsidRPr="004E66B4">
        <w:rPr>
          <w:rFonts w:ascii="Verdana" w:hAnsi="Verdana" w:cs="Times New Roman"/>
          <w:b/>
          <w:sz w:val="16"/>
          <w:szCs w:val="16"/>
          <w:u w:val="single"/>
        </w:rPr>
        <w:t xml:space="preserve"> 3.2 del Convenio N° 87</w:t>
      </w:r>
      <w:r w:rsidRPr="004E66B4">
        <w:rPr>
          <w:rFonts w:ascii="Verdana" w:hAnsi="Verdana" w:cs="Times New Roman"/>
          <w:sz w:val="16"/>
          <w:szCs w:val="16"/>
          <w:u w:val="single"/>
        </w:rPr>
        <w:t xml:space="preserve"> establece que “[l]as autoridades </w:t>
      </w:r>
      <w:r w:rsidR="00E34565" w:rsidRPr="004E66B4">
        <w:rPr>
          <w:rFonts w:ascii="Verdana" w:hAnsi="Verdana" w:cs="Times New Roman"/>
          <w:sz w:val="16"/>
          <w:szCs w:val="16"/>
          <w:u w:val="single"/>
        </w:rPr>
        <w:t>públicas</w:t>
      </w:r>
      <w:r w:rsidRPr="004E66B4">
        <w:rPr>
          <w:rFonts w:ascii="Verdana" w:hAnsi="Verdana" w:cs="Times New Roman"/>
          <w:sz w:val="16"/>
          <w:szCs w:val="16"/>
          <w:u w:val="single"/>
        </w:rPr>
        <w:t xml:space="preserve"> </w:t>
      </w:r>
      <w:r w:rsidR="00E34565" w:rsidRPr="004E66B4">
        <w:rPr>
          <w:rFonts w:ascii="Verdana" w:hAnsi="Verdana" w:cs="Times New Roman"/>
          <w:sz w:val="16"/>
          <w:szCs w:val="16"/>
          <w:u w:val="single"/>
        </w:rPr>
        <w:t>deberán</w:t>
      </w:r>
      <w:r w:rsidRPr="004E66B4">
        <w:rPr>
          <w:rFonts w:ascii="Verdana" w:hAnsi="Verdana" w:cs="Times New Roman"/>
          <w:sz w:val="16"/>
          <w:szCs w:val="16"/>
          <w:u w:val="single"/>
        </w:rPr>
        <w:t xml:space="preserve"> abstenerse de toda </w:t>
      </w:r>
      <w:proofErr w:type="spellStart"/>
      <w:r w:rsidRPr="004E66B4">
        <w:rPr>
          <w:rFonts w:ascii="Verdana" w:hAnsi="Verdana" w:cs="Times New Roman"/>
          <w:sz w:val="16"/>
          <w:szCs w:val="16"/>
          <w:u w:val="single"/>
        </w:rPr>
        <w:t>intervención</w:t>
      </w:r>
      <w:proofErr w:type="spellEnd"/>
      <w:r w:rsidRPr="004E66B4">
        <w:rPr>
          <w:rFonts w:ascii="Verdana" w:hAnsi="Verdana" w:cs="Times New Roman"/>
          <w:sz w:val="16"/>
          <w:szCs w:val="16"/>
          <w:u w:val="single"/>
        </w:rPr>
        <w:t xml:space="preserve"> que tienda a limitar [los derechos reconocidos en el numeral 1 del </w:t>
      </w:r>
      <w:proofErr w:type="spellStart"/>
      <w:r w:rsidRPr="004E66B4">
        <w:rPr>
          <w:rFonts w:ascii="Verdana" w:hAnsi="Verdana" w:cs="Times New Roman"/>
          <w:sz w:val="16"/>
          <w:szCs w:val="16"/>
          <w:u w:val="single"/>
        </w:rPr>
        <w:t>artículo</w:t>
      </w:r>
      <w:proofErr w:type="spellEnd"/>
      <w:r w:rsidRPr="004E66B4">
        <w:rPr>
          <w:rFonts w:ascii="Verdana" w:hAnsi="Verdana" w:cs="Times New Roman"/>
          <w:sz w:val="16"/>
          <w:szCs w:val="16"/>
          <w:u w:val="single"/>
        </w:rPr>
        <w:t>] o a entorpecer su ejercicio legal”</w:t>
      </w:r>
      <w:r w:rsidRPr="004E66B4">
        <w:rPr>
          <w:rStyle w:val="FootnoteReference"/>
          <w:rFonts w:ascii="Verdana" w:hAnsi="Verdana" w:cs="Times New Roman"/>
          <w:sz w:val="16"/>
          <w:szCs w:val="16"/>
          <w:u w:val="single"/>
        </w:rPr>
        <w:footnoteReference w:id="55"/>
      </w:r>
      <w:r w:rsidRPr="004E66B4">
        <w:rPr>
          <w:rFonts w:ascii="Verdana" w:hAnsi="Verdana" w:cs="Times New Roman"/>
          <w:sz w:val="16"/>
          <w:szCs w:val="16"/>
          <w:u w:val="single"/>
        </w:rPr>
        <w:t>.</w:t>
      </w:r>
      <w:r w:rsidRPr="004E66B4">
        <w:rPr>
          <w:rFonts w:ascii="Verdana" w:hAnsi="Verdana" w:cs="Times New Roman"/>
          <w:sz w:val="16"/>
          <w:szCs w:val="16"/>
        </w:rPr>
        <w:t xml:space="preserve"> </w:t>
      </w:r>
      <w:r w:rsidRPr="004E66B4">
        <w:rPr>
          <w:rFonts w:ascii="Verdana" w:hAnsi="Verdana" w:cs="Times New Roman"/>
          <w:sz w:val="20"/>
          <w:szCs w:val="20"/>
        </w:rPr>
        <w:t xml:space="preserve"> </w:t>
      </w:r>
    </w:p>
    <w:p w14:paraId="491FCB62" w14:textId="77777777" w:rsidR="00FD58B6" w:rsidRPr="004E66B4" w:rsidRDefault="00FD58B6" w:rsidP="00AD360E">
      <w:pPr>
        <w:tabs>
          <w:tab w:val="left" w:pos="8222"/>
        </w:tabs>
        <w:ind w:left="708" w:right="758"/>
        <w:jc w:val="both"/>
        <w:rPr>
          <w:rFonts w:ascii="Verdana" w:hAnsi="Verdana" w:cs="Times New Roman"/>
          <w:sz w:val="16"/>
          <w:szCs w:val="16"/>
        </w:rPr>
      </w:pPr>
    </w:p>
    <w:p w14:paraId="6C20F39D" w14:textId="6B99CC65" w:rsidR="00A068F0" w:rsidRDefault="00A068F0"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4E66B4">
        <w:rPr>
          <w:rFonts w:ascii="Verdana" w:hAnsi="Verdana" w:cs="Times New Roman"/>
          <w:sz w:val="20"/>
          <w:szCs w:val="20"/>
        </w:rPr>
        <w:t xml:space="preserve">Esta ejemplificación que se hace en relación </w:t>
      </w:r>
      <w:r w:rsidR="00305AB2">
        <w:rPr>
          <w:rFonts w:ascii="Verdana" w:hAnsi="Verdana" w:cs="Times New Roman"/>
          <w:sz w:val="20"/>
          <w:szCs w:val="20"/>
        </w:rPr>
        <w:t>con</w:t>
      </w:r>
      <w:r w:rsidRPr="004E66B4">
        <w:rPr>
          <w:rFonts w:ascii="Verdana" w:hAnsi="Verdana" w:cs="Times New Roman"/>
          <w:sz w:val="20"/>
          <w:szCs w:val="20"/>
        </w:rPr>
        <w:t xml:space="preserve"> la materia</w:t>
      </w:r>
      <w:r w:rsidR="00B05C28">
        <w:rPr>
          <w:rFonts w:ascii="Verdana" w:hAnsi="Verdana" w:cs="Times New Roman"/>
          <w:sz w:val="20"/>
          <w:szCs w:val="20"/>
        </w:rPr>
        <w:t xml:space="preserve"> sindical es de suma relevancia. </w:t>
      </w:r>
      <w:r w:rsidRPr="004E66B4">
        <w:rPr>
          <w:rFonts w:ascii="Verdana" w:hAnsi="Verdana" w:cs="Times New Roman"/>
          <w:sz w:val="20"/>
          <w:szCs w:val="20"/>
        </w:rPr>
        <w:t xml:space="preserve"> </w:t>
      </w:r>
      <w:r w:rsidR="004912E0">
        <w:rPr>
          <w:rFonts w:ascii="Verdana" w:hAnsi="Verdana" w:cs="Times New Roman"/>
          <w:sz w:val="20"/>
          <w:szCs w:val="20"/>
        </w:rPr>
        <w:t xml:space="preserve">En efecto, </w:t>
      </w:r>
      <w:r w:rsidRPr="004E66B4">
        <w:rPr>
          <w:rFonts w:ascii="Verdana" w:hAnsi="Verdana" w:cs="Times New Roman"/>
          <w:sz w:val="20"/>
          <w:szCs w:val="20"/>
        </w:rPr>
        <w:t xml:space="preserve">implícitamente se acepta en la Sentencia del caso </w:t>
      </w:r>
      <w:r w:rsidRPr="004E66B4">
        <w:rPr>
          <w:rFonts w:ascii="Verdana" w:hAnsi="Verdana" w:cs="Times New Roman"/>
          <w:i/>
          <w:sz w:val="20"/>
          <w:szCs w:val="20"/>
        </w:rPr>
        <w:t>Lagos del Campo</w:t>
      </w:r>
      <w:r w:rsidR="00844C91">
        <w:rPr>
          <w:rFonts w:ascii="Verdana" w:hAnsi="Verdana" w:cs="Times New Roman"/>
          <w:sz w:val="20"/>
          <w:szCs w:val="20"/>
        </w:rPr>
        <w:t xml:space="preserve"> —</w:t>
      </w:r>
      <w:r w:rsidR="00B05C28">
        <w:rPr>
          <w:rFonts w:ascii="Verdana" w:hAnsi="Verdana" w:cs="Times New Roman"/>
          <w:sz w:val="20"/>
          <w:szCs w:val="20"/>
        </w:rPr>
        <w:t>si bien</w:t>
      </w:r>
      <w:r w:rsidRPr="004E66B4">
        <w:rPr>
          <w:rFonts w:ascii="Verdana" w:hAnsi="Verdana" w:cs="Times New Roman"/>
          <w:sz w:val="20"/>
          <w:szCs w:val="20"/>
        </w:rPr>
        <w:t xml:space="preserve"> no relacionado con la </w:t>
      </w:r>
      <w:proofErr w:type="spellStart"/>
      <w:r w:rsidRPr="00B05C28">
        <w:rPr>
          <w:rFonts w:ascii="Verdana" w:hAnsi="Verdana" w:cs="Times New Roman"/>
          <w:sz w:val="20"/>
          <w:szCs w:val="20"/>
        </w:rPr>
        <w:t>litis</w:t>
      </w:r>
      <w:proofErr w:type="spellEnd"/>
      <w:r w:rsidRPr="004E66B4">
        <w:rPr>
          <w:rFonts w:ascii="Verdana" w:hAnsi="Verdana" w:cs="Times New Roman"/>
          <w:sz w:val="20"/>
          <w:szCs w:val="20"/>
        </w:rPr>
        <w:t xml:space="preserve"> del </w:t>
      </w:r>
      <w:r w:rsidR="00B05C28">
        <w:rPr>
          <w:rFonts w:ascii="Verdana" w:hAnsi="Verdana" w:cs="Times New Roman"/>
          <w:sz w:val="20"/>
          <w:szCs w:val="20"/>
        </w:rPr>
        <w:t>caso</w:t>
      </w:r>
      <w:r w:rsidR="00844C91">
        <w:rPr>
          <w:rFonts w:ascii="Verdana" w:hAnsi="Verdana" w:cs="Times New Roman"/>
          <w:sz w:val="20"/>
          <w:szCs w:val="20"/>
        </w:rPr>
        <w:t>—</w:t>
      </w:r>
      <w:r w:rsidRPr="004E66B4">
        <w:rPr>
          <w:rFonts w:ascii="Verdana" w:hAnsi="Verdana" w:cs="Times New Roman"/>
          <w:sz w:val="20"/>
          <w:szCs w:val="20"/>
        </w:rPr>
        <w:t xml:space="preserve"> </w:t>
      </w:r>
      <w:r w:rsidR="00354EF9">
        <w:rPr>
          <w:rFonts w:ascii="Verdana" w:hAnsi="Verdana" w:cs="Times New Roman"/>
          <w:sz w:val="20"/>
          <w:szCs w:val="20"/>
        </w:rPr>
        <w:t xml:space="preserve">al remitirse a la Carta de la OEA en </w:t>
      </w:r>
      <w:r w:rsidR="00B05C28">
        <w:rPr>
          <w:rFonts w:ascii="Verdana" w:hAnsi="Verdana" w:cs="Times New Roman"/>
          <w:sz w:val="20"/>
          <w:szCs w:val="20"/>
        </w:rPr>
        <w:t xml:space="preserve">el </w:t>
      </w:r>
      <w:r w:rsidR="00354EF9">
        <w:rPr>
          <w:rFonts w:ascii="Verdana" w:hAnsi="Verdana" w:cs="Times New Roman"/>
          <w:sz w:val="20"/>
          <w:szCs w:val="20"/>
        </w:rPr>
        <w:t xml:space="preserve">artículo 45 inciso c), </w:t>
      </w:r>
      <w:r w:rsidR="00C4526E">
        <w:rPr>
          <w:rFonts w:ascii="Verdana" w:hAnsi="Verdana" w:cs="Times New Roman"/>
          <w:sz w:val="20"/>
          <w:szCs w:val="20"/>
        </w:rPr>
        <w:t xml:space="preserve">que aun cuando </w:t>
      </w:r>
      <w:r w:rsidR="00844C91">
        <w:rPr>
          <w:rFonts w:ascii="Verdana" w:hAnsi="Verdana" w:cs="Times New Roman"/>
          <w:sz w:val="20"/>
          <w:szCs w:val="20"/>
        </w:rPr>
        <w:t>el Protocolo de San Salvador</w:t>
      </w:r>
      <w:r w:rsidRPr="004E66B4">
        <w:rPr>
          <w:rFonts w:ascii="Verdana" w:hAnsi="Verdana" w:cs="Times New Roman"/>
          <w:sz w:val="20"/>
          <w:szCs w:val="20"/>
        </w:rPr>
        <w:t xml:space="preserve"> es el principal instrumento en materia de DESCA en el S</w:t>
      </w:r>
      <w:r w:rsidR="00C4526E">
        <w:rPr>
          <w:rFonts w:ascii="Verdana" w:hAnsi="Verdana" w:cs="Times New Roman"/>
          <w:sz w:val="20"/>
          <w:szCs w:val="20"/>
        </w:rPr>
        <w:t>istema Interamericano,</w:t>
      </w:r>
      <w:r w:rsidRPr="004E66B4">
        <w:rPr>
          <w:rFonts w:ascii="Verdana" w:hAnsi="Verdana" w:cs="Times New Roman"/>
          <w:sz w:val="20"/>
          <w:szCs w:val="20"/>
        </w:rPr>
        <w:t xml:space="preserve"> </w:t>
      </w:r>
      <w:r w:rsidR="004912E0">
        <w:rPr>
          <w:rFonts w:ascii="Verdana" w:hAnsi="Verdana" w:cs="Times New Roman"/>
          <w:sz w:val="20"/>
          <w:szCs w:val="20"/>
        </w:rPr>
        <w:t xml:space="preserve">lo cierto es que </w:t>
      </w:r>
      <w:r w:rsidRPr="004E66B4">
        <w:rPr>
          <w:rFonts w:ascii="Verdana" w:hAnsi="Verdana" w:cs="Times New Roman"/>
          <w:sz w:val="20"/>
          <w:szCs w:val="20"/>
        </w:rPr>
        <w:t xml:space="preserve">cuando fue redactado no contempló de manera exhaustiva todas las facetas y </w:t>
      </w:r>
      <w:r w:rsidR="004912E0">
        <w:rPr>
          <w:rFonts w:ascii="Verdana" w:hAnsi="Verdana" w:cs="Times New Roman"/>
          <w:sz w:val="20"/>
          <w:szCs w:val="20"/>
        </w:rPr>
        <w:t>aristas de los derechos que en este tratado</w:t>
      </w:r>
      <w:r w:rsidRPr="004E66B4">
        <w:rPr>
          <w:rFonts w:ascii="Verdana" w:hAnsi="Verdana" w:cs="Times New Roman"/>
          <w:sz w:val="20"/>
          <w:szCs w:val="20"/>
        </w:rPr>
        <w:t xml:space="preserve"> se consagraron (</w:t>
      </w:r>
      <w:r w:rsidR="004912E0">
        <w:rPr>
          <w:rFonts w:ascii="Verdana" w:hAnsi="Verdana" w:cs="Times New Roman"/>
          <w:sz w:val="20"/>
          <w:szCs w:val="20"/>
        </w:rPr>
        <w:t>como</w:t>
      </w:r>
      <w:r w:rsidR="00CA704D">
        <w:rPr>
          <w:rFonts w:ascii="Verdana" w:hAnsi="Verdana" w:cs="Times New Roman"/>
          <w:sz w:val="20"/>
          <w:szCs w:val="20"/>
        </w:rPr>
        <w:t xml:space="preserve"> el derecho </w:t>
      </w:r>
      <w:r w:rsidR="002F0B14">
        <w:rPr>
          <w:rFonts w:ascii="Verdana" w:hAnsi="Verdana" w:cs="Times New Roman"/>
          <w:sz w:val="20"/>
          <w:szCs w:val="20"/>
        </w:rPr>
        <w:t>de los trabajadores de asociarse libremente para la defensa y promoción de sus intereses</w:t>
      </w:r>
      <w:r w:rsidR="00844C91">
        <w:rPr>
          <w:rFonts w:ascii="Verdana" w:hAnsi="Verdana" w:cs="Times New Roman"/>
          <w:sz w:val="20"/>
          <w:szCs w:val="20"/>
        </w:rPr>
        <w:t xml:space="preserve">). </w:t>
      </w:r>
      <w:r w:rsidR="00844C91">
        <w:rPr>
          <w:rFonts w:ascii="Verdana" w:hAnsi="Verdana" w:cs="Times New Roman"/>
          <w:sz w:val="20"/>
          <w:szCs w:val="20"/>
        </w:rPr>
        <w:lastRenderedPageBreak/>
        <w:t>Así,</w:t>
      </w:r>
      <w:r w:rsidRPr="004E66B4">
        <w:rPr>
          <w:rFonts w:ascii="Verdana" w:hAnsi="Verdana" w:cs="Times New Roman"/>
          <w:sz w:val="20"/>
          <w:szCs w:val="20"/>
        </w:rPr>
        <w:t xml:space="preserve">  es el propio Tribunal Interamericano el que mediante una interpretación evolutiva</w:t>
      </w:r>
      <w:r w:rsidRPr="004E66B4">
        <w:rPr>
          <w:rStyle w:val="FootnoteReference"/>
          <w:rFonts w:ascii="Verdana" w:hAnsi="Verdana" w:cs="Times New Roman"/>
          <w:sz w:val="20"/>
          <w:szCs w:val="20"/>
        </w:rPr>
        <w:footnoteReference w:id="56"/>
      </w:r>
      <w:r w:rsidRPr="004E66B4">
        <w:rPr>
          <w:rFonts w:ascii="Verdana" w:hAnsi="Verdana" w:cs="Times New Roman"/>
          <w:sz w:val="20"/>
          <w:szCs w:val="20"/>
        </w:rPr>
        <w:t xml:space="preserve">, se ha encargado de determinar el extremo de los derechos y su aplicación a los casos concretos, ya sean </w:t>
      </w:r>
      <w:r w:rsidR="00CA704D">
        <w:rPr>
          <w:rFonts w:ascii="Verdana" w:hAnsi="Verdana" w:cs="Times New Roman"/>
          <w:sz w:val="20"/>
          <w:szCs w:val="20"/>
        </w:rPr>
        <w:t xml:space="preserve">derechos </w:t>
      </w:r>
      <w:r w:rsidRPr="004E66B4">
        <w:rPr>
          <w:rFonts w:ascii="Verdana" w:hAnsi="Verdana" w:cs="Times New Roman"/>
          <w:sz w:val="20"/>
          <w:szCs w:val="20"/>
        </w:rPr>
        <w:t xml:space="preserve">económicos, sociales, culturales, ambientales o </w:t>
      </w:r>
      <w:r w:rsidR="00CA704D">
        <w:rPr>
          <w:rFonts w:ascii="Verdana" w:hAnsi="Verdana" w:cs="Times New Roman"/>
          <w:sz w:val="20"/>
          <w:szCs w:val="20"/>
        </w:rPr>
        <w:t xml:space="preserve">derechos </w:t>
      </w:r>
      <w:r w:rsidRPr="004E66B4">
        <w:rPr>
          <w:rFonts w:ascii="Verdana" w:hAnsi="Verdana" w:cs="Times New Roman"/>
          <w:sz w:val="20"/>
          <w:szCs w:val="20"/>
        </w:rPr>
        <w:t>civiles y políticos (determinando su contenido al caso en concreto)</w:t>
      </w:r>
      <w:r w:rsidR="001B19E4">
        <w:rPr>
          <w:rFonts w:ascii="Verdana" w:hAnsi="Verdana" w:cs="Times New Roman"/>
          <w:sz w:val="20"/>
          <w:szCs w:val="20"/>
        </w:rPr>
        <w:t>. Ello, cuando</w:t>
      </w:r>
      <w:r w:rsidRPr="004E66B4">
        <w:rPr>
          <w:rFonts w:ascii="Verdana" w:hAnsi="Verdana" w:cs="Times New Roman"/>
          <w:sz w:val="20"/>
          <w:szCs w:val="20"/>
        </w:rPr>
        <w:t xml:space="preserve"> resulte infringido </w:t>
      </w:r>
      <w:r w:rsidR="001B19E4">
        <w:rPr>
          <w:rFonts w:ascii="Verdana" w:hAnsi="Verdana" w:cs="Times New Roman"/>
          <w:sz w:val="20"/>
          <w:szCs w:val="20"/>
        </w:rPr>
        <w:t xml:space="preserve">algún derecho mencionado anteriormente, </w:t>
      </w:r>
      <w:r w:rsidRPr="004E66B4">
        <w:rPr>
          <w:rFonts w:ascii="Verdana" w:hAnsi="Verdana" w:cs="Times New Roman"/>
          <w:sz w:val="20"/>
          <w:szCs w:val="20"/>
        </w:rPr>
        <w:t xml:space="preserve">en relación </w:t>
      </w:r>
      <w:r w:rsidR="00305AB2">
        <w:rPr>
          <w:rFonts w:ascii="Verdana" w:hAnsi="Verdana" w:cs="Times New Roman"/>
          <w:sz w:val="20"/>
          <w:szCs w:val="20"/>
        </w:rPr>
        <w:t>con</w:t>
      </w:r>
      <w:r w:rsidRPr="004E66B4">
        <w:rPr>
          <w:rFonts w:ascii="Verdana" w:hAnsi="Verdana" w:cs="Times New Roman"/>
          <w:sz w:val="20"/>
          <w:szCs w:val="20"/>
        </w:rPr>
        <w:t xml:space="preserve"> las obligaciones generales contempladas en los artículos 1 y 2 de la Convención</w:t>
      </w:r>
      <w:r w:rsidR="00CA704D">
        <w:rPr>
          <w:rFonts w:ascii="Verdana" w:hAnsi="Verdana" w:cs="Times New Roman"/>
          <w:sz w:val="20"/>
          <w:szCs w:val="20"/>
        </w:rPr>
        <w:t xml:space="preserve"> Americana</w:t>
      </w:r>
      <w:r w:rsidRPr="004E66B4">
        <w:rPr>
          <w:rFonts w:ascii="Verdana" w:hAnsi="Verdana" w:cs="Times New Roman"/>
          <w:sz w:val="20"/>
          <w:szCs w:val="20"/>
        </w:rPr>
        <w:t>, como ha sido su práctica constante al recurrir a otros instrumentos internacionales para complementar lo dispuesto en</w:t>
      </w:r>
      <w:r w:rsidR="00844C91">
        <w:rPr>
          <w:rFonts w:ascii="Verdana" w:hAnsi="Verdana" w:cs="Times New Roman"/>
          <w:sz w:val="20"/>
          <w:szCs w:val="20"/>
        </w:rPr>
        <w:t xml:space="preserve"> el Pacto de San José</w:t>
      </w:r>
      <w:r w:rsidRPr="004E66B4">
        <w:rPr>
          <w:rStyle w:val="FootnoteReference"/>
          <w:rFonts w:ascii="Verdana" w:hAnsi="Verdana" w:cs="Times New Roman"/>
          <w:sz w:val="20"/>
          <w:szCs w:val="20"/>
        </w:rPr>
        <w:footnoteReference w:id="57"/>
      </w:r>
      <w:r w:rsidRPr="004E66B4">
        <w:rPr>
          <w:rFonts w:ascii="Verdana" w:hAnsi="Verdana" w:cs="Times New Roman"/>
          <w:sz w:val="20"/>
          <w:szCs w:val="20"/>
        </w:rPr>
        <w:t xml:space="preserve"> o en el Protocolo de San Salvador </w:t>
      </w:r>
      <w:r w:rsidRPr="004E66B4">
        <w:rPr>
          <w:rStyle w:val="FootnoteReference"/>
          <w:rFonts w:ascii="Verdana" w:hAnsi="Verdana" w:cs="Times New Roman"/>
          <w:sz w:val="20"/>
          <w:szCs w:val="20"/>
        </w:rPr>
        <w:footnoteReference w:id="58"/>
      </w:r>
      <w:r w:rsidRPr="004E66B4">
        <w:rPr>
          <w:rFonts w:ascii="Verdana" w:hAnsi="Verdana" w:cs="Times New Roman"/>
          <w:sz w:val="20"/>
          <w:szCs w:val="20"/>
        </w:rPr>
        <w:t xml:space="preserve">. </w:t>
      </w:r>
    </w:p>
    <w:p w14:paraId="00846D12" w14:textId="77777777" w:rsidR="00A068F0" w:rsidRPr="004E66B4" w:rsidRDefault="00A068F0" w:rsidP="00AD360E">
      <w:pPr>
        <w:pStyle w:val="ListParagraph"/>
        <w:widowControl w:val="0"/>
        <w:autoSpaceDE w:val="0"/>
        <w:autoSpaceDN w:val="0"/>
        <w:adjustRightInd w:val="0"/>
        <w:ind w:left="0" w:right="49"/>
        <w:jc w:val="both"/>
        <w:rPr>
          <w:rFonts w:ascii="Verdana" w:hAnsi="Verdana" w:cs="Times New Roman"/>
          <w:sz w:val="20"/>
          <w:szCs w:val="20"/>
        </w:rPr>
      </w:pPr>
    </w:p>
    <w:p w14:paraId="555A08D5" w14:textId="0B719854" w:rsidR="00A068F0" w:rsidRPr="00A068F0" w:rsidRDefault="00CA704D"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 xml:space="preserve">Por otro lado, </w:t>
      </w:r>
      <w:r w:rsidR="00A068F0">
        <w:rPr>
          <w:rFonts w:ascii="Verdana" w:hAnsi="Verdana" w:cs="Times New Roman"/>
          <w:sz w:val="20"/>
          <w:szCs w:val="20"/>
        </w:rPr>
        <w:t>s</w:t>
      </w:r>
      <w:r w:rsidR="00F14D7D">
        <w:rPr>
          <w:rFonts w:ascii="Verdana" w:hAnsi="Verdana" w:cs="Times New Roman"/>
          <w:sz w:val="20"/>
          <w:szCs w:val="20"/>
        </w:rPr>
        <w:t>i bien el artí</w:t>
      </w:r>
      <w:r w:rsidR="00A068F0" w:rsidRPr="004E66B4">
        <w:rPr>
          <w:rFonts w:ascii="Verdana" w:hAnsi="Verdana" w:cs="Times New Roman"/>
          <w:sz w:val="20"/>
          <w:szCs w:val="20"/>
        </w:rPr>
        <w:t xml:space="preserve">culo 16 de la Convención Americana contempla que “[t]odas las personas tienen derecho a </w:t>
      </w:r>
      <w:r w:rsidR="00A068F0" w:rsidRPr="004E66B4">
        <w:rPr>
          <w:rFonts w:ascii="Verdana" w:hAnsi="Verdana" w:cs="Times New Roman"/>
          <w:i/>
          <w:sz w:val="20"/>
          <w:szCs w:val="20"/>
        </w:rPr>
        <w:t>asociarse libremente con fines […] laborales</w:t>
      </w:r>
      <w:r w:rsidR="00A068F0" w:rsidRPr="004E66B4">
        <w:rPr>
          <w:rFonts w:ascii="Verdana" w:hAnsi="Verdana" w:cs="Times New Roman"/>
          <w:sz w:val="20"/>
          <w:szCs w:val="20"/>
        </w:rPr>
        <w:t>”</w:t>
      </w:r>
      <w:r w:rsidR="00844C91">
        <w:rPr>
          <w:rFonts w:ascii="Verdana" w:hAnsi="Verdana" w:cs="Times New Roman"/>
          <w:sz w:val="20"/>
          <w:szCs w:val="20"/>
        </w:rPr>
        <w:t>;</w:t>
      </w:r>
      <w:r w:rsidR="00A068F0" w:rsidRPr="004E66B4">
        <w:rPr>
          <w:rFonts w:ascii="Verdana" w:hAnsi="Verdana" w:cs="Times New Roman"/>
          <w:sz w:val="20"/>
          <w:szCs w:val="20"/>
        </w:rPr>
        <w:t xml:space="preserve"> lo cierto es que, en general, las asociaciones no se reducen sólo en la materia laboral, sino que tal como lo contempla el propio </w:t>
      </w:r>
      <w:r w:rsidR="00844C91">
        <w:rPr>
          <w:rFonts w:ascii="Verdana" w:hAnsi="Verdana" w:cs="Times New Roman"/>
          <w:sz w:val="20"/>
          <w:szCs w:val="20"/>
        </w:rPr>
        <w:t>dispositivo convencional</w:t>
      </w:r>
      <w:r w:rsidR="00A068F0" w:rsidRPr="004E66B4">
        <w:rPr>
          <w:rFonts w:ascii="Verdana" w:hAnsi="Verdana" w:cs="Times New Roman"/>
          <w:sz w:val="20"/>
          <w:szCs w:val="20"/>
        </w:rPr>
        <w:t xml:space="preserve"> exist</w:t>
      </w:r>
      <w:r w:rsidR="00844C91">
        <w:rPr>
          <w:rFonts w:ascii="Verdana" w:hAnsi="Verdana" w:cs="Times New Roman"/>
          <w:sz w:val="20"/>
          <w:szCs w:val="20"/>
        </w:rPr>
        <w:t>en otros tipos de asociaciones —</w:t>
      </w:r>
      <w:r w:rsidR="00A068F0" w:rsidRPr="004E66B4">
        <w:rPr>
          <w:rFonts w:ascii="Verdana" w:hAnsi="Verdana" w:cs="Times New Roman"/>
          <w:sz w:val="20"/>
          <w:szCs w:val="20"/>
        </w:rPr>
        <w:t>ideológicas, religiosas, políticas, económicas, sociales, culturales, deportivas o de cualquiera otra índole</w:t>
      </w:r>
      <w:r w:rsidR="00844C91">
        <w:rPr>
          <w:rFonts w:ascii="Verdana" w:hAnsi="Verdana" w:cs="Times New Roman"/>
          <w:sz w:val="20"/>
          <w:szCs w:val="20"/>
        </w:rPr>
        <w:t>—</w:t>
      </w:r>
      <w:r w:rsidR="00A068F0" w:rsidRPr="004E66B4">
        <w:rPr>
          <w:rFonts w:ascii="Verdana" w:hAnsi="Verdana" w:cs="Times New Roman"/>
          <w:sz w:val="20"/>
          <w:szCs w:val="20"/>
        </w:rPr>
        <w:t>. E</w:t>
      </w:r>
      <w:r w:rsidR="00844C91">
        <w:rPr>
          <w:rFonts w:ascii="Verdana" w:hAnsi="Verdana" w:cs="Times New Roman"/>
          <w:sz w:val="20"/>
          <w:szCs w:val="20"/>
        </w:rPr>
        <w:t>stimo que e</w:t>
      </w:r>
      <w:r w:rsidR="00A068F0" w:rsidRPr="004E66B4">
        <w:rPr>
          <w:rFonts w:ascii="Verdana" w:hAnsi="Verdana" w:cs="Times New Roman"/>
          <w:sz w:val="20"/>
          <w:szCs w:val="20"/>
        </w:rPr>
        <w:t>sta precisión es de vital importancia</w:t>
      </w:r>
      <w:r w:rsidR="00844C91">
        <w:rPr>
          <w:rFonts w:ascii="Verdana" w:hAnsi="Verdana" w:cs="Times New Roman"/>
          <w:sz w:val="20"/>
          <w:szCs w:val="20"/>
        </w:rPr>
        <w:t>, ya que</w:t>
      </w:r>
      <w:r w:rsidR="00A068F0" w:rsidRPr="004E66B4">
        <w:rPr>
          <w:rFonts w:ascii="Verdana" w:hAnsi="Verdana" w:cs="Times New Roman"/>
          <w:sz w:val="20"/>
          <w:szCs w:val="20"/>
        </w:rPr>
        <w:t xml:space="preserve"> si bien la Corte IDH a la fecha ha declarado la violación del derecho de asociación en materia “laboral” (enfocada a sindicatos), en ningún caso se ha pronunciado sobre el derecho de asociac</w:t>
      </w:r>
      <w:r w:rsidR="00844C91">
        <w:rPr>
          <w:rFonts w:ascii="Verdana" w:hAnsi="Verdana" w:cs="Times New Roman"/>
          <w:sz w:val="20"/>
          <w:szCs w:val="20"/>
        </w:rPr>
        <w:t>ión sindical de manera directa co</w:t>
      </w:r>
      <w:r w:rsidR="00A068F0" w:rsidRPr="004E66B4">
        <w:rPr>
          <w:rFonts w:ascii="Verdana" w:hAnsi="Verdana" w:cs="Times New Roman"/>
          <w:sz w:val="20"/>
          <w:szCs w:val="20"/>
        </w:rPr>
        <w:t xml:space="preserve">mo derecho autónomo según el Protocolo de San Salvador, y las diferentes facetas que engloba este derecho como lo ha delineado, en buena medida, la Opinión Consultiva No. 22. </w:t>
      </w:r>
    </w:p>
    <w:p w14:paraId="20EE8132" w14:textId="77777777" w:rsidR="001D1F4D" w:rsidRPr="004E66B4" w:rsidRDefault="001D1F4D" w:rsidP="00AD360E">
      <w:pPr>
        <w:pStyle w:val="ListParagraph"/>
        <w:widowControl w:val="0"/>
        <w:autoSpaceDE w:val="0"/>
        <w:autoSpaceDN w:val="0"/>
        <w:adjustRightInd w:val="0"/>
        <w:ind w:left="0" w:right="49"/>
        <w:jc w:val="both"/>
        <w:rPr>
          <w:rFonts w:ascii="Verdana" w:hAnsi="Verdana" w:cs="Times New Roman"/>
          <w:sz w:val="20"/>
          <w:szCs w:val="20"/>
        </w:rPr>
      </w:pPr>
    </w:p>
    <w:p w14:paraId="0A26D630" w14:textId="54E32AD6" w:rsidR="00B35A97" w:rsidRDefault="00844C91"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C</w:t>
      </w:r>
      <w:r w:rsidR="00142E2B" w:rsidRPr="004E66B4">
        <w:rPr>
          <w:rFonts w:ascii="Verdana" w:hAnsi="Verdana" w:cs="Times New Roman"/>
          <w:sz w:val="20"/>
          <w:szCs w:val="20"/>
        </w:rPr>
        <w:t>uando el artículo 16 de la Convención Americana</w:t>
      </w:r>
      <w:r w:rsidR="00B35A97" w:rsidRPr="004E66B4">
        <w:rPr>
          <w:rFonts w:ascii="Verdana" w:hAnsi="Verdana" w:cs="Times New Roman"/>
          <w:sz w:val="20"/>
          <w:szCs w:val="20"/>
        </w:rPr>
        <w:t xml:space="preserve"> contempla la “</w:t>
      </w:r>
      <w:r>
        <w:rPr>
          <w:rFonts w:ascii="Verdana" w:hAnsi="Verdana" w:cs="Times New Roman"/>
          <w:sz w:val="20"/>
          <w:szCs w:val="20"/>
        </w:rPr>
        <w:t xml:space="preserve">asociación con fines laborales”, </w:t>
      </w:r>
      <w:r w:rsidR="00B35A97" w:rsidRPr="004E66B4">
        <w:rPr>
          <w:rFonts w:ascii="Verdana" w:hAnsi="Verdana" w:cs="Times New Roman"/>
          <w:sz w:val="20"/>
          <w:szCs w:val="20"/>
        </w:rPr>
        <w:t xml:space="preserve">lo cierto es que </w:t>
      </w:r>
      <w:r w:rsidR="000016C6" w:rsidRPr="004E66B4">
        <w:rPr>
          <w:rFonts w:ascii="Verdana" w:hAnsi="Verdana" w:cs="Times New Roman"/>
          <w:sz w:val="20"/>
          <w:szCs w:val="20"/>
        </w:rPr>
        <w:t>“</w:t>
      </w:r>
      <w:r w:rsidR="00B35A97" w:rsidRPr="004E66B4">
        <w:rPr>
          <w:rFonts w:ascii="Verdana" w:hAnsi="Verdana" w:cs="Times New Roman"/>
          <w:sz w:val="20"/>
          <w:szCs w:val="20"/>
        </w:rPr>
        <w:t>el derecho de asociación</w:t>
      </w:r>
      <w:r w:rsidR="000016C6" w:rsidRPr="004E66B4">
        <w:rPr>
          <w:rFonts w:ascii="Verdana" w:hAnsi="Verdana" w:cs="Times New Roman"/>
          <w:sz w:val="20"/>
          <w:szCs w:val="20"/>
        </w:rPr>
        <w:t>”</w:t>
      </w:r>
      <w:r>
        <w:rPr>
          <w:rFonts w:ascii="Verdana" w:hAnsi="Verdana" w:cs="Times New Roman"/>
          <w:sz w:val="20"/>
          <w:szCs w:val="20"/>
        </w:rPr>
        <w:t xml:space="preserve"> —</w:t>
      </w:r>
      <w:r w:rsidR="00F61062" w:rsidRPr="004E66B4">
        <w:rPr>
          <w:rFonts w:ascii="Verdana" w:hAnsi="Verdana" w:cs="Times New Roman"/>
          <w:i/>
          <w:sz w:val="20"/>
          <w:szCs w:val="20"/>
        </w:rPr>
        <w:t>lato</w:t>
      </w:r>
      <w:r w:rsidR="000016C6" w:rsidRPr="004E66B4">
        <w:rPr>
          <w:rFonts w:ascii="Verdana" w:hAnsi="Verdana" w:cs="Times New Roman"/>
          <w:i/>
          <w:sz w:val="20"/>
          <w:szCs w:val="20"/>
        </w:rPr>
        <w:t xml:space="preserve"> sensu</w:t>
      </w:r>
      <w:r>
        <w:rPr>
          <w:rFonts w:ascii="Verdana" w:hAnsi="Verdana" w:cs="Times New Roman"/>
          <w:i/>
          <w:sz w:val="20"/>
          <w:szCs w:val="20"/>
        </w:rPr>
        <w:t>—</w:t>
      </w:r>
      <w:r w:rsidR="000016C6" w:rsidRPr="004E66B4">
        <w:rPr>
          <w:rFonts w:ascii="Verdana" w:hAnsi="Verdana" w:cs="Times New Roman"/>
          <w:sz w:val="20"/>
          <w:szCs w:val="20"/>
        </w:rPr>
        <w:t>,</w:t>
      </w:r>
      <w:r w:rsidR="00B35A97" w:rsidRPr="004E66B4">
        <w:rPr>
          <w:rFonts w:ascii="Verdana" w:hAnsi="Verdana" w:cs="Times New Roman"/>
          <w:sz w:val="20"/>
          <w:szCs w:val="20"/>
        </w:rPr>
        <w:t xml:space="preserve"> es en realidad el género, por lo que </w:t>
      </w:r>
      <w:r w:rsidR="000016C6" w:rsidRPr="004E66B4">
        <w:rPr>
          <w:rFonts w:ascii="Verdana" w:hAnsi="Verdana" w:cs="Times New Roman"/>
          <w:sz w:val="20"/>
          <w:szCs w:val="20"/>
        </w:rPr>
        <w:t xml:space="preserve">pueden tener diversas especies </w:t>
      </w:r>
      <w:r w:rsidR="000016C6" w:rsidRPr="00390F9C">
        <w:rPr>
          <w:rFonts w:ascii="Verdana" w:hAnsi="Verdana" w:cs="Times New Roman"/>
          <w:sz w:val="20"/>
          <w:szCs w:val="20"/>
        </w:rPr>
        <w:t xml:space="preserve">o </w:t>
      </w:r>
      <w:r w:rsidR="00F61062" w:rsidRPr="00390F9C">
        <w:rPr>
          <w:rFonts w:ascii="Verdana" w:hAnsi="Verdana" w:cs="Times New Roman"/>
          <w:sz w:val="20"/>
          <w:szCs w:val="20"/>
        </w:rPr>
        <w:t>asociaciones en</w:t>
      </w:r>
      <w:r w:rsidR="00F61062" w:rsidRPr="004E66B4">
        <w:rPr>
          <w:rFonts w:ascii="Verdana" w:hAnsi="Verdana" w:cs="Times New Roman"/>
          <w:i/>
          <w:sz w:val="20"/>
          <w:szCs w:val="20"/>
        </w:rPr>
        <w:t xml:space="preserve"> </w:t>
      </w:r>
      <w:r w:rsidR="000016C6" w:rsidRPr="004E66B4">
        <w:rPr>
          <w:rFonts w:ascii="Verdana" w:hAnsi="Verdana" w:cs="Times New Roman"/>
          <w:i/>
          <w:sz w:val="20"/>
          <w:szCs w:val="20"/>
        </w:rPr>
        <w:t>stricto sensu</w:t>
      </w:r>
      <w:r w:rsidR="000016C6" w:rsidRPr="004E66B4">
        <w:rPr>
          <w:rFonts w:ascii="Verdana" w:hAnsi="Verdana" w:cs="Times New Roman"/>
          <w:sz w:val="20"/>
          <w:szCs w:val="20"/>
        </w:rPr>
        <w:t xml:space="preserve"> (laborales</w:t>
      </w:r>
      <w:r w:rsidR="002F0B14" w:rsidRPr="008D2569">
        <w:rPr>
          <w:rStyle w:val="FootnoteReference"/>
          <w:rFonts w:ascii="Verdana" w:hAnsi="Verdana" w:cs="Times New Roman"/>
          <w:sz w:val="20"/>
          <w:szCs w:val="20"/>
        </w:rPr>
        <w:footnoteReference w:id="59"/>
      </w:r>
      <w:r w:rsidR="000016C6" w:rsidRPr="008D2569">
        <w:rPr>
          <w:rFonts w:ascii="Verdana" w:hAnsi="Verdana" w:cs="Times New Roman"/>
          <w:sz w:val="20"/>
          <w:szCs w:val="20"/>
        </w:rPr>
        <w:t>,</w:t>
      </w:r>
      <w:r w:rsidR="000016C6" w:rsidRPr="004E66B4">
        <w:rPr>
          <w:rFonts w:ascii="Verdana" w:hAnsi="Verdana" w:cs="Times New Roman"/>
          <w:sz w:val="20"/>
          <w:szCs w:val="20"/>
        </w:rPr>
        <w:t xml:space="preserve"> sindicales, ideológicas, religiosas, políticas, económicas, sociales, culturales, deportivas o de cualquiera otra índole). </w:t>
      </w:r>
      <w:r w:rsidR="00F61062" w:rsidRPr="004E66B4">
        <w:rPr>
          <w:rFonts w:ascii="Verdana" w:hAnsi="Verdana" w:cs="Times New Roman"/>
          <w:sz w:val="20"/>
          <w:szCs w:val="20"/>
        </w:rPr>
        <w:t>Esta distinción</w:t>
      </w:r>
      <w:r w:rsidR="008E1AE5" w:rsidRPr="004E66B4">
        <w:rPr>
          <w:rFonts w:ascii="Verdana" w:hAnsi="Verdana" w:cs="Times New Roman"/>
          <w:sz w:val="20"/>
          <w:szCs w:val="20"/>
        </w:rPr>
        <w:t xml:space="preserve"> </w:t>
      </w:r>
      <w:r w:rsidR="00142E2B" w:rsidRPr="004E66B4">
        <w:rPr>
          <w:rFonts w:ascii="Verdana" w:hAnsi="Verdana" w:cs="Times New Roman"/>
          <w:sz w:val="20"/>
          <w:szCs w:val="20"/>
        </w:rPr>
        <w:t>brinda mayor especificidad en cuanto al derech</w:t>
      </w:r>
      <w:r w:rsidR="004362BC" w:rsidRPr="004E66B4">
        <w:rPr>
          <w:rFonts w:ascii="Verdana" w:hAnsi="Verdana" w:cs="Times New Roman"/>
          <w:sz w:val="20"/>
          <w:szCs w:val="20"/>
        </w:rPr>
        <w:t>o</w:t>
      </w:r>
      <w:r w:rsidR="00142E2B" w:rsidRPr="004E66B4">
        <w:rPr>
          <w:rFonts w:ascii="Verdana" w:hAnsi="Verdana" w:cs="Times New Roman"/>
          <w:sz w:val="20"/>
          <w:szCs w:val="20"/>
        </w:rPr>
        <w:t xml:space="preserve"> violado</w:t>
      </w:r>
      <w:r w:rsidR="00BF5462" w:rsidRPr="004E66B4">
        <w:rPr>
          <w:rFonts w:ascii="Verdana" w:hAnsi="Verdana" w:cs="Times New Roman"/>
          <w:sz w:val="20"/>
          <w:szCs w:val="20"/>
        </w:rPr>
        <w:t xml:space="preserve"> y los alcances en materia de derechos sociales</w:t>
      </w:r>
      <w:r w:rsidR="001B19E4">
        <w:rPr>
          <w:rFonts w:ascii="Verdana" w:hAnsi="Verdana" w:cs="Times New Roman"/>
          <w:sz w:val="20"/>
          <w:szCs w:val="20"/>
        </w:rPr>
        <w:t>. Por</w:t>
      </w:r>
      <w:r w:rsidR="008E1AE5" w:rsidRPr="004E66B4">
        <w:rPr>
          <w:rFonts w:ascii="Verdana" w:hAnsi="Verdana" w:cs="Times New Roman"/>
          <w:sz w:val="20"/>
          <w:szCs w:val="20"/>
        </w:rPr>
        <w:t xml:space="preserve"> ejemplo, mientras que las asociaciones laborales y sindicales pueden protegerse por el contenido de derechos sociales</w:t>
      </w:r>
      <w:r>
        <w:rPr>
          <w:rFonts w:ascii="Verdana" w:hAnsi="Verdana" w:cs="Times New Roman"/>
          <w:sz w:val="20"/>
          <w:szCs w:val="20"/>
        </w:rPr>
        <w:t>,</w:t>
      </w:r>
      <w:r w:rsidR="00C70D6D" w:rsidRPr="004E66B4">
        <w:rPr>
          <w:rFonts w:ascii="Verdana" w:hAnsi="Verdana" w:cs="Times New Roman"/>
          <w:sz w:val="20"/>
          <w:szCs w:val="20"/>
        </w:rPr>
        <w:t xml:space="preserve"> las asociaciones religiosas o ideológicas estarían en el campo del contenido de los derechos civiles y políticos. </w:t>
      </w:r>
    </w:p>
    <w:p w14:paraId="407578FE" w14:textId="77777777" w:rsidR="004639C3" w:rsidRDefault="004639C3" w:rsidP="004639C3">
      <w:pPr>
        <w:pStyle w:val="ListParagraph"/>
        <w:widowControl w:val="0"/>
        <w:autoSpaceDE w:val="0"/>
        <w:autoSpaceDN w:val="0"/>
        <w:adjustRightInd w:val="0"/>
        <w:ind w:left="0" w:right="49"/>
        <w:jc w:val="both"/>
        <w:rPr>
          <w:rFonts w:ascii="Verdana" w:hAnsi="Verdana" w:cs="Times New Roman"/>
          <w:sz w:val="20"/>
          <w:szCs w:val="20"/>
        </w:rPr>
      </w:pPr>
    </w:p>
    <w:p w14:paraId="236EBA59" w14:textId="3785B0A5" w:rsidR="002F0B14" w:rsidRDefault="002F0B14" w:rsidP="004639C3">
      <w:pPr>
        <w:pStyle w:val="NormalWeb"/>
        <w:numPr>
          <w:ilvl w:val="0"/>
          <w:numId w:val="2"/>
        </w:numPr>
        <w:spacing w:before="0" w:beforeAutospacing="0" w:after="0" w:afterAutospacing="0"/>
        <w:ind w:left="0" w:firstLine="0"/>
        <w:jc w:val="both"/>
        <w:rPr>
          <w:rFonts w:ascii="Verdana" w:hAnsi="Verdana"/>
          <w:lang w:val="es-ES_tradnl"/>
        </w:rPr>
      </w:pPr>
      <w:r w:rsidRPr="002F0B14">
        <w:rPr>
          <w:rFonts w:ascii="Verdana" w:hAnsi="Verdana"/>
          <w:lang w:val="es-ES_tradnl"/>
        </w:rPr>
        <w:t xml:space="preserve">Al respecto, para ejemplificar lo anterior, resulta de importancia traer a colación el caso </w:t>
      </w:r>
      <w:r w:rsidRPr="002F0B14">
        <w:rPr>
          <w:rFonts w:ascii="Verdana" w:hAnsi="Verdana"/>
          <w:i/>
          <w:lang w:val="es-ES_tradnl"/>
        </w:rPr>
        <w:t>Kawas Fernández Vs. Honduras</w:t>
      </w:r>
      <w:r>
        <w:rPr>
          <w:rFonts w:ascii="Verdana" w:hAnsi="Verdana"/>
          <w:i/>
          <w:lang w:val="es-ES_tradnl"/>
        </w:rPr>
        <w:t>,</w:t>
      </w:r>
      <w:r w:rsidRPr="002F0B14">
        <w:rPr>
          <w:rFonts w:ascii="Verdana" w:hAnsi="Verdana"/>
          <w:lang w:val="es-ES_tradnl"/>
        </w:rPr>
        <w:t xml:space="preserve"> en donde la Corte IDH declaró violado el artículo 16 de la Convención Americana en un contexto no sindical. Al momento de los hechos “Blanca Jeannette Kawas Fernández era presidenta de la fundación PROLANSATE, y en esa calidad impulsó el establecimiento de políticas públicas sobre </w:t>
      </w:r>
      <w:r w:rsidRPr="002F0B14">
        <w:rPr>
          <w:rFonts w:ascii="Verdana" w:hAnsi="Verdana"/>
          <w:lang w:val="es-ES_tradnl"/>
        </w:rPr>
        <w:lastRenderedPageBreak/>
        <w:t>protección del medio ambiente en el departamento de Atlántida, Honduras, así como la sensibilización sobre la preservación de los recursos naturales mediante la enseñanza, y denunció daños ambientales en la zona”</w:t>
      </w:r>
      <w:r w:rsidRPr="002F0B14">
        <w:rPr>
          <w:rStyle w:val="FootnoteReference"/>
          <w:rFonts w:ascii="Verdana" w:hAnsi="Verdana"/>
          <w:lang w:val="es-ES_tradnl"/>
        </w:rPr>
        <w:footnoteReference w:id="60"/>
      </w:r>
      <w:r w:rsidRPr="002F0B14">
        <w:rPr>
          <w:rFonts w:ascii="Verdana" w:hAnsi="Verdana"/>
          <w:lang w:val="es-ES_tradnl"/>
        </w:rPr>
        <w:t xml:space="preserve">. En este sentido, precisó que “[e]l reconocimiento del trabajo realizado por la defensa del medio ambiente y su relación con los derechos humanos cobra mayor vigencia en los países de la región, en </w:t>
      </w:r>
      <w:r>
        <w:rPr>
          <w:rFonts w:ascii="Verdana" w:hAnsi="Verdana"/>
          <w:lang w:val="es-ES_tradnl"/>
        </w:rPr>
        <w:t>l</w:t>
      </w:r>
      <w:r w:rsidRPr="002F0B14">
        <w:rPr>
          <w:rFonts w:ascii="Verdana" w:hAnsi="Verdana"/>
          <w:lang w:val="es-ES_tradnl"/>
        </w:rPr>
        <w:t>os que se observa un número creciente de denuncias de amenazas, actos de violencia y asesinatos de ambientalistas con motivo de su labor”</w:t>
      </w:r>
      <w:r w:rsidRPr="002F0B14">
        <w:rPr>
          <w:rStyle w:val="FootnoteReference"/>
          <w:rFonts w:ascii="Verdana" w:hAnsi="Verdana"/>
          <w:lang w:val="es-ES_tradnl"/>
        </w:rPr>
        <w:footnoteReference w:id="61"/>
      </w:r>
      <w:r w:rsidRPr="002F0B14">
        <w:rPr>
          <w:rFonts w:ascii="Verdana" w:hAnsi="Verdana"/>
          <w:lang w:val="es-ES_tradnl"/>
        </w:rPr>
        <w:t xml:space="preserve">. En dicho caso, la Corte IDH consideró que el “artículo 16 de la Convención Americana comprende también </w:t>
      </w:r>
      <w:r w:rsidRPr="002F0B14">
        <w:rPr>
          <w:rFonts w:ascii="Verdana" w:hAnsi="Verdana"/>
          <w:u w:val="single"/>
          <w:lang w:val="es-ES_tradnl"/>
        </w:rPr>
        <w:t>el derecho de toda persona a formar y participar libremente en organizaciones, asociaciones o grupos no gubernamentales orientados a la vigilancia, denuncia y promoción de los derechos humanos”</w:t>
      </w:r>
      <w:r w:rsidRPr="002F0B14">
        <w:rPr>
          <w:rStyle w:val="FootnoteReference"/>
          <w:rFonts w:ascii="Verdana" w:hAnsi="Verdana"/>
          <w:lang w:val="es-ES_tradnl"/>
        </w:rPr>
        <w:footnoteReference w:id="62"/>
      </w:r>
      <w:r w:rsidRPr="002F0B14">
        <w:rPr>
          <w:rFonts w:ascii="Verdana" w:hAnsi="Verdana"/>
          <w:lang w:val="es-ES_tradnl"/>
        </w:rPr>
        <w:t xml:space="preserve">. </w:t>
      </w:r>
    </w:p>
    <w:p w14:paraId="7070EECA" w14:textId="77777777" w:rsidR="004639C3" w:rsidRPr="002F0B14" w:rsidRDefault="004639C3" w:rsidP="004639C3">
      <w:pPr>
        <w:pStyle w:val="NormalWeb"/>
        <w:spacing w:before="0" w:beforeAutospacing="0" w:after="0" w:afterAutospacing="0"/>
        <w:ind w:left="360"/>
        <w:jc w:val="both"/>
        <w:rPr>
          <w:rFonts w:ascii="Verdana" w:hAnsi="Verdana"/>
          <w:lang w:val="es-ES_tradnl"/>
        </w:rPr>
      </w:pPr>
    </w:p>
    <w:p w14:paraId="6B1BE031" w14:textId="77F6480F" w:rsidR="004307E5" w:rsidRPr="004E66B4" w:rsidRDefault="004307E5"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4E66B4">
        <w:rPr>
          <w:rFonts w:ascii="Verdana" w:hAnsi="Verdana" w:cs="Times New Roman"/>
          <w:sz w:val="20"/>
          <w:szCs w:val="20"/>
        </w:rPr>
        <w:t>En el pres</w:t>
      </w:r>
      <w:r w:rsidR="00844C91">
        <w:rPr>
          <w:rFonts w:ascii="Verdana" w:hAnsi="Verdana" w:cs="Times New Roman"/>
          <w:sz w:val="20"/>
          <w:szCs w:val="20"/>
        </w:rPr>
        <w:t>ente caso</w:t>
      </w:r>
      <w:r w:rsidR="00BF1E46">
        <w:rPr>
          <w:rFonts w:ascii="Verdana" w:hAnsi="Verdana" w:cs="Times New Roman"/>
          <w:sz w:val="20"/>
          <w:szCs w:val="20"/>
        </w:rPr>
        <w:t>,</w:t>
      </w:r>
      <w:r w:rsidR="00844C91">
        <w:rPr>
          <w:rFonts w:ascii="Verdana" w:hAnsi="Verdana" w:cs="Times New Roman"/>
          <w:sz w:val="20"/>
          <w:szCs w:val="20"/>
        </w:rPr>
        <w:t xml:space="preserve"> ha quedado demostrado</w:t>
      </w:r>
      <w:r w:rsidRPr="004E66B4">
        <w:rPr>
          <w:rFonts w:ascii="Verdana" w:hAnsi="Verdana" w:cs="Times New Roman"/>
          <w:sz w:val="20"/>
          <w:szCs w:val="20"/>
        </w:rPr>
        <w:t xml:space="preserve"> que el señor Lagos del Campo fue despedido con motivo de las denuncias realizadas en el marco de un proceso electoral del cual estaba llamado a supervisar como par</w:t>
      </w:r>
      <w:r w:rsidR="00BF1E46">
        <w:rPr>
          <w:rFonts w:ascii="Verdana" w:hAnsi="Verdana" w:cs="Times New Roman"/>
          <w:sz w:val="20"/>
          <w:szCs w:val="20"/>
        </w:rPr>
        <w:t>te de su cargo. A</w:t>
      </w:r>
      <w:r w:rsidRPr="004E66B4">
        <w:rPr>
          <w:rFonts w:ascii="Verdana" w:hAnsi="Verdana" w:cs="Times New Roman"/>
          <w:sz w:val="20"/>
          <w:szCs w:val="20"/>
        </w:rPr>
        <w:t>demás</w:t>
      </w:r>
      <w:r w:rsidR="00BF1E46">
        <w:rPr>
          <w:rFonts w:ascii="Verdana" w:hAnsi="Verdana" w:cs="Times New Roman"/>
          <w:sz w:val="20"/>
          <w:szCs w:val="20"/>
        </w:rPr>
        <w:t xml:space="preserve">, </w:t>
      </w:r>
      <w:r w:rsidRPr="004E66B4">
        <w:rPr>
          <w:rFonts w:ascii="Verdana" w:hAnsi="Verdana" w:cs="Times New Roman"/>
          <w:sz w:val="20"/>
          <w:szCs w:val="20"/>
        </w:rPr>
        <w:t xml:space="preserve">como consecuencia del despido, </w:t>
      </w:r>
      <w:r w:rsidR="00BF1E46">
        <w:rPr>
          <w:rFonts w:ascii="Verdana" w:hAnsi="Verdana" w:cs="Times New Roman"/>
          <w:sz w:val="20"/>
          <w:szCs w:val="20"/>
        </w:rPr>
        <w:t>la víctima</w:t>
      </w:r>
      <w:r w:rsidRPr="004E66B4">
        <w:rPr>
          <w:rFonts w:ascii="Verdana" w:hAnsi="Verdana" w:cs="Times New Roman"/>
          <w:sz w:val="20"/>
          <w:szCs w:val="20"/>
        </w:rPr>
        <w:t xml:space="preserve"> no pudo continuar con sus labores de representación de los trabajadores en el Comité Electoral</w:t>
      </w:r>
      <w:r w:rsidR="001B19E4">
        <w:rPr>
          <w:rFonts w:ascii="Verdana" w:hAnsi="Verdana" w:cs="Times New Roman"/>
          <w:sz w:val="20"/>
          <w:szCs w:val="20"/>
        </w:rPr>
        <w:t>. T</w:t>
      </w:r>
      <w:r w:rsidRPr="004E66B4">
        <w:rPr>
          <w:rFonts w:ascii="Verdana" w:hAnsi="Verdana" w:cs="Times New Roman"/>
          <w:sz w:val="20"/>
          <w:szCs w:val="20"/>
        </w:rPr>
        <w:t>ampoco pudo continuar perteneciendo a la Comunidad Industrial, al ya no formar parte de la empresa como trabajador, siendo que el Segundo Tribunal del Trabajo de Lima calificó el despido de la víctima como “</w:t>
      </w:r>
      <w:r w:rsidR="00F14D7D">
        <w:rPr>
          <w:rFonts w:ascii="Verdana" w:hAnsi="Verdana" w:cs="Times New Roman"/>
          <w:sz w:val="20"/>
          <w:szCs w:val="20"/>
        </w:rPr>
        <w:t xml:space="preserve">legal y justificado”, avalando </w:t>
      </w:r>
      <w:r w:rsidRPr="004E66B4">
        <w:rPr>
          <w:rFonts w:ascii="Verdana" w:hAnsi="Verdana" w:cs="Times New Roman"/>
          <w:sz w:val="20"/>
          <w:szCs w:val="20"/>
        </w:rPr>
        <w:t>una sanción que tuvo un impacto en la posibilidad del señor Lagos del Campo de poder continuar perteneciendo a dicha corporación, y de representar los intereses de los demás trabajadores</w:t>
      </w:r>
      <w:r w:rsidRPr="004E66B4">
        <w:rPr>
          <w:rStyle w:val="FootnoteReference"/>
          <w:rFonts w:ascii="Verdana" w:hAnsi="Verdana" w:cs="Times New Roman"/>
          <w:sz w:val="20"/>
          <w:szCs w:val="20"/>
        </w:rPr>
        <w:footnoteReference w:id="63"/>
      </w:r>
      <w:r w:rsidRPr="004E66B4">
        <w:rPr>
          <w:rFonts w:ascii="Verdana" w:hAnsi="Verdana" w:cs="Times New Roman"/>
          <w:sz w:val="20"/>
          <w:szCs w:val="20"/>
        </w:rPr>
        <w:t>. La Corte</w:t>
      </w:r>
      <w:r w:rsidR="00BF1E46">
        <w:rPr>
          <w:rFonts w:ascii="Verdana" w:hAnsi="Verdana" w:cs="Times New Roman"/>
          <w:sz w:val="20"/>
          <w:szCs w:val="20"/>
        </w:rPr>
        <w:t xml:space="preserve"> IDH</w:t>
      </w:r>
      <w:r w:rsidRPr="004E66B4">
        <w:rPr>
          <w:rFonts w:ascii="Verdana" w:hAnsi="Verdana" w:cs="Times New Roman"/>
          <w:sz w:val="20"/>
          <w:szCs w:val="20"/>
        </w:rPr>
        <w:t xml:space="preserve"> concluy</w:t>
      </w:r>
      <w:r w:rsidR="00C41E31" w:rsidRPr="004E66B4">
        <w:rPr>
          <w:rFonts w:ascii="Verdana" w:hAnsi="Verdana" w:cs="Times New Roman"/>
          <w:sz w:val="20"/>
          <w:szCs w:val="20"/>
        </w:rPr>
        <w:t>ó que</w:t>
      </w:r>
      <w:r w:rsidRPr="004E66B4">
        <w:rPr>
          <w:rFonts w:ascii="Verdana" w:hAnsi="Verdana" w:cs="Times New Roman"/>
          <w:sz w:val="20"/>
          <w:szCs w:val="20"/>
        </w:rPr>
        <w:t xml:space="preserve">: </w:t>
      </w:r>
    </w:p>
    <w:p w14:paraId="2774A74C" w14:textId="77777777" w:rsidR="004307E5" w:rsidRPr="004E66B4" w:rsidRDefault="004307E5" w:rsidP="004639C3">
      <w:pPr>
        <w:widowControl w:val="0"/>
        <w:autoSpaceDE w:val="0"/>
        <w:autoSpaceDN w:val="0"/>
        <w:adjustRightInd w:val="0"/>
        <w:ind w:right="18"/>
        <w:jc w:val="both"/>
        <w:rPr>
          <w:rFonts w:ascii="Verdana" w:hAnsi="Verdana" w:cs="Times New Roman"/>
          <w:sz w:val="20"/>
          <w:szCs w:val="20"/>
        </w:rPr>
      </w:pPr>
    </w:p>
    <w:p w14:paraId="4142CCE0" w14:textId="1ED68E1F" w:rsidR="004307E5" w:rsidRPr="004E66B4" w:rsidRDefault="00C41E31" w:rsidP="004B76C5">
      <w:pPr>
        <w:autoSpaceDE w:val="0"/>
        <w:autoSpaceDN w:val="0"/>
        <w:adjustRightInd w:val="0"/>
        <w:ind w:left="709" w:right="738"/>
        <w:jc w:val="both"/>
        <w:rPr>
          <w:rFonts w:ascii="Verdana" w:hAnsi="Verdana" w:cs="Times New Roman"/>
          <w:sz w:val="16"/>
          <w:szCs w:val="16"/>
        </w:rPr>
      </w:pPr>
      <w:r w:rsidRPr="004E66B4">
        <w:rPr>
          <w:rFonts w:ascii="Verdana" w:hAnsi="Verdana" w:cs="Times New Roman"/>
          <w:sz w:val="16"/>
          <w:szCs w:val="16"/>
        </w:rPr>
        <w:t xml:space="preserve">162. </w:t>
      </w:r>
      <w:r w:rsidRPr="004E66B4">
        <w:rPr>
          <w:rFonts w:ascii="Verdana" w:hAnsi="Verdana"/>
          <w:sz w:val="16"/>
          <w:szCs w:val="16"/>
        </w:rPr>
        <w:t>Adicionalmente, este Tribunal ha establecido que la libertad de asociación tiene</w:t>
      </w:r>
      <w:r w:rsidR="008D2569">
        <w:rPr>
          <w:rFonts w:ascii="Verdana" w:hAnsi="Verdana"/>
          <w:sz w:val="16"/>
          <w:szCs w:val="16"/>
        </w:rPr>
        <w:t xml:space="preserve"> </w:t>
      </w:r>
      <w:r w:rsidRPr="004E66B4">
        <w:rPr>
          <w:rFonts w:ascii="Verdana" w:hAnsi="Verdana"/>
          <w:sz w:val="16"/>
          <w:szCs w:val="16"/>
        </w:rPr>
        <w:t>dos dimensiones, pues recae tanto en el derecho del individuo de asociarse libremente y utilizar los medios apropiados para ejercer esa libertad, como en los integrantes de un grupo para alcanzar determinados fines en conjunto y beneficiarse de los mismos. Asimismo, este Tribunal ha establecido que los derechos derivados de la representación de los intereses de un grupo tiene una naturaleza dual, pues recae tanto en el derecho del individuo que ejerce el mandato o designación como en el derecho de la colectividad de ser representada, por lo que la violación del derecho del primero (del representante) repercute en la vulneración del derecho del otro (el representado)</w:t>
      </w:r>
      <w:r w:rsidR="004639C3">
        <w:rPr>
          <w:rFonts w:ascii="Verdana" w:hAnsi="Verdana"/>
          <w:sz w:val="16"/>
          <w:szCs w:val="16"/>
        </w:rPr>
        <w:t xml:space="preserve"> </w:t>
      </w:r>
      <w:r w:rsidRPr="004E66B4">
        <w:rPr>
          <w:rFonts w:ascii="Verdana" w:hAnsi="Verdana"/>
          <w:sz w:val="16"/>
          <w:szCs w:val="16"/>
        </w:rPr>
        <w:t>[…]</w:t>
      </w:r>
      <w:r w:rsidR="00A06949" w:rsidRPr="004E66B4">
        <w:rPr>
          <w:rStyle w:val="FootnoteReference"/>
          <w:rFonts w:ascii="Verdana" w:hAnsi="Verdana" w:cs="Times New Roman"/>
          <w:sz w:val="16"/>
          <w:szCs w:val="16"/>
        </w:rPr>
        <w:footnoteReference w:id="64"/>
      </w:r>
      <w:r w:rsidRPr="004E66B4">
        <w:rPr>
          <w:rFonts w:ascii="Verdana" w:hAnsi="Verdana" w:cs="Times New Roman"/>
          <w:sz w:val="16"/>
          <w:szCs w:val="16"/>
        </w:rPr>
        <w:t xml:space="preserve">. </w:t>
      </w:r>
    </w:p>
    <w:p w14:paraId="1F2B533B" w14:textId="77777777" w:rsidR="004307E5" w:rsidRPr="004E66B4" w:rsidRDefault="004307E5" w:rsidP="00AD360E">
      <w:pPr>
        <w:pStyle w:val="ListParagraph"/>
        <w:widowControl w:val="0"/>
        <w:autoSpaceDE w:val="0"/>
        <w:autoSpaceDN w:val="0"/>
        <w:adjustRightInd w:val="0"/>
        <w:ind w:left="0" w:right="49"/>
        <w:jc w:val="both"/>
        <w:rPr>
          <w:rFonts w:ascii="Verdana" w:hAnsi="Verdana" w:cs="Times New Roman"/>
          <w:sz w:val="20"/>
          <w:szCs w:val="20"/>
        </w:rPr>
      </w:pPr>
    </w:p>
    <w:p w14:paraId="1DC443EC" w14:textId="58FF54E8" w:rsidR="00B163FC" w:rsidRPr="004E66B4" w:rsidRDefault="008E601F"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N</w:t>
      </w:r>
      <w:r w:rsidR="00B163FC" w:rsidRPr="004E66B4">
        <w:rPr>
          <w:rFonts w:ascii="Verdana" w:hAnsi="Verdana" w:cs="Times New Roman"/>
          <w:sz w:val="20"/>
          <w:szCs w:val="20"/>
        </w:rPr>
        <w:t>o c</w:t>
      </w:r>
      <w:r w:rsidR="001B19E4">
        <w:rPr>
          <w:rFonts w:ascii="Verdana" w:hAnsi="Verdana" w:cs="Times New Roman"/>
          <w:sz w:val="20"/>
          <w:szCs w:val="20"/>
        </w:rPr>
        <w:t>abe duda que las violaciones al</w:t>
      </w:r>
      <w:r w:rsidR="00B163FC" w:rsidRPr="004E66B4">
        <w:rPr>
          <w:rFonts w:ascii="Verdana" w:hAnsi="Verdana" w:cs="Times New Roman"/>
          <w:sz w:val="20"/>
          <w:szCs w:val="20"/>
        </w:rPr>
        <w:t xml:space="preserve"> señor Campos del Lago no se enmarcan dentro del análisis de los derechos de los sindicatos, de los sindicalistas o de los representantes </w:t>
      </w:r>
      <w:r w:rsidR="004307E5" w:rsidRPr="004E66B4">
        <w:rPr>
          <w:rFonts w:ascii="Verdana" w:hAnsi="Verdana" w:cs="Times New Roman"/>
          <w:sz w:val="20"/>
          <w:szCs w:val="20"/>
        </w:rPr>
        <w:t xml:space="preserve">sindicales </w:t>
      </w:r>
      <w:r w:rsidR="001B19E4">
        <w:rPr>
          <w:rFonts w:ascii="Verdana" w:hAnsi="Verdana" w:cs="Times New Roman"/>
          <w:sz w:val="20"/>
          <w:szCs w:val="20"/>
        </w:rPr>
        <w:t>y sus derechos correlativos.</w:t>
      </w:r>
      <w:r w:rsidR="00B163FC" w:rsidRPr="004E66B4">
        <w:rPr>
          <w:rFonts w:ascii="Verdana" w:hAnsi="Verdana" w:cs="Times New Roman"/>
          <w:sz w:val="20"/>
          <w:szCs w:val="20"/>
        </w:rPr>
        <w:t xml:space="preserve"> </w:t>
      </w:r>
      <w:r w:rsidR="001B19E4">
        <w:rPr>
          <w:rFonts w:ascii="Verdana" w:hAnsi="Verdana" w:cs="Times New Roman"/>
          <w:sz w:val="20"/>
          <w:szCs w:val="20"/>
        </w:rPr>
        <w:t>Por</w:t>
      </w:r>
      <w:r w:rsidR="00B163FC" w:rsidRPr="004E66B4">
        <w:rPr>
          <w:rFonts w:ascii="Verdana" w:hAnsi="Verdana" w:cs="Times New Roman"/>
          <w:sz w:val="20"/>
          <w:szCs w:val="20"/>
        </w:rPr>
        <w:t xml:space="preserve"> el contrario</w:t>
      </w:r>
      <w:r w:rsidR="00BF1E46">
        <w:rPr>
          <w:rFonts w:ascii="Verdana" w:hAnsi="Verdana" w:cs="Times New Roman"/>
          <w:sz w:val="20"/>
          <w:szCs w:val="20"/>
        </w:rPr>
        <w:t>,</w:t>
      </w:r>
      <w:r w:rsidR="00B163FC" w:rsidRPr="004E66B4">
        <w:rPr>
          <w:rFonts w:ascii="Verdana" w:hAnsi="Verdana" w:cs="Times New Roman"/>
          <w:sz w:val="20"/>
          <w:szCs w:val="20"/>
        </w:rPr>
        <w:t xml:space="preserve"> el presente caso presenta una particularidad distinta a los casos que anteriormente habían sido objeto de análisis de este Tribunal</w:t>
      </w:r>
      <w:r w:rsidR="001E765A" w:rsidRPr="004E66B4">
        <w:rPr>
          <w:rFonts w:ascii="Verdana" w:hAnsi="Verdana" w:cs="Times New Roman"/>
          <w:sz w:val="20"/>
          <w:szCs w:val="20"/>
        </w:rPr>
        <w:t xml:space="preserve"> </w:t>
      </w:r>
      <w:r w:rsidR="00BF1E46">
        <w:rPr>
          <w:rFonts w:ascii="Verdana" w:hAnsi="Verdana" w:cs="Times New Roman"/>
          <w:sz w:val="20"/>
          <w:szCs w:val="20"/>
        </w:rPr>
        <w:t xml:space="preserve">Interamericano </w:t>
      </w:r>
      <w:r w:rsidR="001E765A" w:rsidRPr="004E66B4">
        <w:rPr>
          <w:rFonts w:ascii="Verdana" w:hAnsi="Verdana" w:cs="Times New Roman"/>
          <w:sz w:val="20"/>
          <w:szCs w:val="20"/>
        </w:rPr>
        <w:t xml:space="preserve">en relación </w:t>
      </w:r>
      <w:r w:rsidR="00305AB2">
        <w:rPr>
          <w:rFonts w:ascii="Verdana" w:hAnsi="Verdana" w:cs="Times New Roman"/>
          <w:sz w:val="20"/>
          <w:szCs w:val="20"/>
        </w:rPr>
        <w:t>con el</w:t>
      </w:r>
      <w:r w:rsidR="001E765A" w:rsidRPr="004E66B4">
        <w:rPr>
          <w:rFonts w:ascii="Verdana" w:hAnsi="Verdana" w:cs="Times New Roman"/>
          <w:sz w:val="20"/>
          <w:szCs w:val="20"/>
        </w:rPr>
        <w:t xml:space="preserve"> derecho de asociación</w:t>
      </w:r>
      <w:r w:rsidR="00B163FC" w:rsidRPr="004E66B4">
        <w:rPr>
          <w:rFonts w:ascii="Verdana" w:hAnsi="Verdana" w:cs="Times New Roman"/>
          <w:sz w:val="20"/>
          <w:szCs w:val="20"/>
        </w:rPr>
        <w:t>, ya que el señor Lagos del Campo era representante de una aso</w:t>
      </w:r>
      <w:r w:rsidR="00BF1E46">
        <w:rPr>
          <w:rFonts w:ascii="Verdana" w:hAnsi="Verdana" w:cs="Times New Roman"/>
          <w:sz w:val="20"/>
          <w:szCs w:val="20"/>
        </w:rPr>
        <w:t xml:space="preserve">ciación de trabajadores. Así, </w:t>
      </w:r>
      <w:r w:rsidR="001B19E4">
        <w:rPr>
          <w:rFonts w:ascii="Verdana" w:hAnsi="Verdana" w:cs="Times New Roman"/>
          <w:sz w:val="20"/>
          <w:szCs w:val="20"/>
        </w:rPr>
        <w:t>coincido</w:t>
      </w:r>
      <w:r w:rsidR="00B163FC" w:rsidRPr="004E66B4">
        <w:rPr>
          <w:rFonts w:ascii="Verdana" w:hAnsi="Verdana" w:cs="Times New Roman"/>
          <w:sz w:val="20"/>
          <w:szCs w:val="20"/>
        </w:rPr>
        <w:t xml:space="preserve"> plenamente con la Sentencia, </w:t>
      </w:r>
      <w:r w:rsidR="001B19E4">
        <w:rPr>
          <w:rFonts w:ascii="Verdana" w:hAnsi="Verdana" w:cs="Times New Roman"/>
          <w:sz w:val="20"/>
          <w:szCs w:val="20"/>
        </w:rPr>
        <w:t>cuando señala</w:t>
      </w:r>
      <w:r w:rsidR="00BF1E46">
        <w:rPr>
          <w:rFonts w:ascii="Verdana" w:hAnsi="Verdana" w:cs="Times New Roman"/>
          <w:sz w:val="20"/>
          <w:szCs w:val="20"/>
        </w:rPr>
        <w:t xml:space="preserve"> </w:t>
      </w:r>
      <w:r w:rsidR="00B163FC" w:rsidRPr="004E66B4">
        <w:rPr>
          <w:rFonts w:ascii="Verdana" w:hAnsi="Verdana" w:cs="Times New Roman"/>
          <w:sz w:val="20"/>
          <w:szCs w:val="20"/>
        </w:rPr>
        <w:t xml:space="preserve">que: </w:t>
      </w:r>
    </w:p>
    <w:p w14:paraId="0D6E6764" w14:textId="77777777" w:rsidR="00B163FC" w:rsidRPr="004E66B4" w:rsidRDefault="00B163FC" w:rsidP="00AD360E">
      <w:pPr>
        <w:pStyle w:val="ListParagraph"/>
        <w:widowControl w:val="0"/>
        <w:autoSpaceDE w:val="0"/>
        <w:autoSpaceDN w:val="0"/>
        <w:adjustRightInd w:val="0"/>
        <w:ind w:left="0"/>
        <w:jc w:val="both"/>
        <w:rPr>
          <w:rFonts w:ascii="Verdana" w:hAnsi="Verdana" w:cs="Times New Roman"/>
          <w:sz w:val="20"/>
          <w:szCs w:val="20"/>
        </w:rPr>
      </w:pPr>
    </w:p>
    <w:p w14:paraId="5F8112B6" w14:textId="56B80FA4" w:rsidR="00B163FC" w:rsidRPr="004E66B4" w:rsidRDefault="00B163FC" w:rsidP="004B76C5">
      <w:pPr>
        <w:widowControl w:val="0"/>
        <w:autoSpaceDE w:val="0"/>
        <w:autoSpaceDN w:val="0"/>
        <w:adjustRightInd w:val="0"/>
        <w:ind w:left="709" w:right="738"/>
        <w:jc w:val="both"/>
        <w:rPr>
          <w:rFonts w:ascii="Verdana" w:hAnsi="Verdana" w:cs="Times New Roman"/>
          <w:sz w:val="16"/>
          <w:szCs w:val="16"/>
        </w:rPr>
      </w:pPr>
      <w:r w:rsidRPr="004E66B4">
        <w:rPr>
          <w:rFonts w:ascii="Verdana" w:hAnsi="Verdana" w:cs="Times New Roman"/>
          <w:sz w:val="16"/>
          <w:szCs w:val="16"/>
        </w:rPr>
        <w:t>1</w:t>
      </w:r>
      <w:r w:rsidR="00C41E31" w:rsidRPr="004E66B4">
        <w:rPr>
          <w:rFonts w:ascii="Verdana" w:hAnsi="Verdana" w:cs="Times New Roman"/>
          <w:sz w:val="16"/>
          <w:szCs w:val="16"/>
        </w:rPr>
        <w:t>57</w:t>
      </w:r>
      <w:r w:rsidRPr="004E66B4">
        <w:rPr>
          <w:rFonts w:ascii="Verdana" w:hAnsi="Verdana" w:cs="Times New Roman"/>
          <w:sz w:val="16"/>
          <w:szCs w:val="16"/>
        </w:rPr>
        <w:t xml:space="preserve">. En relación con lo anterior, esta Corte encuentra que el ámbito de protección del derecho de libertad de asociación en materia laboral </w:t>
      </w:r>
      <w:r w:rsidRPr="004E66B4">
        <w:rPr>
          <w:rFonts w:ascii="Verdana" w:hAnsi="Verdana" w:cs="Times New Roman"/>
          <w:sz w:val="16"/>
          <w:szCs w:val="16"/>
          <w:u w:val="single"/>
        </w:rPr>
        <w:t>no sólo se encuentra subsumido a la protección de los sindicatos, sus miembros y sus representantes.</w:t>
      </w:r>
      <w:r w:rsidRPr="004E66B4">
        <w:rPr>
          <w:rFonts w:ascii="Verdana" w:hAnsi="Verdana" w:cs="Times New Roman"/>
          <w:sz w:val="16"/>
          <w:szCs w:val="16"/>
        </w:rPr>
        <w:t xml:space="preserve"> […]</w:t>
      </w:r>
    </w:p>
    <w:p w14:paraId="75B7B079" w14:textId="77777777" w:rsidR="00B163FC" w:rsidRPr="004E66B4" w:rsidRDefault="00B163FC" w:rsidP="00AD360E">
      <w:pPr>
        <w:widowControl w:val="0"/>
        <w:autoSpaceDE w:val="0"/>
        <w:autoSpaceDN w:val="0"/>
        <w:adjustRightInd w:val="0"/>
        <w:ind w:left="709" w:right="758"/>
        <w:jc w:val="both"/>
        <w:rPr>
          <w:rFonts w:ascii="Verdana" w:hAnsi="Verdana" w:cs="Times New Roman"/>
          <w:sz w:val="16"/>
          <w:szCs w:val="16"/>
        </w:rPr>
      </w:pPr>
    </w:p>
    <w:p w14:paraId="6C3BDBCC" w14:textId="0E58D27C" w:rsidR="00B163FC" w:rsidRPr="004E66B4" w:rsidRDefault="00B163FC" w:rsidP="00AD360E">
      <w:pPr>
        <w:widowControl w:val="0"/>
        <w:autoSpaceDE w:val="0"/>
        <w:autoSpaceDN w:val="0"/>
        <w:adjustRightInd w:val="0"/>
        <w:ind w:left="709" w:right="758"/>
        <w:jc w:val="both"/>
        <w:rPr>
          <w:rFonts w:ascii="Verdana" w:hAnsi="Verdana" w:cs="Times New Roman"/>
          <w:sz w:val="16"/>
          <w:szCs w:val="16"/>
        </w:rPr>
      </w:pPr>
      <w:r w:rsidRPr="004E66B4">
        <w:rPr>
          <w:rFonts w:ascii="Verdana" w:hAnsi="Verdana" w:cs="Times New Roman"/>
          <w:sz w:val="16"/>
          <w:szCs w:val="16"/>
        </w:rPr>
        <w:lastRenderedPageBreak/>
        <w:t>1</w:t>
      </w:r>
      <w:r w:rsidR="00321C41" w:rsidRPr="004E66B4">
        <w:rPr>
          <w:rFonts w:ascii="Verdana" w:hAnsi="Verdana" w:cs="Times New Roman"/>
          <w:sz w:val="16"/>
          <w:szCs w:val="16"/>
        </w:rPr>
        <w:t>58</w:t>
      </w:r>
      <w:r w:rsidRPr="004E66B4">
        <w:rPr>
          <w:rFonts w:ascii="Verdana" w:hAnsi="Verdana" w:cs="Times New Roman"/>
          <w:sz w:val="16"/>
          <w:szCs w:val="16"/>
        </w:rPr>
        <w:t xml:space="preserve">. Sin embargo, </w:t>
      </w:r>
      <w:r w:rsidRPr="004E66B4">
        <w:rPr>
          <w:rFonts w:ascii="Verdana" w:hAnsi="Verdana" w:cs="Times New Roman"/>
          <w:sz w:val="16"/>
          <w:szCs w:val="16"/>
          <w:u w:val="single"/>
        </w:rPr>
        <w:t>la protección que reconoce el derecho a la libertad de asociación en el contexto laboral se extiende a organizaciones que, aun cuando tengan una naturaleza distinta a la de los sindicatos, persigan fines de representación de los intereses legítimos de los trabajadores.</w:t>
      </w:r>
      <w:r w:rsidRPr="004E66B4">
        <w:rPr>
          <w:rFonts w:ascii="Verdana" w:hAnsi="Verdana" w:cs="Times New Roman"/>
          <w:sz w:val="16"/>
          <w:szCs w:val="16"/>
        </w:rPr>
        <w:t xml:space="preserve"> Esta protección deriva del propio artículo 16 de la Convención Americana, el cual protege la libertad de asociación con fines de cualquier índole, así como de otros instrumentos internacionales, </w:t>
      </w:r>
      <w:r w:rsidRPr="004E66B4">
        <w:rPr>
          <w:rFonts w:ascii="Verdana" w:hAnsi="Verdana" w:cs="Times New Roman"/>
          <w:sz w:val="16"/>
          <w:szCs w:val="16"/>
          <w:u w:val="single"/>
        </w:rPr>
        <w:t xml:space="preserve">que reconocen una protección especial a la libertad de asociación con fines de protección de los intereses de los trabajadores, sin especificar que esta protección se restrinja al ámbito sindical </w:t>
      </w:r>
      <w:r w:rsidRPr="004E66B4">
        <w:rPr>
          <w:rFonts w:ascii="Verdana" w:hAnsi="Verdana" w:cs="Times New Roman"/>
          <w:sz w:val="16"/>
          <w:szCs w:val="16"/>
        </w:rPr>
        <w:t>[…]</w:t>
      </w:r>
      <w:r w:rsidR="002F341A" w:rsidRPr="004E66B4">
        <w:rPr>
          <w:rStyle w:val="FootnoteReference"/>
          <w:rFonts w:ascii="Verdana" w:hAnsi="Verdana" w:cs="Times New Roman"/>
          <w:sz w:val="16"/>
          <w:szCs w:val="16"/>
        </w:rPr>
        <w:footnoteReference w:id="65"/>
      </w:r>
      <w:r w:rsidRPr="004E66B4">
        <w:rPr>
          <w:rFonts w:ascii="Verdana" w:hAnsi="Verdana" w:cs="Times New Roman"/>
          <w:sz w:val="16"/>
          <w:szCs w:val="16"/>
        </w:rPr>
        <w:t>.</w:t>
      </w:r>
    </w:p>
    <w:p w14:paraId="0A9B0664" w14:textId="77777777" w:rsidR="001A138E" w:rsidRPr="004E66B4" w:rsidRDefault="001A138E" w:rsidP="00AD360E">
      <w:pPr>
        <w:widowControl w:val="0"/>
        <w:autoSpaceDE w:val="0"/>
        <w:autoSpaceDN w:val="0"/>
        <w:adjustRightInd w:val="0"/>
        <w:ind w:right="758"/>
        <w:jc w:val="both"/>
        <w:rPr>
          <w:rFonts w:ascii="Verdana" w:hAnsi="Verdana" w:cs="Times New Roman"/>
          <w:sz w:val="16"/>
          <w:szCs w:val="16"/>
        </w:rPr>
      </w:pPr>
    </w:p>
    <w:p w14:paraId="6325BA30" w14:textId="47E962A9" w:rsidR="00C60E33" w:rsidRPr="004E66B4" w:rsidRDefault="00C52BDB"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4E66B4">
        <w:rPr>
          <w:rFonts w:ascii="Verdana" w:hAnsi="Verdana" w:cs="Times New Roman"/>
          <w:sz w:val="20"/>
          <w:szCs w:val="20"/>
        </w:rPr>
        <w:t>Adicionalmente</w:t>
      </w:r>
      <w:r w:rsidR="00075518">
        <w:rPr>
          <w:rFonts w:ascii="Verdana" w:hAnsi="Verdana" w:cs="Times New Roman"/>
          <w:sz w:val="20"/>
          <w:szCs w:val="20"/>
        </w:rPr>
        <w:t>,</w:t>
      </w:r>
      <w:r w:rsidR="00C60E33" w:rsidRPr="004E66B4">
        <w:rPr>
          <w:rFonts w:ascii="Verdana" w:hAnsi="Verdana" w:cs="Times New Roman"/>
          <w:sz w:val="20"/>
          <w:szCs w:val="20"/>
        </w:rPr>
        <w:t xml:space="preserve"> la Corte </w:t>
      </w:r>
      <w:r w:rsidR="00075518">
        <w:rPr>
          <w:rFonts w:ascii="Verdana" w:hAnsi="Verdana" w:cs="Times New Roman"/>
          <w:sz w:val="20"/>
          <w:szCs w:val="20"/>
        </w:rPr>
        <w:t xml:space="preserve">IDH </w:t>
      </w:r>
      <w:r w:rsidR="00C60E33" w:rsidRPr="004E66B4">
        <w:rPr>
          <w:rFonts w:ascii="Verdana" w:hAnsi="Verdana" w:cs="Times New Roman"/>
          <w:sz w:val="20"/>
          <w:szCs w:val="20"/>
        </w:rPr>
        <w:t xml:space="preserve">agregó que: </w:t>
      </w:r>
    </w:p>
    <w:p w14:paraId="7B7C1A49" w14:textId="77777777" w:rsidR="00C60E33" w:rsidRPr="004E66B4" w:rsidRDefault="00C60E33" w:rsidP="00AD360E">
      <w:pPr>
        <w:pStyle w:val="ListParagraph"/>
        <w:widowControl w:val="0"/>
        <w:autoSpaceDE w:val="0"/>
        <w:autoSpaceDN w:val="0"/>
        <w:adjustRightInd w:val="0"/>
        <w:ind w:left="0" w:right="49"/>
        <w:jc w:val="both"/>
        <w:rPr>
          <w:rFonts w:ascii="Verdana" w:hAnsi="Verdana" w:cs="Times New Roman"/>
          <w:sz w:val="20"/>
          <w:szCs w:val="20"/>
        </w:rPr>
      </w:pPr>
    </w:p>
    <w:p w14:paraId="7F9EC0FA" w14:textId="48460B93" w:rsidR="00C60E33" w:rsidRPr="004E66B4" w:rsidRDefault="00C60E33" w:rsidP="00AD360E">
      <w:pPr>
        <w:pStyle w:val="ListParagraph"/>
        <w:ind w:left="709" w:right="758"/>
        <w:jc w:val="both"/>
        <w:rPr>
          <w:rFonts w:ascii="Verdana" w:hAnsi="Verdana" w:cs="Times New Roman"/>
          <w:b/>
          <w:sz w:val="16"/>
          <w:szCs w:val="16"/>
        </w:rPr>
      </w:pPr>
      <w:r w:rsidRPr="004E66B4">
        <w:rPr>
          <w:rFonts w:ascii="Verdana" w:hAnsi="Verdana" w:cs="Times New Roman"/>
          <w:sz w:val="16"/>
          <w:szCs w:val="16"/>
        </w:rPr>
        <w:t>1</w:t>
      </w:r>
      <w:r w:rsidR="00240584" w:rsidRPr="004E66B4">
        <w:rPr>
          <w:rFonts w:ascii="Verdana" w:hAnsi="Verdana" w:cs="Times New Roman"/>
          <w:sz w:val="16"/>
          <w:szCs w:val="16"/>
        </w:rPr>
        <w:t xml:space="preserve">59. </w:t>
      </w:r>
      <w:r w:rsidRPr="004E66B4">
        <w:rPr>
          <w:rFonts w:ascii="Verdana" w:hAnsi="Verdana" w:cs="Times New Roman"/>
          <w:sz w:val="16"/>
          <w:szCs w:val="16"/>
        </w:rPr>
        <w:t xml:space="preserve">Estos principios coinciden con la protección reconocida por la Organización Internacional del Trabajo, la cual ha definido que la expresión </w:t>
      </w:r>
      <w:r w:rsidRPr="004E66B4">
        <w:rPr>
          <w:rFonts w:ascii="Verdana" w:hAnsi="Verdana" w:cs="Times New Roman"/>
          <w:sz w:val="16"/>
          <w:szCs w:val="16"/>
          <w:u w:val="single"/>
        </w:rPr>
        <w:t>“</w:t>
      </w:r>
      <w:r w:rsidRPr="004E66B4">
        <w:rPr>
          <w:rFonts w:ascii="Verdana" w:hAnsi="Verdana" w:cs="Times New Roman"/>
          <w:b/>
          <w:sz w:val="16"/>
          <w:szCs w:val="16"/>
          <w:u w:val="single"/>
        </w:rPr>
        <w:t>representantes de los trabajadores”</w:t>
      </w:r>
      <w:r w:rsidRPr="004E66B4">
        <w:rPr>
          <w:rFonts w:ascii="Verdana" w:hAnsi="Verdana" w:cs="Times New Roman"/>
          <w:b/>
          <w:sz w:val="16"/>
          <w:szCs w:val="16"/>
        </w:rPr>
        <w:t xml:space="preserve"> comprende aquellos reconocidos como tales en virtud de la legislación o práctica nacional, ya se trate de representantes sindicales, o de “representantes electos, es decir, representantes libremente elegidos por los trabajadores de la empresa, de conformidad con las disposiciones de la legislación nacional o de los contratos colectivos, y cuyas actividades no se extiendan a actividades que sean reconocidas en el país como prerrogativas exclusivas de los sindicatos”.</w:t>
      </w:r>
      <w:r w:rsidRPr="004E66B4">
        <w:rPr>
          <w:rFonts w:ascii="Verdana" w:hAnsi="Verdana" w:cs="Times New Roman"/>
          <w:sz w:val="16"/>
          <w:szCs w:val="16"/>
        </w:rPr>
        <w:t xml:space="preserve"> </w:t>
      </w:r>
    </w:p>
    <w:p w14:paraId="085E444A" w14:textId="77777777" w:rsidR="00C60E33" w:rsidRPr="004E66B4" w:rsidRDefault="00C60E33" w:rsidP="00AD360E">
      <w:pPr>
        <w:pStyle w:val="ListParagraph"/>
        <w:ind w:left="709" w:right="758"/>
        <w:jc w:val="both"/>
        <w:rPr>
          <w:rFonts w:ascii="Verdana" w:hAnsi="Verdana" w:cs="Times New Roman"/>
          <w:sz w:val="16"/>
          <w:szCs w:val="16"/>
        </w:rPr>
      </w:pPr>
    </w:p>
    <w:p w14:paraId="236E7BF7" w14:textId="08D421DB" w:rsidR="00C60E33" w:rsidRPr="004E66B4" w:rsidRDefault="00C60E33" w:rsidP="00AD360E">
      <w:pPr>
        <w:pStyle w:val="ListParagraph"/>
        <w:ind w:left="709" w:right="758"/>
        <w:jc w:val="both"/>
        <w:rPr>
          <w:rFonts w:ascii="Verdana" w:hAnsi="Verdana" w:cs="Times New Roman"/>
          <w:b/>
          <w:sz w:val="16"/>
          <w:szCs w:val="16"/>
        </w:rPr>
      </w:pPr>
      <w:r w:rsidRPr="004E66B4">
        <w:rPr>
          <w:rFonts w:ascii="Verdana" w:hAnsi="Verdana" w:cs="Times New Roman"/>
          <w:sz w:val="16"/>
          <w:szCs w:val="16"/>
        </w:rPr>
        <w:t>1</w:t>
      </w:r>
      <w:r w:rsidR="00321C41" w:rsidRPr="004E66B4">
        <w:rPr>
          <w:rFonts w:ascii="Verdana" w:hAnsi="Verdana" w:cs="Times New Roman"/>
          <w:sz w:val="16"/>
          <w:szCs w:val="16"/>
        </w:rPr>
        <w:t>60</w:t>
      </w:r>
      <w:r w:rsidRPr="004E66B4">
        <w:rPr>
          <w:rFonts w:ascii="Verdana" w:hAnsi="Verdana" w:cs="Times New Roman"/>
          <w:sz w:val="16"/>
          <w:szCs w:val="16"/>
        </w:rPr>
        <w:t xml:space="preserve">. En el mismo sentido, se ha interpretado [por el Tribunal Europeo] </w:t>
      </w:r>
      <w:r w:rsidRPr="004E66B4">
        <w:rPr>
          <w:rFonts w:ascii="Verdana" w:hAnsi="Verdana" w:cs="Times New Roman"/>
          <w:sz w:val="16"/>
          <w:szCs w:val="16"/>
          <w:u w:val="single"/>
        </w:rPr>
        <w:t>que los representantes de los trabajadores de una empresa deben gozar de una protección eficaz contra todo acto que pueda perjudicarlos, incluido el despido por razón de su condición de representantes de los trabajadores, o de sus actividades derivadas de dicha representación.</w:t>
      </w:r>
      <w:r w:rsidRPr="004E66B4">
        <w:rPr>
          <w:rFonts w:ascii="Verdana" w:eastAsia="Times New Roman" w:hAnsi="Verdana" w:cs="Times New Roman"/>
          <w:sz w:val="16"/>
          <w:szCs w:val="16"/>
        </w:rPr>
        <w:t xml:space="preserve"> Asimismo, </w:t>
      </w:r>
      <w:r w:rsidRPr="004E66B4">
        <w:rPr>
          <w:rFonts w:ascii="Verdana" w:hAnsi="Verdana" w:cs="Times New Roman"/>
          <w:sz w:val="16"/>
          <w:szCs w:val="16"/>
        </w:rPr>
        <w:t xml:space="preserve">las autoridades nacionales deben garantizar que la imposición de sanciones que puedan resultar desproporcionadas no </w:t>
      </w:r>
      <w:proofErr w:type="gramStart"/>
      <w:r w:rsidRPr="004E66B4">
        <w:rPr>
          <w:rFonts w:ascii="Verdana" w:hAnsi="Verdana" w:cs="Times New Roman"/>
          <w:sz w:val="16"/>
          <w:szCs w:val="16"/>
        </w:rPr>
        <w:t>generen</w:t>
      </w:r>
      <w:proofErr w:type="gramEnd"/>
      <w:r w:rsidRPr="004E66B4">
        <w:rPr>
          <w:rFonts w:ascii="Verdana" w:hAnsi="Verdana" w:cs="Times New Roman"/>
          <w:sz w:val="16"/>
          <w:szCs w:val="16"/>
        </w:rPr>
        <w:t xml:space="preserve"> un efecto disuasivo en el derecho de los representantes de expresar y defender los intereses de los trabajadores</w:t>
      </w:r>
      <w:r w:rsidR="002F341A" w:rsidRPr="004E66B4">
        <w:rPr>
          <w:rStyle w:val="FootnoteReference"/>
          <w:rFonts w:ascii="Verdana" w:hAnsi="Verdana" w:cs="Times New Roman"/>
          <w:sz w:val="16"/>
          <w:szCs w:val="16"/>
        </w:rPr>
        <w:footnoteReference w:id="66"/>
      </w:r>
      <w:r w:rsidRPr="004E66B4">
        <w:rPr>
          <w:rFonts w:ascii="Verdana" w:hAnsi="Verdana" w:cs="Times New Roman"/>
          <w:sz w:val="16"/>
          <w:szCs w:val="16"/>
        </w:rPr>
        <w:t>.</w:t>
      </w:r>
      <w:r w:rsidR="001B19E4">
        <w:rPr>
          <w:rFonts w:ascii="Verdana" w:hAnsi="Verdana" w:cs="Times New Roman"/>
          <w:sz w:val="16"/>
          <w:szCs w:val="16"/>
        </w:rPr>
        <w:t xml:space="preserve"> </w:t>
      </w:r>
    </w:p>
    <w:p w14:paraId="1A2A51B7" w14:textId="77777777" w:rsidR="00C60E33" w:rsidRPr="004E66B4" w:rsidRDefault="00C60E33" w:rsidP="00AD360E">
      <w:pPr>
        <w:widowControl w:val="0"/>
        <w:autoSpaceDE w:val="0"/>
        <w:autoSpaceDN w:val="0"/>
        <w:adjustRightInd w:val="0"/>
        <w:ind w:right="49"/>
        <w:jc w:val="both"/>
        <w:rPr>
          <w:rFonts w:ascii="Verdana" w:hAnsi="Verdana" w:cs="Times New Roman"/>
          <w:sz w:val="20"/>
          <w:szCs w:val="20"/>
        </w:rPr>
      </w:pPr>
    </w:p>
    <w:p w14:paraId="519249AD" w14:textId="2082781C" w:rsidR="00240584" w:rsidRPr="004E66B4" w:rsidRDefault="001B19E4"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 xml:space="preserve">Como se observa, </w:t>
      </w:r>
      <w:r w:rsidR="00B163FC" w:rsidRPr="004E66B4">
        <w:rPr>
          <w:rFonts w:ascii="Verdana" w:hAnsi="Verdana" w:cs="Times New Roman"/>
          <w:sz w:val="20"/>
          <w:szCs w:val="20"/>
        </w:rPr>
        <w:t xml:space="preserve">lo que la Corte IDH </w:t>
      </w:r>
      <w:r>
        <w:rPr>
          <w:rFonts w:ascii="Verdana" w:hAnsi="Verdana" w:cs="Times New Roman"/>
          <w:sz w:val="20"/>
          <w:szCs w:val="20"/>
        </w:rPr>
        <w:t>refleja</w:t>
      </w:r>
      <w:r w:rsidR="004307E5" w:rsidRPr="004E66B4">
        <w:rPr>
          <w:rFonts w:ascii="Verdana" w:hAnsi="Verdana" w:cs="Times New Roman"/>
          <w:sz w:val="20"/>
          <w:szCs w:val="20"/>
        </w:rPr>
        <w:t xml:space="preserve"> con </w:t>
      </w:r>
      <w:r w:rsidR="00E34565" w:rsidRPr="004E66B4">
        <w:rPr>
          <w:rFonts w:ascii="Verdana" w:hAnsi="Verdana" w:cs="Times New Roman"/>
          <w:sz w:val="20"/>
          <w:szCs w:val="20"/>
        </w:rPr>
        <w:t>estos pronunciamientos</w:t>
      </w:r>
      <w:r w:rsidR="00B163FC" w:rsidRPr="004E66B4">
        <w:rPr>
          <w:rFonts w:ascii="Verdana" w:hAnsi="Verdana" w:cs="Times New Roman"/>
          <w:sz w:val="20"/>
          <w:szCs w:val="20"/>
        </w:rPr>
        <w:t xml:space="preserve"> es que tanto los sindicatos como sus representantes</w:t>
      </w:r>
      <w:r w:rsidR="00BF1E46">
        <w:rPr>
          <w:rFonts w:ascii="Verdana" w:hAnsi="Verdana" w:cs="Times New Roman"/>
          <w:sz w:val="20"/>
          <w:szCs w:val="20"/>
        </w:rPr>
        <w:t>,</w:t>
      </w:r>
      <w:r w:rsidR="00B163FC" w:rsidRPr="004E66B4">
        <w:rPr>
          <w:rFonts w:ascii="Verdana" w:hAnsi="Verdana" w:cs="Times New Roman"/>
          <w:sz w:val="20"/>
          <w:szCs w:val="20"/>
        </w:rPr>
        <w:t xml:space="preserve"> así como las asociaciones de trabajadores como sus representantes, </w:t>
      </w:r>
      <w:r w:rsidR="00B163FC" w:rsidRPr="004E66B4">
        <w:rPr>
          <w:rFonts w:ascii="Verdana" w:hAnsi="Verdana" w:cs="Times New Roman"/>
          <w:i/>
          <w:sz w:val="20"/>
          <w:szCs w:val="20"/>
        </w:rPr>
        <w:t>gozan de una protección específica</w:t>
      </w:r>
      <w:r w:rsidR="00B163FC" w:rsidRPr="004E66B4">
        <w:rPr>
          <w:rFonts w:ascii="Verdana" w:hAnsi="Verdana" w:cs="Times New Roman"/>
          <w:sz w:val="20"/>
          <w:szCs w:val="20"/>
        </w:rPr>
        <w:t xml:space="preserve"> para el correcto desempeño de sus funciones</w:t>
      </w:r>
      <w:r w:rsidR="00B163FC" w:rsidRPr="004E66B4">
        <w:rPr>
          <w:rStyle w:val="FootnoteReference"/>
          <w:rFonts w:ascii="Verdana" w:hAnsi="Verdana" w:cs="Times New Roman"/>
          <w:sz w:val="20"/>
          <w:szCs w:val="20"/>
        </w:rPr>
        <w:footnoteReference w:id="67"/>
      </w:r>
      <w:r w:rsidR="00BF1E46">
        <w:rPr>
          <w:rFonts w:ascii="Verdana" w:hAnsi="Verdana" w:cs="Times New Roman"/>
          <w:sz w:val="20"/>
          <w:szCs w:val="20"/>
        </w:rPr>
        <w:t>,</w:t>
      </w:r>
      <w:r w:rsidR="00B163FC" w:rsidRPr="004E66B4">
        <w:rPr>
          <w:rFonts w:ascii="Verdana" w:hAnsi="Verdana" w:cs="Times New Roman"/>
          <w:sz w:val="20"/>
          <w:szCs w:val="20"/>
        </w:rPr>
        <w:t xml:space="preserve"> sin hacer distinción alguna entre uno u otro.</w:t>
      </w:r>
      <w:r w:rsidR="00B1651B" w:rsidRPr="004E66B4">
        <w:rPr>
          <w:rFonts w:ascii="Verdana" w:hAnsi="Verdana" w:cs="Times New Roman"/>
          <w:sz w:val="20"/>
          <w:szCs w:val="20"/>
        </w:rPr>
        <w:t xml:space="preserve"> </w:t>
      </w:r>
      <w:r w:rsidR="00240584" w:rsidRPr="004E66B4">
        <w:rPr>
          <w:rFonts w:ascii="Verdana" w:hAnsi="Verdana" w:cs="Times New Roman"/>
          <w:sz w:val="20"/>
          <w:szCs w:val="20"/>
        </w:rPr>
        <w:t xml:space="preserve">Al respecto, la Corte IDH concluyó que: </w:t>
      </w:r>
    </w:p>
    <w:p w14:paraId="3C27F332" w14:textId="77777777" w:rsidR="00240584" w:rsidRPr="004E66B4" w:rsidRDefault="00240584" w:rsidP="00AD360E">
      <w:pPr>
        <w:pStyle w:val="ListParagraph"/>
        <w:widowControl w:val="0"/>
        <w:autoSpaceDE w:val="0"/>
        <w:autoSpaceDN w:val="0"/>
        <w:adjustRightInd w:val="0"/>
        <w:ind w:left="0" w:right="49"/>
        <w:jc w:val="both"/>
        <w:rPr>
          <w:rFonts w:ascii="Verdana" w:hAnsi="Verdana" w:cs="Times New Roman"/>
          <w:sz w:val="20"/>
          <w:szCs w:val="20"/>
        </w:rPr>
      </w:pPr>
    </w:p>
    <w:p w14:paraId="1BBA5B75" w14:textId="63A9A465" w:rsidR="00240584" w:rsidRPr="004E66B4" w:rsidRDefault="00240584" w:rsidP="00AD360E">
      <w:pPr>
        <w:pStyle w:val="ListParagraph"/>
        <w:widowControl w:val="0"/>
        <w:autoSpaceDE w:val="0"/>
        <w:autoSpaceDN w:val="0"/>
        <w:adjustRightInd w:val="0"/>
        <w:ind w:left="708" w:right="758"/>
        <w:jc w:val="both"/>
        <w:rPr>
          <w:rFonts w:ascii="Verdana" w:hAnsi="Verdana" w:cs="Times New Roman"/>
          <w:sz w:val="16"/>
          <w:szCs w:val="16"/>
        </w:rPr>
      </w:pPr>
      <w:r w:rsidRPr="004E66B4">
        <w:rPr>
          <w:rFonts w:ascii="Verdana" w:hAnsi="Verdana"/>
          <w:sz w:val="16"/>
          <w:szCs w:val="16"/>
        </w:rPr>
        <w:t xml:space="preserve">158. […] En este sentido, el propio artículo 26 de la Convención Americana que se deriva de las normas económicas, sociales y sobre educación, ciencia y cultura, contenidas en la Carta de la Organización de los Estados Americanos, reconoce el derecho de los empleadores y trabajadores de asociarse libremente para la defensa y promoción de sus intereses, y el Preámbulo la Carta Democrática Interamericana reconoce que el derecho de los trabajadores de asociarse para la defensa y promoción de sus intereses es fundamental para la plena realización de los ideales democráticos. </w:t>
      </w:r>
    </w:p>
    <w:p w14:paraId="5477E442" w14:textId="77777777" w:rsidR="00240584" w:rsidRPr="004E66B4" w:rsidRDefault="00240584" w:rsidP="00AD360E">
      <w:pPr>
        <w:ind w:right="758"/>
        <w:contextualSpacing/>
        <w:jc w:val="both"/>
        <w:rPr>
          <w:rFonts w:ascii="Verdana" w:hAnsi="Verdana" w:cs="Times New Roman"/>
          <w:sz w:val="20"/>
          <w:szCs w:val="20"/>
        </w:rPr>
      </w:pPr>
    </w:p>
    <w:p w14:paraId="126554EE" w14:textId="527AF226" w:rsidR="00240584" w:rsidRPr="004E66B4" w:rsidRDefault="00240584" w:rsidP="00AD360E">
      <w:pPr>
        <w:ind w:left="708" w:right="758"/>
        <w:contextualSpacing/>
        <w:jc w:val="both"/>
        <w:rPr>
          <w:rFonts w:ascii="Verdana" w:hAnsi="Verdana"/>
          <w:sz w:val="16"/>
          <w:szCs w:val="16"/>
        </w:rPr>
      </w:pPr>
      <w:r w:rsidRPr="004E66B4">
        <w:rPr>
          <w:rFonts w:ascii="Verdana" w:hAnsi="Verdana"/>
          <w:sz w:val="16"/>
          <w:szCs w:val="16"/>
        </w:rPr>
        <w:t>163. En vista de lo anterior, esta Corte concluye que el Estado es responsable por la violación del artículo 16.1 y 26 en relación con los artículos 1.1, 13 y 8 de la Convención Americana, en perjuicio de Alfredo Lagos del Campo</w:t>
      </w:r>
      <w:r w:rsidR="004D230F">
        <w:rPr>
          <w:rStyle w:val="FootnoteReference"/>
          <w:rFonts w:ascii="Verdana" w:hAnsi="Verdana"/>
          <w:sz w:val="16"/>
          <w:szCs w:val="16"/>
        </w:rPr>
        <w:footnoteReference w:id="68"/>
      </w:r>
      <w:r w:rsidRPr="004E66B4">
        <w:rPr>
          <w:rFonts w:ascii="Verdana" w:hAnsi="Verdana"/>
          <w:sz w:val="16"/>
          <w:szCs w:val="16"/>
        </w:rPr>
        <w:t>.</w:t>
      </w:r>
    </w:p>
    <w:p w14:paraId="585659C7" w14:textId="77777777" w:rsidR="00E115AF" w:rsidRPr="004E66B4" w:rsidRDefault="00E115AF" w:rsidP="00AD360E">
      <w:pPr>
        <w:pStyle w:val="ListParagraph"/>
        <w:widowControl w:val="0"/>
        <w:autoSpaceDE w:val="0"/>
        <w:autoSpaceDN w:val="0"/>
        <w:adjustRightInd w:val="0"/>
        <w:ind w:left="0" w:right="49"/>
        <w:jc w:val="both"/>
        <w:rPr>
          <w:rFonts w:ascii="Verdana" w:hAnsi="Verdana" w:cs="Times New Roman"/>
          <w:sz w:val="20"/>
          <w:szCs w:val="20"/>
        </w:rPr>
      </w:pPr>
    </w:p>
    <w:p w14:paraId="73CFF7FF" w14:textId="6B7FE563" w:rsidR="00CA704D" w:rsidRDefault="00240584"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4E66B4">
        <w:rPr>
          <w:rFonts w:ascii="Verdana" w:hAnsi="Verdana" w:cs="Times New Roman"/>
          <w:sz w:val="20"/>
          <w:szCs w:val="20"/>
        </w:rPr>
        <w:t>En este s</w:t>
      </w:r>
      <w:r w:rsidR="00BF1E46">
        <w:rPr>
          <w:rFonts w:ascii="Verdana" w:hAnsi="Verdana" w:cs="Times New Roman"/>
          <w:sz w:val="20"/>
          <w:szCs w:val="20"/>
        </w:rPr>
        <w:t xml:space="preserve">entido, </w:t>
      </w:r>
      <w:r w:rsidR="001B19E4">
        <w:rPr>
          <w:rFonts w:ascii="Verdana" w:hAnsi="Verdana" w:cs="Times New Roman"/>
          <w:sz w:val="20"/>
          <w:szCs w:val="20"/>
        </w:rPr>
        <w:t xml:space="preserve">no se </w:t>
      </w:r>
      <w:r w:rsidR="004120B4" w:rsidRPr="004E66B4">
        <w:rPr>
          <w:rFonts w:ascii="Verdana" w:hAnsi="Verdana" w:cs="Times New Roman"/>
          <w:sz w:val="20"/>
          <w:szCs w:val="20"/>
        </w:rPr>
        <w:t>pretende establecer que el art</w:t>
      </w:r>
      <w:r w:rsidRPr="004E66B4">
        <w:rPr>
          <w:rFonts w:ascii="Verdana" w:hAnsi="Verdana" w:cs="Times New Roman"/>
          <w:sz w:val="20"/>
          <w:szCs w:val="20"/>
        </w:rPr>
        <w:t>ículo</w:t>
      </w:r>
      <w:r w:rsidR="004120B4" w:rsidRPr="004E66B4">
        <w:rPr>
          <w:rFonts w:ascii="Verdana" w:hAnsi="Verdana" w:cs="Times New Roman"/>
          <w:sz w:val="20"/>
          <w:szCs w:val="20"/>
        </w:rPr>
        <w:t xml:space="preserve"> 8.1.a</w:t>
      </w:r>
      <w:r w:rsidR="001B19E4">
        <w:rPr>
          <w:rFonts w:ascii="Verdana" w:hAnsi="Verdana" w:cs="Times New Roman"/>
          <w:sz w:val="20"/>
          <w:szCs w:val="20"/>
        </w:rPr>
        <w:t xml:space="preserve"> del Protocolo de San Salvador</w:t>
      </w:r>
      <w:r w:rsidR="004120B4" w:rsidRPr="004E66B4">
        <w:rPr>
          <w:rFonts w:ascii="Verdana" w:hAnsi="Verdana" w:cs="Times New Roman"/>
          <w:sz w:val="20"/>
          <w:szCs w:val="20"/>
        </w:rPr>
        <w:t xml:space="preserve"> le sea aplicable</w:t>
      </w:r>
      <w:r w:rsidR="001B19E4">
        <w:rPr>
          <w:rFonts w:ascii="Verdana" w:hAnsi="Verdana" w:cs="Times New Roman"/>
          <w:sz w:val="20"/>
          <w:szCs w:val="20"/>
        </w:rPr>
        <w:t>,</w:t>
      </w:r>
      <w:r w:rsidR="004120B4" w:rsidRPr="004E66B4">
        <w:rPr>
          <w:rFonts w:ascii="Verdana" w:hAnsi="Verdana" w:cs="Times New Roman"/>
          <w:sz w:val="20"/>
          <w:szCs w:val="20"/>
        </w:rPr>
        <w:t xml:space="preserve"> mediante el artículo 19.6 </w:t>
      </w:r>
      <w:r w:rsidR="001B19E4">
        <w:rPr>
          <w:rFonts w:ascii="Verdana" w:hAnsi="Verdana" w:cs="Times New Roman"/>
          <w:sz w:val="20"/>
          <w:szCs w:val="20"/>
        </w:rPr>
        <w:t xml:space="preserve">de la Convención Americana, </w:t>
      </w:r>
      <w:r w:rsidR="004120B4" w:rsidRPr="004E66B4">
        <w:rPr>
          <w:rFonts w:ascii="Verdana" w:hAnsi="Verdana" w:cs="Times New Roman"/>
          <w:sz w:val="20"/>
          <w:szCs w:val="20"/>
        </w:rPr>
        <w:t>a la situa</w:t>
      </w:r>
      <w:r w:rsidR="00BF1E46">
        <w:rPr>
          <w:rFonts w:ascii="Verdana" w:hAnsi="Verdana" w:cs="Times New Roman"/>
          <w:sz w:val="20"/>
          <w:szCs w:val="20"/>
        </w:rPr>
        <w:t>ción del señor Lagos del Campos</w:t>
      </w:r>
      <w:r w:rsidR="001B19E4">
        <w:rPr>
          <w:rFonts w:ascii="Verdana" w:hAnsi="Verdana" w:cs="Times New Roman"/>
          <w:sz w:val="20"/>
          <w:szCs w:val="20"/>
        </w:rPr>
        <w:t>. Lo anterior se debe a que</w:t>
      </w:r>
      <w:r w:rsidR="004120B4" w:rsidRPr="004E66B4">
        <w:rPr>
          <w:rFonts w:ascii="Verdana" w:hAnsi="Verdana" w:cs="Times New Roman"/>
          <w:sz w:val="20"/>
          <w:szCs w:val="20"/>
        </w:rPr>
        <w:t xml:space="preserve"> no se trata </w:t>
      </w:r>
      <w:r w:rsidR="00201CA6" w:rsidRPr="004E66B4">
        <w:rPr>
          <w:rFonts w:ascii="Verdana" w:hAnsi="Verdana" w:cs="Times New Roman"/>
          <w:sz w:val="20"/>
          <w:szCs w:val="20"/>
        </w:rPr>
        <w:t>de un representante sindical</w:t>
      </w:r>
      <w:r w:rsidR="00414720" w:rsidRPr="004E66B4">
        <w:rPr>
          <w:rFonts w:ascii="Verdana" w:hAnsi="Verdana" w:cs="Times New Roman"/>
          <w:sz w:val="20"/>
          <w:szCs w:val="20"/>
        </w:rPr>
        <w:t xml:space="preserve"> que actuaba en la defensa legítima de los intereses de los </w:t>
      </w:r>
      <w:r w:rsidR="00671A64" w:rsidRPr="004E66B4">
        <w:rPr>
          <w:rFonts w:ascii="Verdana" w:hAnsi="Verdana" w:cs="Times New Roman"/>
          <w:sz w:val="20"/>
          <w:szCs w:val="20"/>
        </w:rPr>
        <w:t>sindicalistas</w:t>
      </w:r>
      <w:r w:rsidR="001B19E4">
        <w:rPr>
          <w:rFonts w:ascii="Verdana" w:hAnsi="Verdana" w:cs="Times New Roman"/>
          <w:sz w:val="20"/>
          <w:szCs w:val="20"/>
        </w:rPr>
        <w:t>.</w:t>
      </w:r>
      <w:r w:rsidR="004307E5" w:rsidRPr="004E66B4">
        <w:rPr>
          <w:rFonts w:ascii="Verdana" w:hAnsi="Verdana" w:cs="Times New Roman"/>
          <w:sz w:val="20"/>
          <w:szCs w:val="20"/>
        </w:rPr>
        <w:t xml:space="preserve"> </w:t>
      </w:r>
      <w:r w:rsidR="001B19E4">
        <w:rPr>
          <w:rFonts w:ascii="Verdana" w:hAnsi="Verdana" w:cs="Times New Roman"/>
          <w:sz w:val="20"/>
          <w:szCs w:val="20"/>
        </w:rPr>
        <w:t>P</w:t>
      </w:r>
      <w:r w:rsidR="00201CA6" w:rsidRPr="004E66B4">
        <w:rPr>
          <w:rFonts w:ascii="Verdana" w:hAnsi="Verdana" w:cs="Times New Roman"/>
          <w:sz w:val="20"/>
          <w:szCs w:val="20"/>
        </w:rPr>
        <w:t xml:space="preserve">or el contrario, </w:t>
      </w:r>
      <w:r w:rsidR="00414720" w:rsidRPr="004E66B4">
        <w:rPr>
          <w:rFonts w:ascii="Verdana" w:hAnsi="Verdana" w:cs="Times New Roman"/>
          <w:sz w:val="20"/>
          <w:szCs w:val="20"/>
        </w:rPr>
        <w:t xml:space="preserve">la situación del señor Lagos del Campo se enmarcaba dentro de la protección que </w:t>
      </w:r>
      <w:r w:rsidR="00201CA6" w:rsidRPr="004E66B4">
        <w:rPr>
          <w:rFonts w:ascii="Verdana" w:hAnsi="Verdana" w:cs="Times New Roman"/>
          <w:sz w:val="20"/>
          <w:szCs w:val="20"/>
        </w:rPr>
        <w:t xml:space="preserve">las asociaciones laborales y sus representantes tienen </w:t>
      </w:r>
      <w:r w:rsidR="00BF1E46">
        <w:rPr>
          <w:rFonts w:ascii="Verdana" w:hAnsi="Verdana" w:cs="Times New Roman"/>
          <w:i/>
          <w:sz w:val="20"/>
          <w:szCs w:val="20"/>
        </w:rPr>
        <w:t>para asociarse, que au</w:t>
      </w:r>
      <w:r w:rsidR="00201CA6" w:rsidRPr="004E66B4">
        <w:rPr>
          <w:rFonts w:ascii="Verdana" w:hAnsi="Verdana" w:cs="Times New Roman"/>
          <w:i/>
          <w:sz w:val="20"/>
          <w:szCs w:val="20"/>
        </w:rPr>
        <w:t xml:space="preserve">n cuando tengan una naturaleza distinta </w:t>
      </w:r>
      <w:r w:rsidR="00414720" w:rsidRPr="004E66B4">
        <w:rPr>
          <w:rFonts w:ascii="Verdana" w:hAnsi="Verdana" w:cs="Times New Roman"/>
          <w:i/>
          <w:sz w:val="20"/>
          <w:szCs w:val="20"/>
        </w:rPr>
        <w:t xml:space="preserve">a la de los sindicatos, </w:t>
      </w:r>
      <w:r w:rsidR="00414720" w:rsidRPr="004E66B4">
        <w:rPr>
          <w:rFonts w:ascii="Verdana" w:hAnsi="Verdana" w:cs="Times New Roman"/>
          <w:i/>
          <w:sz w:val="20"/>
          <w:szCs w:val="20"/>
        </w:rPr>
        <w:lastRenderedPageBreak/>
        <w:t>persigan intereses y derechos legítimos de los trabajadores</w:t>
      </w:r>
      <w:r w:rsidR="00414720" w:rsidRPr="004E66B4">
        <w:rPr>
          <w:rStyle w:val="FootnoteReference"/>
          <w:rFonts w:ascii="Verdana" w:hAnsi="Verdana" w:cs="Times New Roman"/>
          <w:i/>
          <w:sz w:val="20"/>
          <w:szCs w:val="20"/>
        </w:rPr>
        <w:footnoteReference w:id="69"/>
      </w:r>
      <w:r w:rsidR="00BF1E46">
        <w:rPr>
          <w:rFonts w:ascii="Verdana" w:hAnsi="Verdana" w:cs="Times New Roman"/>
          <w:sz w:val="20"/>
          <w:szCs w:val="20"/>
        </w:rPr>
        <w:t>;</w:t>
      </w:r>
      <w:r w:rsidR="00414720" w:rsidRPr="004E66B4">
        <w:rPr>
          <w:rFonts w:ascii="Verdana" w:hAnsi="Verdana" w:cs="Times New Roman"/>
          <w:sz w:val="20"/>
          <w:szCs w:val="20"/>
        </w:rPr>
        <w:t xml:space="preserve"> protección que no se encuentra en el Protocolo de San Salvador en el artículo concerniente a la materia laboral (artículo 6 del Protocolo de San Salvador)</w:t>
      </w:r>
      <w:r w:rsidR="00414720" w:rsidRPr="004E66B4">
        <w:rPr>
          <w:rStyle w:val="FootnoteReference"/>
          <w:rFonts w:ascii="Verdana" w:hAnsi="Verdana" w:cs="Times New Roman"/>
          <w:sz w:val="20"/>
          <w:szCs w:val="20"/>
        </w:rPr>
        <w:footnoteReference w:id="70"/>
      </w:r>
      <w:r w:rsidR="00414720" w:rsidRPr="004E66B4">
        <w:rPr>
          <w:rFonts w:ascii="Verdana" w:hAnsi="Verdana" w:cs="Times New Roman"/>
          <w:sz w:val="20"/>
          <w:szCs w:val="20"/>
        </w:rPr>
        <w:t>, sino que éste se encuentra contemplado</w:t>
      </w:r>
      <w:r w:rsidR="006D102F" w:rsidRPr="004E66B4">
        <w:rPr>
          <w:rFonts w:ascii="Verdana" w:hAnsi="Verdana" w:cs="Times New Roman"/>
          <w:sz w:val="20"/>
          <w:szCs w:val="20"/>
        </w:rPr>
        <w:t xml:space="preserve"> de manera expresa</w:t>
      </w:r>
      <w:r w:rsidR="00414720" w:rsidRPr="004E66B4">
        <w:rPr>
          <w:rFonts w:ascii="Verdana" w:hAnsi="Verdana" w:cs="Times New Roman"/>
          <w:sz w:val="20"/>
          <w:szCs w:val="20"/>
        </w:rPr>
        <w:t xml:space="preserve"> en el artículo 45 inciso c)</w:t>
      </w:r>
      <w:r w:rsidR="001B19E4">
        <w:rPr>
          <w:rFonts w:ascii="Verdana" w:hAnsi="Verdana" w:cs="Times New Roman"/>
          <w:sz w:val="20"/>
          <w:szCs w:val="20"/>
        </w:rPr>
        <w:t>,</w:t>
      </w:r>
      <w:r w:rsidR="00414720" w:rsidRPr="004E66B4">
        <w:rPr>
          <w:rFonts w:ascii="Verdana" w:hAnsi="Verdana" w:cs="Times New Roman"/>
          <w:sz w:val="20"/>
          <w:szCs w:val="20"/>
        </w:rPr>
        <w:t xml:space="preserve"> de la Carta </w:t>
      </w:r>
      <w:r w:rsidR="00CA704D">
        <w:rPr>
          <w:rFonts w:ascii="Verdana" w:hAnsi="Verdana" w:cs="Times New Roman"/>
          <w:sz w:val="20"/>
          <w:szCs w:val="20"/>
        </w:rPr>
        <w:t xml:space="preserve">OEA. </w:t>
      </w:r>
    </w:p>
    <w:p w14:paraId="304EB2C7" w14:textId="77777777" w:rsidR="00CA704D" w:rsidRDefault="00CA704D" w:rsidP="00AD360E">
      <w:pPr>
        <w:pStyle w:val="ListParagraph"/>
        <w:widowControl w:val="0"/>
        <w:autoSpaceDE w:val="0"/>
        <w:autoSpaceDN w:val="0"/>
        <w:adjustRightInd w:val="0"/>
        <w:ind w:left="0" w:right="49"/>
        <w:jc w:val="both"/>
        <w:rPr>
          <w:rFonts w:ascii="Verdana" w:hAnsi="Verdana" w:cs="Times New Roman"/>
          <w:sz w:val="20"/>
          <w:szCs w:val="20"/>
        </w:rPr>
      </w:pPr>
    </w:p>
    <w:p w14:paraId="7FE29922" w14:textId="70BF722F" w:rsidR="008D2569" w:rsidRDefault="00CA704D"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En un ejercicio comparativo entre el artículo 8.1.a del Protocolo de San Salvador y el artículo 45 inciso c) de la Carta de la OEA</w:t>
      </w:r>
      <w:r w:rsidR="00BF1E46">
        <w:rPr>
          <w:rFonts w:ascii="Verdana" w:hAnsi="Verdana" w:cs="Times New Roman"/>
          <w:sz w:val="20"/>
          <w:szCs w:val="20"/>
        </w:rPr>
        <w:t>,</w:t>
      </w:r>
      <w:r>
        <w:rPr>
          <w:rFonts w:ascii="Verdana" w:hAnsi="Verdana" w:cs="Times New Roman"/>
          <w:sz w:val="20"/>
          <w:szCs w:val="20"/>
        </w:rPr>
        <w:t xml:space="preserve"> podemos arribar a algunas precisiones que resultan fundamentales para </w:t>
      </w:r>
      <w:r w:rsidR="00354EF9">
        <w:rPr>
          <w:rFonts w:ascii="Verdana" w:hAnsi="Verdana" w:cs="Times New Roman"/>
          <w:sz w:val="20"/>
          <w:szCs w:val="20"/>
        </w:rPr>
        <w:t xml:space="preserve">comprender el alcance del derecho de asociación laboral para </w:t>
      </w:r>
      <w:r w:rsidR="00F14D7D">
        <w:rPr>
          <w:rFonts w:ascii="Verdana" w:hAnsi="Verdana" w:cs="Times New Roman"/>
          <w:sz w:val="20"/>
          <w:szCs w:val="20"/>
        </w:rPr>
        <w:t xml:space="preserve">la </w:t>
      </w:r>
      <w:r w:rsidR="005B6191">
        <w:rPr>
          <w:rFonts w:ascii="Verdana" w:hAnsi="Verdana" w:cs="Times New Roman"/>
          <w:sz w:val="20"/>
          <w:szCs w:val="20"/>
        </w:rPr>
        <w:t xml:space="preserve">defensa y promoción de los intereses de los trabajadores en </w:t>
      </w:r>
      <w:r>
        <w:rPr>
          <w:rFonts w:ascii="Verdana" w:hAnsi="Verdana" w:cs="Times New Roman"/>
          <w:sz w:val="20"/>
          <w:szCs w:val="20"/>
        </w:rPr>
        <w:t xml:space="preserve">el presente caso: </w:t>
      </w:r>
    </w:p>
    <w:p w14:paraId="3FFC1460" w14:textId="77777777" w:rsidR="00ED5B40" w:rsidRPr="00AE10A0" w:rsidRDefault="00ED5B40" w:rsidP="00AD360E">
      <w:pPr>
        <w:pStyle w:val="ListParagraph"/>
        <w:widowControl w:val="0"/>
        <w:autoSpaceDE w:val="0"/>
        <w:autoSpaceDN w:val="0"/>
        <w:adjustRightInd w:val="0"/>
        <w:ind w:left="0" w:right="49"/>
        <w:jc w:val="both"/>
        <w:rPr>
          <w:rFonts w:ascii="Verdana" w:hAnsi="Verdana" w:cs="Times New Roman"/>
          <w:sz w:val="20"/>
          <w:szCs w:val="20"/>
        </w:rPr>
      </w:pPr>
    </w:p>
    <w:p w14:paraId="168FB04C" w14:textId="081C6D55" w:rsidR="00A5316E" w:rsidRPr="004E66B4" w:rsidRDefault="00F14D7D" w:rsidP="00AD360E">
      <w:pPr>
        <w:pStyle w:val="ListParagraph"/>
        <w:ind w:left="360" w:right="758"/>
        <w:jc w:val="center"/>
        <w:rPr>
          <w:rFonts w:ascii="Verdana" w:hAnsi="Verdana" w:cs="Times New Roman"/>
          <w:b/>
          <w:sz w:val="16"/>
          <w:szCs w:val="16"/>
        </w:rPr>
      </w:pPr>
      <w:r>
        <w:rPr>
          <w:rFonts w:ascii="Verdana" w:hAnsi="Verdana" w:cs="Times New Roman"/>
          <w:b/>
          <w:sz w:val="16"/>
          <w:szCs w:val="16"/>
        </w:rPr>
        <w:t>45. c)</w:t>
      </w:r>
      <w:r w:rsidR="00B05C28">
        <w:rPr>
          <w:rFonts w:ascii="Verdana" w:hAnsi="Verdana" w:cs="Times New Roman"/>
          <w:b/>
          <w:sz w:val="16"/>
          <w:szCs w:val="16"/>
        </w:rPr>
        <w:t xml:space="preserve"> </w:t>
      </w:r>
      <w:r w:rsidR="00A5316E" w:rsidRPr="004E66B4">
        <w:rPr>
          <w:rFonts w:ascii="Verdana" w:hAnsi="Verdana" w:cs="Times New Roman"/>
          <w:b/>
          <w:sz w:val="16"/>
          <w:szCs w:val="16"/>
        </w:rPr>
        <w:t xml:space="preserve"> Carta de la OEA</w:t>
      </w:r>
    </w:p>
    <w:p w14:paraId="216B109A" w14:textId="77777777" w:rsidR="00A5316E" w:rsidRPr="004E66B4" w:rsidRDefault="00A5316E" w:rsidP="00AD360E">
      <w:pPr>
        <w:pStyle w:val="ListParagraph"/>
        <w:ind w:left="360" w:right="758"/>
        <w:jc w:val="both"/>
        <w:rPr>
          <w:rFonts w:ascii="Verdana" w:hAnsi="Verdana" w:cs="Times New Roman"/>
          <w:b/>
          <w:sz w:val="16"/>
          <w:szCs w:val="16"/>
        </w:rPr>
      </w:pPr>
    </w:p>
    <w:p w14:paraId="1EFA0CB2" w14:textId="1BC6C15A" w:rsidR="007167E6" w:rsidRPr="004E66B4" w:rsidRDefault="00A5316E" w:rsidP="00AD360E">
      <w:pPr>
        <w:pStyle w:val="ListParagraph"/>
        <w:tabs>
          <w:tab w:val="left" w:pos="8080"/>
        </w:tabs>
        <w:ind w:left="709" w:right="758"/>
        <w:jc w:val="both"/>
        <w:rPr>
          <w:rFonts w:ascii="Verdana" w:hAnsi="Verdana" w:cs="Times New Roman"/>
          <w:sz w:val="16"/>
          <w:szCs w:val="16"/>
        </w:rPr>
      </w:pPr>
      <w:r w:rsidRPr="004E66B4">
        <w:rPr>
          <w:rFonts w:ascii="Verdana" w:hAnsi="Verdana" w:cs="Times New Roman"/>
          <w:b/>
          <w:sz w:val="16"/>
          <w:szCs w:val="16"/>
        </w:rPr>
        <w:t>Los empleadores y los trabajadores,</w:t>
      </w:r>
      <w:r w:rsidRPr="004E66B4">
        <w:rPr>
          <w:rFonts w:ascii="Verdana" w:hAnsi="Verdana" w:cs="Times New Roman"/>
          <w:sz w:val="16"/>
          <w:szCs w:val="16"/>
        </w:rPr>
        <w:t xml:space="preserve"> tanto rurales como urbanos, </w:t>
      </w:r>
      <w:r w:rsidRPr="00B05C28">
        <w:rPr>
          <w:rFonts w:ascii="Verdana" w:hAnsi="Verdana" w:cs="Times New Roman"/>
          <w:b/>
          <w:sz w:val="16"/>
          <w:szCs w:val="16"/>
        </w:rPr>
        <w:t>tienen el derecho de asociarse libremente para la defensa y promoción de sus intereses</w:t>
      </w:r>
      <w:r w:rsidRPr="004E66B4">
        <w:rPr>
          <w:rFonts w:ascii="Verdana" w:hAnsi="Verdana" w:cs="Times New Roman"/>
          <w:b/>
          <w:sz w:val="16"/>
          <w:szCs w:val="16"/>
        </w:rPr>
        <w:t>,</w:t>
      </w:r>
      <w:r w:rsidRPr="004E66B4">
        <w:rPr>
          <w:rFonts w:ascii="Verdana" w:hAnsi="Verdana" w:cs="Times New Roman"/>
          <w:sz w:val="16"/>
          <w:szCs w:val="16"/>
        </w:rPr>
        <w:t xml:space="preserve"> incluyendo el derecho de negociación colectiva y el de huelga por parte de los trabajadores, el reconocimiento de la personería jurídica de las asociaciones y la protección de su libertad e independencia, todo de conformidad con la legislación respectiva.</w:t>
      </w:r>
    </w:p>
    <w:p w14:paraId="68BA3434" w14:textId="77777777" w:rsidR="00414720" w:rsidRPr="004E66B4" w:rsidRDefault="00414720" w:rsidP="00AD360E">
      <w:pPr>
        <w:widowControl w:val="0"/>
        <w:autoSpaceDE w:val="0"/>
        <w:autoSpaceDN w:val="0"/>
        <w:adjustRightInd w:val="0"/>
        <w:ind w:right="49"/>
        <w:jc w:val="both"/>
        <w:rPr>
          <w:rFonts w:ascii="Verdana" w:hAnsi="Verdana" w:cs="Times New Roman"/>
          <w:sz w:val="20"/>
          <w:szCs w:val="20"/>
        </w:rPr>
      </w:pPr>
    </w:p>
    <w:p w14:paraId="08CF8C0F" w14:textId="3FB1991E" w:rsidR="00414720" w:rsidRPr="004E66B4" w:rsidRDefault="00414720" w:rsidP="00AD360E">
      <w:pPr>
        <w:ind w:right="758" w:firstLine="708"/>
        <w:jc w:val="center"/>
        <w:rPr>
          <w:rFonts w:ascii="Verdana" w:hAnsi="Verdana" w:cs="Times New Roman"/>
          <w:b/>
          <w:sz w:val="16"/>
          <w:szCs w:val="16"/>
        </w:rPr>
      </w:pPr>
      <w:r w:rsidRPr="004E66B4">
        <w:rPr>
          <w:rFonts w:ascii="Verdana" w:hAnsi="Verdana" w:cs="Times New Roman"/>
          <w:b/>
          <w:sz w:val="16"/>
          <w:szCs w:val="16"/>
        </w:rPr>
        <w:t>8.1</w:t>
      </w:r>
      <w:proofErr w:type="gramStart"/>
      <w:r w:rsidRPr="004E66B4">
        <w:rPr>
          <w:rFonts w:ascii="Verdana" w:hAnsi="Verdana" w:cs="Times New Roman"/>
          <w:b/>
          <w:sz w:val="16"/>
          <w:szCs w:val="16"/>
        </w:rPr>
        <w:t>.a</w:t>
      </w:r>
      <w:proofErr w:type="gramEnd"/>
      <w:r w:rsidRPr="004E66B4">
        <w:rPr>
          <w:rFonts w:ascii="Verdana" w:hAnsi="Verdana" w:cs="Times New Roman"/>
          <w:b/>
          <w:sz w:val="16"/>
          <w:szCs w:val="16"/>
        </w:rPr>
        <w:t xml:space="preserve"> Derechos Sindicales del Protocolo de San Salvador</w:t>
      </w:r>
    </w:p>
    <w:p w14:paraId="1B4BFCA7" w14:textId="77777777" w:rsidR="007167E6" w:rsidRPr="004E66B4" w:rsidRDefault="007167E6" w:rsidP="00AD360E">
      <w:pPr>
        <w:ind w:right="758" w:firstLine="708"/>
        <w:jc w:val="center"/>
        <w:rPr>
          <w:rFonts w:ascii="Verdana" w:hAnsi="Verdana" w:cs="Times New Roman"/>
          <w:b/>
          <w:sz w:val="16"/>
          <w:szCs w:val="16"/>
        </w:rPr>
      </w:pPr>
    </w:p>
    <w:p w14:paraId="1D3CC290" w14:textId="25F12B5A" w:rsidR="00414720" w:rsidRPr="004E66B4" w:rsidRDefault="00414720" w:rsidP="00AD360E">
      <w:pPr>
        <w:widowControl w:val="0"/>
        <w:autoSpaceDE w:val="0"/>
        <w:autoSpaceDN w:val="0"/>
        <w:adjustRightInd w:val="0"/>
        <w:ind w:left="708" w:right="758"/>
        <w:jc w:val="both"/>
        <w:rPr>
          <w:rFonts w:ascii="Verdana" w:hAnsi="Verdana" w:cs="Times New Roman"/>
          <w:sz w:val="16"/>
          <w:szCs w:val="16"/>
        </w:rPr>
      </w:pPr>
      <w:r w:rsidRPr="004E66B4">
        <w:rPr>
          <w:rFonts w:ascii="Verdana" w:hAnsi="Verdana" w:cs="Times New Roman"/>
          <w:sz w:val="16"/>
          <w:szCs w:val="16"/>
        </w:rPr>
        <w:t>1. Los Estados partes garantizarán: a</w:t>
      </w:r>
      <w:r w:rsidRPr="004E66B4">
        <w:rPr>
          <w:rFonts w:ascii="Verdana" w:hAnsi="Verdana" w:cs="Times New Roman"/>
          <w:b/>
          <w:sz w:val="16"/>
          <w:szCs w:val="16"/>
        </w:rPr>
        <w:t>. el derecho de los trabajadores a organizar sindicatos y a afiliarse al de su elección, para la protección y promoción de sus intereses.</w:t>
      </w:r>
      <w:r w:rsidRPr="004E66B4">
        <w:rPr>
          <w:rFonts w:ascii="Verdana" w:hAnsi="Verdana" w:cs="Times New Roman"/>
          <w:sz w:val="16"/>
          <w:szCs w:val="16"/>
        </w:rPr>
        <w:t xml:space="preserve"> Como proyección de este derecho, los Estados partes permitirán a los sindicatos formar federaciones y confederaciones nacionales y asociarse a las ya existentes, así como formar organizaciones sindicales internacionales y asociarse a la de su elección. Los Estados partes también permitirán que los sindicatos, federaciones y confederaciones funcionen libremente;</w:t>
      </w:r>
    </w:p>
    <w:p w14:paraId="5914FFDE" w14:textId="77777777" w:rsidR="00414720" w:rsidRPr="004E66B4" w:rsidRDefault="00414720" w:rsidP="00AD360E">
      <w:pPr>
        <w:widowControl w:val="0"/>
        <w:autoSpaceDE w:val="0"/>
        <w:autoSpaceDN w:val="0"/>
        <w:adjustRightInd w:val="0"/>
        <w:ind w:right="49"/>
        <w:jc w:val="both"/>
        <w:rPr>
          <w:rFonts w:ascii="Verdana" w:hAnsi="Verdana" w:cs="Times New Roman"/>
          <w:sz w:val="20"/>
          <w:szCs w:val="20"/>
        </w:rPr>
      </w:pPr>
    </w:p>
    <w:p w14:paraId="09C687C9" w14:textId="459B04DC" w:rsidR="00A5316E" w:rsidRPr="00BF1E46" w:rsidRDefault="00CA704D"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D</w:t>
      </w:r>
      <w:r w:rsidR="00A5316E" w:rsidRPr="004E66B4">
        <w:rPr>
          <w:rFonts w:ascii="Verdana" w:hAnsi="Verdana" w:cs="Times New Roman"/>
          <w:sz w:val="20"/>
          <w:szCs w:val="20"/>
        </w:rPr>
        <w:t xml:space="preserve">e la lectura </w:t>
      </w:r>
      <w:r w:rsidR="00AB52F3" w:rsidRPr="004E66B4">
        <w:rPr>
          <w:rFonts w:ascii="Verdana" w:hAnsi="Verdana" w:cs="Times New Roman"/>
          <w:sz w:val="20"/>
          <w:szCs w:val="20"/>
        </w:rPr>
        <w:t>entre el artículo 8.1</w:t>
      </w:r>
      <w:r>
        <w:rPr>
          <w:rFonts w:ascii="Verdana" w:hAnsi="Verdana" w:cs="Times New Roman"/>
          <w:sz w:val="20"/>
          <w:szCs w:val="20"/>
        </w:rPr>
        <w:t>.</w:t>
      </w:r>
      <w:r w:rsidR="00AB52F3" w:rsidRPr="004E66B4">
        <w:rPr>
          <w:rFonts w:ascii="Verdana" w:hAnsi="Verdana" w:cs="Times New Roman"/>
          <w:sz w:val="20"/>
          <w:szCs w:val="20"/>
        </w:rPr>
        <w:t>a</w:t>
      </w:r>
      <w:r>
        <w:rPr>
          <w:rFonts w:ascii="Verdana" w:hAnsi="Verdana" w:cs="Times New Roman"/>
          <w:sz w:val="20"/>
          <w:szCs w:val="20"/>
        </w:rPr>
        <w:t xml:space="preserve"> del Protocolo de San Salvador</w:t>
      </w:r>
      <w:r w:rsidR="00AB52F3" w:rsidRPr="004E66B4">
        <w:rPr>
          <w:rFonts w:ascii="Verdana" w:hAnsi="Verdana" w:cs="Times New Roman"/>
          <w:sz w:val="20"/>
          <w:szCs w:val="20"/>
        </w:rPr>
        <w:t xml:space="preserve"> y el artículo 45 inciso c) de la Carta de la OEA</w:t>
      </w:r>
      <w:r w:rsidR="00BF1E46">
        <w:rPr>
          <w:rFonts w:ascii="Verdana" w:hAnsi="Verdana" w:cs="Times New Roman"/>
          <w:sz w:val="20"/>
          <w:szCs w:val="20"/>
        </w:rPr>
        <w:t>, se aprecia que</w:t>
      </w:r>
      <w:r w:rsidR="00AB52F3" w:rsidRPr="004E66B4">
        <w:rPr>
          <w:rFonts w:ascii="Verdana" w:hAnsi="Verdana" w:cs="Times New Roman"/>
          <w:sz w:val="20"/>
          <w:szCs w:val="20"/>
        </w:rPr>
        <w:t xml:space="preserve"> </w:t>
      </w:r>
      <w:r w:rsidR="00AB52F3" w:rsidRPr="00BF1E46">
        <w:rPr>
          <w:rFonts w:ascii="Verdana" w:hAnsi="Verdana" w:cs="Times New Roman"/>
          <w:sz w:val="20"/>
          <w:szCs w:val="20"/>
        </w:rPr>
        <w:t xml:space="preserve">la diferencia estriba en quién es el titular </w:t>
      </w:r>
      <w:r w:rsidR="00AB52F3" w:rsidRPr="00BF1E46">
        <w:rPr>
          <w:rFonts w:ascii="Verdana" w:hAnsi="Verdana" w:cs="Times New Roman"/>
          <w:i/>
          <w:sz w:val="20"/>
          <w:szCs w:val="20"/>
        </w:rPr>
        <w:t xml:space="preserve">del derecho </w:t>
      </w:r>
      <w:r w:rsidR="00C60E33" w:rsidRPr="00BF1E46">
        <w:rPr>
          <w:rFonts w:ascii="Verdana" w:hAnsi="Verdana" w:cs="Times New Roman"/>
          <w:i/>
          <w:sz w:val="20"/>
          <w:szCs w:val="20"/>
        </w:rPr>
        <w:t xml:space="preserve">de asociación para </w:t>
      </w:r>
      <w:r w:rsidR="00B05C28">
        <w:rPr>
          <w:rFonts w:ascii="Verdana" w:hAnsi="Verdana" w:cs="Times New Roman"/>
          <w:i/>
          <w:sz w:val="20"/>
          <w:szCs w:val="20"/>
        </w:rPr>
        <w:t xml:space="preserve">la </w:t>
      </w:r>
      <w:r w:rsidR="00AB52F3" w:rsidRPr="00BF1E46">
        <w:rPr>
          <w:rFonts w:ascii="Verdana" w:hAnsi="Verdana" w:cs="Times New Roman"/>
          <w:i/>
          <w:sz w:val="20"/>
          <w:szCs w:val="20"/>
        </w:rPr>
        <w:t>protección/defensa y promoción  de sus intereses</w:t>
      </w:r>
      <w:r w:rsidR="00AB52F3" w:rsidRPr="00BF1E46">
        <w:rPr>
          <w:rFonts w:ascii="Verdana" w:hAnsi="Verdana" w:cs="Times New Roman"/>
          <w:sz w:val="20"/>
          <w:szCs w:val="20"/>
        </w:rPr>
        <w:t xml:space="preserve"> reconocido en ambos instrumentos</w:t>
      </w:r>
      <w:r w:rsidR="00B448A4">
        <w:rPr>
          <w:rFonts w:ascii="Verdana" w:hAnsi="Verdana" w:cs="Times New Roman"/>
          <w:sz w:val="20"/>
          <w:szCs w:val="20"/>
        </w:rPr>
        <w:t>. E</w:t>
      </w:r>
      <w:r w:rsidR="00AB52F3" w:rsidRPr="00BF1E46">
        <w:rPr>
          <w:rFonts w:ascii="Verdana" w:hAnsi="Verdana" w:cs="Times New Roman"/>
          <w:sz w:val="20"/>
          <w:szCs w:val="20"/>
        </w:rPr>
        <w:t xml:space="preserve">s decir, mientras que el primero se lo reconoce a </w:t>
      </w:r>
      <w:r w:rsidR="001B19E4">
        <w:rPr>
          <w:rFonts w:ascii="Verdana" w:hAnsi="Verdana" w:cs="Times New Roman"/>
          <w:sz w:val="20"/>
          <w:szCs w:val="20"/>
        </w:rPr>
        <w:t>los sindicatos (de manera especí</w:t>
      </w:r>
      <w:r w:rsidR="00AB52F3" w:rsidRPr="00BF1E46">
        <w:rPr>
          <w:rFonts w:ascii="Verdana" w:hAnsi="Verdana" w:cs="Times New Roman"/>
          <w:sz w:val="20"/>
          <w:szCs w:val="20"/>
        </w:rPr>
        <w:t>fica)</w:t>
      </w:r>
      <w:r w:rsidR="00BF1E46">
        <w:rPr>
          <w:rFonts w:ascii="Verdana" w:hAnsi="Verdana" w:cs="Times New Roman"/>
          <w:sz w:val="20"/>
          <w:szCs w:val="20"/>
        </w:rPr>
        <w:t>,</w:t>
      </w:r>
      <w:r w:rsidR="00AB52F3" w:rsidRPr="00BF1E46">
        <w:rPr>
          <w:rFonts w:ascii="Verdana" w:hAnsi="Verdana" w:cs="Times New Roman"/>
          <w:sz w:val="20"/>
          <w:szCs w:val="20"/>
        </w:rPr>
        <w:t xml:space="preserve"> el segundo lo hace de manera más general a las asociaciones de trabajadores sin condicionar a que sean </w:t>
      </w:r>
      <w:r w:rsidR="00AF3719" w:rsidRPr="00BF1E46">
        <w:rPr>
          <w:rFonts w:ascii="Verdana" w:hAnsi="Verdana" w:cs="Times New Roman"/>
          <w:sz w:val="20"/>
          <w:szCs w:val="20"/>
        </w:rPr>
        <w:t xml:space="preserve">o estén conformados como </w:t>
      </w:r>
      <w:r w:rsidR="00AB52F3" w:rsidRPr="00BF1E46">
        <w:rPr>
          <w:rFonts w:ascii="Verdana" w:hAnsi="Verdana" w:cs="Times New Roman"/>
          <w:sz w:val="20"/>
          <w:szCs w:val="20"/>
        </w:rPr>
        <w:t>sindicatos.</w:t>
      </w:r>
      <w:r w:rsidR="00A5316E" w:rsidRPr="00BF1E46">
        <w:rPr>
          <w:rFonts w:ascii="Verdana" w:hAnsi="Verdana" w:cs="Times New Roman"/>
          <w:sz w:val="20"/>
          <w:szCs w:val="20"/>
        </w:rPr>
        <w:t xml:space="preserve"> </w:t>
      </w:r>
    </w:p>
    <w:p w14:paraId="5C567FD0" w14:textId="77777777" w:rsidR="00C60E33" w:rsidRPr="004E66B4" w:rsidRDefault="00C60E33" w:rsidP="00AD360E">
      <w:pPr>
        <w:widowControl w:val="0"/>
        <w:autoSpaceDE w:val="0"/>
        <w:autoSpaceDN w:val="0"/>
        <w:adjustRightInd w:val="0"/>
        <w:ind w:right="49"/>
        <w:jc w:val="both"/>
        <w:rPr>
          <w:rFonts w:ascii="Verdana" w:hAnsi="Verdana" w:cs="Times New Roman"/>
          <w:sz w:val="20"/>
          <w:szCs w:val="20"/>
        </w:rPr>
      </w:pPr>
    </w:p>
    <w:p w14:paraId="7ED0A685" w14:textId="3018E6DA" w:rsidR="00C60E33" w:rsidRPr="00D36B44" w:rsidRDefault="00B448A4"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Así también, la Corte IDH al declarar violado</w:t>
      </w:r>
      <w:r w:rsidR="008A56A4" w:rsidRPr="004E66B4">
        <w:rPr>
          <w:rFonts w:ascii="Verdana" w:hAnsi="Verdana" w:cs="Times New Roman"/>
          <w:sz w:val="20"/>
          <w:szCs w:val="20"/>
        </w:rPr>
        <w:t xml:space="preserve"> el artículo 26</w:t>
      </w:r>
      <w:r>
        <w:rPr>
          <w:rFonts w:ascii="Verdana" w:hAnsi="Verdana" w:cs="Times New Roman"/>
          <w:sz w:val="20"/>
          <w:szCs w:val="20"/>
        </w:rPr>
        <w:t xml:space="preserve"> de la Convención Americana, concluye</w:t>
      </w:r>
      <w:r w:rsidR="008A56A4" w:rsidRPr="004E66B4">
        <w:rPr>
          <w:rFonts w:ascii="Verdana" w:hAnsi="Verdana" w:cs="Times New Roman"/>
          <w:sz w:val="20"/>
          <w:szCs w:val="20"/>
        </w:rPr>
        <w:t xml:space="preserve"> que </w:t>
      </w:r>
      <w:r w:rsidR="00C60E33" w:rsidRPr="004E66B4">
        <w:rPr>
          <w:rFonts w:ascii="Verdana" w:hAnsi="Verdana" w:cs="Times New Roman"/>
          <w:sz w:val="20"/>
          <w:szCs w:val="20"/>
        </w:rPr>
        <w:t xml:space="preserve">el derecho </w:t>
      </w:r>
      <w:r w:rsidR="00075518">
        <w:rPr>
          <w:rFonts w:ascii="Verdana" w:hAnsi="Verdana" w:cs="Times New Roman"/>
          <w:i/>
          <w:sz w:val="20"/>
          <w:szCs w:val="20"/>
        </w:rPr>
        <w:t xml:space="preserve">de defensa y promoción </w:t>
      </w:r>
      <w:r>
        <w:rPr>
          <w:rFonts w:ascii="Verdana" w:hAnsi="Verdana" w:cs="Times New Roman"/>
          <w:i/>
          <w:sz w:val="20"/>
          <w:szCs w:val="20"/>
        </w:rPr>
        <w:t>de</w:t>
      </w:r>
      <w:r w:rsidR="00C60E33" w:rsidRPr="004E66B4">
        <w:rPr>
          <w:rFonts w:ascii="Verdana" w:hAnsi="Verdana" w:cs="Times New Roman"/>
          <w:i/>
          <w:sz w:val="20"/>
          <w:szCs w:val="20"/>
        </w:rPr>
        <w:t xml:space="preserve"> intereses de los trabajadores mediante la </w:t>
      </w:r>
      <w:r w:rsidR="00C60E33" w:rsidRPr="00B448A4">
        <w:rPr>
          <w:rFonts w:ascii="Verdana" w:hAnsi="Verdana" w:cs="Times New Roman"/>
          <w:i/>
          <w:sz w:val="20"/>
          <w:szCs w:val="20"/>
          <w:u w:val="single"/>
        </w:rPr>
        <w:t>asociación</w:t>
      </w:r>
      <w:r>
        <w:rPr>
          <w:rFonts w:ascii="Verdana" w:hAnsi="Verdana" w:cs="Times New Roman"/>
          <w:i/>
          <w:sz w:val="20"/>
          <w:szCs w:val="20"/>
        </w:rPr>
        <w:t>,</w:t>
      </w:r>
      <w:r>
        <w:rPr>
          <w:rFonts w:ascii="Verdana" w:hAnsi="Verdana" w:cs="Times New Roman"/>
          <w:sz w:val="20"/>
          <w:szCs w:val="20"/>
        </w:rPr>
        <w:t xml:space="preserve"> puede ser válidamente exigible (derivado del mandato convencional), a través del artículo 26 del Pacto de San José; pues tal como</w:t>
      </w:r>
      <w:r w:rsidR="00C60E33" w:rsidRPr="004E66B4">
        <w:rPr>
          <w:rFonts w:ascii="Verdana" w:hAnsi="Verdana" w:cs="Times New Roman"/>
          <w:sz w:val="20"/>
          <w:szCs w:val="20"/>
        </w:rPr>
        <w:t xml:space="preserve"> lo ha referido la Sentencia</w:t>
      </w:r>
      <w:r w:rsidR="00761869">
        <w:rPr>
          <w:rFonts w:ascii="Verdana" w:hAnsi="Verdana" w:cs="Times New Roman"/>
          <w:sz w:val="20"/>
          <w:szCs w:val="20"/>
        </w:rPr>
        <w:t>,</w:t>
      </w:r>
      <w:r w:rsidR="00C60E33" w:rsidRPr="004E66B4">
        <w:rPr>
          <w:rFonts w:ascii="Verdana" w:hAnsi="Verdana" w:cs="Times New Roman"/>
          <w:sz w:val="20"/>
          <w:szCs w:val="20"/>
        </w:rPr>
        <w:t xml:space="preserve"> entre representantes de sindicatos y representantes de asociaciones laborales no hay diferencia alguna</w:t>
      </w:r>
      <w:r w:rsidR="00CE4E0E">
        <w:rPr>
          <w:rFonts w:ascii="Verdana" w:hAnsi="Verdana" w:cs="Times New Roman"/>
          <w:sz w:val="20"/>
          <w:szCs w:val="20"/>
        </w:rPr>
        <w:t xml:space="preserve">. </w:t>
      </w:r>
      <w:r w:rsidR="00D33168" w:rsidRPr="00D36B44">
        <w:rPr>
          <w:rFonts w:ascii="Verdana" w:hAnsi="Verdana" w:cs="Times New Roman"/>
          <w:sz w:val="20"/>
          <w:szCs w:val="20"/>
        </w:rPr>
        <w:t>Así</w:t>
      </w:r>
      <w:r w:rsidR="00BF1E46" w:rsidRPr="00D36B44">
        <w:rPr>
          <w:rFonts w:ascii="Verdana" w:hAnsi="Verdana" w:cs="Times New Roman"/>
          <w:sz w:val="20"/>
          <w:szCs w:val="20"/>
        </w:rPr>
        <w:t>,</w:t>
      </w:r>
      <w:r w:rsidR="002879B3" w:rsidRPr="00D36B44">
        <w:rPr>
          <w:rFonts w:ascii="Verdana" w:hAnsi="Verdana" w:cs="Times New Roman"/>
          <w:sz w:val="20"/>
          <w:szCs w:val="20"/>
        </w:rPr>
        <w:t xml:space="preserve"> mientras que la </w:t>
      </w:r>
      <w:r w:rsidR="00D33168" w:rsidRPr="00D36B44">
        <w:rPr>
          <w:rFonts w:ascii="Verdana" w:hAnsi="Verdana" w:cs="Times New Roman"/>
          <w:sz w:val="20"/>
          <w:szCs w:val="20"/>
        </w:rPr>
        <w:t>asociación sindical par</w:t>
      </w:r>
      <w:r w:rsidR="00BF1E46" w:rsidRPr="00D36B44">
        <w:rPr>
          <w:rFonts w:ascii="Verdana" w:hAnsi="Verdana" w:cs="Times New Roman"/>
          <w:sz w:val="20"/>
          <w:szCs w:val="20"/>
        </w:rPr>
        <w:t xml:space="preserve">a la defensa de los intereses </w:t>
      </w:r>
      <w:r w:rsidR="00D33168" w:rsidRPr="00D36B44">
        <w:rPr>
          <w:rFonts w:ascii="Verdana" w:hAnsi="Verdana" w:cs="Times New Roman"/>
          <w:sz w:val="20"/>
          <w:szCs w:val="20"/>
        </w:rPr>
        <w:t xml:space="preserve">puede ser invocada vía protocolo de San Salvador (8.1.a), de no haberse hecho justiciable vía </w:t>
      </w:r>
      <w:r>
        <w:rPr>
          <w:rFonts w:ascii="Verdana" w:hAnsi="Verdana" w:cs="Times New Roman"/>
          <w:sz w:val="20"/>
          <w:szCs w:val="20"/>
        </w:rPr>
        <w:t xml:space="preserve">artículo </w:t>
      </w:r>
      <w:r w:rsidR="00D33168" w:rsidRPr="00D36B44">
        <w:rPr>
          <w:rFonts w:ascii="Verdana" w:hAnsi="Verdana" w:cs="Times New Roman"/>
          <w:sz w:val="20"/>
          <w:szCs w:val="20"/>
        </w:rPr>
        <w:t>26</w:t>
      </w:r>
      <w:r>
        <w:rPr>
          <w:rFonts w:ascii="Verdana" w:hAnsi="Verdana" w:cs="Times New Roman"/>
          <w:sz w:val="20"/>
          <w:szCs w:val="20"/>
        </w:rPr>
        <w:t xml:space="preserve"> de la Convención Americana,</w:t>
      </w:r>
      <w:r w:rsidR="00D33168" w:rsidRPr="00D36B44">
        <w:rPr>
          <w:rFonts w:ascii="Verdana" w:hAnsi="Verdana" w:cs="Times New Roman"/>
          <w:sz w:val="20"/>
          <w:szCs w:val="20"/>
        </w:rPr>
        <w:t xml:space="preserve"> el derecho de “asociación laboral para la defensa de s</w:t>
      </w:r>
      <w:r w:rsidR="000C7DD1">
        <w:rPr>
          <w:rFonts w:ascii="Verdana" w:hAnsi="Verdana" w:cs="Times New Roman"/>
          <w:sz w:val="20"/>
          <w:szCs w:val="20"/>
        </w:rPr>
        <w:t xml:space="preserve">us intereses” hubiera </w:t>
      </w:r>
      <w:r w:rsidR="000C7DD1">
        <w:rPr>
          <w:rFonts w:ascii="Verdana" w:hAnsi="Verdana" w:cs="Times New Roman"/>
          <w:sz w:val="20"/>
          <w:szCs w:val="20"/>
        </w:rPr>
        <w:lastRenderedPageBreak/>
        <w:t>tenido</w:t>
      </w:r>
      <w:r w:rsidR="00D33168" w:rsidRPr="00D36B44">
        <w:rPr>
          <w:rFonts w:ascii="Verdana" w:hAnsi="Verdana" w:cs="Times New Roman"/>
          <w:sz w:val="20"/>
          <w:szCs w:val="20"/>
        </w:rPr>
        <w:t xml:space="preserve"> el riesgo de dejar sin protección internacional a personas que también merecen la protección por esta vertiente </w:t>
      </w:r>
      <w:r w:rsidR="000C7DD1">
        <w:rPr>
          <w:rFonts w:ascii="Verdana" w:hAnsi="Verdana" w:cs="Times New Roman"/>
          <w:sz w:val="20"/>
          <w:szCs w:val="20"/>
        </w:rPr>
        <w:t>en contextos laborales</w:t>
      </w:r>
      <w:r w:rsidR="000C7DD1" w:rsidRPr="008D2569">
        <w:rPr>
          <w:rStyle w:val="FootnoteReference"/>
          <w:rFonts w:ascii="Verdana" w:hAnsi="Verdana" w:cs="Times New Roman"/>
          <w:sz w:val="20"/>
          <w:szCs w:val="20"/>
        </w:rPr>
        <w:footnoteReference w:id="71"/>
      </w:r>
      <w:r w:rsidR="00D33168" w:rsidRPr="008D2569">
        <w:rPr>
          <w:rFonts w:ascii="Verdana" w:hAnsi="Verdana" w:cs="Times New Roman"/>
          <w:sz w:val="20"/>
          <w:szCs w:val="20"/>
        </w:rPr>
        <w:t>.</w:t>
      </w:r>
      <w:r w:rsidR="00D33168" w:rsidRPr="00D36B44">
        <w:rPr>
          <w:rFonts w:ascii="Verdana" w:hAnsi="Verdana" w:cs="Times New Roman"/>
          <w:sz w:val="20"/>
          <w:szCs w:val="20"/>
        </w:rPr>
        <w:t xml:space="preserve"> </w:t>
      </w:r>
    </w:p>
    <w:p w14:paraId="2DE117CE" w14:textId="77777777" w:rsidR="00C60E33" w:rsidRPr="004E66B4" w:rsidRDefault="00C60E33" w:rsidP="00AD360E">
      <w:pPr>
        <w:widowControl w:val="0"/>
        <w:autoSpaceDE w:val="0"/>
        <w:autoSpaceDN w:val="0"/>
        <w:adjustRightInd w:val="0"/>
        <w:ind w:right="49"/>
        <w:jc w:val="both"/>
        <w:rPr>
          <w:rFonts w:ascii="Verdana" w:hAnsi="Verdana" w:cs="Times New Roman"/>
          <w:sz w:val="20"/>
          <w:szCs w:val="20"/>
        </w:rPr>
      </w:pPr>
    </w:p>
    <w:p w14:paraId="6EDE813F" w14:textId="1ECC89F5" w:rsidR="002E0C2B" w:rsidRDefault="00C60E33"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sidRPr="004E66B4">
        <w:rPr>
          <w:rFonts w:ascii="Verdana" w:hAnsi="Verdana" w:cs="Times New Roman"/>
          <w:sz w:val="20"/>
          <w:szCs w:val="20"/>
        </w:rPr>
        <w:t xml:space="preserve">Sobre este punto, </w:t>
      </w:r>
      <w:r w:rsidR="00B448A4">
        <w:rPr>
          <w:rFonts w:ascii="Verdana" w:hAnsi="Verdana" w:cs="Times New Roman"/>
          <w:sz w:val="20"/>
          <w:szCs w:val="20"/>
        </w:rPr>
        <w:t>consider</w:t>
      </w:r>
      <w:r w:rsidR="004305F7">
        <w:rPr>
          <w:rFonts w:ascii="Verdana" w:hAnsi="Verdana" w:cs="Times New Roman"/>
          <w:sz w:val="20"/>
          <w:szCs w:val="20"/>
        </w:rPr>
        <w:t>o</w:t>
      </w:r>
      <w:r w:rsidR="00B448A4">
        <w:rPr>
          <w:rFonts w:ascii="Verdana" w:hAnsi="Verdana" w:cs="Times New Roman"/>
          <w:sz w:val="20"/>
          <w:szCs w:val="20"/>
        </w:rPr>
        <w:t xml:space="preserve"> que el hecho de</w:t>
      </w:r>
      <w:r w:rsidR="00075518">
        <w:rPr>
          <w:rFonts w:ascii="Verdana" w:hAnsi="Verdana" w:cs="Times New Roman"/>
          <w:sz w:val="20"/>
          <w:szCs w:val="20"/>
        </w:rPr>
        <w:t xml:space="preserve"> que la Corte IDH</w:t>
      </w:r>
      <w:r w:rsidRPr="004E66B4">
        <w:rPr>
          <w:rFonts w:ascii="Verdana" w:hAnsi="Verdana" w:cs="Times New Roman"/>
          <w:sz w:val="20"/>
          <w:szCs w:val="20"/>
        </w:rPr>
        <w:t xml:space="preserve"> se pronuncie sobre la </w:t>
      </w:r>
      <w:proofErr w:type="spellStart"/>
      <w:r w:rsidRPr="004E66B4">
        <w:rPr>
          <w:rFonts w:ascii="Verdana" w:hAnsi="Verdana" w:cs="Times New Roman"/>
          <w:sz w:val="20"/>
          <w:szCs w:val="20"/>
        </w:rPr>
        <w:t>justiciabilidad</w:t>
      </w:r>
      <w:proofErr w:type="spellEnd"/>
      <w:r w:rsidRPr="004E66B4">
        <w:rPr>
          <w:rFonts w:ascii="Verdana" w:hAnsi="Verdana" w:cs="Times New Roman"/>
          <w:sz w:val="20"/>
          <w:szCs w:val="20"/>
        </w:rPr>
        <w:t xml:space="preserve"> de derechos no contemplados en el art. 19.6 del Protocolo de San Salvador</w:t>
      </w:r>
      <w:r w:rsidR="00B448A4">
        <w:rPr>
          <w:rFonts w:ascii="Verdana" w:hAnsi="Verdana" w:cs="Times New Roman"/>
          <w:sz w:val="20"/>
          <w:szCs w:val="20"/>
        </w:rPr>
        <w:t>,</w:t>
      </w:r>
      <w:r w:rsidRPr="004E66B4">
        <w:rPr>
          <w:rFonts w:ascii="Verdana" w:hAnsi="Verdana" w:cs="Times New Roman"/>
          <w:sz w:val="20"/>
          <w:szCs w:val="20"/>
        </w:rPr>
        <w:t xml:space="preserve"> mediante el artículo 26 de la Convención Americana</w:t>
      </w:r>
      <w:r w:rsidR="00BF1E46">
        <w:rPr>
          <w:rFonts w:ascii="Verdana" w:hAnsi="Verdana" w:cs="Times New Roman"/>
          <w:sz w:val="20"/>
          <w:szCs w:val="20"/>
        </w:rPr>
        <w:t>,</w:t>
      </w:r>
      <w:r w:rsidRPr="004E66B4">
        <w:rPr>
          <w:rFonts w:ascii="Verdana" w:hAnsi="Verdana" w:cs="Times New Roman"/>
          <w:sz w:val="20"/>
          <w:szCs w:val="20"/>
        </w:rPr>
        <w:t xml:space="preserve"> cobra especial relevancia. En primer lugar, porque como fue expuesto, no todos los derechos sociales fueron contemplados en el Protocolo de San Salvador </w:t>
      </w:r>
      <w:r w:rsidR="00D33168">
        <w:rPr>
          <w:rFonts w:ascii="Verdana" w:hAnsi="Verdana" w:cs="Times New Roman"/>
          <w:sz w:val="20"/>
          <w:szCs w:val="20"/>
        </w:rPr>
        <w:t xml:space="preserve">cuando fue redactado </w:t>
      </w:r>
      <w:r w:rsidRPr="004E66B4">
        <w:rPr>
          <w:rFonts w:ascii="Verdana" w:hAnsi="Verdana" w:cs="Times New Roman"/>
          <w:sz w:val="20"/>
          <w:szCs w:val="20"/>
        </w:rPr>
        <w:t>ni todas sus vert</w:t>
      </w:r>
      <w:r w:rsidR="00B448A4">
        <w:rPr>
          <w:rFonts w:ascii="Verdana" w:hAnsi="Verdana" w:cs="Times New Roman"/>
          <w:sz w:val="20"/>
          <w:szCs w:val="20"/>
        </w:rPr>
        <w:t>ientes. E</w:t>
      </w:r>
      <w:r w:rsidRPr="004E66B4">
        <w:rPr>
          <w:rFonts w:ascii="Verdana" w:hAnsi="Verdana" w:cs="Times New Roman"/>
          <w:sz w:val="20"/>
          <w:szCs w:val="20"/>
        </w:rPr>
        <w:t>n segundo lugar, porque se evitaría hacer distinciones de grados en cu</w:t>
      </w:r>
      <w:r w:rsidR="00BF1E46">
        <w:rPr>
          <w:rFonts w:ascii="Verdana" w:hAnsi="Verdana" w:cs="Times New Roman"/>
          <w:sz w:val="20"/>
          <w:szCs w:val="20"/>
        </w:rPr>
        <w:t>anto a quié</w:t>
      </w:r>
      <w:r w:rsidR="00B448A4">
        <w:rPr>
          <w:rFonts w:ascii="Verdana" w:hAnsi="Verdana" w:cs="Times New Roman"/>
          <w:sz w:val="20"/>
          <w:szCs w:val="20"/>
        </w:rPr>
        <w:t>nes sí</w:t>
      </w:r>
      <w:r w:rsidRPr="004E66B4">
        <w:rPr>
          <w:rFonts w:ascii="Verdana" w:hAnsi="Verdana" w:cs="Times New Roman"/>
          <w:sz w:val="20"/>
          <w:szCs w:val="20"/>
        </w:rPr>
        <w:t xml:space="preserve"> se </w:t>
      </w:r>
      <w:r w:rsidR="00B448A4">
        <w:rPr>
          <w:rFonts w:ascii="Verdana" w:hAnsi="Verdana" w:cs="Times New Roman"/>
          <w:sz w:val="20"/>
          <w:szCs w:val="20"/>
        </w:rPr>
        <w:t xml:space="preserve">les </w:t>
      </w:r>
      <w:r w:rsidRPr="004E66B4">
        <w:rPr>
          <w:rFonts w:ascii="Verdana" w:hAnsi="Verdana" w:cs="Times New Roman"/>
          <w:sz w:val="20"/>
          <w:szCs w:val="20"/>
        </w:rPr>
        <w:t>puede, o no</w:t>
      </w:r>
      <w:r w:rsidR="00D33168">
        <w:rPr>
          <w:rFonts w:ascii="Verdana" w:hAnsi="Verdana" w:cs="Times New Roman"/>
          <w:sz w:val="20"/>
          <w:szCs w:val="20"/>
        </w:rPr>
        <w:t xml:space="preserve">, </w:t>
      </w:r>
      <w:r w:rsidRPr="004E66B4">
        <w:rPr>
          <w:rFonts w:ascii="Verdana" w:hAnsi="Verdana" w:cs="Times New Roman"/>
          <w:sz w:val="20"/>
          <w:szCs w:val="20"/>
        </w:rPr>
        <w:t>proteger</w:t>
      </w:r>
      <w:r w:rsidR="00B448A4">
        <w:rPr>
          <w:rFonts w:ascii="Verdana" w:hAnsi="Verdana" w:cs="Times New Roman"/>
          <w:sz w:val="20"/>
          <w:szCs w:val="20"/>
        </w:rPr>
        <w:t xml:space="preserve"> el derecho</w:t>
      </w:r>
      <w:r w:rsidRPr="004E66B4">
        <w:rPr>
          <w:rFonts w:ascii="Verdana" w:hAnsi="Verdana" w:cs="Times New Roman"/>
          <w:sz w:val="20"/>
          <w:szCs w:val="20"/>
        </w:rPr>
        <w:t xml:space="preserve">, por la </w:t>
      </w:r>
      <w:r w:rsidR="00D33168">
        <w:rPr>
          <w:rFonts w:ascii="Verdana" w:hAnsi="Verdana" w:cs="Times New Roman"/>
          <w:sz w:val="20"/>
          <w:szCs w:val="20"/>
        </w:rPr>
        <w:t xml:space="preserve">restricción que hace </w:t>
      </w:r>
      <w:r w:rsidR="00D33168" w:rsidRPr="004E66B4">
        <w:rPr>
          <w:rFonts w:ascii="Verdana" w:hAnsi="Verdana" w:cs="Times New Roman"/>
          <w:sz w:val="20"/>
          <w:szCs w:val="20"/>
        </w:rPr>
        <w:t xml:space="preserve"> </w:t>
      </w:r>
      <w:r w:rsidRPr="004E66B4">
        <w:rPr>
          <w:rFonts w:ascii="Verdana" w:hAnsi="Verdana" w:cs="Times New Roman"/>
          <w:sz w:val="20"/>
          <w:szCs w:val="20"/>
        </w:rPr>
        <w:t>del art</w:t>
      </w:r>
      <w:r w:rsidR="008A56A4" w:rsidRPr="004E66B4">
        <w:rPr>
          <w:rFonts w:ascii="Verdana" w:hAnsi="Verdana" w:cs="Times New Roman"/>
          <w:sz w:val="20"/>
          <w:szCs w:val="20"/>
        </w:rPr>
        <w:t>ículo</w:t>
      </w:r>
      <w:r w:rsidRPr="004E66B4">
        <w:rPr>
          <w:rFonts w:ascii="Verdana" w:hAnsi="Verdana" w:cs="Times New Roman"/>
          <w:sz w:val="20"/>
          <w:szCs w:val="20"/>
        </w:rPr>
        <w:t xml:space="preserve"> 19.6 </w:t>
      </w:r>
      <w:r w:rsidR="00D33168">
        <w:rPr>
          <w:rFonts w:ascii="Verdana" w:hAnsi="Verdana" w:cs="Times New Roman"/>
          <w:sz w:val="20"/>
          <w:szCs w:val="20"/>
        </w:rPr>
        <w:t xml:space="preserve">del Protocolo de San Salvador </w:t>
      </w:r>
      <w:r w:rsidRPr="004E66B4">
        <w:rPr>
          <w:rFonts w:ascii="Verdana" w:hAnsi="Verdana" w:cs="Times New Roman"/>
          <w:sz w:val="20"/>
          <w:szCs w:val="20"/>
        </w:rPr>
        <w:t>(en este caso sólo de las asociaciones sindicales y de sus representantes).</w:t>
      </w:r>
    </w:p>
    <w:p w14:paraId="5318BB5D" w14:textId="77777777" w:rsidR="00CE4E0E" w:rsidRPr="005B6191" w:rsidRDefault="00CE4E0E" w:rsidP="00AD360E">
      <w:pPr>
        <w:widowControl w:val="0"/>
        <w:autoSpaceDE w:val="0"/>
        <w:autoSpaceDN w:val="0"/>
        <w:adjustRightInd w:val="0"/>
        <w:ind w:right="49"/>
        <w:jc w:val="both"/>
        <w:rPr>
          <w:rFonts w:ascii="Verdana" w:hAnsi="Verdana" w:cs="Times New Roman"/>
          <w:sz w:val="20"/>
          <w:szCs w:val="20"/>
        </w:rPr>
      </w:pPr>
    </w:p>
    <w:p w14:paraId="78451C3A" w14:textId="170F82A1" w:rsidR="001978FB" w:rsidRPr="00ED5B40" w:rsidRDefault="00CE4E0E" w:rsidP="00AD360E">
      <w:pPr>
        <w:pStyle w:val="ListParagraph"/>
        <w:widowControl w:val="0"/>
        <w:numPr>
          <w:ilvl w:val="0"/>
          <w:numId w:val="2"/>
        </w:numPr>
        <w:autoSpaceDE w:val="0"/>
        <w:autoSpaceDN w:val="0"/>
        <w:adjustRightInd w:val="0"/>
        <w:ind w:left="0" w:right="49" w:firstLine="0"/>
        <w:jc w:val="both"/>
        <w:rPr>
          <w:rFonts w:ascii="Verdana" w:hAnsi="Verdana" w:cs="Times New Roman"/>
          <w:sz w:val="20"/>
          <w:szCs w:val="20"/>
        </w:rPr>
      </w:pPr>
      <w:r>
        <w:rPr>
          <w:rFonts w:ascii="Verdana" w:hAnsi="Verdana" w:cs="Times New Roman"/>
          <w:sz w:val="20"/>
          <w:szCs w:val="20"/>
        </w:rPr>
        <w:t xml:space="preserve">Sin detrimento de lo anterior, considero que el Tribunal Interamericano pudo haber </w:t>
      </w:r>
      <w:r w:rsidR="004E7851">
        <w:rPr>
          <w:rFonts w:ascii="Verdana" w:hAnsi="Verdana" w:cs="Times New Roman"/>
          <w:sz w:val="20"/>
          <w:szCs w:val="20"/>
        </w:rPr>
        <w:t>utilizado</w:t>
      </w:r>
      <w:r w:rsidR="00B448A4">
        <w:rPr>
          <w:rFonts w:ascii="Verdana" w:hAnsi="Verdana" w:cs="Times New Roman"/>
          <w:sz w:val="20"/>
          <w:szCs w:val="20"/>
        </w:rPr>
        <w:t>,</w:t>
      </w:r>
      <w:r>
        <w:rPr>
          <w:rFonts w:ascii="Verdana" w:hAnsi="Verdana" w:cs="Times New Roman"/>
          <w:sz w:val="20"/>
          <w:szCs w:val="20"/>
        </w:rPr>
        <w:t xml:space="preserve"> </w:t>
      </w:r>
      <w:r w:rsidR="005B6191">
        <w:rPr>
          <w:rFonts w:ascii="Verdana" w:hAnsi="Verdana" w:cs="Times New Roman"/>
          <w:sz w:val="20"/>
          <w:szCs w:val="20"/>
        </w:rPr>
        <w:t>para dar mayor claridad a la violación del derecho de asociación laboral</w:t>
      </w:r>
      <w:r w:rsidR="00B448A4">
        <w:rPr>
          <w:rFonts w:ascii="Verdana" w:hAnsi="Verdana" w:cs="Times New Roman"/>
          <w:sz w:val="20"/>
          <w:szCs w:val="20"/>
        </w:rPr>
        <w:t>,</w:t>
      </w:r>
      <w:r w:rsidR="005B6191">
        <w:rPr>
          <w:rFonts w:ascii="Verdana" w:hAnsi="Verdana" w:cs="Times New Roman"/>
          <w:sz w:val="20"/>
          <w:szCs w:val="20"/>
        </w:rPr>
        <w:t xml:space="preserve"> </w:t>
      </w:r>
      <w:r>
        <w:rPr>
          <w:rFonts w:ascii="Verdana" w:hAnsi="Verdana" w:cs="Times New Roman"/>
          <w:sz w:val="20"/>
          <w:szCs w:val="20"/>
        </w:rPr>
        <w:t xml:space="preserve">el </w:t>
      </w:r>
      <w:r w:rsidRPr="00CE4E0E">
        <w:rPr>
          <w:rFonts w:ascii="Verdana" w:hAnsi="Verdana" w:cs="Times New Roman"/>
          <w:sz w:val="20"/>
          <w:szCs w:val="20"/>
        </w:rPr>
        <w:t xml:space="preserve">artículo 29 </w:t>
      </w:r>
      <w:r w:rsidR="00B448A4">
        <w:rPr>
          <w:rFonts w:ascii="Verdana" w:hAnsi="Verdana" w:cs="Times New Roman"/>
          <w:sz w:val="20"/>
          <w:szCs w:val="20"/>
        </w:rPr>
        <w:t xml:space="preserve">incisos </w:t>
      </w:r>
      <w:r w:rsidRPr="00CE4E0E">
        <w:rPr>
          <w:rFonts w:ascii="Verdana" w:hAnsi="Verdana" w:cs="Times New Roman"/>
          <w:sz w:val="20"/>
          <w:szCs w:val="20"/>
        </w:rPr>
        <w:t>b) y d) de la Convención Americana</w:t>
      </w:r>
      <w:r w:rsidR="00BF1E46">
        <w:rPr>
          <w:rFonts w:ascii="Verdana" w:hAnsi="Verdana" w:cs="Times New Roman"/>
          <w:sz w:val="20"/>
          <w:szCs w:val="20"/>
        </w:rPr>
        <w:t>,</w:t>
      </w:r>
      <w:r>
        <w:rPr>
          <w:rFonts w:ascii="Verdana" w:hAnsi="Verdana" w:cs="Times New Roman"/>
          <w:sz w:val="20"/>
          <w:szCs w:val="20"/>
        </w:rPr>
        <w:t xml:space="preserve"> como normas de interpretación en relación </w:t>
      </w:r>
      <w:r w:rsidR="00305AB2">
        <w:rPr>
          <w:rFonts w:ascii="Verdana" w:hAnsi="Verdana" w:cs="Times New Roman"/>
          <w:sz w:val="20"/>
          <w:szCs w:val="20"/>
        </w:rPr>
        <w:t>con el</w:t>
      </w:r>
      <w:r>
        <w:rPr>
          <w:rFonts w:ascii="Verdana" w:hAnsi="Verdana" w:cs="Times New Roman"/>
          <w:sz w:val="20"/>
          <w:szCs w:val="20"/>
        </w:rPr>
        <w:t xml:space="preserve"> artículo 26 de la Convención Americana y el artículo 45 inciso c) de la Carta de la OEA</w:t>
      </w:r>
      <w:r w:rsidR="00B448A4">
        <w:rPr>
          <w:rFonts w:ascii="Verdana" w:hAnsi="Verdana" w:cs="Times New Roman"/>
          <w:sz w:val="20"/>
          <w:szCs w:val="20"/>
        </w:rPr>
        <w:t>; y no so</w:t>
      </w:r>
      <w:r>
        <w:rPr>
          <w:rFonts w:ascii="Verdana" w:hAnsi="Verdana" w:cs="Times New Roman"/>
          <w:sz w:val="20"/>
          <w:szCs w:val="20"/>
        </w:rPr>
        <w:t>lo referirlo</w:t>
      </w:r>
      <w:r w:rsidR="00B448A4">
        <w:rPr>
          <w:rFonts w:ascii="Verdana" w:hAnsi="Verdana" w:cs="Times New Roman"/>
          <w:sz w:val="20"/>
          <w:szCs w:val="20"/>
        </w:rPr>
        <w:t xml:space="preserve"> al</w:t>
      </w:r>
      <w:r>
        <w:rPr>
          <w:rFonts w:ascii="Verdana" w:hAnsi="Verdana" w:cs="Times New Roman"/>
          <w:sz w:val="20"/>
          <w:szCs w:val="20"/>
        </w:rPr>
        <w:t xml:space="preserve"> artículo 16 del Pacto de San José</w:t>
      </w:r>
      <w:r w:rsidR="00B448A4">
        <w:rPr>
          <w:rFonts w:ascii="Verdana" w:hAnsi="Verdana" w:cs="Times New Roman"/>
          <w:sz w:val="20"/>
          <w:szCs w:val="20"/>
        </w:rPr>
        <w:t>. Lo anterior, debido a que</w:t>
      </w:r>
      <w:r>
        <w:rPr>
          <w:rFonts w:ascii="Verdana" w:hAnsi="Verdana" w:cs="Times New Roman"/>
          <w:sz w:val="20"/>
          <w:szCs w:val="20"/>
        </w:rPr>
        <w:t xml:space="preserve"> se puede correr el riesgo </w:t>
      </w:r>
      <w:r w:rsidR="00B448A4">
        <w:rPr>
          <w:rFonts w:ascii="Verdana" w:hAnsi="Verdana" w:cs="Times New Roman"/>
          <w:sz w:val="20"/>
          <w:szCs w:val="20"/>
        </w:rPr>
        <w:t xml:space="preserve">de </w:t>
      </w:r>
      <w:r>
        <w:rPr>
          <w:rFonts w:ascii="Verdana" w:hAnsi="Verdana" w:cs="Times New Roman"/>
          <w:sz w:val="20"/>
          <w:szCs w:val="20"/>
        </w:rPr>
        <w:t>que el contenido del derecho de asociación laboral para la promoción y la defensa de los intereses de los trabajadores</w:t>
      </w:r>
      <w:r w:rsidR="00C4526E">
        <w:rPr>
          <w:rFonts w:ascii="Verdana" w:hAnsi="Verdana" w:cs="Times New Roman"/>
          <w:sz w:val="20"/>
          <w:szCs w:val="20"/>
        </w:rPr>
        <w:t xml:space="preserve"> (</w:t>
      </w:r>
      <w:r w:rsidR="00C4526E" w:rsidRPr="0047617E">
        <w:rPr>
          <w:rFonts w:ascii="Verdana" w:hAnsi="Verdana" w:cs="Times New Roman"/>
          <w:i/>
          <w:sz w:val="20"/>
          <w:szCs w:val="20"/>
        </w:rPr>
        <w:t>stricto sensu</w:t>
      </w:r>
      <w:r w:rsidR="00C4526E">
        <w:rPr>
          <w:rFonts w:ascii="Verdana" w:hAnsi="Verdana" w:cs="Times New Roman"/>
          <w:sz w:val="20"/>
          <w:szCs w:val="20"/>
        </w:rPr>
        <w:t>)</w:t>
      </w:r>
      <w:r>
        <w:rPr>
          <w:rFonts w:ascii="Verdana" w:hAnsi="Verdana" w:cs="Times New Roman"/>
          <w:sz w:val="20"/>
          <w:szCs w:val="20"/>
        </w:rPr>
        <w:t xml:space="preserve"> se diluya en el contenido del derecho de asociación (</w:t>
      </w:r>
      <w:r w:rsidRPr="005B6191">
        <w:rPr>
          <w:rFonts w:ascii="Verdana" w:hAnsi="Verdana" w:cs="Times New Roman"/>
          <w:i/>
          <w:sz w:val="20"/>
          <w:szCs w:val="20"/>
        </w:rPr>
        <w:t>lato sensu</w:t>
      </w:r>
      <w:r w:rsidRPr="008D2569">
        <w:rPr>
          <w:rFonts w:ascii="Verdana" w:hAnsi="Verdana" w:cs="Times New Roman"/>
          <w:i/>
          <w:sz w:val="20"/>
          <w:szCs w:val="20"/>
        </w:rPr>
        <w:t>)</w:t>
      </w:r>
      <w:r w:rsidR="000C7DD1" w:rsidRPr="008D2569">
        <w:rPr>
          <w:rStyle w:val="FootnoteReference"/>
          <w:rFonts w:ascii="Verdana" w:hAnsi="Verdana" w:cs="Times New Roman"/>
          <w:color w:val="FF0000"/>
          <w:sz w:val="20"/>
          <w:szCs w:val="20"/>
        </w:rPr>
        <w:t xml:space="preserve"> </w:t>
      </w:r>
      <w:r w:rsidR="000C7DD1" w:rsidRPr="008D2569">
        <w:rPr>
          <w:rStyle w:val="FootnoteReference"/>
          <w:rFonts w:ascii="Verdana" w:hAnsi="Verdana" w:cs="Times New Roman"/>
          <w:sz w:val="20"/>
          <w:szCs w:val="20"/>
        </w:rPr>
        <w:footnoteReference w:id="72"/>
      </w:r>
      <w:r w:rsidR="008E601F">
        <w:rPr>
          <w:rFonts w:ascii="Verdana" w:hAnsi="Verdana" w:cs="Times New Roman"/>
          <w:i/>
          <w:sz w:val="20"/>
          <w:szCs w:val="20"/>
        </w:rPr>
        <w:t xml:space="preserve">. </w:t>
      </w:r>
    </w:p>
    <w:p w14:paraId="6C69C15E" w14:textId="77777777" w:rsidR="00374FA9" w:rsidRPr="00AE10A0" w:rsidRDefault="00374FA9" w:rsidP="00AD360E">
      <w:pPr>
        <w:pStyle w:val="ListParagraph"/>
        <w:widowControl w:val="0"/>
        <w:autoSpaceDE w:val="0"/>
        <w:autoSpaceDN w:val="0"/>
        <w:adjustRightInd w:val="0"/>
        <w:ind w:left="0" w:right="49"/>
        <w:jc w:val="both"/>
        <w:rPr>
          <w:rFonts w:ascii="Verdana" w:hAnsi="Verdana" w:cs="Times New Roman"/>
          <w:sz w:val="20"/>
          <w:szCs w:val="20"/>
        </w:rPr>
      </w:pPr>
    </w:p>
    <w:p w14:paraId="2DEF30F7" w14:textId="7E7B4122" w:rsidR="005F3074" w:rsidRDefault="001D1F4D" w:rsidP="00AD360E">
      <w:pPr>
        <w:jc w:val="center"/>
        <w:rPr>
          <w:rFonts w:ascii="Verdana" w:hAnsi="Verdana"/>
          <w:sz w:val="20"/>
          <w:szCs w:val="20"/>
        </w:rPr>
      </w:pPr>
      <w:r w:rsidRPr="00E1438E">
        <w:rPr>
          <w:rFonts w:ascii="Verdana" w:hAnsi="Verdana" w:cs="Times New Roman"/>
          <w:sz w:val="20"/>
          <w:szCs w:val="20"/>
        </w:rPr>
        <w:t>I</w:t>
      </w:r>
      <w:r w:rsidR="00003E98" w:rsidRPr="00E1438E">
        <w:rPr>
          <w:rFonts w:ascii="Verdana" w:hAnsi="Verdana" w:cs="Times New Roman"/>
          <w:sz w:val="20"/>
          <w:szCs w:val="20"/>
        </w:rPr>
        <w:t>V</w:t>
      </w:r>
      <w:r w:rsidR="008D7FA8" w:rsidRPr="00E1438E">
        <w:rPr>
          <w:rFonts w:ascii="Verdana" w:hAnsi="Verdana" w:cs="Times New Roman"/>
          <w:sz w:val="20"/>
          <w:szCs w:val="20"/>
        </w:rPr>
        <w:t>.</w:t>
      </w:r>
      <w:r w:rsidR="00374FA9">
        <w:rPr>
          <w:rFonts w:ascii="Verdana" w:hAnsi="Verdana" w:cs="Times New Roman"/>
          <w:sz w:val="20"/>
          <w:szCs w:val="20"/>
        </w:rPr>
        <w:t xml:space="preserve"> </w:t>
      </w:r>
      <w:r w:rsidR="008D7FA8" w:rsidRPr="00E1438E">
        <w:rPr>
          <w:rFonts w:ascii="Verdana" w:hAnsi="Verdana" w:cs="Times New Roman"/>
          <w:sz w:val="20"/>
          <w:szCs w:val="20"/>
        </w:rPr>
        <w:t xml:space="preserve"> </w:t>
      </w:r>
      <w:r w:rsidR="000A01B7" w:rsidRPr="00E1438E">
        <w:rPr>
          <w:rFonts w:ascii="Verdana" w:hAnsi="Verdana" w:cs="Times New Roman"/>
          <w:sz w:val="20"/>
          <w:szCs w:val="20"/>
        </w:rPr>
        <w:t>CONCLUSIONES</w:t>
      </w:r>
      <w:r w:rsidR="005F3074" w:rsidRPr="00E1438E">
        <w:rPr>
          <w:rFonts w:ascii="Verdana" w:hAnsi="Verdana"/>
          <w:sz w:val="20"/>
          <w:szCs w:val="20"/>
        </w:rPr>
        <w:t xml:space="preserve"> </w:t>
      </w:r>
    </w:p>
    <w:p w14:paraId="597EB16E" w14:textId="77777777" w:rsidR="00374FA9" w:rsidRPr="00E1438E" w:rsidRDefault="00374FA9" w:rsidP="001C21C2">
      <w:pPr>
        <w:rPr>
          <w:rFonts w:ascii="Verdana" w:hAnsi="Verdana" w:cs="Times New Roman"/>
          <w:sz w:val="20"/>
          <w:szCs w:val="20"/>
        </w:rPr>
      </w:pPr>
    </w:p>
    <w:p w14:paraId="6244BE12" w14:textId="701E8D6D" w:rsidR="001D0833" w:rsidRPr="001D0833" w:rsidRDefault="007E1678" w:rsidP="00AD360E">
      <w:pPr>
        <w:pStyle w:val="ListParagraph"/>
        <w:numPr>
          <w:ilvl w:val="0"/>
          <w:numId w:val="2"/>
        </w:numPr>
        <w:ind w:left="0" w:firstLine="0"/>
        <w:jc w:val="both"/>
        <w:rPr>
          <w:rFonts w:ascii="Times" w:hAnsi="Times" w:cs="Times New Roman"/>
          <w:sz w:val="20"/>
          <w:szCs w:val="20"/>
        </w:rPr>
      </w:pPr>
      <w:r>
        <w:rPr>
          <w:rFonts w:ascii="Verdana" w:hAnsi="Verdana" w:cs="Times New Roman"/>
          <w:sz w:val="20"/>
          <w:szCs w:val="20"/>
        </w:rPr>
        <w:t>En muy</w:t>
      </w:r>
      <w:r w:rsidRPr="000E2881">
        <w:rPr>
          <w:rFonts w:ascii="Verdana" w:hAnsi="Verdana" w:cs="Times New Roman"/>
          <w:sz w:val="20"/>
          <w:szCs w:val="20"/>
        </w:rPr>
        <w:t xml:space="preserve"> pocos casos </w:t>
      </w:r>
      <w:r>
        <w:rPr>
          <w:rFonts w:ascii="Verdana" w:hAnsi="Verdana" w:cs="Times New Roman"/>
          <w:sz w:val="20"/>
          <w:szCs w:val="20"/>
        </w:rPr>
        <w:t xml:space="preserve">la Corte IDH </w:t>
      </w:r>
      <w:r w:rsidRPr="000E2881">
        <w:rPr>
          <w:rFonts w:ascii="Verdana" w:hAnsi="Verdana" w:cs="Times New Roman"/>
          <w:sz w:val="20"/>
          <w:szCs w:val="20"/>
        </w:rPr>
        <w:t>se había pronunciado sob</w:t>
      </w:r>
      <w:r w:rsidR="00DA6EC1">
        <w:rPr>
          <w:rFonts w:ascii="Verdana" w:hAnsi="Verdana" w:cs="Times New Roman"/>
          <w:sz w:val="20"/>
          <w:szCs w:val="20"/>
        </w:rPr>
        <w:t>re el contenido del artículo 26</w:t>
      </w:r>
      <w:r w:rsidR="001D0833">
        <w:rPr>
          <w:rFonts w:ascii="Verdana" w:hAnsi="Verdana" w:cs="Times New Roman"/>
          <w:sz w:val="20"/>
          <w:szCs w:val="20"/>
        </w:rPr>
        <w:t xml:space="preserve"> de la Convención Americana</w:t>
      </w:r>
      <w:r w:rsidR="00DA6EC1">
        <w:rPr>
          <w:rFonts w:ascii="Verdana" w:hAnsi="Verdana" w:cs="Times New Roman"/>
          <w:sz w:val="20"/>
          <w:szCs w:val="20"/>
        </w:rPr>
        <w:t>. En</w:t>
      </w:r>
      <w:r w:rsidRPr="000E2881">
        <w:rPr>
          <w:rFonts w:ascii="Verdana" w:hAnsi="Verdana" w:cs="Times New Roman"/>
          <w:sz w:val="20"/>
          <w:szCs w:val="20"/>
        </w:rPr>
        <w:t xml:space="preserve"> </w:t>
      </w:r>
      <w:r w:rsidR="001D0833">
        <w:rPr>
          <w:rFonts w:ascii="Verdana" w:hAnsi="Verdana" w:cs="Times New Roman"/>
          <w:sz w:val="20"/>
          <w:szCs w:val="20"/>
        </w:rPr>
        <w:t>so</w:t>
      </w:r>
      <w:r>
        <w:rPr>
          <w:rFonts w:ascii="Verdana" w:hAnsi="Verdana" w:cs="Times New Roman"/>
          <w:sz w:val="20"/>
          <w:szCs w:val="20"/>
        </w:rPr>
        <w:t xml:space="preserve">lo </w:t>
      </w:r>
      <w:r w:rsidRPr="000E2881">
        <w:rPr>
          <w:rFonts w:ascii="Verdana" w:hAnsi="Verdana" w:cs="Times New Roman"/>
          <w:sz w:val="20"/>
          <w:szCs w:val="20"/>
        </w:rPr>
        <w:t xml:space="preserve">dos ocasiones </w:t>
      </w:r>
      <w:r w:rsidR="00DA6EC1">
        <w:rPr>
          <w:rFonts w:ascii="Verdana" w:hAnsi="Verdana" w:cs="Times New Roman"/>
          <w:sz w:val="20"/>
          <w:szCs w:val="20"/>
        </w:rPr>
        <w:t xml:space="preserve">había sido </w:t>
      </w:r>
      <w:r>
        <w:rPr>
          <w:rFonts w:ascii="Verdana" w:hAnsi="Verdana" w:cs="Times New Roman"/>
          <w:sz w:val="20"/>
          <w:szCs w:val="20"/>
        </w:rPr>
        <w:t>directamente</w:t>
      </w:r>
      <w:r w:rsidR="00DA6EC1">
        <w:rPr>
          <w:rFonts w:ascii="Verdana" w:hAnsi="Verdana" w:cs="Times New Roman"/>
          <w:sz w:val="20"/>
          <w:szCs w:val="20"/>
        </w:rPr>
        <w:t xml:space="preserve"> </w:t>
      </w:r>
      <w:r w:rsidR="001D0833">
        <w:rPr>
          <w:rFonts w:ascii="Verdana" w:hAnsi="Verdana" w:cs="Times New Roman"/>
          <w:sz w:val="20"/>
          <w:szCs w:val="20"/>
        </w:rPr>
        <w:t xml:space="preserve">alegado </w:t>
      </w:r>
      <w:r w:rsidR="005F337D">
        <w:rPr>
          <w:rFonts w:ascii="Verdana" w:hAnsi="Verdana" w:cs="Times New Roman"/>
          <w:sz w:val="20"/>
          <w:szCs w:val="20"/>
        </w:rPr>
        <w:t xml:space="preserve">como vulnerado </w:t>
      </w:r>
      <w:r w:rsidRPr="000E2881">
        <w:rPr>
          <w:rFonts w:ascii="Verdana" w:hAnsi="Verdana" w:cs="Times New Roman"/>
          <w:sz w:val="20"/>
          <w:szCs w:val="20"/>
        </w:rPr>
        <w:t>por la Comisión Interamericana</w:t>
      </w:r>
      <w:r w:rsidRPr="004E66B4">
        <w:rPr>
          <w:rStyle w:val="FootnoteReference"/>
          <w:rFonts w:ascii="Verdana" w:hAnsi="Verdana"/>
          <w:sz w:val="20"/>
          <w:szCs w:val="20"/>
        </w:rPr>
        <w:footnoteReference w:id="73"/>
      </w:r>
      <w:r>
        <w:rPr>
          <w:rFonts w:ascii="Verdana" w:hAnsi="Verdana" w:cs="Times New Roman"/>
          <w:sz w:val="20"/>
          <w:szCs w:val="20"/>
        </w:rPr>
        <w:t xml:space="preserve"> </w:t>
      </w:r>
      <w:r w:rsidR="00DA6EC1">
        <w:rPr>
          <w:rFonts w:ascii="Verdana" w:hAnsi="Verdana" w:cs="Times New Roman"/>
          <w:sz w:val="20"/>
          <w:szCs w:val="20"/>
        </w:rPr>
        <w:t>y</w:t>
      </w:r>
      <w:r>
        <w:rPr>
          <w:rFonts w:ascii="Verdana" w:hAnsi="Verdana" w:cs="Times New Roman"/>
          <w:sz w:val="20"/>
          <w:szCs w:val="20"/>
        </w:rPr>
        <w:t xml:space="preserve"> </w:t>
      </w:r>
      <w:r w:rsidRPr="000E2881">
        <w:rPr>
          <w:rFonts w:ascii="Verdana" w:hAnsi="Verdana" w:cs="Times New Roman"/>
          <w:sz w:val="20"/>
          <w:szCs w:val="20"/>
        </w:rPr>
        <w:t>en seis oportunidades por los representantes de las víctimas</w:t>
      </w:r>
      <w:r w:rsidRPr="004E66B4">
        <w:rPr>
          <w:rStyle w:val="FootnoteReference"/>
          <w:rFonts w:ascii="Verdana" w:hAnsi="Verdana"/>
          <w:sz w:val="20"/>
          <w:szCs w:val="20"/>
        </w:rPr>
        <w:footnoteReference w:id="74"/>
      </w:r>
      <w:r>
        <w:rPr>
          <w:rFonts w:ascii="Verdana" w:hAnsi="Verdana" w:cs="Times New Roman"/>
          <w:sz w:val="20"/>
          <w:szCs w:val="20"/>
        </w:rPr>
        <w:t xml:space="preserve">. </w:t>
      </w:r>
      <w:r w:rsidR="001D0833">
        <w:rPr>
          <w:rFonts w:ascii="Verdana" w:hAnsi="Verdana" w:cs="Times New Roman"/>
          <w:sz w:val="20"/>
          <w:szCs w:val="20"/>
        </w:rPr>
        <w:t xml:space="preserve">Por ello, la gran relevancia de la presente </w:t>
      </w:r>
      <w:r w:rsidR="001D0833">
        <w:rPr>
          <w:rFonts w:ascii="Verdana" w:hAnsi="Verdana" w:cs="Times New Roman"/>
          <w:sz w:val="20"/>
          <w:szCs w:val="20"/>
        </w:rPr>
        <w:lastRenderedPageBreak/>
        <w:t>Sentencia radica en que el Tribunal Interamericano, por primera ocasión en sus casi cuarenta años de existencia, declara la violación del artículo 26 del Pacto de San José.</w:t>
      </w:r>
    </w:p>
    <w:p w14:paraId="583CE771" w14:textId="023CABDC" w:rsidR="007D19F0" w:rsidRPr="007D19F0" w:rsidRDefault="001D0833" w:rsidP="00AD360E">
      <w:pPr>
        <w:pStyle w:val="ListParagraph"/>
        <w:ind w:left="0"/>
        <w:jc w:val="both"/>
        <w:rPr>
          <w:rFonts w:ascii="Times" w:hAnsi="Times" w:cs="Times New Roman"/>
          <w:sz w:val="20"/>
          <w:szCs w:val="20"/>
        </w:rPr>
      </w:pPr>
      <w:r w:rsidRPr="007D19F0">
        <w:rPr>
          <w:rFonts w:ascii="Times" w:hAnsi="Times" w:cs="Times New Roman"/>
          <w:sz w:val="20"/>
          <w:szCs w:val="20"/>
        </w:rPr>
        <w:t xml:space="preserve"> </w:t>
      </w:r>
    </w:p>
    <w:p w14:paraId="53A5377A" w14:textId="124FC713" w:rsidR="00357C25" w:rsidRPr="00AF4B30" w:rsidRDefault="007E1678" w:rsidP="00AD360E">
      <w:pPr>
        <w:pStyle w:val="ListParagraph"/>
        <w:numPr>
          <w:ilvl w:val="0"/>
          <w:numId w:val="2"/>
        </w:numPr>
        <w:ind w:left="0" w:firstLine="0"/>
        <w:jc w:val="both"/>
        <w:rPr>
          <w:rFonts w:ascii="Verdana" w:hAnsi="Verdana" w:cs="Times New Roman"/>
          <w:sz w:val="20"/>
          <w:szCs w:val="20"/>
        </w:rPr>
      </w:pPr>
      <w:r w:rsidRPr="00AF4B30">
        <w:rPr>
          <w:rFonts w:ascii="Verdana" w:hAnsi="Verdana"/>
          <w:sz w:val="20"/>
          <w:szCs w:val="20"/>
        </w:rPr>
        <w:t xml:space="preserve">En este momento histórico </w:t>
      </w:r>
      <w:r w:rsidR="009100B2">
        <w:rPr>
          <w:rFonts w:ascii="Verdana" w:hAnsi="Verdana"/>
          <w:sz w:val="20"/>
          <w:szCs w:val="20"/>
        </w:rPr>
        <w:t>de</w:t>
      </w:r>
      <w:r w:rsidR="00D80EF4" w:rsidRPr="00AF4B30">
        <w:rPr>
          <w:rFonts w:ascii="Verdana" w:hAnsi="Verdana"/>
          <w:sz w:val="20"/>
          <w:szCs w:val="20"/>
        </w:rPr>
        <w:t xml:space="preserve"> la jurisprudencia de la Corte IDH, </w:t>
      </w:r>
      <w:r w:rsidR="00BA59B7" w:rsidRPr="00AF4B30">
        <w:rPr>
          <w:rFonts w:ascii="Verdana" w:hAnsi="Verdana"/>
          <w:sz w:val="20"/>
          <w:szCs w:val="20"/>
        </w:rPr>
        <w:t>resulta fundamental</w:t>
      </w:r>
      <w:r w:rsidRPr="00AF4B30">
        <w:rPr>
          <w:rFonts w:ascii="Verdana" w:hAnsi="Verdana"/>
          <w:sz w:val="20"/>
          <w:szCs w:val="20"/>
        </w:rPr>
        <w:t xml:space="preserve"> que las partes</w:t>
      </w:r>
      <w:r w:rsidR="00BA59B7" w:rsidRPr="00AF4B30">
        <w:rPr>
          <w:rFonts w:ascii="Verdana" w:hAnsi="Verdana"/>
          <w:sz w:val="20"/>
          <w:szCs w:val="20"/>
        </w:rPr>
        <w:t xml:space="preserve"> </w:t>
      </w:r>
      <w:r w:rsidR="00F14D28" w:rsidRPr="00AF4B30">
        <w:rPr>
          <w:rFonts w:ascii="Verdana" w:hAnsi="Verdana"/>
          <w:sz w:val="20"/>
          <w:szCs w:val="20"/>
        </w:rPr>
        <w:t xml:space="preserve">y la Comisión Interamericana </w:t>
      </w:r>
      <w:r w:rsidRPr="00AF4B30">
        <w:rPr>
          <w:rFonts w:ascii="Verdana" w:hAnsi="Verdana"/>
          <w:sz w:val="20"/>
          <w:szCs w:val="20"/>
        </w:rPr>
        <w:t>hagan más visible</w:t>
      </w:r>
      <w:r w:rsidR="001D0833" w:rsidRPr="00AF4B30">
        <w:rPr>
          <w:rFonts w:ascii="Verdana" w:hAnsi="Verdana"/>
          <w:sz w:val="20"/>
          <w:szCs w:val="20"/>
        </w:rPr>
        <w:t>s</w:t>
      </w:r>
      <w:r w:rsidRPr="00AF4B30">
        <w:rPr>
          <w:rFonts w:ascii="Verdana" w:hAnsi="Verdana"/>
          <w:sz w:val="20"/>
          <w:szCs w:val="20"/>
        </w:rPr>
        <w:t xml:space="preserve"> los </w:t>
      </w:r>
      <w:r w:rsidR="00DB1A55" w:rsidRPr="00AF4B30">
        <w:rPr>
          <w:rFonts w:ascii="Verdana" w:hAnsi="Verdana"/>
          <w:sz w:val="20"/>
          <w:szCs w:val="20"/>
        </w:rPr>
        <w:t xml:space="preserve">DESCA </w:t>
      </w:r>
      <w:r w:rsidRPr="00AF4B30">
        <w:rPr>
          <w:rFonts w:ascii="Verdana" w:hAnsi="Verdana"/>
          <w:sz w:val="20"/>
          <w:szCs w:val="20"/>
        </w:rPr>
        <w:t xml:space="preserve">que </w:t>
      </w:r>
      <w:r w:rsidR="004A58EA">
        <w:rPr>
          <w:rFonts w:ascii="Verdana" w:hAnsi="Verdana"/>
          <w:sz w:val="20"/>
          <w:szCs w:val="20"/>
        </w:rPr>
        <w:t>son susceptibles de</w:t>
      </w:r>
      <w:r w:rsidRPr="00AF4B30">
        <w:rPr>
          <w:rFonts w:ascii="Verdana" w:hAnsi="Verdana"/>
          <w:sz w:val="20"/>
          <w:szCs w:val="20"/>
        </w:rPr>
        <w:t xml:space="preserve"> proteger</w:t>
      </w:r>
      <w:r w:rsidR="004A58EA">
        <w:rPr>
          <w:rFonts w:ascii="Verdana" w:hAnsi="Verdana"/>
          <w:sz w:val="20"/>
          <w:szCs w:val="20"/>
        </w:rPr>
        <w:t>se</w:t>
      </w:r>
      <w:r w:rsidRPr="00AF4B30">
        <w:rPr>
          <w:rFonts w:ascii="Verdana" w:hAnsi="Verdana"/>
          <w:sz w:val="20"/>
          <w:szCs w:val="20"/>
        </w:rPr>
        <w:t xml:space="preserve"> ante el Sistema Interamericano</w:t>
      </w:r>
      <w:r w:rsidR="004A58EA">
        <w:rPr>
          <w:rFonts w:ascii="Verdana" w:hAnsi="Verdana"/>
          <w:sz w:val="20"/>
          <w:szCs w:val="20"/>
        </w:rPr>
        <w:t>, mediante</w:t>
      </w:r>
      <w:r w:rsidRPr="00AF4B30">
        <w:rPr>
          <w:rFonts w:ascii="Verdana" w:hAnsi="Verdana"/>
          <w:sz w:val="20"/>
          <w:szCs w:val="20"/>
        </w:rPr>
        <w:t xml:space="preserve"> </w:t>
      </w:r>
      <w:r w:rsidR="00DB1A55" w:rsidRPr="00AF4B30">
        <w:rPr>
          <w:rFonts w:ascii="Verdana" w:hAnsi="Verdana"/>
          <w:sz w:val="20"/>
          <w:szCs w:val="20"/>
        </w:rPr>
        <w:t xml:space="preserve">alegatos específicos sobre la vulneración de los derechos sociales interamericanos contenidos en </w:t>
      </w:r>
      <w:r w:rsidRPr="00AF4B30">
        <w:rPr>
          <w:rFonts w:ascii="Verdana" w:hAnsi="Verdana"/>
          <w:sz w:val="20"/>
          <w:szCs w:val="20"/>
        </w:rPr>
        <w:t xml:space="preserve">el artículo 26 del Pacto de San José. </w:t>
      </w:r>
      <w:r w:rsidR="00360566" w:rsidRPr="00AF4B30">
        <w:rPr>
          <w:rFonts w:ascii="Verdana" w:hAnsi="Verdana"/>
          <w:sz w:val="20"/>
          <w:szCs w:val="20"/>
        </w:rPr>
        <w:t>H</w:t>
      </w:r>
      <w:r w:rsidR="001D0833" w:rsidRPr="00AF4B30">
        <w:rPr>
          <w:rFonts w:ascii="Verdana" w:hAnsi="Verdana"/>
          <w:sz w:val="20"/>
          <w:szCs w:val="20"/>
        </w:rPr>
        <w:t>oy</w:t>
      </w:r>
      <w:r w:rsidR="007D19F0" w:rsidRPr="00AF4B30">
        <w:rPr>
          <w:rFonts w:ascii="Verdana" w:hAnsi="Verdana" w:cs="Times New Roman"/>
          <w:sz w:val="20"/>
          <w:szCs w:val="20"/>
        </w:rPr>
        <w:t xml:space="preserve"> los derechos sociales han dejado de ser derechos de “buenas intenciones” plasmados en instrumentos internacionales</w:t>
      </w:r>
      <w:r w:rsidR="001D0833" w:rsidRPr="00AF4B30">
        <w:rPr>
          <w:rFonts w:ascii="Verdana" w:hAnsi="Verdana" w:cs="Times New Roman"/>
          <w:sz w:val="20"/>
          <w:szCs w:val="20"/>
        </w:rPr>
        <w:t>,</w:t>
      </w:r>
      <w:r w:rsidR="007D19F0" w:rsidRPr="00AF4B30">
        <w:rPr>
          <w:rFonts w:ascii="Verdana" w:hAnsi="Verdana" w:cs="Times New Roman"/>
          <w:sz w:val="20"/>
          <w:szCs w:val="20"/>
        </w:rPr>
        <w:t xml:space="preserve"> para </w:t>
      </w:r>
      <w:r w:rsidR="001D0833" w:rsidRPr="00AF4B30">
        <w:rPr>
          <w:rFonts w:ascii="Verdana" w:hAnsi="Verdana" w:cs="Times New Roman"/>
          <w:sz w:val="20"/>
          <w:szCs w:val="20"/>
        </w:rPr>
        <w:t xml:space="preserve">pasar a </w:t>
      </w:r>
      <w:r w:rsidR="007D19F0" w:rsidRPr="00AF4B30">
        <w:rPr>
          <w:rFonts w:ascii="Verdana" w:hAnsi="Verdana" w:cs="Times New Roman"/>
          <w:sz w:val="20"/>
          <w:szCs w:val="20"/>
        </w:rPr>
        <w:t>ser exigibles ante las instancias competentes</w:t>
      </w:r>
      <w:r w:rsidR="00AF4B30" w:rsidRPr="007D19F0">
        <w:rPr>
          <w:rStyle w:val="FootnoteReference"/>
          <w:rFonts w:ascii="Verdana" w:hAnsi="Verdana" w:cs="Times New Roman"/>
          <w:sz w:val="20"/>
          <w:szCs w:val="20"/>
        </w:rPr>
        <w:footnoteReference w:id="75"/>
      </w:r>
      <w:r w:rsidR="001D0833" w:rsidRPr="00AF4B30">
        <w:rPr>
          <w:rFonts w:ascii="Verdana" w:hAnsi="Verdana" w:cs="Times New Roman"/>
          <w:sz w:val="20"/>
          <w:szCs w:val="20"/>
        </w:rPr>
        <w:t xml:space="preserve">. </w:t>
      </w:r>
      <w:r w:rsidR="00D80EF4" w:rsidRPr="00AF4B30">
        <w:rPr>
          <w:rFonts w:ascii="Verdana" w:hAnsi="Verdana" w:cs="Times New Roman"/>
          <w:sz w:val="20"/>
          <w:szCs w:val="20"/>
        </w:rPr>
        <w:t>L</w:t>
      </w:r>
      <w:r w:rsidR="001D0833" w:rsidRPr="00AF4B30">
        <w:rPr>
          <w:rFonts w:ascii="Verdana" w:hAnsi="Verdana" w:cs="Times New Roman"/>
          <w:sz w:val="20"/>
          <w:szCs w:val="20"/>
        </w:rPr>
        <w:t>o anterior</w:t>
      </w:r>
      <w:r w:rsidR="007D19F0" w:rsidRPr="00AF4B30">
        <w:rPr>
          <w:rFonts w:ascii="Verdana" w:hAnsi="Verdana" w:cs="Times New Roman"/>
          <w:sz w:val="20"/>
          <w:szCs w:val="20"/>
        </w:rPr>
        <w:t xml:space="preserve"> marca un nuevo rumbo para </w:t>
      </w:r>
      <w:r w:rsidR="009D47C0" w:rsidRPr="00AF4B30">
        <w:rPr>
          <w:rFonts w:ascii="Verdana" w:hAnsi="Verdana" w:cs="Times New Roman"/>
          <w:sz w:val="20"/>
          <w:szCs w:val="20"/>
        </w:rPr>
        <w:t xml:space="preserve">el </w:t>
      </w:r>
      <w:r w:rsidR="007D19F0" w:rsidRPr="00AF4B30">
        <w:rPr>
          <w:rFonts w:ascii="Verdana" w:hAnsi="Verdana" w:cs="Times New Roman"/>
          <w:sz w:val="20"/>
          <w:szCs w:val="20"/>
        </w:rPr>
        <w:t>Sistema Interamericano</w:t>
      </w:r>
      <w:r w:rsidR="00AF4B30" w:rsidRPr="00AF4B30">
        <w:rPr>
          <w:rStyle w:val="FootnoteReference"/>
          <w:rFonts w:ascii="Verdana" w:hAnsi="Verdana" w:cs="Times New Roman"/>
          <w:sz w:val="20"/>
          <w:szCs w:val="20"/>
        </w:rPr>
        <w:footnoteReference w:id="76"/>
      </w:r>
      <w:r w:rsidR="00776D7A" w:rsidRPr="00AF4B30">
        <w:rPr>
          <w:rFonts w:ascii="Verdana" w:hAnsi="Verdana" w:cs="Times New Roman"/>
          <w:sz w:val="20"/>
          <w:szCs w:val="20"/>
        </w:rPr>
        <w:t xml:space="preserve">. </w:t>
      </w:r>
    </w:p>
    <w:p w14:paraId="2D0C0327" w14:textId="77777777" w:rsidR="00AF4B30" w:rsidRPr="00AF4B30" w:rsidRDefault="00AF4B30" w:rsidP="00AD360E">
      <w:pPr>
        <w:pStyle w:val="ListParagraph"/>
        <w:ind w:left="0"/>
        <w:jc w:val="both"/>
        <w:rPr>
          <w:rFonts w:ascii="Verdana" w:hAnsi="Verdana" w:cs="Times New Roman"/>
          <w:sz w:val="20"/>
          <w:szCs w:val="20"/>
        </w:rPr>
      </w:pPr>
    </w:p>
    <w:p w14:paraId="72F0BBE3" w14:textId="56A961DF" w:rsidR="003B0E36" w:rsidRPr="00B05C28" w:rsidRDefault="00D80EF4" w:rsidP="00AD360E">
      <w:pPr>
        <w:pStyle w:val="ListParagraph"/>
        <w:numPr>
          <w:ilvl w:val="0"/>
          <w:numId w:val="2"/>
        </w:numPr>
        <w:ind w:left="0" w:firstLine="0"/>
        <w:jc w:val="both"/>
        <w:rPr>
          <w:rFonts w:ascii="Calibri" w:hAnsi="Calibri" w:cs="Calibri"/>
          <w:sz w:val="32"/>
          <w:szCs w:val="32"/>
          <w:lang w:val="es-ES"/>
        </w:rPr>
      </w:pPr>
      <w:r>
        <w:rPr>
          <w:rFonts w:ascii="Verdana" w:hAnsi="Verdana" w:cs="Times New Roman"/>
          <w:sz w:val="20"/>
          <w:szCs w:val="20"/>
        </w:rPr>
        <w:t>De ahí que l</w:t>
      </w:r>
      <w:r w:rsidR="005F3074" w:rsidRPr="005F3074">
        <w:rPr>
          <w:rFonts w:ascii="Verdana" w:hAnsi="Verdana" w:cs="Times New Roman"/>
          <w:sz w:val="20"/>
          <w:szCs w:val="20"/>
        </w:rPr>
        <w:t>a intención del presente v</w:t>
      </w:r>
      <w:r w:rsidR="002E0C2B" w:rsidRPr="005F3074">
        <w:rPr>
          <w:rFonts w:ascii="Verdana" w:hAnsi="Verdana" w:cs="Times New Roman"/>
          <w:sz w:val="20"/>
          <w:szCs w:val="20"/>
        </w:rPr>
        <w:t>oto</w:t>
      </w:r>
      <w:r w:rsidR="005F3074" w:rsidRPr="005F3074">
        <w:rPr>
          <w:rFonts w:ascii="Verdana" w:hAnsi="Verdana" w:cs="Times New Roman"/>
          <w:sz w:val="20"/>
          <w:szCs w:val="20"/>
        </w:rPr>
        <w:t xml:space="preserve"> razonado</w:t>
      </w:r>
      <w:r w:rsidR="0057043D" w:rsidRPr="005F3074">
        <w:rPr>
          <w:rFonts w:ascii="Verdana" w:hAnsi="Verdana" w:cs="Times New Roman"/>
          <w:sz w:val="20"/>
          <w:szCs w:val="20"/>
        </w:rPr>
        <w:t xml:space="preserve"> es</w:t>
      </w:r>
      <w:r w:rsidR="005F3074" w:rsidRPr="005F3074">
        <w:rPr>
          <w:rFonts w:ascii="Verdana" w:hAnsi="Verdana" w:cs="Times New Roman"/>
          <w:sz w:val="20"/>
          <w:szCs w:val="20"/>
        </w:rPr>
        <w:t>,</w:t>
      </w:r>
      <w:r w:rsidR="0057043D" w:rsidRPr="005F3074">
        <w:rPr>
          <w:rFonts w:ascii="Verdana" w:hAnsi="Verdana" w:cs="Times New Roman"/>
          <w:sz w:val="20"/>
          <w:szCs w:val="20"/>
        </w:rPr>
        <w:t xml:space="preserve"> por un lado, resaltar el </w:t>
      </w:r>
      <w:r w:rsidR="005F3074" w:rsidRPr="005F3074">
        <w:rPr>
          <w:rFonts w:ascii="Verdana" w:hAnsi="Verdana" w:cs="Times New Roman"/>
          <w:sz w:val="20"/>
          <w:szCs w:val="20"/>
        </w:rPr>
        <w:t>importante</w:t>
      </w:r>
      <w:r w:rsidR="0057043D" w:rsidRPr="005F3074">
        <w:rPr>
          <w:rFonts w:ascii="Verdana" w:hAnsi="Verdana" w:cs="Times New Roman"/>
          <w:sz w:val="20"/>
          <w:szCs w:val="20"/>
        </w:rPr>
        <w:t xml:space="preserve"> avance jurisprudencial que se ha dado en el seno del Sistema Interamericano </w:t>
      </w:r>
      <w:r w:rsidR="00FC2F49">
        <w:rPr>
          <w:rFonts w:ascii="Verdana" w:hAnsi="Verdana" w:cs="Times New Roman"/>
          <w:sz w:val="20"/>
          <w:szCs w:val="20"/>
        </w:rPr>
        <w:t>con esta Sentencia</w:t>
      </w:r>
      <w:r w:rsidR="00C93ABA">
        <w:rPr>
          <w:rFonts w:ascii="Verdana" w:hAnsi="Verdana" w:cs="Times New Roman"/>
          <w:sz w:val="20"/>
          <w:szCs w:val="20"/>
        </w:rPr>
        <w:t xml:space="preserve">, al otorgar </w:t>
      </w:r>
      <w:proofErr w:type="spellStart"/>
      <w:r w:rsidR="00C93ABA">
        <w:rPr>
          <w:rFonts w:ascii="Verdana" w:hAnsi="Verdana" w:cs="Times New Roman"/>
          <w:sz w:val="20"/>
          <w:szCs w:val="20"/>
        </w:rPr>
        <w:t>justiciabilidad</w:t>
      </w:r>
      <w:proofErr w:type="spellEnd"/>
      <w:r w:rsidR="00C93ABA">
        <w:rPr>
          <w:rFonts w:ascii="Verdana" w:hAnsi="Verdana" w:cs="Times New Roman"/>
          <w:sz w:val="20"/>
          <w:szCs w:val="20"/>
        </w:rPr>
        <w:t xml:space="preserve"> directa a los DESCA</w:t>
      </w:r>
      <w:r w:rsidR="00FC2F49">
        <w:rPr>
          <w:rFonts w:ascii="Verdana" w:hAnsi="Verdana" w:cs="Times New Roman"/>
          <w:sz w:val="20"/>
          <w:szCs w:val="20"/>
        </w:rPr>
        <w:t>; y</w:t>
      </w:r>
      <w:r w:rsidR="00392C69">
        <w:rPr>
          <w:rFonts w:ascii="Verdana" w:hAnsi="Verdana" w:cs="Times New Roman"/>
          <w:sz w:val="20"/>
          <w:szCs w:val="20"/>
        </w:rPr>
        <w:t>,</w:t>
      </w:r>
      <w:r w:rsidR="00FC2F49">
        <w:rPr>
          <w:rFonts w:ascii="Verdana" w:hAnsi="Verdana" w:cs="Times New Roman"/>
          <w:sz w:val="20"/>
          <w:szCs w:val="20"/>
        </w:rPr>
        <w:t xml:space="preserve"> por otro, dejar en claro los</w:t>
      </w:r>
      <w:r w:rsidR="00983773">
        <w:rPr>
          <w:rFonts w:ascii="Verdana" w:hAnsi="Verdana" w:cs="Times New Roman"/>
          <w:sz w:val="20"/>
          <w:szCs w:val="20"/>
        </w:rPr>
        <w:t xml:space="preserve"> alcances, </w:t>
      </w:r>
      <w:r w:rsidR="00707C24" w:rsidRPr="00911447">
        <w:rPr>
          <w:rFonts w:ascii="Verdana" w:hAnsi="Verdana" w:cs="Times New Roman"/>
          <w:sz w:val="20"/>
          <w:szCs w:val="20"/>
        </w:rPr>
        <w:t>diferencias</w:t>
      </w:r>
      <w:r w:rsidR="00983773">
        <w:rPr>
          <w:rFonts w:ascii="Verdana" w:hAnsi="Verdana" w:cs="Times New Roman"/>
          <w:sz w:val="20"/>
          <w:szCs w:val="20"/>
        </w:rPr>
        <w:t xml:space="preserve"> y la sinergia</w:t>
      </w:r>
      <w:r w:rsidR="00707C24" w:rsidRPr="00911447">
        <w:rPr>
          <w:rFonts w:ascii="Verdana" w:hAnsi="Verdana" w:cs="Times New Roman"/>
          <w:sz w:val="20"/>
          <w:szCs w:val="20"/>
        </w:rPr>
        <w:t xml:space="preserve"> entre el artículo 16 de la Convención Americana que protege el derecho de asociación (</w:t>
      </w:r>
      <w:r w:rsidR="00707C24" w:rsidRPr="00911447">
        <w:rPr>
          <w:rFonts w:ascii="Verdana" w:hAnsi="Verdana" w:cs="Times New Roman"/>
          <w:i/>
          <w:sz w:val="20"/>
          <w:szCs w:val="20"/>
        </w:rPr>
        <w:t>lato sensu</w:t>
      </w:r>
      <w:r w:rsidR="00707C24" w:rsidRPr="00911447">
        <w:rPr>
          <w:rFonts w:ascii="Verdana" w:hAnsi="Verdana" w:cs="Times New Roman"/>
          <w:sz w:val="20"/>
          <w:szCs w:val="20"/>
        </w:rPr>
        <w:t xml:space="preserve">) y el artículo 26 </w:t>
      </w:r>
      <w:r w:rsidR="00911447">
        <w:rPr>
          <w:rFonts w:ascii="Verdana" w:hAnsi="Verdana" w:cs="Times New Roman"/>
          <w:sz w:val="20"/>
          <w:szCs w:val="20"/>
        </w:rPr>
        <w:t>del mismo tratado</w:t>
      </w:r>
      <w:r w:rsidR="00FC2F49">
        <w:rPr>
          <w:rFonts w:ascii="Verdana" w:hAnsi="Verdana" w:cs="Times New Roman"/>
          <w:sz w:val="20"/>
          <w:szCs w:val="20"/>
        </w:rPr>
        <w:t>,</w:t>
      </w:r>
      <w:r w:rsidR="00911447">
        <w:rPr>
          <w:rFonts w:ascii="Verdana" w:hAnsi="Verdana" w:cs="Times New Roman"/>
          <w:sz w:val="20"/>
          <w:szCs w:val="20"/>
        </w:rPr>
        <w:t xml:space="preserve"> </w:t>
      </w:r>
      <w:r w:rsidR="00707C24" w:rsidRPr="00911447">
        <w:rPr>
          <w:rFonts w:ascii="Verdana" w:hAnsi="Verdana" w:cs="Times New Roman"/>
          <w:sz w:val="20"/>
          <w:szCs w:val="20"/>
        </w:rPr>
        <w:t>como disposición que protege el derecho de asociación en materia laboral</w:t>
      </w:r>
      <w:r>
        <w:rPr>
          <w:rFonts w:ascii="Verdana" w:hAnsi="Verdana" w:cs="Times New Roman"/>
          <w:sz w:val="20"/>
          <w:szCs w:val="20"/>
        </w:rPr>
        <w:t xml:space="preserve"> </w:t>
      </w:r>
      <w:r w:rsidRPr="00911447">
        <w:rPr>
          <w:rFonts w:ascii="Verdana" w:hAnsi="Verdana" w:cs="Times New Roman"/>
          <w:sz w:val="20"/>
          <w:szCs w:val="20"/>
        </w:rPr>
        <w:t>(</w:t>
      </w:r>
      <w:r w:rsidRPr="00911447">
        <w:rPr>
          <w:rFonts w:ascii="Verdana" w:hAnsi="Verdana" w:cs="Times New Roman"/>
          <w:i/>
          <w:sz w:val="20"/>
          <w:szCs w:val="20"/>
        </w:rPr>
        <w:t>stricto sensu</w:t>
      </w:r>
      <w:r>
        <w:rPr>
          <w:rFonts w:ascii="Verdana" w:hAnsi="Verdana" w:cs="Times New Roman"/>
          <w:sz w:val="20"/>
          <w:szCs w:val="20"/>
        </w:rPr>
        <w:t>)</w:t>
      </w:r>
      <w:r w:rsidR="00CF0983">
        <w:rPr>
          <w:rFonts w:ascii="Verdana" w:hAnsi="Verdana" w:cs="Times New Roman"/>
          <w:sz w:val="20"/>
          <w:szCs w:val="20"/>
        </w:rPr>
        <w:t>, desde la norma que se encuentra consagrada</w:t>
      </w:r>
      <w:r w:rsidR="00707C24" w:rsidRPr="00911447">
        <w:rPr>
          <w:rFonts w:ascii="Verdana" w:hAnsi="Verdana" w:cs="Times New Roman"/>
          <w:sz w:val="20"/>
          <w:szCs w:val="20"/>
        </w:rPr>
        <w:t xml:space="preserve"> en el artículo 45 inciso c)</w:t>
      </w:r>
      <w:r w:rsidR="00FC2F49">
        <w:rPr>
          <w:rFonts w:ascii="Verdana" w:hAnsi="Verdana" w:cs="Times New Roman"/>
          <w:sz w:val="20"/>
          <w:szCs w:val="20"/>
        </w:rPr>
        <w:t>,</w:t>
      </w:r>
      <w:r w:rsidR="00707C24" w:rsidRPr="00911447">
        <w:rPr>
          <w:rFonts w:ascii="Verdana" w:hAnsi="Verdana" w:cs="Times New Roman"/>
          <w:sz w:val="20"/>
          <w:szCs w:val="20"/>
        </w:rPr>
        <w:t xml:space="preserve"> de la Carta de la OEA</w:t>
      </w:r>
      <w:r>
        <w:rPr>
          <w:rFonts w:ascii="Verdana" w:hAnsi="Verdana" w:cs="Times New Roman"/>
          <w:sz w:val="20"/>
          <w:szCs w:val="20"/>
        </w:rPr>
        <w:t>.</w:t>
      </w:r>
      <w:r w:rsidR="00707C24" w:rsidRPr="00911447">
        <w:rPr>
          <w:rFonts w:ascii="Verdana" w:hAnsi="Verdana" w:cs="Times New Roman"/>
          <w:sz w:val="20"/>
          <w:szCs w:val="20"/>
        </w:rPr>
        <w:t xml:space="preserve"> </w:t>
      </w:r>
    </w:p>
    <w:p w14:paraId="5F13FE40" w14:textId="77777777" w:rsidR="00B05C28" w:rsidRPr="00B05C28" w:rsidRDefault="00B05C28" w:rsidP="00AD360E">
      <w:pPr>
        <w:pStyle w:val="ListParagraph"/>
        <w:ind w:left="0"/>
        <w:jc w:val="both"/>
        <w:rPr>
          <w:rFonts w:ascii="Vereda" w:hAnsi="Vereda" w:cs="Calibri" w:hint="eastAsia"/>
          <w:sz w:val="20"/>
          <w:szCs w:val="20"/>
          <w:lang w:val="es-ES"/>
        </w:rPr>
      </w:pPr>
    </w:p>
    <w:p w14:paraId="56589B83" w14:textId="7E8A87BD" w:rsidR="00357C25" w:rsidRPr="00DC30B4" w:rsidRDefault="00D25FEB" w:rsidP="00AD360E">
      <w:pPr>
        <w:pStyle w:val="ListParagraph"/>
        <w:numPr>
          <w:ilvl w:val="0"/>
          <w:numId w:val="2"/>
        </w:numPr>
        <w:ind w:left="0" w:firstLine="0"/>
        <w:jc w:val="both"/>
        <w:rPr>
          <w:rFonts w:ascii="Calibri" w:hAnsi="Calibri" w:cs="Calibri"/>
          <w:sz w:val="32"/>
          <w:szCs w:val="32"/>
          <w:lang w:val="es-ES"/>
        </w:rPr>
      </w:pPr>
      <w:r w:rsidRPr="001A0F20">
        <w:rPr>
          <w:rFonts w:ascii="Verdana" w:hAnsi="Verdana" w:cs="Times New Roman"/>
          <w:sz w:val="20"/>
          <w:szCs w:val="20"/>
        </w:rPr>
        <w:t xml:space="preserve">Así, </w:t>
      </w:r>
      <w:r w:rsidR="002E0C2B" w:rsidRPr="001A0F20">
        <w:rPr>
          <w:rFonts w:ascii="Verdana" w:hAnsi="Verdana" w:cs="Times New Roman"/>
          <w:sz w:val="20"/>
          <w:szCs w:val="20"/>
        </w:rPr>
        <w:t xml:space="preserve">los avances realizados </w:t>
      </w:r>
      <w:r w:rsidRPr="001A0F20">
        <w:rPr>
          <w:rFonts w:ascii="Verdana" w:hAnsi="Verdana" w:cs="Times New Roman"/>
          <w:sz w:val="20"/>
          <w:szCs w:val="20"/>
        </w:rPr>
        <w:t xml:space="preserve">en el caso </w:t>
      </w:r>
      <w:r w:rsidRPr="001A0F20">
        <w:rPr>
          <w:rFonts w:ascii="Verdana" w:hAnsi="Verdana" w:cs="Times New Roman"/>
          <w:i/>
          <w:sz w:val="20"/>
          <w:szCs w:val="20"/>
        </w:rPr>
        <w:t xml:space="preserve">Lagos del Campo </w:t>
      </w:r>
      <w:r w:rsidRPr="001A0F20">
        <w:rPr>
          <w:rFonts w:ascii="Verdana" w:hAnsi="Verdana" w:cs="Times New Roman"/>
          <w:sz w:val="20"/>
          <w:szCs w:val="20"/>
        </w:rPr>
        <w:t>en materi</w:t>
      </w:r>
      <w:r w:rsidR="00433CA4" w:rsidRPr="001A0F20">
        <w:rPr>
          <w:rFonts w:ascii="Verdana" w:hAnsi="Verdana" w:cs="Times New Roman"/>
          <w:sz w:val="20"/>
          <w:szCs w:val="20"/>
        </w:rPr>
        <w:t>a del derecho al trabajo (</w:t>
      </w:r>
      <w:r w:rsidRPr="001A0F20">
        <w:rPr>
          <w:rFonts w:ascii="Verdana" w:hAnsi="Verdana" w:cs="Times New Roman"/>
          <w:sz w:val="20"/>
          <w:szCs w:val="20"/>
        </w:rPr>
        <w:t>estabilidad</w:t>
      </w:r>
      <w:r w:rsidR="00433CA4" w:rsidRPr="001A0F20">
        <w:rPr>
          <w:rFonts w:ascii="Verdana" w:hAnsi="Verdana" w:cs="Times New Roman"/>
          <w:sz w:val="20"/>
          <w:szCs w:val="20"/>
        </w:rPr>
        <w:t xml:space="preserve"> y asociación</w:t>
      </w:r>
      <w:r w:rsidRPr="001A0F20">
        <w:rPr>
          <w:rFonts w:ascii="Verdana" w:hAnsi="Verdana" w:cs="Times New Roman"/>
          <w:sz w:val="20"/>
          <w:szCs w:val="20"/>
        </w:rPr>
        <w:t xml:space="preserve"> laboral)</w:t>
      </w:r>
      <w:r w:rsidR="001D0833" w:rsidRPr="001A0F20">
        <w:rPr>
          <w:rFonts w:ascii="Verdana" w:hAnsi="Verdana" w:cs="Times New Roman"/>
          <w:sz w:val="20"/>
          <w:szCs w:val="20"/>
        </w:rPr>
        <w:t>, y en materia de</w:t>
      </w:r>
      <w:r w:rsidRPr="001A0F20">
        <w:rPr>
          <w:rFonts w:ascii="Verdana" w:hAnsi="Verdana" w:cs="Times New Roman"/>
          <w:sz w:val="20"/>
          <w:szCs w:val="20"/>
        </w:rPr>
        <w:t xml:space="preserve"> la </w:t>
      </w:r>
      <w:r w:rsidR="002E0C2B" w:rsidRPr="001A0F20">
        <w:rPr>
          <w:rFonts w:ascii="Verdana" w:hAnsi="Verdana" w:cs="Times New Roman"/>
          <w:sz w:val="20"/>
          <w:szCs w:val="20"/>
        </w:rPr>
        <w:t>protección</w:t>
      </w:r>
      <w:r w:rsidRPr="001A0F20">
        <w:rPr>
          <w:rFonts w:ascii="Verdana" w:hAnsi="Verdana" w:cs="Times New Roman"/>
          <w:sz w:val="20"/>
          <w:szCs w:val="20"/>
        </w:rPr>
        <w:t xml:space="preserve"> y garantía</w:t>
      </w:r>
      <w:r w:rsidR="002E0C2B" w:rsidRPr="001A0F20">
        <w:rPr>
          <w:rFonts w:ascii="Verdana" w:hAnsi="Verdana" w:cs="Times New Roman"/>
          <w:sz w:val="20"/>
          <w:szCs w:val="20"/>
        </w:rPr>
        <w:t xml:space="preserve"> de </w:t>
      </w:r>
      <w:r w:rsidR="002E0C2B" w:rsidRPr="001A0F20">
        <w:rPr>
          <w:rFonts w:ascii="Verdana" w:hAnsi="Verdana" w:cs="Times New Roman"/>
          <w:sz w:val="20"/>
          <w:szCs w:val="20"/>
        </w:rPr>
        <w:lastRenderedPageBreak/>
        <w:t xml:space="preserve">los DESCA por la vía </w:t>
      </w:r>
      <w:r w:rsidRPr="001A0F20">
        <w:rPr>
          <w:rFonts w:ascii="Verdana" w:hAnsi="Verdana" w:cs="Times New Roman"/>
          <w:sz w:val="20"/>
          <w:szCs w:val="20"/>
        </w:rPr>
        <w:t xml:space="preserve">directa y </w:t>
      </w:r>
      <w:r w:rsidR="008D56D9" w:rsidRPr="001A0F20">
        <w:rPr>
          <w:rFonts w:ascii="Verdana" w:hAnsi="Verdana" w:cs="Times New Roman"/>
          <w:sz w:val="20"/>
          <w:szCs w:val="20"/>
        </w:rPr>
        <w:t xml:space="preserve">mediante un análisis </w:t>
      </w:r>
      <w:r w:rsidR="001D0833" w:rsidRPr="001A0F20">
        <w:rPr>
          <w:rFonts w:ascii="Verdana" w:hAnsi="Verdana" w:cs="Times New Roman"/>
          <w:sz w:val="20"/>
          <w:szCs w:val="20"/>
        </w:rPr>
        <w:t xml:space="preserve">integral y </w:t>
      </w:r>
      <w:r w:rsidR="008D56D9" w:rsidRPr="001A0F20">
        <w:rPr>
          <w:rFonts w:ascii="Verdana" w:hAnsi="Verdana" w:cs="Times New Roman"/>
          <w:sz w:val="20"/>
          <w:szCs w:val="20"/>
        </w:rPr>
        <w:t>conglobado de los derechos (ec</w:t>
      </w:r>
      <w:r w:rsidR="00433CA4" w:rsidRPr="001A0F20">
        <w:rPr>
          <w:rFonts w:ascii="Verdana" w:hAnsi="Verdana" w:cs="Times New Roman"/>
          <w:sz w:val="20"/>
          <w:szCs w:val="20"/>
        </w:rPr>
        <w:t>onómicos, sociales, culturales, ambientales,</w:t>
      </w:r>
      <w:r w:rsidR="008D56D9" w:rsidRPr="001A0F20">
        <w:rPr>
          <w:rFonts w:ascii="Verdana" w:hAnsi="Verdana" w:cs="Times New Roman"/>
          <w:sz w:val="20"/>
          <w:szCs w:val="20"/>
        </w:rPr>
        <w:t xml:space="preserve"> civiles y políticos)</w:t>
      </w:r>
      <w:r w:rsidR="00911447" w:rsidRPr="001A0F20">
        <w:rPr>
          <w:rFonts w:ascii="Verdana" w:hAnsi="Verdana" w:cs="Times New Roman"/>
          <w:sz w:val="20"/>
          <w:szCs w:val="20"/>
        </w:rPr>
        <w:t>,</w:t>
      </w:r>
      <w:r w:rsidR="008D56D9" w:rsidRPr="001A0F20">
        <w:rPr>
          <w:rFonts w:ascii="Verdana" w:hAnsi="Verdana" w:cs="Times New Roman"/>
          <w:sz w:val="20"/>
          <w:szCs w:val="20"/>
        </w:rPr>
        <w:t xml:space="preserve"> permiten dar un paso histórico </w:t>
      </w:r>
      <w:r w:rsidR="001D0833" w:rsidRPr="001A0F20">
        <w:rPr>
          <w:rFonts w:ascii="Verdana" w:hAnsi="Verdana" w:cs="Times New Roman"/>
          <w:sz w:val="20"/>
          <w:szCs w:val="20"/>
        </w:rPr>
        <w:t>hacia</w:t>
      </w:r>
      <w:r w:rsidR="008D56D9" w:rsidRPr="001A0F20">
        <w:rPr>
          <w:rFonts w:ascii="Verdana" w:hAnsi="Verdana" w:cs="Times New Roman"/>
          <w:sz w:val="20"/>
          <w:szCs w:val="20"/>
        </w:rPr>
        <w:t xml:space="preserve"> una nueva época de la jurisprudencia </w:t>
      </w:r>
      <w:r w:rsidR="00433CA4" w:rsidRPr="001A0F20">
        <w:rPr>
          <w:rFonts w:ascii="Verdana" w:hAnsi="Verdana" w:cs="Times New Roman"/>
          <w:sz w:val="20"/>
          <w:szCs w:val="20"/>
        </w:rPr>
        <w:t>interamericana</w:t>
      </w:r>
      <w:r w:rsidR="008D56D9" w:rsidRPr="001A0F20">
        <w:rPr>
          <w:rFonts w:ascii="Verdana" w:hAnsi="Verdana" w:cs="Times New Roman"/>
          <w:sz w:val="20"/>
          <w:szCs w:val="20"/>
        </w:rPr>
        <w:t>.</w:t>
      </w:r>
      <w:r w:rsidR="00433CA4" w:rsidRPr="001A0F20">
        <w:rPr>
          <w:rFonts w:ascii="Verdana" w:hAnsi="Verdana" w:cs="Times New Roman"/>
          <w:sz w:val="20"/>
          <w:szCs w:val="20"/>
        </w:rPr>
        <w:t xml:space="preserve"> </w:t>
      </w:r>
      <w:r w:rsidR="000D431F" w:rsidRPr="001A0F20">
        <w:rPr>
          <w:rFonts w:ascii="Verdana" w:hAnsi="Verdana" w:cs="Times New Roman"/>
          <w:sz w:val="20"/>
          <w:szCs w:val="20"/>
        </w:rPr>
        <w:t xml:space="preserve">En este sentido, la región interamericana </w:t>
      </w:r>
      <w:r w:rsidR="00392C69" w:rsidRPr="001A0F20">
        <w:rPr>
          <w:rFonts w:ascii="Verdana" w:hAnsi="Verdana" w:cs="Times New Roman"/>
          <w:sz w:val="20"/>
          <w:szCs w:val="20"/>
        </w:rPr>
        <w:t>se dirige</w:t>
      </w:r>
      <w:r w:rsidR="000D431F" w:rsidRPr="001A0F20">
        <w:rPr>
          <w:rFonts w:ascii="Verdana" w:hAnsi="Verdana" w:cs="Times New Roman"/>
          <w:sz w:val="20"/>
          <w:szCs w:val="20"/>
        </w:rPr>
        <w:t xml:space="preserve"> hacia la misma dirección de lo que recientemente diversos países de Naciones Unidas acordaron mediante los Objetivos del Desarrollo Sostenible para el año 2030</w:t>
      </w:r>
      <w:r w:rsidR="000D431F" w:rsidRPr="001A0F20">
        <w:rPr>
          <w:rStyle w:val="FootnoteReference"/>
          <w:rFonts w:ascii="Verdana" w:hAnsi="Verdana" w:cs="Times New Roman"/>
          <w:sz w:val="20"/>
          <w:szCs w:val="20"/>
        </w:rPr>
        <w:footnoteReference w:id="77"/>
      </w:r>
      <w:r w:rsidR="005B3CA3" w:rsidRPr="001A0F20">
        <w:rPr>
          <w:rFonts w:ascii="Verdana" w:hAnsi="Verdana" w:cs="Times New Roman"/>
          <w:sz w:val="20"/>
          <w:szCs w:val="20"/>
        </w:rPr>
        <w:t xml:space="preserve"> (véase </w:t>
      </w:r>
      <w:r w:rsidR="005B3CA3" w:rsidRPr="001A0F20">
        <w:rPr>
          <w:rFonts w:ascii="Verdana" w:hAnsi="Verdana" w:cs="Times New Roman"/>
          <w:i/>
          <w:sz w:val="20"/>
          <w:szCs w:val="20"/>
        </w:rPr>
        <w:t>supra</w:t>
      </w:r>
      <w:r w:rsidR="005B3CA3" w:rsidRPr="001A0F20">
        <w:rPr>
          <w:rFonts w:ascii="Verdana" w:hAnsi="Verdana" w:cs="Times New Roman"/>
          <w:sz w:val="20"/>
          <w:szCs w:val="20"/>
        </w:rPr>
        <w:t xml:space="preserve">, párrafo 4, </w:t>
      </w:r>
      <w:r w:rsidR="005B3CA3" w:rsidRPr="001A0F20">
        <w:rPr>
          <w:rFonts w:ascii="Verdana" w:hAnsi="Verdana" w:cs="Times New Roman"/>
          <w:i/>
          <w:sz w:val="20"/>
          <w:szCs w:val="20"/>
        </w:rPr>
        <w:t>in fine</w:t>
      </w:r>
      <w:r w:rsidR="005B3CA3" w:rsidRPr="001A0F20">
        <w:rPr>
          <w:rFonts w:ascii="Verdana" w:hAnsi="Verdana" w:cs="Times New Roman"/>
          <w:sz w:val="20"/>
          <w:szCs w:val="20"/>
        </w:rPr>
        <w:t>, del presente voto)</w:t>
      </w:r>
      <w:r w:rsidR="005B3CA3" w:rsidRPr="001A0F20">
        <w:rPr>
          <w:rStyle w:val="FootnoteReference"/>
          <w:rFonts w:ascii="Verdana" w:hAnsi="Verdana" w:cs="Times New Roman"/>
          <w:sz w:val="20"/>
          <w:szCs w:val="20"/>
        </w:rPr>
        <w:footnoteReference w:id="78"/>
      </w:r>
      <w:r w:rsidR="000D431F" w:rsidRPr="001A0F20">
        <w:rPr>
          <w:rFonts w:ascii="Verdana" w:hAnsi="Verdana" w:cs="Times New Roman"/>
          <w:sz w:val="20"/>
          <w:szCs w:val="20"/>
        </w:rPr>
        <w:t>.</w:t>
      </w:r>
      <w:r w:rsidR="004D230F" w:rsidRPr="001A0F20">
        <w:rPr>
          <w:rFonts w:ascii="Verdana" w:hAnsi="Verdana" w:cs="Times New Roman"/>
          <w:sz w:val="20"/>
          <w:szCs w:val="20"/>
        </w:rPr>
        <w:t xml:space="preserve"> </w:t>
      </w:r>
      <w:r w:rsidR="00357C25" w:rsidRPr="001A0F20">
        <w:rPr>
          <w:rFonts w:ascii="Verdana" w:hAnsi="Verdana" w:cs="Times New Roman"/>
          <w:sz w:val="20"/>
          <w:szCs w:val="20"/>
        </w:rPr>
        <w:t xml:space="preserve">No debe pasar inadvertido, como </w:t>
      </w:r>
      <w:r w:rsidR="004D230F" w:rsidRPr="001A0F20">
        <w:rPr>
          <w:rFonts w:ascii="Verdana" w:hAnsi="Verdana" w:cs="Times New Roman"/>
          <w:sz w:val="20"/>
          <w:szCs w:val="20"/>
        </w:rPr>
        <w:t>bien señala la C</w:t>
      </w:r>
      <w:r w:rsidR="00B031D0" w:rsidRPr="001A0F20">
        <w:rPr>
          <w:rFonts w:ascii="Verdana" w:hAnsi="Verdana" w:cs="Times New Roman"/>
          <w:sz w:val="20"/>
          <w:szCs w:val="20"/>
        </w:rPr>
        <w:t xml:space="preserve">omisión </w:t>
      </w:r>
      <w:r w:rsidR="004D230F" w:rsidRPr="001A0F20">
        <w:rPr>
          <w:rFonts w:ascii="Verdana" w:hAnsi="Verdana" w:cs="Times New Roman"/>
          <w:sz w:val="20"/>
          <w:szCs w:val="20"/>
        </w:rPr>
        <w:t>E</w:t>
      </w:r>
      <w:r w:rsidR="00B031D0" w:rsidRPr="001A0F20">
        <w:rPr>
          <w:rFonts w:ascii="Verdana" w:hAnsi="Verdana" w:cs="Times New Roman"/>
          <w:sz w:val="20"/>
          <w:szCs w:val="20"/>
        </w:rPr>
        <w:t>conómica para América Latina y el Caribe (CEPAL)</w:t>
      </w:r>
      <w:r w:rsidR="00357C25" w:rsidRPr="001A0F20">
        <w:rPr>
          <w:rFonts w:ascii="Verdana" w:hAnsi="Verdana" w:cs="Times New Roman"/>
          <w:sz w:val="20"/>
          <w:szCs w:val="20"/>
        </w:rPr>
        <w:t>, que actualmente la desigualdad</w:t>
      </w:r>
      <w:r w:rsidR="00B031D0" w:rsidRPr="001A0F20">
        <w:rPr>
          <w:rFonts w:ascii="Verdana" w:hAnsi="Verdana" w:cs="Times New Roman"/>
          <w:sz w:val="20"/>
          <w:szCs w:val="20"/>
        </w:rPr>
        <w:t xml:space="preserve"> social en nuestra región</w:t>
      </w:r>
      <w:r w:rsidR="007D68DD" w:rsidRPr="001A0F20">
        <w:rPr>
          <w:rFonts w:ascii="Verdana" w:hAnsi="Verdana" w:cs="Times New Roman"/>
          <w:sz w:val="20"/>
          <w:szCs w:val="20"/>
        </w:rPr>
        <w:t xml:space="preserve"> constituye un obstáculo para el desarr</w:t>
      </w:r>
      <w:r w:rsidR="00B031D0" w:rsidRPr="001A0F20">
        <w:rPr>
          <w:rFonts w:ascii="Verdana" w:hAnsi="Verdana" w:cs="Times New Roman"/>
          <w:sz w:val="20"/>
          <w:szCs w:val="20"/>
        </w:rPr>
        <w:t xml:space="preserve">ollo sostenible. </w:t>
      </w:r>
      <w:r w:rsidR="00B031D0" w:rsidRPr="00DC30B4">
        <w:rPr>
          <w:rFonts w:ascii="Verdana" w:hAnsi="Verdana" w:cs="Times New Roman"/>
          <w:sz w:val="20"/>
          <w:szCs w:val="20"/>
        </w:rPr>
        <w:t>Y en ese sentido</w:t>
      </w:r>
      <w:r w:rsidR="007D68DD" w:rsidRPr="00151A7C">
        <w:rPr>
          <w:rFonts w:ascii="Verdana" w:hAnsi="Verdana" w:cs="Times New Roman"/>
          <w:sz w:val="20"/>
          <w:szCs w:val="20"/>
        </w:rPr>
        <w:t xml:space="preserve"> </w:t>
      </w:r>
      <w:r w:rsidR="009100B2">
        <w:rPr>
          <w:rFonts w:ascii="Verdana" w:hAnsi="Verdana" w:cs="Times New Roman"/>
          <w:sz w:val="20"/>
          <w:szCs w:val="20"/>
        </w:rPr>
        <w:t>—</w:t>
      </w:r>
      <w:r w:rsidR="0063640C" w:rsidRPr="00805C3A">
        <w:rPr>
          <w:rFonts w:ascii="Verdana" w:hAnsi="Verdana" w:cs="Times New Roman"/>
          <w:sz w:val="20"/>
          <w:szCs w:val="20"/>
        </w:rPr>
        <w:t>sostiene la CEPAL</w:t>
      </w:r>
      <w:r w:rsidR="009100B2">
        <w:rPr>
          <w:rFonts w:ascii="Verdana" w:hAnsi="Verdana" w:cs="Times New Roman"/>
          <w:sz w:val="20"/>
          <w:szCs w:val="20"/>
        </w:rPr>
        <w:t>—</w:t>
      </w:r>
      <w:r w:rsidR="0063640C" w:rsidRPr="00805C3A">
        <w:rPr>
          <w:rFonts w:ascii="Verdana" w:hAnsi="Verdana" w:cs="Times New Roman"/>
          <w:sz w:val="20"/>
          <w:szCs w:val="20"/>
        </w:rPr>
        <w:t xml:space="preserve"> que </w:t>
      </w:r>
      <w:r w:rsidR="00357C25" w:rsidRPr="00DC30B4">
        <w:rPr>
          <w:rFonts w:ascii="Verdana" w:hAnsi="Verdana" w:cs="Times New Roman"/>
          <w:sz w:val="20"/>
          <w:szCs w:val="20"/>
        </w:rPr>
        <w:t>“</w:t>
      </w:r>
      <w:r w:rsidR="00357C25" w:rsidRPr="00BA6F15">
        <w:rPr>
          <w:rFonts w:ascii="Verdana" w:eastAsia="Times New Roman" w:hAnsi="Verdana" w:cs="Times New Roman"/>
          <w:sz w:val="20"/>
          <w:szCs w:val="20"/>
          <w:lang w:val="es-MX"/>
        </w:rPr>
        <w:t xml:space="preserve">la igualdad de derechos es el eje primordial de la igualdad”, entendida como la </w:t>
      </w:r>
      <w:r w:rsidR="003E31FE" w:rsidRPr="00BA6F15">
        <w:rPr>
          <w:rFonts w:ascii="Verdana" w:eastAsia="Times New Roman" w:hAnsi="Verdana" w:cs="Times New Roman"/>
          <w:sz w:val="20"/>
          <w:szCs w:val="20"/>
          <w:lang w:val="es-MX"/>
        </w:rPr>
        <w:t>“</w:t>
      </w:r>
      <w:r w:rsidR="00357C25" w:rsidRPr="00BA6F15">
        <w:rPr>
          <w:rFonts w:ascii="Verdana" w:eastAsia="Times New Roman" w:hAnsi="Verdana" w:cs="Times New Roman"/>
          <w:sz w:val="20"/>
          <w:szCs w:val="20"/>
          <w:lang w:val="es-MX"/>
        </w:rPr>
        <w:t>plena titularidad</w:t>
      </w:r>
      <w:r w:rsidR="003E31FE" w:rsidRPr="00BA6F15">
        <w:rPr>
          <w:rFonts w:ascii="Verdana" w:eastAsia="Times New Roman" w:hAnsi="Verdana" w:cs="Times New Roman"/>
          <w:sz w:val="20"/>
          <w:szCs w:val="20"/>
          <w:lang w:val="es-MX"/>
        </w:rPr>
        <w:t>"</w:t>
      </w:r>
      <w:r w:rsidR="00357C25" w:rsidRPr="00BA6F15">
        <w:rPr>
          <w:rFonts w:ascii="Verdana" w:eastAsia="Times New Roman" w:hAnsi="Verdana" w:cs="Times New Roman"/>
          <w:sz w:val="20"/>
          <w:szCs w:val="20"/>
          <w:lang w:val="es-MX"/>
        </w:rPr>
        <w:t xml:space="preserve"> </w:t>
      </w:r>
      <w:r w:rsidR="00E1438E" w:rsidRPr="00BA6F15">
        <w:rPr>
          <w:rFonts w:ascii="Verdana" w:eastAsia="Times New Roman" w:hAnsi="Verdana" w:cs="Times New Roman"/>
          <w:sz w:val="20"/>
          <w:szCs w:val="20"/>
          <w:lang w:val="es-MX"/>
        </w:rPr>
        <w:t>para el</w:t>
      </w:r>
      <w:r w:rsidR="00B031D0" w:rsidRPr="00BA6F15">
        <w:rPr>
          <w:rFonts w:ascii="Verdana" w:eastAsia="Times New Roman" w:hAnsi="Verdana" w:cs="Times New Roman"/>
          <w:sz w:val="20"/>
          <w:szCs w:val="20"/>
          <w:lang w:val="es-MX"/>
        </w:rPr>
        <w:t xml:space="preserve"> ejercicio </w:t>
      </w:r>
      <w:r w:rsidR="00357C25" w:rsidRPr="00BA6F15">
        <w:rPr>
          <w:rFonts w:ascii="Verdana" w:eastAsia="Times New Roman" w:hAnsi="Verdana" w:cs="Times New Roman"/>
          <w:sz w:val="20"/>
          <w:szCs w:val="20"/>
          <w:lang w:val="es-MX"/>
        </w:rPr>
        <w:t>de los derechos económicos, sociales, culturales y medioambientales</w:t>
      </w:r>
      <w:r w:rsidR="00357C25" w:rsidRPr="00DC30B4">
        <w:rPr>
          <w:rStyle w:val="FootnoteReference"/>
          <w:rFonts w:ascii="Verdana" w:hAnsi="Verdana" w:cs="Times New Roman"/>
          <w:sz w:val="20"/>
          <w:szCs w:val="20"/>
        </w:rPr>
        <w:footnoteReference w:id="79"/>
      </w:r>
      <w:r w:rsidR="00357C25" w:rsidRPr="00BA6F15">
        <w:rPr>
          <w:rFonts w:ascii="Verdana" w:eastAsia="Times New Roman" w:hAnsi="Verdana" w:cs="Times New Roman"/>
          <w:sz w:val="20"/>
          <w:szCs w:val="20"/>
          <w:lang w:val="es-MX"/>
        </w:rPr>
        <w:t>.</w:t>
      </w:r>
    </w:p>
    <w:p w14:paraId="161BB608" w14:textId="77777777" w:rsidR="00D36B44" w:rsidRDefault="00D36B44" w:rsidP="00AD360E">
      <w:pPr>
        <w:pStyle w:val="ListParagraph"/>
        <w:ind w:left="0"/>
        <w:jc w:val="both"/>
        <w:rPr>
          <w:rFonts w:ascii="Times" w:hAnsi="Times" w:cs="Times New Roman"/>
          <w:sz w:val="20"/>
          <w:szCs w:val="20"/>
        </w:rPr>
      </w:pPr>
    </w:p>
    <w:p w14:paraId="6DC55270" w14:textId="77777777" w:rsidR="001C21C2" w:rsidRPr="00D36B44" w:rsidRDefault="001C21C2" w:rsidP="00AD360E">
      <w:pPr>
        <w:pStyle w:val="ListParagraph"/>
        <w:ind w:left="0"/>
        <w:jc w:val="both"/>
        <w:rPr>
          <w:rFonts w:ascii="Times" w:hAnsi="Times" w:cs="Times New Roman"/>
          <w:sz w:val="20"/>
          <w:szCs w:val="20"/>
        </w:rPr>
      </w:pPr>
    </w:p>
    <w:p w14:paraId="70791EF1" w14:textId="50796831" w:rsidR="00D36B44" w:rsidRPr="00D36B44" w:rsidRDefault="00D36B44" w:rsidP="00AD360E">
      <w:pPr>
        <w:pStyle w:val="ListParagraph"/>
        <w:numPr>
          <w:ilvl w:val="0"/>
          <w:numId w:val="2"/>
        </w:numPr>
        <w:ind w:left="0" w:firstLine="0"/>
        <w:jc w:val="both"/>
        <w:rPr>
          <w:rFonts w:ascii="Times" w:hAnsi="Times" w:cs="Times New Roman"/>
          <w:sz w:val="20"/>
          <w:szCs w:val="20"/>
        </w:rPr>
      </w:pPr>
      <w:r w:rsidRPr="00D36B44">
        <w:rPr>
          <w:rFonts w:ascii="Verdana" w:hAnsi="Verdana"/>
          <w:sz w:val="20"/>
          <w:szCs w:val="20"/>
        </w:rPr>
        <w:t xml:space="preserve">Este caso muestra cómo la afectación a un derecho catalogado como social no conlleva necesariamente a la necesidad de evaluaciones sobre la progresividad o no regresividad, o sobre aspectos sobre la disponibilidad de recursos, o sobre la legislación o marcos regulatorios generales o políticas públicas. Pensar que los derechos sociales se reducen a este tipo de análisis es perpetuar los falsos mitos </w:t>
      </w:r>
      <w:r w:rsidR="009D47C0">
        <w:rPr>
          <w:rFonts w:ascii="Verdana" w:hAnsi="Verdana"/>
          <w:sz w:val="20"/>
          <w:szCs w:val="20"/>
        </w:rPr>
        <w:t>relativos a</w:t>
      </w:r>
      <w:r w:rsidR="001D0833">
        <w:rPr>
          <w:rFonts w:ascii="Verdana" w:hAnsi="Verdana"/>
          <w:sz w:val="20"/>
          <w:szCs w:val="20"/>
        </w:rPr>
        <w:t xml:space="preserve"> que los DESCA so</w:t>
      </w:r>
      <w:r w:rsidRPr="00D36B44">
        <w:rPr>
          <w:rFonts w:ascii="Verdana" w:hAnsi="Verdana"/>
          <w:sz w:val="20"/>
          <w:szCs w:val="20"/>
        </w:rPr>
        <w:t>lo dependen del paso d</w:t>
      </w:r>
      <w:r w:rsidR="001D0833">
        <w:rPr>
          <w:rFonts w:ascii="Verdana" w:hAnsi="Verdana"/>
          <w:sz w:val="20"/>
          <w:szCs w:val="20"/>
        </w:rPr>
        <w:t>el tiempo para ser garantizados.</w:t>
      </w:r>
      <w:r w:rsidR="003B0E36">
        <w:rPr>
          <w:rFonts w:ascii="Verdana" w:hAnsi="Verdana"/>
          <w:sz w:val="20"/>
          <w:szCs w:val="20"/>
        </w:rPr>
        <w:t xml:space="preserve"> Esta creencia </w:t>
      </w:r>
      <w:r w:rsidR="004E7851">
        <w:rPr>
          <w:rFonts w:ascii="Verdana" w:hAnsi="Verdana"/>
          <w:sz w:val="20"/>
          <w:szCs w:val="20"/>
        </w:rPr>
        <w:t>no tiene</w:t>
      </w:r>
      <w:r w:rsidR="001D0833">
        <w:rPr>
          <w:rFonts w:ascii="Verdana" w:hAnsi="Verdana"/>
          <w:sz w:val="20"/>
          <w:szCs w:val="20"/>
        </w:rPr>
        <w:t xml:space="preserve"> en cuenta</w:t>
      </w:r>
      <w:r w:rsidRPr="00D36B44">
        <w:rPr>
          <w:rFonts w:ascii="Verdana" w:hAnsi="Verdana"/>
          <w:sz w:val="20"/>
          <w:szCs w:val="20"/>
        </w:rPr>
        <w:t xml:space="preserve"> que existen las obligaciones </w:t>
      </w:r>
      <w:r w:rsidR="00392C69">
        <w:rPr>
          <w:rFonts w:ascii="Verdana" w:hAnsi="Verdana"/>
          <w:sz w:val="20"/>
          <w:szCs w:val="20"/>
        </w:rPr>
        <w:t xml:space="preserve">estatales </w:t>
      </w:r>
      <w:r w:rsidRPr="00D36B44">
        <w:rPr>
          <w:rFonts w:ascii="Verdana" w:hAnsi="Verdana"/>
          <w:sz w:val="20"/>
          <w:szCs w:val="20"/>
        </w:rPr>
        <w:t>de respeto y garantía, que son aplicabl</w:t>
      </w:r>
      <w:r w:rsidR="009D47C0">
        <w:rPr>
          <w:rFonts w:ascii="Verdana" w:hAnsi="Verdana"/>
          <w:sz w:val="20"/>
          <w:szCs w:val="20"/>
        </w:rPr>
        <w:t>es a todos los derechos humanos sin distinción.</w:t>
      </w:r>
      <w:r w:rsidRPr="00D36B44">
        <w:rPr>
          <w:rFonts w:ascii="Verdana" w:hAnsi="Verdana"/>
          <w:sz w:val="20"/>
          <w:szCs w:val="20"/>
        </w:rPr>
        <w:t xml:space="preserve"> </w:t>
      </w:r>
      <w:r w:rsidR="003B0E36">
        <w:rPr>
          <w:rFonts w:ascii="Verdana" w:hAnsi="Verdana"/>
          <w:sz w:val="20"/>
          <w:szCs w:val="20"/>
        </w:rPr>
        <w:t xml:space="preserve">No se pretende judicializar las políticas públicas sociales, sino de lograr la protección </w:t>
      </w:r>
      <w:r w:rsidR="00CD4D68">
        <w:rPr>
          <w:rFonts w:ascii="Verdana" w:hAnsi="Verdana"/>
          <w:sz w:val="20"/>
          <w:szCs w:val="20"/>
        </w:rPr>
        <w:t xml:space="preserve">efectiva </w:t>
      </w:r>
      <w:r w:rsidR="003B0E36">
        <w:rPr>
          <w:rFonts w:ascii="Verdana" w:hAnsi="Verdana"/>
          <w:sz w:val="20"/>
          <w:szCs w:val="20"/>
        </w:rPr>
        <w:t xml:space="preserve">de los derechos </w:t>
      </w:r>
      <w:r w:rsidR="00CD4D68">
        <w:rPr>
          <w:rFonts w:ascii="Verdana" w:hAnsi="Verdana"/>
          <w:sz w:val="20"/>
          <w:szCs w:val="20"/>
        </w:rPr>
        <w:t xml:space="preserve">humanos </w:t>
      </w:r>
      <w:r w:rsidR="003B0E36">
        <w:rPr>
          <w:rFonts w:ascii="Verdana" w:hAnsi="Verdana"/>
          <w:sz w:val="20"/>
          <w:szCs w:val="20"/>
        </w:rPr>
        <w:t>en un caso particular.</w:t>
      </w:r>
    </w:p>
    <w:p w14:paraId="4C33AD9A" w14:textId="77777777" w:rsidR="00D36B44" w:rsidRDefault="00D36B44" w:rsidP="00AD360E">
      <w:pPr>
        <w:pStyle w:val="ListParagraph"/>
        <w:ind w:left="0"/>
        <w:jc w:val="both"/>
        <w:rPr>
          <w:rFonts w:ascii="Times" w:hAnsi="Times" w:cs="Times New Roman"/>
          <w:sz w:val="20"/>
          <w:szCs w:val="20"/>
        </w:rPr>
      </w:pPr>
    </w:p>
    <w:p w14:paraId="45F878BD" w14:textId="77777777" w:rsidR="001C21C2" w:rsidRPr="00D36B44" w:rsidRDefault="001C21C2" w:rsidP="00AD360E">
      <w:pPr>
        <w:pStyle w:val="ListParagraph"/>
        <w:ind w:left="0"/>
        <w:jc w:val="both"/>
        <w:rPr>
          <w:rFonts w:ascii="Times" w:hAnsi="Times" w:cs="Times New Roman"/>
          <w:sz w:val="20"/>
          <w:szCs w:val="20"/>
        </w:rPr>
      </w:pPr>
    </w:p>
    <w:p w14:paraId="4BFED8BB" w14:textId="35747CD3" w:rsidR="009100B2" w:rsidRPr="009B48FD" w:rsidRDefault="00911447" w:rsidP="00AD360E">
      <w:pPr>
        <w:pStyle w:val="ListParagraph"/>
        <w:numPr>
          <w:ilvl w:val="0"/>
          <w:numId w:val="2"/>
        </w:numPr>
        <w:ind w:left="0" w:firstLine="0"/>
        <w:jc w:val="both"/>
        <w:rPr>
          <w:rFonts w:ascii="Times" w:hAnsi="Times" w:cs="Times New Roman"/>
          <w:sz w:val="20"/>
          <w:szCs w:val="20"/>
        </w:rPr>
      </w:pPr>
      <w:r>
        <w:rPr>
          <w:rFonts w:ascii="Verdana" w:hAnsi="Verdana" w:cs="Times New Roman"/>
          <w:sz w:val="20"/>
          <w:szCs w:val="20"/>
        </w:rPr>
        <w:t xml:space="preserve">A partir de ahora, el </w:t>
      </w:r>
      <w:r w:rsidR="002E0C2B" w:rsidRPr="004E66B4">
        <w:rPr>
          <w:rFonts w:ascii="Verdana" w:hAnsi="Verdana" w:cs="Times New Roman"/>
          <w:sz w:val="20"/>
          <w:szCs w:val="20"/>
        </w:rPr>
        <w:t xml:space="preserve">Tribunal Interamericano </w:t>
      </w:r>
      <w:r w:rsidR="008D56D9" w:rsidRPr="004E66B4">
        <w:rPr>
          <w:rFonts w:ascii="Verdana" w:hAnsi="Verdana" w:cs="Times New Roman"/>
          <w:sz w:val="20"/>
          <w:szCs w:val="20"/>
        </w:rPr>
        <w:t>puede abordar</w:t>
      </w:r>
      <w:r w:rsidR="002E0C2B" w:rsidRPr="004E66B4">
        <w:rPr>
          <w:rFonts w:ascii="Verdana" w:hAnsi="Verdana" w:cs="Times New Roman"/>
          <w:sz w:val="20"/>
          <w:szCs w:val="20"/>
        </w:rPr>
        <w:t xml:space="preserve"> la</w:t>
      </w:r>
      <w:r w:rsidR="008D56D9" w:rsidRPr="004E66B4">
        <w:rPr>
          <w:rFonts w:ascii="Verdana" w:hAnsi="Verdana" w:cs="Times New Roman"/>
          <w:sz w:val="20"/>
          <w:szCs w:val="20"/>
        </w:rPr>
        <w:t>s</w:t>
      </w:r>
      <w:r w:rsidR="002E0C2B" w:rsidRPr="004E66B4">
        <w:rPr>
          <w:rFonts w:ascii="Verdana" w:hAnsi="Verdana" w:cs="Times New Roman"/>
          <w:sz w:val="20"/>
          <w:szCs w:val="20"/>
        </w:rPr>
        <w:t xml:space="preserve"> </w:t>
      </w:r>
      <w:r w:rsidR="008D56D9" w:rsidRPr="004E66B4">
        <w:rPr>
          <w:rFonts w:ascii="Verdana" w:hAnsi="Verdana" w:cs="Times New Roman"/>
          <w:sz w:val="20"/>
          <w:szCs w:val="20"/>
        </w:rPr>
        <w:t xml:space="preserve">diversas </w:t>
      </w:r>
      <w:r w:rsidR="001E765A" w:rsidRPr="004E66B4">
        <w:rPr>
          <w:rFonts w:ascii="Verdana" w:hAnsi="Verdana" w:cs="Times New Roman"/>
          <w:sz w:val="20"/>
          <w:szCs w:val="20"/>
        </w:rPr>
        <w:t>problemáticas</w:t>
      </w:r>
      <w:r w:rsidR="008D56D9" w:rsidRPr="004E66B4">
        <w:rPr>
          <w:rFonts w:ascii="Verdana" w:hAnsi="Verdana" w:cs="Times New Roman"/>
          <w:sz w:val="20"/>
          <w:szCs w:val="20"/>
        </w:rPr>
        <w:t xml:space="preserve"> que se le presenten</w:t>
      </w:r>
      <w:r w:rsidR="00A71C8C">
        <w:rPr>
          <w:rFonts w:ascii="Verdana" w:hAnsi="Verdana" w:cs="Times New Roman"/>
          <w:sz w:val="20"/>
          <w:szCs w:val="20"/>
        </w:rPr>
        <w:t>,</w:t>
      </w:r>
      <w:r w:rsidR="008D56D9" w:rsidRPr="004E66B4">
        <w:rPr>
          <w:rFonts w:ascii="Verdana" w:hAnsi="Verdana" w:cs="Times New Roman"/>
          <w:sz w:val="20"/>
          <w:szCs w:val="20"/>
        </w:rPr>
        <w:t xml:space="preserve"> ya no </w:t>
      </w:r>
      <w:r w:rsidR="00215A56">
        <w:rPr>
          <w:rFonts w:ascii="Verdana" w:hAnsi="Verdana" w:cs="Times New Roman"/>
          <w:sz w:val="20"/>
          <w:szCs w:val="20"/>
        </w:rPr>
        <w:t xml:space="preserve">a </w:t>
      </w:r>
      <w:r w:rsidR="008D56D9" w:rsidRPr="004E66B4">
        <w:rPr>
          <w:rFonts w:ascii="Verdana" w:hAnsi="Verdana" w:cs="Times New Roman"/>
          <w:sz w:val="20"/>
          <w:szCs w:val="20"/>
        </w:rPr>
        <w:t xml:space="preserve">través de la conexidad </w:t>
      </w:r>
      <w:r w:rsidR="00215A56">
        <w:rPr>
          <w:rFonts w:ascii="Verdana" w:hAnsi="Verdana" w:cs="Times New Roman"/>
          <w:sz w:val="20"/>
          <w:szCs w:val="20"/>
        </w:rPr>
        <w:t xml:space="preserve">o vía </w:t>
      </w:r>
      <w:r w:rsidR="008D56D9" w:rsidRPr="004E66B4">
        <w:rPr>
          <w:rFonts w:ascii="Verdana" w:hAnsi="Verdana" w:cs="Times New Roman"/>
          <w:sz w:val="20"/>
          <w:szCs w:val="20"/>
        </w:rPr>
        <w:t>indirecta</w:t>
      </w:r>
      <w:r w:rsidR="00215A56">
        <w:rPr>
          <w:rFonts w:ascii="Verdana" w:hAnsi="Verdana" w:cs="Times New Roman"/>
          <w:sz w:val="20"/>
          <w:szCs w:val="20"/>
        </w:rPr>
        <w:t xml:space="preserve">, </w:t>
      </w:r>
      <w:r w:rsidR="008D56D9" w:rsidRPr="004E66B4">
        <w:rPr>
          <w:rFonts w:ascii="Verdana" w:hAnsi="Verdana" w:cs="Times New Roman"/>
          <w:sz w:val="20"/>
          <w:szCs w:val="20"/>
        </w:rPr>
        <w:t xml:space="preserve"> </w:t>
      </w:r>
      <w:r w:rsidR="001E765A" w:rsidRPr="004E66B4">
        <w:rPr>
          <w:rFonts w:ascii="Verdana" w:hAnsi="Verdana" w:cs="Times New Roman"/>
          <w:sz w:val="20"/>
          <w:szCs w:val="20"/>
        </w:rPr>
        <w:t>subsumiendo</w:t>
      </w:r>
      <w:r w:rsidR="008D56D9" w:rsidRPr="004E66B4">
        <w:rPr>
          <w:rFonts w:ascii="Verdana" w:hAnsi="Verdana" w:cs="Times New Roman"/>
          <w:sz w:val="20"/>
          <w:szCs w:val="20"/>
        </w:rPr>
        <w:t xml:space="preserve"> el contenido de los </w:t>
      </w:r>
      <w:r w:rsidR="009D47C0">
        <w:rPr>
          <w:rFonts w:ascii="Verdana" w:hAnsi="Verdana" w:cs="Times New Roman"/>
          <w:sz w:val="20"/>
          <w:szCs w:val="20"/>
        </w:rPr>
        <w:t>DESCA</w:t>
      </w:r>
      <w:r w:rsidR="008D56D9" w:rsidRPr="004E66B4">
        <w:rPr>
          <w:rFonts w:ascii="Verdana" w:hAnsi="Verdana" w:cs="Times New Roman"/>
          <w:sz w:val="20"/>
          <w:szCs w:val="20"/>
        </w:rPr>
        <w:t xml:space="preserve"> en los derechos civiles y </w:t>
      </w:r>
      <w:r w:rsidR="001E765A" w:rsidRPr="004E66B4">
        <w:rPr>
          <w:rFonts w:ascii="Verdana" w:hAnsi="Verdana" w:cs="Times New Roman"/>
          <w:sz w:val="20"/>
          <w:szCs w:val="20"/>
        </w:rPr>
        <w:t>políticos</w:t>
      </w:r>
      <w:r>
        <w:rPr>
          <w:rFonts w:ascii="Verdana" w:hAnsi="Verdana" w:cs="Times New Roman"/>
          <w:sz w:val="20"/>
          <w:szCs w:val="20"/>
        </w:rPr>
        <w:t xml:space="preserve">; sino teniendo </w:t>
      </w:r>
      <w:r w:rsidR="008D56D9" w:rsidRPr="004E66B4">
        <w:rPr>
          <w:rFonts w:ascii="Verdana" w:hAnsi="Verdana" w:cs="Times New Roman"/>
          <w:sz w:val="20"/>
          <w:szCs w:val="20"/>
        </w:rPr>
        <w:t xml:space="preserve">una visión </w:t>
      </w:r>
      <w:r w:rsidR="001B1154">
        <w:rPr>
          <w:rFonts w:ascii="Verdana" w:hAnsi="Verdana" w:cs="Times New Roman"/>
          <w:sz w:val="20"/>
          <w:szCs w:val="20"/>
        </w:rPr>
        <w:t>social más</w:t>
      </w:r>
      <w:r w:rsidR="00433CA4">
        <w:rPr>
          <w:rFonts w:ascii="Verdana" w:hAnsi="Verdana" w:cs="Times New Roman"/>
          <w:sz w:val="20"/>
          <w:szCs w:val="20"/>
        </w:rPr>
        <w:t xml:space="preserve"> </w:t>
      </w:r>
      <w:r w:rsidR="008D56D9" w:rsidRPr="004E66B4">
        <w:rPr>
          <w:rFonts w:ascii="Verdana" w:hAnsi="Verdana" w:cs="Times New Roman"/>
          <w:sz w:val="20"/>
          <w:szCs w:val="20"/>
        </w:rPr>
        <w:t xml:space="preserve">amplia de las violaciones que se presenten en los futuros casos. Advierto que la </w:t>
      </w:r>
      <w:r w:rsidR="001E765A" w:rsidRPr="004E66B4">
        <w:rPr>
          <w:rFonts w:ascii="Verdana" w:hAnsi="Verdana" w:cs="Times New Roman"/>
          <w:sz w:val="20"/>
          <w:szCs w:val="20"/>
        </w:rPr>
        <w:t>cuestión</w:t>
      </w:r>
      <w:r w:rsidR="008D56D9" w:rsidRPr="004E66B4">
        <w:rPr>
          <w:rFonts w:ascii="Verdana" w:hAnsi="Verdana" w:cs="Times New Roman"/>
          <w:sz w:val="20"/>
          <w:szCs w:val="20"/>
        </w:rPr>
        <w:t xml:space="preserve"> reviste </w:t>
      </w:r>
      <w:r w:rsidR="008339ED">
        <w:rPr>
          <w:rFonts w:ascii="Verdana" w:hAnsi="Verdana" w:cs="Times New Roman"/>
          <w:sz w:val="20"/>
          <w:szCs w:val="20"/>
        </w:rPr>
        <w:t xml:space="preserve">especial </w:t>
      </w:r>
      <w:r w:rsidR="008D56D9" w:rsidRPr="004E66B4">
        <w:rPr>
          <w:rFonts w:ascii="Verdana" w:hAnsi="Verdana" w:cs="Times New Roman"/>
          <w:sz w:val="20"/>
          <w:szCs w:val="20"/>
        </w:rPr>
        <w:t>importancia</w:t>
      </w:r>
      <w:r w:rsidR="008339ED">
        <w:rPr>
          <w:rFonts w:ascii="Verdana" w:hAnsi="Verdana" w:cs="Times New Roman"/>
          <w:sz w:val="20"/>
          <w:szCs w:val="20"/>
        </w:rPr>
        <w:t xml:space="preserve"> en la región latinoamericana</w:t>
      </w:r>
      <w:r w:rsidR="008D56D9" w:rsidRPr="004E66B4">
        <w:rPr>
          <w:rFonts w:ascii="Verdana" w:hAnsi="Verdana" w:cs="Times New Roman"/>
          <w:sz w:val="20"/>
          <w:szCs w:val="20"/>
        </w:rPr>
        <w:t>,</w:t>
      </w:r>
      <w:r w:rsidR="008339ED">
        <w:rPr>
          <w:rFonts w:ascii="Verdana" w:hAnsi="Verdana" w:cs="Times New Roman"/>
          <w:sz w:val="20"/>
          <w:szCs w:val="20"/>
        </w:rPr>
        <w:t xml:space="preserve"> </w:t>
      </w:r>
      <w:r w:rsidR="004D230F">
        <w:rPr>
          <w:rFonts w:ascii="Verdana" w:hAnsi="Verdana" w:cs="Times New Roman"/>
          <w:sz w:val="20"/>
          <w:szCs w:val="20"/>
        </w:rPr>
        <w:t>que mantiene</w:t>
      </w:r>
      <w:r w:rsidR="008339ED">
        <w:rPr>
          <w:rFonts w:ascii="Verdana" w:hAnsi="Verdana" w:cs="Times New Roman"/>
          <w:sz w:val="20"/>
          <w:szCs w:val="20"/>
        </w:rPr>
        <w:t xml:space="preserve"> altos índices de inequidad, desigualdad, pobreza y exclusión social. Estoy convencido que esta nueva visión</w:t>
      </w:r>
      <w:r w:rsidR="00983773">
        <w:rPr>
          <w:rFonts w:ascii="Verdana" w:hAnsi="Verdana" w:cs="Times New Roman"/>
          <w:sz w:val="20"/>
          <w:szCs w:val="20"/>
        </w:rPr>
        <w:t xml:space="preserve"> de los derechos sociales</w:t>
      </w:r>
      <w:r w:rsidR="00D80EF4">
        <w:rPr>
          <w:rFonts w:ascii="Verdana" w:hAnsi="Verdana" w:cs="Times New Roman"/>
          <w:sz w:val="20"/>
          <w:szCs w:val="20"/>
        </w:rPr>
        <w:t xml:space="preserve"> interamericanos</w:t>
      </w:r>
      <w:r w:rsidR="008339ED">
        <w:rPr>
          <w:rFonts w:ascii="Verdana" w:hAnsi="Verdana" w:cs="Times New Roman"/>
          <w:sz w:val="20"/>
          <w:szCs w:val="20"/>
        </w:rPr>
        <w:t>, permitirá</w:t>
      </w:r>
      <w:r w:rsidR="008D56D9" w:rsidRPr="004E66B4">
        <w:rPr>
          <w:rFonts w:ascii="Verdana" w:hAnsi="Verdana" w:cs="Times New Roman"/>
          <w:sz w:val="20"/>
          <w:szCs w:val="20"/>
        </w:rPr>
        <w:t xml:space="preserve"> el </w:t>
      </w:r>
      <w:r w:rsidR="001E765A" w:rsidRPr="004E66B4">
        <w:rPr>
          <w:rFonts w:ascii="Verdana" w:hAnsi="Verdana" w:cs="Times New Roman"/>
          <w:sz w:val="20"/>
          <w:szCs w:val="20"/>
        </w:rPr>
        <w:t>análisis</w:t>
      </w:r>
      <w:r w:rsidR="008D56D9" w:rsidRPr="004E66B4">
        <w:rPr>
          <w:rFonts w:ascii="Verdana" w:hAnsi="Verdana" w:cs="Times New Roman"/>
          <w:sz w:val="20"/>
          <w:szCs w:val="20"/>
        </w:rPr>
        <w:t xml:space="preserve"> </w:t>
      </w:r>
      <w:r w:rsidR="001E765A" w:rsidRPr="004E66B4">
        <w:rPr>
          <w:rFonts w:ascii="Verdana" w:hAnsi="Verdana" w:cs="Times New Roman"/>
          <w:sz w:val="20"/>
          <w:szCs w:val="20"/>
        </w:rPr>
        <w:t>más</w:t>
      </w:r>
      <w:r w:rsidR="008D56D9" w:rsidRPr="004E66B4">
        <w:rPr>
          <w:rFonts w:ascii="Verdana" w:hAnsi="Verdana" w:cs="Times New Roman"/>
          <w:sz w:val="20"/>
          <w:szCs w:val="20"/>
        </w:rPr>
        <w:t xml:space="preserve"> detallado y comprensivo de los derechos y obligaciones comprometidos</w:t>
      </w:r>
      <w:r w:rsidR="008339ED">
        <w:rPr>
          <w:rFonts w:ascii="Verdana" w:hAnsi="Verdana" w:cs="Times New Roman"/>
          <w:sz w:val="20"/>
          <w:szCs w:val="20"/>
        </w:rPr>
        <w:t xml:space="preserve"> en un caso</w:t>
      </w:r>
      <w:r w:rsidR="00CF0983">
        <w:rPr>
          <w:rFonts w:ascii="Verdana" w:hAnsi="Verdana" w:cs="Times New Roman"/>
          <w:sz w:val="20"/>
          <w:szCs w:val="20"/>
        </w:rPr>
        <w:t>,</w:t>
      </w:r>
      <w:r w:rsidR="008D56D9" w:rsidRPr="004E66B4">
        <w:rPr>
          <w:rFonts w:ascii="Verdana" w:hAnsi="Verdana" w:cs="Times New Roman"/>
          <w:sz w:val="20"/>
          <w:szCs w:val="20"/>
        </w:rPr>
        <w:t xml:space="preserve"> </w:t>
      </w:r>
      <w:r w:rsidR="008339ED">
        <w:rPr>
          <w:rFonts w:ascii="Verdana" w:hAnsi="Verdana" w:cs="Times New Roman"/>
          <w:sz w:val="20"/>
          <w:szCs w:val="20"/>
        </w:rPr>
        <w:t>permitiendo</w:t>
      </w:r>
      <w:r w:rsidR="008D56D9" w:rsidRPr="004E66B4">
        <w:rPr>
          <w:rFonts w:ascii="Verdana" w:hAnsi="Verdana" w:cs="Times New Roman"/>
          <w:sz w:val="20"/>
          <w:szCs w:val="20"/>
        </w:rPr>
        <w:t xml:space="preserve"> el desarrollo de criterios </w:t>
      </w:r>
      <w:r w:rsidR="001E765A" w:rsidRPr="004E66B4">
        <w:rPr>
          <w:rFonts w:ascii="Verdana" w:hAnsi="Verdana" w:cs="Times New Roman"/>
          <w:sz w:val="20"/>
          <w:szCs w:val="20"/>
        </w:rPr>
        <w:t>jurídicos</w:t>
      </w:r>
      <w:r w:rsidR="008D56D9" w:rsidRPr="004E66B4">
        <w:rPr>
          <w:rFonts w:ascii="Verdana" w:hAnsi="Verdana" w:cs="Times New Roman"/>
          <w:sz w:val="20"/>
          <w:szCs w:val="20"/>
        </w:rPr>
        <w:t xml:space="preserve"> </w:t>
      </w:r>
      <w:r w:rsidR="001B1154">
        <w:rPr>
          <w:rFonts w:ascii="Verdana" w:hAnsi="Verdana" w:cs="Times New Roman"/>
          <w:sz w:val="20"/>
          <w:szCs w:val="20"/>
        </w:rPr>
        <w:lastRenderedPageBreak/>
        <w:t>y estándares</w:t>
      </w:r>
      <w:r w:rsidR="008339ED">
        <w:rPr>
          <w:rFonts w:ascii="Verdana" w:hAnsi="Verdana" w:cs="Times New Roman"/>
          <w:sz w:val="20"/>
          <w:szCs w:val="20"/>
        </w:rPr>
        <w:t>,</w:t>
      </w:r>
      <w:r w:rsidR="001B1154">
        <w:rPr>
          <w:rFonts w:ascii="Verdana" w:hAnsi="Verdana" w:cs="Times New Roman"/>
          <w:sz w:val="20"/>
          <w:szCs w:val="20"/>
        </w:rPr>
        <w:t xml:space="preserve"> </w:t>
      </w:r>
      <w:r w:rsidR="00A71C8C">
        <w:rPr>
          <w:rFonts w:ascii="Verdana" w:hAnsi="Verdana" w:cs="Times New Roman"/>
          <w:sz w:val="20"/>
          <w:szCs w:val="20"/>
        </w:rPr>
        <w:t xml:space="preserve">que aborden </w:t>
      </w:r>
      <w:r w:rsidR="008D56D9" w:rsidRPr="004E66B4">
        <w:rPr>
          <w:rFonts w:ascii="Verdana" w:hAnsi="Verdana" w:cs="Times New Roman"/>
          <w:sz w:val="20"/>
          <w:szCs w:val="20"/>
        </w:rPr>
        <w:t xml:space="preserve">de modo </w:t>
      </w:r>
      <w:r w:rsidR="001E765A" w:rsidRPr="004E66B4">
        <w:rPr>
          <w:rFonts w:ascii="Verdana" w:hAnsi="Verdana" w:cs="Times New Roman"/>
          <w:sz w:val="20"/>
          <w:szCs w:val="20"/>
        </w:rPr>
        <w:t>más</w:t>
      </w:r>
      <w:r w:rsidR="008D56D9" w:rsidRPr="004E66B4">
        <w:rPr>
          <w:rFonts w:ascii="Verdana" w:hAnsi="Verdana" w:cs="Times New Roman"/>
          <w:sz w:val="20"/>
          <w:szCs w:val="20"/>
        </w:rPr>
        <w:t xml:space="preserve"> propio y punt</w:t>
      </w:r>
      <w:r w:rsidR="008339ED">
        <w:rPr>
          <w:rFonts w:ascii="Verdana" w:hAnsi="Verdana" w:cs="Times New Roman"/>
          <w:sz w:val="20"/>
          <w:szCs w:val="20"/>
        </w:rPr>
        <w:t>u</w:t>
      </w:r>
      <w:r w:rsidR="008D56D9" w:rsidRPr="004E66B4">
        <w:rPr>
          <w:rFonts w:ascii="Verdana" w:hAnsi="Verdana" w:cs="Times New Roman"/>
          <w:sz w:val="20"/>
          <w:szCs w:val="20"/>
        </w:rPr>
        <w:t>al asuntos de hondo impacto en la vigencia de los derechos humanos</w:t>
      </w:r>
      <w:r w:rsidR="00433CA4">
        <w:rPr>
          <w:rFonts w:ascii="Verdana" w:hAnsi="Verdana" w:cs="Times New Roman"/>
          <w:sz w:val="20"/>
          <w:szCs w:val="20"/>
        </w:rPr>
        <w:t xml:space="preserve"> en la región.</w:t>
      </w:r>
    </w:p>
    <w:p w14:paraId="72005854" w14:textId="40F95154" w:rsidR="00ED5B40" w:rsidRPr="00FC4FC8" w:rsidRDefault="00ED5B40" w:rsidP="00AD360E">
      <w:pPr>
        <w:pStyle w:val="ListParagraph"/>
        <w:ind w:left="0"/>
        <w:jc w:val="both"/>
        <w:rPr>
          <w:rFonts w:ascii="Verdana" w:hAnsi="Verdana" w:cs="Times New Roman"/>
          <w:sz w:val="20"/>
          <w:szCs w:val="20"/>
        </w:rPr>
      </w:pPr>
    </w:p>
    <w:p w14:paraId="345363D9" w14:textId="77777777" w:rsidR="00374FA9" w:rsidRDefault="00374FA9" w:rsidP="00AD360E">
      <w:pPr>
        <w:pStyle w:val="ListParagraph"/>
        <w:ind w:left="0"/>
        <w:jc w:val="both"/>
        <w:rPr>
          <w:rFonts w:ascii="Verdana" w:hAnsi="Verdana" w:cs="Times New Roman"/>
          <w:sz w:val="20"/>
          <w:szCs w:val="20"/>
        </w:rPr>
      </w:pPr>
    </w:p>
    <w:p w14:paraId="2B20841A" w14:textId="77777777" w:rsidR="004D0483" w:rsidRDefault="004D0483" w:rsidP="00AD360E">
      <w:pPr>
        <w:pStyle w:val="ListParagraph"/>
        <w:ind w:left="0"/>
        <w:jc w:val="both"/>
        <w:rPr>
          <w:rFonts w:ascii="Verdana" w:hAnsi="Verdana" w:cs="Times New Roman"/>
          <w:sz w:val="20"/>
          <w:szCs w:val="20"/>
        </w:rPr>
      </w:pPr>
    </w:p>
    <w:p w14:paraId="2EFCEC9A" w14:textId="77777777" w:rsidR="004D0483" w:rsidRDefault="004D0483" w:rsidP="00AD360E">
      <w:pPr>
        <w:pStyle w:val="ListParagraph"/>
        <w:ind w:left="0"/>
        <w:jc w:val="both"/>
        <w:rPr>
          <w:rFonts w:ascii="Verdana" w:hAnsi="Verdana" w:cs="Times New Roman"/>
          <w:sz w:val="20"/>
          <w:szCs w:val="20"/>
        </w:rPr>
      </w:pPr>
    </w:p>
    <w:p w14:paraId="380DA849" w14:textId="77777777" w:rsidR="004D0483" w:rsidRDefault="004D0483" w:rsidP="00AD360E">
      <w:pPr>
        <w:pStyle w:val="ListParagraph"/>
        <w:ind w:left="0"/>
        <w:jc w:val="both"/>
        <w:rPr>
          <w:rFonts w:ascii="Verdana" w:hAnsi="Verdana" w:cs="Times New Roman"/>
          <w:sz w:val="20"/>
          <w:szCs w:val="20"/>
        </w:rPr>
      </w:pPr>
    </w:p>
    <w:p w14:paraId="19789C49" w14:textId="77777777" w:rsidR="004D0483" w:rsidRPr="00FC4FC8" w:rsidRDefault="004D0483" w:rsidP="00AD360E">
      <w:pPr>
        <w:pStyle w:val="ListParagraph"/>
        <w:ind w:left="0"/>
        <w:jc w:val="both"/>
        <w:rPr>
          <w:rFonts w:ascii="Verdana" w:hAnsi="Verdana" w:cs="Times New Roman"/>
          <w:sz w:val="20"/>
          <w:szCs w:val="20"/>
        </w:rPr>
      </w:pPr>
    </w:p>
    <w:p w14:paraId="6CFFF059" w14:textId="77777777" w:rsidR="00B32748" w:rsidRPr="00FC4FC8" w:rsidRDefault="00B32748" w:rsidP="00AD360E">
      <w:pPr>
        <w:pStyle w:val="ListParagraph"/>
        <w:ind w:left="0"/>
        <w:jc w:val="both"/>
        <w:rPr>
          <w:rFonts w:ascii="Verdana" w:hAnsi="Verdana" w:cs="Times New Roman"/>
          <w:sz w:val="20"/>
          <w:szCs w:val="20"/>
        </w:rPr>
      </w:pPr>
    </w:p>
    <w:p w14:paraId="31B47228" w14:textId="77777777" w:rsidR="00B32748" w:rsidRPr="00FC4FC8" w:rsidRDefault="00B32748" w:rsidP="00AD360E">
      <w:pPr>
        <w:pStyle w:val="ListParagraph"/>
        <w:ind w:left="0"/>
        <w:jc w:val="both"/>
        <w:rPr>
          <w:rFonts w:ascii="Verdana" w:hAnsi="Verdana" w:cs="Times New Roman"/>
          <w:sz w:val="20"/>
          <w:szCs w:val="20"/>
        </w:rPr>
      </w:pPr>
    </w:p>
    <w:p w14:paraId="2BBAF377" w14:textId="2C78F34B" w:rsidR="00B32748" w:rsidRPr="00FC4FC8" w:rsidRDefault="00B32748" w:rsidP="00AD360E">
      <w:pPr>
        <w:pStyle w:val="ListParagraph"/>
        <w:ind w:left="0"/>
        <w:jc w:val="both"/>
        <w:rPr>
          <w:rFonts w:ascii="Verdana" w:hAnsi="Verdana" w:cs="Times New Roman"/>
          <w:sz w:val="20"/>
          <w:szCs w:val="20"/>
        </w:rPr>
      </w:pPr>
    </w:p>
    <w:p w14:paraId="3F8DE082" w14:textId="37B1EC7E" w:rsidR="00FD5DD4" w:rsidRPr="00FC4FC8" w:rsidRDefault="00FD5DD4" w:rsidP="00FC4FC8">
      <w:pPr>
        <w:pStyle w:val="ListParagraph"/>
        <w:widowControl w:val="0"/>
        <w:autoSpaceDE w:val="0"/>
        <w:autoSpaceDN w:val="0"/>
        <w:adjustRightInd w:val="0"/>
        <w:ind w:left="0"/>
        <w:contextualSpacing w:val="0"/>
        <w:jc w:val="right"/>
        <w:rPr>
          <w:rFonts w:ascii="Verdana" w:hAnsi="Verdana"/>
          <w:sz w:val="20"/>
          <w:szCs w:val="20"/>
        </w:rPr>
      </w:pPr>
      <w:r w:rsidRPr="00FC4FC8">
        <w:rPr>
          <w:rFonts w:ascii="Verdana" w:hAnsi="Verdana"/>
          <w:sz w:val="20"/>
          <w:szCs w:val="20"/>
        </w:rPr>
        <w:t>Eduardo Ferrer Mac-Gregor Poisot</w:t>
      </w:r>
    </w:p>
    <w:p w14:paraId="7FE43CE0" w14:textId="2AAB4AC4" w:rsidR="00ED5B40" w:rsidRPr="00FC4FC8" w:rsidRDefault="00FC4FC8" w:rsidP="00FC4FC8">
      <w:pPr>
        <w:pStyle w:val="ListParagraph"/>
        <w:widowControl w:val="0"/>
        <w:tabs>
          <w:tab w:val="left" w:pos="0"/>
        </w:tabs>
        <w:autoSpaceDE w:val="0"/>
        <w:autoSpaceDN w:val="0"/>
        <w:adjustRightInd w:val="0"/>
        <w:ind w:left="0" w:right="1638"/>
        <w:contextualSpacing w:val="0"/>
        <w:jc w:val="right"/>
        <w:rPr>
          <w:rFonts w:ascii="Verdana" w:hAnsi="Verdana"/>
          <w:sz w:val="20"/>
          <w:szCs w:val="20"/>
        </w:rPr>
      </w:pPr>
      <w:r w:rsidRPr="00FC4FC8">
        <w:rPr>
          <w:rFonts w:ascii="Verdana" w:hAnsi="Verdana"/>
          <w:sz w:val="20"/>
          <w:szCs w:val="20"/>
        </w:rPr>
        <w:t>Juez</w:t>
      </w:r>
    </w:p>
    <w:p w14:paraId="49515B6D" w14:textId="77777777" w:rsidR="00374FA9" w:rsidRPr="00FC4FC8" w:rsidRDefault="00374FA9" w:rsidP="00AD360E">
      <w:pPr>
        <w:pStyle w:val="ListParagraph"/>
        <w:widowControl w:val="0"/>
        <w:tabs>
          <w:tab w:val="left" w:pos="0"/>
        </w:tabs>
        <w:autoSpaceDE w:val="0"/>
        <w:autoSpaceDN w:val="0"/>
        <w:adjustRightInd w:val="0"/>
        <w:ind w:left="0"/>
        <w:contextualSpacing w:val="0"/>
        <w:rPr>
          <w:rFonts w:ascii="Verdana" w:hAnsi="Verdana"/>
          <w:sz w:val="20"/>
          <w:szCs w:val="20"/>
        </w:rPr>
      </w:pPr>
    </w:p>
    <w:p w14:paraId="1DB534DF" w14:textId="77777777" w:rsidR="00374FA9" w:rsidRDefault="00374FA9" w:rsidP="00AD360E">
      <w:pPr>
        <w:pStyle w:val="ListParagraph"/>
        <w:widowControl w:val="0"/>
        <w:tabs>
          <w:tab w:val="left" w:pos="0"/>
        </w:tabs>
        <w:autoSpaceDE w:val="0"/>
        <w:autoSpaceDN w:val="0"/>
        <w:adjustRightInd w:val="0"/>
        <w:ind w:left="0"/>
        <w:contextualSpacing w:val="0"/>
        <w:rPr>
          <w:rFonts w:ascii="Verdana" w:hAnsi="Verdana"/>
          <w:sz w:val="20"/>
          <w:szCs w:val="20"/>
        </w:rPr>
      </w:pPr>
    </w:p>
    <w:p w14:paraId="030C7310" w14:textId="77777777" w:rsidR="00121FBB" w:rsidRDefault="00121FBB" w:rsidP="00AD360E">
      <w:pPr>
        <w:pStyle w:val="ListParagraph"/>
        <w:widowControl w:val="0"/>
        <w:tabs>
          <w:tab w:val="left" w:pos="0"/>
        </w:tabs>
        <w:autoSpaceDE w:val="0"/>
        <w:autoSpaceDN w:val="0"/>
        <w:adjustRightInd w:val="0"/>
        <w:ind w:left="0"/>
        <w:contextualSpacing w:val="0"/>
        <w:rPr>
          <w:rFonts w:ascii="Verdana" w:hAnsi="Verdana"/>
          <w:sz w:val="20"/>
          <w:szCs w:val="20"/>
        </w:rPr>
      </w:pPr>
    </w:p>
    <w:p w14:paraId="0FA6EB4E" w14:textId="77777777" w:rsidR="00121FBB" w:rsidRDefault="00121FBB" w:rsidP="00AD360E">
      <w:pPr>
        <w:pStyle w:val="ListParagraph"/>
        <w:widowControl w:val="0"/>
        <w:tabs>
          <w:tab w:val="left" w:pos="0"/>
        </w:tabs>
        <w:autoSpaceDE w:val="0"/>
        <w:autoSpaceDN w:val="0"/>
        <w:adjustRightInd w:val="0"/>
        <w:ind w:left="0"/>
        <w:contextualSpacing w:val="0"/>
        <w:rPr>
          <w:rFonts w:ascii="Verdana" w:hAnsi="Verdana"/>
          <w:sz w:val="20"/>
          <w:szCs w:val="20"/>
        </w:rPr>
      </w:pPr>
    </w:p>
    <w:p w14:paraId="5B06D283" w14:textId="77777777" w:rsidR="00391851" w:rsidRDefault="00391851" w:rsidP="00AD360E">
      <w:pPr>
        <w:pStyle w:val="ListParagraph"/>
        <w:widowControl w:val="0"/>
        <w:tabs>
          <w:tab w:val="left" w:pos="0"/>
        </w:tabs>
        <w:autoSpaceDE w:val="0"/>
        <w:autoSpaceDN w:val="0"/>
        <w:adjustRightInd w:val="0"/>
        <w:ind w:left="0"/>
        <w:contextualSpacing w:val="0"/>
        <w:rPr>
          <w:rFonts w:ascii="Verdana" w:hAnsi="Verdana"/>
          <w:sz w:val="20"/>
          <w:szCs w:val="20"/>
        </w:rPr>
      </w:pPr>
    </w:p>
    <w:p w14:paraId="43DDC87B" w14:textId="77777777" w:rsidR="00391851" w:rsidRDefault="00391851" w:rsidP="00AD360E">
      <w:pPr>
        <w:pStyle w:val="ListParagraph"/>
        <w:widowControl w:val="0"/>
        <w:tabs>
          <w:tab w:val="left" w:pos="0"/>
        </w:tabs>
        <w:autoSpaceDE w:val="0"/>
        <w:autoSpaceDN w:val="0"/>
        <w:adjustRightInd w:val="0"/>
        <w:ind w:left="0"/>
        <w:contextualSpacing w:val="0"/>
        <w:rPr>
          <w:rFonts w:ascii="Verdana" w:hAnsi="Verdana"/>
          <w:sz w:val="20"/>
          <w:szCs w:val="20"/>
        </w:rPr>
      </w:pPr>
    </w:p>
    <w:p w14:paraId="2E60FFA9" w14:textId="77777777" w:rsidR="00391851" w:rsidRPr="00FC4FC8" w:rsidRDefault="00391851" w:rsidP="00AD360E">
      <w:pPr>
        <w:pStyle w:val="ListParagraph"/>
        <w:widowControl w:val="0"/>
        <w:tabs>
          <w:tab w:val="left" w:pos="0"/>
        </w:tabs>
        <w:autoSpaceDE w:val="0"/>
        <w:autoSpaceDN w:val="0"/>
        <w:adjustRightInd w:val="0"/>
        <w:ind w:left="0"/>
        <w:contextualSpacing w:val="0"/>
        <w:rPr>
          <w:rFonts w:ascii="Verdana" w:hAnsi="Verdana"/>
          <w:sz w:val="20"/>
          <w:szCs w:val="20"/>
        </w:rPr>
      </w:pPr>
    </w:p>
    <w:p w14:paraId="728C2AB1" w14:textId="77777777" w:rsidR="00B32748" w:rsidRPr="00FC4FC8" w:rsidRDefault="00B32748" w:rsidP="00AD360E">
      <w:pPr>
        <w:pStyle w:val="ListParagraph"/>
        <w:widowControl w:val="0"/>
        <w:tabs>
          <w:tab w:val="left" w:pos="0"/>
        </w:tabs>
        <w:autoSpaceDE w:val="0"/>
        <w:autoSpaceDN w:val="0"/>
        <w:adjustRightInd w:val="0"/>
        <w:ind w:left="0"/>
        <w:contextualSpacing w:val="0"/>
        <w:rPr>
          <w:rFonts w:ascii="Verdana" w:hAnsi="Verdana"/>
          <w:sz w:val="20"/>
          <w:szCs w:val="20"/>
        </w:rPr>
      </w:pPr>
    </w:p>
    <w:p w14:paraId="3E1AD5A0" w14:textId="057BB4DE" w:rsidR="00B32748" w:rsidRPr="00FC4FC8" w:rsidRDefault="00B32748" w:rsidP="00AD360E">
      <w:pPr>
        <w:pStyle w:val="ListParagraph"/>
        <w:widowControl w:val="0"/>
        <w:tabs>
          <w:tab w:val="left" w:pos="0"/>
        </w:tabs>
        <w:autoSpaceDE w:val="0"/>
        <w:autoSpaceDN w:val="0"/>
        <w:adjustRightInd w:val="0"/>
        <w:ind w:left="0"/>
        <w:contextualSpacing w:val="0"/>
        <w:rPr>
          <w:rFonts w:ascii="Verdana" w:hAnsi="Verdana"/>
          <w:sz w:val="20"/>
          <w:szCs w:val="20"/>
        </w:rPr>
      </w:pPr>
    </w:p>
    <w:p w14:paraId="26823A36" w14:textId="745124E3" w:rsidR="00B32748" w:rsidRPr="00FC4FC8" w:rsidRDefault="00B32748" w:rsidP="00AD360E">
      <w:pPr>
        <w:pStyle w:val="ListParagraph"/>
        <w:widowControl w:val="0"/>
        <w:tabs>
          <w:tab w:val="left" w:pos="0"/>
        </w:tabs>
        <w:autoSpaceDE w:val="0"/>
        <w:autoSpaceDN w:val="0"/>
        <w:adjustRightInd w:val="0"/>
        <w:ind w:left="0"/>
        <w:contextualSpacing w:val="0"/>
        <w:rPr>
          <w:rFonts w:ascii="Verdana" w:hAnsi="Verdana"/>
          <w:sz w:val="20"/>
          <w:szCs w:val="20"/>
        </w:rPr>
      </w:pPr>
    </w:p>
    <w:p w14:paraId="008059AD" w14:textId="41F7D8D4" w:rsidR="00FD5DD4" w:rsidRPr="00FC4FC8" w:rsidRDefault="00FD5DD4" w:rsidP="00AD360E">
      <w:pPr>
        <w:pStyle w:val="ListParagraph"/>
        <w:widowControl w:val="0"/>
        <w:tabs>
          <w:tab w:val="left" w:pos="0"/>
        </w:tabs>
        <w:autoSpaceDE w:val="0"/>
        <w:autoSpaceDN w:val="0"/>
        <w:adjustRightInd w:val="0"/>
        <w:ind w:left="0"/>
        <w:contextualSpacing w:val="0"/>
        <w:rPr>
          <w:rFonts w:ascii="Verdana" w:hAnsi="Verdana"/>
          <w:sz w:val="20"/>
          <w:szCs w:val="20"/>
        </w:rPr>
      </w:pPr>
      <w:r w:rsidRPr="00FC4FC8">
        <w:rPr>
          <w:rFonts w:ascii="Verdana" w:hAnsi="Verdana"/>
          <w:sz w:val="20"/>
          <w:szCs w:val="20"/>
        </w:rPr>
        <w:t>Pablo Saavedra Alessandri</w:t>
      </w:r>
    </w:p>
    <w:p w14:paraId="4F4DEBD5" w14:textId="23384600" w:rsidR="00CF0983" w:rsidRPr="00FC4FC8" w:rsidRDefault="00B031D0" w:rsidP="00AD360E">
      <w:pPr>
        <w:jc w:val="both"/>
        <w:rPr>
          <w:rFonts w:ascii="Verdana" w:hAnsi="Verdana"/>
          <w:sz w:val="20"/>
          <w:szCs w:val="20"/>
        </w:rPr>
      </w:pPr>
      <w:r w:rsidRPr="00FC4FC8">
        <w:rPr>
          <w:rFonts w:ascii="Verdana" w:hAnsi="Verdana"/>
          <w:sz w:val="20"/>
          <w:szCs w:val="20"/>
        </w:rPr>
        <w:t xml:space="preserve">           Secretario</w:t>
      </w:r>
    </w:p>
    <w:sectPr w:rsidR="00CF0983" w:rsidRPr="00FC4FC8" w:rsidSect="00AD5FF9">
      <w:footerReference w:type="even" r:id="rId12"/>
      <w:footerReference w:type="default" r:id="rId13"/>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93BE0" w14:textId="77777777" w:rsidR="008F53FE" w:rsidRDefault="008F53FE" w:rsidP="009E0482">
      <w:r>
        <w:separator/>
      </w:r>
    </w:p>
  </w:endnote>
  <w:endnote w:type="continuationSeparator" w:id="0">
    <w:p w14:paraId="0993BCF2" w14:textId="77777777" w:rsidR="008F53FE" w:rsidRDefault="008F53FE" w:rsidP="009E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ed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1E81C" w14:textId="77777777" w:rsidR="008F53FE" w:rsidRDefault="008F53FE" w:rsidP="00E340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AB275D" w14:textId="77777777" w:rsidR="008F53FE" w:rsidRDefault="008F53FE" w:rsidP="00B931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BB0DD" w14:textId="77777777" w:rsidR="008F53FE" w:rsidRPr="00B9315C" w:rsidRDefault="008F53FE" w:rsidP="00E34017">
    <w:pPr>
      <w:pStyle w:val="Footer"/>
      <w:framePr w:wrap="around" w:vAnchor="text" w:hAnchor="margin" w:xAlign="center" w:y="1"/>
      <w:rPr>
        <w:rStyle w:val="PageNumber"/>
        <w:rFonts w:ascii="Verdana" w:hAnsi="Verdana"/>
        <w:sz w:val="20"/>
        <w:szCs w:val="20"/>
      </w:rPr>
    </w:pPr>
    <w:r w:rsidRPr="00B9315C">
      <w:rPr>
        <w:rStyle w:val="PageNumber"/>
        <w:rFonts w:ascii="Verdana" w:hAnsi="Verdana"/>
        <w:sz w:val="20"/>
        <w:szCs w:val="20"/>
      </w:rPr>
      <w:fldChar w:fldCharType="begin"/>
    </w:r>
    <w:r w:rsidRPr="00B9315C">
      <w:rPr>
        <w:rStyle w:val="PageNumber"/>
        <w:rFonts w:ascii="Verdana" w:hAnsi="Verdana"/>
        <w:sz w:val="20"/>
        <w:szCs w:val="20"/>
      </w:rPr>
      <w:instrText xml:space="preserve">PAGE  </w:instrText>
    </w:r>
    <w:r w:rsidRPr="00B9315C">
      <w:rPr>
        <w:rStyle w:val="PageNumber"/>
        <w:rFonts w:ascii="Verdana" w:hAnsi="Verdana"/>
        <w:sz w:val="20"/>
        <w:szCs w:val="20"/>
      </w:rPr>
      <w:fldChar w:fldCharType="separate"/>
    </w:r>
    <w:r w:rsidR="00320A04">
      <w:rPr>
        <w:rStyle w:val="PageNumber"/>
        <w:rFonts w:ascii="Verdana" w:hAnsi="Verdana"/>
        <w:noProof/>
        <w:sz w:val="20"/>
        <w:szCs w:val="20"/>
      </w:rPr>
      <w:t>15</w:t>
    </w:r>
    <w:r w:rsidRPr="00B9315C">
      <w:rPr>
        <w:rStyle w:val="PageNumber"/>
        <w:rFonts w:ascii="Verdana" w:hAnsi="Verdana"/>
        <w:sz w:val="20"/>
        <w:szCs w:val="20"/>
      </w:rPr>
      <w:fldChar w:fldCharType="end"/>
    </w:r>
  </w:p>
  <w:p w14:paraId="4AF8AAC2" w14:textId="77777777" w:rsidR="008F53FE" w:rsidRDefault="008F53FE" w:rsidP="00B931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C868E" w14:textId="77777777" w:rsidR="008F53FE" w:rsidRDefault="008F53FE" w:rsidP="009E0482">
      <w:r>
        <w:separator/>
      </w:r>
    </w:p>
  </w:footnote>
  <w:footnote w:type="continuationSeparator" w:id="0">
    <w:p w14:paraId="23C3C523" w14:textId="77777777" w:rsidR="008F53FE" w:rsidRDefault="008F53FE" w:rsidP="009E0482">
      <w:r>
        <w:continuationSeparator/>
      </w:r>
    </w:p>
  </w:footnote>
  <w:footnote w:id="1">
    <w:p w14:paraId="26BC6EA0" w14:textId="1B447652" w:rsidR="008F53FE" w:rsidRPr="004F7F0A" w:rsidRDefault="008F53FE" w:rsidP="00206283">
      <w:pPr>
        <w:jc w:val="both"/>
        <w:rPr>
          <w:rFonts w:ascii="Verdana" w:eastAsia="Times New Roman" w:hAnsi="Verdana" w:cs="Times New Roman"/>
          <w:sz w:val="16"/>
          <w:szCs w:val="16"/>
          <w:lang w:val="es-MX"/>
        </w:rPr>
      </w:pPr>
      <w:r w:rsidRPr="00206283">
        <w:rPr>
          <w:rStyle w:val="FootnoteReference"/>
          <w:rFonts w:ascii="Verdana" w:hAnsi="Verdana"/>
          <w:sz w:val="16"/>
          <w:szCs w:val="16"/>
        </w:rPr>
        <w:footnoteRef/>
      </w:r>
      <w:r w:rsidRPr="00206283">
        <w:rPr>
          <w:rFonts w:ascii="Verdana" w:hAnsi="Verdana"/>
          <w:sz w:val="16"/>
          <w:szCs w:val="16"/>
        </w:rPr>
        <w:t xml:space="preserve"> </w:t>
      </w:r>
      <w:r w:rsidRPr="00206283">
        <w:rPr>
          <w:rFonts w:ascii="Verdana" w:hAnsi="Verdana"/>
          <w:sz w:val="16"/>
          <w:szCs w:val="16"/>
        </w:rPr>
        <w:tab/>
      </w:r>
      <w:r>
        <w:rPr>
          <w:rFonts w:ascii="Verdana" w:hAnsi="Verdana"/>
          <w:sz w:val="16"/>
          <w:szCs w:val="16"/>
        </w:rPr>
        <w:t xml:space="preserve">La </w:t>
      </w:r>
      <w:r w:rsidRPr="00206283">
        <w:rPr>
          <w:rFonts w:ascii="Verdana" w:hAnsi="Verdana"/>
          <w:sz w:val="16"/>
          <w:szCs w:val="16"/>
        </w:rPr>
        <w:t>Corte</w:t>
      </w:r>
      <w:r>
        <w:rPr>
          <w:rFonts w:ascii="Verdana" w:hAnsi="Verdana"/>
          <w:sz w:val="16"/>
          <w:szCs w:val="16"/>
        </w:rPr>
        <w:t xml:space="preserve"> IDH</w:t>
      </w:r>
      <w:r w:rsidRPr="00206283">
        <w:rPr>
          <w:rFonts w:ascii="Verdana" w:hAnsi="Verdana"/>
          <w:sz w:val="16"/>
          <w:szCs w:val="16"/>
        </w:rPr>
        <w:t xml:space="preserve"> ha </w:t>
      </w:r>
      <w:proofErr w:type="spellStart"/>
      <w:r w:rsidRPr="00206283">
        <w:rPr>
          <w:rFonts w:ascii="Verdana" w:hAnsi="Verdana"/>
          <w:sz w:val="16"/>
          <w:szCs w:val="16"/>
        </w:rPr>
        <w:t>señalado</w:t>
      </w:r>
      <w:proofErr w:type="spellEnd"/>
      <w:r w:rsidRPr="00206283">
        <w:rPr>
          <w:rFonts w:ascii="Verdana" w:hAnsi="Verdana"/>
          <w:sz w:val="16"/>
          <w:szCs w:val="16"/>
        </w:rPr>
        <w:t xml:space="preserve"> que los tratados de derechos humanos son instrumentos vivos, cuya </w:t>
      </w:r>
      <w:proofErr w:type="spellStart"/>
      <w:r w:rsidRPr="00206283">
        <w:rPr>
          <w:rFonts w:ascii="Verdana" w:hAnsi="Verdana"/>
          <w:sz w:val="16"/>
          <w:szCs w:val="16"/>
        </w:rPr>
        <w:t>interpretación</w:t>
      </w:r>
      <w:proofErr w:type="spellEnd"/>
      <w:r w:rsidRPr="00206283">
        <w:rPr>
          <w:rFonts w:ascii="Verdana" w:hAnsi="Verdana"/>
          <w:sz w:val="16"/>
          <w:szCs w:val="16"/>
        </w:rPr>
        <w:t xml:space="preserve"> tiene que </w:t>
      </w:r>
      <w:proofErr w:type="spellStart"/>
      <w:r w:rsidRPr="00206283">
        <w:rPr>
          <w:rFonts w:ascii="Verdana" w:hAnsi="Verdana"/>
          <w:sz w:val="16"/>
          <w:szCs w:val="16"/>
        </w:rPr>
        <w:t>acompañar</w:t>
      </w:r>
      <w:proofErr w:type="spellEnd"/>
      <w:r w:rsidRPr="00206283">
        <w:rPr>
          <w:rFonts w:ascii="Verdana" w:hAnsi="Verdana"/>
          <w:sz w:val="16"/>
          <w:szCs w:val="16"/>
        </w:rPr>
        <w:t xml:space="preserve"> la </w:t>
      </w:r>
      <w:proofErr w:type="spellStart"/>
      <w:r w:rsidRPr="00206283">
        <w:rPr>
          <w:rFonts w:ascii="Verdana" w:hAnsi="Verdana"/>
          <w:sz w:val="16"/>
          <w:szCs w:val="16"/>
        </w:rPr>
        <w:t>evolución</w:t>
      </w:r>
      <w:proofErr w:type="spellEnd"/>
      <w:r w:rsidRPr="00206283">
        <w:rPr>
          <w:rFonts w:ascii="Verdana" w:hAnsi="Verdana"/>
          <w:sz w:val="16"/>
          <w:szCs w:val="16"/>
        </w:rPr>
        <w:t xml:space="preserve"> de los tiempos y las condiciones de vida actuales. Tal </w:t>
      </w:r>
      <w:proofErr w:type="spellStart"/>
      <w:r w:rsidRPr="00206283">
        <w:rPr>
          <w:rFonts w:ascii="Verdana" w:hAnsi="Verdana"/>
          <w:sz w:val="16"/>
          <w:szCs w:val="16"/>
        </w:rPr>
        <w:t>interpretación</w:t>
      </w:r>
      <w:proofErr w:type="spellEnd"/>
      <w:r w:rsidRPr="00206283">
        <w:rPr>
          <w:rFonts w:ascii="Verdana" w:hAnsi="Verdana"/>
          <w:sz w:val="16"/>
          <w:szCs w:val="16"/>
        </w:rPr>
        <w:t xml:space="preserve"> evolutiva es consecuente con las reglas generales de </w:t>
      </w:r>
      <w:proofErr w:type="spellStart"/>
      <w:r w:rsidRPr="00206283">
        <w:rPr>
          <w:rFonts w:ascii="Verdana" w:hAnsi="Verdana"/>
          <w:sz w:val="16"/>
          <w:szCs w:val="16"/>
        </w:rPr>
        <w:t>interpretación</w:t>
      </w:r>
      <w:proofErr w:type="spellEnd"/>
      <w:r w:rsidRPr="00206283">
        <w:rPr>
          <w:rFonts w:ascii="Verdana" w:hAnsi="Verdana"/>
          <w:sz w:val="16"/>
          <w:szCs w:val="16"/>
        </w:rPr>
        <w:t xml:space="preserve"> consagradas en el </w:t>
      </w:r>
      <w:proofErr w:type="spellStart"/>
      <w:r w:rsidRPr="00206283">
        <w:rPr>
          <w:rFonts w:ascii="Verdana" w:hAnsi="Verdana"/>
          <w:sz w:val="16"/>
          <w:szCs w:val="16"/>
        </w:rPr>
        <w:t>artículo</w:t>
      </w:r>
      <w:proofErr w:type="spellEnd"/>
      <w:r w:rsidRPr="00206283">
        <w:rPr>
          <w:rFonts w:ascii="Verdana" w:hAnsi="Verdana"/>
          <w:sz w:val="16"/>
          <w:szCs w:val="16"/>
        </w:rPr>
        <w:t xml:space="preserve"> 29 d</w:t>
      </w:r>
      <w:r w:rsidR="00685725">
        <w:rPr>
          <w:rFonts w:ascii="Verdana" w:hAnsi="Verdana"/>
          <w:sz w:val="16"/>
          <w:szCs w:val="16"/>
        </w:rPr>
        <w:t xml:space="preserve">e la </w:t>
      </w:r>
      <w:proofErr w:type="spellStart"/>
      <w:r w:rsidR="00685725">
        <w:rPr>
          <w:rFonts w:ascii="Verdana" w:hAnsi="Verdana"/>
          <w:sz w:val="16"/>
          <w:szCs w:val="16"/>
        </w:rPr>
        <w:t>Convención</w:t>
      </w:r>
      <w:proofErr w:type="spellEnd"/>
      <w:r w:rsidR="00685725">
        <w:rPr>
          <w:rFonts w:ascii="Verdana" w:hAnsi="Verdana"/>
          <w:sz w:val="16"/>
          <w:szCs w:val="16"/>
        </w:rPr>
        <w:t xml:space="preserve"> Americana, así</w:t>
      </w:r>
      <w:r w:rsidRPr="00206283">
        <w:rPr>
          <w:rFonts w:ascii="Verdana" w:hAnsi="Verdana"/>
          <w:sz w:val="16"/>
          <w:szCs w:val="16"/>
        </w:rPr>
        <w:t xml:space="preserve"> como las establecidas por la </w:t>
      </w:r>
      <w:proofErr w:type="spellStart"/>
      <w:r w:rsidRPr="00206283">
        <w:rPr>
          <w:rFonts w:ascii="Verdana" w:hAnsi="Verdana"/>
          <w:sz w:val="16"/>
          <w:szCs w:val="16"/>
        </w:rPr>
        <w:t>Convención</w:t>
      </w:r>
      <w:proofErr w:type="spellEnd"/>
      <w:r w:rsidRPr="00206283">
        <w:rPr>
          <w:rFonts w:ascii="Verdana" w:hAnsi="Verdana"/>
          <w:sz w:val="16"/>
          <w:szCs w:val="16"/>
        </w:rPr>
        <w:t xml:space="preserve"> de Viena sobre el Derecho de los Tratados. </w:t>
      </w:r>
      <w:r w:rsidRPr="00206283">
        <w:rPr>
          <w:rFonts w:ascii="Verdana" w:hAnsi="Verdana"/>
          <w:i/>
          <w:sz w:val="16"/>
          <w:szCs w:val="16"/>
        </w:rPr>
        <w:t>Cfr.</w:t>
      </w:r>
      <w:r w:rsidRPr="00206283">
        <w:rPr>
          <w:rFonts w:ascii="Verdana" w:hAnsi="Verdana"/>
          <w:sz w:val="16"/>
          <w:szCs w:val="16"/>
        </w:rPr>
        <w:t xml:space="preserve"> </w:t>
      </w:r>
      <w:r w:rsidRPr="00206283">
        <w:rPr>
          <w:rFonts w:ascii="Verdana" w:hAnsi="Verdana"/>
          <w:i/>
          <w:sz w:val="16"/>
          <w:szCs w:val="16"/>
        </w:rPr>
        <w:t xml:space="preserve">El Derecho a la </w:t>
      </w:r>
      <w:proofErr w:type="spellStart"/>
      <w:r w:rsidRPr="00206283">
        <w:rPr>
          <w:rFonts w:ascii="Verdana" w:hAnsi="Verdana"/>
          <w:i/>
          <w:sz w:val="16"/>
          <w:szCs w:val="16"/>
        </w:rPr>
        <w:t>Información</w:t>
      </w:r>
      <w:proofErr w:type="spellEnd"/>
      <w:r w:rsidRPr="00206283">
        <w:rPr>
          <w:rFonts w:ascii="Verdana" w:hAnsi="Verdana"/>
          <w:i/>
          <w:sz w:val="16"/>
          <w:szCs w:val="16"/>
        </w:rPr>
        <w:t xml:space="preserve"> sobre la Asistencia Consular en el Marco de las </w:t>
      </w:r>
      <w:proofErr w:type="spellStart"/>
      <w:r w:rsidRPr="00206283">
        <w:rPr>
          <w:rFonts w:ascii="Verdana" w:hAnsi="Verdana"/>
          <w:i/>
          <w:sz w:val="16"/>
          <w:szCs w:val="16"/>
        </w:rPr>
        <w:t>Garantías</w:t>
      </w:r>
      <w:proofErr w:type="spellEnd"/>
      <w:r w:rsidRPr="00206283">
        <w:rPr>
          <w:rFonts w:ascii="Verdana" w:hAnsi="Verdana"/>
          <w:i/>
          <w:sz w:val="16"/>
          <w:szCs w:val="16"/>
        </w:rPr>
        <w:t xml:space="preserve"> del Debido Proceso Legal.</w:t>
      </w:r>
      <w:r w:rsidRPr="00206283">
        <w:rPr>
          <w:rFonts w:ascii="Verdana" w:hAnsi="Verdana"/>
          <w:sz w:val="16"/>
          <w:szCs w:val="16"/>
        </w:rPr>
        <w:t xml:space="preserve"> </w:t>
      </w:r>
      <w:proofErr w:type="spellStart"/>
      <w:r w:rsidRPr="00206283">
        <w:rPr>
          <w:rFonts w:ascii="Verdana" w:hAnsi="Verdana"/>
          <w:sz w:val="16"/>
          <w:szCs w:val="16"/>
        </w:rPr>
        <w:t>Opinión</w:t>
      </w:r>
      <w:proofErr w:type="spellEnd"/>
      <w:r w:rsidRPr="00206283">
        <w:rPr>
          <w:rFonts w:ascii="Verdana" w:hAnsi="Verdana"/>
          <w:sz w:val="16"/>
          <w:szCs w:val="16"/>
        </w:rPr>
        <w:t xml:space="preserve"> Consultiva OC-16/99 </w:t>
      </w:r>
      <w:r w:rsidRPr="001B7C9D">
        <w:rPr>
          <w:rFonts w:ascii="Verdana" w:hAnsi="Verdana"/>
          <w:sz w:val="16"/>
          <w:szCs w:val="16"/>
        </w:rPr>
        <w:t>de 1</w:t>
      </w:r>
      <w:r w:rsidRPr="006E4E07">
        <w:rPr>
          <w:rFonts w:ascii="Verdana" w:hAnsi="Verdana"/>
          <w:sz w:val="16"/>
          <w:szCs w:val="16"/>
        </w:rPr>
        <w:t xml:space="preserve"> de</w:t>
      </w:r>
      <w:r w:rsidRPr="00206283">
        <w:rPr>
          <w:rFonts w:ascii="Verdana" w:hAnsi="Verdana"/>
          <w:sz w:val="16"/>
          <w:szCs w:val="16"/>
        </w:rPr>
        <w:t xml:space="preserve"> octubre de 1999. Serie A No. 16, </w:t>
      </w:r>
      <w:proofErr w:type="spellStart"/>
      <w:r w:rsidRPr="00206283">
        <w:rPr>
          <w:rFonts w:ascii="Verdana" w:hAnsi="Verdana"/>
          <w:sz w:val="16"/>
          <w:szCs w:val="16"/>
        </w:rPr>
        <w:t>párr</w:t>
      </w:r>
      <w:proofErr w:type="spellEnd"/>
      <w:r w:rsidRPr="00206283">
        <w:rPr>
          <w:rFonts w:ascii="Verdana" w:hAnsi="Verdana"/>
          <w:sz w:val="16"/>
          <w:szCs w:val="16"/>
        </w:rPr>
        <w:t>. 114</w:t>
      </w:r>
      <w:r>
        <w:rPr>
          <w:rFonts w:ascii="Verdana" w:hAnsi="Verdana"/>
          <w:sz w:val="16"/>
          <w:szCs w:val="16"/>
        </w:rPr>
        <w:t>;</w:t>
      </w:r>
      <w:r w:rsidRPr="00206283">
        <w:rPr>
          <w:rFonts w:ascii="Verdana" w:hAnsi="Verdana"/>
          <w:sz w:val="16"/>
          <w:szCs w:val="16"/>
        </w:rPr>
        <w:t xml:space="preserve"> y </w:t>
      </w:r>
      <w:r w:rsidRPr="00206283">
        <w:rPr>
          <w:rFonts w:ascii="Verdana" w:eastAsia="Times New Roman" w:hAnsi="Verdana" w:cs="Times New Roman"/>
          <w:bCs/>
          <w:i/>
          <w:color w:val="000000"/>
          <w:sz w:val="16"/>
          <w:szCs w:val="16"/>
          <w:lang w:val="es-MX"/>
        </w:rPr>
        <w:t>Caso Trabajadores de la Hacienda Brasil Verde Vs. Brasil. Excepciones Preliminares, Fondo, Reparaciones y Costas.</w:t>
      </w:r>
      <w:r w:rsidRPr="00206283">
        <w:rPr>
          <w:rFonts w:ascii="Verdana" w:eastAsia="Times New Roman" w:hAnsi="Verdana" w:cs="Times New Roman"/>
          <w:bCs/>
          <w:color w:val="000000"/>
          <w:sz w:val="16"/>
          <w:szCs w:val="16"/>
          <w:lang w:val="es-MX"/>
        </w:rPr>
        <w:t xml:space="preserve"> Sentencia de 20 de octubre de 2016. Serie C No. 318, párr. 245.</w:t>
      </w:r>
      <w:r w:rsidRPr="004F7F0A">
        <w:rPr>
          <w:rFonts w:ascii="Verdana" w:eastAsia="Times New Roman" w:hAnsi="Verdana" w:cs="Times New Roman"/>
          <w:bCs/>
          <w:color w:val="000000"/>
          <w:sz w:val="16"/>
          <w:szCs w:val="16"/>
          <w:lang w:val="es-MX"/>
        </w:rPr>
        <w:t xml:space="preserve"> </w:t>
      </w:r>
    </w:p>
    <w:p w14:paraId="25ECBFDA" w14:textId="77777777" w:rsidR="008F53FE" w:rsidRPr="004F7F0A" w:rsidRDefault="008F53FE" w:rsidP="00206283">
      <w:pPr>
        <w:pStyle w:val="FootnoteText"/>
        <w:jc w:val="both"/>
        <w:rPr>
          <w:sz w:val="16"/>
          <w:szCs w:val="16"/>
          <w:lang w:val="es-ES_tradnl"/>
        </w:rPr>
      </w:pPr>
    </w:p>
  </w:footnote>
  <w:footnote w:id="2">
    <w:p w14:paraId="18E76B42" w14:textId="77777777" w:rsidR="00DE4860" w:rsidRDefault="008F53FE" w:rsidP="000B0BD3">
      <w:pPr>
        <w:jc w:val="both"/>
        <w:rPr>
          <w:rFonts w:ascii="Verdana" w:hAnsi="Verdana"/>
          <w:sz w:val="16"/>
          <w:szCs w:val="16"/>
        </w:rPr>
      </w:pPr>
      <w:r w:rsidRPr="00CF137F">
        <w:rPr>
          <w:rStyle w:val="FootnoteReference"/>
          <w:rFonts w:ascii="Verdana" w:hAnsi="Verdana"/>
          <w:sz w:val="16"/>
          <w:szCs w:val="16"/>
        </w:rPr>
        <w:footnoteRef/>
      </w:r>
      <w:r w:rsidRPr="00CF137F">
        <w:rPr>
          <w:rFonts w:ascii="Verdana" w:hAnsi="Verdana"/>
          <w:sz w:val="16"/>
          <w:szCs w:val="16"/>
        </w:rPr>
        <w:tab/>
      </w:r>
      <w:r w:rsidRPr="00CF137F">
        <w:rPr>
          <w:rFonts w:ascii="Verdana" w:hAnsi="Verdana"/>
          <w:i/>
          <w:iCs/>
          <w:sz w:val="16"/>
          <w:szCs w:val="16"/>
        </w:rPr>
        <w:t>La Colegiación Obligatoria de Periodistas (arts. 13 y 29 Convención Americana sobre Derechos Humanos)</w:t>
      </w:r>
      <w:r>
        <w:rPr>
          <w:rFonts w:ascii="Verdana" w:hAnsi="Verdana"/>
          <w:i/>
          <w:iCs/>
          <w:sz w:val="16"/>
          <w:szCs w:val="16"/>
        </w:rPr>
        <w:t xml:space="preserve"> Opinión Consultiva OC- 5/85, </w:t>
      </w:r>
      <w:r>
        <w:rPr>
          <w:rFonts w:ascii="Verdana" w:hAnsi="Verdana"/>
          <w:iCs/>
          <w:sz w:val="16"/>
          <w:szCs w:val="16"/>
        </w:rPr>
        <w:t>del 13 de noviembre de 1985.</w:t>
      </w:r>
      <w:r w:rsidRPr="00151A7C">
        <w:rPr>
          <w:rFonts w:ascii="Verdana" w:hAnsi="Verdana"/>
          <w:iCs/>
          <w:sz w:val="16"/>
          <w:szCs w:val="16"/>
        </w:rPr>
        <w:t xml:space="preserve"> </w:t>
      </w:r>
      <w:r>
        <w:rPr>
          <w:rFonts w:ascii="Verdana" w:hAnsi="Verdana"/>
          <w:iCs/>
          <w:sz w:val="16"/>
          <w:szCs w:val="16"/>
        </w:rPr>
        <w:t>S</w:t>
      </w:r>
      <w:r w:rsidRPr="00BA6F15">
        <w:rPr>
          <w:rFonts w:ascii="Verdana" w:hAnsi="Verdana"/>
          <w:iCs/>
          <w:sz w:val="16"/>
          <w:szCs w:val="16"/>
        </w:rPr>
        <w:t>erie No. 5</w:t>
      </w:r>
      <w:r w:rsidRPr="00FE4104">
        <w:rPr>
          <w:rFonts w:ascii="Verdana" w:hAnsi="Verdana"/>
          <w:sz w:val="16"/>
          <w:szCs w:val="16"/>
        </w:rPr>
        <w:t>;</w:t>
      </w:r>
      <w:r w:rsidRPr="00CF137F">
        <w:rPr>
          <w:rFonts w:ascii="Verdana" w:hAnsi="Verdana"/>
          <w:sz w:val="16"/>
          <w:szCs w:val="16"/>
        </w:rPr>
        <w:t xml:space="preserve"> </w:t>
      </w:r>
      <w:r w:rsidRPr="00FE4104">
        <w:rPr>
          <w:rFonts w:ascii="Verdana" w:hAnsi="Verdana"/>
          <w:i/>
          <w:iCs/>
          <w:sz w:val="16"/>
          <w:szCs w:val="16"/>
        </w:rPr>
        <w:t>Caso “La Última Tentación de Cristo” (Olmedo Bustos y otros) Vs. Chile</w:t>
      </w:r>
      <w:r>
        <w:rPr>
          <w:rFonts w:ascii="Verdana" w:hAnsi="Verdana"/>
          <w:i/>
          <w:iCs/>
          <w:sz w:val="16"/>
          <w:szCs w:val="16"/>
        </w:rPr>
        <w:t xml:space="preserve">. Fondo, Reparaciones y Costas. </w:t>
      </w:r>
      <w:r w:rsidRPr="00BA6F15">
        <w:rPr>
          <w:rFonts w:ascii="Verdana" w:hAnsi="Verdana"/>
          <w:iCs/>
          <w:sz w:val="16"/>
          <w:szCs w:val="16"/>
        </w:rPr>
        <w:t>Sentencia de 5 de febrero de 2011. Serie C No. 73</w:t>
      </w:r>
      <w:r w:rsidRPr="00BA6F15">
        <w:rPr>
          <w:rFonts w:ascii="Verdana" w:hAnsi="Verdana"/>
          <w:i/>
          <w:sz w:val="16"/>
          <w:szCs w:val="16"/>
        </w:rPr>
        <w:t>;</w:t>
      </w:r>
      <w:r w:rsidRPr="00CF137F">
        <w:rPr>
          <w:rFonts w:ascii="Verdana" w:hAnsi="Verdana"/>
          <w:sz w:val="16"/>
          <w:szCs w:val="16"/>
        </w:rPr>
        <w:t xml:space="preserve"> </w:t>
      </w:r>
      <w:r w:rsidRPr="00CF137F">
        <w:rPr>
          <w:rFonts w:ascii="Verdana" w:eastAsia="Times New Roman" w:hAnsi="Verdana" w:cs="Times New Roman"/>
          <w:bCs/>
          <w:color w:val="000000"/>
          <w:sz w:val="16"/>
          <w:szCs w:val="16"/>
          <w:lang w:val="es-MX"/>
        </w:rPr>
        <w:t>C</w:t>
      </w:r>
      <w:r w:rsidRPr="00CF137F">
        <w:rPr>
          <w:rFonts w:ascii="Verdana" w:eastAsia="Times New Roman" w:hAnsi="Verdana" w:cs="Times New Roman"/>
          <w:bCs/>
          <w:i/>
          <w:color w:val="000000"/>
          <w:sz w:val="16"/>
          <w:szCs w:val="16"/>
          <w:lang w:val="es-MX"/>
        </w:rPr>
        <w:t xml:space="preserve">aso </w:t>
      </w:r>
      <w:proofErr w:type="spellStart"/>
      <w:r w:rsidRPr="00CF137F">
        <w:rPr>
          <w:rFonts w:ascii="Verdana" w:eastAsia="Times New Roman" w:hAnsi="Verdana" w:cs="Times New Roman"/>
          <w:bCs/>
          <w:i/>
          <w:color w:val="000000"/>
          <w:sz w:val="16"/>
          <w:szCs w:val="16"/>
          <w:lang w:val="es-MX"/>
        </w:rPr>
        <w:t>Ivcher</w:t>
      </w:r>
      <w:proofErr w:type="spellEnd"/>
      <w:r w:rsidRPr="00CF137F">
        <w:rPr>
          <w:rFonts w:ascii="Verdana" w:eastAsia="Times New Roman" w:hAnsi="Verdana" w:cs="Times New Roman"/>
          <w:bCs/>
          <w:i/>
          <w:color w:val="000000"/>
          <w:sz w:val="16"/>
          <w:szCs w:val="16"/>
          <w:lang w:val="es-MX"/>
        </w:rPr>
        <w:t xml:space="preserve"> </w:t>
      </w:r>
      <w:proofErr w:type="spellStart"/>
      <w:r w:rsidRPr="00CF137F">
        <w:rPr>
          <w:rFonts w:ascii="Verdana" w:eastAsia="Times New Roman" w:hAnsi="Verdana" w:cs="Times New Roman"/>
          <w:bCs/>
          <w:i/>
          <w:color w:val="000000"/>
          <w:sz w:val="16"/>
          <w:szCs w:val="16"/>
          <w:lang w:val="es-MX"/>
        </w:rPr>
        <w:t>Bronstein</w:t>
      </w:r>
      <w:proofErr w:type="spellEnd"/>
      <w:r w:rsidRPr="00CF137F">
        <w:rPr>
          <w:rFonts w:ascii="Verdana" w:eastAsia="Times New Roman" w:hAnsi="Verdana" w:cs="Times New Roman"/>
          <w:bCs/>
          <w:i/>
          <w:color w:val="000000"/>
          <w:sz w:val="16"/>
          <w:szCs w:val="16"/>
          <w:lang w:val="es-MX"/>
        </w:rPr>
        <w:t xml:space="preserve"> Vs. Perú.</w:t>
      </w:r>
      <w:r>
        <w:rPr>
          <w:rFonts w:ascii="Verdana" w:eastAsia="Times New Roman" w:hAnsi="Verdana" w:cs="Times New Roman"/>
          <w:bCs/>
          <w:i/>
          <w:color w:val="000000"/>
          <w:sz w:val="16"/>
          <w:szCs w:val="16"/>
          <w:lang w:val="es-MX"/>
        </w:rPr>
        <w:t xml:space="preserve"> </w:t>
      </w:r>
      <w:r w:rsidRPr="00CF137F">
        <w:rPr>
          <w:rFonts w:ascii="Verdana" w:eastAsia="Times New Roman" w:hAnsi="Verdana" w:cs="Times New Roman"/>
          <w:bCs/>
          <w:i/>
          <w:color w:val="000000"/>
          <w:sz w:val="16"/>
          <w:szCs w:val="16"/>
          <w:lang w:val="es-MX"/>
        </w:rPr>
        <w:t>Reparaciones y Costas</w:t>
      </w:r>
      <w:r w:rsidRPr="00CF137F">
        <w:rPr>
          <w:rFonts w:ascii="Verdana" w:eastAsia="Times New Roman" w:hAnsi="Verdana" w:cs="Times New Roman"/>
          <w:bCs/>
          <w:color w:val="000000"/>
          <w:sz w:val="16"/>
          <w:szCs w:val="16"/>
          <w:lang w:val="es-MX"/>
        </w:rPr>
        <w:t>. Sentencia de 6 de febrero de 2001. Serie C No. 74</w:t>
      </w:r>
      <w:r w:rsidRPr="00CF137F">
        <w:rPr>
          <w:rFonts w:ascii="Verdana" w:hAnsi="Verdana"/>
          <w:sz w:val="16"/>
          <w:szCs w:val="16"/>
        </w:rPr>
        <w:t xml:space="preserve">; </w:t>
      </w:r>
      <w:r w:rsidRPr="00CF137F">
        <w:rPr>
          <w:rFonts w:ascii="Verdana" w:hAnsi="Verdana"/>
          <w:i/>
          <w:iCs/>
          <w:sz w:val="16"/>
          <w:szCs w:val="16"/>
        </w:rPr>
        <w:t>Caso Herrera Ulloa Vs. Costa Rica</w:t>
      </w:r>
      <w:r w:rsidRPr="00CF137F">
        <w:rPr>
          <w:rFonts w:ascii="Verdana" w:hAnsi="Verdana"/>
          <w:sz w:val="16"/>
          <w:szCs w:val="16"/>
        </w:rPr>
        <w:t xml:space="preserve">. Excepciones </w:t>
      </w:r>
      <w:r>
        <w:rPr>
          <w:rFonts w:ascii="Verdana" w:hAnsi="Verdana"/>
          <w:sz w:val="16"/>
          <w:szCs w:val="16"/>
        </w:rPr>
        <w:t>P</w:t>
      </w:r>
      <w:r w:rsidRPr="00CF137F">
        <w:rPr>
          <w:rFonts w:ascii="Verdana" w:hAnsi="Verdana"/>
          <w:sz w:val="16"/>
          <w:szCs w:val="16"/>
        </w:rPr>
        <w:t xml:space="preserve">reliminares, </w:t>
      </w:r>
      <w:r>
        <w:rPr>
          <w:rFonts w:ascii="Verdana" w:hAnsi="Verdana"/>
          <w:sz w:val="16"/>
          <w:szCs w:val="16"/>
        </w:rPr>
        <w:t>F</w:t>
      </w:r>
      <w:r w:rsidRPr="00CF137F">
        <w:rPr>
          <w:rFonts w:ascii="Verdana" w:hAnsi="Verdana"/>
          <w:sz w:val="16"/>
          <w:szCs w:val="16"/>
        </w:rPr>
        <w:t xml:space="preserve">ondo, </w:t>
      </w:r>
      <w:r>
        <w:rPr>
          <w:rFonts w:ascii="Verdana" w:hAnsi="Verdana"/>
          <w:sz w:val="16"/>
          <w:szCs w:val="16"/>
        </w:rPr>
        <w:t>R</w:t>
      </w:r>
      <w:r w:rsidRPr="00CF137F">
        <w:rPr>
          <w:rFonts w:ascii="Verdana" w:hAnsi="Verdana"/>
          <w:sz w:val="16"/>
          <w:szCs w:val="16"/>
        </w:rPr>
        <w:t xml:space="preserve">eparaciones y </w:t>
      </w:r>
      <w:r>
        <w:rPr>
          <w:rFonts w:ascii="Verdana" w:hAnsi="Verdana"/>
          <w:sz w:val="16"/>
          <w:szCs w:val="16"/>
        </w:rPr>
        <w:t>C</w:t>
      </w:r>
      <w:r w:rsidRPr="00CF137F">
        <w:rPr>
          <w:rFonts w:ascii="Verdana" w:hAnsi="Verdana"/>
          <w:sz w:val="16"/>
          <w:szCs w:val="16"/>
        </w:rPr>
        <w:t xml:space="preserve">ostas. Sentencia de 2 de julio de 2004. Serie C No. 107; </w:t>
      </w:r>
      <w:r w:rsidRPr="00CF137F">
        <w:rPr>
          <w:rFonts w:ascii="Verdana" w:hAnsi="Verdana"/>
          <w:i/>
          <w:iCs/>
          <w:sz w:val="16"/>
          <w:szCs w:val="16"/>
        </w:rPr>
        <w:t xml:space="preserve">Caso Ricardo </w:t>
      </w:r>
      <w:proofErr w:type="spellStart"/>
      <w:r w:rsidRPr="00CF137F">
        <w:rPr>
          <w:rFonts w:ascii="Verdana" w:hAnsi="Verdana"/>
          <w:i/>
          <w:iCs/>
          <w:sz w:val="16"/>
          <w:szCs w:val="16"/>
        </w:rPr>
        <w:t>Canese</w:t>
      </w:r>
      <w:proofErr w:type="spellEnd"/>
      <w:r w:rsidRPr="00CF137F">
        <w:rPr>
          <w:rFonts w:ascii="Verdana" w:hAnsi="Verdana"/>
          <w:i/>
          <w:iCs/>
          <w:sz w:val="16"/>
          <w:szCs w:val="16"/>
        </w:rPr>
        <w:t xml:space="preserve"> Vs. Paraguay</w:t>
      </w:r>
      <w:r w:rsidRPr="00CF137F">
        <w:rPr>
          <w:rFonts w:ascii="Verdana" w:hAnsi="Verdana"/>
          <w:sz w:val="16"/>
          <w:szCs w:val="16"/>
        </w:rPr>
        <w:t xml:space="preserve">. </w:t>
      </w:r>
      <w:r w:rsidRPr="00BA6F15">
        <w:rPr>
          <w:rFonts w:ascii="Verdana" w:hAnsi="Verdana"/>
          <w:i/>
          <w:sz w:val="16"/>
          <w:szCs w:val="16"/>
        </w:rPr>
        <w:t>Fondo, Reparaciones y Costas</w:t>
      </w:r>
      <w:r w:rsidRPr="00CF137F">
        <w:rPr>
          <w:rFonts w:ascii="Verdana" w:hAnsi="Verdana"/>
          <w:sz w:val="16"/>
          <w:szCs w:val="16"/>
        </w:rPr>
        <w:t xml:space="preserve">. Sentencia de 31 de agosto de 2004. Serie C No. 111; </w:t>
      </w:r>
      <w:r w:rsidRPr="00CF137F">
        <w:rPr>
          <w:rFonts w:ascii="Verdana" w:hAnsi="Verdana"/>
          <w:i/>
          <w:iCs/>
          <w:sz w:val="16"/>
          <w:szCs w:val="16"/>
        </w:rPr>
        <w:t xml:space="preserve">Caso </w:t>
      </w:r>
      <w:proofErr w:type="spellStart"/>
      <w:r w:rsidRPr="00CF137F">
        <w:rPr>
          <w:rFonts w:ascii="Verdana" w:hAnsi="Verdana"/>
          <w:i/>
          <w:iCs/>
          <w:sz w:val="16"/>
          <w:szCs w:val="16"/>
        </w:rPr>
        <w:t>Palamara</w:t>
      </w:r>
      <w:proofErr w:type="spellEnd"/>
      <w:r w:rsidRPr="00CF137F">
        <w:rPr>
          <w:rFonts w:ascii="Verdana" w:hAnsi="Verdana"/>
          <w:i/>
          <w:iCs/>
          <w:sz w:val="16"/>
          <w:szCs w:val="16"/>
        </w:rPr>
        <w:t xml:space="preserve"> Iribarne Vs. Chile</w:t>
      </w:r>
      <w:r w:rsidRPr="00CF137F">
        <w:rPr>
          <w:rFonts w:ascii="Verdana" w:hAnsi="Verdana"/>
          <w:sz w:val="16"/>
          <w:szCs w:val="16"/>
        </w:rPr>
        <w:t xml:space="preserve">. </w:t>
      </w:r>
      <w:r w:rsidRPr="00BA6F15">
        <w:rPr>
          <w:rFonts w:ascii="Verdana" w:hAnsi="Verdana"/>
          <w:i/>
          <w:sz w:val="16"/>
          <w:szCs w:val="16"/>
        </w:rPr>
        <w:t>Fondo, Reparaciones y Costas.</w:t>
      </w:r>
      <w:r w:rsidRPr="00CF137F">
        <w:rPr>
          <w:rFonts w:ascii="Verdana" w:hAnsi="Verdana"/>
          <w:sz w:val="16"/>
          <w:szCs w:val="16"/>
        </w:rPr>
        <w:t xml:space="preserve"> Sentencia de 22 de noviembre de 2005. Serie C No. 135; </w:t>
      </w:r>
      <w:r w:rsidRPr="00FE4104">
        <w:rPr>
          <w:rFonts w:ascii="Verdana" w:hAnsi="Verdana"/>
          <w:i/>
          <w:iCs/>
          <w:sz w:val="16"/>
          <w:szCs w:val="16"/>
        </w:rPr>
        <w:t>Caso Claude Reyes y otros Vs Chile</w:t>
      </w:r>
      <w:r w:rsidRPr="00BA6F15">
        <w:rPr>
          <w:rFonts w:ascii="Verdana" w:hAnsi="Verdana"/>
          <w:i/>
          <w:sz w:val="16"/>
          <w:szCs w:val="16"/>
        </w:rPr>
        <w:t>. Fondo, Reparaciones y Costas</w:t>
      </w:r>
      <w:r w:rsidRPr="00CF137F">
        <w:rPr>
          <w:rFonts w:ascii="Verdana" w:hAnsi="Verdana"/>
          <w:sz w:val="16"/>
          <w:szCs w:val="16"/>
        </w:rPr>
        <w:t xml:space="preserve">. Sentencia de 19 de </w:t>
      </w:r>
    </w:p>
    <w:p w14:paraId="4EB81278" w14:textId="010A88F7" w:rsidR="008F53FE" w:rsidRPr="00DE4860" w:rsidRDefault="008F53FE" w:rsidP="000B0BD3">
      <w:pPr>
        <w:jc w:val="both"/>
        <w:rPr>
          <w:rFonts w:ascii="Verdana" w:hAnsi="Verdana"/>
          <w:sz w:val="16"/>
          <w:szCs w:val="16"/>
        </w:rPr>
      </w:pPr>
      <w:r w:rsidRPr="00CF137F">
        <w:rPr>
          <w:rFonts w:ascii="Verdana" w:hAnsi="Verdana"/>
          <w:sz w:val="16"/>
          <w:szCs w:val="16"/>
        </w:rPr>
        <w:t xml:space="preserve">septiembre de 2006. Serie C No. 151; </w:t>
      </w:r>
      <w:r w:rsidRPr="00FE4104">
        <w:rPr>
          <w:rFonts w:ascii="Verdana" w:hAnsi="Verdana"/>
          <w:i/>
          <w:iCs/>
          <w:sz w:val="16"/>
          <w:szCs w:val="16"/>
        </w:rPr>
        <w:t xml:space="preserve">Caso </w:t>
      </w:r>
      <w:proofErr w:type="spellStart"/>
      <w:r w:rsidRPr="00FE4104">
        <w:rPr>
          <w:rFonts w:ascii="Verdana" w:hAnsi="Verdana"/>
          <w:i/>
          <w:iCs/>
          <w:sz w:val="16"/>
          <w:szCs w:val="16"/>
        </w:rPr>
        <w:t>Kimel</w:t>
      </w:r>
      <w:proofErr w:type="spellEnd"/>
      <w:r w:rsidRPr="00FE4104">
        <w:rPr>
          <w:rFonts w:ascii="Verdana" w:hAnsi="Verdana"/>
          <w:i/>
          <w:iCs/>
          <w:sz w:val="16"/>
          <w:szCs w:val="16"/>
        </w:rPr>
        <w:t xml:space="preserve"> Vs. Argentina</w:t>
      </w:r>
      <w:r w:rsidRPr="00BA6F15">
        <w:rPr>
          <w:rFonts w:ascii="Verdana" w:hAnsi="Verdana"/>
          <w:i/>
          <w:sz w:val="16"/>
          <w:szCs w:val="16"/>
        </w:rPr>
        <w:t xml:space="preserve">. Fondo, </w:t>
      </w:r>
      <w:r>
        <w:rPr>
          <w:rFonts w:ascii="Verdana" w:hAnsi="Verdana"/>
          <w:i/>
          <w:sz w:val="16"/>
          <w:szCs w:val="16"/>
        </w:rPr>
        <w:t>R</w:t>
      </w:r>
      <w:r w:rsidRPr="00BA6F15">
        <w:rPr>
          <w:rFonts w:ascii="Verdana" w:hAnsi="Verdana"/>
          <w:i/>
          <w:sz w:val="16"/>
          <w:szCs w:val="16"/>
        </w:rPr>
        <w:t xml:space="preserve">eparaciones y </w:t>
      </w:r>
      <w:r>
        <w:rPr>
          <w:rFonts w:ascii="Verdana" w:hAnsi="Verdana"/>
          <w:i/>
          <w:sz w:val="16"/>
          <w:szCs w:val="16"/>
        </w:rPr>
        <w:t>C</w:t>
      </w:r>
      <w:r w:rsidRPr="00BA6F15">
        <w:rPr>
          <w:rFonts w:ascii="Verdana" w:hAnsi="Verdana"/>
          <w:i/>
          <w:sz w:val="16"/>
          <w:szCs w:val="16"/>
        </w:rPr>
        <w:t>ostas</w:t>
      </w:r>
      <w:r w:rsidRPr="00CF137F">
        <w:rPr>
          <w:rFonts w:ascii="Verdana" w:hAnsi="Verdana"/>
          <w:sz w:val="16"/>
          <w:szCs w:val="16"/>
        </w:rPr>
        <w:t xml:space="preserve">. Sentencia de 2 de mayo de 2008. Serie C No. 177; </w:t>
      </w:r>
      <w:r w:rsidRPr="00CF137F">
        <w:rPr>
          <w:rFonts w:ascii="Verdana" w:hAnsi="Verdana"/>
          <w:i/>
          <w:iCs/>
          <w:sz w:val="16"/>
          <w:szCs w:val="16"/>
        </w:rPr>
        <w:t xml:space="preserve">Caso </w:t>
      </w:r>
      <w:proofErr w:type="spellStart"/>
      <w:r w:rsidRPr="00CF137F">
        <w:rPr>
          <w:rFonts w:ascii="Verdana" w:hAnsi="Verdana"/>
          <w:i/>
          <w:iCs/>
          <w:sz w:val="16"/>
          <w:szCs w:val="16"/>
        </w:rPr>
        <w:t>Tristán</w:t>
      </w:r>
      <w:proofErr w:type="spellEnd"/>
      <w:r w:rsidRPr="00CF137F">
        <w:rPr>
          <w:rFonts w:ascii="Verdana" w:hAnsi="Verdana"/>
          <w:i/>
          <w:iCs/>
          <w:sz w:val="16"/>
          <w:szCs w:val="16"/>
        </w:rPr>
        <w:t xml:space="preserve"> Donoso Vs. </w:t>
      </w:r>
      <w:proofErr w:type="spellStart"/>
      <w:r w:rsidRPr="00CF137F">
        <w:rPr>
          <w:rFonts w:ascii="Verdana" w:hAnsi="Verdana"/>
          <w:i/>
          <w:iCs/>
          <w:sz w:val="16"/>
          <w:szCs w:val="16"/>
        </w:rPr>
        <w:t>Panama</w:t>
      </w:r>
      <w:proofErr w:type="spellEnd"/>
      <w:r w:rsidRPr="00CF137F">
        <w:rPr>
          <w:rFonts w:ascii="Verdana" w:hAnsi="Verdana"/>
          <w:i/>
          <w:iCs/>
          <w:sz w:val="16"/>
          <w:szCs w:val="16"/>
        </w:rPr>
        <w:t>́</w:t>
      </w:r>
      <w:r w:rsidRPr="00CF137F">
        <w:rPr>
          <w:rFonts w:ascii="Verdana" w:hAnsi="Verdana"/>
          <w:sz w:val="16"/>
          <w:szCs w:val="16"/>
        </w:rPr>
        <w:t xml:space="preserve">. </w:t>
      </w:r>
      <w:proofErr w:type="spellStart"/>
      <w:r w:rsidRPr="00BA6F15">
        <w:rPr>
          <w:rFonts w:ascii="Verdana" w:hAnsi="Verdana"/>
          <w:i/>
          <w:sz w:val="16"/>
          <w:szCs w:val="16"/>
        </w:rPr>
        <w:t>Excepción</w:t>
      </w:r>
      <w:proofErr w:type="spellEnd"/>
      <w:r w:rsidRPr="00BA6F15">
        <w:rPr>
          <w:rFonts w:ascii="Verdana" w:hAnsi="Verdana"/>
          <w:i/>
          <w:sz w:val="16"/>
          <w:szCs w:val="16"/>
        </w:rPr>
        <w:t xml:space="preserve"> Preliminar, Fondo, Reparaciones y Costas</w:t>
      </w:r>
      <w:r w:rsidRPr="00CF137F">
        <w:rPr>
          <w:rFonts w:ascii="Verdana" w:hAnsi="Verdana"/>
          <w:sz w:val="16"/>
          <w:szCs w:val="16"/>
        </w:rPr>
        <w:t xml:space="preserve">. Sentencia de 27 de enero  de 2009. Serie C No. 193; </w:t>
      </w:r>
      <w:r w:rsidRPr="00CF137F">
        <w:rPr>
          <w:rFonts w:ascii="Verdana" w:hAnsi="Verdana"/>
          <w:i/>
          <w:iCs/>
          <w:sz w:val="16"/>
          <w:szCs w:val="16"/>
        </w:rPr>
        <w:t xml:space="preserve">Caso </w:t>
      </w:r>
      <w:proofErr w:type="spellStart"/>
      <w:r w:rsidRPr="00CF137F">
        <w:rPr>
          <w:rFonts w:ascii="Verdana" w:hAnsi="Verdana"/>
          <w:i/>
          <w:iCs/>
          <w:sz w:val="16"/>
          <w:szCs w:val="16"/>
        </w:rPr>
        <w:t>Ríos</w:t>
      </w:r>
      <w:proofErr w:type="spellEnd"/>
      <w:r w:rsidRPr="00CF137F">
        <w:rPr>
          <w:rFonts w:ascii="Verdana" w:hAnsi="Verdana"/>
          <w:i/>
          <w:iCs/>
          <w:sz w:val="16"/>
          <w:szCs w:val="16"/>
        </w:rPr>
        <w:t xml:space="preserve"> y otros Vs. Venezuela</w:t>
      </w:r>
      <w:r w:rsidRPr="00CF137F">
        <w:rPr>
          <w:rFonts w:ascii="Verdana" w:hAnsi="Verdana"/>
          <w:sz w:val="16"/>
          <w:szCs w:val="16"/>
        </w:rPr>
        <w:t xml:space="preserve">. </w:t>
      </w:r>
      <w:r w:rsidRPr="00BA6F15">
        <w:rPr>
          <w:rFonts w:ascii="Verdana" w:hAnsi="Verdana"/>
          <w:i/>
          <w:sz w:val="16"/>
          <w:szCs w:val="16"/>
        </w:rPr>
        <w:t xml:space="preserve">Excepciones Preliminares, Fondo, Reparaciones y Costas. </w:t>
      </w:r>
      <w:r w:rsidRPr="00CF137F">
        <w:rPr>
          <w:rFonts w:ascii="Verdana" w:hAnsi="Verdana"/>
          <w:sz w:val="16"/>
          <w:szCs w:val="16"/>
        </w:rPr>
        <w:t xml:space="preserve">Sentencia de 28 de enero de 2009. Serie C No. 194; </w:t>
      </w:r>
      <w:r w:rsidRPr="00CF137F">
        <w:rPr>
          <w:rFonts w:ascii="Verdana" w:hAnsi="Verdana"/>
          <w:i/>
          <w:iCs/>
          <w:sz w:val="16"/>
          <w:szCs w:val="16"/>
        </w:rPr>
        <w:t>Caso Perozo y otros Vs. Venezuela</w:t>
      </w:r>
      <w:r w:rsidRPr="00CF137F">
        <w:rPr>
          <w:rFonts w:ascii="Verdana" w:hAnsi="Verdana"/>
          <w:sz w:val="16"/>
          <w:szCs w:val="16"/>
        </w:rPr>
        <w:t xml:space="preserve">. </w:t>
      </w:r>
      <w:r w:rsidRPr="00BA6F15">
        <w:rPr>
          <w:rFonts w:ascii="Verdana" w:hAnsi="Verdana"/>
          <w:i/>
          <w:sz w:val="16"/>
          <w:szCs w:val="16"/>
        </w:rPr>
        <w:t>Excepciones Preliminares, Fondo, Reparaciones y Costas</w:t>
      </w:r>
      <w:r w:rsidRPr="00CF137F">
        <w:rPr>
          <w:rFonts w:ascii="Verdana" w:hAnsi="Verdana"/>
          <w:sz w:val="16"/>
          <w:szCs w:val="16"/>
        </w:rPr>
        <w:t xml:space="preserve">. Sentencia de 28 de enero de 2009. Serie C No. 195; </w:t>
      </w:r>
      <w:r w:rsidRPr="00CF137F">
        <w:rPr>
          <w:rFonts w:ascii="Verdana" w:hAnsi="Verdana"/>
          <w:i/>
          <w:iCs/>
          <w:sz w:val="16"/>
          <w:szCs w:val="16"/>
        </w:rPr>
        <w:t xml:space="preserve">Caso </w:t>
      </w:r>
      <w:proofErr w:type="spellStart"/>
      <w:r w:rsidRPr="00CF137F">
        <w:rPr>
          <w:rFonts w:ascii="Verdana" w:hAnsi="Verdana"/>
          <w:i/>
          <w:iCs/>
          <w:sz w:val="16"/>
          <w:szCs w:val="16"/>
        </w:rPr>
        <w:t>Usón</w:t>
      </w:r>
      <w:proofErr w:type="spellEnd"/>
      <w:r w:rsidRPr="00CF137F">
        <w:rPr>
          <w:rFonts w:ascii="Verdana" w:hAnsi="Verdana"/>
          <w:i/>
          <w:iCs/>
          <w:sz w:val="16"/>
          <w:szCs w:val="16"/>
        </w:rPr>
        <w:t xml:space="preserve"> </w:t>
      </w:r>
      <w:proofErr w:type="spellStart"/>
      <w:r w:rsidRPr="00CF137F">
        <w:rPr>
          <w:rFonts w:ascii="Verdana" w:hAnsi="Verdana"/>
          <w:i/>
          <w:iCs/>
          <w:sz w:val="16"/>
          <w:szCs w:val="16"/>
        </w:rPr>
        <w:t>Ramírez</w:t>
      </w:r>
      <w:proofErr w:type="spellEnd"/>
      <w:r w:rsidRPr="00CF137F">
        <w:rPr>
          <w:rFonts w:ascii="Verdana" w:hAnsi="Verdana"/>
          <w:i/>
          <w:iCs/>
          <w:sz w:val="16"/>
          <w:szCs w:val="16"/>
        </w:rPr>
        <w:t xml:space="preserve"> Vs. Venezuela</w:t>
      </w:r>
      <w:r w:rsidRPr="00CF137F">
        <w:rPr>
          <w:rFonts w:ascii="Verdana" w:hAnsi="Verdana"/>
          <w:sz w:val="16"/>
          <w:szCs w:val="16"/>
        </w:rPr>
        <w:t xml:space="preserve">. </w:t>
      </w:r>
      <w:r w:rsidRPr="00BA6F15">
        <w:rPr>
          <w:rFonts w:ascii="Verdana" w:hAnsi="Verdana"/>
          <w:i/>
          <w:sz w:val="16"/>
          <w:szCs w:val="16"/>
        </w:rPr>
        <w:t>Excepción Preliminar, Fondo, Reparaciones y Costas</w:t>
      </w:r>
      <w:r w:rsidRPr="00CF137F">
        <w:rPr>
          <w:rFonts w:ascii="Verdana" w:hAnsi="Verdana"/>
          <w:sz w:val="16"/>
          <w:szCs w:val="16"/>
        </w:rPr>
        <w:t xml:space="preserve">. Sentencia de 20 de noviembre de 2009. Serie C No. 207; </w:t>
      </w:r>
      <w:r w:rsidRPr="00CF137F">
        <w:rPr>
          <w:rFonts w:ascii="Verdana" w:hAnsi="Verdana"/>
          <w:i/>
          <w:iCs/>
          <w:sz w:val="16"/>
          <w:szCs w:val="16"/>
        </w:rPr>
        <w:t xml:space="preserve">Caso Gomes </w:t>
      </w:r>
      <w:proofErr w:type="spellStart"/>
      <w:r w:rsidRPr="00CF137F">
        <w:rPr>
          <w:rFonts w:ascii="Verdana" w:hAnsi="Verdana"/>
          <w:i/>
          <w:iCs/>
          <w:sz w:val="16"/>
          <w:szCs w:val="16"/>
        </w:rPr>
        <w:t>Lund</w:t>
      </w:r>
      <w:proofErr w:type="spellEnd"/>
      <w:r w:rsidRPr="00CF137F">
        <w:rPr>
          <w:rFonts w:ascii="Verdana" w:hAnsi="Verdana"/>
          <w:i/>
          <w:iCs/>
          <w:sz w:val="16"/>
          <w:szCs w:val="16"/>
        </w:rPr>
        <w:t xml:space="preserve"> y otros (</w:t>
      </w:r>
      <w:proofErr w:type="spellStart"/>
      <w:r w:rsidRPr="00CF137F">
        <w:rPr>
          <w:rFonts w:ascii="Verdana" w:hAnsi="Verdana"/>
          <w:i/>
          <w:iCs/>
          <w:sz w:val="16"/>
          <w:szCs w:val="16"/>
        </w:rPr>
        <w:t>Guerrilha</w:t>
      </w:r>
      <w:proofErr w:type="spellEnd"/>
      <w:r w:rsidRPr="00CF137F">
        <w:rPr>
          <w:rFonts w:ascii="Verdana" w:hAnsi="Verdana"/>
          <w:i/>
          <w:iCs/>
          <w:sz w:val="16"/>
          <w:szCs w:val="16"/>
        </w:rPr>
        <w:t xml:space="preserve"> do </w:t>
      </w:r>
      <w:proofErr w:type="spellStart"/>
      <w:r w:rsidRPr="00CF137F">
        <w:rPr>
          <w:rFonts w:ascii="Verdana" w:hAnsi="Verdana"/>
          <w:i/>
          <w:iCs/>
          <w:sz w:val="16"/>
          <w:szCs w:val="16"/>
        </w:rPr>
        <w:t>Araguaia</w:t>
      </w:r>
      <w:proofErr w:type="spellEnd"/>
      <w:r w:rsidRPr="00CF137F">
        <w:rPr>
          <w:rFonts w:ascii="Verdana" w:hAnsi="Verdana"/>
          <w:i/>
          <w:iCs/>
          <w:sz w:val="16"/>
          <w:szCs w:val="16"/>
        </w:rPr>
        <w:t>) Vs. Brasil</w:t>
      </w:r>
      <w:r w:rsidRPr="00CF137F">
        <w:rPr>
          <w:rFonts w:ascii="Verdana" w:hAnsi="Verdana"/>
          <w:sz w:val="16"/>
          <w:szCs w:val="16"/>
        </w:rPr>
        <w:t xml:space="preserve">. </w:t>
      </w:r>
      <w:r w:rsidRPr="00BA6F15">
        <w:rPr>
          <w:rFonts w:ascii="Verdana" w:hAnsi="Verdana"/>
          <w:i/>
          <w:sz w:val="16"/>
          <w:szCs w:val="16"/>
        </w:rPr>
        <w:t>Excepciones Preliminares, Fondo, Reparaciones y Costas.</w:t>
      </w:r>
      <w:r w:rsidRPr="00CF137F">
        <w:rPr>
          <w:rFonts w:ascii="Verdana" w:hAnsi="Verdana"/>
          <w:sz w:val="16"/>
          <w:szCs w:val="16"/>
        </w:rPr>
        <w:t xml:space="preserve"> Sentencia de 24 de noviembre de 2010. Serie C No. 219</w:t>
      </w:r>
      <w:r w:rsidRPr="00CF137F">
        <w:rPr>
          <w:rFonts w:ascii="Verdana" w:hAnsi="Verdana"/>
          <w:i/>
          <w:iCs/>
          <w:sz w:val="16"/>
          <w:szCs w:val="16"/>
        </w:rPr>
        <w:t xml:space="preserve">;  Caso </w:t>
      </w:r>
      <w:proofErr w:type="spellStart"/>
      <w:r w:rsidRPr="00CF137F">
        <w:rPr>
          <w:rFonts w:ascii="Verdana" w:hAnsi="Verdana"/>
          <w:i/>
          <w:iCs/>
          <w:sz w:val="16"/>
          <w:szCs w:val="16"/>
        </w:rPr>
        <w:t>Fontevecchia</w:t>
      </w:r>
      <w:proofErr w:type="spellEnd"/>
      <w:r w:rsidRPr="00CF137F">
        <w:rPr>
          <w:rFonts w:ascii="Verdana" w:hAnsi="Verdana"/>
          <w:i/>
          <w:iCs/>
          <w:sz w:val="16"/>
          <w:szCs w:val="16"/>
        </w:rPr>
        <w:t xml:space="preserve"> y </w:t>
      </w:r>
      <w:proofErr w:type="spellStart"/>
      <w:r w:rsidRPr="00CF137F">
        <w:rPr>
          <w:rFonts w:ascii="Verdana" w:hAnsi="Verdana"/>
          <w:i/>
          <w:iCs/>
          <w:sz w:val="16"/>
          <w:szCs w:val="16"/>
        </w:rPr>
        <w:t>D’Amico</w:t>
      </w:r>
      <w:proofErr w:type="spellEnd"/>
      <w:r w:rsidRPr="00CF137F">
        <w:rPr>
          <w:rFonts w:ascii="Verdana" w:hAnsi="Verdana"/>
          <w:i/>
          <w:iCs/>
          <w:sz w:val="16"/>
          <w:szCs w:val="16"/>
        </w:rPr>
        <w:t xml:space="preserve"> Vs. Argentina</w:t>
      </w:r>
      <w:r w:rsidRPr="00CF137F">
        <w:rPr>
          <w:rFonts w:ascii="Verdana" w:hAnsi="Verdana"/>
          <w:sz w:val="16"/>
          <w:szCs w:val="16"/>
        </w:rPr>
        <w:t xml:space="preserve">. </w:t>
      </w:r>
      <w:r w:rsidRPr="00BA6F15">
        <w:rPr>
          <w:rFonts w:ascii="Verdana" w:hAnsi="Verdana"/>
          <w:i/>
          <w:sz w:val="16"/>
          <w:szCs w:val="16"/>
        </w:rPr>
        <w:t xml:space="preserve">Fondo, Reparaciones y Costas. </w:t>
      </w:r>
      <w:r w:rsidRPr="00CF137F">
        <w:rPr>
          <w:rFonts w:ascii="Verdana" w:hAnsi="Verdana"/>
          <w:sz w:val="16"/>
          <w:szCs w:val="16"/>
        </w:rPr>
        <w:t xml:space="preserve">Sentencia de 29 de noviembre de 2011. Serie C No. 238; </w:t>
      </w:r>
      <w:r w:rsidRPr="00FE4104">
        <w:rPr>
          <w:rFonts w:ascii="Verdana" w:hAnsi="Verdana" w:cs="Verdana"/>
          <w:bCs/>
          <w:i/>
          <w:sz w:val="16"/>
          <w:szCs w:val="16"/>
          <w:lang w:val="es-ES"/>
        </w:rPr>
        <w:t xml:space="preserve">Caso </w:t>
      </w:r>
      <w:proofErr w:type="spellStart"/>
      <w:r w:rsidRPr="00FE4104">
        <w:rPr>
          <w:rFonts w:ascii="Verdana" w:hAnsi="Verdana" w:cs="Verdana"/>
          <w:bCs/>
          <w:i/>
          <w:sz w:val="16"/>
          <w:szCs w:val="16"/>
          <w:lang w:val="es-ES"/>
        </w:rPr>
        <w:t>Mémoli</w:t>
      </w:r>
      <w:proofErr w:type="spellEnd"/>
      <w:r w:rsidRPr="00FE4104">
        <w:rPr>
          <w:rFonts w:ascii="Verdana" w:hAnsi="Verdana" w:cs="Verdana"/>
          <w:bCs/>
          <w:i/>
          <w:sz w:val="16"/>
          <w:szCs w:val="16"/>
          <w:lang w:val="es-ES"/>
        </w:rPr>
        <w:t xml:space="preserve"> vs. Argentina. Excepciones </w:t>
      </w:r>
      <w:r w:rsidRPr="00151A7C">
        <w:rPr>
          <w:rFonts w:ascii="Verdana" w:hAnsi="Verdana" w:cs="Verdana"/>
          <w:bCs/>
          <w:i/>
          <w:sz w:val="16"/>
          <w:szCs w:val="16"/>
          <w:lang w:val="es-ES"/>
        </w:rPr>
        <w:t xml:space="preserve">Preliminares, Fondo, Reparaciones y </w:t>
      </w:r>
      <w:r w:rsidRPr="00805C3A">
        <w:rPr>
          <w:rFonts w:ascii="Verdana" w:hAnsi="Verdana" w:cs="Verdana"/>
          <w:bCs/>
          <w:i/>
          <w:sz w:val="16"/>
          <w:szCs w:val="16"/>
          <w:lang w:val="es-ES"/>
        </w:rPr>
        <w:t>C</w:t>
      </w:r>
      <w:r w:rsidRPr="00C84924">
        <w:rPr>
          <w:rFonts w:ascii="Verdana" w:hAnsi="Verdana" w:cs="Verdana"/>
          <w:bCs/>
          <w:i/>
          <w:sz w:val="16"/>
          <w:szCs w:val="16"/>
          <w:lang w:val="es-ES"/>
        </w:rPr>
        <w:t xml:space="preserve">ostas. </w:t>
      </w:r>
      <w:r w:rsidRPr="00CF137F">
        <w:rPr>
          <w:rFonts w:ascii="Verdana" w:hAnsi="Verdana" w:cs="Verdana"/>
          <w:bCs/>
          <w:sz w:val="16"/>
          <w:szCs w:val="16"/>
          <w:lang w:val="es-ES"/>
        </w:rPr>
        <w:t xml:space="preserve">Sentencia de 22 de agosto de 2013. Serie C No. 265; </w:t>
      </w:r>
      <w:r w:rsidRPr="00CF137F">
        <w:rPr>
          <w:rFonts w:ascii="Verdana" w:hAnsi="Verdana" w:cs="Verdana"/>
          <w:bCs/>
          <w:i/>
          <w:sz w:val="16"/>
          <w:szCs w:val="16"/>
          <w:lang w:val="es-ES"/>
        </w:rPr>
        <w:t xml:space="preserve">Caso </w:t>
      </w:r>
      <w:proofErr w:type="spellStart"/>
      <w:r w:rsidRPr="00CF137F">
        <w:rPr>
          <w:rFonts w:ascii="Verdana" w:hAnsi="Verdana" w:cs="Verdana"/>
          <w:bCs/>
          <w:i/>
          <w:sz w:val="16"/>
          <w:szCs w:val="16"/>
          <w:lang w:val="es-ES"/>
        </w:rPr>
        <w:t>Norín</w:t>
      </w:r>
      <w:proofErr w:type="spellEnd"/>
      <w:r w:rsidRPr="00CF137F">
        <w:rPr>
          <w:rFonts w:ascii="Verdana" w:hAnsi="Verdana" w:cs="Verdana"/>
          <w:bCs/>
          <w:i/>
          <w:sz w:val="16"/>
          <w:szCs w:val="16"/>
          <w:lang w:val="es-ES"/>
        </w:rPr>
        <w:t xml:space="preserve"> </w:t>
      </w:r>
      <w:proofErr w:type="spellStart"/>
      <w:r w:rsidRPr="00CF137F">
        <w:rPr>
          <w:rFonts w:ascii="Verdana" w:hAnsi="Verdana" w:cs="Verdana"/>
          <w:bCs/>
          <w:i/>
          <w:sz w:val="16"/>
          <w:szCs w:val="16"/>
          <w:lang w:val="es-ES"/>
        </w:rPr>
        <w:t>Catrimán</w:t>
      </w:r>
      <w:proofErr w:type="spellEnd"/>
      <w:r w:rsidRPr="00CF137F">
        <w:rPr>
          <w:rFonts w:ascii="Verdana" w:hAnsi="Verdana" w:cs="Verdana"/>
          <w:bCs/>
          <w:i/>
          <w:sz w:val="16"/>
          <w:szCs w:val="16"/>
          <w:lang w:val="es-ES"/>
        </w:rPr>
        <w:t xml:space="preserve"> y otros (Dirigentes, miembros y activista del Pueblo Indígena Mapuche) Vs. Chile. Fondo, </w:t>
      </w:r>
      <w:r>
        <w:rPr>
          <w:rFonts w:ascii="Verdana" w:hAnsi="Verdana" w:cs="Verdana"/>
          <w:bCs/>
          <w:i/>
          <w:sz w:val="16"/>
          <w:szCs w:val="16"/>
          <w:lang w:val="es-ES"/>
        </w:rPr>
        <w:t>R</w:t>
      </w:r>
      <w:r w:rsidRPr="00CF137F">
        <w:rPr>
          <w:rFonts w:ascii="Verdana" w:hAnsi="Verdana" w:cs="Verdana"/>
          <w:bCs/>
          <w:i/>
          <w:sz w:val="16"/>
          <w:szCs w:val="16"/>
          <w:lang w:val="es-ES"/>
        </w:rPr>
        <w:t xml:space="preserve">eparaciones y </w:t>
      </w:r>
      <w:r>
        <w:rPr>
          <w:rFonts w:ascii="Verdana" w:hAnsi="Verdana" w:cs="Verdana"/>
          <w:bCs/>
          <w:i/>
          <w:sz w:val="16"/>
          <w:szCs w:val="16"/>
          <w:lang w:val="es-ES"/>
        </w:rPr>
        <w:t>C</w:t>
      </w:r>
      <w:r w:rsidRPr="00CF137F">
        <w:rPr>
          <w:rFonts w:ascii="Verdana" w:hAnsi="Verdana" w:cs="Verdana"/>
          <w:bCs/>
          <w:i/>
          <w:sz w:val="16"/>
          <w:szCs w:val="16"/>
          <w:lang w:val="es-ES"/>
        </w:rPr>
        <w:t>ostas</w:t>
      </w:r>
      <w:r w:rsidRPr="00CF137F">
        <w:rPr>
          <w:rFonts w:ascii="Verdana" w:hAnsi="Verdana" w:cs="Verdana"/>
          <w:bCs/>
          <w:sz w:val="16"/>
          <w:szCs w:val="16"/>
          <w:lang w:val="es-ES"/>
        </w:rPr>
        <w:t xml:space="preserve">. Sentencia de 29 de mayo de 2014. Serie C No. 279; y </w:t>
      </w:r>
      <w:r w:rsidRPr="00CF137F">
        <w:rPr>
          <w:rFonts w:ascii="Verdana" w:eastAsia="Times New Roman" w:hAnsi="Verdana" w:cs="Times New Roman"/>
          <w:b/>
          <w:bCs/>
          <w:color w:val="000000"/>
          <w:sz w:val="16"/>
          <w:szCs w:val="16"/>
          <w:lang w:val="es-MX"/>
        </w:rPr>
        <w:t> </w:t>
      </w:r>
      <w:r w:rsidRPr="00CF137F">
        <w:rPr>
          <w:rFonts w:ascii="Verdana" w:eastAsia="Times New Roman" w:hAnsi="Verdana" w:cs="Times New Roman"/>
          <w:bCs/>
          <w:i/>
          <w:color w:val="000000"/>
          <w:sz w:val="16"/>
          <w:szCs w:val="16"/>
          <w:lang w:val="es-MX"/>
        </w:rPr>
        <w:t xml:space="preserve">Caso </w:t>
      </w:r>
      <w:proofErr w:type="spellStart"/>
      <w:r w:rsidRPr="00CF137F">
        <w:rPr>
          <w:rFonts w:ascii="Verdana" w:eastAsia="Times New Roman" w:hAnsi="Verdana" w:cs="Times New Roman"/>
          <w:bCs/>
          <w:i/>
          <w:color w:val="000000"/>
          <w:sz w:val="16"/>
          <w:szCs w:val="16"/>
          <w:lang w:val="es-MX"/>
        </w:rPr>
        <w:t>Granier</w:t>
      </w:r>
      <w:proofErr w:type="spellEnd"/>
      <w:r w:rsidRPr="00CF137F">
        <w:rPr>
          <w:rFonts w:ascii="Verdana" w:eastAsia="Times New Roman" w:hAnsi="Verdana" w:cs="Times New Roman"/>
          <w:bCs/>
          <w:i/>
          <w:color w:val="000000"/>
          <w:sz w:val="16"/>
          <w:szCs w:val="16"/>
          <w:lang w:val="es-MX"/>
        </w:rPr>
        <w:t xml:space="preserve"> y otros (Radio Caracas Televisión) Vs. Venezuela. Excepciones Preliminares, Fondo, Reparaciones y Costas</w:t>
      </w:r>
      <w:r w:rsidRPr="00CF137F">
        <w:rPr>
          <w:rFonts w:ascii="Verdana" w:eastAsia="Times New Roman" w:hAnsi="Verdana" w:cs="Times New Roman"/>
          <w:bCs/>
          <w:color w:val="000000"/>
          <w:sz w:val="16"/>
          <w:szCs w:val="16"/>
          <w:lang w:val="es-MX"/>
        </w:rPr>
        <w:t xml:space="preserve">. Sentencia de 22 de junio de 2015. Serie C No. 293. </w:t>
      </w:r>
    </w:p>
    <w:p w14:paraId="08122F0E" w14:textId="550A2448" w:rsidR="008F53FE" w:rsidRPr="00CF137F" w:rsidRDefault="008F53FE" w:rsidP="000B0BD3">
      <w:pPr>
        <w:jc w:val="both"/>
        <w:rPr>
          <w:rFonts w:ascii="Verdana" w:eastAsia="Times New Roman" w:hAnsi="Verdana" w:cs="Times New Roman"/>
          <w:sz w:val="16"/>
          <w:szCs w:val="16"/>
          <w:lang w:val="es-MX"/>
        </w:rPr>
      </w:pPr>
    </w:p>
  </w:footnote>
  <w:footnote w:id="3">
    <w:p w14:paraId="29976359" w14:textId="0DD0FE6B" w:rsidR="008F53FE" w:rsidRPr="00CF137F" w:rsidRDefault="008F53FE" w:rsidP="00DC67BA">
      <w:pPr>
        <w:pStyle w:val="FootnoteText"/>
        <w:spacing w:after="120"/>
        <w:jc w:val="both"/>
        <w:rPr>
          <w:sz w:val="16"/>
          <w:szCs w:val="16"/>
          <w:lang w:val="es-ES_tradnl"/>
        </w:rPr>
      </w:pPr>
      <w:r w:rsidRPr="00CF137F">
        <w:rPr>
          <w:rStyle w:val="FootnoteReference"/>
          <w:sz w:val="16"/>
          <w:szCs w:val="16"/>
        </w:rPr>
        <w:footnoteRef/>
      </w:r>
      <w:r w:rsidRPr="00BA6F15">
        <w:rPr>
          <w:sz w:val="16"/>
          <w:szCs w:val="16"/>
          <w:lang w:val="es-MX"/>
        </w:rPr>
        <w:t xml:space="preserve"> </w:t>
      </w:r>
      <w:r w:rsidRPr="00CF137F">
        <w:rPr>
          <w:sz w:val="16"/>
          <w:szCs w:val="16"/>
          <w:lang w:val="es-ES_tradnl"/>
        </w:rPr>
        <w:tab/>
      </w:r>
      <w:r w:rsidRPr="00BA6F15">
        <w:rPr>
          <w:i/>
          <w:sz w:val="16"/>
          <w:szCs w:val="16"/>
          <w:lang w:val="es-MX"/>
        </w:rPr>
        <w:t>Cfr.</w:t>
      </w:r>
      <w:r w:rsidRPr="00BA6F15">
        <w:rPr>
          <w:sz w:val="16"/>
          <w:szCs w:val="16"/>
          <w:lang w:val="es-MX"/>
        </w:rPr>
        <w:t xml:space="preserve"> </w:t>
      </w:r>
      <w:r w:rsidRPr="00BA6F15">
        <w:rPr>
          <w:i/>
          <w:sz w:val="16"/>
          <w:szCs w:val="16"/>
          <w:lang w:val="es-MX"/>
        </w:rPr>
        <w:t xml:space="preserve">Caso Lagos del Campo Vs. Perú. </w:t>
      </w:r>
      <w:r w:rsidRPr="00C959C6">
        <w:rPr>
          <w:i/>
          <w:sz w:val="16"/>
          <w:szCs w:val="16"/>
          <w:lang w:val="es-MX"/>
        </w:rPr>
        <w:t>Excepciones Preliminares, Fondo, Reparaciones y Costas</w:t>
      </w:r>
      <w:r w:rsidRPr="00C959C6">
        <w:rPr>
          <w:sz w:val="16"/>
          <w:szCs w:val="16"/>
          <w:lang w:val="es-MX"/>
        </w:rPr>
        <w:t xml:space="preserve">. Sentencia de 31 de agosto de  2017, Serie C </w:t>
      </w:r>
      <w:r w:rsidRPr="001B7C9D">
        <w:rPr>
          <w:sz w:val="16"/>
          <w:szCs w:val="16"/>
          <w:lang w:val="es-MX"/>
        </w:rPr>
        <w:t xml:space="preserve">No. </w:t>
      </w:r>
      <w:r w:rsidRPr="00BA6F15">
        <w:rPr>
          <w:sz w:val="16"/>
          <w:szCs w:val="16"/>
          <w:lang w:val="es-MX"/>
        </w:rPr>
        <w:t>340</w:t>
      </w:r>
      <w:r w:rsidRPr="00C959C6">
        <w:rPr>
          <w:sz w:val="16"/>
          <w:szCs w:val="16"/>
          <w:lang w:val="es-MX"/>
        </w:rPr>
        <w:t xml:space="preserve">, párrs. 153, 154 y 166, así como Punto Resolutivo 5. </w:t>
      </w:r>
      <w:r w:rsidRPr="00CF137F">
        <w:rPr>
          <w:sz w:val="16"/>
          <w:szCs w:val="16"/>
          <w:lang w:val="es-ES_tradnl"/>
        </w:rPr>
        <w:t xml:space="preserve">Esta es la primera ocasión en sus </w:t>
      </w:r>
      <w:r>
        <w:rPr>
          <w:sz w:val="16"/>
          <w:szCs w:val="16"/>
          <w:lang w:val="es-ES_tradnl"/>
        </w:rPr>
        <w:t xml:space="preserve">casi cuarenta años de existencia y </w:t>
      </w:r>
      <w:r w:rsidRPr="00CF137F">
        <w:rPr>
          <w:sz w:val="16"/>
          <w:szCs w:val="16"/>
          <w:lang w:val="es-ES_tradnl"/>
        </w:rPr>
        <w:t>treinta años de jurisdicción contenciosa que la Corte I</w:t>
      </w:r>
      <w:r>
        <w:rPr>
          <w:sz w:val="16"/>
          <w:szCs w:val="16"/>
          <w:lang w:val="es-ES_tradnl"/>
        </w:rPr>
        <w:t>DH</w:t>
      </w:r>
      <w:r w:rsidRPr="00CF137F">
        <w:rPr>
          <w:sz w:val="16"/>
          <w:szCs w:val="16"/>
          <w:lang w:val="es-ES_tradnl"/>
        </w:rPr>
        <w:t xml:space="preserve"> declara la violación de dicho precepto convencional. </w:t>
      </w:r>
    </w:p>
  </w:footnote>
  <w:footnote w:id="4">
    <w:p w14:paraId="67FA7BD3" w14:textId="0A4ECFF6" w:rsidR="008F53FE" w:rsidRPr="00C959C6" w:rsidRDefault="008F53FE" w:rsidP="005B3CA3">
      <w:pPr>
        <w:pStyle w:val="FootnoteText"/>
        <w:jc w:val="both"/>
        <w:rPr>
          <w:sz w:val="16"/>
          <w:szCs w:val="16"/>
          <w:lang w:val="es-MX"/>
        </w:rPr>
      </w:pPr>
      <w:r w:rsidRPr="005B3CA3">
        <w:rPr>
          <w:rStyle w:val="FootnoteReference"/>
          <w:sz w:val="16"/>
          <w:szCs w:val="16"/>
        </w:rPr>
        <w:footnoteRef/>
      </w:r>
      <w:r w:rsidRPr="00C959C6">
        <w:rPr>
          <w:sz w:val="16"/>
          <w:szCs w:val="16"/>
          <w:lang w:val="es-MX"/>
        </w:rPr>
        <w:t xml:space="preserve"> </w:t>
      </w:r>
      <w:r w:rsidRPr="00C959C6">
        <w:rPr>
          <w:sz w:val="16"/>
          <w:szCs w:val="16"/>
          <w:lang w:val="es-MX"/>
        </w:rPr>
        <w:tab/>
        <w:t xml:space="preserve">También se declararon violados, sobre la estabilidad laboral, los derechos contemplados en los artículos 8, 13 y 16. </w:t>
      </w:r>
      <w:r w:rsidRPr="00BA6F15">
        <w:rPr>
          <w:i/>
          <w:sz w:val="16"/>
          <w:szCs w:val="16"/>
          <w:lang w:val="es-MX"/>
        </w:rPr>
        <w:t>Cfr.</w:t>
      </w:r>
      <w:r w:rsidRPr="00BA6F15">
        <w:rPr>
          <w:sz w:val="16"/>
          <w:szCs w:val="16"/>
          <w:lang w:val="es-MX"/>
        </w:rPr>
        <w:t xml:space="preserve"> </w:t>
      </w:r>
      <w:r w:rsidRPr="00BA6F15">
        <w:rPr>
          <w:i/>
          <w:sz w:val="16"/>
          <w:szCs w:val="16"/>
          <w:lang w:val="es-MX"/>
        </w:rPr>
        <w:t>Caso Lagos del Campo Vs. Perú</w:t>
      </w:r>
      <w:r>
        <w:rPr>
          <w:i/>
          <w:sz w:val="16"/>
          <w:szCs w:val="16"/>
          <w:lang w:val="es-MX"/>
        </w:rPr>
        <w:t>,</w:t>
      </w:r>
      <w:r w:rsidRPr="00BA6F15">
        <w:rPr>
          <w:i/>
          <w:sz w:val="16"/>
          <w:szCs w:val="16"/>
          <w:lang w:val="es-MX"/>
        </w:rPr>
        <w:t xml:space="preserve"> s</w:t>
      </w:r>
      <w:r>
        <w:rPr>
          <w:i/>
          <w:sz w:val="16"/>
          <w:szCs w:val="16"/>
          <w:lang w:val="es-MX"/>
        </w:rPr>
        <w:t>upra</w:t>
      </w:r>
      <w:r w:rsidRPr="00C959C6">
        <w:rPr>
          <w:sz w:val="16"/>
          <w:szCs w:val="16"/>
          <w:lang w:val="es-MX"/>
        </w:rPr>
        <w:t>, párr. 153.</w:t>
      </w:r>
    </w:p>
    <w:p w14:paraId="0F6D38A7" w14:textId="77777777" w:rsidR="008F53FE" w:rsidRPr="005B3CA3" w:rsidRDefault="008F53FE" w:rsidP="005B3CA3">
      <w:pPr>
        <w:pStyle w:val="FootnoteText"/>
        <w:rPr>
          <w:sz w:val="16"/>
          <w:szCs w:val="16"/>
          <w:lang w:val="es-ES_tradnl"/>
        </w:rPr>
      </w:pPr>
    </w:p>
  </w:footnote>
  <w:footnote w:id="5">
    <w:p w14:paraId="35B20DFF" w14:textId="60C7E379" w:rsidR="008F53FE" w:rsidRPr="00BA6F15" w:rsidRDefault="008F53FE" w:rsidP="005B3CA3">
      <w:pPr>
        <w:pStyle w:val="FootnoteText"/>
        <w:jc w:val="both"/>
        <w:rPr>
          <w:sz w:val="16"/>
          <w:szCs w:val="16"/>
          <w:lang w:val="es-MX"/>
        </w:rPr>
      </w:pPr>
      <w:r w:rsidRPr="005B3CA3">
        <w:rPr>
          <w:rStyle w:val="FootnoteReference"/>
          <w:sz w:val="16"/>
          <w:szCs w:val="16"/>
        </w:rPr>
        <w:footnoteRef/>
      </w:r>
      <w:r w:rsidRPr="00C959C6">
        <w:rPr>
          <w:sz w:val="16"/>
          <w:szCs w:val="16"/>
          <w:lang w:val="es-MX"/>
        </w:rPr>
        <w:t xml:space="preserve"> </w:t>
      </w:r>
      <w:r w:rsidRPr="00C959C6">
        <w:rPr>
          <w:sz w:val="16"/>
          <w:szCs w:val="16"/>
          <w:lang w:val="es-MX"/>
        </w:rPr>
        <w:tab/>
      </w:r>
      <w:r>
        <w:rPr>
          <w:sz w:val="16"/>
          <w:szCs w:val="16"/>
          <w:lang w:val="es-MX"/>
        </w:rPr>
        <w:t xml:space="preserve">En la Sentencia, en relación con el </w:t>
      </w:r>
      <w:r w:rsidRPr="00C959C6">
        <w:rPr>
          <w:sz w:val="16"/>
          <w:szCs w:val="16"/>
          <w:lang w:val="es-MX"/>
        </w:rPr>
        <w:t xml:space="preserve">artículo 1.1, se considera que “ […] </w:t>
      </w:r>
      <w:r w:rsidRPr="00C959C6">
        <w:rPr>
          <w:color w:val="000000"/>
          <w:sz w:val="16"/>
          <w:szCs w:val="16"/>
          <w:lang w:val="es-MX"/>
        </w:rPr>
        <w:t xml:space="preserve">frente al despido arbitrario por parte de la empresa […] </w:t>
      </w:r>
      <w:r w:rsidRPr="00C959C6">
        <w:rPr>
          <w:color w:val="000000"/>
          <w:sz w:val="16"/>
          <w:szCs w:val="16"/>
          <w:u w:val="single"/>
          <w:lang w:val="es-MX"/>
        </w:rPr>
        <w:t>el Estado no adoptó las medidas adecuadas para proteger la vulneración del derecho al trabajo imputable a terceros</w:t>
      </w:r>
      <w:r w:rsidRPr="00C959C6">
        <w:rPr>
          <w:color w:val="000000"/>
          <w:sz w:val="16"/>
          <w:szCs w:val="16"/>
          <w:lang w:val="es-MX"/>
        </w:rPr>
        <w:t>”.</w:t>
      </w:r>
      <w:r w:rsidRPr="00C959C6">
        <w:rPr>
          <w:i/>
          <w:sz w:val="16"/>
          <w:szCs w:val="16"/>
          <w:lang w:val="es-MX"/>
        </w:rPr>
        <w:t xml:space="preserve"> </w:t>
      </w:r>
      <w:r w:rsidRPr="00BA6F15">
        <w:rPr>
          <w:i/>
          <w:sz w:val="16"/>
          <w:szCs w:val="16"/>
          <w:lang w:val="es-MX"/>
        </w:rPr>
        <w:t>Cfr.</w:t>
      </w:r>
      <w:r w:rsidRPr="00BA6F15">
        <w:rPr>
          <w:sz w:val="16"/>
          <w:szCs w:val="16"/>
          <w:lang w:val="es-MX"/>
        </w:rPr>
        <w:t xml:space="preserve"> </w:t>
      </w:r>
      <w:r w:rsidRPr="00BA6F15">
        <w:rPr>
          <w:i/>
          <w:sz w:val="16"/>
          <w:szCs w:val="16"/>
          <w:lang w:val="es-MX"/>
        </w:rPr>
        <w:t>Caso Lagos del Campo Vs. Perú</w:t>
      </w:r>
      <w:r>
        <w:rPr>
          <w:i/>
          <w:sz w:val="16"/>
          <w:szCs w:val="16"/>
          <w:lang w:val="es-MX"/>
        </w:rPr>
        <w:t>,</w:t>
      </w:r>
      <w:r w:rsidRPr="00BA6F15">
        <w:rPr>
          <w:i/>
          <w:sz w:val="16"/>
          <w:szCs w:val="16"/>
          <w:lang w:val="es-MX"/>
        </w:rPr>
        <w:t xml:space="preserve"> </w:t>
      </w:r>
      <w:r w:rsidRPr="00A8032F">
        <w:rPr>
          <w:i/>
          <w:sz w:val="16"/>
          <w:szCs w:val="16"/>
          <w:lang w:val="es-MX"/>
        </w:rPr>
        <w:t>s</w:t>
      </w:r>
      <w:r>
        <w:rPr>
          <w:i/>
          <w:sz w:val="16"/>
          <w:szCs w:val="16"/>
          <w:lang w:val="es-MX"/>
        </w:rPr>
        <w:t>upra</w:t>
      </w:r>
      <w:r w:rsidRPr="00BA6F15">
        <w:rPr>
          <w:sz w:val="16"/>
          <w:szCs w:val="16"/>
          <w:lang w:val="es-MX"/>
        </w:rPr>
        <w:t xml:space="preserve">, párr. 151. </w:t>
      </w:r>
    </w:p>
    <w:p w14:paraId="0ACFD146" w14:textId="77777777" w:rsidR="008F53FE" w:rsidRPr="00C91B8D" w:rsidRDefault="008F53FE" w:rsidP="005B3CA3">
      <w:pPr>
        <w:pStyle w:val="FootnoteText"/>
        <w:rPr>
          <w:sz w:val="16"/>
          <w:szCs w:val="16"/>
          <w:lang w:val="es-ES_tradnl"/>
        </w:rPr>
      </w:pPr>
    </w:p>
  </w:footnote>
  <w:footnote w:id="6">
    <w:p w14:paraId="61C620F3" w14:textId="26256FAA" w:rsidR="008F53FE" w:rsidRPr="00CF137F" w:rsidRDefault="008F53FE" w:rsidP="000B0BD3">
      <w:pPr>
        <w:spacing w:after="120"/>
        <w:jc w:val="both"/>
        <w:rPr>
          <w:rFonts w:ascii="Verdana" w:hAnsi="Verdana"/>
          <w:sz w:val="16"/>
          <w:szCs w:val="16"/>
          <w:lang w:val="es-MX"/>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t xml:space="preserve"> </w:t>
      </w:r>
      <w:r w:rsidRPr="00CF137F">
        <w:rPr>
          <w:rFonts w:ascii="Verdana" w:hAnsi="Verdana"/>
          <w:i/>
          <w:sz w:val="16"/>
          <w:szCs w:val="16"/>
        </w:rPr>
        <w:t>Cfr.</w:t>
      </w:r>
      <w:r w:rsidRPr="00CF137F">
        <w:rPr>
          <w:rFonts w:ascii="Verdana" w:hAnsi="Verdana"/>
          <w:sz w:val="16"/>
          <w:szCs w:val="16"/>
        </w:rPr>
        <w:t xml:space="preserve"> </w:t>
      </w:r>
      <w:r w:rsidRPr="00CF137F">
        <w:rPr>
          <w:rFonts w:ascii="Verdana" w:hAnsi="Verdana"/>
          <w:i/>
          <w:sz w:val="16"/>
          <w:szCs w:val="16"/>
        </w:rPr>
        <w:t>Caso Lagos del Campo Vs. Perú</w:t>
      </w:r>
      <w:r>
        <w:rPr>
          <w:rFonts w:ascii="Verdana" w:hAnsi="Verdana"/>
          <w:i/>
          <w:sz w:val="16"/>
          <w:szCs w:val="16"/>
        </w:rPr>
        <w:t xml:space="preserve">, </w:t>
      </w:r>
      <w:r w:rsidRPr="00C84924">
        <w:rPr>
          <w:rFonts w:ascii="Verdana" w:hAnsi="Verdana"/>
          <w:i/>
          <w:sz w:val="16"/>
          <w:szCs w:val="16"/>
        </w:rPr>
        <w:t>supra</w:t>
      </w:r>
      <w:r>
        <w:rPr>
          <w:rFonts w:ascii="Verdana" w:hAnsi="Verdana"/>
          <w:sz w:val="16"/>
          <w:szCs w:val="16"/>
        </w:rPr>
        <w:t>, párr. 141 a 154</w:t>
      </w:r>
      <w:r w:rsidRPr="00CF137F">
        <w:rPr>
          <w:rFonts w:ascii="Verdana" w:hAnsi="Verdana"/>
          <w:sz w:val="16"/>
          <w:szCs w:val="16"/>
        </w:rPr>
        <w:t xml:space="preserve">.  </w:t>
      </w:r>
      <w:r>
        <w:rPr>
          <w:rFonts w:ascii="Verdana" w:hAnsi="Verdana"/>
          <w:sz w:val="16"/>
          <w:szCs w:val="16"/>
        </w:rPr>
        <w:t>Asimismo,</w:t>
      </w:r>
      <w:r w:rsidRPr="00CF137F">
        <w:rPr>
          <w:rFonts w:ascii="Verdana" w:hAnsi="Verdana"/>
          <w:sz w:val="16"/>
          <w:szCs w:val="16"/>
        </w:rPr>
        <w:t xml:space="preserve"> </w:t>
      </w:r>
      <w:r>
        <w:rPr>
          <w:rFonts w:ascii="Verdana" w:hAnsi="Verdana"/>
          <w:sz w:val="16"/>
          <w:szCs w:val="16"/>
        </w:rPr>
        <w:t>v</w:t>
      </w:r>
      <w:r w:rsidRPr="00CF137F">
        <w:rPr>
          <w:rFonts w:ascii="Verdana" w:hAnsi="Verdana"/>
          <w:sz w:val="16"/>
          <w:szCs w:val="16"/>
        </w:rPr>
        <w:t xml:space="preserve">éase </w:t>
      </w:r>
      <w:r>
        <w:rPr>
          <w:rFonts w:ascii="Verdana" w:hAnsi="Verdana"/>
          <w:sz w:val="16"/>
          <w:szCs w:val="16"/>
        </w:rPr>
        <w:t xml:space="preserve">mi </w:t>
      </w:r>
      <w:r w:rsidRPr="00CF137F">
        <w:rPr>
          <w:rFonts w:ascii="Verdana" w:hAnsi="Verdana"/>
          <w:sz w:val="16"/>
          <w:szCs w:val="16"/>
        </w:rPr>
        <w:t xml:space="preserve">Voto Concurrente relativo al </w:t>
      </w:r>
      <w:r w:rsidRPr="00CF137F">
        <w:rPr>
          <w:rFonts w:ascii="Verdana" w:eastAsia="Times New Roman" w:hAnsi="Verdana" w:cs="Times New Roman"/>
          <w:bCs/>
          <w:i/>
          <w:color w:val="000000"/>
          <w:sz w:val="16"/>
          <w:szCs w:val="16"/>
          <w:lang w:val="es-MX"/>
        </w:rPr>
        <w:t xml:space="preserve">Caso </w:t>
      </w:r>
      <w:proofErr w:type="spellStart"/>
      <w:r w:rsidRPr="00CF137F">
        <w:rPr>
          <w:rFonts w:ascii="Verdana" w:eastAsia="Times New Roman" w:hAnsi="Verdana" w:cs="Times New Roman"/>
          <w:bCs/>
          <w:i/>
          <w:color w:val="000000"/>
          <w:sz w:val="16"/>
          <w:szCs w:val="16"/>
          <w:lang w:val="es-MX"/>
        </w:rPr>
        <w:t>Yarce</w:t>
      </w:r>
      <w:proofErr w:type="spellEnd"/>
      <w:r w:rsidRPr="00CF137F">
        <w:rPr>
          <w:rFonts w:ascii="Verdana" w:eastAsia="Times New Roman" w:hAnsi="Verdana" w:cs="Times New Roman"/>
          <w:bCs/>
          <w:i/>
          <w:color w:val="000000"/>
          <w:sz w:val="16"/>
          <w:szCs w:val="16"/>
          <w:lang w:val="es-MX"/>
        </w:rPr>
        <w:t xml:space="preserve"> y otras Vs. Colombia. Excepción Preliminar, Fondo, Reparaciones y Costas</w:t>
      </w:r>
      <w:r w:rsidRPr="00CF137F">
        <w:rPr>
          <w:rFonts w:ascii="Verdana" w:eastAsia="Times New Roman" w:hAnsi="Verdana" w:cs="Times New Roman"/>
          <w:bCs/>
          <w:color w:val="000000"/>
          <w:sz w:val="16"/>
          <w:szCs w:val="16"/>
          <w:lang w:val="es-MX"/>
        </w:rPr>
        <w:t>. Sentencia de 22 de noviembre de 2016. Serie C No. 325</w:t>
      </w:r>
      <w:r w:rsidRPr="00CF137F">
        <w:rPr>
          <w:rFonts w:ascii="Verdana" w:eastAsia="Times New Roman" w:hAnsi="Verdana" w:cs="Times New Roman"/>
          <w:b/>
          <w:bCs/>
          <w:color w:val="000000"/>
          <w:sz w:val="16"/>
          <w:szCs w:val="16"/>
          <w:lang w:val="es-MX"/>
        </w:rPr>
        <w:t xml:space="preserve">, </w:t>
      </w:r>
      <w:proofErr w:type="spellStart"/>
      <w:r w:rsidRPr="00CF137F">
        <w:rPr>
          <w:rFonts w:ascii="Verdana" w:eastAsia="Times New Roman" w:hAnsi="Verdana" w:cs="Times New Roman"/>
          <w:bCs/>
          <w:color w:val="000000"/>
          <w:sz w:val="16"/>
          <w:szCs w:val="16"/>
          <w:lang w:val="es-MX"/>
        </w:rPr>
        <w:t>párrs</w:t>
      </w:r>
      <w:proofErr w:type="spellEnd"/>
      <w:r w:rsidRPr="00CF137F">
        <w:rPr>
          <w:rFonts w:ascii="Verdana" w:eastAsia="Times New Roman" w:hAnsi="Verdana" w:cs="Times New Roman"/>
          <w:bCs/>
          <w:color w:val="000000"/>
          <w:sz w:val="16"/>
          <w:szCs w:val="16"/>
          <w:lang w:val="es-MX"/>
        </w:rPr>
        <w:t xml:space="preserve">. 22 a 26.  </w:t>
      </w:r>
    </w:p>
  </w:footnote>
  <w:footnote w:id="7">
    <w:p w14:paraId="262B91CC" w14:textId="0FD60BBF" w:rsidR="008F53FE" w:rsidRPr="00CF137F" w:rsidRDefault="008F53FE" w:rsidP="000B0BD3">
      <w:pPr>
        <w:spacing w:after="120"/>
        <w:jc w:val="both"/>
        <w:rPr>
          <w:rFonts w:ascii="Verdana" w:eastAsia="Times New Roman" w:hAnsi="Verdana" w:cs="Times New Roman"/>
          <w:bCs/>
          <w:color w:val="000000"/>
          <w:sz w:val="16"/>
          <w:szCs w:val="16"/>
          <w:lang w:val="es-MX"/>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hAnsi="Verdana"/>
          <w:i/>
          <w:sz w:val="16"/>
          <w:szCs w:val="16"/>
        </w:rPr>
        <w:t>Cfr.</w:t>
      </w:r>
      <w:r w:rsidRPr="00CF137F">
        <w:rPr>
          <w:rFonts w:ascii="Verdana" w:hAnsi="Verdana"/>
          <w:sz w:val="16"/>
          <w:szCs w:val="16"/>
        </w:rPr>
        <w:t xml:space="preserve"> Voto Concurrente al </w:t>
      </w:r>
      <w:r w:rsidRPr="00CF137F">
        <w:rPr>
          <w:rFonts w:ascii="Verdana" w:eastAsia="Times New Roman" w:hAnsi="Verdana" w:cs="Times New Roman"/>
          <w:bCs/>
          <w:i/>
          <w:color w:val="000000"/>
          <w:sz w:val="16"/>
          <w:szCs w:val="16"/>
          <w:lang w:val="es-MX"/>
        </w:rPr>
        <w:t>Caso Suárez Peralta Vs. Ecuador. Excepciones Preliminares, Fondo, Reparaciones y Costas</w:t>
      </w:r>
      <w:r w:rsidRPr="00CF137F">
        <w:rPr>
          <w:rFonts w:ascii="Verdana" w:eastAsia="Times New Roman" w:hAnsi="Verdana" w:cs="Times New Roman"/>
          <w:bCs/>
          <w:color w:val="000000"/>
          <w:sz w:val="16"/>
          <w:szCs w:val="16"/>
          <w:lang w:val="es-MX"/>
        </w:rPr>
        <w:t xml:space="preserve">. Sentencia de 21 de mayo de 2013. Serie C No. 261. </w:t>
      </w:r>
    </w:p>
  </w:footnote>
  <w:footnote w:id="8">
    <w:p w14:paraId="0D0A5108" w14:textId="536D77AE" w:rsidR="008F53FE" w:rsidRPr="00CF137F" w:rsidRDefault="008F53FE" w:rsidP="000B0BD3">
      <w:pPr>
        <w:spacing w:after="120"/>
        <w:jc w:val="both"/>
        <w:rPr>
          <w:rFonts w:ascii="Verdana" w:eastAsia="Times New Roman" w:hAnsi="Verdana" w:cs="Times New Roman"/>
          <w:sz w:val="16"/>
          <w:szCs w:val="16"/>
          <w:lang w:val="es-MX"/>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hAnsi="Verdana"/>
          <w:i/>
          <w:sz w:val="16"/>
          <w:szCs w:val="16"/>
        </w:rPr>
        <w:t>Cfr</w:t>
      </w:r>
      <w:r>
        <w:rPr>
          <w:rFonts w:ascii="Verdana" w:hAnsi="Verdana"/>
          <w:sz w:val="16"/>
          <w:szCs w:val="16"/>
        </w:rPr>
        <w:t xml:space="preserve">. </w:t>
      </w:r>
      <w:r w:rsidRPr="00CF137F">
        <w:rPr>
          <w:rFonts w:ascii="Verdana" w:hAnsi="Verdana"/>
          <w:sz w:val="16"/>
          <w:szCs w:val="16"/>
        </w:rPr>
        <w:t>Votos concurrentes:</w:t>
      </w:r>
      <w:r w:rsidRPr="00CF137F">
        <w:rPr>
          <w:rFonts w:ascii="Verdana" w:eastAsia="Times New Roman" w:hAnsi="Verdana" w:cs="Times New Roman"/>
          <w:bCs/>
          <w:i/>
          <w:color w:val="000000"/>
          <w:sz w:val="16"/>
          <w:szCs w:val="16"/>
          <w:lang w:val="es-MX"/>
        </w:rPr>
        <w:t xml:space="preserve"> Caso Gonzales </w:t>
      </w:r>
      <w:proofErr w:type="spellStart"/>
      <w:r w:rsidRPr="00CF137F">
        <w:rPr>
          <w:rFonts w:ascii="Verdana" w:eastAsia="Times New Roman" w:hAnsi="Verdana" w:cs="Times New Roman"/>
          <w:bCs/>
          <w:i/>
          <w:color w:val="000000"/>
          <w:sz w:val="16"/>
          <w:szCs w:val="16"/>
          <w:lang w:val="es-MX"/>
        </w:rPr>
        <w:t>Lluy</w:t>
      </w:r>
      <w:proofErr w:type="spellEnd"/>
      <w:r w:rsidRPr="00CF137F">
        <w:rPr>
          <w:rFonts w:ascii="Verdana" w:eastAsia="Times New Roman" w:hAnsi="Verdana" w:cs="Times New Roman"/>
          <w:bCs/>
          <w:i/>
          <w:color w:val="000000"/>
          <w:sz w:val="16"/>
          <w:szCs w:val="16"/>
          <w:lang w:val="es-MX"/>
        </w:rPr>
        <w:t xml:space="preserve"> y otros Vs. Ecuador. Excepciones Preliminares, Fondo, Reparaciones y Costas</w:t>
      </w:r>
      <w:r w:rsidRPr="00CF137F">
        <w:rPr>
          <w:rFonts w:ascii="Verdana" w:eastAsia="Times New Roman" w:hAnsi="Verdana" w:cs="Times New Roman"/>
          <w:bCs/>
          <w:color w:val="000000"/>
          <w:sz w:val="16"/>
          <w:szCs w:val="16"/>
          <w:lang w:val="es-MX"/>
        </w:rPr>
        <w:t>. Sentencia de 1 de septiembre de 2015. Serie C No. 298 (con a</w:t>
      </w:r>
      <w:r>
        <w:rPr>
          <w:rFonts w:ascii="Verdana" w:eastAsia="Times New Roman" w:hAnsi="Verdana" w:cs="Times New Roman"/>
          <w:bCs/>
          <w:color w:val="000000"/>
          <w:sz w:val="16"/>
          <w:szCs w:val="16"/>
          <w:lang w:val="es-MX"/>
        </w:rPr>
        <w:t>d</w:t>
      </w:r>
      <w:r w:rsidRPr="00CF137F">
        <w:rPr>
          <w:rFonts w:ascii="Verdana" w:eastAsia="Times New Roman" w:hAnsi="Verdana" w:cs="Times New Roman"/>
          <w:bCs/>
          <w:color w:val="000000"/>
          <w:sz w:val="16"/>
          <w:szCs w:val="16"/>
          <w:lang w:val="es-MX"/>
        </w:rPr>
        <w:t xml:space="preserve">hesión de los jueces Roberto Caldas y Manuel Ventura Robles); </w:t>
      </w:r>
      <w:r w:rsidRPr="00CF137F">
        <w:rPr>
          <w:rFonts w:ascii="Verdana" w:eastAsia="Times New Roman" w:hAnsi="Verdana" w:cs="Times New Roman"/>
          <w:bCs/>
          <w:i/>
          <w:color w:val="000000"/>
          <w:sz w:val="16"/>
          <w:szCs w:val="16"/>
          <w:lang w:val="es-MX"/>
        </w:rPr>
        <w:t>Caso Chinchilla Sandoval y otros Vs. Guatemala. Excepción Preliminar, Fondo, Reparaciones y Costas.</w:t>
      </w:r>
      <w:r w:rsidRPr="00CF137F">
        <w:rPr>
          <w:rFonts w:ascii="Verdana" w:eastAsia="Times New Roman" w:hAnsi="Verdana" w:cs="Times New Roman"/>
          <w:bCs/>
          <w:color w:val="000000"/>
          <w:sz w:val="16"/>
          <w:szCs w:val="16"/>
          <w:lang w:val="es-MX"/>
        </w:rPr>
        <w:t xml:space="preserve"> Sentencia de 29 de febrero de 2016. Serie C No. 312; y </w:t>
      </w:r>
      <w:r w:rsidRPr="00CF137F">
        <w:rPr>
          <w:rFonts w:ascii="Verdana" w:eastAsia="Times New Roman" w:hAnsi="Verdana" w:cs="Times New Roman"/>
          <w:bCs/>
          <w:i/>
          <w:color w:val="000000"/>
          <w:sz w:val="16"/>
          <w:szCs w:val="16"/>
          <w:lang w:val="es-MX"/>
        </w:rPr>
        <w:t>Caso I.V. Vs. Bolivia. Excepciones Preliminares, Fondo, Reparaciones y Costas</w:t>
      </w:r>
      <w:r w:rsidRPr="00CF137F">
        <w:rPr>
          <w:rFonts w:ascii="Verdana" w:eastAsia="Times New Roman" w:hAnsi="Verdana" w:cs="Times New Roman"/>
          <w:bCs/>
          <w:color w:val="000000"/>
          <w:sz w:val="16"/>
          <w:szCs w:val="16"/>
          <w:lang w:val="es-MX"/>
        </w:rPr>
        <w:t>. Sentencia de 30 de noviembre de 2016. Serie C No. 329</w:t>
      </w:r>
      <w:r w:rsidRPr="00CF137F">
        <w:rPr>
          <w:rFonts w:ascii="Verdana" w:eastAsia="Times New Roman" w:hAnsi="Verdana" w:cs="Times New Roman"/>
          <w:b/>
          <w:bCs/>
          <w:color w:val="000000"/>
          <w:sz w:val="16"/>
          <w:szCs w:val="16"/>
          <w:lang w:val="es-MX"/>
        </w:rPr>
        <w:t>.</w:t>
      </w:r>
    </w:p>
  </w:footnote>
  <w:footnote w:id="9">
    <w:p w14:paraId="0E27694E" w14:textId="50A7728A" w:rsidR="008F53FE" w:rsidRPr="00CF137F" w:rsidRDefault="008F53FE" w:rsidP="000B0BD3">
      <w:pPr>
        <w:spacing w:after="120"/>
        <w:jc w:val="both"/>
        <w:rPr>
          <w:rFonts w:ascii="Verdana" w:eastAsia="Times New Roman" w:hAnsi="Verdana" w:cs="Times New Roman"/>
          <w:sz w:val="16"/>
          <w:szCs w:val="16"/>
          <w:lang w:val="es-MX"/>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r>
      <w:r w:rsidR="00AD360E">
        <w:rPr>
          <w:rFonts w:ascii="Verdana" w:hAnsi="Verdana"/>
          <w:sz w:val="16"/>
          <w:szCs w:val="16"/>
        </w:rPr>
        <w:t>Véa</w:t>
      </w:r>
      <w:r w:rsidRPr="00CF137F">
        <w:rPr>
          <w:rFonts w:ascii="Verdana" w:hAnsi="Verdana"/>
          <w:sz w:val="16"/>
          <w:szCs w:val="16"/>
        </w:rPr>
        <w:t xml:space="preserve">se el voto concurrente que formulé conjuntamente con el Juez Roberto Caldas, en el </w:t>
      </w:r>
      <w:r w:rsidRPr="00CF137F">
        <w:rPr>
          <w:rFonts w:ascii="Verdana" w:eastAsia="Times New Roman" w:hAnsi="Verdana" w:cs="Times New Roman"/>
          <w:bCs/>
          <w:i/>
          <w:color w:val="000000"/>
          <w:sz w:val="16"/>
          <w:szCs w:val="16"/>
          <w:lang w:val="es-MX"/>
        </w:rPr>
        <w:t>Caso Canales Huapaya y otros Vs. Perú. Excepciones Preliminares, Fondo, Reparaciones y Costas</w:t>
      </w:r>
      <w:r w:rsidRPr="00CF137F">
        <w:rPr>
          <w:rFonts w:ascii="Verdana" w:eastAsia="Times New Roman" w:hAnsi="Verdana" w:cs="Times New Roman"/>
          <w:bCs/>
          <w:color w:val="000000"/>
          <w:sz w:val="16"/>
          <w:szCs w:val="16"/>
          <w:lang w:val="es-MX"/>
        </w:rPr>
        <w:t>. Sentencia de 24 de junio de 2015. Serie C No. 296.</w:t>
      </w:r>
    </w:p>
  </w:footnote>
  <w:footnote w:id="10">
    <w:p w14:paraId="3B776791" w14:textId="7AE91E9D" w:rsidR="008F53FE" w:rsidRPr="00BA6F15" w:rsidRDefault="008F53FE" w:rsidP="000B0BD3">
      <w:pPr>
        <w:spacing w:after="120"/>
        <w:jc w:val="both"/>
        <w:rPr>
          <w:rFonts w:ascii="Verdana" w:eastAsia="Times New Roman" w:hAnsi="Verdana" w:cs="Times New Roman"/>
          <w:bCs/>
          <w:i/>
          <w:color w:val="000000"/>
          <w:sz w:val="16"/>
          <w:szCs w:val="16"/>
          <w:lang w:val="es-MX"/>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t xml:space="preserve">Véase el voto concurrente relativo al </w:t>
      </w:r>
      <w:r w:rsidRPr="00CF137F">
        <w:rPr>
          <w:rFonts w:ascii="Verdana" w:eastAsia="Times New Roman" w:hAnsi="Verdana" w:cs="Times New Roman"/>
          <w:bCs/>
          <w:i/>
          <w:color w:val="000000"/>
          <w:sz w:val="16"/>
          <w:szCs w:val="16"/>
          <w:lang w:val="es-MX"/>
        </w:rPr>
        <w:t xml:space="preserve">Caso </w:t>
      </w:r>
      <w:proofErr w:type="spellStart"/>
      <w:r w:rsidRPr="00CF137F">
        <w:rPr>
          <w:rFonts w:ascii="Verdana" w:eastAsia="Times New Roman" w:hAnsi="Verdana" w:cs="Times New Roman"/>
          <w:bCs/>
          <w:i/>
          <w:color w:val="000000"/>
          <w:sz w:val="16"/>
          <w:szCs w:val="16"/>
          <w:lang w:val="es-MX"/>
        </w:rPr>
        <w:t>Yarce</w:t>
      </w:r>
      <w:proofErr w:type="spellEnd"/>
      <w:r w:rsidRPr="00CF137F">
        <w:rPr>
          <w:rFonts w:ascii="Verdana" w:eastAsia="Times New Roman" w:hAnsi="Verdana" w:cs="Times New Roman"/>
          <w:bCs/>
          <w:i/>
          <w:color w:val="000000"/>
          <w:sz w:val="16"/>
          <w:szCs w:val="16"/>
          <w:lang w:val="es-MX"/>
        </w:rPr>
        <w:t xml:space="preserve"> y otras Vs. Colombia</w:t>
      </w:r>
      <w:r>
        <w:rPr>
          <w:rFonts w:ascii="Verdana" w:eastAsia="Times New Roman" w:hAnsi="Verdana" w:cs="Times New Roman"/>
          <w:bCs/>
          <w:i/>
          <w:color w:val="000000"/>
          <w:sz w:val="16"/>
          <w:szCs w:val="16"/>
          <w:lang w:val="es-MX"/>
        </w:rPr>
        <w:t>,</w:t>
      </w:r>
      <w:r w:rsidRPr="00CF137F">
        <w:rPr>
          <w:rFonts w:ascii="Verdana" w:eastAsia="Times New Roman" w:hAnsi="Verdana" w:cs="Times New Roman"/>
          <w:bCs/>
          <w:i/>
          <w:color w:val="000000"/>
          <w:sz w:val="16"/>
          <w:szCs w:val="16"/>
          <w:lang w:val="es-MX"/>
        </w:rPr>
        <w:t xml:space="preserve"> </w:t>
      </w:r>
      <w:r>
        <w:rPr>
          <w:rFonts w:ascii="Verdana" w:eastAsia="Times New Roman" w:hAnsi="Verdana" w:cs="Times New Roman"/>
          <w:bCs/>
          <w:i/>
          <w:color w:val="000000"/>
          <w:sz w:val="16"/>
          <w:szCs w:val="16"/>
          <w:lang w:val="es-MX"/>
        </w:rPr>
        <w:t>supra</w:t>
      </w:r>
      <w:r w:rsidRPr="00305AB2">
        <w:rPr>
          <w:rFonts w:ascii="Verdana" w:eastAsia="Times New Roman" w:hAnsi="Verdana" w:cs="Times New Roman"/>
          <w:bCs/>
          <w:color w:val="000000"/>
          <w:sz w:val="16"/>
          <w:szCs w:val="16"/>
          <w:lang w:val="es-MX"/>
        </w:rPr>
        <w:t>.</w:t>
      </w:r>
    </w:p>
  </w:footnote>
  <w:footnote w:id="11">
    <w:p w14:paraId="291F9FEF" w14:textId="07E0F000" w:rsidR="008F53FE" w:rsidRPr="008F14B6" w:rsidRDefault="008F53FE" w:rsidP="00206283">
      <w:pPr>
        <w:pStyle w:val="FootnoteText"/>
        <w:spacing w:after="120"/>
        <w:jc w:val="both"/>
        <w:rPr>
          <w:sz w:val="16"/>
          <w:szCs w:val="16"/>
          <w:lang w:val="es-ES_tradnl"/>
        </w:rPr>
      </w:pPr>
      <w:r w:rsidRPr="00206283">
        <w:rPr>
          <w:rStyle w:val="FootnoteReference"/>
          <w:sz w:val="16"/>
          <w:szCs w:val="16"/>
        </w:rPr>
        <w:footnoteRef/>
      </w:r>
      <w:r w:rsidRPr="00BA6F15">
        <w:rPr>
          <w:sz w:val="16"/>
          <w:szCs w:val="16"/>
          <w:lang w:val="es-MX"/>
        </w:rPr>
        <w:t xml:space="preserve"> </w:t>
      </w:r>
      <w:r w:rsidRPr="00206283">
        <w:rPr>
          <w:sz w:val="16"/>
          <w:szCs w:val="16"/>
          <w:lang w:val="es-ES_tradnl"/>
        </w:rPr>
        <w:tab/>
      </w:r>
      <w:r w:rsidRPr="00BA6F15">
        <w:rPr>
          <w:i/>
          <w:sz w:val="16"/>
          <w:szCs w:val="16"/>
          <w:lang w:val="es-MX"/>
        </w:rPr>
        <w:t>Cfr.</w:t>
      </w:r>
      <w:r w:rsidRPr="00BA6F15">
        <w:rPr>
          <w:sz w:val="16"/>
          <w:szCs w:val="16"/>
          <w:lang w:val="es-MX"/>
        </w:rPr>
        <w:t xml:space="preserve"> </w:t>
      </w:r>
      <w:r w:rsidRPr="00BA6F15">
        <w:rPr>
          <w:i/>
          <w:sz w:val="16"/>
          <w:szCs w:val="16"/>
          <w:lang w:val="es-MX"/>
        </w:rPr>
        <w:t>Caso Lagos del Campo Vs. Perú</w:t>
      </w:r>
      <w:r>
        <w:rPr>
          <w:i/>
          <w:sz w:val="16"/>
          <w:szCs w:val="16"/>
          <w:lang w:val="es-MX"/>
        </w:rPr>
        <w:t>,</w:t>
      </w:r>
      <w:r w:rsidRPr="00BA6F15">
        <w:rPr>
          <w:i/>
          <w:sz w:val="16"/>
          <w:szCs w:val="16"/>
          <w:lang w:val="es-MX"/>
        </w:rPr>
        <w:t xml:space="preserve"> </w:t>
      </w:r>
      <w:r>
        <w:rPr>
          <w:i/>
          <w:sz w:val="16"/>
          <w:szCs w:val="16"/>
          <w:lang w:val="es-MX"/>
        </w:rPr>
        <w:t>supra</w:t>
      </w:r>
      <w:r w:rsidRPr="00C959C6">
        <w:rPr>
          <w:sz w:val="16"/>
          <w:szCs w:val="16"/>
          <w:lang w:val="es-MX"/>
        </w:rPr>
        <w:t xml:space="preserve">, párr. </w:t>
      </w:r>
      <w:r w:rsidRPr="00206283">
        <w:rPr>
          <w:sz w:val="16"/>
          <w:szCs w:val="16"/>
          <w:lang w:val="es-ES_tradnl"/>
        </w:rPr>
        <w:t>151.</w:t>
      </w:r>
    </w:p>
  </w:footnote>
  <w:footnote w:id="12">
    <w:p w14:paraId="504F8308" w14:textId="4EDE6551" w:rsidR="008F53FE" w:rsidRPr="00CF137F" w:rsidRDefault="008F53FE" w:rsidP="000B0BD3">
      <w:pPr>
        <w:pStyle w:val="FootnoteText"/>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959C6">
        <w:rPr>
          <w:sz w:val="16"/>
          <w:szCs w:val="16"/>
          <w:lang w:val="es-MX"/>
        </w:rPr>
        <w:tab/>
        <w:t xml:space="preserve">En el párr. 143 de la Sentencia, la Corte IDH explicitó que: </w:t>
      </w:r>
      <w:r w:rsidRPr="00C959C6">
        <w:rPr>
          <w:color w:val="000000"/>
          <w:sz w:val="16"/>
          <w:szCs w:val="16"/>
          <w:lang w:val="es-MX"/>
        </w:rPr>
        <w:t>“[e]l trabajo es un derecho y un deber social” y que ese debe prestarse con “</w:t>
      </w:r>
      <w:r w:rsidRPr="00CF137F">
        <w:rPr>
          <w:rFonts w:cs="Tahoma"/>
          <w:color w:val="000000"/>
          <w:sz w:val="16"/>
          <w:szCs w:val="16"/>
          <w:lang w:val="es-ES"/>
        </w:rPr>
        <w:t>salarios justos, oportunidades de empleo y condiciones de trabajo aceptables para todos</w:t>
      </w:r>
      <w:r w:rsidRPr="00C959C6">
        <w:rPr>
          <w:color w:val="000000"/>
          <w:sz w:val="16"/>
          <w:szCs w:val="16"/>
          <w:lang w:val="es-MX"/>
        </w:rPr>
        <w:t>”. Asimismo, señalan que el derecho de los trabajadores y trabajadoras a “asociarse libremente para la defensa y promoción de sus intereses”. Además, indican que los Estados deben “armonizar la legislación social” para la protección de tales derechos</w:t>
      </w:r>
      <w:r>
        <w:rPr>
          <w:color w:val="000000"/>
          <w:sz w:val="16"/>
          <w:szCs w:val="16"/>
          <w:lang w:val="es-MX"/>
        </w:rPr>
        <w:t>”</w:t>
      </w:r>
      <w:r w:rsidRPr="00C959C6">
        <w:rPr>
          <w:color w:val="000000"/>
          <w:sz w:val="16"/>
          <w:szCs w:val="16"/>
          <w:lang w:val="es-MX"/>
        </w:rPr>
        <w:t xml:space="preserve">. </w:t>
      </w:r>
      <w:r w:rsidRPr="00BA6F15">
        <w:rPr>
          <w:i/>
          <w:sz w:val="16"/>
          <w:szCs w:val="16"/>
          <w:lang w:val="es-MX"/>
        </w:rPr>
        <w:t>Cfr.</w:t>
      </w:r>
      <w:r w:rsidRPr="00BA6F15">
        <w:rPr>
          <w:sz w:val="16"/>
          <w:szCs w:val="16"/>
          <w:lang w:val="es-MX"/>
        </w:rPr>
        <w:t xml:space="preserve"> </w:t>
      </w:r>
      <w:r w:rsidRPr="00BA6F15">
        <w:rPr>
          <w:i/>
          <w:sz w:val="16"/>
          <w:szCs w:val="16"/>
          <w:lang w:val="es-MX"/>
        </w:rPr>
        <w:t>Caso Lagos del Campo Vs. Perú</w:t>
      </w:r>
      <w:r>
        <w:rPr>
          <w:i/>
          <w:sz w:val="16"/>
          <w:szCs w:val="16"/>
          <w:lang w:val="es-MX"/>
        </w:rPr>
        <w:t>, supra</w:t>
      </w:r>
      <w:r w:rsidRPr="00C959C6">
        <w:rPr>
          <w:sz w:val="16"/>
          <w:szCs w:val="16"/>
          <w:lang w:val="es-MX"/>
        </w:rPr>
        <w:t xml:space="preserve">, párr. 143.  </w:t>
      </w:r>
    </w:p>
    <w:p w14:paraId="5D257359" w14:textId="77777777" w:rsidR="008F53FE" w:rsidRPr="00CF137F" w:rsidRDefault="008F53FE" w:rsidP="000B0BD3">
      <w:pPr>
        <w:pStyle w:val="FootnoteText"/>
        <w:jc w:val="both"/>
        <w:rPr>
          <w:sz w:val="16"/>
          <w:szCs w:val="16"/>
          <w:lang w:val="es-ES_tradnl"/>
        </w:rPr>
      </w:pPr>
    </w:p>
  </w:footnote>
  <w:footnote w:id="13">
    <w:p w14:paraId="581FA025" w14:textId="6288CE40" w:rsidR="008F53FE" w:rsidRPr="00CF137F" w:rsidRDefault="008F53FE" w:rsidP="000B0BD3">
      <w:pPr>
        <w:pStyle w:val="FootnoteText"/>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F137F">
        <w:rPr>
          <w:sz w:val="16"/>
          <w:szCs w:val="16"/>
          <w:lang w:val="es-ES_tradnl"/>
        </w:rPr>
        <w:tab/>
        <w:t>La Declaración Americana de los</w:t>
      </w:r>
      <w:r>
        <w:rPr>
          <w:sz w:val="16"/>
          <w:szCs w:val="16"/>
          <w:lang w:val="es-ES_tradnl"/>
        </w:rPr>
        <w:t xml:space="preserve"> Derechos y Deberes del Hombre de 1948, </w:t>
      </w:r>
      <w:r w:rsidRPr="00CF137F">
        <w:rPr>
          <w:sz w:val="16"/>
          <w:szCs w:val="16"/>
          <w:lang w:val="es-ES_tradnl"/>
        </w:rPr>
        <w:t xml:space="preserve">expresamente señala en su artículo XIV:  </w:t>
      </w:r>
      <w:r w:rsidRPr="00C959C6">
        <w:rPr>
          <w:color w:val="000000"/>
          <w:sz w:val="16"/>
          <w:szCs w:val="16"/>
          <w:lang w:val="es-MX"/>
        </w:rPr>
        <w:t>“</w:t>
      </w:r>
      <w:r w:rsidRPr="00C959C6">
        <w:rPr>
          <w:rFonts w:cs="Arial"/>
          <w:color w:val="000000"/>
          <w:sz w:val="16"/>
          <w:szCs w:val="16"/>
          <w:lang w:val="es-MX"/>
        </w:rPr>
        <w:t>Toda persona tiene derecho al trabajo en condiciones dignas y a seguir libremente su vocación</w:t>
      </w:r>
      <w:r>
        <w:rPr>
          <w:rFonts w:cs="Arial"/>
          <w:color w:val="000000"/>
          <w:sz w:val="16"/>
          <w:szCs w:val="16"/>
          <w:lang w:val="es-MX"/>
        </w:rPr>
        <w:t xml:space="preserve"> […]</w:t>
      </w:r>
      <w:r w:rsidRPr="00C959C6">
        <w:rPr>
          <w:rFonts w:cs="Arial"/>
          <w:color w:val="000000"/>
          <w:sz w:val="16"/>
          <w:szCs w:val="16"/>
          <w:lang w:val="es-MX"/>
        </w:rPr>
        <w:t>”.</w:t>
      </w:r>
    </w:p>
    <w:p w14:paraId="734968B6" w14:textId="77777777" w:rsidR="008F53FE" w:rsidRPr="00CF137F" w:rsidRDefault="008F53FE" w:rsidP="000B0BD3">
      <w:pPr>
        <w:pStyle w:val="FootnoteText"/>
        <w:jc w:val="both"/>
        <w:rPr>
          <w:sz w:val="16"/>
          <w:szCs w:val="16"/>
          <w:lang w:val="es-ES_tradnl"/>
        </w:rPr>
      </w:pPr>
    </w:p>
  </w:footnote>
  <w:footnote w:id="14">
    <w:p w14:paraId="1A36CC76" w14:textId="604E6A1B" w:rsidR="008F53FE" w:rsidRPr="00BA6F15" w:rsidRDefault="008F53FE" w:rsidP="005B3CA3">
      <w:pPr>
        <w:pStyle w:val="FootnoteText"/>
        <w:jc w:val="both"/>
        <w:rPr>
          <w:sz w:val="16"/>
          <w:szCs w:val="16"/>
          <w:lang w:val="es-MX"/>
        </w:rPr>
      </w:pPr>
      <w:r w:rsidRPr="005B3CA3">
        <w:rPr>
          <w:rStyle w:val="FootnoteReference"/>
          <w:sz w:val="16"/>
          <w:szCs w:val="16"/>
        </w:rPr>
        <w:footnoteRef/>
      </w:r>
      <w:r w:rsidRPr="00C959C6">
        <w:rPr>
          <w:sz w:val="16"/>
          <w:szCs w:val="16"/>
          <w:lang w:val="es-MX"/>
        </w:rPr>
        <w:t xml:space="preserve"> </w:t>
      </w:r>
      <w:r w:rsidRPr="005B3CA3">
        <w:rPr>
          <w:sz w:val="16"/>
          <w:szCs w:val="16"/>
          <w:lang w:val="es-ES_tradnl"/>
        </w:rPr>
        <w:t xml:space="preserve"> </w:t>
      </w:r>
      <w:r w:rsidRPr="005B3CA3">
        <w:rPr>
          <w:sz w:val="16"/>
          <w:szCs w:val="16"/>
          <w:lang w:val="es-ES_tradnl"/>
        </w:rPr>
        <w:tab/>
        <w:t>Particularmente, en la Sentencia, la Corte IDH también consideró que “</w:t>
      </w:r>
      <w:r w:rsidRPr="005B3CA3">
        <w:rPr>
          <w:sz w:val="16"/>
          <w:szCs w:val="16"/>
          <w:lang w:val="es-CR"/>
        </w:rPr>
        <w:t xml:space="preserve">[…], la Asamblea General de las Naciones Unidas adoptó la Agenda 2030, la cual cuenta con 17 Objetivos de Desarrollo Sostenible y 169 metas en favor de las personas, el planeta y la prosperidad. En particular, el objetivo 8 promueve el crecimiento económico sostenido, inclusivo y sostenible, el empleo pleno y productivo y el trabajo decente para todos. Las metas 8.5 y 8.8 están enfocados en proteger los derechos de los trabajadores y promover un entorno de trabajo seguro”. </w:t>
      </w:r>
      <w:r w:rsidRPr="00BA6F15">
        <w:rPr>
          <w:i/>
          <w:sz w:val="16"/>
          <w:szCs w:val="16"/>
          <w:lang w:val="es-MX"/>
        </w:rPr>
        <w:t>Caso Lagos del Campo Vs. Perú</w:t>
      </w:r>
      <w:r>
        <w:rPr>
          <w:i/>
          <w:sz w:val="16"/>
          <w:szCs w:val="16"/>
          <w:lang w:val="es-MX"/>
        </w:rPr>
        <w:t>,</w:t>
      </w:r>
      <w:r w:rsidRPr="00BA6F15">
        <w:rPr>
          <w:i/>
          <w:sz w:val="16"/>
          <w:szCs w:val="16"/>
          <w:lang w:val="es-MX"/>
        </w:rPr>
        <w:t xml:space="preserve"> supra</w:t>
      </w:r>
      <w:r w:rsidRPr="00BA6F15">
        <w:rPr>
          <w:sz w:val="16"/>
          <w:szCs w:val="16"/>
          <w:lang w:val="es-MX"/>
        </w:rPr>
        <w:t xml:space="preserve">, nota 216. </w:t>
      </w:r>
    </w:p>
  </w:footnote>
  <w:footnote w:id="15">
    <w:p w14:paraId="21528EF7" w14:textId="33900BCC" w:rsidR="008F53FE" w:rsidRPr="00C959C6" w:rsidRDefault="008F53FE" w:rsidP="000B0BD3">
      <w:pPr>
        <w:pStyle w:val="FootnoteText"/>
        <w:spacing w:after="120"/>
        <w:jc w:val="both"/>
        <w:rPr>
          <w:sz w:val="16"/>
          <w:szCs w:val="16"/>
          <w:lang w:val="es-MX"/>
        </w:rPr>
      </w:pPr>
      <w:r w:rsidRPr="00CF137F">
        <w:rPr>
          <w:rStyle w:val="FootnoteReference"/>
          <w:sz w:val="16"/>
          <w:szCs w:val="16"/>
        </w:rPr>
        <w:footnoteRef/>
      </w:r>
      <w:r w:rsidRPr="00BA6F15">
        <w:rPr>
          <w:sz w:val="16"/>
          <w:szCs w:val="16"/>
          <w:lang w:val="es-MX"/>
        </w:rPr>
        <w:t xml:space="preserve"> </w:t>
      </w:r>
      <w:r w:rsidRPr="00BA6F15">
        <w:rPr>
          <w:sz w:val="16"/>
          <w:szCs w:val="16"/>
          <w:lang w:val="es-MX"/>
        </w:rPr>
        <w:tab/>
      </w:r>
      <w:r w:rsidRPr="00BA6F15">
        <w:rPr>
          <w:i/>
          <w:sz w:val="16"/>
          <w:szCs w:val="16"/>
          <w:lang w:val="es-MX"/>
        </w:rPr>
        <w:t>Cfr.</w:t>
      </w:r>
      <w:r w:rsidRPr="00BA6F15">
        <w:rPr>
          <w:sz w:val="16"/>
          <w:szCs w:val="16"/>
          <w:lang w:val="es-MX"/>
        </w:rPr>
        <w:t xml:space="preserve"> </w:t>
      </w:r>
      <w:r w:rsidRPr="00BA6F15">
        <w:rPr>
          <w:i/>
          <w:sz w:val="16"/>
          <w:szCs w:val="16"/>
          <w:lang w:val="es-MX"/>
        </w:rPr>
        <w:t>Caso Lagos del Campo Vs. Perú</w:t>
      </w:r>
      <w:r>
        <w:rPr>
          <w:i/>
          <w:sz w:val="16"/>
          <w:szCs w:val="16"/>
          <w:lang w:val="es-MX"/>
        </w:rPr>
        <w:t>,</w:t>
      </w:r>
      <w:r w:rsidRPr="00BA6F15">
        <w:rPr>
          <w:i/>
          <w:sz w:val="16"/>
          <w:szCs w:val="16"/>
          <w:lang w:val="es-MX"/>
        </w:rPr>
        <w:t xml:space="preserve"> </w:t>
      </w:r>
      <w:r>
        <w:rPr>
          <w:i/>
          <w:sz w:val="16"/>
          <w:szCs w:val="16"/>
          <w:lang w:val="es-MX"/>
        </w:rPr>
        <w:t>supra</w:t>
      </w:r>
      <w:r w:rsidRPr="00C959C6">
        <w:rPr>
          <w:sz w:val="16"/>
          <w:szCs w:val="16"/>
          <w:lang w:val="es-MX"/>
        </w:rPr>
        <w:t xml:space="preserve">, párrs. 133 a 154. </w:t>
      </w:r>
    </w:p>
  </w:footnote>
  <w:footnote w:id="16">
    <w:p w14:paraId="52DB09FF" w14:textId="45D31B3A"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959C6">
        <w:rPr>
          <w:sz w:val="16"/>
          <w:szCs w:val="16"/>
          <w:lang w:val="es-MX"/>
        </w:rPr>
        <w:tab/>
      </w:r>
      <w:r w:rsidRPr="00C959C6">
        <w:rPr>
          <w:i/>
          <w:sz w:val="16"/>
          <w:szCs w:val="16"/>
          <w:lang w:val="es-MX"/>
        </w:rPr>
        <w:t>Cfr.</w:t>
      </w:r>
      <w:r w:rsidRPr="00C959C6">
        <w:rPr>
          <w:sz w:val="16"/>
          <w:szCs w:val="16"/>
          <w:lang w:val="es-MX"/>
        </w:rPr>
        <w:t xml:space="preserve"> </w:t>
      </w:r>
      <w:r w:rsidRPr="00C959C6">
        <w:rPr>
          <w:i/>
          <w:sz w:val="16"/>
          <w:szCs w:val="16"/>
          <w:lang w:val="es-MX"/>
        </w:rPr>
        <w:t xml:space="preserve">Caso Lagos del Campo Vs. </w:t>
      </w:r>
      <w:r w:rsidRPr="00BA6F15">
        <w:rPr>
          <w:i/>
          <w:sz w:val="16"/>
          <w:szCs w:val="16"/>
          <w:lang w:val="es-CR"/>
        </w:rPr>
        <w:t>Perú, supra</w:t>
      </w:r>
      <w:r w:rsidRPr="00C959C6">
        <w:rPr>
          <w:sz w:val="16"/>
          <w:szCs w:val="16"/>
          <w:lang w:val="es-MX"/>
        </w:rPr>
        <w:t xml:space="preserve">, párrs. 155 a 163. </w:t>
      </w:r>
    </w:p>
  </w:footnote>
  <w:footnote w:id="17">
    <w:p w14:paraId="2957D40D" w14:textId="4974266C" w:rsidR="008F53FE" w:rsidRPr="00CF137F" w:rsidRDefault="008F53FE" w:rsidP="000B0BD3">
      <w:pPr>
        <w:jc w:val="both"/>
        <w:rPr>
          <w:rFonts w:ascii="Verdana" w:hAnsi="Verdana" w:cs="Tahoma"/>
          <w:color w:val="000000"/>
          <w:sz w:val="16"/>
          <w:szCs w:val="16"/>
          <w:lang w:val="es-MX"/>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eastAsia="Times New Roman" w:hAnsi="Verdana" w:cs="Tahoma"/>
          <w:bCs/>
          <w:color w:val="000000"/>
          <w:sz w:val="16"/>
          <w:szCs w:val="16"/>
          <w:lang w:val="es-ES"/>
        </w:rPr>
        <w:t>Artículo 19. Medios de Protección […]</w:t>
      </w:r>
      <w:r w:rsidRPr="00CF137F">
        <w:rPr>
          <w:rFonts w:ascii="Verdana" w:eastAsia="Times New Roman" w:hAnsi="Verdana" w:cs="Tahoma"/>
          <w:color w:val="000000"/>
          <w:sz w:val="16"/>
          <w:szCs w:val="16"/>
          <w:lang w:val="es-MX"/>
        </w:rPr>
        <w:t>6. En el caso de que los derechos establecidos en el párrafo a) del artículo 8 y en el artículo 13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w:t>
      </w:r>
    </w:p>
    <w:p w14:paraId="07F2C791" w14:textId="77777777" w:rsidR="008F53FE" w:rsidRPr="00CF137F" w:rsidRDefault="008F53FE" w:rsidP="000B0BD3">
      <w:pPr>
        <w:jc w:val="both"/>
        <w:rPr>
          <w:rFonts w:ascii="Verdana" w:hAnsi="Verdana"/>
          <w:sz w:val="16"/>
          <w:szCs w:val="16"/>
          <w:lang w:val="es-MX"/>
        </w:rPr>
      </w:pPr>
    </w:p>
  </w:footnote>
  <w:footnote w:id="18">
    <w:p w14:paraId="6A0AB25B" w14:textId="394F2779" w:rsidR="008F53FE" w:rsidRPr="00CF137F" w:rsidRDefault="008F53FE" w:rsidP="006065E7">
      <w:pPr>
        <w:pStyle w:val="FootnoteText"/>
        <w:spacing w:after="120"/>
        <w:jc w:val="both"/>
        <w:rPr>
          <w:sz w:val="16"/>
          <w:szCs w:val="16"/>
          <w:lang w:val="es-ES_tradnl"/>
        </w:rPr>
      </w:pPr>
      <w:r w:rsidRPr="00CF137F">
        <w:rPr>
          <w:rStyle w:val="FootnoteReference"/>
          <w:sz w:val="16"/>
          <w:szCs w:val="16"/>
        </w:rPr>
        <w:footnoteRef/>
      </w:r>
      <w:r w:rsidRPr="00C959C6">
        <w:rPr>
          <w:sz w:val="16"/>
          <w:szCs w:val="16"/>
          <w:vertAlign w:val="superscript"/>
          <w:lang w:val="es-MX"/>
        </w:rPr>
        <w:t xml:space="preserve"> </w:t>
      </w:r>
      <w:r w:rsidRPr="00CF137F">
        <w:rPr>
          <w:sz w:val="16"/>
          <w:szCs w:val="16"/>
          <w:lang w:val="es-ES_tradnl"/>
        </w:rPr>
        <w:tab/>
      </w:r>
      <w:r w:rsidRPr="00C959C6">
        <w:rPr>
          <w:i/>
          <w:sz w:val="16"/>
          <w:szCs w:val="16"/>
          <w:lang w:val="es-MX"/>
        </w:rPr>
        <w:t>Cfr.</w:t>
      </w:r>
      <w:r w:rsidRPr="00C959C6">
        <w:rPr>
          <w:sz w:val="16"/>
          <w:szCs w:val="16"/>
          <w:lang w:val="es-MX"/>
        </w:rPr>
        <w:t xml:space="preserve"> </w:t>
      </w:r>
      <w:r w:rsidRPr="00C959C6">
        <w:rPr>
          <w:i/>
          <w:sz w:val="16"/>
          <w:szCs w:val="16"/>
          <w:lang w:val="es-MX"/>
        </w:rPr>
        <w:t xml:space="preserve">Caso Lagos del Campo Vs. </w:t>
      </w:r>
      <w:r w:rsidRPr="00BA6F15">
        <w:rPr>
          <w:i/>
          <w:sz w:val="16"/>
          <w:szCs w:val="16"/>
          <w:lang w:val="es-CR"/>
        </w:rPr>
        <w:t>Perú, supra</w:t>
      </w:r>
      <w:r w:rsidRPr="00C959C6">
        <w:rPr>
          <w:sz w:val="16"/>
          <w:szCs w:val="16"/>
          <w:lang w:val="es-MX"/>
        </w:rPr>
        <w:t xml:space="preserve">, párr. </w:t>
      </w:r>
      <w:r w:rsidRPr="00206283">
        <w:rPr>
          <w:sz w:val="16"/>
          <w:szCs w:val="16"/>
          <w:lang w:val="es-ES_tradnl"/>
        </w:rPr>
        <w:t>141.</w:t>
      </w:r>
      <w:r w:rsidRPr="00CF137F">
        <w:rPr>
          <w:sz w:val="16"/>
          <w:szCs w:val="16"/>
          <w:lang w:val="es-ES_tradnl"/>
        </w:rPr>
        <w:t xml:space="preserve">  </w:t>
      </w:r>
    </w:p>
  </w:footnote>
  <w:footnote w:id="19">
    <w:p w14:paraId="7F73ED10" w14:textId="667B7771" w:rsidR="008F53FE" w:rsidRPr="00C959C6" w:rsidRDefault="008F53FE" w:rsidP="00DE22F1">
      <w:pPr>
        <w:pStyle w:val="FootnoteText"/>
        <w:spacing w:after="120"/>
        <w:jc w:val="both"/>
        <w:rPr>
          <w:i/>
          <w:sz w:val="16"/>
          <w:szCs w:val="16"/>
          <w:lang w:val="es-MX"/>
        </w:rPr>
      </w:pPr>
      <w:r w:rsidRPr="00AD07F6">
        <w:rPr>
          <w:rStyle w:val="FootnoteReference"/>
          <w:sz w:val="16"/>
          <w:szCs w:val="16"/>
        </w:rPr>
        <w:footnoteRef/>
      </w:r>
      <w:r w:rsidRPr="00C959C6">
        <w:rPr>
          <w:sz w:val="16"/>
          <w:szCs w:val="16"/>
          <w:vertAlign w:val="superscript"/>
          <w:lang w:val="es-MX"/>
        </w:rPr>
        <w:t xml:space="preserve"> </w:t>
      </w:r>
      <w:r w:rsidRPr="00AD07F6">
        <w:rPr>
          <w:sz w:val="16"/>
          <w:szCs w:val="16"/>
          <w:lang w:val="es-ES_tradnl"/>
        </w:rPr>
        <w:tab/>
      </w:r>
      <w:r w:rsidRPr="00C959C6">
        <w:rPr>
          <w:sz w:val="16"/>
          <w:szCs w:val="16"/>
          <w:lang w:val="es-MX"/>
        </w:rPr>
        <w:t xml:space="preserve">La “interdependencia e indivisibilidad” como un binomio inseparable, la he venido expresando en mis votos razonados en casos anteriores. </w:t>
      </w:r>
      <w:r w:rsidRPr="00C959C6">
        <w:rPr>
          <w:i/>
          <w:sz w:val="16"/>
          <w:szCs w:val="16"/>
          <w:lang w:val="es-MX"/>
        </w:rPr>
        <w:t xml:space="preserve">Cfr. </w:t>
      </w:r>
      <w:r w:rsidRPr="00C959C6">
        <w:rPr>
          <w:sz w:val="16"/>
          <w:szCs w:val="16"/>
          <w:lang w:val="es-MX"/>
        </w:rPr>
        <w:t xml:space="preserve">Voto Concurrente relativo al </w:t>
      </w:r>
      <w:r w:rsidRPr="00AD07F6">
        <w:rPr>
          <w:bCs/>
          <w:i/>
          <w:color w:val="000000"/>
          <w:sz w:val="16"/>
          <w:szCs w:val="16"/>
          <w:lang w:val="es-MX"/>
        </w:rPr>
        <w:t>Caso Yarce y otras Vs. Colombia</w:t>
      </w:r>
      <w:r>
        <w:rPr>
          <w:bCs/>
          <w:i/>
          <w:color w:val="000000"/>
          <w:sz w:val="16"/>
          <w:szCs w:val="16"/>
          <w:lang w:val="es-MX"/>
        </w:rPr>
        <w:t xml:space="preserve">, supra, </w:t>
      </w:r>
      <w:r w:rsidRPr="00AD07F6">
        <w:rPr>
          <w:bCs/>
          <w:color w:val="000000"/>
          <w:sz w:val="16"/>
          <w:szCs w:val="16"/>
          <w:lang w:val="es-MX"/>
        </w:rPr>
        <w:t>párrs. 13 a 15; Voto Concurrente</w:t>
      </w:r>
      <w:r w:rsidRPr="00AD07F6">
        <w:rPr>
          <w:sz w:val="16"/>
          <w:szCs w:val="16"/>
          <w:lang w:val="es-ES_tradnl"/>
        </w:rPr>
        <w:t xml:space="preserve"> al caso</w:t>
      </w:r>
      <w:r w:rsidRPr="00C959C6">
        <w:rPr>
          <w:rFonts w:cs="Verdana"/>
          <w:bCs/>
          <w:sz w:val="16"/>
          <w:szCs w:val="16"/>
          <w:lang w:val="es-MX"/>
        </w:rPr>
        <w:t xml:space="preserve"> </w:t>
      </w:r>
      <w:r w:rsidRPr="00C959C6">
        <w:rPr>
          <w:rFonts w:cs="Verdana"/>
          <w:bCs/>
          <w:i/>
          <w:sz w:val="16"/>
          <w:szCs w:val="16"/>
          <w:lang w:val="es-MX"/>
        </w:rPr>
        <w:t xml:space="preserve">Suárez Peralta Vs. </w:t>
      </w:r>
      <w:r w:rsidRPr="00BA6F15">
        <w:rPr>
          <w:rFonts w:cs="Verdana"/>
          <w:bCs/>
          <w:i/>
          <w:sz w:val="16"/>
          <w:szCs w:val="16"/>
          <w:lang w:val="es-CR"/>
        </w:rPr>
        <w:t>Ecuador</w:t>
      </w:r>
      <w:r w:rsidRPr="00C959C6">
        <w:rPr>
          <w:rFonts w:cs="Verdana"/>
          <w:bCs/>
          <w:i/>
          <w:sz w:val="16"/>
          <w:szCs w:val="16"/>
          <w:lang w:val="es-MX"/>
        </w:rPr>
        <w:t xml:space="preserve">, </w:t>
      </w:r>
      <w:r>
        <w:rPr>
          <w:rFonts w:cs="Verdana"/>
          <w:bCs/>
          <w:i/>
          <w:sz w:val="16"/>
          <w:szCs w:val="16"/>
          <w:lang w:val="es-MX"/>
        </w:rPr>
        <w:t xml:space="preserve">supra, </w:t>
      </w:r>
      <w:r w:rsidRPr="00C959C6">
        <w:rPr>
          <w:rFonts w:cs="Verdana"/>
          <w:bCs/>
          <w:sz w:val="16"/>
          <w:szCs w:val="16"/>
          <w:lang w:val="es-MX"/>
        </w:rPr>
        <w:t xml:space="preserve">párr. 24. Asimismo, véase </w:t>
      </w:r>
      <w:r w:rsidRPr="00AD07F6">
        <w:rPr>
          <w:sz w:val="16"/>
          <w:szCs w:val="16"/>
          <w:lang w:val="es-ES_tradnl"/>
        </w:rPr>
        <w:t>Resolución 32/130 de la Asamblea General de Naciones Unidas, de 16 de septiembre de 1977, inciso 1, apartado a); Declaración sobre el derecho al Desarrollo Asamblea General en su resolución 41/128, de 4 de diciembre de 1986, párr. 10 del preámbulo y art. 6; Principios de Limburgo de 1986, en especial el núm. 3, y las Directrices de Maastritch sobre violaciones a los DESC de 1997, particularmente la núm. 3.</w:t>
      </w:r>
      <w:r w:rsidRPr="002F649F">
        <w:rPr>
          <w:sz w:val="16"/>
          <w:szCs w:val="16"/>
          <w:lang w:val="es-ES_tradnl"/>
        </w:rPr>
        <w:t xml:space="preserve">  </w:t>
      </w:r>
      <w:r w:rsidRPr="00CF137F">
        <w:rPr>
          <w:bCs/>
          <w:color w:val="000000"/>
          <w:sz w:val="16"/>
          <w:szCs w:val="16"/>
          <w:lang w:val="es-MX"/>
        </w:rPr>
        <w:t xml:space="preserve">  </w:t>
      </w:r>
      <w:r w:rsidRPr="00C959C6">
        <w:rPr>
          <w:i/>
          <w:sz w:val="16"/>
          <w:szCs w:val="16"/>
          <w:lang w:val="es-MX"/>
        </w:rPr>
        <w:t xml:space="preserve">  </w:t>
      </w:r>
      <w:r w:rsidRPr="00CF137F">
        <w:rPr>
          <w:sz w:val="16"/>
          <w:szCs w:val="16"/>
          <w:lang w:val="es-ES_tradnl"/>
        </w:rPr>
        <w:t xml:space="preserve">  </w:t>
      </w:r>
    </w:p>
  </w:footnote>
  <w:footnote w:id="20">
    <w:p w14:paraId="541B5C5A" w14:textId="4D8F090B"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F137F">
        <w:rPr>
          <w:sz w:val="16"/>
          <w:szCs w:val="16"/>
          <w:lang w:val="es-ES_tradnl"/>
        </w:rPr>
        <w:tab/>
      </w:r>
      <w:r w:rsidRPr="00C959C6">
        <w:rPr>
          <w:i/>
          <w:sz w:val="16"/>
          <w:szCs w:val="16"/>
          <w:lang w:val="es-MX"/>
        </w:rPr>
        <w:t xml:space="preserve">Caso Lagos del Campo Vs. </w:t>
      </w:r>
      <w:r w:rsidRPr="00BA6F15">
        <w:rPr>
          <w:i/>
          <w:sz w:val="16"/>
          <w:szCs w:val="16"/>
          <w:lang w:val="es-CR"/>
        </w:rPr>
        <w:t>Perú, supra</w:t>
      </w:r>
      <w:r w:rsidRPr="00C959C6">
        <w:rPr>
          <w:sz w:val="16"/>
          <w:szCs w:val="16"/>
          <w:lang w:val="es-MX"/>
        </w:rPr>
        <w:t xml:space="preserve">, párr. </w:t>
      </w:r>
      <w:r w:rsidRPr="00CF137F">
        <w:rPr>
          <w:sz w:val="16"/>
          <w:szCs w:val="16"/>
          <w:lang w:val="es-ES_tradnl"/>
        </w:rPr>
        <w:t xml:space="preserve">143. </w:t>
      </w:r>
    </w:p>
  </w:footnote>
  <w:footnote w:id="21">
    <w:p w14:paraId="38C55447" w14:textId="4E6BBE53" w:rsidR="008F53FE" w:rsidRPr="00CF137F" w:rsidRDefault="008F53FE" w:rsidP="009B6A6A">
      <w:pPr>
        <w:pStyle w:val="FootnoteText"/>
        <w:spacing w:after="120"/>
        <w:jc w:val="both"/>
        <w:rPr>
          <w:sz w:val="16"/>
          <w:szCs w:val="16"/>
          <w:lang w:val="es-ES_tradnl"/>
        </w:rPr>
      </w:pPr>
      <w:r w:rsidRPr="002228F7">
        <w:rPr>
          <w:rStyle w:val="FootnoteReference"/>
          <w:sz w:val="16"/>
          <w:szCs w:val="16"/>
        </w:rPr>
        <w:footnoteRef/>
      </w:r>
      <w:r w:rsidRPr="00C959C6">
        <w:rPr>
          <w:sz w:val="16"/>
          <w:szCs w:val="16"/>
          <w:lang w:val="es-MX"/>
        </w:rPr>
        <w:t xml:space="preserve"> </w:t>
      </w:r>
      <w:r w:rsidRPr="002228F7">
        <w:rPr>
          <w:sz w:val="16"/>
          <w:szCs w:val="16"/>
          <w:lang w:val="es-ES_tradnl"/>
        </w:rPr>
        <w:tab/>
      </w:r>
      <w:r w:rsidRPr="00C959C6">
        <w:rPr>
          <w:sz w:val="16"/>
          <w:szCs w:val="16"/>
          <w:lang w:val="es-MX"/>
        </w:rPr>
        <w:t xml:space="preserve">Voto Concurrente relativo al </w:t>
      </w:r>
      <w:r w:rsidRPr="002228F7">
        <w:rPr>
          <w:bCs/>
          <w:i/>
          <w:color w:val="000000"/>
          <w:sz w:val="16"/>
          <w:szCs w:val="16"/>
          <w:lang w:val="es-MX"/>
        </w:rPr>
        <w:t>Caso Yarce y otras Vs. Colombia</w:t>
      </w:r>
      <w:r>
        <w:rPr>
          <w:bCs/>
          <w:i/>
          <w:color w:val="000000"/>
          <w:sz w:val="16"/>
          <w:szCs w:val="16"/>
          <w:lang w:val="es-MX"/>
        </w:rPr>
        <w:t>, supra</w:t>
      </w:r>
      <w:r w:rsidRPr="00BA6F15">
        <w:rPr>
          <w:bCs/>
          <w:color w:val="000000"/>
          <w:sz w:val="16"/>
          <w:szCs w:val="16"/>
          <w:lang w:val="es-MX"/>
        </w:rPr>
        <w:t>,</w:t>
      </w:r>
      <w:r w:rsidRPr="002228F7">
        <w:rPr>
          <w:b/>
          <w:bCs/>
          <w:color w:val="000000"/>
          <w:sz w:val="16"/>
          <w:szCs w:val="16"/>
          <w:lang w:val="es-MX"/>
        </w:rPr>
        <w:t xml:space="preserve"> </w:t>
      </w:r>
      <w:r w:rsidRPr="002228F7">
        <w:rPr>
          <w:bCs/>
          <w:color w:val="000000"/>
          <w:sz w:val="16"/>
          <w:szCs w:val="16"/>
          <w:lang w:val="es-MX"/>
        </w:rPr>
        <w:t>párrs. 19 a 26.</w:t>
      </w:r>
      <w:r w:rsidRPr="00CF137F">
        <w:rPr>
          <w:bCs/>
          <w:color w:val="000000"/>
          <w:sz w:val="16"/>
          <w:szCs w:val="16"/>
          <w:lang w:val="es-MX"/>
        </w:rPr>
        <w:t xml:space="preserve">  </w:t>
      </w:r>
    </w:p>
  </w:footnote>
  <w:footnote w:id="22">
    <w:p w14:paraId="502A52E6" w14:textId="77777777" w:rsidR="008F53FE" w:rsidRPr="00C959C6" w:rsidRDefault="008F53FE" w:rsidP="004B5AAB">
      <w:pPr>
        <w:pStyle w:val="FootnoteText"/>
        <w:jc w:val="both"/>
        <w:rPr>
          <w:sz w:val="16"/>
          <w:szCs w:val="16"/>
          <w:lang w:val="es-MX"/>
        </w:rPr>
      </w:pPr>
      <w:r w:rsidRPr="002F649F">
        <w:rPr>
          <w:rStyle w:val="FootnoteReference"/>
          <w:sz w:val="16"/>
          <w:szCs w:val="16"/>
        </w:rPr>
        <w:footnoteRef/>
      </w:r>
      <w:r w:rsidRPr="00C959C6">
        <w:rPr>
          <w:sz w:val="16"/>
          <w:szCs w:val="16"/>
          <w:lang w:val="es-MX"/>
        </w:rPr>
        <w:t xml:space="preserve"> </w:t>
      </w:r>
      <w:r w:rsidRPr="00C959C6">
        <w:rPr>
          <w:sz w:val="16"/>
          <w:szCs w:val="16"/>
          <w:lang w:val="es-MX"/>
        </w:rPr>
        <w:tab/>
        <w:t xml:space="preserve">Los artículos 31 y 32, relativos a la interpretación de los tratados, dicen: Artículo 31: “Regla general de interpretación. I. Un tratado deberá interpretarse de buena fe conforme al sentido corriente que haya de atribuirse a los términos del tratado en el contexto de estos y teniendo en cuenta su objeto y fin. 2. </w:t>
      </w:r>
      <w:r w:rsidRPr="00BA6F15">
        <w:rPr>
          <w:sz w:val="16"/>
          <w:szCs w:val="16"/>
          <w:lang w:val="es-CR"/>
        </w:rPr>
        <w:t xml:space="preserve">Para los efectos de la interpretación de un tratado. </w:t>
      </w:r>
      <w:r w:rsidRPr="00C959C6">
        <w:rPr>
          <w:sz w:val="16"/>
          <w:szCs w:val="16"/>
          <w:lang w:val="es-MX"/>
        </w:rPr>
        <w:t xml:space="preserve">El contexto comprenderá, además del texto, incluidos su preámbulo y anexos: a) todo acuerdo que se refiera al tratado y haya sido concertado entre todas las partes con motivo de la celebración del tratado: b) todo instrumento formulado por una o más partes con motivo de la celebración del tratado y aceptado por las demás como instrumento referente al tratado; 3. </w:t>
      </w:r>
      <w:r w:rsidRPr="00BA6F15">
        <w:rPr>
          <w:sz w:val="16"/>
          <w:szCs w:val="16"/>
          <w:lang w:val="es-MX"/>
        </w:rPr>
        <w:t xml:space="preserve">Juntamente con el contexto, habrá de tenerse en cuenta: a) todo acuerdo ulterior entre las partes acerca de la interpretación del tratado o de la aplicación de sus disposiciones: b) toda práctica ulteriormente seguida en la aplicación del tratado por la cual conste el acuerdo de las partes acerca de la interpretación del tratado: c) toda forma pertinente de derecho internacional aplicable en las relaciones entre las partes. </w:t>
      </w:r>
      <w:r w:rsidRPr="00C959C6">
        <w:rPr>
          <w:sz w:val="16"/>
          <w:szCs w:val="16"/>
          <w:lang w:val="es-MX"/>
        </w:rPr>
        <w:t>4. Se dará a un término un sentido especial si consta que tal fue la intención de las partes”. Artículo 32: “Medios de interpretación complementarios. Se podrán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 conformidad con el artículo 31: a) deje ambiguo u oscuro el sentido; o b) conduzca a un resultado manifiestamente absurdo o irrazonable”.</w:t>
      </w:r>
    </w:p>
    <w:p w14:paraId="02BB237D" w14:textId="77777777" w:rsidR="008F53FE" w:rsidRPr="00C959C6" w:rsidRDefault="008F53FE" w:rsidP="004B5AAB">
      <w:pPr>
        <w:pStyle w:val="FootnoteText"/>
        <w:jc w:val="both"/>
        <w:rPr>
          <w:sz w:val="16"/>
          <w:szCs w:val="16"/>
          <w:lang w:val="es-MX"/>
        </w:rPr>
      </w:pPr>
    </w:p>
  </w:footnote>
  <w:footnote w:id="23">
    <w:p w14:paraId="45AC9979" w14:textId="77777777" w:rsidR="008F53FE" w:rsidRPr="00C959C6" w:rsidRDefault="008F53FE" w:rsidP="004B5AAB">
      <w:pPr>
        <w:pStyle w:val="FootnoteText"/>
        <w:jc w:val="both"/>
        <w:rPr>
          <w:sz w:val="16"/>
          <w:szCs w:val="16"/>
          <w:lang w:val="es-MX"/>
        </w:rPr>
      </w:pPr>
      <w:r w:rsidRPr="002F649F">
        <w:rPr>
          <w:rStyle w:val="FootnoteReference"/>
          <w:sz w:val="16"/>
          <w:szCs w:val="16"/>
        </w:rPr>
        <w:footnoteRef/>
      </w:r>
      <w:r w:rsidRPr="00C959C6">
        <w:rPr>
          <w:sz w:val="16"/>
          <w:szCs w:val="16"/>
          <w:lang w:val="es-MX"/>
        </w:rPr>
        <w:t xml:space="preserve"> </w:t>
      </w:r>
      <w:r w:rsidRPr="00C959C6">
        <w:rPr>
          <w:sz w:val="16"/>
          <w:szCs w:val="16"/>
          <w:lang w:val="es-MX"/>
        </w:rPr>
        <w:tab/>
        <w:t>Adoptada el 30 de abril de 1948. Entró en vigor el 13 de diciembre de 1951. Reformada por el Protocolo de Reformas a la Carta de la Organización de los Estados Americanos "Protocolo de Buenos Aires", suscrito el 27 de febrero de 1967, en la Tercera Conferencia Interamericana Extraordinaria; por el Protocolo de Reformas a la Carta de la Organización de los Estados Americanos "Protocolo de Cartagena de Indias", aprobado el 5 de diciembre de 1985, en el decimocuarto período extraordinario de sesiones de la Asamblea General; por el Protocolo de Reformas a la Carta de la Organización de los Estados Americanos "Protocolo de Washington", aprobado el 14 de diciembre de 1992, en el decimosexto período extraordinario de sesiones de la Asamblea General; y por el Protocolo de Reformas a la Carta de la Organización de los Estados Americanos "Protocolo de Managua", adoptado el 10 de junio de 1993, en el decimonoveno período extraordinario de sesiones de la Asamblea General.</w:t>
      </w:r>
    </w:p>
    <w:p w14:paraId="0988A34F" w14:textId="77777777" w:rsidR="008F53FE" w:rsidRPr="00C959C6" w:rsidRDefault="008F53FE" w:rsidP="004B5AAB">
      <w:pPr>
        <w:pStyle w:val="FootnoteText"/>
        <w:jc w:val="both"/>
        <w:rPr>
          <w:sz w:val="16"/>
          <w:szCs w:val="16"/>
          <w:lang w:val="es-MX"/>
        </w:rPr>
      </w:pPr>
    </w:p>
  </w:footnote>
  <w:footnote w:id="24">
    <w:p w14:paraId="59EDB3D6" w14:textId="77777777" w:rsidR="008F53FE" w:rsidRPr="00C959C6" w:rsidRDefault="008F53FE" w:rsidP="004B5AAB">
      <w:pPr>
        <w:pStyle w:val="FootnoteText"/>
        <w:jc w:val="both"/>
        <w:rPr>
          <w:sz w:val="16"/>
          <w:szCs w:val="16"/>
          <w:lang w:val="es-MX"/>
        </w:rPr>
      </w:pPr>
      <w:r w:rsidRPr="002F649F">
        <w:rPr>
          <w:rStyle w:val="FootnoteReference"/>
          <w:sz w:val="16"/>
          <w:szCs w:val="16"/>
        </w:rPr>
        <w:footnoteRef/>
      </w:r>
      <w:r w:rsidRPr="00C959C6">
        <w:rPr>
          <w:sz w:val="16"/>
          <w:szCs w:val="16"/>
          <w:lang w:val="es-MX"/>
        </w:rPr>
        <w:t xml:space="preserve"> </w:t>
      </w:r>
      <w:r w:rsidRPr="00C959C6">
        <w:rPr>
          <w:sz w:val="16"/>
          <w:szCs w:val="16"/>
          <w:lang w:val="es-MX"/>
        </w:rPr>
        <w:tab/>
        <w:t xml:space="preserve">Teniendo en cuenta el artículo 31 de la Convención de Viena sobre el Derecho de los Tratados (transcripto </w:t>
      </w:r>
      <w:r w:rsidRPr="00C959C6">
        <w:rPr>
          <w:i/>
          <w:sz w:val="16"/>
          <w:szCs w:val="16"/>
          <w:lang w:val="es-MX"/>
        </w:rPr>
        <w:t>supra</w:t>
      </w:r>
      <w:r w:rsidRPr="00C959C6">
        <w:rPr>
          <w:sz w:val="16"/>
          <w:szCs w:val="16"/>
          <w:lang w:val="es-MX"/>
        </w:rPr>
        <w:t xml:space="preserve">, en la nota a pie de página 17 del presente voto), es válido acudir al sentido corriente de las palabras que, además, en este caso, son acordes al entendimiento que mejor propende al objeto y fin de la Convención, que es la protección de los derechos humanos. </w:t>
      </w:r>
    </w:p>
    <w:p w14:paraId="0F19040B" w14:textId="77777777" w:rsidR="008F53FE" w:rsidRPr="00C959C6" w:rsidRDefault="008F53FE" w:rsidP="004B5AAB">
      <w:pPr>
        <w:pStyle w:val="FootnoteText"/>
        <w:jc w:val="both"/>
        <w:rPr>
          <w:sz w:val="16"/>
          <w:szCs w:val="16"/>
          <w:lang w:val="es-MX"/>
        </w:rPr>
      </w:pPr>
    </w:p>
  </w:footnote>
  <w:footnote w:id="25">
    <w:p w14:paraId="4DBCD1AB" w14:textId="65ABD814" w:rsidR="008F53FE" w:rsidRPr="00C959C6" w:rsidRDefault="008F53FE" w:rsidP="004B5AAB">
      <w:pPr>
        <w:pStyle w:val="FootnoteText"/>
        <w:jc w:val="both"/>
        <w:rPr>
          <w:sz w:val="16"/>
          <w:szCs w:val="16"/>
          <w:lang w:val="es-MX"/>
        </w:rPr>
      </w:pPr>
      <w:r w:rsidRPr="00A7488E">
        <w:rPr>
          <w:rStyle w:val="FootnoteReference"/>
          <w:sz w:val="16"/>
          <w:szCs w:val="16"/>
        </w:rPr>
        <w:footnoteRef/>
      </w:r>
      <w:r w:rsidRPr="00C959C6">
        <w:rPr>
          <w:sz w:val="16"/>
          <w:szCs w:val="16"/>
          <w:lang w:val="es-MX"/>
        </w:rPr>
        <w:t xml:space="preserve"> </w:t>
      </w:r>
      <w:r w:rsidRPr="00C959C6">
        <w:rPr>
          <w:sz w:val="16"/>
          <w:szCs w:val="16"/>
          <w:lang w:val="es-MX"/>
        </w:rPr>
        <w:tab/>
        <w:t xml:space="preserve">Consultado en el sitio de internet </w:t>
      </w:r>
      <w:hyperlink r:id="rId1" w:history="1">
        <w:r w:rsidRPr="00C959C6">
          <w:rPr>
            <w:rStyle w:val="Hyperlink"/>
            <w:color w:val="auto"/>
            <w:sz w:val="16"/>
            <w:szCs w:val="16"/>
            <w:lang w:val="es-MX"/>
          </w:rPr>
          <w:t>http://dle.rae.es</w:t>
        </w:r>
      </w:hyperlink>
      <w:r w:rsidRPr="00C959C6">
        <w:rPr>
          <w:sz w:val="16"/>
          <w:szCs w:val="16"/>
          <w:lang w:val="es-MX"/>
        </w:rPr>
        <w:t>.</w:t>
      </w:r>
    </w:p>
    <w:p w14:paraId="5FC46563" w14:textId="77777777" w:rsidR="008F53FE" w:rsidRPr="00C959C6" w:rsidRDefault="008F53FE" w:rsidP="004B5AAB">
      <w:pPr>
        <w:pStyle w:val="FootnoteText"/>
        <w:jc w:val="both"/>
        <w:rPr>
          <w:sz w:val="16"/>
          <w:szCs w:val="16"/>
          <w:lang w:val="es-MX"/>
        </w:rPr>
      </w:pPr>
    </w:p>
  </w:footnote>
  <w:footnote w:id="26">
    <w:p w14:paraId="0C725FC2" w14:textId="77777777" w:rsidR="008F53FE" w:rsidRPr="00C959C6" w:rsidRDefault="008F53FE" w:rsidP="004B5AAB">
      <w:pPr>
        <w:pStyle w:val="FootnoteText"/>
        <w:jc w:val="both"/>
        <w:rPr>
          <w:rFonts w:cs="Tahoma"/>
          <w:color w:val="000000"/>
          <w:sz w:val="16"/>
          <w:szCs w:val="16"/>
          <w:lang w:val="es-MX"/>
        </w:rPr>
      </w:pPr>
      <w:r w:rsidRPr="002F649F">
        <w:rPr>
          <w:rStyle w:val="FootnoteReference"/>
          <w:sz w:val="16"/>
          <w:szCs w:val="16"/>
        </w:rPr>
        <w:footnoteRef/>
      </w:r>
      <w:r w:rsidRPr="00C959C6">
        <w:rPr>
          <w:sz w:val="16"/>
          <w:szCs w:val="16"/>
          <w:lang w:val="es-MX"/>
        </w:rPr>
        <w:t xml:space="preserve"> </w:t>
      </w:r>
      <w:r w:rsidRPr="00C959C6">
        <w:rPr>
          <w:sz w:val="16"/>
          <w:szCs w:val="16"/>
          <w:lang w:val="es-MX"/>
        </w:rPr>
        <w:tab/>
        <w:t xml:space="preserve">La Carta de la Organización de Estados Americanos, en su artículo 45.b) </w:t>
      </w:r>
      <w:r w:rsidRPr="002F649F">
        <w:rPr>
          <w:sz w:val="16"/>
          <w:szCs w:val="16"/>
          <w:lang w:val="es-CR"/>
        </w:rPr>
        <w:t>establece que “[e]</w:t>
      </w:r>
      <w:r w:rsidRPr="00C959C6">
        <w:rPr>
          <w:rFonts w:cs="Tahoma"/>
          <w:color w:val="000000"/>
          <w:sz w:val="16"/>
          <w:szCs w:val="16"/>
          <w:lang w:val="es-MX"/>
        </w:rPr>
        <w:t xml:space="preserve">l trabajo es un derecho y un deber social […]”. </w:t>
      </w:r>
    </w:p>
    <w:p w14:paraId="1AD05252" w14:textId="77777777" w:rsidR="008F53FE" w:rsidRPr="00C959C6" w:rsidRDefault="008F53FE" w:rsidP="004B5AAB">
      <w:pPr>
        <w:pStyle w:val="FootnoteText"/>
        <w:jc w:val="both"/>
        <w:rPr>
          <w:rFonts w:cs="Tahoma"/>
          <w:color w:val="000000"/>
          <w:sz w:val="16"/>
          <w:szCs w:val="16"/>
          <w:lang w:val="es-MX"/>
        </w:rPr>
      </w:pPr>
    </w:p>
  </w:footnote>
  <w:footnote w:id="27">
    <w:p w14:paraId="44F2DA26" w14:textId="77777777" w:rsidR="008F53FE" w:rsidRPr="00C959C6" w:rsidRDefault="008F53FE" w:rsidP="004B5AAB">
      <w:pPr>
        <w:pStyle w:val="FootnoteText"/>
        <w:jc w:val="both"/>
        <w:rPr>
          <w:sz w:val="16"/>
          <w:szCs w:val="16"/>
          <w:lang w:val="es-MX"/>
        </w:rPr>
      </w:pPr>
      <w:r w:rsidRPr="002F649F">
        <w:rPr>
          <w:rStyle w:val="FootnoteReference"/>
          <w:sz w:val="16"/>
          <w:szCs w:val="16"/>
        </w:rPr>
        <w:footnoteRef/>
      </w:r>
      <w:r w:rsidRPr="00C959C6">
        <w:rPr>
          <w:sz w:val="16"/>
          <w:szCs w:val="16"/>
          <w:lang w:val="es-MX"/>
        </w:rPr>
        <w:t xml:space="preserve"> </w:t>
      </w:r>
      <w:r w:rsidRPr="00C959C6">
        <w:rPr>
          <w:sz w:val="16"/>
          <w:szCs w:val="16"/>
          <w:lang w:val="es-MX"/>
        </w:rPr>
        <w:tab/>
        <w:t xml:space="preserve">Adoptado el 17 de noviembre de 1988. Entró en vigor el 16 de noviembre de 1999. </w:t>
      </w:r>
    </w:p>
    <w:p w14:paraId="33A7ACC9" w14:textId="77777777" w:rsidR="008F53FE" w:rsidRPr="00C959C6" w:rsidRDefault="008F53FE" w:rsidP="004B5AAB">
      <w:pPr>
        <w:pStyle w:val="FootnoteText"/>
        <w:jc w:val="both"/>
        <w:rPr>
          <w:sz w:val="16"/>
          <w:szCs w:val="16"/>
          <w:lang w:val="es-MX"/>
        </w:rPr>
      </w:pPr>
    </w:p>
  </w:footnote>
  <w:footnote w:id="28">
    <w:p w14:paraId="385C26AA" w14:textId="14F10B1F"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959C6">
        <w:rPr>
          <w:sz w:val="16"/>
          <w:szCs w:val="16"/>
          <w:lang w:val="es-MX"/>
        </w:rPr>
        <w:tab/>
      </w:r>
      <w:r w:rsidRPr="00CF137F">
        <w:rPr>
          <w:sz w:val="16"/>
          <w:szCs w:val="16"/>
          <w:lang w:val="es-CR"/>
        </w:rPr>
        <w:t xml:space="preserve"> </w:t>
      </w:r>
      <w:r w:rsidRPr="00BA6F15">
        <w:rPr>
          <w:i/>
          <w:sz w:val="16"/>
          <w:szCs w:val="16"/>
          <w:lang w:val="es-CR"/>
        </w:rPr>
        <w:t>Cfr</w:t>
      </w:r>
      <w:r>
        <w:rPr>
          <w:sz w:val="16"/>
          <w:szCs w:val="16"/>
          <w:lang w:val="es-CR"/>
        </w:rPr>
        <w:t xml:space="preserve">. </w:t>
      </w:r>
      <w:r w:rsidRPr="00CF137F">
        <w:rPr>
          <w:sz w:val="16"/>
          <w:szCs w:val="16"/>
          <w:lang w:val="es-CR"/>
        </w:rPr>
        <w:t>“</w:t>
      </w:r>
      <w:r w:rsidRPr="00CF137F">
        <w:rPr>
          <w:i/>
          <w:sz w:val="16"/>
          <w:szCs w:val="16"/>
          <w:lang w:val="es-CR"/>
        </w:rPr>
        <w:t>Interpretación de la Declaración Americana de los Derechos y Deberes del Hombre en el marco del artículo 64 de la Convención Americana sobre Derechos Humanos</w:t>
      </w:r>
      <w:r w:rsidRPr="00CF137F">
        <w:rPr>
          <w:sz w:val="16"/>
          <w:szCs w:val="16"/>
          <w:lang w:val="es-CR"/>
        </w:rPr>
        <w:t>”,</w:t>
      </w:r>
      <w:r>
        <w:rPr>
          <w:sz w:val="16"/>
          <w:szCs w:val="16"/>
          <w:lang w:val="es-CR"/>
        </w:rPr>
        <w:t xml:space="preserve"> </w:t>
      </w:r>
      <w:r w:rsidRPr="00BA6F15">
        <w:rPr>
          <w:i/>
          <w:sz w:val="16"/>
          <w:szCs w:val="16"/>
          <w:lang w:val="es-CR"/>
        </w:rPr>
        <w:t>Opinión Consultiva OC-10/89</w:t>
      </w:r>
      <w:r w:rsidRPr="00CF137F">
        <w:rPr>
          <w:sz w:val="16"/>
          <w:szCs w:val="16"/>
          <w:lang w:val="es-CR"/>
        </w:rPr>
        <w:t xml:space="preserve"> del 14 de julio de 1989, párrs. 43 y 45.</w:t>
      </w:r>
    </w:p>
  </w:footnote>
  <w:footnote w:id="29">
    <w:p w14:paraId="72CF3486" w14:textId="214E350A" w:rsidR="008F53FE" w:rsidRDefault="008F53FE" w:rsidP="00A54BFE">
      <w:pPr>
        <w:jc w:val="both"/>
        <w:rPr>
          <w:rFonts w:ascii="Verdana" w:eastAsia="Times New Roman" w:hAnsi="Verdana" w:cs="Tahoma"/>
          <w:color w:val="000000"/>
          <w:sz w:val="16"/>
          <w:szCs w:val="16"/>
          <w:lang w:val="es-MX"/>
        </w:rPr>
      </w:pPr>
      <w:r w:rsidRPr="00CF137F">
        <w:rPr>
          <w:rStyle w:val="FootnoteReference"/>
          <w:sz w:val="16"/>
          <w:szCs w:val="16"/>
        </w:rPr>
        <w:footnoteRef/>
      </w:r>
      <w:r w:rsidRPr="00BA6F15">
        <w:rPr>
          <w:sz w:val="16"/>
          <w:szCs w:val="16"/>
          <w:lang w:val="es-MX"/>
        </w:rPr>
        <w:t xml:space="preserve"> </w:t>
      </w:r>
      <w:r w:rsidRPr="00CF137F">
        <w:rPr>
          <w:sz w:val="16"/>
          <w:szCs w:val="16"/>
        </w:rPr>
        <w:tab/>
      </w:r>
      <w:r w:rsidRPr="00A54BFE">
        <w:rPr>
          <w:rFonts w:ascii="Verdana" w:hAnsi="Verdana"/>
          <w:i/>
          <w:sz w:val="16"/>
          <w:szCs w:val="16"/>
          <w:lang w:val="es-MX"/>
        </w:rPr>
        <w:t xml:space="preserve">Caso Lagos del Campo Vs. Perú, supra, </w:t>
      </w:r>
      <w:r w:rsidRPr="00A54BFE">
        <w:rPr>
          <w:rFonts w:ascii="Verdana" w:hAnsi="Verdana"/>
          <w:sz w:val="16"/>
          <w:szCs w:val="16"/>
          <w:lang w:val="es-MX"/>
        </w:rPr>
        <w:t xml:space="preserve">párr. </w:t>
      </w:r>
      <w:r w:rsidRPr="00A54BFE">
        <w:rPr>
          <w:rFonts w:ascii="Verdana" w:hAnsi="Verdana"/>
          <w:sz w:val="16"/>
          <w:szCs w:val="16"/>
        </w:rPr>
        <w:t>144.</w:t>
      </w:r>
      <w:r w:rsidRPr="00CF137F">
        <w:rPr>
          <w:sz w:val="16"/>
          <w:szCs w:val="16"/>
        </w:rPr>
        <w:t xml:space="preserve"> </w:t>
      </w:r>
      <w:r w:rsidRPr="00A54BFE">
        <w:rPr>
          <w:rFonts w:ascii="Verdana" w:hAnsi="Verdana"/>
          <w:sz w:val="16"/>
          <w:szCs w:val="16"/>
        </w:rPr>
        <w:t>Además</w:t>
      </w:r>
      <w:r>
        <w:rPr>
          <w:rFonts w:ascii="Verdana" w:hAnsi="Verdana"/>
          <w:sz w:val="16"/>
          <w:szCs w:val="16"/>
        </w:rPr>
        <w:t>,</w:t>
      </w:r>
      <w:r w:rsidRPr="00A54BFE">
        <w:rPr>
          <w:rFonts w:ascii="Verdana" w:hAnsi="Verdana"/>
          <w:sz w:val="16"/>
          <w:szCs w:val="16"/>
        </w:rPr>
        <w:t xml:space="preserve"> cabe destacar lo contemplado en el párrafo cuarto del Preámbulo de la propia Convención Americana que señala: “</w:t>
      </w:r>
      <w:r w:rsidRPr="00A54BFE">
        <w:rPr>
          <w:rFonts w:ascii="Verdana" w:eastAsia="Times New Roman" w:hAnsi="Verdana" w:cs="Tahoma"/>
          <w:color w:val="000000"/>
          <w:sz w:val="16"/>
          <w:szCs w:val="16"/>
          <w:lang w:val="es-MX"/>
        </w:rPr>
        <w:t>Considerando que estos principios [derechos] han sido consagrados en la Carta de la Organización de los Estados Americanos, en la Declaración Americana de los Derechos y Deberes del Hombre y en la Declaración Universal de los Derechos Humanos que han sido reafirmados y desarrollados en otros instrumentos internacionales, tanto de ámbito universal como regional”.</w:t>
      </w:r>
      <w:r>
        <w:rPr>
          <w:rFonts w:ascii="Verdana" w:eastAsia="Times New Roman" w:hAnsi="Verdana" w:cs="Tahoma"/>
          <w:color w:val="000000"/>
          <w:sz w:val="16"/>
          <w:szCs w:val="16"/>
          <w:lang w:val="es-MX"/>
        </w:rPr>
        <w:t xml:space="preserve"> </w:t>
      </w:r>
    </w:p>
    <w:p w14:paraId="69A60657" w14:textId="77777777" w:rsidR="008F53FE" w:rsidRPr="00A54BFE" w:rsidRDefault="008F53FE" w:rsidP="00A54BFE">
      <w:pPr>
        <w:jc w:val="both"/>
        <w:rPr>
          <w:rFonts w:ascii="Verdana" w:eastAsia="Times New Roman" w:hAnsi="Verdana" w:cs="Tahoma"/>
          <w:color w:val="000000"/>
          <w:sz w:val="16"/>
          <w:szCs w:val="16"/>
          <w:lang w:val="es-MX"/>
        </w:rPr>
      </w:pPr>
    </w:p>
  </w:footnote>
  <w:footnote w:id="30">
    <w:p w14:paraId="097DA646" w14:textId="1E927566"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959C6">
        <w:rPr>
          <w:sz w:val="16"/>
          <w:szCs w:val="16"/>
          <w:lang w:val="es-MX"/>
        </w:rPr>
        <w:tab/>
      </w:r>
      <w:r w:rsidRPr="00C959C6">
        <w:rPr>
          <w:i/>
          <w:sz w:val="16"/>
          <w:szCs w:val="16"/>
          <w:lang w:val="es-MX"/>
        </w:rPr>
        <w:t xml:space="preserve">Caso Lagos del Campo Vs. </w:t>
      </w:r>
      <w:r w:rsidRPr="00BA6F15">
        <w:rPr>
          <w:i/>
          <w:sz w:val="16"/>
          <w:szCs w:val="16"/>
          <w:lang w:val="es-CR"/>
        </w:rPr>
        <w:t>Perú, supra</w:t>
      </w:r>
      <w:r w:rsidRPr="00C959C6">
        <w:rPr>
          <w:sz w:val="16"/>
          <w:szCs w:val="16"/>
          <w:lang w:val="es-MX"/>
        </w:rPr>
        <w:t xml:space="preserve">, párr. </w:t>
      </w:r>
      <w:r w:rsidRPr="00CF137F">
        <w:rPr>
          <w:sz w:val="16"/>
          <w:szCs w:val="16"/>
          <w:lang w:val="es-ES_tradnl"/>
        </w:rPr>
        <w:t xml:space="preserve">145. </w:t>
      </w:r>
    </w:p>
  </w:footnote>
  <w:footnote w:id="31">
    <w:p w14:paraId="45C96FAE" w14:textId="762E812C" w:rsidR="008F53FE" w:rsidRPr="00C959C6" w:rsidRDefault="008F53FE" w:rsidP="000B0BD3">
      <w:pPr>
        <w:pStyle w:val="FootnoteText"/>
        <w:spacing w:after="120"/>
        <w:jc w:val="both"/>
        <w:rPr>
          <w:sz w:val="16"/>
          <w:szCs w:val="16"/>
          <w:lang w:val="es-MX"/>
        </w:rPr>
      </w:pPr>
      <w:r w:rsidRPr="00CF137F">
        <w:rPr>
          <w:rStyle w:val="FootnoteReference"/>
          <w:sz w:val="16"/>
          <w:szCs w:val="16"/>
        </w:rPr>
        <w:footnoteRef/>
      </w:r>
      <w:r w:rsidRPr="00C959C6">
        <w:rPr>
          <w:sz w:val="16"/>
          <w:szCs w:val="16"/>
          <w:lang w:val="es-MX"/>
        </w:rPr>
        <w:t xml:space="preserve"> </w:t>
      </w:r>
      <w:r w:rsidRPr="00C959C6">
        <w:rPr>
          <w:sz w:val="16"/>
          <w:szCs w:val="16"/>
          <w:lang w:val="es-MX"/>
        </w:rPr>
        <w:tab/>
      </w:r>
      <w:r w:rsidRPr="00C959C6">
        <w:rPr>
          <w:i/>
          <w:sz w:val="16"/>
          <w:szCs w:val="16"/>
          <w:lang w:val="es-MX"/>
        </w:rPr>
        <w:t xml:space="preserve">Caso Lagos del Campo Vs. </w:t>
      </w:r>
      <w:r w:rsidRPr="00BA6F15">
        <w:rPr>
          <w:i/>
          <w:sz w:val="16"/>
          <w:szCs w:val="16"/>
          <w:lang w:val="es-CR"/>
        </w:rPr>
        <w:t>Perú, supra</w:t>
      </w:r>
      <w:r w:rsidRPr="00C959C6">
        <w:rPr>
          <w:sz w:val="16"/>
          <w:szCs w:val="16"/>
          <w:lang w:val="es-MX"/>
        </w:rPr>
        <w:t xml:space="preserve">, párr. 138. </w:t>
      </w:r>
    </w:p>
  </w:footnote>
  <w:footnote w:id="32">
    <w:p w14:paraId="3FDBD751" w14:textId="3BA3074A" w:rsidR="008F53FE" w:rsidRPr="00CF137F" w:rsidRDefault="008F53FE" w:rsidP="000B0BD3">
      <w:pPr>
        <w:spacing w:after="120"/>
        <w:jc w:val="both"/>
        <w:rPr>
          <w:rFonts w:ascii="Verdana" w:hAnsi="Verdana"/>
          <w:sz w:val="16"/>
          <w:szCs w:val="16"/>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eastAsia="Times New Roman" w:hAnsi="Verdana" w:cs="Tahoma"/>
          <w:bCs/>
          <w:color w:val="000000"/>
          <w:sz w:val="16"/>
          <w:szCs w:val="16"/>
          <w:lang w:val="es-MX"/>
        </w:rPr>
        <w:t>Artículo 29.  Normas de Interpretación</w:t>
      </w:r>
      <w:r w:rsidRPr="00CF137F">
        <w:rPr>
          <w:rFonts w:ascii="Verdana" w:hAnsi="Verdana"/>
          <w:sz w:val="16"/>
          <w:szCs w:val="16"/>
        </w:rPr>
        <w:t xml:space="preserve">. </w:t>
      </w:r>
      <w:r w:rsidRPr="00CF137F">
        <w:rPr>
          <w:rFonts w:ascii="Verdana" w:eastAsia="Times New Roman" w:hAnsi="Verdana" w:cs="Tahoma"/>
          <w:color w:val="000000"/>
          <w:sz w:val="16"/>
          <w:szCs w:val="16"/>
          <w:lang w:val="es-MX"/>
        </w:rPr>
        <w:t xml:space="preserve">Ninguna disposición de la presente Convención puede ser interpretada en el sentido de: “[…] </w:t>
      </w:r>
      <w:r w:rsidRPr="00CF137F">
        <w:rPr>
          <w:rFonts w:ascii="Verdana" w:hAnsi="Verdana" w:cs="Tahoma"/>
          <w:color w:val="000000"/>
          <w:sz w:val="16"/>
          <w:szCs w:val="16"/>
        </w:rPr>
        <w:t>b) limitar el goce y ejercicio de cualquier derecho o libertad que pueda estar reconocido de acuerdo con las leyes de cualquiera de los Estados Partes o de acuerdo con otra convención en que sea parte uno de dichos Estados;</w:t>
      </w:r>
      <w:r w:rsidRPr="00CF137F">
        <w:rPr>
          <w:rStyle w:val="apple-converted-space"/>
          <w:rFonts w:ascii="Verdana" w:hAnsi="Verdana" w:cs="Tahoma"/>
          <w:color w:val="000000"/>
          <w:sz w:val="16"/>
          <w:szCs w:val="16"/>
        </w:rPr>
        <w:t> </w:t>
      </w:r>
      <w:r w:rsidRPr="00CF137F">
        <w:rPr>
          <w:rFonts w:ascii="Verdana" w:hAnsi="Verdana" w:cs="Tahoma"/>
          <w:color w:val="000000"/>
          <w:sz w:val="16"/>
          <w:szCs w:val="16"/>
        </w:rPr>
        <w:t>c) excluir otros derechos y garantías que son inherentes al ser humano o que se derivan de la forma democrática representativa de gobierno, y</w:t>
      </w:r>
      <w:r w:rsidRPr="00CF137F">
        <w:rPr>
          <w:rStyle w:val="apple-converted-space"/>
          <w:rFonts w:ascii="Verdana" w:hAnsi="Verdana" w:cs="Tahoma"/>
          <w:color w:val="000000"/>
          <w:sz w:val="16"/>
          <w:szCs w:val="16"/>
        </w:rPr>
        <w:t> </w:t>
      </w:r>
      <w:r w:rsidRPr="00CF137F">
        <w:rPr>
          <w:rFonts w:ascii="Verdana" w:hAnsi="Verdana" w:cs="Tahoma"/>
          <w:color w:val="000000"/>
          <w:sz w:val="16"/>
          <w:szCs w:val="16"/>
        </w:rPr>
        <w:t> d) excluir o limitar el efecto que puedan producir la Declaración Americana de Derechos y Deberes del Hombre y otros actos internacionales de la misma naturaleza.</w:t>
      </w:r>
    </w:p>
  </w:footnote>
  <w:footnote w:id="33">
    <w:p w14:paraId="6FE0120B" w14:textId="1F03A042"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F137F">
        <w:rPr>
          <w:sz w:val="16"/>
          <w:szCs w:val="16"/>
          <w:lang w:val="es-ES_tradnl"/>
        </w:rPr>
        <w:tab/>
      </w:r>
      <w:r w:rsidRPr="00C959C6">
        <w:rPr>
          <w:i/>
          <w:sz w:val="16"/>
          <w:szCs w:val="16"/>
          <w:lang w:val="es-MX"/>
        </w:rPr>
        <w:t xml:space="preserve">Caso Lagos del Campo Vs. </w:t>
      </w:r>
      <w:r w:rsidRPr="00BA6F15">
        <w:rPr>
          <w:i/>
          <w:sz w:val="16"/>
          <w:szCs w:val="16"/>
          <w:lang w:val="es-MX"/>
        </w:rPr>
        <w:t xml:space="preserve">Perú, supra, </w:t>
      </w:r>
      <w:r w:rsidRPr="00C959C6">
        <w:rPr>
          <w:sz w:val="16"/>
          <w:szCs w:val="16"/>
          <w:lang w:val="es-MX"/>
        </w:rPr>
        <w:t xml:space="preserve">párr. </w:t>
      </w:r>
      <w:r w:rsidRPr="00CF137F">
        <w:rPr>
          <w:sz w:val="16"/>
          <w:szCs w:val="16"/>
          <w:lang w:val="es-ES_tradnl"/>
        </w:rPr>
        <w:t xml:space="preserve">149. </w:t>
      </w:r>
    </w:p>
  </w:footnote>
  <w:footnote w:id="34">
    <w:p w14:paraId="3E32719E" w14:textId="108C9D15" w:rsidR="008F53FE" w:rsidRDefault="008F53FE" w:rsidP="00DD3372">
      <w:pPr>
        <w:pStyle w:val="FootnoteText"/>
        <w:jc w:val="both"/>
        <w:rPr>
          <w:sz w:val="16"/>
          <w:szCs w:val="16"/>
          <w:lang w:val="es-MX"/>
        </w:rPr>
      </w:pPr>
      <w:r w:rsidRPr="00DD3372">
        <w:rPr>
          <w:rStyle w:val="FootnoteReference"/>
          <w:sz w:val="16"/>
          <w:szCs w:val="16"/>
        </w:rPr>
        <w:footnoteRef/>
      </w:r>
      <w:r w:rsidRPr="00C959C6">
        <w:rPr>
          <w:sz w:val="16"/>
          <w:szCs w:val="16"/>
          <w:lang w:val="es-MX"/>
        </w:rPr>
        <w:t xml:space="preserve"> </w:t>
      </w:r>
      <w:r w:rsidRPr="00DD3372">
        <w:rPr>
          <w:sz w:val="16"/>
          <w:szCs w:val="16"/>
          <w:lang w:val="es-ES_tradnl"/>
        </w:rPr>
        <w:tab/>
      </w:r>
      <w:r w:rsidRPr="00C959C6">
        <w:rPr>
          <w:i/>
          <w:sz w:val="16"/>
          <w:szCs w:val="16"/>
          <w:lang w:val="es-MX"/>
        </w:rPr>
        <w:t>Cfr.</w:t>
      </w:r>
      <w:r w:rsidRPr="00C959C6">
        <w:rPr>
          <w:sz w:val="16"/>
          <w:szCs w:val="16"/>
          <w:lang w:val="es-MX"/>
        </w:rPr>
        <w:t xml:space="preserve"> </w:t>
      </w:r>
      <w:r w:rsidRPr="00C959C6">
        <w:rPr>
          <w:i/>
          <w:sz w:val="16"/>
          <w:szCs w:val="16"/>
          <w:lang w:val="es-MX"/>
        </w:rPr>
        <w:t xml:space="preserve">Caso Lagos del Campo Vs. </w:t>
      </w:r>
      <w:r w:rsidRPr="00BA6F15">
        <w:rPr>
          <w:i/>
          <w:sz w:val="16"/>
          <w:szCs w:val="16"/>
          <w:lang w:val="es-MX"/>
        </w:rPr>
        <w:t>Perú, supra</w:t>
      </w:r>
      <w:r w:rsidRPr="00C959C6">
        <w:rPr>
          <w:sz w:val="16"/>
          <w:szCs w:val="16"/>
          <w:lang w:val="es-MX"/>
        </w:rPr>
        <w:t xml:space="preserve">, párrs. 151, 152 y 153. </w:t>
      </w:r>
    </w:p>
    <w:p w14:paraId="7D72D97C" w14:textId="77777777" w:rsidR="00ED5B40" w:rsidRPr="00ED5B40" w:rsidRDefault="00ED5B40" w:rsidP="00DD3372">
      <w:pPr>
        <w:pStyle w:val="FootnoteText"/>
        <w:jc w:val="both"/>
        <w:rPr>
          <w:sz w:val="16"/>
          <w:szCs w:val="16"/>
          <w:lang w:val="es-MX"/>
        </w:rPr>
      </w:pPr>
    </w:p>
  </w:footnote>
  <w:footnote w:id="35">
    <w:p w14:paraId="0CB51FDF" w14:textId="00DD518B" w:rsidR="008F53FE" w:rsidRPr="00BA6F15" w:rsidRDefault="008F53FE" w:rsidP="00DD3372">
      <w:pPr>
        <w:pStyle w:val="FootnoteText"/>
        <w:jc w:val="both"/>
        <w:rPr>
          <w:i/>
          <w:sz w:val="16"/>
          <w:szCs w:val="16"/>
          <w:lang w:val="es-CR"/>
        </w:rPr>
      </w:pPr>
      <w:r w:rsidRPr="00DD3372">
        <w:rPr>
          <w:rStyle w:val="FootnoteReference"/>
          <w:sz w:val="16"/>
          <w:szCs w:val="16"/>
        </w:rPr>
        <w:footnoteRef/>
      </w:r>
      <w:r w:rsidRPr="00C959C6">
        <w:rPr>
          <w:sz w:val="16"/>
          <w:szCs w:val="16"/>
          <w:lang w:val="es-MX"/>
        </w:rPr>
        <w:t xml:space="preserve"> </w:t>
      </w:r>
      <w:r w:rsidRPr="00DD3372">
        <w:rPr>
          <w:sz w:val="16"/>
          <w:szCs w:val="16"/>
          <w:lang w:val="es-ES_tradnl"/>
        </w:rPr>
        <w:tab/>
      </w:r>
      <w:r w:rsidRPr="00C959C6">
        <w:rPr>
          <w:i/>
          <w:sz w:val="16"/>
          <w:szCs w:val="16"/>
          <w:lang w:val="es-MX"/>
        </w:rPr>
        <w:t>Cfr.</w:t>
      </w:r>
      <w:r w:rsidRPr="00C959C6">
        <w:rPr>
          <w:sz w:val="16"/>
          <w:szCs w:val="16"/>
          <w:lang w:val="es-MX"/>
        </w:rPr>
        <w:t xml:space="preserve"> </w:t>
      </w:r>
      <w:r w:rsidRPr="00C959C6">
        <w:rPr>
          <w:i/>
          <w:sz w:val="16"/>
          <w:szCs w:val="16"/>
          <w:lang w:val="es-MX"/>
        </w:rPr>
        <w:t xml:space="preserve">Caso Lagos del Campo Vs. </w:t>
      </w:r>
      <w:r w:rsidRPr="00BA6F15">
        <w:rPr>
          <w:i/>
          <w:sz w:val="16"/>
          <w:szCs w:val="16"/>
          <w:lang w:val="es-CR"/>
        </w:rPr>
        <w:t xml:space="preserve">Perú, supra </w:t>
      </w:r>
      <w:r w:rsidRPr="00C959C6">
        <w:rPr>
          <w:sz w:val="16"/>
          <w:szCs w:val="16"/>
          <w:lang w:val="es-MX"/>
        </w:rPr>
        <w:t xml:space="preserve">, párr. 154. </w:t>
      </w:r>
    </w:p>
    <w:p w14:paraId="1B9459FF" w14:textId="77777777" w:rsidR="008F53FE" w:rsidRPr="008F14B6" w:rsidRDefault="008F53FE" w:rsidP="00DD3372">
      <w:pPr>
        <w:pStyle w:val="FootnoteText"/>
        <w:jc w:val="both"/>
        <w:rPr>
          <w:sz w:val="16"/>
          <w:szCs w:val="16"/>
          <w:lang w:val="es-ES_tradnl"/>
        </w:rPr>
      </w:pPr>
    </w:p>
  </w:footnote>
  <w:footnote w:id="36">
    <w:p w14:paraId="7403512A" w14:textId="3F8DC87B" w:rsidR="008F53FE" w:rsidRPr="00CF137F" w:rsidRDefault="008F53FE" w:rsidP="000B0BD3">
      <w:pPr>
        <w:jc w:val="both"/>
        <w:rPr>
          <w:rFonts w:ascii="Verdana" w:hAnsi="Verdana"/>
          <w:bCs/>
          <w:color w:val="000000"/>
          <w:sz w:val="16"/>
          <w:szCs w:val="16"/>
          <w:lang w:val="es-MX"/>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eastAsia="Times New Roman" w:hAnsi="Verdana" w:cs="Times New Roman"/>
          <w:bCs/>
          <w:i/>
          <w:color w:val="000000"/>
          <w:sz w:val="16"/>
          <w:szCs w:val="16"/>
          <w:lang w:val="es-MX"/>
        </w:rPr>
        <w:t>Caso Baena Ricardo y otros Vs. Panamá. Fondo, Reparaciones y Costas</w:t>
      </w:r>
      <w:r w:rsidRPr="00CF137F">
        <w:rPr>
          <w:rFonts w:ascii="Verdana" w:eastAsia="Times New Roman" w:hAnsi="Verdana" w:cs="Times New Roman"/>
          <w:bCs/>
          <w:color w:val="000000"/>
          <w:sz w:val="16"/>
          <w:szCs w:val="16"/>
          <w:lang w:val="es-MX"/>
        </w:rPr>
        <w:t>. Sentencia de 2 de febrero de 2001. Serie C No. 72.</w:t>
      </w:r>
    </w:p>
    <w:p w14:paraId="3D50EF06" w14:textId="77777777" w:rsidR="008F53FE" w:rsidRPr="00CF137F" w:rsidRDefault="008F53FE" w:rsidP="000B0BD3">
      <w:pPr>
        <w:jc w:val="both"/>
        <w:rPr>
          <w:rFonts w:ascii="Verdana" w:hAnsi="Verdana"/>
          <w:sz w:val="16"/>
          <w:szCs w:val="16"/>
          <w:lang w:val="es-MX"/>
        </w:rPr>
      </w:pPr>
    </w:p>
  </w:footnote>
  <w:footnote w:id="37">
    <w:p w14:paraId="4FA90B45" w14:textId="1F5DC2B8" w:rsidR="008F53FE" w:rsidRPr="00CF137F" w:rsidRDefault="008F53FE" w:rsidP="000B0BD3">
      <w:pPr>
        <w:jc w:val="both"/>
        <w:rPr>
          <w:rFonts w:ascii="Verdana" w:hAnsi="Verdana"/>
          <w:bCs/>
          <w:color w:val="000000"/>
          <w:sz w:val="16"/>
          <w:szCs w:val="16"/>
          <w:lang w:val="es-MX"/>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eastAsia="Times New Roman" w:hAnsi="Verdana" w:cs="Times New Roman"/>
          <w:bCs/>
          <w:i/>
          <w:color w:val="000000"/>
          <w:sz w:val="16"/>
          <w:szCs w:val="16"/>
          <w:lang w:val="es-MX"/>
        </w:rPr>
        <w:t xml:space="preserve">Caso </w:t>
      </w:r>
      <w:proofErr w:type="spellStart"/>
      <w:r w:rsidRPr="00CF137F">
        <w:rPr>
          <w:rFonts w:ascii="Verdana" w:eastAsia="Times New Roman" w:hAnsi="Verdana" w:cs="Times New Roman"/>
          <w:bCs/>
          <w:i/>
          <w:color w:val="000000"/>
          <w:sz w:val="16"/>
          <w:szCs w:val="16"/>
          <w:lang w:val="es-MX"/>
        </w:rPr>
        <w:t>Huilca</w:t>
      </w:r>
      <w:proofErr w:type="spellEnd"/>
      <w:r w:rsidRPr="00CF137F">
        <w:rPr>
          <w:rFonts w:ascii="Verdana" w:eastAsia="Times New Roman" w:hAnsi="Verdana" w:cs="Times New Roman"/>
          <w:bCs/>
          <w:i/>
          <w:color w:val="000000"/>
          <w:sz w:val="16"/>
          <w:szCs w:val="16"/>
          <w:lang w:val="es-MX"/>
        </w:rPr>
        <w:t xml:space="preserve"> </w:t>
      </w:r>
      <w:proofErr w:type="spellStart"/>
      <w:r w:rsidRPr="00CF137F">
        <w:rPr>
          <w:rFonts w:ascii="Verdana" w:eastAsia="Times New Roman" w:hAnsi="Verdana" w:cs="Times New Roman"/>
          <w:bCs/>
          <w:i/>
          <w:color w:val="000000"/>
          <w:sz w:val="16"/>
          <w:szCs w:val="16"/>
          <w:lang w:val="es-MX"/>
        </w:rPr>
        <w:t>Tecse</w:t>
      </w:r>
      <w:proofErr w:type="spellEnd"/>
      <w:r w:rsidRPr="00CF137F">
        <w:rPr>
          <w:rFonts w:ascii="Verdana" w:eastAsia="Times New Roman" w:hAnsi="Verdana" w:cs="Times New Roman"/>
          <w:bCs/>
          <w:i/>
          <w:color w:val="000000"/>
          <w:sz w:val="16"/>
          <w:szCs w:val="16"/>
          <w:lang w:val="es-MX"/>
        </w:rPr>
        <w:t xml:space="preserve"> Vs. Perú. Fondo, Reparaciones y Costas</w:t>
      </w:r>
      <w:r w:rsidRPr="00CF137F">
        <w:rPr>
          <w:rFonts w:ascii="Verdana" w:eastAsia="Times New Roman" w:hAnsi="Verdana" w:cs="Times New Roman"/>
          <w:bCs/>
          <w:color w:val="000000"/>
          <w:sz w:val="16"/>
          <w:szCs w:val="16"/>
          <w:lang w:val="es-MX"/>
        </w:rPr>
        <w:t>. Sentencia de 3 de marzo de 2005. Serie C No. 121.</w:t>
      </w:r>
    </w:p>
    <w:p w14:paraId="09265A2A" w14:textId="77777777" w:rsidR="008F53FE" w:rsidRPr="00CF137F" w:rsidRDefault="008F53FE" w:rsidP="000B0BD3">
      <w:pPr>
        <w:jc w:val="both"/>
        <w:rPr>
          <w:rFonts w:ascii="Verdana" w:hAnsi="Verdana"/>
          <w:sz w:val="16"/>
          <w:szCs w:val="16"/>
          <w:lang w:val="es-MX"/>
        </w:rPr>
      </w:pPr>
    </w:p>
  </w:footnote>
  <w:footnote w:id="38">
    <w:p w14:paraId="518B3CAD" w14:textId="22BDA99D" w:rsidR="008F53FE" w:rsidRPr="00CF137F" w:rsidRDefault="008F53FE" w:rsidP="000B0BD3">
      <w:pPr>
        <w:jc w:val="both"/>
        <w:rPr>
          <w:rFonts w:ascii="Verdana" w:hAnsi="Verdana"/>
          <w:bCs/>
          <w:color w:val="000000"/>
          <w:sz w:val="16"/>
          <w:szCs w:val="16"/>
          <w:lang w:val="es-MX"/>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eastAsia="Times New Roman" w:hAnsi="Verdana" w:cs="Times New Roman"/>
          <w:bCs/>
          <w:i/>
          <w:color w:val="000000"/>
          <w:sz w:val="16"/>
          <w:szCs w:val="16"/>
          <w:lang w:val="es-MX"/>
        </w:rPr>
        <w:t xml:space="preserve">Caso Cantoral </w:t>
      </w:r>
      <w:proofErr w:type="spellStart"/>
      <w:r w:rsidRPr="00CF137F">
        <w:rPr>
          <w:rFonts w:ascii="Verdana" w:eastAsia="Times New Roman" w:hAnsi="Verdana" w:cs="Times New Roman"/>
          <w:bCs/>
          <w:i/>
          <w:color w:val="000000"/>
          <w:sz w:val="16"/>
          <w:szCs w:val="16"/>
          <w:lang w:val="es-MX"/>
        </w:rPr>
        <w:t>Huamaní</w:t>
      </w:r>
      <w:proofErr w:type="spellEnd"/>
      <w:r w:rsidRPr="00CF137F">
        <w:rPr>
          <w:rFonts w:ascii="Verdana" w:eastAsia="Times New Roman" w:hAnsi="Verdana" w:cs="Times New Roman"/>
          <w:bCs/>
          <w:i/>
          <w:color w:val="000000"/>
          <w:sz w:val="16"/>
          <w:szCs w:val="16"/>
          <w:lang w:val="es-MX"/>
        </w:rPr>
        <w:t xml:space="preserve"> y García Santa Cruz Vs. Perú. Excepción Preliminar, Fondo, Reparaciones y Costas</w:t>
      </w:r>
      <w:r w:rsidRPr="00CF137F">
        <w:rPr>
          <w:rFonts w:ascii="Verdana" w:eastAsia="Times New Roman" w:hAnsi="Verdana" w:cs="Times New Roman"/>
          <w:bCs/>
          <w:color w:val="000000"/>
          <w:sz w:val="16"/>
          <w:szCs w:val="16"/>
          <w:lang w:val="es-MX"/>
        </w:rPr>
        <w:t>. Sentencia de 10 de julio de 2007. Serie C No. 167.</w:t>
      </w:r>
    </w:p>
    <w:p w14:paraId="6120BA09" w14:textId="77777777" w:rsidR="008F53FE" w:rsidRPr="00CF137F" w:rsidRDefault="008F53FE" w:rsidP="000B0BD3">
      <w:pPr>
        <w:jc w:val="both"/>
        <w:rPr>
          <w:rFonts w:ascii="Verdana" w:hAnsi="Verdana"/>
          <w:sz w:val="16"/>
          <w:szCs w:val="16"/>
          <w:lang w:val="es-MX"/>
        </w:rPr>
      </w:pPr>
    </w:p>
  </w:footnote>
  <w:footnote w:id="39">
    <w:p w14:paraId="69056FD0" w14:textId="71E4C729" w:rsidR="008F53FE" w:rsidRPr="00CF137F" w:rsidRDefault="008F53FE" w:rsidP="000B0BD3">
      <w:pPr>
        <w:pStyle w:val="FootnoteText"/>
        <w:spacing w:after="120"/>
        <w:jc w:val="both"/>
        <w:rPr>
          <w:rFonts w:eastAsiaTheme="minorEastAsia"/>
          <w:bCs/>
          <w:sz w:val="16"/>
          <w:szCs w:val="16"/>
          <w:lang w:val="es-ES_tradnl" w:eastAsia="ja-JP"/>
        </w:rPr>
      </w:pPr>
      <w:r w:rsidRPr="00CF137F">
        <w:rPr>
          <w:rStyle w:val="FootnoteReference"/>
          <w:sz w:val="16"/>
          <w:szCs w:val="16"/>
          <w:lang w:val="es-ES_tradnl"/>
        </w:rPr>
        <w:footnoteRef/>
      </w:r>
      <w:r w:rsidRPr="00CF137F">
        <w:rPr>
          <w:sz w:val="16"/>
          <w:szCs w:val="16"/>
          <w:vertAlign w:val="superscript"/>
          <w:lang w:val="es-ES_tradnl"/>
        </w:rPr>
        <w:t xml:space="preserve"> </w:t>
      </w:r>
      <w:r w:rsidRPr="00CF137F">
        <w:rPr>
          <w:sz w:val="16"/>
          <w:szCs w:val="16"/>
          <w:lang w:val="es-ES_tradnl"/>
        </w:rPr>
        <w:tab/>
      </w:r>
      <w:r w:rsidRPr="00CF137F">
        <w:rPr>
          <w:rFonts w:eastAsiaTheme="minorEastAsia"/>
          <w:bCs/>
          <w:i/>
          <w:sz w:val="16"/>
          <w:szCs w:val="16"/>
          <w:lang w:val="es-ES_tradnl" w:eastAsia="ja-JP"/>
        </w:rPr>
        <w:t>Caso Baena Ricardo y otros Vs. Panamá</w:t>
      </w:r>
      <w:r>
        <w:rPr>
          <w:rFonts w:eastAsiaTheme="minorEastAsia"/>
          <w:bCs/>
          <w:i/>
          <w:sz w:val="16"/>
          <w:szCs w:val="16"/>
          <w:lang w:val="es-ES_tradnl" w:eastAsia="ja-JP"/>
        </w:rPr>
        <w:t xml:space="preserve">, supra, </w:t>
      </w:r>
      <w:r w:rsidRPr="00CF137F">
        <w:rPr>
          <w:rFonts w:eastAsiaTheme="minorEastAsia"/>
          <w:bCs/>
          <w:sz w:val="16"/>
          <w:szCs w:val="16"/>
          <w:lang w:val="es-ES_tradnl" w:eastAsia="ja-JP"/>
        </w:rPr>
        <w:t xml:space="preserve">párr. 156. </w:t>
      </w:r>
    </w:p>
  </w:footnote>
  <w:footnote w:id="40">
    <w:p w14:paraId="5D493A9D" w14:textId="7529FD05" w:rsidR="008F53FE" w:rsidRPr="00CF137F" w:rsidRDefault="008F53FE" w:rsidP="000B0BD3">
      <w:pPr>
        <w:pStyle w:val="FootnoteText"/>
        <w:spacing w:after="120"/>
        <w:jc w:val="both"/>
        <w:rPr>
          <w:rFonts w:eastAsiaTheme="minorEastAsia"/>
          <w:bCs/>
          <w:sz w:val="16"/>
          <w:szCs w:val="16"/>
          <w:lang w:val="es-ES_tradnl" w:eastAsia="ja-JP"/>
        </w:rPr>
      </w:pPr>
      <w:r w:rsidRPr="00CF137F">
        <w:rPr>
          <w:rStyle w:val="FootnoteReference"/>
          <w:sz w:val="16"/>
          <w:szCs w:val="16"/>
          <w:lang w:val="es-ES_tradnl"/>
        </w:rPr>
        <w:footnoteRef/>
      </w:r>
      <w:r w:rsidRPr="00CF137F">
        <w:rPr>
          <w:sz w:val="16"/>
          <w:szCs w:val="16"/>
          <w:vertAlign w:val="superscript"/>
          <w:lang w:val="es-ES_tradnl"/>
        </w:rPr>
        <w:t xml:space="preserve"> </w:t>
      </w:r>
      <w:r w:rsidRPr="00CF137F">
        <w:rPr>
          <w:sz w:val="16"/>
          <w:szCs w:val="16"/>
          <w:lang w:val="es-ES_tradnl"/>
        </w:rPr>
        <w:tab/>
      </w:r>
      <w:r w:rsidRPr="00CF137F">
        <w:rPr>
          <w:rFonts w:eastAsiaTheme="minorEastAsia"/>
          <w:bCs/>
          <w:i/>
          <w:sz w:val="16"/>
          <w:szCs w:val="16"/>
          <w:lang w:val="es-ES_tradnl" w:eastAsia="ja-JP"/>
        </w:rPr>
        <w:t>Caso Baena Ricardo y otros Vs. Panamá</w:t>
      </w:r>
      <w:r>
        <w:rPr>
          <w:rFonts w:eastAsiaTheme="minorEastAsia"/>
          <w:bCs/>
          <w:i/>
          <w:sz w:val="16"/>
          <w:szCs w:val="16"/>
          <w:lang w:val="es-ES_tradnl" w:eastAsia="ja-JP"/>
        </w:rPr>
        <w:t xml:space="preserve">, supra, </w:t>
      </w:r>
      <w:r w:rsidRPr="00CF137F">
        <w:rPr>
          <w:rFonts w:eastAsiaTheme="minorEastAsia"/>
          <w:bCs/>
          <w:sz w:val="16"/>
          <w:szCs w:val="16"/>
          <w:lang w:val="es-ES_tradnl" w:eastAsia="ja-JP"/>
        </w:rPr>
        <w:t xml:space="preserve">párr. 157 y </w:t>
      </w:r>
      <w:r w:rsidRPr="00CF137F">
        <w:rPr>
          <w:rFonts w:eastAsiaTheme="minorEastAsia"/>
          <w:bCs/>
          <w:i/>
          <w:sz w:val="16"/>
          <w:szCs w:val="16"/>
          <w:lang w:val="es-ES_tradnl" w:eastAsia="ja-JP"/>
        </w:rPr>
        <w:t>Caso Huilca Tecse Vs. Perú</w:t>
      </w:r>
      <w:r>
        <w:rPr>
          <w:rFonts w:eastAsiaTheme="minorEastAsia"/>
          <w:bCs/>
          <w:i/>
          <w:sz w:val="16"/>
          <w:szCs w:val="16"/>
          <w:lang w:val="es-ES_tradnl" w:eastAsia="ja-JP"/>
        </w:rPr>
        <w:t>, supra</w:t>
      </w:r>
      <w:r w:rsidRPr="00CF137F">
        <w:rPr>
          <w:rFonts w:eastAsiaTheme="minorEastAsia"/>
          <w:bCs/>
          <w:sz w:val="16"/>
          <w:szCs w:val="16"/>
          <w:lang w:val="es-ES_tradnl" w:eastAsia="ja-JP"/>
        </w:rPr>
        <w:t>, párr. 73.</w:t>
      </w:r>
    </w:p>
  </w:footnote>
  <w:footnote w:id="41">
    <w:p w14:paraId="5D5A8741" w14:textId="2A9B0269" w:rsidR="008F53FE" w:rsidRPr="00CF137F" w:rsidRDefault="008F53FE" w:rsidP="000B0BD3">
      <w:pPr>
        <w:pStyle w:val="FootnoteText"/>
        <w:spacing w:after="120"/>
        <w:jc w:val="both"/>
        <w:rPr>
          <w:rFonts w:eastAsiaTheme="minorEastAsia"/>
          <w:bCs/>
          <w:sz w:val="16"/>
          <w:szCs w:val="16"/>
          <w:lang w:val="es-ES_tradnl" w:eastAsia="ja-JP"/>
        </w:rPr>
      </w:pPr>
      <w:r w:rsidRPr="00CF137F">
        <w:rPr>
          <w:rStyle w:val="FootnoteReference"/>
          <w:sz w:val="16"/>
          <w:szCs w:val="16"/>
          <w:lang w:val="es-ES_tradnl"/>
        </w:rPr>
        <w:footnoteRef/>
      </w:r>
      <w:r w:rsidRPr="00CF137F">
        <w:rPr>
          <w:sz w:val="16"/>
          <w:szCs w:val="16"/>
          <w:vertAlign w:val="superscript"/>
          <w:lang w:val="es-ES_tradnl"/>
        </w:rPr>
        <w:t xml:space="preserve"> </w:t>
      </w:r>
      <w:r w:rsidRPr="00CF137F">
        <w:rPr>
          <w:sz w:val="16"/>
          <w:szCs w:val="16"/>
          <w:lang w:val="es-ES_tradnl"/>
        </w:rPr>
        <w:tab/>
        <w:t xml:space="preserve">Además, la Corte en ese mismo caso, consideró que la Convención Americana es muy clara al señalar, en el articulo 16, que la libertad de asociación sólo puede estar sujeta a restricciones previstas por la ley, que sean necesarias en una sociedad democrática y, que se establezcan en interés de la seguridad nacional, del orden público, de la salud o de la moral públicas o de los derechos o libertades de los demás. </w:t>
      </w:r>
      <w:r w:rsidRPr="00CF137F">
        <w:rPr>
          <w:rFonts w:eastAsiaTheme="minorEastAsia"/>
          <w:bCs/>
          <w:i/>
          <w:sz w:val="16"/>
          <w:szCs w:val="16"/>
          <w:lang w:val="es-ES_tradnl" w:eastAsia="ja-JP"/>
        </w:rPr>
        <w:t>Caso Baena Ricardo y otros Vs. Panamá</w:t>
      </w:r>
      <w:r>
        <w:rPr>
          <w:rFonts w:eastAsiaTheme="minorEastAsia"/>
          <w:bCs/>
          <w:i/>
          <w:sz w:val="16"/>
          <w:szCs w:val="16"/>
          <w:lang w:val="es-ES_tradnl" w:eastAsia="ja-JP"/>
        </w:rPr>
        <w:t>, supra</w:t>
      </w:r>
      <w:r w:rsidRPr="00CF137F">
        <w:rPr>
          <w:rFonts w:eastAsiaTheme="minorEastAsia"/>
          <w:bCs/>
          <w:sz w:val="16"/>
          <w:szCs w:val="16"/>
          <w:lang w:val="es-ES_tradnl" w:eastAsia="ja-JP"/>
        </w:rPr>
        <w:t xml:space="preserve">, párr. 168. </w:t>
      </w:r>
    </w:p>
  </w:footnote>
  <w:footnote w:id="42">
    <w:p w14:paraId="7503A9DE" w14:textId="14826C7D" w:rsidR="008F53FE" w:rsidRPr="00CF137F" w:rsidRDefault="008F53FE" w:rsidP="000B0BD3">
      <w:pPr>
        <w:pStyle w:val="FootnoteText"/>
        <w:spacing w:after="120"/>
        <w:jc w:val="both"/>
        <w:rPr>
          <w:rFonts w:eastAsiaTheme="minorEastAsia"/>
          <w:bCs/>
          <w:sz w:val="16"/>
          <w:szCs w:val="16"/>
          <w:lang w:val="es-ES_tradnl" w:eastAsia="ja-JP"/>
        </w:rPr>
      </w:pPr>
      <w:r w:rsidRPr="00CF137F">
        <w:rPr>
          <w:rStyle w:val="FootnoteReference"/>
          <w:sz w:val="16"/>
          <w:szCs w:val="16"/>
          <w:lang w:val="es-ES_tradnl"/>
        </w:rPr>
        <w:footnoteRef/>
      </w:r>
      <w:r w:rsidRPr="00CF137F">
        <w:rPr>
          <w:sz w:val="16"/>
          <w:szCs w:val="16"/>
          <w:vertAlign w:val="superscript"/>
          <w:lang w:val="es-ES_tradnl"/>
        </w:rPr>
        <w:t xml:space="preserve"> </w:t>
      </w:r>
      <w:r w:rsidRPr="00CF137F">
        <w:rPr>
          <w:sz w:val="16"/>
          <w:szCs w:val="16"/>
          <w:lang w:val="es-ES_tradnl"/>
        </w:rPr>
        <w:tab/>
      </w:r>
      <w:r w:rsidRPr="00CF137F">
        <w:rPr>
          <w:rFonts w:eastAsiaTheme="minorEastAsia"/>
          <w:bCs/>
          <w:i/>
          <w:sz w:val="16"/>
          <w:szCs w:val="16"/>
          <w:lang w:val="es-ES_tradnl" w:eastAsia="ja-JP"/>
        </w:rPr>
        <w:t>Caso Baena Ricardo y otros Vs. Panamá</w:t>
      </w:r>
      <w:r>
        <w:rPr>
          <w:rFonts w:eastAsiaTheme="minorEastAsia"/>
          <w:bCs/>
          <w:i/>
          <w:sz w:val="16"/>
          <w:szCs w:val="16"/>
          <w:lang w:val="es-ES_tradnl" w:eastAsia="ja-JP"/>
        </w:rPr>
        <w:t xml:space="preserve">, supra, </w:t>
      </w:r>
      <w:r w:rsidRPr="00CF137F">
        <w:rPr>
          <w:rFonts w:eastAsiaTheme="minorEastAsia"/>
          <w:bCs/>
          <w:sz w:val="16"/>
          <w:szCs w:val="16"/>
          <w:lang w:val="es-ES_tradnl" w:eastAsia="ja-JP"/>
        </w:rPr>
        <w:t>párr. 158.</w:t>
      </w:r>
    </w:p>
  </w:footnote>
  <w:footnote w:id="43">
    <w:p w14:paraId="2898A103" w14:textId="68C03C41" w:rsidR="008F53FE" w:rsidRPr="00CF137F" w:rsidRDefault="008F53FE" w:rsidP="000B0BD3">
      <w:pPr>
        <w:pStyle w:val="FootnoteText"/>
        <w:spacing w:after="120"/>
        <w:jc w:val="both"/>
        <w:rPr>
          <w:rFonts w:eastAsiaTheme="minorEastAsia"/>
          <w:bCs/>
          <w:sz w:val="16"/>
          <w:szCs w:val="16"/>
          <w:lang w:val="es-ES_tradnl" w:eastAsia="ja-JP"/>
        </w:rPr>
      </w:pPr>
      <w:r w:rsidRPr="00CF137F">
        <w:rPr>
          <w:rStyle w:val="FootnoteReference"/>
          <w:sz w:val="16"/>
          <w:szCs w:val="16"/>
          <w:lang w:val="es-ES_tradnl"/>
        </w:rPr>
        <w:footnoteRef/>
      </w:r>
      <w:r w:rsidRPr="00CF137F">
        <w:rPr>
          <w:sz w:val="16"/>
          <w:szCs w:val="16"/>
          <w:vertAlign w:val="superscript"/>
          <w:lang w:val="es-ES_tradnl"/>
        </w:rPr>
        <w:t xml:space="preserve"> </w:t>
      </w:r>
      <w:r w:rsidRPr="00CF137F">
        <w:rPr>
          <w:sz w:val="16"/>
          <w:szCs w:val="16"/>
          <w:lang w:val="es-ES_tradnl"/>
        </w:rPr>
        <w:tab/>
      </w:r>
      <w:r w:rsidRPr="00CF137F">
        <w:rPr>
          <w:rFonts w:eastAsiaTheme="minorEastAsia"/>
          <w:bCs/>
          <w:i/>
          <w:sz w:val="16"/>
          <w:szCs w:val="16"/>
          <w:lang w:val="es-ES_tradnl" w:eastAsia="ja-JP"/>
        </w:rPr>
        <w:t>Caso Huilca Tecse Vs. Perú</w:t>
      </w:r>
      <w:r>
        <w:rPr>
          <w:rFonts w:eastAsiaTheme="minorEastAsia"/>
          <w:bCs/>
          <w:i/>
          <w:sz w:val="16"/>
          <w:szCs w:val="16"/>
          <w:lang w:val="es-ES_tradnl" w:eastAsia="ja-JP"/>
        </w:rPr>
        <w:t xml:space="preserve">, supra, </w:t>
      </w:r>
      <w:r w:rsidRPr="00CF137F">
        <w:rPr>
          <w:rFonts w:eastAsiaTheme="minorEastAsia"/>
          <w:bCs/>
          <w:sz w:val="16"/>
          <w:szCs w:val="16"/>
          <w:lang w:val="es-ES_tradnl" w:eastAsia="ja-JP"/>
        </w:rPr>
        <w:t xml:space="preserve">párr. 67. </w:t>
      </w:r>
    </w:p>
  </w:footnote>
  <w:footnote w:id="44">
    <w:p w14:paraId="0265B135" w14:textId="0B141295" w:rsidR="008F53FE" w:rsidRPr="00CF137F" w:rsidRDefault="008F53FE" w:rsidP="000B0BD3">
      <w:pPr>
        <w:pStyle w:val="NormalWeb"/>
        <w:spacing w:before="0" w:beforeAutospacing="0" w:after="120" w:afterAutospacing="0"/>
        <w:jc w:val="both"/>
        <w:rPr>
          <w:rFonts w:ascii="Verdana" w:hAnsi="Verdana"/>
          <w:sz w:val="16"/>
          <w:szCs w:val="16"/>
          <w:lang w:val="es-ES_tradnl"/>
        </w:rPr>
      </w:pPr>
      <w:r w:rsidRPr="00CF137F">
        <w:rPr>
          <w:rStyle w:val="FootnoteReference"/>
          <w:rFonts w:ascii="Verdana" w:hAnsi="Verdana"/>
          <w:sz w:val="16"/>
          <w:szCs w:val="16"/>
          <w:lang w:val="es-ES_tradnl"/>
        </w:rPr>
        <w:footnoteRef/>
      </w:r>
      <w:r w:rsidRPr="00CF137F">
        <w:rPr>
          <w:rFonts w:ascii="Verdana" w:hAnsi="Verdana"/>
          <w:sz w:val="16"/>
          <w:szCs w:val="16"/>
          <w:vertAlign w:val="superscript"/>
          <w:lang w:val="es-ES_tradnl"/>
        </w:rPr>
        <w:t xml:space="preserve"> </w:t>
      </w:r>
      <w:r w:rsidRPr="00CF137F">
        <w:rPr>
          <w:rFonts w:ascii="Verdana" w:hAnsi="Verdana"/>
          <w:sz w:val="16"/>
          <w:szCs w:val="16"/>
          <w:vertAlign w:val="superscript"/>
          <w:lang w:val="es-ES_tradnl"/>
        </w:rPr>
        <w:tab/>
      </w:r>
      <w:r w:rsidRPr="00CF137F">
        <w:rPr>
          <w:rFonts w:ascii="Verdana" w:hAnsi="Verdana"/>
          <w:bCs/>
          <w:i/>
          <w:sz w:val="16"/>
          <w:szCs w:val="16"/>
          <w:lang w:val="es-ES_tradnl" w:eastAsia="ja-JP"/>
        </w:rPr>
        <w:t>Caso Huilca Tecse Vs. Perú</w:t>
      </w:r>
      <w:r>
        <w:rPr>
          <w:rFonts w:ascii="Verdana" w:hAnsi="Verdana"/>
          <w:bCs/>
          <w:i/>
          <w:sz w:val="16"/>
          <w:szCs w:val="16"/>
          <w:lang w:val="es-ES_tradnl" w:eastAsia="ja-JP"/>
        </w:rPr>
        <w:t>,</w:t>
      </w:r>
      <w:r w:rsidRPr="00CF137F">
        <w:rPr>
          <w:rFonts w:ascii="Verdana" w:hAnsi="Verdana"/>
          <w:bCs/>
          <w:i/>
          <w:sz w:val="16"/>
          <w:szCs w:val="16"/>
          <w:lang w:val="es-ES_tradnl" w:eastAsia="ja-JP"/>
        </w:rPr>
        <w:t xml:space="preserve"> </w:t>
      </w:r>
      <w:r>
        <w:rPr>
          <w:rFonts w:ascii="Verdana" w:hAnsi="Verdana"/>
          <w:bCs/>
          <w:i/>
          <w:sz w:val="16"/>
          <w:szCs w:val="16"/>
          <w:lang w:val="es-ES_tradnl" w:eastAsia="ja-JP"/>
        </w:rPr>
        <w:t xml:space="preserve">supra, </w:t>
      </w:r>
      <w:r w:rsidRPr="00CF137F">
        <w:rPr>
          <w:rFonts w:ascii="Verdana" w:hAnsi="Verdana"/>
          <w:bCs/>
          <w:sz w:val="16"/>
          <w:szCs w:val="16"/>
          <w:lang w:val="es-ES_tradnl" w:eastAsia="ja-JP"/>
        </w:rPr>
        <w:t xml:space="preserve">párr. 69. </w:t>
      </w:r>
    </w:p>
  </w:footnote>
  <w:footnote w:id="45">
    <w:p w14:paraId="124BEBD0" w14:textId="5270C59E" w:rsidR="008F53FE" w:rsidRPr="00CF137F" w:rsidRDefault="008F53FE" w:rsidP="000B0BD3">
      <w:pPr>
        <w:pStyle w:val="FootnoteText"/>
        <w:spacing w:after="120"/>
        <w:jc w:val="both"/>
        <w:rPr>
          <w:rFonts w:eastAsiaTheme="minorEastAsia"/>
          <w:bCs/>
          <w:sz w:val="16"/>
          <w:szCs w:val="16"/>
          <w:lang w:val="es-ES_tradnl" w:eastAsia="ja-JP"/>
        </w:rPr>
      </w:pPr>
      <w:r w:rsidRPr="00CF137F">
        <w:rPr>
          <w:rStyle w:val="FootnoteReference"/>
          <w:sz w:val="16"/>
          <w:szCs w:val="16"/>
          <w:lang w:val="es-ES_tradnl"/>
        </w:rPr>
        <w:footnoteRef/>
      </w:r>
      <w:r w:rsidRPr="00CF137F">
        <w:rPr>
          <w:sz w:val="16"/>
          <w:szCs w:val="16"/>
          <w:vertAlign w:val="superscript"/>
          <w:lang w:val="es-ES_tradnl"/>
        </w:rPr>
        <w:t xml:space="preserve"> </w:t>
      </w:r>
      <w:r w:rsidRPr="00CF137F">
        <w:rPr>
          <w:sz w:val="16"/>
          <w:szCs w:val="16"/>
          <w:lang w:val="es-ES_tradnl"/>
        </w:rPr>
        <w:tab/>
      </w:r>
      <w:r w:rsidRPr="00CF137F">
        <w:rPr>
          <w:rFonts w:eastAsiaTheme="minorEastAsia"/>
          <w:bCs/>
          <w:i/>
          <w:sz w:val="16"/>
          <w:szCs w:val="16"/>
          <w:lang w:val="es-ES_tradnl" w:eastAsia="ja-JP"/>
        </w:rPr>
        <w:t>Caso Huilca Tecse Vs. Perú</w:t>
      </w:r>
      <w:r>
        <w:rPr>
          <w:rFonts w:eastAsiaTheme="minorEastAsia"/>
          <w:bCs/>
          <w:i/>
          <w:sz w:val="16"/>
          <w:szCs w:val="16"/>
          <w:lang w:val="es-ES_tradnl" w:eastAsia="ja-JP"/>
        </w:rPr>
        <w:t xml:space="preserve">, supra, </w:t>
      </w:r>
      <w:r w:rsidRPr="00CF137F">
        <w:rPr>
          <w:rFonts w:eastAsiaTheme="minorEastAsia"/>
          <w:bCs/>
          <w:sz w:val="16"/>
          <w:szCs w:val="16"/>
          <w:lang w:val="es-ES_tradnl" w:eastAsia="ja-JP"/>
        </w:rPr>
        <w:t>párr</w:t>
      </w:r>
      <w:r>
        <w:rPr>
          <w:rFonts w:eastAsiaTheme="minorEastAsia"/>
          <w:bCs/>
          <w:sz w:val="16"/>
          <w:szCs w:val="16"/>
          <w:lang w:val="es-ES_tradnl" w:eastAsia="ja-JP"/>
        </w:rPr>
        <w:t>s</w:t>
      </w:r>
      <w:r w:rsidRPr="00CF137F">
        <w:rPr>
          <w:rFonts w:eastAsiaTheme="minorEastAsia"/>
          <w:bCs/>
          <w:sz w:val="16"/>
          <w:szCs w:val="16"/>
          <w:lang w:val="es-ES_tradnl" w:eastAsia="ja-JP"/>
        </w:rPr>
        <w:t xml:space="preserve">. </w:t>
      </w:r>
      <w:r>
        <w:rPr>
          <w:rFonts w:eastAsiaTheme="minorEastAsia"/>
          <w:bCs/>
          <w:sz w:val="16"/>
          <w:szCs w:val="16"/>
          <w:lang w:val="es-ES_tradnl" w:eastAsia="ja-JP"/>
        </w:rPr>
        <w:t>70, 71 y 72.</w:t>
      </w:r>
    </w:p>
  </w:footnote>
  <w:footnote w:id="46">
    <w:p w14:paraId="05A24ED4" w14:textId="39FC8F60" w:rsidR="008F53FE" w:rsidRPr="00CF137F" w:rsidRDefault="008F53FE" w:rsidP="000B0BD3">
      <w:pPr>
        <w:pStyle w:val="FootnoteText"/>
        <w:spacing w:after="120"/>
        <w:jc w:val="both"/>
        <w:rPr>
          <w:rFonts w:eastAsiaTheme="minorEastAsia"/>
          <w:bCs/>
          <w:sz w:val="16"/>
          <w:szCs w:val="16"/>
          <w:lang w:val="es-ES_tradnl" w:eastAsia="ja-JP"/>
        </w:rPr>
      </w:pPr>
      <w:r w:rsidRPr="00CF137F">
        <w:rPr>
          <w:rStyle w:val="FootnoteReference"/>
          <w:sz w:val="16"/>
          <w:szCs w:val="16"/>
          <w:lang w:val="es-ES_tradnl"/>
        </w:rPr>
        <w:footnoteRef/>
      </w:r>
      <w:r w:rsidRPr="00CF137F">
        <w:rPr>
          <w:sz w:val="16"/>
          <w:szCs w:val="16"/>
          <w:vertAlign w:val="superscript"/>
          <w:lang w:val="es-ES_tradnl"/>
        </w:rPr>
        <w:t xml:space="preserve"> </w:t>
      </w:r>
      <w:r w:rsidRPr="00CF137F">
        <w:rPr>
          <w:sz w:val="16"/>
          <w:szCs w:val="16"/>
          <w:lang w:val="es-ES_tradnl"/>
        </w:rPr>
        <w:tab/>
      </w:r>
      <w:r w:rsidRPr="00CF137F">
        <w:rPr>
          <w:rFonts w:eastAsiaTheme="minorEastAsia"/>
          <w:bCs/>
          <w:i/>
          <w:sz w:val="16"/>
          <w:szCs w:val="16"/>
          <w:lang w:val="es-ES_tradnl" w:eastAsia="ja-JP"/>
        </w:rPr>
        <w:t>Caso Huilca Tecse Vs. Perú</w:t>
      </w:r>
      <w:r>
        <w:rPr>
          <w:rFonts w:eastAsiaTheme="minorEastAsia"/>
          <w:bCs/>
          <w:i/>
          <w:sz w:val="16"/>
          <w:szCs w:val="16"/>
          <w:lang w:val="es-ES_tradnl" w:eastAsia="ja-JP"/>
        </w:rPr>
        <w:t>, supra, párr.</w:t>
      </w:r>
      <w:r w:rsidR="00320A04">
        <w:rPr>
          <w:rFonts w:eastAsiaTheme="minorEastAsia"/>
          <w:bCs/>
          <w:i/>
          <w:sz w:val="16"/>
          <w:szCs w:val="16"/>
          <w:lang w:val="es-ES_tradnl" w:eastAsia="ja-JP"/>
        </w:rPr>
        <w:t xml:space="preserve"> </w:t>
      </w:r>
      <w:r>
        <w:rPr>
          <w:rFonts w:eastAsiaTheme="minorEastAsia"/>
          <w:bCs/>
          <w:i/>
          <w:sz w:val="16"/>
          <w:szCs w:val="16"/>
          <w:lang w:val="es-ES_tradnl" w:eastAsia="ja-JP"/>
        </w:rPr>
        <w:t>74.</w:t>
      </w:r>
      <w:r w:rsidRPr="00CF137F">
        <w:rPr>
          <w:rFonts w:eastAsiaTheme="minorEastAsia"/>
          <w:bCs/>
          <w:sz w:val="16"/>
          <w:szCs w:val="16"/>
          <w:lang w:val="es-ES_tradnl" w:eastAsia="ja-JP"/>
        </w:rPr>
        <w:t xml:space="preserve"> </w:t>
      </w:r>
    </w:p>
  </w:footnote>
  <w:footnote w:id="47">
    <w:p w14:paraId="3EB6D157" w14:textId="48A5D915" w:rsidR="008F53FE" w:rsidRPr="00CF137F" w:rsidRDefault="008F53FE" w:rsidP="000B0BD3">
      <w:pPr>
        <w:pStyle w:val="FootnoteText"/>
        <w:spacing w:after="120"/>
        <w:jc w:val="both"/>
        <w:rPr>
          <w:rFonts w:eastAsiaTheme="minorEastAsia"/>
          <w:bCs/>
          <w:sz w:val="16"/>
          <w:szCs w:val="16"/>
          <w:lang w:val="es-ES_tradnl" w:eastAsia="ja-JP"/>
        </w:rPr>
      </w:pPr>
      <w:r w:rsidRPr="00CF137F">
        <w:rPr>
          <w:rStyle w:val="FootnoteReference"/>
          <w:sz w:val="16"/>
          <w:szCs w:val="16"/>
          <w:lang w:val="es-ES_tradnl"/>
        </w:rPr>
        <w:footnoteRef/>
      </w:r>
      <w:r w:rsidRPr="00CF137F">
        <w:rPr>
          <w:sz w:val="16"/>
          <w:szCs w:val="16"/>
          <w:vertAlign w:val="superscript"/>
          <w:lang w:val="es-ES_tradnl"/>
        </w:rPr>
        <w:t xml:space="preserve"> </w:t>
      </w:r>
      <w:r w:rsidRPr="00CF137F">
        <w:rPr>
          <w:sz w:val="16"/>
          <w:szCs w:val="16"/>
          <w:lang w:val="es-ES_tradnl"/>
        </w:rPr>
        <w:tab/>
      </w:r>
      <w:r w:rsidRPr="00CF137F">
        <w:rPr>
          <w:rFonts w:eastAsiaTheme="minorEastAsia"/>
          <w:bCs/>
          <w:i/>
          <w:sz w:val="16"/>
          <w:szCs w:val="16"/>
          <w:lang w:val="es-ES_tradnl" w:eastAsia="ja-JP"/>
        </w:rPr>
        <w:t>Caso Cantoral Huamaní y García Santa Cruz Vs. Perú</w:t>
      </w:r>
      <w:r>
        <w:rPr>
          <w:rFonts w:eastAsiaTheme="minorEastAsia"/>
          <w:bCs/>
          <w:i/>
          <w:sz w:val="16"/>
          <w:szCs w:val="16"/>
          <w:lang w:val="es-ES_tradnl" w:eastAsia="ja-JP"/>
        </w:rPr>
        <w:t xml:space="preserve">, supra, </w:t>
      </w:r>
      <w:r w:rsidRPr="00CF137F">
        <w:rPr>
          <w:rFonts w:eastAsiaTheme="minorEastAsia"/>
          <w:bCs/>
          <w:sz w:val="16"/>
          <w:szCs w:val="16"/>
          <w:lang w:val="es-ES_tradnl" w:eastAsia="ja-JP"/>
        </w:rPr>
        <w:t xml:space="preserve">párr. 148. </w:t>
      </w:r>
    </w:p>
  </w:footnote>
  <w:footnote w:id="48">
    <w:p w14:paraId="1FFC276A" w14:textId="1B30087F" w:rsidR="008F53FE" w:rsidRPr="00CF137F" w:rsidRDefault="008F53FE" w:rsidP="000B0BD3">
      <w:pPr>
        <w:pStyle w:val="FootnoteText"/>
        <w:spacing w:after="120"/>
        <w:jc w:val="both"/>
        <w:rPr>
          <w:sz w:val="16"/>
          <w:szCs w:val="16"/>
          <w:lang w:val="es-ES_tradnl"/>
        </w:rPr>
      </w:pPr>
      <w:r w:rsidRPr="00CF137F">
        <w:rPr>
          <w:rStyle w:val="FootnoteReference"/>
          <w:sz w:val="16"/>
          <w:szCs w:val="16"/>
          <w:lang w:val="es-ES_tradnl"/>
        </w:rPr>
        <w:footnoteRef/>
      </w:r>
      <w:r w:rsidRPr="00CF137F">
        <w:rPr>
          <w:sz w:val="16"/>
          <w:szCs w:val="16"/>
          <w:vertAlign w:val="superscript"/>
          <w:lang w:val="es-ES_tradnl"/>
        </w:rPr>
        <w:t xml:space="preserve"> </w:t>
      </w:r>
      <w:r w:rsidRPr="00CF137F">
        <w:rPr>
          <w:sz w:val="16"/>
          <w:szCs w:val="16"/>
          <w:lang w:val="es-ES_tradnl"/>
        </w:rPr>
        <w:tab/>
      </w:r>
      <w:r w:rsidRPr="00CF137F">
        <w:rPr>
          <w:rFonts w:eastAsiaTheme="minorEastAsia"/>
          <w:bCs/>
          <w:i/>
          <w:sz w:val="16"/>
          <w:szCs w:val="16"/>
          <w:lang w:val="es-ES_tradnl" w:eastAsia="ja-JP"/>
        </w:rPr>
        <w:t>Caso Cantoral Huamaní y García Santa Cruz Vs. Perú</w:t>
      </w:r>
      <w:r>
        <w:rPr>
          <w:rFonts w:eastAsiaTheme="minorEastAsia"/>
          <w:bCs/>
          <w:i/>
          <w:sz w:val="16"/>
          <w:szCs w:val="16"/>
          <w:lang w:val="es-ES_tradnl" w:eastAsia="ja-JP"/>
        </w:rPr>
        <w:t xml:space="preserve">, supra, </w:t>
      </w:r>
      <w:r w:rsidRPr="00CF137F">
        <w:rPr>
          <w:rFonts w:eastAsiaTheme="minorEastAsia"/>
          <w:bCs/>
          <w:sz w:val="16"/>
          <w:szCs w:val="16"/>
          <w:lang w:val="es-ES_tradnl" w:eastAsia="ja-JP"/>
        </w:rPr>
        <w:t xml:space="preserve">párr. 144. </w:t>
      </w:r>
    </w:p>
  </w:footnote>
  <w:footnote w:id="49">
    <w:p w14:paraId="6EDAB51D" w14:textId="27A93D61"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vertAlign w:val="superscript"/>
          <w:lang w:val="es-MX"/>
        </w:rPr>
        <w:t xml:space="preserve"> </w:t>
      </w:r>
      <w:r w:rsidRPr="00C959C6">
        <w:rPr>
          <w:sz w:val="16"/>
          <w:szCs w:val="16"/>
          <w:lang w:val="es-MX"/>
        </w:rPr>
        <w:tab/>
      </w:r>
      <w:r w:rsidRPr="00CF137F">
        <w:rPr>
          <w:rFonts w:cs="Verdana"/>
          <w:bCs/>
          <w:i/>
          <w:sz w:val="16"/>
          <w:szCs w:val="16"/>
          <w:lang w:val="es-ES"/>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Pr="00CF137F">
        <w:rPr>
          <w:rFonts w:cs="Verdana"/>
          <w:bCs/>
          <w:sz w:val="16"/>
          <w:szCs w:val="16"/>
          <w:lang w:val="es-ES"/>
        </w:rPr>
        <w:t xml:space="preserve">. Opinión Consultiva OC-22/16 de 26 de febrero de 2016. Serie A No. 22, párr. </w:t>
      </w:r>
      <w:r w:rsidRPr="00CF137F">
        <w:rPr>
          <w:sz w:val="16"/>
          <w:szCs w:val="16"/>
          <w:lang w:val="es-ES_tradnl"/>
        </w:rPr>
        <w:t xml:space="preserve">92. </w:t>
      </w:r>
    </w:p>
  </w:footnote>
  <w:footnote w:id="50">
    <w:p w14:paraId="76A80A8A" w14:textId="7DBA960B" w:rsidR="008F53FE" w:rsidRDefault="008F53FE" w:rsidP="004D230F">
      <w:pPr>
        <w:pStyle w:val="FootnoteText"/>
        <w:jc w:val="both"/>
        <w:rPr>
          <w:sz w:val="16"/>
          <w:szCs w:val="16"/>
          <w:lang w:val="es-MX"/>
        </w:rPr>
      </w:pPr>
      <w:r w:rsidRPr="004D230F">
        <w:rPr>
          <w:rStyle w:val="FootnoteReference"/>
          <w:sz w:val="16"/>
          <w:szCs w:val="16"/>
        </w:rPr>
        <w:footnoteRef/>
      </w:r>
      <w:r w:rsidRPr="00BA6F15">
        <w:rPr>
          <w:sz w:val="16"/>
          <w:szCs w:val="16"/>
          <w:lang w:val="es-CR"/>
        </w:rPr>
        <w:t xml:space="preserve"> </w:t>
      </w:r>
      <w:r w:rsidRPr="00BA6F15">
        <w:rPr>
          <w:sz w:val="16"/>
          <w:szCs w:val="16"/>
          <w:lang w:val="es-CR"/>
        </w:rPr>
        <w:tab/>
      </w:r>
      <w:r w:rsidRPr="00BA6F15">
        <w:rPr>
          <w:i/>
          <w:sz w:val="16"/>
          <w:szCs w:val="16"/>
          <w:lang w:val="es-CR"/>
        </w:rPr>
        <w:t>Cfr.</w:t>
      </w:r>
      <w:r w:rsidRPr="00BA6F15">
        <w:rPr>
          <w:sz w:val="16"/>
          <w:szCs w:val="16"/>
          <w:lang w:val="es-CR"/>
        </w:rPr>
        <w:t xml:space="preserve"> </w:t>
      </w:r>
      <w:r w:rsidRPr="00BA6F15">
        <w:rPr>
          <w:i/>
          <w:sz w:val="16"/>
          <w:szCs w:val="16"/>
          <w:lang w:val="es-CR"/>
        </w:rPr>
        <w:t>Caso Lagos del Campo Vs. Perú, supra</w:t>
      </w:r>
      <w:r w:rsidRPr="00C959C6">
        <w:rPr>
          <w:sz w:val="16"/>
          <w:szCs w:val="16"/>
          <w:lang w:val="es-MX"/>
        </w:rPr>
        <w:t>, párr. 162.</w:t>
      </w:r>
    </w:p>
    <w:p w14:paraId="56E0AFF9" w14:textId="77777777" w:rsidR="008F53FE" w:rsidRPr="008F14B6" w:rsidRDefault="008F53FE" w:rsidP="004D230F">
      <w:pPr>
        <w:pStyle w:val="FootnoteText"/>
        <w:jc w:val="both"/>
        <w:rPr>
          <w:sz w:val="16"/>
          <w:szCs w:val="16"/>
          <w:lang w:val="es-ES_tradnl"/>
        </w:rPr>
      </w:pPr>
    </w:p>
  </w:footnote>
  <w:footnote w:id="51">
    <w:p w14:paraId="604F4963" w14:textId="45789F65" w:rsidR="008F53FE" w:rsidRPr="00360566" w:rsidRDefault="008F53FE" w:rsidP="00360566">
      <w:pPr>
        <w:pStyle w:val="FootnoteText"/>
        <w:spacing w:after="120"/>
        <w:jc w:val="both"/>
        <w:rPr>
          <w:sz w:val="16"/>
          <w:szCs w:val="16"/>
          <w:lang w:val="es-ES_tradnl"/>
        </w:rPr>
      </w:pPr>
      <w:r w:rsidRPr="00360566">
        <w:rPr>
          <w:rStyle w:val="FootnoteReference"/>
          <w:sz w:val="16"/>
          <w:szCs w:val="16"/>
        </w:rPr>
        <w:footnoteRef/>
      </w:r>
      <w:r w:rsidRPr="00360566">
        <w:rPr>
          <w:sz w:val="16"/>
          <w:szCs w:val="16"/>
          <w:lang w:val="es-MX"/>
        </w:rPr>
        <w:t xml:space="preserve"> </w:t>
      </w:r>
      <w:r w:rsidRPr="00360566">
        <w:rPr>
          <w:sz w:val="16"/>
          <w:szCs w:val="16"/>
          <w:lang w:val="es-MX"/>
        </w:rPr>
        <w:tab/>
      </w:r>
      <w:r w:rsidRPr="00360566">
        <w:rPr>
          <w:rFonts w:cs="Verdana"/>
          <w:color w:val="191919"/>
          <w:sz w:val="16"/>
          <w:szCs w:val="16"/>
          <w:lang w:val="es-ES"/>
        </w:rPr>
        <w:t>E</w:t>
      </w:r>
      <w:r>
        <w:rPr>
          <w:rFonts w:cs="Verdana"/>
          <w:color w:val="191919"/>
          <w:sz w:val="16"/>
          <w:szCs w:val="16"/>
          <w:lang w:val="es-ES"/>
        </w:rPr>
        <w:t xml:space="preserve">n este sentido, </w:t>
      </w:r>
      <w:r w:rsidRPr="00360566">
        <w:rPr>
          <w:rFonts w:cs="Verdana"/>
          <w:color w:val="191919"/>
          <w:sz w:val="16"/>
          <w:szCs w:val="16"/>
          <w:lang w:val="es-ES"/>
        </w:rPr>
        <w:t>cabe destacar que la propia Sentencia reconoce, de manera sinérgica, la relación existente entre la Declaración Americana de los Derechos y Deberes del Hombre, la Carta de la OEA, la Carta Democrática Interamericana y el Convenio sobre los representantes de los trabajadores de 1971, que también protegen el derecho de los trabajadores a asociarse para la defensa de sus intereses</w:t>
      </w:r>
      <w:r>
        <w:rPr>
          <w:rFonts w:cs="Verdana"/>
          <w:color w:val="191919"/>
          <w:sz w:val="16"/>
          <w:szCs w:val="16"/>
          <w:lang w:val="es-ES"/>
        </w:rPr>
        <w:t xml:space="preserve">. </w:t>
      </w:r>
      <w:r w:rsidRPr="00360566">
        <w:rPr>
          <w:i/>
          <w:sz w:val="16"/>
          <w:szCs w:val="16"/>
          <w:lang w:val="es-ES_tradnl"/>
        </w:rPr>
        <w:t>Cfr</w:t>
      </w:r>
      <w:r w:rsidRPr="00360566">
        <w:rPr>
          <w:i/>
          <w:sz w:val="16"/>
          <w:szCs w:val="16"/>
          <w:lang w:val="es-MX"/>
        </w:rPr>
        <w:t xml:space="preserve"> Caso Lagos del Campo Vs. </w:t>
      </w:r>
      <w:r w:rsidRPr="00360566">
        <w:rPr>
          <w:i/>
          <w:sz w:val="16"/>
          <w:szCs w:val="16"/>
          <w:lang w:val="es-CR"/>
        </w:rPr>
        <w:t>Perú, supra</w:t>
      </w:r>
      <w:r w:rsidRPr="00360566">
        <w:rPr>
          <w:sz w:val="16"/>
          <w:szCs w:val="16"/>
          <w:lang w:val="es-MX"/>
        </w:rPr>
        <w:t xml:space="preserve">, párr. </w:t>
      </w:r>
      <w:r>
        <w:rPr>
          <w:sz w:val="16"/>
          <w:szCs w:val="16"/>
          <w:lang w:val="es-ES_tradnl"/>
        </w:rPr>
        <w:t>158 y nota al pie 230</w:t>
      </w:r>
      <w:r w:rsidRPr="00360566">
        <w:rPr>
          <w:sz w:val="16"/>
          <w:szCs w:val="16"/>
          <w:lang w:val="es-ES_tradnl"/>
        </w:rPr>
        <w:t xml:space="preserve">. </w:t>
      </w:r>
    </w:p>
  </w:footnote>
  <w:footnote w:id="52">
    <w:p w14:paraId="472ECA7E" w14:textId="378AA447"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959C6">
        <w:rPr>
          <w:sz w:val="16"/>
          <w:szCs w:val="16"/>
          <w:lang w:val="es-MX"/>
        </w:rPr>
        <w:tab/>
      </w:r>
      <w:r w:rsidRPr="00CF137F">
        <w:rPr>
          <w:i/>
          <w:sz w:val="16"/>
          <w:szCs w:val="16"/>
          <w:lang w:val="es-ES_tradnl"/>
        </w:rPr>
        <w:t>Cfr</w:t>
      </w:r>
      <w:r w:rsidRPr="00C959C6">
        <w:rPr>
          <w:i/>
          <w:sz w:val="16"/>
          <w:szCs w:val="16"/>
          <w:lang w:val="es-MX"/>
        </w:rPr>
        <w:t xml:space="preserve"> Caso Lagos del Campo Vs. </w:t>
      </w:r>
      <w:r w:rsidRPr="00BA6F15">
        <w:rPr>
          <w:i/>
          <w:sz w:val="16"/>
          <w:szCs w:val="16"/>
          <w:lang w:val="es-CR"/>
        </w:rPr>
        <w:t>Perú, supra</w:t>
      </w:r>
      <w:r w:rsidRPr="00C959C6">
        <w:rPr>
          <w:sz w:val="16"/>
          <w:szCs w:val="16"/>
          <w:lang w:val="es-MX"/>
        </w:rPr>
        <w:t xml:space="preserve">, párr. </w:t>
      </w:r>
      <w:r w:rsidRPr="00CF137F">
        <w:rPr>
          <w:sz w:val="16"/>
          <w:szCs w:val="16"/>
          <w:lang w:val="es-ES_tradnl"/>
        </w:rPr>
        <w:t xml:space="preserve">157. </w:t>
      </w:r>
    </w:p>
  </w:footnote>
  <w:footnote w:id="53">
    <w:p w14:paraId="691B125F" w14:textId="64575CD3" w:rsidR="008F53FE" w:rsidRPr="00C959C6" w:rsidRDefault="008F53FE" w:rsidP="000B0BD3">
      <w:pPr>
        <w:pStyle w:val="FootnoteText"/>
        <w:spacing w:after="120"/>
        <w:jc w:val="both"/>
        <w:rPr>
          <w:sz w:val="16"/>
          <w:szCs w:val="16"/>
          <w:lang w:val="es-MX"/>
        </w:rPr>
      </w:pPr>
      <w:r w:rsidRPr="00CF137F">
        <w:rPr>
          <w:rStyle w:val="FootnoteReference"/>
          <w:sz w:val="16"/>
          <w:szCs w:val="16"/>
        </w:rPr>
        <w:footnoteRef/>
      </w:r>
      <w:r w:rsidRPr="00C959C6">
        <w:rPr>
          <w:sz w:val="16"/>
          <w:szCs w:val="16"/>
          <w:vertAlign w:val="superscript"/>
          <w:lang w:val="es-MX"/>
        </w:rPr>
        <w:t xml:space="preserve"> </w:t>
      </w:r>
      <w:r w:rsidRPr="00C959C6">
        <w:rPr>
          <w:sz w:val="16"/>
          <w:szCs w:val="16"/>
          <w:lang w:val="es-MX"/>
        </w:rPr>
        <w:tab/>
      </w:r>
      <w:r w:rsidRPr="00CF137F">
        <w:rPr>
          <w:i/>
          <w:sz w:val="16"/>
          <w:szCs w:val="16"/>
          <w:lang w:val="es-ES_tradnl"/>
        </w:rPr>
        <w:t>Cfr</w:t>
      </w:r>
      <w:r w:rsidRPr="00CF137F">
        <w:rPr>
          <w:sz w:val="16"/>
          <w:szCs w:val="16"/>
          <w:lang w:val="es-ES_tradnl"/>
        </w:rPr>
        <w:t xml:space="preserve">. </w:t>
      </w:r>
      <w:r w:rsidRPr="00C959C6">
        <w:rPr>
          <w:i/>
          <w:sz w:val="16"/>
          <w:szCs w:val="16"/>
          <w:lang w:val="es-MX"/>
        </w:rPr>
        <w:t xml:space="preserve">Caso Lagos del Campo Vs. </w:t>
      </w:r>
      <w:r w:rsidRPr="00BA6F15">
        <w:rPr>
          <w:i/>
          <w:sz w:val="16"/>
          <w:szCs w:val="16"/>
          <w:lang w:val="es-CR"/>
        </w:rPr>
        <w:t>Perú, supra</w:t>
      </w:r>
      <w:r w:rsidRPr="00C959C6">
        <w:rPr>
          <w:sz w:val="16"/>
          <w:szCs w:val="16"/>
          <w:lang w:val="es-MX"/>
        </w:rPr>
        <w:t xml:space="preserve">, párr. </w:t>
      </w:r>
      <w:r w:rsidRPr="00CF137F">
        <w:rPr>
          <w:sz w:val="16"/>
          <w:szCs w:val="16"/>
          <w:lang w:val="es-ES_tradnl"/>
        </w:rPr>
        <w:t xml:space="preserve">157; </w:t>
      </w:r>
      <w:r w:rsidRPr="00CF137F">
        <w:rPr>
          <w:rStyle w:val="Strong"/>
          <w:b w:val="0"/>
          <w:i/>
          <w:color w:val="000000"/>
          <w:sz w:val="16"/>
          <w:szCs w:val="16"/>
          <w:shd w:val="clear" w:color="auto" w:fill="FFFFFF"/>
          <w:lang w:val="es-CR"/>
        </w:rPr>
        <w:t>Caso Baena Ricardo y otros Vs. Panamá</w:t>
      </w:r>
      <w:r>
        <w:rPr>
          <w:rStyle w:val="Strong"/>
          <w:b w:val="0"/>
          <w:i/>
          <w:color w:val="000000"/>
          <w:sz w:val="16"/>
          <w:szCs w:val="16"/>
          <w:shd w:val="clear" w:color="auto" w:fill="FFFFFF"/>
          <w:lang w:val="es-CR"/>
        </w:rPr>
        <w:t xml:space="preserve">, supra, </w:t>
      </w:r>
      <w:r w:rsidRPr="00CF137F">
        <w:rPr>
          <w:rStyle w:val="Strong"/>
          <w:b w:val="0"/>
          <w:color w:val="000000"/>
          <w:sz w:val="16"/>
          <w:szCs w:val="16"/>
          <w:shd w:val="clear" w:color="auto" w:fill="FFFFFF"/>
          <w:lang w:val="es-CR"/>
        </w:rPr>
        <w:t>párrs 156 y 158</w:t>
      </w:r>
      <w:r w:rsidRPr="00CF137F">
        <w:rPr>
          <w:b/>
          <w:sz w:val="16"/>
          <w:szCs w:val="16"/>
          <w:lang w:val="es-EC"/>
        </w:rPr>
        <w:t>;</w:t>
      </w:r>
      <w:r w:rsidRPr="00CF137F">
        <w:rPr>
          <w:sz w:val="16"/>
          <w:szCs w:val="16"/>
          <w:lang w:val="es-EC"/>
        </w:rPr>
        <w:t xml:space="preserve"> </w:t>
      </w:r>
      <w:r w:rsidRPr="00CF137F">
        <w:rPr>
          <w:i/>
          <w:sz w:val="16"/>
          <w:szCs w:val="16"/>
          <w:lang w:val="es-EC"/>
        </w:rPr>
        <w:t>Caso Huilca Tecse vs. Perú</w:t>
      </w:r>
      <w:r>
        <w:rPr>
          <w:i/>
          <w:sz w:val="16"/>
          <w:szCs w:val="16"/>
          <w:lang w:val="es-EC"/>
        </w:rPr>
        <w:t xml:space="preserve">, supra, </w:t>
      </w:r>
      <w:r w:rsidRPr="00CF137F">
        <w:rPr>
          <w:sz w:val="16"/>
          <w:szCs w:val="16"/>
          <w:lang w:val="es-EC"/>
        </w:rPr>
        <w:t xml:space="preserve">párrs. 67, 69, 70, 73, 75, 77, y </w:t>
      </w:r>
      <w:r w:rsidRPr="00CF137F">
        <w:rPr>
          <w:i/>
          <w:sz w:val="16"/>
          <w:szCs w:val="16"/>
          <w:lang w:val="es-EC"/>
        </w:rPr>
        <w:t>Caso Cantoral Huamaní y García Santa Cruz vs. Perú</w:t>
      </w:r>
      <w:r>
        <w:rPr>
          <w:i/>
          <w:sz w:val="16"/>
          <w:szCs w:val="16"/>
          <w:lang w:val="es-EC"/>
        </w:rPr>
        <w:t xml:space="preserve">, supra, </w:t>
      </w:r>
      <w:r w:rsidRPr="00CF137F">
        <w:rPr>
          <w:sz w:val="16"/>
          <w:szCs w:val="16"/>
          <w:lang w:val="es-EC"/>
        </w:rPr>
        <w:t xml:space="preserve">párrs. 144, 145, 146 y </w:t>
      </w:r>
      <w:r w:rsidRPr="00C959C6">
        <w:rPr>
          <w:i/>
          <w:sz w:val="16"/>
          <w:szCs w:val="16"/>
          <w:lang w:val="es-MX"/>
        </w:rPr>
        <w:t>Cfr.</w:t>
      </w:r>
      <w:r w:rsidRPr="00C959C6">
        <w:rPr>
          <w:sz w:val="16"/>
          <w:szCs w:val="16"/>
          <w:lang w:val="es-MX"/>
        </w:rPr>
        <w:t xml:space="preserve"> OIT. Convenio Número 87 Relativo a la Libertad Sindical y a la Protección del Derecho de Sindicación, de 17 de junio de 1948 y Convenio Número 98 Relativo a la Aplicación de los Principios del Derecho de Sindicación y de Negociación Colectiva, de 8 de junio de 1949.</w:t>
      </w:r>
    </w:p>
  </w:footnote>
  <w:footnote w:id="54">
    <w:p w14:paraId="6CDCAA8B" w14:textId="55D1DFB7" w:rsidR="008F53FE" w:rsidRPr="00CF137F" w:rsidRDefault="008F53FE" w:rsidP="000B0BD3">
      <w:pPr>
        <w:pStyle w:val="NormalWeb"/>
        <w:spacing w:before="0" w:beforeAutospacing="0" w:after="120" w:afterAutospacing="0"/>
        <w:jc w:val="both"/>
        <w:rPr>
          <w:rFonts w:ascii="Verdana" w:hAnsi="Verdana"/>
          <w:noProof w:val="0"/>
          <w:sz w:val="16"/>
          <w:szCs w:val="16"/>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hAnsi="Verdana"/>
          <w:noProof w:val="0"/>
          <w:sz w:val="16"/>
          <w:szCs w:val="16"/>
        </w:rPr>
        <w:t xml:space="preserve">En consecuencia, la Corte considera que la interpretación más favorable </w:t>
      </w:r>
      <w:r w:rsidRPr="00CF137F">
        <w:rPr>
          <w:rFonts w:ascii="Verdana" w:hAnsi="Verdana"/>
          <w:noProof w:val="0"/>
          <w:sz w:val="16"/>
          <w:szCs w:val="16"/>
          <w:u w:val="single"/>
        </w:rPr>
        <w:t>del artículo 8.1.a conlleva entender que all</w:t>
      </w:r>
      <w:r>
        <w:rPr>
          <w:rFonts w:ascii="Verdana" w:hAnsi="Verdana"/>
          <w:noProof w:val="0"/>
          <w:sz w:val="16"/>
          <w:szCs w:val="16"/>
          <w:u w:val="single"/>
        </w:rPr>
        <w:t>í</w:t>
      </w:r>
      <w:r w:rsidRPr="00CF137F">
        <w:rPr>
          <w:rFonts w:ascii="Verdana" w:hAnsi="Verdana"/>
          <w:noProof w:val="0"/>
          <w:sz w:val="16"/>
          <w:szCs w:val="16"/>
          <w:u w:val="single"/>
        </w:rPr>
        <w:t xml:space="preserve"> </w:t>
      </w:r>
      <w:r w:rsidRPr="00CF137F">
        <w:rPr>
          <w:rFonts w:ascii="Verdana" w:hAnsi="Verdana"/>
          <w:b/>
          <w:noProof w:val="0"/>
          <w:sz w:val="16"/>
          <w:szCs w:val="16"/>
          <w:u w:val="single"/>
        </w:rPr>
        <w:t>se consagran derechos</w:t>
      </w:r>
      <w:r w:rsidRPr="00CF137F">
        <w:rPr>
          <w:rFonts w:ascii="Verdana" w:hAnsi="Verdana"/>
          <w:noProof w:val="0"/>
          <w:sz w:val="16"/>
          <w:szCs w:val="16"/>
          <w:u w:val="single"/>
        </w:rPr>
        <w:t xml:space="preserve"> a favor de los sindicatos, las federaciones y las confederaciones,</w:t>
      </w:r>
      <w:r w:rsidRPr="00CF137F">
        <w:rPr>
          <w:rFonts w:ascii="Verdana" w:hAnsi="Verdana"/>
          <w:noProof w:val="0"/>
          <w:sz w:val="16"/>
          <w:szCs w:val="16"/>
        </w:rPr>
        <w:t xml:space="preserve"> dado que son interlocutores de sus asociados y buscan salvaguardar y velar por sus derechos e intereses. Llegar a una conclusión diferente implicaría excluir el efecto de la Carta de la OEA y, por ende, desfavorecer el goce efectivo de los derechos en ella reconocidos. </w:t>
      </w:r>
      <w:r w:rsidRPr="00CF137F">
        <w:rPr>
          <w:rFonts w:ascii="Verdana" w:hAnsi="Verdana" w:cs="Verdana"/>
          <w:bCs/>
          <w:i/>
          <w:sz w:val="16"/>
          <w:szCs w:val="16"/>
          <w:lang w:val="es-ES"/>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Pr="00CF137F">
        <w:rPr>
          <w:rFonts w:ascii="Verdana" w:hAnsi="Verdana" w:cs="Verdana"/>
          <w:bCs/>
          <w:sz w:val="16"/>
          <w:szCs w:val="16"/>
          <w:lang w:val="es-ES"/>
        </w:rPr>
        <w:t>.</w:t>
      </w:r>
      <w:r>
        <w:rPr>
          <w:rFonts w:ascii="Verdana" w:hAnsi="Verdana" w:cs="Verdana"/>
          <w:bCs/>
          <w:sz w:val="16"/>
          <w:szCs w:val="16"/>
          <w:lang w:val="es-ES"/>
        </w:rPr>
        <w:t xml:space="preserve"> </w:t>
      </w:r>
      <w:r w:rsidRPr="00BA6F15">
        <w:rPr>
          <w:rFonts w:ascii="Verdana" w:hAnsi="Verdana" w:cs="Verdana"/>
          <w:bCs/>
          <w:i/>
          <w:sz w:val="16"/>
          <w:szCs w:val="16"/>
          <w:lang w:val="es-ES"/>
        </w:rPr>
        <w:t>OC-22/16,</w:t>
      </w:r>
      <w:r>
        <w:rPr>
          <w:rFonts w:ascii="Verdana" w:hAnsi="Verdana" w:cs="Verdana"/>
          <w:bCs/>
          <w:i/>
          <w:sz w:val="16"/>
          <w:szCs w:val="16"/>
          <w:lang w:val="es-ES"/>
        </w:rPr>
        <w:t xml:space="preserve"> </w:t>
      </w:r>
      <w:r w:rsidRPr="00BA6F15">
        <w:rPr>
          <w:rFonts w:ascii="Verdana" w:hAnsi="Verdana" w:cs="Verdana"/>
          <w:bCs/>
          <w:i/>
          <w:sz w:val="16"/>
          <w:szCs w:val="16"/>
          <w:lang w:val="es-ES"/>
        </w:rPr>
        <w:t>supra</w:t>
      </w:r>
      <w:r>
        <w:rPr>
          <w:rFonts w:ascii="Verdana" w:hAnsi="Verdana" w:cs="Verdana"/>
          <w:bCs/>
          <w:sz w:val="16"/>
          <w:szCs w:val="16"/>
          <w:lang w:val="es-ES"/>
        </w:rPr>
        <w:t xml:space="preserve">, </w:t>
      </w:r>
      <w:r w:rsidRPr="00CF137F">
        <w:rPr>
          <w:rFonts w:ascii="Verdana" w:hAnsi="Verdana" w:cs="Verdana"/>
          <w:bCs/>
          <w:sz w:val="16"/>
          <w:szCs w:val="16"/>
          <w:lang w:val="es-ES"/>
        </w:rPr>
        <w:t xml:space="preserve">párr. </w:t>
      </w:r>
      <w:r w:rsidRPr="00CF137F">
        <w:rPr>
          <w:rFonts w:ascii="Verdana" w:hAnsi="Verdana"/>
          <w:noProof w:val="0"/>
          <w:sz w:val="16"/>
          <w:szCs w:val="16"/>
        </w:rPr>
        <w:t>97.</w:t>
      </w:r>
    </w:p>
  </w:footnote>
  <w:footnote w:id="55">
    <w:p w14:paraId="68877940" w14:textId="55EBD91A" w:rsidR="008F53FE" w:rsidRPr="00CF137F" w:rsidRDefault="008F53FE" w:rsidP="000B0BD3">
      <w:pPr>
        <w:pStyle w:val="FootnoteText"/>
        <w:spacing w:after="120"/>
        <w:jc w:val="both"/>
        <w:rPr>
          <w:rFonts w:cs="Verdana"/>
          <w:bCs/>
          <w:sz w:val="16"/>
          <w:szCs w:val="16"/>
          <w:lang w:val="es-ES"/>
        </w:rPr>
      </w:pPr>
      <w:r w:rsidRPr="00CF137F">
        <w:rPr>
          <w:rStyle w:val="FootnoteReference"/>
          <w:sz w:val="16"/>
          <w:szCs w:val="16"/>
        </w:rPr>
        <w:footnoteRef/>
      </w:r>
      <w:r w:rsidRPr="00C959C6">
        <w:rPr>
          <w:sz w:val="16"/>
          <w:szCs w:val="16"/>
          <w:lang w:val="es-MX"/>
        </w:rPr>
        <w:t xml:space="preserve"> </w:t>
      </w:r>
      <w:r w:rsidRPr="00CF137F">
        <w:rPr>
          <w:sz w:val="16"/>
          <w:szCs w:val="16"/>
          <w:lang w:val="es-ES_tradnl"/>
        </w:rPr>
        <w:tab/>
      </w:r>
      <w:r w:rsidRPr="00CF137F">
        <w:rPr>
          <w:rFonts w:cs="Verdana"/>
          <w:bCs/>
          <w:i/>
          <w:sz w:val="16"/>
          <w:szCs w:val="16"/>
          <w:lang w:val="es-ES"/>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Pr="00CF137F">
        <w:rPr>
          <w:rFonts w:cs="Verdana"/>
          <w:bCs/>
          <w:sz w:val="16"/>
          <w:szCs w:val="16"/>
          <w:lang w:val="es-ES"/>
        </w:rPr>
        <w:t xml:space="preserve">. </w:t>
      </w:r>
      <w:r w:rsidRPr="00BA6F15">
        <w:rPr>
          <w:rFonts w:cs="Verdana"/>
          <w:bCs/>
          <w:i/>
          <w:sz w:val="16"/>
          <w:szCs w:val="16"/>
          <w:lang w:val="es-ES"/>
        </w:rPr>
        <w:t>OC-22/16, supra,</w:t>
      </w:r>
      <w:r>
        <w:rPr>
          <w:rFonts w:cs="Verdana"/>
          <w:bCs/>
          <w:sz w:val="16"/>
          <w:szCs w:val="16"/>
          <w:lang w:val="es-ES"/>
        </w:rPr>
        <w:t xml:space="preserve"> </w:t>
      </w:r>
      <w:r w:rsidRPr="00CF137F">
        <w:rPr>
          <w:rFonts w:cs="Verdana"/>
          <w:bCs/>
          <w:sz w:val="16"/>
          <w:szCs w:val="16"/>
          <w:lang w:val="es-ES"/>
        </w:rPr>
        <w:t xml:space="preserve">párr. 101 y 102. </w:t>
      </w:r>
    </w:p>
  </w:footnote>
  <w:footnote w:id="56">
    <w:p w14:paraId="27063721" w14:textId="77777777" w:rsidR="008F53FE" w:rsidRPr="00CF137F" w:rsidRDefault="008F53FE" w:rsidP="000B0BD3">
      <w:pPr>
        <w:pStyle w:val="FootnoteText"/>
        <w:spacing w:after="120"/>
        <w:jc w:val="both"/>
        <w:rPr>
          <w:rFonts w:cs="Verdana"/>
          <w:b/>
          <w:bCs/>
          <w:sz w:val="16"/>
          <w:szCs w:val="16"/>
          <w:lang w:val="es-ES"/>
        </w:rPr>
      </w:pPr>
      <w:r w:rsidRPr="00CF137F">
        <w:rPr>
          <w:rStyle w:val="FootnoteReference"/>
          <w:sz w:val="16"/>
          <w:szCs w:val="16"/>
        </w:rPr>
        <w:footnoteRef/>
      </w:r>
      <w:r w:rsidRPr="00C959C6">
        <w:rPr>
          <w:sz w:val="16"/>
          <w:szCs w:val="16"/>
          <w:lang w:val="es-MX"/>
        </w:rPr>
        <w:t xml:space="preserve"> </w:t>
      </w:r>
      <w:r w:rsidRPr="00CF137F">
        <w:rPr>
          <w:sz w:val="16"/>
          <w:szCs w:val="16"/>
          <w:lang w:val="es-ES_tradnl"/>
        </w:rPr>
        <w:tab/>
      </w:r>
      <w:r w:rsidRPr="00CF137F">
        <w:rPr>
          <w:i/>
          <w:sz w:val="16"/>
          <w:szCs w:val="16"/>
          <w:lang w:val="es-ES_tradnl"/>
        </w:rPr>
        <w:t xml:space="preserve">Cfr. </w:t>
      </w:r>
      <w:r w:rsidRPr="00CF137F">
        <w:rPr>
          <w:rFonts w:cs="Verdana"/>
          <w:bCs/>
          <w:i/>
          <w:sz w:val="16"/>
          <w:szCs w:val="16"/>
          <w:lang w:val="es-ES"/>
        </w:rPr>
        <w:t>El derecho a la información sobre la asistencia consular en el marco de las garantías del debido proceso legal.</w:t>
      </w:r>
      <w:r w:rsidRPr="00CF137F">
        <w:rPr>
          <w:rFonts w:cs="Verdana"/>
          <w:bCs/>
          <w:sz w:val="16"/>
          <w:szCs w:val="16"/>
          <w:lang w:val="es-ES"/>
        </w:rPr>
        <w:t xml:space="preserve"> Opinión Consultiva OC-16/99 de 1 de octubre de 1999. Serie A No. 16, párr. 114.</w:t>
      </w:r>
      <w:r w:rsidRPr="00CF137F">
        <w:rPr>
          <w:rFonts w:cs="Verdana"/>
          <w:b/>
          <w:bCs/>
          <w:sz w:val="16"/>
          <w:szCs w:val="16"/>
          <w:lang w:val="es-ES"/>
        </w:rPr>
        <w:t xml:space="preserve"> </w:t>
      </w:r>
    </w:p>
  </w:footnote>
  <w:footnote w:id="57">
    <w:p w14:paraId="347DB931" w14:textId="77777777" w:rsidR="008F53FE" w:rsidRPr="00CF137F" w:rsidRDefault="008F53FE" w:rsidP="000B0BD3">
      <w:pPr>
        <w:pStyle w:val="FootnoteText"/>
        <w:spacing w:after="120"/>
        <w:jc w:val="both"/>
        <w:rPr>
          <w:rFonts w:cs="Verdana"/>
          <w:bCs/>
          <w:sz w:val="16"/>
          <w:szCs w:val="16"/>
          <w:lang w:val="es-ES"/>
        </w:rPr>
      </w:pPr>
      <w:r w:rsidRPr="00CF137F">
        <w:rPr>
          <w:rStyle w:val="FootnoteReference"/>
          <w:sz w:val="16"/>
          <w:szCs w:val="16"/>
        </w:rPr>
        <w:footnoteRef/>
      </w:r>
      <w:r w:rsidRPr="00C959C6">
        <w:rPr>
          <w:sz w:val="16"/>
          <w:szCs w:val="16"/>
          <w:lang w:val="es-MX"/>
        </w:rPr>
        <w:t xml:space="preserve"> </w:t>
      </w:r>
      <w:r w:rsidRPr="00C959C6">
        <w:rPr>
          <w:sz w:val="16"/>
          <w:szCs w:val="16"/>
          <w:lang w:val="es-MX"/>
        </w:rPr>
        <w:tab/>
        <w:t xml:space="preserve">Por ejemplo, esto puede verse especialmente reflejado en la jurisprudencia en materia indígena respecto del artículo 21 de la Convención Americana, </w:t>
      </w:r>
      <w:r w:rsidRPr="00C959C6">
        <w:rPr>
          <w:i/>
          <w:sz w:val="16"/>
          <w:szCs w:val="16"/>
          <w:lang w:val="es-MX"/>
        </w:rPr>
        <w:t xml:space="preserve">Cfr. </w:t>
      </w:r>
      <w:r w:rsidRPr="00CF137F">
        <w:rPr>
          <w:rFonts w:cs="Verdana"/>
          <w:bCs/>
          <w:i/>
          <w:sz w:val="16"/>
          <w:szCs w:val="16"/>
          <w:lang w:val="es-ES"/>
        </w:rPr>
        <w:t>Caso de la Comunidad Mayagna (Sumo) Awas Tingni Vs. Nicaragua. Fondo, Reparaciones y Costas.</w:t>
      </w:r>
      <w:r w:rsidRPr="00CF137F">
        <w:rPr>
          <w:rFonts w:cs="Verdana"/>
          <w:bCs/>
          <w:sz w:val="16"/>
          <w:szCs w:val="16"/>
          <w:lang w:val="es-ES"/>
        </w:rPr>
        <w:t xml:space="preserve"> Sentencia de 31 de agosto de 2001. Serie C No. 79 y </w:t>
      </w:r>
      <w:r w:rsidRPr="00CF137F">
        <w:rPr>
          <w:rFonts w:cs="Verdana"/>
          <w:bCs/>
          <w:i/>
          <w:sz w:val="16"/>
          <w:szCs w:val="16"/>
          <w:lang w:val="es-ES"/>
        </w:rPr>
        <w:t>Caso Pueblos Kaliña y Lokono Vs. Surinam. Fondo, Reparaciones y Costas.</w:t>
      </w:r>
      <w:r w:rsidRPr="00CF137F">
        <w:rPr>
          <w:rFonts w:cs="Verdana"/>
          <w:bCs/>
          <w:sz w:val="16"/>
          <w:szCs w:val="16"/>
          <w:lang w:val="es-ES"/>
        </w:rPr>
        <w:t xml:space="preserve"> Sentencia de 25 de noviembre de 2015. Serie C No. 309.</w:t>
      </w:r>
    </w:p>
  </w:footnote>
  <w:footnote w:id="58">
    <w:p w14:paraId="7E7CE539" w14:textId="4D72B660"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F137F">
        <w:rPr>
          <w:sz w:val="16"/>
          <w:szCs w:val="16"/>
          <w:lang w:val="es-ES_tradnl"/>
        </w:rPr>
        <w:tab/>
        <w:t xml:space="preserve">Véase particularmente la construcción que hace la Corte IDH en el caso Gonzales LLuy respecto del Derecho a la Educación. </w:t>
      </w:r>
      <w:r w:rsidRPr="00CF137F">
        <w:rPr>
          <w:rFonts w:cs="Verdana"/>
          <w:bCs/>
          <w:i/>
          <w:sz w:val="16"/>
          <w:szCs w:val="16"/>
          <w:lang w:val="es-ES"/>
        </w:rPr>
        <w:t>Caso Gonzales Lluy y otros Vs. Ecuador</w:t>
      </w:r>
      <w:r>
        <w:rPr>
          <w:rFonts w:cs="Verdana"/>
          <w:bCs/>
          <w:i/>
          <w:sz w:val="16"/>
          <w:szCs w:val="16"/>
          <w:lang w:val="es-ES"/>
        </w:rPr>
        <w:t xml:space="preserve">, supra, </w:t>
      </w:r>
      <w:r w:rsidRPr="00CF137F">
        <w:rPr>
          <w:rFonts w:cs="Verdana"/>
          <w:bCs/>
          <w:sz w:val="16"/>
          <w:szCs w:val="16"/>
          <w:lang w:val="es-ES"/>
        </w:rPr>
        <w:t>párrs. 233 a 291.</w:t>
      </w:r>
      <w:r w:rsidRPr="00CF137F">
        <w:rPr>
          <w:rFonts w:cs="Verdana"/>
          <w:b/>
          <w:bCs/>
          <w:sz w:val="16"/>
          <w:szCs w:val="16"/>
          <w:lang w:val="es-ES"/>
        </w:rPr>
        <w:t xml:space="preserve">   </w:t>
      </w:r>
      <w:r w:rsidRPr="00CF137F">
        <w:rPr>
          <w:sz w:val="16"/>
          <w:szCs w:val="16"/>
          <w:lang w:val="es-ES_tradnl"/>
        </w:rPr>
        <w:t xml:space="preserve"> </w:t>
      </w:r>
    </w:p>
  </w:footnote>
  <w:footnote w:id="59">
    <w:p w14:paraId="29EF433D" w14:textId="1FFBED55" w:rsidR="008F53FE" w:rsidRPr="00C959C6" w:rsidRDefault="008F53FE" w:rsidP="002F0B14">
      <w:pPr>
        <w:pStyle w:val="FootnoteText"/>
        <w:jc w:val="both"/>
        <w:rPr>
          <w:sz w:val="16"/>
          <w:szCs w:val="16"/>
          <w:u w:val="single"/>
          <w:lang w:val="es-MX"/>
        </w:rPr>
      </w:pPr>
      <w:r w:rsidRPr="008D2569">
        <w:rPr>
          <w:rStyle w:val="FootnoteReference"/>
          <w:sz w:val="16"/>
          <w:szCs w:val="16"/>
        </w:rPr>
        <w:footnoteRef/>
      </w:r>
      <w:r w:rsidRPr="00C959C6">
        <w:rPr>
          <w:sz w:val="16"/>
          <w:szCs w:val="16"/>
          <w:lang w:val="es-MX"/>
        </w:rPr>
        <w:t xml:space="preserve"> </w:t>
      </w:r>
      <w:r w:rsidRPr="008D2569">
        <w:rPr>
          <w:sz w:val="16"/>
          <w:szCs w:val="16"/>
          <w:lang w:val="es-ES_tradnl"/>
        </w:rPr>
        <w:tab/>
      </w:r>
      <w:r w:rsidRPr="00C959C6">
        <w:rPr>
          <w:sz w:val="16"/>
          <w:szCs w:val="16"/>
          <w:lang w:val="es-MX"/>
        </w:rPr>
        <w:t xml:space="preserve">Inclusive, en materia laboral, tenemos matices; por ejemplo, pueden existir personas que trabajen o laboren dentro de una organización o asociación y que se les impida llevar a cabo su trabajo o labor, lo cual vería infringido evidentemente su derecho de asociación laboral. No obstante, en el caso Lagos del Campos, su </w:t>
      </w:r>
      <w:r w:rsidRPr="00C959C6">
        <w:rPr>
          <w:sz w:val="16"/>
          <w:szCs w:val="16"/>
          <w:u w:val="single"/>
          <w:lang w:val="es-MX"/>
        </w:rPr>
        <w:t>finalidad era la defensa y promoción de sus intereses laborales, lo cual hace aún más especifico el derecho de asociación laboral para los contextos laborales de asociaciones laborales no sindicales.</w:t>
      </w:r>
    </w:p>
    <w:p w14:paraId="5AF3396D" w14:textId="77777777" w:rsidR="008F53FE" w:rsidRPr="008D2569" w:rsidRDefault="008F53FE" w:rsidP="002F0B14">
      <w:pPr>
        <w:pStyle w:val="FootnoteText"/>
        <w:jc w:val="both"/>
        <w:rPr>
          <w:sz w:val="16"/>
          <w:szCs w:val="16"/>
          <w:lang w:val="es-ES_tradnl"/>
        </w:rPr>
      </w:pPr>
    </w:p>
  </w:footnote>
  <w:footnote w:id="60">
    <w:p w14:paraId="6F65E44B" w14:textId="77777777" w:rsidR="008F53FE" w:rsidRPr="008D2569" w:rsidRDefault="008F53FE" w:rsidP="002F0B14">
      <w:pPr>
        <w:pStyle w:val="NormalWeb"/>
        <w:spacing w:before="0" w:beforeAutospacing="0" w:after="0" w:afterAutospacing="0"/>
        <w:jc w:val="both"/>
        <w:rPr>
          <w:rFonts w:ascii="Verdana" w:hAnsi="Verdana"/>
          <w:sz w:val="16"/>
          <w:szCs w:val="16"/>
        </w:rPr>
      </w:pPr>
      <w:r w:rsidRPr="008D2569">
        <w:rPr>
          <w:rStyle w:val="FootnoteReference"/>
          <w:rFonts w:ascii="Verdana" w:hAnsi="Verdana"/>
          <w:sz w:val="16"/>
          <w:szCs w:val="16"/>
        </w:rPr>
        <w:footnoteRef/>
      </w:r>
      <w:r w:rsidRPr="008D2569">
        <w:rPr>
          <w:rFonts w:ascii="Verdana" w:hAnsi="Verdana"/>
          <w:sz w:val="16"/>
          <w:szCs w:val="16"/>
        </w:rPr>
        <w:t xml:space="preserve"> </w:t>
      </w:r>
      <w:r w:rsidRPr="008D2569">
        <w:rPr>
          <w:rFonts w:ascii="Verdana" w:hAnsi="Verdana"/>
          <w:sz w:val="16"/>
          <w:szCs w:val="16"/>
        </w:rPr>
        <w:tab/>
      </w:r>
      <w:r w:rsidRPr="008D2569">
        <w:rPr>
          <w:rFonts w:ascii="Verdana" w:hAnsi="Verdana"/>
          <w:i/>
          <w:sz w:val="16"/>
          <w:szCs w:val="16"/>
        </w:rPr>
        <w:t>Cfr.</w:t>
      </w:r>
      <w:r w:rsidRPr="008D2569">
        <w:rPr>
          <w:rFonts w:ascii="Verdana" w:hAnsi="Verdana"/>
          <w:sz w:val="16"/>
          <w:szCs w:val="16"/>
        </w:rPr>
        <w:t xml:space="preserve"> </w:t>
      </w:r>
      <w:r w:rsidRPr="008D2569">
        <w:rPr>
          <w:rFonts w:ascii="Verdana" w:eastAsia="Times New Roman" w:hAnsi="Verdana"/>
          <w:bCs/>
          <w:i/>
          <w:sz w:val="16"/>
          <w:szCs w:val="16"/>
        </w:rPr>
        <w:t>Caso Kawas Fernández Vs. Honduras. Fondo, Reparaciones y Costas</w:t>
      </w:r>
      <w:r w:rsidRPr="008D2569">
        <w:rPr>
          <w:rFonts w:ascii="Verdana" w:eastAsia="Times New Roman" w:hAnsi="Verdana"/>
          <w:bCs/>
          <w:sz w:val="16"/>
          <w:szCs w:val="16"/>
        </w:rPr>
        <w:t>. Sentencia de 3 de abril de 2009. Serie C No. 196</w:t>
      </w:r>
      <w:r w:rsidRPr="008D2569">
        <w:rPr>
          <w:rFonts w:ascii="Verdana" w:hAnsi="Verdana"/>
          <w:bCs/>
          <w:sz w:val="16"/>
          <w:szCs w:val="16"/>
        </w:rPr>
        <w:t>, párr. 151</w:t>
      </w:r>
      <w:r w:rsidRPr="008D2569">
        <w:rPr>
          <w:rFonts w:ascii="Verdana" w:eastAsia="Times New Roman" w:hAnsi="Verdana"/>
          <w:bCs/>
          <w:sz w:val="16"/>
          <w:szCs w:val="16"/>
        </w:rPr>
        <w:t>.</w:t>
      </w:r>
      <w:r w:rsidRPr="008D2569">
        <w:rPr>
          <w:rFonts w:ascii="Verdana" w:hAnsi="Verdana"/>
          <w:sz w:val="16"/>
          <w:szCs w:val="16"/>
        </w:rPr>
        <w:t xml:space="preserve"> </w:t>
      </w:r>
    </w:p>
    <w:p w14:paraId="32F41114" w14:textId="77777777" w:rsidR="008F53FE" w:rsidRPr="008D2569" w:rsidRDefault="008F53FE" w:rsidP="002F0B14">
      <w:pPr>
        <w:pStyle w:val="NormalWeb"/>
        <w:spacing w:before="0" w:beforeAutospacing="0" w:after="0" w:afterAutospacing="0"/>
        <w:jc w:val="both"/>
        <w:rPr>
          <w:rFonts w:ascii="Verdana" w:hAnsi="Verdana"/>
          <w:sz w:val="16"/>
          <w:szCs w:val="16"/>
        </w:rPr>
      </w:pPr>
    </w:p>
  </w:footnote>
  <w:footnote w:id="61">
    <w:p w14:paraId="583FE97B" w14:textId="22FFAA19" w:rsidR="008F53FE" w:rsidRPr="008D2569" w:rsidRDefault="008F53FE" w:rsidP="002F0B14">
      <w:pPr>
        <w:pStyle w:val="FootnoteText"/>
        <w:jc w:val="both"/>
        <w:rPr>
          <w:bCs/>
          <w:sz w:val="16"/>
          <w:szCs w:val="16"/>
          <w:lang w:val="es-MX"/>
        </w:rPr>
      </w:pPr>
      <w:r w:rsidRPr="008D2569">
        <w:rPr>
          <w:rStyle w:val="FootnoteReference"/>
          <w:sz w:val="16"/>
          <w:szCs w:val="16"/>
        </w:rPr>
        <w:footnoteRef/>
      </w:r>
      <w:r w:rsidRPr="00BA6F15">
        <w:rPr>
          <w:sz w:val="16"/>
          <w:szCs w:val="16"/>
          <w:lang w:val="es-MX"/>
        </w:rPr>
        <w:t xml:space="preserve"> </w:t>
      </w:r>
      <w:r w:rsidRPr="00BA6F15">
        <w:rPr>
          <w:sz w:val="16"/>
          <w:szCs w:val="16"/>
          <w:lang w:val="es-MX"/>
        </w:rPr>
        <w:tab/>
      </w:r>
      <w:r w:rsidRPr="00BA6F15">
        <w:rPr>
          <w:i/>
          <w:sz w:val="16"/>
          <w:szCs w:val="16"/>
          <w:lang w:val="es-MX"/>
        </w:rPr>
        <w:t>Cfr.</w:t>
      </w:r>
      <w:r w:rsidRPr="00BA6F15">
        <w:rPr>
          <w:sz w:val="16"/>
          <w:szCs w:val="16"/>
          <w:lang w:val="es-MX"/>
        </w:rPr>
        <w:t xml:space="preserve"> </w:t>
      </w:r>
      <w:r w:rsidRPr="008D2569">
        <w:rPr>
          <w:bCs/>
          <w:i/>
          <w:sz w:val="16"/>
          <w:szCs w:val="16"/>
          <w:lang w:val="es-MX"/>
        </w:rPr>
        <w:t xml:space="preserve">Caso Kawas Fernández Vs. Honduras, </w:t>
      </w:r>
      <w:r>
        <w:rPr>
          <w:bCs/>
          <w:i/>
          <w:sz w:val="16"/>
          <w:szCs w:val="16"/>
          <w:lang w:val="es-MX"/>
        </w:rPr>
        <w:t xml:space="preserve">supra, </w:t>
      </w:r>
      <w:r w:rsidRPr="00BA6F15">
        <w:rPr>
          <w:bCs/>
          <w:sz w:val="16"/>
          <w:szCs w:val="16"/>
          <w:lang w:val="es-MX"/>
        </w:rPr>
        <w:t>párr. 149</w:t>
      </w:r>
      <w:r w:rsidRPr="008D2569">
        <w:rPr>
          <w:bCs/>
          <w:sz w:val="16"/>
          <w:szCs w:val="16"/>
          <w:lang w:val="es-MX"/>
        </w:rPr>
        <w:t>.</w:t>
      </w:r>
    </w:p>
    <w:p w14:paraId="26ECFCE3" w14:textId="77777777" w:rsidR="008F53FE" w:rsidRPr="008D2569" w:rsidRDefault="008F53FE" w:rsidP="002F0B14">
      <w:pPr>
        <w:pStyle w:val="FootnoteText"/>
        <w:jc w:val="both"/>
        <w:rPr>
          <w:sz w:val="16"/>
          <w:szCs w:val="16"/>
          <w:lang w:val="es-ES_tradnl"/>
        </w:rPr>
      </w:pPr>
    </w:p>
  </w:footnote>
  <w:footnote w:id="62">
    <w:p w14:paraId="6CAE44D6" w14:textId="754880F5" w:rsidR="008F53FE" w:rsidRPr="008D2569" w:rsidRDefault="008F53FE" w:rsidP="002F0B14">
      <w:pPr>
        <w:rPr>
          <w:rFonts w:ascii="Verdana" w:eastAsia="Times New Roman" w:hAnsi="Verdana" w:cs="Times New Roman"/>
          <w:sz w:val="16"/>
          <w:szCs w:val="16"/>
          <w:lang w:val="es-MX"/>
        </w:rPr>
      </w:pPr>
      <w:r w:rsidRPr="008D2569">
        <w:rPr>
          <w:rStyle w:val="FootnoteReference"/>
          <w:rFonts w:ascii="Verdana" w:hAnsi="Verdana"/>
          <w:sz w:val="16"/>
          <w:szCs w:val="16"/>
        </w:rPr>
        <w:footnoteRef/>
      </w:r>
      <w:r w:rsidRPr="008D2569">
        <w:rPr>
          <w:rFonts w:ascii="Verdana" w:hAnsi="Verdana"/>
          <w:sz w:val="16"/>
          <w:szCs w:val="16"/>
        </w:rPr>
        <w:t xml:space="preserve"> </w:t>
      </w:r>
      <w:r w:rsidRPr="008D2569">
        <w:rPr>
          <w:rFonts w:ascii="Verdana" w:hAnsi="Verdana"/>
          <w:sz w:val="16"/>
          <w:szCs w:val="16"/>
        </w:rPr>
        <w:tab/>
      </w:r>
      <w:r w:rsidRPr="008D2569">
        <w:rPr>
          <w:rFonts w:ascii="Verdana" w:hAnsi="Verdana"/>
          <w:i/>
          <w:sz w:val="16"/>
          <w:szCs w:val="16"/>
        </w:rPr>
        <w:t>Cfr.</w:t>
      </w:r>
      <w:r w:rsidRPr="008D2569">
        <w:rPr>
          <w:rFonts w:ascii="Verdana" w:hAnsi="Verdana"/>
          <w:sz w:val="16"/>
          <w:szCs w:val="16"/>
        </w:rPr>
        <w:t xml:space="preserve"> </w:t>
      </w:r>
      <w:r w:rsidRPr="008D2569">
        <w:rPr>
          <w:rFonts w:ascii="Verdana" w:eastAsia="Times New Roman" w:hAnsi="Verdana" w:cs="Times New Roman"/>
          <w:bCs/>
          <w:i/>
          <w:sz w:val="16"/>
          <w:szCs w:val="16"/>
          <w:lang w:val="es-MX"/>
        </w:rPr>
        <w:t xml:space="preserve">Caso </w:t>
      </w:r>
      <w:proofErr w:type="spellStart"/>
      <w:r w:rsidRPr="008D2569">
        <w:rPr>
          <w:rFonts w:ascii="Verdana" w:eastAsia="Times New Roman" w:hAnsi="Verdana" w:cs="Times New Roman"/>
          <w:bCs/>
          <w:i/>
          <w:sz w:val="16"/>
          <w:szCs w:val="16"/>
          <w:lang w:val="es-MX"/>
        </w:rPr>
        <w:t>Kawas</w:t>
      </w:r>
      <w:proofErr w:type="spellEnd"/>
      <w:r w:rsidRPr="008D2569">
        <w:rPr>
          <w:rFonts w:ascii="Verdana" w:eastAsia="Times New Roman" w:hAnsi="Verdana" w:cs="Times New Roman"/>
          <w:bCs/>
          <w:i/>
          <w:sz w:val="16"/>
          <w:szCs w:val="16"/>
          <w:lang w:val="es-MX"/>
        </w:rPr>
        <w:t xml:space="preserve"> Fernández Vs. Honduras</w:t>
      </w:r>
      <w:r>
        <w:rPr>
          <w:rFonts w:ascii="Verdana" w:eastAsia="Times New Roman" w:hAnsi="Verdana" w:cs="Times New Roman"/>
          <w:bCs/>
          <w:i/>
          <w:sz w:val="16"/>
          <w:szCs w:val="16"/>
          <w:lang w:val="es-MX"/>
        </w:rPr>
        <w:t>, supra,</w:t>
      </w:r>
      <w:r w:rsidRPr="008D2569">
        <w:rPr>
          <w:rFonts w:ascii="Verdana" w:eastAsia="Times New Roman" w:hAnsi="Verdana" w:cs="Times New Roman"/>
          <w:bCs/>
          <w:sz w:val="16"/>
          <w:szCs w:val="16"/>
          <w:lang w:val="es-MX"/>
        </w:rPr>
        <w:t xml:space="preserve"> párr. 146. </w:t>
      </w:r>
    </w:p>
    <w:p w14:paraId="7493C4AB" w14:textId="77777777" w:rsidR="008F53FE" w:rsidRPr="00426B3D" w:rsidRDefault="008F53FE" w:rsidP="002F0B14">
      <w:pPr>
        <w:pStyle w:val="FootnoteText"/>
        <w:rPr>
          <w:color w:val="FF0000"/>
          <w:sz w:val="16"/>
          <w:szCs w:val="16"/>
          <w:lang w:val="es-ES_tradnl"/>
        </w:rPr>
      </w:pPr>
    </w:p>
  </w:footnote>
  <w:footnote w:id="63">
    <w:p w14:paraId="3ADA6889" w14:textId="5C57F627"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959C6">
        <w:rPr>
          <w:sz w:val="16"/>
          <w:szCs w:val="16"/>
          <w:lang w:val="es-MX"/>
        </w:rPr>
        <w:tab/>
      </w:r>
      <w:r w:rsidRPr="00CF137F">
        <w:rPr>
          <w:i/>
          <w:sz w:val="16"/>
          <w:szCs w:val="16"/>
          <w:lang w:val="es-ES_tradnl"/>
        </w:rPr>
        <w:t>Cfr</w:t>
      </w:r>
      <w:r w:rsidRPr="00CF137F">
        <w:rPr>
          <w:sz w:val="16"/>
          <w:szCs w:val="16"/>
          <w:lang w:val="es-ES_tradnl"/>
        </w:rPr>
        <w:t xml:space="preserve">. </w:t>
      </w:r>
      <w:r w:rsidRPr="00C959C6">
        <w:rPr>
          <w:i/>
          <w:sz w:val="16"/>
          <w:szCs w:val="16"/>
          <w:lang w:val="es-MX"/>
        </w:rPr>
        <w:t xml:space="preserve">Caso Lagos del Campo Vs. </w:t>
      </w:r>
      <w:r w:rsidRPr="00BA6F15">
        <w:rPr>
          <w:i/>
          <w:sz w:val="16"/>
          <w:szCs w:val="16"/>
          <w:lang w:val="es-MX"/>
        </w:rPr>
        <w:t>Perú</w:t>
      </w:r>
      <w:r>
        <w:rPr>
          <w:i/>
          <w:sz w:val="16"/>
          <w:szCs w:val="16"/>
          <w:lang w:val="es-MX"/>
        </w:rPr>
        <w:t>,</w:t>
      </w:r>
      <w:r w:rsidRPr="00BA6F15">
        <w:rPr>
          <w:i/>
          <w:sz w:val="16"/>
          <w:szCs w:val="16"/>
          <w:lang w:val="es-MX"/>
        </w:rPr>
        <w:t xml:space="preserve"> </w:t>
      </w:r>
      <w:r>
        <w:rPr>
          <w:i/>
          <w:sz w:val="16"/>
          <w:szCs w:val="16"/>
          <w:lang w:val="es-MX"/>
        </w:rPr>
        <w:t>supra</w:t>
      </w:r>
      <w:r w:rsidRPr="00C959C6">
        <w:rPr>
          <w:sz w:val="16"/>
          <w:szCs w:val="16"/>
          <w:lang w:val="es-MX"/>
        </w:rPr>
        <w:t xml:space="preserve">, párr. </w:t>
      </w:r>
      <w:r w:rsidRPr="00CF137F">
        <w:rPr>
          <w:sz w:val="16"/>
          <w:szCs w:val="16"/>
          <w:lang w:val="es-ES_tradnl"/>
        </w:rPr>
        <w:t>161.</w:t>
      </w:r>
    </w:p>
  </w:footnote>
  <w:footnote w:id="64">
    <w:p w14:paraId="3BAAC047" w14:textId="284D208B"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F137F">
        <w:rPr>
          <w:sz w:val="16"/>
          <w:szCs w:val="16"/>
          <w:lang w:val="es-ES_tradnl"/>
        </w:rPr>
        <w:tab/>
      </w:r>
      <w:r w:rsidRPr="00CF137F">
        <w:rPr>
          <w:i/>
          <w:sz w:val="16"/>
          <w:szCs w:val="16"/>
          <w:lang w:val="es-ES_tradnl"/>
        </w:rPr>
        <w:t>Cfr</w:t>
      </w:r>
      <w:r w:rsidRPr="00CF137F">
        <w:rPr>
          <w:sz w:val="16"/>
          <w:szCs w:val="16"/>
          <w:lang w:val="es-ES_tradnl"/>
        </w:rPr>
        <w:t xml:space="preserve">. </w:t>
      </w:r>
      <w:r w:rsidRPr="00C959C6">
        <w:rPr>
          <w:i/>
          <w:sz w:val="16"/>
          <w:szCs w:val="16"/>
          <w:lang w:val="es-MX"/>
        </w:rPr>
        <w:t xml:space="preserve">Caso Lagos del Campo Vs. </w:t>
      </w:r>
      <w:r w:rsidRPr="00BA6F15">
        <w:rPr>
          <w:i/>
          <w:sz w:val="16"/>
          <w:szCs w:val="16"/>
          <w:lang w:val="es-CR"/>
        </w:rPr>
        <w:t>Perú, supra</w:t>
      </w:r>
      <w:r w:rsidRPr="00C959C6">
        <w:rPr>
          <w:sz w:val="16"/>
          <w:szCs w:val="16"/>
          <w:lang w:val="es-MX"/>
        </w:rPr>
        <w:t xml:space="preserve">, párr. </w:t>
      </w:r>
      <w:r w:rsidRPr="00CF137F">
        <w:rPr>
          <w:sz w:val="16"/>
          <w:szCs w:val="16"/>
          <w:lang w:val="es-ES_tradnl"/>
        </w:rPr>
        <w:t>162.</w:t>
      </w:r>
    </w:p>
  </w:footnote>
  <w:footnote w:id="65">
    <w:p w14:paraId="67E93632" w14:textId="4D33D48D"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F137F">
        <w:rPr>
          <w:sz w:val="16"/>
          <w:szCs w:val="16"/>
          <w:lang w:val="es-ES_tradnl"/>
        </w:rPr>
        <w:tab/>
      </w:r>
      <w:r w:rsidRPr="00CF137F">
        <w:rPr>
          <w:i/>
          <w:sz w:val="16"/>
          <w:szCs w:val="16"/>
          <w:lang w:val="es-ES_tradnl"/>
        </w:rPr>
        <w:t>Cfr</w:t>
      </w:r>
      <w:r w:rsidRPr="00CF137F">
        <w:rPr>
          <w:sz w:val="16"/>
          <w:szCs w:val="16"/>
          <w:lang w:val="es-ES_tradnl"/>
        </w:rPr>
        <w:t xml:space="preserve">. </w:t>
      </w:r>
      <w:r w:rsidRPr="00C959C6">
        <w:rPr>
          <w:i/>
          <w:sz w:val="16"/>
          <w:szCs w:val="16"/>
          <w:lang w:val="es-MX"/>
        </w:rPr>
        <w:t xml:space="preserve">Caso Lagos del Campo Vs. </w:t>
      </w:r>
      <w:r w:rsidRPr="00BA6F15">
        <w:rPr>
          <w:i/>
          <w:sz w:val="16"/>
          <w:szCs w:val="16"/>
          <w:lang w:val="es-CR"/>
        </w:rPr>
        <w:t>Perú, supra</w:t>
      </w:r>
      <w:r w:rsidRPr="00C959C6">
        <w:rPr>
          <w:sz w:val="16"/>
          <w:szCs w:val="16"/>
          <w:lang w:val="es-MX"/>
        </w:rPr>
        <w:t xml:space="preserve">, párrs. </w:t>
      </w:r>
      <w:r w:rsidRPr="00CF137F">
        <w:rPr>
          <w:sz w:val="16"/>
          <w:szCs w:val="16"/>
          <w:lang w:val="es-ES_tradnl"/>
        </w:rPr>
        <w:t xml:space="preserve">157 y 158. </w:t>
      </w:r>
    </w:p>
  </w:footnote>
  <w:footnote w:id="66">
    <w:p w14:paraId="78D1019D" w14:textId="74A61E11"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959C6">
        <w:rPr>
          <w:sz w:val="16"/>
          <w:szCs w:val="16"/>
          <w:lang w:val="es-MX"/>
        </w:rPr>
        <w:tab/>
      </w:r>
      <w:r w:rsidRPr="00CF137F">
        <w:rPr>
          <w:i/>
          <w:sz w:val="16"/>
          <w:szCs w:val="16"/>
          <w:lang w:val="es-ES_tradnl"/>
        </w:rPr>
        <w:t>Cfr</w:t>
      </w:r>
      <w:r w:rsidRPr="00CF137F">
        <w:rPr>
          <w:sz w:val="16"/>
          <w:szCs w:val="16"/>
          <w:lang w:val="es-ES_tradnl"/>
        </w:rPr>
        <w:t xml:space="preserve">. </w:t>
      </w:r>
      <w:r w:rsidRPr="00C959C6">
        <w:rPr>
          <w:i/>
          <w:sz w:val="16"/>
          <w:szCs w:val="16"/>
          <w:lang w:val="es-MX"/>
        </w:rPr>
        <w:t xml:space="preserve">Caso Lagos del Campo Vs. </w:t>
      </w:r>
      <w:r w:rsidRPr="00BA6F15">
        <w:rPr>
          <w:i/>
          <w:sz w:val="16"/>
          <w:szCs w:val="16"/>
          <w:lang w:val="es-CR"/>
        </w:rPr>
        <w:t>Perú, supra</w:t>
      </w:r>
      <w:r w:rsidRPr="00C959C6">
        <w:rPr>
          <w:sz w:val="16"/>
          <w:szCs w:val="16"/>
          <w:lang w:val="es-MX"/>
        </w:rPr>
        <w:t xml:space="preserve">, párrs. </w:t>
      </w:r>
      <w:r w:rsidRPr="00CF137F">
        <w:rPr>
          <w:sz w:val="16"/>
          <w:szCs w:val="16"/>
          <w:lang w:val="es-ES_tradnl"/>
        </w:rPr>
        <w:t>159 y 160.</w:t>
      </w:r>
    </w:p>
  </w:footnote>
  <w:footnote w:id="67">
    <w:p w14:paraId="53FFAD4B" w14:textId="36BC0AC2"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959C6">
        <w:rPr>
          <w:sz w:val="16"/>
          <w:szCs w:val="16"/>
          <w:lang w:val="es-MX"/>
        </w:rPr>
        <w:tab/>
      </w:r>
      <w:r w:rsidRPr="00CF137F">
        <w:rPr>
          <w:i/>
          <w:sz w:val="16"/>
          <w:szCs w:val="16"/>
          <w:lang w:val="es-ES_tradnl"/>
        </w:rPr>
        <w:t>Cfr</w:t>
      </w:r>
      <w:r w:rsidRPr="00CF137F">
        <w:rPr>
          <w:sz w:val="16"/>
          <w:szCs w:val="16"/>
          <w:lang w:val="es-ES_tradnl"/>
        </w:rPr>
        <w:t xml:space="preserve">. </w:t>
      </w:r>
      <w:r w:rsidRPr="00C959C6">
        <w:rPr>
          <w:i/>
          <w:sz w:val="16"/>
          <w:szCs w:val="16"/>
          <w:lang w:val="es-MX"/>
        </w:rPr>
        <w:t xml:space="preserve">Caso Lagos del Campo Vs. </w:t>
      </w:r>
      <w:r w:rsidRPr="00BA6F15">
        <w:rPr>
          <w:i/>
          <w:sz w:val="16"/>
          <w:szCs w:val="16"/>
          <w:lang w:val="es-CR"/>
        </w:rPr>
        <w:t>Perú, supra</w:t>
      </w:r>
      <w:r w:rsidRPr="00C959C6">
        <w:rPr>
          <w:sz w:val="16"/>
          <w:szCs w:val="16"/>
          <w:lang w:val="es-MX"/>
        </w:rPr>
        <w:t xml:space="preserve">, párr. </w:t>
      </w:r>
      <w:r w:rsidRPr="00CF137F">
        <w:rPr>
          <w:sz w:val="16"/>
          <w:szCs w:val="16"/>
          <w:lang w:val="es-ES_tradnl"/>
        </w:rPr>
        <w:t xml:space="preserve">157. </w:t>
      </w:r>
    </w:p>
  </w:footnote>
  <w:footnote w:id="68">
    <w:p w14:paraId="51A87F89" w14:textId="7379F93F" w:rsidR="008F53FE" w:rsidRPr="00C959C6" w:rsidRDefault="008F53FE" w:rsidP="004D230F">
      <w:pPr>
        <w:pStyle w:val="FootnoteText"/>
        <w:jc w:val="both"/>
        <w:rPr>
          <w:sz w:val="16"/>
          <w:szCs w:val="16"/>
          <w:lang w:val="es-MX"/>
        </w:rPr>
      </w:pPr>
      <w:r w:rsidRPr="004D230F">
        <w:rPr>
          <w:rStyle w:val="FootnoteReference"/>
          <w:sz w:val="16"/>
          <w:szCs w:val="16"/>
        </w:rPr>
        <w:footnoteRef/>
      </w:r>
      <w:r w:rsidRPr="00C959C6">
        <w:rPr>
          <w:sz w:val="16"/>
          <w:szCs w:val="16"/>
          <w:lang w:val="es-MX"/>
        </w:rPr>
        <w:t xml:space="preserve"> </w:t>
      </w:r>
      <w:r w:rsidRPr="004D230F">
        <w:rPr>
          <w:sz w:val="16"/>
          <w:szCs w:val="16"/>
          <w:lang w:val="es-ES_tradnl"/>
        </w:rPr>
        <w:tab/>
      </w:r>
      <w:r w:rsidRPr="00C959C6">
        <w:rPr>
          <w:i/>
          <w:sz w:val="16"/>
          <w:szCs w:val="16"/>
          <w:lang w:val="es-MX"/>
        </w:rPr>
        <w:t>Cfr.</w:t>
      </w:r>
      <w:r w:rsidRPr="00C959C6">
        <w:rPr>
          <w:sz w:val="16"/>
          <w:szCs w:val="16"/>
          <w:lang w:val="es-MX"/>
        </w:rPr>
        <w:t xml:space="preserve"> </w:t>
      </w:r>
      <w:r w:rsidRPr="00C959C6">
        <w:rPr>
          <w:i/>
          <w:sz w:val="16"/>
          <w:szCs w:val="16"/>
          <w:lang w:val="es-MX"/>
        </w:rPr>
        <w:t xml:space="preserve">Caso Lagos del Campo Vs. </w:t>
      </w:r>
      <w:r w:rsidRPr="00BA6F15">
        <w:rPr>
          <w:i/>
          <w:sz w:val="16"/>
          <w:szCs w:val="16"/>
          <w:lang w:val="es-CR"/>
        </w:rPr>
        <w:t>Perú, supra</w:t>
      </w:r>
      <w:r w:rsidRPr="00C959C6">
        <w:rPr>
          <w:sz w:val="16"/>
          <w:szCs w:val="16"/>
          <w:lang w:val="es-MX"/>
        </w:rPr>
        <w:t xml:space="preserve">, párrs. 158 y 163. </w:t>
      </w:r>
    </w:p>
    <w:p w14:paraId="48317B8B" w14:textId="77777777" w:rsidR="008F53FE" w:rsidRPr="008F14B6" w:rsidRDefault="008F53FE" w:rsidP="004D230F">
      <w:pPr>
        <w:pStyle w:val="FootnoteText"/>
        <w:jc w:val="both"/>
        <w:rPr>
          <w:sz w:val="16"/>
          <w:szCs w:val="16"/>
          <w:lang w:val="es-ES_tradnl"/>
        </w:rPr>
      </w:pPr>
    </w:p>
  </w:footnote>
  <w:footnote w:id="69">
    <w:p w14:paraId="0537E1FE" w14:textId="1B368D8C" w:rsidR="008F53FE" w:rsidRPr="00CF137F" w:rsidRDefault="008F53FE" w:rsidP="000B0BD3">
      <w:pPr>
        <w:pStyle w:val="FootnoteText"/>
        <w:spacing w:after="120"/>
        <w:jc w:val="both"/>
        <w:rPr>
          <w:sz w:val="16"/>
          <w:szCs w:val="16"/>
          <w:lang w:val="es-ES_tradnl"/>
        </w:rPr>
      </w:pPr>
      <w:r w:rsidRPr="00CF137F">
        <w:rPr>
          <w:rStyle w:val="FootnoteReference"/>
          <w:sz w:val="16"/>
          <w:szCs w:val="16"/>
        </w:rPr>
        <w:footnoteRef/>
      </w:r>
      <w:r w:rsidRPr="00C959C6">
        <w:rPr>
          <w:sz w:val="16"/>
          <w:szCs w:val="16"/>
          <w:lang w:val="es-MX"/>
        </w:rPr>
        <w:t xml:space="preserve"> </w:t>
      </w:r>
      <w:r w:rsidRPr="00C959C6">
        <w:rPr>
          <w:sz w:val="16"/>
          <w:szCs w:val="16"/>
          <w:lang w:val="es-MX"/>
        </w:rPr>
        <w:tab/>
      </w:r>
      <w:r w:rsidRPr="00CF137F">
        <w:rPr>
          <w:i/>
          <w:sz w:val="16"/>
          <w:szCs w:val="16"/>
          <w:lang w:val="es-ES_tradnl"/>
        </w:rPr>
        <w:t>Cfr</w:t>
      </w:r>
      <w:r w:rsidRPr="00CF137F">
        <w:rPr>
          <w:sz w:val="16"/>
          <w:szCs w:val="16"/>
          <w:lang w:val="es-ES_tradnl"/>
        </w:rPr>
        <w:t xml:space="preserve">. </w:t>
      </w:r>
      <w:r w:rsidRPr="00C959C6">
        <w:rPr>
          <w:i/>
          <w:sz w:val="16"/>
          <w:szCs w:val="16"/>
          <w:lang w:val="es-MX"/>
        </w:rPr>
        <w:t xml:space="preserve">Caso Lagos del Campo Vs. </w:t>
      </w:r>
      <w:r w:rsidRPr="00FC4FC8">
        <w:rPr>
          <w:i/>
          <w:sz w:val="16"/>
          <w:szCs w:val="16"/>
          <w:lang w:val="es-CR"/>
        </w:rPr>
        <w:t>Perú, supra</w:t>
      </w:r>
      <w:r w:rsidRPr="00C959C6">
        <w:rPr>
          <w:sz w:val="16"/>
          <w:szCs w:val="16"/>
          <w:lang w:val="es-MX"/>
        </w:rPr>
        <w:t xml:space="preserve">, párr. </w:t>
      </w:r>
      <w:r w:rsidRPr="00CF137F">
        <w:rPr>
          <w:sz w:val="16"/>
          <w:szCs w:val="16"/>
          <w:lang w:val="es-ES_tradnl"/>
        </w:rPr>
        <w:t xml:space="preserve">158. </w:t>
      </w:r>
    </w:p>
  </w:footnote>
  <w:footnote w:id="70">
    <w:p w14:paraId="243E6F84" w14:textId="4B18AF53" w:rsidR="008F53FE" w:rsidRPr="00944BC3" w:rsidRDefault="008F53FE" w:rsidP="00944BC3">
      <w:pPr>
        <w:spacing w:after="120"/>
        <w:jc w:val="both"/>
        <w:rPr>
          <w:rFonts w:ascii="Verdana" w:hAnsi="Verdana" w:cs="Times New Roman"/>
          <w:b/>
          <w:sz w:val="16"/>
          <w:szCs w:val="16"/>
          <w:lang w:val="es-ES"/>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t xml:space="preserve">El Protocolo de San Salvador dispone: </w:t>
      </w:r>
      <w:r>
        <w:rPr>
          <w:rFonts w:ascii="Verdana" w:hAnsi="Verdana"/>
          <w:sz w:val="16"/>
          <w:szCs w:val="16"/>
        </w:rPr>
        <w:t>“</w:t>
      </w:r>
      <w:r>
        <w:rPr>
          <w:rFonts w:ascii="Verdana" w:hAnsi="Verdana" w:cs="Times New Roman"/>
          <w:sz w:val="16"/>
          <w:szCs w:val="16"/>
          <w:lang w:val="es-ES"/>
        </w:rPr>
        <w:t>Art. 6.</w:t>
      </w:r>
      <w:r w:rsidRPr="00CF137F">
        <w:rPr>
          <w:rFonts w:ascii="Verdana" w:hAnsi="Verdana" w:cs="Times New Roman"/>
          <w:sz w:val="16"/>
          <w:szCs w:val="16"/>
          <w:lang w:val="es-ES"/>
        </w:rPr>
        <w:t xml:space="preserve"> </w:t>
      </w:r>
      <w:r w:rsidRPr="00CF137F">
        <w:rPr>
          <w:rFonts w:ascii="Verdana" w:hAnsi="Verdana" w:cs="Times New Roman"/>
          <w:bCs/>
          <w:sz w:val="16"/>
          <w:szCs w:val="16"/>
          <w:lang w:val="es-ES"/>
        </w:rPr>
        <w:t>Derecho al Trabajo del Protocolo de San Salvador</w:t>
      </w:r>
      <w:r w:rsidRPr="00CF137F">
        <w:rPr>
          <w:rFonts w:ascii="Verdana" w:hAnsi="Verdana" w:cs="Times New Roman"/>
          <w:sz w:val="16"/>
          <w:szCs w:val="16"/>
          <w:lang w:val="es-ES"/>
        </w:rPr>
        <w:t>. 1. Toda persona tiene derecho al trabajo, el cual incluye la oportunidad de obtener los medios para llevar una vida digna y decorosa a través del desempeño de una actividad lícita libremente escogida o aceptada. 2. Los Estados partes se comprometen a adoptar las medidas que garanticen plena efectividad al  derecho al trabajo, en especial las referidas al logro del pleno empleo,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r>
        <w:rPr>
          <w:rFonts w:ascii="Verdana" w:hAnsi="Verdana" w:cs="Times New Roman"/>
          <w:sz w:val="16"/>
          <w:szCs w:val="16"/>
          <w:lang w:val="es-ES"/>
        </w:rPr>
        <w:t>”</w:t>
      </w:r>
      <w:r w:rsidRPr="00CF137F">
        <w:rPr>
          <w:rFonts w:ascii="Verdana" w:hAnsi="Verdana" w:cs="Times New Roman"/>
          <w:sz w:val="16"/>
          <w:szCs w:val="16"/>
          <w:lang w:val="es-ES"/>
        </w:rPr>
        <w:t>.</w:t>
      </w:r>
    </w:p>
  </w:footnote>
  <w:footnote w:id="71">
    <w:p w14:paraId="1D65DA77" w14:textId="16C1A3EB" w:rsidR="008F53FE" w:rsidRDefault="008F53FE" w:rsidP="005D6C54">
      <w:pPr>
        <w:pStyle w:val="ListParagraph"/>
        <w:widowControl w:val="0"/>
        <w:autoSpaceDE w:val="0"/>
        <w:autoSpaceDN w:val="0"/>
        <w:adjustRightInd w:val="0"/>
        <w:ind w:left="0" w:right="49"/>
        <w:jc w:val="both"/>
        <w:rPr>
          <w:rFonts w:ascii="Verdana" w:eastAsia="Times New Roman" w:hAnsi="Verdana" w:cs="Times New Roman"/>
          <w:bCs/>
          <w:sz w:val="16"/>
          <w:szCs w:val="16"/>
          <w:lang w:val="es-MX"/>
        </w:rPr>
      </w:pPr>
      <w:r w:rsidRPr="008D2569">
        <w:rPr>
          <w:rStyle w:val="FootnoteReference"/>
          <w:rFonts w:ascii="Verdana" w:hAnsi="Verdana"/>
          <w:sz w:val="16"/>
          <w:szCs w:val="16"/>
        </w:rPr>
        <w:footnoteRef/>
      </w:r>
      <w:r w:rsidRPr="008D2569">
        <w:rPr>
          <w:rFonts w:ascii="Verdana" w:hAnsi="Verdana"/>
          <w:sz w:val="16"/>
          <w:szCs w:val="16"/>
        </w:rPr>
        <w:t xml:space="preserve"> </w:t>
      </w:r>
      <w:r w:rsidRPr="008D2569">
        <w:rPr>
          <w:rFonts w:ascii="Verdana" w:hAnsi="Verdana"/>
          <w:sz w:val="16"/>
          <w:szCs w:val="16"/>
        </w:rPr>
        <w:tab/>
        <w:t xml:space="preserve">Si bien en </w:t>
      </w:r>
      <w:r w:rsidRPr="008D2569">
        <w:rPr>
          <w:rFonts w:ascii="Verdana" w:hAnsi="Verdana" w:cs="Times New Roman"/>
          <w:sz w:val="16"/>
          <w:szCs w:val="16"/>
        </w:rPr>
        <w:t xml:space="preserve">el </w:t>
      </w:r>
      <w:r w:rsidRPr="008D2569">
        <w:rPr>
          <w:rFonts w:ascii="Verdana" w:hAnsi="Verdana" w:cs="Times New Roman"/>
          <w:i/>
          <w:sz w:val="16"/>
          <w:szCs w:val="16"/>
        </w:rPr>
        <w:t xml:space="preserve">caso </w:t>
      </w:r>
      <w:proofErr w:type="spellStart"/>
      <w:r w:rsidRPr="008D2569">
        <w:rPr>
          <w:rFonts w:ascii="Verdana" w:hAnsi="Verdana" w:cs="Times New Roman"/>
          <w:i/>
          <w:sz w:val="16"/>
          <w:szCs w:val="16"/>
        </w:rPr>
        <w:t>Kawas</w:t>
      </w:r>
      <w:proofErr w:type="spellEnd"/>
      <w:r w:rsidRPr="008D2569">
        <w:rPr>
          <w:rFonts w:ascii="Verdana" w:hAnsi="Verdana" w:cs="Times New Roman"/>
          <w:i/>
          <w:sz w:val="16"/>
          <w:szCs w:val="16"/>
        </w:rPr>
        <w:t xml:space="preserve"> Fernández</w:t>
      </w:r>
      <w:r w:rsidRPr="008D2569">
        <w:rPr>
          <w:rFonts w:ascii="Verdana" w:hAnsi="Verdana" w:cs="Times New Roman"/>
          <w:sz w:val="16"/>
          <w:szCs w:val="16"/>
        </w:rPr>
        <w:t xml:space="preserve"> la Corte IDH considera la violación del artículo 16 de la Convención Americana, este se refiere a la labor como defensora de derechos humanos (del medio ambiente, es decir, </w:t>
      </w:r>
      <w:r w:rsidRPr="008D2569">
        <w:rPr>
          <w:rFonts w:ascii="Verdana" w:eastAsia="Times New Roman" w:hAnsi="Verdana" w:cs="Tahoma"/>
          <w:sz w:val="16"/>
          <w:szCs w:val="16"/>
          <w:shd w:val="clear" w:color="auto" w:fill="FFFFFF"/>
        </w:rPr>
        <w:t xml:space="preserve">por </w:t>
      </w:r>
      <w:r w:rsidRPr="008D2569">
        <w:rPr>
          <w:rFonts w:ascii="Verdana" w:hAnsi="Verdana"/>
          <w:sz w:val="16"/>
          <w:szCs w:val="16"/>
          <w:u w:val="single"/>
        </w:rPr>
        <w:t>formar y participar libremente en organizaciones, asociaciones o grupos no gubernamentales orientados a la vigilancia, denuncia y promoción de los derechos humanos, no por ser parte de una asociación laboral.</w:t>
      </w:r>
      <w:r w:rsidRPr="008D2569">
        <w:rPr>
          <w:rFonts w:ascii="Verdana" w:hAnsi="Verdana"/>
          <w:sz w:val="16"/>
          <w:szCs w:val="16"/>
        </w:rPr>
        <w:t xml:space="preserve"> </w:t>
      </w:r>
      <w:r w:rsidRPr="008D2569">
        <w:rPr>
          <w:rFonts w:ascii="Verdana" w:hAnsi="Verdana"/>
          <w:i/>
          <w:sz w:val="16"/>
          <w:szCs w:val="16"/>
        </w:rPr>
        <w:t>Cfr.</w:t>
      </w:r>
      <w:r w:rsidRPr="008D2569">
        <w:rPr>
          <w:rFonts w:ascii="Verdana" w:hAnsi="Verdana"/>
          <w:sz w:val="16"/>
          <w:szCs w:val="16"/>
        </w:rPr>
        <w:t xml:space="preserve"> </w:t>
      </w:r>
      <w:r w:rsidRPr="008D2569">
        <w:rPr>
          <w:rFonts w:ascii="Verdana" w:eastAsia="Times New Roman" w:hAnsi="Verdana" w:cs="Times New Roman"/>
          <w:bCs/>
          <w:i/>
          <w:sz w:val="16"/>
          <w:szCs w:val="16"/>
          <w:lang w:val="es-MX"/>
        </w:rPr>
        <w:t xml:space="preserve">Caso </w:t>
      </w:r>
      <w:proofErr w:type="spellStart"/>
      <w:r w:rsidRPr="008D2569">
        <w:rPr>
          <w:rFonts w:ascii="Verdana" w:eastAsia="Times New Roman" w:hAnsi="Verdana" w:cs="Times New Roman"/>
          <w:bCs/>
          <w:i/>
          <w:sz w:val="16"/>
          <w:szCs w:val="16"/>
          <w:lang w:val="es-MX"/>
        </w:rPr>
        <w:t>Kawas</w:t>
      </w:r>
      <w:proofErr w:type="spellEnd"/>
      <w:r w:rsidRPr="008D2569">
        <w:rPr>
          <w:rFonts w:ascii="Verdana" w:eastAsia="Times New Roman" w:hAnsi="Verdana" w:cs="Times New Roman"/>
          <w:bCs/>
          <w:i/>
          <w:sz w:val="16"/>
          <w:szCs w:val="16"/>
          <w:lang w:val="es-MX"/>
        </w:rPr>
        <w:t xml:space="preserve"> Fernández Vs. Honduras. Fondo, Reparaciones y Costas</w:t>
      </w:r>
      <w:r w:rsidRPr="008D2569">
        <w:rPr>
          <w:rFonts w:ascii="Verdana" w:eastAsia="Times New Roman" w:hAnsi="Verdana" w:cs="Times New Roman"/>
          <w:bCs/>
          <w:sz w:val="16"/>
          <w:szCs w:val="16"/>
          <w:lang w:val="es-MX"/>
        </w:rPr>
        <w:t>. Sentencia de 3 de abril de 2009. Serie C No. 196, párr. 146.</w:t>
      </w:r>
    </w:p>
    <w:p w14:paraId="1DBA3D20" w14:textId="77777777" w:rsidR="008F53FE" w:rsidRPr="005D6C54" w:rsidRDefault="008F53FE" w:rsidP="005D6C54">
      <w:pPr>
        <w:pStyle w:val="ListParagraph"/>
        <w:widowControl w:val="0"/>
        <w:autoSpaceDE w:val="0"/>
        <w:autoSpaceDN w:val="0"/>
        <w:adjustRightInd w:val="0"/>
        <w:ind w:left="0" w:right="49"/>
        <w:jc w:val="both"/>
        <w:rPr>
          <w:rFonts w:ascii="Verdana" w:eastAsia="Times New Roman" w:hAnsi="Verdana" w:cs="Tahoma"/>
          <w:sz w:val="16"/>
          <w:szCs w:val="16"/>
          <w:shd w:val="clear" w:color="auto" w:fill="FFFFFF"/>
        </w:rPr>
      </w:pPr>
    </w:p>
  </w:footnote>
  <w:footnote w:id="72">
    <w:p w14:paraId="4878FFDF" w14:textId="778FEE21" w:rsidR="008F53FE" w:rsidRDefault="008F53FE" w:rsidP="000C7DD1">
      <w:pPr>
        <w:pStyle w:val="FootnoteText"/>
        <w:jc w:val="both"/>
        <w:rPr>
          <w:sz w:val="16"/>
          <w:szCs w:val="16"/>
          <w:lang w:val="es-ES_tradnl"/>
        </w:rPr>
      </w:pPr>
      <w:r w:rsidRPr="008D2569">
        <w:rPr>
          <w:rStyle w:val="FootnoteReference"/>
          <w:sz w:val="16"/>
          <w:szCs w:val="16"/>
        </w:rPr>
        <w:footnoteRef/>
      </w:r>
      <w:r w:rsidRPr="00C959C6">
        <w:rPr>
          <w:sz w:val="16"/>
          <w:szCs w:val="16"/>
          <w:lang w:val="es-MX"/>
        </w:rPr>
        <w:t xml:space="preserve"> </w:t>
      </w:r>
      <w:r w:rsidRPr="00C959C6">
        <w:rPr>
          <w:sz w:val="16"/>
          <w:szCs w:val="16"/>
          <w:lang w:val="es-MX"/>
        </w:rPr>
        <w:tab/>
        <w:t>El supues</w:t>
      </w:r>
      <w:r>
        <w:rPr>
          <w:sz w:val="16"/>
          <w:szCs w:val="16"/>
          <w:lang w:val="es-MX"/>
        </w:rPr>
        <w:t>to del Señor Lagos del Campo es</w:t>
      </w:r>
      <w:r w:rsidRPr="00C959C6">
        <w:rPr>
          <w:sz w:val="16"/>
          <w:szCs w:val="16"/>
          <w:lang w:val="es-MX"/>
        </w:rPr>
        <w:t xml:space="preserve"> un tipo especifico de asociación laboral (</w:t>
      </w:r>
      <w:r w:rsidRPr="00C959C6">
        <w:rPr>
          <w:rFonts w:cs="Tahoma"/>
          <w:sz w:val="16"/>
          <w:szCs w:val="16"/>
          <w:shd w:val="clear" w:color="auto" w:fill="FFFFFF"/>
          <w:lang w:val="es-MX"/>
        </w:rPr>
        <w:t xml:space="preserve">para la defensa y promoción de sus intereses). </w:t>
      </w:r>
    </w:p>
    <w:p w14:paraId="2CA6CB57" w14:textId="77777777" w:rsidR="008F53FE" w:rsidRPr="000C7DD1" w:rsidRDefault="008F53FE" w:rsidP="000C7DD1">
      <w:pPr>
        <w:pStyle w:val="FootnoteText"/>
        <w:jc w:val="both"/>
        <w:rPr>
          <w:sz w:val="16"/>
          <w:szCs w:val="16"/>
          <w:lang w:val="es-ES_tradnl"/>
        </w:rPr>
      </w:pPr>
    </w:p>
  </w:footnote>
  <w:footnote w:id="73">
    <w:p w14:paraId="4C56F7AF" w14:textId="17E16004" w:rsidR="008F53FE" w:rsidRPr="00CF137F" w:rsidRDefault="008F53FE" w:rsidP="007E1678">
      <w:pPr>
        <w:spacing w:after="120"/>
        <w:jc w:val="both"/>
        <w:rPr>
          <w:rFonts w:ascii="Verdana" w:eastAsia="Times New Roman" w:hAnsi="Verdana" w:cs="Times New Roman"/>
          <w:bCs/>
          <w:color w:val="000000"/>
          <w:sz w:val="16"/>
          <w:szCs w:val="16"/>
          <w:lang w:val="es-MX"/>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hAnsi="Verdana"/>
          <w:i/>
          <w:sz w:val="16"/>
          <w:szCs w:val="16"/>
        </w:rPr>
        <w:t>Cfr.</w:t>
      </w:r>
      <w:r w:rsidRPr="00CF137F">
        <w:rPr>
          <w:rFonts w:ascii="Verdana" w:hAnsi="Verdana"/>
          <w:sz w:val="16"/>
          <w:szCs w:val="16"/>
        </w:rPr>
        <w:t xml:space="preserve"> </w:t>
      </w:r>
      <w:r w:rsidRPr="00CF137F">
        <w:rPr>
          <w:rFonts w:ascii="Verdana" w:eastAsia="Times New Roman" w:hAnsi="Verdana" w:cs="Times New Roman"/>
          <w:bCs/>
          <w:i/>
          <w:color w:val="000000"/>
          <w:sz w:val="16"/>
          <w:szCs w:val="16"/>
          <w:lang w:val="es-MX"/>
        </w:rPr>
        <w:t>Caso "Cinco Pensionistas" Vs. Perú. Fondo, Reparaciones y Costas</w:t>
      </w:r>
      <w:r w:rsidRPr="00CF137F">
        <w:rPr>
          <w:rFonts w:ascii="Verdana" w:eastAsia="Times New Roman" w:hAnsi="Verdana" w:cs="Times New Roman"/>
          <w:bCs/>
          <w:color w:val="000000"/>
          <w:sz w:val="16"/>
          <w:szCs w:val="16"/>
          <w:lang w:val="es-MX"/>
        </w:rPr>
        <w:t xml:space="preserve">. Sentencia de 28 de febrero de 2003. Serie C No. 98, párr. 142. En el </w:t>
      </w:r>
      <w:r w:rsidRPr="00BA6F15">
        <w:rPr>
          <w:rFonts w:ascii="Verdana" w:eastAsia="Times New Roman" w:hAnsi="Verdana" w:cs="Times New Roman"/>
          <w:bCs/>
          <w:i/>
          <w:color w:val="000000"/>
          <w:sz w:val="16"/>
          <w:szCs w:val="16"/>
          <w:lang w:val="es-MX"/>
        </w:rPr>
        <w:t xml:space="preserve">Caso </w:t>
      </w:r>
      <w:proofErr w:type="spellStart"/>
      <w:r w:rsidRPr="00BA6F15">
        <w:rPr>
          <w:rFonts w:ascii="Verdana" w:eastAsia="Times New Roman" w:hAnsi="Verdana" w:cs="Times New Roman"/>
          <w:bCs/>
          <w:i/>
          <w:color w:val="000000"/>
          <w:sz w:val="16"/>
          <w:szCs w:val="16"/>
          <w:lang w:val="es-MX"/>
        </w:rPr>
        <w:t>Yakye</w:t>
      </w:r>
      <w:proofErr w:type="spellEnd"/>
      <w:r w:rsidRPr="00BA6F15">
        <w:rPr>
          <w:rFonts w:ascii="Verdana" w:eastAsia="Times New Roman" w:hAnsi="Verdana" w:cs="Times New Roman"/>
          <w:bCs/>
          <w:i/>
          <w:color w:val="000000"/>
          <w:sz w:val="16"/>
          <w:szCs w:val="16"/>
          <w:lang w:val="es-MX"/>
        </w:rPr>
        <w:t xml:space="preserve"> Axa Vs. Paraguay</w:t>
      </w:r>
      <w:r w:rsidRPr="00CF137F">
        <w:rPr>
          <w:rFonts w:ascii="Verdana" w:eastAsia="Times New Roman" w:hAnsi="Verdana" w:cs="Times New Roman"/>
          <w:bCs/>
          <w:color w:val="000000"/>
          <w:sz w:val="16"/>
          <w:szCs w:val="16"/>
          <w:lang w:val="es-MX"/>
        </w:rPr>
        <w:t xml:space="preserve"> (2005), la Comisión Interamericana relacionó el artículo 26 de la Convención Americana con la violación del artículo 4, en este sentido señaló que: “</w:t>
      </w:r>
      <w:r w:rsidRPr="00CF137F">
        <w:rPr>
          <w:rFonts w:ascii="Verdana" w:eastAsia="Times New Roman" w:hAnsi="Verdana"/>
          <w:bCs/>
          <w:color w:val="000000"/>
          <w:sz w:val="16"/>
          <w:szCs w:val="16"/>
        </w:rPr>
        <w:t xml:space="preserve"> 157. […] </w:t>
      </w:r>
      <w:r w:rsidRPr="00CF137F">
        <w:rPr>
          <w:rFonts w:ascii="Verdana" w:hAnsi="Verdana"/>
          <w:sz w:val="16"/>
          <w:szCs w:val="16"/>
        </w:rPr>
        <w:t xml:space="preserve">e) la situación de riesgo o vulnerabilidad de la Comunidad indígena </w:t>
      </w:r>
      <w:proofErr w:type="spellStart"/>
      <w:r w:rsidRPr="00CF137F">
        <w:rPr>
          <w:rFonts w:ascii="Verdana" w:hAnsi="Verdana"/>
          <w:sz w:val="16"/>
          <w:szCs w:val="16"/>
        </w:rPr>
        <w:t>Yakye</w:t>
      </w:r>
      <w:proofErr w:type="spellEnd"/>
      <w:r w:rsidRPr="00CF137F">
        <w:rPr>
          <w:rFonts w:ascii="Verdana" w:hAnsi="Verdana"/>
          <w:sz w:val="16"/>
          <w:szCs w:val="16"/>
        </w:rPr>
        <w:t xml:space="preserve"> Axa ha sido creada por la negligencia del Estado, lo cual no ha sido cuestionado; por el contrario, el propio Estado declaró en 1999 en “estado de emergencia a la Comunidad”. Esta negligencia se produjo en un contexto en que el Paraguay tiene el deber de garantizar las condiciones necesarias para la consecución de una vida digna, un deber que es subrayado por el compromiso recogido en el </w:t>
      </w:r>
      <w:proofErr w:type="spellStart"/>
      <w:r w:rsidRPr="00CF137F">
        <w:rPr>
          <w:rFonts w:ascii="Verdana" w:hAnsi="Verdana"/>
          <w:sz w:val="16"/>
          <w:szCs w:val="16"/>
        </w:rPr>
        <w:t>artículo</w:t>
      </w:r>
      <w:proofErr w:type="spellEnd"/>
      <w:r w:rsidRPr="00CF137F">
        <w:rPr>
          <w:rFonts w:ascii="Verdana" w:hAnsi="Verdana"/>
          <w:sz w:val="16"/>
          <w:szCs w:val="16"/>
        </w:rPr>
        <w:t xml:space="preserve"> 26 de la Convención Americana, de adoptar medidas apropiadas para alcanzar la completa realización de los derechos sociales. Sin embargo, a </w:t>
      </w:r>
      <w:proofErr w:type="spellStart"/>
      <w:r w:rsidRPr="00CF137F">
        <w:rPr>
          <w:rFonts w:ascii="Verdana" w:hAnsi="Verdana"/>
          <w:sz w:val="16"/>
          <w:szCs w:val="16"/>
        </w:rPr>
        <w:t>través</w:t>
      </w:r>
      <w:proofErr w:type="spellEnd"/>
      <w:r w:rsidRPr="00CF137F">
        <w:rPr>
          <w:rFonts w:ascii="Verdana" w:hAnsi="Verdana"/>
          <w:sz w:val="16"/>
          <w:szCs w:val="16"/>
        </w:rPr>
        <w:t xml:space="preserve"> de la omisión en sus </w:t>
      </w:r>
      <w:proofErr w:type="spellStart"/>
      <w:r w:rsidRPr="00CF137F">
        <w:rPr>
          <w:rFonts w:ascii="Verdana" w:hAnsi="Verdana"/>
          <w:sz w:val="16"/>
          <w:szCs w:val="16"/>
        </w:rPr>
        <w:t>políticas</w:t>
      </w:r>
      <w:proofErr w:type="spellEnd"/>
      <w:r w:rsidRPr="00CF137F">
        <w:rPr>
          <w:rFonts w:ascii="Verdana" w:hAnsi="Verdana"/>
          <w:sz w:val="16"/>
          <w:szCs w:val="16"/>
        </w:rPr>
        <w:t xml:space="preserve"> de salud el Estado disminuyo</w:t>
      </w:r>
      <w:r>
        <w:rPr>
          <w:rFonts w:ascii="Verdana" w:hAnsi="Verdana"/>
          <w:sz w:val="16"/>
          <w:szCs w:val="16"/>
        </w:rPr>
        <w:t xml:space="preserve">́ el goce de los miembros de la </w:t>
      </w:r>
      <w:r w:rsidRPr="00CF137F">
        <w:rPr>
          <w:rFonts w:ascii="Verdana" w:hAnsi="Verdana"/>
          <w:sz w:val="16"/>
          <w:szCs w:val="16"/>
        </w:rPr>
        <w:t xml:space="preserve">Comunidad </w:t>
      </w:r>
      <w:proofErr w:type="spellStart"/>
      <w:r w:rsidRPr="00CF137F">
        <w:rPr>
          <w:rFonts w:ascii="Verdana" w:hAnsi="Verdana"/>
          <w:sz w:val="16"/>
          <w:szCs w:val="16"/>
        </w:rPr>
        <w:t>Yakye</w:t>
      </w:r>
      <w:proofErr w:type="spellEnd"/>
      <w:r w:rsidRPr="00CF137F">
        <w:rPr>
          <w:rFonts w:ascii="Verdana" w:hAnsi="Verdana"/>
          <w:sz w:val="16"/>
          <w:szCs w:val="16"/>
        </w:rPr>
        <w:t xml:space="preserve"> Axa de las condiciones </w:t>
      </w:r>
      <w:proofErr w:type="spellStart"/>
      <w:r w:rsidRPr="00CF137F">
        <w:rPr>
          <w:rFonts w:ascii="Verdana" w:hAnsi="Verdana"/>
          <w:sz w:val="16"/>
          <w:szCs w:val="16"/>
        </w:rPr>
        <w:t>mínimas</w:t>
      </w:r>
      <w:proofErr w:type="spellEnd"/>
      <w:r w:rsidRPr="00CF137F">
        <w:rPr>
          <w:rFonts w:ascii="Verdana" w:hAnsi="Verdana"/>
          <w:sz w:val="16"/>
          <w:szCs w:val="16"/>
        </w:rPr>
        <w:t xml:space="preserve"> en el campo sanitario, alimenticio y </w:t>
      </w:r>
      <w:proofErr w:type="gramStart"/>
      <w:r w:rsidRPr="00CF137F">
        <w:rPr>
          <w:rFonts w:ascii="Verdana" w:hAnsi="Verdana"/>
          <w:sz w:val="16"/>
          <w:szCs w:val="16"/>
        </w:rPr>
        <w:t>habitacional[</w:t>
      </w:r>
      <w:proofErr w:type="gramEnd"/>
      <w:r w:rsidRPr="00CF137F">
        <w:rPr>
          <w:rFonts w:ascii="Verdana" w:hAnsi="Verdana"/>
          <w:sz w:val="16"/>
          <w:szCs w:val="16"/>
        </w:rPr>
        <w:t>…]”.</w:t>
      </w:r>
      <w:r>
        <w:rPr>
          <w:rFonts w:ascii="Verdana" w:hAnsi="Verdana"/>
          <w:sz w:val="16"/>
          <w:szCs w:val="16"/>
        </w:rPr>
        <w:t xml:space="preserve"> </w:t>
      </w:r>
      <w:r w:rsidRPr="00CF137F">
        <w:rPr>
          <w:rFonts w:ascii="Verdana" w:eastAsia="Times New Roman" w:hAnsi="Verdana" w:cs="Times New Roman"/>
          <w:bCs/>
          <w:i/>
          <w:color w:val="000000"/>
          <w:sz w:val="16"/>
          <w:szCs w:val="16"/>
          <w:lang w:val="es-MX"/>
        </w:rPr>
        <w:t xml:space="preserve">Caso Comunidad Indígena </w:t>
      </w:r>
      <w:proofErr w:type="spellStart"/>
      <w:r w:rsidRPr="00CF137F">
        <w:rPr>
          <w:rFonts w:ascii="Verdana" w:eastAsia="Times New Roman" w:hAnsi="Verdana" w:cs="Times New Roman"/>
          <w:bCs/>
          <w:i/>
          <w:color w:val="000000"/>
          <w:sz w:val="16"/>
          <w:szCs w:val="16"/>
          <w:lang w:val="es-MX"/>
        </w:rPr>
        <w:t>Yakye</w:t>
      </w:r>
      <w:proofErr w:type="spellEnd"/>
      <w:r w:rsidRPr="00CF137F">
        <w:rPr>
          <w:rFonts w:ascii="Verdana" w:eastAsia="Times New Roman" w:hAnsi="Verdana" w:cs="Times New Roman"/>
          <w:bCs/>
          <w:i/>
          <w:color w:val="000000"/>
          <w:sz w:val="16"/>
          <w:szCs w:val="16"/>
          <w:lang w:val="es-MX"/>
        </w:rPr>
        <w:t xml:space="preserve"> Axa Vs. Paraguay. Fondo Reparaciones y Costas</w:t>
      </w:r>
      <w:r w:rsidRPr="00CF137F">
        <w:rPr>
          <w:rFonts w:ascii="Verdana" w:eastAsia="Times New Roman" w:hAnsi="Verdana" w:cs="Times New Roman"/>
          <w:bCs/>
          <w:color w:val="000000"/>
          <w:sz w:val="16"/>
          <w:szCs w:val="16"/>
          <w:lang w:val="es-MX"/>
        </w:rPr>
        <w:t>. Sentencia 17 de junio de 200</w:t>
      </w:r>
      <w:r>
        <w:rPr>
          <w:rFonts w:ascii="Verdana" w:eastAsia="Times New Roman" w:hAnsi="Verdana" w:cs="Times New Roman"/>
          <w:bCs/>
          <w:color w:val="000000"/>
          <w:sz w:val="16"/>
          <w:szCs w:val="16"/>
          <w:lang w:val="es-MX"/>
        </w:rPr>
        <w:t>5. Serie C No. 125, párr. 157.</w:t>
      </w:r>
      <w:r w:rsidRPr="00CF137F">
        <w:rPr>
          <w:rFonts w:ascii="Verdana" w:eastAsia="Times New Roman" w:hAnsi="Verdana" w:cs="Times New Roman"/>
          <w:bCs/>
          <w:color w:val="000000"/>
          <w:sz w:val="16"/>
          <w:szCs w:val="16"/>
          <w:lang w:val="es-MX"/>
        </w:rPr>
        <w:t xml:space="preserve"> </w:t>
      </w:r>
    </w:p>
  </w:footnote>
  <w:footnote w:id="74">
    <w:p w14:paraId="344A7898" w14:textId="2F3C4C63" w:rsidR="008F53FE" w:rsidRPr="007D19F0" w:rsidRDefault="008F53FE" w:rsidP="007D19F0">
      <w:pPr>
        <w:spacing w:after="120"/>
        <w:jc w:val="both"/>
        <w:rPr>
          <w:rFonts w:ascii="Verdana" w:eastAsia="Times New Roman" w:hAnsi="Verdana" w:cs="Times New Roman"/>
          <w:bCs/>
          <w:color w:val="000000"/>
          <w:sz w:val="16"/>
          <w:szCs w:val="16"/>
          <w:lang w:val="es-MX"/>
        </w:rPr>
      </w:pPr>
      <w:r w:rsidRPr="00CF137F">
        <w:rPr>
          <w:rStyle w:val="FootnoteReference"/>
          <w:rFonts w:ascii="Verdana" w:hAnsi="Verdana"/>
          <w:sz w:val="16"/>
          <w:szCs w:val="16"/>
        </w:rPr>
        <w:footnoteRef/>
      </w:r>
      <w:r w:rsidRPr="00CF137F">
        <w:rPr>
          <w:rFonts w:ascii="Verdana" w:hAnsi="Verdana"/>
          <w:sz w:val="16"/>
          <w:szCs w:val="16"/>
        </w:rPr>
        <w:t xml:space="preserve"> </w:t>
      </w:r>
      <w:r w:rsidRPr="00CF137F">
        <w:rPr>
          <w:rFonts w:ascii="Verdana" w:hAnsi="Verdana"/>
          <w:sz w:val="16"/>
          <w:szCs w:val="16"/>
        </w:rPr>
        <w:tab/>
      </w:r>
      <w:r w:rsidRPr="00CF137F">
        <w:rPr>
          <w:rFonts w:ascii="Verdana" w:hAnsi="Verdana"/>
          <w:i/>
          <w:sz w:val="16"/>
          <w:szCs w:val="16"/>
        </w:rPr>
        <w:t>Cfr.</w:t>
      </w:r>
      <w:r w:rsidRPr="00CF137F">
        <w:rPr>
          <w:rFonts w:ascii="Verdana" w:hAnsi="Verdana"/>
          <w:sz w:val="16"/>
          <w:szCs w:val="16"/>
        </w:rPr>
        <w:t xml:space="preserve"> </w:t>
      </w:r>
      <w:r w:rsidRPr="00CF137F">
        <w:rPr>
          <w:rFonts w:ascii="Verdana" w:eastAsia="Times New Roman" w:hAnsi="Verdana" w:cs="Times New Roman"/>
          <w:bCs/>
          <w:i/>
          <w:color w:val="000000"/>
          <w:sz w:val="16"/>
          <w:szCs w:val="16"/>
          <w:lang w:val="es-MX"/>
        </w:rPr>
        <w:t>Caso "Instituto de Reeducación del Menor" Vs. Paraguay. Excepciones Preliminares, Fondo, Reparaciones y Costas.</w:t>
      </w:r>
      <w:r w:rsidRPr="00CF137F">
        <w:rPr>
          <w:rFonts w:ascii="Verdana" w:eastAsia="Times New Roman" w:hAnsi="Verdana" w:cs="Times New Roman"/>
          <w:bCs/>
          <w:color w:val="000000"/>
          <w:sz w:val="16"/>
          <w:szCs w:val="16"/>
          <w:lang w:val="es-MX"/>
        </w:rPr>
        <w:t xml:space="preserve"> Sentencia de 2 de septiembre de 2004. Serie C No. 112, párr. 253; </w:t>
      </w:r>
      <w:r w:rsidRPr="00CF137F">
        <w:rPr>
          <w:rFonts w:ascii="Verdana" w:eastAsia="Times New Roman" w:hAnsi="Verdana" w:cs="Times New Roman"/>
          <w:bCs/>
          <w:i/>
          <w:color w:val="000000"/>
          <w:sz w:val="16"/>
          <w:szCs w:val="16"/>
          <w:lang w:val="es-MX"/>
        </w:rPr>
        <w:t xml:space="preserve">Caso de las niñas </w:t>
      </w:r>
      <w:proofErr w:type="spellStart"/>
      <w:r w:rsidRPr="00CF137F">
        <w:rPr>
          <w:rFonts w:ascii="Verdana" w:eastAsia="Times New Roman" w:hAnsi="Verdana" w:cs="Times New Roman"/>
          <w:bCs/>
          <w:i/>
          <w:color w:val="000000"/>
          <w:sz w:val="16"/>
          <w:szCs w:val="16"/>
          <w:lang w:val="es-MX"/>
        </w:rPr>
        <w:t>Yean</w:t>
      </w:r>
      <w:proofErr w:type="spellEnd"/>
      <w:r w:rsidRPr="00CF137F">
        <w:rPr>
          <w:rFonts w:ascii="Verdana" w:eastAsia="Times New Roman" w:hAnsi="Verdana" w:cs="Times New Roman"/>
          <w:bCs/>
          <w:i/>
          <w:color w:val="000000"/>
          <w:sz w:val="16"/>
          <w:szCs w:val="16"/>
          <w:lang w:val="es-MX"/>
        </w:rPr>
        <w:t xml:space="preserve"> y </w:t>
      </w:r>
      <w:proofErr w:type="spellStart"/>
      <w:r w:rsidRPr="00CF137F">
        <w:rPr>
          <w:rFonts w:ascii="Verdana" w:eastAsia="Times New Roman" w:hAnsi="Verdana" w:cs="Times New Roman"/>
          <w:bCs/>
          <w:i/>
          <w:color w:val="000000"/>
          <w:sz w:val="16"/>
          <w:szCs w:val="16"/>
          <w:lang w:val="es-MX"/>
        </w:rPr>
        <w:t>Bosico</w:t>
      </w:r>
      <w:proofErr w:type="spellEnd"/>
      <w:r w:rsidRPr="00CF137F">
        <w:rPr>
          <w:rFonts w:ascii="Verdana" w:eastAsia="Times New Roman" w:hAnsi="Verdana" w:cs="Times New Roman"/>
          <w:bCs/>
          <w:i/>
          <w:color w:val="000000"/>
          <w:sz w:val="16"/>
          <w:szCs w:val="16"/>
          <w:lang w:val="es-MX"/>
        </w:rPr>
        <w:t xml:space="preserve"> Vs. República Dominicana</w:t>
      </w:r>
      <w:r w:rsidRPr="00CF137F">
        <w:rPr>
          <w:rFonts w:ascii="Verdana" w:eastAsia="Times New Roman" w:hAnsi="Verdana" w:cs="Times New Roman"/>
          <w:bCs/>
          <w:color w:val="000000"/>
          <w:sz w:val="16"/>
          <w:szCs w:val="16"/>
          <w:lang w:val="es-MX"/>
        </w:rPr>
        <w:t>. Sentencia de 8 de septiembre de 2005. Serie C No. 130, párr. 115. B (en este caso los representa</w:t>
      </w:r>
      <w:r>
        <w:rPr>
          <w:rFonts w:ascii="Verdana" w:eastAsia="Times New Roman" w:hAnsi="Verdana" w:cs="Times New Roman"/>
          <w:bCs/>
          <w:color w:val="000000"/>
          <w:sz w:val="16"/>
          <w:szCs w:val="16"/>
          <w:lang w:val="es-MX"/>
        </w:rPr>
        <w:t>n</w:t>
      </w:r>
      <w:r w:rsidRPr="00CF137F">
        <w:rPr>
          <w:rFonts w:ascii="Verdana" w:eastAsia="Times New Roman" w:hAnsi="Verdana" w:cs="Times New Roman"/>
          <w:bCs/>
          <w:color w:val="000000"/>
          <w:sz w:val="16"/>
          <w:szCs w:val="16"/>
          <w:lang w:val="es-MX"/>
        </w:rPr>
        <w:t xml:space="preserve">tes alegaron que el derecho a la educación era un derecho tutelado por el artículo 26 de la Convención Americana bajo el contexto de la violación del artículo 19 de la </w:t>
      </w:r>
      <w:proofErr w:type="spellStart"/>
      <w:r w:rsidRPr="00CF137F">
        <w:rPr>
          <w:rFonts w:ascii="Verdana" w:eastAsia="Times New Roman" w:hAnsi="Verdana" w:cs="Times New Roman"/>
          <w:bCs/>
          <w:color w:val="000000"/>
          <w:sz w:val="16"/>
          <w:szCs w:val="16"/>
          <w:lang w:val="es-MX"/>
        </w:rPr>
        <w:t>Convencióin</w:t>
      </w:r>
      <w:proofErr w:type="spellEnd"/>
      <w:r w:rsidRPr="00CF137F">
        <w:rPr>
          <w:rFonts w:ascii="Verdana" w:eastAsia="Times New Roman" w:hAnsi="Verdana" w:cs="Times New Roman"/>
          <w:bCs/>
          <w:color w:val="000000"/>
          <w:sz w:val="16"/>
          <w:szCs w:val="16"/>
          <w:lang w:val="es-MX"/>
        </w:rPr>
        <w:t xml:space="preserve"> Americana); </w:t>
      </w:r>
      <w:r w:rsidRPr="00CF137F">
        <w:rPr>
          <w:rFonts w:ascii="Verdana" w:eastAsia="Times New Roman" w:hAnsi="Verdana" w:cs="Times New Roman"/>
          <w:bCs/>
          <w:i/>
          <w:color w:val="000000"/>
          <w:sz w:val="16"/>
          <w:szCs w:val="16"/>
          <w:lang w:val="es-MX"/>
        </w:rPr>
        <w:t>Caso Trabajadores Cesados del Congreso (Aguado Alfaro y otros) Vs. Perú. Excepciones Preliminares, Fondo, Reparaciones y Costas</w:t>
      </w:r>
      <w:r w:rsidRPr="00CF137F">
        <w:rPr>
          <w:rFonts w:ascii="Verdana" w:eastAsia="Times New Roman" w:hAnsi="Verdana" w:cs="Times New Roman"/>
          <w:bCs/>
          <w:color w:val="000000"/>
          <w:sz w:val="16"/>
          <w:szCs w:val="16"/>
          <w:lang w:val="es-MX"/>
        </w:rPr>
        <w:t xml:space="preserve">. Sentencia de 24 de noviembre de 2006. Serie C No. 158, párr. 134; </w:t>
      </w:r>
      <w:r w:rsidRPr="00CF137F">
        <w:rPr>
          <w:rFonts w:ascii="Verdana" w:eastAsia="Times New Roman" w:hAnsi="Verdana" w:cs="Times New Roman"/>
          <w:bCs/>
          <w:i/>
          <w:color w:val="000000"/>
          <w:sz w:val="16"/>
          <w:szCs w:val="16"/>
          <w:lang w:val="es-MX"/>
        </w:rPr>
        <w:t>Caso Acevedo Buendía y otros (“Cesantes y Jubilados de la Contraloría”) Vs. Perú. Excepción Preliminar, Fondo, Reparaciones y Costas</w:t>
      </w:r>
      <w:r w:rsidRPr="00CF137F">
        <w:rPr>
          <w:rFonts w:ascii="Verdana" w:eastAsia="Times New Roman" w:hAnsi="Verdana" w:cs="Times New Roman"/>
          <w:bCs/>
          <w:color w:val="000000"/>
          <w:sz w:val="16"/>
          <w:szCs w:val="16"/>
          <w:lang w:val="es-MX"/>
        </w:rPr>
        <w:t xml:space="preserve">. Sentencia de 1 de julio de 2009. Serie C No. 198, párr. 4; </w:t>
      </w:r>
      <w:r w:rsidRPr="00CF137F">
        <w:rPr>
          <w:rFonts w:ascii="Verdana" w:eastAsia="Times New Roman" w:hAnsi="Verdana" w:cs="Times New Roman"/>
          <w:bCs/>
          <w:i/>
          <w:color w:val="000000"/>
          <w:sz w:val="16"/>
          <w:szCs w:val="16"/>
          <w:lang w:val="es-MX"/>
        </w:rPr>
        <w:t xml:space="preserve">Caso Pueblo Indígena </w:t>
      </w:r>
      <w:proofErr w:type="spellStart"/>
      <w:r w:rsidRPr="00CF137F">
        <w:rPr>
          <w:rFonts w:ascii="Verdana" w:eastAsia="Times New Roman" w:hAnsi="Verdana" w:cs="Times New Roman"/>
          <w:bCs/>
          <w:i/>
          <w:color w:val="000000"/>
          <w:sz w:val="16"/>
          <w:szCs w:val="16"/>
          <w:lang w:val="es-MX"/>
        </w:rPr>
        <w:t>Kichwa</w:t>
      </w:r>
      <w:proofErr w:type="spellEnd"/>
      <w:r w:rsidRPr="00CF137F">
        <w:rPr>
          <w:rFonts w:ascii="Verdana" w:eastAsia="Times New Roman" w:hAnsi="Verdana" w:cs="Times New Roman"/>
          <w:bCs/>
          <w:i/>
          <w:color w:val="000000"/>
          <w:sz w:val="16"/>
          <w:szCs w:val="16"/>
          <w:lang w:val="es-MX"/>
        </w:rPr>
        <w:t xml:space="preserve"> de </w:t>
      </w:r>
      <w:proofErr w:type="spellStart"/>
      <w:r w:rsidRPr="00CF137F">
        <w:rPr>
          <w:rFonts w:ascii="Verdana" w:eastAsia="Times New Roman" w:hAnsi="Verdana" w:cs="Times New Roman"/>
          <w:bCs/>
          <w:i/>
          <w:color w:val="000000"/>
          <w:sz w:val="16"/>
          <w:szCs w:val="16"/>
          <w:lang w:val="es-MX"/>
        </w:rPr>
        <w:t>Sarayaku</w:t>
      </w:r>
      <w:proofErr w:type="spellEnd"/>
      <w:r w:rsidRPr="00CF137F">
        <w:rPr>
          <w:rFonts w:ascii="Verdana" w:eastAsia="Times New Roman" w:hAnsi="Verdana" w:cs="Times New Roman"/>
          <w:bCs/>
          <w:i/>
          <w:color w:val="000000"/>
          <w:sz w:val="16"/>
          <w:szCs w:val="16"/>
          <w:lang w:val="es-MX"/>
        </w:rPr>
        <w:t xml:space="preserve"> Vs. Ecuador. Fondo y reparaciones</w:t>
      </w:r>
      <w:r w:rsidRPr="00CF137F">
        <w:rPr>
          <w:rFonts w:ascii="Verdana" w:eastAsia="Times New Roman" w:hAnsi="Verdana" w:cs="Times New Roman"/>
          <w:bCs/>
          <w:color w:val="000000"/>
          <w:sz w:val="16"/>
          <w:szCs w:val="16"/>
          <w:lang w:val="es-MX"/>
        </w:rPr>
        <w:t xml:space="preserve">. Sentencia de 27 de junio de 2012. Serie C No. 245, párr. 137 a 139 y </w:t>
      </w:r>
      <w:r w:rsidRPr="00CF137F">
        <w:rPr>
          <w:rFonts w:ascii="Verdana" w:eastAsia="Times New Roman" w:hAnsi="Verdana" w:cs="Times New Roman"/>
          <w:bCs/>
          <w:i/>
          <w:color w:val="000000"/>
          <w:sz w:val="16"/>
          <w:szCs w:val="16"/>
          <w:lang w:val="es-MX"/>
        </w:rPr>
        <w:t xml:space="preserve">Caso Gonzales </w:t>
      </w:r>
      <w:proofErr w:type="spellStart"/>
      <w:r w:rsidRPr="00CF137F">
        <w:rPr>
          <w:rFonts w:ascii="Verdana" w:eastAsia="Times New Roman" w:hAnsi="Verdana" w:cs="Times New Roman"/>
          <w:bCs/>
          <w:i/>
          <w:color w:val="000000"/>
          <w:sz w:val="16"/>
          <w:szCs w:val="16"/>
          <w:lang w:val="es-MX"/>
        </w:rPr>
        <w:t>Lluy</w:t>
      </w:r>
      <w:proofErr w:type="spellEnd"/>
      <w:r w:rsidRPr="00CF137F">
        <w:rPr>
          <w:rFonts w:ascii="Verdana" w:eastAsia="Times New Roman" w:hAnsi="Verdana" w:cs="Times New Roman"/>
          <w:bCs/>
          <w:i/>
          <w:color w:val="000000"/>
          <w:sz w:val="16"/>
          <w:szCs w:val="16"/>
          <w:lang w:val="es-MX"/>
        </w:rPr>
        <w:t xml:space="preserve"> y otros Vs. Ecuador</w:t>
      </w:r>
      <w:r>
        <w:rPr>
          <w:rFonts w:ascii="Verdana" w:eastAsia="Times New Roman" w:hAnsi="Verdana" w:cs="Times New Roman"/>
          <w:bCs/>
          <w:i/>
          <w:color w:val="000000"/>
          <w:sz w:val="16"/>
          <w:szCs w:val="16"/>
          <w:lang w:val="es-MX"/>
        </w:rPr>
        <w:t xml:space="preserve">, supra, </w:t>
      </w:r>
      <w:r>
        <w:rPr>
          <w:rFonts w:ascii="Verdana" w:eastAsia="Times New Roman" w:hAnsi="Verdana" w:cs="Times New Roman"/>
          <w:bCs/>
          <w:color w:val="000000"/>
          <w:sz w:val="16"/>
          <w:szCs w:val="16"/>
          <w:lang w:val="es-MX"/>
        </w:rPr>
        <w:t xml:space="preserve">párr. 159. </w:t>
      </w:r>
    </w:p>
  </w:footnote>
  <w:footnote w:id="75">
    <w:p w14:paraId="50C19729" w14:textId="5E475222" w:rsidR="008F53FE" w:rsidRPr="007D19F0" w:rsidRDefault="008F53FE" w:rsidP="00AF4B30">
      <w:pPr>
        <w:jc w:val="both"/>
        <w:textAlignment w:val="baseline"/>
        <w:rPr>
          <w:rFonts w:ascii="Verdana" w:eastAsia="Times New Roman" w:hAnsi="Verdana" w:cs="Times New Roman"/>
          <w:color w:val="333333"/>
          <w:sz w:val="16"/>
          <w:szCs w:val="16"/>
          <w:lang w:val="es-MX"/>
        </w:rPr>
      </w:pPr>
      <w:r w:rsidRPr="007D19F0">
        <w:rPr>
          <w:rStyle w:val="FootnoteReference"/>
          <w:rFonts w:ascii="Verdana" w:hAnsi="Verdana"/>
          <w:sz w:val="16"/>
          <w:szCs w:val="16"/>
        </w:rPr>
        <w:footnoteRef/>
      </w:r>
      <w:r w:rsidRPr="007D19F0">
        <w:rPr>
          <w:rFonts w:ascii="Verdana" w:hAnsi="Verdana"/>
          <w:sz w:val="16"/>
          <w:szCs w:val="16"/>
        </w:rPr>
        <w:t xml:space="preserve"> </w:t>
      </w:r>
      <w:r w:rsidRPr="007D19F0">
        <w:rPr>
          <w:rFonts w:ascii="Verdana" w:hAnsi="Verdana"/>
          <w:sz w:val="16"/>
          <w:szCs w:val="16"/>
        </w:rPr>
        <w:tab/>
        <w:t>Al respecto</w:t>
      </w:r>
      <w:r>
        <w:rPr>
          <w:rFonts w:ascii="Verdana" w:hAnsi="Verdana"/>
          <w:sz w:val="16"/>
          <w:szCs w:val="16"/>
        </w:rPr>
        <w:t>,</w:t>
      </w:r>
      <w:r w:rsidRPr="007D19F0">
        <w:rPr>
          <w:rFonts w:ascii="Verdana" w:hAnsi="Verdana"/>
          <w:sz w:val="16"/>
          <w:szCs w:val="16"/>
        </w:rPr>
        <w:t xml:space="preserve"> es importante señalar que esta tendencia se ha materializado en el seno de </w:t>
      </w:r>
      <w:r>
        <w:rPr>
          <w:rFonts w:ascii="Verdana" w:hAnsi="Verdana"/>
          <w:sz w:val="16"/>
          <w:szCs w:val="16"/>
        </w:rPr>
        <w:t xml:space="preserve">las </w:t>
      </w:r>
      <w:r w:rsidRPr="007D19F0">
        <w:rPr>
          <w:rFonts w:ascii="Verdana" w:hAnsi="Verdana"/>
          <w:sz w:val="16"/>
          <w:szCs w:val="16"/>
        </w:rPr>
        <w:t>Naciones Unidas al entrar en vigor (</w:t>
      </w:r>
      <w:r>
        <w:rPr>
          <w:rFonts w:ascii="Verdana" w:hAnsi="Verdana"/>
          <w:sz w:val="16"/>
          <w:szCs w:val="16"/>
        </w:rPr>
        <w:t xml:space="preserve">en </w:t>
      </w:r>
      <w:r w:rsidRPr="007D19F0">
        <w:rPr>
          <w:rFonts w:ascii="Verdana" w:hAnsi="Verdana"/>
          <w:sz w:val="16"/>
          <w:szCs w:val="16"/>
        </w:rPr>
        <w:t>2013) el Protocolo Facultativo al Pacto Internacional de los Derechos Económicos, Sociales y Culturales (PF-PIDESC)</w:t>
      </w:r>
      <w:r>
        <w:rPr>
          <w:rFonts w:ascii="Verdana" w:hAnsi="Verdana"/>
          <w:sz w:val="16"/>
          <w:szCs w:val="16"/>
        </w:rPr>
        <w:t>,</w:t>
      </w:r>
      <w:r w:rsidRPr="007D19F0">
        <w:rPr>
          <w:rFonts w:ascii="Verdana" w:hAnsi="Verdana"/>
          <w:sz w:val="16"/>
          <w:szCs w:val="16"/>
        </w:rPr>
        <w:t xml:space="preserve"> adoptado en 2008. </w:t>
      </w:r>
      <w:r>
        <w:rPr>
          <w:rFonts w:ascii="Verdana" w:hAnsi="Verdana"/>
          <w:sz w:val="16"/>
          <w:szCs w:val="16"/>
        </w:rPr>
        <w:t>C</w:t>
      </w:r>
      <w:r w:rsidRPr="007D19F0">
        <w:rPr>
          <w:rFonts w:ascii="Verdana" w:hAnsi="Verdana"/>
          <w:sz w:val="16"/>
          <w:szCs w:val="16"/>
        </w:rPr>
        <w:t>on la entrada en vigor del PF-PIDESC</w:t>
      </w:r>
      <w:r>
        <w:rPr>
          <w:rFonts w:ascii="Verdana" w:hAnsi="Verdana"/>
          <w:sz w:val="16"/>
          <w:szCs w:val="16"/>
        </w:rPr>
        <w:t>,</w:t>
      </w:r>
      <w:r w:rsidRPr="007D19F0">
        <w:rPr>
          <w:rFonts w:ascii="Verdana" w:hAnsi="Verdana"/>
          <w:sz w:val="16"/>
          <w:szCs w:val="16"/>
        </w:rPr>
        <w:t xml:space="preserve"> el Comité de Derechos Económicos, Sociales y Culturales ha podido conocer de comunicaciones individuales </w:t>
      </w:r>
      <w:r>
        <w:rPr>
          <w:rFonts w:ascii="Verdana" w:hAnsi="Verdana"/>
          <w:sz w:val="16"/>
          <w:szCs w:val="16"/>
        </w:rPr>
        <w:t xml:space="preserve">a partir de las cuales </w:t>
      </w:r>
      <w:r w:rsidRPr="007D19F0">
        <w:rPr>
          <w:rFonts w:ascii="Verdana" w:hAnsi="Verdana"/>
          <w:sz w:val="16"/>
          <w:szCs w:val="16"/>
        </w:rPr>
        <w:t xml:space="preserve">ha declarado la infracción de las disposiciones del PIDESC.  Pueden verse al respecto: Comité DESC, </w:t>
      </w:r>
      <w:r w:rsidRPr="007D19F0">
        <w:rPr>
          <w:rFonts w:ascii="Verdana" w:hAnsi="Verdana"/>
          <w:i/>
          <w:sz w:val="16"/>
          <w:szCs w:val="16"/>
        </w:rPr>
        <w:t>Caso I.D.G Vs. España</w:t>
      </w:r>
      <w:r w:rsidRPr="007D19F0">
        <w:rPr>
          <w:rFonts w:ascii="Verdana" w:hAnsi="Verdana"/>
          <w:sz w:val="16"/>
          <w:szCs w:val="16"/>
        </w:rPr>
        <w:t xml:space="preserve">, </w:t>
      </w:r>
      <w:r w:rsidRPr="007D19F0">
        <w:rPr>
          <w:rFonts w:ascii="Verdana" w:eastAsia="Times New Roman" w:hAnsi="Verdana" w:cs="Times New Roman"/>
          <w:color w:val="333333"/>
          <w:sz w:val="16"/>
          <w:szCs w:val="16"/>
          <w:lang w:val="es-MX"/>
        </w:rPr>
        <w:t xml:space="preserve">E/C.12/55/D/2/2014, 17 de junio de 2015 y </w:t>
      </w:r>
      <w:r w:rsidRPr="007D19F0">
        <w:rPr>
          <w:rFonts w:ascii="Verdana" w:eastAsia="Times New Roman" w:hAnsi="Verdana" w:cs="Times New Roman"/>
          <w:i/>
          <w:color w:val="333333"/>
          <w:sz w:val="16"/>
          <w:szCs w:val="16"/>
          <w:lang w:val="es-MX"/>
        </w:rPr>
        <w:t>Caso López Rodriguez Vs. España</w:t>
      </w:r>
      <w:r w:rsidRPr="007D19F0">
        <w:rPr>
          <w:rFonts w:ascii="Verdana" w:eastAsia="Times New Roman" w:hAnsi="Verdana" w:cs="Times New Roman"/>
          <w:color w:val="333333"/>
          <w:sz w:val="16"/>
          <w:szCs w:val="16"/>
          <w:lang w:val="es-MX"/>
        </w:rPr>
        <w:t xml:space="preserve">, E/C.12/57/D/1/2013, 4 de marzo de 2016. </w:t>
      </w:r>
    </w:p>
    <w:p w14:paraId="2DD0CECC" w14:textId="77777777" w:rsidR="008F53FE" w:rsidRPr="00513BDD" w:rsidRDefault="008F53FE" w:rsidP="00AF4B30">
      <w:pPr>
        <w:pStyle w:val="FootnoteText"/>
        <w:jc w:val="both"/>
        <w:rPr>
          <w:sz w:val="16"/>
          <w:szCs w:val="16"/>
          <w:highlight w:val="yellow"/>
          <w:lang w:val="es-ES_tradnl"/>
        </w:rPr>
      </w:pPr>
    </w:p>
  </w:footnote>
  <w:footnote w:id="76">
    <w:p w14:paraId="2BA749C2" w14:textId="0571B30C" w:rsidR="008F53FE" w:rsidRPr="004A58EA" w:rsidRDefault="008F53FE" w:rsidP="00AF4B30">
      <w:pPr>
        <w:jc w:val="both"/>
        <w:rPr>
          <w:rFonts w:ascii="Verdana" w:hAnsi="Verdana"/>
          <w:sz w:val="16"/>
          <w:szCs w:val="16"/>
        </w:rPr>
      </w:pPr>
      <w:r w:rsidRPr="004A58EA">
        <w:rPr>
          <w:rStyle w:val="FootnoteReference"/>
          <w:rFonts w:ascii="Verdana" w:hAnsi="Verdana"/>
          <w:sz w:val="16"/>
          <w:szCs w:val="16"/>
        </w:rPr>
        <w:footnoteRef/>
      </w:r>
      <w:r w:rsidRPr="004A58EA">
        <w:rPr>
          <w:rFonts w:ascii="Verdana" w:hAnsi="Verdana"/>
          <w:sz w:val="16"/>
          <w:szCs w:val="16"/>
        </w:rPr>
        <w:t xml:space="preserve"> </w:t>
      </w:r>
      <w:r w:rsidRPr="004A58EA">
        <w:rPr>
          <w:rFonts w:ascii="Verdana" w:hAnsi="Verdana"/>
          <w:sz w:val="16"/>
          <w:szCs w:val="16"/>
        </w:rPr>
        <w:tab/>
      </w:r>
      <w:r w:rsidRPr="004A58EA">
        <w:rPr>
          <w:rFonts w:ascii="Verdana" w:hAnsi="Verdana" w:cs="Times New Roman"/>
          <w:sz w:val="16"/>
          <w:szCs w:val="16"/>
        </w:rPr>
        <w:t>Resulta espe</w:t>
      </w:r>
      <w:r>
        <w:rPr>
          <w:rFonts w:ascii="Verdana" w:hAnsi="Verdana" w:cs="Times New Roman"/>
          <w:sz w:val="16"/>
          <w:szCs w:val="16"/>
        </w:rPr>
        <w:t xml:space="preserve">cialmente significativo que la </w:t>
      </w:r>
      <w:proofErr w:type="spellStart"/>
      <w:r>
        <w:rPr>
          <w:rFonts w:ascii="Verdana" w:hAnsi="Verdana" w:cs="Times New Roman"/>
          <w:sz w:val="16"/>
          <w:szCs w:val="16"/>
        </w:rPr>
        <w:t>justiciabilidad</w:t>
      </w:r>
      <w:proofErr w:type="spellEnd"/>
      <w:r>
        <w:rPr>
          <w:rFonts w:ascii="Verdana" w:hAnsi="Verdana" w:cs="Times New Roman"/>
          <w:sz w:val="16"/>
          <w:szCs w:val="16"/>
        </w:rPr>
        <w:t xml:space="preserve"> directa de los DESCA se </w:t>
      </w:r>
      <w:proofErr w:type="spellStart"/>
      <w:r>
        <w:rPr>
          <w:rFonts w:ascii="Verdana" w:hAnsi="Verdana" w:cs="Times New Roman"/>
          <w:sz w:val="16"/>
          <w:szCs w:val="16"/>
        </w:rPr>
        <w:t>de</w:t>
      </w:r>
      <w:proofErr w:type="spellEnd"/>
      <w:r w:rsidRPr="004A58EA">
        <w:rPr>
          <w:rFonts w:ascii="Verdana" w:hAnsi="Verdana" w:cs="Times New Roman"/>
          <w:sz w:val="16"/>
          <w:szCs w:val="16"/>
        </w:rPr>
        <w:t xml:space="preserve"> al cumplirse cien años </w:t>
      </w:r>
      <w:r>
        <w:rPr>
          <w:rFonts w:ascii="Verdana" w:hAnsi="Verdana" w:cs="Times New Roman"/>
          <w:sz w:val="16"/>
          <w:szCs w:val="16"/>
        </w:rPr>
        <w:t xml:space="preserve">de </w:t>
      </w:r>
      <w:r w:rsidRPr="004A58EA">
        <w:rPr>
          <w:rFonts w:ascii="Verdana" w:hAnsi="Verdana" w:cs="Times New Roman"/>
          <w:sz w:val="16"/>
          <w:szCs w:val="16"/>
        </w:rPr>
        <w:t xml:space="preserve">la Constitución de Querétaro de 1917, primer ordenamiento constitucional en consagrar derechos sociales y particularmente derechos laborales. </w:t>
      </w:r>
      <w:r w:rsidRPr="004A58EA">
        <w:rPr>
          <w:rFonts w:ascii="Verdana" w:hAnsi="Verdana"/>
          <w:sz w:val="16"/>
          <w:szCs w:val="16"/>
        </w:rPr>
        <w:t>El constitucionalismo social tiene su origen en el texto original de la vigente Constitución Política de los Estados Unidos Mexicanos, promulgada el lunes 5 de febrero de 1917 en la ciudad de Querétaro, entrando en vigor el 1 de mayo de ese mismo año. Además de establecer el derecho a la educación (art. 3) y el derecho a la tierra (art. 27), se establecieron derechos laborales especí</w:t>
      </w:r>
      <w:r>
        <w:rPr>
          <w:rFonts w:ascii="Verdana" w:hAnsi="Verdana"/>
          <w:sz w:val="16"/>
          <w:szCs w:val="16"/>
        </w:rPr>
        <w:t xml:space="preserve">ficos (art. 123). En efecto, </w:t>
      </w:r>
      <w:r w:rsidRPr="004A58EA">
        <w:rPr>
          <w:rFonts w:ascii="Verdana" w:hAnsi="Verdana"/>
          <w:sz w:val="16"/>
          <w:szCs w:val="16"/>
        </w:rPr>
        <w:t>el Título Sexto, denominado “DEL TRABAJO Y</w:t>
      </w:r>
      <w:r>
        <w:rPr>
          <w:rFonts w:ascii="Verdana" w:hAnsi="Verdana"/>
          <w:sz w:val="16"/>
          <w:szCs w:val="16"/>
        </w:rPr>
        <w:t xml:space="preserve"> DE</w:t>
      </w:r>
      <w:r w:rsidRPr="004A58EA">
        <w:rPr>
          <w:rFonts w:ascii="Verdana" w:hAnsi="Verdana"/>
          <w:sz w:val="16"/>
          <w:szCs w:val="16"/>
        </w:rPr>
        <w:t xml:space="preserve"> LA PREVISIÓN SOCIAL”, consagró en las </w:t>
      </w:r>
      <w:r>
        <w:rPr>
          <w:rFonts w:ascii="Verdana" w:hAnsi="Verdana"/>
          <w:sz w:val="16"/>
          <w:szCs w:val="16"/>
        </w:rPr>
        <w:t>treinta fracciones del Artículo 123</w:t>
      </w:r>
      <w:r w:rsidRPr="004A58EA">
        <w:rPr>
          <w:rFonts w:ascii="Verdana" w:hAnsi="Verdana"/>
          <w:sz w:val="16"/>
          <w:szCs w:val="16"/>
        </w:rPr>
        <w:t xml:space="preserve"> derechos laborales a favor de obreros, jornaleros, emple</w:t>
      </w:r>
      <w:r>
        <w:rPr>
          <w:rFonts w:ascii="Verdana" w:hAnsi="Verdana"/>
          <w:sz w:val="16"/>
          <w:szCs w:val="16"/>
        </w:rPr>
        <w:t>ados, domésticos y artesanos:  d</w:t>
      </w:r>
      <w:r w:rsidRPr="004A58EA">
        <w:rPr>
          <w:rFonts w:ascii="Verdana" w:hAnsi="Verdana"/>
          <w:sz w:val="16"/>
          <w:szCs w:val="16"/>
        </w:rPr>
        <w:t>uración máxima de la jornada laboral; prohibición de contratar a menores de 12 años de edad; prohibición de que mujeres y menores de 16 años realicen labores insalubres o peligrosas o cualquier otra después de las 10 de la noche; derecho al descanso; derechos a mujeres embarazadas y durante el periodo de lactancia; derecho al salario mínimo y remunerador, así como la prohibición de su embargo, compensación o descuento; derecho del trabajador a participar en las utilidades de la empresa; derecho al pago de las horas extra de trabajo; obligación de los patronos agrícolas, industrial</w:t>
      </w:r>
      <w:r>
        <w:rPr>
          <w:rFonts w:ascii="Verdana" w:hAnsi="Verdana"/>
          <w:sz w:val="16"/>
          <w:szCs w:val="16"/>
        </w:rPr>
        <w:t>es o mineros</w:t>
      </w:r>
      <w:r w:rsidRPr="004A58EA">
        <w:rPr>
          <w:rFonts w:ascii="Verdana" w:hAnsi="Verdana"/>
          <w:sz w:val="16"/>
          <w:szCs w:val="16"/>
        </w:rPr>
        <w:t xml:space="preserve"> de proporcionar a los trabajadores habitaciones cómodas e higiénicas con rentas de precio restringido y a establecer otros servicios necesarios en la comunidad (escuelas, enfermerías, etc.); obligación del Estado de inculcar la previsión popular (mediante cajas de seguros populares, de invalidez, etc.); derecho a la indemnización por accidentes de trabajo y enfermedades profesionales; derecho de los trabajadores  a colegiarse, de huelga y paro; </w:t>
      </w:r>
      <w:r>
        <w:rPr>
          <w:rFonts w:ascii="Verdana" w:hAnsi="Verdana"/>
          <w:sz w:val="16"/>
          <w:szCs w:val="16"/>
        </w:rPr>
        <w:t xml:space="preserve">y </w:t>
      </w:r>
      <w:r w:rsidRPr="004A58EA">
        <w:rPr>
          <w:rFonts w:ascii="Verdana" w:hAnsi="Verdana"/>
          <w:sz w:val="16"/>
          <w:szCs w:val="16"/>
        </w:rPr>
        <w:t>derecho del trabajador a reinstalación o indemnización por despido injustificado.</w:t>
      </w:r>
    </w:p>
    <w:p w14:paraId="4BC565A0" w14:textId="77777777" w:rsidR="008F53FE" w:rsidRPr="00C749DE" w:rsidRDefault="008F53FE" w:rsidP="00AF4B30">
      <w:pPr>
        <w:jc w:val="both"/>
        <w:rPr>
          <w:rFonts w:ascii="Verdana" w:hAnsi="Verdana"/>
          <w:sz w:val="16"/>
          <w:szCs w:val="16"/>
        </w:rPr>
      </w:pPr>
    </w:p>
  </w:footnote>
  <w:footnote w:id="77">
    <w:p w14:paraId="5782F685" w14:textId="2B1703D9" w:rsidR="008F53FE" w:rsidRPr="00B031D0" w:rsidRDefault="008F53FE" w:rsidP="00B031D0">
      <w:pPr>
        <w:spacing w:after="120"/>
        <w:jc w:val="both"/>
        <w:rPr>
          <w:rFonts w:ascii="Verdana" w:hAnsi="Verdana" w:cs="Times New Roman"/>
          <w:sz w:val="16"/>
          <w:szCs w:val="16"/>
        </w:rPr>
      </w:pPr>
      <w:r w:rsidRPr="000D431F">
        <w:rPr>
          <w:rStyle w:val="FootnoteReference"/>
          <w:rFonts w:ascii="Verdana" w:hAnsi="Verdana"/>
          <w:sz w:val="16"/>
          <w:szCs w:val="16"/>
        </w:rPr>
        <w:footnoteRef/>
      </w:r>
      <w:r w:rsidRPr="000D431F">
        <w:rPr>
          <w:rFonts w:ascii="Verdana" w:hAnsi="Verdana"/>
          <w:sz w:val="16"/>
          <w:szCs w:val="16"/>
        </w:rPr>
        <w:t xml:space="preserve"> </w:t>
      </w:r>
      <w:r w:rsidRPr="000D431F">
        <w:rPr>
          <w:rFonts w:ascii="Verdana" w:hAnsi="Verdana"/>
          <w:sz w:val="16"/>
          <w:szCs w:val="16"/>
        </w:rPr>
        <w:tab/>
      </w:r>
      <w:r w:rsidRPr="000D431F">
        <w:rPr>
          <w:rFonts w:ascii="Verdana" w:eastAsia="Times New Roman" w:hAnsi="Verdana" w:cs="Arial"/>
          <w:sz w:val="16"/>
          <w:szCs w:val="16"/>
          <w:shd w:val="clear" w:color="auto" w:fill="FFFFFF"/>
        </w:rPr>
        <w:t>El 25 de septiembre de 2015, los líderes mundiales adoptaron un conjunto de objetivos globales para erradicar la pobreza, proteger el planeta y asegurar la prosperidad para todos como parte de una</w:t>
      </w:r>
      <w:r w:rsidRPr="000D431F">
        <w:rPr>
          <w:rStyle w:val="apple-converted-space"/>
          <w:rFonts w:ascii="Verdana" w:eastAsia="Times New Roman" w:hAnsi="Verdana" w:cs="Arial"/>
          <w:sz w:val="16"/>
          <w:szCs w:val="16"/>
          <w:shd w:val="clear" w:color="auto" w:fill="FFFFFF"/>
        </w:rPr>
        <w:t> </w:t>
      </w:r>
      <w:r w:rsidRPr="000D431F">
        <w:rPr>
          <w:rFonts w:ascii="Verdana" w:eastAsia="Times New Roman" w:hAnsi="Verdana" w:cs="Arial"/>
          <w:sz w:val="16"/>
          <w:szCs w:val="16"/>
        </w:rPr>
        <w:t>nueva agenda de desarrollo sostenible</w:t>
      </w:r>
      <w:r w:rsidRPr="000D431F">
        <w:rPr>
          <w:rFonts w:ascii="Verdana" w:eastAsia="Times New Roman" w:hAnsi="Verdana" w:cs="Arial"/>
          <w:sz w:val="16"/>
          <w:szCs w:val="16"/>
          <w:shd w:val="clear" w:color="auto" w:fill="FFFFFF"/>
        </w:rPr>
        <w:t>. Cada objetivo tiene metas específicas que deben alcanzarse en los próximos 15 a</w:t>
      </w:r>
      <w:r>
        <w:rPr>
          <w:rFonts w:ascii="Verdana" w:eastAsia="Times New Roman" w:hAnsi="Verdana" w:cs="Arial"/>
          <w:sz w:val="16"/>
          <w:szCs w:val="16"/>
          <w:shd w:val="clear" w:color="auto" w:fill="FFFFFF"/>
        </w:rPr>
        <w:t xml:space="preserve">ños. </w:t>
      </w:r>
      <w:r w:rsidRPr="000D431F">
        <w:rPr>
          <w:rFonts w:ascii="Verdana" w:hAnsi="Verdana" w:cs="Times New Roman"/>
          <w:sz w:val="16"/>
          <w:szCs w:val="16"/>
        </w:rPr>
        <w:t>Entre los Objetivos</w:t>
      </w:r>
      <w:r>
        <w:rPr>
          <w:rFonts w:ascii="Verdana" w:hAnsi="Verdana" w:cs="Times New Roman"/>
          <w:sz w:val="16"/>
          <w:szCs w:val="16"/>
        </w:rPr>
        <w:t xml:space="preserve"> destacan poner fin a</w:t>
      </w:r>
      <w:r w:rsidRPr="000D431F">
        <w:rPr>
          <w:rFonts w:ascii="Verdana" w:hAnsi="Verdana" w:cs="Times New Roman"/>
          <w:sz w:val="16"/>
          <w:szCs w:val="16"/>
        </w:rPr>
        <w:t xml:space="preserve"> la pobreza (Objetivo No. 1), hambre cero (Objetivo No. 2), salud y bienestar (Objetivo No.3), educación de calidad (Objetivo No. 4), agua limpia y saneamiento (Objetivo No. 6), trabajo decente y crecimiento económico (Objetivo No. 8), reducción de desigualdades (Objetivo No. 10), acción por el clima, la vida submarina y la vida de los ecosistemas terrestres (Objetivos No. 13,14 y 15)</w:t>
      </w:r>
      <w:r>
        <w:rPr>
          <w:rFonts w:ascii="Verdana" w:hAnsi="Verdana" w:cs="Times New Roman"/>
          <w:sz w:val="16"/>
          <w:szCs w:val="16"/>
        </w:rPr>
        <w:t>. Estos Objetivos, claramente</w:t>
      </w:r>
      <w:r w:rsidRPr="000D431F">
        <w:rPr>
          <w:rFonts w:ascii="Verdana" w:hAnsi="Verdana" w:cs="Times New Roman"/>
          <w:sz w:val="16"/>
          <w:szCs w:val="16"/>
        </w:rPr>
        <w:t xml:space="preserve"> se encuentran en el plano de los derechos económicos, sociales, culturales y ambientales.</w:t>
      </w:r>
      <w:r w:rsidRPr="000D431F">
        <w:rPr>
          <w:rFonts w:ascii="Verdana" w:hAnsi="Verdana"/>
          <w:sz w:val="16"/>
          <w:szCs w:val="16"/>
        </w:rPr>
        <w:t xml:space="preserve"> </w:t>
      </w:r>
    </w:p>
  </w:footnote>
  <w:footnote w:id="78">
    <w:p w14:paraId="0E1AA4AD" w14:textId="06362CFC" w:rsidR="008F53FE" w:rsidRPr="00B031D0" w:rsidRDefault="008F53FE" w:rsidP="005B3CA3">
      <w:pPr>
        <w:spacing w:after="120"/>
        <w:jc w:val="both"/>
        <w:rPr>
          <w:rFonts w:ascii="Verdana" w:hAnsi="Verdana" w:cs="Times New Roman"/>
          <w:sz w:val="16"/>
          <w:szCs w:val="16"/>
        </w:rPr>
      </w:pPr>
      <w:r w:rsidRPr="000D431F">
        <w:rPr>
          <w:rStyle w:val="FootnoteReference"/>
          <w:rFonts w:ascii="Verdana" w:hAnsi="Verdana"/>
          <w:sz w:val="16"/>
          <w:szCs w:val="16"/>
        </w:rPr>
        <w:footnoteRef/>
      </w:r>
      <w:r w:rsidRPr="000D431F">
        <w:rPr>
          <w:rFonts w:ascii="Verdana" w:hAnsi="Verdana"/>
          <w:sz w:val="16"/>
          <w:szCs w:val="16"/>
        </w:rPr>
        <w:t xml:space="preserve"> </w:t>
      </w:r>
      <w:r w:rsidRPr="000D431F">
        <w:rPr>
          <w:rFonts w:ascii="Verdana" w:hAnsi="Verdana"/>
          <w:sz w:val="16"/>
          <w:szCs w:val="16"/>
        </w:rPr>
        <w:tab/>
      </w:r>
      <w:r>
        <w:rPr>
          <w:rFonts w:ascii="Verdana" w:hAnsi="Verdana"/>
          <w:sz w:val="16"/>
          <w:szCs w:val="16"/>
        </w:rPr>
        <w:t>Asimismo, véase nota 216 de la Sentencia.</w:t>
      </w:r>
    </w:p>
  </w:footnote>
  <w:footnote w:id="79">
    <w:p w14:paraId="79B5E372" w14:textId="77777777" w:rsidR="008F53FE" w:rsidRPr="003668F4" w:rsidRDefault="008F53FE" w:rsidP="00A54BFE">
      <w:pPr>
        <w:jc w:val="both"/>
        <w:rPr>
          <w:rFonts w:ascii="Verdana" w:eastAsia="Times New Roman" w:hAnsi="Verdana" w:cs="Times New Roman"/>
          <w:sz w:val="16"/>
          <w:szCs w:val="16"/>
          <w:lang w:val="es-MX"/>
        </w:rPr>
      </w:pPr>
      <w:r w:rsidRPr="007D68DD">
        <w:rPr>
          <w:rStyle w:val="FootnoteReference"/>
          <w:rFonts w:ascii="Verdana" w:hAnsi="Verdana"/>
          <w:sz w:val="16"/>
          <w:szCs w:val="16"/>
        </w:rPr>
        <w:footnoteRef/>
      </w:r>
      <w:r w:rsidRPr="007D68DD">
        <w:rPr>
          <w:rFonts w:ascii="Verdana" w:hAnsi="Verdana"/>
          <w:sz w:val="16"/>
          <w:szCs w:val="16"/>
        </w:rPr>
        <w:t xml:space="preserve"> </w:t>
      </w:r>
      <w:r w:rsidRPr="007D68DD">
        <w:rPr>
          <w:rFonts w:ascii="Verdana" w:hAnsi="Verdana"/>
          <w:sz w:val="16"/>
          <w:szCs w:val="16"/>
        </w:rPr>
        <w:tab/>
      </w:r>
      <w:r w:rsidRPr="003B0E36">
        <w:rPr>
          <w:rFonts w:ascii="Verdana" w:hAnsi="Verdana" w:cs="Times New Roman"/>
          <w:sz w:val="16"/>
          <w:szCs w:val="16"/>
        </w:rPr>
        <w:t xml:space="preserve">Véase </w:t>
      </w:r>
      <w:r w:rsidRPr="003B0E36">
        <w:rPr>
          <w:rFonts w:ascii="Verdana" w:hAnsi="Verdana"/>
          <w:i/>
          <w:sz w:val="16"/>
          <w:szCs w:val="16"/>
        </w:rPr>
        <w:t>Panorámica Social de América Latina</w:t>
      </w:r>
      <w:r w:rsidRPr="003B0E36">
        <w:rPr>
          <w:rFonts w:ascii="Verdana" w:hAnsi="Verdana"/>
          <w:sz w:val="16"/>
          <w:szCs w:val="16"/>
        </w:rPr>
        <w:t xml:space="preserve"> </w:t>
      </w:r>
      <w:r w:rsidRPr="003B0E36">
        <w:rPr>
          <w:rFonts w:ascii="Verdana" w:hAnsi="Verdana"/>
          <w:i/>
          <w:sz w:val="16"/>
          <w:szCs w:val="16"/>
        </w:rPr>
        <w:t>2016</w:t>
      </w:r>
      <w:r w:rsidRPr="003B0E36">
        <w:rPr>
          <w:rFonts w:ascii="Verdana" w:hAnsi="Verdana"/>
          <w:sz w:val="16"/>
          <w:szCs w:val="16"/>
        </w:rPr>
        <w:t>, Comisión Económica para Am</w:t>
      </w:r>
      <w:r>
        <w:rPr>
          <w:rFonts w:ascii="Verdana" w:hAnsi="Verdana"/>
          <w:sz w:val="16"/>
          <w:szCs w:val="16"/>
        </w:rPr>
        <w:t>érica Latina y el Caribe</w:t>
      </w:r>
      <w:r w:rsidRPr="003B0E36">
        <w:rPr>
          <w:rFonts w:ascii="Verdana" w:hAnsi="Verdana"/>
          <w:sz w:val="16"/>
          <w:szCs w:val="16"/>
        </w:rPr>
        <w:t xml:space="preserve">, Naciones Unidas, 2017, p. 11. </w:t>
      </w:r>
      <w:r>
        <w:rPr>
          <w:rFonts w:ascii="Verdana" w:hAnsi="Verdana"/>
          <w:sz w:val="16"/>
          <w:szCs w:val="16"/>
        </w:rPr>
        <w:t>Asimismo, sostiene la</w:t>
      </w:r>
      <w:r w:rsidRPr="003B0E36">
        <w:rPr>
          <w:rFonts w:ascii="Verdana" w:hAnsi="Verdana" w:cs="Times New Roman"/>
          <w:sz w:val="16"/>
          <w:szCs w:val="16"/>
        </w:rPr>
        <w:t xml:space="preserve"> CEPAL</w:t>
      </w:r>
      <w:r>
        <w:rPr>
          <w:rFonts w:ascii="Verdana" w:hAnsi="Verdana" w:cs="Times New Roman"/>
          <w:sz w:val="16"/>
          <w:szCs w:val="16"/>
        </w:rPr>
        <w:t xml:space="preserve"> que</w:t>
      </w:r>
      <w:r w:rsidRPr="003B0E36">
        <w:rPr>
          <w:rFonts w:ascii="Verdana" w:hAnsi="Verdana"/>
          <w:sz w:val="16"/>
          <w:szCs w:val="16"/>
        </w:rPr>
        <w:t xml:space="preserve"> </w:t>
      </w:r>
      <w:r w:rsidRPr="003B0E36">
        <w:rPr>
          <w:rFonts w:ascii="Verdana" w:hAnsi="Verdana" w:cs="Times New Roman"/>
          <w:sz w:val="16"/>
          <w:szCs w:val="16"/>
        </w:rPr>
        <w:t>“la desigualdad se manifiesta en que no todos los individuos pueden ejercer plenamente sus derechos civiles, políticos, económicos, sociales y medioambientales y que, por tanto, el principio de universalidad ha sido vulnerado”.</w:t>
      </w:r>
      <w:r w:rsidRPr="007D68DD">
        <w:rPr>
          <w:rFonts w:ascii="Verdana" w:hAnsi="Verdana" w:cs="Times New Roman"/>
          <w:sz w:val="16"/>
          <w:szCs w:val="16"/>
        </w:rPr>
        <w:t xml:space="preserve"> </w:t>
      </w:r>
      <w:r w:rsidRPr="00A54BFE">
        <w:rPr>
          <w:rFonts w:ascii="Verdana" w:hAnsi="Verdana" w:cs="Times New Roman"/>
          <w:sz w:val="16"/>
          <w:szCs w:val="16"/>
        </w:rPr>
        <w:t>Por su parte, el Preámbulo de la Convención Americana, en su párrafo quinto, estipula que “</w:t>
      </w:r>
      <w:r w:rsidRPr="00A54BFE">
        <w:rPr>
          <w:rFonts w:ascii="Verdana" w:eastAsia="Times New Roman" w:hAnsi="Verdana" w:cs="Tahoma"/>
          <w:color w:val="000000"/>
          <w:sz w:val="16"/>
          <w:szCs w:val="16"/>
          <w:lang w:val="es-MX"/>
        </w:rPr>
        <w:t xml:space="preserve">Reiterando que, con arreglo a la Declaración Universal de los Derechos Humanos, </w:t>
      </w:r>
      <w:r w:rsidRPr="00A54BFE">
        <w:rPr>
          <w:rFonts w:ascii="Verdana" w:eastAsia="Times New Roman" w:hAnsi="Verdana" w:cs="Tahoma"/>
          <w:color w:val="000000"/>
          <w:sz w:val="16"/>
          <w:szCs w:val="16"/>
          <w:u w:val="single"/>
          <w:lang w:val="es-MX"/>
        </w:rPr>
        <w:t>sólo puede realizarse el ideal del ser humano libre, exento del t</w:t>
      </w:r>
      <w:bookmarkStart w:id="0" w:name="_GoBack"/>
      <w:bookmarkEnd w:id="0"/>
      <w:r w:rsidRPr="00A54BFE">
        <w:rPr>
          <w:rFonts w:ascii="Verdana" w:eastAsia="Times New Roman" w:hAnsi="Verdana" w:cs="Tahoma"/>
          <w:color w:val="000000"/>
          <w:sz w:val="16"/>
          <w:szCs w:val="16"/>
          <w:u w:val="single"/>
          <w:lang w:val="es-MX"/>
        </w:rPr>
        <w:t>emor y de la miseria, si se crean condiciones que permitan a cada persona gozar de sus derechos económicos, sociales y culturales, tanto como de sus derechos civiles y políticos</w:t>
      </w:r>
      <w:r w:rsidRPr="00A54BFE">
        <w:rPr>
          <w:rFonts w:ascii="Verdana" w:eastAsia="Times New Roman" w:hAnsi="Verdana" w:cs="Times New Roman"/>
          <w:sz w:val="16"/>
          <w:szCs w:val="16"/>
          <w:lang w:val="es-MX"/>
        </w:rPr>
        <w:t>”.</w:t>
      </w:r>
      <w:r w:rsidRPr="003668F4">
        <w:rPr>
          <w:rFonts w:ascii="Verdana" w:eastAsia="Times New Roman" w:hAnsi="Verdana" w:cs="Times New Roman"/>
          <w:sz w:val="16"/>
          <w:szCs w:val="16"/>
          <w:lang w:val="es-MX"/>
        </w:rPr>
        <w:t xml:space="preserve"> </w:t>
      </w:r>
    </w:p>
    <w:p w14:paraId="209A493D" w14:textId="5D34226C" w:rsidR="008F53FE" w:rsidRPr="007D68DD" w:rsidRDefault="008F53FE" w:rsidP="007D68DD">
      <w:pPr>
        <w:jc w:val="both"/>
        <w:textAlignment w:val="baseline"/>
        <w:rPr>
          <w:rFonts w:ascii="Verdana" w:hAnsi="Verdana" w:cs="Times New Roman"/>
          <w:sz w:val="16"/>
          <w:szCs w:val="16"/>
        </w:rPr>
      </w:pPr>
    </w:p>
    <w:p w14:paraId="2C39BA85" w14:textId="77777777" w:rsidR="008F53FE" w:rsidRPr="00513BDD" w:rsidRDefault="008F53FE" w:rsidP="00357C25">
      <w:pPr>
        <w:pStyle w:val="FootnoteText"/>
        <w:jc w:val="both"/>
        <w:rPr>
          <w:sz w:val="16"/>
          <w:szCs w:val="16"/>
          <w:highlight w:val="yellow"/>
          <w:lang w:val="es-ES_trad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20"/>
    <w:lvl w:ilvl="0">
      <w:start w:val="1"/>
      <w:numFmt w:val="decimal"/>
      <w:pStyle w:val="Estilo4"/>
      <w:lvlText w:val="%1."/>
      <w:lvlJc w:val="left"/>
      <w:pPr>
        <w:tabs>
          <w:tab w:val="num" w:pos="0"/>
        </w:tabs>
        <w:ind w:left="720" w:hanging="360"/>
      </w:pPr>
      <w:rPr>
        <w:rFonts w:ascii="Verdana" w:eastAsia="Calibri" w:hAnsi="Verdana" w:cs="Times New Roman"/>
        <w:b w:val="0"/>
        <w:i w:val="0"/>
        <w:strike w:val="0"/>
        <w:dstrike w:val="0"/>
        <w:color w:val="auto"/>
        <w:sz w:val="20"/>
        <w:szCs w:val="20"/>
      </w:rPr>
    </w:lvl>
    <w:lvl w:ilvl="1">
      <w:start w:val="1"/>
      <w:numFmt w:val="lowerLetter"/>
      <w:lvlText w:val="%2)"/>
      <w:lvlJc w:val="left"/>
      <w:pPr>
        <w:tabs>
          <w:tab w:val="num" w:pos="0"/>
        </w:tabs>
        <w:ind w:left="1440" w:hanging="360"/>
      </w:pPr>
      <w:rPr>
        <w:rFonts w:ascii="Verdana" w:hAnsi="Verdana" w:cs="Times New Roman"/>
        <w:b w:val="0"/>
        <w:i/>
        <w:caps w:val="0"/>
        <w:smallCaps w:val="0"/>
        <w:strike w:val="0"/>
        <w:dstrike w:val="0"/>
        <w:vanish w:val="0"/>
        <w:color w:val="auto"/>
        <w:position w:val="0"/>
        <w:sz w:val="20"/>
        <w:vertAlign w:val="baseli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55078FE"/>
    <w:multiLevelType w:val="hybridMultilevel"/>
    <w:tmpl w:val="E5EE6B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DB2FC2"/>
    <w:multiLevelType w:val="hybridMultilevel"/>
    <w:tmpl w:val="C5503DC0"/>
    <w:lvl w:ilvl="0" w:tplc="60088B2A">
      <w:start w:val="1"/>
      <w:numFmt w:val="decimal"/>
      <w:lvlText w:val="%1."/>
      <w:lvlJc w:val="left"/>
      <w:pPr>
        <w:ind w:left="360" w:hanging="360"/>
      </w:pPr>
      <w:rPr>
        <w:rFonts w:ascii="Verdana" w:hAnsi="Verdana" w:hint="default"/>
        <w:b w:val="0"/>
        <w:i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3B090C"/>
    <w:multiLevelType w:val="multilevel"/>
    <w:tmpl w:val="A838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117D1"/>
    <w:multiLevelType w:val="hybridMultilevel"/>
    <w:tmpl w:val="72B2A2B0"/>
    <w:lvl w:ilvl="0" w:tplc="CDACFC98">
      <w:start w:val="1"/>
      <w:numFmt w:val="decimal"/>
      <w:lvlText w:val="%1."/>
      <w:lvlJc w:val="left"/>
      <w:pPr>
        <w:ind w:left="360" w:hanging="360"/>
      </w:pPr>
      <w:rPr>
        <w:rFonts w:ascii="Verdana" w:hAnsi="Verdana" w:hint="default"/>
        <w:b w:val="0"/>
        <w:i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284362"/>
    <w:multiLevelType w:val="hybridMultilevel"/>
    <w:tmpl w:val="AC1C2B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6F2E83"/>
    <w:multiLevelType w:val="hybridMultilevel"/>
    <w:tmpl w:val="30467760"/>
    <w:lvl w:ilvl="0" w:tplc="FEAE2600">
      <w:start w:val="1"/>
      <w:numFmt w:val="decimal"/>
      <w:lvlText w:val="%1."/>
      <w:lvlJc w:val="left"/>
      <w:pPr>
        <w:ind w:left="3763" w:hanging="360"/>
      </w:pPr>
      <w:rPr>
        <w:rFonts w:hint="default"/>
        <w:sz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1400060C"/>
    <w:multiLevelType w:val="multilevel"/>
    <w:tmpl w:val="5248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6678D"/>
    <w:multiLevelType w:val="hybridMultilevel"/>
    <w:tmpl w:val="C33EAE54"/>
    <w:lvl w:ilvl="0" w:tplc="465ED674">
      <w:start w:val="1"/>
      <w:numFmt w:val="decimal"/>
      <w:lvlText w:val="%1."/>
      <w:lvlJc w:val="left"/>
      <w:pPr>
        <w:ind w:left="1068" w:hanging="360"/>
      </w:pPr>
      <w:rPr>
        <w:rFonts w:ascii="Verdana" w:hAnsi="Verdana" w:hint="default"/>
        <w:sz w:val="20"/>
        <w:szCs w:val="2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2DD91787"/>
    <w:multiLevelType w:val="hybridMultilevel"/>
    <w:tmpl w:val="C334295A"/>
    <w:lvl w:ilvl="0" w:tplc="0C0A000F">
      <w:start w:val="14"/>
      <w:numFmt w:val="decimal"/>
      <w:lvlText w:val="%1."/>
      <w:lvlJc w:val="left"/>
      <w:pPr>
        <w:ind w:left="720" w:hanging="360"/>
      </w:pPr>
      <w:rPr>
        <w:rFonts w:cs="Times New Roman"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09469A7"/>
    <w:multiLevelType w:val="hybridMultilevel"/>
    <w:tmpl w:val="E0523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6C558C7"/>
    <w:multiLevelType w:val="hybridMultilevel"/>
    <w:tmpl w:val="1172BD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DFF3263"/>
    <w:multiLevelType w:val="hybridMultilevel"/>
    <w:tmpl w:val="E9BC855C"/>
    <w:lvl w:ilvl="0" w:tplc="B58A1FB2">
      <w:start w:val="130"/>
      <w:numFmt w:val="decimal"/>
      <w:lvlText w:val="%1"/>
      <w:lvlJc w:val="left"/>
      <w:pPr>
        <w:ind w:left="740" w:hanging="38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04670A1"/>
    <w:multiLevelType w:val="hybridMultilevel"/>
    <w:tmpl w:val="3D5ED1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396E95"/>
    <w:multiLevelType w:val="hybridMultilevel"/>
    <w:tmpl w:val="3D6A8CAA"/>
    <w:lvl w:ilvl="0" w:tplc="DC54FF0A">
      <w:start w:val="1"/>
      <w:numFmt w:val="decimal"/>
      <w:lvlText w:val="%1."/>
      <w:lvlJc w:val="left"/>
      <w:pPr>
        <w:ind w:left="421" w:hanging="360"/>
      </w:pPr>
      <w:rPr>
        <w:b w:val="0"/>
        <w:i w:val="0"/>
        <w:sz w:val="20"/>
        <w:szCs w:val="20"/>
      </w:r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abstractNum w:abstractNumId="15">
    <w:nsid w:val="4C7B52B7"/>
    <w:multiLevelType w:val="hybridMultilevel"/>
    <w:tmpl w:val="2A3ED960"/>
    <w:lvl w:ilvl="0" w:tplc="98AA2D10">
      <w:start w:val="151"/>
      <w:numFmt w:val="decimal"/>
      <w:lvlText w:val="%1."/>
      <w:lvlJc w:val="left"/>
      <w:pPr>
        <w:ind w:left="820" w:hanging="4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DC94DA0"/>
    <w:multiLevelType w:val="hybridMultilevel"/>
    <w:tmpl w:val="E066369E"/>
    <w:lvl w:ilvl="0" w:tplc="9F6C78B6">
      <w:start w:val="1"/>
      <w:numFmt w:val="decimal"/>
      <w:lvlText w:val="%1."/>
      <w:lvlJc w:val="left"/>
      <w:pPr>
        <w:ind w:left="4052" w:hanging="360"/>
      </w:pPr>
      <w:rPr>
        <w:rFonts w:ascii="Verdana" w:hAnsi="Verdana" w:hint="default"/>
        <w:b w:val="0"/>
        <w:i w:val="0"/>
      </w:rPr>
    </w:lvl>
    <w:lvl w:ilvl="1" w:tplc="0C0A0019">
      <w:start w:val="1"/>
      <w:numFmt w:val="lowerLetter"/>
      <w:lvlText w:val="%2."/>
      <w:lvlJc w:val="left"/>
      <w:pPr>
        <w:ind w:left="5132" w:hanging="360"/>
      </w:pPr>
    </w:lvl>
    <w:lvl w:ilvl="2" w:tplc="0C0A001B" w:tentative="1">
      <w:start w:val="1"/>
      <w:numFmt w:val="lowerRoman"/>
      <w:lvlText w:val="%3."/>
      <w:lvlJc w:val="right"/>
      <w:pPr>
        <w:ind w:left="5852" w:hanging="180"/>
      </w:pPr>
    </w:lvl>
    <w:lvl w:ilvl="3" w:tplc="0C0A000F" w:tentative="1">
      <w:start w:val="1"/>
      <w:numFmt w:val="decimal"/>
      <w:lvlText w:val="%4."/>
      <w:lvlJc w:val="left"/>
      <w:pPr>
        <w:ind w:left="6572" w:hanging="360"/>
      </w:pPr>
    </w:lvl>
    <w:lvl w:ilvl="4" w:tplc="0C0A0019" w:tentative="1">
      <w:start w:val="1"/>
      <w:numFmt w:val="lowerLetter"/>
      <w:lvlText w:val="%5."/>
      <w:lvlJc w:val="left"/>
      <w:pPr>
        <w:ind w:left="7292" w:hanging="360"/>
      </w:pPr>
    </w:lvl>
    <w:lvl w:ilvl="5" w:tplc="0C0A001B" w:tentative="1">
      <w:start w:val="1"/>
      <w:numFmt w:val="lowerRoman"/>
      <w:lvlText w:val="%6."/>
      <w:lvlJc w:val="right"/>
      <w:pPr>
        <w:ind w:left="8012" w:hanging="180"/>
      </w:pPr>
    </w:lvl>
    <w:lvl w:ilvl="6" w:tplc="0C0A000F" w:tentative="1">
      <w:start w:val="1"/>
      <w:numFmt w:val="decimal"/>
      <w:lvlText w:val="%7."/>
      <w:lvlJc w:val="left"/>
      <w:pPr>
        <w:ind w:left="8732" w:hanging="360"/>
      </w:pPr>
    </w:lvl>
    <w:lvl w:ilvl="7" w:tplc="0C0A0019" w:tentative="1">
      <w:start w:val="1"/>
      <w:numFmt w:val="lowerLetter"/>
      <w:lvlText w:val="%8."/>
      <w:lvlJc w:val="left"/>
      <w:pPr>
        <w:ind w:left="9452" w:hanging="360"/>
      </w:pPr>
    </w:lvl>
    <w:lvl w:ilvl="8" w:tplc="0C0A001B" w:tentative="1">
      <w:start w:val="1"/>
      <w:numFmt w:val="lowerRoman"/>
      <w:lvlText w:val="%9."/>
      <w:lvlJc w:val="right"/>
      <w:pPr>
        <w:ind w:left="10172" w:hanging="180"/>
      </w:pPr>
    </w:lvl>
  </w:abstractNum>
  <w:abstractNum w:abstractNumId="17">
    <w:nsid w:val="593C2853"/>
    <w:multiLevelType w:val="hybridMultilevel"/>
    <w:tmpl w:val="8B0A7D8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nsid w:val="6450298B"/>
    <w:multiLevelType w:val="hybridMultilevel"/>
    <w:tmpl w:val="9A926182"/>
    <w:lvl w:ilvl="0" w:tplc="2C5ADC88">
      <w:start w:val="1"/>
      <w:numFmt w:val="decimal"/>
      <w:lvlText w:val="%1."/>
      <w:lvlJc w:val="left"/>
      <w:pPr>
        <w:ind w:left="2340" w:hanging="360"/>
      </w:pPr>
      <w:rPr>
        <w:rFonts w:ascii="Verdana" w:hAnsi="Verdana" w:hint="default"/>
        <w:b w:val="0"/>
        <w:i w:val="0"/>
        <w:strike w:val="0"/>
        <w:color w:val="auto"/>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746C303F"/>
    <w:multiLevelType w:val="hybridMultilevel"/>
    <w:tmpl w:val="6204A6B6"/>
    <w:lvl w:ilvl="0" w:tplc="8E3AC9A6">
      <w:start w:val="92"/>
      <w:numFmt w:val="decimal"/>
      <w:lvlText w:val="%1."/>
      <w:lvlJc w:val="left"/>
      <w:pPr>
        <w:ind w:left="720" w:hanging="360"/>
      </w:pPr>
      <w:rPr>
        <w:rFonts w:ascii="Verdana" w:eastAsia="Times New Roman" w:hAnsi="Verdana"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A4D3C7E"/>
    <w:multiLevelType w:val="hybridMultilevel"/>
    <w:tmpl w:val="05BE893E"/>
    <w:lvl w:ilvl="0" w:tplc="35A2E30C">
      <w:start w:val="158"/>
      <w:numFmt w:val="decimal"/>
      <w:lvlText w:val="%1."/>
      <w:lvlJc w:val="left"/>
      <w:pPr>
        <w:ind w:left="820" w:hanging="4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16"/>
  </w:num>
  <w:num w:numId="4">
    <w:abstractNumId w:val="2"/>
  </w:num>
  <w:num w:numId="5">
    <w:abstractNumId w:val="0"/>
  </w:num>
  <w:num w:numId="6">
    <w:abstractNumId w:val="18"/>
  </w:num>
  <w:num w:numId="7">
    <w:abstractNumId w:val="12"/>
  </w:num>
  <w:num w:numId="8">
    <w:abstractNumId w:val="13"/>
  </w:num>
  <w:num w:numId="9">
    <w:abstractNumId w:val="5"/>
  </w:num>
  <w:num w:numId="10">
    <w:abstractNumId w:val="14"/>
  </w:num>
  <w:num w:numId="11">
    <w:abstractNumId w:val="17"/>
  </w:num>
  <w:num w:numId="12">
    <w:abstractNumId w:val="11"/>
  </w:num>
  <w:num w:numId="13">
    <w:abstractNumId w:val="19"/>
  </w:num>
  <w:num w:numId="14">
    <w:abstractNumId w:val="10"/>
  </w:num>
  <w:num w:numId="15">
    <w:abstractNumId w:val="8"/>
  </w:num>
  <w:num w:numId="16">
    <w:abstractNumId w:val="20"/>
  </w:num>
  <w:num w:numId="17">
    <w:abstractNumId w:val="15"/>
  </w:num>
  <w:num w:numId="18">
    <w:abstractNumId w:val="3"/>
  </w:num>
  <w:num w:numId="19">
    <w:abstractNumId w:val="7"/>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B7"/>
    <w:rsid w:val="00000354"/>
    <w:rsid w:val="000016C6"/>
    <w:rsid w:val="00003E98"/>
    <w:rsid w:val="00010F10"/>
    <w:rsid w:val="00017B25"/>
    <w:rsid w:val="00023BBB"/>
    <w:rsid w:val="00027DF8"/>
    <w:rsid w:val="00040D04"/>
    <w:rsid w:val="00044FA9"/>
    <w:rsid w:val="00064565"/>
    <w:rsid w:val="00071BDF"/>
    <w:rsid w:val="00075518"/>
    <w:rsid w:val="00082936"/>
    <w:rsid w:val="00084753"/>
    <w:rsid w:val="000855CF"/>
    <w:rsid w:val="0008765F"/>
    <w:rsid w:val="00090CE8"/>
    <w:rsid w:val="00091B08"/>
    <w:rsid w:val="000A00A0"/>
    <w:rsid w:val="000A01B7"/>
    <w:rsid w:val="000A31C6"/>
    <w:rsid w:val="000A4DD0"/>
    <w:rsid w:val="000B0BD3"/>
    <w:rsid w:val="000C41B3"/>
    <w:rsid w:val="000C7DD1"/>
    <w:rsid w:val="000D431F"/>
    <w:rsid w:val="000E2881"/>
    <w:rsid w:val="000E3E47"/>
    <w:rsid w:val="000E4AFD"/>
    <w:rsid w:val="00101A7B"/>
    <w:rsid w:val="001215D0"/>
    <w:rsid w:val="00121FBB"/>
    <w:rsid w:val="0012613C"/>
    <w:rsid w:val="00137401"/>
    <w:rsid w:val="00142E2B"/>
    <w:rsid w:val="001459D3"/>
    <w:rsid w:val="00151A7C"/>
    <w:rsid w:val="0017011E"/>
    <w:rsid w:val="001724E4"/>
    <w:rsid w:val="001734CD"/>
    <w:rsid w:val="001737C2"/>
    <w:rsid w:val="001776BD"/>
    <w:rsid w:val="00180B3B"/>
    <w:rsid w:val="00180CD7"/>
    <w:rsid w:val="00195059"/>
    <w:rsid w:val="00196594"/>
    <w:rsid w:val="00197873"/>
    <w:rsid w:val="001978FB"/>
    <w:rsid w:val="001A0F20"/>
    <w:rsid w:val="001A138E"/>
    <w:rsid w:val="001A46DA"/>
    <w:rsid w:val="001A471A"/>
    <w:rsid w:val="001B1154"/>
    <w:rsid w:val="001B19E4"/>
    <w:rsid w:val="001B7691"/>
    <w:rsid w:val="001B7C9D"/>
    <w:rsid w:val="001C21C2"/>
    <w:rsid w:val="001C719D"/>
    <w:rsid w:val="001D0833"/>
    <w:rsid w:val="001D1F13"/>
    <w:rsid w:val="001D1F4D"/>
    <w:rsid w:val="001D59FD"/>
    <w:rsid w:val="001E0154"/>
    <w:rsid w:val="001E352E"/>
    <w:rsid w:val="001E543E"/>
    <w:rsid w:val="001E765A"/>
    <w:rsid w:val="001F11AA"/>
    <w:rsid w:val="001F606E"/>
    <w:rsid w:val="00200095"/>
    <w:rsid w:val="00201CA6"/>
    <w:rsid w:val="00204E88"/>
    <w:rsid w:val="00206283"/>
    <w:rsid w:val="00206EBB"/>
    <w:rsid w:val="00212BD6"/>
    <w:rsid w:val="00215A56"/>
    <w:rsid w:val="00215ACF"/>
    <w:rsid w:val="002172FA"/>
    <w:rsid w:val="00222532"/>
    <w:rsid w:val="002228F7"/>
    <w:rsid w:val="00223E4E"/>
    <w:rsid w:val="00235BB4"/>
    <w:rsid w:val="00236404"/>
    <w:rsid w:val="00240584"/>
    <w:rsid w:val="00242400"/>
    <w:rsid w:val="00254A83"/>
    <w:rsid w:val="00256770"/>
    <w:rsid w:val="0028551E"/>
    <w:rsid w:val="002879B3"/>
    <w:rsid w:val="00290EF1"/>
    <w:rsid w:val="002931CE"/>
    <w:rsid w:val="00295CC3"/>
    <w:rsid w:val="002971BB"/>
    <w:rsid w:val="002B2689"/>
    <w:rsid w:val="002C0F73"/>
    <w:rsid w:val="002D27B9"/>
    <w:rsid w:val="002E0C2B"/>
    <w:rsid w:val="002F0B14"/>
    <w:rsid w:val="002F341A"/>
    <w:rsid w:val="002F62A5"/>
    <w:rsid w:val="002F7DC0"/>
    <w:rsid w:val="00302CC1"/>
    <w:rsid w:val="00305AB2"/>
    <w:rsid w:val="00306D60"/>
    <w:rsid w:val="00312A54"/>
    <w:rsid w:val="003138F3"/>
    <w:rsid w:val="00314B89"/>
    <w:rsid w:val="00320A04"/>
    <w:rsid w:val="00321C41"/>
    <w:rsid w:val="0032362F"/>
    <w:rsid w:val="00330D97"/>
    <w:rsid w:val="003341C9"/>
    <w:rsid w:val="00337A08"/>
    <w:rsid w:val="00347C3B"/>
    <w:rsid w:val="00354EF9"/>
    <w:rsid w:val="00357AA1"/>
    <w:rsid w:val="00357C25"/>
    <w:rsid w:val="00360566"/>
    <w:rsid w:val="003651B7"/>
    <w:rsid w:val="0036571D"/>
    <w:rsid w:val="00374FA9"/>
    <w:rsid w:val="003764BB"/>
    <w:rsid w:val="00384E0E"/>
    <w:rsid w:val="00390F9C"/>
    <w:rsid w:val="00391851"/>
    <w:rsid w:val="00392C69"/>
    <w:rsid w:val="003B0E36"/>
    <w:rsid w:val="003B1586"/>
    <w:rsid w:val="003B391E"/>
    <w:rsid w:val="003C0F12"/>
    <w:rsid w:val="003C6C24"/>
    <w:rsid w:val="003D4E91"/>
    <w:rsid w:val="003D73EA"/>
    <w:rsid w:val="003E31FE"/>
    <w:rsid w:val="003F23A0"/>
    <w:rsid w:val="003F4126"/>
    <w:rsid w:val="004120B4"/>
    <w:rsid w:val="004126FD"/>
    <w:rsid w:val="00413F2D"/>
    <w:rsid w:val="00414720"/>
    <w:rsid w:val="004231F4"/>
    <w:rsid w:val="004305F7"/>
    <w:rsid w:val="004307E5"/>
    <w:rsid w:val="004314B5"/>
    <w:rsid w:val="00433CA4"/>
    <w:rsid w:val="004362BC"/>
    <w:rsid w:val="00437518"/>
    <w:rsid w:val="00440F11"/>
    <w:rsid w:val="00462206"/>
    <w:rsid w:val="004639C3"/>
    <w:rsid w:val="00465C8B"/>
    <w:rsid w:val="0047021F"/>
    <w:rsid w:val="00472524"/>
    <w:rsid w:val="00472ABF"/>
    <w:rsid w:val="00472FD4"/>
    <w:rsid w:val="0047617E"/>
    <w:rsid w:val="00480E09"/>
    <w:rsid w:val="004836F4"/>
    <w:rsid w:val="00490C39"/>
    <w:rsid w:val="004912E0"/>
    <w:rsid w:val="004921FB"/>
    <w:rsid w:val="004953EB"/>
    <w:rsid w:val="004A4C7D"/>
    <w:rsid w:val="004A58EA"/>
    <w:rsid w:val="004B39A9"/>
    <w:rsid w:val="004B5AAB"/>
    <w:rsid w:val="004B76C5"/>
    <w:rsid w:val="004C102F"/>
    <w:rsid w:val="004C2ED5"/>
    <w:rsid w:val="004C494C"/>
    <w:rsid w:val="004C6A65"/>
    <w:rsid w:val="004C7104"/>
    <w:rsid w:val="004D0483"/>
    <w:rsid w:val="004D230F"/>
    <w:rsid w:val="004D483E"/>
    <w:rsid w:val="004D67FA"/>
    <w:rsid w:val="004D75AA"/>
    <w:rsid w:val="004E0628"/>
    <w:rsid w:val="004E1A40"/>
    <w:rsid w:val="004E24E3"/>
    <w:rsid w:val="004E637B"/>
    <w:rsid w:val="004E66B4"/>
    <w:rsid w:val="004E6FB8"/>
    <w:rsid w:val="004E7851"/>
    <w:rsid w:val="004F49CD"/>
    <w:rsid w:val="0050054B"/>
    <w:rsid w:val="00513BDD"/>
    <w:rsid w:val="0054031B"/>
    <w:rsid w:val="0054348E"/>
    <w:rsid w:val="00555C01"/>
    <w:rsid w:val="00555F2F"/>
    <w:rsid w:val="0057043D"/>
    <w:rsid w:val="00577626"/>
    <w:rsid w:val="005831B4"/>
    <w:rsid w:val="005A06AA"/>
    <w:rsid w:val="005A6F99"/>
    <w:rsid w:val="005B3CA3"/>
    <w:rsid w:val="005B6191"/>
    <w:rsid w:val="005C3E8D"/>
    <w:rsid w:val="005C5F45"/>
    <w:rsid w:val="005D6C54"/>
    <w:rsid w:val="005E3299"/>
    <w:rsid w:val="005F2505"/>
    <w:rsid w:val="005F3074"/>
    <w:rsid w:val="005F3287"/>
    <w:rsid w:val="005F337D"/>
    <w:rsid w:val="006014A3"/>
    <w:rsid w:val="00601C94"/>
    <w:rsid w:val="0060270F"/>
    <w:rsid w:val="00602745"/>
    <w:rsid w:val="00603670"/>
    <w:rsid w:val="00604303"/>
    <w:rsid w:val="006065E7"/>
    <w:rsid w:val="0061436F"/>
    <w:rsid w:val="00617CD1"/>
    <w:rsid w:val="006268A3"/>
    <w:rsid w:val="0063640C"/>
    <w:rsid w:val="00637792"/>
    <w:rsid w:val="00646E8E"/>
    <w:rsid w:val="00652C2C"/>
    <w:rsid w:val="006536DC"/>
    <w:rsid w:val="0065672D"/>
    <w:rsid w:val="0065705B"/>
    <w:rsid w:val="00662647"/>
    <w:rsid w:val="00671A64"/>
    <w:rsid w:val="00671A7B"/>
    <w:rsid w:val="00672A90"/>
    <w:rsid w:val="00674057"/>
    <w:rsid w:val="00674E6D"/>
    <w:rsid w:val="00680C65"/>
    <w:rsid w:val="00685725"/>
    <w:rsid w:val="00692F5F"/>
    <w:rsid w:val="00697D9A"/>
    <w:rsid w:val="006C0FA1"/>
    <w:rsid w:val="006D102F"/>
    <w:rsid w:val="006E4463"/>
    <w:rsid w:val="006E4E07"/>
    <w:rsid w:val="00701F56"/>
    <w:rsid w:val="00707C24"/>
    <w:rsid w:val="00710621"/>
    <w:rsid w:val="00715266"/>
    <w:rsid w:val="007167E6"/>
    <w:rsid w:val="00725463"/>
    <w:rsid w:val="007308DC"/>
    <w:rsid w:val="00731017"/>
    <w:rsid w:val="0075774E"/>
    <w:rsid w:val="00761869"/>
    <w:rsid w:val="0077077F"/>
    <w:rsid w:val="00776D7A"/>
    <w:rsid w:val="00786B04"/>
    <w:rsid w:val="007A5D3F"/>
    <w:rsid w:val="007A6F6D"/>
    <w:rsid w:val="007C0489"/>
    <w:rsid w:val="007C643C"/>
    <w:rsid w:val="007D19F0"/>
    <w:rsid w:val="007D3603"/>
    <w:rsid w:val="007D68DD"/>
    <w:rsid w:val="007E09A0"/>
    <w:rsid w:val="007E1678"/>
    <w:rsid w:val="007F70D8"/>
    <w:rsid w:val="00801791"/>
    <w:rsid w:val="00805560"/>
    <w:rsid w:val="0080585D"/>
    <w:rsid w:val="00805C3A"/>
    <w:rsid w:val="00812EC0"/>
    <w:rsid w:val="00817DF5"/>
    <w:rsid w:val="00830029"/>
    <w:rsid w:val="0083216C"/>
    <w:rsid w:val="008339ED"/>
    <w:rsid w:val="00844C91"/>
    <w:rsid w:val="0085395C"/>
    <w:rsid w:val="008662A7"/>
    <w:rsid w:val="00866FF2"/>
    <w:rsid w:val="008671A8"/>
    <w:rsid w:val="008705BD"/>
    <w:rsid w:val="00871BB4"/>
    <w:rsid w:val="00872F98"/>
    <w:rsid w:val="00887C76"/>
    <w:rsid w:val="00895766"/>
    <w:rsid w:val="008A02D9"/>
    <w:rsid w:val="008A56A4"/>
    <w:rsid w:val="008A6553"/>
    <w:rsid w:val="008B24C8"/>
    <w:rsid w:val="008C23C8"/>
    <w:rsid w:val="008C28B1"/>
    <w:rsid w:val="008C406A"/>
    <w:rsid w:val="008C45A7"/>
    <w:rsid w:val="008C5923"/>
    <w:rsid w:val="008C6EF9"/>
    <w:rsid w:val="008D2569"/>
    <w:rsid w:val="008D56D9"/>
    <w:rsid w:val="008D7FA8"/>
    <w:rsid w:val="008E1AE5"/>
    <w:rsid w:val="008E601F"/>
    <w:rsid w:val="008F53FE"/>
    <w:rsid w:val="008F7F00"/>
    <w:rsid w:val="009024EC"/>
    <w:rsid w:val="009058DE"/>
    <w:rsid w:val="0090614B"/>
    <w:rsid w:val="009100B2"/>
    <w:rsid w:val="00911447"/>
    <w:rsid w:val="00917B0E"/>
    <w:rsid w:val="009300D1"/>
    <w:rsid w:val="00933A39"/>
    <w:rsid w:val="009344B8"/>
    <w:rsid w:val="009422C7"/>
    <w:rsid w:val="00944821"/>
    <w:rsid w:val="00944BC3"/>
    <w:rsid w:val="009559E8"/>
    <w:rsid w:val="00965F52"/>
    <w:rsid w:val="00971EA4"/>
    <w:rsid w:val="00972D6D"/>
    <w:rsid w:val="00974A3E"/>
    <w:rsid w:val="00982A08"/>
    <w:rsid w:val="00983773"/>
    <w:rsid w:val="009A5257"/>
    <w:rsid w:val="009B48FD"/>
    <w:rsid w:val="009B6A6A"/>
    <w:rsid w:val="009B7390"/>
    <w:rsid w:val="009D25ED"/>
    <w:rsid w:val="009D47C0"/>
    <w:rsid w:val="009D4896"/>
    <w:rsid w:val="009E0482"/>
    <w:rsid w:val="009E2C07"/>
    <w:rsid w:val="009E4478"/>
    <w:rsid w:val="009E466C"/>
    <w:rsid w:val="00A068F0"/>
    <w:rsid w:val="00A06949"/>
    <w:rsid w:val="00A1496A"/>
    <w:rsid w:val="00A25DA7"/>
    <w:rsid w:val="00A26255"/>
    <w:rsid w:val="00A31ABA"/>
    <w:rsid w:val="00A35E2F"/>
    <w:rsid w:val="00A37AB9"/>
    <w:rsid w:val="00A43AEF"/>
    <w:rsid w:val="00A443C1"/>
    <w:rsid w:val="00A5316E"/>
    <w:rsid w:val="00A54BFE"/>
    <w:rsid w:val="00A54C6A"/>
    <w:rsid w:val="00A5621B"/>
    <w:rsid w:val="00A635E6"/>
    <w:rsid w:val="00A71C8C"/>
    <w:rsid w:val="00A75D43"/>
    <w:rsid w:val="00A80DEA"/>
    <w:rsid w:val="00A822CB"/>
    <w:rsid w:val="00A83C63"/>
    <w:rsid w:val="00A868CA"/>
    <w:rsid w:val="00A90C15"/>
    <w:rsid w:val="00AB52F3"/>
    <w:rsid w:val="00AD07F6"/>
    <w:rsid w:val="00AD360E"/>
    <w:rsid w:val="00AD5FF9"/>
    <w:rsid w:val="00AE10A0"/>
    <w:rsid w:val="00AF3719"/>
    <w:rsid w:val="00AF4B30"/>
    <w:rsid w:val="00B031D0"/>
    <w:rsid w:val="00B05C28"/>
    <w:rsid w:val="00B1565E"/>
    <w:rsid w:val="00B163FC"/>
    <w:rsid w:val="00B1651B"/>
    <w:rsid w:val="00B324ED"/>
    <w:rsid w:val="00B32748"/>
    <w:rsid w:val="00B35A97"/>
    <w:rsid w:val="00B448A4"/>
    <w:rsid w:val="00B44919"/>
    <w:rsid w:val="00B46BC3"/>
    <w:rsid w:val="00B500F5"/>
    <w:rsid w:val="00B5676E"/>
    <w:rsid w:val="00B6098B"/>
    <w:rsid w:val="00B612D3"/>
    <w:rsid w:val="00B63E65"/>
    <w:rsid w:val="00B7231D"/>
    <w:rsid w:val="00B91D70"/>
    <w:rsid w:val="00B9315C"/>
    <w:rsid w:val="00BA59B7"/>
    <w:rsid w:val="00BA6F15"/>
    <w:rsid w:val="00BA7959"/>
    <w:rsid w:val="00BC223C"/>
    <w:rsid w:val="00BD0D01"/>
    <w:rsid w:val="00BD303A"/>
    <w:rsid w:val="00BD5340"/>
    <w:rsid w:val="00BD58A9"/>
    <w:rsid w:val="00BE21C9"/>
    <w:rsid w:val="00BF1E46"/>
    <w:rsid w:val="00BF5462"/>
    <w:rsid w:val="00C003C7"/>
    <w:rsid w:val="00C12E38"/>
    <w:rsid w:val="00C15906"/>
    <w:rsid w:val="00C17861"/>
    <w:rsid w:val="00C22E6D"/>
    <w:rsid w:val="00C254F9"/>
    <w:rsid w:val="00C41E31"/>
    <w:rsid w:val="00C4526E"/>
    <w:rsid w:val="00C52BDB"/>
    <w:rsid w:val="00C53026"/>
    <w:rsid w:val="00C53D52"/>
    <w:rsid w:val="00C60E33"/>
    <w:rsid w:val="00C6762E"/>
    <w:rsid w:val="00C70D6D"/>
    <w:rsid w:val="00C72991"/>
    <w:rsid w:val="00C7426F"/>
    <w:rsid w:val="00C743BD"/>
    <w:rsid w:val="00C749DE"/>
    <w:rsid w:val="00C74D82"/>
    <w:rsid w:val="00C761FB"/>
    <w:rsid w:val="00C763B1"/>
    <w:rsid w:val="00C80BAE"/>
    <w:rsid w:val="00C84924"/>
    <w:rsid w:val="00C86245"/>
    <w:rsid w:val="00C93ABA"/>
    <w:rsid w:val="00C959C6"/>
    <w:rsid w:val="00C96FBA"/>
    <w:rsid w:val="00CA32BD"/>
    <w:rsid w:val="00CA3B63"/>
    <w:rsid w:val="00CA704D"/>
    <w:rsid w:val="00CB1BC9"/>
    <w:rsid w:val="00CB22B9"/>
    <w:rsid w:val="00CB7E0A"/>
    <w:rsid w:val="00CD4D68"/>
    <w:rsid w:val="00CD7C8A"/>
    <w:rsid w:val="00CE4626"/>
    <w:rsid w:val="00CE4E0E"/>
    <w:rsid w:val="00CF0983"/>
    <w:rsid w:val="00CF137F"/>
    <w:rsid w:val="00CF1507"/>
    <w:rsid w:val="00CF1EEC"/>
    <w:rsid w:val="00D019FE"/>
    <w:rsid w:val="00D053CC"/>
    <w:rsid w:val="00D074B4"/>
    <w:rsid w:val="00D14043"/>
    <w:rsid w:val="00D21822"/>
    <w:rsid w:val="00D23F2F"/>
    <w:rsid w:val="00D2429A"/>
    <w:rsid w:val="00D25FEB"/>
    <w:rsid w:val="00D27FA5"/>
    <w:rsid w:val="00D33168"/>
    <w:rsid w:val="00D3599C"/>
    <w:rsid w:val="00D36B44"/>
    <w:rsid w:val="00D4068B"/>
    <w:rsid w:val="00D50FA5"/>
    <w:rsid w:val="00D62217"/>
    <w:rsid w:val="00D62CCD"/>
    <w:rsid w:val="00D63544"/>
    <w:rsid w:val="00D70DD6"/>
    <w:rsid w:val="00D80EF4"/>
    <w:rsid w:val="00D95534"/>
    <w:rsid w:val="00D97F89"/>
    <w:rsid w:val="00DA00D4"/>
    <w:rsid w:val="00DA23BE"/>
    <w:rsid w:val="00DA39CC"/>
    <w:rsid w:val="00DA6EC1"/>
    <w:rsid w:val="00DB1A55"/>
    <w:rsid w:val="00DB23E2"/>
    <w:rsid w:val="00DC2FD0"/>
    <w:rsid w:val="00DC30B4"/>
    <w:rsid w:val="00DC30BF"/>
    <w:rsid w:val="00DC6005"/>
    <w:rsid w:val="00DC67BA"/>
    <w:rsid w:val="00DD267A"/>
    <w:rsid w:val="00DD3372"/>
    <w:rsid w:val="00DE22F1"/>
    <w:rsid w:val="00DE4306"/>
    <w:rsid w:val="00DE43C9"/>
    <w:rsid w:val="00DE4860"/>
    <w:rsid w:val="00DF104B"/>
    <w:rsid w:val="00E016FF"/>
    <w:rsid w:val="00E03B31"/>
    <w:rsid w:val="00E115AF"/>
    <w:rsid w:val="00E1438E"/>
    <w:rsid w:val="00E23908"/>
    <w:rsid w:val="00E257BF"/>
    <w:rsid w:val="00E31E41"/>
    <w:rsid w:val="00E328D6"/>
    <w:rsid w:val="00E335CB"/>
    <w:rsid w:val="00E34017"/>
    <w:rsid w:val="00E3412E"/>
    <w:rsid w:val="00E34565"/>
    <w:rsid w:val="00E445C2"/>
    <w:rsid w:val="00E503EE"/>
    <w:rsid w:val="00E52490"/>
    <w:rsid w:val="00E559EB"/>
    <w:rsid w:val="00E55F50"/>
    <w:rsid w:val="00E57807"/>
    <w:rsid w:val="00E60BED"/>
    <w:rsid w:val="00E70C16"/>
    <w:rsid w:val="00E86400"/>
    <w:rsid w:val="00EA051E"/>
    <w:rsid w:val="00ED21FB"/>
    <w:rsid w:val="00ED5AC5"/>
    <w:rsid w:val="00ED5B40"/>
    <w:rsid w:val="00EE74D4"/>
    <w:rsid w:val="00EF1BC9"/>
    <w:rsid w:val="00EF6D9A"/>
    <w:rsid w:val="00EF79EE"/>
    <w:rsid w:val="00F0175B"/>
    <w:rsid w:val="00F14D28"/>
    <w:rsid w:val="00F14D7D"/>
    <w:rsid w:val="00F15BE7"/>
    <w:rsid w:val="00F218E4"/>
    <w:rsid w:val="00F257E7"/>
    <w:rsid w:val="00F306D5"/>
    <w:rsid w:val="00F31B28"/>
    <w:rsid w:val="00F43AB9"/>
    <w:rsid w:val="00F43C56"/>
    <w:rsid w:val="00F512D0"/>
    <w:rsid w:val="00F53BCA"/>
    <w:rsid w:val="00F5607B"/>
    <w:rsid w:val="00F6096D"/>
    <w:rsid w:val="00F609DC"/>
    <w:rsid w:val="00F60F75"/>
    <w:rsid w:val="00F61062"/>
    <w:rsid w:val="00F65FC2"/>
    <w:rsid w:val="00F72E94"/>
    <w:rsid w:val="00F74B60"/>
    <w:rsid w:val="00F75A20"/>
    <w:rsid w:val="00F8270C"/>
    <w:rsid w:val="00F921F9"/>
    <w:rsid w:val="00FA6845"/>
    <w:rsid w:val="00FC2F49"/>
    <w:rsid w:val="00FC4FC8"/>
    <w:rsid w:val="00FC6DFC"/>
    <w:rsid w:val="00FC7962"/>
    <w:rsid w:val="00FD58B6"/>
    <w:rsid w:val="00FD5DD4"/>
    <w:rsid w:val="00FE1C61"/>
    <w:rsid w:val="00FE2716"/>
    <w:rsid w:val="00FE3878"/>
    <w:rsid w:val="00FE4104"/>
    <w:rsid w:val="00FE56CB"/>
    <w:rsid w:val="00FE5C82"/>
    <w:rsid w:val="00FF7FE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7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34"/>
    <w:qFormat/>
    <w:rsid w:val="00D14043"/>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Ca,2. Footnote Text,C"/>
    <w:basedOn w:val="Normal"/>
    <w:link w:val="FootnoteTextChar"/>
    <w:uiPriority w:val="99"/>
    <w:qFormat/>
    <w:rsid w:val="009E0482"/>
    <w:rPr>
      <w:rFonts w:ascii="Verdana" w:eastAsia="Times New Roman" w:hAnsi="Verdana" w:cs="Times New Roman"/>
      <w:noProof/>
      <w:sz w:val="20"/>
      <w:szCs w:val="20"/>
      <w:lang w:val="en-US" w:eastAsia="en-US"/>
    </w:rPr>
  </w:style>
  <w:style w:type="character" w:customStyle="1" w:styleId="TextonotapieCar">
    <w:name w:val="Texto nota pie Car"/>
    <w:aliases w:val="2. Footnote Text Car,Footnote Tesina Car,C Car"/>
    <w:basedOn w:val="DefaultParagraphFont"/>
    <w:qFormat/>
    <w:rsid w:val="009E0482"/>
    <w:rPr>
      <w:lang w:val="es-ES_tradnl"/>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C Char"/>
    <w:basedOn w:val="DefaultParagraphFont"/>
    <w:link w:val="FootnoteText"/>
    <w:rsid w:val="009E0482"/>
    <w:rPr>
      <w:rFonts w:ascii="Verdana" w:eastAsia="Times New Roman" w:hAnsi="Verdana" w:cs="Times New Roman"/>
      <w:noProof/>
      <w:sz w:val="20"/>
      <w:szCs w:val="20"/>
      <w:lang w:val="en-US" w:eastAsia="en-US"/>
    </w:rPr>
  </w:style>
  <w:style w:type="character" w:styleId="FootnoteReference">
    <w:name w:val="footnote reference"/>
    <w:aliases w:val="Footnotes refss,Texto de nota al pie,Appel note de bas de page,Footnote number,referencia nota al pie,BVI fnr,f,4_G,16 Point,Superscript 6 Point,Texto nota al pie,Footnote Reference Char3,Footnote Reference Char1 Char,Ref. de nota al"/>
    <w:basedOn w:val="DefaultParagraphFont"/>
    <w:link w:val="4GChar"/>
    <w:uiPriority w:val="99"/>
    <w:qFormat/>
    <w:rsid w:val="009E0482"/>
    <w:rPr>
      <w:vertAlign w:val="superscript"/>
    </w:rPr>
  </w:style>
  <w:style w:type="paragraph" w:styleId="NormalWeb">
    <w:name w:val="Normal (Web)"/>
    <w:basedOn w:val="Normal"/>
    <w:uiPriority w:val="99"/>
    <w:unhideWhenUsed/>
    <w:rsid w:val="009E0482"/>
    <w:pPr>
      <w:spacing w:before="100" w:beforeAutospacing="1" w:after="100" w:afterAutospacing="1"/>
    </w:pPr>
    <w:rPr>
      <w:rFonts w:ascii="Times" w:hAnsi="Times" w:cs="Times New Roman"/>
      <w:noProof/>
      <w:sz w:val="20"/>
      <w:szCs w:val="20"/>
      <w:lang w:val="es-MX"/>
    </w:rPr>
  </w:style>
  <w:style w:type="character" w:customStyle="1" w:styleId="ListParagraphChar">
    <w:name w:val="List Paragraph Char"/>
    <w:aliases w:val="Footnote Char,List Paragraph1 Char,Colorful List - Accent 11 Char,Párrafo de lista1 Char,List Paragraph2 Char,Lista vistosa - Énfasis 11 Char"/>
    <w:basedOn w:val="DefaultParagraphFont"/>
    <w:link w:val="ListParagraph"/>
    <w:uiPriority w:val="34"/>
    <w:locked/>
    <w:rsid w:val="009E0482"/>
    <w:rPr>
      <w:lang w:val="es-ES_tradnl"/>
    </w:rPr>
  </w:style>
  <w:style w:type="paragraph" w:customStyle="1" w:styleId="s32b251d">
    <w:name w:val="s32b251d"/>
    <w:basedOn w:val="Normal"/>
    <w:rsid w:val="009E0482"/>
    <w:pPr>
      <w:spacing w:before="100" w:beforeAutospacing="1" w:after="100" w:afterAutospacing="1"/>
    </w:pPr>
    <w:rPr>
      <w:rFonts w:ascii="Times" w:eastAsiaTheme="minorHAnsi" w:hAnsi="Times"/>
      <w:noProof/>
      <w:sz w:val="20"/>
      <w:szCs w:val="20"/>
    </w:rPr>
  </w:style>
  <w:style w:type="character" w:styleId="Hyperlink">
    <w:name w:val="Hyperlink"/>
    <w:uiPriority w:val="99"/>
    <w:rsid w:val="00E70C16"/>
    <w:rPr>
      <w:color w:val="0000FF"/>
      <w:u w:val="single"/>
    </w:rPr>
  </w:style>
  <w:style w:type="character" w:styleId="Strong">
    <w:name w:val="Strong"/>
    <w:uiPriority w:val="22"/>
    <w:qFormat/>
    <w:rsid w:val="00E70C16"/>
    <w:rPr>
      <w:b/>
      <w:bCs/>
    </w:rPr>
  </w:style>
  <w:style w:type="character" w:styleId="CommentReference">
    <w:name w:val="annotation reference"/>
    <w:uiPriority w:val="99"/>
    <w:rsid w:val="00E70C1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E70C16"/>
    <w:pPr>
      <w:jc w:val="both"/>
    </w:pPr>
    <w:rPr>
      <w:vertAlign w:val="superscript"/>
      <w:lang w:val="es-MX"/>
    </w:rPr>
  </w:style>
  <w:style w:type="paragraph" w:customStyle="1" w:styleId="Estilo4">
    <w:name w:val="Estilo4"/>
    <w:basedOn w:val="ListParagraph"/>
    <w:link w:val="Estilo4Car"/>
    <w:qFormat/>
    <w:rsid w:val="00E70C16"/>
    <w:pPr>
      <w:numPr>
        <w:numId w:val="5"/>
      </w:numPr>
      <w:spacing w:after="120"/>
      <w:ind w:left="0" w:firstLine="357"/>
      <w:contextualSpacing w:val="0"/>
      <w:jc w:val="both"/>
    </w:pPr>
    <w:rPr>
      <w:rFonts w:ascii="Verdana" w:eastAsia="Times New Roman" w:hAnsi="Verdana" w:cs="Times New Roman"/>
      <w:spacing w:val="-2"/>
      <w:sz w:val="20"/>
      <w:szCs w:val="20"/>
      <w:lang w:val="es-CR" w:eastAsia="en-US"/>
    </w:rPr>
  </w:style>
  <w:style w:type="character" w:customStyle="1" w:styleId="Estilo4Car">
    <w:name w:val="Estilo4 Car"/>
    <w:basedOn w:val="DefaultParagraphFont"/>
    <w:link w:val="Estilo4"/>
    <w:rsid w:val="00E70C16"/>
    <w:rPr>
      <w:rFonts w:ascii="Verdana" w:eastAsia="Times New Roman" w:hAnsi="Verdana" w:cs="Times New Roman"/>
      <w:spacing w:val="-2"/>
      <w:sz w:val="20"/>
      <w:szCs w:val="20"/>
      <w:lang w:val="es-CR" w:eastAsia="en-US"/>
    </w:rPr>
  </w:style>
  <w:style w:type="paragraph" w:styleId="CommentText">
    <w:name w:val="annotation text"/>
    <w:basedOn w:val="Normal"/>
    <w:link w:val="CommentTextChar"/>
    <w:uiPriority w:val="99"/>
    <w:rsid w:val="00E70C16"/>
    <w:pPr>
      <w:ind w:firstLine="720"/>
      <w:jc w:val="both"/>
    </w:pPr>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rsid w:val="00E70C16"/>
    <w:rPr>
      <w:rFonts w:ascii="Calibri" w:eastAsia="Times New Roman" w:hAnsi="Calibri" w:cs="Times New Roman"/>
      <w:sz w:val="20"/>
      <w:szCs w:val="20"/>
      <w:lang w:val="en-US" w:eastAsia="en-US"/>
    </w:rPr>
  </w:style>
  <w:style w:type="paragraph" w:styleId="BalloonText">
    <w:name w:val="Balloon Text"/>
    <w:basedOn w:val="Normal"/>
    <w:link w:val="BalloonTextChar"/>
    <w:uiPriority w:val="99"/>
    <w:semiHidden/>
    <w:unhideWhenUsed/>
    <w:rsid w:val="00E70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C16"/>
    <w:rPr>
      <w:rFonts w:ascii="Lucida Grande" w:hAnsi="Lucida Grande" w:cs="Lucida Grande"/>
      <w:sz w:val="18"/>
      <w:szCs w:val="18"/>
      <w:lang w:val="es-ES_tradnl"/>
    </w:rPr>
  </w:style>
  <w:style w:type="character" w:customStyle="1" w:styleId="apple-converted-space">
    <w:name w:val="apple-converted-space"/>
    <w:basedOn w:val="DefaultParagraphFont"/>
    <w:rsid w:val="00040D04"/>
  </w:style>
  <w:style w:type="paragraph" w:styleId="Footer">
    <w:name w:val="footer"/>
    <w:basedOn w:val="Normal"/>
    <w:link w:val="FooterChar"/>
    <w:uiPriority w:val="99"/>
    <w:unhideWhenUsed/>
    <w:rsid w:val="00B9315C"/>
    <w:pPr>
      <w:tabs>
        <w:tab w:val="center" w:pos="4252"/>
        <w:tab w:val="right" w:pos="8504"/>
      </w:tabs>
    </w:pPr>
  </w:style>
  <w:style w:type="character" w:customStyle="1" w:styleId="FooterChar">
    <w:name w:val="Footer Char"/>
    <w:basedOn w:val="DefaultParagraphFont"/>
    <w:link w:val="Footer"/>
    <w:uiPriority w:val="99"/>
    <w:rsid w:val="00B9315C"/>
    <w:rPr>
      <w:lang w:val="es-ES_tradnl"/>
    </w:rPr>
  </w:style>
  <w:style w:type="character" w:styleId="PageNumber">
    <w:name w:val="page number"/>
    <w:basedOn w:val="DefaultParagraphFont"/>
    <w:uiPriority w:val="99"/>
    <w:semiHidden/>
    <w:unhideWhenUsed/>
    <w:rsid w:val="00B9315C"/>
  </w:style>
  <w:style w:type="paragraph" w:styleId="Header">
    <w:name w:val="header"/>
    <w:basedOn w:val="Normal"/>
    <w:link w:val="HeaderChar"/>
    <w:uiPriority w:val="99"/>
    <w:unhideWhenUsed/>
    <w:rsid w:val="00B9315C"/>
    <w:pPr>
      <w:tabs>
        <w:tab w:val="center" w:pos="4252"/>
        <w:tab w:val="right" w:pos="8504"/>
      </w:tabs>
    </w:pPr>
  </w:style>
  <w:style w:type="character" w:customStyle="1" w:styleId="HeaderChar">
    <w:name w:val="Header Char"/>
    <w:basedOn w:val="DefaultParagraphFont"/>
    <w:link w:val="Header"/>
    <w:uiPriority w:val="99"/>
    <w:rsid w:val="00B9315C"/>
    <w:rPr>
      <w:lang w:val="es-ES_tradnl"/>
    </w:rPr>
  </w:style>
  <w:style w:type="paragraph" w:customStyle="1" w:styleId="style11">
    <w:name w:val="style11"/>
    <w:basedOn w:val="Normal"/>
    <w:rsid w:val="005A6F99"/>
    <w:pPr>
      <w:spacing w:before="192" w:after="192"/>
      <w:ind w:left="120" w:right="144"/>
      <w:jc w:val="both"/>
    </w:pPr>
    <w:rPr>
      <w:rFonts w:ascii="Times New Roman" w:eastAsia="Times New Roman" w:hAnsi="Times New Roman" w:cs="Times New Roman"/>
      <w:lang w:val="es-MX" w:eastAsia="es-MX"/>
    </w:rPr>
  </w:style>
  <w:style w:type="character" w:styleId="FollowedHyperlink">
    <w:name w:val="FollowedHyperlink"/>
    <w:basedOn w:val="DefaultParagraphFont"/>
    <w:uiPriority w:val="99"/>
    <w:semiHidden/>
    <w:unhideWhenUsed/>
    <w:rsid w:val="005F32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34"/>
    <w:qFormat/>
    <w:rsid w:val="00D14043"/>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Ca,2. Footnote Text,C"/>
    <w:basedOn w:val="Normal"/>
    <w:link w:val="FootnoteTextChar"/>
    <w:uiPriority w:val="99"/>
    <w:qFormat/>
    <w:rsid w:val="009E0482"/>
    <w:rPr>
      <w:rFonts w:ascii="Verdana" w:eastAsia="Times New Roman" w:hAnsi="Verdana" w:cs="Times New Roman"/>
      <w:noProof/>
      <w:sz w:val="20"/>
      <w:szCs w:val="20"/>
      <w:lang w:val="en-US" w:eastAsia="en-US"/>
    </w:rPr>
  </w:style>
  <w:style w:type="character" w:customStyle="1" w:styleId="TextonotapieCar">
    <w:name w:val="Texto nota pie Car"/>
    <w:aliases w:val="2. Footnote Text Car,Footnote Tesina Car,C Car"/>
    <w:basedOn w:val="DefaultParagraphFont"/>
    <w:qFormat/>
    <w:rsid w:val="009E0482"/>
    <w:rPr>
      <w:lang w:val="es-ES_tradnl"/>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C Char"/>
    <w:basedOn w:val="DefaultParagraphFont"/>
    <w:link w:val="FootnoteText"/>
    <w:rsid w:val="009E0482"/>
    <w:rPr>
      <w:rFonts w:ascii="Verdana" w:eastAsia="Times New Roman" w:hAnsi="Verdana" w:cs="Times New Roman"/>
      <w:noProof/>
      <w:sz w:val="20"/>
      <w:szCs w:val="20"/>
      <w:lang w:val="en-US" w:eastAsia="en-US"/>
    </w:rPr>
  </w:style>
  <w:style w:type="character" w:styleId="FootnoteReference">
    <w:name w:val="footnote reference"/>
    <w:aliases w:val="Footnotes refss,Texto de nota al pie,Appel note de bas de page,Footnote number,referencia nota al pie,BVI fnr,f,4_G,16 Point,Superscript 6 Point,Texto nota al pie,Footnote Reference Char3,Footnote Reference Char1 Char,Ref. de nota al"/>
    <w:basedOn w:val="DefaultParagraphFont"/>
    <w:link w:val="4GChar"/>
    <w:uiPriority w:val="99"/>
    <w:qFormat/>
    <w:rsid w:val="009E0482"/>
    <w:rPr>
      <w:vertAlign w:val="superscript"/>
    </w:rPr>
  </w:style>
  <w:style w:type="paragraph" w:styleId="NormalWeb">
    <w:name w:val="Normal (Web)"/>
    <w:basedOn w:val="Normal"/>
    <w:uiPriority w:val="99"/>
    <w:unhideWhenUsed/>
    <w:rsid w:val="009E0482"/>
    <w:pPr>
      <w:spacing w:before="100" w:beforeAutospacing="1" w:after="100" w:afterAutospacing="1"/>
    </w:pPr>
    <w:rPr>
      <w:rFonts w:ascii="Times" w:hAnsi="Times" w:cs="Times New Roman"/>
      <w:noProof/>
      <w:sz w:val="20"/>
      <w:szCs w:val="20"/>
      <w:lang w:val="es-MX"/>
    </w:rPr>
  </w:style>
  <w:style w:type="character" w:customStyle="1" w:styleId="ListParagraphChar">
    <w:name w:val="List Paragraph Char"/>
    <w:aliases w:val="Footnote Char,List Paragraph1 Char,Colorful List - Accent 11 Char,Párrafo de lista1 Char,List Paragraph2 Char,Lista vistosa - Énfasis 11 Char"/>
    <w:basedOn w:val="DefaultParagraphFont"/>
    <w:link w:val="ListParagraph"/>
    <w:uiPriority w:val="34"/>
    <w:locked/>
    <w:rsid w:val="009E0482"/>
    <w:rPr>
      <w:lang w:val="es-ES_tradnl"/>
    </w:rPr>
  </w:style>
  <w:style w:type="paragraph" w:customStyle="1" w:styleId="s32b251d">
    <w:name w:val="s32b251d"/>
    <w:basedOn w:val="Normal"/>
    <w:rsid w:val="009E0482"/>
    <w:pPr>
      <w:spacing w:before="100" w:beforeAutospacing="1" w:after="100" w:afterAutospacing="1"/>
    </w:pPr>
    <w:rPr>
      <w:rFonts w:ascii="Times" w:eastAsiaTheme="minorHAnsi" w:hAnsi="Times"/>
      <w:noProof/>
      <w:sz w:val="20"/>
      <w:szCs w:val="20"/>
    </w:rPr>
  </w:style>
  <w:style w:type="character" w:styleId="Hyperlink">
    <w:name w:val="Hyperlink"/>
    <w:uiPriority w:val="99"/>
    <w:rsid w:val="00E70C16"/>
    <w:rPr>
      <w:color w:val="0000FF"/>
      <w:u w:val="single"/>
    </w:rPr>
  </w:style>
  <w:style w:type="character" w:styleId="Strong">
    <w:name w:val="Strong"/>
    <w:uiPriority w:val="22"/>
    <w:qFormat/>
    <w:rsid w:val="00E70C16"/>
    <w:rPr>
      <w:b/>
      <w:bCs/>
    </w:rPr>
  </w:style>
  <w:style w:type="character" w:styleId="CommentReference">
    <w:name w:val="annotation reference"/>
    <w:uiPriority w:val="99"/>
    <w:rsid w:val="00E70C1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E70C16"/>
    <w:pPr>
      <w:jc w:val="both"/>
    </w:pPr>
    <w:rPr>
      <w:vertAlign w:val="superscript"/>
      <w:lang w:val="es-MX"/>
    </w:rPr>
  </w:style>
  <w:style w:type="paragraph" w:customStyle="1" w:styleId="Estilo4">
    <w:name w:val="Estilo4"/>
    <w:basedOn w:val="ListParagraph"/>
    <w:link w:val="Estilo4Car"/>
    <w:qFormat/>
    <w:rsid w:val="00E70C16"/>
    <w:pPr>
      <w:numPr>
        <w:numId w:val="5"/>
      </w:numPr>
      <w:spacing w:after="120"/>
      <w:ind w:left="0" w:firstLine="357"/>
      <w:contextualSpacing w:val="0"/>
      <w:jc w:val="both"/>
    </w:pPr>
    <w:rPr>
      <w:rFonts w:ascii="Verdana" w:eastAsia="Times New Roman" w:hAnsi="Verdana" w:cs="Times New Roman"/>
      <w:spacing w:val="-2"/>
      <w:sz w:val="20"/>
      <w:szCs w:val="20"/>
      <w:lang w:val="es-CR" w:eastAsia="en-US"/>
    </w:rPr>
  </w:style>
  <w:style w:type="character" w:customStyle="1" w:styleId="Estilo4Car">
    <w:name w:val="Estilo4 Car"/>
    <w:basedOn w:val="DefaultParagraphFont"/>
    <w:link w:val="Estilo4"/>
    <w:rsid w:val="00E70C16"/>
    <w:rPr>
      <w:rFonts w:ascii="Verdana" w:eastAsia="Times New Roman" w:hAnsi="Verdana" w:cs="Times New Roman"/>
      <w:spacing w:val="-2"/>
      <w:sz w:val="20"/>
      <w:szCs w:val="20"/>
      <w:lang w:val="es-CR" w:eastAsia="en-US"/>
    </w:rPr>
  </w:style>
  <w:style w:type="paragraph" w:styleId="CommentText">
    <w:name w:val="annotation text"/>
    <w:basedOn w:val="Normal"/>
    <w:link w:val="CommentTextChar"/>
    <w:uiPriority w:val="99"/>
    <w:rsid w:val="00E70C16"/>
    <w:pPr>
      <w:ind w:firstLine="720"/>
      <w:jc w:val="both"/>
    </w:pPr>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rsid w:val="00E70C16"/>
    <w:rPr>
      <w:rFonts w:ascii="Calibri" w:eastAsia="Times New Roman" w:hAnsi="Calibri" w:cs="Times New Roman"/>
      <w:sz w:val="20"/>
      <w:szCs w:val="20"/>
      <w:lang w:val="en-US" w:eastAsia="en-US"/>
    </w:rPr>
  </w:style>
  <w:style w:type="paragraph" w:styleId="BalloonText">
    <w:name w:val="Balloon Text"/>
    <w:basedOn w:val="Normal"/>
    <w:link w:val="BalloonTextChar"/>
    <w:uiPriority w:val="99"/>
    <w:semiHidden/>
    <w:unhideWhenUsed/>
    <w:rsid w:val="00E70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C16"/>
    <w:rPr>
      <w:rFonts w:ascii="Lucida Grande" w:hAnsi="Lucida Grande" w:cs="Lucida Grande"/>
      <w:sz w:val="18"/>
      <w:szCs w:val="18"/>
      <w:lang w:val="es-ES_tradnl"/>
    </w:rPr>
  </w:style>
  <w:style w:type="character" w:customStyle="1" w:styleId="apple-converted-space">
    <w:name w:val="apple-converted-space"/>
    <w:basedOn w:val="DefaultParagraphFont"/>
    <w:rsid w:val="00040D04"/>
  </w:style>
  <w:style w:type="paragraph" w:styleId="Footer">
    <w:name w:val="footer"/>
    <w:basedOn w:val="Normal"/>
    <w:link w:val="FooterChar"/>
    <w:uiPriority w:val="99"/>
    <w:unhideWhenUsed/>
    <w:rsid w:val="00B9315C"/>
    <w:pPr>
      <w:tabs>
        <w:tab w:val="center" w:pos="4252"/>
        <w:tab w:val="right" w:pos="8504"/>
      </w:tabs>
    </w:pPr>
  </w:style>
  <w:style w:type="character" w:customStyle="1" w:styleId="FooterChar">
    <w:name w:val="Footer Char"/>
    <w:basedOn w:val="DefaultParagraphFont"/>
    <w:link w:val="Footer"/>
    <w:uiPriority w:val="99"/>
    <w:rsid w:val="00B9315C"/>
    <w:rPr>
      <w:lang w:val="es-ES_tradnl"/>
    </w:rPr>
  </w:style>
  <w:style w:type="character" w:styleId="PageNumber">
    <w:name w:val="page number"/>
    <w:basedOn w:val="DefaultParagraphFont"/>
    <w:uiPriority w:val="99"/>
    <w:semiHidden/>
    <w:unhideWhenUsed/>
    <w:rsid w:val="00B9315C"/>
  </w:style>
  <w:style w:type="paragraph" w:styleId="Header">
    <w:name w:val="header"/>
    <w:basedOn w:val="Normal"/>
    <w:link w:val="HeaderChar"/>
    <w:uiPriority w:val="99"/>
    <w:unhideWhenUsed/>
    <w:rsid w:val="00B9315C"/>
    <w:pPr>
      <w:tabs>
        <w:tab w:val="center" w:pos="4252"/>
        <w:tab w:val="right" w:pos="8504"/>
      </w:tabs>
    </w:pPr>
  </w:style>
  <w:style w:type="character" w:customStyle="1" w:styleId="HeaderChar">
    <w:name w:val="Header Char"/>
    <w:basedOn w:val="DefaultParagraphFont"/>
    <w:link w:val="Header"/>
    <w:uiPriority w:val="99"/>
    <w:rsid w:val="00B9315C"/>
    <w:rPr>
      <w:lang w:val="es-ES_tradnl"/>
    </w:rPr>
  </w:style>
  <w:style w:type="paragraph" w:customStyle="1" w:styleId="style11">
    <w:name w:val="style11"/>
    <w:basedOn w:val="Normal"/>
    <w:rsid w:val="005A6F99"/>
    <w:pPr>
      <w:spacing w:before="192" w:after="192"/>
      <w:ind w:left="120" w:right="144"/>
      <w:jc w:val="both"/>
    </w:pPr>
    <w:rPr>
      <w:rFonts w:ascii="Times New Roman" w:eastAsia="Times New Roman" w:hAnsi="Times New Roman" w:cs="Times New Roman"/>
      <w:lang w:val="es-MX" w:eastAsia="es-MX"/>
    </w:rPr>
  </w:style>
  <w:style w:type="character" w:styleId="FollowedHyperlink">
    <w:name w:val="FollowedHyperlink"/>
    <w:basedOn w:val="DefaultParagraphFont"/>
    <w:uiPriority w:val="99"/>
    <w:semiHidden/>
    <w:unhideWhenUsed/>
    <w:rsid w:val="005F32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62526902">
      <w:bodyDiv w:val="1"/>
      <w:marLeft w:val="0"/>
      <w:marRight w:val="0"/>
      <w:marTop w:val="0"/>
      <w:marBottom w:val="0"/>
      <w:divBdr>
        <w:top w:val="none" w:sz="0" w:space="0" w:color="auto"/>
        <w:left w:val="none" w:sz="0" w:space="0" w:color="auto"/>
        <w:bottom w:val="none" w:sz="0" w:space="0" w:color="auto"/>
        <w:right w:val="none" w:sz="0" w:space="0" w:color="auto"/>
      </w:divBdr>
    </w:div>
    <w:div w:id="138964745">
      <w:bodyDiv w:val="1"/>
      <w:marLeft w:val="0"/>
      <w:marRight w:val="0"/>
      <w:marTop w:val="0"/>
      <w:marBottom w:val="0"/>
      <w:divBdr>
        <w:top w:val="none" w:sz="0" w:space="0" w:color="auto"/>
        <w:left w:val="none" w:sz="0" w:space="0" w:color="auto"/>
        <w:bottom w:val="none" w:sz="0" w:space="0" w:color="auto"/>
        <w:right w:val="none" w:sz="0" w:space="0" w:color="auto"/>
      </w:divBdr>
      <w:divsChild>
        <w:div w:id="1082290371">
          <w:marLeft w:val="0"/>
          <w:marRight w:val="0"/>
          <w:marTop w:val="0"/>
          <w:marBottom w:val="0"/>
          <w:divBdr>
            <w:top w:val="none" w:sz="0" w:space="0" w:color="auto"/>
            <w:left w:val="none" w:sz="0" w:space="0" w:color="auto"/>
            <w:bottom w:val="none" w:sz="0" w:space="0" w:color="auto"/>
            <w:right w:val="none" w:sz="0" w:space="0" w:color="auto"/>
          </w:divBdr>
          <w:divsChild>
            <w:div w:id="895287835">
              <w:marLeft w:val="0"/>
              <w:marRight w:val="0"/>
              <w:marTop w:val="0"/>
              <w:marBottom w:val="0"/>
              <w:divBdr>
                <w:top w:val="none" w:sz="0" w:space="0" w:color="auto"/>
                <w:left w:val="none" w:sz="0" w:space="0" w:color="auto"/>
                <w:bottom w:val="none" w:sz="0" w:space="0" w:color="auto"/>
                <w:right w:val="none" w:sz="0" w:space="0" w:color="auto"/>
              </w:divBdr>
              <w:divsChild>
                <w:div w:id="4094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30012">
      <w:bodyDiv w:val="1"/>
      <w:marLeft w:val="0"/>
      <w:marRight w:val="0"/>
      <w:marTop w:val="0"/>
      <w:marBottom w:val="0"/>
      <w:divBdr>
        <w:top w:val="none" w:sz="0" w:space="0" w:color="auto"/>
        <w:left w:val="none" w:sz="0" w:space="0" w:color="auto"/>
        <w:bottom w:val="none" w:sz="0" w:space="0" w:color="auto"/>
        <w:right w:val="none" w:sz="0" w:space="0" w:color="auto"/>
      </w:divBdr>
    </w:div>
    <w:div w:id="290600135">
      <w:bodyDiv w:val="1"/>
      <w:marLeft w:val="0"/>
      <w:marRight w:val="0"/>
      <w:marTop w:val="0"/>
      <w:marBottom w:val="0"/>
      <w:divBdr>
        <w:top w:val="none" w:sz="0" w:space="0" w:color="auto"/>
        <w:left w:val="none" w:sz="0" w:space="0" w:color="auto"/>
        <w:bottom w:val="none" w:sz="0" w:space="0" w:color="auto"/>
        <w:right w:val="none" w:sz="0" w:space="0" w:color="auto"/>
      </w:divBdr>
    </w:div>
    <w:div w:id="320818836">
      <w:bodyDiv w:val="1"/>
      <w:marLeft w:val="0"/>
      <w:marRight w:val="0"/>
      <w:marTop w:val="0"/>
      <w:marBottom w:val="0"/>
      <w:divBdr>
        <w:top w:val="none" w:sz="0" w:space="0" w:color="auto"/>
        <w:left w:val="none" w:sz="0" w:space="0" w:color="auto"/>
        <w:bottom w:val="none" w:sz="0" w:space="0" w:color="auto"/>
        <w:right w:val="none" w:sz="0" w:space="0" w:color="auto"/>
      </w:divBdr>
      <w:divsChild>
        <w:div w:id="442187387">
          <w:marLeft w:val="0"/>
          <w:marRight w:val="0"/>
          <w:marTop w:val="0"/>
          <w:marBottom w:val="0"/>
          <w:divBdr>
            <w:top w:val="none" w:sz="0" w:space="0" w:color="auto"/>
            <w:left w:val="none" w:sz="0" w:space="0" w:color="auto"/>
            <w:bottom w:val="none" w:sz="0" w:space="0" w:color="auto"/>
            <w:right w:val="none" w:sz="0" w:space="0" w:color="auto"/>
          </w:divBdr>
          <w:divsChild>
            <w:div w:id="1122579904">
              <w:marLeft w:val="0"/>
              <w:marRight w:val="0"/>
              <w:marTop w:val="0"/>
              <w:marBottom w:val="0"/>
              <w:divBdr>
                <w:top w:val="none" w:sz="0" w:space="0" w:color="auto"/>
                <w:left w:val="none" w:sz="0" w:space="0" w:color="auto"/>
                <w:bottom w:val="none" w:sz="0" w:space="0" w:color="auto"/>
                <w:right w:val="none" w:sz="0" w:space="0" w:color="auto"/>
              </w:divBdr>
              <w:divsChild>
                <w:div w:id="3188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12612">
      <w:bodyDiv w:val="1"/>
      <w:marLeft w:val="0"/>
      <w:marRight w:val="0"/>
      <w:marTop w:val="0"/>
      <w:marBottom w:val="0"/>
      <w:divBdr>
        <w:top w:val="none" w:sz="0" w:space="0" w:color="auto"/>
        <w:left w:val="none" w:sz="0" w:space="0" w:color="auto"/>
        <w:bottom w:val="none" w:sz="0" w:space="0" w:color="auto"/>
        <w:right w:val="none" w:sz="0" w:space="0" w:color="auto"/>
      </w:divBdr>
      <w:divsChild>
        <w:div w:id="2045204076">
          <w:marLeft w:val="0"/>
          <w:marRight w:val="0"/>
          <w:marTop w:val="0"/>
          <w:marBottom w:val="0"/>
          <w:divBdr>
            <w:top w:val="none" w:sz="0" w:space="0" w:color="auto"/>
            <w:left w:val="none" w:sz="0" w:space="0" w:color="auto"/>
            <w:bottom w:val="none" w:sz="0" w:space="0" w:color="auto"/>
            <w:right w:val="none" w:sz="0" w:space="0" w:color="auto"/>
          </w:divBdr>
          <w:divsChild>
            <w:div w:id="427041701">
              <w:marLeft w:val="0"/>
              <w:marRight w:val="0"/>
              <w:marTop w:val="0"/>
              <w:marBottom w:val="0"/>
              <w:divBdr>
                <w:top w:val="none" w:sz="0" w:space="0" w:color="auto"/>
                <w:left w:val="none" w:sz="0" w:space="0" w:color="auto"/>
                <w:bottom w:val="none" w:sz="0" w:space="0" w:color="auto"/>
                <w:right w:val="none" w:sz="0" w:space="0" w:color="auto"/>
              </w:divBdr>
              <w:divsChild>
                <w:div w:id="9652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135">
      <w:bodyDiv w:val="1"/>
      <w:marLeft w:val="0"/>
      <w:marRight w:val="0"/>
      <w:marTop w:val="0"/>
      <w:marBottom w:val="0"/>
      <w:divBdr>
        <w:top w:val="none" w:sz="0" w:space="0" w:color="auto"/>
        <w:left w:val="none" w:sz="0" w:space="0" w:color="auto"/>
        <w:bottom w:val="none" w:sz="0" w:space="0" w:color="auto"/>
        <w:right w:val="none" w:sz="0" w:space="0" w:color="auto"/>
      </w:divBdr>
      <w:divsChild>
        <w:div w:id="1561593957">
          <w:marLeft w:val="0"/>
          <w:marRight w:val="0"/>
          <w:marTop w:val="0"/>
          <w:marBottom w:val="0"/>
          <w:divBdr>
            <w:top w:val="none" w:sz="0" w:space="0" w:color="auto"/>
            <w:left w:val="none" w:sz="0" w:space="0" w:color="auto"/>
            <w:bottom w:val="none" w:sz="0" w:space="0" w:color="auto"/>
            <w:right w:val="none" w:sz="0" w:space="0" w:color="auto"/>
          </w:divBdr>
          <w:divsChild>
            <w:div w:id="1066221962">
              <w:marLeft w:val="0"/>
              <w:marRight w:val="0"/>
              <w:marTop w:val="0"/>
              <w:marBottom w:val="0"/>
              <w:divBdr>
                <w:top w:val="none" w:sz="0" w:space="0" w:color="auto"/>
                <w:left w:val="none" w:sz="0" w:space="0" w:color="auto"/>
                <w:bottom w:val="none" w:sz="0" w:space="0" w:color="auto"/>
                <w:right w:val="none" w:sz="0" w:space="0" w:color="auto"/>
              </w:divBdr>
              <w:divsChild>
                <w:div w:id="398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871">
      <w:bodyDiv w:val="1"/>
      <w:marLeft w:val="0"/>
      <w:marRight w:val="0"/>
      <w:marTop w:val="0"/>
      <w:marBottom w:val="0"/>
      <w:divBdr>
        <w:top w:val="none" w:sz="0" w:space="0" w:color="auto"/>
        <w:left w:val="none" w:sz="0" w:space="0" w:color="auto"/>
        <w:bottom w:val="none" w:sz="0" w:space="0" w:color="auto"/>
        <w:right w:val="none" w:sz="0" w:space="0" w:color="auto"/>
      </w:divBdr>
      <w:divsChild>
        <w:div w:id="2061006043">
          <w:marLeft w:val="0"/>
          <w:marRight w:val="0"/>
          <w:marTop w:val="0"/>
          <w:marBottom w:val="0"/>
          <w:divBdr>
            <w:top w:val="none" w:sz="0" w:space="0" w:color="auto"/>
            <w:left w:val="none" w:sz="0" w:space="0" w:color="auto"/>
            <w:bottom w:val="none" w:sz="0" w:space="0" w:color="auto"/>
            <w:right w:val="none" w:sz="0" w:space="0" w:color="auto"/>
          </w:divBdr>
          <w:divsChild>
            <w:div w:id="42296477">
              <w:marLeft w:val="0"/>
              <w:marRight w:val="0"/>
              <w:marTop w:val="0"/>
              <w:marBottom w:val="0"/>
              <w:divBdr>
                <w:top w:val="none" w:sz="0" w:space="0" w:color="auto"/>
                <w:left w:val="none" w:sz="0" w:space="0" w:color="auto"/>
                <w:bottom w:val="none" w:sz="0" w:space="0" w:color="auto"/>
                <w:right w:val="none" w:sz="0" w:space="0" w:color="auto"/>
              </w:divBdr>
              <w:divsChild>
                <w:div w:id="15164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674">
      <w:bodyDiv w:val="1"/>
      <w:marLeft w:val="0"/>
      <w:marRight w:val="0"/>
      <w:marTop w:val="0"/>
      <w:marBottom w:val="0"/>
      <w:divBdr>
        <w:top w:val="none" w:sz="0" w:space="0" w:color="auto"/>
        <w:left w:val="none" w:sz="0" w:space="0" w:color="auto"/>
        <w:bottom w:val="none" w:sz="0" w:space="0" w:color="auto"/>
        <w:right w:val="none" w:sz="0" w:space="0" w:color="auto"/>
      </w:divBdr>
    </w:div>
    <w:div w:id="698118870">
      <w:bodyDiv w:val="1"/>
      <w:marLeft w:val="0"/>
      <w:marRight w:val="0"/>
      <w:marTop w:val="0"/>
      <w:marBottom w:val="0"/>
      <w:divBdr>
        <w:top w:val="none" w:sz="0" w:space="0" w:color="auto"/>
        <w:left w:val="none" w:sz="0" w:space="0" w:color="auto"/>
        <w:bottom w:val="none" w:sz="0" w:space="0" w:color="auto"/>
        <w:right w:val="none" w:sz="0" w:space="0" w:color="auto"/>
      </w:divBdr>
    </w:div>
    <w:div w:id="711923171">
      <w:bodyDiv w:val="1"/>
      <w:marLeft w:val="0"/>
      <w:marRight w:val="0"/>
      <w:marTop w:val="0"/>
      <w:marBottom w:val="0"/>
      <w:divBdr>
        <w:top w:val="none" w:sz="0" w:space="0" w:color="auto"/>
        <w:left w:val="none" w:sz="0" w:space="0" w:color="auto"/>
        <w:bottom w:val="none" w:sz="0" w:space="0" w:color="auto"/>
        <w:right w:val="none" w:sz="0" w:space="0" w:color="auto"/>
      </w:divBdr>
      <w:divsChild>
        <w:div w:id="482043889">
          <w:marLeft w:val="0"/>
          <w:marRight w:val="0"/>
          <w:marTop w:val="0"/>
          <w:marBottom w:val="0"/>
          <w:divBdr>
            <w:top w:val="none" w:sz="0" w:space="0" w:color="auto"/>
            <w:left w:val="none" w:sz="0" w:space="0" w:color="auto"/>
            <w:bottom w:val="none" w:sz="0" w:space="0" w:color="auto"/>
            <w:right w:val="none" w:sz="0" w:space="0" w:color="auto"/>
          </w:divBdr>
          <w:divsChild>
            <w:div w:id="437263636">
              <w:marLeft w:val="0"/>
              <w:marRight w:val="0"/>
              <w:marTop w:val="0"/>
              <w:marBottom w:val="0"/>
              <w:divBdr>
                <w:top w:val="none" w:sz="0" w:space="0" w:color="auto"/>
                <w:left w:val="none" w:sz="0" w:space="0" w:color="auto"/>
                <w:bottom w:val="none" w:sz="0" w:space="0" w:color="auto"/>
                <w:right w:val="none" w:sz="0" w:space="0" w:color="auto"/>
              </w:divBdr>
              <w:divsChild>
                <w:div w:id="13361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4501">
      <w:bodyDiv w:val="1"/>
      <w:marLeft w:val="0"/>
      <w:marRight w:val="0"/>
      <w:marTop w:val="0"/>
      <w:marBottom w:val="0"/>
      <w:divBdr>
        <w:top w:val="none" w:sz="0" w:space="0" w:color="auto"/>
        <w:left w:val="none" w:sz="0" w:space="0" w:color="auto"/>
        <w:bottom w:val="none" w:sz="0" w:space="0" w:color="auto"/>
        <w:right w:val="none" w:sz="0" w:space="0" w:color="auto"/>
      </w:divBdr>
    </w:div>
    <w:div w:id="738291003">
      <w:bodyDiv w:val="1"/>
      <w:marLeft w:val="0"/>
      <w:marRight w:val="0"/>
      <w:marTop w:val="0"/>
      <w:marBottom w:val="0"/>
      <w:divBdr>
        <w:top w:val="none" w:sz="0" w:space="0" w:color="auto"/>
        <w:left w:val="none" w:sz="0" w:space="0" w:color="auto"/>
        <w:bottom w:val="none" w:sz="0" w:space="0" w:color="auto"/>
        <w:right w:val="none" w:sz="0" w:space="0" w:color="auto"/>
      </w:divBdr>
      <w:divsChild>
        <w:div w:id="370303010">
          <w:marLeft w:val="0"/>
          <w:marRight w:val="0"/>
          <w:marTop w:val="0"/>
          <w:marBottom w:val="0"/>
          <w:divBdr>
            <w:top w:val="none" w:sz="0" w:space="0" w:color="auto"/>
            <w:left w:val="none" w:sz="0" w:space="0" w:color="auto"/>
            <w:bottom w:val="none" w:sz="0" w:space="0" w:color="auto"/>
            <w:right w:val="none" w:sz="0" w:space="0" w:color="auto"/>
          </w:divBdr>
          <w:divsChild>
            <w:div w:id="262497351">
              <w:marLeft w:val="0"/>
              <w:marRight w:val="0"/>
              <w:marTop w:val="0"/>
              <w:marBottom w:val="0"/>
              <w:divBdr>
                <w:top w:val="none" w:sz="0" w:space="0" w:color="auto"/>
                <w:left w:val="none" w:sz="0" w:space="0" w:color="auto"/>
                <w:bottom w:val="none" w:sz="0" w:space="0" w:color="auto"/>
                <w:right w:val="none" w:sz="0" w:space="0" w:color="auto"/>
              </w:divBdr>
              <w:divsChild>
                <w:div w:id="11878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3429">
      <w:bodyDiv w:val="1"/>
      <w:marLeft w:val="0"/>
      <w:marRight w:val="0"/>
      <w:marTop w:val="0"/>
      <w:marBottom w:val="0"/>
      <w:divBdr>
        <w:top w:val="none" w:sz="0" w:space="0" w:color="auto"/>
        <w:left w:val="none" w:sz="0" w:space="0" w:color="auto"/>
        <w:bottom w:val="none" w:sz="0" w:space="0" w:color="auto"/>
        <w:right w:val="none" w:sz="0" w:space="0" w:color="auto"/>
      </w:divBdr>
    </w:div>
    <w:div w:id="768962210">
      <w:bodyDiv w:val="1"/>
      <w:marLeft w:val="0"/>
      <w:marRight w:val="0"/>
      <w:marTop w:val="0"/>
      <w:marBottom w:val="0"/>
      <w:divBdr>
        <w:top w:val="none" w:sz="0" w:space="0" w:color="auto"/>
        <w:left w:val="none" w:sz="0" w:space="0" w:color="auto"/>
        <w:bottom w:val="none" w:sz="0" w:space="0" w:color="auto"/>
        <w:right w:val="none" w:sz="0" w:space="0" w:color="auto"/>
      </w:divBdr>
    </w:div>
    <w:div w:id="884561521">
      <w:bodyDiv w:val="1"/>
      <w:marLeft w:val="0"/>
      <w:marRight w:val="0"/>
      <w:marTop w:val="0"/>
      <w:marBottom w:val="0"/>
      <w:divBdr>
        <w:top w:val="none" w:sz="0" w:space="0" w:color="auto"/>
        <w:left w:val="none" w:sz="0" w:space="0" w:color="auto"/>
        <w:bottom w:val="none" w:sz="0" w:space="0" w:color="auto"/>
        <w:right w:val="none" w:sz="0" w:space="0" w:color="auto"/>
      </w:divBdr>
    </w:div>
    <w:div w:id="900409500">
      <w:bodyDiv w:val="1"/>
      <w:marLeft w:val="0"/>
      <w:marRight w:val="0"/>
      <w:marTop w:val="0"/>
      <w:marBottom w:val="0"/>
      <w:divBdr>
        <w:top w:val="none" w:sz="0" w:space="0" w:color="auto"/>
        <w:left w:val="none" w:sz="0" w:space="0" w:color="auto"/>
        <w:bottom w:val="none" w:sz="0" w:space="0" w:color="auto"/>
        <w:right w:val="none" w:sz="0" w:space="0" w:color="auto"/>
      </w:divBdr>
    </w:div>
    <w:div w:id="925504334">
      <w:bodyDiv w:val="1"/>
      <w:marLeft w:val="0"/>
      <w:marRight w:val="0"/>
      <w:marTop w:val="0"/>
      <w:marBottom w:val="0"/>
      <w:divBdr>
        <w:top w:val="none" w:sz="0" w:space="0" w:color="auto"/>
        <w:left w:val="none" w:sz="0" w:space="0" w:color="auto"/>
        <w:bottom w:val="none" w:sz="0" w:space="0" w:color="auto"/>
        <w:right w:val="none" w:sz="0" w:space="0" w:color="auto"/>
      </w:divBdr>
      <w:divsChild>
        <w:div w:id="596866444">
          <w:marLeft w:val="0"/>
          <w:marRight w:val="0"/>
          <w:marTop w:val="0"/>
          <w:marBottom w:val="0"/>
          <w:divBdr>
            <w:top w:val="none" w:sz="0" w:space="0" w:color="auto"/>
            <w:left w:val="none" w:sz="0" w:space="0" w:color="auto"/>
            <w:bottom w:val="none" w:sz="0" w:space="0" w:color="auto"/>
            <w:right w:val="none" w:sz="0" w:space="0" w:color="auto"/>
          </w:divBdr>
          <w:divsChild>
            <w:div w:id="409889066">
              <w:marLeft w:val="0"/>
              <w:marRight w:val="0"/>
              <w:marTop w:val="0"/>
              <w:marBottom w:val="0"/>
              <w:divBdr>
                <w:top w:val="none" w:sz="0" w:space="0" w:color="auto"/>
                <w:left w:val="none" w:sz="0" w:space="0" w:color="auto"/>
                <w:bottom w:val="none" w:sz="0" w:space="0" w:color="auto"/>
                <w:right w:val="none" w:sz="0" w:space="0" w:color="auto"/>
              </w:divBdr>
              <w:divsChild>
                <w:div w:id="11741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1493">
      <w:bodyDiv w:val="1"/>
      <w:marLeft w:val="0"/>
      <w:marRight w:val="0"/>
      <w:marTop w:val="0"/>
      <w:marBottom w:val="0"/>
      <w:divBdr>
        <w:top w:val="none" w:sz="0" w:space="0" w:color="auto"/>
        <w:left w:val="none" w:sz="0" w:space="0" w:color="auto"/>
        <w:bottom w:val="none" w:sz="0" w:space="0" w:color="auto"/>
        <w:right w:val="none" w:sz="0" w:space="0" w:color="auto"/>
      </w:divBdr>
    </w:div>
    <w:div w:id="943270029">
      <w:bodyDiv w:val="1"/>
      <w:marLeft w:val="0"/>
      <w:marRight w:val="0"/>
      <w:marTop w:val="0"/>
      <w:marBottom w:val="0"/>
      <w:divBdr>
        <w:top w:val="none" w:sz="0" w:space="0" w:color="auto"/>
        <w:left w:val="none" w:sz="0" w:space="0" w:color="auto"/>
        <w:bottom w:val="none" w:sz="0" w:space="0" w:color="auto"/>
        <w:right w:val="none" w:sz="0" w:space="0" w:color="auto"/>
      </w:divBdr>
    </w:div>
    <w:div w:id="962922413">
      <w:bodyDiv w:val="1"/>
      <w:marLeft w:val="0"/>
      <w:marRight w:val="0"/>
      <w:marTop w:val="0"/>
      <w:marBottom w:val="0"/>
      <w:divBdr>
        <w:top w:val="none" w:sz="0" w:space="0" w:color="auto"/>
        <w:left w:val="none" w:sz="0" w:space="0" w:color="auto"/>
        <w:bottom w:val="none" w:sz="0" w:space="0" w:color="auto"/>
        <w:right w:val="none" w:sz="0" w:space="0" w:color="auto"/>
      </w:divBdr>
    </w:div>
    <w:div w:id="990521815">
      <w:bodyDiv w:val="1"/>
      <w:marLeft w:val="0"/>
      <w:marRight w:val="0"/>
      <w:marTop w:val="0"/>
      <w:marBottom w:val="0"/>
      <w:divBdr>
        <w:top w:val="none" w:sz="0" w:space="0" w:color="auto"/>
        <w:left w:val="none" w:sz="0" w:space="0" w:color="auto"/>
        <w:bottom w:val="none" w:sz="0" w:space="0" w:color="auto"/>
        <w:right w:val="none" w:sz="0" w:space="0" w:color="auto"/>
      </w:divBdr>
    </w:div>
    <w:div w:id="1033993598">
      <w:bodyDiv w:val="1"/>
      <w:marLeft w:val="0"/>
      <w:marRight w:val="0"/>
      <w:marTop w:val="0"/>
      <w:marBottom w:val="0"/>
      <w:divBdr>
        <w:top w:val="none" w:sz="0" w:space="0" w:color="auto"/>
        <w:left w:val="none" w:sz="0" w:space="0" w:color="auto"/>
        <w:bottom w:val="none" w:sz="0" w:space="0" w:color="auto"/>
        <w:right w:val="none" w:sz="0" w:space="0" w:color="auto"/>
      </w:divBdr>
      <w:divsChild>
        <w:div w:id="1195386564">
          <w:marLeft w:val="0"/>
          <w:marRight w:val="0"/>
          <w:marTop w:val="0"/>
          <w:marBottom w:val="0"/>
          <w:divBdr>
            <w:top w:val="none" w:sz="0" w:space="0" w:color="auto"/>
            <w:left w:val="none" w:sz="0" w:space="0" w:color="auto"/>
            <w:bottom w:val="none" w:sz="0" w:space="0" w:color="auto"/>
            <w:right w:val="none" w:sz="0" w:space="0" w:color="auto"/>
          </w:divBdr>
          <w:divsChild>
            <w:div w:id="740062411">
              <w:marLeft w:val="0"/>
              <w:marRight w:val="0"/>
              <w:marTop w:val="0"/>
              <w:marBottom w:val="0"/>
              <w:divBdr>
                <w:top w:val="none" w:sz="0" w:space="0" w:color="auto"/>
                <w:left w:val="none" w:sz="0" w:space="0" w:color="auto"/>
                <w:bottom w:val="none" w:sz="0" w:space="0" w:color="auto"/>
                <w:right w:val="none" w:sz="0" w:space="0" w:color="auto"/>
              </w:divBdr>
              <w:divsChild>
                <w:div w:id="17843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09640">
      <w:bodyDiv w:val="1"/>
      <w:marLeft w:val="0"/>
      <w:marRight w:val="0"/>
      <w:marTop w:val="0"/>
      <w:marBottom w:val="0"/>
      <w:divBdr>
        <w:top w:val="none" w:sz="0" w:space="0" w:color="auto"/>
        <w:left w:val="none" w:sz="0" w:space="0" w:color="auto"/>
        <w:bottom w:val="none" w:sz="0" w:space="0" w:color="auto"/>
        <w:right w:val="none" w:sz="0" w:space="0" w:color="auto"/>
      </w:divBdr>
    </w:div>
    <w:div w:id="1178227545">
      <w:bodyDiv w:val="1"/>
      <w:marLeft w:val="0"/>
      <w:marRight w:val="0"/>
      <w:marTop w:val="0"/>
      <w:marBottom w:val="0"/>
      <w:divBdr>
        <w:top w:val="none" w:sz="0" w:space="0" w:color="auto"/>
        <w:left w:val="none" w:sz="0" w:space="0" w:color="auto"/>
        <w:bottom w:val="none" w:sz="0" w:space="0" w:color="auto"/>
        <w:right w:val="none" w:sz="0" w:space="0" w:color="auto"/>
      </w:divBdr>
      <w:divsChild>
        <w:div w:id="235869931">
          <w:marLeft w:val="0"/>
          <w:marRight w:val="0"/>
          <w:marTop w:val="0"/>
          <w:marBottom w:val="0"/>
          <w:divBdr>
            <w:top w:val="none" w:sz="0" w:space="0" w:color="auto"/>
            <w:left w:val="none" w:sz="0" w:space="0" w:color="auto"/>
            <w:bottom w:val="none" w:sz="0" w:space="0" w:color="auto"/>
            <w:right w:val="none" w:sz="0" w:space="0" w:color="auto"/>
          </w:divBdr>
          <w:divsChild>
            <w:div w:id="901910806">
              <w:marLeft w:val="0"/>
              <w:marRight w:val="0"/>
              <w:marTop w:val="0"/>
              <w:marBottom w:val="0"/>
              <w:divBdr>
                <w:top w:val="none" w:sz="0" w:space="0" w:color="auto"/>
                <w:left w:val="none" w:sz="0" w:space="0" w:color="auto"/>
                <w:bottom w:val="none" w:sz="0" w:space="0" w:color="auto"/>
                <w:right w:val="none" w:sz="0" w:space="0" w:color="auto"/>
              </w:divBdr>
              <w:divsChild>
                <w:div w:id="17554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33657">
      <w:bodyDiv w:val="1"/>
      <w:marLeft w:val="0"/>
      <w:marRight w:val="0"/>
      <w:marTop w:val="0"/>
      <w:marBottom w:val="0"/>
      <w:divBdr>
        <w:top w:val="none" w:sz="0" w:space="0" w:color="auto"/>
        <w:left w:val="none" w:sz="0" w:space="0" w:color="auto"/>
        <w:bottom w:val="none" w:sz="0" w:space="0" w:color="auto"/>
        <w:right w:val="none" w:sz="0" w:space="0" w:color="auto"/>
      </w:divBdr>
      <w:divsChild>
        <w:div w:id="1297683726">
          <w:marLeft w:val="0"/>
          <w:marRight w:val="0"/>
          <w:marTop w:val="0"/>
          <w:marBottom w:val="0"/>
          <w:divBdr>
            <w:top w:val="none" w:sz="0" w:space="0" w:color="auto"/>
            <w:left w:val="none" w:sz="0" w:space="0" w:color="auto"/>
            <w:bottom w:val="none" w:sz="0" w:space="0" w:color="auto"/>
            <w:right w:val="none" w:sz="0" w:space="0" w:color="auto"/>
          </w:divBdr>
          <w:divsChild>
            <w:div w:id="1180238460">
              <w:marLeft w:val="0"/>
              <w:marRight w:val="0"/>
              <w:marTop w:val="0"/>
              <w:marBottom w:val="0"/>
              <w:divBdr>
                <w:top w:val="none" w:sz="0" w:space="0" w:color="auto"/>
                <w:left w:val="none" w:sz="0" w:space="0" w:color="auto"/>
                <w:bottom w:val="none" w:sz="0" w:space="0" w:color="auto"/>
                <w:right w:val="none" w:sz="0" w:space="0" w:color="auto"/>
              </w:divBdr>
              <w:divsChild>
                <w:div w:id="1212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1591">
      <w:bodyDiv w:val="1"/>
      <w:marLeft w:val="0"/>
      <w:marRight w:val="0"/>
      <w:marTop w:val="0"/>
      <w:marBottom w:val="0"/>
      <w:divBdr>
        <w:top w:val="none" w:sz="0" w:space="0" w:color="auto"/>
        <w:left w:val="none" w:sz="0" w:space="0" w:color="auto"/>
        <w:bottom w:val="none" w:sz="0" w:space="0" w:color="auto"/>
        <w:right w:val="none" w:sz="0" w:space="0" w:color="auto"/>
      </w:divBdr>
      <w:divsChild>
        <w:div w:id="507985089">
          <w:marLeft w:val="0"/>
          <w:marRight w:val="0"/>
          <w:marTop w:val="0"/>
          <w:marBottom w:val="0"/>
          <w:divBdr>
            <w:top w:val="none" w:sz="0" w:space="0" w:color="auto"/>
            <w:left w:val="none" w:sz="0" w:space="0" w:color="auto"/>
            <w:bottom w:val="none" w:sz="0" w:space="0" w:color="auto"/>
            <w:right w:val="none" w:sz="0" w:space="0" w:color="auto"/>
          </w:divBdr>
          <w:divsChild>
            <w:div w:id="1252735321">
              <w:marLeft w:val="0"/>
              <w:marRight w:val="0"/>
              <w:marTop w:val="0"/>
              <w:marBottom w:val="0"/>
              <w:divBdr>
                <w:top w:val="none" w:sz="0" w:space="0" w:color="auto"/>
                <w:left w:val="none" w:sz="0" w:space="0" w:color="auto"/>
                <w:bottom w:val="none" w:sz="0" w:space="0" w:color="auto"/>
                <w:right w:val="none" w:sz="0" w:space="0" w:color="auto"/>
              </w:divBdr>
              <w:divsChild>
                <w:div w:id="3007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8717">
      <w:bodyDiv w:val="1"/>
      <w:marLeft w:val="0"/>
      <w:marRight w:val="0"/>
      <w:marTop w:val="0"/>
      <w:marBottom w:val="0"/>
      <w:divBdr>
        <w:top w:val="none" w:sz="0" w:space="0" w:color="auto"/>
        <w:left w:val="none" w:sz="0" w:space="0" w:color="auto"/>
        <w:bottom w:val="none" w:sz="0" w:space="0" w:color="auto"/>
        <w:right w:val="none" w:sz="0" w:space="0" w:color="auto"/>
      </w:divBdr>
      <w:divsChild>
        <w:div w:id="1132208055">
          <w:marLeft w:val="0"/>
          <w:marRight w:val="0"/>
          <w:marTop w:val="0"/>
          <w:marBottom w:val="0"/>
          <w:divBdr>
            <w:top w:val="none" w:sz="0" w:space="0" w:color="auto"/>
            <w:left w:val="none" w:sz="0" w:space="0" w:color="auto"/>
            <w:bottom w:val="none" w:sz="0" w:space="0" w:color="auto"/>
            <w:right w:val="none" w:sz="0" w:space="0" w:color="auto"/>
          </w:divBdr>
          <w:divsChild>
            <w:div w:id="1347368765">
              <w:marLeft w:val="0"/>
              <w:marRight w:val="0"/>
              <w:marTop w:val="0"/>
              <w:marBottom w:val="0"/>
              <w:divBdr>
                <w:top w:val="none" w:sz="0" w:space="0" w:color="auto"/>
                <w:left w:val="none" w:sz="0" w:space="0" w:color="auto"/>
                <w:bottom w:val="none" w:sz="0" w:space="0" w:color="auto"/>
                <w:right w:val="none" w:sz="0" w:space="0" w:color="auto"/>
              </w:divBdr>
              <w:divsChild>
                <w:div w:id="636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3880">
      <w:bodyDiv w:val="1"/>
      <w:marLeft w:val="0"/>
      <w:marRight w:val="0"/>
      <w:marTop w:val="0"/>
      <w:marBottom w:val="0"/>
      <w:divBdr>
        <w:top w:val="none" w:sz="0" w:space="0" w:color="auto"/>
        <w:left w:val="none" w:sz="0" w:space="0" w:color="auto"/>
        <w:bottom w:val="none" w:sz="0" w:space="0" w:color="auto"/>
        <w:right w:val="none" w:sz="0" w:space="0" w:color="auto"/>
      </w:divBdr>
    </w:div>
    <w:div w:id="1540165337">
      <w:bodyDiv w:val="1"/>
      <w:marLeft w:val="0"/>
      <w:marRight w:val="0"/>
      <w:marTop w:val="0"/>
      <w:marBottom w:val="0"/>
      <w:divBdr>
        <w:top w:val="none" w:sz="0" w:space="0" w:color="auto"/>
        <w:left w:val="none" w:sz="0" w:space="0" w:color="auto"/>
        <w:bottom w:val="none" w:sz="0" w:space="0" w:color="auto"/>
        <w:right w:val="none" w:sz="0" w:space="0" w:color="auto"/>
      </w:divBdr>
    </w:div>
    <w:div w:id="1600794304">
      <w:bodyDiv w:val="1"/>
      <w:marLeft w:val="0"/>
      <w:marRight w:val="0"/>
      <w:marTop w:val="0"/>
      <w:marBottom w:val="0"/>
      <w:divBdr>
        <w:top w:val="none" w:sz="0" w:space="0" w:color="auto"/>
        <w:left w:val="none" w:sz="0" w:space="0" w:color="auto"/>
        <w:bottom w:val="none" w:sz="0" w:space="0" w:color="auto"/>
        <w:right w:val="none" w:sz="0" w:space="0" w:color="auto"/>
      </w:divBdr>
    </w:div>
    <w:div w:id="1603301023">
      <w:bodyDiv w:val="1"/>
      <w:marLeft w:val="0"/>
      <w:marRight w:val="0"/>
      <w:marTop w:val="0"/>
      <w:marBottom w:val="0"/>
      <w:divBdr>
        <w:top w:val="none" w:sz="0" w:space="0" w:color="auto"/>
        <w:left w:val="none" w:sz="0" w:space="0" w:color="auto"/>
        <w:bottom w:val="none" w:sz="0" w:space="0" w:color="auto"/>
        <w:right w:val="none" w:sz="0" w:space="0" w:color="auto"/>
      </w:divBdr>
      <w:divsChild>
        <w:div w:id="2005283826">
          <w:marLeft w:val="0"/>
          <w:marRight w:val="0"/>
          <w:marTop w:val="0"/>
          <w:marBottom w:val="0"/>
          <w:divBdr>
            <w:top w:val="none" w:sz="0" w:space="0" w:color="auto"/>
            <w:left w:val="none" w:sz="0" w:space="0" w:color="auto"/>
            <w:bottom w:val="none" w:sz="0" w:space="0" w:color="auto"/>
            <w:right w:val="none" w:sz="0" w:space="0" w:color="auto"/>
          </w:divBdr>
          <w:divsChild>
            <w:div w:id="460423107">
              <w:marLeft w:val="0"/>
              <w:marRight w:val="0"/>
              <w:marTop w:val="0"/>
              <w:marBottom w:val="0"/>
              <w:divBdr>
                <w:top w:val="none" w:sz="0" w:space="0" w:color="auto"/>
                <w:left w:val="none" w:sz="0" w:space="0" w:color="auto"/>
                <w:bottom w:val="none" w:sz="0" w:space="0" w:color="auto"/>
                <w:right w:val="none" w:sz="0" w:space="0" w:color="auto"/>
              </w:divBdr>
              <w:divsChild>
                <w:div w:id="2656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1730">
      <w:bodyDiv w:val="1"/>
      <w:marLeft w:val="0"/>
      <w:marRight w:val="0"/>
      <w:marTop w:val="0"/>
      <w:marBottom w:val="0"/>
      <w:divBdr>
        <w:top w:val="none" w:sz="0" w:space="0" w:color="auto"/>
        <w:left w:val="none" w:sz="0" w:space="0" w:color="auto"/>
        <w:bottom w:val="none" w:sz="0" w:space="0" w:color="auto"/>
        <w:right w:val="none" w:sz="0" w:space="0" w:color="auto"/>
      </w:divBdr>
    </w:div>
    <w:div w:id="1827360673">
      <w:bodyDiv w:val="1"/>
      <w:marLeft w:val="0"/>
      <w:marRight w:val="0"/>
      <w:marTop w:val="0"/>
      <w:marBottom w:val="0"/>
      <w:divBdr>
        <w:top w:val="none" w:sz="0" w:space="0" w:color="auto"/>
        <w:left w:val="none" w:sz="0" w:space="0" w:color="auto"/>
        <w:bottom w:val="none" w:sz="0" w:space="0" w:color="auto"/>
        <w:right w:val="none" w:sz="0" w:space="0" w:color="auto"/>
      </w:divBdr>
    </w:div>
    <w:div w:id="1835955211">
      <w:bodyDiv w:val="1"/>
      <w:marLeft w:val="0"/>
      <w:marRight w:val="0"/>
      <w:marTop w:val="0"/>
      <w:marBottom w:val="0"/>
      <w:divBdr>
        <w:top w:val="none" w:sz="0" w:space="0" w:color="auto"/>
        <w:left w:val="none" w:sz="0" w:space="0" w:color="auto"/>
        <w:bottom w:val="none" w:sz="0" w:space="0" w:color="auto"/>
        <w:right w:val="none" w:sz="0" w:space="0" w:color="auto"/>
      </w:divBdr>
    </w:div>
    <w:div w:id="1925918546">
      <w:bodyDiv w:val="1"/>
      <w:marLeft w:val="0"/>
      <w:marRight w:val="0"/>
      <w:marTop w:val="0"/>
      <w:marBottom w:val="0"/>
      <w:divBdr>
        <w:top w:val="none" w:sz="0" w:space="0" w:color="auto"/>
        <w:left w:val="none" w:sz="0" w:space="0" w:color="auto"/>
        <w:bottom w:val="none" w:sz="0" w:space="0" w:color="auto"/>
        <w:right w:val="none" w:sz="0" w:space="0" w:color="auto"/>
      </w:divBdr>
      <w:divsChild>
        <w:div w:id="179583807">
          <w:marLeft w:val="0"/>
          <w:marRight w:val="0"/>
          <w:marTop w:val="0"/>
          <w:marBottom w:val="0"/>
          <w:divBdr>
            <w:top w:val="none" w:sz="0" w:space="0" w:color="auto"/>
            <w:left w:val="none" w:sz="0" w:space="0" w:color="auto"/>
            <w:bottom w:val="none" w:sz="0" w:space="0" w:color="auto"/>
            <w:right w:val="none" w:sz="0" w:space="0" w:color="auto"/>
          </w:divBdr>
          <w:divsChild>
            <w:div w:id="1883058089">
              <w:marLeft w:val="0"/>
              <w:marRight w:val="0"/>
              <w:marTop w:val="0"/>
              <w:marBottom w:val="0"/>
              <w:divBdr>
                <w:top w:val="none" w:sz="0" w:space="0" w:color="auto"/>
                <w:left w:val="none" w:sz="0" w:space="0" w:color="auto"/>
                <w:bottom w:val="none" w:sz="0" w:space="0" w:color="auto"/>
                <w:right w:val="none" w:sz="0" w:space="0" w:color="auto"/>
              </w:divBdr>
              <w:divsChild>
                <w:div w:id="19841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812">
      <w:bodyDiv w:val="1"/>
      <w:marLeft w:val="0"/>
      <w:marRight w:val="0"/>
      <w:marTop w:val="0"/>
      <w:marBottom w:val="0"/>
      <w:divBdr>
        <w:top w:val="none" w:sz="0" w:space="0" w:color="auto"/>
        <w:left w:val="none" w:sz="0" w:space="0" w:color="auto"/>
        <w:bottom w:val="none" w:sz="0" w:space="0" w:color="auto"/>
        <w:right w:val="none" w:sz="0" w:space="0" w:color="auto"/>
      </w:divBdr>
      <w:divsChild>
        <w:div w:id="1880168176">
          <w:marLeft w:val="0"/>
          <w:marRight w:val="0"/>
          <w:marTop w:val="0"/>
          <w:marBottom w:val="0"/>
          <w:divBdr>
            <w:top w:val="none" w:sz="0" w:space="0" w:color="auto"/>
            <w:left w:val="none" w:sz="0" w:space="0" w:color="auto"/>
            <w:bottom w:val="none" w:sz="0" w:space="0" w:color="auto"/>
            <w:right w:val="none" w:sz="0" w:space="0" w:color="auto"/>
          </w:divBdr>
          <w:divsChild>
            <w:div w:id="705562938">
              <w:marLeft w:val="0"/>
              <w:marRight w:val="0"/>
              <w:marTop w:val="0"/>
              <w:marBottom w:val="0"/>
              <w:divBdr>
                <w:top w:val="none" w:sz="0" w:space="0" w:color="auto"/>
                <w:left w:val="none" w:sz="0" w:space="0" w:color="auto"/>
                <w:bottom w:val="none" w:sz="0" w:space="0" w:color="auto"/>
                <w:right w:val="none" w:sz="0" w:space="0" w:color="auto"/>
              </w:divBdr>
              <w:divsChild>
                <w:div w:id="14559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0514">
      <w:bodyDiv w:val="1"/>
      <w:marLeft w:val="0"/>
      <w:marRight w:val="0"/>
      <w:marTop w:val="0"/>
      <w:marBottom w:val="0"/>
      <w:divBdr>
        <w:top w:val="none" w:sz="0" w:space="0" w:color="auto"/>
        <w:left w:val="none" w:sz="0" w:space="0" w:color="auto"/>
        <w:bottom w:val="none" w:sz="0" w:space="0" w:color="auto"/>
        <w:right w:val="none" w:sz="0" w:space="0" w:color="auto"/>
      </w:divBdr>
      <w:divsChild>
        <w:div w:id="260112440">
          <w:marLeft w:val="0"/>
          <w:marRight w:val="0"/>
          <w:marTop w:val="0"/>
          <w:marBottom w:val="0"/>
          <w:divBdr>
            <w:top w:val="none" w:sz="0" w:space="0" w:color="auto"/>
            <w:left w:val="none" w:sz="0" w:space="0" w:color="auto"/>
            <w:bottom w:val="none" w:sz="0" w:space="0" w:color="auto"/>
            <w:right w:val="none" w:sz="0" w:space="0" w:color="auto"/>
          </w:divBdr>
          <w:divsChild>
            <w:div w:id="678773164">
              <w:marLeft w:val="0"/>
              <w:marRight w:val="0"/>
              <w:marTop w:val="0"/>
              <w:marBottom w:val="0"/>
              <w:divBdr>
                <w:top w:val="none" w:sz="0" w:space="0" w:color="auto"/>
                <w:left w:val="none" w:sz="0" w:space="0" w:color="auto"/>
                <w:bottom w:val="none" w:sz="0" w:space="0" w:color="auto"/>
                <w:right w:val="none" w:sz="0" w:space="0" w:color="auto"/>
              </w:divBdr>
              <w:divsChild>
                <w:div w:id="10275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8944">
      <w:bodyDiv w:val="1"/>
      <w:marLeft w:val="0"/>
      <w:marRight w:val="0"/>
      <w:marTop w:val="0"/>
      <w:marBottom w:val="0"/>
      <w:divBdr>
        <w:top w:val="none" w:sz="0" w:space="0" w:color="auto"/>
        <w:left w:val="none" w:sz="0" w:space="0" w:color="auto"/>
        <w:bottom w:val="none" w:sz="0" w:space="0" w:color="auto"/>
        <w:right w:val="none" w:sz="0" w:space="0" w:color="auto"/>
      </w:divBdr>
    </w:div>
    <w:div w:id="2016615603">
      <w:bodyDiv w:val="1"/>
      <w:marLeft w:val="0"/>
      <w:marRight w:val="0"/>
      <w:marTop w:val="0"/>
      <w:marBottom w:val="0"/>
      <w:divBdr>
        <w:top w:val="none" w:sz="0" w:space="0" w:color="auto"/>
        <w:left w:val="none" w:sz="0" w:space="0" w:color="auto"/>
        <w:bottom w:val="none" w:sz="0" w:space="0" w:color="auto"/>
        <w:right w:val="none" w:sz="0" w:space="0" w:color="auto"/>
      </w:divBdr>
    </w:div>
    <w:div w:id="2018727750">
      <w:bodyDiv w:val="1"/>
      <w:marLeft w:val="0"/>
      <w:marRight w:val="0"/>
      <w:marTop w:val="0"/>
      <w:marBottom w:val="0"/>
      <w:divBdr>
        <w:top w:val="none" w:sz="0" w:space="0" w:color="auto"/>
        <w:left w:val="none" w:sz="0" w:space="0" w:color="auto"/>
        <w:bottom w:val="none" w:sz="0" w:space="0" w:color="auto"/>
        <w:right w:val="none" w:sz="0" w:space="0" w:color="auto"/>
      </w:divBdr>
    </w:div>
    <w:div w:id="2046052707">
      <w:bodyDiv w:val="1"/>
      <w:marLeft w:val="0"/>
      <w:marRight w:val="0"/>
      <w:marTop w:val="0"/>
      <w:marBottom w:val="0"/>
      <w:divBdr>
        <w:top w:val="none" w:sz="0" w:space="0" w:color="auto"/>
        <w:left w:val="none" w:sz="0" w:space="0" w:color="auto"/>
        <w:bottom w:val="none" w:sz="0" w:space="0" w:color="auto"/>
        <w:right w:val="none" w:sz="0" w:space="0" w:color="auto"/>
      </w:divBdr>
    </w:div>
    <w:div w:id="212600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le.ra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FC7A-DE14-42F1-8C48-F5802F2E60EF}">
  <ds:schemaRefs>
    <ds:schemaRef ds:uri="http://schemas.microsoft.com/sharepoint/v3/contenttype/forms"/>
  </ds:schemaRefs>
</ds:datastoreItem>
</file>

<file path=customXml/itemProps2.xml><?xml version="1.0" encoding="utf-8"?>
<ds:datastoreItem xmlns:ds="http://schemas.openxmlformats.org/officeDocument/2006/customXml" ds:itemID="{3B3917C6-38AE-491D-947E-AE3096D386FB}">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99EC9A9E-EB86-422C-AF0F-6DA584277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9C2809-0D67-46CE-A896-FBC37554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8382</Words>
  <Characters>46107</Characters>
  <Application>Microsoft Office Word</Application>
  <DocSecurity>0</DocSecurity>
  <Lines>384</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Ana Rita Ramirez</cp:lastModifiedBy>
  <cp:revision>4</cp:revision>
  <cp:lastPrinted>2017-11-13T20:04:00Z</cp:lastPrinted>
  <dcterms:created xsi:type="dcterms:W3CDTF">2017-11-14T21:12:00Z</dcterms:created>
  <dcterms:modified xsi:type="dcterms:W3CDTF">2017-11-15T17:10:00Z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