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AC0DA" w14:textId="77777777" w:rsidR="003326BC" w:rsidRDefault="003326BC" w:rsidP="006174F1">
      <w:pPr>
        <w:ind w:right="96"/>
        <w:jc w:val="center"/>
        <w:outlineLvl w:val="0"/>
        <w:rPr>
          <w:rFonts w:ascii="Verdana" w:hAnsi="Verdana"/>
          <w:b/>
          <w:sz w:val="20"/>
          <w:szCs w:val="20"/>
        </w:rPr>
      </w:pPr>
      <w:bookmarkStart w:id="0" w:name="_GoBack"/>
      <w:bookmarkEnd w:id="0"/>
    </w:p>
    <w:p w14:paraId="77BA1808" w14:textId="2C4469F3" w:rsidR="006D2DE2" w:rsidRPr="006D2DE2" w:rsidRDefault="00FE361F" w:rsidP="006174F1">
      <w:pPr>
        <w:ind w:right="96"/>
        <w:jc w:val="center"/>
        <w:outlineLvl w:val="0"/>
        <w:rPr>
          <w:rFonts w:ascii="Verdana" w:hAnsi="Verdana"/>
          <w:b/>
          <w:sz w:val="20"/>
          <w:szCs w:val="20"/>
        </w:rPr>
      </w:pPr>
      <w:r w:rsidRPr="006D2DE2">
        <w:rPr>
          <w:rFonts w:ascii="Verdana" w:hAnsi="Verdana"/>
          <w:b/>
          <w:sz w:val="20"/>
          <w:szCs w:val="20"/>
        </w:rPr>
        <w:t xml:space="preserve">VOTO </w:t>
      </w:r>
      <w:r w:rsidR="00285C15">
        <w:rPr>
          <w:rFonts w:ascii="Verdana" w:hAnsi="Verdana"/>
          <w:b/>
          <w:sz w:val="20"/>
          <w:szCs w:val="20"/>
        </w:rPr>
        <w:t>RAZONADO</w:t>
      </w:r>
      <w:r w:rsidR="006D2DE2">
        <w:rPr>
          <w:rFonts w:ascii="Verdana" w:hAnsi="Verdana"/>
          <w:b/>
          <w:sz w:val="20"/>
          <w:szCs w:val="20"/>
        </w:rPr>
        <w:t xml:space="preserve"> </w:t>
      </w:r>
      <w:r w:rsidR="006D2DE2" w:rsidRPr="006D2DE2">
        <w:rPr>
          <w:rFonts w:ascii="Verdana" w:hAnsi="Verdana"/>
          <w:b/>
          <w:sz w:val="20"/>
          <w:szCs w:val="20"/>
        </w:rPr>
        <w:t xml:space="preserve">DEL </w:t>
      </w:r>
    </w:p>
    <w:p w14:paraId="3938F35A" w14:textId="77777777" w:rsidR="006D2DE2" w:rsidRPr="006D2DE2" w:rsidRDefault="006D2DE2" w:rsidP="006174F1">
      <w:pPr>
        <w:ind w:right="96"/>
        <w:jc w:val="center"/>
        <w:outlineLvl w:val="0"/>
        <w:rPr>
          <w:rFonts w:ascii="Verdana" w:hAnsi="Verdana"/>
          <w:b/>
          <w:sz w:val="20"/>
          <w:szCs w:val="20"/>
        </w:rPr>
      </w:pPr>
      <w:r w:rsidRPr="006D2DE2">
        <w:rPr>
          <w:rFonts w:ascii="Verdana" w:hAnsi="Verdana"/>
          <w:b/>
          <w:sz w:val="20"/>
          <w:szCs w:val="20"/>
        </w:rPr>
        <w:t>JUEZ EDUARDO FERRER MAC-GREGOR POISOT</w:t>
      </w:r>
    </w:p>
    <w:p w14:paraId="437BA8E0" w14:textId="77777777" w:rsidR="006D2DE2" w:rsidRPr="001F7596" w:rsidRDefault="006D2DE2" w:rsidP="006174F1">
      <w:pPr>
        <w:jc w:val="center"/>
        <w:rPr>
          <w:rFonts w:ascii="Verdana" w:hAnsi="Verdana"/>
          <w:b/>
          <w:sz w:val="20"/>
          <w:szCs w:val="20"/>
        </w:rPr>
      </w:pPr>
    </w:p>
    <w:p w14:paraId="1599681C" w14:textId="62BCF252" w:rsidR="00FE361F" w:rsidRPr="006D2DE2" w:rsidRDefault="00FE361F" w:rsidP="006174F1">
      <w:pPr>
        <w:jc w:val="center"/>
        <w:outlineLvl w:val="0"/>
        <w:rPr>
          <w:rFonts w:ascii="Verdana" w:hAnsi="Verdana"/>
          <w:b/>
          <w:i/>
          <w:sz w:val="20"/>
          <w:szCs w:val="20"/>
          <w:u w:val="single"/>
        </w:rPr>
      </w:pPr>
      <w:r w:rsidRPr="006D2DE2">
        <w:rPr>
          <w:rFonts w:ascii="Verdana" w:hAnsi="Verdana"/>
          <w:b/>
          <w:i/>
          <w:sz w:val="20"/>
          <w:szCs w:val="20"/>
          <w:u w:val="single"/>
        </w:rPr>
        <w:t xml:space="preserve">CASO </w:t>
      </w:r>
      <w:r w:rsidR="00AF69B3">
        <w:rPr>
          <w:rFonts w:ascii="Verdana" w:hAnsi="Verdana"/>
          <w:b/>
          <w:i/>
          <w:sz w:val="20"/>
          <w:szCs w:val="20"/>
          <w:u w:val="single"/>
        </w:rPr>
        <w:t>CUSCUL PIVARAL Y OTROS VS. GUATEMALA</w:t>
      </w:r>
      <w:r w:rsidRPr="006D2DE2">
        <w:rPr>
          <w:rFonts w:ascii="Verdana" w:hAnsi="Verdana"/>
          <w:b/>
          <w:i/>
          <w:sz w:val="20"/>
          <w:szCs w:val="20"/>
          <w:u w:val="single"/>
        </w:rPr>
        <w:t xml:space="preserve"> </w:t>
      </w:r>
    </w:p>
    <w:p w14:paraId="7A0A7B27" w14:textId="77777777" w:rsidR="006D2DE2" w:rsidRPr="001F7596" w:rsidRDefault="006D2DE2" w:rsidP="006174F1">
      <w:pPr>
        <w:jc w:val="center"/>
        <w:rPr>
          <w:rFonts w:ascii="Verdana" w:hAnsi="Verdana"/>
          <w:b/>
          <w:sz w:val="20"/>
          <w:szCs w:val="20"/>
        </w:rPr>
      </w:pPr>
    </w:p>
    <w:p w14:paraId="4036F9D9" w14:textId="637D4E01" w:rsidR="00FE361F" w:rsidRPr="00EA07C9" w:rsidRDefault="00AF69B3" w:rsidP="006174F1">
      <w:pPr>
        <w:jc w:val="center"/>
        <w:outlineLvl w:val="0"/>
        <w:rPr>
          <w:rFonts w:ascii="Verdana" w:hAnsi="Verdana"/>
          <w:b/>
          <w:sz w:val="18"/>
          <w:szCs w:val="18"/>
        </w:rPr>
      </w:pPr>
      <w:r w:rsidRPr="00EA07C9">
        <w:rPr>
          <w:rFonts w:ascii="Verdana" w:hAnsi="Verdana"/>
          <w:b/>
          <w:sz w:val="18"/>
          <w:szCs w:val="18"/>
        </w:rPr>
        <w:t xml:space="preserve">SENTENCIA DE </w:t>
      </w:r>
      <w:r w:rsidRPr="006B19D3">
        <w:rPr>
          <w:rFonts w:ascii="Verdana" w:hAnsi="Verdana"/>
          <w:b/>
          <w:sz w:val="18"/>
          <w:szCs w:val="18"/>
        </w:rPr>
        <w:t>23</w:t>
      </w:r>
      <w:r w:rsidR="00FE361F" w:rsidRPr="00EA07C9">
        <w:rPr>
          <w:rFonts w:ascii="Verdana" w:hAnsi="Verdana"/>
          <w:b/>
          <w:sz w:val="18"/>
          <w:szCs w:val="18"/>
        </w:rPr>
        <w:t xml:space="preserve"> DE </w:t>
      </w:r>
      <w:r w:rsidRPr="00EA07C9">
        <w:rPr>
          <w:rFonts w:ascii="Verdana" w:hAnsi="Verdana"/>
          <w:b/>
          <w:sz w:val="18"/>
          <w:szCs w:val="18"/>
        </w:rPr>
        <w:t>AGOSTO</w:t>
      </w:r>
      <w:r w:rsidR="00FE361F" w:rsidRPr="00EA07C9">
        <w:rPr>
          <w:rFonts w:ascii="Verdana" w:hAnsi="Verdana"/>
          <w:b/>
          <w:sz w:val="18"/>
          <w:szCs w:val="18"/>
        </w:rPr>
        <w:t xml:space="preserve"> DE 2018</w:t>
      </w:r>
    </w:p>
    <w:p w14:paraId="61FA2866" w14:textId="7402D29A" w:rsidR="006D2DE2" w:rsidRPr="00EA07C9" w:rsidRDefault="006D2DE2" w:rsidP="006174F1">
      <w:pPr>
        <w:pStyle w:val="Subtitle"/>
        <w:ind w:right="48"/>
        <w:outlineLvl w:val="0"/>
        <w:rPr>
          <w:noProof w:val="0"/>
          <w:sz w:val="18"/>
          <w:szCs w:val="18"/>
        </w:rPr>
      </w:pPr>
      <w:r w:rsidRPr="00EA07C9">
        <w:rPr>
          <w:noProof w:val="0"/>
          <w:sz w:val="18"/>
          <w:szCs w:val="18"/>
        </w:rPr>
        <w:t>(</w:t>
      </w:r>
      <w:r w:rsidR="007E4FCB">
        <w:rPr>
          <w:noProof w:val="0"/>
          <w:sz w:val="18"/>
          <w:szCs w:val="18"/>
        </w:rPr>
        <w:t>Excepción</w:t>
      </w:r>
      <w:r w:rsidR="00690579">
        <w:rPr>
          <w:noProof w:val="0"/>
          <w:sz w:val="18"/>
          <w:szCs w:val="18"/>
        </w:rPr>
        <w:t xml:space="preserve"> P</w:t>
      </w:r>
      <w:r w:rsidR="007E4FCB">
        <w:rPr>
          <w:noProof w:val="0"/>
          <w:sz w:val="18"/>
          <w:szCs w:val="18"/>
        </w:rPr>
        <w:t>reliminar</w:t>
      </w:r>
      <w:r w:rsidR="00AF69B3" w:rsidRPr="00EA07C9">
        <w:rPr>
          <w:noProof w:val="0"/>
          <w:sz w:val="18"/>
          <w:szCs w:val="18"/>
        </w:rPr>
        <w:t xml:space="preserve">, </w:t>
      </w:r>
      <w:r w:rsidRPr="00EA07C9">
        <w:rPr>
          <w:noProof w:val="0"/>
          <w:sz w:val="18"/>
          <w:szCs w:val="18"/>
        </w:rPr>
        <w:t>Fondo, Reparaciones y Costas)</w:t>
      </w:r>
    </w:p>
    <w:p w14:paraId="11517028" w14:textId="77777777" w:rsidR="00C60D0F" w:rsidRDefault="00C60D0F" w:rsidP="006174F1">
      <w:pPr>
        <w:rPr>
          <w:rFonts w:ascii="Verdana" w:hAnsi="Verdana"/>
          <w:sz w:val="20"/>
          <w:szCs w:val="20"/>
        </w:rPr>
      </w:pPr>
    </w:p>
    <w:p w14:paraId="6DA4008F" w14:textId="24CE1524" w:rsidR="00F23919" w:rsidRPr="00F23919" w:rsidRDefault="00F23919" w:rsidP="007368C2">
      <w:pPr>
        <w:jc w:val="both"/>
        <w:rPr>
          <w:rFonts w:ascii="Verdana" w:hAnsi="Verdana"/>
          <w:sz w:val="20"/>
          <w:szCs w:val="20"/>
        </w:rPr>
      </w:pPr>
      <w:r w:rsidRPr="00F23919">
        <w:rPr>
          <w:rFonts w:ascii="Verdana" w:hAnsi="Verdana"/>
          <w:sz w:val="20"/>
          <w:szCs w:val="20"/>
        </w:rPr>
        <w:t xml:space="preserve">La Jueza Elizabeth Odio Benito y </w:t>
      </w:r>
      <w:r w:rsidRPr="0046549D">
        <w:rPr>
          <w:rFonts w:ascii="Verdana" w:hAnsi="Verdana"/>
          <w:sz w:val="20"/>
          <w:szCs w:val="20"/>
        </w:rPr>
        <w:t>el Juez Patricio Pazmiño Freire</w:t>
      </w:r>
      <w:r w:rsidRPr="00F23919">
        <w:rPr>
          <w:rFonts w:ascii="Verdana" w:hAnsi="Verdana"/>
          <w:sz w:val="20"/>
          <w:szCs w:val="20"/>
        </w:rPr>
        <w:t xml:space="preserve"> se </w:t>
      </w:r>
      <w:r>
        <w:rPr>
          <w:rFonts w:ascii="Verdana" w:hAnsi="Verdana"/>
          <w:sz w:val="20"/>
          <w:szCs w:val="20"/>
        </w:rPr>
        <w:t>adhirieron</w:t>
      </w:r>
      <w:r w:rsidRPr="00F23919">
        <w:rPr>
          <w:rFonts w:ascii="Verdana" w:hAnsi="Verdana"/>
          <w:sz w:val="20"/>
          <w:szCs w:val="20"/>
        </w:rPr>
        <w:t xml:space="preserve"> al presente Voto del Juez Eduardo Ferrer Mac-Gregor Poisot.</w:t>
      </w:r>
    </w:p>
    <w:p w14:paraId="62787FB7" w14:textId="77777777" w:rsidR="00EA07C9" w:rsidRDefault="00EA07C9" w:rsidP="006174F1">
      <w:pPr>
        <w:rPr>
          <w:rFonts w:ascii="Verdana" w:hAnsi="Verdana"/>
          <w:sz w:val="20"/>
          <w:szCs w:val="20"/>
        </w:rPr>
      </w:pPr>
    </w:p>
    <w:p w14:paraId="6A0F8D96" w14:textId="728DF28D" w:rsidR="00285C15" w:rsidRPr="007368C2" w:rsidRDefault="00C60D0F" w:rsidP="006105F2">
      <w:pPr>
        <w:jc w:val="center"/>
        <w:outlineLvl w:val="0"/>
        <w:rPr>
          <w:rFonts w:ascii="Verdana" w:hAnsi="Verdana" w:cs="Times New Roman (Cuerpo en alfa"/>
          <w:b/>
          <w:caps/>
          <w:sz w:val="20"/>
          <w:szCs w:val="20"/>
        </w:rPr>
      </w:pPr>
      <w:r w:rsidRPr="007368C2">
        <w:rPr>
          <w:rFonts w:ascii="Verdana" w:hAnsi="Verdana"/>
          <w:b/>
          <w:sz w:val="20"/>
          <w:szCs w:val="20"/>
        </w:rPr>
        <w:t>I</w:t>
      </w:r>
      <w:r w:rsidR="009B3592" w:rsidRPr="007368C2">
        <w:rPr>
          <w:rFonts w:ascii="Verdana" w:hAnsi="Verdana"/>
          <w:b/>
          <w:sz w:val="20"/>
          <w:szCs w:val="20"/>
        </w:rPr>
        <w:t>NTRODUCCIÓN:</w:t>
      </w:r>
      <w:r w:rsidR="006105F2" w:rsidRPr="007368C2">
        <w:rPr>
          <w:rFonts w:ascii="Verdana" w:hAnsi="Verdana"/>
          <w:b/>
          <w:sz w:val="20"/>
          <w:szCs w:val="20"/>
        </w:rPr>
        <w:t xml:space="preserve"> </w:t>
      </w:r>
      <w:r w:rsidR="000E04FF" w:rsidRPr="007368C2">
        <w:rPr>
          <w:rFonts w:ascii="Verdana" w:hAnsi="Verdana" w:cs="Times New Roman (Cuerpo en alfa"/>
          <w:b/>
          <w:caps/>
          <w:sz w:val="20"/>
          <w:szCs w:val="20"/>
        </w:rPr>
        <w:t>La exigibilidad directa del derecho a la salud y LA OBLIGACIÓN</w:t>
      </w:r>
      <w:r w:rsidR="006105F2" w:rsidRPr="007368C2">
        <w:rPr>
          <w:rFonts w:ascii="Verdana" w:hAnsi="Verdana" w:cs="Times New Roman (Cuerpo en alfa"/>
          <w:b/>
          <w:caps/>
          <w:sz w:val="20"/>
          <w:szCs w:val="20"/>
        </w:rPr>
        <w:t xml:space="preserve"> </w:t>
      </w:r>
      <w:r w:rsidR="000E04FF" w:rsidRPr="007368C2">
        <w:rPr>
          <w:rFonts w:ascii="Verdana" w:hAnsi="Verdana" w:cs="Times New Roman (Cuerpo en alfa"/>
          <w:b/>
          <w:caps/>
          <w:sz w:val="20"/>
          <w:szCs w:val="20"/>
        </w:rPr>
        <w:t>de progresividad y no regresividad</w:t>
      </w:r>
    </w:p>
    <w:p w14:paraId="008B4887" w14:textId="77777777" w:rsidR="00FE361F" w:rsidRPr="003535F7" w:rsidRDefault="00FE361F" w:rsidP="006174F1">
      <w:pPr>
        <w:rPr>
          <w:rFonts w:ascii="Verdana" w:hAnsi="Verdana"/>
          <w:sz w:val="20"/>
          <w:szCs w:val="20"/>
        </w:rPr>
      </w:pPr>
    </w:p>
    <w:p w14:paraId="05C403FA" w14:textId="596BCE82" w:rsidR="00285C15" w:rsidRPr="003535F7" w:rsidRDefault="00AF69B3" w:rsidP="006174F1">
      <w:pPr>
        <w:pStyle w:val="ListParagraph"/>
        <w:numPr>
          <w:ilvl w:val="0"/>
          <w:numId w:val="1"/>
        </w:numPr>
        <w:ind w:left="0" w:firstLine="0"/>
        <w:jc w:val="both"/>
        <w:rPr>
          <w:rFonts w:ascii="Verdana" w:hAnsi="Verdana"/>
          <w:b/>
          <w:sz w:val="20"/>
          <w:szCs w:val="20"/>
        </w:rPr>
      </w:pPr>
      <w:r w:rsidRPr="003535F7">
        <w:rPr>
          <w:rFonts w:ascii="Verdana" w:hAnsi="Verdana"/>
          <w:sz w:val="20"/>
          <w:szCs w:val="20"/>
        </w:rPr>
        <w:t xml:space="preserve">La sentencia en el caso </w:t>
      </w:r>
      <w:r w:rsidRPr="003535F7">
        <w:rPr>
          <w:rFonts w:ascii="Verdana" w:hAnsi="Verdana"/>
          <w:i/>
          <w:sz w:val="20"/>
          <w:szCs w:val="20"/>
        </w:rPr>
        <w:t xml:space="preserve">Cuscul Pivaral y otros Vs. Guatemala </w:t>
      </w:r>
      <w:r w:rsidRPr="003535F7">
        <w:rPr>
          <w:rFonts w:ascii="Verdana" w:hAnsi="Verdana"/>
          <w:sz w:val="20"/>
          <w:szCs w:val="20"/>
        </w:rPr>
        <w:t>(en adelante</w:t>
      </w:r>
      <w:r w:rsidR="0001595E" w:rsidRPr="003535F7">
        <w:rPr>
          <w:rFonts w:ascii="Verdana" w:hAnsi="Verdana"/>
          <w:sz w:val="20"/>
          <w:szCs w:val="20"/>
        </w:rPr>
        <w:t xml:space="preserve"> </w:t>
      </w:r>
      <w:r w:rsidRPr="003535F7">
        <w:rPr>
          <w:rFonts w:ascii="Verdana" w:hAnsi="Verdana"/>
          <w:sz w:val="20"/>
          <w:szCs w:val="20"/>
        </w:rPr>
        <w:t>“la Sentencia”</w:t>
      </w:r>
      <w:r w:rsidR="0001595E" w:rsidRPr="003535F7">
        <w:rPr>
          <w:rFonts w:ascii="Verdana" w:hAnsi="Verdana"/>
          <w:sz w:val="20"/>
          <w:szCs w:val="20"/>
        </w:rPr>
        <w:t xml:space="preserve"> o “</w:t>
      </w:r>
      <w:r w:rsidR="0001595E" w:rsidRPr="003535F7">
        <w:rPr>
          <w:rFonts w:ascii="Verdana" w:hAnsi="Verdana"/>
          <w:i/>
          <w:sz w:val="20"/>
          <w:szCs w:val="20"/>
        </w:rPr>
        <w:t>Cuscul Pivaral</w:t>
      </w:r>
      <w:r w:rsidR="0001595E" w:rsidRPr="003535F7">
        <w:rPr>
          <w:rFonts w:ascii="Verdana" w:hAnsi="Verdana"/>
          <w:sz w:val="20"/>
          <w:szCs w:val="20"/>
        </w:rPr>
        <w:t>”</w:t>
      </w:r>
      <w:r w:rsidRPr="003535F7">
        <w:rPr>
          <w:rFonts w:ascii="Verdana" w:hAnsi="Verdana"/>
          <w:sz w:val="20"/>
          <w:szCs w:val="20"/>
        </w:rPr>
        <w:t>)</w:t>
      </w:r>
      <w:r w:rsidR="009153B6" w:rsidRPr="003535F7">
        <w:rPr>
          <w:rStyle w:val="FootnoteReference"/>
          <w:rFonts w:ascii="Verdana" w:hAnsi="Verdana"/>
          <w:sz w:val="20"/>
          <w:szCs w:val="20"/>
        </w:rPr>
        <w:footnoteReference w:id="1"/>
      </w:r>
      <w:r w:rsidRPr="003535F7">
        <w:rPr>
          <w:rFonts w:ascii="Verdana" w:hAnsi="Verdana"/>
          <w:sz w:val="20"/>
          <w:szCs w:val="20"/>
        </w:rPr>
        <w:t xml:space="preserve"> constituye un</w:t>
      </w:r>
      <w:r w:rsidR="007D0089" w:rsidRPr="003535F7">
        <w:rPr>
          <w:rFonts w:ascii="Verdana" w:hAnsi="Verdana"/>
          <w:sz w:val="20"/>
          <w:szCs w:val="20"/>
        </w:rPr>
        <w:t xml:space="preserve"> importante</w:t>
      </w:r>
      <w:r w:rsidRPr="003535F7">
        <w:rPr>
          <w:rFonts w:ascii="Verdana" w:hAnsi="Verdana"/>
          <w:sz w:val="20"/>
          <w:szCs w:val="20"/>
        </w:rPr>
        <w:t xml:space="preserve"> aporte </w:t>
      </w:r>
      <w:r w:rsidR="009E76D0" w:rsidRPr="003535F7">
        <w:rPr>
          <w:rFonts w:ascii="Verdana" w:hAnsi="Verdana"/>
          <w:sz w:val="20"/>
          <w:szCs w:val="20"/>
        </w:rPr>
        <w:t>a</w:t>
      </w:r>
      <w:r w:rsidRPr="003535F7">
        <w:rPr>
          <w:rFonts w:ascii="Verdana" w:hAnsi="Verdana"/>
          <w:sz w:val="20"/>
          <w:szCs w:val="20"/>
        </w:rPr>
        <w:t xml:space="preserve"> la línea jurisprudencial en materia de derechos económicos, sociales</w:t>
      </w:r>
      <w:r w:rsidR="00637FA2">
        <w:rPr>
          <w:rFonts w:ascii="Verdana" w:hAnsi="Verdana"/>
          <w:sz w:val="20"/>
          <w:szCs w:val="20"/>
        </w:rPr>
        <w:t>,</w:t>
      </w:r>
      <w:r w:rsidRPr="003535F7">
        <w:rPr>
          <w:rFonts w:ascii="Verdana" w:hAnsi="Verdana"/>
          <w:sz w:val="20"/>
          <w:szCs w:val="20"/>
        </w:rPr>
        <w:t xml:space="preserve"> culturales y ambientales</w:t>
      </w:r>
      <w:r w:rsidR="003122F5" w:rsidRPr="003535F7">
        <w:rPr>
          <w:rFonts w:ascii="Verdana" w:hAnsi="Verdana"/>
          <w:sz w:val="20"/>
          <w:szCs w:val="20"/>
        </w:rPr>
        <w:t xml:space="preserve"> (en adelante “DESCA”)</w:t>
      </w:r>
      <w:r w:rsidRPr="003535F7">
        <w:rPr>
          <w:rFonts w:ascii="Verdana" w:hAnsi="Verdana"/>
          <w:sz w:val="20"/>
          <w:szCs w:val="20"/>
        </w:rPr>
        <w:t xml:space="preserve">. </w:t>
      </w:r>
      <w:r w:rsidR="009E76D0" w:rsidRPr="003535F7">
        <w:rPr>
          <w:rFonts w:ascii="Verdana" w:hAnsi="Verdana"/>
          <w:sz w:val="20"/>
          <w:szCs w:val="20"/>
        </w:rPr>
        <w:t>L</w:t>
      </w:r>
      <w:r w:rsidR="002800A2" w:rsidRPr="003535F7">
        <w:rPr>
          <w:rFonts w:ascii="Verdana" w:hAnsi="Verdana"/>
          <w:sz w:val="20"/>
          <w:szCs w:val="20"/>
        </w:rPr>
        <w:t>a</w:t>
      </w:r>
      <w:r w:rsidR="00344BAC" w:rsidRPr="003535F7">
        <w:rPr>
          <w:rFonts w:ascii="Verdana" w:hAnsi="Verdana"/>
          <w:sz w:val="20"/>
          <w:szCs w:val="20"/>
        </w:rPr>
        <w:t xml:space="preserve"> Sentencia</w:t>
      </w:r>
      <w:r w:rsidRPr="003535F7">
        <w:rPr>
          <w:rFonts w:ascii="Verdana" w:hAnsi="Verdana"/>
          <w:sz w:val="20"/>
          <w:szCs w:val="20"/>
        </w:rPr>
        <w:t xml:space="preserve"> se suma a</w:t>
      </w:r>
      <w:r w:rsidR="000D4AF7" w:rsidRPr="003535F7">
        <w:rPr>
          <w:rFonts w:ascii="Verdana" w:hAnsi="Verdana"/>
          <w:sz w:val="20"/>
          <w:szCs w:val="20"/>
        </w:rPr>
        <w:t xml:space="preserve"> la aproximación seguida por la </w:t>
      </w:r>
      <w:r w:rsidR="00285C15" w:rsidRPr="003535F7">
        <w:rPr>
          <w:rFonts w:ascii="Verdana" w:hAnsi="Verdana"/>
          <w:sz w:val="20"/>
          <w:szCs w:val="20"/>
        </w:rPr>
        <w:t xml:space="preserve">Corte Interamericana de Derechos Humanos (en adelante “la Corte” o “el Tribunal Interamericano”), </w:t>
      </w:r>
      <w:r w:rsidR="000D4AF7" w:rsidRPr="003535F7">
        <w:rPr>
          <w:rFonts w:ascii="Verdana" w:hAnsi="Verdana"/>
          <w:sz w:val="20"/>
          <w:szCs w:val="20"/>
        </w:rPr>
        <w:t xml:space="preserve">en </w:t>
      </w:r>
      <w:r w:rsidRPr="003535F7">
        <w:rPr>
          <w:rFonts w:ascii="Verdana" w:hAnsi="Verdana"/>
          <w:sz w:val="20"/>
          <w:szCs w:val="20"/>
        </w:rPr>
        <w:t>l</w:t>
      </w:r>
      <w:r w:rsidR="000D4AF7" w:rsidRPr="003535F7">
        <w:rPr>
          <w:rFonts w:ascii="Verdana" w:hAnsi="Verdana"/>
          <w:sz w:val="20"/>
          <w:szCs w:val="20"/>
        </w:rPr>
        <w:t>os casos de</w:t>
      </w:r>
      <w:r w:rsidR="00CD06B7" w:rsidRPr="003535F7">
        <w:rPr>
          <w:rFonts w:ascii="Verdana" w:hAnsi="Verdana"/>
          <w:sz w:val="20"/>
          <w:szCs w:val="20"/>
        </w:rPr>
        <w:t xml:space="preserve"> </w:t>
      </w:r>
      <w:r w:rsidR="0046549D">
        <w:rPr>
          <w:rFonts w:ascii="Verdana" w:hAnsi="Verdana"/>
          <w:i/>
          <w:sz w:val="20"/>
          <w:szCs w:val="20"/>
        </w:rPr>
        <w:t>Acevedo Buendía y otros (“Cesantes y Jubilados de la C</w:t>
      </w:r>
      <w:r w:rsidR="00CD06B7" w:rsidRPr="003535F7">
        <w:rPr>
          <w:rFonts w:ascii="Verdana" w:hAnsi="Verdana"/>
          <w:i/>
          <w:sz w:val="20"/>
          <w:szCs w:val="20"/>
        </w:rPr>
        <w:t>ontraloría) Vs. Perú</w:t>
      </w:r>
      <w:r w:rsidR="00285C15" w:rsidRPr="003535F7">
        <w:rPr>
          <w:rStyle w:val="FootnoteReference"/>
          <w:rFonts w:ascii="Verdana" w:hAnsi="Verdana"/>
          <w:sz w:val="20"/>
          <w:szCs w:val="20"/>
        </w:rPr>
        <w:footnoteReference w:id="2"/>
      </w:r>
      <w:r w:rsidR="000E04FF" w:rsidRPr="003535F7">
        <w:rPr>
          <w:rFonts w:ascii="Verdana" w:hAnsi="Verdana"/>
          <w:i/>
          <w:sz w:val="20"/>
          <w:szCs w:val="20"/>
        </w:rPr>
        <w:t>,</w:t>
      </w:r>
      <w:r w:rsidR="000D4AF7" w:rsidRPr="003535F7">
        <w:rPr>
          <w:rFonts w:ascii="Verdana" w:hAnsi="Verdana"/>
          <w:sz w:val="20"/>
          <w:szCs w:val="20"/>
        </w:rPr>
        <w:t xml:space="preserve"> </w:t>
      </w:r>
      <w:r w:rsidR="000D4AF7" w:rsidRPr="003535F7">
        <w:rPr>
          <w:rFonts w:ascii="Verdana" w:hAnsi="Verdana"/>
          <w:i/>
          <w:sz w:val="20"/>
          <w:szCs w:val="20"/>
        </w:rPr>
        <w:t>Lagos del Campo Vs. Perú</w:t>
      </w:r>
      <w:r w:rsidR="00285C15" w:rsidRPr="003535F7">
        <w:rPr>
          <w:rStyle w:val="FootnoteReference"/>
          <w:rFonts w:ascii="Verdana" w:hAnsi="Verdana"/>
          <w:sz w:val="20"/>
          <w:szCs w:val="20"/>
        </w:rPr>
        <w:footnoteReference w:id="3"/>
      </w:r>
      <w:r w:rsidR="000D4AF7" w:rsidRPr="003535F7">
        <w:rPr>
          <w:rFonts w:ascii="Verdana" w:hAnsi="Verdana"/>
          <w:i/>
          <w:sz w:val="20"/>
          <w:szCs w:val="20"/>
        </w:rPr>
        <w:t xml:space="preserve">, </w:t>
      </w:r>
      <w:r w:rsidR="0046549D">
        <w:rPr>
          <w:rFonts w:ascii="Verdana" w:hAnsi="Verdana"/>
          <w:i/>
          <w:sz w:val="20"/>
          <w:szCs w:val="20"/>
        </w:rPr>
        <w:t>Trabajadores C</w:t>
      </w:r>
      <w:r w:rsidR="000D4AF7" w:rsidRPr="003535F7">
        <w:rPr>
          <w:rFonts w:ascii="Verdana" w:hAnsi="Verdana"/>
          <w:i/>
          <w:sz w:val="20"/>
          <w:szCs w:val="20"/>
        </w:rPr>
        <w:t>esados de Petroperú y otros Vs. Perú</w:t>
      </w:r>
      <w:r w:rsidR="00285C15" w:rsidRPr="003535F7">
        <w:rPr>
          <w:rStyle w:val="FootnoteReference"/>
          <w:rFonts w:ascii="Verdana" w:hAnsi="Verdana"/>
          <w:sz w:val="20"/>
          <w:szCs w:val="20"/>
        </w:rPr>
        <w:footnoteReference w:id="4"/>
      </w:r>
      <w:r w:rsidR="000D4AF7" w:rsidRPr="003535F7">
        <w:rPr>
          <w:rFonts w:ascii="Verdana" w:hAnsi="Verdana"/>
          <w:i/>
          <w:sz w:val="20"/>
          <w:szCs w:val="20"/>
        </w:rPr>
        <w:t>, San Miguel Sosa Vs. Venezuela</w:t>
      </w:r>
      <w:r w:rsidR="00285C15" w:rsidRPr="003535F7">
        <w:rPr>
          <w:rStyle w:val="FootnoteReference"/>
          <w:rFonts w:ascii="Verdana" w:hAnsi="Verdana"/>
          <w:sz w:val="20"/>
          <w:szCs w:val="20"/>
        </w:rPr>
        <w:footnoteReference w:id="5"/>
      </w:r>
      <w:r w:rsidR="000D4AF7" w:rsidRPr="003535F7">
        <w:rPr>
          <w:rFonts w:ascii="Verdana" w:hAnsi="Verdana"/>
          <w:i/>
          <w:sz w:val="20"/>
          <w:szCs w:val="20"/>
        </w:rPr>
        <w:t xml:space="preserve">, </w:t>
      </w:r>
      <w:r w:rsidRPr="003535F7">
        <w:rPr>
          <w:rFonts w:ascii="Verdana" w:hAnsi="Verdana"/>
          <w:i/>
          <w:sz w:val="20"/>
          <w:szCs w:val="20"/>
        </w:rPr>
        <w:t>Poblete Vilches y otros</w:t>
      </w:r>
      <w:r w:rsidR="002800A2" w:rsidRPr="003535F7">
        <w:rPr>
          <w:rFonts w:ascii="Verdana" w:hAnsi="Verdana"/>
          <w:i/>
          <w:sz w:val="20"/>
          <w:szCs w:val="20"/>
        </w:rPr>
        <w:t xml:space="preserve"> Vs. Chile</w:t>
      </w:r>
      <w:r w:rsidR="00285C15" w:rsidRPr="003535F7">
        <w:rPr>
          <w:rStyle w:val="FootnoteReference"/>
          <w:rFonts w:ascii="Verdana" w:hAnsi="Verdana"/>
          <w:sz w:val="20"/>
          <w:szCs w:val="20"/>
        </w:rPr>
        <w:footnoteReference w:id="6"/>
      </w:r>
      <w:r w:rsidR="00285C15" w:rsidRPr="003535F7">
        <w:rPr>
          <w:rFonts w:ascii="Verdana" w:hAnsi="Verdana"/>
          <w:i/>
          <w:sz w:val="20"/>
          <w:szCs w:val="20"/>
        </w:rPr>
        <w:t>,</w:t>
      </w:r>
      <w:r w:rsidR="000D4AF7" w:rsidRPr="003535F7">
        <w:rPr>
          <w:rFonts w:ascii="Verdana" w:hAnsi="Verdana"/>
          <w:i/>
          <w:sz w:val="20"/>
          <w:szCs w:val="20"/>
        </w:rPr>
        <w:t xml:space="preserve"> </w:t>
      </w:r>
      <w:r w:rsidR="00285C15" w:rsidRPr="003535F7">
        <w:rPr>
          <w:rFonts w:ascii="Verdana" w:hAnsi="Verdana"/>
          <w:sz w:val="20"/>
          <w:szCs w:val="20"/>
        </w:rPr>
        <w:t xml:space="preserve">así como en la </w:t>
      </w:r>
      <w:r w:rsidR="00285C15" w:rsidRPr="003535F7">
        <w:rPr>
          <w:rFonts w:ascii="Verdana" w:hAnsi="Verdana"/>
          <w:i/>
          <w:sz w:val="20"/>
          <w:szCs w:val="20"/>
        </w:rPr>
        <w:t>OC-23/2017 sobre Medio Ambiente y Derechos Humanos</w:t>
      </w:r>
      <w:r w:rsidR="00285C15" w:rsidRPr="003535F7">
        <w:rPr>
          <w:rStyle w:val="FootnoteReference"/>
          <w:rFonts w:ascii="Verdana" w:hAnsi="Verdana"/>
          <w:sz w:val="20"/>
          <w:szCs w:val="20"/>
        </w:rPr>
        <w:footnoteReference w:id="7"/>
      </w:r>
      <w:r w:rsidR="00285C15" w:rsidRPr="003535F7">
        <w:rPr>
          <w:rFonts w:ascii="Verdana" w:hAnsi="Verdana"/>
          <w:sz w:val="20"/>
          <w:szCs w:val="20"/>
        </w:rPr>
        <w:t xml:space="preserve">, </w:t>
      </w:r>
      <w:r w:rsidR="000D4AF7" w:rsidRPr="003535F7">
        <w:rPr>
          <w:rFonts w:ascii="Verdana" w:hAnsi="Verdana"/>
          <w:sz w:val="20"/>
          <w:szCs w:val="20"/>
        </w:rPr>
        <w:t>en lo que respecta a la justiciabilidad directa de los DESCA</w:t>
      </w:r>
      <w:r w:rsidR="00285C15" w:rsidRPr="003535F7">
        <w:rPr>
          <w:rFonts w:ascii="Verdana" w:hAnsi="Verdana"/>
          <w:sz w:val="20"/>
          <w:szCs w:val="20"/>
        </w:rPr>
        <w:t xml:space="preserve"> y los alcances interpretativos del artículo 26</w:t>
      </w:r>
      <w:r w:rsidR="00422322" w:rsidRPr="003535F7">
        <w:rPr>
          <w:rFonts w:ascii="Verdana" w:hAnsi="Verdana"/>
          <w:sz w:val="20"/>
          <w:szCs w:val="20"/>
        </w:rPr>
        <w:t xml:space="preserve"> </w:t>
      </w:r>
      <w:r w:rsidR="00422322" w:rsidRPr="00F23919">
        <w:rPr>
          <w:rFonts w:ascii="Verdana" w:hAnsi="Verdana"/>
          <w:sz w:val="20"/>
          <w:szCs w:val="20"/>
        </w:rPr>
        <w:t>de la Convención Americana sobre Derechos Humanos (en adelante “Convención Americana”, “Con</w:t>
      </w:r>
      <w:r w:rsidR="003535F7" w:rsidRPr="00F23919">
        <w:rPr>
          <w:rFonts w:ascii="Verdana" w:hAnsi="Verdana"/>
          <w:sz w:val="20"/>
          <w:szCs w:val="20"/>
        </w:rPr>
        <w:t>vención” o “Pacto de San José”)</w:t>
      </w:r>
      <w:r w:rsidR="000D4AF7" w:rsidRPr="00F23919">
        <w:rPr>
          <w:rFonts w:ascii="Verdana" w:hAnsi="Verdana"/>
          <w:sz w:val="20"/>
          <w:szCs w:val="20"/>
        </w:rPr>
        <w:t>.</w:t>
      </w:r>
    </w:p>
    <w:p w14:paraId="69C4859B" w14:textId="77777777" w:rsidR="00285C15" w:rsidRPr="003535F7" w:rsidRDefault="00285C15" w:rsidP="006174F1">
      <w:pPr>
        <w:pStyle w:val="ListParagraph"/>
        <w:ind w:left="0"/>
        <w:jc w:val="both"/>
        <w:rPr>
          <w:rFonts w:ascii="Verdana" w:hAnsi="Verdana"/>
          <w:b/>
          <w:sz w:val="20"/>
          <w:szCs w:val="20"/>
        </w:rPr>
      </w:pPr>
    </w:p>
    <w:p w14:paraId="2527E537" w14:textId="567D2245" w:rsidR="00344BAC" w:rsidRPr="00285C15" w:rsidRDefault="000D4AF7" w:rsidP="006174F1">
      <w:pPr>
        <w:pStyle w:val="ListParagraph"/>
        <w:numPr>
          <w:ilvl w:val="0"/>
          <w:numId w:val="1"/>
        </w:numPr>
        <w:ind w:left="0" w:firstLine="0"/>
        <w:jc w:val="both"/>
        <w:rPr>
          <w:rFonts w:ascii="Verdana" w:hAnsi="Verdana"/>
          <w:b/>
          <w:sz w:val="20"/>
          <w:szCs w:val="20"/>
        </w:rPr>
      </w:pPr>
      <w:r w:rsidRPr="003535F7">
        <w:rPr>
          <w:rFonts w:ascii="Verdana" w:hAnsi="Verdana"/>
          <w:sz w:val="20"/>
          <w:szCs w:val="20"/>
        </w:rPr>
        <w:t xml:space="preserve"> </w:t>
      </w:r>
      <w:r w:rsidR="001F7596" w:rsidRPr="003535F7">
        <w:rPr>
          <w:rFonts w:ascii="Verdana" w:hAnsi="Verdana"/>
          <w:sz w:val="20"/>
          <w:szCs w:val="20"/>
        </w:rPr>
        <w:t>La Sentencia reafirma</w:t>
      </w:r>
      <w:r w:rsidR="00344BAC" w:rsidRPr="003535F7">
        <w:rPr>
          <w:rFonts w:ascii="Verdana" w:hAnsi="Verdana"/>
          <w:sz w:val="20"/>
          <w:szCs w:val="20"/>
        </w:rPr>
        <w:t xml:space="preserve"> que de las normas económicas, sociales y sobre educaci</w:t>
      </w:r>
      <w:r w:rsidR="00344BAC" w:rsidRPr="00285C15">
        <w:rPr>
          <w:rFonts w:ascii="Verdana" w:hAnsi="Verdana"/>
          <w:sz w:val="20"/>
          <w:szCs w:val="20"/>
        </w:rPr>
        <w:t xml:space="preserve">ón, ciencia y cultura contenidas en la Carta de la </w:t>
      </w:r>
      <w:r w:rsidR="0046549D">
        <w:rPr>
          <w:rFonts w:ascii="Verdana" w:hAnsi="Verdana"/>
          <w:sz w:val="20"/>
          <w:szCs w:val="20"/>
        </w:rPr>
        <w:t>Organización de Estados Americanos (en adelante “Carta de la OEA”)</w:t>
      </w:r>
      <w:r w:rsidR="00344BAC" w:rsidRPr="00285C15">
        <w:rPr>
          <w:rFonts w:ascii="Verdana" w:hAnsi="Verdana"/>
          <w:sz w:val="20"/>
          <w:szCs w:val="20"/>
        </w:rPr>
        <w:t xml:space="preserve"> se deriva el derecho a la salud</w:t>
      </w:r>
      <w:r w:rsidR="002800A2" w:rsidRPr="00285C15">
        <w:rPr>
          <w:rFonts w:ascii="Verdana" w:hAnsi="Verdana"/>
          <w:sz w:val="20"/>
          <w:szCs w:val="20"/>
        </w:rPr>
        <w:t xml:space="preserve">, y que en virtud del artículo 26 </w:t>
      </w:r>
      <w:r w:rsidR="002800A2" w:rsidRPr="00F23919">
        <w:rPr>
          <w:rFonts w:ascii="Verdana" w:hAnsi="Verdana"/>
          <w:sz w:val="20"/>
          <w:szCs w:val="20"/>
        </w:rPr>
        <w:t>de la Convención Americana</w:t>
      </w:r>
      <w:r w:rsidR="002800A2" w:rsidRPr="00285C15">
        <w:rPr>
          <w:rFonts w:ascii="Verdana" w:hAnsi="Verdana"/>
          <w:sz w:val="20"/>
          <w:szCs w:val="20"/>
        </w:rPr>
        <w:t xml:space="preserve"> </w:t>
      </w:r>
      <w:r w:rsidR="00285C15" w:rsidRPr="00285C15">
        <w:rPr>
          <w:rFonts w:ascii="Verdana" w:hAnsi="Verdana"/>
          <w:sz w:val="20"/>
          <w:szCs w:val="20"/>
        </w:rPr>
        <w:t>e</w:t>
      </w:r>
      <w:r w:rsidR="002800A2" w:rsidRPr="00285C15">
        <w:rPr>
          <w:rFonts w:ascii="Verdana" w:hAnsi="Verdana"/>
          <w:sz w:val="20"/>
          <w:szCs w:val="20"/>
        </w:rPr>
        <w:t>ste derecho es justiciable de manera autónoma ante la Corte Interamericana de Derechos Humanos (en adelante “la Corte”</w:t>
      </w:r>
      <w:r w:rsidR="002160BB">
        <w:rPr>
          <w:rFonts w:ascii="Verdana" w:hAnsi="Verdana"/>
          <w:sz w:val="20"/>
          <w:szCs w:val="20"/>
        </w:rPr>
        <w:t xml:space="preserve">, </w:t>
      </w:r>
      <w:r w:rsidR="002160BB" w:rsidRPr="00F23919">
        <w:rPr>
          <w:rFonts w:ascii="Verdana" w:hAnsi="Verdana"/>
          <w:sz w:val="20"/>
          <w:szCs w:val="20"/>
        </w:rPr>
        <w:t>“Corte Interamericana”</w:t>
      </w:r>
      <w:r w:rsidR="004322C8">
        <w:rPr>
          <w:rFonts w:ascii="Verdana" w:hAnsi="Verdana"/>
          <w:sz w:val="20"/>
          <w:szCs w:val="20"/>
        </w:rPr>
        <w:t xml:space="preserve"> o “</w:t>
      </w:r>
      <w:r w:rsidR="00CA4BD2">
        <w:rPr>
          <w:rFonts w:ascii="Verdana" w:hAnsi="Verdana"/>
          <w:sz w:val="20"/>
          <w:szCs w:val="20"/>
        </w:rPr>
        <w:t xml:space="preserve">el </w:t>
      </w:r>
      <w:r w:rsidR="00CA4BD2">
        <w:rPr>
          <w:rFonts w:ascii="Verdana" w:hAnsi="Verdana"/>
          <w:sz w:val="20"/>
          <w:szCs w:val="20"/>
        </w:rPr>
        <w:lastRenderedPageBreak/>
        <w:t>Tribunal Interamericano”</w:t>
      </w:r>
      <w:r w:rsidR="002800A2" w:rsidRPr="00285C15">
        <w:rPr>
          <w:rFonts w:ascii="Verdana" w:hAnsi="Verdana"/>
          <w:sz w:val="20"/>
          <w:szCs w:val="20"/>
        </w:rPr>
        <w:t>)</w:t>
      </w:r>
      <w:r w:rsidR="00623DB9">
        <w:rPr>
          <w:rStyle w:val="FootnoteReference"/>
          <w:rFonts w:ascii="Verdana" w:hAnsi="Verdana"/>
          <w:sz w:val="20"/>
          <w:szCs w:val="20"/>
        </w:rPr>
        <w:footnoteReference w:id="8"/>
      </w:r>
      <w:r w:rsidR="002800A2" w:rsidRPr="00285C15">
        <w:rPr>
          <w:rFonts w:ascii="Verdana" w:hAnsi="Verdana"/>
          <w:sz w:val="20"/>
          <w:szCs w:val="20"/>
        </w:rPr>
        <w:t xml:space="preserve">. </w:t>
      </w:r>
      <w:r w:rsidR="001F7596" w:rsidRPr="00285C15">
        <w:rPr>
          <w:rFonts w:ascii="Verdana" w:hAnsi="Verdana"/>
          <w:sz w:val="20"/>
          <w:szCs w:val="20"/>
        </w:rPr>
        <w:t>También retoma y desarrolla</w:t>
      </w:r>
      <w:r w:rsidR="002800A2" w:rsidRPr="00285C15">
        <w:rPr>
          <w:rFonts w:ascii="Verdana" w:hAnsi="Verdana"/>
          <w:sz w:val="20"/>
          <w:szCs w:val="20"/>
        </w:rPr>
        <w:t xml:space="preserve"> </w:t>
      </w:r>
      <w:r w:rsidR="007D0089" w:rsidRPr="00285C15">
        <w:rPr>
          <w:rFonts w:ascii="Verdana" w:hAnsi="Verdana"/>
          <w:sz w:val="20"/>
          <w:szCs w:val="20"/>
        </w:rPr>
        <w:t>una importante distinción</w:t>
      </w:r>
      <w:r w:rsidR="00E86C27" w:rsidRPr="00285C15">
        <w:rPr>
          <w:rFonts w:ascii="Verdana" w:hAnsi="Verdana"/>
          <w:sz w:val="20"/>
          <w:szCs w:val="20"/>
        </w:rPr>
        <w:t xml:space="preserve"> que es igualmente relevante para</w:t>
      </w:r>
      <w:r w:rsidR="00B965B1" w:rsidRPr="00285C15">
        <w:rPr>
          <w:rFonts w:ascii="Verdana" w:hAnsi="Verdana"/>
          <w:sz w:val="20"/>
          <w:szCs w:val="20"/>
        </w:rPr>
        <w:t xml:space="preserve"> el fondo de la Sentencia y para</w:t>
      </w:r>
      <w:r w:rsidR="00E86C27" w:rsidRPr="00285C15">
        <w:rPr>
          <w:rFonts w:ascii="Verdana" w:hAnsi="Verdana"/>
          <w:sz w:val="20"/>
          <w:szCs w:val="20"/>
        </w:rPr>
        <w:t xml:space="preserve"> </w:t>
      </w:r>
      <w:r w:rsidR="001F7596" w:rsidRPr="00285C15">
        <w:rPr>
          <w:rFonts w:ascii="Verdana" w:hAnsi="Verdana"/>
          <w:sz w:val="20"/>
          <w:szCs w:val="20"/>
        </w:rPr>
        <w:t>los futuros análisis en la materia</w:t>
      </w:r>
      <w:r w:rsidR="007D0089" w:rsidRPr="00285C15">
        <w:rPr>
          <w:rFonts w:ascii="Verdana" w:hAnsi="Verdana"/>
          <w:sz w:val="20"/>
          <w:szCs w:val="20"/>
        </w:rPr>
        <w:t>: que algunos aspectos del derecho a la salud son de exigibilidad inmediata</w:t>
      </w:r>
      <w:r w:rsidR="00EB595E">
        <w:rPr>
          <w:rFonts w:ascii="Verdana" w:hAnsi="Verdana"/>
          <w:sz w:val="20"/>
          <w:szCs w:val="20"/>
        </w:rPr>
        <w:t xml:space="preserve"> (</w:t>
      </w:r>
      <w:r w:rsidR="00CA4BD2">
        <w:rPr>
          <w:rFonts w:ascii="Verdana" w:hAnsi="Verdana"/>
          <w:sz w:val="20"/>
          <w:szCs w:val="20"/>
        </w:rPr>
        <w:t>como por ejemplo la no discriminación</w:t>
      </w:r>
      <w:r w:rsidR="001A7F48" w:rsidRPr="00285C15">
        <w:rPr>
          <w:rFonts w:ascii="Verdana" w:hAnsi="Verdana"/>
          <w:sz w:val="20"/>
          <w:szCs w:val="20"/>
        </w:rPr>
        <w:t>)</w:t>
      </w:r>
      <w:r w:rsidR="002800A2" w:rsidRPr="00285C15">
        <w:rPr>
          <w:rFonts w:ascii="Verdana" w:hAnsi="Verdana"/>
          <w:sz w:val="20"/>
          <w:szCs w:val="20"/>
        </w:rPr>
        <w:t>, y</w:t>
      </w:r>
      <w:r w:rsidR="001F7596" w:rsidRPr="00285C15">
        <w:rPr>
          <w:rFonts w:ascii="Verdana" w:hAnsi="Verdana"/>
          <w:sz w:val="20"/>
          <w:szCs w:val="20"/>
        </w:rPr>
        <w:t xml:space="preserve"> que</w:t>
      </w:r>
      <w:r w:rsidR="002800A2" w:rsidRPr="00285C15">
        <w:rPr>
          <w:rFonts w:ascii="Verdana" w:hAnsi="Verdana"/>
          <w:sz w:val="20"/>
          <w:szCs w:val="20"/>
        </w:rPr>
        <w:t xml:space="preserve"> </w:t>
      </w:r>
      <w:r w:rsidR="007D0089" w:rsidRPr="00285C15">
        <w:rPr>
          <w:rFonts w:ascii="Verdana" w:hAnsi="Verdana"/>
          <w:sz w:val="20"/>
          <w:szCs w:val="20"/>
        </w:rPr>
        <w:t>otros</w:t>
      </w:r>
      <w:r w:rsidR="002800A2" w:rsidRPr="00285C15">
        <w:rPr>
          <w:rFonts w:ascii="Verdana" w:hAnsi="Verdana"/>
          <w:sz w:val="20"/>
          <w:szCs w:val="20"/>
        </w:rPr>
        <w:t xml:space="preserve"> tienen un carácter programático</w:t>
      </w:r>
      <w:r w:rsidR="001A7F48" w:rsidRPr="00285C15">
        <w:rPr>
          <w:rFonts w:ascii="Verdana" w:hAnsi="Verdana"/>
          <w:sz w:val="20"/>
          <w:szCs w:val="20"/>
        </w:rPr>
        <w:t xml:space="preserve"> (que implica la obligación estatal de avanzar en la protección general de ese derecho)</w:t>
      </w:r>
      <w:r w:rsidR="002800A2" w:rsidRPr="00285C15">
        <w:rPr>
          <w:rFonts w:ascii="Verdana" w:hAnsi="Verdana"/>
          <w:sz w:val="20"/>
          <w:szCs w:val="20"/>
        </w:rPr>
        <w:t>.</w:t>
      </w:r>
    </w:p>
    <w:p w14:paraId="0922F156" w14:textId="77777777" w:rsidR="00344BAC" w:rsidRPr="00344BAC" w:rsidRDefault="00344BAC" w:rsidP="006174F1">
      <w:pPr>
        <w:pStyle w:val="ListParagraph"/>
        <w:ind w:left="0"/>
        <w:jc w:val="both"/>
        <w:rPr>
          <w:rFonts w:ascii="Verdana" w:hAnsi="Verdana"/>
          <w:b/>
          <w:sz w:val="20"/>
          <w:szCs w:val="20"/>
        </w:rPr>
      </w:pPr>
    </w:p>
    <w:p w14:paraId="15405684" w14:textId="07AE71E2" w:rsidR="001B626D" w:rsidRDefault="001F7596" w:rsidP="006174F1">
      <w:pPr>
        <w:pStyle w:val="ListParagraph"/>
        <w:numPr>
          <w:ilvl w:val="0"/>
          <w:numId w:val="1"/>
        </w:numPr>
        <w:ind w:left="0" w:firstLine="0"/>
        <w:jc w:val="both"/>
        <w:rPr>
          <w:rFonts w:ascii="Verdana" w:hAnsi="Verdana"/>
          <w:sz w:val="20"/>
          <w:szCs w:val="20"/>
        </w:rPr>
      </w:pPr>
      <w:r w:rsidRPr="00285C15">
        <w:rPr>
          <w:rFonts w:ascii="Verdana" w:hAnsi="Verdana"/>
          <w:sz w:val="20"/>
          <w:szCs w:val="20"/>
        </w:rPr>
        <w:t>En</w:t>
      </w:r>
      <w:r w:rsidR="00344BAC" w:rsidRPr="00285C15">
        <w:rPr>
          <w:rFonts w:ascii="Verdana" w:hAnsi="Verdana"/>
          <w:sz w:val="20"/>
          <w:szCs w:val="20"/>
        </w:rPr>
        <w:t xml:space="preserve"> </w:t>
      </w:r>
      <w:r w:rsidR="000D4AF7" w:rsidRPr="00285C15">
        <w:rPr>
          <w:rFonts w:ascii="Verdana" w:hAnsi="Verdana"/>
          <w:i/>
          <w:sz w:val="20"/>
          <w:szCs w:val="20"/>
        </w:rPr>
        <w:t>Cuscul Pivaral</w:t>
      </w:r>
      <w:r w:rsidR="007D0089" w:rsidRPr="00285C15">
        <w:rPr>
          <w:rFonts w:ascii="Verdana" w:hAnsi="Verdana"/>
          <w:sz w:val="20"/>
          <w:szCs w:val="20"/>
        </w:rPr>
        <w:t xml:space="preserve"> </w:t>
      </w:r>
      <w:r w:rsidR="00285C15" w:rsidRPr="00285C15">
        <w:rPr>
          <w:rFonts w:ascii="Verdana" w:hAnsi="Verdana"/>
          <w:sz w:val="20"/>
          <w:szCs w:val="20"/>
        </w:rPr>
        <w:t xml:space="preserve">se </w:t>
      </w:r>
      <w:r w:rsidR="00422322" w:rsidRPr="00F23919">
        <w:rPr>
          <w:rFonts w:ascii="Verdana" w:hAnsi="Verdana"/>
          <w:sz w:val="20"/>
          <w:szCs w:val="20"/>
        </w:rPr>
        <w:t>reiteraron</w:t>
      </w:r>
      <w:r w:rsidR="00422322" w:rsidRPr="00285C15">
        <w:rPr>
          <w:rFonts w:ascii="Verdana" w:hAnsi="Verdana"/>
          <w:sz w:val="20"/>
          <w:szCs w:val="20"/>
        </w:rPr>
        <w:t xml:space="preserve"> </w:t>
      </w:r>
      <w:r w:rsidR="003122F5" w:rsidRPr="00285C15">
        <w:rPr>
          <w:rFonts w:ascii="Verdana" w:hAnsi="Verdana"/>
          <w:sz w:val="20"/>
          <w:szCs w:val="20"/>
        </w:rPr>
        <w:t xml:space="preserve">los avances que han existido en la jurisprudencia de la Corte </w:t>
      </w:r>
      <w:r w:rsidR="0046549D">
        <w:rPr>
          <w:rFonts w:ascii="Verdana" w:hAnsi="Verdana"/>
          <w:sz w:val="20"/>
          <w:szCs w:val="20"/>
        </w:rPr>
        <w:t>Interamericana</w:t>
      </w:r>
      <w:r w:rsidR="00285C15" w:rsidRPr="00285C15">
        <w:rPr>
          <w:rFonts w:ascii="Verdana" w:hAnsi="Verdana"/>
          <w:sz w:val="20"/>
          <w:szCs w:val="20"/>
        </w:rPr>
        <w:t xml:space="preserve"> </w:t>
      </w:r>
      <w:r w:rsidR="003122F5" w:rsidRPr="00285C15">
        <w:rPr>
          <w:rFonts w:ascii="Verdana" w:hAnsi="Verdana"/>
          <w:sz w:val="20"/>
          <w:szCs w:val="20"/>
        </w:rPr>
        <w:t>en materia de</w:t>
      </w:r>
      <w:r w:rsidR="00195EB2" w:rsidRPr="00285C15">
        <w:rPr>
          <w:rFonts w:ascii="Verdana" w:hAnsi="Verdana"/>
          <w:sz w:val="20"/>
          <w:szCs w:val="20"/>
        </w:rPr>
        <w:t xml:space="preserve"> DESCA y de</w:t>
      </w:r>
      <w:r w:rsidR="003122F5" w:rsidRPr="00285C15">
        <w:rPr>
          <w:rFonts w:ascii="Verdana" w:hAnsi="Verdana"/>
          <w:sz w:val="20"/>
          <w:szCs w:val="20"/>
        </w:rPr>
        <w:t xml:space="preserve"> protección al derecho a la salud</w:t>
      </w:r>
      <w:r w:rsidR="003122F5">
        <w:rPr>
          <w:rStyle w:val="FootnoteReference"/>
          <w:rFonts w:ascii="Verdana" w:hAnsi="Verdana"/>
          <w:sz w:val="20"/>
          <w:szCs w:val="20"/>
        </w:rPr>
        <w:footnoteReference w:id="9"/>
      </w:r>
      <w:r w:rsidR="009E76D0" w:rsidRPr="00285C15">
        <w:rPr>
          <w:rFonts w:ascii="Verdana" w:hAnsi="Verdana"/>
          <w:sz w:val="20"/>
          <w:szCs w:val="20"/>
        </w:rPr>
        <w:t xml:space="preserve">, </w:t>
      </w:r>
      <w:r w:rsidR="00285C15" w:rsidRPr="00285C15">
        <w:rPr>
          <w:rFonts w:ascii="Verdana" w:hAnsi="Verdana"/>
          <w:sz w:val="20"/>
          <w:szCs w:val="20"/>
        </w:rPr>
        <w:t>introduciendo</w:t>
      </w:r>
      <w:r w:rsidR="009E76D0" w:rsidRPr="00285C15">
        <w:rPr>
          <w:rFonts w:ascii="Verdana" w:hAnsi="Verdana"/>
          <w:sz w:val="20"/>
          <w:szCs w:val="20"/>
        </w:rPr>
        <w:t xml:space="preserve"> importantes consideraciones que </w:t>
      </w:r>
      <w:r w:rsidR="00557D0D" w:rsidRPr="00285C15">
        <w:rPr>
          <w:rFonts w:ascii="Verdana" w:hAnsi="Verdana"/>
          <w:sz w:val="20"/>
          <w:szCs w:val="20"/>
        </w:rPr>
        <w:t>son</w:t>
      </w:r>
      <w:r w:rsidR="003122F5" w:rsidRPr="00285C15">
        <w:rPr>
          <w:rFonts w:ascii="Verdana" w:hAnsi="Verdana"/>
          <w:sz w:val="20"/>
          <w:szCs w:val="20"/>
        </w:rPr>
        <w:t xml:space="preserve"> </w:t>
      </w:r>
      <w:r w:rsidR="005F246D" w:rsidRPr="00285C15">
        <w:rPr>
          <w:rFonts w:ascii="Verdana" w:hAnsi="Verdana"/>
          <w:sz w:val="20"/>
          <w:szCs w:val="20"/>
        </w:rPr>
        <w:t>relevante</w:t>
      </w:r>
      <w:r w:rsidR="00557D0D" w:rsidRPr="00285C15">
        <w:rPr>
          <w:rFonts w:ascii="Verdana" w:hAnsi="Verdana"/>
          <w:sz w:val="20"/>
          <w:szCs w:val="20"/>
        </w:rPr>
        <w:t>s</w:t>
      </w:r>
      <w:r w:rsidR="009E76D0" w:rsidRPr="00285C15">
        <w:rPr>
          <w:rFonts w:ascii="Verdana" w:hAnsi="Verdana"/>
          <w:sz w:val="20"/>
          <w:szCs w:val="20"/>
        </w:rPr>
        <w:t xml:space="preserve"> destacar. La </w:t>
      </w:r>
      <w:r w:rsidR="009E76D0" w:rsidRPr="00F23919">
        <w:rPr>
          <w:rFonts w:ascii="Verdana" w:hAnsi="Verdana"/>
          <w:sz w:val="20"/>
          <w:szCs w:val="20"/>
        </w:rPr>
        <w:t>primera</w:t>
      </w:r>
      <w:r w:rsidR="009E76D0" w:rsidRPr="00285C15">
        <w:rPr>
          <w:rFonts w:ascii="Verdana" w:hAnsi="Verdana"/>
          <w:sz w:val="20"/>
          <w:szCs w:val="20"/>
        </w:rPr>
        <w:t xml:space="preserve"> </w:t>
      </w:r>
      <w:r w:rsidR="003122F5" w:rsidRPr="00285C15">
        <w:rPr>
          <w:rFonts w:ascii="Verdana" w:hAnsi="Verdana"/>
          <w:sz w:val="20"/>
          <w:szCs w:val="20"/>
        </w:rPr>
        <w:t>de ellas es que la Sentencia ahonda en las razones que justifican la justiciabilidad directa de los DESCA en general</w:t>
      </w:r>
      <w:r w:rsidR="00285C15">
        <w:rPr>
          <w:rStyle w:val="FootnoteReference"/>
          <w:rFonts w:ascii="Verdana" w:hAnsi="Verdana"/>
          <w:sz w:val="20"/>
          <w:szCs w:val="20"/>
        </w:rPr>
        <w:footnoteReference w:id="10"/>
      </w:r>
      <w:r w:rsidR="003122F5" w:rsidRPr="00285C15">
        <w:rPr>
          <w:rFonts w:ascii="Verdana" w:hAnsi="Verdana"/>
          <w:sz w:val="20"/>
          <w:szCs w:val="20"/>
        </w:rPr>
        <w:t>, y del derecho a la salud en particular</w:t>
      </w:r>
      <w:r w:rsidR="00285C15">
        <w:rPr>
          <w:rStyle w:val="FootnoteReference"/>
          <w:rFonts w:ascii="Verdana" w:hAnsi="Verdana"/>
          <w:sz w:val="20"/>
          <w:szCs w:val="20"/>
        </w:rPr>
        <w:footnoteReference w:id="11"/>
      </w:r>
      <w:r w:rsidR="003122F5" w:rsidRPr="00285C15">
        <w:rPr>
          <w:rFonts w:ascii="Verdana" w:hAnsi="Verdana"/>
          <w:sz w:val="20"/>
          <w:szCs w:val="20"/>
        </w:rPr>
        <w:t xml:space="preserve">. La </w:t>
      </w:r>
      <w:r w:rsidR="003122F5" w:rsidRPr="00F23919">
        <w:rPr>
          <w:rFonts w:ascii="Verdana" w:hAnsi="Verdana"/>
          <w:sz w:val="20"/>
          <w:szCs w:val="20"/>
        </w:rPr>
        <w:t>segunda</w:t>
      </w:r>
      <w:r w:rsidR="003122F5" w:rsidRPr="00285C15">
        <w:rPr>
          <w:rFonts w:ascii="Verdana" w:hAnsi="Verdana"/>
          <w:sz w:val="20"/>
          <w:szCs w:val="20"/>
        </w:rPr>
        <w:t xml:space="preserve"> es que desarrolla los estándares de derecho a la salud aplicables a personas que viven con</w:t>
      </w:r>
      <w:r w:rsidR="00C41C89">
        <w:rPr>
          <w:rFonts w:ascii="Verdana" w:hAnsi="Verdana"/>
          <w:sz w:val="20"/>
          <w:szCs w:val="20"/>
        </w:rPr>
        <w:t xml:space="preserve"> </w:t>
      </w:r>
      <w:r w:rsidR="00C41C89" w:rsidRPr="00F23919">
        <w:rPr>
          <w:rFonts w:ascii="Verdana" w:hAnsi="Verdana"/>
          <w:sz w:val="20"/>
          <w:szCs w:val="20"/>
        </w:rPr>
        <w:t>el</w:t>
      </w:r>
      <w:r w:rsidR="003122F5" w:rsidRPr="00F23919">
        <w:rPr>
          <w:rFonts w:ascii="Verdana" w:hAnsi="Verdana"/>
          <w:sz w:val="20"/>
          <w:szCs w:val="20"/>
        </w:rPr>
        <w:t xml:space="preserve"> VIH</w:t>
      </w:r>
      <w:r w:rsidR="00285C15">
        <w:rPr>
          <w:rStyle w:val="FootnoteReference"/>
          <w:rFonts w:ascii="Verdana" w:hAnsi="Verdana"/>
          <w:sz w:val="20"/>
          <w:szCs w:val="20"/>
        </w:rPr>
        <w:footnoteReference w:id="12"/>
      </w:r>
      <w:r w:rsidR="00557D0D" w:rsidRPr="00285C15">
        <w:rPr>
          <w:rFonts w:ascii="Verdana" w:hAnsi="Verdana"/>
          <w:sz w:val="20"/>
          <w:szCs w:val="20"/>
        </w:rPr>
        <w:t xml:space="preserve">, </w:t>
      </w:r>
      <w:r w:rsidR="00E86C27" w:rsidRPr="00285C15">
        <w:rPr>
          <w:rFonts w:ascii="Verdana" w:hAnsi="Verdana"/>
          <w:sz w:val="20"/>
          <w:szCs w:val="20"/>
        </w:rPr>
        <w:t>ampliando</w:t>
      </w:r>
      <w:r w:rsidR="00557D0D" w:rsidRPr="00285C15">
        <w:rPr>
          <w:rFonts w:ascii="Verdana" w:hAnsi="Verdana"/>
          <w:sz w:val="20"/>
          <w:szCs w:val="20"/>
        </w:rPr>
        <w:t xml:space="preserve"> de esta forma lo ya dicho en los casos de </w:t>
      </w:r>
      <w:r w:rsidR="00557D0D" w:rsidRPr="00285C15">
        <w:rPr>
          <w:rFonts w:ascii="Verdana" w:hAnsi="Verdana"/>
          <w:i/>
          <w:sz w:val="20"/>
          <w:szCs w:val="20"/>
        </w:rPr>
        <w:t>Gonzáles Lluy Vs. Ecuador</w:t>
      </w:r>
      <w:r w:rsidR="00285C15" w:rsidRPr="00285C15">
        <w:rPr>
          <w:rStyle w:val="FootnoteReference"/>
          <w:rFonts w:ascii="Verdana" w:hAnsi="Verdana"/>
          <w:sz w:val="20"/>
          <w:szCs w:val="20"/>
        </w:rPr>
        <w:footnoteReference w:id="13"/>
      </w:r>
      <w:r w:rsidR="00557D0D" w:rsidRPr="00285C15">
        <w:rPr>
          <w:rFonts w:ascii="Verdana" w:hAnsi="Verdana"/>
          <w:i/>
          <w:sz w:val="20"/>
          <w:szCs w:val="20"/>
        </w:rPr>
        <w:t xml:space="preserve"> </w:t>
      </w:r>
      <w:r w:rsidR="00557D0D" w:rsidRPr="00285C15">
        <w:rPr>
          <w:rFonts w:ascii="Verdana" w:hAnsi="Verdana"/>
          <w:sz w:val="20"/>
          <w:szCs w:val="20"/>
        </w:rPr>
        <w:t xml:space="preserve">y </w:t>
      </w:r>
      <w:r w:rsidR="00557D0D" w:rsidRPr="00285C15">
        <w:rPr>
          <w:rFonts w:ascii="Verdana" w:hAnsi="Verdana"/>
          <w:i/>
          <w:sz w:val="20"/>
          <w:szCs w:val="20"/>
        </w:rPr>
        <w:t>Duque Vs. Colombia</w:t>
      </w:r>
      <w:r w:rsidR="00285C15" w:rsidRPr="00285C15">
        <w:rPr>
          <w:rStyle w:val="FootnoteReference"/>
          <w:rFonts w:ascii="Verdana" w:hAnsi="Verdana"/>
          <w:sz w:val="20"/>
          <w:szCs w:val="20"/>
        </w:rPr>
        <w:footnoteReference w:id="14"/>
      </w:r>
      <w:r w:rsidR="003122F5" w:rsidRPr="00285C15">
        <w:rPr>
          <w:rFonts w:ascii="Verdana" w:hAnsi="Verdana"/>
          <w:i/>
          <w:sz w:val="20"/>
          <w:szCs w:val="20"/>
        </w:rPr>
        <w:t>.</w:t>
      </w:r>
      <w:r w:rsidR="003122F5" w:rsidRPr="00285C15">
        <w:rPr>
          <w:rFonts w:ascii="Verdana" w:hAnsi="Verdana"/>
          <w:sz w:val="20"/>
          <w:szCs w:val="20"/>
        </w:rPr>
        <w:t xml:space="preserve"> </w:t>
      </w:r>
      <w:r w:rsidR="00557D0D" w:rsidRPr="00285C15">
        <w:rPr>
          <w:rFonts w:ascii="Verdana" w:hAnsi="Verdana"/>
          <w:sz w:val="20"/>
          <w:szCs w:val="20"/>
        </w:rPr>
        <w:t xml:space="preserve">La </w:t>
      </w:r>
      <w:r w:rsidR="00557D0D" w:rsidRPr="00F23919">
        <w:rPr>
          <w:rFonts w:ascii="Verdana" w:hAnsi="Verdana"/>
          <w:sz w:val="20"/>
          <w:szCs w:val="20"/>
        </w:rPr>
        <w:t>tercera</w:t>
      </w:r>
      <w:r w:rsidR="00557D0D" w:rsidRPr="00285C15">
        <w:rPr>
          <w:rFonts w:ascii="Verdana" w:hAnsi="Verdana"/>
          <w:sz w:val="20"/>
          <w:szCs w:val="20"/>
        </w:rPr>
        <w:t xml:space="preserve"> es que</w:t>
      </w:r>
      <w:r w:rsidR="003122F5" w:rsidRPr="00285C15">
        <w:rPr>
          <w:rFonts w:ascii="Verdana" w:hAnsi="Verdana"/>
          <w:sz w:val="20"/>
          <w:szCs w:val="20"/>
        </w:rPr>
        <w:t xml:space="preserve"> analiza los alc</w:t>
      </w:r>
      <w:r w:rsidR="007D0089" w:rsidRPr="00285C15">
        <w:rPr>
          <w:rFonts w:ascii="Verdana" w:hAnsi="Verdana"/>
          <w:sz w:val="20"/>
          <w:szCs w:val="20"/>
        </w:rPr>
        <w:t xml:space="preserve">ances de la prohibición de discriminación en relación con grupos que se encuentran en mayor riesgo de ser discriminados, como son las mujeres embarazadas </w:t>
      </w:r>
      <w:r w:rsidR="00557D0D" w:rsidRPr="00285C15">
        <w:rPr>
          <w:rFonts w:ascii="Verdana" w:hAnsi="Verdana"/>
          <w:sz w:val="20"/>
          <w:szCs w:val="20"/>
        </w:rPr>
        <w:t xml:space="preserve">que viven con </w:t>
      </w:r>
      <w:r w:rsidR="00C41C89" w:rsidRPr="00F23919">
        <w:rPr>
          <w:rFonts w:ascii="Verdana" w:hAnsi="Verdana"/>
          <w:sz w:val="20"/>
          <w:szCs w:val="20"/>
        </w:rPr>
        <w:t>el</w:t>
      </w:r>
      <w:r w:rsidR="00C41C89">
        <w:rPr>
          <w:rFonts w:ascii="Verdana" w:hAnsi="Verdana"/>
          <w:sz w:val="20"/>
          <w:szCs w:val="20"/>
        </w:rPr>
        <w:t xml:space="preserve"> </w:t>
      </w:r>
      <w:r w:rsidR="00557D0D" w:rsidRPr="00285C15">
        <w:rPr>
          <w:rFonts w:ascii="Verdana" w:hAnsi="Verdana"/>
          <w:sz w:val="20"/>
          <w:szCs w:val="20"/>
        </w:rPr>
        <w:t>VIH</w:t>
      </w:r>
      <w:r w:rsidR="00285C15">
        <w:rPr>
          <w:rStyle w:val="FootnoteReference"/>
          <w:rFonts w:ascii="Verdana" w:hAnsi="Verdana"/>
          <w:sz w:val="20"/>
          <w:szCs w:val="20"/>
        </w:rPr>
        <w:footnoteReference w:id="15"/>
      </w:r>
      <w:r w:rsidR="007D0089" w:rsidRPr="00285C15">
        <w:rPr>
          <w:rFonts w:ascii="Verdana" w:hAnsi="Verdana"/>
          <w:sz w:val="20"/>
          <w:szCs w:val="20"/>
        </w:rPr>
        <w:t xml:space="preserve">. </w:t>
      </w:r>
      <w:r w:rsidR="00557D0D" w:rsidRPr="00285C15">
        <w:rPr>
          <w:rFonts w:ascii="Verdana" w:hAnsi="Verdana"/>
          <w:sz w:val="20"/>
          <w:szCs w:val="20"/>
        </w:rPr>
        <w:t xml:space="preserve">La </w:t>
      </w:r>
      <w:r w:rsidR="00557D0D" w:rsidRPr="00F23919">
        <w:rPr>
          <w:rFonts w:ascii="Verdana" w:hAnsi="Verdana"/>
          <w:sz w:val="20"/>
          <w:szCs w:val="20"/>
        </w:rPr>
        <w:t>cuarta</w:t>
      </w:r>
      <w:r w:rsidR="00557D0D" w:rsidRPr="00285C15">
        <w:rPr>
          <w:rFonts w:ascii="Verdana" w:hAnsi="Verdana"/>
          <w:sz w:val="20"/>
          <w:szCs w:val="20"/>
        </w:rPr>
        <w:t xml:space="preserve"> es que</w:t>
      </w:r>
      <w:r w:rsidR="007D0089" w:rsidRPr="00285C15">
        <w:rPr>
          <w:rFonts w:ascii="Verdana" w:hAnsi="Verdana"/>
          <w:sz w:val="20"/>
          <w:szCs w:val="20"/>
        </w:rPr>
        <w:t xml:space="preserve"> la Corte </w:t>
      </w:r>
      <w:r w:rsidR="001B626D" w:rsidRPr="00285C15">
        <w:rPr>
          <w:rFonts w:ascii="Verdana" w:hAnsi="Verdana"/>
          <w:sz w:val="20"/>
          <w:szCs w:val="20"/>
        </w:rPr>
        <w:t xml:space="preserve">determinó, por primera ocasión en su historia, que un Estado es responsable por la violación </w:t>
      </w:r>
      <w:r w:rsidR="00CA4BD2">
        <w:rPr>
          <w:rFonts w:ascii="Verdana" w:hAnsi="Verdana"/>
          <w:sz w:val="20"/>
          <w:szCs w:val="20"/>
        </w:rPr>
        <w:t xml:space="preserve">a la obligación </w:t>
      </w:r>
      <w:r w:rsidR="0046549D">
        <w:rPr>
          <w:rFonts w:ascii="Verdana" w:hAnsi="Verdana"/>
          <w:sz w:val="20"/>
          <w:szCs w:val="20"/>
        </w:rPr>
        <w:t>d</w:t>
      </w:r>
      <w:r w:rsidR="00CA4BD2">
        <w:rPr>
          <w:rFonts w:ascii="Verdana" w:hAnsi="Verdana"/>
          <w:sz w:val="20"/>
          <w:szCs w:val="20"/>
        </w:rPr>
        <w:t>e</w:t>
      </w:r>
      <w:r w:rsidR="001B626D" w:rsidRPr="00285C15">
        <w:rPr>
          <w:rFonts w:ascii="Verdana" w:hAnsi="Verdana"/>
          <w:sz w:val="20"/>
          <w:szCs w:val="20"/>
        </w:rPr>
        <w:t xml:space="preserve"> progresividad contenido en el artículo 26 de la Convención Americana</w:t>
      </w:r>
      <w:r w:rsidR="00285C15">
        <w:rPr>
          <w:rStyle w:val="FootnoteReference"/>
          <w:rFonts w:ascii="Verdana" w:hAnsi="Verdana"/>
          <w:sz w:val="20"/>
          <w:szCs w:val="20"/>
        </w:rPr>
        <w:footnoteReference w:id="16"/>
      </w:r>
      <w:r w:rsidR="00285C15" w:rsidRPr="00285C15">
        <w:rPr>
          <w:rFonts w:ascii="Verdana" w:hAnsi="Verdana"/>
          <w:sz w:val="20"/>
          <w:szCs w:val="20"/>
        </w:rPr>
        <w:t xml:space="preserve">. </w:t>
      </w:r>
      <w:r w:rsidR="001B626D" w:rsidRPr="00F23919">
        <w:rPr>
          <w:rFonts w:ascii="Verdana" w:hAnsi="Verdana"/>
          <w:sz w:val="20"/>
          <w:szCs w:val="20"/>
        </w:rPr>
        <w:t>Finalmente</w:t>
      </w:r>
      <w:r w:rsidR="001B626D" w:rsidRPr="00285C15">
        <w:rPr>
          <w:rFonts w:ascii="Verdana" w:hAnsi="Verdana"/>
          <w:sz w:val="20"/>
          <w:szCs w:val="20"/>
        </w:rPr>
        <w:t xml:space="preserve">, la Corte fijó medidas de reparación que atienden a los dos aspectos del derecho a la salud </w:t>
      </w:r>
      <w:r w:rsidR="005F246D" w:rsidRPr="00285C15">
        <w:rPr>
          <w:rFonts w:ascii="Verdana" w:hAnsi="Verdana"/>
          <w:sz w:val="20"/>
          <w:szCs w:val="20"/>
        </w:rPr>
        <w:t>antes mencionados</w:t>
      </w:r>
      <w:r w:rsidR="001A7F48" w:rsidRPr="00285C15">
        <w:rPr>
          <w:rFonts w:ascii="Verdana" w:hAnsi="Verdana"/>
          <w:sz w:val="20"/>
          <w:szCs w:val="20"/>
        </w:rPr>
        <w:t xml:space="preserve">, con el objetivo de reparar a las víctimas del caso y </w:t>
      </w:r>
      <w:r w:rsidR="00285C15" w:rsidRPr="00285C15">
        <w:rPr>
          <w:rFonts w:ascii="Verdana" w:hAnsi="Verdana"/>
          <w:sz w:val="20"/>
          <w:szCs w:val="20"/>
        </w:rPr>
        <w:t xml:space="preserve">de atender </w:t>
      </w:r>
      <w:r w:rsidR="00285C15" w:rsidRPr="00285C15">
        <w:rPr>
          <w:rFonts w:ascii="Verdana" w:hAnsi="Verdana"/>
          <w:sz w:val="20"/>
          <w:szCs w:val="20"/>
        </w:rPr>
        <w:lastRenderedPageBreak/>
        <w:t>deficiencias</w:t>
      </w:r>
      <w:r w:rsidR="005F7809" w:rsidRPr="00285C15">
        <w:rPr>
          <w:rFonts w:ascii="Verdana" w:hAnsi="Verdana"/>
          <w:sz w:val="20"/>
          <w:szCs w:val="20"/>
        </w:rPr>
        <w:t xml:space="preserve"> </w:t>
      </w:r>
      <w:r w:rsidR="00CA4BD2">
        <w:rPr>
          <w:rFonts w:ascii="Verdana" w:hAnsi="Verdana"/>
          <w:sz w:val="20"/>
          <w:szCs w:val="20"/>
        </w:rPr>
        <w:t xml:space="preserve">sistémicas </w:t>
      </w:r>
      <w:r w:rsidR="005F7809" w:rsidRPr="00285C15">
        <w:rPr>
          <w:rFonts w:ascii="Verdana" w:hAnsi="Verdana"/>
          <w:sz w:val="20"/>
          <w:szCs w:val="20"/>
        </w:rPr>
        <w:t>del Estado</w:t>
      </w:r>
      <w:r w:rsidR="00F23919">
        <w:rPr>
          <w:rFonts w:ascii="Verdana" w:hAnsi="Verdana"/>
          <w:sz w:val="20"/>
          <w:szCs w:val="20"/>
        </w:rPr>
        <w:t>,</w:t>
      </w:r>
      <w:r w:rsidR="00422322">
        <w:rPr>
          <w:rFonts w:ascii="Verdana" w:hAnsi="Verdana"/>
          <w:sz w:val="20"/>
          <w:szCs w:val="20"/>
        </w:rPr>
        <w:t xml:space="preserve"> </w:t>
      </w:r>
      <w:r w:rsidR="00422322" w:rsidRPr="00F23919">
        <w:rPr>
          <w:rFonts w:ascii="Verdana" w:hAnsi="Verdana"/>
          <w:sz w:val="20"/>
          <w:szCs w:val="20"/>
        </w:rPr>
        <w:t>con el fin de que se brinde una atención integral en materia de salud</w:t>
      </w:r>
      <w:r w:rsidR="00285C15">
        <w:rPr>
          <w:rStyle w:val="FootnoteReference"/>
          <w:rFonts w:ascii="Verdana" w:hAnsi="Verdana"/>
          <w:sz w:val="20"/>
          <w:szCs w:val="20"/>
        </w:rPr>
        <w:footnoteReference w:id="17"/>
      </w:r>
      <w:r w:rsidR="00285C15">
        <w:rPr>
          <w:rFonts w:ascii="Verdana" w:hAnsi="Verdana"/>
          <w:sz w:val="20"/>
          <w:szCs w:val="20"/>
        </w:rPr>
        <w:t>.</w:t>
      </w:r>
    </w:p>
    <w:p w14:paraId="7B961412" w14:textId="77777777" w:rsidR="00285C15" w:rsidRPr="00285C15" w:rsidRDefault="00285C15" w:rsidP="006174F1">
      <w:pPr>
        <w:pStyle w:val="ListParagraph"/>
        <w:ind w:left="0"/>
        <w:jc w:val="both"/>
        <w:rPr>
          <w:rFonts w:ascii="Verdana" w:hAnsi="Verdana"/>
          <w:sz w:val="20"/>
          <w:szCs w:val="20"/>
        </w:rPr>
      </w:pPr>
    </w:p>
    <w:p w14:paraId="3490EA19" w14:textId="54214B5D" w:rsidR="00AF69B3" w:rsidRPr="00EE1872" w:rsidRDefault="001B626D" w:rsidP="006174F1">
      <w:pPr>
        <w:pStyle w:val="ListParagraph"/>
        <w:numPr>
          <w:ilvl w:val="0"/>
          <w:numId w:val="1"/>
        </w:numPr>
        <w:ind w:left="0" w:firstLine="0"/>
        <w:jc w:val="both"/>
        <w:rPr>
          <w:rFonts w:ascii="Verdana" w:hAnsi="Verdana"/>
          <w:sz w:val="20"/>
          <w:szCs w:val="20"/>
        </w:rPr>
      </w:pPr>
      <w:r w:rsidRPr="00EE1872">
        <w:rPr>
          <w:rFonts w:ascii="Verdana" w:hAnsi="Verdana"/>
          <w:sz w:val="20"/>
          <w:szCs w:val="20"/>
        </w:rPr>
        <w:t xml:space="preserve">Teniendo en cuenta lo anterior, </w:t>
      </w:r>
      <w:r w:rsidR="003E5C9C" w:rsidRPr="00EE1872">
        <w:rPr>
          <w:rFonts w:ascii="Verdana" w:hAnsi="Verdana"/>
          <w:sz w:val="20"/>
          <w:szCs w:val="20"/>
        </w:rPr>
        <w:t>así como</w:t>
      </w:r>
      <w:r w:rsidRPr="00EE1872">
        <w:rPr>
          <w:rFonts w:ascii="Verdana" w:hAnsi="Verdana"/>
          <w:sz w:val="20"/>
          <w:szCs w:val="20"/>
        </w:rPr>
        <w:t xml:space="preserve"> lo ya razonado en </w:t>
      </w:r>
      <w:r w:rsidR="003E5C9C" w:rsidRPr="00EE1872">
        <w:rPr>
          <w:rFonts w:ascii="Verdana" w:hAnsi="Verdana"/>
          <w:sz w:val="20"/>
          <w:szCs w:val="20"/>
        </w:rPr>
        <w:t>otras ocasiones</w:t>
      </w:r>
      <w:r w:rsidRPr="00EE1872">
        <w:rPr>
          <w:rFonts w:ascii="Verdana" w:hAnsi="Verdana"/>
          <w:sz w:val="20"/>
          <w:szCs w:val="20"/>
        </w:rPr>
        <w:t xml:space="preserve"> sobre el particular</w:t>
      </w:r>
      <w:r w:rsidRPr="00EE1872">
        <w:rPr>
          <w:rStyle w:val="FootnoteReference"/>
          <w:rFonts w:ascii="Verdana" w:hAnsi="Verdana"/>
          <w:sz w:val="20"/>
          <w:szCs w:val="20"/>
        </w:rPr>
        <w:footnoteReference w:id="18"/>
      </w:r>
      <w:r w:rsidRPr="00EE1872">
        <w:rPr>
          <w:rFonts w:ascii="Verdana" w:hAnsi="Verdana"/>
          <w:sz w:val="20"/>
          <w:szCs w:val="20"/>
        </w:rPr>
        <w:t>, emito el presente voto</w:t>
      </w:r>
      <w:r w:rsidR="00406E9F" w:rsidRPr="00EE1872">
        <w:rPr>
          <w:rFonts w:ascii="Verdana" w:hAnsi="Verdana"/>
          <w:sz w:val="20"/>
          <w:szCs w:val="20"/>
        </w:rPr>
        <w:t xml:space="preserve"> concurrente</w:t>
      </w:r>
      <w:r w:rsidRPr="00EE1872">
        <w:rPr>
          <w:rFonts w:ascii="Verdana" w:hAnsi="Verdana"/>
          <w:sz w:val="20"/>
          <w:szCs w:val="20"/>
        </w:rPr>
        <w:t xml:space="preserve"> con el objetivo de </w:t>
      </w:r>
      <w:r w:rsidR="001A7F48" w:rsidRPr="00EE1872">
        <w:rPr>
          <w:rFonts w:ascii="Verdana" w:hAnsi="Verdana"/>
          <w:sz w:val="20"/>
          <w:szCs w:val="20"/>
        </w:rPr>
        <w:t>reflexionar en torno a</w:t>
      </w:r>
      <w:r w:rsidR="00B6213F" w:rsidRPr="00EE1872">
        <w:rPr>
          <w:rFonts w:ascii="Verdana" w:hAnsi="Verdana"/>
          <w:sz w:val="20"/>
          <w:szCs w:val="20"/>
        </w:rPr>
        <w:t xml:space="preserve"> algunos aspectos relevantes</w:t>
      </w:r>
      <w:r w:rsidR="00285C15" w:rsidRPr="00EE1872">
        <w:rPr>
          <w:rFonts w:ascii="Verdana" w:hAnsi="Verdana"/>
          <w:sz w:val="20"/>
          <w:szCs w:val="20"/>
        </w:rPr>
        <w:t xml:space="preserve"> </w:t>
      </w:r>
      <w:r w:rsidR="003E5C9C" w:rsidRPr="00EE1872">
        <w:rPr>
          <w:rFonts w:ascii="Verdana" w:hAnsi="Verdana"/>
          <w:sz w:val="20"/>
          <w:szCs w:val="20"/>
        </w:rPr>
        <w:t>que surgen de esta Sentencia</w:t>
      </w:r>
      <w:r w:rsidRPr="00EE1872">
        <w:rPr>
          <w:rFonts w:ascii="Verdana" w:hAnsi="Verdana"/>
          <w:sz w:val="20"/>
          <w:szCs w:val="20"/>
        </w:rPr>
        <w:t xml:space="preserve">: </w:t>
      </w:r>
      <w:r w:rsidR="00C60D0F" w:rsidRPr="00EE1872">
        <w:rPr>
          <w:rFonts w:ascii="Verdana" w:hAnsi="Verdana"/>
          <w:sz w:val="20"/>
          <w:szCs w:val="20"/>
        </w:rPr>
        <w:t xml:space="preserve">I) </w:t>
      </w:r>
      <w:r w:rsidR="00F23919">
        <w:rPr>
          <w:rFonts w:ascii="Verdana" w:hAnsi="Verdana"/>
          <w:sz w:val="20"/>
          <w:szCs w:val="20"/>
        </w:rPr>
        <w:t>s</w:t>
      </w:r>
      <w:r w:rsidR="00690579" w:rsidRPr="00EE1872">
        <w:rPr>
          <w:rFonts w:ascii="Verdana" w:hAnsi="Verdana"/>
          <w:sz w:val="20"/>
          <w:szCs w:val="20"/>
        </w:rPr>
        <w:t>obre el principio de progresividad</w:t>
      </w:r>
      <w:r w:rsidR="006174F1">
        <w:rPr>
          <w:rFonts w:ascii="Verdana" w:hAnsi="Verdana"/>
          <w:sz w:val="20"/>
          <w:szCs w:val="20"/>
        </w:rPr>
        <w:t xml:space="preserve"> </w:t>
      </w:r>
      <w:r w:rsidR="006174F1" w:rsidRPr="00F23919">
        <w:rPr>
          <w:rFonts w:ascii="Verdana" w:hAnsi="Verdana"/>
          <w:sz w:val="20"/>
          <w:szCs w:val="20"/>
        </w:rPr>
        <w:t>y la experiencia regional en la materia</w:t>
      </w:r>
      <w:r w:rsidR="00690579" w:rsidRPr="00EE1872">
        <w:rPr>
          <w:rFonts w:ascii="Verdana" w:hAnsi="Verdana"/>
          <w:sz w:val="20"/>
          <w:szCs w:val="20"/>
        </w:rPr>
        <w:t xml:space="preserve"> (</w:t>
      </w:r>
      <w:r w:rsidR="00690579" w:rsidRPr="001E14E4">
        <w:rPr>
          <w:rFonts w:ascii="Verdana" w:hAnsi="Verdana"/>
          <w:i/>
          <w:sz w:val="20"/>
          <w:szCs w:val="20"/>
          <w:u w:val="single"/>
        </w:rPr>
        <w:t>p</w:t>
      </w:r>
      <w:r w:rsidR="00B6213F" w:rsidRPr="001E14E4">
        <w:rPr>
          <w:rFonts w:ascii="Verdana" w:hAnsi="Verdana"/>
          <w:i/>
          <w:sz w:val="20"/>
          <w:szCs w:val="20"/>
          <w:u w:val="single"/>
        </w:rPr>
        <w:t>árrs</w:t>
      </w:r>
      <w:r w:rsidR="00B6213F" w:rsidRPr="0046549D">
        <w:rPr>
          <w:rFonts w:ascii="Verdana" w:hAnsi="Verdana"/>
          <w:sz w:val="20"/>
          <w:szCs w:val="20"/>
          <w:u w:val="single"/>
        </w:rPr>
        <w:t xml:space="preserve">. </w:t>
      </w:r>
      <w:r w:rsidR="0046549D" w:rsidRPr="0046549D">
        <w:rPr>
          <w:rFonts w:ascii="Verdana" w:hAnsi="Verdana"/>
          <w:sz w:val="20"/>
          <w:szCs w:val="20"/>
          <w:u w:val="single"/>
        </w:rPr>
        <w:t>5-30</w:t>
      </w:r>
      <w:r w:rsidR="00F23919">
        <w:rPr>
          <w:rFonts w:ascii="Verdana" w:hAnsi="Verdana"/>
          <w:sz w:val="20"/>
          <w:szCs w:val="20"/>
        </w:rPr>
        <w:t>),</w:t>
      </w:r>
      <w:r w:rsidR="00C60D0F" w:rsidRPr="00EE1872">
        <w:rPr>
          <w:rFonts w:ascii="Verdana" w:hAnsi="Verdana"/>
          <w:sz w:val="20"/>
          <w:szCs w:val="20"/>
        </w:rPr>
        <w:t xml:space="preserve"> </w:t>
      </w:r>
      <w:r w:rsidR="0052240E" w:rsidRPr="00F23919">
        <w:rPr>
          <w:rFonts w:ascii="Verdana" w:hAnsi="Verdana"/>
          <w:sz w:val="20"/>
          <w:szCs w:val="20"/>
        </w:rPr>
        <w:t>II)</w:t>
      </w:r>
      <w:r w:rsidR="0052240E" w:rsidRPr="00EE1872">
        <w:rPr>
          <w:rFonts w:ascii="Verdana" w:hAnsi="Verdana"/>
          <w:b/>
          <w:sz w:val="20"/>
          <w:szCs w:val="20"/>
        </w:rPr>
        <w:t xml:space="preserve"> </w:t>
      </w:r>
      <w:r w:rsidR="00F23919">
        <w:rPr>
          <w:rFonts w:ascii="Verdana" w:hAnsi="Verdana"/>
          <w:sz w:val="20"/>
          <w:szCs w:val="20"/>
        </w:rPr>
        <w:t>s</w:t>
      </w:r>
      <w:r w:rsidR="009153B6" w:rsidRPr="00EE1872">
        <w:rPr>
          <w:rFonts w:ascii="Verdana" w:hAnsi="Verdana"/>
          <w:sz w:val="20"/>
          <w:szCs w:val="20"/>
        </w:rPr>
        <w:t xml:space="preserve">obre </w:t>
      </w:r>
      <w:r w:rsidR="003E5C9C" w:rsidRPr="00EE1872">
        <w:rPr>
          <w:rFonts w:ascii="Verdana" w:hAnsi="Verdana"/>
          <w:sz w:val="20"/>
          <w:szCs w:val="20"/>
        </w:rPr>
        <w:t>la discriminación interseccional</w:t>
      </w:r>
      <w:r w:rsidR="002B02E6" w:rsidRPr="00EE1872">
        <w:rPr>
          <w:rFonts w:ascii="Verdana" w:hAnsi="Verdana"/>
          <w:sz w:val="20"/>
          <w:szCs w:val="20"/>
        </w:rPr>
        <w:t xml:space="preserve"> </w:t>
      </w:r>
      <w:r w:rsidR="001A7F48" w:rsidRPr="00EE1872">
        <w:rPr>
          <w:rFonts w:ascii="Verdana" w:hAnsi="Verdana"/>
          <w:sz w:val="20"/>
          <w:szCs w:val="20"/>
        </w:rPr>
        <w:t>en perjuicio de</w:t>
      </w:r>
      <w:r w:rsidR="003E5C9C" w:rsidRPr="00EE1872">
        <w:rPr>
          <w:rFonts w:ascii="Verdana" w:hAnsi="Verdana"/>
          <w:sz w:val="20"/>
          <w:szCs w:val="20"/>
        </w:rPr>
        <w:t xml:space="preserve"> </w:t>
      </w:r>
      <w:r w:rsidR="001A7F48" w:rsidRPr="00EE1872">
        <w:rPr>
          <w:rFonts w:ascii="Verdana" w:hAnsi="Verdana"/>
          <w:sz w:val="20"/>
          <w:szCs w:val="20"/>
        </w:rPr>
        <w:t>dos</w:t>
      </w:r>
      <w:r w:rsidR="003E5C9C" w:rsidRPr="00EE1872">
        <w:rPr>
          <w:rFonts w:ascii="Verdana" w:hAnsi="Verdana"/>
          <w:sz w:val="20"/>
          <w:szCs w:val="20"/>
        </w:rPr>
        <w:t xml:space="preserve"> mujeres embarazadas</w:t>
      </w:r>
      <w:r w:rsidR="00C41C89" w:rsidRPr="00EE1872">
        <w:rPr>
          <w:rFonts w:ascii="Verdana" w:hAnsi="Verdana"/>
          <w:sz w:val="20"/>
          <w:szCs w:val="20"/>
        </w:rPr>
        <w:t xml:space="preserve"> </w:t>
      </w:r>
      <w:r w:rsidR="00C41C89" w:rsidRPr="00F23919">
        <w:rPr>
          <w:rFonts w:ascii="Verdana" w:hAnsi="Verdana"/>
          <w:sz w:val="20"/>
          <w:szCs w:val="20"/>
        </w:rPr>
        <w:t>que viven</w:t>
      </w:r>
      <w:r w:rsidR="001A7F48" w:rsidRPr="00962BC5">
        <w:rPr>
          <w:rFonts w:ascii="Verdana" w:hAnsi="Verdana"/>
          <w:sz w:val="20"/>
          <w:szCs w:val="20"/>
        </w:rPr>
        <w:t xml:space="preserve"> </w:t>
      </w:r>
      <w:r w:rsidR="003E5C9C" w:rsidRPr="00962BC5">
        <w:rPr>
          <w:rFonts w:ascii="Verdana" w:hAnsi="Verdana"/>
          <w:sz w:val="20"/>
          <w:szCs w:val="20"/>
        </w:rPr>
        <w:t>con</w:t>
      </w:r>
      <w:r w:rsidR="00C41C89" w:rsidRPr="00962BC5">
        <w:rPr>
          <w:rFonts w:ascii="Verdana" w:hAnsi="Verdana"/>
          <w:sz w:val="20"/>
          <w:szCs w:val="20"/>
        </w:rPr>
        <w:t xml:space="preserve"> </w:t>
      </w:r>
      <w:r w:rsidR="00C41C89" w:rsidRPr="00F23919">
        <w:rPr>
          <w:rFonts w:ascii="Verdana" w:hAnsi="Verdana"/>
          <w:sz w:val="20"/>
          <w:szCs w:val="20"/>
        </w:rPr>
        <w:t>el</w:t>
      </w:r>
      <w:r w:rsidR="003E5C9C" w:rsidRPr="00F23919">
        <w:rPr>
          <w:rFonts w:ascii="Verdana" w:hAnsi="Verdana"/>
          <w:sz w:val="20"/>
          <w:szCs w:val="20"/>
        </w:rPr>
        <w:t xml:space="preserve"> VIH</w:t>
      </w:r>
      <w:r w:rsidR="006174F1" w:rsidRPr="00EE1872">
        <w:rPr>
          <w:rFonts w:ascii="Verdana" w:hAnsi="Verdana"/>
          <w:sz w:val="20"/>
          <w:szCs w:val="20"/>
        </w:rPr>
        <w:t xml:space="preserve"> </w:t>
      </w:r>
      <w:r w:rsidR="009153B6" w:rsidRPr="00EE1872">
        <w:rPr>
          <w:rFonts w:ascii="Verdana" w:hAnsi="Verdana"/>
          <w:sz w:val="20"/>
          <w:szCs w:val="20"/>
        </w:rPr>
        <w:t>(</w:t>
      </w:r>
      <w:r w:rsidR="009153B6" w:rsidRPr="001E14E4">
        <w:rPr>
          <w:rFonts w:ascii="Verdana" w:hAnsi="Verdana"/>
          <w:i/>
          <w:sz w:val="20"/>
          <w:szCs w:val="20"/>
          <w:u w:val="single"/>
        </w:rPr>
        <w:t>p</w:t>
      </w:r>
      <w:r w:rsidR="00F219D2" w:rsidRPr="001E14E4">
        <w:rPr>
          <w:rFonts w:ascii="Verdana" w:hAnsi="Verdana"/>
          <w:i/>
          <w:sz w:val="20"/>
          <w:szCs w:val="20"/>
          <w:u w:val="single"/>
        </w:rPr>
        <w:t>árrs</w:t>
      </w:r>
      <w:r w:rsidR="00F219D2" w:rsidRPr="0046549D">
        <w:rPr>
          <w:rFonts w:ascii="Verdana" w:hAnsi="Verdana"/>
          <w:sz w:val="20"/>
          <w:szCs w:val="20"/>
          <w:u w:val="single"/>
        </w:rPr>
        <w:t xml:space="preserve">. </w:t>
      </w:r>
      <w:r w:rsidR="0046549D">
        <w:rPr>
          <w:rFonts w:ascii="Verdana" w:hAnsi="Verdana"/>
          <w:sz w:val="20"/>
          <w:szCs w:val="20"/>
          <w:u w:val="single"/>
        </w:rPr>
        <w:t>31-34</w:t>
      </w:r>
      <w:r w:rsidR="009153B6" w:rsidRPr="00EE1872">
        <w:rPr>
          <w:rFonts w:ascii="Verdana" w:hAnsi="Verdana"/>
          <w:sz w:val="20"/>
          <w:szCs w:val="20"/>
        </w:rPr>
        <w:t>)</w:t>
      </w:r>
      <w:r w:rsidR="001A7F48" w:rsidRPr="00EE1872">
        <w:rPr>
          <w:rFonts w:ascii="Verdana" w:hAnsi="Verdana"/>
          <w:sz w:val="20"/>
          <w:szCs w:val="20"/>
        </w:rPr>
        <w:t>;</w:t>
      </w:r>
      <w:r w:rsidR="0052240E" w:rsidRPr="00EE1872">
        <w:rPr>
          <w:rFonts w:ascii="Verdana" w:hAnsi="Verdana"/>
          <w:sz w:val="20"/>
          <w:szCs w:val="20"/>
        </w:rPr>
        <w:t xml:space="preserve"> </w:t>
      </w:r>
      <w:r w:rsidR="0052240E" w:rsidRPr="00F23919">
        <w:rPr>
          <w:rFonts w:ascii="Verdana" w:hAnsi="Verdana"/>
          <w:sz w:val="20"/>
          <w:szCs w:val="20"/>
        </w:rPr>
        <w:t>(</w:t>
      </w:r>
      <w:r w:rsidR="00C41C89" w:rsidRPr="00F23919">
        <w:rPr>
          <w:rFonts w:ascii="Verdana" w:hAnsi="Verdana"/>
          <w:sz w:val="20"/>
          <w:szCs w:val="20"/>
        </w:rPr>
        <w:t>I</w:t>
      </w:r>
      <w:r w:rsidR="006174F1" w:rsidRPr="00F23919">
        <w:rPr>
          <w:rFonts w:ascii="Verdana" w:hAnsi="Verdana"/>
          <w:sz w:val="20"/>
          <w:szCs w:val="20"/>
        </w:rPr>
        <w:t>II</w:t>
      </w:r>
      <w:r w:rsidR="0052240E" w:rsidRPr="00F23919">
        <w:rPr>
          <w:rFonts w:ascii="Verdana" w:hAnsi="Verdana"/>
          <w:sz w:val="20"/>
          <w:szCs w:val="20"/>
        </w:rPr>
        <w:t>)</w:t>
      </w:r>
      <w:r w:rsidR="0052240E" w:rsidRPr="00EE1872">
        <w:rPr>
          <w:rFonts w:ascii="Verdana" w:hAnsi="Verdana"/>
          <w:b/>
          <w:sz w:val="20"/>
          <w:szCs w:val="20"/>
        </w:rPr>
        <w:t xml:space="preserve"> </w:t>
      </w:r>
      <w:r w:rsidR="00F23919">
        <w:rPr>
          <w:rFonts w:ascii="Verdana" w:hAnsi="Verdana"/>
          <w:sz w:val="20"/>
          <w:szCs w:val="20"/>
        </w:rPr>
        <w:t>s</w:t>
      </w:r>
      <w:r w:rsidR="00B6213F" w:rsidRPr="00EE1872">
        <w:rPr>
          <w:rFonts w:ascii="Verdana" w:hAnsi="Verdana"/>
          <w:sz w:val="20"/>
          <w:szCs w:val="20"/>
        </w:rPr>
        <w:t>obre las medidas de reparación ordenadas</w:t>
      </w:r>
      <w:r w:rsidR="00B6213F" w:rsidRPr="00F23919">
        <w:rPr>
          <w:rFonts w:ascii="Verdana" w:hAnsi="Verdana"/>
          <w:sz w:val="20"/>
          <w:szCs w:val="20"/>
        </w:rPr>
        <w:t xml:space="preserve">, </w:t>
      </w:r>
      <w:r w:rsidR="003E5C9C" w:rsidRPr="00F23919">
        <w:rPr>
          <w:rFonts w:ascii="Verdana" w:hAnsi="Verdana"/>
          <w:sz w:val="20"/>
          <w:szCs w:val="20"/>
        </w:rPr>
        <w:t>dirigidas</w:t>
      </w:r>
      <w:r w:rsidR="003E5C9C" w:rsidRPr="00962BC5">
        <w:rPr>
          <w:rFonts w:ascii="Verdana" w:hAnsi="Verdana"/>
          <w:sz w:val="20"/>
          <w:szCs w:val="20"/>
        </w:rPr>
        <w:t xml:space="preserve"> a</w:t>
      </w:r>
      <w:r w:rsidR="001A7F48" w:rsidRPr="00962BC5">
        <w:rPr>
          <w:rFonts w:ascii="Verdana" w:hAnsi="Verdana"/>
          <w:sz w:val="20"/>
          <w:szCs w:val="20"/>
        </w:rPr>
        <w:t xml:space="preserve"> rehabilitar a las víctimas del caso y</w:t>
      </w:r>
      <w:r w:rsidR="003E5C9C" w:rsidRPr="00962BC5">
        <w:rPr>
          <w:rFonts w:ascii="Verdana" w:hAnsi="Verdana"/>
          <w:sz w:val="20"/>
          <w:szCs w:val="20"/>
        </w:rPr>
        <w:t xml:space="preserve"> </w:t>
      </w:r>
      <w:r w:rsidR="00B6213F" w:rsidRPr="00962BC5">
        <w:rPr>
          <w:rFonts w:ascii="Verdana" w:hAnsi="Verdana"/>
          <w:sz w:val="20"/>
          <w:szCs w:val="20"/>
        </w:rPr>
        <w:t xml:space="preserve">a </w:t>
      </w:r>
      <w:r w:rsidR="003E5C9C" w:rsidRPr="00962BC5">
        <w:rPr>
          <w:rFonts w:ascii="Verdana" w:hAnsi="Verdana"/>
          <w:sz w:val="20"/>
          <w:szCs w:val="20"/>
        </w:rPr>
        <w:t>evitar futuras violaciones del derecho a la salud contra la población</w:t>
      </w:r>
      <w:r w:rsidR="001A7F48" w:rsidRPr="00962BC5">
        <w:rPr>
          <w:rFonts w:ascii="Verdana" w:hAnsi="Verdana"/>
          <w:sz w:val="20"/>
          <w:szCs w:val="20"/>
        </w:rPr>
        <w:t xml:space="preserve"> que vive</w:t>
      </w:r>
      <w:r w:rsidR="003E5C9C" w:rsidRPr="00962BC5">
        <w:rPr>
          <w:rFonts w:ascii="Verdana" w:hAnsi="Verdana"/>
          <w:sz w:val="20"/>
          <w:szCs w:val="20"/>
        </w:rPr>
        <w:t xml:space="preserve"> con </w:t>
      </w:r>
      <w:r w:rsidR="00C41C89" w:rsidRPr="00962BC5">
        <w:rPr>
          <w:rFonts w:ascii="Verdana" w:hAnsi="Verdana"/>
          <w:sz w:val="20"/>
          <w:szCs w:val="20"/>
        </w:rPr>
        <w:t xml:space="preserve">el </w:t>
      </w:r>
      <w:r w:rsidR="003E5C9C" w:rsidRPr="00962BC5">
        <w:rPr>
          <w:rFonts w:ascii="Verdana" w:hAnsi="Verdana"/>
          <w:sz w:val="20"/>
          <w:szCs w:val="20"/>
        </w:rPr>
        <w:t>VIH en Guatemala</w:t>
      </w:r>
      <w:r w:rsidR="009153B6" w:rsidRPr="00962BC5">
        <w:rPr>
          <w:rFonts w:ascii="Verdana" w:hAnsi="Verdana"/>
          <w:sz w:val="20"/>
          <w:szCs w:val="20"/>
        </w:rPr>
        <w:t xml:space="preserve"> (</w:t>
      </w:r>
      <w:r w:rsidR="009153B6" w:rsidRPr="00962BC5">
        <w:rPr>
          <w:rFonts w:ascii="Verdana" w:hAnsi="Verdana"/>
          <w:i/>
          <w:sz w:val="20"/>
          <w:szCs w:val="20"/>
          <w:u w:val="single"/>
        </w:rPr>
        <w:t>p</w:t>
      </w:r>
      <w:r w:rsidR="00F219D2" w:rsidRPr="00962BC5">
        <w:rPr>
          <w:rFonts w:ascii="Verdana" w:hAnsi="Verdana"/>
          <w:i/>
          <w:sz w:val="20"/>
          <w:szCs w:val="20"/>
          <w:u w:val="single"/>
        </w:rPr>
        <w:t xml:space="preserve">árrs. </w:t>
      </w:r>
      <w:r w:rsidR="0046549D" w:rsidRPr="00161214">
        <w:rPr>
          <w:rFonts w:ascii="Verdana" w:hAnsi="Verdana"/>
          <w:sz w:val="20"/>
          <w:szCs w:val="20"/>
          <w:u w:val="single"/>
        </w:rPr>
        <w:t>35-43</w:t>
      </w:r>
      <w:r w:rsidR="009153B6" w:rsidRPr="00962BC5">
        <w:rPr>
          <w:rFonts w:ascii="Verdana" w:hAnsi="Verdana"/>
          <w:sz w:val="20"/>
          <w:szCs w:val="20"/>
        </w:rPr>
        <w:t>)</w:t>
      </w:r>
      <w:r w:rsidR="00B6213F" w:rsidRPr="00EE1872">
        <w:rPr>
          <w:rFonts w:ascii="Verdana" w:hAnsi="Verdana"/>
          <w:sz w:val="20"/>
          <w:szCs w:val="20"/>
        </w:rPr>
        <w:t>;</w:t>
      </w:r>
      <w:r w:rsidR="00422322" w:rsidRPr="00EE1872">
        <w:rPr>
          <w:rFonts w:ascii="Verdana" w:hAnsi="Verdana"/>
          <w:sz w:val="20"/>
          <w:szCs w:val="20"/>
        </w:rPr>
        <w:t xml:space="preserve"> </w:t>
      </w:r>
      <w:r w:rsidR="00B6213F" w:rsidRPr="0046549D">
        <w:rPr>
          <w:rFonts w:ascii="Verdana" w:hAnsi="Verdana"/>
          <w:sz w:val="20"/>
          <w:szCs w:val="20"/>
        </w:rPr>
        <w:t>y (</w:t>
      </w:r>
      <w:r w:rsidR="006174F1" w:rsidRPr="0046549D">
        <w:rPr>
          <w:rFonts w:ascii="Verdana" w:hAnsi="Verdana"/>
          <w:sz w:val="20"/>
          <w:szCs w:val="20"/>
        </w:rPr>
        <w:t>I</w:t>
      </w:r>
      <w:r w:rsidR="00B6213F" w:rsidRPr="0046549D">
        <w:rPr>
          <w:rFonts w:ascii="Verdana" w:hAnsi="Verdana"/>
          <w:sz w:val="20"/>
          <w:szCs w:val="20"/>
        </w:rPr>
        <w:t>V)</w:t>
      </w:r>
      <w:r w:rsidR="00B6213F" w:rsidRPr="00EE1872">
        <w:rPr>
          <w:rFonts w:ascii="Verdana" w:hAnsi="Verdana"/>
          <w:sz w:val="20"/>
          <w:szCs w:val="20"/>
        </w:rPr>
        <w:t xml:space="preserve"> Conclusiones (</w:t>
      </w:r>
      <w:r w:rsidR="00B6213F" w:rsidRPr="00EE1872">
        <w:rPr>
          <w:rFonts w:ascii="Verdana" w:hAnsi="Verdana"/>
          <w:i/>
          <w:sz w:val="20"/>
          <w:szCs w:val="20"/>
          <w:u w:val="single"/>
        </w:rPr>
        <w:t xml:space="preserve">párrs. </w:t>
      </w:r>
      <w:r w:rsidR="00161214">
        <w:rPr>
          <w:rFonts w:ascii="Verdana" w:hAnsi="Verdana"/>
          <w:sz w:val="20"/>
          <w:szCs w:val="20"/>
          <w:u w:val="single"/>
        </w:rPr>
        <w:t>44-47</w:t>
      </w:r>
      <w:r w:rsidR="00B6213F" w:rsidRPr="00EE1872">
        <w:rPr>
          <w:rFonts w:ascii="Verdana" w:hAnsi="Verdana"/>
          <w:sz w:val="20"/>
          <w:szCs w:val="20"/>
        </w:rPr>
        <w:t>).</w:t>
      </w:r>
      <w:r w:rsidR="003E5C9C" w:rsidRPr="00EE1872">
        <w:rPr>
          <w:rFonts w:ascii="Verdana" w:hAnsi="Verdana"/>
          <w:sz w:val="20"/>
          <w:szCs w:val="20"/>
        </w:rPr>
        <w:t xml:space="preserve"> </w:t>
      </w:r>
    </w:p>
    <w:p w14:paraId="4A1528B2" w14:textId="77777777" w:rsidR="00B6213F" w:rsidRPr="00B6213F" w:rsidRDefault="00B6213F" w:rsidP="006174F1">
      <w:pPr>
        <w:pStyle w:val="ListParagraph"/>
        <w:ind w:left="0"/>
        <w:jc w:val="both"/>
        <w:rPr>
          <w:rFonts w:ascii="Verdana" w:hAnsi="Verdana"/>
          <w:sz w:val="20"/>
          <w:szCs w:val="20"/>
        </w:rPr>
      </w:pPr>
    </w:p>
    <w:p w14:paraId="56135FF4" w14:textId="2FF4A534" w:rsidR="00F11DC3" w:rsidRDefault="0030034D" w:rsidP="00157D4C">
      <w:pPr>
        <w:pStyle w:val="ListParagraph"/>
        <w:ind w:left="0"/>
        <w:jc w:val="center"/>
        <w:outlineLvl w:val="0"/>
        <w:rPr>
          <w:rFonts w:ascii="Verdana" w:hAnsi="Verdana"/>
          <w:b/>
          <w:sz w:val="20"/>
          <w:szCs w:val="20"/>
        </w:rPr>
      </w:pPr>
      <w:r w:rsidRPr="00DD1072">
        <w:rPr>
          <w:rFonts w:ascii="Verdana" w:hAnsi="Verdana"/>
          <w:b/>
          <w:sz w:val="20"/>
          <w:szCs w:val="20"/>
        </w:rPr>
        <w:t xml:space="preserve">I. SOBRE EL PRINCIPIO DE </w:t>
      </w:r>
      <w:r w:rsidRPr="00F23919">
        <w:rPr>
          <w:rFonts w:ascii="Verdana" w:hAnsi="Verdana"/>
          <w:b/>
          <w:sz w:val="20"/>
          <w:szCs w:val="20"/>
        </w:rPr>
        <w:t>PROGRESIVIDAD</w:t>
      </w:r>
    </w:p>
    <w:p w14:paraId="124F8725" w14:textId="77777777" w:rsidR="00157D4C" w:rsidRDefault="00157D4C" w:rsidP="00157D4C">
      <w:pPr>
        <w:pStyle w:val="ListParagraph"/>
        <w:ind w:left="0"/>
        <w:outlineLvl w:val="0"/>
        <w:rPr>
          <w:rFonts w:ascii="Verdana" w:hAnsi="Verdana"/>
          <w:b/>
          <w:sz w:val="20"/>
          <w:szCs w:val="20"/>
        </w:rPr>
      </w:pPr>
    </w:p>
    <w:p w14:paraId="484084F9" w14:textId="649FCC2C" w:rsidR="006174F1" w:rsidRDefault="006174F1" w:rsidP="006105F2">
      <w:pPr>
        <w:pStyle w:val="List2"/>
        <w:spacing w:after="0" w:line="240" w:lineRule="auto"/>
        <w:ind w:left="0" w:firstLine="0"/>
        <w:jc w:val="both"/>
        <w:rPr>
          <w:rFonts w:ascii="Verdana" w:eastAsiaTheme="minorEastAsia" w:hAnsi="Verdana"/>
          <w:b/>
          <w:sz w:val="20"/>
          <w:szCs w:val="20"/>
          <w:u w:val="single"/>
          <w:lang w:val="es-ES" w:eastAsia="es-ES"/>
        </w:rPr>
      </w:pPr>
      <w:r w:rsidRPr="00F23919">
        <w:rPr>
          <w:rFonts w:ascii="Verdana" w:hAnsi="Verdana"/>
          <w:b/>
          <w:sz w:val="20"/>
          <w:szCs w:val="20"/>
          <w:u w:val="single"/>
          <w:lang w:val="es-ES"/>
        </w:rPr>
        <w:t>A. La responsabilidad internacional del Estado por la violación al principio de progresividad en el presente caso</w:t>
      </w:r>
    </w:p>
    <w:p w14:paraId="6E3A215E" w14:textId="77777777" w:rsidR="006174F1" w:rsidRPr="00B6213F" w:rsidRDefault="006174F1" w:rsidP="006174F1">
      <w:pPr>
        <w:pStyle w:val="List2"/>
        <w:spacing w:before="100" w:beforeAutospacing="1" w:after="0" w:line="240" w:lineRule="auto"/>
        <w:ind w:left="0" w:firstLine="0"/>
        <w:jc w:val="both"/>
        <w:rPr>
          <w:rFonts w:ascii="Verdana" w:hAnsi="Verdana"/>
          <w:b/>
          <w:sz w:val="20"/>
          <w:szCs w:val="20"/>
          <w:u w:val="single"/>
          <w:lang w:val="es-ES"/>
        </w:rPr>
      </w:pPr>
    </w:p>
    <w:p w14:paraId="3ABB609B" w14:textId="614CD521" w:rsidR="0076146B" w:rsidRDefault="00CE13F8" w:rsidP="006174F1">
      <w:pPr>
        <w:pStyle w:val="ListParagraph"/>
        <w:ind w:left="0"/>
        <w:jc w:val="both"/>
        <w:rPr>
          <w:rFonts w:ascii="Verdana" w:hAnsi="Verdana"/>
          <w:sz w:val="20"/>
          <w:szCs w:val="20"/>
          <w:lang w:val="es-ES"/>
        </w:rPr>
      </w:pPr>
      <w:r>
        <w:rPr>
          <w:rFonts w:ascii="Verdana" w:hAnsi="Verdana"/>
          <w:sz w:val="20"/>
          <w:szCs w:val="20"/>
        </w:rPr>
        <w:t>5</w:t>
      </w:r>
      <w:r w:rsidR="0076146B" w:rsidRPr="00EE1872">
        <w:rPr>
          <w:rFonts w:ascii="Verdana" w:hAnsi="Verdana"/>
          <w:sz w:val="20"/>
          <w:szCs w:val="20"/>
        </w:rPr>
        <w:t xml:space="preserve">. </w:t>
      </w:r>
      <w:r w:rsidR="0076146B" w:rsidRPr="00EE1872">
        <w:rPr>
          <w:rFonts w:ascii="Verdana" w:hAnsi="Verdana"/>
          <w:sz w:val="20"/>
          <w:szCs w:val="20"/>
        </w:rPr>
        <w:tab/>
        <w:t>Los alcances del principio de progresivi</w:t>
      </w:r>
      <w:r w:rsidR="00F219D2" w:rsidRPr="00EE1872">
        <w:rPr>
          <w:rFonts w:ascii="Verdana" w:hAnsi="Verdana"/>
          <w:sz w:val="20"/>
          <w:szCs w:val="20"/>
        </w:rPr>
        <w:t>dad —</w:t>
      </w:r>
      <w:r w:rsidR="0076146B" w:rsidRPr="00EE1872">
        <w:rPr>
          <w:rFonts w:ascii="Verdana" w:hAnsi="Verdana"/>
          <w:sz w:val="20"/>
          <w:szCs w:val="20"/>
        </w:rPr>
        <w:t xml:space="preserve">que sirven como </w:t>
      </w:r>
      <w:r w:rsidR="006C31D2">
        <w:rPr>
          <w:rFonts w:ascii="Verdana" w:hAnsi="Verdana"/>
          <w:sz w:val="20"/>
          <w:szCs w:val="20"/>
        </w:rPr>
        <w:t>punto de partida</w:t>
      </w:r>
      <w:r w:rsidR="0076146B" w:rsidRPr="00EE1872">
        <w:rPr>
          <w:rFonts w:ascii="Verdana" w:hAnsi="Verdana"/>
          <w:sz w:val="20"/>
          <w:szCs w:val="20"/>
        </w:rPr>
        <w:t xml:space="preserve"> para la determinación de responsabilidad internacional del Estado en este caso</w:t>
      </w:r>
      <w:r w:rsidR="00F219D2" w:rsidRPr="00EE1872">
        <w:rPr>
          <w:rFonts w:ascii="Verdana" w:hAnsi="Verdana"/>
          <w:sz w:val="20"/>
          <w:szCs w:val="20"/>
        </w:rPr>
        <w:t>—</w:t>
      </w:r>
      <w:r w:rsidR="0076146B" w:rsidRPr="00EE1872">
        <w:rPr>
          <w:rFonts w:ascii="Verdana" w:hAnsi="Verdana"/>
          <w:sz w:val="20"/>
          <w:szCs w:val="20"/>
        </w:rPr>
        <w:t xml:space="preserve"> están basados en la línea jurisprudencial </w:t>
      </w:r>
      <w:r w:rsidR="00860789" w:rsidRPr="00F23919">
        <w:rPr>
          <w:rFonts w:ascii="Verdana" w:hAnsi="Verdana"/>
          <w:sz w:val="20"/>
          <w:szCs w:val="20"/>
        </w:rPr>
        <w:t>que</w:t>
      </w:r>
      <w:r w:rsidR="00860789" w:rsidRPr="00EE1872">
        <w:rPr>
          <w:rFonts w:ascii="Verdana" w:hAnsi="Verdana"/>
          <w:sz w:val="20"/>
          <w:szCs w:val="20"/>
        </w:rPr>
        <w:t xml:space="preserve"> </w:t>
      </w:r>
      <w:r w:rsidR="0076146B" w:rsidRPr="00EE1872">
        <w:rPr>
          <w:rFonts w:ascii="Verdana" w:hAnsi="Verdana"/>
          <w:sz w:val="20"/>
          <w:szCs w:val="20"/>
        </w:rPr>
        <w:t xml:space="preserve">inició en el caso de </w:t>
      </w:r>
      <w:r w:rsidR="0076146B" w:rsidRPr="00EE1872">
        <w:rPr>
          <w:rFonts w:ascii="Verdana" w:hAnsi="Verdana"/>
          <w:i/>
          <w:sz w:val="20"/>
          <w:szCs w:val="20"/>
        </w:rPr>
        <w:t>Acevedo Buendía y otros</w:t>
      </w:r>
      <w:r w:rsidR="0076146B" w:rsidRPr="00EE1872">
        <w:rPr>
          <w:rStyle w:val="FootnoteReference"/>
          <w:rFonts w:ascii="Verdana" w:hAnsi="Verdana"/>
          <w:sz w:val="20"/>
          <w:szCs w:val="20"/>
        </w:rPr>
        <w:footnoteReference w:id="19"/>
      </w:r>
      <w:r w:rsidR="0076146B" w:rsidRPr="00EE1872">
        <w:rPr>
          <w:rFonts w:ascii="Verdana" w:hAnsi="Verdana"/>
          <w:sz w:val="20"/>
          <w:szCs w:val="20"/>
        </w:rPr>
        <w:t xml:space="preserve">. En este caso, la Corte reconoció que la efectividad de los DESCA no podrá lograrse en un breve periodo de tiempo y que, en esa medida, requiere un dispositivo de </w:t>
      </w:r>
      <w:r w:rsidR="0076146B" w:rsidRPr="00F23919">
        <w:rPr>
          <w:rFonts w:ascii="Verdana" w:hAnsi="Verdana"/>
          <w:sz w:val="20"/>
          <w:szCs w:val="20"/>
        </w:rPr>
        <w:t>flexibilidad</w:t>
      </w:r>
      <w:r w:rsidR="0076146B" w:rsidRPr="00EE1872">
        <w:rPr>
          <w:rFonts w:ascii="Verdana" w:hAnsi="Verdana"/>
          <w:sz w:val="20"/>
          <w:szCs w:val="20"/>
        </w:rPr>
        <w:t xml:space="preserve"> que refleje las realidades del mundo y las dificultades que implica para cada país el asegurar dicha efectividad. La Corte también afirmó que en el marco de dicha flexibilidad, en cuanto al plazo y modalidades de cumplimiento, el Estado tiene una obligación de hacer, es decir de adoptar providencias y adoptar los medios necesarios para responder a las exigencias de efectividad de los derechos involucrados, siempre en la medida de los recursos económicos y financieros para el cumplimiento de sus compromisos internacionales</w:t>
      </w:r>
      <w:r w:rsidR="0076146B" w:rsidRPr="00EE1872">
        <w:rPr>
          <w:rStyle w:val="FootnoteReference"/>
          <w:rFonts w:ascii="Verdana" w:hAnsi="Verdana"/>
          <w:sz w:val="20"/>
          <w:szCs w:val="20"/>
        </w:rPr>
        <w:footnoteReference w:id="20"/>
      </w:r>
      <w:r w:rsidR="0076146B" w:rsidRPr="00EE1872">
        <w:rPr>
          <w:rFonts w:ascii="Verdana" w:hAnsi="Verdana"/>
          <w:sz w:val="20"/>
          <w:szCs w:val="20"/>
        </w:rPr>
        <w:t xml:space="preserve">. En </w:t>
      </w:r>
      <w:r w:rsidR="0076146B" w:rsidRPr="00EE1872">
        <w:rPr>
          <w:rFonts w:ascii="Verdana" w:hAnsi="Verdana"/>
          <w:i/>
          <w:sz w:val="20"/>
          <w:szCs w:val="20"/>
        </w:rPr>
        <w:t>Acevedo Buendía</w:t>
      </w:r>
      <w:r w:rsidR="0076146B" w:rsidRPr="00EE1872">
        <w:rPr>
          <w:rFonts w:ascii="Verdana" w:hAnsi="Verdana"/>
          <w:sz w:val="20"/>
          <w:szCs w:val="20"/>
        </w:rPr>
        <w:t>, la Corte estableció que como correlato de la progresividad existe un de</w:t>
      </w:r>
      <w:r w:rsidR="00F219D2" w:rsidRPr="00EE1872">
        <w:rPr>
          <w:rFonts w:ascii="Verdana" w:hAnsi="Verdana"/>
          <w:sz w:val="20"/>
          <w:szCs w:val="20"/>
        </w:rPr>
        <w:t>ber —</w:t>
      </w:r>
      <w:r w:rsidR="0076146B" w:rsidRPr="00EE1872">
        <w:rPr>
          <w:rFonts w:ascii="Verdana" w:hAnsi="Verdana"/>
          <w:sz w:val="20"/>
          <w:szCs w:val="20"/>
        </w:rPr>
        <w:t xml:space="preserve">si bien </w:t>
      </w:r>
      <w:r w:rsidR="0076146B" w:rsidRPr="00EE1872">
        <w:rPr>
          <w:rFonts w:ascii="Verdana" w:hAnsi="Verdana"/>
          <w:sz w:val="20"/>
          <w:szCs w:val="20"/>
        </w:rPr>
        <w:lastRenderedPageBreak/>
        <w:t>condicionado</w:t>
      </w:r>
      <w:r w:rsidR="00F219D2" w:rsidRPr="00EE1872">
        <w:rPr>
          <w:rFonts w:ascii="Verdana" w:hAnsi="Verdana"/>
          <w:sz w:val="20"/>
          <w:szCs w:val="20"/>
        </w:rPr>
        <w:t>—</w:t>
      </w:r>
      <w:r w:rsidR="0076146B" w:rsidRPr="00EE1872">
        <w:rPr>
          <w:rFonts w:ascii="Verdana" w:hAnsi="Verdana"/>
          <w:sz w:val="20"/>
          <w:szCs w:val="20"/>
        </w:rPr>
        <w:t xml:space="preserve"> de no regresividad, que no siempre deberá ser entendido como una prohibición de medidas que restrinjan el ejercicio de un derecho</w:t>
      </w:r>
      <w:r w:rsidR="00161214" w:rsidRPr="00EE1872">
        <w:rPr>
          <w:rStyle w:val="FootnoteReference"/>
          <w:rFonts w:ascii="Verdana" w:hAnsi="Verdana"/>
          <w:sz w:val="20"/>
          <w:szCs w:val="20"/>
        </w:rPr>
        <w:footnoteReference w:id="21"/>
      </w:r>
      <w:r w:rsidR="002A2742">
        <w:rPr>
          <w:rFonts w:ascii="Verdana" w:hAnsi="Verdana"/>
          <w:sz w:val="20"/>
          <w:szCs w:val="20"/>
        </w:rPr>
        <w:t>.</w:t>
      </w:r>
    </w:p>
    <w:p w14:paraId="75D0512D" w14:textId="77777777" w:rsidR="002160BB" w:rsidRDefault="002160BB" w:rsidP="006174F1">
      <w:pPr>
        <w:pStyle w:val="ListParagraph"/>
        <w:ind w:left="0"/>
        <w:jc w:val="both"/>
        <w:rPr>
          <w:rFonts w:ascii="Verdana" w:hAnsi="Verdana"/>
          <w:sz w:val="20"/>
          <w:szCs w:val="20"/>
        </w:rPr>
      </w:pPr>
    </w:p>
    <w:p w14:paraId="219E3DFC" w14:textId="7C58429A" w:rsidR="00C60D0F" w:rsidRDefault="00CE13F8" w:rsidP="006174F1">
      <w:pPr>
        <w:pStyle w:val="ListParagraph"/>
        <w:ind w:left="0"/>
        <w:jc w:val="both"/>
        <w:rPr>
          <w:rFonts w:ascii="Verdana" w:hAnsi="Verdana"/>
          <w:sz w:val="20"/>
          <w:szCs w:val="20"/>
        </w:rPr>
      </w:pPr>
      <w:r>
        <w:rPr>
          <w:rFonts w:ascii="Verdana" w:hAnsi="Verdana"/>
          <w:sz w:val="20"/>
          <w:szCs w:val="20"/>
        </w:rPr>
        <w:t>6</w:t>
      </w:r>
      <w:r w:rsidR="009153B6">
        <w:rPr>
          <w:rFonts w:ascii="Verdana" w:hAnsi="Verdana"/>
          <w:sz w:val="20"/>
          <w:szCs w:val="20"/>
        </w:rPr>
        <w:t xml:space="preserve">. </w:t>
      </w:r>
      <w:r w:rsidR="009153B6">
        <w:rPr>
          <w:rFonts w:ascii="Verdana" w:hAnsi="Verdana"/>
          <w:sz w:val="20"/>
          <w:szCs w:val="20"/>
        </w:rPr>
        <w:tab/>
      </w:r>
      <w:r w:rsidR="00C66AD5">
        <w:rPr>
          <w:rFonts w:ascii="Verdana" w:hAnsi="Verdana"/>
          <w:sz w:val="20"/>
          <w:szCs w:val="20"/>
        </w:rPr>
        <w:t>En</w:t>
      </w:r>
      <w:r w:rsidR="005F7809">
        <w:rPr>
          <w:rFonts w:ascii="Verdana" w:hAnsi="Verdana"/>
          <w:sz w:val="20"/>
          <w:szCs w:val="20"/>
        </w:rPr>
        <w:t xml:space="preserve"> la Sentencia</w:t>
      </w:r>
      <w:r w:rsidR="005F246D">
        <w:rPr>
          <w:rFonts w:ascii="Verdana" w:hAnsi="Verdana"/>
          <w:sz w:val="20"/>
          <w:szCs w:val="20"/>
        </w:rPr>
        <w:t xml:space="preserve">, </w:t>
      </w:r>
      <w:r w:rsidR="00285C15">
        <w:rPr>
          <w:rFonts w:ascii="Verdana" w:hAnsi="Verdana"/>
          <w:sz w:val="20"/>
          <w:szCs w:val="20"/>
        </w:rPr>
        <w:t>se concluye</w:t>
      </w:r>
      <w:r w:rsidR="005F246D">
        <w:rPr>
          <w:rFonts w:ascii="Verdana" w:hAnsi="Verdana"/>
          <w:sz w:val="20"/>
          <w:szCs w:val="20"/>
        </w:rPr>
        <w:t xml:space="preserve"> que el Estado violó el principio de progresividad contenido en el artículo 26 de la Convención Americana, en relación con el artículo 1.1 del mismo instrumento, como consecuencia de la inacción estatal en materia de protección al derecho a la salud para personas que viven con </w:t>
      </w:r>
      <w:r w:rsidR="00C41C89" w:rsidRPr="006C31D2">
        <w:rPr>
          <w:rFonts w:ascii="Verdana" w:hAnsi="Verdana"/>
          <w:sz w:val="20"/>
          <w:szCs w:val="20"/>
        </w:rPr>
        <w:t xml:space="preserve">el </w:t>
      </w:r>
      <w:r w:rsidR="005F246D" w:rsidRPr="006C31D2">
        <w:rPr>
          <w:rFonts w:ascii="Verdana" w:hAnsi="Verdana"/>
          <w:sz w:val="20"/>
          <w:szCs w:val="20"/>
        </w:rPr>
        <w:t>VIH</w:t>
      </w:r>
      <w:r w:rsidR="00C66AD5">
        <w:rPr>
          <w:rFonts w:ascii="Verdana" w:hAnsi="Verdana"/>
          <w:sz w:val="20"/>
          <w:szCs w:val="20"/>
        </w:rPr>
        <w:t xml:space="preserve"> </w:t>
      </w:r>
      <w:r w:rsidR="00B37BCD">
        <w:rPr>
          <w:rFonts w:ascii="Verdana" w:hAnsi="Verdana"/>
          <w:sz w:val="20"/>
          <w:szCs w:val="20"/>
        </w:rPr>
        <w:t>en Guatemala</w:t>
      </w:r>
      <w:r w:rsidR="006C31D2">
        <w:rPr>
          <w:rFonts w:ascii="Verdana" w:hAnsi="Verdana"/>
          <w:sz w:val="20"/>
          <w:szCs w:val="20"/>
        </w:rPr>
        <w:t>,</w:t>
      </w:r>
      <w:r w:rsidR="00F53F0C">
        <w:rPr>
          <w:rFonts w:ascii="Verdana" w:hAnsi="Verdana"/>
          <w:sz w:val="20"/>
          <w:szCs w:val="20"/>
        </w:rPr>
        <w:t xml:space="preserve"> pese a existir una obligación internacional y de una regulación estatal</w:t>
      </w:r>
      <w:r w:rsidR="00285C15" w:rsidRPr="009153B6">
        <w:rPr>
          <w:rStyle w:val="FootnoteReference"/>
          <w:rFonts w:ascii="Verdana" w:hAnsi="Verdana"/>
          <w:sz w:val="20"/>
          <w:szCs w:val="20"/>
        </w:rPr>
        <w:footnoteReference w:id="22"/>
      </w:r>
      <w:r w:rsidR="005F246D" w:rsidRPr="009153B6">
        <w:rPr>
          <w:rFonts w:ascii="Verdana" w:hAnsi="Verdana"/>
          <w:sz w:val="20"/>
          <w:szCs w:val="20"/>
        </w:rPr>
        <w:t>.</w:t>
      </w:r>
      <w:r w:rsidR="005F246D">
        <w:rPr>
          <w:rFonts w:ascii="Verdana" w:hAnsi="Verdana"/>
          <w:sz w:val="20"/>
          <w:szCs w:val="20"/>
        </w:rPr>
        <w:t xml:space="preserve"> </w:t>
      </w:r>
      <w:r w:rsidR="000E5189" w:rsidRPr="006C31D2">
        <w:rPr>
          <w:rFonts w:ascii="Verdana" w:hAnsi="Verdana"/>
          <w:sz w:val="20"/>
          <w:szCs w:val="20"/>
        </w:rPr>
        <w:t>S</w:t>
      </w:r>
      <w:r w:rsidR="005F246D" w:rsidRPr="006C31D2">
        <w:rPr>
          <w:rFonts w:ascii="Verdana" w:hAnsi="Verdana"/>
          <w:sz w:val="20"/>
          <w:szCs w:val="20"/>
        </w:rPr>
        <w:t>ostiene</w:t>
      </w:r>
      <w:r w:rsidR="005F246D">
        <w:rPr>
          <w:rFonts w:ascii="Verdana" w:hAnsi="Verdana"/>
          <w:sz w:val="20"/>
          <w:szCs w:val="20"/>
        </w:rPr>
        <w:t xml:space="preserve"> que </w:t>
      </w:r>
      <w:r w:rsidR="00C66AD5">
        <w:rPr>
          <w:rFonts w:ascii="Verdana" w:hAnsi="Verdana"/>
          <w:sz w:val="20"/>
          <w:szCs w:val="20"/>
        </w:rPr>
        <w:t>la dimensión progresiva de los DESCA, si bien reconoce una cierta gradualidad para su realización,</w:t>
      </w:r>
      <w:r w:rsidR="003F2977">
        <w:rPr>
          <w:rFonts w:ascii="Verdana" w:hAnsi="Verdana"/>
          <w:sz w:val="20"/>
          <w:szCs w:val="20"/>
        </w:rPr>
        <w:t xml:space="preserve"> que atiende a las características legislativas y a los recursos disponibles de un Estado en particular,</w:t>
      </w:r>
      <w:r w:rsidR="00C66AD5">
        <w:rPr>
          <w:rFonts w:ascii="Verdana" w:hAnsi="Verdana"/>
          <w:sz w:val="20"/>
          <w:szCs w:val="20"/>
        </w:rPr>
        <w:t xml:space="preserve"> también incluye un sentido</w:t>
      </w:r>
      <w:r w:rsidR="003F2977">
        <w:rPr>
          <w:rFonts w:ascii="Verdana" w:hAnsi="Verdana"/>
          <w:sz w:val="20"/>
          <w:szCs w:val="20"/>
        </w:rPr>
        <w:t xml:space="preserve"> de progreso</w:t>
      </w:r>
      <w:r w:rsidR="00C66AD5">
        <w:rPr>
          <w:rFonts w:ascii="Verdana" w:hAnsi="Verdana"/>
          <w:sz w:val="20"/>
          <w:szCs w:val="20"/>
        </w:rPr>
        <w:t xml:space="preserve"> que requiere una mejora efectiva</w:t>
      </w:r>
      <w:r w:rsidR="00F53F0C">
        <w:rPr>
          <w:rFonts w:ascii="Verdana" w:hAnsi="Verdana"/>
          <w:sz w:val="20"/>
          <w:szCs w:val="20"/>
        </w:rPr>
        <w:t xml:space="preserve"> y continua </w:t>
      </w:r>
      <w:r w:rsidR="00C66AD5">
        <w:rPr>
          <w:rFonts w:ascii="Verdana" w:hAnsi="Verdana"/>
          <w:sz w:val="20"/>
          <w:szCs w:val="20"/>
        </w:rPr>
        <w:t>de los derechos, de forma tal que se corrijan las desigualdades sociales y se facilite la inclusión de grupos vulnerables</w:t>
      </w:r>
      <w:r w:rsidR="00285C15" w:rsidRPr="009153B6">
        <w:rPr>
          <w:rStyle w:val="FootnoteReference"/>
          <w:rFonts w:ascii="Verdana" w:hAnsi="Verdana"/>
          <w:sz w:val="20"/>
          <w:szCs w:val="20"/>
        </w:rPr>
        <w:footnoteReference w:id="23"/>
      </w:r>
      <w:r w:rsidR="00C66AD5" w:rsidRPr="009153B6">
        <w:rPr>
          <w:rFonts w:ascii="Verdana" w:hAnsi="Verdana"/>
          <w:sz w:val="20"/>
          <w:szCs w:val="20"/>
        </w:rPr>
        <w:t>.</w:t>
      </w:r>
      <w:r w:rsidR="00C66AD5">
        <w:rPr>
          <w:rFonts w:ascii="Verdana" w:hAnsi="Verdana"/>
          <w:sz w:val="20"/>
          <w:szCs w:val="20"/>
        </w:rPr>
        <w:t xml:space="preserve"> En el análisis del caso </w:t>
      </w:r>
      <w:r w:rsidR="00285C15">
        <w:rPr>
          <w:rFonts w:ascii="Verdana" w:hAnsi="Verdana"/>
          <w:sz w:val="20"/>
          <w:szCs w:val="20"/>
        </w:rPr>
        <w:t xml:space="preserve">se </w:t>
      </w:r>
      <w:r w:rsidR="00C66AD5">
        <w:rPr>
          <w:rFonts w:ascii="Verdana" w:hAnsi="Verdana"/>
          <w:sz w:val="20"/>
          <w:szCs w:val="20"/>
        </w:rPr>
        <w:t xml:space="preserve">advirtió que Guatemala, a pesar de contar con una serie de leyes y políticas públicas vigentes con anterioridad al año 2004 para la atención médica de personas </w:t>
      </w:r>
      <w:r w:rsidR="00C66AD5" w:rsidRPr="006C31D2">
        <w:rPr>
          <w:rFonts w:ascii="Verdana" w:hAnsi="Verdana"/>
          <w:sz w:val="20"/>
          <w:szCs w:val="20"/>
        </w:rPr>
        <w:t>con</w:t>
      </w:r>
      <w:r w:rsidR="00C41C89" w:rsidRPr="006C31D2">
        <w:rPr>
          <w:rFonts w:ascii="Verdana" w:hAnsi="Verdana"/>
          <w:sz w:val="20"/>
          <w:szCs w:val="20"/>
        </w:rPr>
        <w:t xml:space="preserve"> el</w:t>
      </w:r>
      <w:r w:rsidR="00C66AD5" w:rsidRPr="006C31D2">
        <w:rPr>
          <w:rFonts w:ascii="Verdana" w:hAnsi="Verdana"/>
          <w:sz w:val="20"/>
          <w:szCs w:val="20"/>
        </w:rPr>
        <w:t xml:space="preserve"> VIH,</w:t>
      </w:r>
      <w:r w:rsidR="00C66AD5">
        <w:rPr>
          <w:rFonts w:ascii="Verdana" w:hAnsi="Verdana"/>
          <w:sz w:val="20"/>
          <w:szCs w:val="20"/>
        </w:rPr>
        <w:t xml:space="preserve"> prácticamente no proveyó atención médica</w:t>
      </w:r>
      <w:r w:rsidR="003F2977">
        <w:rPr>
          <w:rFonts w:ascii="Verdana" w:hAnsi="Verdana"/>
          <w:sz w:val="20"/>
          <w:szCs w:val="20"/>
        </w:rPr>
        <w:t xml:space="preserve"> directa</w:t>
      </w:r>
      <w:r w:rsidR="00C66AD5">
        <w:rPr>
          <w:rFonts w:ascii="Verdana" w:hAnsi="Verdana"/>
          <w:sz w:val="20"/>
          <w:szCs w:val="20"/>
        </w:rPr>
        <w:t xml:space="preserve"> más que a un limitado número de personas, que además no incluía a </w:t>
      </w:r>
      <w:r w:rsidR="00B86122" w:rsidRPr="006C31D2">
        <w:rPr>
          <w:rFonts w:ascii="Verdana" w:hAnsi="Verdana"/>
          <w:sz w:val="20"/>
          <w:szCs w:val="20"/>
        </w:rPr>
        <w:t>48 de las 49</w:t>
      </w:r>
      <w:r w:rsidR="00C66AD5">
        <w:rPr>
          <w:rFonts w:ascii="Verdana" w:hAnsi="Verdana"/>
          <w:sz w:val="20"/>
          <w:szCs w:val="20"/>
        </w:rPr>
        <w:t xml:space="preserve"> víctimas de este caso</w:t>
      </w:r>
      <w:r w:rsidR="00285C15" w:rsidRPr="009153B6">
        <w:rPr>
          <w:rStyle w:val="FootnoteReference"/>
          <w:rFonts w:ascii="Verdana" w:hAnsi="Verdana"/>
          <w:sz w:val="20"/>
          <w:szCs w:val="20"/>
        </w:rPr>
        <w:footnoteReference w:id="24"/>
      </w:r>
      <w:r w:rsidR="00C66AD5" w:rsidRPr="009153B6">
        <w:rPr>
          <w:rFonts w:ascii="Verdana" w:hAnsi="Verdana"/>
          <w:sz w:val="20"/>
          <w:szCs w:val="20"/>
        </w:rPr>
        <w:t>.</w:t>
      </w:r>
      <w:r w:rsidR="00C66AD5">
        <w:rPr>
          <w:rFonts w:ascii="Verdana" w:hAnsi="Verdana"/>
          <w:sz w:val="20"/>
          <w:szCs w:val="20"/>
        </w:rPr>
        <w:t xml:space="preserve"> </w:t>
      </w:r>
      <w:r w:rsidR="00F53F0C">
        <w:rPr>
          <w:rFonts w:ascii="Verdana" w:hAnsi="Verdana"/>
          <w:sz w:val="20"/>
          <w:szCs w:val="20"/>
        </w:rPr>
        <w:t>Esta</w:t>
      </w:r>
      <w:r w:rsidR="00C66AD5">
        <w:rPr>
          <w:rFonts w:ascii="Verdana" w:hAnsi="Verdana"/>
          <w:sz w:val="20"/>
          <w:szCs w:val="20"/>
        </w:rPr>
        <w:t xml:space="preserve"> </w:t>
      </w:r>
      <w:r w:rsidR="00C66AD5" w:rsidRPr="009153B6">
        <w:rPr>
          <w:rFonts w:ascii="Verdana" w:hAnsi="Verdana"/>
          <w:i/>
          <w:sz w:val="20"/>
          <w:szCs w:val="20"/>
        </w:rPr>
        <w:t>inacción estatal</w:t>
      </w:r>
      <w:r w:rsidR="00C66AD5">
        <w:rPr>
          <w:rFonts w:ascii="Verdana" w:hAnsi="Verdana"/>
          <w:sz w:val="20"/>
          <w:szCs w:val="20"/>
        </w:rPr>
        <w:t xml:space="preserve">, con anterioridad al año 2004, ante la epidemia del </w:t>
      </w:r>
      <w:r w:rsidR="00C66AD5" w:rsidRPr="004E0210">
        <w:rPr>
          <w:rFonts w:ascii="Verdana" w:hAnsi="Verdana"/>
          <w:sz w:val="20"/>
          <w:szCs w:val="20"/>
        </w:rPr>
        <w:t>VIH</w:t>
      </w:r>
      <w:r w:rsidR="00C66AD5">
        <w:rPr>
          <w:rFonts w:ascii="Verdana" w:hAnsi="Verdana"/>
          <w:sz w:val="20"/>
          <w:szCs w:val="20"/>
        </w:rPr>
        <w:t xml:space="preserve">, derivó en </w:t>
      </w:r>
      <w:r w:rsidR="00285C15">
        <w:rPr>
          <w:rFonts w:ascii="Verdana" w:hAnsi="Verdana"/>
          <w:sz w:val="20"/>
          <w:szCs w:val="20"/>
        </w:rPr>
        <w:t>la</w:t>
      </w:r>
      <w:r w:rsidR="00C66AD5">
        <w:rPr>
          <w:rFonts w:ascii="Verdana" w:hAnsi="Verdana"/>
          <w:sz w:val="20"/>
          <w:szCs w:val="20"/>
        </w:rPr>
        <w:t xml:space="preserve"> responsabilidad internacional </w:t>
      </w:r>
      <w:r w:rsidR="00285C15">
        <w:rPr>
          <w:rFonts w:ascii="Verdana" w:hAnsi="Verdana"/>
          <w:sz w:val="20"/>
          <w:szCs w:val="20"/>
        </w:rPr>
        <w:t xml:space="preserve">del Estado </w:t>
      </w:r>
      <w:r w:rsidR="00C66AD5">
        <w:rPr>
          <w:rFonts w:ascii="Verdana" w:hAnsi="Verdana"/>
          <w:sz w:val="20"/>
          <w:szCs w:val="20"/>
        </w:rPr>
        <w:t>por violación al principio de progresividad en materia de protección a la salud.</w:t>
      </w:r>
    </w:p>
    <w:p w14:paraId="3587E476" w14:textId="77777777" w:rsidR="00BF7B90" w:rsidRDefault="00BF7B90" w:rsidP="006174F1">
      <w:pPr>
        <w:pStyle w:val="ListParagraph"/>
        <w:ind w:left="0"/>
        <w:jc w:val="both"/>
        <w:rPr>
          <w:rFonts w:ascii="Verdana" w:hAnsi="Verdana"/>
          <w:sz w:val="20"/>
          <w:szCs w:val="20"/>
        </w:rPr>
      </w:pPr>
    </w:p>
    <w:p w14:paraId="7C9D31AE" w14:textId="67E60D58" w:rsidR="00BF7B90" w:rsidRPr="00285C15" w:rsidRDefault="002B6217" w:rsidP="006174F1">
      <w:pPr>
        <w:pStyle w:val="ListParagraph"/>
        <w:ind w:left="0"/>
        <w:jc w:val="both"/>
        <w:rPr>
          <w:rFonts w:ascii="Verdana" w:hAnsi="Verdana"/>
          <w:sz w:val="20"/>
          <w:szCs w:val="20"/>
        </w:rPr>
      </w:pPr>
      <w:r>
        <w:rPr>
          <w:rFonts w:ascii="Verdana" w:hAnsi="Verdana"/>
          <w:sz w:val="20"/>
          <w:szCs w:val="20"/>
        </w:rPr>
        <w:t>7</w:t>
      </w:r>
      <w:r w:rsidR="009153B6">
        <w:rPr>
          <w:rFonts w:ascii="Verdana" w:hAnsi="Verdana"/>
          <w:sz w:val="20"/>
          <w:szCs w:val="20"/>
        </w:rPr>
        <w:t xml:space="preserve">. </w:t>
      </w:r>
      <w:r w:rsidR="009153B6">
        <w:rPr>
          <w:rFonts w:ascii="Verdana" w:hAnsi="Verdana"/>
          <w:sz w:val="20"/>
          <w:szCs w:val="20"/>
        </w:rPr>
        <w:tab/>
      </w:r>
      <w:r w:rsidR="0076146B">
        <w:rPr>
          <w:rFonts w:ascii="Verdana" w:hAnsi="Verdana"/>
          <w:sz w:val="20"/>
          <w:szCs w:val="20"/>
        </w:rPr>
        <w:t>L</w:t>
      </w:r>
      <w:r w:rsidR="001C34D3">
        <w:rPr>
          <w:rFonts w:ascii="Verdana" w:hAnsi="Verdana"/>
          <w:sz w:val="20"/>
          <w:szCs w:val="20"/>
        </w:rPr>
        <w:t>a Sentencia se refiere precisamente al incumplimiento del Estado en su deber de hacer</w:t>
      </w:r>
      <w:r w:rsidR="00B37BCD">
        <w:rPr>
          <w:rFonts w:ascii="Verdana" w:hAnsi="Verdana"/>
          <w:sz w:val="20"/>
          <w:szCs w:val="20"/>
        </w:rPr>
        <w:t xml:space="preserve">, en el sentido mencionado en el caso de </w:t>
      </w:r>
      <w:r w:rsidR="00B37BCD">
        <w:rPr>
          <w:rFonts w:ascii="Verdana" w:hAnsi="Verdana"/>
          <w:i/>
          <w:sz w:val="20"/>
          <w:szCs w:val="20"/>
        </w:rPr>
        <w:t>Acevedo Buendía</w:t>
      </w:r>
      <w:r w:rsidR="001C34D3">
        <w:rPr>
          <w:rFonts w:ascii="Verdana" w:hAnsi="Verdana"/>
          <w:sz w:val="20"/>
          <w:szCs w:val="20"/>
        </w:rPr>
        <w:t>. La tesis central</w:t>
      </w:r>
      <w:r w:rsidR="007A1617">
        <w:rPr>
          <w:rFonts w:ascii="Verdana" w:hAnsi="Verdana"/>
          <w:sz w:val="20"/>
          <w:szCs w:val="20"/>
        </w:rPr>
        <w:t xml:space="preserve"> que sostiene la </w:t>
      </w:r>
      <w:r w:rsidR="00B37BCD">
        <w:rPr>
          <w:rFonts w:ascii="Verdana" w:hAnsi="Verdana"/>
          <w:sz w:val="20"/>
          <w:szCs w:val="20"/>
        </w:rPr>
        <w:t xml:space="preserve">mayoría en </w:t>
      </w:r>
      <w:r w:rsidR="00B37BCD">
        <w:rPr>
          <w:rFonts w:ascii="Verdana" w:hAnsi="Verdana"/>
          <w:i/>
          <w:sz w:val="20"/>
          <w:szCs w:val="20"/>
        </w:rPr>
        <w:t>Cuscul Pivaral</w:t>
      </w:r>
      <w:r w:rsidR="001C34D3">
        <w:rPr>
          <w:rFonts w:ascii="Verdana" w:hAnsi="Verdana"/>
          <w:sz w:val="20"/>
          <w:szCs w:val="20"/>
        </w:rPr>
        <w:t xml:space="preserve"> es que</w:t>
      </w:r>
      <w:r w:rsidR="00B37BCD">
        <w:rPr>
          <w:rFonts w:ascii="Verdana" w:hAnsi="Verdana"/>
          <w:sz w:val="20"/>
          <w:szCs w:val="20"/>
        </w:rPr>
        <w:t>,</w:t>
      </w:r>
      <w:r w:rsidR="001C34D3">
        <w:rPr>
          <w:rFonts w:ascii="Verdana" w:hAnsi="Verdana"/>
          <w:sz w:val="20"/>
          <w:szCs w:val="20"/>
        </w:rPr>
        <w:t xml:space="preserve"> si bien el Estado goza de un margen de actuación para el cumplimiento de sus obligaciones de progresividad en materia de DESCA, esto no puede ser interpretado como un cheque en blanco para no adoptar ninguna medida de protección, o de adoptar medidas que sean tan precarias en sus alcances que dejen en una situación de desprotección a personas en situación de vulnerabilidad</w:t>
      </w:r>
      <w:r w:rsidR="007A1617">
        <w:rPr>
          <w:rFonts w:ascii="Verdana" w:hAnsi="Verdana"/>
          <w:sz w:val="20"/>
          <w:szCs w:val="20"/>
        </w:rPr>
        <w:t>,</w:t>
      </w:r>
      <w:r w:rsidR="001C34D3">
        <w:rPr>
          <w:rFonts w:ascii="Verdana" w:hAnsi="Verdana"/>
          <w:sz w:val="20"/>
          <w:szCs w:val="20"/>
        </w:rPr>
        <w:t xml:space="preserve"> que además tienen un riesgo de sufrir graves afectaciones a su integridad o a su vida. </w:t>
      </w:r>
      <w:r w:rsidR="001C34D3" w:rsidRPr="00285C15">
        <w:rPr>
          <w:rFonts w:ascii="Verdana" w:hAnsi="Verdana"/>
          <w:sz w:val="20"/>
          <w:szCs w:val="20"/>
        </w:rPr>
        <w:t>Esta es la situación de las personas que viven con</w:t>
      </w:r>
      <w:r w:rsidR="00C41C89">
        <w:rPr>
          <w:rFonts w:ascii="Verdana" w:hAnsi="Verdana"/>
          <w:sz w:val="20"/>
          <w:szCs w:val="20"/>
        </w:rPr>
        <w:t xml:space="preserve"> </w:t>
      </w:r>
      <w:r w:rsidR="00C41C89" w:rsidRPr="006C31D2">
        <w:rPr>
          <w:rFonts w:ascii="Verdana" w:hAnsi="Verdana"/>
          <w:sz w:val="20"/>
          <w:szCs w:val="20"/>
        </w:rPr>
        <w:t>el</w:t>
      </w:r>
      <w:r w:rsidR="001C34D3" w:rsidRPr="00285C15">
        <w:rPr>
          <w:rFonts w:ascii="Verdana" w:hAnsi="Verdana"/>
          <w:sz w:val="20"/>
          <w:szCs w:val="20"/>
        </w:rPr>
        <w:t xml:space="preserve"> VIH,</w:t>
      </w:r>
      <w:r w:rsidR="00B37BCD" w:rsidRPr="00285C15">
        <w:rPr>
          <w:rFonts w:ascii="Verdana" w:hAnsi="Verdana"/>
          <w:sz w:val="20"/>
          <w:szCs w:val="20"/>
        </w:rPr>
        <w:t xml:space="preserve"> que estaban en un claro riesgo de adquirir enfermedades oportunistas y por lo tanto sufrir afectaciones a su integridad personal o su </w:t>
      </w:r>
      <w:r w:rsidR="00B37BCD" w:rsidRPr="00285C15">
        <w:rPr>
          <w:rFonts w:ascii="Verdana" w:hAnsi="Verdana"/>
          <w:sz w:val="20"/>
          <w:szCs w:val="20"/>
        </w:rPr>
        <w:lastRenderedPageBreak/>
        <w:t>vida,</w:t>
      </w:r>
      <w:r w:rsidR="00285C15" w:rsidRPr="00285C15">
        <w:rPr>
          <w:rFonts w:ascii="Verdana" w:hAnsi="Verdana"/>
          <w:sz w:val="20"/>
          <w:szCs w:val="20"/>
        </w:rPr>
        <w:t xml:space="preserve"> y de ahí la condena al</w:t>
      </w:r>
      <w:r w:rsidR="001C34D3" w:rsidRPr="00285C15">
        <w:rPr>
          <w:rFonts w:ascii="Verdana" w:hAnsi="Verdana"/>
          <w:sz w:val="20"/>
          <w:szCs w:val="20"/>
        </w:rPr>
        <w:t xml:space="preserve"> Estado</w:t>
      </w:r>
      <w:r w:rsidR="007A1617" w:rsidRPr="00285C15">
        <w:rPr>
          <w:rFonts w:ascii="Verdana" w:hAnsi="Verdana"/>
          <w:sz w:val="20"/>
          <w:szCs w:val="20"/>
        </w:rPr>
        <w:t xml:space="preserve"> de Guatemala en el presente caso</w:t>
      </w:r>
      <w:r w:rsidR="004D60A1" w:rsidRPr="00285C15">
        <w:rPr>
          <w:rFonts w:ascii="Verdana" w:hAnsi="Verdana"/>
          <w:sz w:val="20"/>
          <w:szCs w:val="20"/>
        </w:rPr>
        <w:t xml:space="preserve"> por la </w:t>
      </w:r>
      <w:r w:rsidR="004D60A1" w:rsidRPr="00285C15">
        <w:rPr>
          <w:rFonts w:ascii="Verdana" w:hAnsi="Verdana"/>
          <w:i/>
          <w:sz w:val="20"/>
          <w:szCs w:val="20"/>
        </w:rPr>
        <w:t>inacción</w:t>
      </w:r>
      <w:r w:rsidR="004D60A1" w:rsidRPr="00285C15">
        <w:rPr>
          <w:rFonts w:ascii="Verdana" w:hAnsi="Verdana"/>
          <w:sz w:val="20"/>
          <w:szCs w:val="20"/>
        </w:rPr>
        <w:t xml:space="preserve"> estatal en materia de protección efectiva con anterioridad al año 2004</w:t>
      </w:r>
      <w:r w:rsidR="007A1617" w:rsidRPr="00285C15">
        <w:rPr>
          <w:rFonts w:ascii="Verdana" w:hAnsi="Verdana"/>
          <w:sz w:val="20"/>
          <w:szCs w:val="20"/>
        </w:rPr>
        <w:t>.</w:t>
      </w:r>
      <w:r w:rsidR="0076146B">
        <w:rPr>
          <w:rFonts w:ascii="Verdana" w:hAnsi="Verdana"/>
          <w:sz w:val="20"/>
          <w:szCs w:val="20"/>
        </w:rPr>
        <w:t xml:space="preserve"> En </w:t>
      </w:r>
      <w:r w:rsidR="0076146B">
        <w:rPr>
          <w:rFonts w:ascii="Verdana" w:hAnsi="Verdana"/>
          <w:i/>
          <w:sz w:val="20"/>
          <w:szCs w:val="20"/>
        </w:rPr>
        <w:t xml:space="preserve">Cuscul Pivaral </w:t>
      </w:r>
      <w:r w:rsidR="0076146B">
        <w:rPr>
          <w:rFonts w:ascii="Verdana" w:hAnsi="Verdana"/>
          <w:sz w:val="20"/>
          <w:szCs w:val="20"/>
        </w:rPr>
        <w:t>la Corte no identificó la existencia de medidas que hayan sido regresivas en la protección de personas que viven con</w:t>
      </w:r>
      <w:r w:rsidR="00C41C89">
        <w:rPr>
          <w:rFonts w:ascii="Verdana" w:hAnsi="Verdana"/>
          <w:sz w:val="20"/>
          <w:szCs w:val="20"/>
        </w:rPr>
        <w:t xml:space="preserve"> </w:t>
      </w:r>
      <w:r w:rsidR="00C41C89" w:rsidRPr="006C31D2">
        <w:rPr>
          <w:rFonts w:ascii="Verdana" w:hAnsi="Verdana"/>
          <w:sz w:val="20"/>
          <w:szCs w:val="20"/>
        </w:rPr>
        <w:t>el</w:t>
      </w:r>
      <w:r w:rsidR="0076146B">
        <w:rPr>
          <w:rFonts w:ascii="Verdana" w:hAnsi="Verdana"/>
          <w:sz w:val="20"/>
          <w:szCs w:val="20"/>
        </w:rPr>
        <w:t xml:space="preserve"> VIH en Guatemala. De hecho, reconoció la existencia de una serie de leyes, planes de gobierno y aumentos presupuestarios, sobre todo después del año 2004, dirigidos a garantizar una adecuada atención en salu</w:t>
      </w:r>
      <w:r w:rsidR="0028407C">
        <w:rPr>
          <w:rFonts w:ascii="Verdana" w:hAnsi="Verdana"/>
          <w:sz w:val="20"/>
          <w:szCs w:val="20"/>
        </w:rPr>
        <w:t>d que, pese a su existencia con posterioridad al 2004 tampoco garantizaron de manera efectiva el derecho</w:t>
      </w:r>
      <w:r w:rsidR="005927B2" w:rsidRPr="006C31D2">
        <w:rPr>
          <w:rStyle w:val="FootnoteReference"/>
          <w:rFonts w:ascii="Verdana" w:hAnsi="Verdana"/>
          <w:sz w:val="20"/>
          <w:szCs w:val="20"/>
        </w:rPr>
        <w:footnoteReference w:id="25"/>
      </w:r>
      <w:r w:rsidR="0028407C" w:rsidRPr="006C31D2">
        <w:rPr>
          <w:rFonts w:ascii="Verdana" w:hAnsi="Verdana"/>
          <w:sz w:val="20"/>
          <w:szCs w:val="20"/>
        </w:rPr>
        <w:t>.</w:t>
      </w:r>
    </w:p>
    <w:p w14:paraId="42E1B924" w14:textId="77777777" w:rsidR="001C34D3" w:rsidRPr="007A1617" w:rsidRDefault="001C34D3" w:rsidP="006174F1">
      <w:pPr>
        <w:rPr>
          <w:rFonts w:ascii="Verdana" w:hAnsi="Verdana"/>
          <w:sz w:val="20"/>
          <w:szCs w:val="20"/>
        </w:rPr>
      </w:pPr>
    </w:p>
    <w:p w14:paraId="5AE94AA6" w14:textId="6A608F8A" w:rsidR="001C34D3" w:rsidRDefault="002B6217" w:rsidP="006174F1">
      <w:pPr>
        <w:pStyle w:val="ListParagraph"/>
        <w:ind w:left="0"/>
        <w:jc w:val="both"/>
        <w:rPr>
          <w:rFonts w:ascii="Verdana" w:hAnsi="Verdana"/>
          <w:sz w:val="20"/>
          <w:szCs w:val="20"/>
        </w:rPr>
      </w:pPr>
      <w:r>
        <w:rPr>
          <w:rFonts w:ascii="Verdana" w:hAnsi="Verdana"/>
          <w:sz w:val="20"/>
          <w:szCs w:val="20"/>
        </w:rPr>
        <w:t>8</w:t>
      </w:r>
      <w:r w:rsidR="009153B6">
        <w:rPr>
          <w:rFonts w:ascii="Verdana" w:hAnsi="Verdana"/>
          <w:sz w:val="20"/>
          <w:szCs w:val="20"/>
        </w:rPr>
        <w:t xml:space="preserve">. </w:t>
      </w:r>
      <w:r w:rsidR="009153B6">
        <w:rPr>
          <w:rFonts w:ascii="Verdana" w:hAnsi="Verdana"/>
          <w:sz w:val="20"/>
          <w:szCs w:val="20"/>
        </w:rPr>
        <w:tab/>
      </w:r>
      <w:r w:rsidR="007A1617">
        <w:rPr>
          <w:rFonts w:ascii="Verdana" w:hAnsi="Verdana"/>
          <w:sz w:val="20"/>
          <w:szCs w:val="20"/>
        </w:rPr>
        <w:t xml:space="preserve">Ahora bien, </w:t>
      </w:r>
      <w:r w:rsidR="00AE4060">
        <w:rPr>
          <w:rFonts w:ascii="Verdana" w:hAnsi="Verdana"/>
          <w:sz w:val="20"/>
          <w:szCs w:val="20"/>
        </w:rPr>
        <w:t>el criterio de la Sentencia, además de su valor en relación con la atención de las personas que viven con</w:t>
      </w:r>
      <w:r w:rsidR="00C41C89">
        <w:rPr>
          <w:rFonts w:ascii="Verdana" w:hAnsi="Verdana"/>
          <w:sz w:val="20"/>
          <w:szCs w:val="20"/>
        </w:rPr>
        <w:t xml:space="preserve"> </w:t>
      </w:r>
      <w:r w:rsidR="00C41C89" w:rsidRPr="006C31D2">
        <w:rPr>
          <w:rFonts w:ascii="Verdana" w:hAnsi="Verdana"/>
          <w:sz w:val="20"/>
          <w:szCs w:val="20"/>
        </w:rPr>
        <w:t>el</w:t>
      </w:r>
      <w:r w:rsidR="00AE4060">
        <w:rPr>
          <w:rFonts w:ascii="Verdana" w:hAnsi="Verdana"/>
          <w:sz w:val="20"/>
          <w:szCs w:val="20"/>
        </w:rPr>
        <w:t xml:space="preserve"> VIH en Guatemala</w:t>
      </w:r>
      <w:r w:rsidR="007A1617">
        <w:rPr>
          <w:rFonts w:ascii="Verdana" w:hAnsi="Verdana"/>
          <w:sz w:val="20"/>
          <w:szCs w:val="20"/>
        </w:rPr>
        <w:t xml:space="preserve">, abre una importante puerta para que en el futuro la Comisión o los representantes </w:t>
      </w:r>
      <w:r w:rsidR="00285C15">
        <w:rPr>
          <w:rFonts w:ascii="Verdana" w:hAnsi="Verdana"/>
          <w:sz w:val="20"/>
          <w:szCs w:val="20"/>
        </w:rPr>
        <w:t xml:space="preserve">de las víctimas </w:t>
      </w:r>
      <w:r w:rsidR="007A1617">
        <w:rPr>
          <w:rFonts w:ascii="Verdana" w:hAnsi="Verdana"/>
          <w:sz w:val="20"/>
          <w:szCs w:val="20"/>
        </w:rPr>
        <w:t>formulen alegatos</w:t>
      </w:r>
      <w:r w:rsidR="00012324">
        <w:rPr>
          <w:rFonts w:ascii="Verdana" w:hAnsi="Verdana"/>
          <w:sz w:val="20"/>
          <w:szCs w:val="20"/>
        </w:rPr>
        <w:t xml:space="preserve"> ante </w:t>
      </w:r>
      <w:r w:rsidR="0076146B">
        <w:rPr>
          <w:rFonts w:ascii="Verdana" w:hAnsi="Verdana"/>
          <w:sz w:val="20"/>
          <w:szCs w:val="20"/>
        </w:rPr>
        <w:t xml:space="preserve">el Tribunal Interamericano </w:t>
      </w:r>
      <w:r w:rsidR="007A1617">
        <w:rPr>
          <w:rFonts w:ascii="Verdana" w:hAnsi="Verdana"/>
          <w:sz w:val="20"/>
          <w:szCs w:val="20"/>
        </w:rPr>
        <w:t xml:space="preserve">relacionados ya sea con la inactividad estatal en materia de protección de los DESCA, o </w:t>
      </w:r>
      <w:r w:rsidR="005927B2" w:rsidRPr="006C31D2">
        <w:rPr>
          <w:rFonts w:ascii="Verdana" w:hAnsi="Verdana"/>
          <w:sz w:val="20"/>
          <w:szCs w:val="20"/>
        </w:rPr>
        <w:t>con</w:t>
      </w:r>
      <w:r w:rsidR="007A1617">
        <w:rPr>
          <w:rFonts w:ascii="Verdana" w:hAnsi="Verdana"/>
          <w:sz w:val="20"/>
          <w:szCs w:val="20"/>
        </w:rPr>
        <w:t xml:space="preserve"> la existencia de medidas regresivas en su protección y que sean atribuibles al Estado. Esta labor, sin embargo, deberá ser realizad</w:t>
      </w:r>
      <w:r w:rsidR="00012324">
        <w:rPr>
          <w:rFonts w:ascii="Verdana" w:hAnsi="Verdana"/>
          <w:sz w:val="20"/>
          <w:szCs w:val="20"/>
        </w:rPr>
        <w:t>a</w:t>
      </w:r>
      <w:r w:rsidR="007A1617">
        <w:rPr>
          <w:rFonts w:ascii="Verdana" w:hAnsi="Verdana"/>
          <w:sz w:val="20"/>
          <w:szCs w:val="20"/>
        </w:rPr>
        <w:t xml:space="preserve"> atendiendo a </w:t>
      </w:r>
      <w:r w:rsidR="00012324">
        <w:rPr>
          <w:rFonts w:ascii="Verdana" w:hAnsi="Verdana"/>
          <w:sz w:val="20"/>
          <w:szCs w:val="20"/>
        </w:rPr>
        <w:t>los retos metodológicos</w:t>
      </w:r>
      <w:r w:rsidR="007A1617">
        <w:rPr>
          <w:rFonts w:ascii="Verdana" w:hAnsi="Verdana"/>
          <w:sz w:val="20"/>
          <w:szCs w:val="20"/>
        </w:rPr>
        <w:t xml:space="preserve"> que implica la evaluación de la política estatal en materia de </w:t>
      </w:r>
      <w:r w:rsidR="00012324">
        <w:rPr>
          <w:rFonts w:ascii="Verdana" w:hAnsi="Verdana"/>
          <w:sz w:val="20"/>
          <w:szCs w:val="20"/>
        </w:rPr>
        <w:t>protección a los derechos sociales en</w:t>
      </w:r>
      <w:r w:rsidR="007A1617">
        <w:rPr>
          <w:rFonts w:ascii="Verdana" w:hAnsi="Verdana"/>
          <w:sz w:val="20"/>
          <w:szCs w:val="20"/>
        </w:rPr>
        <w:t xml:space="preserve"> una sociedad democrática. Para la Comisión y los representantes </w:t>
      </w:r>
      <w:r w:rsidR="00285C15">
        <w:rPr>
          <w:rFonts w:ascii="Verdana" w:hAnsi="Verdana"/>
          <w:sz w:val="20"/>
          <w:szCs w:val="20"/>
        </w:rPr>
        <w:t xml:space="preserve">de las víctimas, </w:t>
      </w:r>
      <w:r w:rsidR="007A1617">
        <w:rPr>
          <w:rFonts w:ascii="Verdana" w:hAnsi="Verdana"/>
          <w:sz w:val="20"/>
          <w:szCs w:val="20"/>
        </w:rPr>
        <w:t>el reto estará en poder demostrar que el Estado efectivamente adoptó medidas regresivas que afecten la realización de un</w:t>
      </w:r>
      <w:r w:rsidR="00EC056E">
        <w:rPr>
          <w:rFonts w:ascii="Verdana" w:hAnsi="Verdana"/>
          <w:sz w:val="20"/>
          <w:szCs w:val="20"/>
        </w:rPr>
        <w:t>o o varios</w:t>
      </w:r>
      <w:r w:rsidR="007A1617">
        <w:rPr>
          <w:rFonts w:ascii="Verdana" w:hAnsi="Verdana"/>
          <w:sz w:val="20"/>
          <w:szCs w:val="20"/>
        </w:rPr>
        <w:t xml:space="preserve"> DESCA protegido</w:t>
      </w:r>
      <w:r w:rsidR="00EC056E">
        <w:rPr>
          <w:rFonts w:ascii="Verdana" w:hAnsi="Verdana"/>
          <w:sz w:val="20"/>
          <w:szCs w:val="20"/>
        </w:rPr>
        <w:t>s</w:t>
      </w:r>
      <w:r w:rsidR="007A1617">
        <w:rPr>
          <w:rFonts w:ascii="Verdana" w:hAnsi="Verdana"/>
          <w:sz w:val="20"/>
          <w:szCs w:val="20"/>
        </w:rPr>
        <w:t xml:space="preserve"> por el artículo 26 de la Convención Americana. Esto implicará la formulación de argumentos que demuestren el reconocimiento explícito o implícito de un derecho </w:t>
      </w:r>
      <w:r w:rsidR="00285C15">
        <w:rPr>
          <w:rFonts w:ascii="Verdana" w:hAnsi="Verdana"/>
          <w:sz w:val="20"/>
          <w:szCs w:val="20"/>
        </w:rPr>
        <w:t>protegido vía artículo 26 del Pacto de San José</w:t>
      </w:r>
      <w:r w:rsidR="005F5054">
        <w:rPr>
          <w:rFonts w:ascii="Verdana" w:hAnsi="Verdana"/>
          <w:sz w:val="20"/>
          <w:szCs w:val="20"/>
        </w:rPr>
        <w:t xml:space="preserve">, así como </w:t>
      </w:r>
      <w:r w:rsidR="00012324">
        <w:rPr>
          <w:rFonts w:ascii="Verdana" w:hAnsi="Verdana"/>
          <w:sz w:val="20"/>
          <w:szCs w:val="20"/>
        </w:rPr>
        <w:t>la remisión del material probatorio necesario</w:t>
      </w:r>
      <w:r w:rsidR="005F5054">
        <w:rPr>
          <w:rFonts w:ascii="Verdana" w:hAnsi="Verdana"/>
          <w:sz w:val="20"/>
          <w:szCs w:val="20"/>
        </w:rPr>
        <w:t xml:space="preserve"> para acreditar que las acciones estatales efectivamente implicaron </w:t>
      </w:r>
      <w:r w:rsidR="00EC056E">
        <w:rPr>
          <w:rFonts w:ascii="Verdana" w:hAnsi="Verdana"/>
          <w:sz w:val="20"/>
          <w:szCs w:val="20"/>
        </w:rPr>
        <w:t xml:space="preserve">una inacción y/o </w:t>
      </w:r>
      <w:r w:rsidR="005F5054">
        <w:rPr>
          <w:rFonts w:ascii="Verdana" w:hAnsi="Verdana"/>
          <w:sz w:val="20"/>
          <w:szCs w:val="20"/>
        </w:rPr>
        <w:t xml:space="preserve">regresión </w:t>
      </w:r>
      <w:r w:rsidR="00012324">
        <w:rPr>
          <w:rFonts w:ascii="Verdana" w:hAnsi="Verdana"/>
          <w:sz w:val="20"/>
          <w:szCs w:val="20"/>
        </w:rPr>
        <w:t xml:space="preserve">no justificada </w:t>
      </w:r>
      <w:r w:rsidR="005F5054">
        <w:rPr>
          <w:rFonts w:ascii="Verdana" w:hAnsi="Verdana"/>
          <w:sz w:val="20"/>
          <w:szCs w:val="20"/>
        </w:rPr>
        <w:t xml:space="preserve">en la efectividad de ese derecho. Por su parte, el Estado deberá </w:t>
      </w:r>
      <w:r w:rsidR="00EC056E">
        <w:rPr>
          <w:rFonts w:ascii="Verdana" w:hAnsi="Verdana"/>
          <w:sz w:val="20"/>
          <w:szCs w:val="20"/>
        </w:rPr>
        <w:t>justificar</w:t>
      </w:r>
      <w:r w:rsidR="005F5054">
        <w:rPr>
          <w:rFonts w:ascii="Verdana" w:hAnsi="Verdana"/>
          <w:sz w:val="20"/>
          <w:szCs w:val="20"/>
        </w:rPr>
        <w:t xml:space="preserve"> que sus accione</w:t>
      </w:r>
      <w:r w:rsidR="00EC056E">
        <w:rPr>
          <w:rFonts w:ascii="Verdana" w:hAnsi="Verdana"/>
          <w:sz w:val="20"/>
          <w:szCs w:val="20"/>
        </w:rPr>
        <w:t>s</w:t>
      </w:r>
      <w:r w:rsidR="005F5054">
        <w:rPr>
          <w:rFonts w:ascii="Verdana" w:hAnsi="Verdana"/>
          <w:sz w:val="20"/>
          <w:szCs w:val="20"/>
        </w:rPr>
        <w:t xml:space="preserve"> </w:t>
      </w:r>
      <w:r w:rsidR="00EC056E">
        <w:rPr>
          <w:rFonts w:ascii="Verdana" w:hAnsi="Verdana"/>
          <w:sz w:val="20"/>
          <w:szCs w:val="20"/>
        </w:rPr>
        <w:t xml:space="preserve">han tendido a la plena realización del derecho o </w:t>
      </w:r>
      <w:r w:rsidR="005F5054">
        <w:rPr>
          <w:rFonts w:ascii="Verdana" w:hAnsi="Verdana"/>
          <w:sz w:val="20"/>
          <w:szCs w:val="20"/>
        </w:rPr>
        <w:t xml:space="preserve">bien no fueron regresivas, </w:t>
      </w:r>
      <w:r w:rsidR="00EC056E">
        <w:rPr>
          <w:rFonts w:ascii="Verdana" w:hAnsi="Verdana"/>
          <w:sz w:val="20"/>
          <w:szCs w:val="20"/>
        </w:rPr>
        <w:t>y si se presentara este último supuesto</w:t>
      </w:r>
      <w:r w:rsidR="00D23361">
        <w:rPr>
          <w:rFonts w:ascii="Verdana" w:hAnsi="Verdana"/>
          <w:sz w:val="20"/>
          <w:szCs w:val="20"/>
        </w:rPr>
        <w:t>,</w:t>
      </w:r>
      <w:r w:rsidR="00EC056E">
        <w:rPr>
          <w:rFonts w:ascii="Verdana" w:hAnsi="Verdana"/>
          <w:sz w:val="20"/>
          <w:szCs w:val="20"/>
        </w:rPr>
        <w:t xml:space="preserve"> acreditar que dicha regresividad</w:t>
      </w:r>
      <w:r w:rsidR="005F5054">
        <w:rPr>
          <w:rFonts w:ascii="Verdana" w:hAnsi="Verdana"/>
          <w:sz w:val="20"/>
          <w:szCs w:val="20"/>
        </w:rPr>
        <w:t xml:space="preserve"> se encuentra justificada conforme a los estándares que el propio derecho internacional reconoce</w:t>
      </w:r>
      <w:r w:rsidR="00EC056E">
        <w:rPr>
          <w:rFonts w:ascii="Verdana" w:hAnsi="Verdana"/>
          <w:sz w:val="20"/>
          <w:szCs w:val="20"/>
        </w:rPr>
        <w:t xml:space="preserve">. </w:t>
      </w:r>
    </w:p>
    <w:p w14:paraId="69590FE5" w14:textId="77777777" w:rsidR="005F5054" w:rsidRDefault="005F5054" w:rsidP="006174F1">
      <w:pPr>
        <w:pStyle w:val="ListParagraph"/>
        <w:ind w:left="0"/>
        <w:jc w:val="both"/>
        <w:rPr>
          <w:rFonts w:ascii="Verdana" w:hAnsi="Verdana"/>
          <w:sz w:val="20"/>
          <w:szCs w:val="20"/>
        </w:rPr>
      </w:pPr>
    </w:p>
    <w:p w14:paraId="6E9A7650" w14:textId="7B2DE92D" w:rsidR="001F432C" w:rsidRDefault="002B6217" w:rsidP="006174F1">
      <w:pPr>
        <w:pStyle w:val="ListParagraph"/>
        <w:ind w:left="0"/>
        <w:jc w:val="both"/>
        <w:rPr>
          <w:rFonts w:ascii="Verdana" w:hAnsi="Verdana"/>
          <w:sz w:val="20"/>
          <w:szCs w:val="20"/>
        </w:rPr>
      </w:pPr>
      <w:r>
        <w:rPr>
          <w:rFonts w:ascii="Verdana" w:hAnsi="Verdana"/>
          <w:sz w:val="20"/>
          <w:szCs w:val="20"/>
        </w:rPr>
        <w:t>9</w:t>
      </w:r>
      <w:r w:rsidR="009153B6" w:rsidRPr="00B6213F">
        <w:rPr>
          <w:rFonts w:ascii="Verdana" w:hAnsi="Verdana"/>
          <w:sz w:val="20"/>
          <w:szCs w:val="20"/>
        </w:rPr>
        <w:t xml:space="preserve">. </w:t>
      </w:r>
      <w:r w:rsidR="009153B6" w:rsidRPr="00B6213F">
        <w:rPr>
          <w:rFonts w:ascii="Verdana" w:hAnsi="Verdana"/>
          <w:sz w:val="20"/>
          <w:szCs w:val="20"/>
        </w:rPr>
        <w:tab/>
      </w:r>
      <w:r w:rsidR="005F5054" w:rsidRPr="00B6213F">
        <w:rPr>
          <w:rFonts w:ascii="Verdana" w:hAnsi="Verdana"/>
          <w:sz w:val="20"/>
          <w:szCs w:val="20"/>
        </w:rPr>
        <w:t xml:space="preserve">En cualquier caso, los Estados deberán continuar con sus esfuerzos de transparentar la manera en que la protección de los DESCA </w:t>
      </w:r>
      <w:r w:rsidR="00793C4C" w:rsidRPr="006C31D2">
        <w:rPr>
          <w:rFonts w:ascii="Verdana" w:hAnsi="Verdana"/>
          <w:sz w:val="20"/>
          <w:szCs w:val="20"/>
        </w:rPr>
        <w:t xml:space="preserve">es </w:t>
      </w:r>
      <w:r w:rsidR="00C711B2" w:rsidRPr="006C31D2">
        <w:rPr>
          <w:rFonts w:ascii="Verdana" w:hAnsi="Verdana"/>
          <w:sz w:val="20"/>
          <w:szCs w:val="20"/>
        </w:rPr>
        <w:t>realizada</w:t>
      </w:r>
      <w:r w:rsidR="00793C4C" w:rsidRPr="00B6213F">
        <w:rPr>
          <w:rFonts w:ascii="Verdana" w:hAnsi="Verdana"/>
          <w:sz w:val="20"/>
          <w:szCs w:val="20"/>
        </w:rPr>
        <w:t xml:space="preserve"> </w:t>
      </w:r>
      <w:r w:rsidR="005F5054" w:rsidRPr="00B6213F">
        <w:rPr>
          <w:rFonts w:ascii="Verdana" w:hAnsi="Verdana"/>
          <w:sz w:val="20"/>
          <w:szCs w:val="20"/>
        </w:rPr>
        <w:t>en su territorio. En ese sentido, cabe des</w:t>
      </w:r>
      <w:r w:rsidR="001B0474" w:rsidRPr="00B6213F">
        <w:rPr>
          <w:rFonts w:ascii="Verdana" w:hAnsi="Verdana"/>
          <w:sz w:val="20"/>
          <w:szCs w:val="20"/>
        </w:rPr>
        <w:t xml:space="preserve">tacar la </w:t>
      </w:r>
      <w:r w:rsidR="0036466D" w:rsidRPr="00B6213F">
        <w:rPr>
          <w:rFonts w:ascii="Verdana" w:hAnsi="Verdana"/>
          <w:sz w:val="20"/>
          <w:szCs w:val="20"/>
        </w:rPr>
        <w:t>resolución de la Asamblea General de la O</w:t>
      </w:r>
      <w:r w:rsidR="0047731F">
        <w:rPr>
          <w:rFonts w:ascii="Verdana" w:hAnsi="Verdana"/>
          <w:sz w:val="20"/>
          <w:szCs w:val="20"/>
        </w:rPr>
        <w:t xml:space="preserve">rganización de </w:t>
      </w:r>
      <w:r w:rsidR="0036466D" w:rsidRPr="00B6213F">
        <w:rPr>
          <w:rFonts w:ascii="Verdana" w:hAnsi="Verdana"/>
          <w:sz w:val="20"/>
          <w:szCs w:val="20"/>
        </w:rPr>
        <w:t>E</w:t>
      </w:r>
      <w:r w:rsidR="0047731F">
        <w:rPr>
          <w:rFonts w:ascii="Verdana" w:hAnsi="Verdana"/>
          <w:sz w:val="20"/>
          <w:szCs w:val="20"/>
        </w:rPr>
        <w:t xml:space="preserve">stados </w:t>
      </w:r>
      <w:r w:rsidR="0036466D" w:rsidRPr="006C31D2">
        <w:rPr>
          <w:rFonts w:ascii="Verdana" w:hAnsi="Verdana"/>
          <w:sz w:val="20"/>
          <w:szCs w:val="20"/>
        </w:rPr>
        <w:t>A</w:t>
      </w:r>
      <w:r w:rsidR="0047731F" w:rsidRPr="006C31D2">
        <w:rPr>
          <w:rFonts w:ascii="Verdana" w:hAnsi="Verdana"/>
          <w:sz w:val="20"/>
          <w:szCs w:val="20"/>
        </w:rPr>
        <w:t xml:space="preserve">mericanos </w:t>
      </w:r>
      <w:r w:rsidR="0036466D" w:rsidRPr="006C31D2">
        <w:rPr>
          <w:rFonts w:ascii="Verdana" w:hAnsi="Verdana"/>
          <w:sz w:val="20"/>
          <w:szCs w:val="20"/>
        </w:rPr>
        <w:t>de</w:t>
      </w:r>
      <w:r w:rsidR="0036466D" w:rsidRPr="00B6213F">
        <w:rPr>
          <w:rFonts w:ascii="Verdana" w:hAnsi="Verdana"/>
          <w:sz w:val="20"/>
          <w:szCs w:val="20"/>
        </w:rPr>
        <w:t xml:space="preserve"> 4 junio de 2012</w:t>
      </w:r>
      <w:r w:rsidR="001F432C">
        <w:rPr>
          <w:rFonts w:ascii="Verdana" w:hAnsi="Verdana"/>
          <w:sz w:val="20"/>
          <w:szCs w:val="20"/>
        </w:rPr>
        <w:t>,</w:t>
      </w:r>
      <w:r w:rsidR="0036466D" w:rsidRPr="00B6213F">
        <w:rPr>
          <w:rFonts w:ascii="Verdana" w:hAnsi="Verdana"/>
          <w:sz w:val="20"/>
          <w:szCs w:val="20"/>
        </w:rPr>
        <w:t xml:space="preserve"> en la cual los Estados aprobaron el documento “Indicadores de progreso para la medición de derechos contemplados en el Protocolo de San Salvador”</w:t>
      </w:r>
      <w:r w:rsidR="00FA5BFD" w:rsidRPr="00B6213F">
        <w:rPr>
          <w:rFonts w:ascii="Verdana" w:hAnsi="Verdana"/>
          <w:sz w:val="20"/>
          <w:szCs w:val="20"/>
        </w:rPr>
        <w:t xml:space="preserve">, que contiene las pautas y los criterios </w:t>
      </w:r>
      <w:r w:rsidR="00161214">
        <w:rPr>
          <w:rFonts w:ascii="Verdana" w:hAnsi="Verdana"/>
          <w:sz w:val="20"/>
          <w:szCs w:val="20"/>
        </w:rPr>
        <w:t>adoptados por</w:t>
      </w:r>
      <w:r w:rsidR="00FA5BFD" w:rsidRPr="00B6213F">
        <w:rPr>
          <w:rFonts w:ascii="Verdana" w:hAnsi="Verdana"/>
          <w:sz w:val="20"/>
          <w:szCs w:val="20"/>
        </w:rPr>
        <w:t xml:space="preserve"> los Estados parte del </w:t>
      </w:r>
      <w:r w:rsidR="005927B2" w:rsidRPr="006C31D2">
        <w:rPr>
          <w:rFonts w:ascii="Verdana" w:hAnsi="Verdana"/>
          <w:sz w:val="20"/>
          <w:szCs w:val="20"/>
        </w:rPr>
        <w:t>Protocolo adicional a la Convención Americana sobre Derechos Humanos en materia de derechos económicos, sociales y culturales (en adelante, “Protocolo de San Salvador”</w:t>
      </w:r>
      <w:r w:rsidR="00E70243" w:rsidRPr="006C31D2">
        <w:rPr>
          <w:rFonts w:ascii="Verdana" w:hAnsi="Verdana"/>
          <w:sz w:val="20"/>
          <w:szCs w:val="20"/>
        </w:rPr>
        <w:t>)</w:t>
      </w:r>
      <w:r w:rsidR="00FA5BFD" w:rsidRPr="00B6213F">
        <w:rPr>
          <w:rFonts w:ascii="Verdana" w:hAnsi="Verdana"/>
          <w:sz w:val="20"/>
          <w:szCs w:val="20"/>
        </w:rPr>
        <w:t xml:space="preserve"> para la medición del cumplimiento de los derechos dispuestos en </w:t>
      </w:r>
      <w:r w:rsidR="00E70243" w:rsidRPr="006C31D2">
        <w:rPr>
          <w:rFonts w:ascii="Verdana" w:hAnsi="Verdana"/>
          <w:sz w:val="20"/>
          <w:szCs w:val="20"/>
        </w:rPr>
        <w:t>dicho</w:t>
      </w:r>
      <w:r w:rsidR="00E70243" w:rsidRPr="00B6213F">
        <w:rPr>
          <w:rFonts w:ascii="Verdana" w:hAnsi="Verdana"/>
          <w:sz w:val="20"/>
          <w:szCs w:val="20"/>
        </w:rPr>
        <w:t xml:space="preserve"> </w:t>
      </w:r>
      <w:r w:rsidR="00FA5BFD" w:rsidRPr="00B6213F">
        <w:rPr>
          <w:rFonts w:ascii="Verdana" w:hAnsi="Verdana"/>
          <w:sz w:val="20"/>
          <w:szCs w:val="20"/>
        </w:rPr>
        <w:t>Protocolo</w:t>
      </w:r>
      <w:r w:rsidR="00161214" w:rsidRPr="00B6213F">
        <w:rPr>
          <w:rStyle w:val="FootnoteReference"/>
          <w:rFonts w:ascii="Verdana" w:hAnsi="Verdana"/>
          <w:sz w:val="20"/>
          <w:szCs w:val="20"/>
        </w:rPr>
        <w:footnoteReference w:id="26"/>
      </w:r>
      <w:r w:rsidR="00FA5BFD" w:rsidRPr="00B6213F">
        <w:rPr>
          <w:rFonts w:ascii="Verdana" w:hAnsi="Verdana"/>
          <w:sz w:val="20"/>
          <w:szCs w:val="20"/>
        </w:rPr>
        <w:t>.</w:t>
      </w:r>
    </w:p>
    <w:p w14:paraId="134D56C3" w14:textId="77777777" w:rsidR="00860789" w:rsidRDefault="00860789" w:rsidP="006174F1">
      <w:pPr>
        <w:pStyle w:val="ListParagraph"/>
        <w:ind w:left="0"/>
        <w:jc w:val="both"/>
        <w:rPr>
          <w:rFonts w:ascii="Verdana" w:hAnsi="Verdana"/>
          <w:sz w:val="20"/>
          <w:szCs w:val="20"/>
        </w:rPr>
      </w:pPr>
    </w:p>
    <w:p w14:paraId="065AED95" w14:textId="7C99EDE3" w:rsidR="005F5054" w:rsidRDefault="002B6217" w:rsidP="006174F1">
      <w:pPr>
        <w:pStyle w:val="ListParagraph"/>
        <w:ind w:left="0"/>
        <w:jc w:val="both"/>
        <w:rPr>
          <w:rFonts w:ascii="Verdana" w:hAnsi="Verdana"/>
          <w:sz w:val="20"/>
          <w:szCs w:val="20"/>
        </w:rPr>
      </w:pPr>
      <w:r>
        <w:rPr>
          <w:rFonts w:ascii="Verdana" w:hAnsi="Verdana"/>
          <w:sz w:val="20"/>
          <w:szCs w:val="20"/>
        </w:rPr>
        <w:lastRenderedPageBreak/>
        <w:t>10</w:t>
      </w:r>
      <w:r w:rsidR="001F432C">
        <w:rPr>
          <w:rFonts w:ascii="Verdana" w:hAnsi="Verdana"/>
          <w:sz w:val="20"/>
          <w:szCs w:val="20"/>
        </w:rPr>
        <w:t xml:space="preserve">. </w:t>
      </w:r>
      <w:r w:rsidR="001F432C">
        <w:rPr>
          <w:rFonts w:ascii="Verdana" w:hAnsi="Verdana"/>
          <w:sz w:val="20"/>
          <w:szCs w:val="20"/>
        </w:rPr>
        <w:tab/>
      </w:r>
      <w:r w:rsidR="00FA5BFD" w:rsidRPr="00B6213F">
        <w:rPr>
          <w:rFonts w:ascii="Verdana" w:hAnsi="Verdana"/>
          <w:sz w:val="20"/>
          <w:szCs w:val="20"/>
        </w:rPr>
        <w:t>Estos criterios sirven como la base para que los Estados presenten información sobre el cumplimiento de sus obligaciones en materia de los derechos contenidos en el Protocolo</w:t>
      </w:r>
      <w:r w:rsidR="00CA3144">
        <w:rPr>
          <w:rFonts w:ascii="Verdana" w:hAnsi="Verdana"/>
          <w:sz w:val="20"/>
          <w:szCs w:val="20"/>
        </w:rPr>
        <w:t xml:space="preserve"> </w:t>
      </w:r>
      <w:r w:rsidR="00CA3144" w:rsidRPr="006C31D2">
        <w:rPr>
          <w:rFonts w:ascii="Verdana" w:hAnsi="Verdana"/>
          <w:sz w:val="20"/>
          <w:szCs w:val="20"/>
        </w:rPr>
        <w:t>de San Salvador</w:t>
      </w:r>
      <w:r w:rsidR="00161214" w:rsidRPr="00B6213F">
        <w:rPr>
          <w:rStyle w:val="FootnoteReference"/>
          <w:rFonts w:ascii="Verdana" w:hAnsi="Verdana"/>
          <w:sz w:val="20"/>
          <w:szCs w:val="20"/>
        </w:rPr>
        <w:footnoteReference w:id="27"/>
      </w:r>
      <w:r w:rsidR="00FA5BFD" w:rsidRPr="00B6213F">
        <w:rPr>
          <w:rFonts w:ascii="Verdana" w:hAnsi="Verdana"/>
          <w:sz w:val="20"/>
          <w:szCs w:val="20"/>
        </w:rPr>
        <w:t>, y pueden también ser</w:t>
      </w:r>
      <w:r w:rsidR="00B6213F" w:rsidRPr="00B6213F">
        <w:rPr>
          <w:rFonts w:ascii="Verdana" w:hAnsi="Verdana"/>
          <w:sz w:val="20"/>
          <w:szCs w:val="20"/>
        </w:rPr>
        <w:t xml:space="preserve"> elementos importantes</w:t>
      </w:r>
      <w:r w:rsidR="00FA5BFD" w:rsidRPr="00B6213F">
        <w:rPr>
          <w:rFonts w:ascii="Verdana" w:hAnsi="Verdana"/>
          <w:sz w:val="20"/>
          <w:szCs w:val="20"/>
        </w:rPr>
        <w:t xml:space="preserve"> para evaluar el</w:t>
      </w:r>
      <w:r w:rsidR="00B6213F" w:rsidRPr="00B6213F">
        <w:rPr>
          <w:rFonts w:ascii="Verdana" w:hAnsi="Verdana"/>
          <w:sz w:val="20"/>
          <w:szCs w:val="20"/>
        </w:rPr>
        <w:t xml:space="preserve"> cumplimiento de los Estados en materia de DESCA en relación con</w:t>
      </w:r>
      <w:r w:rsidR="00FA5BFD" w:rsidRPr="00B6213F">
        <w:rPr>
          <w:rFonts w:ascii="Verdana" w:hAnsi="Verdana"/>
          <w:sz w:val="20"/>
          <w:szCs w:val="20"/>
        </w:rPr>
        <w:t xml:space="preserve"> </w:t>
      </w:r>
      <w:r w:rsidR="001F432C">
        <w:rPr>
          <w:rFonts w:ascii="Verdana" w:hAnsi="Verdana"/>
          <w:sz w:val="20"/>
          <w:szCs w:val="20"/>
        </w:rPr>
        <w:t xml:space="preserve">el </w:t>
      </w:r>
      <w:r w:rsidR="00FA5BFD" w:rsidRPr="00B6213F">
        <w:rPr>
          <w:rFonts w:ascii="Verdana" w:hAnsi="Verdana"/>
          <w:sz w:val="20"/>
          <w:szCs w:val="20"/>
        </w:rPr>
        <w:t xml:space="preserve">artículo </w:t>
      </w:r>
      <w:r w:rsidR="00FA5BFD" w:rsidRPr="006C31D2">
        <w:rPr>
          <w:rFonts w:ascii="Verdana" w:hAnsi="Verdana"/>
          <w:sz w:val="20"/>
          <w:szCs w:val="20"/>
        </w:rPr>
        <w:t>26</w:t>
      </w:r>
      <w:r w:rsidR="00DA0F44" w:rsidRPr="006C31D2">
        <w:rPr>
          <w:rFonts w:ascii="Verdana" w:hAnsi="Verdana"/>
          <w:sz w:val="20"/>
          <w:szCs w:val="20"/>
        </w:rPr>
        <w:t xml:space="preserve"> de la Convención</w:t>
      </w:r>
      <w:r w:rsidR="001C61D5" w:rsidRPr="006C31D2">
        <w:rPr>
          <w:rFonts w:ascii="Verdana" w:hAnsi="Verdana"/>
          <w:sz w:val="20"/>
          <w:szCs w:val="20"/>
        </w:rPr>
        <w:t>.</w:t>
      </w:r>
      <w:r w:rsidR="001C61D5" w:rsidRPr="00FA5BFD">
        <w:rPr>
          <w:rFonts w:ascii="Verdana" w:hAnsi="Verdana"/>
          <w:sz w:val="20"/>
          <w:szCs w:val="20"/>
        </w:rPr>
        <w:t xml:space="preserve"> Por supuesto, como lo</w:t>
      </w:r>
      <w:r w:rsidR="0047731F">
        <w:rPr>
          <w:rFonts w:ascii="Verdana" w:hAnsi="Verdana"/>
          <w:sz w:val="20"/>
          <w:szCs w:val="20"/>
        </w:rPr>
        <w:t xml:space="preserve"> afirma</w:t>
      </w:r>
      <w:r w:rsidR="001C61D5" w:rsidRPr="00FA5BFD">
        <w:rPr>
          <w:rFonts w:ascii="Verdana" w:hAnsi="Verdana"/>
          <w:sz w:val="20"/>
          <w:szCs w:val="20"/>
        </w:rPr>
        <w:t xml:space="preserve"> la Sentencia</w:t>
      </w:r>
      <w:r w:rsidR="009153B6" w:rsidRPr="009153B6">
        <w:rPr>
          <w:rStyle w:val="FootnoteReference"/>
          <w:rFonts w:ascii="Verdana" w:hAnsi="Verdana"/>
          <w:sz w:val="20"/>
          <w:szCs w:val="20"/>
        </w:rPr>
        <w:footnoteReference w:id="28"/>
      </w:r>
      <w:r w:rsidR="001C61D5" w:rsidRPr="00FA5BFD">
        <w:rPr>
          <w:rFonts w:ascii="Verdana" w:hAnsi="Verdana"/>
          <w:sz w:val="20"/>
          <w:szCs w:val="20"/>
        </w:rPr>
        <w:t xml:space="preserve">, </w:t>
      </w:r>
      <w:r w:rsidR="00D844CE" w:rsidRPr="00FA5BFD">
        <w:rPr>
          <w:rFonts w:ascii="Verdana" w:hAnsi="Verdana"/>
          <w:sz w:val="20"/>
          <w:szCs w:val="20"/>
        </w:rPr>
        <w:t xml:space="preserve">la competencia de la Corte para conocer sobre violaciones </w:t>
      </w:r>
      <w:r w:rsidR="00D844CE" w:rsidRPr="006C31D2">
        <w:rPr>
          <w:rFonts w:ascii="Verdana" w:hAnsi="Verdana"/>
          <w:sz w:val="20"/>
          <w:szCs w:val="20"/>
        </w:rPr>
        <w:t xml:space="preserve">al </w:t>
      </w:r>
      <w:r w:rsidR="00DA0F44" w:rsidRPr="006C31D2">
        <w:rPr>
          <w:rFonts w:ascii="Verdana" w:hAnsi="Verdana"/>
          <w:sz w:val="20"/>
          <w:szCs w:val="20"/>
        </w:rPr>
        <w:t>P</w:t>
      </w:r>
      <w:r w:rsidR="00D844CE" w:rsidRPr="006C31D2">
        <w:rPr>
          <w:rFonts w:ascii="Verdana" w:hAnsi="Verdana"/>
          <w:sz w:val="20"/>
          <w:szCs w:val="20"/>
        </w:rPr>
        <w:t>rotocolo</w:t>
      </w:r>
      <w:r w:rsidR="00D844CE" w:rsidRPr="00FA5BFD">
        <w:rPr>
          <w:rFonts w:ascii="Verdana" w:hAnsi="Verdana"/>
          <w:sz w:val="20"/>
          <w:szCs w:val="20"/>
        </w:rPr>
        <w:t xml:space="preserve"> de San Salvador encuentra sus límites en el artículo 19.6 de ese instrumento. Pero esto no implica que la información que los Estados presentan en sus informes nacionales no </w:t>
      </w:r>
      <w:r w:rsidR="00FA5BFD" w:rsidRPr="00FA5BFD">
        <w:rPr>
          <w:rFonts w:ascii="Verdana" w:hAnsi="Verdana"/>
          <w:sz w:val="20"/>
          <w:szCs w:val="20"/>
        </w:rPr>
        <w:t>pueda ser utilizada</w:t>
      </w:r>
      <w:r w:rsidR="00D844CE" w:rsidRPr="00FA5BFD">
        <w:rPr>
          <w:rFonts w:ascii="Verdana" w:hAnsi="Verdana"/>
          <w:sz w:val="20"/>
          <w:szCs w:val="20"/>
        </w:rPr>
        <w:t xml:space="preserve"> como prueba</w:t>
      </w:r>
      <w:r w:rsidR="00E94750" w:rsidRPr="00FA5BFD">
        <w:rPr>
          <w:rFonts w:ascii="Verdana" w:hAnsi="Verdana"/>
          <w:sz w:val="20"/>
          <w:szCs w:val="20"/>
        </w:rPr>
        <w:t xml:space="preserve"> ya sea para la Comisión</w:t>
      </w:r>
      <w:r w:rsidR="00D844CE" w:rsidRPr="00FA5BFD">
        <w:rPr>
          <w:rFonts w:ascii="Verdana" w:hAnsi="Verdana"/>
          <w:sz w:val="20"/>
          <w:szCs w:val="20"/>
        </w:rPr>
        <w:t xml:space="preserve"> o para </w:t>
      </w:r>
      <w:r w:rsidR="00FA5BFD" w:rsidRPr="00FA5BFD">
        <w:rPr>
          <w:rFonts w:ascii="Verdana" w:hAnsi="Verdana"/>
          <w:sz w:val="20"/>
          <w:szCs w:val="20"/>
        </w:rPr>
        <w:t xml:space="preserve">los representantes </w:t>
      </w:r>
      <w:r w:rsidR="00B6213F">
        <w:rPr>
          <w:rFonts w:ascii="Verdana" w:hAnsi="Verdana"/>
          <w:sz w:val="20"/>
          <w:szCs w:val="20"/>
        </w:rPr>
        <w:t xml:space="preserve">de las víctimas </w:t>
      </w:r>
      <w:r w:rsidR="00FA5BFD" w:rsidRPr="00FA5BFD">
        <w:rPr>
          <w:rFonts w:ascii="Verdana" w:hAnsi="Verdana"/>
          <w:sz w:val="20"/>
          <w:szCs w:val="20"/>
        </w:rPr>
        <w:t>o el Estado.</w:t>
      </w:r>
      <w:r w:rsidR="00FA5BFD">
        <w:rPr>
          <w:rFonts w:ascii="Verdana" w:hAnsi="Verdana"/>
          <w:sz w:val="20"/>
          <w:szCs w:val="20"/>
        </w:rPr>
        <w:t xml:space="preserve"> </w:t>
      </w:r>
      <w:r w:rsidR="001F432C">
        <w:rPr>
          <w:rFonts w:ascii="Verdana" w:hAnsi="Verdana"/>
          <w:sz w:val="20"/>
          <w:szCs w:val="20"/>
        </w:rPr>
        <w:t>Lo importante —</w:t>
      </w:r>
      <w:r w:rsidR="00D844CE" w:rsidRPr="00FA5BFD">
        <w:rPr>
          <w:rFonts w:ascii="Verdana" w:hAnsi="Verdana"/>
          <w:sz w:val="20"/>
          <w:szCs w:val="20"/>
        </w:rPr>
        <w:t>para efectos de esta reflexión</w:t>
      </w:r>
      <w:r w:rsidR="001F432C">
        <w:rPr>
          <w:rFonts w:ascii="Verdana" w:hAnsi="Verdana"/>
          <w:sz w:val="20"/>
          <w:szCs w:val="20"/>
        </w:rPr>
        <w:t>—</w:t>
      </w:r>
      <w:r w:rsidR="00D844CE" w:rsidRPr="00FA5BFD">
        <w:rPr>
          <w:rFonts w:ascii="Verdana" w:hAnsi="Verdana"/>
          <w:sz w:val="20"/>
          <w:szCs w:val="20"/>
        </w:rPr>
        <w:t xml:space="preserve"> es que aquellos alegatos relacionados con la falta de realización de los DESCA estén formulados como argumentos jurídicos sólidos</w:t>
      </w:r>
      <w:r w:rsidR="00E94750" w:rsidRPr="00FA5BFD">
        <w:rPr>
          <w:rFonts w:ascii="Verdana" w:hAnsi="Verdana"/>
          <w:sz w:val="20"/>
          <w:szCs w:val="20"/>
        </w:rPr>
        <w:t>,</w:t>
      </w:r>
      <w:r w:rsidR="00D844CE" w:rsidRPr="00FA5BFD">
        <w:rPr>
          <w:rFonts w:ascii="Verdana" w:hAnsi="Verdana"/>
          <w:sz w:val="20"/>
          <w:szCs w:val="20"/>
        </w:rPr>
        <w:t xml:space="preserve"> y sobre la base de los datos</w:t>
      </w:r>
      <w:r w:rsidR="00012324" w:rsidRPr="00FA5BFD">
        <w:rPr>
          <w:rFonts w:ascii="Verdana" w:hAnsi="Verdana"/>
          <w:sz w:val="20"/>
          <w:szCs w:val="20"/>
        </w:rPr>
        <w:t xml:space="preserve"> y demás material probatorio que permita</w:t>
      </w:r>
      <w:r w:rsidR="00D844CE" w:rsidRPr="00FA5BFD">
        <w:rPr>
          <w:rFonts w:ascii="Verdana" w:hAnsi="Verdana"/>
          <w:sz w:val="20"/>
          <w:szCs w:val="20"/>
        </w:rPr>
        <w:t xml:space="preserve"> </w:t>
      </w:r>
      <w:r w:rsidR="00012324" w:rsidRPr="00FA5BFD">
        <w:rPr>
          <w:rFonts w:ascii="Verdana" w:hAnsi="Verdana"/>
          <w:sz w:val="20"/>
          <w:szCs w:val="20"/>
        </w:rPr>
        <w:t>acreditar</w:t>
      </w:r>
      <w:r w:rsidR="00D844CE" w:rsidRPr="00FA5BFD">
        <w:rPr>
          <w:rFonts w:ascii="Verdana" w:hAnsi="Verdana"/>
          <w:sz w:val="20"/>
          <w:szCs w:val="20"/>
        </w:rPr>
        <w:t xml:space="preserve"> la manera en que el</w:t>
      </w:r>
      <w:r w:rsidR="001F432C">
        <w:rPr>
          <w:rFonts w:ascii="Verdana" w:hAnsi="Verdana"/>
          <w:sz w:val="20"/>
          <w:szCs w:val="20"/>
        </w:rPr>
        <w:t xml:space="preserve"> Estado ha cumplido —</w:t>
      </w:r>
      <w:r w:rsidR="00D844CE" w:rsidRPr="00FA5BFD">
        <w:rPr>
          <w:rFonts w:ascii="Verdana" w:hAnsi="Verdana"/>
          <w:sz w:val="20"/>
          <w:szCs w:val="20"/>
        </w:rPr>
        <w:t>o ha dejado de cumplir</w:t>
      </w:r>
      <w:r w:rsidR="001F432C">
        <w:rPr>
          <w:rFonts w:ascii="Verdana" w:hAnsi="Verdana"/>
          <w:sz w:val="20"/>
          <w:szCs w:val="20"/>
        </w:rPr>
        <w:t>—</w:t>
      </w:r>
      <w:r w:rsidR="00D844CE" w:rsidRPr="00FA5BFD">
        <w:rPr>
          <w:rFonts w:ascii="Verdana" w:hAnsi="Verdana"/>
          <w:sz w:val="20"/>
          <w:szCs w:val="20"/>
        </w:rPr>
        <w:t xml:space="preserve"> </w:t>
      </w:r>
      <w:r w:rsidR="0047731F">
        <w:rPr>
          <w:rFonts w:ascii="Verdana" w:hAnsi="Verdana"/>
          <w:sz w:val="20"/>
          <w:szCs w:val="20"/>
        </w:rPr>
        <w:t xml:space="preserve">la efectiva realización de los derechos </w:t>
      </w:r>
      <w:r w:rsidR="00D844CE" w:rsidRPr="00DD1072">
        <w:rPr>
          <w:rFonts w:ascii="Verdana" w:hAnsi="Verdana"/>
          <w:sz w:val="20"/>
          <w:szCs w:val="20"/>
        </w:rPr>
        <w:t>en los términos del artículo 26 de la Convención Americana.</w:t>
      </w:r>
    </w:p>
    <w:p w14:paraId="15962099" w14:textId="77777777" w:rsidR="00B23E1E" w:rsidRDefault="00B23E1E" w:rsidP="006174F1">
      <w:pPr>
        <w:pStyle w:val="ListParagraph"/>
        <w:ind w:left="0"/>
        <w:jc w:val="both"/>
        <w:rPr>
          <w:rFonts w:ascii="Verdana" w:hAnsi="Verdana"/>
          <w:sz w:val="20"/>
          <w:szCs w:val="20"/>
        </w:rPr>
      </w:pPr>
    </w:p>
    <w:p w14:paraId="25B6D747" w14:textId="455DF539" w:rsidR="00C711B2" w:rsidRDefault="00C711B2" w:rsidP="006174F1">
      <w:pPr>
        <w:pStyle w:val="ListParagraph"/>
        <w:ind w:left="0"/>
        <w:jc w:val="both"/>
        <w:rPr>
          <w:rFonts w:ascii="Verdana" w:hAnsi="Verdana"/>
          <w:sz w:val="20"/>
          <w:szCs w:val="20"/>
        </w:rPr>
      </w:pPr>
      <w:r w:rsidRPr="006C31D2">
        <w:rPr>
          <w:rFonts w:ascii="Verdana" w:hAnsi="Verdana"/>
          <w:b/>
          <w:sz w:val="20"/>
          <w:szCs w:val="20"/>
          <w:u w:val="single"/>
          <w:lang w:val="es-ES"/>
        </w:rPr>
        <w:t>B. Algunas decisiones de las altas jurisdicciones nacionales relacionadas con el mandato de progresividad y con la protección del derecho a la salud de las personas que viven con el VIH</w:t>
      </w:r>
    </w:p>
    <w:p w14:paraId="3BE2429F" w14:textId="2434900E" w:rsidR="00B23E1E" w:rsidRPr="00437223" w:rsidRDefault="002B6217" w:rsidP="006174F1">
      <w:pPr>
        <w:pStyle w:val="List2"/>
        <w:spacing w:before="100" w:beforeAutospacing="1" w:after="0" w:line="240" w:lineRule="auto"/>
        <w:ind w:left="0" w:firstLine="0"/>
        <w:jc w:val="both"/>
        <w:rPr>
          <w:rFonts w:ascii="Verdana" w:hAnsi="Verdana"/>
          <w:sz w:val="20"/>
          <w:szCs w:val="20"/>
        </w:rPr>
      </w:pPr>
      <w:r w:rsidRPr="006C31D2">
        <w:rPr>
          <w:rFonts w:ascii="Verdana" w:hAnsi="Verdana"/>
          <w:sz w:val="20"/>
          <w:szCs w:val="20"/>
        </w:rPr>
        <w:t>11.</w:t>
      </w:r>
      <w:r w:rsidRPr="006C31D2">
        <w:rPr>
          <w:rFonts w:ascii="Verdana" w:hAnsi="Verdana"/>
          <w:sz w:val="20"/>
          <w:szCs w:val="20"/>
        </w:rPr>
        <w:tab/>
      </w:r>
      <w:r w:rsidR="00C711B2" w:rsidRPr="006C31D2">
        <w:rPr>
          <w:rFonts w:ascii="Verdana" w:hAnsi="Verdana"/>
          <w:sz w:val="20"/>
          <w:szCs w:val="20"/>
        </w:rPr>
        <w:t xml:space="preserve">La aproximación adoptada por la Corte Interamericana en este caso no es nada nuevo en nuestra región. </w:t>
      </w:r>
      <w:r w:rsidR="00B23E1E" w:rsidRPr="006C31D2">
        <w:rPr>
          <w:rFonts w:ascii="Verdana" w:hAnsi="Verdana"/>
          <w:sz w:val="20"/>
          <w:szCs w:val="20"/>
        </w:rPr>
        <w:t>Las altas jurisdicciones nacionales han desarrollado estándares importantes para lograr la plena efectividad del derecho a la salud en el marco de la obligación de progresividad y la prohibición de regresividad</w:t>
      </w:r>
      <w:r w:rsidR="00161214" w:rsidRPr="006C31D2">
        <w:rPr>
          <w:rStyle w:val="FootnoteReference"/>
          <w:rFonts w:ascii="Verdana" w:hAnsi="Verdana"/>
          <w:sz w:val="20"/>
          <w:szCs w:val="20"/>
        </w:rPr>
        <w:footnoteReference w:id="29"/>
      </w:r>
      <w:r w:rsidR="00B23E1E" w:rsidRPr="006C31D2">
        <w:rPr>
          <w:rFonts w:ascii="Verdana" w:hAnsi="Verdana"/>
          <w:sz w:val="20"/>
          <w:szCs w:val="20"/>
        </w:rPr>
        <w:t>. En algunos casos, han considerado las circunstancias particulares de las personas que padecen VIH/SIDA y la situación de vulnerabilidad que éstas presentan.</w:t>
      </w:r>
      <w:r w:rsidR="00C711B2" w:rsidRPr="006C31D2">
        <w:rPr>
          <w:rFonts w:ascii="Verdana" w:hAnsi="Verdana"/>
          <w:sz w:val="20"/>
          <w:szCs w:val="20"/>
        </w:rPr>
        <w:t xml:space="preserve"> A continuación me referiré a algunas de </w:t>
      </w:r>
      <w:r w:rsidR="00131C7C" w:rsidRPr="006C31D2">
        <w:rPr>
          <w:rFonts w:ascii="Verdana" w:hAnsi="Verdana"/>
          <w:sz w:val="20"/>
          <w:szCs w:val="20"/>
        </w:rPr>
        <w:t>estos estándares con el objetivo de mostrar un panorama general de la materia</w:t>
      </w:r>
      <w:r w:rsidR="00C711B2" w:rsidRPr="006C31D2">
        <w:rPr>
          <w:rFonts w:ascii="Verdana" w:hAnsi="Verdana"/>
          <w:sz w:val="20"/>
          <w:szCs w:val="20"/>
        </w:rPr>
        <w:t>.</w:t>
      </w:r>
    </w:p>
    <w:p w14:paraId="7222953E" w14:textId="77777777" w:rsidR="00B23E1E" w:rsidRDefault="00B23E1E" w:rsidP="006174F1">
      <w:pPr>
        <w:pStyle w:val="List2"/>
        <w:spacing w:before="100" w:beforeAutospacing="1" w:after="0" w:line="240" w:lineRule="auto"/>
        <w:ind w:left="0" w:firstLine="0"/>
        <w:jc w:val="both"/>
        <w:rPr>
          <w:rFonts w:ascii="Verdana" w:hAnsi="Verdana"/>
          <w:b/>
          <w:sz w:val="20"/>
          <w:szCs w:val="20"/>
        </w:rPr>
      </w:pPr>
    </w:p>
    <w:p w14:paraId="33C4504E" w14:textId="46FC04B0" w:rsidR="00B23E1E" w:rsidRPr="00B6213F" w:rsidRDefault="00131C7C" w:rsidP="004565E2">
      <w:pPr>
        <w:pStyle w:val="List2"/>
        <w:spacing w:before="100" w:beforeAutospacing="1" w:after="0" w:line="240" w:lineRule="auto"/>
        <w:ind w:left="0" w:firstLine="0"/>
        <w:jc w:val="both"/>
        <w:rPr>
          <w:rFonts w:ascii="Verdana" w:hAnsi="Verdana"/>
          <w:b/>
          <w:sz w:val="20"/>
          <w:szCs w:val="20"/>
          <w:u w:val="single"/>
          <w:lang w:val="es-ES"/>
        </w:rPr>
      </w:pPr>
      <w:r w:rsidRPr="006C31D2">
        <w:rPr>
          <w:rFonts w:ascii="Verdana" w:hAnsi="Verdana"/>
          <w:b/>
          <w:sz w:val="20"/>
          <w:szCs w:val="20"/>
          <w:u w:val="single"/>
          <w:lang w:val="es-ES"/>
        </w:rPr>
        <w:t xml:space="preserve">a. </w:t>
      </w:r>
      <w:r w:rsidR="00B23E1E" w:rsidRPr="006C31D2">
        <w:rPr>
          <w:rFonts w:ascii="Verdana" w:hAnsi="Verdana"/>
          <w:b/>
          <w:sz w:val="20"/>
          <w:szCs w:val="20"/>
          <w:u w:val="single"/>
          <w:lang w:val="es-ES"/>
        </w:rPr>
        <w:t>La constitucionalización de la obligación de progresividad</w:t>
      </w:r>
      <w:r w:rsidR="00B23E1E" w:rsidRPr="00B6213F">
        <w:rPr>
          <w:rFonts w:ascii="Verdana" w:hAnsi="Verdana"/>
          <w:b/>
          <w:sz w:val="20"/>
          <w:szCs w:val="20"/>
          <w:u w:val="single"/>
          <w:lang w:val="es-ES"/>
        </w:rPr>
        <w:t xml:space="preserve"> </w:t>
      </w:r>
    </w:p>
    <w:p w14:paraId="0D497FA7" w14:textId="77777777" w:rsidR="00B23E1E" w:rsidRPr="00B6213F" w:rsidRDefault="00B23E1E" w:rsidP="006174F1">
      <w:pPr>
        <w:pStyle w:val="List2"/>
        <w:spacing w:before="100" w:beforeAutospacing="1" w:after="0" w:line="240" w:lineRule="auto"/>
        <w:ind w:left="0" w:firstLine="0"/>
        <w:jc w:val="both"/>
        <w:rPr>
          <w:rFonts w:ascii="Verdana" w:hAnsi="Verdana"/>
          <w:sz w:val="20"/>
          <w:szCs w:val="20"/>
          <w:u w:val="single"/>
          <w:lang w:val="es-ES"/>
        </w:rPr>
      </w:pPr>
    </w:p>
    <w:p w14:paraId="716C069F" w14:textId="77777777" w:rsidR="00637FA2" w:rsidRDefault="002B6217" w:rsidP="006174F1">
      <w:pPr>
        <w:pStyle w:val="List2"/>
        <w:spacing w:before="100" w:beforeAutospacing="1" w:after="0" w:line="240" w:lineRule="auto"/>
        <w:ind w:left="0" w:firstLine="0"/>
        <w:jc w:val="both"/>
        <w:rPr>
          <w:rFonts w:ascii="Verdana" w:hAnsi="Verdana"/>
          <w:sz w:val="20"/>
          <w:szCs w:val="20"/>
          <w:lang w:val="es-ES"/>
        </w:rPr>
      </w:pPr>
      <w:r>
        <w:rPr>
          <w:rFonts w:ascii="Verdana" w:hAnsi="Verdana"/>
          <w:sz w:val="20"/>
          <w:szCs w:val="20"/>
          <w:lang w:val="es-ES"/>
        </w:rPr>
        <w:t>12</w:t>
      </w:r>
      <w:r w:rsidR="00B23E1E" w:rsidRPr="00B6213F">
        <w:rPr>
          <w:rFonts w:ascii="Verdana" w:hAnsi="Verdana"/>
          <w:sz w:val="20"/>
          <w:szCs w:val="20"/>
          <w:lang w:val="es-ES"/>
        </w:rPr>
        <w:t xml:space="preserve">. </w:t>
      </w:r>
      <w:r w:rsidR="00B23E1E" w:rsidRPr="00B6213F">
        <w:rPr>
          <w:rFonts w:ascii="Verdana" w:hAnsi="Verdana"/>
          <w:sz w:val="20"/>
          <w:szCs w:val="20"/>
          <w:lang w:val="es-ES"/>
        </w:rPr>
        <w:tab/>
        <w:t>Diversas constituciones de la región han reconocido expresa o implícitamente la obligación de progresividad (principio de progresividad e</w:t>
      </w:r>
      <w:r w:rsidR="00637FA2">
        <w:rPr>
          <w:rFonts w:ascii="Verdana" w:hAnsi="Verdana"/>
          <w:sz w:val="20"/>
          <w:szCs w:val="20"/>
          <w:lang w:val="es-ES"/>
        </w:rPr>
        <w:t>n materia de derechos humanos).</w:t>
      </w:r>
    </w:p>
    <w:p w14:paraId="3404166E" w14:textId="77777777" w:rsidR="00637FA2" w:rsidRDefault="00637FA2" w:rsidP="006174F1">
      <w:pPr>
        <w:pStyle w:val="List2"/>
        <w:spacing w:before="100" w:beforeAutospacing="1" w:after="0" w:line="240" w:lineRule="auto"/>
        <w:ind w:left="0" w:firstLine="0"/>
        <w:jc w:val="both"/>
        <w:rPr>
          <w:rFonts w:ascii="Verdana" w:hAnsi="Verdana"/>
          <w:sz w:val="20"/>
          <w:szCs w:val="20"/>
          <w:lang w:val="es-ES"/>
        </w:rPr>
      </w:pPr>
    </w:p>
    <w:p w14:paraId="51E637C9" w14:textId="4DAFB52A" w:rsidR="00B23E1E" w:rsidRPr="00B6213F" w:rsidRDefault="002B6217" w:rsidP="006174F1">
      <w:pPr>
        <w:pStyle w:val="List2"/>
        <w:spacing w:before="100" w:beforeAutospacing="1" w:after="0" w:line="240" w:lineRule="auto"/>
        <w:ind w:left="0" w:firstLine="0"/>
        <w:jc w:val="both"/>
        <w:rPr>
          <w:rFonts w:ascii="Verdana" w:hAnsi="Verdana"/>
          <w:sz w:val="20"/>
          <w:szCs w:val="20"/>
          <w:lang w:val="es-ES"/>
        </w:rPr>
      </w:pPr>
      <w:r>
        <w:rPr>
          <w:rFonts w:ascii="Verdana" w:hAnsi="Verdana"/>
          <w:sz w:val="20"/>
          <w:szCs w:val="20"/>
          <w:lang w:val="es-ES"/>
        </w:rPr>
        <w:t>13.</w:t>
      </w:r>
      <w:r>
        <w:rPr>
          <w:rFonts w:ascii="Verdana" w:hAnsi="Verdana"/>
          <w:sz w:val="20"/>
          <w:szCs w:val="20"/>
          <w:lang w:val="es-ES"/>
        </w:rPr>
        <w:tab/>
      </w:r>
      <w:r w:rsidR="00B23E1E" w:rsidRPr="00B6213F">
        <w:rPr>
          <w:rFonts w:ascii="Verdana" w:hAnsi="Verdana"/>
          <w:sz w:val="20"/>
          <w:szCs w:val="20"/>
          <w:lang w:val="es-ES"/>
        </w:rPr>
        <w:t>En este sentido algunos textos fundamentales enuncian de manera expresa, en un sentido general, que esta obligación o principio irradia a to</w:t>
      </w:r>
      <w:r w:rsidR="007917BD">
        <w:rPr>
          <w:rFonts w:ascii="Verdana" w:hAnsi="Verdana"/>
          <w:sz w:val="20"/>
          <w:szCs w:val="20"/>
          <w:lang w:val="es-ES"/>
        </w:rPr>
        <w:t>dos los derechos humanos y no so</w:t>
      </w:r>
      <w:r w:rsidR="00B23E1E" w:rsidRPr="00B6213F">
        <w:rPr>
          <w:rFonts w:ascii="Verdana" w:hAnsi="Verdana"/>
          <w:sz w:val="20"/>
          <w:szCs w:val="20"/>
          <w:lang w:val="es-ES"/>
        </w:rPr>
        <w:t>lo a los DESCA. Bajo este supuesto encontramos a países como Bolivia</w:t>
      </w:r>
      <w:r w:rsidR="007917BD" w:rsidRPr="00B6213F">
        <w:rPr>
          <w:rStyle w:val="FootnoteReference"/>
          <w:rFonts w:ascii="Verdana" w:hAnsi="Verdana"/>
          <w:sz w:val="20"/>
          <w:szCs w:val="20"/>
          <w:lang w:val="es-ES"/>
        </w:rPr>
        <w:footnoteReference w:id="30"/>
      </w:r>
      <w:r w:rsidR="00B23E1E" w:rsidRPr="00B6213F">
        <w:rPr>
          <w:rFonts w:ascii="Verdana" w:hAnsi="Verdana"/>
          <w:sz w:val="20"/>
          <w:szCs w:val="20"/>
          <w:lang w:val="es-ES"/>
        </w:rPr>
        <w:t>, Ecuador</w:t>
      </w:r>
      <w:r w:rsidR="007917BD" w:rsidRPr="00B6213F">
        <w:rPr>
          <w:rStyle w:val="FootnoteReference"/>
          <w:rFonts w:ascii="Verdana" w:hAnsi="Verdana"/>
          <w:sz w:val="20"/>
          <w:szCs w:val="20"/>
          <w:lang w:val="es-ES"/>
        </w:rPr>
        <w:footnoteReference w:id="31"/>
      </w:r>
      <w:r w:rsidR="00B23E1E" w:rsidRPr="00B6213F">
        <w:rPr>
          <w:rFonts w:ascii="Verdana" w:hAnsi="Verdana"/>
          <w:sz w:val="20"/>
          <w:szCs w:val="20"/>
          <w:lang w:val="es-ES"/>
        </w:rPr>
        <w:t>, México</w:t>
      </w:r>
      <w:r w:rsidR="007917BD" w:rsidRPr="00B6213F">
        <w:rPr>
          <w:rStyle w:val="FootnoteReference"/>
          <w:rFonts w:ascii="Verdana" w:hAnsi="Verdana"/>
          <w:sz w:val="20"/>
          <w:szCs w:val="20"/>
          <w:lang w:val="es-ES"/>
        </w:rPr>
        <w:footnoteReference w:id="32"/>
      </w:r>
      <w:r w:rsidR="00B23E1E" w:rsidRPr="00B6213F">
        <w:rPr>
          <w:rFonts w:ascii="Verdana" w:hAnsi="Verdana"/>
          <w:sz w:val="20"/>
          <w:szCs w:val="20"/>
          <w:lang w:val="es-ES"/>
        </w:rPr>
        <w:t>, República Dominicana</w:t>
      </w:r>
      <w:r w:rsidR="007917BD" w:rsidRPr="00B6213F">
        <w:rPr>
          <w:rStyle w:val="FootnoteReference"/>
          <w:rFonts w:ascii="Verdana" w:hAnsi="Verdana"/>
          <w:sz w:val="20"/>
          <w:szCs w:val="20"/>
          <w:lang w:val="es-ES"/>
        </w:rPr>
        <w:footnoteReference w:id="33"/>
      </w:r>
      <w:r w:rsidR="00B23E1E" w:rsidRPr="00B6213F">
        <w:rPr>
          <w:rFonts w:ascii="Verdana" w:hAnsi="Verdana"/>
          <w:sz w:val="20"/>
          <w:szCs w:val="20"/>
          <w:lang w:val="es-ES"/>
        </w:rPr>
        <w:t xml:space="preserve"> y Venezuela</w:t>
      </w:r>
      <w:r w:rsidR="007917BD" w:rsidRPr="006C31D2">
        <w:rPr>
          <w:rStyle w:val="FootnoteReference"/>
          <w:rFonts w:ascii="Verdana" w:hAnsi="Verdana"/>
          <w:sz w:val="20"/>
          <w:szCs w:val="20"/>
          <w:lang w:val="es-ES"/>
        </w:rPr>
        <w:footnoteReference w:id="34"/>
      </w:r>
      <w:r w:rsidR="00B23E1E" w:rsidRPr="006C31D2">
        <w:rPr>
          <w:rFonts w:ascii="Verdana" w:hAnsi="Verdana"/>
          <w:sz w:val="20"/>
          <w:szCs w:val="20"/>
          <w:lang w:val="es-ES"/>
        </w:rPr>
        <w:t>.</w:t>
      </w:r>
      <w:r w:rsidR="00131C7C" w:rsidRPr="006C31D2">
        <w:rPr>
          <w:rFonts w:ascii="Verdana" w:hAnsi="Verdana"/>
          <w:sz w:val="20"/>
          <w:szCs w:val="20"/>
          <w:lang w:val="es-ES"/>
        </w:rPr>
        <w:t xml:space="preserve"> </w:t>
      </w:r>
      <w:r w:rsidR="00B23E1E" w:rsidRPr="006C31D2">
        <w:rPr>
          <w:rFonts w:ascii="Verdana" w:hAnsi="Verdana"/>
          <w:sz w:val="20"/>
          <w:szCs w:val="20"/>
          <w:lang w:val="es-ES"/>
        </w:rPr>
        <w:t>En</w:t>
      </w:r>
      <w:r w:rsidR="00B23E1E" w:rsidRPr="00B6213F">
        <w:rPr>
          <w:rFonts w:ascii="Verdana" w:hAnsi="Verdana"/>
          <w:sz w:val="20"/>
          <w:szCs w:val="20"/>
          <w:lang w:val="es-ES"/>
        </w:rPr>
        <w:t xml:space="preserve"> una segunda variante encontramos a aquellas constituciones</w:t>
      </w:r>
      <w:r w:rsidR="004565E2">
        <w:rPr>
          <w:rFonts w:ascii="Verdana" w:hAnsi="Verdana"/>
          <w:sz w:val="20"/>
          <w:szCs w:val="20"/>
          <w:lang w:val="es-ES"/>
        </w:rPr>
        <w:t xml:space="preserve"> </w:t>
      </w:r>
      <w:r w:rsidR="00B23E1E" w:rsidRPr="00B6213F">
        <w:rPr>
          <w:rFonts w:ascii="Verdana" w:hAnsi="Verdana"/>
          <w:sz w:val="20"/>
          <w:szCs w:val="20"/>
          <w:lang w:val="es-ES"/>
        </w:rPr>
        <w:t>que</w:t>
      </w:r>
      <w:r w:rsidR="004565E2">
        <w:rPr>
          <w:rFonts w:ascii="Verdana" w:hAnsi="Verdana"/>
          <w:sz w:val="20"/>
          <w:szCs w:val="20"/>
          <w:lang w:val="es-ES"/>
        </w:rPr>
        <w:t xml:space="preserve"> </w:t>
      </w:r>
      <w:r w:rsidR="00B23E1E" w:rsidRPr="00B6213F">
        <w:rPr>
          <w:rFonts w:ascii="Verdana" w:hAnsi="Verdana"/>
          <w:sz w:val="20"/>
          <w:szCs w:val="20"/>
          <w:lang w:val="es-ES"/>
        </w:rPr>
        <w:t>–exclusivamente- han reconocido el carácter programático de determinados derechos que, por lo general, son DESCA. En este esquema encontramos a países como Colombia</w:t>
      </w:r>
      <w:r w:rsidR="007917BD" w:rsidRPr="00B6213F">
        <w:rPr>
          <w:rStyle w:val="FootnoteReference"/>
          <w:rFonts w:ascii="Verdana" w:hAnsi="Verdana"/>
          <w:sz w:val="20"/>
          <w:szCs w:val="20"/>
          <w:lang w:val="es-ES"/>
        </w:rPr>
        <w:footnoteReference w:id="35"/>
      </w:r>
      <w:r w:rsidR="00B23E1E" w:rsidRPr="00B6213F">
        <w:rPr>
          <w:rFonts w:ascii="Verdana" w:hAnsi="Verdana"/>
          <w:sz w:val="20"/>
          <w:szCs w:val="20"/>
          <w:lang w:val="es-ES"/>
        </w:rPr>
        <w:t>, Guatemala</w:t>
      </w:r>
      <w:r w:rsidR="007917BD" w:rsidRPr="00B6213F">
        <w:rPr>
          <w:rStyle w:val="FootnoteReference"/>
          <w:rFonts w:ascii="Verdana" w:hAnsi="Verdana"/>
          <w:sz w:val="20"/>
          <w:szCs w:val="20"/>
          <w:lang w:val="es-ES"/>
        </w:rPr>
        <w:footnoteReference w:id="36"/>
      </w:r>
      <w:r w:rsidR="00B23E1E" w:rsidRPr="00B6213F">
        <w:rPr>
          <w:rFonts w:ascii="Verdana" w:hAnsi="Verdana"/>
          <w:sz w:val="20"/>
          <w:szCs w:val="20"/>
          <w:lang w:val="es-ES"/>
        </w:rPr>
        <w:t>, Honduras</w:t>
      </w:r>
      <w:r w:rsidR="007917BD" w:rsidRPr="00B6213F">
        <w:rPr>
          <w:rStyle w:val="FootnoteReference"/>
          <w:rFonts w:ascii="Verdana" w:hAnsi="Verdana"/>
          <w:sz w:val="20"/>
          <w:szCs w:val="20"/>
          <w:lang w:val="es-ES"/>
        </w:rPr>
        <w:footnoteReference w:id="37"/>
      </w:r>
      <w:r w:rsidR="00B23E1E" w:rsidRPr="00B6213F">
        <w:rPr>
          <w:rFonts w:ascii="Verdana" w:hAnsi="Verdana"/>
          <w:sz w:val="20"/>
          <w:szCs w:val="20"/>
          <w:lang w:val="es-ES"/>
        </w:rPr>
        <w:t xml:space="preserve"> y Perú</w:t>
      </w:r>
      <w:r w:rsidR="007917BD" w:rsidRPr="006C31D2">
        <w:rPr>
          <w:rStyle w:val="FootnoteReference"/>
          <w:rFonts w:ascii="Verdana" w:hAnsi="Verdana"/>
          <w:sz w:val="20"/>
          <w:szCs w:val="20"/>
          <w:lang w:val="es-ES"/>
        </w:rPr>
        <w:footnoteReference w:id="38"/>
      </w:r>
      <w:r w:rsidR="00B23E1E" w:rsidRPr="006C31D2">
        <w:rPr>
          <w:rFonts w:ascii="Verdana" w:hAnsi="Verdana"/>
          <w:sz w:val="20"/>
          <w:szCs w:val="20"/>
          <w:lang w:val="es-ES"/>
        </w:rPr>
        <w:t>. Un</w:t>
      </w:r>
      <w:r w:rsidR="00B23E1E" w:rsidRPr="00B6213F">
        <w:rPr>
          <w:rFonts w:ascii="Verdana" w:hAnsi="Verdana"/>
          <w:sz w:val="20"/>
          <w:szCs w:val="20"/>
          <w:lang w:val="es-ES"/>
        </w:rPr>
        <w:t xml:space="preserve"> tercer bloque de constituciones se caracterizan porque si bien no hacen referencia expresa al principio de progresividad en materia de derechos humanos, establecen, en cierto modo, cargas al Estado para que se hagan efectivos los derechos contenidos en las normas fundamentales –y en algunos casos bajo esquemas de igualdad real- para las personas bajo su jurisdicción. En esta categoría encontramos países como </w:t>
      </w:r>
      <w:r w:rsidR="007917BD" w:rsidRPr="00B6213F">
        <w:rPr>
          <w:rFonts w:ascii="Verdana" w:hAnsi="Verdana"/>
          <w:sz w:val="20"/>
          <w:szCs w:val="20"/>
          <w:lang w:val="es-ES"/>
        </w:rPr>
        <w:t>Argentina</w:t>
      </w:r>
      <w:r w:rsidR="007917BD" w:rsidRPr="00B6213F">
        <w:rPr>
          <w:rStyle w:val="FootnoteReference"/>
          <w:rFonts w:ascii="Verdana" w:hAnsi="Verdana"/>
          <w:sz w:val="20"/>
          <w:szCs w:val="20"/>
          <w:lang w:val="es-ES"/>
        </w:rPr>
        <w:footnoteReference w:id="39"/>
      </w:r>
      <w:r w:rsidR="007917BD" w:rsidRPr="00B6213F">
        <w:rPr>
          <w:rFonts w:ascii="Verdana" w:hAnsi="Verdana"/>
          <w:sz w:val="20"/>
          <w:szCs w:val="20"/>
          <w:lang w:val="es-ES"/>
        </w:rPr>
        <w:t>, Brasil</w:t>
      </w:r>
      <w:r w:rsidR="007917BD" w:rsidRPr="00B6213F">
        <w:rPr>
          <w:rStyle w:val="FootnoteReference"/>
          <w:rFonts w:ascii="Verdana" w:hAnsi="Verdana"/>
          <w:sz w:val="20"/>
          <w:szCs w:val="20"/>
          <w:lang w:val="es-ES"/>
        </w:rPr>
        <w:footnoteReference w:id="40"/>
      </w:r>
      <w:r w:rsidR="007917BD" w:rsidRPr="00B6213F">
        <w:rPr>
          <w:rFonts w:ascii="Verdana" w:hAnsi="Verdana"/>
          <w:sz w:val="20"/>
          <w:szCs w:val="20"/>
          <w:lang w:val="es-ES"/>
        </w:rPr>
        <w:t>, Costa Rica</w:t>
      </w:r>
      <w:r w:rsidR="007917BD" w:rsidRPr="00B6213F">
        <w:rPr>
          <w:rStyle w:val="FootnoteReference"/>
          <w:rFonts w:ascii="Verdana" w:hAnsi="Verdana"/>
          <w:sz w:val="20"/>
          <w:szCs w:val="20"/>
          <w:lang w:val="es-ES"/>
        </w:rPr>
        <w:footnoteReference w:id="41"/>
      </w:r>
      <w:r w:rsidR="007917BD" w:rsidRPr="00B6213F">
        <w:rPr>
          <w:rFonts w:ascii="Verdana" w:hAnsi="Verdana"/>
          <w:sz w:val="20"/>
          <w:szCs w:val="20"/>
          <w:lang w:val="es-ES"/>
        </w:rPr>
        <w:t>, y Paraguay</w:t>
      </w:r>
      <w:r w:rsidR="007917BD" w:rsidRPr="00B6213F">
        <w:rPr>
          <w:rStyle w:val="FootnoteReference"/>
          <w:rFonts w:ascii="Verdana" w:hAnsi="Verdana"/>
          <w:sz w:val="20"/>
          <w:szCs w:val="20"/>
          <w:lang w:val="es-ES"/>
        </w:rPr>
        <w:footnoteReference w:id="42"/>
      </w:r>
      <w:r w:rsidR="00B23E1E" w:rsidRPr="00B6213F">
        <w:rPr>
          <w:rFonts w:ascii="Verdana" w:hAnsi="Verdana"/>
          <w:sz w:val="20"/>
          <w:szCs w:val="20"/>
          <w:lang w:val="es-ES"/>
        </w:rPr>
        <w:t xml:space="preserve">. </w:t>
      </w:r>
    </w:p>
    <w:p w14:paraId="07F6EFF8" w14:textId="77777777" w:rsidR="00B23E1E" w:rsidRPr="00B6213F" w:rsidRDefault="00B23E1E" w:rsidP="006174F1">
      <w:pPr>
        <w:pStyle w:val="List2"/>
        <w:spacing w:before="100" w:beforeAutospacing="1" w:after="0" w:line="240" w:lineRule="auto"/>
        <w:ind w:left="0" w:firstLine="0"/>
        <w:jc w:val="both"/>
        <w:rPr>
          <w:rFonts w:ascii="Verdana" w:hAnsi="Verdana"/>
          <w:sz w:val="20"/>
          <w:szCs w:val="20"/>
          <w:lang w:val="es-ES"/>
        </w:rPr>
      </w:pPr>
    </w:p>
    <w:p w14:paraId="2760A5B5" w14:textId="3D60F4AA" w:rsidR="00B23E1E" w:rsidRPr="00B6213F" w:rsidRDefault="00131C7C" w:rsidP="004E312C">
      <w:pPr>
        <w:pStyle w:val="List2"/>
        <w:spacing w:before="100" w:beforeAutospacing="1" w:after="0" w:line="240" w:lineRule="auto"/>
        <w:ind w:left="0" w:firstLine="0"/>
        <w:jc w:val="both"/>
        <w:rPr>
          <w:rFonts w:ascii="Verdana" w:hAnsi="Verdana"/>
          <w:b/>
          <w:sz w:val="20"/>
          <w:szCs w:val="20"/>
          <w:u w:val="single"/>
          <w:lang w:val="es-ES"/>
        </w:rPr>
      </w:pPr>
      <w:r w:rsidRPr="007917BD">
        <w:rPr>
          <w:rFonts w:ascii="Verdana" w:hAnsi="Verdana"/>
          <w:b/>
          <w:sz w:val="20"/>
          <w:szCs w:val="20"/>
          <w:u w:val="single"/>
          <w:lang w:val="es-ES"/>
        </w:rPr>
        <w:t>b.</w:t>
      </w:r>
      <w:r>
        <w:rPr>
          <w:rFonts w:ascii="Verdana" w:hAnsi="Verdana"/>
          <w:b/>
          <w:sz w:val="20"/>
          <w:szCs w:val="20"/>
          <w:u w:val="single"/>
          <w:lang w:val="es-ES"/>
        </w:rPr>
        <w:t xml:space="preserve"> </w:t>
      </w:r>
      <w:r w:rsidR="00B23E1E" w:rsidRPr="00B6213F">
        <w:rPr>
          <w:rFonts w:ascii="Verdana" w:hAnsi="Verdana"/>
          <w:b/>
          <w:sz w:val="20"/>
          <w:szCs w:val="20"/>
          <w:u w:val="single"/>
          <w:lang w:val="es-ES"/>
        </w:rPr>
        <w:t xml:space="preserve">Decisiones judiciales sobre progresividad de la Altas Cortes de la región </w:t>
      </w:r>
    </w:p>
    <w:p w14:paraId="41C1D577" w14:textId="77777777" w:rsidR="00B23E1E" w:rsidRPr="00B6213F" w:rsidRDefault="00B23E1E" w:rsidP="006174F1">
      <w:pPr>
        <w:pStyle w:val="List2"/>
        <w:spacing w:before="100" w:beforeAutospacing="1" w:after="0" w:line="240" w:lineRule="auto"/>
        <w:ind w:left="0" w:firstLine="0"/>
        <w:jc w:val="both"/>
        <w:rPr>
          <w:rFonts w:ascii="Verdana" w:hAnsi="Verdana"/>
          <w:sz w:val="20"/>
          <w:szCs w:val="20"/>
          <w:lang w:val="es-ES"/>
        </w:rPr>
      </w:pPr>
    </w:p>
    <w:p w14:paraId="77753763" w14:textId="027EF9C0" w:rsidR="00B23E1E" w:rsidRPr="00B6213F" w:rsidRDefault="002B6217" w:rsidP="006174F1">
      <w:pPr>
        <w:pStyle w:val="List2"/>
        <w:spacing w:before="100" w:beforeAutospacing="1" w:after="0" w:line="240" w:lineRule="auto"/>
        <w:ind w:left="0" w:firstLine="0"/>
        <w:jc w:val="both"/>
        <w:rPr>
          <w:rFonts w:ascii="Verdana" w:hAnsi="Verdana"/>
          <w:sz w:val="20"/>
          <w:szCs w:val="20"/>
          <w:lang w:val="es-ES"/>
        </w:rPr>
      </w:pPr>
      <w:r>
        <w:rPr>
          <w:rFonts w:ascii="Verdana" w:hAnsi="Verdana"/>
          <w:sz w:val="20"/>
          <w:szCs w:val="20"/>
          <w:lang w:val="es-ES"/>
        </w:rPr>
        <w:t>14</w:t>
      </w:r>
      <w:r w:rsidR="00B23E1E" w:rsidRPr="00B6213F">
        <w:rPr>
          <w:rFonts w:ascii="Verdana" w:hAnsi="Verdana"/>
          <w:sz w:val="20"/>
          <w:szCs w:val="20"/>
          <w:lang w:val="es-ES"/>
        </w:rPr>
        <w:t xml:space="preserve">. </w:t>
      </w:r>
      <w:r w:rsidR="00B23E1E" w:rsidRPr="00B6213F">
        <w:rPr>
          <w:rFonts w:ascii="Verdana" w:hAnsi="Verdana"/>
          <w:sz w:val="20"/>
          <w:szCs w:val="20"/>
          <w:lang w:val="es-ES"/>
        </w:rPr>
        <w:tab/>
        <w:t>La constitucionalización de los derechos sociales y del principio de su realización progresiva (en cualquiera de sus tres vertientes señaladas) ha tenido como resultado que ante las instancias judiciales se presenten demandas en las cuales, además de invocar la violación específica de un DESCA, se solicite que las altas jurisdiccionales constitucionales diriman sobre si se ha infringido algún aspecto de la progresividad/regresividad de los mismos</w:t>
      </w:r>
      <w:r w:rsidR="00B23E1E" w:rsidRPr="006C31D2">
        <w:rPr>
          <w:rFonts w:ascii="Verdana" w:hAnsi="Verdana"/>
          <w:sz w:val="20"/>
          <w:szCs w:val="20"/>
          <w:lang w:val="es-ES"/>
        </w:rPr>
        <w:t>. En</w:t>
      </w:r>
      <w:r w:rsidR="00B23E1E" w:rsidRPr="00B6213F">
        <w:rPr>
          <w:rFonts w:ascii="Verdana" w:hAnsi="Verdana"/>
          <w:sz w:val="20"/>
          <w:szCs w:val="20"/>
          <w:lang w:val="es-ES"/>
        </w:rPr>
        <w:t xml:space="preserve"> este sentido, divers</w:t>
      </w:r>
      <w:r w:rsidR="00B23E1E">
        <w:rPr>
          <w:rFonts w:ascii="Verdana" w:hAnsi="Verdana"/>
          <w:sz w:val="20"/>
          <w:szCs w:val="20"/>
          <w:lang w:val="es-ES"/>
        </w:rPr>
        <w:t>o</w:t>
      </w:r>
      <w:r w:rsidR="00B23E1E" w:rsidRPr="00B6213F">
        <w:rPr>
          <w:rFonts w:ascii="Verdana" w:hAnsi="Verdana"/>
          <w:sz w:val="20"/>
          <w:szCs w:val="20"/>
          <w:lang w:val="es-ES"/>
        </w:rPr>
        <w:t xml:space="preserve">s </w:t>
      </w:r>
      <w:r w:rsidR="00B23E1E">
        <w:rPr>
          <w:rFonts w:ascii="Verdana" w:hAnsi="Verdana"/>
          <w:sz w:val="20"/>
          <w:szCs w:val="20"/>
          <w:lang w:val="es-ES"/>
        </w:rPr>
        <w:t xml:space="preserve">tribunales </w:t>
      </w:r>
      <w:r w:rsidR="00B23E1E" w:rsidRPr="00B6213F">
        <w:rPr>
          <w:rFonts w:ascii="Verdana" w:hAnsi="Verdana"/>
          <w:sz w:val="20"/>
          <w:szCs w:val="20"/>
          <w:lang w:val="es-ES"/>
        </w:rPr>
        <w:t xml:space="preserve">han desarrollado estándares para evaluar </w:t>
      </w:r>
      <w:r w:rsidR="00B23E1E" w:rsidRPr="006C31D2">
        <w:rPr>
          <w:rFonts w:ascii="Verdana" w:hAnsi="Verdana"/>
          <w:sz w:val="20"/>
          <w:szCs w:val="20"/>
          <w:lang w:val="es-ES"/>
        </w:rPr>
        <w:t>cu</w:t>
      </w:r>
      <w:r w:rsidR="004E312C" w:rsidRPr="006C31D2">
        <w:rPr>
          <w:rFonts w:ascii="Verdana" w:hAnsi="Verdana"/>
          <w:sz w:val="20"/>
          <w:szCs w:val="20"/>
          <w:lang w:val="es-ES"/>
        </w:rPr>
        <w:t>a</w:t>
      </w:r>
      <w:r w:rsidR="00B23E1E" w:rsidRPr="006C31D2">
        <w:rPr>
          <w:rFonts w:ascii="Verdana" w:hAnsi="Verdana"/>
          <w:sz w:val="20"/>
          <w:szCs w:val="20"/>
          <w:lang w:val="es-ES"/>
        </w:rPr>
        <w:t>ndo se ha incumplido la progresividad de un derecho</w:t>
      </w:r>
      <w:r w:rsidR="005726CC" w:rsidRPr="006C31D2">
        <w:rPr>
          <w:rFonts w:ascii="Verdana" w:hAnsi="Verdana"/>
          <w:sz w:val="20"/>
          <w:szCs w:val="20"/>
          <w:lang w:val="es-ES"/>
        </w:rPr>
        <w:t>,</w:t>
      </w:r>
      <w:r w:rsidR="00B23E1E" w:rsidRPr="006C31D2">
        <w:rPr>
          <w:rFonts w:ascii="Verdana" w:hAnsi="Verdana"/>
          <w:sz w:val="20"/>
          <w:szCs w:val="20"/>
          <w:lang w:val="es-ES"/>
        </w:rPr>
        <w:t xml:space="preserve"> o bien se han adoptado medidas de carácter regresivo. Al respecto, cada jurisdicción constitucional ha tenido desarrollos particulares, si bien concordantes a estos parámetros.</w:t>
      </w:r>
    </w:p>
    <w:p w14:paraId="70D4102E" w14:textId="1BFEBB63" w:rsidR="00B23E1E" w:rsidRPr="00B6213F" w:rsidRDefault="00B23E1E" w:rsidP="006174F1">
      <w:pPr>
        <w:pStyle w:val="List2"/>
        <w:spacing w:before="100" w:beforeAutospacing="1" w:after="120" w:line="240" w:lineRule="auto"/>
        <w:ind w:left="0" w:firstLine="0"/>
        <w:contextualSpacing w:val="0"/>
        <w:jc w:val="both"/>
        <w:rPr>
          <w:rFonts w:ascii="Verdana" w:hAnsi="Verdana"/>
          <w:sz w:val="20"/>
          <w:szCs w:val="20"/>
          <w:lang w:val="es-ES"/>
        </w:rPr>
      </w:pPr>
      <w:r w:rsidRPr="00437223">
        <w:rPr>
          <w:rFonts w:ascii="Verdana" w:eastAsia="Times New Roman" w:hAnsi="Verdana" w:cs="Times New Roman"/>
          <w:sz w:val="20"/>
          <w:szCs w:val="20"/>
          <w:bdr w:val="none" w:sz="0" w:space="0" w:color="auto" w:frame="1"/>
          <w:lang w:val="es-CO" w:eastAsia="es-MX"/>
        </w:rPr>
        <w:t>1</w:t>
      </w:r>
      <w:r w:rsidR="002B6217">
        <w:rPr>
          <w:rFonts w:ascii="Verdana" w:eastAsia="Times New Roman" w:hAnsi="Verdana" w:cs="Times New Roman"/>
          <w:sz w:val="20"/>
          <w:szCs w:val="20"/>
          <w:bdr w:val="none" w:sz="0" w:space="0" w:color="auto" w:frame="1"/>
          <w:lang w:val="es-CO" w:eastAsia="es-MX"/>
        </w:rPr>
        <w:t>5</w:t>
      </w:r>
      <w:r w:rsidRPr="00437223">
        <w:rPr>
          <w:rFonts w:ascii="Verdana" w:eastAsia="Times New Roman" w:hAnsi="Verdana" w:cs="Times New Roman"/>
          <w:sz w:val="20"/>
          <w:szCs w:val="20"/>
          <w:bdr w:val="none" w:sz="0" w:space="0" w:color="auto" w:frame="1"/>
          <w:lang w:val="es-CO" w:eastAsia="es-MX"/>
        </w:rPr>
        <w:t xml:space="preserve">. </w:t>
      </w:r>
      <w:r w:rsidRPr="00437223">
        <w:rPr>
          <w:rFonts w:ascii="Verdana" w:eastAsia="Times New Roman" w:hAnsi="Verdana" w:cs="Times New Roman"/>
          <w:sz w:val="20"/>
          <w:szCs w:val="20"/>
          <w:bdr w:val="none" w:sz="0" w:space="0" w:color="auto" w:frame="1"/>
          <w:lang w:val="es-CO" w:eastAsia="es-MX"/>
        </w:rPr>
        <w:tab/>
        <w:t>Una referencia importante</w:t>
      </w:r>
      <w:r w:rsidR="005726CC">
        <w:rPr>
          <w:rFonts w:ascii="Verdana" w:eastAsia="Times New Roman" w:hAnsi="Verdana" w:cs="Times New Roman"/>
          <w:sz w:val="20"/>
          <w:szCs w:val="20"/>
          <w:bdr w:val="none" w:sz="0" w:space="0" w:color="auto" w:frame="1"/>
          <w:lang w:val="es-CO" w:eastAsia="es-MX"/>
        </w:rPr>
        <w:t>,</w:t>
      </w:r>
      <w:r w:rsidRPr="00437223">
        <w:rPr>
          <w:rFonts w:ascii="Verdana" w:eastAsia="Times New Roman" w:hAnsi="Verdana" w:cs="Times New Roman"/>
          <w:sz w:val="20"/>
          <w:szCs w:val="20"/>
          <w:bdr w:val="none" w:sz="0" w:space="0" w:color="auto" w:frame="1"/>
          <w:lang w:val="es-CO" w:eastAsia="es-MX"/>
        </w:rPr>
        <w:t xml:space="preserve"> respecto de los desarrollos sobre los alcances de la </w:t>
      </w:r>
      <w:r w:rsidRPr="006C31D2">
        <w:rPr>
          <w:rFonts w:ascii="Verdana" w:eastAsia="Times New Roman" w:hAnsi="Verdana" w:cs="Times New Roman"/>
          <w:sz w:val="20"/>
          <w:szCs w:val="20"/>
          <w:bdr w:val="none" w:sz="0" w:space="0" w:color="auto" w:frame="1"/>
          <w:lang w:val="es-CO" w:eastAsia="es-MX"/>
        </w:rPr>
        <w:t>progresividad</w:t>
      </w:r>
      <w:r w:rsidR="005726CC" w:rsidRPr="006C31D2">
        <w:rPr>
          <w:rFonts w:ascii="Verdana" w:eastAsia="Times New Roman" w:hAnsi="Verdana" w:cs="Times New Roman"/>
          <w:sz w:val="20"/>
          <w:szCs w:val="20"/>
          <w:bdr w:val="none" w:sz="0" w:space="0" w:color="auto" w:frame="1"/>
          <w:lang w:val="es-CO" w:eastAsia="es-MX"/>
        </w:rPr>
        <w:t>,</w:t>
      </w:r>
      <w:r w:rsidRPr="006C31D2">
        <w:rPr>
          <w:rFonts w:ascii="Verdana" w:eastAsia="Times New Roman" w:hAnsi="Verdana" w:cs="Times New Roman"/>
          <w:sz w:val="20"/>
          <w:szCs w:val="20"/>
          <w:bdr w:val="none" w:sz="0" w:space="0" w:color="auto" w:frame="1"/>
          <w:lang w:val="es-CO" w:eastAsia="es-MX"/>
        </w:rPr>
        <w:t xml:space="preserve"> la</w:t>
      </w:r>
      <w:r w:rsidRPr="00437223">
        <w:rPr>
          <w:rFonts w:ascii="Verdana" w:eastAsia="Times New Roman" w:hAnsi="Verdana" w:cs="Times New Roman"/>
          <w:sz w:val="20"/>
          <w:szCs w:val="20"/>
          <w:bdr w:val="none" w:sz="0" w:space="0" w:color="auto" w:frame="1"/>
          <w:lang w:val="es-CO" w:eastAsia="es-MX"/>
        </w:rPr>
        <w:t xml:space="preserve"> constituye la Corte Constitucional de Colombia (en adelante la “CCC”). </w:t>
      </w:r>
      <w:r w:rsidRPr="006C31D2">
        <w:rPr>
          <w:rFonts w:ascii="Verdana" w:eastAsia="Times New Roman" w:hAnsi="Verdana" w:cs="Times New Roman"/>
          <w:sz w:val="20"/>
          <w:szCs w:val="20"/>
          <w:bdr w:val="none" w:sz="0" w:space="0" w:color="auto" w:frame="1"/>
          <w:lang w:val="es-CO" w:eastAsia="es-MX"/>
        </w:rPr>
        <w:t>Sobre este punto, la CCC ha entendido que los contenidos prestacionales no son de aplicación inmediata, sino que están sujetos al principio de progresividad, y que, en un estado social de derecho, no son suficientes las sentencias judiciales</w:t>
      </w:r>
      <w:r w:rsidR="005726CC" w:rsidRPr="006C31D2">
        <w:rPr>
          <w:rFonts w:ascii="Verdana" w:eastAsia="Times New Roman" w:hAnsi="Verdana" w:cs="Times New Roman"/>
          <w:sz w:val="20"/>
          <w:szCs w:val="20"/>
          <w:bdr w:val="none" w:sz="0" w:space="0" w:color="auto" w:frame="1"/>
          <w:lang w:val="es-CO" w:eastAsia="es-MX"/>
        </w:rPr>
        <w:t>,</w:t>
      </w:r>
      <w:r w:rsidRPr="006C31D2">
        <w:rPr>
          <w:rFonts w:ascii="Verdana" w:eastAsia="Times New Roman" w:hAnsi="Verdana" w:cs="Times New Roman"/>
          <w:sz w:val="20"/>
          <w:szCs w:val="20"/>
          <w:bdr w:val="none" w:sz="0" w:space="0" w:color="auto" w:frame="1"/>
          <w:lang w:val="es-CO" w:eastAsia="es-MX"/>
        </w:rPr>
        <w:t xml:space="preserve"> sino es necesario que la construcción de derechos dentro del proceso democrático en el que se exista un fundamento legal y presupuestario</w:t>
      </w:r>
      <w:r w:rsidR="007917BD" w:rsidRPr="006C31D2">
        <w:rPr>
          <w:rStyle w:val="FootnoteReference"/>
          <w:rFonts w:ascii="Verdana" w:eastAsia="Times New Roman" w:hAnsi="Verdana" w:cs="Times New Roman"/>
          <w:sz w:val="20"/>
          <w:szCs w:val="20"/>
          <w:bdr w:val="none" w:sz="0" w:space="0" w:color="auto" w:frame="1"/>
          <w:lang w:val="es-CR" w:eastAsia="es-MX"/>
        </w:rPr>
        <w:footnoteReference w:id="43"/>
      </w:r>
      <w:r w:rsidRPr="006C31D2">
        <w:rPr>
          <w:rFonts w:ascii="Verdana" w:eastAsia="Times New Roman" w:hAnsi="Verdana" w:cs="Times New Roman"/>
          <w:sz w:val="20"/>
          <w:szCs w:val="20"/>
          <w:bdr w:val="none" w:sz="0" w:space="0" w:color="auto" w:frame="1"/>
          <w:lang w:val="es-CO" w:eastAsia="es-MX"/>
        </w:rPr>
        <w:t>.</w:t>
      </w:r>
      <w:r w:rsidR="005726CC" w:rsidRPr="006C31D2">
        <w:rPr>
          <w:rFonts w:ascii="Verdana" w:hAnsi="Verdana"/>
          <w:sz w:val="20"/>
          <w:szCs w:val="20"/>
          <w:lang w:val="es-ES"/>
        </w:rPr>
        <w:t xml:space="preserve"> </w:t>
      </w:r>
      <w:r w:rsidRPr="006C31D2">
        <w:rPr>
          <w:rFonts w:ascii="Verdana" w:hAnsi="Verdana"/>
          <w:sz w:val="20"/>
          <w:szCs w:val="20"/>
          <w:lang w:val="es-ES"/>
        </w:rPr>
        <w:t>Para la CCC, el principio de progresividad tiene al</w:t>
      </w:r>
      <w:r>
        <w:rPr>
          <w:rFonts w:ascii="Verdana" w:hAnsi="Verdana"/>
          <w:sz w:val="20"/>
          <w:szCs w:val="20"/>
          <w:lang w:val="es-ES"/>
        </w:rPr>
        <w:t xml:space="preserve"> </w:t>
      </w:r>
      <w:r w:rsidRPr="006C31D2">
        <w:rPr>
          <w:rFonts w:ascii="Verdana" w:hAnsi="Verdana"/>
          <w:sz w:val="20"/>
          <w:szCs w:val="20"/>
          <w:lang w:val="es-ES"/>
        </w:rPr>
        <w:t>menos tres consecuencias concretas para efectos de la exigibilidad judicial de los derechos sociales: i) la existencia de una política pública orientada al goce efectivo de los derechos, ii) de existir la política pública, que sus contenidos sean protegidos por medio de un recurso judicial, y, iii) la limitación de la facultad discrecional de la autoridad para implementar medidas regresivas</w:t>
      </w:r>
      <w:r w:rsidRPr="006C31D2">
        <w:rPr>
          <w:rStyle w:val="FootnoteReference"/>
          <w:rFonts w:ascii="Verdana" w:hAnsi="Verdana"/>
          <w:sz w:val="20"/>
          <w:szCs w:val="20"/>
          <w:lang w:val="es-ES"/>
        </w:rPr>
        <w:footnoteReference w:id="44"/>
      </w:r>
      <w:r w:rsidRPr="006C31D2">
        <w:rPr>
          <w:rFonts w:ascii="Verdana" w:hAnsi="Verdana"/>
          <w:sz w:val="20"/>
          <w:szCs w:val="20"/>
          <w:lang w:val="es-ES"/>
        </w:rPr>
        <w:t>.</w:t>
      </w:r>
    </w:p>
    <w:p w14:paraId="793F4172" w14:textId="7238FC3C" w:rsidR="00B23E1E" w:rsidRDefault="002B6217" w:rsidP="006174F1">
      <w:pPr>
        <w:pStyle w:val="List2"/>
        <w:spacing w:before="100" w:beforeAutospacing="1" w:after="120" w:line="240" w:lineRule="auto"/>
        <w:ind w:left="0" w:firstLine="0"/>
        <w:contextualSpacing w:val="0"/>
        <w:jc w:val="both"/>
        <w:rPr>
          <w:rFonts w:ascii="Verdana" w:hAnsi="Verdana"/>
          <w:sz w:val="20"/>
          <w:szCs w:val="20"/>
          <w:lang w:val="es-ES"/>
        </w:rPr>
      </w:pPr>
      <w:r w:rsidRPr="001E14E4">
        <w:rPr>
          <w:rFonts w:ascii="Verdana" w:hAnsi="Verdana"/>
          <w:sz w:val="20"/>
          <w:szCs w:val="20"/>
        </w:rPr>
        <w:t>16</w:t>
      </w:r>
      <w:r w:rsidR="00B23E1E" w:rsidRPr="001E14E4">
        <w:rPr>
          <w:rFonts w:ascii="Verdana" w:hAnsi="Verdana"/>
          <w:sz w:val="20"/>
          <w:szCs w:val="20"/>
        </w:rPr>
        <w:t xml:space="preserve">. </w:t>
      </w:r>
      <w:r w:rsidR="00B23E1E" w:rsidRPr="001E14E4">
        <w:rPr>
          <w:rFonts w:ascii="Verdana" w:hAnsi="Verdana"/>
          <w:sz w:val="20"/>
          <w:szCs w:val="20"/>
        </w:rPr>
        <w:tab/>
        <w:t xml:space="preserve">Por otro lado, </w:t>
      </w:r>
      <w:r w:rsidR="006C31D2" w:rsidRPr="001E14E4">
        <w:rPr>
          <w:rFonts w:ascii="Verdana" w:hAnsi="Verdana"/>
          <w:sz w:val="20"/>
          <w:szCs w:val="20"/>
        </w:rPr>
        <w:t>dicho T</w:t>
      </w:r>
      <w:r w:rsidR="00B23E1E" w:rsidRPr="001E14E4">
        <w:rPr>
          <w:rFonts w:ascii="Verdana" w:hAnsi="Verdana"/>
          <w:sz w:val="20"/>
          <w:szCs w:val="20"/>
        </w:rPr>
        <w:t xml:space="preserve">ribunal ha señalado que se entiende que una medida es regresiva cuando: </w:t>
      </w:r>
      <w:r w:rsidR="00B23E1E" w:rsidRPr="001E14E4">
        <w:rPr>
          <w:rFonts w:ascii="Verdana" w:hAnsi="Verdana"/>
          <w:bCs/>
          <w:sz w:val="20"/>
          <w:szCs w:val="20"/>
        </w:rPr>
        <w:t xml:space="preserve">i) </w:t>
      </w:r>
      <w:r w:rsidR="00B23E1E" w:rsidRPr="001E14E4">
        <w:rPr>
          <w:rFonts w:ascii="Verdana" w:hAnsi="Verdana"/>
          <w:sz w:val="20"/>
          <w:szCs w:val="20"/>
        </w:rPr>
        <w:t xml:space="preserve">se recorta o limita el ámbito sustantivo de protección del derecho involucrado; </w:t>
      </w:r>
      <w:r w:rsidR="00B23E1E" w:rsidRPr="001E14E4">
        <w:rPr>
          <w:rFonts w:ascii="Verdana" w:hAnsi="Verdana"/>
          <w:bCs/>
          <w:sz w:val="20"/>
          <w:szCs w:val="20"/>
        </w:rPr>
        <w:t xml:space="preserve">ii) </w:t>
      </w:r>
      <w:r w:rsidR="00B23E1E" w:rsidRPr="001E14E4">
        <w:rPr>
          <w:rFonts w:ascii="Verdana" w:hAnsi="Verdana"/>
          <w:sz w:val="20"/>
          <w:szCs w:val="20"/>
        </w:rPr>
        <w:t xml:space="preserve">cuando aumentan sustancialmente los requisitos exigidos para acceder al respectivo derecho; y </w:t>
      </w:r>
      <w:r w:rsidR="00B23E1E" w:rsidRPr="001E14E4">
        <w:rPr>
          <w:rFonts w:ascii="Verdana" w:hAnsi="Verdana"/>
          <w:bCs/>
          <w:sz w:val="20"/>
          <w:szCs w:val="20"/>
        </w:rPr>
        <w:t>iii)</w:t>
      </w:r>
      <w:r w:rsidR="00B23E1E" w:rsidRPr="001E14E4">
        <w:rPr>
          <w:rFonts w:ascii="Verdana" w:hAnsi="Verdana"/>
          <w:b/>
          <w:bCs/>
          <w:sz w:val="20"/>
          <w:szCs w:val="20"/>
        </w:rPr>
        <w:t xml:space="preserve"> </w:t>
      </w:r>
      <w:r w:rsidR="00B23E1E" w:rsidRPr="001E14E4">
        <w:rPr>
          <w:rFonts w:ascii="Verdana" w:hAnsi="Verdana"/>
          <w:sz w:val="20"/>
          <w:szCs w:val="20"/>
        </w:rPr>
        <w:t>cuando disminuye o desvían sensiblemente los recursos públicos destinados a su satisfacción</w:t>
      </w:r>
      <w:r w:rsidR="00B23E1E" w:rsidRPr="001E14E4">
        <w:rPr>
          <w:rStyle w:val="FootnoteReference"/>
          <w:rFonts w:ascii="Verdana" w:hAnsi="Verdana"/>
          <w:sz w:val="20"/>
          <w:szCs w:val="20"/>
        </w:rPr>
        <w:footnoteReference w:id="45"/>
      </w:r>
      <w:r w:rsidR="00B23E1E" w:rsidRPr="001E14E4">
        <w:rPr>
          <w:rFonts w:ascii="Verdana" w:hAnsi="Verdana"/>
          <w:sz w:val="20"/>
          <w:szCs w:val="20"/>
        </w:rPr>
        <w:t>. Además, ha considerado que el juicio debe ser particularmente estricto cuando la medida regresiva afecte los derechos sociales de personas o grupos de personas especialmente protegidos por su condición de marginalidad o vulnerabilidad</w:t>
      </w:r>
      <w:r w:rsidR="00B23E1E" w:rsidRPr="001E14E4">
        <w:rPr>
          <w:rStyle w:val="FootnoteReference"/>
          <w:rFonts w:ascii="Verdana" w:hAnsi="Verdana"/>
          <w:sz w:val="20"/>
          <w:szCs w:val="20"/>
        </w:rPr>
        <w:footnoteReference w:id="46"/>
      </w:r>
      <w:r w:rsidR="00B23E1E" w:rsidRPr="001E14E4">
        <w:rPr>
          <w:rFonts w:ascii="Verdana" w:hAnsi="Verdana"/>
          <w:sz w:val="20"/>
          <w:szCs w:val="20"/>
        </w:rPr>
        <w:t>. De este modo, la CCC ha expresado que</w:t>
      </w:r>
      <w:r w:rsidR="005726CC" w:rsidRPr="001E14E4">
        <w:rPr>
          <w:rFonts w:ascii="Verdana" w:hAnsi="Verdana"/>
          <w:sz w:val="20"/>
          <w:szCs w:val="20"/>
        </w:rPr>
        <w:t>,</w:t>
      </w:r>
      <w:r w:rsidR="00B23E1E" w:rsidRPr="001E14E4">
        <w:rPr>
          <w:rFonts w:ascii="Verdana" w:hAnsi="Verdana"/>
          <w:sz w:val="20"/>
          <w:szCs w:val="20"/>
        </w:rPr>
        <w:t xml:space="preserve"> cuando una medida regresiva es sujeta a control constitucional, corresponde al Estado demostrar, con datos suficientes y pertinentes: </w:t>
      </w:r>
      <w:r w:rsidR="00B23E1E" w:rsidRPr="001E14E4">
        <w:rPr>
          <w:rFonts w:ascii="Verdana" w:hAnsi="Verdana"/>
          <w:bCs/>
          <w:sz w:val="20"/>
          <w:szCs w:val="20"/>
        </w:rPr>
        <w:t xml:space="preserve">i) </w:t>
      </w:r>
      <w:r w:rsidR="00B23E1E" w:rsidRPr="001E14E4">
        <w:rPr>
          <w:rFonts w:ascii="Verdana" w:hAnsi="Verdana"/>
          <w:sz w:val="20"/>
          <w:szCs w:val="20"/>
        </w:rPr>
        <w:t xml:space="preserve">que la medida busca satisfacer una finalidad constitucional imperativa; </w:t>
      </w:r>
      <w:r w:rsidR="00B23E1E" w:rsidRPr="001E14E4">
        <w:rPr>
          <w:rFonts w:ascii="Verdana" w:hAnsi="Verdana"/>
          <w:bCs/>
          <w:sz w:val="20"/>
          <w:szCs w:val="20"/>
        </w:rPr>
        <w:t xml:space="preserve">ii) </w:t>
      </w:r>
      <w:r w:rsidR="00B23E1E" w:rsidRPr="001E14E4">
        <w:rPr>
          <w:rFonts w:ascii="Verdana" w:hAnsi="Verdana"/>
          <w:sz w:val="20"/>
          <w:szCs w:val="20"/>
        </w:rPr>
        <w:t xml:space="preserve">que, luego de una evaluación juiciosa, resulta demostrado que la medida es efectivamente conducente para lograr la finalidad perseguida; </w:t>
      </w:r>
      <w:r w:rsidR="00B23E1E" w:rsidRPr="001E14E4">
        <w:rPr>
          <w:rFonts w:ascii="Verdana" w:hAnsi="Verdana"/>
          <w:bCs/>
          <w:sz w:val="20"/>
          <w:szCs w:val="20"/>
        </w:rPr>
        <w:t xml:space="preserve">iii) </w:t>
      </w:r>
      <w:r w:rsidR="00B23E1E" w:rsidRPr="001E14E4">
        <w:rPr>
          <w:rFonts w:ascii="Verdana" w:hAnsi="Verdana"/>
          <w:sz w:val="20"/>
          <w:szCs w:val="20"/>
        </w:rPr>
        <w:t xml:space="preserve">que luego de un análisis de las distintas alternativas, la medida parece necesaria para alcanzar el fin propuesto; </w:t>
      </w:r>
      <w:r w:rsidR="00B23E1E" w:rsidRPr="001E14E4">
        <w:rPr>
          <w:rFonts w:ascii="Verdana" w:hAnsi="Verdana"/>
          <w:bCs/>
          <w:sz w:val="20"/>
          <w:szCs w:val="20"/>
        </w:rPr>
        <w:t xml:space="preserve">iv) </w:t>
      </w:r>
      <w:r w:rsidR="00B23E1E" w:rsidRPr="001E14E4">
        <w:rPr>
          <w:rFonts w:ascii="Verdana" w:hAnsi="Verdana"/>
          <w:sz w:val="20"/>
          <w:szCs w:val="20"/>
        </w:rPr>
        <w:t xml:space="preserve">que no afectan el contenido mínimo no disponible del derecho social comprometido; y </w:t>
      </w:r>
      <w:r w:rsidR="00B23E1E" w:rsidRPr="001E14E4">
        <w:rPr>
          <w:rFonts w:ascii="Verdana" w:hAnsi="Verdana"/>
          <w:bCs/>
          <w:sz w:val="20"/>
          <w:szCs w:val="20"/>
        </w:rPr>
        <w:t xml:space="preserve">v) </w:t>
      </w:r>
      <w:r w:rsidR="00B23E1E" w:rsidRPr="001E14E4">
        <w:rPr>
          <w:rFonts w:ascii="Verdana" w:hAnsi="Verdana"/>
          <w:sz w:val="20"/>
          <w:szCs w:val="20"/>
        </w:rPr>
        <w:t>que el beneficio que alcanza es claramente superior al costo que apareja</w:t>
      </w:r>
      <w:r w:rsidR="00B23E1E" w:rsidRPr="001E14E4">
        <w:rPr>
          <w:rStyle w:val="FootnoteReference"/>
          <w:rFonts w:ascii="Verdana" w:hAnsi="Verdana"/>
          <w:sz w:val="20"/>
          <w:szCs w:val="20"/>
        </w:rPr>
        <w:footnoteReference w:id="47"/>
      </w:r>
      <w:r w:rsidR="00B23E1E" w:rsidRPr="001E14E4">
        <w:rPr>
          <w:rFonts w:ascii="Verdana" w:hAnsi="Verdana"/>
          <w:sz w:val="20"/>
          <w:szCs w:val="20"/>
        </w:rPr>
        <w:t>.</w:t>
      </w:r>
      <w:r w:rsidR="005726CC" w:rsidRPr="001E14E4">
        <w:rPr>
          <w:rFonts w:ascii="Verdana" w:hAnsi="Verdana"/>
          <w:sz w:val="20"/>
          <w:szCs w:val="20"/>
          <w:lang w:val="es-ES"/>
        </w:rPr>
        <w:t xml:space="preserve"> </w:t>
      </w:r>
      <w:r w:rsidR="00B23E1E" w:rsidRPr="001E14E4">
        <w:rPr>
          <w:rFonts w:ascii="Verdana" w:hAnsi="Verdana"/>
          <w:sz w:val="20"/>
          <w:szCs w:val="20"/>
          <w:lang w:val="es-ES"/>
        </w:rPr>
        <w:t>Además de los supuestos previos, la CCC de forma reciente ha determinado que, para la implementación de una medida regresiva, debe vi) identificar la constitucionalidad de la medida y vii) considerar la inclusión de un proceso deliberativo en el que se incluya a los sectores afectados con la regresión, aun cuando la medida sea emitida por una autoridad administrativa</w:t>
      </w:r>
      <w:r w:rsidR="00B23E1E" w:rsidRPr="001E14E4">
        <w:rPr>
          <w:rStyle w:val="FootnoteReference"/>
          <w:rFonts w:ascii="Verdana" w:hAnsi="Verdana"/>
          <w:sz w:val="20"/>
          <w:szCs w:val="20"/>
          <w:lang w:val="es-ES"/>
        </w:rPr>
        <w:footnoteReference w:id="48"/>
      </w:r>
      <w:r w:rsidR="00B23E1E" w:rsidRPr="001E14E4">
        <w:rPr>
          <w:rFonts w:ascii="Verdana" w:hAnsi="Verdana"/>
          <w:sz w:val="20"/>
          <w:szCs w:val="20"/>
          <w:lang w:val="es-ES"/>
        </w:rPr>
        <w:t>.</w:t>
      </w:r>
    </w:p>
    <w:p w14:paraId="0ABEBB3D" w14:textId="7A443E53" w:rsidR="00B23E1E" w:rsidRPr="00B6213F" w:rsidRDefault="002B6217" w:rsidP="006174F1">
      <w:pPr>
        <w:pStyle w:val="List2"/>
        <w:spacing w:before="100" w:beforeAutospacing="1" w:after="120" w:line="240" w:lineRule="auto"/>
        <w:ind w:left="0" w:firstLine="0"/>
        <w:contextualSpacing w:val="0"/>
        <w:jc w:val="both"/>
        <w:rPr>
          <w:rFonts w:ascii="Verdana" w:hAnsi="Verdana"/>
          <w:sz w:val="20"/>
          <w:szCs w:val="20"/>
          <w:lang w:val="es-ES"/>
        </w:rPr>
      </w:pPr>
      <w:r w:rsidRPr="006C31D2">
        <w:rPr>
          <w:rFonts w:ascii="Verdana" w:hAnsi="Verdana"/>
          <w:sz w:val="20"/>
          <w:szCs w:val="20"/>
          <w:lang w:val="es-ES"/>
        </w:rPr>
        <w:t>17</w:t>
      </w:r>
      <w:r w:rsidR="00B23E1E" w:rsidRPr="006C31D2">
        <w:rPr>
          <w:rFonts w:ascii="Verdana" w:hAnsi="Verdana"/>
          <w:sz w:val="20"/>
          <w:szCs w:val="20"/>
          <w:lang w:val="es-ES"/>
        </w:rPr>
        <w:t xml:space="preserve">. </w:t>
      </w:r>
      <w:r w:rsidR="00B23E1E" w:rsidRPr="006C31D2">
        <w:rPr>
          <w:rFonts w:ascii="Verdana" w:hAnsi="Verdana"/>
          <w:sz w:val="20"/>
          <w:szCs w:val="20"/>
          <w:lang w:val="es-ES"/>
        </w:rPr>
        <w:tab/>
        <w:t>La Corte Suprema de Justicia de la Nación Argentina propone un análisis en abstracto, en el que valora si la medida cuestionada de regresiva está justificada</w:t>
      </w:r>
      <w:r w:rsidR="00B23E1E" w:rsidRPr="006C31D2">
        <w:rPr>
          <w:rStyle w:val="FootnoteReference"/>
          <w:rFonts w:ascii="Verdana" w:hAnsi="Verdana"/>
          <w:sz w:val="20"/>
          <w:szCs w:val="20"/>
          <w:lang w:val="es-ES"/>
        </w:rPr>
        <w:footnoteReference w:id="49"/>
      </w:r>
      <w:r w:rsidR="00B23E1E" w:rsidRPr="006C31D2">
        <w:rPr>
          <w:rFonts w:ascii="Verdana" w:hAnsi="Verdana"/>
          <w:sz w:val="20"/>
          <w:szCs w:val="20"/>
          <w:lang w:val="es-ES"/>
        </w:rPr>
        <w:t>, considerando, una protección especial a los grupos más vulnerables</w:t>
      </w:r>
      <w:r w:rsidR="00B23E1E" w:rsidRPr="006C31D2">
        <w:rPr>
          <w:rStyle w:val="FootnoteReference"/>
          <w:rFonts w:ascii="Verdana" w:hAnsi="Verdana"/>
          <w:sz w:val="20"/>
          <w:szCs w:val="20"/>
          <w:lang w:val="es-ES"/>
        </w:rPr>
        <w:footnoteReference w:id="50"/>
      </w:r>
      <w:r w:rsidR="00B23E1E" w:rsidRPr="006C31D2">
        <w:rPr>
          <w:rFonts w:ascii="Verdana" w:hAnsi="Verdana"/>
          <w:sz w:val="20"/>
          <w:szCs w:val="20"/>
          <w:lang w:val="es-ES"/>
        </w:rPr>
        <w:t>.</w:t>
      </w:r>
    </w:p>
    <w:p w14:paraId="57DCDDC6" w14:textId="7BD78EC7" w:rsidR="00C01CE0" w:rsidRPr="00B6213F" w:rsidRDefault="00C01CE0" w:rsidP="00C01CE0">
      <w:pPr>
        <w:pStyle w:val="List2"/>
        <w:spacing w:before="100" w:beforeAutospacing="1" w:after="120" w:line="240" w:lineRule="auto"/>
        <w:ind w:left="0" w:firstLine="0"/>
        <w:contextualSpacing w:val="0"/>
        <w:jc w:val="both"/>
        <w:rPr>
          <w:rFonts w:ascii="Verdana" w:hAnsi="Verdana"/>
          <w:sz w:val="20"/>
          <w:szCs w:val="20"/>
          <w:lang w:val="es-ES"/>
        </w:rPr>
      </w:pPr>
      <w:r w:rsidRPr="004A66AE">
        <w:rPr>
          <w:rFonts w:ascii="Verdana" w:hAnsi="Verdana"/>
          <w:sz w:val="20"/>
          <w:szCs w:val="20"/>
          <w:lang w:val="es-ES"/>
        </w:rPr>
        <w:t xml:space="preserve">18. </w:t>
      </w:r>
      <w:r w:rsidRPr="004A66AE">
        <w:rPr>
          <w:rFonts w:ascii="Verdana" w:hAnsi="Verdana"/>
          <w:sz w:val="20"/>
          <w:szCs w:val="20"/>
          <w:lang w:val="es-ES"/>
        </w:rPr>
        <w:tab/>
        <w:t xml:space="preserve">La </w:t>
      </w:r>
      <w:r w:rsidR="009B3592">
        <w:rPr>
          <w:rFonts w:ascii="Verdana" w:hAnsi="Verdana"/>
          <w:sz w:val="20"/>
          <w:szCs w:val="20"/>
          <w:lang w:val="es-ES"/>
        </w:rPr>
        <w:t>Corte Constitucional de Ecuador</w:t>
      </w:r>
      <w:r w:rsidRPr="004A66AE">
        <w:rPr>
          <w:rFonts w:ascii="Verdana" w:hAnsi="Verdana"/>
          <w:sz w:val="20"/>
          <w:szCs w:val="20"/>
          <w:lang w:val="es-ES"/>
        </w:rPr>
        <w:t xml:space="preserve"> ha reconocido que el principio no se agota con la abstención de adoptar medidas regresivas, sino de realizar medidas positivas como las legislativas. Respecto al principio de no regresividad, en el análisis de las medidas legislativas ha considerado que una norma es regresiva, por lo tanto inconstitucional e inconvencional, cuando ha verificado dos elementos: i) la real disminución del contenido constitucional del derecho, y ii) si la medida no ha sido adoptada por la “consideración más cuidadosa”</w:t>
      </w:r>
      <w:r w:rsidRPr="004A66AE">
        <w:rPr>
          <w:rStyle w:val="FootnoteReference"/>
          <w:rFonts w:ascii="Verdana" w:hAnsi="Verdana"/>
          <w:sz w:val="20"/>
          <w:szCs w:val="20"/>
          <w:lang w:val="es-ES"/>
        </w:rPr>
        <w:footnoteReference w:id="51"/>
      </w:r>
      <w:r w:rsidRPr="004A66AE">
        <w:rPr>
          <w:rFonts w:ascii="Verdana" w:hAnsi="Verdana"/>
          <w:sz w:val="20"/>
          <w:szCs w:val="20"/>
          <w:lang w:val="es-ES"/>
        </w:rPr>
        <w:t>. Respecto a la “consideración más cuidadosa” de las restricciones y de las medidas legislativas regresivas, ha determinado la necesidad de su justificación en función de la satisfacción de otro derecho constitucional y de su proporcionalidad</w:t>
      </w:r>
      <w:r w:rsidRPr="004A66AE">
        <w:rPr>
          <w:rStyle w:val="FootnoteReference"/>
          <w:rFonts w:ascii="Verdana" w:hAnsi="Verdana"/>
          <w:sz w:val="20"/>
          <w:szCs w:val="20"/>
          <w:lang w:val="es-ES"/>
        </w:rPr>
        <w:footnoteReference w:id="52"/>
      </w:r>
      <w:r w:rsidRPr="004A66AE">
        <w:rPr>
          <w:rFonts w:ascii="Verdana" w:hAnsi="Verdana"/>
          <w:sz w:val="20"/>
          <w:szCs w:val="20"/>
          <w:lang w:val="es-ES"/>
        </w:rPr>
        <w:t>.</w:t>
      </w:r>
    </w:p>
    <w:p w14:paraId="72F1025A" w14:textId="41D34D78" w:rsidR="00B23E1E" w:rsidRPr="00B6213F" w:rsidRDefault="002B6217" w:rsidP="006174F1">
      <w:pPr>
        <w:pStyle w:val="List2"/>
        <w:spacing w:before="100" w:beforeAutospacing="1" w:after="120" w:line="240" w:lineRule="auto"/>
        <w:ind w:left="0" w:firstLine="0"/>
        <w:contextualSpacing w:val="0"/>
        <w:jc w:val="both"/>
        <w:rPr>
          <w:rFonts w:ascii="Verdana" w:hAnsi="Verdana"/>
          <w:sz w:val="20"/>
          <w:szCs w:val="20"/>
          <w:lang w:val="es-ES"/>
        </w:rPr>
      </w:pPr>
      <w:r w:rsidRPr="006C31D2">
        <w:rPr>
          <w:rFonts w:ascii="Verdana" w:hAnsi="Verdana"/>
          <w:sz w:val="20"/>
          <w:szCs w:val="20"/>
        </w:rPr>
        <w:t>19</w:t>
      </w:r>
      <w:r w:rsidR="00B23E1E" w:rsidRPr="006C31D2">
        <w:rPr>
          <w:rFonts w:ascii="Verdana" w:hAnsi="Verdana"/>
          <w:sz w:val="20"/>
          <w:szCs w:val="20"/>
        </w:rPr>
        <w:t xml:space="preserve">. </w:t>
      </w:r>
      <w:r w:rsidR="00B23E1E" w:rsidRPr="006C31D2">
        <w:rPr>
          <w:rFonts w:ascii="Verdana" w:hAnsi="Verdana"/>
          <w:sz w:val="20"/>
          <w:szCs w:val="20"/>
        </w:rPr>
        <w:tab/>
        <w:t>Por su parte, el Tribunal Constitucional de Perú, si bien en un principio se limitó a un examen laxo sobre el principio de regresividad en el que la medida podría justificarse por razones del bien común</w:t>
      </w:r>
      <w:r w:rsidR="00B23E1E" w:rsidRPr="006C31D2">
        <w:rPr>
          <w:rStyle w:val="FootnoteReference"/>
          <w:rFonts w:ascii="Verdana" w:hAnsi="Verdana"/>
          <w:sz w:val="20"/>
          <w:szCs w:val="20"/>
        </w:rPr>
        <w:footnoteReference w:id="53"/>
      </w:r>
      <w:r w:rsidR="00B23E1E" w:rsidRPr="006C31D2">
        <w:rPr>
          <w:rFonts w:ascii="Verdana" w:hAnsi="Verdana"/>
          <w:sz w:val="20"/>
          <w:szCs w:val="20"/>
        </w:rPr>
        <w:t xml:space="preserve">, en los últimos años ha optado algunos criterios que podrían ser el inicio de un </w:t>
      </w:r>
      <w:r w:rsidR="00B23E1E" w:rsidRPr="006C31D2">
        <w:rPr>
          <w:rFonts w:ascii="Verdana" w:hAnsi="Verdana"/>
          <w:i/>
          <w:sz w:val="20"/>
          <w:szCs w:val="20"/>
        </w:rPr>
        <w:t>test</w:t>
      </w:r>
      <w:r w:rsidR="00B23E1E" w:rsidRPr="006C31D2">
        <w:rPr>
          <w:rFonts w:ascii="Verdana" w:hAnsi="Verdana"/>
          <w:sz w:val="20"/>
          <w:szCs w:val="20"/>
        </w:rPr>
        <w:t xml:space="preserve"> más detallado para el análisis de medidas regresivas. Por ejemplo, para analizar la constitucionalidad de la reducción de una remuneración ha constatado si ésta: </w:t>
      </w:r>
      <w:r w:rsidR="00B23E1E" w:rsidRPr="006C31D2">
        <w:rPr>
          <w:rFonts w:ascii="Verdana" w:hAnsi="Verdana"/>
          <w:bCs/>
          <w:sz w:val="20"/>
          <w:szCs w:val="20"/>
        </w:rPr>
        <w:t xml:space="preserve">i) </w:t>
      </w:r>
      <w:r w:rsidR="00B23E1E" w:rsidRPr="006C31D2">
        <w:rPr>
          <w:rFonts w:ascii="Verdana" w:hAnsi="Verdana"/>
          <w:sz w:val="20"/>
          <w:szCs w:val="20"/>
        </w:rPr>
        <w:t xml:space="preserve">se encuentra justificada por razones de interés social o, lo que es lo mismo, siempre que exista causa objetiva o legal que la justifique; </w:t>
      </w:r>
      <w:r w:rsidR="00B23E1E" w:rsidRPr="006C31D2">
        <w:rPr>
          <w:rFonts w:ascii="Verdana" w:hAnsi="Verdana"/>
          <w:bCs/>
          <w:sz w:val="20"/>
          <w:szCs w:val="20"/>
        </w:rPr>
        <w:t xml:space="preserve">ii) </w:t>
      </w:r>
      <w:r w:rsidR="00B23E1E" w:rsidRPr="006C31D2">
        <w:rPr>
          <w:rFonts w:ascii="Verdana" w:hAnsi="Verdana"/>
          <w:sz w:val="20"/>
          <w:szCs w:val="20"/>
        </w:rPr>
        <w:t xml:space="preserve">se trata de una medida extraordinaria; </w:t>
      </w:r>
      <w:r w:rsidR="00B23E1E" w:rsidRPr="006C31D2">
        <w:rPr>
          <w:rFonts w:ascii="Verdana" w:hAnsi="Verdana"/>
          <w:bCs/>
          <w:sz w:val="20"/>
          <w:szCs w:val="20"/>
        </w:rPr>
        <w:t xml:space="preserve">iii) </w:t>
      </w:r>
      <w:r w:rsidR="00B23E1E" w:rsidRPr="006C31D2">
        <w:rPr>
          <w:rFonts w:ascii="Verdana" w:hAnsi="Verdana"/>
          <w:sz w:val="20"/>
          <w:szCs w:val="20"/>
        </w:rPr>
        <w:t xml:space="preserve">se trata de una medida coyuntural; y </w:t>
      </w:r>
      <w:r w:rsidR="00B23E1E" w:rsidRPr="006C31D2">
        <w:rPr>
          <w:rFonts w:ascii="Verdana" w:hAnsi="Verdana"/>
          <w:bCs/>
          <w:sz w:val="20"/>
          <w:szCs w:val="20"/>
        </w:rPr>
        <w:t xml:space="preserve">iv) </w:t>
      </w:r>
      <w:r w:rsidR="00B23E1E" w:rsidRPr="006C31D2">
        <w:rPr>
          <w:rFonts w:ascii="Verdana" w:hAnsi="Verdana"/>
          <w:sz w:val="20"/>
          <w:szCs w:val="20"/>
        </w:rPr>
        <w:t>posee eficacia limitada en el tiempo</w:t>
      </w:r>
      <w:r w:rsidR="00B23E1E" w:rsidRPr="006C31D2">
        <w:rPr>
          <w:rStyle w:val="FootnoteReference"/>
          <w:rFonts w:ascii="Verdana" w:hAnsi="Verdana"/>
          <w:sz w:val="20"/>
          <w:szCs w:val="20"/>
        </w:rPr>
        <w:footnoteReference w:id="54"/>
      </w:r>
      <w:r w:rsidR="00B23E1E" w:rsidRPr="006C31D2">
        <w:rPr>
          <w:rFonts w:ascii="Verdana" w:hAnsi="Verdana"/>
          <w:sz w:val="20"/>
          <w:szCs w:val="20"/>
        </w:rPr>
        <w:t>.</w:t>
      </w:r>
    </w:p>
    <w:p w14:paraId="22F43002" w14:textId="50EE20C7" w:rsidR="00B23E1E" w:rsidRPr="00B6213F" w:rsidRDefault="002B6217" w:rsidP="006174F1">
      <w:pPr>
        <w:pStyle w:val="List2"/>
        <w:spacing w:before="100" w:beforeAutospacing="1" w:after="120" w:line="240" w:lineRule="auto"/>
        <w:ind w:left="0" w:firstLine="0"/>
        <w:contextualSpacing w:val="0"/>
        <w:jc w:val="both"/>
        <w:rPr>
          <w:rFonts w:ascii="Verdana" w:hAnsi="Verdana"/>
          <w:sz w:val="20"/>
          <w:szCs w:val="20"/>
          <w:lang w:val="es-ES"/>
        </w:rPr>
      </w:pPr>
      <w:r w:rsidRPr="006C31D2">
        <w:rPr>
          <w:rFonts w:ascii="Verdana" w:hAnsi="Verdana"/>
          <w:sz w:val="20"/>
          <w:szCs w:val="20"/>
        </w:rPr>
        <w:t>20</w:t>
      </w:r>
      <w:r w:rsidR="00B23E1E" w:rsidRPr="006C31D2">
        <w:rPr>
          <w:rFonts w:ascii="Verdana" w:hAnsi="Verdana"/>
          <w:sz w:val="20"/>
          <w:szCs w:val="20"/>
        </w:rPr>
        <w:t xml:space="preserve">. </w:t>
      </w:r>
      <w:r w:rsidR="00B23E1E" w:rsidRPr="006C31D2">
        <w:rPr>
          <w:rFonts w:ascii="Verdana" w:hAnsi="Verdana"/>
          <w:sz w:val="20"/>
          <w:szCs w:val="20"/>
        </w:rPr>
        <w:tab/>
        <w:t xml:space="preserve">La Corte de Constitucionalidad de Guatemala ha establecido que una medida resulta o no regresiva: </w:t>
      </w:r>
      <w:r w:rsidR="00B23E1E" w:rsidRPr="006C31D2">
        <w:rPr>
          <w:rFonts w:ascii="Verdana" w:hAnsi="Verdana"/>
          <w:bCs/>
          <w:sz w:val="20"/>
          <w:szCs w:val="20"/>
        </w:rPr>
        <w:t xml:space="preserve">i) </w:t>
      </w:r>
      <w:r w:rsidR="00B23E1E" w:rsidRPr="006C31D2">
        <w:rPr>
          <w:rFonts w:ascii="Verdana" w:hAnsi="Verdana"/>
          <w:sz w:val="20"/>
          <w:szCs w:val="20"/>
        </w:rPr>
        <w:t xml:space="preserve">cuando recorta o limita el ámbito sustantivo de protección del respectivo derecho prestacional; </w:t>
      </w:r>
      <w:r w:rsidR="00B23E1E" w:rsidRPr="006C31D2">
        <w:rPr>
          <w:rFonts w:ascii="Verdana" w:hAnsi="Verdana"/>
          <w:bCs/>
          <w:sz w:val="20"/>
          <w:szCs w:val="20"/>
        </w:rPr>
        <w:t xml:space="preserve">ii) </w:t>
      </w:r>
      <w:r w:rsidR="00B23E1E" w:rsidRPr="006C31D2">
        <w:rPr>
          <w:rFonts w:ascii="Verdana" w:hAnsi="Verdana"/>
          <w:sz w:val="20"/>
          <w:szCs w:val="20"/>
        </w:rPr>
        <w:t xml:space="preserve">cuando aumenta sustancialmente los requisitos exigidos para acceder al derecho de que se trata; y </w:t>
      </w:r>
      <w:r w:rsidR="00B23E1E" w:rsidRPr="006C31D2">
        <w:rPr>
          <w:rFonts w:ascii="Verdana" w:hAnsi="Verdana"/>
          <w:bCs/>
          <w:sz w:val="20"/>
          <w:szCs w:val="20"/>
        </w:rPr>
        <w:t xml:space="preserve">iii) </w:t>
      </w:r>
      <w:r w:rsidR="00B23E1E" w:rsidRPr="006C31D2">
        <w:rPr>
          <w:rFonts w:ascii="Verdana" w:hAnsi="Verdana"/>
          <w:sz w:val="20"/>
          <w:szCs w:val="20"/>
        </w:rPr>
        <w:t>cuando disminuye o desvía de manera efectiva e importante los recursos públicos destinados a la satisfacción del derecho, antes de que se haya verificado el cumplimiento de la respectiva prestación</w:t>
      </w:r>
      <w:r w:rsidR="00B23E1E" w:rsidRPr="006C31D2">
        <w:rPr>
          <w:rStyle w:val="FootnoteReference"/>
          <w:rFonts w:ascii="Verdana" w:hAnsi="Verdana"/>
          <w:sz w:val="20"/>
          <w:szCs w:val="20"/>
        </w:rPr>
        <w:footnoteReference w:id="55"/>
      </w:r>
      <w:r w:rsidR="00B23E1E" w:rsidRPr="006C31D2">
        <w:rPr>
          <w:rFonts w:ascii="Verdana" w:hAnsi="Verdana"/>
          <w:sz w:val="20"/>
          <w:szCs w:val="20"/>
        </w:rPr>
        <w:t>. Sin detrimento de lo anterior, también ha considerado que podría justificarse la regresión en determinado momento histórico, siempre que se atienda a los principios de razonabilidad y de proporcionalidad</w:t>
      </w:r>
      <w:r w:rsidR="00B23E1E" w:rsidRPr="006C31D2">
        <w:rPr>
          <w:rStyle w:val="FootnoteReference"/>
          <w:rFonts w:ascii="Verdana" w:hAnsi="Verdana"/>
          <w:sz w:val="20"/>
          <w:szCs w:val="20"/>
        </w:rPr>
        <w:footnoteReference w:id="56"/>
      </w:r>
      <w:r w:rsidR="00B23E1E" w:rsidRPr="006C31D2">
        <w:rPr>
          <w:rFonts w:ascii="Verdana" w:hAnsi="Verdana"/>
          <w:sz w:val="20"/>
          <w:szCs w:val="20"/>
        </w:rPr>
        <w:t>.</w:t>
      </w:r>
      <w:r w:rsidR="00B23E1E" w:rsidRPr="00B6213F">
        <w:rPr>
          <w:rFonts w:ascii="Verdana" w:hAnsi="Verdana"/>
          <w:sz w:val="20"/>
          <w:szCs w:val="20"/>
        </w:rPr>
        <w:t xml:space="preserve"> </w:t>
      </w:r>
    </w:p>
    <w:p w14:paraId="16419555" w14:textId="1BDD5514" w:rsidR="00B23E1E" w:rsidRPr="00B6213F" w:rsidRDefault="002B6217" w:rsidP="006174F1">
      <w:pPr>
        <w:pStyle w:val="List2"/>
        <w:spacing w:before="100" w:beforeAutospacing="1" w:after="120" w:line="240" w:lineRule="auto"/>
        <w:ind w:left="0" w:firstLine="0"/>
        <w:contextualSpacing w:val="0"/>
        <w:jc w:val="both"/>
        <w:rPr>
          <w:rFonts w:ascii="Verdana" w:hAnsi="Verdana"/>
          <w:sz w:val="20"/>
          <w:szCs w:val="20"/>
          <w:lang w:val="es-ES"/>
        </w:rPr>
      </w:pPr>
      <w:r w:rsidRPr="00337ACB">
        <w:rPr>
          <w:rFonts w:ascii="Verdana" w:hAnsi="Verdana"/>
          <w:sz w:val="20"/>
          <w:szCs w:val="20"/>
          <w:lang w:val="es-ES"/>
        </w:rPr>
        <w:t>21</w:t>
      </w:r>
      <w:r w:rsidR="00B23E1E" w:rsidRPr="00337ACB">
        <w:rPr>
          <w:rFonts w:ascii="Verdana" w:hAnsi="Verdana"/>
          <w:sz w:val="20"/>
          <w:szCs w:val="20"/>
          <w:lang w:val="es-ES"/>
        </w:rPr>
        <w:t xml:space="preserve">. </w:t>
      </w:r>
      <w:r w:rsidR="00B23E1E" w:rsidRPr="00337ACB">
        <w:rPr>
          <w:rFonts w:ascii="Verdana" w:hAnsi="Verdana"/>
          <w:sz w:val="20"/>
          <w:szCs w:val="20"/>
          <w:lang w:val="es-ES"/>
        </w:rPr>
        <w:tab/>
        <w:t>En general, la Suprema Corte de Justicia de Nación de México (en adelante, “SCJN”) ha utilizado distintos criterios</w:t>
      </w:r>
      <w:r w:rsidR="00B23E1E" w:rsidRPr="00337ACB">
        <w:rPr>
          <w:rFonts w:ascii="Verdana" w:hAnsi="Verdana" w:cs="Times New Roman"/>
          <w:sz w:val="20"/>
          <w:szCs w:val="20"/>
          <w:lang w:val="es-ES"/>
        </w:rPr>
        <w:t xml:space="preserve"> respecto de los elementos para el análisis de constitucionalidad de una medida regresiva</w:t>
      </w:r>
      <w:r w:rsidR="00B23E1E" w:rsidRPr="00337ACB">
        <w:rPr>
          <w:rStyle w:val="FootnoteReference"/>
          <w:rFonts w:ascii="Verdana" w:hAnsi="Verdana" w:cs="Times New Roman"/>
          <w:sz w:val="20"/>
          <w:szCs w:val="20"/>
          <w:lang w:val="es-ES"/>
        </w:rPr>
        <w:footnoteReference w:id="57"/>
      </w:r>
      <w:r w:rsidR="00B23E1E" w:rsidRPr="00337ACB">
        <w:rPr>
          <w:rFonts w:ascii="Verdana" w:hAnsi="Verdana" w:cs="Times New Roman"/>
          <w:sz w:val="20"/>
          <w:szCs w:val="20"/>
          <w:lang w:val="es-ES"/>
        </w:rPr>
        <w:t xml:space="preserve">. Además, puede identificarse que sus dos salas han establecido </w:t>
      </w:r>
      <w:r w:rsidR="00B23E1E" w:rsidRPr="00337ACB">
        <w:rPr>
          <w:rFonts w:ascii="Verdana" w:hAnsi="Verdana" w:cs="Times New Roman"/>
          <w:i/>
          <w:sz w:val="20"/>
          <w:szCs w:val="20"/>
          <w:lang w:val="es-ES"/>
        </w:rPr>
        <w:t>test</w:t>
      </w:r>
      <w:r w:rsidR="00B23E1E" w:rsidRPr="00337ACB">
        <w:rPr>
          <w:rFonts w:ascii="Verdana" w:hAnsi="Verdana" w:cs="Times New Roman"/>
          <w:sz w:val="20"/>
          <w:szCs w:val="20"/>
          <w:lang w:val="es-ES"/>
        </w:rPr>
        <w:t xml:space="preserve"> distintos para analizar la constitucionalidad de medidas supuestamente regresiva</w:t>
      </w:r>
      <w:r w:rsidR="00637FA2">
        <w:rPr>
          <w:rFonts w:ascii="Verdana" w:hAnsi="Verdana" w:cs="Times New Roman"/>
          <w:sz w:val="20"/>
          <w:szCs w:val="20"/>
          <w:lang w:val="es-ES"/>
        </w:rPr>
        <w:t>s</w:t>
      </w:r>
      <w:r w:rsidR="00B23E1E" w:rsidRPr="00337ACB">
        <w:rPr>
          <w:rFonts w:ascii="Verdana" w:hAnsi="Verdana" w:cs="Times New Roman"/>
          <w:sz w:val="20"/>
          <w:szCs w:val="20"/>
          <w:lang w:val="es-ES"/>
        </w:rPr>
        <w:t>.</w:t>
      </w:r>
      <w:r w:rsidR="005726CC" w:rsidRPr="00337ACB">
        <w:rPr>
          <w:rFonts w:ascii="Verdana" w:hAnsi="Verdana" w:cs="Times New Roman"/>
          <w:sz w:val="20"/>
          <w:szCs w:val="20"/>
          <w:lang w:val="es-ES"/>
        </w:rPr>
        <w:t xml:space="preserve"> </w:t>
      </w:r>
      <w:r w:rsidR="00B23E1E" w:rsidRPr="00337ACB">
        <w:rPr>
          <w:rFonts w:ascii="Verdana" w:hAnsi="Verdana" w:cs="Times New Roman"/>
          <w:sz w:val="20"/>
          <w:szCs w:val="20"/>
          <w:lang w:val="es-ES"/>
        </w:rPr>
        <w:t xml:space="preserve">Para la Primera Sala de la SCJN, una medida regresiva es constitucional, de involucrarse algún tema de recursos presupuestales, si: </w:t>
      </w:r>
      <w:r w:rsidR="00B23E1E" w:rsidRPr="00337ACB">
        <w:rPr>
          <w:rFonts w:ascii="Verdana" w:hAnsi="Verdana" w:cs="Times"/>
          <w:sz w:val="20"/>
          <w:szCs w:val="20"/>
          <w:lang w:val="es-ES"/>
        </w:rPr>
        <w:t xml:space="preserve">i) </w:t>
      </w:r>
      <w:r w:rsidR="00B23E1E" w:rsidRPr="00337ACB">
        <w:rPr>
          <w:rFonts w:ascii="Verdana" w:hAnsi="Verdana" w:cs="Times New Roman"/>
          <w:sz w:val="20"/>
          <w:szCs w:val="20"/>
          <w:lang w:val="es-ES"/>
        </w:rPr>
        <w:t xml:space="preserve">se acredita la falta de recursos; </w:t>
      </w:r>
      <w:r w:rsidR="00B23E1E" w:rsidRPr="00337ACB">
        <w:rPr>
          <w:rFonts w:ascii="Verdana" w:hAnsi="Verdana" w:cs="Times"/>
          <w:sz w:val="20"/>
          <w:szCs w:val="20"/>
          <w:lang w:val="es-ES"/>
        </w:rPr>
        <w:t>ii)</w:t>
      </w:r>
      <w:r w:rsidR="00B23E1E" w:rsidRPr="00B6213F">
        <w:rPr>
          <w:rFonts w:ascii="Verdana" w:hAnsi="Verdana" w:cs="Times"/>
          <w:sz w:val="20"/>
          <w:szCs w:val="20"/>
          <w:lang w:val="es-ES"/>
        </w:rPr>
        <w:t xml:space="preserve"> </w:t>
      </w:r>
      <w:r w:rsidR="00B23E1E" w:rsidRPr="00B6213F">
        <w:rPr>
          <w:rFonts w:ascii="Verdana" w:hAnsi="Verdana" w:cs="Times New Roman"/>
          <w:sz w:val="20"/>
          <w:szCs w:val="20"/>
          <w:lang w:val="es-ES"/>
        </w:rPr>
        <w:t xml:space="preserve">se demuestra que se realizaron todos los esfuerzos necesarios para obtenerlos, sin éxito; y, </w:t>
      </w:r>
      <w:r w:rsidR="00B23E1E" w:rsidRPr="00337ACB">
        <w:rPr>
          <w:rFonts w:ascii="Verdana" w:hAnsi="Verdana" w:cs="Times"/>
          <w:sz w:val="20"/>
          <w:szCs w:val="20"/>
          <w:lang w:val="es-ES"/>
        </w:rPr>
        <w:t xml:space="preserve">iii) </w:t>
      </w:r>
      <w:r w:rsidR="00B23E1E" w:rsidRPr="00337ACB">
        <w:rPr>
          <w:rFonts w:ascii="Verdana" w:hAnsi="Verdana" w:cs="Times New Roman"/>
          <w:sz w:val="20"/>
          <w:szCs w:val="20"/>
          <w:lang w:val="es-ES"/>
        </w:rPr>
        <w:t>se demuestra que se aplicó el máximo de los recursos o que los recursos de que se disponía se aplicaron a tutelar otro derecho humano (y no cualquier objetivo social), y que la importancia relativa de satisfacerlo prioritariamente era mayor</w:t>
      </w:r>
      <w:r w:rsidR="00B23E1E" w:rsidRPr="00337ACB">
        <w:rPr>
          <w:rStyle w:val="FootnoteReference"/>
          <w:rFonts w:ascii="Verdana" w:hAnsi="Verdana" w:cs="Times New Roman"/>
          <w:sz w:val="20"/>
          <w:szCs w:val="20"/>
          <w:lang w:val="es-ES"/>
        </w:rPr>
        <w:footnoteReference w:id="58"/>
      </w:r>
      <w:r w:rsidR="00B23E1E" w:rsidRPr="00337ACB">
        <w:rPr>
          <w:rFonts w:ascii="Verdana" w:hAnsi="Verdana" w:cs="Times New Roman"/>
          <w:sz w:val="20"/>
          <w:szCs w:val="20"/>
          <w:lang w:val="es-ES"/>
        </w:rPr>
        <w:t xml:space="preserve">. Por su parte, la Segunda Sala de la SCJN ha señalado que para concluir que una medida regresiva está justificada debe analizarse si: </w:t>
      </w:r>
      <w:r w:rsidR="00B23E1E" w:rsidRPr="00337ACB">
        <w:rPr>
          <w:rFonts w:ascii="Verdana" w:hAnsi="Verdana" w:cs="Times"/>
          <w:sz w:val="20"/>
          <w:szCs w:val="20"/>
          <w:lang w:val="es-ES"/>
        </w:rPr>
        <w:t xml:space="preserve">i) </w:t>
      </w:r>
      <w:r w:rsidR="00B23E1E" w:rsidRPr="00337ACB">
        <w:rPr>
          <w:rFonts w:ascii="Verdana" w:hAnsi="Verdana" w:cs="Times New Roman"/>
          <w:sz w:val="20"/>
          <w:szCs w:val="20"/>
          <w:lang w:val="es-ES"/>
        </w:rPr>
        <w:t xml:space="preserve">dicha disminución tiene como finalidad esencial incrementar el grado de tutela de un derecho humano; y </w:t>
      </w:r>
      <w:r w:rsidR="00B23E1E" w:rsidRPr="00337ACB">
        <w:rPr>
          <w:rFonts w:ascii="Verdana" w:hAnsi="Verdana" w:cs="Times"/>
          <w:sz w:val="20"/>
          <w:szCs w:val="20"/>
          <w:lang w:val="es-ES"/>
        </w:rPr>
        <w:t xml:space="preserve">ii) </w:t>
      </w:r>
      <w:r w:rsidR="00B23E1E" w:rsidRPr="00337ACB">
        <w:rPr>
          <w:rFonts w:ascii="Verdana" w:hAnsi="Verdana" w:cs="Times New Roman"/>
          <w:sz w:val="20"/>
          <w:szCs w:val="20"/>
          <w:lang w:val="es-ES"/>
        </w:rPr>
        <w:t>genera un equilibrio razonable entre los derechos fundamentales en juego, sin afectar de manera desmedida la eficacia de alguno de ellos</w:t>
      </w:r>
      <w:r w:rsidR="00B23E1E" w:rsidRPr="00337ACB">
        <w:rPr>
          <w:rStyle w:val="FootnoteReference"/>
          <w:rFonts w:ascii="Verdana" w:hAnsi="Verdana" w:cs="Times New Roman"/>
          <w:sz w:val="20"/>
          <w:szCs w:val="20"/>
          <w:lang w:val="es-ES"/>
        </w:rPr>
        <w:footnoteReference w:id="59"/>
      </w:r>
      <w:r w:rsidR="00B23E1E" w:rsidRPr="00337ACB">
        <w:rPr>
          <w:rFonts w:ascii="Verdana" w:hAnsi="Verdana" w:cs="Times New Roman"/>
          <w:sz w:val="20"/>
          <w:szCs w:val="20"/>
          <w:lang w:val="es-ES"/>
        </w:rPr>
        <w:t>.</w:t>
      </w:r>
      <w:r w:rsidR="00B23E1E" w:rsidRPr="00B6213F">
        <w:rPr>
          <w:rFonts w:ascii="Verdana" w:hAnsi="Verdana" w:cs="Times New Roman"/>
          <w:sz w:val="20"/>
          <w:szCs w:val="20"/>
          <w:lang w:val="es-ES"/>
        </w:rPr>
        <w:t xml:space="preserve"> </w:t>
      </w:r>
    </w:p>
    <w:p w14:paraId="6D0A94B9" w14:textId="7DB184C3" w:rsidR="00B23E1E" w:rsidRDefault="002B6217" w:rsidP="006174F1">
      <w:pPr>
        <w:pStyle w:val="List2"/>
        <w:spacing w:before="100" w:beforeAutospacing="1" w:after="120" w:line="240" w:lineRule="auto"/>
        <w:ind w:left="0" w:firstLine="0"/>
        <w:contextualSpacing w:val="0"/>
        <w:jc w:val="both"/>
        <w:rPr>
          <w:rFonts w:ascii="Verdana" w:hAnsi="Verdana"/>
          <w:sz w:val="20"/>
          <w:szCs w:val="20"/>
          <w:lang w:val="es-ES"/>
        </w:rPr>
      </w:pPr>
      <w:r>
        <w:rPr>
          <w:rFonts w:ascii="Verdana" w:hAnsi="Verdana"/>
          <w:sz w:val="20"/>
          <w:szCs w:val="20"/>
          <w:lang w:val="es-ES"/>
        </w:rPr>
        <w:t>22</w:t>
      </w:r>
      <w:r w:rsidR="00B23E1E" w:rsidRPr="00B6213F">
        <w:rPr>
          <w:rFonts w:ascii="Verdana" w:hAnsi="Verdana"/>
          <w:sz w:val="20"/>
          <w:szCs w:val="20"/>
          <w:lang w:val="es-ES"/>
        </w:rPr>
        <w:t xml:space="preserve">. </w:t>
      </w:r>
      <w:r w:rsidR="00B23E1E" w:rsidRPr="00B6213F">
        <w:rPr>
          <w:rFonts w:ascii="Verdana" w:hAnsi="Verdana"/>
          <w:sz w:val="20"/>
          <w:szCs w:val="20"/>
          <w:lang w:val="es-ES"/>
        </w:rPr>
        <w:tab/>
        <w:t>Como puede apreciarse, diversas jurisdicciones constitucionales nacionales han evaluado si se ha incumplido la gradual realización de los DESCA</w:t>
      </w:r>
      <w:r w:rsidR="00B23E1E">
        <w:rPr>
          <w:rFonts w:ascii="Verdana" w:hAnsi="Verdana"/>
          <w:sz w:val="20"/>
          <w:szCs w:val="20"/>
          <w:lang w:val="es-ES"/>
        </w:rPr>
        <w:t xml:space="preserve"> en el marco del principio de progresividad</w:t>
      </w:r>
      <w:r w:rsidR="00B23E1E" w:rsidRPr="00B6213F">
        <w:rPr>
          <w:rFonts w:ascii="Verdana" w:hAnsi="Verdana"/>
          <w:sz w:val="20"/>
          <w:szCs w:val="20"/>
          <w:lang w:val="es-ES"/>
        </w:rPr>
        <w:t>.</w:t>
      </w:r>
      <w:r w:rsidR="00B23E1E" w:rsidRPr="00B6213F">
        <w:rPr>
          <w:rFonts w:ascii="Verdana" w:hAnsi="Verdana"/>
          <w:b/>
          <w:sz w:val="20"/>
          <w:szCs w:val="20"/>
          <w:lang w:val="es-ES"/>
        </w:rPr>
        <w:t xml:space="preserve"> </w:t>
      </w:r>
      <w:r w:rsidR="00B23E1E" w:rsidRPr="00B6213F">
        <w:rPr>
          <w:rFonts w:ascii="Verdana" w:hAnsi="Verdana"/>
          <w:sz w:val="20"/>
          <w:szCs w:val="20"/>
          <w:lang w:val="es-ES"/>
        </w:rPr>
        <w:t>Cabe resaltar que</w:t>
      </w:r>
      <w:r w:rsidR="00B23E1E">
        <w:rPr>
          <w:rFonts w:ascii="Verdana" w:hAnsi="Verdana"/>
          <w:sz w:val="20"/>
          <w:szCs w:val="20"/>
          <w:lang w:val="es-ES"/>
        </w:rPr>
        <w:t>,</w:t>
      </w:r>
      <w:r w:rsidR="00B23E1E" w:rsidRPr="00B6213F">
        <w:rPr>
          <w:rFonts w:ascii="Verdana" w:hAnsi="Verdana"/>
          <w:sz w:val="20"/>
          <w:szCs w:val="20"/>
          <w:lang w:val="es-ES"/>
        </w:rPr>
        <w:t xml:space="preserve"> </w:t>
      </w:r>
      <w:r w:rsidR="00B23E1E">
        <w:rPr>
          <w:rFonts w:ascii="Verdana" w:hAnsi="Verdana"/>
          <w:sz w:val="20"/>
          <w:szCs w:val="20"/>
          <w:lang w:val="es-ES"/>
        </w:rPr>
        <w:t>si bien</w:t>
      </w:r>
      <w:r w:rsidR="00B23E1E" w:rsidRPr="00B6213F">
        <w:rPr>
          <w:rFonts w:ascii="Verdana" w:hAnsi="Verdana"/>
          <w:sz w:val="20"/>
          <w:szCs w:val="20"/>
          <w:lang w:val="es-ES"/>
        </w:rPr>
        <w:t xml:space="preserve"> las constituciones </w:t>
      </w:r>
      <w:r w:rsidR="00B23E1E">
        <w:rPr>
          <w:rFonts w:ascii="Verdana" w:hAnsi="Verdana"/>
          <w:sz w:val="20"/>
          <w:szCs w:val="20"/>
          <w:lang w:val="es-ES"/>
        </w:rPr>
        <w:t xml:space="preserve">de la región no </w:t>
      </w:r>
      <w:r w:rsidR="00B23E1E" w:rsidRPr="00B6213F">
        <w:rPr>
          <w:rFonts w:ascii="Verdana" w:hAnsi="Verdana"/>
          <w:sz w:val="20"/>
          <w:szCs w:val="20"/>
          <w:lang w:val="es-ES"/>
        </w:rPr>
        <w:t>reconoce</w:t>
      </w:r>
      <w:r w:rsidR="00B23E1E">
        <w:rPr>
          <w:rFonts w:ascii="Verdana" w:hAnsi="Verdana"/>
          <w:sz w:val="20"/>
          <w:szCs w:val="20"/>
          <w:lang w:val="es-ES"/>
        </w:rPr>
        <w:t>n</w:t>
      </w:r>
      <w:r w:rsidR="00B23E1E" w:rsidRPr="00B6213F">
        <w:rPr>
          <w:rFonts w:ascii="Verdana" w:hAnsi="Verdana"/>
          <w:sz w:val="20"/>
          <w:szCs w:val="20"/>
          <w:lang w:val="es-ES"/>
        </w:rPr>
        <w:t xml:space="preserve"> expresamente la prohibición de regresión, </w:t>
      </w:r>
      <w:r w:rsidR="00B23E1E">
        <w:rPr>
          <w:rFonts w:ascii="Verdana" w:hAnsi="Verdana"/>
          <w:sz w:val="20"/>
          <w:szCs w:val="20"/>
          <w:lang w:val="es-ES"/>
        </w:rPr>
        <w:t>las altas jurisdicciones nacionales lo han abordado. En este sentido,</w:t>
      </w:r>
      <w:r w:rsidR="00B23E1E" w:rsidRPr="00B6213F">
        <w:rPr>
          <w:rFonts w:ascii="Verdana" w:hAnsi="Verdana"/>
          <w:sz w:val="20"/>
          <w:szCs w:val="20"/>
          <w:lang w:val="es-ES"/>
        </w:rPr>
        <w:t xml:space="preserve"> como lo ha hecho el Comité DESC, existe una prohibición de regresión de manera implícita dentro del contenido de la progresividad</w:t>
      </w:r>
      <w:r w:rsidR="00B23E1E" w:rsidRPr="00B6213F">
        <w:rPr>
          <w:rStyle w:val="FootnoteReference"/>
          <w:rFonts w:ascii="Verdana" w:hAnsi="Verdana" w:cs="Times New Roman"/>
          <w:sz w:val="20"/>
          <w:szCs w:val="20"/>
          <w:lang w:val="es-ES"/>
        </w:rPr>
        <w:footnoteReference w:id="60"/>
      </w:r>
      <w:r w:rsidR="00B23E1E" w:rsidRPr="00B6213F">
        <w:rPr>
          <w:rFonts w:ascii="Verdana" w:hAnsi="Verdana"/>
          <w:sz w:val="20"/>
          <w:szCs w:val="20"/>
          <w:lang w:val="es-ES"/>
        </w:rPr>
        <w:t xml:space="preserve">. </w:t>
      </w:r>
    </w:p>
    <w:p w14:paraId="49F87BE9" w14:textId="2AA5535E" w:rsidR="00B23E1E" w:rsidRPr="00437223" w:rsidRDefault="00B23E1E" w:rsidP="006174F1">
      <w:pPr>
        <w:pStyle w:val="List2"/>
        <w:spacing w:before="100" w:beforeAutospacing="1" w:after="120" w:line="240" w:lineRule="auto"/>
        <w:ind w:left="0" w:firstLine="0"/>
        <w:contextualSpacing w:val="0"/>
        <w:jc w:val="both"/>
        <w:rPr>
          <w:rFonts w:ascii="Verdana" w:hAnsi="Verdana"/>
          <w:b/>
          <w:sz w:val="20"/>
          <w:szCs w:val="20"/>
          <w:lang w:val="es-ES"/>
        </w:rPr>
      </w:pPr>
      <w:r w:rsidRPr="00337ACB">
        <w:rPr>
          <w:rFonts w:ascii="Verdana" w:hAnsi="Verdana"/>
          <w:b/>
          <w:sz w:val="20"/>
          <w:szCs w:val="20"/>
          <w:lang w:val="es-ES"/>
        </w:rPr>
        <w:t>c</w:t>
      </w:r>
      <w:r w:rsidR="00BA55C1" w:rsidRPr="00337ACB">
        <w:rPr>
          <w:rFonts w:ascii="Verdana" w:hAnsi="Verdana"/>
          <w:b/>
          <w:sz w:val="20"/>
          <w:szCs w:val="20"/>
          <w:lang w:val="es-ES"/>
        </w:rPr>
        <w:t>.</w:t>
      </w:r>
      <w:r w:rsidRPr="00337ACB">
        <w:rPr>
          <w:rFonts w:ascii="Verdana" w:hAnsi="Verdana"/>
          <w:b/>
          <w:sz w:val="20"/>
          <w:szCs w:val="20"/>
          <w:lang w:val="es-ES"/>
        </w:rPr>
        <w:t xml:space="preserve"> Decisiones sobre el derecho a la salud de las personas viviendo con</w:t>
      </w:r>
      <w:r w:rsidR="005726CC" w:rsidRPr="00337ACB">
        <w:rPr>
          <w:rFonts w:ascii="Verdana" w:hAnsi="Verdana"/>
          <w:b/>
          <w:sz w:val="20"/>
          <w:szCs w:val="20"/>
          <w:lang w:val="es-ES"/>
        </w:rPr>
        <w:t xml:space="preserve"> el</w:t>
      </w:r>
      <w:r w:rsidRPr="00337ACB">
        <w:rPr>
          <w:rFonts w:ascii="Verdana" w:hAnsi="Verdana"/>
          <w:b/>
          <w:sz w:val="20"/>
          <w:szCs w:val="20"/>
          <w:lang w:val="es-ES"/>
        </w:rPr>
        <w:t xml:space="preserve"> VIH</w:t>
      </w:r>
    </w:p>
    <w:p w14:paraId="5CB6797A" w14:textId="59F041BE" w:rsidR="00B23E1E" w:rsidRPr="00B6213F" w:rsidRDefault="002B6217" w:rsidP="006174F1">
      <w:pPr>
        <w:pStyle w:val="List2"/>
        <w:spacing w:before="100" w:beforeAutospacing="1" w:after="120" w:line="240" w:lineRule="auto"/>
        <w:ind w:left="0" w:firstLine="0"/>
        <w:contextualSpacing w:val="0"/>
        <w:jc w:val="both"/>
        <w:rPr>
          <w:rFonts w:ascii="Verdana" w:hAnsi="Verdana"/>
          <w:color w:val="000000" w:themeColor="text1"/>
          <w:sz w:val="20"/>
          <w:szCs w:val="20"/>
          <w:lang w:val="es-ES"/>
        </w:rPr>
      </w:pPr>
      <w:r w:rsidRPr="00337ACB">
        <w:rPr>
          <w:rFonts w:ascii="Verdana" w:hAnsi="Verdana"/>
          <w:sz w:val="20"/>
          <w:szCs w:val="20"/>
          <w:lang w:val="es-ES"/>
        </w:rPr>
        <w:t>23</w:t>
      </w:r>
      <w:r w:rsidR="00B23E1E" w:rsidRPr="00337ACB">
        <w:rPr>
          <w:rFonts w:ascii="Verdana" w:hAnsi="Verdana"/>
          <w:sz w:val="20"/>
          <w:szCs w:val="20"/>
          <w:lang w:val="es-ES"/>
        </w:rPr>
        <w:t xml:space="preserve">. </w:t>
      </w:r>
      <w:r w:rsidR="00B23E1E" w:rsidRPr="00337ACB">
        <w:rPr>
          <w:rFonts w:ascii="Verdana" w:hAnsi="Verdana"/>
          <w:sz w:val="20"/>
          <w:szCs w:val="20"/>
          <w:lang w:val="es-ES"/>
        </w:rPr>
        <w:tab/>
      </w:r>
      <w:r w:rsidR="005726CC" w:rsidRPr="00337ACB">
        <w:rPr>
          <w:rFonts w:ascii="Verdana" w:hAnsi="Verdana"/>
          <w:sz w:val="20"/>
          <w:szCs w:val="20"/>
          <w:lang w:val="es-ES"/>
        </w:rPr>
        <w:t xml:space="preserve">En este contexto, </w:t>
      </w:r>
      <w:r w:rsidR="005726CC" w:rsidRPr="00337ACB">
        <w:rPr>
          <w:rFonts w:ascii="Verdana" w:hAnsi="Verdana"/>
          <w:color w:val="000000" w:themeColor="text1"/>
          <w:sz w:val="20"/>
          <w:szCs w:val="20"/>
          <w:lang w:val="es-ES"/>
        </w:rPr>
        <w:t>e</w:t>
      </w:r>
      <w:r w:rsidR="00B23E1E" w:rsidRPr="00337ACB">
        <w:rPr>
          <w:rFonts w:ascii="Verdana" w:hAnsi="Verdana"/>
          <w:color w:val="000000" w:themeColor="text1"/>
          <w:sz w:val="20"/>
          <w:szCs w:val="20"/>
          <w:lang w:val="es-ES"/>
        </w:rPr>
        <w:t xml:space="preserve">l derecho a la salud de las personas que viven con </w:t>
      </w:r>
      <w:r w:rsidR="005726CC" w:rsidRPr="00337ACB">
        <w:rPr>
          <w:rFonts w:ascii="Verdana" w:hAnsi="Verdana"/>
          <w:color w:val="000000" w:themeColor="text1"/>
          <w:sz w:val="20"/>
          <w:szCs w:val="20"/>
          <w:lang w:val="es-ES"/>
        </w:rPr>
        <w:t xml:space="preserve">el </w:t>
      </w:r>
      <w:r w:rsidR="00B23E1E" w:rsidRPr="00337ACB">
        <w:rPr>
          <w:rFonts w:ascii="Verdana" w:hAnsi="Verdana"/>
          <w:color w:val="000000" w:themeColor="text1"/>
          <w:sz w:val="20"/>
          <w:szCs w:val="20"/>
          <w:lang w:val="es-ES"/>
        </w:rPr>
        <w:t>VIH no es un tema ajeno a la jurisprudencia de Altas Cortes que han tenido la oportunidad de pronunciarse al respecto. Esto es de fundamental importancia, pues muchos de los avances jurisprudenciales que se han tenido en materia de protección del derecho a la salud han sido desarrollos jurisprudenciales a nivel nacional.</w:t>
      </w:r>
      <w:r w:rsidR="00B23E1E" w:rsidRPr="00B6213F">
        <w:rPr>
          <w:rFonts w:ascii="Verdana" w:hAnsi="Verdana"/>
          <w:color w:val="000000" w:themeColor="text1"/>
          <w:sz w:val="20"/>
          <w:szCs w:val="20"/>
          <w:lang w:val="es-ES"/>
        </w:rPr>
        <w:t xml:space="preserve"> </w:t>
      </w:r>
    </w:p>
    <w:p w14:paraId="5F5F235F" w14:textId="46CFC928" w:rsidR="00B23E1E" w:rsidRDefault="002B6217" w:rsidP="006174F1">
      <w:pPr>
        <w:pStyle w:val="List2"/>
        <w:spacing w:before="100" w:beforeAutospacing="1" w:after="120" w:line="240" w:lineRule="auto"/>
        <w:ind w:left="0" w:firstLine="0"/>
        <w:contextualSpacing w:val="0"/>
        <w:jc w:val="both"/>
        <w:rPr>
          <w:rFonts w:ascii="Verdana" w:hAnsi="Verdana"/>
          <w:sz w:val="20"/>
          <w:szCs w:val="20"/>
        </w:rPr>
      </w:pPr>
      <w:r w:rsidRPr="00337ACB">
        <w:rPr>
          <w:rFonts w:ascii="Verdana" w:hAnsi="Verdana"/>
          <w:sz w:val="20"/>
          <w:szCs w:val="20"/>
        </w:rPr>
        <w:t>24</w:t>
      </w:r>
      <w:r w:rsidR="00B23E1E" w:rsidRPr="00337ACB">
        <w:rPr>
          <w:rFonts w:ascii="Verdana" w:hAnsi="Verdana"/>
          <w:sz w:val="20"/>
          <w:szCs w:val="20"/>
        </w:rPr>
        <w:t xml:space="preserve">. </w:t>
      </w:r>
      <w:r w:rsidR="00B23E1E" w:rsidRPr="00337ACB">
        <w:rPr>
          <w:rFonts w:ascii="Verdana" w:hAnsi="Verdana"/>
          <w:sz w:val="20"/>
          <w:szCs w:val="20"/>
        </w:rPr>
        <w:tab/>
        <w:t>La Corte Suprema de Justicia de la Nación de Argentina determinó que el Ministerio de Salud y acción social está obligado a brindar asistencia, tratamiento y especial suministro de los medicamentos a las personas que viven con VIH/SIDA bajo la premisa de que la salud está comprendida dentro del derecho a la vida. Consideraron que un tratamiento adecuado comprende el suministro de medicamentos, por lo que éste debe ser regular, oportuno y continuo a fin de evitar los riesgos de su interrupción. Adicionalmente, señaló que para una asistencia adecuada deben desarrollarse programas destinados a la detección, investigación, diagnóstico, tratamiento, prevención y rehabilitación, gestionando los recursos financieros necesarios</w:t>
      </w:r>
      <w:r w:rsidR="00B23E1E" w:rsidRPr="00337ACB">
        <w:rPr>
          <w:rStyle w:val="FootnoteReference"/>
          <w:rFonts w:ascii="Verdana" w:hAnsi="Verdana"/>
          <w:color w:val="000000" w:themeColor="text1"/>
          <w:sz w:val="20"/>
          <w:szCs w:val="20"/>
        </w:rPr>
        <w:footnoteReference w:id="61"/>
      </w:r>
      <w:r w:rsidR="00B23E1E" w:rsidRPr="00337ACB">
        <w:rPr>
          <w:rFonts w:ascii="Verdana" w:hAnsi="Verdana"/>
          <w:sz w:val="20"/>
          <w:szCs w:val="20"/>
        </w:rPr>
        <w:t>.</w:t>
      </w:r>
    </w:p>
    <w:p w14:paraId="5FDCDC7C" w14:textId="137764F3" w:rsidR="00B23E1E" w:rsidRDefault="002B6217" w:rsidP="006174F1">
      <w:pPr>
        <w:pStyle w:val="List2"/>
        <w:spacing w:before="100" w:beforeAutospacing="1" w:after="120" w:line="240" w:lineRule="auto"/>
        <w:ind w:left="0" w:firstLine="0"/>
        <w:contextualSpacing w:val="0"/>
        <w:jc w:val="both"/>
        <w:rPr>
          <w:rFonts w:ascii="Verdana" w:hAnsi="Verdana"/>
          <w:color w:val="000000" w:themeColor="text1"/>
          <w:sz w:val="20"/>
          <w:szCs w:val="20"/>
        </w:rPr>
      </w:pPr>
      <w:r w:rsidRPr="00337ACB">
        <w:rPr>
          <w:rFonts w:ascii="Verdana" w:hAnsi="Verdana"/>
          <w:color w:val="000000" w:themeColor="text1"/>
          <w:sz w:val="20"/>
          <w:szCs w:val="20"/>
        </w:rPr>
        <w:t>25</w:t>
      </w:r>
      <w:r w:rsidR="00B23E1E" w:rsidRPr="00337ACB">
        <w:rPr>
          <w:rFonts w:ascii="Verdana" w:hAnsi="Verdana"/>
          <w:color w:val="000000" w:themeColor="text1"/>
          <w:sz w:val="20"/>
          <w:szCs w:val="20"/>
        </w:rPr>
        <w:t xml:space="preserve">. </w:t>
      </w:r>
      <w:r w:rsidR="00B23E1E" w:rsidRPr="00337ACB">
        <w:rPr>
          <w:rFonts w:ascii="Verdana" w:hAnsi="Verdana"/>
          <w:color w:val="000000" w:themeColor="text1"/>
          <w:sz w:val="20"/>
          <w:szCs w:val="20"/>
        </w:rPr>
        <w:tab/>
        <w:t>El Trib</w:t>
      </w:r>
      <w:r w:rsidR="00637FA2">
        <w:rPr>
          <w:rFonts w:ascii="Verdana" w:hAnsi="Verdana"/>
          <w:color w:val="000000" w:themeColor="text1"/>
          <w:sz w:val="20"/>
          <w:szCs w:val="20"/>
        </w:rPr>
        <w:t>unal Constitucional Plurinacional</w:t>
      </w:r>
      <w:r w:rsidR="00B23E1E" w:rsidRPr="00337ACB">
        <w:rPr>
          <w:rFonts w:ascii="Verdana" w:hAnsi="Verdana"/>
          <w:color w:val="000000" w:themeColor="text1"/>
          <w:sz w:val="20"/>
          <w:szCs w:val="20"/>
        </w:rPr>
        <w:t xml:space="preserve"> de Bolivia determinó que</w:t>
      </w:r>
      <w:r w:rsidR="005726CC" w:rsidRPr="00337ACB">
        <w:rPr>
          <w:rFonts w:ascii="Verdana" w:hAnsi="Verdana"/>
          <w:color w:val="000000" w:themeColor="text1"/>
          <w:sz w:val="20"/>
          <w:szCs w:val="20"/>
        </w:rPr>
        <w:t>,</w:t>
      </w:r>
      <w:r w:rsidR="00B23E1E" w:rsidRPr="00337ACB">
        <w:rPr>
          <w:rFonts w:ascii="Verdana" w:hAnsi="Verdana"/>
          <w:color w:val="000000" w:themeColor="text1"/>
          <w:sz w:val="20"/>
          <w:szCs w:val="20"/>
        </w:rPr>
        <w:t xml:space="preserve"> ante la falta de suministro regular de medicamentos a una menor que vive con VIH/SIDA, se vulneran los derechos a la vida y a la salud, considerando una especial protección para el caso de menores, máxime si no cuentan con los recursos suficientes</w:t>
      </w:r>
      <w:r w:rsidR="00B23E1E" w:rsidRPr="00337ACB">
        <w:rPr>
          <w:rStyle w:val="FootnoteReference"/>
          <w:rFonts w:ascii="Verdana" w:hAnsi="Verdana"/>
          <w:color w:val="000000" w:themeColor="text1"/>
          <w:sz w:val="20"/>
          <w:szCs w:val="20"/>
        </w:rPr>
        <w:footnoteReference w:id="62"/>
      </w:r>
      <w:r w:rsidR="00B23E1E" w:rsidRPr="00337ACB">
        <w:rPr>
          <w:rFonts w:ascii="Verdana" w:hAnsi="Verdana"/>
          <w:color w:val="000000" w:themeColor="text1"/>
          <w:sz w:val="20"/>
          <w:szCs w:val="20"/>
        </w:rPr>
        <w:t>. Por otro lado, reconoció a dicha enfermedad por “catastrófica” dado el impacto en las relaciones personales, familiares y económicas del paciente. También, razonó sobre la continuidad en el tratamiento por el riesgo inminente a la vida de la persona que vive con la enfermedad, tanto por la presentación de enfermedades oportunistas como por la creación de resistencia a los medicamentos</w:t>
      </w:r>
      <w:r w:rsidR="00B23E1E" w:rsidRPr="00337ACB">
        <w:rPr>
          <w:rStyle w:val="FootnoteReference"/>
          <w:rFonts w:ascii="Verdana" w:hAnsi="Verdana"/>
          <w:color w:val="000000" w:themeColor="text1"/>
          <w:sz w:val="20"/>
          <w:szCs w:val="20"/>
        </w:rPr>
        <w:footnoteReference w:id="63"/>
      </w:r>
      <w:r w:rsidR="00B23E1E" w:rsidRPr="00337ACB">
        <w:rPr>
          <w:rFonts w:ascii="Verdana" w:hAnsi="Verdana"/>
          <w:color w:val="000000" w:themeColor="text1"/>
          <w:sz w:val="20"/>
          <w:szCs w:val="20"/>
        </w:rPr>
        <w:t>. Además, que corresponde a las autoridades desarrollar las políticas de prevención, atención y rehabilitación</w:t>
      </w:r>
      <w:r w:rsidR="00B23E1E" w:rsidRPr="00337ACB">
        <w:rPr>
          <w:rStyle w:val="FootnoteReference"/>
          <w:rFonts w:ascii="Verdana" w:hAnsi="Verdana"/>
          <w:color w:val="000000" w:themeColor="text1"/>
          <w:sz w:val="20"/>
          <w:szCs w:val="20"/>
        </w:rPr>
        <w:footnoteReference w:id="64"/>
      </w:r>
      <w:r w:rsidR="00B23E1E" w:rsidRPr="00337ACB">
        <w:rPr>
          <w:rFonts w:ascii="Verdana" w:hAnsi="Verdana"/>
          <w:color w:val="000000" w:themeColor="text1"/>
          <w:sz w:val="20"/>
          <w:szCs w:val="20"/>
        </w:rPr>
        <w:t>.</w:t>
      </w:r>
    </w:p>
    <w:p w14:paraId="37036D3F" w14:textId="610941C4" w:rsidR="00B23E1E" w:rsidRPr="00337ACB" w:rsidRDefault="002B6217" w:rsidP="006174F1">
      <w:pPr>
        <w:pStyle w:val="List2"/>
        <w:spacing w:before="100" w:beforeAutospacing="1" w:after="120" w:line="240" w:lineRule="auto"/>
        <w:ind w:left="0" w:firstLine="0"/>
        <w:contextualSpacing w:val="0"/>
        <w:jc w:val="both"/>
        <w:rPr>
          <w:rFonts w:ascii="Verdana" w:hAnsi="Verdana"/>
          <w:color w:val="000000" w:themeColor="text1"/>
          <w:sz w:val="20"/>
          <w:szCs w:val="20"/>
        </w:rPr>
      </w:pPr>
      <w:r w:rsidRPr="00337ACB">
        <w:rPr>
          <w:rFonts w:ascii="Verdana" w:hAnsi="Verdana"/>
          <w:color w:val="000000" w:themeColor="text1"/>
          <w:sz w:val="20"/>
          <w:szCs w:val="20"/>
        </w:rPr>
        <w:t>26</w:t>
      </w:r>
      <w:r w:rsidR="00B23E1E" w:rsidRPr="00337ACB">
        <w:rPr>
          <w:rFonts w:ascii="Verdana" w:hAnsi="Verdana"/>
          <w:color w:val="000000" w:themeColor="text1"/>
          <w:sz w:val="20"/>
          <w:szCs w:val="20"/>
        </w:rPr>
        <w:t xml:space="preserve">. </w:t>
      </w:r>
      <w:r w:rsidR="00B23E1E" w:rsidRPr="00337ACB">
        <w:rPr>
          <w:rFonts w:ascii="Verdana" w:hAnsi="Verdana"/>
          <w:color w:val="000000" w:themeColor="text1"/>
          <w:sz w:val="20"/>
          <w:szCs w:val="20"/>
        </w:rPr>
        <w:tab/>
        <w:t>La Corte Constitucional de Colombia ha resuelto que las personas que viven con VIH/SIDA forman parte de un grupo que requiere especial protección constitucional, por lo que la protección a su derecho a la salud tiene una protección reforzada al desarrollar el derecho a la igualdad. También, ha considerado que, en las prestaciones del servicio de salud, debe observarse el “principio de continuidad” el cual comprende el suministro constante e ininterrumpido de las prestaciones médicas regidas por el “principio de integralidad” (medicamentos, intervenciones quirúrgicas, exámenes de diagnóstico u otros)</w:t>
      </w:r>
      <w:r w:rsidR="00B23E1E" w:rsidRPr="00337ACB">
        <w:rPr>
          <w:rStyle w:val="FootnoteReference"/>
          <w:rFonts w:ascii="Verdana" w:hAnsi="Verdana"/>
          <w:color w:val="000000" w:themeColor="text1"/>
        </w:rPr>
        <w:footnoteReference w:id="65"/>
      </w:r>
      <w:r w:rsidR="00B23E1E" w:rsidRPr="00337ACB">
        <w:rPr>
          <w:rFonts w:ascii="Verdana" w:hAnsi="Verdana"/>
          <w:color w:val="000000" w:themeColor="text1"/>
          <w:sz w:val="20"/>
          <w:szCs w:val="20"/>
        </w:rPr>
        <w:t>.</w:t>
      </w:r>
    </w:p>
    <w:p w14:paraId="26E6B394" w14:textId="1B66E539" w:rsidR="009B3592" w:rsidRPr="00337ACB" w:rsidRDefault="009B3592" w:rsidP="009B3592">
      <w:pPr>
        <w:pStyle w:val="ListParagraph"/>
        <w:spacing w:before="100" w:beforeAutospacing="1" w:after="120"/>
        <w:ind w:left="0"/>
        <w:contextualSpacing w:val="0"/>
        <w:jc w:val="both"/>
        <w:rPr>
          <w:rFonts w:ascii="Verdana" w:hAnsi="Verdana"/>
          <w:color w:val="000000" w:themeColor="text1"/>
          <w:sz w:val="20"/>
          <w:szCs w:val="20"/>
        </w:rPr>
      </w:pPr>
      <w:r w:rsidRPr="00337ACB">
        <w:rPr>
          <w:rFonts w:ascii="Verdana" w:hAnsi="Verdana"/>
          <w:color w:val="000000" w:themeColor="text1"/>
          <w:sz w:val="20"/>
          <w:szCs w:val="20"/>
        </w:rPr>
        <w:t xml:space="preserve">27. </w:t>
      </w:r>
      <w:r w:rsidRPr="00337ACB">
        <w:rPr>
          <w:rFonts w:ascii="Verdana" w:hAnsi="Verdana"/>
          <w:color w:val="000000" w:themeColor="text1"/>
          <w:sz w:val="20"/>
          <w:szCs w:val="20"/>
        </w:rPr>
        <w:tab/>
        <w:t>La Corte Constitucional de Ecuador también ha resuelto que las personas que viven con el VIH comprenden un grupo de atención prioritaria</w:t>
      </w:r>
      <w:r>
        <w:rPr>
          <w:rFonts w:ascii="Verdana" w:hAnsi="Verdana"/>
          <w:color w:val="000000" w:themeColor="text1"/>
          <w:sz w:val="20"/>
          <w:szCs w:val="20"/>
        </w:rPr>
        <w:t>, razón por la cual le corresponde al Estado implementar mecanismos de protección reforzada, ya sea mediante legislación o políticas públicas que atiendan efectivamente esta finalidad</w:t>
      </w:r>
      <w:r>
        <w:rPr>
          <w:rStyle w:val="FootnoteReference"/>
          <w:rFonts w:ascii="Verdana" w:hAnsi="Verdana"/>
          <w:color w:val="000000" w:themeColor="text1"/>
          <w:sz w:val="20"/>
          <w:szCs w:val="20"/>
        </w:rPr>
        <w:footnoteReference w:id="66"/>
      </w:r>
      <w:r w:rsidRPr="00337ACB">
        <w:rPr>
          <w:rFonts w:ascii="Verdana" w:hAnsi="Verdana"/>
          <w:color w:val="000000" w:themeColor="text1"/>
          <w:sz w:val="20"/>
          <w:szCs w:val="20"/>
        </w:rPr>
        <w:t xml:space="preserve">. </w:t>
      </w:r>
      <w:r>
        <w:rPr>
          <w:rFonts w:ascii="Verdana" w:hAnsi="Verdana"/>
          <w:color w:val="000000" w:themeColor="text1"/>
          <w:sz w:val="20"/>
          <w:szCs w:val="20"/>
        </w:rPr>
        <w:t>En esta línea</w:t>
      </w:r>
      <w:r w:rsidRPr="00337ACB">
        <w:rPr>
          <w:rFonts w:ascii="Verdana" w:hAnsi="Verdana"/>
          <w:color w:val="000000" w:themeColor="text1"/>
          <w:sz w:val="20"/>
          <w:szCs w:val="20"/>
        </w:rPr>
        <w:t>,</w:t>
      </w:r>
      <w:r>
        <w:rPr>
          <w:rFonts w:ascii="Verdana" w:hAnsi="Verdana"/>
          <w:color w:val="000000" w:themeColor="text1"/>
          <w:sz w:val="20"/>
          <w:szCs w:val="20"/>
        </w:rPr>
        <w:t xml:space="preserve"> el Estado</w:t>
      </w:r>
      <w:r w:rsidRPr="00337ACB">
        <w:rPr>
          <w:rFonts w:ascii="Verdana" w:hAnsi="Verdana"/>
          <w:color w:val="000000" w:themeColor="text1"/>
          <w:sz w:val="20"/>
          <w:szCs w:val="20"/>
        </w:rPr>
        <w:t xml:space="preserve"> debe garantizar su derecho a la salud </w:t>
      </w:r>
      <w:r>
        <w:rPr>
          <w:rFonts w:ascii="Verdana" w:hAnsi="Verdana"/>
          <w:color w:val="000000" w:themeColor="text1"/>
          <w:sz w:val="20"/>
          <w:szCs w:val="20"/>
        </w:rPr>
        <w:t xml:space="preserve">integral, </w:t>
      </w:r>
      <w:r w:rsidRPr="00337ACB">
        <w:rPr>
          <w:rFonts w:ascii="Verdana" w:hAnsi="Verdana"/>
          <w:color w:val="000000" w:themeColor="text1"/>
          <w:sz w:val="20"/>
          <w:szCs w:val="20"/>
        </w:rPr>
        <w:t>por medio del tratamiento y acceso oportuno a los medicamentos</w:t>
      </w:r>
      <w:r>
        <w:rPr>
          <w:rFonts w:ascii="Verdana" w:hAnsi="Verdana"/>
          <w:color w:val="000000" w:themeColor="text1"/>
          <w:sz w:val="20"/>
          <w:szCs w:val="20"/>
        </w:rPr>
        <w:t xml:space="preserve"> de manera gratuita, refiriendo también a la necesidad de generación por parte de las autoridades sanitarias de mecanismos de educación y prevención sobre el VIH y el SIDA</w:t>
      </w:r>
      <w:r w:rsidRPr="00337ACB">
        <w:rPr>
          <w:rStyle w:val="FootnoteReference"/>
          <w:rFonts w:ascii="Verdana" w:hAnsi="Verdana"/>
          <w:color w:val="000000" w:themeColor="text1"/>
          <w:sz w:val="20"/>
          <w:szCs w:val="20"/>
        </w:rPr>
        <w:footnoteReference w:id="67"/>
      </w:r>
    </w:p>
    <w:p w14:paraId="4950D751" w14:textId="7DB99FCC" w:rsidR="00B23E1E" w:rsidRPr="00337ACB" w:rsidRDefault="002B6217" w:rsidP="006174F1">
      <w:pPr>
        <w:pStyle w:val="List2"/>
        <w:spacing w:before="100" w:beforeAutospacing="1" w:after="120" w:line="240" w:lineRule="auto"/>
        <w:ind w:left="0" w:firstLine="0"/>
        <w:contextualSpacing w:val="0"/>
        <w:jc w:val="both"/>
        <w:rPr>
          <w:rFonts w:ascii="Verdana" w:hAnsi="Verdana"/>
          <w:color w:val="000000" w:themeColor="text1"/>
          <w:sz w:val="20"/>
          <w:szCs w:val="20"/>
        </w:rPr>
      </w:pPr>
      <w:r w:rsidRPr="00337ACB">
        <w:rPr>
          <w:rFonts w:ascii="Verdana" w:hAnsi="Verdana"/>
          <w:color w:val="000000" w:themeColor="text1"/>
          <w:sz w:val="20"/>
          <w:szCs w:val="20"/>
        </w:rPr>
        <w:t>28</w:t>
      </w:r>
      <w:r w:rsidR="00B23E1E" w:rsidRPr="00337ACB">
        <w:rPr>
          <w:rFonts w:ascii="Verdana" w:hAnsi="Verdana"/>
          <w:color w:val="000000" w:themeColor="text1"/>
          <w:sz w:val="20"/>
          <w:szCs w:val="20"/>
        </w:rPr>
        <w:t xml:space="preserve">. </w:t>
      </w:r>
      <w:r w:rsidR="00B23E1E" w:rsidRPr="00337ACB">
        <w:rPr>
          <w:rFonts w:ascii="Verdana" w:hAnsi="Verdana"/>
          <w:color w:val="000000" w:themeColor="text1"/>
          <w:sz w:val="20"/>
          <w:szCs w:val="20"/>
        </w:rPr>
        <w:tab/>
        <w:t>El Tribunal Constitucional de Perú ha determinado que la atención integral de una persona que vive con</w:t>
      </w:r>
      <w:r w:rsidR="005726CC" w:rsidRPr="00337ACB">
        <w:rPr>
          <w:rFonts w:ascii="Verdana" w:hAnsi="Verdana"/>
          <w:color w:val="000000" w:themeColor="text1"/>
          <w:sz w:val="20"/>
          <w:szCs w:val="20"/>
        </w:rPr>
        <w:t xml:space="preserve"> el</w:t>
      </w:r>
      <w:r w:rsidR="00B23E1E" w:rsidRPr="00337ACB">
        <w:rPr>
          <w:rFonts w:ascii="Verdana" w:hAnsi="Verdana"/>
          <w:color w:val="000000" w:themeColor="text1"/>
          <w:sz w:val="20"/>
          <w:szCs w:val="20"/>
        </w:rPr>
        <w:t xml:space="preserve"> VIH no se limita a paliar los efectos de la enfermedad con el suministro de medicamentos y la realización de exámenes de forma periódica, sino que requiere actuaciones mayores en la etapa de prevención de la enfermedad</w:t>
      </w:r>
      <w:r w:rsidR="00B23E1E" w:rsidRPr="00337ACB">
        <w:rPr>
          <w:rStyle w:val="FootnoteReference"/>
          <w:rFonts w:ascii="Verdana" w:hAnsi="Verdana"/>
          <w:color w:val="000000" w:themeColor="text1"/>
          <w:sz w:val="20"/>
          <w:szCs w:val="20"/>
        </w:rPr>
        <w:footnoteReference w:id="68"/>
      </w:r>
      <w:r w:rsidR="00B23E1E" w:rsidRPr="00337ACB">
        <w:rPr>
          <w:rFonts w:ascii="Verdana" w:hAnsi="Verdana"/>
          <w:color w:val="000000" w:themeColor="text1"/>
          <w:sz w:val="20"/>
          <w:szCs w:val="20"/>
        </w:rPr>
        <w:t>. Asimismo, ha razonado sobre las circunstancias especiales de pobreza extrema que viven algunas personas que viven con la enfermedad, siendo necesario su atención prioritaria</w:t>
      </w:r>
      <w:r w:rsidR="00B23E1E" w:rsidRPr="00337ACB">
        <w:rPr>
          <w:rStyle w:val="FootnoteReference"/>
          <w:rFonts w:ascii="Verdana" w:hAnsi="Verdana"/>
          <w:color w:val="000000" w:themeColor="text1"/>
          <w:sz w:val="20"/>
          <w:szCs w:val="20"/>
        </w:rPr>
        <w:footnoteReference w:id="69"/>
      </w:r>
      <w:r w:rsidR="00B23E1E" w:rsidRPr="00337ACB">
        <w:rPr>
          <w:rFonts w:ascii="Verdana" w:hAnsi="Verdana"/>
          <w:color w:val="000000" w:themeColor="text1"/>
          <w:sz w:val="20"/>
          <w:szCs w:val="20"/>
        </w:rPr>
        <w:t>.</w:t>
      </w:r>
    </w:p>
    <w:p w14:paraId="3D611BB6" w14:textId="050CE5B4" w:rsidR="00B23E1E" w:rsidRDefault="002B6217" w:rsidP="006174F1">
      <w:pPr>
        <w:pStyle w:val="List2"/>
        <w:spacing w:before="100" w:beforeAutospacing="1" w:after="120" w:line="240" w:lineRule="auto"/>
        <w:ind w:left="0" w:firstLine="0"/>
        <w:contextualSpacing w:val="0"/>
        <w:jc w:val="both"/>
        <w:rPr>
          <w:rFonts w:ascii="Verdana" w:hAnsi="Verdana"/>
          <w:color w:val="000000" w:themeColor="text1"/>
          <w:sz w:val="20"/>
          <w:szCs w:val="20"/>
        </w:rPr>
      </w:pPr>
      <w:r w:rsidRPr="00337ACB">
        <w:rPr>
          <w:rFonts w:ascii="Verdana" w:hAnsi="Verdana"/>
          <w:color w:val="000000" w:themeColor="text1"/>
          <w:sz w:val="20"/>
          <w:szCs w:val="20"/>
        </w:rPr>
        <w:t>29</w:t>
      </w:r>
      <w:r w:rsidR="00B23E1E" w:rsidRPr="00337ACB">
        <w:rPr>
          <w:rFonts w:ascii="Verdana" w:hAnsi="Verdana"/>
          <w:color w:val="000000" w:themeColor="text1"/>
          <w:sz w:val="20"/>
          <w:szCs w:val="20"/>
        </w:rPr>
        <w:t xml:space="preserve">. </w:t>
      </w:r>
      <w:r w:rsidR="00B23E1E" w:rsidRPr="00337ACB">
        <w:rPr>
          <w:rFonts w:ascii="Verdana" w:hAnsi="Verdana"/>
          <w:color w:val="000000" w:themeColor="text1"/>
          <w:sz w:val="20"/>
          <w:szCs w:val="20"/>
        </w:rPr>
        <w:tab/>
        <w:t>La SCJN estudió las deficiencias de las instalaciones de los servicios públicos de salud que favorecían el contagio de enfermedades oportunistas para las personas que viven con</w:t>
      </w:r>
      <w:r w:rsidR="005726CC" w:rsidRPr="00337ACB">
        <w:rPr>
          <w:rFonts w:ascii="Verdana" w:hAnsi="Verdana"/>
          <w:color w:val="000000" w:themeColor="text1"/>
          <w:sz w:val="20"/>
          <w:szCs w:val="20"/>
        </w:rPr>
        <w:t xml:space="preserve"> el</w:t>
      </w:r>
      <w:r w:rsidR="00B23E1E" w:rsidRPr="00337ACB">
        <w:rPr>
          <w:rFonts w:ascii="Verdana" w:hAnsi="Verdana"/>
          <w:color w:val="000000" w:themeColor="text1"/>
          <w:sz w:val="20"/>
          <w:szCs w:val="20"/>
        </w:rPr>
        <w:t xml:space="preserve"> VIH y que eran atendidas en cierto hospital. Consideró que la falta de instalaciones adecuadas es suficiente para actualizar una violación al derecho a la salud y ordenó a las autoridades asegurar el disfrute más amplio posible del derecho a la salud de las personas que viven con VIH/SIDA por medio de la inversión en instalaciones -dadas las circunstancias económicas existentes-, estableciendo que la inversión respectiva debe contar con el punto de vista científico y médico</w:t>
      </w:r>
      <w:r w:rsidR="00B23E1E" w:rsidRPr="00337ACB">
        <w:rPr>
          <w:rStyle w:val="FootnoteReference"/>
          <w:rFonts w:ascii="Verdana" w:hAnsi="Verdana"/>
          <w:color w:val="000000" w:themeColor="text1"/>
          <w:sz w:val="20"/>
          <w:szCs w:val="20"/>
        </w:rPr>
        <w:footnoteReference w:id="70"/>
      </w:r>
      <w:r w:rsidR="00B23E1E" w:rsidRPr="00337ACB">
        <w:rPr>
          <w:rFonts w:ascii="Verdana" w:hAnsi="Verdana"/>
          <w:color w:val="000000" w:themeColor="text1"/>
          <w:sz w:val="20"/>
          <w:szCs w:val="20"/>
        </w:rPr>
        <w:t>.</w:t>
      </w:r>
    </w:p>
    <w:p w14:paraId="3B6D3FB6" w14:textId="01B364DA" w:rsidR="00B23E1E" w:rsidRDefault="002B6217" w:rsidP="006174F1">
      <w:pPr>
        <w:pStyle w:val="ListParagraph"/>
        <w:ind w:left="0"/>
        <w:jc w:val="both"/>
        <w:rPr>
          <w:rFonts w:ascii="Verdana" w:hAnsi="Verdana"/>
          <w:sz w:val="20"/>
          <w:szCs w:val="20"/>
          <w:lang w:val="es-ES"/>
        </w:rPr>
      </w:pPr>
      <w:r w:rsidRPr="00337ACB">
        <w:rPr>
          <w:rFonts w:ascii="Verdana" w:hAnsi="Verdana"/>
          <w:color w:val="000000" w:themeColor="text1"/>
          <w:sz w:val="20"/>
          <w:szCs w:val="20"/>
        </w:rPr>
        <w:t>30</w:t>
      </w:r>
      <w:r w:rsidR="00B23E1E" w:rsidRPr="00337ACB">
        <w:rPr>
          <w:rFonts w:ascii="Verdana" w:hAnsi="Verdana"/>
          <w:color w:val="000000" w:themeColor="text1"/>
          <w:sz w:val="20"/>
          <w:szCs w:val="20"/>
        </w:rPr>
        <w:t xml:space="preserve">. </w:t>
      </w:r>
      <w:r w:rsidR="00B23E1E" w:rsidRPr="00337ACB">
        <w:rPr>
          <w:rFonts w:ascii="Verdana" w:hAnsi="Verdana"/>
          <w:color w:val="000000" w:themeColor="text1"/>
          <w:sz w:val="20"/>
          <w:szCs w:val="20"/>
        </w:rPr>
        <w:tab/>
        <w:t xml:space="preserve">Como se advierte, altas jurisdicciones nacionales han desarrollado estándares importantes en la materia, en las que se aprecia que las personas que viven con </w:t>
      </w:r>
      <w:r w:rsidR="005726CC" w:rsidRPr="00337ACB">
        <w:rPr>
          <w:rFonts w:ascii="Verdana" w:hAnsi="Verdana"/>
          <w:color w:val="000000" w:themeColor="text1"/>
          <w:sz w:val="20"/>
          <w:szCs w:val="20"/>
        </w:rPr>
        <w:t xml:space="preserve">el </w:t>
      </w:r>
      <w:r w:rsidR="00B23E1E" w:rsidRPr="00337ACB">
        <w:rPr>
          <w:rFonts w:ascii="Verdana" w:hAnsi="Verdana"/>
          <w:color w:val="000000" w:themeColor="text1"/>
          <w:sz w:val="20"/>
          <w:szCs w:val="20"/>
        </w:rPr>
        <w:t>VIH son un grupo de atención prioritaria en el cual uno de los componentes fundamentales para salvaguardar sus derechos (salud, vida e integridad personal) lo constituye la dotación continua e ininterrumpida de medicamentos antirretrovirales</w:t>
      </w:r>
      <w:r w:rsidR="005726CC" w:rsidRPr="00337ACB">
        <w:rPr>
          <w:rFonts w:ascii="Verdana" w:hAnsi="Verdana"/>
          <w:color w:val="000000" w:themeColor="text1"/>
          <w:sz w:val="20"/>
          <w:szCs w:val="20"/>
        </w:rPr>
        <w:t>.</w:t>
      </w:r>
      <w:r w:rsidR="00B23E1E" w:rsidRPr="00337ACB">
        <w:rPr>
          <w:rFonts w:ascii="Verdana" w:hAnsi="Verdana"/>
          <w:color w:val="000000" w:themeColor="text1"/>
          <w:sz w:val="20"/>
          <w:szCs w:val="20"/>
        </w:rPr>
        <w:t xml:space="preserve"> </w:t>
      </w:r>
      <w:r w:rsidR="005726CC" w:rsidRPr="00337ACB">
        <w:rPr>
          <w:rFonts w:ascii="Verdana" w:hAnsi="Verdana"/>
          <w:color w:val="000000" w:themeColor="text1"/>
          <w:sz w:val="20"/>
          <w:szCs w:val="20"/>
        </w:rPr>
        <w:t>Sin embargo,</w:t>
      </w:r>
      <w:r w:rsidR="00B23E1E" w:rsidRPr="00337ACB">
        <w:rPr>
          <w:rFonts w:ascii="Verdana" w:hAnsi="Verdana"/>
          <w:color w:val="000000" w:themeColor="text1"/>
          <w:sz w:val="20"/>
          <w:szCs w:val="20"/>
        </w:rPr>
        <w:t xml:space="preserve"> para que la atención sea integral también se debe brindar atención médica para enfermedades oportunistas, haciendo uso del máximo de los recursos disponibles. </w:t>
      </w:r>
      <w:r w:rsidR="00B23E1E" w:rsidRPr="00337ACB">
        <w:rPr>
          <w:rFonts w:ascii="Verdana" w:hAnsi="Verdana"/>
          <w:sz w:val="20"/>
          <w:szCs w:val="20"/>
          <w:lang w:val="es-ES"/>
        </w:rPr>
        <w:t xml:space="preserve">Esta serie de obligaciones van en consonancia con las obligaciones que la Corte Interamericana incorpora en </w:t>
      </w:r>
      <w:r w:rsidR="005726CC" w:rsidRPr="00337ACB">
        <w:rPr>
          <w:rFonts w:ascii="Verdana" w:hAnsi="Verdana"/>
          <w:sz w:val="20"/>
          <w:szCs w:val="20"/>
          <w:lang w:val="es-ES"/>
        </w:rPr>
        <w:t>esta</w:t>
      </w:r>
      <w:r w:rsidR="00B23E1E" w:rsidRPr="00337ACB">
        <w:rPr>
          <w:rFonts w:ascii="Verdana" w:hAnsi="Verdana"/>
          <w:sz w:val="20"/>
          <w:szCs w:val="20"/>
          <w:lang w:val="es-ES"/>
        </w:rPr>
        <w:t xml:space="preserve"> Sentencia</w:t>
      </w:r>
      <w:r w:rsidR="00B23E1E" w:rsidRPr="00337ACB">
        <w:rPr>
          <w:rStyle w:val="FootnoteReference"/>
          <w:rFonts w:ascii="Verdana" w:hAnsi="Verdana"/>
          <w:sz w:val="20"/>
          <w:szCs w:val="20"/>
          <w:lang w:val="es-ES"/>
        </w:rPr>
        <w:footnoteReference w:id="71"/>
      </w:r>
      <w:r w:rsidR="005726CC" w:rsidRPr="00337ACB">
        <w:rPr>
          <w:rFonts w:ascii="Verdana" w:hAnsi="Verdana"/>
          <w:sz w:val="20"/>
          <w:szCs w:val="20"/>
          <w:lang w:val="es-ES"/>
        </w:rPr>
        <w:t>.</w:t>
      </w:r>
      <w:r w:rsidR="00B23E1E" w:rsidRPr="00337ACB">
        <w:rPr>
          <w:rFonts w:ascii="Verdana" w:hAnsi="Verdana"/>
          <w:sz w:val="20"/>
          <w:szCs w:val="20"/>
          <w:lang w:val="es-ES"/>
        </w:rPr>
        <w:t xml:space="preserve"> </w:t>
      </w:r>
      <w:r w:rsidR="005726CC" w:rsidRPr="00337ACB">
        <w:rPr>
          <w:rFonts w:ascii="Verdana" w:hAnsi="Verdana"/>
          <w:sz w:val="20"/>
          <w:szCs w:val="20"/>
          <w:lang w:val="es-ES"/>
        </w:rPr>
        <w:t>D</w:t>
      </w:r>
      <w:r w:rsidR="00B23E1E" w:rsidRPr="00337ACB">
        <w:rPr>
          <w:rFonts w:ascii="Verdana" w:hAnsi="Verdana"/>
          <w:sz w:val="20"/>
          <w:szCs w:val="20"/>
          <w:lang w:val="es-ES"/>
        </w:rPr>
        <w:t xml:space="preserve">e este modo, lo que el Tribunal Interamericano incorpora en </w:t>
      </w:r>
      <w:r w:rsidR="005726CC" w:rsidRPr="00337ACB">
        <w:rPr>
          <w:rFonts w:ascii="Verdana" w:hAnsi="Verdana"/>
          <w:sz w:val="20"/>
          <w:szCs w:val="20"/>
          <w:lang w:val="es-ES"/>
        </w:rPr>
        <w:t>el presente caso</w:t>
      </w:r>
      <w:r w:rsidR="00B23E1E" w:rsidRPr="00337ACB">
        <w:rPr>
          <w:rFonts w:ascii="Verdana" w:hAnsi="Verdana"/>
          <w:sz w:val="20"/>
          <w:szCs w:val="20"/>
          <w:lang w:val="es-ES"/>
        </w:rPr>
        <w:t xml:space="preserve"> constituye un piso mínimo en materia de derecho a la salud de las personas que viven con</w:t>
      </w:r>
      <w:r w:rsidR="005726CC" w:rsidRPr="00337ACB">
        <w:rPr>
          <w:rFonts w:ascii="Verdana" w:hAnsi="Verdana"/>
          <w:sz w:val="20"/>
          <w:szCs w:val="20"/>
          <w:lang w:val="es-ES"/>
        </w:rPr>
        <w:t xml:space="preserve"> el</w:t>
      </w:r>
      <w:r w:rsidR="00B23E1E" w:rsidRPr="00337ACB">
        <w:rPr>
          <w:rFonts w:ascii="Verdana" w:hAnsi="Verdana"/>
          <w:sz w:val="20"/>
          <w:szCs w:val="20"/>
          <w:lang w:val="es-ES"/>
        </w:rPr>
        <w:t xml:space="preserve"> VIH.</w:t>
      </w:r>
    </w:p>
    <w:p w14:paraId="06F6C8AB" w14:textId="77777777" w:rsidR="00411728" w:rsidRPr="00DD1072" w:rsidRDefault="00411728" w:rsidP="006174F1">
      <w:pPr>
        <w:pStyle w:val="ListParagraph"/>
        <w:ind w:left="0"/>
        <w:jc w:val="both"/>
        <w:rPr>
          <w:rFonts w:ascii="Verdana" w:hAnsi="Verdana"/>
          <w:sz w:val="20"/>
          <w:szCs w:val="20"/>
        </w:rPr>
      </w:pPr>
    </w:p>
    <w:p w14:paraId="4C147873" w14:textId="3189FE42" w:rsidR="009153B6" w:rsidRPr="00DD1072" w:rsidRDefault="00592080" w:rsidP="00157D4C">
      <w:pPr>
        <w:pStyle w:val="ListParagraph"/>
        <w:ind w:left="0"/>
        <w:jc w:val="center"/>
        <w:rPr>
          <w:rFonts w:ascii="Verdana" w:hAnsi="Verdana"/>
          <w:b/>
          <w:sz w:val="20"/>
          <w:szCs w:val="20"/>
        </w:rPr>
      </w:pPr>
      <w:r w:rsidRPr="00337ACB">
        <w:rPr>
          <w:rFonts w:ascii="Verdana" w:hAnsi="Verdana"/>
          <w:b/>
          <w:sz w:val="20"/>
          <w:szCs w:val="20"/>
        </w:rPr>
        <w:t>II. SOBRE LA DISCRIMINACIÓN INTERSECCIONAL EN PERJUICIO DE DOS MUJERES</w:t>
      </w:r>
      <w:r w:rsidRPr="00592080">
        <w:rPr>
          <w:rFonts w:ascii="Verdana" w:hAnsi="Verdana"/>
          <w:b/>
          <w:sz w:val="20"/>
          <w:szCs w:val="20"/>
        </w:rPr>
        <w:t xml:space="preserve"> </w:t>
      </w:r>
      <w:r w:rsidRPr="00337ACB">
        <w:rPr>
          <w:rFonts w:ascii="Verdana" w:hAnsi="Verdana"/>
          <w:b/>
          <w:sz w:val="20"/>
          <w:szCs w:val="20"/>
        </w:rPr>
        <w:t>EMBARAZADAS QUE VIVEN CON</w:t>
      </w:r>
      <w:r w:rsidR="00C41C89" w:rsidRPr="00337ACB">
        <w:rPr>
          <w:rFonts w:ascii="Verdana" w:hAnsi="Verdana"/>
          <w:b/>
          <w:sz w:val="20"/>
          <w:szCs w:val="20"/>
        </w:rPr>
        <w:t xml:space="preserve"> EL</w:t>
      </w:r>
      <w:r w:rsidRPr="00337ACB">
        <w:rPr>
          <w:rFonts w:ascii="Verdana" w:hAnsi="Verdana"/>
          <w:b/>
          <w:sz w:val="20"/>
          <w:szCs w:val="20"/>
        </w:rPr>
        <w:t xml:space="preserve"> VIH</w:t>
      </w:r>
    </w:p>
    <w:p w14:paraId="53E68382" w14:textId="77777777" w:rsidR="00E86C27" w:rsidRPr="00592080" w:rsidRDefault="00E86C27" w:rsidP="00157D4C">
      <w:pPr>
        <w:jc w:val="both"/>
        <w:rPr>
          <w:rFonts w:ascii="Verdana" w:hAnsi="Verdana"/>
          <w:b/>
          <w:sz w:val="20"/>
          <w:szCs w:val="20"/>
        </w:rPr>
      </w:pPr>
    </w:p>
    <w:p w14:paraId="7C4F8191" w14:textId="4E616206" w:rsidR="00C71EBA" w:rsidRPr="00C145E1" w:rsidRDefault="002B6217" w:rsidP="006174F1">
      <w:pPr>
        <w:pStyle w:val="ListParagraph"/>
        <w:ind w:left="0"/>
        <w:jc w:val="both"/>
        <w:rPr>
          <w:rFonts w:ascii="Verdana" w:hAnsi="Verdana"/>
          <w:sz w:val="20"/>
          <w:szCs w:val="20"/>
        </w:rPr>
      </w:pPr>
      <w:r>
        <w:rPr>
          <w:rFonts w:ascii="Verdana" w:hAnsi="Verdana"/>
          <w:sz w:val="20"/>
          <w:szCs w:val="20"/>
        </w:rPr>
        <w:t>31</w:t>
      </w:r>
      <w:r w:rsidR="00C348E9">
        <w:rPr>
          <w:rFonts w:ascii="Verdana" w:hAnsi="Verdana"/>
          <w:sz w:val="20"/>
          <w:szCs w:val="20"/>
        </w:rPr>
        <w:t xml:space="preserve">. </w:t>
      </w:r>
      <w:r w:rsidR="00C348E9">
        <w:rPr>
          <w:rFonts w:ascii="Verdana" w:hAnsi="Verdana"/>
          <w:sz w:val="20"/>
          <w:szCs w:val="20"/>
        </w:rPr>
        <w:tab/>
      </w:r>
      <w:r w:rsidR="00B6213F">
        <w:rPr>
          <w:rFonts w:ascii="Verdana" w:hAnsi="Verdana"/>
          <w:sz w:val="20"/>
          <w:szCs w:val="20"/>
        </w:rPr>
        <w:t>En la Sentencia</w:t>
      </w:r>
      <w:r w:rsidR="00C71EBA" w:rsidRPr="00C145E1">
        <w:rPr>
          <w:rFonts w:ascii="Verdana" w:hAnsi="Verdana"/>
          <w:sz w:val="20"/>
          <w:szCs w:val="20"/>
        </w:rPr>
        <w:t xml:space="preserve"> </w:t>
      </w:r>
      <w:r w:rsidR="00E86C27" w:rsidRPr="00C145E1">
        <w:rPr>
          <w:rFonts w:ascii="Verdana" w:hAnsi="Verdana"/>
          <w:sz w:val="20"/>
          <w:szCs w:val="20"/>
        </w:rPr>
        <w:t xml:space="preserve">también </w:t>
      </w:r>
      <w:r w:rsidR="00B6213F">
        <w:rPr>
          <w:rFonts w:ascii="Verdana" w:hAnsi="Verdana"/>
          <w:sz w:val="20"/>
          <w:szCs w:val="20"/>
        </w:rPr>
        <w:t>se abordaron</w:t>
      </w:r>
      <w:r w:rsidR="00E86C27" w:rsidRPr="00C145E1">
        <w:rPr>
          <w:rFonts w:ascii="Verdana" w:hAnsi="Verdana"/>
          <w:sz w:val="20"/>
          <w:szCs w:val="20"/>
        </w:rPr>
        <w:t xml:space="preserve"> los alegatos relacionados con la discriminación que habrían sufrido algunas mujeres embarazadas, quienes no habrían recibido un tratamiento médico que tomara en consideración </w:t>
      </w:r>
      <w:r w:rsidR="00592080">
        <w:rPr>
          <w:rFonts w:ascii="Verdana" w:hAnsi="Verdana"/>
          <w:sz w:val="20"/>
          <w:szCs w:val="20"/>
        </w:rPr>
        <w:t>la forma interseccional</w:t>
      </w:r>
      <w:r w:rsidR="00E86C27" w:rsidRPr="00C145E1">
        <w:rPr>
          <w:rFonts w:ascii="Verdana" w:hAnsi="Verdana"/>
          <w:sz w:val="20"/>
          <w:szCs w:val="20"/>
        </w:rPr>
        <w:t xml:space="preserve"> de discriminación que enfrentaron. </w:t>
      </w:r>
      <w:r w:rsidR="004D60A1">
        <w:rPr>
          <w:rFonts w:ascii="Verdana" w:hAnsi="Verdana"/>
          <w:sz w:val="20"/>
          <w:szCs w:val="20"/>
        </w:rPr>
        <w:t>En relación con este aspecto, l</w:t>
      </w:r>
      <w:r w:rsidR="00E86C27" w:rsidRPr="00C145E1">
        <w:rPr>
          <w:rFonts w:ascii="Verdana" w:hAnsi="Verdana"/>
          <w:sz w:val="20"/>
          <w:szCs w:val="20"/>
        </w:rPr>
        <w:t>a Sentencia c</w:t>
      </w:r>
      <w:r w:rsidR="004D60A1">
        <w:rPr>
          <w:rFonts w:ascii="Verdana" w:hAnsi="Verdana"/>
          <w:sz w:val="20"/>
          <w:szCs w:val="20"/>
        </w:rPr>
        <w:t>oncluye</w:t>
      </w:r>
      <w:r w:rsidR="00C71EBA" w:rsidRPr="00C145E1">
        <w:rPr>
          <w:rFonts w:ascii="Verdana" w:hAnsi="Verdana"/>
          <w:sz w:val="20"/>
          <w:szCs w:val="20"/>
        </w:rPr>
        <w:t xml:space="preserve"> que el Estado </w:t>
      </w:r>
      <w:r w:rsidR="004D60A1">
        <w:rPr>
          <w:rFonts w:ascii="Verdana" w:hAnsi="Verdana"/>
          <w:sz w:val="20"/>
          <w:szCs w:val="20"/>
        </w:rPr>
        <w:t>incumplió con</w:t>
      </w:r>
      <w:r w:rsidR="00C71EBA" w:rsidRPr="00C145E1">
        <w:rPr>
          <w:rFonts w:ascii="Verdana" w:hAnsi="Verdana"/>
          <w:sz w:val="20"/>
          <w:szCs w:val="20"/>
        </w:rPr>
        <w:t xml:space="preserve"> la prohibición de discriminación</w:t>
      </w:r>
      <w:r w:rsidR="004D60A1">
        <w:rPr>
          <w:rFonts w:ascii="Verdana" w:hAnsi="Verdana"/>
          <w:sz w:val="20"/>
          <w:szCs w:val="20"/>
        </w:rPr>
        <w:t>,</w:t>
      </w:r>
      <w:r w:rsidR="00C71EBA" w:rsidRPr="00C145E1">
        <w:rPr>
          <w:rFonts w:ascii="Verdana" w:hAnsi="Verdana"/>
          <w:sz w:val="20"/>
          <w:szCs w:val="20"/>
        </w:rPr>
        <w:t xml:space="preserve"> en relación con la obligación de garantizar el derecho a la salud reconocido en el artículo 26 de la Convención, en perjuicio de dos víctimas del caso</w:t>
      </w:r>
      <w:r w:rsidR="00285C15" w:rsidRPr="009153B6">
        <w:rPr>
          <w:rStyle w:val="FootnoteReference"/>
          <w:rFonts w:ascii="Verdana" w:hAnsi="Verdana"/>
          <w:sz w:val="20"/>
          <w:szCs w:val="20"/>
        </w:rPr>
        <w:footnoteReference w:id="72"/>
      </w:r>
      <w:r w:rsidR="009153B6" w:rsidRPr="009153B6">
        <w:rPr>
          <w:rFonts w:ascii="Verdana" w:hAnsi="Verdana"/>
          <w:sz w:val="20"/>
          <w:szCs w:val="20"/>
        </w:rPr>
        <w:t>.</w:t>
      </w:r>
      <w:r w:rsidR="00FC6279" w:rsidRPr="00C145E1">
        <w:rPr>
          <w:rFonts w:ascii="Verdana" w:hAnsi="Verdana"/>
          <w:sz w:val="20"/>
          <w:szCs w:val="20"/>
        </w:rPr>
        <w:t xml:space="preserve"> </w:t>
      </w:r>
      <w:r w:rsidR="00135670" w:rsidRPr="00C145E1">
        <w:rPr>
          <w:rFonts w:ascii="Verdana" w:hAnsi="Verdana"/>
          <w:sz w:val="20"/>
          <w:szCs w:val="20"/>
        </w:rPr>
        <w:t>Esta conclusi</w:t>
      </w:r>
      <w:r w:rsidR="004D60A1">
        <w:rPr>
          <w:rFonts w:ascii="Verdana" w:hAnsi="Verdana"/>
          <w:sz w:val="20"/>
          <w:szCs w:val="20"/>
        </w:rPr>
        <w:t>ón se basa en</w:t>
      </w:r>
      <w:r w:rsidR="00C71EBA" w:rsidRPr="00C145E1">
        <w:rPr>
          <w:rFonts w:ascii="Verdana" w:hAnsi="Verdana"/>
          <w:sz w:val="20"/>
          <w:szCs w:val="20"/>
        </w:rPr>
        <w:t xml:space="preserve"> que </w:t>
      </w:r>
      <w:r w:rsidR="00FC6279" w:rsidRPr="00C145E1">
        <w:rPr>
          <w:rFonts w:ascii="Verdana" w:hAnsi="Verdana"/>
          <w:sz w:val="20"/>
          <w:szCs w:val="20"/>
        </w:rPr>
        <w:t>el Estado no otorgó</w:t>
      </w:r>
      <w:r w:rsidR="00C71EBA" w:rsidRPr="00C145E1">
        <w:rPr>
          <w:rFonts w:ascii="Verdana" w:hAnsi="Verdana"/>
          <w:sz w:val="20"/>
          <w:szCs w:val="20"/>
        </w:rPr>
        <w:t xml:space="preserve"> tratamiento antirretroviral </w:t>
      </w:r>
      <w:r w:rsidR="00135670" w:rsidRPr="00C145E1">
        <w:rPr>
          <w:rFonts w:ascii="Verdana" w:hAnsi="Verdana"/>
          <w:sz w:val="20"/>
          <w:szCs w:val="20"/>
        </w:rPr>
        <w:t xml:space="preserve">a una víctima cuando estaba embarazada, y tampoco practicó </w:t>
      </w:r>
      <w:r w:rsidR="00C71EBA" w:rsidRPr="00C145E1">
        <w:rPr>
          <w:rFonts w:ascii="Verdana" w:hAnsi="Verdana"/>
          <w:sz w:val="20"/>
          <w:szCs w:val="20"/>
        </w:rPr>
        <w:t xml:space="preserve">un parto por cesárea a </w:t>
      </w:r>
      <w:r w:rsidR="00135670" w:rsidRPr="00C145E1">
        <w:rPr>
          <w:rFonts w:ascii="Verdana" w:hAnsi="Verdana"/>
          <w:sz w:val="20"/>
          <w:szCs w:val="20"/>
        </w:rPr>
        <w:t>otra víctima</w:t>
      </w:r>
      <w:r w:rsidR="00C71EBA" w:rsidRPr="00C145E1">
        <w:rPr>
          <w:rFonts w:ascii="Verdana" w:hAnsi="Verdana"/>
          <w:sz w:val="20"/>
          <w:szCs w:val="20"/>
        </w:rPr>
        <w:t xml:space="preserve"> cuando esto constituía una práctica preventiva</w:t>
      </w:r>
      <w:r w:rsidR="004D60A1">
        <w:rPr>
          <w:rFonts w:ascii="Verdana" w:hAnsi="Verdana"/>
          <w:sz w:val="20"/>
          <w:szCs w:val="20"/>
        </w:rPr>
        <w:t xml:space="preserve"> para evitar la transmisión vertical del VIH</w:t>
      </w:r>
      <w:r w:rsidR="00135670" w:rsidRPr="00C145E1">
        <w:rPr>
          <w:rFonts w:ascii="Verdana" w:hAnsi="Verdana"/>
          <w:sz w:val="20"/>
          <w:szCs w:val="20"/>
        </w:rPr>
        <w:t>. Estas omisiones del Estado constituyeron</w:t>
      </w:r>
      <w:r w:rsidR="00C71EBA" w:rsidRPr="00C145E1">
        <w:rPr>
          <w:rFonts w:ascii="Verdana" w:hAnsi="Verdana"/>
          <w:sz w:val="20"/>
          <w:szCs w:val="20"/>
        </w:rPr>
        <w:t xml:space="preserve"> una forma de </w:t>
      </w:r>
      <w:r w:rsidR="00C71EBA" w:rsidRPr="00337ACB">
        <w:rPr>
          <w:rFonts w:ascii="Verdana" w:hAnsi="Verdana"/>
          <w:sz w:val="20"/>
          <w:szCs w:val="20"/>
        </w:rPr>
        <w:t>discriminación basada en género</w:t>
      </w:r>
      <w:r w:rsidR="004D60A1" w:rsidRPr="00337ACB">
        <w:rPr>
          <w:rFonts w:ascii="Verdana" w:hAnsi="Verdana"/>
          <w:sz w:val="20"/>
          <w:szCs w:val="20"/>
        </w:rPr>
        <w:t>,</w:t>
      </w:r>
      <w:r w:rsidR="00C71EBA" w:rsidRPr="00337ACB">
        <w:rPr>
          <w:rFonts w:ascii="Verdana" w:hAnsi="Verdana"/>
          <w:sz w:val="20"/>
          <w:szCs w:val="20"/>
        </w:rPr>
        <w:t xml:space="preserve"> debido a que </w:t>
      </w:r>
      <w:r w:rsidR="00135670" w:rsidRPr="00337ACB">
        <w:rPr>
          <w:rFonts w:ascii="Verdana" w:hAnsi="Verdana"/>
          <w:sz w:val="20"/>
          <w:szCs w:val="20"/>
        </w:rPr>
        <w:t>tuvieron</w:t>
      </w:r>
      <w:r w:rsidR="00C71EBA" w:rsidRPr="00337ACB">
        <w:rPr>
          <w:rFonts w:ascii="Verdana" w:hAnsi="Verdana"/>
          <w:sz w:val="20"/>
          <w:szCs w:val="20"/>
        </w:rPr>
        <w:t xml:space="preserve"> un impacto diferenciado</w:t>
      </w:r>
      <w:r w:rsidR="00135670" w:rsidRPr="00337ACB">
        <w:rPr>
          <w:rFonts w:ascii="Verdana" w:hAnsi="Verdana"/>
          <w:sz w:val="20"/>
          <w:szCs w:val="20"/>
        </w:rPr>
        <w:t xml:space="preserve"> en las dos mujeres </w:t>
      </w:r>
      <w:r w:rsidR="00C41C89" w:rsidRPr="00337ACB">
        <w:rPr>
          <w:rFonts w:ascii="Verdana" w:hAnsi="Verdana"/>
          <w:sz w:val="20"/>
          <w:szCs w:val="20"/>
        </w:rPr>
        <w:t xml:space="preserve">que viven </w:t>
      </w:r>
      <w:r w:rsidR="00135670" w:rsidRPr="00337ACB">
        <w:rPr>
          <w:rFonts w:ascii="Verdana" w:hAnsi="Verdana"/>
          <w:sz w:val="20"/>
          <w:szCs w:val="20"/>
        </w:rPr>
        <w:t>con</w:t>
      </w:r>
      <w:r w:rsidR="00C41C89" w:rsidRPr="00337ACB">
        <w:rPr>
          <w:rFonts w:ascii="Verdana" w:hAnsi="Verdana"/>
          <w:sz w:val="20"/>
          <w:szCs w:val="20"/>
        </w:rPr>
        <w:t xml:space="preserve"> el</w:t>
      </w:r>
      <w:r w:rsidR="00135670" w:rsidRPr="00337ACB">
        <w:rPr>
          <w:rFonts w:ascii="Verdana" w:hAnsi="Verdana"/>
          <w:sz w:val="20"/>
          <w:szCs w:val="20"/>
        </w:rPr>
        <w:t xml:space="preserve"> VIH y generaron</w:t>
      </w:r>
      <w:r w:rsidR="00C71EBA" w:rsidRPr="00337ACB">
        <w:rPr>
          <w:rFonts w:ascii="Verdana" w:hAnsi="Verdana"/>
          <w:sz w:val="20"/>
          <w:szCs w:val="20"/>
        </w:rPr>
        <w:t xml:space="preserve"> un riesgo de transmisión vertical del virus a sus hijos</w:t>
      </w:r>
      <w:r w:rsidR="00285C15" w:rsidRPr="00337ACB">
        <w:rPr>
          <w:rStyle w:val="FootnoteReference"/>
          <w:rFonts w:ascii="Verdana" w:hAnsi="Verdana"/>
          <w:sz w:val="20"/>
          <w:szCs w:val="20"/>
        </w:rPr>
        <w:footnoteReference w:id="73"/>
      </w:r>
      <w:r w:rsidR="00C71EBA" w:rsidRPr="00337ACB">
        <w:rPr>
          <w:rFonts w:ascii="Verdana" w:hAnsi="Verdana"/>
          <w:sz w:val="20"/>
          <w:szCs w:val="20"/>
        </w:rPr>
        <w:t xml:space="preserve">. Aunado a ello, la </w:t>
      </w:r>
      <w:r w:rsidR="00135670" w:rsidRPr="00337ACB">
        <w:rPr>
          <w:rFonts w:ascii="Verdana" w:hAnsi="Verdana"/>
          <w:sz w:val="20"/>
          <w:szCs w:val="20"/>
        </w:rPr>
        <w:t>mayoría</w:t>
      </w:r>
      <w:r w:rsidR="00C71EBA" w:rsidRPr="00337ACB">
        <w:rPr>
          <w:rFonts w:ascii="Verdana" w:hAnsi="Verdana"/>
          <w:sz w:val="20"/>
          <w:szCs w:val="20"/>
        </w:rPr>
        <w:t xml:space="preserve"> consideró que </w:t>
      </w:r>
      <w:r w:rsidR="00135670" w:rsidRPr="00337ACB">
        <w:rPr>
          <w:rFonts w:ascii="Verdana" w:hAnsi="Verdana"/>
          <w:sz w:val="20"/>
          <w:szCs w:val="20"/>
        </w:rPr>
        <w:t>existió una discriminación interseccional, pues las dos víctimas son</w:t>
      </w:r>
      <w:r w:rsidR="00C71EBA" w:rsidRPr="00337ACB">
        <w:rPr>
          <w:rFonts w:ascii="Verdana" w:hAnsi="Verdana"/>
          <w:sz w:val="20"/>
          <w:szCs w:val="20"/>
        </w:rPr>
        <w:t xml:space="preserve"> mujeres </w:t>
      </w:r>
      <w:r w:rsidR="00C41C89" w:rsidRPr="00337ACB">
        <w:rPr>
          <w:rFonts w:ascii="Verdana" w:hAnsi="Verdana"/>
          <w:sz w:val="20"/>
          <w:szCs w:val="20"/>
        </w:rPr>
        <w:t xml:space="preserve">que viven </w:t>
      </w:r>
      <w:r w:rsidR="00C71EBA" w:rsidRPr="00337ACB">
        <w:rPr>
          <w:rFonts w:ascii="Verdana" w:hAnsi="Verdana"/>
          <w:sz w:val="20"/>
          <w:szCs w:val="20"/>
        </w:rPr>
        <w:t>con</w:t>
      </w:r>
      <w:r w:rsidR="00C41C89" w:rsidRPr="00337ACB">
        <w:rPr>
          <w:rFonts w:ascii="Verdana" w:hAnsi="Verdana"/>
          <w:sz w:val="20"/>
          <w:szCs w:val="20"/>
        </w:rPr>
        <w:t xml:space="preserve"> el</w:t>
      </w:r>
      <w:r w:rsidR="00C71EBA" w:rsidRPr="00337ACB">
        <w:rPr>
          <w:rFonts w:ascii="Verdana" w:hAnsi="Verdana"/>
          <w:sz w:val="20"/>
          <w:szCs w:val="20"/>
        </w:rPr>
        <w:t xml:space="preserve"> VIH y en situación de embarazo, de modo que su discriminación fue el producto de varios factores que interaccionan y que se condicionan entre sí</w:t>
      </w:r>
      <w:r w:rsidR="00285C15" w:rsidRPr="00337ACB">
        <w:rPr>
          <w:rStyle w:val="FootnoteReference"/>
          <w:rFonts w:ascii="Verdana" w:hAnsi="Verdana"/>
          <w:sz w:val="20"/>
          <w:szCs w:val="20"/>
        </w:rPr>
        <w:footnoteReference w:id="74"/>
      </w:r>
      <w:r w:rsidR="00C71EBA" w:rsidRPr="00337ACB">
        <w:rPr>
          <w:rFonts w:ascii="Verdana" w:hAnsi="Verdana"/>
          <w:sz w:val="20"/>
          <w:szCs w:val="20"/>
        </w:rPr>
        <w:t>.</w:t>
      </w:r>
      <w:r w:rsidR="00C71EBA" w:rsidRPr="00C145E1">
        <w:rPr>
          <w:rFonts w:ascii="Verdana" w:hAnsi="Verdana"/>
          <w:sz w:val="20"/>
          <w:szCs w:val="20"/>
        </w:rPr>
        <w:t xml:space="preserve"> </w:t>
      </w:r>
    </w:p>
    <w:p w14:paraId="112A81ED" w14:textId="77777777" w:rsidR="00C71EBA" w:rsidRPr="00C145E1" w:rsidRDefault="00C71EBA" w:rsidP="006174F1">
      <w:pPr>
        <w:pStyle w:val="ListParagraph"/>
        <w:ind w:left="0"/>
        <w:jc w:val="both"/>
        <w:rPr>
          <w:rFonts w:ascii="Verdana" w:hAnsi="Verdana"/>
          <w:sz w:val="20"/>
          <w:szCs w:val="20"/>
        </w:rPr>
      </w:pPr>
    </w:p>
    <w:p w14:paraId="29E6E988" w14:textId="56534FC0" w:rsidR="003E6219" w:rsidRDefault="002B6217" w:rsidP="006174F1">
      <w:pPr>
        <w:pStyle w:val="ListParagraph"/>
        <w:ind w:left="0"/>
        <w:jc w:val="both"/>
        <w:rPr>
          <w:rFonts w:ascii="Verdana" w:hAnsi="Verdana"/>
          <w:sz w:val="20"/>
          <w:szCs w:val="20"/>
        </w:rPr>
      </w:pPr>
      <w:r w:rsidRPr="00337ACB">
        <w:rPr>
          <w:rFonts w:ascii="Verdana" w:hAnsi="Verdana"/>
          <w:sz w:val="20"/>
          <w:szCs w:val="20"/>
        </w:rPr>
        <w:t>32</w:t>
      </w:r>
      <w:r w:rsidR="00C348E9" w:rsidRPr="00337ACB">
        <w:rPr>
          <w:rFonts w:ascii="Verdana" w:hAnsi="Verdana"/>
          <w:sz w:val="20"/>
          <w:szCs w:val="20"/>
        </w:rPr>
        <w:t xml:space="preserve">. </w:t>
      </w:r>
      <w:r w:rsidR="00C348E9" w:rsidRPr="00337ACB">
        <w:rPr>
          <w:rFonts w:ascii="Verdana" w:hAnsi="Verdana"/>
          <w:sz w:val="20"/>
          <w:szCs w:val="20"/>
        </w:rPr>
        <w:tab/>
      </w:r>
      <w:r w:rsidR="00C71EBA" w:rsidRPr="00337ACB">
        <w:rPr>
          <w:rFonts w:ascii="Verdana" w:hAnsi="Verdana"/>
          <w:sz w:val="20"/>
          <w:szCs w:val="20"/>
        </w:rPr>
        <w:t xml:space="preserve">El análisis efectuado tiene </w:t>
      </w:r>
      <w:r w:rsidR="000A04CC" w:rsidRPr="00337ACB">
        <w:rPr>
          <w:rFonts w:ascii="Verdana" w:hAnsi="Verdana"/>
          <w:sz w:val="20"/>
          <w:szCs w:val="20"/>
        </w:rPr>
        <w:t xml:space="preserve">su </w:t>
      </w:r>
      <w:r w:rsidR="004D60A1" w:rsidRPr="00337ACB">
        <w:rPr>
          <w:rFonts w:ascii="Verdana" w:hAnsi="Verdana"/>
          <w:sz w:val="20"/>
          <w:szCs w:val="20"/>
        </w:rPr>
        <w:t>antecedente jurisprudencial</w:t>
      </w:r>
      <w:r w:rsidR="00C71EBA" w:rsidRPr="00337ACB">
        <w:rPr>
          <w:rFonts w:ascii="Verdana" w:hAnsi="Verdana"/>
          <w:sz w:val="20"/>
          <w:szCs w:val="20"/>
        </w:rPr>
        <w:t xml:space="preserve"> en el caso </w:t>
      </w:r>
      <w:r w:rsidR="00C71EBA" w:rsidRPr="00337ACB">
        <w:rPr>
          <w:rFonts w:ascii="Verdana" w:hAnsi="Verdana"/>
          <w:i/>
          <w:sz w:val="20"/>
          <w:szCs w:val="20"/>
        </w:rPr>
        <w:t>Gonzáles Lluy y otros</w:t>
      </w:r>
      <w:r w:rsidR="00C71EBA" w:rsidRPr="00337ACB">
        <w:rPr>
          <w:rFonts w:ascii="Verdana" w:hAnsi="Verdana"/>
          <w:sz w:val="20"/>
          <w:szCs w:val="20"/>
        </w:rPr>
        <w:t xml:space="preserve">, </w:t>
      </w:r>
      <w:r w:rsidR="000A04CC" w:rsidRPr="00337ACB">
        <w:rPr>
          <w:rFonts w:ascii="Verdana" w:hAnsi="Verdana"/>
          <w:sz w:val="20"/>
          <w:szCs w:val="20"/>
        </w:rPr>
        <w:t xml:space="preserve">donde </w:t>
      </w:r>
      <w:r w:rsidR="00C71EBA" w:rsidRPr="00337ACB">
        <w:rPr>
          <w:rFonts w:ascii="Verdana" w:hAnsi="Verdana"/>
          <w:sz w:val="20"/>
          <w:szCs w:val="20"/>
        </w:rPr>
        <w:t xml:space="preserve">la Corte determinó que Talía </w:t>
      </w:r>
      <w:r w:rsidR="000E5189" w:rsidRPr="00337ACB">
        <w:rPr>
          <w:rFonts w:ascii="Verdana" w:hAnsi="Verdana"/>
          <w:sz w:val="20"/>
          <w:szCs w:val="20"/>
        </w:rPr>
        <w:t xml:space="preserve">Gabriela </w:t>
      </w:r>
      <w:r w:rsidR="00C71EBA" w:rsidRPr="00337ACB">
        <w:rPr>
          <w:rFonts w:ascii="Verdana" w:hAnsi="Verdana"/>
          <w:sz w:val="20"/>
          <w:szCs w:val="20"/>
        </w:rPr>
        <w:t xml:space="preserve">sufrió una discriminación a partir de su condición de persona </w:t>
      </w:r>
      <w:r w:rsidR="00C41C89" w:rsidRPr="00337ACB">
        <w:rPr>
          <w:rFonts w:ascii="Verdana" w:hAnsi="Verdana"/>
          <w:sz w:val="20"/>
          <w:szCs w:val="20"/>
        </w:rPr>
        <w:t xml:space="preserve">que vive </w:t>
      </w:r>
      <w:r w:rsidR="00C71EBA" w:rsidRPr="00337ACB">
        <w:rPr>
          <w:rFonts w:ascii="Verdana" w:hAnsi="Verdana"/>
          <w:sz w:val="20"/>
          <w:szCs w:val="20"/>
        </w:rPr>
        <w:t>con</w:t>
      </w:r>
      <w:r w:rsidR="00C41C89" w:rsidRPr="00337ACB">
        <w:rPr>
          <w:rFonts w:ascii="Verdana" w:hAnsi="Verdana"/>
          <w:sz w:val="20"/>
          <w:szCs w:val="20"/>
        </w:rPr>
        <w:t xml:space="preserve"> el</w:t>
      </w:r>
      <w:r w:rsidR="00C71EBA" w:rsidRPr="00337ACB">
        <w:rPr>
          <w:rFonts w:ascii="Verdana" w:hAnsi="Verdana"/>
          <w:sz w:val="20"/>
          <w:szCs w:val="20"/>
        </w:rPr>
        <w:t xml:space="preserve"> VIH, niña, mujer y viviendo </w:t>
      </w:r>
      <w:r w:rsidR="00EB595E" w:rsidRPr="00337ACB">
        <w:rPr>
          <w:rFonts w:ascii="Verdana" w:hAnsi="Verdana"/>
          <w:sz w:val="20"/>
          <w:szCs w:val="20"/>
        </w:rPr>
        <w:t>en situación</w:t>
      </w:r>
      <w:r w:rsidR="00C71EBA" w:rsidRPr="00337ACB">
        <w:rPr>
          <w:rFonts w:ascii="Verdana" w:hAnsi="Verdana"/>
          <w:sz w:val="20"/>
          <w:szCs w:val="20"/>
        </w:rPr>
        <w:t xml:space="preserve"> de pobreza</w:t>
      </w:r>
      <w:r w:rsidR="00C71EBA" w:rsidRPr="00337ACB">
        <w:rPr>
          <w:rFonts w:ascii="Verdana" w:hAnsi="Verdana"/>
          <w:sz w:val="20"/>
          <w:szCs w:val="20"/>
          <w:vertAlign w:val="superscript"/>
        </w:rPr>
        <w:footnoteReference w:id="75"/>
      </w:r>
      <w:r w:rsidR="000A04CC" w:rsidRPr="00337ACB">
        <w:rPr>
          <w:rFonts w:ascii="Verdana" w:hAnsi="Verdana"/>
          <w:sz w:val="20"/>
          <w:szCs w:val="20"/>
        </w:rPr>
        <w:t>. Esos factores</w:t>
      </w:r>
      <w:r w:rsidR="00C71EBA" w:rsidRPr="00337ACB">
        <w:rPr>
          <w:rFonts w:ascii="Verdana" w:hAnsi="Verdana"/>
          <w:sz w:val="20"/>
          <w:szCs w:val="20"/>
        </w:rPr>
        <w:t xml:space="preserve"> hicieron a la víctima más vulnerable y agravaron los daños que sufrió</w:t>
      </w:r>
      <w:r w:rsidR="00C71EBA" w:rsidRPr="00337ACB">
        <w:rPr>
          <w:rFonts w:ascii="Verdana" w:hAnsi="Verdana"/>
          <w:sz w:val="20"/>
          <w:szCs w:val="20"/>
          <w:vertAlign w:val="superscript"/>
        </w:rPr>
        <w:footnoteReference w:id="76"/>
      </w:r>
      <w:r w:rsidR="00C71EBA" w:rsidRPr="00337ACB">
        <w:rPr>
          <w:rFonts w:ascii="Verdana" w:hAnsi="Verdana"/>
          <w:sz w:val="20"/>
          <w:szCs w:val="20"/>
        </w:rPr>
        <w:t xml:space="preserve">. </w:t>
      </w:r>
      <w:r w:rsidR="000A04CC" w:rsidRPr="00337ACB">
        <w:rPr>
          <w:rFonts w:ascii="Verdana" w:hAnsi="Verdana"/>
          <w:sz w:val="20"/>
          <w:szCs w:val="20"/>
        </w:rPr>
        <w:t>En aquella ocasión</w:t>
      </w:r>
      <w:r w:rsidR="004D60A1" w:rsidRPr="00337ACB">
        <w:rPr>
          <w:rFonts w:ascii="Verdana" w:hAnsi="Verdana"/>
          <w:sz w:val="20"/>
          <w:szCs w:val="20"/>
        </w:rPr>
        <w:t>,</w:t>
      </w:r>
      <w:r w:rsidR="000A04CC" w:rsidRPr="00337ACB">
        <w:rPr>
          <w:rFonts w:ascii="Verdana" w:hAnsi="Verdana"/>
          <w:sz w:val="20"/>
          <w:szCs w:val="20"/>
        </w:rPr>
        <w:t xml:space="preserve"> la Corte reflexionó sobre cómo</w:t>
      </w:r>
      <w:r w:rsidR="00C71EBA" w:rsidRPr="00337ACB">
        <w:rPr>
          <w:rFonts w:ascii="Verdana" w:hAnsi="Verdana"/>
          <w:sz w:val="20"/>
          <w:szCs w:val="20"/>
        </w:rPr>
        <w:t xml:space="preserve"> ciertos grupos de mujeres padecen discriminación a lo largo de su vida con base en más de un factor combinado con su sexo, lo que aumenta su riesgo de ser víctima de violencia y otras violaciones de sus derechos humanos</w:t>
      </w:r>
      <w:r w:rsidR="00C71EBA" w:rsidRPr="00337ACB">
        <w:rPr>
          <w:rFonts w:ascii="Verdana" w:hAnsi="Verdana"/>
          <w:sz w:val="20"/>
          <w:szCs w:val="20"/>
          <w:vertAlign w:val="superscript"/>
        </w:rPr>
        <w:footnoteReference w:id="77"/>
      </w:r>
      <w:r w:rsidR="00C71EBA" w:rsidRPr="00337ACB">
        <w:rPr>
          <w:rFonts w:ascii="Verdana" w:hAnsi="Verdana"/>
          <w:sz w:val="20"/>
          <w:szCs w:val="20"/>
        </w:rPr>
        <w:t xml:space="preserve">. </w:t>
      </w:r>
      <w:r w:rsidR="000A04CC" w:rsidRPr="00337ACB">
        <w:rPr>
          <w:rFonts w:ascii="Verdana" w:hAnsi="Verdana"/>
          <w:sz w:val="20"/>
          <w:szCs w:val="20"/>
        </w:rPr>
        <w:t>También destacó</w:t>
      </w:r>
      <w:r w:rsidR="00C71EBA" w:rsidRPr="00337ACB">
        <w:rPr>
          <w:rFonts w:ascii="Verdana" w:hAnsi="Verdana"/>
          <w:sz w:val="20"/>
          <w:szCs w:val="20"/>
        </w:rPr>
        <w:t xml:space="preserve"> que la estigmatización relacionada con el VIH no impacta de forma homogénea a todas las personas y que resultan más graves los impactos en los grupos que de por sí son marginados</w:t>
      </w:r>
      <w:r w:rsidR="00C71EBA" w:rsidRPr="00337ACB">
        <w:rPr>
          <w:rFonts w:ascii="Verdana" w:hAnsi="Verdana"/>
          <w:sz w:val="20"/>
          <w:szCs w:val="20"/>
          <w:vertAlign w:val="superscript"/>
        </w:rPr>
        <w:footnoteReference w:id="78"/>
      </w:r>
      <w:r w:rsidR="00C71EBA" w:rsidRPr="00337ACB">
        <w:rPr>
          <w:rFonts w:ascii="Verdana" w:hAnsi="Verdana"/>
          <w:sz w:val="20"/>
          <w:szCs w:val="20"/>
        </w:rPr>
        <w:t xml:space="preserve">. </w:t>
      </w:r>
      <w:r w:rsidR="000A04CC" w:rsidRPr="00337ACB">
        <w:rPr>
          <w:rFonts w:ascii="Verdana" w:hAnsi="Verdana"/>
          <w:sz w:val="20"/>
          <w:szCs w:val="20"/>
        </w:rPr>
        <w:t>E</w:t>
      </w:r>
      <w:r w:rsidR="00351E9F" w:rsidRPr="00337ACB">
        <w:rPr>
          <w:rFonts w:ascii="Verdana" w:hAnsi="Verdana"/>
          <w:sz w:val="20"/>
          <w:szCs w:val="20"/>
        </w:rPr>
        <w:t xml:space="preserve">sta misma línea ha sido continuada en los casos </w:t>
      </w:r>
      <w:r w:rsidR="00351E9F" w:rsidRPr="00337ACB">
        <w:rPr>
          <w:rFonts w:ascii="Verdana" w:hAnsi="Verdana"/>
          <w:i/>
          <w:sz w:val="20"/>
          <w:szCs w:val="20"/>
        </w:rPr>
        <w:t>I.V. Vs. Bolivia</w:t>
      </w:r>
      <w:r w:rsidR="00351E9F" w:rsidRPr="00337ACB">
        <w:rPr>
          <w:rStyle w:val="FootnoteReference"/>
          <w:rFonts w:ascii="Verdana" w:hAnsi="Verdana"/>
          <w:i/>
          <w:sz w:val="20"/>
          <w:szCs w:val="20"/>
        </w:rPr>
        <w:footnoteReference w:id="79"/>
      </w:r>
      <w:r w:rsidR="00351E9F" w:rsidRPr="00337ACB">
        <w:rPr>
          <w:rFonts w:ascii="Verdana" w:hAnsi="Verdana"/>
          <w:sz w:val="20"/>
          <w:szCs w:val="20"/>
        </w:rPr>
        <w:t xml:space="preserve">, </w:t>
      </w:r>
      <w:r w:rsidR="00351E9F" w:rsidRPr="00337ACB">
        <w:rPr>
          <w:rFonts w:ascii="Verdana" w:hAnsi="Verdana"/>
          <w:i/>
          <w:sz w:val="20"/>
          <w:szCs w:val="20"/>
        </w:rPr>
        <w:t>Ramírez Escobar y otros Vs. Guatemala</w:t>
      </w:r>
      <w:r w:rsidR="00351E9F" w:rsidRPr="00337ACB">
        <w:rPr>
          <w:rFonts w:ascii="Verdana" w:hAnsi="Verdana"/>
          <w:sz w:val="20"/>
          <w:szCs w:val="20"/>
          <w:vertAlign w:val="superscript"/>
        </w:rPr>
        <w:footnoteReference w:id="80"/>
      </w:r>
      <w:r w:rsidR="00351E9F" w:rsidRPr="00337ACB">
        <w:rPr>
          <w:rFonts w:ascii="Verdana" w:hAnsi="Verdana"/>
          <w:sz w:val="20"/>
          <w:szCs w:val="20"/>
        </w:rPr>
        <w:t xml:space="preserve">.y el caso </w:t>
      </w:r>
      <w:r w:rsidR="00351E9F" w:rsidRPr="00337ACB">
        <w:rPr>
          <w:rStyle w:val="Strong"/>
          <w:rFonts w:ascii="Verdana" w:hAnsi="Verdana"/>
          <w:b w:val="0"/>
          <w:i/>
          <w:color w:val="000000"/>
          <w:sz w:val="20"/>
          <w:szCs w:val="20"/>
          <w:shd w:val="clear" w:color="auto" w:fill="FFFFFF"/>
        </w:rPr>
        <w:t>V.R.P., V.P.C. y otros Vs. Nicaragua</w:t>
      </w:r>
      <w:r w:rsidR="00351E9F" w:rsidRPr="00337ACB">
        <w:rPr>
          <w:rStyle w:val="FootnoteReference"/>
          <w:rFonts w:ascii="Verdana" w:hAnsi="Verdana"/>
          <w:bCs/>
          <w:i/>
          <w:color w:val="000000"/>
          <w:sz w:val="20"/>
          <w:szCs w:val="20"/>
          <w:shd w:val="clear" w:color="auto" w:fill="FFFFFF"/>
        </w:rPr>
        <w:footnoteReference w:id="81"/>
      </w:r>
      <w:r w:rsidR="00D23361" w:rsidRPr="00337ACB">
        <w:rPr>
          <w:rStyle w:val="Strong"/>
          <w:rFonts w:ascii="Verdana" w:hAnsi="Verdana"/>
          <w:b w:val="0"/>
          <w:i/>
          <w:color w:val="000000"/>
          <w:sz w:val="20"/>
          <w:szCs w:val="20"/>
          <w:shd w:val="clear" w:color="auto" w:fill="FFFFFF"/>
        </w:rPr>
        <w:t>.</w:t>
      </w:r>
    </w:p>
    <w:p w14:paraId="1BBE2840" w14:textId="77777777" w:rsidR="003E6219" w:rsidRDefault="003E6219" w:rsidP="006174F1">
      <w:pPr>
        <w:pStyle w:val="ListParagraph"/>
        <w:ind w:left="0"/>
        <w:jc w:val="both"/>
        <w:rPr>
          <w:rFonts w:ascii="Verdana" w:hAnsi="Verdana"/>
          <w:sz w:val="20"/>
          <w:szCs w:val="20"/>
        </w:rPr>
      </w:pPr>
    </w:p>
    <w:p w14:paraId="66C52F95" w14:textId="7FBA94BB" w:rsidR="00C71EBA" w:rsidRPr="00337ACB" w:rsidRDefault="002B6217" w:rsidP="006174F1">
      <w:pPr>
        <w:pStyle w:val="ListParagraph"/>
        <w:ind w:left="0"/>
        <w:jc w:val="both"/>
        <w:rPr>
          <w:rFonts w:ascii="Verdana" w:hAnsi="Verdana"/>
          <w:sz w:val="20"/>
          <w:szCs w:val="20"/>
        </w:rPr>
      </w:pPr>
      <w:r>
        <w:rPr>
          <w:rFonts w:ascii="Verdana" w:hAnsi="Verdana"/>
          <w:sz w:val="20"/>
          <w:szCs w:val="20"/>
        </w:rPr>
        <w:t>33</w:t>
      </w:r>
      <w:r w:rsidR="00C348E9">
        <w:rPr>
          <w:rFonts w:ascii="Verdana" w:hAnsi="Verdana"/>
          <w:sz w:val="20"/>
          <w:szCs w:val="20"/>
        </w:rPr>
        <w:t xml:space="preserve">. </w:t>
      </w:r>
      <w:r w:rsidR="00C348E9">
        <w:rPr>
          <w:rFonts w:ascii="Verdana" w:hAnsi="Verdana"/>
          <w:sz w:val="20"/>
          <w:szCs w:val="20"/>
        </w:rPr>
        <w:tab/>
      </w:r>
      <w:r w:rsidR="000A04CC" w:rsidRPr="00C145E1">
        <w:rPr>
          <w:rFonts w:ascii="Verdana" w:hAnsi="Verdana"/>
          <w:sz w:val="20"/>
          <w:szCs w:val="20"/>
        </w:rPr>
        <w:t>En lo</w:t>
      </w:r>
      <w:r w:rsidR="00351E9F">
        <w:rPr>
          <w:rFonts w:ascii="Verdana" w:hAnsi="Verdana"/>
          <w:sz w:val="20"/>
          <w:szCs w:val="20"/>
        </w:rPr>
        <w:t>s</w:t>
      </w:r>
      <w:r w:rsidR="00F219D2">
        <w:rPr>
          <w:rFonts w:ascii="Verdana" w:hAnsi="Verdana"/>
          <w:sz w:val="20"/>
          <w:szCs w:val="20"/>
        </w:rPr>
        <w:t xml:space="preserve"> casos antes referidos —</w:t>
      </w:r>
      <w:r w:rsidR="000A04CC" w:rsidRPr="00C145E1">
        <w:rPr>
          <w:rFonts w:ascii="Verdana" w:hAnsi="Verdana"/>
          <w:sz w:val="20"/>
          <w:szCs w:val="20"/>
        </w:rPr>
        <w:t xml:space="preserve">y en </w:t>
      </w:r>
      <w:r w:rsidR="000A04CC" w:rsidRPr="00C145E1">
        <w:rPr>
          <w:rFonts w:ascii="Verdana" w:hAnsi="Verdana"/>
          <w:i/>
          <w:sz w:val="20"/>
          <w:szCs w:val="20"/>
        </w:rPr>
        <w:t>Cuscul Pivaral</w:t>
      </w:r>
      <w:r w:rsidR="00351E9F">
        <w:rPr>
          <w:rFonts w:ascii="Verdana" w:hAnsi="Verdana"/>
          <w:i/>
          <w:sz w:val="20"/>
          <w:szCs w:val="20"/>
        </w:rPr>
        <w:t xml:space="preserve"> </w:t>
      </w:r>
      <w:r w:rsidR="00351E9F">
        <w:rPr>
          <w:rStyle w:val="FootnoteReference"/>
          <w:rFonts w:ascii="Verdana" w:hAnsi="Verdana"/>
          <w:i/>
          <w:sz w:val="20"/>
          <w:szCs w:val="20"/>
        </w:rPr>
        <w:footnoteReference w:id="82"/>
      </w:r>
      <w:r w:rsidR="00F219D2">
        <w:rPr>
          <w:rFonts w:ascii="Verdana" w:hAnsi="Verdana"/>
          <w:i/>
          <w:sz w:val="20"/>
          <w:szCs w:val="20"/>
        </w:rPr>
        <w:t>—</w:t>
      </w:r>
      <w:r w:rsidR="00C71EBA" w:rsidRPr="00C145E1">
        <w:rPr>
          <w:rFonts w:ascii="Verdana" w:hAnsi="Verdana"/>
          <w:sz w:val="20"/>
          <w:szCs w:val="20"/>
        </w:rPr>
        <w:t xml:space="preserve"> la Corte </w:t>
      </w:r>
      <w:r w:rsidR="00D6777F" w:rsidRPr="00C145E1">
        <w:rPr>
          <w:rFonts w:ascii="Verdana" w:hAnsi="Verdana"/>
          <w:sz w:val="20"/>
          <w:szCs w:val="20"/>
        </w:rPr>
        <w:t>afirmó la tesis de que ahí donde exista</w:t>
      </w:r>
      <w:r w:rsidR="00C71EBA" w:rsidRPr="00C145E1">
        <w:rPr>
          <w:rFonts w:ascii="Verdana" w:hAnsi="Verdana"/>
          <w:sz w:val="20"/>
          <w:szCs w:val="20"/>
        </w:rPr>
        <w:t xml:space="preserve"> confluencia de factores de discriminación de manera interseccional </w:t>
      </w:r>
      <w:r w:rsidR="00D6777F" w:rsidRPr="00C145E1">
        <w:rPr>
          <w:rFonts w:ascii="Verdana" w:hAnsi="Verdana"/>
          <w:sz w:val="20"/>
          <w:szCs w:val="20"/>
        </w:rPr>
        <w:t>existe</w:t>
      </w:r>
      <w:r w:rsidR="00C71EBA" w:rsidRPr="00C145E1">
        <w:rPr>
          <w:rFonts w:ascii="Verdana" w:hAnsi="Verdana"/>
          <w:sz w:val="20"/>
          <w:szCs w:val="20"/>
        </w:rPr>
        <w:t xml:space="preserve"> una experiencia discriminatoria </w:t>
      </w:r>
      <w:r w:rsidR="000A04CC" w:rsidRPr="00C145E1">
        <w:rPr>
          <w:rFonts w:ascii="Verdana" w:hAnsi="Verdana"/>
          <w:sz w:val="20"/>
          <w:szCs w:val="20"/>
        </w:rPr>
        <w:t xml:space="preserve">específica </w:t>
      </w:r>
      <w:r w:rsidR="00C71EBA" w:rsidRPr="00C145E1">
        <w:rPr>
          <w:rFonts w:ascii="Verdana" w:hAnsi="Verdana"/>
          <w:sz w:val="20"/>
          <w:szCs w:val="20"/>
        </w:rPr>
        <w:t xml:space="preserve">que se diferencia de </w:t>
      </w:r>
      <w:r w:rsidR="000A04CC" w:rsidRPr="00C145E1">
        <w:rPr>
          <w:rFonts w:ascii="Verdana" w:hAnsi="Verdana"/>
          <w:sz w:val="20"/>
          <w:szCs w:val="20"/>
        </w:rPr>
        <w:t>otras formas de discriminación.</w:t>
      </w:r>
      <w:r w:rsidR="00D6777F" w:rsidRPr="00C145E1">
        <w:rPr>
          <w:rFonts w:ascii="Verdana" w:hAnsi="Verdana"/>
          <w:sz w:val="20"/>
          <w:szCs w:val="20"/>
        </w:rPr>
        <w:t xml:space="preserve"> </w:t>
      </w:r>
      <w:r w:rsidR="00D6777F" w:rsidRPr="00EB595E">
        <w:rPr>
          <w:rFonts w:ascii="Verdana" w:hAnsi="Verdana"/>
          <w:sz w:val="20"/>
          <w:szCs w:val="20"/>
        </w:rPr>
        <w:t xml:space="preserve">Esta posición </w:t>
      </w:r>
      <w:r w:rsidR="00EB595E" w:rsidRPr="00EB595E">
        <w:rPr>
          <w:rFonts w:ascii="Verdana" w:hAnsi="Verdana"/>
          <w:sz w:val="20"/>
          <w:szCs w:val="20"/>
        </w:rPr>
        <w:t>que progresivamente ha ido desarrollando en</w:t>
      </w:r>
      <w:r w:rsidR="00D6777F" w:rsidRPr="00EB595E">
        <w:rPr>
          <w:rFonts w:ascii="Verdana" w:hAnsi="Verdana"/>
          <w:sz w:val="20"/>
          <w:szCs w:val="20"/>
        </w:rPr>
        <w:t xml:space="preserve"> la jurisprudencia de la Corte en la protección de grupos vulnerables, genera ciertos retos que deberán ser abordados en el futuro</w:t>
      </w:r>
      <w:r w:rsidR="00D6777F" w:rsidRPr="00C145E1">
        <w:rPr>
          <w:rFonts w:ascii="Verdana" w:hAnsi="Verdana"/>
          <w:sz w:val="20"/>
          <w:szCs w:val="20"/>
        </w:rPr>
        <w:t xml:space="preserve">. La Comisión </w:t>
      </w:r>
      <w:r w:rsidR="00EB595E">
        <w:rPr>
          <w:rFonts w:ascii="Verdana" w:hAnsi="Verdana"/>
          <w:sz w:val="20"/>
          <w:szCs w:val="20"/>
        </w:rPr>
        <w:t xml:space="preserve">Interamericana </w:t>
      </w:r>
      <w:r w:rsidR="00D6777F" w:rsidRPr="00C145E1">
        <w:rPr>
          <w:rFonts w:ascii="Verdana" w:hAnsi="Verdana"/>
          <w:sz w:val="20"/>
          <w:szCs w:val="20"/>
        </w:rPr>
        <w:t xml:space="preserve">y los representantes </w:t>
      </w:r>
      <w:r w:rsidR="00285C15">
        <w:rPr>
          <w:rFonts w:ascii="Verdana" w:hAnsi="Verdana"/>
          <w:sz w:val="20"/>
          <w:szCs w:val="20"/>
        </w:rPr>
        <w:t xml:space="preserve">de las víctimas </w:t>
      </w:r>
      <w:r w:rsidR="00D6777F" w:rsidRPr="00C145E1">
        <w:rPr>
          <w:rFonts w:ascii="Verdana" w:hAnsi="Verdana"/>
          <w:sz w:val="20"/>
          <w:szCs w:val="20"/>
        </w:rPr>
        <w:t>deberán argumentar</w:t>
      </w:r>
      <w:r w:rsidR="004D60A1">
        <w:rPr>
          <w:rFonts w:ascii="Verdana" w:hAnsi="Verdana"/>
          <w:sz w:val="20"/>
          <w:szCs w:val="20"/>
        </w:rPr>
        <w:t xml:space="preserve"> con la mayor claridad y precisión posible</w:t>
      </w:r>
      <w:r w:rsidR="00D6777F" w:rsidRPr="00C145E1">
        <w:rPr>
          <w:rFonts w:ascii="Verdana" w:hAnsi="Verdana"/>
          <w:sz w:val="20"/>
          <w:szCs w:val="20"/>
        </w:rPr>
        <w:t xml:space="preserve"> i) que los</w:t>
      </w:r>
      <w:r w:rsidR="00C71EBA" w:rsidRPr="00C145E1">
        <w:rPr>
          <w:rFonts w:ascii="Verdana" w:hAnsi="Verdana"/>
          <w:sz w:val="20"/>
          <w:szCs w:val="20"/>
        </w:rPr>
        <w:t xml:space="preserve"> factores de riesgo o vulnerabilidad</w:t>
      </w:r>
      <w:r w:rsidR="00D6777F" w:rsidRPr="00C145E1">
        <w:rPr>
          <w:rFonts w:ascii="Verdana" w:hAnsi="Verdana"/>
          <w:sz w:val="20"/>
          <w:szCs w:val="20"/>
        </w:rPr>
        <w:t xml:space="preserve"> alegados son categorías protegidas por la Convención</w:t>
      </w:r>
      <w:r w:rsidR="00EB595E">
        <w:rPr>
          <w:rFonts w:ascii="Verdana" w:hAnsi="Verdana"/>
          <w:sz w:val="20"/>
          <w:szCs w:val="20"/>
        </w:rPr>
        <w:t xml:space="preserve"> Americana</w:t>
      </w:r>
      <w:r w:rsidR="00D6777F" w:rsidRPr="00C145E1">
        <w:rPr>
          <w:rFonts w:ascii="Verdana" w:hAnsi="Verdana"/>
          <w:sz w:val="20"/>
          <w:szCs w:val="20"/>
        </w:rPr>
        <w:t>;</w:t>
      </w:r>
      <w:r w:rsidR="00C71EBA" w:rsidRPr="00C145E1">
        <w:rPr>
          <w:rFonts w:ascii="Verdana" w:hAnsi="Verdana"/>
          <w:sz w:val="20"/>
          <w:szCs w:val="20"/>
        </w:rPr>
        <w:t xml:space="preserve"> </w:t>
      </w:r>
      <w:r w:rsidR="00D6777F" w:rsidRPr="00C145E1">
        <w:rPr>
          <w:rFonts w:ascii="Verdana" w:hAnsi="Verdana"/>
          <w:sz w:val="20"/>
          <w:szCs w:val="20"/>
        </w:rPr>
        <w:t xml:space="preserve">ii) que estos factores interactuaron o concurrieron </w:t>
      </w:r>
      <w:r w:rsidR="00C71EBA" w:rsidRPr="00C145E1">
        <w:rPr>
          <w:rFonts w:ascii="Verdana" w:hAnsi="Verdana"/>
          <w:sz w:val="20"/>
          <w:szCs w:val="20"/>
        </w:rPr>
        <w:t>entre sí</w:t>
      </w:r>
      <w:r w:rsidR="00D6777F" w:rsidRPr="00C145E1">
        <w:rPr>
          <w:rFonts w:ascii="Verdana" w:hAnsi="Verdana"/>
          <w:sz w:val="20"/>
          <w:szCs w:val="20"/>
        </w:rPr>
        <w:t xml:space="preserve">, dando lugar a un tipo particular de </w:t>
      </w:r>
      <w:r w:rsidR="00D6777F" w:rsidRPr="00337ACB">
        <w:rPr>
          <w:rFonts w:ascii="Verdana" w:hAnsi="Verdana"/>
          <w:sz w:val="20"/>
          <w:szCs w:val="20"/>
        </w:rPr>
        <w:t>discriminación; y iii) que esto efectivamente afectó a las víctimas del caso concreto</w:t>
      </w:r>
      <w:r w:rsidR="00C71EBA" w:rsidRPr="00337ACB">
        <w:rPr>
          <w:rFonts w:ascii="Verdana" w:hAnsi="Verdana"/>
          <w:sz w:val="20"/>
          <w:szCs w:val="20"/>
        </w:rPr>
        <w:t>. Es decir,</w:t>
      </w:r>
      <w:r w:rsidR="00D6777F" w:rsidRPr="00337ACB">
        <w:rPr>
          <w:rFonts w:ascii="Verdana" w:hAnsi="Verdana"/>
          <w:sz w:val="20"/>
          <w:szCs w:val="20"/>
        </w:rPr>
        <w:t xml:space="preserve"> no basta con alegar que existen diferentes elementos que confluyen en una persona</w:t>
      </w:r>
      <w:r w:rsidR="00C71EBA" w:rsidRPr="00337ACB">
        <w:rPr>
          <w:rFonts w:ascii="Verdana" w:hAnsi="Verdana"/>
          <w:sz w:val="20"/>
          <w:szCs w:val="20"/>
        </w:rPr>
        <w:t xml:space="preserve">, </w:t>
      </w:r>
      <w:r w:rsidR="00D6777F" w:rsidRPr="00337ACB">
        <w:rPr>
          <w:rFonts w:ascii="Verdana" w:hAnsi="Verdana"/>
          <w:sz w:val="20"/>
          <w:szCs w:val="20"/>
        </w:rPr>
        <w:t>s</w:t>
      </w:r>
      <w:r w:rsidR="004D60A1" w:rsidRPr="00337ACB">
        <w:rPr>
          <w:rFonts w:ascii="Verdana" w:hAnsi="Verdana"/>
          <w:sz w:val="20"/>
          <w:szCs w:val="20"/>
        </w:rPr>
        <w:t>ino que debe</w:t>
      </w:r>
      <w:r w:rsidR="00D6777F" w:rsidRPr="00337ACB">
        <w:rPr>
          <w:rFonts w:ascii="Verdana" w:hAnsi="Verdana"/>
          <w:sz w:val="20"/>
          <w:szCs w:val="20"/>
        </w:rPr>
        <w:t xml:space="preserve"> acreditarse que </w:t>
      </w:r>
      <w:r w:rsidR="00C71EBA" w:rsidRPr="00337ACB">
        <w:rPr>
          <w:rFonts w:ascii="Verdana" w:hAnsi="Verdana"/>
          <w:sz w:val="20"/>
          <w:szCs w:val="20"/>
        </w:rPr>
        <w:t>la combinación de estos</w:t>
      </w:r>
      <w:r w:rsidR="00D6777F" w:rsidRPr="00337ACB">
        <w:rPr>
          <w:rFonts w:ascii="Verdana" w:hAnsi="Verdana"/>
          <w:sz w:val="20"/>
          <w:szCs w:val="20"/>
        </w:rPr>
        <w:t xml:space="preserve"> elementos</w:t>
      </w:r>
      <w:r w:rsidR="00C71EBA" w:rsidRPr="00337ACB">
        <w:rPr>
          <w:rFonts w:ascii="Verdana" w:hAnsi="Verdana"/>
          <w:sz w:val="20"/>
          <w:szCs w:val="20"/>
        </w:rPr>
        <w:t xml:space="preserve"> </w:t>
      </w:r>
      <w:r w:rsidR="004D60A1" w:rsidRPr="00337ACB">
        <w:rPr>
          <w:rFonts w:ascii="Verdana" w:hAnsi="Verdana"/>
          <w:sz w:val="20"/>
          <w:szCs w:val="20"/>
        </w:rPr>
        <w:t>generó</w:t>
      </w:r>
      <w:r w:rsidR="00C71EBA" w:rsidRPr="00337ACB">
        <w:rPr>
          <w:rFonts w:ascii="Verdana" w:hAnsi="Verdana"/>
          <w:sz w:val="20"/>
          <w:szCs w:val="20"/>
        </w:rPr>
        <w:t xml:space="preserve"> una nueva forma agravada de discriminación con características específicas. </w:t>
      </w:r>
    </w:p>
    <w:p w14:paraId="35BF5546" w14:textId="77777777" w:rsidR="00C71EBA" w:rsidRPr="00337ACB" w:rsidRDefault="00C71EBA" w:rsidP="006174F1">
      <w:pPr>
        <w:pStyle w:val="ListParagraph"/>
        <w:ind w:left="0"/>
        <w:jc w:val="both"/>
        <w:rPr>
          <w:rFonts w:ascii="Verdana" w:hAnsi="Verdana"/>
          <w:sz w:val="20"/>
          <w:szCs w:val="20"/>
        </w:rPr>
      </w:pPr>
    </w:p>
    <w:p w14:paraId="083738B9" w14:textId="24D07FA8" w:rsidR="00C71EBA" w:rsidRPr="00C145E1" w:rsidRDefault="002B6217" w:rsidP="006174F1">
      <w:pPr>
        <w:pStyle w:val="ListParagraph"/>
        <w:ind w:left="0"/>
        <w:jc w:val="both"/>
        <w:rPr>
          <w:rFonts w:ascii="Verdana" w:hAnsi="Verdana"/>
          <w:sz w:val="20"/>
          <w:szCs w:val="20"/>
        </w:rPr>
      </w:pPr>
      <w:r w:rsidRPr="00337ACB">
        <w:rPr>
          <w:rFonts w:ascii="Verdana" w:hAnsi="Verdana"/>
          <w:sz w:val="20"/>
          <w:szCs w:val="20"/>
        </w:rPr>
        <w:t>34</w:t>
      </w:r>
      <w:r w:rsidR="00C348E9" w:rsidRPr="00337ACB">
        <w:rPr>
          <w:rFonts w:ascii="Verdana" w:hAnsi="Verdana"/>
          <w:sz w:val="20"/>
          <w:szCs w:val="20"/>
        </w:rPr>
        <w:t xml:space="preserve">. </w:t>
      </w:r>
      <w:r w:rsidR="00C348E9" w:rsidRPr="00337ACB">
        <w:rPr>
          <w:rFonts w:ascii="Verdana" w:hAnsi="Verdana"/>
          <w:sz w:val="20"/>
          <w:szCs w:val="20"/>
        </w:rPr>
        <w:tab/>
      </w:r>
      <w:r w:rsidR="00F34C63" w:rsidRPr="00337ACB">
        <w:rPr>
          <w:rFonts w:ascii="Verdana" w:hAnsi="Verdana"/>
          <w:sz w:val="20"/>
          <w:szCs w:val="20"/>
        </w:rPr>
        <w:t>La Sentencia</w:t>
      </w:r>
      <w:r w:rsidR="00C71EBA" w:rsidRPr="00337ACB">
        <w:rPr>
          <w:rFonts w:ascii="Verdana" w:hAnsi="Verdana"/>
          <w:sz w:val="20"/>
          <w:szCs w:val="20"/>
        </w:rPr>
        <w:t xml:space="preserve"> </w:t>
      </w:r>
      <w:r w:rsidR="00D6777F" w:rsidRPr="00337ACB">
        <w:rPr>
          <w:rFonts w:ascii="Verdana" w:hAnsi="Verdana"/>
          <w:sz w:val="20"/>
          <w:szCs w:val="20"/>
        </w:rPr>
        <w:t xml:space="preserve">es especialmente relevante en este tema </w:t>
      </w:r>
      <w:r w:rsidR="004D60A1" w:rsidRPr="00337ACB">
        <w:rPr>
          <w:rFonts w:ascii="Verdana" w:hAnsi="Verdana"/>
          <w:sz w:val="20"/>
          <w:szCs w:val="20"/>
        </w:rPr>
        <w:t>pues permite</w:t>
      </w:r>
      <w:r w:rsidR="00F34C63" w:rsidRPr="00337ACB">
        <w:rPr>
          <w:rFonts w:ascii="Verdana" w:hAnsi="Verdana"/>
          <w:sz w:val="20"/>
          <w:szCs w:val="20"/>
        </w:rPr>
        <w:t xml:space="preserve"> visibilizar</w:t>
      </w:r>
      <w:r w:rsidR="00C71EBA" w:rsidRPr="00337ACB">
        <w:rPr>
          <w:rFonts w:ascii="Verdana" w:hAnsi="Verdana"/>
          <w:sz w:val="20"/>
          <w:szCs w:val="20"/>
        </w:rPr>
        <w:t xml:space="preserve"> la confrontación entre género y maternidad, factores usualmente solapados por la condición de persona que vive con</w:t>
      </w:r>
      <w:r w:rsidR="00C41C89" w:rsidRPr="00337ACB">
        <w:rPr>
          <w:rFonts w:ascii="Verdana" w:hAnsi="Verdana"/>
          <w:sz w:val="20"/>
          <w:szCs w:val="20"/>
        </w:rPr>
        <w:t xml:space="preserve"> el</w:t>
      </w:r>
      <w:r w:rsidR="00C71EBA" w:rsidRPr="00337ACB">
        <w:rPr>
          <w:rFonts w:ascii="Verdana" w:hAnsi="Verdana"/>
          <w:sz w:val="20"/>
          <w:szCs w:val="20"/>
        </w:rPr>
        <w:t xml:space="preserve"> VIH. </w:t>
      </w:r>
      <w:r w:rsidR="00D6777F" w:rsidRPr="00337ACB">
        <w:rPr>
          <w:rFonts w:ascii="Verdana" w:hAnsi="Verdana"/>
          <w:sz w:val="20"/>
          <w:szCs w:val="20"/>
        </w:rPr>
        <w:t>L</w:t>
      </w:r>
      <w:r w:rsidR="00C71EBA" w:rsidRPr="00337ACB">
        <w:rPr>
          <w:rFonts w:ascii="Verdana" w:hAnsi="Verdana"/>
          <w:sz w:val="20"/>
          <w:szCs w:val="20"/>
        </w:rPr>
        <w:t xml:space="preserve">a </w:t>
      </w:r>
      <w:r w:rsidR="00D6777F" w:rsidRPr="00337ACB">
        <w:rPr>
          <w:rFonts w:ascii="Verdana" w:hAnsi="Verdana"/>
          <w:sz w:val="20"/>
          <w:szCs w:val="20"/>
        </w:rPr>
        <w:t>mayoría apreció</w:t>
      </w:r>
      <w:r w:rsidR="00C71EBA" w:rsidRPr="00337ACB">
        <w:rPr>
          <w:rFonts w:ascii="Verdana" w:hAnsi="Verdana"/>
          <w:sz w:val="20"/>
          <w:szCs w:val="20"/>
        </w:rPr>
        <w:t xml:space="preserve"> la existencia </w:t>
      </w:r>
      <w:r w:rsidR="00285C15" w:rsidRPr="00337ACB">
        <w:rPr>
          <w:rFonts w:ascii="Verdana" w:hAnsi="Verdana"/>
          <w:sz w:val="20"/>
          <w:szCs w:val="20"/>
        </w:rPr>
        <w:t xml:space="preserve">de </w:t>
      </w:r>
      <w:r w:rsidR="00C71EBA" w:rsidRPr="00337ACB">
        <w:rPr>
          <w:rFonts w:ascii="Verdana" w:hAnsi="Verdana"/>
          <w:sz w:val="20"/>
          <w:szCs w:val="20"/>
        </w:rPr>
        <w:t xml:space="preserve">un nuevo tipo de discriminación agravada a partir de la interacción de dichas circunstancias, </w:t>
      </w:r>
      <w:r w:rsidR="00F34C63" w:rsidRPr="00337ACB">
        <w:rPr>
          <w:rFonts w:ascii="Verdana" w:hAnsi="Verdana"/>
          <w:sz w:val="20"/>
          <w:szCs w:val="20"/>
        </w:rPr>
        <w:t>reconociendo la necesidad de que el Estado brinde</w:t>
      </w:r>
      <w:r w:rsidR="00C71EBA" w:rsidRPr="00337ACB">
        <w:rPr>
          <w:rFonts w:ascii="Verdana" w:hAnsi="Verdana"/>
          <w:sz w:val="20"/>
          <w:szCs w:val="20"/>
        </w:rPr>
        <w:t xml:space="preserve"> protección diferenciada</w:t>
      </w:r>
      <w:r w:rsidR="00F34C63" w:rsidRPr="00337ACB">
        <w:rPr>
          <w:rFonts w:ascii="Verdana" w:hAnsi="Verdana"/>
          <w:sz w:val="20"/>
          <w:szCs w:val="20"/>
        </w:rPr>
        <w:t xml:space="preserve"> a partir de las necesidades particulares que enfrentan las mujeres </w:t>
      </w:r>
      <w:r w:rsidR="00C71EBA" w:rsidRPr="00337ACB">
        <w:rPr>
          <w:rFonts w:ascii="Verdana" w:hAnsi="Verdana"/>
          <w:sz w:val="20"/>
          <w:szCs w:val="20"/>
        </w:rPr>
        <w:t>embarazadas que viven con</w:t>
      </w:r>
      <w:r w:rsidR="00C41C89" w:rsidRPr="00337ACB">
        <w:rPr>
          <w:rFonts w:ascii="Verdana" w:hAnsi="Verdana"/>
          <w:sz w:val="20"/>
          <w:szCs w:val="20"/>
        </w:rPr>
        <w:t xml:space="preserve"> el</w:t>
      </w:r>
      <w:r w:rsidR="00C71EBA" w:rsidRPr="00337ACB">
        <w:rPr>
          <w:rFonts w:ascii="Verdana" w:hAnsi="Verdana"/>
          <w:sz w:val="20"/>
          <w:szCs w:val="20"/>
        </w:rPr>
        <w:t xml:space="preserve"> VIH. </w:t>
      </w:r>
      <w:r w:rsidR="00F34C63" w:rsidRPr="00337ACB">
        <w:rPr>
          <w:rFonts w:ascii="Verdana" w:hAnsi="Verdana"/>
          <w:sz w:val="20"/>
          <w:szCs w:val="20"/>
        </w:rPr>
        <w:t xml:space="preserve">Esta aproximación tiene una doble virtud: por un lado, visibiliza a un grupo que ha sido históricamente discriminado y fija consecuencias jurídicas para el Estado por no brindar una protección </w:t>
      </w:r>
      <w:r w:rsidR="00277C7B" w:rsidRPr="00337ACB">
        <w:rPr>
          <w:rFonts w:ascii="Verdana" w:hAnsi="Verdana"/>
          <w:sz w:val="20"/>
          <w:szCs w:val="20"/>
        </w:rPr>
        <w:t>bajo un enfoque diferencial</w:t>
      </w:r>
      <w:r w:rsidR="00277C7B" w:rsidRPr="00337ACB">
        <w:rPr>
          <w:rStyle w:val="FootnoteReference"/>
          <w:rFonts w:ascii="Verdana" w:hAnsi="Verdana"/>
          <w:i/>
          <w:sz w:val="20"/>
          <w:szCs w:val="20"/>
        </w:rPr>
        <w:footnoteReference w:id="83"/>
      </w:r>
      <w:r w:rsidR="00F34C63" w:rsidRPr="00337ACB">
        <w:rPr>
          <w:rFonts w:ascii="Verdana" w:hAnsi="Verdana"/>
          <w:sz w:val="20"/>
          <w:szCs w:val="20"/>
        </w:rPr>
        <w:t xml:space="preserve">; </w:t>
      </w:r>
      <w:r w:rsidR="00277C7B" w:rsidRPr="00337ACB">
        <w:rPr>
          <w:rFonts w:ascii="Verdana" w:hAnsi="Verdana"/>
          <w:sz w:val="20"/>
          <w:szCs w:val="20"/>
        </w:rPr>
        <w:t xml:space="preserve">y, </w:t>
      </w:r>
      <w:r w:rsidR="00F34C63" w:rsidRPr="00337ACB">
        <w:rPr>
          <w:rFonts w:ascii="Verdana" w:hAnsi="Verdana"/>
          <w:sz w:val="20"/>
          <w:szCs w:val="20"/>
        </w:rPr>
        <w:t xml:space="preserve">por otro lado, abre la puerta para que el Estado adopte medidas en el futuro que permitan una protección más eficaz </w:t>
      </w:r>
      <w:r w:rsidR="00277C7B" w:rsidRPr="00337ACB">
        <w:rPr>
          <w:rFonts w:ascii="Verdana" w:hAnsi="Verdana"/>
          <w:sz w:val="20"/>
          <w:szCs w:val="20"/>
        </w:rPr>
        <w:t xml:space="preserve">y mucho más específica </w:t>
      </w:r>
      <w:r w:rsidR="00F34C63" w:rsidRPr="00337ACB">
        <w:rPr>
          <w:rFonts w:ascii="Verdana" w:hAnsi="Verdana"/>
          <w:sz w:val="20"/>
          <w:szCs w:val="20"/>
        </w:rPr>
        <w:t>del derecho a la salud para mujeres embarazadas que viven con</w:t>
      </w:r>
      <w:r w:rsidR="00C41C89" w:rsidRPr="00337ACB">
        <w:rPr>
          <w:rFonts w:ascii="Verdana" w:hAnsi="Verdana"/>
          <w:sz w:val="20"/>
          <w:szCs w:val="20"/>
        </w:rPr>
        <w:t xml:space="preserve"> el</w:t>
      </w:r>
      <w:r w:rsidR="00F34C63" w:rsidRPr="00337ACB">
        <w:rPr>
          <w:rFonts w:ascii="Verdana" w:hAnsi="Verdana"/>
          <w:sz w:val="20"/>
          <w:szCs w:val="20"/>
        </w:rPr>
        <w:t xml:space="preserve"> VIH</w:t>
      </w:r>
      <w:r w:rsidR="00F219D2" w:rsidRPr="00337ACB">
        <w:rPr>
          <w:rFonts w:ascii="Verdana" w:hAnsi="Verdana"/>
          <w:sz w:val="20"/>
          <w:szCs w:val="20"/>
        </w:rPr>
        <w:t>. En este sentido, la Sentencia —</w:t>
      </w:r>
      <w:r w:rsidR="00F34C63" w:rsidRPr="00337ACB">
        <w:rPr>
          <w:rFonts w:ascii="Verdana" w:hAnsi="Verdana"/>
          <w:sz w:val="20"/>
          <w:szCs w:val="20"/>
        </w:rPr>
        <w:t>tanto en su análisis de fondo</w:t>
      </w:r>
      <w:r w:rsidR="00717BB3" w:rsidRPr="00337ACB">
        <w:rPr>
          <w:rFonts w:ascii="Verdana" w:hAnsi="Verdana"/>
          <w:sz w:val="20"/>
          <w:szCs w:val="20"/>
        </w:rPr>
        <w:t>,</w:t>
      </w:r>
      <w:r w:rsidR="00F34C63" w:rsidRPr="00337ACB">
        <w:rPr>
          <w:rFonts w:ascii="Verdana" w:hAnsi="Verdana"/>
          <w:sz w:val="20"/>
          <w:szCs w:val="20"/>
        </w:rPr>
        <w:t xml:space="preserve"> como en materia de reparaciones</w:t>
      </w:r>
      <w:r w:rsidR="00F219D2" w:rsidRPr="00337ACB">
        <w:rPr>
          <w:rFonts w:ascii="Verdana" w:hAnsi="Verdana"/>
          <w:sz w:val="20"/>
          <w:szCs w:val="20"/>
        </w:rPr>
        <w:t>—</w:t>
      </w:r>
      <w:r w:rsidR="00F34C63" w:rsidRPr="00337ACB">
        <w:rPr>
          <w:rFonts w:ascii="Verdana" w:hAnsi="Verdana"/>
          <w:sz w:val="20"/>
          <w:szCs w:val="20"/>
        </w:rPr>
        <w:t xml:space="preserve"> se suma </w:t>
      </w:r>
      <w:r w:rsidR="00300E56" w:rsidRPr="00337ACB">
        <w:rPr>
          <w:rFonts w:ascii="Verdana" w:hAnsi="Verdana"/>
          <w:sz w:val="20"/>
          <w:szCs w:val="20"/>
        </w:rPr>
        <w:t xml:space="preserve">a </w:t>
      </w:r>
      <w:r w:rsidR="00F34C63" w:rsidRPr="00337ACB">
        <w:rPr>
          <w:rFonts w:ascii="Verdana" w:hAnsi="Verdana"/>
          <w:sz w:val="20"/>
          <w:szCs w:val="20"/>
        </w:rPr>
        <w:t xml:space="preserve">lo ya definido por ONUSIDA sobre la necesidad de fomentar un </w:t>
      </w:r>
      <w:r w:rsidR="00C145E1" w:rsidRPr="00337ACB">
        <w:rPr>
          <w:rFonts w:ascii="Verdana" w:hAnsi="Verdana"/>
          <w:sz w:val="20"/>
          <w:szCs w:val="20"/>
        </w:rPr>
        <w:t>entorno protector y habilitante para las mujeres, combatiendo los prejuicios y desigualdades causantes de esa vulnerabilidad</w:t>
      </w:r>
      <w:r w:rsidR="00285C15" w:rsidRPr="00337ACB">
        <w:rPr>
          <w:rStyle w:val="FootnoteReference"/>
          <w:rFonts w:ascii="Verdana" w:hAnsi="Verdana"/>
          <w:sz w:val="20"/>
          <w:szCs w:val="20"/>
        </w:rPr>
        <w:footnoteReference w:id="84"/>
      </w:r>
      <w:r w:rsidR="00C145E1" w:rsidRPr="00337ACB">
        <w:rPr>
          <w:rFonts w:ascii="Verdana" w:hAnsi="Verdana"/>
          <w:sz w:val="20"/>
          <w:szCs w:val="20"/>
        </w:rPr>
        <w:t>.</w:t>
      </w:r>
    </w:p>
    <w:p w14:paraId="4987BFF6" w14:textId="77777777" w:rsidR="00C71EBA" w:rsidRPr="009B3592" w:rsidRDefault="00C71EBA" w:rsidP="006174F1">
      <w:pPr>
        <w:pStyle w:val="ListParagraph"/>
        <w:ind w:left="0"/>
        <w:jc w:val="both"/>
        <w:rPr>
          <w:rFonts w:ascii="Verdana" w:hAnsi="Verdana"/>
          <w:sz w:val="20"/>
          <w:szCs w:val="20"/>
        </w:rPr>
      </w:pPr>
    </w:p>
    <w:p w14:paraId="48485503" w14:textId="55E504D1" w:rsidR="004322C8" w:rsidRPr="00337ACB" w:rsidRDefault="00BB625C" w:rsidP="00157D4C">
      <w:pPr>
        <w:pStyle w:val="ListParagraph"/>
        <w:ind w:left="0"/>
        <w:jc w:val="center"/>
        <w:rPr>
          <w:rFonts w:ascii="Verdana" w:hAnsi="Verdana"/>
          <w:b/>
          <w:sz w:val="20"/>
          <w:szCs w:val="20"/>
        </w:rPr>
      </w:pPr>
      <w:r w:rsidRPr="00337ACB">
        <w:rPr>
          <w:rFonts w:ascii="Verdana" w:hAnsi="Verdana"/>
          <w:b/>
          <w:sz w:val="20"/>
          <w:szCs w:val="20"/>
        </w:rPr>
        <w:t>I</w:t>
      </w:r>
      <w:r w:rsidR="009B1FAC" w:rsidRPr="00337ACB">
        <w:rPr>
          <w:rFonts w:ascii="Verdana" w:hAnsi="Verdana"/>
          <w:b/>
          <w:sz w:val="20"/>
          <w:szCs w:val="20"/>
        </w:rPr>
        <w:t>I</w:t>
      </w:r>
      <w:r w:rsidR="00E70243" w:rsidRPr="00337ACB">
        <w:rPr>
          <w:rFonts w:ascii="Verdana" w:hAnsi="Verdana"/>
          <w:b/>
          <w:sz w:val="20"/>
          <w:szCs w:val="20"/>
        </w:rPr>
        <w:t>I</w:t>
      </w:r>
      <w:r w:rsidRPr="00337ACB">
        <w:rPr>
          <w:rFonts w:ascii="Verdana" w:hAnsi="Verdana"/>
          <w:b/>
          <w:sz w:val="20"/>
          <w:szCs w:val="20"/>
        </w:rPr>
        <w:t xml:space="preserve">. SOBRE LAS MEDIDAS DE REPARACIÓN ORDENADAS </w:t>
      </w:r>
    </w:p>
    <w:p w14:paraId="69CC46A8" w14:textId="19F22F0E" w:rsidR="008C75F1" w:rsidRPr="00DD1072" w:rsidRDefault="00BB625C" w:rsidP="00157D4C">
      <w:pPr>
        <w:pStyle w:val="ListParagraph"/>
        <w:ind w:left="0"/>
        <w:jc w:val="center"/>
        <w:outlineLvl w:val="0"/>
        <w:rPr>
          <w:rFonts w:ascii="Verdana" w:hAnsi="Verdana"/>
          <w:b/>
          <w:sz w:val="20"/>
          <w:szCs w:val="20"/>
        </w:rPr>
      </w:pPr>
      <w:r w:rsidRPr="00337ACB">
        <w:rPr>
          <w:rFonts w:ascii="Verdana" w:hAnsi="Verdana"/>
          <w:b/>
          <w:sz w:val="20"/>
          <w:szCs w:val="20"/>
        </w:rPr>
        <w:t>EN EL PRESENTE CASO</w:t>
      </w:r>
    </w:p>
    <w:p w14:paraId="149F235C" w14:textId="77777777" w:rsidR="008C75F1" w:rsidRPr="008C75F1" w:rsidRDefault="008C75F1" w:rsidP="006174F1">
      <w:pPr>
        <w:jc w:val="both"/>
        <w:rPr>
          <w:rFonts w:ascii="Verdana" w:hAnsi="Verdana"/>
          <w:sz w:val="20"/>
          <w:szCs w:val="20"/>
        </w:rPr>
      </w:pPr>
    </w:p>
    <w:p w14:paraId="080615A7" w14:textId="79EECC76" w:rsidR="004322C8" w:rsidRDefault="002B6217" w:rsidP="006174F1">
      <w:pPr>
        <w:pStyle w:val="ListParagraph"/>
        <w:ind w:left="0"/>
        <w:jc w:val="both"/>
        <w:rPr>
          <w:rFonts w:ascii="Verdana" w:hAnsi="Verdana"/>
          <w:sz w:val="20"/>
          <w:szCs w:val="20"/>
        </w:rPr>
      </w:pPr>
      <w:r w:rsidRPr="00337ACB">
        <w:rPr>
          <w:rFonts w:ascii="Verdana" w:hAnsi="Verdana"/>
          <w:sz w:val="20"/>
          <w:szCs w:val="20"/>
        </w:rPr>
        <w:t>35</w:t>
      </w:r>
      <w:r w:rsidR="00C348E9" w:rsidRPr="00337ACB">
        <w:rPr>
          <w:rFonts w:ascii="Verdana" w:hAnsi="Verdana"/>
          <w:sz w:val="20"/>
          <w:szCs w:val="20"/>
        </w:rPr>
        <w:t xml:space="preserve">. </w:t>
      </w:r>
      <w:r w:rsidR="00C348E9" w:rsidRPr="00337ACB">
        <w:rPr>
          <w:rFonts w:ascii="Verdana" w:hAnsi="Verdana"/>
          <w:sz w:val="20"/>
          <w:szCs w:val="20"/>
        </w:rPr>
        <w:tab/>
      </w:r>
      <w:r w:rsidR="00545E45" w:rsidRPr="00337ACB">
        <w:rPr>
          <w:rFonts w:ascii="Verdana" w:hAnsi="Verdana"/>
          <w:sz w:val="20"/>
          <w:szCs w:val="20"/>
        </w:rPr>
        <w:t xml:space="preserve">La Sentencia también estableció una serie de medidas dirigidas a reparar las violaciones ocurridas para las víctimas del caso, y </w:t>
      </w:r>
      <w:r w:rsidR="00D735B8" w:rsidRPr="00337ACB">
        <w:rPr>
          <w:rFonts w:ascii="Verdana" w:hAnsi="Verdana"/>
          <w:sz w:val="20"/>
          <w:szCs w:val="20"/>
        </w:rPr>
        <w:t>para</w:t>
      </w:r>
      <w:r w:rsidR="00545E45" w:rsidRPr="00337ACB">
        <w:rPr>
          <w:rFonts w:ascii="Verdana" w:hAnsi="Verdana"/>
          <w:sz w:val="20"/>
          <w:szCs w:val="20"/>
        </w:rPr>
        <w:t xml:space="preserve"> evitar que éstas se repitan en el futuro</w:t>
      </w:r>
      <w:r w:rsidR="00F219D2" w:rsidRPr="00337ACB">
        <w:rPr>
          <w:rFonts w:ascii="Verdana" w:hAnsi="Verdana"/>
          <w:sz w:val="20"/>
          <w:szCs w:val="20"/>
        </w:rPr>
        <w:t>, como lo ha</w:t>
      </w:r>
      <w:r w:rsidR="00752C69" w:rsidRPr="00337ACB">
        <w:rPr>
          <w:rFonts w:ascii="Verdana" w:hAnsi="Verdana"/>
          <w:sz w:val="20"/>
          <w:szCs w:val="20"/>
        </w:rPr>
        <w:t xml:space="preserve"> hecho en su jurisprudencia constante en materia de reparaciones</w:t>
      </w:r>
      <w:r w:rsidR="00545E45" w:rsidRPr="00337ACB">
        <w:rPr>
          <w:rFonts w:ascii="Verdana" w:hAnsi="Verdana"/>
          <w:sz w:val="20"/>
          <w:szCs w:val="20"/>
        </w:rPr>
        <w:t>. En ese sentido, en primer lugar</w:t>
      </w:r>
      <w:r w:rsidR="00531B72" w:rsidRPr="00337ACB">
        <w:rPr>
          <w:rFonts w:ascii="Verdana" w:hAnsi="Verdana"/>
          <w:sz w:val="20"/>
          <w:szCs w:val="20"/>
        </w:rPr>
        <w:t>,</w:t>
      </w:r>
      <w:r w:rsidR="00545E45" w:rsidRPr="00337ACB">
        <w:rPr>
          <w:rFonts w:ascii="Verdana" w:hAnsi="Verdana"/>
          <w:sz w:val="20"/>
          <w:szCs w:val="20"/>
        </w:rPr>
        <w:t xml:space="preserve"> la Corte dispuso que el Estado </w:t>
      </w:r>
      <w:r w:rsidR="00E70243" w:rsidRPr="00337ACB">
        <w:rPr>
          <w:rFonts w:ascii="Verdana" w:hAnsi="Verdana"/>
          <w:sz w:val="20"/>
          <w:szCs w:val="20"/>
        </w:rPr>
        <w:t xml:space="preserve">debe brindar </w:t>
      </w:r>
      <w:r w:rsidR="00531B72" w:rsidRPr="00337ACB">
        <w:rPr>
          <w:rFonts w:ascii="Verdana" w:hAnsi="Verdana"/>
          <w:sz w:val="20"/>
          <w:szCs w:val="20"/>
        </w:rPr>
        <w:t>a las víctimas del caso,</w:t>
      </w:r>
      <w:r w:rsidR="00545E45" w:rsidRPr="00337ACB">
        <w:rPr>
          <w:rFonts w:ascii="Verdana" w:hAnsi="Verdana"/>
          <w:sz w:val="20"/>
          <w:szCs w:val="20"/>
        </w:rPr>
        <w:t xml:space="preserve"> a </w:t>
      </w:r>
      <w:r w:rsidR="00531B72" w:rsidRPr="00337ACB">
        <w:rPr>
          <w:rFonts w:ascii="Verdana" w:hAnsi="Verdana"/>
          <w:sz w:val="20"/>
          <w:szCs w:val="20"/>
        </w:rPr>
        <w:t>través de sus instituciones públicas y de conformidad con los estándares de atención médica para personas que viven con</w:t>
      </w:r>
      <w:r w:rsidR="00C41C89" w:rsidRPr="00337ACB">
        <w:rPr>
          <w:rFonts w:ascii="Verdana" w:hAnsi="Verdana"/>
          <w:sz w:val="20"/>
          <w:szCs w:val="20"/>
        </w:rPr>
        <w:t xml:space="preserve"> el</w:t>
      </w:r>
      <w:r w:rsidR="00531B72" w:rsidRPr="00337ACB">
        <w:rPr>
          <w:rFonts w:ascii="Verdana" w:hAnsi="Verdana"/>
          <w:sz w:val="20"/>
          <w:szCs w:val="20"/>
        </w:rPr>
        <w:t xml:space="preserve"> VIH, el tratamiento médico o psicológico o psiquiátrico a las víctimas de violaciones al derecho a la salud.</w:t>
      </w:r>
      <w:r w:rsidR="00531B72">
        <w:rPr>
          <w:rFonts w:ascii="Verdana" w:hAnsi="Verdana"/>
          <w:sz w:val="20"/>
          <w:szCs w:val="20"/>
        </w:rPr>
        <w:t xml:space="preserve"> </w:t>
      </w:r>
    </w:p>
    <w:p w14:paraId="0967CC90" w14:textId="77777777" w:rsidR="004322C8" w:rsidRDefault="004322C8" w:rsidP="006174F1">
      <w:pPr>
        <w:pStyle w:val="ListParagraph"/>
        <w:ind w:left="0"/>
        <w:jc w:val="both"/>
        <w:rPr>
          <w:rFonts w:ascii="Verdana" w:hAnsi="Verdana"/>
          <w:sz w:val="20"/>
          <w:szCs w:val="20"/>
        </w:rPr>
      </w:pPr>
    </w:p>
    <w:p w14:paraId="530AB5EF" w14:textId="7BCA3600" w:rsidR="00531B72" w:rsidRDefault="00717FC4" w:rsidP="006174F1">
      <w:pPr>
        <w:pStyle w:val="ListParagraph"/>
        <w:ind w:left="0"/>
        <w:jc w:val="both"/>
        <w:rPr>
          <w:rFonts w:ascii="Verdana" w:hAnsi="Verdana"/>
          <w:sz w:val="20"/>
          <w:szCs w:val="20"/>
        </w:rPr>
      </w:pPr>
      <w:r>
        <w:rPr>
          <w:rFonts w:ascii="Verdana" w:hAnsi="Verdana"/>
          <w:sz w:val="20"/>
          <w:szCs w:val="20"/>
        </w:rPr>
        <w:t>36</w:t>
      </w:r>
      <w:r w:rsidR="004322C8">
        <w:rPr>
          <w:rFonts w:ascii="Verdana" w:hAnsi="Verdana"/>
          <w:sz w:val="20"/>
          <w:szCs w:val="20"/>
        </w:rPr>
        <w:t xml:space="preserve">. </w:t>
      </w:r>
      <w:r w:rsidR="004322C8">
        <w:rPr>
          <w:rFonts w:ascii="Verdana" w:hAnsi="Verdana"/>
          <w:sz w:val="20"/>
          <w:szCs w:val="20"/>
        </w:rPr>
        <w:tab/>
      </w:r>
      <w:r w:rsidR="00531B72">
        <w:rPr>
          <w:rFonts w:ascii="Verdana" w:hAnsi="Verdana"/>
          <w:sz w:val="20"/>
          <w:szCs w:val="20"/>
        </w:rPr>
        <w:t>Este tratamiento deberá incluir cuestiones cruciales como el suministro gratuito</w:t>
      </w:r>
      <w:r w:rsidR="007120B2">
        <w:rPr>
          <w:rFonts w:ascii="Verdana" w:hAnsi="Verdana"/>
          <w:sz w:val="20"/>
          <w:szCs w:val="20"/>
        </w:rPr>
        <w:t xml:space="preserve"> y</w:t>
      </w:r>
      <w:r w:rsidR="00531B72">
        <w:rPr>
          <w:rFonts w:ascii="Verdana" w:hAnsi="Verdana"/>
          <w:sz w:val="20"/>
          <w:szCs w:val="20"/>
        </w:rPr>
        <w:t xml:space="preserve"> de por vida de medicamentos necesarios para combatir el VIH o las enfermedades oportunistas, la realización de pruebas diagnósticas, el apoyo social que incluya aspectos como la </w:t>
      </w:r>
      <w:r w:rsidR="00531B72" w:rsidRPr="00337ACB">
        <w:rPr>
          <w:rFonts w:ascii="Verdana" w:hAnsi="Verdana"/>
          <w:sz w:val="20"/>
          <w:szCs w:val="20"/>
        </w:rPr>
        <w:t>asistencia nutricional o psicológica, y el acceso a tecnologías de prevención de contagio</w:t>
      </w:r>
      <w:r w:rsidR="00285C15" w:rsidRPr="00337ACB">
        <w:rPr>
          <w:rStyle w:val="FootnoteReference"/>
          <w:rFonts w:ascii="Verdana" w:hAnsi="Verdana"/>
          <w:sz w:val="20"/>
          <w:szCs w:val="20"/>
        </w:rPr>
        <w:footnoteReference w:id="85"/>
      </w:r>
      <w:r w:rsidR="00531B72" w:rsidRPr="00337ACB">
        <w:rPr>
          <w:rFonts w:ascii="Verdana" w:hAnsi="Verdana"/>
          <w:sz w:val="20"/>
          <w:szCs w:val="20"/>
        </w:rPr>
        <w:t>. Todos estos aspectos tiene</w:t>
      </w:r>
      <w:r w:rsidR="00EB595E" w:rsidRPr="00337ACB">
        <w:rPr>
          <w:rFonts w:ascii="Verdana" w:hAnsi="Verdana"/>
          <w:sz w:val="20"/>
          <w:szCs w:val="20"/>
        </w:rPr>
        <w:t>n</w:t>
      </w:r>
      <w:r w:rsidR="00531B72" w:rsidRPr="00337ACB">
        <w:rPr>
          <w:rFonts w:ascii="Verdana" w:hAnsi="Verdana"/>
          <w:sz w:val="20"/>
          <w:szCs w:val="20"/>
        </w:rPr>
        <w:t xml:space="preserve"> un nexo causal con el tipo de</w:t>
      </w:r>
      <w:r w:rsidR="00A87213" w:rsidRPr="00337ACB">
        <w:rPr>
          <w:rFonts w:ascii="Verdana" w:hAnsi="Verdana"/>
          <w:sz w:val="20"/>
          <w:szCs w:val="20"/>
        </w:rPr>
        <w:t xml:space="preserve"> tratamiento que el Estado falló</w:t>
      </w:r>
      <w:r w:rsidR="00531B72" w:rsidRPr="00337ACB">
        <w:rPr>
          <w:rFonts w:ascii="Verdana" w:hAnsi="Verdana"/>
          <w:sz w:val="20"/>
          <w:szCs w:val="20"/>
        </w:rPr>
        <w:t xml:space="preserve"> en </w:t>
      </w:r>
      <w:r w:rsidR="00A87213" w:rsidRPr="00337ACB">
        <w:rPr>
          <w:rFonts w:ascii="Verdana" w:hAnsi="Verdana"/>
          <w:sz w:val="20"/>
          <w:szCs w:val="20"/>
        </w:rPr>
        <w:t>proveer</w:t>
      </w:r>
      <w:r w:rsidR="00531B72" w:rsidRPr="00337ACB">
        <w:rPr>
          <w:rFonts w:ascii="Verdana" w:hAnsi="Verdana"/>
          <w:sz w:val="20"/>
          <w:szCs w:val="20"/>
        </w:rPr>
        <w:t xml:space="preserve"> a las víctimas, y que es necesario para la atención médica de personas que viven con</w:t>
      </w:r>
      <w:r w:rsidR="00C41C89" w:rsidRPr="00337ACB">
        <w:rPr>
          <w:rFonts w:ascii="Verdana" w:hAnsi="Verdana"/>
          <w:sz w:val="20"/>
          <w:szCs w:val="20"/>
        </w:rPr>
        <w:t xml:space="preserve"> el</w:t>
      </w:r>
      <w:r w:rsidR="00531B72" w:rsidRPr="00337ACB">
        <w:rPr>
          <w:rFonts w:ascii="Verdana" w:hAnsi="Verdana"/>
          <w:sz w:val="20"/>
          <w:szCs w:val="20"/>
        </w:rPr>
        <w:t xml:space="preserve"> VIH conforme a los estándares qu</w:t>
      </w:r>
      <w:r w:rsidR="00A87213" w:rsidRPr="00337ACB">
        <w:rPr>
          <w:rFonts w:ascii="Verdana" w:hAnsi="Verdana"/>
          <w:sz w:val="20"/>
          <w:szCs w:val="20"/>
        </w:rPr>
        <w:t xml:space="preserve">e son definidos en la Sentencia. Estos estándares </w:t>
      </w:r>
      <w:r w:rsidR="00531B72" w:rsidRPr="00337ACB">
        <w:rPr>
          <w:rFonts w:ascii="Verdana" w:hAnsi="Verdana"/>
          <w:sz w:val="20"/>
          <w:szCs w:val="20"/>
        </w:rPr>
        <w:t xml:space="preserve">se basan </w:t>
      </w:r>
      <w:r w:rsidR="00F219D2" w:rsidRPr="00337ACB">
        <w:rPr>
          <w:rFonts w:ascii="Verdana" w:hAnsi="Verdana"/>
          <w:sz w:val="20"/>
          <w:szCs w:val="20"/>
        </w:rPr>
        <w:t>—</w:t>
      </w:r>
      <w:r w:rsidR="00A87213" w:rsidRPr="00337ACB">
        <w:rPr>
          <w:rFonts w:ascii="Verdana" w:hAnsi="Verdana"/>
          <w:sz w:val="20"/>
          <w:szCs w:val="20"/>
        </w:rPr>
        <w:t>lo qu</w:t>
      </w:r>
      <w:r w:rsidR="007120B2">
        <w:rPr>
          <w:rFonts w:ascii="Verdana" w:hAnsi="Verdana"/>
          <w:sz w:val="20"/>
          <w:szCs w:val="20"/>
        </w:rPr>
        <w:t>e respecta a sus aspectos médico</w:t>
      </w:r>
      <w:r w:rsidR="00A87213" w:rsidRPr="00337ACB">
        <w:rPr>
          <w:rFonts w:ascii="Verdana" w:hAnsi="Verdana"/>
          <w:sz w:val="20"/>
          <w:szCs w:val="20"/>
        </w:rPr>
        <w:t>s</w:t>
      </w:r>
      <w:r w:rsidR="00F219D2" w:rsidRPr="00337ACB">
        <w:rPr>
          <w:rFonts w:ascii="Verdana" w:hAnsi="Verdana"/>
          <w:sz w:val="20"/>
          <w:szCs w:val="20"/>
        </w:rPr>
        <w:t>—</w:t>
      </w:r>
      <w:r w:rsidR="00A87213" w:rsidRPr="00337ACB">
        <w:rPr>
          <w:rFonts w:ascii="Verdana" w:hAnsi="Verdana"/>
          <w:sz w:val="20"/>
          <w:szCs w:val="20"/>
        </w:rPr>
        <w:t xml:space="preserve"> en</w:t>
      </w:r>
      <w:r w:rsidR="00531B72" w:rsidRPr="00337ACB">
        <w:rPr>
          <w:rFonts w:ascii="Verdana" w:hAnsi="Verdana"/>
          <w:sz w:val="20"/>
          <w:szCs w:val="20"/>
        </w:rPr>
        <w:t xml:space="preserve"> la opinión experta de instituciones como ONUSIDA o la Organización Mundial de la Salud.</w:t>
      </w:r>
    </w:p>
    <w:p w14:paraId="5D46D157" w14:textId="77777777" w:rsidR="00531B72" w:rsidRDefault="00531B72" w:rsidP="006174F1">
      <w:pPr>
        <w:pStyle w:val="ListParagraph"/>
        <w:ind w:left="0"/>
        <w:jc w:val="both"/>
        <w:rPr>
          <w:rFonts w:ascii="Verdana" w:hAnsi="Verdana"/>
          <w:sz w:val="20"/>
          <w:szCs w:val="20"/>
        </w:rPr>
      </w:pPr>
    </w:p>
    <w:p w14:paraId="406CC44A" w14:textId="354BF438" w:rsidR="004322C8" w:rsidRDefault="00717FC4" w:rsidP="006174F1">
      <w:pPr>
        <w:pStyle w:val="ListParagraph"/>
        <w:ind w:left="0"/>
        <w:jc w:val="both"/>
        <w:rPr>
          <w:rFonts w:ascii="Verdana" w:hAnsi="Verdana"/>
          <w:sz w:val="20"/>
          <w:szCs w:val="20"/>
        </w:rPr>
      </w:pPr>
      <w:r w:rsidRPr="00337ACB">
        <w:rPr>
          <w:rFonts w:ascii="Verdana" w:hAnsi="Verdana"/>
          <w:sz w:val="20"/>
          <w:szCs w:val="20"/>
        </w:rPr>
        <w:t>37</w:t>
      </w:r>
      <w:r w:rsidR="00C348E9" w:rsidRPr="00337ACB">
        <w:rPr>
          <w:rFonts w:ascii="Verdana" w:hAnsi="Verdana"/>
          <w:sz w:val="20"/>
          <w:szCs w:val="20"/>
        </w:rPr>
        <w:t xml:space="preserve">. </w:t>
      </w:r>
      <w:r w:rsidR="00C348E9" w:rsidRPr="00337ACB">
        <w:rPr>
          <w:rFonts w:ascii="Verdana" w:hAnsi="Verdana"/>
          <w:sz w:val="20"/>
          <w:szCs w:val="20"/>
        </w:rPr>
        <w:tab/>
      </w:r>
      <w:r w:rsidR="00531B72" w:rsidRPr="00337ACB">
        <w:rPr>
          <w:rFonts w:ascii="Verdana" w:hAnsi="Verdana"/>
          <w:sz w:val="20"/>
          <w:szCs w:val="20"/>
        </w:rPr>
        <w:t>De la mano de lo anterior, la Sentencia</w:t>
      </w:r>
      <w:r w:rsidR="00EB2196" w:rsidRPr="00337ACB">
        <w:rPr>
          <w:rStyle w:val="FootnoteReference"/>
          <w:rFonts w:ascii="Verdana" w:hAnsi="Verdana"/>
          <w:sz w:val="20"/>
          <w:szCs w:val="20"/>
        </w:rPr>
        <w:footnoteReference w:id="86"/>
      </w:r>
      <w:r w:rsidR="00531B72" w:rsidRPr="00337ACB">
        <w:rPr>
          <w:rFonts w:ascii="Verdana" w:hAnsi="Verdana"/>
          <w:sz w:val="20"/>
          <w:szCs w:val="20"/>
        </w:rPr>
        <w:t xml:space="preserve"> </w:t>
      </w:r>
      <w:r w:rsidR="00D735B8" w:rsidRPr="00337ACB">
        <w:rPr>
          <w:rFonts w:ascii="Verdana" w:hAnsi="Verdana"/>
          <w:sz w:val="20"/>
          <w:szCs w:val="20"/>
        </w:rPr>
        <w:t>ordenó</w:t>
      </w:r>
      <w:r w:rsidR="00531B72" w:rsidRPr="00337ACB">
        <w:rPr>
          <w:rFonts w:ascii="Verdana" w:hAnsi="Verdana"/>
          <w:sz w:val="20"/>
          <w:szCs w:val="20"/>
        </w:rPr>
        <w:t xml:space="preserve"> ciertas garantías de no repetición que están dirigidas </w:t>
      </w:r>
      <w:r w:rsidR="00A87213" w:rsidRPr="00337ACB">
        <w:rPr>
          <w:rFonts w:ascii="Verdana" w:hAnsi="Verdana"/>
          <w:sz w:val="20"/>
          <w:szCs w:val="20"/>
        </w:rPr>
        <w:t xml:space="preserve">a que el Estado mejore las condiciones de atención </w:t>
      </w:r>
      <w:r w:rsidR="00D735B8" w:rsidRPr="00337ACB">
        <w:rPr>
          <w:rFonts w:ascii="Verdana" w:hAnsi="Verdana"/>
          <w:sz w:val="20"/>
          <w:szCs w:val="20"/>
        </w:rPr>
        <w:t>para las personas que viven con</w:t>
      </w:r>
      <w:r w:rsidR="00C41C89" w:rsidRPr="00337ACB">
        <w:rPr>
          <w:rFonts w:ascii="Verdana" w:hAnsi="Verdana"/>
          <w:sz w:val="20"/>
          <w:szCs w:val="20"/>
        </w:rPr>
        <w:t xml:space="preserve"> el</w:t>
      </w:r>
      <w:r w:rsidR="00D735B8" w:rsidRPr="00337ACB">
        <w:rPr>
          <w:rFonts w:ascii="Verdana" w:hAnsi="Verdana"/>
          <w:sz w:val="20"/>
          <w:szCs w:val="20"/>
        </w:rPr>
        <w:t xml:space="preserve"> VIH en Guatemala, sean o no víctimas del caso</w:t>
      </w:r>
      <w:r w:rsidR="003F7180" w:rsidRPr="00337ACB">
        <w:rPr>
          <w:rStyle w:val="FootnoteReference"/>
          <w:rFonts w:ascii="Verdana" w:hAnsi="Verdana"/>
          <w:sz w:val="20"/>
          <w:szCs w:val="20"/>
        </w:rPr>
        <w:footnoteReference w:id="87"/>
      </w:r>
      <w:r w:rsidR="00D735B8" w:rsidRPr="00337ACB">
        <w:rPr>
          <w:rFonts w:ascii="Verdana" w:hAnsi="Verdana"/>
          <w:sz w:val="20"/>
          <w:szCs w:val="20"/>
        </w:rPr>
        <w:t xml:space="preserve">. Este es un aspecto que es relevante </w:t>
      </w:r>
      <w:r w:rsidR="003F57D3" w:rsidRPr="00337ACB">
        <w:rPr>
          <w:rFonts w:ascii="Verdana" w:hAnsi="Verdana"/>
          <w:sz w:val="20"/>
          <w:szCs w:val="20"/>
        </w:rPr>
        <w:t>resaltar</w:t>
      </w:r>
      <w:r w:rsidR="00D735B8" w:rsidRPr="00337ACB">
        <w:rPr>
          <w:rFonts w:ascii="Verdana" w:hAnsi="Verdana"/>
          <w:sz w:val="20"/>
          <w:szCs w:val="20"/>
        </w:rPr>
        <w:t xml:space="preserve">, pues con ello se persigue </w:t>
      </w:r>
      <w:r w:rsidR="003F57D3" w:rsidRPr="00337ACB">
        <w:rPr>
          <w:rFonts w:ascii="Verdana" w:hAnsi="Verdana"/>
          <w:sz w:val="20"/>
          <w:szCs w:val="20"/>
        </w:rPr>
        <w:t>impulsar</w:t>
      </w:r>
      <w:r w:rsidR="00D735B8" w:rsidRPr="00337ACB">
        <w:rPr>
          <w:rFonts w:ascii="Verdana" w:hAnsi="Verdana"/>
          <w:sz w:val="20"/>
          <w:szCs w:val="20"/>
        </w:rPr>
        <w:t xml:space="preserve"> aquellos cambios </w:t>
      </w:r>
      <w:r w:rsidR="00EB2196" w:rsidRPr="00337ACB">
        <w:rPr>
          <w:rFonts w:ascii="Verdana" w:hAnsi="Verdana"/>
          <w:sz w:val="20"/>
          <w:szCs w:val="20"/>
        </w:rPr>
        <w:t xml:space="preserve">sistémicos </w:t>
      </w:r>
      <w:r w:rsidR="00D735B8" w:rsidRPr="00337ACB">
        <w:rPr>
          <w:rFonts w:ascii="Verdana" w:hAnsi="Verdana"/>
          <w:sz w:val="20"/>
          <w:szCs w:val="20"/>
        </w:rPr>
        <w:t>necesarios para que el Estado cumpla de manera más efectiva con sus obligaciones en materia de protección al derecho a la salud.</w:t>
      </w:r>
      <w:r w:rsidR="00D735B8">
        <w:rPr>
          <w:rFonts w:ascii="Verdana" w:hAnsi="Verdana"/>
          <w:sz w:val="20"/>
          <w:szCs w:val="20"/>
        </w:rPr>
        <w:t xml:space="preserve"> </w:t>
      </w:r>
    </w:p>
    <w:p w14:paraId="200D2DF1" w14:textId="77777777" w:rsidR="004322C8" w:rsidRDefault="004322C8" w:rsidP="006174F1">
      <w:pPr>
        <w:pStyle w:val="ListParagraph"/>
        <w:ind w:left="0"/>
        <w:jc w:val="both"/>
        <w:rPr>
          <w:rFonts w:ascii="Verdana" w:hAnsi="Verdana"/>
          <w:sz w:val="20"/>
          <w:szCs w:val="20"/>
        </w:rPr>
      </w:pPr>
    </w:p>
    <w:p w14:paraId="710CD131" w14:textId="6BE3E0FF" w:rsidR="003F57D3" w:rsidRDefault="00717FC4" w:rsidP="006174F1">
      <w:pPr>
        <w:pStyle w:val="ListParagraph"/>
        <w:ind w:left="0"/>
        <w:jc w:val="both"/>
        <w:rPr>
          <w:rFonts w:ascii="Verdana" w:hAnsi="Verdana"/>
          <w:sz w:val="20"/>
          <w:szCs w:val="20"/>
        </w:rPr>
      </w:pPr>
      <w:r>
        <w:rPr>
          <w:rFonts w:ascii="Verdana" w:hAnsi="Verdana"/>
          <w:sz w:val="20"/>
          <w:szCs w:val="20"/>
        </w:rPr>
        <w:t>38</w:t>
      </w:r>
      <w:r w:rsidR="004322C8">
        <w:rPr>
          <w:rFonts w:ascii="Verdana" w:hAnsi="Verdana"/>
          <w:sz w:val="20"/>
          <w:szCs w:val="20"/>
        </w:rPr>
        <w:t xml:space="preserve">. </w:t>
      </w:r>
      <w:r w:rsidR="004322C8">
        <w:rPr>
          <w:rFonts w:ascii="Verdana" w:hAnsi="Verdana"/>
          <w:sz w:val="20"/>
          <w:szCs w:val="20"/>
        </w:rPr>
        <w:tab/>
      </w:r>
      <w:r w:rsidR="00D735B8" w:rsidRPr="00337ACB">
        <w:rPr>
          <w:rFonts w:ascii="Verdana" w:hAnsi="Verdana"/>
          <w:sz w:val="20"/>
          <w:szCs w:val="20"/>
        </w:rPr>
        <w:t xml:space="preserve">En esta lógica, la Sentencia ordena la implementación de mecanismos de fiscalización y supervisión periódica de los hospitales públicos a fin de asegurar que se brinde una atención integral en materia de salud para personas que viven con </w:t>
      </w:r>
      <w:r w:rsidR="00C41C89" w:rsidRPr="00337ACB">
        <w:rPr>
          <w:rFonts w:ascii="Verdana" w:hAnsi="Verdana"/>
          <w:sz w:val="20"/>
          <w:szCs w:val="20"/>
        </w:rPr>
        <w:t xml:space="preserve">el </w:t>
      </w:r>
      <w:r w:rsidR="00D735B8" w:rsidRPr="00337ACB">
        <w:rPr>
          <w:rFonts w:ascii="Verdana" w:hAnsi="Verdana"/>
          <w:sz w:val="20"/>
          <w:szCs w:val="20"/>
        </w:rPr>
        <w:t>VIH</w:t>
      </w:r>
      <w:r w:rsidR="00285C15" w:rsidRPr="00337ACB">
        <w:rPr>
          <w:rStyle w:val="FootnoteReference"/>
          <w:rFonts w:ascii="Verdana" w:hAnsi="Verdana"/>
          <w:sz w:val="20"/>
          <w:szCs w:val="20"/>
        </w:rPr>
        <w:footnoteReference w:id="88"/>
      </w:r>
      <w:r w:rsidR="00D735B8" w:rsidRPr="00337ACB">
        <w:rPr>
          <w:rFonts w:ascii="Verdana" w:hAnsi="Verdana"/>
          <w:sz w:val="20"/>
          <w:szCs w:val="20"/>
        </w:rPr>
        <w:t>.</w:t>
      </w:r>
      <w:r w:rsidR="00D735B8">
        <w:rPr>
          <w:rFonts w:ascii="Verdana" w:hAnsi="Verdana"/>
          <w:sz w:val="20"/>
          <w:szCs w:val="20"/>
        </w:rPr>
        <w:t xml:space="preserve"> </w:t>
      </w:r>
      <w:r w:rsidR="00EB2196">
        <w:rPr>
          <w:rFonts w:ascii="Verdana" w:hAnsi="Verdana"/>
          <w:sz w:val="20"/>
          <w:szCs w:val="20"/>
        </w:rPr>
        <w:t xml:space="preserve">Adicionalmente, y de especial relevancia, resulta </w:t>
      </w:r>
      <w:r w:rsidR="003F57D3">
        <w:rPr>
          <w:rFonts w:ascii="Verdana" w:hAnsi="Verdana"/>
          <w:sz w:val="20"/>
          <w:szCs w:val="20"/>
        </w:rPr>
        <w:t xml:space="preserve">el </w:t>
      </w:r>
      <w:r w:rsidR="00EB2196">
        <w:rPr>
          <w:rFonts w:ascii="Verdana" w:hAnsi="Verdana"/>
          <w:sz w:val="20"/>
          <w:szCs w:val="20"/>
        </w:rPr>
        <w:t xml:space="preserve">diseño de </w:t>
      </w:r>
      <w:r w:rsidR="003F57D3">
        <w:rPr>
          <w:rFonts w:ascii="Verdana" w:hAnsi="Verdana"/>
          <w:sz w:val="20"/>
          <w:szCs w:val="20"/>
        </w:rPr>
        <w:t xml:space="preserve">un </w:t>
      </w:r>
      <w:r w:rsidR="003F57D3" w:rsidRPr="00337ACB">
        <w:rPr>
          <w:rFonts w:ascii="Verdana" w:hAnsi="Verdana"/>
          <w:sz w:val="20"/>
          <w:szCs w:val="20"/>
        </w:rPr>
        <w:t>mecanismo</w:t>
      </w:r>
      <w:r w:rsidR="00EB2196">
        <w:rPr>
          <w:rFonts w:ascii="Verdana" w:hAnsi="Verdana"/>
          <w:sz w:val="20"/>
          <w:szCs w:val="20"/>
        </w:rPr>
        <w:t xml:space="preserve"> a cargo del Estado</w:t>
      </w:r>
      <w:r w:rsidR="003F57D3">
        <w:rPr>
          <w:rFonts w:ascii="Verdana" w:hAnsi="Verdana"/>
          <w:sz w:val="20"/>
          <w:szCs w:val="20"/>
        </w:rPr>
        <w:t xml:space="preserve"> para garantizar la accesibilidad, disponibilidad y calidad de las prestaciones en salud para las personas que viven con</w:t>
      </w:r>
      <w:r w:rsidR="00C41C89">
        <w:rPr>
          <w:rFonts w:ascii="Verdana" w:hAnsi="Verdana"/>
          <w:sz w:val="20"/>
          <w:szCs w:val="20"/>
        </w:rPr>
        <w:t xml:space="preserve"> </w:t>
      </w:r>
      <w:r w:rsidR="00C41C89" w:rsidRPr="00337ACB">
        <w:rPr>
          <w:rFonts w:ascii="Verdana" w:hAnsi="Verdana"/>
          <w:sz w:val="20"/>
          <w:szCs w:val="20"/>
        </w:rPr>
        <w:t>el</w:t>
      </w:r>
      <w:r w:rsidR="003F57D3" w:rsidRPr="00337ACB">
        <w:rPr>
          <w:rFonts w:ascii="Verdana" w:hAnsi="Verdana"/>
          <w:sz w:val="20"/>
          <w:szCs w:val="20"/>
        </w:rPr>
        <w:t xml:space="preserve"> VIH</w:t>
      </w:r>
      <w:r w:rsidR="003F57D3">
        <w:rPr>
          <w:rFonts w:ascii="Verdana" w:hAnsi="Verdana"/>
          <w:sz w:val="20"/>
          <w:szCs w:val="20"/>
        </w:rPr>
        <w:t>, y el diseño de este</w:t>
      </w:r>
      <w:r w:rsidR="008D0A30">
        <w:rPr>
          <w:rFonts w:ascii="Verdana" w:hAnsi="Verdana"/>
          <w:sz w:val="20"/>
          <w:szCs w:val="20"/>
        </w:rPr>
        <w:t xml:space="preserve"> </w:t>
      </w:r>
      <w:r w:rsidR="003F57D3">
        <w:rPr>
          <w:rFonts w:ascii="Verdana" w:hAnsi="Verdana"/>
          <w:sz w:val="20"/>
          <w:szCs w:val="20"/>
        </w:rPr>
        <w:t xml:space="preserve">mecanismo deberá </w:t>
      </w:r>
      <w:r w:rsidR="003F57D3" w:rsidRPr="00337ACB">
        <w:rPr>
          <w:rFonts w:ascii="Verdana" w:hAnsi="Verdana"/>
          <w:sz w:val="20"/>
          <w:szCs w:val="20"/>
        </w:rPr>
        <w:t xml:space="preserve">convocar la participación </w:t>
      </w:r>
      <w:r w:rsidR="003F57D3">
        <w:rPr>
          <w:rFonts w:ascii="Verdana" w:hAnsi="Verdana"/>
          <w:sz w:val="20"/>
          <w:szCs w:val="20"/>
        </w:rPr>
        <w:t>de la comunidad médica y de otros sectores</w:t>
      </w:r>
      <w:r w:rsidR="00285C15" w:rsidRPr="009153B6">
        <w:rPr>
          <w:rStyle w:val="FootnoteReference"/>
          <w:rFonts w:ascii="Verdana" w:hAnsi="Verdana"/>
          <w:sz w:val="20"/>
          <w:szCs w:val="20"/>
        </w:rPr>
        <w:footnoteReference w:id="89"/>
      </w:r>
      <w:r w:rsidR="003F57D3" w:rsidRPr="009153B6">
        <w:rPr>
          <w:rFonts w:ascii="Verdana" w:hAnsi="Verdana"/>
          <w:sz w:val="20"/>
          <w:szCs w:val="20"/>
        </w:rPr>
        <w:t>.</w:t>
      </w:r>
      <w:r w:rsidR="003F57D3">
        <w:rPr>
          <w:rFonts w:ascii="Verdana" w:hAnsi="Verdana"/>
          <w:sz w:val="20"/>
          <w:szCs w:val="20"/>
        </w:rPr>
        <w:t xml:space="preserve"> </w:t>
      </w:r>
      <w:r w:rsidR="003F57D3" w:rsidRPr="00DD1072">
        <w:rPr>
          <w:rFonts w:ascii="Verdana" w:hAnsi="Verdana"/>
          <w:sz w:val="20"/>
          <w:szCs w:val="20"/>
        </w:rPr>
        <w:t xml:space="preserve">Se trata de medidas que buscan impulsar a las instituciones estatales para que, </w:t>
      </w:r>
      <w:r w:rsidR="003F57D3" w:rsidRPr="00337ACB">
        <w:rPr>
          <w:rFonts w:ascii="Verdana" w:hAnsi="Verdana"/>
          <w:sz w:val="20"/>
          <w:szCs w:val="20"/>
        </w:rPr>
        <w:t>de forma deliberativa</w:t>
      </w:r>
      <w:r w:rsidR="00DE01AA" w:rsidRPr="00337ACB">
        <w:rPr>
          <w:rFonts w:ascii="Verdana" w:hAnsi="Verdana"/>
          <w:sz w:val="20"/>
          <w:szCs w:val="20"/>
        </w:rPr>
        <w:t xml:space="preserve"> o dialógica</w:t>
      </w:r>
      <w:r w:rsidR="008D3E68" w:rsidRPr="00337ACB">
        <w:rPr>
          <w:rFonts w:ascii="Verdana" w:hAnsi="Verdana"/>
          <w:i/>
          <w:sz w:val="20"/>
          <w:szCs w:val="20"/>
        </w:rPr>
        <w:t xml:space="preserve"> </w:t>
      </w:r>
      <w:r w:rsidR="008D3E68" w:rsidRPr="00337ACB">
        <w:rPr>
          <w:rFonts w:ascii="Verdana" w:hAnsi="Verdana"/>
          <w:sz w:val="20"/>
          <w:szCs w:val="20"/>
        </w:rPr>
        <w:t>y</w:t>
      </w:r>
      <w:r w:rsidR="003F57D3" w:rsidRPr="00337ACB">
        <w:rPr>
          <w:rFonts w:ascii="Verdana" w:hAnsi="Verdana"/>
          <w:sz w:val="20"/>
          <w:szCs w:val="20"/>
        </w:rPr>
        <w:t xml:space="preserve"> con</w:t>
      </w:r>
      <w:r w:rsidR="003F57D3" w:rsidRPr="00DD1072">
        <w:rPr>
          <w:rFonts w:ascii="Verdana" w:hAnsi="Verdana"/>
          <w:sz w:val="20"/>
          <w:szCs w:val="20"/>
        </w:rPr>
        <w:t xml:space="preserve"> otros sectores involucrados en la atención médica, se diseñen estrategias y acciones de atención.</w:t>
      </w:r>
      <w:r w:rsidR="00DE01AA" w:rsidRPr="00DD1072">
        <w:rPr>
          <w:rFonts w:ascii="Verdana" w:hAnsi="Verdana"/>
          <w:sz w:val="20"/>
          <w:szCs w:val="20"/>
        </w:rPr>
        <w:t xml:space="preserve"> Este tipo de mecanismos deliberativos o dialógicos </w:t>
      </w:r>
      <w:r w:rsidR="00F92CFD" w:rsidRPr="00DD1072">
        <w:rPr>
          <w:rFonts w:ascii="Verdana" w:hAnsi="Verdana"/>
          <w:sz w:val="20"/>
          <w:szCs w:val="20"/>
        </w:rPr>
        <w:t xml:space="preserve">no son </w:t>
      </w:r>
      <w:r w:rsidR="00DE01AA" w:rsidRPr="00DD1072">
        <w:rPr>
          <w:rFonts w:ascii="Verdana" w:hAnsi="Verdana"/>
          <w:sz w:val="20"/>
          <w:szCs w:val="20"/>
        </w:rPr>
        <w:t>ajeno</w:t>
      </w:r>
      <w:r w:rsidR="00F92CFD" w:rsidRPr="00DD1072">
        <w:rPr>
          <w:rFonts w:ascii="Verdana" w:hAnsi="Verdana"/>
          <w:sz w:val="20"/>
          <w:szCs w:val="20"/>
        </w:rPr>
        <w:t>s</w:t>
      </w:r>
      <w:r w:rsidR="00DE01AA" w:rsidRPr="00DD1072">
        <w:rPr>
          <w:rFonts w:ascii="Verdana" w:hAnsi="Verdana"/>
          <w:sz w:val="20"/>
          <w:szCs w:val="20"/>
        </w:rPr>
        <w:t xml:space="preserve"> al constitucionalismo de los derechos sociales</w:t>
      </w:r>
      <w:r w:rsidR="00DE01AA">
        <w:rPr>
          <w:rStyle w:val="FootnoteReference"/>
          <w:rFonts w:ascii="Verdana" w:hAnsi="Verdana"/>
          <w:sz w:val="20"/>
          <w:szCs w:val="20"/>
        </w:rPr>
        <w:footnoteReference w:id="90"/>
      </w:r>
      <w:r w:rsidR="00F92CFD" w:rsidRPr="00DD1072">
        <w:rPr>
          <w:rFonts w:ascii="Verdana" w:hAnsi="Verdana"/>
          <w:sz w:val="20"/>
          <w:szCs w:val="20"/>
        </w:rPr>
        <w:t>,</w:t>
      </w:r>
      <w:r w:rsidR="00DE01AA" w:rsidRPr="00DD1072">
        <w:rPr>
          <w:rFonts w:ascii="Verdana" w:hAnsi="Verdana"/>
          <w:sz w:val="20"/>
          <w:szCs w:val="20"/>
        </w:rPr>
        <w:t xml:space="preserve"> que busca crear medios efectivos para que los DESCA se materialicen en la realidad, que no sólo se queden plasmados en las decisiones judiciales</w:t>
      </w:r>
      <w:r w:rsidR="00B35337">
        <w:rPr>
          <w:rStyle w:val="FootnoteReference"/>
          <w:rFonts w:ascii="Verdana" w:hAnsi="Verdana"/>
          <w:sz w:val="20"/>
          <w:szCs w:val="20"/>
        </w:rPr>
        <w:footnoteReference w:id="91"/>
      </w:r>
      <w:r w:rsidR="00F92CFD" w:rsidRPr="00DD1072">
        <w:rPr>
          <w:rFonts w:ascii="Verdana" w:hAnsi="Verdana"/>
          <w:sz w:val="20"/>
          <w:szCs w:val="20"/>
        </w:rPr>
        <w:t xml:space="preserve"> y que, </w:t>
      </w:r>
      <w:r w:rsidR="00DE01AA" w:rsidRPr="00DD1072">
        <w:rPr>
          <w:rFonts w:ascii="Verdana" w:hAnsi="Verdana"/>
          <w:sz w:val="20"/>
          <w:szCs w:val="20"/>
        </w:rPr>
        <w:t>además</w:t>
      </w:r>
      <w:r w:rsidR="00F92CFD" w:rsidRPr="00DD1072">
        <w:rPr>
          <w:rFonts w:ascii="Verdana" w:hAnsi="Verdana"/>
          <w:sz w:val="20"/>
          <w:szCs w:val="20"/>
        </w:rPr>
        <w:t>,</w:t>
      </w:r>
      <w:r w:rsidR="00DE01AA" w:rsidRPr="00DD1072">
        <w:rPr>
          <w:rFonts w:ascii="Verdana" w:hAnsi="Verdana"/>
          <w:sz w:val="20"/>
          <w:szCs w:val="20"/>
        </w:rPr>
        <w:t xml:space="preserve"> sean un medio en cual los principales interesados puedan ser parte de la toma de decisiones que les afectarán</w:t>
      </w:r>
      <w:r w:rsidR="00DE01AA">
        <w:rPr>
          <w:rStyle w:val="FootnoteReference"/>
          <w:rFonts w:ascii="Verdana" w:hAnsi="Verdana"/>
          <w:sz w:val="20"/>
          <w:szCs w:val="20"/>
        </w:rPr>
        <w:footnoteReference w:id="92"/>
      </w:r>
      <w:r w:rsidR="00DE01AA" w:rsidRPr="00DD1072">
        <w:rPr>
          <w:rFonts w:ascii="Verdana" w:hAnsi="Verdana"/>
          <w:sz w:val="20"/>
          <w:szCs w:val="20"/>
        </w:rPr>
        <w:t xml:space="preserve">. </w:t>
      </w:r>
    </w:p>
    <w:p w14:paraId="591F53F6" w14:textId="77777777" w:rsidR="001F432C" w:rsidRPr="001F432C" w:rsidRDefault="001F432C" w:rsidP="006174F1">
      <w:pPr>
        <w:pStyle w:val="ListParagraph"/>
        <w:ind w:left="0"/>
        <w:jc w:val="both"/>
        <w:rPr>
          <w:rFonts w:ascii="Verdana" w:hAnsi="Verdana"/>
          <w:sz w:val="20"/>
          <w:szCs w:val="20"/>
        </w:rPr>
      </w:pPr>
    </w:p>
    <w:p w14:paraId="2F8B8C4A" w14:textId="70F1175E" w:rsidR="004322C8" w:rsidRDefault="00717FC4" w:rsidP="006174F1">
      <w:pPr>
        <w:pStyle w:val="ListParagraph"/>
        <w:spacing w:before="240" w:after="240"/>
        <w:ind w:left="0"/>
        <w:jc w:val="both"/>
        <w:rPr>
          <w:rFonts w:ascii="Verdana" w:hAnsi="Verdana"/>
          <w:sz w:val="20"/>
          <w:szCs w:val="20"/>
        </w:rPr>
      </w:pPr>
      <w:r>
        <w:rPr>
          <w:rFonts w:ascii="Verdana" w:hAnsi="Verdana"/>
          <w:sz w:val="20"/>
          <w:szCs w:val="20"/>
        </w:rPr>
        <w:t>39</w:t>
      </w:r>
      <w:r w:rsidR="00C348E9">
        <w:rPr>
          <w:rFonts w:ascii="Verdana" w:hAnsi="Verdana"/>
          <w:sz w:val="20"/>
          <w:szCs w:val="20"/>
        </w:rPr>
        <w:t xml:space="preserve">. </w:t>
      </w:r>
      <w:r w:rsidR="00C348E9">
        <w:rPr>
          <w:rFonts w:ascii="Verdana" w:hAnsi="Verdana"/>
          <w:sz w:val="20"/>
          <w:szCs w:val="20"/>
        </w:rPr>
        <w:tab/>
      </w:r>
      <w:r w:rsidR="00DF4423">
        <w:rPr>
          <w:rFonts w:ascii="Verdana" w:hAnsi="Verdana"/>
          <w:sz w:val="20"/>
          <w:szCs w:val="20"/>
        </w:rPr>
        <w:t>En relación con lo anterior es importante destacar que l</w:t>
      </w:r>
      <w:r w:rsidR="003F57D3" w:rsidRPr="00C145E1">
        <w:rPr>
          <w:rFonts w:ascii="Verdana" w:hAnsi="Verdana"/>
          <w:sz w:val="20"/>
          <w:szCs w:val="20"/>
        </w:rPr>
        <w:t xml:space="preserve">a Sentencia prestó una atención especial a las mujeres que habrían sido víctimas de discriminación. Es por esta razón que la Corte ordenó </w:t>
      </w:r>
      <w:r w:rsidR="008A5874" w:rsidRPr="00C145E1">
        <w:rPr>
          <w:rFonts w:ascii="Verdana" w:hAnsi="Verdana"/>
          <w:sz w:val="20"/>
          <w:szCs w:val="20"/>
        </w:rPr>
        <w:t xml:space="preserve">garantías de no repetición tendientes a garantizar que </w:t>
      </w:r>
      <w:r w:rsidR="00D16809">
        <w:rPr>
          <w:rFonts w:ascii="Verdana" w:hAnsi="Verdana"/>
          <w:sz w:val="20"/>
          <w:szCs w:val="20"/>
        </w:rPr>
        <w:t xml:space="preserve">las mujeres embarazadas </w:t>
      </w:r>
      <w:r w:rsidR="00C41C89" w:rsidRPr="00337ACB">
        <w:rPr>
          <w:rFonts w:ascii="Verdana" w:hAnsi="Verdana"/>
          <w:sz w:val="20"/>
          <w:szCs w:val="20"/>
        </w:rPr>
        <w:t xml:space="preserve">que viven </w:t>
      </w:r>
      <w:r w:rsidR="00D16809" w:rsidRPr="00337ACB">
        <w:rPr>
          <w:rFonts w:ascii="Verdana" w:hAnsi="Verdana"/>
          <w:sz w:val="20"/>
          <w:szCs w:val="20"/>
        </w:rPr>
        <w:t>con</w:t>
      </w:r>
      <w:r w:rsidR="00C41C89" w:rsidRPr="00337ACB">
        <w:rPr>
          <w:rFonts w:ascii="Verdana" w:hAnsi="Verdana"/>
          <w:sz w:val="20"/>
          <w:szCs w:val="20"/>
        </w:rPr>
        <w:t xml:space="preserve"> el</w:t>
      </w:r>
      <w:r w:rsidR="00D16809">
        <w:rPr>
          <w:rFonts w:ascii="Verdana" w:hAnsi="Verdana"/>
          <w:sz w:val="20"/>
          <w:szCs w:val="20"/>
        </w:rPr>
        <w:t xml:space="preserve"> VIH cuenten</w:t>
      </w:r>
      <w:r w:rsidR="00C145E1" w:rsidRPr="00C145E1">
        <w:rPr>
          <w:rFonts w:ascii="Verdana" w:hAnsi="Verdana"/>
          <w:sz w:val="20"/>
          <w:szCs w:val="20"/>
        </w:rPr>
        <w:t xml:space="preserve"> </w:t>
      </w:r>
      <w:r w:rsidR="008A5874" w:rsidRPr="00C145E1">
        <w:rPr>
          <w:rFonts w:ascii="Verdana" w:hAnsi="Verdana"/>
          <w:sz w:val="20"/>
          <w:szCs w:val="20"/>
        </w:rPr>
        <w:t>con una serie de condiciones mínimas que les permitan enfrentar las diversas</w:t>
      </w:r>
      <w:r w:rsidR="00D16809">
        <w:rPr>
          <w:rFonts w:ascii="Verdana" w:hAnsi="Verdana"/>
          <w:sz w:val="20"/>
          <w:szCs w:val="20"/>
        </w:rPr>
        <w:t xml:space="preserve"> formas de discriminación que la</w:t>
      </w:r>
      <w:r w:rsidR="008A5874" w:rsidRPr="00C145E1">
        <w:rPr>
          <w:rFonts w:ascii="Verdana" w:hAnsi="Verdana"/>
          <w:sz w:val="20"/>
          <w:szCs w:val="20"/>
        </w:rPr>
        <w:t xml:space="preserve">s afectan de forma conjunta. </w:t>
      </w:r>
    </w:p>
    <w:p w14:paraId="4D178185" w14:textId="77777777" w:rsidR="004322C8" w:rsidRDefault="004322C8" w:rsidP="006174F1">
      <w:pPr>
        <w:pStyle w:val="ListParagraph"/>
        <w:spacing w:before="240" w:after="240"/>
        <w:ind w:left="0"/>
        <w:jc w:val="both"/>
        <w:rPr>
          <w:rFonts w:ascii="Verdana" w:hAnsi="Verdana"/>
          <w:sz w:val="20"/>
          <w:szCs w:val="20"/>
        </w:rPr>
      </w:pPr>
    </w:p>
    <w:p w14:paraId="0B7AA2EB" w14:textId="51DFC4F1" w:rsidR="008A5874" w:rsidRPr="00C145E1" w:rsidRDefault="00717FC4" w:rsidP="006174F1">
      <w:pPr>
        <w:pStyle w:val="ListParagraph"/>
        <w:spacing w:before="240" w:after="240"/>
        <w:ind w:left="0"/>
        <w:jc w:val="both"/>
        <w:rPr>
          <w:rFonts w:ascii="Verdana" w:hAnsi="Verdana"/>
          <w:sz w:val="20"/>
          <w:szCs w:val="20"/>
        </w:rPr>
      </w:pPr>
      <w:r>
        <w:rPr>
          <w:rFonts w:ascii="Verdana" w:hAnsi="Verdana"/>
          <w:sz w:val="20"/>
          <w:szCs w:val="20"/>
        </w:rPr>
        <w:t>40</w:t>
      </w:r>
      <w:r w:rsidR="004322C8">
        <w:rPr>
          <w:rFonts w:ascii="Verdana" w:hAnsi="Verdana"/>
          <w:sz w:val="20"/>
          <w:szCs w:val="20"/>
        </w:rPr>
        <w:t xml:space="preserve">. </w:t>
      </w:r>
      <w:r w:rsidR="004322C8">
        <w:rPr>
          <w:rFonts w:ascii="Verdana" w:hAnsi="Verdana"/>
          <w:sz w:val="20"/>
          <w:szCs w:val="20"/>
        </w:rPr>
        <w:tab/>
      </w:r>
      <w:r w:rsidR="00C145E1" w:rsidRPr="00C145E1">
        <w:rPr>
          <w:rFonts w:ascii="Verdana" w:hAnsi="Verdana"/>
          <w:sz w:val="20"/>
          <w:szCs w:val="20"/>
        </w:rPr>
        <w:t>L</w:t>
      </w:r>
      <w:r w:rsidR="008A5874" w:rsidRPr="00C145E1">
        <w:rPr>
          <w:rFonts w:ascii="Verdana" w:hAnsi="Verdana"/>
          <w:sz w:val="20"/>
          <w:szCs w:val="20"/>
        </w:rPr>
        <w:t xml:space="preserve">a Corte se inclinó por la adopción de </w:t>
      </w:r>
      <w:r w:rsidR="00D16809">
        <w:rPr>
          <w:rFonts w:ascii="Verdana" w:hAnsi="Verdana"/>
          <w:sz w:val="20"/>
          <w:szCs w:val="20"/>
        </w:rPr>
        <w:t>acciones estatales</w:t>
      </w:r>
      <w:r w:rsidR="008A5874" w:rsidRPr="00C145E1">
        <w:rPr>
          <w:rFonts w:ascii="Verdana" w:hAnsi="Verdana"/>
          <w:sz w:val="20"/>
          <w:szCs w:val="20"/>
        </w:rPr>
        <w:t xml:space="preserve"> en materia de salud que cuenta con un enfoque interseccional a partir de la discriminación de</w:t>
      </w:r>
      <w:r w:rsidR="00285C15">
        <w:rPr>
          <w:rFonts w:ascii="Verdana" w:hAnsi="Verdana"/>
          <w:sz w:val="20"/>
          <w:szCs w:val="20"/>
        </w:rPr>
        <w:t>clarada en la Sentencia, teniendo</w:t>
      </w:r>
      <w:r w:rsidR="008A5874" w:rsidRPr="00C145E1">
        <w:rPr>
          <w:rFonts w:ascii="Verdana" w:hAnsi="Verdana"/>
          <w:sz w:val="20"/>
          <w:szCs w:val="20"/>
        </w:rPr>
        <w:t xml:space="preserve"> en cuenta la urgencia de las necesidades de las mujeres embarazadas q</w:t>
      </w:r>
      <w:r w:rsidR="00C145E1" w:rsidRPr="00C145E1">
        <w:rPr>
          <w:rFonts w:ascii="Verdana" w:hAnsi="Verdana"/>
          <w:sz w:val="20"/>
          <w:szCs w:val="20"/>
        </w:rPr>
        <w:t xml:space="preserve">ue viven </w:t>
      </w:r>
      <w:r w:rsidR="00C145E1" w:rsidRPr="00337ACB">
        <w:rPr>
          <w:rFonts w:ascii="Verdana" w:hAnsi="Verdana"/>
          <w:sz w:val="20"/>
          <w:szCs w:val="20"/>
        </w:rPr>
        <w:t>con</w:t>
      </w:r>
      <w:r w:rsidR="00C41C89" w:rsidRPr="00337ACB">
        <w:rPr>
          <w:rFonts w:ascii="Verdana" w:hAnsi="Verdana"/>
          <w:sz w:val="20"/>
          <w:szCs w:val="20"/>
        </w:rPr>
        <w:t xml:space="preserve"> el</w:t>
      </w:r>
      <w:r w:rsidR="00C145E1" w:rsidRPr="00337ACB">
        <w:rPr>
          <w:rFonts w:ascii="Verdana" w:hAnsi="Verdana"/>
          <w:sz w:val="20"/>
          <w:szCs w:val="20"/>
        </w:rPr>
        <w:t xml:space="preserve"> VIH en Guatemala. </w:t>
      </w:r>
      <w:r w:rsidR="008A5874" w:rsidRPr="00337ACB">
        <w:rPr>
          <w:rFonts w:ascii="Verdana" w:hAnsi="Verdana"/>
          <w:sz w:val="20"/>
          <w:szCs w:val="20"/>
        </w:rPr>
        <w:t>Esto implica un avance en el desarrollo de la jurisprudencia de la Corte, ya que</w:t>
      </w:r>
      <w:r w:rsidR="008A5874" w:rsidRPr="00C145E1">
        <w:rPr>
          <w:rFonts w:ascii="Verdana" w:hAnsi="Verdana"/>
          <w:sz w:val="20"/>
          <w:szCs w:val="20"/>
        </w:rPr>
        <w:t xml:space="preserve"> </w:t>
      </w:r>
      <w:r w:rsidR="00C145E1" w:rsidRPr="00C145E1">
        <w:rPr>
          <w:rFonts w:ascii="Verdana" w:hAnsi="Verdana"/>
          <w:sz w:val="20"/>
          <w:szCs w:val="20"/>
        </w:rPr>
        <w:t xml:space="preserve">el Tribunal </w:t>
      </w:r>
      <w:r w:rsidR="00285C15">
        <w:rPr>
          <w:rFonts w:ascii="Verdana" w:hAnsi="Verdana"/>
          <w:sz w:val="20"/>
          <w:szCs w:val="20"/>
        </w:rPr>
        <w:t xml:space="preserve">Interamericano </w:t>
      </w:r>
      <w:r w:rsidR="00C145E1" w:rsidRPr="00C145E1">
        <w:rPr>
          <w:rFonts w:ascii="Verdana" w:hAnsi="Verdana"/>
          <w:sz w:val="20"/>
          <w:szCs w:val="20"/>
        </w:rPr>
        <w:t>reconoció</w:t>
      </w:r>
      <w:r w:rsidR="008A5874" w:rsidRPr="00C145E1">
        <w:rPr>
          <w:rFonts w:ascii="Verdana" w:hAnsi="Verdana"/>
          <w:sz w:val="20"/>
          <w:szCs w:val="20"/>
        </w:rPr>
        <w:t xml:space="preserve"> la relevancia de la adopción de </w:t>
      </w:r>
      <w:r w:rsidR="00D16809">
        <w:rPr>
          <w:rFonts w:ascii="Verdana" w:hAnsi="Verdana"/>
          <w:sz w:val="20"/>
          <w:szCs w:val="20"/>
        </w:rPr>
        <w:t>acciones</w:t>
      </w:r>
      <w:r w:rsidR="008A5874" w:rsidRPr="00C145E1">
        <w:rPr>
          <w:rFonts w:ascii="Verdana" w:hAnsi="Verdana"/>
          <w:sz w:val="20"/>
          <w:szCs w:val="20"/>
        </w:rPr>
        <w:t xml:space="preserve"> diferenciadas en el tratamiento de la discriminación interseccional</w:t>
      </w:r>
      <w:r w:rsidR="00D16809">
        <w:rPr>
          <w:rFonts w:ascii="Verdana" w:hAnsi="Verdana"/>
          <w:sz w:val="20"/>
          <w:szCs w:val="20"/>
        </w:rPr>
        <w:t xml:space="preserve"> para toda la población de mujeres en el Estado</w:t>
      </w:r>
      <w:r w:rsidR="008A5874" w:rsidRPr="00C145E1">
        <w:rPr>
          <w:rFonts w:ascii="Verdana" w:hAnsi="Verdana"/>
          <w:sz w:val="20"/>
          <w:szCs w:val="20"/>
        </w:rPr>
        <w:t xml:space="preserve">. En otras palabras, se plantea que la adopción de </w:t>
      </w:r>
      <w:r w:rsidR="00D16809">
        <w:rPr>
          <w:rFonts w:ascii="Verdana" w:hAnsi="Verdana"/>
          <w:sz w:val="20"/>
          <w:szCs w:val="20"/>
        </w:rPr>
        <w:t>medidas</w:t>
      </w:r>
      <w:r w:rsidR="008A5874" w:rsidRPr="00C145E1">
        <w:rPr>
          <w:rFonts w:ascii="Verdana" w:hAnsi="Verdana"/>
          <w:sz w:val="20"/>
          <w:szCs w:val="20"/>
        </w:rPr>
        <w:t xml:space="preserve"> con un enfoque unitario puede no ser suficiente para paliar estas formas de discriminación, perpetuando así las desigualdades que confluyen en un mismo sector social.</w:t>
      </w:r>
    </w:p>
    <w:p w14:paraId="04F4F655" w14:textId="77777777" w:rsidR="008A5874" w:rsidRPr="006A3248" w:rsidRDefault="008A5874" w:rsidP="006174F1">
      <w:pPr>
        <w:pStyle w:val="ListParagraph"/>
        <w:spacing w:before="240" w:after="240"/>
        <w:ind w:left="0"/>
        <w:jc w:val="both"/>
        <w:rPr>
          <w:rFonts w:ascii="Verdana" w:hAnsi="Verdana"/>
          <w:sz w:val="20"/>
          <w:szCs w:val="20"/>
        </w:rPr>
      </w:pPr>
    </w:p>
    <w:p w14:paraId="68FD8E65" w14:textId="7B4D31F8" w:rsidR="00C21845" w:rsidRDefault="00C348E9" w:rsidP="006174F1">
      <w:pPr>
        <w:pStyle w:val="ListParagraph"/>
        <w:spacing w:before="240"/>
        <w:ind w:left="0"/>
        <w:jc w:val="both"/>
        <w:rPr>
          <w:rFonts w:ascii="Verdana" w:hAnsi="Verdana"/>
          <w:sz w:val="20"/>
          <w:szCs w:val="20"/>
        </w:rPr>
      </w:pPr>
      <w:r>
        <w:rPr>
          <w:rFonts w:ascii="Verdana" w:hAnsi="Verdana"/>
          <w:sz w:val="20"/>
          <w:szCs w:val="20"/>
        </w:rPr>
        <w:t>4</w:t>
      </w:r>
      <w:r w:rsidR="00717FC4">
        <w:rPr>
          <w:rFonts w:ascii="Verdana" w:hAnsi="Verdana"/>
          <w:sz w:val="20"/>
          <w:szCs w:val="20"/>
        </w:rPr>
        <w:t>1</w:t>
      </w:r>
      <w:r>
        <w:rPr>
          <w:rFonts w:ascii="Verdana" w:hAnsi="Verdana"/>
          <w:sz w:val="20"/>
          <w:szCs w:val="20"/>
        </w:rPr>
        <w:t xml:space="preserve">. </w:t>
      </w:r>
      <w:r>
        <w:rPr>
          <w:rFonts w:ascii="Verdana" w:hAnsi="Verdana"/>
          <w:sz w:val="20"/>
          <w:szCs w:val="20"/>
        </w:rPr>
        <w:tab/>
      </w:r>
      <w:r w:rsidR="00C21845">
        <w:rPr>
          <w:rFonts w:ascii="Verdana" w:hAnsi="Verdana"/>
          <w:sz w:val="20"/>
          <w:szCs w:val="20"/>
        </w:rPr>
        <w:t xml:space="preserve">Sin duda, las reparaciones ordenadas en </w:t>
      </w:r>
      <w:r w:rsidR="00C21845">
        <w:rPr>
          <w:rFonts w:ascii="Verdana" w:hAnsi="Verdana"/>
          <w:i/>
          <w:sz w:val="20"/>
          <w:szCs w:val="20"/>
        </w:rPr>
        <w:t>Cuscul Pivaral</w:t>
      </w:r>
      <w:r w:rsidR="00C21845">
        <w:rPr>
          <w:rFonts w:ascii="Verdana" w:hAnsi="Verdana"/>
          <w:sz w:val="20"/>
          <w:szCs w:val="20"/>
        </w:rPr>
        <w:t>, en lo que respecta a las medidas de rehabilitación y a las garantías de no repetición, tienen el objetivo doble de que se reparen las omisiones que derivaron en las violaciones a los derechos a la salud, la vida y la integridad personal de las víctimas, así como para servir</w:t>
      </w:r>
      <w:r w:rsidR="007D0040">
        <w:rPr>
          <w:rFonts w:ascii="Verdana" w:hAnsi="Verdana"/>
          <w:sz w:val="20"/>
          <w:szCs w:val="20"/>
        </w:rPr>
        <w:t xml:space="preserve"> como un medio para impulsar al Estado a cumplir con su debe</w:t>
      </w:r>
      <w:r w:rsidR="00D16809">
        <w:rPr>
          <w:rFonts w:ascii="Verdana" w:hAnsi="Verdana"/>
          <w:sz w:val="20"/>
          <w:szCs w:val="20"/>
        </w:rPr>
        <w:t>r de protección progresiva del derecho a la salud de la</w:t>
      </w:r>
      <w:r w:rsidR="007D0040">
        <w:rPr>
          <w:rFonts w:ascii="Verdana" w:hAnsi="Verdana"/>
          <w:sz w:val="20"/>
          <w:szCs w:val="20"/>
        </w:rPr>
        <w:t xml:space="preserve"> población</w:t>
      </w:r>
      <w:r w:rsidR="00D16809">
        <w:rPr>
          <w:rFonts w:ascii="Verdana" w:hAnsi="Verdana"/>
          <w:sz w:val="20"/>
          <w:szCs w:val="20"/>
        </w:rPr>
        <w:t xml:space="preserve"> </w:t>
      </w:r>
      <w:r w:rsidR="00C41C89" w:rsidRPr="00337ACB">
        <w:rPr>
          <w:rFonts w:ascii="Verdana" w:hAnsi="Verdana"/>
          <w:sz w:val="20"/>
          <w:szCs w:val="20"/>
        </w:rPr>
        <w:t xml:space="preserve">que vive </w:t>
      </w:r>
      <w:r w:rsidR="00D16809" w:rsidRPr="00337ACB">
        <w:rPr>
          <w:rFonts w:ascii="Verdana" w:hAnsi="Verdana"/>
          <w:sz w:val="20"/>
          <w:szCs w:val="20"/>
        </w:rPr>
        <w:t>con</w:t>
      </w:r>
      <w:r w:rsidR="00C41C89" w:rsidRPr="00337ACB">
        <w:rPr>
          <w:rFonts w:ascii="Verdana" w:hAnsi="Verdana"/>
          <w:sz w:val="20"/>
          <w:szCs w:val="20"/>
        </w:rPr>
        <w:t xml:space="preserve"> el</w:t>
      </w:r>
      <w:r w:rsidR="00D16809" w:rsidRPr="00337ACB">
        <w:rPr>
          <w:rFonts w:ascii="Verdana" w:hAnsi="Verdana"/>
          <w:sz w:val="20"/>
          <w:szCs w:val="20"/>
        </w:rPr>
        <w:t xml:space="preserve"> VIH</w:t>
      </w:r>
      <w:r w:rsidR="007D0040" w:rsidRPr="00337ACB">
        <w:rPr>
          <w:rFonts w:ascii="Verdana" w:hAnsi="Verdana"/>
          <w:sz w:val="20"/>
          <w:szCs w:val="20"/>
        </w:rPr>
        <w:t xml:space="preserve"> en</w:t>
      </w:r>
      <w:r w:rsidR="007D0040">
        <w:rPr>
          <w:rFonts w:ascii="Verdana" w:hAnsi="Verdana"/>
          <w:sz w:val="20"/>
          <w:szCs w:val="20"/>
        </w:rPr>
        <w:t xml:space="preserve"> Guatemala.</w:t>
      </w:r>
      <w:r w:rsidR="00B215BB">
        <w:rPr>
          <w:rFonts w:ascii="Verdana" w:hAnsi="Verdana"/>
          <w:sz w:val="20"/>
          <w:szCs w:val="20"/>
        </w:rPr>
        <w:t xml:space="preserve"> Esta doble dimensión ha sido una constante a lo largo de la jurisprudencia de la Corte, y sin duda cobrará un papel central en </w:t>
      </w:r>
      <w:r w:rsidR="00285C15">
        <w:rPr>
          <w:rFonts w:ascii="Verdana" w:hAnsi="Verdana"/>
          <w:sz w:val="20"/>
          <w:szCs w:val="20"/>
        </w:rPr>
        <w:t>aquellos casos que –como el que nos ocupa</w:t>
      </w:r>
      <w:r w:rsidR="00B215BB">
        <w:rPr>
          <w:rFonts w:ascii="Verdana" w:hAnsi="Verdana"/>
          <w:sz w:val="20"/>
          <w:szCs w:val="20"/>
        </w:rPr>
        <w:t xml:space="preserve">– las acciones dirigidas a la realización de cambios </w:t>
      </w:r>
      <w:r w:rsidR="00B35337">
        <w:rPr>
          <w:rFonts w:ascii="Verdana" w:hAnsi="Verdana"/>
          <w:sz w:val="20"/>
          <w:szCs w:val="20"/>
        </w:rPr>
        <w:t xml:space="preserve">sistémicos </w:t>
      </w:r>
      <w:r w:rsidR="00B215BB">
        <w:rPr>
          <w:rFonts w:ascii="Verdana" w:hAnsi="Verdana"/>
          <w:sz w:val="20"/>
          <w:szCs w:val="20"/>
        </w:rPr>
        <w:t>en los Estados sean fundamentales para la efectiva protección de un DESCA en un contexto determinado.</w:t>
      </w:r>
    </w:p>
    <w:p w14:paraId="125B2F15" w14:textId="77777777" w:rsidR="00845BCF" w:rsidRDefault="00845BCF" w:rsidP="006174F1">
      <w:pPr>
        <w:pStyle w:val="ListParagraph"/>
        <w:spacing w:before="240"/>
        <w:ind w:left="0"/>
        <w:jc w:val="both"/>
        <w:rPr>
          <w:rFonts w:ascii="Verdana" w:hAnsi="Verdana"/>
          <w:sz w:val="20"/>
          <w:szCs w:val="20"/>
        </w:rPr>
      </w:pPr>
    </w:p>
    <w:p w14:paraId="1CC8E5F1" w14:textId="3101916D" w:rsidR="00DC62D8" w:rsidRPr="00337ACB" w:rsidRDefault="00717FC4" w:rsidP="006174F1">
      <w:pPr>
        <w:pStyle w:val="ListParagraph"/>
        <w:spacing w:before="240"/>
        <w:ind w:left="0"/>
        <w:jc w:val="both"/>
        <w:rPr>
          <w:rFonts w:ascii="Verdana" w:hAnsi="Verdana"/>
          <w:sz w:val="20"/>
          <w:szCs w:val="20"/>
        </w:rPr>
      </w:pPr>
      <w:r w:rsidRPr="00337ACB">
        <w:rPr>
          <w:rFonts w:ascii="Verdana" w:hAnsi="Verdana"/>
          <w:sz w:val="20"/>
          <w:szCs w:val="20"/>
        </w:rPr>
        <w:t xml:space="preserve">42. </w:t>
      </w:r>
      <w:r w:rsidRPr="00337ACB">
        <w:rPr>
          <w:rFonts w:ascii="Verdana" w:hAnsi="Verdana"/>
          <w:sz w:val="20"/>
          <w:szCs w:val="20"/>
        </w:rPr>
        <w:tab/>
      </w:r>
      <w:r w:rsidR="00DC62D8" w:rsidRPr="00337ACB">
        <w:rPr>
          <w:rFonts w:ascii="Verdana" w:hAnsi="Verdana"/>
          <w:sz w:val="20"/>
          <w:szCs w:val="20"/>
        </w:rPr>
        <w:t>En esta misma línea</w:t>
      </w:r>
      <w:r w:rsidR="00845BCF" w:rsidRPr="00337ACB">
        <w:rPr>
          <w:rFonts w:ascii="Verdana" w:hAnsi="Verdana"/>
          <w:sz w:val="20"/>
          <w:szCs w:val="20"/>
        </w:rPr>
        <w:t xml:space="preserve"> </w:t>
      </w:r>
      <w:r w:rsidR="001D0ED0" w:rsidRPr="00337ACB">
        <w:rPr>
          <w:rFonts w:ascii="Verdana" w:hAnsi="Verdana"/>
          <w:sz w:val="20"/>
          <w:szCs w:val="20"/>
        </w:rPr>
        <w:t xml:space="preserve">es importante reflexionar sobre cómo </w:t>
      </w:r>
      <w:r w:rsidR="00845BCF" w:rsidRPr="00337ACB">
        <w:rPr>
          <w:rFonts w:ascii="Verdana" w:hAnsi="Verdana"/>
          <w:sz w:val="20"/>
          <w:szCs w:val="20"/>
        </w:rPr>
        <w:t xml:space="preserve">la </w:t>
      </w:r>
      <w:r w:rsidR="00BC74DE" w:rsidRPr="00337ACB">
        <w:rPr>
          <w:rFonts w:ascii="Verdana" w:hAnsi="Verdana"/>
          <w:sz w:val="20"/>
          <w:szCs w:val="20"/>
        </w:rPr>
        <w:t>Sentencia</w:t>
      </w:r>
      <w:r w:rsidR="00845BCF" w:rsidRPr="00337ACB">
        <w:rPr>
          <w:rFonts w:ascii="Verdana" w:hAnsi="Verdana"/>
          <w:sz w:val="20"/>
          <w:szCs w:val="20"/>
        </w:rPr>
        <w:t>, al ordenar garantías de no repetición, tomó en consideración los objetivos y metas fijados por la Asamblea Gen</w:t>
      </w:r>
      <w:r w:rsidR="00BC74DE" w:rsidRPr="00337ACB">
        <w:rPr>
          <w:rFonts w:ascii="Verdana" w:hAnsi="Verdana"/>
          <w:sz w:val="20"/>
          <w:szCs w:val="20"/>
        </w:rPr>
        <w:t>eral de la ONU</w:t>
      </w:r>
      <w:r w:rsidR="00845BCF" w:rsidRPr="00337ACB">
        <w:rPr>
          <w:rFonts w:ascii="Verdana" w:hAnsi="Verdana"/>
          <w:sz w:val="20"/>
          <w:szCs w:val="20"/>
        </w:rPr>
        <w:t xml:space="preserve"> en la agenda 2030 para el Desarrollo Sostenible</w:t>
      </w:r>
      <w:r w:rsidR="00801358">
        <w:rPr>
          <w:rStyle w:val="FootnoteReference"/>
          <w:rFonts w:ascii="Verdana" w:hAnsi="Verdana"/>
          <w:sz w:val="20"/>
          <w:szCs w:val="20"/>
        </w:rPr>
        <w:footnoteReference w:id="93"/>
      </w:r>
      <w:r w:rsidR="00845BCF" w:rsidRPr="00337ACB">
        <w:rPr>
          <w:rFonts w:ascii="Verdana" w:hAnsi="Verdana"/>
          <w:sz w:val="20"/>
          <w:szCs w:val="20"/>
        </w:rPr>
        <w:t>. Uno de estos objetivos es que los Estados logren una vida sana y promuevan el bienestar universal de las personas en todas las edades, contemplando las condiciones de vulnerabilidad que presentan las personas que viven con el VIH</w:t>
      </w:r>
      <w:r w:rsidR="00DC62D8" w:rsidRPr="00337ACB">
        <w:rPr>
          <w:rStyle w:val="FootnoteReference"/>
          <w:rFonts w:ascii="Verdana" w:hAnsi="Verdana"/>
          <w:sz w:val="20"/>
          <w:szCs w:val="20"/>
        </w:rPr>
        <w:footnoteReference w:id="94"/>
      </w:r>
      <w:r w:rsidR="00845BCF" w:rsidRPr="00337ACB">
        <w:rPr>
          <w:rFonts w:ascii="Verdana" w:hAnsi="Verdana"/>
          <w:sz w:val="20"/>
          <w:szCs w:val="20"/>
        </w:rPr>
        <w:t xml:space="preserve">. </w:t>
      </w:r>
      <w:r w:rsidR="00BC74DE" w:rsidRPr="00337ACB">
        <w:rPr>
          <w:rFonts w:ascii="Verdana" w:hAnsi="Verdana"/>
          <w:sz w:val="20"/>
          <w:szCs w:val="20"/>
        </w:rPr>
        <w:t>Los Estados se comprometieron a realizar todas las acciones necesarias para que para el año 2030 se ponga fin a epidemias como el SIDA y otras enfermedades transmisibles como el VIH</w:t>
      </w:r>
      <w:r w:rsidR="00DC62D8" w:rsidRPr="00337ACB">
        <w:rPr>
          <w:rStyle w:val="FootnoteReference"/>
          <w:rFonts w:ascii="Verdana" w:hAnsi="Verdana"/>
          <w:sz w:val="20"/>
          <w:szCs w:val="20"/>
        </w:rPr>
        <w:footnoteReference w:id="95"/>
      </w:r>
      <w:r w:rsidR="00DC62D8" w:rsidRPr="00337ACB">
        <w:rPr>
          <w:rFonts w:ascii="Verdana" w:hAnsi="Verdana"/>
          <w:sz w:val="20"/>
          <w:szCs w:val="20"/>
        </w:rPr>
        <w:t>, en la misma línea en que la Sentencia ordena al Estado a tomar una serie de medidas para garantizar el tratamiento a las personas que viven con el VIH en Guatemala.</w:t>
      </w:r>
      <w:r w:rsidR="00BC74DE" w:rsidRPr="00337ACB">
        <w:rPr>
          <w:rFonts w:ascii="Verdana" w:hAnsi="Verdana"/>
          <w:sz w:val="20"/>
          <w:szCs w:val="20"/>
        </w:rPr>
        <w:t xml:space="preserve"> </w:t>
      </w:r>
    </w:p>
    <w:p w14:paraId="01B92B6A" w14:textId="77777777" w:rsidR="00DC62D8" w:rsidRPr="00337ACB" w:rsidRDefault="00DC62D8" w:rsidP="006174F1">
      <w:pPr>
        <w:pStyle w:val="ListParagraph"/>
        <w:spacing w:before="240"/>
        <w:ind w:left="0"/>
        <w:jc w:val="both"/>
        <w:rPr>
          <w:rFonts w:ascii="Verdana" w:hAnsi="Verdana"/>
          <w:sz w:val="20"/>
          <w:szCs w:val="20"/>
        </w:rPr>
      </w:pPr>
    </w:p>
    <w:p w14:paraId="72838DE4" w14:textId="46ED3007" w:rsidR="00845BCF" w:rsidRDefault="00717FC4" w:rsidP="006174F1">
      <w:pPr>
        <w:pStyle w:val="ListParagraph"/>
        <w:spacing w:before="240"/>
        <w:ind w:left="0"/>
        <w:jc w:val="both"/>
        <w:rPr>
          <w:rFonts w:ascii="Verdana" w:hAnsi="Verdana"/>
          <w:sz w:val="20"/>
          <w:szCs w:val="20"/>
        </w:rPr>
      </w:pPr>
      <w:r w:rsidRPr="00337ACB">
        <w:rPr>
          <w:rFonts w:ascii="Verdana" w:hAnsi="Verdana"/>
          <w:sz w:val="20"/>
          <w:szCs w:val="20"/>
        </w:rPr>
        <w:t xml:space="preserve">43. </w:t>
      </w:r>
      <w:r w:rsidRPr="00337ACB">
        <w:rPr>
          <w:rFonts w:ascii="Verdana" w:hAnsi="Verdana"/>
          <w:sz w:val="20"/>
          <w:szCs w:val="20"/>
        </w:rPr>
        <w:tab/>
      </w:r>
      <w:r w:rsidR="00BC74DE" w:rsidRPr="00337ACB">
        <w:rPr>
          <w:rFonts w:ascii="Verdana" w:hAnsi="Verdana"/>
          <w:sz w:val="20"/>
          <w:szCs w:val="20"/>
        </w:rPr>
        <w:t xml:space="preserve">La Corte –al igual que la Asamblea General- </w:t>
      </w:r>
      <w:r w:rsidR="00DC62D8" w:rsidRPr="00337ACB">
        <w:rPr>
          <w:rFonts w:ascii="Verdana" w:hAnsi="Verdana"/>
          <w:sz w:val="20"/>
          <w:szCs w:val="20"/>
        </w:rPr>
        <w:t>coincide</w:t>
      </w:r>
      <w:r w:rsidR="00BC74DE" w:rsidRPr="00337ACB">
        <w:rPr>
          <w:rFonts w:ascii="Verdana" w:hAnsi="Verdana"/>
          <w:sz w:val="20"/>
          <w:szCs w:val="20"/>
        </w:rPr>
        <w:t xml:space="preserve"> en que el logro de los objetivos para erradicar el VIH/SIDA depende en cierta medida de los diferentes niveles de desarrollo de los Estado</w:t>
      </w:r>
      <w:r w:rsidR="00DC62D8" w:rsidRPr="00337ACB">
        <w:rPr>
          <w:rFonts w:ascii="Verdana" w:hAnsi="Verdana"/>
          <w:sz w:val="20"/>
          <w:szCs w:val="20"/>
        </w:rPr>
        <w:t>s, p</w:t>
      </w:r>
      <w:r w:rsidR="001D0ED0" w:rsidRPr="00337ACB">
        <w:rPr>
          <w:rFonts w:ascii="Verdana" w:hAnsi="Verdana"/>
          <w:sz w:val="20"/>
          <w:szCs w:val="20"/>
        </w:rPr>
        <w:t>ero una de las más importantes reflexiones que</w:t>
      </w:r>
      <w:r w:rsidR="00DC62D8" w:rsidRPr="00337ACB">
        <w:rPr>
          <w:rFonts w:ascii="Verdana" w:hAnsi="Verdana"/>
          <w:sz w:val="20"/>
          <w:szCs w:val="20"/>
        </w:rPr>
        <w:t xml:space="preserve"> surgen de este caso es que la realización progresiva de los DESCA</w:t>
      </w:r>
      <w:r w:rsidR="001D0ED0" w:rsidRPr="00337ACB">
        <w:rPr>
          <w:rFonts w:ascii="Verdana" w:hAnsi="Verdana"/>
          <w:sz w:val="20"/>
          <w:szCs w:val="20"/>
        </w:rPr>
        <w:t xml:space="preserve"> no puede implicar que no se adopten medidas efectivas para lograr la </w:t>
      </w:r>
      <w:r w:rsidR="007B3032" w:rsidRPr="00337ACB">
        <w:rPr>
          <w:rFonts w:ascii="Verdana" w:hAnsi="Verdana"/>
          <w:sz w:val="20"/>
          <w:szCs w:val="20"/>
        </w:rPr>
        <w:t>plena</w:t>
      </w:r>
      <w:r w:rsidR="001D0ED0" w:rsidRPr="00337ACB">
        <w:rPr>
          <w:rFonts w:ascii="Verdana" w:hAnsi="Verdana"/>
          <w:sz w:val="20"/>
          <w:szCs w:val="20"/>
        </w:rPr>
        <w:t xml:space="preserve"> realización del derecho a la salud.</w:t>
      </w:r>
      <w:r w:rsidR="007B3032" w:rsidRPr="00337ACB">
        <w:rPr>
          <w:rFonts w:ascii="Verdana" w:hAnsi="Verdana"/>
          <w:sz w:val="20"/>
          <w:szCs w:val="20"/>
        </w:rPr>
        <w:t xml:space="preserve"> Esto es especialmente imperante en casos donde lo que está en riesgo es la integridad personal y la vida de las personas.</w:t>
      </w:r>
      <w:r w:rsidR="001D0ED0" w:rsidRPr="00337ACB">
        <w:rPr>
          <w:rFonts w:ascii="Verdana" w:hAnsi="Verdana"/>
          <w:sz w:val="20"/>
          <w:szCs w:val="20"/>
        </w:rPr>
        <w:t xml:space="preserve"> Las medidas de reparación ordenadas, así como los objetivos de la agenda 2030, caminan precisamente en esa dirección</w:t>
      </w:r>
      <w:r w:rsidR="00DC62D8" w:rsidRPr="00337ACB">
        <w:rPr>
          <w:rFonts w:ascii="Verdana" w:hAnsi="Verdana"/>
          <w:sz w:val="20"/>
          <w:szCs w:val="20"/>
        </w:rPr>
        <w:t xml:space="preserve"> tendiente a la plena efectividad del derecho a la salud</w:t>
      </w:r>
      <w:r w:rsidR="007B3032" w:rsidRPr="00337ACB">
        <w:rPr>
          <w:rFonts w:ascii="Verdana" w:hAnsi="Verdana"/>
          <w:sz w:val="20"/>
          <w:szCs w:val="20"/>
        </w:rPr>
        <w:t xml:space="preserve"> de las personas que viven con el VIH</w:t>
      </w:r>
      <w:r w:rsidR="001D0ED0" w:rsidRPr="00337ACB">
        <w:rPr>
          <w:rFonts w:ascii="Verdana" w:hAnsi="Verdana"/>
          <w:sz w:val="20"/>
          <w:szCs w:val="20"/>
        </w:rPr>
        <w:t>.</w:t>
      </w:r>
      <w:r w:rsidR="001D0ED0" w:rsidRPr="00DC62D8">
        <w:rPr>
          <w:rFonts w:ascii="Verdana" w:hAnsi="Verdana"/>
          <w:sz w:val="20"/>
          <w:szCs w:val="20"/>
        </w:rPr>
        <w:t xml:space="preserve"> </w:t>
      </w:r>
    </w:p>
    <w:p w14:paraId="61958719" w14:textId="2DFBB9AD" w:rsidR="004322C8" w:rsidRDefault="004322C8" w:rsidP="006B19D3">
      <w:pPr>
        <w:pStyle w:val="List2"/>
        <w:ind w:left="0" w:firstLine="0"/>
        <w:jc w:val="both"/>
        <w:rPr>
          <w:rFonts w:ascii="Verdana" w:hAnsi="Verdana"/>
          <w:b/>
          <w:sz w:val="20"/>
          <w:szCs w:val="20"/>
        </w:rPr>
      </w:pPr>
    </w:p>
    <w:p w14:paraId="3902AAA9" w14:textId="5AD03EF4" w:rsidR="008C75F1" w:rsidRPr="00DD1072" w:rsidRDefault="00081D4E" w:rsidP="006174F1">
      <w:pPr>
        <w:pStyle w:val="ListParagraph"/>
        <w:ind w:left="0"/>
        <w:jc w:val="center"/>
        <w:rPr>
          <w:rFonts w:ascii="Verdana" w:hAnsi="Verdana"/>
          <w:b/>
          <w:sz w:val="20"/>
          <w:szCs w:val="20"/>
        </w:rPr>
      </w:pPr>
      <w:r w:rsidRPr="00337ACB">
        <w:rPr>
          <w:rFonts w:ascii="Verdana" w:hAnsi="Verdana"/>
          <w:b/>
          <w:sz w:val="20"/>
          <w:szCs w:val="20"/>
        </w:rPr>
        <w:t>I</w:t>
      </w:r>
      <w:r w:rsidR="00BB625C" w:rsidRPr="00337ACB">
        <w:rPr>
          <w:rFonts w:ascii="Verdana" w:hAnsi="Verdana"/>
          <w:b/>
          <w:sz w:val="20"/>
          <w:szCs w:val="20"/>
        </w:rPr>
        <w:t>V. CONCLUSIÓN</w:t>
      </w:r>
    </w:p>
    <w:p w14:paraId="41198171" w14:textId="77777777" w:rsidR="008C75F1" w:rsidRDefault="008C75F1" w:rsidP="006174F1">
      <w:pPr>
        <w:pStyle w:val="ListParagraph"/>
        <w:ind w:left="0"/>
        <w:jc w:val="both"/>
        <w:rPr>
          <w:rFonts w:ascii="Verdana" w:hAnsi="Verdana"/>
          <w:sz w:val="20"/>
          <w:szCs w:val="20"/>
        </w:rPr>
      </w:pPr>
    </w:p>
    <w:p w14:paraId="33156F63" w14:textId="1E32C58A" w:rsidR="001225A8" w:rsidRDefault="00C348E9" w:rsidP="006174F1">
      <w:pPr>
        <w:pStyle w:val="ListParagraph"/>
        <w:ind w:left="0"/>
        <w:jc w:val="both"/>
        <w:rPr>
          <w:rFonts w:ascii="Verdana" w:hAnsi="Verdana"/>
          <w:sz w:val="20"/>
          <w:szCs w:val="20"/>
        </w:rPr>
      </w:pPr>
      <w:r w:rsidRPr="00337ACB">
        <w:rPr>
          <w:rFonts w:ascii="Verdana" w:hAnsi="Verdana"/>
          <w:sz w:val="20"/>
          <w:szCs w:val="20"/>
        </w:rPr>
        <w:t>4</w:t>
      </w:r>
      <w:r w:rsidR="00717FC4" w:rsidRPr="00337ACB">
        <w:rPr>
          <w:rFonts w:ascii="Verdana" w:hAnsi="Verdana"/>
          <w:sz w:val="20"/>
          <w:szCs w:val="20"/>
        </w:rPr>
        <w:t>4</w:t>
      </w:r>
      <w:r w:rsidRPr="00337ACB">
        <w:rPr>
          <w:rFonts w:ascii="Verdana" w:hAnsi="Verdana"/>
          <w:sz w:val="20"/>
          <w:szCs w:val="20"/>
        </w:rPr>
        <w:t xml:space="preserve">. </w:t>
      </w:r>
      <w:r w:rsidRPr="00337ACB">
        <w:rPr>
          <w:rFonts w:ascii="Verdana" w:hAnsi="Verdana"/>
          <w:sz w:val="20"/>
          <w:szCs w:val="20"/>
        </w:rPr>
        <w:tab/>
      </w:r>
      <w:r w:rsidR="001225A8" w:rsidRPr="00337ACB">
        <w:rPr>
          <w:rFonts w:ascii="Verdana" w:hAnsi="Verdana"/>
          <w:sz w:val="20"/>
          <w:szCs w:val="20"/>
        </w:rPr>
        <w:t xml:space="preserve">La Sentencia representa un punto de maduración en una línea jurisprudencial que precisamente aborda una cuestión crucial en nuestra región: la necesidad de que los Estados cumplan con sus obligaciones de respeto y garantía en materia de derechos económicos, sociales, culturales y ambientales. El caso </w:t>
      </w:r>
      <w:r w:rsidR="001225A8" w:rsidRPr="00337ACB">
        <w:rPr>
          <w:rFonts w:ascii="Verdana" w:hAnsi="Verdana"/>
          <w:i/>
          <w:sz w:val="20"/>
          <w:szCs w:val="20"/>
        </w:rPr>
        <w:t xml:space="preserve">Cuscul Pivaral </w:t>
      </w:r>
      <w:r w:rsidR="001225A8" w:rsidRPr="00337ACB">
        <w:rPr>
          <w:rFonts w:ascii="Verdana" w:hAnsi="Verdana"/>
          <w:sz w:val="20"/>
          <w:szCs w:val="20"/>
        </w:rPr>
        <w:t>aborda la cuestión específica del deber de garantía del derecho a la salud para personas viviendo con</w:t>
      </w:r>
      <w:r w:rsidR="00C41C89" w:rsidRPr="00337ACB">
        <w:rPr>
          <w:rFonts w:ascii="Verdana" w:hAnsi="Verdana"/>
          <w:sz w:val="20"/>
          <w:szCs w:val="20"/>
        </w:rPr>
        <w:t xml:space="preserve"> el</w:t>
      </w:r>
      <w:r w:rsidR="001225A8" w:rsidRPr="00337ACB">
        <w:rPr>
          <w:rFonts w:ascii="Verdana" w:hAnsi="Verdana"/>
          <w:sz w:val="20"/>
          <w:szCs w:val="20"/>
        </w:rPr>
        <w:t xml:space="preserve"> VIH, así como del contenido de las obligaciones de progresividad en la garantía de este derecho.</w:t>
      </w:r>
    </w:p>
    <w:p w14:paraId="508E03E9" w14:textId="77777777" w:rsidR="001225A8" w:rsidRDefault="001225A8" w:rsidP="006174F1">
      <w:pPr>
        <w:pStyle w:val="ListParagraph"/>
        <w:ind w:left="0"/>
        <w:jc w:val="both"/>
        <w:rPr>
          <w:rFonts w:ascii="Verdana" w:hAnsi="Verdana"/>
          <w:sz w:val="20"/>
          <w:szCs w:val="20"/>
        </w:rPr>
      </w:pPr>
    </w:p>
    <w:p w14:paraId="62D162C5" w14:textId="1A7BD3DE" w:rsidR="001225A8" w:rsidRDefault="00711913" w:rsidP="006174F1">
      <w:pPr>
        <w:pStyle w:val="ListParagraph"/>
        <w:ind w:left="0"/>
        <w:jc w:val="both"/>
        <w:rPr>
          <w:rFonts w:ascii="Verdana" w:hAnsi="Verdana"/>
          <w:sz w:val="20"/>
          <w:szCs w:val="20"/>
        </w:rPr>
      </w:pPr>
      <w:r>
        <w:rPr>
          <w:rFonts w:ascii="Verdana" w:hAnsi="Verdana"/>
          <w:sz w:val="20"/>
          <w:szCs w:val="20"/>
        </w:rPr>
        <w:t>4</w:t>
      </w:r>
      <w:r w:rsidR="00717FC4">
        <w:rPr>
          <w:rFonts w:ascii="Verdana" w:hAnsi="Verdana"/>
          <w:sz w:val="20"/>
          <w:szCs w:val="20"/>
        </w:rPr>
        <w:t>5</w:t>
      </w:r>
      <w:r>
        <w:rPr>
          <w:rFonts w:ascii="Verdana" w:hAnsi="Verdana"/>
          <w:sz w:val="20"/>
          <w:szCs w:val="20"/>
        </w:rPr>
        <w:t xml:space="preserve">. </w:t>
      </w:r>
      <w:r>
        <w:rPr>
          <w:rFonts w:ascii="Verdana" w:hAnsi="Verdana"/>
          <w:sz w:val="20"/>
          <w:szCs w:val="20"/>
        </w:rPr>
        <w:tab/>
      </w:r>
      <w:r w:rsidR="001225A8">
        <w:rPr>
          <w:rFonts w:ascii="Verdana" w:hAnsi="Verdana"/>
          <w:sz w:val="20"/>
          <w:szCs w:val="20"/>
        </w:rPr>
        <w:t>El presente caso cobra relevancia si consideramos</w:t>
      </w:r>
      <w:r>
        <w:rPr>
          <w:rFonts w:ascii="Verdana" w:hAnsi="Verdana"/>
          <w:sz w:val="20"/>
          <w:szCs w:val="20"/>
        </w:rPr>
        <w:t xml:space="preserve"> que, a cuatro décadas de entrada en vigor de la Convención Americana, </w:t>
      </w:r>
      <w:r w:rsidR="001225A8">
        <w:rPr>
          <w:rFonts w:ascii="Verdana" w:hAnsi="Verdana"/>
          <w:sz w:val="20"/>
          <w:szCs w:val="20"/>
        </w:rPr>
        <w:t xml:space="preserve">es la primera ocasión en que la Corte aborda ambas dimensiones de un DESCA (exigibilidad inmediata y progresividad) y se fijan medidas de reparación acorde a cada una de estas dimensiones. Este será el camino a seguir en el futuro, y aunque implique retos normativos y metodológicos, la Corte no puede quedarse de lado ante el </w:t>
      </w:r>
      <w:r w:rsidR="00EB595E">
        <w:rPr>
          <w:rFonts w:ascii="Verdana" w:hAnsi="Verdana"/>
          <w:sz w:val="20"/>
          <w:szCs w:val="20"/>
        </w:rPr>
        <w:t xml:space="preserve">grave </w:t>
      </w:r>
      <w:r w:rsidR="001225A8">
        <w:rPr>
          <w:rFonts w:ascii="Verdana" w:hAnsi="Verdana"/>
          <w:sz w:val="20"/>
          <w:szCs w:val="20"/>
        </w:rPr>
        <w:t>problema de la desigualdad</w:t>
      </w:r>
      <w:r>
        <w:rPr>
          <w:rFonts w:ascii="Verdana" w:hAnsi="Verdana"/>
          <w:sz w:val="20"/>
          <w:szCs w:val="20"/>
        </w:rPr>
        <w:t xml:space="preserve">, </w:t>
      </w:r>
      <w:r w:rsidR="00EB595E">
        <w:rPr>
          <w:rFonts w:ascii="Verdana" w:hAnsi="Verdana"/>
          <w:sz w:val="20"/>
          <w:szCs w:val="20"/>
        </w:rPr>
        <w:t xml:space="preserve">la </w:t>
      </w:r>
      <w:r>
        <w:rPr>
          <w:rFonts w:ascii="Verdana" w:hAnsi="Verdana"/>
          <w:sz w:val="20"/>
          <w:szCs w:val="20"/>
        </w:rPr>
        <w:t xml:space="preserve">inequidad y </w:t>
      </w:r>
      <w:r w:rsidR="00EB595E">
        <w:rPr>
          <w:rFonts w:ascii="Verdana" w:hAnsi="Verdana"/>
          <w:sz w:val="20"/>
          <w:szCs w:val="20"/>
        </w:rPr>
        <w:t xml:space="preserve">la </w:t>
      </w:r>
      <w:r>
        <w:rPr>
          <w:rFonts w:ascii="Verdana" w:hAnsi="Verdana"/>
          <w:sz w:val="20"/>
          <w:szCs w:val="20"/>
        </w:rPr>
        <w:t xml:space="preserve">exclusión </w:t>
      </w:r>
      <w:r w:rsidR="001225A8">
        <w:rPr>
          <w:rFonts w:ascii="Verdana" w:hAnsi="Verdana"/>
          <w:sz w:val="20"/>
          <w:szCs w:val="20"/>
        </w:rPr>
        <w:t xml:space="preserve">social </w:t>
      </w:r>
      <w:r>
        <w:rPr>
          <w:rFonts w:ascii="Verdana" w:hAnsi="Verdana"/>
          <w:sz w:val="20"/>
          <w:szCs w:val="20"/>
        </w:rPr>
        <w:t xml:space="preserve">que prevalecen en la región </w:t>
      </w:r>
      <w:r w:rsidR="001225A8">
        <w:rPr>
          <w:rFonts w:ascii="Verdana" w:hAnsi="Verdana"/>
          <w:sz w:val="20"/>
          <w:szCs w:val="20"/>
        </w:rPr>
        <w:t xml:space="preserve">y </w:t>
      </w:r>
      <w:r>
        <w:rPr>
          <w:rFonts w:ascii="Verdana" w:hAnsi="Verdana"/>
          <w:sz w:val="20"/>
          <w:szCs w:val="20"/>
        </w:rPr>
        <w:t xml:space="preserve">en </w:t>
      </w:r>
      <w:r w:rsidR="001225A8">
        <w:rPr>
          <w:rFonts w:ascii="Verdana" w:hAnsi="Verdana"/>
          <w:sz w:val="20"/>
          <w:szCs w:val="20"/>
        </w:rPr>
        <w:t xml:space="preserve">la desprotección en materia de DESCA sobre todo para los grupos más vulnerables. </w:t>
      </w:r>
    </w:p>
    <w:p w14:paraId="57806A56" w14:textId="77777777" w:rsidR="001225A8" w:rsidRPr="001225A8" w:rsidRDefault="001225A8" w:rsidP="006174F1">
      <w:pPr>
        <w:rPr>
          <w:rFonts w:ascii="Verdana" w:hAnsi="Verdana"/>
          <w:sz w:val="20"/>
          <w:szCs w:val="20"/>
        </w:rPr>
      </w:pPr>
    </w:p>
    <w:p w14:paraId="089CE7A7" w14:textId="72ADE81C" w:rsidR="00711913" w:rsidRPr="00337ACB" w:rsidRDefault="001225A8" w:rsidP="006174F1">
      <w:pPr>
        <w:pStyle w:val="ListParagraph"/>
        <w:ind w:left="0"/>
        <w:jc w:val="both"/>
        <w:rPr>
          <w:rFonts w:ascii="Verdana" w:hAnsi="Verdana"/>
          <w:sz w:val="20"/>
          <w:szCs w:val="20"/>
        </w:rPr>
      </w:pPr>
      <w:r w:rsidRPr="00337ACB">
        <w:rPr>
          <w:rFonts w:ascii="Verdana" w:hAnsi="Verdana"/>
          <w:sz w:val="20"/>
          <w:szCs w:val="20"/>
        </w:rPr>
        <w:t>4</w:t>
      </w:r>
      <w:r w:rsidR="00717FC4" w:rsidRPr="00337ACB">
        <w:rPr>
          <w:rFonts w:ascii="Verdana" w:hAnsi="Verdana"/>
          <w:sz w:val="20"/>
          <w:szCs w:val="20"/>
        </w:rPr>
        <w:t>6</w:t>
      </w:r>
      <w:r w:rsidRPr="00337ACB">
        <w:rPr>
          <w:rFonts w:ascii="Verdana" w:hAnsi="Verdana"/>
          <w:sz w:val="20"/>
          <w:szCs w:val="20"/>
        </w:rPr>
        <w:t xml:space="preserve">. </w:t>
      </w:r>
      <w:r w:rsidRPr="00337ACB">
        <w:rPr>
          <w:rFonts w:ascii="Verdana" w:hAnsi="Verdana"/>
          <w:sz w:val="20"/>
          <w:szCs w:val="20"/>
        </w:rPr>
        <w:tab/>
        <w:t xml:space="preserve">En relación con lo anterior, cabe recordar que la </w:t>
      </w:r>
      <w:r w:rsidR="00E63D1F" w:rsidRPr="00337ACB">
        <w:rPr>
          <w:rFonts w:ascii="Verdana" w:hAnsi="Verdana"/>
          <w:sz w:val="20"/>
          <w:szCs w:val="20"/>
        </w:rPr>
        <w:t xml:space="preserve">Comisión Económica para América Latina y el Caribe (“CEPAL”) </w:t>
      </w:r>
      <w:r w:rsidR="00F54B54" w:rsidRPr="00337ACB">
        <w:rPr>
          <w:rFonts w:ascii="Verdana" w:hAnsi="Verdana"/>
          <w:sz w:val="20"/>
          <w:szCs w:val="20"/>
        </w:rPr>
        <w:t>ha remarcado</w:t>
      </w:r>
      <w:r w:rsidRPr="00337ACB">
        <w:rPr>
          <w:rFonts w:ascii="Verdana" w:hAnsi="Verdana"/>
          <w:sz w:val="20"/>
          <w:szCs w:val="20"/>
        </w:rPr>
        <w:t xml:space="preserve"> que </w:t>
      </w:r>
      <w:r w:rsidR="00E63D1F" w:rsidRPr="00337ACB">
        <w:rPr>
          <w:rFonts w:ascii="Verdana" w:hAnsi="Verdana"/>
          <w:sz w:val="20"/>
          <w:szCs w:val="20"/>
        </w:rPr>
        <w:t>en la región</w:t>
      </w:r>
      <w:r w:rsidR="00F54B54" w:rsidRPr="00337ACB">
        <w:rPr>
          <w:rFonts w:ascii="Verdana" w:hAnsi="Verdana"/>
          <w:sz w:val="20"/>
          <w:szCs w:val="20"/>
        </w:rPr>
        <w:t xml:space="preserve"> </w:t>
      </w:r>
      <w:r w:rsidRPr="00337ACB">
        <w:rPr>
          <w:rFonts w:ascii="Verdana" w:hAnsi="Verdana"/>
          <w:sz w:val="20"/>
          <w:szCs w:val="20"/>
        </w:rPr>
        <w:t>“a pesar de los progresos logrados en el último decenio, sigue siendo la región más desigual del mundo en términos de distribución del ingreso”</w:t>
      </w:r>
      <w:r w:rsidRPr="00337ACB">
        <w:rPr>
          <w:rStyle w:val="FootnoteReference"/>
          <w:rFonts w:ascii="Verdana" w:hAnsi="Verdana"/>
          <w:sz w:val="20"/>
          <w:szCs w:val="20"/>
        </w:rPr>
        <w:footnoteReference w:id="96"/>
      </w:r>
      <w:r w:rsidRPr="00337ACB">
        <w:rPr>
          <w:rFonts w:ascii="Verdana" w:hAnsi="Verdana"/>
          <w:sz w:val="20"/>
          <w:szCs w:val="20"/>
        </w:rPr>
        <w:t xml:space="preserve">. </w:t>
      </w:r>
      <w:r w:rsidR="00F54B54" w:rsidRPr="00337ACB">
        <w:rPr>
          <w:rFonts w:ascii="Verdana" w:hAnsi="Verdana"/>
          <w:sz w:val="20"/>
          <w:szCs w:val="20"/>
        </w:rPr>
        <w:t xml:space="preserve">Y que “la igualdad de derechos” constituye “el eje primordial de la igualdad y se refiere a la </w:t>
      </w:r>
      <w:r w:rsidR="00F54B54" w:rsidRPr="00337ACB">
        <w:rPr>
          <w:rFonts w:ascii="Verdana" w:hAnsi="Verdana"/>
          <w:i/>
          <w:sz w:val="20"/>
          <w:szCs w:val="20"/>
        </w:rPr>
        <w:t>plena titularidad de los derechos económicos, sociales y culturales</w:t>
      </w:r>
      <w:r w:rsidR="00F54B54" w:rsidRPr="00337ACB">
        <w:rPr>
          <w:rFonts w:ascii="Verdana" w:hAnsi="Verdana"/>
          <w:sz w:val="20"/>
          <w:szCs w:val="20"/>
        </w:rPr>
        <w:t xml:space="preserve"> </w:t>
      </w:r>
      <w:r w:rsidR="00F54B54" w:rsidRPr="00337ACB">
        <w:rPr>
          <w:rFonts w:ascii="Verdana" w:eastAsia="Times New Roman" w:hAnsi="Verdana" w:cs="Times New Roman"/>
          <w:sz w:val="20"/>
          <w:szCs w:val="20"/>
          <w:lang w:val="es-MX" w:eastAsia="es-ES_tradnl"/>
        </w:rPr>
        <w:t>[</w:t>
      </w:r>
      <w:r w:rsidR="00F54B54" w:rsidRPr="00337ACB">
        <w:rPr>
          <w:rFonts w:ascii="Verdana" w:eastAsia="Times New Roman" w:hAnsi="Verdana" w:cs="Times New Roman"/>
          <w:i/>
          <w:sz w:val="20"/>
          <w:szCs w:val="20"/>
          <w:lang w:val="es-MX" w:eastAsia="es-ES_tradnl"/>
        </w:rPr>
        <w:t>y medioambientales</w:t>
      </w:r>
      <w:r w:rsidR="00F54B54" w:rsidRPr="00337ACB">
        <w:rPr>
          <w:rFonts w:ascii="Verdana" w:eastAsia="Times New Roman" w:hAnsi="Verdana" w:cs="Times New Roman"/>
          <w:sz w:val="20"/>
          <w:szCs w:val="20"/>
          <w:lang w:val="es-MX" w:eastAsia="es-ES_tradnl"/>
        </w:rPr>
        <w:t>]</w:t>
      </w:r>
      <w:r w:rsidR="00F54B54" w:rsidRPr="00337ACB">
        <w:rPr>
          <w:rFonts w:ascii="UniversLTStd" w:eastAsia="Times New Roman" w:hAnsi="UniversLTStd" w:cs="Times New Roman"/>
          <w:sz w:val="20"/>
          <w:szCs w:val="20"/>
          <w:lang w:val="es-MX" w:eastAsia="es-ES_tradnl"/>
        </w:rPr>
        <w:t xml:space="preserve"> </w:t>
      </w:r>
      <w:r w:rsidR="00F54B54" w:rsidRPr="00337ACB">
        <w:rPr>
          <w:rFonts w:ascii="Verdana" w:hAnsi="Verdana"/>
          <w:sz w:val="20"/>
          <w:szCs w:val="20"/>
        </w:rPr>
        <w:t>como horizonte normativo y práctico para todas las personas, sin distinción de sexo, raza, etnia, edad, religión, origen, situación socioeconómica u otra condición, y a la inclusión de todos los ciudadanos y ciudadanas en la dinámica del desarrollo, lo que implica una efectiva pertenencia a la sociedad y un ejercicio pleno de la ciudadanía”</w:t>
      </w:r>
      <w:r w:rsidR="00F54B54" w:rsidRPr="00337ACB">
        <w:rPr>
          <w:rStyle w:val="FootnoteReference"/>
          <w:rFonts w:ascii="Verdana" w:hAnsi="Verdana"/>
          <w:sz w:val="20"/>
          <w:szCs w:val="20"/>
        </w:rPr>
        <w:t xml:space="preserve"> </w:t>
      </w:r>
      <w:r w:rsidR="00F54B54" w:rsidRPr="00337ACB">
        <w:rPr>
          <w:rStyle w:val="FootnoteReference"/>
          <w:rFonts w:ascii="Verdana" w:hAnsi="Verdana"/>
          <w:sz w:val="20"/>
          <w:szCs w:val="20"/>
        </w:rPr>
        <w:footnoteReference w:id="97"/>
      </w:r>
      <w:r w:rsidR="00F54B54" w:rsidRPr="00337ACB">
        <w:rPr>
          <w:rFonts w:ascii="Verdana" w:hAnsi="Verdana"/>
          <w:sz w:val="20"/>
          <w:szCs w:val="20"/>
        </w:rPr>
        <w:t xml:space="preserve">. </w:t>
      </w:r>
      <w:r w:rsidR="00711913" w:rsidRPr="00337ACB">
        <w:rPr>
          <w:rFonts w:ascii="Verdana" w:hAnsi="Verdana"/>
          <w:sz w:val="20"/>
          <w:szCs w:val="20"/>
        </w:rPr>
        <w:t>No puede pasar inadvertido que la pobreza y la pobreza extrema, sigue</w:t>
      </w:r>
      <w:r w:rsidR="00EB595E" w:rsidRPr="00337ACB">
        <w:rPr>
          <w:rFonts w:ascii="Verdana" w:hAnsi="Verdana"/>
          <w:sz w:val="20"/>
          <w:szCs w:val="20"/>
        </w:rPr>
        <w:t>n</w:t>
      </w:r>
      <w:r w:rsidR="00711913" w:rsidRPr="00337ACB">
        <w:rPr>
          <w:rFonts w:ascii="Verdana" w:hAnsi="Verdana"/>
          <w:sz w:val="20"/>
          <w:szCs w:val="20"/>
        </w:rPr>
        <w:t xml:space="preserve"> siendo un factor de especial preocupación en la región, afectando “más a los niños, adolescentes y jóvenes” y destacando el aumento de la “feminización de la pobreza” en población joven y adulta</w:t>
      </w:r>
      <w:r w:rsidR="00711913" w:rsidRPr="00337ACB">
        <w:rPr>
          <w:rStyle w:val="FootnoteReference"/>
          <w:rFonts w:ascii="Verdana" w:hAnsi="Verdana"/>
          <w:sz w:val="20"/>
          <w:szCs w:val="20"/>
        </w:rPr>
        <w:footnoteReference w:id="98"/>
      </w:r>
      <w:r w:rsidR="00711913" w:rsidRPr="00337ACB">
        <w:rPr>
          <w:rFonts w:ascii="Verdana" w:hAnsi="Verdana"/>
          <w:sz w:val="20"/>
          <w:szCs w:val="20"/>
        </w:rPr>
        <w:t>.</w:t>
      </w:r>
    </w:p>
    <w:p w14:paraId="05BA5BA0" w14:textId="77777777" w:rsidR="00711913" w:rsidRPr="00337ACB" w:rsidRDefault="00711913" w:rsidP="006174F1">
      <w:pPr>
        <w:pStyle w:val="ListParagraph"/>
        <w:ind w:left="0"/>
        <w:jc w:val="both"/>
        <w:rPr>
          <w:rFonts w:ascii="Verdana" w:hAnsi="Verdana"/>
          <w:sz w:val="20"/>
          <w:szCs w:val="20"/>
        </w:rPr>
      </w:pPr>
    </w:p>
    <w:p w14:paraId="3B0845B6" w14:textId="7EED0F11" w:rsidR="000E5114" w:rsidRPr="00274C8A" w:rsidRDefault="00CD173F" w:rsidP="006174F1">
      <w:pPr>
        <w:pStyle w:val="ListParagraph"/>
        <w:ind w:left="0"/>
        <w:jc w:val="both"/>
        <w:rPr>
          <w:rFonts w:ascii="Verdana" w:hAnsi="Verdana"/>
          <w:sz w:val="20"/>
          <w:szCs w:val="20"/>
        </w:rPr>
      </w:pPr>
      <w:r w:rsidRPr="00337ACB">
        <w:rPr>
          <w:rFonts w:ascii="Verdana" w:hAnsi="Verdana"/>
          <w:sz w:val="20"/>
          <w:szCs w:val="20"/>
        </w:rPr>
        <w:t>47</w:t>
      </w:r>
      <w:r w:rsidR="00711913" w:rsidRPr="00337ACB">
        <w:rPr>
          <w:rFonts w:ascii="Verdana" w:hAnsi="Verdana"/>
          <w:sz w:val="20"/>
          <w:szCs w:val="20"/>
        </w:rPr>
        <w:t xml:space="preserve">. </w:t>
      </w:r>
      <w:r w:rsidR="00711913" w:rsidRPr="00337ACB">
        <w:rPr>
          <w:rFonts w:ascii="Verdana" w:hAnsi="Verdana"/>
          <w:sz w:val="20"/>
          <w:szCs w:val="20"/>
        </w:rPr>
        <w:tab/>
      </w:r>
      <w:r w:rsidR="001225A8" w:rsidRPr="00337ACB">
        <w:rPr>
          <w:rFonts w:ascii="Verdana" w:hAnsi="Verdana"/>
          <w:sz w:val="20"/>
          <w:szCs w:val="20"/>
        </w:rPr>
        <w:t>Esta desigualdad regional –y sus consecuencias en materia de protección a los derechos humanos– no puede ser ignorada por la Corte en su jurisprudencia</w:t>
      </w:r>
      <w:r w:rsidR="00F54B54" w:rsidRPr="00337ACB">
        <w:rPr>
          <w:rFonts w:ascii="Verdana" w:hAnsi="Verdana"/>
          <w:sz w:val="20"/>
          <w:szCs w:val="20"/>
        </w:rPr>
        <w:t>, como tampoco lo puede ser los desafíos regionales para el cumplimiento de los Objetivos de la Agenda 2030 para el Desarrollo Sostenible de la ONU</w:t>
      </w:r>
      <w:r w:rsidR="00F54B54" w:rsidRPr="00337ACB">
        <w:rPr>
          <w:rStyle w:val="FootnoteReference"/>
          <w:rFonts w:ascii="Verdana" w:hAnsi="Verdana"/>
          <w:sz w:val="20"/>
          <w:szCs w:val="20"/>
        </w:rPr>
        <w:footnoteReference w:id="99"/>
      </w:r>
      <w:r w:rsidR="001225A8" w:rsidRPr="00337ACB">
        <w:rPr>
          <w:rFonts w:ascii="Verdana" w:hAnsi="Verdana"/>
          <w:sz w:val="20"/>
          <w:szCs w:val="20"/>
        </w:rPr>
        <w:t>. La Sentencia se suma a esta tendencia regional, tanto en su análisis como en su resultado, y de esa forma se transforma en un elemento más para la construcción de un derecho común latinoamericano en materia de protección a los derechos económicos, sociales, culturales y ambientales.</w:t>
      </w:r>
    </w:p>
    <w:p w14:paraId="69758411" w14:textId="77777777" w:rsidR="000E5114" w:rsidRDefault="000E5114" w:rsidP="006174F1">
      <w:pPr>
        <w:pStyle w:val="ListParagraph"/>
        <w:ind w:left="0"/>
        <w:jc w:val="both"/>
        <w:rPr>
          <w:rFonts w:ascii="Verdana" w:hAnsi="Verdana"/>
          <w:sz w:val="20"/>
          <w:szCs w:val="20"/>
        </w:rPr>
      </w:pPr>
    </w:p>
    <w:p w14:paraId="46E06193" w14:textId="77777777" w:rsidR="00006216" w:rsidRDefault="00006216" w:rsidP="006174F1">
      <w:pPr>
        <w:pStyle w:val="ListParagraph"/>
        <w:ind w:left="0"/>
        <w:jc w:val="both"/>
        <w:rPr>
          <w:rFonts w:ascii="Verdana" w:hAnsi="Verdana"/>
          <w:sz w:val="20"/>
          <w:szCs w:val="20"/>
        </w:rPr>
      </w:pPr>
    </w:p>
    <w:p w14:paraId="651DDEC6" w14:textId="77777777" w:rsidR="00006216" w:rsidRDefault="00006216" w:rsidP="006174F1">
      <w:pPr>
        <w:pStyle w:val="ListParagraph"/>
        <w:ind w:left="0"/>
        <w:jc w:val="both"/>
        <w:rPr>
          <w:rFonts w:ascii="Verdana" w:hAnsi="Verdana"/>
          <w:sz w:val="20"/>
          <w:szCs w:val="20"/>
        </w:rPr>
      </w:pPr>
    </w:p>
    <w:p w14:paraId="45F845B2" w14:textId="77777777" w:rsidR="00006216" w:rsidRDefault="00006216" w:rsidP="006174F1">
      <w:pPr>
        <w:pStyle w:val="ListParagraph"/>
        <w:ind w:left="0"/>
        <w:jc w:val="both"/>
        <w:rPr>
          <w:rFonts w:ascii="Verdana" w:hAnsi="Verdana"/>
          <w:sz w:val="20"/>
          <w:szCs w:val="20"/>
        </w:rPr>
      </w:pPr>
    </w:p>
    <w:p w14:paraId="290C1FD1" w14:textId="77777777" w:rsidR="00006216" w:rsidRDefault="00006216" w:rsidP="006174F1">
      <w:pPr>
        <w:pStyle w:val="ListParagraph"/>
        <w:ind w:left="0"/>
        <w:jc w:val="both"/>
        <w:rPr>
          <w:rFonts w:ascii="Verdana" w:hAnsi="Verdana"/>
          <w:sz w:val="20"/>
          <w:szCs w:val="20"/>
        </w:rPr>
      </w:pPr>
    </w:p>
    <w:p w14:paraId="54B4C142" w14:textId="77777777" w:rsidR="00006216" w:rsidRPr="001B4A16" w:rsidRDefault="00006216" w:rsidP="00006216">
      <w:pPr>
        <w:pStyle w:val="NormalWeb"/>
        <w:spacing w:before="0" w:beforeAutospacing="0" w:after="0" w:afterAutospacing="0"/>
        <w:ind w:left="3600" w:right="96" w:firstLine="720"/>
        <w:jc w:val="center"/>
        <w:rPr>
          <w:rFonts w:ascii="Verdana" w:eastAsia="Calibri" w:hAnsi="Verdana"/>
          <w:lang w:eastAsia="en-US"/>
        </w:rPr>
      </w:pPr>
      <w:r>
        <w:rPr>
          <w:rFonts w:ascii="Verdana" w:eastAsia="Calibri" w:hAnsi="Verdana"/>
          <w:lang w:eastAsia="en-US"/>
        </w:rPr>
        <w:t xml:space="preserve">          </w:t>
      </w:r>
      <w:r w:rsidRPr="001B4A16">
        <w:rPr>
          <w:rFonts w:ascii="Verdana" w:eastAsia="Calibri" w:hAnsi="Verdana"/>
          <w:lang w:eastAsia="en-US"/>
        </w:rPr>
        <w:t>Eduardo Ferrer Mac-Gregor Poisot</w:t>
      </w:r>
    </w:p>
    <w:p w14:paraId="3566D712" w14:textId="77777777" w:rsidR="00006216" w:rsidRPr="004E73F3" w:rsidRDefault="00006216" w:rsidP="00006216">
      <w:pPr>
        <w:pStyle w:val="NormalWeb"/>
        <w:spacing w:before="0" w:beforeAutospacing="0" w:after="0" w:afterAutospacing="0"/>
        <w:ind w:left="3960" w:right="96" w:firstLine="360"/>
        <w:jc w:val="center"/>
        <w:rPr>
          <w:rFonts w:ascii="Verdana" w:eastAsia="Calibri" w:hAnsi="Verdana"/>
          <w:lang w:eastAsia="en-US"/>
        </w:rPr>
      </w:pPr>
      <w:r>
        <w:rPr>
          <w:rFonts w:ascii="Verdana" w:eastAsia="Calibri" w:hAnsi="Verdana"/>
          <w:lang w:eastAsia="en-US"/>
        </w:rPr>
        <w:t xml:space="preserve">         </w:t>
      </w:r>
      <w:r w:rsidRPr="001B4A16">
        <w:rPr>
          <w:rFonts w:ascii="Verdana" w:eastAsia="Calibri" w:hAnsi="Verdana"/>
          <w:lang w:eastAsia="en-US"/>
        </w:rPr>
        <w:t>Juez</w:t>
      </w:r>
    </w:p>
    <w:p w14:paraId="45559C10" w14:textId="77777777" w:rsidR="00006216" w:rsidRDefault="00006216" w:rsidP="00006216">
      <w:pPr>
        <w:rPr>
          <w:lang w:val="es-CR"/>
        </w:rPr>
      </w:pPr>
    </w:p>
    <w:p w14:paraId="0050F971" w14:textId="77777777" w:rsidR="00006216" w:rsidRDefault="00006216" w:rsidP="00006216">
      <w:pPr>
        <w:rPr>
          <w:lang w:val="es-CR"/>
        </w:rPr>
      </w:pPr>
    </w:p>
    <w:p w14:paraId="3D7E1F8B" w14:textId="77777777" w:rsidR="00006216" w:rsidRDefault="00006216" w:rsidP="00006216">
      <w:pPr>
        <w:rPr>
          <w:lang w:val="es-CR"/>
        </w:rPr>
      </w:pPr>
    </w:p>
    <w:p w14:paraId="2A8CF9E1" w14:textId="77777777" w:rsidR="00006216" w:rsidRDefault="00006216" w:rsidP="00006216">
      <w:pPr>
        <w:rPr>
          <w:lang w:val="es-CR"/>
        </w:rPr>
      </w:pPr>
    </w:p>
    <w:p w14:paraId="7D5B018E" w14:textId="77777777" w:rsidR="00006216" w:rsidRPr="001B4A16" w:rsidRDefault="00006216" w:rsidP="00006216">
      <w:pPr>
        <w:rPr>
          <w:lang w:val="es-CR"/>
        </w:rPr>
      </w:pPr>
    </w:p>
    <w:p w14:paraId="2757961B" w14:textId="77777777" w:rsidR="00006216" w:rsidRPr="005E7FB7" w:rsidRDefault="00006216" w:rsidP="00006216">
      <w:pPr>
        <w:rPr>
          <w:rFonts w:ascii="Verdana" w:hAnsi="Verdana"/>
          <w:sz w:val="20"/>
          <w:szCs w:val="20"/>
          <w:lang w:val="es-CR"/>
        </w:rPr>
      </w:pPr>
      <w:r>
        <w:rPr>
          <w:rFonts w:ascii="Verdana" w:hAnsi="Verdana"/>
          <w:sz w:val="20"/>
          <w:szCs w:val="20"/>
          <w:lang w:val="es-CR"/>
        </w:rPr>
        <w:t xml:space="preserve">      </w:t>
      </w:r>
      <w:r w:rsidRPr="005E7FB7">
        <w:rPr>
          <w:rFonts w:ascii="Verdana" w:hAnsi="Verdana"/>
          <w:sz w:val="20"/>
          <w:szCs w:val="20"/>
          <w:lang w:val="es-CR"/>
        </w:rPr>
        <w:t>Pablo Saavedra Alessandri</w:t>
      </w:r>
    </w:p>
    <w:p w14:paraId="512D5F7B" w14:textId="6626447A" w:rsidR="00006216" w:rsidRPr="006D2DE2" w:rsidRDefault="00006216" w:rsidP="00006216">
      <w:pPr>
        <w:pStyle w:val="ListParagraph"/>
        <w:ind w:left="0"/>
        <w:jc w:val="both"/>
        <w:rPr>
          <w:rFonts w:ascii="Verdana" w:hAnsi="Verdana"/>
          <w:sz w:val="20"/>
          <w:szCs w:val="20"/>
        </w:rPr>
      </w:pPr>
      <w:r w:rsidRPr="005E7FB7">
        <w:rPr>
          <w:rFonts w:ascii="Verdana" w:hAnsi="Verdana"/>
          <w:sz w:val="20"/>
          <w:szCs w:val="20"/>
          <w:lang w:val="es-CR"/>
        </w:rPr>
        <w:tab/>
      </w:r>
      <w:r>
        <w:rPr>
          <w:rFonts w:ascii="Verdana" w:hAnsi="Verdana"/>
          <w:sz w:val="20"/>
          <w:szCs w:val="20"/>
          <w:lang w:val="es-CR"/>
        </w:rPr>
        <w:t xml:space="preserve">     </w:t>
      </w:r>
      <w:r w:rsidRPr="005E7FB7">
        <w:rPr>
          <w:rFonts w:ascii="Verdana" w:hAnsi="Verdana"/>
          <w:sz w:val="20"/>
          <w:szCs w:val="20"/>
          <w:lang w:val="es-CR"/>
        </w:rPr>
        <w:t>Secretario</w:t>
      </w:r>
    </w:p>
    <w:sectPr w:rsidR="00006216" w:rsidRPr="006D2DE2" w:rsidSect="00484365">
      <w:footerReference w:type="even" r:id="rId9"/>
      <w:footerReference w:type="default" r:id="rId10"/>
      <w:pgSz w:w="12240" w:h="15840"/>
      <w:pgMar w:top="1417" w:right="1418" w:bottom="1417" w:left="1418"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56B8F2" w15:done="0"/>
  <w15:commentEx w15:paraId="49A9A973" w15:done="0"/>
  <w15:commentEx w15:paraId="40FB5A35" w15:done="0"/>
  <w15:commentEx w15:paraId="5F83EE37" w15:done="0"/>
  <w15:commentEx w15:paraId="44DE7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6B8F2" w16cid:durableId="1F620120"/>
  <w16cid:commentId w16cid:paraId="49A9A973" w16cid:durableId="1F61C4AD"/>
  <w16cid:commentId w16cid:paraId="40FB5A35" w16cid:durableId="1F60D7A4"/>
  <w16cid:commentId w16cid:paraId="5F83EE37" w16cid:durableId="1F60EE89"/>
  <w16cid:commentId w16cid:paraId="44DE7ED3" w16cid:durableId="1F61DB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B6B64" w14:textId="77777777" w:rsidR="00525A83" w:rsidRDefault="00525A83" w:rsidP="005715A6">
      <w:r>
        <w:separator/>
      </w:r>
    </w:p>
  </w:endnote>
  <w:endnote w:type="continuationSeparator" w:id="0">
    <w:p w14:paraId="140D81A7" w14:textId="77777777" w:rsidR="00525A83" w:rsidRDefault="00525A83" w:rsidP="0057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Cuerpo en alfa">
    <w:panose1 w:val="00000000000000000000"/>
    <w:charset w:val="00"/>
    <w:family w:val="roman"/>
    <w:notTrueType/>
    <w:pitch w:val="default"/>
  </w:font>
  <w:font w:name="System Font Regular">
    <w:charset w:val="00"/>
    <w:family w:val="auto"/>
    <w:pitch w:val="variable"/>
    <w:sig w:usb0="2000028F" w:usb1="00000003" w:usb2="00000000" w:usb3="00000000" w:csb0="0000019F" w:csb1="00000000"/>
  </w:font>
  <w:font w:name="UniversLTStd">
    <w:altName w:val="Cambria"/>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1041" w14:textId="77777777" w:rsidR="00A74C00" w:rsidRDefault="00A74C00" w:rsidP="0048436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7B15C" w14:textId="77777777" w:rsidR="00A74C00" w:rsidRDefault="00A74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0B7E" w14:textId="77777777" w:rsidR="00A74C00" w:rsidRPr="002747B7" w:rsidRDefault="00A74C00" w:rsidP="00484365">
    <w:pPr>
      <w:pStyle w:val="Footer"/>
      <w:framePr w:wrap="none" w:vAnchor="text" w:hAnchor="margin" w:xAlign="center" w:y="1"/>
      <w:rPr>
        <w:rStyle w:val="PageNumber"/>
        <w:rFonts w:ascii="Verdana" w:hAnsi="Verdana"/>
        <w:sz w:val="20"/>
        <w:szCs w:val="20"/>
      </w:rPr>
    </w:pPr>
    <w:r w:rsidRPr="002747B7">
      <w:rPr>
        <w:rStyle w:val="PageNumber"/>
        <w:rFonts w:ascii="Verdana" w:hAnsi="Verdana"/>
        <w:sz w:val="20"/>
        <w:szCs w:val="20"/>
      </w:rPr>
      <w:fldChar w:fldCharType="begin"/>
    </w:r>
    <w:r w:rsidRPr="002747B7">
      <w:rPr>
        <w:rStyle w:val="PageNumber"/>
        <w:rFonts w:ascii="Verdana" w:hAnsi="Verdana"/>
        <w:sz w:val="20"/>
        <w:szCs w:val="20"/>
      </w:rPr>
      <w:instrText xml:space="preserve">PAGE  </w:instrText>
    </w:r>
    <w:r w:rsidRPr="002747B7">
      <w:rPr>
        <w:rStyle w:val="PageNumber"/>
        <w:rFonts w:ascii="Verdana" w:hAnsi="Verdana"/>
        <w:sz w:val="20"/>
        <w:szCs w:val="20"/>
      </w:rPr>
      <w:fldChar w:fldCharType="separate"/>
    </w:r>
    <w:r w:rsidR="00FB0BE3">
      <w:rPr>
        <w:rStyle w:val="PageNumber"/>
        <w:rFonts w:ascii="Verdana" w:hAnsi="Verdana"/>
        <w:noProof/>
        <w:sz w:val="20"/>
        <w:szCs w:val="20"/>
      </w:rPr>
      <w:t>8</w:t>
    </w:r>
    <w:r w:rsidRPr="002747B7">
      <w:rPr>
        <w:rStyle w:val="PageNumber"/>
        <w:rFonts w:ascii="Verdana" w:hAnsi="Verdana"/>
        <w:sz w:val="20"/>
        <w:szCs w:val="20"/>
      </w:rPr>
      <w:fldChar w:fldCharType="end"/>
    </w:r>
  </w:p>
  <w:p w14:paraId="144547CC" w14:textId="77777777" w:rsidR="00A74C00" w:rsidRDefault="00A74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3938" w14:textId="77777777" w:rsidR="00525A83" w:rsidRDefault="00525A83" w:rsidP="005715A6">
      <w:r>
        <w:separator/>
      </w:r>
    </w:p>
  </w:footnote>
  <w:footnote w:type="continuationSeparator" w:id="0">
    <w:p w14:paraId="28291323" w14:textId="77777777" w:rsidR="00525A83" w:rsidRDefault="00525A83" w:rsidP="005715A6">
      <w:r>
        <w:continuationSeparator/>
      </w:r>
    </w:p>
  </w:footnote>
  <w:footnote w:id="1">
    <w:p w14:paraId="6FFE8F71" w14:textId="48EF9D74" w:rsidR="00A74C00" w:rsidRPr="006E2B9B" w:rsidRDefault="00A74C00" w:rsidP="000C2783">
      <w:pPr>
        <w:pStyle w:val="FootnoteText"/>
        <w:spacing w:after="240"/>
        <w:jc w:val="both"/>
        <w:rPr>
          <w:rFonts w:ascii="Verdana" w:hAnsi="Verdana"/>
          <w:bCs/>
          <w:color w:val="000000"/>
          <w:sz w:val="16"/>
          <w:szCs w:val="16"/>
          <w:shd w:val="clear" w:color="auto" w:fill="FFFFFF"/>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Cfr</w:t>
      </w:r>
      <w:r w:rsidRPr="00ED0BF3">
        <w:rPr>
          <w:rFonts w:ascii="Verdana" w:hAnsi="Verdana"/>
          <w:i/>
          <w:sz w:val="16"/>
          <w:szCs w:val="16"/>
        </w:rPr>
        <w:t xml:space="preserve">. </w:t>
      </w:r>
      <w:r w:rsidRPr="00ED0BF3">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ED0BF3">
        <w:rPr>
          <w:rStyle w:val="Strong"/>
          <w:rFonts w:ascii="Verdana" w:hAnsi="Verdana"/>
          <w:b w:val="0"/>
          <w:i/>
          <w:color w:val="000000"/>
          <w:sz w:val="16"/>
          <w:szCs w:val="16"/>
          <w:shd w:val="clear" w:color="auto" w:fill="FFFFFF"/>
        </w:rPr>
        <w:t>, Fondo, Reparaciones y Costas.</w:t>
      </w:r>
      <w:r w:rsidR="00ED0BF3">
        <w:rPr>
          <w:rStyle w:val="Strong"/>
          <w:rFonts w:ascii="Verdana" w:hAnsi="Verdana"/>
          <w:b w:val="0"/>
          <w:i/>
          <w:color w:val="000000"/>
          <w:sz w:val="16"/>
          <w:szCs w:val="16"/>
          <w:shd w:val="clear" w:color="auto" w:fill="FFFFFF"/>
        </w:rPr>
        <w:t xml:space="preserve"> </w:t>
      </w:r>
      <w:r w:rsidRPr="00ED0BF3">
        <w:rPr>
          <w:rStyle w:val="Strong"/>
          <w:rFonts w:ascii="Verdana" w:hAnsi="Verdana"/>
          <w:b w:val="0"/>
          <w:color w:val="000000"/>
          <w:sz w:val="16"/>
          <w:szCs w:val="16"/>
          <w:shd w:val="clear" w:color="auto" w:fill="FFFFFF"/>
        </w:rPr>
        <w:t xml:space="preserve">Sentencia de </w:t>
      </w:r>
      <w:r w:rsidR="006B19D3" w:rsidRPr="00ED0BF3">
        <w:rPr>
          <w:rStyle w:val="Strong"/>
          <w:rFonts w:ascii="Verdana" w:hAnsi="Verdana"/>
          <w:b w:val="0"/>
          <w:color w:val="000000"/>
          <w:sz w:val="16"/>
          <w:szCs w:val="16"/>
          <w:shd w:val="clear" w:color="auto" w:fill="FFFFFF"/>
        </w:rPr>
        <w:t>23</w:t>
      </w:r>
      <w:r w:rsidRPr="00ED0BF3">
        <w:rPr>
          <w:rStyle w:val="Strong"/>
          <w:rFonts w:ascii="Verdana" w:hAnsi="Verdana"/>
          <w:b w:val="0"/>
          <w:color w:val="000000"/>
          <w:sz w:val="16"/>
          <w:szCs w:val="16"/>
          <w:shd w:val="clear" w:color="auto" w:fill="FFFFFF"/>
        </w:rPr>
        <w:t xml:space="preserve"> de agosto</w:t>
      </w:r>
      <w:r w:rsidRPr="00B6213F">
        <w:rPr>
          <w:rStyle w:val="Strong"/>
          <w:rFonts w:ascii="Verdana" w:hAnsi="Verdana"/>
          <w:b w:val="0"/>
          <w:color w:val="000000"/>
          <w:sz w:val="16"/>
          <w:szCs w:val="16"/>
          <w:shd w:val="clear" w:color="auto" w:fill="FFFFFF"/>
        </w:rPr>
        <w:t xml:space="preserve"> de 2018. Serie C No. </w:t>
      </w:r>
      <w:r w:rsidR="001977A4">
        <w:rPr>
          <w:rStyle w:val="Strong"/>
          <w:rFonts w:ascii="Verdana" w:hAnsi="Verdana"/>
          <w:b w:val="0"/>
          <w:color w:val="000000"/>
          <w:sz w:val="16"/>
          <w:szCs w:val="16"/>
          <w:shd w:val="clear" w:color="auto" w:fill="FFFFFF"/>
        </w:rPr>
        <w:t>359</w:t>
      </w:r>
      <w:r w:rsidRPr="00B6213F">
        <w:rPr>
          <w:rStyle w:val="Strong"/>
          <w:rFonts w:ascii="Verdana" w:hAnsi="Verdana"/>
          <w:b w:val="0"/>
          <w:color w:val="000000"/>
          <w:sz w:val="16"/>
          <w:szCs w:val="16"/>
          <w:shd w:val="clear" w:color="auto" w:fill="FFFFFF"/>
        </w:rPr>
        <w:t>.</w:t>
      </w:r>
    </w:p>
  </w:footnote>
  <w:footnote w:id="2">
    <w:p w14:paraId="13D1E1A8" w14:textId="54E36D46" w:rsidR="00A74C00" w:rsidRPr="00ED0BF3" w:rsidRDefault="00A74C00" w:rsidP="000C2783">
      <w:pPr>
        <w:pStyle w:val="FootnoteText"/>
        <w:spacing w:after="240"/>
        <w:jc w:val="both"/>
        <w:rPr>
          <w:rFonts w:ascii="Verdana" w:hAnsi="Verdana"/>
          <w:sz w:val="16"/>
          <w:szCs w:val="16"/>
        </w:rPr>
      </w:pPr>
      <w:r w:rsidRPr="00ED0BF3">
        <w:rPr>
          <w:rStyle w:val="FootnoteReference"/>
          <w:rFonts w:ascii="Verdana" w:hAnsi="Verdana"/>
          <w:sz w:val="16"/>
          <w:szCs w:val="16"/>
        </w:rPr>
        <w:footnoteRef/>
      </w:r>
      <w:r w:rsidRPr="00ED0BF3">
        <w:rPr>
          <w:rFonts w:ascii="Verdana" w:hAnsi="Verdana"/>
          <w:sz w:val="16"/>
          <w:szCs w:val="16"/>
        </w:rPr>
        <w:t xml:space="preserve"> </w:t>
      </w:r>
      <w:r w:rsidRPr="00ED0BF3">
        <w:rPr>
          <w:rFonts w:ascii="Verdana" w:hAnsi="Verdana"/>
          <w:sz w:val="16"/>
          <w:szCs w:val="16"/>
        </w:rPr>
        <w:tab/>
      </w:r>
      <w:r w:rsidRPr="00ED0BF3">
        <w:rPr>
          <w:rFonts w:ascii="Verdana" w:hAnsi="Verdana"/>
          <w:i/>
          <w:sz w:val="16"/>
          <w:szCs w:val="16"/>
        </w:rPr>
        <w:t xml:space="preserve">Cfr. </w:t>
      </w:r>
      <w:r w:rsidRPr="00ED0BF3">
        <w:rPr>
          <w:rStyle w:val="Strong"/>
          <w:rFonts w:ascii="Verdana" w:hAnsi="Verdana"/>
          <w:b w:val="0"/>
          <w:i/>
          <w:color w:val="000000"/>
          <w:sz w:val="16"/>
          <w:szCs w:val="16"/>
          <w:shd w:val="clear" w:color="auto" w:fill="FFFFFF"/>
        </w:rPr>
        <w:t>Caso Acevedo Buendía y otros (“Cesantes y Jubilados de la Contraloría”) Vs. Perú. Excepción Preliminar, Fondo, Reparaciones y Costas</w:t>
      </w:r>
      <w:r w:rsidRPr="00ED0BF3">
        <w:rPr>
          <w:rStyle w:val="Strong"/>
          <w:rFonts w:ascii="Verdana" w:hAnsi="Verdana"/>
          <w:b w:val="0"/>
          <w:color w:val="000000"/>
          <w:sz w:val="16"/>
          <w:szCs w:val="16"/>
          <w:shd w:val="clear" w:color="auto" w:fill="FFFFFF"/>
        </w:rPr>
        <w:t>. Sentencia de 1 de julio de 2009. Serie C No. 198.</w:t>
      </w:r>
    </w:p>
  </w:footnote>
  <w:footnote w:id="3">
    <w:p w14:paraId="75CAAA64" w14:textId="33E3F9A3" w:rsidR="00A74C00" w:rsidRPr="00ED0BF3" w:rsidRDefault="00A74C00" w:rsidP="000C2783">
      <w:pPr>
        <w:pStyle w:val="FootnoteText"/>
        <w:spacing w:after="240"/>
        <w:jc w:val="both"/>
        <w:rPr>
          <w:rFonts w:ascii="Verdana" w:hAnsi="Verdana"/>
          <w:sz w:val="16"/>
          <w:szCs w:val="16"/>
        </w:rPr>
      </w:pPr>
      <w:r w:rsidRPr="00ED0BF3">
        <w:rPr>
          <w:rStyle w:val="FootnoteReference"/>
          <w:rFonts w:ascii="Verdana" w:hAnsi="Verdana"/>
          <w:sz w:val="16"/>
          <w:szCs w:val="16"/>
        </w:rPr>
        <w:footnoteRef/>
      </w:r>
      <w:r w:rsidRPr="00ED0BF3">
        <w:rPr>
          <w:rFonts w:ascii="Verdana" w:hAnsi="Verdana"/>
          <w:sz w:val="16"/>
          <w:szCs w:val="16"/>
        </w:rPr>
        <w:t xml:space="preserve"> </w:t>
      </w:r>
      <w:r w:rsidRPr="00ED0BF3">
        <w:rPr>
          <w:rFonts w:ascii="Verdana" w:hAnsi="Verdana"/>
          <w:sz w:val="16"/>
          <w:szCs w:val="16"/>
        </w:rPr>
        <w:tab/>
      </w:r>
      <w:r w:rsidRPr="00ED0BF3">
        <w:rPr>
          <w:rFonts w:ascii="Verdana" w:hAnsi="Verdana"/>
          <w:i/>
          <w:sz w:val="16"/>
          <w:szCs w:val="16"/>
        </w:rPr>
        <w:t xml:space="preserve">Cfr. </w:t>
      </w:r>
      <w:r w:rsidRPr="00ED0BF3">
        <w:rPr>
          <w:rStyle w:val="Strong"/>
          <w:rFonts w:ascii="Verdana" w:hAnsi="Verdana"/>
          <w:b w:val="0"/>
          <w:i/>
          <w:color w:val="000000"/>
          <w:sz w:val="16"/>
          <w:szCs w:val="16"/>
          <w:shd w:val="clear" w:color="auto" w:fill="FFFFFF"/>
        </w:rPr>
        <w:t>Caso Lagos del Campo Vs. Perú. Excepciones Preliminares, Fondo, Reparaciones y Costas.</w:t>
      </w:r>
      <w:r w:rsidRPr="00ED0BF3">
        <w:rPr>
          <w:rStyle w:val="Strong"/>
          <w:rFonts w:ascii="Verdana" w:hAnsi="Verdana"/>
          <w:b w:val="0"/>
          <w:color w:val="000000"/>
          <w:sz w:val="16"/>
          <w:szCs w:val="16"/>
          <w:shd w:val="clear" w:color="auto" w:fill="FFFFFF"/>
        </w:rPr>
        <w:t xml:space="preserve"> Sentencia de 31 de agosto de 2017. Serie C No. 340.</w:t>
      </w:r>
    </w:p>
  </w:footnote>
  <w:footnote w:id="4">
    <w:p w14:paraId="7AF7BFA7" w14:textId="4BECA892" w:rsidR="00A74C00" w:rsidRPr="00ED0BF3" w:rsidRDefault="00A74C00" w:rsidP="000C2783">
      <w:pPr>
        <w:pStyle w:val="FootnoteText"/>
        <w:spacing w:after="240"/>
        <w:jc w:val="both"/>
        <w:rPr>
          <w:rFonts w:ascii="Verdana" w:hAnsi="Verdana"/>
          <w:sz w:val="16"/>
          <w:szCs w:val="16"/>
        </w:rPr>
      </w:pPr>
      <w:r w:rsidRPr="00ED0BF3">
        <w:rPr>
          <w:rStyle w:val="FootnoteReference"/>
          <w:rFonts w:ascii="Verdana" w:hAnsi="Verdana"/>
          <w:sz w:val="16"/>
          <w:szCs w:val="16"/>
        </w:rPr>
        <w:footnoteRef/>
      </w:r>
      <w:r w:rsidRPr="00ED0BF3">
        <w:rPr>
          <w:rFonts w:ascii="Verdana" w:hAnsi="Verdana"/>
          <w:sz w:val="16"/>
          <w:szCs w:val="16"/>
        </w:rPr>
        <w:t xml:space="preserve"> </w:t>
      </w:r>
      <w:r w:rsidRPr="00ED0BF3">
        <w:rPr>
          <w:rFonts w:ascii="Verdana" w:hAnsi="Verdana"/>
          <w:sz w:val="16"/>
          <w:szCs w:val="16"/>
        </w:rPr>
        <w:tab/>
      </w:r>
      <w:r w:rsidRPr="00ED0BF3">
        <w:rPr>
          <w:rFonts w:ascii="Verdana" w:hAnsi="Verdana"/>
          <w:i/>
          <w:sz w:val="16"/>
          <w:szCs w:val="16"/>
        </w:rPr>
        <w:t xml:space="preserve">Cfr. Caso Trabajadores Cesados de Petroperú y otros Vs. Perú. Excepciones Preliminares, Fondo, Reparaciones y Costas. </w:t>
      </w:r>
      <w:r w:rsidRPr="00ED0BF3">
        <w:rPr>
          <w:rFonts w:ascii="Verdana" w:hAnsi="Verdana"/>
          <w:sz w:val="16"/>
          <w:szCs w:val="16"/>
        </w:rPr>
        <w:t>Sentencia de 23 de noviembre de 2017. Serie C No. 344.</w:t>
      </w:r>
    </w:p>
  </w:footnote>
  <w:footnote w:id="5">
    <w:p w14:paraId="0D80574B" w14:textId="510BD862" w:rsidR="00A74C00" w:rsidRPr="00ED0BF3" w:rsidRDefault="00A74C00" w:rsidP="000C2783">
      <w:pPr>
        <w:pStyle w:val="FootnoteText"/>
        <w:spacing w:after="240"/>
        <w:jc w:val="both"/>
        <w:rPr>
          <w:rFonts w:ascii="Verdana" w:hAnsi="Verdana"/>
          <w:sz w:val="16"/>
          <w:szCs w:val="16"/>
        </w:rPr>
      </w:pPr>
      <w:r w:rsidRPr="00ED0BF3">
        <w:rPr>
          <w:rStyle w:val="FootnoteReference"/>
          <w:rFonts w:ascii="Verdana" w:hAnsi="Verdana"/>
          <w:sz w:val="16"/>
          <w:szCs w:val="16"/>
        </w:rPr>
        <w:footnoteRef/>
      </w:r>
      <w:r w:rsidRPr="00ED0BF3">
        <w:rPr>
          <w:rFonts w:ascii="Verdana" w:hAnsi="Verdana"/>
          <w:sz w:val="16"/>
          <w:szCs w:val="16"/>
        </w:rPr>
        <w:t xml:space="preserve"> </w:t>
      </w:r>
      <w:r w:rsidRPr="00ED0BF3">
        <w:rPr>
          <w:rFonts w:ascii="Verdana" w:hAnsi="Verdana"/>
          <w:sz w:val="16"/>
          <w:szCs w:val="16"/>
        </w:rPr>
        <w:tab/>
      </w:r>
      <w:r w:rsidRPr="00ED0BF3">
        <w:rPr>
          <w:rFonts w:ascii="Verdana" w:hAnsi="Verdana"/>
          <w:i/>
          <w:sz w:val="16"/>
          <w:szCs w:val="16"/>
        </w:rPr>
        <w:t>Cfr.</w:t>
      </w:r>
      <w:r w:rsidRPr="00ED0BF3">
        <w:rPr>
          <w:rStyle w:val="Strong"/>
          <w:rFonts w:ascii="Verdana" w:hAnsi="Verdana"/>
          <w:b w:val="0"/>
          <w:i/>
          <w:color w:val="000000"/>
          <w:sz w:val="16"/>
          <w:szCs w:val="16"/>
          <w:shd w:val="clear" w:color="auto" w:fill="FFFFFF"/>
        </w:rPr>
        <w:t xml:space="preserve"> Caso</w:t>
      </w:r>
      <w:r w:rsidRPr="00ED0BF3">
        <w:rPr>
          <w:rStyle w:val="Strong"/>
          <w:rFonts w:ascii="Verdana" w:hAnsi="Verdana"/>
          <w:b w:val="0"/>
          <w:color w:val="000000"/>
          <w:sz w:val="16"/>
          <w:szCs w:val="16"/>
          <w:shd w:val="clear" w:color="auto" w:fill="FFFFFF"/>
        </w:rPr>
        <w:t xml:space="preserve"> </w:t>
      </w:r>
      <w:r w:rsidRPr="00ED0BF3">
        <w:rPr>
          <w:rStyle w:val="Strong"/>
          <w:rFonts w:ascii="Verdana" w:hAnsi="Verdana"/>
          <w:b w:val="0"/>
          <w:i/>
          <w:color w:val="000000"/>
          <w:sz w:val="16"/>
          <w:szCs w:val="16"/>
          <w:shd w:val="clear" w:color="auto" w:fill="FFFFFF"/>
        </w:rPr>
        <w:t>San Miguel Sosa y otras Vs. Venezuela. Fondo, Reparaciones y Costas</w:t>
      </w:r>
      <w:r w:rsidRPr="00ED0BF3">
        <w:rPr>
          <w:rStyle w:val="Strong"/>
          <w:rFonts w:ascii="Verdana" w:hAnsi="Verdana"/>
          <w:b w:val="0"/>
          <w:color w:val="000000"/>
          <w:sz w:val="16"/>
          <w:szCs w:val="16"/>
          <w:shd w:val="clear" w:color="auto" w:fill="FFFFFF"/>
        </w:rPr>
        <w:t>. Sentencia de 8 de febrero de 2018. Serie C No. 348.</w:t>
      </w:r>
    </w:p>
  </w:footnote>
  <w:footnote w:id="6">
    <w:p w14:paraId="0FA181D6" w14:textId="4E78FE4B" w:rsidR="00A74C00" w:rsidRPr="00ED0BF3" w:rsidRDefault="00A74C00" w:rsidP="000C2783">
      <w:pPr>
        <w:pStyle w:val="FootnoteText"/>
        <w:spacing w:after="240"/>
        <w:jc w:val="both"/>
        <w:rPr>
          <w:rFonts w:ascii="Verdana" w:hAnsi="Verdana"/>
          <w:sz w:val="16"/>
          <w:szCs w:val="16"/>
        </w:rPr>
      </w:pPr>
      <w:r w:rsidRPr="00ED0BF3">
        <w:rPr>
          <w:rStyle w:val="FootnoteReference"/>
          <w:rFonts w:ascii="Verdana" w:hAnsi="Verdana"/>
          <w:sz w:val="16"/>
          <w:szCs w:val="16"/>
        </w:rPr>
        <w:footnoteRef/>
      </w:r>
      <w:r w:rsidRPr="00ED0BF3">
        <w:rPr>
          <w:rFonts w:ascii="Verdana" w:hAnsi="Verdana"/>
          <w:sz w:val="16"/>
          <w:szCs w:val="16"/>
        </w:rPr>
        <w:t xml:space="preserve"> </w:t>
      </w:r>
      <w:r w:rsidRPr="00ED0BF3">
        <w:rPr>
          <w:rFonts w:ascii="Verdana" w:hAnsi="Verdana"/>
          <w:sz w:val="16"/>
          <w:szCs w:val="16"/>
        </w:rPr>
        <w:tab/>
      </w:r>
      <w:r w:rsidRPr="00ED0BF3">
        <w:rPr>
          <w:rFonts w:ascii="Verdana" w:hAnsi="Verdana"/>
          <w:i/>
          <w:sz w:val="16"/>
          <w:szCs w:val="16"/>
        </w:rPr>
        <w:t xml:space="preserve">Cfr. </w:t>
      </w:r>
      <w:r w:rsidRPr="00ED0BF3">
        <w:rPr>
          <w:rStyle w:val="Strong"/>
          <w:rFonts w:ascii="Verdana" w:hAnsi="Verdana"/>
          <w:b w:val="0"/>
          <w:i/>
          <w:color w:val="000000"/>
          <w:sz w:val="16"/>
          <w:szCs w:val="16"/>
          <w:shd w:val="clear" w:color="auto" w:fill="FFFFFF"/>
        </w:rPr>
        <w:t>Caso Poblete Vilches y otros Vs. Chile. Fondo, Reparaciones y Costas.</w:t>
      </w:r>
      <w:r w:rsidRPr="00ED0BF3">
        <w:rPr>
          <w:rStyle w:val="Strong"/>
          <w:rFonts w:ascii="Verdana" w:hAnsi="Verdana"/>
          <w:b w:val="0"/>
          <w:color w:val="000000"/>
          <w:sz w:val="16"/>
          <w:szCs w:val="16"/>
          <w:shd w:val="clear" w:color="auto" w:fill="FFFFFF"/>
        </w:rPr>
        <w:t xml:space="preserve"> Sentencia de 8 de marzo de 2018. Serie C No. 349.</w:t>
      </w:r>
    </w:p>
  </w:footnote>
  <w:footnote w:id="7">
    <w:p w14:paraId="7B9F2372" w14:textId="12C06328" w:rsidR="00A74C00" w:rsidRPr="00DD1072" w:rsidRDefault="00A74C00" w:rsidP="000C2783">
      <w:pPr>
        <w:pStyle w:val="FootnoteText"/>
        <w:spacing w:after="240"/>
        <w:jc w:val="both"/>
        <w:rPr>
          <w:rFonts w:ascii="Verdana" w:hAnsi="Verdana"/>
          <w:bCs/>
          <w:color w:val="000000"/>
          <w:sz w:val="16"/>
          <w:szCs w:val="16"/>
          <w:shd w:val="clear" w:color="auto" w:fill="FFFFFF"/>
        </w:rPr>
      </w:pPr>
      <w:r w:rsidRPr="00ED0BF3">
        <w:rPr>
          <w:rStyle w:val="FootnoteReference"/>
          <w:rFonts w:ascii="Verdana" w:hAnsi="Verdana"/>
          <w:sz w:val="16"/>
          <w:szCs w:val="16"/>
        </w:rPr>
        <w:footnoteRef/>
      </w:r>
      <w:r w:rsidRPr="00ED0BF3">
        <w:rPr>
          <w:rFonts w:ascii="Verdana" w:hAnsi="Verdana"/>
          <w:sz w:val="16"/>
          <w:szCs w:val="16"/>
        </w:rPr>
        <w:t xml:space="preserve"> </w:t>
      </w:r>
      <w:r w:rsidRPr="00ED0BF3">
        <w:rPr>
          <w:rFonts w:ascii="Verdana" w:hAnsi="Verdana"/>
          <w:sz w:val="16"/>
          <w:szCs w:val="16"/>
        </w:rPr>
        <w:tab/>
      </w:r>
      <w:r w:rsidRPr="00ED0BF3">
        <w:rPr>
          <w:rFonts w:ascii="Verdana" w:hAnsi="Verdana"/>
          <w:i/>
          <w:sz w:val="16"/>
          <w:szCs w:val="16"/>
        </w:rPr>
        <w:t>Cfr.</w:t>
      </w:r>
      <w:r w:rsidRPr="00ED0BF3">
        <w:rPr>
          <w:rStyle w:val="Strong"/>
          <w:rFonts w:ascii="Verdana" w:hAnsi="Verdana"/>
          <w:b w:val="0"/>
          <w:i/>
          <w:color w:val="000000"/>
          <w:sz w:val="16"/>
          <w:szCs w:val="16"/>
          <w:shd w:val="clear" w:color="auto" w:fill="FFFFFF"/>
        </w:rPr>
        <w:t xml:space="preserve">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ED0BF3">
        <w:rPr>
          <w:rStyle w:val="Strong"/>
          <w:rFonts w:ascii="Verdana" w:hAnsi="Verdana"/>
          <w:b w:val="0"/>
          <w:color w:val="000000"/>
          <w:sz w:val="16"/>
          <w:szCs w:val="16"/>
          <w:shd w:val="clear" w:color="auto" w:fill="FFFFFF"/>
        </w:rPr>
        <w:t xml:space="preserve"> Opinión Consultiva OC-23/17 de 15 de noviembre de 2017. Serie A No. 23.</w:t>
      </w:r>
    </w:p>
  </w:footnote>
  <w:footnote w:id="8">
    <w:p w14:paraId="27D8DCD3" w14:textId="79A8BC2F" w:rsidR="00A74C00" w:rsidRPr="00DD1072" w:rsidRDefault="00A74C00" w:rsidP="000C2783">
      <w:pPr>
        <w:pStyle w:val="FootnoteText"/>
        <w:spacing w:after="240"/>
        <w:jc w:val="both"/>
        <w:rPr>
          <w:rFonts w:ascii="Verdana" w:hAnsi="Verdana"/>
          <w:sz w:val="16"/>
          <w:szCs w:val="16"/>
        </w:rPr>
      </w:pPr>
      <w:r w:rsidRPr="00DD1072">
        <w:rPr>
          <w:rStyle w:val="FootnoteReference"/>
          <w:rFonts w:ascii="Verdana" w:hAnsi="Verdana"/>
          <w:sz w:val="16"/>
          <w:szCs w:val="16"/>
        </w:rPr>
        <w:footnoteRef/>
      </w:r>
      <w:r w:rsidRPr="00DD1072">
        <w:rPr>
          <w:rFonts w:ascii="Verdana" w:hAnsi="Verdana"/>
          <w:sz w:val="16"/>
          <w:szCs w:val="16"/>
        </w:rPr>
        <w:t xml:space="preserve"> </w:t>
      </w:r>
      <w:r w:rsidRPr="007E6BD3">
        <w:rPr>
          <w:rFonts w:ascii="Verdana" w:hAnsi="Verdana"/>
          <w:sz w:val="16"/>
          <w:szCs w:val="16"/>
        </w:rPr>
        <w:tab/>
        <w:t xml:space="preserve">En el caso </w:t>
      </w:r>
      <w:r w:rsidRPr="00DD1072">
        <w:rPr>
          <w:rFonts w:ascii="Verdana" w:hAnsi="Verdana"/>
          <w:i/>
          <w:sz w:val="16"/>
          <w:szCs w:val="16"/>
        </w:rPr>
        <w:t>Poblete Vilches y otros Vs. Chile</w:t>
      </w:r>
      <w:r w:rsidRPr="007E6BD3">
        <w:rPr>
          <w:rFonts w:ascii="Verdana" w:hAnsi="Verdana"/>
          <w:sz w:val="16"/>
          <w:szCs w:val="16"/>
        </w:rPr>
        <w:t>, la Corte se pronunció por primera vez en el sentido de establecer que el derecho</w:t>
      </w:r>
      <w:r w:rsidRPr="008F79EB">
        <w:rPr>
          <w:rFonts w:ascii="Verdana" w:hAnsi="Verdana"/>
          <w:sz w:val="16"/>
          <w:szCs w:val="16"/>
        </w:rPr>
        <w:t xml:space="preserve"> a la salud se puede derivar- vía art</w:t>
      </w:r>
      <w:r w:rsidRPr="001D030A">
        <w:rPr>
          <w:rFonts w:ascii="Verdana" w:hAnsi="Verdana"/>
          <w:sz w:val="16"/>
          <w:szCs w:val="16"/>
        </w:rPr>
        <w:t>ículo 26 de la CADH- de las normas</w:t>
      </w:r>
      <w:r w:rsidRPr="006319AA">
        <w:rPr>
          <w:rFonts w:ascii="Verdana" w:hAnsi="Verdana"/>
          <w:sz w:val="16"/>
          <w:szCs w:val="16"/>
        </w:rPr>
        <w:t xml:space="preserve"> contenidas en la Carta de la OEA. Al respecto, la Corte IDH señaló que: </w:t>
      </w:r>
      <w:r w:rsidRPr="00DD1072">
        <w:rPr>
          <w:rFonts w:ascii="Verdana" w:hAnsi="Verdana"/>
          <w:sz w:val="16"/>
          <w:szCs w:val="16"/>
        </w:rPr>
        <w:t xml:space="preserve">“116. […] la Corte considera que de la consolidación del derecho a la salud se derivan diversos estándares aplicables </w:t>
      </w:r>
      <w:r w:rsidRPr="00ED3A26">
        <w:rPr>
          <w:rFonts w:ascii="Verdana" w:hAnsi="Verdana"/>
          <w:sz w:val="16"/>
          <w:szCs w:val="16"/>
        </w:rPr>
        <w:t>[…],</w:t>
      </w:r>
      <w:r w:rsidRPr="00DD1072">
        <w:rPr>
          <w:rFonts w:ascii="Verdana" w:hAnsi="Verdana"/>
          <w:sz w:val="16"/>
          <w:szCs w:val="16"/>
        </w:rPr>
        <w:t xml:space="preserve"> relativos a prestaciones básicas y específicas de salud […].  </w:t>
      </w:r>
      <w:r w:rsidRPr="00DD1072">
        <w:rPr>
          <w:rFonts w:ascii="Verdana" w:hAnsi="Verdana"/>
          <w:i/>
          <w:sz w:val="16"/>
          <w:szCs w:val="16"/>
        </w:rPr>
        <w:t xml:space="preserve">Cfr. </w:t>
      </w:r>
      <w:r w:rsidRPr="00DD1072">
        <w:rPr>
          <w:rStyle w:val="Strong"/>
          <w:rFonts w:ascii="Verdana" w:hAnsi="Verdana"/>
          <w:b w:val="0"/>
          <w:i/>
          <w:color w:val="000000"/>
          <w:sz w:val="16"/>
          <w:szCs w:val="16"/>
          <w:shd w:val="clear" w:color="auto" w:fill="FFFFFF"/>
        </w:rPr>
        <w:t>Caso Poblete Vilches y otros Vs. Chile. Fondo, Reparaciones y Costas.</w:t>
      </w:r>
      <w:r w:rsidRPr="00DD1072">
        <w:rPr>
          <w:rStyle w:val="Strong"/>
          <w:rFonts w:ascii="Verdana" w:hAnsi="Verdana"/>
          <w:color w:val="000000"/>
          <w:sz w:val="16"/>
          <w:szCs w:val="16"/>
          <w:shd w:val="clear" w:color="auto" w:fill="FFFFFF"/>
        </w:rPr>
        <w:t xml:space="preserve"> </w:t>
      </w:r>
      <w:r w:rsidRPr="00DD1072">
        <w:rPr>
          <w:rStyle w:val="Strong"/>
          <w:rFonts w:ascii="Verdana" w:hAnsi="Verdana"/>
          <w:b w:val="0"/>
          <w:color w:val="000000"/>
          <w:sz w:val="16"/>
          <w:szCs w:val="16"/>
          <w:shd w:val="clear" w:color="auto" w:fill="FFFFFF"/>
        </w:rPr>
        <w:t>Sentencia de 8 de marzo de 2018. Serie C No. 349, párr. 116.</w:t>
      </w:r>
      <w:r w:rsidRPr="00DD1072">
        <w:rPr>
          <w:rStyle w:val="Strong"/>
          <w:rFonts w:ascii="Verdana" w:hAnsi="Verdana"/>
          <w:color w:val="000000"/>
          <w:sz w:val="16"/>
          <w:szCs w:val="16"/>
          <w:shd w:val="clear" w:color="auto" w:fill="FFFFFF"/>
        </w:rPr>
        <w:t xml:space="preserve"> </w:t>
      </w:r>
    </w:p>
  </w:footnote>
  <w:footnote w:id="9">
    <w:p w14:paraId="67D4C1C2" w14:textId="1C4E8AEE" w:rsidR="00A74C00" w:rsidRPr="00DD1072" w:rsidRDefault="00A74C00" w:rsidP="000C2783">
      <w:pPr>
        <w:pStyle w:val="FootnoteText"/>
        <w:spacing w:after="240"/>
        <w:jc w:val="both"/>
        <w:rPr>
          <w:rFonts w:ascii="Verdana" w:hAnsi="Verdana"/>
          <w:b/>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F236E7">
        <w:rPr>
          <w:rFonts w:ascii="Verdana" w:hAnsi="Verdana"/>
          <w:sz w:val="16"/>
          <w:szCs w:val="16"/>
        </w:rPr>
        <w:t xml:space="preserve">Cabe destacar que en un principio, la justiciabilidad del derecho a la salud se realizó de manera indirecta, por conexidad con derechos civiles y </w:t>
      </w:r>
      <w:r w:rsidRPr="001E14E4">
        <w:rPr>
          <w:rFonts w:ascii="Verdana" w:hAnsi="Verdana"/>
          <w:sz w:val="16"/>
          <w:szCs w:val="16"/>
        </w:rPr>
        <w:t>políticos</w:t>
      </w:r>
      <w:r w:rsidRPr="00F236E7">
        <w:rPr>
          <w:rFonts w:ascii="Verdana" w:hAnsi="Verdana"/>
          <w:sz w:val="16"/>
          <w:szCs w:val="16"/>
        </w:rPr>
        <w:t xml:space="preserve"> como el derecho a la vida o a la integridad personal, principalmente,</w:t>
      </w:r>
      <w:r w:rsidRPr="00DD1072">
        <w:rPr>
          <w:rFonts w:ascii="Verdana" w:hAnsi="Verdana"/>
          <w:b/>
          <w:sz w:val="16"/>
          <w:szCs w:val="16"/>
        </w:rPr>
        <w:t xml:space="preserve"> </w:t>
      </w:r>
      <w:r w:rsidRPr="00F236E7">
        <w:rPr>
          <w:rStyle w:val="Strong"/>
          <w:rFonts w:ascii="Verdana" w:hAnsi="Verdana"/>
          <w:b w:val="0"/>
          <w:color w:val="000000"/>
          <w:sz w:val="16"/>
          <w:szCs w:val="16"/>
          <w:shd w:val="clear" w:color="auto" w:fill="FFFFFF"/>
        </w:rPr>
        <w:t xml:space="preserve">véanse, </w:t>
      </w:r>
      <w:r w:rsidRPr="00F236E7">
        <w:rPr>
          <w:rStyle w:val="Strong"/>
          <w:rFonts w:ascii="Verdana" w:hAnsi="Verdana"/>
          <w:b w:val="0"/>
          <w:i/>
          <w:color w:val="000000"/>
          <w:sz w:val="16"/>
          <w:szCs w:val="16"/>
          <w:shd w:val="clear" w:color="auto" w:fill="FFFFFF"/>
        </w:rPr>
        <w:t xml:space="preserve"> Caso I.V. Vs. Bolivia. Excepciones Preliminares, Fondo, Reparaciones y Costas</w:t>
      </w:r>
      <w:r w:rsidRPr="00F236E7">
        <w:rPr>
          <w:rStyle w:val="Strong"/>
          <w:rFonts w:ascii="Verdana" w:hAnsi="Verdana"/>
          <w:b w:val="0"/>
          <w:color w:val="000000"/>
          <w:sz w:val="16"/>
          <w:szCs w:val="16"/>
          <w:shd w:val="clear" w:color="auto" w:fill="FFFFFF"/>
        </w:rPr>
        <w:t>. Sentencia de 30 de nov</w:t>
      </w:r>
      <w:r w:rsidR="003E12C7">
        <w:rPr>
          <w:rStyle w:val="Strong"/>
          <w:rFonts w:ascii="Verdana" w:hAnsi="Verdana"/>
          <w:b w:val="0"/>
          <w:color w:val="000000"/>
          <w:sz w:val="16"/>
          <w:szCs w:val="16"/>
          <w:shd w:val="clear" w:color="auto" w:fill="FFFFFF"/>
        </w:rPr>
        <w:t>iembre de 2016. Serie C No. 329;</w:t>
      </w:r>
      <w:r w:rsidRPr="00F236E7">
        <w:rPr>
          <w:rStyle w:val="Strong"/>
          <w:rFonts w:ascii="Verdana" w:hAnsi="Verdana"/>
          <w:b w:val="0"/>
          <w:color w:val="000000"/>
          <w:sz w:val="16"/>
          <w:szCs w:val="16"/>
          <w:shd w:val="clear" w:color="auto" w:fill="FFFFFF"/>
        </w:rPr>
        <w:t xml:space="preserve"> </w:t>
      </w:r>
      <w:r w:rsidRPr="00DD1072">
        <w:rPr>
          <w:rStyle w:val="Strong"/>
          <w:rFonts w:ascii="Verdana" w:hAnsi="Verdana"/>
          <w:b w:val="0"/>
          <w:i/>
          <w:color w:val="000000"/>
          <w:sz w:val="16"/>
          <w:szCs w:val="16"/>
          <w:shd w:val="clear" w:color="auto" w:fill="FFFFFF"/>
        </w:rPr>
        <w:t>Caso Chinchilla Sandoval y otros Vs. Guatemala. Excepción Preliminar, Fondo, Reparaciones y Costas</w:t>
      </w:r>
      <w:r w:rsidRPr="00DD1072">
        <w:rPr>
          <w:rStyle w:val="Strong"/>
          <w:rFonts w:ascii="Verdana" w:hAnsi="Verdana"/>
          <w:b w:val="0"/>
          <w:color w:val="000000"/>
          <w:sz w:val="16"/>
          <w:szCs w:val="16"/>
          <w:shd w:val="clear" w:color="auto" w:fill="FFFFFF"/>
        </w:rPr>
        <w:t>. Sentencia de 29 de febrero de 2016. Serie C No. 312</w:t>
      </w:r>
      <w:r w:rsidR="003E12C7">
        <w:rPr>
          <w:rStyle w:val="Strong"/>
          <w:rFonts w:ascii="Verdana" w:hAnsi="Verdana"/>
          <w:b w:val="0"/>
          <w:color w:val="000000"/>
          <w:sz w:val="16"/>
          <w:szCs w:val="16"/>
          <w:shd w:val="clear" w:color="auto" w:fill="FFFFFF"/>
        </w:rPr>
        <w:t>;</w:t>
      </w:r>
      <w:r w:rsidRPr="00DD1072">
        <w:rPr>
          <w:rStyle w:val="Strong"/>
          <w:rFonts w:ascii="Verdana" w:hAnsi="Verdana"/>
          <w:b w:val="0"/>
          <w:color w:val="000000"/>
          <w:sz w:val="16"/>
          <w:szCs w:val="16"/>
          <w:shd w:val="clear" w:color="auto" w:fill="FFFFFF"/>
        </w:rPr>
        <w:t xml:space="preserve"> </w:t>
      </w:r>
      <w:r w:rsidRPr="00F236E7">
        <w:rPr>
          <w:rStyle w:val="Strong"/>
          <w:rFonts w:ascii="Verdana" w:hAnsi="Verdana"/>
          <w:b w:val="0"/>
          <w:i/>
          <w:color w:val="000000"/>
          <w:sz w:val="16"/>
          <w:szCs w:val="16"/>
          <w:shd w:val="clear" w:color="auto" w:fill="FFFFFF"/>
        </w:rPr>
        <w:t>Caso Gonzales Lluy y otros Vs. Ecuador. Excepciones Preliminares, Fondo, Reparaciones y Costas.</w:t>
      </w:r>
      <w:r w:rsidRPr="00F236E7">
        <w:rPr>
          <w:rStyle w:val="Strong"/>
          <w:rFonts w:ascii="Verdana" w:hAnsi="Verdana"/>
          <w:b w:val="0"/>
          <w:color w:val="000000"/>
          <w:sz w:val="16"/>
          <w:szCs w:val="16"/>
          <w:shd w:val="clear" w:color="auto" w:fill="FFFFFF"/>
        </w:rPr>
        <w:t xml:space="preserve"> Sentencia de 1 de septiembre de 2015. Serie C No. 298</w:t>
      </w:r>
      <w:r w:rsidR="003E12C7">
        <w:rPr>
          <w:rStyle w:val="Strong"/>
          <w:rFonts w:ascii="Verdana" w:hAnsi="Verdana"/>
          <w:b w:val="0"/>
          <w:color w:val="000000"/>
          <w:sz w:val="16"/>
          <w:szCs w:val="16"/>
          <w:shd w:val="clear" w:color="auto" w:fill="FFFFFF"/>
        </w:rPr>
        <w:t>,</w:t>
      </w:r>
      <w:r w:rsidRPr="00F236E7">
        <w:rPr>
          <w:rStyle w:val="Strong"/>
          <w:rFonts w:ascii="Verdana" w:hAnsi="Verdana"/>
          <w:b w:val="0"/>
          <w:color w:val="000000"/>
          <w:sz w:val="16"/>
          <w:szCs w:val="16"/>
          <w:shd w:val="clear" w:color="auto" w:fill="FFFFFF"/>
        </w:rPr>
        <w:t xml:space="preserve"> y </w:t>
      </w:r>
      <w:r w:rsidRPr="00DD1072">
        <w:rPr>
          <w:rStyle w:val="Strong"/>
          <w:rFonts w:ascii="Verdana" w:hAnsi="Verdana"/>
          <w:b w:val="0"/>
          <w:i/>
          <w:color w:val="000000"/>
          <w:sz w:val="16"/>
          <w:szCs w:val="16"/>
          <w:shd w:val="clear" w:color="auto" w:fill="FFFFFF"/>
        </w:rPr>
        <w:t>Caso Suárez Peralta Vs. Ecuador. Excepciones Preliminares, Fondo, Reparaciones y Costas</w:t>
      </w:r>
      <w:r w:rsidRPr="00DD1072">
        <w:rPr>
          <w:rStyle w:val="Strong"/>
          <w:rFonts w:ascii="Verdana" w:hAnsi="Verdana"/>
          <w:b w:val="0"/>
          <w:color w:val="000000"/>
          <w:sz w:val="16"/>
          <w:szCs w:val="16"/>
          <w:shd w:val="clear" w:color="auto" w:fill="FFFFFF"/>
        </w:rPr>
        <w:t>. Sentencia de 21 de mayo de 2013. Serie C No. 261.</w:t>
      </w:r>
    </w:p>
  </w:footnote>
  <w:footnote w:id="10">
    <w:p w14:paraId="2796E87A" w14:textId="36BC1DE2" w:rsidR="00A74C00" w:rsidRPr="00B6213F" w:rsidRDefault="00A74C00" w:rsidP="000C2783">
      <w:pPr>
        <w:pStyle w:val="FootnoteText"/>
        <w:spacing w:after="240"/>
        <w:jc w:val="both"/>
        <w:rPr>
          <w:rFonts w:ascii="Verdana" w:hAnsi="Verdana"/>
          <w:bCs/>
          <w:color w:val="000000"/>
          <w:sz w:val="16"/>
          <w:szCs w:val="16"/>
          <w:shd w:val="clear" w:color="auto" w:fill="FFFFFF"/>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014DB7">
        <w:rPr>
          <w:rStyle w:val="Strong"/>
          <w:rFonts w:ascii="Verdana" w:hAnsi="Verdana"/>
          <w:b w:val="0"/>
          <w:i/>
          <w:color w:val="000000"/>
          <w:sz w:val="16"/>
          <w:szCs w:val="16"/>
          <w:shd w:val="clear" w:color="auto" w:fill="FFFFFF"/>
        </w:rPr>
        <w:t xml:space="preserve"> </w:t>
      </w:r>
      <w:r w:rsidRPr="00B6213F">
        <w:rPr>
          <w:rStyle w:val="Strong"/>
          <w:rFonts w:ascii="Verdana" w:hAnsi="Verdana"/>
          <w:b w:val="0"/>
          <w:color w:val="000000"/>
          <w:sz w:val="16"/>
          <w:szCs w:val="16"/>
          <w:shd w:val="clear" w:color="auto" w:fill="FFFFFF"/>
        </w:rPr>
        <w:t>Sentencia de 2</w:t>
      </w:r>
      <w:r w:rsidR="00637FA2">
        <w:rPr>
          <w:rStyle w:val="Strong"/>
          <w:rFonts w:ascii="Verdana" w:hAnsi="Verdana"/>
          <w:b w:val="0"/>
          <w:color w:val="000000"/>
          <w:sz w:val="16"/>
          <w:szCs w:val="16"/>
          <w:shd w:val="clear" w:color="auto" w:fill="FFFFFF"/>
        </w:rPr>
        <w:t>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Style w:val="Strong"/>
          <w:rFonts w:ascii="Verdana" w:hAnsi="Verdana"/>
          <w:b w:val="0"/>
          <w:color w:val="000000"/>
          <w:sz w:val="16"/>
          <w:szCs w:val="16"/>
          <w:shd w:val="clear" w:color="auto" w:fill="FFFFFF"/>
        </w:rPr>
        <w:t xml:space="preserve">, párrs. </w:t>
      </w:r>
      <w:r w:rsidR="0046549D">
        <w:rPr>
          <w:rStyle w:val="Strong"/>
          <w:rFonts w:ascii="Verdana" w:hAnsi="Verdana"/>
          <w:b w:val="0"/>
          <w:color w:val="000000"/>
          <w:sz w:val="16"/>
          <w:szCs w:val="16"/>
          <w:shd w:val="clear" w:color="auto" w:fill="FFFFFF"/>
        </w:rPr>
        <w:t>75-97</w:t>
      </w:r>
      <w:r w:rsidRPr="00B6213F">
        <w:rPr>
          <w:rStyle w:val="Strong"/>
          <w:rFonts w:ascii="Verdana" w:hAnsi="Verdana"/>
          <w:b w:val="0"/>
          <w:color w:val="000000"/>
          <w:sz w:val="16"/>
          <w:szCs w:val="16"/>
          <w:shd w:val="clear" w:color="auto" w:fill="FFFFFF"/>
        </w:rPr>
        <w:t>.</w:t>
      </w:r>
    </w:p>
  </w:footnote>
  <w:footnote w:id="11">
    <w:p w14:paraId="0AF77F55" w14:textId="68B9EBDC" w:rsidR="00A74C00" w:rsidRPr="00411728" w:rsidRDefault="00A74C00" w:rsidP="000C2783">
      <w:pPr>
        <w:pStyle w:val="FootnoteText"/>
        <w:spacing w:after="240"/>
        <w:jc w:val="both"/>
        <w:rPr>
          <w:rFonts w:ascii="Verdana" w:hAnsi="Verdana"/>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014DB7">
        <w:rPr>
          <w:rStyle w:val="Strong"/>
          <w:rFonts w:ascii="Verdana" w:hAnsi="Verdana"/>
          <w:b w:val="0"/>
          <w:i/>
          <w:color w:val="000000"/>
          <w:sz w:val="16"/>
          <w:szCs w:val="16"/>
          <w:shd w:val="clear" w:color="auto" w:fill="FFFFFF"/>
        </w:rPr>
        <w:t xml:space="preserve"> </w:t>
      </w:r>
      <w:r w:rsidRPr="00B6213F">
        <w:rPr>
          <w:rStyle w:val="Strong"/>
          <w:rFonts w:ascii="Verdana" w:hAnsi="Verdana"/>
          <w:b w:val="0"/>
          <w:color w:val="000000"/>
          <w:sz w:val="16"/>
          <w:szCs w:val="16"/>
          <w:shd w:val="clear" w:color="auto" w:fill="FFFFFF"/>
        </w:rPr>
        <w:t>Sentencia de 2</w:t>
      </w:r>
      <w:r w:rsidR="00637FA2">
        <w:rPr>
          <w:rStyle w:val="Strong"/>
          <w:rFonts w:ascii="Verdana" w:hAnsi="Verdana"/>
          <w:b w:val="0"/>
          <w:color w:val="000000"/>
          <w:sz w:val="16"/>
          <w:szCs w:val="16"/>
          <w:shd w:val="clear" w:color="auto" w:fill="FFFFFF"/>
        </w:rPr>
        <w:t>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Fonts w:ascii="Verdana" w:hAnsi="Verdana"/>
          <w:i/>
          <w:sz w:val="16"/>
          <w:szCs w:val="16"/>
        </w:rPr>
        <w:t xml:space="preserve">, </w:t>
      </w:r>
      <w:r w:rsidRPr="00B6213F">
        <w:rPr>
          <w:rStyle w:val="Strong"/>
          <w:rFonts w:ascii="Verdana" w:hAnsi="Verdana"/>
          <w:b w:val="0"/>
          <w:color w:val="000000"/>
          <w:sz w:val="16"/>
          <w:szCs w:val="16"/>
          <w:shd w:val="clear" w:color="auto" w:fill="FFFFFF"/>
        </w:rPr>
        <w:t xml:space="preserve">párrs. </w:t>
      </w:r>
      <w:r w:rsidR="0046549D">
        <w:rPr>
          <w:rStyle w:val="Strong"/>
          <w:rFonts w:ascii="Verdana" w:hAnsi="Verdana"/>
          <w:b w:val="0"/>
          <w:color w:val="000000"/>
          <w:sz w:val="16"/>
          <w:szCs w:val="16"/>
          <w:shd w:val="clear" w:color="auto" w:fill="FFFFFF"/>
        </w:rPr>
        <w:t>98-107</w:t>
      </w:r>
      <w:r w:rsidRPr="00B6213F">
        <w:rPr>
          <w:rStyle w:val="Strong"/>
          <w:rFonts w:ascii="Verdana" w:hAnsi="Verdana"/>
          <w:b w:val="0"/>
          <w:color w:val="000000"/>
          <w:sz w:val="16"/>
          <w:szCs w:val="16"/>
          <w:shd w:val="clear" w:color="auto" w:fill="FFFFFF"/>
        </w:rPr>
        <w:t>.</w:t>
      </w:r>
    </w:p>
  </w:footnote>
  <w:footnote w:id="12">
    <w:p w14:paraId="53DC98D3" w14:textId="1A6CED95" w:rsidR="00A74C00" w:rsidRPr="00411728" w:rsidRDefault="00A74C00" w:rsidP="000C2783">
      <w:pPr>
        <w:pStyle w:val="FootnoteText"/>
        <w:spacing w:after="240"/>
        <w:jc w:val="both"/>
        <w:rPr>
          <w:rFonts w:ascii="Verdana" w:hAnsi="Verdana"/>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014DB7">
        <w:rPr>
          <w:rStyle w:val="Strong"/>
          <w:rFonts w:ascii="Verdana" w:hAnsi="Verdana"/>
          <w:b w:val="0"/>
          <w:i/>
          <w:color w:val="000000"/>
          <w:sz w:val="16"/>
          <w:szCs w:val="16"/>
          <w:shd w:val="clear" w:color="auto" w:fill="FFFFFF"/>
        </w:rPr>
        <w:t xml:space="preserve"> </w:t>
      </w:r>
      <w:r w:rsidRPr="00B6213F">
        <w:rPr>
          <w:rStyle w:val="Strong"/>
          <w:rFonts w:ascii="Verdana" w:hAnsi="Verdana"/>
          <w:b w:val="0"/>
          <w:color w:val="000000"/>
          <w:sz w:val="16"/>
          <w:szCs w:val="16"/>
          <w:shd w:val="clear" w:color="auto" w:fill="FFFFFF"/>
        </w:rPr>
        <w:t>Sentencia de 2</w:t>
      </w:r>
      <w:r w:rsidR="00637FA2">
        <w:rPr>
          <w:rStyle w:val="Strong"/>
          <w:rFonts w:ascii="Verdana" w:hAnsi="Verdana"/>
          <w:b w:val="0"/>
          <w:color w:val="000000"/>
          <w:sz w:val="16"/>
          <w:szCs w:val="16"/>
          <w:shd w:val="clear" w:color="auto" w:fill="FFFFFF"/>
        </w:rPr>
        <w:t>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Style w:val="Strong"/>
          <w:rFonts w:ascii="Verdana" w:hAnsi="Verdana"/>
          <w:b w:val="0"/>
          <w:color w:val="000000"/>
          <w:sz w:val="16"/>
          <w:szCs w:val="16"/>
          <w:shd w:val="clear" w:color="auto" w:fill="FFFFFF"/>
        </w:rPr>
        <w:t>,</w:t>
      </w:r>
      <w:r w:rsidRPr="00B6213F">
        <w:rPr>
          <w:rFonts w:ascii="Verdana" w:hAnsi="Verdana"/>
          <w:i/>
          <w:sz w:val="16"/>
          <w:szCs w:val="16"/>
        </w:rPr>
        <w:t xml:space="preserve"> </w:t>
      </w:r>
      <w:r w:rsidRPr="00B6213F">
        <w:rPr>
          <w:rStyle w:val="Strong"/>
          <w:rFonts w:ascii="Verdana" w:hAnsi="Verdana"/>
          <w:b w:val="0"/>
          <w:color w:val="000000"/>
          <w:sz w:val="16"/>
          <w:szCs w:val="16"/>
          <w:shd w:val="clear" w:color="auto" w:fill="FFFFFF"/>
        </w:rPr>
        <w:t xml:space="preserve">párrs. </w:t>
      </w:r>
      <w:r w:rsidR="0046549D">
        <w:rPr>
          <w:rStyle w:val="Strong"/>
          <w:rFonts w:ascii="Verdana" w:hAnsi="Verdana"/>
          <w:b w:val="0"/>
          <w:color w:val="000000"/>
          <w:sz w:val="16"/>
          <w:szCs w:val="16"/>
          <w:shd w:val="clear" w:color="auto" w:fill="FFFFFF"/>
        </w:rPr>
        <w:t>42-45</w:t>
      </w:r>
      <w:r w:rsidRPr="00B6213F">
        <w:rPr>
          <w:rStyle w:val="Strong"/>
          <w:rFonts w:ascii="Verdana" w:hAnsi="Verdana"/>
          <w:b w:val="0"/>
          <w:color w:val="000000"/>
          <w:sz w:val="16"/>
          <w:szCs w:val="16"/>
          <w:shd w:val="clear" w:color="auto" w:fill="FFFFFF"/>
        </w:rPr>
        <w:t>.</w:t>
      </w:r>
    </w:p>
  </w:footnote>
  <w:footnote w:id="13">
    <w:p w14:paraId="50DFB24A" w14:textId="76AF6CE9" w:rsidR="00A74C00" w:rsidRPr="00411728" w:rsidRDefault="00A74C00" w:rsidP="000C2783">
      <w:pPr>
        <w:pStyle w:val="FootnoteText"/>
        <w:spacing w:after="240"/>
        <w:jc w:val="both"/>
        <w:rPr>
          <w:rFonts w:ascii="Verdana" w:hAnsi="Verdana"/>
          <w:sz w:val="16"/>
          <w:szCs w:val="16"/>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Pr="00ED3A26">
        <w:rPr>
          <w:rFonts w:ascii="Verdana" w:hAnsi="Verdana"/>
          <w:i/>
          <w:sz w:val="16"/>
          <w:szCs w:val="16"/>
        </w:rPr>
        <w:t xml:space="preserve">Cfr. </w:t>
      </w:r>
      <w:r w:rsidRPr="00ED3A26">
        <w:rPr>
          <w:rStyle w:val="Strong"/>
          <w:rFonts w:ascii="Verdana" w:hAnsi="Verdana"/>
          <w:b w:val="0"/>
          <w:i/>
          <w:color w:val="000000"/>
          <w:sz w:val="16"/>
          <w:szCs w:val="16"/>
          <w:shd w:val="clear" w:color="auto" w:fill="FFFFFF"/>
        </w:rPr>
        <w:t>Caso Gonzales Lluy y otros Vs. Ecuador. Excepciones Preliminares, Fondo, Reparaciones y Costas.</w:t>
      </w:r>
      <w:r w:rsidRPr="00ED3A26">
        <w:rPr>
          <w:rStyle w:val="Strong"/>
          <w:rFonts w:ascii="Verdana" w:hAnsi="Verdana"/>
          <w:b w:val="0"/>
          <w:color w:val="000000"/>
          <w:sz w:val="16"/>
          <w:szCs w:val="16"/>
          <w:shd w:val="clear" w:color="auto" w:fill="FFFFFF"/>
        </w:rPr>
        <w:t xml:space="preserve"> Sentencia de 1 de septiembre de 2015. Serie C No. 298</w:t>
      </w:r>
      <w:r w:rsidR="00ED0BF3" w:rsidRPr="00ED3A26">
        <w:rPr>
          <w:rStyle w:val="Strong"/>
          <w:rFonts w:ascii="Verdana" w:hAnsi="Verdana"/>
          <w:b w:val="0"/>
          <w:color w:val="000000"/>
          <w:sz w:val="16"/>
          <w:szCs w:val="16"/>
          <w:shd w:val="clear" w:color="auto" w:fill="FFFFFF"/>
        </w:rPr>
        <w:t xml:space="preserve">, párrs. </w:t>
      </w:r>
      <w:r w:rsidR="00512C8E" w:rsidRPr="00ED3A26">
        <w:rPr>
          <w:rStyle w:val="Strong"/>
          <w:rFonts w:ascii="Verdana" w:hAnsi="Verdana"/>
          <w:b w:val="0"/>
          <w:color w:val="000000"/>
          <w:sz w:val="16"/>
          <w:szCs w:val="16"/>
          <w:shd w:val="clear" w:color="auto" w:fill="FFFFFF"/>
        </w:rPr>
        <w:t>197 a 205</w:t>
      </w:r>
      <w:r w:rsidRPr="00ED3A26">
        <w:rPr>
          <w:rStyle w:val="Strong"/>
          <w:rFonts w:ascii="Verdana" w:hAnsi="Verdana"/>
          <w:b w:val="0"/>
          <w:color w:val="000000"/>
          <w:sz w:val="16"/>
          <w:szCs w:val="16"/>
          <w:shd w:val="clear" w:color="auto" w:fill="FFFFFF"/>
        </w:rPr>
        <w:t>.</w:t>
      </w:r>
    </w:p>
  </w:footnote>
  <w:footnote w:id="14">
    <w:p w14:paraId="3489C9B3" w14:textId="5E2C92B4" w:rsidR="00A74C00" w:rsidRPr="00B6213F" w:rsidRDefault="00A74C00" w:rsidP="000C2783">
      <w:pPr>
        <w:pStyle w:val="FootnoteText"/>
        <w:spacing w:after="240"/>
        <w:jc w:val="both"/>
        <w:rPr>
          <w:rFonts w:ascii="Verdana" w:hAnsi="Verdana"/>
          <w:i/>
          <w:sz w:val="16"/>
          <w:szCs w:val="16"/>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Pr="00ED3A26">
        <w:rPr>
          <w:rFonts w:ascii="Verdana" w:hAnsi="Verdana"/>
          <w:i/>
          <w:sz w:val="16"/>
          <w:szCs w:val="16"/>
        </w:rPr>
        <w:t xml:space="preserve">Cfr. </w:t>
      </w:r>
      <w:r w:rsidRPr="00ED3A26">
        <w:rPr>
          <w:rStyle w:val="Strong"/>
          <w:rFonts w:ascii="Verdana" w:hAnsi="Verdana"/>
          <w:b w:val="0"/>
          <w:i/>
          <w:color w:val="000000"/>
          <w:sz w:val="16"/>
          <w:szCs w:val="16"/>
          <w:shd w:val="clear" w:color="auto" w:fill="FFFFFF"/>
        </w:rPr>
        <w:t>Caso Duque Vs. Colombia. Excepciones Preliminares, Fondo, Reparaciones y Costas.</w:t>
      </w:r>
      <w:r w:rsidRPr="00ED3A26">
        <w:rPr>
          <w:rStyle w:val="Strong"/>
          <w:rFonts w:ascii="Verdana" w:hAnsi="Verdana"/>
          <w:b w:val="0"/>
          <w:color w:val="000000"/>
          <w:sz w:val="16"/>
          <w:szCs w:val="16"/>
          <w:shd w:val="clear" w:color="auto" w:fill="FFFFFF"/>
        </w:rPr>
        <w:t xml:space="preserve"> Sentencia de 26 de febrero de 2016. Serie C No. 310</w:t>
      </w:r>
      <w:r w:rsidR="000F4E56" w:rsidRPr="00ED3A26">
        <w:rPr>
          <w:rStyle w:val="Strong"/>
          <w:rFonts w:ascii="Verdana" w:hAnsi="Verdana"/>
          <w:b w:val="0"/>
          <w:color w:val="000000"/>
          <w:sz w:val="16"/>
          <w:szCs w:val="16"/>
          <w:shd w:val="clear" w:color="auto" w:fill="FFFFFF"/>
        </w:rPr>
        <w:t>, párrs. 177 a 192</w:t>
      </w:r>
      <w:r w:rsidRPr="00ED3A26">
        <w:rPr>
          <w:rFonts w:ascii="Verdana" w:hAnsi="Verdana"/>
          <w:i/>
          <w:sz w:val="16"/>
          <w:szCs w:val="16"/>
        </w:rPr>
        <w:t>.</w:t>
      </w:r>
      <w:r w:rsidRPr="00B6213F">
        <w:rPr>
          <w:rFonts w:ascii="Verdana" w:hAnsi="Verdana"/>
          <w:i/>
          <w:sz w:val="16"/>
          <w:szCs w:val="16"/>
        </w:rPr>
        <w:t xml:space="preserve"> </w:t>
      </w:r>
    </w:p>
  </w:footnote>
  <w:footnote w:id="15">
    <w:p w14:paraId="3F492768" w14:textId="28D0DBB0" w:rsidR="00A74C00" w:rsidRPr="00411728" w:rsidRDefault="00A74C00" w:rsidP="000C2783">
      <w:pPr>
        <w:pStyle w:val="FootnoteText"/>
        <w:spacing w:after="240"/>
        <w:jc w:val="both"/>
        <w:rPr>
          <w:rFonts w:ascii="Verdana" w:hAnsi="Verdana"/>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014DB7">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Fonts w:ascii="Verdana" w:hAnsi="Verdana"/>
          <w:i/>
          <w:sz w:val="16"/>
          <w:szCs w:val="16"/>
        </w:rPr>
        <w:t xml:space="preserve">, </w:t>
      </w:r>
      <w:r w:rsidRPr="00B6213F">
        <w:rPr>
          <w:rStyle w:val="Strong"/>
          <w:rFonts w:ascii="Verdana" w:hAnsi="Verdana"/>
          <w:b w:val="0"/>
          <w:color w:val="000000"/>
          <w:sz w:val="16"/>
          <w:szCs w:val="16"/>
          <w:shd w:val="clear" w:color="auto" w:fill="FFFFFF"/>
        </w:rPr>
        <w:t xml:space="preserve">párrs. </w:t>
      </w:r>
      <w:r w:rsidR="0046549D">
        <w:rPr>
          <w:rStyle w:val="Strong"/>
          <w:rFonts w:ascii="Verdana" w:hAnsi="Verdana"/>
          <w:b w:val="0"/>
          <w:color w:val="000000"/>
          <w:sz w:val="16"/>
          <w:szCs w:val="16"/>
          <w:shd w:val="clear" w:color="auto" w:fill="FFFFFF"/>
        </w:rPr>
        <w:t>128-139</w:t>
      </w:r>
      <w:r w:rsidRPr="00B6213F">
        <w:rPr>
          <w:rStyle w:val="Strong"/>
          <w:rFonts w:ascii="Verdana" w:hAnsi="Verdana"/>
          <w:b w:val="0"/>
          <w:color w:val="000000"/>
          <w:sz w:val="16"/>
          <w:szCs w:val="16"/>
          <w:shd w:val="clear" w:color="auto" w:fill="FFFFFF"/>
        </w:rPr>
        <w:t>.</w:t>
      </w:r>
    </w:p>
  </w:footnote>
  <w:footnote w:id="16">
    <w:p w14:paraId="7479A841" w14:textId="6A66702C" w:rsidR="00A74C00" w:rsidRPr="00411728" w:rsidRDefault="00A74C00" w:rsidP="000C2783">
      <w:pPr>
        <w:pStyle w:val="FootnoteText"/>
        <w:spacing w:after="240"/>
        <w:jc w:val="both"/>
        <w:rPr>
          <w:rFonts w:ascii="Verdana" w:hAnsi="Verdana"/>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014DB7">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Fonts w:ascii="Verdana" w:hAnsi="Verdana"/>
          <w:i/>
          <w:sz w:val="16"/>
          <w:szCs w:val="16"/>
        </w:rPr>
        <w:t xml:space="preserve">, </w:t>
      </w:r>
      <w:r w:rsidRPr="00B6213F">
        <w:rPr>
          <w:rStyle w:val="Strong"/>
          <w:rFonts w:ascii="Verdana" w:hAnsi="Verdana"/>
          <w:b w:val="0"/>
          <w:color w:val="000000"/>
          <w:sz w:val="16"/>
          <w:szCs w:val="16"/>
          <w:shd w:val="clear" w:color="auto" w:fill="FFFFFF"/>
        </w:rPr>
        <w:t xml:space="preserve">párrs. </w:t>
      </w:r>
      <w:r w:rsidR="0046549D">
        <w:rPr>
          <w:rStyle w:val="Strong"/>
          <w:rFonts w:ascii="Verdana" w:hAnsi="Verdana"/>
          <w:b w:val="0"/>
          <w:color w:val="000000"/>
          <w:sz w:val="16"/>
          <w:szCs w:val="16"/>
          <w:shd w:val="clear" w:color="auto" w:fill="FFFFFF"/>
        </w:rPr>
        <w:t>140-148</w:t>
      </w:r>
      <w:r w:rsidRPr="00B6213F">
        <w:rPr>
          <w:rStyle w:val="Strong"/>
          <w:rFonts w:ascii="Verdana" w:hAnsi="Verdana"/>
          <w:b w:val="0"/>
          <w:color w:val="000000"/>
          <w:sz w:val="16"/>
          <w:szCs w:val="16"/>
          <w:shd w:val="clear" w:color="auto" w:fill="FFFFFF"/>
        </w:rPr>
        <w:t>.</w:t>
      </w:r>
    </w:p>
  </w:footnote>
  <w:footnote w:id="17">
    <w:p w14:paraId="6D0166DD" w14:textId="1541E6B7" w:rsidR="00A74C00" w:rsidRPr="00411728" w:rsidRDefault="00A74C00" w:rsidP="000C2783">
      <w:pPr>
        <w:pStyle w:val="FootnoteText"/>
        <w:spacing w:after="240"/>
        <w:jc w:val="both"/>
        <w:rPr>
          <w:rFonts w:ascii="Verdana" w:hAnsi="Verdana"/>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014DB7">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Fonts w:ascii="Verdana" w:hAnsi="Verdana"/>
          <w:i/>
          <w:sz w:val="16"/>
          <w:szCs w:val="16"/>
        </w:rPr>
        <w:t xml:space="preserve">, </w:t>
      </w:r>
      <w:r w:rsidRPr="00B6213F">
        <w:rPr>
          <w:rStyle w:val="Strong"/>
          <w:rFonts w:ascii="Verdana" w:hAnsi="Verdana"/>
          <w:b w:val="0"/>
          <w:color w:val="000000"/>
          <w:sz w:val="16"/>
          <w:szCs w:val="16"/>
          <w:shd w:val="clear" w:color="auto" w:fill="FFFFFF"/>
        </w:rPr>
        <w:t xml:space="preserve">párrs. </w:t>
      </w:r>
      <w:r w:rsidR="0046549D">
        <w:rPr>
          <w:rStyle w:val="Strong"/>
          <w:rFonts w:ascii="Verdana" w:hAnsi="Verdana"/>
          <w:b w:val="0"/>
          <w:color w:val="000000"/>
          <w:sz w:val="16"/>
          <w:szCs w:val="16"/>
          <w:shd w:val="clear" w:color="auto" w:fill="FFFFFF"/>
        </w:rPr>
        <w:t>198-213 y 224 a 230</w:t>
      </w:r>
      <w:r w:rsidRPr="00B6213F">
        <w:rPr>
          <w:rStyle w:val="Strong"/>
          <w:rFonts w:ascii="Verdana" w:hAnsi="Verdana"/>
          <w:b w:val="0"/>
          <w:color w:val="000000"/>
          <w:sz w:val="16"/>
          <w:szCs w:val="16"/>
          <w:shd w:val="clear" w:color="auto" w:fill="FFFFFF"/>
        </w:rPr>
        <w:t>.</w:t>
      </w:r>
    </w:p>
  </w:footnote>
  <w:footnote w:id="18">
    <w:p w14:paraId="540A995B" w14:textId="13EFDB3D" w:rsidR="00A74C00" w:rsidRPr="00EB595E" w:rsidRDefault="00A74C00" w:rsidP="000C2783">
      <w:pPr>
        <w:pStyle w:val="FootnoteText"/>
        <w:spacing w:after="240"/>
        <w:jc w:val="both"/>
        <w:rPr>
          <w:rFonts w:ascii="Verdana" w:hAnsi="Verdana"/>
          <w:bCs/>
          <w:color w:val="000000"/>
          <w:sz w:val="16"/>
          <w:szCs w:val="16"/>
          <w:shd w:val="clear" w:color="auto" w:fill="FFFFFF"/>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b/>
          <w:sz w:val="16"/>
          <w:szCs w:val="16"/>
        </w:rPr>
        <w:tab/>
      </w:r>
      <w:r w:rsidRPr="00B6213F">
        <w:rPr>
          <w:rFonts w:ascii="Verdana" w:hAnsi="Verdana"/>
          <w:sz w:val="16"/>
          <w:szCs w:val="16"/>
        </w:rPr>
        <w:t xml:space="preserve">Véanse los votos que sobre la materia he formulado en las siguientes sentencias: </w:t>
      </w:r>
      <w:r w:rsidRPr="00B6213F">
        <w:rPr>
          <w:rStyle w:val="Strong"/>
          <w:rFonts w:ascii="Verdana" w:hAnsi="Verdana"/>
          <w:b w:val="0"/>
          <w:i/>
          <w:color w:val="000000"/>
          <w:sz w:val="16"/>
          <w:szCs w:val="16"/>
          <w:shd w:val="clear" w:color="auto" w:fill="FFFFFF"/>
        </w:rPr>
        <w:t>Caso Suárez Peralta Vs. Ecuador. Excepciones Preliminares, Fondo, Reparaciones y Costas.</w:t>
      </w:r>
      <w:r w:rsidRPr="00B6213F">
        <w:rPr>
          <w:rStyle w:val="Strong"/>
          <w:rFonts w:ascii="Verdana" w:hAnsi="Verdana"/>
          <w:b w:val="0"/>
          <w:color w:val="000000"/>
          <w:sz w:val="16"/>
          <w:szCs w:val="16"/>
          <w:shd w:val="clear" w:color="auto" w:fill="FFFFFF"/>
        </w:rPr>
        <w:t xml:space="preserve"> Sentencia de 21 d</w:t>
      </w:r>
      <w:r w:rsidR="003E12C7">
        <w:rPr>
          <w:rStyle w:val="Strong"/>
          <w:rFonts w:ascii="Verdana" w:hAnsi="Verdana"/>
          <w:b w:val="0"/>
          <w:color w:val="000000"/>
          <w:sz w:val="16"/>
          <w:szCs w:val="16"/>
          <w:shd w:val="clear" w:color="auto" w:fill="FFFFFF"/>
        </w:rPr>
        <w:t>e mayo de 2013. Serie C No. 261;</w:t>
      </w:r>
      <w:r w:rsidRPr="00B6213F">
        <w:rPr>
          <w:rStyle w:val="Strong"/>
          <w:rFonts w:ascii="Verdana" w:hAnsi="Verdana"/>
          <w:b w:val="0"/>
          <w:color w:val="000000"/>
          <w:sz w:val="16"/>
          <w:szCs w:val="16"/>
          <w:shd w:val="clear" w:color="auto" w:fill="FFFFFF"/>
        </w:rPr>
        <w:t xml:space="preserve"> </w:t>
      </w:r>
      <w:r w:rsidRPr="00B6213F">
        <w:rPr>
          <w:rStyle w:val="Strong"/>
          <w:rFonts w:ascii="Verdana" w:hAnsi="Verdana"/>
          <w:b w:val="0"/>
          <w:i/>
          <w:color w:val="000000"/>
          <w:sz w:val="16"/>
          <w:szCs w:val="16"/>
          <w:shd w:val="clear" w:color="auto" w:fill="FFFFFF"/>
        </w:rPr>
        <w:t>Caso Canales Huapaya y otros Vs. Perú. Excepciones Preliminares, Fondo, Reparaciones y Costas</w:t>
      </w:r>
      <w:r w:rsidRPr="00B6213F">
        <w:rPr>
          <w:rStyle w:val="Strong"/>
          <w:rFonts w:ascii="Verdana" w:hAnsi="Verdana"/>
          <w:b w:val="0"/>
          <w:color w:val="000000"/>
          <w:sz w:val="16"/>
          <w:szCs w:val="16"/>
          <w:shd w:val="clear" w:color="auto" w:fill="FFFFFF"/>
        </w:rPr>
        <w:t>. Sentencia de 24 de</w:t>
      </w:r>
      <w:r w:rsidR="003E12C7">
        <w:rPr>
          <w:rStyle w:val="Strong"/>
          <w:rFonts w:ascii="Verdana" w:hAnsi="Verdana"/>
          <w:b w:val="0"/>
          <w:color w:val="000000"/>
          <w:sz w:val="16"/>
          <w:szCs w:val="16"/>
          <w:shd w:val="clear" w:color="auto" w:fill="FFFFFF"/>
        </w:rPr>
        <w:t xml:space="preserve"> junio de 2015. Serie C No. 296;</w:t>
      </w:r>
      <w:r w:rsidRPr="00B6213F">
        <w:rPr>
          <w:rStyle w:val="Strong"/>
          <w:rFonts w:ascii="Verdana" w:hAnsi="Verdana"/>
          <w:b w:val="0"/>
          <w:color w:val="000000"/>
          <w:sz w:val="16"/>
          <w:szCs w:val="16"/>
          <w:shd w:val="clear" w:color="auto" w:fill="FFFFFF"/>
        </w:rPr>
        <w:t xml:space="preserve"> </w:t>
      </w:r>
      <w:r w:rsidRPr="00B6213F">
        <w:rPr>
          <w:rStyle w:val="Strong"/>
          <w:rFonts w:ascii="Verdana" w:hAnsi="Verdana"/>
          <w:b w:val="0"/>
          <w:i/>
          <w:color w:val="000000"/>
          <w:sz w:val="16"/>
          <w:szCs w:val="16"/>
          <w:shd w:val="clear" w:color="auto" w:fill="FFFFFF"/>
        </w:rPr>
        <w:t>Caso Gonzales Lluy y otros Vs. Ecuador. Excepciones Preliminares, Fondo, Reparaciones y Costas</w:t>
      </w:r>
      <w:r w:rsidRPr="00B6213F">
        <w:rPr>
          <w:rStyle w:val="Strong"/>
          <w:rFonts w:ascii="Verdana" w:hAnsi="Verdana"/>
          <w:b w:val="0"/>
          <w:color w:val="000000"/>
          <w:sz w:val="16"/>
          <w:szCs w:val="16"/>
          <w:shd w:val="clear" w:color="auto" w:fill="FFFFFF"/>
        </w:rPr>
        <w:t xml:space="preserve">. Sentencia de 1 de septiembre de 2015. Serie C </w:t>
      </w:r>
      <w:r w:rsidR="003E12C7">
        <w:rPr>
          <w:rStyle w:val="Strong"/>
          <w:rFonts w:ascii="Verdana" w:hAnsi="Verdana"/>
          <w:b w:val="0"/>
          <w:color w:val="000000"/>
          <w:sz w:val="16"/>
          <w:szCs w:val="16"/>
          <w:shd w:val="clear" w:color="auto" w:fill="FFFFFF"/>
        </w:rPr>
        <w:t>No. 298;</w:t>
      </w:r>
      <w:r w:rsidRPr="00B6213F">
        <w:rPr>
          <w:rStyle w:val="Strong"/>
          <w:rFonts w:ascii="Verdana" w:hAnsi="Verdana"/>
          <w:b w:val="0"/>
          <w:color w:val="000000"/>
          <w:sz w:val="16"/>
          <w:szCs w:val="16"/>
          <w:shd w:val="clear" w:color="auto" w:fill="FFFFFF"/>
        </w:rPr>
        <w:t xml:space="preserve"> </w:t>
      </w:r>
      <w:r w:rsidRPr="00B6213F">
        <w:rPr>
          <w:rStyle w:val="Strong"/>
          <w:rFonts w:ascii="Verdana" w:hAnsi="Verdana"/>
          <w:b w:val="0"/>
          <w:i/>
          <w:color w:val="000000"/>
          <w:sz w:val="16"/>
          <w:szCs w:val="16"/>
          <w:shd w:val="clear" w:color="auto" w:fill="FFFFFF"/>
        </w:rPr>
        <w:t>Caso Chinchilla Sandoval y otros Vs. Guatemala. Excepción Preliminar, Fondo, Reparaciones y Costas</w:t>
      </w:r>
      <w:r w:rsidRPr="00B6213F">
        <w:rPr>
          <w:rStyle w:val="Strong"/>
          <w:rFonts w:ascii="Verdana" w:hAnsi="Verdana"/>
          <w:b w:val="0"/>
          <w:color w:val="000000"/>
          <w:sz w:val="16"/>
          <w:szCs w:val="16"/>
          <w:shd w:val="clear" w:color="auto" w:fill="FFFFFF"/>
        </w:rPr>
        <w:t>. Sentencia de 29 de febrero de 2016. Serie C No. 312</w:t>
      </w:r>
      <w:r w:rsidR="003E12C7">
        <w:rPr>
          <w:rStyle w:val="Strong"/>
          <w:rFonts w:ascii="Verdana" w:hAnsi="Verdana"/>
          <w:b w:val="0"/>
          <w:color w:val="000000"/>
          <w:sz w:val="16"/>
          <w:szCs w:val="16"/>
          <w:shd w:val="clear" w:color="auto" w:fill="FFFFFF"/>
        </w:rPr>
        <w:t>;</w:t>
      </w:r>
      <w:r w:rsidRPr="00B6213F">
        <w:rPr>
          <w:rStyle w:val="Strong"/>
          <w:rFonts w:ascii="Verdana" w:hAnsi="Verdana"/>
          <w:b w:val="0"/>
          <w:color w:val="000000"/>
          <w:sz w:val="16"/>
          <w:szCs w:val="16"/>
          <w:shd w:val="clear" w:color="auto" w:fill="FFFFFF"/>
        </w:rPr>
        <w:t xml:space="preserve"> </w:t>
      </w:r>
      <w:r w:rsidRPr="00EB595E">
        <w:rPr>
          <w:rStyle w:val="Strong"/>
          <w:rFonts w:ascii="Verdana" w:hAnsi="Verdana"/>
          <w:b w:val="0"/>
          <w:i/>
          <w:color w:val="000000"/>
          <w:sz w:val="16"/>
          <w:szCs w:val="16"/>
          <w:shd w:val="clear" w:color="auto" w:fill="FFFFFF"/>
        </w:rPr>
        <w:t>Caso I.V. Vs. Bolivia. Excepciones Preliminares, Fondo, Reparaciones y Costas</w:t>
      </w:r>
      <w:r w:rsidRPr="00EB595E">
        <w:rPr>
          <w:rStyle w:val="Strong"/>
          <w:rFonts w:ascii="Verdana" w:hAnsi="Verdana"/>
          <w:b w:val="0"/>
          <w:color w:val="000000"/>
          <w:sz w:val="16"/>
          <w:szCs w:val="16"/>
          <w:shd w:val="clear" w:color="auto" w:fill="FFFFFF"/>
        </w:rPr>
        <w:t>. Sentencia de 30 de noviembre de 2016. Serie C No. 329</w:t>
      </w:r>
      <w:r w:rsidR="003E12C7">
        <w:rPr>
          <w:rStyle w:val="Strong"/>
          <w:rFonts w:ascii="Verdana" w:hAnsi="Verdana"/>
          <w:b w:val="0"/>
          <w:color w:val="000000"/>
          <w:sz w:val="16"/>
          <w:szCs w:val="16"/>
          <w:shd w:val="clear" w:color="auto" w:fill="FFFFFF"/>
        </w:rPr>
        <w:t>;</w:t>
      </w:r>
      <w:r>
        <w:rPr>
          <w:rStyle w:val="Strong"/>
          <w:rFonts w:ascii="Verdana" w:hAnsi="Verdana"/>
          <w:b w:val="0"/>
          <w:color w:val="000000"/>
          <w:sz w:val="16"/>
          <w:szCs w:val="16"/>
          <w:shd w:val="clear" w:color="auto" w:fill="FFFFFF"/>
        </w:rPr>
        <w:t xml:space="preserve"> </w:t>
      </w:r>
      <w:r w:rsidRPr="00B6213F">
        <w:rPr>
          <w:rStyle w:val="Strong"/>
          <w:rFonts w:ascii="Verdana" w:hAnsi="Verdana"/>
          <w:b w:val="0"/>
          <w:i/>
          <w:color w:val="000000"/>
          <w:sz w:val="16"/>
          <w:szCs w:val="16"/>
          <w:shd w:val="clear" w:color="auto" w:fill="FFFFFF"/>
        </w:rPr>
        <w:t>Caso Yarce y otras Vs. Colombia. Excepción Preliminar, Fondo, Reparaciones y Costas.</w:t>
      </w:r>
      <w:r w:rsidRPr="00B6213F">
        <w:rPr>
          <w:rStyle w:val="Strong"/>
          <w:rFonts w:ascii="Verdana" w:hAnsi="Verdana"/>
          <w:b w:val="0"/>
          <w:color w:val="000000"/>
          <w:sz w:val="16"/>
          <w:szCs w:val="16"/>
          <w:shd w:val="clear" w:color="auto" w:fill="FFFFFF"/>
        </w:rPr>
        <w:t xml:space="preserve"> Sentencia de 22 de nov</w:t>
      </w:r>
      <w:r w:rsidR="003E12C7">
        <w:rPr>
          <w:rStyle w:val="Strong"/>
          <w:rFonts w:ascii="Verdana" w:hAnsi="Verdana"/>
          <w:b w:val="0"/>
          <w:color w:val="000000"/>
          <w:sz w:val="16"/>
          <w:szCs w:val="16"/>
          <w:shd w:val="clear" w:color="auto" w:fill="FFFFFF"/>
        </w:rPr>
        <w:t>iembre de 2016. Serie C No. 325;</w:t>
      </w:r>
      <w:r>
        <w:rPr>
          <w:rStyle w:val="Strong"/>
          <w:rFonts w:ascii="Verdana" w:hAnsi="Verdana"/>
          <w:b w:val="0"/>
          <w:color w:val="000000"/>
          <w:sz w:val="16"/>
          <w:szCs w:val="16"/>
          <w:shd w:val="clear" w:color="auto" w:fill="FFFFFF"/>
        </w:rPr>
        <w:t xml:space="preserve"> </w:t>
      </w:r>
      <w:r w:rsidRPr="00B6213F">
        <w:rPr>
          <w:rStyle w:val="Strong"/>
          <w:rFonts w:ascii="Verdana" w:hAnsi="Verdana"/>
          <w:b w:val="0"/>
          <w:i/>
          <w:color w:val="000000"/>
          <w:sz w:val="16"/>
          <w:szCs w:val="16"/>
          <w:shd w:val="clear" w:color="auto" w:fill="FFFFFF"/>
        </w:rPr>
        <w:t>Caso Lagos del Campo Vs. Perú. Excepciones Preliminares, Fondo, Reparaciones y Costas.</w:t>
      </w:r>
      <w:r w:rsidRPr="00B6213F">
        <w:rPr>
          <w:rStyle w:val="Strong"/>
          <w:rFonts w:ascii="Verdana" w:hAnsi="Verdana"/>
          <w:b w:val="0"/>
          <w:color w:val="000000"/>
          <w:sz w:val="16"/>
          <w:szCs w:val="16"/>
          <w:shd w:val="clear" w:color="auto" w:fill="FFFFFF"/>
        </w:rPr>
        <w:t xml:space="preserve"> Sentencia de 31 de agosto de 2017. Serie C No. 340</w:t>
      </w:r>
      <w:r w:rsidR="003E12C7">
        <w:rPr>
          <w:rStyle w:val="Strong"/>
          <w:rFonts w:ascii="Verdana" w:hAnsi="Verdana"/>
          <w:b w:val="0"/>
          <w:color w:val="000000"/>
          <w:sz w:val="16"/>
          <w:szCs w:val="16"/>
          <w:shd w:val="clear" w:color="auto" w:fill="FFFFFF"/>
        </w:rPr>
        <w:t>;</w:t>
      </w:r>
      <w:r w:rsidRPr="00B6213F">
        <w:rPr>
          <w:rStyle w:val="Strong"/>
          <w:rFonts w:ascii="Verdana" w:hAnsi="Verdana"/>
          <w:b w:val="0"/>
          <w:color w:val="000000"/>
          <w:sz w:val="16"/>
          <w:szCs w:val="16"/>
          <w:shd w:val="clear" w:color="auto" w:fill="FFFFFF"/>
        </w:rPr>
        <w:t xml:space="preserve"> </w:t>
      </w:r>
      <w:r w:rsidRPr="00DD1072">
        <w:rPr>
          <w:rStyle w:val="Strong"/>
          <w:rFonts w:ascii="Verdana" w:hAnsi="Verdana"/>
          <w:b w:val="0"/>
          <w:i/>
          <w:color w:val="000000"/>
          <w:sz w:val="16"/>
          <w:szCs w:val="16"/>
          <w:shd w:val="clear" w:color="auto" w:fill="FFFFFF"/>
        </w:rPr>
        <w:t>Caso Vereda La Esperanza Vs. Colombia. Excepciones Preliminares, Fondo, Reparaciones y Costas</w:t>
      </w:r>
      <w:r w:rsidRPr="00DD1072">
        <w:rPr>
          <w:rStyle w:val="Strong"/>
          <w:rFonts w:ascii="Verdana" w:hAnsi="Verdana"/>
          <w:b w:val="0"/>
          <w:color w:val="000000"/>
          <w:sz w:val="16"/>
          <w:szCs w:val="16"/>
          <w:shd w:val="clear" w:color="auto" w:fill="FFFFFF"/>
        </w:rPr>
        <w:t xml:space="preserve">. Sentencia de 31 de </w:t>
      </w:r>
      <w:r w:rsidR="003E12C7">
        <w:rPr>
          <w:rStyle w:val="Strong"/>
          <w:rFonts w:ascii="Verdana" w:hAnsi="Verdana"/>
          <w:b w:val="0"/>
          <w:color w:val="000000"/>
          <w:sz w:val="16"/>
          <w:szCs w:val="16"/>
          <w:shd w:val="clear" w:color="auto" w:fill="FFFFFF"/>
        </w:rPr>
        <w:t xml:space="preserve">agosto de 2017. Serie C No. 341, y </w:t>
      </w:r>
      <w:r w:rsidRPr="00B6213F">
        <w:rPr>
          <w:rStyle w:val="Strong"/>
          <w:rFonts w:ascii="Verdana" w:hAnsi="Verdana"/>
          <w:b w:val="0"/>
          <w:i/>
          <w:color w:val="000000"/>
          <w:sz w:val="16"/>
          <w:szCs w:val="16"/>
          <w:shd w:val="clear" w:color="auto" w:fill="FFFFFF"/>
        </w:rPr>
        <w:t>Caso San Miguel Sosa y otras Vs. Venezuela. Fondo, Reparaciones y Costas</w:t>
      </w:r>
      <w:r w:rsidRPr="00B6213F">
        <w:rPr>
          <w:rStyle w:val="Strong"/>
          <w:rFonts w:ascii="Verdana" w:hAnsi="Verdana"/>
          <w:b w:val="0"/>
          <w:color w:val="000000"/>
          <w:sz w:val="16"/>
          <w:szCs w:val="16"/>
          <w:shd w:val="clear" w:color="auto" w:fill="FFFFFF"/>
        </w:rPr>
        <w:t>. Sentencia de 8 de febrero de 2018. Serie C No. 348</w:t>
      </w:r>
      <w:r w:rsidRPr="00EB595E">
        <w:rPr>
          <w:rStyle w:val="Strong"/>
          <w:rFonts w:ascii="Verdana" w:hAnsi="Verdana"/>
          <w:b w:val="0"/>
          <w:color w:val="000000"/>
          <w:sz w:val="16"/>
          <w:szCs w:val="16"/>
          <w:shd w:val="clear" w:color="auto" w:fill="FFFFFF"/>
        </w:rPr>
        <w:t>.</w:t>
      </w:r>
    </w:p>
  </w:footnote>
  <w:footnote w:id="19">
    <w:p w14:paraId="6696F6CB" w14:textId="73BA70AD" w:rsidR="00A74C00" w:rsidRPr="00D03B3F" w:rsidRDefault="00A74C00" w:rsidP="000C2783">
      <w:pPr>
        <w:pStyle w:val="FootnoteText"/>
        <w:spacing w:after="240"/>
        <w:jc w:val="both"/>
        <w:rPr>
          <w:rFonts w:ascii="Verdana" w:hAnsi="Verdana"/>
          <w:sz w:val="16"/>
          <w:szCs w:val="16"/>
        </w:rPr>
      </w:pPr>
      <w:r w:rsidRPr="00B24899">
        <w:rPr>
          <w:rStyle w:val="FootnoteReference"/>
          <w:rFonts w:ascii="Verdana" w:hAnsi="Verdana"/>
          <w:sz w:val="16"/>
          <w:szCs w:val="16"/>
        </w:rPr>
        <w:footnoteRef/>
      </w:r>
      <w:r w:rsidRPr="00B91897">
        <w:rPr>
          <w:rFonts w:ascii="Verdana" w:hAnsi="Verdana"/>
          <w:sz w:val="16"/>
          <w:szCs w:val="16"/>
        </w:rPr>
        <w:t xml:space="preserve"> </w:t>
      </w:r>
      <w:r w:rsidRPr="00B91897">
        <w:rPr>
          <w:rFonts w:ascii="Verdana" w:hAnsi="Verdana"/>
          <w:sz w:val="16"/>
          <w:szCs w:val="16"/>
        </w:rPr>
        <w:tab/>
      </w:r>
      <w:r w:rsidRPr="00BA2958">
        <w:rPr>
          <w:rFonts w:ascii="Verdana" w:hAnsi="Verdana"/>
          <w:i/>
          <w:sz w:val="16"/>
          <w:szCs w:val="16"/>
        </w:rPr>
        <w:t xml:space="preserve">Cfr. </w:t>
      </w:r>
      <w:r w:rsidRPr="00BA2958">
        <w:rPr>
          <w:rStyle w:val="Strong"/>
          <w:rFonts w:ascii="Verdana" w:hAnsi="Verdana"/>
          <w:b w:val="0"/>
          <w:i/>
          <w:color w:val="000000"/>
          <w:sz w:val="16"/>
          <w:szCs w:val="16"/>
          <w:shd w:val="clear" w:color="auto" w:fill="FFFFFF"/>
        </w:rPr>
        <w:t>Caso Acevedo Buendía y otros (“Cesantes y Jubilados de la Contraloría”) Vs. Perú. Excepción Preliminar, Fondo, Reparaciones y Costas</w:t>
      </w:r>
      <w:r w:rsidRPr="00BA2958">
        <w:rPr>
          <w:rStyle w:val="Strong"/>
          <w:rFonts w:ascii="Verdana" w:hAnsi="Verdana"/>
          <w:b w:val="0"/>
          <w:color w:val="000000"/>
          <w:sz w:val="16"/>
          <w:szCs w:val="16"/>
          <w:shd w:val="clear" w:color="auto" w:fill="FFFFFF"/>
        </w:rPr>
        <w:t>. Sentencia de 1 de julio de 2009. Serie C No. 198</w:t>
      </w:r>
      <w:r w:rsidRPr="00BA2958">
        <w:rPr>
          <w:rFonts w:ascii="Verdana" w:hAnsi="Verdana"/>
          <w:sz w:val="16"/>
          <w:szCs w:val="16"/>
        </w:rPr>
        <w:t xml:space="preserve">, párr. 102. </w:t>
      </w:r>
      <w:r w:rsidRPr="00E31BBB">
        <w:rPr>
          <w:rFonts w:ascii="Verdana" w:hAnsi="Verdana"/>
          <w:sz w:val="16"/>
          <w:szCs w:val="16"/>
        </w:rPr>
        <w:t xml:space="preserve">A lo desarrollado en el caso </w:t>
      </w:r>
      <w:r w:rsidRPr="00DD1072">
        <w:rPr>
          <w:rFonts w:ascii="Verdana" w:hAnsi="Verdana"/>
          <w:i/>
          <w:sz w:val="16"/>
          <w:szCs w:val="16"/>
        </w:rPr>
        <w:t>Acevedo Buendía y otros</w:t>
      </w:r>
      <w:r w:rsidRPr="00B24899">
        <w:rPr>
          <w:rFonts w:ascii="Verdana" w:hAnsi="Verdana"/>
          <w:sz w:val="16"/>
          <w:szCs w:val="16"/>
        </w:rPr>
        <w:t>, la jurisprudencia del Tribunal Interam</w:t>
      </w:r>
      <w:r w:rsidR="001E14E4">
        <w:rPr>
          <w:rFonts w:ascii="Verdana" w:hAnsi="Verdana"/>
          <w:sz w:val="16"/>
          <w:szCs w:val="16"/>
        </w:rPr>
        <w:t>ericano ha abordado</w:t>
      </w:r>
      <w:r w:rsidRPr="00BA2958">
        <w:rPr>
          <w:rFonts w:ascii="Verdana" w:hAnsi="Verdana"/>
          <w:sz w:val="16"/>
          <w:szCs w:val="16"/>
        </w:rPr>
        <w:t xml:space="preserve"> el contenido de la obligación de progresividad en los casos </w:t>
      </w:r>
      <w:r w:rsidRPr="00DD1072">
        <w:rPr>
          <w:rFonts w:ascii="Verdana" w:hAnsi="Verdana"/>
          <w:i/>
          <w:sz w:val="16"/>
          <w:szCs w:val="16"/>
        </w:rPr>
        <w:t>Poblete Vilches y otros Vs. Chile</w:t>
      </w:r>
      <w:r w:rsidRPr="00BA2958">
        <w:rPr>
          <w:rFonts w:ascii="Verdana" w:hAnsi="Verdana"/>
          <w:sz w:val="16"/>
          <w:szCs w:val="16"/>
        </w:rPr>
        <w:t xml:space="preserve"> y en el presente caso. V</w:t>
      </w:r>
      <w:r w:rsidRPr="00E31BBB">
        <w:rPr>
          <w:rFonts w:ascii="Verdana" w:hAnsi="Verdana"/>
          <w:sz w:val="16"/>
          <w:szCs w:val="16"/>
        </w:rPr>
        <w:t xml:space="preserve">éase: </w:t>
      </w:r>
      <w:r w:rsidRPr="00DD1072">
        <w:rPr>
          <w:rStyle w:val="Strong"/>
          <w:rFonts w:ascii="Verdana" w:hAnsi="Verdana"/>
          <w:b w:val="0"/>
          <w:i/>
          <w:color w:val="000000"/>
          <w:sz w:val="16"/>
          <w:szCs w:val="16"/>
          <w:shd w:val="clear" w:color="auto" w:fill="FFFFFF"/>
        </w:rPr>
        <w:t>Caso Poblete Vilches y otros Vs. Chile. Fondo, Reparaciones y Costas</w:t>
      </w:r>
      <w:r w:rsidRPr="00DD1072">
        <w:rPr>
          <w:rStyle w:val="Strong"/>
          <w:rFonts w:ascii="Verdana" w:hAnsi="Verdana"/>
          <w:b w:val="0"/>
          <w:color w:val="000000"/>
          <w:sz w:val="16"/>
          <w:szCs w:val="16"/>
          <w:shd w:val="clear" w:color="auto" w:fill="FFFFFF"/>
        </w:rPr>
        <w:t xml:space="preserve">. Sentencia de 8 de marzo de 2018. Serie C No. 349, párr. </w:t>
      </w:r>
      <w:r w:rsidR="00161214">
        <w:rPr>
          <w:rStyle w:val="Strong"/>
          <w:rFonts w:ascii="Verdana" w:hAnsi="Verdana"/>
          <w:b w:val="0"/>
          <w:color w:val="000000"/>
          <w:sz w:val="16"/>
          <w:szCs w:val="16"/>
          <w:shd w:val="clear" w:color="auto" w:fill="FFFFFF"/>
        </w:rPr>
        <w:t>103</w:t>
      </w:r>
      <w:r w:rsidRPr="00B24899">
        <w:rPr>
          <w:rStyle w:val="Strong"/>
          <w:rFonts w:ascii="Verdana" w:hAnsi="Verdana"/>
          <w:b w:val="0"/>
          <w:color w:val="000000"/>
          <w:sz w:val="16"/>
          <w:szCs w:val="16"/>
          <w:shd w:val="clear" w:color="auto" w:fill="FFFFFF"/>
        </w:rPr>
        <w:t>.</w:t>
      </w:r>
    </w:p>
  </w:footnote>
  <w:footnote w:id="20">
    <w:p w14:paraId="70FF1A7F" w14:textId="5281928F" w:rsidR="00A74C00" w:rsidRPr="00E31BBB" w:rsidRDefault="00A74C00" w:rsidP="000C2783">
      <w:pPr>
        <w:pStyle w:val="FootnoteText"/>
        <w:spacing w:after="240"/>
        <w:jc w:val="both"/>
        <w:rPr>
          <w:rFonts w:ascii="Verdana" w:hAnsi="Verdana"/>
          <w:sz w:val="16"/>
          <w:szCs w:val="16"/>
        </w:rPr>
      </w:pPr>
      <w:r w:rsidRPr="00D03B3F">
        <w:rPr>
          <w:rStyle w:val="FootnoteReference"/>
          <w:rFonts w:ascii="Verdana" w:hAnsi="Verdana"/>
          <w:sz w:val="16"/>
          <w:szCs w:val="16"/>
        </w:rPr>
        <w:footnoteRef/>
      </w:r>
      <w:r w:rsidRPr="00D03B3F">
        <w:rPr>
          <w:rFonts w:ascii="Verdana" w:hAnsi="Verdana"/>
          <w:sz w:val="16"/>
          <w:szCs w:val="16"/>
        </w:rPr>
        <w:t xml:space="preserve"> </w:t>
      </w:r>
      <w:r w:rsidRPr="00D03B3F">
        <w:rPr>
          <w:rFonts w:ascii="Verdana" w:hAnsi="Verdana"/>
          <w:sz w:val="16"/>
          <w:szCs w:val="16"/>
        </w:rPr>
        <w:tab/>
      </w:r>
      <w:r w:rsidRPr="00D03B3F">
        <w:rPr>
          <w:rFonts w:ascii="Verdana" w:hAnsi="Verdana"/>
          <w:i/>
          <w:sz w:val="16"/>
          <w:szCs w:val="16"/>
        </w:rPr>
        <w:t xml:space="preserve">Cfr. </w:t>
      </w:r>
      <w:r w:rsidRPr="00B24899">
        <w:rPr>
          <w:rStyle w:val="Strong"/>
          <w:rFonts w:ascii="Verdana" w:hAnsi="Verdana"/>
          <w:b w:val="0"/>
          <w:i/>
          <w:color w:val="000000"/>
          <w:sz w:val="16"/>
          <w:szCs w:val="16"/>
          <w:shd w:val="clear" w:color="auto" w:fill="FFFFFF"/>
        </w:rPr>
        <w:t>Caso Acevedo Buendía y otros (“Cesantes y Jubilados de la Contraloría”) Vs. Perú. Excepción Preliminar, Fondo, Reparaciones y Costas</w:t>
      </w:r>
      <w:r w:rsidRPr="00BA2958">
        <w:rPr>
          <w:rStyle w:val="Strong"/>
          <w:rFonts w:ascii="Verdana" w:hAnsi="Verdana"/>
          <w:b w:val="0"/>
          <w:color w:val="000000"/>
          <w:sz w:val="16"/>
          <w:szCs w:val="16"/>
          <w:shd w:val="clear" w:color="auto" w:fill="FFFFFF"/>
        </w:rPr>
        <w:t>. Senten</w:t>
      </w:r>
      <w:r>
        <w:rPr>
          <w:rStyle w:val="Strong"/>
          <w:rFonts w:ascii="Verdana" w:hAnsi="Verdana"/>
          <w:b w:val="0"/>
          <w:color w:val="000000"/>
          <w:sz w:val="16"/>
          <w:szCs w:val="16"/>
          <w:shd w:val="clear" w:color="auto" w:fill="FFFFFF"/>
        </w:rPr>
        <w:t>0</w:t>
      </w:r>
      <w:r w:rsidRPr="00BA2958">
        <w:rPr>
          <w:rStyle w:val="Strong"/>
          <w:rFonts w:ascii="Verdana" w:hAnsi="Verdana"/>
          <w:b w:val="0"/>
          <w:color w:val="000000"/>
          <w:sz w:val="16"/>
          <w:szCs w:val="16"/>
          <w:shd w:val="clear" w:color="auto" w:fill="FFFFFF"/>
        </w:rPr>
        <w:t>cia de 1 de julio de 2009. Serie C No. 198</w:t>
      </w:r>
      <w:r w:rsidRPr="00BA2958">
        <w:rPr>
          <w:rFonts w:ascii="Verdana" w:hAnsi="Verdana"/>
          <w:b/>
          <w:sz w:val="16"/>
          <w:szCs w:val="16"/>
        </w:rPr>
        <w:t>,</w:t>
      </w:r>
      <w:r w:rsidRPr="00E31BBB">
        <w:rPr>
          <w:rFonts w:ascii="Verdana" w:hAnsi="Verdana"/>
          <w:sz w:val="16"/>
          <w:szCs w:val="16"/>
        </w:rPr>
        <w:t xml:space="preserve"> párr. 102.</w:t>
      </w:r>
    </w:p>
  </w:footnote>
  <w:footnote w:id="21">
    <w:p w14:paraId="60B8D104" w14:textId="4FE05F93" w:rsidR="00161214" w:rsidRPr="00DD1072" w:rsidRDefault="00161214" w:rsidP="000C2783">
      <w:pPr>
        <w:pStyle w:val="FootnoteText"/>
        <w:spacing w:after="240"/>
        <w:jc w:val="both"/>
        <w:rPr>
          <w:rFonts w:ascii="Verdana" w:hAnsi="Verdana"/>
          <w:sz w:val="16"/>
          <w:szCs w:val="16"/>
        </w:rPr>
      </w:pPr>
      <w:r w:rsidRPr="00006216">
        <w:rPr>
          <w:rStyle w:val="FootnoteReference"/>
          <w:rFonts w:ascii="Verdana" w:hAnsi="Verdana"/>
          <w:sz w:val="16"/>
          <w:szCs w:val="16"/>
        </w:rPr>
        <w:footnoteRef/>
      </w:r>
      <w:r w:rsidRPr="00006216">
        <w:rPr>
          <w:rFonts w:ascii="Verdana" w:hAnsi="Verdana"/>
          <w:sz w:val="16"/>
          <w:szCs w:val="16"/>
        </w:rPr>
        <w:t xml:space="preserve"> </w:t>
      </w:r>
      <w:r w:rsidRPr="00006216">
        <w:rPr>
          <w:rFonts w:ascii="Verdana" w:hAnsi="Verdana"/>
          <w:sz w:val="16"/>
          <w:szCs w:val="16"/>
        </w:rPr>
        <w:tab/>
      </w:r>
      <w:r w:rsidRPr="00006216">
        <w:rPr>
          <w:rFonts w:ascii="Verdana" w:hAnsi="Verdana"/>
          <w:i/>
          <w:sz w:val="16"/>
          <w:szCs w:val="16"/>
        </w:rPr>
        <w:t xml:space="preserve">Cfr. </w:t>
      </w:r>
      <w:r w:rsidRPr="00006216">
        <w:rPr>
          <w:rStyle w:val="Strong"/>
          <w:rFonts w:ascii="Verdana" w:hAnsi="Verdana"/>
          <w:b w:val="0"/>
          <w:i/>
          <w:color w:val="000000"/>
          <w:sz w:val="16"/>
          <w:szCs w:val="16"/>
          <w:shd w:val="clear" w:color="auto" w:fill="FFFFFF"/>
        </w:rPr>
        <w:t>Caso Acevedo Buendía y otros (“Cesantes y Jubilados de la Contraloría”) Vs. Perú. Excepción Preliminar, Fondo, Reparaciones y Costas</w:t>
      </w:r>
      <w:r w:rsidRPr="00006216">
        <w:rPr>
          <w:rStyle w:val="Strong"/>
          <w:rFonts w:ascii="Verdana" w:hAnsi="Verdana"/>
          <w:b w:val="0"/>
          <w:color w:val="000000"/>
          <w:sz w:val="16"/>
          <w:szCs w:val="16"/>
          <w:shd w:val="clear" w:color="auto" w:fill="FFFFFF"/>
        </w:rPr>
        <w:t>. Sentencia de 1 de julio de 2009. Serie C No. 198</w:t>
      </w:r>
      <w:r w:rsidRPr="00006216">
        <w:rPr>
          <w:rFonts w:ascii="Verdana" w:hAnsi="Verdana"/>
          <w:sz w:val="16"/>
          <w:szCs w:val="16"/>
        </w:rPr>
        <w:t xml:space="preserve">, párr. 103. En </w:t>
      </w:r>
      <w:r w:rsidRPr="00006216">
        <w:rPr>
          <w:rFonts w:ascii="Verdana" w:hAnsi="Verdana"/>
          <w:i/>
          <w:sz w:val="16"/>
          <w:szCs w:val="16"/>
        </w:rPr>
        <w:t>Acevedo</w:t>
      </w:r>
      <w:r w:rsidRPr="00006216">
        <w:rPr>
          <w:rFonts w:ascii="Verdana" w:hAnsi="Verdana"/>
          <w:sz w:val="16"/>
          <w:szCs w:val="16"/>
        </w:rPr>
        <w:t xml:space="preserve"> </w:t>
      </w:r>
      <w:r w:rsidRPr="00006216">
        <w:rPr>
          <w:rFonts w:ascii="Verdana" w:hAnsi="Verdana"/>
          <w:i/>
          <w:sz w:val="16"/>
          <w:szCs w:val="16"/>
        </w:rPr>
        <w:t xml:space="preserve">Buendía </w:t>
      </w:r>
      <w:r w:rsidRPr="00006216">
        <w:rPr>
          <w:rFonts w:ascii="Verdana" w:hAnsi="Verdana"/>
          <w:sz w:val="16"/>
          <w:szCs w:val="16"/>
        </w:rPr>
        <w:t xml:space="preserve">la Corte se refirió a la Observación No. 3 para señalar que “las medidas de carácter deliberadamente re[gresivo] en este aspecto requerirán la consideración más cuidadosa y deberán justificarse plenamente por referencia a la totalidad de los derechos previstos en el Pacto [Internacional de Derechos Económicos, Sociales y Culturales] y en el contexto del aprovechamiento pleno del máximo de los recursos de que [el Estado] disponga”. Al respecto, cabe destacar que el Comité de Derechos Económicos, Sociales y Culturales de la Organización de las Naciones Unidas (en adelante, “Comité DESC”) ha variado el criterio para la evaluación de medidas regresivas, de forma tal que los Estados deberán demostrar, entre otros, que las medidas son: </w:t>
      </w:r>
      <w:r w:rsidRPr="00006216">
        <w:rPr>
          <w:rFonts w:ascii="Verdana" w:hAnsi="Verdana"/>
          <w:sz w:val="16"/>
          <w:szCs w:val="16"/>
          <w:lang w:val="es-ES"/>
        </w:rPr>
        <w:t xml:space="preserve">a) temporales, b) necesarias, c) no discriminatorias o que no afecten de forma desproporcionada a personas y grupos desfavorecidos y marginados y d) que respetan al menos las obligaciones básicas del derecho social en cuestión y que sean aplicables al grupo de población específico de que se trate. </w:t>
      </w:r>
      <w:r w:rsidRPr="00006216">
        <w:rPr>
          <w:rFonts w:ascii="Verdana" w:hAnsi="Verdana"/>
          <w:i/>
          <w:sz w:val="16"/>
          <w:szCs w:val="16"/>
        </w:rPr>
        <w:t>Mutatis mutandis</w:t>
      </w:r>
      <w:r w:rsidRPr="00006216">
        <w:rPr>
          <w:rFonts w:ascii="Verdana" w:hAnsi="Verdana"/>
          <w:sz w:val="16"/>
          <w:szCs w:val="16"/>
        </w:rPr>
        <w:t xml:space="preserve">, Comité DESC, Observación General No. 22, </w:t>
      </w:r>
      <w:r w:rsidRPr="00006216">
        <w:rPr>
          <w:rFonts w:ascii="Verdana" w:hAnsi="Verdana"/>
          <w:i/>
          <w:sz w:val="16"/>
          <w:szCs w:val="16"/>
        </w:rPr>
        <w:t>relativa al derecho a la salud sexual y reproductiva (artículo 12 del Pacto Internacional de Derechos Económicos, Sociales y Culturales)</w:t>
      </w:r>
      <w:r w:rsidRPr="00006216">
        <w:rPr>
          <w:rFonts w:ascii="Verdana" w:hAnsi="Verdana"/>
          <w:sz w:val="16"/>
          <w:szCs w:val="16"/>
        </w:rPr>
        <w:t>, E/C.12/GC/22, 2 de mayo de 2016, párr. 38 y Observación General No. 23</w:t>
      </w:r>
      <w:r w:rsidRPr="00006216">
        <w:rPr>
          <w:rFonts w:ascii="Verdana" w:hAnsi="Verdana"/>
          <w:i/>
          <w:sz w:val="16"/>
          <w:szCs w:val="16"/>
        </w:rPr>
        <w:t xml:space="preserve"> sobre el derecho a condiciones de trabajo equitativas y satisfactorias (artículo 7 del Pacto Internacional de Derechos Económicos, Sociales y Culturales</w:t>
      </w:r>
      <w:r w:rsidRPr="00006216">
        <w:rPr>
          <w:rFonts w:ascii="Verdana" w:hAnsi="Verdana"/>
          <w:sz w:val="16"/>
          <w:szCs w:val="16"/>
        </w:rPr>
        <w:t>), E/C.12/GC/23, 27 de abril del 2016, párr. 53.</w:t>
      </w:r>
    </w:p>
  </w:footnote>
  <w:footnote w:id="22">
    <w:p w14:paraId="09506A76" w14:textId="1F86122C" w:rsidR="00A74C00" w:rsidRPr="00B6213F" w:rsidRDefault="00A74C00" w:rsidP="000C2783">
      <w:pPr>
        <w:pStyle w:val="FootnoteText"/>
        <w:spacing w:after="240"/>
        <w:jc w:val="both"/>
        <w:rPr>
          <w:rFonts w:ascii="Verdana" w:hAnsi="Verdana"/>
          <w:i/>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3E12C7">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Style w:val="Strong"/>
          <w:rFonts w:ascii="Verdana" w:hAnsi="Verdana"/>
          <w:b w:val="0"/>
          <w:color w:val="000000"/>
          <w:sz w:val="16"/>
          <w:szCs w:val="16"/>
          <w:shd w:val="clear" w:color="auto" w:fill="FFFFFF"/>
        </w:rPr>
        <w:t xml:space="preserve">, párr. </w:t>
      </w:r>
      <w:r w:rsidR="00161214">
        <w:rPr>
          <w:rStyle w:val="Strong"/>
          <w:rFonts w:ascii="Verdana" w:hAnsi="Verdana"/>
          <w:b w:val="0"/>
          <w:color w:val="000000"/>
          <w:sz w:val="16"/>
          <w:szCs w:val="16"/>
          <w:shd w:val="clear" w:color="auto" w:fill="FFFFFF"/>
        </w:rPr>
        <w:t>148</w:t>
      </w:r>
      <w:r w:rsidRPr="00B6213F">
        <w:rPr>
          <w:rStyle w:val="Strong"/>
          <w:rFonts w:ascii="Verdana" w:hAnsi="Verdana"/>
          <w:b w:val="0"/>
          <w:color w:val="000000"/>
          <w:sz w:val="16"/>
          <w:szCs w:val="16"/>
          <w:shd w:val="clear" w:color="auto" w:fill="FFFFFF"/>
        </w:rPr>
        <w:t>.</w:t>
      </w:r>
    </w:p>
  </w:footnote>
  <w:footnote w:id="23">
    <w:p w14:paraId="6D10DC8C" w14:textId="7CAC0D11" w:rsidR="00A74C00" w:rsidRPr="00B6213F" w:rsidRDefault="00A74C00" w:rsidP="000C2783">
      <w:pPr>
        <w:pStyle w:val="FootnoteText"/>
        <w:spacing w:after="240"/>
        <w:jc w:val="both"/>
        <w:rPr>
          <w:rFonts w:ascii="Verdana" w:hAnsi="Verdana"/>
          <w:i/>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3E12C7">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Style w:val="Strong"/>
          <w:rFonts w:ascii="Verdana" w:hAnsi="Verdana"/>
          <w:b w:val="0"/>
          <w:color w:val="000000"/>
          <w:sz w:val="16"/>
          <w:szCs w:val="16"/>
          <w:shd w:val="clear" w:color="auto" w:fill="FFFFFF"/>
        </w:rPr>
        <w:t xml:space="preserve">, párr. </w:t>
      </w:r>
      <w:r w:rsidR="00637FA2">
        <w:rPr>
          <w:rStyle w:val="Strong"/>
          <w:rFonts w:ascii="Verdana" w:hAnsi="Verdana"/>
          <w:b w:val="0"/>
          <w:color w:val="000000"/>
          <w:sz w:val="16"/>
          <w:szCs w:val="16"/>
          <w:shd w:val="clear" w:color="auto" w:fill="FFFFFF"/>
        </w:rPr>
        <w:t>146</w:t>
      </w:r>
      <w:r w:rsidRPr="00B6213F">
        <w:rPr>
          <w:rFonts w:ascii="Verdana" w:hAnsi="Verdana"/>
          <w:sz w:val="16"/>
          <w:szCs w:val="16"/>
        </w:rPr>
        <w:t>.</w:t>
      </w:r>
    </w:p>
  </w:footnote>
  <w:footnote w:id="24">
    <w:p w14:paraId="3AE9E317" w14:textId="594F9662" w:rsidR="00A74C00" w:rsidRPr="00B6213F" w:rsidRDefault="00A74C00" w:rsidP="000C2783">
      <w:pPr>
        <w:pStyle w:val="FootnoteText"/>
        <w:spacing w:after="240"/>
        <w:jc w:val="both"/>
        <w:rPr>
          <w:rFonts w:ascii="Verdana" w:hAnsi="Verdana"/>
          <w:i/>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3E12C7">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Style w:val="Strong"/>
          <w:rFonts w:ascii="Verdana" w:hAnsi="Verdana"/>
          <w:b w:val="0"/>
          <w:color w:val="000000"/>
          <w:sz w:val="16"/>
          <w:szCs w:val="16"/>
          <w:shd w:val="clear" w:color="auto" w:fill="FFFFFF"/>
        </w:rPr>
        <w:t xml:space="preserve">, párr. </w:t>
      </w:r>
      <w:r w:rsidR="00161214">
        <w:rPr>
          <w:rStyle w:val="Strong"/>
          <w:rFonts w:ascii="Verdana" w:hAnsi="Verdana"/>
          <w:b w:val="0"/>
          <w:color w:val="000000"/>
          <w:sz w:val="16"/>
          <w:szCs w:val="16"/>
          <w:shd w:val="clear" w:color="auto" w:fill="FFFFFF"/>
        </w:rPr>
        <w:t>119</w:t>
      </w:r>
      <w:r w:rsidRPr="00B6213F">
        <w:rPr>
          <w:rStyle w:val="Strong"/>
          <w:rFonts w:ascii="Verdana" w:hAnsi="Verdana"/>
          <w:b w:val="0"/>
          <w:color w:val="000000"/>
          <w:sz w:val="16"/>
          <w:szCs w:val="16"/>
          <w:shd w:val="clear" w:color="auto" w:fill="FFFFFF"/>
        </w:rPr>
        <w:t>.</w:t>
      </w:r>
    </w:p>
  </w:footnote>
  <w:footnote w:id="25">
    <w:p w14:paraId="0AB2F79C" w14:textId="59A8DDF1" w:rsidR="00161214" w:rsidRPr="00161214" w:rsidRDefault="00A74C00" w:rsidP="000C2783">
      <w:pPr>
        <w:pStyle w:val="FootnoteText"/>
        <w:spacing w:after="240"/>
        <w:jc w:val="both"/>
        <w:rPr>
          <w:rFonts w:ascii="Verdana" w:hAnsi="Verdana"/>
          <w:sz w:val="16"/>
          <w:szCs w:val="16"/>
        </w:rPr>
      </w:pPr>
      <w:r w:rsidRPr="00161214">
        <w:rPr>
          <w:rStyle w:val="FootnoteReference"/>
          <w:rFonts w:ascii="Verdana" w:hAnsi="Verdana"/>
          <w:sz w:val="16"/>
          <w:szCs w:val="16"/>
        </w:rPr>
        <w:footnoteRef/>
      </w:r>
      <w:r w:rsidRPr="00161214">
        <w:rPr>
          <w:rFonts w:ascii="Verdana" w:hAnsi="Verdana"/>
          <w:sz w:val="16"/>
          <w:szCs w:val="16"/>
        </w:rPr>
        <w:t xml:space="preserve"> </w:t>
      </w:r>
      <w:r w:rsidR="00161214" w:rsidRPr="00161214">
        <w:rPr>
          <w:rFonts w:ascii="Verdana" w:hAnsi="Verdana"/>
          <w:sz w:val="16"/>
          <w:szCs w:val="16"/>
        </w:rPr>
        <w:tab/>
      </w:r>
      <w:r w:rsidRPr="00161214">
        <w:rPr>
          <w:rFonts w:ascii="Verdana" w:hAnsi="Verdana"/>
          <w:i/>
          <w:sz w:val="16"/>
          <w:szCs w:val="16"/>
        </w:rPr>
        <w:t xml:space="preserve">Cfr. </w:t>
      </w:r>
      <w:r w:rsidRPr="00161214">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161214">
        <w:rPr>
          <w:rStyle w:val="Strong"/>
          <w:rFonts w:ascii="Verdana" w:hAnsi="Verdana"/>
          <w:b w:val="0"/>
          <w:i/>
          <w:color w:val="000000"/>
          <w:sz w:val="16"/>
          <w:szCs w:val="16"/>
          <w:shd w:val="clear" w:color="auto" w:fill="FFFFFF"/>
        </w:rPr>
        <w:t>, Fondo, Reparaciones y Costas.</w:t>
      </w:r>
      <w:r w:rsidR="005F6A5E">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161214">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161214">
        <w:rPr>
          <w:rStyle w:val="Strong"/>
          <w:rFonts w:ascii="Verdana" w:hAnsi="Verdana"/>
          <w:b w:val="0"/>
          <w:color w:val="000000"/>
          <w:sz w:val="16"/>
          <w:szCs w:val="16"/>
          <w:shd w:val="clear" w:color="auto" w:fill="FFFFFF"/>
        </w:rPr>
        <w:t xml:space="preserve">, párrs. 41 a </w:t>
      </w:r>
      <w:r w:rsidR="00161214" w:rsidRPr="00161214">
        <w:rPr>
          <w:rStyle w:val="Strong"/>
          <w:rFonts w:ascii="Verdana" w:hAnsi="Verdana"/>
          <w:b w:val="0"/>
          <w:color w:val="000000"/>
          <w:sz w:val="16"/>
          <w:szCs w:val="16"/>
          <w:shd w:val="clear" w:color="auto" w:fill="FFFFFF"/>
        </w:rPr>
        <w:t>54</w:t>
      </w:r>
      <w:r w:rsidRPr="00161214">
        <w:rPr>
          <w:rStyle w:val="Strong"/>
          <w:rFonts w:ascii="Verdana" w:hAnsi="Verdana"/>
          <w:b w:val="0"/>
          <w:color w:val="000000"/>
          <w:sz w:val="16"/>
          <w:szCs w:val="16"/>
          <w:shd w:val="clear" w:color="auto" w:fill="FFFFFF"/>
        </w:rPr>
        <w:t>.</w:t>
      </w:r>
    </w:p>
  </w:footnote>
  <w:footnote w:id="26">
    <w:p w14:paraId="2B5760B4" w14:textId="31A62394" w:rsidR="00161214" w:rsidRPr="00AA4638" w:rsidRDefault="00161214" w:rsidP="000C2783">
      <w:pPr>
        <w:pStyle w:val="FootnoteText"/>
        <w:spacing w:after="240"/>
        <w:jc w:val="both"/>
        <w:rPr>
          <w:rFonts w:ascii="Verdana" w:hAnsi="Verdana"/>
          <w:b/>
          <w:sz w:val="16"/>
          <w:szCs w:val="16"/>
        </w:rPr>
      </w:pPr>
      <w:r w:rsidRPr="001F432C">
        <w:rPr>
          <w:rStyle w:val="FootnoteReference"/>
          <w:rFonts w:ascii="Verdana" w:hAnsi="Verdana"/>
          <w:sz w:val="16"/>
          <w:szCs w:val="16"/>
        </w:rPr>
        <w:footnoteRef/>
      </w:r>
      <w:r w:rsidRPr="001F432C">
        <w:rPr>
          <w:rFonts w:ascii="Verdana" w:hAnsi="Verdana"/>
          <w:sz w:val="16"/>
          <w:szCs w:val="16"/>
        </w:rPr>
        <w:t xml:space="preserve"> </w:t>
      </w:r>
      <w:r w:rsidRPr="001F432C">
        <w:rPr>
          <w:rFonts w:ascii="Verdana" w:hAnsi="Verdana"/>
          <w:sz w:val="16"/>
          <w:szCs w:val="16"/>
        </w:rPr>
        <w:tab/>
      </w:r>
      <w:r w:rsidRPr="00AB757C">
        <w:rPr>
          <w:rFonts w:ascii="Verdana" w:hAnsi="Verdana"/>
          <w:i/>
          <w:sz w:val="16"/>
          <w:szCs w:val="16"/>
        </w:rPr>
        <w:t xml:space="preserve">Cfr. </w:t>
      </w:r>
      <w:r w:rsidRPr="00AB757C">
        <w:rPr>
          <w:rFonts w:ascii="Verdana" w:hAnsi="Verdana"/>
          <w:sz w:val="16"/>
          <w:szCs w:val="16"/>
        </w:rPr>
        <w:t>OEA, “Aprobación de indicadores de progreso para medición de derechos contemplados en el Protocolo de San Salvador”, resolución AG/RES. 2713 (XLII-O/12) aprobada en la segunda sesión plenaria de 4 de junio de 2012, Punto 1 de la resolución, puede consultarse en</w:t>
      </w:r>
      <w:r w:rsidRPr="005C0877">
        <w:rPr>
          <w:rFonts w:ascii="Verdana" w:hAnsi="Verdana"/>
          <w:sz w:val="16"/>
          <w:szCs w:val="16"/>
        </w:rPr>
        <w:t xml:space="preserve">: </w:t>
      </w:r>
      <w:hyperlink r:id="rId1" w:history="1">
        <w:r w:rsidRPr="005C0877">
          <w:rPr>
            <w:rStyle w:val="Hyperlink"/>
            <w:rFonts w:ascii="Verdana" w:hAnsi="Verdana"/>
            <w:color w:val="auto"/>
            <w:sz w:val="16"/>
            <w:szCs w:val="16"/>
            <w:u w:val="none"/>
          </w:rPr>
          <w:t>http://www.oas.org/es/sadye/inclusion-social/protocolo-ssv/docs/pssv-indicadores-es.pdf</w:t>
        </w:r>
      </w:hyperlink>
      <w:r w:rsidRPr="005C0877">
        <w:rPr>
          <w:rFonts w:ascii="Verdana" w:hAnsi="Verdana"/>
          <w:sz w:val="16"/>
          <w:szCs w:val="16"/>
        </w:rPr>
        <w:t>.</w:t>
      </w:r>
      <w:r w:rsidRPr="00AB757C">
        <w:rPr>
          <w:rFonts w:ascii="Verdana" w:hAnsi="Verdana"/>
          <w:sz w:val="16"/>
          <w:szCs w:val="16"/>
        </w:rPr>
        <w:t xml:space="preserve"> GTPSS, “Indicadores de Progreso: Primer Agrupamiento de Derechos”, 12 de diciembre de 2011, OEA/Ser.L/XXV.2.1, párrs. 15, 67 y 68</w:t>
      </w:r>
      <w:r w:rsidRPr="00A84BA1">
        <w:rPr>
          <w:rFonts w:ascii="Verdana" w:hAnsi="Verdana"/>
          <w:sz w:val="16"/>
          <w:szCs w:val="16"/>
        </w:rPr>
        <w:t xml:space="preserve">. En el caso Gonzales Lluy, la Corte consideró, que en el Protocolo de </w:t>
      </w:r>
      <w:r w:rsidR="00931A8C">
        <w:rPr>
          <w:rFonts w:ascii="Verdana" w:hAnsi="Verdana"/>
          <w:sz w:val="16"/>
          <w:szCs w:val="16"/>
        </w:rPr>
        <w:t>San Salvador se hace referencia</w:t>
      </w:r>
      <w:r w:rsidRPr="00A84BA1">
        <w:rPr>
          <w:rFonts w:ascii="Verdana" w:hAnsi="Verdana"/>
          <w:sz w:val="16"/>
          <w:szCs w:val="16"/>
        </w:rPr>
        <w:t xml:space="preserve"> a la satisfacción de los derechos en un contexto del desarrollo del sistema de salud, además que los bienes y servicios de salud deben ser apropiados desde el punto de vista científico y médico.</w:t>
      </w:r>
      <w:r w:rsidRPr="001F432C">
        <w:rPr>
          <w:rFonts w:ascii="Verdana" w:hAnsi="Verdana"/>
          <w:sz w:val="16"/>
          <w:szCs w:val="16"/>
        </w:rPr>
        <w:t xml:space="preserve"> </w:t>
      </w:r>
      <w:r w:rsidRPr="001F432C">
        <w:rPr>
          <w:rFonts w:ascii="Verdana" w:hAnsi="Verdana"/>
          <w:i/>
          <w:sz w:val="16"/>
          <w:szCs w:val="16"/>
        </w:rPr>
        <w:t>Cfr.</w:t>
      </w:r>
      <w:r w:rsidRPr="001F432C">
        <w:rPr>
          <w:rFonts w:ascii="Verdana" w:hAnsi="Verdana"/>
          <w:sz w:val="16"/>
          <w:szCs w:val="16"/>
        </w:rPr>
        <w:t xml:space="preserve"> </w:t>
      </w:r>
      <w:r w:rsidRPr="001F432C">
        <w:rPr>
          <w:rStyle w:val="Strong"/>
          <w:rFonts w:ascii="Verdana" w:hAnsi="Verdana"/>
          <w:b w:val="0"/>
          <w:i/>
          <w:color w:val="000000"/>
          <w:sz w:val="16"/>
          <w:szCs w:val="16"/>
          <w:shd w:val="clear" w:color="auto" w:fill="FFFFFF"/>
        </w:rPr>
        <w:t>Caso Gonzales Lluy y otros Vs. Ecuador. Excepciones Preliminares, Fondo, Reparaciones y Costas</w:t>
      </w:r>
      <w:r w:rsidRPr="001F432C">
        <w:rPr>
          <w:rStyle w:val="Strong"/>
          <w:rFonts w:ascii="Verdana" w:hAnsi="Verdana"/>
          <w:b w:val="0"/>
          <w:color w:val="000000"/>
          <w:sz w:val="16"/>
          <w:szCs w:val="16"/>
          <w:shd w:val="clear" w:color="auto" w:fill="FFFFFF"/>
        </w:rPr>
        <w:t xml:space="preserve">. Sentencia de 1 de septiembre de 2015. Serie C No. 298, </w:t>
      </w:r>
      <w:r>
        <w:rPr>
          <w:rStyle w:val="Strong"/>
          <w:rFonts w:ascii="Verdana" w:hAnsi="Verdana"/>
          <w:b w:val="0"/>
          <w:color w:val="000000"/>
          <w:sz w:val="16"/>
          <w:szCs w:val="16"/>
          <w:shd w:val="clear" w:color="auto" w:fill="FFFFFF"/>
        </w:rPr>
        <w:t xml:space="preserve">párr. 172 y </w:t>
      </w:r>
      <w:r w:rsidRPr="001F432C">
        <w:rPr>
          <w:rStyle w:val="Strong"/>
          <w:rFonts w:ascii="Verdana" w:hAnsi="Verdana"/>
          <w:b w:val="0"/>
          <w:color w:val="000000"/>
          <w:sz w:val="16"/>
          <w:szCs w:val="16"/>
          <w:shd w:val="clear" w:color="auto" w:fill="FFFFFF"/>
        </w:rPr>
        <w:t xml:space="preserve">nota </w:t>
      </w:r>
      <w:r w:rsidRPr="00A84BA1">
        <w:rPr>
          <w:rStyle w:val="Strong"/>
          <w:rFonts w:ascii="Verdana" w:hAnsi="Verdana"/>
          <w:b w:val="0"/>
          <w:color w:val="000000"/>
          <w:sz w:val="16"/>
          <w:szCs w:val="16"/>
          <w:shd w:val="clear" w:color="auto" w:fill="FFFFFF"/>
        </w:rPr>
        <w:t>al pie 202</w:t>
      </w:r>
      <w:r w:rsidRPr="001F432C">
        <w:rPr>
          <w:rStyle w:val="Strong"/>
          <w:rFonts w:ascii="Verdana" w:hAnsi="Verdana"/>
          <w:b w:val="0"/>
          <w:color w:val="000000"/>
          <w:sz w:val="16"/>
          <w:szCs w:val="16"/>
          <w:shd w:val="clear" w:color="auto" w:fill="FFFFFF"/>
        </w:rPr>
        <w:t>.</w:t>
      </w:r>
      <w:r w:rsidRPr="001F432C">
        <w:rPr>
          <w:rStyle w:val="Strong"/>
          <w:rFonts w:ascii="Verdana" w:hAnsi="Verdana"/>
          <w:color w:val="000000"/>
          <w:shd w:val="clear" w:color="auto" w:fill="FFFFFF"/>
        </w:rPr>
        <w:t xml:space="preserve"> </w:t>
      </w:r>
      <w:r w:rsidRPr="001F432C">
        <w:rPr>
          <w:rStyle w:val="Strong"/>
          <w:rFonts w:ascii="Verdana" w:hAnsi="Verdana"/>
          <w:b w:val="0"/>
          <w:color w:val="000000"/>
          <w:sz w:val="16"/>
          <w:szCs w:val="16"/>
          <w:shd w:val="clear" w:color="auto" w:fill="FFFFFF"/>
        </w:rPr>
        <w:t>En el caso Poblete Vilches, la Corte utilizó dichos indicadores</w:t>
      </w:r>
      <w:r>
        <w:rPr>
          <w:rStyle w:val="Strong"/>
          <w:rFonts w:ascii="Verdana" w:hAnsi="Verdana"/>
          <w:b w:val="0"/>
          <w:color w:val="000000"/>
          <w:sz w:val="16"/>
          <w:szCs w:val="16"/>
          <w:shd w:val="clear" w:color="auto" w:fill="FFFFFF"/>
        </w:rPr>
        <w:t xml:space="preserve"> a la luz del artículo</w:t>
      </w:r>
      <w:r w:rsidRPr="001F432C">
        <w:rPr>
          <w:rStyle w:val="Strong"/>
          <w:rFonts w:ascii="Verdana" w:hAnsi="Verdana"/>
          <w:b w:val="0"/>
          <w:color w:val="000000"/>
          <w:sz w:val="16"/>
          <w:szCs w:val="16"/>
          <w:shd w:val="clear" w:color="auto" w:fill="FFFFFF"/>
        </w:rPr>
        <w:t xml:space="preserve"> 26 de la Convención Americana y para establecer la existencia de una prohibición de regresividad frente a la realización alcanzada de los derechos. </w:t>
      </w:r>
      <w:r w:rsidRPr="001F432C">
        <w:rPr>
          <w:rStyle w:val="Strong"/>
          <w:rFonts w:ascii="Verdana" w:hAnsi="Verdana"/>
          <w:b w:val="0"/>
          <w:i/>
          <w:color w:val="000000"/>
          <w:sz w:val="16"/>
          <w:szCs w:val="16"/>
          <w:shd w:val="clear" w:color="auto" w:fill="FFFFFF"/>
        </w:rPr>
        <w:t>Cfr. Caso Poblete Vilches y otros Vs. Chile. Fondo, Reparaciones y Costas</w:t>
      </w:r>
      <w:r w:rsidRPr="001F432C">
        <w:rPr>
          <w:rStyle w:val="Strong"/>
          <w:rFonts w:ascii="Verdana" w:hAnsi="Verdana"/>
          <w:b w:val="0"/>
          <w:color w:val="000000"/>
          <w:sz w:val="16"/>
          <w:szCs w:val="16"/>
          <w:shd w:val="clear" w:color="auto" w:fill="FFFFFF"/>
        </w:rPr>
        <w:t xml:space="preserve">. Sentencia de 8 de marzo de 2018. Serie C No. 349, párrs. 104 y nota </w:t>
      </w:r>
      <w:r w:rsidRPr="00DC3727">
        <w:rPr>
          <w:rStyle w:val="Strong"/>
          <w:rFonts w:ascii="Verdana" w:hAnsi="Verdana"/>
          <w:b w:val="0"/>
          <w:color w:val="000000"/>
          <w:sz w:val="16"/>
          <w:szCs w:val="16"/>
          <w:shd w:val="clear" w:color="auto" w:fill="FFFFFF"/>
        </w:rPr>
        <w:t>al pie 133.</w:t>
      </w:r>
    </w:p>
  </w:footnote>
  <w:footnote w:id="27">
    <w:p w14:paraId="502786F2" w14:textId="3E573EE4" w:rsidR="007F7934" w:rsidRPr="00455A07" w:rsidRDefault="00161214" w:rsidP="000C2783">
      <w:pPr>
        <w:pStyle w:val="FootnoteText"/>
        <w:spacing w:after="240"/>
        <w:jc w:val="both"/>
        <w:rPr>
          <w:rFonts w:ascii="Verdana" w:hAnsi="Verdana"/>
          <w:sz w:val="16"/>
          <w:szCs w:val="16"/>
        </w:rPr>
      </w:pPr>
      <w:r w:rsidRPr="00455A07">
        <w:rPr>
          <w:rStyle w:val="FootnoteReference"/>
          <w:rFonts w:ascii="Verdana" w:hAnsi="Verdana"/>
          <w:sz w:val="16"/>
          <w:szCs w:val="16"/>
        </w:rPr>
        <w:footnoteRef/>
      </w:r>
      <w:r w:rsidRPr="00455A07">
        <w:rPr>
          <w:rFonts w:ascii="Verdana" w:hAnsi="Verdana"/>
          <w:sz w:val="16"/>
          <w:szCs w:val="16"/>
        </w:rPr>
        <w:t xml:space="preserve"> </w:t>
      </w:r>
      <w:r w:rsidRPr="00455A07">
        <w:rPr>
          <w:rFonts w:ascii="Verdana" w:hAnsi="Verdana"/>
          <w:sz w:val="16"/>
          <w:szCs w:val="16"/>
        </w:rPr>
        <w:tab/>
      </w:r>
      <w:r w:rsidRPr="007D62EB">
        <w:rPr>
          <w:rFonts w:ascii="Verdana" w:hAnsi="Verdana"/>
          <w:i/>
          <w:sz w:val="16"/>
          <w:szCs w:val="16"/>
        </w:rPr>
        <w:t xml:space="preserve">Op.cit. </w:t>
      </w:r>
      <w:r w:rsidRPr="007D62EB">
        <w:rPr>
          <w:rFonts w:ascii="Verdana" w:hAnsi="Verdana"/>
          <w:sz w:val="16"/>
          <w:szCs w:val="16"/>
        </w:rPr>
        <w:t>AG/RES. 2713 (XLII-O/12), punto 5.</w:t>
      </w:r>
    </w:p>
  </w:footnote>
  <w:footnote w:id="28">
    <w:p w14:paraId="2A1F9DFA" w14:textId="38A55980" w:rsidR="007F7934" w:rsidRPr="00B6213F" w:rsidRDefault="00A74C00" w:rsidP="000C2783">
      <w:pPr>
        <w:pStyle w:val="FootnoteText"/>
        <w:spacing w:after="240"/>
        <w:jc w:val="both"/>
        <w:rPr>
          <w:rFonts w:ascii="Verdana" w:hAnsi="Verdana"/>
          <w:bCs/>
          <w:i/>
          <w:color w:val="000000"/>
          <w:sz w:val="16"/>
          <w:szCs w:val="16"/>
          <w:shd w:val="clear" w:color="auto" w:fill="FFFFFF"/>
        </w:rPr>
      </w:pPr>
      <w:r w:rsidRPr="00455A07">
        <w:rPr>
          <w:rStyle w:val="FootnoteReference"/>
          <w:rFonts w:ascii="Verdana" w:hAnsi="Verdana"/>
          <w:sz w:val="16"/>
          <w:szCs w:val="16"/>
        </w:rPr>
        <w:footnoteRef/>
      </w:r>
      <w:r w:rsidRPr="00455A07">
        <w:rPr>
          <w:rFonts w:ascii="Verdana" w:hAnsi="Verdana"/>
          <w:sz w:val="16"/>
          <w:szCs w:val="16"/>
        </w:rPr>
        <w:t xml:space="preserve"> </w:t>
      </w:r>
      <w:r w:rsidRPr="00455A07">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xml:space="preserve">, Fondo, Reparaciones y Costas. </w:t>
      </w:r>
      <w:r w:rsidR="001977A4">
        <w:rPr>
          <w:rStyle w:val="Strong"/>
          <w:rFonts w:ascii="Verdana" w:hAnsi="Verdana"/>
          <w:b w:val="0"/>
          <w:color w:val="000000"/>
          <w:sz w:val="16"/>
          <w:szCs w:val="16"/>
          <w:shd w:val="clear" w:color="auto" w:fill="FFFFFF"/>
        </w:rPr>
        <w:t>Sentencia de 23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Style w:val="Strong"/>
          <w:rFonts w:ascii="Verdana" w:hAnsi="Verdana"/>
          <w:b w:val="0"/>
          <w:color w:val="000000"/>
          <w:sz w:val="16"/>
          <w:szCs w:val="16"/>
          <w:shd w:val="clear" w:color="auto" w:fill="FFFFFF"/>
        </w:rPr>
        <w:t xml:space="preserve">, párr. </w:t>
      </w:r>
      <w:r w:rsidR="00161214">
        <w:rPr>
          <w:rStyle w:val="Strong"/>
          <w:rFonts w:ascii="Verdana" w:hAnsi="Verdana"/>
          <w:b w:val="0"/>
          <w:color w:val="000000"/>
          <w:sz w:val="16"/>
          <w:szCs w:val="16"/>
          <w:shd w:val="clear" w:color="auto" w:fill="FFFFFF"/>
        </w:rPr>
        <w:t>89</w:t>
      </w:r>
      <w:r w:rsidRPr="00B6213F">
        <w:rPr>
          <w:rStyle w:val="Strong"/>
          <w:rFonts w:ascii="Verdana" w:hAnsi="Verdana"/>
          <w:b w:val="0"/>
          <w:color w:val="000000"/>
          <w:sz w:val="16"/>
          <w:szCs w:val="16"/>
          <w:shd w:val="clear" w:color="auto" w:fill="FFFFFF"/>
        </w:rPr>
        <w:t>.</w:t>
      </w:r>
    </w:p>
  </w:footnote>
  <w:footnote w:id="29">
    <w:p w14:paraId="00F45AFA" w14:textId="3A6748F6" w:rsidR="007F7934" w:rsidRPr="00797F3B" w:rsidRDefault="00161214" w:rsidP="000C2783">
      <w:pPr>
        <w:pStyle w:val="FootnoteText"/>
        <w:spacing w:after="240"/>
        <w:jc w:val="both"/>
        <w:rPr>
          <w:rFonts w:ascii="Verdana" w:hAnsi="Verdana"/>
          <w:sz w:val="16"/>
          <w:szCs w:val="16"/>
          <w:lang w:val="es-MX"/>
        </w:rPr>
      </w:pPr>
      <w:r w:rsidRPr="00797F3B">
        <w:rPr>
          <w:rStyle w:val="FootnoteReference"/>
          <w:rFonts w:ascii="Verdana" w:hAnsi="Verdana"/>
          <w:sz w:val="16"/>
          <w:szCs w:val="16"/>
        </w:rPr>
        <w:footnoteRef/>
      </w:r>
      <w:r w:rsidRPr="00797F3B">
        <w:rPr>
          <w:rFonts w:ascii="Verdana" w:hAnsi="Verdana"/>
          <w:sz w:val="16"/>
          <w:szCs w:val="16"/>
        </w:rPr>
        <w:t xml:space="preserve"> </w:t>
      </w:r>
      <w:r w:rsidRPr="00797F3B">
        <w:rPr>
          <w:rFonts w:ascii="Verdana" w:hAnsi="Verdana"/>
          <w:sz w:val="16"/>
          <w:szCs w:val="16"/>
        </w:rPr>
        <w:tab/>
      </w:r>
      <w:r w:rsidRPr="00797F3B">
        <w:rPr>
          <w:rFonts w:ascii="Verdana" w:hAnsi="Verdana" w:cs="Times New Roman"/>
          <w:sz w:val="16"/>
          <w:szCs w:val="16"/>
          <w:lang w:val="es-ES"/>
        </w:rPr>
        <w:t>En este sentido, el Comité DESC desde la Observación General No. 3 (1991) expresó, dentro del análisis de la obligación general de progresividad, que “</w:t>
      </w:r>
      <w:r w:rsidRPr="00797F3B">
        <w:rPr>
          <w:rFonts w:ascii="Verdana" w:hAnsi="Verdana"/>
          <w:sz w:val="16"/>
          <w:szCs w:val="16"/>
          <w:shd w:val="clear" w:color="auto" w:fill="FFFFFF"/>
        </w:rPr>
        <w:t xml:space="preserve">[…] todas las medidas de carácter </w:t>
      </w:r>
      <w:r w:rsidRPr="00797F3B">
        <w:rPr>
          <w:rFonts w:ascii="Verdana" w:hAnsi="Verdana"/>
          <w:i/>
          <w:sz w:val="16"/>
          <w:szCs w:val="16"/>
          <w:shd w:val="clear" w:color="auto" w:fill="FFFFFF"/>
        </w:rPr>
        <w:t>deliberadamente retroactivo</w:t>
      </w:r>
      <w:r w:rsidRPr="00797F3B">
        <w:rPr>
          <w:rFonts w:ascii="Verdana" w:hAnsi="Verdana"/>
          <w:sz w:val="16"/>
          <w:szCs w:val="16"/>
          <w:shd w:val="clear" w:color="auto" w:fill="FFFFFF"/>
        </w:rPr>
        <w:t xml:space="preserve"> […] requerirán la consideración más cuidadosa y deberán justificarse plenamente por referencia a la totalidad de los derechos previstos en el Pacto y en el contexto del aprovechamiento pleno del máximo de los recursos de que se disponga”. Esta línea interpretativa del Comité DESC ha sido reiterada en Observaciones recientes, como la Observación General No. 23 (2016) al señalar que: ”los Estados partes deberían evitar adoptar deliberadamente cualquier medida regresiva sin una cuidadosa consideración y justificación”.  </w:t>
      </w:r>
      <w:r w:rsidRPr="00637FA2">
        <w:rPr>
          <w:rFonts w:ascii="Verdana" w:hAnsi="Verdana"/>
          <w:sz w:val="16"/>
          <w:szCs w:val="16"/>
          <w:shd w:val="clear" w:color="auto" w:fill="FFFFFF"/>
        </w:rPr>
        <w:t>Véanse</w:t>
      </w:r>
      <w:r w:rsidRPr="00797F3B">
        <w:rPr>
          <w:rFonts w:ascii="Verdana" w:hAnsi="Verdana"/>
          <w:i/>
          <w:sz w:val="16"/>
          <w:szCs w:val="16"/>
          <w:shd w:val="clear" w:color="auto" w:fill="FFFFFF"/>
        </w:rPr>
        <w:t xml:space="preserve">, </w:t>
      </w:r>
      <w:r w:rsidRPr="00797F3B">
        <w:rPr>
          <w:rFonts w:ascii="Verdana" w:hAnsi="Verdana"/>
          <w:sz w:val="16"/>
          <w:szCs w:val="16"/>
          <w:shd w:val="clear" w:color="auto" w:fill="FFFFFF"/>
        </w:rPr>
        <w:t xml:space="preserve">Comité DESC, Observación General No. 3, </w:t>
      </w:r>
      <w:r w:rsidRPr="00797F3B">
        <w:rPr>
          <w:rFonts w:ascii="Verdana" w:hAnsi="Verdana"/>
          <w:bCs/>
          <w:i/>
          <w:sz w:val="16"/>
          <w:szCs w:val="16"/>
        </w:rPr>
        <w:t>La índole de las obligaciones de los Estados Partes (párrafo 1 del artículo 2 del Pacto)</w:t>
      </w:r>
      <w:r w:rsidRPr="001E14E4">
        <w:rPr>
          <w:rFonts w:ascii="Verdana" w:hAnsi="Verdana"/>
          <w:bCs/>
          <w:sz w:val="16"/>
          <w:szCs w:val="16"/>
        </w:rPr>
        <w:t>,</w:t>
      </w:r>
      <w:r w:rsidRPr="00797F3B">
        <w:rPr>
          <w:rFonts w:ascii="Verdana" w:hAnsi="Verdana"/>
          <w:b/>
          <w:bCs/>
          <w:sz w:val="16"/>
          <w:szCs w:val="16"/>
        </w:rPr>
        <w:t xml:space="preserve"> </w:t>
      </w:r>
      <w:r w:rsidRPr="00797F3B">
        <w:rPr>
          <w:rFonts w:ascii="Verdana" w:hAnsi="Verdana"/>
          <w:bCs/>
          <w:sz w:val="16"/>
          <w:szCs w:val="16"/>
        </w:rPr>
        <w:t>1 de enero de 1990, párr. 9</w:t>
      </w:r>
      <w:r w:rsidRPr="00797F3B">
        <w:rPr>
          <w:rFonts w:ascii="Verdana" w:hAnsi="Verdana"/>
          <w:b/>
          <w:bCs/>
          <w:sz w:val="16"/>
          <w:szCs w:val="16"/>
        </w:rPr>
        <w:t xml:space="preserve"> </w:t>
      </w:r>
      <w:r w:rsidRPr="00797F3B">
        <w:rPr>
          <w:rFonts w:ascii="Verdana" w:hAnsi="Verdana"/>
          <w:sz w:val="16"/>
          <w:szCs w:val="16"/>
          <w:shd w:val="clear" w:color="auto" w:fill="FFFFFF"/>
        </w:rPr>
        <w:t>y Comité DESC,</w:t>
      </w:r>
      <w:r w:rsidRPr="00797F3B">
        <w:rPr>
          <w:rFonts w:ascii="Verdana" w:hAnsi="Verdana"/>
          <w:sz w:val="16"/>
          <w:szCs w:val="16"/>
        </w:rPr>
        <w:t xml:space="preserve"> Observación General No. 23</w:t>
      </w:r>
      <w:r w:rsidRPr="00797F3B">
        <w:rPr>
          <w:rFonts w:ascii="Verdana" w:hAnsi="Verdana"/>
          <w:i/>
          <w:sz w:val="16"/>
          <w:szCs w:val="16"/>
        </w:rPr>
        <w:t xml:space="preserve"> sobre el derecho a condiciones de trabajo equitativas y satisfactorias (artículo 7 del Pacto Internacional de Derechos Económicos, Sociales y Culturales</w:t>
      </w:r>
      <w:r w:rsidRPr="00797F3B">
        <w:rPr>
          <w:rFonts w:ascii="Verdana" w:hAnsi="Verdana"/>
          <w:sz w:val="16"/>
          <w:szCs w:val="16"/>
        </w:rPr>
        <w:t>), E/C.12/GC/23, 26 de abril del 2016, párr. 52.</w:t>
      </w:r>
    </w:p>
  </w:footnote>
  <w:footnote w:id="30">
    <w:p w14:paraId="2633AC16" w14:textId="2766C775"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sidRPr="00B6213F">
        <w:rPr>
          <w:rFonts w:ascii="Verdana" w:hAnsi="Verdana"/>
          <w:sz w:val="16"/>
          <w:szCs w:val="16"/>
        </w:rPr>
        <w:t xml:space="preserve">“Artículo 13. I. Los derechos reconocidos por esta Constitución son inviolables, universales, interdependientes, indivisibles y progresivos. El Estado tiene el deber de promoverlos, protegerlos y respetarlos. […].”  </w:t>
      </w:r>
      <w:r>
        <w:rPr>
          <w:rFonts w:ascii="Verdana" w:hAnsi="Verdana"/>
          <w:sz w:val="16"/>
          <w:szCs w:val="16"/>
        </w:rPr>
        <w:t>Constitución Política del Estado. Asamblea Constituyente de Bolivia. Promulgada el 7 de febrero de 2009.</w:t>
      </w:r>
    </w:p>
  </w:footnote>
  <w:footnote w:id="31">
    <w:p w14:paraId="37B0D98E" w14:textId="2CFE8EEC"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“Art. 11. E</w:t>
      </w:r>
      <w:r>
        <w:rPr>
          <w:rFonts w:ascii="Verdana" w:hAnsi="Verdana"/>
          <w:sz w:val="16"/>
          <w:szCs w:val="16"/>
        </w:rPr>
        <w:t>l</w:t>
      </w:r>
      <w:r w:rsidRPr="00B6213F">
        <w:rPr>
          <w:rFonts w:ascii="Verdana" w:hAnsi="Verdana"/>
          <w:sz w:val="16"/>
          <w:szCs w:val="16"/>
        </w:rPr>
        <w:t xml:space="preserve"> ejercicio de los derechos se regirá por los siguientes principios: […] 8. 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carácter regresivo que disminuya, menoscabe o anule injustificadamente el ej</w:t>
      </w:r>
      <w:r w:rsidR="001E14E4">
        <w:rPr>
          <w:rFonts w:ascii="Verdana" w:hAnsi="Verdana"/>
          <w:sz w:val="16"/>
          <w:szCs w:val="16"/>
        </w:rPr>
        <w:t xml:space="preserve">ercicio de los derechos. […]”. </w:t>
      </w:r>
      <w:r>
        <w:rPr>
          <w:rFonts w:ascii="Verdana" w:hAnsi="Verdana"/>
          <w:sz w:val="16"/>
          <w:szCs w:val="16"/>
        </w:rPr>
        <w:t>Constitución de la República de Ecuador, publicada el 20 de octubre de 2008 en el Registro Oficial.</w:t>
      </w:r>
    </w:p>
  </w:footnote>
  <w:footnote w:id="32">
    <w:p w14:paraId="59B3E342" w14:textId="3CBDCF26"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 xml:space="preserve">“Artículo 1o. […]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w:t>
      </w:r>
      <w:r>
        <w:rPr>
          <w:rFonts w:ascii="Verdana" w:hAnsi="Verdana"/>
          <w:sz w:val="16"/>
          <w:szCs w:val="16"/>
        </w:rPr>
        <w:t>Constitución Política de los Estados Unidos Mexicanos. Publicada en el Diario Oficial de la Federación el 15 de septiembre de 2017.</w:t>
      </w:r>
      <w:r w:rsidRPr="00B6213F">
        <w:rPr>
          <w:rFonts w:ascii="Verdana" w:hAnsi="Verdana"/>
          <w:sz w:val="16"/>
          <w:szCs w:val="16"/>
        </w:rPr>
        <w:t xml:space="preserve"> </w:t>
      </w:r>
    </w:p>
  </w:footnote>
  <w:footnote w:id="33">
    <w:p w14:paraId="76F3DFB3" w14:textId="58C0AF5B"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 xml:space="preserve">“Artículo 8. Función esencial del Estado. Es función esencial del Estado, la protección efectiva de los derechos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 </w:t>
      </w:r>
      <w:r>
        <w:rPr>
          <w:rFonts w:ascii="Verdana" w:hAnsi="Verdana"/>
          <w:sz w:val="16"/>
          <w:szCs w:val="16"/>
        </w:rPr>
        <w:t>Constitución de la República Dominicana. Publicada en Gaceta Oficial el 10 de julio de 2015.</w:t>
      </w:r>
    </w:p>
  </w:footnote>
  <w:footnote w:id="34">
    <w:p w14:paraId="70A0519B" w14:textId="73142BFE"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 xml:space="preserve">“Artículo 19. El Estado garantizará a toda persona, conforme al principio de progresividad y sin discriminación alguna, el goce y ejercicio irrenunciable, indivisible e interdependiente de los derechos humanos. Su respeto y garantía son obligatorios para los órganos del Poder Público de conformidad con esta Constitución, con los tratados sobre derechos humanos suscritos y ratificados por la República y con las leyes que los desarrollen.”  </w:t>
      </w:r>
      <w:r>
        <w:rPr>
          <w:rFonts w:ascii="Verdana" w:hAnsi="Verdana"/>
          <w:sz w:val="16"/>
          <w:szCs w:val="16"/>
        </w:rPr>
        <w:t>Constitución de la República Bolivariana de Venezuela. Enmienda de 15 de febrero de 2009.</w:t>
      </w:r>
    </w:p>
  </w:footnote>
  <w:footnote w:id="35">
    <w:p w14:paraId="4D6D9323" w14:textId="67E8ABBA" w:rsidR="007F7934" w:rsidRPr="00E214EB"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El principio de progresividad se encuentra establecido en los artículos 48, 64, 262, 334 y 363 de la Constitución Política de Colombia, destacando en el derecho a la seguridad social (artículo 48) y a la tenenc</w:t>
      </w:r>
      <w:r>
        <w:rPr>
          <w:rFonts w:ascii="Verdana" w:hAnsi="Verdana"/>
          <w:sz w:val="16"/>
          <w:szCs w:val="16"/>
        </w:rPr>
        <w:t xml:space="preserve">ia de la tierra (artículo 64). </w:t>
      </w:r>
      <w:r>
        <w:rPr>
          <w:rFonts w:ascii="Verdana" w:hAnsi="Verdana"/>
          <w:i/>
          <w:sz w:val="16"/>
          <w:szCs w:val="16"/>
        </w:rPr>
        <w:t>Véase,</w:t>
      </w:r>
      <w:r>
        <w:rPr>
          <w:rFonts w:ascii="Verdana" w:hAnsi="Verdana"/>
          <w:sz w:val="16"/>
          <w:szCs w:val="16"/>
        </w:rPr>
        <w:t xml:space="preserve"> Constitución Política de Colombia. Actualizada con los Actos Legislativos 2 de 2017.</w:t>
      </w:r>
    </w:p>
  </w:footnote>
  <w:footnote w:id="36">
    <w:p w14:paraId="30CA7B6D" w14:textId="6410F388"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 xml:space="preserve">La Constitución Política de la República de Guatemala establece en el artículo 100 el principio de progresividad refiriéndose al </w:t>
      </w:r>
      <w:r>
        <w:rPr>
          <w:rFonts w:ascii="Verdana" w:hAnsi="Verdana"/>
          <w:sz w:val="16"/>
          <w:szCs w:val="16"/>
        </w:rPr>
        <w:t>derecho a la seguridad social. “Artíc</w:t>
      </w:r>
      <w:r w:rsidRPr="00495BBC">
        <w:rPr>
          <w:rFonts w:ascii="Verdana" w:hAnsi="Verdana"/>
          <w:sz w:val="16"/>
          <w:szCs w:val="16"/>
        </w:rPr>
        <w:t>ulo 100.- Seguridad social. El Estado reconoce y garantiza el derecho a la seguridad</w:t>
      </w:r>
      <w:r>
        <w:rPr>
          <w:rFonts w:ascii="Verdana" w:hAnsi="Verdana"/>
          <w:sz w:val="16"/>
          <w:szCs w:val="16"/>
        </w:rPr>
        <w:t xml:space="preserve"> </w:t>
      </w:r>
      <w:r w:rsidRPr="00495BBC">
        <w:rPr>
          <w:rFonts w:ascii="Verdana" w:hAnsi="Verdana"/>
          <w:sz w:val="16"/>
          <w:szCs w:val="16"/>
        </w:rPr>
        <w:t>social para beneficio de los habitantes de la Nación. Su régimen se instituye como función</w:t>
      </w:r>
      <w:r>
        <w:rPr>
          <w:rFonts w:ascii="Verdana" w:hAnsi="Verdana"/>
          <w:sz w:val="16"/>
          <w:szCs w:val="16"/>
        </w:rPr>
        <w:t xml:space="preserve"> </w:t>
      </w:r>
      <w:r w:rsidRPr="00495BBC">
        <w:rPr>
          <w:rFonts w:ascii="Verdana" w:hAnsi="Verdana"/>
          <w:sz w:val="16"/>
          <w:szCs w:val="16"/>
        </w:rPr>
        <w:t>pública, en forma nacional, unitaria y obligatoria.</w:t>
      </w:r>
      <w:r>
        <w:rPr>
          <w:rFonts w:ascii="Verdana" w:hAnsi="Verdana"/>
          <w:sz w:val="16"/>
          <w:szCs w:val="16"/>
        </w:rPr>
        <w:t xml:space="preserve"> </w:t>
      </w:r>
      <w:r w:rsidRPr="00495BBC">
        <w:rPr>
          <w:rFonts w:ascii="Verdana" w:hAnsi="Verdana"/>
          <w:sz w:val="16"/>
          <w:szCs w:val="16"/>
        </w:rPr>
        <w:t>El Estado, los empleadores y los trabajadores cubiertos por el régimen, con la</w:t>
      </w:r>
      <w:r>
        <w:rPr>
          <w:rFonts w:ascii="Verdana" w:hAnsi="Verdana"/>
          <w:sz w:val="16"/>
          <w:szCs w:val="16"/>
        </w:rPr>
        <w:t xml:space="preserve"> </w:t>
      </w:r>
      <w:r w:rsidRPr="00495BBC">
        <w:rPr>
          <w:rFonts w:ascii="Verdana" w:hAnsi="Verdana"/>
          <w:sz w:val="16"/>
          <w:szCs w:val="16"/>
        </w:rPr>
        <w:t>única excepción de lo preceptuado por el artículo 88 de esta Constitución, tienen</w:t>
      </w:r>
      <w:r>
        <w:rPr>
          <w:rFonts w:ascii="Verdana" w:hAnsi="Verdana"/>
          <w:sz w:val="16"/>
          <w:szCs w:val="16"/>
        </w:rPr>
        <w:t xml:space="preserve"> </w:t>
      </w:r>
      <w:r w:rsidR="002C7F0D" w:rsidRPr="00ED3A26">
        <w:rPr>
          <w:rFonts w:ascii="Verdana" w:hAnsi="Verdana"/>
          <w:sz w:val="16"/>
          <w:szCs w:val="16"/>
        </w:rPr>
        <w:t>o</w:t>
      </w:r>
      <w:r w:rsidRPr="00ED3A26">
        <w:rPr>
          <w:rFonts w:ascii="Verdana" w:hAnsi="Verdana"/>
          <w:sz w:val="16"/>
          <w:szCs w:val="16"/>
        </w:rPr>
        <w:t>bligación</w:t>
      </w:r>
      <w:r w:rsidRPr="00495BBC">
        <w:rPr>
          <w:rFonts w:ascii="Verdana" w:hAnsi="Verdana"/>
          <w:sz w:val="16"/>
          <w:szCs w:val="16"/>
        </w:rPr>
        <w:t xml:space="preserve"> de contribuir a financiar dicho régimen y derecho a participar en su dirección,</w:t>
      </w:r>
      <w:r>
        <w:rPr>
          <w:rFonts w:ascii="Verdana" w:hAnsi="Verdana"/>
          <w:sz w:val="16"/>
          <w:szCs w:val="16"/>
        </w:rPr>
        <w:t xml:space="preserve"> </w:t>
      </w:r>
      <w:r w:rsidRPr="00495BBC">
        <w:rPr>
          <w:rFonts w:ascii="Verdana" w:hAnsi="Verdana"/>
          <w:sz w:val="16"/>
          <w:szCs w:val="16"/>
        </w:rPr>
        <w:t>procurando su mejoramiento progresivo</w:t>
      </w:r>
      <w:r>
        <w:rPr>
          <w:rFonts w:ascii="Verdana" w:hAnsi="Verdana"/>
          <w:sz w:val="16"/>
          <w:szCs w:val="16"/>
        </w:rPr>
        <w:t>. […]”. Constitución Política de la República de Guatemala. Reformada por acto legislativo No. 18-93 del 17 de noviembre de 1993.</w:t>
      </w:r>
    </w:p>
  </w:footnote>
  <w:footnote w:id="37">
    <w:p w14:paraId="5552B1F6" w14:textId="795B96FF"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El artículo 143 de la Constitución Política de la República de Honduras reconoce la implementación progresiva del régimen de seguridad social. De manera indirecta, el artículo 179 prevé que el Estado promoverá, apoyará y regulará la creación de sistemas y mecanismos “para la utilización de los recursos internos y externos a ser canalizados hacia la solución del problema habitacional”. Por su parte, el artículo 260 establece como uno de sus fines de las instituciones descentralizadas el “progres</w:t>
      </w:r>
      <w:r>
        <w:rPr>
          <w:rFonts w:ascii="Verdana" w:hAnsi="Verdana"/>
          <w:sz w:val="16"/>
          <w:szCs w:val="16"/>
        </w:rPr>
        <w:t>o social y bienestar general”. La Constitución de Honduras. Actualizada hasta el Decreto 36 del 4 de mayo de 2005.</w:t>
      </w:r>
    </w:p>
  </w:footnote>
  <w:footnote w:id="38">
    <w:p w14:paraId="1ED91670" w14:textId="49BCB8BC"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t>“Artículo 10</w:t>
      </w:r>
      <w:r w:rsidRPr="00B6213F">
        <w:rPr>
          <w:rFonts w:ascii="Verdana" w:hAnsi="Verdana"/>
          <w:sz w:val="16"/>
          <w:szCs w:val="16"/>
        </w:rPr>
        <w:t>.- El Estado reconoce el derecho universal y progresivo de toda persona a la seguridad social, para su protección frente a las contingencias que precise la ley y para la elevación de su calidad de vida.” “Artículo 23°.- […] El Estado promueve condiciones para el progreso social y económico, en especial mediante políticas de fomento del empleo productivo y de educación para el tra</w:t>
      </w:r>
      <w:r>
        <w:rPr>
          <w:rFonts w:ascii="Verdana" w:hAnsi="Verdana"/>
          <w:sz w:val="16"/>
          <w:szCs w:val="16"/>
        </w:rPr>
        <w:t>bajo.” Constitución Política del Perú.</w:t>
      </w:r>
    </w:p>
  </w:footnote>
  <w:footnote w:id="39">
    <w:p w14:paraId="3E626026" w14:textId="6807E720"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 xml:space="preserve">“Artículo 75.- Corresponde al Congreso: […] 19. Proveer lo conducente al desarrollo humano, al progreso económico con justicia social, a la productividad de la economía nacional, a la generación de empleo, a la formación profesional de los trabajadores, a la defensa del valor de la moneda, a la investigación y al desarrollo científico y tecnológico, su difusión y aprovechamiento. Proveer al crecimiento armónico de la Nación y al poblamiento de su territorio; promover políticas diferenciadas que tiendan a equilibrar el desigual desarrollo relativo de provincias y regiones”. </w:t>
      </w:r>
      <w:r w:rsidRPr="009A2A3B">
        <w:rPr>
          <w:rFonts w:ascii="Verdana" w:hAnsi="Verdana"/>
          <w:sz w:val="16"/>
          <w:szCs w:val="16"/>
        </w:rPr>
        <w:t>Constitución de la Nación Argentina. Ley No. 24,430, sancionada el 15 de diciembre de 1994, promulgada el 3 de enero de 1995.</w:t>
      </w:r>
      <w:r w:rsidRPr="00B6213F">
        <w:rPr>
          <w:rFonts w:ascii="Verdana" w:hAnsi="Verdana"/>
          <w:sz w:val="16"/>
          <w:szCs w:val="16"/>
        </w:rPr>
        <w:t xml:space="preserve"> </w:t>
      </w:r>
    </w:p>
  </w:footnote>
  <w:footnote w:id="40">
    <w:p w14:paraId="376F24C8" w14:textId="123AA6DF"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 xml:space="preserve">“Art. 3. Constituyen objetivos fundamentales de la República Federal de Brasil: 1. construir una sociedad libre, justa y solidaria; 2. garantizar el desarrollo nacional; 3. erradicar la pobreza y la marginación y reducir las desigualdades sociales y regionales; 4. promover el bien de todos, sin prejuicios de origen, raza, sexo, color edad o cualesquiera otras formas de discriminación.”  </w:t>
      </w:r>
      <w:r>
        <w:rPr>
          <w:rFonts w:ascii="Verdana" w:hAnsi="Verdana"/>
          <w:sz w:val="16"/>
          <w:szCs w:val="16"/>
        </w:rPr>
        <w:t>Constitución Política de la República Federativa del Brasil.</w:t>
      </w:r>
    </w:p>
  </w:footnote>
  <w:footnote w:id="41">
    <w:p w14:paraId="4712E3CA" w14:textId="6F20703B" w:rsidR="001E14E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 xml:space="preserve">“Artículo 65.- El Estado promoverá la construcción de viviendas populares y creará el patrimonio familiar del trabajador.” “Artículo 83.- El Estado patrocinará y organizará la educación de adultos, destinada a combatir el analfabetismo y a proporcionar oportunidad cultural a aquellos que deseen mejorar su condición intelectual, social y económica”. </w:t>
      </w:r>
      <w:r w:rsidRPr="009A2A3B">
        <w:rPr>
          <w:rFonts w:ascii="Verdana" w:hAnsi="Verdana"/>
          <w:sz w:val="16"/>
          <w:szCs w:val="16"/>
        </w:rPr>
        <w:t>Constitución Política de la República Costa Rica. Publicada el 7 de noviembre de 1949.</w:t>
      </w:r>
    </w:p>
  </w:footnote>
  <w:footnote w:id="42">
    <w:p w14:paraId="105AC9E9" w14:textId="4A7E829E" w:rsidR="007F7934" w:rsidRPr="00B6213F" w:rsidRDefault="007917BD"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B6213F">
        <w:rPr>
          <w:rFonts w:ascii="Verdana" w:hAnsi="Verdana"/>
          <w:sz w:val="16"/>
          <w:szCs w:val="16"/>
        </w:rPr>
        <w:t>“Artículo 176 - DE LA POL</w:t>
      </w:r>
      <w:r>
        <w:rPr>
          <w:rFonts w:ascii="Verdana" w:hAnsi="Verdana"/>
          <w:sz w:val="16"/>
          <w:szCs w:val="16"/>
        </w:rPr>
        <w:t>Í</w:t>
      </w:r>
      <w:r w:rsidRPr="00B6213F">
        <w:rPr>
          <w:rFonts w:ascii="Verdana" w:hAnsi="Verdana"/>
          <w:sz w:val="16"/>
          <w:szCs w:val="16"/>
        </w:rPr>
        <w:t>TICA ECON</w:t>
      </w:r>
      <w:r>
        <w:rPr>
          <w:rFonts w:ascii="Verdana" w:hAnsi="Verdana"/>
          <w:sz w:val="16"/>
          <w:szCs w:val="16"/>
        </w:rPr>
        <w:t>Ó</w:t>
      </w:r>
      <w:r w:rsidRPr="00B6213F">
        <w:rPr>
          <w:rFonts w:ascii="Verdana" w:hAnsi="Verdana"/>
          <w:sz w:val="16"/>
          <w:szCs w:val="16"/>
        </w:rPr>
        <w:t>MICA Y DE LA PROMOCI</w:t>
      </w:r>
      <w:r>
        <w:rPr>
          <w:rFonts w:ascii="Verdana" w:hAnsi="Verdana"/>
          <w:sz w:val="16"/>
          <w:szCs w:val="16"/>
        </w:rPr>
        <w:t>Ó</w:t>
      </w:r>
      <w:r w:rsidRPr="00B6213F">
        <w:rPr>
          <w:rFonts w:ascii="Verdana" w:hAnsi="Verdana"/>
          <w:sz w:val="16"/>
          <w:szCs w:val="16"/>
        </w:rPr>
        <w:t xml:space="preserve">N DEL DESARROLLO. La política económica tendrá como fines, fundamentalmente, la promoción del desarrollo económico, social y cultural. El Estado promoverá el desarrollo económico mediante la utilización racional de los recursos disponibles, con el objeto de impulsar un crecimiento ordenado y sostenido de la economía, de crear nuevas fuentes de trabajo y de riqueza, de acrecentar el patrimonio nacional y de asegurar el bienestar de la población. El desarrollo se fomentará con programas globales que coordinen y orienten la actividad económica nacional.”  </w:t>
      </w:r>
      <w:r>
        <w:rPr>
          <w:rFonts w:ascii="Verdana" w:hAnsi="Verdana"/>
          <w:sz w:val="16"/>
          <w:szCs w:val="16"/>
        </w:rPr>
        <w:t>Constitución de la República del Paraguay. Promulgada el 20 de junio de 1992.</w:t>
      </w:r>
    </w:p>
  </w:footnote>
  <w:footnote w:id="43">
    <w:p w14:paraId="6A2E10A6" w14:textId="7265B28C" w:rsidR="007F7934" w:rsidRPr="00B6213F" w:rsidRDefault="007917BD" w:rsidP="000C2783">
      <w:pPr>
        <w:pStyle w:val="FootnoteText"/>
        <w:spacing w:after="240"/>
        <w:jc w:val="both"/>
        <w:rPr>
          <w:rFonts w:ascii="Verdana" w:hAnsi="Verdana"/>
          <w:sz w:val="16"/>
          <w:szCs w:val="16"/>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Pr="00ED3A26">
        <w:rPr>
          <w:rFonts w:ascii="Verdana" w:hAnsi="Verdana" w:cs="Times New Roman"/>
          <w:i/>
          <w:sz w:val="16"/>
          <w:szCs w:val="16"/>
          <w:lang w:val="es-ES"/>
        </w:rPr>
        <w:t xml:space="preserve">Cfr. </w:t>
      </w:r>
      <w:r w:rsidRPr="00ED3A26">
        <w:rPr>
          <w:rFonts w:ascii="Verdana" w:hAnsi="Verdana"/>
          <w:sz w:val="16"/>
          <w:szCs w:val="16"/>
        </w:rPr>
        <w:t xml:space="preserve">Corte Constitucional de Colombia. Sentencia </w:t>
      </w:r>
      <w:r w:rsidRPr="00ED3A26">
        <w:rPr>
          <w:rFonts w:ascii="Verdana" w:hAnsi="Verdana"/>
          <w:sz w:val="16"/>
          <w:szCs w:val="16"/>
          <w:lang w:val="es-ES"/>
        </w:rPr>
        <w:t xml:space="preserve">T- 302/2017, Magistrado Ponente: Aquiles Arrieta Gómez, 8 de mayo del 2017, punto </w:t>
      </w:r>
      <w:r w:rsidRPr="00ED3A26">
        <w:rPr>
          <w:rFonts w:ascii="Verdana" w:eastAsia="Times New Roman" w:hAnsi="Verdana" w:cs="Times New Roman"/>
          <w:sz w:val="16"/>
          <w:szCs w:val="16"/>
          <w:bdr w:val="none" w:sz="0" w:space="0" w:color="auto" w:frame="1"/>
          <w:lang w:val="es-CO" w:eastAsia="es-MX"/>
        </w:rPr>
        <w:t>8.1.5.</w:t>
      </w:r>
    </w:p>
  </w:footnote>
  <w:footnote w:id="44">
    <w:p w14:paraId="2378E00D" w14:textId="77777777" w:rsidR="00A74C00" w:rsidRPr="00B6213F" w:rsidRDefault="00A74C00" w:rsidP="000C2783">
      <w:pPr>
        <w:pStyle w:val="FootnoteText"/>
        <w:spacing w:after="240"/>
        <w:jc w:val="both"/>
        <w:rPr>
          <w:rFonts w:ascii="Verdana" w:hAnsi="Verdana"/>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sidRPr="00DD1072">
        <w:rPr>
          <w:rFonts w:ascii="Verdana" w:hAnsi="Verdana"/>
          <w:i/>
          <w:sz w:val="16"/>
          <w:szCs w:val="16"/>
        </w:rPr>
        <w:t>Cfr.</w:t>
      </w:r>
      <w:r>
        <w:rPr>
          <w:rFonts w:ascii="Verdana" w:hAnsi="Verdana"/>
          <w:sz w:val="16"/>
          <w:szCs w:val="16"/>
        </w:rPr>
        <w:t xml:space="preserve"> </w:t>
      </w:r>
      <w:r w:rsidRPr="00B6213F">
        <w:rPr>
          <w:rFonts w:ascii="Verdana" w:hAnsi="Verdana"/>
          <w:sz w:val="16"/>
          <w:szCs w:val="16"/>
        </w:rPr>
        <w:t>C</w:t>
      </w:r>
      <w:r>
        <w:rPr>
          <w:rFonts w:ascii="Verdana" w:hAnsi="Verdana"/>
          <w:sz w:val="16"/>
          <w:szCs w:val="16"/>
        </w:rPr>
        <w:t>orte Constitucional de Colombia. Sentencia</w:t>
      </w:r>
      <w:r w:rsidRPr="00B6213F">
        <w:rPr>
          <w:rFonts w:ascii="Verdana" w:hAnsi="Verdana"/>
          <w:sz w:val="16"/>
          <w:szCs w:val="16"/>
        </w:rPr>
        <w:t xml:space="preserve"> </w:t>
      </w:r>
      <w:r w:rsidRPr="00B6213F">
        <w:rPr>
          <w:rFonts w:ascii="Verdana" w:hAnsi="Verdana"/>
          <w:sz w:val="16"/>
          <w:szCs w:val="16"/>
          <w:lang w:val="es-ES"/>
        </w:rPr>
        <w:t xml:space="preserve">T- 302/2017, </w:t>
      </w:r>
      <w:r>
        <w:rPr>
          <w:rFonts w:ascii="Verdana" w:hAnsi="Verdana"/>
          <w:sz w:val="16"/>
          <w:szCs w:val="16"/>
          <w:lang w:val="es-ES"/>
        </w:rPr>
        <w:t xml:space="preserve">Magistrado Ponente: Aquiles Arrieta Gómez, 8 de mayo del 2017, </w:t>
      </w:r>
      <w:r w:rsidRPr="00B6213F">
        <w:rPr>
          <w:rFonts w:ascii="Verdana" w:hAnsi="Verdana"/>
          <w:sz w:val="16"/>
          <w:szCs w:val="16"/>
          <w:lang w:val="es-ES"/>
        </w:rPr>
        <w:t>punto</w:t>
      </w:r>
      <w:r>
        <w:rPr>
          <w:rFonts w:ascii="Verdana" w:hAnsi="Verdana"/>
          <w:sz w:val="16"/>
          <w:szCs w:val="16"/>
          <w:lang w:val="es-ES"/>
        </w:rPr>
        <w:t>s</w:t>
      </w:r>
      <w:r w:rsidRPr="00B6213F">
        <w:rPr>
          <w:rFonts w:ascii="Verdana" w:hAnsi="Verdana"/>
          <w:sz w:val="16"/>
          <w:szCs w:val="16"/>
          <w:lang w:val="es-ES"/>
        </w:rPr>
        <w:t xml:space="preserve"> </w:t>
      </w:r>
      <w:r w:rsidRPr="00B6213F">
        <w:rPr>
          <w:rFonts w:ascii="Verdana" w:eastAsia="Times New Roman" w:hAnsi="Verdana" w:cs="Times New Roman"/>
          <w:sz w:val="16"/>
          <w:szCs w:val="16"/>
          <w:bdr w:val="none" w:sz="0" w:space="0" w:color="auto" w:frame="1"/>
          <w:lang w:val="es-CO" w:eastAsia="es-MX"/>
        </w:rPr>
        <w:t xml:space="preserve">8.1.6., 8.1.7. y 8.1.8. </w:t>
      </w:r>
    </w:p>
  </w:footnote>
  <w:footnote w:id="45">
    <w:p w14:paraId="6F380E96" w14:textId="21A99042" w:rsidR="00A74C00" w:rsidRPr="00ED3A26" w:rsidRDefault="00A74C00" w:rsidP="000C2783">
      <w:pPr>
        <w:pStyle w:val="FootnoteText"/>
        <w:spacing w:after="240"/>
        <w:jc w:val="both"/>
        <w:rPr>
          <w:rFonts w:ascii="Verdana" w:hAnsi="Verdana"/>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sidRPr="00B6213F">
        <w:rPr>
          <w:rFonts w:ascii="Verdana" w:hAnsi="Verdana"/>
          <w:sz w:val="16"/>
          <w:szCs w:val="16"/>
        </w:rPr>
        <w:t xml:space="preserve">Corte </w:t>
      </w:r>
      <w:r w:rsidRPr="00A3092A">
        <w:rPr>
          <w:rFonts w:ascii="Verdana" w:hAnsi="Verdana"/>
          <w:sz w:val="16"/>
          <w:szCs w:val="16"/>
        </w:rPr>
        <w:t>Constitucional de Colombia, Sentencia C- 313/14, Magistrado Ponente Gabriel Eduardo Mendoza Martelo. Sentencia de 29 de mayo de 2014</w:t>
      </w:r>
      <w:r w:rsidRPr="00437223">
        <w:rPr>
          <w:rFonts w:ascii="Verdana" w:hAnsi="Verdana"/>
          <w:sz w:val="16"/>
          <w:szCs w:val="16"/>
        </w:rPr>
        <w:t xml:space="preserve">, págs. </w:t>
      </w:r>
      <w:r w:rsidRPr="00ED3A26">
        <w:rPr>
          <w:rFonts w:ascii="Verdana" w:hAnsi="Verdana"/>
          <w:sz w:val="16"/>
          <w:szCs w:val="16"/>
        </w:rPr>
        <w:t xml:space="preserve">7 y 8, y, </w:t>
      </w:r>
      <w:r w:rsidR="007F7934" w:rsidRPr="00ED3A26">
        <w:rPr>
          <w:rFonts w:ascii="Verdana" w:hAnsi="Verdana"/>
          <w:i/>
          <w:sz w:val="16"/>
          <w:szCs w:val="16"/>
        </w:rPr>
        <w:t xml:space="preserve">Cfr. </w:t>
      </w:r>
      <w:r w:rsidRPr="00ED3A26">
        <w:rPr>
          <w:rFonts w:ascii="Verdana" w:hAnsi="Verdana"/>
          <w:sz w:val="16"/>
          <w:szCs w:val="16"/>
        </w:rPr>
        <w:t xml:space="preserve">Corte Constitucional de Colombia, Sentencia C- 556/09, Magistrado Ponente Nilson Pinilla Pinilla. Sentencia de 20 de agosto de 2009. </w:t>
      </w:r>
    </w:p>
  </w:footnote>
  <w:footnote w:id="46">
    <w:p w14:paraId="549495B7" w14:textId="77777777" w:rsidR="00A74C00" w:rsidRPr="00ED3A26" w:rsidRDefault="00A74C00" w:rsidP="000C2783">
      <w:pPr>
        <w:pStyle w:val="FootnoteText"/>
        <w:spacing w:after="240"/>
        <w:jc w:val="both"/>
        <w:rPr>
          <w:rFonts w:ascii="Verdana" w:hAnsi="Verdana"/>
          <w:sz w:val="16"/>
          <w:szCs w:val="16"/>
          <w:lang w:val="es-ES"/>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Pr="00ED3A26">
        <w:rPr>
          <w:rFonts w:ascii="Verdana" w:hAnsi="Verdana"/>
          <w:i/>
          <w:sz w:val="16"/>
          <w:szCs w:val="16"/>
        </w:rPr>
        <w:t xml:space="preserve">Cfr. </w:t>
      </w:r>
      <w:r w:rsidRPr="00ED3A26">
        <w:rPr>
          <w:rFonts w:ascii="Verdana" w:hAnsi="Verdana"/>
          <w:sz w:val="16"/>
          <w:szCs w:val="16"/>
        </w:rPr>
        <w:t xml:space="preserve">Corte Constitucional de Colombia, Sentencia C-991 de 2004. Magistrado Ponente Marco Gerardo Monroy Cabra. Sentencia de 12 de octubre de 2004. </w:t>
      </w:r>
    </w:p>
  </w:footnote>
  <w:footnote w:id="47">
    <w:p w14:paraId="634065AB" w14:textId="1D22FE50" w:rsidR="00A74C00" w:rsidRPr="00ED3A26" w:rsidRDefault="00A74C00" w:rsidP="000C2783">
      <w:pPr>
        <w:pStyle w:val="FootnoteText"/>
        <w:spacing w:after="240"/>
        <w:jc w:val="both"/>
        <w:rPr>
          <w:rFonts w:ascii="Verdana" w:hAnsi="Verdana"/>
          <w:sz w:val="16"/>
          <w:szCs w:val="16"/>
          <w:lang w:val="es-ES"/>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7F7934" w:rsidRPr="00ED3A26">
        <w:rPr>
          <w:rFonts w:ascii="Verdana" w:hAnsi="Verdana"/>
          <w:i/>
          <w:sz w:val="16"/>
          <w:szCs w:val="16"/>
        </w:rPr>
        <w:t>Cfr.</w:t>
      </w:r>
      <w:r w:rsidR="007F7934" w:rsidRPr="00ED3A26">
        <w:rPr>
          <w:rFonts w:ascii="Verdana" w:hAnsi="Verdana"/>
          <w:sz w:val="16"/>
          <w:szCs w:val="16"/>
        </w:rPr>
        <w:t xml:space="preserve"> </w:t>
      </w:r>
      <w:r w:rsidRPr="00ED3A26">
        <w:rPr>
          <w:rFonts w:ascii="Verdana" w:hAnsi="Verdana"/>
          <w:sz w:val="16"/>
          <w:szCs w:val="16"/>
        </w:rPr>
        <w:t xml:space="preserve">Corte Constitucional de Colombia, Sentencia C - 313/14, Magistrado Ponente: Gabriel Eduardo Mendoza Martelo, 29 de mayo de 2014. </w:t>
      </w:r>
      <w:r w:rsidRPr="00ED3A26">
        <w:rPr>
          <w:rFonts w:ascii="Verdana" w:hAnsi="Verdana"/>
          <w:iCs/>
          <w:sz w:val="16"/>
          <w:szCs w:val="16"/>
        </w:rPr>
        <w:t>Véase en el mismo sentido</w:t>
      </w:r>
      <w:r w:rsidRPr="00ED3A26">
        <w:rPr>
          <w:rFonts w:ascii="Verdana" w:hAnsi="Verdana"/>
          <w:sz w:val="16"/>
          <w:szCs w:val="16"/>
        </w:rPr>
        <w:t xml:space="preserve">: </w:t>
      </w:r>
      <w:r w:rsidR="007F7934" w:rsidRPr="00ED3A26">
        <w:rPr>
          <w:rFonts w:ascii="Verdana" w:hAnsi="Verdana"/>
          <w:i/>
          <w:sz w:val="16"/>
          <w:szCs w:val="16"/>
        </w:rPr>
        <w:t xml:space="preserve">Cfr. </w:t>
      </w:r>
      <w:r w:rsidRPr="00ED3A26">
        <w:rPr>
          <w:rFonts w:ascii="Verdana" w:hAnsi="Verdana"/>
          <w:sz w:val="16"/>
          <w:szCs w:val="16"/>
        </w:rPr>
        <w:t xml:space="preserve">Sentencia C-1064/01, Magistrados Ponentes: Manuel José Cepeda Esponisa y Jaime Cordova Triviño, 10 de octubre de 2001; </w:t>
      </w:r>
      <w:r w:rsidR="007F7934" w:rsidRPr="00ED3A26">
        <w:rPr>
          <w:rFonts w:ascii="Verdana" w:hAnsi="Verdana"/>
          <w:i/>
          <w:sz w:val="16"/>
          <w:szCs w:val="16"/>
        </w:rPr>
        <w:t xml:space="preserve">Cfr. </w:t>
      </w:r>
      <w:r w:rsidRPr="00ED3A26">
        <w:rPr>
          <w:rFonts w:ascii="Verdana" w:hAnsi="Verdana"/>
          <w:sz w:val="16"/>
          <w:szCs w:val="16"/>
        </w:rPr>
        <w:t xml:space="preserve">Sentencia C-671/02, Magistrado Ponente: Eduardo Montealegre Lynett, 20 de agosto de 2002 y </w:t>
      </w:r>
      <w:r w:rsidR="007F7934" w:rsidRPr="00ED3A26">
        <w:rPr>
          <w:rFonts w:ascii="Verdana" w:hAnsi="Verdana"/>
          <w:i/>
          <w:sz w:val="16"/>
          <w:szCs w:val="16"/>
        </w:rPr>
        <w:t xml:space="preserve">Cfr. </w:t>
      </w:r>
      <w:r w:rsidRPr="00ED3A26">
        <w:rPr>
          <w:rFonts w:ascii="Verdana" w:hAnsi="Verdana"/>
          <w:sz w:val="16"/>
          <w:szCs w:val="16"/>
        </w:rPr>
        <w:t xml:space="preserve">Sentencia C- 931/04, Magistrado Ponente: Marco Gerardo Monroy Cabra, 29 de septiembre de 2004. </w:t>
      </w:r>
    </w:p>
  </w:footnote>
  <w:footnote w:id="48">
    <w:p w14:paraId="05CE1CAA" w14:textId="427FAC2E" w:rsidR="00A74C00" w:rsidRPr="00ED3A26" w:rsidRDefault="00A74C00" w:rsidP="000C2783">
      <w:pPr>
        <w:pStyle w:val="FootnoteText"/>
        <w:spacing w:after="240"/>
        <w:jc w:val="both"/>
        <w:rPr>
          <w:rFonts w:ascii="Verdana" w:hAnsi="Verdana"/>
          <w:sz w:val="16"/>
          <w:szCs w:val="16"/>
          <w:lang w:val="es-MX"/>
        </w:rPr>
      </w:pPr>
      <w:r w:rsidRPr="00ED3A26">
        <w:rPr>
          <w:rStyle w:val="FootnoteReference"/>
          <w:rFonts w:ascii="Verdana" w:hAnsi="Verdana"/>
          <w:sz w:val="16"/>
          <w:szCs w:val="16"/>
        </w:rPr>
        <w:footnoteRef/>
      </w:r>
      <w:r w:rsidRPr="00ED3A26">
        <w:rPr>
          <w:rFonts w:ascii="Verdana" w:hAnsi="Verdana"/>
          <w:sz w:val="16"/>
          <w:szCs w:val="16"/>
        </w:rPr>
        <w:t xml:space="preserve"> </w:t>
      </w:r>
      <w:r w:rsidR="007F7934" w:rsidRPr="00ED3A26">
        <w:rPr>
          <w:rFonts w:ascii="Verdana" w:hAnsi="Verdana"/>
          <w:sz w:val="16"/>
          <w:szCs w:val="16"/>
        </w:rPr>
        <w:tab/>
      </w:r>
      <w:r w:rsidRPr="00ED3A26">
        <w:rPr>
          <w:rFonts w:ascii="Verdana" w:hAnsi="Verdana"/>
          <w:i/>
          <w:sz w:val="16"/>
          <w:szCs w:val="16"/>
          <w:lang w:val="es-MX"/>
        </w:rPr>
        <w:t xml:space="preserve">Cfr. </w:t>
      </w:r>
      <w:r w:rsidRPr="00ED3A26">
        <w:rPr>
          <w:rFonts w:ascii="Verdana" w:hAnsi="Verdana"/>
          <w:sz w:val="16"/>
          <w:szCs w:val="16"/>
          <w:lang w:val="es-MX"/>
        </w:rPr>
        <w:t>Corte Constitucional de Colombia. Sentencia T-302/2017, Magistrado Ponente: Aquiles Arrieta Gómez, 8 de mayo de 2017, puntos 8.1.9., 8.1.10., 8.1.11. y 8.1.12.</w:t>
      </w:r>
    </w:p>
  </w:footnote>
  <w:footnote w:id="49">
    <w:p w14:paraId="43026468" w14:textId="36FD3C33" w:rsidR="007F7934" w:rsidRPr="00ED3A26" w:rsidRDefault="00A74C00" w:rsidP="000C2783">
      <w:pPr>
        <w:pStyle w:val="Default"/>
        <w:spacing w:after="240"/>
        <w:jc w:val="both"/>
        <w:rPr>
          <w:rFonts w:ascii="Verdana" w:hAnsi="Verdana"/>
          <w:color w:val="auto"/>
          <w:sz w:val="16"/>
          <w:szCs w:val="16"/>
        </w:rPr>
      </w:pPr>
      <w:r w:rsidRPr="00ED3A26">
        <w:rPr>
          <w:rStyle w:val="FootnoteReference"/>
          <w:rFonts w:ascii="Verdana" w:hAnsi="Verdana"/>
          <w:color w:val="auto"/>
          <w:sz w:val="16"/>
          <w:szCs w:val="16"/>
        </w:rPr>
        <w:footnoteRef/>
      </w:r>
      <w:r w:rsidRPr="00ED3A26">
        <w:rPr>
          <w:rFonts w:ascii="Verdana" w:hAnsi="Verdana"/>
          <w:color w:val="auto"/>
          <w:sz w:val="16"/>
          <w:szCs w:val="16"/>
        </w:rPr>
        <w:t xml:space="preserve"> </w:t>
      </w:r>
      <w:r w:rsidRPr="00ED3A26">
        <w:rPr>
          <w:rFonts w:ascii="Verdana" w:hAnsi="Verdana"/>
          <w:color w:val="auto"/>
          <w:sz w:val="16"/>
          <w:szCs w:val="16"/>
        </w:rPr>
        <w:tab/>
      </w:r>
      <w:r w:rsidR="002C7F0D" w:rsidRPr="00ED3A26">
        <w:rPr>
          <w:rFonts w:ascii="Verdana" w:hAnsi="Verdana"/>
          <w:i/>
          <w:sz w:val="16"/>
          <w:szCs w:val="16"/>
        </w:rPr>
        <w:t xml:space="preserve">Cfr. </w:t>
      </w:r>
      <w:r w:rsidRPr="00ED3A26">
        <w:rPr>
          <w:rFonts w:ascii="Verdana" w:hAnsi="Verdana"/>
          <w:color w:val="auto"/>
          <w:sz w:val="16"/>
          <w:szCs w:val="16"/>
        </w:rPr>
        <w:t xml:space="preserve">Corte Suprema de Justicia de la Nación de Argentina, </w:t>
      </w:r>
      <w:r w:rsidRPr="00ED3A26">
        <w:rPr>
          <w:rFonts w:ascii="Verdana" w:hAnsi="Verdana"/>
          <w:i/>
          <w:color w:val="auto"/>
          <w:sz w:val="16"/>
          <w:szCs w:val="16"/>
        </w:rPr>
        <w:t>García Cancino, María Angélica c/Máxima A.F.J.P. S.A. s/presentaciones varias</w:t>
      </w:r>
      <w:r w:rsidRPr="00ED3A26">
        <w:rPr>
          <w:rFonts w:ascii="Verdana" w:hAnsi="Verdana"/>
          <w:color w:val="auto"/>
          <w:sz w:val="16"/>
          <w:szCs w:val="16"/>
        </w:rPr>
        <w:t xml:space="preserve">, S.C.G. 2.033 L. XXXIX. Sentencia de 16 de febrero de 2010 y, </w:t>
      </w:r>
      <w:r w:rsidR="002C7F0D" w:rsidRPr="00ED3A26">
        <w:rPr>
          <w:rFonts w:ascii="Verdana" w:hAnsi="Verdana"/>
          <w:i/>
          <w:sz w:val="16"/>
          <w:szCs w:val="16"/>
        </w:rPr>
        <w:t xml:space="preserve">Cfr. </w:t>
      </w:r>
      <w:r w:rsidRPr="00ED3A26">
        <w:rPr>
          <w:rFonts w:ascii="Verdana" w:hAnsi="Verdana"/>
          <w:color w:val="auto"/>
          <w:sz w:val="16"/>
          <w:szCs w:val="16"/>
        </w:rPr>
        <w:t xml:space="preserve">Corte Suprema de Justicia de la Nación de Argentina, </w:t>
      </w:r>
      <w:r w:rsidRPr="00ED3A26">
        <w:rPr>
          <w:rFonts w:ascii="Verdana" w:hAnsi="Verdana"/>
          <w:i/>
          <w:color w:val="auto"/>
          <w:sz w:val="16"/>
          <w:szCs w:val="16"/>
        </w:rPr>
        <w:t>Registro Nacional de Trabajadores Rurales y Empleadores c/ Poder Ejecutivo Nacional y otros/acción de amparo.</w:t>
      </w:r>
      <w:r w:rsidRPr="00ED3A26">
        <w:rPr>
          <w:rFonts w:ascii="Verdana" w:hAnsi="Verdana"/>
          <w:color w:val="auto"/>
          <w:sz w:val="16"/>
          <w:szCs w:val="16"/>
        </w:rPr>
        <w:t xml:space="preserve"> CSJ 906/2012 (48-R) /CS1. Recurso de Hecho. Sentencia de 24 de noviembre de 2015, punto 6.</w:t>
      </w:r>
    </w:p>
  </w:footnote>
  <w:footnote w:id="50">
    <w:p w14:paraId="42E82486" w14:textId="3C60CB9A" w:rsidR="00A74C00" w:rsidRDefault="00A74C00" w:rsidP="000C2783">
      <w:pPr>
        <w:pStyle w:val="Default"/>
        <w:spacing w:after="240"/>
        <w:jc w:val="both"/>
        <w:rPr>
          <w:rFonts w:ascii="Verdana" w:hAnsi="Verdana"/>
          <w:color w:val="auto"/>
          <w:sz w:val="16"/>
          <w:szCs w:val="16"/>
        </w:rPr>
      </w:pPr>
      <w:r w:rsidRPr="00ED3A26">
        <w:rPr>
          <w:rStyle w:val="FootnoteReference"/>
          <w:rFonts w:ascii="Verdana" w:hAnsi="Verdana"/>
          <w:sz w:val="16"/>
          <w:szCs w:val="16"/>
        </w:rPr>
        <w:footnoteRef/>
      </w:r>
      <w:r w:rsidRPr="00ED3A26">
        <w:t xml:space="preserve"> </w:t>
      </w:r>
      <w:r w:rsidR="007F7934" w:rsidRPr="00ED3A26">
        <w:tab/>
      </w:r>
      <w:r w:rsidR="002C7F0D" w:rsidRPr="00ED3A26">
        <w:rPr>
          <w:rFonts w:ascii="Verdana" w:hAnsi="Verdana"/>
          <w:i/>
          <w:sz w:val="16"/>
          <w:szCs w:val="16"/>
        </w:rPr>
        <w:t xml:space="preserve">Cfr. </w:t>
      </w:r>
      <w:r w:rsidRPr="00ED3A26">
        <w:rPr>
          <w:rFonts w:ascii="Verdana" w:hAnsi="Verdana"/>
          <w:color w:val="auto"/>
          <w:sz w:val="16"/>
          <w:szCs w:val="16"/>
        </w:rPr>
        <w:t xml:space="preserve">Corte Suprema de Justicia de la Nación de Argentina, </w:t>
      </w:r>
      <w:r w:rsidRPr="00ED3A26">
        <w:rPr>
          <w:rFonts w:ascii="Verdana" w:hAnsi="Verdana"/>
          <w:i/>
          <w:color w:val="auto"/>
          <w:sz w:val="16"/>
          <w:szCs w:val="16"/>
        </w:rPr>
        <w:t>Asociación de Trabajadores</w:t>
      </w:r>
      <w:r w:rsidRPr="001E14E4">
        <w:rPr>
          <w:rFonts w:ascii="Verdana" w:hAnsi="Verdana"/>
          <w:i/>
          <w:color w:val="auto"/>
          <w:sz w:val="16"/>
          <w:szCs w:val="16"/>
        </w:rPr>
        <w:t xml:space="preserve"> del Estado s/ acción de inconstitucionalidad</w:t>
      </w:r>
      <w:r w:rsidRPr="001E14E4">
        <w:rPr>
          <w:rFonts w:ascii="Verdana" w:hAnsi="Verdana"/>
          <w:color w:val="auto"/>
          <w:sz w:val="16"/>
          <w:szCs w:val="16"/>
        </w:rPr>
        <w:t>. A. 59B. XLIII. Recurso de Hecho. Sentencia de 18 de junio de 2013, punto 11.</w:t>
      </w:r>
    </w:p>
    <w:p w14:paraId="5ECE13FA" w14:textId="77777777" w:rsidR="00A74C00" w:rsidRPr="00437223" w:rsidRDefault="00A74C00" w:rsidP="000C2783">
      <w:pPr>
        <w:pStyle w:val="FootnoteText"/>
        <w:spacing w:after="240"/>
        <w:jc w:val="both"/>
        <w:rPr>
          <w:rFonts w:ascii="Verdana" w:hAnsi="Verdana"/>
          <w:sz w:val="16"/>
          <w:szCs w:val="16"/>
          <w:lang w:val="es-MX"/>
        </w:rPr>
      </w:pPr>
    </w:p>
  </w:footnote>
  <w:footnote w:id="51">
    <w:p w14:paraId="373DD521" w14:textId="2BFB420D" w:rsidR="00C01CE0" w:rsidRPr="009B3592" w:rsidRDefault="00C01CE0" w:rsidP="000C2783">
      <w:pPr>
        <w:pStyle w:val="FootnoteText"/>
        <w:spacing w:after="240"/>
        <w:jc w:val="both"/>
        <w:rPr>
          <w:rFonts w:ascii="Verdana" w:hAnsi="Verdana"/>
          <w:sz w:val="16"/>
          <w:szCs w:val="16"/>
        </w:rPr>
      </w:pPr>
      <w:r w:rsidRPr="009B3592">
        <w:rPr>
          <w:rStyle w:val="FootnoteReference"/>
          <w:rFonts w:ascii="Verdana" w:hAnsi="Verdana"/>
          <w:sz w:val="16"/>
          <w:szCs w:val="16"/>
        </w:rPr>
        <w:footnoteRef/>
      </w:r>
      <w:r w:rsidRPr="009B3592">
        <w:rPr>
          <w:rFonts w:ascii="Verdana" w:hAnsi="Verdana"/>
          <w:sz w:val="16"/>
          <w:szCs w:val="16"/>
        </w:rPr>
        <w:t xml:space="preserve"> </w:t>
      </w:r>
      <w:r w:rsidRPr="009B3592">
        <w:rPr>
          <w:rFonts w:ascii="Verdana" w:hAnsi="Verdana"/>
          <w:sz w:val="16"/>
          <w:szCs w:val="16"/>
        </w:rPr>
        <w:tab/>
      </w:r>
      <w:r w:rsidRPr="009B3592">
        <w:rPr>
          <w:rFonts w:ascii="Verdana" w:hAnsi="Verdana"/>
          <w:i/>
          <w:sz w:val="16"/>
          <w:szCs w:val="16"/>
        </w:rPr>
        <w:t>Cfr.</w:t>
      </w:r>
      <w:r w:rsidRPr="009B3592">
        <w:rPr>
          <w:rFonts w:ascii="Verdana" w:hAnsi="Verdana"/>
          <w:sz w:val="16"/>
          <w:szCs w:val="16"/>
        </w:rPr>
        <w:t xml:space="preserve"> Corte Constitucional de Ecuador, </w:t>
      </w:r>
      <w:r w:rsidRPr="009B3592">
        <w:rPr>
          <w:rFonts w:ascii="Verdana" w:hAnsi="Verdana"/>
          <w:iCs/>
          <w:sz w:val="16"/>
          <w:szCs w:val="16"/>
        </w:rPr>
        <w:t>Sentencia N. 002-18-SIN-CC, Casos N. 0035-15-IN</w:t>
      </w:r>
      <w:r w:rsidRPr="009B3592">
        <w:rPr>
          <w:rFonts w:ascii="Verdana" w:hAnsi="Verdana"/>
          <w:sz w:val="16"/>
          <w:szCs w:val="16"/>
        </w:rPr>
        <w:t xml:space="preserve"> y acumulados 7 de junio de 2017, págs. 78 y 79, 21 de marzo de 2018.</w:t>
      </w:r>
    </w:p>
  </w:footnote>
  <w:footnote w:id="52">
    <w:p w14:paraId="02EF1115" w14:textId="6121B82C" w:rsidR="00C01CE0" w:rsidRPr="009B3592" w:rsidRDefault="00C01CE0" w:rsidP="000C2783">
      <w:pPr>
        <w:pStyle w:val="FootnoteText"/>
        <w:spacing w:after="240"/>
        <w:jc w:val="both"/>
        <w:rPr>
          <w:rFonts w:ascii="Verdana" w:hAnsi="Verdana"/>
          <w:sz w:val="16"/>
          <w:szCs w:val="16"/>
          <w:lang w:val="es-MX"/>
        </w:rPr>
      </w:pPr>
      <w:r w:rsidRPr="009B3592">
        <w:rPr>
          <w:rStyle w:val="FootnoteReference"/>
          <w:rFonts w:ascii="Verdana" w:hAnsi="Verdana"/>
          <w:sz w:val="16"/>
          <w:szCs w:val="16"/>
        </w:rPr>
        <w:footnoteRef/>
      </w:r>
      <w:r w:rsidRPr="009B3592">
        <w:rPr>
          <w:rFonts w:ascii="Verdana" w:hAnsi="Verdana"/>
          <w:sz w:val="16"/>
          <w:szCs w:val="16"/>
        </w:rPr>
        <w:t xml:space="preserve"> </w:t>
      </w:r>
      <w:r w:rsidRPr="009B3592">
        <w:rPr>
          <w:rFonts w:ascii="Verdana" w:hAnsi="Verdana"/>
          <w:sz w:val="16"/>
          <w:szCs w:val="16"/>
        </w:rPr>
        <w:tab/>
      </w:r>
      <w:r w:rsidRPr="009B3592">
        <w:rPr>
          <w:rFonts w:ascii="Verdana" w:hAnsi="Verdana"/>
          <w:i/>
          <w:sz w:val="16"/>
          <w:szCs w:val="16"/>
        </w:rPr>
        <w:t xml:space="preserve">Cfr. </w:t>
      </w:r>
      <w:r w:rsidRPr="009B3592">
        <w:rPr>
          <w:rFonts w:ascii="Verdana" w:hAnsi="Verdana"/>
          <w:sz w:val="16"/>
          <w:szCs w:val="16"/>
        </w:rPr>
        <w:t xml:space="preserve">Corte Constitucional de Ecuador, </w:t>
      </w:r>
      <w:r w:rsidRPr="009B3592">
        <w:rPr>
          <w:rFonts w:ascii="Verdana" w:hAnsi="Verdana"/>
          <w:iCs/>
          <w:sz w:val="16"/>
          <w:szCs w:val="16"/>
        </w:rPr>
        <w:t>Sentencia N. 017-17-SIN-CC, Caso N. 0071-15-IN</w:t>
      </w:r>
      <w:r w:rsidRPr="009B3592">
        <w:rPr>
          <w:rFonts w:ascii="Verdana" w:hAnsi="Verdana"/>
          <w:sz w:val="16"/>
          <w:szCs w:val="16"/>
        </w:rPr>
        <w:t xml:space="preserve">, 7 de junio de 2017, págs. 15 y 16; </w:t>
      </w:r>
      <w:r w:rsidRPr="009B3592">
        <w:rPr>
          <w:rFonts w:ascii="Verdana" w:hAnsi="Verdana"/>
          <w:iCs/>
          <w:sz w:val="16"/>
          <w:szCs w:val="16"/>
        </w:rPr>
        <w:t>Sentencia N 0006-15- SCN-CC, Caso N. 0005-13-CN</w:t>
      </w:r>
      <w:r w:rsidRPr="009B3592">
        <w:rPr>
          <w:rFonts w:ascii="Verdana" w:hAnsi="Verdana"/>
          <w:sz w:val="16"/>
          <w:szCs w:val="16"/>
        </w:rPr>
        <w:t>, 27 de mayo de 2015, págs. 15 y 16.</w:t>
      </w:r>
    </w:p>
  </w:footnote>
  <w:footnote w:id="53">
    <w:p w14:paraId="4C66DB55" w14:textId="65A36CD0" w:rsidR="00A74C00" w:rsidRPr="00ED3A26" w:rsidRDefault="00A74C00" w:rsidP="000C2783">
      <w:pPr>
        <w:pStyle w:val="Default"/>
        <w:spacing w:after="240"/>
        <w:jc w:val="both"/>
        <w:rPr>
          <w:rFonts w:ascii="Verdana" w:hAnsi="Verdana"/>
          <w:color w:val="auto"/>
          <w:sz w:val="16"/>
          <w:szCs w:val="16"/>
        </w:rPr>
      </w:pPr>
      <w:r w:rsidRPr="001E14E4">
        <w:rPr>
          <w:rStyle w:val="FootnoteReference"/>
          <w:rFonts w:ascii="Verdana" w:hAnsi="Verdana"/>
          <w:color w:val="auto"/>
          <w:sz w:val="16"/>
          <w:szCs w:val="16"/>
        </w:rPr>
        <w:footnoteRef/>
      </w:r>
      <w:r w:rsidRPr="001E14E4">
        <w:rPr>
          <w:rFonts w:ascii="Verdana" w:hAnsi="Verdana"/>
          <w:color w:val="auto"/>
          <w:sz w:val="16"/>
          <w:szCs w:val="16"/>
        </w:rPr>
        <w:t xml:space="preserve"> </w:t>
      </w:r>
      <w:r w:rsidRPr="001E14E4">
        <w:rPr>
          <w:rFonts w:ascii="Verdana" w:hAnsi="Verdana"/>
          <w:color w:val="auto"/>
          <w:sz w:val="16"/>
          <w:szCs w:val="16"/>
        </w:rPr>
        <w:tab/>
      </w:r>
      <w:r w:rsidR="008F295E" w:rsidRPr="00ED3A26">
        <w:rPr>
          <w:rFonts w:ascii="Verdana" w:hAnsi="Verdana"/>
          <w:i/>
          <w:sz w:val="16"/>
          <w:szCs w:val="16"/>
        </w:rPr>
        <w:t xml:space="preserve">Cfr. </w:t>
      </w:r>
      <w:r w:rsidRPr="00ED3A26">
        <w:rPr>
          <w:rFonts w:ascii="Verdana" w:hAnsi="Verdana"/>
          <w:color w:val="auto"/>
          <w:sz w:val="16"/>
          <w:szCs w:val="16"/>
        </w:rPr>
        <w:t xml:space="preserve">Tribunal Constitucional de Perú, </w:t>
      </w:r>
      <w:r w:rsidRPr="00ED3A26">
        <w:rPr>
          <w:rFonts w:ascii="Verdana" w:hAnsi="Verdana"/>
          <w:i/>
          <w:iCs/>
          <w:color w:val="auto"/>
          <w:sz w:val="16"/>
          <w:szCs w:val="16"/>
        </w:rPr>
        <w:t xml:space="preserve">Colegios de Abogados del Cusco y del </w:t>
      </w:r>
      <w:r w:rsidRPr="00ED3A26">
        <w:rPr>
          <w:rFonts w:ascii="Verdana" w:hAnsi="Verdana"/>
          <w:i/>
          <w:iCs/>
          <w:sz w:val="16"/>
          <w:szCs w:val="16"/>
        </w:rPr>
        <w:t>Callao y más de cinco mil ciudadanos c/. Congreso de la República</w:t>
      </w:r>
      <w:r w:rsidRPr="00ED3A26">
        <w:rPr>
          <w:rFonts w:ascii="Verdana" w:hAnsi="Verdana"/>
          <w:sz w:val="16"/>
          <w:szCs w:val="16"/>
        </w:rPr>
        <w:t>. Proceso de Inconstitucionalidad. Expediente N. 00050-2004-AI/TC, 3 de junio de 2005, pág. 60.</w:t>
      </w:r>
    </w:p>
  </w:footnote>
  <w:footnote w:id="54">
    <w:p w14:paraId="1464B046" w14:textId="499258EE" w:rsidR="00A74C00" w:rsidRPr="003E12C7" w:rsidRDefault="00A74C00" w:rsidP="000C2783">
      <w:pPr>
        <w:pStyle w:val="FootnoteText"/>
        <w:spacing w:after="240"/>
        <w:jc w:val="both"/>
        <w:rPr>
          <w:rFonts w:ascii="Verdana" w:hAnsi="Verdana"/>
          <w:sz w:val="16"/>
          <w:szCs w:val="16"/>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8F295E" w:rsidRPr="00ED3A26">
        <w:rPr>
          <w:rFonts w:ascii="Verdana" w:hAnsi="Verdana"/>
          <w:i/>
          <w:sz w:val="16"/>
          <w:szCs w:val="16"/>
        </w:rPr>
        <w:t xml:space="preserve">Cfr. </w:t>
      </w:r>
      <w:r w:rsidRPr="00ED3A26">
        <w:rPr>
          <w:rFonts w:ascii="Verdana" w:hAnsi="Verdana"/>
          <w:sz w:val="16"/>
          <w:szCs w:val="16"/>
        </w:rPr>
        <w:t xml:space="preserve">Tribunal Constitucional de Perú, </w:t>
      </w:r>
      <w:r w:rsidRPr="00ED3A26">
        <w:rPr>
          <w:rFonts w:ascii="Verdana" w:hAnsi="Verdana"/>
          <w:i/>
          <w:iCs/>
          <w:sz w:val="16"/>
          <w:szCs w:val="16"/>
        </w:rPr>
        <w:t>Caso Ley de Reforma Magisterial 2</w:t>
      </w:r>
      <w:r w:rsidRPr="00ED3A26">
        <w:rPr>
          <w:rFonts w:ascii="Verdana" w:hAnsi="Verdana"/>
          <w:i/>
          <w:sz w:val="16"/>
          <w:szCs w:val="16"/>
        </w:rPr>
        <w:t>, SCT–01.014–PI</w:t>
      </w:r>
      <w:r w:rsidRPr="00ED3A26">
        <w:rPr>
          <w:rFonts w:ascii="Verdana" w:hAnsi="Verdana"/>
          <w:sz w:val="16"/>
          <w:szCs w:val="16"/>
        </w:rPr>
        <w:t xml:space="preserve">, Expediente </w:t>
      </w:r>
      <w:r w:rsidRPr="00ED3A26">
        <w:rPr>
          <w:rFonts w:ascii="Verdana" w:hAnsi="Verdana"/>
          <w:sz w:val="16"/>
          <w:szCs w:val="16"/>
        </w:rPr>
        <w:br/>
        <w:t>0020–2012–PI/TC, 16 de abril de 2014, pág. 20.</w:t>
      </w:r>
    </w:p>
  </w:footnote>
  <w:footnote w:id="55">
    <w:p w14:paraId="2BF57479" w14:textId="0E6A757C" w:rsidR="008F295E" w:rsidRPr="00ED3A26" w:rsidRDefault="00A74C00" w:rsidP="000C2783">
      <w:pPr>
        <w:pStyle w:val="FootnoteText"/>
        <w:spacing w:after="240"/>
        <w:jc w:val="both"/>
        <w:rPr>
          <w:rFonts w:ascii="Verdana" w:hAnsi="Verdana"/>
          <w:sz w:val="16"/>
          <w:szCs w:val="16"/>
          <w:lang w:val="es-ES"/>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8F295E" w:rsidRPr="00ED3A26">
        <w:rPr>
          <w:rFonts w:ascii="Verdana" w:hAnsi="Verdana"/>
          <w:i/>
          <w:sz w:val="16"/>
          <w:szCs w:val="16"/>
        </w:rPr>
        <w:t xml:space="preserve">Cfr. </w:t>
      </w:r>
      <w:r w:rsidRPr="00ED3A26">
        <w:rPr>
          <w:rFonts w:ascii="Verdana" w:hAnsi="Verdana"/>
          <w:sz w:val="16"/>
          <w:szCs w:val="16"/>
        </w:rPr>
        <w:t xml:space="preserve">Corte de Constitucionalidad de Guatemala, Inconstitucionalidad general y parcial, Expedientes acumulados 3-2011, 4-2011 y 52-2011, pág. 25 y ss.  </w:t>
      </w:r>
    </w:p>
  </w:footnote>
  <w:footnote w:id="56">
    <w:p w14:paraId="0312A70D" w14:textId="2529D36A" w:rsidR="008F295E" w:rsidRPr="00ED3A26" w:rsidRDefault="00A74C00" w:rsidP="000C2783">
      <w:pPr>
        <w:pStyle w:val="FootnoteText"/>
        <w:spacing w:after="240"/>
        <w:jc w:val="both"/>
        <w:rPr>
          <w:rFonts w:ascii="Verdana" w:hAnsi="Verdana"/>
          <w:sz w:val="16"/>
          <w:szCs w:val="16"/>
          <w:lang w:val="es-ES"/>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t xml:space="preserve">Así, el examen de regresividad de la Corte de Constitucionalidad de Guatemala consiste en determinar si: i) la medida adoptada busca satisfacer un fin constitucional; ii) resulta ser válida para lograr la finalidad perseguida; iii) fueron evaluadas las distintas alternativas y esa medida es necesaria para alcanzar el fin propuesto; iv) no afecta el contenido esencial del derecho fundamental comprometido; y v) el beneficio que alcanza es proporcional al costo. </w:t>
      </w:r>
      <w:r w:rsidRPr="00ED3A26">
        <w:rPr>
          <w:rFonts w:ascii="Verdana" w:hAnsi="Verdana"/>
          <w:i/>
          <w:sz w:val="16"/>
          <w:szCs w:val="16"/>
        </w:rPr>
        <w:t>Ibídem</w:t>
      </w:r>
      <w:r w:rsidRPr="00ED3A26">
        <w:rPr>
          <w:rFonts w:ascii="Verdana" w:hAnsi="Verdana"/>
          <w:sz w:val="16"/>
          <w:szCs w:val="16"/>
        </w:rPr>
        <w:t xml:space="preserve">, págs. 32 y 33. </w:t>
      </w:r>
    </w:p>
  </w:footnote>
  <w:footnote w:id="57">
    <w:p w14:paraId="11DB6C31" w14:textId="12AF9C8D" w:rsidR="00A74C00" w:rsidRPr="00ED3A26" w:rsidRDefault="00A74C00" w:rsidP="000C2783">
      <w:pPr>
        <w:widowControl w:val="0"/>
        <w:autoSpaceDE w:val="0"/>
        <w:autoSpaceDN w:val="0"/>
        <w:adjustRightInd w:val="0"/>
        <w:spacing w:after="240"/>
        <w:jc w:val="both"/>
        <w:rPr>
          <w:rFonts w:ascii="Verdana" w:hAnsi="Verdana" w:cs="Times"/>
          <w:sz w:val="16"/>
          <w:szCs w:val="16"/>
          <w:lang w:val="es-ES"/>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t>P</w:t>
      </w:r>
      <w:r w:rsidRPr="00ED3A26">
        <w:rPr>
          <w:rFonts w:ascii="Verdana" w:hAnsi="Verdana" w:cs="Times New Roman"/>
          <w:sz w:val="16"/>
          <w:szCs w:val="16"/>
          <w:lang w:val="es-ES"/>
        </w:rPr>
        <w:t xml:space="preserve">or ejemplo, la SCJN ha hecho uso de un </w:t>
      </w:r>
      <w:r w:rsidRPr="00ED3A26">
        <w:rPr>
          <w:rFonts w:ascii="Verdana" w:hAnsi="Verdana" w:cs="Times New Roman"/>
          <w:i/>
          <w:sz w:val="16"/>
          <w:szCs w:val="16"/>
          <w:lang w:val="es-ES"/>
        </w:rPr>
        <w:t xml:space="preserve">análisis genérico </w:t>
      </w:r>
      <w:r w:rsidRPr="00ED3A26">
        <w:rPr>
          <w:rFonts w:ascii="Verdana" w:hAnsi="Verdana" w:cs="Times New Roman"/>
          <w:sz w:val="16"/>
          <w:szCs w:val="16"/>
          <w:lang w:val="es-ES"/>
        </w:rPr>
        <w:t>respecto de la validez de una medida supuestamente regresiva, en función de su fin social (</w:t>
      </w:r>
      <w:r w:rsidRPr="00ED3A26">
        <w:rPr>
          <w:rFonts w:ascii="Verdana" w:hAnsi="Verdana" w:cs="Times"/>
          <w:sz w:val="16"/>
          <w:szCs w:val="16"/>
          <w:lang w:val="es-ES"/>
        </w:rPr>
        <w:t>véase</w:t>
      </w:r>
      <w:r w:rsidRPr="00ED3A26">
        <w:rPr>
          <w:rFonts w:ascii="Verdana" w:hAnsi="Verdana" w:cs="Times New Roman"/>
          <w:sz w:val="16"/>
          <w:szCs w:val="16"/>
          <w:lang w:val="es-ES"/>
        </w:rPr>
        <w:t xml:space="preserve">: </w:t>
      </w:r>
      <w:r w:rsidR="008F295E" w:rsidRPr="00ED3A26">
        <w:rPr>
          <w:rFonts w:ascii="Verdana" w:hAnsi="Verdana"/>
          <w:i/>
          <w:sz w:val="16"/>
          <w:szCs w:val="16"/>
        </w:rPr>
        <w:t xml:space="preserve">Cfr. </w:t>
      </w:r>
      <w:r w:rsidRPr="00ED3A26">
        <w:rPr>
          <w:rFonts w:ascii="Verdana" w:hAnsi="Verdana" w:cs="Times New Roman"/>
          <w:sz w:val="16"/>
          <w:szCs w:val="16"/>
          <w:lang w:val="es-ES"/>
        </w:rPr>
        <w:t xml:space="preserve">SCJN, Primera Sala, Amparo en revisión 304/2015, Sentencia del 31 de mayo de 2017, págs. 25 a 28), así como de un </w:t>
      </w:r>
      <w:r w:rsidRPr="00ED3A26">
        <w:rPr>
          <w:rFonts w:ascii="Verdana" w:hAnsi="Verdana" w:cs="Times New Roman"/>
          <w:i/>
          <w:sz w:val="16"/>
          <w:szCs w:val="16"/>
          <w:lang w:val="es-ES"/>
        </w:rPr>
        <w:t>test</w:t>
      </w:r>
      <w:r w:rsidRPr="00ED3A26">
        <w:rPr>
          <w:rFonts w:ascii="Verdana" w:hAnsi="Verdana" w:cs="Times New Roman"/>
          <w:sz w:val="16"/>
          <w:szCs w:val="16"/>
          <w:lang w:val="es-ES"/>
        </w:rPr>
        <w:t xml:space="preserve"> consistente en acreditar la existencia de una </w:t>
      </w:r>
      <w:r w:rsidRPr="00ED3A26">
        <w:rPr>
          <w:rFonts w:ascii="Verdana" w:hAnsi="Verdana" w:cs="Times New Roman"/>
          <w:i/>
          <w:sz w:val="16"/>
          <w:szCs w:val="16"/>
          <w:lang w:val="es-ES"/>
        </w:rPr>
        <w:t>restricción generalizada</w:t>
      </w:r>
      <w:r w:rsidRPr="00ED3A26">
        <w:rPr>
          <w:rFonts w:ascii="Verdana" w:hAnsi="Verdana" w:cs="Times New Roman"/>
          <w:sz w:val="16"/>
          <w:szCs w:val="16"/>
          <w:lang w:val="es-ES"/>
        </w:rPr>
        <w:t xml:space="preserve"> y una </w:t>
      </w:r>
      <w:r w:rsidRPr="00ED3A26">
        <w:rPr>
          <w:rFonts w:ascii="Verdana" w:hAnsi="Verdana" w:cs="Times New Roman"/>
          <w:i/>
          <w:sz w:val="16"/>
          <w:szCs w:val="16"/>
          <w:lang w:val="es-ES"/>
        </w:rPr>
        <w:t>relación de causalidad</w:t>
      </w:r>
      <w:r w:rsidRPr="00ED3A26">
        <w:rPr>
          <w:rFonts w:ascii="Verdana" w:hAnsi="Verdana" w:cs="Times New Roman"/>
          <w:sz w:val="16"/>
          <w:szCs w:val="16"/>
          <w:lang w:val="es-ES"/>
        </w:rPr>
        <w:t xml:space="preserve"> entre la medida y afectaciones a las personas demandantes en amparo (véase: </w:t>
      </w:r>
      <w:r w:rsidR="008F295E" w:rsidRPr="00ED3A26">
        <w:rPr>
          <w:rFonts w:ascii="Verdana" w:hAnsi="Verdana"/>
          <w:i/>
          <w:sz w:val="16"/>
          <w:szCs w:val="16"/>
        </w:rPr>
        <w:t xml:space="preserve">Cfr. </w:t>
      </w:r>
      <w:r w:rsidRPr="00ED3A26">
        <w:rPr>
          <w:rFonts w:ascii="Verdana" w:hAnsi="Verdana" w:cs="Times New Roman"/>
          <w:sz w:val="16"/>
          <w:szCs w:val="16"/>
          <w:lang w:val="es-ES"/>
        </w:rPr>
        <w:t>SCJN. Amparo en revisión 566/2015. Sentencia de 15 de febrero de 2017, págs. 32 y 33).</w:t>
      </w:r>
    </w:p>
  </w:footnote>
  <w:footnote w:id="58">
    <w:p w14:paraId="1120CAC1" w14:textId="50A05A48" w:rsidR="008F295E" w:rsidRPr="00ED3A26" w:rsidRDefault="00A74C00" w:rsidP="000C2783">
      <w:pPr>
        <w:widowControl w:val="0"/>
        <w:autoSpaceDE w:val="0"/>
        <w:autoSpaceDN w:val="0"/>
        <w:adjustRightInd w:val="0"/>
        <w:spacing w:after="240"/>
        <w:jc w:val="both"/>
        <w:rPr>
          <w:rFonts w:ascii="Verdana" w:hAnsi="Verdana" w:cs="Times"/>
          <w:sz w:val="16"/>
          <w:szCs w:val="16"/>
          <w:lang w:val="es-ES"/>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8F295E" w:rsidRPr="00ED3A26">
        <w:rPr>
          <w:rFonts w:ascii="Verdana" w:hAnsi="Verdana"/>
          <w:i/>
          <w:sz w:val="16"/>
          <w:szCs w:val="16"/>
        </w:rPr>
        <w:t xml:space="preserve">Cfr. </w:t>
      </w:r>
      <w:r w:rsidRPr="00ED3A26">
        <w:rPr>
          <w:rFonts w:ascii="Verdana" w:hAnsi="Verdana" w:cs="Times New Roman"/>
          <w:sz w:val="16"/>
          <w:szCs w:val="16"/>
          <w:lang w:val="es-ES"/>
        </w:rPr>
        <w:t xml:space="preserve">SCJN. Primera Sala, Amparo en revisión 750/2015, </w:t>
      </w:r>
      <w:r w:rsidRPr="00ED3A26">
        <w:rPr>
          <w:rFonts w:ascii="Verdana" w:hAnsi="Verdana" w:cs="Times New Roman"/>
          <w:i/>
          <w:sz w:val="16"/>
          <w:szCs w:val="16"/>
          <w:lang w:val="es-ES"/>
        </w:rPr>
        <w:t>Consejo universitario y tesorero de la Universidad Michoacana de San Nicolás de Hidalgo</w:t>
      </w:r>
      <w:r w:rsidRPr="00ED3A26">
        <w:rPr>
          <w:rFonts w:ascii="Verdana" w:hAnsi="Verdana" w:cs="Times New Roman"/>
          <w:sz w:val="16"/>
          <w:szCs w:val="16"/>
          <w:lang w:val="es-ES"/>
        </w:rPr>
        <w:t>.</w:t>
      </w:r>
      <w:r w:rsidRPr="00ED3A26">
        <w:rPr>
          <w:rFonts w:ascii="Verdana" w:hAnsi="Verdana" w:cs="Times New Roman"/>
          <w:i/>
          <w:sz w:val="16"/>
          <w:szCs w:val="16"/>
          <w:lang w:val="es-ES"/>
        </w:rPr>
        <w:t xml:space="preserve"> </w:t>
      </w:r>
      <w:r w:rsidRPr="00ED3A26">
        <w:rPr>
          <w:rFonts w:ascii="Verdana" w:hAnsi="Verdana" w:cs="Times New Roman"/>
          <w:sz w:val="16"/>
          <w:szCs w:val="16"/>
          <w:lang w:val="es-ES"/>
        </w:rPr>
        <w:t xml:space="preserve">Sentencia del 20 de abril de 2016, págs. 84 y 85; </w:t>
      </w:r>
      <w:r w:rsidR="008F295E" w:rsidRPr="00ED3A26">
        <w:rPr>
          <w:rFonts w:ascii="Verdana" w:hAnsi="Verdana"/>
          <w:i/>
          <w:sz w:val="16"/>
          <w:szCs w:val="16"/>
        </w:rPr>
        <w:t xml:space="preserve">Cfr. </w:t>
      </w:r>
      <w:r w:rsidRPr="00ED3A26">
        <w:rPr>
          <w:rFonts w:ascii="Verdana" w:hAnsi="Verdana" w:cs="Times New Roman"/>
          <w:sz w:val="16"/>
          <w:szCs w:val="16"/>
          <w:lang w:val="es-ES"/>
        </w:rPr>
        <w:t xml:space="preserve">SCJN, Primera Sala, Amparo en revisión 1374/2015, Sentencia del 18 de mayo de 2016, págs. 84 y 85; </w:t>
      </w:r>
      <w:r w:rsidR="008F295E" w:rsidRPr="00ED3A26">
        <w:rPr>
          <w:rFonts w:ascii="Verdana" w:hAnsi="Verdana"/>
          <w:i/>
          <w:sz w:val="16"/>
          <w:szCs w:val="16"/>
        </w:rPr>
        <w:t xml:space="preserve">Cfr. </w:t>
      </w:r>
      <w:r w:rsidRPr="00ED3A26">
        <w:rPr>
          <w:rFonts w:ascii="Verdana" w:hAnsi="Verdana" w:cs="Times New Roman"/>
          <w:sz w:val="16"/>
          <w:szCs w:val="16"/>
          <w:lang w:val="es-ES"/>
        </w:rPr>
        <w:t>SCJN, Primera Sala, Amparo en revisión 1356/2015, Sentencia del 6 de julio de 2016, págs. 30 y 31;</w:t>
      </w:r>
      <w:r w:rsidR="008F295E" w:rsidRPr="00ED3A26">
        <w:rPr>
          <w:rFonts w:ascii="Verdana" w:hAnsi="Verdana" w:cs="Times New Roman"/>
          <w:sz w:val="16"/>
          <w:szCs w:val="16"/>
          <w:lang w:val="es-ES"/>
        </w:rPr>
        <w:t xml:space="preserve"> </w:t>
      </w:r>
      <w:r w:rsidR="008F295E" w:rsidRPr="00ED3A26">
        <w:rPr>
          <w:rFonts w:ascii="Verdana" w:hAnsi="Verdana"/>
          <w:i/>
          <w:sz w:val="16"/>
          <w:szCs w:val="16"/>
        </w:rPr>
        <w:t>Cfr.</w:t>
      </w:r>
      <w:r w:rsidRPr="00ED3A26">
        <w:rPr>
          <w:rFonts w:ascii="Verdana" w:hAnsi="Verdana" w:cs="Times New Roman"/>
          <w:sz w:val="16"/>
          <w:szCs w:val="16"/>
          <w:lang w:val="es-ES"/>
        </w:rPr>
        <w:t xml:space="preserve"> SCJN, Primera Sala, Amparo en revisión 100/2016, Sentencia del 10 de agosto de 2016; </w:t>
      </w:r>
      <w:r w:rsidR="008F295E" w:rsidRPr="00ED3A26">
        <w:rPr>
          <w:rFonts w:ascii="Verdana" w:hAnsi="Verdana"/>
          <w:i/>
          <w:sz w:val="16"/>
          <w:szCs w:val="16"/>
        </w:rPr>
        <w:t xml:space="preserve">Cfr. </w:t>
      </w:r>
      <w:r w:rsidRPr="00ED3A26">
        <w:rPr>
          <w:rFonts w:ascii="Verdana" w:hAnsi="Verdana" w:cs="Times New Roman"/>
          <w:sz w:val="16"/>
          <w:szCs w:val="16"/>
          <w:lang w:val="es-ES"/>
        </w:rPr>
        <w:t>SCJN. Primera Sala, Amparo en revisión 306/2016, Sentencia del 8 de marzo de 2017, págs. 67 y 68.</w:t>
      </w:r>
    </w:p>
  </w:footnote>
  <w:footnote w:id="59">
    <w:p w14:paraId="320F0A48" w14:textId="32B44EA7" w:rsidR="008F295E" w:rsidRPr="00ED3A26" w:rsidRDefault="00A74C00" w:rsidP="000C2783">
      <w:pPr>
        <w:widowControl w:val="0"/>
        <w:autoSpaceDE w:val="0"/>
        <w:autoSpaceDN w:val="0"/>
        <w:adjustRightInd w:val="0"/>
        <w:spacing w:after="240"/>
        <w:jc w:val="both"/>
        <w:rPr>
          <w:rFonts w:ascii="Verdana" w:hAnsi="Verdana" w:cs="Times"/>
          <w:sz w:val="16"/>
          <w:szCs w:val="16"/>
          <w:lang w:val="es-ES"/>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8F295E" w:rsidRPr="00ED3A26">
        <w:rPr>
          <w:rFonts w:ascii="Verdana" w:hAnsi="Verdana"/>
          <w:i/>
          <w:sz w:val="16"/>
          <w:szCs w:val="16"/>
        </w:rPr>
        <w:t xml:space="preserve">Cfr. </w:t>
      </w:r>
      <w:r w:rsidRPr="00ED3A26">
        <w:rPr>
          <w:rFonts w:ascii="Verdana" w:hAnsi="Verdana" w:cs="Times New Roman"/>
          <w:sz w:val="16"/>
          <w:szCs w:val="16"/>
          <w:lang w:val="es-ES"/>
        </w:rPr>
        <w:t xml:space="preserve">SCJN. Segunda Sala, Amparo directo en revisión 2425/2015, 12 de agosto de 2015, pág. 16; </w:t>
      </w:r>
      <w:r w:rsidRPr="00ED3A26">
        <w:rPr>
          <w:rFonts w:ascii="Verdana" w:hAnsi="Verdana" w:cs="Times New Roman"/>
          <w:i/>
          <w:sz w:val="16"/>
          <w:szCs w:val="16"/>
          <w:lang w:val="es-ES"/>
        </w:rPr>
        <w:t xml:space="preserve">Cfr. </w:t>
      </w:r>
      <w:r w:rsidRPr="00ED3A26">
        <w:rPr>
          <w:rFonts w:ascii="Verdana" w:hAnsi="Verdana" w:cs="Times New Roman"/>
          <w:sz w:val="16"/>
          <w:szCs w:val="16"/>
          <w:lang w:val="es-ES"/>
        </w:rPr>
        <w:t xml:space="preserve">SCJN, Segunda Sala, Contradicción de tesis 291/2015, 20 de enero de 2016, págs. 61 y 62; </w:t>
      </w:r>
      <w:r w:rsidR="008F295E" w:rsidRPr="00ED3A26">
        <w:rPr>
          <w:rFonts w:ascii="Verdana" w:hAnsi="Verdana"/>
          <w:i/>
          <w:sz w:val="16"/>
          <w:szCs w:val="16"/>
        </w:rPr>
        <w:t xml:space="preserve">Cfr. </w:t>
      </w:r>
      <w:r w:rsidRPr="00ED3A26">
        <w:rPr>
          <w:rFonts w:ascii="Verdana" w:hAnsi="Verdana" w:cs="Times New Roman"/>
          <w:sz w:val="16"/>
          <w:szCs w:val="16"/>
          <w:lang w:val="es-ES"/>
        </w:rPr>
        <w:t xml:space="preserve">SCJN, Segunda Sala, Amparo directo en revisión 559/2015, 17 de febrero de 2016, págs. 21 y 22; </w:t>
      </w:r>
      <w:r w:rsidR="008F295E" w:rsidRPr="00ED3A26">
        <w:rPr>
          <w:rFonts w:ascii="Verdana" w:hAnsi="Verdana"/>
          <w:i/>
          <w:sz w:val="16"/>
          <w:szCs w:val="16"/>
        </w:rPr>
        <w:t xml:space="preserve">Cfr. </w:t>
      </w:r>
      <w:r w:rsidRPr="00ED3A26">
        <w:rPr>
          <w:rFonts w:ascii="Verdana" w:hAnsi="Verdana" w:cs="Times New Roman"/>
          <w:sz w:val="16"/>
          <w:szCs w:val="16"/>
          <w:lang w:val="es-ES"/>
        </w:rPr>
        <w:t xml:space="preserve">SCJN, Segunda Sala, Amparo en revisión 11/2016, 18 de mayo de 2016, pág. 25; </w:t>
      </w:r>
      <w:r w:rsidR="008F295E" w:rsidRPr="00ED3A26">
        <w:rPr>
          <w:rFonts w:ascii="Verdana" w:hAnsi="Verdana"/>
          <w:i/>
          <w:sz w:val="16"/>
          <w:szCs w:val="16"/>
        </w:rPr>
        <w:t xml:space="preserve">Cfr. </w:t>
      </w:r>
      <w:r w:rsidRPr="00ED3A26">
        <w:rPr>
          <w:rFonts w:ascii="Verdana" w:hAnsi="Verdana" w:cs="Times New Roman"/>
          <w:sz w:val="16"/>
          <w:szCs w:val="16"/>
          <w:lang w:val="es-ES"/>
        </w:rPr>
        <w:t xml:space="preserve">SCJN, Segunda Sala, Amparo directo en revisión 7153/2016, 5 de abril de 2017, págs. 32 y 33. </w:t>
      </w:r>
    </w:p>
  </w:footnote>
  <w:footnote w:id="60">
    <w:p w14:paraId="060A4088" w14:textId="4A3A35FB" w:rsidR="008F295E" w:rsidRPr="00ED3A26" w:rsidRDefault="00A74C00" w:rsidP="000C2783">
      <w:pPr>
        <w:spacing w:after="240"/>
        <w:jc w:val="both"/>
        <w:rPr>
          <w:rFonts w:ascii="Times New Roman" w:hAnsi="Times New Roman"/>
          <w:b/>
          <w:bCs/>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cs="Times New Roman"/>
          <w:sz w:val="16"/>
          <w:szCs w:val="16"/>
          <w:lang w:val="es-ES"/>
        </w:rPr>
        <w:tab/>
        <w:t xml:space="preserve"> En este sentido, el Comité DESC desde la Observación General No. 3 (1991) expresó, dentro del análisis de la obligación general de progresividad, que “</w:t>
      </w:r>
      <w:r w:rsidRPr="00ED3A26">
        <w:rPr>
          <w:rFonts w:ascii="Verdana" w:hAnsi="Verdana"/>
          <w:sz w:val="16"/>
          <w:szCs w:val="16"/>
          <w:shd w:val="clear" w:color="auto" w:fill="FFFFFF"/>
        </w:rPr>
        <w:t xml:space="preserve">[…] todas las medidas de carácter </w:t>
      </w:r>
      <w:r w:rsidRPr="00ED3A26">
        <w:rPr>
          <w:rFonts w:ascii="Verdana" w:hAnsi="Verdana"/>
          <w:i/>
          <w:sz w:val="16"/>
          <w:szCs w:val="16"/>
          <w:shd w:val="clear" w:color="auto" w:fill="FFFFFF"/>
        </w:rPr>
        <w:t>deliberadamente retroactivo</w:t>
      </w:r>
      <w:r w:rsidRPr="00ED3A26">
        <w:rPr>
          <w:rFonts w:ascii="Verdana" w:hAnsi="Verdana"/>
          <w:sz w:val="16"/>
          <w:szCs w:val="16"/>
          <w:shd w:val="clear" w:color="auto" w:fill="FFFFFF"/>
        </w:rPr>
        <w:t xml:space="preserve"> […] requerirán la consideración más cuidadosa y deberán justificarse plenamente por referencia a la totalidad de los derechos previstos en el Pacto y en el contexto del aprovechamiento pleno del máximo de los recursos de que se disponga”. Esta línea interpretativa del Comité de Derechos Económicos, Sociales y Culturales ha sido reiterada en Observaciones recientes, como la Observación General No. 23 (2016) al señalar que: ”los Estados partes deberían evitar adoptar deliberadamente cualquier medida regresiva sin una cuidadosa consideración y justificación. (…) Los Estados partes que se enfrentan a dificultades considerables para lograr la efectividad progresiva de ese derecho debido a la falta de recursos nacionales tienen la obligación de solicitar cooperación y asistencia internacionales”.  Comité DESC, Observación General No. 3, </w:t>
      </w:r>
      <w:r w:rsidRPr="00ED3A26">
        <w:rPr>
          <w:rFonts w:ascii="Verdana" w:hAnsi="Verdana"/>
          <w:bCs/>
          <w:i/>
          <w:sz w:val="16"/>
          <w:szCs w:val="16"/>
        </w:rPr>
        <w:t>La índole de las obligaciones de los Estados Partes</w:t>
      </w:r>
      <w:r w:rsidRPr="00ED3A26">
        <w:rPr>
          <w:rFonts w:ascii="Verdana" w:hAnsi="Verdana"/>
          <w:bCs/>
          <w:i/>
          <w:sz w:val="16"/>
          <w:szCs w:val="16"/>
        </w:rPr>
        <w:br/>
        <w:t>(párrafo 1 del artículo 2 del Pacto)</w:t>
      </w:r>
      <w:r w:rsidRPr="00ED3A26">
        <w:rPr>
          <w:rFonts w:ascii="Verdana" w:hAnsi="Verdana"/>
          <w:b/>
          <w:bCs/>
          <w:sz w:val="16"/>
          <w:szCs w:val="16"/>
        </w:rPr>
        <w:t xml:space="preserve">, </w:t>
      </w:r>
      <w:r w:rsidRPr="00ED3A26">
        <w:rPr>
          <w:rFonts w:ascii="Verdana" w:hAnsi="Verdana"/>
          <w:bCs/>
          <w:sz w:val="16"/>
          <w:szCs w:val="16"/>
        </w:rPr>
        <w:t>1 de enero de 1990, párr. 9</w:t>
      </w:r>
      <w:r w:rsidRPr="00ED3A26">
        <w:rPr>
          <w:rFonts w:ascii="Verdana" w:hAnsi="Verdana"/>
          <w:b/>
          <w:bCs/>
          <w:sz w:val="16"/>
          <w:szCs w:val="16"/>
        </w:rPr>
        <w:t xml:space="preserve"> </w:t>
      </w:r>
      <w:r w:rsidRPr="00ED3A26">
        <w:rPr>
          <w:rFonts w:ascii="Verdana" w:hAnsi="Verdana"/>
          <w:sz w:val="16"/>
          <w:szCs w:val="16"/>
          <w:shd w:val="clear" w:color="auto" w:fill="FFFFFF"/>
        </w:rPr>
        <w:t>y</w:t>
      </w:r>
      <w:r w:rsidRPr="00ED3A26">
        <w:rPr>
          <w:rFonts w:ascii="Verdana" w:hAnsi="Verdana"/>
          <w:sz w:val="16"/>
          <w:szCs w:val="16"/>
        </w:rPr>
        <w:t xml:space="preserve"> Observación General No. 23</w:t>
      </w:r>
      <w:r w:rsidRPr="00ED3A26">
        <w:rPr>
          <w:rFonts w:ascii="Verdana" w:hAnsi="Verdana"/>
          <w:i/>
          <w:sz w:val="16"/>
          <w:szCs w:val="16"/>
        </w:rPr>
        <w:t xml:space="preserve"> sobre el derecho a condiciones de trabajo equitativas y satisfactorias (artículo 7 del Pacto Internacional de Derechos Económicos, Sociales y Culturales</w:t>
      </w:r>
      <w:r w:rsidRPr="00ED3A26">
        <w:rPr>
          <w:rFonts w:ascii="Verdana" w:hAnsi="Verdana"/>
          <w:sz w:val="16"/>
          <w:szCs w:val="16"/>
        </w:rPr>
        <w:t>), E/C.12/GC/23, 26 de abril del 2016, párr. 52.</w:t>
      </w:r>
    </w:p>
  </w:footnote>
  <w:footnote w:id="61">
    <w:p w14:paraId="76B59D23" w14:textId="1E4B61FA" w:rsidR="008F295E" w:rsidRPr="00ED3A26" w:rsidRDefault="00A74C00" w:rsidP="000C2783">
      <w:pPr>
        <w:pStyle w:val="FootnoteText"/>
        <w:spacing w:after="240"/>
        <w:jc w:val="both"/>
        <w:rPr>
          <w:rFonts w:ascii="Verdana" w:hAnsi="Verdana"/>
          <w:sz w:val="16"/>
          <w:szCs w:val="16"/>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8F295E" w:rsidRPr="00ED3A26">
        <w:rPr>
          <w:rFonts w:ascii="Verdana" w:hAnsi="Verdana"/>
          <w:i/>
          <w:sz w:val="16"/>
          <w:szCs w:val="16"/>
        </w:rPr>
        <w:t xml:space="preserve">Cfr. </w:t>
      </w:r>
      <w:r w:rsidRPr="00ED3A26">
        <w:rPr>
          <w:rFonts w:ascii="Verdana" w:hAnsi="Verdana"/>
          <w:sz w:val="16"/>
          <w:szCs w:val="16"/>
        </w:rPr>
        <w:t xml:space="preserve">Corte Suprema de Justicia de la Nación, </w:t>
      </w:r>
      <w:r w:rsidRPr="00ED3A26">
        <w:rPr>
          <w:rFonts w:ascii="Verdana" w:hAnsi="Verdana"/>
          <w:i/>
          <w:sz w:val="16"/>
          <w:szCs w:val="16"/>
        </w:rPr>
        <w:t>caso Asociación Benghalensis y otros c/ Estado Nacional</w:t>
      </w:r>
      <w:r w:rsidRPr="00ED3A26">
        <w:rPr>
          <w:rFonts w:ascii="Verdana" w:hAnsi="Verdana"/>
          <w:sz w:val="16"/>
          <w:szCs w:val="16"/>
        </w:rPr>
        <w:t xml:space="preserve">, s/amparo ley 16.986, A. 186. XXXIV, 1 de junio de </w:t>
      </w:r>
      <w:r w:rsidR="005C0877">
        <w:rPr>
          <w:rFonts w:ascii="Verdana" w:hAnsi="Verdana"/>
          <w:sz w:val="16"/>
          <w:szCs w:val="16"/>
        </w:rPr>
        <w:t>2000, Considerandos 9, 13 y 14.</w:t>
      </w:r>
    </w:p>
  </w:footnote>
  <w:footnote w:id="62">
    <w:p w14:paraId="6C18055E" w14:textId="3635CBCE" w:rsidR="00A74C00" w:rsidRPr="00ED3A26" w:rsidRDefault="00A74C00" w:rsidP="000C2783">
      <w:pPr>
        <w:pStyle w:val="FootnoteText"/>
        <w:spacing w:after="240"/>
        <w:jc w:val="both"/>
        <w:rPr>
          <w:sz w:val="16"/>
          <w:szCs w:val="16"/>
          <w:lang w:val="es-MX"/>
        </w:rPr>
      </w:pPr>
      <w:r w:rsidRPr="00ED3A26">
        <w:rPr>
          <w:rStyle w:val="FootnoteReference"/>
          <w:rFonts w:ascii="Verdana" w:hAnsi="Verdana"/>
          <w:sz w:val="16"/>
          <w:szCs w:val="16"/>
        </w:rPr>
        <w:footnoteRef/>
      </w:r>
      <w:r w:rsidR="008F295E" w:rsidRPr="00ED3A26">
        <w:rPr>
          <w:rFonts w:ascii="Verdana" w:hAnsi="Verdana"/>
          <w:sz w:val="16"/>
          <w:szCs w:val="16"/>
        </w:rPr>
        <w:t xml:space="preserve"> </w:t>
      </w:r>
      <w:r w:rsidR="008F295E" w:rsidRPr="00ED3A26">
        <w:rPr>
          <w:rFonts w:ascii="Verdana" w:hAnsi="Verdana"/>
          <w:sz w:val="16"/>
          <w:szCs w:val="16"/>
        </w:rPr>
        <w:tab/>
      </w:r>
      <w:r w:rsidRPr="00ED3A26">
        <w:rPr>
          <w:rFonts w:ascii="Verdana" w:hAnsi="Verdana"/>
          <w:i/>
          <w:sz w:val="16"/>
          <w:szCs w:val="16"/>
        </w:rPr>
        <w:t xml:space="preserve">Cfr. </w:t>
      </w:r>
      <w:r w:rsidRPr="00ED3A26">
        <w:rPr>
          <w:rFonts w:ascii="Verdana" w:hAnsi="Verdana"/>
          <w:sz w:val="16"/>
          <w:szCs w:val="16"/>
        </w:rPr>
        <w:t xml:space="preserve">Tribunal Constitucional </w:t>
      </w:r>
      <w:r w:rsidR="00637FA2">
        <w:rPr>
          <w:rFonts w:ascii="Verdana" w:hAnsi="Verdana"/>
          <w:sz w:val="16"/>
          <w:szCs w:val="16"/>
        </w:rPr>
        <w:t>Plurinacional</w:t>
      </w:r>
      <w:r w:rsidRPr="00ED3A26">
        <w:rPr>
          <w:rFonts w:ascii="Verdana" w:hAnsi="Verdana"/>
          <w:sz w:val="16"/>
          <w:szCs w:val="16"/>
        </w:rPr>
        <w:t xml:space="preserve"> de Bolivia, Sentencia constitucional 0108/2010-R, Número de expediente 2006-14391-29-RAC. Sentencia de 10 de mayo de 2010. Magistrado relator Dr. Ernesto Félix Mur, pág. 10.</w:t>
      </w:r>
    </w:p>
  </w:footnote>
  <w:footnote w:id="63">
    <w:p w14:paraId="4EAB3A7A" w14:textId="48D86DB6" w:rsidR="00A74C00" w:rsidRPr="00ED3A26" w:rsidRDefault="00A74C00" w:rsidP="000C2783">
      <w:pPr>
        <w:pStyle w:val="FootnoteText"/>
        <w:spacing w:after="240"/>
        <w:jc w:val="both"/>
        <w:rPr>
          <w:sz w:val="16"/>
          <w:szCs w:val="16"/>
          <w:lang w:val="es-MX"/>
        </w:rPr>
      </w:pPr>
      <w:r w:rsidRPr="00ED3A26">
        <w:rPr>
          <w:rStyle w:val="FootnoteReference"/>
          <w:rFonts w:ascii="Verdana" w:hAnsi="Verdana"/>
          <w:sz w:val="16"/>
          <w:szCs w:val="16"/>
        </w:rPr>
        <w:footnoteRef/>
      </w:r>
      <w:r w:rsidRPr="00ED3A26">
        <w:rPr>
          <w:rFonts w:ascii="Verdana" w:hAnsi="Verdana"/>
          <w:sz w:val="16"/>
          <w:szCs w:val="16"/>
        </w:rPr>
        <w:t xml:space="preserve"> </w:t>
      </w:r>
      <w:r w:rsidR="008F295E" w:rsidRPr="00ED3A26">
        <w:rPr>
          <w:rFonts w:ascii="Verdana" w:hAnsi="Verdana"/>
          <w:sz w:val="16"/>
          <w:szCs w:val="16"/>
        </w:rPr>
        <w:tab/>
      </w:r>
      <w:r w:rsidR="008F295E" w:rsidRPr="00ED3A26">
        <w:rPr>
          <w:rFonts w:ascii="Verdana" w:hAnsi="Verdana"/>
          <w:i/>
          <w:sz w:val="16"/>
          <w:szCs w:val="16"/>
        </w:rPr>
        <w:t xml:space="preserve">Cfr. </w:t>
      </w:r>
      <w:r w:rsidRPr="00ED3A26">
        <w:rPr>
          <w:rFonts w:ascii="Verdana" w:hAnsi="Verdana"/>
          <w:sz w:val="16"/>
          <w:szCs w:val="16"/>
        </w:rPr>
        <w:t xml:space="preserve">Tribunal Constitucional </w:t>
      </w:r>
      <w:r w:rsidR="00637FA2">
        <w:rPr>
          <w:rFonts w:ascii="Verdana" w:hAnsi="Verdana"/>
          <w:sz w:val="16"/>
          <w:szCs w:val="16"/>
        </w:rPr>
        <w:t>Plurinacional</w:t>
      </w:r>
      <w:r w:rsidRPr="00ED3A26">
        <w:rPr>
          <w:rFonts w:ascii="Verdana" w:hAnsi="Verdana"/>
          <w:sz w:val="16"/>
          <w:szCs w:val="16"/>
        </w:rPr>
        <w:t xml:space="preserve"> de Bolivia, Sentencia SC 0026/2003-R, Número de expediente: 2002-05354-10-RAC, Magistrada relatora Dra. Elizabeth Iñiguez de Salinas. Sentencia de 8 de enero de 2003, págs. 6 y 7.</w:t>
      </w:r>
    </w:p>
  </w:footnote>
  <w:footnote w:id="64">
    <w:p w14:paraId="08DED880" w14:textId="6D1B099B" w:rsidR="00A74C00" w:rsidRPr="00ED3A26" w:rsidRDefault="00A74C00" w:rsidP="000C2783">
      <w:pPr>
        <w:pStyle w:val="FootnoteText"/>
        <w:spacing w:after="240"/>
        <w:jc w:val="both"/>
        <w:rPr>
          <w:sz w:val="16"/>
          <w:szCs w:val="16"/>
          <w:lang w:val="es-MX"/>
        </w:rPr>
      </w:pPr>
      <w:r w:rsidRPr="00ED3A26">
        <w:rPr>
          <w:rStyle w:val="FootnoteReference"/>
          <w:rFonts w:ascii="Verdana" w:hAnsi="Verdana"/>
          <w:sz w:val="16"/>
          <w:szCs w:val="16"/>
        </w:rPr>
        <w:footnoteRef/>
      </w:r>
      <w:r w:rsidRPr="00ED3A26">
        <w:rPr>
          <w:rFonts w:ascii="Verdana" w:hAnsi="Verdana"/>
          <w:sz w:val="16"/>
          <w:szCs w:val="16"/>
        </w:rPr>
        <w:t xml:space="preserve"> </w:t>
      </w:r>
      <w:r w:rsidR="008F295E" w:rsidRPr="00ED3A26">
        <w:rPr>
          <w:rFonts w:ascii="Verdana" w:hAnsi="Verdana"/>
          <w:sz w:val="16"/>
          <w:szCs w:val="16"/>
        </w:rPr>
        <w:tab/>
      </w:r>
      <w:r w:rsidR="008F295E" w:rsidRPr="00ED3A26">
        <w:rPr>
          <w:rFonts w:ascii="Verdana" w:hAnsi="Verdana"/>
          <w:i/>
          <w:sz w:val="16"/>
          <w:szCs w:val="16"/>
        </w:rPr>
        <w:t xml:space="preserve">Cfr. </w:t>
      </w:r>
      <w:r w:rsidRPr="00ED3A26">
        <w:rPr>
          <w:rFonts w:ascii="Verdana" w:hAnsi="Verdana"/>
          <w:sz w:val="16"/>
          <w:szCs w:val="16"/>
        </w:rPr>
        <w:t xml:space="preserve">Tribunal Constitucional </w:t>
      </w:r>
      <w:r w:rsidR="00637FA2">
        <w:rPr>
          <w:rFonts w:ascii="Verdana" w:hAnsi="Verdana"/>
          <w:sz w:val="16"/>
          <w:szCs w:val="16"/>
        </w:rPr>
        <w:t>Plurinacional</w:t>
      </w:r>
      <w:r w:rsidRPr="00ED3A26">
        <w:rPr>
          <w:rFonts w:ascii="Verdana" w:hAnsi="Verdana"/>
          <w:sz w:val="16"/>
          <w:szCs w:val="16"/>
        </w:rPr>
        <w:t xml:space="preserve"> de Bolivia, Sentencia constitucional 0108/2010-R, Número de expediente 2006-14391-29-RAC. Sentencia de 10 de mayo de 2010. Magistrado relator Dr. Ernesto Félix Mur, pág. 8.</w:t>
      </w:r>
    </w:p>
  </w:footnote>
  <w:footnote w:id="65">
    <w:p w14:paraId="57294BA5" w14:textId="414C7399" w:rsidR="00A74C00" w:rsidRPr="00ED3A26" w:rsidRDefault="00A74C00" w:rsidP="000C2783">
      <w:pPr>
        <w:pStyle w:val="FootnoteText"/>
        <w:spacing w:after="240"/>
        <w:jc w:val="both"/>
        <w:rPr>
          <w:rFonts w:ascii="Verdana" w:hAnsi="Verdana"/>
          <w:sz w:val="16"/>
          <w:szCs w:val="16"/>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8F295E" w:rsidRPr="00ED3A26">
        <w:rPr>
          <w:rFonts w:ascii="Verdana" w:hAnsi="Verdana"/>
          <w:i/>
          <w:sz w:val="16"/>
          <w:szCs w:val="16"/>
        </w:rPr>
        <w:t xml:space="preserve">Cfr. </w:t>
      </w:r>
      <w:r w:rsidRPr="00ED3A26">
        <w:rPr>
          <w:rFonts w:ascii="Verdana" w:hAnsi="Verdana"/>
          <w:sz w:val="16"/>
          <w:szCs w:val="16"/>
        </w:rPr>
        <w:t xml:space="preserve">Corte Constitucional de Colombia, Sentencia T-599/15, </w:t>
      </w:r>
      <w:r w:rsidRPr="00ED3A26">
        <w:rPr>
          <w:rFonts w:ascii="Verdana" w:hAnsi="Verdana"/>
          <w:i/>
          <w:sz w:val="16"/>
          <w:szCs w:val="16"/>
        </w:rPr>
        <w:t>AA contra COMFAMILIAR E.P.S-S (…)</w:t>
      </w:r>
      <w:r w:rsidRPr="00ED3A26">
        <w:rPr>
          <w:rFonts w:ascii="Verdana" w:hAnsi="Verdana"/>
          <w:sz w:val="16"/>
          <w:szCs w:val="16"/>
        </w:rPr>
        <w:t>, 15 de septiembre de 2015, Expediente T-4.936.041, Magistrado ponente: Alberto Rojas Ríos, págs. 21, 24 y 27.</w:t>
      </w:r>
    </w:p>
  </w:footnote>
  <w:footnote w:id="66">
    <w:p w14:paraId="12DB1160" w14:textId="2CFB8AD3" w:rsidR="009B3592" w:rsidRPr="009B3592" w:rsidRDefault="009B3592" w:rsidP="000C2783">
      <w:pPr>
        <w:pStyle w:val="FootnoteText"/>
        <w:spacing w:after="240"/>
        <w:jc w:val="both"/>
        <w:rPr>
          <w:rFonts w:ascii="Verdana" w:hAnsi="Verdana"/>
          <w:sz w:val="16"/>
          <w:szCs w:val="16"/>
        </w:rPr>
      </w:pPr>
      <w:r>
        <w:rPr>
          <w:rStyle w:val="FootnoteReference"/>
        </w:rPr>
        <w:footnoteRef/>
      </w:r>
      <w:r>
        <w:t xml:space="preserve"> </w:t>
      </w:r>
      <w:r>
        <w:tab/>
      </w:r>
      <w:r w:rsidRPr="008259B1">
        <w:rPr>
          <w:rFonts w:ascii="Verdana" w:hAnsi="Verdana"/>
          <w:sz w:val="16"/>
          <w:szCs w:val="16"/>
        </w:rPr>
        <w:t>Corte Constitucion</w:t>
      </w:r>
      <w:r>
        <w:rPr>
          <w:rFonts w:ascii="Verdana" w:hAnsi="Verdana"/>
          <w:sz w:val="16"/>
          <w:szCs w:val="16"/>
        </w:rPr>
        <w:t>al del Ecuador, Sentencia N. 068-18-SEP-CC, Caso 1529-16</w:t>
      </w:r>
      <w:r w:rsidRPr="008259B1">
        <w:rPr>
          <w:rFonts w:ascii="Verdana" w:hAnsi="Verdana"/>
          <w:sz w:val="16"/>
          <w:szCs w:val="16"/>
        </w:rPr>
        <w:t>-E</w:t>
      </w:r>
      <w:r>
        <w:rPr>
          <w:rFonts w:ascii="Verdana" w:hAnsi="Verdana"/>
          <w:sz w:val="16"/>
          <w:szCs w:val="16"/>
        </w:rPr>
        <w:t>P. Sentencia de 21</w:t>
      </w:r>
      <w:r w:rsidRPr="008259B1">
        <w:rPr>
          <w:rFonts w:ascii="Verdana" w:hAnsi="Verdana"/>
          <w:sz w:val="16"/>
          <w:szCs w:val="16"/>
        </w:rPr>
        <w:t xml:space="preserve"> de </w:t>
      </w:r>
      <w:r>
        <w:rPr>
          <w:rFonts w:ascii="Verdana" w:hAnsi="Verdana"/>
          <w:sz w:val="16"/>
          <w:szCs w:val="16"/>
        </w:rPr>
        <w:t>febrero de 2018, pág. 50. Sentencia N. 016-16-SEP-CC, Caso 2014-12</w:t>
      </w:r>
      <w:r w:rsidRPr="008259B1">
        <w:rPr>
          <w:rFonts w:ascii="Verdana" w:hAnsi="Verdana"/>
          <w:sz w:val="16"/>
          <w:szCs w:val="16"/>
        </w:rPr>
        <w:t>-E</w:t>
      </w:r>
      <w:r>
        <w:rPr>
          <w:rFonts w:ascii="Verdana" w:hAnsi="Verdana"/>
          <w:sz w:val="16"/>
          <w:szCs w:val="16"/>
        </w:rPr>
        <w:t>P. Sentencia de 13</w:t>
      </w:r>
      <w:r w:rsidRPr="008259B1">
        <w:rPr>
          <w:rFonts w:ascii="Verdana" w:hAnsi="Verdana"/>
          <w:sz w:val="16"/>
          <w:szCs w:val="16"/>
        </w:rPr>
        <w:t xml:space="preserve"> de </w:t>
      </w:r>
      <w:r>
        <w:rPr>
          <w:rFonts w:ascii="Verdana" w:hAnsi="Verdana"/>
          <w:sz w:val="16"/>
          <w:szCs w:val="16"/>
        </w:rPr>
        <w:t xml:space="preserve">enero </w:t>
      </w:r>
      <w:r w:rsidRPr="008259B1">
        <w:rPr>
          <w:rFonts w:ascii="Verdana" w:hAnsi="Verdana"/>
          <w:sz w:val="16"/>
          <w:szCs w:val="16"/>
        </w:rPr>
        <w:t>de 2016</w:t>
      </w:r>
      <w:r>
        <w:rPr>
          <w:rFonts w:ascii="Verdana" w:hAnsi="Verdana"/>
          <w:sz w:val="16"/>
          <w:szCs w:val="16"/>
        </w:rPr>
        <w:t>, pág. 35. Sentencia N. 080-13-SEP-CC, Caso 0445-11</w:t>
      </w:r>
      <w:r w:rsidRPr="008259B1">
        <w:rPr>
          <w:rFonts w:ascii="Verdana" w:hAnsi="Verdana"/>
          <w:sz w:val="16"/>
          <w:szCs w:val="16"/>
        </w:rPr>
        <w:t>-E</w:t>
      </w:r>
      <w:r>
        <w:rPr>
          <w:rFonts w:ascii="Verdana" w:hAnsi="Verdana"/>
          <w:sz w:val="16"/>
          <w:szCs w:val="16"/>
        </w:rPr>
        <w:t>P. Sentencia de 9</w:t>
      </w:r>
      <w:r w:rsidRPr="008259B1">
        <w:rPr>
          <w:rFonts w:ascii="Verdana" w:hAnsi="Verdana"/>
          <w:sz w:val="16"/>
          <w:szCs w:val="16"/>
        </w:rPr>
        <w:t xml:space="preserve"> de</w:t>
      </w:r>
      <w:r>
        <w:rPr>
          <w:rFonts w:ascii="Verdana" w:hAnsi="Verdana"/>
          <w:sz w:val="16"/>
          <w:szCs w:val="16"/>
        </w:rPr>
        <w:t xml:space="preserve"> octubre de 2013, pág. 19.</w:t>
      </w:r>
    </w:p>
  </w:footnote>
  <w:footnote w:id="67">
    <w:p w14:paraId="3075345F" w14:textId="49099D1D" w:rsidR="009B3592" w:rsidRPr="008259B1" w:rsidRDefault="009B3592" w:rsidP="000C2783">
      <w:pPr>
        <w:pStyle w:val="FootnoteText"/>
        <w:spacing w:after="240"/>
        <w:jc w:val="both"/>
        <w:rPr>
          <w:rFonts w:ascii="Verdana" w:hAnsi="Verdana"/>
          <w:sz w:val="16"/>
          <w:szCs w:val="16"/>
        </w:rPr>
      </w:pPr>
      <w:r w:rsidRPr="008259B1">
        <w:rPr>
          <w:rStyle w:val="FootnoteReference"/>
          <w:rFonts w:ascii="Verdana" w:hAnsi="Verdana"/>
          <w:sz w:val="16"/>
          <w:szCs w:val="16"/>
        </w:rPr>
        <w:footnoteRef/>
      </w:r>
      <w:r w:rsidRPr="008259B1">
        <w:rPr>
          <w:rFonts w:ascii="Verdana" w:hAnsi="Verdana"/>
          <w:sz w:val="16"/>
          <w:szCs w:val="16"/>
        </w:rPr>
        <w:t xml:space="preserve"> </w:t>
      </w:r>
      <w:r w:rsidRPr="008259B1">
        <w:rPr>
          <w:rFonts w:ascii="Verdana" w:hAnsi="Verdana"/>
          <w:sz w:val="16"/>
          <w:szCs w:val="16"/>
        </w:rPr>
        <w:tab/>
        <w:t>Corte Constitucional del Ecuador, Sentencia N. 364-16-SEP-CC, Caso 1470-14-E</w:t>
      </w:r>
      <w:r>
        <w:rPr>
          <w:rFonts w:ascii="Verdana" w:hAnsi="Verdana"/>
          <w:sz w:val="16"/>
          <w:szCs w:val="16"/>
        </w:rPr>
        <w:t>P</w:t>
      </w:r>
      <w:r w:rsidRPr="008259B1">
        <w:rPr>
          <w:rFonts w:ascii="Verdana" w:hAnsi="Verdana"/>
          <w:sz w:val="16"/>
          <w:szCs w:val="16"/>
        </w:rPr>
        <w:t xml:space="preserve">. Sentencia de 15 de noviembre de 2016, pág. 35. </w:t>
      </w:r>
    </w:p>
  </w:footnote>
  <w:footnote w:id="68">
    <w:p w14:paraId="2222EA9E" w14:textId="10DD40EC" w:rsidR="00A74C00" w:rsidRPr="00ED3A26" w:rsidRDefault="00A74C00" w:rsidP="000C2783">
      <w:pPr>
        <w:pStyle w:val="FootnoteText"/>
        <w:spacing w:after="240"/>
        <w:jc w:val="both"/>
        <w:rPr>
          <w:rFonts w:ascii="Verdana" w:hAnsi="Verdana"/>
          <w:sz w:val="16"/>
          <w:szCs w:val="16"/>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E06183" w:rsidRPr="00ED3A26">
        <w:rPr>
          <w:rFonts w:ascii="Verdana" w:hAnsi="Verdana"/>
          <w:i/>
          <w:sz w:val="16"/>
          <w:szCs w:val="16"/>
        </w:rPr>
        <w:t xml:space="preserve">Cfr. </w:t>
      </w:r>
      <w:r w:rsidRPr="00ED3A26">
        <w:rPr>
          <w:rFonts w:ascii="Verdana" w:hAnsi="Verdana"/>
          <w:sz w:val="16"/>
          <w:szCs w:val="16"/>
        </w:rPr>
        <w:t xml:space="preserve">Tribunal Constitucional de Perú, Expediente N. 2016-2004-AA/TC, Magistrado José Luis Correa Condori. Sentencia de 5 de octubre de 2004, párrs. 44 y 47.  </w:t>
      </w:r>
    </w:p>
  </w:footnote>
  <w:footnote w:id="69">
    <w:p w14:paraId="08695632" w14:textId="7558A728" w:rsidR="00A74C00" w:rsidRPr="00ED3A26" w:rsidRDefault="00A74C00" w:rsidP="000C2783">
      <w:pPr>
        <w:spacing w:after="240"/>
        <w:jc w:val="both"/>
        <w:rPr>
          <w:rFonts w:ascii="Verdana" w:eastAsia="Times New Roman" w:hAnsi="Verdana" w:cs="Times New Roman"/>
          <w:sz w:val="16"/>
          <w:szCs w:val="16"/>
          <w:lang w:eastAsia="es-MX"/>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E06183" w:rsidRPr="00ED3A26">
        <w:rPr>
          <w:rFonts w:ascii="Verdana" w:hAnsi="Verdana"/>
          <w:i/>
          <w:sz w:val="16"/>
          <w:szCs w:val="16"/>
        </w:rPr>
        <w:t xml:space="preserve">Cfr. </w:t>
      </w:r>
      <w:r w:rsidRPr="00ED3A26">
        <w:rPr>
          <w:rFonts w:ascii="Verdana" w:hAnsi="Verdana"/>
          <w:sz w:val="16"/>
          <w:szCs w:val="16"/>
        </w:rPr>
        <w:t xml:space="preserve">Tribunal Constitucional de Perú, Expediente N. 2945-2003-AA/TC. Sentencia de 20 de abril de 2004, párr. 48, y, </w:t>
      </w:r>
      <w:r w:rsidR="00E06183" w:rsidRPr="00ED3A26">
        <w:rPr>
          <w:rFonts w:ascii="Verdana" w:hAnsi="Verdana"/>
          <w:i/>
          <w:sz w:val="16"/>
          <w:szCs w:val="16"/>
        </w:rPr>
        <w:t xml:space="preserve">Cfr. </w:t>
      </w:r>
      <w:r w:rsidRPr="00ED3A26">
        <w:rPr>
          <w:rFonts w:ascii="Verdana" w:hAnsi="Verdana"/>
          <w:sz w:val="16"/>
          <w:szCs w:val="16"/>
        </w:rPr>
        <w:t>Tribunal Constitucional de Perú, Expediente N. 2016-2004-AA/TC, Magistrado José Luis Correa Condori. Sentencia de 5 de octubre de 2004, párr. 47</w:t>
      </w:r>
      <w:r w:rsidR="003E12C7">
        <w:rPr>
          <w:rFonts w:ascii="Verdana" w:hAnsi="Verdana"/>
          <w:sz w:val="16"/>
          <w:szCs w:val="16"/>
        </w:rPr>
        <w:t>.</w:t>
      </w:r>
    </w:p>
  </w:footnote>
  <w:footnote w:id="70">
    <w:p w14:paraId="7BA5C4B8" w14:textId="6511937A" w:rsidR="00A74C00" w:rsidRPr="00ED3A26" w:rsidRDefault="00A74C00" w:rsidP="000C2783">
      <w:pPr>
        <w:pStyle w:val="FootnoteText"/>
        <w:spacing w:after="240"/>
        <w:jc w:val="both"/>
        <w:rPr>
          <w:rFonts w:ascii="Verdana" w:hAnsi="Verdana"/>
          <w:sz w:val="16"/>
          <w:szCs w:val="16"/>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E06183" w:rsidRPr="00ED3A26">
        <w:rPr>
          <w:rFonts w:ascii="Verdana" w:hAnsi="Verdana"/>
          <w:i/>
          <w:sz w:val="16"/>
          <w:szCs w:val="16"/>
        </w:rPr>
        <w:t xml:space="preserve">Cfr. </w:t>
      </w:r>
      <w:r w:rsidRPr="00ED3A26">
        <w:rPr>
          <w:rFonts w:ascii="Verdana" w:hAnsi="Verdana"/>
          <w:sz w:val="16"/>
          <w:szCs w:val="16"/>
        </w:rPr>
        <w:t>SCJN, Segunda Sala, Amparo en revisión 378/2014, ministro ponente: Ministro Alberto Pérez Dayán, México, 2014, págs. 61 y 63.</w:t>
      </w:r>
    </w:p>
  </w:footnote>
  <w:footnote w:id="71">
    <w:p w14:paraId="3022D86C" w14:textId="43F0A897" w:rsidR="00A74C00" w:rsidRPr="009B3592" w:rsidRDefault="00A74C00" w:rsidP="000C2783">
      <w:pPr>
        <w:pStyle w:val="FootnoteText"/>
        <w:spacing w:after="240"/>
        <w:jc w:val="both"/>
        <w:rPr>
          <w:rFonts w:ascii="Verdana" w:hAnsi="Verdana"/>
          <w:bCs/>
          <w:color w:val="000000"/>
          <w:sz w:val="16"/>
          <w:szCs w:val="16"/>
          <w:shd w:val="clear" w:color="auto" w:fill="FFFFFF"/>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Pr="00ED3A26">
        <w:rPr>
          <w:rFonts w:ascii="Verdana" w:hAnsi="Verdana"/>
          <w:i/>
          <w:sz w:val="16"/>
          <w:szCs w:val="16"/>
        </w:rPr>
        <w:t xml:space="preserve">Cfr. </w:t>
      </w:r>
      <w:r w:rsidRPr="00ED3A26">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ED3A26">
        <w:rPr>
          <w:rStyle w:val="Strong"/>
          <w:rFonts w:ascii="Verdana" w:hAnsi="Verdana"/>
          <w:b w:val="0"/>
          <w:i/>
          <w:color w:val="000000"/>
          <w:sz w:val="16"/>
          <w:szCs w:val="16"/>
          <w:shd w:val="clear" w:color="auto" w:fill="FFFFFF"/>
        </w:rPr>
        <w:t xml:space="preserve">, Fondo, Reparaciones y Costas. </w:t>
      </w:r>
      <w:r w:rsidRPr="00ED3A26">
        <w:rPr>
          <w:rStyle w:val="Strong"/>
          <w:rFonts w:ascii="Verdana" w:hAnsi="Verdana"/>
          <w:b w:val="0"/>
          <w:color w:val="000000"/>
          <w:sz w:val="16"/>
          <w:szCs w:val="16"/>
          <w:shd w:val="clear" w:color="auto" w:fill="FFFFFF"/>
        </w:rPr>
        <w:t>Sentencia de 2</w:t>
      </w:r>
      <w:r w:rsidR="00637FA2">
        <w:rPr>
          <w:rStyle w:val="Strong"/>
          <w:rFonts w:ascii="Verdana" w:hAnsi="Verdana"/>
          <w:b w:val="0"/>
          <w:color w:val="000000"/>
          <w:sz w:val="16"/>
          <w:szCs w:val="16"/>
          <w:shd w:val="clear" w:color="auto" w:fill="FFFFFF"/>
        </w:rPr>
        <w:t>3</w:t>
      </w:r>
      <w:r w:rsidRPr="00ED3A26">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ED3A26">
        <w:rPr>
          <w:rStyle w:val="Strong"/>
          <w:rFonts w:ascii="Verdana" w:hAnsi="Verdana"/>
          <w:b w:val="0"/>
          <w:color w:val="000000"/>
          <w:sz w:val="16"/>
          <w:szCs w:val="16"/>
          <w:shd w:val="clear" w:color="auto" w:fill="FFFFFF"/>
        </w:rPr>
        <w:t xml:space="preserve">, párrs. </w:t>
      </w:r>
      <w:r w:rsidR="00450E23" w:rsidRPr="00ED3A26">
        <w:rPr>
          <w:rStyle w:val="Strong"/>
          <w:rFonts w:ascii="Verdana" w:hAnsi="Verdana"/>
          <w:b w:val="0"/>
          <w:color w:val="000000"/>
          <w:sz w:val="16"/>
          <w:szCs w:val="16"/>
          <w:shd w:val="clear" w:color="auto" w:fill="FFFFFF"/>
        </w:rPr>
        <w:t xml:space="preserve">108 </w:t>
      </w:r>
      <w:r w:rsidRPr="00ED3A26">
        <w:rPr>
          <w:rStyle w:val="Strong"/>
          <w:rFonts w:ascii="Verdana" w:hAnsi="Verdana"/>
          <w:b w:val="0"/>
          <w:color w:val="000000"/>
          <w:sz w:val="16"/>
          <w:szCs w:val="16"/>
          <w:shd w:val="clear" w:color="auto" w:fill="FFFFFF"/>
        </w:rPr>
        <w:t xml:space="preserve">a </w:t>
      </w:r>
      <w:r w:rsidR="00450E23" w:rsidRPr="00ED3A26">
        <w:rPr>
          <w:rStyle w:val="Strong"/>
          <w:rFonts w:ascii="Verdana" w:hAnsi="Verdana"/>
          <w:b w:val="0"/>
          <w:color w:val="000000"/>
          <w:sz w:val="16"/>
          <w:szCs w:val="16"/>
          <w:shd w:val="clear" w:color="auto" w:fill="FFFFFF"/>
        </w:rPr>
        <w:t>117</w:t>
      </w:r>
      <w:r w:rsidRPr="00ED3A26">
        <w:rPr>
          <w:rStyle w:val="Strong"/>
          <w:rFonts w:ascii="Verdana" w:hAnsi="Verdana"/>
          <w:b w:val="0"/>
          <w:color w:val="000000"/>
          <w:sz w:val="16"/>
          <w:szCs w:val="16"/>
          <w:shd w:val="clear" w:color="auto" w:fill="FFFFFF"/>
        </w:rPr>
        <w:t xml:space="preserve">. </w:t>
      </w:r>
    </w:p>
  </w:footnote>
  <w:footnote w:id="72">
    <w:p w14:paraId="69DA839C" w14:textId="7C947FAA" w:rsidR="00A74C00" w:rsidRPr="00E92A2C" w:rsidRDefault="00A74C00" w:rsidP="000C2783">
      <w:pPr>
        <w:pStyle w:val="FootnoteText"/>
        <w:spacing w:after="240"/>
        <w:jc w:val="both"/>
        <w:rPr>
          <w:rFonts w:ascii="Verdana" w:hAnsi="Verdana"/>
          <w:sz w:val="16"/>
          <w:szCs w:val="16"/>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rPr>
        <w:tab/>
      </w:r>
      <w:r w:rsidR="00E06183" w:rsidRPr="00ED3A26">
        <w:rPr>
          <w:rFonts w:ascii="Verdana" w:hAnsi="Verdana"/>
          <w:i/>
          <w:sz w:val="16"/>
          <w:szCs w:val="16"/>
        </w:rPr>
        <w:t xml:space="preserve">Cfr. </w:t>
      </w:r>
      <w:r w:rsidR="008259B1" w:rsidRPr="00ED3A26">
        <w:rPr>
          <w:rStyle w:val="Strong"/>
          <w:rFonts w:ascii="Verdana" w:hAnsi="Verdana"/>
          <w:b w:val="0"/>
          <w:i/>
          <w:color w:val="000000"/>
          <w:sz w:val="16"/>
          <w:szCs w:val="16"/>
          <w:shd w:val="clear" w:color="auto" w:fill="FFFFFF"/>
        </w:rPr>
        <w:t>Caso Acevedo Buendía y otros (“Cesantes y Jubilados de la Contraloría”) Vs. Perú. Excepción Preliminar, Fondo, Reparaciones y Costas</w:t>
      </w:r>
      <w:r w:rsidR="008259B1" w:rsidRPr="00ED3A26">
        <w:rPr>
          <w:rStyle w:val="Strong"/>
          <w:rFonts w:ascii="Verdana" w:hAnsi="Verdana"/>
          <w:b w:val="0"/>
          <w:color w:val="000000"/>
          <w:sz w:val="16"/>
          <w:szCs w:val="16"/>
          <w:shd w:val="clear" w:color="auto" w:fill="FFFFFF"/>
        </w:rPr>
        <w:t>. Sentencia de 1 de julio de 2009. Serie C No. 198</w:t>
      </w:r>
      <w:r w:rsidR="008259B1" w:rsidRPr="00ED3A26">
        <w:rPr>
          <w:rFonts w:ascii="Verdana" w:hAnsi="Verdana"/>
          <w:b/>
          <w:sz w:val="16"/>
          <w:szCs w:val="16"/>
        </w:rPr>
        <w:t>,</w:t>
      </w:r>
      <w:r w:rsidR="008259B1" w:rsidRPr="00ED3A26">
        <w:rPr>
          <w:rFonts w:ascii="Verdana" w:hAnsi="Verdana"/>
          <w:sz w:val="16"/>
          <w:szCs w:val="16"/>
        </w:rPr>
        <w:t xml:space="preserve"> párr. 102, y</w:t>
      </w:r>
      <w:r w:rsidRPr="00ED3A26">
        <w:rPr>
          <w:rFonts w:ascii="Verdana" w:hAnsi="Verdana"/>
          <w:i/>
          <w:sz w:val="16"/>
          <w:szCs w:val="16"/>
        </w:rPr>
        <w:t xml:space="preserve"> </w:t>
      </w:r>
      <w:r w:rsidRPr="00ED3A26">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ED3A26">
        <w:rPr>
          <w:rStyle w:val="Strong"/>
          <w:rFonts w:ascii="Verdana" w:hAnsi="Verdana"/>
          <w:b w:val="0"/>
          <w:i/>
          <w:color w:val="000000"/>
          <w:sz w:val="16"/>
          <w:szCs w:val="16"/>
          <w:shd w:val="clear" w:color="auto" w:fill="FFFFFF"/>
        </w:rPr>
        <w:t>, Fondo, Reparaciones y Costas.</w:t>
      </w:r>
      <w:r w:rsidR="00450E23" w:rsidRPr="00ED3A26">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ED3A26">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00637FA2">
        <w:rPr>
          <w:rStyle w:val="Strong"/>
          <w:rFonts w:ascii="Verdana" w:hAnsi="Verdana"/>
          <w:b w:val="0"/>
          <w:color w:val="000000"/>
          <w:sz w:val="16"/>
          <w:szCs w:val="16"/>
          <w:shd w:val="clear" w:color="auto" w:fill="FFFFFF"/>
        </w:rPr>
        <w:t>, párr. 139</w:t>
      </w:r>
      <w:r w:rsidRPr="00ED3A26">
        <w:rPr>
          <w:rStyle w:val="Strong"/>
          <w:rFonts w:ascii="Verdana" w:hAnsi="Verdana"/>
          <w:b w:val="0"/>
          <w:color w:val="000000"/>
          <w:sz w:val="16"/>
          <w:szCs w:val="16"/>
          <w:shd w:val="clear" w:color="auto" w:fill="FFFFFF"/>
        </w:rPr>
        <w:t>.</w:t>
      </w:r>
      <w:r w:rsidR="008259B1" w:rsidRPr="008259B1">
        <w:rPr>
          <w:rStyle w:val="Strong"/>
          <w:rFonts w:ascii="Verdana" w:hAnsi="Verdana"/>
          <w:b w:val="0"/>
          <w:i/>
          <w:color w:val="000000"/>
          <w:sz w:val="16"/>
          <w:szCs w:val="16"/>
          <w:shd w:val="clear" w:color="auto" w:fill="FFFFFF"/>
        </w:rPr>
        <w:t xml:space="preserve"> </w:t>
      </w:r>
    </w:p>
  </w:footnote>
  <w:footnote w:id="73">
    <w:p w14:paraId="401C7EE8" w14:textId="0480F66E" w:rsidR="00E06183" w:rsidRPr="00B6213F" w:rsidRDefault="00A74C00" w:rsidP="000C2783">
      <w:pPr>
        <w:pStyle w:val="FootnoteText"/>
        <w:spacing w:after="240"/>
        <w:jc w:val="both"/>
        <w:rPr>
          <w:rFonts w:ascii="Verdana" w:hAnsi="Verdana"/>
          <w:bCs/>
          <w:i/>
          <w:color w:val="000000"/>
          <w:sz w:val="16"/>
          <w:szCs w:val="16"/>
          <w:shd w:val="clear" w:color="auto" w:fill="FFFFFF"/>
        </w:rPr>
      </w:pPr>
      <w:r w:rsidRPr="00760727">
        <w:rPr>
          <w:rStyle w:val="FootnoteReference"/>
          <w:rFonts w:ascii="Verdana" w:hAnsi="Verdana"/>
          <w:sz w:val="16"/>
          <w:szCs w:val="16"/>
        </w:rPr>
        <w:footnoteRef/>
      </w:r>
      <w:r w:rsidRPr="00760727">
        <w:rPr>
          <w:rFonts w:ascii="Verdana" w:hAnsi="Verdana"/>
          <w:sz w:val="16"/>
          <w:szCs w:val="16"/>
        </w:rPr>
        <w:t xml:space="preserve"> </w:t>
      </w:r>
      <w:r w:rsidRPr="00760727">
        <w:rPr>
          <w:rFonts w:ascii="Verdana" w:hAnsi="Verdana"/>
          <w:sz w:val="16"/>
          <w:szCs w:val="16"/>
        </w:rPr>
        <w:tab/>
      </w:r>
      <w:r w:rsidRPr="00246D5D">
        <w:rPr>
          <w:rFonts w:ascii="Verdana" w:hAnsi="Verdana"/>
          <w:i/>
          <w:sz w:val="16"/>
          <w:szCs w:val="16"/>
        </w:rPr>
        <w:t xml:space="preserve">Cfr. </w:t>
      </w:r>
      <w:r w:rsidRPr="00246D5D">
        <w:rPr>
          <w:rStyle w:val="Strong"/>
          <w:rFonts w:ascii="Verdana" w:hAnsi="Verdana"/>
          <w:b w:val="0"/>
          <w:i/>
          <w:color w:val="000000"/>
          <w:sz w:val="16"/>
          <w:szCs w:val="16"/>
          <w:shd w:val="clear" w:color="auto" w:fill="FFFFFF"/>
        </w:rPr>
        <w:t>Caso Cuscul Pivaral y otros Vs. Guatemala</w:t>
      </w:r>
      <w:r w:rsidRPr="00B6213F">
        <w:rPr>
          <w:rStyle w:val="Strong"/>
          <w:rFonts w:ascii="Verdana" w:hAnsi="Verdana"/>
          <w:b w:val="0"/>
          <w:i/>
          <w:color w:val="000000"/>
          <w:sz w:val="16"/>
          <w:szCs w:val="16"/>
          <w:shd w:val="clear" w:color="auto" w:fill="FFFFFF"/>
        </w:rPr>
        <w:t xml:space="preserve">. </w:t>
      </w:r>
      <w:r w:rsidR="003E12C7">
        <w:rPr>
          <w:rStyle w:val="Strong"/>
          <w:rFonts w:ascii="Verdana" w:hAnsi="Verdana"/>
          <w:b w:val="0"/>
          <w:i/>
          <w:color w:val="000000"/>
          <w:sz w:val="16"/>
          <w:szCs w:val="16"/>
          <w:shd w:val="clear" w:color="auto" w:fill="FFFFFF"/>
        </w:rPr>
        <w:t>Excepción Preliminar</w:t>
      </w:r>
      <w:r w:rsidRPr="00B6213F">
        <w:rPr>
          <w:rStyle w:val="Strong"/>
          <w:rFonts w:ascii="Verdana" w:hAnsi="Verdana"/>
          <w:b w:val="0"/>
          <w:i/>
          <w:color w:val="000000"/>
          <w:sz w:val="16"/>
          <w:szCs w:val="16"/>
          <w:shd w:val="clear" w:color="auto" w:fill="FFFFFF"/>
        </w:rPr>
        <w:t>, Fondo, Reparaciones y Costas.</w:t>
      </w:r>
      <w:r w:rsidR="00450E23">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Style w:val="Strong"/>
          <w:rFonts w:ascii="Verdana" w:hAnsi="Verdana"/>
          <w:b w:val="0"/>
          <w:color w:val="000000"/>
          <w:sz w:val="16"/>
          <w:szCs w:val="16"/>
          <w:shd w:val="clear" w:color="auto" w:fill="FFFFFF"/>
        </w:rPr>
        <w:t xml:space="preserve">, párr. </w:t>
      </w:r>
      <w:r w:rsidR="007120B2">
        <w:rPr>
          <w:rStyle w:val="Strong"/>
          <w:rFonts w:ascii="Verdana" w:hAnsi="Verdana"/>
          <w:b w:val="0"/>
          <w:color w:val="000000"/>
          <w:sz w:val="16"/>
          <w:szCs w:val="16"/>
          <w:shd w:val="clear" w:color="auto" w:fill="FFFFFF"/>
        </w:rPr>
        <w:t>137</w:t>
      </w:r>
      <w:r w:rsidRPr="00B6213F">
        <w:rPr>
          <w:rStyle w:val="Strong"/>
          <w:rFonts w:ascii="Verdana" w:hAnsi="Verdana"/>
          <w:b w:val="0"/>
          <w:color w:val="000000"/>
          <w:sz w:val="16"/>
          <w:szCs w:val="16"/>
          <w:shd w:val="clear" w:color="auto" w:fill="FFFFFF"/>
        </w:rPr>
        <w:t>.</w:t>
      </w:r>
    </w:p>
  </w:footnote>
  <w:footnote w:id="74">
    <w:p w14:paraId="203D676B" w14:textId="22165C98" w:rsidR="00E06183" w:rsidRPr="00B6213F" w:rsidRDefault="00A74C00" w:rsidP="000C2783">
      <w:pPr>
        <w:pStyle w:val="FootnoteText"/>
        <w:spacing w:after="240"/>
        <w:jc w:val="both"/>
        <w:rPr>
          <w:rFonts w:ascii="Verdana" w:hAnsi="Verdana"/>
          <w:i/>
          <w:sz w:val="16"/>
          <w:szCs w:val="16"/>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 xml:space="preserve">Cfr. </w:t>
      </w:r>
      <w:r w:rsidRPr="00B6213F">
        <w:rPr>
          <w:rStyle w:val="Strong"/>
          <w:rFonts w:ascii="Verdana" w:hAnsi="Verdana"/>
          <w:b w:val="0"/>
          <w:i/>
          <w:color w:val="000000"/>
          <w:sz w:val="16"/>
          <w:szCs w:val="16"/>
          <w:shd w:val="clear" w:color="auto" w:fill="FFFFFF"/>
        </w:rPr>
        <w:t xml:space="preserve">Caso Cuscul Pivaral y </w:t>
      </w:r>
      <w:r w:rsidR="003E12C7">
        <w:rPr>
          <w:rStyle w:val="Strong"/>
          <w:rFonts w:ascii="Verdana" w:hAnsi="Verdana"/>
          <w:b w:val="0"/>
          <w:i/>
          <w:color w:val="000000"/>
          <w:sz w:val="16"/>
          <w:szCs w:val="16"/>
          <w:shd w:val="clear" w:color="auto" w:fill="FFFFFF"/>
        </w:rPr>
        <w:t>otros Vs. Guatemala. Excepción Preliminar</w:t>
      </w:r>
      <w:r w:rsidRPr="00B6213F">
        <w:rPr>
          <w:rStyle w:val="Strong"/>
          <w:rFonts w:ascii="Verdana" w:hAnsi="Verdana"/>
          <w:b w:val="0"/>
          <w:i/>
          <w:color w:val="000000"/>
          <w:sz w:val="16"/>
          <w:szCs w:val="16"/>
          <w:shd w:val="clear" w:color="auto" w:fill="FFFFFF"/>
        </w:rPr>
        <w:t>, Fondo, Reparaciones y Costas.</w:t>
      </w:r>
      <w:r w:rsidR="003E12C7">
        <w:rPr>
          <w:rStyle w:val="Strong"/>
          <w:rFonts w:ascii="Verdana" w:hAnsi="Verdana"/>
          <w:b w:val="0"/>
          <w:i/>
          <w:color w:val="000000"/>
          <w:sz w:val="16"/>
          <w:szCs w:val="16"/>
          <w:shd w:val="clear" w:color="auto" w:fill="FFFFFF"/>
        </w:rPr>
        <w:t xml:space="preserve"> </w:t>
      </w:r>
      <w:r w:rsidR="00637FA2">
        <w:rPr>
          <w:rStyle w:val="Strong"/>
          <w:rFonts w:ascii="Verdana" w:hAnsi="Verdana"/>
          <w:b w:val="0"/>
          <w:color w:val="000000"/>
          <w:sz w:val="16"/>
          <w:szCs w:val="16"/>
          <w:shd w:val="clear" w:color="auto" w:fill="FFFFFF"/>
        </w:rPr>
        <w:t>Sentencia de 23</w:t>
      </w:r>
      <w:r w:rsidRPr="00B6213F">
        <w:rPr>
          <w:rStyle w:val="Strong"/>
          <w:rFonts w:ascii="Verdana" w:hAnsi="Verdana"/>
          <w:b w:val="0"/>
          <w:color w:val="000000"/>
          <w:sz w:val="16"/>
          <w:szCs w:val="16"/>
          <w:shd w:val="clear" w:color="auto" w:fill="FFFFFF"/>
        </w:rPr>
        <w:t xml:space="preserve"> de agosto de 2018. Serie C No. </w:t>
      </w:r>
      <w:r w:rsidR="001977A4">
        <w:rPr>
          <w:rStyle w:val="Strong"/>
          <w:rFonts w:ascii="Verdana" w:hAnsi="Verdana"/>
          <w:b w:val="0"/>
          <w:color w:val="000000"/>
          <w:sz w:val="16"/>
          <w:szCs w:val="16"/>
          <w:shd w:val="clear" w:color="auto" w:fill="FFFFFF"/>
        </w:rPr>
        <w:t>359</w:t>
      </w:r>
      <w:r w:rsidRPr="00B6213F">
        <w:rPr>
          <w:rStyle w:val="Strong"/>
          <w:rFonts w:ascii="Verdana" w:hAnsi="Verdana"/>
          <w:b w:val="0"/>
          <w:color w:val="000000"/>
          <w:sz w:val="16"/>
          <w:szCs w:val="16"/>
          <w:shd w:val="clear" w:color="auto" w:fill="FFFFFF"/>
        </w:rPr>
        <w:t xml:space="preserve">, párr. </w:t>
      </w:r>
      <w:r w:rsidR="007120B2">
        <w:rPr>
          <w:rStyle w:val="Strong"/>
          <w:rFonts w:ascii="Verdana" w:hAnsi="Verdana"/>
          <w:b w:val="0"/>
          <w:color w:val="000000"/>
          <w:sz w:val="16"/>
          <w:szCs w:val="16"/>
          <w:shd w:val="clear" w:color="auto" w:fill="FFFFFF"/>
        </w:rPr>
        <w:t>138</w:t>
      </w:r>
      <w:r w:rsidRPr="00B6213F">
        <w:rPr>
          <w:rStyle w:val="Strong"/>
          <w:rFonts w:ascii="Verdana" w:hAnsi="Verdana"/>
          <w:b w:val="0"/>
          <w:color w:val="000000"/>
          <w:sz w:val="16"/>
          <w:szCs w:val="16"/>
          <w:shd w:val="clear" w:color="auto" w:fill="FFFFFF"/>
        </w:rPr>
        <w:t>.</w:t>
      </w:r>
    </w:p>
  </w:footnote>
  <w:footnote w:id="75">
    <w:p w14:paraId="6EB5453E" w14:textId="4EEAFFA5" w:rsidR="00E06183" w:rsidRPr="00B6213F" w:rsidRDefault="00A74C00" w:rsidP="000C2783">
      <w:pPr>
        <w:pStyle w:val="FootnoteText"/>
        <w:spacing w:after="240"/>
        <w:jc w:val="both"/>
        <w:rPr>
          <w:rFonts w:ascii="Verdana" w:hAnsi="Verdana"/>
          <w:b/>
          <w:sz w:val="16"/>
          <w:szCs w:val="16"/>
          <w:lang w:val="es-ES"/>
        </w:rPr>
      </w:pPr>
      <w:r w:rsidRPr="00B6213F">
        <w:rPr>
          <w:rStyle w:val="FootnoteReference"/>
          <w:rFonts w:ascii="Verdana" w:hAnsi="Verdana"/>
          <w:sz w:val="16"/>
          <w:szCs w:val="16"/>
        </w:rPr>
        <w:footnoteRef/>
      </w:r>
      <w:r w:rsidRPr="00B6213F">
        <w:rPr>
          <w:rFonts w:ascii="Verdana" w:hAnsi="Verdana"/>
          <w:b/>
          <w:sz w:val="16"/>
          <w:szCs w:val="16"/>
        </w:rPr>
        <w:t xml:space="preserve"> </w:t>
      </w:r>
      <w:r w:rsidRPr="00B6213F">
        <w:rPr>
          <w:rFonts w:ascii="Verdana" w:hAnsi="Verdana"/>
          <w:b/>
          <w:sz w:val="16"/>
          <w:szCs w:val="16"/>
        </w:rPr>
        <w:tab/>
      </w:r>
      <w:r w:rsidRPr="00B6213F">
        <w:rPr>
          <w:rFonts w:ascii="Verdana" w:hAnsi="Verdana"/>
          <w:i/>
          <w:sz w:val="16"/>
          <w:szCs w:val="16"/>
        </w:rPr>
        <w:t>Cfr.</w:t>
      </w:r>
      <w:r w:rsidRPr="00B6213F">
        <w:rPr>
          <w:rFonts w:ascii="Verdana" w:hAnsi="Verdana"/>
          <w:b/>
          <w:i/>
          <w:sz w:val="16"/>
          <w:szCs w:val="16"/>
        </w:rPr>
        <w:t xml:space="preserve"> </w:t>
      </w:r>
      <w:r w:rsidRPr="00B6213F">
        <w:rPr>
          <w:rStyle w:val="Strong"/>
          <w:rFonts w:ascii="Verdana" w:hAnsi="Verdana"/>
          <w:b w:val="0"/>
          <w:i/>
          <w:color w:val="000000"/>
          <w:sz w:val="16"/>
          <w:szCs w:val="16"/>
          <w:shd w:val="clear" w:color="auto" w:fill="FFFFFF"/>
        </w:rPr>
        <w:t>Caso Gonzales Lluy y otros Vs. Ecuador. Excepciones Preliminares, Fondo, Reparaciones y Costas.</w:t>
      </w:r>
      <w:r w:rsidRPr="00B6213F">
        <w:rPr>
          <w:rStyle w:val="Strong"/>
          <w:rFonts w:ascii="Verdana" w:hAnsi="Verdana"/>
          <w:b w:val="0"/>
          <w:color w:val="000000"/>
          <w:sz w:val="16"/>
          <w:szCs w:val="16"/>
          <w:shd w:val="clear" w:color="auto" w:fill="FFFFFF"/>
        </w:rPr>
        <w:t xml:space="preserve"> Sentencia de 1 de septiembre de 2015. Serie C No. 298, p</w:t>
      </w:r>
      <w:r w:rsidRPr="00B6213F">
        <w:rPr>
          <w:rFonts w:ascii="Verdana" w:hAnsi="Verdana"/>
          <w:sz w:val="16"/>
          <w:szCs w:val="16"/>
          <w:lang w:val="es-ES"/>
        </w:rPr>
        <w:t>árr. 291.</w:t>
      </w:r>
    </w:p>
  </w:footnote>
  <w:footnote w:id="76">
    <w:p w14:paraId="3B2E3F67" w14:textId="285E4146" w:rsidR="00E06183" w:rsidRPr="00B6213F" w:rsidRDefault="00A74C00" w:rsidP="000C2783">
      <w:pPr>
        <w:pStyle w:val="FootnoteText"/>
        <w:spacing w:after="240"/>
        <w:jc w:val="both"/>
        <w:rPr>
          <w:rFonts w:ascii="Verdana" w:hAnsi="Verdana"/>
          <w:sz w:val="16"/>
          <w:szCs w:val="16"/>
          <w:lang w:val="es-ES"/>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rPr>
        <w:tab/>
      </w:r>
      <w:r w:rsidRPr="00B6213F">
        <w:rPr>
          <w:rFonts w:ascii="Verdana" w:hAnsi="Verdana"/>
          <w:i/>
          <w:sz w:val="16"/>
          <w:szCs w:val="16"/>
        </w:rPr>
        <w:t>Cfr.</w:t>
      </w:r>
      <w:r w:rsidRPr="00B6213F">
        <w:rPr>
          <w:rFonts w:ascii="Verdana" w:hAnsi="Verdana"/>
          <w:b/>
          <w:i/>
          <w:sz w:val="16"/>
          <w:szCs w:val="16"/>
        </w:rPr>
        <w:t xml:space="preserve"> </w:t>
      </w:r>
      <w:r w:rsidRPr="00B6213F">
        <w:rPr>
          <w:rStyle w:val="Strong"/>
          <w:rFonts w:ascii="Verdana" w:hAnsi="Verdana"/>
          <w:b w:val="0"/>
          <w:i/>
          <w:color w:val="000000"/>
          <w:sz w:val="16"/>
          <w:szCs w:val="16"/>
          <w:shd w:val="clear" w:color="auto" w:fill="FFFFFF"/>
        </w:rPr>
        <w:t>Caso Gonzales Lluy y otros Vs. Ecuador. Excepciones Preliminares, Fondo, Reparaciones y Costas.</w:t>
      </w:r>
      <w:r w:rsidRPr="00B6213F">
        <w:rPr>
          <w:rStyle w:val="Strong"/>
          <w:rFonts w:ascii="Verdana" w:hAnsi="Verdana"/>
          <w:b w:val="0"/>
          <w:color w:val="000000"/>
          <w:sz w:val="16"/>
          <w:szCs w:val="16"/>
          <w:shd w:val="clear" w:color="auto" w:fill="FFFFFF"/>
        </w:rPr>
        <w:t xml:space="preserve"> Sentencia de 1 de septiembre de 2015. Serie C No. 298, </w:t>
      </w:r>
      <w:r w:rsidRPr="00B6213F">
        <w:rPr>
          <w:rFonts w:ascii="Verdana" w:hAnsi="Verdana"/>
          <w:sz w:val="16"/>
          <w:szCs w:val="16"/>
          <w:lang w:val="es-ES"/>
        </w:rPr>
        <w:t>párr. 285.</w:t>
      </w:r>
    </w:p>
  </w:footnote>
  <w:footnote w:id="77">
    <w:p w14:paraId="78433133" w14:textId="42FAD639" w:rsidR="00E06183" w:rsidRPr="00351E9F" w:rsidRDefault="00A74C00" w:rsidP="000C2783">
      <w:pPr>
        <w:pStyle w:val="FootnoteText"/>
        <w:spacing w:after="240"/>
        <w:jc w:val="both"/>
        <w:rPr>
          <w:rFonts w:ascii="Verdana" w:hAnsi="Verdana"/>
          <w:sz w:val="16"/>
          <w:szCs w:val="16"/>
          <w:lang w:val="es-ES"/>
        </w:rPr>
      </w:pPr>
      <w:r w:rsidRPr="00351E9F">
        <w:rPr>
          <w:rStyle w:val="FootnoteReference"/>
          <w:rFonts w:ascii="Verdana" w:hAnsi="Verdana"/>
          <w:sz w:val="16"/>
          <w:szCs w:val="16"/>
        </w:rPr>
        <w:footnoteRef/>
      </w:r>
      <w:r w:rsidRPr="00351E9F">
        <w:rPr>
          <w:rFonts w:ascii="Verdana" w:hAnsi="Verdana"/>
          <w:sz w:val="16"/>
          <w:szCs w:val="16"/>
        </w:rPr>
        <w:t xml:space="preserve"> </w:t>
      </w:r>
      <w:r w:rsidRPr="00351E9F">
        <w:rPr>
          <w:rFonts w:ascii="Verdana" w:hAnsi="Verdana"/>
          <w:sz w:val="16"/>
          <w:szCs w:val="16"/>
        </w:rPr>
        <w:tab/>
      </w:r>
      <w:r w:rsidRPr="00351E9F">
        <w:rPr>
          <w:rFonts w:ascii="Verdana" w:hAnsi="Verdana"/>
          <w:i/>
          <w:sz w:val="16"/>
          <w:szCs w:val="16"/>
        </w:rPr>
        <w:t>Cfr.</w:t>
      </w:r>
      <w:r w:rsidRPr="00351E9F">
        <w:rPr>
          <w:rFonts w:ascii="Verdana" w:hAnsi="Verdana"/>
          <w:b/>
          <w:i/>
          <w:sz w:val="16"/>
          <w:szCs w:val="16"/>
        </w:rPr>
        <w:t xml:space="preserve"> </w:t>
      </w:r>
      <w:r w:rsidRPr="00351E9F">
        <w:rPr>
          <w:rStyle w:val="Strong"/>
          <w:rFonts w:ascii="Verdana" w:hAnsi="Verdana"/>
          <w:b w:val="0"/>
          <w:i/>
          <w:color w:val="000000"/>
          <w:sz w:val="16"/>
          <w:szCs w:val="16"/>
          <w:shd w:val="clear" w:color="auto" w:fill="FFFFFF"/>
        </w:rPr>
        <w:t>Caso Gonzales Lluy y otros Vs. Ecuador. Excepciones Preliminares, Fondo, Reparaciones y Costas.</w:t>
      </w:r>
      <w:r w:rsidRPr="00351E9F">
        <w:rPr>
          <w:rStyle w:val="Strong"/>
          <w:rFonts w:ascii="Verdana" w:hAnsi="Verdana"/>
          <w:b w:val="0"/>
          <w:color w:val="000000"/>
          <w:sz w:val="16"/>
          <w:szCs w:val="16"/>
          <w:shd w:val="clear" w:color="auto" w:fill="FFFFFF"/>
        </w:rPr>
        <w:t xml:space="preserve"> Sentencia de 1 de septiembre de 2015. Serie C No. 298, </w:t>
      </w:r>
      <w:r w:rsidRPr="00351E9F">
        <w:rPr>
          <w:rFonts w:ascii="Verdana" w:hAnsi="Verdana"/>
          <w:sz w:val="16"/>
          <w:szCs w:val="16"/>
          <w:lang w:val="es-ES"/>
        </w:rPr>
        <w:t>párr. 288.</w:t>
      </w:r>
    </w:p>
  </w:footnote>
  <w:footnote w:id="78">
    <w:p w14:paraId="44C3691D" w14:textId="2BF92099" w:rsidR="00E06183" w:rsidRPr="00351E9F" w:rsidRDefault="00A74C00" w:rsidP="000C2783">
      <w:pPr>
        <w:pStyle w:val="FootnoteText"/>
        <w:spacing w:after="240"/>
        <w:jc w:val="both"/>
        <w:rPr>
          <w:rFonts w:ascii="Verdana" w:hAnsi="Verdana"/>
          <w:sz w:val="16"/>
          <w:szCs w:val="16"/>
          <w:lang w:val="es-ES"/>
        </w:rPr>
      </w:pPr>
      <w:r w:rsidRPr="00351E9F">
        <w:rPr>
          <w:rStyle w:val="FootnoteReference"/>
          <w:rFonts w:ascii="Verdana" w:hAnsi="Verdana"/>
          <w:sz w:val="16"/>
          <w:szCs w:val="16"/>
        </w:rPr>
        <w:footnoteRef/>
      </w:r>
      <w:r w:rsidRPr="00351E9F">
        <w:rPr>
          <w:rFonts w:ascii="Verdana" w:hAnsi="Verdana"/>
          <w:sz w:val="16"/>
          <w:szCs w:val="16"/>
        </w:rPr>
        <w:t xml:space="preserve"> </w:t>
      </w:r>
      <w:r w:rsidRPr="00351E9F">
        <w:rPr>
          <w:rFonts w:ascii="Verdana" w:hAnsi="Verdana"/>
          <w:sz w:val="16"/>
          <w:szCs w:val="16"/>
          <w:lang w:val="es-ES"/>
        </w:rPr>
        <w:tab/>
      </w:r>
      <w:r w:rsidRPr="00351E9F">
        <w:rPr>
          <w:rFonts w:ascii="Verdana" w:hAnsi="Verdana"/>
          <w:i/>
          <w:sz w:val="16"/>
          <w:szCs w:val="16"/>
        </w:rPr>
        <w:t>Cfr.</w:t>
      </w:r>
      <w:r w:rsidRPr="00351E9F">
        <w:rPr>
          <w:rFonts w:ascii="Verdana" w:hAnsi="Verdana"/>
          <w:b/>
          <w:i/>
          <w:sz w:val="16"/>
          <w:szCs w:val="16"/>
        </w:rPr>
        <w:t xml:space="preserve"> </w:t>
      </w:r>
      <w:r w:rsidRPr="00351E9F">
        <w:rPr>
          <w:rStyle w:val="Strong"/>
          <w:rFonts w:ascii="Verdana" w:hAnsi="Verdana"/>
          <w:b w:val="0"/>
          <w:i/>
          <w:color w:val="000000"/>
          <w:sz w:val="16"/>
          <w:szCs w:val="16"/>
          <w:shd w:val="clear" w:color="auto" w:fill="FFFFFF"/>
        </w:rPr>
        <w:t>Caso Gonzales Lluy y otros Vs. Ecuador. Excepciones Preliminares, Fondo, Reparaciones y Costas.</w:t>
      </w:r>
      <w:r w:rsidRPr="00351E9F">
        <w:rPr>
          <w:rStyle w:val="Strong"/>
          <w:rFonts w:ascii="Verdana" w:hAnsi="Verdana"/>
          <w:b w:val="0"/>
          <w:color w:val="000000"/>
          <w:sz w:val="16"/>
          <w:szCs w:val="16"/>
          <w:shd w:val="clear" w:color="auto" w:fill="FFFFFF"/>
        </w:rPr>
        <w:t xml:space="preserve"> Sentencia de 1 de septiembre de 2015. Serie C No. 298, </w:t>
      </w:r>
      <w:r w:rsidRPr="00351E9F">
        <w:rPr>
          <w:rFonts w:ascii="Verdana" w:hAnsi="Verdana"/>
          <w:sz w:val="16"/>
          <w:szCs w:val="16"/>
          <w:lang w:val="es-ES"/>
        </w:rPr>
        <w:t>párr. 290.</w:t>
      </w:r>
    </w:p>
  </w:footnote>
  <w:footnote w:id="79">
    <w:p w14:paraId="5A19CC21" w14:textId="0F6469E6" w:rsidR="00A74C00" w:rsidRPr="00DD1072" w:rsidRDefault="00A74C00" w:rsidP="000C2783">
      <w:pPr>
        <w:pStyle w:val="FootnoteText"/>
        <w:spacing w:after="240"/>
        <w:jc w:val="both"/>
        <w:rPr>
          <w:rFonts w:ascii="Verdana" w:hAnsi="Verdana"/>
          <w:sz w:val="16"/>
          <w:szCs w:val="16"/>
        </w:rPr>
      </w:pPr>
      <w:r w:rsidRPr="00DD1072">
        <w:rPr>
          <w:rStyle w:val="FootnoteReference"/>
          <w:rFonts w:ascii="Verdana" w:hAnsi="Verdana"/>
          <w:sz w:val="16"/>
          <w:szCs w:val="16"/>
        </w:rPr>
        <w:footnoteRef/>
      </w:r>
      <w:r w:rsidRPr="00DD1072">
        <w:rPr>
          <w:rFonts w:ascii="Verdana" w:hAnsi="Verdana"/>
          <w:sz w:val="16"/>
          <w:szCs w:val="16"/>
        </w:rPr>
        <w:t xml:space="preserve"> </w:t>
      </w:r>
      <w:r w:rsidRPr="00DD1072">
        <w:rPr>
          <w:rFonts w:ascii="Verdana" w:hAnsi="Verdana"/>
          <w:sz w:val="16"/>
          <w:szCs w:val="16"/>
        </w:rPr>
        <w:tab/>
      </w:r>
      <w:r w:rsidRPr="00DD1072">
        <w:rPr>
          <w:rFonts w:ascii="Verdana" w:hAnsi="Verdana"/>
          <w:i/>
          <w:sz w:val="16"/>
          <w:szCs w:val="16"/>
        </w:rPr>
        <w:t>Cfr.</w:t>
      </w:r>
      <w:r>
        <w:rPr>
          <w:rFonts w:ascii="Verdana" w:hAnsi="Verdana"/>
          <w:sz w:val="16"/>
          <w:szCs w:val="16"/>
        </w:rPr>
        <w:t xml:space="preserve"> </w:t>
      </w:r>
      <w:r w:rsidRPr="00DD1072">
        <w:rPr>
          <w:rStyle w:val="Strong"/>
          <w:rFonts w:ascii="Verdana" w:hAnsi="Verdana"/>
          <w:b w:val="0"/>
          <w:i/>
          <w:color w:val="000000"/>
          <w:sz w:val="16"/>
          <w:szCs w:val="16"/>
          <w:shd w:val="clear" w:color="auto" w:fill="FFFFFF"/>
        </w:rPr>
        <w:t>Caso I.V. Vs. Bolivia. Excepciones Preliminares, Fondo, Reparaciones y Costas</w:t>
      </w:r>
      <w:r w:rsidRPr="00DD1072">
        <w:rPr>
          <w:rStyle w:val="Strong"/>
          <w:rFonts w:ascii="Verdana" w:hAnsi="Verdana"/>
          <w:b w:val="0"/>
          <w:color w:val="000000"/>
          <w:sz w:val="16"/>
          <w:szCs w:val="16"/>
          <w:shd w:val="clear" w:color="auto" w:fill="FFFFFF"/>
        </w:rPr>
        <w:t xml:space="preserve">. Sentencia de 30 de noviembre de 2016. Serie C No. 329, párr. 318. </w:t>
      </w:r>
    </w:p>
  </w:footnote>
  <w:footnote w:id="80">
    <w:p w14:paraId="0D41B50F" w14:textId="1A3F47A4" w:rsidR="00A74C00" w:rsidRPr="00277C7B" w:rsidRDefault="00A74C00" w:rsidP="000C2783">
      <w:pPr>
        <w:pStyle w:val="FootnoteText"/>
        <w:spacing w:after="240"/>
        <w:jc w:val="both"/>
        <w:rPr>
          <w:rFonts w:ascii="Verdana" w:hAnsi="Verdana"/>
          <w:sz w:val="16"/>
          <w:szCs w:val="16"/>
          <w:lang w:val="es-ES"/>
        </w:rPr>
      </w:pPr>
      <w:r w:rsidRPr="00351E9F">
        <w:rPr>
          <w:rStyle w:val="FootnoteReference"/>
          <w:rFonts w:ascii="Verdana" w:hAnsi="Verdana"/>
          <w:sz w:val="16"/>
          <w:szCs w:val="16"/>
        </w:rPr>
        <w:footnoteRef/>
      </w:r>
      <w:r w:rsidRPr="00351E9F">
        <w:rPr>
          <w:rFonts w:ascii="Verdana" w:hAnsi="Verdana"/>
          <w:sz w:val="16"/>
          <w:szCs w:val="16"/>
        </w:rPr>
        <w:t xml:space="preserve"> </w:t>
      </w:r>
      <w:r w:rsidRPr="00351E9F">
        <w:rPr>
          <w:rFonts w:ascii="Verdana" w:hAnsi="Verdana"/>
          <w:sz w:val="16"/>
          <w:szCs w:val="16"/>
        </w:rPr>
        <w:tab/>
      </w:r>
      <w:r w:rsidRPr="00277C7B">
        <w:rPr>
          <w:rFonts w:ascii="Verdana" w:hAnsi="Verdana"/>
          <w:i/>
          <w:sz w:val="16"/>
          <w:szCs w:val="16"/>
        </w:rPr>
        <w:t xml:space="preserve">Cfr. </w:t>
      </w:r>
      <w:r w:rsidRPr="00277C7B">
        <w:rPr>
          <w:rStyle w:val="Strong"/>
          <w:rFonts w:ascii="Verdana" w:hAnsi="Verdana"/>
          <w:b w:val="0"/>
          <w:i/>
          <w:color w:val="000000"/>
          <w:sz w:val="16"/>
          <w:szCs w:val="16"/>
          <w:shd w:val="clear" w:color="auto" w:fill="FFFFFF"/>
        </w:rPr>
        <w:t>Caso Ramírez Escobar y otros Vs. Guatemala. Fondo, Reparaciones y Costas.</w:t>
      </w:r>
      <w:r w:rsidRPr="00277C7B">
        <w:rPr>
          <w:rStyle w:val="Strong"/>
          <w:rFonts w:ascii="Verdana" w:hAnsi="Verdana"/>
          <w:b w:val="0"/>
          <w:color w:val="000000"/>
          <w:sz w:val="16"/>
          <w:szCs w:val="16"/>
          <w:shd w:val="clear" w:color="auto" w:fill="FFFFFF"/>
        </w:rPr>
        <w:t xml:space="preserve"> Sentencia de 9 de marzo de 2018. Serie C No. 351, </w:t>
      </w:r>
      <w:r w:rsidRPr="00277C7B">
        <w:rPr>
          <w:rFonts w:ascii="Verdana" w:hAnsi="Verdana"/>
          <w:sz w:val="16"/>
          <w:szCs w:val="16"/>
          <w:lang w:val="es-ES"/>
        </w:rPr>
        <w:t>párr. 276.</w:t>
      </w:r>
    </w:p>
  </w:footnote>
  <w:footnote w:id="81">
    <w:p w14:paraId="1A6871AF" w14:textId="08AC2311" w:rsidR="00A74C00" w:rsidRPr="00DD1072" w:rsidRDefault="00A74C00" w:rsidP="000C2783">
      <w:pPr>
        <w:pStyle w:val="FootnoteText"/>
        <w:spacing w:after="240"/>
        <w:jc w:val="both"/>
        <w:rPr>
          <w:rFonts w:ascii="Verdana" w:hAnsi="Verdana"/>
          <w:sz w:val="16"/>
          <w:szCs w:val="16"/>
        </w:rPr>
      </w:pPr>
      <w:r w:rsidRPr="00DD1072">
        <w:rPr>
          <w:rStyle w:val="FootnoteReference"/>
          <w:rFonts w:ascii="Verdana" w:hAnsi="Verdana"/>
          <w:sz w:val="16"/>
          <w:szCs w:val="16"/>
        </w:rPr>
        <w:footnoteRef/>
      </w:r>
      <w:r w:rsidRPr="00DD1072">
        <w:rPr>
          <w:rFonts w:ascii="Verdana" w:hAnsi="Verdana"/>
          <w:sz w:val="16"/>
          <w:szCs w:val="16"/>
        </w:rPr>
        <w:t xml:space="preserve"> </w:t>
      </w:r>
      <w:r w:rsidRPr="00DD1072">
        <w:rPr>
          <w:rFonts w:ascii="Verdana" w:hAnsi="Verdana"/>
          <w:sz w:val="16"/>
          <w:szCs w:val="16"/>
        </w:rPr>
        <w:tab/>
      </w:r>
      <w:r w:rsidRPr="00DD1072">
        <w:rPr>
          <w:rFonts w:ascii="Verdana" w:hAnsi="Verdana"/>
          <w:i/>
          <w:sz w:val="16"/>
          <w:szCs w:val="16"/>
        </w:rPr>
        <w:t xml:space="preserve">Cfr. </w:t>
      </w:r>
      <w:r w:rsidRPr="00DD1072">
        <w:rPr>
          <w:rStyle w:val="Strong"/>
          <w:rFonts w:ascii="Verdana" w:hAnsi="Verdana"/>
          <w:b w:val="0"/>
          <w:i/>
          <w:color w:val="000000"/>
          <w:sz w:val="16"/>
          <w:szCs w:val="16"/>
          <w:shd w:val="clear" w:color="auto" w:fill="FFFFFF"/>
        </w:rPr>
        <w:t>Caso V.R.P., V.P.C. y otros Vs. Nicaragua. Excepciones Preliminares, Fondo, Reparaciones y Costas</w:t>
      </w:r>
      <w:r w:rsidRPr="00DD1072">
        <w:rPr>
          <w:rStyle w:val="Strong"/>
          <w:rFonts w:ascii="Verdana" w:hAnsi="Verdana"/>
          <w:b w:val="0"/>
          <w:color w:val="000000"/>
          <w:sz w:val="16"/>
          <w:szCs w:val="16"/>
          <w:shd w:val="clear" w:color="auto" w:fill="FFFFFF"/>
        </w:rPr>
        <w:t>. Sentencia de 8 de marzo de 2018. Serie C No. 350, párr. 154. Al respecto, en este caso la Corte IDH adoptó el análisis de toda la sentencia bajo “un enfoque interseccional”, en ese caso entre el género y la edad de la víctima (quien era una niña).</w:t>
      </w:r>
      <w:r w:rsidRPr="00DD1072">
        <w:rPr>
          <w:rStyle w:val="Strong"/>
          <w:rFonts w:ascii="Verdana" w:hAnsi="Verdana"/>
          <w:color w:val="000000"/>
          <w:sz w:val="16"/>
          <w:szCs w:val="16"/>
          <w:shd w:val="clear" w:color="auto" w:fill="FFFFFF"/>
        </w:rPr>
        <w:t xml:space="preserve"> </w:t>
      </w:r>
    </w:p>
  </w:footnote>
  <w:footnote w:id="82">
    <w:p w14:paraId="6CFC622B" w14:textId="65D9A3E6" w:rsidR="00A74C00" w:rsidRPr="00DD1072" w:rsidRDefault="00A74C00" w:rsidP="000C2783">
      <w:pPr>
        <w:pStyle w:val="FootnoteText"/>
        <w:spacing w:after="240"/>
        <w:jc w:val="both"/>
        <w:rPr>
          <w:rFonts w:ascii="Verdana" w:hAnsi="Verdana"/>
          <w:sz w:val="16"/>
          <w:szCs w:val="16"/>
          <w:highlight w:val="yellow"/>
          <w:lang w:val="es-ES"/>
        </w:rPr>
      </w:pPr>
      <w:r w:rsidRPr="00DD1072">
        <w:rPr>
          <w:rStyle w:val="FootnoteReference"/>
          <w:rFonts w:ascii="Verdana" w:hAnsi="Verdana"/>
          <w:sz w:val="16"/>
          <w:szCs w:val="16"/>
        </w:rPr>
        <w:footnoteRef/>
      </w:r>
      <w:r w:rsidRPr="00DD1072">
        <w:rPr>
          <w:rFonts w:ascii="Verdana" w:hAnsi="Verdana"/>
          <w:sz w:val="16"/>
          <w:szCs w:val="16"/>
        </w:rPr>
        <w:t xml:space="preserve"> </w:t>
      </w:r>
      <w:r w:rsidRPr="00E32E54">
        <w:rPr>
          <w:rFonts w:ascii="Verdana" w:hAnsi="Verdana"/>
          <w:sz w:val="16"/>
          <w:szCs w:val="16"/>
        </w:rPr>
        <w:tab/>
        <w:t xml:space="preserve"> </w:t>
      </w:r>
      <w:r w:rsidRPr="00DD1072">
        <w:rPr>
          <w:rFonts w:ascii="Verdana" w:hAnsi="Verdana"/>
          <w:i/>
          <w:sz w:val="16"/>
          <w:szCs w:val="16"/>
        </w:rPr>
        <w:t xml:space="preserve">Cfr. </w:t>
      </w:r>
      <w:r w:rsidRPr="00DD1072">
        <w:rPr>
          <w:rStyle w:val="Strong"/>
          <w:rFonts w:ascii="Verdana" w:hAnsi="Verdana"/>
          <w:b w:val="0"/>
          <w:i/>
          <w:color w:val="000000"/>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DD1072">
        <w:rPr>
          <w:rStyle w:val="Strong"/>
          <w:rFonts w:ascii="Verdana" w:hAnsi="Verdana"/>
          <w:b w:val="0"/>
          <w:i/>
          <w:color w:val="000000"/>
          <w:sz w:val="16"/>
          <w:szCs w:val="16"/>
          <w:shd w:val="clear" w:color="auto" w:fill="FFFFFF"/>
        </w:rPr>
        <w:t xml:space="preserve">, Fondo, Reparaciones y Costas. </w:t>
      </w:r>
      <w:r w:rsidRPr="00DD1072">
        <w:rPr>
          <w:rStyle w:val="Strong"/>
          <w:rFonts w:ascii="Verdana" w:hAnsi="Verdana"/>
          <w:b w:val="0"/>
          <w:color w:val="000000"/>
          <w:sz w:val="16"/>
          <w:szCs w:val="16"/>
          <w:shd w:val="clear" w:color="auto" w:fill="FFFFFF"/>
        </w:rPr>
        <w:t>Sentencia de 2</w:t>
      </w:r>
      <w:r w:rsidR="007120B2">
        <w:rPr>
          <w:rStyle w:val="Strong"/>
          <w:rFonts w:ascii="Verdana" w:hAnsi="Verdana"/>
          <w:b w:val="0"/>
          <w:color w:val="000000"/>
          <w:sz w:val="16"/>
          <w:szCs w:val="16"/>
          <w:shd w:val="clear" w:color="auto" w:fill="FFFFFF"/>
        </w:rPr>
        <w:t>3</w:t>
      </w:r>
      <w:r w:rsidRPr="00DD1072">
        <w:rPr>
          <w:rStyle w:val="Strong"/>
          <w:rFonts w:ascii="Verdana" w:hAnsi="Verdana"/>
          <w:b w:val="0"/>
          <w:color w:val="000000"/>
          <w:sz w:val="16"/>
          <w:szCs w:val="16"/>
          <w:shd w:val="clear" w:color="auto" w:fill="FFFFFF"/>
        </w:rPr>
        <w:t xml:space="preserve"> de agosto de 2018. Serie </w:t>
      </w:r>
      <w:r w:rsidRPr="000B2EDF">
        <w:rPr>
          <w:rStyle w:val="Strong"/>
          <w:rFonts w:ascii="Verdana" w:hAnsi="Verdana"/>
          <w:b w:val="0"/>
          <w:color w:val="000000"/>
          <w:sz w:val="16"/>
          <w:szCs w:val="16"/>
          <w:shd w:val="clear" w:color="auto" w:fill="FFFFFF"/>
        </w:rPr>
        <w:t xml:space="preserve">C No. </w:t>
      </w:r>
      <w:r w:rsidR="001977A4">
        <w:rPr>
          <w:rStyle w:val="Strong"/>
          <w:rFonts w:ascii="Verdana" w:hAnsi="Verdana"/>
          <w:b w:val="0"/>
          <w:color w:val="000000"/>
          <w:sz w:val="16"/>
          <w:szCs w:val="16"/>
          <w:shd w:val="clear" w:color="auto" w:fill="FFFFFF"/>
        </w:rPr>
        <w:t>359</w:t>
      </w:r>
      <w:r w:rsidRPr="000B2EDF">
        <w:rPr>
          <w:rStyle w:val="Strong"/>
          <w:rFonts w:ascii="Verdana" w:hAnsi="Verdana"/>
          <w:b w:val="0"/>
          <w:color w:val="000000"/>
          <w:sz w:val="16"/>
          <w:szCs w:val="16"/>
          <w:shd w:val="clear" w:color="auto" w:fill="FFFFFF"/>
        </w:rPr>
        <w:t>,</w:t>
      </w:r>
      <w:r w:rsidRPr="00DD1072">
        <w:rPr>
          <w:rStyle w:val="Strong"/>
          <w:rFonts w:ascii="Verdana" w:hAnsi="Verdana"/>
          <w:b w:val="0"/>
          <w:color w:val="000000"/>
          <w:sz w:val="16"/>
          <w:szCs w:val="16"/>
          <w:shd w:val="clear" w:color="auto" w:fill="FFFFFF"/>
        </w:rPr>
        <w:t xml:space="preserve"> párr. </w:t>
      </w:r>
      <w:r w:rsidR="007120B2">
        <w:rPr>
          <w:rStyle w:val="Strong"/>
          <w:rFonts w:ascii="Verdana" w:hAnsi="Verdana"/>
          <w:b w:val="0"/>
          <w:color w:val="000000"/>
          <w:sz w:val="16"/>
          <w:szCs w:val="16"/>
          <w:shd w:val="clear" w:color="auto" w:fill="FFFFFF"/>
        </w:rPr>
        <w:t>138</w:t>
      </w:r>
      <w:r w:rsidRPr="00DD1072">
        <w:rPr>
          <w:rStyle w:val="Strong"/>
          <w:rFonts w:ascii="Verdana" w:hAnsi="Verdana"/>
          <w:b w:val="0"/>
          <w:color w:val="000000"/>
          <w:sz w:val="16"/>
          <w:szCs w:val="16"/>
          <w:shd w:val="clear" w:color="auto" w:fill="FFFFFF"/>
        </w:rPr>
        <w:t>.</w:t>
      </w:r>
    </w:p>
  </w:footnote>
  <w:footnote w:id="83">
    <w:p w14:paraId="713461A1" w14:textId="6971A6E3" w:rsidR="00A74C00" w:rsidRPr="00DD1072" w:rsidRDefault="00A74C00" w:rsidP="000C2783">
      <w:pPr>
        <w:pStyle w:val="FootnoteText"/>
        <w:spacing w:after="240"/>
        <w:jc w:val="both"/>
        <w:rPr>
          <w:rFonts w:ascii="Verdana" w:hAnsi="Verdana"/>
          <w:sz w:val="16"/>
          <w:szCs w:val="16"/>
        </w:rPr>
      </w:pPr>
      <w:r w:rsidRPr="00DD1072">
        <w:rPr>
          <w:rStyle w:val="FootnoteReference"/>
          <w:rFonts w:ascii="Verdana" w:hAnsi="Verdana"/>
          <w:sz w:val="16"/>
          <w:szCs w:val="16"/>
        </w:rPr>
        <w:footnoteRef/>
      </w:r>
      <w:r w:rsidRPr="00DD1072">
        <w:rPr>
          <w:rFonts w:ascii="Verdana" w:hAnsi="Verdana"/>
          <w:sz w:val="16"/>
          <w:szCs w:val="16"/>
        </w:rPr>
        <w:t xml:space="preserve"> </w:t>
      </w:r>
      <w:r w:rsidRPr="00DD1072">
        <w:rPr>
          <w:rFonts w:ascii="Verdana" w:hAnsi="Verdana"/>
          <w:sz w:val="16"/>
          <w:szCs w:val="16"/>
        </w:rPr>
        <w:tab/>
      </w:r>
      <w:r w:rsidRPr="00277C7B">
        <w:rPr>
          <w:rFonts w:ascii="Verdana" w:hAnsi="Verdana"/>
          <w:sz w:val="16"/>
          <w:szCs w:val="16"/>
        </w:rPr>
        <w:t>Por ejemplo, en Colombia</w:t>
      </w:r>
      <w:r>
        <w:rPr>
          <w:rFonts w:ascii="Verdana" w:hAnsi="Verdana"/>
          <w:sz w:val="16"/>
          <w:szCs w:val="16"/>
        </w:rPr>
        <w:t>,</w:t>
      </w:r>
      <w:r w:rsidRPr="00277C7B">
        <w:rPr>
          <w:rFonts w:ascii="Verdana" w:hAnsi="Verdana"/>
          <w:sz w:val="16"/>
          <w:szCs w:val="16"/>
        </w:rPr>
        <w:t xml:space="preserve"> dicho enfoque ha sido entendido como: </w:t>
      </w:r>
      <w:r>
        <w:rPr>
          <w:rFonts w:ascii="Verdana" w:hAnsi="Verdana"/>
          <w:sz w:val="16"/>
          <w:szCs w:val="16"/>
        </w:rPr>
        <w:t xml:space="preserve">“[Aquel que] </w:t>
      </w:r>
      <w:r w:rsidRPr="00DD1072">
        <w:rPr>
          <w:rFonts w:ascii="Verdana" w:hAnsi="Verdana"/>
          <w:sz w:val="16"/>
          <w:szCs w:val="16"/>
        </w:rPr>
        <w:t xml:space="preserve">expresa el reconocimiento y acciones del Estado para contrarrestar o minimizar la forma distinta, a veces incluso desproporcionada, en que la violencia y las amenazas afectan a determinados grupos sociales en relación con sus características particulares de edad, género, etnia, salud, discapacidad u opción sexual. Estas diferencias, determinadas de manera cultural, social e histórica, resultan decisivas en la aplicación de todos los dispositivos de prevención y protección </w:t>
      </w:r>
      <w:r>
        <w:rPr>
          <w:rFonts w:ascii="Verdana" w:hAnsi="Verdana"/>
          <w:sz w:val="16"/>
          <w:szCs w:val="16"/>
        </w:rPr>
        <w:t>[…]</w:t>
      </w:r>
      <w:r w:rsidRPr="00DD1072">
        <w:rPr>
          <w:rFonts w:ascii="Verdana" w:hAnsi="Verdana"/>
          <w:sz w:val="16"/>
          <w:szCs w:val="16"/>
        </w:rPr>
        <w:t xml:space="preserve"> y en la forma como las entidades deben establecer su trato con los sectores mencionados, a fin de evitar ahondar en la discriminación y el daño causado”. </w:t>
      </w:r>
      <w:r w:rsidRPr="00277C7B">
        <w:rPr>
          <w:rFonts w:ascii="Verdana" w:hAnsi="Verdana"/>
          <w:sz w:val="16"/>
          <w:szCs w:val="16"/>
        </w:rPr>
        <w:t xml:space="preserve"> </w:t>
      </w:r>
      <w:r>
        <w:rPr>
          <w:rFonts w:ascii="Verdana" w:hAnsi="Verdana"/>
          <w:sz w:val="16"/>
          <w:szCs w:val="16"/>
        </w:rPr>
        <w:t xml:space="preserve">Ministerio del Interior y Justicia, Decreto 1737 de 19 de mayo de 2010 por el cual se modifica el Programa de Protección para Víctimas y Testigos de la Ley 975 del 2005, creado mediante el Decreto 3570 de 2007,  art. 4.  En similar sentido, Directriz de Atención integral a la población desplazada con enfoque diferencial de género, Consejería Presidencial para la equidad de la Mujer- ACNUR Colombia, Disponible en: </w:t>
      </w:r>
      <w:hyperlink r:id="rId2" w:history="1">
        <w:r w:rsidRPr="005C0877">
          <w:rPr>
            <w:rStyle w:val="Hyperlink"/>
            <w:rFonts w:ascii="Verdana" w:hAnsi="Verdana"/>
            <w:color w:val="auto"/>
            <w:sz w:val="16"/>
            <w:szCs w:val="16"/>
            <w:u w:val="none"/>
          </w:rPr>
          <w:t>http://www.acnur.org/fileadmin/Documentos/BDL/2010/7394.pdf</w:t>
        </w:r>
      </w:hyperlink>
      <w:r w:rsidRPr="005C0877">
        <w:rPr>
          <w:rFonts w:ascii="Verdana" w:hAnsi="Verdana"/>
          <w:sz w:val="16"/>
          <w:szCs w:val="16"/>
        </w:rPr>
        <w:t xml:space="preserve">. </w:t>
      </w:r>
    </w:p>
  </w:footnote>
  <w:footnote w:id="84">
    <w:p w14:paraId="5837179A" w14:textId="60D8CB6E" w:rsidR="00A74C00" w:rsidRPr="00041F5B" w:rsidRDefault="00A74C00" w:rsidP="000C2783">
      <w:pPr>
        <w:pStyle w:val="FootnoteText"/>
        <w:spacing w:after="240"/>
        <w:jc w:val="both"/>
        <w:rPr>
          <w:rFonts w:ascii="Verdana" w:hAnsi="Verdana"/>
          <w:bCs/>
          <w:i/>
          <w:color w:val="000000"/>
          <w:sz w:val="16"/>
          <w:szCs w:val="16"/>
          <w:shd w:val="clear" w:color="auto" w:fill="FFFFFF"/>
        </w:rPr>
      </w:pPr>
      <w:r w:rsidRPr="00B6213F">
        <w:rPr>
          <w:rStyle w:val="FootnoteReference"/>
          <w:rFonts w:ascii="Verdana" w:hAnsi="Verdana"/>
          <w:sz w:val="16"/>
          <w:szCs w:val="16"/>
        </w:rPr>
        <w:footnoteRef/>
      </w:r>
      <w:r w:rsidRPr="00B6213F">
        <w:rPr>
          <w:rFonts w:ascii="Verdana" w:hAnsi="Verdana"/>
          <w:sz w:val="16"/>
          <w:szCs w:val="16"/>
        </w:rPr>
        <w:t xml:space="preserve"> </w:t>
      </w:r>
      <w:r w:rsidRPr="00FC16C6">
        <w:rPr>
          <w:rFonts w:ascii="Verdana" w:hAnsi="Verdana"/>
          <w:sz w:val="16"/>
          <w:szCs w:val="16"/>
        </w:rPr>
        <w:tab/>
      </w:r>
      <w:r w:rsidRPr="00951E50">
        <w:rPr>
          <w:rFonts w:ascii="Verdana" w:hAnsi="Verdana"/>
          <w:i/>
          <w:sz w:val="16"/>
          <w:szCs w:val="16"/>
        </w:rPr>
        <w:t>Cfr.</w:t>
      </w:r>
      <w:r w:rsidRPr="00951E50">
        <w:rPr>
          <w:rFonts w:ascii="Verdana" w:hAnsi="Verdana"/>
          <w:sz w:val="16"/>
          <w:szCs w:val="16"/>
        </w:rPr>
        <w:t xml:space="preserve"> Oficina del Alto Comisionado de las Naciones Unidas para los Derechos Humanos (OACNUDH) y el Programa Conjunto de las Naciones sobre el VIH/SIDA (ONUSIDA), Directrices Internacionales sobre el VIH/SIDA y los derechos humanos. Versión consolidada de 2006, octava directriz, págs. 52-54, citadas en </w:t>
      </w:r>
      <w:r w:rsidRPr="00951E50">
        <w:rPr>
          <w:rStyle w:val="Strong"/>
          <w:rFonts w:ascii="Verdana" w:hAnsi="Verdana"/>
          <w:b w:val="0"/>
          <w:i/>
          <w:color w:val="000000"/>
          <w:sz w:val="16"/>
          <w:szCs w:val="16"/>
          <w:shd w:val="clear" w:color="auto" w:fill="FFFFFF"/>
        </w:rPr>
        <w:t xml:space="preserve">Caso Cuscul Pivaral y otros Vs. Guatemala. </w:t>
      </w:r>
      <w:r w:rsidR="00014DB7">
        <w:rPr>
          <w:rStyle w:val="Strong"/>
          <w:rFonts w:ascii="Verdana" w:hAnsi="Verdana"/>
          <w:b w:val="0"/>
          <w:i/>
          <w:color w:val="000000"/>
          <w:sz w:val="16"/>
          <w:szCs w:val="16"/>
          <w:shd w:val="clear" w:color="auto" w:fill="FFFFFF"/>
        </w:rPr>
        <w:t>Excepción Preliminar</w:t>
      </w:r>
      <w:r w:rsidRPr="00951E50">
        <w:rPr>
          <w:rStyle w:val="Strong"/>
          <w:rFonts w:ascii="Verdana" w:hAnsi="Verdana"/>
          <w:b w:val="0"/>
          <w:i/>
          <w:color w:val="000000"/>
          <w:sz w:val="16"/>
          <w:szCs w:val="16"/>
          <w:shd w:val="clear" w:color="auto" w:fill="FFFFFF"/>
        </w:rPr>
        <w:t xml:space="preserve">, Fondo, Reparaciones y Costas. </w:t>
      </w:r>
      <w:r w:rsidRPr="00951E50">
        <w:rPr>
          <w:rStyle w:val="Strong"/>
          <w:rFonts w:ascii="Verdana" w:hAnsi="Verdana"/>
          <w:b w:val="0"/>
          <w:color w:val="000000"/>
          <w:sz w:val="16"/>
          <w:szCs w:val="16"/>
          <w:shd w:val="clear" w:color="auto" w:fill="FFFFFF"/>
        </w:rPr>
        <w:t xml:space="preserve">Sentencia de </w:t>
      </w:r>
      <w:r w:rsidR="001977A4">
        <w:rPr>
          <w:rStyle w:val="Strong"/>
          <w:rFonts w:ascii="Verdana" w:hAnsi="Verdana"/>
          <w:b w:val="0"/>
          <w:color w:val="000000"/>
          <w:sz w:val="16"/>
          <w:szCs w:val="16"/>
          <w:shd w:val="clear" w:color="auto" w:fill="FFFFFF"/>
        </w:rPr>
        <w:t xml:space="preserve">23 </w:t>
      </w:r>
      <w:r w:rsidRPr="00951E50">
        <w:rPr>
          <w:rStyle w:val="Strong"/>
          <w:rFonts w:ascii="Verdana" w:hAnsi="Verdana"/>
          <w:b w:val="0"/>
          <w:color w:val="000000"/>
          <w:sz w:val="16"/>
          <w:szCs w:val="16"/>
          <w:shd w:val="clear" w:color="auto" w:fill="FFFFFF"/>
        </w:rPr>
        <w:t xml:space="preserve">de agosto de 2018. Serie C No. </w:t>
      </w:r>
      <w:r w:rsidR="001977A4">
        <w:rPr>
          <w:rStyle w:val="Strong"/>
          <w:rFonts w:ascii="Verdana" w:hAnsi="Verdana"/>
          <w:b w:val="0"/>
          <w:color w:val="000000"/>
          <w:sz w:val="16"/>
          <w:szCs w:val="16"/>
          <w:shd w:val="clear" w:color="auto" w:fill="FFFFFF"/>
        </w:rPr>
        <w:t>359</w:t>
      </w:r>
      <w:r w:rsidRPr="00951E50">
        <w:rPr>
          <w:rStyle w:val="Strong"/>
          <w:rFonts w:ascii="Verdana" w:hAnsi="Verdana"/>
          <w:b w:val="0"/>
          <w:color w:val="000000"/>
          <w:sz w:val="16"/>
          <w:szCs w:val="16"/>
          <w:shd w:val="clear" w:color="auto" w:fill="FFFFFF"/>
        </w:rPr>
        <w:t>, párr. 134.</w:t>
      </w:r>
    </w:p>
  </w:footnote>
  <w:footnote w:id="85">
    <w:p w14:paraId="64F854CF" w14:textId="2B7B32BC" w:rsidR="00A74C00" w:rsidRPr="003535F7" w:rsidRDefault="00A74C00" w:rsidP="000C2783">
      <w:pPr>
        <w:pStyle w:val="FootnoteText"/>
        <w:spacing w:after="240"/>
        <w:jc w:val="both"/>
        <w:rPr>
          <w:rFonts w:ascii="Verdana" w:hAnsi="Verdana"/>
          <w:i/>
          <w:sz w:val="16"/>
          <w:szCs w:val="16"/>
        </w:rPr>
      </w:pPr>
      <w:r w:rsidRPr="003535F7">
        <w:rPr>
          <w:rStyle w:val="FootnoteReference"/>
          <w:rFonts w:ascii="Verdana" w:hAnsi="Verdana"/>
          <w:sz w:val="16"/>
          <w:szCs w:val="16"/>
        </w:rPr>
        <w:footnoteRef/>
      </w:r>
      <w:r w:rsidRPr="003535F7">
        <w:rPr>
          <w:rFonts w:ascii="Verdana" w:hAnsi="Verdana"/>
          <w:sz w:val="16"/>
          <w:szCs w:val="16"/>
        </w:rPr>
        <w:t xml:space="preserve"> </w:t>
      </w:r>
      <w:r w:rsidRPr="003535F7">
        <w:rPr>
          <w:rFonts w:ascii="Verdana" w:hAnsi="Verdana"/>
          <w:sz w:val="16"/>
          <w:szCs w:val="16"/>
        </w:rPr>
        <w:tab/>
      </w:r>
      <w:r w:rsidRPr="003535F7">
        <w:rPr>
          <w:rFonts w:ascii="Verdana" w:hAnsi="Verdana"/>
          <w:i/>
          <w:sz w:val="16"/>
          <w:szCs w:val="16"/>
        </w:rPr>
        <w:t xml:space="preserve">Cfr. </w:t>
      </w:r>
      <w:r w:rsidRPr="003535F7">
        <w:rPr>
          <w:rStyle w:val="Strong"/>
          <w:rFonts w:ascii="Verdana" w:hAnsi="Verdana"/>
          <w:b w:val="0"/>
          <w:i/>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3535F7">
        <w:rPr>
          <w:rStyle w:val="Strong"/>
          <w:rFonts w:ascii="Verdana" w:hAnsi="Verdana"/>
          <w:b w:val="0"/>
          <w:i/>
          <w:sz w:val="16"/>
          <w:szCs w:val="16"/>
          <w:shd w:val="clear" w:color="auto" w:fill="FFFFFF"/>
        </w:rPr>
        <w:t>, Fondo, Reparaciones y Costas.</w:t>
      </w:r>
      <w:r w:rsidR="003E12C7">
        <w:rPr>
          <w:rStyle w:val="Strong"/>
          <w:rFonts w:ascii="Verdana" w:hAnsi="Verdana"/>
          <w:b w:val="0"/>
          <w:i/>
          <w:sz w:val="16"/>
          <w:szCs w:val="16"/>
          <w:shd w:val="clear" w:color="auto" w:fill="FFFFFF"/>
        </w:rPr>
        <w:t xml:space="preserve"> </w:t>
      </w:r>
      <w:r w:rsidR="007120B2">
        <w:rPr>
          <w:rStyle w:val="Strong"/>
          <w:rFonts w:ascii="Verdana" w:hAnsi="Verdana"/>
          <w:b w:val="0"/>
          <w:sz w:val="16"/>
          <w:szCs w:val="16"/>
          <w:shd w:val="clear" w:color="auto" w:fill="FFFFFF"/>
        </w:rPr>
        <w:t>Sentencia de 23</w:t>
      </w:r>
      <w:r w:rsidRPr="003535F7">
        <w:rPr>
          <w:rStyle w:val="Strong"/>
          <w:rFonts w:ascii="Verdana" w:hAnsi="Verdana"/>
          <w:b w:val="0"/>
          <w:sz w:val="16"/>
          <w:szCs w:val="16"/>
          <w:shd w:val="clear" w:color="auto" w:fill="FFFFFF"/>
        </w:rPr>
        <w:t xml:space="preserve"> de agosto de 2018. Serie C No. </w:t>
      </w:r>
      <w:r w:rsidR="001977A4">
        <w:rPr>
          <w:rStyle w:val="Strong"/>
          <w:rFonts w:ascii="Verdana" w:hAnsi="Verdana"/>
          <w:b w:val="0"/>
          <w:sz w:val="16"/>
          <w:szCs w:val="16"/>
          <w:shd w:val="clear" w:color="auto" w:fill="FFFFFF"/>
        </w:rPr>
        <w:t>359</w:t>
      </w:r>
      <w:r w:rsidRPr="003535F7">
        <w:rPr>
          <w:rStyle w:val="Strong"/>
          <w:rFonts w:ascii="Verdana" w:hAnsi="Verdana"/>
          <w:b w:val="0"/>
          <w:sz w:val="16"/>
          <w:szCs w:val="16"/>
          <w:shd w:val="clear" w:color="auto" w:fill="FFFFFF"/>
        </w:rPr>
        <w:t xml:space="preserve">, párr. </w:t>
      </w:r>
      <w:r w:rsidR="007120B2">
        <w:rPr>
          <w:rStyle w:val="Strong"/>
          <w:rFonts w:ascii="Verdana" w:hAnsi="Verdana"/>
          <w:b w:val="0"/>
          <w:sz w:val="16"/>
          <w:szCs w:val="16"/>
          <w:shd w:val="clear" w:color="auto" w:fill="FFFFFF"/>
        </w:rPr>
        <w:t>210</w:t>
      </w:r>
      <w:r w:rsidRPr="003535F7">
        <w:rPr>
          <w:rStyle w:val="Strong"/>
          <w:rFonts w:ascii="Verdana" w:hAnsi="Verdana"/>
          <w:b w:val="0"/>
          <w:sz w:val="16"/>
          <w:szCs w:val="16"/>
          <w:shd w:val="clear" w:color="auto" w:fill="FFFFFF"/>
        </w:rPr>
        <w:t>.</w:t>
      </w:r>
    </w:p>
  </w:footnote>
  <w:footnote w:id="86">
    <w:p w14:paraId="7599651A" w14:textId="10200E07" w:rsidR="00A74C00" w:rsidRPr="003535F7" w:rsidRDefault="00A74C00" w:rsidP="000C2783">
      <w:pPr>
        <w:pStyle w:val="FootnoteText"/>
        <w:spacing w:after="240"/>
        <w:jc w:val="both"/>
        <w:rPr>
          <w:rFonts w:ascii="Verdana" w:hAnsi="Verdana"/>
          <w:bCs/>
          <w:sz w:val="16"/>
          <w:szCs w:val="16"/>
          <w:shd w:val="clear" w:color="auto" w:fill="FFFFFF"/>
        </w:rPr>
      </w:pPr>
      <w:r w:rsidRPr="003535F7">
        <w:rPr>
          <w:rStyle w:val="FootnoteReference"/>
          <w:rFonts w:ascii="Verdana" w:hAnsi="Verdana"/>
          <w:sz w:val="16"/>
          <w:szCs w:val="16"/>
        </w:rPr>
        <w:footnoteRef/>
      </w:r>
      <w:r w:rsidRPr="003535F7">
        <w:rPr>
          <w:rFonts w:ascii="Verdana" w:hAnsi="Verdana"/>
          <w:sz w:val="16"/>
          <w:szCs w:val="16"/>
        </w:rPr>
        <w:t xml:space="preserve"> </w:t>
      </w:r>
      <w:r w:rsidRPr="003535F7">
        <w:rPr>
          <w:rFonts w:ascii="Verdana" w:hAnsi="Verdana"/>
          <w:sz w:val="16"/>
          <w:szCs w:val="16"/>
        </w:rPr>
        <w:tab/>
      </w:r>
      <w:r w:rsidRPr="003535F7">
        <w:rPr>
          <w:rFonts w:ascii="Verdana" w:hAnsi="Verdana"/>
          <w:i/>
          <w:sz w:val="16"/>
          <w:szCs w:val="16"/>
        </w:rPr>
        <w:t xml:space="preserve">Cfr. </w:t>
      </w:r>
      <w:r w:rsidRPr="003535F7">
        <w:rPr>
          <w:rStyle w:val="Strong"/>
          <w:rFonts w:ascii="Verdana" w:hAnsi="Verdana"/>
          <w:b w:val="0"/>
          <w:i/>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3535F7">
        <w:rPr>
          <w:rStyle w:val="Strong"/>
          <w:rFonts w:ascii="Verdana" w:hAnsi="Verdana"/>
          <w:b w:val="0"/>
          <w:i/>
          <w:sz w:val="16"/>
          <w:szCs w:val="16"/>
          <w:shd w:val="clear" w:color="auto" w:fill="FFFFFF"/>
        </w:rPr>
        <w:t>, Fondo, Reparaciones y Costas.</w:t>
      </w:r>
      <w:r w:rsidR="003E12C7">
        <w:rPr>
          <w:rStyle w:val="Strong"/>
          <w:rFonts w:ascii="Verdana" w:hAnsi="Verdana"/>
          <w:b w:val="0"/>
          <w:i/>
          <w:sz w:val="16"/>
          <w:szCs w:val="16"/>
          <w:shd w:val="clear" w:color="auto" w:fill="FFFFFF"/>
        </w:rPr>
        <w:t xml:space="preserve"> </w:t>
      </w:r>
      <w:r w:rsidR="007120B2">
        <w:rPr>
          <w:rStyle w:val="Strong"/>
          <w:rFonts w:ascii="Verdana" w:hAnsi="Verdana"/>
          <w:b w:val="0"/>
          <w:sz w:val="16"/>
          <w:szCs w:val="16"/>
          <w:shd w:val="clear" w:color="auto" w:fill="FFFFFF"/>
        </w:rPr>
        <w:t>Sentencia de 23</w:t>
      </w:r>
      <w:r w:rsidRPr="003535F7">
        <w:rPr>
          <w:rStyle w:val="Strong"/>
          <w:rFonts w:ascii="Verdana" w:hAnsi="Verdana"/>
          <w:b w:val="0"/>
          <w:sz w:val="16"/>
          <w:szCs w:val="16"/>
          <w:shd w:val="clear" w:color="auto" w:fill="FFFFFF"/>
        </w:rPr>
        <w:t xml:space="preserve"> de agosto de 2018. Serie C No. </w:t>
      </w:r>
      <w:r w:rsidR="001977A4">
        <w:rPr>
          <w:rStyle w:val="Strong"/>
          <w:rFonts w:ascii="Verdana" w:hAnsi="Verdana"/>
          <w:b w:val="0"/>
          <w:sz w:val="16"/>
          <w:szCs w:val="16"/>
          <w:shd w:val="clear" w:color="auto" w:fill="FFFFFF"/>
        </w:rPr>
        <w:t>359</w:t>
      </w:r>
      <w:r w:rsidRPr="003535F7">
        <w:rPr>
          <w:rStyle w:val="Strong"/>
          <w:rFonts w:ascii="Verdana" w:hAnsi="Verdana"/>
          <w:b w:val="0"/>
          <w:sz w:val="16"/>
          <w:szCs w:val="16"/>
          <w:shd w:val="clear" w:color="auto" w:fill="FFFFFF"/>
        </w:rPr>
        <w:t xml:space="preserve">, párrs. </w:t>
      </w:r>
      <w:r w:rsidR="007120B2">
        <w:rPr>
          <w:rStyle w:val="Strong"/>
          <w:rFonts w:ascii="Verdana" w:hAnsi="Verdana"/>
          <w:b w:val="0"/>
          <w:sz w:val="16"/>
          <w:szCs w:val="16"/>
          <w:shd w:val="clear" w:color="auto" w:fill="FFFFFF"/>
        </w:rPr>
        <w:t>224-230</w:t>
      </w:r>
      <w:r w:rsidRPr="003535F7">
        <w:rPr>
          <w:rStyle w:val="Strong"/>
          <w:rFonts w:ascii="Verdana" w:hAnsi="Verdana"/>
          <w:b w:val="0"/>
          <w:sz w:val="16"/>
          <w:szCs w:val="16"/>
          <w:shd w:val="clear" w:color="auto" w:fill="FFFFFF"/>
        </w:rPr>
        <w:t>.</w:t>
      </w:r>
    </w:p>
  </w:footnote>
  <w:footnote w:id="87">
    <w:p w14:paraId="377DF6A4" w14:textId="38C6E35B" w:rsidR="00A74C00" w:rsidRPr="003535F7" w:rsidRDefault="00A74C00" w:rsidP="000C2783">
      <w:pPr>
        <w:pStyle w:val="ListParagraph"/>
        <w:spacing w:after="240"/>
        <w:ind w:left="0"/>
        <w:contextualSpacing w:val="0"/>
        <w:jc w:val="both"/>
        <w:rPr>
          <w:rFonts w:ascii="Verdana" w:hAnsi="Verdana"/>
          <w:sz w:val="16"/>
          <w:szCs w:val="16"/>
          <w:lang w:val="es-ES"/>
        </w:rPr>
      </w:pPr>
      <w:r w:rsidRPr="003535F7">
        <w:rPr>
          <w:rStyle w:val="FootnoteReference"/>
          <w:rFonts w:ascii="Verdana" w:hAnsi="Verdana"/>
          <w:sz w:val="16"/>
          <w:szCs w:val="16"/>
        </w:rPr>
        <w:footnoteRef/>
      </w:r>
      <w:r w:rsidRPr="003535F7">
        <w:rPr>
          <w:rFonts w:ascii="Verdana" w:hAnsi="Verdana"/>
          <w:sz w:val="16"/>
          <w:szCs w:val="16"/>
        </w:rPr>
        <w:t xml:space="preserve"> </w:t>
      </w:r>
      <w:r w:rsidRPr="003535F7">
        <w:rPr>
          <w:rFonts w:ascii="Verdana" w:hAnsi="Verdana"/>
          <w:sz w:val="16"/>
          <w:szCs w:val="16"/>
        </w:rPr>
        <w:tab/>
      </w:r>
      <w:r w:rsidRPr="003535F7">
        <w:rPr>
          <w:rFonts w:ascii="Verdana" w:hAnsi="Verdana" w:cs="System Font Regular"/>
          <w:sz w:val="16"/>
          <w:szCs w:val="16"/>
        </w:rPr>
        <w:t>La Sentencia Interamericana- por su propia naturaleza y por la forma en la que está diseñado el Sistema Interamericano- cumple una doble función: por un lado brindar medidas de reparación para la situación en concreto (restitución, satisfacción, investigación y de índole económico) pero además también tiene una función de brindar reparaciones para que</w:t>
      </w:r>
      <w:r w:rsidR="007120B2">
        <w:rPr>
          <w:rFonts w:ascii="Verdana" w:hAnsi="Verdana" w:cs="System Font Regular"/>
          <w:sz w:val="16"/>
          <w:szCs w:val="16"/>
        </w:rPr>
        <w:t xml:space="preserve"> los mismos</w:t>
      </w:r>
      <w:r w:rsidRPr="003535F7">
        <w:rPr>
          <w:rFonts w:ascii="Verdana" w:hAnsi="Verdana" w:cs="System Font Regular"/>
          <w:sz w:val="16"/>
          <w:szCs w:val="16"/>
        </w:rPr>
        <w:t xml:space="preserve"> hechos no vuelva</w:t>
      </w:r>
      <w:r w:rsidR="007120B2">
        <w:rPr>
          <w:rFonts w:ascii="Verdana" w:hAnsi="Verdana" w:cs="System Font Regular"/>
          <w:sz w:val="16"/>
          <w:szCs w:val="16"/>
        </w:rPr>
        <w:t>n</w:t>
      </w:r>
      <w:r w:rsidRPr="003535F7">
        <w:rPr>
          <w:rFonts w:ascii="Verdana" w:hAnsi="Verdana" w:cs="System Font Regular"/>
          <w:sz w:val="16"/>
          <w:szCs w:val="16"/>
        </w:rPr>
        <w:t xml:space="preserve"> a ocurrir (garantías de no repetición). Esta concepción amplia que abarcan las medidas de no repetición es lo que hace a la </w:t>
      </w:r>
      <w:r w:rsidRPr="003535F7">
        <w:rPr>
          <w:rFonts w:ascii="Verdana" w:hAnsi="Verdana" w:cs="System Font Regular"/>
          <w:i/>
          <w:sz w:val="16"/>
          <w:szCs w:val="16"/>
        </w:rPr>
        <w:t>restitutio in integrum</w:t>
      </w:r>
      <w:r w:rsidRPr="003535F7">
        <w:rPr>
          <w:rFonts w:ascii="Verdana" w:hAnsi="Verdana" w:cs="System Font Regular"/>
          <w:sz w:val="16"/>
          <w:szCs w:val="16"/>
        </w:rPr>
        <w:t xml:space="preserve">, única en el derecho internacional. </w:t>
      </w:r>
      <w:r w:rsidRPr="003535F7">
        <w:rPr>
          <w:rFonts w:ascii="Verdana" w:hAnsi="Verdana"/>
          <w:sz w:val="16"/>
          <w:szCs w:val="16"/>
        </w:rPr>
        <w:t>E</w:t>
      </w:r>
      <w:r w:rsidRPr="003535F7">
        <w:rPr>
          <w:rFonts w:ascii="Verdana" w:hAnsi="Verdana"/>
          <w:sz w:val="16"/>
          <w:szCs w:val="16"/>
          <w:lang w:val="es-ES"/>
        </w:rPr>
        <w:t xml:space="preserve">s claro que la Sentencia Interamericana tiene, en una jurisdicción nacional, efectos más generales que los que se involucran en cada caso concreto; las medidas de no repetición que se otorgan en cada caso van encaminadas a que las autoridades cuenten con parámetros para reparar a las posibles víctimas, en circunstancias similares a las que el Tribunal Interamericano tiene la oportunidad de conocer. </w:t>
      </w:r>
    </w:p>
  </w:footnote>
  <w:footnote w:id="88">
    <w:p w14:paraId="07E9749F" w14:textId="4B03B4FB" w:rsidR="00A74C00" w:rsidRPr="003535F7" w:rsidRDefault="00A74C00" w:rsidP="000C2783">
      <w:pPr>
        <w:pStyle w:val="FootnoteText"/>
        <w:spacing w:after="240"/>
        <w:jc w:val="both"/>
        <w:rPr>
          <w:rFonts w:ascii="Verdana" w:hAnsi="Verdana"/>
          <w:bCs/>
          <w:sz w:val="16"/>
          <w:szCs w:val="16"/>
          <w:shd w:val="clear" w:color="auto" w:fill="FFFFFF"/>
        </w:rPr>
      </w:pPr>
      <w:r w:rsidRPr="003535F7">
        <w:rPr>
          <w:rStyle w:val="FootnoteReference"/>
          <w:rFonts w:ascii="Verdana" w:hAnsi="Verdana"/>
          <w:sz w:val="16"/>
          <w:szCs w:val="16"/>
        </w:rPr>
        <w:footnoteRef/>
      </w:r>
      <w:r w:rsidRPr="003535F7">
        <w:rPr>
          <w:rFonts w:ascii="Verdana" w:hAnsi="Verdana"/>
          <w:sz w:val="16"/>
          <w:szCs w:val="16"/>
        </w:rPr>
        <w:t xml:space="preserve"> </w:t>
      </w:r>
      <w:r w:rsidRPr="003535F7">
        <w:rPr>
          <w:rFonts w:ascii="Verdana" w:hAnsi="Verdana"/>
          <w:sz w:val="16"/>
          <w:szCs w:val="16"/>
        </w:rPr>
        <w:tab/>
      </w:r>
      <w:r w:rsidRPr="003535F7">
        <w:rPr>
          <w:rFonts w:ascii="Verdana" w:hAnsi="Verdana"/>
          <w:i/>
          <w:sz w:val="16"/>
          <w:szCs w:val="16"/>
        </w:rPr>
        <w:t xml:space="preserve">Cfr. </w:t>
      </w:r>
      <w:r w:rsidRPr="003535F7">
        <w:rPr>
          <w:rStyle w:val="Strong"/>
          <w:rFonts w:ascii="Verdana" w:hAnsi="Verdana"/>
          <w:b w:val="0"/>
          <w:i/>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3535F7">
        <w:rPr>
          <w:rStyle w:val="Strong"/>
          <w:rFonts w:ascii="Verdana" w:hAnsi="Verdana"/>
          <w:b w:val="0"/>
          <w:i/>
          <w:sz w:val="16"/>
          <w:szCs w:val="16"/>
          <w:shd w:val="clear" w:color="auto" w:fill="FFFFFF"/>
        </w:rPr>
        <w:t>, Fondo, Reparaciones y Costas.</w:t>
      </w:r>
      <w:r w:rsidR="003E12C7">
        <w:rPr>
          <w:rStyle w:val="Strong"/>
          <w:rFonts w:ascii="Verdana" w:hAnsi="Verdana"/>
          <w:b w:val="0"/>
          <w:i/>
          <w:sz w:val="16"/>
          <w:szCs w:val="16"/>
          <w:shd w:val="clear" w:color="auto" w:fill="FFFFFF"/>
        </w:rPr>
        <w:t xml:space="preserve"> </w:t>
      </w:r>
      <w:r w:rsidRPr="003535F7">
        <w:rPr>
          <w:rStyle w:val="Strong"/>
          <w:rFonts w:ascii="Verdana" w:hAnsi="Verdana"/>
          <w:b w:val="0"/>
          <w:sz w:val="16"/>
          <w:szCs w:val="16"/>
          <w:shd w:val="clear" w:color="auto" w:fill="FFFFFF"/>
        </w:rPr>
        <w:t>S</w:t>
      </w:r>
      <w:r w:rsidR="007120B2">
        <w:rPr>
          <w:rStyle w:val="Strong"/>
          <w:rFonts w:ascii="Verdana" w:hAnsi="Verdana"/>
          <w:b w:val="0"/>
          <w:sz w:val="16"/>
          <w:szCs w:val="16"/>
          <w:shd w:val="clear" w:color="auto" w:fill="FFFFFF"/>
        </w:rPr>
        <w:t>entencia de 23</w:t>
      </w:r>
      <w:r w:rsidRPr="003535F7">
        <w:rPr>
          <w:rStyle w:val="Strong"/>
          <w:rFonts w:ascii="Verdana" w:hAnsi="Verdana"/>
          <w:b w:val="0"/>
          <w:sz w:val="16"/>
          <w:szCs w:val="16"/>
          <w:shd w:val="clear" w:color="auto" w:fill="FFFFFF"/>
        </w:rPr>
        <w:t xml:space="preserve"> de agosto de 2018. Serie C No. </w:t>
      </w:r>
      <w:r w:rsidR="001977A4">
        <w:rPr>
          <w:rStyle w:val="Strong"/>
          <w:rFonts w:ascii="Verdana" w:hAnsi="Verdana"/>
          <w:b w:val="0"/>
          <w:sz w:val="16"/>
          <w:szCs w:val="16"/>
          <w:shd w:val="clear" w:color="auto" w:fill="FFFFFF"/>
        </w:rPr>
        <w:t>359</w:t>
      </w:r>
      <w:r w:rsidRPr="003535F7">
        <w:rPr>
          <w:rStyle w:val="Strong"/>
          <w:rFonts w:ascii="Verdana" w:hAnsi="Verdana"/>
          <w:b w:val="0"/>
          <w:sz w:val="16"/>
          <w:szCs w:val="16"/>
          <w:shd w:val="clear" w:color="auto" w:fill="FFFFFF"/>
        </w:rPr>
        <w:t xml:space="preserve">, párr. </w:t>
      </w:r>
      <w:r w:rsidR="007120B2">
        <w:rPr>
          <w:rStyle w:val="Strong"/>
          <w:rFonts w:ascii="Verdana" w:hAnsi="Verdana"/>
          <w:b w:val="0"/>
          <w:sz w:val="16"/>
          <w:szCs w:val="16"/>
          <w:shd w:val="clear" w:color="auto" w:fill="FFFFFF"/>
        </w:rPr>
        <w:t>225</w:t>
      </w:r>
      <w:r w:rsidRPr="003535F7">
        <w:rPr>
          <w:rStyle w:val="Strong"/>
          <w:rFonts w:ascii="Verdana" w:hAnsi="Verdana"/>
          <w:b w:val="0"/>
          <w:sz w:val="16"/>
          <w:szCs w:val="16"/>
          <w:shd w:val="clear" w:color="auto" w:fill="FFFFFF"/>
        </w:rPr>
        <w:t>.</w:t>
      </w:r>
    </w:p>
  </w:footnote>
  <w:footnote w:id="89">
    <w:p w14:paraId="41E6E868" w14:textId="67ED65F2" w:rsidR="00A74C00" w:rsidRPr="003535F7" w:rsidRDefault="00A74C00" w:rsidP="000C2783">
      <w:pPr>
        <w:pStyle w:val="FootnoteText"/>
        <w:spacing w:after="240"/>
        <w:jc w:val="both"/>
        <w:rPr>
          <w:rFonts w:ascii="Verdana" w:hAnsi="Verdana"/>
          <w:i/>
          <w:sz w:val="16"/>
          <w:szCs w:val="16"/>
        </w:rPr>
      </w:pPr>
      <w:r w:rsidRPr="003535F7">
        <w:rPr>
          <w:rStyle w:val="FootnoteReference"/>
          <w:rFonts w:ascii="Verdana" w:hAnsi="Verdana"/>
          <w:sz w:val="16"/>
          <w:szCs w:val="16"/>
        </w:rPr>
        <w:footnoteRef/>
      </w:r>
      <w:r w:rsidRPr="003535F7">
        <w:rPr>
          <w:rFonts w:ascii="Verdana" w:hAnsi="Verdana"/>
          <w:sz w:val="16"/>
          <w:szCs w:val="16"/>
        </w:rPr>
        <w:t xml:space="preserve"> </w:t>
      </w:r>
      <w:r w:rsidRPr="003535F7">
        <w:rPr>
          <w:rFonts w:ascii="Verdana" w:hAnsi="Verdana"/>
          <w:sz w:val="16"/>
          <w:szCs w:val="16"/>
        </w:rPr>
        <w:tab/>
      </w:r>
      <w:r w:rsidRPr="003535F7">
        <w:rPr>
          <w:rFonts w:ascii="Verdana" w:hAnsi="Verdana"/>
          <w:i/>
          <w:sz w:val="16"/>
          <w:szCs w:val="16"/>
        </w:rPr>
        <w:t xml:space="preserve">Cfr. </w:t>
      </w:r>
      <w:r w:rsidRPr="003535F7">
        <w:rPr>
          <w:rStyle w:val="Strong"/>
          <w:rFonts w:ascii="Verdana" w:hAnsi="Verdana"/>
          <w:b w:val="0"/>
          <w:i/>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3535F7">
        <w:rPr>
          <w:rStyle w:val="Strong"/>
          <w:rFonts w:ascii="Verdana" w:hAnsi="Verdana"/>
          <w:b w:val="0"/>
          <w:i/>
          <w:sz w:val="16"/>
          <w:szCs w:val="16"/>
          <w:shd w:val="clear" w:color="auto" w:fill="FFFFFF"/>
        </w:rPr>
        <w:t>, Fondo, Reparaciones y Costas.</w:t>
      </w:r>
      <w:r w:rsidR="003E12C7">
        <w:rPr>
          <w:rStyle w:val="Strong"/>
          <w:rFonts w:ascii="Verdana" w:hAnsi="Verdana"/>
          <w:b w:val="0"/>
          <w:i/>
          <w:sz w:val="16"/>
          <w:szCs w:val="16"/>
          <w:shd w:val="clear" w:color="auto" w:fill="FFFFFF"/>
        </w:rPr>
        <w:t xml:space="preserve"> </w:t>
      </w:r>
      <w:r w:rsidRPr="003535F7">
        <w:rPr>
          <w:rStyle w:val="Strong"/>
          <w:rFonts w:ascii="Verdana" w:hAnsi="Verdana"/>
          <w:b w:val="0"/>
          <w:sz w:val="16"/>
          <w:szCs w:val="16"/>
          <w:shd w:val="clear" w:color="auto" w:fill="FFFFFF"/>
        </w:rPr>
        <w:t>Sentencia de 2</w:t>
      </w:r>
      <w:r w:rsidR="007120B2">
        <w:rPr>
          <w:rStyle w:val="Strong"/>
          <w:rFonts w:ascii="Verdana" w:hAnsi="Verdana"/>
          <w:b w:val="0"/>
          <w:sz w:val="16"/>
          <w:szCs w:val="16"/>
          <w:shd w:val="clear" w:color="auto" w:fill="FFFFFF"/>
        </w:rPr>
        <w:t>3</w:t>
      </w:r>
      <w:r w:rsidRPr="003535F7">
        <w:rPr>
          <w:rStyle w:val="Strong"/>
          <w:rFonts w:ascii="Verdana" w:hAnsi="Verdana"/>
          <w:b w:val="0"/>
          <w:sz w:val="16"/>
          <w:szCs w:val="16"/>
          <w:shd w:val="clear" w:color="auto" w:fill="FFFFFF"/>
        </w:rPr>
        <w:t xml:space="preserve"> de agosto de 2018. Serie C No. </w:t>
      </w:r>
      <w:r w:rsidR="001977A4">
        <w:rPr>
          <w:rStyle w:val="Strong"/>
          <w:rFonts w:ascii="Verdana" w:hAnsi="Verdana"/>
          <w:b w:val="0"/>
          <w:sz w:val="16"/>
          <w:szCs w:val="16"/>
          <w:shd w:val="clear" w:color="auto" w:fill="FFFFFF"/>
        </w:rPr>
        <w:t>359</w:t>
      </w:r>
      <w:r w:rsidRPr="003535F7">
        <w:rPr>
          <w:rStyle w:val="Strong"/>
          <w:rFonts w:ascii="Verdana" w:hAnsi="Verdana"/>
          <w:b w:val="0"/>
          <w:sz w:val="16"/>
          <w:szCs w:val="16"/>
          <w:shd w:val="clear" w:color="auto" w:fill="FFFFFF"/>
        </w:rPr>
        <w:t xml:space="preserve">, párr. </w:t>
      </w:r>
      <w:r w:rsidR="007120B2">
        <w:rPr>
          <w:rStyle w:val="Strong"/>
          <w:rFonts w:ascii="Verdana" w:hAnsi="Verdana"/>
          <w:b w:val="0"/>
          <w:sz w:val="16"/>
          <w:szCs w:val="16"/>
          <w:shd w:val="clear" w:color="auto" w:fill="FFFFFF"/>
        </w:rPr>
        <w:t>226</w:t>
      </w:r>
      <w:r w:rsidRPr="003535F7">
        <w:rPr>
          <w:rStyle w:val="Strong"/>
          <w:rFonts w:ascii="Verdana" w:hAnsi="Verdana"/>
          <w:b w:val="0"/>
          <w:sz w:val="16"/>
          <w:szCs w:val="16"/>
          <w:shd w:val="clear" w:color="auto" w:fill="FFFFFF"/>
        </w:rPr>
        <w:t>.</w:t>
      </w:r>
    </w:p>
  </w:footnote>
  <w:footnote w:id="90">
    <w:p w14:paraId="744CD07B" w14:textId="203692AF" w:rsidR="00A74C00" w:rsidRPr="003535F7" w:rsidRDefault="00A74C00" w:rsidP="000C2783">
      <w:pPr>
        <w:pStyle w:val="Heading1"/>
        <w:pBdr>
          <w:bottom w:val="single" w:sz="6" w:space="0" w:color="EEEEEE"/>
        </w:pBdr>
        <w:shd w:val="clear" w:color="auto" w:fill="FFFFFF"/>
        <w:spacing w:before="0" w:beforeAutospacing="0" w:after="240" w:afterAutospacing="0"/>
        <w:jc w:val="both"/>
        <w:rPr>
          <w:rFonts w:ascii="Verdana" w:hAnsi="Verdana"/>
          <w:sz w:val="16"/>
          <w:szCs w:val="16"/>
        </w:rPr>
      </w:pPr>
      <w:r w:rsidRPr="007120B2">
        <w:rPr>
          <w:rStyle w:val="FootnoteReference"/>
          <w:rFonts w:ascii="Verdana" w:hAnsi="Verdana"/>
          <w:b w:val="0"/>
          <w:sz w:val="16"/>
          <w:szCs w:val="16"/>
        </w:rPr>
        <w:footnoteRef/>
      </w:r>
      <w:r w:rsidRPr="007120B2">
        <w:rPr>
          <w:rFonts w:ascii="Verdana" w:hAnsi="Verdana"/>
          <w:b w:val="0"/>
          <w:sz w:val="16"/>
          <w:szCs w:val="16"/>
        </w:rPr>
        <w:t xml:space="preserve"> </w:t>
      </w:r>
      <w:r w:rsidRPr="003535F7">
        <w:rPr>
          <w:rFonts w:ascii="Verdana" w:hAnsi="Verdana"/>
          <w:sz w:val="16"/>
          <w:szCs w:val="16"/>
        </w:rPr>
        <w:tab/>
      </w:r>
      <w:r w:rsidRPr="003535F7">
        <w:rPr>
          <w:rFonts w:ascii="Verdana" w:hAnsi="Verdana"/>
          <w:b w:val="0"/>
          <w:sz w:val="16"/>
          <w:szCs w:val="16"/>
        </w:rPr>
        <w:t>Véase al respecto las siguientes decisiones: Corte Constitucional de Sudáfrica:</w:t>
      </w:r>
      <w:r w:rsidRPr="003535F7">
        <w:rPr>
          <w:rFonts w:ascii="Verdana" w:hAnsi="Verdana"/>
          <w:sz w:val="16"/>
          <w:szCs w:val="16"/>
        </w:rPr>
        <w:t xml:space="preserve"> </w:t>
      </w:r>
      <w:r w:rsidRPr="003535F7">
        <w:rPr>
          <w:rFonts w:ascii="Verdana" w:hAnsi="Verdana"/>
          <w:b w:val="0"/>
          <w:bCs w:val="0"/>
          <w:i/>
          <w:sz w:val="16"/>
          <w:szCs w:val="16"/>
        </w:rPr>
        <w:t>Government of the Republic of South Africa. &amp; Ors v Grootboom &amp; Ors</w:t>
      </w:r>
      <w:r w:rsidRPr="003535F7">
        <w:rPr>
          <w:rFonts w:ascii="Verdana" w:hAnsi="Verdana"/>
          <w:b w:val="0"/>
          <w:bCs w:val="0"/>
          <w:sz w:val="16"/>
          <w:szCs w:val="16"/>
        </w:rPr>
        <w:t xml:space="preserve"> 2000 (11) BCLR 1169; Corte Suprema de Justicia de la Nación de Argentina: </w:t>
      </w:r>
      <w:r w:rsidRPr="003535F7">
        <w:rPr>
          <w:rStyle w:val="Emphasis"/>
          <w:rFonts w:ascii="Verdana" w:hAnsi="Verdana"/>
          <w:b w:val="0"/>
          <w:sz w:val="16"/>
          <w:szCs w:val="16"/>
          <w:bdr w:val="none" w:sz="0" w:space="0" w:color="auto" w:frame="1"/>
          <w:shd w:val="clear" w:color="auto" w:fill="FFFFFF"/>
        </w:rPr>
        <w:t>Mendoza, Beatriz Silvia y otros c/ Estado Nacional y otros s/ daños y perjuicios (daños derivados de la contaminación ambiental del Río Matanza Riachuelo)” </w:t>
      </w:r>
      <w:r w:rsidRPr="003535F7">
        <w:rPr>
          <w:rFonts w:ascii="Verdana" w:hAnsi="Verdana"/>
          <w:b w:val="0"/>
          <w:sz w:val="16"/>
          <w:szCs w:val="16"/>
          <w:shd w:val="clear" w:color="auto" w:fill="FFFFFF"/>
        </w:rPr>
        <w:t>[Expte. N° CSJ 1569/2004 (40-M) /CS2</w:t>
      </w:r>
      <w:r w:rsidRPr="003535F7">
        <w:rPr>
          <w:rFonts w:ascii="Verdana" w:hAnsi="Verdana"/>
          <w:b w:val="0"/>
          <w:bCs w:val="0"/>
          <w:sz w:val="16"/>
          <w:szCs w:val="16"/>
        </w:rPr>
        <w:t xml:space="preserve">: Corte Suprema de India: </w:t>
      </w:r>
      <w:r w:rsidRPr="003535F7">
        <w:rPr>
          <w:rFonts w:ascii="Verdana" w:hAnsi="Verdana"/>
          <w:b w:val="0"/>
          <w:bCs w:val="0"/>
          <w:i/>
          <w:sz w:val="16"/>
          <w:szCs w:val="16"/>
        </w:rPr>
        <w:t>People’s Union for Civil Liberties Vs. Union of India and Othe</w:t>
      </w:r>
      <w:r w:rsidRPr="003535F7">
        <w:rPr>
          <w:rFonts w:ascii="Verdana" w:hAnsi="Verdana"/>
          <w:b w:val="0"/>
          <w:bCs w:val="0"/>
          <w:sz w:val="16"/>
          <w:szCs w:val="16"/>
        </w:rPr>
        <w:t xml:space="preserve">r, Petition (Civil) No. 196 of 2001; Corte Constitucional de Colombia: </w:t>
      </w:r>
      <w:r w:rsidRPr="003535F7">
        <w:rPr>
          <w:rFonts w:ascii="Verdana" w:hAnsi="Verdana"/>
          <w:b w:val="0"/>
          <w:bCs w:val="0"/>
          <w:i/>
          <w:sz w:val="16"/>
          <w:szCs w:val="16"/>
        </w:rPr>
        <w:t>Sentencia T- 025</w:t>
      </w:r>
      <w:r w:rsidRPr="003535F7">
        <w:rPr>
          <w:rFonts w:ascii="Verdana" w:hAnsi="Verdana"/>
          <w:b w:val="0"/>
          <w:bCs w:val="0"/>
          <w:sz w:val="16"/>
          <w:szCs w:val="16"/>
        </w:rPr>
        <w:t xml:space="preserve">, Magistrado Ponente: Manuel José Cepeda Espinosa, 22 de enero de 2004; </w:t>
      </w:r>
      <w:r w:rsidRPr="003535F7">
        <w:rPr>
          <w:rFonts w:ascii="Verdana" w:hAnsi="Verdana"/>
          <w:b w:val="0"/>
          <w:bCs w:val="0"/>
          <w:i/>
          <w:sz w:val="16"/>
          <w:szCs w:val="16"/>
        </w:rPr>
        <w:t>Sentencia T- 760/08</w:t>
      </w:r>
      <w:r w:rsidRPr="003535F7">
        <w:rPr>
          <w:rFonts w:ascii="Verdana" w:hAnsi="Verdana"/>
          <w:b w:val="0"/>
          <w:bCs w:val="0"/>
          <w:sz w:val="16"/>
          <w:szCs w:val="16"/>
        </w:rPr>
        <w:t xml:space="preserve">, Magistrado Ponente: Manuel José Cepeda Espinosa, 31 de julio de 2008; </w:t>
      </w:r>
      <w:r w:rsidRPr="003535F7">
        <w:rPr>
          <w:rFonts w:ascii="Verdana" w:hAnsi="Verdana"/>
          <w:b w:val="0"/>
          <w:bCs w:val="0"/>
          <w:i/>
          <w:sz w:val="16"/>
          <w:szCs w:val="16"/>
        </w:rPr>
        <w:t>Sentencia T-762/15</w:t>
      </w:r>
      <w:r w:rsidRPr="003535F7">
        <w:rPr>
          <w:rFonts w:ascii="Verdana" w:hAnsi="Verdana"/>
          <w:b w:val="0"/>
          <w:bCs w:val="0"/>
          <w:sz w:val="16"/>
          <w:szCs w:val="16"/>
        </w:rPr>
        <w:t xml:space="preserve">, Magistrada Sustanciadora: Gloria Stella Ortiz Delgado, 16 de diciembre de 2015; </w:t>
      </w:r>
      <w:r w:rsidRPr="003535F7">
        <w:rPr>
          <w:rFonts w:ascii="Verdana" w:hAnsi="Verdana"/>
          <w:b w:val="0"/>
          <w:bCs w:val="0"/>
          <w:i/>
          <w:sz w:val="16"/>
          <w:szCs w:val="16"/>
        </w:rPr>
        <w:t>Sentencia T-622/16</w:t>
      </w:r>
      <w:r w:rsidRPr="003535F7">
        <w:rPr>
          <w:rFonts w:ascii="Verdana" w:hAnsi="Verdana"/>
          <w:b w:val="0"/>
          <w:bCs w:val="0"/>
          <w:sz w:val="16"/>
          <w:szCs w:val="16"/>
        </w:rPr>
        <w:t xml:space="preserve">, Magistrado Ponente : Jorge Iván Palacio Palacio, 10 de noviembre de 2016; </w:t>
      </w:r>
      <w:r w:rsidRPr="003535F7">
        <w:rPr>
          <w:rFonts w:ascii="Verdana" w:hAnsi="Verdana"/>
          <w:b w:val="0"/>
          <w:bCs w:val="0"/>
          <w:i/>
          <w:sz w:val="16"/>
          <w:szCs w:val="16"/>
        </w:rPr>
        <w:t>Sentencia T- 302/17</w:t>
      </w:r>
      <w:r w:rsidRPr="003535F7">
        <w:rPr>
          <w:rFonts w:ascii="Verdana" w:hAnsi="Verdana"/>
          <w:b w:val="0"/>
          <w:bCs w:val="0"/>
          <w:sz w:val="16"/>
          <w:szCs w:val="16"/>
        </w:rPr>
        <w:t xml:space="preserve">, Magistrado Ponente: Aquiles Arrieta Gómez, 8 de mayo de 2017 y </w:t>
      </w:r>
      <w:r w:rsidRPr="003535F7">
        <w:rPr>
          <w:rFonts w:ascii="Verdana" w:hAnsi="Verdana"/>
          <w:b w:val="0"/>
          <w:bCs w:val="0"/>
          <w:i/>
          <w:sz w:val="16"/>
          <w:szCs w:val="16"/>
        </w:rPr>
        <w:t>Sentencia T-080/18</w:t>
      </w:r>
      <w:r w:rsidRPr="003535F7">
        <w:rPr>
          <w:rFonts w:ascii="Verdana" w:hAnsi="Verdana"/>
          <w:b w:val="0"/>
          <w:bCs w:val="0"/>
          <w:sz w:val="16"/>
          <w:szCs w:val="16"/>
        </w:rPr>
        <w:t>, Magistrado Ponente: Carlos Libardo Bernal Pulido, 2 de marzo de 2018.</w:t>
      </w:r>
    </w:p>
  </w:footnote>
  <w:footnote w:id="91">
    <w:p w14:paraId="16A0A4C4" w14:textId="51BACB76" w:rsidR="00A74C00" w:rsidRPr="003535F7" w:rsidRDefault="00A74C00" w:rsidP="000C2783">
      <w:pPr>
        <w:pStyle w:val="FootnoteText"/>
        <w:spacing w:after="240"/>
        <w:jc w:val="both"/>
        <w:rPr>
          <w:rFonts w:ascii="Verdana" w:hAnsi="Verdana"/>
          <w:sz w:val="16"/>
          <w:szCs w:val="16"/>
          <w:lang w:val="es-ES"/>
        </w:rPr>
      </w:pPr>
      <w:r w:rsidRPr="003535F7">
        <w:rPr>
          <w:rStyle w:val="FootnoteReference"/>
          <w:rFonts w:ascii="Verdana" w:hAnsi="Verdana"/>
          <w:sz w:val="16"/>
          <w:szCs w:val="16"/>
        </w:rPr>
        <w:footnoteRef/>
      </w:r>
      <w:r w:rsidRPr="003535F7">
        <w:rPr>
          <w:rFonts w:ascii="Verdana" w:hAnsi="Verdana"/>
          <w:sz w:val="16"/>
          <w:szCs w:val="16"/>
        </w:rPr>
        <w:t xml:space="preserve"> </w:t>
      </w:r>
      <w:r w:rsidRPr="003535F7">
        <w:rPr>
          <w:rFonts w:ascii="Verdana" w:hAnsi="Verdana"/>
          <w:sz w:val="16"/>
          <w:szCs w:val="16"/>
          <w:lang w:val="es-ES"/>
        </w:rPr>
        <w:tab/>
        <w:t xml:space="preserve">Cabe precisar que el hecho que los poderes judiciales se pronuncien sobre la vulneración de los derechos sociales o de la posible vulneración de los derechos sociales no implica que el poder judicial se avoque a crear políticas públicas o bien a suplantar a alguno de los poderes a nivel interno (por ejemplo, el legislativo); es claro que la finalidad del poder judicial no es la de legislar sin embargo, su finalidad como poder es la de velar porque los derechos que se encuentren constitucionalizados o bien de fuente internacional – a los que se haya comprometido, sean efectivos. Sobre este punto, se han pronunciado la Corte Constitucional de Colombia ( </w:t>
      </w:r>
      <w:r w:rsidRPr="003535F7">
        <w:rPr>
          <w:rFonts w:ascii="Verdana" w:hAnsi="Verdana"/>
          <w:i/>
          <w:sz w:val="16"/>
          <w:szCs w:val="16"/>
          <w:lang w:val="es-MX"/>
        </w:rPr>
        <w:t>Sentencia T- 025</w:t>
      </w:r>
      <w:r w:rsidRPr="003535F7">
        <w:rPr>
          <w:rFonts w:ascii="Verdana" w:hAnsi="Verdana"/>
          <w:sz w:val="16"/>
          <w:szCs w:val="16"/>
          <w:lang w:val="es-MX"/>
        </w:rPr>
        <w:t xml:space="preserve">, Magistrado Ponente: Manuel José Cepeda Espinosa, 22 de enero de 2004 ) y </w:t>
      </w:r>
      <w:r w:rsidRPr="003535F7">
        <w:rPr>
          <w:rFonts w:ascii="Verdana" w:hAnsi="Verdana"/>
          <w:sz w:val="16"/>
          <w:szCs w:val="16"/>
          <w:lang w:val="es-ES"/>
        </w:rPr>
        <w:t xml:space="preserve">la </w:t>
      </w:r>
      <w:r w:rsidRPr="003535F7">
        <w:rPr>
          <w:rFonts w:ascii="Verdana" w:hAnsi="Verdana"/>
          <w:sz w:val="16"/>
          <w:szCs w:val="16"/>
        </w:rPr>
        <w:t>Suprema Corte de Justicia de la Nación (Amparo en Revisión 378/2014, Ministro Ponente: Alberto Pérez Dayán, Secretaria: Georgina Laso de la Vega Romero, p. 58)</w:t>
      </w:r>
      <w:r w:rsidR="003E12C7">
        <w:rPr>
          <w:rFonts w:ascii="Verdana" w:hAnsi="Verdana"/>
          <w:sz w:val="16"/>
          <w:szCs w:val="16"/>
        </w:rPr>
        <w:t>.</w:t>
      </w:r>
      <w:r w:rsidRPr="003535F7">
        <w:rPr>
          <w:rFonts w:ascii="Verdana" w:hAnsi="Verdana"/>
          <w:sz w:val="16"/>
          <w:szCs w:val="16"/>
          <w:lang w:val="es-ES"/>
        </w:rPr>
        <w:t xml:space="preserve"> </w:t>
      </w:r>
    </w:p>
  </w:footnote>
  <w:footnote w:id="92">
    <w:p w14:paraId="4C8EA84E" w14:textId="196CD7D2" w:rsidR="00A74C00" w:rsidRPr="00006216" w:rsidRDefault="00A74C00" w:rsidP="000C2783">
      <w:pPr>
        <w:pStyle w:val="CommentText"/>
        <w:spacing w:after="240"/>
        <w:jc w:val="both"/>
        <w:rPr>
          <w:rFonts w:ascii="Verdana" w:hAnsi="Verdana"/>
          <w:i/>
          <w:sz w:val="16"/>
          <w:szCs w:val="16"/>
        </w:rPr>
      </w:pPr>
      <w:r w:rsidRPr="003535F7">
        <w:rPr>
          <w:rStyle w:val="FootnoteReference"/>
          <w:rFonts w:ascii="Verdana" w:hAnsi="Verdana"/>
          <w:sz w:val="16"/>
          <w:szCs w:val="16"/>
        </w:rPr>
        <w:footnoteRef/>
      </w:r>
      <w:r w:rsidRPr="003535F7">
        <w:rPr>
          <w:rFonts w:ascii="Verdana" w:hAnsi="Verdana"/>
          <w:sz w:val="16"/>
          <w:szCs w:val="16"/>
        </w:rPr>
        <w:t xml:space="preserve"> </w:t>
      </w:r>
      <w:r w:rsidRPr="003535F7">
        <w:rPr>
          <w:rFonts w:ascii="Verdana" w:hAnsi="Verdana"/>
          <w:sz w:val="16"/>
          <w:szCs w:val="16"/>
        </w:rPr>
        <w:tab/>
        <w:t xml:space="preserve">Sobre este tema la Observación general No. 14 del Comité DESC ha precisado que: “54. </w:t>
      </w:r>
      <w:r w:rsidRPr="00951E50">
        <w:rPr>
          <w:rFonts w:ascii="Verdana" w:hAnsi="Verdana"/>
          <w:sz w:val="16"/>
          <w:szCs w:val="16"/>
        </w:rPr>
        <w:t>Al formular y ejecutar las estrategias nacionales de salud deberán respetarse, entre otros, los principios relativos a la no discriminación y la participación del pueblo. En particular, un factor integrante de toda política, programa o estrategia con miras al cumplimiento de las obligaciones gubernamentales en virtud del artículo 12 es el derecho de los particulares y grupos a participar en el proceso de adopción de decisiones que puedan afectar a su desarrollo. Para promover la salud, la comunidad debe participar efectivamente en la fijación de prioridades, la adopción de decisiones, la planificación y la aplicación y evaluación de las estrategias destinadas a mejorar la salud. Sólo podrá asegurarse la prestación efectiva de servicios de salud si los Estados garantizan la participación del pueblo”.</w:t>
      </w:r>
      <w:r w:rsidRPr="003535F7">
        <w:rPr>
          <w:rFonts w:ascii="Verdana" w:hAnsi="Verdana"/>
          <w:sz w:val="16"/>
          <w:szCs w:val="16"/>
        </w:rPr>
        <w:t xml:space="preserve"> [énfasis añadido].</w:t>
      </w:r>
      <w:r w:rsidR="00006216">
        <w:rPr>
          <w:rFonts w:ascii="Verdana" w:hAnsi="Verdana"/>
          <w:sz w:val="16"/>
          <w:szCs w:val="16"/>
          <w:lang w:val="es-ES"/>
        </w:rPr>
        <w:t xml:space="preserve"> </w:t>
      </w:r>
      <w:r w:rsidRPr="003535F7">
        <w:rPr>
          <w:rFonts w:ascii="Verdana" w:hAnsi="Verdana"/>
          <w:sz w:val="16"/>
          <w:szCs w:val="16"/>
        </w:rPr>
        <w:t>Comité DESC, Observación General No. 14, El derecho al disfrute del más alto nivel posible de salud (artículo 12 del Pacto Internacional de Derechos, Económicos, Sociales y Culturales)</w:t>
      </w:r>
      <w:r w:rsidRPr="00006216">
        <w:rPr>
          <w:rFonts w:ascii="Verdana" w:hAnsi="Verdana"/>
          <w:sz w:val="16"/>
          <w:szCs w:val="16"/>
        </w:rPr>
        <w:t xml:space="preserve">, </w:t>
      </w:r>
      <w:r w:rsidRPr="003535F7">
        <w:rPr>
          <w:rFonts w:ascii="Verdana" w:hAnsi="Verdana"/>
          <w:sz w:val="16"/>
          <w:szCs w:val="16"/>
        </w:rPr>
        <w:t>E/C.12/2000/4</w:t>
      </w:r>
      <w:r w:rsidRPr="00006216">
        <w:rPr>
          <w:rFonts w:ascii="Verdana" w:hAnsi="Verdana"/>
          <w:sz w:val="16"/>
          <w:szCs w:val="16"/>
        </w:rPr>
        <w:t xml:space="preserve">, </w:t>
      </w:r>
      <w:r w:rsidRPr="003535F7">
        <w:rPr>
          <w:rFonts w:ascii="Verdana" w:hAnsi="Verdana"/>
          <w:sz w:val="16"/>
          <w:szCs w:val="16"/>
        </w:rPr>
        <w:t xml:space="preserve">11 de agosto del 2000, párr. 54. </w:t>
      </w:r>
      <w:r w:rsidRPr="00006216">
        <w:rPr>
          <w:rFonts w:ascii="Verdana" w:hAnsi="Verdana"/>
          <w:sz w:val="16"/>
          <w:szCs w:val="16"/>
        </w:rPr>
        <w:t xml:space="preserve">En un sentido similar se pronunció la ex Relatora Especial sobre pobreza extrema y derechos humanos, Dra. María Magdalena Sepúlveda Carmona, en el Informe sobre el derecho a la participación de las personas que viven en la pobreza. Véase: Informe de la Relatora Especial sobre la extrema pobreza y los derechos humanos, Magdalena Sepúlveda Carmona, A/HRC/23/36, 11 de marzo de 2013, párrs. 21,22 y 23. </w:t>
      </w:r>
    </w:p>
  </w:footnote>
  <w:footnote w:id="93">
    <w:p w14:paraId="31B4D4AF" w14:textId="0F70B95D" w:rsidR="00801358" w:rsidRPr="00801358" w:rsidRDefault="00801358" w:rsidP="000C2783">
      <w:pPr>
        <w:pStyle w:val="FootnoteText"/>
        <w:spacing w:after="240"/>
        <w:jc w:val="both"/>
        <w:rPr>
          <w:rFonts w:ascii="Verdana" w:hAnsi="Verdana"/>
          <w:bCs/>
          <w:sz w:val="16"/>
          <w:szCs w:val="16"/>
          <w:shd w:val="clear" w:color="auto" w:fill="FFFFFF"/>
        </w:rPr>
      </w:pPr>
      <w:r w:rsidRPr="00801358">
        <w:rPr>
          <w:rStyle w:val="FootnoteReference"/>
          <w:rFonts w:ascii="Verdana" w:hAnsi="Verdana"/>
          <w:sz w:val="16"/>
          <w:szCs w:val="16"/>
        </w:rPr>
        <w:footnoteRef/>
      </w:r>
      <w:r w:rsidRPr="00801358">
        <w:rPr>
          <w:rFonts w:ascii="Verdana" w:hAnsi="Verdana"/>
          <w:sz w:val="16"/>
          <w:szCs w:val="16"/>
        </w:rPr>
        <w:t xml:space="preserve"> </w:t>
      </w:r>
      <w:r>
        <w:rPr>
          <w:rFonts w:ascii="Verdana" w:hAnsi="Verdana"/>
          <w:sz w:val="16"/>
          <w:szCs w:val="16"/>
        </w:rPr>
        <w:tab/>
      </w:r>
      <w:r w:rsidRPr="00801358">
        <w:rPr>
          <w:rFonts w:ascii="Verdana" w:hAnsi="Verdana"/>
          <w:i/>
          <w:sz w:val="16"/>
          <w:szCs w:val="16"/>
        </w:rPr>
        <w:t xml:space="preserve">Cfr. </w:t>
      </w:r>
      <w:r w:rsidRPr="00801358">
        <w:rPr>
          <w:rStyle w:val="Strong"/>
          <w:rFonts w:ascii="Verdana" w:hAnsi="Verdana"/>
          <w:b w:val="0"/>
          <w:i/>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Pr="00801358">
        <w:rPr>
          <w:rStyle w:val="Strong"/>
          <w:rFonts w:ascii="Verdana" w:hAnsi="Verdana"/>
          <w:b w:val="0"/>
          <w:i/>
          <w:sz w:val="16"/>
          <w:szCs w:val="16"/>
          <w:shd w:val="clear" w:color="auto" w:fill="FFFFFF"/>
        </w:rPr>
        <w:t>, Fondo, Reparaciones y Costas.</w:t>
      </w:r>
      <w:r w:rsidR="003E12C7">
        <w:rPr>
          <w:rStyle w:val="Strong"/>
          <w:rFonts w:ascii="Verdana" w:hAnsi="Verdana"/>
          <w:b w:val="0"/>
          <w:i/>
          <w:sz w:val="16"/>
          <w:szCs w:val="16"/>
          <w:shd w:val="clear" w:color="auto" w:fill="FFFFFF"/>
        </w:rPr>
        <w:t xml:space="preserve"> </w:t>
      </w:r>
      <w:r w:rsidRPr="00801358">
        <w:rPr>
          <w:rStyle w:val="Strong"/>
          <w:rFonts w:ascii="Verdana" w:hAnsi="Verdana"/>
          <w:b w:val="0"/>
          <w:sz w:val="16"/>
          <w:szCs w:val="16"/>
          <w:shd w:val="clear" w:color="auto" w:fill="FFFFFF"/>
        </w:rPr>
        <w:t xml:space="preserve">Sentencia de 23 de agosto de 2018. Serie C No. </w:t>
      </w:r>
      <w:r w:rsidR="001977A4">
        <w:rPr>
          <w:rStyle w:val="Strong"/>
          <w:rFonts w:ascii="Verdana" w:hAnsi="Verdana"/>
          <w:b w:val="0"/>
          <w:sz w:val="16"/>
          <w:szCs w:val="16"/>
          <w:shd w:val="clear" w:color="auto" w:fill="FFFFFF"/>
        </w:rPr>
        <w:t>359</w:t>
      </w:r>
      <w:r w:rsidRPr="00801358">
        <w:rPr>
          <w:rStyle w:val="Strong"/>
          <w:rFonts w:ascii="Verdana" w:hAnsi="Verdana"/>
          <w:b w:val="0"/>
          <w:sz w:val="16"/>
          <w:szCs w:val="16"/>
          <w:shd w:val="clear" w:color="auto" w:fill="FFFFFF"/>
        </w:rPr>
        <w:t xml:space="preserve">, párr. </w:t>
      </w:r>
      <w:r>
        <w:rPr>
          <w:rStyle w:val="Strong"/>
          <w:rFonts w:ascii="Verdana" w:hAnsi="Verdana"/>
          <w:b w:val="0"/>
          <w:sz w:val="16"/>
          <w:szCs w:val="16"/>
          <w:shd w:val="clear" w:color="auto" w:fill="FFFFFF"/>
        </w:rPr>
        <w:t>224</w:t>
      </w:r>
      <w:r w:rsidRPr="00801358">
        <w:rPr>
          <w:rStyle w:val="Strong"/>
          <w:rFonts w:ascii="Verdana" w:hAnsi="Verdana"/>
          <w:b w:val="0"/>
          <w:sz w:val="16"/>
          <w:szCs w:val="16"/>
          <w:shd w:val="clear" w:color="auto" w:fill="FFFFFF"/>
        </w:rPr>
        <w:t>.</w:t>
      </w:r>
    </w:p>
  </w:footnote>
  <w:footnote w:id="94">
    <w:p w14:paraId="5517A050" w14:textId="7283DBC8" w:rsidR="008259B1" w:rsidRPr="00717FC4" w:rsidRDefault="00A74C00" w:rsidP="000C2783">
      <w:pPr>
        <w:pStyle w:val="FootnoteText"/>
        <w:spacing w:after="240"/>
        <w:jc w:val="both"/>
        <w:rPr>
          <w:rFonts w:ascii="Verdana" w:hAnsi="Verdana"/>
          <w:sz w:val="16"/>
          <w:szCs w:val="16"/>
          <w:highlight w:val="green"/>
        </w:rPr>
      </w:pPr>
      <w:r w:rsidRPr="00951E50">
        <w:rPr>
          <w:rStyle w:val="FootnoteReference"/>
          <w:rFonts w:ascii="Verdana" w:hAnsi="Verdana"/>
          <w:sz w:val="16"/>
          <w:szCs w:val="16"/>
        </w:rPr>
        <w:footnoteRef/>
      </w:r>
      <w:r w:rsidRPr="00951E50">
        <w:rPr>
          <w:rFonts w:ascii="Verdana" w:hAnsi="Verdana"/>
          <w:sz w:val="16"/>
          <w:szCs w:val="16"/>
        </w:rPr>
        <w:t xml:space="preserve"> </w:t>
      </w:r>
      <w:r w:rsidR="00C23CDC">
        <w:rPr>
          <w:rFonts w:ascii="Verdana" w:hAnsi="Verdana"/>
          <w:sz w:val="16"/>
          <w:szCs w:val="16"/>
        </w:rPr>
        <w:tab/>
      </w:r>
      <w:r w:rsidRPr="00951E50">
        <w:rPr>
          <w:rFonts w:ascii="Verdana" w:hAnsi="Verdana"/>
          <w:sz w:val="16"/>
          <w:szCs w:val="16"/>
          <w:lang w:val="es-CR"/>
        </w:rPr>
        <w:t>ONU,</w:t>
      </w:r>
      <w:r w:rsidRPr="00951E50">
        <w:rPr>
          <w:rFonts w:ascii="Verdana" w:hAnsi="Verdana"/>
          <w:i/>
          <w:sz w:val="16"/>
          <w:szCs w:val="16"/>
          <w:lang w:val="es-CR"/>
        </w:rPr>
        <w:t xml:space="preserve"> </w:t>
      </w:r>
      <w:r w:rsidRPr="00951E50">
        <w:rPr>
          <w:rFonts w:ascii="Verdana" w:hAnsi="Verdana"/>
          <w:sz w:val="16"/>
          <w:szCs w:val="16"/>
          <w:lang w:val="es-CR"/>
        </w:rPr>
        <w:t xml:space="preserve">Resolución de la Asamblea General “Transformar nuestro mundo: la Agenda 2030 para el Desarrollo </w:t>
      </w:r>
      <w:r w:rsidRPr="005C0877">
        <w:rPr>
          <w:rFonts w:ascii="Verdana" w:hAnsi="Verdana"/>
          <w:sz w:val="16"/>
          <w:szCs w:val="16"/>
          <w:lang w:val="es-CR"/>
        </w:rPr>
        <w:t xml:space="preserve">Sostenible” A/70/L.1 aprobada el 25 de </w:t>
      </w:r>
      <w:r w:rsidRPr="005C0877">
        <w:rPr>
          <w:rFonts w:ascii="Verdana" w:eastAsia="Times New Roman" w:hAnsi="Verdana" w:cs="Arial"/>
          <w:sz w:val="16"/>
          <w:szCs w:val="16"/>
          <w:shd w:val="clear" w:color="auto" w:fill="FFFFFF"/>
          <w:lang w:val="es-CR"/>
        </w:rPr>
        <w:t xml:space="preserve">septiembre de 2015, párrs. 23, 55 y 66, objetivo 3, 3.3 y 3.8, disponible en </w:t>
      </w:r>
      <w:hyperlink r:id="rId3" w:history="1">
        <w:r w:rsidR="008259B1" w:rsidRPr="005C0877">
          <w:rPr>
            <w:rStyle w:val="Hyperlink"/>
            <w:rFonts w:ascii="Verdana" w:eastAsia="Times New Roman" w:hAnsi="Verdana" w:cs="Arial"/>
            <w:color w:val="auto"/>
            <w:sz w:val="16"/>
            <w:szCs w:val="16"/>
            <w:u w:val="none"/>
            <w:shd w:val="clear" w:color="auto" w:fill="FFFFFF"/>
            <w:lang w:val="es-CR"/>
          </w:rPr>
          <w:t>https://undocs.org/es/A/RES/70/1</w:t>
        </w:r>
      </w:hyperlink>
    </w:p>
  </w:footnote>
  <w:footnote w:id="95">
    <w:p w14:paraId="56A02E86" w14:textId="7DED4169" w:rsidR="008259B1" w:rsidRPr="00DC62D8" w:rsidRDefault="00A74C00" w:rsidP="000C2783">
      <w:pPr>
        <w:pStyle w:val="FootnoteText"/>
        <w:spacing w:after="240"/>
        <w:jc w:val="both"/>
        <w:rPr>
          <w:rFonts w:ascii="Verdana" w:hAnsi="Verdana"/>
          <w:sz w:val="16"/>
          <w:szCs w:val="16"/>
        </w:rPr>
      </w:pPr>
      <w:r w:rsidRPr="00951E50">
        <w:rPr>
          <w:rStyle w:val="FootnoteReference"/>
          <w:rFonts w:ascii="Verdana" w:hAnsi="Verdana"/>
          <w:sz w:val="16"/>
          <w:szCs w:val="16"/>
        </w:rPr>
        <w:footnoteRef/>
      </w:r>
      <w:r w:rsidRPr="00951E50">
        <w:rPr>
          <w:rFonts w:ascii="Verdana" w:hAnsi="Verdana"/>
          <w:sz w:val="16"/>
          <w:szCs w:val="16"/>
        </w:rPr>
        <w:t xml:space="preserve"> </w:t>
      </w:r>
      <w:r w:rsidR="00C23CDC">
        <w:rPr>
          <w:rFonts w:ascii="Verdana" w:hAnsi="Verdana"/>
          <w:sz w:val="16"/>
          <w:szCs w:val="16"/>
        </w:rPr>
        <w:tab/>
      </w:r>
      <w:r w:rsidR="00801358" w:rsidRPr="003535F7">
        <w:rPr>
          <w:rFonts w:ascii="Verdana" w:hAnsi="Verdana"/>
          <w:i/>
          <w:sz w:val="16"/>
          <w:szCs w:val="16"/>
        </w:rPr>
        <w:t xml:space="preserve">Cfr. </w:t>
      </w:r>
      <w:r w:rsidR="00801358" w:rsidRPr="003535F7">
        <w:rPr>
          <w:rStyle w:val="Strong"/>
          <w:rFonts w:ascii="Verdana" w:hAnsi="Verdana"/>
          <w:b w:val="0"/>
          <w:i/>
          <w:sz w:val="16"/>
          <w:szCs w:val="16"/>
          <w:shd w:val="clear" w:color="auto" w:fill="FFFFFF"/>
        </w:rPr>
        <w:t xml:space="preserve">Caso Cuscul Pivaral y otros Vs. Guatemala. </w:t>
      </w:r>
      <w:r w:rsidR="003E12C7">
        <w:rPr>
          <w:rStyle w:val="Strong"/>
          <w:rFonts w:ascii="Verdana" w:hAnsi="Verdana"/>
          <w:b w:val="0"/>
          <w:i/>
          <w:color w:val="000000"/>
          <w:sz w:val="16"/>
          <w:szCs w:val="16"/>
          <w:shd w:val="clear" w:color="auto" w:fill="FFFFFF"/>
        </w:rPr>
        <w:t>Excepción Preliminar</w:t>
      </w:r>
      <w:r w:rsidR="00801358" w:rsidRPr="003535F7">
        <w:rPr>
          <w:rStyle w:val="Strong"/>
          <w:rFonts w:ascii="Verdana" w:hAnsi="Verdana"/>
          <w:b w:val="0"/>
          <w:i/>
          <w:sz w:val="16"/>
          <w:szCs w:val="16"/>
          <w:shd w:val="clear" w:color="auto" w:fill="FFFFFF"/>
        </w:rPr>
        <w:t>, Fondo, Reparaciones y Costas.</w:t>
      </w:r>
      <w:r w:rsidR="00801358">
        <w:rPr>
          <w:rStyle w:val="Strong"/>
          <w:rFonts w:ascii="Verdana" w:hAnsi="Verdana"/>
          <w:b w:val="0"/>
          <w:i/>
          <w:sz w:val="16"/>
          <w:szCs w:val="16"/>
          <w:shd w:val="clear" w:color="auto" w:fill="FFFFFF"/>
        </w:rPr>
        <w:t xml:space="preserve"> </w:t>
      </w:r>
      <w:r w:rsidR="00801358" w:rsidRPr="003535F7">
        <w:rPr>
          <w:rStyle w:val="Strong"/>
          <w:rFonts w:ascii="Verdana" w:hAnsi="Verdana"/>
          <w:b w:val="0"/>
          <w:sz w:val="16"/>
          <w:szCs w:val="16"/>
          <w:shd w:val="clear" w:color="auto" w:fill="FFFFFF"/>
        </w:rPr>
        <w:t>S</w:t>
      </w:r>
      <w:r w:rsidR="00801358">
        <w:rPr>
          <w:rStyle w:val="Strong"/>
          <w:rFonts w:ascii="Verdana" w:hAnsi="Verdana"/>
          <w:b w:val="0"/>
          <w:sz w:val="16"/>
          <w:szCs w:val="16"/>
          <w:shd w:val="clear" w:color="auto" w:fill="FFFFFF"/>
        </w:rPr>
        <w:t>entencia de 23</w:t>
      </w:r>
      <w:r w:rsidR="00801358" w:rsidRPr="003535F7">
        <w:rPr>
          <w:rStyle w:val="Strong"/>
          <w:rFonts w:ascii="Verdana" w:hAnsi="Verdana"/>
          <w:b w:val="0"/>
          <w:sz w:val="16"/>
          <w:szCs w:val="16"/>
          <w:shd w:val="clear" w:color="auto" w:fill="FFFFFF"/>
        </w:rPr>
        <w:t xml:space="preserve"> de agosto de 2018. Serie C No. </w:t>
      </w:r>
      <w:r w:rsidR="001977A4">
        <w:rPr>
          <w:rStyle w:val="Strong"/>
          <w:rFonts w:ascii="Verdana" w:hAnsi="Verdana"/>
          <w:b w:val="0"/>
          <w:sz w:val="16"/>
          <w:szCs w:val="16"/>
          <w:shd w:val="clear" w:color="auto" w:fill="FFFFFF"/>
        </w:rPr>
        <w:t>359</w:t>
      </w:r>
      <w:r w:rsidR="00801358" w:rsidRPr="003535F7">
        <w:rPr>
          <w:rStyle w:val="Strong"/>
          <w:rFonts w:ascii="Verdana" w:hAnsi="Verdana"/>
          <w:b w:val="0"/>
          <w:sz w:val="16"/>
          <w:szCs w:val="16"/>
          <w:shd w:val="clear" w:color="auto" w:fill="FFFFFF"/>
        </w:rPr>
        <w:t xml:space="preserve">, párr. </w:t>
      </w:r>
      <w:r w:rsidR="00801358">
        <w:rPr>
          <w:rStyle w:val="Strong"/>
          <w:rFonts w:ascii="Verdana" w:hAnsi="Verdana"/>
          <w:b w:val="0"/>
          <w:sz w:val="16"/>
          <w:szCs w:val="16"/>
          <w:shd w:val="clear" w:color="auto" w:fill="FFFFFF"/>
        </w:rPr>
        <w:t>109</w:t>
      </w:r>
      <w:r w:rsidR="00801358" w:rsidRPr="003535F7">
        <w:rPr>
          <w:rStyle w:val="Strong"/>
          <w:rFonts w:ascii="Verdana" w:hAnsi="Verdana"/>
          <w:b w:val="0"/>
          <w:sz w:val="16"/>
          <w:szCs w:val="16"/>
          <w:shd w:val="clear" w:color="auto" w:fill="FFFFFF"/>
        </w:rPr>
        <w:t>.</w:t>
      </w:r>
    </w:p>
  </w:footnote>
  <w:footnote w:id="96">
    <w:p w14:paraId="0B851264" w14:textId="02D8F7D7" w:rsidR="00A74C00" w:rsidRPr="00B6213F" w:rsidRDefault="00A74C00" w:rsidP="000C2783">
      <w:pPr>
        <w:pStyle w:val="FootnoteText"/>
        <w:spacing w:after="240"/>
        <w:jc w:val="both"/>
        <w:rPr>
          <w:rFonts w:ascii="Verdana" w:hAnsi="Verdana"/>
          <w:sz w:val="16"/>
          <w:szCs w:val="16"/>
          <w:lang w:val="es-CR"/>
        </w:rPr>
      </w:pPr>
      <w:r w:rsidRPr="00951E50">
        <w:rPr>
          <w:rStyle w:val="FootnoteReference"/>
          <w:rFonts w:ascii="Verdana" w:hAnsi="Verdana"/>
          <w:sz w:val="16"/>
          <w:szCs w:val="16"/>
        </w:rPr>
        <w:footnoteRef/>
      </w:r>
      <w:r w:rsidRPr="00951E50">
        <w:rPr>
          <w:rFonts w:ascii="Verdana" w:hAnsi="Verdana"/>
          <w:sz w:val="16"/>
          <w:szCs w:val="16"/>
        </w:rPr>
        <w:t xml:space="preserve"> </w:t>
      </w:r>
      <w:r w:rsidRPr="00951E50">
        <w:rPr>
          <w:rFonts w:ascii="Verdana" w:hAnsi="Verdana"/>
          <w:sz w:val="16"/>
          <w:szCs w:val="16"/>
          <w:lang w:val="es-CR"/>
        </w:rPr>
        <w:tab/>
        <w:t xml:space="preserve">CEPAL, </w:t>
      </w:r>
      <w:r w:rsidRPr="00951E50">
        <w:rPr>
          <w:rFonts w:ascii="Verdana" w:hAnsi="Verdana"/>
          <w:i/>
          <w:sz w:val="16"/>
          <w:szCs w:val="16"/>
          <w:lang w:val="es-CR"/>
        </w:rPr>
        <w:t>Panorama Social de América Latina</w:t>
      </w:r>
      <w:r w:rsidRPr="00951E50">
        <w:rPr>
          <w:rFonts w:ascii="Verdana" w:hAnsi="Verdana"/>
          <w:sz w:val="16"/>
          <w:szCs w:val="16"/>
          <w:lang w:val="es-CR"/>
        </w:rPr>
        <w:t xml:space="preserve"> </w:t>
      </w:r>
      <w:r w:rsidRPr="00951E50">
        <w:rPr>
          <w:rFonts w:ascii="Verdana" w:hAnsi="Verdana"/>
          <w:i/>
          <w:sz w:val="16"/>
          <w:szCs w:val="16"/>
          <w:lang w:val="es-CR"/>
        </w:rPr>
        <w:t>2016</w:t>
      </w:r>
      <w:r w:rsidRPr="00951E50">
        <w:rPr>
          <w:rFonts w:ascii="Verdana" w:hAnsi="Verdana"/>
          <w:sz w:val="16"/>
          <w:szCs w:val="16"/>
          <w:lang w:val="es-CR"/>
        </w:rPr>
        <w:t xml:space="preserve">, Naciones Unidas, (LC/PUB.2017/12-P), Santiago, 2017, pág. 47. Disponible en: </w:t>
      </w:r>
      <w:hyperlink r:id="rId4" w:history="1">
        <w:r w:rsidRPr="005C0877">
          <w:rPr>
            <w:rStyle w:val="Hyperlink"/>
            <w:rFonts w:ascii="Verdana" w:hAnsi="Verdana"/>
            <w:color w:val="auto"/>
            <w:sz w:val="16"/>
            <w:szCs w:val="16"/>
            <w:u w:val="none"/>
            <w:lang w:val="es-CR"/>
          </w:rPr>
          <w:t>https://repositorio.cepal.org/bitstream/handle/11362/41598/4/S1700567_es.pdf</w:t>
        </w:r>
      </w:hyperlink>
      <w:r w:rsidR="003E12C7" w:rsidRPr="005C0877">
        <w:rPr>
          <w:rFonts w:ascii="Verdana" w:hAnsi="Verdana"/>
          <w:sz w:val="16"/>
          <w:szCs w:val="16"/>
          <w:lang w:val="es-CR"/>
        </w:rPr>
        <w:t>.</w:t>
      </w:r>
    </w:p>
  </w:footnote>
  <w:footnote w:id="97">
    <w:p w14:paraId="5171BB33" w14:textId="58A8B56A" w:rsidR="00A74C00" w:rsidRPr="00711913" w:rsidRDefault="00A74C00" w:rsidP="000C2783">
      <w:pPr>
        <w:pStyle w:val="FootnoteText"/>
        <w:spacing w:after="240"/>
        <w:jc w:val="both"/>
        <w:rPr>
          <w:rFonts w:ascii="Verdana" w:hAnsi="Verdana"/>
          <w:sz w:val="16"/>
          <w:szCs w:val="16"/>
          <w:lang w:val="es-CR"/>
        </w:rPr>
      </w:pPr>
      <w:r w:rsidRPr="00B6213F">
        <w:rPr>
          <w:rStyle w:val="FootnoteReference"/>
          <w:rFonts w:ascii="Verdana" w:hAnsi="Verdana"/>
          <w:sz w:val="16"/>
          <w:szCs w:val="16"/>
        </w:rPr>
        <w:footnoteRef/>
      </w:r>
      <w:r w:rsidRPr="00B6213F">
        <w:rPr>
          <w:rFonts w:ascii="Verdana" w:hAnsi="Verdana"/>
          <w:sz w:val="16"/>
          <w:szCs w:val="16"/>
        </w:rPr>
        <w:t xml:space="preserve"> </w:t>
      </w:r>
      <w:r w:rsidRPr="00B6213F">
        <w:rPr>
          <w:rFonts w:ascii="Verdana" w:hAnsi="Verdana"/>
          <w:sz w:val="16"/>
          <w:szCs w:val="16"/>
          <w:lang w:val="es-CR"/>
        </w:rPr>
        <w:tab/>
      </w:r>
      <w:r>
        <w:rPr>
          <w:rFonts w:ascii="Verdana" w:hAnsi="Verdana"/>
          <w:i/>
          <w:sz w:val="16"/>
          <w:szCs w:val="16"/>
          <w:lang w:val="es-CR"/>
        </w:rPr>
        <w:t xml:space="preserve">Ibídem, </w:t>
      </w:r>
      <w:r>
        <w:rPr>
          <w:rFonts w:ascii="Verdana" w:hAnsi="Verdana"/>
          <w:sz w:val="16"/>
          <w:szCs w:val="16"/>
          <w:lang w:val="es-CR"/>
        </w:rPr>
        <w:t>pág. 11.</w:t>
      </w:r>
    </w:p>
  </w:footnote>
  <w:footnote w:id="98">
    <w:p w14:paraId="102DEBF8" w14:textId="5B449A32" w:rsidR="00A74C00" w:rsidRPr="00E31BBB" w:rsidRDefault="00A74C00" w:rsidP="000C2783">
      <w:pPr>
        <w:pStyle w:val="FootnoteText"/>
        <w:spacing w:after="240"/>
        <w:jc w:val="both"/>
        <w:rPr>
          <w:rFonts w:ascii="Verdana" w:hAnsi="Verdana"/>
          <w:sz w:val="16"/>
          <w:szCs w:val="16"/>
          <w:lang w:val="es-CR"/>
        </w:rPr>
      </w:pPr>
      <w:r w:rsidRPr="00ED3A26">
        <w:rPr>
          <w:rStyle w:val="FootnoteReference"/>
          <w:rFonts w:ascii="Verdana" w:hAnsi="Verdana"/>
          <w:sz w:val="16"/>
          <w:szCs w:val="16"/>
        </w:rPr>
        <w:footnoteRef/>
      </w:r>
      <w:r w:rsidRPr="00ED3A26">
        <w:rPr>
          <w:rFonts w:ascii="Verdana" w:hAnsi="Verdana"/>
          <w:sz w:val="16"/>
          <w:szCs w:val="16"/>
        </w:rPr>
        <w:t xml:space="preserve"> </w:t>
      </w:r>
      <w:r w:rsidRPr="00ED3A26">
        <w:rPr>
          <w:rFonts w:ascii="Verdana" w:hAnsi="Verdana"/>
          <w:sz w:val="16"/>
          <w:szCs w:val="16"/>
          <w:lang w:val="es-CR"/>
        </w:rPr>
        <w:tab/>
      </w:r>
      <w:r w:rsidRPr="00ED3A26">
        <w:rPr>
          <w:rFonts w:ascii="Verdana" w:hAnsi="Verdana"/>
          <w:i/>
          <w:sz w:val="16"/>
          <w:szCs w:val="16"/>
          <w:lang w:val="es-CR"/>
        </w:rPr>
        <w:t xml:space="preserve">Cfr. </w:t>
      </w:r>
      <w:r w:rsidRPr="00ED3A26">
        <w:rPr>
          <w:rFonts w:ascii="Verdana" w:hAnsi="Verdana"/>
          <w:sz w:val="16"/>
          <w:szCs w:val="16"/>
          <w:lang w:val="es-CR"/>
        </w:rPr>
        <w:t xml:space="preserve">CEPAL, </w:t>
      </w:r>
      <w:r w:rsidRPr="00ED3A26">
        <w:rPr>
          <w:rFonts w:ascii="Verdana" w:hAnsi="Verdana"/>
          <w:i/>
          <w:sz w:val="16"/>
          <w:szCs w:val="16"/>
          <w:lang w:val="es-CR"/>
        </w:rPr>
        <w:t>Panorama Social de América Latina</w:t>
      </w:r>
      <w:r w:rsidRPr="00ED3A26">
        <w:rPr>
          <w:rFonts w:ascii="Verdana" w:hAnsi="Verdana"/>
          <w:sz w:val="16"/>
          <w:szCs w:val="16"/>
          <w:lang w:val="es-CR"/>
        </w:rPr>
        <w:t xml:space="preserve"> 2017, Naciones Unidas, (LC/PUB.2018/1-P), Santiago, </w:t>
      </w:r>
      <w:r w:rsidR="00951E50" w:rsidRPr="00ED3A26">
        <w:rPr>
          <w:rFonts w:ascii="Verdana" w:hAnsi="Verdana"/>
          <w:sz w:val="16"/>
          <w:szCs w:val="16"/>
          <w:lang w:val="es-CR"/>
        </w:rPr>
        <w:t>2018, pág</w:t>
      </w:r>
      <w:r w:rsidR="00450E23" w:rsidRPr="00ED3A26">
        <w:rPr>
          <w:rFonts w:ascii="Verdana" w:hAnsi="Verdana"/>
          <w:sz w:val="16"/>
          <w:szCs w:val="16"/>
          <w:lang w:val="es-CR"/>
        </w:rPr>
        <w:t>s</w:t>
      </w:r>
      <w:r w:rsidR="00951E50" w:rsidRPr="00ED3A26">
        <w:rPr>
          <w:rFonts w:ascii="Verdana" w:hAnsi="Verdana"/>
          <w:sz w:val="16"/>
          <w:szCs w:val="16"/>
          <w:lang w:val="es-CR"/>
        </w:rPr>
        <w:t>. 14</w:t>
      </w:r>
      <w:r w:rsidR="00450E23" w:rsidRPr="00ED3A26">
        <w:rPr>
          <w:rFonts w:ascii="Verdana" w:hAnsi="Verdana"/>
          <w:sz w:val="16"/>
          <w:szCs w:val="16"/>
          <w:lang w:val="es-CR"/>
        </w:rPr>
        <w:t xml:space="preserve"> y 47</w:t>
      </w:r>
      <w:r w:rsidR="00951E50" w:rsidRPr="00ED3A26">
        <w:rPr>
          <w:rFonts w:ascii="Verdana" w:hAnsi="Verdana"/>
          <w:sz w:val="16"/>
          <w:szCs w:val="16"/>
          <w:lang w:val="es-CR"/>
        </w:rPr>
        <w:t>.</w:t>
      </w:r>
    </w:p>
  </w:footnote>
  <w:footnote w:id="99">
    <w:p w14:paraId="7E52F19B" w14:textId="1EDE1A31" w:rsidR="00A74C00" w:rsidRPr="00DD1072" w:rsidRDefault="00A74C00" w:rsidP="000C2783">
      <w:pPr>
        <w:pStyle w:val="FootnoteText"/>
        <w:spacing w:after="240"/>
        <w:jc w:val="both"/>
        <w:rPr>
          <w:rFonts w:ascii="Verdana" w:hAnsi="Verdana"/>
          <w:sz w:val="16"/>
          <w:szCs w:val="16"/>
          <w:lang w:val="es-CR"/>
        </w:rPr>
      </w:pPr>
      <w:r w:rsidRPr="00951E50">
        <w:rPr>
          <w:rStyle w:val="FootnoteReference"/>
          <w:rFonts w:ascii="Verdana" w:hAnsi="Verdana"/>
          <w:sz w:val="16"/>
          <w:szCs w:val="16"/>
        </w:rPr>
        <w:footnoteRef/>
      </w:r>
      <w:r w:rsidRPr="00951E50">
        <w:rPr>
          <w:rFonts w:ascii="Verdana" w:hAnsi="Verdana"/>
          <w:sz w:val="16"/>
          <w:szCs w:val="16"/>
        </w:rPr>
        <w:t xml:space="preserve"> </w:t>
      </w:r>
      <w:r w:rsidRPr="00951E50">
        <w:rPr>
          <w:rFonts w:ascii="Verdana" w:hAnsi="Verdana"/>
          <w:sz w:val="16"/>
          <w:szCs w:val="16"/>
          <w:lang w:val="es-CR"/>
        </w:rPr>
        <w:tab/>
        <w:t>El Objetivo 3 (Salud y Bienestar) de la Agenda 2030 de la ONU en su Meta 3.3 considera “</w:t>
      </w:r>
      <w:r w:rsidRPr="00951E50">
        <w:rPr>
          <w:rFonts w:ascii="Verdana" w:hAnsi="Verdana"/>
          <w:bCs/>
          <w:sz w:val="16"/>
          <w:szCs w:val="16"/>
          <w:shd w:val="clear" w:color="auto" w:fill="FFFFFF"/>
        </w:rPr>
        <w:t>3.3</w:t>
      </w:r>
      <w:r w:rsidRPr="00951E50">
        <w:rPr>
          <w:rFonts w:ascii="Verdana" w:hAnsi="Verdana"/>
          <w:sz w:val="16"/>
          <w:szCs w:val="16"/>
          <w:shd w:val="clear" w:color="auto" w:fill="FFFFFF"/>
        </w:rPr>
        <w:t>  Para 2030, poner fin a las epidemias del SIDA, la tuberculosis, la malaria y las enfermedades tropicales desatendidas y combatir la hepatitis, las enfermedades transmitidas por el agua y otras enfermedades transmisibles</w:t>
      </w:r>
      <w:r w:rsidRPr="00951E50">
        <w:rPr>
          <w:rFonts w:ascii="Verdana" w:hAnsi="Verdana"/>
          <w:sz w:val="16"/>
          <w:szCs w:val="16"/>
          <w:lang w:val="es-CR"/>
        </w:rPr>
        <w:t>”. Véase, ONU, Resolución de la Asamblea General “Transformar nuestro mundo: la Agenda 2030 para el Desarrollo Sostenible” A/70/L.1 aprobada el 25 de septiembre de 2015.</w:t>
      </w:r>
    </w:p>
    <w:p w14:paraId="6A0586B1" w14:textId="25D81098" w:rsidR="00A74C00" w:rsidRPr="00A3417A" w:rsidRDefault="00A74C00" w:rsidP="000C2783">
      <w:pPr>
        <w:pStyle w:val="FootnoteText"/>
        <w:spacing w:after="240"/>
        <w:jc w:val="both"/>
        <w:rPr>
          <w:rFonts w:ascii="Verdana" w:hAnsi="Verdana"/>
          <w:sz w:val="16"/>
          <w:szCs w:val="16"/>
          <w:lang w:val="es-C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B53"/>
    <w:multiLevelType w:val="hybridMultilevel"/>
    <w:tmpl w:val="F3549630"/>
    <w:lvl w:ilvl="0" w:tplc="D27ED4C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B20744"/>
    <w:multiLevelType w:val="hybridMultilevel"/>
    <w:tmpl w:val="41E20D4C"/>
    <w:lvl w:ilvl="0" w:tplc="0C0A000F">
      <w:start w:val="4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6B41F3"/>
    <w:multiLevelType w:val="hybridMultilevel"/>
    <w:tmpl w:val="742E77A2"/>
    <w:lvl w:ilvl="0" w:tplc="9C52A506">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
    <w:nsid w:val="0D856073"/>
    <w:multiLevelType w:val="hybridMultilevel"/>
    <w:tmpl w:val="E25A1AF6"/>
    <w:lvl w:ilvl="0" w:tplc="2056FA4C">
      <w:start w:val="6"/>
      <w:numFmt w:val="decimal"/>
      <w:lvlText w:val="%1"/>
      <w:lvlJc w:val="left"/>
      <w:pPr>
        <w:ind w:left="720" w:hanging="360"/>
      </w:pPr>
      <w:rPr>
        <w:rFont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A50B76"/>
    <w:multiLevelType w:val="multilevel"/>
    <w:tmpl w:val="F9F02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0022AF"/>
    <w:multiLevelType w:val="hybridMultilevel"/>
    <w:tmpl w:val="3FAC22E0"/>
    <w:lvl w:ilvl="0" w:tplc="B22E0C32">
      <w:start w:val="1"/>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F6623E9"/>
    <w:multiLevelType w:val="hybridMultilevel"/>
    <w:tmpl w:val="CB82DFD2"/>
    <w:lvl w:ilvl="0" w:tplc="0C0A000F">
      <w:start w:val="6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D84848"/>
    <w:multiLevelType w:val="hybridMultilevel"/>
    <w:tmpl w:val="0C1E2CD4"/>
    <w:lvl w:ilvl="0" w:tplc="57945EAA">
      <w:start w:val="1"/>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371B3B79"/>
    <w:multiLevelType w:val="hybridMultilevel"/>
    <w:tmpl w:val="23D2810A"/>
    <w:lvl w:ilvl="0" w:tplc="DE785CEC">
      <w:start w:val="1"/>
      <w:numFmt w:val="decimal"/>
      <w:lvlText w:val="%1."/>
      <w:lvlJc w:val="left"/>
      <w:pPr>
        <w:ind w:left="6881" w:hanging="360"/>
      </w:pPr>
      <w:rPr>
        <w:rFonts w:hint="default"/>
        <w:b w:val="0"/>
        <w:i w:val="0"/>
        <w:color w:val="000000" w:themeColor="text1"/>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291692"/>
    <w:multiLevelType w:val="hybridMultilevel"/>
    <w:tmpl w:val="13306962"/>
    <w:lvl w:ilvl="0" w:tplc="9BC66CFA">
      <w:start w:val="192"/>
      <w:numFmt w:val="decimal"/>
      <w:lvlText w:val="%1."/>
      <w:lvlJc w:val="left"/>
      <w:pPr>
        <w:ind w:left="820" w:hanging="4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9D03AA"/>
    <w:multiLevelType w:val="hybridMultilevel"/>
    <w:tmpl w:val="A4D28258"/>
    <w:lvl w:ilvl="0" w:tplc="8294F2E4">
      <w:start w:val="210"/>
      <w:numFmt w:val="decimal"/>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F22EBB"/>
    <w:multiLevelType w:val="hybridMultilevel"/>
    <w:tmpl w:val="C20E44AE"/>
    <w:lvl w:ilvl="0" w:tplc="8F38D8C0">
      <w:start w:val="195"/>
      <w:numFmt w:val="decimal"/>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A16168"/>
    <w:multiLevelType w:val="hybridMultilevel"/>
    <w:tmpl w:val="EE4EE620"/>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18FCCB44">
      <w:start w:val="1"/>
      <w:numFmt w:val="lowerLetter"/>
      <w:lvlText w:val="%3."/>
      <w:lvlJc w:val="left"/>
      <w:pPr>
        <w:ind w:left="2651" w:hanging="180"/>
      </w:pPr>
      <w:rPr>
        <w:b w:val="0"/>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CCD1B5F"/>
    <w:multiLevelType w:val="hybridMultilevel"/>
    <w:tmpl w:val="32FA1412"/>
    <w:lvl w:ilvl="0" w:tplc="78AAAA9C">
      <w:start w:val="1"/>
      <w:numFmt w:val="decimal"/>
      <w:pStyle w:val="PrrafodeSentencia"/>
      <w:lvlText w:val="%1."/>
      <w:lvlJc w:val="left"/>
      <w:pPr>
        <w:ind w:left="7110" w:hanging="360"/>
      </w:pPr>
      <w:rPr>
        <w:rFonts w:ascii="Verdana" w:eastAsia="Batang" w:hAnsi="Verdana" w:cs="Times"/>
        <w:b w:val="0"/>
        <w:i w:val="0"/>
        <w:color w:val="auto"/>
        <w:sz w:val="20"/>
        <w:szCs w:val="20"/>
        <w:lang w:val="es-MX"/>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
    <w:nsid w:val="5A8C0434"/>
    <w:multiLevelType w:val="hybridMultilevel"/>
    <w:tmpl w:val="FA5E765A"/>
    <w:lvl w:ilvl="0" w:tplc="D9564908">
      <w:start w:val="1"/>
      <w:numFmt w:val="decimal"/>
      <w:lvlText w:val="%1."/>
      <w:lvlJc w:val="left"/>
      <w:pPr>
        <w:ind w:left="720" w:hanging="360"/>
      </w:pPr>
      <w:rPr>
        <w:rFonts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nsid w:val="5BBF0368"/>
    <w:multiLevelType w:val="hybridMultilevel"/>
    <w:tmpl w:val="235027DC"/>
    <w:lvl w:ilvl="0" w:tplc="92986990">
      <w:start w:val="51"/>
      <w:numFmt w:val="decimal"/>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6">
    <w:nsid w:val="61C05083"/>
    <w:multiLevelType w:val="hybridMultilevel"/>
    <w:tmpl w:val="9162E12C"/>
    <w:lvl w:ilvl="0" w:tplc="DA68706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10D4F29"/>
    <w:multiLevelType w:val="hybridMultilevel"/>
    <w:tmpl w:val="AAE484F8"/>
    <w:lvl w:ilvl="0" w:tplc="5498C22C">
      <w:start w:val="115"/>
      <w:numFmt w:val="decimal"/>
      <w:lvlText w:val="%1."/>
      <w:lvlJc w:val="left"/>
      <w:pPr>
        <w:ind w:left="820" w:hanging="4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740E8B"/>
    <w:multiLevelType w:val="multilevel"/>
    <w:tmpl w:val="2724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4"/>
  </w:num>
  <w:num w:numId="5">
    <w:abstractNumId w:val="10"/>
  </w:num>
  <w:num w:numId="6">
    <w:abstractNumId w:val="5"/>
  </w:num>
  <w:num w:numId="7">
    <w:abstractNumId w:val="7"/>
  </w:num>
  <w:num w:numId="8">
    <w:abstractNumId w:val="6"/>
  </w:num>
  <w:num w:numId="9">
    <w:abstractNumId w:val="1"/>
  </w:num>
  <w:num w:numId="10">
    <w:abstractNumId w:val="9"/>
  </w:num>
  <w:num w:numId="11">
    <w:abstractNumId w:val="11"/>
  </w:num>
  <w:num w:numId="12">
    <w:abstractNumId w:val="12"/>
  </w:num>
  <w:num w:numId="13">
    <w:abstractNumId w:val="17"/>
  </w:num>
  <w:num w:numId="14">
    <w:abstractNumId w:val="16"/>
  </w:num>
  <w:num w:numId="15">
    <w:abstractNumId w:val="15"/>
  </w:num>
  <w:num w:numId="16">
    <w:abstractNumId w:val="8"/>
  </w:num>
  <w:num w:numId="17">
    <w:abstractNumId w:val="2"/>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scila Cruces Aguilar">
    <w15:presenceInfo w15:providerId="AD" w15:userId="S-1-5-21-1476174393-1821851264-3796815038-14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F"/>
    <w:rsid w:val="0000598D"/>
    <w:rsid w:val="00005BEA"/>
    <w:rsid w:val="00006216"/>
    <w:rsid w:val="00006703"/>
    <w:rsid w:val="00007D58"/>
    <w:rsid w:val="00012324"/>
    <w:rsid w:val="00014DB7"/>
    <w:rsid w:val="0001595E"/>
    <w:rsid w:val="00027AED"/>
    <w:rsid w:val="0003428E"/>
    <w:rsid w:val="000356A3"/>
    <w:rsid w:val="00035751"/>
    <w:rsid w:val="000374FC"/>
    <w:rsid w:val="000410E2"/>
    <w:rsid w:val="00041F5B"/>
    <w:rsid w:val="00045136"/>
    <w:rsid w:val="000710C0"/>
    <w:rsid w:val="000716BD"/>
    <w:rsid w:val="00071DED"/>
    <w:rsid w:val="000732D2"/>
    <w:rsid w:val="00081D4E"/>
    <w:rsid w:val="00091D50"/>
    <w:rsid w:val="000A04CC"/>
    <w:rsid w:val="000A12C5"/>
    <w:rsid w:val="000B2EDF"/>
    <w:rsid w:val="000B31B3"/>
    <w:rsid w:val="000B43C7"/>
    <w:rsid w:val="000B6F39"/>
    <w:rsid w:val="000C189A"/>
    <w:rsid w:val="000C1FAC"/>
    <w:rsid w:val="000C2783"/>
    <w:rsid w:val="000C31CA"/>
    <w:rsid w:val="000D4AF7"/>
    <w:rsid w:val="000D5438"/>
    <w:rsid w:val="000D7CB2"/>
    <w:rsid w:val="000E04FF"/>
    <w:rsid w:val="000E5114"/>
    <w:rsid w:val="000E5189"/>
    <w:rsid w:val="000E603A"/>
    <w:rsid w:val="000E7C4F"/>
    <w:rsid w:val="000F228D"/>
    <w:rsid w:val="000F4E56"/>
    <w:rsid w:val="000F7E8B"/>
    <w:rsid w:val="0010494A"/>
    <w:rsid w:val="00105028"/>
    <w:rsid w:val="00110C2D"/>
    <w:rsid w:val="001225A8"/>
    <w:rsid w:val="00127D38"/>
    <w:rsid w:val="00131C7C"/>
    <w:rsid w:val="00135670"/>
    <w:rsid w:val="0013769B"/>
    <w:rsid w:val="00145A29"/>
    <w:rsid w:val="00145D2D"/>
    <w:rsid w:val="00157D4C"/>
    <w:rsid w:val="00161214"/>
    <w:rsid w:val="001624E9"/>
    <w:rsid w:val="00166B93"/>
    <w:rsid w:val="001707D8"/>
    <w:rsid w:val="00175F85"/>
    <w:rsid w:val="001809DA"/>
    <w:rsid w:val="00184C5C"/>
    <w:rsid w:val="001938EB"/>
    <w:rsid w:val="00195EB2"/>
    <w:rsid w:val="001977A4"/>
    <w:rsid w:val="001A3D7F"/>
    <w:rsid w:val="001A7F48"/>
    <w:rsid w:val="001B0474"/>
    <w:rsid w:val="001B0865"/>
    <w:rsid w:val="001B1F27"/>
    <w:rsid w:val="001B311E"/>
    <w:rsid w:val="001B5D6F"/>
    <w:rsid w:val="001B626D"/>
    <w:rsid w:val="001C34D3"/>
    <w:rsid w:val="001C61D5"/>
    <w:rsid w:val="001C7C93"/>
    <w:rsid w:val="001D030A"/>
    <w:rsid w:val="001D0ED0"/>
    <w:rsid w:val="001D1A8E"/>
    <w:rsid w:val="001D32B8"/>
    <w:rsid w:val="001D522A"/>
    <w:rsid w:val="001D5D28"/>
    <w:rsid w:val="001E14E4"/>
    <w:rsid w:val="001E1E0E"/>
    <w:rsid w:val="001E2021"/>
    <w:rsid w:val="001E6A18"/>
    <w:rsid w:val="001F432C"/>
    <w:rsid w:val="001F5AAB"/>
    <w:rsid w:val="001F7596"/>
    <w:rsid w:val="00200F2C"/>
    <w:rsid w:val="00203E7F"/>
    <w:rsid w:val="00204D18"/>
    <w:rsid w:val="00212944"/>
    <w:rsid w:val="002134A5"/>
    <w:rsid w:val="00215796"/>
    <w:rsid w:val="002160BB"/>
    <w:rsid w:val="00222780"/>
    <w:rsid w:val="00223612"/>
    <w:rsid w:val="00225B99"/>
    <w:rsid w:val="0023554D"/>
    <w:rsid w:val="00235FAF"/>
    <w:rsid w:val="002435EA"/>
    <w:rsid w:val="00246D5D"/>
    <w:rsid w:val="002473F1"/>
    <w:rsid w:val="00260B08"/>
    <w:rsid w:val="002717AF"/>
    <w:rsid w:val="002747B7"/>
    <w:rsid w:val="00274C8A"/>
    <w:rsid w:val="00276747"/>
    <w:rsid w:val="00277C7B"/>
    <w:rsid w:val="002800A2"/>
    <w:rsid w:val="0028407C"/>
    <w:rsid w:val="002845BC"/>
    <w:rsid w:val="00285C15"/>
    <w:rsid w:val="00293141"/>
    <w:rsid w:val="00295714"/>
    <w:rsid w:val="002A07ED"/>
    <w:rsid w:val="002A2742"/>
    <w:rsid w:val="002A7F5B"/>
    <w:rsid w:val="002B02E6"/>
    <w:rsid w:val="002B0941"/>
    <w:rsid w:val="002B6217"/>
    <w:rsid w:val="002B632A"/>
    <w:rsid w:val="002C4AD5"/>
    <w:rsid w:val="002C4F3E"/>
    <w:rsid w:val="002C7F0D"/>
    <w:rsid w:val="002D0A4F"/>
    <w:rsid w:val="002D3DCA"/>
    <w:rsid w:val="002E1EF8"/>
    <w:rsid w:val="002E3FE3"/>
    <w:rsid w:val="002E6CDF"/>
    <w:rsid w:val="002F0B94"/>
    <w:rsid w:val="0030034D"/>
    <w:rsid w:val="00300E56"/>
    <w:rsid w:val="0030147D"/>
    <w:rsid w:val="00303652"/>
    <w:rsid w:val="003064C4"/>
    <w:rsid w:val="00306A7E"/>
    <w:rsid w:val="00306A81"/>
    <w:rsid w:val="0031082F"/>
    <w:rsid w:val="003111BB"/>
    <w:rsid w:val="003122F5"/>
    <w:rsid w:val="003258A4"/>
    <w:rsid w:val="00326A32"/>
    <w:rsid w:val="00327A5A"/>
    <w:rsid w:val="003326BC"/>
    <w:rsid w:val="00332BEB"/>
    <w:rsid w:val="00334AD3"/>
    <w:rsid w:val="0033558B"/>
    <w:rsid w:val="00336539"/>
    <w:rsid w:val="00337699"/>
    <w:rsid w:val="00337726"/>
    <w:rsid w:val="00337ACB"/>
    <w:rsid w:val="00344BAC"/>
    <w:rsid w:val="0034669B"/>
    <w:rsid w:val="00351E9F"/>
    <w:rsid w:val="003535F7"/>
    <w:rsid w:val="00354FB2"/>
    <w:rsid w:val="003551EF"/>
    <w:rsid w:val="0036381D"/>
    <w:rsid w:val="00363ABD"/>
    <w:rsid w:val="00364029"/>
    <w:rsid w:val="0036466D"/>
    <w:rsid w:val="00364FA2"/>
    <w:rsid w:val="0036654B"/>
    <w:rsid w:val="00372078"/>
    <w:rsid w:val="00373A1A"/>
    <w:rsid w:val="003745DA"/>
    <w:rsid w:val="00374B99"/>
    <w:rsid w:val="00380518"/>
    <w:rsid w:val="00381A51"/>
    <w:rsid w:val="00387CEA"/>
    <w:rsid w:val="0039248D"/>
    <w:rsid w:val="00395DFC"/>
    <w:rsid w:val="00396A9B"/>
    <w:rsid w:val="003A1981"/>
    <w:rsid w:val="003A41AB"/>
    <w:rsid w:val="003A4786"/>
    <w:rsid w:val="003A7349"/>
    <w:rsid w:val="003B5AC8"/>
    <w:rsid w:val="003B5B16"/>
    <w:rsid w:val="003B7A2B"/>
    <w:rsid w:val="003C7D37"/>
    <w:rsid w:val="003D1746"/>
    <w:rsid w:val="003D38AB"/>
    <w:rsid w:val="003D5255"/>
    <w:rsid w:val="003D5B30"/>
    <w:rsid w:val="003D6B67"/>
    <w:rsid w:val="003E12C7"/>
    <w:rsid w:val="003E5C9C"/>
    <w:rsid w:val="003E6219"/>
    <w:rsid w:val="003F2977"/>
    <w:rsid w:val="003F57D3"/>
    <w:rsid w:val="003F7180"/>
    <w:rsid w:val="00401338"/>
    <w:rsid w:val="00401914"/>
    <w:rsid w:val="00402F6D"/>
    <w:rsid w:val="00406E9F"/>
    <w:rsid w:val="00411728"/>
    <w:rsid w:val="00415094"/>
    <w:rsid w:val="00422322"/>
    <w:rsid w:val="00422508"/>
    <w:rsid w:val="00426478"/>
    <w:rsid w:val="004322C8"/>
    <w:rsid w:val="00435AD0"/>
    <w:rsid w:val="00440A59"/>
    <w:rsid w:val="00443411"/>
    <w:rsid w:val="00450E23"/>
    <w:rsid w:val="00455A07"/>
    <w:rsid w:val="004565E2"/>
    <w:rsid w:val="004569B6"/>
    <w:rsid w:val="00457E95"/>
    <w:rsid w:val="00457EB2"/>
    <w:rsid w:val="004601B0"/>
    <w:rsid w:val="004612ED"/>
    <w:rsid w:val="0046549D"/>
    <w:rsid w:val="00467985"/>
    <w:rsid w:val="0047111A"/>
    <w:rsid w:val="00471120"/>
    <w:rsid w:val="0047731F"/>
    <w:rsid w:val="004819BC"/>
    <w:rsid w:val="00481B6D"/>
    <w:rsid w:val="00484365"/>
    <w:rsid w:val="00495A18"/>
    <w:rsid w:val="004A3D52"/>
    <w:rsid w:val="004A5C4B"/>
    <w:rsid w:val="004B2034"/>
    <w:rsid w:val="004B360A"/>
    <w:rsid w:val="004B5CFD"/>
    <w:rsid w:val="004B7790"/>
    <w:rsid w:val="004C0CB5"/>
    <w:rsid w:val="004C5255"/>
    <w:rsid w:val="004C594F"/>
    <w:rsid w:val="004C5B8C"/>
    <w:rsid w:val="004D04AA"/>
    <w:rsid w:val="004D061F"/>
    <w:rsid w:val="004D1C99"/>
    <w:rsid w:val="004D1D7E"/>
    <w:rsid w:val="004D47B8"/>
    <w:rsid w:val="004D60A1"/>
    <w:rsid w:val="004E0210"/>
    <w:rsid w:val="004E312C"/>
    <w:rsid w:val="004E73F3"/>
    <w:rsid w:val="004F190E"/>
    <w:rsid w:val="004F5DE9"/>
    <w:rsid w:val="00512C8E"/>
    <w:rsid w:val="00516371"/>
    <w:rsid w:val="0051687A"/>
    <w:rsid w:val="00520678"/>
    <w:rsid w:val="00520833"/>
    <w:rsid w:val="0052240E"/>
    <w:rsid w:val="00522B87"/>
    <w:rsid w:val="00525A83"/>
    <w:rsid w:val="005270BB"/>
    <w:rsid w:val="005301B9"/>
    <w:rsid w:val="00531B72"/>
    <w:rsid w:val="00534609"/>
    <w:rsid w:val="005401FD"/>
    <w:rsid w:val="00545E45"/>
    <w:rsid w:val="00547F43"/>
    <w:rsid w:val="00557D0D"/>
    <w:rsid w:val="00564249"/>
    <w:rsid w:val="00565240"/>
    <w:rsid w:val="005661A7"/>
    <w:rsid w:val="005668EF"/>
    <w:rsid w:val="00567436"/>
    <w:rsid w:val="005715A6"/>
    <w:rsid w:val="005726CC"/>
    <w:rsid w:val="00572DAA"/>
    <w:rsid w:val="00576642"/>
    <w:rsid w:val="005767E9"/>
    <w:rsid w:val="00580F24"/>
    <w:rsid w:val="00581857"/>
    <w:rsid w:val="00584785"/>
    <w:rsid w:val="00586447"/>
    <w:rsid w:val="00590ABE"/>
    <w:rsid w:val="00591F43"/>
    <w:rsid w:val="00592080"/>
    <w:rsid w:val="005927B2"/>
    <w:rsid w:val="00592841"/>
    <w:rsid w:val="005A118A"/>
    <w:rsid w:val="005A396E"/>
    <w:rsid w:val="005A7C37"/>
    <w:rsid w:val="005B42B0"/>
    <w:rsid w:val="005B487A"/>
    <w:rsid w:val="005B60EE"/>
    <w:rsid w:val="005C0877"/>
    <w:rsid w:val="005C113A"/>
    <w:rsid w:val="005C1DEE"/>
    <w:rsid w:val="005C5B6A"/>
    <w:rsid w:val="005D1306"/>
    <w:rsid w:val="005D2BE7"/>
    <w:rsid w:val="005E1578"/>
    <w:rsid w:val="005E1CCD"/>
    <w:rsid w:val="005E1DEB"/>
    <w:rsid w:val="005E3836"/>
    <w:rsid w:val="005E7FB7"/>
    <w:rsid w:val="005F246D"/>
    <w:rsid w:val="005F3A71"/>
    <w:rsid w:val="005F3B8E"/>
    <w:rsid w:val="005F5054"/>
    <w:rsid w:val="005F6A5E"/>
    <w:rsid w:val="005F7809"/>
    <w:rsid w:val="006030E4"/>
    <w:rsid w:val="0060491F"/>
    <w:rsid w:val="006105F2"/>
    <w:rsid w:val="006147C7"/>
    <w:rsid w:val="006174F1"/>
    <w:rsid w:val="0062020C"/>
    <w:rsid w:val="00620B1A"/>
    <w:rsid w:val="00620EB9"/>
    <w:rsid w:val="00623DB9"/>
    <w:rsid w:val="0062558C"/>
    <w:rsid w:val="006318B3"/>
    <w:rsid w:val="006319AA"/>
    <w:rsid w:val="00632A20"/>
    <w:rsid w:val="00636D93"/>
    <w:rsid w:val="00637744"/>
    <w:rsid w:val="00637FA2"/>
    <w:rsid w:val="0064534E"/>
    <w:rsid w:val="006513F1"/>
    <w:rsid w:val="00652A71"/>
    <w:rsid w:val="00660E3C"/>
    <w:rsid w:val="00663A23"/>
    <w:rsid w:val="006642DA"/>
    <w:rsid w:val="00664D2D"/>
    <w:rsid w:val="00665BBD"/>
    <w:rsid w:val="006745A4"/>
    <w:rsid w:val="006765F6"/>
    <w:rsid w:val="006766BE"/>
    <w:rsid w:val="00676D1E"/>
    <w:rsid w:val="006803AE"/>
    <w:rsid w:val="00684654"/>
    <w:rsid w:val="00686819"/>
    <w:rsid w:val="00690579"/>
    <w:rsid w:val="00690A57"/>
    <w:rsid w:val="00692F8B"/>
    <w:rsid w:val="0069408C"/>
    <w:rsid w:val="006A1FB6"/>
    <w:rsid w:val="006A3248"/>
    <w:rsid w:val="006A7811"/>
    <w:rsid w:val="006A7A5D"/>
    <w:rsid w:val="006B1151"/>
    <w:rsid w:val="006B16F7"/>
    <w:rsid w:val="006B19D3"/>
    <w:rsid w:val="006B4415"/>
    <w:rsid w:val="006B6A0E"/>
    <w:rsid w:val="006C31D2"/>
    <w:rsid w:val="006D15C3"/>
    <w:rsid w:val="006D17A2"/>
    <w:rsid w:val="006D2DE2"/>
    <w:rsid w:val="006E0052"/>
    <w:rsid w:val="006E153E"/>
    <w:rsid w:val="006E258E"/>
    <w:rsid w:val="006E2B9B"/>
    <w:rsid w:val="006E3203"/>
    <w:rsid w:val="006E65B0"/>
    <w:rsid w:val="006F059D"/>
    <w:rsid w:val="006F062E"/>
    <w:rsid w:val="006F49F5"/>
    <w:rsid w:val="006F67EF"/>
    <w:rsid w:val="007070F7"/>
    <w:rsid w:val="00707519"/>
    <w:rsid w:val="00707FAA"/>
    <w:rsid w:val="00711513"/>
    <w:rsid w:val="00711913"/>
    <w:rsid w:val="007120B2"/>
    <w:rsid w:val="00713787"/>
    <w:rsid w:val="007152F1"/>
    <w:rsid w:val="00717621"/>
    <w:rsid w:val="00717BB3"/>
    <w:rsid w:val="00717FC4"/>
    <w:rsid w:val="0072133D"/>
    <w:rsid w:val="0072215B"/>
    <w:rsid w:val="00724730"/>
    <w:rsid w:val="00732E8F"/>
    <w:rsid w:val="0073383E"/>
    <w:rsid w:val="00733E35"/>
    <w:rsid w:val="007355F2"/>
    <w:rsid w:val="007363A3"/>
    <w:rsid w:val="007368C2"/>
    <w:rsid w:val="00736ED6"/>
    <w:rsid w:val="0073789A"/>
    <w:rsid w:val="007408DE"/>
    <w:rsid w:val="00742B02"/>
    <w:rsid w:val="0074390C"/>
    <w:rsid w:val="00744F15"/>
    <w:rsid w:val="007451F5"/>
    <w:rsid w:val="007520B0"/>
    <w:rsid w:val="00752195"/>
    <w:rsid w:val="00752C69"/>
    <w:rsid w:val="0075652D"/>
    <w:rsid w:val="00760727"/>
    <w:rsid w:val="00761386"/>
    <w:rsid w:val="0076146B"/>
    <w:rsid w:val="0076401D"/>
    <w:rsid w:val="00767633"/>
    <w:rsid w:val="00767E32"/>
    <w:rsid w:val="00771218"/>
    <w:rsid w:val="00772F6C"/>
    <w:rsid w:val="00776CDA"/>
    <w:rsid w:val="00777909"/>
    <w:rsid w:val="007824BF"/>
    <w:rsid w:val="00790E6D"/>
    <w:rsid w:val="007917BD"/>
    <w:rsid w:val="00793C4C"/>
    <w:rsid w:val="007951AB"/>
    <w:rsid w:val="00795B0D"/>
    <w:rsid w:val="007A1617"/>
    <w:rsid w:val="007A2BF7"/>
    <w:rsid w:val="007B1A60"/>
    <w:rsid w:val="007B1FE3"/>
    <w:rsid w:val="007B2B4F"/>
    <w:rsid w:val="007B3032"/>
    <w:rsid w:val="007B432E"/>
    <w:rsid w:val="007B4F80"/>
    <w:rsid w:val="007B6E2E"/>
    <w:rsid w:val="007C0181"/>
    <w:rsid w:val="007C232F"/>
    <w:rsid w:val="007C4987"/>
    <w:rsid w:val="007D0040"/>
    <w:rsid w:val="007D0089"/>
    <w:rsid w:val="007D1403"/>
    <w:rsid w:val="007D4C10"/>
    <w:rsid w:val="007E2018"/>
    <w:rsid w:val="007E3E9B"/>
    <w:rsid w:val="007E4FCB"/>
    <w:rsid w:val="007E5A30"/>
    <w:rsid w:val="007E6BD3"/>
    <w:rsid w:val="007F13FA"/>
    <w:rsid w:val="007F188F"/>
    <w:rsid w:val="007F7934"/>
    <w:rsid w:val="0080023C"/>
    <w:rsid w:val="008006CD"/>
    <w:rsid w:val="00801358"/>
    <w:rsid w:val="00801F4F"/>
    <w:rsid w:val="008055CE"/>
    <w:rsid w:val="00805FA2"/>
    <w:rsid w:val="008060BF"/>
    <w:rsid w:val="00807824"/>
    <w:rsid w:val="00816863"/>
    <w:rsid w:val="008259B1"/>
    <w:rsid w:val="00835065"/>
    <w:rsid w:val="008366A6"/>
    <w:rsid w:val="008400E7"/>
    <w:rsid w:val="00844217"/>
    <w:rsid w:val="00845A26"/>
    <w:rsid w:val="00845BCF"/>
    <w:rsid w:val="00846C3B"/>
    <w:rsid w:val="00847EFC"/>
    <w:rsid w:val="00853141"/>
    <w:rsid w:val="00854CCA"/>
    <w:rsid w:val="00860789"/>
    <w:rsid w:val="00865148"/>
    <w:rsid w:val="008661DA"/>
    <w:rsid w:val="00874123"/>
    <w:rsid w:val="00881B59"/>
    <w:rsid w:val="008822DE"/>
    <w:rsid w:val="0089041C"/>
    <w:rsid w:val="008909A8"/>
    <w:rsid w:val="008A3C97"/>
    <w:rsid w:val="008A3D8B"/>
    <w:rsid w:val="008A5874"/>
    <w:rsid w:val="008A7229"/>
    <w:rsid w:val="008B7867"/>
    <w:rsid w:val="008C2A26"/>
    <w:rsid w:val="008C75F1"/>
    <w:rsid w:val="008D0A30"/>
    <w:rsid w:val="008D1FE9"/>
    <w:rsid w:val="008D3C01"/>
    <w:rsid w:val="008D3E68"/>
    <w:rsid w:val="008D5A69"/>
    <w:rsid w:val="008E1DB9"/>
    <w:rsid w:val="008E1FE5"/>
    <w:rsid w:val="008E5462"/>
    <w:rsid w:val="008F23EE"/>
    <w:rsid w:val="008F295E"/>
    <w:rsid w:val="008F79EB"/>
    <w:rsid w:val="00901E78"/>
    <w:rsid w:val="0090650C"/>
    <w:rsid w:val="009123F7"/>
    <w:rsid w:val="009153B6"/>
    <w:rsid w:val="00915971"/>
    <w:rsid w:val="00916C66"/>
    <w:rsid w:val="00920D1A"/>
    <w:rsid w:val="00921FE4"/>
    <w:rsid w:val="00931148"/>
    <w:rsid w:val="00931A8C"/>
    <w:rsid w:val="00940866"/>
    <w:rsid w:val="009504E0"/>
    <w:rsid w:val="00951E50"/>
    <w:rsid w:val="00962976"/>
    <w:rsid w:val="00962BC5"/>
    <w:rsid w:val="00963AB5"/>
    <w:rsid w:val="009647ED"/>
    <w:rsid w:val="009863E4"/>
    <w:rsid w:val="0098682A"/>
    <w:rsid w:val="00992F75"/>
    <w:rsid w:val="00994C9E"/>
    <w:rsid w:val="00995564"/>
    <w:rsid w:val="009A2FF9"/>
    <w:rsid w:val="009A3817"/>
    <w:rsid w:val="009B1FAC"/>
    <w:rsid w:val="009B3592"/>
    <w:rsid w:val="009B4069"/>
    <w:rsid w:val="009B77FD"/>
    <w:rsid w:val="009C482F"/>
    <w:rsid w:val="009E31D7"/>
    <w:rsid w:val="009E75D3"/>
    <w:rsid w:val="009E76D0"/>
    <w:rsid w:val="009F4CFB"/>
    <w:rsid w:val="009F703B"/>
    <w:rsid w:val="00A00ADA"/>
    <w:rsid w:val="00A04205"/>
    <w:rsid w:val="00A20298"/>
    <w:rsid w:val="00A253F5"/>
    <w:rsid w:val="00A3092A"/>
    <w:rsid w:val="00A31AEB"/>
    <w:rsid w:val="00A3417A"/>
    <w:rsid w:val="00A35DFD"/>
    <w:rsid w:val="00A3719F"/>
    <w:rsid w:val="00A37A0E"/>
    <w:rsid w:val="00A47903"/>
    <w:rsid w:val="00A502B1"/>
    <w:rsid w:val="00A503F9"/>
    <w:rsid w:val="00A5451A"/>
    <w:rsid w:val="00A558CD"/>
    <w:rsid w:val="00A63EE1"/>
    <w:rsid w:val="00A72630"/>
    <w:rsid w:val="00A74C00"/>
    <w:rsid w:val="00A75A10"/>
    <w:rsid w:val="00A829A3"/>
    <w:rsid w:val="00A86B68"/>
    <w:rsid w:val="00A87213"/>
    <w:rsid w:val="00A92B26"/>
    <w:rsid w:val="00AA3614"/>
    <w:rsid w:val="00AA4638"/>
    <w:rsid w:val="00AB1A99"/>
    <w:rsid w:val="00AB361D"/>
    <w:rsid w:val="00AB6FB8"/>
    <w:rsid w:val="00AD4CEE"/>
    <w:rsid w:val="00AE4060"/>
    <w:rsid w:val="00AF0372"/>
    <w:rsid w:val="00AF0EF9"/>
    <w:rsid w:val="00AF69B3"/>
    <w:rsid w:val="00B02B7F"/>
    <w:rsid w:val="00B061F0"/>
    <w:rsid w:val="00B065E4"/>
    <w:rsid w:val="00B106FF"/>
    <w:rsid w:val="00B1080A"/>
    <w:rsid w:val="00B1356C"/>
    <w:rsid w:val="00B15DEF"/>
    <w:rsid w:val="00B166EF"/>
    <w:rsid w:val="00B205F9"/>
    <w:rsid w:val="00B215BB"/>
    <w:rsid w:val="00B235D3"/>
    <w:rsid w:val="00B23E1E"/>
    <w:rsid w:val="00B24899"/>
    <w:rsid w:val="00B26918"/>
    <w:rsid w:val="00B32C29"/>
    <w:rsid w:val="00B3460A"/>
    <w:rsid w:val="00B35337"/>
    <w:rsid w:val="00B37673"/>
    <w:rsid w:val="00B37BCD"/>
    <w:rsid w:val="00B417B0"/>
    <w:rsid w:val="00B46ECE"/>
    <w:rsid w:val="00B472C0"/>
    <w:rsid w:val="00B5147C"/>
    <w:rsid w:val="00B5363D"/>
    <w:rsid w:val="00B6213F"/>
    <w:rsid w:val="00B62F9B"/>
    <w:rsid w:val="00B66279"/>
    <w:rsid w:val="00B66A90"/>
    <w:rsid w:val="00B67D20"/>
    <w:rsid w:val="00B75E72"/>
    <w:rsid w:val="00B83A01"/>
    <w:rsid w:val="00B84245"/>
    <w:rsid w:val="00B845DA"/>
    <w:rsid w:val="00B84647"/>
    <w:rsid w:val="00B859B5"/>
    <w:rsid w:val="00B86122"/>
    <w:rsid w:val="00B87E45"/>
    <w:rsid w:val="00B900D4"/>
    <w:rsid w:val="00B90B34"/>
    <w:rsid w:val="00B91897"/>
    <w:rsid w:val="00B94758"/>
    <w:rsid w:val="00B965B1"/>
    <w:rsid w:val="00B97227"/>
    <w:rsid w:val="00B97B64"/>
    <w:rsid w:val="00BA2617"/>
    <w:rsid w:val="00BA2958"/>
    <w:rsid w:val="00BA523B"/>
    <w:rsid w:val="00BA55C1"/>
    <w:rsid w:val="00BA5CC2"/>
    <w:rsid w:val="00BB1037"/>
    <w:rsid w:val="00BB625C"/>
    <w:rsid w:val="00BC1C82"/>
    <w:rsid w:val="00BC5C5F"/>
    <w:rsid w:val="00BC6DD6"/>
    <w:rsid w:val="00BC74DE"/>
    <w:rsid w:val="00BC762A"/>
    <w:rsid w:val="00BD024C"/>
    <w:rsid w:val="00BD30E2"/>
    <w:rsid w:val="00BD3797"/>
    <w:rsid w:val="00BD3CBB"/>
    <w:rsid w:val="00BD6E4C"/>
    <w:rsid w:val="00BE068E"/>
    <w:rsid w:val="00BE2A5A"/>
    <w:rsid w:val="00BE447C"/>
    <w:rsid w:val="00BE542D"/>
    <w:rsid w:val="00BF5381"/>
    <w:rsid w:val="00BF54BA"/>
    <w:rsid w:val="00BF7B90"/>
    <w:rsid w:val="00C01CE0"/>
    <w:rsid w:val="00C03EAB"/>
    <w:rsid w:val="00C03F6A"/>
    <w:rsid w:val="00C0746B"/>
    <w:rsid w:val="00C133CF"/>
    <w:rsid w:val="00C145E1"/>
    <w:rsid w:val="00C20AAC"/>
    <w:rsid w:val="00C21845"/>
    <w:rsid w:val="00C21918"/>
    <w:rsid w:val="00C234DD"/>
    <w:rsid w:val="00C23CDC"/>
    <w:rsid w:val="00C2575A"/>
    <w:rsid w:val="00C26A85"/>
    <w:rsid w:val="00C27F76"/>
    <w:rsid w:val="00C347EA"/>
    <w:rsid w:val="00C348E9"/>
    <w:rsid w:val="00C41C89"/>
    <w:rsid w:val="00C4376C"/>
    <w:rsid w:val="00C439DC"/>
    <w:rsid w:val="00C46001"/>
    <w:rsid w:val="00C47957"/>
    <w:rsid w:val="00C60D0F"/>
    <w:rsid w:val="00C63000"/>
    <w:rsid w:val="00C63835"/>
    <w:rsid w:val="00C64176"/>
    <w:rsid w:val="00C656F3"/>
    <w:rsid w:val="00C66AD5"/>
    <w:rsid w:val="00C703C6"/>
    <w:rsid w:val="00C711B2"/>
    <w:rsid w:val="00C71EBA"/>
    <w:rsid w:val="00C72256"/>
    <w:rsid w:val="00C72955"/>
    <w:rsid w:val="00C736A4"/>
    <w:rsid w:val="00C763B1"/>
    <w:rsid w:val="00C77E3F"/>
    <w:rsid w:val="00C85313"/>
    <w:rsid w:val="00C86283"/>
    <w:rsid w:val="00C910F3"/>
    <w:rsid w:val="00C932A0"/>
    <w:rsid w:val="00C934EF"/>
    <w:rsid w:val="00C97639"/>
    <w:rsid w:val="00CA05B5"/>
    <w:rsid w:val="00CA293C"/>
    <w:rsid w:val="00CA3144"/>
    <w:rsid w:val="00CA4BD2"/>
    <w:rsid w:val="00CB2FEB"/>
    <w:rsid w:val="00CB5D23"/>
    <w:rsid w:val="00CC1688"/>
    <w:rsid w:val="00CC2150"/>
    <w:rsid w:val="00CD06B7"/>
    <w:rsid w:val="00CD173F"/>
    <w:rsid w:val="00CD2B07"/>
    <w:rsid w:val="00CD75B3"/>
    <w:rsid w:val="00CE13F8"/>
    <w:rsid w:val="00CE3309"/>
    <w:rsid w:val="00CF2FD9"/>
    <w:rsid w:val="00CF3917"/>
    <w:rsid w:val="00D021B1"/>
    <w:rsid w:val="00D02CF1"/>
    <w:rsid w:val="00D03B3F"/>
    <w:rsid w:val="00D03C17"/>
    <w:rsid w:val="00D07FEB"/>
    <w:rsid w:val="00D12979"/>
    <w:rsid w:val="00D1384D"/>
    <w:rsid w:val="00D16809"/>
    <w:rsid w:val="00D23361"/>
    <w:rsid w:val="00D26703"/>
    <w:rsid w:val="00D36214"/>
    <w:rsid w:val="00D36605"/>
    <w:rsid w:val="00D43BBE"/>
    <w:rsid w:val="00D442C3"/>
    <w:rsid w:val="00D5544C"/>
    <w:rsid w:val="00D5589C"/>
    <w:rsid w:val="00D56100"/>
    <w:rsid w:val="00D608A9"/>
    <w:rsid w:val="00D63A76"/>
    <w:rsid w:val="00D6634A"/>
    <w:rsid w:val="00D6777F"/>
    <w:rsid w:val="00D67DDE"/>
    <w:rsid w:val="00D71718"/>
    <w:rsid w:val="00D72F30"/>
    <w:rsid w:val="00D735B8"/>
    <w:rsid w:val="00D75C52"/>
    <w:rsid w:val="00D80745"/>
    <w:rsid w:val="00D844CE"/>
    <w:rsid w:val="00D966CA"/>
    <w:rsid w:val="00DA0F44"/>
    <w:rsid w:val="00DA3962"/>
    <w:rsid w:val="00DB3AAA"/>
    <w:rsid w:val="00DB5CA8"/>
    <w:rsid w:val="00DC0B7D"/>
    <w:rsid w:val="00DC62D8"/>
    <w:rsid w:val="00DC660B"/>
    <w:rsid w:val="00DD1072"/>
    <w:rsid w:val="00DD1AE5"/>
    <w:rsid w:val="00DD37C5"/>
    <w:rsid w:val="00DD66C6"/>
    <w:rsid w:val="00DE01AA"/>
    <w:rsid w:val="00DE0974"/>
    <w:rsid w:val="00DE1BA5"/>
    <w:rsid w:val="00DE5509"/>
    <w:rsid w:val="00DE56FF"/>
    <w:rsid w:val="00DE59DB"/>
    <w:rsid w:val="00DE5D0E"/>
    <w:rsid w:val="00DE68C2"/>
    <w:rsid w:val="00DE790E"/>
    <w:rsid w:val="00DE7D43"/>
    <w:rsid w:val="00DF2F1A"/>
    <w:rsid w:val="00DF3B61"/>
    <w:rsid w:val="00DF4423"/>
    <w:rsid w:val="00E0031F"/>
    <w:rsid w:val="00E01550"/>
    <w:rsid w:val="00E06183"/>
    <w:rsid w:val="00E11387"/>
    <w:rsid w:val="00E20A72"/>
    <w:rsid w:val="00E22F0B"/>
    <w:rsid w:val="00E31BBB"/>
    <w:rsid w:val="00E32260"/>
    <w:rsid w:val="00E32CF1"/>
    <w:rsid w:val="00E32E54"/>
    <w:rsid w:val="00E36444"/>
    <w:rsid w:val="00E36477"/>
    <w:rsid w:val="00E414A2"/>
    <w:rsid w:val="00E42BDA"/>
    <w:rsid w:val="00E57F6F"/>
    <w:rsid w:val="00E63D1F"/>
    <w:rsid w:val="00E70243"/>
    <w:rsid w:val="00E71210"/>
    <w:rsid w:val="00E7459C"/>
    <w:rsid w:val="00E75883"/>
    <w:rsid w:val="00E7756F"/>
    <w:rsid w:val="00E83ACA"/>
    <w:rsid w:val="00E85244"/>
    <w:rsid w:val="00E8568B"/>
    <w:rsid w:val="00E86C27"/>
    <w:rsid w:val="00E9105A"/>
    <w:rsid w:val="00E92A00"/>
    <w:rsid w:val="00E92A2C"/>
    <w:rsid w:val="00E94750"/>
    <w:rsid w:val="00EA07C9"/>
    <w:rsid w:val="00EA6ED8"/>
    <w:rsid w:val="00EB1A26"/>
    <w:rsid w:val="00EB2196"/>
    <w:rsid w:val="00EB53B3"/>
    <w:rsid w:val="00EB595E"/>
    <w:rsid w:val="00EB5F8B"/>
    <w:rsid w:val="00EC056E"/>
    <w:rsid w:val="00EC0A0C"/>
    <w:rsid w:val="00ED0ADB"/>
    <w:rsid w:val="00ED0BF3"/>
    <w:rsid w:val="00ED3A26"/>
    <w:rsid w:val="00ED4394"/>
    <w:rsid w:val="00ED671E"/>
    <w:rsid w:val="00ED6D41"/>
    <w:rsid w:val="00EE0CE1"/>
    <w:rsid w:val="00EE0EDD"/>
    <w:rsid w:val="00EE125A"/>
    <w:rsid w:val="00EE1835"/>
    <w:rsid w:val="00EE1872"/>
    <w:rsid w:val="00EE69DA"/>
    <w:rsid w:val="00EE6C3F"/>
    <w:rsid w:val="00EF04C6"/>
    <w:rsid w:val="00EF1606"/>
    <w:rsid w:val="00EF2129"/>
    <w:rsid w:val="00EF389F"/>
    <w:rsid w:val="00EF3A0D"/>
    <w:rsid w:val="00F004B5"/>
    <w:rsid w:val="00F006AD"/>
    <w:rsid w:val="00F02A28"/>
    <w:rsid w:val="00F06F67"/>
    <w:rsid w:val="00F11DC3"/>
    <w:rsid w:val="00F12A0B"/>
    <w:rsid w:val="00F12BAB"/>
    <w:rsid w:val="00F17A45"/>
    <w:rsid w:val="00F219D2"/>
    <w:rsid w:val="00F21AD1"/>
    <w:rsid w:val="00F234DA"/>
    <w:rsid w:val="00F236E7"/>
    <w:rsid w:val="00F23919"/>
    <w:rsid w:val="00F23D04"/>
    <w:rsid w:val="00F26008"/>
    <w:rsid w:val="00F30E20"/>
    <w:rsid w:val="00F31B19"/>
    <w:rsid w:val="00F33162"/>
    <w:rsid w:val="00F3351B"/>
    <w:rsid w:val="00F34C63"/>
    <w:rsid w:val="00F40C5F"/>
    <w:rsid w:val="00F47DD6"/>
    <w:rsid w:val="00F50052"/>
    <w:rsid w:val="00F520F9"/>
    <w:rsid w:val="00F53F0C"/>
    <w:rsid w:val="00F54B54"/>
    <w:rsid w:val="00F60823"/>
    <w:rsid w:val="00F60B5E"/>
    <w:rsid w:val="00F720A6"/>
    <w:rsid w:val="00F73020"/>
    <w:rsid w:val="00F75333"/>
    <w:rsid w:val="00F87C1F"/>
    <w:rsid w:val="00F900E6"/>
    <w:rsid w:val="00F92952"/>
    <w:rsid w:val="00F92CFD"/>
    <w:rsid w:val="00F93D01"/>
    <w:rsid w:val="00FA034D"/>
    <w:rsid w:val="00FA5BFD"/>
    <w:rsid w:val="00FA601B"/>
    <w:rsid w:val="00FB0BE3"/>
    <w:rsid w:val="00FB5C75"/>
    <w:rsid w:val="00FB5E1B"/>
    <w:rsid w:val="00FB6B7B"/>
    <w:rsid w:val="00FC0282"/>
    <w:rsid w:val="00FC053A"/>
    <w:rsid w:val="00FC16C6"/>
    <w:rsid w:val="00FC2C72"/>
    <w:rsid w:val="00FC3F82"/>
    <w:rsid w:val="00FC6193"/>
    <w:rsid w:val="00FC6279"/>
    <w:rsid w:val="00FC6653"/>
    <w:rsid w:val="00FD036D"/>
    <w:rsid w:val="00FD2715"/>
    <w:rsid w:val="00FD3A68"/>
    <w:rsid w:val="00FD4C1B"/>
    <w:rsid w:val="00FD5888"/>
    <w:rsid w:val="00FD6CA4"/>
    <w:rsid w:val="00FE03E8"/>
    <w:rsid w:val="00FE361F"/>
    <w:rsid w:val="00FE46C1"/>
    <w:rsid w:val="00FE7DD7"/>
    <w:rsid w:val="00FF0733"/>
    <w:rsid w:val="00FF1FE7"/>
    <w:rsid w:val="00FF3795"/>
    <w:rsid w:val="00FF3A40"/>
    <w:rsid w:val="00FF46A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2B3E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link w:val="Heading1Char"/>
    <w:uiPriority w:val="9"/>
    <w:qFormat/>
    <w:rsid w:val="00041F5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Párrafo de lista1,List Paragraph1,Colorful List - Accent 11,Lista vistosa - Énfasis 11"/>
    <w:basedOn w:val="Normal"/>
    <w:link w:val="ListParagraphChar"/>
    <w:uiPriority w:val="99"/>
    <w:qFormat/>
    <w:rsid w:val="00FE361F"/>
    <w:pPr>
      <w:ind w:left="720"/>
      <w:contextualSpacing/>
    </w:pPr>
  </w:style>
  <w:style w:type="paragraph" w:styleId="FootnoteText">
    <w:name w:val="footnote text"/>
    <w:aliases w:val="Footnote Text Char Char Char Char Char,Footnote Text Char Char Char Char,footnote text,Footnote reference,FA Fu,Footnote Text Char Char Char,Footnote Text Cha,FA Fußnotentext,FA Fuﬂnotentext,Footnote Text Char Char,Ca,C,FA Fu?notente,ft,5"/>
    <w:basedOn w:val="Normal"/>
    <w:link w:val="FootnoteTextChar"/>
    <w:uiPriority w:val="99"/>
    <w:unhideWhenUsed/>
    <w:qFormat/>
    <w:rsid w:val="005715A6"/>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C Char"/>
    <w:basedOn w:val="DefaultParagraphFont"/>
    <w:link w:val="FootnoteText"/>
    <w:qFormat/>
    <w:rsid w:val="005715A6"/>
    <w:rPr>
      <w:lang w:val="es-ES_tradnl"/>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link w:val="4GChar"/>
    <w:uiPriority w:val="99"/>
    <w:unhideWhenUsed/>
    <w:qFormat/>
    <w:rsid w:val="005715A6"/>
    <w:rPr>
      <w:vertAlign w:val="superscript"/>
    </w:rPr>
  </w:style>
  <w:style w:type="paragraph" w:styleId="NormalWeb">
    <w:name w:val="Normal (Web)"/>
    <w:aliases w:val="Normal (Web) Char1,Normal (Web) Char Char,Normal (Web) Char1 Char,Normal (Web) Char Char Char"/>
    <w:basedOn w:val="Normal"/>
    <w:uiPriority w:val="99"/>
    <w:unhideWhenUsed/>
    <w:rsid w:val="001E2021"/>
    <w:pPr>
      <w:spacing w:before="100" w:beforeAutospacing="1" w:after="100" w:afterAutospacing="1"/>
    </w:pPr>
    <w:rPr>
      <w:rFonts w:ascii="Times" w:hAnsi="Times" w:cs="Times New Roman"/>
      <w:sz w:val="20"/>
      <w:szCs w:val="20"/>
      <w:lang w:val="es-MX"/>
    </w:rPr>
  </w:style>
  <w:style w:type="paragraph" w:styleId="EndnoteText">
    <w:name w:val="endnote text"/>
    <w:basedOn w:val="Normal"/>
    <w:link w:val="EndnoteTextChar"/>
    <w:uiPriority w:val="99"/>
    <w:unhideWhenUsed/>
    <w:rsid w:val="00212944"/>
  </w:style>
  <w:style w:type="character" w:customStyle="1" w:styleId="EndnoteTextChar">
    <w:name w:val="Endnote Text Char"/>
    <w:basedOn w:val="DefaultParagraphFont"/>
    <w:link w:val="EndnoteText"/>
    <w:uiPriority w:val="99"/>
    <w:rsid w:val="00212944"/>
    <w:rPr>
      <w:lang w:val="es-ES_tradnl"/>
    </w:rPr>
  </w:style>
  <w:style w:type="character" w:styleId="EndnoteReference">
    <w:name w:val="endnote reference"/>
    <w:basedOn w:val="DefaultParagraphFont"/>
    <w:uiPriority w:val="99"/>
    <w:unhideWhenUsed/>
    <w:rsid w:val="00212944"/>
    <w:rPr>
      <w:vertAlign w:val="superscript"/>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basedOn w:val="DefaultParagraphFont"/>
    <w:qFormat/>
    <w:rsid w:val="0064534E"/>
    <w:rPr>
      <w:rFonts w:ascii="Univers" w:eastAsia="Times New Roman" w:hAnsi="Univers" w:cs="Times New Roman"/>
      <w:sz w:val="20"/>
      <w:szCs w:val="20"/>
      <w:lang w:val="es-CO"/>
    </w:rPr>
  </w:style>
  <w:style w:type="character" w:styleId="Hyperlink">
    <w:name w:val="Hyperlink"/>
    <w:uiPriority w:val="99"/>
    <w:rsid w:val="0064534E"/>
    <w:rPr>
      <w:color w:val="4659C4"/>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4534E"/>
    <w:pPr>
      <w:jc w:val="both"/>
    </w:pPr>
    <w:rPr>
      <w:vertAlign w:val="superscript"/>
      <w:lang w:val="es-MX"/>
    </w:rPr>
  </w:style>
  <w:style w:type="character" w:customStyle="1" w:styleId="ListParagraphChar">
    <w:name w:val="List Paragraph Char"/>
    <w:aliases w:val="List Paragraph2 Char,Párrafo de lista1 Char,List Paragraph1 Char,Colorful List - Accent 11 Char,Lista vistosa - Énfasis 11 Char"/>
    <w:link w:val="ListParagraph"/>
    <w:uiPriority w:val="99"/>
    <w:locked/>
    <w:rsid w:val="0064534E"/>
    <w:rPr>
      <w:lang w:val="es-ES_tradnl"/>
    </w:rPr>
  </w:style>
  <w:style w:type="character" w:styleId="Strong">
    <w:name w:val="Strong"/>
    <w:uiPriority w:val="22"/>
    <w:qFormat/>
    <w:rsid w:val="0030147D"/>
    <w:rPr>
      <w:b/>
      <w:bCs/>
    </w:rPr>
  </w:style>
  <w:style w:type="character" w:customStyle="1" w:styleId="apple-converted-space">
    <w:name w:val="apple-converted-space"/>
    <w:basedOn w:val="DefaultParagraphFont"/>
    <w:rsid w:val="00440A59"/>
  </w:style>
  <w:style w:type="paragraph" w:styleId="Footer">
    <w:name w:val="footer"/>
    <w:basedOn w:val="Normal"/>
    <w:link w:val="FooterChar"/>
    <w:uiPriority w:val="99"/>
    <w:unhideWhenUsed/>
    <w:rsid w:val="00B1356C"/>
    <w:pPr>
      <w:tabs>
        <w:tab w:val="center" w:pos="4252"/>
        <w:tab w:val="right" w:pos="8504"/>
      </w:tabs>
    </w:pPr>
  </w:style>
  <w:style w:type="character" w:customStyle="1" w:styleId="FooterChar">
    <w:name w:val="Footer Char"/>
    <w:basedOn w:val="DefaultParagraphFont"/>
    <w:link w:val="Footer"/>
    <w:uiPriority w:val="99"/>
    <w:rsid w:val="00B1356C"/>
    <w:rPr>
      <w:lang w:val="es-ES_tradnl"/>
    </w:rPr>
  </w:style>
  <w:style w:type="character" w:styleId="PageNumber">
    <w:name w:val="page number"/>
    <w:basedOn w:val="DefaultParagraphFont"/>
    <w:uiPriority w:val="99"/>
    <w:semiHidden/>
    <w:unhideWhenUsed/>
    <w:rsid w:val="00B1356C"/>
  </w:style>
  <w:style w:type="paragraph" w:styleId="Title">
    <w:name w:val="Title"/>
    <w:basedOn w:val="Normal"/>
    <w:link w:val="TitleChar"/>
    <w:qFormat/>
    <w:rsid w:val="006D2DE2"/>
    <w:pPr>
      <w:jc w:val="center"/>
    </w:pPr>
    <w:rPr>
      <w:rFonts w:ascii="Verdana" w:eastAsia="Times New Roman" w:hAnsi="Verdana" w:cs="Times New Roman"/>
      <w:b/>
      <w:noProof/>
      <w:sz w:val="20"/>
      <w:szCs w:val="20"/>
      <w:lang w:eastAsia="en-US"/>
    </w:rPr>
  </w:style>
  <w:style w:type="character" w:customStyle="1" w:styleId="TitleChar">
    <w:name w:val="Title Char"/>
    <w:basedOn w:val="DefaultParagraphFont"/>
    <w:link w:val="Title"/>
    <w:rsid w:val="006D2DE2"/>
    <w:rPr>
      <w:rFonts w:ascii="Verdana" w:eastAsia="Times New Roman" w:hAnsi="Verdana" w:cs="Times New Roman"/>
      <w:b/>
      <w:noProof/>
      <w:sz w:val="20"/>
      <w:szCs w:val="20"/>
      <w:lang w:val="es-ES_tradnl" w:eastAsia="en-US"/>
    </w:rPr>
  </w:style>
  <w:style w:type="paragraph" w:styleId="Subtitle">
    <w:name w:val="Subtitle"/>
    <w:basedOn w:val="Normal"/>
    <w:next w:val="Normal"/>
    <w:link w:val="SubtitleChar"/>
    <w:uiPriority w:val="11"/>
    <w:qFormat/>
    <w:rsid w:val="006D2DE2"/>
    <w:pPr>
      <w:numPr>
        <w:ilvl w:val="1"/>
      </w:numPr>
      <w:jc w:val="center"/>
    </w:pPr>
    <w:rPr>
      <w:rFonts w:ascii="Verdana" w:eastAsia="Times New Roman" w:hAnsi="Verdana" w:cs="Times New Roman"/>
      <w:b/>
      <w:i/>
      <w:iCs/>
      <w:noProof/>
      <w:spacing w:val="15"/>
      <w:sz w:val="20"/>
      <w:lang w:eastAsia="en-US"/>
    </w:rPr>
  </w:style>
  <w:style w:type="character" w:customStyle="1" w:styleId="SubttuloCar">
    <w:name w:val="Subtítulo Car"/>
    <w:basedOn w:val="DefaultParagraphFont"/>
    <w:uiPriority w:val="11"/>
    <w:rsid w:val="006D2DE2"/>
    <w:rPr>
      <w:color w:val="5A5A5A" w:themeColor="text1" w:themeTint="A5"/>
      <w:spacing w:val="15"/>
      <w:sz w:val="22"/>
      <w:szCs w:val="22"/>
      <w:lang w:val="es-ES_tradnl"/>
    </w:rPr>
  </w:style>
  <w:style w:type="character" w:customStyle="1" w:styleId="SubtitleChar">
    <w:name w:val="Subtitle Char"/>
    <w:basedOn w:val="DefaultParagraphFont"/>
    <w:link w:val="Subtitle"/>
    <w:uiPriority w:val="11"/>
    <w:rsid w:val="006D2DE2"/>
    <w:rPr>
      <w:rFonts w:ascii="Verdana" w:eastAsia="Times New Roman" w:hAnsi="Verdana" w:cs="Times New Roman"/>
      <w:b/>
      <w:i/>
      <w:iCs/>
      <w:noProof/>
      <w:spacing w:val="15"/>
      <w:sz w:val="20"/>
      <w:lang w:val="es-ES_tradnl" w:eastAsia="en-US"/>
    </w:rPr>
  </w:style>
  <w:style w:type="paragraph" w:styleId="BalloonText">
    <w:name w:val="Balloon Text"/>
    <w:basedOn w:val="Normal"/>
    <w:link w:val="BalloonTextChar"/>
    <w:uiPriority w:val="99"/>
    <w:semiHidden/>
    <w:unhideWhenUsed/>
    <w:rsid w:val="00E42BDA"/>
    <w:rPr>
      <w:rFonts w:ascii="Tahoma" w:hAnsi="Tahoma" w:cs="Tahoma"/>
      <w:sz w:val="16"/>
      <w:szCs w:val="16"/>
    </w:rPr>
  </w:style>
  <w:style w:type="character" w:customStyle="1" w:styleId="BalloonTextChar">
    <w:name w:val="Balloon Text Char"/>
    <w:basedOn w:val="DefaultParagraphFont"/>
    <w:link w:val="BalloonText"/>
    <w:uiPriority w:val="99"/>
    <w:semiHidden/>
    <w:rsid w:val="00E42BDA"/>
    <w:rPr>
      <w:rFonts w:ascii="Tahoma" w:hAnsi="Tahoma" w:cs="Tahoma"/>
      <w:sz w:val="16"/>
      <w:szCs w:val="16"/>
      <w:lang w:val="es-ES_tradnl"/>
    </w:rPr>
  </w:style>
  <w:style w:type="character" w:styleId="FollowedHyperlink">
    <w:name w:val="FollowedHyperlink"/>
    <w:basedOn w:val="DefaultParagraphFont"/>
    <w:uiPriority w:val="99"/>
    <w:semiHidden/>
    <w:unhideWhenUsed/>
    <w:rsid w:val="006D17A2"/>
    <w:rPr>
      <w:color w:val="800080" w:themeColor="followedHyperlink"/>
      <w:u w:val="single"/>
    </w:rPr>
  </w:style>
  <w:style w:type="character" w:styleId="CommentReference">
    <w:name w:val="annotation reference"/>
    <w:basedOn w:val="DefaultParagraphFont"/>
    <w:uiPriority w:val="99"/>
    <w:semiHidden/>
    <w:unhideWhenUsed/>
    <w:rsid w:val="00225B99"/>
    <w:rPr>
      <w:sz w:val="16"/>
      <w:szCs w:val="16"/>
    </w:rPr>
  </w:style>
  <w:style w:type="paragraph" w:styleId="CommentText">
    <w:name w:val="annotation text"/>
    <w:basedOn w:val="Normal"/>
    <w:link w:val="CommentTextChar"/>
    <w:uiPriority w:val="99"/>
    <w:unhideWhenUsed/>
    <w:rsid w:val="00225B99"/>
    <w:rPr>
      <w:sz w:val="20"/>
      <w:szCs w:val="20"/>
    </w:rPr>
  </w:style>
  <w:style w:type="character" w:customStyle="1" w:styleId="CommentTextChar">
    <w:name w:val="Comment Text Char"/>
    <w:basedOn w:val="DefaultParagraphFont"/>
    <w:link w:val="CommentText"/>
    <w:uiPriority w:val="99"/>
    <w:rsid w:val="00225B99"/>
    <w:rPr>
      <w:sz w:val="20"/>
      <w:szCs w:val="20"/>
      <w:lang w:val="es-ES_tradnl"/>
    </w:rPr>
  </w:style>
  <w:style w:type="paragraph" w:styleId="CommentSubject">
    <w:name w:val="annotation subject"/>
    <w:basedOn w:val="CommentText"/>
    <w:next w:val="CommentText"/>
    <w:link w:val="CommentSubjectChar"/>
    <w:uiPriority w:val="99"/>
    <w:semiHidden/>
    <w:unhideWhenUsed/>
    <w:rsid w:val="00225B99"/>
    <w:rPr>
      <w:b/>
      <w:bCs/>
    </w:rPr>
  </w:style>
  <w:style w:type="character" w:customStyle="1" w:styleId="CommentSubjectChar">
    <w:name w:val="Comment Subject Char"/>
    <w:basedOn w:val="CommentTextChar"/>
    <w:link w:val="CommentSubject"/>
    <w:uiPriority w:val="99"/>
    <w:semiHidden/>
    <w:rsid w:val="00225B99"/>
    <w:rPr>
      <w:b/>
      <w:bCs/>
      <w:sz w:val="20"/>
      <w:szCs w:val="20"/>
      <w:lang w:val="es-ES_tradnl"/>
    </w:rPr>
  </w:style>
  <w:style w:type="paragraph" w:styleId="Header">
    <w:name w:val="header"/>
    <w:basedOn w:val="Normal"/>
    <w:link w:val="HeaderChar"/>
    <w:uiPriority w:val="99"/>
    <w:unhideWhenUsed/>
    <w:rsid w:val="002747B7"/>
    <w:pPr>
      <w:tabs>
        <w:tab w:val="center" w:pos="4680"/>
        <w:tab w:val="right" w:pos="9360"/>
      </w:tabs>
    </w:pPr>
  </w:style>
  <w:style w:type="character" w:customStyle="1" w:styleId="HeaderChar">
    <w:name w:val="Header Char"/>
    <w:basedOn w:val="DefaultParagraphFont"/>
    <w:link w:val="Header"/>
    <w:uiPriority w:val="99"/>
    <w:rsid w:val="002747B7"/>
    <w:rPr>
      <w:lang w:val="es-ES_tradnl"/>
    </w:rPr>
  </w:style>
  <w:style w:type="paragraph" w:styleId="List2">
    <w:name w:val="List 2"/>
    <w:basedOn w:val="Normal"/>
    <w:uiPriority w:val="99"/>
    <w:unhideWhenUsed/>
    <w:rsid w:val="00690579"/>
    <w:pPr>
      <w:spacing w:after="160" w:line="259" w:lineRule="auto"/>
      <w:ind w:left="566" w:hanging="283"/>
      <w:contextualSpacing/>
    </w:pPr>
    <w:rPr>
      <w:rFonts w:eastAsiaTheme="minorHAnsi"/>
      <w:sz w:val="22"/>
      <w:szCs w:val="22"/>
      <w:lang w:val="es-MX" w:eastAsia="en-US"/>
    </w:rPr>
  </w:style>
  <w:style w:type="paragraph" w:customStyle="1" w:styleId="Default">
    <w:name w:val="Default"/>
    <w:rsid w:val="00690579"/>
    <w:pPr>
      <w:autoSpaceDE w:val="0"/>
      <w:autoSpaceDN w:val="0"/>
      <w:adjustRightInd w:val="0"/>
    </w:pPr>
    <w:rPr>
      <w:rFonts w:ascii="Times New Roman" w:eastAsiaTheme="minorHAnsi" w:hAnsi="Times New Roman" w:cs="Times New Roman"/>
      <w:color w:val="000000"/>
      <w:lang w:eastAsia="en-US"/>
    </w:rPr>
  </w:style>
  <w:style w:type="character" w:customStyle="1" w:styleId="Mencinsinresolver1">
    <w:name w:val="Mención sin resolver1"/>
    <w:basedOn w:val="DefaultParagraphFont"/>
    <w:uiPriority w:val="99"/>
    <w:semiHidden/>
    <w:unhideWhenUsed/>
    <w:rsid w:val="00711913"/>
    <w:rPr>
      <w:color w:val="808080"/>
      <w:shd w:val="clear" w:color="auto" w:fill="E6E6E6"/>
    </w:rPr>
  </w:style>
  <w:style w:type="paragraph" w:styleId="List">
    <w:name w:val="List"/>
    <w:basedOn w:val="Normal"/>
    <w:uiPriority w:val="99"/>
    <w:unhideWhenUsed/>
    <w:rsid w:val="00DE01AA"/>
    <w:pPr>
      <w:spacing w:after="160" w:line="259" w:lineRule="auto"/>
      <w:ind w:left="283" w:hanging="283"/>
      <w:contextualSpacing/>
    </w:pPr>
    <w:rPr>
      <w:rFonts w:eastAsiaTheme="minorHAnsi"/>
      <w:sz w:val="22"/>
      <w:szCs w:val="22"/>
      <w:lang w:val="es-MX" w:eastAsia="en-US"/>
    </w:rPr>
  </w:style>
  <w:style w:type="character" w:customStyle="1" w:styleId="Heading1Char">
    <w:name w:val="Heading 1 Char"/>
    <w:basedOn w:val="DefaultParagraphFont"/>
    <w:link w:val="Heading1"/>
    <w:uiPriority w:val="9"/>
    <w:rsid w:val="00041F5B"/>
    <w:rPr>
      <w:rFonts w:ascii="Times New Roman" w:eastAsia="Times New Roman" w:hAnsi="Times New Roman" w:cs="Times New Roman"/>
      <w:b/>
      <w:bCs/>
      <w:kern w:val="36"/>
      <w:sz w:val="48"/>
      <w:szCs w:val="48"/>
      <w:lang w:eastAsia="es-MX"/>
    </w:rPr>
  </w:style>
  <w:style w:type="character" w:styleId="Emphasis">
    <w:name w:val="Emphasis"/>
    <w:basedOn w:val="DefaultParagraphFont"/>
    <w:uiPriority w:val="20"/>
    <w:qFormat/>
    <w:rsid w:val="00041F5B"/>
    <w:rPr>
      <w:i/>
      <w:iCs/>
    </w:rPr>
  </w:style>
  <w:style w:type="paragraph" w:styleId="Revision">
    <w:name w:val="Revision"/>
    <w:hidden/>
    <w:uiPriority w:val="99"/>
    <w:semiHidden/>
    <w:rsid w:val="00EE1835"/>
    <w:rPr>
      <w:lang w:val="es-ES_tradnl"/>
    </w:rPr>
  </w:style>
  <w:style w:type="paragraph" w:customStyle="1" w:styleId="PrrafodeSentencia">
    <w:name w:val="*. Párrafo de Sentencia"/>
    <w:basedOn w:val="FootnoteText"/>
    <w:link w:val="PrrafodeSentenciaChar"/>
    <w:autoRedefine/>
    <w:qFormat/>
    <w:rsid w:val="00845BCF"/>
    <w:pPr>
      <w:numPr>
        <w:numId w:val="19"/>
      </w:numPr>
      <w:tabs>
        <w:tab w:val="left" w:pos="709"/>
      </w:tabs>
      <w:ind w:left="0" w:firstLine="0"/>
      <w:jc w:val="both"/>
    </w:pPr>
    <w:rPr>
      <w:rFonts w:ascii="Verdana" w:eastAsia="Calibri" w:hAnsi="Verdana" w:cs="Verdana"/>
      <w:bCs/>
      <w:iCs/>
      <w:noProof/>
      <w:sz w:val="20"/>
      <w:szCs w:val="20"/>
      <w:u w:color="000000"/>
      <w:lang w:val="es-MX" w:eastAsia="es-CR"/>
    </w:rPr>
  </w:style>
  <w:style w:type="character" w:customStyle="1" w:styleId="PrrafodeSentenciaChar">
    <w:name w:val="*. Párrafo de Sentencia Char"/>
    <w:basedOn w:val="DefaultParagraphFont"/>
    <w:link w:val="PrrafodeSentencia"/>
    <w:rsid w:val="00845BCF"/>
    <w:rPr>
      <w:rFonts w:ascii="Verdana" w:eastAsia="Calibri" w:hAnsi="Verdana" w:cs="Verdana"/>
      <w:bCs/>
      <w:iCs/>
      <w:noProof/>
      <w:sz w:val="20"/>
      <w:szCs w:val="20"/>
      <w:u w:color="000000"/>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link w:val="Heading1Char"/>
    <w:uiPriority w:val="9"/>
    <w:qFormat/>
    <w:rsid w:val="00041F5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Párrafo de lista1,List Paragraph1,Colorful List - Accent 11,Lista vistosa - Énfasis 11"/>
    <w:basedOn w:val="Normal"/>
    <w:link w:val="ListParagraphChar"/>
    <w:uiPriority w:val="99"/>
    <w:qFormat/>
    <w:rsid w:val="00FE361F"/>
    <w:pPr>
      <w:ind w:left="720"/>
      <w:contextualSpacing/>
    </w:pPr>
  </w:style>
  <w:style w:type="paragraph" w:styleId="FootnoteText">
    <w:name w:val="footnote text"/>
    <w:aliases w:val="Footnote Text Char Char Char Char Char,Footnote Text Char Char Char Char,footnote text,Footnote reference,FA Fu,Footnote Text Char Char Char,Footnote Text Cha,FA Fußnotentext,FA Fuﬂnotentext,Footnote Text Char Char,Ca,C,FA Fu?notente,ft,5"/>
    <w:basedOn w:val="Normal"/>
    <w:link w:val="FootnoteTextChar"/>
    <w:uiPriority w:val="99"/>
    <w:unhideWhenUsed/>
    <w:qFormat/>
    <w:rsid w:val="005715A6"/>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C Char"/>
    <w:basedOn w:val="DefaultParagraphFont"/>
    <w:link w:val="FootnoteText"/>
    <w:qFormat/>
    <w:rsid w:val="005715A6"/>
    <w:rPr>
      <w:lang w:val="es-ES_tradnl"/>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link w:val="4GChar"/>
    <w:uiPriority w:val="99"/>
    <w:unhideWhenUsed/>
    <w:qFormat/>
    <w:rsid w:val="005715A6"/>
    <w:rPr>
      <w:vertAlign w:val="superscript"/>
    </w:rPr>
  </w:style>
  <w:style w:type="paragraph" w:styleId="NormalWeb">
    <w:name w:val="Normal (Web)"/>
    <w:aliases w:val="Normal (Web) Char1,Normal (Web) Char Char,Normal (Web) Char1 Char,Normal (Web) Char Char Char"/>
    <w:basedOn w:val="Normal"/>
    <w:uiPriority w:val="99"/>
    <w:unhideWhenUsed/>
    <w:rsid w:val="001E2021"/>
    <w:pPr>
      <w:spacing w:before="100" w:beforeAutospacing="1" w:after="100" w:afterAutospacing="1"/>
    </w:pPr>
    <w:rPr>
      <w:rFonts w:ascii="Times" w:hAnsi="Times" w:cs="Times New Roman"/>
      <w:sz w:val="20"/>
      <w:szCs w:val="20"/>
      <w:lang w:val="es-MX"/>
    </w:rPr>
  </w:style>
  <w:style w:type="paragraph" w:styleId="EndnoteText">
    <w:name w:val="endnote text"/>
    <w:basedOn w:val="Normal"/>
    <w:link w:val="EndnoteTextChar"/>
    <w:uiPriority w:val="99"/>
    <w:unhideWhenUsed/>
    <w:rsid w:val="00212944"/>
  </w:style>
  <w:style w:type="character" w:customStyle="1" w:styleId="EndnoteTextChar">
    <w:name w:val="Endnote Text Char"/>
    <w:basedOn w:val="DefaultParagraphFont"/>
    <w:link w:val="EndnoteText"/>
    <w:uiPriority w:val="99"/>
    <w:rsid w:val="00212944"/>
    <w:rPr>
      <w:lang w:val="es-ES_tradnl"/>
    </w:rPr>
  </w:style>
  <w:style w:type="character" w:styleId="EndnoteReference">
    <w:name w:val="endnote reference"/>
    <w:basedOn w:val="DefaultParagraphFont"/>
    <w:uiPriority w:val="99"/>
    <w:unhideWhenUsed/>
    <w:rsid w:val="00212944"/>
    <w:rPr>
      <w:vertAlign w:val="superscript"/>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basedOn w:val="DefaultParagraphFont"/>
    <w:qFormat/>
    <w:rsid w:val="0064534E"/>
    <w:rPr>
      <w:rFonts w:ascii="Univers" w:eastAsia="Times New Roman" w:hAnsi="Univers" w:cs="Times New Roman"/>
      <w:sz w:val="20"/>
      <w:szCs w:val="20"/>
      <w:lang w:val="es-CO"/>
    </w:rPr>
  </w:style>
  <w:style w:type="character" w:styleId="Hyperlink">
    <w:name w:val="Hyperlink"/>
    <w:uiPriority w:val="99"/>
    <w:rsid w:val="0064534E"/>
    <w:rPr>
      <w:color w:val="4659C4"/>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4534E"/>
    <w:pPr>
      <w:jc w:val="both"/>
    </w:pPr>
    <w:rPr>
      <w:vertAlign w:val="superscript"/>
      <w:lang w:val="es-MX"/>
    </w:rPr>
  </w:style>
  <w:style w:type="character" w:customStyle="1" w:styleId="ListParagraphChar">
    <w:name w:val="List Paragraph Char"/>
    <w:aliases w:val="List Paragraph2 Char,Párrafo de lista1 Char,List Paragraph1 Char,Colorful List - Accent 11 Char,Lista vistosa - Énfasis 11 Char"/>
    <w:link w:val="ListParagraph"/>
    <w:uiPriority w:val="99"/>
    <w:locked/>
    <w:rsid w:val="0064534E"/>
    <w:rPr>
      <w:lang w:val="es-ES_tradnl"/>
    </w:rPr>
  </w:style>
  <w:style w:type="character" w:styleId="Strong">
    <w:name w:val="Strong"/>
    <w:uiPriority w:val="22"/>
    <w:qFormat/>
    <w:rsid w:val="0030147D"/>
    <w:rPr>
      <w:b/>
      <w:bCs/>
    </w:rPr>
  </w:style>
  <w:style w:type="character" w:customStyle="1" w:styleId="apple-converted-space">
    <w:name w:val="apple-converted-space"/>
    <w:basedOn w:val="DefaultParagraphFont"/>
    <w:rsid w:val="00440A59"/>
  </w:style>
  <w:style w:type="paragraph" w:styleId="Footer">
    <w:name w:val="footer"/>
    <w:basedOn w:val="Normal"/>
    <w:link w:val="FooterChar"/>
    <w:uiPriority w:val="99"/>
    <w:unhideWhenUsed/>
    <w:rsid w:val="00B1356C"/>
    <w:pPr>
      <w:tabs>
        <w:tab w:val="center" w:pos="4252"/>
        <w:tab w:val="right" w:pos="8504"/>
      </w:tabs>
    </w:pPr>
  </w:style>
  <w:style w:type="character" w:customStyle="1" w:styleId="FooterChar">
    <w:name w:val="Footer Char"/>
    <w:basedOn w:val="DefaultParagraphFont"/>
    <w:link w:val="Footer"/>
    <w:uiPriority w:val="99"/>
    <w:rsid w:val="00B1356C"/>
    <w:rPr>
      <w:lang w:val="es-ES_tradnl"/>
    </w:rPr>
  </w:style>
  <w:style w:type="character" w:styleId="PageNumber">
    <w:name w:val="page number"/>
    <w:basedOn w:val="DefaultParagraphFont"/>
    <w:uiPriority w:val="99"/>
    <w:semiHidden/>
    <w:unhideWhenUsed/>
    <w:rsid w:val="00B1356C"/>
  </w:style>
  <w:style w:type="paragraph" w:styleId="Title">
    <w:name w:val="Title"/>
    <w:basedOn w:val="Normal"/>
    <w:link w:val="TitleChar"/>
    <w:qFormat/>
    <w:rsid w:val="006D2DE2"/>
    <w:pPr>
      <w:jc w:val="center"/>
    </w:pPr>
    <w:rPr>
      <w:rFonts w:ascii="Verdana" w:eastAsia="Times New Roman" w:hAnsi="Verdana" w:cs="Times New Roman"/>
      <w:b/>
      <w:noProof/>
      <w:sz w:val="20"/>
      <w:szCs w:val="20"/>
      <w:lang w:eastAsia="en-US"/>
    </w:rPr>
  </w:style>
  <w:style w:type="character" w:customStyle="1" w:styleId="TitleChar">
    <w:name w:val="Title Char"/>
    <w:basedOn w:val="DefaultParagraphFont"/>
    <w:link w:val="Title"/>
    <w:rsid w:val="006D2DE2"/>
    <w:rPr>
      <w:rFonts w:ascii="Verdana" w:eastAsia="Times New Roman" w:hAnsi="Verdana" w:cs="Times New Roman"/>
      <w:b/>
      <w:noProof/>
      <w:sz w:val="20"/>
      <w:szCs w:val="20"/>
      <w:lang w:val="es-ES_tradnl" w:eastAsia="en-US"/>
    </w:rPr>
  </w:style>
  <w:style w:type="paragraph" w:styleId="Subtitle">
    <w:name w:val="Subtitle"/>
    <w:basedOn w:val="Normal"/>
    <w:next w:val="Normal"/>
    <w:link w:val="SubtitleChar"/>
    <w:uiPriority w:val="11"/>
    <w:qFormat/>
    <w:rsid w:val="006D2DE2"/>
    <w:pPr>
      <w:numPr>
        <w:ilvl w:val="1"/>
      </w:numPr>
      <w:jc w:val="center"/>
    </w:pPr>
    <w:rPr>
      <w:rFonts w:ascii="Verdana" w:eastAsia="Times New Roman" w:hAnsi="Verdana" w:cs="Times New Roman"/>
      <w:b/>
      <w:i/>
      <w:iCs/>
      <w:noProof/>
      <w:spacing w:val="15"/>
      <w:sz w:val="20"/>
      <w:lang w:eastAsia="en-US"/>
    </w:rPr>
  </w:style>
  <w:style w:type="character" w:customStyle="1" w:styleId="SubttuloCar">
    <w:name w:val="Subtítulo Car"/>
    <w:basedOn w:val="DefaultParagraphFont"/>
    <w:uiPriority w:val="11"/>
    <w:rsid w:val="006D2DE2"/>
    <w:rPr>
      <w:color w:val="5A5A5A" w:themeColor="text1" w:themeTint="A5"/>
      <w:spacing w:val="15"/>
      <w:sz w:val="22"/>
      <w:szCs w:val="22"/>
      <w:lang w:val="es-ES_tradnl"/>
    </w:rPr>
  </w:style>
  <w:style w:type="character" w:customStyle="1" w:styleId="SubtitleChar">
    <w:name w:val="Subtitle Char"/>
    <w:basedOn w:val="DefaultParagraphFont"/>
    <w:link w:val="Subtitle"/>
    <w:uiPriority w:val="11"/>
    <w:rsid w:val="006D2DE2"/>
    <w:rPr>
      <w:rFonts w:ascii="Verdana" w:eastAsia="Times New Roman" w:hAnsi="Verdana" w:cs="Times New Roman"/>
      <w:b/>
      <w:i/>
      <w:iCs/>
      <w:noProof/>
      <w:spacing w:val="15"/>
      <w:sz w:val="20"/>
      <w:lang w:val="es-ES_tradnl" w:eastAsia="en-US"/>
    </w:rPr>
  </w:style>
  <w:style w:type="paragraph" w:styleId="BalloonText">
    <w:name w:val="Balloon Text"/>
    <w:basedOn w:val="Normal"/>
    <w:link w:val="BalloonTextChar"/>
    <w:uiPriority w:val="99"/>
    <w:semiHidden/>
    <w:unhideWhenUsed/>
    <w:rsid w:val="00E42BDA"/>
    <w:rPr>
      <w:rFonts w:ascii="Tahoma" w:hAnsi="Tahoma" w:cs="Tahoma"/>
      <w:sz w:val="16"/>
      <w:szCs w:val="16"/>
    </w:rPr>
  </w:style>
  <w:style w:type="character" w:customStyle="1" w:styleId="BalloonTextChar">
    <w:name w:val="Balloon Text Char"/>
    <w:basedOn w:val="DefaultParagraphFont"/>
    <w:link w:val="BalloonText"/>
    <w:uiPriority w:val="99"/>
    <w:semiHidden/>
    <w:rsid w:val="00E42BDA"/>
    <w:rPr>
      <w:rFonts w:ascii="Tahoma" w:hAnsi="Tahoma" w:cs="Tahoma"/>
      <w:sz w:val="16"/>
      <w:szCs w:val="16"/>
      <w:lang w:val="es-ES_tradnl"/>
    </w:rPr>
  </w:style>
  <w:style w:type="character" w:styleId="FollowedHyperlink">
    <w:name w:val="FollowedHyperlink"/>
    <w:basedOn w:val="DefaultParagraphFont"/>
    <w:uiPriority w:val="99"/>
    <w:semiHidden/>
    <w:unhideWhenUsed/>
    <w:rsid w:val="006D17A2"/>
    <w:rPr>
      <w:color w:val="800080" w:themeColor="followedHyperlink"/>
      <w:u w:val="single"/>
    </w:rPr>
  </w:style>
  <w:style w:type="character" w:styleId="CommentReference">
    <w:name w:val="annotation reference"/>
    <w:basedOn w:val="DefaultParagraphFont"/>
    <w:uiPriority w:val="99"/>
    <w:semiHidden/>
    <w:unhideWhenUsed/>
    <w:rsid w:val="00225B99"/>
    <w:rPr>
      <w:sz w:val="16"/>
      <w:szCs w:val="16"/>
    </w:rPr>
  </w:style>
  <w:style w:type="paragraph" w:styleId="CommentText">
    <w:name w:val="annotation text"/>
    <w:basedOn w:val="Normal"/>
    <w:link w:val="CommentTextChar"/>
    <w:uiPriority w:val="99"/>
    <w:unhideWhenUsed/>
    <w:rsid w:val="00225B99"/>
    <w:rPr>
      <w:sz w:val="20"/>
      <w:szCs w:val="20"/>
    </w:rPr>
  </w:style>
  <w:style w:type="character" w:customStyle="1" w:styleId="CommentTextChar">
    <w:name w:val="Comment Text Char"/>
    <w:basedOn w:val="DefaultParagraphFont"/>
    <w:link w:val="CommentText"/>
    <w:uiPriority w:val="99"/>
    <w:rsid w:val="00225B99"/>
    <w:rPr>
      <w:sz w:val="20"/>
      <w:szCs w:val="20"/>
      <w:lang w:val="es-ES_tradnl"/>
    </w:rPr>
  </w:style>
  <w:style w:type="paragraph" w:styleId="CommentSubject">
    <w:name w:val="annotation subject"/>
    <w:basedOn w:val="CommentText"/>
    <w:next w:val="CommentText"/>
    <w:link w:val="CommentSubjectChar"/>
    <w:uiPriority w:val="99"/>
    <w:semiHidden/>
    <w:unhideWhenUsed/>
    <w:rsid w:val="00225B99"/>
    <w:rPr>
      <w:b/>
      <w:bCs/>
    </w:rPr>
  </w:style>
  <w:style w:type="character" w:customStyle="1" w:styleId="CommentSubjectChar">
    <w:name w:val="Comment Subject Char"/>
    <w:basedOn w:val="CommentTextChar"/>
    <w:link w:val="CommentSubject"/>
    <w:uiPriority w:val="99"/>
    <w:semiHidden/>
    <w:rsid w:val="00225B99"/>
    <w:rPr>
      <w:b/>
      <w:bCs/>
      <w:sz w:val="20"/>
      <w:szCs w:val="20"/>
      <w:lang w:val="es-ES_tradnl"/>
    </w:rPr>
  </w:style>
  <w:style w:type="paragraph" w:styleId="Header">
    <w:name w:val="header"/>
    <w:basedOn w:val="Normal"/>
    <w:link w:val="HeaderChar"/>
    <w:uiPriority w:val="99"/>
    <w:unhideWhenUsed/>
    <w:rsid w:val="002747B7"/>
    <w:pPr>
      <w:tabs>
        <w:tab w:val="center" w:pos="4680"/>
        <w:tab w:val="right" w:pos="9360"/>
      </w:tabs>
    </w:pPr>
  </w:style>
  <w:style w:type="character" w:customStyle="1" w:styleId="HeaderChar">
    <w:name w:val="Header Char"/>
    <w:basedOn w:val="DefaultParagraphFont"/>
    <w:link w:val="Header"/>
    <w:uiPriority w:val="99"/>
    <w:rsid w:val="002747B7"/>
    <w:rPr>
      <w:lang w:val="es-ES_tradnl"/>
    </w:rPr>
  </w:style>
  <w:style w:type="paragraph" w:styleId="List2">
    <w:name w:val="List 2"/>
    <w:basedOn w:val="Normal"/>
    <w:uiPriority w:val="99"/>
    <w:unhideWhenUsed/>
    <w:rsid w:val="00690579"/>
    <w:pPr>
      <w:spacing w:after="160" w:line="259" w:lineRule="auto"/>
      <w:ind w:left="566" w:hanging="283"/>
      <w:contextualSpacing/>
    </w:pPr>
    <w:rPr>
      <w:rFonts w:eastAsiaTheme="minorHAnsi"/>
      <w:sz w:val="22"/>
      <w:szCs w:val="22"/>
      <w:lang w:val="es-MX" w:eastAsia="en-US"/>
    </w:rPr>
  </w:style>
  <w:style w:type="paragraph" w:customStyle="1" w:styleId="Default">
    <w:name w:val="Default"/>
    <w:rsid w:val="00690579"/>
    <w:pPr>
      <w:autoSpaceDE w:val="0"/>
      <w:autoSpaceDN w:val="0"/>
      <w:adjustRightInd w:val="0"/>
    </w:pPr>
    <w:rPr>
      <w:rFonts w:ascii="Times New Roman" w:eastAsiaTheme="minorHAnsi" w:hAnsi="Times New Roman" w:cs="Times New Roman"/>
      <w:color w:val="000000"/>
      <w:lang w:eastAsia="en-US"/>
    </w:rPr>
  </w:style>
  <w:style w:type="character" w:customStyle="1" w:styleId="Mencinsinresolver1">
    <w:name w:val="Mención sin resolver1"/>
    <w:basedOn w:val="DefaultParagraphFont"/>
    <w:uiPriority w:val="99"/>
    <w:semiHidden/>
    <w:unhideWhenUsed/>
    <w:rsid w:val="00711913"/>
    <w:rPr>
      <w:color w:val="808080"/>
      <w:shd w:val="clear" w:color="auto" w:fill="E6E6E6"/>
    </w:rPr>
  </w:style>
  <w:style w:type="paragraph" w:styleId="List">
    <w:name w:val="List"/>
    <w:basedOn w:val="Normal"/>
    <w:uiPriority w:val="99"/>
    <w:unhideWhenUsed/>
    <w:rsid w:val="00DE01AA"/>
    <w:pPr>
      <w:spacing w:after="160" w:line="259" w:lineRule="auto"/>
      <w:ind w:left="283" w:hanging="283"/>
      <w:contextualSpacing/>
    </w:pPr>
    <w:rPr>
      <w:rFonts w:eastAsiaTheme="minorHAnsi"/>
      <w:sz w:val="22"/>
      <w:szCs w:val="22"/>
      <w:lang w:val="es-MX" w:eastAsia="en-US"/>
    </w:rPr>
  </w:style>
  <w:style w:type="character" w:customStyle="1" w:styleId="Heading1Char">
    <w:name w:val="Heading 1 Char"/>
    <w:basedOn w:val="DefaultParagraphFont"/>
    <w:link w:val="Heading1"/>
    <w:uiPriority w:val="9"/>
    <w:rsid w:val="00041F5B"/>
    <w:rPr>
      <w:rFonts w:ascii="Times New Roman" w:eastAsia="Times New Roman" w:hAnsi="Times New Roman" w:cs="Times New Roman"/>
      <w:b/>
      <w:bCs/>
      <w:kern w:val="36"/>
      <w:sz w:val="48"/>
      <w:szCs w:val="48"/>
      <w:lang w:eastAsia="es-MX"/>
    </w:rPr>
  </w:style>
  <w:style w:type="character" w:styleId="Emphasis">
    <w:name w:val="Emphasis"/>
    <w:basedOn w:val="DefaultParagraphFont"/>
    <w:uiPriority w:val="20"/>
    <w:qFormat/>
    <w:rsid w:val="00041F5B"/>
    <w:rPr>
      <w:i/>
      <w:iCs/>
    </w:rPr>
  </w:style>
  <w:style w:type="paragraph" w:styleId="Revision">
    <w:name w:val="Revision"/>
    <w:hidden/>
    <w:uiPriority w:val="99"/>
    <w:semiHidden/>
    <w:rsid w:val="00EE1835"/>
    <w:rPr>
      <w:lang w:val="es-ES_tradnl"/>
    </w:rPr>
  </w:style>
  <w:style w:type="paragraph" w:customStyle="1" w:styleId="PrrafodeSentencia">
    <w:name w:val="*. Párrafo de Sentencia"/>
    <w:basedOn w:val="FootnoteText"/>
    <w:link w:val="PrrafodeSentenciaChar"/>
    <w:autoRedefine/>
    <w:qFormat/>
    <w:rsid w:val="00845BCF"/>
    <w:pPr>
      <w:numPr>
        <w:numId w:val="19"/>
      </w:numPr>
      <w:tabs>
        <w:tab w:val="left" w:pos="709"/>
      </w:tabs>
      <w:ind w:left="0" w:firstLine="0"/>
      <w:jc w:val="both"/>
    </w:pPr>
    <w:rPr>
      <w:rFonts w:ascii="Verdana" w:eastAsia="Calibri" w:hAnsi="Verdana" w:cs="Verdana"/>
      <w:bCs/>
      <w:iCs/>
      <w:noProof/>
      <w:sz w:val="20"/>
      <w:szCs w:val="20"/>
      <w:u w:color="000000"/>
      <w:lang w:val="es-MX" w:eastAsia="es-CR"/>
    </w:rPr>
  </w:style>
  <w:style w:type="character" w:customStyle="1" w:styleId="PrrafodeSentenciaChar">
    <w:name w:val="*. Párrafo de Sentencia Char"/>
    <w:basedOn w:val="DefaultParagraphFont"/>
    <w:link w:val="PrrafodeSentencia"/>
    <w:rsid w:val="00845BCF"/>
    <w:rPr>
      <w:rFonts w:ascii="Verdana" w:eastAsia="Calibri" w:hAnsi="Verdana" w:cs="Verdana"/>
      <w:bCs/>
      <w:iCs/>
      <w:noProof/>
      <w:sz w:val="20"/>
      <w:szCs w:val="20"/>
      <w:u w:color="00000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5532">
      <w:bodyDiv w:val="1"/>
      <w:marLeft w:val="0"/>
      <w:marRight w:val="0"/>
      <w:marTop w:val="0"/>
      <w:marBottom w:val="0"/>
      <w:divBdr>
        <w:top w:val="none" w:sz="0" w:space="0" w:color="auto"/>
        <w:left w:val="none" w:sz="0" w:space="0" w:color="auto"/>
        <w:bottom w:val="none" w:sz="0" w:space="0" w:color="auto"/>
        <w:right w:val="none" w:sz="0" w:space="0" w:color="auto"/>
      </w:divBdr>
      <w:divsChild>
        <w:div w:id="512914907">
          <w:marLeft w:val="0"/>
          <w:marRight w:val="0"/>
          <w:marTop w:val="0"/>
          <w:marBottom w:val="0"/>
          <w:divBdr>
            <w:top w:val="none" w:sz="0" w:space="0" w:color="auto"/>
            <w:left w:val="none" w:sz="0" w:space="0" w:color="auto"/>
            <w:bottom w:val="none" w:sz="0" w:space="0" w:color="auto"/>
            <w:right w:val="none" w:sz="0" w:space="0" w:color="auto"/>
          </w:divBdr>
          <w:divsChild>
            <w:div w:id="816797689">
              <w:marLeft w:val="0"/>
              <w:marRight w:val="0"/>
              <w:marTop w:val="0"/>
              <w:marBottom w:val="0"/>
              <w:divBdr>
                <w:top w:val="none" w:sz="0" w:space="0" w:color="auto"/>
                <w:left w:val="none" w:sz="0" w:space="0" w:color="auto"/>
                <w:bottom w:val="none" w:sz="0" w:space="0" w:color="auto"/>
                <w:right w:val="none" w:sz="0" w:space="0" w:color="auto"/>
              </w:divBdr>
              <w:divsChild>
                <w:div w:id="1774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2500">
      <w:bodyDiv w:val="1"/>
      <w:marLeft w:val="0"/>
      <w:marRight w:val="0"/>
      <w:marTop w:val="0"/>
      <w:marBottom w:val="0"/>
      <w:divBdr>
        <w:top w:val="none" w:sz="0" w:space="0" w:color="auto"/>
        <w:left w:val="none" w:sz="0" w:space="0" w:color="auto"/>
        <w:bottom w:val="none" w:sz="0" w:space="0" w:color="auto"/>
        <w:right w:val="none" w:sz="0" w:space="0" w:color="auto"/>
      </w:divBdr>
    </w:div>
    <w:div w:id="238027003">
      <w:bodyDiv w:val="1"/>
      <w:marLeft w:val="0"/>
      <w:marRight w:val="0"/>
      <w:marTop w:val="0"/>
      <w:marBottom w:val="0"/>
      <w:divBdr>
        <w:top w:val="none" w:sz="0" w:space="0" w:color="auto"/>
        <w:left w:val="none" w:sz="0" w:space="0" w:color="auto"/>
        <w:bottom w:val="none" w:sz="0" w:space="0" w:color="auto"/>
        <w:right w:val="none" w:sz="0" w:space="0" w:color="auto"/>
      </w:divBdr>
      <w:divsChild>
        <w:div w:id="382758410">
          <w:marLeft w:val="0"/>
          <w:marRight w:val="0"/>
          <w:marTop w:val="0"/>
          <w:marBottom w:val="0"/>
          <w:divBdr>
            <w:top w:val="none" w:sz="0" w:space="0" w:color="auto"/>
            <w:left w:val="none" w:sz="0" w:space="0" w:color="auto"/>
            <w:bottom w:val="none" w:sz="0" w:space="0" w:color="auto"/>
            <w:right w:val="none" w:sz="0" w:space="0" w:color="auto"/>
          </w:divBdr>
          <w:divsChild>
            <w:div w:id="991830796">
              <w:marLeft w:val="0"/>
              <w:marRight w:val="0"/>
              <w:marTop w:val="0"/>
              <w:marBottom w:val="0"/>
              <w:divBdr>
                <w:top w:val="none" w:sz="0" w:space="0" w:color="auto"/>
                <w:left w:val="none" w:sz="0" w:space="0" w:color="auto"/>
                <w:bottom w:val="none" w:sz="0" w:space="0" w:color="auto"/>
                <w:right w:val="none" w:sz="0" w:space="0" w:color="auto"/>
              </w:divBdr>
              <w:divsChild>
                <w:div w:id="58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4732">
      <w:bodyDiv w:val="1"/>
      <w:marLeft w:val="0"/>
      <w:marRight w:val="0"/>
      <w:marTop w:val="0"/>
      <w:marBottom w:val="0"/>
      <w:divBdr>
        <w:top w:val="none" w:sz="0" w:space="0" w:color="auto"/>
        <w:left w:val="none" w:sz="0" w:space="0" w:color="auto"/>
        <w:bottom w:val="none" w:sz="0" w:space="0" w:color="auto"/>
        <w:right w:val="none" w:sz="0" w:space="0" w:color="auto"/>
      </w:divBdr>
    </w:div>
    <w:div w:id="664088432">
      <w:bodyDiv w:val="1"/>
      <w:marLeft w:val="0"/>
      <w:marRight w:val="0"/>
      <w:marTop w:val="0"/>
      <w:marBottom w:val="0"/>
      <w:divBdr>
        <w:top w:val="none" w:sz="0" w:space="0" w:color="auto"/>
        <w:left w:val="none" w:sz="0" w:space="0" w:color="auto"/>
        <w:bottom w:val="none" w:sz="0" w:space="0" w:color="auto"/>
        <w:right w:val="none" w:sz="0" w:space="0" w:color="auto"/>
      </w:divBdr>
    </w:div>
    <w:div w:id="735861217">
      <w:bodyDiv w:val="1"/>
      <w:marLeft w:val="0"/>
      <w:marRight w:val="0"/>
      <w:marTop w:val="0"/>
      <w:marBottom w:val="0"/>
      <w:divBdr>
        <w:top w:val="none" w:sz="0" w:space="0" w:color="auto"/>
        <w:left w:val="none" w:sz="0" w:space="0" w:color="auto"/>
        <w:bottom w:val="none" w:sz="0" w:space="0" w:color="auto"/>
        <w:right w:val="none" w:sz="0" w:space="0" w:color="auto"/>
      </w:divBdr>
    </w:div>
    <w:div w:id="782114515">
      <w:bodyDiv w:val="1"/>
      <w:marLeft w:val="0"/>
      <w:marRight w:val="0"/>
      <w:marTop w:val="0"/>
      <w:marBottom w:val="0"/>
      <w:divBdr>
        <w:top w:val="none" w:sz="0" w:space="0" w:color="auto"/>
        <w:left w:val="none" w:sz="0" w:space="0" w:color="auto"/>
        <w:bottom w:val="none" w:sz="0" w:space="0" w:color="auto"/>
        <w:right w:val="none" w:sz="0" w:space="0" w:color="auto"/>
      </w:divBdr>
    </w:div>
    <w:div w:id="876232668">
      <w:bodyDiv w:val="1"/>
      <w:marLeft w:val="0"/>
      <w:marRight w:val="0"/>
      <w:marTop w:val="0"/>
      <w:marBottom w:val="0"/>
      <w:divBdr>
        <w:top w:val="none" w:sz="0" w:space="0" w:color="auto"/>
        <w:left w:val="none" w:sz="0" w:space="0" w:color="auto"/>
        <w:bottom w:val="none" w:sz="0" w:space="0" w:color="auto"/>
        <w:right w:val="none" w:sz="0" w:space="0" w:color="auto"/>
      </w:divBdr>
      <w:divsChild>
        <w:div w:id="1622490434">
          <w:marLeft w:val="0"/>
          <w:marRight w:val="0"/>
          <w:marTop w:val="0"/>
          <w:marBottom w:val="0"/>
          <w:divBdr>
            <w:top w:val="none" w:sz="0" w:space="0" w:color="auto"/>
            <w:left w:val="none" w:sz="0" w:space="0" w:color="auto"/>
            <w:bottom w:val="none" w:sz="0" w:space="0" w:color="auto"/>
            <w:right w:val="none" w:sz="0" w:space="0" w:color="auto"/>
          </w:divBdr>
          <w:divsChild>
            <w:div w:id="1925451496">
              <w:marLeft w:val="0"/>
              <w:marRight w:val="0"/>
              <w:marTop w:val="0"/>
              <w:marBottom w:val="0"/>
              <w:divBdr>
                <w:top w:val="none" w:sz="0" w:space="0" w:color="auto"/>
                <w:left w:val="none" w:sz="0" w:space="0" w:color="auto"/>
                <w:bottom w:val="none" w:sz="0" w:space="0" w:color="auto"/>
                <w:right w:val="none" w:sz="0" w:space="0" w:color="auto"/>
              </w:divBdr>
              <w:divsChild>
                <w:div w:id="6378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361">
      <w:bodyDiv w:val="1"/>
      <w:marLeft w:val="0"/>
      <w:marRight w:val="0"/>
      <w:marTop w:val="0"/>
      <w:marBottom w:val="0"/>
      <w:divBdr>
        <w:top w:val="none" w:sz="0" w:space="0" w:color="auto"/>
        <w:left w:val="none" w:sz="0" w:space="0" w:color="auto"/>
        <w:bottom w:val="none" w:sz="0" w:space="0" w:color="auto"/>
        <w:right w:val="none" w:sz="0" w:space="0" w:color="auto"/>
      </w:divBdr>
    </w:div>
    <w:div w:id="983774394">
      <w:bodyDiv w:val="1"/>
      <w:marLeft w:val="0"/>
      <w:marRight w:val="0"/>
      <w:marTop w:val="0"/>
      <w:marBottom w:val="0"/>
      <w:divBdr>
        <w:top w:val="none" w:sz="0" w:space="0" w:color="auto"/>
        <w:left w:val="none" w:sz="0" w:space="0" w:color="auto"/>
        <w:bottom w:val="none" w:sz="0" w:space="0" w:color="auto"/>
        <w:right w:val="none" w:sz="0" w:space="0" w:color="auto"/>
      </w:divBdr>
    </w:div>
    <w:div w:id="1105151347">
      <w:bodyDiv w:val="1"/>
      <w:marLeft w:val="0"/>
      <w:marRight w:val="0"/>
      <w:marTop w:val="0"/>
      <w:marBottom w:val="0"/>
      <w:divBdr>
        <w:top w:val="none" w:sz="0" w:space="0" w:color="auto"/>
        <w:left w:val="none" w:sz="0" w:space="0" w:color="auto"/>
        <w:bottom w:val="none" w:sz="0" w:space="0" w:color="auto"/>
        <w:right w:val="none" w:sz="0" w:space="0" w:color="auto"/>
      </w:divBdr>
      <w:divsChild>
        <w:div w:id="52849510">
          <w:marLeft w:val="0"/>
          <w:marRight w:val="0"/>
          <w:marTop w:val="0"/>
          <w:marBottom w:val="0"/>
          <w:divBdr>
            <w:top w:val="none" w:sz="0" w:space="0" w:color="auto"/>
            <w:left w:val="none" w:sz="0" w:space="0" w:color="auto"/>
            <w:bottom w:val="none" w:sz="0" w:space="0" w:color="auto"/>
            <w:right w:val="none" w:sz="0" w:space="0" w:color="auto"/>
          </w:divBdr>
          <w:divsChild>
            <w:div w:id="1959137451">
              <w:marLeft w:val="0"/>
              <w:marRight w:val="0"/>
              <w:marTop w:val="0"/>
              <w:marBottom w:val="0"/>
              <w:divBdr>
                <w:top w:val="none" w:sz="0" w:space="0" w:color="auto"/>
                <w:left w:val="none" w:sz="0" w:space="0" w:color="auto"/>
                <w:bottom w:val="none" w:sz="0" w:space="0" w:color="auto"/>
                <w:right w:val="none" w:sz="0" w:space="0" w:color="auto"/>
              </w:divBdr>
              <w:divsChild>
                <w:div w:id="1860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3265">
      <w:bodyDiv w:val="1"/>
      <w:marLeft w:val="0"/>
      <w:marRight w:val="0"/>
      <w:marTop w:val="0"/>
      <w:marBottom w:val="0"/>
      <w:divBdr>
        <w:top w:val="none" w:sz="0" w:space="0" w:color="auto"/>
        <w:left w:val="none" w:sz="0" w:space="0" w:color="auto"/>
        <w:bottom w:val="none" w:sz="0" w:space="0" w:color="auto"/>
        <w:right w:val="none" w:sz="0" w:space="0" w:color="auto"/>
      </w:divBdr>
      <w:divsChild>
        <w:div w:id="312178605">
          <w:marLeft w:val="0"/>
          <w:marRight w:val="0"/>
          <w:marTop w:val="0"/>
          <w:marBottom w:val="0"/>
          <w:divBdr>
            <w:top w:val="none" w:sz="0" w:space="0" w:color="auto"/>
            <w:left w:val="none" w:sz="0" w:space="0" w:color="auto"/>
            <w:bottom w:val="none" w:sz="0" w:space="0" w:color="auto"/>
            <w:right w:val="none" w:sz="0" w:space="0" w:color="auto"/>
          </w:divBdr>
          <w:divsChild>
            <w:div w:id="1603488010">
              <w:marLeft w:val="0"/>
              <w:marRight w:val="0"/>
              <w:marTop w:val="0"/>
              <w:marBottom w:val="0"/>
              <w:divBdr>
                <w:top w:val="none" w:sz="0" w:space="0" w:color="auto"/>
                <w:left w:val="none" w:sz="0" w:space="0" w:color="auto"/>
                <w:bottom w:val="none" w:sz="0" w:space="0" w:color="auto"/>
                <w:right w:val="none" w:sz="0" w:space="0" w:color="auto"/>
              </w:divBdr>
              <w:divsChild>
                <w:div w:id="7140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5271">
      <w:bodyDiv w:val="1"/>
      <w:marLeft w:val="0"/>
      <w:marRight w:val="0"/>
      <w:marTop w:val="0"/>
      <w:marBottom w:val="0"/>
      <w:divBdr>
        <w:top w:val="none" w:sz="0" w:space="0" w:color="auto"/>
        <w:left w:val="none" w:sz="0" w:space="0" w:color="auto"/>
        <w:bottom w:val="none" w:sz="0" w:space="0" w:color="auto"/>
        <w:right w:val="none" w:sz="0" w:space="0" w:color="auto"/>
      </w:divBdr>
      <w:divsChild>
        <w:div w:id="1994681620">
          <w:marLeft w:val="0"/>
          <w:marRight w:val="0"/>
          <w:marTop w:val="0"/>
          <w:marBottom w:val="0"/>
          <w:divBdr>
            <w:top w:val="none" w:sz="0" w:space="0" w:color="auto"/>
            <w:left w:val="none" w:sz="0" w:space="0" w:color="auto"/>
            <w:bottom w:val="none" w:sz="0" w:space="0" w:color="auto"/>
            <w:right w:val="none" w:sz="0" w:space="0" w:color="auto"/>
          </w:divBdr>
          <w:divsChild>
            <w:div w:id="1829857981">
              <w:marLeft w:val="0"/>
              <w:marRight w:val="0"/>
              <w:marTop w:val="0"/>
              <w:marBottom w:val="0"/>
              <w:divBdr>
                <w:top w:val="none" w:sz="0" w:space="0" w:color="auto"/>
                <w:left w:val="none" w:sz="0" w:space="0" w:color="auto"/>
                <w:bottom w:val="none" w:sz="0" w:space="0" w:color="auto"/>
                <w:right w:val="none" w:sz="0" w:space="0" w:color="auto"/>
              </w:divBdr>
              <w:divsChild>
                <w:div w:id="76026661">
                  <w:marLeft w:val="0"/>
                  <w:marRight w:val="0"/>
                  <w:marTop w:val="0"/>
                  <w:marBottom w:val="0"/>
                  <w:divBdr>
                    <w:top w:val="none" w:sz="0" w:space="0" w:color="auto"/>
                    <w:left w:val="none" w:sz="0" w:space="0" w:color="auto"/>
                    <w:bottom w:val="none" w:sz="0" w:space="0" w:color="auto"/>
                    <w:right w:val="none" w:sz="0" w:space="0" w:color="auto"/>
                  </w:divBdr>
                  <w:divsChild>
                    <w:div w:id="8984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2579">
      <w:bodyDiv w:val="1"/>
      <w:marLeft w:val="0"/>
      <w:marRight w:val="0"/>
      <w:marTop w:val="0"/>
      <w:marBottom w:val="0"/>
      <w:divBdr>
        <w:top w:val="none" w:sz="0" w:space="0" w:color="auto"/>
        <w:left w:val="none" w:sz="0" w:space="0" w:color="auto"/>
        <w:bottom w:val="none" w:sz="0" w:space="0" w:color="auto"/>
        <w:right w:val="none" w:sz="0" w:space="0" w:color="auto"/>
      </w:divBdr>
      <w:divsChild>
        <w:div w:id="1607931674">
          <w:marLeft w:val="0"/>
          <w:marRight w:val="0"/>
          <w:marTop w:val="0"/>
          <w:marBottom w:val="0"/>
          <w:divBdr>
            <w:top w:val="none" w:sz="0" w:space="0" w:color="auto"/>
            <w:left w:val="none" w:sz="0" w:space="0" w:color="auto"/>
            <w:bottom w:val="none" w:sz="0" w:space="0" w:color="auto"/>
            <w:right w:val="none" w:sz="0" w:space="0" w:color="auto"/>
          </w:divBdr>
          <w:divsChild>
            <w:div w:id="310254710">
              <w:marLeft w:val="0"/>
              <w:marRight w:val="0"/>
              <w:marTop w:val="0"/>
              <w:marBottom w:val="0"/>
              <w:divBdr>
                <w:top w:val="none" w:sz="0" w:space="0" w:color="auto"/>
                <w:left w:val="none" w:sz="0" w:space="0" w:color="auto"/>
                <w:bottom w:val="none" w:sz="0" w:space="0" w:color="auto"/>
                <w:right w:val="none" w:sz="0" w:space="0" w:color="auto"/>
              </w:divBdr>
              <w:divsChild>
                <w:div w:id="14899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7182">
      <w:bodyDiv w:val="1"/>
      <w:marLeft w:val="0"/>
      <w:marRight w:val="0"/>
      <w:marTop w:val="0"/>
      <w:marBottom w:val="0"/>
      <w:divBdr>
        <w:top w:val="none" w:sz="0" w:space="0" w:color="auto"/>
        <w:left w:val="none" w:sz="0" w:space="0" w:color="auto"/>
        <w:bottom w:val="none" w:sz="0" w:space="0" w:color="auto"/>
        <w:right w:val="none" w:sz="0" w:space="0" w:color="auto"/>
      </w:divBdr>
      <w:divsChild>
        <w:div w:id="1275676819">
          <w:marLeft w:val="0"/>
          <w:marRight w:val="0"/>
          <w:marTop w:val="0"/>
          <w:marBottom w:val="0"/>
          <w:divBdr>
            <w:top w:val="none" w:sz="0" w:space="0" w:color="auto"/>
            <w:left w:val="none" w:sz="0" w:space="0" w:color="auto"/>
            <w:bottom w:val="none" w:sz="0" w:space="0" w:color="auto"/>
            <w:right w:val="none" w:sz="0" w:space="0" w:color="auto"/>
          </w:divBdr>
          <w:divsChild>
            <w:div w:id="2096432871">
              <w:marLeft w:val="0"/>
              <w:marRight w:val="0"/>
              <w:marTop w:val="0"/>
              <w:marBottom w:val="0"/>
              <w:divBdr>
                <w:top w:val="none" w:sz="0" w:space="0" w:color="auto"/>
                <w:left w:val="none" w:sz="0" w:space="0" w:color="auto"/>
                <w:bottom w:val="none" w:sz="0" w:space="0" w:color="auto"/>
                <w:right w:val="none" w:sz="0" w:space="0" w:color="auto"/>
              </w:divBdr>
              <w:divsChild>
                <w:div w:id="1507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3092">
      <w:bodyDiv w:val="1"/>
      <w:marLeft w:val="0"/>
      <w:marRight w:val="0"/>
      <w:marTop w:val="0"/>
      <w:marBottom w:val="0"/>
      <w:divBdr>
        <w:top w:val="none" w:sz="0" w:space="0" w:color="auto"/>
        <w:left w:val="none" w:sz="0" w:space="0" w:color="auto"/>
        <w:bottom w:val="none" w:sz="0" w:space="0" w:color="auto"/>
        <w:right w:val="none" w:sz="0" w:space="0" w:color="auto"/>
      </w:divBdr>
    </w:div>
    <w:div w:id="1588809376">
      <w:bodyDiv w:val="1"/>
      <w:marLeft w:val="0"/>
      <w:marRight w:val="0"/>
      <w:marTop w:val="0"/>
      <w:marBottom w:val="0"/>
      <w:divBdr>
        <w:top w:val="none" w:sz="0" w:space="0" w:color="auto"/>
        <w:left w:val="none" w:sz="0" w:space="0" w:color="auto"/>
        <w:bottom w:val="none" w:sz="0" w:space="0" w:color="auto"/>
        <w:right w:val="none" w:sz="0" w:space="0" w:color="auto"/>
      </w:divBdr>
    </w:div>
    <w:div w:id="1591086512">
      <w:bodyDiv w:val="1"/>
      <w:marLeft w:val="0"/>
      <w:marRight w:val="0"/>
      <w:marTop w:val="0"/>
      <w:marBottom w:val="0"/>
      <w:divBdr>
        <w:top w:val="none" w:sz="0" w:space="0" w:color="auto"/>
        <w:left w:val="none" w:sz="0" w:space="0" w:color="auto"/>
        <w:bottom w:val="none" w:sz="0" w:space="0" w:color="auto"/>
        <w:right w:val="none" w:sz="0" w:space="0" w:color="auto"/>
      </w:divBdr>
      <w:divsChild>
        <w:div w:id="2055108946">
          <w:marLeft w:val="0"/>
          <w:marRight w:val="0"/>
          <w:marTop w:val="0"/>
          <w:marBottom w:val="0"/>
          <w:divBdr>
            <w:top w:val="none" w:sz="0" w:space="0" w:color="auto"/>
            <w:left w:val="none" w:sz="0" w:space="0" w:color="auto"/>
            <w:bottom w:val="none" w:sz="0" w:space="0" w:color="auto"/>
            <w:right w:val="none" w:sz="0" w:space="0" w:color="auto"/>
          </w:divBdr>
          <w:divsChild>
            <w:div w:id="980382825">
              <w:marLeft w:val="0"/>
              <w:marRight w:val="0"/>
              <w:marTop w:val="0"/>
              <w:marBottom w:val="0"/>
              <w:divBdr>
                <w:top w:val="none" w:sz="0" w:space="0" w:color="auto"/>
                <w:left w:val="none" w:sz="0" w:space="0" w:color="auto"/>
                <w:bottom w:val="none" w:sz="0" w:space="0" w:color="auto"/>
                <w:right w:val="none" w:sz="0" w:space="0" w:color="auto"/>
              </w:divBdr>
              <w:divsChild>
                <w:div w:id="1792239308">
                  <w:marLeft w:val="0"/>
                  <w:marRight w:val="0"/>
                  <w:marTop w:val="0"/>
                  <w:marBottom w:val="0"/>
                  <w:divBdr>
                    <w:top w:val="none" w:sz="0" w:space="0" w:color="auto"/>
                    <w:left w:val="none" w:sz="0" w:space="0" w:color="auto"/>
                    <w:bottom w:val="none" w:sz="0" w:space="0" w:color="auto"/>
                    <w:right w:val="none" w:sz="0" w:space="0" w:color="auto"/>
                  </w:divBdr>
                  <w:divsChild>
                    <w:div w:id="5768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6865">
      <w:bodyDiv w:val="1"/>
      <w:marLeft w:val="0"/>
      <w:marRight w:val="0"/>
      <w:marTop w:val="0"/>
      <w:marBottom w:val="0"/>
      <w:divBdr>
        <w:top w:val="none" w:sz="0" w:space="0" w:color="auto"/>
        <w:left w:val="none" w:sz="0" w:space="0" w:color="auto"/>
        <w:bottom w:val="none" w:sz="0" w:space="0" w:color="auto"/>
        <w:right w:val="none" w:sz="0" w:space="0" w:color="auto"/>
      </w:divBdr>
      <w:divsChild>
        <w:div w:id="1290280351">
          <w:marLeft w:val="0"/>
          <w:marRight w:val="0"/>
          <w:marTop w:val="0"/>
          <w:marBottom w:val="0"/>
          <w:divBdr>
            <w:top w:val="none" w:sz="0" w:space="0" w:color="auto"/>
            <w:left w:val="none" w:sz="0" w:space="0" w:color="auto"/>
            <w:bottom w:val="none" w:sz="0" w:space="0" w:color="auto"/>
            <w:right w:val="none" w:sz="0" w:space="0" w:color="auto"/>
          </w:divBdr>
          <w:divsChild>
            <w:div w:id="296490785">
              <w:marLeft w:val="0"/>
              <w:marRight w:val="0"/>
              <w:marTop w:val="0"/>
              <w:marBottom w:val="0"/>
              <w:divBdr>
                <w:top w:val="none" w:sz="0" w:space="0" w:color="auto"/>
                <w:left w:val="none" w:sz="0" w:space="0" w:color="auto"/>
                <w:bottom w:val="none" w:sz="0" w:space="0" w:color="auto"/>
                <w:right w:val="none" w:sz="0" w:space="0" w:color="auto"/>
              </w:divBdr>
              <w:divsChild>
                <w:div w:id="23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2364">
      <w:bodyDiv w:val="1"/>
      <w:marLeft w:val="0"/>
      <w:marRight w:val="0"/>
      <w:marTop w:val="0"/>
      <w:marBottom w:val="0"/>
      <w:divBdr>
        <w:top w:val="none" w:sz="0" w:space="0" w:color="auto"/>
        <w:left w:val="none" w:sz="0" w:space="0" w:color="auto"/>
        <w:bottom w:val="none" w:sz="0" w:space="0" w:color="auto"/>
        <w:right w:val="none" w:sz="0" w:space="0" w:color="auto"/>
      </w:divBdr>
    </w:div>
    <w:div w:id="2016835402">
      <w:bodyDiv w:val="1"/>
      <w:marLeft w:val="0"/>
      <w:marRight w:val="0"/>
      <w:marTop w:val="0"/>
      <w:marBottom w:val="0"/>
      <w:divBdr>
        <w:top w:val="none" w:sz="0" w:space="0" w:color="auto"/>
        <w:left w:val="none" w:sz="0" w:space="0" w:color="auto"/>
        <w:bottom w:val="none" w:sz="0" w:space="0" w:color="auto"/>
        <w:right w:val="none" w:sz="0" w:space="0" w:color="auto"/>
      </w:divBdr>
    </w:div>
    <w:div w:id="2058385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A/RES/70/1" TargetMode="External"/><Relationship Id="rId2" Type="http://schemas.openxmlformats.org/officeDocument/2006/relationships/hyperlink" Target="http://www.acnur.org/fileadmin/Documentos/BDL/2010/7394.pdf" TargetMode="External"/><Relationship Id="rId1" Type="http://schemas.openxmlformats.org/officeDocument/2006/relationships/hyperlink" Target="http://www.oas.org/es/sadye/inclusion-social/protocolo-ssv/docs/pssv-indicadores-es.pdf" TargetMode="External"/><Relationship Id="rId4" Type="http://schemas.openxmlformats.org/officeDocument/2006/relationships/hyperlink" Target="https://repositorio.cepal.org/bitstream/handle/11362/41598/4/S1700567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C193-25B7-462E-A30C-224B600E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6235</Words>
  <Characters>35542</Characters>
  <Application>Microsoft Office Word</Application>
  <DocSecurity>4</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2018-10-25T20:14:00Z</cp:lastPrinted>
  <dcterms:created xsi:type="dcterms:W3CDTF">2018-10-25T20:49:00Z</dcterms:created>
  <dcterms:modified xsi:type="dcterms:W3CDTF">2018-10-25T20:49:00Z</dcterms:modified>
</cp:coreProperties>
</file>