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163" w:rsidRDefault="00282163" w:rsidP="00DD2F96">
      <w:pPr>
        <w:jc w:val="center"/>
        <w:rPr>
          <w:rFonts w:ascii="Verdana" w:hAnsi="Verdana"/>
          <w:b/>
          <w:sz w:val="20"/>
          <w:szCs w:val="20"/>
          <w:lang w:val="es-ES"/>
        </w:rPr>
      </w:pPr>
      <w:bookmarkStart w:id="0" w:name="_GoBack"/>
      <w:bookmarkEnd w:id="0"/>
    </w:p>
    <w:p w:rsidR="00282163" w:rsidRDefault="00282163" w:rsidP="00DD2F96">
      <w:pPr>
        <w:jc w:val="center"/>
        <w:rPr>
          <w:rFonts w:ascii="Verdana" w:hAnsi="Verdana"/>
          <w:b/>
          <w:sz w:val="20"/>
          <w:szCs w:val="20"/>
          <w:lang w:val="es-ES"/>
        </w:rPr>
      </w:pPr>
    </w:p>
    <w:p w:rsidR="00282163" w:rsidRDefault="00282163" w:rsidP="00DD2F96">
      <w:pPr>
        <w:jc w:val="center"/>
        <w:rPr>
          <w:rFonts w:ascii="Verdana" w:hAnsi="Verdana"/>
          <w:b/>
          <w:sz w:val="20"/>
          <w:szCs w:val="20"/>
          <w:lang w:val="es-ES"/>
        </w:rPr>
      </w:pPr>
    </w:p>
    <w:p w:rsidR="00282163" w:rsidRDefault="00282163" w:rsidP="00DD2F96">
      <w:pPr>
        <w:jc w:val="center"/>
        <w:rPr>
          <w:rFonts w:ascii="Verdana" w:hAnsi="Verdana"/>
          <w:b/>
          <w:sz w:val="20"/>
          <w:szCs w:val="20"/>
          <w:lang w:val="es-ES"/>
        </w:rPr>
      </w:pPr>
    </w:p>
    <w:p w:rsidR="00282163" w:rsidRDefault="00282163" w:rsidP="00DD2F96">
      <w:pPr>
        <w:jc w:val="center"/>
        <w:rPr>
          <w:rFonts w:ascii="Verdana" w:hAnsi="Verdana"/>
          <w:b/>
          <w:sz w:val="20"/>
          <w:szCs w:val="20"/>
          <w:lang w:val="es-ES"/>
        </w:rPr>
      </w:pPr>
    </w:p>
    <w:p w:rsidR="00282163" w:rsidRDefault="00282163" w:rsidP="00DD2F96">
      <w:pPr>
        <w:jc w:val="center"/>
        <w:rPr>
          <w:rFonts w:ascii="Verdana" w:hAnsi="Verdana"/>
          <w:b/>
          <w:sz w:val="20"/>
          <w:szCs w:val="20"/>
          <w:lang w:val="es-ES"/>
        </w:rPr>
      </w:pPr>
    </w:p>
    <w:p w:rsidR="0096732F" w:rsidRDefault="00A501BB" w:rsidP="00DD2F96">
      <w:pPr>
        <w:jc w:val="center"/>
        <w:rPr>
          <w:rFonts w:ascii="Verdana" w:hAnsi="Verdana"/>
          <w:b/>
          <w:sz w:val="20"/>
          <w:szCs w:val="20"/>
          <w:lang w:val="es-ES"/>
        </w:rPr>
      </w:pPr>
      <w:r w:rsidRPr="00C3119B">
        <w:rPr>
          <w:rFonts w:ascii="Verdana" w:hAnsi="Verdana"/>
          <w:b/>
          <w:sz w:val="20"/>
          <w:szCs w:val="20"/>
          <w:lang w:val="es-ES"/>
        </w:rPr>
        <w:t xml:space="preserve">VOTO RAZONADO DEL </w:t>
      </w:r>
    </w:p>
    <w:p w:rsidR="00C3119B" w:rsidRDefault="00A501BB" w:rsidP="00DD2F96">
      <w:pPr>
        <w:jc w:val="center"/>
        <w:rPr>
          <w:rFonts w:ascii="Verdana" w:hAnsi="Verdana"/>
          <w:b/>
          <w:sz w:val="20"/>
          <w:szCs w:val="20"/>
          <w:lang w:val="es-ES"/>
        </w:rPr>
      </w:pPr>
      <w:r w:rsidRPr="00C3119B">
        <w:rPr>
          <w:rFonts w:ascii="Verdana" w:hAnsi="Verdana"/>
          <w:b/>
          <w:sz w:val="20"/>
          <w:szCs w:val="20"/>
          <w:lang w:val="es-ES"/>
        </w:rPr>
        <w:t xml:space="preserve">JUEZ EDUARDO FERRER MAC-GREGOR POISOT </w:t>
      </w:r>
    </w:p>
    <w:p w:rsidR="00BA4CAC" w:rsidRPr="0096732F" w:rsidRDefault="00BA4CAC" w:rsidP="00DD2F96">
      <w:pPr>
        <w:jc w:val="center"/>
        <w:rPr>
          <w:rFonts w:ascii="Verdana" w:hAnsi="Verdana"/>
          <w:b/>
          <w:sz w:val="20"/>
          <w:szCs w:val="20"/>
          <w:lang w:val="es-ES"/>
        </w:rPr>
      </w:pPr>
    </w:p>
    <w:p w:rsidR="00C3119B" w:rsidRPr="00BA4CAC" w:rsidRDefault="00C3119B" w:rsidP="00DD2F96">
      <w:pPr>
        <w:tabs>
          <w:tab w:val="left" w:pos="851"/>
          <w:tab w:val="left" w:pos="1701"/>
          <w:tab w:val="left" w:pos="3544"/>
          <w:tab w:val="left" w:pos="3696"/>
        </w:tabs>
        <w:jc w:val="center"/>
        <w:rPr>
          <w:rFonts w:ascii="Verdana" w:hAnsi="Verdana"/>
          <w:b/>
          <w:i/>
          <w:sz w:val="20"/>
          <w:szCs w:val="20"/>
          <w:u w:val="single"/>
        </w:rPr>
      </w:pPr>
      <w:r w:rsidRPr="00BA4CAC">
        <w:rPr>
          <w:rFonts w:ascii="Verdana" w:hAnsi="Verdana"/>
          <w:b/>
          <w:i/>
          <w:sz w:val="20"/>
          <w:szCs w:val="20"/>
          <w:u w:val="single"/>
        </w:rPr>
        <w:t>CASO MUELLE FLORES VS. PERÚ</w:t>
      </w:r>
    </w:p>
    <w:p w:rsidR="00BA4CAC" w:rsidRDefault="00BA4CAC" w:rsidP="00DD2F96">
      <w:pPr>
        <w:jc w:val="center"/>
        <w:rPr>
          <w:rFonts w:ascii="Verdana" w:hAnsi="Verdana"/>
          <w:b/>
          <w:sz w:val="20"/>
          <w:szCs w:val="20"/>
        </w:rPr>
      </w:pPr>
    </w:p>
    <w:p w:rsidR="00C3119B" w:rsidRPr="001B6BF1" w:rsidRDefault="00BA4CAC" w:rsidP="00DD2F96">
      <w:pPr>
        <w:jc w:val="center"/>
        <w:rPr>
          <w:rFonts w:ascii="Verdana" w:hAnsi="Verdana"/>
          <w:b/>
          <w:sz w:val="18"/>
          <w:szCs w:val="18"/>
        </w:rPr>
      </w:pPr>
      <w:r w:rsidRPr="001B6BF1">
        <w:rPr>
          <w:rFonts w:ascii="Verdana" w:hAnsi="Verdana"/>
          <w:b/>
          <w:sz w:val="18"/>
          <w:szCs w:val="18"/>
        </w:rPr>
        <w:t xml:space="preserve">SENTENCIA DE </w:t>
      </w:r>
      <w:r w:rsidR="00C3119B" w:rsidRPr="001B6BF1">
        <w:rPr>
          <w:rFonts w:ascii="Verdana" w:hAnsi="Verdana"/>
          <w:b/>
          <w:sz w:val="18"/>
          <w:szCs w:val="18"/>
        </w:rPr>
        <w:t>6 DE MARZO DE 2019</w:t>
      </w:r>
    </w:p>
    <w:p w:rsidR="00C3119B" w:rsidRPr="001B6BF1" w:rsidRDefault="00C3119B" w:rsidP="00DD2F96">
      <w:pPr>
        <w:jc w:val="center"/>
        <w:rPr>
          <w:rFonts w:ascii="Verdana" w:hAnsi="Verdana"/>
          <w:b/>
          <w:i/>
          <w:sz w:val="18"/>
          <w:szCs w:val="18"/>
        </w:rPr>
      </w:pPr>
      <w:r w:rsidRPr="001B6BF1">
        <w:rPr>
          <w:rFonts w:ascii="Verdana" w:hAnsi="Verdana"/>
          <w:b/>
          <w:i/>
          <w:sz w:val="18"/>
          <w:szCs w:val="18"/>
        </w:rPr>
        <w:t>(Excepciones Preliminares, Fondo, Reparaciones y Costas)</w:t>
      </w:r>
    </w:p>
    <w:p w:rsidR="00A501BB" w:rsidRPr="00C3119B" w:rsidRDefault="00A501BB" w:rsidP="00DD2F96">
      <w:pPr>
        <w:jc w:val="both"/>
        <w:rPr>
          <w:rFonts w:ascii="Verdana" w:hAnsi="Verdana"/>
          <w:sz w:val="20"/>
          <w:szCs w:val="20"/>
          <w:lang w:val="es-ES"/>
        </w:rPr>
      </w:pPr>
    </w:p>
    <w:p w:rsidR="001B6BF1" w:rsidRDefault="001B6BF1" w:rsidP="00DD2F96">
      <w:pPr>
        <w:pStyle w:val="Ttulo1"/>
        <w:spacing w:before="0"/>
        <w:jc w:val="center"/>
        <w:rPr>
          <w:rFonts w:ascii="Verdana" w:hAnsi="Verdana"/>
          <w:color w:val="auto"/>
          <w:sz w:val="20"/>
          <w:szCs w:val="20"/>
          <w:lang w:val="es-ES"/>
        </w:rPr>
      </w:pPr>
    </w:p>
    <w:p w:rsidR="00E94B46" w:rsidRDefault="00E715C1" w:rsidP="00DB2F32">
      <w:pPr>
        <w:pStyle w:val="Ttulo1"/>
        <w:spacing w:before="0" w:line="360" w:lineRule="auto"/>
        <w:jc w:val="center"/>
        <w:rPr>
          <w:rFonts w:ascii="Verdana" w:hAnsi="Verdana"/>
          <w:b w:val="0"/>
          <w:color w:val="auto"/>
          <w:sz w:val="20"/>
          <w:szCs w:val="20"/>
          <w:lang w:val="es-ES"/>
        </w:rPr>
      </w:pPr>
      <w:r w:rsidRPr="001B6BF1">
        <w:rPr>
          <w:rFonts w:ascii="Verdana" w:hAnsi="Verdana"/>
          <w:b w:val="0"/>
          <w:color w:val="auto"/>
          <w:sz w:val="20"/>
          <w:szCs w:val="20"/>
          <w:lang w:val="es-ES"/>
        </w:rPr>
        <w:t>INTRODUCCIÓN</w:t>
      </w:r>
      <w:r w:rsidR="00DB2F32">
        <w:rPr>
          <w:rFonts w:ascii="Verdana" w:hAnsi="Verdana"/>
          <w:b w:val="0"/>
          <w:color w:val="auto"/>
          <w:sz w:val="20"/>
          <w:szCs w:val="20"/>
          <w:lang w:val="es-ES"/>
        </w:rPr>
        <w:t xml:space="preserve">: </w:t>
      </w:r>
    </w:p>
    <w:p w:rsidR="00E94B46" w:rsidRDefault="00DB2F32" w:rsidP="00E94B46">
      <w:pPr>
        <w:pStyle w:val="Ttulo1"/>
        <w:spacing w:before="0" w:line="360" w:lineRule="auto"/>
        <w:jc w:val="center"/>
        <w:rPr>
          <w:rFonts w:ascii="Verdana" w:hAnsi="Verdana"/>
          <w:b w:val="0"/>
          <w:i/>
          <w:color w:val="auto"/>
          <w:sz w:val="20"/>
          <w:szCs w:val="20"/>
          <w:lang w:val="es-ES"/>
        </w:rPr>
      </w:pPr>
      <w:r>
        <w:rPr>
          <w:rFonts w:ascii="Verdana" w:hAnsi="Verdana"/>
          <w:b w:val="0"/>
          <w:i/>
          <w:color w:val="auto"/>
          <w:sz w:val="20"/>
          <w:szCs w:val="20"/>
          <w:lang w:val="es-ES"/>
        </w:rPr>
        <w:t xml:space="preserve">EL DERECHO A LA SEGURIDAD SOCIAL COMO DERECHO AUTÓNOMO </w:t>
      </w:r>
    </w:p>
    <w:p w:rsidR="00E715C1" w:rsidRPr="00E94B46" w:rsidRDefault="00DB2F32" w:rsidP="00E94B46">
      <w:pPr>
        <w:pStyle w:val="Ttulo1"/>
        <w:spacing w:before="0" w:line="360" w:lineRule="auto"/>
        <w:jc w:val="center"/>
        <w:rPr>
          <w:rFonts w:ascii="Verdana" w:hAnsi="Verdana"/>
          <w:b w:val="0"/>
          <w:i/>
          <w:color w:val="auto"/>
          <w:sz w:val="20"/>
          <w:szCs w:val="20"/>
          <w:lang w:val="es-ES"/>
        </w:rPr>
      </w:pPr>
      <w:r>
        <w:rPr>
          <w:rFonts w:ascii="Verdana" w:hAnsi="Verdana"/>
          <w:b w:val="0"/>
          <w:i/>
          <w:color w:val="auto"/>
          <w:sz w:val="20"/>
          <w:szCs w:val="20"/>
          <w:lang w:val="es-ES"/>
        </w:rPr>
        <w:t>Y JUSTICIABLE</w:t>
      </w:r>
      <w:r w:rsidR="00792F5C">
        <w:rPr>
          <w:rFonts w:ascii="Verdana" w:hAnsi="Verdana"/>
          <w:b w:val="0"/>
          <w:i/>
          <w:color w:val="auto"/>
          <w:sz w:val="20"/>
          <w:szCs w:val="20"/>
          <w:lang w:val="es-ES"/>
        </w:rPr>
        <w:t xml:space="preserve"> </w:t>
      </w:r>
      <w:r w:rsidR="00E94B46">
        <w:rPr>
          <w:rFonts w:ascii="Verdana" w:hAnsi="Verdana"/>
          <w:b w:val="0"/>
          <w:i/>
          <w:color w:val="auto"/>
          <w:sz w:val="20"/>
          <w:szCs w:val="20"/>
          <w:lang w:val="es-ES"/>
        </w:rPr>
        <w:t>(SU ESPECIAL IMPACTO EN LAS PERSONAS MAYORES)</w:t>
      </w:r>
    </w:p>
    <w:p w:rsidR="00C66CBD" w:rsidRPr="00C66CBD" w:rsidRDefault="00C66CBD" w:rsidP="00DD2F96">
      <w:pPr>
        <w:rPr>
          <w:lang w:val="es-ES"/>
        </w:rPr>
      </w:pPr>
    </w:p>
    <w:p w:rsidR="002D4CE9" w:rsidRPr="007F6F5F" w:rsidRDefault="00C66CBD" w:rsidP="002D4CE9">
      <w:pPr>
        <w:pStyle w:val="Prrafodelista"/>
        <w:numPr>
          <w:ilvl w:val="0"/>
          <w:numId w:val="4"/>
        </w:numPr>
        <w:ind w:left="0" w:firstLine="0"/>
        <w:jc w:val="both"/>
        <w:rPr>
          <w:rFonts w:ascii="Verdana" w:hAnsi="Verdana"/>
          <w:b/>
          <w:sz w:val="20"/>
          <w:szCs w:val="20"/>
        </w:rPr>
      </w:pPr>
      <w:r w:rsidRPr="003535F7">
        <w:rPr>
          <w:rFonts w:ascii="Verdana" w:hAnsi="Verdana"/>
          <w:sz w:val="20"/>
          <w:szCs w:val="20"/>
        </w:rPr>
        <w:t xml:space="preserve">La sentencia en el caso </w:t>
      </w:r>
      <w:r>
        <w:rPr>
          <w:rFonts w:ascii="Verdana" w:hAnsi="Verdana"/>
          <w:i/>
          <w:sz w:val="20"/>
          <w:szCs w:val="20"/>
        </w:rPr>
        <w:t>Muelle Flores</w:t>
      </w:r>
      <w:r w:rsidRPr="003535F7">
        <w:rPr>
          <w:rFonts w:ascii="Verdana" w:hAnsi="Verdana"/>
          <w:i/>
          <w:sz w:val="20"/>
          <w:szCs w:val="20"/>
        </w:rPr>
        <w:t xml:space="preserve"> Vs. </w:t>
      </w:r>
      <w:r>
        <w:rPr>
          <w:rFonts w:ascii="Verdana" w:hAnsi="Verdana"/>
          <w:i/>
          <w:sz w:val="20"/>
          <w:szCs w:val="20"/>
        </w:rPr>
        <w:t>Perú</w:t>
      </w:r>
      <w:r w:rsidRPr="003535F7">
        <w:rPr>
          <w:rFonts w:ascii="Verdana" w:hAnsi="Verdana"/>
          <w:i/>
          <w:sz w:val="20"/>
          <w:szCs w:val="20"/>
        </w:rPr>
        <w:t xml:space="preserve"> </w:t>
      </w:r>
      <w:r w:rsidRPr="003535F7">
        <w:rPr>
          <w:rFonts w:ascii="Verdana" w:hAnsi="Verdana"/>
          <w:sz w:val="20"/>
          <w:szCs w:val="20"/>
        </w:rPr>
        <w:t>(en adelante “la Sentencia”</w:t>
      </w:r>
      <w:r w:rsidR="001B6BF1">
        <w:rPr>
          <w:rFonts w:ascii="Verdana" w:hAnsi="Verdana"/>
          <w:sz w:val="20"/>
          <w:szCs w:val="20"/>
        </w:rPr>
        <w:t xml:space="preserve"> o “Muelle Flores”</w:t>
      </w:r>
      <w:r w:rsidRPr="003535F7">
        <w:rPr>
          <w:rFonts w:ascii="Verdana" w:hAnsi="Verdana"/>
          <w:sz w:val="20"/>
          <w:szCs w:val="20"/>
        </w:rPr>
        <w:t>)</w:t>
      </w:r>
      <w:r w:rsidRPr="003535F7">
        <w:rPr>
          <w:rStyle w:val="Refdenotaalpie"/>
          <w:rFonts w:ascii="Verdana" w:hAnsi="Verdana"/>
          <w:sz w:val="20"/>
          <w:szCs w:val="20"/>
        </w:rPr>
        <w:footnoteReference w:id="1"/>
      </w:r>
      <w:r w:rsidRPr="003535F7">
        <w:rPr>
          <w:rFonts w:ascii="Verdana" w:hAnsi="Verdana"/>
          <w:sz w:val="20"/>
          <w:szCs w:val="20"/>
        </w:rPr>
        <w:t xml:space="preserve"> </w:t>
      </w:r>
      <w:r>
        <w:rPr>
          <w:rFonts w:ascii="Verdana" w:hAnsi="Verdana"/>
          <w:sz w:val="20"/>
          <w:szCs w:val="20"/>
        </w:rPr>
        <w:t xml:space="preserve">abona </w:t>
      </w:r>
      <w:r w:rsidRPr="003535F7">
        <w:rPr>
          <w:rFonts w:ascii="Verdana" w:hAnsi="Verdana"/>
          <w:sz w:val="20"/>
          <w:szCs w:val="20"/>
        </w:rPr>
        <w:t>a la línea jurisprudencial</w:t>
      </w:r>
      <w:r>
        <w:rPr>
          <w:rFonts w:ascii="Verdana" w:hAnsi="Verdana"/>
          <w:sz w:val="20"/>
          <w:szCs w:val="20"/>
        </w:rPr>
        <w:t xml:space="preserve"> interamericana</w:t>
      </w:r>
      <w:r w:rsidRPr="003535F7">
        <w:rPr>
          <w:rFonts w:ascii="Verdana" w:hAnsi="Verdana"/>
          <w:sz w:val="20"/>
          <w:szCs w:val="20"/>
        </w:rPr>
        <w:t xml:space="preserve"> en materia de derechos económicos, sociales</w:t>
      </w:r>
      <w:r>
        <w:rPr>
          <w:rFonts w:ascii="Verdana" w:hAnsi="Verdana"/>
          <w:sz w:val="20"/>
          <w:szCs w:val="20"/>
        </w:rPr>
        <w:t>,</w:t>
      </w:r>
      <w:r w:rsidRPr="003535F7">
        <w:rPr>
          <w:rFonts w:ascii="Verdana" w:hAnsi="Verdana"/>
          <w:sz w:val="20"/>
          <w:szCs w:val="20"/>
        </w:rPr>
        <w:t xml:space="preserve"> culturales y ambientales (en adelante “</w:t>
      </w:r>
      <w:r w:rsidR="00675F75">
        <w:rPr>
          <w:rFonts w:ascii="Verdana" w:hAnsi="Verdana"/>
          <w:sz w:val="20"/>
          <w:szCs w:val="20"/>
        </w:rPr>
        <w:t xml:space="preserve">los </w:t>
      </w:r>
      <w:r w:rsidRPr="003535F7">
        <w:rPr>
          <w:rFonts w:ascii="Verdana" w:hAnsi="Verdana"/>
          <w:sz w:val="20"/>
          <w:szCs w:val="20"/>
        </w:rPr>
        <w:t>DESCA”</w:t>
      </w:r>
      <w:r>
        <w:rPr>
          <w:rFonts w:ascii="Verdana" w:hAnsi="Verdana"/>
          <w:sz w:val="20"/>
          <w:szCs w:val="20"/>
        </w:rPr>
        <w:t xml:space="preserve"> o “derechos sociales”</w:t>
      </w:r>
      <w:r w:rsidRPr="003535F7">
        <w:rPr>
          <w:rFonts w:ascii="Verdana" w:hAnsi="Verdana"/>
          <w:sz w:val="20"/>
          <w:szCs w:val="20"/>
        </w:rPr>
        <w:t xml:space="preserve">). La Sentencia </w:t>
      </w:r>
      <w:r w:rsidR="00BE5A53" w:rsidRPr="007F6F5F">
        <w:rPr>
          <w:spacing w:val="-4"/>
          <w:szCs w:val="20"/>
        </w:rPr>
        <w:t>reafirma la competencia de la Corte</w:t>
      </w:r>
      <w:r w:rsidR="00BE5A53" w:rsidRPr="007F6F5F">
        <w:rPr>
          <w:rFonts w:ascii="Verdana" w:hAnsi="Verdana"/>
          <w:sz w:val="20"/>
          <w:szCs w:val="20"/>
        </w:rPr>
        <w:t xml:space="preserve"> Interamericana de Derechos Humanos (en adelante “la Corte IDH” o “el Tribunal Interamericano”), </w:t>
      </w:r>
      <w:r w:rsidR="00BE5A53" w:rsidRPr="007F6F5F">
        <w:rPr>
          <w:spacing w:val="-4"/>
          <w:szCs w:val="20"/>
        </w:rPr>
        <w:t xml:space="preserve">para </w:t>
      </w:r>
      <w:r w:rsidR="00BE5A53" w:rsidRPr="007F6F5F">
        <w:rPr>
          <w:rFonts w:cs="Verdana"/>
          <w:szCs w:val="20"/>
        </w:rPr>
        <w:t>analizar violaciones autónomas del artículo 26 de la Convención Americana</w:t>
      </w:r>
      <w:r w:rsidR="00ED25A7" w:rsidRPr="007F6F5F">
        <w:rPr>
          <w:rFonts w:cs="Verdana"/>
          <w:szCs w:val="20"/>
        </w:rPr>
        <w:t xml:space="preserve"> sobre Derechos Humanos</w:t>
      </w:r>
      <w:r w:rsidR="003F4C57" w:rsidRPr="007F6F5F">
        <w:rPr>
          <w:rFonts w:cs="Verdana"/>
          <w:szCs w:val="20"/>
        </w:rPr>
        <w:t xml:space="preserve"> (en adelante “la Convención</w:t>
      </w:r>
      <w:r w:rsidR="006A72B7" w:rsidRPr="007F6F5F">
        <w:rPr>
          <w:rFonts w:cs="Verdana"/>
          <w:szCs w:val="20"/>
        </w:rPr>
        <w:t xml:space="preserve"> Americana</w:t>
      </w:r>
      <w:r w:rsidR="003F4C57" w:rsidRPr="007F6F5F">
        <w:rPr>
          <w:rFonts w:cs="Verdana"/>
          <w:szCs w:val="20"/>
        </w:rPr>
        <w:t>” o “Pacto de San José”)</w:t>
      </w:r>
      <w:r w:rsidR="00BE5A53" w:rsidRPr="008A13C6">
        <w:rPr>
          <w:rStyle w:val="Refdenotaalpie"/>
          <w:szCs w:val="20"/>
        </w:rPr>
        <w:footnoteReference w:id="2"/>
      </w:r>
      <w:r w:rsidR="00BE5A53" w:rsidRPr="007F6F5F">
        <w:rPr>
          <w:rFonts w:cs="Verdana"/>
          <w:szCs w:val="20"/>
        </w:rPr>
        <w:t>.</w:t>
      </w:r>
    </w:p>
    <w:p w:rsidR="00C66CBD" w:rsidRPr="00C66CBD" w:rsidRDefault="00C66CBD" w:rsidP="00DD2F96">
      <w:pPr>
        <w:pStyle w:val="Prrafodelista"/>
        <w:ind w:left="0"/>
        <w:jc w:val="both"/>
        <w:rPr>
          <w:rFonts w:ascii="Verdana" w:hAnsi="Verdana"/>
          <w:b/>
          <w:sz w:val="20"/>
          <w:szCs w:val="20"/>
        </w:rPr>
      </w:pPr>
    </w:p>
    <w:p w:rsidR="00A77FAA" w:rsidRDefault="00266398" w:rsidP="00A77FAA">
      <w:pPr>
        <w:pStyle w:val="Prrafodelista"/>
        <w:numPr>
          <w:ilvl w:val="0"/>
          <w:numId w:val="4"/>
        </w:numPr>
        <w:ind w:left="0" w:firstLine="0"/>
        <w:jc w:val="both"/>
        <w:rPr>
          <w:rFonts w:ascii="Verdana" w:hAnsi="Verdana"/>
          <w:b/>
          <w:sz w:val="20"/>
          <w:szCs w:val="20"/>
        </w:rPr>
      </w:pPr>
      <w:r>
        <w:rPr>
          <w:rFonts w:ascii="Verdana" w:hAnsi="Verdana"/>
          <w:sz w:val="20"/>
          <w:szCs w:val="20"/>
        </w:rPr>
        <w:t xml:space="preserve">El caso </w:t>
      </w:r>
      <w:r w:rsidRPr="00266398">
        <w:rPr>
          <w:rFonts w:ascii="Verdana" w:hAnsi="Verdana"/>
          <w:i/>
          <w:sz w:val="20"/>
          <w:szCs w:val="20"/>
        </w:rPr>
        <w:t>Muelle Flores</w:t>
      </w:r>
      <w:r>
        <w:rPr>
          <w:rFonts w:ascii="Verdana" w:hAnsi="Verdana"/>
          <w:sz w:val="20"/>
          <w:szCs w:val="20"/>
        </w:rPr>
        <w:t xml:space="preserve"> constituye un</w:t>
      </w:r>
      <w:r w:rsidR="001B6BF1">
        <w:rPr>
          <w:rFonts w:ascii="Verdana" w:hAnsi="Verdana"/>
          <w:sz w:val="20"/>
          <w:szCs w:val="20"/>
        </w:rPr>
        <w:t xml:space="preserve"> importante precedente para el Sistema Interamericano. P</w:t>
      </w:r>
      <w:r>
        <w:rPr>
          <w:rFonts w:ascii="Verdana" w:hAnsi="Verdana"/>
          <w:sz w:val="20"/>
          <w:szCs w:val="20"/>
        </w:rPr>
        <w:t xml:space="preserve">or primera vez, </w:t>
      </w:r>
      <w:r w:rsidR="00BA15F3">
        <w:rPr>
          <w:rFonts w:ascii="Verdana" w:hAnsi="Verdana"/>
          <w:sz w:val="20"/>
          <w:szCs w:val="20"/>
        </w:rPr>
        <w:t>la Corte IDH</w:t>
      </w:r>
      <w:r>
        <w:rPr>
          <w:rFonts w:ascii="Verdana" w:hAnsi="Verdana"/>
          <w:sz w:val="20"/>
          <w:szCs w:val="20"/>
        </w:rPr>
        <w:t xml:space="preserve"> aborda de manera directa el </w:t>
      </w:r>
      <w:r w:rsidRPr="00BE5A53">
        <w:rPr>
          <w:rFonts w:ascii="Verdana" w:hAnsi="Verdana"/>
          <w:i/>
          <w:sz w:val="20"/>
          <w:szCs w:val="20"/>
        </w:rPr>
        <w:t>derecho a la seguridad social</w:t>
      </w:r>
      <w:r>
        <w:rPr>
          <w:rFonts w:ascii="Verdana" w:hAnsi="Verdana"/>
          <w:sz w:val="20"/>
          <w:szCs w:val="20"/>
        </w:rPr>
        <w:t>, como derecho autónomo y justiciable mediante el artículo 26 de la Convenció</w:t>
      </w:r>
      <w:r w:rsidR="00D2143B">
        <w:rPr>
          <w:rFonts w:ascii="Verdana" w:hAnsi="Verdana"/>
          <w:sz w:val="20"/>
          <w:szCs w:val="20"/>
        </w:rPr>
        <w:t>n Americana</w:t>
      </w:r>
      <w:r w:rsidR="00A77FAA">
        <w:rPr>
          <w:rFonts w:ascii="Verdana" w:hAnsi="Verdana"/>
          <w:sz w:val="20"/>
          <w:szCs w:val="20"/>
        </w:rPr>
        <w:t xml:space="preserve">, </w:t>
      </w:r>
      <w:r w:rsidR="00135484">
        <w:rPr>
          <w:rFonts w:ascii="Verdana" w:hAnsi="Verdana"/>
          <w:sz w:val="20"/>
          <w:szCs w:val="20"/>
        </w:rPr>
        <w:t xml:space="preserve">declarando su violación y </w:t>
      </w:r>
      <w:r w:rsidR="00A77FAA">
        <w:rPr>
          <w:rFonts w:ascii="Verdana" w:hAnsi="Verdana"/>
          <w:sz w:val="20"/>
          <w:szCs w:val="20"/>
        </w:rPr>
        <w:t xml:space="preserve">estableciendo estándares relevantes al tratarse la víctima de </w:t>
      </w:r>
      <w:r w:rsidR="00A32BBE">
        <w:rPr>
          <w:rFonts w:ascii="Verdana" w:hAnsi="Verdana"/>
          <w:i/>
          <w:iCs/>
          <w:sz w:val="20"/>
          <w:szCs w:val="20"/>
          <w:lang w:val="es-PE"/>
        </w:rPr>
        <w:t xml:space="preserve">un individuo </w:t>
      </w:r>
      <w:r w:rsidR="00A77FAA" w:rsidRPr="00A77FAA">
        <w:rPr>
          <w:rFonts w:ascii="Verdana" w:hAnsi="Verdana"/>
          <w:i/>
          <w:color w:val="000000"/>
          <w:sz w:val="20"/>
          <w:szCs w:val="20"/>
          <w:bdr w:val="none" w:sz="0" w:space="0" w:color="auto" w:frame="1"/>
          <w:lang w:val="es-CO"/>
        </w:rPr>
        <w:t>en situación de especial protección por ser una persona mayor con discapacidad</w:t>
      </w:r>
      <w:r w:rsidR="002866DF" w:rsidRPr="008A13C6">
        <w:rPr>
          <w:rStyle w:val="Refdenotaalpie"/>
          <w:szCs w:val="20"/>
        </w:rPr>
        <w:footnoteReference w:id="3"/>
      </w:r>
      <w:r w:rsidR="00A77FAA" w:rsidRPr="00A77FAA">
        <w:rPr>
          <w:rFonts w:ascii="Verdana" w:hAnsi="Verdana"/>
          <w:color w:val="000000"/>
          <w:sz w:val="20"/>
          <w:szCs w:val="20"/>
          <w:bdr w:val="none" w:sz="0" w:space="0" w:color="auto" w:frame="1"/>
          <w:lang w:val="es-CO"/>
        </w:rPr>
        <w:t>.</w:t>
      </w:r>
      <w:r w:rsidR="00A77FAA">
        <w:rPr>
          <w:rFonts w:ascii="Verdana" w:hAnsi="Verdana"/>
          <w:b/>
          <w:sz w:val="20"/>
          <w:szCs w:val="20"/>
        </w:rPr>
        <w:t xml:space="preserve"> </w:t>
      </w:r>
    </w:p>
    <w:p w:rsidR="00A77FAA" w:rsidRDefault="00A77FAA" w:rsidP="00A77FAA">
      <w:pPr>
        <w:pStyle w:val="Prrafodelista"/>
        <w:ind w:left="0"/>
        <w:jc w:val="both"/>
        <w:rPr>
          <w:rFonts w:ascii="Verdana" w:hAnsi="Verdana"/>
          <w:b/>
          <w:sz w:val="20"/>
          <w:szCs w:val="20"/>
        </w:rPr>
      </w:pPr>
    </w:p>
    <w:p w:rsidR="00125265" w:rsidRPr="00F43873" w:rsidRDefault="00135484" w:rsidP="00F43873">
      <w:pPr>
        <w:pStyle w:val="Prrafodelista"/>
        <w:numPr>
          <w:ilvl w:val="0"/>
          <w:numId w:val="4"/>
        </w:numPr>
        <w:ind w:left="0" w:firstLine="0"/>
        <w:jc w:val="both"/>
        <w:rPr>
          <w:rFonts w:ascii="Verdana" w:hAnsi="Verdana"/>
          <w:b/>
          <w:sz w:val="20"/>
          <w:szCs w:val="20"/>
        </w:rPr>
      </w:pPr>
      <w:r>
        <w:rPr>
          <w:rFonts w:ascii="Verdana" w:hAnsi="Verdana"/>
          <w:sz w:val="20"/>
          <w:szCs w:val="20"/>
        </w:rPr>
        <w:t>En la S</w:t>
      </w:r>
      <w:r w:rsidR="00263B13">
        <w:rPr>
          <w:rFonts w:ascii="Verdana" w:hAnsi="Verdana"/>
          <w:sz w:val="20"/>
          <w:szCs w:val="20"/>
        </w:rPr>
        <w:t>entencia</w:t>
      </w:r>
      <w:r w:rsidR="00D2143B" w:rsidRPr="00A77FAA">
        <w:rPr>
          <w:rFonts w:ascii="Verdana" w:hAnsi="Verdana"/>
          <w:sz w:val="20"/>
          <w:szCs w:val="20"/>
        </w:rPr>
        <w:t xml:space="preserve"> </w:t>
      </w:r>
      <w:r w:rsidR="00266398" w:rsidRPr="00A77FAA">
        <w:rPr>
          <w:rFonts w:ascii="Verdana" w:hAnsi="Verdana"/>
          <w:sz w:val="20"/>
          <w:szCs w:val="20"/>
        </w:rPr>
        <w:t xml:space="preserve">se </w:t>
      </w:r>
      <w:r w:rsidR="00F43873">
        <w:rPr>
          <w:rFonts w:ascii="Verdana" w:hAnsi="Verdana"/>
          <w:sz w:val="20"/>
          <w:szCs w:val="20"/>
        </w:rPr>
        <w:t xml:space="preserve">reitera </w:t>
      </w:r>
      <w:r w:rsidR="00266398" w:rsidRPr="00A77FAA">
        <w:rPr>
          <w:rFonts w:ascii="Verdana" w:hAnsi="Verdana"/>
          <w:sz w:val="20"/>
          <w:szCs w:val="20"/>
        </w:rPr>
        <w:t xml:space="preserve">que </w:t>
      </w:r>
      <w:r w:rsidR="00263B13" w:rsidRPr="00186911">
        <w:rPr>
          <w:rFonts w:ascii="Verdana" w:hAnsi="Verdana"/>
          <w:sz w:val="20"/>
          <w:szCs w:val="20"/>
        </w:rPr>
        <w:t xml:space="preserve">el artículo 26 de la Convención Americana protege aquellos derechos que derivan de las normas económicas, sociales y de educación, ciencia y cultura contenidas en la Carta </w:t>
      </w:r>
      <w:r w:rsidR="00266398" w:rsidRPr="00263B13">
        <w:rPr>
          <w:rFonts w:ascii="Verdana" w:hAnsi="Verdana"/>
          <w:sz w:val="20"/>
          <w:szCs w:val="20"/>
        </w:rPr>
        <w:t>de la Organización de Estados Americanos (en adelante “Carta de la OEA”)</w:t>
      </w:r>
      <w:r w:rsidR="00F43873">
        <w:rPr>
          <w:rFonts w:ascii="Verdana" w:hAnsi="Verdana"/>
          <w:sz w:val="20"/>
          <w:szCs w:val="20"/>
        </w:rPr>
        <w:t xml:space="preserve">. </w:t>
      </w:r>
      <w:r w:rsidR="00FF50B5" w:rsidRPr="00F43873">
        <w:rPr>
          <w:rFonts w:ascii="Verdana" w:hAnsi="Verdana"/>
          <w:sz w:val="20"/>
          <w:szCs w:val="20"/>
          <w:lang w:val="es-ES"/>
        </w:rPr>
        <w:t>En e</w:t>
      </w:r>
      <w:r w:rsidR="00A77FAA" w:rsidRPr="00F43873">
        <w:rPr>
          <w:rFonts w:ascii="Verdana" w:hAnsi="Verdana"/>
          <w:sz w:val="20"/>
          <w:szCs w:val="20"/>
          <w:lang w:val="es-ES"/>
        </w:rPr>
        <w:t xml:space="preserve">l </w:t>
      </w:r>
      <w:r w:rsidR="00FF50B5" w:rsidRPr="00F43873">
        <w:rPr>
          <w:rFonts w:ascii="Verdana" w:hAnsi="Verdana"/>
          <w:sz w:val="20"/>
          <w:szCs w:val="20"/>
          <w:lang w:val="es-ES"/>
        </w:rPr>
        <w:t xml:space="preserve">caso, la Corte IDH identifica </w:t>
      </w:r>
      <w:r w:rsidR="006157B6" w:rsidRPr="00F43873">
        <w:rPr>
          <w:rFonts w:ascii="Verdana" w:hAnsi="Verdana"/>
          <w:sz w:val="20"/>
          <w:szCs w:val="20"/>
          <w:lang w:val="es-ES"/>
        </w:rPr>
        <w:t xml:space="preserve">diversas normas </w:t>
      </w:r>
      <w:r w:rsidR="00FF50B5" w:rsidRPr="00F43873">
        <w:rPr>
          <w:rFonts w:ascii="Verdana" w:hAnsi="Verdana"/>
          <w:sz w:val="20"/>
          <w:szCs w:val="20"/>
          <w:lang w:val="es-ES"/>
        </w:rPr>
        <w:t>de la Carta de la OEA</w:t>
      </w:r>
      <w:r w:rsidR="006157B6" w:rsidRPr="008A13C6">
        <w:rPr>
          <w:rStyle w:val="Refdenotaalpie"/>
          <w:szCs w:val="20"/>
        </w:rPr>
        <w:footnoteReference w:id="4"/>
      </w:r>
      <w:r w:rsidR="00A77FAA" w:rsidRPr="00F43873">
        <w:rPr>
          <w:rFonts w:ascii="Verdana" w:hAnsi="Verdana"/>
          <w:sz w:val="20"/>
          <w:szCs w:val="20"/>
          <w:lang w:val="es-ES"/>
        </w:rPr>
        <w:t xml:space="preserve"> </w:t>
      </w:r>
      <w:r w:rsidR="00FF50B5" w:rsidRPr="00F43873">
        <w:rPr>
          <w:rFonts w:ascii="Verdana" w:hAnsi="Verdana"/>
          <w:sz w:val="20"/>
          <w:szCs w:val="20"/>
          <w:lang w:val="es-ES"/>
        </w:rPr>
        <w:t>de las cuales es posible</w:t>
      </w:r>
      <w:r w:rsidR="00E5451A" w:rsidRPr="00F43873">
        <w:rPr>
          <w:rFonts w:ascii="Verdana" w:hAnsi="Verdana"/>
          <w:sz w:val="20"/>
          <w:szCs w:val="20"/>
          <w:lang w:val="es-ES"/>
        </w:rPr>
        <w:t xml:space="preserve"> derivar</w:t>
      </w:r>
      <w:r w:rsidR="00FF50B5" w:rsidRPr="00F43873">
        <w:rPr>
          <w:rFonts w:ascii="Verdana" w:hAnsi="Verdana"/>
          <w:sz w:val="20"/>
          <w:szCs w:val="20"/>
          <w:lang w:val="es-ES"/>
        </w:rPr>
        <w:t xml:space="preserve"> el derecho a la seguridad social</w:t>
      </w:r>
      <w:r w:rsidR="00BA15F3" w:rsidRPr="00F43873">
        <w:rPr>
          <w:rFonts w:ascii="Verdana" w:hAnsi="Verdana"/>
          <w:sz w:val="20"/>
          <w:szCs w:val="20"/>
          <w:lang w:val="es-ES"/>
        </w:rPr>
        <w:t>. Se</w:t>
      </w:r>
      <w:r w:rsidR="006157B6" w:rsidRPr="00F43873">
        <w:rPr>
          <w:rFonts w:ascii="Verdana" w:hAnsi="Verdana"/>
          <w:sz w:val="20"/>
          <w:szCs w:val="20"/>
          <w:lang w:val="es-ES"/>
        </w:rPr>
        <w:t xml:space="preserve"> </w:t>
      </w:r>
      <w:r w:rsidR="00125265" w:rsidRPr="00F43873">
        <w:rPr>
          <w:rFonts w:ascii="Verdana" w:hAnsi="Verdana"/>
          <w:sz w:val="20"/>
          <w:szCs w:val="20"/>
          <w:lang w:val="es-ES"/>
        </w:rPr>
        <w:t xml:space="preserve">estima que </w:t>
      </w:r>
      <w:r w:rsidR="00125265" w:rsidRPr="00F43873">
        <w:rPr>
          <w:rFonts w:ascii="Verdana" w:hAnsi="Verdana"/>
          <w:sz w:val="20"/>
          <w:szCs w:val="20"/>
          <w:lang w:val="es-CR"/>
        </w:rPr>
        <w:t xml:space="preserve">existe una referencia con el suficiente grado de especificidad del derecho a </w:t>
      </w:r>
      <w:r w:rsidR="00F43873">
        <w:rPr>
          <w:rFonts w:ascii="Verdana" w:hAnsi="Verdana"/>
          <w:sz w:val="20"/>
          <w:szCs w:val="20"/>
          <w:lang w:val="es-CR"/>
        </w:rPr>
        <w:t>la seguridad social para establecer</w:t>
      </w:r>
      <w:r w:rsidR="00125265" w:rsidRPr="00F43873">
        <w:rPr>
          <w:rFonts w:ascii="Verdana" w:hAnsi="Verdana"/>
          <w:sz w:val="20"/>
          <w:szCs w:val="20"/>
          <w:lang w:val="es-CR"/>
        </w:rPr>
        <w:t xml:space="preserve"> su existencia y reconocimiento implícito en la Carta de la OEA. En particular, de los distintos enunciados se </w:t>
      </w:r>
      <w:r w:rsidR="00775998" w:rsidRPr="00F43873">
        <w:rPr>
          <w:rFonts w:ascii="Verdana" w:hAnsi="Verdana"/>
          <w:sz w:val="20"/>
          <w:szCs w:val="20"/>
          <w:lang w:val="es-CR"/>
        </w:rPr>
        <w:t xml:space="preserve">advierte </w:t>
      </w:r>
      <w:r w:rsidR="00125265" w:rsidRPr="00F43873">
        <w:rPr>
          <w:rFonts w:ascii="Verdana" w:hAnsi="Verdana"/>
          <w:sz w:val="20"/>
          <w:szCs w:val="20"/>
          <w:lang w:val="es-CR"/>
        </w:rPr>
        <w:t>que el derecho a la seguridad social tiene como finalidad asegurar a las personas una vida, salud y niveles económicos decorosos en su vejez, o ante eventos que las prive</w:t>
      </w:r>
      <w:r w:rsidR="00BB5353">
        <w:rPr>
          <w:rFonts w:ascii="Verdana" w:hAnsi="Verdana"/>
          <w:sz w:val="20"/>
          <w:szCs w:val="20"/>
          <w:lang w:val="es-CR"/>
        </w:rPr>
        <w:t>n de su posibilidad de trabajar;</w:t>
      </w:r>
      <w:r w:rsidR="00125265" w:rsidRPr="00F43873">
        <w:rPr>
          <w:rFonts w:ascii="Verdana" w:hAnsi="Verdana"/>
          <w:sz w:val="20"/>
          <w:szCs w:val="20"/>
          <w:lang w:val="es-CR"/>
        </w:rPr>
        <w:t xml:space="preserve"> es decir</w:t>
      </w:r>
      <w:r w:rsidR="00307B39">
        <w:rPr>
          <w:rFonts w:ascii="Verdana" w:hAnsi="Verdana"/>
          <w:sz w:val="20"/>
          <w:szCs w:val="20"/>
          <w:lang w:val="es-CR"/>
        </w:rPr>
        <w:t>,</w:t>
      </w:r>
      <w:r w:rsidR="00125265" w:rsidRPr="00F43873">
        <w:rPr>
          <w:rFonts w:ascii="Verdana" w:hAnsi="Verdana"/>
          <w:sz w:val="20"/>
          <w:szCs w:val="20"/>
          <w:lang w:val="es-CR"/>
        </w:rPr>
        <w:t xml:space="preserve"> en relación con eventos futuros que podrían afectar el nivel y calidad de sus vidas.</w:t>
      </w:r>
      <w:r w:rsidR="00125265" w:rsidRPr="00F43873">
        <w:rPr>
          <w:rFonts w:ascii="Verdana" w:eastAsia="Times" w:hAnsi="Verdana" w:cs="Arial"/>
          <w:sz w:val="20"/>
          <w:szCs w:val="20"/>
        </w:rPr>
        <w:t xml:space="preserve"> De ahí que se concluye en la Sentencia que </w:t>
      </w:r>
      <w:r w:rsidR="00125265" w:rsidRPr="00F43873">
        <w:rPr>
          <w:rFonts w:ascii="Verdana" w:hAnsi="Verdana"/>
          <w:sz w:val="20"/>
          <w:szCs w:val="20"/>
        </w:rPr>
        <w:t>el derecho a la seguridad social es un derecho protegido por el artículo 26 de la Convención Americana</w:t>
      </w:r>
      <w:r w:rsidR="00125265" w:rsidRPr="008A13C6">
        <w:rPr>
          <w:rStyle w:val="Refdenotaalpie"/>
          <w:szCs w:val="20"/>
        </w:rPr>
        <w:footnoteReference w:id="5"/>
      </w:r>
      <w:r w:rsidR="00125265" w:rsidRPr="00F43873">
        <w:rPr>
          <w:rFonts w:ascii="Verdana" w:hAnsi="Verdana"/>
          <w:sz w:val="20"/>
          <w:szCs w:val="20"/>
        </w:rPr>
        <w:t xml:space="preserve">. </w:t>
      </w:r>
    </w:p>
    <w:p w:rsidR="00125265" w:rsidRPr="00125265" w:rsidRDefault="00125265" w:rsidP="00125265">
      <w:pPr>
        <w:pStyle w:val="Prrafodelista"/>
        <w:rPr>
          <w:rFonts w:ascii="Verdana" w:hAnsi="Verdana"/>
          <w:sz w:val="20"/>
          <w:szCs w:val="20"/>
          <w:lang w:val="es-ES"/>
        </w:rPr>
      </w:pPr>
    </w:p>
    <w:p w:rsidR="00BA15F3" w:rsidRDefault="000247B5" w:rsidP="00125265">
      <w:pPr>
        <w:pStyle w:val="Prrafodelista"/>
        <w:numPr>
          <w:ilvl w:val="0"/>
          <w:numId w:val="4"/>
        </w:numPr>
        <w:ind w:left="0" w:firstLine="0"/>
        <w:jc w:val="both"/>
        <w:rPr>
          <w:rFonts w:ascii="Verdana" w:hAnsi="Verdana"/>
          <w:sz w:val="20"/>
          <w:szCs w:val="20"/>
          <w:lang w:val="es-ES"/>
        </w:rPr>
      </w:pPr>
      <w:r>
        <w:rPr>
          <w:rFonts w:ascii="Verdana" w:hAnsi="Verdana"/>
          <w:sz w:val="20"/>
          <w:szCs w:val="20"/>
          <w:lang w:val="es-ES"/>
        </w:rPr>
        <w:t xml:space="preserve">Una vez determinado que el </w:t>
      </w:r>
      <w:r w:rsidR="0087789C">
        <w:rPr>
          <w:rFonts w:ascii="Verdana" w:hAnsi="Verdana"/>
          <w:sz w:val="20"/>
          <w:szCs w:val="20"/>
          <w:lang w:val="es-ES"/>
        </w:rPr>
        <w:t>derecho a la seguridad social es protegido por el artículo 26 del Pacto de San José,</w:t>
      </w:r>
      <w:r w:rsidR="00FF50B5" w:rsidRPr="00125265">
        <w:rPr>
          <w:rFonts w:ascii="Verdana" w:hAnsi="Verdana"/>
          <w:sz w:val="20"/>
          <w:szCs w:val="20"/>
          <w:lang w:val="es-ES"/>
        </w:rPr>
        <w:t xml:space="preserve"> la Corte IDH </w:t>
      </w:r>
      <w:r w:rsidR="0087789C">
        <w:rPr>
          <w:rFonts w:ascii="Verdana" w:hAnsi="Verdana"/>
          <w:sz w:val="20"/>
          <w:szCs w:val="20"/>
          <w:lang w:val="es-ES"/>
        </w:rPr>
        <w:t>procede a</w:t>
      </w:r>
      <w:r w:rsidR="00FF50B5" w:rsidRPr="00125265">
        <w:rPr>
          <w:rFonts w:ascii="Verdana" w:hAnsi="Verdana"/>
          <w:sz w:val="20"/>
          <w:szCs w:val="20"/>
          <w:lang w:val="es-ES"/>
        </w:rPr>
        <w:t xml:space="preserve"> delimitar con mayor precisión </w:t>
      </w:r>
      <w:r w:rsidR="0087789C">
        <w:rPr>
          <w:rFonts w:ascii="Verdana" w:hAnsi="Verdana"/>
          <w:sz w:val="20"/>
          <w:szCs w:val="20"/>
          <w:lang w:val="es-ES"/>
        </w:rPr>
        <w:t>dicho derecho</w:t>
      </w:r>
      <w:r w:rsidR="00125265">
        <w:rPr>
          <w:rFonts w:ascii="Verdana" w:hAnsi="Verdana"/>
          <w:sz w:val="20"/>
          <w:szCs w:val="20"/>
          <w:lang w:val="es-ES"/>
        </w:rPr>
        <w:t>,</w:t>
      </w:r>
      <w:r w:rsidR="00FF50B5" w:rsidRPr="00125265">
        <w:rPr>
          <w:rFonts w:ascii="Verdana" w:hAnsi="Verdana"/>
          <w:sz w:val="20"/>
          <w:szCs w:val="20"/>
          <w:lang w:val="es-ES"/>
        </w:rPr>
        <w:t xml:space="preserve"> </w:t>
      </w:r>
      <w:r w:rsidR="0087789C">
        <w:rPr>
          <w:rFonts w:ascii="Verdana" w:hAnsi="Verdana"/>
          <w:sz w:val="20"/>
          <w:szCs w:val="20"/>
          <w:lang w:val="es-ES"/>
        </w:rPr>
        <w:t xml:space="preserve">teniendo especial consideración </w:t>
      </w:r>
      <w:r w:rsidR="00D13A92">
        <w:rPr>
          <w:rFonts w:ascii="Verdana" w:hAnsi="Verdana"/>
          <w:sz w:val="20"/>
          <w:szCs w:val="20"/>
          <w:lang w:val="es-ES"/>
        </w:rPr>
        <w:t>la Declaración Americana de los Derechos y Deberes del Hombre, ya que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w:t>
      </w:r>
      <w:r w:rsidR="00D13A92" w:rsidRPr="00D13A92">
        <w:rPr>
          <w:rFonts w:ascii="Verdana" w:hAnsi="Verdana"/>
          <w:sz w:val="20"/>
          <w:szCs w:val="20"/>
          <w:vertAlign w:val="superscript"/>
        </w:rPr>
        <w:t xml:space="preserve"> </w:t>
      </w:r>
      <w:r w:rsidR="00D13A92" w:rsidRPr="00D12318">
        <w:rPr>
          <w:rFonts w:ascii="Verdana" w:hAnsi="Verdana"/>
          <w:sz w:val="20"/>
          <w:szCs w:val="20"/>
          <w:vertAlign w:val="superscript"/>
        </w:rPr>
        <w:footnoteReference w:id="6"/>
      </w:r>
      <w:r w:rsidR="00D13A92">
        <w:rPr>
          <w:rFonts w:ascii="Verdana" w:hAnsi="Verdana"/>
          <w:sz w:val="20"/>
          <w:szCs w:val="20"/>
          <w:lang w:val="es-ES"/>
        </w:rPr>
        <w:t>.</w:t>
      </w:r>
    </w:p>
    <w:p w:rsidR="00BA15F3" w:rsidRPr="00D13A92" w:rsidRDefault="00BA15F3" w:rsidP="00D13A92">
      <w:pPr>
        <w:rPr>
          <w:rFonts w:ascii="Verdana" w:hAnsi="Verdana"/>
          <w:sz w:val="20"/>
          <w:szCs w:val="20"/>
          <w:lang w:val="es-ES"/>
        </w:rPr>
      </w:pPr>
    </w:p>
    <w:p w:rsidR="00FF50B5" w:rsidRPr="00125265" w:rsidRDefault="00D13A92" w:rsidP="00125265">
      <w:pPr>
        <w:pStyle w:val="Prrafodelista"/>
        <w:numPr>
          <w:ilvl w:val="0"/>
          <w:numId w:val="4"/>
        </w:numPr>
        <w:ind w:left="0" w:firstLine="0"/>
        <w:jc w:val="both"/>
        <w:rPr>
          <w:rFonts w:ascii="Verdana" w:hAnsi="Verdana"/>
          <w:sz w:val="20"/>
          <w:szCs w:val="20"/>
          <w:lang w:val="es-ES"/>
        </w:rPr>
      </w:pPr>
      <w:r>
        <w:rPr>
          <w:rFonts w:ascii="Verdana" w:hAnsi="Verdana"/>
          <w:sz w:val="20"/>
          <w:szCs w:val="20"/>
          <w:lang w:val="es-ES"/>
        </w:rPr>
        <w:t xml:space="preserve">En este sentido, el </w:t>
      </w:r>
      <w:r w:rsidRPr="00125265">
        <w:rPr>
          <w:rFonts w:ascii="Verdana" w:hAnsi="Verdana"/>
          <w:sz w:val="20"/>
          <w:szCs w:val="20"/>
          <w:lang w:val="es-ES"/>
        </w:rPr>
        <w:t>artículo XVI</w:t>
      </w:r>
      <w:r>
        <w:rPr>
          <w:rFonts w:ascii="Verdana" w:hAnsi="Verdana"/>
          <w:sz w:val="20"/>
          <w:szCs w:val="20"/>
          <w:lang w:val="es-ES"/>
        </w:rPr>
        <w:t xml:space="preserve"> (“Derecho a la Seguridad Social”) de la Declaración Americana de los Derechos y Deberes del Hombre,</w:t>
      </w:r>
      <w:r w:rsidRPr="00125265">
        <w:rPr>
          <w:rFonts w:ascii="Verdana" w:hAnsi="Verdana"/>
          <w:sz w:val="20"/>
          <w:szCs w:val="20"/>
          <w:lang w:val="es-ES"/>
        </w:rPr>
        <w:t xml:space="preserve"> detalla de manera clara que “</w:t>
      </w:r>
      <w:r w:rsidRPr="00BA15F3">
        <w:rPr>
          <w:rFonts w:ascii="Verdana" w:hAnsi="Verdana"/>
          <w:i/>
          <w:sz w:val="20"/>
          <w:szCs w:val="20"/>
        </w:rPr>
        <w:t>Toda persona tiene derecho a la seguridad social</w:t>
      </w:r>
      <w:r w:rsidRPr="00A77FAA">
        <w:rPr>
          <w:rFonts w:ascii="Verdana" w:hAnsi="Verdana"/>
          <w:i/>
          <w:sz w:val="20"/>
          <w:szCs w:val="20"/>
        </w:rPr>
        <w:t xml:space="preserve"> que le proteja contra las consecuencias de la desocupación, de la vejez y de la incapacidad que, proveniente de cualquier otra causa ajena a su voluntad, la imposibilite física o mentalmente para obtener los medios de subsistencia</w:t>
      </w:r>
      <w:r w:rsidRPr="00125265">
        <w:rPr>
          <w:rFonts w:ascii="Verdana" w:hAnsi="Verdana"/>
          <w:sz w:val="20"/>
          <w:szCs w:val="20"/>
        </w:rPr>
        <w:t>”</w:t>
      </w:r>
      <w:r w:rsidRPr="003F103A">
        <w:rPr>
          <w:rStyle w:val="Refdenotaalpie"/>
          <w:rFonts w:ascii="Verdana" w:hAnsi="Verdana"/>
          <w:sz w:val="20"/>
          <w:szCs w:val="20"/>
        </w:rPr>
        <w:footnoteReference w:id="7"/>
      </w:r>
      <w:r w:rsidRPr="00125265">
        <w:rPr>
          <w:rFonts w:ascii="Verdana" w:hAnsi="Verdana"/>
          <w:sz w:val="20"/>
          <w:szCs w:val="20"/>
        </w:rPr>
        <w:t xml:space="preserve">. </w:t>
      </w:r>
      <w:r w:rsidR="00FF50B5" w:rsidRPr="00125265">
        <w:rPr>
          <w:rFonts w:ascii="Verdana" w:hAnsi="Verdana"/>
          <w:sz w:val="20"/>
          <w:szCs w:val="20"/>
          <w:lang w:val="es-ES"/>
        </w:rPr>
        <w:t xml:space="preserve">En aras de </w:t>
      </w:r>
      <w:r>
        <w:rPr>
          <w:rFonts w:ascii="Verdana" w:hAnsi="Verdana"/>
          <w:sz w:val="20"/>
          <w:szCs w:val="20"/>
          <w:lang w:val="es-ES"/>
        </w:rPr>
        <w:t xml:space="preserve">establecer </w:t>
      </w:r>
      <w:r w:rsidR="00263B13">
        <w:rPr>
          <w:rFonts w:ascii="Verdana" w:hAnsi="Verdana"/>
          <w:sz w:val="20"/>
          <w:szCs w:val="20"/>
          <w:lang w:val="es-ES"/>
        </w:rPr>
        <w:t xml:space="preserve">con mayor precisión </w:t>
      </w:r>
      <w:r w:rsidR="00FF50B5" w:rsidRPr="00125265">
        <w:rPr>
          <w:rFonts w:ascii="Verdana" w:hAnsi="Verdana"/>
          <w:sz w:val="20"/>
          <w:szCs w:val="20"/>
          <w:lang w:val="es-ES"/>
        </w:rPr>
        <w:t xml:space="preserve">el contenido del derecho y las obligaciones que le son </w:t>
      </w:r>
      <w:r w:rsidR="00FF50B5" w:rsidRPr="00125265">
        <w:rPr>
          <w:rFonts w:ascii="Verdana" w:hAnsi="Verdana"/>
          <w:sz w:val="20"/>
          <w:szCs w:val="20"/>
          <w:lang w:val="es-ES"/>
        </w:rPr>
        <w:lastRenderedPageBreak/>
        <w:t xml:space="preserve">aplicables, el Tribunal Interamericano </w:t>
      </w:r>
      <w:r w:rsidR="00571D94">
        <w:rPr>
          <w:rFonts w:ascii="Verdana" w:hAnsi="Verdana"/>
          <w:sz w:val="20"/>
          <w:szCs w:val="20"/>
          <w:lang w:val="es-ES"/>
        </w:rPr>
        <w:t>advierte</w:t>
      </w:r>
      <w:r w:rsidR="00FF50B5" w:rsidRPr="00125265">
        <w:rPr>
          <w:rFonts w:ascii="Verdana" w:hAnsi="Verdana"/>
          <w:sz w:val="20"/>
          <w:szCs w:val="20"/>
          <w:lang w:val="es-ES"/>
        </w:rPr>
        <w:t xml:space="preserve"> que el derecho a la seguridad social ha sido ampliamente desarrollado en el ámbito del derecho internacional</w:t>
      </w:r>
      <w:r w:rsidR="00571D94">
        <w:rPr>
          <w:rFonts w:ascii="Verdana" w:hAnsi="Verdana"/>
          <w:sz w:val="20"/>
          <w:szCs w:val="20"/>
          <w:lang w:val="es-ES"/>
        </w:rPr>
        <w:t>, en el artículo 9 del Protocolo de San Salvador, en los artículos 22 y 25 de la Declaración Universal de Derechos Humanos, así como</w:t>
      </w:r>
      <w:r w:rsidR="00FF50B5" w:rsidRPr="00125265">
        <w:rPr>
          <w:rFonts w:ascii="Verdana" w:hAnsi="Verdana"/>
          <w:sz w:val="20"/>
          <w:szCs w:val="20"/>
          <w:lang w:val="es-ES"/>
        </w:rPr>
        <w:t xml:space="preserve"> bajo el mandato de la Organización Internacional del Trabajo (OIT)</w:t>
      </w:r>
      <w:r w:rsidR="000447B4">
        <w:rPr>
          <w:rFonts w:ascii="Verdana" w:hAnsi="Verdana"/>
          <w:sz w:val="20"/>
          <w:szCs w:val="20"/>
          <w:lang w:val="es-ES"/>
        </w:rPr>
        <w:t>,</w:t>
      </w:r>
      <w:r w:rsidR="00FF50B5" w:rsidRPr="00125265">
        <w:rPr>
          <w:rFonts w:ascii="Verdana" w:hAnsi="Verdana"/>
          <w:sz w:val="20"/>
          <w:szCs w:val="20"/>
          <w:lang w:val="es-ES"/>
        </w:rPr>
        <w:t xml:space="preserve"> como por el Comité </w:t>
      </w:r>
      <w:r w:rsidR="00AB26FC">
        <w:rPr>
          <w:rFonts w:ascii="Verdana" w:hAnsi="Verdana"/>
          <w:sz w:val="20"/>
          <w:szCs w:val="20"/>
          <w:lang w:val="es-ES"/>
        </w:rPr>
        <w:t>de Derechos Económicos, Sociales y Culturales (en adelante “el Comité DESC”),</w:t>
      </w:r>
      <w:r w:rsidR="00FF50B5" w:rsidRPr="00125265">
        <w:rPr>
          <w:rFonts w:ascii="Verdana" w:hAnsi="Verdana"/>
          <w:sz w:val="20"/>
          <w:szCs w:val="20"/>
          <w:lang w:val="es-ES"/>
        </w:rPr>
        <w:t xml:space="preserve"> en aplicación del </w:t>
      </w:r>
      <w:r w:rsidR="000447B4">
        <w:rPr>
          <w:rFonts w:ascii="Verdana" w:hAnsi="Verdana"/>
          <w:sz w:val="20"/>
          <w:szCs w:val="20"/>
          <w:lang w:val="es-ES"/>
        </w:rPr>
        <w:t>artículo 9 del Pacto Internacional de Derechos Económicos, Sociales y Culturales (en adelante “el PIDESC”)</w:t>
      </w:r>
      <w:r w:rsidR="00FF50B5" w:rsidRPr="003F103A">
        <w:rPr>
          <w:rStyle w:val="Refdenotaalpie"/>
          <w:rFonts w:ascii="Verdana" w:hAnsi="Verdana"/>
          <w:sz w:val="20"/>
          <w:szCs w:val="20"/>
          <w:lang w:val="es-ES"/>
        </w:rPr>
        <w:footnoteReference w:id="8"/>
      </w:r>
      <w:r w:rsidR="00FF50B5" w:rsidRPr="00125265">
        <w:rPr>
          <w:rFonts w:ascii="Verdana" w:hAnsi="Verdana"/>
          <w:sz w:val="20"/>
          <w:szCs w:val="20"/>
          <w:lang w:val="es-ES"/>
        </w:rPr>
        <w:t>. Finalmente, el Tribunal Interamericano identifica que e</w:t>
      </w:r>
      <w:r w:rsidR="0087789C">
        <w:rPr>
          <w:rFonts w:ascii="Verdana" w:hAnsi="Verdana"/>
          <w:sz w:val="20"/>
          <w:szCs w:val="20"/>
          <w:lang w:val="es-ES"/>
        </w:rPr>
        <w:t>l derecho a la seguridad social</w:t>
      </w:r>
      <w:r w:rsidR="00FF50B5" w:rsidRPr="00125265">
        <w:rPr>
          <w:rFonts w:ascii="Verdana" w:hAnsi="Verdana"/>
          <w:sz w:val="20"/>
          <w:szCs w:val="20"/>
          <w:lang w:val="es-ES"/>
        </w:rPr>
        <w:t xml:space="preserve"> también se encuentra contemplado </w:t>
      </w:r>
      <w:r w:rsidR="00FF50B5" w:rsidRPr="00125265">
        <w:rPr>
          <w:rFonts w:ascii="Verdana" w:eastAsia="Times" w:hAnsi="Verdana" w:cs="Arial"/>
          <w:sz w:val="20"/>
          <w:szCs w:val="20"/>
        </w:rPr>
        <w:t>en los artículos 10 y 11 de la Constitución Política de 1993</w:t>
      </w:r>
      <w:r w:rsidR="00BA15F3">
        <w:rPr>
          <w:rFonts w:ascii="Verdana" w:eastAsia="Times" w:hAnsi="Verdana" w:cs="Arial"/>
          <w:sz w:val="20"/>
          <w:szCs w:val="20"/>
        </w:rPr>
        <w:t xml:space="preserve"> del Perú</w:t>
      </w:r>
      <w:r w:rsidR="00FF50B5" w:rsidRPr="003F103A">
        <w:rPr>
          <w:rStyle w:val="Refdenotaalpie"/>
          <w:rFonts w:ascii="Verdana" w:eastAsia="Times" w:hAnsi="Verdana" w:cs="Arial"/>
          <w:sz w:val="20"/>
          <w:szCs w:val="20"/>
        </w:rPr>
        <w:footnoteReference w:id="9"/>
      </w:r>
      <w:r w:rsidR="00FF50B5" w:rsidRPr="00125265">
        <w:rPr>
          <w:rFonts w:ascii="Verdana" w:hAnsi="Verdana"/>
          <w:sz w:val="20"/>
          <w:szCs w:val="20"/>
          <w:lang w:val="es-ES"/>
        </w:rPr>
        <w:t>.</w:t>
      </w:r>
    </w:p>
    <w:p w:rsidR="00DB2F32" w:rsidRPr="00DB2F32" w:rsidRDefault="00DB2F32" w:rsidP="00DB2F32">
      <w:pPr>
        <w:pStyle w:val="Prrafodelista"/>
        <w:ind w:left="0"/>
        <w:jc w:val="both"/>
        <w:rPr>
          <w:rFonts w:ascii="Verdana" w:hAnsi="Verdana"/>
          <w:b/>
          <w:sz w:val="20"/>
          <w:szCs w:val="20"/>
        </w:rPr>
      </w:pPr>
    </w:p>
    <w:p w:rsidR="00D0700E" w:rsidRPr="00D0700E" w:rsidRDefault="00D0700E" w:rsidP="00DB2F32">
      <w:pPr>
        <w:pStyle w:val="Prrafodelista"/>
        <w:numPr>
          <w:ilvl w:val="0"/>
          <w:numId w:val="4"/>
        </w:numPr>
        <w:ind w:left="0" w:firstLine="0"/>
        <w:jc w:val="both"/>
        <w:rPr>
          <w:rFonts w:ascii="Verdana" w:hAnsi="Verdana"/>
          <w:b/>
          <w:sz w:val="20"/>
          <w:szCs w:val="20"/>
        </w:rPr>
      </w:pPr>
      <w:r>
        <w:rPr>
          <w:rFonts w:ascii="Verdana" w:hAnsi="Verdana"/>
          <w:sz w:val="20"/>
          <w:szCs w:val="20"/>
        </w:rPr>
        <w:t>Es importante señalar que la Corte IDH al utilizar</w:t>
      </w:r>
      <w:r w:rsidRPr="00D12318">
        <w:rPr>
          <w:rFonts w:ascii="Verdana" w:hAnsi="Verdana"/>
          <w:sz w:val="20"/>
          <w:szCs w:val="20"/>
          <w:lang w:val="es-CR"/>
        </w:rPr>
        <w:t xml:space="preserve"> las fuentes, principios y criterios del </w:t>
      </w:r>
      <w:r w:rsidRPr="00D12318">
        <w:rPr>
          <w:rFonts w:ascii="Verdana" w:hAnsi="Verdana"/>
          <w:i/>
          <w:sz w:val="20"/>
          <w:szCs w:val="20"/>
          <w:lang w:val="es-CR"/>
        </w:rPr>
        <w:t xml:space="preserve">corpus iuris </w:t>
      </w:r>
      <w:r w:rsidRPr="00D12318">
        <w:rPr>
          <w:rFonts w:ascii="Verdana" w:hAnsi="Verdana"/>
          <w:sz w:val="20"/>
          <w:szCs w:val="20"/>
          <w:lang w:val="es-CR"/>
        </w:rPr>
        <w:t>internacional como normativa especial aplicable en la determinación del contenido del</w:t>
      </w:r>
      <w:r>
        <w:rPr>
          <w:rFonts w:ascii="Verdana" w:hAnsi="Verdana"/>
          <w:sz w:val="20"/>
          <w:szCs w:val="20"/>
          <w:lang w:val="es-CR"/>
        </w:rPr>
        <w:t xml:space="preserve"> derecho a la seguridad social, como complemento a la normativa de la Convención Americana, </w:t>
      </w:r>
      <w:r w:rsidRPr="00D12318">
        <w:rPr>
          <w:rFonts w:ascii="Verdana" w:hAnsi="Verdana"/>
          <w:sz w:val="20"/>
          <w:szCs w:val="20"/>
          <w:lang w:val="es-CR"/>
        </w:rPr>
        <w:t xml:space="preserve">no está asumiendo competencias sobre tratados </w:t>
      </w:r>
      <w:r>
        <w:rPr>
          <w:rFonts w:ascii="Verdana" w:hAnsi="Verdana"/>
          <w:sz w:val="20"/>
          <w:szCs w:val="20"/>
          <w:lang w:val="es-CR"/>
        </w:rPr>
        <w:t xml:space="preserve">en </w:t>
      </w:r>
      <w:r w:rsidRPr="00D12318">
        <w:rPr>
          <w:rFonts w:ascii="Verdana" w:hAnsi="Verdana"/>
          <w:sz w:val="20"/>
          <w:szCs w:val="20"/>
          <w:lang w:val="es-CR"/>
        </w:rPr>
        <w:t>los que no la tiene, ni tampoco está otorgando jerarquía convencional a normas contenidas en otros instrumentos nacionales o internacionales relacionados con los DESCA</w:t>
      </w:r>
      <w:r w:rsidRPr="00D12318">
        <w:rPr>
          <w:rStyle w:val="Refdenotaalpie"/>
          <w:szCs w:val="20"/>
          <w:lang w:val="es-CR"/>
        </w:rPr>
        <w:footnoteReference w:id="10"/>
      </w:r>
      <w:r w:rsidRPr="00D12318">
        <w:rPr>
          <w:rFonts w:ascii="Verdana" w:hAnsi="Verdana"/>
          <w:sz w:val="20"/>
          <w:szCs w:val="20"/>
          <w:lang w:val="es-CR"/>
        </w:rPr>
        <w:t xml:space="preserve">. Por el contrario, la Corte </w:t>
      </w:r>
      <w:r>
        <w:rPr>
          <w:rFonts w:ascii="Verdana" w:hAnsi="Verdana"/>
          <w:sz w:val="20"/>
          <w:szCs w:val="20"/>
          <w:lang w:val="es-CR"/>
        </w:rPr>
        <w:t xml:space="preserve">IDH realiza </w:t>
      </w:r>
      <w:r w:rsidRPr="00D12318">
        <w:rPr>
          <w:rFonts w:ascii="Verdana" w:hAnsi="Verdana"/>
          <w:sz w:val="20"/>
          <w:szCs w:val="20"/>
          <w:lang w:val="es-CR"/>
        </w:rPr>
        <w:t>una interpretación de conformidad con las pautas previstas por el artículo 29</w:t>
      </w:r>
      <w:r w:rsidR="0011658B">
        <w:rPr>
          <w:rFonts w:ascii="Verdana" w:hAnsi="Verdana"/>
          <w:sz w:val="20"/>
          <w:szCs w:val="20"/>
          <w:lang w:val="es-CR"/>
        </w:rPr>
        <w:t xml:space="preserve"> del Pacto de San José</w:t>
      </w:r>
      <w:r w:rsidR="00D60CED" w:rsidRPr="00D12318">
        <w:rPr>
          <w:rStyle w:val="Refdenotaalpie"/>
          <w:szCs w:val="20"/>
          <w:lang w:val="es-CR"/>
        </w:rPr>
        <w:footnoteReference w:id="11"/>
      </w:r>
      <w:r w:rsidRPr="00D12318">
        <w:rPr>
          <w:rFonts w:ascii="Verdana" w:hAnsi="Verdana"/>
          <w:sz w:val="20"/>
          <w:szCs w:val="20"/>
          <w:lang w:val="es-CR"/>
        </w:rPr>
        <w:t xml:space="preserve">, </w:t>
      </w:r>
      <w:r w:rsidR="00D60CED">
        <w:rPr>
          <w:rFonts w:ascii="Verdana" w:hAnsi="Verdana"/>
          <w:sz w:val="20"/>
          <w:szCs w:val="20"/>
          <w:lang w:val="es-CR"/>
        </w:rPr>
        <w:t xml:space="preserve">de tal manera </w:t>
      </w:r>
      <w:r w:rsidRPr="00D12318">
        <w:rPr>
          <w:rFonts w:ascii="Verdana" w:hAnsi="Verdana"/>
          <w:sz w:val="20"/>
          <w:szCs w:val="20"/>
          <w:lang w:val="es-CR"/>
        </w:rPr>
        <w:t xml:space="preserve">que permita actualizar el sentido de los derechos derivados de la Carta de la OEA que se encuentran reconocidos por </w:t>
      </w:r>
      <w:r>
        <w:rPr>
          <w:rFonts w:ascii="Verdana" w:hAnsi="Verdana"/>
          <w:sz w:val="20"/>
          <w:szCs w:val="20"/>
          <w:lang w:val="es-CR"/>
        </w:rPr>
        <w:t>el artículo 26 de la Convención Americana</w:t>
      </w:r>
      <w:r w:rsidRPr="00D12318">
        <w:rPr>
          <w:rStyle w:val="Refdenotaalpie"/>
          <w:szCs w:val="20"/>
          <w:lang w:val="es-CR"/>
        </w:rPr>
        <w:footnoteReference w:id="12"/>
      </w:r>
      <w:r>
        <w:rPr>
          <w:rFonts w:ascii="Verdana" w:hAnsi="Verdana"/>
          <w:sz w:val="20"/>
          <w:szCs w:val="20"/>
          <w:lang w:val="es-CR"/>
        </w:rPr>
        <w:t>.</w:t>
      </w:r>
      <w:r w:rsidR="0011658B">
        <w:rPr>
          <w:rFonts w:ascii="Verdana" w:hAnsi="Verdana"/>
          <w:sz w:val="20"/>
          <w:szCs w:val="20"/>
          <w:lang w:val="es-CR"/>
        </w:rPr>
        <w:t xml:space="preserve"> Ha sido la práctica constante de este Tribunal Interamericano</w:t>
      </w:r>
      <w:r w:rsidR="00D60CED" w:rsidRPr="00D12318">
        <w:rPr>
          <w:rStyle w:val="Refdenotaalpie"/>
          <w:szCs w:val="20"/>
          <w:lang w:val="es-CR"/>
        </w:rPr>
        <w:footnoteReference w:id="13"/>
      </w:r>
      <w:r w:rsidR="00D60CED">
        <w:rPr>
          <w:rFonts w:ascii="Verdana" w:hAnsi="Verdana"/>
          <w:sz w:val="20"/>
          <w:szCs w:val="20"/>
          <w:lang w:val="es-CR"/>
        </w:rPr>
        <w:t>, que al determinar la compatibilidad de las acciones y omisiones del Estado, o de sus normas, con la propia Convención Americana, la Corte IDH puede interpretar las obligaciones y derechos en ellos contenidos a la luz de otros tratados y normas pertinentes</w:t>
      </w:r>
      <w:r w:rsidR="00D60CED" w:rsidRPr="00D12318">
        <w:rPr>
          <w:rStyle w:val="Refdenotaalpie"/>
          <w:szCs w:val="20"/>
          <w:lang w:val="es-CR"/>
        </w:rPr>
        <w:footnoteReference w:id="14"/>
      </w:r>
      <w:r w:rsidR="00D60CED">
        <w:rPr>
          <w:rFonts w:ascii="Verdana" w:hAnsi="Verdana"/>
          <w:sz w:val="20"/>
          <w:szCs w:val="20"/>
          <w:lang w:val="es-CR"/>
        </w:rPr>
        <w:t>.</w:t>
      </w:r>
    </w:p>
    <w:p w:rsidR="00D0700E" w:rsidRPr="00D0700E" w:rsidRDefault="00D0700E" w:rsidP="00D0700E">
      <w:pPr>
        <w:pStyle w:val="Prrafodelista"/>
        <w:ind w:left="0"/>
        <w:jc w:val="both"/>
        <w:rPr>
          <w:rFonts w:ascii="Verdana" w:hAnsi="Verdana"/>
          <w:b/>
          <w:sz w:val="20"/>
          <w:szCs w:val="20"/>
        </w:rPr>
      </w:pPr>
    </w:p>
    <w:p w:rsidR="00511E10" w:rsidRPr="00511E10" w:rsidRDefault="003F103A" w:rsidP="00511E10">
      <w:pPr>
        <w:pStyle w:val="Prrafodelista"/>
        <w:numPr>
          <w:ilvl w:val="0"/>
          <w:numId w:val="4"/>
        </w:numPr>
        <w:ind w:left="0" w:firstLine="0"/>
        <w:jc w:val="both"/>
        <w:rPr>
          <w:rFonts w:ascii="Verdana" w:hAnsi="Verdana"/>
          <w:b/>
          <w:sz w:val="20"/>
          <w:szCs w:val="20"/>
        </w:rPr>
      </w:pPr>
      <w:r w:rsidRPr="00DB2F32">
        <w:rPr>
          <w:rFonts w:ascii="Verdana" w:hAnsi="Verdana"/>
          <w:sz w:val="20"/>
          <w:szCs w:val="20"/>
        </w:rPr>
        <w:t>Siguiendo su línea jurisprudencial</w:t>
      </w:r>
      <w:r w:rsidR="00A77FAA" w:rsidRPr="00D12318">
        <w:rPr>
          <w:rStyle w:val="Refdenotaalpie"/>
          <w:rFonts w:eastAsia="Times"/>
          <w:szCs w:val="20"/>
        </w:rPr>
        <w:footnoteReference w:id="15"/>
      </w:r>
      <w:r w:rsidRPr="00DB2F32">
        <w:rPr>
          <w:rFonts w:ascii="Verdana" w:hAnsi="Verdana"/>
          <w:sz w:val="20"/>
          <w:szCs w:val="20"/>
        </w:rPr>
        <w:t xml:space="preserve">, la Corte IDH </w:t>
      </w:r>
      <w:r w:rsidRPr="00DB2F32">
        <w:rPr>
          <w:rFonts w:ascii="Verdana" w:eastAsia="Times" w:hAnsi="Verdana" w:cs="Arial"/>
          <w:sz w:val="20"/>
          <w:szCs w:val="20"/>
        </w:rPr>
        <w:t xml:space="preserve">considera que la naturaleza y alcance de las obligaciones que derivan de la protección de la seguridad social, incluyen aspectos que </w:t>
      </w:r>
      <w:r w:rsidRPr="00DB2F32">
        <w:rPr>
          <w:rFonts w:ascii="Verdana" w:eastAsia="Times" w:hAnsi="Verdana" w:cs="Arial"/>
          <w:sz w:val="20"/>
          <w:szCs w:val="20"/>
        </w:rPr>
        <w:lastRenderedPageBreak/>
        <w:t xml:space="preserve">tienen una </w:t>
      </w:r>
      <w:r w:rsidRPr="00016CEB">
        <w:rPr>
          <w:rFonts w:ascii="Verdana" w:eastAsia="Times" w:hAnsi="Verdana" w:cs="Arial"/>
          <w:i/>
          <w:sz w:val="20"/>
          <w:szCs w:val="20"/>
        </w:rPr>
        <w:t>exigibilidad inmediata</w:t>
      </w:r>
      <w:r w:rsidRPr="00DB2F32">
        <w:rPr>
          <w:rFonts w:ascii="Verdana" w:eastAsia="Times" w:hAnsi="Verdana" w:cs="Arial"/>
          <w:sz w:val="20"/>
          <w:szCs w:val="20"/>
        </w:rPr>
        <w:t xml:space="preserve">, así como aspectos que tienen un </w:t>
      </w:r>
      <w:r w:rsidRPr="00016CEB">
        <w:rPr>
          <w:rFonts w:ascii="Verdana" w:eastAsia="Times" w:hAnsi="Verdana" w:cs="Arial"/>
          <w:i/>
          <w:sz w:val="20"/>
          <w:szCs w:val="20"/>
        </w:rPr>
        <w:t>carácter progresivo</w:t>
      </w:r>
      <w:r w:rsidR="00DB2F32">
        <w:rPr>
          <w:rFonts w:ascii="Verdana" w:eastAsia="Times" w:hAnsi="Verdana" w:cs="Arial"/>
          <w:sz w:val="20"/>
          <w:szCs w:val="20"/>
        </w:rPr>
        <w:t xml:space="preserve">. Al respecto, en la Sentencia se </w:t>
      </w:r>
      <w:r w:rsidRPr="00DB2F32">
        <w:rPr>
          <w:rFonts w:ascii="Verdana" w:eastAsia="Times" w:hAnsi="Verdana" w:cs="Arial"/>
          <w:sz w:val="20"/>
          <w:szCs w:val="20"/>
        </w:rPr>
        <w:t>recuerda que, en relación con las primeras (obligaciones de exigibilidad inmediata),</w:t>
      </w:r>
      <w:r w:rsidRPr="00DB2F32">
        <w:rPr>
          <w:rFonts w:ascii="Verdana" w:hAnsi="Verdana"/>
          <w:sz w:val="20"/>
          <w:szCs w:val="20"/>
          <w:lang w:val="es-CR"/>
        </w:rPr>
        <w:t xml:space="preserve"> los Estados deberán adoptar medidas eficaces a fin de garantizar el acceso sin discriminación a las prestaciones reconocidas para el derecho a la seguridad social, garantizar la igualdad de derechos entre hombres y mujeres, entre otros</w:t>
      </w:r>
      <w:r w:rsidRPr="00D12318">
        <w:rPr>
          <w:rStyle w:val="Refdenotaalpie"/>
          <w:szCs w:val="20"/>
          <w:lang w:val="es-CR"/>
        </w:rPr>
        <w:footnoteReference w:id="16"/>
      </w:r>
      <w:r w:rsidRPr="00DB2F32">
        <w:rPr>
          <w:rFonts w:ascii="Verdana" w:hAnsi="Verdana"/>
          <w:sz w:val="20"/>
          <w:szCs w:val="20"/>
          <w:lang w:val="es-CR"/>
        </w:rPr>
        <w:t>. Respecto a las segundas (obligaciones de carácter progresivo),</w:t>
      </w:r>
      <w:r w:rsidRPr="00DB2F32">
        <w:rPr>
          <w:rFonts w:ascii="Verdana" w:eastAsia="Times" w:hAnsi="Verdana" w:cs="Arial"/>
          <w:sz w:val="20"/>
          <w:szCs w:val="20"/>
        </w:rPr>
        <w:t xml:space="preserve"> </w:t>
      </w:r>
      <w:r w:rsidRPr="00DB2F32">
        <w:rPr>
          <w:rFonts w:ascii="Verdana" w:hAnsi="Verdana"/>
          <w:sz w:val="20"/>
          <w:szCs w:val="20"/>
          <w:lang w:val="es-CR"/>
        </w:rPr>
        <w:t>la realización progresiva significa que los Estados partes tienen la obligación concreta y constante de avanzar lo más expedita y eficazmente posible hacia la plena efectividad de dicho derecho</w:t>
      </w:r>
      <w:r w:rsidRPr="00D12318">
        <w:rPr>
          <w:rStyle w:val="Refdenotaalpie"/>
          <w:szCs w:val="20"/>
          <w:lang w:val="es-CR"/>
        </w:rPr>
        <w:footnoteReference w:id="17"/>
      </w:r>
      <w:r w:rsidRPr="00DB2F32">
        <w:rPr>
          <w:rFonts w:ascii="Verdana" w:hAnsi="Verdana"/>
          <w:sz w:val="20"/>
          <w:szCs w:val="20"/>
          <w:lang w:val="es-CR"/>
        </w:rPr>
        <w:t>, en la medida de sus recursos disponibles, por vía legislativa u otros medios apropiados</w:t>
      </w:r>
      <w:r w:rsidRPr="00D12318">
        <w:rPr>
          <w:rStyle w:val="Refdenotaalpie"/>
          <w:szCs w:val="20"/>
          <w:lang w:val="es-CR"/>
        </w:rPr>
        <w:footnoteReference w:id="18"/>
      </w:r>
      <w:r w:rsidRPr="00DB2F32">
        <w:rPr>
          <w:rFonts w:ascii="Verdana" w:hAnsi="Verdana"/>
          <w:sz w:val="20"/>
          <w:szCs w:val="20"/>
          <w:lang w:val="es-CR"/>
        </w:rPr>
        <w:t xml:space="preserve">. </w:t>
      </w:r>
      <w:r w:rsidRPr="00DB2F32">
        <w:rPr>
          <w:rFonts w:ascii="Verdana" w:hAnsi="Verdana"/>
          <w:sz w:val="20"/>
          <w:szCs w:val="20"/>
        </w:rPr>
        <w:t xml:space="preserve">Asimismo, se impone la obligación de </w:t>
      </w:r>
      <w:r w:rsidRPr="00DB2F32">
        <w:rPr>
          <w:rFonts w:ascii="Verdana" w:hAnsi="Verdana"/>
          <w:i/>
          <w:sz w:val="20"/>
          <w:szCs w:val="20"/>
        </w:rPr>
        <w:t>no regresividad</w:t>
      </w:r>
      <w:r w:rsidRPr="00DB2F32">
        <w:rPr>
          <w:rFonts w:ascii="Verdana" w:hAnsi="Verdana"/>
          <w:sz w:val="20"/>
          <w:szCs w:val="20"/>
        </w:rPr>
        <w:t xml:space="preserve"> frente a la realización de los derechos alcanzados</w:t>
      </w:r>
      <w:r w:rsidRPr="00D12318">
        <w:rPr>
          <w:vertAlign w:val="superscript"/>
        </w:rPr>
        <w:footnoteReference w:id="19"/>
      </w:r>
      <w:r w:rsidRPr="00DB2F32">
        <w:rPr>
          <w:rFonts w:ascii="Verdana" w:hAnsi="Verdana"/>
          <w:sz w:val="20"/>
          <w:szCs w:val="20"/>
        </w:rPr>
        <w:t>. En virtud de lo anterior, las obligaciones convencionales de respeto y garantía, así como de adopción de medidas de derecho interno (artículos 1.1 y 2</w:t>
      </w:r>
      <w:r w:rsidR="00775998">
        <w:rPr>
          <w:rFonts w:ascii="Verdana" w:hAnsi="Verdana"/>
          <w:sz w:val="20"/>
          <w:szCs w:val="20"/>
        </w:rPr>
        <w:t xml:space="preserve"> de la Convención Americana</w:t>
      </w:r>
      <w:r w:rsidRPr="00DB2F32">
        <w:rPr>
          <w:rFonts w:ascii="Verdana" w:hAnsi="Verdana"/>
          <w:sz w:val="20"/>
          <w:szCs w:val="20"/>
        </w:rPr>
        <w:t>), resultan fundamentales para alcanzar su efectividad.</w:t>
      </w:r>
    </w:p>
    <w:p w:rsidR="00511E10" w:rsidRPr="00511E10" w:rsidRDefault="00511E10" w:rsidP="00511E10">
      <w:pPr>
        <w:pStyle w:val="Prrafodelista"/>
        <w:ind w:left="0"/>
        <w:jc w:val="both"/>
        <w:rPr>
          <w:rFonts w:ascii="Verdana" w:hAnsi="Verdana"/>
          <w:b/>
          <w:sz w:val="20"/>
          <w:szCs w:val="20"/>
        </w:rPr>
      </w:pPr>
    </w:p>
    <w:p w:rsidR="003F103A" w:rsidRPr="00511E10" w:rsidRDefault="00511E10" w:rsidP="00511E10">
      <w:pPr>
        <w:pStyle w:val="Prrafodelista"/>
        <w:numPr>
          <w:ilvl w:val="0"/>
          <w:numId w:val="4"/>
        </w:numPr>
        <w:ind w:left="0" w:firstLine="0"/>
        <w:jc w:val="both"/>
        <w:rPr>
          <w:rFonts w:ascii="Verdana" w:hAnsi="Verdana"/>
          <w:b/>
          <w:sz w:val="20"/>
          <w:szCs w:val="20"/>
        </w:rPr>
      </w:pPr>
      <w:r>
        <w:rPr>
          <w:rFonts w:ascii="Verdana" w:hAnsi="Verdana"/>
          <w:sz w:val="20"/>
          <w:szCs w:val="20"/>
        </w:rPr>
        <w:t>Como se</w:t>
      </w:r>
      <w:r w:rsidRPr="00511E10">
        <w:rPr>
          <w:rFonts w:ascii="Verdana" w:hAnsi="Verdana"/>
          <w:sz w:val="20"/>
          <w:szCs w:val="20"/>
        </w:rPr>
        <w:t xml:space="preserve"> expresó en la Sentencia, en cada caso bajo estudio, se requerirá determinar qué tipo de las dos obligaciones están en juego frente al derecho a la seguridad social</w:t>
      </w:r>
      <w:r w:rsidRPr="00A96714">
        <w:rPr>
          <w:rStyle w:val="Refdenotaalpie"/>
          <w:rFonts w:ascii="Verdana" w:hAnsi="Verdana"/>
          <w:sz w:val="20"/>
          <w:szCs w:val="20"/>
        </w:rPr>
        <w:footnoteReference w:id="20"/>
      </w:r>
      <w:r w:rsidRPr="00511E10">
        <w:rPr>
          <w:rFonts w:ascii="Verdana" w:hAnsi="Verdana"/>
          <w:sz w:val="20"/>
          <w:szCs w:val="20"/>
        </w:rPr>
        <w:t xml:space="preserve">. </w:t>
      </w:r>
      <w:r>
        <w:rPr>
          <w:rFonts w:ascii="Verdana" w:hAnsi="Verdana"/>
          <w:sz w:val="20"/>
          <w:szCs w:val="20"/>
        </w:rPr>
        <w:t>L</w:t>
      </w:r>
      <w:r w:rsidR="003F103A" w:rsidRPr="00511E10">
        <w:rPr>
          <w:rFonts w:ascii="Verdana" w:hAnsi="Verdana"/>
          <w:sz w:val="20"/>
          <w:szCs w:val="20"/>
        </w:rPr>
        <w:t xml:space="preserve">a Corte </w:t>
      </w:r>
      <w:r w:rsidR="00DB2F32" w:rsidRPr="00511E10">
        <w:rPr>
          <w:rFonts w:ascii="Verdana" w:hAnsi="Verdana"/>
          <w:sz w:val="20"/>
          <w:szCs w:val="20"/>
        </w:rPr>
        <w:t xml:space="preserve">IDH </w:t>
      </w:r>
      <w:r w:rsidR="003F103A" w:rsidRPr="00511E10">
        <w:rPr>
          <w:rFonts w:ascii="Verdana" w:hAnsi="Verdana"/>
          <w:sz w:val="20"/>
          <w:szCs w:val="20"/>
        </w:rPr>
        <w:t>nota que el presente caso no versa sobre las obligaciones de progresividad derivadas del artículo 26 de la Convención</w:t>
      </w:r>
      <w:r w:rsidR="00DB2F32" w:rsidRPr="00511E10">
        <w:rPr>
          <w:rFonts w:ascii="Verdana" w:hAnsi="Verdana"/>
          <w:sz w:val="20"/>
          <w:szCs w:val="20"/>
        </w:rPr>
        <w:t xml:space="preserve"> Americana</w:t>
      </w:r>
      <w:r w:rsidR="003F103A" w:rsidRPr="00511E10">
        <w:rPr>
          <w:rFonts w:ascii="Verdana" w:hAnsi="Verdana"/>
          <w:sz w:val="20"/>
          <w:szCs w:val="20"/>
        </w:rPr>
        <w:t xml:space="preserve">, sino que se refiere </w:t>
      </w:r>
      <w:r w:rsidR="003F103A" w:rsidRPr="00511E10">
        <w:rPr>
          <w:rFonts w:ascii="Verdana" w:hAnsi="Verdana"/>
          <w:i/>
          <w:sz w:val="20"/>
          <w:szCs w:val="20"/>
        </w:rPr>
        <w:t>a la falta de concretización material del derecho a la pensión, como parte integrante del derecho a la seguridad social, del señor Muelle Flores</w:t>
      </w:r>
      <w:r w:rsidR="00DE7D46">
        <w:rPr>
          <w:rFonts w:ascii="Verdana" w:hAnsi="Verdana"/>
          <w:sz w:val="20"/>
          <w:szCs w:val="20"/>
        </w:rPr>
        <w:t>;</w:t>
      </w:r>
      <w:r w:rsidR="003F103A" w:rsidRPr="00511E10">
        <w:rPr>
          <w:rFonts w:ascii="Verdana" w:hAnsi="Verdana"/>
          <w:sz w:val="20"/>
          <w:szCs w:val="20"/>
        </w:rPr>
        <w:t xml:space="preserve"> debido a la falta de cumplimiento y ejecución de </w:t>
      </w:r>
      <w:r w:rsidR="003F103A" w:rsidRPr="00511E10">
        <w:rPr>
          <w:rFonts w:ascii="Verdana" w:hAnsi="Verdana"/>
          <w:sz w:val="20"/>
          <w:szCs w:val="20"/>
        </w:rPr>
        <w:lastRenderedPageBreak/>
        <w:t>sentencias dictadas a su favor a nivel interno</w:t>
      </w:r>
      <w:r w:rsidR="00DE7D46">
        <w:rPr>
          <w:rFonts w:ascii="Verdana" w:hAnsi="Verdana"/>
          <w:sz w:val="20"/>
          <w:szCs w:val="20"/>
        </w:rPr>
        <w:t>,</w:t>
      </w:r>
      <w:r w:rsidR="003F103A" w:rsidRPr="00511E10">
        <w:rPr>
          <w:rFonts w:ascii="Verdana" w:hAnsi="Verdana"/>
          <w:sz w:val="20"/>
          <w:szCs w:val="20"/>
        </w:rPr>
        <w:t xml:space="preserve"> en el marco de la privatización de la empresa estatal, efectuado luego de su jubilación</w:t>
      </w:r>
      <w:r w:rsidR="00CD3D86">
        <w:rPr>
          <w:rStyle w:val="Refdenotaalpie"/>
          <w:rFonts w:ascii="Verdana" w:hAnsi="Verdana"/>
          <w:sz w:val="20"/>
          <w:szCs w:val="20"/>
        </w:rPr>
        <w:footnoteReference w:id="21"/>
      </w:r>
      <w:r w:rsidR="003F103A" w:rsidRPr="00511E10">
        <w:rPr>
          <w:rFonts w:ascii="Verdana" w:hAnsi="Verdana"/>
          <w:sz w:val="20"/>
          <w:szCs w:val="20"/>
        </w:rPr>
        <w:t xml:space="preserve">. </w:t>
      </w:r>
    </w:p>
    <w:p w:rsidR="00E94B46" w:rsidRPr="00E94B46" w:rsidRDefault="00E94B46" w:rsidP="00E94B46">
      <w:pPr>
        <w:pStyle w:val="Prrafodelista"/>
        <w:ind w:left="0"/>
        <w:jc w:val="both"/>
      </w:pPr>
    </w:p>
    <w:p w:rsidR="009D684E" w:rsidRPr="00CD3D86" w:rsidRDefault="00DB5049" w:rsidP="00DB5049">
      <w:pPr>
        <w:pStyle w:val="Prrafodelista"/>
        <w:numPr>
          <w:ilvl w:val="0"/>
          <w:numId w:val="4"/>
        </w:numPr>
        <w:ind w:left="0" w:firstLine="0"/>
        <w:jc w:val="both"/>
      </w:pPr>
      <w:r>
        <w:rPr>
          <w:rFonts w:ascii="Verdana" w:hAnsi="Verdana"/>
          <w:sz w:val="20"/>
          <w:szCs w:val="20"/>
        </w:rPr>
        <w:t xml:space="preserve">Por otra parte, en la Sentencia se abordan aspectos de relevancia para la temática de </w:t>
      </w:r>
      <w:r w:rsidRPr="00CD3D86">
        <w:rPr>
          <w:rFonts w:ascii="Verdana" w:hAnsi="Verdana"/>
          <w:i/>
          <w:sz w:val="20"/>
          <w:szCs w:val="20"/>
        </w:rPr>
        <w:t>las personas mayores</w:t>
      </w:r>
      <w:r>
        <w:rPr>
          <w:rFonts w:ascii="Verdana" w:hAnsi="Verdana"/>
          <w:sz w:val="20"/>
          <w:szCs w:val="20"/>
        </w:rPr>
        <w:t>, como grupo en situación de especial vulnerabilidad frente al disfrute de los derechos sociales</w:t>
      </w:r>
      <w:r w:rsidR="00903E05">
        <w:rPr>
          <w:rStyle w:val="Refdenotaalpie"/>
          <w:rFonts w:ascii="Verdana" w:hAnsi="Verdana"/>
          <w:sz w:val="20"/>
          <w:szCs w:val="20"/>
        </w:rPr>
        <w:footnoteReference w:id="22"/>
      </w:r>
      <w:r w:rsidR="004E38D3">
        <w:rPr>
          <w:rFonts w:ascii="Verdana" w:hAnsi="Verdana"/>
          <w:sz w:val="20"/>
          <w:szCs w:val="20"/>
        </w:rPr>
        <w:t>;</w:t>
      </w:r>
      <w:r w:rsidR="00DE7D46">
        <w:rPr>
          <w:rFonts w:ascii="Verdana" w:hAnsi="Verdana"/>
          <w:sz w:val="20"/>
          <w:szCs w:val="20"/>
        </w:rPr>
        <w:t xml:space="preserve"> así como</w:t>
      </w:r>
      <w:r>
        <w:rPr>
          <w:rFonts w:ascii="Verdana" w:hAnsi="Verdana"/>
          <w:sz w:val="20"/>
          <w:szCs w:val="20"/>
        </w:rPr>
        <w:t xml:space="preserve"> </w:t>
      </w:r>
      <w:r w:rsidR="00903E05" w:rsidRPr="00DB5049">
        <w:rPr>
          <w:rFonts w:ascii="Verdana" w:hAnsi="Verdana"/>
          <w:sz w:val="20"/>
          <w:szCs w:val="20"/>
        </w:rPr>
        <w:t>el particular impacto</w:t>
      </w:r>
      <w:r w:rsidR="00E94B46">
        <w:rPr>
          <w:rFonts w:ascii="Verdana" w:hAnsi="Verdana"/>
          <w:sz w:val="20"/>
          <w:szCs w:val="20"/>
        </w:rPr>
        <w:t xml:space="preserve"> —</w:t>
      </w:r>
      <w:r w:rsidR="009C7D37" w:rsidRPr="00DB5049">
        <w:rPr>
          <w:rFonts w:ascii="Verdana" w:hAnsi="Verdana"/>
          <w:sz w:val="20"/>
          <w:szCs w:val="20"/>
        </w:rPr>
        <w:t>material y emocional</w:t>
      </w:r>
      <w:r w:rsidR="00E94B46">
        <w:rPr>
          <w:rFonts w:ascii="Verdana" w:hAnsi="Verdana"/>
          <w:sz w:val="20"/>
          <w:szCs w:val="20"/>
        </w:rPr>
        <w:t>—</w:t>
      </w:r>
      <w:r w:rsidR="00903E05" w:rsidRPr="00DB5049">
        <w:rPr>
          <w:rFonts w:ascii="Verdana" w:hAnsi="Verdana"/>
          <w:sz w:val="20"/>
          <w:szCs w:val="20"/>
        </w:rPr>
        <w:t xml:space="preserve"> que tiene</w:t>
      </w:r>
      <w:r>
        <w:rPr>
          <w:rFonts w:ascii="Verdana" w:hAnsi="Verdana"/>
          <w:sz w:val="20"/>
          <w:szCs w:val="20"/>
        </w:rPr>
        <w:t>n estas personas ante la</w:t>
      </w:r>
      <w:r w:rsidR="00903E05" w:rsidRPr="00DB5049">
        <w:rPr>
          <w:rFonts w:ascii="Verdana" w:hAnsi="Verdana"/>
          <w:sz w:val="20"/>
          <w:szCs w:val="20"/>
        </w:rPr>
        <w:t xml:space="preserve"> falta de ejecución </w:t>
      </w:r>
      <w:r w:rsidR="0087789C">
        <w:rPr>
          <w:rFonts w:ascii="Verdana" w:hAnsi="Verdana"/>
          <w:sz w:val="20"/>
          <w:szCs w:val="20"/>
        </w:rPr>
        <w:t xml:space="preserve">de </w:t>
      </w:r>
      <w:r w:rsidR="00D2143B" w:rsidRPr="00DB5049">
        <w:rPr>
          <w:rFonts w:ascii="Verdana" w:hAnsi="Verdana"/>
          <w:sz w:val="20"/>
          <w:szCs w:val="20"/>
        </w:rPr>
        <w:t>las sentencias</w:t>
      </w:r>
      <w:r w:rsidR="00903E05" w:rsidRPr="00DB5049">
        <w:rPr>
          <w:rFonts w:ascii="Verdana" w:hAnsi="Verdana"/>
          <w:sz w:val="20"/>
          <w:szCs w:val="20"/>
        </w:rPr>
        <w:t xml:space="preserve"> interna</w:t>
      </w:r>
      <w:r w:rsidR="00D2143B" w:rsidRPr="00DB5049">
        <w:rPr>
          <w:rFonts w:ascii="Verdana" w:hAnsi="Verdana"/>
          <w:sz w:val="20"/>
          <w:szCs w:val="20"/>
        </w:rPr>
        <w:t>s</w:t>
      </w:r>
      <w:r w:rsidR="00903E05" w:rsidRPr="00DB5049">
        <w:rPr>
          <w:rFonts w:ascii="Verdana" w:hAnsi="Verdana"/>
          <w:sz w:val="20"/>
          <w:szCs w:val="20"/>
        </w:rPr>
        <w:t xml:space="preserve"> que tutela el derecho a la seguridad social</w:t>
      </w:r>
      <w:r w:rsidR="00903E05">
        <w:rPr>
          <w:rStyle w:val="Refdenotaalpie"/>
          <w:rFonts w:ascii="Verdana" w:hAnsi="Verdana"/>
          <w:sz w:val="20"/>
          <w:szCs w:val="20"/>
        </w:rPr>
        <w:footnoteReference w:id="23"/>
      </w:r>
      <w:r w:rsidR="00903E05" w:rsidRPr="00DB5049">
        <w:rPr>
          <w:rFonts w:ascii="Verdana" w:hAnsi="Verdana"/>
          <w:sz w:val="20"/>
          <w:szCs w:val="20"/>
        </w:rPr>
        <w:t xml:space="preserve">. </w:t>
      </w:r>
      <w:r w:rsidR="00CD3D86">
        <w:rPr>
          <w:rFonts w:ascii="Verdana" w:hAnsi="Verdana"/>
          <w:sz w:val="20"/>
          <w:szCs w:val="20"/>
        </w:rPr>
        <w:t>En ese sentido, en la Sentencia se en</w:t>
      </w:r>
      <w:r w:rsidR="009835D5">
        <w:rPr>
          <w:rFonts w:ascii="Verdana" w:hAnsi="Verdana"/>
          <w:sz w:val="20"/>
          <w:szCs w:val="20"/>
        </w:rPr>
        <w:t>f</w:t>
      </w:r>
      <w:r w:rsidR="00CD3D86">
        <w:rPr>
          <w:rFonts w:ascii="Verdana" w:hAnsi="Verdana"/>
          <w:sz w:val="20"/>
          <w:szCs w:val="20"/>
        </w:rPr>
        <w:t xml:space="preserve">atiza </w:t>
      </w:r>
      <w:r w:rsidR="00CD3D86" w:rsidRPr="00AD110B">
        <w:rPr>
          <w:rFonts w:ascii="Verdana" w:hAnsi="Verdana"/>
          <w:sz w:val="20"/>
          <w:szCs w:val="20"/>
          <w:lang w:val="es-ES" w:eastAsia="es-ES"/>
        </w:rPr>
        <w:t xml:space="preserve">que </w:t>
      </w:r>
      <w:r w:rsidR="00CD3D86">
        <w:rPr>
          <w:rFonts w:ascii="Verdana" w:hAnsi="Verdana"/>
          <w:sz w:val="20"/>
          <w:szCs w:val="20"/>
          <w:lang w:val="es-ES" w:eastAsia="es-ES"/>
        </w:rPr>
        <w:t>“</w:t>
      </w:r>
      <w:r w:rsidR="00CD3D86" w:rsidRPr="00AD110B">
        <w:rPr>
          <w:rFonts w:ascii="Verdana" w:hAnsi="Verdana"/>
          <w:sz w:val="20"/>
          <w:szCs w:val="20"/>
          <w:lang w:val="es-ES" w:eastAsia="es-ES"/>
        </w:rPr>
        <w:t>en un contexto de no pago de la pensión reconocida judicialmente, los derechos a la seguridad social</w:t>
      </w:r>
      <w:r w:rsidR="0087789C">
        <w:rPr>
          <w:rFonts w:ascii="Verdana" w:hAnsi="Verdana"/>
          <w:sz w:val="20"/>
          <w:szCs w:val="20"/>
          <w:lang w:val="es-ES" w:eastAsia="es-ES"/>
        </w:rPr>
        <w:t xml:space="preserve"> [art. 26 de la Convención Americana]</w:t>
      </w:r>
      <w:r w:rsidR="00CD3D86" w:rsidRPr="00AD110B">
        <w:rPr>
          <w:rFonts w:ascii="Verdana" w:hAnsi="Verdana"/>
          <w:sz w:val="20"/>
          <w:szCs w:val="20"/>
          <w:lang w:val="es-ES" w:eastAsia="es-ES"/>
        </w:rPr>
        <w:t>, a la integridad personal</w:t>
      </w:r>
      <w:r w:rsidR="00F71626">
        <w:rPr>
          <w:rFonts w:ascii="Verdana" w:hAnsi="Verdana"/>
          <w:sz w:val="20"/>
          <w:szCs w:val="20"/>
          <w:lang w:val="es-ES" w:eastAsia="es-ES"/>
        </w:rPr>
        <w:t xml:space="preserve"> [</w:t>
      </w:r>
      <w:r w:rsidR="00CD3D86">
        <w:rPr>
          <w:rFonts w:ascii="Verdana" w:hAnsi="Verdana"/>
          <w:sz w:val="20"/>
          <w:szCs w:val="20"/>
          <w:lang w:val="es-ES" w:eastAsia="es-ES"/>
        </w:rPr>
        <w:t>art. 5.1 de la Convención Americana</w:t>
      </w:r>
      <w:r w:rsidR="00F71626">
        <w:rPr>
          <w:rFonts w:ascii="Verdana" w:hAnsi="Verdana"/>
          <w:sz w:val="20"/>
          <w:szCs w:val="20"/>
          <w:lang w:val="es-ES" w:eastAsia="es-ES"/>
        </w:rPr>
        <w:t>]</w:t>
      </w:r>
      <w:r w:rsidR="00CD3D86">
        <w:rPr>
          <w:rFonts w:ascii="Verdana" w:hAnsi="Verdana"/>
          <w:sz w:val="20"/>
          <w:szCs w:val="20"/>
          <w:lang w:val="es-ES" w:eastAsia="es-ES"/>
        </w:rPr>
        <w:t xml:space="preserve"> </w:t>
      </w:r>
      <w:r w:rsidR="00CD3D86" w:rsidRPr="00AD110B">
        <w:rPr>
          <w:rFonts w:ascii="Verdana" w:hAnsi="Verdana"/>
          <w:sz w:val="20"/>
          <w:szCs w:val="20"/>
          <w:lang w:val="es-ES" w:eastAsia="es-ES"/>
        </w:rPr>
        <w:t xml:space="preserve">y la dignidad humana </w:t>
      </w:r>
      <w:r w:rsidR="00F71626">
        <w:rPr>
          <w:rFonts w:ascii="Verdana" w:hAnsi="Verdana"/>
          <w:sz w:val="20"/>
          <w:szCs w:val="20"/>
          <w:lang w:val="es-ES" w:eastAsia="es-ES"/>
        </w:rPr>
        <w:t>[art. 11.</w:t>
      </w:r>
      <w:r w:rsidR="00CD3D86">
        <w:rPr>
          <w:rFonts w:ascii="Verdana" w:hAnsi="Verdana"/>
          <w:sz w:val="20"/>
          <w:szCs w:val="20"/>
          <w:lang w:val="es-ES" w:eastAsia="es-ES"/>
        </w:rPr>
        <w:t>1 de la Convención Americana</w:t>
      </w:r>
      <w:r w:rsidR="00F71626">
        <w:rPr>
          <w:rFonts w:ascii="Verdana" w:hAnsi="Verdana"/>
          <w:sz w:val="20"/>
          <w:szCs w:val="20"/>
          <w:lang w:val="es-ES" w:eastAsia="es-ES"/>
        </w:rPr>
        <w:t>]</w:t>
      </w:r>
      <w:r w:rsidR="00CD3D86">
        <w:rPr>
          <w:rFonts w:ascii="Verdana" w:hAnsi="Verdana"/>
          <w:sz w:val="20"/>
          <w:szCs w:val="20"/>
          <w:lang w:val="es-ES" w:eastAsia="es-ES"/>
        </w:rPr>
        <w:t xml:space="preserve"> </w:t>
      </w:r>
      <w:r w:rsidR="00CD3D86" w:rsidRPr="00AD110B">
        <w:rPr>
          <w:rFonts w:ascii="Verdana" w:hAnsi="Verdana"/>
          <w:sz w:val="20"/>
          <w:szCs w:val="20"/>
          <w:lang w:val="es-ES" w:eastAsia="es-ES"/>
        </w:rPr>
        <w:t xml:space="preserve">se interrelacionan, y en ocasiones, la vulneración de uno genera directamente la afectación del otro, situación que se acentúa en el caso de las </w:t>
      </w:r>
      <w:r w:rsidR="00CD3D86" w:rsidRPr="00F71626">
        <w:rPr>
          <w:rFonts w:ascii="Verdana" w:hAnsi="Verdana"/>
          <w:i/>
          <w:sz w:val="20"/>
          <w:szCs w:val="20"/>
          <w:lang w:val="es-ES" w:eastAsia="es-ES"/>
        </w:rPr>
        <w:t>personas mayores</w:t>
      </w:r>
      <w:r w:rsidR="00CD3D86">
        <w:rPr>
          <w:rFonts w:ascii="Verdana" w:hAnsi="Verdana"/>
          <w:sz w:val="20"/>
          <w:szCs w:val="20"/>
          <w:lang w:val="es-ES" w:eastAsia="es-ES"/>
        </w:rPr>
        <w:t>”</w:t>
      </w:r>
      <w:r w:rsidR="00CD3D86" w:rsidRPr="00CD3D86">
        <w:rPr>
          <w:rStyle w:val="Refdenotaalpie"/>
          <w:rFonts w:ascii="Verdana" w:hAnsi="Verdana"/>
          <w:sz w:val="20"/>
          <w:szCs w:val="20"/>
        </w:rPr>
        <w:t xml:space="preserve"> </w:t>
      </w:r>
      <w:r w:rsidR="00CD3D86">
        <w:rPr>
          <w:rStyle w:val="Refdenotaalpie"/>
          <w:rFonts w:ascii="Verdana" w:hAnsi="Verdana"/>
          <w:sz w:val="20"/>
          <w:szCs w:val="20"/>
        </w:rPr>
        <w:footnoteReference w:id="24"/>
      </w:r>
      <w:r w:rsidR="00CD3D86" w:rsidRPr="00AD110B">
        <w:rPr>
          <w:rFonts w:ascii="Verdana" w:hAnsi="Verdana"/>
          <w:sz w:val="20"/>
          <w:szCs w:val="20"/>
          <w:lang w:val="es-ES" w:eastAsia="es-ES"/>
        </w:rPr>
        <w:t>.</w:t>
      </w:r>
    </w:p>
    <w:p w:rsidR="00CD3D86" w:rsidRDefault="00CD3D86" w:rsidP="00CD3D86">
      <w:pPr>
        <w:pStyle w:val="Prrafodelista"/>
      </w:pPr>
    </w:p>
    <w:p w:rsidR="00125265" w:rsidRPr="00125265" w:rsidRDefault="00E94B46" w:rsidP="00125265">
      <w:pPr>
        <w:pStyle w:val="Prrafodelista"/>
        <w:numPr>
          <w:ilvl w:val="0"/>
          <w:numId w:val="4"/>
        </w:numPr>
        <w:tabs>
          <w:tab w:val="left" w:pos="709"/>
          <w:tab w:val="left" w:pos="1464"/>
        </w:tabs>
        <w:ind w:left="0" w:firstLine="0"/>
        <w:jc w:val="both"/>
        <w:rPr>
          <w:rFonts w:ascii="Verdana" w:hAnsi="Verdana"/>
          <w:sz w:val="20"/>
          <w:szCs w:val="20"/>
          <w:lang w:val="es-CR"/>
        </w:rPr>
      </w:pPr>
      <w:r>
        <w:t xml:space="preserve">Sobre el particular, </w:t>
      </w:r>
      <w:r w:rsidR="00125265">
        <w:t>la Corte IDH en la Sentencia concluyó que</w:t>
      </w:r>
      <w:r w:rsidR="00CD3D86" w:rsidRPr="00125265">
        <w:t xml:space="preserve"> </w:t>
      </w:r>
      <w:r w:rsidR="00125265" w:rsidRPr="00125265">
        <w:rPr>
          <w:rFonts w:ascii="Verdana" w:hAnsi="Verdana"/>
          <w:iCs/>
          <w:sz w:val="20"/>
          <w:szCs w:val="20"/>
          <w:lang w:val="es-PE"/>
        </w:rPr>
        <w:t>“[</w:t>
      </w:r>
      <w:r w:rsidR="00125265" w:rsidRPr="00F71626">
        <w:rPr>
          <w:rFonts w:ascii="Verdana" w:hAnsi="Verdana"/>
          <w:iCs/>
          <w:sz w:val="20"/>
          <w:szCs w:val="20"/>
          <w:u w:val="single"/>
          <w:lang w:val="es-PE"/>
        </w:rPr>
        <w:t xml:space="preserve">l]a falta de materialización del derecho a la seguridad social por más de 27 años generó un grave perjuicio en la calidad de vida y la cobertura de salud del señor Muelle, </w:t>
      </w:r>
      <w:r w:rsidR="00125265" w:rsidRPr="00F71626">
        <w:rPr>
          <w:rFonts w:ascii="Verdana" w:hAnsi="Verdana"/>
          <w:i/>
          <w:iCs/>
          <w:sz w:val="20"/>
          <w:szCs w:val="20"/>
          <w:u w:val="single"/>
          <w:lang w:val="es-PE"/>
        </w:rPr>
        <w:t xml:space="preserve">una persona </w:t>
      </w:r>
      <w:r w:rsidR="00125265" w:rsidRPr="00F71626">
        <w:rPr>
          <w:rFonts w:ascii="Verdana" w:hAnsi="Verdana"/>
          <w:i/>
          <w:color w:val="000000"/>
          <w:sz w:val="20"/>
          <w:szCs w:val="20"/>
          <w:u w:val="single"/>
          <w:bdr w:val="none" w:sz="0" w:space="0" w:color="auto" w:frame="1"/>
          <w:lang w:val="es-CO"/>
        </w:rPr>
        <w:t>en situación de especial protección por ser una persona mayor con discapacidad</w:t>
      </w:r>
      <w:r w:rsidR="00125265" w:rsidRPr="00125265">
        <w:rPr>
          <w:rFonts w:ascii="Verdana" w:hAnsi="Verdana"/>
          <w:color w:val="000000"/>
          <w:sz w:val="20"/>
          <w:szCs w:val="20"/>
          <w:bdr w:val="none" w:sz="0" w:space="0" w:color="auto" w:frame="1"/>
          <w:lang w:val="es-CO"/>
        </w:rPr>
        <w:t xml:space="preserve">. </w:t>
      </w:r>
      <w:r w:rsidR="00125265" w:rsidRPr="00125265">
        <w:rPr>
          <w:rFonts w:ascii="Verdana" w:hAnsi="Verdana"/>
          <w:iCs/>
          <w:sz w:val="20"/>
          <w:szCs w:val="20"/>
          <w:lang w:val="es-PE"/>
        </w:rPr>
        <w:t xml:space="preserve">La vulneración generada por la falta </w:t>
      </w:r>
      <w:r w:rsidR="00125265" w:rsidRPr="00125265">
        <w:rPr>
          <w:rFonts w:ascii="Verdana" w:hAnsi="Verdana"/>
          <w:color w:val="000000"/>
          <w:sz w:val="20"/>
          <w:szCs w:val="20"/>
          <w:bdr w:val="none" w:sz="0" w:space="0" w:color="auto" w:frame="1"/>
          <w:lang w:val="es-CO"/>
        </w:rPr>
        <w:t>de pago de la pensión se extendió más allá del pl</w:t>
      </w:r>
      <w:r w:rsidR="00FB75CE">
        <w:rPr>
          <w:rFonts w:ascii="Verdana" w:hAnsi="Verdana"/>
          <w:color w:val="000000"/>
          <w:sz w:val="20"/>
          <w:szCs w:val="20"/>
          <w:bdr w:val="none" w:sz="0" w:space="0" w:color="auto" w:frame="1"/>
          <w:lang w:val="es-CO"/>
        </w:rPr>
        <w:t>azo razonable debido, y al ser e</w:t>
      </w:r>
      <w:r w:rsidR="00125265" w:rsidRPr="00125265">
        <w:rPr>
          <w:rFonts w:ascii="Verdana" w:hAnsi="Verdana"/>
          <w:color w:val="000000"/>
          <w:sz w:val="20"/>
          <w:szCs w:val="20"/>
          <w:bdr w:val="none" w:sz="0" w:space="0" w:color="auto" w:frame="1"/>
          <w:lang w:val="es-CO"/>
        </w:rPr>
        <w:t>ste el único ingreso de la víctima, la ausencia prolongada del pago generó indefectiblemente una precariedad económica que afectó la cobertura de sus necesidades básicas, y por ende también su integridad psicológica y moral, así como su dignidad”</w:t>
      </w:r>
      <w:r w:rsidR="00125265" w:rsidRPr="00125265">
        <w:rPr>
          <w:rStyle w:val="Refdenotaalpie"/>
          <w:rFonts w:ascii="Verdana" w:hAnsi="Verdana"/>
          <w:color w:val="000000"/>
          <w:sz w:val="20"/>
          <w:szCs w:val="20"/>
          <w:bdr w:val="none" w:sz="0" w:space="0" w:color="auto" w:frame="1"/>
          <w:lang w:val="es-CO"/>
        </w:rPr>
        <w:footnoteReference w:id="25"/>
      </w:r>
      <w:r w:rsidR="00125265" w:rsidRPr="00125265">
        <w:rPr>
          <w:rFonts w:ascii="Verdana" w:hAnsi="Verdana"/>
          <w:color w:val="000000"/>
          <w:sz w:val="20"/>
          <w:szCs w:val="20"/>
          <w:bdr w:val="none" w:sz="0" w:space="0" w:color="auto" w:frame="1"/>
          <w:lang w:val="es-CO"/>
        </w:rPr>
        <w:t>.</w:t>
      </w:r>
    </w:p>
    <w:p w:rsidR="001C7CD8" w:rsidRPr="00125265" w:rsidRDefault="001C7CD8" w:rsidP="00125265">
      <w:pPr>
        <w:rPr>
          <w:rFonts w:ascii="Verdana" w:hAnsi="Verdana"/>
          <w:sz w:val="20"/>
          <w:szCs w:val="20"/>
        </w:rPr>
      </w:pPr>
    </w:p>
    <w:p w:rsidR="00B623CB" w:rsidRDefault="00B623CB" w:rsidP="00592EBB">
      <w:pPr>
        <w:pStyle w:val="Prrafodelista"/>
        <w:numPr>
          <w:ilvl w:val="0"/>
          <w:numId w:val="4"/>
        </w:numPr>
        <w:ind w:left="0" w:firstLine="0"/>
        <w:jc w:val="both"/>
        <w:rPr>
          <w:rFonts w:ascii="Verdana" w:hAnsi="Verdana"/>
          <w:sz w:val="20"/>
          <w:szCs w:val="20"/>
        </w:rPr>
      </w:pPr>
      <w:r w:rsidRPr="00EE1872">
        <w:rPr>
          <w:rFonts w:ascii="Verdana" w:hAnsi="Verdana"/>
          <w:sz w:val="20"/>
          <w:szCs w:val="20"/>
        </w:rPr>
        <w:t xml:space="preserve">Teniendo en cuenta </w:t>
      </w:r>
      <w:r w:rsidR="00E94B46">
        <w:rPr>
          <w:rFonts w:ascii="Verdana" w:hAnsi="Verdana"/>
          <w:sz w:val="20"/>
          <w:szCs w:val="20"/>
        </w:rPr>
        <w:t xml:space="preserve">esta breve introducción, </w:t>
      </w:r>
      <w:r w:rsidRPr="00EE1872">
        <w:rPr>
          <w:rFonts w:ascii="Verdana" w:hAnsi="Verdana"/>
          <w:sz w:val="20"/>
          <w:szCs w:val="20"/>
        </w:rPr>
        <w:t xml:space="preserve">emito el presente voto </w:t>
      </w:r>
      <w:r w:rsidR="00E94B46">
        <w:rPr>
          <w:rFonts w:ascii="Verdana" w:hAnsi="Verdana"/>
          <w:sz w:val="20"/>
          <w:szCs w:val="20"/>
        </w:rPr>
        <w:t xml:space="preserve">para profundizar en </w:t>
      </w:r>
      <w:r w:rsidRPr="00EE1872">
        <w:rPr>
          <w:rFonts w:ascii="Verdana" w:hAnsi="Verdana"/>
          <w:sz w:val="20"/>
          <w:szCs w:val="20"/>
        </w:rPr>
        <w:t xml:space="preserve">algunos aspectos relevantes </w:t>
      </w:r>
      <w:r w:rsidR="00592EBB">
        <w:rPr>
          <w:rFonts w:ascii="Verdana" w:hAnsi="Verdana"/>
          <w:sz w:val="20"/>
          <w:szCs w:val="20"/>
        </w:rPr>
        <w:t>que surgen de esta Sentencia</w:t>
      </w:r>
      <w:r w:rsidR="00135484">
        <w:rPr>
          <w:rFonts w:ascii="Verdana" w:hAnsi="Verdana"/>
          <w:sz w:val="20"/>
          <w:szCs w:val="20"/>
        </w:rPr>
        <w:t xml:space="preserve"> para el futuro del Sistema Interamericano</w:t>
      </w:r>
      <w:r w:rsidR="00592EBB">
        <w:rPr>
          <w:rFonts w:ascii="Verdana" w:hAnsi="Verdana"/>
          <w:sz w:val="20"/>
          <w:szCs w:val="20"/>
        </w:rPr>
        <w:t xml:space="preserve">: I. El derecho a la seguridad </w:t>
      </w:r>
      <w:r w:rsidR="009825BF">
        <w:rPr>
          <w:rFonts w:ascii="Verdana" w:hAnsi="Verdana"/>
          <w:sz w:val="20"/>
          <w:szCs w:val="20"/>
        </w:rPr>
        <w:t xml:space="preserve">social </w:t>
      </w:r>
      <w:r w:rsidR="00592EBB">
        <w:rPr>
          <w:rFonts w:ascii="Verdana" w:hAnsi="Verdana"/>
          <w:sz w:val="20"/>
          <w:szCs w:val="20"/>
        </w:rPr>
        <w:t xml:space="preserve">como derecho autónomo y su importancia para el derecho internacional </w:t>
      </w:r>
      <w:r w:rsidRPr="00EE1872">
        <w:rPr>
          <w:rFonts w:ascii="Verdana" w:hAnsi="Verdana"/>
          <w:sz w:val="20"/>
          <w:szCs w:val="20"/>
        </w:rPr>
        <w:t>(</w:t>
      </w:r>
      <w:proofErr w:type="spellStart"/>
      <w:r w:rsidRPr="00DE7D46">
        <w:rPr>
          <w:rFonts w:ascii="Verdana" w:hAnsi="Verdana"/>
          <w:i/>
          <w:sz w:val="20"/>
          <w:szCs w:val="20"/>
          <w:u w:val="single"/>
        </w:rPr>
        <w:t>párrs</w:t>
      </w:r>
      <w:proofErr w:type="spellEnd"/>
      <w:r w:rsidR="008A6511" w:rsidRPr="00DE7D46">
        <w:rPr>
          <w:rFonts w:ascii="Verdana" w:hAnsi="Verdana"/>
          <w:sz w:val="20"/>
          <w:szCs w:val="20"/>
          <w:u w:val="single"/>
        </w:rPr>
        <w:t>. 12</w:t>
      </w:r>
      <w:r w:rsidRPr="00DE7D46">
        <w:rPr>
          <w:rFonts w:ascii="Verdana" w:hAnsi="Verdana"/>
          <w:sz w:val="20"/>
          <w:szCs w:val="20"/>
          <w:u w:val="single"/>
        </w:rPr>
        <w:t>-</w:t>
      </w:r>
      <w:r w:rsidR="00F43873" w:rsidRPr="00DE7D46">
        <w:rPr>
          <w:rFonts w:ascii="Verdana" w:hAnsi="Verdana"/>
          <w:sz w:val="20"/>
          <w:szCs w:val="20"/>
          <w:u w:val="single"/>
        </w:rPr>
        <w:t>3</w:t>
      </w:r>
      <w:r w:rsidR="00C85629" w:rsidRPr="00DE7D46">
        <w:rPr>
          <w:rFonts w:ascii="Verdana" w:hAnsi="Verdana"/>
          <w:sz w:val="20"/>
          <w:szCs w:val="20"/>
          <w:u w:val="single"/>
        </w:rPr>
        <w:t>5</w:t>
      </w:r>
      <w:r>
        <w:rPr>
          <w:rFonts w:ascii="Verdana" w:hAnsi="Verdana"/>
          <w:sz w:val="20"/>
          <w:szCs w:val="20"/>
        </w:rPr>
        <w:t>)</w:t>
      </w:r>
      <w:r w:rsidR="00592EBB">
        <w:rPr>
          <w:rFonts w:ascii="Verdana" w:hAnsi="Verdana"/>
          <w:sz w:val="20"/>
          <w:szCs w:val="20"/>
        </w:rPr>
        <w:t>.</w:t>
      </w:r>
      <w:r w:rsidRPr="00EE1872">
        <w:rPr>
          <w:rFonts w:ascii="Verdana" w:hAnsi="Verdana"/>
          <w:sz w:val="20"/>
          <w:szCs w:val="20"/>
        </w:rPr>
        <w:t xml:space="preserve"> </w:t>
      </w:r>
      <w:r w:rsidRPr="00F23919">
        <w:rPr>
          <w:rFonts w:ascii="Verdana" w:hAnsi="Verdana"/>
          <w:sz w:val="20"/>
          <w:szCs w:val="20"/>
        </w:rPr>
        <w:t>II</w:t>
      </w:r>
      <w:r w:rsidR="00592EBB">
        <w:rPr>
          <w:rFonts w:ascii="Verdana" w:hAnsi="Verdana"/>
          <w:sz w:val="20"/>
          <w:szCs w:val="20"/>
        </w:rPr>
        <w:t>.</w:t>
      </w:r>
      <w:r w:rsidRPr="00EE1872">
        <w:rPr>
          <w:rFonts w:ascii="Verdana" w:hAnsi="Verdana"/>
          <w:b/>
          <w:sz w:val="20"/>
          <w:szCs w:val="20"/>
        </w:rPr>
        <w:t xml:space="preserve"> </w:t>
      </w:r>
      <w:r w:rsidR="009825BF">
        <w:rPr>
          <w:rFonts w:ascii="Verdana" w:hAnsi="Verdana"/>
          <w:sz w:val="20"/>
          <w:szCs w:val="20"/>
        </w:rPr>
        <w:t>La falta de ejecució</w:t>
      </w:r>
      <w:r w:rsidR="00261B73">
        <w:rPr>
          <w:rFonts w:ascii="Verdana" w:hAnsi="Verdana"/>
          <w:sz w:val="20"/>
          <w:szCs w:val="20"/>
        </w:rPr>
        <w:t>n</w:t>
      </w:r>
      <w:r w:rsidR="00592EBB">
        <w:rPr>
          <w:rFonts w:ascii="Verdana" w:hAnsi="Verdana"/>
          <w:sz w:val="20"/>
          <w:szCs w:val="20"/>
        </w:rPr>
        <w:t xml:space="preserve"> de sentencias sobre derechos sociales y su impacto en las personas mayores</w:t>
      </w:r>
      <w:r w:rsidR="00792F5C">
        <w:rPr>
          <w:rFonts w:ascii="Verdana" w:hAnsi="Verdana"/>
          <w:sz w:val="20"/>
          <w:szCs w:val="20"/>
        </w:rPr>
        <w:t xml:space="preserve"> </w:t>
      </w:r>
      <w:r w:rsidRPr="00DE7D46">
        <w:rPr>
          <w:rFonts w:ascii="Verdana" w:hAnsi="Verdana"/>
          <w:sz w:val="20"/>
          <w:szCs w:val="20"/>
        </w:rPr>
        <w:t>(</w:t>
      </w:r>
      <w:proofErr w:type="spellStart"/>
      <w:r w:rsidRPr="00DE7D46">
        <w:rPr>
          <w:rFonts w:ascii="Verdana" w:hAnsi="Verdana"/>
          <w:i/>
          <w:sz w:val="20"/>
          <w:szCs w:val="20"/>
          <w:u w:val="single"/>
        </w:rPr>
        <w:t>párrs</w:t>
      </w:r>
      <w:proofErr w:type="spellEnd"/>
      <w:r w:rsidR="00C85629" w:rsidRPr="00DE7D46">
        <w:rPr>
          <w:rFonts w:ascii="Verdana" w:hAnsi="Verdana"/>
          <w:sz w:val="20"/>
          <w:szCs w:val="20"/>
          <w:u w:val="single"/>
        </w:rPr>
        <w:t>. 36</w:t>
      </w:r>
      <w:r w:rsidRPr="00DE7D46">
        <w:rPr>
          <w:rFonts w:ascii="Verdana" w:hAnsi="Verdana"/>
          <w:sz w:val="20"/>
          <w:szCs w:val="20"/>
          <w:u w:val="single"/>
        </w:rPr>
        <w:t>-</w:t>
      </w:r>
      <w:r w:rsidR="003F4C57" w:rsidRPr="00DE7D46">
        <w:rPr>
          <w:rFonts w:ascii="Verdana" w:hAnsi="Verdana"/>
          <w:sz w:val="20"/>
          <w:szCs w:val="20"/>
          <w:u w:val="single"/>
        </w:rPr>
        <w:t>5</w:t>
      </w:r>
      <w:r w:rsidR="00C85629" w:rsidRPr="00DE7D46">
        <w:rPr>
          <w:rFonts w:ascii="Verdana" w:hAnsi="Verdana"/>
          <w:sz w:val="20"/>
          <w:szCs w:val="20"/>
          <w:u w:val="single"/>
        </w:rPr>
        <w:t>7</w:t>
      </w:r>
      <w:r w:rsidR="00F47861" w:rsidRPr="00DE7D46">
        <w:rPr>
          <w:rFonts w:ascii="Verdana" w:hAnsi="Verdana"/>
          <w:sz w:val="20"/>
          <w:szCs w:val="20"/>
        </w:rPr>
        <w:t>)</w:t>
      </w:r>
      <w:r w:rsidR="00F47861">
        <w:rPr>
          <w:rFonts w:ascii="Verdana" w:hAnsi="Verdana"/>
          <w:sz w:val="20"/>
          <w:szCs w:val="20"/>
        </w:rPr>
        <w:t>;</w:t>
      </w:r>
      <w:r w:rsidRPr="00592EBB">
        <w:rPr>
          <w:rFonts w:ascii="Verdana" w:hAnsi="Verdana"/>
          <w:sz w:val="20"/>
          <w:szCs w:val="20"/>
        </w:rPr>
        <w:t xml:space="preserve"> </w:t>
      </w:r>
      <w:r w:rsidR="00A610E7">
        <w:rPr>
          <w:rFonts w:ascii="Verdana" w:hAnsi="Verdana"/>
          <w:sz w:val="20"/>
          <w:szCs w:val="20"/>
        </w:rPr>
        <w:t xml:space="preserve">y </w:t>
      </w:r>
      <w:r w:rsidR="00F47861">
        <w:rPr>
          <w:rFonts w:ascii="Verdana" w:hAnsi="Verdana"/>
          <w:sz w:val="20"/>
          <w:szCs w:val="20"/>
        </w:rPr>
        <w:t>I</w:t>
      </w:r>
      <w:r w:rsidR="00135484">
        <w:rPr>
          <w:rFonts w:ascii="Verdana" w:hAnsi="Verdana"/>
          <w:sz w:val="20"/>
          <w:szCs w:val="20"/>
        </w:rPr>
        <w:t>II</w:t>
      </w:r>
      <w:r w:rsidR="00F47861">
        <w:rPr>
          <w:rFonts w:ascii="Verdana" w:hAnsi="Verdana"/>
          <w:sz w:val="20"/>
          <w:szCs w:val="20"/>
        </w:rPr>
        <w:t xml:space="preserve">. La importancia del </w:t>
      </w:r>
      <w:r w:rsidR="00F47861" w:rsidRPr="00135484">
        <w:rPr>
          <w:rFonts w:ascii="Verdana" w:hAnsi="Verdana"/>
          <w:i/>
          <w:sz w:val="20"/>
          <w:szCs w:val="20"/>
        </w:rPr>
        <w:t>Caso Muelle Flores</w:t>
      </w:r>
      <w:r w:rsidR="00F47861">
        <w:rPr>
          <w:rFonts w:ascii="Verdana" w:hAnsi="Verdana"/>
          <w:sz w:val="20"/>
          <w:szCs w:val="20"/>
        </w:rPr>
        <w:t xml:space="preserve"> para la </w:t>
      </w:r>
      <w:r w:rsidR="00296227">
        <w:rPr>
          <w:rFonts w:ascii="Verdana" w:hAnsi="Verdana"/>
          <w:sz w:val="20"/>
          <w:szCs w:val="20"/>
        </w:rPr>
        <w:t>jurisprudencia interamericana: l</w:t>
      </w:r>
      <w:r w:rsidR="00F47861">
        <w:rPr>
          <w:rFonts w:ascii="Verdana" w:hAnsi="Verdana"/>
          <w:sz w:val="20"/>
          <w:szCs w:val="20"/>
        </w:rPr>
        <w:t xml:space="preserve">a obligación de </w:t>
      </w:r>
      <w:r w:rsidR="00FC6342">
        <w:rPr>
          <w:rFonts w:ascii="Verdana" w:hAnsi="Verdana"/>
          <w:sz w:val="20"/>
          <w:szCs w:val="20"/>
        </w:rPr>
        <w:t>“</w:t>
      </w:r>
      <w:r w:rsidR="00F47861">
        <w:rPr>
          <w:rFonts w:ascii="Verdana" w:hAnsi="Verdana"/>
          <w:sz w:val="20"/>
          <w:szCs w:val="20"/>
        </w:rPr>
        <w:t>debida diligencia excepcional</w:t>
      </w:r>
      <w:r w:rsidR="00FC6342">
        <w:rPr>
          <w:rFonts w:ascii="Verdana" w:hAnsi="Verdana"/>
          <w:sz w:val="20"/>
          <w:szCs w:val="20"/>
        </w:rPr>
        <w:t>”</w:t>
      </w:r>
      <w:r w:rsidR="00F47861">
        <w:rPr>
          <w:rFonts w:ascii="Verdana" w:hAnsi="Verdana"/>
          <w:sz w:val="20"/>
          <w:szCs w:val="20"/>
        </w:rPr>
        <w:t xml:space="preserve"> </w:t>
      </w:r>
      <w:r w:rsidR="00DE7D46">
        <w:rPr>
          <w:rFonts w:ascii="Verdana" w:hAnsi="Verdana"/>
          <w:sz w:val="20"/>
          <w:szCs w:val="20"/>
        </w:rPr>
        <w:t>(</w:t>
      </w:r>
      <w:proofErr w:type="spellStart"/>
      <w:r w:rsidR="00F47861" w:rsidRPr="00DE7D46">
        <w:rPr>
          <w:rFonts w:ascii="Verdana" w:hAnsi="Verdana"/>
          <w:i/>
          <w:sz w:val="20"/>
          <w:szCs w:val="20"/>
          <w:u w:val="single"/>
        </w:rPr>
        <w:t>párrs</w:t>
      </w:r>
      <w:proofErr w:type="spellEnd"/>
      <w:r w:rsidR="00F47861" w:rsidRPr="00DE7D46">
        <w:rPr>
          <w:rFonts w:ascii="Verdana" w:hAnsi="Verdana"/>
          <w:i/>
          <w:sz w:val="20"/>
          <w:szCs w:val="20"/>
          <w:u w:val="single"/>
        </w:rPr>
        <w:t xml:space="preserve">. </w:t>
      </w:r>
      <w:r w:rsidR="00C85629" w:rsidRPr="00DE7D46">
        <w:rPr>
          <w:rFonts w:ascii="Verdana" w:hAnsi="Verdana"/>
          <w:sz w:val="20"/>
          <w:szCs w:val="20"/>
          <w:u w:val="single"/>
        </w:rPr>
        <w:t>58</w:t>
      </w:r>
      <w:r w:rsidR="00F47861" w:rsidRPr="00DE7D46">
        <w:rPr>
          <w:rFonts w:ascii="Verdana" w:hAnsi="Verdana"/>
          <w:sz w:val="20"/>
          <w:szCs w:val="20"/>
          <w:u w:val="single"/>
        </w:rPr>
        <w:t>-</w:t>
      </w:r>
      <w:r w:rsidR="00EF53D8" w:rsidRPr="00DE7D46">
        <w:rPr>
          <w:rFonts w:ascii="Verdana" w:hAnsi="Verdana"/>
          <w:sz w:val="20"/>
          <w:szCs w:val="20"/>
          <w:u w:val="single"/>
        </w:rPr>
        <w:t>6</w:t>
      </w:r>
      <w:r w:rsidR="00156126">
        <w:rPr>
          <w:rFonts w:ascii="Verdana" w:hAnsi="Verdana"/>
          <w:sz w:val="20"/>
          <w:szCs w:val="20"/>
          <w:u w:val="single"/>
        </w:rPr>
        <w:t>8</w:t>
      </w:r>
      <w:r w:rsidR="00EF53D8" w:rsidRPr="00DE7D46">
        <w:rPr>
          <w:rFonts w:ascii="Verdana" w:hAnsi="Verdana"/>
          <w:sz w:val="20"/>
          <w:szCs w:val="20"/>
        </w:rPr>
        <w:t>)</w:t>
      </w:r>
      <w:r w:rsidR="00A610E7" w:rsidRPr="00DE7D46">
        <w:rPr>
          <w:rFonts w:ascii="Verdana" w:hAnsi="Verdana"/>
          <w:sz w:val="20"/>
          <w:szCs w:val="20"/>
        </w:rPr>
        <w:t>.</w:t>
      </w:r>
    </w:p>
    <w:p w:rsidR="00F47861" w:rsidRPr="00F47861" w:rsidRDefault="00F47861" w:rsidP="00F47861">
      <w:pPr>
        <w:rPr>
          <w:lang w:val="es-ES"/>
        </w:rPr>
      </w:pPr>
    </w:p>
    <w:p w:rsidR="00592EBB" w:rsidRDefault="00592EBB" w:rsidP="00592EBB">
      <w:pPr>
        <w:pStyle w:val="Ttulo1"/>
        <w:spacing w:before="0" w:line="360" w:lineRule="auto"/>
        <w:jc w:val="center"/>
        <w:rPr>
          <w:rFonts w:ascii="Verdana" w:hAnsi="Verdana"/>
          <w:b w:val="0"/>
          <w:color w:val="auto"/>
          <w:sz w:val="20"/>
          <w:szCs w:val="20"/>
          <w:lang w:val="es-ES"/>
        </w:rPr>
      </w:pPr>
      <w:r w:rsidRPr="00592EBB">
        <w:rPr>
          <w:rFonts w:ascii="Verdana" w:hAnsi="Verdana"/>
          <w:b w:val="0"/>
          <w:color w:val="auto"/>
          <w:sz w:val="20"/>
          <w:szCs w:val="20"/>
          <w:lang w:val="es-ES"/>
        </w:rPr>
        <w:t>II.</w:t>
      </w:r>
      <w:r w:rsidR="00B623CB" w:rsidRPr="00592EBB">
        <w:rPr>
          <w:rFonts w:ascii="Verdana" w:hAnsi="Verdana"/>
          <w:b w:val="0"/>
          <w:color w:val="auto"/>
          <w:sz w:val="20"/>
          <w:szCs w:val="20"/>
          <w:lang w:val="es-ES"/>
        </w:rPr>
        <w:t xml:space="preserve"> EL DERECHO A LA SEGURIDAD SOCIAL COMO DERECHO AUTÓNOMO </w:t>
      </w:r>
    </w:p>
    <w:p w:rsidR="00B623CB" w:rsidRPr="00592EBB" w:rsidRDefault="00B623CB" w:rsidP="00592EBB">
      <w:pPr>
        <w:pStyle w:val="Ttulo1"/>
        <w:spacing w:before="0" w:line="360" w:lineRule="auto"/>
        <w:jc w:val="center"/>
        <w:rPr>
          <w:rFonts w:ascii="Verdana" w:hAnsi="Verdana"/>
          <w:b w:val="0"/>
          <w:color w:val="auto"/>
          <w:sz w:val="20"/>
          <w:szCs w:val="20"/>
          <w:lang w:val="es-ES"/>
        </w:rPr>
      </w:pPr>
      <w:r w:rsidRPr="00592EBB">
        <w:rPr>
          <w:rFonts w:ascii="Verdana" w:hAnsi="Verdana"/>
          <w:b w:val="0"/>
          <w:color w:val="auto"/>
          <w:sz w:val="20"/>
          <w:szCs w:val="20"/>
          <w:lang w:val="es-ES"/>
        </w:rPr>
        <w:t>Y SU IMPORTANCIA PARA EL DERECHO INTERNACIONAL</w:t>
      </w:r>
    </w:p>
    <w:p w:rsidR="00FF7D7B" w:rsidRPr="00C3119B" w:rsidRDefault="00FF7D7B" w:rsidP="00DD2F96">
      <w:pPr>
        <w:jc w:val="both"/>
        <w:rPr>
          <w:rFonts w:ascii="Verdana" w:hAnsi="Verdana"/>
          <w:sz w:val="20"/>
          <w:szCs w:val="20"/>
          <w:lang w:val="es-ES"/>
        </w:rPr>
      </w:pPr>
    </w:p>
    <w:p w:rsidR="00B623CB" w:rsidRPr="00035896" w:rsidRDefault="00035896" w:rsidP="00035896">
      <w:pPr>
        <w:jc w:val="both"/>
        <w:outlineLvl w:val="1"/>
        <w:rPr>
          <w:rFonts w:ascii="Verdana" w:hAnsi="Verdana"/>
          <w:i/>
          <w:sz w:val="20"/>
          <w:szCs w:val="20"/>
          <w:lang w:val="es-ES"/>
        </w:rPr>
      </w:pPr>
      <w:r w:rsidRPr="00035896">
        <w:rPr>
          <w:rFonts w:ascii="Verdana" w:hAnsi="Verdana"/>
          <w:i/>
          <w:sz w:val="20"/>
          <w:szCs w:val="20"/>
          <w:lang w:val="es-ES"/>
        </w:rPr>
        <w:t>a</w:t>
      </w:r>
      <w:r>
        <w:rPr>
          <w:rFonts w:ascii="Verdana" w:hAnsi="Verdana"/>
          <w:i/>
          <w:sz w:val="20"/>
          <w:szCs w:val="20"/>
          <w:lang w:val="es-ES"/>
        </w:rPr>
        <w:t>)</w:t>
      </w:r>
      <w:r w:rsidR="00792F5C">
        <w:rPr>
          <w:rFonts w:ascii="Verdana" w:hAnsi="Verdana"/>
          <w:i/>
          <w:sz w:val="20"/>
          <w:szCs w:val="20"/>
          <w:lang w:val="es-ES"/>
        </w:rPr>
        <w:t xml:space="preserve"> </w:t>
      </w:r>
      <w:r>
        <w:rPr>
          <w:rFonts w:ascii="Verdana" w:hAnsi="Verdana"/>
          <w:i/>
          <w:sz w:val="20"/>
          <w:szCs w:val="20"/>
          <w:lang w:val="es-ES"/>
        </w:rPr>
        <w:t xml:space="preserve"> </w:t>
      </w:r>
      <w:r w:rsidR="005F6956" w:rsidRPr="00035896">
        <w:rPr>
          <w:rFonts w:ascii="Verdana" w:hAnsi="Verdana"/>
          <w:i/>
          <w:sz w:val="20"/>
          <w:szCs w:val="20"/>
          <w:lang w:val="es-ES"/>
        </w:rPr>
        <w:t>Sistema Universal</w:t>
      </w:r>
      <w:r w:rsidR="00B623CB" w:rsidRPr="00035896">
        <w:rPr>
          <w:rFonts w:ascii="Verdana" w:hAnsi="Verdana"/>
          <w:i/>
          <w:sz w:val="20"/>
          <w:szCs w:val="20"/>
          <w:lang w:val="es-ES"/>
        </w:rPr>
        <w:tab/>
      </w:r>
    </w:p>
    <w:p w:rsidR="00B623CB" w:rsidRPr="00B623CB" w:rsidRDefault="00B623CB" w:rsidP="00DD2F96">
      <w:pPr>
        <w:pStyle w:val="Prrafodelista"/>
        <w:ind w:left="360"/>
        <w:jc w:val="both"/>
        <w:rPr>
          <w:rFonts w:ascii="Verdana" w:hAnsi="Verdana"/>
          <w:sz w:val="20"/>
          <w:szCs w:val="20"/>
          <w:lang w:val="es-ES"/>
        </w:rPr>
      </w:pPr>
    </w:p>
    <w:p w:rsidR="00C66CBD" w:rsidRPr="00FC6342" w:rsidRDefault="00DD2F96" w:rsidP="00DD2F96">
      <w:pPr>
        <w:pStyle w:val="Prrafodelista"/>
        <w:numPr>
          <w:ilvl w:val="0"/>
          <w:numId w:val="4"/>
        </w:numPr>
        <w:ind w:left="0" w:firstLine="0"/>
        <w:jc w:val="both"/>
        <w:rPr>
          <w:rFonts w:ascii="Verdana" w:hAnsi="Verdana"/>
          <w:b/>
          <w:sz w:val="20"/>
          <w:szCs w:val="20"/>
        </w:rPr>
      </w:pPr>
      <w:r>
        <w:rPr>
          <w:rFonts w:ascii="Verdana" w:hAnsi="Verdana"/>
          <w:sz w:val="20"/>
          <w:szCs w:val="20"/>
        </w:rPr>
        <w:lastRenderedPageBreak/>
        <w:t>E</w:t>
      </w:r>
      <w:r w:rsidR="00B623CB">
        <w:rPr>
          <w:rFonts w:ascii="Verdana" w:hAnsi="Verdana"/>
          <w:sz w:val="20"/>
          <w:szCs w:val="20"/>
        </w:rPr>
        <w:t>l derecho a la seguridad social fue contemplado en el Sistema Universal de Derechos Humanos</w:t>
      </w:r>
      <w:r w:rsidR="00DE7D46">
        <w:rPr>
          <w:rFonts w:ascii="Verdana" w:hAnsi="Verdana"/>
          <w:sz w:val="20"/>
          <w:szCs w:val="20"/>
        </w:rPr>
        <w:t>,</w:t>
      </w:r>
      <w:r w:rsidR="00B623CB">
        <w:rPr>
          <w:rFonts w:ascii="Verdana" w:hAnsi="Verdana"/>
          <w:sz w:val="20"/>
          <w:szCs w:val="20"/>
        </w:rPr>
        <w:t xml:space="preserve"> en la Declaración Universal de los Der</w:t>
      </w:r>
      <w:r>
        <w:rPr>
          <w:rFonts w:ascii="Verdana" w:hAnsi="Verdana"/>
          <w:sz w:val="20"/>
          <w:szCs w:val="20"/>
        </w:rPr>
        <w:t>echos Humanos en el artículo 22</w:t>
      </w:r>
      <w:r>
        <w:rPr>
          <w:rStyle w:val="Refdenotaalpie"/>
          <w:rFonts w:ascii="Verdana" w:hAnsi="Verdana"/>
          <w:sz w:val="20"/>
          <w:szCs w:val="20"/>
        </w:rPr>
        <w:footnoteReference w:id="26"/>
      </w:r>
      <w:r w:rsidR="007F2038">
        <w:rPr>
          <w:rFonts w:ascii="Verdana" w:hAnsi="Verdana"/>
          <w:sz w:val="20"/>
          <w:szCs w:val="20"/>
        </w:rPr>
        <w:t xml:space="preserve">. Sin embargo, </w:t>
      </w:r>
      <w:r w:rsidR="00B623CB">
        <w:rPr>
          <w:rFonts w:ascii="Verdana" w:hAnsi="Verdana"/>
          <w:sz w:val="20"/>
          <w:szCs w:val="20"/>
        </w:rPr>
        <w:t xml:space="preserve">la mayor especificidad de este derecho se dio en 1966 en el Pacto Internacional de Derechos Económicos, Sociales </w:t>
      </w:r>
      <w:r w:rsidR="00062CE9">
        <w:rPr>
          <w:rFonts w:ascii="Verdana" w:hAnsi="Verdana"/>
          <w:sz w:val="20"/>
          <w:szCs w:val="20"/>
        </w:rPr>
        <w:t>y Culturales</w:t>
      </w:r>
      <w:r w:rsidR="007F2038">
        <w:rPr>
          <w:rFonts w:ascii="Verdana" w:hAnsi="Verdana"/>
          <w:sz w:val="20"/>
          <w:szCs w:val="20"/>
        </w:rPr>
        <w:t xml:space="preserve">. En el </w:t>
      </w:r>
      <w:r w:rsidR="00062CE9">
        <w:rPr>
          <w:rFonts w:ascii="Verdana" w:hAnsi="Verdana"/>
          <w:sz w:val="20"/>
          <w:szCs w:val="20"/>
        </w:rPr>
        <w:t xml:space="preserve">artículo </w:t>
      </w:r>
      <w:r w:rsidR="00B623CB">
        <w:rPr>
          <w:rFonts w:ascii="Verdana" w:hAnsi="Verdana"/>
          <w:sz w:val="20"/>
          <w:szCs w:val="20"/>
        </w:rPr>
        <w:t>9</w:t>
      </w:r>
      <w:r w:rsidR="007F2038">
        <w:rPr>
          <w:rFonts w:ascii="Verdana" w:hAnsi="Verdana"/>
          <w:sz w:val="20"/>
          <w:szCs w:val="20"/>
        </w:rPr>
        <w:t xml:space="preserve"> de dicho tratado</w:t>
      </w:r>
      <w:r w:rsidR="002A75FB">
        <w:rPr>
          <w:rFonts w:ascii="Verdana" w:hAnsi="Verdana"/>
          <w:sz w:val="20"/>
          <w:szCs w:val="20"/>
        </w:rPr>
        <w:t>,</w:t>
      </w:r>
      <w:r w:rsidR="00B623CB">
        <w:rPr>
          <w:rFonts w:ascii="Verdana" w:hAnsi="Verdana"/>
          <w:sz w:val="20"/>
          <w:szCs w:val="20"/>
        </w:rPr>
        <w:t xml:space="preserve"> </w:t>
      </w:r>
      <w:r w:rsidR="007F2038">
        <w:rPr>
          <w:rFonts w:ascii="Verdana" w:hAnsi="Verdana"/>
          <w:sz w:val="20"/>
          <w:szCs w:val="20"/>
        </w:rPr>
        <w:t>se establece que</w:t>
      </w:r>
      <w:r w:rsidR="00B623CB">
        <w:rPr>
          <w:rFonts w:ascii="Verdana" w:hAnsi="Verdana"/>
          <w:sz w:val="20"/>
          <w:szCs w:val="20"/>
        </w:rPr>
        <w:t xml:space="preserve"> </w:t>
      </w:r>
      <w:r w:rsidR="00B623CB" w:rsidRPr="00FC6342">
        <w:rPr>
          <w:rFonts w:ascii="Verdana" w:hAnsi="Verdana"/>
          <w:sz w:val="20"/>
          <w:szCs w:val="20"/>
        </w:rPr>
        <w:t>“</w:t>
      </w:r>
      <w:r w:rsidR="00062CE9" w:rsidRPr="00FC6342">
        <w:rPr>
          <w:rFonts w:ascii="Verdana" w:hAnsi="Verdana"/>
          <w:color w:val="000000"/>
          <w:sz w:val="20"/>
          <w:szCs w:val="20"/>
          <w:shd w:val="clear" w:color="auto" w:fill="FFFFFF"/>
        </w:rPr>
        <w:t xml:space="preserve">[l]os Estados Partes en el presente Pacto reconocen el derecho de toda persona a la seguridad social, incluso al seguro social”. </w:t>
      </w:r>
      <w:r w:rsidR="001B1C5F" w:rsidRPr="00FC6342">
        <w:rPr>
          <w:rFonts w:ascii="Verdana" w:hAnsi="Verdana"/>
          <w:color w:val="000000"/>
          <w:sz w:val="20"/>
          <w:szCs w:val="20"/>
          <w:shd w:val="clear" w:color="auto" w:fill="FFFFFF"/>
        </w:rPr>
        <w:t xml:space="preserve">Particularmente, el Comité </w:t>
      </w:r>
      <w:r w:rsidR="004E7E49">
        <w:rPr>
          <w:rFonts w:ascii="Verdana" w:hAnsi="Verdana"/>
          <w:color w:val="000000"/>
          <w:sz w:val="20"/>
          <w:szCs w:val="20"/>
          <w:shd w:val="clear" w:color="auto" w:fill="FFFFFF"/>
        </w:rPr>
        <w:t>DESC,</w:t>
      </w:r>
      <w:r w:rsidR="001B1C5F" w:rsidRPr="00FC6342">
        <w:rPr>
          <w:rFonts w:ascii="Verdana" w:hAnsi="Verdana"/>
          <w:color w:val="000000"/>
          <w:sz w:val="20"/>
          <w:szCs w:val="20"/>
          <w:shd w:val="clear" w:color="auto" w:fill="FFFFFF"/>
        </w:rPr>
        <w:t xml:space="preserve"> en su Observación General No. 19, sobre el derecho a la seguridad social, ha desarrollad</w:t>
      </w:r>
      <w:r w:rsidRPr="00FC6342">
        <w:rPr>
          <w:rFonts w:ascii="Verdana" w:hAnsi="Verdana"/>
          <w:color w:val="000000"/>
          <w:sz w:val="20"/>
          <w:szCs w:val="20"/>
          <w:shd w:val="clear" w:color="auto" w:fill="FFFFFF"/>
        </w:rPr>
        <w:t>o el contenido de dicho derecho</w:t>
      </w:r>
      <w:r w:rsidRPr="00FC6342">
        <w:rPr>
          <w:rStyle w:val="Refdenotaalpie"/>
          <w:rFonts w:ascii="Verdana" w:hAnsi="Verdana"/>
          <w:color w:val="000000"/>
          <w:sz w:val="20"/>
          <w:szCs w:val="20"/>
          <w:shd w:val="clear" w:color="auto" w:fill="FFFFFF"/>
        </w:rPr>
        <w:footnoteReference w:id="27"/>
      </w:r>
      <w:r w:rsidRPr="00FC6342">
        <w:rPr>
          <w:rFonts w:ascii="Verdana" w:hAnsi="Verdana"/>
          <w:color w:val="000000"/>
          <w:sz w:val="20"/>
          <w:szCs w:val="20"/>
          <w:shd w:val="clear" w:color="auto" w:fill="FFFFFF"/>
        </w:rPr>
        <w:t>.</w:t>
      </w:r>
      <w:r w:rsidR="00792F5C">
        <w:rPr>
          <w:rFonts w:ascii="Verdana" w:hAnsi="Verdana"/>
          <w:color w:val="000000"/>
          <w:sz w:val="20"/>
          <w:szCs w:val="20"/>
          <w:shd w:val="clear" w:color="auto" w:fill="FFFFFF"/>
        </w:rPr>
        <w:t xml:space="preserve"> </w:t>
      </w:r>
    </w:p>
    <w:p w:rsidR="001B1C5F" w:rsidRPr="001B1C5F" w:rsidRDefault="001B1C5F" w:rsidP="00DD2F96">
      <w:pPr>
        <w:pStyle w:val="Prrafodelista"/>
        <w:ind w:left="0"/>
        <w:jc w:val="both"/>
        <w:rPr>
          <w:rFonts w:ascii="Verdana" w:hAnsi="Verdana"/>
          <w:b/>
          <w:sz w:val="20"/>
          <w:szCs w:val="20"/>
        </w:rPr>
      </w:pPr>
    </w:p>
    <w:p w:rsidR="001B1C5F" w:rsidRPr="001B1C5F" w:rsidRDefault="001B1C5F" w:rsidP="00DD2F96">
      <w:pPr>
        <w:pStyle w:val="Prrafodelista"/>
        <w:numPr>
          <w:ilvl w:val="0"/>
          <w:numId w:val="4"/>
        </w:numPr>
        <w:ind w:left="0" w:firstLine="0"/>
        <w:jc w:val="both"/>
        <w:rPr>
          <w:rFonts w:ascii="Verdana" w:hAnsi="Verdana"/>
          <w:b/>
          <w:sz w:val="20"/>
          <w:szCs w:val="20"/>
        </w:rPr>
      </w:pPr>
      <w:r>
        <w:rPr>
          <w:rFonts w:ascii="Verdana" w:hAnsi="Verdana"/>
          <w:sz w:val="20"/>
          <w:szCs w:val="20"/>
        </w:rPr>
        <w:t>En este entendido es importante destacar importantes parámetros que se incorporan a la jurisprudencia interamericana en materia de seguridad social, y que son concordantes con el contenido que ha sido desarrollado por el Comité DESC;</w:t>
      </w:r>
      <w:r w:rsidR="008440B7">
        <w:rPr>
          <w:rFonts w:ascii="Verdana" w:hAnsi="Verdana"/>
          <w:sz w:val="20"/>
          <w:szCs w:val="20"/>
        </w:rPr>
        <w:t xml:space="preserve"> de este modo tenemos, en primer lugar, </w:t>
      </w:r>
      <w:r>
        <w:rPr>
          <w:rFonts w:ascii="Verdana" w:hAnsi="Verdana"/>
          <w:sz w:val="20"/>
          <w:szCs w:val="20"/>
        </w:rPr>
        <w:t>que el derecho a la seguridad social se puede conceptualizar como el derecho a “[o]</w:t>
      </w:r>
      <w:proofErr w:type="spellStart"/>
      <w:r w:rsidRPr="00D12318">
        <w:rPr>
          <w:rFonts w:ascii="Verdana" w:hAnsi="Verdana"/>
          <w:snapToGrid w:val="0"/>
          <w:sz w:val="20"/>
          <w:szCs w:val="20"/>
        </w:rPr>
        <w:t>btener</w:t>
      </w:r>
      <w:proofErr w:type="spellEnd"/>
      <w:r w:rsidRPr="00D12318">
        <w:rPr>
          <w:rFonts w:ascii="Verdana" w:hAnsi="Verdana"/>
          <w:snapToGrid w:val="0"/>
          <w:sz w:val="20"/>
          <w:szCs w:val="20"/>
        </w:rPr>
        <w:t xml:space="preserve"> y mantener prestaciones sociales, ya sea en efectivo o en especie, sin discriminación, con el fin de obtener protección, en diversas circunstancias </w:t>
      </w:r>
      <w:r>
        <w:rPr>
          <w:rFonts w:ascii="Verdana" w:hAnsi="Verdana"/>
          <w:snapToGrid w:val="0"/>
          <w:sz w:val="20"/>
          <w:szCs w:val="20"/>
        </w:rPr>
        <w:t xml:space="preserve">[…] </w:t>
      </w:r>
      <w:r w:rsidRPr="00D12318">
        <w:rPr>
          <w:rFonts w:ascii="Verdana" w:hAnsi="Verdana"/>
          <w:snapToGrid w:val="0"/>
          <w:sz w:val="20"/>
          <w:szCs w:val="20"/>
        </w:rPr>
        <w:t>en particular por la falta de in</w:t>
      </w:r>
      <w:r>
        <w:rPr>
          <w:rFonts w:ascii="Verdana" w:hAnsi="Verdana"/>
          <w:snapToGrid w:val="0"/>
          <w:sz w:val="20"/>
          <w:szCs w:val="20"/>
        </w:rPr>
        <w:t>gresos procedentes del trabajo”</w:t>
      </w:r>
      <w:r>
        <w:rPr>
          <w:rStyle w:val="Refdenotaalpie"/>
          <w:rFonts w:ascii="Verdana" w:hAnsi="Verdana"/>
          <w:snapToGrid w:val="0"/>
          <w:sz w:val="20"/>
          <w:szCs w:val="20"/>
        </w:rPr>
        <w:footnoteReference w:id="28"/>
      </w:r>
      <w:r>
        <w:rPr>
          <w:rFonts w:ascii="Verdana" w:hAnsi="Verdana"/>
          <w:snapToGrid w:val="0"/>
          <w:sz w:val="20"/>
          <w:szCs w:val="20"/>
        </w:rPr>
        <w:t>.</w:t>
      </w:r>
      <w:r>
        <w:rPr>
          <w:rFonts w:ascii="Verdana" w:hAnsi="Verdana"/>
          <w:sz w:val="20"/>
          <w:szCs w:val="20"/>
        </w:rPr>
        <w:t xml:space="preserve"> </w:t>
      </w:r>
    </w:p>
    <w:p w:rsidR="001B1C5F" w:rsidRPr="001B1C5F" w:rsidRDefault="001B1C5F" w:rsidP="00DD2F96">
      <w:pPr>
        <w:pStyle w:val="Prrafodelista"/>
        <w:rPr>
          <w:rFonts w:ascii="Verdana" w:hAnsi="Verdana"/>
          <w:b/>
          <w:sz w:val="20"/>
          <w:szCs w:val="20"/>
        </w:rPr>
      </w:pPr>
    </w:p>
    <w:p w:rsidR="008440B7" w:rsidRDefault="001B1C5F" w:rsidP="00DD2F96">
      <w:pPr>
        <w:pStyle w:val="Prrafodelista"/>
        <w:numPr>
          <w:ilvl w:val="0"/>
          <w:numId w:val="4"/>
        </w:numPr>
        <w:ind w:left="0" w:firstLine="0"/>
        <w:jc w:val="both"/>
        <w:rPr>
          <w:rFonts w:ascii="Verdana" w:hAnsi="Verdana"/>
          <w:sz w:val="20"/>
          <w:szCs w:val="20"/>
        </w:rPr>
      </w:pPr>
      <w:r w:rsidRPr="001B1C5F">
        <w:rPr>
          <w:rFonts w:ascii="Verdana" w:hAnsi="Verdana"/>
          <w:sz w:val="20"/>
          <w:szCs w:val="20"/>
        </w:rPr>
        <w:t xml:space="preserve">Por otro lado, </w:t>
      </w:r>
      <w:r w:rsidR="007F2038">
        <w:rPr>
          <w:rFonts w:ascii="Verdana" w:hAnsi="Verdana"/>
          <w:sz w:val="20"/>
          <w:szCs w:val="20"/>
        </w:rPr>
        <w:t>el Comité DESC</w:t>
      </w:r>
      <w:r>
        <w:rPr>
          <w:rFonts w:ascii="Verdana" w:hAnsi="Verdana"/>
          <w:sz w:val="20"/>
          <w:szCs w:val="20"/>
        </w:rPr>
        <w:t xml:space="preserve"> ha señalado “una serie de elementos fundamentales” que se aplican en cualquier situación o circunstanc</w:t>
      </w:r>
      <w:r w:rsidR="00FC6342">
        <w:rPr>
          <w:rFonts w:ascii="Verdana" w:hAnsi="Verdana"/>
          <w:sz w:val="20"/>
          <w:szCs w:val="20"/>
        </w:rPr>
        <w:t>ia, a saber</w:t>
      </w:r>
      <w:r w:rsidR="007F2038">
        <w:rPr>
          <w:rFonts w:ascii="Verdana" w:hAnsi="Verdana"/>
          <w:sz w:val="20"/>
          <w:szCs w:val="20"/>
        </w:rPr>
        <w:t>: i) disponibilidad;</w:t>
      </w:r>
      <w:r>
        <w:rPr>
          <w:rFonts w:ascii="Verdana" w:hAnsi="Verdana"/>
          <w:sz w:val="20"/>
          <w:szCs w:val="20"/>
        </w:rPr>
        <w:t xml:space="preserve"> ii) riesgos e imprevistos sociales</w:t>
      </w:r>
      <w:r w:rsidR="007F2038">
        <w:rPr>
          <w:rFonts w:ascii="Verdana" w:hAnsi="Verdana"/>
          <w:sz w:val="20"/>
          <w:szCs w:val="20"/>
        </w:rPr>
        <w:t xml:space="preserve">: </w:t>
      </w:r>
      <w:r>
        <w:rPr>
          <w:rFonts w:ascii="Verdana" w:hAnsi="Verdana"/>
          <w:sz w:val="20"/>
          <w:szCs w:val="20"/>
        </w:rPr>
        <w:t>a)</w:t>
      </w:r>
      <w:r w:rsidR="007F2038">
        <w:rPr>
          <w:rFonts w:ascii="Verdana" w:hAnsi="Verdana"/>
          <w:sz w:val="20"/>
          <w:szCs w:val="20"/>
        </w:rPr>
        <w:t xml:space="preserve"> </w:t>
      </w:r>
      <w:r>
        <w:rPr>
          <w:rFonts w:ascii="Verdana" w:hAnsi="Verdana"/>
          <w:sz w:val="20"/>
          <w:szCs w:val="20"/>
        </w:rPr>
        <w:t>atención de la salud, b) enfermedad, c) vejez,</w:t>
      </w:r>
      <w:r w:rsidR="00792F5C">
        <w:rPr>
          <w:rFonts w:ascii="Verdana" w:hAnsi="Verdana"/>
          <w:sz w:val="20"/>
          <w:szCs w:val="20"/>
        </w:rPr>
        <w:t xml:space="preserve"> </w:t>
      </w:r>
      <w:r w:rsidR="008440B7">
        <w:rPr>
          <w:rFonts w:ascii="Verdana" w:hAnsi="Verdana"/>
          <w:sz w:val="20"/>
          <w:szCs w:val="20"/>
        </w:rPr>
        <w:t>d) desempleo</w:t>
      </w:r>
      <w:r>
        <w:rPr>
          <w:rFonts w:ascii="Verdana" w:hAnsi="Verdana"/>
          <w:sz w:val="20"/>
          <w:szCs w:val="20"/>
        </w:rPr>
        <w:t>,</w:t>
      </w:r>
      <w:r w:rsidR="008440B7">
        <w:rPr>
          <w:rFonts w:ascii="Verdana" w:hAnsi="Verdana"/>
          <w:sz w:val="20"/>
          <w:szCs w:val="20"/>
        </w:rPr>
        <w:t xml:space="preserve"> e) accidentes laborales, f) prestaciones familiares, g) maternidad, h) discapacidad</w:t>
      </w:r>
      <w:r w:rsidR="007F2038">
        <w:rPr>
          <w:rFonts w:ascii="Verdana" w:hAnsi="Verdana"/>
          <w:sz w:val="20"/>
          <w:szCs w:val="20"/>
        </w:rPr>
        <w:t>, e i) sobrevivientes y huérfanos; iii) nivel suficiente;</w:t>
      </w:r>
      <w:r w:rsidR="008440B7">
        <w:rPr>
          <w:rFonts w:ascii="Verdana" w:hAnsi="Verdana"/>
          <w:sz w:val="20"/>
          <w:szCs w:val="20"/>
        </w:rPr>
        <w:t xml:space="preserve"> </w:t>
      </w:r>
      <w:r>
        <w:rPr>
          <w:rFonts w:ascii="Verdana" w:hAnsi="Verdana"/>
          <w:sz w:val="20"/>
          <w:szCs w:val="20"/>
        </w:rPr>
        <w:t>i</w:t>
      </w:r>
      <w:r w:rsidR="008440B7">
        <w:rPr>
          <w:rFonts w:ascii="Verdana" w:hAnsi="Verdana"/>
          <w:sz w:val="20"/>
          <w:szCs w:val="20"/>
        </w:rPr>
        <w:t>v</w:t>
      </w:r>
      <w:r>
        <w:rPr>
          <w:rFonts w:ascii="Verdana" w:hAnsi="Verdana"/>
          <w:sz w:val="20"/>
          <w:szCs w:val="20"/>
        </w:rPr>
        <w:t>)</w:t>
      </w:r>
      <w:r w:rsidR="007F2038">
        <w:rPr>
          <w:rFonts w:ascii="Verdana" w:hAnsi="Verdana"/>
          <w:sz w:val="20"/>
          <w:szCs w:val="20"/>
        </w:rPr>
        <w:t xml:space="preserve"> accesibilidad:</w:t>
      </w:r>
      <w:r w:rsidR="008440B7">
        <w:rPr>
          <w:rFonts w:ascii="Verdana" w:hAnsi="Verdana"/>
          <w:sz w:val="20"/>
          <w:szCs w:val="20"/>
        </w:rPr>
        <w:t xml:space="preserve"> a) cobertura, b) condiciones, c) asequibilidad, d) participación e información y e) acceso físico</w:t>
      </w:r>
      <w:r w:rsidR="008440B7">
        <w:rPr>
          <w:rStyle w:val="Refdenotaalpie"/>
          <w:rFonts w:ascii="Verdana" w:hAnsi="Verdana"/>
          <w:sz w:val="20"/>
          <w:szCs w:val="20"/>
        </w:rPr>
        <w:footnoteReference w:id="29"/>
      </w:r>
      <w:r w:rsidR="008440B7">
        <w:rPr>
          <w:rFonts w:ascii="Verdana" w:hAnsi="Verdana"/>
          <w:sz w:val="20"/>
          <w:szCs w:val="20"/>
        </w:rPr>
        <w:t xml:space="preserve">. </w:t>
      </w:r>
    </w:p>
    <w:p w:rsidR="00DA2B42" w:rsidRPr="005F6956" w:rsidRDefault="00DA2B42" w:rsidP="00DD2F96">
      <w:pPr>
        <w:rPr>
          <w:rFonts w:ascii="Verdana" w:hAnsi="Verdana"/>
          <w:sz w:val="20"/>
          <w:szCs w:val="20"/>
        </w:rPr>
      </w:pPr>
    </w:p>
    <w:p w:rsidR="00B74770" w:rsidRPr="00DD2F96" w:rsidRDefault="00DA2B42" w:rsidP="00DD2F96">
      <w:pPr>
        <w:pStyle w:val="Prrafodelista"/>
        <w:numPr>
          <w:ilvl w:val="0"/>
          <w:numId w:val="4"/>
        </w:numPr>
        <w:ind w:left="0" w:firstLine="0"/>
        <w:jc w:val="both"/>
        <w:rPr>
          <w:rFonts w:ascii="Verdana" w:hAnsi="Verdana"/>
          <w:sz w:val="20"/>
          <w:szCs w:val="20"/>
        </w:rPr>
      </w:pPr>
      <w:r w:rsidRPr="007A3C34">
        <w:rPr>
          <w:rFonts w:ascii="Verdana" w:hAnsi="Verdana"/>
          <w:sz w:val="20"/>
          <w:szCs w:val="20"/>
        </w:rPr>
        <w:t xml:space="preserve">Cabe destacar que el Comité </w:t>
      </w:r>
      <w:r w:rsidR="001F79C5" w:rsidRPr="007A3C34">
        <w:rPr>
          <w:rFonts w:ascii="Verdana" w:hAnsi="Verdana"/>
          <w:sz w:val="20"/>
          <w:szCs w:val="20"/>
        </w:rPr>
        <w:t>DESC ha declarado la vulneración del derecho a la seguridad social</w:t>
      </w:r>
      <w:r w:rsidR="00DD2F96">
        <w:rPr>
          <w:rFonts w:ascii="Verdana" w:hAnsi="Verdana"/>
          <w:sz w:val="20"/>
          <w:szCs w:val="20"/>
        </w:rPr>
        <w:t xml:space="preserve"> mediante su sistema de comunicaciones</w:t>
      </w:r>
      <w:r w:rsidR="00D2143B">
        <w:rPr>
          <w:rFonts w:ascii="Verdana" w:hAnsi="Verdana"/>
          <w:sz w:val="20"/>
          <w:szCs w:val="20"/>
        </w:rPr>
        <w:t xml:space="preserve"> individuales</w:t>
      </w:r>
      <w:r w:rsidR="001F79C5" w:rsidRPr="007A3C34">
        <w:rPr>
          <w:rFonts w:ascii="Verdana" w:hAnsi="Verdana"/>
          <w:sz w:val="20"/>
          <w:szCs w:val="20"/>
        </w:rPr>
        <w:t xml:space="preserve">; al respecto, en el año 2017, el Comité </w:t>
      </w:r>
      <w:r w:rsidR="00DD2F96">
        <w:rPr>
          <w:rFonts w:ascii="Verdana" w:hAnsi="Verdana"/>
          <w:sz w:val="20"/>
          <w:szCs w:val="20"/>
        </w:rPr>
        <w:t xml:space="preserve">DESC </w:t>
      </w:r>
      <w:r w:rsidR="001F79C5" w:rsidRPr="007A3C34">
        <w:rPr>
          <w:rFonts w:ascii="Verdana" w:hAnsi="Verdana"/>
          <w:sz w:val="20"/>
          <w:szCs w:val="20"/>
        </w:rPr>
        <w:t xml:space="preserve">se pronunció sobre el tema en el caso </w:t>
      </w:r>
      <w:r w:rsidR="005B7707" w:rsidRPr="007A3C34">
        <w:rPr>
          <w:rFonts w:ascii="Verdana" w:hAnsi="Verdana"/>
          <w:i/>
          <w:sz w:val="20"/>
          <w:szCs w:val="20"/>
        </w:rPr>
        <w:t>Trujillo Calero Vs. Ecuador</w:t>
      </w:r>
      <w:r w:rsidR="008C36A6" w:rsidRPr="007A3C34">
        <w:rPr>
          <w:rFonts w:ascii="Verdana" w:hAnsi="Verdana"/>
          <w:i/>
          <w:sz w:val="20"/>
          <w:szCs w:val="20"/>
        </w:rPr>
        <w:t xml:space="preserve">, </w:t>
      </w:r>
      <w:r w:rsidR="007F2038">
        <w:rPr>
          <w:rFonts w:ascii="Verdana" w:hAnsi="Verdana"/>
          <w:sz w:val="20"/>
          <w:szCs w:val="20"/>
        </w:rPr>
        <w:t>teniendo</w:t>
      </w:r>
      <w:r w:rsidR="008C36A6" w:rsidRPr="007A3C34">
        <w:rPr>
          <w:rFonts w:ascii="Verdana" w:hAnsi="Verdana"/>
          <w:sz w:val="20"/>
          <w:szCs w:val="20"/>
        </w:rPr>
        <w:t xml:space="preserve"> como base las Observaciones Generales No. 6 (sobre </w:t>
      </w:r>
      <w:r w:rsidR="00DD2F96">
        <w:rPr>
          <w:rFonts w:ascii="Verdana" w:hAnsi="Verdana"/>
          <w:sz w:val="20"/>
          <w:szCs w:val="20"/>
        </w:rPr>
        <w:t>las personas de edad</w:t>
      </w:r>
      <w:r w:rsidR="007F2038">
        <w:rPr>
          <w:rFonts w:ascii="Verdana" w:hAnsi="Verdana"/>
          <w:sz w:val="20"/>
          <w:szCs w:val="20"/>
        </w:rPr>
        <w:t xml:space="preserve">) </w:t>
      </w:r>
      <w:r w:rsidR="008C36A6" w:rsidRPr="007A3C34">
        <w:rPr>
          <w:rFonts w:ascii="Verdana" w:hAnsi="Verdana"/>
          <w:sz w:val="20"/>
          <w:szCs w:val="20"/>
        </w:rPr>
        <w:t>y la No. 19</w:t>
      </w:r>
      <w:r w:rsidR="00792F5C">
        <w:rPr>
          <w:rFonts w:ascii="Verdana" w:hAnsi="Verdana"/>
          <w:sz w:val="20"/>
          <w:szCs w:val="20"/>
        </w:rPr>
        <w:t xml:space="preserve"> </w:t>
      </w:r>
      <w:r w:rsidR="00DD2F96">
        <w:rPr>
          <w:rFonts w:ascii="Verdana" w:hAnsi="Verdana"/>
          <w:sz w:val="20"/>
          <w:szCs w:val="20"/>
        </w:rPr>
        <w:t>(sobre la s</w:t>
      </w:r>
      <w:r w:rsidR="008C36A6" w:rsidRPr="007A3C34">
        <w:rPr>
          <w:rFonts w:ascii="Verdana" w:hAnsi="Verdana"/>
          <w:sz w:val="20"/>
          <w:szCs w:val="20"/>
        </w:rPr>
        <w:t xml:space="preserve">eguridad </w:t>
      </w:r>
      <w:r w:rsidR="00DD2F96">
        <w:rPr>
          <w:rFonts w:ascii="Verdana" w:hAnsi="Verdana"/>
          <w:sz w:val="20"/>
          <w:szCs w:val="20"/>
        </w:rPr>
        <w:t>s</w:t>
      </w:r>
      <w:r w:rsidR="008C36A6" w:rsidRPr="007A3C34">
        <w:rPr>
          <w:rFonts w:ascii="Verdana" w:hAnsi="Verdana"/>
          <w:sz w:val="20"/>
          <w:szCs w:val="20"/>
        </w:rPr>
        <w:t>ocial</w:t>
      </w:r>
      <w:r w:rsidR="00DD2F96">
        <w:rPr>
          <w:rFonts w:ascii="Verdana" w:hAnsi="Verdana"/>
          <w:sz w:val="20"/>
          <w:szCs w:val="20"/>
        </w:rPr>
        <w:t>)</w:t>
      </w:r>
      <w:r w:rsidR="005B7707" w:rsidRPr="007A3C34">
        <w:rPr>
          <w:rFonts w:ascii="Verdana" w:hAnsi="Verdana"/>
          <w:i/>
          <w:sz w:val="20"/>
          <w:szCs w:val="20"/>
        </w:rPr>
        <w:t xml:space="preserve">. </w:t>
      </w:r>
      <w:r w:rsidR="008C36A6" w:rsidRPr="007A3C34">
        <w:rPr>
          <w:rFonts w:ascii="Verdana" w:hAnsi="Verdana"/>
          <w:sz w:val="20"/>
          <w:szCs w:val="20"/>
        </w:rPr>
        <w:t>Para el Comité</w:t>
      </w:r>
      <w:r w:rsidR="004E7E49">
        <w:rPr>
          <w:rFonts w:ascii="Verdana" w:hAnsi="Verdana"/>
          <w:sz w:val="20"/>
          <w:szCs w:val="20"/>
        </w:rPr>
        <w:t xml:space="preserve"> DESC</w:t>
      </w:r>
      <w:r w:rsidR="008C36A6" w:rsidRPr="007A3C34">
        <w:rPr>
          <w:rFonts w:ascii="Verdana" w:hAnsi="Verdana"/>
          <w:sz w:val="20"/>
          <w:szCs w:val="20"/>
        </w:rPr>
        <w:t>, el derecho a la seguridad social es fundamental “</w:t>
      </w:r>
      <w:r w:rsidR="008C36A6" w:rsidRPr="007A3C34">
        <w:rPr>
          <w:rFonts w:ascii="Verdana" w:hAnsi="Verdana"/>
          <w:snapToGrid w:val="0"/>
          <w:sz w:val="20"/>
          <w:szCs w:val="20"/>
        </w:rPr>
        <w:t>para garantizar a todas las personas su dignidad humana</w:t>
      </w:r>
      <w:r w:rsidR="008C36A6" w:rsidRPr="007A3C34">
        <w:rPr>
          <w:rStyle w:val="Refdenotaalpie"/>
          <w:rFonts w:ascii="Verdana" w:hAnsi="Verdana"/>
          <w:sz w:val="20"/>
          <w:szCs w:val="20"/>
        </w:rPr>
        <w:footnoteReference w:id="30"/>
      </w:r>
      <w:r w:rsidR="008C36A6" w:rsidRPr="007A3C34">
        <w:rPr>
          <w:rFonts w:ascii="Verdana" w:hAnsi="Verdana"/>
          <w:snapToGrid w:val="0"/>
          <w:sz w:val="20"/>
          <w:szCs w:val="20"/>
        </w:rPr>
        <w:t>.</w:t>
      </w:r>
      <w:r w:rsidR="00DD2F96">
        <w:rPr>
          <w:rFonts w:ascii="Verdana" w:hAnsi="Verdana"/>
          <w:sz w:val="20"/>
          <w:szCs w:val="20"/>
        </w:rPr>
        <w:t xml:space="preserve"> </w:t>
      </w:r>
      <w:r w:rsidR="00B74770" w:rsidRPr="00DD2F96">
        <w:rPr>
          <w:rFonts w:ascii="Verdana" w:hAnsi="Verdana"/>
          <w:sz w:val="20"/>
          <w:szCs w:val="20"/>
        </w:rPr>
        <w:t xml:space="preserve">Por otro lado, </w:t>
      </w:r>
      <w:r w:rsidR="00B74770" w:rsidRPr="00DD2F96">
        <w:rPr>
          <w:rFonts w:ascii="Verdana" w:hAnsi="Verdana"/>
          <w:sz w:val="20"/>
          <w:szCs w:val="20"/>
        </w:rPr>
        <w:lastRenderedPageBreak/>
        <w:t>también estimó que “</w:t>
      </w:r>
      <w:r w:rsidR="00B74770" w:rsidRPr="00DD2F96">
        <w:rPr>
          <w:rFonts w:ascii="Verdana" w:hAnsi="Verdana"/>
          <w:sz w:val="20"/>
          <w:szCs w:val="20"/>
          <w:lang w:val="es-ES_tradnl"/>
        </w:rPr>
        <w:t>el artículo 9 del Pacto implícitamente reconoce el derecho a las prestaciones de vejez”</w:t>
      </w:r>
      <w:r w:rsidR="00B74770" w:rsidRPr="00741416">
        <w:rPr>
          <w:rStyle w:val="Refdenotaalpie"/>
          <w:rFonts w:ascii="Verdana" w:hAnsi="Verdana"/>
          <w:sz w:val="20"/>
          <w:szCs w:val="20"/>
          <w:lang w:val="es-ES_tradnl"/>
        </w:rPr>
        <w:footnoteReference w:id="31"/>
      </w:r>
      <w:r w:rsidR="00196C33">
        <w:rPr>
          <w:rFonts w:ascii="Verdana" w:hAnsi="Verdana"/>
          <w:sz w:val="20"/>
          <w:szCs w:val="20"/>
          <w:lang w:val="es-ES_tradnl"/>
        </w:rPr>
        <w:t>.</w:t>
      </w:r>
    </w:p>
    <w:p w:rsidR="008C36A6" w:rsidRPr="000D5795" w:rsidRDefault="008C36A6" w:rsidP="00DD2F96">
      <w:pPr>
        <w:rPr>
          <w:rFonts w:ascii="Verdana" w:hAnsi="Verdana"/>
          <w:sz w:val="20"/>
          <w:szCs w:val="20"/>
        </w:rPr>
      </w:pPr>
    </w:p>
    <w:p w:rsidR="005F6956" w:rsidRPr="00035896" w:rsidRDefault="00035896" w:rsidP="00035896">
      <w:pPr>
        <w:jc w:val="both"/>
        <w:outlineLvl w:val="1"/>
        <w:rPr>
          <w:rFonts w:ascii="Verdana" w:hAnsi="Verdana"/>
          <w:i/>
          <w:sz w:val="20"/>
          <w:szCs w:val="20"/>
          <w:lang w:val="es-ES"/>
        </w:rPr>
      </w:pPr>
      <w:r>
        <w:rPr>
          <w:rFonts w:ascii="Verdana" w:hAnsi="Verdana"/>
          <w:i/>
          <w:sz w:val="20"/>
          <w:szCs w:val="20"/>
          <w:lang w:val="es-ES"/>
        </w:rPr>
        <w:t>b)</w:t>
      </w:r>
      <w:r w:rsidR="00792F5C">
        <w:rPr>
          <w:rFonts w:ascii="Verdana" w:hAnsi="Verdana"/>
          <w:i/>
          <w:sz w:val="20"/>
          <w:szCs w:val="20"/>
          <w:lang w:val="es-ES"/>
        </w:rPr>
        <w:t xml:space="preserve">  </w:t>
      </w:r>
      <w:r w:rsidR="005F6956" w:rsidRPr="00035896">
        <w:rPr>
          <w:rFonts w:ascii="Verdana" w:hAnsi="Verdana"/>
          <w:i/>
          <w:sz w:val="20"/>
          <w:szCs w:val="20"/>
          <w:lang w:val="es-ES"/>
        </w:rPr>
        <w:t xml:space="preserve">Sistema Africano de Derechos Humanos </w:t>
      </w:r>
    </w:p>
    <w:p w:rsidR="005F6956" w:rsidRDefault="005F6956" w:rsidP="00DD2F96">
      <w:pPr>
        <w:pStyle w:val="Prrafodelista"/>
        <w:ind w:left="1440"/>
        <w:jc w:val="both"/>
        <w:outlineLvl w:val="1"/>
        <w:rPr>
          <w:rFonts w:ascii="Verdana" w:hAnsi="Verdana"/>
          <w:i/>
          <w:sz w:val="20"/>
          <w:szCs w:val="20"/>
          <w:lang w:val="es-ES"/>
        </w:rPr>
      </w:pPr>
    </w:p>
    <w:p w:rsidR="00650596" w:rsidRPr="0031331B" w:rsidRDefault="0031331B" w:rsidP="0031331B">
      <w:pPr>
        <w:pStyle w:val="HTMLconformatoprevio"/>
        <w:jc w:val="both"/>
        <w:rPr>
          <w:rFonts w:ascii="Verdana" w:hAnsi="Verdana" w:cs="Arial"/>
        </w:rPr>
      </w:pPr>
      <w:r>
        <w:rPr>
          <w:rFonts w:ascii="Verdana" w:hAnsi="Verdana" w:cs="Arial"/>
          <w:lang w:val="es-ES"/>
        </w:rPr>
        <w:t xml:space="preserve">16. </w:t>
      </w:r>
      <w:r>
        <w:rPr>
          <w:rFonts w:ascii="Verdana" w:hAnsi="Verdana" w:cs="Arial"/>
          <w:lang w:val="es-ES"/>
        </w:rPr>
        <w:tab/>
      </w:r>
      <w:r w:rsidR="00B51C6A">
        <w:rPr>
          <w:rFonts w:ascii="Verdana" w:hAnsi="Verdana" w:cs="Arial"/>
        </w:rPr>
        <w:t>En el caso del Sistema Africano, el derecho a la seguridad social no se encuentra contemplado en la Carta de Africana de De</w:t>
      </w:r>
      <w:r w:rsidR="00D2143B">
        <w:rPr>
          <w:rFonts w:ascii="Verdana" w:hAnsi="Verdana" w:cs="Arial"/>
        </w:rPr>
        <w:t>rechos Humanos y de los Pueblos</w:t>
      </w:r>
      <w:r w:rsidR="00650596">
        <w:rPr>
          <w:rFonts w:ascii="Verdana" w:hAnsi="Verdana" w:cs="Arial"/>
        </w:rPr>
        <w:t xml:space="preserve"> de 1991</w:t>
      </w:r>
      <w:r w:rsidR="00D2143B">
        <w:rPr>
          <w:rFonts w:ascii="Verdana" w:hAnsi="Verdana" w:cs="Arial"/>
        </w:rPr>
        <w:t>.</w:t>
      </w:r>
      <w:r w:rsidR="00B51C6A">
        <w:rPr>
          <w:rFonts w:ascii="Verdana" w:hAnsi="Verdana" w:cs="Arial"/>
        </w:rPr>
        <w:t xml:space="preserve"> </w:t>
      </w:r>
      <w:r w:rsidR="00D2143B">
        <w:rPr>
          <w:rFonts w:ascii="Verdana" w:hAnsi="Verdana" w:cs="Arial"/>
        </w:rPr>
        <w:t>E</w:t>
      </w:r>
      <w:r w:rsidR="00B51C6A">
        <w:rPr>
          <w:rFonts w:ascii="Verdana" w:hAnsi="Verdana" w:cs="Arial"/>
        </w:rPr>
        <w:t>n este entendido, aunque la Carta Africana contempla derecho</w:t>
      </w:r>
      <w:r w:rsidR="00A25C7B">
        <w:rPr>
          <w:rFonts w:ascii="Verdana" w:hAnsi="Verdana" w:cs="Arial"/>
        </w:rPr>
        <w:t>s</w:t>
      </w:r>
      <w:r w:rsidR="00B51C6A">
        <w:rPr>
          <w:rFonts w:ascii="Verdana" w:hAnsi="Verdana" w:cs="Arial"/>
        </w:rPr>
        <w:t xml:space="preserve"> sociales de manera expresa, también se encuentran un</w:t>
      </w:r>
      <w:r w:rsidR="00A25C7B">
        <w:rPr>
          <w:rFonts w:ascii="Verdana" w:hAnsi="Verdana" w:cs="Arial"/>
        </w:rPr>
        <w:t>a</w:t>
      </w:r>
      <w:r w:rsidR="00B51C6A">
        <w:rPr>
          <w:rFonts w:ascii="Verdana" w:hAnsi="Verdana" w:cs="Arial"/>
        </w:rPr>
        <w:t xml:space="preserve"> serie de </w:t>
      </w:r>
      <w:r w:rsidR="005C6850" w:rsidRPr="00B51C6A">
        <w:rPr>
          <w:rFonts w:ascii="Verdana" w:hAnsi="Verdana" w:cs="Arial"/>
          <w:i/>
        </w:rPr>
        <w:t>derechos sociales perdidos</w:t>
      </w:r>
      <w:r w:rsidR="007F2038">
        <w:rPr>
          <w:rFonts w:ascii="Verdana" w:hAnsi="Verdana" w:cs="Arial"/>
        </w:rPr>
        <w:t>.</w:t>
      </w:r>
      <w:r w:rsidR="00792F5C">
        <w:rPr>
          <w:rFonts w:ascii="Verdana" w:hAnsi="Verdana" w:cs="Arial"/>
        </w:rPr>
        <w:t xml:space="preserve"> </w:t>
      </w:r>
      <w:r w:rsidR="007F2038">
        <w:rPr>
          <w:rFonts w:ascii="Verdana" w:hAnsi="Verdana" w:cs="Arial"/>
        </w:rPr>
        <w:t>A</w:t>
      </w:r>
      <w:r w:rsidR="005C6850" w:rsidRPr="00B51C6A">
        <w:rPr>
          <w:rFonts w:ascii="Verdana" w:hAnsi="Verdana" w:cs="Arial"/>
        </w:rPr>
        <w:t>sí, la Carta de Banjul no hace referencia expresa a una adecuada forma de vida (incluido el derecho a la alimentación, ropa y vivienda), el derecho a la seguridad social o el beneficio de los progresos científicos</w:t>
      </w:r>
      <w:r w:rsidR="00296227">
        <w:rPr>
          <w:rFonts w:ascii="Verdana" w:hAnsi="Verdana" w:cs="Arial"/>
        </w:rPr>
        <w:t>. Estos derechos</w:t>
      </w:r>
      <w:r w:rsidR="005C6850" w:rsidRPr="00B51C6A">
        <w:rPr>
          <w:rFonts w:ascii="Verdana" w:hAnsi="Verdana" w:cs="Arial"/>
        </w:rPr>
        <w:t xml:space="preserve"> “perdidos” en la Carta de Banjul están relacio</w:t>
      </w:r>
      <w:r w:rsidR="00261B73">
        <w:rPr>
          <w:rFonts w:ascii="Verdana" w:hAnsi="Verdana" w:cs="Arial"/>
        </w:rPr>
        <w:t>nados con las necesidades socio</w:t>
      </w:r>
      <w:r w:rsidR="005C6850" w:rsidRPr="00B51C6A">
        <w:rPr>
          <w:rFonts w:ascii="Verdana" w:hAnsi="Verdana" w:cs="Arial"/>
        </w:rPr>
        <w:t>económicas de las personas de</w:t>
      </w:r>
      <w:r w:rsidR="00A25C7B">
        <w:rPr>
          <w:rFonts w:ascii="Verdana" w:hAnsi="Verdana" w:cs="Arial"/>
        </w:rPr>
        <w:t xml:space="preserve"> </w:t>
      </w:r>
      <w:r w:rsidR="005C6850" w:rsidRPr="00B51C6A">
        <w:rPr>
          <w:rFonts w:ascii="Verdana" w:hAnsi="Verdana" w:cs="Arial"/>
        </w:rPr>
        <w:t>la África predominantemente rural y empobrecida</w:t>
      </w:r>
      <w:r w:rsidR="00D2143B">
        <w:rPr>
          <w:rFonts w:ascii="Verdana" w:hAnsi="Verdana" w:cs="Arial"/>
        </w:rPr>
        <w:t>,</w:t>
      </w:r>
      <w:r w:rsidR="005C6850" w:rsidRPr="00B51C6A">
        <w:rPr>
          <w:rFonts w:ascii="Verdana" w:hAnsi="Verdana" w:cs="Arial"/>
        </w:rPr>
        <w:t xml:space="preserve"> quienes tiene</w:t>
      </w:r>
      <w:r w:rsidR="00296227">
        <w:rPr>
          <w:rFonts w:ascii="Verdana" w:hAnsi="Verdana" w:cs="Arial"/>
        </w:rPr>
        <w:t>n</w:t>
      </w:r>
      <w:r w:rsidR="005C6850" w:rsidRPr="00B51C6A">
        <w:rPr>
          <w:rFonts w:ascii="Verdana" w:hAnsi="Verdana" w:cs="Arial"/>
        </w:rPr>
        <w:t xml:space="preserve"> un bajo acceso a agua potable, una vivienda adecuada, alimento, etcétera</w:t>
      </w:r>
      <w:r w:rsidR="005C6850" w:rsidRPr="005C6850">
        <w:rPr>
          <w:rStyle w:val="Refdenotaalpie"/>
          <w:rFonts w:ascii="Verdana" w:hAnsi="Verdana" w:cs="Arial"/>
        </w:rPr>
        <w:footnoteReference w:id="32"/>
      </w:r>
      <w:r w:rsidR="005C6850" w:rsidRPr="00B51C6A">
        <w:rPr>
          <w:rFonts w:ascii="Verdana" w:hAnsi="Verdana" w:cs="Arial"/>
        </w:rPr>
        <w:t>.</w:t>
      </w:r>
      <w:r w:rsidR="00792F5C">
        <w:rPr>
          <w:rFonts w:ascii="Verdana" w:hAnsi="Verdana" w:cs="Arial"/>
        </w:rPr>
        <w:t xml:space="preserve"> </w:t>
      </w:r>
      <w:r w:rsidR="00650596">
        <w:rPr>
          <w:rFonts w:ascii="Verdana" w:hAnsi="Verdana" w:cs="Arial"/>
        </w:rPr>
        <w:t>Un paso importante fue la adopción en 2016 del</w:t>
      </w:r>
      <w:r w:rsidR="00650596" w:rsidRPr="00EA2F3A">
        <w:rPr>
          <w:rFonts w:ascii="Verdana" w:hAnsi="Verdana"/>
        </w:rPr>
        <w:t xml:space="preserve"> Protocolo de la Carta Africana de Derechos Humanos y de los Pueblos relativo a los Derechos de las </w:t>
      </w:r>
      <w:r w:rsidR="00650596">
        <w:rPr>
          <w:rFonts w:ascii="Verdana" w:hAnsi="Verdana"/>
        </w:rPr>
        <w:t xml:space="preserve">Personas Mayores </w:t>
      </w:r>
      <w:r w:rsidR="00650596" w:rsidRPr="00EA2F3A">
        <w:rPr>
          <w:rFonts w:ascii="Verdana" w:hAnsi="Verdana"/>
        </w:rPr>
        <w:t>en África</w:t>
      </w:r>
      <w:r w:rsidR="00650596" w:rsidRPr="00EA2F3A">
        <w:rPr>
          <w:rStyle w:val="Refdenotaalpie"/>
          <w:rFonts w:ascii="Verdana" w:hAnsi="Verdana"/>
        </w:rPr>
        <w:footnoteReference w:id="33"/>
      </w:r>
      <w:r w:rsidR="00391ACB">
        <w:rPr>
          <w:rFonts w:ascii="Verdana" w:hAnsi="Verdana"/>
        </w:rPr>
        <w:t>,</w:t>
      </w:r>
      <w:r w:rsidR="00E72FC0">
        <w:rPr>
          <w:rFonts w:ascii="Verdana" w:hAnsi="Verdana"/>
        </w:rPr>
        <w:t xml:space="preserve"> previendo su artículo 7</w:t>
      </w:r>
      <w:r w:rsidR="00391ACB">
        <w:rPr>
          <w:rFonts w:ascii="Verdana" w:hAnsi="Verdana"/>
        </w:rPr>
        <w:t xml:space="preserve"> (Protección Social), </w:t>
      </w:r>
      <w:r w:rsidR="00391ACB" w:rsidRPr="00391ACB">
        <w:rPr>
          <w:rFonts w:ascii="Verdana" w:hAnsi="Verdana"/>
        </w:rPr>
        <w:t xml:space="preserve">que </w:t>
      </w:r>
      <w:r w:rsidR="00391ACB">
        <w:rPr>
          <w:rFonts w:ascii="Verdana" w:hAnsi="Verdana"/>
          <w:color w:val="212121"/>
        </w:rPr>
        <w:t>l</w:t>
      </w:r>
      <w:r w:rsidR="00391ACB" w:rsidRPr="00391ACB">
        <w:rPr>
          <w:rFonts w:ascii="Verdana" w:hAnsi="Verdana"/>
          <w:color w:val="212121"/>
          <w:lang w:val="es-ES"/>
        </w:rPr>
        <w:t xml:space="preserve">os Estados partes desarrollarán políticas y leyes que garanticen que las personas mayores que se </w:t>
      </w:r>
      <w:r w:rsidR="00391ACB">
        <w:rPr>
          <w:rFonts w:ascii="Verdana" w:hAnsi="Verdana"/>
          <w:color w:val="212121"/>
          <w:lang w:val="es-ES"/>
        </w:rPr>
        <w:t>jubilen reciban</w:t>
      </w:r>
      <w:r w:rsidR="00391ACB" w:rsidRPr="00391ACB">
        <w:rPr>
          <w:rFonts w:ascii="Verdana" w:hAnsi="Verdana"/>
          <w:color w:val="212121"/>
          <w:lang w:val="es-ES"/>
        </w:rPr>
        <w:t xml:space="preserve"> pensiones adecuadas y otras formas de seguridad social.</w:t>
      </w:r>
    </w:p>
    <w:p w:rsidR="00650596" w:rsidRPr="00650596" w:rsidRDefault="00650596" w:rsidP="00650596">
      <w:pPr>
        <w:pStyle w:val="Prrafodelista"/>
        <w:autoSpaceDE w:val="0"/>
        <w:autoSpaceDN w:val="0"/>
        <w:adjustRightInd w:val="0"/>
        <w:ind w:left="0" w:right="-306"/>
        <w:jc w:val="both"/>
        <w:rPr>
          <w:rFonts w:ascii="Verdana" w:hAnsi="Verdana" w:cs="Arial"/>
          <w:sz w:val="20"/>
          <w:szCs w:val="20"/>
          <w:lang w:val="es-ES"/>
        </w:rPr>
      </w:pPr>
    </w:p>
    <w:p w:rsidR="007C7830" w:rsidRPr="007C7830" w:rsidRDefault="007C7830" w:rsidP="007C7830">
      <w:pPr>
        <w:jc w:val="both"/>
        <w:outlineLvl w:val="1"/>
        <w:rPr>
          <w:rFonts w:ascii="Verdana" w:hAnsi="Verdana"/>
          <w:i/>
          <w:sz w:val="20"/>
          <w:szCs w:val="20"/>
          <w:lang w:val="es-ES"/>
        </w:rPr>
      </w:pPr>
    </w:p>
    <w:p w:rsidR="00B74770" w:rsidRPr="00035896" w:rsidRDefault="00035896" w:rsidP="00035896">
      <w:pPr>
        <w:jc w:val="both"/>
        <w:outlineLvl w:val="1"/>
        <w:rPr>
          <w:rFonts w:ascii="Verdana" w:hAnsi="Verdana"/>
          <w:i/>
          <w:sz w:val="20"/>
          <w:szCs w:val="20"/>
          <w:lang w:val="es-ES"/>
        </w:rPr>
      </w:pPr>
      <w:r w:rsidRPr="00035896">
        <w:rPr>
          <w:rFonts w:ascii="Verdana" w:hAnsi="Verdana"/>
          <w:i/>
          <w:sz w:val="20"/>
          <w:szCs w:val="20"/>
          <w:lang w:val="es-ES"/>
        </w:rPr>
        <w:t>c)</w:t>
      </w:r>
      <w:r w:rsidR="00792F5C">
        <w:rPr>
          <w:rFonts w:ascii="Verdana" w:hAnsi="Verdana"/>
          <w:i/>
          <w:sz w:val="20"/>
          <w:szCs w:val="20"/>
          <w:lang w:val="es-ES"/>
        </w:rPr>
        <w:t xml:space="preserve"> </w:t>
      </w:r>
      <w:r>
        <w:rPr>
          <w:rFonts w:ascii="Verdana" w:hAnsi="Verdana"/>
          <w:i/>
          <w:sz w:val="20"/>
          <w:szCs w:val="20"/>
          <w:lang w:val="es-ES"/>
        </w:rPr>
        <w:t xml:space="preserve"> </w:t>
      </w:r>
      <w:r w:rsidR="00B74770" w:rsidRPr="00035896">
        <w:rPr>
          <w:rFonts w:ascii="Verdana" w:hAnsi="Verdana"/>
          <w:i/>
          <w:sz w:val="20"/>
          <w:szCs w:val="20"/>
          <w:lang w:val="es-ES"/>
        </w:rPr>
        <w:t xml:space="preserve">Sistema Europeo de Derechos Humanos </w:t>
      </w:r>
    </w:p>
    <w:p w:rsidR="00B74770" w:rsidRPr="000D5795" w:rsidRDefault="00B74770" w:rsidP="00DD2F96">
      <w:pPr>
        <w:rPr>
          <w:rFonts w:ascii="Verdana" w:hAnsi="Verdana"/>
          <w:sz w:val="20"/>
          <w:szCs w:val="20"/>
          <w:lang w:val="es-ES"/>
        </w:rPr>
      </w:pPr>
    </w:p>
    <w:p w:rsidR="00212A0F" w:rsidRPr="009B14B1" w:rsidRDefault="0031331B" w:rsidP="0031331B">
      <w:pPr>
        <w:pStyle w:val="Prrafodelista"/>
        <w:ind w:left="0"/>
        <w:jc w:val="both"/>
        <w:rPr>
          <w:rFonts w:ascii="Verdana" w:hAnsi="Verdana"/>
          <w:sz w:val="20"/>
          <w:szCs w:val="20"/>
        </w:rPr>
      </w:pPr>
      <w:r>
        <w:rPr>
          <w:rFonts w:ascii="Verdana" w:hAnsi="Verdana" w:cs="Arial"/>
          <w:sz w:val="20"/>
          <w:szCs w:val="20"/>
        </w:rPr>
        <w:t xml:space="preserve">17. </w:t>
      </w:r>
      <w:r>
        <w:rPr>
          <w:rFonts w:ascii="Verdana" w:hAnsi="Verdana" w:cs="Arial"/>
          <w:sz w:val="20"/>
          <w:szCs w:val="20"/>
        </w:rPr>
        <w:tab/>
      </w:r>
      <w:r w:rsidR="00212A0F" w:rsidRPr="009B14B1">
        <w:rPr>
          <w:rFonts w:ascii="Verdana" w:hAnsi="Verdana" w:cs="Arial"/>
          <w:sz w:val="20"/>
          <w:szCs w:val="20"/>
        </w:rPr>
        <w:t xml:space="preserve">El Tribunal Europeo </w:t>
      </w:r>
      <w:r w:rsidR="009B14B1">
        <w:rPr>
          <w:rFonts w:ascii="Verdana" w:hAnsi="Verdana" w:cs="Arial"/>
          <w:sz w:val="20"/>
          <w:szCs w:val="20"/>
        </w:rPr>
        <w:t xml:space="preserve">de Derechos Humanos (en adelante “el Tribunal Europeo” o “la Corte Europea”) </w:t>
      </w:r>
      <w:r w:rsidR="00212A0F" w:rsidRPr="009B14B1">
        <w:rPr>
          <w:rFonts w:ascii="Verdana" w:hAnsi="Verdana" w:cs="Arial"/>
          <w:sz w:val="20"/>
          <w:szCs w:val="20"/>
        </w:rPr>
        <w:t>ha entendido que las prestaciones del sistema de seguridad social pueden ser consideradas un bien al que la persona tendría</w:t>
      </w:r>
      <w:r w:rsidR="005C0A47">
        <w:rPr>
          <w:rFonts w:ascii="Verdana" w:hAnsi="Verdana" w:cs="Arial"/>
          <w:sz w:val="20"/>
          <w:szCs w:val="20"/>
        </w:rPr>
        <w:t>n</w:t>
      </w:r>
      <w:r w:rsidR="00212A0F" w:rsidRPr="009B14B1">
        <w:rPr>
          <w:rFonts w:ascii="Verdana" w:hAnsi="Verdana" w:cs="Arial"/>
          <w:sz w:val="20"/>
          <w:szCs w:val="20"/>
        </w:rPr>
        <w:t xml:space="preserve"> derecho, en la medida en que lo reconociera la legislación nacional, y precisamente por su contribución al sistema de s</w:t>
      </w:r>
      <w:r w:rsidR="005C0A47">
        <w:rPr>
          <w:rFonts w:ascii="Verdana" w:hAnsi="Verdana" w:cs="Arial"/>
          <w:sz w:val="20"/>
          <w:szCs w:val="20"/>
        </w:rPr>
        <w:t>eguridad social;</w:t>
      </w:r>
      <w:r w:rsidR="00212A0F" w:rsidRPr="009B14B1">
        <w:rPr>
          <w:rFonts w:ascii="Verdana" w:hAnsi="Verdana" w:cs="Arial"/>
          <w:sz w:val="20"/>
          <w:szCs w:val="20"/>
        </w:rPr>
        <w:t xml:space="preserve"> contribución que generaría una expectativa razonable de acceso a la prestación social correspondiente</w:t>
      </w:r>
      <w:r w:rsidR="00212A0F" w:rsidRPr="000D5795">
        <w:rPr>
          <w:rStyle w:val="Refdenotaalpie"/>
          <w:rFonts w:ascii="Verdana" w:hAnsi="Verdana" w:cs="Arial"/>
          <w:sz w:val="20"/>
          <w:szCs w:val="20"/>
        </w:rPr>
        <w:footnoteReference w:id="34"/>
      </w:r>
      <w:r w:rsidR="00212A0F" w:rsidRPr="009B14B1">
        <w:rPr>
          <w:rFonts w:ascii="Verdana" w:hAnsi="Verdana" w:cs="Arial"/>
          <w:sz w:val="20"/>
          <w:szCs w:val="20"/>
        </w:rPr>
        <w:t>.</w:t>
      </w:r>
      <w:r w:rsidR="00D2143B" w:rsidRPr="00D2143B">
        <w:rPr>
          <w:rFonts w:ascii="Verdana" w:hAnsi="Verdana" w:cs="Arial"/>
          <w:sz w:val="20"/>
          <w:szCs w:val="20"/>
        </w:rPr>
        <w:t xml:space="preserve"> </w:t>
      </w:r>
      <w:r w:rsidR="00D2143B">
        <w:rPr>
          <w:rFonts w:ascii="Verdana" w:hAnsi="Verdana" w:cs="Arial"/>
          <w:sz w:val="20"/>
          <w:szCs w:val="20"/>
        </w:rPr>
        <w:t>E</w:t>
      </w:r>
      <w:r w:rsidR="00D2143B" w:rsidRPr="000D5795">
        <w:rPr>
          <w:rFonts w:ascii="Verdana" w:hAnsi="Verdana" w:cs="Arial"/>
          <w:sz w:val="20"/>
          <w:szCs w:val="20"/>
        </w:rPr>
        <w:t>ste derecho ha sido derivado del derecho de propiedad contemplado en el artículo 1 del Protocolo 1</w:t>
      </w:r>
      <w:r w:rsidR="00D2143B">
        <w:rPr>
          <w:rStyle w:val="Refdenotaalpie"/>
          <w:rFonts w:ascii="Verdana" w:hAnsi="Verdana" w:cs="Arial"/>
          <w:sz w:val="20"/>
          <w:szCs w:val="20"/>
        </w:rPr>
        <w:footnoteReference w:id="35"/>
      </w:r>
      <w:r w:rsidR="00D2143B" w:rsidRPr="000D5795">
        <w:rPr>
          <w:rFonts w:ascii="Verdana" w:hAnsi="Verdana" w:cs="Arial"/>
          <w:sz w:val="20"/>
          <w:szCs w:val="20"/>
        </w:rPr>
        <w:t xml:space="preserve"> a partir del concepto de “bienes”</w:t>
      </w:r>
      <w:r w:rsidR="00D2143B" w:rsidRPr="000D5795">
        <w:rPr>
          <w:rStyle w:val="Refdenotaalpie"/>
          <w:rFonts w:ascii="Verdana" w:hAnsi="Verdana" w:cs="Arial"/>
          <w:sz w:val="20"/>
          <w:szCs w:val="20"/>
        </w:rPr>
        <w:footnoteReference w:id="36"/>
      </w:r>
      <w:r w:rsidR="00D2143B" w:rsidRPr="000D5795">
        <w:rPr>
          <w:rFonts w:ascii="Verdana" w:hAnsi="Verdana" w:cs="Arial"/>
          <w:sz w:val="20"/>
          <w:szCs w:val="20"/>
        </w:rPr>
        <w:t>.</w:t>
      </w:r>
      <w:r w:rsidR="00792F5C">
        <w:rPr>
          <w:rFonts w:ascii="Verdana" w:hAnsi="Verdana" w:cs="Arial"/>
          <w:sz w:val="20"/>
          <w:szCs w:val="20"/>
        </w:rPr>
        <w:t xml:space="preserve"> </w:t>
      </w:r>
    </w:p>
    <w:p w:rsidR="00212A0F" w:rsidRPr="00D2143B" w:rsidRDefault="00212A0F" w:rsidP="00DD2F96">
      <w:pPr>
        <w:pStyle w:val="Prrafodelista"/>
        <w:rPr>
          <w:rFonts w:ascii="Verdana" w:hAnsi="Verdana"/>
          <w:i/>
          <w:sz w:val="20"/>
          <w:szCs w:val="20"/>
        </w:rPr>
      </w:pPr>
    </w:p>
    <w:p w:rsidR="00CC01D7" w:rsidRPr="00CC01D7" w:rsidRDefault="0031331B" w:rsidP="0031331B">
      <w:pPr>
        <w:pStyle w:val="Prrafodelista"/>
        <w:ind w:left="0"/>
        <w:jc w:val="both"/>
        <w:rPr>
          <w:rFonts w:ascii="Verdana" w:hAnsi="Verdana"/>
          <w:sz w:val="20"/>
          <w:szCs w:val="20"/>
        </w:rPr>
      </w:pPr>
      <w:r>
        <w:rPr>
          <w:rFonts w:ascii="Verdana" w:hAnsi="Verdana"/>
          <w:sz w:val="20"/>
          <w:szCs w:val="20"/>
        </w:rPr>
        <w:t xml:space="preserve">18. </w:t>
      </w:r>
      <w:r>
        <w:rPr>
          <w:rFonts w:ascii="Verdana" w:hAnsi="Verdana"/>
          <w:sz w:val="20"/>
          <w:szCs w:val="20"/>
        </w:rPr>
        <w:tab/>
      </w:r>
      <w:r w:rsidR="00CC01D7" w:rsidRPr="00CC01D7">
        <w:rPr>
          <w:rFonts w:ascii="Verdana" w:hAnsi="Verdana"/>
          <w:sz w:val="20"/>
          <w:szCs w:val="20"/>
        </w:rPr>
        <w:t xml:space="preserve">La Corte Europea ha subrayado la particular diligencia que requiere la tramitación de casos en los que la cuestión </w:t>
      </w:r>
      <w:r w:rsidR="004E7E49">
        <w:rPr>
          <w:rFonts w:ascii="Verdana" w:hAnsi="Verdana"/>
          <w:sz w:val="20"/>
          <w:szCs w:val="20"/>
        </w:rPr>
        <w:t>dirimida es de carácter urgente,</w:t>
      </w:r>
      <w:r w:rsidR="00CC01D7" w:rsidRPr="00CC01D7">
        <w:rPr>
          <w:rFonts w:ascii="Verdana" w:hAnsi="Verdana"/>
          <w:sz w:val="20"/>
          <w:szCs w:val="20"/>
        </w:rPr>
        <w:t xml:space="preserve"> </w:t>
      </w:r>
      <w:r w:rsidR="00171B6C">
        <w:rPr>
          <w:rFonts w:ascii="Verdana" w:hAnsi="Verdana"/>
          <w:sz w:val="20"/>
          <w:szCs w:val="20"/>
        </w:rPr>
        <w:t>identificando</w:t>
      </w:r>
      <w:r w:rsidR="009569B6">
        <w:rPr>
          <w:rFonts w:ascii="Verdana" w:hAnsi="Verdana"/>
          <w:sz w:val="20"/>
          <w:szCs w:val="20"/>
        </w:rPr>
        <w:t xml:space="preserve">, </w:t>
      </w:r>
      <w:r w:rsidR="00CC01D7" w:rsidRPr="00CC01D7">
        <w:rPr>
          <w:rFonts w:ascii="Verdana" w:hAnsi="Verdana"/>
          <w:sz w:val="20"/>
          <w:szCs w:val="20"/>
        </w:rPr>
        <w:t xml:space="preserve">por ejemplo, aquellos </w:t>
      </w:r>
      <w:r w:rsidR="009569B6">
        <w:rPr>
          <w:rFonts w:ascii="Verdana" w:hAnsi="Verdana"/>
          <w:sz w:val="20"/>
          <w:szCs w:val="20"/>
        </w:rPr>
        <w:t xml:space="preserve">casos </w:t>
      </w:r>
      <w:r w:rsidR="00CC01D7" w:rsidRPr="00CC01D7">
        <w:rPr>
          <w:rFonts w:ascii="Verdana" w:hAnsi="Verdana"/>
          <w:sz w:val="20"/>
          <w:szCs w:val="20"/>
        </w:rPr>
        <w:t>de naturaleza labora</w:t>
      </w:r>
      <w:r w:rsidR="009569B6">
        <w:rPr>
          <w:rFonts w:ascii="Verdana" w:hAnsi="Verdana"/>
          <w:sz w:val="20"/>
          <w:szCs w:val="20"/>
        </w:rPr>
        <w:t>l y disputas sobre pensiones</w:t>
      </w:r>
      <w:r w:rsidR="00CC01D7" w:rsidRPr="00CC01D7">
        <w:rPr>
          <w:rFonts w:ascii="Verdana" w:hAnsi="Verdana"/>
          <w:sz w:val="20"/>
          <w:szCs w:val="20"/>
        </w:rPr>
        <w:t xml:space="preserve">. Concretamente en materia </w:t>
      </w:r>
      <w:r w:rsidR="00CC01D7" w:rsidRPr="00CC01D7">
        <w:rPr>
          <w:rFonts w:ascii="Verdana" w:hAnsi="Verdana"/>
          <w:sz w:val="20"/>
          <w:szCs w:val="20"/>
        </w:rPr>
        <w:lastRenderedPageBreak/>
        <w:t xml:space="preserve">de pensiones, la Corte Europea ha dicho que </w:t>
      </w:r>
      <w:r w:rsidR="005C0A47">
        <w:rPr>
          <w:rFonts w:ascii="Verdana" w:hAnsi="Verdana"/>
          <w:bCs/>
          <w:sz w:val="20"/>
          <w:szCs w:val="20"/>
        </w:rPr>
        <w:t>“</w:t>
      </w:r>
      <w:r w:rsidR="00CC01D7" w:rsidRPr="00CC01D7">
        <w:rPr>
          <w:rFonts w:ascii="Verdana" w:hAnsi="Verdana"/>
          <w:bCs/>
          <w:sz w:val="20"/>
          <w:szCs w:val="20"/>
        </w:rPr>
        <w:t>[…] es necesaria una diligencia especial en las controversias de</w:t>
      </w:r>
      <w:r w:rsidR="00CC01D7" w:rsidRPr="00CC01D7">
        <w:rPr>
          <w:rFonts w:ascii="Verdana" w:hAnsi="Verdana"/>
          <w:sz w:val="20"/>
          <w:szCs w:val="20"/>
        </w:rPr>
        <w:t xml:space="preserve"> </w:t>
      </w:r>
      <w:r w:rsidR="00CC01D7" w:rsidRPr="00CC01D7">
        <w:rPr>
          <w:rFonts w:ascii="Verdana" w:hAnsi="Verdana"/>
          <w:bCs/>
          <w:sz w:val="20"/>
          <w:szCs w:val="20"/>
        </w:rPr>
        <w:t>carácter laboral, incluidas las controversias sobre pensiones</w:t>
      </w:r>
      <w:r w:rsidR="005C0A47">
        <w:rPr>
          <w:rFonts w:ascii="Verdana" w:hAnsi="Verdana"/>
          <w:bCs/>
          <w:sz w:val="20"/>
          <w:szCs w:val="20"/>
        </w:rPr>
        <w:t>”</w:t>
      </w:r>
      <w:r w:rsidR="00CC01D7" w:rsidRPr="00CC01D7">
        <w:rPr>
          <w:rStyle w:val="Refdenotaalpie"/>
          <w:rFonts w:ascii="Verdana" w:hAnsi="Verdana"/>
          <w:sz w:val="20"/>
          <w:szCs w:val="20"/>
        </w:rPr>
        <w:footnoteReference w:id="37"/>
      </w:r>
      <w:r w:rsidR="00CC01D7" w:rsidRPr="00CC01D7">
        <w:rPr>
          <w:rFonts w:ascii="Verdana" w:hAnsi="Verdana"/>
          <w:bCs/>
          <w:sz w:val="20"/>
          <w:szCs w:val="20"/>
        </w:rPr>
        <w:t>.</w:t>
      </w:r>
    </w:p>
    <w:p w:rsidR="00CC01D7" w:rsidRPr="00CC01D7" w:rsidRDefault="00CC01D7" w:rsidP="00DD2F96">
      <w:pPr>
        <w:pStyle w:val="Prrafodelista"/>
        <w:rPr>
          <w:rFonts w:ascii="Verdana" w:hAnsi="Verdana"/>
          <w:sz w:val="20"/>
          <w:szCs w:val="20"/>
          <w:lang w:val="es-ES"/>
        </w:rPr>
      </w:pPr>
    </w:p>
    <w:p w:rsidR="009569B6" w:rsidRPr="009B57B2" w:rsidRDefault="0031331B" w:rsidP="0031331B">
      <w:pPr>
        <w:pStyle w:val="Prrafodelista"/>
        <w:ind w:left="0"/>
        <w:jc w:val="both"/>
        <w:rPr>
          <w:rFonts w:ascii="Verdana" w:hAnsi="Verdana"/>
          <w:sz w:val="20"/>
          <w:szCs w:val="20"/>
        </w:rPr>
      </w:pPr>
      <w:r>
        <w:rPr>
          <w:rFonts w:ascii="Verdana" w:hAnsi="Verdana"/>
          <w:sz w:val="20"/>
          <w:szCs w:val="20"/>
          <w:lang w:val="es-ES"/>
        </w:rPr>
        <w:t xml:space="preserve">19. </w:t>
      </w:r>
      <w:r>
        <w:rPr>
          <w:rFonts w:ascii="Verdana" w:hAnsi="Verdana"/>
          <w:sz w:val="20"/>
          <w:szCs w:val="20"/>
          <w:lang w:val="es-ES"/>
        </w:rPr>
        <w:tab/>
      </w:r>
      <w:r w:rsidR="00F309DB">
        <w:rPr>
          <w:rFonts w:ascii="Verdana" w:hAnsi="Verdana"/>
          <w:sz w:val="20"/>
          <w:szCs w:val="20"/>
          <w:lang w:val="es-ES"/>
        </w:rPr>
        <w:t xml:space="preserve">Por su parte, en el </w:t>
      </w:r>
      <w:r w:rsidR="00CF0891">
        <w:rPr>
          <w:rFonts w:ascii="Verdana" w:hAnsi="Verdana"/>
          <w:sz w:val="20"/>
          <w:szCs w:val="20"/>
          <w:lang w:val="es-ES"/>
        </w:rPr>
        <w:t>marco</w:t>
      </w:r>
      <w:r w:rsidR="00F309DB">
        <w:rPr>
          <w:rFonts w:ascii="Verdana" w:hAnsi="Verdana"/>
          <w:sz w:val="20"/>
          <w:szCs w:val="20"/>
          <w:lang w:val="es-ES"/>
        </w:rPr>
        <w:t xml:space="preserve"> del Comité Europeo de Derechos Sociales</w:t>
      </w:r>
      <w:r w:rsidR="00B45114">
        <w:rPr>
          <w:rStyle w:val="Refdenotaalpie"/>
          <w:rFonts w:ascii="Verdana" w:hAnsi="Verdana"/>
          <w:sz w:val="20"/>
          <w:szCs w:val="20"/>
          <w:lang w:val="es-ES"/>
        </w:rPr>
        <w:footnoteReference w:id="38"/>
      </w:r>
      <w:r w:rsidR="00F309DB">
        <w:rPr>
          <w:rFonts w:ascii="Verdana" w:hAnsi="Verdana"/>
          <w:sz w:val="20"/>
          <w:szCs w:val="20"/>
          <w:lang w:val="es-ES"/>
        </w:rPr>
        <w:t xml:space="preserve">, es decir, </w:t>
      </w:r>
      <w:r w:rsidR="009F3999">
        <w:rPr>
          <w:rFonts w:ascii="Verdana" w:hAnsi="Verdana"/>
          <w:sz w:val="20"/>
          <w:szCs w:val="20"/>
          <w:lang w:val="es-ES"/>
        </w:rPr>
        <w:t>d</w:t>
      </w:r>
      <w:r w:rsidR="00F309DB">
        <w:rPr>
          <w:rFonts w:ascii="Verdana" w:hAnsi="Verdana"/>
          <w:sz w:val="20"/>
          <w:szCs w:val="20"/>
          <w:lang w:val="es-ES"/>
        </w:rPr>
        <w:t>el órgano encargado de supervisar el cumplimi</w:t>
      </w:r>
      <w:r w:rsidR="009B14B1">
        <w:rPr>
          <w:rFonts w:ascii="Verdana" w:hAnsi="Verdana"/>
          <w:sz w:val="20"/>
          <w:szCs w:val="20"/>
          <w:lang w:val="es-ES"/>
        </w:rPr>
        <w:t>ento de la Carta Social Europea, contempla</w:t>
      </w:r>
      <w:r w:rsidR="00B45114">
        <w:rPr>
          <w:rFonts w:ascii="Verdana" w:hAnsi="Verdana"/>
          <w:sz w:val="20"/>
          <w:szCs w:val="20"/>
          <w:lang w:val="es-ES"/>
        </w:rPr>
        <w:t>,</w:t>
      </w:r>
      <w:r w:rsidR="00F309DB">
        <w:rPr>
          <w:rFonts w:ascii="Verdana" w:hAnsi="Verdana"/>
          <w:sz w:val="20"/>
          <w:szCs w:val="20"/>
          <w:lang w:val="es-ES"/>
        </w:rPr>
        <w:t xml:space="preserve"> en el artículo 12, de manera expresa</w:t>
      </w:r>
      <w:r w:rsidR="00FC6342">
        <w:rPr>
          <w:rFonts w:ascii="Verdana" w:hAnsi="Verdana"/>
          <w:sz w:val="20"/>
          <w:szCs w:val="20"/>
          <w:lang w:val="es-ES"/>
        </w:rPr>
        <w:t>,</w:t>
      </w:r>
      <w:r w:rsidR="00F309DB">
        <w:rPr>
          <w:rFonts w:ascii="Verdana" w:hAnsi="Verdana"/>
          <w:sz w:val="20"/>
          <w:szCs w:val="20"/>
          <w:lang w:val="es-ES"/>
        </w:rPr>
        <w:t xml:space="preserve"> el derecho a la seguridad social</w:t>
      </w:r>
      <w:r w:rsidR="00F309DB">
        <w:rPr>
          <w:rStyle w:val="Refdenotaalpie"/>
          <w:rFonts w:ascii="Verdana" w:hAnsi="Verdana"/>
          <w:sz w:val="20"/>
          <w:szCs w:val="20"/>
          <w:lang w:val="es-ES"/>
        </w:rPr>
        <w:footnoteReference w:id="39"/>
      </w:r>
      <w:r w:rsidR="00F309DB">
        <w:rPr>
          <w:rFonts w:ascii="Verdana" w:hAnsi="Verdana"/>
          <w:sz w:val="20"/>
          <w:szCs w:val="20"/>
          <w:lang w:val="es-ES"/>
        </w:rPr>
        <w:t xml:space="preserve">. </w:t>
      </w:r>
      <w:r w:rsidR="000447B4" w:rsidRPr="000447B4">
        <w:rPr>
          <w:rFonts w:ascii="Verdana" w:hAnsi="Verdana"/>
          <w:sz w:val="20"/>
          <w:szCs w:val="20"/>
          <w:lang w:val="es-ES"/>
        </w:rPr>
        <w:t>De este modo, el Comité Europeo de Derechos Sociales ha entendido que el derecho a la seguridad social es un derecho fundamental y que el sistema de seguridad social debe cubrir los riesgos sociales tradicionales proveyendo beneficios adecuados con respecto a la atención médica, las enfermedades, el desempleo, la vejez, las lesiones laborales, la familia, la maternidad, etc. Adicionalmente, ha especificado que los beneficios que se proporcionen dentro de las diferentes ramas de la seguridad social deben ser adecuados y, en particular, los beneficios que sustituyen a los ingresos no deben ser tan bajos como para que los beneficiarios caigan en la pobreza</w:t>
      </w:r>
      <w:r w:rsidR="000447B4" w:rsidRPr="000447B4">
        <w:rPr>
          <w:rStyle w:val="Refdenotaalpie"/>
          <w:rFonts w:ascii="Verdana" w:hAnsi="Verdana"/>
          <w:sz w:val="20"/>
          <w:szCs w:val="20"/>
          <w:lang w:val="es-ES"/>
        </w:rPr>
        <w:footnoteReference w:id="40"/>
      </w:r>
      <w:r w:rsidR="000447B4">
        <w:rPr>
          <w:rFonts w:ascii="Verdana" w:hAnsi="Verdana"/>
          <w:sz w:val="20"/>
          <w:szCs w:val="20"/>
          <w:lang w:val="es-ES"/>
        </w:rPr>
        <w:t xml:space="preserve">. </w:t>
      </w:r>
      <w:r w:rsidR="00F309DB">
        <w:rPr>
          <w:rFonts w:ascii="Verdana" w:hAnsi="Verdana"/>
          <w:sz w:val="20"/>
          <w:szCs w:val="20"/>
          <w:lang w:val="es-ES"/>
        </w:rPr>
        <w:t>Cabe precisar que el mismo documento, a diferencia, por ejemplo</w:t>
      </w:r>
      <w:r w:rsidR="009569B6">
        <w:rPr>
          <w:rFonts w:ascii="Verdana" w:hAnsi="Verdana"/>
          <w:sz w:val="20"/>
          <w:szCs w:val="20"/>
          <w:lang w:val="es-ES"/>
        </w:rPr>
        <w:t>,</w:t>
      </w:r>
      <w:r w:rsidR="00F309DB">
        <w:rPr>
          <w:rFonts w:ascii="Verdana" w:hAnsi="Verdana"/>
          <w:sz w:val="20"/>
          <w:szCs w:val="20"/>
          <w:lang w:val="es-ES"/>
        </w:rPr>
        <w:t xml:space="preserve"> del PIDESC, desagrega en otras disposiciones el contenido del dere</w:t>
      </w:r>
      <w:r w:rsidR="005C0A47">
        <w:rPr>
          <w:rFonts w:ascii="Verdana" w:hAnsi="Verdana"/>
          <w:sz w:val="20"/>
          <w:szCs w:val="20"/>
          <w:lang w:val="es-ES"/>
        </w:rPr>
        <w:t>cho a la seguridad social como</w:t>
      </w:r>
      <w:r w:rsidR="00F309DB">
        <w:rPr>
          <w:rFonts w:ascii="Verdana" w:hAnsi="Verdana"/>
          <w:sz w:val="20"/>
          <w:szCs w:val="20"/>
          <w:lang w:val="es-ES"/>
        </w:rPr>
        <w:t xml:space="preserve"> la protección que tienen las trabajadoras (art. 8)</w:t>
      </w:r>
      <w:r w:rsidR="00B45114">
        <w:rPr>
          <w:rStyle w:val="Refdenotaalpie"/>
          <w:rFonts w:ascii="Verdana" w:hAnsi="Verdana"/>
          <w:sz w:val="20"/>
          <w:szCs w:val="20"/>
          <w:lang w:val="es-ES"/>
        </w:rPr>
        <w:footnoteReference w:id="41"/>
      </w:r>
      <w:r w:rsidR="00F309DB">
        <w:rPr>
          <w:rFonts w:ascii="Verdana" w:hAnsi="Verdana"/>
          <w:sz w:val="20"/>
          <w:szCs w:val="20"/>
          <w:lang w:val="es-ES"/>
        </w:rPr>
        <w:t xml:space="preserve"> o </w:t>
      </w:r>
      <w:r w:rsidR="0057467B">
        <w:rPr>
          <w:rFonts w:ascii="Verdana" w:hAnsi="Verdana"/>
          <w:sz w:val="20"/>
          <w:szCs w:val="20"/>
          <w:lang w:val="es-ES"/>
        </w:rPr>
        <w:t xml:space="preserve">el </w:t>
      </w:r>
      <w:r w:rsidR="00F309DB">
        <w:rPr>
          <w:rFonts w:ascii="Verdana" w:hAnsi="Verdana"/>
          <w:sz w:val="20"/>
          <w:szCs w:val="20"/>
          <w:lang w:val="es-ES"/>
        </w:rPr>
        <w:t>derecho a la asistencia social y médica (art. 13</w:t>
      </w:r>
      <w:r w:rsidR="00F309DB" w:rsidRPr="009B57B2">
        <w:rPr>
          <w:rFonts w:ascii="Verdana" w:hAnsi="Verdana"/>
          <w:sz w:val="20"/>
          <w:szCs w:val="20"/>
          <w:lang w:val="es-ES"/>
        </w:rPr>
        <w:t>)</w:t>
      </w:r>
      <w:r w:rsidR="00B45114" w:rsidRPr="009B57B2">
        <w:rPr>
          <w:rStyle w:val="Refdenotaalpie"/>
          <w:rFonts w:ascii="Verdana" w:hAnsi="Verdana"/>
          <w:sz w:val="20"/>
          <w:szCs w:val="20"/>
          <w:lang w:val="es-ES"/>
        </w:rPr>
        <w:footnoteReference w:id="42"/>
      </w:r>
      <w:r w:rsidR="00F309DB" w:rsidRPr="009B57B2">
        <w:rPr>
          <w:rFonts w:ascii="Verdana" w:hAnsi="Verdana"/>
          <w:sz w:val="20"/>
          <w:szCs w:val="20"/>
          <w:lang w:val="es-ES"/>
        </w:rPr>
        <w:t xml:space="preserve">. </w:t>
      </w:r>
      <w:r w:rsidR="009E16B8" w:rsidRPr="009B57B2">
        <w:rPr>
          <w:rFonts w:ascii="Verdana" w:hAnsi="Verdana"/>
          <w:sz w:val="20"/>
          <w:szCs w:val="20"/>
        </w:rPr>
        <w:t>Tambi</w:t>
      </w:r>
      <w:r w:rsidR="00FC6342" w:rsidRPr="009B57B2">
        <w:rPr>
          <w:rFonts w:ascii="Verdana" w:hAnsi="Verdana"/>
          <w:sz w:val="20"/>
          <w:szCs w:val="20"/>
        </w:rPr>
        <w:t>én resulta</w:t>
      </w:r>
      <w:r w:rsidR="009E16B8" w:rsidRPr="009B57B2">
        <w:rPr>
          <w:rFonts w:ascii="Verdana" w:hAnsi="Verdana"/>
          <w:sz w:val="20"/>
          <w:szCs w:val="20"/>
        </w:rPr>
        <w:t xml:space="preserve"> </w:t>
      </w:r>
      <w:r w:rsidR="009E16B8" w:rsidRPr="009B57B2">
        <w:rPr>
          <w:rFonts w:ascii="Verdana" w:hAnsi="Verdana"/>
          <w:sz w:val="20"/>
          <w:szCs w:val="20"/>
        </w:rPr>
        <w:lastRenderedPageBreak/>
        <w:t xml:space="preserve">relevante </w:t>
      </w:r>
      <w:r w:rsidR="0022737F" w:rsidRPr="009B57B2">
        <w:rPr>
          <w:rFonts w:ascii="Verdana" w:hAnsi="Verdana"/>
          <w:sz w:val="20"/>
          <w:szCs w:val="20"/>
        </w:rPr>
        <w:t>l</w:t>
      </w:r>
      <w:r w:rsidR="009E16B8" w:rsidRPr="009B57B2">
        <w:rPr>
          <w:rFonts w:ascii="Verdana" w:hAnsi="Verdana"/>
          <w:sz w:val="20"/>
          <w:szCs w:val="20"/>
        </w:rPr>
        <w:t xml:space="preserve">a </w:t>
      </w:r>
      <w:r w:rsidR="009E16B8" w:rsidRPr="009B57B2">
        <w:rPr>
          <w:rFonts w:ascii="Verdana" w:hAnsi="Verdana"/>
          <w:i/>
          <w:sz w:val="20"/>
          <w:szCs w:val="20"/>
        </w:rPr>
        <w:t xml:space="preserve">Recomendación sobre la Promoción de los Derechos Humanos de las Personas Mayores, </w:t>
      </w:r>
      <w:r w:rsidR="009E16B8" w:rsidRPr="009B57B2">
        <w:rPr>
          <w:rFonts w:ascii="Verdana" w:hAnsi="Verdana"/>
          <w:sz w:val="20"/>
          <w:szCs w:val="20"/>
        </w:rPr>
        <w:t>del Consejo de Europa, aprobada en 2014</w:t>
      </w:r>
      <w:r w:rsidR="004D6765" w:rsidRPr="009B57B2">
        <w:rPr>
          <w:rStyle w:val="Refdenotaalpie"/>
          <w:rFonts w:ascii="Verdana" w:hAnsi="Verdana"/>
          <w:sz w:val="20"/>
          <w:szCs w:val="20"/>
          <w:lang w:val="es-ES"/>
        </w:rPr>
        <w:footnoteReference w:id="43"/>
      </w:r>
      <w:r w:rsidR="004D6765" w:rsidRPr="009B57B2">
        <w:rPr>
          <w:rFonts w:ascii="Verdana" w:hAnsi="Verdana"/>
          <w:sz w:val="20"/>
          <w:szCs w:val="20"/>
        </w:rPr>
        <w:t>.</w:t>
      </w:r>
    </w:p>
    <w:p w:rsidR="00F47861" w:rsidRPr="00B45114" w:rsidRDefault="00F47861" w:rsidP="00F47861">
      <w:pPr>
        <w:pStyle w:val="Prrafodelista"/>
        <w:ind w:left="0"/>
        <w:jc w:val="both"/>
        <w:rPr>
          <w:rFonts w:ascii="Verdana" w:hAnsi="Verdana"/>
          <w:sz w:val="20"/>
          <w:szCs w:val="20"/>
        </w:rPr>
      </w:pPr>
    </w:p>
    <w:p w:rsidR="00E715C1" w:rsidRPr="00035896" w:rsidRDefault="005F6956" w:rsidP="00035896">
      <w:pPr>
        <w:pStyle w:val="Prrafodelista"/>
        <w:numPr>
          <w:ilvl w:val="0"/>
          <w:numId w:val="16"/>
        </w:numPr>
        <w:jc w:val="both"/>
        <w:outlineLvl w:val="1"/>
        <w:rPr>
          <w:rFonts w:ascii="Verdana" w:hAnsi="Verdana"/>
          <w:i/>
          <w:sz w:val="20"/>
          <w:szCs w:val="20"/>
          <w:lang w:val="es-ES"/>
        </w:rPr>
      </w:pPr>
      <w:r w:rsidRPr="00035896">
        <w:rPr>
          <w:rFonts w:ascii="Verdana" w:hAnsi="Verdana"/>
          <w:i/>
          <w:sz w:val="20"/>
          <w:szCs w:val="20"/>
          <w:lang w:val="es-ES"/>
        </w:rPr>
        <w:t>Sistema Interamericano de Derechos Humanos: l</w:t>
      </w:r>
      <w:r w:rsidR="00E715C1" w:rsidRPr="00035896">
        <w:rPr>
          <w:rFonts w:ascii="Verdana" w:hAnsi="Verdana"/>
          <w:i/>
          <w:sz w:val="20"/>
          <w:szCs w:val="20"/>
          <w:lang w:val="es-ES"/>
        </w:rPr>
        <w:t xml:space="preserve">a interpretación de la Corte Interamericana </w:t>
      </w:r>
      <w:r w:rsidR="004E7E49">
        <w:rPr>
          <w:rFonts w:ascii="Verdana" w:hAnsi="Verdana"/>
          <w:i/>
          <w:sz w:val="20"/>
          <w:szCs w:val="20"/>
          <w:lang w:val="es-ES"/>
        </w:rPr>
        <w:t>en</w:t>
      </w:r>
      <w:r w:rsidR="00E715C1" w:rsidRPr="00035896">
        <w:rPr>
          <w:rFonts w:ascii="Verdana" w:hAnsi="Verdana"/>
          <w:i/>
          <w:sz w:val="20"/>
          <w:szCs w:val="20"/>
          <w:lang w:val="es-ES"/>
        </w:rPr>
        <w:t xml:space="preserve"> relación </w:t>
      </w:r>
      <w:r w:rsidR="004E7E49">
        <w:rPr>
          <w:rFonts w:ascii="Verdana" w:hAnsi="Verdana"/>
          <w:i/>
          <w:sz w:val="20"/>
          <w:szCs w:val="20"/>
          <w:lang w:val="es-ES"/>
        </w:rPr>
        <w:t>con el</w:t>
      </w:r>
      <w:r w:rsidR="00E715C1" w:rsidRPr="00035896">
        <w:rPr>
          <w:rFonts w:ascii="Verdana" w:hAnsi="Verdana"/>
          <w:i/>
          <w:sz w:val="20"/>
          <w:szCs w:val="20"/>
          <w:lang w:val="es-ES"/>
        </w:rPr>
        <w:t xml:space="preserve"> artículo 26 y el derecho a la segurid</w:t>
      </w:r>
      <w:r w:rsidR="00F47861" w:rsidRPr="00035896">
        <w:rPr>
          <w:rFonts w:ascii="Verdana" w:hAnsi="Verdana"/>
          <w:i/>
          <w:sz w:val="20"/>
          <w:szCs w:val="20"/>
          <w:lang w:val="es-ES"/>
        </w:rPr>
        <w:t>ad social como derecho autónomo</w:t>
      </w:r>
      <w:r w:rsidR="00E715C1" w:rsidRPr="00035896">
        <w:rPr>
          <w:rFonts w:ascii="Verdana" w:hAnsi="Verdana"/>
          <w:i/>
          <w:sz w:val="20"/>
          <w:szCs w:val="20"/>
          <w:lang w:val="es-ES"/>
        </w:rPr>
        <w:t xml:space="preserve"> </w:t>
      </w:r>
    </w:p>
    <w:p w:rsidR="005C0A47" w:rsidRDefault="005C0A47" w:rsidP="00DD2F96">
      <w:pPr>
        <w:tabs>
          <w:tab w:val="left" w:pos="709"/>
          <w:tab w:val="left" w:pos="9356"/>
        </w:tabs>
        <w:ind w:right="6"/>
        <w:jc w:val="both"/>
        <w:rPr>
          <w:rFonts w:ascii="Verdana" w:hAnsi="Verdana" w:cs="Arial"/>
          <w:color w:val="000000"/>
          <w:sz w:val="20"/>
          <w:szCs w:val="20"/>
          <w:lang w:val="es-ES"/>
        </w:rPr>
      </w:pPr>
    </w:p>
    <w:p w:rsidR="0034314C" w:rsidRDefault="0034314C" w:rsidP="00DD2F96">
      <w:pPr>
        <w:pStyle w:val="Prrafodelista"/>
        <w:numPr>
          <w:ilvl w:val="0"/>
          <w:numId w:val="8"/>
        </w:numPr>
        <w:tabs>
          <w:tab w:val="left" w:pos="709"/>
          <w:tab w:val="left" w:pos="9356"/>
        </w:tabs>
        <w:ind w:right="6"/>
        <w:jc w:val="both"/>
        <w:rPr>
          <w:rFonts w:ascii="Verdana" w:hAnsi="Verdana" w:cs="Arial"/>
          <w:color w:val="000000"/>
          <w:sz w:val="20"/>
          <w:szCs w:val="20"/>
          <w:u w:val="single"/>
          <w:lang w:val="es-ES"/>
        </w:rPr>
      </w:pPr>
      <w:r w:rsidRPr="0034314C">
        <w:rPr>
          <w:rFonts w:ascii="Verdana" w:hAnsi="Verdana" w:cs="Arial"/>
          <w:color w:val="000000"/>
          <w:sz w:val="20"/>
          <w:szCs w:val="20"/>
          <w:u w:val="single"/>
          <w:lang w:val="es-ES"/>
        </w:rPr>
        <w:t xml:space="preserve">El derecho a la seguridad social antes del </w:t>
      </w:r>
      <w:r w:rsidRPr="005F6956">
        <w:rPr>
          <w:rFonts w:ascii="Verdana" w:hAnsi="Verdana" w:cs="Arial"/>
          <w:i/>
          <w:color w:val="000000"/>
          <w:sz w:val="20"/>
          <w:szCs w:val="20"/>
          <w:u w:val="single"/>
          <w:lang w:val="es-ES"/>
        </w:rPr>
        <w:t>Caso Lagos del Campo Vs. Perú</w:t>
      </w:r>
      <w:r w:rsidR="00035896">
        <w:rPr>
          <w:rFonts w:ascii="Verdana" w:hAnsi="Verdana" w:cs="Arial"/>
          <w:color w:val="000000"/>
          <w:sz w:val="20"/>
          <w:szCs w:val="20"/>
          <w:u w:val="single"/>
          <w:lang w:val="es-ES"/>
        </w:rPr>
        <w:t xml:space="preserve"> </w:t>
      </w:r>
    </w:p>
    <w:p w:rsidR="0034314C" w:rsidRPr="0034314C" w:rsidRDefault="0034314C" w:rsidP="00DD2F96">
      <w:pPr>
        <w:pStyle w:val="Prrafodelista"/>
        <w:tabs>
          <w:tab w:val="left" w:pos="709"/>
          <w:tab w:val="left" w:pos="9356"/>
        </w:tabs>
        <w:ind w:right="6"/>
        <w:jc w:val="both"/>
        <w:rPr>
          <w:rFonts w:ascii="Verdana" w:hAnsi="Verdana" w:cs="Arial"/>
          <w:color w:val="000000"/>
          <w:sz w:val="20"/>
          <w:szCs w:val="20"/>
          <w:u w:val="single"/>
          <w:lang w:val="es-ES"/>
        </w:rPr>
      </w:pPr>
    </w:p>
    <w:p w:rsidR="001E66F6" w:rsidRDefault="00FE7713" w:rsidP="00FE7713">
      <w:pPr>
        <w:pStyle w:val="Prrafodelista"/>
        <w:tabs>
          <w:tab w:val="left" w:pos="0"/>
          <w:tab w:val="left" w:pos="567"/>
        </w:tabs>
        <w:ind w:left="0" w:right="6"/>
        <w:jc w:val="both"/>
        <w:rPr>
          <w:rFonts w:ascii="Verdana" w:hAnsi="Verdana" w:cs="Arial"/>
          <w:color w:val="000000"/>
          <w:sz w:val="20"/>
          <w:szCs w:val="20"/>
        </w:rPr>
      </w:pPr>
      <w:r>
        <w:rPr>
          <w:rFonts w:ascii="Verdana" w:hAnsi="Verdana" w:cs="Arial"/>
          <w:color w:val="000000"/>
          <w:sz w:val="20"/>
          <w:szCs w:val="20"/>
        </w:rPr>
        <w:t xml:space="preserve">20. </w:t>
      </w:r>
      <w:r>
        <w:rPr>
          <w:rFonts w:ascii="Verdana" w:hAnsi="Verdana" w:cs="Arial"/>
          <w:color w:val="000000"/>
          <w:sz w:val="20"/>
          <w:szCs w:val="20"/>
        </w:rPr>
        <w:tab/>
      </w:r>
      <w:r w:rsidR="000D5795" w:rsidRPr="001E66F6">
        <w:rPr>
          <w:rFonts w:ascii="Verdana" w:hAnsi="Verdana" w:cs="Arial"/>
          <w:color w:val="000000"/>
          <w:sz w:val="20"/>
          <w:szCs w:val="20"/>
        </w:rPr>
        <w:t xml:space="preserve">En </w:t>
      </w:r>
      <w:r w:rsidR="001E66F6">
        <w:rPr>
          <w:rFonts w:ascii="Verdana" w:hAnsi="Verdana" w:cs="Arial"/>
          <w:color w:val="000000"/>
          <w:sz w:val="20"/>
          <w:szCs w:val="20"/>
        </w:rPr>
        <w:t xml:space="preserve">relación al </w:t>
      </w:r>
      <w:r w:rsidR="001E66F6" w:rsidRPr="005C0A47">
        <w:rPr>
          <w:rFonts w:ascii="Verdana" w:hAnsi="Verdana" w:cs="Arial"/>
          <w:i/>
          <w:color w:val="000000"/>
          <w:sz w:val="20"/>
          <w:szCs w:val="20"/>
        </w:rPr>
        <w:t>derecho a la</w:t>
      </w:r>
      <w:r w:rsidR="000D5795" w:rsidRPr="005C0A47">
        <w:rPr>
          <w:rFonts w:ascii="Verdana" w:hAnsi="Verdana" w:cs="Arial"/>
          <w:i/>
          <w:color w:val="000000"/>
          <w:sz w:val="20"/>
          <w:szCs w:val="20"/>
        </w:rPr>
        <w:t xml:space="preserve"> seguridad social</w:t>
      </w:r>
      <w:r w:rsidR="000D5795" w:rsidRPr="001E66F6">
        <w:rPr>
          <w:rFonts w:ascii="Verdana" w:hAnsi="Verdana" w:cs="Arial"/>
          <w:color w:val="000000"/>
          <w:sz w:val="20"/>
          <w:szCs w:val="20"/>
        </w:rPr>
        <w:t xml:space="preserve">, </w:t>
      </w:r>
      <w:r w:rsidR="005C0A47">
        <w:rPr>
          <w:rFonts w:ascii="Verdana" w:hAnsi="Verdana" w:cs="Arial"/>
          <w:color w:val="000000"/>
          <w:sz w:val="20"/>
          <w:szCs w:val="20"/>
        </w:rPr>
        <w:t xml:space="preserve">la jurisprudencia de la Corte </w:t>
      </w:r>
      <w:r w:rsidR="00C15D88">
        <w:rPr>
          <w:rFonts w:ascii="Verdana" w:hAnsi="Verdana" w:cs="Arial"/>
          <w:color w:val="000000"/>
          <w:sz w:val="20"/>
          <w:szCs w:val="20"/>
        </w:rPr>
        <w:t xml:space="preserve">IDH </w:t>
      </w:r>
      <w:r w:rsidR="000D5795" w:rsidRPr="001E66F6">
        <w:rPr>
          <w:rFonts w:ascii="Verdana" w:hAnsi="Verdana" w:cs="Arial"/>
          <w:color w:val="000000"/>
          <w:sz w:val="20"/>
          <w:szCs w:val="20"/>
        </w:rPr>
        <w:t>ha</w:t>
      </w:r>
      <w:r w:rsidR="00261B73">
        <w:rPr>
          <w:rFonts w:ascii="Verdana" w:hAnsi="Verdana" w:cs="Arial"/>
          <w:color w:val="000000"/>
          <w:sz w:val="20"/>
          <w:szCs w:val="20"/>
        </w:rPr>
        <w:t>bía</w:t>
      </w:r>
      <w:r w:rsidR="000D5795" w:rsidRPr="001E66F6">
        <w:rPr>
          <w:rFonts w:ascii="Verdana" w:hAnsi="Verdana" w:cs="Arial"/>
          <w:color w:val="000000"/>
          <w:sz w:val="20"/>
          <w:szCs w:val="20"/>
        </w:rPr>
        <w:t xml:space="preserve"> versado sobre el régimen de pensiones</w:t>
      </w:r>
      <w:r w:rsidR="001E66F6">
        <w:rPr>
          <w:rFonts w:ascii="Verdana" w:hAnsi="Verdana" w:cs="Arial"/>
          <w:color w:val="000000"/>
          <w:sz w:val="20"/>
          <w:szCs w:val="20"/>
        </w:rPr>
        <w:t>. Al respecto el Tribun</w:t>
      </w:r>
      <w:r w:rsidR="005C0A47">
        <w:rPr>
          <w:rFonts w:ascii="Verdana" w:hAnsi="Verdana" w:cs="Arial"/>
          <w:color w:val="000000"/>
          <w:sz w:val="20"/>
          <w:szCs w:val="20"/>
        </w:rPr>
        <w:t>al Interamericano ha protegido e</w:t>
      </w:r>
      <w:r w:rsidR="001E66F6">
        <w:rPr>
          <w:rFonts w:ascii="Verdana" w:hAnsi="Verdana" w:cs="Arial"/>
          <w:color w:val="000000"/>
          <w:sz w:val="20"/>
          <w:szCs w:val="20"/>
        </w:rPr>
        <w:t xml:space="preserve">ste derecho, </w:t>
      </w:r>
      <w:r w:rsidR="000D5795" w:rsidRPr="001E66F6">
        <w:rPr>
          <w:rFonts w:ascii="Verdana" w:hAnsi="Verdana" w:cs="Arial"/>
          <w:color w:val="000000"/>
          <w:sz w:val="20"/>
          <w:szCs w:val="20"/>
        </w:rPr>
        <w:t>principalmente</w:t>
      </w:r>
      <w:r w:rsidR="001E66F6">
        <w:rPr>
          <w:rFonts w:ascii="Verdana" w:hAnsi="Verdana" w:cs="Arial"/>
          <w:color w:val="000000"/>
          <w:sz w:val="20"/>
          <w:szCs w:val="20"/>
        </w:rPr>
        <w:t>,</w:t>
      </w:r>
      <w:r w:rsidR="000D5795" w:rsidRPr="001E66F6">
        <w:rPr>
          <w:rFonts w:ascii="Verdana" w:hAnsi="Verdana" w:cs="Arial"/>
          <w:color w:val="000000"/>
          <w:sz w:val="20"/>
          <w:szCs w:val="20"/>
        </w:rPr>
        <w:t xml:space="preserve"> a través del</w:t>
      </w:r>
      <w:r w:rsidR="005C0A47">
        <w:rPr>
          <w:rFonts w:ascii="Verdana" w:hAnsi="Verdana" w:cs="Arial"/>
          <w:color w:val="000000"/>
          <w:sz w:val="20"/>
          <w:szCs w:val="20"/>
        </w:rPr>
        <w:t xml:space="preserve"> derecho </w:t>
      </w:r>
      <w:r w:rsidR="0056743C">
        <w:rPr>
          <w:rFonts w:ascii="Verdana" w:hAnsi="Verdana" w:cs="Arial"/>
          <w:color w:val="000000"/>
          <w:sz w:val="20"/>
          <w:szCs w:val="20"/>
        </w:rPr>
        <w:t xml:space="preserve">a la </w:t>
      </w:r>
      <w:r w:rsidR="005C0A47">
        <w:rPr>
          <w:rFonts w:ascii="Verdana" w:hAnsi="Verdana" w:cs="Arial"/>
          <w:color w:val="000000"/>
          <w:sz w:val="20"/>
          <w:szCs w:val="20"/>
        </w:rPr>
        <w:t>propiedad privada —</w:t>
      </w:r>
      <w:r w:rsidR="000D5795" w:rsidRPr="001E66F6">
        <w:rPr>
          <w:rFonts w:ascii="Verdana" w:hAnsi="Verdana" w:cs="Arial"/>
          <w:color w:val="000000"/>
          <w:sz w:val="20"/>
          <w:szCs w:val="20"/>
        </w:rPr>
        <w:t xml:space="preserve">bajo la figura de </w:t>
      </w:r>
      <w:r w:rsidR="001E66F6">
        <w:rPr>
          <w:rFonts w:ascii="Verdana" w:hAnsi="Verdana" w:cs="Arial"/>
          <w:color w:val="000000"/>
          <w:sz w:val="20"/>
          <w:szCs w:val="20"/>
        </w:rPr>
        <w:t>“</w:t>
      </w:r>
      <w:r w:rsidR="000D5795" w:rsidRPr="001E66F6">
        <w:rPr>
          <w:rFonts w:ascii="Verdana" w:hAnsi="Verdana" w:cs="Arial"/>
          <w:color w:val="000000"/>
          <w:sz w:val="20"/>
          <w:szCs w:val="20"/>
        </w:rPr>
        <w:t>derechos adquiridos</w:t>
      </w:r>
      <w:r w:rsidR="001E66F6">
        <w:rPr>
          <w:rFonts w:ascii="Verdana" w:hAnsi="Verdana" w:cs="Arial"/>
          <w:color w:val="000000"/>
          <w:sz w:val="20"/>
          <w:szCs w:val="20"/>
        </w:rPr>
        <w:t>”</w:t>
      </w:r>
      <w:r w:rsidR="005C0A47">
        <w:rPr>
          <w:rFonts w:ascii="Verdana" w:hAnsi="Verdana" w:cs="Arial"/>
          <w:color w:val="000000"/>
          <w:sz w:val="20"/>
          <w:szCs w:val="20"/>
        </w:rPr>
        <w:t xml:space="preserve">— </w:t>
      </w:r>
      <w:r w:rsidR="0057467B">
        <w:rPr>
          <w:rFonts w:ascii="Verdana" w:hAnsi="Verdana" w:cs="Arial"/>
          <w:color w:val="000000"/>
          <w:sz w:val="20"/>
          <w:szCs w:val="20"/>
        </w:rPr>
        <w:t>(a</w:t>
      </w:r>
      <w:r w:rsidR="000D5795" w:rsidRPr="001E66F6">
        <w:rPr>
          <w:rFonts w:ascii="Verdana" w:hAnsi="Verdana" w:cs="Arial"/>
          <w:color w:val="000000"/>
          <w:sz w:val="20"/>
          <w:szCs w:val="20"/>
        </w:rPr>
        <w:t>rtículo 21 d</w:t>
      </w:r>
      <w:r w:rsidR="001E66F6">
        <w:rPr>
          <w:rFonts w:ascii="Verdana" w:hAnsi="Verdana" w:cs="Arial"/>
          <w:color w:val="000000"/>
          <w:sz w:val="20"/>
          <w:szCs w:val="20"/>
        </w:rPr>
        <w:t>e la CADH)</w:t>
      </w:r>
      <w:r w:rsidR="000D5795" w:rsidRPr="001E66F6">
        <w:rPr>
          <w:rFonts w:ascii="Verdana" w:hAnsi="Verdana" w:cs="Arial"/>
          <w:color w:val="000000"/>
          <w:sz w:val="20"/>
          <w:szCs w:val="20"/>
        </w:rPr>
        <w:t>, la protección judicia</w:t>
      </w:r>
      <w:r w:rsidR="005C0A47">
        <w:rPr>
          <w:rFonts w:ascii="Verdana" w:hAnsi="Verdana" w:cs="Arial"/>
          <w:color w:val="000000"/>
          <w:sz w:val="20"/>
          <w:szCs w:val="20"/>
        </w:rPr>
        <w:t>l (a</w:t>
      </w:r>
      <w:r w:rsidR="001E66F6">
        <w:rPr>
          <w:rFonts w:ascii="Verdana" w:hAnsi="Verdana" w:cs="Arial"/>
          <w:color w:val="000000"/>
          <w:sz w:val="20"/>
          <w:szCs w:val="20"/>
        </w:rPr>
        <w:t>rtículo 25 de la CADH)</w:t>
      </w:r>
      <w:r w:rsidR="00D2143B">
        <w:rPr>
          <w:rFonts w:ascii="Verdana" w:hAnsi="Verdana" w:cs="Arial"/>
          <w:color w:val="000000"/>
          <w:sz w:val="20"/>
          <w:szCs w:val="20"/>
        </w:rPr>
        <w:t xml:space="preserve"> </w:t>
      </w:r>
      <w:r w:rsidR="001E66F6">
        <w:rPr>
          <w:rFonts w:ascii="Verdana" w:hAnsi="Verdana" w:cs="Arial"/>
          <w:color w:val="000000"/>
          <w:sz w:val="20"/>
          <w:szCs w:val="20"/>
        </w:rPr>
        <w:t>o a partir de</w:t>
      </w:r>
      <w:r w:rsidR="000D5795" w:rsidRPr="001E66F6">
        <w:rPr>
          <w:rFonts w:ascii="Verdana" w:hAnsi="Verdana" w:cs="Arial"/>
          <w:color w:val="000000"/>
          <w:sz w:val="20"/>
          <w:szCs w:val="20"/>
        </w:rPr>
        <w:t>l</w:t>
      </w:r>
      <w:r w:rsidR="001E66F6">
        <w:rPr>
          <w:rFonts w:ascii="Verdana" w:hAnsi="Verdana" w:cs="Arial"/>
          <w:color w:val="000000"/>
          <w:sz w:val="20"/>
          <w:szCs w:val="20"/>
        </w:rPr>
        <w:t xml:space="preserve"> derecho a la </w:t>
      </w:r>
      <w:r w:rsidR="000D5795" w:rsidRPr="001E66F6">
        <w:rPr>
          <w:rFonts w:ascii="Verdana" w:hAnsi="Verdana" w:cs="Arial"/>
          <w:color w:val="000000"/>
          <w:sz w:val="20"/>
          <w:szCs w:val="20"/>
        </w:rPr>
        <w:t xml:space="preserve">igualdad </w:t>
      </w:r>
      <w:r w:rsidR="0056743C">
        <w:rPr>
          <w:rFonts w:ascii="Verdana" w:hAnsi="Verdana" w:cs="Arial"/>
          <w:color w:val="000000"/>
          <w:sz w:val="20"/>
          <w:szCs w:val="20"/>
        </w:rPr>
        <w:t xml:space="preserve">ante la ley </w:t>
      </w:r>
      <w:r w:rsidR="000D5795" w:rsidRPr="001E66F6">
        <w:rPr>
          <w:rFonts w:ascii="Verdana" w:hAnsi="Verdana" w:cs="Arial"/>
          <w:color w:val="000000"/>
          <w:sz w:val="20"/>
          <w:szCs w:val="20"/>
        </w:rPr>
        <w:t xml:space="preserve">y </w:t>
      </w:r>
      <w:r w:rsidR="005C0A47">
        <w:rPr>
          <w:rFonts w:ascii="Verdana" w:hAnsi="Verdana" w:cs="Arial"/>
          <w:color w:val="000000"/>
          <w:sz w:val="20"/>
          <w:szCs w:val="20"/>
        </w:rPr>
        <w:t>no discriminación (a</w:t>
      </w:r>
      <w:r w:rsidR="000D5795" w:rsidRPr="001E66F6">
        <w:rPr>
          <w:rFonts w:ascii="Verdana" w:hAnsi="Verdana" w:cs="Arial"/>
          <w:color w:val="000000"/>
          <w:sz w:val="20"/>
          <w:szCs w:val="20"/>
        </w:rPr>
        <w:t>rtículo</w:t>
      </w:r>
      <w:r w:rsidR="005C0A47">
        <w:rPr>
          <w:rFonts w:ascii="Verdana" w:hAnsi="Verdana" w:cs="Arial"/>
          <w:color w:val="000000"/>
          <w:sz w:val="20"/>
          <w:szCs w:val="20"/>
        </w:rPr>
        <w:t>s</w:t>
      </w:r>
      <w:r w:rsidR="000D5795" w:rsidRPr="001E66F6">
        <w:rPr>
          <w:rFonts w:ascii="Verdana" w:hAnsi="Verdana" w:cs="Arial"/>
          <w:color w:val="000000"/>
          <w:sz w:val="20"/>
          <w:szCs w:val="20"/>
        </w:rPr>
        <w:t xml:space="preserve"> </w:t>
      </w:r>
      <w:r w:rsidR="0056743C">
        <w:rPr>
          <w:rFonts w:ascii="Verdana" w:hAnsi="Verdana" w:cs="Arial"/>
          <w:color w:val="000000"/>
          <w:sz w:val="20"/>
          <w:szCs w:val="20"/>
        </w:rPr>
        <w:t xml:space="preserve">24 y 1.1 </w:t>
      </w:r>
      <w:r w:rsidR="000D5795" w:rsidRPr="001E66F6">
        <w:rPr>
          <w:rFonts w:ascii="Verdana" w:hAnsi="Verdana" w:cs="Arial"/>
          <w:color w:val="000000"/>
          <w:sz w:val="20"/>
          <w:szCs w:val="20"/>
        </w:rPr>
        <w:t>de la CADH).</w:t>
      </w:r>
      <w:r w:rsidR="00792F5C">
        <w:rPr>
          <w:rFonts w:ascii="Verdana" w:hAnsi="Verdana" w:cs="Arial"/>
          <w:color w:val="000000"/>
          <w:sz w:val="20"/>
          <w:szCs w:val="20"/>
        </w:rPr>
        <w:t xml:space="preserve"> </w:t>
      </w:r>
    </w:p>
    <w:p w:rsidR="001E66F6" w:rsidRDefault="001E66F6" w:rsidP="00DD2F96">
      <w:pPr>
        <w:pStyle w:val="Prrafodelista"/>
        <w:tabs>
          <w:tab w:val="left" w:pos="0"/>
          <w:tab w:val="left" w:pos="567"/>
        </w:tabs>
        <w:ind w:left="0" w:right="6"/>
        <w:jc w:val="both"/>
        <w:rPr>
          <w:rFonts w:ascii="Verdana" w:hAnsi="Verdana" w:cs="Arial"/>
          <w:color w:val="000000"/>
          <w:sz w:val="20"/>
          <w:szCs w:val="20"/>
        </w:rPr>
      </w:pPr>
    </w:p>
    <w:p w:rsidR="001E66F6" w:rsidRDefault="00FE7713" w:rsidP="00FE7713">
      <w:pPr>
        <w:pStyle w:val="Prrafodelista"/>
        <w:tabs>
          <w:tab w:val="left" w:pos="0"/>
          <w:tab w:val="left" w:pos="567"/>
        </w:tabs>
        <w:ind w:left="0" w:right="6"/>
        <w:jc w:val="both"/>
        <w:rPr>
          <w:rFonts w:ascii="Verdana" w:hAnsi="Verdana" w:cs="Arial"/>
          <w:color w:val="000000"/>
          <w:sz w:val="20"/>
          <w:szCs w:val="20"/>
        </w:rPr>
      </w:pPr>
      <w:r>
        <w:rPr>
          <w:rFonts w:ascii="Verdana" w:hAnsi="Verdana" w:cs="Arial"/>
          <w:color w:val="000000"/>
          <w:sz w:val="20"/>
          <w:szCs w:val="20"/>
        </w:rPr>
        <w:t xml:space="preserve">21. </w:t>
      </w:r>
      <w:r>
        <w:rPr>
          <w:rFonts w:ascii="Verdana" w:hAnsi="Verdana" w:cs="Arial"/>
          <w:color w:val="000000"/>
          <w:sz w:val="20"/>
          <w:szCs w:val="20"/>
        </w:rPr>
        <w:tab/>
      </w:r>
      <w:r w:rsidR="000D5795" w:rsidRPr="001E66F6">
        <w:rPr>
          <w:rFonts w:ascii="Verdana" w:hAnsi="Verdana" w:cs="Arial"/>
          <w:color w:val="000000"/>
          <w:sz w:val="20"/>
          <w:szCs w:val="20"/>
        </w:rPr>
        <w:t xml:space="preserve">En el </w:t>
      </w:r>
      <w:r w:rsidR="000D5795" w:rsidRPr="001E66F6">
        <w:rPr>
          <w:rFonts w:ascii="Verdana" w:hAnsi="Verdana" w:cs="Arial"/>
          <w:i/>
          <w:color w:val="000000"/>
          <w:sz w:val="20"/>
          <w:szCs w:val="20"/>
        </w:rPr>
        <w:t>Caso Cinco Pensionistas Vs Perú</w:t>
      </w:r>
      <w:r w:rsidR="001E66F6">
        <w:rPr>
          <w:rFonts w:ascii="Verdana" w:hAnsi="Verdana" w:cs="Arial"/>
          <w:i/>
          <w:color w:val="000000"/>
          <w:sz w:val="20"/>
          <w:szCs w:val="20"/>
        </w:rPr>
        <w:t xml:space="preserve"> </w:t>
      </w:r>
      <w:r w:rsidR="001E66F6" w:rsidRPr="001E66F6">
        <w:rPr>
          <w:rFonts w:ascii="Verdana" w:hAnsi="Verdana" w:cs="Arial"/>
          <w:color w:val="000000"/>
          <w:sz w:val="20"/>
          <w:szCs w:val="20"/>
        </w:rPr>
        <w:t>(</w:t>
      </w:r>
      <w:r w:rsidR="007C7830">
        <w:rPr>
          <w:rFonts w:ascii="Verdana" w:hAnsi="Verdana" w:cs="Arial"/>
          <w:color w:val="000000"/>
          <w:sz w:val="20"/>
          <w:szCs w:val="20"/>
        </w:rPr>
        <w:t>2003</w:t>
      </w:r>
      <w:r w:rsidR="001E66F6" w:rsidRPr="001E66F6">
        <w:rPr>
          <w:rFonts w:ascii="Verdana" w:hAnsi="Verdana" w:cs="Arial"/>
          <w:color w:val="000000"/>
          <w:sz w:val="20"/>
          <w:szCs w:val="20"/>
        </w:rPr>
        <w:t>)</w:t>
      </w:r>
      <w:r w:rsidR="000D5795" w:rsidRPr="001E66F6">
        <w:rPr>
          <w:rFonts w:ascii="Verdana" w:hAnsi="Verdana" w:cs="Arial"/>
          <w:color w:val="000000"/>
          <w:sz w:val="20"/>
          <w:szCs w:val="20"/>
        </w:rPr>
        <w:t>, la Corte I</w:t>
      </w:r>
      <w:r w:rsidR="005C0A47">
        <w:rPr>
          <w:rFonts w:ascii="Verdana" w:hAnsi="Verdana" w:cs="Arial"/>
          <w:color w:val="000000"/>
          <w:sz w:val="20"/>
          <w:szCs w:val="20"/>
        </w:rPr>
        <w:t>DH</w:t>
      </w:r>
      <w:r w:rsidR="000D5795" w:rsidRPr="001E66F6">
        <w:rPr>
          <w:rFonts w:ascii="Verdana" w:hAnsi="Verdana" w:cs="Arial"/>
          <w:color w:val="000000"/>
          <w:sz w:val="20"/>
          <w:szCs w:val="20"/>
        </w:rPr>
        <w:t xml:space="preserve"> consideró que no existía duda de que las víctimas de ese caso tenían derecho a una pensión de cesantía después de haber concluido sus labores</w:t>
      </w:r>
      <w:r w:rsidR="000D5795" w:rsidRPr="000D5795">
        <w:rPr>
          <w:rStyle w:val="Refdenotaalpie"/>
          <w:rFonts w:ascii="Verdana" w:hAnsi="Verdana" w:cs="Arial"/>
          <w:color w:val="000000"/>
          <w:sz w:val="20"/>
          <w:szCs w:val="20"/>
        </w:rPr>
        <w:footnoteReference w:id="44"/>
      </w:r>
      <w:r w:rsidR="000D5795" w:rsidRPr="001E66F6">
        <w:rPr>
          <w:rFonts w:ascii="Verdana" w:hAnsi="Verdana" w:cs="Arial"/>
          <w:color w:val="000000"/>
          <w:sz w:val="20"/>
          <w:szCs w:val="20"/>
        </w:rPr>
        <w:t>. Sin embargo, el Tribunal Interamericano no analizó la ver</w:t>
      </w:r>
      <w:r w:rsidR="005C0A47">
        <w:rPr>
          <w:rFonts w:ascii="Verdana" w:hAnsi="Verdana" w:cs="Arial"/>
          <w:color w:val="000000"/>
          <w:sz w:val="20"/>
          <w:szCs w:val="20"/>
        </w:rPr>
        <w:t>dadera naturaleza del derecho —</w:t>
      </w:r>
      <w:r w:rsidR="000D5795" w:rsidRPr="001E66F6">
        <w:rPr>
          <w:rFonts w:ascii="Verdana" w:hAnsi="Verdana" w:cs="Arial"/>
          <w:color w:val="000000"/>
          <w:sz w:val="20"/>
          <w:szCs w:val="20"/>
        </w:rPr>
        <w:t>como parte de la seguridad social</w:t>
      </w:r>
      <w:r w:rsidR="005C0A47">
        <w:rPr>
          <w:rFonts w:ascii="Verdana" w:hAnsi="Verdana" w:cs="Arial"/>
          <w:color w:val="000000"/>
          <w:sz w:val="20"/>
          <w:szCs w:val="20"/>
        </w:rPr>
        <w:t>—</w:t>
      </w:r>
      <w:r w:rsidR="000D5795" w:rsidRPr="001E66F6">
        <w:rPr>
          <w:rFonts w:ascii="Verdana" w:hAnsi="Verdana" w:cs="Arial"/>
          <w:color w:val="000000"/>
          <w:sz w:val="20"/>
          <w:szCs w:val="20"/>
        </w:rPr>
        <w:t xml:space="preserve"> sino que desarrolló el régimen de pen</w:t>
      </w:r>
      <w:r w:rsidR="001E66F6">
        <w:rPr>
          <w:rFonts w:ascii="Verdana" w:hAnsi="Verdana" w:cs="Arial"/>
          <w:color w:val="000000"/>
          <w:sz w:val="20"/>
          <w:szCs w:val="20"/>
        </w:rPr>
        <w:t>siones a la luz del derecho a la</w:t>
      </w:r>
      <w:r w:rsidR="000D5795" w:rsidRPr="001E66F6">
        <w:rPr>
          <w:rFonts w:ascii="Verdana" w:hAnsi="Verdana" w:cs="Arial"/>
          <w:color w:val="000000"/>
          <w:sz w:val="20"/>
          <w:szCs w:val="20"/>
        </w:rPr>
        <w:t xml:space="preserve"> propiedad privada. Para ello determinó, en primer lugar, que las pensiones pueden considerarse un derecho adquirido y, en segundo lugar, </w:t>
      </w:r>
      <w:r w:rsidR="005C0A47">
        <w:rPr>
          <w:rFonts w:ascii="Verdana" w:hAnsi="Verdana" w:cs="Arial"/>
          <w:color w:val="000000"/>
          <w:sz w:val="20"/>
          <w:szCs w:val="20"/>
        </w:rPr>
        <w:t>los parámetros que deben tenerse</w:t>
      </w:r>
      <w:r w:rsidR="000D5795" w:rsidRPr="001E66F6">
        <w:rPr>
          <w:rFonts w:ascii="Verdana" w:hAnsi="Verdana" w:cs="Arial"/>
          <w:color w:val="000000"/>
          <w:sz w:val="20"/>
          <w:szCs w:val="20"/>
        </w:rPr>
        <w:t xml:space="preserve"> en cuenta para cuantificar el derecho a la pensión</w:t>
      </w:r>
      <w:r w:rsidR="000D5795" w:rsidRPr="000D5795">
        <w:rPr>
          <w:rStyle w:val="Refdenotaalpie"/>
          <w:rFonts w:ascii="Verdana" w:hAnsi="Verdana" w:cs="Arial"/>
          <w:color w:val="000000"/>
          <w:sz w:val="20"/>
          <w:szCs w:val="20"/>
        </w:rPr>
        <w:footnoteReference w:id="45"/>
      </w:r>
      <w:r w:rsidR="000D5795" w:rsidRPr="001E66F6">
        <w:rPr>
          <w:rFonts w:ascii="Verdana" w:hAnsi="Verdana" w:cs="Arial"/>
          <w:color w:val="000000"/>
          <w:sz w:val="20"/>
          <w:szCs w:val="20"/>
        </w:rPr>
        <w:t>.</w:t>
      </w:r>
    </w:p>
    <w:p w:rsidR="001E66F6" w:rsidRPr="001E66F6" w:rsidRDefault="001E66F6" w:rsidP="00DD2F96">
      <w:pPr>
        <w:pStyle w:val="Prrafodelista"/>
        <w:rPr>
          <w:rFonts w:ascii="Verdana" w:hAnsi="Verdana" w:cs="Arial"/>
          <w:color w:val="000000"/>
          <w:sz w:val="20"/>
          <w:szCs w:val="20"/>
        </w:rPr>
      </w:pPr>
    </w:p>
    <w:p w:rsidR="00D20162" w:rsidRDefault="00FE7713" w:rsidP="00FE7713">
      <w:pPr>
        <w:pStyle w:val="Prrafodelista"/>
        <w:tabs>
          <w:tab w:val="left" w:pos="0"/>
          <w:tab w:val="left" w:pos="567"/>
          <w:tab w:val="left" w:pos="709"/>
          <w:tab w:val="left" w:pos="9356"/>
        </w:tabs>
        <w:ind w:left="0" w:right="6"/>
        <w:jc w:val="both"/>
        <w:rPr>
          <w:rFonts w:ascii="Verdana" w:eastAsiaTheme="minorEastAsia" w:hAnsi="Verdana" w:cs="Arial"/>
          <w:sz w:val="20"/>
          <w:szCs w:val="20"/>
        </w:rPr>
      </w:pPr>
      <w:r>
        <w:rPr>
          <w:rFonts w:ascii="Verdana" w:hAnsi="Verdana" w:cs="Arial"/>
          <w:color w:val="000000"/>
          <w:sz w:val="20"/>
          <w:szCs w:val="20"/>
        </w:rPr>
        <w:t>22.</w:t>
      </w:r>
      <w:r>
        <w:rPr>
          <w:rFonts w:ascii="Verdana" w:hAnsi="Verdana" w:cs="Arial"/>
          <w:color w:val="000000"/>
          <w:sz w:val="20"/>
          <w:szCs w:val="20"/>
        </w:rPr>
        <w:tab/>
        <w:t xml:space="preserve"> </w:t>
      </w:r>
      <w:r w:rsidR="000D5795" w:rsidRPr="001E66F6">
        <w:rPr>
          <w:rFonts w:ascii="Verdana" w:hAnsi="Verdana" w:cs="Arial"/>
          <w:color w:val="000000"/>
          <w:sz w:val="20"/>
          <w:szCs w:val="20"/>
        </w:rPr>
        <w:t xml:space="preserve">Respecto del primer punto, </w:t>
      </w:r>
      <w:r w:rsidR="005C0A47">
        <w:rPr>
          <w:rFonts w:ascii="Verdana" w:hAnsi="Verdana" w:cs="Arial"/>
          <w:color w:val="000000"/>
          <w:sz w:val="20"/>
          <w:szCs w:val="20"/>
        </w:rPr>
        <w:t xml:space="preserve">el Tribunal Interamericano </w:t>
      </w:r>
      <w:r w:rsidR="001E66F6" w:rsidRPr="001E66F6">
        <w:rPr>
          <w:rFonts w:ascii="Verdana" w:hAnsi="Verdana" w:cs="Arial"/>
          <w:color w:val="000000"/>
          <w:sz w:val="20"/>
          <w:szCs w:val="20"/>
        </w:rPr>
        <w:t>estimó</w:t>
      </w:r>
      <w:r w:rsidR="000D5795" w:rsidRPr="001E66F6">
        <w:rPr>
          <w:rFonts w:ascii="Verdana" w:hAnsi="Verdana" w:cs="Arial"/>
          <w:color w:val="000000"/>
          <w:sz w:val="20"/>
          <w:szCs w:val="20"/>
        </w:rPr>
        <w:t xml:space="preserve"> que un derecho adquirido es </w:t>
      </w:r>
      <w:r w:rsidR="001E66F6" w:rsidRPr="001E66F6">
        <w:rPr>
          <w:rFonts w:ascii="Verdana" w:hAnsi="Verdana" w:cs="Arial"/>
          <w:color w:val="000000"/>
          <w:sz w:val="20"/>
          <w:szCs w:val="20"/>
        </w:rPr>
        <w:t>“</w:t>
      </w:r>
      <w:r w:rsidR="000D5795" w:rsidRPr="001E66F6">
        <w:rPr>
          <w:rFonts w:ascii="Verdana" w:hAnsi="Verdana" w:cs="Arial"/>
          <w:color w:val="000000"/>
          <w:sz w:val="20"/>
          <w:szCs w:val="20"/>
        </w:rPr>
        <w:t xml:space="preserve">aquel </w:t>
      </w:r>
      <w:r w:rsidR="000D5795" w:rsidRPr="001E66F6">
        <w:rPr>
          <w:rFonts w:ascii="Verdana" w:eastAsiaTheme="minorEastAsia" w:hAnsi="Verdana" w:cs="Arial"/>
          <w:sz w:val="20"/>
          <w:szCs w:val="20"/>
        </w:rPr>
        <w:t>derecho que se ha incorporado al patrimonio de las personas, como lo es las pensiones</w:t>
      </w:r>
      <w:r w:rsidR="001E66F6" w:rsidRPr="001E66F6">
        <w:rPr>
          <w:rFonts w:ascii="Verdana" w:eastAsiaTheme="minorEastAsia" w:hAnsi="Verdana" w:cs="Arial"/>
          <w:sz w:val="20"/>
          <w:szCs w:val="20"/>
        </w:rPr>
        <w:t>”;</w:t>
      </w:r>
      <w:r w:rsidR="000D5795" w:rsidRPr="001E66F6">
        <w:rPr>
          <w:rFonts w:ascii="Verdana" w:eastAsiaTheme="minorEastAsia" w:hAnsi="Verdana" w:cs="Arial"/>
          <w:sz w:val="20"/>
          <w:szCs w:val="20"/>
        </w:rPr>
        <w:t xml:space="preserve"> </w:t>
      </w:r>
      <w:r w:rsidR="001E66F6" w:rsidRPr="001E66F6">
        <w:rPr>
          <w:rFonts w:ascii="Verdana" w:eastAsiaTheme="minorEastAsia" w:hAnsi="Verdana" w:cs="Arial"/>
          <w:sz w:val="20"/>
          <w:szCs w:val="20"/>
        </w:rPr>
        <w:t>e</w:t>
      </w:r>
      <w:r w:rsidR="000D5795" w:rsidRPr="001E66F6">
        <w:rPr>
          <w:rFonts w:ascii="Verdana" w:hAnsi="Verdana" w:cs="Arial"/>
          <w:sz w:val="20"/>
          <w:szCs w:val="20"/>
        </w:rPr>
        <w:t>n otras palabras, los pensionistas adquirieron un derecho de propiedad sobre los efectos patrimoniales del derecho a la pensión en los términos del artículo 21 de la Convención Americana</w:t>
      </w:r>
      <w:r w:rsidR="000D5795" w:rsidRPr="000D5795">
        <w:rPr>
          <w:rStyle w:val="Refdenotaalpie"/>
          <w:rFonts w:ascii="Verdana" w:hAnsi="Verdana" w:cs="Arial"/>
          <w:sz w:val="20"/>
          <w:szCs w:val="20"/>
        </w:rPr>
        <w:footnoteReference w:id="46"/>
      </w:r>
      <w:r w:rsidR="000D5795" w:rsidRPr="001E66F6">
        <w:rPr>
          <w:rFonts w:ascii="Verdana" w:hAnsi="Verdana" w:cs="Arial"/>
          <w:sz w:val="20"/>
          <w:szCs w:val="20"/>
        </w:rPr>
        <w:t>.</w:t>
      </w:r>
      <w:r w:rsidR="000D5795" w:rsidRPr="001E66F6">
        <w:rPr>
          <w:rFonts w:ascii="Verdana" w:hAnsi="Verdana" w:cs="Arial"/>
          <w:b/>
          <w:sz w:val="20"/>
          <w:szCs w:val="20"/>
        </w:rPr>
        <w:t xml:space="preserve"> </w:t>
      </w:r>
      <w:r w:rsidR="000D5795" w:rsidRPr="001E66F6">
        <w:rPr>
          <w:rFonts w:ascii="Verdana" w:hAnsi="Verdana" w:cs="Arial"/>
          <w:sz w:val="20"/>
          <w:szCs w:val="20"/>
        </w:rPr>
        <w:t xml:space="preserve">En cuanto al segundo punto, la forma en la que se debería cuantificar la pensión </w:t>
      </w:r>
      <w:proofErr w:type="spellStart"/>
      <w:r w:rsidR="000D5795" w:rsidRPr="001E66F6">
        <w:rPr>
          <w:rFonts w:ascii="Verdana" w:hAnsi="Verdana" w:cs="Arial"/>
          <w:sz w:val="20"/>
          <w:szCs w:val="20"/>
        </w:rPr>
        <w:t>nivelable</w:t>
      </w:r>
      <w:proofErr w:type="spellEnd"/>
      <w:r w:rsidR="000D5795" w:rsidRPr="001E66F6">
        <w:rPr>
          <w:rFonts w:ascii="Verdana" w:hAnsi="Verdana" w:cs="Arial"/>
          <w:sz w:val="20"/>
          <w:szCs w:val="20"/>
        </w:rPr>
        <w:t xml:space="preserve">, </w:t>
      </w:r>
      <w:r w:rsidR="005C0A47">
        <w:rPr>
          <w:rFonts w:ascii="Verdana" w:hAnsi="Verdana" w:cs="Arial"/>
          <w:sz w:val="20"/>
          <w:szCs w:val="20"/>
        </w:rPr>
        <w:t>la Corte IDH</w:t>
      </w:r>
      <w:r w:rsidR="000D5795" w:rsidRPr="001E66F6">
        <w:rPr>
          <w:rFonts w:ascii="Verdana" w:hAnsi="Verdana" w:cs="Arial"/>
          <w:sz w:val="20"/>
          <w:szCs w:val="20"/>
        </w:rPr>
        <w:t xml:space="preserve"> consideró que</w:t>
      </w:r>
      <w:r w:rsidR="000D5795" w:rsidRPr="001E66F6">
        <w:rPr>
          <w:rFonts w:ascii="Verdana" w:hAnsi="Verdana" w:cs="Arial"/>
          <w:b/>
          <w:sz w:val="20"/>
          <w:szCs w:val="20"/>
        </w:rPr>
        <w:t xml:space="preserve"> </w:t>
      </w:r>
      <w:r w:rsidR="000D5795" w:rsidRPr="001E66F6">
        <w:rPr>
          <w:rFonts w:ascii="Verdana" w:eastAsiaTheme="minorEastAsia" w:hAnsi="Verdana" w:cs="Arial"/>
          <w:sz w:val="20"/>
          <w:szCs w:val="20"/>
        </w:rPr>
        <w:t>si bien el derecho a la pensión nivelada es un derecho adquirido, de conformidad con el artículo 21 de</w:t>
      </w:r>
      <w:r w:rsidR="00C15D88">
        <w:rPr>
          <w:rFonts w:ascii="Verdana" w:eastAsiaTheme="minorEastAsia" w:hAnsi="Verdana" w:cs="Arial"/>
          <w:sz w:val="20"/>
          <w:szCs w:val="20"/>
        </w:rPr>
        <w:t>l Pacto de San José</w:t>
      </w:r>
      <w:r w:rsidR="000D5795" w:rsidRPr="001E66F6">
        <w:rPr>
          <w:rFonts w:ascii="Verdana" w:eastAsiaTheme="minorEastAsia" w:hAnsi="Verdana" w:cs="Arial"/>
          <w:sz w:val="20"/>
          <w:szCs w:val="20"/>
        </w:rPr>
        <w:t>, los Estados pueden poner limitaciones al goce del derecho de propiedad por razones de utilidad pública o interés social. En el caso de los efectos patrimoniales de las pensiones (monto de las pensiones), los Estados pueden reducirlos únicamente por la vía legal adecuada y por los motivos ya indicados. Así, señaló la Corte</w:t>
      </w:r>
      <w:r w:rsidR="005C0A47">
        <w:rPr>
          <w:rFonts w:ascii="Verdana" w:eastAsiaTheme="minorEastAsia" w:hAnsi="Verdana" w:cs="Arial"/>
          <w:sz w:val="20"/>
          <w:szCs w:val="20"/>
        </w:rPr>
        <w:t xml:space="preserve"> IDH que </w:t>
      </w:r>
      <w:r w:rsidR="000D5795" w:rsidRPr="001E66F6">
        <w:rPr>
          <w:rFonts w:ascii="Verdana" w:eastAsiaTheme="minorEastAsia" w:hAnsi="Verdana" w:cs="Arial"/>
          <w:sz w:val="20"/>
          <w:szCs w:val="20"/>
        </w:rPr>
        <w:t xml:space="preserve">el artículo 5 del </w:t>
      </w:r>
      <w:r w:rsidR="001E66F6" w:rsidRPr="001E66F6">
        <w:rPr>
          <w:rFonts w:ascii="Verdana" w:eastAsiaTheme="minorEastAsia" w:hAnsi="Verdana" w:cs="Arial"/>
          <w:sz w:val="20"/>
          <w:szCs w:val="20"/>
        </w:rPr>
        <w:t>Protocolo</w:t>
      </w:r>
      <w:r w:rsidR="000D5795" w:rsidRPr="001E66F6">
        <w:rPr>
          <w:rFonts w:ascii="Verdana" w:eastAsiaTheme="minorEastAsia" w:hAnsi="Verdana" w:cs="Arial"/>
          <w:sz w:val="20"/>
          <w:szCs w:val="20"/>
        </w:rPr>
        <w:t xml:space="preserve"> de San Salvador sólo permite a los Estados establecer limitaciones y restricciones al goce y ejercicio de los derechos eco</w:t>
      </w:r>
      <w:r w:rsidR="005C0A47">
        <w:rPr>
          <w:rFonts w:ascii="Verdana" w:eastAsiaTheme="minorEastAsia" w:hAnsi="Verdana" w:cs="Arial"/>
          <w:sz w:val="20"/>
          <w:szCs w:val="20"/>
        </w:rPr>
        <w:t xml:space="preserve">nómicos, sociales y culturales </w:t>
      </w:r>
      <w:r w:rsidR="000D5795" w:rsidRPr="001E66F6">
        <w:rPr>
          <w:rFonts w:ascii="Verdana" w:eastAsiaTheme="minorEastAsia" w:hAnsi="Verdana" w:cs="Arial"/>
          <w:sz w:val="20"/>
          <w:szCs w:val="20"/>
        </w:rPr>
        <w:t xml:space="preserve">“mediante leyes promulgadas con el objeto de preservar el bienestar general </w:t>
      </w:r>
      <w:r w:rsidR="000D5795" w:rsidRPr="001E66F6">
        <w:rPr>
          <w:rFonts w:ascii="Verdana" w:eastAsiaTheme="minorEastAsia" w:hAnsi="Verdana" w:cs="Arial"/>
          <w:sz w:val="20"/>
          <w:szCs w:val="20"/>
        </w:rPr>
        <w:lastRenderedPageBreak/>
        <w:t>dentro de una sociedad democrática, en la medida que no contradigan el propósito y razón de los mismos”</w:t>
      </w:r>
      <w:r w:rsidR="001E66F6" w:rsidRPr="001E66F6">
        <w:rPr>
          <w:rStyle w:val="Refdenotaalpie"/>
          <w:rFonts w:ascii="Verdana" w:eastAsiaTheme="minorEastAsia" w:hAnsi="Verdana" w:cs="Arial"/>
          <w:sz w:val="20"/>
          <w:szCs w:val="20"/>
        </w:rPr>
        <w:t xml:space="preserve"> </w:t>
      </w:r>
      <w:r w:rsidR="001E66F6" w:rsidRPr="000D5795">
        <w:rPr>
          <w:rStyle w:val="Refdenotaalpie"/>
          <w:rFonts w:ascii="Verdana" w:eastAsiaTheme="minorEastAsia" w:hAnsi="Verdana" w:cs="Arial"/>
          <w:sz w:val="20"/>
          <w:szCs w:val="20"/>
        </w:rPr>
        <w:footnoteReference w:id="47"/>
      </w:r>
      <w:r w:rsidR="000D5795" w:rsidRPr="001E66F6">
        <w:rPr>
          <w:rFonts w:ascii="Verdana" w:eastAsiaTheme="minorEastAsia" w:hAnsi="Verdana" w:cs="Arial"/>
          <w:sz w:val="20"/>
          <w:szCs w:val="20"/>
        </w:rPr>
        <w:t xml:space="preserve">. </w:t>
      </w:r>
    </w:p>
    <w:p w:rsidR="00D20162" w:rsidRDefault="00D20162" w:rsidP="00DD2F96">
      <w:pPr>
        <w:pStyle w:val="Prrafodelista"/>
        <w:tabs>
          <w:tab w:val="left" w:pos="0"/>
          <w:tab w:val="left" w:pos="567"/>
          <w:tab w:val="left" w:pos="709"/>
          <w:tab w:val="left" w:pos="9356"/>
        </w:tabs>
        <w:ind w:left="0" w:right="6"/>
        <w:jc w:val="both"/>
        <w:rPr>
          <w:rFonts w:ascii="Verdana" w:eastAsiaTheme="minorEastAsia" w:hAnsi="Verdana" w:cs="Arial"/>
          <w:sz w:val="20"/>
          <w:szCs w:val="20"/>
        </w:rPr>
      </w:pPr>
    </w:p>
    <w:p w:rsidR="00D20162" w:rsidRPr="00D20162" w:rsidRDefault="00FE7713" w:rsidP="00FE7713">
      <w:pPr>
        <w:pStyle w:val="Prrafodelista"/>
        <w:tabs>
          <w:tab w:val="left" w:pos="0"/>
          <w:tab w:val="left" w:pos="567"/>
          <w:tab w:val="left" w:pos="709"/>
          <w:tab w:val="left" w:pos="9356"/>
        </w:tabs>
        <w:ind w:left="0" w:right="6"/>
        <w:jc w:val="both"/>
        <w:rPr>
          <w:rFonts w:ascii="Verdana" w:eastAsiaTheme="minorEastAsia" w:hAnsi="Verdana" w:cs="Arial"/>
          <w:sz w:val="20"/>
          <w:szCs w:val="20"/>
        </w:rPr>
      </w:pPr>
      <w:r>
        <w:rPr>
          <w:rFonts w:ascii="Verdana" w:hAnsi="Verdana" w:cs="Arial"/>
          <w:sz w:val="20"/>
          <w:szCs w:val="20"/>
        </w:rPr>
        <w:t xml:space="preserve">23. </w:t>
      </w:r>
      <w:r>
        <w:rPr>
          <w:rFonts w:ascii="Verdana" w:hAnsi="Verdana" w:cs="Arial"/>
          <w:sz w:val="20"/>
          <w:szCs w:val="20"/>
        </w:rPr>
        <w:tab/>
      </w:r>
      <w:r w:rsidR="000D5795" w:rsidRPr="00D20162">
        <w:rPr>
          <w:rFonts w:ascii="Verdana" w:hAnsi="Verdana" w:cs="Arial"/>
          <w:sz w:val="20"/>
          <w:szCs w:val="20"/>
        </w:rPr>
        <w:t>Aunado a la violación del artículo 21 en este caso, el Tribunal Interamericano también consideró que existía una violación al artículo 25 de la Convención Americana, pues en el ámbito interno no se habían ejecutado las sentencias que concedían protección a las pensiones de las víctimas</w:t>
      </w:r>
      <w:r w:rsidR="000D5795" w:rsidRPr="000D5795">
        <w:rPr>
          <w:rStyle w:val="Refdenotaalpie"/>
          <w:rFonts w:ascii="Verdana" w:hAnsi="Verdana" w:cs="Arial"/>
          <w:sz w:val="20"/>
          <w:szCs w:val="20"/>
        </w:rPr>
        <w:footnoteReference w:id="48"/>
      </w:r>
      <w:r w:rsidR="000D5795" w:rsidRPr="00D20162">
        <w:rPr>
          <w:rFonts w:ascii="Verdana" w:hAnsi="Verdana" w:cs="Arial"/>
          <w:sz w:val="20"/>
          <w:szCs w:val="20"/>
        </w:rPr>
        <w:t>.</w:t>
      </w:r>
      <w:r w:rsidR="000D5795" w:rsidRPr="00D20162">
        <w:rPr>
          <w:rFonts w:ascii="Verdana" w:hAnsi="Verdana" w:cs="Arial"/>
          <w:b/>
          <w:sz w:val="20"/>
          <w:szCs w:val="20"/>
        </w:rPr>
        <w:t xml:space="preserve"> </w:t>
      </w:r>
    </w:p>
    <w:p w:rsidR="00D20162" w:rsidRPr="00D20162" w:rsidRDefault="00D20162" w:rsidP="00DD2F96">
      <w:pPr>
        <w:pStyle w:val="Prrafodelista"/>
        <w:rPr>
          <w:rFonts w:ascii="Verdana" w:hAnsi="Verdana" w:cs="Arial"/>
          <w:sz w:val="20"/>
          <w:szCs w:val="20"/>
        </w:rPr>
      </w:pPr>
    </w:p>
    <w:p w:rsidR="0034314C" w:rsidRDefault="00FE7713" w:rsidP="00FE7713">
      <w:pPr>
        <w:pStyle w:val="Prrafodelista"/>
        <w:tabs>
          <w:tab w:val="left" w:pos="0"/>
          <w:tab w:val="left" w:pos="567"/>
          <w:tab w:val="left" w:pos="709"/>
          <w:tab w:val="left" w:pos="9356"/>
        </w:tabs>
        <w:ind w:left="0" w:right="6"/>
        <w:jc w:val="both"/>
        <w:rPr>
          <w:rFonts w:ascii="Verdana" w:eastAsiaTheme="minorEastAsia" w:hAnsi="Verdana" w:cs="Arial"/>
          <w:sz w:val="20"/>
          <w:szCs w:val="20"/>
        </w:rPr>
      </w:pPr>
      <w:r>
        <w:rPr>
          <w:rFonts w:ascii="Verdana" w:hAnsi="Verdana" w:cs="Arial"/>
          <w:sz w:val="20"/>
          <w:szCs w:val="20"/>
        </w:rPr>
        <w:t>24.</w:t>
      </w:r>
      <w:r w:rsidR="00792F5C">
        <w:rPr>
          <w:rFonts w:ascii="Verdana" w:hAnsi="Verdana" w:cs="Arial"/>
          <w:sz w:val="20"/>
          <w:szCs w:val="20"/>
        </w:rPr>
        <w:t xml:space="preserve"> </w:t>
      </w:r>
      <w:r w:rsidR="000D5795" w:rsidRPr="00D20162">
        <w:rPr>
          <w:rFonts w:ascii="Verdana" w:hAnsi="Verdana" w:cs="Arial"/>
          <w:sz w:val="20"/>
          <w:szCs w:val="20"/>
        </w:rPr>
        <w:t xml:space="preserve">En el año 2009, en el </w:t>
      </w:r>
      <w:r w:rsidR="000D5795" w:rsidRPr="00D20162">
        <w:rPr>
          <w:rFonts w:ascii="Verdana" w:hAnsi="Verdana" w:cs="Arial"/>
          <w:i/>
          <w:sz w:val="20"/>
          <w:szCs w:val="20"/>
        </w:rPr>
        <w:t>Caso Acevedo Buendía y otros (Cesantes y Jubilados de la Contraloría) Vs.</w:t>
      </w:r>
      <w:r w:rsidR="00F14042">
        <w:rPr>
          <w:rFonts w:ascii="Verdana" w:hAnsi="Verdana" w:cs="Arial"/>
          <w:i/>
          <w:sz w:val="20"/>
          <w:szCs w:val="20"/>
        </w:rPr>
        <w:t xml:space="preserve"> </w:t>
      </w:r>
      <w:r w:rsidR="00A25C7B">
        <w:rPr>
          <w:rFonts w:ascii="Verdana" w:hAnsi="Verdana" w:cs="Arial"/>
          <w:i/>
          <w:sz w:val="20"/>
          <w:szCs w:val="20"/>
        </w:rPr>
        <w:t>Perú</w:t>
      </w:r>
      <w:r w:rsidR="000D5795" w:rsidRPr="00D20162">
        <w:rPr>
          <w:rFonts w:ascii="Verdana" w:hAnsi="Verdana" w:cs="Arial"/>
          <w:i/>
          <w:sz w:val="20"/>
          <w:szCs w:val="20"/>
        </w:rPr>
        <w:t xml:space="preserve"> </w:t>
      </w:r>
      <w:r w:rsidR="000D5795" w:rsidRPr="00D20162">
        <w:rPr>
          <w:rFonts w:ascii="Verdana" w:hAnsi="Verdana" w:cs="Arial"/>
          <w:sz w:val="20"/>
          <w:szCs w:val="20"/>
        </w:rPr>
        <w:t>ante la ausencia de restitución de algunos montos pensionarios (entre</w:t>
      </w:r>
      <w:r w:rsidR="00824155">
        <w:rPr>
          <w:rFonts w:ascii="Verdana" w:hAnsi="Verdana" w:cs="Arial"/>
          <w:sz w:val="20"/>
          <w:szCs w:val="20"/>
        </w:rPr>
        <w:t xml:space="preserve"> </w:t>
      </w:r>
      <w:r w:rsidR="000D5795" w:rsidRPr="00D20162">
        <w:rPr>
          <w:rFonts w:ascii="Verdana" w:hAnsi="Verdana" w:cs="Arial"/>
          <w:sz w:val="20"/>
          <w:szCs w:val="20"/>
        </w:rPr>
        <w:t xml:space="preserve">abril de 1993 y octubre de 2002), </w:t>
      </w:r>
      <w:r w:rsidR="000D5795" w:rsidRPr="00D20162">
        <w:rPr>
          <w:rFonts w:ascii="Verdana" w:hAnsi="Verdana" w:cs="Arial"/>
          <w:color w:val="000000"/>
          <w:sz w:val="20"/>
          <w:szCs w:val="20"/>
        </w:rPr>
        <w:t xml:space="preserve">siguiendo el precedente del </w:t>
      </w:r>
      <w:r w:rsidR="000D5795" w:rsidRPr="00D20162">
        <w:rPr>
          <w:rFonts w:ascii="Verdana" w:hAnsi="Verdana" w:cs="Arial"/>
          <w:i/>
          <w:color w:val="000000"/>
          <w:sz w:val="20"/>
          <w:szCs w:val="20"/>
        </w:rPr>
        <w:t>Caso Cinco Pensionistas</w:t>
      </w:r>
      <w:r w:rsidR="000D5795" w:rsidRPr="00D20162">
        <w:rPr>
          <w:rFonts w:ascii="Verdana" w:hAnsi="Verdana" w:cs="Arial"/>
          <w:color w:val="000000"/>
          <w:sz w:val="20"/>
          <w:szCs w:val="20"/>
        </w:rPr>
        <w:t>, consideró que existía una violación a los artículo</w:t>
      </w:r>
      <w:r w:rsidR="00F14042">
        <w:rPr>
          <w:rFonts w:ascii="Verdana" w:hAnsi="Verdana" w:cs="Arial"/>
          <w:color w:val="000000"/>
          <w:sz w:val="20"/>
          <w:szCs w:val="20"/>
        </w:rPr>
        <w:t>s</w:t>
      </w:r>
      <w:r w:rsidR="000D5795" w:rsidRPr="00D20162">
        <w:rPr>
          <w:rFonts w:ascii="Verdana" w:hAnsi="Verdana" w:cs="Arial"/>
          <w:color w:val="000000"/>
          <w:sz w:val="20"/>
          <w:szCs w:val="20"/>
        </w:rPr>
        <w:t xml:space="preserve"> 25</w:t>
      </w:r>
      <w:r w:rsidR="00D20162">
        <w:rPr>
          <w:rStyle w:val="Refdenotaalpie"/>
          <w:rFonts w:ascii="Verdana" w:hAnsi="Verdana" w:cs="Arial"/>
          <w:color w:val="000000"/>
          <w:sz w:val="20"/>
          <w:szCs w:val="20"/>
        </w:rPr>
        <w:footnoteReference w:id="49"/>
      </w:r>
      <w:r w:rsidR="000D5795" w:rsidRPr="00D20162">
        <w:rPr>
          <w:rFonts w:ascii="Verdana" w:hAnsi="Verdana" w:cs="Arial"/>
          <w:color w:val="000000"/>
          <w:sz w:val="20"/>
          <w:szCs w:val="20"/>
        </w:rPr>
        <w:t xml:space="preserve"> y 21</w:t>
      </w:r>
      <w:r w:rsidR="00D20162">
        <w:rPr>
          <w:rStyle w:val="Refdenotaalpie"/>
          <w:rFonts w:ascii="Verdana" w:hAnsi="Verdana" w:cs="Arial"/>
          <w:color w:val="000000"/>
          <w:sz w:val="20"/>
          <w:szCs w:val="20"/>
        </w:rPr>
        <w:footnoteReference w:id="50"/>
      </w:r>
      <w:r w:rsidR="006A72B7">
        <w:rPr>
          <w:rFonts w:ascii="Verdana" w:hAnsi="Verdana" w:cs="Arial"/>
          <w:color w:val="000000"/>
          <w:sz w:val="20"/>
          <w:szCs w:val="20"/>
        </w:rPr>
        <w:t xml:space="preserve"> de la Convención Americana</w:t>
      </w:r>
      <w:r w:rsidR="00D20162">
        <w:rPr>
          <w:rFonts w:ascii="Verdana" w:hAnsi="Verdana" w:cs="Arial"/>
          <w:color w:val="000000"/>
          <w:sz w:val="20"/>
          <w:szCs w:val="20"/>
        </w:rPr>
        <w:t>.</w:t>
      </w:r>
      <w:r w:rsidR="0034314C">
        <w:rPr>
          <w:rFonts w:ascii="Verdana" w:eastAsiaTheme="minorEastAsia" w:hAnsi="Verdana" w:cs="Arial"/>
          <w:sz w:val="20"/>
          <w:szCs w:val="20"/>
        </w:rPr>
        <w:t xml:space="preserve"> </w:t>
      </w:r>
    </w:p>
    <w:p w:rsidR="0034314C" w:rsidRPr="0034314C" w:rsidRDefault="0034314C" w:rsidP="00DD2F96">
      <w:pPr>
        <w:pStyle w:val="Prrafodelista"/>
        <w:rPr>
          <w:rFonts w:ascii="Verdana" w:eastAsiaTheme="minorEastAsia" w:hAnsi="Verdana" w:cs="Arial"/>
          <w:sz w:val="20"/>
          <w:szCs w:val="20"/>
        </w:rPr>
      </w:pPr>
    </w:p>
    <w:p w:rsidR="0034314C" w:rsidRPr="0034314C" w:rsidRDefault="00CE6958" w:rsidP="00FE7713">
      <w:pPr>
        <w:pStyle w:val="Prrafodelista"/>
        <w:tabs>
          <w:tab w:val="left" w:pos="0"/>
          <w:tab w:val="left" w:pos="567"/>
          <w:tab w:val="left" w:pos="709"/>
          <w:tab w:val="left" w:pos="9356"/>
        </w:tabs>
        <w:ind w:left="0" w:right="6"/>
        <w:jc w:val="both"/>
        <w:rPr>
          <w:rFonts w:ascii="Verdana" w:eastAsiaTheme="minorEastAsia" w:hAnsi="Verdana" w:cs="Arial"/>
          <w:sz w:val="20"/>
          <w:szCs w:val="20"/>
        </w:rPr>
      </w:pPr>
      <w:r>
        <w:rPr>
          <w:rFonts w:ascii="Verdana" w:eastAsiaTheme="minorEastAsia" w:hAnsi="Verdana" w:cs="Arial"/>
          <w:sz w:val="20"/>
          <w:szCs w:val="20"/>
        </w:rPr>
        <w:t>25</w:t>
      </w:r>
      <w:r w:rsidR="00FE7713">
        <w:rPr>
          <w:rFonts w:ascii="Verdana" w:eastAsiaTheme="minorEastAsia" w:hAnsi="Verdana" w:cs="Arial"/>
          <w:sz w:val="20"/>
          <w:szCs w:val="20"/>
        </w:rPr>
        <w:t xml:space="preserve">. </w:t>
      </w:r>
      <w:r w:rsidR="00FE7713">
        <w:rPr>
          <w:rFonts w:ascii="Verdana" w:eastAsiaTheme="minorEastAsia" w:hAnsi="Verdana" w:cs="Arial"/>
          <w:sz w:val="20"/>
          <w:szCs w:val="20"/>
        </w:rPr>
        <w:tab/>
      </w:r>
      <w:r w:rsidR="0034314C" w:rsidRPr="0034314C">
        <w:rPr>
          <w:rFonts w:ascii="Verdana" w:eastAsiaTheme="minorEastAsia" w:hAnsi="Verdana" w:cs="Arial"/>
          <w:sz w:val="20"/>
          <w:szCs w:val="20"/>
        </w:rPr>
        <w:t>E</w:t>
      </w:r>
      <w:r w:rsidR="000D5795" w:rsidRPr="0034314C">
        <w:rPr>
          <w:rFonts w:ascii="Verdana" w:hAnsi="Verdana" w:cs="Arial"/>
          <w:sz w:val="20"/>
          <w:szCs w:val="20"/>
          <w:lang w:val="es-ES_tradnl"/>
        </w:rPr>
        <w:t xml:space="preserve">l Tribunal Interamericano observó que, en total, habían transcurrido más de 11 y 8 años desde la emisión de la primera y última sentencia del Tribunal Constitucional, respectivamente </w:t>
      </w:r>
      <w:r w:rsidR="005C0A47">
        <w:rPr>
          <w:rFonts w:ascii="Verdana" w:hAnsi="Verdana" w:cs="Arial"/>
          <w:color w:val="000000"/>
          <w:sz w:val="20"/>
          <w:szCs w:val="20"/>
        </w:rPr>
        <w:t>—</w:t>
      </w:r>
      <w:r w:rsidR="000D5795" w:rsidRPr="0034314C">
        <w:rPr>
          <w:rFonts w:ascii="Verdana" w:hAnsi="Verdana" w:cs="Arial"/>
          <w:sz w:val="20"/>
          <w:szCs w:val="20"/>
          <w:lang w:val="es-ES_tradnl"/>
        </w:rPr>
        <w:t>y casi 15 años desde la sentencia de la Primera Sala Civil Especializada de la Corte Superior de Lima</w:t>
      </w:r>
      <w:r w:rsidR="005C0A47">
        <w:rPr>
          <w:rFonts w:ascii="Verdana" w:hAnsi="Verdana" w:cs="Arial"/>
          <w:color w:val="000000"/>
          <w:sz w:val="20"/>
          <w:szCs w:val="20"/>
        </w:rPr>
        <w:t>—</w:t>
      </w:r>
      <w:r w:rsidR="000D5795" w:rsidRPr="0034314C">
        <w:rPr>
          <w:rFonts w:ascii="Verdana" w:hAnsi="Verdana" w:cs="Arial"/>
          <w:sz w:val="20"/>
          <w:szCs w:val="20"/>
          <w:lang w:val="es-ES_tradnl"/>
        </w:rPr>
        <w:t xml:space="preserve"> sin que éstas fueran efectivamente cumplidas. La ineficacia de dichos recursos causó que el derecho a la protección judicial de las presuntas víctimas resultara al menos parcialmente ilusorio, determinando la negación misma del derecho involucrado.</w:t>
      </w:r>
      <w:r w:rsidR="0034314C">
        <w:rPr>
          <w:rFonts w:ascii="Verdana" w:eastAsiaTheme="minorEastAsia" w:hAnsi="Verdana" w:cs="Arial"/>
          <w:sz w:val="20"/>
          <w:szCs w:val="20"/>
        </w:rPr>
        <w:t xml:space="preserve"> </w:t>
      </w:r>
      <w:r w:rsidR="000D5795" w:rsidRPr="0034314C">
        <w:rPr>
          <w:rFonts w:ascii="Verdana" w:hAnsi="Verdana" w:cs="Arial"/>
          <w:sz w:val="20"/>
          <w:szCs w:val="20"/>
          <w:lang w:val="es-ES_tradnl"/>
        </w:rPr>
        <w:t xml:space="preserve">En conclusión, la Corte </w:t>
      </w:r>
      <w:r w:rsidR="001C7CD8">
        <w:rPr>
          <w:rFonts w:ascii="Verdana" w:hAnsi="Verdana" w:cs="Arial"/>
          <w:sz w:val="20"/>
          <w:szCs w:val="20"/>
          <w:lang w:val="es-ES_tradnl"/>
        </w:rPr>
        <w:t xml:space="preserve">IDH </w:t>
      </w:r>
      <w:r w:rsidR="000D5795" w:rsidRPr="0034314C">
        <w:rPr>
          <w:rFonts w:ascii="Verdana" w:hAnsi="Verdana" w:cs="Arial"/>
          <w:sz w:val="20"/>
          <w:szCs w:val="20"/>
          <w:lang w:val="es-ES_tradnl"/>
        </w:rPr>
        <w:t xml:space="preserve">consideró que, de la prolongada e injustificada inobservancia de las resoluciones jurisdiccionales internas derivó el quebranto al derecho a la </w:t>
      </w:r>
      <w:r w:rsidR="000D5795" w:rsidRPr="0034314C">
        <w:rPr>
          <w:rFonts w:ascii="Verdana" w:hAnsi="Verdana" w:cs="Arial"/>
          <w:sz w:val="20"/>
          <w:szCs w:val="20"/>
          <w:lang w:val="es-ES_tradnl"/>
        </w:rPr>
        <w:lastRenderedPageBreak/>
        <w:t>propiedad reconocido en el artículo 21 de la Convención</w:t>
      </w:r>
      <w:r w:rsidR="001C7CD8">
        <w:rPr>
          <w:rFonts w:ascii="Verdana" w:hAnsi="Verdana" w:cs="Arial"/>
          <w:sz w:val="20"/>
          <w:szCs w:val="20"/>
          <w:lang w:val="es-ES_tradnl"/>
        </w:rPr>
        <w:t xml:space="preserve"> Americana</w:t>
      </w:r>
      <w:r w:rsidR="000D5795" w:rsidRPr="0034314C">
        <w:rPr>
          <w:rFonts w:ascii="Verdana" w:hAnsi="Verdana" w:cs="Arial"/>
          <w:sz w:val="20"/>
          <w:szCs w:val="20"/>
          <w:lang w:val="es-ES_tradnl"/>
        </w:rPr>
        <w:t>, que no se habría configurado si dichas sentencias hubiesen sido acatadas en forma pronta y completa</w:t>
      </w:r>
      <w:r w:rsidR="000D5795" w:rsidRPr="000D5795">
        <w:rPr>
          <w:rStyle w:val="Refdenotaalpie"/>
          <w:rFonts w:ascii="Verdana" w:hAnsi="Verdana" w:cs="Arial"/>
          <w:sz w:val="20"/>
          <w:szCs w:val="20"/>
          <w:lang w:val="es-ES_tradnl"/>
        </w:rPr>
        <w:footnoteReference w:id="51"/>
      </w:r>
      <w:r w:rsidR="0034314C">
        <w:rPr>
          <w:rFonts w:ascii="Verdana" w:hAnsi="Verdana" w:cs="Arial"/>
          <w:sz w:val="20"/>
          <w:szCs w:val="20"/>
          <w:lang w:val="es-ES_tradnl"/>
        </w:rPr>
        <w:t>.</w:t>
      </w:r>
    </w:p>
    <w:p w:rsidR="0034314C" w:rsidRPr="0034314C" w:rsidRDefault="0034314C" w:rsidP="00DD2F96">
      <w:pPr>
        <w:pStyle w:val="Prrafodelista"/>
        <w:rPr>
          <w:rFonts w:ascii="Verdana" w:hAnsi="Verdana" w:cs="Arial"/>
          <w:sz w:val="20"/>
          <w:szCs w:val="20"/>
          <w:lang w:val="es-ES_tradnl"/>
        </w:rPr>
      </w:pPr>
    </w:p>
    <w:p w:rsidR="0034314C" w:rsidRPr="0034314C" w:rsidRDefault="00CE6958" w:rsidP="00FE7713">
      <w:pPr>
        <w:pStyle w:val="Prrafodelista"/>
        <w:tabs>
          <w:tab w:val="left" w:pos="0"/>
          <w:tab w:val="left" w:pos="567"/>
          <w:tab w:val="left" w:pos="709"/>
          <w:tab w:val="left" w:pos="9356"/>
        </w:tabs>
        <w:ind w:left="0" w:right="6"/>
        <w:jc w:val="both"/>
        <w:rPr>
          <w:rFonts w:ascii="Verdana" w:eastAsiaTheme="minorEastAsia" w:hAnsi="Verdana" w:cs="Arial"/>
          <w:sz w:val="20"/>
          <w:szCs w:val="20"/>
        </w:rPr>
      </w:pPr>
      <w:r>
        <w:rPr>
          <w:rFonts w:ascii="Verdana" w:hAnsi="Verdana" w:cs="Arial"/>
          <w:sz w:val="20"/>
          <w:szCs w:val="20"/>
          <w:lang w:val="es-ES_tradnl"/>
        </w:rPr>
        <w:t>26</w:t>
      </w:r>
      <w:r w:rsidR="00FE7713">
        <w:rPr>
          <w:rFonts w:ascii="Verdana" w:hAnsi="Verdana" w:cs="Arial"/>
          <w:sz w:val="20"/>
          <w:szCs w:val="20"/>
          <w:lang w:val="es-ES_tradnl"/>
        </w:rPr>
        <w:t xml:space="preserve">. </w:t>
      </w:r>
      <w:r w:rsidR="00FE7713">
        <w:rPr>
          <w:rFonts w:ascii="Verdana" w:hAnsi="Verdana" w:cs="Arial"/>
          <w:sz w:val="20"/>
          <w:szCs w:val="20"/>
          <w:lang w:val="es-ES_tradnl"/>
        </w:rPr>
        <w:tab/>
      </w:r>
      <w:r w:rsidR="000D5795" w:rsidRPr="0034314C">
        <w:rPr>
          <w:rFonts w:ascii="Verdana" w:hAnsi="Verdana" w:cs="Arial"/>
          <w:sz w:val="20"/>
          <w:szCs w:val="20"/>
          <w:lang w:val="es-ES_tradnl"/>
        </w:rPr>
        <w:t xml:space="preserve">Finalmente, en el 2015, en el caso </w:t>
      </w:r>
      <w:r w:rsidR="000D5795" w:rsidRPr="0034314C">
        <w:rPr>
          <w:rFonts w:ascii="Verdana" w:hAnsi="Verdana" w:cs="Arial"/>
          <w:i/>
          <w:sz w:val="20"/>
          <w:szCs w:val="20"/>
          <w:lang w:val="es-ES_tradnl"/>
        </w:rPr>
        <w:t>Ángel Alberto Duque Vs. Colombia</w:t>
      </w:r>
      <w:r w:rsidR="000D5795" w:rsidRPr="0034314C">
        <w:rPr>
          <w:rFonts w:ascii="Verdana" w:hAnsi="Verdana" w:cs="Arial"/>
          <w:sz w:val="20"/>
          <w:szCs w:val="20"/>
          <w:lang w:val="es-ES_tradnl"/>
        </w:rPr>
        <w:t xml:space="preserve">, se alegó la exclusión de </w:t>
      </w:r>
      <w:r w:rsidR="0034314C" w:rsidRPr="0034314C">
        <w:rPr>
          <w:rFonts w:ascii="Verdana" w:hAnsi="Verdana" w:cs="Arial"/>
          <w:sz w:val="20"/>
          <w:szCs w:val="20"/>
          <w:lang w:val="es-ES_tradnl"/>
        </w:rPr>
        <w:t>las víctimas</w:t>
      </w:r>
      <w:r w:rsidR="000D5795" w:rsidRPr="0034314C">
        <w:rPr>
          <w:rFonts w:ascii="Verdana" w:hAnsi="Verdana" w:cs="Arial"/>
          <w:sz w:val="20"/>
          <w:szCs w:val="20"/>
          <w:lang w:val="es-ES_tradnl"/>
        </w:rPr>
        <w:t xml:space="preserve"> de la posibilidad de obtener una pensión de supervivencia tras la </w:t>
      </w:r>
      <w:r w:rsidR="00C15D88">
        <w:rPr>
          <w:rFonts w:ascii="Verdana" w:hAnsi="Verdana" w:cs="Arial"/>
          <w:sz w:val="20"/>
          <w:szCs w:val="20"/>
          <w:lang w:val="es-ES_tradnl"/>
        </w:rPr>
        <w:t>muerte de su pareja;</w:t>
      </w:r>
      <w:r w:rsidR="000D5795" w:rsidRPr="0034314C">
        <w:rPr>
          <w:rFonts w:ascii="Verdana" w:hAnsi="Verdana" w:cs="Arial"/>
          <w:sz w:val="20"/>
          <w:szCs w:val="20"/>
          <w:lang w:val="es-ES_tradnl"/>
        </w:rPr>
        <w:t xml:space="preserve"> dicha exclusión se debía a que eran una pareja del mismo sexo. Si bien en este caso el tema de fondo eran las pensiones de manera directa, la Corte I</w:t>
      </w:r>
      <w:r w:rsidR="001C7CD8">
        <w:rPr>
          <w:rFonts w:ascii="Verdana" w:hAnsi="Verdana" w:cs="Arial"/>
          <w:sz w:val="20"/>
          <w:szCs w:val="20"/>
          <w:lang w:val="es-ES_tradnl"/>
        </w:rPr>
        <w:t>DH</w:t>
      </w:r>
      <w:r w:rsidR="000D5795" w:rsidRPr="0034314C">
        <w:rPr>
          <w:rFonts w:ascii="Verdana" w:hAnsi="Verdana" w:cs="Arial"/>
          <w:sz w:val="20"/>
          <w:szCs w:val="20"/>
          <w:lang w:val="es-ES_tradnl"/>
        </w:rPr>
        <w:t xml:space="preserve"> declaró la violación a la igualdad ante la ley y a la no discriminación </w:t>
      </w:r>
      <w:r w:rsidR="001C7CD8">
        <w:rPr>
          <w:rFonts w:ascii="Verdana" w:hAnsi="Verdana" w:cs="Arial"/>
          <w:color w:val="000000"/>
          <w:sz w:val="20"/>
          <w:szCs w:val="20"/>
        </w:rPr>
        <w:t>—</w:t>
      </w:r>
      <w:r w:rsidR="000D5795" w:rsidRPr="0034314C">
        <w:rPr>
          <w:rFonts w:ascii="Verdana" w:hAnsi="Verdana" w:cs="Arial"/>
          <w:sz w:val="20"/>
          <w:szCs w:val="20"/>
          <w:lang w:val="es-ES_tradnl"/>
        </w:rPr>
        <w:t>contemplados en los artículos 1.1 y 24 de la CADH</w:t>
      </w:r>
      <w:r w:rsidR="001C7CD8">
        <w:rPr>
          <w:rFonts w:ascii="Verdana" w:hAnsi="Verdana" w:cs="Arial"/>
          <w:color w:val="000000"/>
          <w:sz w:val="20"/>
          <w:szCs w:val="20"/>
        </w:rPr>
        <w:t>—</w:t>
      </w:r>
      <w:r w:rsidR="000D5795" w:rsidRPr="0034314C">
        <w:rPr>
          <w:rFonts w:ascii="Verdana" w:hAnsi="Verdana" w:cs="Arial"/>
          <w:sz w:val="20"/>
          <w:szCs w:val="20"/>
          <w:lang w:val="es-ES_tradnl"/>
        </w:rPr>
        <w:t>. En este caso, el Tribunal Interamericano concluyó que el Estado no había presentado una justificación objetiva y razonable para que exista una restricción en el acceso a una pensión de sobrevivencia basada en la orientación sexual. En consecuencia, la Corte</w:t>
      </w:r>
      <w:r w:rsidR="00C15D88">
        <w:rPr>
          <w:rFonts w:ascii="Verdana" w:hAnsi="Verdana" w:cs="Arial"/>
          <w:sz w:val="20"/>
          <w:szCs w:val="20"/>
          <w:lang w:val="es-ES_tradnl"/>
        </w:rPr>
        <w:t xml:space="preserve"> IDH</w:t>
      </w:r>
      <w:r w:rsidR="000D5795" w:rsidRPr="0034314C">
        <w:rPr>
          <w:rFonts w:ascii="Verdana" w:hAnsi="Verdana" w:cs="Arial"/>
          <w:sz w:val="20"/>
          <w:szCs w:val="20"/>
          <w:lang w:val="es-ES_tradnl"/>
        </w:rPr>
        <w:t xml:space="preserve"> encontró que la diferenciación establecida en la normativa interna con fundamento en la orientación sexual para el acceso a las pensiones de sobrevivencia era discriminatoria y violaba lo establecido en el artículo 24 de la Convención Americana</w:t>
      </w:r>
      <w:r w:rsidR="000D5795" w:rsidRPr="000D5795">
        <w:rPr>
          <w:rStyle w:val="Refdenotaalpie"/>
          <w:rFonts w:ascii="Verdana" w:hAnsi="Verdana" w:cs="Arial"/>
          <w:sz w:val="20"/>
          <w:szCs w:val="20"/>
          <w:lang w:val="es-ES_tradnl"/>
        </w:rPr>
        <w:footnoteReference w:id="52"/>
      </w:r>
      <w:r w:rsidR="000D5795" w:rsidRPr="0034314C">
        <w:rPr>
          <w:rFonts w:ascii="Verdana" w:hAnsi="Verdana" w:cs="Arial"/>
          <w:sz w:val="20"/>
          <w:szCs w:val="20"/>
          <w:lang w:val="es-ES_tradnl"/>
        </w:rPr>
        <w:t xml:space="preserve">. </w:t>
      </w:r>
    </w:p>
    <w:p w:rsidR="0034314C" w:rsidRPr="0034314C" w:rsidRDefault="0034314C" w:rsidP="00DD2F96">
      <w:pPr>
        <w:pStyle w:val="Prrafodelista"/>
        <w:rPr>
          <w:rFonts w:ascii="Verdana" w:hAnsi="Verdana" w:cs="Arial"/>
          <w:sz w:val="20"/>
          <w:szCs w:val="20"/>
          <w:lang w:val="es-ES_tradnl"/>
        </w:rPr>
      </w:pPr>
    </w:p>
    <w:p w:rsidR="000D5795" w:rsidRPr="00FE7713" w:rsidRDefault="00CE6958" w:rsidP="00FE7713">
      <w:pPr>
        <w:tabs>
          <w:tab w:val="left" w:pos="0"/>
          <w:tab w:val="left" w:pos="567"/>
          <w:tab w:val="left" w:pos="709"/>
          <w:tab w:val="left" w:pos="9356"/>
        </w:tabs>
        <w:ind w:right="6"/>
        <w:jc w:val="both"/>
        <w:rPr>
          <w:rFonts w:ascii="Verdana" w:eastAsiaTheme="minorEastAsia" w:hAnsi="Verdana" w:cs="Arial"/>
          <w:sz w:val="20"/>
          <w:szCs w:val="20"/>
        </w:rPr>
      </w:pPr>
      <w:r>
        <w:rPr>
          <w:rFonts w:ascii="Verdana" w:hAnsi="Verdana" w:cs="Arial"/>
          <w:sz w:val="20"/>
          <w:szCs w:val="20"/>
          <w:lang w:val="es-ES_tradnl"/>
        </w:rPr>
        <w:t>27</w:t>
      </w:r>
      <w:r w:rsidR="00FE7713" w:rsidRPr="00FE7713">
        <w:rPr>
          <w:rFonts w:ascii="Verdana" w:hAnsi="Verdana" w:cs="Arial"/>
          <w:sz w:val="20"/>
          <w:szCs w:val="20"/>
          <w:lang w:val="es-ES_tradnl"/>
        </w:rPr>
        <w:t xml:space="preserve">. </w:t>
      </w:r>
      <w:r w:rsidR="00FE7713" w:rsidRPr="00FE7713">
        <w:rPr>
          <w:rFonts w:ascii="Verdana" w:hAnsi="Verdana" w:cs="Arial"/>
          <w:sz w:val="20"/>
          <w:szCs w:val="20"/>
          <w:lang w:val="es-ES_tradnl"/>
        </w:rPr>
        <w:tab/>
      </w:r>
      <w:r w:rsidR="00FE7713">
        <w:rPr>
          <w:rFonts w:ascii="Verdana" w:hAnsi="Verdana" w:cs="Arial"/>
          <w:sz w:val="20"/>
          <w:szCs w:val="20"/>
          <w:lang w:val="es-ES_tradnl"/>
        </w:rPr>
        <w:tab/>
      </w:r>
      <w:r w:rsidR="000D5795" w:rsidRPr="00FE7713">
        <w:rPr>
          <w:rFonts w:ascii="Verdana" w:hAnsi="Verdana" w:cs="Arial"/>
          <w:sz w:val="20"/>
          <w:szCs w:val="20"/>
          <w:lang w:val="es-ES_tradnl"/>
        </w:rPr>
        <w:t>Por tanto, la Corte IDH observó que la existencia de una normatividad interna vigente que no permitía el pago de pensiones a parejas del mismo sexo, era una diferencia de trato que vulneraba el derecho a la igualdad y no discriminación, por lo que constituyó efectivamente un hecho ilícito internacional. Adicionalmente a lo anterior, ese hecho ilícito internacional afectó al señor Duque, en la medida que esas normas internas le fueron aplicadas</w:t>
      </w:r>
      <w:r w:rsidR="000D5795" w:rsidRPr="000D5795">
        <w:rPr>
          <w:rStyle w:val="Refdenotaalpie"/>
          <w:rFonts w:ascii="Verdana" w:hAnsi="Verdana" w:cs="Arial"/>
          <w:sz w:val="20"/>
          <w:szCs w:val="20"/>
          <w:lang w:val="es-ES_tradnl"/>
        </w:rPr>
        <w:footnoteReference w:id="53"/>
      </w:r>
      <w:r w:rsidR="000D5795" w:rsidRPr="00FE7713">
        <w:rPr>
          <w:rFonts w:ascii="Verdana" w:hAnsi="Verdana" w:cs="Arial"/>
          <w:sz w:val="20"/>
          <w:szCs w:val="20"/>
          <w:lang w:val="es-ES_tradnl"/>
        </w:rPr>
        <w:t>.</w:t>
      </w:r>
    </w:p>
    <w:p w:rsidR="000D5795" w:rsidRDefault="000D5795" w:rsidP="00DD2F96">
      <w:pPr>
        <w:jc w:val="both"/>
        <w:rPr>
          <w:rFonts w:ascii="Verdana" w:hAnsi="Verdana"/>
          <w:i/>
          <w:sz w:val="20"/>
          <w:szCs w:val="20"/>
          <w:lang w:val="es-ES_tradnl"/>
        </w:rPr>
      </w:pPr>
    </w:p>
    <w:p w:rsidR="0034314C" w:rsidRPr="006A72B7" w:rsidRDefault="0034314C" w:rsidP="00035896">
      <w:pPr>
        <w:pStyle w:val="Prrafodelista"/>
        <w:numPr>
          <w:ilvl w:val="0"/>
          <w:numId w:val="8"/>
        </w:numPr>
        <w:jc w:val="both"/>
        <w:rPr>
          <w:rFonts w:ascii="Verdana" w:hAnsi="Verdana"/>
          <w:i/>
          <w:sz w:val="20"/>
          <w:szCs w:val="20"/>
          <w:u w:val="single"/>
          <w:lang w:val="es-ES_tradnl"/>
        </w:rPr>
      </w:pPr>
      <w:r w:rsidRPr="005C6850">
        <w:rPr>
          <w:rFonts w:ascii="Verdana" w:hAnsi="Verdana"/>
          <w:sz w:val="20"/>
          <w:szCs w:val="20"/>
          <w:u w:val="single"/>
          <w:lang w:val="es-ES_tradnl"/>
        </w:rPr>
        <w:t xml:space="preserve">El derecho a la seguridad social después del caso </w:t>
      </w:r>
      <w:r w:rsidRPr="005C6850">
        <w:rPr>
          <w:rFonts w:ascii="Verdana" w:hAnsi="Verdana"/>
          <w:i/>
          <w:sz w:val="20"/>
          <w:szCs w:val="20"/>
          <w:u w:val="single"/>
          <w:lang w:val="es-ES_tradnl"/>
        </w:rPr>
        <w:t>Lagos del Campo</w:t>
      </w:r>
      <w:r w:rsidR="00CF0891">
        <w:rPr>
          <w:rFonts w:ascii="Verdana" w:hAnsi="Verdana"/>
          <w:sz w:val="20"/>
          <w:szCs w:val="20"/>
          <w:u w:val="single"/>
          <w:lang w:val="es-ES_tradnl"/>
        </w:rPr>
        <w:t xml:space="preserve">: el </w:t>
      </w:r>
      <w:r w:rsidR="00CF0891" w:rsidRPr="006A72B7">
        <w:rPr>
          <w:rFonts w:ascii="Verdana" w:hAnsi="Verdana"/>
          <w:i/>
          <w:sz w:val="20"/>
          <w:szCs w:val="20"/>
          <w:u w:val="single"/>
          <w:lang w:val="es-ES_tradnl"/>
        </w:rPr>
        <w:t>caso Muelle Flores</w:t>
      </w:r>
      <w:r w:rsidRPr="006A72B7">
        <w:rPr>
          <w:rFonts w:ascii="Verdana" w:hAnsi="Verdana"/>
          <w:i/>
          <w:sz w:val="20"/>
          <w:szCs w:val="20"/>
          <w:u w:val="single"/>
          <w:lang w:val="es-ES_tradnl"/>
        </w:rPr>
        <w:t xml:space="preserve"> </w:t>
      </w:r>
      <w:r w:rsidR="00F47861" w:rsidRPr="006A72B7">
        <w:rPr>
          <w:rFonts w:ascii="Verdana" w:hAnsi="Verdana"/>
          <w:i/>
          <w:sz w:val="20"/>
          <w:szCs w:val="20"/>
          <w:u w:val="single"/>
          <w:lang w:val="es-ES_tradnl"/>
        </w:rPr>
        <w:t>y otros Vs. Perú</w:t>
      </w:r>
      <w:r w:rsidR="00CF0891" w:rsidRPr="006A72B7">
        <w:rPr>
          <w:rFonts w:ascii="Verdana" w:hAnsi="Verdana"/>
          <w:i/>
          <w:sz w:val="20"/>
          <w:szCs w:val="20"/>
          <w:u w:val="single"/>
          <w:lang w:val="es-ES_tradnl"/>
        </w:rPr>
        <w:t xml:space="preserve"> </w:t>
      </w:r>
    </w:p>
    <w:p w:rsidR="00CF0891" w:rsidRPr="00CF0891" w:rsidRDefault="00CF0891" w:rsidP="00DD2F96">
      <w:pPr>
        <w:jc w:val="both"/>
        <w:outlineLvl w:val="1"/>
        <w:rPr>
          <w:rFonts w:ascii="Verdana" w:hAnsi="Verdana"/>
          <w:i/>
          <w:sz w:val="20"/>
          <w:szCs w:val="20"/>
          <w:lang w:val="es-ES"/>
        </w:rPr>
      </w:pPr>
    </w:p>
    <w:p w:rsidR="00C85629" w:rsidRDefault="00CE6958" w:rsidP="00C85629">
      <w:pPr>
        <w:jc w:val="both"/>
        <w:rPr>
          <w:rFonts w:ascii="Verdana" w:hAnsi="Verdana"/>
          <w:sz w:val="20"/>
          <w:szCs w:val="20"/>
          <w:lang w:val="es-ES"/>
        </w:rPr>
      </w:pPr>
      <w:r w:rsidRPr="00572749">
        <w:rPr>
          <w:rFonts w:ascii="Verdana" w:hAnsi="Verdana"/>
          <w:sz w:val="20"/>
          <w:szCs w:val="20"/>
          <w:lang w:val="es-ES"/>
        </w:rPr>
        <w:t xml:space="preserve">28. </w:t>
      </w:r>
      <w:r w:rsidRPr="00572749">
        <w:rPr>
          <w:rFonts w:ascii="Verdana" w:hAnsi="Verdana"/>
          <w:sz w:val="20"/>
          <w:szCs w:val="20"/>
          <w:lang w:val="es-ES"/>
        </w:rPr>
        <w:tab/>
      </w:r>
      <w:r w:rsidR="00261B73" w:rsidRPr="00572749">
        <w:rPr>
          <w:rFonts w:ascii="Verdana" w:hAnsi="Verdana"/>
          <w:sz w:val="20"/>
          <w:szCs w:val="20"/>
          <w:lang w:val="es-ES"/>
        </w:rPr>
        <w:t xml:space="preserve">El </w:t>
      </w:r>
      <w:r w:rsidR="00261B73" w:rsidRPr="00572749">
        <w:rPr>
          <w:rFonts w:ascii="Verdana" w:hAnsi="Verdana"/>
          <w:i/>
          <w:sz w:val="20"/>
          <w:szCs w:val="20"/>
          <w:lang w:val="es-ES"/>
        </w:rPr>
        <w:t>Caso Lagos del Campo vs. Perú</w:t>
      </w:r>
      <w:r w:rsidR="008F73BE" w:rsidRPr="00572749">
        <w:rPr>
          <w:rFonts w:ascii="Verdana" w:hAnsi="Verdana"/>
          <w:sz w:val="20"/>
          <w:szCs w:val="20"/>
          <w:lang w:val="es-ES"/>
        </w:rPr>
        <w:t xml:space="preserve"> marcó un</w:t>
      </w:r>
      <w:r w:rsidR="00824155">
        <w:rPr>
          <w:rFonts w:ascii="Verdana" w:hAnsi="Verdana"/>
          <w:sz w:val="20"/>
          <w:szCs w:val="20"/>
          <w:lang w:val="es-ES"/>
        </w:rPr>
        <w:t xml:space="preserve"> giro jurisprudencial de la</w:t>
      </w:r>
      <w:r w:rsidR="00261B73" w:rsidRPr="00572749">
        <w:rPr>
          <w:rFonts w:ascii="Verdana" w:hAnsi="Verdana"/>
          <w:sz w:val="20"/>
          <w:szCs w:val="20"/>
          <w:lang w:val="es-ES"/>
        </w:rPr>
        <w:t xml:space="preserve"> Corte IDH en cuanto a la </w:t>
      </w:r>
      <w:proofErr w:type="spellStart"/>
      <w:r w:rsidR="00572749" w:rsidRPr="00572749">
        <w:rPr>
          <w:rFonts w:ascii="Verdana" w:hAnsi="Verdana"/>
          <w:sz w:val="20"/>
          <w:szCs w:val="20"/>
          <w:lang w:val="es-ES"/>
        </w:rPr>
        <w:t>justiciabilidad</w:t>
      </w:r>
      <w:proofErr w:type="spellEnd"/>
      <w:r w:rsidR="00572749" w:rsidRPr="00572749">
        <w:rPr>
          <w:rFonts w:ascii="Verdana" w:hAnsi="Verdana"/>
          <w:sz w:val="20"/>
          <w:szCs w:val="20"/>
          <w:lang w:val="es-ES"/>
        </w:rPr>
        <w:t xml:space="preserve"> directa </w:t>
      </w:r>
      <w:r w:rsidR="00261B73" w:rsidRPr="00572749">
        <w:rPr>
          <w:rFonts w:ascii="Verdana" w:hAnsi="Verdana"/>
          <w:sz w:val="20"/>
          <w:szCs w:val="20"/>
          <w:lang w:val="es-ES"/>
        </w:rPr>
        <w:t xml:space="preserve">de los derechos económicos, sociales, culturales y ambientales ante </w:t>
      </w:r>
      <w:r w:rsidR="008F73BE" w:rsidRPr="00572749">
        <w:rPr>
          <w:rFonts w:ascii="Verdana" w:hAnsi="Verdana"/>
          <w:sz w:val="20"/>
          <w:szCs w:val="20"/>
          <w:lang w:val="es-ES"/>
        </w:rPr>
        <w:t>los órganos de protección d</w:t>
      </w:r>
      <w:r w:rsidR="00261B73" w:rsidRPr="00572749">
        <w:rPr>
          <w:rFonts w:ascii="Verdana" w:hAnsi="Verdana"/>
          <w:sz w:val="20"/>
          <w:szCs w:val="20"/>
          <w:lang w:val="es-ES"/>
        </w:rPr>
        <w:t>el Sistema Interamericano, al declararse por primera vez una violación al artículo 26 de la Convención Americana</w:t>
      </w:r>
      <w:r w:rsidR="00261B73" w:rsidRPr="00572749">
        <w:rPr>
          <w:rStyle w:val="Refdenotaalpie"/>
          <w:rFonts w:ascii="Verdana" w:hAnsi="Verdana"/>
          <w:sz w:val="20"/>
          <w:szCs w:val="20"/>
          <w:lang w:val="es-ES"/>
        </w:rPr>
        <w:footnoteReference w:id="54"/>
      </w:r>
      <w:r w:rsidR="00261B73" w:rsidRPr="00572749">
        <w:rPr>
          <w:rFonts w:ascii="Verdana" w:hAnsi="Verdana"/>
          <w:sz w:val="20"/>
          <w:szCs w:val="20"/>
          <w:lang w:val="es-ES"/>
        </w:rPr>
        <w:t xml:space="preserve">. </w:t>
      </w:r>
      <w:r w:rsidR="00572749" w:rsidRPr="00572749">
        <w:rPr>
          <w:rFonts w:ascii="Verdana" w:hAnsi="Verdana"/>
          <w:sz w:val="20"/>
          <w:szCs w:val="20"/>
          <w:lang w:val="es-ES"/>
        </w:rPr>
        <w:t>En el caso, e</w:t>
      </w:r>
      <w:r w:rsidR="00261B73" w:rsidRPr="00572749">
        <w:rPr>
          <w:rFonts w:ascii="Verdana" w:hAnsi="Verdana"/>
          <w:sz w:val="20"/>
          <w:szCs w:val="20"/>
          <w:lang w:val="es-ES"/>
        </w:rPr>
        <w:t xml:space="preserve">l Tribunal Interamericano declaró que Perú era responsable por la violación al derecho a la estabilidad laboral del señor Alfredo Lagos del Campo, </w:t>
      </w:r>
      <w:r w:rsidR="00C85629" w:rsidRPr="00572749">
        <w:rPr>
          <w:rFonts w:ascii="Verdana" w:hAnsi="Verdana"/>
          <w:sz w:val="20"/>
          <w:szCs w:val="20"/>
          <w:lang w:val="es-ES"/>
        </w:rPr>
        <w:t>toda vez que</w:t>
      </w:r>
      <w:r w:rsidR="00261B73" w:rsidRPr="00572749">
        <w:rPr>
          <w:rFonts w:ascii="Verdana" w:hAnsi="Verdana"/>
          <w:sz w:val="20"/>
          <w:szCs w:val="20"/>
          <w:lang w:val="es-ES"/>
        </w:rPr>
        <w:t xml:space="preserve"> ante el despido arbitrario por parte de la empresa donde laboraba, el Estado no adoptó las medidas adecuadas para proteger </w:t>
      </w:r>
      <w:r w:rsidR="00C85629" w:rsidRPr="00572749">
        <w:rPr>
          <w:rFonts w:ascii="Verdana" w:hAnsi="Verdana"/>
          <w:sz w:val="20"/>
          <w:szCs w:val="20"/>
          <w:lang w:val="es-ES"/>
        </w:rPr>
        <w:t>su derecho</w:t>
      </w:r>
      <w:r w:rsidR="00261B73" w:rsidRPr="00572749">
        <w:rPr>
          <w:rStyle w:val="Refdenotaalpie"/>
          <w:rFonts w:ascii="Verdana" w:hAnsi="Verdana"/>
          <w:sz w:val="20"/>
          <w:szCs w:val="20"/>
          <w:lang w:val="es-ES"/>
        </w:rPr>
        <w:footnoteReference w:id="55"/>
      </w:r>
      <w:r w:rsidR="00261B73" w:rsidRPr="00572749">
        <w:rPr>
          <w:rFonts w:ascii="Verdana" w:hAnsi="Verdana"/>
          <w:sz w:val="20"/>
          <w:szCs w:val="20"/>
          <w:lang w:val="es-ES"/>
        </w:rPr>
        <w:t xml:space="preserve">. De esta manera se dio paso a una nueva era en la </w:t>
      </w:r>
      <w:r w:rsidR="00572749" w:rsidRPr="00572749">
        <w:rPr>
          <w:rFonts w:ascii="Verdana" w:hAnsi="Verdana"/>
          <w:sz w:val="20"/>
          <w:szCs w:val="20"/>
          <w:lang w:val="es-ES"/>
        </w:rPr>
        <w:t>protección directa y autónoma de los</w:t>
      </w:r>
      <w:r w:rsidR="00C91764" w:rsidRPr="00572749">
        <w:rPr>
          <w:rFonts w:ascii="Verdana" w:hAnsi="Verdana"/>
          <w:sz w:val="20"/>
          <w:szCs w:val="20"/>
          <w:lang w:val="es-ES"/>
        </w:rPr>
        <w:t xml:space="preserve"> DESCA ante el</w:t>
      </w:r>
      <w:r w:rsidR="00261B73" w:rsidRPr="00572749">
        <w:rPr>
          <w:rFonts w:ascii="Verdana" w:hAnsi="Verdana"/>
          <w:sz w:val="20"/>
          <w:szCs w:val="20"/>
          <w:lang w:val="es-ES"/>
        </w:rPr>
        <w:t xml:space="preserve"> Tribunal</w:t>
      </w:r>
      <w:r w:rsidR="004A2756" w:rsidRPr="00572749">
        <w:rPr>
          <w:rFonts w:ascii="Verdana" w:hAnsi="Verdana"/>
          <w:sz w:val="20"/>
          <w:szCs w:val="20"/>
          <w:lang w:val="es-ES"/>
        </w:rPr>
        <w:t xml:space="preserve"> Interamericano</w:t>
      </w:r>
      <w:r w:rsidR="00261B73" w:rsidRPr="00572749">
        <w:rPr>
          <w:rFonts w:ascii="Verdana" w:hAnsi="Verdana"/>
          <w:sz w:val="20"/>
          <w:szCs w:val="20"/>
          <w:lang w:val="es-ES"/>
        </w:rPr>
        <w:t>.</w:t>
      </w:r>
    </w:p>
    <w:p w:rsidR="00C85629" w:rsidRDefault="00C85629" w:rsidP="00C85629">
      <w:pPr>
        <w:jc w:val="both"/>
        <w:rPr>
          <w:rFonts w:ascii="Verdana" w:hAnsi="Verdana"/>
          <w:sz w:val="20"/>
          <w:szCs w:val="20"/>
          <w:lang w:val="es-ES"/>
        </w:rPr>
      </w:pPr>
    </w:p>
    <w:p w:rsidR="00CF0891" w:rsidRPr="00C85629" w:rsidRDefault="00C85629" w:rsidP="00C85629">
      <w:pPr>
        <w:jc w:val="both"/>
        <w:rPr>
          <w:sz w:val="20"/>
          <w:szCs w:val="20"/>
        </w:rPr>
      </w:pPr>
      <w:r>
        <w:rPr>
          <w:rFonts w:ascii="Verdana" w:hAnsi="Verdana"/>
          <w:sz w:val="20"/>
          <w:szCs w:val="20"/>
          <w:lang w:val="es-ES"/>
        </w:rPr>
        <w:lastRenderedPageBreak/>
        <w:t xml:space="preserve">29. </w:t>
      </w:r>
      <w:r>
        <w:rPr>
          <w:rFonts w:ascii="Verdana" w:hAnsi="Verdana"/>
          <w:sz w:val="20"/>
          <w:szCs w:val="20"/>
          <w:lang w:val="es-ES"/>
        </w:rPr>
        <w:tab/>
      </w:r>
      <w:r w:rsidR="00572749">
        <w:rPr>
          <w:rFonts w:ascii="Verdana" w:hAnsi="Verdana"/>
          <w:sz w:val="20"/>
          <w:szCs w:val="20"/>
          <w:lang w:val="es-ES"/>
        </w:rPr>
        <w:t>A</w:t>
      </w:r>
      <w:r w:rsidR="00CF0891">
        <w:rPr>
          <w:rFonts w:ascii="Verdana" w:hAnsi="Verdana"/>
          <w:sz w:val="20"/>
          <w:szCs w:val="20"/>
          <w:lang w:val="es-ES"/>
        </w:rPr>
        <w:t>l igual que lo ha venido haciendo con el derecho al trabajo</w:t>
      </w:r>
      <w:r>
        <w:rPr>
          <w:rStyle w:val="Refdenotaalpie"/>
          <w:rFonts w:ascii="Verdana" w:hAnsi="Verdana" w:cs="Tahoma"/>
          <w:color w:val="000000"/>
          <w:sz w:val="20"/>
          <w:szCs w:val="20"/>
          <w:lang w:val="es-ES"/>
        </w:rPr>
        <w:footnoteReference w:id="56"/>
      </w:r>
      <w:r w:rsidR="00CF0891">
        <w:rPr>
          <w:rFonts w:ascii="Verdana" w:hAnsi="Verdana"/>
          <w:sz w:val="20"/>
          <w:szCs w:val="20"/>
          <w:lang w:val="es-ES"/>
        </w:rPr>
        <w:t xml:space="preserve"> o el derecho a la salud</w:t>
      </w:r>
      <w:r>
        <w:rPr>
          <w:rStyle w:val="Refdenotaalpie"/>
          <w:rFonts w:ascii="Verdana" w:hAnsi="Verdana" w:cs="Tahoma"/>
          <w:color w:val="000000"/>
          <w:sz w:val="20"/>
          <w:szCs w:val="20"/>
          <w:lang w:val="es-ES"/>
        </w:rPr>
        <w:footnoteReference w:id="57"/>
      </w:r>
      <w:r w:rsidR="00CF0891">
        <w:rPr>
          <w:rFonts w:ascii="Verdana" w:hAnsi="Verdana"/>
          <w:sz w:val="20"/>
          <w:szCs w:val="20"/>
          <w:lang w:val="es-ES"/>
        </w:rPr>
        <w:t xml:space="preserve">, la Corte IDH en el caso </w:t>
      </w:r>
      <w:r w:rsidR="00CF0891" w:rsidRPr="00D2143B">
        <w:rPr>
          <w:rFonts w:ascii="Verdana" w:hAnsi="Verdana"/>
          <w:i/>
          <w:sz w:val="20"/>
          <w:szCs w:val="20"/>
          <w:lang w:val="es-ES"/>
        </w:rPr>
        <w:t>Muelle Flores</w:t>
      </w:r>
      <w:r w:rsidR="006A72B7">
        <w:rPr>
          <w:rFonts w:ascii="Verdana" w:hAnsi="Verdana"/>
          <w:sz w:val="20"/>
          <w:szCs w:val="20"/>
          <w:lang w:val="es-ES"/>
        </w:rPr>
        <w:t>, considera que el derecho a la seguridad social</w:t>
      </w:r>
      <w:r w:rsidR="00CF0891">
        <w:rPr>
          <w:rFonts w:ascii="Verdana" w:hAnsi="Verdana"/>
          <w:sz w:val="20"/>
          <w:szCs w:val="20"/>
          <w:lang w:val="es-ES"/>
        </w:rPr>
        <w:t xml:space="preserve"> es plenamente derivable de la remisión que hace</w:t>
      </w:r>
      <w:r w:rsidR="00A15755">
        <w:rPr>
          <w:rFonts w:ascii="Verdana" w:hAnsi="Verdana"/>
          <w:sz w:val="20"/>
          <w:szCs w:val="20"/>
          <w:lang w:val="es-ES"/>
        </w:rPr>
        <w:t xml:space="preserve"> el artículo 26 de la Convención Americana</w:t>
      </w:r>
      <w:r w:rsidR="00C15D88">
        <w:rPr>
          <w:rFonts w:ascii="Verdana" w:hAnsi="Verdana"/>
          <w:sz w:val="20"/>
          <w:szCs w:val="20"/>
          <w:lang w:val="es-ES"/>
        </w:rPr>
        <w:t xml:space="preserve"> a las normas económicas</w:t>
      </w:r>
      <w:r w:rsidR="00B14927">
        <w:rPr>
          <w:rFonts w:ascii="Verdana" w:hAnsi="Verdana"/>
          <w:i/>
          <w:sz w:val="20"/>
          <w:szCs w:val="20"/>
          <w:lang w:val="es-ES"/>
        </w:rPr>
        <w:t xml:space="preserve">, </w:t>
      </w:r>
      <w:r w:rsidR="00B14927" w:rsidRPr="00B14927">
        <w:rPr>
          <w:rFonts w:ascii="Verdana" w:hAnsi="Verdana"/>
          <w:sz w:val="20"/>
          <w:szCs w:val="20"/>
        </w:rPr>
        <w:t>sociales y de educación, ciencia y cultura contenidas en la Carta de la OEA</w:t>
      </w:r>
      <w:r w:rsidR="004A2756">
        <w:rPr>
          <w:rFonts w:ascii="Verdana" w:hAnsi="Verdana"/>
          <w:sz w:val="20"/>
          <w:szCs w:val="20"/>
          <w:lang w:val="es-ES"/>
        </w:rPr>
        <w:t>. A</w:t>
      </w:r>
      <w:r w:rsidR="00A15755" w:rsidRPr="00B14927">
        <w:rPr>
          <w:rFonts w:ascii="Verdana" w:hAnsi="Verdana"/>
          <w:sz w:val="20"/>
          <w:szCs w:val="20"/>
          <w:lang w:val="es-ES"/>
        </w:rPr>
        <w:t xml:space="preserve">l respecto el Tribunal Interamericano analiza una serie de normas </w:t>
      </w:r>
      <w:r w:rsidR="00B14927">
        <w:rPr>
          <w:rFonts w:ascii="Verdana" w:hAnsi="Verdana"/>
          <w:sz w:val="20"/>
          <w:szCs w:val="20"/>
          <w:lang w:val="es-ES"/>
        </w:rPr>
        <w:t xml:space="preserve">de la Carta de la OEA </w:t>
      </w:r>
      <w:r w:rsidR="00A15755" w:rsidRPr="00B14927">
        <w:rPr>
          <w:rFonts w:ascii="Verdana" w:hAnsi="Verdana"/>
          <w:sz w:val="20"/>
          <w:szCs w:val="20"/>
          <w:lang w:val="es-ES"/>
        </w:rPr>
        <w:t>para identificar que el derecho a la seguri</w:t>
      </w:r>
      <w:r w:rsidR="00D2143B" w:rsidRPr="00B14927">
        <w:rPr>
          <w:rFonts w:ascii="Verdana" w:hAnsi="Verdana"/>
          <w:sz w:val="20"/>
          <w:szCs w:val="20"/>
          <w:lang w:val="es-ES"/>
        </w:rPr>
        <w:t>dad social es un derecho humano</w:t>
      </w:r>
      <w:r w:rsidR="00A15755" w:rsidRPr="00B14927">
        <w:rPr>
          <w:rFonts w:ascii="Verdana" w:hAnsi="Verdana"/>
          <w:sz w:val="20"/>
          <w:szCs w:val="20"/>
          <w:lang w:val="es-ES"/>
        </w:rPr>
        <w:t xml:space="preserve"> justiciab</w:t>
      </w:r>
      <w:r w:rsidR="00B14927">
        <w:rPr>
          <w:rFonts w:ascii="Verdana" w:hAnsi="Verdana"/>
          <w:sz w:val="20"/>
          <w:szCs w:val="20"/>
          <w:lang w:val="es-ES"/>
        </w:rPr>
        <w:t xml:space="preserve">le mediante el artículo 26, para luego establecer con mayor precisión su contenido y obligaciones estatales, acudiendo a la Declaración Americana de Derechos y Deberes del Hombre, al </w:t>
      </w:r>
      <w:r w:rsidR="00A15755" w:rsidRPr="00B14927">
        <w:rPr>
          <w:rFonts w:ascii="Verdana" w:hAnsi="Verdana"/>
          <w:i/>
          <w:sz w:val="20"/>
          <w:szCs w:val="20"/>
          <w:lang w:val="es-ES"/>
        </w:rPr>
        <w:t>corpus iuris</w:t>
      </w:r>
      <w:r w:rsidR="00B14927">
        <w:rPr>
          <w:rFonts w:ascii="Verdana" w:hAnsi="Verdana"/>
          <w:sz w:val="20"/>
          <w:szCs w:val="20"/>
          <w:lang w:val="es-ES"/>
        </w:rPr>
        <w:t xml:space="preserve"> internacional y a</w:t>
      </w:r>
      <w:r w:rsidR="00A15755" w:rsidRPr="00B14927">
        <w:rPr>
          <w:rFonts w:ascii="Verdana" w:hAnsi="Verdana"/>
          <w:sz w:val="20"/>
          <w:szCs w:val="20"/>
          <w:lang w:val="es-ES"/>
        </w:rPr>
        <w:t xml:space="preserve"> las normas constitucionales internas</w:t>
      </w:r>
      <w:r w:rsidR="006A72B7">
        <w:rPr>
          <w:rStyle w:val="Refdenotaalpie"/>
          <w:rFonts w:ascii="Verdana" w:hAnsi="Verdana" w:cs="Tahoma"/>
          <w:color w:val="000000"/>
          <w:sz w:val="20"/>
          <w:szCs w:val="20"/>
          <w:lang w:val="es-ES"/>
        </w:rPr>
        <w:footnoteReference w:id="58"/>
      </w:r>
      <w:r w:rsidR="006A72B7">
        <w:rPr>
          <w:rFonts w:ascii="Verdana" w:hAnsi="Verdana"/>
          <w:sz w:val="20"/>
          <w:szCs w:val="20"/>
          <w:lang w:val="es-ES"/>
        </w:rPr>
        <w:t>.</w:t>
      </w:r>
      <w:r w:rsidR="009F1B29">
        <w:rPr>
          <w:rFonts w:ascii="Verdana" w:hAnsi="Verdana"/>
          <w:sz w:val="20"/>
          <w:szCs w:val="20"/>
          <w:lang w:val="es-ES"/>
        </w:rPr>
        <w:t xml:space="preserve"> </w:t>
      </w:r>
    </w:p>
    <w:p w:rsidR="00CC60DB" w:rsidRPr="00186911" w:rsidRDefault="00CC60DB" w:rsidP="00DD2F96">
      <w:pPr>
        <w:pStyle w:val="Prrafodelista"/>
        <w:ind w:left="0"/>
        <w:jc w:val="both"/>
        <w:rPr>
          <w:rFonts w:ascii="Verdana" w:hAnsi="Verdana"/>
          <w:sz w:val="20"/>
          <w:szCs w:val="20"/>
        </w:rPr>
      </w:pPr>
    </w:p>
    <w:p w:rsidR="00FE5B19" w:rsidRPr="00CC60DB" w:rsidRDefault="00C85629" w:rsidP="00CE6958">
      <w:pPr>
        <w:pStyle w:val="Prrafodelista"/>
        <w:ind w:left="0"/>
        <w:jc w:val="both"/>
        <w:rPr>
          <w:rFonts w:ascii="Verdana" w:hAnsi="Verdana"/>
          <w:sz w:val="20"/>
          <w:szCs w:val="20"/>
          <w:u w:val="single"/>
        </w:rPr>
      </w:pPr>
      <w:r>
        <w:rPr>
          <w:rFonts w:ascii="Verdana" w:hAnsi="Verdana"/>
          <w:sz w:val="20"/>
          <w:szCs w:val="20"/>
        </w:rPr>
        <w:t>30</w:t>
      </w:r>
      <w:r w:rsidR="00CE6958" w:rsidRPr="005F76D4">
        <w:rPr>
          <w:rFonts w:ascii="Verdana" w:hAnsi="Verdana"/>
          <w:sz w:val="20"/>
          <w:szCs w:val="20"/>
        </w:rPr>
        <w:t xml:space="preserve">. </w:t>
      </w:r>
      <w:r w:rsidR="00CE6958" w:rsidRPr="005F76D4">
        <w:rPr>
          <w:rFonts w:ascii="Verdana" w:hAnsi="Verdana"/>
          <w:sz w:val="20"/>
          <w:szCs w:val="20"/>
        </w:rPr>
        <w:tab/>
      </w:r>
      <w:r w:rsidR="00FE5B19" w:rsidRPr="00315DE9">
        <w:rPr>
          <w:rFonts w:ascii="Verdana" w:hAnsi="Verdana"/>
          <w:sz w:val="20"/>
          <w:szCs w:val="20"/>
        </w:rPr>
        <w:t xml:space="preserve">Aun cuando la Corte </w:t>
      </w:r>
      <w:r w:rsidR="00C92E29" w:rsidRPr="0021407E">
        <w:rPr>
          <w:rFonts w:ascii="Verdana" w:hAnsi="Verdana"/>
          <w:sz w:val="20"/>
          <w:szCs w:val="20"/>
        </w:rPr>
        <w:t xml:space="preserve">IDH </w:t>
      </w:r>
      <w:r w:rsidR="00FE5B19" w:rsidRPr="0021407E">
        <w:rPr>
          <w:rFonts w:ascii="Verdana" w:hAnsi="Verdana"/>
          <w:sz w:val="20"/>
          <w:szCs w:val="20"/>
        </w:rPr>
        <w:t xml:space="preserve">se había pronunciado sobre </w:t>
      </w:r>
      <w:r w:rsidR="00E75B35" w:rsidRPr="0021407E">
        <w:rPr>
          <w:rFonts w:ascii="Verdana" w:hAnsi="Verdana"/>
          <w:sz w:val="20"/>
          <w:szCs w:val="20"/>
        </w:rPr>
        <w:t>la seguridad social (pensiones)</w:t>
      </w:r>
      <w:r w:rsidR="00FE5B19" w:rsidRPr="0021407E">
        <w:rPr>
          <w:rFonts w:ascii="Verdana" w:hAnsi="Verdana"/>
          <w:sz w:val="20"/>
          <w:szCs w:val="20"/>
        </w:rPr>
        <w:t xml:space="preserve">, en los casos </w:t>
      </w:r>
      <w:r w:rsidR="00824155" w:rsidRPr="00315DE9">
        <w:rPr>
          <w:rFonts w:ascii="Verdana" w:hAnsi="Verdana"/>
          <w:i/>
          <w:sz w:val="20"/>
          <w:szCs w:val="20"/>
        </w:rPr>
        <w:t>Cinco P</w:t>
      </w:r>
      <w:r w:rsidR="00FE5B19" w:rsidRPr="00315DE9">
        <w:rPr>
          <w:rFonts w:ascii="Verdana" w:hAnsi="Verdana"/>
          <w:i/>
          <w:sz w:val="20"/>
          <w:szCs w:val="20"/>
        </w:rPr>
        <w:t>ensionistas</w:t>
      </w:r>
      <w:r w:rsidR="00FE5B19" w:rsidRPr="00315DE9">
        <w:rPr>
          <w:rFonts w:ascii="Verdana" w:hAnsi="Verdana"/>
          <w:sz w:val="20"/>
          <w:szCs w:val="20"/>
        </w:rPr>
        <w:t xml:space="preserve"> y </w:t>
      </w:r>
      <w:r w:rsidR="00FE5B19" w:rsidRPr="00315DE9">
        <w:rPr>
          <w:rFonts w:ascii="Verdana" w:hAnsi="Verdana"/>
          <w:i/>
          <w:sz w:val="20"/>
          <w:szCs w:val="20"/>
        </w:rPr>
        <w:t>Acevedo Buendía</w:t>
      </w:r>
      <w:r w:rsidR="00FE5B19" w:rsidRPr="00315DE9">
        <w:rPr>
          <w:rFonts w:ascii="Verdana" w:hAnsi="Verdana"/>
          <w:sz w:val="20"/>
          <w:szCs w:val="20"/>
        </w:rPr>
        <w:t xml:space="preserve">, las diferencias entre esas sentencias y el caso </w:t>
      </w:r>
      <w:r w:rsidR="00FE5B19" w:rsidRPr="00315DE9">
        <w:rPr>
          <w:rFonts w:ascii="Verdana" w:hAnsi="Verdana"/>
          <w:i/>
          <w:sz w:val="20"/>
          <w:szCs w:val="20"/>
        </w:rPr>
        <w:t>Muelle Flores</w:t>
      </w:r>
      <w:r w:rsidR="00FE5B19" w:rsidRPr="00315DE9">
        <w:rPr>
          <w:rFonts w:ascii="Verdana" w:hAnsi="Verdana"/>
          <w:sz w:val="20"/>
          <w:szCs w:val="20"/>
        </w:rPr>
        <w:t xml:space="preserve"> son palpables. Por ejemplo, en una primera aproximación </w:t>
      </w:r>
      <w:r w:rsidR="00FE5B19" w:rsidRPr="00315DE9">
        <w:rPr>
          <w:rFonts w:ascii="Verdana" w:hAnsi="Verdana"/>
          <w:i/>
          <w:sz w:val="20"/>
          <w:szCs w:val="20"/>
        </w:rPr>
        <w:t>desde la óptica de personas mayores</w:t>
      </w:r>
      <w:r w:rsidR="00FE5B19" w:rsidRPr="00315DE9">
        <w:rPr>
          <w:rFonts w:ascii="Verdana" w:hAnsi="Verdana"/>
          <w:sz w:val="20"/>
          <w:szCs w:val="20"/>
        </w:rPr>
        <w:t xml:space="preserve">, la Corte </w:t>
      </w:r>
      <w:r w:rsidR="00B14927" w:rsidRPr="00315DE9">
        <w:rPr>
          <w:rFonts w:ascii="Verdana" w:hAnsi="Verdana"/>
          <w:sz w:val="20"/>
          <w:szCs w:val="20"/>
        </w:rPr>
        <w:t xml:space="preserve">IDH </w:t>
      </w:r>
      <w:r w:rsidR="00E75B35" w:rsidRPr="00315DE9">
        <w:rPr>
          <w:rFonts w:ascii="Verdana" w:hAnsi="Verdana"/>
          <w:sz w:val="20"/>
          <w:szCs w:val="20"/>
        </w:rPr>
        <w:t xml:space="preserve">define que la seguridad social </w:t>
      </w:r>
      <w:r w:rsidR="00FE5B19" w:rsidRPr="00315DE9">
        <w:rPr>
          <w:rFonts w:ascii="Verdana" w:hAnsi="Verdana"/>
          <w:sz w:val="20"/>
          <w:szCs w:val="20"/>
        </w:rPr>
        <w:t>“</w:t>
      </w:r>
      <w:r w:rsidR="00FE5B19" w:rsidRPr="00315DE9">
        <w:rPr>
          <w:rFonts w:ascii="Verdana" w:eastAsia="Times" w:hAnsi="Verdana" w:cs="Arial"/>
          <w:sz w:val="20"/>
          <w:szCs w:val="20"/>
        </w:rPr>
        <w:t xml:space="preserve">es un derecho que busca proteger al individuo de contingencias futuras, que de producirse ocasionarían consecuencias perjudiciales para la persona, por lo </w:t>
      </w:r>
      <w:r w:rsidR="0021407E">
        <w:rPr>
          <w:rFonts w:ascii="Verdana" w:eastAsia="Times" w:hAnsi="Verdana" w:cs="Arial"/>
          <w:sz w:val="20"/>
          <w:szCs w:val="20"/>
        </w:rPr>
        <w:t xml:space="preserve">que </w:t>
      </w:r>
      <w:r w:rsidR="00FE5B19" w:rsidRPr="0021407E">
        <w:rPr>
          <w:rFonts w:ascii="Verdana" w:eastAsia="Times" w:hAnsi="Verdana" w:cs="Arial"/>
          <w:sz w:val="20"/>
          <w:szCs w:val="20"/>
        </w:rPr>
        <w:t xml:space="preserve">deben adoptarse medidas para protegerla </w:t>
      </w:r>
      <w:r w:rsidR="00E75B35" w:rsidRPr="0021407E">
        <w:rPr>
          <w:rFonts w:ascii="Verdana" w:eastAsia="Times" w:hAnsi="Verdana" w:cs="Arial"/>
          <w:sz w:val="20"/>
          <w:szCs w:val="20"/>
        </w:rPr>
        <w:t>[;</w:t>
      </w:r>
      <w:r w:rsidR="00FE5B19" w:rsidRPr="0021407E">
        <w:rPr>
          <w:rFonts w:ascii="Verdana" w:eastAsia="Times" w:hAnsi="Verdana" w:cs="Arial"/>
          <w:sz w:val="20"/>
          <w:szCs w:val="20"/>
        </w:rPr>
        <w:t>] el derecho a la seguridad social buscar proteger al individuo de situaci</w:t>
      </w:r>
      <w:r w:rsidR="009F1B29" w:rsidRPr="0021407E">
        <w:rPr>
          <w:rFonts w:ascii="Verdana" w:eastAsia="Times" w:hAnsi="Verdana" w:cs="Arial"/>
          <w:sz w:val="20"/>
          <w:szCs w:val="20"/>
        </w:rPr>
        <w:t>ones que se presentarán cuando é</w:t>
      </w:r>
      <w:r w:rsidR="00FE5B19" w:rsidRPr="00315DE9">
        <w:rPr>
          <w:rFonts w:ascii="Verdana" w:eastAsia="Times" w:hAnsi="Verdana" w:cs="Arial"/>
          <w:sz w:val="20"/>
          <w:szCs w:val="20"/>
        </w:rPr>
        <w:t xml:space="preserve">ste llegue a una edad determinada en la cual </w:t>
      </w:r>
      <w:r w:rsidR="00FE5B19" w:rsidRPr="00315DE9">
        <w:rPr>
          <w:rFonts w:ascii="Verdana" w:hAnsi="Verdana"/>
          <w:sz w:val="20"/>
          <w:szCs w:val="20"/>
        </w:rPr>
        <w:t>se vea imposibilitado física o mentalmente para obtener los medios de subsistencia</w:t>
      </w:r>
      <w:r w:rsidR="00FE5B19" w:rsidRPr="00315DE9">
        <w:rPr>
          <w:rFonts w:ascii="Verdana" w:eastAsia="Times" w:hAnsi="Verdana" w:cs="Arial"/>
          <w:sz w:val="20"/>
          <w:szCs w:val="20"/>
        </w:rPr>
        <w:t xml:space="preserve"> necesarios </w:t>
      </w:r>
      <w:r w:rsidR="00FE5B19" w:rsidRPr="00315DE9">
        <w:rPr>
          <w:rFonts w:ascii="Verdana" w:hAnsi="Verdana"/>
          <w:snapToGrid w:val="0"/>
          <w:sz w:val="20"/>
          <w:szCs w:val="20"/>
        </w:rPr>
        <w:t xml:space="preserve">para vivir un nivel de vida adecuado, lo que a su vez </w:t>
      </w:r>
      <w:r w:rsidR="00FE5B19" w:rsidRPr="00315DE9">
        <w:rPr>
          <w:rFonts w:ascii="Verdana" w:eastAsia="Times" w:hAnsi="Verdana" w:cs="Arial"/>
          <w:sz w:val="20"/>
          <w:szCs w:val="20"/>
        </w:rPr>
        <w:t xml:space="preserve">podría privarlo de su capacidad de ejercer plenamente el resto de sus derechos. </w:t>
      </w:r>
      <w:r w:rsidR="00FE5B19" w:rsidRPr="00315DE9">
        <w:rPr>
          <w:rFonts w:ascii="Verdana" w:hAnsi="Verdana"/>
          <w:snapToGrid w:val="0"/>
          <w:sz w:val="20"/>
          <w:szCs w:val="20"/>
        </w:rPr>
        <w:t xml:space="preserve">Esto último también da cuenta de uno de los elementos constitutivos del derecho, ya que la seguridad social deberá ser ejercida de modo tal que garantice </w:t>
      </w:r>
      <w:r w:rsidR="00FE5B19" w:rsidRPr="00315DE9">
        <w:rPr>
          <w:rFonts w:ascii="Verdana" w:hAnsi="Verdana" w:cs="Tahoma"/>
          <w:color w:val="000000"/>
          <w:sz w:val="20"/>
          <w:szCs w:val="20"/>
          <w:lang w:val="es-ES"/>
        </w:rPr>
        <w:t>condiciones que aseguren la vida, la salud y un nivel económico decoroso”</w:t>
      </w:r>
      <w:r w:rsidR="00A96714" w:rsidRPr="00315DE9">
        <w:rPr>
          <w:rStyle w:val="Refdenotaalpie"/>
          <w:rFonts w:ascii="Verdana" w:hAnsi="Verdana" w:cs="Tahoma"/>
          <w:color w:val="000000"/>
          <w:sz w:val="20"/>
          <w:szCs w:val="20"/>
          <w:lang w:val="es-ES"/>
        </w:rPr>
        <w:footnoteReference w:id="59"/>
      </w:r>
      <w:r w:rsidR="00FE5B19" w:rsidRPr="00315DE9">
        <w:rPr>
          <w:rFonts w:ascii="Verdana" w:hAnsi="Verdana" w:cs="Tahoma"/>
          <w:color w:val="000000"/>
          <w:sz w:val="20"/>
          <w:szCs w:val="20"/>
          <w:lang w:val="es-ES"/>
        </w:rPr>
        <w:t>.</w:t>
      </w:r>
      <w:r w:rsidR="00FE5B19" w:rsidRPr="00CC60DB">
        <w:rPr>
          <w:rFonts w:ascii="Verdana" w:hAnsi="Verdana" w:cs="Tahoma"/>
          <w:color w:val="000000"/>
          <w:sz w:val="20"/>
          <w:szCs w:val="20"/>
          <w:lang w:val="es-ES"/>
        </w:rPr>
        <w:t xml:space="preserve"> </w:t>
      </w:r>
    </w:p>
    <w:p w:rsidR="00FE5B19" w:rsidRPr="005F6956" w:rsidRDefault="00FE5B19" w:rsidP="00DD2F96">
      <w:pPr>
        <w:pStyle w:val="Prrafodelista"/>
        <w:ind w:left="0"/>
        <w:jc w:val="both"/>
        <w:rPr>
          <w:rFonts w:ascii="Verdana" w:hAnsi="Verdana"/>
          <w:sz w:val="20"/>
          <w:szCs w:val="20"/>
          <w:u w:val="single"/>
        </w:rPr>
      </w:pPr>
    </w:p>
    <w:p w:rsidR="00FE5B19" w:rsidRPr="00A96714" w:rsidRDefault="00C85629" w:rsidP="00CE6958">
      <w:pPr>
        <w:pStyle w:val="Prrafodelista"/>
        <w:ind w:left="0"/>
        <w:jc w:val="both"/>
        <w:rPr>
          <w:rFonts w:ascii="Verdana" w:hAnsi="Verdana"/>
          <w:sz w:val="20"/>
          <w:szCs w:val="20"/>
          <w:u w:val="single"/>
        </w:rPr>
      </w:pPr>
      <w:r>
        <w:rPr>
          <w:rFonts w:ascii="Verdana" w:hAnsi="Verdana"/>
          <w:sz w:val="20"/>
          <w:szCs w:val="20"/>
          <w:lang w:val="es-ES"/>
        </w:rPr>
        <w:t>31</w:t>
      </w:r>
      <w:r w:rsidR="00CE6958">
        <w:rPr>
          <w:rFonts w:ascii="Verdana" w:hAnsi="Verdana"/>
          <w:sz w:val="20"/>
          <w:szCs w:val="20"/>
          <w:lang w:val="es-ES"/>
        </w:rPr>
        <w:t xml:space="preserve">. </w:t>
      </w:r>
      <w:r w:rsidR="00CE6958">
        <w:rPr>
          <w:rFonts w:ascii="Verdana" w:hAnsi="Verdana"/>
          <w:sz w:val="20"/>
          <w:szCs w:val="20"/>
          <w:lang w:val="es-ES"/>
        </w:rPr>
        <w:tab/>
      </w:r>
      <w:r w:rsidR="00A96714" w:rsidRPr="00A25C7B">
        <w:rPr>
          <w:rFonts w:ascii="Verdana" w:hAnsi="Verdana"/>
          <w:sz w:val="20"/>
          <w:szCs w:val="20"/>
          <w:lang w:val="es-ES"/>
        </w:rPr>
        <w:t>Otro aspecto</w:t>
      </w:r>
      <w:r w:rsidR="00E75B35" w:rsidRPr="00A25C7B">
        <w:rPr>
          <w:rFonts w:ascii="Verdana" w:hAnsi="Verdana"/>
          <w:sz w:val="20"/>
          <w:szCs w:val="20"/>
          <w:lang w:val="es-ES"/>
        </w:rPr>
        <w:t xml:space="preserve"> diferenciador</w:t>
      </w:r>
      <w:r w:rsidR="00FE5B19" w:rsidRPr="00A25C7B">
        <w:rPr>
          <w:rFonts w:ascii="Verdana" w:hAnsi="Verdana"/>
          <w:sz w:val="20"/>
          <w:szCs w:val="20"/>
          <w:lang w:val="es-ES"/>
        </w:rPr>
        <w:t xml:space="preserve"> radica en que ahora la Corte </w:t>
      </w:r>
      <w:r w:rsidR="001C7CD8" w:rsidRPr="00A25C7B">
        <w:rPr>
          <w:rFonts w:ascii="Verdana" w:hAnsi="Verdana"/>
          <w:sz w:val="20"/>
          <w:szCs w:val="20"/>
          <w:lang w:val="es-ES"/>
        </w:rPr>
        <w:t xml:space="preserve">IDH </w:t>
      </w:r>
      <w:r w:rsidR="00FE5B19" w:rsidRPr="00A25C7B">
        <w:rPr>
          <w:rFonts w:ascii="Verdana" w:hAnsi="Verdana"/>
          <w:sz w:val="20"/>
          <w:szCs w:val="20"/>
          <w:lang w:val="es-ES"/>
        </w:rPr>
        <w:t xml:space="preserve">puede profundizar en el régimen obligacional sobre un determinado derecho. </w:t>
      </w:r>
      <w:r w:rsidR="00B14927" w:rsidRPr="00A25C7B">
        <w:rPr>
          <w:rFonts w:ascii="Verdana" w:hAnsi="Verdana"/>
          <w:sz w:val="20"/>
          <w:szCs w:val="20"/>
          <w:lang w:val="es-ES"/>
        </w:rPr>
        <w:t xml:space="preserve">El Tribunal Interamericano </w:t>
      </w:r>
      <w:r w:rsidR="00511E10" w:rsidRPr="00A25C7B">
        <w:rPr>
          <w:rFonts w:ascii="Verdana" w:hAnsi="Verdana"/>
          <w:sz w:val="20"/>
          <w:szCs w:val="20"/>
        </w:rPr>
        <w:t>identifica que</w:t>
      </w:r>
      <w:r w:rsidR="00FE5B19" w:rsidRPr="00A25C7B">
        <w:rPr>
          <w:rFonts w:ascii="Verdana" w:hAnsi="Verdana"/>
          <w:sz w:val="20"/>
          <w:szCs w:val="20"/>
        </w:rPr>
        <w:t xml:space="preserve"> la seguridad social, derivada de las obligaciones generales de respeto y garantía contenidas en los artículos 1.1 y 2 del Pacto de San José, le son aplicables tanto las obligaciones de carácter inmediato (como por ejemplo, la no discriminación) como aquellas obligaciones que requieren un lapso de tiempo para su implementación, como lo son las obligaciones de carácter progresivo </w:t>
      </w:r>
      <w:r w:rsidR="001C7CD8" w:rsidRPr="00A25C7B">
        <w:rPr>
          <w:rFonts w:ascii="Verdana" w:hAnsi="Verdana"/>
          <w:sz w:val="20"/>
          <w:szCs w:val="20"/>
        </w:rPr>
        <w:t>—</w:t>
      </w:r>
      <w:r w:rsidR="00FE5B19" w:rsidRPr="00A25C7B">
        <w:rPr>
          <w:rFonts w:ascii="Verdana" w:hAnsi="Verdana"/>
          <w:sz w:val="20"/>
          <w:szCs w:val="20"/>
        </w:rPr>
        <w:t>y, por consiguiente, obligaciones de no regresividad</w:t>
      </w:r>
      <w:r w:rsidR="001C7CD8" w:rsidRPr="00A25C7B">
        <w:rPr>
          <w:rFonts w:ascii="Verdana" w:hAnsi="Verdana"/>
          <w:sz w:val="20"/>
          <w:szCs w:val="20"/>
        </w:rPr>
        <w:t>—</w:t>
      </w:r>
      <w:r w:rsidR="00FE5B19" w:rsidRPr="00A25C7B">
        <w:rPr>
          <w:rFonts w:ascii="Verdana" w:hAnsi="Verdana"/>
          <w:sz w:val="20"/>
          <w:szCs w:val="20"/>
        </w:rPr>
        <w:t>. Evidentemente, cada caso bajo estudio, requiere determinar qué tipo de obligaciones están en juego frente al derecho a la seguridad social, ya sean obligaciones de respeto frente al derecho, obligaciones de garantía (como podría ser la progresividad) o bien una combinación de ambas. Esta identificación resulta fundamental debido a que demuestra que no en todos los casos en los que se involucra un derecho social necesariamente trae aparejada únicamente una violación a la “obligación de progresividad”</w:t>
      </w:r>
      <w:r w:rsidR="00FE5B19" w:rsidRPr="00A25C7B">
        <w:rPr>
          <w:rStyle w:val="Refdenotaalpie"/>
          <w:rFonts w:ascii="Verdana" w:hAnsi="Verdana"/>
          <w:sz w:val="20"/>
          <w:szCs w:val="20"/>
        </w:rPr>
        <w:footnoteReference w:id="60"/>
      </w:r>
      <w:r w:rsidR="00FE5B19" w:rsidRPr="00A25C7B">
        <w:rPr>
          <w:rFonts w:ascii="Verdana" w:hAnsi="Verdana"/>
          <w:sz w:val="20"/>
          <w:szCs w:val="20"/>
        </w:rPr>
        <w:t>.</w:t>
      </w:r>
      <w:r w:rsidR="00FE5B19" w:rsidRPr="00A96714">
        <w:rPr>
          <w:rFonts w:ascii="Verdana" w:hAnsi="Verdana"/>
          <w:sz w:val="20"/>
          <w:szCs w:val="20"/>
        </w:rPr>
        <w:t xml:space="preserve"> </w:t>
      </w:r>
    </w:p>
    <w:p w:rsidR="00FE5B19" w:rsidRPr="005F6956" w:rsidRDefault="00FE5B19" w:rsidP="00DD2F96">
      <w:pPr>
        <w:jc w:val="both"/>
        <w:rPr>
          <w:rFonts w:ascii="Verdana" w:hAnsi="Verdana"/>
          <w:color w:val="538135" w:themeColor="accent6" w:themeShade="BF"/>
          <w:sz w:val="20"/>
          <w:szCs w:val="20"/>
        </w:rPr>
      </w:pPr>
    </w:p>
    <w:p w:rsidR="00FE5B19" w:rsidRPr="00CC60DB" w:rsidRDefault="00C85629" w:rsidP="00CE6958">
      <w:pPr>
        <w:pStyle w:val="Prrafodelista"/>
        <w:ind w:left="0"/>
        <w:jc w:val="both"/>
        <w:outlineLvl w:val="1"/>
        <w:rPr>
          <w:rFonts w:ascii="Verdana" w:hAnsi="Verdana"/>
          <w:i/>
          <w:sz w:val="20"/>
          <w:szCs w:val="20"/>
          <w:lang w:val="es-ES"/>
        </w:rPr>
      </w:pPr>
      <w:r>
        <w:rPr>
          <w:rFonts w:ascii="Verdana" w:hAnsi="Verdana"/>
          <w:sz w:val="20"/>
          <w:szCs w:val="20"/>
          <w:lang w:val="es-ES"/>
        </w:rPr>
        <w:lastRenderedPageBreak/>
        <w:t>32</w:t>
      </w:r>
      <w:r w:rsidR="00CE6958">
        <w:rPr>
          <w:rFonts w:ascii="Verdana" w:hAnsi="Verdana"/>
          <w:sz w:val="20"/>
          <w:szCs w:val="20"/>
          <w:lang w:val="es-ES"/>
        </w:rPr>
        <w:t xml:space="preserve">. </w:t>
      </w:r>
      <w:r w:rsidR="00CE6958">
        <w:rPr>
          <w:rFonts w:ascii="Verdana" w:hAnsi="Verdana"/>
          <w:sz w:val="20"/>
          <w:szCs w:val="20"/>
          <w:lang w:val="es-ES"/>
        </w:rPr>
        <w:tab/>
      </w:r>
      <w:r w:rsidR="00E75B35">
        <w:rPr>
          <w:rFonts w:ascii="Verdana" w:hAnsi="Verdana"/>
          <w:sz w:val="20"/>
          <w:szCs w:val="20"/>
          <w:lang w:val="es-ES"/>
        </w:rPr>
        <w:t>Un tercer aspecto relevante</w:t>
      </w:r>
      <w:r w:rsidR="00A96714">
        <w:rPr>
          <w:rFonts w:ascii="Verdana" w:hAnsi="Verdana"/>
          <w:sz w:val="20"/>
          <w:szCs w:val="20"/>
          <w:lang w:val="es-ES"/>
        </w:rPr>
        <w:t xml:space="preserve"> </w:t>
      </w:r>
      <w:r w:rsidR="00E75B35">
        <w:rPr>
          <w:rFonts w:ascii="Verdana" w:hAnsi="Verdana"/>
          <w:sz w:val="20"/>
          <w:szCs w:val="20"/>
          <w:lang w:val="es-ES"/>
        </w:rPr>
        <w:t xml:space="preserve">del caso </w:t>
      </w:r>
      <w:r w:rsidR="00E75B35" w:rsidRPr="00D2143B">
        <w:rPr>
          <w:rFonts w:ascii="Verdana" w:hAnsi="Verdana"/>
          <w:i/>
          <w:sz w:val="20"/>
          <w:szCs w:val="20"/>
          <w:lang w:val="es-ES"/>
        </w:rPr>
        <w:t>Muelle Flores</w:t>
      </w:r>
      <w:r w:rsidR="00E75B35">
        <w:rPr>
          <w:rFonts w:ascii="Verdana" w:hAnsi="Verdana"/>
          <w:sz w:val="20"/>
          <w:szCs w:val="20"/>
          <w:lang w:val="es-ES"/>
        </w:rPr>
        <w:t>, es que</w:t>
      </w:r>
      <w:r w:rsidR="00A96714">
        <w:rPr>
          <w:rFonts w:ascii="Verdana" w:hAnsi="Verdana"/>
          <w:sz w:val="20"/>
          <w:szCs w:val="20"/>
          <w:lang w:val="es-ES"/>
        </w:rPr>
        <w:t xml:space="preserve"> se tiene</w:t>
      </w:r>
      <w:r w:rsidR="00FE5B19">
        <w:rPr>
          <w:rFonts w:ascii="Verdana" w:hAnsi="Verdana"/>
          <w:sz w:val="20"/>
          <w:szCs w:val="20"/>
          <w:lang w:val="es-ES"/>
        </w:rPr>
        <w:t xml:space="preserve"> una panorámica integral de cada una de las violaciones que se presentan en cada caso.</w:t>
      </w:r>
      <w:r w:rsidR="00A96714">
        <w:rPr>
          <w:rFonts w:ascii="Verdana" w:hAnsi="Verdana"/>
          <w:sz w:val="20"/>
          <w:szCs w:val="20"/>
          <w:lang w:val="es-ES"/>
        </w:rPr>
        <w:t xml:space="preserve"> Aun cuando la Corte</w:t>
      </w:r>
      <w:r w:rsidR="001C7CD8">
        <w:rPr>
          <w:rFonts w:ascii="Verdana" w:hAnsi="Verdana"/>
          <w:sz w:val="20"/>
          <w:szCs w:val="20"/>
          <w:lang w:val="es-ES"/>
        </w:rPr>
        <w:t xml:space="preserve"> IDH</w:t>
      </w:r>
      <w:r w:rsidR="00A96714">
        <w:rPr>
          <w:rFonts w:ascii="Verdana" w:hAnsi="Verdana"/>
          <w:sz w:val="20"/>
          <w:szCs w:val="20"/>
          <w:lang w:val="es-ES"/>
        </w:rPr>
        <w:t xml:space="preserve"> había realizado una </w:t>
      </w:r>
      <w:r w:rsidR="00824155">
        <w:rPr>
          <w:rFonts w:ascii="Verdana" w:hAnsi="Verdana"/>
          <w:sz w:val="20"/>
          <w:szCs w:val="20"/>
          <w:lang w:val="es-ES"/>
        </w:rPr>
        <w:t xml:space="preserve">encomiable </w:t>
      </w:r>
      <w:r w:rsidR="00A96714">
        <w:rPr>
          <w:rFonts w:ascii="Verdana" w:hAnsi="Verdana"/>
          <w:sz w:val="20"/>
          <w:szCs w:val="20"/>
          <w:lang w:val="es-ES"/>
        </w:rPr>
        <w:t xml:space="preserve">labor en la temática de pensiones al </w:t>
      </w:r>
      <w:r w:rsidR="0076647A">
        <w:rPr>
          <w:rFonts w:ascii="Verdana" w:hAnsi="Verdana"/>
          <w:sz w:val="20"/>
          <w:szCs w:val="20"/>
          <w:lang w:val="es-ES"/>
        </w:rPr>
        <w:t>enmarcar</w:t>
      </w:r>
      <w:r w:rsidR="00A96714">
        <w:rPr>
          <w:rFonts w:ascii="Verdana" w:hAnsi="Verdana"/>
          <w:sz w:val="20"/>
          <w:szCs w:val="20"/>
          <w:lang w:val="es-ES"/>
        </w:rPr>
        <w:t xml:space="preserve"> las violaciones dentro del contenido del derecho a la propiedad privada (artículo 21)</w:t>
      </w:r>
      <w:r w:rsidR="00561409">
        <w:rPr>
          <w:rFonts w:ascii="Verdana" w:hAnsi="Verdana"/>
          <w:sz w:val="20"/>
          <w:szCs w:val="20"/>
          <w:lang w:val="es-ES"/>
        </w:rPr>
        <w:t xml:space="preserve"> como lo había hecho en el caso </w:t>
      </w:r>
      <w:r w:rsidR="00561409">
        <w:rPr>
          <w:rFonts w:ascii="Verdana" w:hAnsi="Verdana"/>
          <w:i/>
          <w:sz w:val="20"/>
          <w:szCs w:val="20"/>
          <w:lang w:val="es-ES"/>
        </w:rPr>
        <w:t>Cinco</w:t>
      </w:r>
      <w:r w:rsidR="00A96714">
        <w:rPr>
          <w:rFonts w:ascii="Verdana" w:hAnsi="Verdana"/>
          <w:i/>
          <w:sz w:val="20"/>
          <w:szCs w:val="20"/>
          <w:lang w:val="es-ES"/>
        </w:rPr>
        <w:t xml:space="preserve"> P</w:t>
      </w:r>
      <w:r w:rsidR="00A96714" w:rsidRPr="00A96714">
        <w:rPr>
          <w:rFonts w:ascii="Verdana" w:hAnsi="Verdana"/>
          <w:i/>
          <w:sz w:val="20"/>
          <w:szCs w:val="20"/>
          <w:lang w:val="es-ES"/>
        </w:rPr>
        <w:t>ensionistas</w:t>
      </w:r>
      <w:r w:rsidR="00A96714">
        <w:rPr>
          <w:rFonts w:ascii="Verdana" w:hAnsi="Verdana"/>
          <w:sz w:val="20"/>
          <w:szCs w:val="20"/>
          <w:lang w:val="es-ES"/>
        </w:rPr>
        <w:t xml:space="preserve"> y </w:t>
      </w:r>
      <w:r w:rsidR="00A96714" w:rsidRPr="00A96714">
        <w:rPr>
          <w:rFonts w:ascii="Verdana" w:hAnsi="Verdana"/>
          <w:i/>
          <w:sz w:val="20"/>
          <w:szCs w:val="20"/>
          <w:lang w:val="es-ES"/>
        </w:rPr>
        <w:t>Acevedo Buendía,</w:t>
      </w:r>
      <w:r w:rsidR="00A96714">
        <w:rPr>
          <w:rFonts w:ascii="Verdana" w:hAnsi="Verdana"/>
          <w:sz w:val="20"/>
          <w:szCs w:val="20"/>
          <w:lang w:val="es-ES"/>
        </w:rPr>
        <w:t xml:space="preserve"> es inneg</w:t>
      </w:r>
      <w:r w:rsidR="00824155">
        <w:rPr>
          <w:rFonts w:ascii="Verdana" w:hAnsi="Verdana"/>
          <w:sz w:val="20"/>
          <w:szCs w:val="20"/>
          <w:lang w:val="es-ES"/>
        </w:rPr>
        <w:t>able que ese derecho no abarca</w:t>
      </w:r>
      <w:r w:rsidR="00A96714">
        <w:rPr>
          <w:rFonts w:ascii="Verdana" w:hAnsi="Verdana"/>
          <w:sz w:val="20"/>
          <w:szCs w:val="20"/>
          <w:lang w:val="es-ES"/>
        </w:rPr>
        <w:t xml:space="preserve"> el contenido amplio del derecho a la segurida</w:t>
      </w:r>
      <w:r w:rsidR="00C63403">
        <w:rPr>
          <w:rFonts w:ascii="Verdana" w:hAnsi="Verdana"/>
          <w:sz w:val="20"/>
          <w:szCs w:val="20"/>
          <w:lang w:val="es-ES"/>
        </w:rPr>
        <w:t>d social</w:t>
      </w:r>
      <w:r w:rsidR="000447B4" w:rsidRPr="003517FE">
        <w:rPr>
          <w:rStyle w:val="Refdenotaalpie"/>
          <w:rFonts w:ascii="Verdana" w:hAnsi="Verdana"/>
          <w:sz w:val="20"/>
          <w:szCs w:val="20"/>
          <w:lang w:val="es-ES"/>
        </w:rPr>
        <w:footnoteReference w:id="61"/>
      </w:r>
      <w:r w:rsidR="00C63403">
        <w:rPr>
          <w:rFonts w:ascii="Verdana" w:hAnsi="Verdana"/>
          <w:sz w:val="20"/>
          <w:szCs w:val="20"/>
          <w:lang w:val="es-ES"/>
        </w:rPr>
        <w:t>; si bien</w:t>
      </w:r>
      <w:r w:rsidR="00D2143B">
        <w:rPr>
          <w:rFonts w:ascii="Verdana" w:hAnsi="Verdana"/>
          <w:sz w:val="20"/>
          <w:szCs w:val="20"/>
          <w:lang w:val="es-ES"/>
        </w:rPr>
        <w:t xml:space="preserve"> el derecho a la seguridad social </w:t>
      </w:r>
      <w:r w:rsidR="00C63403">
        <w:rPr>
          <w:rFonts w:ascii="Verdana" w:hAnsi="Verdana"/>
          <w:sz w:val="20"/>
          <w:szCs w:val="20"/>
          <w:lang w:val="es-ES"/>
        </w:rPr>
        <w:t>contempla</w:t>
      </w:r>
      <w:r w:rsidR="00A96714">
        <w:rPr>
          <w:rFonts w:ascii="Verdana" w:hAnsi="Verdana"/>
          <w:sz w:val="20"/>
          <w:szCs w:val="20"/>
          <w:lang w:val="es-ES"/>
        </w:rPr>
        <w:t xml:space="preserve"> </w:t>
      </w:r>
      <w:r w:rsidR="00D2143B">
        <w:rPr>
          <w:rFonts w:ascii="Verdana" w:hAnsi="Verdana"/>
          <w:sz w:val="20"/>
          <w:szCs w:val="20"/>
          <w:lang w:val="es-ES"/>
        </w:rPr>
        <w:t xml:space="preserve">aspectos </w:t>
      </w:r>
      <w:r w:rsidR="00A96714">
        <w:rPr>
          <w:rFonts w:ascii="Verdana" w:hAnsi="Verdana"/>
          <w:sz w:val="20"/>
          <w:szCs w:val="20"/>
          <w:lang w:val="es-ES"/>
        </w:rPr>
        <w:t>monetarios</w:t>
      </w:r>
      <w:r w:rsidR="00C63403">
        <w:rPr>
          <w:rFonts w:ascii="Verdana" w:hAnsi="Verdana"/>
          <w:sz w:val="20"/>
          <w:szCs w:val="20"/>
          <w:lang w:val="es-ES"/>
        </w:rPr>
        <w:t xml:space="preserve"> o financieros</w:t>
      </w:r>
      <w:r w:rsidR="00D2143B">
        <w:rPr>
          <w:rFonts w:ascii="Verdana" w:hAnsi="Verdana"/>
          <w:sz w:val="20"/>
          <w:szCs w:val="20"/>
          <w:lang w:val="es-ES"/>
        </w:rPr>
        <w:t xml:space="preserve"> (pensiones)</w:t>
      </w:r>
      <w:r w:rsidR="00A96714">
        <w:rPr>
          <w:rFonts w:ascii="Verdana" w:hAnsi="Verdana"/>
          <w:sz w:val="20"/>
          <w:szCs w:val="20"/>
          <w:lang w:val="es-ES"/>
        </w:rPr>
        <w:t>, también implica prestaciones en determinados servicios a los que la persona beneficiaria puede acceder</w:t>
      </w:r>
      <w:r w:rsidR="00B14927">
        <w:rPr>
          <w:rFonts w:ascii="Verdana" w:hAnsi="Verdana"/>
          <w:sz w:val="20"/>
          <w:szCs w:val="20"/>
          <w:lang w:val="es-ES"/>
        </w:rPr>
        <w:t xml:space="preserve"> —</w:t>
      </w:r>
      <w:r w:rsidR="0076647A">
        <w:rPr>
          <w:rFonts w:ascii="Verdana" w:hAnsi="Verdana"/>
          <w:sz w:val="20"/>
          <w:szCs w:val="20"/>
          <w:lang w:val="es-ES"/>
        </w:rPr>
        <w:t>por ejemplo</w:t>
      </w:r>
      <w:r w:rsidR="00511E10">
        <w:rPr>
          <w:rFonts w:ascii="Verdana" w:hAnsi="Verdana"/>
          <w:sz w:val="20"/>
          <w:szCs w:val="20"/>
          <w:lang w:val="es-ES"/>
        </w:rPr>
        <w:t>,</w:t>
      </w:r>
      <w:r w:rsidR="0076647A">
        <w:rPr>
          <w:rFonts w:ascii="Verdana" w:hAnsi="Verdana"/>
          <w:sz w:val="20"/>
          <w:szCs w:val="20"/>
          <w:lang w:val="es-ES"/>
        </w:rPr>
        <w:t xml:space="preserve"> servicios médicos preventivos o de urgencia</w:t>
      </w:r>
      <w:r w:rsidR="00B14927">
        <w:rPr>
          <w:rFonts w:ascii="Verdana" w:hAnsi="Verdana"/>
          <w:sz w:val="20"/>
          <w:szCs w:val="20"/>
          <w:lang w:val="es-ES"/>
        </w:rPr>
        <w:t>—</w:t>
      </w:r>
      <w:r w:rsidR="00511E10">
        <w:rPr>
          <w:rFonts w:ascii="Verdana" w:hAnsi="Verdana"/>
          <w:sz w:val="20"/>
          <w:szCs w:val="20"/>
          <w:lang w:val="es-ES"/>
        </w:rPr>
        <w:t>;</w:t>
      </w:r>
      <w:r w:rsidR="00A96714">
        <w:rPr>
          <w:rFonts w:ascii="Verdana" w:hAnsi="Verdana"/>
          <w:sz w:val="20"/>
          <w:szCs w:val="20"/>
          <w:lang w:val="es-ES"/>
        </w:rPr>
        <w:t xml:space="preserve"> lo cual, sin lugar a dudas, escapa del </w:t>
      </w:r>
      <w:r w:rsidR="0076647A">
        <w:rPr>
          <w:rFonts w:ascii="Verdana" w:hAnsi="Verdana"/>
          <w:sz w:val="20"/>
          <w:szCs w:val="20"/>
          <w:lang w:val="es-ES"/>
        </w:rPr>
        <w:t xml:space="preserve">ámbito de protección </w:t>
      </w:r>
      <w:r w:rsidR="00A96714">
        <w:rPr>
          <w:rFonts w:ascii="Verdana" w:hAnsi="Verdana"/>
          <w:sz w:val="20"/>
          <w:szCs w:val="20"/>
          <w:lang w:val="es-ES"/>
        </w:rPr>
        <w:t>de la p</w:t>
      </w:r>
      <w:r w:rsidR="00C63403">
        <w:rPr>
          <w:rFonts w:ascii="Verdana" w:hAnsi="Verdana"/>
          <w:sz w:val="20"/>
          <w:szCs w:val="20"/>
          <w:lang w:val="es-ES"/>
        </w:rPr>
        <w:t>ropiedad privada</w:t>
      </w:r>
      <w:r w:rsidR="00C63403">
        <w:rPr>
          <w:rStyle w:val="Refdenotaalpie"/>
          <w:rFonts w:ascii="Verdana" w:hAnsi="Verdana"/>
          <w:sz w:val="20"/>
          <w:szCs w:val="20"/>
          <w:lang w:val="es-ES"/>
        </w:rPr>
        <w:footnoteReference w:id="62"/>
      </w:r>
      <w:r w:rsidR="00C63403">
        <w:rPr>
          <w:rFonts w:ascii="Verdana" w:hAnsi="Verdana"/>
          <w:sz w:val="20"/>
          <w:szCs w:val="20"/>
          <w:lang w:val="es-ES"/>
        </w:rPr>
        <w:t xml:space="preserve">. </w:t>
      </w:r>
      <w:r w:rsidR="00E75B35">
        <w:rPr>
          <w:rFonts w:ascii="Verdana" w:hAnsi="Verdana"/>
          <w:sz w:val="20"/>
          <w:szCs w:val="20"/>
          <w:lang w:val="es-ES"/>
        </w:rPr>
        <w:t>De allí que la Corte</w:t>
      </w:r>
      <w:r w:rsidR="00CE7493">
        <w:rPr>
          <w:rFonts w:ascii="Verdana" w:hAnsi="Verdana"/>
          <w:sz w:val="20"/>
          <w:szCs w:val="20"/>
          <w:lang w:val="es-ES"/>
        </w:rPr>
        <w:t xml:space="preserve"> IDH</w:t>
      </w:r>
      <w:r w:rsidR="00E75B35">
        <w:rPr>
          <w:rFonts w:ascii="Verdana" w:hAnsi="Verdana"/>
          <w:sz w:val="20"/>
          <w:szCs w:val="20"/>
          <w:lang w:val="es-ES"/>
        </w:rPr>
        <w:t xml:space="preserve">, en su Sentencia, realice la interrelación </w:t>
      </w:r>
      <w:r w:rsidR="00CE7493">
        <w:rPr>
          <w:rFonts w:ascii="Verdana" w:hAnsi="Verdana"/>
          <w:sz w:val="20"/>
          <w:szCs w:val="20"/>
        </w:rPr>
        <w:t>—</w:t>
      </w:r>
      <w:r w:rsidR="00E75B35">
        <w:rPr>
          <w:rFonts w:ascii="Verdana" w:hAnsi="Verdana"/>
          <w:sz w:val="20"/>
          <w:szCs w:val="20"/>
          <w:lang w:val="es-ES"/>
        </w:rPr>
        <w:t>más no la subsunción</w:t>
      </w:r>
      <w:r w:rsidR="00CE7493">
        <w:rPr>
          <w:rFonts w:ascii="Verdana" w:hAnsi="Verdana"/>
          <w:sz w:val="20"/>
          <w:szCs w:val="20"/>
        </w:rPr>
        <w:t>—</w:t>
      </w:r>
      <w:r w:rsidR="00E75B35">
        <w:rPr>
          <w:rFonts w:ascii="Verdana" w:hAnsi="Verdana"/>
          <w:sz w:val="20"/>
          <w:szCs w:val="20"/>
          <w:lang w:val="es-ES"/>
        </w:rPr>
        <w:t xml:space="preserve"> entre el derecho a la seguridad social y el derecho a la propiedad</w:t>
      </w:r>
      <w:r w:rsidR="00E75B35">
        <w:rPr>
          <w:rStyle w:val="Refdenotaalpie"/>
          <w:rFonts w:ascii="Verdana" w:hAnsi="Verdana"/>
          <w:sz w:val="20"/>
          <w:szCs w:val="20"/>
          <w:lang w:val="es-ES"/>
        </w:rPr>
        <w:footnoteReference w:id="63"/>
      </w:r>
      <w:r w:rsidR="00E75B35">
        <w:rPr>
          <w:rFonts w:ascii="Verdana" w:hAnsi="Verdana"/>
          <w:sz w:val="20"/>
          <w:szCs w:val="20"/>
          <w:lang w:val="es-ES"/>
        </w:rPr>
        <w:t>.</w:t>
      </w:r>
    </w:p>
    <w:p w:rsidR="00CC60DB" w:rsidRPr="00CC60DB" w:rsidRDefault="00CC60DB" w:rsidP="00DD2F96">
      <w:pPr>
        <w:pStyle w:val="Prrafodelista"/>
        <w:rPr>
          <w:rFonts w:ascii="Verdana" w:hAnsi="Verdana"/>
          <w:i/>
          <w:sz w:val="20"/>
          <w:szCs w:val="20"/>
          <w:lang w:val="es-ES"/>
        </w:rPr>
      </w:pPr>
    </w:p>
    <w:p w:rsidR="00A409D8" w:rsidRPr="00A409D8" w:rsidRDefault="00C85629" w:rsidP="00CE6958">
      <w:pPr>
        <w:pStyle w:val="Prrafodelista"/>
        <w:ind w:left="0"/>
        <w:jc w:val="both"/>
        <w:rPr>
          <w:rFonts w:ascii="Verdana" w:hAnsi="Verdana"/>
          <w:sz w:val="20"/>
          <w:szCs w:val="20"/>
        </w:rPr>
      </w:pPr>
      <w:r>
        <w:rPr>
          <w:rFonts w:ascii="Verdana" w:hAnsi="Verdana"/>
          <w:sz w:val="20"/>
          <w:szCs w:val="20"/>
        </w:rPr>
        <w:t>33</w:t>
      </w:r>
      <w:r w:rsidR="00CE6958">
        <w:rPr>
          <w:rFonts w:ascii="Verdana" w:hAnsi="Verdana"/>
          <w:sz w:val="20"/>
          <w:szCs w:val="20"/>
        </w:rPr>
        <w:t xml:space="preserve">. </w:t>
      </w:r>
      <w:r w:rsidR="00CE6958">
        <w:rPr>
          <w:rFonts w:ascii="Verdana" w:hAnsi="Verdana"/>
          <w:sz w:val="20"/>
          <w:szCs w:val="20"/>
        </w:rPr>
        <w:tab/>
      </w:r>
      <w:r w:rsidR="00A409D8">
        <w:rPr>
          <w:rFonts w:ascii="Verdana" w:hAnsi="Verdana"/>
          <w:sz w:val="20"/>
          <w:szCs w:val="20"/>
        </w:rPr>
        <w:t>Todos y cada uno de estos aspectos que he destacado</w:t>
      </w:r>
      <w:r w:rsidR="00A409D8" w:rsidRPr="00186911">
        <w:rPr>
          <w:rFonts w:ascii="Verdana" w:hAnsi="Verdana"/>
          <w:sz w:val="20"/>
          <w:szCs w:val="20"/>
        </w:rPr>
        <w:t>, brinda</w:t>
      </w:r>
      <w:r w:rsidR="00A409D8">
        <w:rPr>
          <w:rFonts w:ascii="Verdana" w:hAnsi="Verdana"/>
          <w:sz w:val="20"/>
          <w:szCs w:val="20"/>
        </w:rPr>
        <w:t>n</w:t>
      </w:r>
      <w:r w:rsidR="00A409D8" w:rsidRPr="00186911">
        <w:rPr>
          <w:rFonts w:ascii="Verdana" w:hAnsi="Verdana"/>
          <w:sz w:val="20"/>
          <w:szCs w:val="20"/>
        </w:rPr>
        <w:t xml:space="preserve"> una argumentación concreta de las razones por las cuales los derechos sociales </w:t>
      </w:r>
      <w:r w:rsidR="00CE7493">
        <w:rPr>
          <w:rFonts w:ascii="Verdana" w:hAnsi="Verdana"/>
          <w:sz w:val="20"/>
          <w:szCs w:val="20"/>
        </w:rPr>
        <w:t>—</w:t>
      </w:r>
      <w:r w:rsidR="00A409D8" w:rsidRPr="00186911">
        <w:rPr>
          <w:rFonts w:ascii="Verdana" w:hAnsi="Verdana"/>
          <w:sz w:val="20"/>
          <w:szCs w:val="20"/>
        </w:rPr>
        <w:t>como e</w:t>
      </w:r>
      <w:r w:rsidR="00CE7493">
        <w:rPr>
          <w:rFonts w:ascii="Verdana" w:hAnsi="Verdana"/>
          <w:sz w:val="20"/>
          <w:szCs w:val="20"/>
        </w:rPr>
        <w:t>l derecho a la seguridad social—</w:t>
      </w:r>
      <w:r w:rsidR="00A409D8" w:rsidRPr="00186911">
        <w:rPr>
          <w:rFonts w:ascii="Verdana" w:hAnsi="Verdana"/>
          <w:sz w:val="20"/>
          <w:szCs w:val="20"/>
        </w:rPr>
        <w:t xml:space="preserve"> pueden ser válidamente justiciables de manera autónoma</w:t>
      </w:r>
      <w:r w:rsidR="00A409D8" w:rsidRPr="00186911">
        <w:rPr>
          <w:rStyle w:val="Refdenotaalpie"/>
          <w:rFonts w:ascii="Verdana" w:hAnsi="Verdana"/>
          <w:sz w:val="20"/>
          <w:szCs w:val="20"/>
        </w:rPr>
        <w:footnoteReference w:id="64"/>
      </w:r>
      <w:r w:rsidR="00A409D8" w:rsidRPr="00186911">
        <w:rPr>
          <w:rFonts w:ascii="Verdana" w:hAnsi="Verdana"/>
          <w:sz w:val="20"/>
          <w:szCs w:val="20"/>
        </w:rPr>
        <w:t xml:space="preserve">. A lo anterior debemos sumarle que, como lo ha advertido anteriormente </w:t>
      </w:r>
      <w:r w:rsidR="00B14927">
        <w:rPr>
          <w:rFonts w:ascii="Verdana" w:hAnsi="Verdana"/>
          <w:sz w:val="20"/>
          <w:szCs w:val="20"/>
        </w:rPr>
        <w:t xml:space="preserve">el </w:t>
      </w:r>
      <w:r w:rsidR="00A409D8" w:rsidRPr="00186911">
        <w:rPr>
          <w:rFonts w:ascii="Verdana" w:hAnsi="Verdana"/>
          <w:sz w:val="20"/>
          <w:szCs w:val="20"/>
        </w:rPr>
        <w:t>Tribunal</w:t>
      </w:r>
      <w:r w:rsidR="00B14927">
        <w:rPr>
          <w:rFonts w:ascii="Verdana" w:hAnsi="Verdana"/>
          <w:sz w:val="20"/>
          <w:szCs w:val="20"/>
        </w:rPr>
        <w:t xml:space="preserve"> Interamericano</w:t>
      </w:r>
      <w:r w:rsidR="00A409D8" w:rsidRPr="00186911">
        <w:rPr>
          <w:rFonts w:ascii="Verdana" w:hAnsi="Verdana"/>
          <w:sz w:val="20"/>
          <w:szCs w:val="20"/>
        </w:rPr>
        <w:t xml:space="preserve"> “[de una] interpretación literal, sistemática y teleológica [es posible] concluir que el artículo 26 de la Convención Americana protege aquellos derechos que derivan de las normas económicas, sociales y de educación, ciencia y cultura contenidas en la Carta de la OEA. Los alcances de estos derechos deben ser entendidos en relación con el resto de las demás cláusulas de la Convención Americana, por lo que están sujetos a las obligaciones generales contenidas en los artículos 1.1 y 2 de la Convención y pueden ser sujetos de supervisión por parte de este Tribunal en términos de los artículos 62 y 63 del mismo instrumento [; lo anterior]</w:t>
      </w:r>
      <w:r w:rsidR="00CE7493">
        <w:rPr>
          <w:rFonts w:ascii="Verdana" w:hAnsi="Verdana"/>
          <w:sz w:val="20"/>
          <w:szCs w:val="20"/>
        </w:rPr>
        <w:t xml:space="preserve"> </w:t>
      </w:r>
      <w:r w:rsidR="00A409D8" w:rsidRPr="00186911">
        <w:rPr>
          <w:rFonts w:ascii="Verdana" w:hAnsi="Verdana"/>
          <w:sz w:val="20"/>
          <w:szCs w:val="20"/>
        </w:rPr>
        <w:t>se fundamenta no sólo en cuestiones formales, sino que resulta de la interdependencia e indivisibilidad de los derechos civiles y políticos y los derechos económicos, sociales, culturales y ambientales, así como de su compatibilidad con el objeto y fin de la Convención, que es la protección de los derechos fundamentales de los seres humanos[.]</w:t>
      </w:r>
      <w:r w:rsidR="00A409D8">
        <w:rPr>
          <w:rFonts w:ascii="Verdana" w:hAnsi="Verdana"/>
          <w:sz w:val="20"/>
          <w:szCs w:val="20"/>
        </w:rPr>
        <w:t>”</w:t>
      </w:r>
      <w:r w:rsidR="00A409D8">
        <w:rPr>
          <w:rStyle w:val="Refdenotaalpie"/>
          <w:rFonts w:ascii="Verdana" w:hAnsi="Verdana"/>
          <w:sz w:val="20"/>
          <w:szCs w:val="20"/>
        </w:rPr>
        <w:footnoteReference w:id="65"/>
      </w:r>
      <w:r w:rsidR="00A409D8" w:rsidRPr="00186911">
        <w:rPr>
          <w:rFonts w:ascii="Verdana" w:hAnsi="Verdana"/>
          <w:sz w:val="20"/>
          <w:szCs w:val="20"/>
        </w:rPr>
        <w:t>.</w:t>
      </w:r>
    </w:p>
    <w:p w:rsidR="00CE6958" w:rsidRDefault="00CE6958" w:rsidP="00CE6958">
      <w:pPr>
        <w:pStyle w:val="Prrafodelista"/>
        <w:ind w:left="0"/>
        <w:jc w:val="both"/>
        <w:outlineLvl w:val="1"/>
        <w:rPr>
          <w:rFonts w:ascii="Verdana" w:hAnsi="Verdana"/>
          <w:sz w:val="20"/>
          <w:szCs w:val="20"/>
          <w:lang w:val="es-ES"/>
        </w:rPr>
      </w:pPr>
    </w:p>
    <w:p w:rsidR="00A409D8" w:rsidRPr="00A409D8" w:rsidRDefault="00C85629" w:rsidP="00CE6958">
      <w:pPr>
        <w:pStyle w:val="Prrafodelista"/>
        <w:ind w:left="0"/>
        <w:jc w:val="both"/>
        <w:outlineLvl w:val="1"/>
        <w:rPr>
          <w:rFonts w:ascii="Verdana" w:hAnsi="Verdana"/>
          <w:i/>
          <w:sz w:val="20"/>
          <w:szCs w:val="20"/>
          <w:lang w:val="es-ES"/>
        </w:rPr>
      </w:pPr>
      <w:r>
        <w:rPr>
          <w:rFonts w:ascii="Verdana" w:hAnsi="Verdana"/>
          <w:sz w:val="20"/>
          <w:szCs w:val="20"/>
          <w:lang w:val="es-ES"/>
        </w:rPr>
        <w:t>34</w:t>
      </w:r>
      <w:r w:rsidR="00CE6958">
        <w:rPr>
          <w:rFonts w:ascii="Verdana" w:hAnsi="Verdana"/>
          <w:sz w:val="20"/>
          <w:szCs w:val="20"/>
          <w:lang w:val="es-ES"/>
        </w:rPr>
        <w:t xml:space="preserve">. </w:t>
      </w:r>
      <w:r w:rsidR="00CE6958">
        <w:rPr>
          <w:rFonts w:ascii="Verdana" w:hAnsi="Verdana"/>
          <w:sz w:val="20"/>
          <w:szCs w:val="20"/>
          <w:lang w:val="es-ES"/>
        </w:rPr>
        <w:tab/>
      </w:r>
      <w:r w:rsidR="00CC60DB">
        <w:rPr>
          <w:rFonts w:ascii="Verdana" w:hAnsi="Verdana"/>
          <w:sz w:val="20"/>
          <w:szCs w:val="20"/>
          <w:lang w:val="es-ES"/>
        </w:rPr>
        <w:t>Este importante ejercicio interpretativo</w:t>
      </w:r>
      <w:r w:rsidR="00A409D8">
        <w:rPr>
          <w:rFonts w:ascii="Verdana" w:hAnsi="Verdana"/>
          <w:sz w:val="20"/>
          <w:szCs w:val="20"/>
          <w:lang w:val="es-ES"/>
        </w:rPr>
        <w:t xml:space="preserve"> sobre los derechos y los alcances de los derechos sociales que realiza el Tribunal Interamericano, no es ajeno a su jurisprudencia</w:t>
      </w:r>
      <w:r w:rsidR="00CC60DB">
        <w:rPr>
          <w:rFonts w:ascii="Verdana" w:hAnsi="Verdana"/>
          <w:sz w:val="20"/>
          <w:szCs w:val="20"/>
          <w:lang w:val="es-ES"/>
        </w:rPr>
        <w:t xml:space="preserve">, pues lo que ha hecho tradicionalmente </w:t>
      </w:r>
      <w:r w:rsidR="00A409D8">
        <w:rPr>
          <w:rFonts w:ascii="Verdana" w:hAnsi="Verdana"/>
          <w:sz w:val="20"/>
          <w:szCs w:val="20"/>
          <w:lang w:val="es-ES"/>
        </w:rPr>
        <w:t>la Corte</w:t>
      </w:r>
      <w:r w:rsidR="00CC60DB" w:rsidRPr="00CC60DB">
        <w:rPr>
          <w:rFonts w:ascii="Verdana" w:hAnsi="Verdana"/>
          <w:sz w:val="20"/>
          <w:szCs w:val="20"/>
          <w:lang w:val="es-ES"/>
        </w:rPr>
        <w:t xml:space="preserve"> </w:t>
      </w:r>
      <w:r w:rsidR="00CE7493">
        <w:rPr>
          <w:rFonts w:ascii="Verdana" w:hAnsi="Verdana"/>
          <w:sz w:val="20"/>
          <w:szCs w:val="20"/>
          <w:lang w:val="es-ES"/>
        </w:rPr>
        <w:t xml:space="preserve">IDH </w:t>
      </w:r>
      <w:r w:rsidR="00CC60DB" w:rsidRPr="00CC60DB">
        <w:rPr>
          <w:rFonts w:ascii="Verdana" w:hAnsi="Verdana"/>
          <w:sz w:val="20"/>
          <w:szCs w:val="20"/>
          <w:lang w:val="es-ES"/>
        </w:rPr>
        <w:t>ha sido dotar de contenido las disposiciones del Pacto de San José para actualizar</w:t>
      </w:r>
      <w:r w:rsidR="003A39D9">
        <w:rPr>
          <w:rFonts w:ascii="Verdana" w:hAnsi="Verdana"/>
          <w:sz w:val="20"/>
          <w:szCs w:val="20"/>
          <w:lang w:val="es-ES"/>
        </w:rPr>
        <w:t xml:space="preserve"> </w:t>
      </w:r>
      <w:r w:rsidR="00CC60DB" w:rsidRPr="00CC60DB">
        <w:rPr>
          <w:rFonts w:ascii="Verdana" w:hAnsi="Verdana"/>
          <w:sz w:val="20"/>
          <w:szCs w:val="20"/>
          <w:lang w:val="es-ES"/>
        </w:rPr>
        <w:t>el contenido de los artículos frente a las nuevas realidades que se le han ido presentando en su labor jurisdiccional</w:t>
      </w:r>
      <w:r w:rsidR="00CC60DB" w:rsidRPr="00CC60DB">
        <w:rPr>
          <w:rStyle w:val="Refdenotaalpie"/>
          <w:rFonts w:ascii="Verdana" w:hAnsi="Verdana"/>
          <w:sz w:val="20"/>
          <w:szCs w:val="20"/>
          <w:lang w:val="es-ES"/>
        </w:rPr>
        <w:footnoteReference w:id="66"/>
      </w:r>
      <w:r w:rsidR="00CC60DB" w:rsidRPr="00CC60DB">
        <w:rPr>
          <w:rFonts w:ascii="Verdana" w:hAnsi="Verdana"/>
          <w:sz w:val="20"/>
          <w:szCs w:val="20"/>
          <w:lang w:val="es-ES"/>
        </w:rPr>
        <w:t>.</w:t>
      </w:r>
    </w:p>
    <w:p w:rsidR="00A409D8" w:rsidRPr="00A409D8" w:rsidRDefault="00A409D8" w:rsidP="00DD2F96">
      <w:pPr>
        <w:pStyle w:val="Prrafodelista"/>
        <w:rPr>
          <w:rFonts w:ascii="Verdana" w:hAnsi="Verdana"/>
          <w:i/>
          <w:sz w:val="20"/>
          <w:szCs w:val="20"/>
          <w:lang w:val="es-ES"/>
        </w:rPr>
      </w:pPr>
    </w:p>
    <w:p w:rsidR="005C6850" w:rsidRPr="006B2226" w:rsidRDefault="00C85629" w:rsidP="00CE6958">
      <w:pPr>
        <w:pStyle w:val="Prrafodelista"/>
        <w:ind w:left="0"/>
        <w:jc w:val="both"/>
        <w:outlineLvl w:val="1"/>
        <w:rPr>
          <w:rFonts w:ascii="Verdana" w:hAnsi="Verdana"/>
          <w:i/>
          <w:sz w:val="20"/>
          <w:szCs w:val="20"/>
        </w:rPr>
      </w:pPr>
      <w:r>
        <w:rPr>
          <w:rFonts w:ascii="Verdana" w:hAnsi="Verdana"/>
          <w:sz w:val="20"/>
          <w:szCs w:val="20"/>
          <w:lang w:val="es-ES"/>
        </w:rPr>
        <w:t>35</w:t>
      </w:r>
      <w:r w:rsidR="00CE6958" w:rsidRPr="00CE6958">
        <w:rPr>
          <w:rFonts w:ascii="Verdana" w:hAnsi="Verdana"/>
          <w:sz w:val="20"/>
          <w:szCs w:val="20"/>
          <w:lang w:val="es-ES"/>
        </w:rPr>
        <w:t>.</w:t>
      </w:r>
      <w:r w:rsidR="00CE6958">
        <w:rPr>
          <w:rFonts w:ascii="Verdana" w:hAnsi="Verdana"/>
          <w:i/>
          <w:sz w:val="20"/>
          <w:szCs w:val="20"/>
          <w:lang w:val="es-ES"/>
        </w:rPr>
        <w:t xml:space="preserve"> </w:t>
      </w:r>
      <w:r w:rsidR="00CE6958">
        <w:rPr>
          <w:rFonts w:ascii="Verdana" w:hAnsi="Verdana"/>
          <w:i/>
          <w:sz w:val="20"/>
          <w:szCs w:val="20"/>
          <w:lang w:val="es-ES"/>
        </w:rPr>
        <w:tab/>
      </w:r>
      <w:r w:rsidR="00C63403" w:rsidRPr="009E3688">
        <w:rPr>
          <w:rFonts w:ascii="Verdana" w:hAnsi="Verdana"/>
          <w:sz w:val="20"/>
          <w:szCs w:val="20"/>
          <w:lang w:val="es-ES"/>
        </w:rPr>
        <w:t xml:space="preserve">Es </w:t>
      </w:r>
      <w:r w:rsidR="00CC60DB" w:rsidRPr="009E3688">
        <w:rPr>
          <w:rFonts w:ascii="Verdana" w:hAnsi="Verdana"/>
          <w:sz w:val="20"/>
          <w:szCs w:val="20"/>
          <w:lang w:val="es-ES"/>
        </w:rPr>
        <w:t>importante re</w:t>
      </w:r>
      <w:r w:rsidR="00263B13">
        <w:rPr>
          <w:rFonts w:ascii="Verdana" w:hAnsi="Verdana"/>
          <w:sz w:val="20"/>
          <w:szCs w:val="20"/>
          <w:lang w:val="es-ES"/>
        </w:rPr>
        <w:t>saltar</w:t>
      </w:r>
      <w:r w:rsidR="00CC60DB" w:rsidRPr="009E3688">
        <w:rPr>
          <w:rFonts w:ascii="Verdana" w:hAnsi="Verdana"/>
          <w:sz w:val="20"/>
          <w:szCs w:val="20"/>
          <w:lang w:val="es-ES"/>
        </w:rPr>
        <w:t xml:space="preserve"> que </w:t>
      </w:r>
      <w:r w:rsidR="009F1B29">
        <w:rPr>
          <w:rFonts w:ascii="Verdana" w:hAnsi="Verdana"/>
          <w:sz w:val="20"/>
          <w:szCs w:val="20"/>
          <w:lang w:val="es-ES"/>
        </w:rPr>
        <w:t xml:space="preserve">el Tribunal Interamericano, </w:t>
      </w:r>
      <w:r w:rsidR="00F43873">
        <w:rPr>
          <w:rFonts w:ascii="Verdana" w:eastAsia="Batang" w:hAnsi="Verdana" w:cs="Arial"/>
          <w:iCs/>
          <w:sz w:val="20"/>
          <w:szCs w:val="20"/>
          <w:lang w:val="es-ES"/>
        </w:rPr>
        <w:t>c</w:t>
      </w:r>
      <w:proofErr w:type="spellStart"/>
      <w:r w:rsidR="00CC60DB" w:rsidRPr="009E3688">
        <w:rPr>
          <w:rFonts w:ascii="Verdana" w:hAnsi="Verdana"/>
          <w:sz w:val="20"/>
          <w:szCs w:val="20"/>
        </w:rPr>
        <w:t>omo</w:t>
      </w:r>
      <w:proofErr w:type="spellEnd"/>
      <w:r w:rsidR="00CC60DB" w:rsidRPr="009E3688">
        <w:rPr>
          <w:rFonts w:ascii="Verdana" w:hAnsi="Verdana"/>
          <w:sz w:val="20"/>
          <w:szCs w:val="20"/>
        </w:rPr>
        <w:t xml:space="preserve"> todo órgano con </w:t>
      </w:r>
      <w:r w:rsidR="00F43873">
        <w:rPr>
          <w:rFonts w:ascii="Verdana" w:hAnsi="Verdana"/>
          <w:sz w:val="20"/>
          <w:szCs w:val="20"/>
        </w:rPr>
        <w:t xml:space="preserve">funciones jurisdiccionales, </w:t>
      </w:r>
      <w:r w:rsidR="00CC60DB" w:rsidRPr="009E3688">
        <w:rPr>
          <w:rFonts w:ascii="Verdana" w:hAnsi="Verdana"/>
          <w:sz w:val="20"/>
          <w:szCs w:val="20"/>
        </w:rPr>
        <w:t>tiene el poder inherente a sus atribuciones de determinar el alcance de su propia competencia (</w:t>
      </w:r>
      <w:proofErr w:type="spellStart"/>
      <w:r w:rsidR="00CC60DB" w:rsidRPr="009E3688">
        <w:rPr>
          <w:rFonts w:ascii="Verdana" w:hAnsi="Verdana"/>
          <w:i/>
          <w:sz w:val="20"/>
          <w:szCs w:val="20"/>
        </w:rPr>
        <w:t>compétence</w:t>
      </w:r>
      <w:proofErr w:type="spellEnd"/>
      <w:r w:rsidR="00CC60DB" w:rsidRPr="009E3688">
        <w:rPr>
          <w:rFonts w:ascii="Verdana" w:hAnsi="Verdana"/>
          <w:i/>
          <w:sz w:val="20"/>
          <w:szCs w:val="20"/>
        </w:rPr>
        <w:t xml:space="preserve"> de la </w:t>
      </w:r>
      <w:proofErr w:type="spellStart"/>
      <w:r w:rsidR="00CC60DB" w:rsidRPr="009E3688">
        <w:rPr>
          <w:rFonts w:ascii="Verdana" w:hAnsi="Verdana"/>
          <w:i/>
          <w:sz w:val="20"/>
          <w:szCs w:val="20"/>
        </w:rPr>
        <w:t>compétence</w:t>
      </w:r>
      <w:proofErr w:type="spellEnd"/>
      <w:r w:rsidR="00CC60DB" w:rsidRPr="009E3688">
        <w:rPr>
          <w:rFonts w:ascii="Verdana" w:hAnsi="Verdana"/>
          <w:sz w:val="20"/>
          <w:szCs w:val="20"/>
        </w:rPr>
        <w:t xml:space="preserve">). Para hacer dicha determinación, la Corte </w:t>
      </w:r>
      <w:r w:rsidR="00CE7493">
        <w:rPr>
          <w:rFonts w:ascii="Verdana" w:hAnsi="Verdana"/>
          <w:sz w:val="20"/>
          <w:szCs w:val="20"/>
        </w:rPr>
        <w:t xml:space="preserve">IDH </w:t>
      </w:r>
      <w:r w:rsidR="00CC60DB" w:rsidRPr="009E3688">
        <w:rPr>
          <w:rFonts w:ascii="Verdana" w:hAnsi="Verdana"/>
          <w:sz w:val="20"/>
          <w:szCs w:val="20"/>
        </w:rPr>
        <w:t xml:space="preserve">debe tener en cuenta que los instrumentos de reconocimiento de la cláusula facultativa de la jurisdicción obligatoria (artículo 62.1 de la Convención) presuponen la admisión, por los Estados que la presentan, del derecho de la Corte </w:t>
      </w:r>
      <w:r w:rsidR="00CE7493">
        <w:rPr>
          <w:rFonts w:ascii="Verdana" w:hAnsi="Verdana"/>
          <w:sz w:val="20"/>
          <w:szCs w:val="20"/>
        </w:rPr>
        <w:t xml:space="preserve">IDH </w:t>
      </w:r>
      <w:r w:rsidR="00CC60DB" w:rsidRPr="009E3688">
        <w:rPr>
          <w:rFonts w:ascii="Verdana" w:hAnsi="Verdana"/>
          <w:sz w:val="20"/>
          <w:szCs w:val="20"/>
        </w:rPr>
        <w:t xml:space="preserve">a resolver cualquier controversia relativa a su jurisdicción. Además, </w:t>
      </w:r>
      <w:r w:rsidR="00F43873">
        <w:rPr>
          <w:rFonts w:ascii="Verdana" w:hAnsi="Verdana"/>
          <w:sz w:val="20"/>
          <w:szCs w:val="20"/>
        </w:rPr>
        <w:t>la Corte IDH</w:t>
      </w:r>
      <w:r w:rsidR="00CE7493">
        <w:rPr>
          <w:rFonts w:ascii="Verdana" w:hAnsi="Verdana"/>
          <w:sz w:val="20"/>
          <w:szCs w:val="20"/>
        </w:rPr>
        <w:t xml:space="preserve"> </w:t>
      </w:r>
      <w:r w:rsidR="00CC60DB" w:rsidRPr="009E3688">
        <w:rPr>
          <w:rFonts w:ascii="Verdana" w:hAnsi="Verdana"/>
          <w:sz w:val="20"/>
          <w:szCs w:val="20"/>
        </w:rPr>
        <w:t xml:space="preserve">ha señalado anteriormente que los términos amplios en que está redactada la Convención </w:t>
      </w:r>
      <w:r w:rsidR="00C92E29">
        <w:rPr>
          <w:rFonts w:ascii="Verdana" w:hAnsi="Verdana"/>
          <w:sz w:val="20"/>
          <w:szCs w:val="20"/>
        </w:rPr>
        <w:t xml:space="preserve">Americana </w:t>
      </w:r>
      <w:r w:rsidR="00CC60DB" w:rsidRPr="009E3688">
        <w:rPr>
          <w:rFonts w:ascii="Verdana" w:hAnsi="Verdana"/>
          <w:sz w:val="20"/>
          <w:szCs w:val="20"/>
        </w:rPr>
        <w:t xml:space="preserve">indican que </w:t>
      </w:r>
      <w:r w:rsidR="00F43873">
        <w:rPr>
          <w:rFonts w:ascii="Verdana" w:hAnsi="Verdana"/>
          <w:sz w:val="20"/>
          <w:szCs w:val="20"/>
        </w:rPr>
        <w:t xml:space="preserve">el Tribunal Interamericano </w:t>
      </w:r>
      <w:r w:rsidR="00CC60DB" w:rsidRPr="009E3688">
        <w:rPr>
          <w:rFonts w:ascii="Verdana" w:hAnsi="Verdana"/>
          <w:sz w:val="20"/>
          <w:szCs w:val="20"/>
        </w:rPr>
        <w:t>ejerce una jurisdicción plena sobre todos sus artículos y disposiciones</w:t>
      </w:r>
      <w:r w:rsidR="00CC60DB" w:rsidRPr="00CC60DB">
        <w:rPr>
          <w:rStyle w:val="Refdenotaalpie"/>
          <w:szCs w:val="20"/>
        </w:rPr>
        <w:footnoteReference w:id="67"/>
      </w:r>
      <w:r w:rsidR="00CC60DB" w:rsidRPr="009E3688">
        <w:rPr>
          <w:rFonts w:ascii="Verdana" w:hAnsi="Verdana"/>
          <w:sz w:val="20"/>
          <w:szCs w:val="20"/>
        </w:rPr>
        <w:t xml:space="preserve">. </w:t>
      </w:r>
    </w:p>
    <w:p w:rsidR="009E3688" w:rsidRPr="009E3688" w:rsidRDefault="009E3688" w:rsidP="009E3688">
      <w:pPr>
        <w:jc w:val="both"/>
        <w:outlineLvl w:val="1"/>
        <w:rPr>
          <w:rFonts w:ascii="Verdana" w:hAnsi="Verdana"/>
          <w:i/>
          <w:sz w:val="20"/>
          <w:szCs w:val="20"/>
          <w:lang w:val="es-ES"/>
        </w:rPr>
      </w:pPr>
    </w:p>
    <w:p w:rsidR="00592EBB" w:rsidRDefault="00592EBB" w:rsidP="00592EBB">
      <w:pPr>
        <w:pStyle w:val="Ttulo1"/>
        <w:spacing w:before="0" w:line="360" w:lineRule="auto"/>
        <w:jc w:val="center"/>
        <w:rPr>
          <w:rFonts w:ascii="Verdana" w:hAnsi="Verdana"/>
          <w:b w:val="0"/>
          <w:color w:val="auto"/>
          <w:sz w:val="20"/>
          <w:szCs w:val="20"/>
          <w:lang w:val="es-ES"/>
        </w:rPr>
      </w:pPr>
      <w:r w:rsidRPr="00592EBB">
        <w:rPr>
          <w:rFonts w:ascii="Verdana" w:hAnsi="Verdana"/>
          <w:b w:val="0"/>
          <w:color w:val="auto"/>
          <w:sz w:val="20"/>
          <w:szCs w:val="20"/>
          <w:lang w:val="es-ES"/>
        </w:rPr>
        <w:t>III.</w:t>
      </w:r>
      <w:r w:rsidR="00E715C1" w:rsidRPr="00592EBB">
        <w:rPr>
          <w:rFonts w:ascii="Verdana" w:hAnsi="Verdana"/>
          <w:b w:val="0"/>
          <w:color w:val="auto"/>
          <w:sz w:val="20"/>
          <w:szCs w:val="20"/>
          <w:lang w:val="es-ES"/>
        </w:rPr>
        <w:t xml:space="preserve"> LA FALTA DE EJECUCIÓN DE SENTENCIAS SOBRE DERECHOS SOCIALES </w:t>
      </w:r>
    </w:p>
    <w:p w:rsidR="00E715C1" w:rsidRPr="00592EBB" w:rsidRDefault="00E715C1" w:rsidP="00592EBB">
      <w:pPr>
        <w:pStyle w:val="Ttulo1"/>
        <w:spacing w:before="0" w:line="360" w:lineRule="auto"/>
        <w:jc w:val="center"/>
        <w:rPr>
          <w:rFonts w:ascii="Verdana" w:hAnsi="Verdana"/>
          <w:b w:val="0"/>
          <w:color w:val="auto"/>
          <w:sz w:val="20"/>
          <w:szCs w:val="20"/>
          <w:lang w:val="es-ES"/>
        </w:rPr>
      </w:pPr>
      <w:r w:rsidRPr="00592EBB">
        <w:rPr>
          <w:rFonts w:ascii="Verdana" w:hAnsi="Verdana"/>
          <w:b w:val="0"/>
          <w:color w:val="auto"/>
          <w:sz w:val="20"/>
          <w:szCs w:val="20"/>
          <w:lang w:val="es-ES"/>
        </w:rPr>
        <w:t>Y SU IMPACTO EN LAS PERSONAS MAYORE</w:t>
      </w:r>
      <w:r w:rsidR="00F47861">
        <w:rPr>
          <w:rFonts w:ascii="Verdana" w:hAnsi="Verdana"/>
          <w:b w:val="0"/>
          <w:color w:val="auto"/>
          <w:sz w:val="20"/>
          <w:szCs w:val="20"/>
          <w:lang w:val="es-ES"/>
        </w:rPr>
        <w:t>S</w:t>
      </w:r>
      <w:r w:rsidR="009E3688" w:rsidRPr="00592EBB">
        <w:rPr>
          <w:rFonts w:ascii="Verdana" w:hAnsi="Verdana"/>
          <w:b w:val="0"/>
          <w:color w:val="auto"/>
          <w:sz w:val="20"/>
          <w:szCs w:val="20"/>
          <w:lang w:val="es-ES"/>
        </w:rPr>
        <w:t xml:space="preserve"> </w:t>
      </w:r>
    </w:p>
    <w:p w:rsidR="00A501BB" w:rsidRPr="00C3119B" w:rsidRDefault="00A501BB" w:rsidP="00DD2F96">
      <w:pPr>
        <w:jc w:val="both"/>
        <w:rPr>
          <w:rFonts w:ascii="Verdana" w:hAnsi="Verdana"/>
          <w:sz w:val="20"/>
          <w:szCs w:val="20"/>
          <w:lang w:val="es-ES"/>
        </w:rPr>
      </w:pPr>
    </w:p>
    <w:p w:rsidR="0034314C" w:rsidRPr="0034314C" w:rsidRDefault="00A501BB" w:rsidP="00DD2F96">
      <w:pPr>
        <w:pStyle w:val="Prrafodelista"/>
        <w:numPr>
          <w:ilvl w:val="0"/>
          <w:numId w:val="2"/>
        </w:numPr>
        <w:jc w:val="both"/>
        <w:outlineLvl w:val="1"/>
        <w:rPr>
          <w:rFonts w:ascii="Verdana" w:hAnsi="Verdana"/>
          <w:i/>
          <w:sz w:val="20"/>
          <w:szCs w:val="20"/>
          <w:lang w:val="es-ES"/>
        </w:rPr>
      </w:pPr>
      <w:r w:rsidRPr="0034314C">
        <w:rPr>
          <w:rFonts w:ascii="Verdana" w:hAnsi="Verdana"/>
          <w:i/>
          <w:sz w:val="20"/>
          <w:szCs w:val="20"/>
          <w:lang w:val="es-ES"/>
        </w:rPr>
        <w:t>El derecho al acceso a la justicia en sentido amplio</w:t>
      </w:r>
    </w:p>
    <w:p w:rsidR="0034314C" w:rsidRDefault="0034314C" w:rsidP="00DD2F96">
      <w:pPr>
        <w:jc w:val="both"/>
        <w:outlineLvl w:val="1"/>
        <w:rPr>
          <w:rFonts w:ascii="Verdana" w:hAnsi="Verdana"/>
          <w:sz w:val="20"/>
          <w:szCs w:val="20"/>
          <w:lang w:val="es-ES"/>
        </w:rPr>
      </w:pPr>
    </w:p>
    <w:p w:rsidR="004716F7" w:rsidRPr="004716F7" w:rsidRDefault="00C85629" w:rsidP="00CE6958">
      <w:pPr>
        <w:pStyle w:val="Prrafodelista"/>
        <w:tabs>
          <w:tab w:val="left" w:pos="0"/>
          <w:tab w:val="left" w:pos="567"/>
        </w:tabs>
        <w:ind w:left="0"/>
        <w:jc w:val="both"/>
        <w:rPr>
          <w:rFonts w:ascii="Verdana" w:hAnsi="Verdana"/>
          <w:spacing w:val="-2"/>
          <w:sz w:val="20"/>
          <w:szCs w:val="20"/>
        </w:rPr>
      </w:pPr>
      <w:r>
        <w:rPr>
          <w:rFonts w:ascii="Verdana" w:hAnsi="Verdana"/>
          <w:sz w:val="20"/>
          <w:szCs w:val="20"/>
        </w:rPr>
        <w:t>36</w:t>
      </w:r>
      <w:r w:rsidR="00CE6958">
        <w:rPr>
          <w:rFonts w:ascii="Verdana" w:hAnsi="Verdana"/>
          <w:sz w:val="20"/>
          <w:szCs w:val="20"/>
        </w:rPr>
        <w:t xml:space="preserve">. </w:t>
      </w:r>
      <w:r w:rsidR="00CE6958">
        <w:rPr>
          <w:rFonts w:ascii="Verdana" w:hAnsi="Verdana"/>
          <w:sz w:val="20"/>
          <w:szCs w:val="20"/>
        </w:rPr>
        <w:tab/>
      </w:r>
      <w:r w:rsidR="004716F7" w:rsidRPr="004716F7">
        <w:rPr>
          <w:rFonts w:ascii="Verdana" w:hAnsi="Verdana"/>
          <w:sz w:val="20"/>
          <w:szCs w:val="20"/>
        </w:rPr>
        <w:t xml:space="preserve">La Corte </w:t>
      </w:r>
      <w:r w:rsidR="00A03F58">
        <w:rPr>
          <w:rFonts w:ascii="Verdana" w:hAnsi="Verdana"/>
          <w:sz w:val="20"/>
          <w:szCs w:val="20"/>
        </w:rPr>
        <w:t xml:space="preserve">IDH </w:t>
      </w:r>
      <w:r w:rsidR="004716F7" w:rsidRPr="004716F7">
        <w:rPr>
          <w:rFonts w:ascii="Verdana" w:hAnsi="Verdana"/>
          <w:sz w:val="20"/>
          <w:szCs w:val="20"/>
        </w:rPr>
        <w:t>ha establecido que “el hecho de que una sentencia se encuentre en etapa de ejecución no excluye una posible violación al derecho a un recurso efectivo”, en la medida que “el proceso debe tender a la materialización de la protección del derecho reconocido en el pronunciamiento judicial mediante la aplicación idónea de dicho pronunciamiento”</w:t>
      </w:r>
      <w:r w:rsidR="004716F7" w:rsidRPr="004716F7">
        <w:rPr>
          <w:rStyle w:val="Refdenotaalpie"/>
          <w:rFonts w:ascii="Verdana" w:hAnsi="Verdana"/>
          <w:sz w:val="20"/>
          <w:szCs w:val="20"/>
        </w:rPr>
        <w:footnoteReference w:id="68"/>
      </w:r>
      <w:r w:rsidR="004716F7" w:rsidRPr="004716F7">
        <w:rPr>
          <w:rFonts w:ascii="Verdana" w:hAnsi="Verdana"/>
          <w:sz w:val="20"/>
          <w:szCs w:val="20"/>
        </w:rPr>
        <w:t>.</w:t>
      </w:r>
    </w:p>
    <w:p w:rsidR="004716F7" w:rsidRPr="004716F7" w:rsidRDefault="004716F7" w:rsidP="00DD2F96">
      <w:pPr>
        <w:pStyle w:val="Prrafodelista"/>
        <w:tabs>
          <w:tab w:val="left" w:pos="0"/>
          <w:tab w:val="left" w:pos="567"/>
        </w:tabs>
        <w:ind w:left="0"/>
        <w:jc w:val="both"/>
        <w:rPr>
          <w:rFonts w:ascii="Verdana" w:hAnsi="Verdana"/>
          <w:spacing w:val="-2"/>
          <w:sz w:val="20"/>
          <w:szCs w:val="20"/>
        </w:rPr>
      </w:pPr>
    </w:p>
    <w:p w:rsidR="004716F7" w:rsidRPr="004716F7" w:rsidRDefault="00C85629" w:rsidP="00CE6958">
      <w:pPr>
        <w:pStyle w:val="Prrafodelista"/>
        <w:tabs>
          <w:tab w:val="left" w:pos="0"/>
          <w:tab w:val="left" w:pos="567"/>
        </w:tabs>
        <w:ind w:left="0"/>
        <w:jc w:val="both"/>
        <w:rPr>
          <w:rFonts w:ascii="Verdana" w:hAnsi="Verdana"/>
          <w:spacing w:val="-2"/>
          <w:sz w:val="20"/>
          <w:szCs w:val="20"/>
        </w:rPr>
      </w:pPr>
      <w:r>
        <w:rPr>
          <w:rFonts w:ascii="Verdana" w:hAnsi="Verdana"/>
          <w:spacing w:val="-2"/>
          <w:sz w:val="20"/>
          <w:szCs w:val="20"/>
        </w:rPr>
        <w:t>37</w:t>
      </w:r>
      <w:r w:rsidR="00CE6958">
        <w:rPr>
          <w:rFonts w:ascii="Verdana" w:hAnsi="Verdana"/>
          <w:spacing w:val="-2"/>
          <w:sz w:val="20"/>
          <w:szCs w:val="20"/>
        </w:rPr>
        <w:t xml:space="preserve">. </w:t>
      </w:r>
      <w:r w:rsidR="00CE6958">
        <w:rPr>
          <w:rFonts w:ascii="Verdana" w:hAnsi="Verdana"/>
          <w:spacing w:val="-2"/>
          <w:sz w:val="20"/>
          <w:szCs w:val="20"/>
        </w:rPr>
        <w:tab/>
      </w:r>
      <w:r w:rsidR="00B61DA8">
        <w:rPr>
          <w:rFonts w:ascii="Verdana" w:hAnsi="Verdana"/>
          <w:spacing w:val="-2"/>
          <w:sz w:val="20"/>
          <w:szCs w:val="20"/>
        </w:rPr>
        <w:t xml:space="preserve">El Tribunal Interamericano </w:t>
      </w:r>
      <w:r w:rsidR="00790A92" w:rsidRPr="004716F7">
        <w:rPr>
          <w:rFonts w:ascii="Verdana" w:hAnsi="Verdana"/>
          <w:spacing w:val="-2"/>
          <w:sz w:val="20"/>
          <w:szCs w:val="20"/>
        </w:rPr>
        <w:t xml:space="preserve">ha indicado </w:t>
      </w:r>
      <w:r w:rsidR="00790A92" w:rsidRPr="004716F7">
        <w:rPr>
          <w:rFonts w:ascii="Verdana" w:hAnsi="Verdana" w:cs="Verdana"/>
          <w:bCs/>
          <w:iCs/>
          <w:sz w:val="20"/>
          <w:szCs w:val="20"/>
        </w:rPr>
        <w:t>que la responsabilidad estatal no termina cuando las autoridades competentes emiten una decisión o sentencia, sino que requiere</w:t>
      </w:r>
      <w:r w:rsidR="00A03F58">
        <w:rPr>
          <w:rFonts w:ascii="Verdana" w:hAnsi="Verdana" w:cs="Verdana"/>
          <w:bCs/>
          <w:iCs/>
          <w:sz w:val="20"/>
          <w:szCs w:val="20"/>
        </w:rPr>
        <w:t>,</w:t>
      </w:r>
      <w:r w:rsidR="00790A92" w:rsidRPr="004716F7">
        <w:rPr>
          <w:rFonts w:ascii="Verdana" w:hAnsi="Verdana" w:cs="Verdana"/>
          <w:bCs/>
          <w:iCs/>
          <w:sz w:val="20"/>
          <w:szCs w:val="20"/>
        </w:rPr>
        <w:t xml:space="preserve"> además</w:t>
      </w:r>
      <w:r w:rsidR="00A03F58">
        <w:rPr>
          <w:rFonts w:ascii="Verdana" w:hAnsi="Verdana" w:cs="Verdana"/>
          <w:bCs/>
          <w:iCs/>
          <w:sz w:val="20"/>
          <w:szCs w:val="20"/>
        </w:rPr>
        <w:t>,</w:t>
      </w:r>
      <w:r w:rsidR="00790A92" w:rsidRPr="004716F7">
        <w:rPr>
          <w:rFonts w:ascii="Verdana" w:hAnsi="Verdana" w:cs="Verdana"/>
          <w:bCs/>
          <w:iCs/>
          <w:sz w:val="20"/>
          <w:szCs w:val="20"/>
        </w:rPr>
        <w:t xml:space="preserve"> que el Estado garantice los medios y mecanismos eficaces para ejecutar las decisiones definitivas, de manera que se protejan efectivamente los derechos declarados</w:t>
      </w:r>
      <w:r w:rsidR="00790A92" w:rsidRPr="004716F7">
        <w:rPr>
          <w:rFonts w:ascii="Verdana" w:hAnsi="Verdana"/>
          <w:sz w:val="20"/>
          <w:szCs w:val="20"/>
          <w:vertAlign w:val="superscript"/>
        </w:rPr>
        <w:footnoteReference w:id="69"/>
      </w:r>
      <w:r w:rsidR="00790A92" w:rsidRPr="004716F7">
        <w:rPr>
          <w:rFonts w:ascii="Verdana" w:hAnsi="Verdana" w:cs="Verdana"/>
          <w:bCs/>
          <w:iCs/>
          <w:sz w:val="20"/>
          <w:szCs w:val="20"/>
        </w:rPr>
        <w:t>.</w:t>
      </w:r>
      <w:r w:rsidR="00A03F58">
        <w:rPr>
          <w:rFonts w:ascii="Verdana" w:hAnsi="Verdana"/>
          <w:spacing w:val="-2"/>
          <w:sz w:val="20"/>
          <w:szCs w:val="20"/>
        </w:rPr>
        <w:t xml:space="preserve"> Asimismo, el</w:t>
      </w:r>
      <w:r w:rsidR="00790A92" w:rsidRPr="004716F7">
        <w:rPr>
          <w:rFonts w:ascii="Verdana" w:hAnsi="Verdana"/>
          <w:spacing w:val="-2"/>
          <w:sz w:val="20"/>
          <w:szCs w:val="20"/>
        </w:rPr>
        <w:t xml:space="preserve"> Tribunal</w:t>
      </w:r>
      <w:r w:rsidR="00A03F58">
        <w:rPr>
          <w:rFonts w:ascii="Verdana" w:hAnsi="Verdana"/>
          <w:spacing w:val="-2"/>
          <w:sz w:val="20"/>
          <w:szCs w:val="20"/>
        </w:rPr>
        <w:t xml:space="preserve"> Interamericano</w:t>
      </w:r>
      <w:r w:rsidR="00790A92" w:rsidRPr="004716F7">
        <w:rPr>
          <w:rFonts w:ascii="Verdana" w:hAnsi="Verdana"/>
          <w:spacing w:val="-2"/>
          <w:sz w:val="20"/>
          <w:szCs w:val="20"/>
        </w:rPr>
        <w:t xml:space="preserve"> ha establecido que</w:t>
      </w:r>
      <w:r w:rsidR="00790A92" w:rsidRPr="004716F7">
        <w:rPr>
          <w:rFonts w:ascii="Verdana" w:eastAsia="Times" w:hAnsi="Verdana"/>
          <w:spacing w:val="-2"/>
          <w:sz w:val="20"/>
          <w:szCs w:val="20"/>
        </w:rPr>
        <w:t xml:space="preserve"> </w:t>
      </w:r>
      <w:r w:rsidR="00790A92" w:rsidRPr="004716F7">
        <w:rPr>
          <w:rFonts w:ascii="Verdana" w:hAnsi="Verdana"/>
          <w:spacing w:val="-2"/>
          <w:sz w:val="20"/>
          <w:szCs w:val="20"/>
        </w:rPr>
        <w:t>la efectividad de las sentencias depende de su ejecución. El proceso debe tender a la materialización de la protección del derecho reconocido en el pronunciamiento judicial mediante la aplicación idónea de dicho pronunciamiento</w:t>
      </w:r>
      <w:r w:rsidR="00790A92" w:rsidRPr="004716F7">
        <w:rPr>
          <w:rStyle w:val="Refdenotaalpie"/>
          <w:rFonts w:ascii="Verdana" w:hAnsi="Verdana"/>
          <w:spacing w:val="-2"/>
          <w:sz w:val="20"/>
          <w:szCs w:val="20"/>
        </w:rPr>
        <w:footnoteReference w:id="70"/>
      </w:r>
      <w:r w:rsidR="00790A92" w:rsidRPr="004716F7">
        <w:rPr>
          <w:rFonts w:ascii="Verdana" w:hAnsi="Verdana"/>
          <w:spacing w:val="-2"/>
          <w:sz w:val="20"/>
          <w:szCs w:val="20"/>
        </w:rPr>
        <w:t xml:space="preserve">. </w:t>
      </w:r>
    </w:p>
    <w:p w:rsidR="004716F7" w:rsidRPr="00B53928" w:rsidRDefault="004716F7" w:rsidP="00DD2F96">
      <w:pPr>
        <w:pStyle w:val="Prrafodelista"/>
        <w:rPr>
          <w:rFonts w:ascii="Verdana" w:hAnsi="Verdana"/>
          <w:sz w:val="20"/>
          <w:szCs w:val="20"/>
        </w:rPr>
      </w:pPr>
    </w:p>
    <w:p w:rsidR="00790A92" w:rsidRPr="00B53928" w:rsidRDefault="00C85629" w:rsidP="00CE6958">
      <w:pPr>
        <w:pStyle w:val="Prrafodelista"/>
        <w:tabs>
          <w:tab w:val="left" w:pos="0"/>
          <w:tab w:val="left" w:pos="567"/>
        </w:tabs>
        <w:ind w:left="0"/>
        <w:jc w:val="both"/>
        <w:rPr>
          <w:rFonts w:ascii="Verdana" w:hAnsi="Verdana"/>
          <w:spacing w:val="-2"/>
          <w:sz w:val="20"/>
          <w:szCs w:val="20"/>
        </w:rPr>
      </w:pPr>
      <w:r>
        <w:rPr>
          <w:rFonts w:ascii="Verdana" w:hAnsi="Verdana"/>
          <w:sz w:val="20"/>
          <w:szCs w:val="20"/>
        </w:rPr>
        <w:t>38</w:t>
      </w:r>
      <w:r w:rsidR="00CE6958">
        <w:rPr>
          <w:rFonts w:ascii="Verdana" w:hAnsi="Verdana"/>
          <w:sz w:val="20"/>
          <w:szCs w:val="20"/>
        </w:rPr>
        <w:t xml:space="preserve">. </w:t>
      </w:r>
      <w:r w:rsidR="00CE6958">
        <w:rPr>
          <w:rFonts w:ascii="Verdana" w:hAnsi="Verdana"/>
          <w:sz w:val="20"/>
          <w:szCs w:val="20"/>
        </w:rPr>
        <w:tab/>
      </w:r>
      <w:r w:rsidR="00790A92" w:rsidRPr="00B53928">
        <w:rPr>
          <w:rFonts w:ascii="Verdana" w:hAnsi="Verdana"/>
          <w:sz w:val="20"/>
          <w:szCs w:val="20"/>
        </w:rPr>
        <w:t xml:space="preserve">Así, el artículo 25.2.c de la Convención </w:t>
      </w:r>
      <w:r w:rsidR="00A03F58">
        <w:rPr>
          <w:rFonts w:ascii="Verdana" w:hAnsi="Verdana"/>
          <w:sz w:val="20"/>
          <w:szCs w:val="20"/>
        </w:rPr>
        <w:t xml:space="preserve">Americana </w:t>
      </w:r>
      <w:r w:rsidR="00790A92" w:rsidRPr="00B53928">
        <w:rPr>
          <w:rFonts w:ascii="Verdana" w:hAnsi="Verdana"/>
          <w:sz w:val="20"/>
          <w:szCs w:val="20"/>
        </w:rPr>
        <w:t xml:space="preserve">establece el compromiso de los Estados de “garantizar el cumplimiento, por las autoridades competentes, de toda decisión en que se haya estimado procedente [un] recurso” que ampare a las personas contra actos que violen sus derechos fundamentales. Por tanto, la efectividad de las sentencias y de las providencias judiciales “depende de su ejecución […] debido a que una sentencia con carácter de cosa juzgada otorga certeza sobre el derecho o controversia discutida en el caso concreto </w:t>
      </w:r>
      <w:r w:rsidR="00790A92" w:rsidRPr="00B53928">
        <w:rPr>
          <w:rFonts w:ascii="Verdana" w:hAnsi="Verdana"/>
          <w:sz w:val="20"/>
          <w:szCs w:val="20"/>
        </w:rPr>
        <w:lastRenderedPageBreak/>
        <w:t>y, por ende, tiene como uno de sus efectos la obligatoriedad o necesidad de cumplimiento. Lo contrario supone la negación mi</w:t>
      </w:r>
      <w:r w:rsidR="003D56A1" w:rsidRPr="00B53928">
        <w:rPr>
          <w:rFonts w:ascii="Verdana" w:hAnsi="Verdana"/>
          <w:sz w:val="20"/>
          <w:szCs w:val="20"/>
        </w:rPr>
        <w:t>sma del derecho involucrado”.</w:t>
      </w:r>
      <w:r w:rsidR="00790A92" w:rsidRPr="00B53928">
        <w:rPr>
          <w:rFonts w:ascii="Verdana" w:hAnsi="Verdana"/>
          <w:sz w:val="20"/>
          <w:szCs w:val="20"/>
        </w:rPr>
        <w:t xml:space="preserve"> En consecuencia, “[l]a ejecución de las sentencias debe ser considerada como parte integrante del derecho de acceso al recurso, que abarque también el cumplimiento plen</w:t>
      </w:r>
      <w:r w:rsidR="003D56A1" w:rsidRPr="00B53928">
        <w:rPr>
          <w:rFonts w:ascii="Verdana" w:hAnsi="Verdana"/>
          <w:sz w:val="20"/>
          <w:szCs w:val="20"/>
        </w:rPr>
        <w:t>o de la decisión respectiva”</w:t>
      </w:r>
      <w:r w:rsidR="004716F7" w:rsidRPr="00B53928">
        <w:rPr>
          <w:rStyle w:val="Refdenotaalpie"/>
          <w:rFonts w:ascii="Verdana" w:hAnsi="Verdana"/>
          <w:sz w:val="20"/>
          <w:szCs w:val="20"/>
        </w:rPr>
        <w:footnoteReference w:id="71"/>
      </w:r>
      <w:r w:rsidR="00A03F58">
        <w:rPr>
          <w:rFonts w:ascii="Verdana" w:hAnsi="Verdana"/>
          <w:sz w:val="20"/>
          <w:szCs w:val="20"/>
        </w:rPr>
        <w:t>.</w:t>
      </w:r>
    </w:p>
    <w:p w:rsidR="004716F7" w:rsidRPr="004716F7" w:rsidRDefault="004716F7" w:rsidP="00DD2F96">
      <w:pPr>
        <w:pStyle w:val="Prrafodelista"/>
        <w:rPr>
          <w:rFonts w:ascii="Verdana" w:hAnsi="Verdana"/>
          <w:spacing w:val="-2"/>
          <w:sz w:val="20"/>
          <w:szCs w:val="20"/>
        </w:rPr>
      </w:pPr>
    </w:p>
    <w:p w:rsidR="00B61DA8" w:rsidRDefault="00C85629" w:rsidP="00CE6958">
      <w:pPr>
        <w:pStyle w:val="Prrafodelista"/>
        <w:tabs>
          <w:tab w:val="left" w:pos="0"/>
          <w:tab w:val="left" w:pos="567"/>
        </w:tabs>
        <w:ind w:left="0"/>
        <w:jc w:val="both"/>
        <w:rPr>
          <w:rFonts w:ascii="Verdana" w:hAnsi="Verdana"/>
          <w:spacing w:val="-2"/>
          <w:sz w:val="20"/>
          <w:szCs w:val="20"/>
        </w:rPr>
      </w:pPr>
      <w:r>
        <w:rPr>
          <w:rFonts w:ascii="Verdana" w:hAnsi="Verdana"/>
          <w:spacing w:val="-2"/>
          <w:sz w:val="20"/>
          <w:szCs w:val="20"/>
        </w:rPr>
        <w:t>39</w:t>
      </w:r>
      <w:r w:rsidR="00CE6958">
        <w:rPr>
          <w:rFonts w:ascii="Verdana" w:hAnsi="Verdana"/>
          <w:spacing w:val="-2"/>
          <w:sz w:val="20"/>
          <w:szCs w:val="20"/>
        </w:rPr>
        <w:t xml:space="preserve">. </w:t>
      </w:r>
      <w:r w:rsidR="00CE6958">
        <w:rPr>
          <w:rFonts w:ascii="Verdana" w:hAnsi="Verdana"/>
          <w:spacing w:val="-2"/>
          <w:sz w:val="20"/>
          <w:szCs w:val="20"/>
        </w:rPr>
        <w:tab/>
      </w:r>
      <w:r w:rsidR="004716F7">
        <w:rPr>
          <w:rFonts w:ascii="Verdana" w:hAnsi="Verdana"/>
          <w:spacing w:val="-2"/>
          <w:sz w:val="20"/>
          <w:szCs w:val="20"/>
        </w:rPr>
        <w:t xml:space="preserve">El derecho al acceso a la justicia en sentido amplio </w:t>
      </w:r>
      <w:r w:rsidR="003F4C57">
        <w:rPr>
          <w:rFonts w:ascii="Verdana" w:hAnsi="Verdana"/>
          <w:spacing w:val="-2"/>
          <w:sz w:val="20"/>
          <w:szCs w:val="20"/>
        </w:rPr>
        <w:t>resulta</w:t>
      </w:r>
      <w:r w:rsidR="004716F7">
        <w:rPr>
          <w:rFonts w:ascii="Verdana" w:hAnsi="Verdana"/>
          <w:spacing w:val="-2"/>
          <w:sz w:val="20"/>
          <w:szCs w:val="20"/>
        </w:rPr>
        <w:t xml:space="preserve"> fundamental para los derechos sociales</w:t>
      </w:r>
      <w:r w:rsidR="003F4C57">
        <w:rPr>
          <w:rFonts w:ascii="Verdana" w:hAnsi="Verdana"/>
          <w:spacing w:val="-2"/>
          <w:sz w:val="20"/>
          <w:szCs w:val="20"/>
        </w:rPr>
        <w:t>. En</w:t>
      </w:r>
      <w:r w:rsidR="004716F7">
        <w:rPr>
          <w:rFonts w:ascii="Verdana" w:hAnsi="Verdana"/>
          <w:spacing w:val="-2"/>
          <w:sz w:val="20"/>
          <w:szCs w:val="20"/>
        </w:rPr>
        <w:t xml:space="preserve"> muchos casos, los problemas no radican en que no se proteja el derecho a nivel interno</w:t>
      </w:r>
      <w:r w:rsidR="003F4C57">
        <w:rPr>
          <w:rFonts w:ascii="Verdana" w:hAnsi="Verdana"/>
          <w:spacing w:val="-2"/>
          <w:sz w:val="20"/>
          <w:szCs w:val="20"/>
        </w:rPr>
        <w:t xml:space="preserve">, </w:t>
      </w:r>
      <w:r w:rsidR="004716F7" w:rsidRPr="00D02375">
        <w:rPr>
          <w:rFonts w:ascii="Verdana" w:hAnsi="Verdana"/>
          <w:spacing w:val="-2"/>
          <w:sz w:val="20"/>
          <w:szCs w:val="20"/>
        </w:rPr>
        <w:t>sino en la falta de ejecución de las sent</w:t>
      </w:r>
      <w:r w:rsidR="00C53A09">
        <w:rPr>
          <w:rFonts w:ascii="Verdana" w:hAnsi="Verdana"/>
          <w:spacing w:val="-2"/>
          <w:sz w:val="20"/>
          <w:szCs w:val="20"/>
        </w:rPr>
        <w:t>encias en el ámbito doméstico que previamente han reconocido y otorgado el derecho.</w:t>
      </w:r>
      <w:r w:rsidR="0043561C">
        <w:rPr>
          <w:rFonts w:ascii="Verdana" w:hAnsi="Verdana"/>
          <w:spacing w:val="-2"/>
          <w:sz w:val="20"/>
          <w:szCs w:val="20"/>
        </w:rPr>
        <w:t xml:space="preserve"> Lo anterior es fundamental para una tutela judicial efectiva.</w:t>
      </w:r>
    </w:p>
    <w:p w:rsidR="00B61DA8" w:rsidRPr="00B61DA8" w:rsidRDefault="00B61DA8" w:rsidP="00B61DA8">
      <w:pPr>
        <w:pStyle w:val="Prrafodelista"/>
        <w:rPr>
          <w:bdr w:val="none" w:sz="0" w:space="0" w:color="auto" w:frame="1"/>
        </w:rPr>
      </w:pPr>
    </w:p>
    <w:p w:rsidR="00B61DA8" w:rsidRPr="00B61DA8" w:rsidRDefault="00C85629" w:rsidP="00CE6958">
      <w:pPr>
        <w:pStyle w:val="Prrafodelista"/>
        <w:tabs>
          <w:tab w:val="left" w:pos="0"/>
          <w:tab w:val="left" w:pos="567"/>
        </w:tabs>
        <w:ind w:left="0"/>
        <w:jc w:val="both"/>
        <w:rPr>
          <w:rFonts w:ascii="Verdana" w:hAnsi="Verdana"/>
          <w:spacing w:val="-2"/>
          <w:sz w:val="20"/>
          <w:szCs w:val="20"/>
        </w:rPr>
      </w:pPr>
      <w:r>
        <w:rPr>
          <w:rFonts w:ascii="Verdana" w:hAnsi="Verdana"/>
          <w:sz w:val="20"/>
          <w:szCs w:val="20"/>
          <w:bdr w:val="none" w:sz="0" w:space="0" w:color="auto" w:frame="1"/>
        </w:rPr>
        <w:t>40</w:t>
      </w:r>
      <w:r w:rsidR="00CE6958">
        <w:rPr>
          <w:rFonts w:ascii="Verdana" w:hAnsi="Verdana"/>
          <w:sz w:val="20"/>
          <w:szCs w:val="20"/>
          <w:bdr w:val="none" w:sz="0" w:space="0" w:color="auto" w:frame="1"/>
        </w:rPr>
        <w:t xml:space="preserve">. </w:t>
      </w:r>
      <w:r w:rsidR="00CE6958">
        <w:rPr>
          <w:rFonts w:ascii="Verdana" w:hAnsi="Verdana"/>
          <w:sz w:val="20"/>
          <w:szCs w:val="20"/>
          <w:bdr w:val="none" w:sz="0" w:space="0" w:color="auto" w:frame="1"/>
        </w:rPr>
        <w:tab/>
      </w:r>
      <w:r w:rsidR="00B61DA8" w:rsidRPr="00B61DA8">
        <w:rPr>
          <w:rFonts w:ascii="Verdana" w:hAnsi="Verdana"/>
          <w:sz w:val="20"/>
          <w:szCs w:val="20"/>
          <w:bdr w:val="none" w:sz="0" w:space="0" w:color="auto" w:frame="1"/>
        </w:rPr>
        <w:t>Por ejemplo, el Comité DESC ha identificado que en la práctica, las víctimas de violaciones a los derechos reconocidos en el PIDESC enfrentan dificultades para acceder a recursos judiciales efectivos. Así lo señaló expresamente en las últimas Observaciones finales de ocho países que han reconocido la competencia contenciosa de esta Corte IDH;</w:t>
      </w:r>
      <w:r w:rsidR="00B61DA8" w:rsidRPr="00B61DA8">
        <w:rPr>
          <w:rStyle w:val="Refdenotaalpie"/>
          <w:rFonts w:ascii="Verdana" w:hAnsi="Verdana"/>
          <w:sz w:val="20"/>
          <w:szCs w:val="20"/>
          <w:bdr w:val="none" w:sz="0" w:space="0" w:color="auto" w:frame="1"/>
        </w:rPr>
        <w:footnoteReference w:id="72"/>
      </w:r>
      <w:r w:rsidR="00B61DA8" w:rsidRPr="00B61DA8">
        <w:rPr>
          <w:rFonts w:ascii="Verdana" w:hAnsi="Verdana"/>
          <w:sz w:val="20"/>
          <w:szCs w:val="20"/>
          <w:bdr w:val="none" w:sz="0" w:space="0" w:color="auto" w:frame="1"/>
        </w:rPr>
        <w:t xml:space="preserve"> además, esta preocupación </w:t>
      </w:r>
      <w:r w:rsidR="00325B5E">
        <w:rPr>
          <w:rFonts w:ascii="Verdana" w:hAnsi="Verdana"/>
          <w:sz w:val="20"/>
          <w:szCs w:val="20"/>
          <w:bdr w:val="none" w:sz="0" w:space="0" w:color="auto" w:frame="1"/>
        </w:rPr>
        <w:t xml:space="preserve">la </w:t>
      </w:r>
      <w:r w:rsidR="00B61DA8" w:rsidRPr="00B61DA8">
        <w:rPr>
          <w:rFonts w:ascii="Verdana" w:hAnsi="Verdana"/>
          <w:sz w:val="20"/>
          <w:szCs w:val="20"/>
          <w:bdr w:val="none" w:sz="0" w:space="0" w:color="auto" w:frame="1"/>
        </w:rPr>
        <w:t>dejó ver de manera implícita respecto de otros dos</w:t>
      </w:r>
      <w:r w:rsidR="00B61DA8" w:rsidRPr="00B61DA8">
        <w:rPr>
          <w:rStyle w:val="Refdenotaalpie"/>
          <w:rFonts w:ascii="Verdana" w:hAnsi="Verdana"/>
          <w:sz w:val="20"/>
          <w:szCs w:val="20"/>
          <w:bdr w:val="none" w:sz="0" w:space="0" w:color="auto" w:frame="1"/>
        </w:rPr>
        <w:footnoteReference w:id="73"/>
      </w:r>
      <w:r w:rsidR="00B61DA8" w:rsidRPr="00B61DA8">
        <w:rPr>
          <w:rFonts w:ascii="Verdana" w:hAnsi="Verdana"/>
          <w:sz w:val="20"/>
          <w:szCs w:val="20"/>
          <w:bdr w:val="none" w:sz="0" w:space="0" w:color="auto" w:frame="1"/>
        </w:rPr>
        <w:t>. La situación se repite al menos en seis países miembros de la OEA que no han reconocido la competencia de la Corte IDH</w:t>
      </w:r>
      <w:r w:rsidR="00B61DA8" w:rsidRPr="00B61DA8">
        <w:rPr>
          <w:rStyle w:val="Refdenotaalpie"/>
          <w:rFonts w:ascii="Verdana" w:hAnsi="Verdana"/>
          <w:sz w:val="20"/>
          <w:szCs w:val="20"/>
          <w:bdr w:val="none" w:sz="0" w:space="0" w:color="auto" w:frame="1"/>
        </w:rPr>
        <w:footnoteReference w:id="74"/>
      </w:r>
      <w:r w:rsidR="00B61DA8" w:rsidRPr="00B61DA8">
        <w:rPr>
          <w:rFonts w:ascii="Verdana" w:hAnsi="Verdana"/>
          <w:sz w:val="20"/>
          <w:szCs w:val="20"/>
          <w:bdr w:val="none" w:sz="0" w:space="0" w:color="auto" w:frame="1"/>
        </w:rPr>
        <w:t>.</w:t>
      </w:r>
    </w:p>
    <w:p w:rsidR="00B61DA8" w:rsidRPr="00B61DA8" w:rsidRDefault="00B61DA8" w:rsidP="00B61DA8">
      <w:pPr>
        <w:pStyle w:val="Prrafodelista"/>
        <w:rPr>
          <w:rFonts w:ascii="Times New Roman" w:hAnsi="Times New Roman" w:cs="Times New Roman"/>
          <w:bdr w:val="none" w:sz="0" w:space="0" w:color="auto" w:frame="1"/>
        </w:rPr>
      </w:pPr>
    </w:p>
    <w:p w:rsidR="00B61DA8" w:rsidRPr="00B61DA8" w:rsidRDefault="00C85629" w:rsidP="00CE6958">
      <w:pPr>
        <w:pStyle w:val="Prrafodelista"/>
        <w:tabs>
          <w:tab w:val="left" w:pos="0"/>
          <w:tab w:val="left" w:pos="567"/>
        </w:tabs>
        <w:ind w:left="0"/>
        <w:jc w:val="both"/>
        <w:rPr>
          <w:rFonts w:ascii="Verdana" w:hAnsi="Verdana"/>
          <w:spacing w:val="-2"/>
          <w:sz w:val="20"/>
          <w:szCs w:val="20"/>
        </w:rPr>
      </w:pPr>
      <w:r>
        <w:rPr>
          <w:rFonts w:ascii="Verdana" w:hAnsi="Verdana" w:cs="Times New Roman"/>
          <w:sz w:val="20"/>
          <w:szCs w:val="20"/>
          <w:bdr w:val="none" w:sz="0" w:space="0" w:color="auto" w:frame="1"/>
        </w:rPr>
        <w:t>41</w:t>
      </w:r>
      <w:r w:rsidR="00CE6958">
        <w:rPr>
          <w:rFonts w:ascii="Verdana" w:hAnsi="Verdana" w:cs="Times New Roman"/>
          <w:sz w:val="20"/>
          <w:szCs w:val="20"/>
          <w:bdr w:val="none" w:sz="0" w:space="0" w:color="auto" w:frame="1"/>
        </w:rPr>
        <w:t xml:space="preserve">. </w:t>
      </w:r>
      <w:r w:rsidR="00CE6958">
        <w:rPr>
          <w:rFonts w:ascii="Verdana" w:hAnsi="Verdana" w:cs="Times New Roman"/>
          <w:sz w:val="20"/>
          <w:szCs w:val="20"/>
          <w:bdr w:val="none" w:sz="0" w:space="0" w:color="auto" w:frame="1"/>
        </w:rPr>
        <w:tab/>
      </w:r>
      <w:r w:rsidR="00B61DA8" w:rsidRPr="00B61DA8">
        <w:rPr>
          <w:rFonts w:ascii="Verdana" w:hAnsi="Verdana" w:cs="Times New Roman"/>
          <w:sz w:val="20"/>
          <w:szCs w:val="20"/>
          <w:bdr w:val="none" w:sz="0" w:space="0" w:color="auto" w:frame="1"/>
        </w:rPr>
        <w:t>Asimismo, recientemente</w:t>
      </w:r>
      <w:r w:rsidR="0043561C">
        <w:rPr>
          <w:rFonts w:ascii="Verdana" w:hAnsi="Verdana" w:cs="Times New Roman"/>
          <w:sz w:val="20"/>
          <w:szCs w:val="20"/>
          <w:bdr w:val="none" w:sz="0" w:space="0" w:color="auto" w:frame="1"/>
        </w:rPr>
        <w:t>,</w:t>
      </w:r>
      <w:r w:rsidR="00B61DA8" w:rsidRPr="00B61DA8">
        <w:rPr>
          <w:rFonts w:ascii="Verdana" w:hAnsi="Verdana" w:cs="Times New Roman"/>
          <w:sz w:val="20"/>
          <w:szCs w:val="20"/>
          <w:bdr w:val="none" w:sz="0" w:space="0" w:color="auto" w:frame="1"/>
        </w:rPr>
        <w:t xml:space="preserve"> el Comité </w:t>
      </w:r>
      <w:r w:rsidR="00B61DA8">
        <w:rPr>
          <w:rFonts w:ascii="Verdana" w:hAnsi="Verdana" w:cs="Times New Roman"/>
          <w:sz w:val="20"/>
          <w:szCs w:val="20"/>
          <w:bdr w:val="none" w:sz="0" w:space="0" w:color="auto" w:frame="1"/>
        </w:rPr>
        <w:t xml:space="preserve">DESC </w:t>
      </w:r>
      <w:r w:rsidR="00B61DA8" w:rsidRPr="00B61DA8">
        <w:rPr>
          <w:rFonts w:ascii="Verdana" w:hAnsi="Verdana" w:cs="Times New Roman"/>
          <w:sz w:val="20"/>
          <w:szCs w:val="20"/>
          <w:bdr w:val="none" w:sz="0" w:space="0" w:color="auto" w:frame="1"/>
        </w:rPr>
        <w:t>ha fijado también su preocupación en el hecho de que, pese a existir recursos judiciales, en la práctica existe una falta de cumplimiento efectivo de las sentencias emitidas en las que se han encontrado violaciones a derechos económicos, sociales y culturales</w:t>
      </w:r>
      <w:r w:rsidR="00B61DA8" w:rsidRPr="00B61DA8">
        <w:rPr>
          <w:rStyle w:val="Refdenotaalpie"/>
          <w:rFonts w:ascii="Verdana" w:hAnsi="Verdana" w:cs="Times New Roman"/>
          <w:sz w:val="20"/>
          <w:szCs w:val="20"/>
          <w:bdr w:val="none" w:sz="0" w:space="0" w:color="auto" w:frame="1"/>
        </w:rPr>
        <w:footnoteReference w:id="75"/>
      </w:r>
      <w:r w:rsidR="002005C7">
        <w:rPr>
          <w:rFonts w:ascii="Verdana" w:hAnsi="Verdana" w:cs="Times New Roman"/>
          <w:sz w:val="20"/>
          <w:szCs w:val="20"/>
          <w:bdr w:val="none" w:sz="0" w:space="0" w:color="auto" w:frame="1"/>
        </w:rPr>
        <w:t>.</w:t>
      </w:r>
    </w:p>
    <w:p w:rsidR="00D02375" w:rsidRPr="00B53928" w:rsidRDefault="00D02375" w:rsidP="00DD2F96">
      <w:pPr>
        <w:pStyle w:val="Prrafodelista"/>
        <w:rPr>
          <w:rFonts w:ascii="Verdana" w:hAnsi="Verdana"/>
          <w:sz w:val="20"/>
          <w:szCs w:val="20"/>
          <w:lang w:val="es-ES"/>
        </w:rPr>
      </w:pPr>
    </w:p>
    <w:p w:rsidR="00C53A09" w:rsidRPr="00C53A09" w:rsidRDefault="00C85629" w:rsidP="00CE6958">
      <w:pPr>
        <w:pStyle w:val="Prrafodelista"/>
        <w:tabs>
          <w:tab w:val="left" w:pos="0"/>
          <w:tab w:val="left" w:pos="567"/>
        </w:tabs>
        <w:ind w:left="0"/>
        <w:jc w:val="both"/>
        <w:rPr>
          <w:rFonts w:ascii="Verdana" w:hAnsi="Verdana"/>
          <w:sz w:val="20"/>
          <w:szCs w:val="20"/>
          <w:lang w:val="es-ES"/>
        </w:rPr>
      </w:pPr>
      <w:r>
        <w:rPr>
          <w:rFonts w:ascii="Verdana" w:hAnsi="Verdana"/>
          <w:sz w:val="20"/>
          <w:szCs w:val="20"/>
          <w:lang w:val="es-ES"/>
        </w:rPr>
        <w:lastRenderedPageBreak/>
        <w:t>42</w:t>
      </w:r>
      <w:r w:rsidR="00CE6958">
        <w:rPr>
          <w:rFonts w:ascii="Verdana" w:hAnsi="Verdana"/>
          <w:sz w:val="20"/>
          <w:szCs w:val="20"/>
          <w:lang w:val="es-ES"/>
        </w:rPr>
        <w:t xml:space="preserve">. </w:t>
      </w:r>
      <w:r w:rsidR="00CE6958">
        <w:rPr>
          <w:rFonts w:ascii="Verdana" w:hAnsi="Verdana"/>
          <w:sz w:val="20"/>
          <w:szCs w:val="20"/>
          <w:lang w:val="es-ES"/>
        </w:rPr>
        <w:tab/>
      </w:r>
      <w:r w:rsidR="00D02375" w:rsidRPr="00B53928">
        <w:rPr>
          <w:rFonts w:ascii="Verdana" w:hAnsi="Verdana"/>
          <w:sz w:val="20"/>
          <w:szCs w:val="20"/>
          <w:lang w:val="es-ES"/>
        </w:rPr>
        <w:t xml:space="preserve">Bajo este panorama, el Comité DESC, desde la Observación General No. 9, sobre la aplicación interna del Pacto, ha establecido que </w:t>
      </w:r>
      <w:r w:rsidR="00CF0891" w:rsidRPr="00B53928">
        <w:rPr>
          <w:rFonts w:ascii="Verdana" w:hAnsi="Verdana"/>
          <w:sz w:val="20"/>
          <w:szCs w:val="20"/>
          <w:lang w:val="es-ES"/>
        </w:rPr>
        <w:t>“</w:t>
      </w:r>
      <w:r w:rsidR="00CF0891" w:rsidRPr="00B53928">
        <w:rPr>
          <w:rFonts w:ascii="Verdana" w:hAnsi="Verdana" w:cs="Arial"/>
          <w:color w:val="333333"/>
          <w:sz w:val="20"/>
          <w:szCs w:val="20"/>
          <w:shd w:val="clear" w:color="auto" w:fill="FFFFFF"/>
        </w:rPr>
        <w:t>los</w:t>
      </w:r>
      <w:r w:rsidR="00D02375" w:rsidRPr="00B53928">
        <w:rPr>
          <w:rFonts w:ascii="Verdana" w:hAnsi="Verdana" w:cs="Arial"/>
          <w:color w:val="333333"/>
          <w:sz w:val="20"/>
          <w:szCs w:val="20"/>
          <w:shd w:val="clear" w:color="auto" w:fill="FFFFFF"/>
        </w:rPr>
        <w:t xml:space="preserve"> medios elegidos para dar cumplimiento al Pacto tienen que garantizar el cumplimiento de las obligaciones derivadas del mismo”</w:t>
      </w:r>
      <w:r w:rsidR="00D02375" w:rsidRPr="00B53928">
        <w:rPr>
          <w:rStyle w:val="Refdenotaalpie"/>
          <w:rFonts w:ascii="Verdana" w:hAnsi="Verdana" w:cs="Arial"/>
          <w:color w:val="333333"/>
          <w:sz w:val="20"/>
          <w:szCs w:val="20"/>
          <w:shd w:val="clear" w:color="auto" w:fill="FFFFFF"/>
        </w:rPr>
        <w:footnoteReference w:id="76"/>
      </w:r>
      <w:r w:rsidR="003F4C57">
        <w:rPr>
          <w:rFonts w:ascii="Verdana" w:hAnsi="Verdana" w:cs="Arial"/>
          <w:color w:val="333333"/>
          <w:sz w:val="20"/>
          <w:szCs w:val="20"/>
          <w:shd w:val="clear" w:color="auto" w:fill="FFFFFF"/>
        </w:rPr>
        <w:t>;</w:t>
      </w:r>
      <w:r w:rsidR="00792F5C">
        <w:rPr>
          <w:rFonts w:ascii="Verdana" w:hAnsi="Verdana" w:cs="Arial"/>
          <w:color w:val="333333"/>
          <w:sz w:val="20"/>
          <w:szCs w:val="20"/>
          <w:shd w:val="clear" w:color="auto" w:fill="FFFFFF"/>
        </w:rPr>
        <w:t xml:space="preserve"> </w:t>
      </w:r>
      <w:r w:rsidR="00AF60C5" w:rsidRPr="00B53928">
        <w:rPr>
          <w:rFonts w:ascii="Verdana" w:hAnsi="Verdana" w:cs="Arial"/>
          <w:color w:val="333333"/>
          <w:sz w:val="20"/>
          <w:szCs w:val="20"/>
          <w:shd w:val="clear" w:color="auto" w:fill="FFFFFF"/>
        </w:rPr>
        <w:t xml:space="preserve">como lo es garantizar el derecho a la seguridad social mediante la creación de mecanismos internos </w:t>
      </w:r>
      <w:r w:rsidR="00A03F58">
        <w:rPr>
          <w:rFonts w:ascii="Verdana" w:hAnsi="Verdana"/>
          <w:sz w:val="20"/>
          <w:szCs w:val="20"/>
        </w:rPr>
        <w:t>—</w:t>
      </w:r>
      <w:r w:rsidR="00AF60C5" w:rsidRPr="00B53928">
        <w:rPr>
          <w:rFonts w:ascii="Verdana" w:hAnsi="Verdana" w:cs="Arial"/>
          <w:color w:val="333333"/>
          <w:sz w:val="20"/>
          <w:szCs w:val="20"/>
          <w:shd w:val="clear" w:color="auto" w:fill="FFFFFF"/>
        </w:rPr>
        <w:t>coercitivos</w:t>
      </w:r>
      <w:r w:rsidR="00A03F58">
        <w:rPr>
          <w:rFonts w:ascii="Verdana" w:hAnsi="Verdana"/>
          <w:sz w:val="20"/>
          <w:szCs w:val="20"/>
        </w:rPr>
        <w:t>—</w:t>
      </w:r>
      <w:r w:rsidR="00AF60C5" w:rsidRPr="00B53928">
        <w:rPr>
          <w:rFonts w:ascii="Verdana" w:hAnsi="Verdana" w:cs="Arial"/>
          <w:color w:val="333333"/>
          <w:sz w:val="20"/>
          <w:szCs w:val="20"/>
          <w:shd w:val="clear" w:color="auto" w:fill="FFFFFF"/>
        </w:rPr>
        <w:t xml:space="preserve"> que materialicen una sentencia que otorga y reconoce ese derecho</w:t>
      </w:r>
      <w:r w:rsidR="00AF60C5" w:rsidRPr="00B53928">
        <w:rPr>
          <w:rStyle w:val="Refdenotaalpie"/>
          <w:rFonts w:ascii="Verdana" w:hAnsi="Verdana" w:cs="Arial"/>
          <w:color w:val="333333"/>
          <w:sz w:val="20"/>
          <w:szCs w:val="20"/>
          <w:shd w:val="clear" w:color="auto" w:fill="FFFFFF"/>
        </w:rPr>
        <w:footnoteReference w:id="77"/>
      </w:r>
      <w:r w:rsidR="00AF60C5" w:rsidRPr="00B53928">
        <w:rPr>
          <w:rFonts w:ascii="Verdana" w:hAnsi="Verdana" w:cs="Arial"/>
          <w:color w:val="333333"/>
          <w:sz w:val="20"/>
          <w:szCs w:val="20"/>
          <w:shd w:val="clear" w:color="auto" w:fill="FFFFFF"/>
        </w:rPr>
        <w:t xml:space="preserve">. </w:t>
      </w:r>
    </w:p>
    <w:p w:rsidR="00C53A09" w:rsidRPr="00C53A09" w:rsidRDefault="00C53A09" w:rsidP="00C53A09">
      <w:pPr>
        <w:pStyle w:val="Prrafodelista"/>
        <w:rPr>
          <w:rFonts w:ascii="Verdana" w:hAnsi="Verdana" w:cs="Arial"/>
          <w:color w:val="333333"/>
          <w:sz w:val="20"/>
          <w:szCs w:val="20"/>
          <w:shd w:val="clear" w:color="auto" w:fill="FFFFFF"/>
        </w:rPr>
      </w:pPr>
    </w:p>
    <w:p w:rsidR="00D02375" w:rsidRPr="00B53928" w:rsidRDefault="00C85629" w:rsidP="00CE6958">
      <w:pPr>
        <w:pStyle w:val="Prrafodelista"/>
        <w:tabs>
          <w:tab w:val="left" w:pos="0"/>
          <w:tab w:val="left" w:pos="567"/>
        </w:tabs>
        <w:ind w:left="0"/>
        <w:jc w:val="both"/>
        <w:rPr>
          <w:rFonts w:ascii="Verdana" w:hAnsi="Verdana"/>
          <w:sz w:val="20"/>
          <w:szCs w:val="20"/>
          <w:lang w:val="es-ES"/>
        </w:rPr>
      </w:pPr>
      <w:r>
        <w:rPr>
          <w:rFonts w:ascii="Verdana" w:hAnsi="Verdana" w:cs="Arial"/>
          <w:color w:val="333333"/>
          <w:sz w:val="20"/>
          <w:szCs w:val="20"/>
          <w:shd w:val="clear" w:color="auto" w:fill="FFFFFF"/>
        </w:rPr>
        <w:t>43</w:t>
      </w:r>
      <w:r w:rsidR="00CE6958">
        <w:rPr>
          <w:rFonts w:ascii="Verdana" w:hAnsi="Verdana" w:cs="Arial"/>
          <w:color w:val="333333"/>
          <w:sz w:val="20"/>
          <w:szCs w:val="20"/>
          <w:shd w:val="clear" w:color="auto" w:fill="FFFFFF"/>
        </w:rPr>
        <w:t xml:space="preserve">. </w:t>
      </w:r>
      <w:r w:rsidR="00CE6958">
        <w:rPr>
          <w:rFonts w:ascii="Verdana" w:hAnsi="Verdana" w:cs="Arial"/>
          <w:color w:val="333333"/>
          <w:sz w:val="20"/>
          <w:szCs w:val="20"/>
          <w:shd w:val="clear" w:color="auto" w:fill="FFFFFF"/>
        </w:rPr>
        <w:tab/>
      </w:r>
      <w:r w:rsidR="003F4C57">
        <w:rPr>
          <w:rFonts w:ascii="Verdana" w:hAnsi="Verdana" w:cs="Arial"/>
          <w:color w:val="333333"/>
          <w:sz w:val="20"/>
          <w:szCs w:val="20"/>
          <w:shd w:val="clear" w:color="auto" w:fill="FFFFFF"/>
        </w:rPr>
        <w:t>Si bien en el presente caso se</w:t>
      </w:r>
      <w:r w:rsidR="00AF60C5" w:rsidRPr="00B53928">
        <w:rPr>
          <w:rFonts w:ascii="Verdana" w:hAnsi="Verdana" w:cs="Arial"/>
          <w:color w:val="333333"/>
          <w:sz w:val="20"/>
          <w:szCs w:val="20"/>
          <w:shd w:val="clear" w:color="auto" w:fill="FFFFFF"/>
        </w:rPr>
        <w:t xml:space="preserve"> abordó el derecho a la seguridad social, es necesario recalcar que “estos mecanismos” que </w:t>
      </w:r>
      <w:r w:rsidR="0043561C">
        <w:rPr>
          <w:rFonts w:ascii="Verdana" w:hAnsi="Verdana" w:cs="Arial"/>
          <w:color w:val="333333"/>
          <w:sz w:val="20"/>
          <w:szCs w:val="20"/>
          <w:shd w:val="clear" w:color="auto" w:fill="FFFFFF"/>
        </w:rPr>
        <w:t xml:space="preserve">se </w:t>
      </w:r>
      <w:r w:rsidR="00DE792F">
        <w:rPr>
          <w:rFonts w:ascii="Verdana" w:hAnsi="Verdana" w:cs="Arial"/>
          <w:color w:val="333333"/>
          <w:sz w:val="20"/>
          <w:szCs w:val="20"/>
          <w:shd w:val="clear" w:color="auto" w:fill="FFFFFF"/>
        </w:rPr>
        <w:t>dirigen</w:t>
      </w:r>
      <w:r w:rsidR="0043561C">
        <w:rPr>
          <w:rFonts w:ascii="Verdana" w:hAnsi="Verdana" w:cs="Arial"/>
          <w:color w:val="333333"/>
          <w:sz w:val="20"/>
          <w:szCs w:val="20"/>
          <w:shd w:val="clear" w:color="auto" w:fill="FFFFFF"/>
        </w:rPr>
        <w:t xml:space="preserve"> </w:t>
      </w:r>
      <w:r w:rsidR="00AF60C5" w:rsidRPr="00B53928">
        <w:rPr>
          <w:rFonts w:ascii="Verdana" w:hAnsi="Verdana" w:cs="Arial"/>
          <w:color w:val="333333"/>
          <w:sz w:val="20"/>
          <w:szCs w:val="20"/>
          <w:shd w:val="clear" w:color="auto" w:fill="FFFFFF"/>
        </w:rPr>
        <w:t>a concretar una sentencia</w:t>
      </w:r>
      <w:r w:rsidR="0043561C">
        <w:rPr>
          <w:rFonts w:ascii="Verdana" w:hAnsi="Verdana" w:cs="Arial"/>
          <w:color w:val="333333"/>
          <w:sz w:val="20"/>
          <w:szCs w:val="20"/>
          <w:shd w:val="clear" w:color="auto" w:fill="FFFFFF"/>
        </w:rPr>
        <w:t xml:space="preserve"> judicial</w:t>
      </w:r>
      <w:r w:rsidR="00AF60C5" w:rsidRPr="00B53928">
        <w:rPr>
          <w:rFonts w:ascii="Verdana" w:hAnsi="Verdana" w:cs="Arial"/>
          <w:color w:val="333333"/>
          <w:sz w:val="20"/>
          <w:szCs w:val="20"/>
          <w:shd w:val="clear" w:color="auto" w:fill="FFFFFF"/>
        </w:rPr>
        <w:t>, aplican a</w:t>
      </w:r>
      <w:r w:rsidR="00325B5E">
        <w:rPr>
          <w:rFonts w:ascii="Verdana" w:hAnsi="Verdana" w:cs="Arial"/>
          <w:color w:val="333333"/>
          <w:sz w:val="20"/>
          <w:szCs w:val="20"/>
          <w:shd w:val="clear" w:color="auto" w:fill="FFFFFF"/>
        </w:rPr>
        <w:t xml:space="preserve"> todos los derechos humanos, </w:t>
      </w:r>
      <w:r w:rsidR="00AF60C5" w:rsidRPr="00B53928">
        <w:rPr>
          <w:rFonts w:ascii="Verdana" w:hAnsi="Verdana" w:cs="Arial"/>
          <w:color w:val="333333"/>
          <w:sz w:val="20"/>
          <w:szCs w:val="20"/>
          <w:shd w:val="clear" w:color="auto" w:fill="FFFFFF"/>
        </w:rPr>
        <w:t>sean derechos económicos, sociales, culturales o ambientales</w:t>
      </w:r>
      <w:r w:rsidR="00A03F58">
        <w:rPr>
          <w:rFonts w:ascii="Verdana" w:hAnsi="Verdana" w:cs="Arial"/>
          <w:color w:val="333333"/>
          <w:sz w:val="20"/>
          <w:szCs w:val="20"/>
          <w:shd w:val="clear" w:color="auto" w:fill="FFFFFF"/>
        </w:rPr>
        <w:t xml:space="preserve">, </w:t>
      </w:r>
      <w:r w:rsidR="00C75B33">
        <w:rPr>
          <w:rFonts w:ascii="Verdana" w:hAnsi="Verdana" w:cs="Arial"/>
          <w:color w:val="333333"/>
          <w:sz w:val="20"/>
          <w:szCs w:val="20"/>
          <w:shd w:val="clear" w:color="auto" w:fill="FFFFFF"/>
        </w:rPr>
        <w:t xml:space="preserve">o </w:t>
      </w:r>
      <w:r w:rsidR="00AF60C5" w:rsidRPr="00B53928">
        <w:rPr>
          <w:rFonts w:ascii="Verdana" w:hAnsi="Verdana" w:cs="Arial"/>
          <w:color w:val="333333"/>
          <w:sz w:val="20"/>
          <w:szCs w:val="20"/>
          <w:shd w:val="clear" w:color="auto" w:fill="FFFFFF"/>
        </w:rPr>
        <w:t xml:space="preserve">derechos civiles y políticos. </w:t>
      </w:r>
    </w:p>
    <w:p w:rsidR="00790A92" w:rsidRPr="00B53928" w:rsidRDefault="00790A92" w:rsidP="00DD2F96">
      <w:pPr>
        <w:jc w:val="both"/>
        <w:outlineLvl w:val="1"/>
        <w:rPr>
          <w:rFonts w:ascii="Verdana" w:hAnsi="Verdana"/>
          <w:sz w:val="20"/>
          <w:szCs w:val="20"/>
          <w:lang w:val="es-ES"/>
        </w:rPr>
      </w:pPr>
    </w:p>
    <w:p w:rsidR="00A501BB" w:rsidRDefault="00A501BB" w:rsidP="00DD2F96">
      <w:pPr>
        <w:pStyle w:val="Prrafodelista"/>
        <w:numPr>
          <w:ilvl w:val="0"/>
          <w:numId w:val="2"/>
        </w:numPr>
        <w:jc w:val="both"/>
        <w:outlineLvl w:val="1"/>
        <w:rPr>
          <w:rFonts w:ascii="Verdana" w:hAnsi="Verdana"/>
          <w:i/>
          <w:sz w:val="20"/>
          <w:szCs w:val="20"/>
          <w:lang w:val="es-ES"/>
        </w:rPr>
      </w:pPr>
      <w:r w:rsidRPr="00DD0333">
        <w:rPr>
          <w:rFonts w:ascii="Verdana" w:hAnsi="Verdana"/>
          <w:i/>
          <w:sz w:val="20"/>
          <w:szCs w:val="20"/>
          <w:lang w:val="es-ES"/>
        </w:rPr>
        <w:t xml:space="preserve">La </w:t>
      </w:r>
      <w:r w:rsidR="00F12E86">
        <w:rPr>
          <w:rFonts w:ascii="Verdana" w:hAnsi="Verdana"/>
          <w:i/>
          <w:sz w:val="20"/>
          <w:szCs w:val="20"/>
          <w:lang w:val="es-ES"/>
        </w:rPr>
        <w:t>protección de las personas mayores en el derecho internacional y</w:t>
      </w:r>
      <w:r w:rsidRPr="00DD0333">
        <w:rPr>
          <w:rFonts w:ascii="Verdana" w:hAnsi="Verdana"/>
          <w:i/>
          <w:sz w:val="20"/>
          <w:szCs w:val="20"/>
          <w:lang w:val="es-ES"/>
        </w:rPr>
        <w:t xml:space="preserve"> su importancia como grupo en situación de vulnerabilidad.</w:t>
      </w:r>
    </w:p>
    <w:p w:rsidR="007A3C34" w:rsidRPr="009245BB" w:rsidRDefault="007A3C34" w:rsidP="00DD2F96">
      <w:pPr>
        <w:jc w:val="both"/>
        <w:outlineLvl w:val="1"/>
        <w:rPr>
          <w:rFonts w:ascii="Verdana" w:hAnsi="Verdana"/>
          <w:i/>
          <w:sz w:val="20"/>
          <w:szCs w:val="20"/>
          <w:lang w:val="es-ES"/>
        </w:rPr>
      </w:pPr>
    </w:p>
    <w:p w:rsidR="007A3C34" w:rsidRPr="009245BB" w:rsidRDefault="00C85629" w:rsidP="00CE6958">
      <w:pPr>
        <w:pStyle w:val="Prrafodelista"/>
        <w:ind w:left="0"/>
        <w:jc w:val="both"/>
        <w:outlineLvl w:val="1"/>
        <w:rPr>
          <w:rFonts w:ascii="Verdana" w:hAnsi="Verdana"/>
          <w:i/>
          <w:sz w:val="20"/>
          <w:szCs w:val="20"/>
          <w:lang w:val="es-ES"/>
        </w:rPr>
      </w:pPr>
      <w:r>
        <w:rPr>
          <w:rFonts w:ascii="Verdana" w:hAnsi="Verdana"/>
          <w:sz w:val="20"/>
          <w:szCs w:val="20"/>
          <w:lang w:val="es-ES"/>
        </w:rPr>
        <w:t>44</w:t>
      </w:r>
      <w:r w:rsidR="00CE6958">
        <w:rPr>
          <w:rFonts w:ascii="Verdana" w:hAnsi="Verdana"/>
          <w:sz w:val="20"/>
          <w:szCs w:val="20"/>
          <w:lang w:val="es-ES"/>
        </w:rPr>
        <w:t xml:space="preserve">. </w:t>
      </w:r>
      <w:r w:rsidR="00CE6958">
        <w:rPr>
          <w:rFonts w:ascii="Verdana" w:hAnsi="Verdana"/>
          <w:sz w:val="20"/>
          <w:szCs w:val="20"/>
          <w:lang w:val="es-ES"/>
        </w:rPr>
        <w:tab/>
      </w:r>
      <w:r w:rsidR="00B53928">
        <w:rPr>
          <w:rFonts w:ascii="Verdana" w:hAnsi="Verdana"/>
          <w:sz w:val="20"/>
          <w:szCs w:val="20"/>
          <w:lang w:val="es-ES"/>
        </w:rPr>
        <w:t>En el año 1995</w:t>
      </w:r>
      <w:r w:rsidR="009245BB" w:rsidRPr="009245BB">
        <w:rPr>
          <w:rFonts w:ascii="Verdana" w:hAnsi="Verdana"/>
          <w:sz w:val="20"/>
          <w:szCs w:val="20"/>
          <w:lang w:val="es-ES"/>
        </w:rPr>
        <w:t>, el Comité DESC externó que “</w:t>
      </w:r>
      <w:r w:rsidR="007A3C34" w:rsidRPr="009245BB">
        <w:rPr>
          <w:rFonts w:ascii="Verdana" w:hAnsi="Verdana" w:cs="Arial"/>
          <w:color w:val="333333"/>
          <w:sz w:val="20"/>
          <w:szCs w:val="20"/>
          <w:shd w:val="clear" w:color="auto" w:fill="FFFFFF"/>
        </w:rPr>
        <w:t xml:space="preserve">a diferencia de otros grupos de población, tales como las mujeres y los niños, no existe todavía ninguna convención internacional general relacionada con los derechos de las personas </w:t>
      </w:r>
      <w:r w:rsidR="00A03F58">
        <w:rPr>
          <w:rFonts w:ascii="Verdana" w:hAnsi="Verdana" w:cs="Arial"/>
          <w:color w:val="333333"/>
          <w:sz w:val="20"/>
          <w:szCs w:val="20"/>
          <w:shd w:val="clear" w:color="auto" w:fill="FFFFFF"/>
        </w:rPr>
        <w:t>[</w:t>
      </w:r>
      <w:r w:rsidR="009245BB" w:rsidRPr="009245BB">
        <w:rPr>
          <w:rFonts w:ascii="Verdana" w:hAnsi="Verdana" w:cs="Arial"/>
          <w:color w:val="333333"/>
          <w:sz w:val="20"/>
          <w:szCs w:val="20"/>
          <w:shd w:val="clear" w:color="auto" w:fill="FFFFFF"/>
        </w:rPr>
        <w:t>mayores]</w:t>
      </w:r>
      <w:r w:rsidR="007A3C34" w:rsidRPr="009245BB">
        <w:rPr>
          <w:rFonts w:ascii="Verdana" w:hAnsi="Verdana" w:cs="Arial"/>
          <w:color w:val="333333"/>
          <w:sz w:val="20"/>
          <w:szCs w:val="20"/>
          <w:shd w:val="clear" w:color="auto" w:fill="FFFFFF"/>
        </w:rPr>
        <w:t xml:space="preserve"> y no hay disposiciones obligatorias respecto de los diversos grupos de principios de las Naciones Unidas en esta materia</w:t>
      </w:r>
      <w:r w:rsidR="009245BB" w:rsidRPr="009245BB">
        <w:rPr>
          <w:rFonts w:ascii="Verdana" w:hAnsi="Verdana" w:cs="Arial"/>
          <w:color w:val="333333"/>
          <w:sz w:val="20"/>
          <w:szCs w:val="20"/>
          <w:shd w:val="clear" w:color="auto" w:fill="FFFFFF"/>
        </w:rPr>
        <w:t>”</w:t>
      </w:r>
      <w:r w:rsidR="009245BB" w:rsidRPr="009245BB">
        <w:rPr>
          <w:rStyle w:val="Refdenotaalpie"/>
          <w:rFonts w:ascii="Verdana" w:hAnsi="Verdana" w:cs="Arial"/>
          <w:color w:val="333333"/>
          <w:sz w:val="20"/>
          <w:szCs w:val="20"/>
          <w:shd w:val="clear" w:color="auto" w:fill="FFFFFF"/>
        </w:rPr>
        <w:footnoteReference w:id="78"/>
      </w:r>
      <w:r w:rsidR="009245BB" w:rsidRPr="009245BB">
        <w:rPr>
          <w:rFonts w:ascii="Verdana" w:hAnsi="Verdana" w:cs="Arial"/>
          <w:color w:val="333333"/>
          <w:sz w:val="20"/>
          <w:szCs w:val="20"/>
          <w:shd w:val="clear" w:color="auto" w:fill="FFFFFF"/>
        </w:rPr>
        <w:t>.</w:t>
      </w:r>
    </w:p>
    <w:p w:rsidR="009245BB" w:rsidRPr="009245BB" w:rsidRDefault="009245BB" w:rsidP="00DD2F96">
      <w:pPr>
        <w:pStyle w:val="Prrafodelista"/>
        <w:ind w:left="0"/>
        <w:jc w:val="both"/>
        <w:outlineLvl w:val="1"/>
        <w:rPr>
          <w:rFonts w:ascii="Verdana" w:hAnsi="Verdana"/>
          <w:i/>
          <w:sz w:val="20"/>
          <w:szCs w:val="20"/>
          <w:lang w:val="es-ES"/>
        </w:rPr>
      </w:pPr>
    </w:p>
    <w:p w:rsidR="009245BB" w:rsidRPr="001B6481" w:rsidRDefault="00C85629" w:rsidP="00CE6958">
      <w:pPr>
        <w:pStyle w:val="Prrafodelista"/>
        <w:ind w:left="0"/>
        <w:jc w:val="both"/>
        <w:outlineLvl w:val="1"/>
        <w:rPr>
          <w:rFonts w:ascii="Verdana" w:hAnsi="Verdana"/>
          <w:sz w:val="20"/>
          <w:szCs w:val="20"/>
          <w:lang w:val="es-ES"/>
        </w:rPr>
      </w:pPr>
      <w:r>
        <w:rPr>
          <w:rFonts w:ascii="Verdana" w:hAnsi="Verdana"/>
          <w:sz w:val="20"/>
          <w:szCs w:val="20"/>
          <w:lang w:val="es-ES"/>
        </w:rPr>
        <w:t>45</w:t>
      </w:r>
      <w:r w:rsidR="00CE6958">
        <w:rPr>
          <w:rFonts w:ascii="Verdana" w:hAnsi="Verdana"/>
          <w:sz w:val="20"/>
          <w:szCs w:val="20"/>
          <w:lang w:val="es-ES"/>
        </w:rPr>
        <w:t xml:space="preserve">. </w:t>
      </w:r>
      <w:r w:rsidR="00CE6958">
        <w:rPr>
          <w:rFonts w:ascii="Verdana" w:hAnsi="Verdana"/>
          <w:sz w:val="20"/>
          <w:szCs w:val="20"/>
          <w:lang w:val="es-ES"/>
        </w:rPr>
        <w:tab/>
      </w:r>
      <w:r w:rsidR="009245BB" w:rsidRPr="001B6481">
        <w:rPr>
          <w:rFonts w:ascii="Verdana" w:hAnsi="Verdana"/>
          <w:sz w:val="20"/>
          <w:szCs w:val="20"/>
          <w:lang w:val="es-ES"/>
        </w:rPr>
        <w:t>El panorama que describ</w:t>
      </w:r>
      <w:r w:rsidR="0051420C" w:rsidRPr="001B6481">
        <w:rPr>
          <w:rFonts w:ascii="Verdana" w:hAnsi="Verdana"/>
          <w:sz w:val="20"/>
          <w:szCs w:val="20"/>
          <w:lang w:val="es-ES"/>
        </w:rPr>
        <w:t>ía el Comité DESC en 1995</w:t>
      </w:r>
      <w:r w:rsidR="009245BB" w:rsidRPr="001B6481">
        <w:rPr>
          <w:rFonts w:ascii="Verdana" w:hAnsi="Verdana"/>
          <w:sz w:val="20"/>
          <w:szCs w:val="20"/>
          <w:lang w:val="es-ES"/>
        </w:rPr>
        <w:t>, en la actualidad ha cambiado considerablemente</w:t>
      </w:r>
      <w:r w:rsidR="00A57037" w:rsidRPr="001B6481">
        <w:rPr>
          <w:rFonts w:ascii="Verdana" w:hAnsi="Verdana"/>
          <w:sz w:val="20"/>
          <w:szCs w:val="20"/>
          <w:lang w:val="es-ES"/>
        </w:rPr>
        <w:t>. En el</w:t>
      </w:r>
      <w:r w:rsidR="009245BB" w:rsidRPr="001B6481">
        <w:rPr>
          <w:rFonts w:ascii="Verdana" w:hAnsi="Verdana"/>
          <w:sz w:val="20"/>
          <w:szCs w:val="20"/>
          <w:lang w:val="es-ES"/>
        </w:rPr>
        <w:t xml:space="preserve"> seno de Naciones Unidas</w:t>
      </w:r>
      <w:r w:rsidR="009245BB" w:rsidRPr="001B6481">
        <w:rPr>
          <w:rStyle w:val="Refdenotaalpie"/>
          <w:rFonts w:ascii="Verdana" w:hAnsi="Verdana"/>
          <w:sz w:val="20"/>
          <w:szCs w:val="20"/>
          <w:lang w:val="es-ES"/>
        </w:rPr>
        <w:footnoteReference w:id="79"/>
      </w:r>
      <w:r w:rsidR="009245BB" w:rsidRPr="001B6481">
        <w:rPr>
          <w:rFonts w:ascii="Verdana" w:hAnsi="Verdana"/>
          <w:sz w:val="20"/>
          <w:szCs w:val="20"/>
          <w:lang w:val="es-ES"/>
        </w:rPr>
        <w:t xml:space="preserve">, en </w:t>
      </w:r>
      <w:r w:rsidR="00A57037" w:rsidRPr="001B6481">
        <w:rPr>
          <w:rFonts w:ascii="Verdana" w:hAnsi="Verdana"/>
          <w:sz w:val="20"/>
          <w:szCs w:val="20"/>
          <w:lang w:val="es-ES"/>
        </w:rPr>
        <w:t xml:space="preserve">mayo de 2014, el Consejo de Derechos Humanos designó a </w:t>
      </w:r>
      <w:r w:rsidR="00A57037" w:rsidRPr="001B6481">
        <w:rPr>
          <w:rFonts w:ascii="Verdana" w:hAnsi="Verdana"/>
          <w:sz w:val="20"/>
          <w:szCs w:val="20"/>
        </w:rPr>
        <w:t xml:space="preserve">Rosa </w:t>
      </w:r>
      <w:proofErr w:type="spellStart"/>
      <w:r w:rsidR="00A57037" w:rsidRPr="001B6481">
        <w:rPr>
          <w:rFonts w:ascii="Verdana" w:hAnsi="Verdana"/>
          <w:sz w:val="20"/>
          <w:szCs w:val="20"/>
        </w:rPr>
        <w:t>Kornfeld</w:t>
      </w:r>
      <w:proofErr w:type="spellEnd"/>
      <w:r w:rsidR="00A57037" w:rsidRPr="001B6481">
        <w:rPr>
          <w:rFonts w:ascii="Verdana" w:hAnsi="Verdana"/>
          <w:sz w:val="20"/>
          <w:szCs w:val="20"/>
        </w:rPr>
        <w:t>-</w:t>
      </w:r>
      <w:r w:rsidR="009245BB" w:rsidRPr="001B6481">
        <w:rPr>
          <w:rFonts w:ascii="Verdana" w:hAnsi="Verdana"/>
          <w:sz w:val="20"/>
          <w:szCs w:val="20"/>
        </w:rPr>
        <w:t>Matte</w:t>
      </w:r>
      <w:r w:rsidR="00A57037" w:rsidRPr="001B6481">
        <w:rPr>
          <w:rFonts w:ascii="Verdana" w:hAnsi="Verdana"/>
          <w:sz w:val="20"/>
          <w:szCs w:val="20"/>
        </w:rPr>
        <w:t xml:space="preserve">, como la primera </w:t>
      </w:r>
      <w:r w:rsidR="009245BB" w:rsidRPr="001B6481">
        <w:rPr>
          <w:rFonts w:ascii="Verdana" w:hAnsi="Verdana"/>
          <w:sz w:val="20"/>
          <w:szCs w:val="20"/>
        </w:rPr>
        <w:t>E</w:t>
      </w:r>
      <w:r w:rsidR="00A57037" w:rsidRPr="001B6481">
        <w:rPr>
          <w:rFonts w:ascii="Verdana" w:hAnsi="Verdana"/>
          <w:sz w:val="20"/>
          <w:szCs w:val="20"/>
        </w:rPr>
        <w:t>xperta</w:t>
      </w:r>
      <w:r w:rsidR="009245BB" w:rsidRPr="001B6481">
        <w:rPr>
          <w:rFonts w:ascii="Verdana" w:hAnsi="Verdana"/>
          <w:sz w:val="20"/>
          <w:szCs w:val="20"/>
        </w:rPr>
        <w:t xml:space="preserve"> Independiente para </w:t>
      </w:r>
      <w:r w:rsidR="00A57037" w:rsidRPr="001B6481">
        <w:rPr>
          <w:rFonts w:ascii="Verdana" w:hAnsi="Verdana"/>
          <w:sz w:val="20"/>
          <w:szCs w:val="20"/>
        </w:rPr>
        <w:t>los derechos humanos de las personas mayores</w:t>
      </w:r>
      <w:r w:rsidR="009245BB" w:rsidRPr="001B6481">
        <w:rPr>
          <w:rStyle w:val="Refdenotaalpie"/>
          <w:rFonts w:ascii="Verdana" w:hAnsi="Verdana"/>
          <w:sz w:val="20"/>
          <w:szCs w:val="20"/>
        </w:rPr>
        <w:footnoteReference w:id="80"/>
      </w:r>
      <w:r w:rsidR="009245BB" w:rsidRPr="001B6481">
        <w:rPr>
          <w:rFonts w:ascii="Verdana" w:hAnsi="Verdana"/>
          <w:sz w:val="20"/>
          <w:szCs w:val="20"/>
        </w:rPr>
        <w:t xml:space="preserve">. </w:t>
      </w:r>
      <w:r w:rsidR="009245BB" w:rsidRPr="001B6481">
        <w:rPr>
          <w:rFonts w:ascii="Verdana" w:hAnsi="Verdana"/>
          <w:sz w:val="20"/>
          <w:szCs w:val="20"/>
          <w:lang w:val="es-ES"/>
        </w:rPr>
        <w:t xml:space="preserve">Sin detrimento de lo anterior, los mayores avances se han presentado en el Sistema Interamericano y en el Sistema Africano de Derechos Humanos, quienes han creado documentos específicos que consagran derechos concretos para las personas mayores. </w:t>
      </w:r>
    </w:p>
    <w:p w:rsidR="00EA2F3A" w:rsidRPr="00EA2F3A" w:rsidRDefault="00EA2F3A" w:rsidP="00DD2F96">
      <w:pPr>
        <w:pStyle w:val="Prrafodelista"/>
        <w:ind w:left="0"/>
        <w:jc w:val="both"/>
        <w:outlineLvl w:val="1"/>
        <w:rPr>
          <w:rFonts w:ascii="Verdana" w:hAnsi="Verdana"/>
          <w:sz w:val="20"/>
          <w:szCs w:val="20"/>
          <w:lang w:val="es-ES"/>
        </w:rPr>
      </w:pPr>
    </w:p>
    <w:p w:rsidR="00071231" w:rsidRPr="00071231" w:rsidRDefault="00C85629" w:rsidP="00CE6958">
      <w:pPr>
        <w:pStyle w:val="Prrafodelista"/>
        <w:ind w:left="0"/>
        <w:jc w:val="both"/>
        <w:outlineLvl w:val="1"/>
        <w:rPr>
          <w:rFonts w:ascii="Verdana" w:hAnsi="Verdana"/>
          <w:i/>
          <w:sz w:val="20"/>
          <w:szCs w:val="20"/>
          <w:lang w:val="es-ES"/>
        </w:rPr>
      </w:pPr>
      <w:r>
        <w:rPr>
          <w:rFonts w:ascii="Verdana" w:hAnsi="Verdana"/>
          <w:sz w:val="20"/>
          <w:szCs w:val="20"/>
          <w:lang w:val="es-ES"/>
        </w:rPr>
        <w:t>46</w:t>
      </w:r>
      <w:r w:rsidR="00CE6958">
        <w:rPr>
          <w:rFonts w:ascii="Verdana" w:hAnsi="Verdana"/>
          <w:sz w:val="20"/>
          <w:szCs w:val="20"/>
          <w:lang w:val="es-ES"/>
        </w:rPr>
        <w:t xml:space="preserve">. </w:t>
      </w:r>
      <w:r w:rsidR="00CE6958">
        <w:rPr>
          <w:rFonts w:ascii="Verdana" w:hAnsi="Verdana"/>
          <w:sz w:val="20"/>
          <w:szCs w:val="20"/>
          <w:lang w:val="es-ES"/>
        </w:rPr>
        <w:tab/>
      </w:r>
      <w:r w:rsidR="009245BB" w:rsidRPr="00EA2F3A">
        <w:rPr>
          <w:rFonts w:ascii="Verdana" w:hAnsi="Verdana"/>
          <w:sz w:val="20"/>
          <w:szCs w:val="20"/>
          <w:lang w:val="es-ES"/>
        </w:rPr>
        <w:t xml:space="preserve">En el caso </w:t>
      </w:r>
      <w:r w:rsidR="00071231">
        <w:rPr>
          <w:rFonts w:ascii="Verdana" w:hAnsi="Verdana"/>
          <w:sz w:val="20"/>
          <w:szCs w:val="20"/>
          <w:lang w:val="es-ES"/>
        </w:rPr>
        <w:t xml:space="preserve">de </w:t>
      </w:r>
      <w:r w:rsidR="009245BB" w:rsidRPr="00EA2F3A">
        <w:rPr>
          <w:rFonts w:ascii="Verdana" w:hAnsi="Verdana"/>
          <w:sz w:val="20"/>
          <w:szCs w:val="20"/>
          <w:lang w:val="es-ES"/>
        </w:rPr>
        <w:t>la</w:t>
      </w:r>
      <w:r w:rsidR="009245BB" w:rsidRPr="00EA2F3A">
        <w:rPr>
          <w:rFonts w:ascii="Verdana" w:hAnsi="Verdana"/>
          <w:sz w:val="20"/>
          <w:szCs w:val="20"/>
        </w:rPr>
        <w:t xml:space="preserve"> Carta Africana de Derechos Humanos y de lo</w:t>
      </w:r>
      <w:r w:rsidR="00B53928">
        <w:rPr>
          <w:rFonts w:ascii="Verdana" w:hAnsi="Verdana"/>
          <w:sz w:val="20"/>
          <w:szCs w:val="20"/>
        </w:rPr>
        <w:t>s Pueblos, en su artículo 18.</w:t>
      </w:r>
      <w:r w:rsidR="009245BB" w:rsidRPr="00EA2F3A">
        <w:rPr>
          <w:rFonts w:ascii="Verdana" w:hAnsi="Verdana"/>
          <w:sz w:val="20"/>
          <w:szCs w:val="20"/>
        </w:rPr>
        <w:t>4</w:t>
      </w:r>
      <w:r w:rsidR="00B53928">
        <w:rPr>
          <w:rFonts w:ascii="Verdana" w:hAnsi="Verdana"/>
          <w:sz w:val="20"/>
          <w:szCs w:val="20"/>
        </w:rPr>
        <w:t>,</w:t>
      </w:r>
      <w:r w:rsidR="009245BB" w:rsidRPr="00EA2F3A">
        <w:rPr>
          <w:rFonts w:ascii="Verdana" w:hAnsi="Verdana"/>
          <w:sz w:val="20"/>
          <w:szCs w:val="20"/>
        </w:rPr>
        <w:t xml:space="preserve"> </w:t>
      </w:r>
      <w:r w:rsidR="00EA2F3A" w:rsidRPr="00EA2F3A">
        <w:rPr>
          <w:rFonts w:ascii="Verdana" w:hAnsi="Verdana"/>
          <w:sz w:val="20"/>
          <w:szCs w:val="20"/>
        </w:rPr>
        <w:t xml:space="preserve">otorga </w:t>
      </w:r>
      <w:r w:rsidR="00071231">
        <w:rPr>
          <w:rFonts w:ascii="Verdana" w:hAnsi="Verdana"/>
          <w:sz w:val="20"/>
          <w:szCs w:val="20"/>
        </w:rPr>
        <w:t>una protección especial para</w:t>
      </w:r>
      <w:r w:rsidR="009245BB" w:rsidRPr="00EA2F3A">
        <w:rPr>
          <w:rFonts w:ascii="Verdana" w:hAnsi="Verdana"/>
          <w:sz w:val="20"/>
          <w:szCs w:val="20"/>
        </w:rPr>
        <w:t xml:space="preserve"> las personas mayores</w:t>
      </w:r>
      <w:r w:rsidR="001C2F15" w:rsidRPr="00EA2F3A">
        <w:rPr>
          <w:rStyle w:val="Refdenotaalpie"/>
          <w:rFonts w:ascii="Verdana" w:hAnsi="Verdana"/>
          <w:sz w:val="20"/>
          <w:szCs w:val="20"/>
        </w:rPr>
        <w:footnoteReference w:id="81"/>
      </w:r>
      <w:r w:rsidR="00071231">
        <w:rPr>
          <w:rFonts w:ascii="Verdana" w:hAnsi="Verdana"/>
          <w:sz w:val="20"/>
          <w:szCs w:val="20"/>
        </w:rPr>
        <w:t>.</w:t>
      </w:r>
      <w:r w:rsidR="00AE1DBE">
        <w:rPr>
          <w:rFonts w:ascii="Verdana" w:hAnsi="Verdana"/>
          <w:sz w:val="20"/>
          <w:szCs w:val="20"/>
        </w:rPr>
        <w:t xml:space="preserve"> El 31 de enero de</w:t>
      </w:r>
      <w:r w:rsidR="00071231">
        <w:rPr>
          <w:rFonts w:ascii="Verdana" w:hAnsi="Verdana"/>
          <w:sz w:val="20"/>
          <w:szCs w:val="20"/>
        </w:rPr>
        <w:t xml:space="preserve"> </w:t>
      </w:r>
      <w:r w:rsidR="00790151">
        <w:rPr>
          <w:rFonts w:ascii="Verdana" w:hAnsi="Verdana"/>
          <w:sz w:val="20"/>
          <w:szCs w:val="20"/>
        </w:rPr>
        <w:t>2016, se adoptó</w:t>
      </w:r>
      <w:r w:rsidR="009245BB" w:rsidRPr="00EA2F3A">
        <w:rPr>
          <w:rFonts w:ascii="Verdana" w:hAnsi="Verdana"/>
          <w:sz w:val="20"/>
          <w:szCs w:val="20"/>
        </w:rPr>
        <w:t xml:space="preserve"> el Protocolo de la Carta Africana de Derechos Humanos y de los Pueblos relativo a los Derechos de las </w:t>
      </w:r>
      <w:r w:rsidR="00650596">
        <w:rPr>
          <w:rFonts w:ascii="Verdana" w:hAnsi="Verdana"/>
          <w:sz w:val="20"/>
          <w:szCs w:val="20"/>
        </w:rPr>
        <w:t xml:space="preserve">Personas Mayores </w:t>
      </w:r>
      <w:r w:rsidR="009245BB" w:rsidRPr="00EA2F3A">
        <w:rPr>
          <w:rFonts w:ascii="Verdana" w:hAnsi="Verdana"/>
          <w:sz w:val="20"/>
          <w:szCs w:val="20"/>
        </w:rPr>
        <w:t>en África</w:t>
      </w:r>
      <w:r w:rsidR="009245BB" w:rsidRPr="00EA2F3A">
        <w:rPr>
          <w:rStyle w:val="Refdenotaalpie"/>
          <w:rFonts w:ascii="Verdana" w:hAnsi="Verdana"/>
          <w:sz w:val="20"/>
          <w:szCs w:val="20"/>
        </w:rPr>
        <w:footnoteReference w:id="82"/>
      </w:r>
      <w:r w:rsidR="00EA2F3A" w:rsidRPr="00EA2F3A">
        <w:rPr>
          <w:rFonts w:ascii="Verdana" w:hAnsi="Verdana"/>
          <w:sz w:val="20"/>
          <w:szCs w:val="20"/>
        </w:rPr>
        <w:t xml:space="preserve">. </w:t>
      </w:r>
    </w:p>
    <w:p w:rsidR="00071231" w:rsidRPr="00071231" w:rsidRDefault="00071231" w:rsidP="00071231">
      <w:pPr>
        <w:pStyle w:val="Prrafodelista"/>
        <w:rPr>
          <w:rFonts w:ascii="Verdana" w:hAnsi="Verdana"/>
          <w:sz w:val="20"/>
          <w:szCs w:val="20"/>
          <w:lang w:val="es-ES"/>
        </w:rPr>
      </w:pPr>
    </w:p>
    <w:p w:rsidR="001B6481" w:rsidRPr="003E5F08" w:rsidRDefault="00C85629" w:rsidP="00CE6958">
      <w:pPr>
        <w:pStyle w:val="Prrafodelista"/>
        <w:ind w:left="0"/>
        <w:jc w:val="both"/>
        <w:outlineLvl w:val="1"/>
        <w:rPr>
          <w:rFonts w:ascii="Verdana" w:hAnsi="Verdana"/>
          <w:i/>
          <w:sz w:val="20"/>
          <w:szCs w:val="20"/>
          <w:lang w:val="es-ES"/>
        </w:rPr>
      </w:pPr>
      <w:r>
        <w:rPr>
          <w:rFonts w:ascii="Verdana" w:hAnsi="Verdana"/>
          <w:sz w:val="20"/>
          <w:szCs w:val="20"/>
          <w:lang w:val="es-ES"/>
        </w:rPr>
        <w:t>47</w:t>
      </w:r>
      <w:r w:rsidR="00CE6958">
        <w:rPr>
          <w:rFonts w:ascii="Verdana" w:hAnsi="Verdana"/>
          <w:sz w:val="20"/>
          <w:szCs w:val="20"/>
          <w:lang w:val="es-ES"/>
        </w:rPr>
        <w:t xml:space="preserve">. </w:t>
      </w:r>
      <w:r w:rsidR="00CE6958">
        <w:rPr>
          <w:rFonts w:ascii="Verdana" w:hAnsi="Verdana"/>
          <w:sz w:val="20"/>
          <w:szCs w:val="20"/>
          <w:lang w:val="es-ES"/>
        </w:rPr>
        <w:tab/>
      </w:r>
      <w:r w:rsidR="001C2F15" w:rsidRPr="00EA2F3A">
        <w:rPr>
          <w:rFonts w:ascii="Verdana" w:hAnsi="Verdana"/>
          <w:sz w:val="20"/>
          <w:szCs w:val="20"/>
          <w:lang w:val="es-ES"/>
        </w:rPr>
        <w:t>En el caso del Sistema Int</w:t>
      </w:r>
      <w:r w:rsidR="00071231">
        <w:rPr>
          <w:rFonts w:ascii="Verdana" w:hAnsi="Verdana"/>
          <w:sz w:val="20"/>
          <w:szCs w:val="20"/>
          <w:lang w:val="es-ES"/>
        </w:rPr>
        <w:t xml:space="preserve">eramericano de Derechos Humanos </w:t>
      </w:r>
      <w:r w:rsidR="00EA2F3A" w:rsidRPr="00EA2F3A">
        <w:rPr>
          <w:rFonts w:ascii="Verdana" w:hAnsi="Verdana"/>
          <w:sz w:val="20"/>
          <w:szCs w:val="20"/>
          <w:lang w:val="es-ES"/>
        </w:rPr>
        <w:t>se adoptó</w:t>
      </w:r>
      <w:r w:rsidR="00325B5E">
        <w:rPr>
          <w:rFonts w:ascii="Verdana" w:hAnsi="Verdana"/>
          <w:sz w:val="20"/>
          <w:szCs w:val="20"/>
          <w:lang w:val="es-ES"/>
        </w:rPr>
        <w:t>,</w:t>
      </w:r>
      <w:r w:rsidR="00EA2F3A" w:rsidRPr="00EA2F3A">
        <w:rPr>
          <w:rFonts w:ascii="Verdana" w:hAnsi="Verdana"/>
          <w:sz w:val="20"/>
          <w:szCs w:val="20"/>
          <w:lang w:val="es-ES"/>
        </w:rPr>
        <w:t xml:space="preserve"> </w:t>
      </w:r>
      <w:r w:rsidR="00325B5E">
        <w:rPr>
          <w:rFonts w:ascii="Verdana" w:hAnsi="Verdana"/>
          <w:sz w:val="20"/>
          <w:szCs w:val="20"/>
        </w:rPr>
        <w:t xml:space="preserve">el 15 de junio de 2015, </w:t>
      </w:r>
      <w:r w:rsidR="00EA2F3A" w:rsidRPr="00EA2F3A">
        <w:rPr>
          <w:rFonts w:ascii="Verdana" w:hAnsi="Verdana"/>
          <w:sz w:val="20"/>
          <w:szCs w:val="20"/>
          <w:lang w:val="es-ES"/>
        </w:rPr>
        <w:t>l</w:t>
      </w:r>
      <w:r w:rsidR="00EA2F3A" w:rsidRPr="00EA2F3A">
        <w:rPr>
          <w:rFonts w:ascii="Verdana" w:hAnsi="Verdana"/>
          <w:sz w:val="20"/>
          <w:szCs w:val="20"/>
        </w:rPr>
        <w:t xml:space="preserve">a </w:t>
      </w:r>
      <w:r w:rsidR="00EA2F3A" w:rsidRPr="00325B5E">
        <w:rPr>
          <w:rFonts w:ascii="Verdana" w:hAnsi="Verdana"/>
          <w:i/>
          <w:sz w:val="20"/>
          <w:szCs w:val="20"/>
        </w:rPr>
        <w:t>Convención Interamericana sobre los Derechos Humanos de las Personas Mayores</w:t>
      </w:r>
      <w:r w:rsidR="00EA2F3A" w:rsidRPr="00EA2F3A">
        <w:rPr>
          <w:rFonts w:ascii="Verdana" w:hAnsi="Verdana"/>
          <w:sz w:val="20"/>
          <w:szCs w:val="20"/>
        </w:rPr>
        <w:t xml:space="preserve">, </w:t>
      </w:r>
      <w:r w:rsidR="00071231">
        <w:rPr>
          <w:rFonts w:ascii="Verdana" w:hAnsi="Verdana"/>
          <w:sz w:val="20"/>
          <w:szCs w:val="20"/>
        </w:rPr>
        <w:t>vigente desde el 11 de enero de 2017</w:t>
      </w:r>
      <w:r w:rsidR="00EA2F3A">
        <w:rPr>
          <w:rStyle w:val="Refdenotaalpie"/>
          <w:rFonts w:ascii="Verdana" w:hAnsi="Verdana"/>
          <w:sz w:val="20"/>
          <w:szCs w:val="20"/>
        </w:rPr>
        <w:footnoteReference w:id="83"/>
      </w:r>
      <w:r w:rsidR="00EA2F3A" w:rsidRPr="00EA2F3A">
        <w:rPr>
          <w:rFonts w:ascii="Verdana" w:hAnsi="Verdana"/>
          <w:sz w:val="20"/>
          <w:szCs w:val="20"/>
        </w:rPr>
        <w:t xml:space="preserve">. </w:t>
      </w:r>
      <w:r w:rsidR="00071231">
        <w:rPr>
          <w:rFonts w:ascii="Verdana" w:hAnsi="Verdana"/>
          <w:sz w:val="20"/>
          <w:szCs w:val="20"/>
        </w:rPr>
        <w:t xml:space="preserve">Resulta especialmente relevante que el artículo 31 </w:t>
      </w:r>
      <w:r w:rsidR="003E5F08">
        <w:rPr>
          <w:rFonts w:ascii="Verdana" w:hAnsi="Verdana"/>
          <w:sz w:val="20"/>
          <w:szCs w:val="20"/>
        </w:rPr>
        <w:t xml:space="preserve">(Acceso a la Justicia) </w:t>
      </w:r>
      <w:r w:rsidR="00071231">
        <w:rPr>
          <w:rFonts w:ascii="Verdana" w:hAnsi="Verdana"/>
          <w:sz w:val="20"/>
          <w:szCs w:val="20"/>
        </w:rPr>
        <w:t xml:space="preserve">de dicho </w:t>
      </w:r>
      <w:r w:rsidR="00325B5E">
        <w:rPr>
          <w:rFonts w:ascii="Verdana" w:hAnsi="Verdana"/>
          <w:sz w:val="20"/>
          <w:szCs w:val="20"/>
        </w:rPr>
        <w:t xml:space="preserve">instrumento </w:t>
      </w:r>
      <w:r w:rsidR="00071231">
        <w:rPr>
          <w:rFonts w:ascii="Verdana" w:hAnsi="Verdana"/>
          <w:sz w:val="20"/>
          <w:szCs w:val="20"/>
        </w:rPr>
        <w:t xml:space="preserve">internacional, expresa </w:t>
      </w:r>
      <w:r w:rsidR="00071231" w:rsidRPr="003E5F08">
        <w:rPr>
          <w:rFonts w:ascii="Verdana" w:hAnsi="Verdana"/>
          <w:sz w:val="20"/>
          <w:szCs w:val="20"/>
        </w:rPr>
        <w:t xml:space="preserve">que </w:t>
      </w:r>
      <w:r w:rsidR="003E5F08" w:rsidRPr="003E5F08">
        <w:rPr>
          <w:rFonts w:ascii="Verdana" w:hAnsi="Verdana"/>
          <w:sz w:val="20"/>
          <w:szCs w:val="20"/>
        </w:rPr>
        <w:t>“Los</w:t>
      </w:r>
      <w:r w:rsidR="003E5F08" w:rsidRPr="003E5F08">
        <w:rPr>
          <w:rFonts w:ascii="Verdana" w:hAnsi="Verdana"/>
          <w:i/>
          <w:sz w:val="20"/>
          <w:szCs w:val="20"/>
        </w:rPr>
        <w:t xml:space="preserve"> </w:t>
      </w:r>
      <w:r w:rsidR="00071231" w:rsidRPr="003E5F08">
        <w:rPr>
          <w:rFonts w:ascii="Verdana" w:hAnsi="Verdana"/>
          <w:sz w:val="20"/>
          <w:szCs w:val="20"/>
        </w:rPr>
        <w:t xml:space="preserve">Estados Parte se comprometen a garantizar la debida diligencia y el tratamiento preferencial a la persona mayor para la tramitación, resolución y </w:t>
      </w:r>
      <w:r w:rsidR="00071231" w:rsidRPr="003E5F08">
        <w:rPr>
          <w:rFonts w:ascii="Verdana" w:hAnsi="Verdana"/>
          <w:sz w:val="20"/>
          <w:szCs w:val="20"/>
          <w:u w:val="single"/>
        </w:rPr>
        <w:t>ejecución de las decisiones en procesos administrativos y judiciale</w:t>
      </w:r>
      <w:r w:rsidR="003E5F08" w:rsidRPr="003E5F08">
        <w:rPr>
          <w:rFonts w:ascii="Verdana" w:hAnsi="Verdana"/>
          <w:sz w:val="20"/>
          <w:szCs w:val="20"/>
          <w:u w:val="single"/>
        </w:rPr>
        <w:t>s</w:t>
      </w:r>
      <w:r w:rsidR="003E5F08">
        <w:rPr>
          <w:rFonts w:ascii="Verdana" w:hAnsi="Verdana"/>
          <w:sz w:val="20"/>
          <w:szCs w:val="20"/>
        </w:rPr>
        <w:t>”.</w:t>
      </w:r>
    </w:p>
    <w:p w:rsidR="001B6481" w:rsidRPr="001B6481" w:rsidRDefault="001B6481" w:rsidP="001B6481">
      <w:pPr>
        <w:pStyle w:val="Prrafodelista"/>
        <w:rPr>
          <w:rFonts w:ascii="Verdana" w:hAnsi="Verdana"/>
          <w:sz w:val="20"/>
          <w:szCs w:val="20"/>
        </w:rPr>
      </w:pPr>
    </w:p>
    <w:p w:rsidR="001C2F15" w:rsidRPr="00EA2F3A" w:rsidRDefault="00C85629" w:rsidP="00CE6958">
      <w:pPr>
        <w:pStyle w:val="Prrafodelista"/>
        <w:ind w:left="0"/>
        <w:jc w:val="both"/>
        <w:outlineLvl w:val="1"/>
        <w:rPr>
          <w:rFonts w:ascii="Verdana" w:hAnsi="Verdana"/>
          <w:i/>
          <w:sz w:val="20"/>
          <w:szCs w:val="20"/>
          <w:lang w:val="es-ES"/>
        </w:rPr>
      </w:pPr>
      <w:r>
        <w:rPr>
          <w:rFonts w:ascii="Verdana" w:hAnsi="Verdana"/>
          <w:sz w:val="20"/>
          <w:szCs w:val="20"/>
        </w:rPr>
        <w:t>48</w:t>
      </w:r>
      <w:r w:rsidR="00CE6958">
        <w:rPr>
          <w:rFonts w:ascii="Verdana" w:hAnsi="Verdana"/>
          <w:sz w:val="20"/>
          <w:szCs w:val="20"/>
        </w:rPr>
        <w:t xml:space="preserve">. </w:t>
      </w:r>
      <w:r w:rsidR="00CE6958">
        <w:rPr>
          <w:rFonts w:ascii="Verdana" w:hAnsi="Verdana"/>
          <w:sz w:val="20"/>
          <w:szCs w:val="20"/>
        </w:rPr>
        <w:tab/>
      </w:r>
      <w:r w:rsidR="00EA2F3A">
        <w:rPr>
          <w:rFonts w:ascii="Verdana" w:hAnsi="Verdana"/>
          <w:sz w:val="20"/>
          <w:szCs w:val="20"/>
        </w:rPr>
        <w:t>Aunque el Sistema Europeo de Derechos Humanos no cuenta co</w:t>
      </w:r>
      <w:r w:rsidR="005410D2">
        <w:rPr>
          <w:rFonts w:ascii="Verdana" w:hAnsi="Verdana"/>
          <w:sz w:val="20"/>
          <w:szCs w:val="20"/>
        </w:rPr>
        <w:t>n un instrumento jurídico especí</w:t>
      </w:r>
      <w:r w:rsidR="00EA2F3A">
        <w:rPr>
          <w:rFonts w:ascii="Verdana" w:hAnsi="Verdana"/>
          <w:sz w:val="20"/>
          <w:szCs w:val="20"/>
        </w:rPr>
        <w:t xml:space="preserve">fico que proteja de manera diferenciada a las personas mayores, la Carta Social Europea establece en su artículo 23, el derecho de las personas </w:t>
      </w:r>
      <w:r w:rsidR="005410D2">
        <w:rPr>
          <w:rFonts w:ascii="Verdana" w:hAnsi="Verdana"/>
          <w:sz w:val="20"/>
          <w:szCs w:val="20"/>
        </w:rPr>
        <w:t xml:space="preserve">mayores </w:t>
      </w:r>
      <w:r w:rsidR="00EA2F3A">
        <w:rPr>
          <w:rFonts w:ascii="Verdana" w:hAnsi="Verdana"/>
          <w:sz w:val="20"/>
          <w:szCs w:val="20"/>
        </w:rPr>
        <w:t>a la protección social</w:t>
      </w:r>
      <w:r w:rsidR="00EA2F3A">
        <w:rPr>
          <w:rStyle w:val="Refdenotaalpie"/>
          <w:rFonts w:ascii="Verdana" w:hAnsi="Verdana"/>
          <w:sz w:val="20"/>
          <w:szCs w:val="20"/>
        </w:rPr>
        <w:footnoteReference w:id="84"/>
      </w:r>
      <w:r w:rsidR="00EA2F3A">
        <w:rPr>
          <w:rFonts w:ascii="Verdana" w:hAnsi="Verdana"/>
          <w:sz w:val="20"/>
          <w:szCs w:val="20"/>
        </w:rPr>
        <w:t xml:space="preserve">. </w:t>
      </w:r>
    </w:p>
    <w:p w:rsidR="00EA2F3A" w:rsidRPr="00EA2F3A" w:rsidRDefault="00EA2F3A" w:rsidP="00DD2F96">
      <w:pPr>
        <w:pStyle w:val="Prrafodelista"/>
        <w:rPr>
          <w:rFonts w:ascii="Verdana" w:hAnsi="Verdana"/>
          <w:i/>
          <w:sz w:val="20"/>
          <w:szCs w:val="20"/>
          <w:lang w:val="es-ES"/>
        </w:rPr>
      </w:pPr>
    </w:p>
    <w:p w:rsidR="00EA2F3A" w:rsidRPr="00EA2F3A" w:rsidRDefault="00C85629" w:rsidP="00CE6958">
      <w:pPr>
        <w:pStyle w:val="Prrafodelista"/>
        <w:ind w:left="0"/>
        <w:jc w:val="both"/>
        <w:outlineLvl w:val="1"/>
        <w:rPr>
          <w:rFonts w:ascii="Verdana" w:hAnsi="Verdana"/>
          <w:i/>
          <w:sz w:val="20"/>
          <w:szCs w:val="20"/>
          <w:lang w:val="es-ES"/>
        </w:rPr>
      </w:pPr>
      <w:r>
        <w:rPr>
          <w:rFonts w:ascii="Verdana" w:hAnsi="Verdana"/>
          <w:sz w:val="20"/>
          <w:szCs w:val="20"/>
          <w:lang w:val="es-ES"/>
        </w:rPr>
        <w:t>49</w:t>
      </w:r>
      <w:r w:rsidR="00CE6958">
        <w:rPr>
          <w:rFonts w:ascii="Verdana" w:hAnsi="Verdana"/>
          <w:sz w:val="20"/>
          <w:szCs w:val="20"/>
          <w:lang w:val="es-ES"/>
        </w:rPr>
        <w:t xml:space="preserve">. </w:t>
      </w:r>
      <w:r w:rsidR="00CE6958">
        <w:rPr>
          <w:rFonts w:ascii="Verdana" w:hAnsi="Verdana"/>
          <w:sz w:val="20"/>
          <w:szCs w:val="20"/>
          <w:lang w:val="es-ES"/>
        </w:rPr>
        <w:tab/>
      </w:r>
      <w:r w:rsidR="00EA2F3A">
        <w:rPr>
          <w:rFonts w:ascii="Verdana" w:hAnsi="Verdana"/>
          <w:sz w:val="20"/>
          <w:szCs w:val="20"/>
          <w:lang w:val="es-ES"/>
        </w:rPr>
        <w:t>Con independencia de lo anterior, los avanc</w:t>
      </w:r>
      <w:r w:rsidR="00697CD3">
        <w:rPr>
          <w:rFonts w:ascii="Verdana" w:hAnsi="Verdana"/>
          <w:sz w:val="20"/>
          <w:szCs w:val="20"/>
          <w:lang w:val="es-ES"/>
        </w:rPr>
        <w:t xml:space="preserve">es </w:t>
      </w:r>
      <w:r w:rsidR="00BB6C2A">
        <w:rPr>
          <w:rFonts w:ascii="Verdana" w:hAnsi="Verdana"/>
          <w:sz w:val="20"/>
          <w:szCs w:val="20"/>
          <w:lang w:val="es-ES"/>
        </w:rPr>
        <w:t xml:space="preserve">más significativos </w:t>
      </w:r>
      <w:r w:rsidR="00697CD3">
        <w:rPr>
          <w:rFonts w:ascii="Verdana" w:hAnsi="Verdana"/>
          <w:sz w:val="20"/>
          <w:szCs w:val="20"/>
          <w:lang w:val="es-ES"/>
        </w:rPr>
        <w:t>que se han tenido en cuanto en</w:t>
      </w:r>
      <w:r w:rsidR="00EA2F3A">
        <w:rPr>
          <w:rFonts w:ascii="Verdana" w:hAnsi="Verdana"/>
          <w:sz w:val="20"/>
          <w:szCs w:val="20"/>
          <w:lang w:val="es-ES"/>
        </w:rPr>
        <w:t xml:space="preserve"> la protección de los derechos de las personas mayores ha sido dentro del</w:t>
      </w:r>
      <w:r w:rsidR="003A39D9">
        <w:rPr>
          <w:rFonts w:ascii="Verdana" w:hAnsi="Verdana"/>
          <w:sz w:val="20"/>
          <w:szCs w:val="20"/>
          <w:lang w:val="es-ES"/>
        </w:rPr>
        <w:t xml:space="preserve"> </w:t>
      </w:r>
      <w:r w:rsidR="00EA2F3A">
        <w:rPr>
          <w:rFonts w:ascii="Verdana" w:hAnsi="Verdana"/>
          <w:sz w:val="20"/>
          <w:szCs w:val="20"/>
          <w:lang w:val="es-ES"/>
        </w:rPr>
        <w:t>acervo jurisprudencial, tanto de la Corte Europea de Derechos Humanos en el cumplimiento de las disposiciones del Convenio Europeo de Derechos Humanos</w:t>
      </w:r>
      <w:r w:rsidR="00697CD3">
        <w:rPr>
          <w:rFonts w:ascii="Verdana" w:hAnsi="Verdana"/>
          <w:sz w:val="20"/>
          <w:szCs w:val="20"/>
          <w:lang w:val="es-ES"/>
        </w:rPr>
        <w:t>,</w:t>
      </w:r>
      <w:r w:rsidR="00EA2F3A">
        <w:rPr>
          <w:rFonts w:ascii="Verdana" w:hAnsi="Verdana"/>
          <w:sz w:val="20"/>
          <w:szCs w:val="20"/>
          <w:lang w:val="es-ES"/>
        </w:rPr>
        <w:t xml:space="preserve"> como por la jurisprudencia de la Corte I</w:t>
      </w:r>
      <w:r w:rsidR="005410D2">
        <w:rPr>
          <w:rFonts w:ascii="Verdana" w:hAnsi="Verdana"/>
          <w:sz w:val="20"/>
          <w:szCs w:val="20"/>
          <w:lang w:val="es-ES"/>
        </w:rPr>
        <w:t>DH</w:t>
      </w:r>
      <w:r w:rsidR="00EA2F3A">
        <w:rPr>
          <w:rFonts w:ascii="Verdana" w:hAnsi="Verdana"/>
          <w:sz w:val="20"/>
          <w:szCs w:val="20"/>
          <w:lang w:val="es-ES"/>
        </w:rPr>
        <w:t xml:space="preserve"> aplicando las disposiciones de la Convención Americana. </w:t>
      </w:r>
    </w:p>
    <w:p w:rsidR="00EA2F3A" w:rsidRPr="00EA2F3A" w:rsidRDefault="00EA2F3A" w:rsidP="00DD2F96">
      <w:pPr>
        <w:pStyle w:val="Prrafodelista"/>
        <w:rPr>
          <w:rFonts w:ascii="Verdana" w:hAnsi="Verdana"/>
          <w:i/>
          <w:sz w:val="20"/>
          <w:szCs w:val="20"/>
          <w:lang w:val="es-ES"/>
        </w:rPr>
      </w:pPr>
    </w:p>
    <w:p w:rsidR="00E5514D" w:rsidRPr="00697CD3" w:rsidRDefault="00C85629" w:rsidP="00CE6958">
      <w:pPr>
        <w:pStyle w:val="Prrafodelista"/>
        <w:ind w:left="0"/>
        <w:jc w:val="both"/>
        <w:outlineLvl w:val="1"/>
        <w:rPr>
          <w:rFonts w:ascii="Verdana" w:hAnsi="Verdana"/>
          <w:i/>
          <w:sz w:val="20"/>
          <w:szCs w:val="20"/>
          <w:lang w:val="es-ES"/>
        </w:rPr>
      </w:pPr>
      <w:r>
        <w:rPr>
          <w:rFonts w:ascii="Verdana" w:hAnsi="Verdana"/>
          <w:sz w:val="20"/>
          <w:szCs w:val="20"/>
        </w:rPr>
        <w:t>50</w:t>
      </w:r>
      <w:r w:rsidR="00CE6958">
        <w:rPr>
          <w:rFonts w:ascii="Verdana" w:hAnsi="Verdana"/>
          <w:sz w:val="20"/>
          <w:szCs w:val="20"/>
        </w:rPr>
        <w:t xml:space="preserve">. </w:t>
      </w:r>
      <w:r w:rsidR="00CE6958">
        <w:rPr>
          <w:rFonts w:ascii="Verdana" w:hAnsi="Verdana"/>
          <w:sz w:val="20"/>
          <w:szCs w:val="20"/>
        </w:rPr>
        <w:tab/>
      </w:r>
      <w:r w:rsidR="00343CDC" w:rsidRPr="00C65127">
        <w:rPr>
          <w:rFonts w:ascii="Verdana" w:hAnsi="Verdana"/>
          <w:sz w:val="20"/>
          <w:szCs w:val="20"/>
        </w:rPr>
        <w:t xml:space="preserve">En el caso del Tribunal Europeo de Derechos </w:t>
      </w:r>
      <w:r w:rsidR="002E0656" w:rsidRPr="00C65127">
        <w:rPr>
          <w:rFonts w:ascii="Verdana" w:hAnsi="Verdana"/>
          <w:sz w:val="20"/>
          <w:szCs w:val="20"/>
        </w:rPr>
        <w:t>Humanos,</w:t>
      </w:r>
      <w:r w:rsidR="00343CDC" w:rsidRPr="00C65127">
        <w:rPr>
          <w:rFonts w:ascii="Verdana" w:hAnsi="Verdana"/>
          <w:sz w:val="20"/>
          <w:szCs w:val="20"/>
        </w:rPr>
        <w:t xml:space="preserve"> éste</w:t>
      </w:r>
      <w:r w:rsidR="00053444">
        <w:rPr>
          <w:rFonts w:ascii="Verdana" w:hAnsi="Verdana"/>
          <w:sz w:val="20"/>
          <w:szCs w:val="20"/>
        </w:rPr>
        <w:t xml:space="preserve"> </w:t>
      </w:r>
      <w:r w:rsidR="00343CDC" w:rsidRPr="00C65127">
        <w:rPr>
          <w:rFonts w:ascii="Verdana" w:hAnsi="Verdana"/>
          <w:sz w:val="20"/>
          <w:szCs w:val="20"/>
        </w:rPr>
        <w:t>ha tenido la oportunidad de pronunciarse sobre casos que han involucrado a personas mayores sobre temáticas relativas a la desaparición en un hogar de personas mayores de una res</w:t>
      </w:r>
      <w:r w:rsidR="0014382C">
        <w:rPr>
          <w:rFonts w:ascii="Verdana" w:hAnsi="Verdana"/>
          <w:sz w:val="20"/>
          <w:szCs w:val="20"/>
        </w:rPr>
        <w:t>idente porque sufría Alzheimer</w:t>
      </w:r>
      <w:r w:rsidR="00343CDC" w:rsidRPr="00993E36">
        <w:rPr>
          <w:rStyle w:val="Refdenotaalpie"/>
          <w:rFonts w:ascii="Verdana" w:hAnsi="Verdana"/>
          <w:sz w:val="20"/>
          <w:szCs w:val="20"/>
        </w:rPr>
        <w:footnoteReference w:id="85"/>
      </w:r>
      <w:r w:rsidR="00697CD3">
        <w:rPr>
          <w:rFonts w:ascii="Verdana" w:hAnsi="Verdana"/>
          <w:sz w:val="20"/>
          <w:szCs w:val="20"/>
        </w:rPr>
        <w:t>;</w:t>
      </w:r>
      <w:r w:rsidR="00343CDC" w:rsidRPr="00C65127">
        <w:rPr>
          <w:rFonts w:ascii="Verdana" w:hAnsi="Verdana"/>
          <w:sz w:val="20"/>
          <w:szCs w:val="20"/>
        </w:rPr>
        <w:t xml:space="preserve"> sobre la necesidad de que los procesos sean rápidos </w:t>
      </w:r>
      <w:r w:rsidR="0014382C">
        <w:rPr>
          <w:rFonts w:ascii="Verdana" w:hAnsi="Verdana"/>
          <w:sz w:val="20"/>
          <w:szCs w:val="20"/>
        </w:rPr>
        <w:t>por la edad de los accionantes</w:t>
      </w:r>
      <w:r w:rsidR="00343CDC" w:rsidRPr="00993E36">
        <w:rPr>
          <w:rStyle w:val="Refdenotaalpie"/>
          <w:rFonts w:ascii="Verdana" w:hAnsi="Verdana"/>
          <w:sz w:val="20"/>
          <w:szCs w:val="20"/>
        </w:rPr>
        <w:footnoteReference w:id="86"/>
      </w:r>
      <w:r w:rsidR="00697CD3">
        <w:rPr>
          <w:rFonts w:ascii="Verdana" w:hAnsi="Verdana"/>
          <w:sz w:val="20"/>
          <w:szCs w:val="20"/>
        </w:rPr>
        <w:t>;</w:t>
      </w:r>
      <w:r w:rsidR="00343CDC" w:rsidRPr="00C65127">
        <w:rPr>
          <w:rFonts w:ascii="Verdana" w:hAnsi="Verdana"/>
          <w:sz w:val="20"/>
          <w:szCs w:val="20"/>
        </w:rPr>
        <w:t xml:space="preserve"> sobre el cierre de hogares de</w:t>
      </w:r>
      <w:r w:rsidR="0014382C">
        <w:rPr>
          <w:rFonts w:ascii="Verdana" w:hAnsi="Verdana"/>
          <w:sz w:val="20"/>
          <w:szCs w:val="20"/>
        </w:rPr>
        <w:t xml:space="preserve"> cuidados para personas mayores</w:t>
      </w:r>
      <w:r w:rsidR="00343CDC" w:rsidRPr="00993E36">
        <w:rPr>
          <w:rStyle w:val="Refdenotaalpie"/>
          <w:rFonts w:ascii="Verdana" w:hAnsi="Verdana"/>
          <w:sz w:val="20"/>
          <w:szCs w:val="20"/>
        </w:rPr>
        <w:footnoteReference w:id="87"/>
      </w:r>
      <w:r w:rsidR="00697CD3">
        <w:rPr>
          <w:rFonts w:ascii="Verdana" w:hAnsi="Verdana"/>
          <w:sz w:val="20"/>
          <w:szCs w:val="20"/>
        </w:rPr>
        <w:t>;</w:t>
      </w:r>
      <w:r w:rsidR="00343CDC" w:rsidRPr="00C65127">
        <w:rPr>
          <w:rFonts w:ascii="Verdana" w:hAnsi="Verdana"/>
          <w:sz w:val="20"/>
          <w:szCs w:val="20"/>
        </w:rPr>
        <w:t xml:space="preserve"> y sobre la protección de l</w:t>
      </w:r>
      <w:r w:rsidR="00697CD3">
        <w:rPr>
          <w:rFonts w:ascii="Verdana" w:hAnsi="Verdana"/>
          <w:sz w:val="20"/>
          <w:szCs w:val="20"/>
        </w:rPr>
        <w:t>a propiedad de personas</w:t>
      </w:r>
      <w:r w:rsidR="0014382C">
        <w:rPr>
          <w:rFonts w:ascii="Verdana" w:hAnsi="Verdana"/>
          <w:sz w:val="20"/>
          <w:szCs w:val="20"/>
        </w:rPr>
        <w:t xml:space="preserve"> mayores</w:t>
      </w:r>
      <w:r w:rsidR="00993E36" w:rsidRPr="00993E36">
        <w:rPr>
          <w:rStyle w:val="Refdenotaalpie"/>
          <w:rFonts w:ascii="Verdana" w:hAnsi="Verdana"/>
          <w:sz w:val="20"/>
          <w:szCs w:val="20"/>
        </w:rPr>
        <w:footnoteReference w:id="88"/>
      </w:r>
      <w:r w:rsidR="00343CDC" w:rsidRPr="00C65127">
        <w:rPr>
          <w:rFonts w:ascii="Verdana" w:hAnsi="Verdana"/>
          <w:sz w:val="20"/>
          <w:szCs w:val="20"/>
        </w:rPr>
        <w:t>.</w:t>
      </w:r>
      <w:r w:rsidR="00993E36" w:rsidRPr="00C65127">
        <w:rPr>
          <w:rFonts w:ascii="Verdana" w:hAnsi="Verdana"/>
          <w:sz w:val="20"/>
          <w:szCs w:val="20"/>
        </w:rPr>
        <w:t xml:space="preserve"> </w:t>
      </w:r>
    </w:p>
    <w:p w:rsidR="00697CD3" w:rsidRPr="00697CD3" w:rsidRDefault="00697CD3" w:rsidP="00697CD3">
      <w:pPr>
        <w:pStyle w:val="Prrafodelista"/>
        <w:rPr>
          <w:rFonts w:ascii="Verdana" w:hAnsi="Verdana"/>
          <w:i/>
          <w:sz w:val="20"/>
          <w:szCs w:val="20"/>
          <w:lang w:val="es-ES"/>
        </w:rPr>
      </w:pPr>
    </w:p>
    <w:p w:rsidR="00697CD3" w:rsidRDefault="00697CD3" w:rsidP="00697CD3">
      <w:pPr>
        <w:pStyle w:val="Prrafodelista"/>
        <w:numPr>
          <w:ilvl w:val="0"/>
          <w:numId w:val="2"/>
        </w:numPr>
        <w:jc w:val="both"/>
        <w:outlineLvl w:val="1"/>
        <w:rPr>
          <w:rFonts w:ascii="Verdana" w:hAnsi="Verdana"/>
          <w:i/>
          <w:sz w:val="20"/>
          <w:szCs w:val="20"/>
          <w:lang w:val="es-ES"/>
        </w:rPr>
      </w:pPr>
      <w:r w:rsidRPr="00DD0333">
        <w:rPr>
          <w:rFonts w:ascii="Verdana" w:hAnsi="Verdana"/>
          <w:i/>
          <w:sz w:val="20"/>
          <w:szCs w:val="20"/>
          <w:lang w:val="es-ES"/>
        </w:rPr>
        <w:t xml:space="preserve">La jurisprudencia </w:t>
      </w:r>
      <w:r w:rsidR="007626E3">
        <w:rPr>
          <w:rFonts w:ascii="Verdana" w:hAnsi="Verdana"/>
          <w:i/>
          <w:sz w:val="20"/>
          <w:szCs w:val="20"/>
          <w:lang w:val="es-ES"/>
        </w:rPr>
        <w:t>de</w:t>
      </w:r>
      <w:r>
        <w:rPr>
          <w:rFonts w:ascii="Verdana" w:hAnsi="Verdana"/>
          <w:i/>
          <w:sz w:val="20"/>
          <w:szCs w:val="20"/>
          <w:lang w:val="es-ES"/>
        </w:rPr>
        <w:t xml:space="preserve"> la Corte Interamericana sobre personas mayores</w:t>
      </w:r>
    </w:p>
    <w:p w:rsidR="00C65127" w:rsidRPr="00C65127" w:rsidRDefault="00C65127" w:rsidP="00C65127">
      <w:pPr>
        <w:pStyle w:val="Prrafodelista"/>
        <w:ind w:left="0"/>
        <w:jc w:val="both"/>
        <w:outlineLvl w:val="1"/>
        <w:rPr>
          <w:rFonts w:ascii="Verdana" w:hAnsi="Verdana"/>
          <w:i/>
          <w:sz w:val="20"/>
          <w:szCs w:val="20"/>
          <w:lang w:val="es-ES"/>
        </w:rPr>
      </w:pPr>
    </w:p>
    <w:p w:rsidR="00E5514D" w:rsidRPr="00E5514D" w:rsidRDefault="00C85629" w:rsidP="00CE6958">
      <w:pPr>
        <w:pStyle w:val="Prrafodelista"/>
        <w:ind w:left="0"/>
        <w:jc w:val="both"/>
        <w:outlineLvl w:val="1"/>
        <w:rPr>
          <w:rFonts w:ascii="Verdana" w:hAnsi="Verdana"/>
          <w:i/>
          <w:sz w:val="20"/>
          <w:szCs w:val="20"/>
          <w:lang w:val="es-ES"/>
        </w:rPr>
      </w:pPr>
      <w:r>
        <w:rPr>
          <w:rFonts w:ascii="Verdana" w:hAnsi="Verdana"/>
          <w:sz w:val="20"/>
          <w:szCs w:val="20"/>
          <w:lang w:val="es-ES"/>
        </w:rPr>
        <w:t>51</w:t>
      </w:r>
      <w:r w:rsidR="00CE6958">
        <w:rPr>
          <w:rFonts w:ascii="Verdana" w:hAnsi="Verdana"/>
          <w:sz w:val="20"/>
          <w:szCs w:val="20"/>
          <w:lang w:val="es-ES"/>
        </w:rPr>
        <w:t xml:space="preserve">. </w:t>
      </w:r>
      <w:r w:rsidR="00CE6958">
        <w:rPr>
          <w:rFonts w:ascii="Verdana" w:hAnsi="Verdana"/>
          <w:sz w:val="20"/>
          <w:szCs w:val="20"/>
          <w:lang w:val="es-ES"/>
        </w:rPr>
        <w:tab/>
      </w:r>
      <w:r w:rsidR="00E5514D">
        <w:rPr>
          <w:rFonts w:ascii="Verdana" w:hAnsi="Verdana"/>
          <w:sz w:val="20"/>
          <w:szCs w:val="20"/>
          <w:lang w:val="es-ES"/>
        </w:rPr>
        <w:t>En el caso del Tribunal Interamericano podemos identificar dos etapas jurisprudenciales sobre los casos relacionados c</w:t>
      </w:r>
      <w:r w:rsidR="00C65127">
        <w:rPr>
          <w:rFonts w:ascii="Verdana" w:hAnsi="Verdana"/>
          <w:sz w:val="20"/>
          <w:szCs w:val="20"/>
          <w:lang w:val="es-ES"/>
        </w:rPr>
        <w:t>on las personas mayores</w:t>
      </w:r>
      <w:r w:rsidR="00697CD3">
        <w:rPr>
          <w:rFonts w:ascii="Verdana" w:hAnsi="Verdana"/>
          <w:sz w:val="20"/>
          <w:szCs w:val="20"/>
          <w:lang w:val="es-ES"/>
        </w:rPr>
        <w:t xml:space="preserve">: a) </w:t>
      </w:r>
      <w:r w:rsidR="00E5514D">
        <w:rPr>
          <w:rFonts w:ascii="Verdana" w:hAnsi="Verdana"/>
          <w:sz w:val="20"/>
          <w:szCs w:val="20"/>
          <w:lang w:val="es-ES"/>
        </w:rPr>
        <w:t>aquella en donde tímidamente</w:t>
      </w:r>
      <w:r w:rsidR="00053444">
        <w:rPr>
          <w:rFonts w:ascii="Verdana" w:hAnsi="Verdana"/>
          <w:sz w:val="20"/>
          <w:szCs w:val="20"/>
          <w:lang w:val="es-ES"/>
        </w:rPr>
        <w:t xml:space="preserve"> y</w:t>
      </w:r>
      <w:r w:rsidR="00E5514D">
        <w:rPr>
          <w:rFonts w:ascii="Verdana" w:hAnsi="Verdana"/>
          <w:sz w:val="20"/>
          <w:szCs w:val="20"/>
          <w:lang w:val="es-ES"/>
        </w:rPr>
        <w:t xml:space="preserve"> </w:t>
      </w:r>
      <w:r w:rsidR="00E5514D">
        <w:rPr>
          <w:rFonts w:ascii="Verdana" w:hAnsi="Verdana"/>
          <w:sz w:val="20"/>
          <w:szCs w:val="20"/>
          <w:lang w:val="es-ES"/>
        </w:rPr>
        <w:lastRenderedPageBreak/>
        <w:t xml:space="preserve">tangencialmente </w:t>
      </w:r>
      <w:r w:rsidR="00053444">
        <w:rPr>
          <w:rFonts w:ascii="Verdana" w:hAnsi="Verdana"/>
          <w:sz w:val="20"/>
          <w:szCs w:val="20"/>
          <w:lang w:val="es-ES"/>
        </w:rPr>
        <w:t xml:space="preserve">se aborda </w:t>
      </w:r>
      <w:r w:rsidR="00E5514D">
        <w:rPr>
          <w:rFonts w:ascii="Verdana" w:hAnsi="Verdana"/>
          <w:sz w:val="20"/>
          <w:szCs w:val="20"/>
          <w:lang w:val="es-ES"/>
        </w:rPr>
        <w:t>la situación particular de una persona mayor</w:t>
      </w:r>
      <w:r w:rsidR="00325B5E">
        <w:rPr>
          <w:rFonts w:ascii="Verdana" w:hAnsi="Verdana"/>
          <w:sz w:val="20"/>
          <w:szCs w:val="20"/>
          <w:lang w:val="es-ES"/>
        </w:rPr>
        <w:t>;</w:t>
      </w:r>
      <w:r w:rsidR="00E5514D">
        <w:rPr>
          <w:rFonts w:ascii="Verdana" w:hAnsi="Verdana"/>
          <w:sz w:val="20"/>
          <w:szCs w:val="20"/>
          <w:lang w:val="es-ES"/>
        </w:rPr>
        <w:t xml:space="preserve"> y b) aquella en donde la Corte </w:t>
      </w:r>
      <w:r w:rsidR="00697CD3">
        <w:rPr>
          <w:rFonts w:ascii="Verdana" w:hAnsi="Verdana"/>
          <w:sz w:val="20"/>
          <w:szCs w:val="20"/>
          <w:lang w:val="es-ES"/>
        </w:rPr>
        <w:t xml:space="preserve">IDH </w:t>
      </w:r>
      <w:r w:rsidR="00E5514D">
        <w:rPr>
          <w:rFonts w:ascii="Verdana" w:hAnsi="Verdana"/>
          <w:sz w:val="20"/>
          <w:szCs w:val="20"/>
          <w:lang w:val="es-ES"/>
        </w:rPr>
        <w:t xml:space="preserve">aborda el </w:t>
      </w:r>
      <w:r w:rsidR="00E5514D" w:rsidRPr="00E5514D">
        <w:rPr>
          <w:rFonts w:ascii="Verdana" w:hAnsi="Verdana"/>
          <w:sz w:val="20"/>
          <w:szCs w:val="20"/>
          <w:lang w:val="es-ES"/>
        </w:rPr>
        <w:t xml:space="preserve">caso desde un enfoque de “la edad” como factor que impacta de manera diferenciada a las personas mayores y sus derechos. </w:t>
      </w:r>
    </w:p>
    <w:p w:rsidR="00E5514D" w:rsidRPr="00E5514D" w:rsidRDefault="00E5514D" w:rsidP="00DD2F96">
      <w:pPr>
        <w:pStyle w:val="Prrafodelista"/>
        <w:rPr>
          <w:rFonts w:ascii="Verdana" w:hAnsi="Verdana"/>
          <w:i/>
          <w:sz w:val="20"/>
          <w:szCs w:val="20"/>
          <w:lang w:val="es-ES"/>
        </w:rPr>
      </w:pPr>
    </w:p>
    <w:p w:rsidR="005A6C93" w:rsidRPr="005A6C93" w:rsidRDefault="00C85629" w:rsidP="00CE6958">
      <w:pPr>
        <w:pStyle w:val="Prrafodelista"/>
        <w:ind w:left="0"/>
        <w:jc w:val="both"/>
        <w:outlineLvl w:val="1"/>
        <w:rPr>
          <w:rFonts w:ascii="Verdana" w:hAnsi="Verdana"/>
          <w:sz w:val="20"/>
          <w:szCs w:val="20"/>
          <w:lang w:val="es-ES"/>
        </w:rPr>
      </w:pPr>
      <w:r>
        <w:rPr>
          <w:rFonts w:ascii="Verdana" w:hAnsi="Verdana"/>
          <w:sz w:val="20"/>
          <w:szCs w:val="20"/>
          <w:lang w:val="es-ES"/>
        </w:rPr>
        <w:t>52</w:t>
      </w:r>
      <w:r w:rsidR="00CE6958">
        <w:rPr>
          <w:rFonts w:ascii="Verdana" w:hAnsi="Verdana"/>
          <w:sz w:val="20"/>
          <w:szCs w:val="20"/>
          <w:lang w:val="es-ES"/>
        </w:rPr>
        <w:t xml:space="preserve">. </w:t>
      </w:r>
      <w:r w:rsidR="00CE6958">
        <w:rPr>
          <w:rFonts w:ascii="Verdana" w:hAnsi="Verdana"/>
          <w:sz w:val="20"/>
          <w:szCs w:val="20"/>
          <w:lang w:val="es-ES"/>
        </w:rPr>
        <w:tab/>
      </w:r>
      <w:r w:rsidR="00E5514D" w:rsidRPr="00E5514D">
        <w:rPr>
          <w:rFonts w:ascii="Verdana" w:hAnsi="Verdana"/>
          <w:sz w:val="20"/>
          <w:szCs w:val="20"/>
          <w:lang w:val="es-ES"/>
        </w:rPr>
        <w:t xml:space="preserve">En cuanto a la primera etapa, en el año 2005, </w:t>
      </w:r>
      <w:r w:rsidR="00E5514D" w:rsidRPr="00E5514D">
        <w:rPr>
          <w:rFonts w:ascii="Verdana" w:hAnsi="Verdana"/>
          <w:sz w:val="20"/>
          <w:szCs w:val="20"/>
        </w:rPr>
        <w:t xml:space="preserve">en el caso </w:t>
      </w:r>
      <w:proofErr w:type="spellStart"/>
      <w:r w:rsidR="00E5514D" w:rsidRPr="00E5514D">
        <w:rPr>
          <w:rFonts w:ascii="Verdana" w:hAnsi="Verdana"/>
          <w:sz w:val="20"/>
          <w:szCs w:val="20"/>
        </w:rPr>
        <w:t>Y</w:t>
      </w:r>
      <w:r w:rsidR="00E5514D" w:rsidRPr="00E5514D">
        <w:rPr>
          <w:rFonts w:ascii="Verdana" w:hAnsi="Verdana"/>
          <w:i/>
          <w:sz w:val="20"/>
          <w:szCs w:val="20"/>
        </w:rPr>
        <w:t>akye</w:t>
      </w:r>
      <w:proofErr w:type="spellEnd"/>
      <w:r w:rsidR="00E5514D" w:rsidRPr="00E5514D">
        <w:rPr>
          <w:rFonts w:ascii="Verdana" w:hAnsi="Verdana"/>
          <w:i/>
          <w:sz w:val="20"/>
          <w:szCs w:val="20"/>
        </w:rPr>
        <w:t xml:space="preserve"> Axa Vs. Paraguay</w:t>
      </w:r>
      <w:r w:rsidR="0043561C">
        <w:rPr>
          <w:rFonts w:ascii="Verdana" w:hAnsi="Verdana"/>
          <w:i/>
          <w:sz w:val="20"/>
          <w:szCs w:val="20"/>
        </w:rPr>
        <w:t>,</w:t>
      </w:r>
      <w:r w:rsidR="00E5514D" w:rsidRPr="00E5514D">
        <w:rPr>
          <w:rFonts w:ascii="Verdana" w:hAnsi="Verdana"/>
          <w:sz w:val="20"/>
          <w:szCs w:val="20"/>
        </w:rPr>
        <w:t xml:space="preserve"> el Tribunal Interamericano notó que entre los</w:t>
      </w:r>
      <w:r w:rsidR="00325B5E">
        <w:rPr>
          <w:rFonts w:ascii="Verdana" w:hAnsi="Verdana"/>
          <w:sz w:val="20"/>
          <w:szCs w:val="20"/>
        </w:rPr>
        <w:t xml:space="preserve"> miembros de la comunidad habían</w:t>
      </w:r>
      <w:r w:rsidR="00E5514D" w:rsidRPr="00E5514D">
        <w:rPr>
          <w:rFonts w:ascii="Verdana" w:hAnsi="Verdana"/>
          <w:sz w:val="20"/>
          <w:szCs w:val="20"/>
        </w:rPr>
        <w:t xml:space="preserve"> personas de “edad avanzada” y estimó que “[e]n lo que se refiere a la especial consideración que merecen las personas de edad avanzada, es importante que el Estado adopte medidas destinadas a mantener su funcionalidad y autonomía, garantizando el derecho a una alimentación adecuada acceso a agua limpia y a atención de salud. En particular, el Estado debe atender a los ancianos con enfermedades crónicas y en fase terminal, ahorr</w:t>
      </w:r>
      <w:r w:rsidR="006063D8">
        <w:rPr>
          <w:rFonts w:ascii="Verdana" w:hAnsi="Verdana"/>
          <w:sz w:val="20"/>
          <w:szCs w:val="20"/>
        </w:rPr>
        <w:t>ándoles sufrimientos evitables”</w:t>
      </w:r>
      <w:r w:rsidR="00E5514D" w:rsidRPr="00E5514D">
        <w:rPr>
          <w:rStyle w:val="Refdenotaalpie"/>
          <w:rFonts w:ascii="Verdana" w:hAnsi="Verdana"/>
          <w:sz w:val="20"/>
          <w:szCs w:val="20"/>
        </w:rPr>
        <w:footnoteReference w:id="89"/>
      </w:r>
      <w:r w:rsidR="00697CD3">
        <w:rPr>
          <w:rFonts w:ascii="Verdana" w:hAnsi="Verdana"/>
          <w:sz w:val="20"/>
          <w:szCs w:val="20"/>
        </w:rPr>
        <w:t xml:space="preserve">. Con posterioridad, en el año 2013, </w:t>
      </w:r>
      <w:r w:rsidR="00E5514D" w:rsidRPr="00E5514D">
        <w:rPr>
          <w:rFonts w:ascii="Verdana" w:hAnsi="Verdana"/>
          <w:sz w:val="20"/>
          <w:szCs w:val="20"/>
        </w:rPr>
        <w:t xml:space="preserve">en el caso </w:t>
      </w:r>
      <w:r w:rsidR="00E5514D" w:rsidRPr="00E5514D">
        <w:rPr>
          <w:rFonts w:ascii="Verdana" w:hAnsi="Verdana"/>
          <w:i/>
          <w:sz w:val="20"/>
          <w:szCs w:val="20"/>
        </w:rPr>
        <w:t>García Lucero Vs. Chile</w:t>
      </w:r>
      <w:r w:rsidR="00E5514D" w:rsidRPr="00E5514D">
        <w:rPr>
          <w:rFonts w:ascii="Verdana" w:hAnsi="Verdana"/>
          <w:sz w:val="20"/>
          <w:szCs w:val="20"/>
        </w:rPr>
        <w:t xml:space="preserve"> que “[la víctima] se encuentra en una situa</w:t>
      </w:r>
      <w:r w:rsidR="00325B5E">
        <w:rPr>
          <w:rFonts w:ascii="Verdana" w:hAnsi="Verdana"/>
          <w:sz w:val="20"/>
          <w:szCs w:val="20"/>
        </w:rPr>
        <w:t xml:space="preserve">ción de especial </w:t>
      </w:r>
      <w:proofErr w:type="gramStart"/>
      <w:r w:rsidR="00346F6B">
        <w:rPr>
          <w:rFonts w:ascii="Verdana" w:hAnsi="Verdana"/>
          <w:sz w:val="20"/>
          <w:szCs w:val="20"/>
        </w:rPr>
        <w:t>vulnerabilidad</w:t>
      </w:r>
      <w:r w:rsidR="00346F6B" w:rsidRPr="00E5514D">
        <w:rPr>
          <w:rFonts w:ascii="Verdana" w:hAnsi="Verdana"/>
          <w:sz w:val="20"/>
          <w:szCs w:val="20"/>
        </w:rPr>
        <w:t>[</w:t>
      </w:r>
      <w:proofErr w:type="gramEnd"/>
      <w:r w:rsidR="00E5514D" w:rsidRPr="00E5514D">
        <w:rPr>
          <w:rFonts w:ascii="Verdana" w:hAnsi="Verdana"/>
          <w:sz w:val="20"/>
          <w:szCs w:val="20"/>
        </w:rPr>
        <w:t>,]</w:t>
      </w:r>
      <w:r w:rsidR="00325B5E">
        <w:rPr>
          <w:rFonts w:ascii="Verdana" w:hAnsi="Verdana"/>
          <w:sz w:val="20"/>
          <w:szCs w:val="20"/>
        </w:rPr>
        <w:t xml:space="preserve"> </w:t>
      </w:r>
      <w:r w:rsidR="00E5514D" w:rsidRPr="00E5514D">
        <w:rPr>
          <w:rFonts w:ascii="Verdana" w:hAnsi="Verdana"/>
          <w:sz w:val="20"/>
          <w:szCs w:val="20"/>
        </w:rPr>
        <w:t xml:space="preserve">el Tribunal observa que está probado que el señor García Lucero tiene </w:t>
      </w:r>
      <w:r w:rsidR="006063D8">
        <w:rPr>
          <w:rFonts w:ascii="Verdana" w:hAnsi="Verdana"/>
          <w:sz w:val="20"/>
          <w:szCs w:val="20"/>
        </w:rPr>
        <w:t>una edad avanzada de 79 años”</w:t>
      </w:r>
      <w:r w:rsidR="00E5514D" w:rsidRPr="005A6C93">
        <w:rPr>
          <w:rStyle w:val="Refdenotaalpie"/>
          <w:rFonts w:ascii="Verdana" w:hAnsi="Verdana"/>
          <w:sz w:val="20"/>
          <w:szCs w:val="20"/>
        </w:rPr>
        <w:footnoteReference w:id="90"/>
      </w:r>
      <w:r w:rsidR="00E5514D" w:rsidRPr="005A6C93">
        <w:rPr>
          <w:rFonts w:ascii="Verdana" w:hAnsi="Verdana"/>
          <w:sz w:val="20"/>
          <w:szCs w:val="20"/>
        </w:rPr>
        <w:t xml:space="preserve">. </w:t>
      </w:r>
    </w:p>
    <w:p w:rsidR="005A6C93" w:rsidRPr="005A6C93" w:rsidRDefault="005A6C93" w:rsidP="00DD2F96">
      <w:pPr>
        <w:pStyle w:val="Prrafodelista"/>
        <w:rPr>
          <w:rFonts w:ascii="Verdana" w:hAnsi="Verdana"/>
          <w:sz w:val="20"/>
          <w:szCs w:val="20"/>
          <w:lang w:val="es-ES"/>
        </w:rPr>
      </w:pPr>
    </w:p>
    <w:p w:rsidR="005A6C93" w:rsidRDefault="00C85629" w:rsidP="00CE6958">
      <w:pPr>
        <w:pStyle w:val="Prrafodelista"/>
        <w:ind w:left="0"/>
        <w:jc w:val="both"/>
        <w:outlineLvl w:val="1"/>
        <w:rPr>
          <w:rFonts w:ascii="Verdana" w:hAnsi="Verdana"/>
          <w:sz w:val="20"/>
          <w:szCs w:val="20"/>
          <w:lang w:val="es-ES_tradnl" w:eastAsia="es-ES"/>
        </w:rPr>
      </w:pPr>
      <w:r>
        <w:rPr>
          <w:rFonts w:ascii="Verdana" w:hAnsi="Verdana"/>
          <w:sz w:val="20"/>
          <w:szCs w:val="20"/>
          <w:lang w:val="es-ES"/>
        </w:rPr>
        <w:t>53</w:t>
      </w:r>
      <w:r w:rsidR="00CE6958">
        <w:rPr>
          <w:rFonts w:ascii="Verdana" w:hAnsi="Verdana"/>
          <w:sz w:val="20"/>
          <w:szCs w:val="20"/>
          <w:lang w:val="es-ES"/>
        </w:rPr>
        <w:t xml:space="preserve">. </w:t>
      </w:r>
      <w:r w:rsidR="00CE6958">
        <w:rPr>
          <w:rFonts w:ascii="Verdana" w:hAnsi="Verdana"/>
          <w:sz w:val="20"/>
          <w:szCs w:val="20"/>
          <w:lang w:val="es-ES"/>
        </w:rPr>
        <w:tab/>
      </w:r>
      <w:r w:rsidR="00697CD3">
        <w:rPr>
          <w:rFonts w:ascii="Verdana" w:hAnsi="Verdana"/>
          <w:sz w:val="20"/>
          <w:szCs w:val="20"/>
          <w:lang w:val="es-ES"/>
        </w:rPr>
        <w:t>E</w:t>
      </w:r>
      <w:r w:rsidR="00E5514D" w:rsidRPr="005A6C93">
        <w:rPr>
          <w:rFonts w:ascii="Verdana" w:hAnsi="Verdana"/>
          <w:sz w:val="20"/>
          <w:szCs w:val="20"/>
          <w:lang w:val="es-ES"/>
        </w:rPr>
        <w:t xml:space="preserve">n la segunda etapa, encontramos el </w:t>
      </w:r>
      <w:proofErr w:type="spellStart"/>
      <w:r w:rsidR="00E5514D" w:rsidRPr="005A6C93">
        <w:rPr>
          <w:rFonts w:ascii="Verdana" w:hAnsi="Verdana"/>
          <w:i/>
          <w:sz w:val="20"/>
          <w:szCs w:val="20"/>
          <w:lang w:val="es-ES"/>
        </w:rPr>
        <w:t>leading</w:t>
      </w:r>
      <w:proofErr w:type="spellEnd"/>
      <w:r w:rsidR="00E5514D" w:rsidRPr="005A6C93">
        <w:rPr>
          <w:rFonts w:ascii="Verdana" w:hAnsi="Verdana"/>
          <w:i/>
          <w:sz w:val="20"/>
          <w:szCs w:val="20"/>
          <w:lang w:val="es-ES"/>
        </w:rPr>
        <w:t xml:space="preserve"> </w:t>
      </w:r>
      <w:r w:rsidR="00E5514D" w:rsidRPr="00053444">
        <w:rPr>
          <w:rFonts w:ascii="Verdana" w:hAnsi="Verdana"/>
          <w:i/>
          <w:sz w:val="20"/>
          <w:szCs w:val="20"/>
          <w:lang w:val="es-ES"/>
        </w:rPr>
        <w:t xml:space="preserve">case </w:t>
      </w:r>
      <w:r w:rsidR="00E5514D" w:rsidRPr="005A6C93">
        <w:rPr>
          <w:rFonts w:ascii="Verdana" w:hAnsi="Verdana"/>
          <w:sz w:val="20"/>
          <w:szCs w:val="20"/>
          <w:lang w:val="es-ES"/>
        </w:rPr>
        <w:t xml:space="preserve">en materia de las personas mayores: </w:t>
      </w:r>
      <w:r w:rsidR="00BB6C2A" w:rsidRPr="00BB6C2A">
        <w:rPr>
          <w:rFonts w:ascii="Verdana" w:hAnsi="Verdana"/>
          <w:sz w:val="20"/>
          <w:szCs w:val="20"/>
          <w:lang w:val="es-ES"/>
        </w:rPr>
        <w:t xml:space="preserve">el </w:t>
      </w:r>
      <w:r w:rsidR="00BB6C2A">
        <w:rPr>
          <w:rFonts w:ascii="Verdana" w:hAnsi="Verdana"/>
          <w:i/>
          <w:sz w:val="20"/>
          <w:szCs w:val="20"/>
          <w:lang w:val="es-ES"/>
        </w:rPr>
        <w:t>C</w:t>
      </w:r>
      <w:r w:rsidR="00E5514D" w:rsidRPr="005A6C93">
        <w:rPr>
          <w:rFonts w:ascii="Verdana" w:hAnsi="Verdana"/>
          <w:i/>
          <w:sz w:val="20"/>
          <w:szCs w:val="20"/>
          <w:lang w:val="es-ES"/>
        </w:rPr>
        <w:t xml:space="preserve">aso Poblete Vilches y otros Vs. Chile, </w:t>
      </w:r>
      <w:r w:rsidR="00E5514D" w:rsidRPr="005A6C93">
        <w:rPr>
          <w:rFonts w:ascii="Verdana" w:hAnsi="Verdana"/>
          <w:sz w:val="20"/>
          <w:szCs w:val="20"/>
          <w:lang w:val="es-ES"/>
        </w:rPr>
        <w:t xml:space="preserve">decidido </w:t>
      </w:r>
      <w:r w:rsidR="005410D2">
        <w:rPr>
          <w:rFonts w:ascii="Verdana" w:hAnsi="Verdana"/>
          <w:sz w:val="20"/>
          <w:szCs w:val="20"/>
          <w:lang w:val="es-ES"/>
        </w:rPr>
        <w:t>por el</w:t>
      </w:r>
      <w:r w:rsidR="005A6C93" w:rsidRPr="005A6C93">
        <w:rPr>
          <w:rFonts w:ascii="Verdana" w:hAnsi="Verdana"/>
          <w:sz w:val="20"/>
          <w:szCs w:val="20"/>
          <w:lang w:val="es-ES"/>
        </w:rPr>
        <w:t xml:space="preserve"> Tribunal </w:t>
      </w:r>
      <w:r w:rsidR="005410D2">
        <w:rPr>
          <w:rFonts w:ascii="Verdana" w:hAnsi="Verdana"/>
          <w:sz w:val="20"/>
          <w:szCs w:val="20"/>
          <w:lang w:val="es-ES"/>
        </w:rPr>
        <w:t xml:space="preserve">Interamericano </w:t>
      </w:r>
      <w:r w:rsidR="005A6C93" w:rsidRPr="005A6C93">
        <w:rPr>
          <w:rFonts w:ascii="Verdana" w:hAnsi="Verdana"/>
          <w:sz w:val="20"/>
          <w:szCs w:val="20"/>
          <w:lang w:val="es-ES"/>
        </w:rPr>
        <w:t>en 201</w:t>
      </w:r>
      <w:r w:rsidR="006B2226">
        <w:rPr>
          <w:rFonts w:ascii="Verdana" w:hAnsi="Verdana"/>
          <w:sz w:val="20"/>
          <w:szCs w:val="20"/>
          <w:lang w:val="es-ES"/>
        </w:rPr>
        <w:t>8</w:t>
      </w:r>
      <w:r w:rsidR="00697CD3" w:rsidRPr="00BA0FF7">
        <w:rPr>
          <w:rStyle w:val="Refdenotaalpie"/>
          <w:rFonts w:ascii="Verdana" w:hAnsi="Verdana"/>
          <w:sz w:val="20"/>
          <w:szCs w:val="20"/>
          <w:lang w:val="es-ES"/>
        </w:rPr>
        <w:footnoteReference w:id="91"/>
      </w:r>
      <w:r w:rsidR="005A6C93" w:rsidRPr="005A6C93">
        <w:rPr>
          <w:rFonts w:ascii="Verdana" w:hAnsi="Verdana"/>
          <w:sz w:val="20"/>
          <w:szCs w:val="20"/>
          <w:lang w:val="es-ES"/>
        </w:rPr>
        <w:t xml:space="preserve">. </w:t>
      </w:r>
      <w:r w:rsidR="00BB6C2A">
        <w:rPr>
          <w:rFonts w:ascii="Verdana" w:hAnsi="Verdana"/>
          <w:sz w:val="20"/>
          <w:szCs w:val="20"/>
          <w:lang w:val="es-ES_tradnl" w:eastAsia="es-ES"/>
        </w:rPr>
        <w:t>El C</w:t>
      </w:r>
      <w:r w:rsidR="005A6C93" w:rsidRPr="005A6C93">
        <w:rPr>
          <w:rFonts w:ascii="Verdana" w:hAnsi="Verdana"/>
          <w:sz w:val="20"/>
          <w:szCs w:val="20"/>
          <w:lang w:val="es-ES_tradnl" w:eastAsia="es-ES"/>
        </w:rPr>
        <w:t>aso</w:t>
      </w:r>
      <w:r w:rsidR="005A6C93" w:rsidRPr="005A6C93">
        <w:rPr>
          <w:rFonts w:ascii="Verdana" w:hAnsi="Verdana"/>
          <w:i/>
          <w:sz w:val="20"/>
          <w:szCs w:val="20"/>
          <w:lang w:val="es-ES_tradnl" w:eastAsia="es-ES"/>
        </w:rPr>
        <w:t xml:space="preserve"> Poblete Vilches </w:t>
      </w:r>
      <w:r w:rsidR="005A6C93" w:rsidRPr="005A6C93">
        <w:rPr>
          <w:rFonts w:ascii="Verdana" w:hAnsi="Verdana"/>
          <w:sz w:val="20"/>
          <w:szCs w:val="20"/>
          <w:lang w:val="es-ES_tradnl" w:eastAsia="es-ES"/>
        </w:rPr>
        <w:t xml:space="preserve">constituyó la primera oportunidad en la cual </w:t>
      </w:r>
      <w:r w:rsidR="005410D2">
        <w:rPr>
          <w:rFonts w:ascii="Verdana" w:hAnsi="Verdana"/>
          <w:sz w:val="20"/>
          <w:szCs w:val="20"/>
          <w:lang w:val="es-ES_tradnl" w:eastAsia="es-ES"/>
        </w:rPr>
        <w:t>la Corte IDH</w:t>
      </w:r>
      <w:r w:rsidR="005A6C93" w:rsidRPr="005A6C93">
        <w:rPr>
          <w:rFonts w:ascii="Verdana" w:hAnsi="Verdana"/>
          <w:sz w:val="20"/>
          <w:szCs w:val="20"/>
          <w:lang w:val="es-ES_tradnl" w:eastAsia="es-ES"/>
        </w:rPr>
        <w:t xml:space="preserve"> abordó de manera detallada la especial situación de vulnerabilidad y discriminación que viven</w:t>
      </w:r>
      <w:r w:rsidR="00B61DA8">
        <w:rPr>
          <w:rFonts w:ascii="Verdana" w:hAnsi="Verdana"/>
          <w:sz w:val="20"/>
          <w:szCs w:val="20"/>
          <w:lang w:val="es-ES_tradnl" w:eastAsia="es-ES"/>
        </w:rPr>
        <w:t xml:space="preserve"> las personas mayores. Además, </w:t>
      </w:r>
      <w:r w:rsidR="005A6C93" w:rsidRPr="005A6C93">
        <w:rPr>
          <w:rFonts w:ascii="Verdana" w:hAnsi="Verdana"/>
          <w:sz w:val="20"/>
          <w:szCs w:val="20"/>
          <w:lang w:val="es-ES_tradnl" w:eastAsia="es-ES"/>
        </w:rPr>
        <w:t>en el fa</w:t>
      </w:r>
      <w:r w:rsidR="005410D2">
        <w:rPr>
          <w:rFonts w:ascii="Verdana" w:hAnsi="Verdana"/>
          <w:sz w:val="20"/>
          <w:szCs w:val="20"/>
          <w:lang w:val="es-ES_tradnl" w:eastAsia="es-ES"/>
        </w:rPr>
        <w:t xml:space="preserve">llo se consideró que “la edad” </w:t>
      </w:r>
      <w:r w:rsidR="005410D2">
        <w:rPr>
          <w:rFonts w:ascii="Verdana" w:hAnsi="Verdana"/>
          <w:sz w:val="20"/>
          <w:szCs w:val="20"/>
        </w:rPr>
        <w:t>—</w:t>
      </w:r>
      <w:r w:rsidR="005A6C93" w:rsidRPr="005A6C93">
        <w:rPr>
          <w:rFonts w:ascii="Verdana" w:hAnsi="Verdana"/>
          <w:sz w:val="20"/>
          <w:szCs w:val="20"/>
          <w:lang w:val="es-ES_tradnl" w:eastAsia="es-ES"/>
        </w:rPr>
        <w:t>como categoría sospechosa</w:t>
      </w:r>
      <w:r w:rsidR="005410D2">
        <w:rPr>
          <w:rFonts w:ascii="Verdana" w:hAnsi="Verdana"/>
          <w:sz w:val="20"/>
          <w:szCs w:val="20"/>
        </w:rPr>
        <w:t>—</w:t>
      </w:r>
      <w:r w:rsidR="005A6C93" w:rsidRPr="005A6C93">
        <w:rPr>
          <w:rFonts w:ascii="Verdana" w:hAnsi="Verdana"/>
          <w:sz w:val="20"/>
          <w:szCs w:val="20"/>
          <w:lang w:val="es-ES_tradnl" w:eastAsia="es-ES"/>
        </w:rPr>
        <w:t xml:space="preserve"> si bien no se encuentra expresa en el artículo 1 del Pacto de San José</w:t>
      </w:r>
      <w:r w:rsidR="005410D2">
        <w:rPr>
          <w:rFonts w:ascii="Verdana" w:hAnsi="Verdana"/>
          <w:sz w:val="20"/>
          <w:szCs w:val="20"/>
          <w:lang w:val="es-ES_tradnl" w:eastAsia="es-ES"/>
        </w:rPr>
        <w:t xml:space="preserve">, ésta puede interpretarse </w:t>
      </w:r>
      <w:r w:rsidR="005410D2">
        <w:rPr>
          <w:rFonts w:ascii="Verdana" w:hAnsi="Verdana"/>
          <w:sz w:val="20"/>
          <w:szCs w:val="20"/>
        </w:rPr>
        <w:t>—</w:t>
      </w:r>
      <w:r w:rsidR="005A6C93" w:rsidRPr="005A6C93">
        <w:rPr>
          <w:rFonts w:ascii="Verdana" w:hAnsi="Verdana"/>
          <w:sz w:val="20"/>
          <w:szCs w:val="20"/>
          <w:lang w:val="es-ES_tradnl" w:eastAsia="es-ES"/>
        </w:rPr>
        <w:t>de la misma forma en la que lo había hecho con otras categorías no expresas</w:t>
      </w:r>
      <w:r w:rsidR="005410D2">
        <w:rPr>
          <w:rFonts w:ascii="Verdana" w:hAnsi="Verdana"/>
          <w:sz w:val="20"/>
          <w:szCs w:val="20"/>
        </w:rPr>
        <w:t>—</w:t>
      </w:r>
      <w:r w:rsidR="005A6C93" w:rsidRPr="005A6C93">
        <w:rPr>
          <w:rFonts w:ascii="Verdana" w:hAnsi="Verdana"/>
          <w:sz w:val="20"/>
          <w:szCs w:val="20"/>
          <w:lang w:val="es-ES_tradnl" w:eastAsia="es-ES"/>
        </w:rPr>
        <w:t xml:space="preserve"> dentro de la categor</w:t>
      </w:r>
      <w:r w:rsidR="005410D2">
        <w:rPr>
          <w:rFonts w:ascii="Verdana" w:hAnsi="Verdana"/>
          <w:sz w:val="20"/>
          <w:szCs w:val="20"/>
          <w:lang w:val="es-ES_tradnl" w:eastAsia="es-ES"/>
        </w:rPr>
        <w:t>ía de “u otra condición social”;</w:t>
      </w:r>
      <w:r w:rsidR="005A6C93" w:rsidRPr="005A6C93">
        <w:rPr>
          <w:rFonts w:ascii="Verdana" w:hAnsi="Verdana"/>
          <w:sz w:val="20"/>
          <w:szCs w:val="20"/>
          <w:lang w:val="es-ES_tradnl" w:eastAsia="es-ES"/>
        </w:rPr>
        <w:t xml:space="preserve"> por lo tanto, la prohibición por discriminación relacionada con la edad cuando se trata de las personas mayores se encuentra tutelada por la Convención Americana. </w:t>
      </w:r>
    </w:p>
    <w:p w:rsidR="00D22AAF" w:rsidRPr="00D22AAF" w:rsidRDefault="00D22AAF" w:rsidP="00DD2F96">
      <w:pPr>
        <w:pStyle w:val="Prrafodelista"/>
        <w:rPr>
          <w:rFonts w:ascii="Verdana" w:hAnsi="Verdana"/>
          <w:sz w:val="20"/>
          <w:szCs w:val="20"/>
          <w:lang w:val="es-ES_tradnl" w:eastAsia="es-ES"/>
        </w:rPr>
      </w:pPr>
    </w:p>
    <w:p w:rsidR="00E5514D" w:rsidRPr="00BA0FF7" w:rsidRDefault="00C85629" w:rsidP="00CE6958">
      <w:pPr>
        <w:pStyle w:val="Prrafodelista"/>
        <w:ind w:left="0"/>
        <w:jc w:val="both"/>
        <w:outlineLvl w:val="1"/>
        <w:rPr>
          <w:rFonts w:ascii="Verdana" w:hAnsi="Verdana"/>
          <w:sz w:val="20"/>
          <w:szCs w:val="20"/>
          <w:lang w:val="es-ES"/>
        </w:rPr>
      </w:pPr>
      <w:r>
        <w:rPr>
          <w:rFonts w:ascii="Verdana" w:hAnsi="Verdana"/>
          <w:sz w:val="20"/>
          <w:szCs w:val="20"/>
          <w:lang w:val="es-ES_tradnl" w:eastAsia="es-ES"/>
        </w:rPr>
        <w:t>54</w:t>
      </w:r>
      <w:r w:rsidR="00CE6958">
        <w:rPr>
          <w:rFonts w:ascii="Verdana" w:hAnsi="Verdana"/>
          <w:sz w:val="20"/>
          <w:szCs w:val="20"/>
          <w:lang w:val="es-ES_tradnl" w:eastAsia="es-ES"/>
        </w:rPr>
        <w:t xml:space="preserve">. </w:t>
      </w:r>
      <w:r w:rsidR="00CE6958">
        <w:rPr>
          <w:rFonts w:ascii="Verdana" w:hAnsi="Verdana"/>
          <w:sz w:val="20"/>
          <w:szCs w:val="20"/>
          <w:lang w:val="es-ES_tradnl" w:eastAsia="es-ES"/>
        </w:rPr>
        <w:tab/>
      </w:r>
      <w:r w:rsidR="00D22AAF" w:rsidRPr="00BA0FF7">
        <w:rPr>
          <w:rFonts w:ascii="Verdana" w:hAnsi="Verdana"/>
          <w:sz w:val="20"/>
          <w:szCs w:val="20"/>
          <w:lang w:val="es-ES_tradnl" w:eastAsia="es-ES"/>
        </w:rPr>
        <w:t xml:space="preserve">Este fallo agregó que </w:t>
      </w:r>
      <w:r w:rsidR="00BA0FF7" w:rsidRPr="00BA0FF7">
        <w:rPr>
          <w:rFonts w:ascii="Verdana" w:hAnsi="Verdana"/>
          <w:sz w:val="20"/>
          <w:szCs w:val="20"/>
        </w:rPr>
        <w:t>“la Corte ha señalado que la edad, es también una categoría protegida por esta norma” según lo interpretó en la Opinión Consultiva No</w:t>
      </w:r>
      <w:r w:rsidR="005410D2">
        <w:rPr>
          <w:rFonts w:ascii="Verdana" w:hAnsi="Verdana"/>
          <w:sz w:val="20"/>
          <w:szCs w:val="20"/>
        </w:rPr>
        <w:t>.</w:t>
      </w:r>
      <w:r w:rsidR="00BA0FF7" w:rsidRPr="00BA0FF7">
        <w:rPr>
          <w:rFonts w:ascii="Verdana" w:hAnsi="Verdana"/>
          <w:sz w:val="20"/>
          <w:szCs w:val="20"/>
        </w:rPr>
        <w:t xml:space="preserve"> 18</w:t>
      </w:r>
      <w:r w:rsidR="005410D2">
        <w:rPr>
          <w:rFonts w:ascii="Verdana" w:hAnsi="Verdana"/>
          <w:sz w:val="20"/>
          <w:szCs w:val="20"/>
        </w:rPr>
        <w:t xml:space="preserve"> sobre Condición Jurídica y Derechos de los Migrantes Indocumentados</w:t>
      </w:r>
      <w:r w:rsidR="00BA0FF7" w:rsidRPr="00BA0FF7">
        <w:rPr>
          <w:rStyle w:val="Refdenotaalpie"/>
          <w:rFonts w:ascii="Verdana" w:hAnsi="Verdana"/>
          <w:sz w:val="20"/>
          <w:szCs w:val="20"/>
        </w:rPr>
        <w:footnoteReference w:id="92"/>
      </w:r>
      <w:r w:rsidR="005410D2">
        <w:rPr>
          <w:rFonts w:ascii="Verdana" w:hAnsi="Verdana"/>
          <w:sz w:val="20"/>
          <w:szCs w:val="20"/>
        </w:rPr>
        <w:t>;</w:t>
      </w:r>
      <w:r w:rsidR="00BA0FF7" w:rsidRPr="00BA0FF7">
        <w:rPr>
          <w:rFonts w:ascii="Verdana" w:hAnsi="Verdana"/>
          <w:sz w:val="20"/>
          <w:szCs w:val="20"/>
        </w:rPr>
        <w:t xml:space="preserve"> por lo que la prohibición de discriminación en el caso de las personas mayores comporta, entre otras cosas, la aplicación de políticas inclusivas para la totalidad de la población y un fácil acceso a los servicios públicos</w:t>
      </w:r>
      <w:r w:rsidR="00BA0FF7" w:rsidRPr="00BA0FF7">
        <w:rPr>
          <w:rStyle w:val="Refdenotaalpie"/>
          <w:rFonts w:ascii="Verdana" w:hAnsi="Verdana"/>
          <w:sz w:val="20"/>
          <w:szCs w:val="20"/>
        </w:rPr>
        <w:footnoteReference w:id="93"/>
      </w:r>
      <w:r w:rsidR="00BA0FF7" w:rsidRPr="00BA0FF7">
        <w:rPr>
          <w:rFonts w:ascii="Verdana" w:hAnsi="Verdana"/>
          <w:sz w:val="20"/>
          <w:szCs w:val="20"/>
        </w:rPr>
        <w:t>.</w:t>
      </w:r>
    </w:p>
    <w:p w:rsidR="00BA0FF7" w:rsidRPr="00BA0FF7" w:rsidRDefault="00BA0FF7" w:rsidP="00DD2F96">
      <w:pPr>
        <w:pStyle w:val="Prrafodelista"/>
        <w:rPr>
          <w:rFonts w:ascii="Verdana" w:hAnsi="Verdana"/>
          <w:sz w:val="20"/>
          <w:szCs w:val="20"/>
          <w:lang w:val="es-ES"/>
        </w:rPr>
      </w:pPr>
    </w:p>
    <w:p w:rsidR="00BA0FF7" w:rsidRPr="00BA0FF7" w:rsidRDefault="00C85629" w:rsidP="00CE6958">
      <w:pPr>
        <w:pStyle w:val="Prrafodelista"/>
        <w:ind w:left="0"/>
        <w:jc w:val="both"/>
        <w:outlineLvl w:val="1"/>
        <w:rPr>
          <w:rFonts w:ascii="Verdana" w:hAnsi="Verdana"/>
          <w:sz w:val="20"/>
          <w:szCs w:val="20"/>
          <w:lang w:val="es-ES"/>
        </w:rPr>
      </w:pPr>
      <w:r>
        <w:rPr>
          <w:rFonts w:ascii="Verdana" w:hAnsi="Verdana"/>
          <w:sz w:val="20"/>
          <w:szCs w:val="20"/>
          <w:lang w:val="es-ES"/>
        </w:rPr>
        <w:t>55</w:t>
      </w:r>
      <w:r w:rsidR="00CE6958">
        <w:rPr>
          <w:rFonts w:ascii="Verdana" w:hAnsi="Verdana"/>
          <w:sz w:val="20"/>
          <w:szCs w:val="20"/>
          <w:lang w:val="es-ES"/>
        </w:rPr>
        <w:t xml:space="preserve">. </w:t>
      </w:r>
      <w:r w:rsidR="00CE6958">
        <w:rPr>
          <w:rFonts w:ascii="Verdana" w:hAnsi="Verdana"/>
          <w:sz w:val="20"/>
          <w:szCs w:val="20"/>
          <w:lang w:val="es-ES"/>
        </w:rPr>
        <w:tab/>
      </w:r>
      <w:r w:rsidR="00BA0FF7" w:rsidRPr="00BA0FF7">
        <w:rPr>
          <w:rFonts w:ascii="Verdana" w:hAnsi="Verdana"/>
          <w:sz w:val="20"/>
          <w:szCs w:val="20"/>
          <w:lang w:val="es-ES"/>
        </w:rPr>
        <w:t xml:space="preserve">Cabe destacar que </w:t>
      </w:r>
      <w:r w:rsidR="005410D2">
        <w:rPr>
          <w:rFonts w:ascii="Verdana" w:hAnsi="Verdana"/>
          <w:sz w:val="20"/>
          <w:szCs w:val="20"/>
          <w:lang w:val="es-ES"/>
        </w:rPr>
        <w:t xml:space="preserve">el </w:t>
      </w:r>
      <w:r w:rsidR="005410D2" w:rsidRPr="005410D2">
        <w:rPr>
          <w:rFonts w:ascii="Verdana" w:hAnsi="Verdana"/>
          <w:i/>
          <w:sz w:val="20"/>
          <w:szCs w:val="20"/>
          <w:lang w:val="es-ES"/>
        </w:rPr>
        <w:t>Caso Poblete Vilches</w:t>
      </w:r>
      <w:r w:rsidR="004D4627" w:rsidRPr="00BA0FF7">
        <w:rPr>
          <w:rStyle w:val="Refdenotaalpie"/>
          <w:rFonts w:ascii="Verdana" w:hAnsi="Verdana"/>
          <w:sz w:val="20"/>
          <w:szCs w:val="20"/>
        </w:rPr>
        <w:footnoteReference w:id="94"/>
      </w:r>
      <w:r w:rsidR="00BA0FF7" w:rsidRPr="00BA0FF7">
        <w:rPr>
          <w:rFonts w:ascii="Verdana" w:hAnsi="Verdana"/>
          <w:sz w:val="20"/>
          <w:szCs w:val="20"/>
          <w:lang w:val="es-ES"/>
        </w:rPr>
        <w:t>, fue el primer precedente en el que se declaró violado el derecho a la salud como derecho autónomo</w:t>
      </w:r>
      <w:r w:rsidR="00053444">
        <w:rPr>
          <w:rFonts w:ascii="Verdana" w:hAnsi="Verdana"/>
          <w:sz w:val="20"/>
          <w:szCs w:val="20"/>
          <w:lang w:val="es-ES"/>
        </w:rPr>
        <w:t>,</w:t>
      </w:r>
      <w:r w:rsidR="00BA0FF7" w:rsidRPr="00BA0FF7">
        <w:rPr>
          <w:rFonts w:ascii="Verdana" w:hAnsi="Verdana"/>
          <w:sz w:val="20"/>
          <w:szCs w:val="20"/>
          <w:lang w:val="es-ES"/>
        </w:rPr>
        <w:t xml:space="preserve"> por lo que el Tribunal Interameri</w:t>
      </w:r>
      <w:r w:rsidR="005410D2">
        <w:rPr>
          <w:rFonts w:ascii="Verdana" w:hAnsi="Verdana"/>
          <w:sz w:val="20"/>
          <w:szCs w:val="20"/>
          <w:lang w:val="es-ES"/>
        </w:rPr>
        <w:t>cano abordó las violaciones de e</w:t>
      </w:r>
      <w:r w:rsidR="00BA0FF7" w:rsidRPr="00BA0FF7">
        <w:rPr>
          <w:rFonts w:ascii="Verdana" w:hAnsi="Verdana"/>
          <w:sz w:val="20"/>
          <w:szCs w:val="20"/>
          <w:lang w:val="es-ES"/>
        </w:rPr>
        <w:t>ste derecho bajo una óptica de la repercusión en la edad de la persona y las circu</w:t>
      </w:r>
      <w:r w:rsidR="005410D2">
        <w:rPr>
          <w:rFonts w:ascii="Verdana" w:hAnsi="Verdana"/>
          <w:sz w:val="20"/>
          <w:szCs w:val="20"/>
          <w:lang w:val="es-ES"/>
        </w:rPr>
        <w:t>nstancias particulares del caso;</w:t>
      </w:r>
      <w:r w:rsidR="00BA0FF7" w:rsidRPr="00BA0FF7">
        <w:rPr>
          <w:rFonts w:ascii="Verdana" w:hAnsi="Verdana"/>
          <w:sz w:val="20"/>
          <w:szCs w:val="20"/>
          <w:lang w:val="es-ES"/>
        </w:rPr>
        <w:t xml:space="preserve"> como lo fue el consentimiento </w:t>
      </w:r>
      <w:r w:rsidR="00BA0FF7" w:rsidRPr="00BA0FF7">
        <w:rPr>
          <w:rFonts w:ascii="Verdana" w:hAnsi="Verdana"/>
          <w:sz w:val="20"/>
          <w:szCs w:val="20"/>
          <w:lang w:val="es-ES"/>
        </w:rPr>
        <w:lastRenderedPageBreak/>
        <w:t>informado sustituto o bien cómo deben entenderse los servicios médicos urgentes cuanto está involucrado el derecho a la salud de una persona mayor</w:t>
      </w:r>
      <w:r w:rsidR="00BA0FF7" w:rsidRPr="00BA0FF7">
        <w:rPr>
          <w:rStyle w:val="Refdenotaalpie"/>
          <w:rFonts w:ascii="Verdana" w:hAnsi="Verdana"/>
          <w:sz w:val="20"/>
          <w:szCs w:val="20"/>
          <w:lang w:val="es-ES"/>
        </w:rPr>
        <w:footnoteReference w:id="95"/>
      </w:r>
      <w:r w:rsidR="00BA0FF7" w:rsidRPr="00BA0FF7">
        <w:rPr>
          <w:rFonts w:ascii="Verdana" w:hAnsi="Verdana"/>
          <w:sz w:val="20"/>
          <w:szCs w:val="20"/>
          <w:lang w:val="es-ES"/>
        </w:rPr>
        <w:t>.</w:t>
      </w:r>
    </w:p>
    <w:p w:rsidR="00BA0FF7" w:rsidRPr="00BA0FF7" w:rsidRDefault="00BA0FF7" w:rsidP="00DD2F96">
      <w:pPr>
        <w:pStyle w:val="Prrafodelista"/>
        <w:rPr>
          <w:rFonts w:ascii="Verdana" w:hAnsi="Verdana"/>
          <w:sz w:val="20"/>
          <w:szCs w:val="20"/>
          <w:lang w:val="es-ES"/>
        </w:rPr>
      </w:pPr>
    </w:p>
    <w:p w:rsidR="00BA0FF7" w:rsidRPr="00BA0FF7" w:rsidRDefault="00C85629" w:rsidP="00CE6958">
      <w:pPr>
        <w:pStyle w:val="Prrafodelista"/>
        <w:ind w:left="0"/>
        <w:jc w:val="both"/>
        <w:outlineLvl w:val="1"/>
        <w:rPr>
          <w:rFonts w:ascii="Verdana" w:hAnsi="Verdana"/>
          <w:sz w:val="20"/>
          <w:szCs w:val="20"/>
          <w:lang w:val="es-ES"/>
        </w:rPr>
      </w:pPr>
      <w:r>
        <w:rPr>
          <w:rFonts w:ascii="Verdana" w:hAnsi="Verdana"/>
          <w:sz w:val="20"/>
          <w:szCs w:val="20"/>
          <w:lang w:val="es-ES"/>
        </w:rPr>
        <w:t>56</w:t>
      </w:r>
      <w:r w:rsidR="00CE6958">
        <w:rPr>
          <w:rFonts w:ascii="Verdana" w:hAnsi="Verdana"/>
          <w:sz w:val="20"/>
          <w:szCs w:val="20"/>
          <w:lang w:val="es-ES"/>
        </w:rPr>
        <w:t xml:space="preserve">. </w:t>
      </w:r>
      <w:r w:rsidR="00CE6958">
        <w:rPr>
          <w:rFonts w:ascii="Verdana" w:hAnsi="Verdana"/>
          <w:sz w:val="20"/>
          <w:szCs w:val="20"/>
          <w:lang w:val="es-ES"/>
        </w:rPr>
        <w:tab/>
      </w:r>
      <w:r w:rsidR="00BA0FF7" w:rsidRPr="00BA0FF7">
        <w:rPr>
          <w:rFonts w:ascii="Verdana" w:hAnsi="Verdana"/>
          <w:sz w:val="20"/>
          <w:szCs w:val="20"/>
          <w:lang w:val="es-ES"/>
        </w:rPr>
        <w:t xml:space="preserve">Finalmente es importante destacar algunas medidas de reparación que, </w:t>
      </w:r>
      <w:r w:rsidR="004118ED">
        <w:rPr>
          <w:rFonts w:ascii="Verdana" w:hAnsi="Verdana"/>
          <w:sz w:val="20"/>
          <w:szCs w:val="20"/>
          <w:lang w:val="es-ES"/>
        </w:rPr>
        <w:t>de no haber</w:t>
      </w:r>
      <w:r w:rsidR="00BA0FF7" w:rsidRPr="00BA0FF7">
        <w:rPr>
          <w:rFonts w:ascii="Verdana" w:hAnsi="Verdana"/>
          <w:sz w:val="20"/>
          <w:szCs w:val="20"/>
          <w:lang w:val="es-ES"/>
        </w:rPr>
        <w:t xml:space="preserve"> abordado la especial situación de vulnerabilidad, hubieran sido desa</w:t>
      </w:r>
      <w:r w:rsidR="005410D2">
        <w:rPr>
          <w:rFonts w:ascii="Verdana" w:hAnsi="Verdana"/>
          <w:sz w:val="20"/>
          <w:szCs w:val="20"/>
          <w:lang w:val="es-ES"/>
        </w:rPr>
        <w:t>rrolladas bajo otros parámetros.</w:t>
      </w:r>
      <w:r w:rsidR="00792F5C">
        <w:rPr>
          <w:rFonts w:ascii="Verdana" w:hAnsi="Verdana"/>
          <w:sz w:val="20"/>
          <w:szCs w:val="20"/>
          <w:lang w:val="es-ES"/>
        </w:rPr>
        <w:t xml:space="preserve"> </w:t>
      </w:r>
      <w:r w:rsidR="005410D2">
        <w:rPr>
          <w:rFonts w:ascii="Verdana" w:hAnsi="Verdana"/>
          <w:sz w:val="20"/>
          <w:szCs w:val="20"/>
          <w:lang w:val="es-ES"/>
        </w:rPr>
        <w:t>D</w:t>
      </w:r>
      <w:r w:rsidR="00BA0FF7" w:rsidRPr="00BA0FF7">
        <w:rPr>
          <w:rFonts w:ascii="Verdana" w:hAnsi="Verdana"/>
          <w:sz w:val="20"/>
          <w:szCs w:val="20"/>
          <w:lang w:val="es-ES"/>
        </w:rPr>
        <w:t xml:space="preserve">e este modo en </w:t>
      </w:r>
      <w:r w:rsidR="005410D2">
        <w:rPr>
          <w:rFonts w:ascii="Verdana" w:hAnsi="Verdana"/>
          <w:sz w:val="20"/>
          <w:szCs w:val="20"/>
          <w:lang w:val="es-ES"/>
        </w:rPr>
        <w:t>la Sentencia del caso se ordenó</w:t>
      </w:r>
      <w:r w:rsidR="00BA0FF7" w:rsidRPr="00BA0FF7">
        <w:rPr>
          <w:rFonts w:ascii="Verdana" w:hAnsi="Verdana"/>
          <w:sz w:val="20"/>
          <w:szCs w:val="20"/>
          <w:lang w:val="es-ES"/>
        </w:rPr>
        <w:t xml:space="preserve">: i) </w:t>
      </w:r>
      <w:r w:rsidR="00BA0FF7" w:rsidRPr="00BA0FF7">
        <w:rPr>
          <w:rFonts w:ascii="Verdana" w:hAnsi="Verdana"/>
          <w:sz w:val="20"/>
          <w:szCs w:val="20"/>
        </w:rPr>
        <w:t>fortalecer el Instituto Nacional de Geriatría y su incidencia en la red hospitalaria, ii) diseñar una publicación o cartilla que desarrolle los derechos de las personas mayores</w:t>
      </w:r>
      <w:r w:rsidR="005410D2">
        <w:rPr>
          <w:rFonts w:ascii="Verdana" w:hAnsi="Verdana"/>
          <w:sz w:val="20"/>
          <w:szCs w:val="20"/>
        </w:rPr>
        <w:t xml:space="preserve"> en materia de salud y iii)</w:t>
      </w:r>
      <w:r w:rsidR="00BA0FF7" w:rsidRPr="00BA0FF7">
        <w:rPr>
          <w:rFonts w:ascii="Verdana" w:hAnsi="Verdana"/>
          <w:sz w:val="20"/>
          <w:szCs w:val="20"/>
        </w:rPr>
        <w:t xml:space="preserve"> adoptar las medidas necesarias, a fin de diseñar una política general de protección integral a las personas mayores</w:t>
      </w:r>
      <w:r w:rsidR="00BA0FF7">
        <w:rPr>
          <w:rStyle w:val="Refdenotaalpie"/>
          <w:rFonts w:ascii="Verdana" w:hAnsi="Verdana"/>
          <w:sz w:val="20"/>
          <w:szCs w:val="20"/>
        </w:rPr>
        <w:footnoteReference w:id="96"/>
      </w:r>
      <w:r w:rsidR="00BA0FF7" w:rsidRPr="00BA0FF7">
        <w:rPr>
          <w:rFonts w:ascii="Verdana" w:hAnsi="Verdana"/>
          <w:sz w:val="20"/>
          <w:szCs w:val="20"/>
        </w:rPr>
        <w:t xml:space="preserve">. </w:t>
      </w:r>
    </w:p>
    <w:p w:rsidR="00BA0FF7" w:rsidRPr="00BA0FF7" w:rsidRDefault="00BA0FF7" w:rsidP="00DD2F96">
      <w:pPr>
        <w:pStyle w:val="Prrafodelista"/>
        <w:rPr>
          <w:rFonts w:ascii="Verdana" w:hAnsi="Verdana"/>
          <w:sz w:val="20"/>
          <w:szCs w:val="20"/>
          <w:lang w:val="es-ES"/>
        </w:rPr>
      </w:pPr>
    </w:p>
    <w:p w:rsidR="00E715C1" w:rsidRDefault="00C85629" w:rsidP="00CE6958">
      <w:pPr>
        <w:pStyle w:val="Prrafodelista"/>
        <w:ind w:left="0"/>
        <w:jc w:val="both"/>
        <w:outlineLvl w:val="1"/>
        <w:rPr>
          <w:rFonts w:ascii="Verdana" w:hAnsi="Verdana"/>
          <w:sz w:val="20"/>
          <w:szCs w:val="20"/>
          <w:lang w:val="es-ES"/>
        </w:rPr>
      </w:pPr>
      <w:r>
        <w:rPr>
          <w:rFonts w:ascii="Verdana" w:hAnsi="Verdana"/>
          <w:sz w:val="20"/>
          <w:szCs w:val="20"/>
          <w:lang w:val="es-ES"/>
        </w:rPr>
        <w:t>57</w:t>
      </w:r>
      <w:r w:rsidR="00CE6958">
        <w:rPr>
          <w:rFonts w:ascii="Verdana" w:hAnsi="Verdana"/>
          <w:sz w:val="20"/>
          <w:szCs w:val="20"/>
          <w:lang w:val="es-ES"/>
        </w:rPr>
        <w:t xml:space="preserve">. </w:t>
      </w:r>
      <w:r w:rsidR="00CE6958">
        <w:rPr>
          <w:rFonts w:ascii="Verdana" w:hAnsi="Verdana"/>
          <w:sz w:val="20"/>
          <w:szCs w:val="20"/>
          <w:lang w:val="es-ES"/>
        </w:rPr>
        <w:tab/>
      </w:r>
      <w:r w:rsidR="00BA0FF7">
        <w:rPr>
          <w:rFonts w:ascii="Verdana" w:hAnsi="Verdana"/>
          <w:sz w:val="20"/>
          <w:szCs w:val="20"/>
          <w:lang w:val="es-ES"/>
        </w:rPr>
        <w:t xml:space="preserve">El segundo caso en el que la Corte </w:t>
      </w:r>
      <w:r w:rsidR="00B61DA8">
        <w:rPr>
          <w:rFonts w:ascii="Verdana" w:hAnsi="Verdana"/>
          <w:sz w:val="20"/>
          <w:szCs w:val="20"/>
          <w:lang w:val="es-ES"/>
        </w:rPr>
        <w:t xml:space="preserve">IDH </w:t>
      </w:r>
      <w:r w:rsidR="00BA0FF7">
        <w:rPr>
          <w:rFonts w:ascii="Verdana" w:hAnsi="Verdana"/>
          <w:sz w:val="20"/>
          <w:szCs w:val="20"/>
          <w:lang w:val="es-ES"/>
        </w:rPr>
        <w:t>abona a la situación de la</w:t>
      </w:r>
      <w:r w:rsidR="000600F1">
        <w:rPr>
          <w:rFonts w:ascii="Verdana" w:hAnsi="Verdana"/>
          <w:sz w:val="20"/>
          <w:szCs w:val="20"/>
          <w:lang w:val="es-ES"/>
        </w:rPr>
        <w:t>s</w:t>
      </w:r>
      <w:r w:rsidR="00BA0FF7">
        <w:rPr>
          <w:rFonts w:ascii="Verdana" w:hAnsi="Verdana"/>
          <w:sz w:val="20"/>
          <w:szCs w:val="20"/>
          <w:lang w:val="es-ES"/>
        </w:rPr>
        <w:t xml:space="preserve"> personas mayores de manera directa y específica, es precisamente el caso </w:t>
      </w:r>
      <w:r w:rsidR="00BA0FF7" w:rsidRPr="00BA0FF7">
        <w:rPr>
          <w:rFonts w:ascii="Verdana" w:hAnsi="Verdana"/>
          <w:i/>
          <w:sz w:val="20"/>
          <w:szCs w:val="20"/>
          <w:lang w:val="es-ES"/>
        </w:rPr>
        <w:t>Muelle Flores</w:t>
      </w:r>
      <w:r w:rsidR="00BA0FF7">
        <w:rPr>
          <w:rFonts w:ascii="Verdana" w:hAnsi="Verdana"/>
          <w:sz w:val="20"/>
          <w:szCs w:val="20"/>
          <w:lang w:val="es-ES"/>
        </w:rPr>
        <w:t xml:space="preserve">, en donde además de abordar las violaciones de un derecho social, la Corte </w:t>
      </w:r>
      <w:r w:rsidR="005410D2">
        <w:rPr>
          <w:rFonts w:ascii="Verdana" w:hAnsi="Verdana"/>
          <w:sz w:val="20"/>
          <w:szCs w:val="20"/>
          <w:lang w:val="es-ES"/>
        </w:rPr>
        <w:t xml:space="preserve">IDH </w:t>
      </w:r>
      <w:r w:rsidR="00BA0FF7">
        <w:rPr>
          <w:rFonts w:ascii="Verdana" w:hAnsi="Verdana"/>
          <w:sz w:val="20"/>
          <w:szCs w:val="20"/>
          <w:lang w:val="es-ES"/>
        </w:rPr>
        <w:t xml:space="preserve">de manera transversal permea importantes estándares en materia de personas mayores desde una perspectiva de la falta de ejecución de las sentencias. </w:t>
      </w:r>
    </w:p>
    <w:p w:rsidR="00F47861" w:rsidRDefault="00F47861" w:rsidP="00F47861">
      <w:pPr>
        <w:pStyle w:val="Ttulo1"/>
        <w:spacing w:before="0" w:line="360" w:lineRule="auto"/>
        <w:rPr>
          <w:rFonts w:ascii="Verdana" w:eastAsiaTheme="minorHAnsi" w:hAnsi="Verdana" w:cstheme="minorBidi"/>
          <w:b w:val="0"/>
          <w:bCs w:val="0"/>
          <w:color w:val="auto"/>
          <w:sz w:val="20"/>
          <w:szCs w:val="20"/>
          <w:lang w:val="es-ES"/>
        </w:rPr>
      </w:pPr>
    </w:p>
    <w:p w:rsidR="0062221C" w:rsidRPr="0062221C" w:rsidRDefault="0062221C" w:rsidP="0062221C">
      <w:pPr>
        <w:rPr>
          <w:lang w:val="es-ES"/>
        </w:rPr>
      </w:pPr>
    </w:p>
    <w:p w:rsidR="00A501BB" w:rsidRPr="00F47861" w:rsidRDefault="00135484" w:rsidP="00F47861">
      <w:pPr>
        <w:pStyle w:val="Ttulo1"/>
        <w:spacing w:before="0" w:line="360" w:lineRule="auto"/>
        <w:jc w:val="center"/>
        <w:rPr>
          <w:rFonts w:ascii="Verdana" w:hAnsi="Verdana"/>
          <w:b w:val="0"/>
          <w:color w:val="auto"/>
          <w:sz w:val="20"/>
          <w:szCs w:val="20"/>
          <w:lang w:val="es-ES"/>
        </w:rPr>
      </w:pPr>
      <w:r>
        <w:rPr>
          <w:rFonts w:ascii="Verdana" w:hAnsi="Verdana"/>
          <w:b w:val="0"/>
          <w:color w:val="auto"/>
          <w:sz w:val="20"/>
          <w:szCs w:val="20"/>
          <w:lang w:val="es-ES"/>
        </w:rPr>
        <w:t>III</w:t>
      </w:r>
      <w:r w:rsidR="00F47861" w:rsidRPr="00F47861">
        <w:rPr>
          <w:rFonts w:ascii="Verdana" w:hAnsi="Verdana"/>
          <w:b w:val="0"/>
          <w:color w:val="auto"/>
          <w:sz w:val="20"/>
          <w:szCs w:val="20"/>
          <w:lang w:val="es-ES"/>
        </w:rPr>
        <w:t>.</w:t>
      </w:r>
      <w:r w:rsidR="00E715C1" w:rsidRPr="00F47861">
        <w:rPr>
          <w:rFonts w:ascii="Verdana" w:hAnsi="Verdana"/>
          <w:b w:val="0"/>
          <w:color w:val="auto"/>
          <w:sz w:val="20"/>
          <w:szCs w:val="20"/>
          <w:lang w:val="es-ES"/>
        </w:rPr>
        <w:t xml:space="preserve"> LA IMPORTANCIA DEL </w:t>
      </w:r>
      <w:r w:rsidR="00E715C1" w:rsidRPr="00135484">
        <w:rPr>
          <w:rFonts w:ascii="Verdana" w:hAnsi="Verdana"/>
          <w:b w:val="0"/>
          <w:i/>
          <w:color w:val="auto"/>
          <w:sz w:val="20"/>
          <w:szCs w:val="20"/>
          <w:lang w:val="es-ES"/>
        </w:rPr>
        <w:t>CASO MUELL</w:t>
      </w:r>
      <w:r w:rsidR="00F47861" w:rsidRPr="00135484">
        <w:rPr>
          <w:rFonts w:ascii="Verdana" w:hAnsi="Verdana"/>
          <w:b w:val="0"/>
          <w:i/>
          <w:color w:val="auto"/>
          <w:sz w:val="20"/>
          <w:szCs w:val="20"/>
          <w:lang w:val="es-ES"/>
        </w:rPr>
        <w:t>E FLORES</w:t>
      </w:r>
      <w:r w:rsidR="00F47861">
        <w:rPr>
          <w:rFonts w:ascii="Verdana" w:hAnsi="Verdana"/>
          <w:b w:val="0"/>
          <w:color w:val="auto"/>
          <w:sz w:val="20"/>
          <w:szCs w:val="20"/>
          <w:lang w:val="es-ES"/>
        </w:rPr>
        <w:t xml:space="preserve"> PARA LA JURISPRUDENCIA </w:t>
      </w:r>
      <w:r w:rsidR="00E715C1" w:rsidRPr="00F47861">
        <w:rPr>
          <w:rFonts w:ascii="Verdana" w:hAnsi="Verdana"/>
          <w:b w:val="0"/>
          <w:color w:val="auto"/>
          <w:sz w:val="20"/>
          <w:szCs w:val="20"/>
          <w:lang w:val="es-ES"/>
        </w:rPr>
        <w:t>INTERAMERICAN</w:t>
      </w:r>
      <w:r w:rsidR="00346F6B">
        <w:rPr>
          <w:rFonts w:ascii="Verdana" w:hAnsi="Verdana"/>
          <w:b w:val="0"/>
          <w:color w:val="auto"/>
          <w:sz w:val="20"/>
          <w:szCs w:val="20"/>
          <w:lang w:val="es-ES"/>
        </w:rPr>
        <w:t>A: LA OBLIGACIÓ</w:t>
      </w:r>
      <w:r w:rsidR="00A501BB" w:rsidRPr="00F47861">
        <w:rPr>
          <w:rFonts w:ascii="Verdana" w:hAnsi="Verdana"/>
          <w:b w:val="0"/>
          <w:color w:val="auto"/>
          <w:sz w:val="20"/>
          <w:szCs w:val="20"/>
          <w:lang w:val="es-ES"/>
        </w:rPr>
        <w:t>N D</w:t>
      </w:r>
      <w:r w:rsidR="00F47861" w:rsidRPr="00F47861">
        <w:rPr>
          <w:rFonts w:ascii="Verdana" w:hAnsi="Verdana"/>
          <w:b w:val="0"/>
          <w:color w:val="auto"/>
          <w:sz w:val="20"/>
          <w:szCs w:val="20"/>
          <w:lang w:val="es-ES"/>
        </w:rPr>
        <w:t xml:space="preserve">E </w:t>
      </w:r>
      <w:r w:rsidR="00325B5E">
        <w:rPr>
          <w:rFonts w:ascii="Verdana" w:hAnsi="Verdana"/>
          <w:b w:val="0"/>
          <w:color w:val="auto"/>
          <w:sz w:val="20"/>
          <w:szCs w:val="20"/>
          <w:lang w:val="es-ES"/>
        </w:rPr>
        <w:t>“</w:t>
      </w:r>
      <w:r w:rsidR="00F47861" w:rsidRPr="00F47861">
        <w:rPr>
          <w:rFonts w:ascii="Verdana" w:hAnsi="Verdana"/>
          <w:b w:val="0"/>
          <w:color w:val="auto"/>
          <w:sz w:val="20"/>
          <w:szCs w:val="20"/>
          <w:lang w:val="es-ES"/>
        </w:rPr>
        <w:t>DEBIDA DILIGENCIA EXCEPCIONAL</w:t>
      </w:r>
      <w:r w:rsidR="00325B5E">
        <w:rPr>
          <w:rFonts w:ascii="Verdana" w:hAnsi="Verdana"/>
          <w:b w:val="0"/>
          <w:color w:val="auto"/>
          <w:sz w:val="20"/>
          <w:szCs w:val="20"/>
          <w:lang w:val="es-ES"/>
        </w:rPr>
        <w:t>”</w:t>
      </w:r>
    </w:p>
    <w:p w:rsidR="00521E35" w:rsidRDefault="00521E35" w:rsidP="00DD2F96">
      <w:pPr>
        <w:pStyle w:val="Prrafodelista"/>
        <w:tabs>
          <w:tab w:val="left" w:pos="709"/>
          <w:tab w:val="left" w:pos="1464"/>
        </w:tabs>
        <w:ind w:left="0"/>
        <w:jc w:val="both"/>
        <w:rPr>
          <w:rFonts w:ascii="Verdana" w:hAnsi="Verdana"/>
          <w:sz w:val="20"/>
          <w:szCs w:val="20"/>
          <w:lang w:val="es-CR"/>
        </w:rPr>
      </w:pPr>
    </w:p>
    <w:p w:rsidR="00D14204" w:rsidRPr="00D14204" w:rsidRDefault="00C85629" w:rsidP="00CE6958">
      <w:pPr>
        <w:tabs>
          <w:tab w:val="left" w:pos="567"/>
          <w:tab w:val="left" w:pos="720"/>
          <w:tab w:val="left" w:pos="1464"/>
        </w:tabs>
        <w:jc w:val="both"/>
        <w:rPr>
          <w:rFonts w:ascii="Verdana" w:hAnsi="Verdana"/>
          <w:sz w:val="20"/>
          <w:szCs w:val="20"/>
          <w:lang w:val="es-CR"/>
        </w:rPr>
      </w:pPr>
      <w:r>
        <w:rPr>
          <w:rFonts w:ascii="Verdana" w:hAnsi="Verdana"/>
          <w:sz w:val="20"/>
          <w:szCs w:val="20"/>
          <w:lang w:val="es-CR"/>
        </w:rPr>
        <w:t>58</w:t>
      </w:r>
      <w:r w:rsidR="00CE6958">
        <w:rPr>
          <w:rFonts w:ascii="Verdana" w:hAnsi="Verdana"/>
          <w:sz w:val="20"/>
          <w:szCs w:val="20"/>
          <w:lang w:val="es-CR"/>
        </w:rPr>
        <w:t xml:space="preserve">. </w:t>
      </w:r>
      <w:r w:rsidR="00CE6958">
        <w:rPr>
          <w:rFonts w:ascii="Verdana" w:hAnsi="Verdana"/>
          <w:sz w:val="20"/>
          <w:szCs w:val="20"/>
          <w:lang w:val="es-CR"/>
        </w:rPr>
        <w:tab/>
      </w:r>
      <w:r w:rsidR="003C297E" w:rsidRPr="00D14204">
        <w:rPr>
          <w:rFonts w:ascii="Verdana" w:hAnsi="Verdana"/>
          <w:sz w:val="20"/>
          <w:szCs w:val="20"/>
          <w:lang w:val="es-CR"/>
        </w:rPr>
        <w:t xml:space="preserve">Los derechos que han sido </w:t>
      </w:r>
      <w:r w:rsidR="00053444">
        <w:rPr>
          <w:rFonts w:ascii="Verdana" w:hAnsi="Verdana"/>
          <w:sz w:val="20"/>
          <w:szCs w:val="20"/>
          <w:lang w:val="es-CR"/>
        </w:rPr>
        <w:t xml:space="preserve">abordados </w:t>
      </w:r>
      <w:r w:rsidR="009769EC">
        <w:rPr>
          <w:rFonts w:ascii="Verdana" w:hAnsi="Verdana"/>
          <w:sz w:val="20"/>
          <w:szCs w:val="20"/>
          <w:lang w:val="es-CR"/>
        </w:rPr>
        <w:t>en apartados anteriores —</w:t>
      </w:r>
      <w:r w:rsidR="003C297E" w:rsidRPr="00D14204">
        <w:rPr>
          <w:rFonts w:ascii="Verdana" w:hAnsi="Verdana"/>
          <w:sz w:val="20"/>
          <w:szCs w:val="20"/>
          <w:lang w:val="es-CR"/>
        </w:rPr>
        <w:t xml:space="preserve">el derecho a la </w:t>
      </w:r>
      <w:r w:rsidR="003C297E" w:rsidRPr="00D14204">
        <w:rPr>
          <w:rFonts w:ascii="Verdana" w:hAnsi="Verdana"/>
          <w:color w:val="000000" w:themeColor="text1"/>
          <w:sz w:val="20"/>
          <w:szCs w:val="20"/>
          <w:lang w:val="es-CR"/>
        </w:rPr>
        <w:t>seguridad social, el derecho a la propiedad y el derecho a un recurso judicial efectivo</w:t>
      </w:r>
      <w:r w:rsidR="009769EC">
        <w:rPr>
          <w:rFonts w:ascii="Verdana" w:hAnsi="Verdana"/>
          <w:color w:val="000000" w:themeColor="text1"/>
          <w:sz w:val="20"/>
          <w:szCs w:val="20"/>
          <w:lang w:val="es-CR"/>
        </w:rPr>
        <w:t>—</w:t>
      </w:r>
      <w:r w:rsidR="003C297E" w:rsidRPr="00D14204">
        <w:rPr>
          <w:rFonts w:ascii="Verdana" w:hAnsi="Verdana"/>
          <w:color w:val="000000" w:themeColor="text1"/>
          <w:sz w:val="20"/>
          <w:szCs w:val="20"/>
          <w:lang w:val="es-CR"/>
        </w:rPr>
        <w:t xml:space="preserve"> tiene una especial repercusión en cuanto al caso en concreto. En la Sentencia, </w:t>
      </w:r>
      <w:r w:rsidR="009769EC">
        <w:rPr>
          <w:rFonts w:ascii="Verdana" w:hAnsi="Verdana"/>
          <w:color w:val="000000" w:themeColor="text1"/>
          <w:sz w:val="20"/>
          <w:szCs w:val="20"/>
          <w:lang w:val="es-CR"/>
        </w:rPr>
        <w:t xml:space="preserve">se señala </w:t>
      </w:r>
      <w:r w:rsidR="003C297E" w:rsidRPr="00D14204">
        <w:rPr>
          <w:rFonts w:ascii="Verdana" w:hAnsi="Verdana"/>
          <w:color w:val="000000" w:themeColor="text1"/>
          <w:sz w:val="20"/>
          <w:szCs w:val="20"/>
          <w:lang w:val="es-CR"/>
        </w:rPr>
        <w:t xml:space="preserve">que </w:t>
      </w:r>
      <w:r w:rsidR="00D14204" w:rsidRPr="00D14204">
        <w:rPr>
          <w:rFonts w:ascii="Verdana" w:hAnsi="Verdana"/>
          <w:color w:val="000000" w:themeColor="text1"/>
          <w:sz w:val="20"/>
          <w:szCs w:val="20"/>
          <w:lang w:val="es-CR"/>
        </w:rPr>
        <w:t>“</w:t>
      </w:r>
      <w:r w:rsidR="00D14204" w:rsidRPr="00D14204">
        <w:rPr>
          <w:rFonts w:ascii="Verdana" w:hAnsi="Verdana" w:cs="Verdana"/>
          <w:bCs/>
          <w:iCs/>
          <w:color w:val="000000" w:themeColor="text1"/>
          <w:sz w:val="20"/>
          <w:szCs w:val="20"/>
        </w:rPr>
        <w:t xml:space="preserve">[e]n cuanto al plazo razonable en relación con la etapa de ejecución de sentencias, la Corte resalta que dicho plazo debe ser más breve debido a la existencia de una decisión firme en relación con una materia concreta. </w:t>
      </w:r>
      <w:r w:rsidR="00D14204" w:rsidRPr="00D14204">
        <w:rPr>
          <w:rFonts w:ascii="Verdana" w:hAnsi="Verdana"/>
          <w:color w:val="000000" w:themeColor="text1"/>
          <w:sz w:val="20"/>
          <w:szCs w:val="20"/>
          <w:lang w:val="es-ES"/>
        </w:rPr>
        <w:t>Es inadmisible que un procedimiento de ejecución de sentencia distorsione temporalmente lo resuelto en sentencia definitiva o de cualquier otro modo lo desvirtúe o vuelva inoficioso, prolongando exagerada o indefinidamente la situación litigiosa ya resuelta.</w:t>
      </w:r>
      <w:r w:rsidR="00D14204" w:rsidRPr="00D14204">
        <w:rPr>
          <w:rFonts w:ascii="Verdana" w:hAnsi="Verdana" w:cs="Verdana"/>
          <w:bCs/>
          <w:iCs/>
          <w:color w:val="000000" w:themeColor="text1"/>
          <w:sz w:val="20"/>
          <w:szCs w:val="20"/>
        </w:rPr>
        <w:t xml:space="preserve"> Ello adquiere mayor relevancia en un </w:t>
      </w:r>
      <w:r w:rsidR="00D14204" w:rsidRPr="00D14204">
        <w:rPr>
          <w:rFonts w:ascii="Verdana" w:hAnsi="Verdana"/>
          <w:color w:val="000000" w:themeColor="text1"/>
          <w:sz w:val="20"/>
          <w:szCs w:val="20"/>
          <w:lang w:val="es-ES" w:eastAsia="es-MX"/>
        </w:rPr>
        <w:t>proceso de ejecución de sentencias, por medio de las cuales fue reconocido a nivel interno el derecho a la seguridad social […]</w:t>
      </w:r>
      <w:r w:rsidR="00D14204">
        <w:rPr>
          <w:rFonts w:ascii="Verdana" w:hAnsi="Verdana"/>
          <w:color w:val="000000" w:themeColor="text1"/>
          <w:sz w:val="20"/>
          <w:szCs w:val="20"/>
          <w:lang w:val="es-ES" w:eastAsia="es-MX"/>
        </w:rPr>
        <w:t>”</w:t>
      </w:r>
      <w:r w:rsidR="00D14204" w:rsidRPr="00D14204">
        <w:rPr>
          <w:rStyle w:val="Refdenotaalpie"/>
          <w:rFonts w:ascii="Verdana" w:hAnsi="Verdana"/>
          <w:color w:val="000000" w:themeColor="text1"/>
          <w:sz w:val="20"/>
          <w:szCs w:val="20"/>
          <w:lang w:val="es-ES" w:eastAsia="es-MX"/>
        </w:rPr>
        <w:footnoteReference w:id="97"/>
      </w:r>
      <w:r w:rsidR="00D14204" w:rsidRPr="00D14204">
        <w:rPr>
          <w:rFonts w:ascii="Verdana" w:hAnsi="Verdana"/>
          <w:color w:val="000000" w:themeColor="text1"/>
          <w:sz w:val="20"/>
          <w:szCs w:val="20"/>
          <w:lang w:val="es-ES" w:eastAsia="es-MX"/>
        </w:rPr>
        <w:t>.</w:t>
      </w:r>
    </w:p>
    <w:p w:rsidR="00D14204" w:rsidRPr="00D14204" w:rsidRDefault="00D14204" w:rsidP="00DD2F96">
      <w:pPr>
        <w:tabs>
          <w:tab w:val="left" w:pos="567"/>
          <w:tab w:val="left" w:pos="720"/>
          <w:tab w:val="left" w:pos="1464"/>
        </w:tabs>
        <w:jc w:val="both"/>
        <w:rPr>
          <w:rFonts w:ascii="Verdana" w:hAnsi="Verdana"/>
          <w:sz w:val="20"/>
          <w:szCs w:val="20"/>
          <w:lang w:val="es-CR"/>
        </w:rPr>
      </w:pPr>
    </w:p>
    <w:p w:rsidR="003C297E" w:rsidRPr="00D14204" w:rsidRDefault="00C85629" w:rsidP="00CE6958">
      <w:pPr>
        <w:tabs>
          <w:tab w:val="left" w:pos="567"/>
          <w:tab w:val="left" w:pos="720"/>
          <w:tab w:val="left" w:pos="1464"/>
        </w:tabs>
        <w:jc w:val="both"/>
        <w:rPr>
          <w:rFonts w:ascii="Verdana" w:hAnsi="Verdana"/>
          <w:color w:val="000000" w:themeColor="text1"/>
          <w:sz w:val="20"/>
          <w:szCs w:val="20"/>
          <w:lang w:val="es-CR"/>
        </w:rPr>
      </w:pPr>
      <w:r>
        <w:rPr>
          <w:rFonts w:ascii="Verdana" w:eastAsia="Batang" w:hAnsi="Verdana"/>
          <w:color w:val="000000" w:themeColor="text1"/>
          <w:sz w:val="20"/>
          <w:szCs w:val="20"/>
          <w:lang w:val="es-ES" w:eastAsia="es-MX"/>
        </w:rPr>
        <w:t>59</w:t>
      </w:r>
      <w:r w:rsidR="00CE6958">
        <w:rPr>
          <w:rFonts w:ascii="Verdana" w:eastAsia="Batang" w:hAnsi="Verdana"/>
          <w:color w:val="000000" w:themeColor="text1"/>
          <w:sz w:val="20"/>
          <w:szCs w:val="20"/>
          <w:lang w:val="es-ES" w:eastAsia="es-MX"/>
        </w:rPr>
        <w:t xml:space="preserve">. </w:t>
      </w:r>
      <w:r w:rsidR="00CE6958">
        <w:rPr>
          <w:rFonts w:ascii="Verdana" w:eastAsia="Batang" w:hAnsi="Verdana"/>
          <w:color w:val="000000" w:themeColor="text1"/>
          <w:sz w:val="20"/>
          <w:szCs w:val="20"/>
          <w:lang w:val="es-ES" w:eastAsia="es-MX"/>
        </w:rPr>
        <w:tab/>
      </w:r>
      <w:r w:rsidR="00D14204" w:rsidRPr="00D14204">
        <w:rPr>
          <w:rFonts w:ascii="Verdana" w:eastAsia="Batang" w:hAnsi="Verdana"/>
          <w:color w:val="000000" w:themeColor="text1"/>
          <w:sz w:val="20"/>
          <w:szCs w:val="20"/>
          <w:lang w:val="es-ES" w:eastAsia="es-MX"/>
        </w:rPr>
        <w:t xml:space="preserve">En estos casos, los derechos involucrados en las sentencias internas que reconozcan derechos humanos </w:t>
      </w:r>
      <w:r w:rsidR="003A15E5">
        <w:rPr>
          <w:rFonts w:ascii="Verdana" w:hAnsi="Verdana"/>
          <w:sz w:val="20"/>
          <w:szCs w:val="20"/>
        </w:rPr>
        <w:t>—</w:t>
      </w:r>
      <w:r w:rsidR="00D14204" w:rsidRPr="00D14204">
        <w:rPr>
          <w:rFonts w:ascii="Verdana" w:eastAsia="Batang" w:hAnsi="Verdana"/>
          <w:color w:val="000000" w:themeColor="text1"/>
          <w:sz w:val="20"/>
          <w:szCs w:val="20"/>
          <w:lang w:val="es-ES" w:eastAsia="es-MX"/>
        </w:rPr>
        <w:t>como el derecho a la seguridad social</w:t>
      </w:r>
      <w:r w:rsidR="003A15E5">
        <w:rPr>
          <w:rFonts w:ascii="Verdana" w:hAnsi="Verdana"/>
          <w:sz w:val="20"/>
          <w:szCs w:val="20"/>
        </w:rPr>
        <w:t>—</w:t>
      </w:r>
      <w:r w:rsidR="00D14204" w:rsidRPr="00D14204">
        <w:rPr>
          <w:rFonts w:ascii="Verdana" w:eastAsia="Batang" w:hAnsi="Verdana"/>
          <w:color w:val="000000" w:themeColor="text1"/>
          <w:sz w:val="20"/>
          <w:szCs w:val="20"/>
          <w:lang w:val="es-ES" w:eastAsia="es-MX"/>
        </w:rPr>
        <w:t xml:space="preserve"> deben analizarse desde la óptica de particular celeridad en el plazo razonable establecida en el artículo 8.1</w:t>
      </w:r>
      <w:r w:rsidR="00D14204" w:rsidRPr="00D14204">
        <w:rPr>
          <w:rFonts w:ascii="Verdana" w:hAnsi="Verdana"/>
          <w:color w:val="000000" w:themeColor="text1"/>
          <w:sz w:val="20"/>
          <w:szCs w:val="20"/>
          <w:lang w:val="es-ES" w:eastAsia="es-MX"/>
        </w:rPr>
        <w:t xml:space="preserve"> de la Convención Americana, pa</w:t>
      </w:r>
      <w:r w:rsidR="009769EC">
        <w:rPr>
          <w:rFonts w:ascii="Verdana" w:hAnsi="Verdana"/>
          <w:color w:val="000000" w:themeColor="text1"/>
          <w:sz w:val="20"/>
          <w:szCs w:val="20"/>
          <w:lang w:val="es-ES" w:eastAsia="es-MX"/>
        </w:rPr>
        <w:t xml:space="preserve">ra la ejecución de la Sentencia. Lo anterior, tal como se ha establecido en </w:t>
      </w:r>
      <w:r w:rsidR="00D14204" w:rsidRPr="00D14204">
        <w:rPr>
          <w:rFonts w:ascii="Verdana" w:hAnsi="Verdana"/>
          <w:color w:val="000000" w:themeColor="text1"/>
          <w:sz w:val="20"/>
          <w:szCs w:val="20"/>
          <w:lang w:val="es-ES" w:eastAsia="es-MX"/>
        </w:rPr>
        <w:t>la jurisprudencia de la Corte</w:t>
      </w:r>
      <w:r w:rsidR="003A15E5">
        <w:rPr>
          <w:rFonts w:ascii="Verdana" w:hAnsi="Verdana"/>
          <w:color w:val="000000" w:themeColor="text1"/>
          <w:sz w:val="20"/>
          <w:szCs w:val="20"/>
          <w:lang w:val="es-ES" w:eastAsia="es-MX"/>
        </w:rPr>
        <w:t xml:space="preserve"> IDH</w:t>
      </w:r>
      <w:r w:rsidR="00D14204" w:rsidRPr="00D14204">
        <w:rPr>
          <w:rFonts w:ascii="Verdana" w:hAnsi="Verdana"/>
          <w:color w:val="000000" w:themeColor="text1"/>
          <w:sz w:val="20"/>
          <w:szCs w:val="20"/>
          <w:lang w:val="es-ES" w:eastAsia="es-MX"/>
        </w:rPr>
        <w:t xml:space="preserve">, cobra particular importancia </w:t>
      </w:r>
      <w:r w:rsidR="00D14204" w:rsidRPr="00D14204">
        <w:rPr>
          <w:rFonts w:ascii="Verdana" w:eastAsia="Batang" w:hAnsi="Verdana"/>
          <w:color w:val="000000" w:themeColor="text1"/>
          <w:sz w:val="20"/>
          <w:szCs w:val="20"/>
          <w:lang w:val="es-ES" w:eastAsia="es-MX"/>
        </w:rPr>
        <w:t xml:space="preserve">en lo </w:t>
      </w:r>
      <w:r w:rsidR="00D14204" w:rsidRPr="00D14204">
        <w:rPr>
          <w:rFonts w:ascii="Verdana" w:eastAsia="Batang" w:hAnsi="Verdana" w:cs="Arial"/>
          <w:color w:val="000000" w:themeColor="text1"/>
          <w:sz w:val="20"/>
          <w:szCs w:val="20"/>
          <w:lang w:val="es-ES" w:eastAsia="es-MX"/>
        </w:rPr>
        <w:t>relativo</w:t>
      </w:r>
      <w:r w:rsidR="00D14204" w:rsidRPr="00D14204">
        <w:rPr>
          <w:rFonts w:ascii="Verdana" w:eastAsia="Batang" w:hAnsi="Verdana"/>
          <w:color w:val="000000" w:themeColor="text1"/>
          <w:sz w:val="20"/>
          <w:szCs w:val="20"/>
          <w:lang w:val="es-ES" w:eastAsia="es-MX"/>
        </w:rPr>
        <w:t xml:space="preserve"> a </w:t>
      </w:r>
      <w:r w:rsidR="00D14204" w:rsidRPr="00D14204">
        <w:rPr>
          <w:rFonts w:ascii="Verdana" w:eastAsia="Batang" w:hAnsi="Verdana"/>
          <w:i/>
          <w:iCs/>
          <w:color w:val="000000" w:themeColor="text1"/>
          <w:sz w:val="20"/>
          <w:szCs w:val="20"/>
          <w:lang w:val="es-ES" w:eastAsia="es-MX"/>
        </w:rPr>
        <w:t>la afectación generada en la situación jurídica de la persona involucrada en el proceso</w:t>
      </w:r>
      <w:r w:rsidR="003A15E5">
        <w:rPr>
          <w:rFonts w:ascii="Verdana" w:hAnsi="Verdana"/>
          <w:color w:val="000000" w:themeColor="text1"/>
          <w:sz w:val="20"/>
          <w:szCs w:val="20"/>
          <w:lang w:val="es-ES" w:eastAsia="es-MX"/>
        </w:rPr>
        <w:t>. El</w:t>
      </w:r>
      <w:r w:rsidR="00D14204" w:rsidRPr="00D14204">
        <w:rPr>
          <w:rFonts w:ascii="Verdana" w:eastAsia="Batang" w:hAnsi="Verdana"/>
          <w:color w:val="000000" w:themeColor="text1"/>
          <w:sz w:val="20"/>
          <w:szCs w:val="20"/>
          <w:lang w:val="es-ES" w:eastAsia="es-MX"/>
        </w:rPr>
        <w:t xml:space="preserve"> Tribunal</w:t>
      </w:r>
      <w:r w:rsidR="003A15E5">
        <w:rPr>
          <w:rFonts w:ascii="Verdana" w:eastAsia="Batang" w:hAnsi="Verdana"/>
          <w:color w:val="000000" w:themeColor="text1"/>
          <w:sz w:val="20"/>
          <w:szCs w:val="20"/>
          <w:lang w:val="es-ES" w:eastAsia="es-MX"/>
        </w:rPr>
        <w:t xml:space="preserve"> Interamerican</w:t>
      </w:r>
      <w:r w:rsidR="009769EC">
        <w:rPr>
          <w:rFonts w:ascii="Verdana" w:eastAsia="Batang" w:hAnsi="Verdana"/>
          <w:color w:val="000000" w:themeColor="text1"/>
          <w:sz w:val="20"/>
          <w:szCs w:val="20"/>
          <w:lang w:val="es-ES" w:eastAsia="es-MX"/>
        </w:rPr>
        <w:t>o</w:t>
      </w:r>
      <w:r w:rsidR="00D14204" w:rsidRPr="00D14204">
        <w:rPr>
          <w:rFonts w:ascii="Verdana" w:eastAsia="Batang" w:hAnsi="Verdana"/>
          <w:color w:val="000000" w:themeColor="text1"/>
          <w:sz w:val="20"/>
          <w:szCs w:val="20"/>
          <w:lang w:val="es-ES" w:eastAsia="es-MX"/>
        </w:rPr>
        <w:t xml:space="preserve"> ha establecido que, si el paso del tiempo incide de manera relevante en la situación jurídica del individuo, resultará necesario que el procedimiento avance con mayor diligencia a fin de que el caso se resuelva en un tiempo breve</w:t>
      </w:r>
      <w:r w:rsidR="00D14204" w:rsidRPr="00D14204">
        <w:rPr>
          <w:rFonts w:ascii="Verdana" w:eastAsia="Batang" w:hAnsi="Verdana" w:cs="Verdana"/>
          <w:color w:val="000000" w:themeColor="text1"/>
          <w:sz w:val="20"/>
          <w:szCs w:val="20"/>
          <w:vertAlign w:val="superscript"/>
          <w:lang w:val="es-ES" w:eastAsia="es-MX"/>
        </w:rPr>
        <w:footnoteReference w:id="98"/>
      </w:r>
      <w:r w:rsidR="00D14204" w:rsidRPr="00D14204">
        <w:rPr>
          <w:rFonts w:ascii="Verdana" w:eastAsia="Batang" w:hAnsi="Verdana"/>
          <w:color w:val="000000" w:themeColor="text1"/>
          <w:sz w:val="20"/>
          <w:szCs w:val="20"/>
          <w:lang w:val="es-ES" w:eastAsia="es-MX"/>
        </w:rPr>
        <w:t>.</w:t>
      </w:r>
      <w:r w:rsidR="00D14204">
        <w:rPr>
          <w:rFonts w:ascii="Verdana" w:eastAsia="Batang" w:hAnsi="Verdana"/>
          <w:color w:val="000000" w:themeColor="text1"/>
          <w:sz w:val="20"/>
          <w:szCs w:val="20"/>
          <w:lang w:val="es-ES" w:eastAsia="es-MX"/>
        </w:rPr>
        <w:t xml:space="preserve"> Aunque </w:t>
      </w:r>
      <w:r w:rsidR="003A15E5">
        <w:rPr>
          <w:rFonts w:ascii="Verdana" w:eastAsia="Batang" w:hAnsi="Verdana"/>
          <w:color w:val="000000" w:themeColor="text1"/>
          <w:sz w:val="20"/>
          <w:szCs w:val="20"/>
          <w:lang w:val="es-ES" w:eastAsia="es-MX"/>
        </w:rPr>
        <w:t>la Corte IDH</w:t>
      </w:r>
      <w:r w:rsidR="00D14204">
        <w:rPr>
          <w:rFonts w:ascii="Verdana" w:eastAsia="Batang" w:hAnsi="Verdana"/>
          <w:color w:val="000000" w:themeColor="text1"/>
          <w:sz w:val="20"/>
          <w:szCs w:val="20"/>
          <w:lang w:val="es-ES" w:eastAsia="es-MX"/>
        </w:rPr>
        <w:t xml:space="preserve"> en su </w:t>
      </w:r>
      <w:r w:rsidR="00D14204">
        <w:rPr>
          <w:rFonts w:ascii="Verdana" w:eastAsia="Batang" w:hAnsi="Verdana"/>
          <w:color w:val="000000" w:themeColor="text1"/>
          <w:sz w:val="20"/>
          <w:szCs w:val="20"/>
          <w:lang w:val="es-ES" w:eastAsia="es-MX"/>
        </w:rPr>
        <w:lastRenderedPageBreak/>
        <w:t xml:space="preserve">Sentencia denomina a esta obligación de los Estados como un “avance con la mayor diligencia” o “mayor celeridad”, esta obligación </w:t>
      </w:r>
      <w:r w:rsidR="009769EC">
        <w:rPr>
          <w:rFonts w:ascii="Verdana" w:eastAsia="Batang" w:hAnsi="Verdana"/>
          <w:color w:val="000000" w:themeColor="text1"/>
          <w:sz w:val="20"/>
          <w:szCs w:val="20"/>
          <w:lang w:val="es-ES" w:eastAsia="es-MX"/>
        </w:rPr>
        <w:t xml:space="preserve">también </w:t>
      </w:r>
      <w:r w:rsidR="00D14204">
        <w:rPr>
          <w:rFonts w:ascii="Verdana" w:eastAsia="Batang" w:hAnsi="Verdana"/>
          <w:color w:val="000000" w:themeColor="text1"/>
          <w:sz w:val="20"/>
          <w:szCs w:val="20"/>
          <w:lang w:val="es-ES" w:eastAsia="es-MX"/>
        </w:rPr>
        <w:t>ha sido identificada como “</w:t>
      </w:r>
      <w:r w:rsidR="001505DE" w:rsidRPr="001505DE">
        <w:rPr>
          <w:rFonts w:ascii="Verdana" w:eastAsia="Batang" w:hAnsi="Verdana"/>
          <w:i/>
          <w:color w:val="000000" w:themeColor="text1"/>
          <w:sz w:val="20"/>
          <w:szCs w:val="20"/>
          <w:lang w:val="es-ES" w:eastAsia="es-MX"/>
        </w:rPr>
        <w:t xml:space="preserve">debida diligencia </w:t>
      </w:r>
      <w:r w:rsidR="00D14204" w:rsidRPr="001505DE">
        <w:rPr>
          <w:rFonts w:ascii="Verdana" w:eastAsia="Batang" w:hAnsi="Verdana"/>
          <w:i/>
          <w:color w:val="000000" w:themeColor="text1"/>
          <w:sz w:val="20"/>
          <w:szCs w:val="20"/>
          <w:lang w:val="es-ES" w:eastAsia="es-MX"/>
        </w:rPr>
        <w:t>excepcional</w:t>
      </w:r>
      <w:r w:rsidR="00D14204">
        <w:rPr>
          <w:rFonts w:ascii="Verdana" w:eastAsia="Batang" w:hAnsi="Verdana"/>
          <w:color w:val="000000" w:themeColor="text1"/>
          <w:sz w:val="20"/>
          <w:szCs w:val="20"/>
          <w:lang w:val="es-ES" w:eastAsia="es-MX"/>
        </w:rPr>
        <w:t xml:space="preserve">”. </w:t>
      </w:r>
    </w:p>
    <w:p w:rsidR="00D14204" w:rsidRPr="00D14204" w:rsidRDefault="00D14204" w:rsidP="00DD2F96">
      <w:pPr>
        <w:rPr>
          <w:rFonts w:ascii="Verdana" w:hAnsi="Verdana"/>
          <w:sz w:val="20"/>
          <w:szCs w:val="20"/>
          <w:lang w:val="es-CR"/>
        </w:rPr>
      </w:pPr>
    </w:p>
    <w:p w:rsidR="003C297E" w:rsidRPr="00D14204" w:rsidRDefault="00C85629" w:rsidP="00CE6958">
      <w:pPr>
        <w:pStyle w:val="Prrafodelista"/>
        <w:tabs>
          <w:tab w:val="left" w:pos="709"/>
          <w:tab w:val="left" w:pos="1464"/>
        </w:tabs>
        <w:ind w:left="0"/>
        <w:jc w:val="both"/>
        <w:rPr>
          <w:rFonts w:ascii="Verdana" w:hAnsi="Verdana"/>
          <w:sz w:val="20"/>
          <w:szCs w:val="20"/>
          <w:lang w:val="es-CR"/>
        </w:rPr>
      </w:pPr>
      <w:r>
        <w:rPr>
          <w:rFonts w:ascii="Verdana" w:hAnsi="Verdana"/>
          <w:sz w:val="20"/>
          <w:szCs w:val="20"/>
          <w:lang w:val="es-CR"/>
        </w:rPr>
        <w:t>60</w:t>
      </w:r>
      <w:r w:rsidR="00CE6958">
        <w:rPr>
          <w:rFonts w:ascii="Verdana" w:hAnsi="Verdana"/>
          <w:sz w:val="20"/>
          <w:szCs w:val="20"/>
          <w:lang w:val="es-CR"/>
        </w:rPr>
        <w:t xml:space="preserve">. </w:t>
      </w:r>
      <w:r w:rsidR="00CE6958">
        <w:rPr>
          <w:rFonts w:ascii="Verdana" w:hAnsi="Verdana"/>
          <w:sz w:val="20"/>
          <w:szCs w:val="20"/>
          <w:lang w:val="es-CR"/>
        </w:rPr>
        <w:tab/>
      </w:r>
      <w:r w:rsidR="00D14204">
        <w:rPr>
          <w:rFonts w:ascii="Verdana" w:hAnsi="Verdana"/>
          <w:sz w:val="20"/>
          <w:szCs w:val="20"/>
          <w:lang w:val="es-CR"/>
        </w:rPr>
        <w:t>En este sentido, s</w:t>
      </w:r>
      <w:r w:rsidR="00521E35" w:rsidRPr="00D14204">
        <w:rPr>
          <w:rFonts w:ascii="Verdana" w:hAnsi="Verdana"/>
          <w:sz w:val="20"/>
          <w:szCs w:val="20"/>
          <w:lang w:val="es-CR"/>
        </w:rPr>
        <w:t xml:space="preserve">obre la razonabilidad de los plazos en casos que involucren afectaciones de una persona que se encuentre en una situación de vulnerabilidad, el Tribunal Europeo de Derechos Humanos ha expresado que las autoridades deben actuar con </w:t>
      </w:r>
      <w:r w:rsidR="00521E35" w:rsidRPr="00D14204">
        <w:rPr>
          <w:rFonts w:ascii="Verdana" w:hAnsi="Verdana"/>
          <w:i/>
          <w:sz w:val="20"/>
          <w:szCs w:val="20"/>
          <w:lang w:val="es-CR"/>
        </w:rPr>
        <w:t>excepcional diligencia</w:t>
      </w:r>
      <w:r w:rsidR="00521E35" w:rsidRPr="00EA6CCA">
        <w:rPr>
          <w:rStyle w:val="Refdenotaalpie"/>
          <w:rFonts w:ascii="Verdana" w:hAnsi="Verdana"/>
          <w:sz w:val="20"/>
          <w:szCs w:val="20"/>
          <w:lang w:val="es-CR"/>
        </w:rPr>
        <w:footnoteReference w:id="99"/>
      </w:r>
      <w:r w:rsidR="00521E35" w:rsidRPr="00D14204">
        <w:rPr>
          <w:rFonts w:ascii="Verdana" w:hAnsi="Verdana"/>
          <w:i/>
          <w:sz w:val="20"/>
          <w:szCs w:val="20"/>
          <w:lang w:val="es-CR"/>
        </w:rPr>
        <w:t xml:space="preserve">. </w:t>
      </w:r>
      <w:r w:rsidR="00521E35" w:rsidRPr="00D14204">
        <w:rPr>
          <w:rFonts w:ascii="Verdana" w:hAnsi="Verdana"/>
          <w:sz w:val="20"/>
          <w:szCs w:val="20"/>
          <w:lang w:val="es-CR"/>
        </w:rPr>
        <w:t>En este sentido, las autoridades judiciales deben actuar de forma excepcionalmente diligente en procedimientos que involucren a personas que, por sus condiciones específicas, requieran de atención inmediata</w:t>
      </w:r>
      <w:r w:rsidR="001A129E">
        <w:rPr>
          <w:rFonts w:ascii="Verdana" w:hAnsi="Verdana"/>
          <w:sz w:val="20"/>
          <w:szCs w:val="20"/>
          <w:lang w:val="es-CR"/>
        </w:rPr>
        <w:t>;</w:t>
      </w:r>
      <w:r w:rsidR="00521E35" w:rsidRPr="00D14204">
        <w:rPr>
          <w:rFonts w:ascii="Verdana" w:hAnsi="Verdana"/>
          <w:sz w:val="20"/>
          <w:szCs w:val="20"/>
          <w:lang w:val="es-CR"/>
        </w:rPr>
        <w:t xml:space="preserve"> por ejemplo</w:t>
      </w:r>
      <w:r w:rsidR="003A15E5">
        <w:rPr>
          <w:rFonts w:ascii="Verdana" w:hAnsi="Verdana"/>
          <w:sz w:val="20"/>
          <w:szCs w:val="20"/>
          <w:lang w:val="es-CR"/>
        </w:rPr>
        <w:t>,</w:t>
      </w:r>
      <w:r w:rsidR="00521E35" w:rsidRPr="00D14204">
        <w:rPr>
          <w:rFonts w:ascii="Verdana" w:hAnsi="Verdana"/>
          <w:sz w:val="20"/>
          <w:szCs w:val="20"/>
          <w:lang w:val="es-CR"/>
        </w:rPr>
        <w:t xml:space="preserve"> personas </w:t>
      </w:r>
      <w:r w:rsidR="001A129E">
        <w:rPr>
          <w:rFonts w:ascii="Verdana" w:hAnsi="Verdana"/>
          <w:sz w:val="20"/>
          <w:szCs w:val="20"/>
          <w:lang w:val="es-CR"/>
        </w:rPr>
        <w:t xml:space="preserve">viviendo </w:t>
      </w:r>
      <w:r w:rsidR="00521E35" w:rsidRPr="00D14204">
        <w:rPr>
          <w:rFonts w:ascii="Verdana" w:hAnsi="Verdana"/>
          <w:sz w:val="20"/>
          <w:szCs w:val="20"/>
          <w:lang w:val="es-CR"/>
        </w:rPr>
        <w:t>con VIH/SIDA, ya que lo que está en juego es de crucial importancia (su estado de salud)</w:t>
      </w:r>
      <w:r w:rsidR="00521E35" w:rsidRPr="00C038F4">
        <w:rPr>
          <w:rStyle w:val="Refdenotaalpie"/>
          <w:rFonts w:ascii="Verdana" w:hAnsi="Verdana"/>
          <w:sz w:val="20"/>
          <w:szCs w:val="20"/>
          <w:lang w:val="es-CR"/>
        </w:rPr>
        <w:footnoteReference w:id="100"/>
      </w:r>
      <w:r w:rsidR="00521E35" w:rsidRPr="00D14204">
        <w:rPr>
          <w:rFonts w:ascii="Verdana" w:hAnsi="Verdana"/>
          <w:sz w:val="20"/>
          <w:szCs w:val="20"/>
          <w:lang w:val="es-CR"/>
        </w:rPr>
        <w:t>. Del mismo modo, el Tribunal Europeo también ha considerado que la edad avanzada de los peticionarios requiere una especial diligencia de las autoridades para la resolución de sus procesos</w:t>
      </w:r>
      <w:r w:rsidR="00521E35" w:rsidRPr="00C038F4">
        <w:rPr>
          <w:rStyle w:val="Refdenotaalpie"/>
          <w:rFonts w:ascii="Verdana" w:hAnsi="Verdana"/>
          <w:sz w:val="20"/>
          <w:szCs w:val="20"/>
          <w:lang w:val="es-CR"/>
        </w:rPr>
        <w:footnoteReference w:id="101"/>
      </w:r>
      <w:r w:rsidR="00521E35" w:rsidRPr="00D14204">
        <w:rPr>
          <w:rFonts w:ascii="Verdana" w:hAnsi="Verdana"/>
          <w:sz w:val="20"/>
          <w:szCs w:val="20"/>
          <w:lang w:val="es-CR"/>
        </w:rPr>
        <w:t xml:space="preserve">. </w:t>
      </w:r>
    </w:p>
    <w:p w:rsidR="003C297E" w:rsidRDefault="003C297E" w:rsidP="00DD2F96">
      <w:pPr>
        <w:pStyle w:val="Prrafodelista"/>
        <w:tabs>
          <w:tab w:val="left" w:pos="709"/>
          <w:tab w:val="left" w:pos="1464"/>
        </w:tabs>
        <w:ind w:left="0"/>
        <w:jc w:val="both"/>
        <w:rPr>
          <w:rFonts w:ascii="Verdana" w:hAnsi="Verdana"/>
          <w:sz w:val="20"/>
          <w:szCs w:val="20"/>
          <w:lang w:val="es-CR"/>
        </w:rPr>
      </w:pPr>
    </w:p>
    <w:p w:rsidR="001505DE" w:rsidRDefault="00C85629" w:rsidP="00F12E86">
      <w:pPr>
        <w:pStyle w:val="Prrafodelista"/>
        <w:tabs>
          <w:tab w:val="left" w:pos="709"/>
          <w:tab w:val="left" w:pos="1464"/>
        </w:tabs>
        <w:ind w:left="0"/>
        <w:jc w:val="both"/>
        <w:rPr>
          <w:rFonts w:ascii="Verdana" w:hAnsi="Verdana"/>
          <w:sz w:val="20"/>
          <w:szCs w:val="20"/>
          <w:lang w:val="es-CR"/>
        </w:rPr>
      </w:pPr>
      <w:r>
        <w:rPr>
          <w:rFonts w:ascii="Verdana" w:hAnsi="Verdana"/>
          <w:sz w:val="20"/>
          <w:szCs w:val="20"/>
          <w:lang w:val="es-CR"/>
        </w:rPr>
        <w:t>61</w:t>
      </w:r>
      <w:r w:rsidR="00CE6958">
        <w:rPr>
          <w:rFonts w:ascii="Verdana" w:hAnsi="Verdana"/>
          <w:sz w:val="20"/>
          <w:szCs w:val="20"/>
          <w:lang w:val="es-CR"/>
        </w:rPr>
        <w:t xml:space="preserve">. </w:t>
      </w:r>
      <w:r w:rsidR="00CE6958">
        <w:rPr>
          <w:rFonts w:ascii="Verdana" w:hAnsi="Verdana"/>
          <w:sz w:val="20"/>
          <w:szCs w:val="20"/>
          <w:lang w:val="es-CR"/>
        </w:rPr>
        <w:tab/>
      </w:r>
      <w:r w:rsidR="001A129E">
        <w:rPr>
          <w:rFonts w:ascii="Verdana" w:hAnsi="Verdana"/>
          <w:sz w:val="20"/>
          <w:szCs w:val="20"/>
          <w:lang w:val="es-CR"/>
        </w:rPr>
        <w:t>Por su parte, el Tribunal Interamericano</w:t>
      </w:r>
      <w:r w:rsidR="00521E35" w:rsidRPr="003C297E">
        <w:rPr>
          <w:rFonts w:ascii="Verdana" w:hAnsi="Verdana"/>
          <w:sz w:val="20"/>
          <w:szCs w:val="20"/>
          <w:lang w:val="es-CR"/>
        </w:rPr>
        <w:t xml:space="preserve"> ha considerado que en casos de personas en situación de vulnerabilidad, como lo es una persona con discapacidad, </w:t>
      </w:r>
      <w:r w:rsidR="001A129E">
        <w:rPr>
          <w:rFonts w:ascii="Verdana" w:hAnsi="Verdana"/>
          <w:sz w:val="20"/>
          <w:szCs w:val="20"/>
          <w:lang w:val="es-CR"/>
        </w:rPr>
        <w:t>resulta</w:t>
      </w:r>
      <w:r w:rsidR="00521E35" w:rsidRPr="003C297E">
        <w:rPr>
          <w:rFonts w:ascii="Verdana" w:hAnsi="Verdana"/>
          <w:sz w:val="20"/>
          <w:szCs w:val="20"/>
          <w:lang w:val="es-CR"/>
        </w:rPr>
        <w:t xml:space="preserve"> impe</w:t>
      </w:r>
      <w:r w:rsidR="009769EC">
        <w:rPr>
          <w:rFonts w:ascii="Verdana" w:hAnsi="Verdana"/>
          <w:sz w:val="20"/>
          <w:szCs w:val="20"/>
          <w:lang w:val="es-CR"/>
        </w:rPr>
        <w:t xml:space="preserve">rante tomar medidas pertinentes; </w:t>
      </w:r>
      <w:r w:rsidR="00521E35" w:rsidRPr="003C297E">
        <w:rPr>
          <w:rFonts w:ascii="Verdana" w:hAnsi="Verdana"/>
          <w:sz w:val="20"/>
          <w:szCs w:val="20"/>
          <w:lang w:val="es-CR"/>
        </w:rPr>
        <w:t>por ejemplo, la priorización en la atención y resolución del procedimiento por parte de las autoridades a su cargo, con el fin de evitar retrasos en la tramitación de los procesos, de manera que se garantice la pronta resolución o ejecución de los mismos</w:t>
      </w:r>
      <w:r w:rsidR="00521E35" w:rsidRPr="00C038F4">
        <w:rPr>
          <w:rStyle w:val="Refdenotaalpie"/>
          <w:rFonts w:ascii="Verdana" w:hAnsi="Verdana"/>
          <w:sz w:val="20"/>
          <w:szCs w:val="20"/>
          <w:lang w:val="es-CR"/>
        </w:rPr>
        <w:footnoteReference w:id="102"/>
      </w:r>
      <w:r w:rsidR="00521E35" w:rsidRPr="003C297E">
        <w:rPr>
          <w:rFonts w:ascii="Verdana" w:hAnsi="Verdana"/>
          <w:sz w:val="20"/>
          <w:szCs w:val="20"/>
          <w:lang w:val="es-CR"/>
        </w:rPr>
        <w:t>.</w:t>
      </w:r>
      <w:r w:rsidR="003C297E">
        <w:rPr>
          <w:rFonts w:ascii="Verdana" w:hAnsi="Verdana"/>
          <w:sz w:val="20"/>
          <w:szCs w:val="20"/>
          <w:lang w:val="es-CR"/>
        </w:rPr>
        <w:t xml:space="preserve"> Por otro lado, también ha considerado que esta </w:t>
      </w:r>
      <w:r w:rsidR="006B2226">
        <w:rPr>
          <w:rFonts w:ascii="Verdana" w:hAnsi="Verdana"/>
          <w:sz w:val="20"/>
          <w:szCs w:val="20"/>
          <w:lang w:val="es-CR"/>
        </w:rPr>
        <w:t>obligación</w:t>
      </w:r>
      <w:r w:rsidR="003C297E">
        <w:rPr>
          <w:rFonts w:ascii="Verdana" w:hAnsi="Verdana"/>
          <w:sz w:val="20"/>
          <w:szCs w:val="20"/>
          <w:lang w:val="es-CR"/>
        </w:rPr>
        <w:t xml:space="preserve"> </w:t>
      </w:r>
      <w:r w:rsidR="001505DE">
        <w:rPr>
          <w:rFonts w:ascii="Verdana" w:hAnsi="Verdana"/>
          <w:sz w:val="20"/>
          <w:szCs w:val="20"/>
          <w:lang w:val="es-CR"/>
        </w:rPr>
        <w:t xml:space="preserve">se puede aplicar en </w:t>
      </w:r>
      <w:r w:rsidR="00F12E86">
        <w:rPr>
          <w:rFonts w:ascii="Verdana" w:hAnsi="Verdana"/>
          <w:sz w:val="20"/>
          <w:szCs w:val="20"/>
          <w:lang w:val="es-CR"/>
        </w:rPr>
        <w:t>un proceso penal</w:t>
      </w:r>
      <w:r w:rsidR="00F12E86" w:rsidRPr="00F12E86">
        <w:rPr>
          <w:rStyle w:val="Refdenotaalpie"/>
          <w:rFonts w:ascii="Verdana" w:hAnsi="Verdana"/>
          <w:sz w:val="20"/>
          <w:szCs w:val="20"/>
          <w:lang w:val="es-CR"/>
        </w:rPr>
        <w:footnoteReference w:id="103"/>
      </w:r>
      <w:r w:rsidR="00F12E86" w:rsidRPr="00F12E86">
        <w:rPr>
          <w:rFonts w:ascii="Verdana" w:hAnsi="Verdana"/>
          <w:sz w:val="20"/>
          <w:szCs w:val="20"/>
          <w:lang w:val="es-CR"/>
        </w:rPr>
        <w:t>, que tenga como finalidad ser el medio para activar un procedimiento de pago de daños y perjuicios, y</w:t>
      </w:r>
      <w:r w:rsidR="00792F5C">
        <w:rPr>
          <w:rFonts w:ascii="Verdana" w:hAnsi="Verdana"/>
          <w:sz w:val="20"/>
          <w:szCs w:val="20"/>
          <w:lang w:val="es-CR"/>
        </w:rPr>
        <w:t xml:space="preserve"> </w:t>
      </w:r>
      <w:r w:rsidR="00F12E86" w:rsidRPr="00F12E86">
        <w:rPr>
          <w:rFonts w:ascii="Verdana" w:hAnsi="Verdana"/>
          <w:sz w:val="20"/>
          <w:szCs w:val="20"/>
          <w:lang w:val="es-CR"/>
        </w:rPr>
        <w:t>en el que se</w:t>
      </w:r>
      <w:r w:rsidR="00792F5C">
        <w:rPr>
          <w:rFonts w:ascii="Verdana" w:hAnsi="Verdana"/>
          <w:sz w:val="20"/>
          <w:szCs w:val="20"/>
          <w:lang w:val="es-CR"/>
        </w:rPr>
        <w:t xml:space="preserve"> </w:t>
      </w:r>
      <w:r w:rsidR="00F12E86" w:rsidRPr="00F12E86">
        <w:rPr>
          <w:rFonts w:ascii="Verdana" w:hAnsi="Verdana"/>
          <w:sz w:val="20"/>
          <w:szCs w:val="20"/>
          <w:lang w:val="es-CR"/>
        </w:rPr>
        <w:t>involucren a menores de edad viviendo con VIH/SIDA</w:t>
      </w:r>
      <w:r w:rsidR="00F12E86" w:rsidRPr="00F12E86">
        <w:rPr>
          <w:rStyle w:val="Refdenotaalpie"/>
          <w:rFonts w:ascii="Verdana" w:hAnsi="Verdana"/>
          <w:sz w:val="20"/>
          <w:szCs w:val="20"/>
          <w:lang w:val="es-CR"/>
        </w:rPr>
        <w:footnoteReference w:id="104"/>
      </w:r>
      <w:r w:rsidR="00F12E86" w:rsidRPr="00F12E86">
        <w:rPr>
          <w:rFonts w:ascii="Verdana" w:hAnsi="Verdana"/>
          <w:sz w:val="20"/>
          <w:szCs w:val="20"/>
          <w:lang w:val="es-CR"/>
        </w:rPr>
        <w:t>.</w:t>
      </w:r>
      <w:r w:rsidR="00F12E86" w:rsidRPr="0070201A">
        <w:rPr>
          <w:rFonts w:ascii="Verdana" w:hAnsi="Verdana"/>
          <w:sz w:val="20"/>
          <w:szCs w:val="20"/>
          <w:lang w:val="es-CR"/>
        </w:rPr>
        <w:t xml:space="preserve"> </w:t>
      </w:r>
    </w:p>
    <w:p w:rsidR="00E156B7" w:rsidRPr="00F12E86" w:rsidRDefault="00E156B7" w:rsidP="00F12E86">
      <w:pPr>
        <w:pStyle w:val="Prrafodelista"/>
        <w:tabs>
          <w:tab w:val="left" w:pos="709"/>
          <w:tab w:val="left" w:pos="1464"/>
        </w:tabs>
        <w:ind w:left="0"/>
        <w:jc w:val="both"/>
        <w:rPr>
          <w:rFonts w:ascii="Verdana" w:hAnsi="Verdana"/>
          <w:sz w:val="20"/>
          <w:szCs w:val="20"/>
          <w:lang w:val="es-CR"/>
        </w:rPr>
      </w:pPr>
    </w:p>
    <w:p w:rsidR="004D4627" w:rsidRDefault="00C85629" w:rsidP="00CE6958">
      <w:pPr>
        <w:pStyle w:val="Prrafodelista"/>
        <w:tabs>
          <w:tab w:val="left" w:pos="709"/>
          <w:tab w:val="left" w:pos="1464"/>
        </w:tabs>
        <w:ind w:left="0"/>
        <w:jc w:val="both"/>
        <w:rPr>
          <w:rFonts w:ascii="Verdana" w:hAnsi="Verdana"/>
          <w:sz w:val="20"/>
          <w:szCs w:val="20"/>
          <w:lang w:val="es-ES"/>
        </w:rPr>
      </w:pPr>
      <w:r>
        <w:rPr>
          <w:rFonts w:ascii="Verdana" w:hAnsi="Verdana"/>
          <w:sz w:val="20"/>
          <w:szCs w:val="20"/>
          <w:lang w:val="es-ES"/>
        </w:rPr>
        <w:t>62</w:t>
      </w:r>
      <w:r w:rsidR="00CE6958">
        <w:rPr>
          <w:rFonts w:ascii="Verdana" w:hAnsi="Verdana"/>
          <w:sz w:val="20"/>
          <w:szCs w:val="20"/>
          <w:lang w:val="es-ES"/>
        </w:rPr>
        <w:t xml:space="preserve">. </w:t>
      </w:r>
      <w:r w:rsidR="00CE6958">
        <w:rPr>
          <w:rFonts w:ascii="Verdana" w:hAnsi="Verdana"/>
          <w:sz w:val="20"/>
          <w:szCs w:val="20"/>
          <w:lang w:val="es-ES"/>
        </w:rPr>
        <w:tab/>
      </w:r>
      <w:r w:rsidR="001505DE" w:rsidRPr="001505DE">
        <w:rPr>
          <w:rFonts w:ascii="Verdana" w:hAnsi="Verdana"/>
          <w:sz w:val="20"/>
          <w:szCs w:val="20"/>
          <w:lang w:val="es-ES"/>
        </w:rPr>
        <w:t xml:space="preserve">Ahora bien, el caso </w:t>
      </w:r>
      <w:r w:rsidR="001505DE" w:rsidRPr="00053444">
        <w:rPr>
          <w:rFonts w:ascii="Verdana" w:hAnsi="Verdana"/>
          <w:i/>
          <w:sz w:val="20"/>
          <w:szCs w:val="20"/>
          <w:lang w:val="es-ES"/>
        </w:rPr>
        <w:t>Muelle Flores</w:t>
      </w:r>
      <w:r w:rsidR="001505DE" w:rsidRPr="001505DE">
        <w:rPr>
          <w:rFonts w:ascii="Verdana" w:hAnsi="Verdana"/>
          <w:sz w:val="20"/>
          <w:szCs w:val="20"/>
          <w:lang w:val="es-ES"/>
        </w:rPr>
        <w:t>, pone de manifiesto que la edad de una persona mayor es un elemento importante a considerar en este tipo de circunstancias</w:t>
      </w:r>
      <w:r w:rsidR="009769EC">
        <w:rPr>
          <w:rFonts w:ascii="Verdana" w:hAnsi="Verdana"/>
          <w:sz w:val="20"/>
          <w:szCs w:val="20"/>
          <w:lang w:val="es-ES"/>
        </w:rPr>
        <w:t>,</w:t>
      </w:r>
      <w:r w:rsidR="001505DE" w:rsidRPr="001505DE">
        <w:rPr>
          <w:rFonts w:ascii="Verdana" w:hAnsi="Verdana"/>
          <w:sz w:val="20"/>
          <w:szCs w:val="20"/>
          <w:lang w:val="es-ES"/>
        </w:rPr>
        <w:t xml:space="preserve"> debido a que al ser la seguridad social un derecho de carácter alimentario y sustitutivo, tiene importantes impactos en la forma en la que la persona mayor desarrollará el resto de su vida</w:t>
      </w:r>
      <w:r w:rsidR="009769EC">
        <w:rPr>
          <w:rFonts w:ascii="Verdana" w:hAnsi="Verdana"/>
          <w:sz w:val="20"/>
          <w:szCs w:val="20"/>
          <w:lang w:val="es-ES"/>
        </w:rPr>
        <w:t>;</w:t>
      </w:r>
      <w:r w:rsidR="00792F5C">
        <w:rPr>
          <w:rFonts w:ascii="Verdana" w:hAnsi="Verdana"/>
          <w:sz w:val="20"/>
          <w:szCs w:val="20"/>
          <w:lang w:val="es-ES"/>
        </w:rPr>
        <w:t xml:space="preserve"> </w:t>
      </w:r>
      <w:r w:rsidR="009769EC">
        <w:rPr>
          <w:rFonts w:ascii="Verdana" w:hAnsi="Verdana"/>
          <w:sz w:val="20"/>
          <w:szCs w:val="20"/>
          <w:lang w:val="es-ES"/>
        </w:rPr>
        <w:t>a</w:t>
      </w:r>
      <w:r w:rsidR="001A129E">
        <w:rPr>
          <w:rFonts w:ascii="Verdana" w:hAnsi="Verdana"/>
          <w:sz w:val="20"/>
          <w:szCs w:val="20"/>
          <w:lang w:val="es-ES"/>
        </w:rPr>
        <w:t xml:space="preserve"> mayor </w:t>
      </w:r>
      <w:r w:rsidR="001A129E">
        <w:rPr>
          <w:rFonts w:ascii="Verdana" w:hAnsi="Verdana"/>
          <w:sz w:val="20"/>
          <w:szCs w:val="20"/>
          <w:lang w:val="es-ES"/>
        </w:rPr>
        <w:lastRenderedPageBreak/>
        <w:t>abundamiento</w:t>
      </w:r>
      <w:r w:rsidR="009769EC">
        <w:rPr>
          <w:rFonts w:ascii="Verdana" w:hAnsi="Verdana"/>
          <w:sz w:val="20"/>
          <w:szCs w:val="20"/>
          <w:lang w:val="es-ES"/>
        </w:rPr>
        <w:t>,</w:t>
      </w:r>
      <w:r w:rsidR="001A129E">
        <w:rPr>
          <w:rFonts w:ascii="Verdana" w:hAnsi="Verdana"/>
          <w:sz w:val="20"/>
          <w:szCs w:val="20"/>
          <w:lang w:val="es-ES"/>
        </w:rPr>
        <w:t xml:space="preserve"> si</w:t>
      </w:r>
      <w:r w:rsidR="009769EC">
        <w:rPr>
          <w:rFonts w:ascii="Verdana" w:hAnsi="Verdana"/>
          <w:sz w:val="20"/>
          <w:szCs w:val="20"/>
          <w:lang w:val="es-ES"/>
        </w:rPr>
        <w:t xml:space="preserve"> tenemos</w:t>
      </w:r>
      <w:r w:rsidR="001505DE" w:rsidRPr="001505DE">
        <w:rPr>
          <w:rFonts w:ascii="Verdana" w:hAnsi="Verdana"/>
          <w:sz w:val="20"/>
          <w:szCs w:val="20"/>
          <w:lang w:val="es-ES"/>
        </w:rPr>
        <w:t xml:space="preserve"> en consideración que s</w:t>
      </w:r>
      <w:r w:rsidR="009769EC">
        <w:rPr>
          <w:rFonts w:ascii="Verdana" w:hAnsi="Verdana"/>
          <w:sz w:val="20"/>
          <w:szCs w:val="20"/>
          <w:lang w:val="es-ES"/>
        </w:rPr>
        <w:t>e adquiere una expectativa legí</w:t>
      </w:r>
      <w:r w:rsidR="001505DE" w:rsidRPr="001505DE">
        <w:rPr>
          <w:rFonts w:ascii="Verdana" w:hAnsi="Verdana"/>
          <w:sz w:val="20"/>
          <w:szCs w:val="20"/>
          <w:lang w:val="es-ES"/>
        </w:rPr>
        <w:t>tima de recibir una pensión después de los a</w:t>
      </w:r>
      <w:r w:rsidR="009769EC">
        <w:rPr>
          <w:rFonts w:ascii="Verdana" w:hAnsi="Verdana"/>
          <w:sz w:val="20"/>
          <w:szCs w:val="20"/>
          <w:lang w:val="es-ES"/>
        </w:rPr>
        <w:t xml:space="preserve">ños en los que se laboró. </w:t>
      </w:r>
    </w:p>
    <w:p w:rsidR="004D4627" w:rsidRDefault="004D4627" w:rsidP="00CE6958">
      <w:pPr>
        <w:pStyle w:val="Prrafodelista"/>
        <w:tabs>
          <w:tab w:val="left" w:pos="709"/>
          <w:tab w:val="left" w:pos="1464"/>
        </w:tabs>
        <w:ind w:left="0"/>
        <w:jc w:val="both"/>
        <w:rPr>
          <w:rFonts w:ascii="Verdana" w:hAnsi="Verdana"/>
          <w:sz w:val="20"/>
          <w:szCs w:val="20"/>
          <w:lang w:val="es-ES"/>
        </w:rPr>
      </w:pPr>
    </w:p>
    <w:p w:rsidR="001505DE" w:rsidRPr="001505DE" w:rsidRDefault="004D4627" w:rsidP="00CE6958">
      <w:pPr>
        <w:pStyle w:val="Prrafodelista"/>
        <w:tabs>
          <w:tab w:val="left" w:pos="709"/>
          <w:tab w:val="left" w:pos="1464"/>
        </w:tabs>
        <w:ind w:left="0"/>
        <w:jc w:val="both"/>
        <w:rPr>
          <w:rFonts w:ascii="Verdana" w:hAnsi="Verdana"/>
          <w:sz w:val="20"/>
          <w:szCs w:val="20"/>
          <w:lang w:val="es-CR"/>
        </w:rPr>
      </w:pPr>
      <w:r>
        <w:rPr>
          <w:rFonts w:ascii="Verdana" w:hAnsi="Verdana"/>
          <w:sz w:val="20"/>
          <w:szCs w:val="20"/>
          <w:lang w:val="es-ES"/>
        </w:rPr>
        <w:t xml:space="preserve">63. </w:t>
      </w:r>
      <w:r>
        <w:rPr>
          <w:rFonts w:ascii="Verdana" w:hAnsi="Verdana"/>
          <w:sz w:val="20"/>
          <w:szCs w:val="20"/>
          <w:lang w:val="es-ES"/>
        </w:rPr>
        <w:tab/>
      </w:r>
      <w:r w:rsidR="009769EC">
        <w:rPr>
          <w:rFonts w:ascii="Verdana" w:hAnsi="Verdana"/>
          <w:sz w:val="20"/>
          <w:szCs w:val="20"/>
          <w:lang w:val="es-ES"/>
        </w:rPr>
        <w:t>L</w:t>
      </w:r>
      <w:r w:rsidR="001505DE" w:rsidRPr="001505DE">
        <w:rPr>
          <w:rFonts w:ascii="Verdana" w:hAnsi="Verdana"/>
          <w:sz w:val="20"/>
          <w:szCs w:val="20"/>
          <w:lang w:val="es-ES"/>
        </w:rPr>
        <w:t xml:space="preserve">o anterior es de especial relevancia </w:t>
      </w:r>
      <w:r w:rsidR="009769EC">
        <w:rPr>
          <w:rFonts w:ascii="Verdana" w:hAnsi="Verdana"/>
          <w:sz w:val="20"/>
          <w:szCs w:val="20"/>
          <w:lang w:val="es-ES"/>
        </w:rPr>
        <w:t xml:space="preserve">si consideramos </w:t>
      </w:r>
      <w:r w:rsidR="001505DE" w:rsidRPr="001505DE">
        <w:rPr>
          <w:rFonts w:ascii="Verdana" w:hAnsi="Verdana"/>
          <w:sz w:val="20"/>
          <w:szCs w:val="20"/>
          <w:lang w:val="es-ES"/>
        </w:rPr>
        <w:t xml:space="preserve">que la propia </w:t>
      </w:r>
      <w:r w:rsidR="001505DE" w:rsidRPr="001505DE">
        <w:rPr>
          <w:rFonts w:ascii="Verdana" w:hAnsi="Verdana"/>
          <w:sz w:val="20"/>
          <w:szCs w:val="20"/>
          <w:lang w:val="es-PE"/>
        </w:rPr>
        <w:t>Convención Interamericana sobre la Protección de los Derechos Humanos de las Personas Mayores</w:t>
      </w:r>
      <w:r w:rsidR="001A129E">
        <w:rPr>
          <w:rFonts w:ascii="Verdana" w:hAnsi="Verdana"/>
          <w:sz w:val="20"/>
          <w:szCs w:val="20"/>
          <w:lang w:val="es-PE"/>
        </w:rPr>
        <w:t xml:space="preserve">, en su artículo 31 </w:t>
      </w:r>
      <w:r w:rsidR="001A129E">
        <w:rPr>
          <w:rFonts w:ascii="Verdana" w:hAnsi="Verdana"/>
          <w:sz w:val="20"/>
          <w:szCs w:val="20"/>
        </w:rPr>
        <w:t>—</w:t>
      </w:r>
      <w:r w:rsidR="001505DE" w:rsidRPr="001505DE">
        <w:rPr>
          <w:rFonts w:ascii="Verdana" w:hAnsi="Verdana"/>
          <w:sz w:val="20"/>
          <w:szCs w:val="20"/>
          <w:lang w:val="es-PE"/>
        </w:rPr>
        <w:t>Acceso a la Justicia</w:t>
      </w:r>
      <w:r w:rsidR="001A129E">
        <w:rPr>
          <w:rFonts w:ascii="Verdana" w:hAnsi="Verdana"/>
          <w:sz w:val="20"/>
          <w:szCs w:val="20"/>
        </w:rPr>
        <w:t>—</w:t>
      </w:r>
      <w:r w:rsidR="001505DE" w:rsidRPr="001505DE">
        <w:rPr>
          <w:rFonts w:ascii="Verdana" w:hAnsi="Verdana"/>
          <w:sz w:val="20"/>
          <w:szCs w:val="20"/>
          <w:lang w:val="es-PE"/>
        </w:rPr>
        <w:t xml:space="preserve"> establece que </w:t>
      </w:r>
      <w:r w:rsidR="00CF0891" w:rsidRPr="001505DE">
        <w:rPr>
          <w:rFonts w:ascii="Verdana" w:hAnsi="Verdana"/>
          <w:sz w:val="20"/>
          <w:szCs w:val="20"/>
          <w:lang w:val="es-PE"/>
        </w:rPr>
        <w:t>“[</w:t>
      </w:r>
      <w:r w:rsidR="001505DE" w:rsidRPr="001505DE">
        <w:rPr>
          <w:rFonts w:ascii="Verdana" w:eastAsia="Times New Roman" w:hAnsi="Verdana" w:cs="Tahoma"/>
          <w:color w:val="333333"/>
          <w:sz w:val="20"/>
          <w:szCs w:val="20"/>
          <w:shd w:val="clear" w:color="auto" w:fill="FFFFFF"/>
          <w:lang w:eastAsia="es-ES_tradnl"/>
        </w:rPr>
        <w:t>l]os Estados Parte se comprometen a garantizar la debida diligencia y el tratamiento preferencial a la persona mayor para la tramitación, resolución y ejecución de las decisiones en procesos administrativos y judiciales”. </w:t>
      </w:r>
    </w:p>
    <w:p w:rsidR="001505DE" w:rsidRPr="001505DE" w:rsidRDefault="001505DE" w:rsidP="00DD2F96">
      <w:pPr>
        <w:pStyle w:val="Prrafodelista"/>
        <w:rPr>
          <w:rFonts w:ascii="Verdana" w:hAnsi="Verdana"/>
          <w:sz w:val="20"/>
          <w:szCs w:val="20"/>
          <w:lang w:val="es-CR"/>
        </w:rPr>
      </w:pPr>
    </w:p>
    <w:p w:rsidR="001505DE" w:rsidRDefault="004D4627" w:rsidP="00CE6958">
      <w:pPr>
        <w:pStyle w:val="Prrafodelista"/>
        <w:tabs>
          <w:tab w:val="left" w:pos="709"/>
          <w:tab w:val="left" w:pos="1464"/>
        </w:tabs>
        <w:ind w:left="0"/>
        <w:jc w:val="both"/>
        <w:rPr>
          <w:rFonts w:ascii="Verdana" w:hAnsi="Verdana"/>
          <w:sz w:val="20"/>
          <w:szCs w:val="20"/>
          <w:lang w:val="es-CR"/>
        </w:rPr>
      </w:pPr>
      <w:r>
        <w:rPr>
          <w:rFonts w:ascii="Verdana" w:hAnsi="Verdana"/>
          <w:sz w:val="20"/>
          <w:szCs w:val="20"/>
          <w:lang w:val="es-CR"/>
        </w:rPr>
        <w:t>64</w:t>
      </w:r>
      <w:r w:rsidR="00CE6958">
        <w:rPr>
          <w:rFonts w:ascii="Verdana" w:hAnsi="Verdana"/>
          <w:sz w:val="20"/>
          <w:szCs w:val="20"/>
          <w:lang w:val="es-CR"/>
        </w:rPr>
        <w:t xml:space="preserve">. </w:t>
      </w:r>
      <w:r w:rsidR="00CE6958">
        <w:rPr>
          <w:rFonts w:ascii="Verdana" w:hAnsi="Verdana"/>
          <w:sz w:val="20"/>
          <w:szCs w:val="20"/>
          <w:lang w:val="es-CR"/>
        </w:rPr>
        <w:tab/>
      </w:r>
      <w:r w:rsidR="001505DE">
        <w:rPr>
          <w:rFonts w:ascii="Verdana" w:hAnsi="Verdana"/>
          <w:sz w:val="20"/>
          <w:szCs w:val="20"/>
          <w:lang w:val="es-CR"/>
        </w:rPr>
        <w:t>En el caso particular, la Corte IDH constató que la falta de ejecución de las sentencias no solo repercutió en el goce del derecho a la seguridad social sino que desenca</w:t>
      </w:r>
      <w:r w:rsidR="001A129E">
        <w:rPr>
          <w:rFonts w:ascii="Verdana" w:hAnsi="Verdana"/>
          <w:sz w:val="20"/>
          <w:szCs w:val="20"/>
          <w:lang w:val="es-CR"/>
        </w:rPr>
        <w:t xml:space="preserve">denó una serie de consecuencias, tanto </w:t>
      </w:r>
      <w:r w:rsidR="00BA0AAF">
        <w:rPr>
          <w:rFonts w:ascii="Verdana" w:hAnsi="Verdana"/>
          <w:sz w:val="20"/>
          <w:szCs w:val="20"/>
          <w:lang w:val="es-CR"/>
        </w:rPr>
        <w:t xml:space="preserve">de </w:t>
      </w:r>
      <w:r w:rsidR="006B2226">
        <w:rPr>
          <w:rFonts w:ascii="Verdana" w:hAnsi="Verdana"/>
          <w:sz w:val="20"/>
          <w:szCs w:val="20"/>
          <w:lang w:val="es-CR"/>
        </w:rPr>
        <w:t>índole</w:t>
      </w:r>
      <w:r w:rsidR="00BA0AAF">
        <w:rPr>
          <w:rFonts w:ascii="Verdana" w:hAnsi="Verdana"/>
          <w:sz w:val="20"/>
          <w:szCs w:val="20"/>
          <w:lang w:val="es-CR"/>
        </w:rPr>
        <w:t xml:space="preserve"> fí</w:t>
      </w:r>
      <w:r w:rsidR="001505DE">
        <w:rPr>
          <w:rFonts w:ascii="Verdana" w:hAnsi="Verdana"/>
          <w:sz w:val="20"/>
          <w:szCs w:val="20"/>
          <w:lang w:val="es-CR"/>
        </w:rPr>
        <w:t>sica como de carácter emocional. En concre</w:t>
      </w:r>
      <w:r w:rsidR="001A129E">
        <w:rPr>
          <w:rFonts w:ascii="Verdana" w:hAnsi="Verdana"/>
          <w:sz w:val="20"/>
          <w:szCs w:val="20"/>
          <w:lang w:val="es-CR"/>
        </w:rPr>
        <w:t>to, es preciso destacar que el s</w:t>
      </w:r>
      <w:r w:rsidR="001505DE">
        <w:rPr>
          <w:rFonts w:ascii="Verdana" w:hAnsi="Verdana"/>
          <w:sz w:val="20"/>
          <w:szCs w:val="20"/>
          <w:lang w:val="es-CR"/>
        </w:rPr>
        <w:t>eñor Muelle Flores</w:t>
      </w:r>
      <w:r w:rsidR="00591570">
        <w:rPr>
          <w:rFonts w:ascii="Verdana" w:hAnsi="Verdana"/>
          <w:sz w:val="20"/>
          <w:szCs w:val="20"/>
          <w:lang w:val="es-CR"/>
        </w:rPr>
        <w:t>, al no poder gozar del derecho a la seguridad social, desar</w:t>
      </w:r>
      <w:r w:rsidR="001A129E">
        <w:rPr>
          <w:rFonts w:ascii="Verdana" w:hAnsi="Verdana"/>
          <w:sz w:val="20"/>
          <w:szCs w:val="20"/>
          <w:lang w:val="es-CR"/>
        </w:rPr>
        <w:t>rolló una discapacidad auditiva. Si bien es cierto</w:t>
      </w:r>
      <w:r w:rsidR="00591570">
        <w:rPr>
          <w:rFonts w:ascii="Verdana" w:hAnsi="Verdana"/>
          <w:sz w:val="20"/>
          <w:szCs w:val="20"/>
          <w:lang w:val="es-CR"/>
        </w:rPr>
        <w:t xml:space="preserve"> que al llegar a una avanzada edad las personas pueden encontrar disminuidas las funciones orgánicas del cuerpo humano,</w:t>
      </w:r>
      <w:r w:rsidR="00792F5C">
        <w:rPr>
          <w:rFonts w:ascii="Verdana" w:hAnsi="Verdana"/>
          <w:sz w:val="20"/>
          <w:szCs w:val="20"/>
          <w:lang w:val="es-CR"/>
        </w:rPr>
        <w:t xml:space="preserve"> </w:t>
      </w:r>
      <w:r w:rsidR="00591570">
        <w:rPr>
          <w:rFonts w:ascii="Verdana" w:hAnsi="Verdana"/>
          <w:sz w:val="20"/>
          <w:szCs w:val="20"/>
          <w:lang w:val="es-CR"/>
        </w:rPr>
        <w:t>si a esta situación le sumamos que no se tiene ac</w:t>
      </w:r>
      <w:r w:rsidR="00BA0AAF">
        <w:rPr>
          <w:rFonts w:ascii="Verdana" w:hAnsi="Verdana"/>
          <w:sz w:val="20"/>
          <w:szCs w:val="20"/>
          <w:lang w:val="es-CR"/>
        </w:rPr>
        <w:t xml:space="preserve">ceso a un régimen de servicios </w:t>
      </w:r>
      <w:r w:rsidR="00591570">
        <w:rPr>
          <w:rFonts w:ascii="Verdana" w:hAnsi="Verdana"/>
          <w:sz w:val="20"/>
          <w:szCs w:val="20"/>
          <w:lang w:val="es-CR"/>
        </w:rPr>
        <w:t>de salud de carácter preventivo, es lógico que al llegar a una determinada edad, se adqui</w:t>
      </w:r>
      <w:r w:rsidR="001A129E">
        <w:rPr>
          <w:rFonts w:ascii="Verdana" w:hAnsi="Verdana"/>
          <w:sz w:val="20"/>
          <w:szCs w:val="20"/>
          <w:lang w:val="es-CR"/>
        </w:rPr>
        <w:t>eran limitaciones de cualquier í</w:t>
      </w:r>
      <w:r w:rsidR="00591570">
        <w:rPr>
          <w:rFonts w:ascii="Verdana" w:hAnsi="Verdana"/>
          <w:sz w:val="20"/>
          <w:szCs w:val="20"/>
          <w:lang w:val="es-CR"/>
        </w:rPr>
        <w:t>ndole. Es fundamental destacar que una persona mayor no necesariamente tendrá una discapacida</w:t>
      </w:r>
      <w:r w:rsidR="001A129E">
        <w:rPr>
          <w:rFonts w:ascii="Verdana" w:hAnsi="Verdana"/>
          <w:sz w:val="20"/>
          <w:szCs w:val="20"/>
          <w:lang w:val="es-CR"/>
        </w:rPr>
        <w:t>d por llegar a un estadio especí</w:t>
      </w:r>
      <w:r w:rsidR="00591570">
        <w:rPr>
          <w:rFonts w:ascii="Verdana" w:hAnsi="Verdana"/>
          <w:sz w:val="20"/>
          <w:szCs w:val="20"/>
          <w:lang w:val="es-CR"/>
        </w:rPr>
        <w:t>fico de su vida, es por ello que la seguridad so</w:t>
      </w:r>
      <w:r w:rsidR="001A129E">
        <w:rPr>
          <w:rFonts w:ascii="Verdana" w:hAnsi="Verdana"/>
          <w:sz w:val="20"/>
          <w:szCs w:val="20"/>
          <w:lang w:val="es-CR"/>
        </w:rPr>
        <w:t xml:space="preserve">cial juega un rol fundamental </w:t>
      </w:r>
      <w:r w:rsidR="001A129E">
        <w:rPr>
          <w:rFonts w:ascii="Verdana" w:hAnsi="Verdana"/>
          <w:sz w:val="20"/>
          <w:szCs w:val="20"/>
        </w:rPr>
        <w:t>—</w:t>
      </w:r>
      <w:r w:rsidR="00591570">
        <w:rPr>
          <w:rFonts w:ascii="Verdana" w:hAnsi="Verdana"/>
          <w:sz w:val="20"/>
          <w:szCs w:val="20"/>
          <w:lang w:val="es-CR"/>
        </w:rPr>
        <w:t>por</w:t>
      </w:r>
      <w:r w:rsidR="00EA6CCA">
        <w:rPr>
          <w:rFonts w:ascii="Verdana" w:hAnsi="Verdana"/>
          <w:sz w:val="20"/>
          <w:szCs w:val="20"/>
          <w:lang w:val="es-CR"/>
        </w:rPr>
        <w:t xml:space="preserve"> toda la amplia gama de servici</w:t>
      </w:r>
      <w:r w:rsidR="00591570">
        <w:rPr>
          <w:rFonts w:ascii="Verdana" w:hAnsi="Verdana"/>
          <w:sz w:val="20"/>
          <w:szCs w:val="20"/>
          <w:lang w:val="es-CR"/>
        </w:rPr>
        <w:t>os que incluye</w:t>
      </w:r>
      <w:r w:rsidR="001A129E">
        <w:rPr>
          <w:rFonts w:ascii="Verdana" w:hAnsi="Verdana"/>
          <w:sz w:val="20"/>
          <w:szCs w:val="20"/>
        </w:rPr>
        <w:t>—</w:t>
      </w:r>
      <w:r w:rsidR="00591570">
        <w:rPr>
          <w:rFonts w:ascii="Verdana" w:hAnsi="Verdana"/>
          <w:sz w:val="20"/>
          <w:szCs w:val="20"/>
          <w:lang w:val="es-CR"/>
        </w:rPr>
        <w:t xml:space="preserve"> en determinado grupo de personas, como lo son las personas mayores. </w:t>
      </w:r>
    </w:p>
    <w:p w:rsidR="0090460C" w:rsidRDefault="0090460C" w:rsidP="00DD2F96">
      <w:pPr>
        <w:pStyle w:val="Prrafodelista"/>
        <w:tabs>
          <w:tab w:val="left" w:pos="709"/>
          <w:tab w:val="left" w:pos="1464"/>
        </w:tabs>
        <w:ind w:left="0"/>
        <w:jc w:val="both"/>
        <w:rPr>
          <w:rFonts w:ascii="Verdana" w:hAnsi="Verdana"/>
          <w:sz w:val="20"/>
          <w:szCs w:val="20"/>
          <w:lang w:val="es-CR"/>
        </w:rPr>
      </w:pPr>
    </w:p>
    <w:p w:rsidR="004D4627" w:rsidRDefault="004D4627" w:rsidP="00CE6958">
      <w:pPr>
        <w:pStyle w:val="Prrafodelista"/>
        <w:tabs>
          <w:tab w:val="left" w:pos="709"/>
          <w:tab w:val="left" w:pos="1464"/>
        </w:tabs>
        <w:ind w:left="0"/>
        <w:jc w:val="both"/>
        <w:rPr>
          <w:rFonts w:ascii="Verdana" w:hAnsi="Verdana"/>
          <w:sz w:val="20"/>
          <w:szCs w:val="20"/>
          <w:lang w:val="es-CR"/>
        </w:rPr>
      </w:pPr>
      <w:r>
        <w:rPr>
          <w:rFonts w:ascii="Verdana" w:hAnsi="Verdana"/>
          <w:sz w:val="20"/>
          <w:szCs w:val="20"/>
          <w:lang w:val="es-CR"/>
        </w:rPr>
        <w:t>66</w:t>
      </w:r>
      <w:r w:rsidR="00CE6958">
        <w:rPr>
          <w:rFonts w:ascii="Verdana" w:hAnsi="Verdana"/>
          <w:sz w:val="20"/>
          <w:szCs w:val="20"/>
          <w:lang w:val="es-CR"/>
        </w:rPr>
        <w:t xml:space="preserve">. </w:t>
      </w:r>
      <w:r w:rsidR="00CE6958">
        <w:rPr>
          <w:rFonts w:ascii="Verdana" w:hAnsi="Verdana"/>
          <w:sz w:val="20"/>
          <w:szCs w:val="20"/>
          <w:lang w:val="es-CR"/>
        </w:rPr>
        <w:tab/>
      </w:r>
      <w:r w:rsidR="0090460C">
        <w:rPr>
          <w:rFonts w:ascii="Verdana" w:hAnsi="Verdana"/>
          <w:sz w:val="20"/>
          <w:szCs w:val="20"/>
          <w:lang w:val="es-CR"/>
        </w:rPr>
        <w:t>Por otro lado, otro tipo de manifestaciones negativas que implica la excesiva dilación en la ejecución de las sentencias que reconocen el derecho a la seguridad social, son los sentimientos de angustia</w:t>
      </w:r>
      <w:r w:rsidR="00686F62">
        <w:rPr>
          <w:rFonts w:ascii="Verdana" w:hAnsi="Verdana"/>
          <w:sz w:val="20"/>
          <w:szCs w:val="20"/>
          <w:lang w:val="es-CR"/>
        </w:rPr>
        <w:t>. Si bien en el caso</w:t>
      </w:r>
      <w:r w:rsidR="0090460C">
        <w:rPr>
          <w:rFonts w:ascii="Verdana" w:hAnsi="Verdana"/>
          <w:sz w:val="20"/>
          <w:szCs w:val="20"/>
          <w:lang w:val="es-CR"/>
        </w:rPr>
        <w:t xml:space="preserve"> no fue alegado ni por la Comisión Interamericana ni por los representantes de las víctimas, la Corte I</w:t>
      </w:r>
      <w:r w:rsidR="00686F62">
        <w:rPr>
          <w:rFonts w:ascii="Verdana" w:hAnsi="Verdana"/>
          <w:sz w:val="20"/>
          <w:szCs w:val="20"/>
          <w:lang w:val="es-CR"/>
        </w:rPr>
        <w:t>DH</w:t>
      </w:r>
      <w:r w:rsidR="0090460C">
        <w:rPr>
          <w:rFonts w:ascii="Verdana" w:hAnsi="Verdana"/>
          <w:sz w:val="20"/>
          <w:szCs w:val="20"/>
          <w:lang w:val="es-CR"/>
        </w:rPr>
        <w:t xml:space="preserve"> identifica que este tipo de afectaciones trascienden el plano material. </w:t>
      </w:r>
      <w:r w:rsidR="00F12E86">
        <w:rPr>
          <w:rFonts w:ascii="Verdana" w:hAnsi="Verdana"/>
          <w:sz w:val="20"/>
          <w:szCs w:val="20"/>
          <w:lang w:val="es-CR"/>
        </w:rPr>
        <w:t xml:space="preserve">Es por ello que el Tribunal Interamericano incluye, </w:t>
      </w:r>
      <w:r w:rsidR="0090460C">
        <w:rPr>
          <w:rFonts w:ascii="Verdana" w:hAnsi="Verdana"/>
          <w:sz w:val="20"/>
          <w:szCs w:val="20"/>
          <w:lang w:val="es-CR"/>
        </w:rPr>
        <w:t xml:space="preserve">vía </w:t>
      </w:r>
      <w:proofErr w:type="spellStart"/>
      <w:r w:rsidR="0090460C">
        <w:rPr>
          <w:rFonts w:ascii="Verdana" w:hAnsi="Verdana"/>
          <w:i/>
          <w:sz w:val="20"/>
          <w:szCs w:val="20"/>
          <w:lang w:val="es-CR"/>
        </w:rPr>
        <w:t>i</w:t>
      </w:r>
      <w:r w:rsidR="0090460C" w:rsidRPr="0090460C">
        <w:rPr>
          <w:rFonts w:ascii="Verdana" w:hAnsi="Verdana"/>
          <w:i/>
          <w:sz w:val="20"/>
          <w:szCs w:val="20"/>
          <w:lang w:val="es-CR"/>
        </w:rPr>
        <w:t>ura</w:t>
      </w:r>
      <w:proofErr w:type="spellEnd"/>
      <w:r w:rsidR="0090460C" w:rsidRPr="0090460C">
        <w:rPr>
          <w:rFonts w:ascii="Verdana" w:hAnsi="Verdana"/>
          <w:i/>
          <w:sz w:val="20"/>
          <w:szCs w:val="20"/>
          <w:lang w:val="es-CR"/>
        </w:rPr>
        <w:t xml:space="preserve"> </w:t>
      </w:r>
      <w:proofErr w:type="spellStart"/>
      <w:r w:rsidR="0090460C">
        <w:rPr>
          <w:rFonts w:ascii="Verdana" w:hAnsi="Verdana"/>
          <w:i/>
          <w:sz w:val="20"/>
          <w:szCs w:val="20"/>
          <w:lang w:val="es-CR"/>
        </w:rPr>
        <w:t>n</w:t>
      </w:r>
      <w:r w:rsidR="0090460C" w:rsidRPr="0090460C">
        <w:rPr>
          <w:rFonts w:ascii="Verdana" w:hAnsi="Verdana"/>
          <w:i/>
          <w:sz w:val="20"/>
          <w:szCs w:val="20"/>
          <w:lang w:val="es-CR"/>
        </w:rPr>
        <w:t>ovit</w:t>
      </w:r>
      <w:proofErr w:type="spellEnd"/>
      <w:r w:rsidR="0090460C" w:rsidRPr="0090460C">
        <w:rPr>
          <w:rFonts w:ascii="Verdana" w:hAnsi="Verdana"/>
          <w:i/>
          <w:sz w:val="20"/>
          <w:szCs w:val="20"/>
          <w:lang w:val="es-CR"/>
        </w:rPr>
        <w:t xml:space="preserve"> </w:t>
      </w:r>
      <w:r w:rsidR="0090460C">
        <w:rPr>
          <w:rFonts w:ascii="Verdana" w:hAnsi="Verdana"/>
          <w:i/>
          <w:sz w:val="20"/>
          <w:szCs w:val="20"/>
          <w:lang w:val="es-CR"/>
        </w:rPr>
        <w:t>c</w:t>
      </w:r>
      <w:r w:rsidR="0090460C" w:rsidRPr="0090460C">
        <w:rPr>
          <w:rFonts w:ascii="Verdana" w:hAnsi="Verdana"/>
          <w:i/>
          <w:sz w:val="20"/>
          <w:szCs w:val="20"/>
          <w:lang w:val="es-CR"/>
        </w:rPr>
        <w:t>uria</w:t>
      </w:r>
      <w:r w:rsidR="00F12E86">
        <w:rPr>
          <w:rFonts w:ascii="Verdana" w:hAnsi="Verdana"/>
          <w:i/>
          <w:sz w:val="20"/>
          <w:szCs w:val="20"/>
          <w:lang w:val="es-CR"/>
        </w:rPr>
        <w:t>,</w:t>
      </w:r>
      <w:r w:rsidR="0090460C" w:rsidRPr="0090460C">
        <w:rPr>
          <w:rFonts w:ascii="Verdana" w:hAnsi="Verdana"/>
          <w:i/>
          <w:sz w:val="20"/>
          <w:szCs w:val="20"/>
          <w:lang w:val="es-CR"/>
        </w:rPr>
        <w:t xml:space="preserve"> </w:t>
      </w:r>
      <w:r w:rsidR="0090460C">
        <w:rPr>
          <w:rFonts w:ascii="Verdana" w:hAnsi="Verdana"/>
          <w:sz w:val="20"/>
          <w:szCs w:val="20"/>
          <w:lang w:val="es-CR"/>
        </w:rPr>
        <w:t xml:space="preserve">el derecho a la </w:t>
      </w:r>
      <w:r w:rsidR="0090460C" w:rsidRPr="0090460C">
        <w:rPr>
          <w:rFonts w:ascii="Verdana" w:hAnsi="Verdana"/>
          <w:sz w:val="20"/>
          <w:szCs w:val="20"/>
          <w:lang w:val="es-CR"/>
        </w:rPr>
        <w:t>integridad personal (art. 5</w:t>
      </w:r>
      <w:r w:rsidR="0049629D">
        <w:rPr>
          <w:rFonts w:ascii="Verdana" w:hAnsi="Verdana"/>
          <w:sz w:val="20"/>
          <w:szCs w:val="20"/>
          <w:lang w:val="es-CR"/>
        </w:rPr>
        <w:t xml:space="preserve"> de la Convención Americana) y </w:t>
      </w:r>
      <w:r w:rsidR="0090460C" w:rsidRPr="0090460C">
        <w:rPr>
          <w:rFonts w:ascii="Verdana" w:hAnsi="Verdana"/>
          <w:sz w:val="20"/>
          <w:szCs w:val="20"/>
          <w:lang w:val="es-CR"/>
        </w:rPr>
        <w:t>el derecho a la dignidad (derecho que se</w:t>
      </w:r>
      <w:r w:rsidR="0049629D">
        <w:rPr>
          <w:rFonts w:ascii="Verdana" w:hAnsi="Verdana"/>
          <w:sz w:val="20"/>
          <w:szCs w:val="20"/>
          <w:lang w:val="es-CR"/>
        </w:rPr>
        <w:t xml:space="preserve"> deriva, en un sentido amplio, </w:t>
      </w:r>
      <w:r w:rsidR="0090460C" w:rsidRPr="0090460C">
        <w:rPr>
          <w:rFonts w:ascii="Verdana" w:hAnsi="Verdana"/>
          <w:sz w:val="20"/>
          <w:szCs w:val="20"/>
          <w:lang w:val="es-CR"/>
        </w:rPr>
        <w:t xml:space="preserve">del artículo 11 del Pacto de San José). </w:t>
      </w:r>
    </w:p>
    <w:p w:rsidR="004D4627" w:rsidRDefault="004D4627" w:rsidP="00CE6958">
      <w:pPr>
        <w:pStyle w:val="Prrafodelista"/>
        <w:tabs>
          <w:tab w:val="left" w:pos="709"/>
          <w:tab w:val="left" w:pos="1464"/>
        </w:tabs>
        <w:ind w:left="0"/>
        <w:jc w:val="both"/>
        <w:rPr>
          <w:rFonts w:ascii="Verdana" w:hAnsi="Verdana"/>
          <w:sz w:val="20"/>
          <w:szCs w:val="20"/>
          <w:lang w:val="es-CR"/>
        </w:rPr>
      </w:pPr>
    </w:p>
    <w:p w:rsidR="0090460C" w:rsidRPr="00160BDE" w:rsidRDefault="004D4627" w:rsidP="00CE6958">
      <w:pPr>
        <w:pStyle w:val="Prrafodelista"/>
        <w:tabs>
          <w:tab w:val="left" w:pos="709"/>
          <w:tab w:val="left" w:pos="1464"/>
        </w:tabs>
        <w:ind w:left="0"/>
        <w:jc w:val="both"/>
        <w:rPr>
          <w:rFonts w:ascii="Verdana" w:hAnsi="Verdana"/>
          <w:sz w:val="20"/>
          <w:szCs w:val="20"/>
          <w:lang w:val="es-CR"/>
        </w:rPr>
      </w:pPr>
      <w:r>
        <w:rPr>
          <w:rFonts w:ascii="Verdana" w:hAnsi="Verdana"/>
          <w:sz w:val="20"/>
          <w:szCs w:val="20"/>
          <w:lang w:val="es-CR"/>
        </w:rPr>
        <w:t xml:space="preserve">66. </w:t>
      </w:r>
      <w:r>
        <w:rPr>
          <w:rFonts w:ascii="Verdana" w:hAnsi="Verdana"/>
          <w:sz w:val="20"/>
          <w:szCs w:val="20"/>
          <w:lang w:val="es-CR"/>
        </w:rPr>
        <w:tab/>
      </w:r>
      <w:r w:rsidR="0090460C" w:rsidRPr="0090460C">
        <w:rPr>
          <w:rFonts w:ascii="Verdana" w:hAnsi="Verdana"/>
          <w:sz w:val="20"/>
          <w:szCs w:val="20"/>
          <w:lang w:val="es-CR"/>
        </w:rPr>
        <w:t xml:space="preserve">De este modo, </w:t>
      </w:r>
      <w:r w:rsidR="0090460C" w:rsidRPr="0090460C">
        <w:rPr>
          <w:rFonts w:ascii="Verdana" w:hAnsi="Verdana"/>
          <w:iCs/>
          <w:sz w:val="20"/>
          <w:szCs w:val="20"/>
          <w:lang w:val="es-PE"/>
        </w:rPr>
        <w:t xml:space="preserve">tal como concluye la Sentencia, “[l]a falta de materialización del derecho a la seguridad social por más de 27 años generó un grave perjuicio en la calidad de vida y la cobertura de salud del señor Muelle, una persona </w:t>
      </w:r>
      <w:r w:rsidR="0090460C" w:rsidRPr="0090460C">
        <w:rPr>
          <w:rFonts w:ascii="Verdana" w:hAnsi="Verdana"/>
          <w:color w:val="000000"/>
          <w:sz w:val="20"/>
          <w:szCs w:val="20"/>
          <w:bdr w:val="none" w:sz="0" w:space="0" w:color="auto" w:frame="1"/>
          <w:lang w:val="es-CO"/>
        </w:rPr>
        <w:t xml:space="preserve">en situación de especial protección por ser una persona mayor con discapacidad. </w:t>
      </w:r>
      <w:r w:rsidR="0090460C" w:rsidRPr="0090460C">
        <w:rPr>
          <w:rFonts w:ascii="Verdana" w:hAnsi="Verdana"/>
          <w:iCs/>
          <w:sz w:val="20"/>
          <w:szCs w:val="20"/>
          <w:lang w:val="es-PE"/>
        </w:rPr>
        <w:t xml:space="preserve">La vulneración generada por la falta </w:t>
      </w:r>
      <w:r w:rsidR="0090460C" w:rsidRPr="0090460C">
        <w:rPr>
          <w:rFonts w:ascii="Verdana" w:hAnsi="Verdana"/>
          <w:color w:val="000000"/>
          <w:sz w:val="20"/>
          <w:szCs w:val="20"/>
          <w:bdr w:val="none" w:sz="0" w:space="0" w:color="auto" w:frame="1"/>
          <w:lang w:val="es-CO"/>
        </w:rPr>
        <w:t>de pago de la pensión se extendió más allá del plazo razonable debido, y al ser este el único ingreso de la víctima, la ausencia prolongada del pago generó indefectiblemente una precariedad económica que afectó la cobertura de sus necesidades básicas, y por ende también su integridad psicológica y moral, así como su dignidad”</w:t>
      </w:r>
      <w:r w:rsidR="0090460C">
        <w:rPr>
          <w:rStyle w:val="Refdenotaalpie"/>
          <w:rFonts w:ascii="Verdana" w:hAnsi="Verdana"/>
          <w:color w:val="000000"/>
          <w:sz w:val="20"/>
          <w:szCs w:val="20"/>
          <w:bdr w:val="none" w:sz="0" w:space="0" w:color="auto" w:frame="1"/>
          <w:lang w:val="es-CO"/>
        </w:rPr>
        <w:footnoteReference w:id="105"/>
      </w:r>
      <w:r w:rsidR="0090460C" w:rsidRPr="0090460C">
        <w:rPr>
          <w:rFonts w:ascii="Verdana" w:hAnsi="Verdana"/>
          <w:color w:val="000000"/>
          <w:sz w:val="20"/>
          <w:szCs w:val="20"/>
          <w:bdr w:val="none" w:sz="0" w:space="0" w:color="auto" w:frame="1"/>
          <w:lang w:val="es-CO"/>
        </w:rPr>
        <w:t>.</w:t>
      </w:r>
    </w:p>
    <w:p w:rsidR="0044379D" w:rsidRPr="00160BDE" w:rsidRDefault="0044379D" w:rsidP="00DD2F96">
      <w:pPr>
        <w:pStyle w:val="Prrafodelista"/>
        <w:tabs>
          <w:tab w:val="left" w:pos="709"/>
          <w:tab w:val="left" w:pos="1464"/>
        </w:tabs>
        <w:ind w:left="0"/>
        <w:jc w:val="both"/>
        <w:rPr>
          <w:rFonts w:ascii="Verdana" w:hAnsi="Verdana"/>
          <w:sz w:val="20"/>
          <w:szCs w:val="20"/>
          <w:lang w:val="es-CR"/>
        </w:rPr>
      </w:pPr>
    </w:p>
    <w:p w:rsidR="007E4EDC" w:rsidRPr="0044379D" w:rsidRDefault="004D4627" w:rsidP="00CE6958">
      <w:pPr>
        <w:pStyle w:val="Prrafodelista"/>
        <w:tabs>
          <w:tab w:val="left" w:pos="709"/>
          <w:tab w:val="left" w:pos="1464"/>
        </w:tabs>
        <w:ind w:left="0"/>
        <w:jc w:val="both"/>
        <w:rPr>
          <w:rFonts w:ascii="Verdana" w:hAnsi="Verdana"/>
          <w:sz w:val="20"/>
          <w:szCs w:val="20"/>
          <w:lang w:val="es-CR"/>
        </w:rPr>
      </w:pPr>
      <w:r>
        <w:rPr>
          <w:rFonts w:ascii="Verdana" w:hAnsi="Verdana"/>
          <w:sz w:val="20"/>
          <w:szCs w:val="20"/>
          <w:lang w:val="es-CR"/>
        </w:rPr>
        <w:t>67</w:t>
      </w:r>
      <w:r w:rsidR="00CE6958">
        <w:rPr>
          <w:rFonts w:ascii="Verdana" w:hAnsi="Verdana"/>
          <w:sz w:val="20"/>
          <w:szCs w:val="20"/>
          <w:lang w:val="es-CR"/>
        </w:rPr>
        <w:t xml:space="preserve">. </w:t>
      </w:r>
      <w:r w:rsidR="00CE6958">
        <w:rPr>
          <w:rFonts w:ascii="Verdana" w:hAnsi="Verdana"/>
          <w:sz w:val="20"/>
          <w:szCs w:val="20"/>
          <w:lang w:val="es-CR"/>
        </w:rPr>
        <w:tab/>
      </w:r>
      <w:r w:rsidR="00EA0610">
        <w:rPr>
          <w:rFonts w:ascii="Verdana" w:hAnsi="Verdana"/>
          <w:sz w:val="20"/>
          <w:szCs w:val="20"/>
          <w:lang w:val="es-CR"/>
        </w:rPr>
        <w:t xml:space="preserve">El </w:t>
      </w:r>
      <w:r w:rsidR="007E4EDC" w:rsidRPr="0044379D">
        <w:rPr>
          <w:rFonts w:ascii="Verdana" w:hAnsi="Verdana"/>
          <w:sz w:val="20"/>
          <w:szCs w:val="20"/>
          <w:lang w:val="es-CR"/>
        </w:rPr>
        <w:t xml:space="preserve">caso </w:t>
      </w:r>
      <w:r w:rsidR="007E4EDC" w:rsidRPr="0044379D">
        <w:rPr>
          <w:rFonts w:ascii="Verdana" w:hAnsi="Verdana"/>
          <w:i/>
          <w:sz w:val="20"/>
          <w:szCs w:val="20"/>
          <w:lang w:val="es-CR"/>
        </w:rPr>
        <w:t>Muelle Flores</w:t>
      </w:r>
      <w:r w:rsidR="007E4EDC" w:rsidRPr="0044379D">
        <w:rPr>
          <w:rFonts w:ascii="Verdana" w:hAnsi="Verdana"/>
          <w:sz w:val="20"/>
          <w:szCs w:val="20"/>
          <w:lang w:val="es-CR"/>
        </w:rPr>
        <w:t xml:space="preserve"> nos muestra que la confluencia de diver</w:t>
      </w:r>
      <w:r w:rsidR="00BA0AAF">
        <w:rPr>
          <w:rFonts w:ascii="Verdana" w:hAnsi="Verdana"/>
          <w:sz w:val="20"/>
          <w:szCs w:val="20"/>
          <w:lang w:val="es-CR"/>
        </w:rPr>
        <w:t>sos factores de vulnerabilidad —</w:t>
      </w:r>
      <w:r w:rsidR="007E4EDC" w:rsidRPr="0044379D">
        <w:rPr>
          <w:rFonts w:ascii="Verdana" w:hAnsi="Verdana"/>
          <w:sz w:val="20"/>
          <w:szCs w:val="20"/>
          <w:lang w:val="es-CR"/>
        </w:rPr>
        <w:t xml:space="preserve">que tradicionalmente </w:t>
      </w:r>
      <w:r w:rsidR="00817B2A">
        <w:rPr>
          <w:rFonts w:ascii="Verdana" w:hAnsi="Verdana"/>
          <w:sz w:val="20"/>
          <w:szCs w:val="20"/>
          <w:lang w:val="es-CR"/>
        </w:rPr>
        <w:t>había</w:t>
      </w:r>
      <w:r w:rsidR="007E4EDC" w:rsidRPr="0044379D">
        <w:rPr>
          <w:rFonts w:ascii="Verdana" w:hAnsi="Verdana"/>
          <w:sz w:val="20"/>
          <w:szCs w:val="20"/>
          <w:lang w:val="es-CR"/>
        </w:rPr>
        <w:t xml:space="preserve"> sido identificados por </w:t>
      </w:r>
      <w:r w:rsidR="00686F62">
        <w:rPr>
          <w:rFonts w:ascii="Verdana" w:hAnsi="Verdana"/>
          <w:sz w:val="20"/>
          <w:szCs w:val="20"/>
          <w:lang w:val="es-CR"/>
        </w:rPr>
        <w:t>la Corte IDH</w:t>
      </w:r>
      <w:r w:rsidR="007E4EDC" w:rsidRPr="0044379D">
        <w:rPr>
          <w:rFonts w:ascii="Verdana" w:hAnsi="Verdana"/>
          <w:sz w:val="20"/>
          <w:szCs w:val="20"/>
          <w:lang w:val="es-CR"/>
        </w:rPr>
        <w:t xml:space="preserve"> en casos de discriminación contra la mujer</w:t>
      </w:r>
      <w:r w:rsidR="0044379D" w:rsidRPr="0044379D">
        <w:rPr>
          <w:rStyle w:val="Refdenotaalpie"/>
          <w:rFonts w:ascii="Verdana" w:hAnsi="Verdana"/>
          <w:sz w:val="20"/>
          <w:szCs w:val="20"/>
          <w:lang w:val="es-CR"/>
        </w:rPr>
        <w:footnoteReference w:id="106"/>
      </w:r>
      <w:r w:rsidR="00BA0AAF">
        <w:rPr>
          <w:rFonts w:ascii="Verdana" w:hAnsi="Verdana"/>
          <w:sz w:val="20"/>
          <w:szCs w:val="20"/>
          <w:lang w:val="es-CR"/>
        </w:rPr>
        <w:t>—</w:t>
      </w:r>
      <w:r w:rsidR="007E4EDC" w:rsidRPr="0044379D">
        <w:rPr>
          <w:rFonts w:ascii="Verdana" w:hAnsi="Verdana"/>
          <w:sz w:val="20"/>
          <w:szCs w:val="20"/>
          <w:lang w:val="es-CR"/>
        </w:rPr>
        <w:t xml:space="preserve">, también pueden operar en </w:t>
      </w:r>
      <w:r w:rsidR="0044379D" w:rsidRPr="0044379D">
        <w:rPr>
          <w:rFonts w:ascii="Verdana" w:hAnsi="Verdana"/>
          <w:sz w:val="20"/>
          <w:szCs w:val="20"/>
          <w:lang w:val="es-CR"/>
        </w:rPr>
        <w:t>situaciones</w:t>
      </w:r>
      <w:r w:rsidR="007E4EDC" w:rsidRPr="0044379D">
        <w:rPr>
          <w:rFonts w:ascii="Verdana" w:hAnsi="Verdana"/>
          <w:sz w:val="20"/>
          <w:szCs w:val="20"/>
          <w:lang w:val="es-CR"/>
        </w:rPr>
        <w:t xml:space="preserve"> en donde el sexo/género no se encuentren involucrados; en el caso, la </w:t>
      </w:r>
      <w:r w:rsidR="0044379D" w:rsidRPr="0044379D">
        <w:rPr>
          <w:rFonts w:ascii="Verdana" w:hAnsi="Verdana"/>
          <w:sz w:val="20"/>
          <w:szCs w:val="20"/>
          <w:lang w:val="es-CR"/>
        </w:rPr>
        <w:t>“</w:t>
      </w:r>
      <w:r w:rsidR="007E4EDC" w:rsidRPr="0044379D">
        <w:rPr>
          <w:rFonts w:ascii="Verdana" w:hAnsi="Verdana"/>
          <w:sz w:val="20"/>
          <w:szCs w:val="20"/>
          <w:lang w:val="es-CR"/>
        </w:rPr>
        <w:t>edad</w:t>
      </w:r>
      <w:r w:rsidR="0044379D" w:rsidRPr="0044379D">
        <w:rPr>
          <w:rFonts w:ascii="Verdana" w:hAnsi="Verdana"/>
          <w:sz w:val="20"/>
          <w:szCs w:val="20"/>
          <w:lang w:val="es-CR"/>
        </w:rPr>
        <w:t>”</w:t>
      </w:r>
      <w:r w:rsidR="007E4EDC" w:rsidRPr="0044379D">
        <w:rPr>
          <w:rFonts w:ascii="Verdana" w:hAnsi="Verdana"/>
          <w:sz w:val="20"/>
          <w:szCs w:val="20"/>
          <w:lang w:val="es-CR"/>
        </w:rPr>
        <w:t xml:space="preserve"> y </w:t>
      </w:r>
      <w:r w:rsidR="0044379D" w:rsidRPr="0044379D">
        <w:rPr>
          <w:rFonts w:ascii="Verdana" w:hAnsi="Verdana"/>
          <w:sz w:val="20"/>
          <w:szCs w:val="20"/>
          <w:lang w:val="es-CR"/>
        </w:rPr>
        <w:t>“</w:t>
      </w:r>
      <w:r w:rsidR="007E4EDC" w:rsidRPr="0044379D">
        <w:rPr>
          <w:rFonts w:ascii="Verdana" w:hAnsi="Verdana"/>
          <w:sz w:val="20"/>
          <w:szCs w:val="20"/>
          <w:lang w:val="es-CR"/>
        </w:rPr>
        <w:t xml:space="preserve">la </w:t>
      </w:r>
      <w:r w:rsidR="0044379D" w:rsidRPr="0044379D">
        <w:rPr>
          <w:rFonts w:ascii="Verdana" w:hAnsi="Verdana"/>
          <w:sz w:val="20"/>
          <w:szCs w:val="20"/>
          <w:lang w:val="es-CR"/>
        </w:rPr>
        <w:t>discapacidad</w:t>
      </w:r>
      <w:r w:rsidR="007E4EDC" w:rsidRPr="0044379D">
        <w:rPr>
          <w:rFonts w:ascii="Verdana" w:hAnsi="Verdana"/>
          <w:sz w:val="20"/>
          <w:szCs w:val="20"/>
          <w:lang w:val="es-CR"/>
        </w:rPr>
        <w:t xml:space="preserve"> auditiva</w:t>
      </w:r>
      <w:r w:rsidR="0044379D" w:rsidRPr="0044379D">
        <w:rPr>
          <w:rFonts w:ascii="Verdana" w:hAnsi="Verdana"/>
          <w:sz w:val="20"/>
          <w:szCs w:val="20"/>
          <w:lang w:val="es-CR"/>
        </w:rPr>
        <w:t>”</w:t>
      </w:r>
      <w:r w:rsidR="007E4EDC" w:rsidRPr="0044379D">
        <w:rPr>
          <w:rFonts w:ascii="Verdana" w:hAnsi="Verdana"/>
          <w:sz w:val="20"/>
          <w:szCs w:val="20"/>
          <w:lang w:val="es-CR"/>
        </w:rPr>
        <w:t xml:space="preserve"> </w:t>
      </w:r>
      <w:r w:rsidR="0044379D" w:rsidRPr="0044379D">
        <w:rPr>
          <w:rFonts w:ascii="Verdana" w:hAnsi="Verdana"/>
          <w:sz w:val="20"/>
          <w:szCs w:val="20"/>
          <w:lang w:val="es-CR"/>
        </w:rPr>
        <w:t xml:space="preserve">se encuentran </w:t>
      </w:r>
      <w:r w:rsidR="0044379D">
        <w:rPr>
          <w:rFonts w:ascii="Verdana" w:hAnsi="Verdana"/>
          <w:sz w:val="20"/>
          <w:szCs w:val="20"/>
          <w:lang w:val="es-CR"/>
        </w:rPr>
        <w:t xml:space="preserve">como </w:t>
      </w:r>
      <w:r w:rsidR="0044379D" w:rsidRPr="00817B2A">
        <w:rPr>
          <w:rFonts w:ascii="Verdana" w:hAnsi="Verdana"/>
          <w:i/>
          <w:sz w:val="20"/>
          <w:szCs w:val="20"/>
          <w:lang w:val="es-CR"/>
        </w:rPr>
        <w:t xml:space="preserve">múltiples formas de vulnerabilidad </w:t>
      </w:r>
      <w:r w:rsidR="0044379D" w:rsidRPr="0044379D">
        <w:rPr>
          <w:rFonts w:ascii="Verdana" w:hAnsi="Verdana"/>
          <w:sz w:val="20"/>
          <w:szCs w:val="20"/>
          <w:lang w:val="es-CR"/>
        </w:rPr>
        <w:t>en l</w:t>
      </w:r>
      <w:r w:rsidR="0044379D">
        <w:rPr>
          <w:rFonts w:ascii="Verdana" w:hAnsi="Verdana"/>
          <w:sz w:val="20"/>
          <w:szCs w:val="20"/>
          <w:lang w:val="es-CR"/>
        </w:rPr>
        <w:t>a vida del señor Muelle Flores, lo cual tiene impo</w:t>
      </w:r>
      <w:r w:rsidR="00686F62">
        <w:rPr>
          <w:rFonts w:ascii="Verdana" w:hAnsi="Verdana"/>
          <w:sz w:val="20"/>
          <w:szCs w:val="20"/>
          <w:lang w:val="es-CR"/>
        </w:rPr>
        <w:t>rtantes consecuencias si se tiene</w:t>
      </w:r>
      <w:r w:rsidR="0044379D">
        <w:rPr>
          <w:rFonts w:ascii="Verdana" w:hAnsi="Verdana"/>
          <w:sz w:val="20"/>
          <w:szCs w:val="20"/>
          <w:lang w:val="es-CR"/>
        </w:rPr>
        <w:t xml:space="preserve"> en consideración la falta de ejecución de las sentencias que han reconocido el derecho a la seguridad social en el ámbito interno. </w:t>
      </w:r>
    </w:p>
    <w:p w:rsidR="007E4EDC" w:rsidRPr="007E4EDC" w:rsidRDefault="007E4EDC" w:rsidP="00DD2F96">
      <w:pPr>
        <w:pStyle w:val="Prrafodelista"/>
        <w:rPr>
          <w:rFonts w:ascii="Verdana" w:hAnsi="Verdana"/>
          <w:sz w:val="20"/>
          <w:szCs w:val="20"/>
          <w:lang w:val="es-CR"/>
        </w:rPr>
      </w:pPr>
    </w:p>
    <w:p w:rsidR="00EA0610" w:rsidRDefault="004D4627" w:rsidP="00CE6958">
      <w:pPr>
        <w:pStyle w:val="Prrafodelista"/>
        <w:tabs>
          <w:tab w:val="left" w:pos="709"/>
          <w:tab w:val="left" w:pos="1464"/>
        </w:tabs>
        <w:ind w:left="0"/>
        <w:jc w:val="both"/>
        <w:rPr>
          <w:rFonts w:ascii="UniversLTStd" w:eastAsia="Times New Roman" w:hAnsi="UniversLTStd" w:cs="Times New Roman"/>
          <w:sz w:val="20"/>
          <w:szCs w:val="20"/>
          <w:lang w:eastAsia="es-ES_tradnl"/>
        </w:rPr>
      </w:pPr>
      <w:r>
        <w:rPr>
          <w:rFonts w:ascii="Verdana" w:hAnsi="Verdana"/>
          <w:sz w:val="20"/>
          <w:szCs w:val="20"/>
          <w:lang w:val="es-CR"/>
        </w:rPr>
        <w:t>68</w:t>
      </w:r>
      <w:r w:rsidR="00CE6958">
        <w:rPr>
          <w:rFonts w:ascii="Verdana" w:hAnsi="Verdana"/>
          <w:sz w:val="20"/>
          <w:szCs w:val="20"/>
          <w:lang w:val="es-CR"/>
        </w:rPr>
        <w:t xml:space="preserve">. </w:t>
      </w:r>
      <w:r w:rsidR="00CE6958">
        <w:rPr>
          <w:rFonts w:ascii="Verdana" w:hAnsi="Verdana"/>
          <w:sz w:val="20"/>
          <w:szCs w:val="20"/>
          <w:lang w:val="es-CR"/>
        </w:rPr>
        <w:tab/>
      </w:r>
      <w:r w:rsidR="00160BDE" w:rsidRPr="00A610E7">
        <w:rPr>
          <w:rFonts w:ascii="Verdana" w:hAnsi="Verdana"/>
          <w:sz w:val="20"/>
          <w:szCs w:val="20"/>
          <w:lang w:val="es-CR"/>
        </w:rPr>
        <w:t xml:space="preserve">Todos estos elementos que permea el Tribunal Interamericano en su Sentencia son de especial </w:t>
      </w:r>
      <w:r w:rsidR="006B2226" w:rsidRPr="00A610E7">
        <w:rPr>
          <w:rFonts w:ascii="Verdana" w:hAnsi="Verdana"/>
          <w:sz w:val="20"/>
          <w:szCs w:val="20"/>
          <w:lang w:val="es-CR"/>
        </w:rPr>
        <w:t>relevancia</w:t>
      </w:r>
      <w:r w:rsidR="00160BDE" w:rsidRPr="00A610E7">
        <w:rPr>
          <w:rFonts w:ascii="Verdana" w:hAnsi="Verdana"/>
          <w:sz w:val="20"/>
          <w:szCs w:val="20"/>
          <w:lang w:val="es-CR"/>
        </w:rPr>
        <w:t xml:space="preserve"> para un grupo </w:t>
      </w:r>
      <w:r w:rsidR="00FB75CE">
        <w:rPr>
          <w:rFonts w:ascii="Verdana" w:hAnsi="Verdana"/>
          <w:sz w:val="20"/>
          <w:szCs w:val="20"/>
          <w:lang w:val="es-CR"/>
        </w:rPr>
        <w:t xml:space="preserve">social </w:t>
      </w:r>
      <w:r w:rsidR="00160BDE" w:rsidRPr="00A610E7">
        <w:rPr>
          <w:rFonts w:ascii="Verdana" w:hAnsi="Verdana"/>
          <w:sz w:val="20"/>
          <w:szCs w:val="20"/>
          <w:lang w:val="es-CR"/>
        </w:rPr>
        <w:t>que, por muchos años, no encontró protección en los prin</w:t>
      </w:r>
      <w:r w:rsidR="00FB75CE">
        <w:rPr>
          <w:rFonts w:ascii="Verdana" w:hAnsi="Verdana"/>
          <w:sz w:val="20"/>
          <w:szCs w:val="20"/>
          <w:lang w:val="es-CR"/>
        </w:rPr>
        <w:t>cipales instrumentos internacio</w:t>
      </w:r>
      <w:r w:rsidR="00160BDE" w:rsidRPr="00A610E7">
        <w:rPr>
          <w:rFonts w:ascii="Verdana" w:hAnsi="Verdana"/>
          <w:sz w:val="20"/>
          <w:szCs w:val="20"/>
          <w:lang w:val="es-CR"/>
        </w:rPr>
        <w:t xml:space="preserve">nales de derechos humanos. Además, no es casualidad que los precedentes sobre personas mayores coincida con derechos de carácter social, </w:t>
      </w:r>
      <w:r w:rsidR="00686F62" w:rsidRPr="00A610E7">
        <w:rPr>
          <w:rFonts w:ascii="Verdana" w:hAnsi="Verdana"/>
          <w:sz w:val="20"/>
          <w:szCs w:val="20"/>
          <w:lang w:val="es-CR"/>
        </w:rPr>
        <w:t>toda vez que</w:t>
      </w:r>
      <w:r w:rsidR="00160BDE" w:rsidRPr="00A610E7">
        <w:rPr>
          <w:rFonts w:ascii="Verdana" w:hAnsi="Verdana"/>
          <w:sz w:val="20"/>
          <w:szCs w:val="20"/>
          <w:lang w:val="es-CR"/>
        </w:rPr>
        <w:t xml:space="preserve"> en muchos de los casos, es este grupo en </w:t>
      </w:r>
      <w:r w:rsidR="0057467B" w:rsidRPr="00A610E7">
        <w:rPr>
          <w:rFonts w:ascii="Verdana" w:hAnsi="Verdana"/>
          <w:sz w:val="20"/>
          <w:szCs w:val="20"/>
          <w:lang w:val="es-CR"/>
        </w:rPr>
        <w:t>situación</w:t>
      </w:r>
      <w:r w:rsidR="00160BDE" w:rsidRPr="00A610E7">
        <w:rPr>
          <w:rFonts w:ascii="Verdana" w:hAnsi="Verdana"/>
          <w:sz w:val="20"/>
          <w:szCs w:val="20"/>
          <w:lang w:val="es-CR"/>
        </w:rPr>
        <w:t xml:space="preserve"> de vulnerabilidad </w:t>
      </w:r>
      <w:r w:rsidR="00BA0AAF" w:rsidRPr="00A610E7">
        <w:rPr>
          <w:rFonts w:ascii="Verdana" w:hAnsi="Verdana"/>
          <w:sz w:val="20"/>
          <w:szCs w:val="20"/>
          <w:lang w:val="es-CR"/>
        </w:rPr>
        <w:t>—</w:t>
      </w:r>
      <w:r w:rsidR="000600F1">
        <w:rPr>
          <w:rFonts w:ascii="Verdana" w:hAnsi="Verdana"/>
          <w:sz w:val="20"/>
          <w:szCs w:val="20"/>
          <w:lang w:val="es-CR"/>
        </w:rPr>
        <w:t>marcados</w:t>
      </w:r>
      <w:r w:rsidR="00FB75CE">
        <w:rPr>
          <w:rFonts w:ascii="Verdana" w:hAnsi="Verdana"/>
          <w:sz w:val="20"/>
          <w:szCs w:val="20"/>
          <w:lang w:val="es-CR"/>
        </w:rPr>
        <w:t xml:space="preserve"> con frecuencia</w:t>
      </w:r>
      <w:r w:rsidR="0057467B" w:rsidRPr="00A610E7">
        <w:rPr>
          <w:rFonts w:ascii="Verdana" w:hAnsi="Verdana"/>
          <w:sz w:val="20"/>
          <w:szCs w:val="20"/>
          <w:lang w:val="es-CR"/>
        </w:rPr>
        <w:t xml:space="preserve"> por la pobreza, marginación y exclusión</w:t>
      </w:r>
      <w:r w:rsidR="00BA0AAF" w:rsidRPr="00A610E7">
        <w:rPr>
          <w:rFonts w:ascii="Verdana" w:hAnsi="Verdana"/>
          <w:sz w:val="20"/>
          <w:szCs w:val="20"/>
          <w:lang w:val="es-CR"/>
        </w:rPr>
        <w:t xml:space="preserve">— </w:t>
      </w:r>
      <w:r w:rsidR="00160BDE" w:rsidRPr="00A610E7">
        <w:rPr>
          <w:rFonts w:ascii="Verdana" w:hAnsi="Verdana"/>
          <w:sz w:val="20"/>
          <w:szCs w:val="20"/>
          <w:lang w:val="es-CR"/>
        </w:rPr>
        <w:t xml:space="preserve">quienes </w:t>
      </w:r>
      <w:r w:rsidR="0057467B" w:rsidRPr="00A610E7">
        <w:rPr>
          <w:rFonts w:ascii="Verdana" w:hAnsi="Verdana"/>
          <w:sz w:val="20"/>
          <w:szCs w:val="20"/>
          <w:lang w:val="es-CR"/>
        </w:rPr>
        <w:t xml:space="preserve">se </w:t>
      </w:r>
      <w:r w:rsidR="00160BDE" w:rsidRPr="00A610E7">
        <w:rPr>
          <w:rFonts w:ascii="Verdana" w:hAnsi="Verdana"/>
          <w:sz w:val="20"/>
          <w:szCs w:val="20"/>
          <w:lang w:val="es-CR"/>
        </w:rPr>
        <w:t>ve</w:t>
      </w:r>
      <w:r w:rsidR="0057467B" w:rsidRPr="00A610E7">
        <w:rPr>
          <w:rFonts w:ascii="Verdana" w:hAnsi="Verdana"/>
          <w:sz w:val="20"/>
          <w:szCs w:val="20"/>
          <w:lang w:val="es-CR"/>
        </w:rPr>
        <w:t>a</w:t>
      </w:r>
      <w:r w:rsidR="00160BDE" w:rsidRPr="00A610E7">
        <w:rPr>
          <w:rFonts w:ascii="Verdana" w:hAnsi="Verdana"/>
          <w:sz w:val="20"/>
          <w:szCs w:val="20"/>
          <w:lang w:val="es-CR"/>
        </w:rPr>
        <w:t>n negados sus derechos básicos.</w:t>
      </w:r>
      <w:r w:rsidR="00792F5C">
        <w:rPr>
          <w:rFonts w:ascii="Verdana" w:hAnsi="Verdana"/>
          <w:sz w:val="20"/>
          <w:szCs w:val="20"/>
          <w:lang w:val="es-CR"/>
        </w:rPr>
        <w:t xml:space="preserve"> </w:t>
      </w:r>
      <w:r w:rsidR="0049629D">
        <w:rPr>
          <w:rFonts w:ascii="Verdana" w:hAnsi="Verdana"/>
          <w:sz w:val="20"/>
          <w:szCs w:val="20"/>
          <w:lang w:val="es-CR"/>
        </w:rPr>
        <w:t>En este sentido</w:t>
      </w:r>
      <w:r w:rsidR="00EA0610" w:rsidRPr="00A610E7">
        <w:rPr>
          <w:rFonts w:ascii="Verdana" w:hAnsi="Verdana"/>
          <w:sz w:val="20"/>
          <w:szCs w:val="20"/>
          <w:lang w:val="es-CR"/>
        </w:rPr>
        <w:t xml:space="preserve"> “</w:t>
      </w:r>
      <w:r w:rsidR="00EA0610" w:rsidRPr="00A610E7">
        <w:rPr>
          <w:rFonts w:ascii="Verdana" w:eastAsia="Times New Roman" w:hAnsi="Verdana" w:cs="Times New Roman"/>
          <w:sz w:val="20"/>
          <w:szCs w:val="20"/>
          <w:lang w:eastAsia="es-ES_tradnl"/>
        </w:rPr>
        <w:t xml:space="preserve">es necesario avanzar en la senda de la igualdad y en la </w:t>
      </w:r>
      <w:r w:rsidR="006B2226" w:rsidRPr="00A610E7">
        <w:rPr>
          <w:rFonts w:ascii="Verdana" w:eastAsia="Times New Roman" w:hAnsi="Verdana" w:cs="Times New Roman"/>
          <w:sz w:val="20"/>
          <w:szCs w:val="20"/>
          <w:lang w:eastAsia="es-ES_tradnl"/>
        </w:rPr>
        <w:t>construcción</w:t>
      </w:r>
      <w:r w:rsidR="00EA0610" w:rsidRPr="00A610E7">
        <w:rPr>
          <w:rFonts w:ascii="Verdana" w:eastAsia="Times New Roman" w:hAnsi="Verdana" w:cs="Times New Roman"/>
          <w:sz w:val="20"/>
          <w:szCs w:val="20"/>
          <w:lang w:eastAsia="es-ES_tradnl"/>
        </w:rPr>
        <w:t xml:space="preserve"> de Estados de bienestar para toda la </w:t>
      </w:r>
      <w:r w:rsidR="006B2226" w:rsidRPr="00A610E7">
        <w:rPr>
          <w:rFonts w:ascii="Verdana" w:eastAsia="Times New Roman" w:hAnsi="Verdana" w:cs="Times New Roman"/>
          <w:sz w:val="20"/>
          <w:szCs w:val="20"/>
          <w:lang w:eastAsia="es-ES_tradnl"/>
        </w:rPr>
        <w:t>población</w:t>
      </w:r>
      <w:r w:rsidR="00EA0610" w:rsidRPr="00A610E7">
        <w:rPr>
          <w:rFonts w:ascii="Verdana" w:eastAsia="Times New Roman" w:hAnsi="Verdana" w:cs="Times New Roman"/>
          <w:sz w:val="20"/>
          <w:szCs w:val="20"/>
          <w:lang w:eastAsia="es-ES_tradnl"/>
        </w:rPr>
        <w:t xml:space="preserve">, en los que la </w:t>
      </w:r>
      <w:r w:rsidR="006B2226" w:rsidRPr="00A610E7">
        <w:rPr>
          <w:rFonts w:ascii="Verdana" w:eastAsia="Times New Roman" w:hAnsi="Verdana" w:cs="Times New Roman"/>
          <w:sz w:val="20"/>
          <w:szCs w:val="20"/>
          <w:lang w:eastAsia="es-ES_tradnl"/>
        </w:rPr>
        <w:t>protección</w:t>
      </w:r>
      <w:r w:rsidR="00EA0610" w:rsidRPr="00A610E7">
        <w:rPr>
          <w:rFonts w:ascii="Verdana" w:eastAsia="Times New Roman" w:hAnsi="Verdana" w:cs="Times New Roman"/>
          <w:sz w:val="20"/>
          <w:szCs w:val="20"/>
          <w:lang w:eastAsia="es-ES_tradnl"/>
        </w:rPr>
        <w:t xml:space="preserve"> social sea un derecho efectivo”</w:t>
      </w:r>
      <w:r w:rsidR="00EA0610" w:rsidRPr="00A610E7">
        <w:rPr>
          <w:rStyle w:val="Refdenotaalpie"/>
          <w:rFonts w:ascii="Verdana" w:hAnsi="Verdana"/>
          <w:color w:val="000000"/>
          <w:sz w:val="20"/>
          <w:szCs w:val="20"/>
          <w:bdr w:val="none" w:sz="0" w:space="0" w:color="auto" w:frame="1"/>
          <w:lang w:val="es-CO"/>
        </w:rPr>
        <w:t xml:space="preserve"> </w:t>
      </w:r>
      <w:r w:rsidR="00EA0610" w:rsidRPr="00A610E7">
        <w:rPr>
          <w:rStyle w:val="Refdenotaalpie"/>
          <w:rFonts w:ascii="Verdana" w:hAnsi="Verdana"/>
          <w:color w:val="000000"/>
          <w:sz w:val="20"/>
          <w:szCs w:val="20"/>
          <w:bdr w:val="none" w:sz="0" w:space="0" w:color="auto" w:frame="1"/>
          <w:lang w:val="es-CO"/>
        </w:rPr>
        <w:footnoteReference w:id="107"/>
      </w:r>
      <w:r w:rsidR="00EA0610" w:rsidRPr="00A610E7">
        <w:rPr>
          <w:rFonts w:ascii="Verdana" w:eastAsia="Times New Roman" w:hAnsi="Verdana" w:cs="Times New Roman"/>
          <w:sz w:val="20"/>
          <w:szCs w:val="20"/>
          <w:lang w:eastAsia="es-ES_tradnl"/>
        </w:rPr>
        <w:t>.</w:t>
      </w:r>
      <w:r w:rsidR="00EA0610" w:rsidRPr="00A610E7">
        <w:rPr>
          <w:rFonts w:ascii="UniversLTStd" w:eastAsia="Times New Roman" w:hAnsi="UniversLTStd" w:cs="Times New Roman"/>
          <w:sz w:val="20"/>
          <w:szCs w:val="20"/>
          <w:lang w:eastAsia="es-ES_tradnl"/>
        </w:rPr>
        <w:t xml:space="preserve"> </w:t>
      </w:r>
    </w:p>
    <w:p w:rsidR="009A1F65" w:rsidRDefault="009A1F65" w:rsidP="00CE6958">
      <w:pPr>
        <w:pStyle w:val="Prrafodelista"/>
        <w:tabs>
          <w:tab w:val="left" w:pos="709"/>
          <w:tab w:val="left" w:pos="1464"/>
        </w:tabs>
        <w:ind w:left="0"/>
        <w:jc w:val="both"/>
        <w:rPr>
          <w:rFonts w:ascii="Verdana" w:hAnsi="Verdana"/>
          <w:sz w:val="20"/>
          <w:szCs w:val="20"/>
          <w:lang w:val="es-CR"/>
        </w:rPr>
      </w:pPr>
    </w:p>
    <w:p w:rsidR="00035896" w:rsidRDefault="00035896" w:rsidP="00CE6958">
      <w:pPr>
        <w:pStyle w:val="Prrafodelista"/>
        <w:tabs>
          <w:tab w:val="left" w:pos="709"/>
          <w:tab w:val="left" w:pos="1464"/>
        </w:tabs>
        <w:ind w:left="0"/>
        <w:jc w:val="both"/>
        <w:rPr>
          <w:rFonts w:ascii="Verdana" w:hAnsi="Verdana"/>
          <w:sz w:val="20"/>
          <w:szCs w:val="20"/>
          <w:lang w:val="es-CR"/>
        </w:rPr>
      </w:pPr>
    </w:p>
    <w:p w:rsidR="004D4627" w:rsidRDefault="004D4627" w:rsidP="00CE6958">
      <w:pPr>
        <w:pStyle w:val="Prrafodelista"/>
        <w:tabs>
          <w:tab w:val="left" w:pos="709"/>
          <w:tab w:val="left" w:pos="1464"/>
        </w:tabs>
        <w:ind w:left="0"/>
        <w:jc w:val="both"/>
        <w:rPr>
          <w:rFonts w:ascii="Verdana" w:hAnsi="Verdana"/>
          <w:sz w:val="20"/>
          <w:szCs w:val="20"/>
          <w:lang w:val="es-CR"/>
        </w:rPr>
      </w:pPr>
    </w:p>
    <w:p w:rsidR="00282163" w:rsidRPr="006D39DE" w:rsidRDefault="00282163" w:rsidP="00CE6958">
      <w:pPr>
        <w:pStyle w:val="Prrafodelista"/>
        <w:tabs>
          <w:tab w:val="left" w:pos="709"/>
          <w:tab w:val="left" w:pos="1464"/>
        </w:tabs>
        <w:ind w:left="0"/>
        <w:jc w:val="both"/>
        <w:rPr>
          <w:rFonts w:ascii="Verdana" w:hAnsi="Verdana"/>
          <w:sz w:val="20"/>
          <w:szCs w:val="20"/>
          <w:lang w:val="es-CR"/>
        </w:rPr>
      </w:pPr>
    </w:p>
    <w:p w:rsidR="00282163" w:rsidRPr="00A610E7" w:rsidRDefault="00282163" w:rsidP="00CE6958">
      <w:pPr>
        <w:pStyle w:val="Prrafodelista"/>
        <w:tabs>
          <w:tab w:val="left" w:pos="709"/>
          <w:tab w:val="left" w:pos="1464"/>
        </w:tabs>
        <w:ind w:left="0"/>
        <w:jc w:val="both"/>
        <w:rPr>
          <w:rFonts w:ascii="Verdana" w:hAnsi="Verdana"/>
          <w:sz w:val="20"/>
          <w:szCs w:val="20"/>
          <w:lang w:val="es-CR"/>
        </w:rPr>
      </w:pPr>
    </w:p>
    <w:p w:rsidR="001B6BF1" w:rsidRDefault="001B6BF1" w:rsidP="00DD2F96">
      <w:pPr>
        <w:rPr>
          <w:lang w:val="es-ES"/>
        </w:rPr>
      </w:pPr>
    </w:p>
    <w:p w:rsidR="001B6BF1" w:rsidRPr="00C85629" w:rsidRDefault="001B6BF1" w:rsidP="001B6BF1">
      <w:pPr>
        <w:pStyle w:val="NormalWeb"/>
        <w:spacing w:before="0" w:beforeAutospacing="0" w:after="0" w:afterAutospacing="0"/>
        <w:ind w:left="3600" w:right="96" w:firstLine="720"/>
        <w:jc w:val="center"/>
        <w:rPr>
          <w:rFonts w:ascii="Verdana" w:eastAsia="Calibri" w:hAnsi="Verdana"/>
          <w:sz w:val="20"/>
          <w:szCs w:val="20"/>
          <w:lang w:eastAsia="en-US"/>
        </w:rPr>
      </w:pPr>
      <w:r w:rsidRPr="00C85629">
        <w:rPr>
          <w:rFonts w:ascii="Verdana" w:eastAsia="Calibri" w:hAnsi="Verdana"/>
          <w:sz w:val="20"/>
          <w:szCs w:val="20"/>
          <w:lang w:eastAsia="en-US"/>
        </w:rPr>
        <w:t>Eduardo Ferrer Mac-</w:t>
      </w:r>
      <w:proofErr w:type="spellStart"/>
      <w:r w:rsidRPr="00C85629">
        <w:rPr>
          <w:rFonts w:ascii="Verdana" w:eastAsia="Calibri" w:hAnsi="Verdana"/>
          <w:sz w:val="20"/>
          <w:szCs w:val="20"/>
          <w:lang w:eastAsia="en-US"/>
        </w:rPr>
        <w:t>Gregor</w:t>
      </w:r>
      <w:proofErr w:type="spellEnd"/>
      <w:r w:rsidRPr="00C85629">
        <w:rPr>
          <w:rFonts w:ascii="Verdana" w:eastAsia="Calibri" w:hAnsi="Verdana"/>
          <w:sz w:val="20"/>
          <w:szCs w:val="20"/>
          <w:lang w:eastAsia="en-US"/>
        </w:rPr>
        <w:t xml:space="preserve"> </w:t>
      </w:r>
      <w:proofErr w:type="spellStart"/>
      <w:r w:rsidRPr="00C85629">
        <w:rPr>
          <w:rFonts w:ascii="Verdana" w:eastAsia="Calibri" w:hAnsi="Verdana"/>
          <w:sz w:val="20"/>
          <w:szCs w:val="20"/>
          <w:lang w:eastAsia="en-US"/>
        </w:rPr>
        <w:t>Poisot</w:t>
      </w:r>
      <w:proofErr w:type="spellEnd"/>
    </w:p>
    <w:p w:rsidR="009A1F65" w:rsidRPr="009639FF" w:rsidRDefault="00792F5C" w:rsidP="009639FF">
      <w:pPr>
        <w:pStyle w:val="NormalWeb"/>
        <w:spacing w:before="0" w:beforeAutospacing="0" w:after="0" w:afterAutospacing="0"/>
        <w:ind w:left="5664" w:right="96" w:firstLine="708"/>
        <w:rPr>
          <w:rFonts w:ascii="Verdana" w:eastAsia="Calibri" w:hAnsi="Verdana"/>
          <w:sz w:val="20"/>
          <w:szCs w:val="20"/>
          <w:lang w:eastAsia="en-US"/>
        </w:rPr>
      </w:pPr>
      <w:r>
        <w:rPr>
          <w:rFonts w:ascii="Verdana" w:eastAsia="Calibri" w:hAnsi="Verdana"/>
          <w:sz w:val="20"/>
          <w:szCs w:val="20"/>
          <w:lang w:eastAsia="en-US"/>
        </w:rPr>
        <w:t xml:space="preserve">  </w:t>
      </w:r>
      <w:r w:rsidR="001B6BF1" w:rsidRPr="00C85629">
        <w:rPr>
          <w:rFonts w:ascii="Verdana" w:eastAsia="Calibri" w:hAnsi="Verdana"/>
          <w:sz w:val="20"/>
          <w:szCs w:val="20"/>
          <w:lang w:eastAsia="en-US"/>
        </w:rPr>
        <w:t>Juez</w:t>
      </w:r>
    </w:p>
    <w:p w:rsidR="009A1F65" w:rsidRDefault="009A1F65" w:rsidP="001B6BF1">
      <w:pPr>
        <w:rPr>
          <w:rFonts w:ascii="Verdana" w:hAnsi="Verdana"/>
          <w:sz w:val="20"/>
          <w:szCs w:val="20"/>
          <w:lang w:val="es-CR"/>
        </w:rPr>
      </w:pPr>
    </w:p>
    <w:p w:rsidR="004D4627" w:rsidRDefault="004D4627" w:rsidP="001B6BF1">
      <w:pPr>
        <w:rPr>
          <w:rFonts w:ascii="Verdana" w:hAnsi="Verdana"/>
          <w:sz w:val="20"/>
          <w:szCs w:val="20"/>
          <w:lang w:val="es-CR"/>
        </w:rPr>
      </w:pPr>
    </w:p>
    <w:p w:rsidR="004D4627" w:rsidRDefault="004D4627" w:rsidP="001B6BF1">
      <w:pPr>
        <w:rPr>
          <w:rFonts w:ascii="Verdana" w:hAnsi="Verdana"/>
          <w:sz w:val="20"/>
          <w:szCs w:val="20"/>
          <w:lang w:val="es-CR"/>
        </w:rPr>
      </w:pPr>
    </w:p>
    <w:p w:rsidR="00282163" w:rsidRDefault="00282163" w:rsidP="001B6BF1">
      <w:pPr>
        <w:rPr>
          <w:rFonts w:ascii="Verdana" w:hAnsi="Verdana"/>
          <w:sz w:val="20"/>
          <w:szCs w:val="20"/>
          <w:lang w:val="es-CR"/>
        </w:rPr>
      </w:pPr>
    </w:p>
    <w:p w:rsidR="00282163" w:rsidRDefault="00282163" w:rsidP="001B6BF1">
      <w:pPr>
        <w:rPr>
          <w:rFonts w:ascii="Verdana" w:hAnsi="Verdana"/>
          <w:sz w:val="20"/>
          <w:szCs w:val="20"/>
          <w:lang w:val="es-CR"/>
        </w:rPr>
      </w:pPr>
    </w:p>
    <w:p w:rsidR="00035896" w:rsidRDefault="00035896" w:rsidP="001B6BF1">
      <w:pPr>
        <w:rPr>
          <w:rFonts w:ascii="Verdana" w:hAnsi="Verdana"/>
          <w:sz w:val="20"/>
          <w:szCs w:val="20"/>
          <w:lang w:val="es-CR"/>
        </w:rPr>
      </w:pPr>
    </w:p>
    <w:p w:rsidR="001B6BF1" w:rsidRPr="005E7FB7" w:rsidRDefault="00792F5C" w:rsidP="001B6BF1">
      <w:pPr>
        <w:rPr>
          <w:rFonts w:ascii="Verdana" w:hAnsi="Verdana"/>
          <w:sz w:val="20"/>
          <w:szCs w:val="20"/>
          <w:lang w:val="es-CR"/>
        </w:rPr>
      </w:pPr>
      <w:r>
        <w:rPr>
          <w:rFonts w:ascii="Verdana" w:hAnsi="Verdana"/>
          <w:sz w:val="20"/>
          <w:szCs w:val="20"/>
          <w:lang w:val="es-CR"/>
        </w:rPr>
        <w:t xml:space="preserve">   </w:t>
      </w:r>
      <w:r w:rsidR="001B6BF1" w:rsidRPr="005E7FB7">
        <w:rPr>
          <w:rFonts w:ascii="Verdana" w:hAnsi="Verdana"/>
          <w:sz w:val="20"/>
          <w:szCs w:val="20"/>
          <w:lang w:val="es-CR"/>
        </w:rPr>
        <w:t>Pablo Saavedra Alessandri</w:t>
      </w:r>
    </w:p>
    <w:p w:rsidR="00741416" w:rsidRPr="00C85629" w:rsidRDefault="001B6BF1" w:rsidP="00C85629">
      <w:pPr>
        <w:pStyle w:val="Prrafodelista"/>
        <w:ind w:left="0"/>
        <w:jc w:val="both"/>
        <w:rPr>
          <w:rFonts w:ascii="Verdana" w:hAnsi="Verdana"/>
          <w:sz w:val="20"/>
          <w:szCs w:val="20"/>
        </w:rPr>
      </w:pPr>
      <w:r w:rsidRPr="005E7FB7">
        <w:rPr>
          <w:rFonts w:ascii="Verdana" w:hAnsi="Verdana"/>
          <w:sz w:val="20"/>
          <w:szCs w:val="20"/>
          <w:lang w:val="es-CR"/>
        </w:rPr>
        <w:tab/>
      </w:r>
      <w:r w:rsidR="00792F5C">
        <w:rPr>
          <w:rFonts w:ascii="Verdana" w:hAnsi="Verdana"/>
          <w:sz w:val="20"/>
          <w:szCs w:val="20"/>
          <w:lang w:val="es-CR"/>
        </w:rPr>
        <w:t xml:space="preserve">  </w:t>
      </w:r>
      <w:r>
        <w:rPr>
          <w:rFonts w:ascii="Verdana" w:hAnsi="Verdana"/>
          <w:sz w:val="20"/>
          <w:szCs w:val="20"/>
          <w:lang w:val="es-CR"/>
        </w:rPr>
        <w:t xml:space="preserve"> </w:t>
      </w:r>
      <w:r w:rsidRPr="005E7FB7">
        <w:rPr>
          <w:rFonts w:ascii="Verdana" w:hAnsi="Verdana"/>
          <w:sz w:val="20"/>
          <w:szCs w:val="20"/>
          <w:lang w:val="es-CR"/>
        </w:rPr>
        <w:t>Secretario</w:t>
      </w:r>
    </w:p>
    <w:sectPr w:rsidR="00741416" w:rsidRPr="00C85629" w:rsidSect="00296227">
      <w:footerReference w:type="even" r:id="rId8"/>
      <w:footerReference w:type="default" r:id="rId9"/>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E9" w:rsidRDefault="00133DE9" w:rsidP="00C66CBD">
      <w:r>
        <w:separator/>
      </w:r>
    </w:p>
  </w:endnote>
  <w:endnote w:type="continuationSeparator" w:id="0">
    <w:p w:rsidR="00133DE9" w:rsidRDefault="00133DE9" w:rsidP="00C6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LTStd">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218747397"/>
      <w:docPartObj>
        <w:docPartGallery w:val="Page Numbers (Bottom of Page)"/>
        <w:docPartUnique/>
      </w:docPartObj>
    </w:sdtPr>
    <w:sdtEndPr>
      <w:rPr>
        <w:rStyle w:val="Nmerodepgina"/>
      </w:rPr>
    </w:sdtEndPr>
    <w:sdtContent>
      <w:p w:rsidR="002005C7" w:rsidRDefault="002005C7" w:rsidP="002005C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2005C7" w:rsidRDefault="002005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90921806"/>
      <w:docPartObj>
        <w:docPartGallery w:val="Page Numbers (Bottom of Page)"/>
        <w:docPartUnique/>
      </w:docPartObj>
    </w:sdtPr>
    <w:sdtEndPr>
      <w:rPr>
        <w:rStyle w:val="Nmerodepgina"/>
      </w:rPr>
    </w:sdtEndPr>
    <w:sdtContent>
      <w:p w:rsidR="002005C7" w:rsidRDefault="002005C7" w:rsidP="002005C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D39DE">
          <w:rPr>
            <w:rStyle w:val="Nmerodepgina"/>
            <w:noProof/>
          </w:rPr>
          <w:t>22</w:t>
        </w:r>
        <w:r>
          <w:rPr>
            <w:rStyle w:val="Nmerodepgina"/>
          </w:rPr>
          <w:fldChar w:fldCharType="end"/>
        </w:r>
      </w:p>
    </w:sdtContent>
  </w:sdt>
  <w:p w:rsidR="002005C7" w:rsidRDefault="002005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E9" w:rsidRDefault="00133DE9" w:rsidP="00C66CBD">
      <w:r>
        <w:separator/>
      </w:r>
    </w:p>
  </w:footnote>
  <w:footnote w:type="continuationSeparator" w:id="0">
    <w:p w:rsidR="00133DE9" w:rsidRDefault="00133DE9" w:rsidP="00C66CBD">
      <w:r>
        <w:continuationSeparator/>
      </w:r>
    </w:p>
  </w:footnote>
  <w:footnote w:id="1">
    <w:p w:rsidR="002005C7" w:rsidRPr="00D503C7" w:rsidRDefault="002005C7" w:rsidP="00F47861">
      <w:pPr>
        <w:pStyle w:val="Textonotapie"/>
        <w:spacing w:after="120"/>
        <w:jc w:val="both"/>
        <w:rPr>
          <w:rFonts w:ascii="Verdana" w:hAnsi="Verdana"/>
          <w:bCs/>
          <w:color w:val="000000"/>
          <w:sz w:val="16"/>
          <w:szCs w:val="16"/>
          <w:shd w:val="clear" w:color="auto" w:fill="FFFFFF"/>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Cfr.</w:t>
      </w:r>
      <w:r w:rsidR="00792F5C">
        <w:rPr>
          <w:rFonts w:ascii="Verdana" w:hAnsi="Verdana"/>
          <w:i/>
          <w:sz w:val="16"/>
          <w:szCs w:val="16"/>
        </w:rPr>
        <w:t xml:space="preserve"> </w:t>
      </w:r>
      <w:r w:rsidRPr="00D503C7">
        <w:rPr>
          <w:rFonts w:ascii="Verdana" w:hAnsi="Verdana"/>
          <w:i/>
          <w:sz w:val="16"/>
          <w:szCs w:val="16"/>
        </w:rPr>
        <w:t xml:space="preserve">Caso Muelle Flores Vs. Perú. Excepciones Preliminares, Fondo, Reparaciones y Costas. </w:t>
      </w:r>
      <w:r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Pr="001A08D2">
        <w:rPr>
          <w:rFonts w:ascii="Verdana" w:hAnsi="Verdana"/>
          <w:sz w:val="16"/>
          <w:szCs w:val="16"/>
        </w:rPr>
        <w:t>.</w:t>
      </w:r>
      <w:r w:rsidRPr="00D503C7">
        <w:rPr>
          <w:rFonts w:ascii="Verdana" w:hAnsi="Verdana"/>
          <w:sz w:val="16"/>
          <w:szCs w:val="16"/>
        </w:rPr>
        <w:t xml:space="preserve"> </w:t>
      </w:r>
    </w:p>
  </w:footnote>
  <w:footnote w:id="2">
    <w:p w:rsidR="002005C7" w:rsidRPr="00693ED9" w:rsidRDefault="002005C7" w:rsidP="00E06456">
      <w:pPr>
        <w:pStyle w:val="Textonotapie"/>
        <w:jc w:val="both"/>
        <w:rPr>
          <w:rFonts w:ascii="Verdana" w:hAnsi="Verdana"/>
          <w:sz w:val="16"/>
          <w:szCs w:val="16"/>
          <w:lang w:val="es-PE"/>
        </w:rPr>
      </w:pPr>
      <w:r w:rsidRPr="00E06456">
        <w:rPr>
          <w:rStyle w:val="Refdenotaalpie"/>
          <w:rFonts w:ascii="Verdana" w:hAnsi="Verdana"/>
          <w:sz w:val="16"/>
          <w:szCs w:val="16"/>
        </w:rPr>
        <w:footnoteRef/>
      </w:r>
      <w:r w:rsidRPr="00E06456">
        <w:rPr>
          <w:rFonts w:ascii="Verdana" w:hAnsi="Verdana"/>
          <w:sz w:val="16"/>
          <w:szCs w:val="16"/>
          <w:lang w:val="es-PE"/>
        </w:rPr>
        <w:t xml:space="preserve"> </w:t>
      </w:r>
      <w:r>
        <w:rPr>
          <w:rFonts w:ascii="Verdana" w:hAnsi="Verdana"/>
          <w:sz w:val="16"/>
          <w:szCs w:val="16"/>
          <w:lang w:val="es-PE"/>
        </w:rPr>
        <w:tab/>
      </w:r>
      <w:r w:rsidRPr="00E06456">
        <w:rPr>
          <w:rFonts w:ascii="Verdana" w:hAnsi="Verdana"/>
          <w:i/>
          <w:sz w:val="16"/>
          <w:szCs w:val="16"/>
          <w:lang w:val="es-PE"/>
        </w:rPr>
        <w:t xml:space="preserve">Cfr. </w:t>
      </w:r>
      <w:r w:rsidRPr="00E06456">
        <w:rPr>
          <w:rStyle w:val="Textoennegrita"/>
          <w:rFonts w:ascii="Verdana" w:hAnsi="Verdana"/>
          <w:b w:val="0"/>
          <w:i/>
          <w:sz w:val="16"/>
          <w:szCs w:val="16"/>
          <w:shd w:val="clear" w:color="auto" w:fill="FFFFFF"/>
          <w:lang w:val="es-CR"/>
        </w:rPr>
        <w:t>Caso Acevedo Buendía y otros (“Cesantes y Jubilados de la Contraloría”) Vs. Perú. Excepción Preliminar, Fondo, Reparaciones y Costas.</w:t>
      </w:r>
      <w:r w:rsidRPr="00E06456">
        <w:rPr>
          <w:rStyle w:val="Textoennegrita"/>
          <w:rFonts w:ascii="Verdana" w:hAnsi="Verdana"/>
          <w:b w:val="0"/>
          <w:sz w:val="16"/>
          <w:szCs w:val="16"/>
          <w:shd w:val="clear" w:color="auto" w:fill="FFFFFF"/>
          <w:lang w:val="es-CR"/>
        </w:rPr>
        <w:t xml:space="preserve"> Sentencia de 1 de julio de 2009. Serie C No. 198, párrs</w:t>
      </w:r>
      <w:r>
        <w:rPr>
          <w:rStyle w:val="Textoennegrita"/>
          <w:rFonts w:ascii="Verdana" w:hAnsi="Verdana"/>
          <w:b w:val="0"/>
          <w:sz w:val="16"/>
          <w:szCs w:val="16"/>
          <w:shd w:val="clear" w:color="auto" w:fill="FFFFFF"/>
          <w:lang w:val="es-CR"/>
        </w:rPr>
        <w:t>. 12 a 19;</w:t>
      </w:r>
      <w:r w:rsidRPr="00E06456">
        <w:rPr>
          <w:rFonts w:ascii="Verdana" w:hAnsi="Verdana"/>
          <w:sz w:val="16"/>
          <w:szCs w:val="16"/>
          <w:lang w:val="es-PE"/>
        </w:rPr>
        <w:t xml:space="preserve"> </w:t>
      </w:r>
      <w:r w:rsidRPr="00E06456">
        <w:rPr>
          <w:rFonts w:ascii="Verdana" w:hAnsi="Verdana"/>
          <w:i/>
          <w:sz w:val="16"/>
          <w:szCs w:val="16"/>
          <w:lang w:val="es-PE"/>
        </w:rPr>
        <w:t>Caso Lagos del Campo Vs. Perú. Excepciones Preliminares, Fondo, Reparaciones y Costas</w:t>
      </w:r>
      <w:r w:rsidRPr="00E06456">
        <w:rPr>
          <w:rFonts w:ascii="Verdana" w:hAnsi="Verdana"/>
          <w:sz w:val="16"/>
          <w:szCs w:val="16"/>
          <w:lang w:val="es-PE"/>
        </w:rPr>
        <w:t>. Sentencia de 31 de agosto de 2017. Serie C No. 340, párrs. 142 y 145</w:t>
      </w:r>
      <w:r>
        <w:rPr>
          <w:rFonts w:ascii="Verdana" w:hAnsi="Verdana"/>
          <w:sz w:val="16"/>
          <w:szCs w:val="16"/>
          <w:lang w:val="es-PE"/>
        </w:rPr>
        <w:t>;</w:t>
      </w:r>
      <w:r w:rsidRPr="00E06456">
        <w:rPr>
          <w:rStyle w:val="Textoennegrita"/>
          <w:rFonts w:ascii="Verdana" w:hAnsi="Verdana"/>
          <w:b w:val="0"/>
          <w:i/>
          <w:color w:val="000000"/>
          <w:sz w:val="16"/>
          <w:szCs w:val="16"/>
          <w:shd w:val="clear" w:color="auto" w:fill="FFFFFF"/>
          <w:lang w:val="es-CR"/>
        </w:rPr>
        <w:t xml:space="preserve"> Opinión Consultiva OC-23/17</w:t>
      </w:r>
      <w:r>
        <w:rPr>
          <w:rStyle w:val="Textoennegrita"/>
          <w:rFonts w:ascii="Verdana" w:hAnsi="Verdana"/>
          <w:b w:val="0"/>
          <w:color w:val="000000"/>
          <w:sz w:val="16"/>
          <w:szCs w:val="16"/>
          <w:shd w:val="clear" w:color="auto" w:fill="FFFFFF"/>
          <w:lang w:val="es-CR"/>
        </w:rPr>
        <w:t xml:space="preserve"> sobre </w:t>
      </w:r>
      <w:r w:rsidRPr="00E06456">
        <w:rPr>
          <w:rStyle w:val="Textoennegrita"/>
          <w:rFonts w:ascii="Verdana" w:hAnsi="Verdana"/>
          <w:b w:val="0"/>
          <w:i/>
          <w:color w:val="000000"/>
          <w:sz w:val="16"/>
          <w:szCs w:val="16"/>
          <w:shd w:val="clear" w:color="auto" w:fill="FFFFFF"/>
          <w:lang w:val="es-CR"/>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Pr="00E06456">
        <w:rPr>
          <w:rStyle w:val="Textoennegrita"/>
          <w:rFonts w:ascii="Verdana" w:hAnsi="Verdana"/>
          <w:b w:val="0"/>
          <w:color w:val="000000"/>
          <w:sz w:val="16"/>
          <w:szCs w:val="16"/>
          <w:shd w:val="clear" w:color="auto" w:fill="FFFFFF"/>
          <w:lang w:val="es-CR"/>
        </w:rPr>
        <w:t>. 15 de noviembre de 2017</w:t>
      </w:r>
      <w:r>
        <w:rPr>
          <w:rStyle w:val="Textoennegrita"/>
          <w:rFonts w:ascii="Verdana" w:hAnsi="Verdana"/>
          <w:b w:val="0"/>
          <w:color w:val="000000"/>
          <w:sz w:val="16"/>
          <w:szCs w:val="16"/>
          <w:shd w:val="clear" w:color="auto" w:fill="FFFFFF"/>
          <w:lang w:val="es-CR"/>
        </w:rPr>
        <w:t xml:space="preserve">, </w:t>
      </w:r>
      <w:r w:rsidRPr="00E06456">
        <w:rPr>
          <w:rStyle w:val="Textoennegrita"/>
          <w:rFonts w:ascii="Verdana" w:hAnsi="Verdana"/>
          <w:b w:val="0"/>
          <w:color w:val="000000"/>
          <w:sz w:val="16"/>
          <w:szCs w:val="16"/>
          <w:shd w:val="clear" w:color="auto" w:fill="FFFFFF"/>
          <w:lang w:val="es-CR"/>
        </w:rPr>
        <w:t xml:space="preserve">Serie A No. 23, </w:t>
      </w:r>
      <w:r w:rsidRPr="00E06456">
        <w:rPr>
          <w:rFonts w:ascii="Verdana" w:hAnsi="Verdana"/>
          <w:sz w:val="16"/>
          <w:szCs w:val="16"/>
          <w:lang w:val="es-PE"/>
        </w:rPr>
        <w:t>párr. 57</w:t>
      </w:r>
      <w:r>
        <w:rPr>
          <w:rFonts w:ascii="Verdana" w:hAnsi="Verdana"/>
          <w:sz w:val="16"/>
          <w:szCs w:val="16"/>
          <w:lang w:val="es-PE"/>
        </w:rPr>
        <w:t>;</w:t>
      </w:r>
      <w:r w:rsidRPr="00E06456">
        <w:rPr>
          <w:rFonts w:ascii="Verdana" w:hAnsi="Verdana"/>
          <w:i/>
          <w:sz w:val="16"/>
          <w:szCs w:val="16"/>
          <w:lang w:val="es-PE"/>
        </w:rPr>
        <w:t xml:space="preserve"> Caso Trabajadores Cesados de Petroperú y otros Vs. Perú. Excepciones Preliminares, Fondo, Reparaciones y Costas</w:t>
      </w:r>
      <w:r w:rsidRPr="00E06456">
        <w:rPr>
          <w:rFonts w:ascii="Verdana" w:hAnsi="Verdana"/>
          <w:sz w:val="16"/>
          <w:szCs w:val="16"/>
          <w:lang w:val="es-PE"/>
        </w:rPr>
        <w:t>. Sentencia de 23 de noviembre de 2017. Serie C No. 344, párr. 192;</w:t>
      </w:r>
      <w:r w:rsidRPr="00E06456">
        <w:rPr>
          <w:rFonts w:ascii="Verdana" w:hAnsi="Verdana"/>
          <w:i/>
          <w:sz w:val="16"/>
          <w:szCs w:val="16"/>
          <w:lang w:val="es-PE"/>
        </w:rPr>
        <w:t xml:space="preserve"> Caso San Miguel Sosa y otras Vs. Venezuela</w:t>
      </w:r>
      <w:r w:rsidRPr="00E06456">
        <w:rPr>
          <w:rFonts w:ascii="Verdana" w:hAnsi="Verdana"/>
          <w:sz w:val="16"/>
          <w:szCs w:val="16"/>
          <w:lang w:val="es-PE"/>
        </w:rPr>
        <w:t xml:space="preserve">. </w:t>
      </w:r>
      <w:r w:rsidRPr="00693ED9">
        <w:rPr>
          <w:rFonts w:ascii="Verdana" w:hAnsi="Verdana"/>
          <w:i/>
          <w:sz w:val="16"/>
          <w:szCs w:val="16"/>
          <w:lang w:val="es-PE"/>
        </w:rPr>
        <w:t>Fondo, Reparaciones y Costas</w:t>
      </w:r>
      <w:r w:rsidRPr="00E06456">
        <w:rPr>
          <w:rFonts w:ascii="Verdana" w:hAnsi="Verdana"/>
          <w:sz w:val="16"/>
          <w:szCs w:val="16"/>
          <w:lang w:val="es-PE"/>
        </w:rPr>
        <w:t>. Sentencia de 8 de febrero de 2018. Serie C No. 348, párr. 220;</w:t>
      </w:r>
      <w:r w:rsidRPr="00693ED9">
        <w:rPr>
          <w:rFonts w:ascii="Verdana" w:hAnsi="Verdana"/>
          <w:sz w:val="16"/>
          <w:szCs w:val="16"/>
          <w:lang w:val="es-PE"/>
        </w:rPr>
        <w:t xml:space="preserve"> </w:t>
      </w:r>
      <w:r w:rsidRPr="00693ED9">
        <w:rPr>
          <w:rFonts w:ascii="Verdana" w:hAnsi="Verdana"/>
          <w:i/>
          <w:sz w:val="16"/>
          <w:szCs w:val="16"/>
          <w:lang w:val="es-PE"/>
        </w:rPr>
        <w:t>Caso Poblete Vilches y otros Vs. Chile. Fondo, Reparaciones y Costas</w:t>
      </w:r>
      <w:r w:rsidRPr="00E06456">
        <w:rPr>
          <w:rFonts w:ascii="Verdana" w:hAnsi="Verdana"/>
          <w:sz w:val="16"/>
          <w:szCs w:val="16"/>
          <w:lang w:val="es-PE"/>
        </w:rPr>
        <w:t>. Sentencia de 8 de marzo de 2018. Serie C No. 349, párr. 100;</w:t>
      </w:r>
      <w:r>
        <w:rPr>
          <w:rStyle w:val="Textoennegrita"/>
          <w:rFonts w:ascii="Verdana" w:hAnsi="Verdana"/>
          <w:b w:val="0"/>
          <w:sz w:val="16"/>
          <w:szCs w:val="16"/>
          <w:shd w:val="clear" w:color="auto" w:fill="FFFFFF"/>
          <w:lang w:val="es-CR"/>
        </w:rPr>
        <w:t xml:space="preserve"> </w:t>
      </w:r>
      <w:r w:rsidRPr="00D503C7">
        <w:rPr>
          <w:rStyle w:val="Textoennegrita"/>
          <w:rFonts w:ascii="Verdana" w:hAnsi="Verdana"/>
          <w:b w:val="0"/>
          <w:i/>
          <w:color w:val="000000"/>
          <w:sz w:val="16"/>
          <w:szCs w:val="16"/>
          <w:shd w:val="clear" w:color="auto" w:fill="FFFFFF"/>
        </w:rPr>
        <w:t>Caso Cuscul Pivaral y otros Vs. Guatemala. Excepción Preliminar, Fondo, Reparaciones y Costas.</w:t>
      </w:r>
      <w:r w:rsidRPr="00D503C7">
        <w:rPr>
          <w:rStyle w:val="Textoennegrita"/>
          <w:rFonts w:ascii="Verdana" w:hAnsi="Verdana"/>
          <w:b w:val="0"/>
          <w:color w:val="000000"/>
          <w:sz w:val="16"/>
          <w:szCs w:val="16"/>
          <w:shd w:val="clear" w:color="auto" w:fill="FFFFFF"/>
        </w:rPr>
        <w:t xml:space="preserve"> Sentencia de 23 de agosto de 2018. Serie C No. 359</w:t>
      </w:r>
      <w:r w:rsidRPr="00E06456">
        <w:rPr>
          <w:rFonts w:ascii="Verdana" w:hAnsi="Verdana"/>
          <w:i/>
          <w:sz w:val="16"/>
          <w:szCs w:val="16"/>
          <w:lang w:val="es-PE"/>
        </w:rPr>
        <w:t xml:space="preserve">, </w:t>
      </w:r>
      <w:r w:rsidRPr="00E06456">
        <w:rPr>
          <w:rFonts w:ascii="Verdana" w:hAnsi="Verdana"/>
          <w:sz w:val="16"/>
          <w:szCs w:val="16"/>
          <w:lang w:val="es-PE"/>
        </w:rPr>
        <w:t>párrs. 75 a 97</w:t>
      </w:r>
      <w:r w:rsidRPr="00E06456">
        <w:rPr>
          <w:rFonts w:ascii="Verdana" w:hAnsi="Verdana"/>
          <w:i/>
          <w:sz w:val="16"/>
          <w:szCs w:val="16"/>
          <w:lang w:val="es-PE"/>
        </w:rPr>
        <w:t>;</w:t>
      </w:r>
      <w:r>
        <w:rPr>
          <w:rFonts w:ascii="Verdana" w:hAnsi="Verdana"/>
          <w:sz w:val="16"/>
          <w:szCs w:val="16"/>
          <w:lang w:val="es-PE"/>
        </w:rPr>
        <w:t xml:space="preserve"> </w:t>
      </w:r>
      <w:r w:rsidRPr="00E06456">
        <w:rPr>
          <w:rFonts w:ascii="Verdana" w:hAnsi="Verdana"/>
          <w:sz w:val="16"/>
          <w:szCs w:val="16"/>
          <w:lang w:val="es-PE"/>
        </w:rPr>
        <w:t xml:space="preserve">y </w:t>
      </w:r>
      <w:r w:rsidRPr="00D503C7">
        <w:rPr>
          <w:rFonts w:ascii="Verdana" w:hAnsi="Verdana"/>
          <w:i/>
          <w:sz w:val="16"/>
          <w:szCs w:val="16"/>
        </w:rPr>
        <w:t xml:space="preserve">Caso Muelle Flores Vs. Perú. Excepciones Preliminares, Fondo, Reparaciones y Costas. </w:t>
      </w:r>
      <w:r w:rsidRPr="00D503C7">
        <w:rPr>
          <w:rFonts w:ascii="Verdana" w:hAnsi="Verdana"/>
          <w:sz w:val="16"/>
          <w:szCs w:val="16"/>
        </w:rPr>
        <w:t>Sentencia de 6 de marzo de 2019. Serie C No</w:t>
      </w:r>
      <w:r w:rsidRPr="006B2226">
        <w:rPr>
          <w:rFonts w:ascii="Verdana" w:hAnsi="Verdana"/>
          <w:sz w:val="16"/>
          <w:szCs w:val="16"/>
        </w:rPr>
        <w:t xml:space="preserve">. </w:t>
      </w:r>
      <w:r w:rsidR="006B2226" w:rsidRPr="001A08D2">
        <w:rPr>
          <w:rFonts w:ascii="Verdana" w:hAnsi="Verdana"/>
          <w:sz w:val="16"/>
          <w:szCs w:val="16"/>
        </w:rPr>
        <w:t>375</w:t>
      </w:r>
      <w:r>
        <w:rPr>
          <w:rFonts w:ascii="Verdana" w:hAnsi="Verdana"/>
          <w:sz w:val="16"/>
          <w:szCs w:val="16"/>
        </w:rPr>
        <w:t xml:space="preserve">, </w:t>
      </w:r>
      <w:proofErr w:type="spellStart"/>
      <w:r>
        <w:rPr>
          <w:rFonts w:ascii="Verdana" w:hAnsi="Verdana"/>
          <w:sz w:val="16"/>
          <w:szCs w:val="16"/>
        </w:rPr>
        <w:t>p</w:t>
      </w:r>
      <w:r w:rsidRPr="00693ED9">
        <w:rPr>
          <w:rFonts w:ascii="Verdana" w:hAnsi="Verdana"/>
          <w:sz w:val="16"/>
          <w:szCs w:val="16"/>
        </w:rPr>
        <w:t>á</w:t>
      </w:r>
      <w:r>
        <w:rPr>
          <w:rFonts w:ascii="Verdana" w:hAnsi="Verdana"/>
          <w:sz w:val="16"/>
          <w:szCs w:val="16"/>
        </w:rPr>
        <w:t>rrs</w:t>
      </w:r>
      <w:proofErr w:type="spellEnd"/>
      <w:r>
        <w:rPr>
          <w:rFonts w:ascii="Verdana" w:hAnsi="Verdana"/>
          <w:sz w:val="16"/>
          <w:szCs w:val="16"/>
        </w:rPr>
        <w:t>. 33 a 37.</w:t>
      </w:r>
      <w:r w:rsidRPr="00E06456">
        <w:rPr>
          <w:rFonts w:ascii="Verdana" w:hAnsi="Verdana"/>
          <w:sz w:val="16"/>
          <w:szCs w:val="16"/>
          <w:lang w:val="es-PE"/>
        </w:rPr>
        <w:t xml:space="preserve"> </w:t>
      </w:r>
    </w:p>
    <w:p w:rsidR="002005C7" w:rsidRPr="00F379E1" w:rsidRDefault="002005C7" w:rsidP="00BE5A53">
      <w:pPr>
        <w:pStyle w:val="Textonotapie"/>
        <w:jc w:val="both"/>
        <w:rPr>
          <w:sz w:val="16"/>
          <w:szCs w:val="16"/>
          <w:lang w:val="es-PE"/>
        </w:rPr>
      </w:pPr>
    </w:p>
  </w:footnote>
  <w:footnote w:id="3">
    <w:p w:rsidR="002005C7" w:rsidRPr="002866DF" w:rsidRDefault="002005C7" w:rsidP="002866DF">
      <w:pPr>
        <w:pStyle w:val="Textonotapie"/>
        <w:jc w:val="both"/>
        <w:rPr>
          <w:rFonts w:ascii="Verdana" w:hAnsi="Verdana"/>
          <w:sz w:val="16"/>
          <w:szCs w:val="16"/>
          <w:lang w:val="es-PE"/>
        </w:rPr>
      </w:pPr>
      <w:r w:rsidRPr="002866DF">
        <w:rPr>
          <w:rStyle w:val="Refdenotaalpie"/>
          <w:rFonts w:ascii="Verdana" w:hAnsi="Verdana"/>
          <w:sz w:val="16"/>
          <w:szCs w:val="16"/>
        </w:rPr>
        <w:footnoteRef/>
      </w:r>
      <w:r w:rsidRPr="002866DF">
        <w:rPr>
          <w:rFonts w:ascii="Verdana" w:hAnsi="Verdana"/>
          <w:sz w:val="16"/>
          <w:szCs w:val="16"/>
          <w:lang w:val="es-PE"/>
        </w:rPr>
        <w:t xml:space="preserve"> </w:t>
      </w:r>
      <w:r w:rsidRPr="002866DF">
        <w:rPr>
          <w:rFonts w:ascii="Verdana" w:hAnsi="Verdana"/>
          <w:sz w:val="16"/>
          <w:szCs w:val="16"/>
          <w:lang w:val="es-PE"/>
        </w:rPr>
        <w:tab/>
      </w:r>
      <w:r w:rsidR="00EE247C">
        <w:rPr>
          <w:rFonts w:ascii="Verdana" w:hAnsi="Verdana"/>
          <w:sz w:val="16"/>
          <w:szCs w:val="16"/>
          <w:lang w:val="es-PE"/>
        </w:rPr>
        <w:t>“En la actualidad, e</w:t>
      </w:r>
      <w:r w:rsidRPr="002866DF">
        <w:rPr>
          <w:rFonts w:ascii="Verdana" w:hAnsi="Verdana"/>
          <w:sz w:val="16"/>
          <w:szCs w:val="16"/>
          <w:lang w:val="es-CR" w:eastAsia="es-MX"/>
        </w:rPr>
        <w:t xml:space="preserve">l señor </w:t>
      </w:r>
      <w:r w:rsidRPr="002866DF">
        <w:rPr>
          <w:rFonts w:ascii="Verdana" w:hAnsi="Verdana"/>
          <w:sz w:val="16"/>
          <w:szCs w:val="16"/>
          <w:lang w:val="es-ES"/>
        </w:rPr>
        <w:t xml:space="preserve">Oscar Muelle Flores tiene 82 años </w:t>
      </w:r>
      <w:r w:rsidRPr="002866DF">
        <w:rPr>
          <w:rFonts w:ascii="Verdana" w:hAnsi="Verdana"/>
          <w:bCs/>
          <w:sz w:val="16"/>
          <w:szCs w:val="16"/>
        </w:rPr>
        <w:t xml:space="preserve">y sufre discapacidad auditiva severa (hipoacusia) como consecuencia de la pérdida de su audición en uno de los oídos de manera total, hace 15 años, así como de la disminución de la audición del otro. Asimismo, </w:t>
      </w:r>
      <w:r w:rsidRPr="002866DF">
        <w:rPr>
          <w:rFonts w:ascii="Verdana" w:hAnsi="Verdana"/>
          <w:sz w:val="16"/>
          <w:szCs w:val="16"/>
          <w:lang w:val="es-ES"/>
        </w:rPr>
        <w:t>en mayo de 2018, el señor Muelle Flores fue diagnosticado con “demencia senil tipo Alzheimer” y en julio de 2018 sufrió una fractura de la cadera femoral, por la cual se le debió colocar una prótesis</w:t>
      </w:r>
      <w:r w:rsidR="00EE247C">
        <w:rPr>
          <w:rFonts w:ascii="Verdana" w:hAnsi="Verdana"/>
          <w:sz w:val="16"/>
          <w:szCs w:val="16"/>
          <w:lang w:val="es-ES"/>
        </w:rPr>
        <w:t>”</w:t>
      </w:r>
      <w:r w:rsidRPr="002866DF">
        <w:rPr>
          <w:rFonts w:ascii="Verdana" w:hAnsi="Verdana"/>
          <w:sz w:val="16"/>
          <w:szCs w:val="16"/>
          <w:lang w:val="es-ES"/>
        </w:rPr>
        <w:t xml:space="preserve">. </w:t>
      </w:r>
      <w:r w:rsidR="00EE247C" w:rsidRPr="00D503C7">
        <w:rPr>
          <w:rFonts w:ascii="Verdana" w:hAnsi="Verdana"/>
          <w:i/>
          <w:sz w:val="16"/>
          <w:szCs w:val="16"/>
        </w:rPr>
        <w:t xml:space="preserve">Caso Muelle Flores Vs. Perú. Excepciones Preliminares, Fondo, Reparaciones y Costas. </w:t>
      </w:r>
      <w:r w:rsidR="00EE247C"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00EE247C">
        <w:rPr>
          <w:rFonts w:ascii="Verdana" w:hAnsi="Verdana"/>
          <w:sz w:val="16"/>
          <w:szCs w:val="16"/>
        </w:rPr>
        <w:t>, p</w:t>
      </w:r>
      <w:r w:rsidR="00EE247C" w:rsidRPr="00693ED9">
        <w:rPr>
          <w:rFonts w:ascii="Verdana" w:hAnsi="Verdana"/>
          <w:sz w:val="16"/>
          <w:szCs w:val="16"/>
        </w:rPr>
        <w:t>á</w:t>
      </w:r>
      <w:r w:rsidR="00EE247C">
        <w:rPr>
          <w:rFonts w:ascii="Verdana" w:hAnsi="Verdana"/>
          <w:sz w:val="16"/>
          <w:szCs w:val="16"/>
        </w:rPr>
        <w:t>rr. 52.</w:t>
      </w:r>
    </w:p>
    <w:p w:rsidR="002005C7" w:rsidRPr="00F379E1" w:rsidRDefault="002005C7" w:rsidP="002866DF">
      <w:pPr>
        <w:pStyle w:val="Textonotapie"/>
        <w:jc w:val="both"/>
        <w:rPr>
          <w:sz w:val="16"/>
          <w:szCs w:val="16"/>
          <w:lang w:val="es-PE"/>
        </w:rPr>
      </w:pPr>
    </w:p>
  </w:footnote>
  <w:footnote w:id="4">
    <w:p w:rsidR="002005C7" w:rsidRPr="00125265" w:rsidRDefault="002005C7" w:rsidP="0071298C">
      <w:pPr>
        <w:pStyle w:val="Prrafodelista"/>
        <w:ind w:left="0"/>
        <w:jc w:val="both"/>
        <w:rPr>
          <w:rFonts w:ascii="Verdana" w:hAnsi="Verdana"/>
          <w:b/>
          <w:sz w:val="16"/>
          <w:szCs w:val="16"/>
        </w:rPr>
      </w:pPr>
      <w:r w:rsidRPr="006157B6">
        <w:rPr>
          <w:rStyle w:val="Refdenotaalpie"/>
          <w:rFonts w:ascii="Verdana" w:hAnsi="Verdana"/>
          <w:sz w:val="16"/>
          <w:szCs w:val="16"/>
        </w:rPr>
        <w:footnoteRef/>
      </w:r>
      <w:r w:rsidRPr="006157B6">
        <w:rPr>
          <w:rFonts w:ascii="Verdana" w:hAnsi="Verdana"/>
          <w:sz w:val="16"/>
          <w:szCs w:val="16"/>
          <w:lang w:val="es-PE"/>
        </w:rPr>
        <w:t xml:space="preserve"> </w:t>
      </w:r>
      <w:r w:rsidRPr="006157B6">
        <w:rPr>
          <w:rFonts w:ascii="Verdana" w:hAnsi="Verdana"/>
          <w:sz w:val="16"/>
          <w:szCs w:val="16"/>
          <w:lang w:val="es-PE"/>
        </w:rPr>
        <w:tab/>
      </w:r>
      <w:r>
        <w:rPr>
          <w:rFonts w:ascii="Verdana" w:hAnsi="Verdana"/>
          <w:sz w:val="16"/>
          <w:szCs w:val="16"/>
          <w:lang w:val="es-PE"/>
        </w:rPr>
        <w:t xml:space="preserve">Véanse los artículos 3.j), 45.b) y h), y 46 de la Carta de la OEA. </w:t>
      </w:r>
      <w:r w:rsidRPr="006157B6">
        <w:rPr>
          <w:rFonts w:ascii="Verdana" w:eastAsia="Times" w:hAnsi="Verdana" w:cs="Arial"/>
          <w:sz w:val="16"/>
          <w:szCs w:val="16"/>
        </w:rPr>
        <w:t xml:space="preserve">Artículo 3.j) al señalar que “la justicia y la </w:t>
      </w:r>
      <w:r w:rsidRPr="00BB5353">
        <w:rPr>
          <w:rFonts w:ascii="Verdana" w:eastAsia="Times" w:hAnsi="Verdana" w:cs="Arial"/>
          <w:sz w:val="16"/>
          <w:szCs w:val="16"/>
        </w:rPr>
        <w:t>seguridad sociales</w:t>
      </w:r>
      <w:r w:rsidRPr="006157B6">
        <w:rPr>
          <w:rFonts w:ascii="Verdana" w:eastAsia="Times" w:hAnsi="Verdana" w:cs="Arial"/>
          <w:sz w:val="16"/>
          <w:szCs w:val="16"/>
        </w:rPr>
        <w:t xml:space="preserve"> son bases de una paz duradera”. Asimismo, </w:t>
      </w:r>
      <w:r w:rsidRPr="006157B6">
        <w:rPr>
          <w:rFonts w:ascii="Verdana" w:hAnsi="Verdana"/>
          <w:sz w:val="16"/>
          <w:szCs w:val="16"/>
        </w:rPr>
        <w:t>el</w:t>
      </w:r>
      <w:r w:rsidRPr="006157B6">
        <w:rPr>
          <w:rFonts w:ascii="Verdana" w:hAnsi="Verdana"/>
          <w:sz w:val="16"/>
          <w:szCs w:val="16"/>
          <w:lang w:val="es-CR"/>
        </w:rPr>
        <w:t xml:space="preserve"> artículo 45.b) establece que “b) </w:t>
      </w:r>
      <w:r w:rsidRPr="006157B6">
        <w:rPr>
          <w:rFonts w:ascii="Verdana" w:hAnsi="Verdana" w:cs="Tahoma"/>
          <w:color w:val="000000"/>
          <w:sz w:val="16"/>
          <w:szCs w:val="16"/>
          <w:lang w:val="es-ES"/>
        </w:rPr>
        <w:t xml:space="preserve">[e]l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 Asimismo, el </w:t>
      </w:r>
      <w:r w:rsidRPr="006157B6">
        <w:rPr>
          <w:rFonts w:ascii="Verdana" w:hAnsi="Verdana"/>
          <w:sz w:val="16"/>
          <w:szCs w:val="16"/>
          <w:lang w:val="es-ES"/>
        </w:rPr>
        <w:t>artículo</w:t>
      </w:r>
      <w:r w:rsidRPr="006157B6">
        <w:rPr>
          <w:rFonts w:ascii="Verdana" w:hAnsi="Verdana"/>
          <w:sz w:val="16"/>
          <w:szCs w:val="16"/>
          <w:lang w:val="es-CR"/>
        </w:rPr>
        <w:t xml:space="preserve"> 45.establece que “el hombre sólo puede alcanzar la plena realización de sus aspiraciones dentro de un orden social justo”, por lo que los Estados convienen en dedicar esfuerzos a la aplicación de ciertos principios y mecanismos, entre ellos </w:t>
      </w:r>
      <w:r w:rsidRPr="006157B6">
        <w:rPr>
          <w:rFonts w:ascii="Verdana" w:hAnsi="Verdana" w:cs="Tahoma"/>
          <w:color w:val="000000"/>
          <w:sz w:val="16"/>
          <w:szCs w:val="16"/>
          <w:lang w:val="es-PE"/>
        </w:rPr>
        <w:t xml:space="preserve">el “h) </w:t>
      </w:r>
      <w:r w:rsidRPr="006157B6">
        <w:rPr>
          <w:rFonts w:ascii="Verdana" w:hAnsi="Verdana"/>
          <w:sz w:val="16"/>
          <w:szCs w:val="16"/>
          <w:lang w:val="es-CR"/>
        </w:rPr>
        <w:t>[d]</w:t>
      </w:r>
      <w:proofErr w:type="spellStart"/>
      <w:r w:rsidRPr="006157B6">
        <w:rPr>
          <w:rFonts w:ascii="Verdana" w:hAnsi="Verdana"/>
          <w:sz w:val="16"/>
          <w:szCs w:val="16"/>
          <w:lang w:val="es-CR"/>
        </w:rPr>
        <w:t>esarrollo</w:t>
      </w:r>
      <w:proofErr w:type="spellEnd"/>
      <w:r w:rsidRPr="006157B6">
        <w:rPr>
          <w:rFonts w:ascii="Verdana" w:hAnsi="Verdana"/>
          <w:sz w:val="16"/>
          <w:szCs w:val="16"/>
          <w:lang w:val="es-CR"/>
        </w:rPr>
        <w:t xml:space="preserve"> de una política eficiente de seguridad social”. Por su parte, en el artículo 46 reconocen que </w:t>
      </w:r>
      <w:r w:rsidRPr="006157B6">
        <w:rPr>
          <w:rFonts w:ascii="Verdana" w:hAnsi="Verdana" w:cs="Tahoma"/>
          <w:color w:val="000000"/>
          <w:sz w:val="16"/>
          <w:szCs w:val="16"/>
          <w:lang w:val="es-ES"/>
        </w:rPr>
        <w:t>“para facilitar el proceso de la integración regional latinoamericana, es necesario armonizar la legislación social de los países en desarrollo, especialmente en el campo laboral y de la seguridad social, a fin de que los derechos de los trabajadores sean igualmente protegidos, y convienen en realizar los máximos esfuerzos para alcanzar esta finalidad”.</w:t>
      </w:r>
      <w:r>
        <w:rPr>
          <w:rFonts w:ascii="Verdana" w:hAnsi="Verdana" w:cs="Tahoma"/>
          <w:color w:val="000000"/>
          <w:sz w:val="16"/>
          <w:szCs w:val="16"/>
          <w:lang w:val="es-ES"/>
        </w:rPr>
        <w:t xml:space="preserve"> </w:t>
      </w:r>
      <w:r w:rsidRPr="0071298C">
        <w:rPr>
          <w:rFonts w:ascii="Verdana" w:hAnsi="Verdana" w:cs="Tahoma"/>
          <w:i/>
          <w:color w:val="000000"/>
          <w:sz w:val="16"/>
          <w:szCs w:val="16"/>
          <w:lang w:val="es-ES"/>
        </w:rPr>
        <w:t>Cfr.</w:t>
      </w:r>
      <w:r>
        <w:rPr>
          <w:rFonts w:ascii="Verdana" w:hAnsi="Verdana" w:cs="Tahoma"/>
          <w:color w:val="000000"/>
          <w:sz w:val="16"/>
          <w:szCs w:val="16"/>
          <w:lang w:val="es-ES"/>
        </w:rPr>
        <w:t xml:space="preserve"> </w:t>
      </w:r>
      <w:r w:rsidRPr="00125265">
        <w:rPr>
          <w:rFonts w:ascii="Verdana" w:hAnsi="Verdana"/>
          <w:i/>
          <w:sz w:val="16"/>
          <w:szCs w:val="16"/>
        </w:rPr>
        <w:t xml:space="preserve">Caso Muelle Flores Vs. Perú. Excepciones Preliminares, Fondo, Reparaciones y Costas. </w:t>
      </w:r>
      <w:r w:rsidRPr="00125265">
        <w:rPr>
          <w:rFonts w:ascii="Verdana" w:hAnsi="Verdana"/>
          <w:sz w:val="16"/>
          <w:szCs w:val="16"/>
        </w:rPr>
        <w:t xml:space="preserve">Sentencia de 6 de marzo de </w:t>
      </w:r>
      <w:r>
        <w:rPr>
          <w:rFonts w:ascii="Verdana" w:hAnsi="Verdana"/>
          <w:sz w:val="16"/>
          <w:szCs w:val="16"/>
        </w:rPr>
        <w:t xml:space="preserve">2019. Serie C No. </w:t>
      </w:r>
      <w:r w:rsidR="006B2226" w:rsidRPr="001A08D2">
        <w:rPr>
          <w:rFonts w:ascii="Verdana" w:hAnsi="Verdana"/>
          <w:sz w:val="16"/>
          <w:szCs w:val="16"/>
        </w:rPr>
        <w:t>375</w:t>
      </w:r>
      <w:r w:rsidRPr="006B2226">
        <w:rPr>
          <w:rFonts w:ascii="Verdana" w:hAnsi="Verdana"/>
          <w:sz w:val="16"/>
          <w:szCs w:val="16"/>
        </w:rPr>
        <w:t>,</w:t>
      </w:r>
      <w:r>
        <w:rPr>
          <w:rFonts w:ascii="Verdana" w:hAnsi="Verdana"/>
          <w:sz w:val="16"/>
          <w:szCs w:val="16"/>
        </w:rPr>
        <w:t xml:space="preserve"> </w:t>
      </w:r>
      <w:proofErr w:type="spellStart"/>
      <w:r>
        <w:rPr>
          <w:rFonts w:ascii="Verdana" w:hAnsi="Verdana"/>
          <w:sz w:val="16"/>
          <w:szCs w:val="16"/>
        </w:rPr>
        <w:t>párrs</w:t>
      </w:r>
      <w:proofErr w:type="spellEnd"/>
      <w:r>
        <w:rPr>
          <w:rFonts w:ascii="Verdana" w:hAnsi="Verdana"/>
          <w:sz w:val="16"/>
          <w:szCs w:val="16"/>
        </w:rPr>
        <w:t>. 172 y 173</w:t>
      </w:r>
      <w:r w:rsidRPr="00125265">
        <w:rPr>
          <w:rFonts w:ascii="Verdana" w:hAnsi="Verdana"/>
          <w:sz w:val="16"/>
          <w:szCs w:val="16"/>
        </w:rPr>
        <w:t>.</w:t>
      </w:r>
    </w:p>
    <w:p w:rsidR="002005C7" w:rsidRPr="00F379E1" w:rsidRDefault="002005C7" w:rsidP="006157B6">
      <w:pPr>
        <w:pStyle w:val="Textonotapie"/>
        <w:jc w:val="both"/>
        <w:rPr>
          <w:sz w:val="16"/>
          <w:szCs w:val="16"/>
          <w:lang w:val="es-PE"/>
        </w:rPr>
      </w:pPr>
    </w:p>
  </w:footnote>
  <w:footnote w:id="5">
    <w:p w:rsidR="002005C7" w:rsidRPr="00125265" w:rsidRDefault="002005C7" w:rsidP="00125265">
      <w:pPr>
        <w:pStyle w:val="Prrafodelista"/>
        <w:ind w:left="0"/>
        <w:jc w:val="both"/>
        <w:rPr>
          <w:rFonts w:ascii="Verdana" w:hAnsi="Verdana"/>
          <w:b/>
          <w:sz w:val="16"/>
          <w:szCs w:val="16"/>
        </w:rPr>
      </w:pPr>
      <w:r w:rsidRPr="00125265">
        <w:rPr>
          <w:rStyle w:val="Refdenotaalpie"/>
          <w:rFonts w:ascii="Verdana" w:hAnsi="Verdana"/>
          <w:sz w:val="16"/>
          <w:szCs w:val="16"/>
        </w:rPr>
        <w:footnoteRef/>
      </w:r>
      <w:r w:rsidRPr="00125265">
        <w:rPr>
          <w:rFonts w:ascii="Verdana" w:hAnsi="Verdana"/>
          <w:sz w:val="16"/>
          <w:szCs w:val="16"/>
          <w:lang w:val="es-PE"/>
        </w:rPr>
        <w:t xml:space="preserve"> </w:t>
      </w:r>
      <w:r w:rsidRPr="00125265">
        <w:rPr>
          <w:rFonts w:ascii="Verdana" w:hAnsi="Verdana"/>
          <w:sz w:val="16"/>
          <w:szCs w:val="16"/>
          <w:lang w:val="es-PE"/>
        </w:rPr>
        <w:tab/>
      </w:r>
      <w:r w:rsidRPr="00125265">
        <w:rPr>
          <w:rFonts w:ascii="Verdana" w:hAnsi="Verdana"/>
          <w:i/>
          <w:sz w:val="16"/>
          <w:szCs w:val="16"/>
        </w:rPr>
        <w:t xml:space="preserve">Cfr. Caso Muelle Flores Vs. Perú. Excepciones Preliminares, Fondo, Reparaciones y Costas. </w:t>
      </w:r>
      <w:r w:rsidRPr="00125265">
        <w:rPr>
          <w:rFonts w:ascii="Verdana" w:hAnsi="Verdana"/>
          <w:sz w:val="16"/>
          <w:szCs w:val="16"/>
        </w:rPr>
        <w:t xml:space="preserve">Sentencia de 6 de marzo de 2019. Serie C No. </w:t>
      </w:r>
      <w:r w:rsidR="006B2226" w:rsidRPr="001A08D2">
        <w:rPr>
          <w:rFonts w:ascii="Verdana" w:hAnsi="Verdana"/>
          <w:sz w:val="16"/>
          <w:szCs w:val="16"/>
        </w:rPr>
        <w:t>375</w:t>
      </w:r>
      <w:r w:rsidRPr="00125265">
        <w:rPr>
          <w:rFonts w:ascii="Verdana" w:hAnsi="Verdana"/>
          <w:sz w:val="16"/>
          <w:szCs w:val="16"/>
        </w:rPr>
        <w:t>, párr. 173.</w:t>
      </w:r>
    </w:p>
    <w:p w:rsidR="002005C7" w:rsidRPr="00F379E1" w:rsidRDefault="002005C7" w:rsidP="00125265">
      <w:pPr>
        <w:pStyle w:val="Textonotapie"/>
        <w:jc w:val="both"/>
        <w:rPr>
          <w:sz w:val="16"/>
          <w:szCs w:val="16"/>
          <w:lang w:val="es-PE"/>
        </w:rPr>
      </w:pPr>
    </w:p>
  </w:footnote>
  <w:footnote w:id="6">
    <w:p w:rsidR="002005C7" w:rsidRPr="0087789C" w:rsidRDefault="002005C7" w:rsidP="0087789C">
      <w:pPr>
        <w:pStyle w:val="Textonotapie"/>
        <w:spacing w:after="120"/>
        <w:jc w:val="both"/>
        <w:rPr>
          <w:rFonts w:ascii="Verdana" w:hAnsi="Verdana"/>
          <w:sz w:val="16"/>
          <w:szCs w:val="16"/>
          <w:lang w:val="es-CR"/>
        </w:rPr>
      </w:pPr>
      <w:r w:rsidRPr="0087789C">
        <w:rPr>
          <w:rStyle w:val="Refdenotaalpie"/>
          <w:rFonts w:ascii="Verdana" w:hAnsi="Verdana"/>
          <w:sz w:val="16"/>
          <w:szCs w:val="16"/>
          <w:lang w:val="es-CR"/>
        </w:rPr>
        <w:footnoteRef/>
      </w:r>
      <w:r w:rsidRPr="0087789C">
        <w:rPr>
          <w:rFonts w:ascii="Verdana" w:hAnsi="Verdana"/>
          <w:sz w:val="16"/>
          <w:szCs w:val="16"/>
          <w:lang w:val="es-CR"/>
        </w:rPr>
        <w:tab/>
      </w:r>
      <w:r w:rsidRPr="0087789C">
        <w:rPr>
          <w:rFonts w:ascii="Verdana" w:hAnsi="Verdana"/>
          <w:i/>
          <w:sz w:val="16"/>
          <w:szCs w:val="16"/>
          <w:lang w:val="es-CR"/>
        </w:rPr>
        <w:t>Cfr.</w:t>
      </w:r>
      <w:r w:rsidRPr="0087789C">
        <w:rPr>
          <w:rFonts w:ascii="Verdana" w:hAnsi="Verdana"/>
          <w:sz w:val="16"/>
          <w:szCs w:val="16"/>
          <w:lang w:val="es-CR"/>
        </w:rPr>
        <w:t xml:space="preserve"> Interpretación de la Declaración Americana de los Derechos y Deberes del Hombre, en el marco del artículo 64 de la Convención Americana sobre Derechos Humanos. </w:t>
      </w:r>
      <w:r w:rsidRPr="0087789C">
        <w:rPr>
          <w:rFonts w:ascii="Verdana" w:hAnsi="Verdana"/>
          <w:i/>
          <w:sz w:val="16"/>
          <w:szCs w:val="16"/>
          <w:lang w:val="es-CR"/>
        </w:rPr>
        <w:t>Opinión Consultiva OC-10/89</w:t>
      </w:r>
      <w:r w:rsidRPr="0087789C">
        <w:rPr>
          <w:rFonts w:ascii="Verdana" w:hAnsi="Verdana"/>
          <w:sz w:val="16"/>
          <w:szCs w:val="16"/>
          <w:lang w:val="es-CR"/>
        </w:rPr>
        <w:t xml:space="preserve"> de 14 de julio de 1989</w:t>
      </w:r>
      <w:r w:rsidR="00BB5353">
        <w:rPr>
          <w:rFonts w:ascii="Verdana" w:hAnsi="Verdana"/>
          <w:sz w:val="16"/>
          <w:szCs w:val="16"/>
          <w:lang w:val="es-CR"/>
        </w:rPr>
        <w:t>. Serie A No. 10. párr. 43;</w:t>
      </w:r>
      <w:r w:rsidRPr="0087789C">
        <w:rPr>
          <w:rFonts w:ascii="Verdana" w:hAnsi="Verdana"/>
          <w:sz w:val="16"/>
          <w:szCs w:val="16"/>
          <w:lang w:val="es-CR"/>
        </w:rPr>
        <w:t xml:space="preserve"> y </w:t>
      </w:r>
      <w:r w:rsidRPr="0087789C">
        <w:rPr>
          <w:rFonts w:ascii="Verdana" w:hAnsi="Verdana"/>
          <w:i/>
          <w:sz w:val="16"/>
          <w:szCs w:val="16"/>
          <w:lang w:val="es-CR"/>
        </w:rPr>
        <w:t>Caso Cuscul Pivaral y otros Vs. Guatemala</w:t>
      </w:r>
      <w:r w:rsidR="00BB5353">
        <w:rPr>
          <w:rFonts w:ascii="Verdana" w:hAnsi="Verdana"/>
          <w:sz w:val="16"/>
          <w:szCs w:val="16"/>
          <w:lang w:val="es-CR"/>
        </w:rPr>
        <w:t>.</w:t>
      </w:r>
      <w:r w:rsidRPr="0087789C">
        <w:rPr>
          <w:rFonts w:ascii="Verdana" w:hAnsi="Verdana"/>
          <w:sz w:val="16"/>
          <w:szCs w:val="16"/>
          <w:lang w:val="es-CR"/>
        </w:rPr>
        <w:t xml:space="preserve"> </w:t>
      </w:r>
      <w:r w:rsidR="00BB5353" w:rsidRPr="00D503C7">
        <w:rPr>
          <w:rStyle w:val="Textoennegrita"/>
          <w:rFonts w:ascii="Verdana" w:hAnsi="Verdana"/>
          <w:b w:val="0"/>
          <w:i/>
          <w:color w:val="000000"/>
          <w:sz w:val="16"/>
          <w:szCs w:val="16"/>
          <w:shd w:val="clear" w:color="auto" w:fill="FFFFFF"/>
        </w:rPr>
        <w:t>Excepción Preliminar, Fondo, Reparaciones y Costas.</w:t>
      </w:r>
      <w:r w:rsidR="00BB5353" w:rsidRPr="00D503C7">
        <w:rPr>
          <w:rStyle w:val="Textoennegrita"/>
          <w:rFonts w:ascii="Verdana" w:hAnsi="Verdana"/>
          <w:b w:val="0"/>
          <w:color w:val="000000"/>
          <w:sz w:val="16"/>
          <w:szCs w:val="16"/>
          <w:shd w:val="clear" w:color="auto" w:fill="FFFFFF"/>
        </w:rPr>
        <w:t xml:space="preserve"> Sentencia de 23 de agosto de 2018. Serie C No. 359</w:t>
      </w:r>
      <w:r w:rsidRPr="0087789C">
        <w:rPr>
          <w:rFonts w:ascii="Verdana" w:hAnsi="Verdana"/>
          <w:sz w:val="16"/>
          <w:szCs w:val="16"/>
          <w:lang w:val="es-CR"/>
        </w:rPr>
        <w:t>, párr. 101.</w:t>
      </w:r>
    </w:p>
  </w:footnote>
  <w:footnote w:id="7">
    <w:p w:rsidR="002005C7" w:rsidRPr="00D503C7" w:rsidRDefault="002005C7" w:rsidP="00D13A92">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 xml:space="preserve">Cfr. Caso Muelle Flores Vs. Perú. Excepciones Preliminares, Fondo, Reparaciones y Costas. </w:t>
      </w:r>
      <w:r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Pr="00D503C7">
        <w:rPr>
          <w:rFonts w:ascii="Verdana" w:hAnsi="Verdana"/>
          <w:sz w:val="16"/>
          <w:szCs w:val="16"/>
        </w:rPr>
        <w:t xml:space="preserve">, párr. 179. </w:t>
      </w:r>
    </w:p>
  </w:footnote>
  <w:footnote w:id="8">
    <w:p w:rsidR="002005C7" w:rsidRPr="00D503C7" w:rsidRDefault="002005C7" w:rsidP="00FF50B5">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 xml:space="preserve">Cfr. Caso Muelle Flores Vs. Perú. Excepciones Preliminares, Fondo, Reparaciones y Costas. </w:t>
      </w:r>
      <w:r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Pr="00D503C7">
        <w:rPr>
          <w:rFonts w:ascii="Verdana" w:hAnsi="Verdana"/>
          <w:sz w:val="16"/>
          <w:szCs w:val="16"/>
        </w:rPr>
        <w:t xml:space="preserve">, </w:t>
      </w:r>
      <w:proofErr w:type="spellStart"/>
      <w:r w:rsidRPr="00D503C7">
        <w:rPr>
          <w:rFonts w:ascii="Verdana" w:hAnsi="Verdana"/>
          <w:sz w:val="16"/>
          <w:szCs w:val="16"/>
        </w:rPr>
        <w:t>párrs</w:t>
      </w:r>
      <w:proofErr w:type="spellEnd"/>
      <w:r w:rsidRPr="00D503C7">
        <w:rPr>
          <w:rFonts w:ascii="Verdana" w:hAnsi="Verdana"/>
          <w:sz w:val="16"/>
          <w:szCs w:val="16"/>
        </w:rPr>
        <w:t>. 181, 183 y 184</w:t>
      </w:r>
      <w:r w:rsidR="00D60CED">
        <w:rPr>
          <w:rFonts w:ascii="Verdana" w:hAnsi="Verdana"/>
          <w:sz w:val="16"/>
          <w:szCs w:val="16"/>
        </w:rPr>
        <w:t>.</w:t>
      </w:r>
    </w:p>
  </w:footnote>
  <w:footnote w:id="9">
    <w:p w:rsidR="002005C7" w:rsidRPr="00D503C7" w:rsidRDefault="002005C7" w:rsidP="00FF50B5">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 xml:space="preserve">Cfr. Caso Muelle Flores Vs. Perú. Excepciones Preliminares, Fondo, Reparaciones y Costas. </w:t>
      </w:r>
      <w:r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Pr="00D503C7">
        <w:rPr>
          <w:rFonts w:ascii="Verdana" w:hAnsi="Verdana"/>
          <w:sz w:val="16"/>
          <w:szCs w:val="16"/>
        </w:rPr>
        <w:t xml:space="preserve">, párr. </w:t>
      </w:r>
      <w:r w:rsidRPr="00D503C7">
        <w:rPr>
          <w:rFonts w:ascii="Verdana" w:hAnsi="Verdana"/>
          <w:sz w:val="16"/>
          <w:szCs w:val="16"/>
          <w:lang w:val="es-CR"/>
        </w:rPr>
        <w:t xml:space="preserve">182. </w:t>
      </w:r>
    </w:p>
  </w:footnote>
  <w:footnote w:id="10">
    <w:p w:rsidR="002005C7" w:rsidRDefault="002005C7" w:rsidP="00D60CED">
      <w:pPr>
        <w:pStyle w:val="Textonotapie"/>
        <w:jc w:val="both"/>
        <w:rPr>
          <w:rFonts w:ascii="Verdana" w:hAnsi="Verdana"/>
          <w:sz w:val="16"/>
          <w:szCs w:val="16"/>
          <w:lang w:val="es-CR"/>
        </w:rPr>
      </w:pPr>
      <w:r w:rsidRPr="00571D94">
        <w:rPr>
          <w:rStyle w:val="Refdenotaalpie"/>
          <w:rFonts w:ascii="Verdana" w:hAnsi="Verdana"/>
          <w:sz w:val="16"/>
          <w:szCs w:val="16"/>
          <w:lang w:val="es-CR"/>
        </w:rPr>
        <w:footnoteRef/>
      </w:r>
      <w:r w:rsidRPr="00571D94">
        <w:rPr>
          <w:rFonts w:ascii="Verdana" w:hAnsi="Verdana"/>
          <w:sz w:val="16"/>
          <w:szCs w:val="16"/>
          <w:lang w:val="es-CR"/>
        </w:rPr>
        <w:tab/>
      </w:r>
      <w:r w:rsidRPr="00571D94">
        <w:rPr>
          <w:rFonts w:ascii="Verdana" w:hAnsi="Verdana"/>
          <w:i/>
          <w:sz w:val="16"/>
          <w:szCs w:val="16"/>
          <w:lang w:val="es-CR"/>
        </w:rPr>
        <w:t>Cfr. Caso familia Pacheco Tineo Vs. Bolivia, supra,</w:t>
      </w:r>
      <w:r w:rsidRPr="00571D94">
        <w:rPr>
          <w:rFonts w:ascii="Verdana" w:hAnsi="Verdana"/>
          <w:sz w:val="16"/>
          <w:szCs w:val="16"/>
          <w:lang w:val="es-CR"/>
        </w:rPr>
        <w:t xml:space="preserve"> párr.143 y </w:t>
      </w:r>
      <w:r w:rsidRPr="00571D94">
        <w:rPr>
          <w:rFonts w:ascii="Verdana" w:hAnsi="Verdana"/>
          <w:i/>
          <w:sz w:val="16"/>
          <w:szCs w:val="16"/>
          <w:lang w:val="es-CR"/>
        </w:rPr>
        <w:t>Caso Cuscul Pivaral y otros Vs. Guatemala, supra</w:t>
      </w:r>
      <w:r w:rsidRPr="00571D94">
        <w:rPr>
          <w:rFonts w:ascii="Verdana" w:hAnsi="Verdana"/>
          <w:sz w:val="16"/>
          <w:szCs w:val="16"/>
          <w:lang w:val="es-CR"/>
        </w:rPr>
        <w:t>, párr. 101.</w:t>
      </w:r>
    </w:p>
    <w:p w:rsidR="002005C7" w:rsidRPr="00571D94" w:rsidRDefault="002005C7" w:rsidP="00D0700E">
      <w:pPr>
        <w:pStyle w:val="Textonotapie"/>
        <w:rPr>
          <w:rFonts w:ascii="Verdana" w:hAnsi="Verdana"/>
          <w:sz w:val="16"/>
          <w:szCs w:val="16"/>
          <w:lang w:val="es-CR"/>
        </w:rPr>
      </w:pPr>
    </w:p>
  </w:footnote>
  <w:footnote w:id="11">
    <w:p w:rsidR="00D60CED" w:rsidRPr="00D60CED" w:rsidRDefault="00D60CED" w:rsidP="00D60CED">
      <w:pPr>
        <w:pStyle w:val="Textonotapie"/>
        <w:spacing w:after="120"/>
        <w:jc w:val="both"/>
        <w:rPr>
          <w:rFonts w:ascii="Verdana" w:hAnsi="Verdana"/>
          <w:sz w:val="16"/>
          <w:szCs w:val="16"/>
          <w:lang w:val="es-CR"/>
        </w:rPr>
      </w:pPr>
      <w:r w:rsidRPr="00D60CED">
        <w:rPr>
          <w:rStyle w:val="Refdenotaalpie"/>
          <w:rFonts w:ascii="Verdana" w:hAnsi="Verdana"/>
          <w:sz w:val="16"/>
          <w:szCs w:val="16"/>
          <w:lang w:val="es-CR"/>
        </w:rPr>
        <w:footnoteRef/>
      </w:r>
      <w:r w:rsidRPr="00D60CED">
        <w:rPr>
          <w:rFonts w:ascii="Verdana" w:hAnsi="Verdana"/>
          <w:sz w:val="16"/>
          <w:szCs w:val="16"/>
          <w:lang w:val="es-CR"/>
        </w:rPr>
        <w:tab/>
        <w:t xml:space="preserve">El artículo 29 de la Convención Americana (que prevé el principio </w:t>
      </w:r>
      <w:r w:rsidRPr="00D60CED">
        <w:rPr>
          <w:rFonts w:ascii="Verdana" w:hAnsi="Verdana"/>
          <w:i/>
          <w:sz w:val="16"/>
          <w:szCs w:val="16"/>
          <w:lang w:val="es-CR"/>
        </w:rPr>
        <w:t>pro persona</w:t>
      </w:r>
      <w:r w:rsidRPr="00D60CED">
        <w:rPr>
          <w:rFonts w:ascii="Verdana" w:hAnsi="Verdana"/>
          <w:sz w:val="16"/>
          <w:szCs w:val="16"/>
          <w:lang w:val="es-CR"/>
        </w:rPr>
        <w:t xml:space="preserve">), hace expresa referencia a las normas del Derecho Internacional general para su interpretación y aplicación. </w:t>
      </w:r>
      <w:r w:rsidRPr="009C0034">
        <w:rPr>
          <w:rFonts w:ascii="Verdana" w:hAnsi="Verdana"/>
          <w:i/>
          <w:sz w:val="16"/>
          <w:szCs w:val="16"/>
          <w:lang w:val="es-CR"/>
        </w:rPr>
        <w:t>Cfr</w:t>
      </w:r>
      <w:r w:rsidRPr="00D60CED">
        <w:rPr>
          <w:rFonts w:ascii="Verdana" w:hAnsi="Verdana"/>
          <w:sz w:val="16"/>
          <w:szCs w:val="16"/>
          <w:lang w:val="es-CR"/>
        </w:rPr>
        <w:t xml:space="preserve">. </w:t>
      </w:r>
      <w:r w:rsidRPr="00D60CED">
        <w:rPr>
          <w:rFonts w:ascii="Verdana" w:hAnsi="Verdana"/>
          <w:i/>
          <w:sz w:val="16"/>
          <w:szCs w:val="16"/>
        </w:rPr>
        <w:t xml:space="preserve">Caso Muelle Flores Vs. Perú. Excepciones Preliminares, Fondo, Reparaciones y Costas. </w:t>
      </w:r>
      <w:r w:rsidRPr="00D60CED">
        <w:rPr>
          <w:rFonts w:ascii="Verdana" w:hAnsi="Verdana"/>
          <w:sz w:val="16"/>
          <w:szCs w:val="16"/>
        </w:rPr>
        <w:t>Sentencia de 6 de marzo de 2019. Serie C No</w:t>
      </w:r>
      <w:r w:rsidRPr="006B2226">
        <w:rPr>
          <w:rFonts w:ascii="Verdana" w:hAnsi="Verdana"/>
          <w:sz w:val="16"/>
          <w:szCs w:val="16"/>
        </w:rPr>
        <w:t xml:space="preserve">. </w:t>
      </w:r>
      <w:r w:rsidR="006B2226" w:rsidRPr="001A08D2">
        <w:rPr>
          <w:rFonts w:ascii="Verdana" w:hAnsi="Verdana"/>
          <w:sz w:val="16"/>
          <w:szCs w:val="16"/>
        </w:rPr>
        <w:t>375</w:t>
      </w:r>
      <w:r w:rsidRPr="006B2226">
        <w:rPr>
          <w:rFonts w:ascii="Verdana" w:hAnsi="Verdana"/>
          <w:sz w:val="16"/>
          <w:szCs w:val="16"/>
        </w:rPr>
        <w:t>,</w:t>
      </w:r>
      <w:r w:rsidRPr="00D60CED">
        <w:rPr>
          <w:rFonts w:ascii="Verdana" w:hAnsi="Verdana"/>
          <w:sz w:val="16"/>
          <w:szCs w:val="16"/>
        </w:rPr>
        <w:t xml:space="preserve"> párr. </w:t>
      </w:r>
      <w:r w:rsidRPr="00D60CED">
        <w:rPr>
          <w:rFonts w:ascii="Verdana" w:hAnsi="Verdana"/>
          <w:sz w:val="16"/>
          <w:szCs w:val="16"/>
          <w:lang w:val="es-CR"/>
        </w:rPr>
        <w:t xml:space="preserve">174; </w:t>
      </w:r>
      <w:r w:rsidRPr="00D60CED">
        <w:rPr>
          <w:rFonts w:ascii="Verdana" w:hAnsi="Verdana"/>
          <w:i/>
          <w:sz w:val="16"/>
          <w:szCs w:val="16"/>
          <w:lang w:val="es-CR"/>
        </w:rPr>
        <w:t>Caso familia Pacheco Tineo Vs. Bolivia. Excepciones Preliminares, Fondo, Reparaciones y Costas</w:t>
      </w:r>
      <w:r w:rsidRPr="00D60CED">
        <w:rPr>
          <w:rFonts w:ascii="Verdana" w:hAnsi="Verdana"/>
          <w:sz w:val="16"/>
          <w:szCs w:val="16"/>
          <w:lang w:val="es-CR"/>
        </w:rPr>
        <w:t>. Sentencia de 25 de noviembre de 2</w:t>
      </w:r>
      <w:r w:rsidR="009C0034">
        <w:rPr>
          <w:rFonts w:ascii="Verdana" w:hAnsi="Verdana"/>
          <w:sz w:val="16"/>
          <w:szCs w:val="16"/>
          <w:lang w:val="es-CR"/>
        </w:rPr>
        <w:t>013. Serie C No. 272, párr. 143;</w:t>
      </w:r>
      <w:r w:rsidRPr="00D60CED">
        <w:rPr>
          <w:rFonts w:ascii="Verdana" w:hAnsi="Verdana"/>
          <w:sz w:val="16"/>
          <w:szCs w:val="16"/>
          <w:lang w:val="es-CR"/>
        </w:rPr>
        <w:t xml:space="preserve"> y </w:t>
      </w:r>
      <w:r w:rsidRPr="00D60CED">
        <w:rPr>
          <w:rFonts w:ascii="Verdana" w:hAnsi="Verdana"/>
          <w:i/>
          <w:sz w:val="16"/>
          <w:szCs w:val="16"/>
          <w:lang w:val="es-CR"/>
        </w:rPr>
        <w:t>Caso Cuscul</w:t>
      </w:r>
      <w:r w:rsidR="009C0034">
        <w:rPr>
          <w:rFonts w:ascii="Verdana" w:hAnsi="Verdana"/>
          <w:i/>
          <w:sz w:val="16"/>
          <w:szCs w:val="16"/>
          <w:lang w:val="es-CR"/>
        </w:rPr>
        <w:t xml:space="preserve"> Pivaral y otros Vs. Guatemala. </w:t>
      </w:r>
      <w:r w:rsidR="009C0034" w:rsidRPr="00D503C7">
        <w:rPr>
          <w:rStyle w:val="Textoennegrita"/>
          <w:rFonts w:ascii="Verdana" w:hAnsi="Verdana"/>
          <w:b w:val="0"/>
          <w:i/>
          <w:color w:val="000000"/>
          <w:sz w:val="16"/>
          <w:szCs w:val="16"/>
          <w:shd w:val="clear" w:color="auto" w:fill="FFFFFF"/>
        </w:rPr>
        <w:t>Excepción Preliminar, Fondo, Reparaciones y Costas.</w:t>
      </w:r>
      <w:r w:rsidR="009C0034" w:rsidRPr="00D503C7">
        <w:rPr>
          <w:rStyle w:val="Textoennegrita"/>
          <w:rFonts w:ascii="Verdana" w:hAnsi="Verdana"/>
          <w:b w:val="0"/>
          <w:color w:val="000000"/>
          <w:sz w:val="16"/>
          <w:szCs w:val="16"/>
          <w:shd w:val="clear" w:color="auto" w:fill="FFFFFF"/>
        </w:rPr>
        <w:t xml:space="preserve"> Sentencia de 23 de agosto de 2018. Serie C No. 359</w:t>
      </w:r>
      <w:r w:rsidR="009C0034" w:rsidRPr="0087789C">
        <w:rPr>
          <w:rFonts w:ascii="Verdana" w:hAnsi="Verdana"/>
          <w:sz w:val="16"/>
          <w:szCs w:val="16"/>
          <w:lang w:val="es-CR"/>
        </w:rPr>
        <w:t>,</w:t>
      </w:r>
      <w:r w:rsidRPr="00D60CED">
        <w:rPr>
          <w:rFonts w:ascii="Verdana" w:hAnsi="Verdana"/>
          <w:sz w:val="16"/>
          <w:szCs w:val="16"/>
          <w:lang w:val="es-CR"/>
        </w:rPr>
        <w:t xml:space="preserve"> párr. 100.</w:t>
      </w:r>
    </w:p>
  </w:footnote>
  <w:footnote w:id="12">
    <w:p w:rsidR="002005C7" w:rsidRPr="00D60CED" w:rsidRDefault="002005C7" w:rsidP="00D60CED">
      <w:pPr>
        <w:pStyle w:val="Textonotapie"/>
        <w:spacing w:after="120"/>
        <w:jc w:val="both"/>
        <w:rPr>
          <w:rFonts w:ascii="Verdana" w:hAnsi="Verdana"/>
          <w:sz w:val="16"/>
          <w:szCs w:val="16"/>
          <w:lang w:val="es-CR"/>
        </w:rPr>
      </w:pPr>
      <w:r w:rsidRPr="00D60CED">
        <w:rPr>
          <w:rStyle w:val="Refdenotaalpie"/>
          <w:rFonts w:ascii="Verdana" w:hAnsi="Verdana"/>
          <w:sz w:val="16"/>
          <w:szCs w:val="16"/>
          <w:lang w:val="es-CR"/>
        </w:rPr>
        <w:footnoteRef/>
      </w:r>
      <w:r w:rsidRPr="00D60CED">
        <w:rPr>
          <w:rFonts w:ascii="Verdana" w:hAnsi="Verdana"/>
          <w:sz w:val="16"/>
          <w:szCs w:val="16"/>
          <w:lang w:val="es-CR"/>
        </w:rPr>
        <w:tab/>
      </w:r>
      <w:r w:rsidRPr="00D60CED">
        <w:rPr>
          <w:rFonts w:ascii="Verdana" w:hAnsi="Verdana"/>
          <w:i/>
          <w:sz w:val="16"/>
          <w:szCs w:val="16"/>
        </w:rPr>
        <w:t xml:space="preserve">Cfr. Caso Muelle Flores Vs. Perú. Excepciones Preliminares, Fondo, Reparaciones y Costas. </w:t>
      </w:r>
      <w:r w:rsidRPr="00D60CED">
        <w:rPr>
          <w:rFonts w:ascii="Verdana" w:hAnsi="Verdana"/>
          <w:sz w:val="16"/>
          <w:szCs w:val="16"/>
        </w:rPr>
        <w:t>Sentencia de 6 de marzo de 2019. Serie C No</w:t>
      </w:r>
      <w:r w:rsidRPr="006B2226">
        <w:rPr>
          <w:rFonts w:ascii="Verdana" w:hAnsi="Verdana"/>
          <w:sz w:val="16"/>
          <w:szCs w:val="16"/>
        </w:rPr>
        <w:t xml:space="preserve">. </w:t>
      </w:r>
      <w:r w:rsidR="006B2226" w:rsidRPr="001A08D2">
        <w:rPr>
          <w:rFonts w:ascii="Verdana" w:hAnsi="Verdana"/>
          <w:sz w:val="16"/>
          <w:szCs w:val="16"/>
        </w:rPr>
        <w:t>375</w:t>
      </w:r>
      <w:r w:rsidRPr="00D60CED">
        <w:rPr>
          <w:rFonts w:ascii="Verdana" w:hAnsi="Verdana"/>
          <w:sz w:val="16"/>
          <w:szCs w:val="16"/>
        </w:rPr>
        <w:t xml:space="preserve">, párr. </w:t>
      </w:r>
      <w:r w:rsidRPr="00D60CED">
        <w:rPr>
          <w:rFonts w:ascii="Verdana" w:hAnsi="Verdana"/>
          <w:sz w:val="16"/>
          <w:szCs w:val="16"/>
          <w:lang w:val="es-CR"/>
        </w:rPr>
        <w:t xml:space="preserve">175. </w:t>
      </w:r>
    </w:p>
  </w:footnote>
  <w:footnote w:id="13">
    <w:p w:rsidR="00D60CED" w:rsidRPr="00D60CED" w:rsidRDefault="00D60CED" w:rsidP="00D60CED">
      <w:pPr>
        <w:pStyle w:val="Textonotapie"/>
        <w:spacing w:after="120"/>
        <w:jc w:val="both"/>
        <w:rPr>
          <w:rFonts w:ascii="Verdana" w:hAnsi="Verdana"/>
          <w:sz w:val="16"/>
          <w:szCs w:val="16"/>
          <w:lang w:val="es-CR"/>
        </w:rPr>
      </w:pPr>
      <w:r w:rsidRPr="00D60CED">
        <w:rPr>
          <w:rStyle w:val="Refdenotaalpie"/>
          <w:rFonts w:ascii="Verdana" w:hAnsi="Verdana"/>
          <w:sz w:val="16"/>
          <w:szCs w:val="16"/>
          <w:lang w:val="es-CR"/>
        </w:rPr>
        <w:footnoteRef/>
      </w:r>
      <w:r w:rsidRPr="00D60CED">
        <w:rPr>
          <w:rFonts w:ascii="Verdana" w:hAnsi="Verdana"/>
          <w:sz w:val="16"/>
          <w:szCs w:val="16"/>
          <w:lang w:val="es-CR"/>
        </w:rPr>
        <w:tab/>
      </w:r>
      <w:r w:rsidRPr="00D60CED">
        <w:rPr>
          <w:rFonts w:ascii="Verdana" w:hAnsi="Verdana"/>
          <w:i/>
          <w:sz w:val="16"/>
          <w:szCs w:val="16"/>
          <w:lang w:val="es-CR"/>
        </w:rPr>
        <w:t xml:space="preserve">Cfr. Caso Poblete Vilches y otros Vs. </w:t>
      </w:r>
      <w:r w:rsidRPr="00D60CED">
        <w:rPr>
          <w:rFonts w:ascii="Verdana" w:hAnsi="Verdana"/>
          <w:i/>
          <w:sz w:val="16"/>
          <w:szCs w:val="16"/>
          <w:lang w:val="es-ES"/>
        </w:rPr>
        <w:t>Chile, supra,</w:t>
      </w:r>
      <w:r w:rsidRPr="00D60CED">
        <w:rPr>
          <w:rFonts w:ascii="Verdana" w:hAnsi="Verdana"/>
          <w:sz w:val="16"/>
          <w:szCs w:val="16"/>
          <w:lang w:val="es-CR"/>
        </w:rPr>
        <w:t xml:space="preserve"> párr. 103; </w:t>
      </w:r>
      <w:r w:rsidRPr="00D60CED">
        <w:rPr>
          <w:rFonts w:ascii="Verdana" w:hAnsi="Verdana"/>
          <w:i/>
          <w:sz w:val="16"/>
          <w:szCs w:val="16"/>
          <w:lang w:val="es-CR"/>
        </w:rPr>
        <w:t>Caso Lagos del Campo Vs. Perú, supra,</w:t>
      </w:r>
      <w:r w:rsidRPr="00D60CED">
        <w:rPr>
          <w:rFonts w:ascii="Verdana" w:hAnsi="Verdana"/>
          <w:sz w:val="16"/>
          <w:szCs w:val="16"/>
          <w:lang w:val="es-ES"/>
        </w:rPr>
        <w:t xml:space="preserve"> párr. 145; </w:t>
      </w:r>
      <w:r w:rsidRPr="00D60CED">
        <w:rPr>
          <w:rFonts w:ascii="Verdana" w:hAnsi="Verdana"/>
          <w:i/>
          <w:sz w:val="16"/>
          <w:szCs w:val="16"/>
          <w:lang w:val="es-ES"/>
        </w:rPr>
        <w:t xml:space="preserve">Caso I.V. Vs. Bolivia. </w:t>
      </w:r>
      <w:r w:rsidRPr="00D60CED">
        <w:rPr>
          <w:rFonts w:ascii="Verdana" w:hAnsi="Verdana"/>
          <w:i/>
          <w:sz w:val="16"/>
          <w:szCs w:val="16"/>
          <w:lang w:val="es-CR"/>
        </w:rPr>
        <w:t>Excepciones Preliminares, Fondo, Reparaciones y Costas.</w:t>
      </w:r>
      <w:r w:rsidRPr="00D60CED">
        <w:rPr>
          <w:rFonts w:ascii="Verdana" w:hAnsi="Verdana"/>
          <w:sz w:val="16"/>
          <w:szCs w:val="16"/>
          <w:lang w:val="es-CR"/>
        </w:rPr>
        <w:t xml:space="preserve"> Sentencia de 30 de noviembre de 2016. Serie C No. 329, párr. 168; </w:t>
      </w:r>
      <w:r w:rsidRPr="00D60CED">
        <w:rPr>
          <w:rFonts w:ascii="Verdana" w:hAnsi="Verdana"/>
          <w:i/>
          <w:sz w:val="16"/>
          <w:szCs w:val="16"/>
          <w:lang w:val="es-CR"/>
        </w:rPr>
        <w:t>Caso familia Pacheco Tineo Vs. Bolivia, sura,</w:t>
      </w:r>
      <w:r w:rsidRPr="00D60CED">
        <w:rPr>
          <w:rFonts w:ascii="Verdana" w:hAnsi="Verdana"/>
          <w:sz w:val="16"/>
          <w:szCs w:val="16"/>
          <w:lang w:val="es-CR"/>
        </w:rPr>
        <w:t xml:space="preserve"> párr. 129; </w:t>
      </w:r>
      <w:r w:rsidRPr="00D60CED">
        <w:rPr>
          <w:rFonts w:ascii="Verdana" w:hAnsi="Verdana"/>
          <w:i/>
          <w:sz w:val="16"/>
          <w:szCs w:val="16"/>
          <w:lang w:val="es-CR"/>
        </w:rPr>
        <w:t xml:space="preserve">Caso Atala Riffo y niñas Vs. </w:t>
      </w:r>
      <w:r w:rsidRPr="00D60CED">
        <w:rPr>
          <w:rFonts w:ascii="Verdana" w:hAnsi="Verdana"/>
          <w:i/>
          <w:sz w:val="16"/>
          <w:szCs w:val="16"/>
          <w:lang w:val="es-ES"/>
        </w:rPr>
        <w:t xml:space="preserve">Chile. </w:t>
      </w:r>
      <w:r w:rsidRPr="00D60CED">
        <w:rPr>
          <w:rFonts w:ascii="Verdana" w:hAnsi="Verdana"/>
          <w:i/>
          <w:sz w:val="16"/>
          <w:szCs w:val="16"/>
          <w:lang w:val="es-CR"/>
        </w:rPr>
        <w:t>Fondo, Reparaciones y Costas</w:t>
      </w:r>
      <w:r w:rsidRPr="00D60CED">
        <w:rPr>
          <w:rFonts w:ascii="Verdana" w:hAnsi="Verdana"/>
          <w:sz w:val="16"/>
          <w:szCs w:val="16"/>
          <w:lang w:val="es-CR"/>
        </w:rPr>
        <w:t xml:space="preserve">. Sentencia de 24 de febrero de 2012. Serie C No. 239, párr. 83; </w:t>
      </w:r>
      <w:r w:rsidRPr="00D60CED">
        <w:rPr>
          <w:rFonts w:ascii="Verdana" w:hAnsi="Verdana"/>
          <w:i/>
          <w:sz w:val="16"/>
          <w:szCs w:val="16"/>
          <w:lang w:val="es-CR"/>
        </w:rPr>
        <w:t>Caso Gelman Vs. Uruguay. Fondo y Reparaciones</w:t>
      </w:r>
      <w:r w:rsidRPr="00D60CED">
        <w:rPr>
          <w:rFonts w:ascii="Verdana" w:hAnsi="Verdana"/>
          <w:sz w:val="16"/>
          <w:szCs w:val="16"/>
          <w:lang w:val="es-CR"/>
        </w:rPr>
        <w:t xml:space="preserve">. Sentencia de 24 de febrero de 2011. Serie C No. 221, párr. 78 y 121, y </w:t>
      </w:r>
      <w:r w:rsidRPr="00D60CED">
        <w:rPr>
          <w:rFonts w:ascii="Verdana" w:hAnsi="Verdana"/>
          <w:i/>
          <w:sz w:val="16"/>
          <w:szCs w:val="16"/>
          <w:lang w:val="es-CR"/>
        </w:rPr>
        <w:t>Caso Cuscul Pivaral y otros Vs. Guatemala, supra</w:t>
      </w:r>
      <w:r w:rsidRPr="00D60CED">
        <w:rPr>
          <w:rFonts w:ascii="Verdana" w:hAnsi="Verdana"/>
          <w:sz w:val="16"/>
          <w:szCs w:val="16"/>
          <w:lang w:val="es-CR"/>
        </w:rPr>
        <w:t>, párr. 100.</w:t>
      </w:r>
    </w:p>
  </w:footnote>
  <w:footnote w:id="14">
    <w:p w:rsidR="00D60CED" w:rsidRPr="00AD110B" w:rsidRDefault="00D60CED" w:rsidP="00D60CED">
      <w:pPr>
        <w:pStyle w:val="Textonotapie"/>
        <w:spacing w:after="120"/>
        <w:rPr>
          <w:lang w:val="es-CR"/>
        </w:rPr>
      </w:pPr>
      <w:r w:rsidRPr="00DA2CF1">
        <w:rPr>
          <w:rStyle w:val="Refdenotaalpie"/>
          <w:sz w:val="16"/>
          <w:lang w:val="es-CR"/>
        </w:rPr>
        <w:footnoteRef/>
      </w:r>
      <w:r w:rsidRPr="00AD110B">
        <w:rPr>
          <w:lang w:val="es-CR"/>
        </w:rPr>
        <w:tab/>
      </w:r>
      <w:r w:rsidRPr="00D503C7">
        <w:rPr>
          <w:rFonts w:ascii="Verdana" w:hAnsi="Verdana"/>
          <w:i/>
          <w:sz w:val="16"/>
          <w:szCs w:val="16"/>
        </w:rPr>
        <w:t xml:space="preserve">Cfr. Caso Muelle Flores Vs. Perú. Excepciones Preliminares, Fondo, Reparaciones y Costas. </w:t>
      </w:r>
      <w:r>
        <w:rPr>
          <w:rFonts w:ascii="Verdana" w:hAnsi="Verdana"/>
          <w:sz w:val="16"/>
          <w:szCs w:val="16"/>
        </w:rPr>
        <w:t xml:space="preserve">Sentencia de 6 </w:t>
      </w:r>
      <w:r w:rsidRPr="00D503C7">
        <w:rPr>
          <w:rFonts w:ascii="Verdana" w:hAnsi="Verdana"/>
          <w:sz w:val="16"/>
          <w:szCs w:val="16"/>
        </w:rPr>
        <w:t xml:space="preserve">de marzo de 2019. Serie C No. </w:t>
      </w:r>
      <w:r w:rsidR="006B2226" w:rsidRPr="001A08D2">
        <w:rPr>
          <w:rFonts w:ascii="Verdana" w:hAnsi="Verdana"/>
          <w:sz w:val="16"/>
          <w:szCs w:val="16"/>
        </w:rPr>
        <w:t>375</w:t>
      </w:r>
      <w:r>
        <w:rPr>
          <w:rFonts w:ascii="Verdana" w:hAnsi="Verdana"/>
          <w:sz w:val="16"/>
          <w:szCs w:val="16"/>
        </w:rPr>
        <w:t>, párr</w:t>
      </w:r>
      <w:r w:rsidRPr="00D503C7">
        <w:rPr>
          <w:rFonts w:ascii="Verdana" w:hAnsi="Verdana"/>
          <w:sz w:val="16"/>
          <w:szCs w:val="16"/>
        </w:rPr>
        <w:t>. 1</w:t>
      </w:r>
      <w:r>
        <w:rPr>
          <w:rFonts w:ascii="Verdana" w:hAnsi="Verdana"/>
          <w:sz w:val="16"/>
          <w:szCs w:val="16"/>
        </w:rPr>
        <w:t>74</w:t>
      </w:r>
      <w:r w:rsidRPr="00CD5E3D">
        <w:rPr>
          <w:lang w:val="es-CR"/>
        </w:rPr>
        <w:t>.</w:t>
      </w:r>
    </w:p>
  </w:footnote>
  <w:footnote w:id="15">
    <w:p w:rsidR="002005C7" w:rsidRPr="00135484" w:rsidRDefault="002005C7" w:rsidP="00F71626">
      <w:pPr>
        <w:pStyle w:val="Textonotapie"/>
        <w:spacing w:after="120"/>
        <w:jc w:val="both"/>
        <w:rPr>
          <w:rFonts w:ascii="Verdana" w:hAnsi="Verdana"/>
          <w:sz w:val="16"/>
          <w:szCs w:val="16"/>
          <w:lang w:val="es-CR"/>
        </w:rPr>
      </w:pPr>
      <w:r w:rsidRPr="00135484">
        <w:rPr>
          <w:rStyle w:val="Refdenotaalpie"/>
          <w:rFonts w:ascii="Verdana" w:hAnsi="Verdana"/>
          <w:sz w:val="16"/>
          <w:szCs w:val="16"/>
          <w:lang w:val="es-CR"/>
        </w:rPr>
        <w:footnoteRef/>
      </w:r>
      <w:r w:rsidRPr="00135484">
        <w:rPr>
          <w:rFonts w:ascii="Verdana" w:hAnsi="Verdana"/>
          <w:sz w:val="16"/>
          <w:szCs w:val="16"/>
          <w:lang w:val="es-CR"/>
        </w:rPr>
        <w:tab/>
      </w:r>
      <w:r w:rsidRPr="00135484">
        <w:rPr>
          <w:rFonts w:ascii="Verdana" w:hAnsi="Verdana"/>
          <w:i/>
          <w:sz w:val="16"/>
          <w:szCs w:val="16"/>
          <w:lang w:val="es-CR"/>
        </w:rPr>
        <w:t>Cfr. Caso Poblete Vilches y otros Vs. Chile. Fondo, Reparaciones y Costas</w:t>
      </w:r>
      <w:r w:rsidRPr="00135484">
        <w:rPr>
          <w:rFonts w:ascii="Verdana" w:hAnsi="Verdana"/>
          <w:sz w:val="16"/>
          <w:szCs w:val="16"/>
          <w:lang w:val="es-CR"/>
        </w:rPr>
        <w:t>. Sentencia de 8 de marzo de 2018. Serie C No. 349, párr. 104</w:t>
      </w:r>
      <w:r w:rsidR="00BB5353">
        <w:rPr>
          <w:rFonts w:ascii="Verdana" w:hAnsi="Verdana"/>
          <w:sz w:val="16"/>
          <w:szCs w:val="16"/>
          <w:lang w:val="es-CR"/>
        </w:rPr>
        <w:t>;</w:t>
      </w:r>
      <w:r w:rsidRPr="00135484">
        <w:rPr>
          <w:rFonts w:ascii="Verdana" w:hAnsi="Verdana"/>
          <w:sz w:val="16"/>
          <w:szCs w:val="16"/>
          <w:lang w:val="es-CR"/>
        </w:rPr>
        <w:t xml:space="preserve"> y </w:t>
      </w:r>
      <w:r w:rsidRPr="00135484">
        <w:rPr>
          <w:rFonts w:ascii="Verdana" w:hAnsi="Verdana"/>
          <w:i/>
          <w:sz w:val="16"/>
          <w:szCs w:val="16"/>
          <w:lang w:val="es-CR"/>
        </w:rPr>
        <w:t>Caso Cuscul Pivaral y otros Vs. Guatemala</w:t>
      </w:r>
      <w:r w:rsidR="00BB5353">
        <w:rPr>
          <w:rFonts w:ascii="Verdana" w:hAnsi="Verdana"/>
          <w:sz w:val="16"/>
          <w:szCs w:val="16"/>
          <w:lang w:val="es-CR"/>
        </w:rPr>
        <w:t>.</w:t>
      </w:r>
      <w:r w:rsidRPr="00135484">
        <w:rPr>
          <w:rFonts w:ascii="Verdana" w:hAnsi="Verdana"/>
          <w:sz w:val="16"/>
          <w:szCs w:val="16"/>
          <w:lang w:val="es-CR"/>
        </w:rPr>
        <w:t xml:space="preserve"> </w:t>
      </w:r>
      <w:r w:rsidR="00BB5353" w:rsidRPr="00D503C7">
        <w:rPr>
          <w:rStyle w:val="Textoennegrita"/>
          <w:rFonts w:ascii="Verdana" w:hAnsi="Verdana"/>
          <w:b w:val="0"/>
          <w:i/>
          <w:color w:val="000000"/>
          <w:sz w:val="16"/>
          <w:szCs w:val="16"/>
          <w:shd w:val="clear" w:color="auto" w:fill="FFFFFF"/>
        </w:rPr>
        <w:t>Excepción Preliminar, Fondo, Reparaciones y Costas.</w:t>
      </w:r>
      <w:r w:rsidR="00BB5353" w:rsidRPr="00D503C7">
        <w:rPr>
          <w:rStyle w:val="Textoennegrita"/>
          <w:rFonts w:ascii="Verdana" w:hAnsi="Verdana"/>
          <w:b w:val="0"/>
          <w:color w:val="000000"/>
          <w:sz w:val="16"/>
          <w:szCs w:val="16"/>
          <w:shd w:val="clear" w:color="auto" w:fill="FFFFFF"/>
        </w:rPr>
        <w:t xml:space="preserve"> Sentencia de 23 de agosto de 2018. Serie C No. 359</w:t>
      </w:r>
      <w:r w:rsidRPr="00135484">
        <w:rPr>
          <w:rFonts w:ascii="Verdana" w:hAnsi="Verdana"/>
          <w:sz w:val="16"/>
          <w:szCs w:val="16"/>
          <w:lang w:val="es-CR"/>
        </w:rPr>
        <w:t>, párr. 98.</w:t>
      </w:r>
    </w:p>
  </w:footnote>
  <w:footnote w:id="16">
    <w:p w:rsidR="002005C7" w:rsidRPr="00135484" w:rsidRDefault="002005C7" w:rsidP="00F71626">
      <w:pPr>
        <w:pStyle w:val="Textonotapie"/>
        <w:spacing w:after="120"/>
        <w:jc w:val="both"/>
        <w:rPr>
          <w:rFonts w:ascii="Verdana" w:hAnsi="Verdana"/>
          <w:sz w:val="16"/>
          <w:szCs w:val="16"/>
          <w:lang w:val="es-CR"/>
        </w:rPr>
      </w:pPr>
      <w:r w:rsidRPr="00135484">
        <w:rPr>
          <w:rStyle w:val="Refdenotaalpie"/>
          <w:rFonts w:ascii="Verdana" w:hAnsi="Verdana"/>
          <w:sz w:val="16"/>
          <w:szCs w:val="16"/>
          <w:lang w:val="es-CR"/>
        </w:rPr>
        <w:footnoteRef/>
      </w:r>
      <w:r w:rsidRPr="00135484">
        <w:rPr>
          <w:rFonts w:ascii="Verdana" w:hAnsi="Verdana"/>
          <w:sz w:val="16"/>
          <w:szCs w:val="16"/>
          <w:lang w:val="es-CR"/>
        </w:rPr>
        <w:tab/>
      </w:r>
      <w:r w:rsidRPr="00135484">
        <w:rPr>
          <w:rFonts w:ascii="Verdana" w:hAnsi="Verdana"/>
          <w:i/>
          <w:sz w:val="16"/>
          <w:szCs w:val="16"/>
          <w:lang w:val="es-CR"/>
        </w:rPr>
        <w:t xml:space="preserve">Cfr. </w:t>
      </w:r>
      <w:r w:rsidRPr="00135484">
        <w:rPr>
          <w:rFonts w:ascii="Verdana" w:hAnsi="Verdana"/>
          <w:sz w:val="16"/>
          <w:szCs w:val="16"/>
          <w:lang w:val="es-CR"/>
        </w:rPr>
        <w:t xml:space="preserve">Comité de Derechos Económicos, Sociales y Culturales, Comité de Derechos Económicos, Sociales y Culturales, </w:t>
      </w:r>
      <w:r w:rsidRPr="00135484">
        <w:rPr>
          <w:rFonts w:ascii="Verdana" w:hAnsi="Verdana"/>
          <w:i/>
          <w:sz w:val="16"/>
          <w:szCs w:val="16"/>
          <w:lang w:val="es-CR"/>
        </w:rPr>
        <w:t>Observación General No. 3: La índole de las obligaciones de los Estados Partes</w:t>
      </w:r>
      <w:r w:rsidRPr="00135484">
        <w:rPr>
          <w:rFonts w:ascii="Verdana" w:hAnsi="Verdana"/>
          <w:sz w:val="16"/>
          <w:szCs w:val="16"/>
          <w:lang w:val="es-CR"/>
        </w:rPr>
        <w:t xml:space="preserve"> (párrafo 1 del artículo 2 del Pacto), 14 de diciembre de 1990, U.N. Doc. E/1991/23, párr. 3, y Comité de Derechos Económicos, Sociales y Culturales, </w:t>
      </w:r>
      <w:r w:rsidRPr="00135484">
        <w:rPr>
          <w:rFonts w:ascii="Verdana" w:hAnsi="Verdana"/>
          <w:i/>
          <w:sz w:val="16"/>
          <w:szCs w:val="16"/>
          <w:lang w:val="es-CR"/>
        </w:rPr>
        <w:t>Observación General No. 19,</w:t>
      </w:r>
      <w:r w:rsidRPr="00135484">
        <w:rPr>
          <w:rFonts w:ascii="Verdana" w:hAnsi="Verdana"/>
          <w:sz w:val="16"/>
          <w:szCs w:val="16"/>
          <w:lang w:val="es-CR"/>
        </w:rPr>
        <w:t xml:space="preserve"> </w:t>
      </w:r>
      <w:r w:rsidRPr="00135484">
        <w:rPr>
          <w:rFonts w:ascii="Verdana" w:hAnsi="Verdana"/>
          <w:i/>
          <w:iCs/>
          <w:sz w:val="16"/>
          <w:szCs w:val="16"/>
          <w:lang w:val="es-CR"/>
        </w:rPr>
        <w:t>El derecho a la seguridad social (artículo 9)</w:t>
      </w:r>
      <w:r w:rsidRPr="00135484">
        <w:rPr>
          <w:rFonts w:ascii="Verdana" w:hAnsi="Verdana"/>
          <w:sz w:val="16"/>
          <w:szCs w:val="16"/>
          <w:lang w:val="es-CR"/>
        </w:rPr>
        <w:t>, 4 de febrero de 2008, párr. 40.</w:t>
      </w:r>
    </w:p>
  </w:footnote>
  <w:footnote w:id="17">
    <w:p w:rsidR="002005C7" w:rsidRPr="00135484" w:rsidRDefault="002005C7" w:rsidP="00F71626">
      <w:pPr>
        <w:pStyle w:val="Textonotapie"/>
        <w:spacing w:after="120"/>
        <w:jc w:val="both"/>
        <w:rPr>
          <w:rFonts w:ascii="Verdana" w:hAnsi="Verdana"/>
          <w:sz w:val="16"/>
          <w:szCs w:val="16"/>
          <w:lang w:val="es-CR"/>
        </w:rPr>
      </w:pPr>
      <w:r w:rsidRPr="00135484">
        <w:rPr>
          <w:rStyle w:val="Refdenotaalpie"/>
          <w:rFonts w:ascii="Verdana" w:hAnsi="Verdana"/>
          <w:sz w:val="16"/>
          <w:szCs w:val="16"/>
          <w:lang w:val="es-CR"/>
        </w:rPr>
        <w:footnoteRef/>
      </w:r>
      <w:r w:rsidRPr="00135484">
        <w:rPr>
          <w:rFonts w:ascii="Verdana" w:hAnsi="Verdana"/>
          <w:sz w:val="16"/>
          <w:szCs w:val="16"/>
          <w:lang w:val="es-CR"/>
        </w:rPr>
        <w:tab/>
      </w:r>
      <w:r w:rsidRPr="00135484">
        <w:rPr>
          <w:rFonts w:ascii="Verdana" w:hAnsi="Verdana"/>
          <w:i/>
          <w:sz w:val="16"/>
          <w:szCs w:val="16"/>
          <w:lang w:val="es-CR"/>
        </w:rPr>
        <w:t xml:space="preserve">Cfr. </w:t>
      </w:r>
      <w:r w:rsidRPr="00135484">
        <w:rPr>
          <w:rFonts w:ascii="Verdana" w:hAnsi="Verdana"/>
          <w:sz w:val="16"/>
          <w:szCs w:val="16"/>
          <w:lang w:val="es-CR"/>
        </w:rPr>
        <w:t xml:space="preserve">Comité de Derechos Económicos, Sociales y Culturales, </w:t>
      </w:r>
      <w:r w:rsidRPr="00135484">
        <w:rPr>
          <w:rFonts w:ascii="Verdana" w:hAnsi="Verdana"/>
          <w:i/>
          <w:sz w:val="16"/>
          <w:szCs w:val="16"/>
          <w:lang w:val="es-CR"/>
        </w:rPr>
        <w:t>Observación General No. 3: La índole de las obligaciones de los Estados Partes (párrafo 1 del artículo 2 del Pacto),</w:t>
      </w:r>
      <w:r w:rsidRPr="00135484">
        <w:rPr>
          <w:rFonts w:ascii="Verdana" w:hAnsi="Verdana"/>
          <w:sz w:val="16"/>
          <w:szCs w:val="16"/>
          <w:lang w:val="es-CR"/>
        </w:rPr>
        <w:t xml:space="preserve"> 14 de diciembre de 1990, U.N. Doc. E/1991/23, párr. 9, y Comité de Derechos Económicos, Sociales y Culturales, </w:t>
      </w:r>
      <w:r w:rsidRPr="00135484">
        <w:rPr>
          <w:rFonts w:ascii="Verdana" w:hAnsi="Verdana"/>
          <w:i/>
          <w:sz w:val="16"/>
          <w:szCs w:val="16"/>
          <w:lang w:val="es-CR"/>
        </w:rPr>
        <w:t>Observación General No. 19</w:t>
      </w:r>
      <w:r w:rsidRPr="00135484">
        <w:rPr>
          <w:rFonts w:ascii="Verdana" w:hAnsi="Verdana"/>
          <w:sz w:val="16"/>
          <w:szCs w:val="16"/>
          <w:lang w:val="es-CR"/>
        </w:rPr>
        <w:t xml:space="preserve">, </w:t>
      </w:r>
      <w:r w:rsidRPr="00135484">
        <w:rPr>
          <w:rFonts w:ascii="Verdana" w:hAnsi="Verdana"/>
          <w:i/>
          <w:iCs/>
          <w:sz w:val="16"/>
          <w:szCs w:val="16"/>
          <w:lang w:val="es-CR"/>
        </w:rPr>
        <w:t>El derecho a la seguridad social (artículo 9)</w:t>
      </w:r>
      <w:r w:rsidRPr="00135484">
        <w:rPr>
          <w:rFonts w:ascii="Verdana" w:hAnsi="Verdana"/>
          <w:sz w:val="16"/>
          <w:szCs w:val="16"/>
          <w:lang w:val="es-CR"/>
        </w:rPr>
        <w:t>, 4 de febrero de 2008, párrs. 40 y 41.</w:t>
      </w:r>
    </w:p>
  </w:footnote>
  <w:footnote w:id="18">
    <w:p w:rsidR="002005C7" w:rsidRPr="00135484" w:rsidRDefault="002005C7" w:rsidP="00F71626">
      <w:pPr>
        <w:pStyle w:val="Textonotapie"/>
        <w:spacing w:after="120"/>
        <w:jc w:val="both"/>
        <w:rPr>
          <w:rFonts w:ascii="Verdana" w:hAnsi="Verdana"/>
          <w:sz w:val="16"/>
          <w:szCs w:val="16"/>
          <w:lang w:val="es-CR"/>
        </w:rPr>
      </w:pPr>
      <w:r w:rsidRPr="00135484">
        <w:rPr>
          <w:rStyle w:val="Refdenotaalpie"/>
          <w:rFonts w:ascii="Verdana" w:hAnsi="Verdana"/>
          <w:sz w:val="16"/>
          <w:szCs w:val="16"/>
          <w:lang w:val="es-CR"/>
        </w:rPr>
        <w:footnoteRef/>
      </w:r>
      <w:r w:rsidRPr="00135484">
        <w:rPr>
          <w:rFonts w:ascii="Verdana" w:hAnsi="Verdana"/>
          <w:sz w:val="16"/>
          <w:szCs w:val="16"/>
          <w:lang w:val="es-CR"/>
        </w:rPr>
        <w:tab/>
        <w:t>El artículo 26 de la Convención establece: “</w:t>
      </w:r>
      <w:r w:rsidRPr="00135484">
        <w:rPr>
          <w:rFonts w:ascii="Verdana" w:hAnsi="Verdana"/>
          <w:bCs/>
          <w:sz w:val="16"/>
          <w:szCs w:val="16"/>
          <w:lang w:val="es-CR"/>
        </w:rPr>
        <w:t>Artículo 26. Desarrollo Progresivo</w:t>
      </w:r>
      <w:r w:rsidRPr="00135484">
        <w:rPr>
          <w:rFonts w:ascii="Verdana" w:hAnsi="Verdana"/>
          <w:b/>
          <w:bCs/>
          <w:sz w:val="16"/>
          <w:szCs w:val="16"/>
          <w:lang w:val="es-CR"/>
        </w:rPr>
        <w:t>.</w:t>
      </w:r>
      <w:r w:rsidRPr="00135484">
        <w:rPr>
          <w:rFonts w:ascii="Verdana" w:hAnsi="Verdana"/>
          <w:sz w:val="16"/>
          <w:szCs w:val="16"/>
          <w:lang w:val="es-CR"/>
        </w:rPr>
        <w:t>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19">
    <w:p w:rsidR="002005C7" w:rsidRPr="00135484" w:rsidRDefault="002005C7" w:rsidP="00F71626">
      <w:pPr>
        <w:pStyle w:val="Textonotapie"/>
        <w:spacing w:after="120"/>
        <w:jc w:val="both"/>
        <w:rPr>
          <w:rFonts w:ascii="Verdana" w:hAnsi="Verdana"/>
          <w:sz w:val="16"/>
          <w:szCs w:val="16"/>
          <w:lang w:val="es-CR"/>
        </w:rPr>
      </w:pPr>
      <w:r w:rsidRPr="00135484">
        <w:rPr>
          <w:rStyle w:val="Refdenotaalpie"/>
          <w:rFonts w:ascii="Verdana" w:hAnsi="Verdana"/>
          <w:color w:val="000000"/>
          <w:sz w:val="16"/>
          <w:szCs w:val="16"/>
        </w:rPr>
        <w:footnoteRef/>
      </w:r>
      <w:r w:rsidRPr="00135484">
        <w:rPr>
          <w:rFonts w:ascii="Verdana" w:hAnsi="Verdana"/>
          <w:sz w:val="16"/>
          <w:szCs w:val="16"/>
          <w:lang w:val="es-CR"/>
        </w:rPr>
        <w:t xml:space="preserve"> </w:t>
      </w:r>
      <w:r w:rsidRPr="00135484">
        <w:rPr>
          <w:rFonts w:ascii="Verdana" w:hAnsi="Verdana"/>
          <w:sz w:val="16"/>
          <w:szCs w:val="16"/>
          <w:lang w:val="es-CR"/>
        </w:rPr>
        <w:tab/>
      </w:r>
      <w:r w:rsidRPr="00135484">
        <w:rPr>
          <w:rFonts w:ascii="Verdana" w:hAnsi="Verdana"/>
          <w:i/>
          <w:sz w:val="16"/>
          <w:szCs w:val="16"/>
          <w:lang w:val="es-CR"/>
        </w:rPr>
        <w:t>Cfr. Caso Acevedo Buendía y otros (“Cesantes y Jubilados de la Contraloría”) Vs. Perú</w:t>
      </w:r>
      <w:r w:rsidR="00BB5353">
        <w:rPr>
          <w:rFonts w:ascii="Verdana" w:hAnsi="Verdana"/>
          <w:sz w:val="16"/>
          <w:szCs w:val="16"/>
          <w:lang w:val="es-CR"/>
        </w:rPr>
        <w:t>.</w:t>
      </w:r>
      <w:r w:rsidRPr="00135484">
        <w:rPr>
          <w:rFonts w:ascii="Verdana" w:hAnsi="Verdana"/>
          <w:sz w:val="16"/>
          <w:szCs w:val="16"/>
          <w:lang w:val="es-CR"/>
        </w:rPr>
        <w:t xml:space="preserve"> </w:t>
      </w:r>
      <w:r w:rsidR="00BB5353" w:rsidRPr="00E06456">
        <w:rPr>
          <w:rStyle w:val="Textoennegrita"/>
          <w:rFonts w:ascii="Verdana" w:hAnsi="Verdana"/>
          <w:b w:val="0"/>
          <w:i/>
          <w:sz w:val="16"/>
          <w:szCs w:val="16"/>
          <w:shd w:val="clear" w:color="auto" w:fill="FFFFFF"/>
          <w:lang w:val="es-CR"/>
        </w:rPr>
        <w:t>Excepción Preliminar, Fondo, Reparaciones y Costas.</w:t>
      </w:r>
      <w:r w:rsidR="00BB5353" w:rsidRPr="00E06456">
        <w:rPr>
          <w:rStyle w:val="Textoennegrita"/>
          <w:rFonts w:ascii="Verdana" w:hAnsi="Verdana"/>
          <w:b w:val="0"/>
          <w:sz w:val="16"/>
          <w:szCs w:val="16"/>
          <w:shd w:val="clear" w:color="auto" w:fill="FFFFFF"/>
          <w:lang w:val="es-CR"/>
        </w:rPr>
        <w:t xml:space="preserve"> Sentencia de 1 de julio de 2009. Serie C No. 198</w:t>
      </w:r>
      <w:r w:rsidR="00BB5353">
        <w:rPr>
          <w:rFonts w:ascii="Verdana" w:hAnsi="Verdana"/>
          <w:sz w:val="16"/>
          <w:szCs w:val="16"/>
          <w:lang w:val="es-CR"/>
        </w:rPr>
        <w:t>, párrs. 102-</w:t>
      </w:r>
      <w:r w:rsidR="00EE247C">
        <w:rPr>
          <w:rFonts w:ascii="Verdana" w:hAnsi="Verdana"/>
          <w:sz w:val="16"/>
          <w:szCs w:val="16"/>
          <w:lang w:val="es-CR"/>
        </w:rPr>
        <w:t>103;</w:t>
      </w:r>
      <w:r w:rsidRPr="00135484">
        <w:rPr>
          <w:rFonts w:ascii="Verdana" w:hAnsi="Verdana"/>
          <w:sz w:val="16"/>
          <w:szCs w:val="16"/>
          <w:lang w:val="es-CR"/>
        </w:rPr>
        <w:t xml:space="preserve"> y </w:t>
      </w:r>
      <w:r w:rsidRPr="00135484">
        <w:rPr>
          <w:rFonts w:ascii="Verdana" w:hAnsi="Verdana"/>
          <w:i/>
          <w:sz w:val="16"/>
          <w:szCs w:val="16"/>
          <w:lang w:val="es-CR"/>
        </w:rPr>
        <w:t>Caso</w:t>
      </w:r>
      <w:r w:rsidRPr="00135484">
        <w:rPr>
          <w:rFonts w:ascii="Verdana" w:hAnsi="Verdana"/>
          <w:sz w:val="16"/>
          <w:szCs w:val="16"/>
          <w:lang w:val="es-CR"/>
        </w:rPr>
        <w:t xml:space="preserve"> </w:t>
      </w:r>
      <w:r w:rsidRPr="00135484">
        <w:rPr>
          <w:rFonts w:ascii="Verdana" w:hAnsi="Verdana"/>
          <w:i/>
          <w:sz w:val="16"/>
          <w:szCs w:val="16"/>
          <w:lang w:val="es-CR"/>
        </w:rPr>
        <w:t>Poblete Vilches y otros Vs. Chile. Fondo, Reparaciones y Costas</w:t>
      </w:r>
      <w:r w:rsidRPr="00135484">
        <w:rPr>
          <w:rFonts w:ascii="Verdana" w:hAnsi="Verdana"/>
          <w:sz w:val="16"/>
          <w:szCs w:val="16"/>
          <w:lang w:val="es-CR"/>
        </w:rPr>
        <w:t>. Sentencia de 8 de marzo de 2018. Serie C No. 349, párr. 104. Véanse también: “Grupo de Trabajo para el Análisis de los Informes Nacionales previstos en el Protocolo de San Salvador”. Inicialmente, el Grupo de Trabajo elaboró el Documento “Indicadores de progreso para medición de derechos contemplados en el Protocolo de San Salvador”</w:t>
      </w:r>
      <w:r w:rsidRPr="00135484">
        <w:rPr>
          <w:rFonts w:ascii="Verdana" w:hAnsi="Verdana"/>
          <w:sz w:val="16"/>
          <w:szCs w:val="16"/>
          <w:lang w:val="es-CR" w:eastAsia="es-CR"/>
        </w:rPr>
        <w:t xml:space="preserve">, </w:t>
      </w:r>
      <w:r w:rsidRPr="00135484">
        <w:rPr>
          <w:rFonts w:ascii="Verdana" w:hAnsi="Verdana"/>
          <w:sz w:val="16"/>
          <w:szCs w:val="16"/>
          <w:lang w:val="es-CR"/>
        </w:rPr>
        <w:t>OEA/Ser.L/XXV.2.1; GT/PSS/doc.2/11 rev.2, de 16 diciembre 2011, realizado con base en las Normas y Lineamientos presentados por la Comisión Interamericana de Derechos Humanos. Elevado a consulta a los Estados y la sociedad civil y aprobado por la Asamblea General en su XLII Período de Sesiones Ordinarias celebrado en Cochabamba, Bolivia, en junio de 2012 (AG/RES. 2713 (XLII-O/12). En dicha ocasión se abordaron los derechos a la seguridad social, a la salud y a la educación (pág. 13).</w:t>
      </w:r>
      <w:r w:rsidRPr="00135484">
        <w:rPr>
          <w:rFonts w:ascii="Verdana" w:hAnsi="Verdana"/>
          <w:sz w:val="16"/>
          <w:szCs w:val="16"/>
          <w:lang w:val="es-AR" w:eastAsia="es-CR"/>
        </w:rPr>
        <w:t xml:space="preserve"> Posteriormente, tras un segundo agrupamiento de derechos, el </w:t>
      </w:r>
      <w:r w:rsidRPr="00135484">
        <w:rPr>
          <w:rFonts w:ascii="Verdana" w:hAnsi="Verdana"/>
          <w:sz w:val="16"/>
          <w:szCs w:val="16"/>
          <w:lang w:val="es-AR"/>
        </w:rPr>
        <w:t xml:space="preserve">Grupo de Trabajo </w:t>
      </w:r>
      <w:r w:rsidRPr="00135484">
        <w:rPr>
          <w:rFonts w:ascii="Verdana" w:hAnsi="Verdana"/>
          <w:sz w:val="16"/>
          <w:szCs w:val="16"/>
          <w:lang w:val="es-AR" w:eastAsia="es-CR"/>
        </w:rPr>
        <w:t>emitió los “</w:t>
      </w:r>
      <w:r w:rsidRPr="00135484">
        <w:rPr>
          <w:rFonts w:ascii="Verdana" w:hAnsi="Verdana"/>
          <w:sz w:val="16"/>
          <w:szCs w:val="16"/>
          <w:lang w:val="es-AR"/>
        </w:rPr>
        <w:t>Indicadores de progreso para la medición de derechos contemplados en el Protocolo Adicional a la Convención Americana sobre Derechos Humanos en materia de derechos económicos, sociales y culturales “Protocolo de San Salvador – Segundo agrupamiento de derechos”</w:t>
      </w:r>
      <w:r w:rsidRPr="00135484">
        <w:rPr>
          <w:rFonts w:ascii="Verdana" w:hAnsi="Verdana"/>
          <w:sz w:val="16"/>
          <w:szCs w:val="16"/>
          <w:lang w:val="es-CR"/>
        </w:rPr>
        <w:t>, OEA/Ser.L/XXV.2.1 GT/PSS/doc.9/13, aprobados por la Asamblea General de la OEA mediante la Resolución AG/RES. 2823 (XLIV-O/14), en la Segunda Sesión Plenaria de 4 de junio de 2014.</w:t>
      </w:r>
      <w:r w:rsidRPr="00135484">
        <w:rPr>
          <w:rFonts w:ascii="Verdana" w:hAnsi="Verdana"/>
          <w:sz w:val="16"/>
          <w:szCs w:val="16"/>
          <w:lang w:val="es-CR" w:eastAsia="es-CR"/>
        </w:rPr>
        <w:t xml:space="preserve"> Finalmente, en 2015, el Grupo de Trabajo i</w:t>
      </w:r>
      <w:r w:rsidRPr="00135484">
        <w:rPr>
          <w:rFonts w:ascii="Verdana" w:hAnsi="Verdana"/>
          <w:sz w:val="16"/>
          <w:szCs w:val="16"/>
          <w:lang w:val="es-CR"/>
        </w:rPr>
        <w:t xml:space="preserve">ncorporó ambos agrupamientos de derechos y fueron publicados bajo el título conjunto: “Indicadores de progreso para la medición de derechos contemplados en el Protocolo de San Salvador”, OEA/Ser.D/XXVI.11 (2015). En esta ocasión se abordaron los derechos al trabajo y derechos sindicales, a la alimentación adecuada, al medio ambiente sano, y a los beneficios de la cultura (pág. 75). </w:t>
      </w:r>
      <w:r w:rsidRPr="00135484">
        <w:rPr>
          <w:rFonts w:ascii="Verdana" w:hAnsi="Verdana"/>
          <w:i/>
          <w:sz w:val="16"/>
          <w:szCs w:val="16"/>
          <w:lang w:val="es-CR"/>
        </w:rPr>
        <w:t>Cfr.</w:t>
      </w:r>
      <w:r w:rsidRPr="00135484">
        <w:rPr>
          <w:rFonts w:ascii="Verdana" w:hAnsi="Verdana"/>
          <w:sz w:val="16"/>
          <w:szCs w:val="16"/>
          <w:lang w:val="es-CR"/>
        </w:rPr>
        <w:t xml:space="preserve"> Comité de Derechos Económicos, Sociales y Culturales, </w:t>
      </w:r>
      <w:r w:rsidRPr="00135484">
        <w:rPr>
          <w:rFonts w:ascii="Verdana" w:hAnsi="Verdana"/>
          <w:i/>
          <w:sz w:val="16"/>
          <w:szCs w:val="16"/>
          <w:lang w:val="es-CR"/>
        </w:rPr>
        <w:t xml:space="preserve">Observación General No. 19, </w:t>
      </w:r>
      <w:r w:rsidRPr="00135484">
        <w:rPr>
          <w:rFonts w:ascii="Verdana" w:hAnsi="Verdana"/>
          <w:i/>
          <w:iCs/>
          <w:sz w:val="16"/>
          <w:szCs w:val="16"/>
          <w:lang w:val="es-CR"/>
        </w:rPr>
        <w:t>El derecho a la seguridad social (artículo 9)</w:t>
      </w:r>
      <w:r w:rsidRPr="00135484">
        <w:rPr>
          <w:rFonts w:ascii="Verdana" w:hAnsi="Verdana"/>
          <w:sz w:val="16"/>
          <w:szCs w:val="16"/>
          <w:lang w:val="es-CR"/>
        </w:rPr>
        <w:t>, 4 de febrero de 2008, párr. 42.</w:t>
      </w:r>
    </w:p>
  </w:footnote>
  <w:footnote w:id="20">
    <w:p w:rsidR="00511E10" w:rsidRPr="00D503C7" w:rsidRDefault="00511E10" w:rsidP="00511E10">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Style w:val="Textoennegrita"/>
          <w:rFonts w:ascii="Verdana" w:hAnsi="Verdana"/>
          <w:b w:val="0"/>
          <w:color w:val="000000"/>
          <w:sz w:val="16"/>
          <w:szCs w:val="16"/>
          <w:shd w:val="clear" w:color="auto" w:fill="FFFFFF"/>
        </w:rPr>
        <w:t xml:space="preserve"> </w:t>
      </w:r>
      <w:r w:rsidRPr="00D503C7">
        <w:rPr>
          <w:rFonts w:ascii="Verdana" w:hAnsi="Verdana"/>
          <w:i/>
          <w:sz w:val="16"/>
          <w:szCs w:val="16"/>
        </w:rPr>
        <w:t xml:space="preserve">Cfr. Caso Muelle Flores Vs. Perú. Excepciones Preliminares, Fondo, Reparaciones y Costas. </w:t>
      </w:r>
      <w:r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Pr="00D503C7">
        <w:rPr>
          <w:rFonts w:ascii="Verdana" w:hAnsi="Verdana"/>
          <w:sz w:val="16"/>
          <w:szCs w:val="16"/>
        </w:rPr>
        <w:t xml:space="preserve">, </w:t>
      </w:r>
      <w:proofErr w:type="spellStart"/>
      <w:r w:rsidRPr="00D503C7">
        <w:rPr>
          <w:rFonts w:ascii="Verdana" w:hAnsi="Verdana"/>
          <w:sz w:val="16"/>
          <w:szCs w:val="16"/>
        </w:rPr>
        <w:t>párrs</w:t>
      </w:r>
      <w:proofErr w:type="spellEnd"/>
      <w:r w:rsidRPr="00D503C7">
        <w:rPr>
          <w:rFonts w:ascii="Verdana" w:hAnsi="Verdana"/>
          <w:sz w:val="16"/>
          <w:szCs w:val="16"/>
        </w:rPr>
        <w:t>.</w:t>
      </w:r>
      <w:r>
        <w:rPr>
          <w:rFonts w:ascii="Verdana" w:hAnsi="Verdana"/>
          <w:sz w:val="16"/>
          <w:szCs w:val="16"/>
        </w:rPr>
        <w:t xml:space="preserve"> 190, 191 y 202.</w:t>
      </w:r>
      <w:r w:rsidR="00792F5C">
        <w:rPr>
          <w:rFonts w:ascii="Verdana" w:hAnsi="Verdana"/>
          <w:sz w:val="16"/>
          <w:szCs w:val="16"/>
        </w:rPr>
        <w:t xml:space="preserve"> </w:t>
      </w:r>
    </w:p>
  </w:footnote>
  <w:footnote w:id="21">
    <w:p w:rsidR="002005C7" w:rsidRPr="00CD3D86" w:rsidRDefault="002005C7" w:rsidP="00CD3D86">
      <w:pPr>
        <w:pStyle w:val="Textonotapie"/>
        <w:spacing w:after="120"/>
        <w:jc w:val="both"/>
        <w:rPr>
          <w:rFonts w:ascii="Verdana" w:hAnsi="Verdana"/>
          <w:sz w:val="16"/>
          <w:szCs w:val="16"/>
        </w:rPr>
      </w:pPr>
      <w:r w:rsidRPr="00CD3D86">
        <w:rPr>
          <w:rStyle w:val="Refdenotaalpie"/>
          <w:rFonts w:ascii="Verdana" w:hAnsi="Verdana"/>
          <w:sz w:val="16"/>
          <w:szCs w:val="16"/>
        </w:rPr>
        <w:footnoteRef/>
      </w:r>
      <w:r w:rsidRPr="00CD3D86">
        <w:rPr>
          <w:rFonts w:ascii="Verdana" w:hAnsi="Verdana"/>
          <w:sz w:val="16"/>
          <w:szCs w:val="16"/>
        </w:rPr>
        <w:t xml:space="preserve"> </w:t>
      </w:r>
      <w:r w:rsidRPr="00CD3D86">
        <w:rPr>
          <w:rFonts w:ascii="Verdana" w:hAnsi="Verdana"/>
          <w:sz w:val="16"/>
          <w:szCs w:val="16"/>
        </w:rPr>
        <w:tab/>
        <w:t xml:space="preserve">El señor Muelle Flores adquirió su derecho a la pensión bajo un régimen de contribuciones administrado por el Estado, es decir que adquirió el derecho a recibir una pensión luego de haber realizado aportes durante varios años. La legalidad de su incorporación a dicho régimen fue confirmado a nivel interno. </w:t>
      </w:r>
    </w:p>
  </w:footnote>
  <w:footnote w:id="22">
    <w:p w:rsidR="002005C7" w:rsidRPr="006B2226" w:rsidRDefault="002005C7" w:rsidP="00F47861">
      <w:pPr>
        <w:pStyle w:val="Textonotapie"/>
        <w:spacing w:after="120"/>
        <w:jc w:val="both"/>
        <w:rPr>
          <w:rFonts w:ascii="Verdana" w:hAnsi="Verdana"/>
          <w:sz w:val="16"/>
          <w:szCs w:val="16"/>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 xml:space="preserve">Cfr. Caso Muelle Flores Vs. Perú. Excepciones Preliminares, Fondo, Reparaciones y Costas. </w:t>
      </w:r>
      <w:r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Pr="006B2226">
        <w:rPr>
          <w:rFonts w:ascii="Verdana" w:hAnsi="Verdana"/>
          <w:sz w:val="16"/>
          <w:szCs w:val="16"/>
        </w:rPr>
        <w:t xml:space="preserve">, párr. 207. </w:t>
      </w:r>
    </w:p>
  </w:footnote>
  <w:footnote w:id="23">
    <w:p w:rsidR="002005C7" w:rsidRPr="006B2226" w:rsidRDefault="002005C7" w:rsidP="00F47861">
      <w:pPr>
        <w:pStyle w:val="Textonotapie"/>
        <w:spacing w:after="120"/>
        <w:jc w:val="both"/>
        <w:rPr>
          <w:rFonts w:ascii="Verdana" w:hAnsi="Verdana"/>
          <w:sz w:val="16"/>
          <w:szCs w:val="16"/>
        </w:rPr>
      </w:pPr>
      <w:r w:rsidRPr="001A08D2">
        <w:rPr>
          <w:rStyle w:val="Refdenotaalpie"/>
          <w:rFonts w:ascii="Verdana" w:hAnsi="Verdana"/>
          <w:sz w:val="16"/>
          <w:szCs w:val="16"/>
        </w:rPr>
        <w:footnoteRef/>
      </w:r>
      <w:r w:rsidRPr="001A08D2">
        <w:rPr>
          <w:rFonts w:ascii="Verdana" w:hAnsi="Verdana"/>
          <w:sz w:val="16"/>
          <w:szCs w:val="16"/>
        </w:rPr>
        <w:t xml:space="preserve"> </w:t>
      </w:r>
      <w:r w:rsidRPr="001A08D2">
        <w:rPr>
          <w:rFonts w:ascii="Verdana" w:hAnsi="Verdana"/>
          <w:sz w:val="16"/>
          <w:szCs w:val="16"/>
        </w:rPr>
        <w:tab/>
      </w:r>
      <w:r w:rsidRPr="001A08D2">
        <w:rPr>
          <w:rFonts w:ascii="Verdana" w:hAnsi="Verdana"/>
          <w:i/>
          <w:sz w:val="16"/>
          <w:szCs w:val="16"/>
        </w:rPr>
        <w:t xml:space="preserve">Cfr. Caso Muelle Flores Vs. Perú. Excepciones Preliminares, Fondo, Reparaciones y Costas. </w:t>
      </w:r>
      <w:r w:rsidRPr="001A08D2">
        <w:rPr>
          <w:rFonts w:ascii="Verdana" w:hAnsi="Verdana"/>
          <w:sz w:val="16"/>
          <w:szCs w:val="16"/>
        </w:rPr>
        <w:t xml:space="preserve">Sentencia de 6 de marzo de 2019. Serie C No. </w:t>
      </w:r>
      <w:r w:rsidR="006B2226" w:rsidRPr="001A08D2">
        <w:rPr>
          <w:rFonts w:ascii="Verdana" w:hAnsi="Verdana"/>
          <w:sz w:val="16"/>
          <w:szCs w:val="16"/>
        </w:rPr>
        <w:t>375</w:t>
      </w:r>
      <w:r w:rsidRPr="006B2226">
        <w:rPr>
          <w:rFonts w:ascii="Verdana" w:hAnsi="Verdana"/>
          <w:sz w:val="16"/>
          <w:szCs w:val="16"/>
        </w:rPr>
        <w:t xml:space="preserve">, </w:t>
      </w:r>
      <w:proofErr w:type="spellStart"/>
      <w:r w:rsidRPr="006B2226">
        <w:rPr>
          <w:rFonts w:ascii="Verdana" w:hAnsi="Verdana"/>
          <w:sz w:val="16"/>
          <w:szCs w:val="16"/>
        </w:rPr>
        <w:t>párrs</w:t>
      </w:r>
      <w:proofErr w:type="spellEnd"/>
      <w:r w:rsidRPr="006B2226">
        <w:rPr>
          <w:rFonts w:ascii="Verdana" w:hAnsi="Verdana"/>
          <w:sz w:val="16"/>
          <w:szCs w:val="16"/>
        </w:rPr>
        <w:t>. 204 a 206.</w:t>
      </w:r>
    </w:p>
  </w:footnote>
  <w:footnote w:id="24">
    <w:p w:rsidR="002005C7" w:rsidRPr="006B2226" w:rsidRDefault="002005C7" w:rsidP="00CD3D86">
      <w:pPr>
        <w:pStyle w:val="Textonotapie"/>
        <w:spacing w:after="120"/>
        <w:jc w:val="both"/>
        <w:rPr>
          <w:rFonts w:ascii="Verdana" w:hAnsi="Verdana"/>
          <w:sz w:val="16"/>
          <w:szCs w:val="16"/>
        </w:rPr>
      </w:pPr>
      <w:r w:rsidRPr="001A08D2">
        <w:rPr>
          <w:rStyle w:val="Refdenotaalpie"/>
          <w:rFonts w:ascii="Verdana" w:hAnsi="Verdana"/>
          <w:sz w:val="16"/>
          <w:szCs w:val="16"/>
        </w:rPr>
        <w:footnoteRef/>
      </w:r>
      <w:r w:rsidRPr="001A08D2">
        <w:rPr>
          <w:rFonts w:ascii="Verdana" w:hAnsi="Verdana"/>
          <w:sz w:val="16"/>
          <w:szCs w:val="16"/>
        </w:rPr>
        <w:t xml:space="preserve"> </w:t>
      </w:r>
      <w:r w:rsidRPr="001A08D2">
        <w:rPr>
          <w:rFonts w:ascii="Verdana" w:hAnsi="Verdana"/>
          <w:sz w:val="16"/>
          <w:szCs w:val="16"/>
        </w:rPr>
        <w:tab/>
      </w:r>
      <w:r w:rsidRPr="001A08D2">
        <w:rPr>
          <w:rFonts w:ascii="Verdana" w:hAnsi="Verdana"/>
          <w:i/>
          <w:sz w:val="16"/>
          <w:szCs w:val="16"/>
        </w:rPr>
        <w:t xml:space="preserve">Cfr. Caso Muelle Flores Vs. Perú. Excepciones Preliminares, Fondo, Reparaciones y Costas. </w:t>
      </w:r>
      <w:r w:rsidRPr="001A08D2">
        <w:rPr>
          <w:rFonts w:ascii="Verdana" w:hAnsi="Verdana"/>
          <w:sz w:val="16"/>
          <w:szCs w:val="16"/>
        </w:rPr>
        <w:t xml:space="preserve">Sentencia de 6 de marzo de 2019. Serie C No. </w:t>
      </w:r>
      <w:r w:rsidR="006B2226" w:rsidRPr="001A08D2">
        <w:rPr>
          <w:rFonts w:ascii="Verdana" w:hAnsi="Verdana"/>
          <w:sz w:val="16"/>
          <w:szCs w:val="16"/>
        </w:rPr>
        <w:t>375</w:t>
      </w:r>
      <w:r w:rsidRPr="006B2226">
        <w:rPr>
          <w:rFonts w:ascii="Verdana" w:hAnsi="Verdana"/>
          <w:sz w:val="16"/>
          <w:szCs w:val="16"/>
        </w:rPr>
        <w:t xml:space="preserve">, párr. 204. </w:t>
      </w:r>
    </w:p>
  </w:footnote>
  <w:footnote w:id="25">
    <w:p w:rsidR="002005C7" w:rsidRPr="00D503C7" w:rsidRDefault="002005C7" w:rsidP="00125265">
      <w:pPr>
        <w:pStyle w:val="Textonotapie"/>
        <w:spacing w:after="120"/>
        <w:jc w:val="both"/>
        <w:rPr>
          <w:rFonts w:ascii="Verdana" w:hAnsi="Verdana"/>
          <w:sz w:val="16"/>
          <w:szCs w:val="16"/>
          <w:lang w:val="es-ES"/>
        </w:rPr>
      </w:pPr>
      <w:r w:rsidRPr="001A08D2">
        <w:rPr>
          <w:rStyle w:val="Refdenotaalpie"/>
          <w:rFonts w:ascii="Verdana" w:hAnsi="Verdana"/>
          <w:sz w:val="16"/>
          <w:szCs w:val="16"/>
        </w:rPr>
        <w:footnoteRef/>
      </w:r>
      <w:r w:rsidRPr="001A08D2">
        <w:rPr>
          <w:rFonts w:ascii="Verdana" w:hAnsi="Verdana"/>
          <w:sz w:val="16"/>
          <w:szCs w:val="16"/>
        </w:rPr>
        <w:t xml:space="preserve"> </w:t>
      </w:r>
      <w:r w:rsidRPr="001A08D2">
        <w:rPr>
          <w:rFonts w:ascii="Verdana" w:hAnsi="Verdana"/>
          <w:sz w:val="16"/>
          <w:szCs w:val="16"/>
        </w:rPr>
        <w:tab/>
      </w:r>
      <w:r w:rsidRPr="001A08D2">
        <w:rPr>
          <w:rFonts w:ascii="Verdana" w:hAnsi="Verdana"/>
          <w:i/>
          <w:sz w:val="16"/>
          <w:szCs w:val="16"/>
        </w:rPr>
        <w:t>Cfr.</w:t>
      </w:r>
      <w:r w:rsidR="00792F5C" w:rsidRPr="001A08D2">
        <w:rPr>
          <w:rFonts w:ascii="Verdana" w:hAnsi="Verdana"/>
          <w:i/>
          <w:sz w:val="16"/>
          <w:szCs w:val="16"/>
        </w:rPr>
        <w:t xml:space="preserve"> </w:t>
      </w:r>
      <w:r w:rsidRPr="001A08D2">
        <w:rPr>
          <w:rFonts w:ascii="Verdana" w:hAnsi="Verdana"/>
          <w:i/>
          <w:sz w:val="16"/>
          <w:szCs w:val="16"/>
        </w:rPr>
        <w:t xml:space="preserve">Caso Muelle Flores Vs. Perú. Excepciones Preliminares, Fondo, Reparaciones y Costas. </w:t>
      </w:r>
      <w:r w:rsidRPr="001A08D2">
        <w:rPr>
          <w:rFonts w:ascii="Verdana" w:hAnsi="Verdana"/>
          <w:sz w:val="16"/>
          <w:szCs w:val="16"/>
        </w:rPr>
        <w:t>Sentencia de 6 de marzo de 2019. Serie C No.</w:t>
      </w:r>
      <w:r w:rsidRPr="00D503C7">
        <w:rPr>
          <w:rFonts w:ascii="Verdana" w:hAnsi="Verdana"/>
          <w:sz w:val="16"/>
          <w:szCs w:val="16"/>
        </w:rPr>
        <w:t xml:space="preserve"> </w:t>
      </w:r>
      <w:r w:rsidR="006B2226" w:rsidRPr="001A08D2">
        <w:rPr>
          <w:rFonts w:ascii="Verdana" w:hAnsi="Verdana"/>
          <w:sz w:val="16"/>
          <w:szCs w:val="16"/>
        </w:rPr>
        <w:t>375</w:t>
      </w:r>
      <w:r w:rsidRPr="00D503C7">
        <w:rPr>
          <w:rFonts w:ascii="Verdana" w:hAnsi="Verdana"/>
          <w:sz w:val="16"/>
          <w:szCs w:val="16"/>
        </w:rPr>
        <w:t xml:space="preserve">, párr. </w:t>
      </w:r>
      <w:r w:rsidRPr="00D503C7">
        <w:rPr>
          <w:rFonts w:ascii="Verdana" w:hAnsi="Verdana"/>
          <w:sz w:val="16"/>
          <w:szCs w:val="16"/>
          <w:lang w:val="es-ES"/>
        </w:rPr>
        <w:t>227</w:t>
      </w:r>
    </w:p>
  </w:footnote>
  <w:footnote w:id="26">
    <w:p w:rsidR="002005C7" w:rsidRPr="00D503C7" w:rsidRDefault="002005C7" w:rsidP="00F47861">
      <w:pPr>
        <w:spacing w:after="120"/>
        <w:jc w:val="both"/>
        <w:rPr>
          <w:rFonts w:ascii="Verdana" w:eastAsia="Times" w:hAnsi="Verdana" w:cs="Arial"/>
          <w:sz w:val="16"/>
          <w:szCs w:val="16"/>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t>Adoptada y proclamada por la Resolución de la Asamblea General 217 A (</w:t>
      </w:r>
      <w:r w:rsidR="009835D5">
        <w:rPr>
          <w:rFonts w:ascii="Verdana" w:hAnsi="Verdana"/>
          <w:sz w:val="16"/>
          <w:szCs w:val="16"/>
        </w:rPr>
        <w:t>III</w:t>
      </w:r>
      <w:r w:rsidRPr="00D503C7">
        <w:rPr>
          <w:rFonts w:ascii="Verdana" w:hAnsi="Verdana"/>
          <w:sz w:val="16"/>
          <w:szCs w:val="16"/>
        </w:rPr>
        <w:t>) del 10 de diciembre de 1948 en París. El artículo 25 establece que: “</w:t>
      </w:r>
      <w:r w:rsidRPr="00D503C7">
        <w:rPr>
          <w:rFonts w:ascii="Verdana" w:hAnsi="Verdana"/>
          <w:sz w:val="16"/>
          <w:szCs w:val="16"/>
          <w:shd w:val="clear" w:color="auto" w:fill="FFFFFF"/>
        </w:rPr>
        <w:t>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 2. La maternidad y la infancia tienen derecho a cuidados y asistencia especiales. Todos los niños, nacidos de matrimonio o fuera de matrimonio, tienen derecho a igual protección social”.</w:t>
      </w:r>
    </w:p>
  </w:footnote>
  <w:footnote w:id="27">
    <w:p w:rsidR="002005C7" w:rsidRPr="00D503C7" w:rsidRDefault="002005C7" w:rsidP="00F47861">
      <w:pPr>
        <w:pStyle w:val="Textonotapie"/>
        <w:spacing w:after="120"/>
        <w:jc w:val="both"/>
        <w:rPr>
          <w:rFonts w:ascii="Verdana" w:hAnsi="Verdana"/>
          <w:sz w:val="16"/>
          <w:szCs w:val="16"/>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t>En el presente caso el Tribunal Interamericano recoge el con</w:t>
      </w:r>
      <w:r>
        <w:rPr>
          <w:rFonts w:ascii="Verdana" w:hAnsi="Verdana"/>
          <w:sz w:val="16"/>
          <w:szCs w:val="16"/>
        </w:rPr>
        <w:t>tenido que ha sido desa</w:t>
      </w:r>
      <w:r w:rsidRPr="00D503C7">
        <w:rPr>
          <w:rFonts w:ascii="Verdana" w:hAnsi="Verdana"/>
          <w:sz w:val="16"/>
          <w:szCs w:val="16"/>
        </w:rPr>
        <w:t xml:space="preserve">rrollado por el Comité DESC en la Observación General No. </w:t>
      </w:r>
      <w:r w:rsidR="009835D5">
        <w:rPr>
          <w:rFonts w:ascii="Verdana" w:hAnsi="Verdana"/>
          <w:sz w:val="16"/>
          <w:szCs w:val="16"/>
        </w:rPr>
        <w:t>1</w:t>
      </w:r>
      <w:r w:rsidRPr="00D503C7">
        <w:rPr>
          <w:rFonts w:ascii="Verdana" w:hAnsi="Verdana"/>
          <w:sz w:val="16"/>
          <w:szCs w:val="16"/>
        </w:rPr>
        <w:t xml:space="preserve">9. </w:t>
      </w:r>
    </w:p>
  </w:footnote>
  <w:footnote w:id="28">
    <w:p w:rsidR="002005C7" w:rsidRPr="00CA09C1" w:rsidRDefault="002005C7" w:rsidP="00F47861">
      <w:pPr>
        <w:pStyle w:val="Textonotapie"/>
        <w:spacing w:after="120"/>
        <w:jc w:val="both"/>
        <w:rPr>
          <w:rFonts w:ascii="Verdana" w:hAnsi="Verdana"/>
          <w:sz w:val="16"/>
          <w:szCs w:val="16"/>
          <w:lang w:val="es-PE"/>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lang w:val="es-CR"/>
        </w:rPr>
        <w:t xml:space="preserve">Cfr. </w:t>
      </w:r>
      <w:r w:rsidRPr="00D503C7">
        <w:rPr>
          <w:rFonts w:ascii="Verdana" w:hAnsi="Verdana"/>
          <w:sz w:val="16"/>
          <w:szCs w:val="16"/>
          <w:lang w:val="es-PE"/>
        </w:rPr>
        <w:t xml:space="preserve">ONU, Comité de Derechos Económicos, Sociales y Culturales, Observación General No. 19, </w:t>
      </w:r>
      <w:r w:rsidRPr="00D503C7">
        <w:rPr>
          <w:rFonts w:ascii="Verdana" w:hAnsi="Verdana"/>
          <w:i/>
          <w:iCs/>
          <w:sz w:val="16"/>
          <w:szCs w:val="16"/>
          <w:lang w:val="es-PE"/>
        </w:rPr>
        <w:t>El derecho a la seguridad social (artículo 9)</w:t>
      </w:r>
      <w:r w:rsidRPr="00D503C7">
        <w:rPr>
          <w:rFonts w:ascii="Verdana" w:hAnsi="Verdana"/>
          <w:sz w:val="16"/>
          <w:szCs w:val="16"/>
          <w:lang w:val="es-PE"/>
        </w:rPr>
        <w:t xml:space="preserve">, </w:t>
      </w:r>
      <w:r w:rsidR="00FA716A">
        <w:rPr>
          <w:rFonts w:ascii="Verdana" w:hAnsi="Verdana"/>
          <w:sz w:val="16"/>
          <w:szCs w:val="16"/>
          <w:lang w:val="es-PE"/>
        </w:rPr>
        <w:t>Aprobada el 23 de noviembre de 2007</w:t>
      </w:r>
      <w:r w:rsidRPr="00D503C7">
        <w:rPr>
          <w:rFonts w:ascii="Verdana" w:hAnsi="Verdana"/>
          <w:sz w:val="16"/>
          <w:szCs w:val="16"/>
          <w:lang w:val="es-CR"/>
        </w:rPr>
        <w:t xml:space="preserve">, párr. 2 </w:t>
      </w:r>
      <w:r>
        <w:rPr>
          <w:rFonts w:ascii="Verdana" w:hAnsi="Verdana"/>
          <w:sz w:val="16"/>
          <w:szCs w:val="16"/>
          <w:lang w:val="es-CR"/>
        </w:rPr>
        <w:t>y</w:t>
      </w:r>
      <w:r>
        <w:rPr>
          <w:rFonts w:ascii="Verdana" w:hAnsi="Verdana"/>
          <w:i/>
          <w:sz w:val="16"/>
          <w:szCs w:val="16"/>
        </w:rPr>
        <w:t xml:space="preserve"> Caso Muelle Flores Vs. Perú. Excepciones </w:t>
      </w:r>
      <w:r w:rsidRPr="00CA09C1">
        <w:rPr>
          <w:rFonts w:ascii="Verdana" w:hAnsi="Verdana"/>
          <w:i/>
          <w:sz w:val="16"/>
          <w:szCs w:val="16"/>
        </w:rPr>
        <w:t xml:space="preserve">Preliminares, Fondo, Reparaciones y Costas. </w:t>
      </w:r>
      <w:r w:rsidRPr="00CA09C1">
        <w:rPr>
          <w:rFonts w:ascii="Verdana" w:hAnsi="Verdana"/>
          <w:sz w:val="16"/>
          <w:szCs w:val="16"/>
        </w:rPr>
        <w:t>Sentencia de 6 de marzo de 2019. Serie C No</w:t>
      </w:r>
      <w:r w:rsidRPr="006B2226">
        <w:rPr>
          <w:rFonts w:ascii="Verdana" w:hAnsi="Verdana"/>
          <w:sz w:val="16"/>
          <w:szCs w:val="16"/>
        </w:rPr>
        <w:t xml:space="preserve">. </w:t>
      </w:r>
      <w:r w:rsidR="006B2226" w:rsidRPr="001A08D2">
        <w:rPr>
          <w:rFonts w:ascii="Verdana" w:hAnsi="Verdana"/>
          <w:sz w:val="16"/>
          <w:szCs w:val="16"/>
        </w:rPr>
        <w:t>375</w:t>
      </w:r>
      <w:r w:rsidRPr="00CA09C1">
        <w:rPr>
          <w:rFonts w:ascii="Verdana" w:hAnsi="Verdana"/>
          <w:sz w:val="16"/>
          <w:szCs w:val="16"/>
        </w:rPr>
        <w:t>, párr. 186</w:t>
      </w:r>
    </w:p>
  </w:footnote>
  <w:footnote w:id="29">
    <w:p w:rsidR="002005C7" w:rsidRPr="00CA09C1" w:rsidRDefault="002005C7" w:rsidP="00F47861">
      <w:pPr>
        <w:pStyle w:val="Textonotapie"/>
        <w:spacing w:after="120"/>
        <w:jc w:val="both"/>
        <w:rPr>
          <w:rFonts w:ascii="Verdana" w:hAnsi="Verdana"/>
          <w:sz w:val="16"/>
          <w:szCs w:val="16"/>
          <w:lang w:val="es-CR"/>
        </w:rPr>
      </w:pPr>
      <w:r w:rsidRPr="00CA09C1">
        <w:rPr>
          <w:rStyle w:val="Refdenotaalpie"/>
          <w:rFonts w:ascii="Verdana" w:hAnsi="Verdana"/>
          <w:sz w:val="16"/>
          <w:szCs w:val="16"/>
        </w:rPr>
        <w:footnoteRef/>
      </w:r>
      <w:r w:rsidRPr="00CA09C1">
        <w:rPr>
          <w:rFonts w:ascii="Verdana" w:hAnsi="Verdana"/>
          <w:sz w:val="16"/>
          <w:szCs w:val="16"/>
        </w:rPr>
        <w:t xml:space="preserve"> </w:t>
      </w:r>
      <w:r w:rsidRPr="00CA09C1">
        <w:rPr>
          <w:rFonts w:ascii="Verdana" w:hAnsi="Verdana"/>
          <w:sz w:val="16"/>
          <w:szCs w:val="16"/>
        </w:rPr>
        <w:tab/>
      </w:r>
      <w:r w:rsidRPr="00CA09C1">
        <w:rPr>
          <w:rFonts w:ascii="Verdana" w:hAnsi="Verdana"/>
          <w:i/>
          <w:sz w:val="16"/>
          <w:szCs w:val="16"/>
        </w:rPr>
        <w:t xml:space="preserve">Cfr. Caso Muelle Flores Vs. Perú. Excepciones Preliminares, Fondo, Reparaciones y Costas. </w:t>
      </w:r>
      <w:r w:rsidRPr="00CA09C1">
        <w:rPr>
          <w:rFonts w:ascii="Verdana" w:hAnsi="Verdana"/>
          <w:sz w:val="16"/>
          <w:szCs w:val="16"/>
        </w:rPr>
        <w:t>Sentencia de 6 de marzo de 2019. Serie C No</w:t>
      </w:r>
      <w:r w:rsidRPr="006B2226">
        <w:rPr>
          <w:rFonts w:ascii="Verdana" w:hAnsi="Verdana"/>
          <w:sz w:val="16"/>
          <w:szCs w:val="16"/>
        </w:rPr>
        <w:t xml:space="preserve">. </w:t>
      </w:r>
      <w:r w:rsidR="006B2226" w:rsidRPr="001A08D2">
        <w:rPr>
          <w:rFonts w:ascii="Verdana" w:hAnsi="Verdana"/>
          <w:sz w:val="16"/>
          <w:szCs w:val="16"/>
        </w:rPr>
        <w:t>375</w:t>
      </w:r>
      <w:r w:rsidRPr="006B2226">
        <w:rPr>
          <w:rFonts w:ascii="Verdana" w:hAnsi="Verdana"/>
          <w:sz w:val="16"/>
          <w:szCs w:val="16"/>
        </w:rPr>
        <w:t>,</w:t>
      </w:r>
      <w:r w:rsidRPr="00CA09C1">
        <w:rPr>
          <w:rFonts w:ascii="Verdana" w:hAnsi="Verdana"/>
          <w:sz w:val="16"/>
          <w:szCs w:val="16"/>
        </w:rPr>
        <w:t xml:space="preserve"> </w:t>
      </w:r>
      <w:proofErr w:type="spellStart"/>
      <w:r w:rsidRPr="00CA09C1">
        <w:rPr>
          <w:rFonts w:ascii="Verdana" w:hAnsi="Verdana"/>
          <w:sz w:val="16"/>
          <w:szCs w:val="16"/>
        </w:rPr>
        <w:t>párrs</w:t>
      </w:r>
      <w:proofErr w:type="spellEnd"/>
      <w:r w:rsidRPr="00CA09C1">
        <w:rPr>
          <w:rFonts w:ascii="Verdana" w:hAnsi="Verdana"/>
          <w:sz w:val="16"/>
          <w:szCs w:val="16"/>
        </w:rPr>
        <w:t xml:space="preserve">. 178 a 193. </w:t>
      </w:r>
    </w:p>
  </w:footnote>
  <w:footnote w:id="30">
    <w:p w:rsidR="002005C7" w:rsidRPr="00CA09C1" w:rsidRDefault="002005C7" w:rsidP="00F47861">
      <w:pPr>
        <w:pStyle w:val="Textonotapie"/>
        <w:widowControl w:val="0"/>
        <w:tabs>
          <w:tab w:val="left" w:pos="709"/>
          <w:tab w:val="right" w:pos="1020"/>
        </w:tabs>
        <w:spacing w:after="120"/>
        <w:jc w:val="both"/>
        <w:rPr>
          <w:rFonts w:ascii="Verdana" w:hAnsi="Verdana"/>
          <w:sz w:val="16"/>
          <w:szCs w:val="16"/>
        </w:rPr>
      </w:pPr>
      <w:r w:rsidRPr="00CA09C1">
        <w:rPr>
          <w:rStyle w:val="Refdenotaalpie"/>
          <w:rFonts w:ascii="Verdana" w:hAnsi="Verdana"/>
          <w:sz w:val="16"/>
          <w:szCs w:val="16"/>
        </w:rPr>
        <w:footnoteRef/>
      </w:r>
      <w:r w:rsidRPr="00CA09C1">
        <w:rPr>
          <w:rFonts w:ascii="Verdana" w:hAnsi="Verdana"/>
          <w:sz w:val="16"/>
          <w:szCs w:val="16"/>
        </w:rPr>
        <w:t xml:space="preserve"> </w:t>
      </w:r>
      <w:r w:rsidRPr="00CA09C1">
        <w:rPr>
          <w:rFonts w:ascii="Verdana" w:hAnsi="Verdana"/>
          <w:sz w:val="16"/>
          <w:szCs w:val="16"/>
        </w:rPr>
        <w:tab/>
      </w:r>
      <w:r w:rsidRPr="00CA09C1">
        <w:rPr>
          <w:rFonts w:ascii="Verdana" w:hAnsi="Verdana"/>
          <w:i/>
          <w:sz w:val="16"/>
          <w:szCs w:val="16"/>
        </w:rPr>
        <w:t>Caso Trujillo Calero Vs. Ecuador</w:t>
      </w:r>
      <w:r w:rsidRPr="00CA09C1">
        <w:rPr>
          <w:rFonts w:ascii="Verdana" w:hAnsi="Verdana"/>
          <w:sz w:val="16"/>
          <w:szCs w:val="16"/>
        </w:rPr>
        <w:t>, comunicación 10/2015,</w:t>
      </w:r>
      <w:r w:rsidR="00792F5C">
        <w:rPr>
          <w:rFonts w:ascii="Verdana" w:hAnsi="Verdana"/>
          <w:sz w:val="16"/>
          <w:szCs w:val="16"/>
        </w:rPr>
        <w:t xml:space="preserve"> </w:t>
      </w:r>
      <w:r w:rsidRPr="00CA09C1">
        <w:rPr>
          <w:rFonts w:ascii="Verdana" w:hAnsi="Verdana"/>
          <w:sz w:val="16"/>
          <w:szCs w:val="16"/>
        </w:rPr>
        <w:t xml:space="preserve">E/C.12/63/D/10/2015, 26 de marzo de 2018, párr. 11.1. Véase en igual sentido: </w:t>
      </w:r>
      <w:r w:rsidRPr="00CA09C1">
        <w:rPr>
          <w:rFonts w:ascii="Verdana" w:hAnsi="Verdana"/>
          <w:sz w:val="16"/>
          <w:szCs w:val="16"/>
          <w:lang w:val="es-PE"/>
        </w:rPr>
        <w:t xml:space="preserve">ONU, Comité de Derechos Económicos, Sociales y Culturales, Observación General No. 19, </w:t>
      </w:r>
      <w:r w:rsidRPr="00CA09C1">
        <w:rPr>
          <w:rFonts w:ascii="Verdana" w:hAnsi="Verdana"/>
          <w:i/>
          <w:iCs/>
          <w:sz w:val="16"/>
          <w:szCs w:val="16"/>
          <w:lang w:val="es-PE"/>
        </w:rPr>
        <w:t>El derecho a la seguridad social (artículo 9)</w:t>
      </w:r>
      <w:r w:rsidRPr="00CA09C1">
        <w:rPr>
          <w:rFonts w:ascii="Verdana" w:hAnsi="Verdana"/>
          <w:sz w:val="16"/>
          <w:szCs w:val="16"/>
          <w:lang w:val="es-PE"/>
        </w:rPr>
        <w:t xml:space="preserve">, 4 de </w:t>
      </w:r>
      <w:r w:rsidRPr="00CA09C1">
        <w:rPr>
          <w:rFonts w:ascii="Verdana" w:hAnsi="Verdana"/>
          <w:sz w:val="16"/>
          <w:szCs w:val="16"/>
          <w:lang w:val="es-CR"/>
        </w:rPr>
        <w:t xml:space="preserve">febrero de 2008, </w:t>
      </w:r>
      <w:r w:rsidRPr="00CA09C1">
        <w:rPr>
          <w:rFonts w:ascii="Verdana" w:hAnsi="Verdana"/>
          <w:sz w:val="16"/>
          <w:szCs w:val="16"/>
        </w:rPr>
        <w:t xml:space="preserve">párrs. 1 a 3; y </w:t>
      </w:r>
      <w:r w:rsidRPr="00CA09C1">
        <w:rPr>
          <w:rFonts w:ascii="Verdana" w:hAnsi="Verdana"/>
          <w:i/>
          <w:sz w:val="16"/>
          <w:szCs w:val="16"/>
        </w:rPr>
        <w:t xml:space="preserve">López Rodríguez c. </w:t>
      </w:r>
      <w:r w:rsidRPr="00CA09C1">
        <w:rPr>
          <w:rFonts w:ascii="Verdana" w:hAnsi="Verdana"/>
          <w:i/>
          <w:iCs/>
          <w:sz w:val="16"/>
          <w:szCs w:val="16"/>
        </w:rPr>
        <w:t>España</w:t>
      </w:r>
      <w:r w:rsidRPr="00CA09C1">
        <w:rPr>
          <w:rFonts w:ascii="Verdana" w:hAnsi="Verdana"/>
          <w:sz w:val="16"/>
          <w:szCs w:val="16"/>
        </w:rPr>
        <w:t xml:space="preserve">, comunicación 1/2013, E/C.12/57/D/1/2013, 20 de abril de 2016, párrs. 10.1 y 10.2. </w:t>
      </w:r>
    </w:p>
  </w:footnote>
  <w:footnote w:id="31">
    <w:p w:rsidR="002005C7" w:rsidRPr="00D503C7" w:rsidRDefault="002005C7" w:rsidP="00F47861">
      <w:pPr>
        <w:pStyle w:val="Textonotapie"/>
        <w:spacing w:after="120"/>
        <w:jc w:val="both"/>
        <w:rPr>
          <w:rFonts w:ascii="Verdana" w:hAnsi="Verdana"/>
          <w:sz w:val="16"/>
          <w:szCs w:val="16"/>
          <w:lang w:val="en-US"/>
        </w:rPr>
      </w:pPr>
      <w:r w:rsidRPr="00CA09C1">
        <w:rPr>
          <w:rStyle w:val="Refdenotaalpie"/>
          <w:rFonts w:ascii="Verdana" w:hAnsi="Verdana"/>
          <w:sz w:val="16"/>
          <w:szCs w:val="16"/>
        </w:rPr>
        <w:footnoteRef/>
      </w:r>
      <w:r w:rsidRPr="00CA09C1">
        <w:rPr>
          <w:rFonts w:ascii="Verdana" w:hAnsi="Verdana"/>
          <w:sz w:val="16"/>
          <w:szCs w:val="16"/>
        </w:rPr>
        <w:tab/>
      </w:r>
      <w:r w:rsidRPr="00CA09C1">
        <w:rPr>
          <w:rFonts w:ascii="Verdana" w:hAnsi="Verdana"/>
          <w:i/>
          <w:sz w:val="16"/>
          <w:szCs w:val="16"/>
        </w:rPr>
        <w:t>Cfr.</w:t>
      </w:r>
      <w:r w:rsidRPr="00CA09C1">
        <w:rPr>
          <w:rFonts w:ascii="Verdana" w:hAnsi="Verdana"/>
          <w:sz w:val="16"/>
          <w:szCs w:val="16"/>
        </w:rPr>
        <w:t xml:space="preserve"> Observación General No. 6 (1995) </w:t>
      </w:r>
      <w:r w:rsidRPr="002706F2">
        <w:rPr>
          <w:rFonts w:ascii="Verdana" w:hAnsi="Verdana"/>
          <w:i/>
          <w:sz w:val="16"/>
          <w:szCs w:val="16"/>
        </w:rPr>
        <w:t>Sobre los derechos económicos, sociales y culturales de las personas mayores</w:t>
      </w:r>
      <w:r w:rsidRPr="00D503C7">
        <w:rPr>
          <w:rFonts w:ascii="Verdana" w:hAnsi="Verdana"/>
          <w:sz w:val="16"/>
          <w:szCs w:val="16"/>
        </w:rPr>
        <w:t>, párr. </w:t>
      </w:r>
      <w:r w:rsidRPr="00D503C7">
        <w:rPr>
          <w:rFonts w:ascii="Verdana" w:hAnsi="Verdana"/>
          <w:sz w:val="16"/>
          <w:szCs w:val="16"/>
          <w:lang w:val="es-CR"/>
        </w:rPr>
        <w:t xml:space="preserve">10, y </w:t>
      </w:r>
      <w:r w:rsidRPr="00D503C7">
        <w:rPr>
          <w:rFonts w:ascii="Verdana" w:hAnsi="Verdana"/>
          <w:i/>
          <w:sz w:val="16"/>
          <w:szCs w:val="16"/>
          <w:lang w:val="es-CR"/>
        </w:rPr>
        <w:t xml:space="preserve">Cfr. </w:t>
      </w:r>
      <w:r w:rsidRPr="00D503C7">
        <w:rPr>
          <w:rFonts w:ascii="Verdana" w:hAnsi="Verdana"/>
          <w:sz w:val="16"/>
          <w:szCs w:val="16"/>
          <w:lang w:val="es-PE"/>
        </w:rPr>
        <w:t xml:space="preserve">ONU, Comité de Derechos Económicos, Sociales y Culturales, Observación General No. 19, </w:t>
      </w:r>
      <w:r w:rsidRPr="00D503C7">
        <w:rPr>
          <w:rFonts w:ascii="Verdana" w:hAnsi="Verdana"/>
          <w:i/>
          <w:iCs/>
          <w:sz w:val="16"/>
          <w:szCs w:val="16"/>
          <w:lang w:val="es-PE"/>
        </w:rPr>
        <w:t>El derecho a la seguridad social (artículo 9)</w:t>
      </w:r>
      <w:r w:rsidRPr="00D503C7">
        <w:rPr>
          <w:rFonts w:ascii="Verdana" w:hAnsi="Verdana"/>
          <w:sz w:val="16"/>
          <w:szCs w:val="16"/>
          <w:lang w:val="es-PE"/>
        </w:rPr>
        <w:t xml:space="preserve">, 4 de </w:t>
      </w:r>
      <w:r w:rsidRPr="00D503C7">
        <w:rPr>
          <w:rFonts w:ascii="Verdana" w:hAnsi="Verdana"/>
          <w:sz w:val="16"/>
          <w:szCs w:val="16"/>
          <w:lang w:val="es-CR"/>
        </w:rPr>
        <w:t>febrero de 2008, párr. </w:t>
      </w:r>
      <w:r w:rsidRPr="00D503C7">
        <w:rPr>
          <w:rFonts w:ascii="Verdana" w:hAnsi="Verdana"/>
          <w:sz w:val="16"/>
          <w:szCs w:val="16"/>
          <w:lang w:val="en-US"/>
        </w:rPr>
        <w:t xml:space="preserve">10. </w:t>
      </w:r>
    </w:p>
  </w:footnote>
  <w:footnote w:id="32">
    <w:p w:rsidR="002005C7" w:rsidRPr="00D503C7" w:rsidRDefault="002005C7" w:rsidP="00F47861">
      <w:pPr>
        <w:pStyle w:val="Textonotapie"/>
        <w:spacing w:after="120"/>
        <w:jc w:val="both"/>
        <w:rPr>
          <w:rFonts w:ascii="Verdana" w:hAnsi="Verdana" w:cs="Arial"/>
          <w:sz w:val="16"/>
          <w:szCs w:val="16"/>
          <w:lang w:val="en-US"/>
        </w:rPr>
      </w:pPr>
      <w:r w:rsidRPr="00D503C7">
        <w:rPr>
          <w:rStyle w:val="Refdenotaalpie"/>
          <w:rFonts w:ascii="Verdana" w:hAnsi="Verdana" w:cs="Arial"/>
          <w:sz w:val="16"/>
          <w:szCs w:val="16"/>
        </w:rPr>
        <w:footnoteRef/>
      </w:r>
      <w:r w:rsidRPr="00D503C7">
        <w:rPr>
          <w:rFonts w:ascii="Verdana" w:hAnsi="Verdana" w:cs="Arial"/>
          <w:sz w:val="16"/>
          <w:szCs w:val="16"/>
          <w:lang w:val="en-US"/>
        </w:rPr>
        <w:t xml:space="preserve"> </w:t>
      </w:r>
      <w:r w:rsidRPr="00D503C7">
        <w:rPr>
          <w:rFonts w:ascii="Verdana" w:hAnsi="Verdana" w:cs="Arial"/>
          <w:sz w:val="16"/>
          <w:szCs w:val="16"/>
          <w:lang w:val="en-US"/>
        </w:rPr>
        <w:tab/>
      </w:r>
      <w:proofErr w:type="spellStart"/>
      <w:r w:rsidRPr="00D503C7">
        <w:rPr>
          <w:rFonts w:ascii="Verdana" w:hAnsi="Verdana" w:cs="Arial"/>
          <w:i/>
          <w:sz w:val="16"/>
          <w:szCs w:val="16"/>
          <w:lang w:val="en-US"/>
        </w:rPr>
        <w:t>Cfr</w:t>
      </w:r>
      <w:proofErr w:type="spellEnd"/>
      <w:r w:rsidRPr="00D503C7">
        <w:rPr>
          <w:rFonts w:ascii="Verdana" w:hAnsi="Verdana" w:cs="Arial"/>
          <w:sz w:val="16"/>
          <w:szCs w:val="16"/>
          <w:lang w:val="en-US"/>
        </w:rPr>
        <w:t xml:space="preserve">. </w:t>
      </w:r>
      <w:proofErr w:type="spellStart"/>
      <w:r w:rsidRPr="00D503C7">
        <w:rPr>
          <w:rFonts w:ascii="Verdana" w:hAnsi="Verdana" w:cs="Arial"/>
          <w:sz w:val="16"/>
          <w:szCs w:val="16"/>
          <w:lang w:val="en-US"/>
        </w:rPr>
        <w:t>Alemahu</w:t>
      </w:r>
      <w:proofErr w:type="spellEnd"/>
      <w:r w:rsidRPr="00D503C7">
        <w:rPr>
          <w:rFonts w:ascii="Verdana" w:hAnsi="Verdana" w:cs="Arial"/>
          <w:sz w:val="16"/>
          <w:szCs w:val="16"/>
          <w:lang w:val="en-US"/>
        </w:rPr>
        <w:t xml:space="preserve"> </w:t>
      </w:r>
      <w:proofErr w:type="spellStart"/>
      <w:r w:rsidRPr="00D503C7">
        <w:rPr>
          <w:rFonts w:ascii="Verdana" w:hAnsi="Verdana" w:cs="Arial"/>
          <w:sz w:val="16"/>
          <w:szCs w:val="16"/>
          <w:lang w:val="en-US"/>
        </w:rPr>
        <w:t>Yeshanew</w:t>
      </w:r>
      <w:proofErr w:type="spellEnd"/>
      <w:r w:rsidRPr="00D503C7">
        <w:rPr>
          <w:rFonts w:ascii="Verdana" w:hAnsi="Verdana" w:cs="Arial"/>
          <w:sz w:val="16"/>
          <w:szCs w:val="16"/>
          <w:lang w:val="en-US"/>
        </w:rPr>
        <w:t xml:space="preserve">, </w:t>
      </w:r>
      <w:proofErr w:type="spellStart"/>
      <w:r w:rsidRPr="00D503C7">
        <w:rPr>
          <w:rFonts w:ascii="Verdana" w:hAnsi="Verdana" w:cs="Arial"/>
          <w:sz w:val="16"/>
          <w:szCs w:val="16"/>
          <w:lang w:val="en-US"/>
        </w:rPr>
        <w:t>Sisay</w:t>
      </w:r>
      <w:proofErr w:type="spellEnd"/>
      <w:r w:rsidRPr="00D503C7">
        <w:rPr>
          <w:rFonts w:ascii="Verdana" w:hAnsi="Verdana" w:cs="Arial"/>
          <w:sz w:val="16"/>
          <w:szCs w:val="16"/>
          <w:lang w:val="en-US"/>
        </w:rPr>
        <w:t xml:space="preserve">, </w:t>
      </w:r>
      <w:r w:rsidRPr="00D503C7">
        <w:rPr>
          <w:rFonts w:ascii="Verdana" w:hAnsi="Verdana" w:cs="Arial"/>
          <w:i/>
          <w:sz w:val="16"/>
          <w:szCs w:val="16"/>
          <w:lang w:val="en-US"/>
        </w:rPr>
        <w:t>The Justiciability of Economi</w:t>
      </w:r>
      <w:r>
        <w:rPr>
          <w:rFonts w:ascii="Verdana" w:hAnsi="Verdana" w:cs="Arial"/>
          <w:i/>
          <w:sz w:val="16"/>
          <w:szCs w:val="16"/>
          <w:lang w:val="en-US"/>
        </w:rPr>
        <w:t>c</w:t>
      </w:r>
      <w:r w:rsidRPr="00D503C7">
        <w:rPr>
          <w:rFonts w:ascii="Verdana" w:hAnsi="Verdana" w:cs="Arial"/>
          <w:i/>
          <w:sz w:val="16"/>
          <w:szCs w:val="16"/>
          <w:lang w:val="en-US"/>
        </w:rPr>
        <w:t xml:space="preserve">s, Social and Cultural Rights in the African Regional Human Rights System, </w:t>
      </w:r>
      <w:r>
        <w:rPr>
          <w:rFonts w:ascii="Verdana" w:hAnsi="Verdana" w:cs="Arial"/>
          <w:sz w:val="16"/>
          <w:szCs w:val="16"/>
          <w:lang w:val="en-US"/>
        </w:rPr>
        <w:t>Intersentia, Cambrige, 2013, pág</w:t>
      </w:r>
      <w:r w:rsidRPr="00D503C7">
        <w:rPr>
          <w:rFonts w:ascii="Verdana" w:hAnsi="Verdana" w:cs="Arial"/>
          <w:sz w:val="16"/>
          <w:szCs w:val="16"/>
          <w:lang w:val="en-US"/>
        </w:rPr>
        <w:t xml:space="preserve">. 241. </w:t>
      </w:r>
    </w:p>
  </w:footnote>
  <w:footnote w:id="33">
    <w:p w:rsidR="00650596" w:rsidRPr="00391ACB" w:rsidRDefault="00650596" w:rsidP="00650596">
      <w:pPr>
        <w:pStyle w:val="Textonotapie"/>
        <w:spacing w:after="120"/>
        <w:jc w:val="both"/>
        <w:rPr>
          <w:rFonts w:ascii="Verdana" w:hAnsi="Verdana"/>
          <w:sz w:val="16"/>
          <w:szCs w:val="16"/>
          <w:lang w:val="en-US"/>
        </w:rPr>
      </w:pPr>
      <w:r w:rsidRPr="00D503C7">
        <w:rPr>
          <w:rStyle w:val="Refdenotaalpie"/>
          <w:rFonts w:ascii="Verdana" w:hAnsi="Verdana"/>
          <w:sz w:val="16"/>
          <w:szCs w:val="16"/>
        </w:rPr>
        <w:footnoteRef/>
      </w:r>
      <w:r w:rsidRPr="00391ACB">
        <w:rPr>
          <w:rFonts w:ascii="Verdana" w:hAnsi="Verdana"/>
          <w:sz w:val="16"/>
          <w:szCs w:val="16"/>
          <w:lang w:val="en-US"/>
        </w:rPr>
        <w:t xml:space="preserve"> </w:t>
      </w:r>
      <w:r w:rsidRPr="00391ACB">
        <w:rPr>
          <w:rFonts w:ascii="Verdana" w:hAnsi="Verdana"/>
          <w:sz w:val="16"/>
          <w:szCs w:val="16"/>
          <w:lang w:val="en-US"/>
        </w:rPr>
        <w:tab/>
      </w:r>
      <w:r w:rsidR="00391ACB" w:rsidRPr="00391ACB">
        <w:rPr>
          <w:rFonts w:ascii="Verdana" w:hAnsi="Verdana"/>
          <w:i/>
          <w:sz w:val="16"/>
          <w:szCs w:val="16"/>
          <w:lang w:val="en-US"/>
        </w:rPr>
        <w:t>Proto</w:t>
      </w:r>
      <w:r w:rsidR="000600F1">
        <w:rPr>
          <w:rFonts w:ascii="Verdana" w:hAnsi="Verdana"/>
          <w:i/>
          <w:sz w:val="16"/>
          <w:szCs w:val="16"/>
          <w:lang w:val="en-US"/>
        </w:rPr>
        <w:t>co</w:t>
      </w:r>
      <w:r w:rsidR="00391ACB" w:rsidRPr="00391ACB">
        <w:rPr>
          <w:rFonts w:ascii="Verdana" w:hAnsi="Verdana"/>
          <w:i/>
          <w:sz w:val="16"/>
          <w:szCs w:val="16"/>
          <w:lang w:val="en-US"/>
        </w:rPr>
        <w:t>l to the African Charter on Human and People’s Rights on the Rights of Older Persons in Africa</w:t>
      </w:r>
      <w:r w:rsidR="000600F1">
        <w:rPr>
          <w:rFonts w:ascii="Verdana" w:hAnsi="Verdana"/>
          <w:sz w:val="16"/>
          <w:szCs w:val="16"/>
          <w:lang w:val="en-US"/>
        </w:rPr>
        <w:t>,</w:t>
      </w:r>
      <w:r w:rsidRPr="00391ACB">
        <w:rPr>
          <w:rFonts w:ascii="Verdana" w:hAnsi="Verdana"/>
          <w:sz w:val="16"/>
          <w:szCs w:val="16"/>
          <w:lang w:val="en-US"/>
        </w:rPr>
        <w:t xml:space="preserve"> adoptado el 31 de julio de 2016, en Addis Abeba, Etiopia. </w:t>
      </w:r>
    </w:p>
  </w:footnote>
  <w:footnote w:id="34">
    <w:p w:rsidR="002005C7" w:rsidRPr="00D503C7" w:rsidRDefault="002005C7" w:rsidP="00F47861">
      <w:pPr>
        <w:pStyle w:val="Textonotapie"/>
        <w:spacing w:after="120"/>
        <w:jc w:val="both"/>
        <w:rPr>
          <w:rFonts w:ascii="Verdana" w:hAnsi="Verdana"/>
          <w:sz w:val="16"/>
          <w:szCs w:val="16"/>
          <w:lang w:val="es-CR"/>
        </w:rPr>
      </w:pPr>
      <w:r w:rsidRPr="000447B4">
        <w:rPr>
          <w:rStyle w:val="Refdenotaalpie"/>
          <w:rFonts w:ascii="Verdana" w:hAnsi="Verdana"/>
          <w:sz w:val="16"/>
          <w:szCs w:val="16"/>
        </w:rPr>
        <w:footnoteRef/>
      </w:r>
      <w:r w:rsidRPr="000447B4">
        <w:rPr>
          <w:rFonts w:ascii="Verdana" w:hAnsi="Verdana"/>
          <w:sz w:val="16"/>
          <w:szCs w:val="16"/>
        </w:rPr>
        <w:t xml:space="preserve"> </w:t>
      </w:r>
      <w:r w:rsidRPr="000447B4">
        <w:rPr>
          <w:rFonts w:ascii="Verdana" w:hAnsi="Verdana"/>
          <w:sz w:val="16"/>
          <w:szCs w:val="16"/>
        </w:rPr>
        <w:tab/>
      </w:r>
      <w:r w:rsidR="000447B4" w:rsidRPr="000447B4">
        <w:rPr>
          <w:rFonts w:ascii="Verdana" w:hAnsi="Verdana"/>
          <w:i/>
          <w:sz w:val="16"/>
          <w:szCs w:val="16"/>
        </w:rPr>
        <w:t>Cfr.</w:t>
      </w:r>
      <w:r w:rsidR="000447B4" w:rsidRPr="000447B4">
        <w:rPr>
          <w:rFonts w:ascii="Verdana" w:hAnsi="Verdana"/>
          <w:sz w:val="16"/>
          <w:szCs w:val="16"/>
        </w:rPr>
        <w:t xml:space="preserve"> </w:t>
      </w:r>
      <w:proofErr w:type="spellStart"/>
      <w:r w:rsidR="000447B4" w:rsidRPr="000447B4">
        <w:rPr>
          <w:rFonts w:ascii="Verdana" w:hAnsi="Verdana"/>
          <w:color w:val="000000"/>
          <w:sz w:val="16"/>
          <w:szCs w:val="16"/>
          <w:shd w:val="clear" w:color="auto" w:fill="FFFFFF"/>
        </w:rPr>
        <w:t>Santolaya</w:t>
      </w:r>
      <w:proofErr w:type="spellEnd"/>
      <w:r w:rsidR="000447B4" w:rsidRPr="000447B4">
        <w:rPr>
          <w:rFonts w:ascii="Verdana" w:hAnsi="Verdana"/>
          <w:color w:val="000000"/>
          <w:sz w:val="16"/>
          <w:szCs w:val="16"/>
          <w:shd w:val="clear" w:color="auto" w:fill="FFFFFF"/>
        </w:rPr>
        <w:t xml:space="preserve"> </w:t>
      </w:r>
      <w:proofErr w:type="spellStart"/>
      <w:r w:rsidR="000447B4" w:rsidRPr="000447B4">
        <w:rPr>
          <w:rFonts w:ascii="Verdana" w:hAnsi="Verdana"/>
          <w:color w:val="000000"/>
          <w:sz w:val="16"/>
          <w:szCs w:val="16"/>
          <w:shd w:val="clear" w:color="auto" w:fill="FFFFFF"/>
        </w:rPr>
        <w:t>Machetti</w:t>
      </w:r>
      <w:proofErr w:type="spellEnd"/>
      <w:r w:rsidR="000447B4" w:rsidRPr="000447B4">
        <w:rPr>
          <w:rFonts w:ascii="Verdana" w:hAnsi="Verdana"/>
          <w:color w:val="000000"/>
          <w:sz w:val="16"/>
          <w:szCs w:val="16"/>
          <w:shd w:val="clear" w:color="auto" w:fill="FFFFFF"/>
        </w:rPr>
        <w:t xml:space="preserve">, Pablo y Díaz Ricci, Sergio M., “Los Derechos Económicos, Sociales y Culturales y la protección de grupos vulnerables”, </w:t>
      </w:r>
      <w:r w:rsidR="000447B4">
        <w:rPr>
          <w:rFonts w:ascii="Verdana" w:hAnsi="Verdana"/>
          <w:color w:val="000000"/>
          <w:sz w:val="16"/>
          <w:szCs w:val="16"/>
          <w:shd w:val="clear" w:color="auto" w:fill="FFFFFF"/>
        </w:rPr>
        <w:t>en Canosa Usera, Raúl,</w:t>
      </w:r>
      <w:r w:rsidR="00792F5C">
        <w:rPr>
          <w:rFonts w:ascii="Verdana" w:hAnsi="Verdana"/>
          <w:color w:val="000000"/>
          <w:sz w:val="16"/>
          <w:szCs w:val="16"/>
          <w:shd w:val="clear" w:color="auto" w:fill="FFFFFF"/>
        </w:rPr>
        <w:t xml:space="preserve"> </w:t>
      </w:r>
      <w:r w:rsidR="000447B4" w:rsidRPr="000447B4">
        <w:rPr>
          <w:rFonts w:ascii="Verdana" w:hAnsi="Verdana"/>
          <w:color w:val="000000"/>
          <w:sz w:val="16"/>
          <w:szCs w:val="16"/>
          <w:shd w:val="clear" w:color="auto" w:fill="FFFFFF"/>
        </w:rPr>
        <w:t>F</w:t>
      </w:r>
      <w:r w:rsidR="000447B4">
        <w:rPr>
          <w:rFonts w:ascii="Verdana" w:hAnsi="Verdana"/>
          <w:color w:val="000000"/>
          <w:sz w:val="16"/>
          <w:szCs w:val="16"/>
          <w:shd w:val="clear" w:color="auto" w:fill="FFFFFF"/>
        </w:rPr>
        <w:t>ernández Sánchez, Pablo Antonio,</w:t>
      </w:r>
      <w:r w:rsidR="000447B4" w:rsidRPr="000447B4">
        <w:rPr>
          <w:rFonts w:ascii="Verdana" w:hAnsi="Verdana"/>
          <w:color w:val="000000"/>
          <w:sz w:val="16"/>
          <w:szCs w:val="16"/>
          <w:shd w:val="clear" w:color="auto" w:fill="FFFFFF"/>
        </w:rPr>
        <w:t xml:space="preserve"> García Ro</w:t>
      </w:r>
      <w:r w:rsidR="000447B4">
        <w:rPr>
          <w:rFonts w:ascii="Verdana" w:hAnsi="Verdana"/>
          <w:color w:val="000000"/>
          <w:sz w:val="16"/>
          <w:szCs w:val="16"/>
          <w:shd w:val="clear" w:color="auto" w:fill="FFFFFF"/>
        </w:rPr>
        <w:t xml:space="preserve">ca, Javier y </w:t>
      </w:r>
      <w:proofErr w:type="spellStart"/>
      <w:r w:rsidR="000447B4">
        <w:rPr>
          <w:rFonts w:ascii="Verdana" w:hAnsi="Verdana"/>
          <w:color w:val="000000"/>
          <w:sz w:val="16"/>
          <w:szCs w:val="16"/>
          <w:shd w:val="clear" w:color="auto" w:fill="FFFFFF"/>
        </w:rPr>
        <w:t>Santolaya</w:t>
      </w:r>
      <w:proofErr w:type="spellEnd"/>
      <w:r w:rsidR="000447B4">
        <w:rPr>
          <w:rFonts w:ascii="Verdana" w:hAnsi="Verdana"/>
          <w:color w:val="000000"/>
          <w:sz w:val="16"/>
          <w:szCs w:val="16"/>
          <w:shd w:val="clear" w:color="auto" w:fill="FFFFFF"/>
        </w:rPr>
        <w:t xml:space="preserve"> </w:t>
      </w:r>
      <w:proofErr w:type="spellStart"/>
      <w:r w:rsidR="000447B4">
        <w:rPr>
          <w:rFonts w:ascii="Verdana" w:hAnsi="Verdana"/>
          <w:color w:val="000000"/>
          <w:sz w:val="16"/>
          <w:szCs w:val="16"/>
          <w:shd w:val="clear" w:color="auto" w:fill="FFFFFF"/>
        </w:rPr>
        <w:t>Machetti</w:t>
      </w:r>
      <w:proofErr w:type="spellEnd"/>
      <w:r w:rsidR="000447B4">
        <w:rPr>
          <w:rFonts w:ascii="Verdana" w:hAnsi="Verdana"/>
          <w:color w:val="000000"/>
          <w:sz w:val="16"/>
          <w:szCs w:val="16"/>
          <w:shd w:val="clear" w:color="auto" w:fill="FFFFFF"/>
        </w:rPr>
        <w:t xml:space="preserve">, </w:t>
      </w:r>
      <w:r w:rsidR="000447B4" w:rsidRPr="000447B4">
        <w:rPr>
          <w:rFonts w:ascii="Verdana" w:hAnsi="Verdana"/>
          <w:color w:val="000000"/>
          <w:sz w:val="16"/>
          <w:szCs w:val="16"/>
          <w:shd w:val="clear" w:color="auto" w:fill="FFFFFF"/>
        </w:rPr>
        <w:t>Pablo (</w:t>
      </w:r>
      <w:proofErr w:type="spellStart"/>
      <w:r w:rsidR="000447B4" w:rsidRPr="000447B4">
        <w:rPr>
          <w:rFonts w:ascii="Verdana" w:hAnsi="Verdana"/>
          <w:color w:val="000000"/>
          <w:sz w:val="16"/>
          <w:szCs w:val="16"/>
          <w:shd w:val="clear" w:color="auto" w:fill="FFFFFF"/>
        </w:rPr>
        <w:t>Coords</w:t>
      </w:r>
      <w:proofErr w:type="spellEnd"/>
      <w:r w:rsidR="000447B4" w:rsidRPr="000447B4">
        <w:rPr>
          <w:rFonts w:ascii="Verdana" w:hAnsi="Verdana"/>
          <w:color w:val="000000"/>
          <w:sz w:val="16"/>
          <w:szCs w:val="16"/>
          <w:shd w:val="clear" w:color="auto" w:fill="FFFFFF"/>
        </w:rPr>
        <w:t>.), </w:t>
      </w:r>
      <w:r w:rsidR="000447B4" w:rsidRPr="000447B4">
        <w:rPr>
          <w:rFonts w:ascii="Verdana" w:hAnsi="Verdana"/>
          <w:i/>
          <w:iCs/>
          <w:color w:val="000000"/>
          <w:sz w:val="16"/>
          <w:szCs w:val="16"/>
          <w:shd w:val="clear" w:color="auto" w:fill="FFFFFF"/>
        </w:rPr>
        <w:t>El Diálogo entre los Sistemas Europeo y Americano de Derechos Humanos, </w:t>
      </w:r>
      <w:r w:rsidR="000447B4" w:rsidRPr="000447B4">
        <w:rPr>
          <w:rFonts w:ascii="Verdana" w:hAnsi="Verdana"/>
          <w:color w:val="000000"/>
          <w:sz w:val="16"/>
          <w:szCs w:val="16"/>
          <w:shd w:val="clear" w:color="auto" w:fill="FFFFFF"/>
        </w:rPr>
        <w:t>Lima</w:t>
      </w:r>
      <w:r w:rsidR="000447B4">
        <w:rPr>
          <w:rFonts w:ascii="Verdana" w:hAnsi="Verdana"/>
          <w:color w:val="000000"/>
          <w:sz w:val="16"/>
          <w:szCs w:val="16"/>
          <w:shd w:val="clear" w:color="auto" w:fill="FFFFFF"/>
        </w:rPr>
        <w:t>, ECB Ediciones S. A. C., 2015, p. 303.</w:t>
      </w:r>
      <w:r w:rsidRPr="00D503C7">
        <w:rPr>
          <w:rFonts w:ascii="Verdana" w:hAnsi="Verdana"/>
          <w:sz w:val="16"/>
          <w:szCs w:val="16"/>
        </w:rPr>
        <w:t xml:space="preserve"> </w:t>
      </w:r>
    </w:p>
  </w:footnote>
  <w:footnote w:id="35">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t xml:space="preserve">“Toda persona física o jurídica tiene derecho al respeto de sus bienes. Nadie podrá ser privado de su propiedad sino por causa de utilidad pública y en las condiciones previstas por la ley y los principios generales del Derecho Internacional. […]”. </w:t>
      </w:r>
    </w:p>
  </w:footnote>
  <w:footnote w:id="36">
    <w:p w:rsidR="002005C7" w:rsidRPr="00D503C7" w:rsidRDefault="002005C7" w:rsidP="00F47861">
      <w:pPr>
        <w:pStyle w:val="Textonotapie"/>
        <w:spacing w:after="120"/>
        <w:ind w:right="-23"/>
        <w:jc w:val="both"/>
        <w:rPr>
          <w:rFonts w:ascii="Verdana" w:hAnsi="Verdana" w:cs="Arial"/>
          <w:sz w:val="16"/>
          <w:szCs w:val="16"/>
        </w:rPr>
      </w:pPr>
      <w:r w:rsidRPr="00D503C7">
        <w:rPr>
          <w:rStyle w:val="Refdenotaalpie"/>
          <w:rFonts w:ascii="Verdana" w:hAnsi="Verdana" w:cs="Arial"/>
          <w:sz w:val="16"/>
          <w:szCs w:val="16"/>
        </w:rPr>
        <w:footnoteRef/>
      </w:r>
      <w:r w:rsidRPr="00D503C7">
        <w:rPr>
          <w:rFonts w:ascii="Verdana" w:hAnsi="Verdana" w:cs="Arial"/>
          <w:sz w:val="16"/>
          <w:szCs w:val="16"/>
          <w:vertAlign w:val="superscript"/>
        </w:rPr>
        <w:t xml:space="preserve"> </w:t>
      </w:r>
      <w:r w:rsidRPr="00D503C7">
        <w:rPr>
          <w:rFonts w:ascii="Verdana" w:hAnsi="Verdana" w:cs="Arial"/>
          <w:sz w:val="16"/>
          <w:szCs w:val="16"/>
        </w:rPr>
        <w:tab/>
      </w:r>
      <w:r w:rsidRPr="00D503C7">
        <w:rPr>
          <w:rFonts w:ascii="Verdana" w:hAnsi="Verdana" w:cs="Arial"/>
          <w:i/>
          <w:sz w:val="16"/>
          <w:szCs w:val="16"/>
        </w:rPr>
        <w:t xml:space="preserve">Cfr. Caso </w:t>
      </w:r>
      <w:r w:rsidRPr="00D503C7">
        <w:rPr>
          <w:rFonts w:ascii="Verdana" w:hAnsi="Verdana" w:cs="Arial"/>
          <w:bCs/>
          <w:i/>
          <w:sz w:val="16"/>
          <w:szCs w:val="16"/>
        </w:rPr>
        <w:t>Stec Vs. Reino Unido</w:t>
      </w:r>
      <w:r w:rsidRPr="00D503C7">
        <w:rPr>
          <w:rFonts w:ascii="Verdana" w:hAnsi="Verdana" w:cs="Arial"/>
          <w:i/>
          <w:sz w:val="16"/>
          <w:szCs w:val="16"/>
        </w:rPr>
        <w:t>,</w:t>
      </w:r>
      <w:r w:rsidRPr="00D503C7">
        <w:rPr>
          <w:rFonts w:ascii="Verdana" w:hAnsi="Verdana" w:cs="Arial"/>
          <w:sz w:val="16"/>
          <w:szCs w:val="16"/>
        </w:rPr>
        <w:t xml:space="preserve"> Application No. </w:t>
      </w:r>
      <w:r w:rsidRPr="00D503C7">
        <w:rPr>
          <w:rFonts w:ascii="Verdana" w:eastAsia="MS Mincho" w:hAnsi="Verdana" w:cs="Arial"/>
          <w:color w:val="313131"/>
          <w:sz w:val="16"/>
          <w:szCs w:val="16"/>
          <w:lang w:eastAsia="ja-JP"/>
        </w:rPr>
        <w:t xml:space="preserve">65731/01 65900/01 , </w:t>
      </w:r>
      <w:r w:rsidRPr="00D503C7">
        <w:rPr>
          <w:rFonts w:ascii="Verdana" w:hAnsi="Verdana" w:cs="Arial"/>
          <w:sz w:val="16"/>
          <w:szCs w:val="16"/>
        </w:rPr>
        <w:t xml:space="preserve">Sentencia de 12 de abril del 2006; </w:t>
      </w:r>
      <w:r w:rsidRPr="00D503C7">
        <w:rPr>
          <w:rFonts w:ascii="Verdana" w:hAnsi="Verdana" w:cs="Arial"/>
          <w:i/>
          <w:sz w:val="16"/>
          <w:szCs w:val="16"/>
        </w:rPr>
        <w:t xml:space="preserve">Caso </w:t>
      </w:r>
      <w:r w:rsidRPr="00D503C7">
        <w:rPr>
          <w:rFonts w:ascii="Verdana" w:hAnsi="Verdana" w:cs="Arial"/>
          <w:bCs/>
          <w:i/>
          <w:sz w:val="16"/>
          <w:szCs w:val="16"/>
        </w:rPr>
        <w:t>Wessels-Bergervoet Vs. Holanda</w:t>
      </w:r>
      <w:r w:rsidRPr="00D503C7">
        <w:rPr>
          <w:rFonts w:ascii="Verdana" w:hAnsi="Verdana" w:cs="Arial"/>
          <w:bCs/>
          <w:sz w:val="16"/>
          <w:szCs w:val="16"/>
        </w:rPr>
        <w:t xml:space="preserve">, Application No. </w:t>
      </w:r>
      <w:r w:rsidRPr="00D503C7">
        <w:rPr>
          <w:rFonts w:ascii="Verdana" w:eastAsia="MS Mincho" w:hAnsi="Verdana" w:cs="Arial"/>
          <w:color w:val="313131"/>
          <w:sz w:val="16"/>
          <w:szCs w:val="16"/>
          <w:lang w:eastAsia="ja-JP"/>
        </w:rPr>
        <w:t xml:space="preserve">34462/97 </w:t>
      </w:r>
      <w:r w:rsidRPr="00D503C7">
        <w:rPr>
          <w:rFonts w:ascii="Verdana" w:hAnsi="Verdana" w:cs="Arial"/>
          <w:bCs/>
          <w:sz w:val="16"/>
          <w:szCs w:val="16"/>
        </w:rPr>
        <w:t xml:space="preserve">, Sentencia de 12 de noviembre de 2002 y </w:t>
      </w:r>
      <w:r w:rsidRPr="00D503C7">
        <w:rPr>
          <w:rFonts w:ascii="Verdana" w:hAnsi="Verdana" w:cs="Arial"/>
          <w:bCs/>
          <w:i/>
          <w:sz w:val="16"/>
          <w:szCs w:val="16"/>
        </w:rPr>
        <w:t xml:space="preserve">Caso </w:t>
      </w:r>
      <w:r w:rsidRPr="00D503C7">
        <w:rPr>
          <w:rStyle w:val="A2"/>
          <w:rFonts w:ascii="Verdana" w:hAnsi="Verdana" w:cs="Arial"/>
          <w:i/>
          <w:iCs/>
          <w:sz w:val="16"/>
          <w:szCs w:val="16"/>
        </w:rPr>
        <w:t>Andrejeva contra Letonia</w:t>
      </w:r>
      <w:r w:rsidRPr="00D503C7">
        <w:rPr>
          <w:rStyle w:val="A2"/>
          <w:rFonts w:ascii="Verdana" w:hAnsi="Verdana" w:cs="Arial"/>
          <w:iCs/>
          <w:sz w:val="16"/>
          <w:szCs w:val="16"/>
        </w:rPr>
        <w:t xml:space="preserve">, Application No. </w:t>
      </w:r>
      <w:r w:rsidRPr="00D503C7">
        <w:rPr>
          <w:rFonts w:ascii="Verdana" w:eastAsia="MS Mincho" w:hAnsi="Verdana" w:cs="Arial"/>
          <w:color w:val="313131"/>
          <w:sz w:val="16"/>
          <w:szCs w:val="16"/>
          <w:lang w:eastAsia="ja-JP"/>
        </w:rPr>
        <w:t>55707/00</w:t>
      </w:r>
      <w:r w:rsidRPr="00D503C7">
        <w:rPr>
          <w:rStyle w:val="A2"/>
          <w:rFonts w:ascii="Verdana" w:hAnsi="Verdana" w:cs="Arial"/>
          <w:iCs/>
          <w:sz w:val="16"/>
          <w:szCs w:val="16"/>
        </w:rPr>
        <w:t xml:space="preserve"> , Sentencia de 18 de febrero de 2009. </w:t>
      </w:r>
    </w:p>
  </w:footnote>
  <w:footnote w:id="37">
    <w:p w:rsidR="002005C7" w:rsidRPr="00D503C7" w:rsidRDefault="002005C7" w:rsidP="00F47861">
      <w:pPr>
        <w:tabs>
          <w:tab w:val="left" w:pos="720"/>
        </w:tabs>
        <w:spacing w:after="120"/>
        <w:jc w:val="both"/>
        <w:rPr>
          <w:rFonts w:ascii="Verdana" w:hAnsi="Verdana"/>
          <w:sz w:val="16"/>
          <w:szCs w:val="16"/>
          <w:lang w:val="es-PE"/>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b/>
          <w:sz w:val="16"/>
          <w:szCs w:val="16"/>
        </w:rPr>
        <w:tab/>
      </w:r>
      <w:r w:rsidRPr="00D503C7">
        <w:rPr>
          <w:rFonts w:ascii="Verdana" w:hAnsi="Verdana"/>
          <w:i/>
          <w:sz w:val="16"/>
          <w:szCs w:val="16"/>
          <w:lang w:val="es-VE"/>
        </w:rPr>
        <w:t>Cfr</w:t>
      </w:r>
      <w:r w:rsidRPr="00D503C7">
        <w:rPr>
          <w:rFonts w:ascii="Verdana" w:hAnsi="Verdana"/>
          <w:sz w:val="16"/>
          <w:szCs w:val="16"/>
          <w:lang w:val="es-VE"/>
        </w:rPr>
        <w:t xml:space="preserve">. Declaración </w:t>
      </w:r>
      <w:r w:rsidRPr="00D503C7">
        <w:rPr>
          <w:rFonts w:ascii="Verdana" w:hAnsi="Verdana"/>
          <w:sz w:val="16"/>
          <w:szCs w:val="16"/>
        </w:rPr>
        <w:t xml:space="preserve">rendida ante fedatario público por Christian Courtis el 30 de agosto de 2018, citando jurisprudencia de la Corte Europea de Derechos Humanos, a saber: </w:t>
      </w:r>
      <w:r w:rsidRPr="00D503C7">
        <w:rPr>
          <w:rFonts w:ascii="Verdana" w:hAnsi="Verdana"/>
          <w:sz w:val="16"/>
          <w:szCs w:val="16"/>
          <w:lang w:val="es-PE"/>
        </w:rPr>
        <w:t xml:space="preserve">casos </w:t>
      </w:r>
      <w:r w:rsidRPr="002706F2">
        <w:rPr>
          <w:rFonts w:ascii="Verdana" w:hAnsi="Verdana"/>
          <w:i/>
          <w:sz w:val="16"/>
          <w:szCs w:val="16"/>
          <w:lang w:val="es-PE"/>
        </w:rPr>
        <w:t>Konig v. Alemania</w:t>
      </w:r>
      <w:r w:rsidRPr="00D503C7">
        <w:rPr>
          <w:rFonts w:ascii="Verdana" w:hAnsi="Verdana"/>
          <w:sz w:val="16"/>
          <w:szCs w:val="16"/>
          <w:lang w:val="es-PE"/>
        </w:rPr>
        <w:t xml:space="preserve">, 28 de junio de 1978, par. 111; </w:t>
      </w:r>
      <w:r w:rsidRPr="002706F2">
        <w:rPr>
          <w:rFonts w:ascii="Verdana" w:hAnsi="Verdana"/>
          <w:i/>
          <w:sz w:val="16"/>
          <w:szCs w:val="16"/>
          <w:lang w:val="es-PE"/>
        </w:rPr>
        <w:t>Buchholz v. Alemania</w:t>
      </w:r>
      <w:r w:rsidRPr="00D503C7">
        <w:rPr>
          <w:rFonts w:ascii="Verdana" w:hAnsi="Verdana"/>
          <w:sz w:val="16"/>
          <w:szCs w:val="16"/>
          <w:lang w:val="es-PE"/>
        </w:rPr>
        <w:t xml:space="preserve">, 6 de Mayo de 1981, par. 52; </w:t>
      </w:r>
      <w:r w:rsidRPr="002706F2">
        <w:rPr>
          <w:rFonts w:ascii="Verdana" w:hAnsi="Verdana"/>
          <w:i/>
          <w:sz w:val="16"/>
          <w:szCs w:val="16"/>
          <w:lang w:val="es-PE"/>
        </w:rPr>
        <w:t>Obermeier v. Austria</w:t>
      </w:r>
      <w:r w:rsidRPr="00D503C7">
        <w:rPr>
          <w:rFonts w:ascii="Verdana" w:hAnsi="Verdana"/>
          <w:sz w:val="16"/>
          <w:szCs w:val="16"/>
          <w:lang w:val="es-PE"/>
        </w:rPr>
        <w:t xml:space="preserve">, 28 de junio de 1990, par. 72; Vacatura v. Italia, 24 de mayo de 1991, par. 17; </w:t>
      </w:r>
      <w:r w:rsidRPr="002706F2">
        <w:rPr>
          <w:rFonts w:ascii="Verdana" w:hAnsi="Verdana"/>
          <w:i/>
          <w:sz w:val="16"/>
          <w:szCs w:val="16"/>
          <w:lang w:val="es-PE"/>
        </w:rPr>
        <w:t>Borgese v. Italia</w:t>
      </w:r>
      <w:r w:rsidRPr="00D503C7">
        <w:rPr>
          <w:rFonts w:ascii="Verdana" w:hAnsi="Verdana"/>
          <w:sz w:val="16"/>
          <w:szCs w:val="16"/>
          <w:lang w:val="es-PE"/>
        </w:rPr>
        <w:t xml:space="preserve">, 24 de enero de 1992, par. 18; </w:t>
      </w:r>
      <w:r w:rsidRPr="002706F2">
        <w:rPr>
          <w:rFonts w:ascii="Verdana" w:hAnsi="Verdana"/>
          <w:i/>
          <w:sz w:val="16"/>
          <w:szCs w:val="16"/>
          <w:lang w:val="es-PE"/>
        </w:rPr>
        <w:t>Ruotolo v. Italia</w:t>
      </w:r>
      <w:r w:rsidRPr="00D503C7">
        <w:rPr>
          <w:rFonts w:ascii="Verdana" w:hAnsi="Verdana"/>
          <w:sz w:val="16"/>
          <w:szCs w:val="16"/>
          <w:lang w:val="es-PE"/>
        </w:rPr>
        <w:t xml:space="preserve">, 27 de febrero de 1992, pars. 17; </w:t>
      </w:r>
      <w:r w:rsidRPr="002706F2">
        <w:rPr>
          <w:rFonts w:ascii="Verdana" w:hAnsi="Verdana"/>
          <w:i/>
          <w:sz w:val="16"/>
          <w:szCs w:val="16"/>
          <w:lang w:val="es-PE"/>
        </w:rPr>
        <w:t>Doustaly v. Francia</w:t>
      </w:r>
      <w:r w:rsidRPr="00D503C7">
        <w:rPr>
          <w:rFonts w:ascii="Verdana" w:hAnsi="Verdana"/>
          <w:sz w:val="16"/>
          <w:szCs w:val="16"/>
          <w:lang w:val="es-PE"/>
        </w:rPr>
        <w:t xml:space="preserve">, 23 de abril de 1998, par. 48; </w:t>
      </w:r>
      <w:r w:rsidRPr="002706F2">
        <w:rPr>
          <w:rFonts w:ascii="Verdana" w:hAnsi="Verdana"/>
          <w:i/>
          <w:sz w:val="16"/>
          <w:szCs w:val="16"/>
          <w:lang w:val="es-PE"/>
        </w:rPr>
        <w:t>Thlimmenos v. Grecia</w:t>
      </w:r>
      <w:r w:rsidR="002706F2">
        <w:rPr>
          <w:rFonts w:ascii="Verdana" w:hAnsi="Verdana"/>
          <w:sz w:val="16"/>
          <w:szCs w:val="16"/>
          <w:lang w:val="es-PE"/>
        </w:rPr>
        <w:t>, 6 de abril del 2000, pars</w:t>
      </w:r>
      <w:r w:rsidRPr="00D503C7">
        <w:rPr>
          <w:rFonts w:ascii="Verdana" w:hAnsi="Verdana"/>
          <w:sz w:val="16"/>
          <w:szCs w:val="16"/>
          <w:lang w:val="es-PE"/>
        </w:rPr>
        <w:t xml:space="preserve">. 60 y 62; </w:t>
      </w:r>
      <w:r w:rsidRPr="002706F2">
        <w:rPr>
          <w:rFonts w:ascii="Verdana" w:hAnsi="Verdana"/>
          <w:i/>
          <w:sz w:val="16"/>
          <w:szCs w:val="16"/>
          <w:lang w:val="es-PE"/>
        </w:rPr>
        <w:t>Frydlender v. Francia</w:t>
      </w:r>
      <w:r w:rsidRPr="00D503C7">
        <w:rPr>
          <w:rFonts w:ascii="Verdana" w:hAnsi="Verdana"/>
          <w:sz w:val="16"/>
          <w:szCs w:val="16"/>
          <w:lang w:val="es-PE"/>
        </w:rPr>
        <w:t xml:space="preserve">, 27 de junio de 2000, par. 45; </w:t>
      </w:r>
      <w:r w:rsidRPr="002706F2">
        <w:rPr>
          <w:rFonts w:ascii="Verdana" w:hAnsi="Verdana"/>
          <w:i/>
          <w:sz w:val="16"/>
          <w:szCs w:val="16"/>
          <w:lang w:val="es-PE"/>
        </w:rPr>
        <w:t>Garcia v. Francia</w:t>
      </w:r>
      <w:r w:rsidRPr="00D503C7">
        <w:rPr>
          <w:rFonts w:ascii="Verdana" w:hAnsi="Verdana"/>
          <w:sz w:val="16"/>
          <w:szCs w:val="16"/>
          <w:lang w:val="es-PE"/>
        </w:rPr>
        <w:t xml:space="preserve">, 26 de septiembre de 2000, par. 14; </w:t>
      </w:r>
      <w:r w:rsidRPr="002706F2">
        <w:rPr>
          <w:rFonts w:ascii="Verdana" w:hAnsi="Verdana"/>
          <w:i/>
          <w:sz w:val="16"/>
          <w:szCs w:val="16"/>
          <w:lang w:val="es-PE"/>
        </w:rPr>
        <w:t>Julien v. Francia</w:t>
      </w:r>
      <w:r w:rsidRPr="00D503C7">
        <w:rPr>
          <w:rFonts w:ascii="Verdana" w:hAnsi="Verdana"/>
          <w:sz w:val="16"/>
          <w:szCs w:val="16"/>
          <w:lang w:val="es-PE"/>
        </w:rPr>
        <w:t xml:space="preserve">, 8 de abril de 2003, par. 31; </w:t>
      </w:r>
      <w:r w:rsidRPr="002706F2">
        <w:rPr>
          <w:rFonts w:ascii="Verdana" w:hAnsi="Verdana"/>
          <w:i/>
          <w:sz w:val="16"/>
          <w:szCs w:val="16"/>
          <w:lang w:val="es-PE"/>
        </w:rPr>
        <w:t>Sartory v. Francia</w:t>
      </w:r>
      <w:r w:rsidRPr="00D503C7">
        <w:rPr>
          <w:rFonts w:ascii="Verdana" w:hAnsi="Verdana"/>
          <w:sz w:val="16"/>
          <w:szCs w:val="16"/>
          <w:lang w:val="es-PE"/>
        </w:rPr>
        <w:t>, 24</w:t>
      </w:r>
      <w:r w:rsidR="009B57B2">
        <w:rPr>
          <w:rFonts w:ascii="Verdana" w:hAnsi="Verdana"/>
          <w:sz w:val="16"/>
          <w:szCs w:val="16"/>
          <w:lang w:val="es-PE"/>
        </w:rPr>
        <w:t xml:space="preserve"> de septiembre de 2009, par. 34</w:t>
      </w:r>
      <w:r w:rsidRPr="00D503C7">
        <w:rPr>
          <w:rFonts w:ascii="Verdana" w:hAnsi="Verdana"/>
          <w:sz w:val="16"/>
          <w:szCs w:val="16"/>
        </w:rPr>
        <w:t>.</w:t>
      </w:r>
    </w:p>
  </w:footnote>
  <w:footnote w:id="38">
    <w:p w:rsidR="002005C7" w:rsidRPr="000447B4" w:rsidRDefault="002005C7" w:rsidP="000447B4">
      <w:pPr>
        <w:pStyle w:val="Textonotapie"/>
        <w:spacing w:after="120"/>
        <w:jc w:val="both"/>
        <w:rPr>
          <w:rFonts w:ascii="Verdana" w:hAnsi="Verdana"/>
          <w:sz w:val="16"/>
          <w:szCs w:val="16"/>
          <w:lang w:val="es-CR"/>
        </w:rPr>
      </w:pPr>
      <w:r w:rsidRPr="000447B4">
        <w:rPr>
          <w:rStyle w:val="Refdenotaalpie"/>
          <w:rFonts w:ascii="Verdana" w:hAnsi="Verdana"/>
          <w:sz w:val="16"/>
          <w:szCs w:val="16"/>
        </w:rPr>
        <w:footnoteRef/>
      </w:r>
      <w:r w:rsidRPr="000447B4">
        <w:rPr>
          <w:rFonts w:ascii="Verdana" w:hAnsi="Verdana"/>
          <w:sz w:val="16"/>
          <w:szCs w:val="16"/>
          <w:lang w:val="en-US"/>
        </w:rPr>
        <w:t xml:space="preserve"> </w:t>
      </w:r>
      <w:r w:rsidRPr="000447B4">
        <w:rPr>
          <w:rFonts w:ascii="Verdana" w:hAnsi="Verdana"/>
          <w:sz w:val="16"/>
          <w:szCs w:val="16"/>
          <w:lang w:val="en-US"/>
        </w:rPr>
        <w:tab/>
      </w:r>
      <w:r w:rsidR="000447B4" w:rsidRPr="000447B4">
        <w:rPr>
          <w:rFonts w:ascii="Verdana" w:hAnsi="Verdana"/>
          <w:sz w:val="16"/>
          <w:szCs w:val="16"/>
          <w:lang w:val="en-US"/>
        </w:rPr>
        <w:t xml:space="preserve">CEDS, </w:t>
      </w:r>
      <w:r w:rsidR="000447B4" w:rsidRPr="000447B4">
        <w:rPr>
          <w:rFonts w:ascii="Verdana" w:hAnsi="Verdana"/>
          <w:i/>
          <w:sz w:val="16"/>
          <w:szCs w:val="16"/>
          <w:lang w:val="en-US"/>
        </w:rPr>
        <w:t>Cfr.</w:t>
      </w:r>
      <w:r w:rsidR="000447B4" w:rsidRPr="000447B4">
        <w:rPr>
          <w:rFonts w:ascii="Verdana" w:hAnsi="Verdana"/>
          <w:sz w:val="16"/>
          <w:szCs w:val="16"/>
          <w:lang w:val="en-US"/>
        </w:rPr>
        <w:t xml:space="preserve"> </w:t>
      </w:r>
      <w:hyperlink r:id="rId1" w:anchor="{%22tabview%22:[%22document%22],%22ESCDcIdentifier%22:[%22cc-88-2012-dmerits-en%22]}" w:history="1">
        <w:r w:rsidR="000447B4" w:rsidRPr="000447B4">
          <w:rPr>
            <w:rStyle w:val="Hipervnculo"/>
            <w:rFonts w:ascii="Verdana" w:hAnsi="Verdana" w:cs="Arial"/>
            <w:bCs/>
            <w:i/>
            <w:color w:val="000000"/>
            <w:sz w:val="16"/>
            <w:szCs w:val="16"/>
            <w:u w:val="none"/>
            <w:shd w:val="clear" w:color="auto" w:fill="FFFFFF"/>
            <w:lang w:val="en-US"/>
          </w:rPr>
          <w:t xml:space="preserve">Finnish Society of Social Rights Vs. </w:t>
        </w:r>
        <w:proofErr w:type="spellStart"/>
        <w:r w:rsidR="000447B4" w:rsidRPr="000447B4">
          <w:rPr>
            <w:rStyle w:val="Hipervnculo"/>
            <w:rFonts w:ascii="Verdana" w:hAnsi="Verdana" w:cs="Arial"/>
            <w:bCs/>
            <w:i/>
            <w:color w:val="000000"/>
            <w:sz w:val="16"/>
            <w:szCs w:val="16"/>
            <w:u w:val="none"/>
            <w:shd w:val="clear" w:color="auto" w:fill="FFFFFF"/>
            <w:lang w:val="es-CR"/>
          </w:rPr>
          <w:t>Finland</w:t>
        </w:r>
        <w:proofErr w:type="spellEnd"/>
        <w:r w:rsidR="000447B4" w:rsidRPr="000447B4">
          <w:rPr>
            <w:rStyle w:val="Hipervnculo"/>
            <w:rFonts w:ascii="Verdana" w:hAnsi="Verdana" w:cs="Arial"/>
            <w:bCs/>
            <w:color w:val="000000"/>
            <w:sz w:val="16"/>
            <w:szCs w:val="16"/>
            <w:u w:val="none"/>
            <w:shd w:val="clear" w:color="auto" w:fill="FFFFFF"/>
            <w:lang w:val="es-CR"/>
          </w:rPr>
          <w:t xml:space="preserve">, </w:t>
        </w:r>
        <w:proofErr w:type="spellStart"/>
        <w:r w:rsidR="000447B4" w:rsidRPr="000447B4">
          <w:rPr>
            <w:rStyle w:val="Hipervnculo"/>
            <w:rFonts w:ascii="Verdana" w:hAnsi="Verdana" w:cs="Arial"/>
            <w:bCs/>
            <w:color w:val="000000"/>
            <w:sz w:val="16"/>
            <w:szCs w:val="16"/>
            <w:u w:val="none"/>
            <w:shd w:val="clear" w:color="auto" w:fill="FFFFFF"/>
            <w:lang w:val="es-CR"/>
          </w:rPr>
          <w:t>Decision</w:t>
        </w:r>
        <w:proofErr w:type="spellEnd"/>
        <w:r w:rsidR="000447B4" w:rsidRPr="000447B4">
          <w:rPr>
            <w:rStyle w:val="Hipervnculo"/>
            <w:rFonts w:ascii="Verdana" w:hAnsi="Verdana" w:cs="Arial"/>
            <w:bCs/>
            <w:color w:val="000000"/>
            <w:sz w:val="16"/>
            <w:szCs w:val="16"/>
            <w:u w:val="none"/>
            <w:shd w:val="clear" w:color="auto" w:fill="FFFFFF"/>
            <w:lang w:val="es-CR"/>
          </w:rPr>
          <w:t xml:space="preserve"> </w:t>
        </w:r>
        <w:proofErr w:type="spellStart"/>
        <w:r w:rsidR="000447B4" w:rsidRPr="000447B4">
          <w:rPr>
            <w:rStyle w:val="Hipervnculo"/>
            <w:rFonts w:ascii="Verdana" w:hAnsi="Verdana" w:cs="Arial"/>
            <w:bCs/>
            <w:color w:val="000000"/>
            <w:sz w:val="16"/>
            <w:szCs w:val="16"/>
            <w:u w:val="none"/>
            <w:shd w:val="clear" w:color="auto" w:fill="FFFFFF"/>
            <w:lang w:val="es-CR"/>
          </w:rPr>
          <w:t>on</w:t>
        </w:r>
        <w:proofErr w:type="spellEnd"/>
        <w:r w:rsidR="000447B4" w:rsidRPr="000447B4">
          <w:rPr>
            <w:rStyle w:val="Hipervnculo"/>
            <w:rFonts w:ascii="Verdana" w:hAnsi="Verdana" w:cs="Arial"/>
            <w:bCs/>
            <w:color w:val="000000"/>
            <w:sz w:val="16"/>
            <w:szCs w:val="16"/>
            <w:u w:val="none"/>
            <w:shd w:val="clear" w:color="auto" w:fill="FFFFFF"/>
            <w:lang w:val="es-CR"/>
          </w:rPr>
          <w:t xml:space="preserve"> </w:t>
        </w:r>
        <w:proofErr w:type="spellStart"/>
        <w:r w:rsidR="000447B4" w:rsidRPr="000447B4">
          <w:rPr>
            <w:rStyle w:val="Hipervnculo"/>
            <w:rFonts w:ascii="Verdana" w:hAnsi="Verdana" w:cs="Arial"/>
            <w:bCs/>
            <w:color w:val="000000"/>
            <w:sz w:val="16"/>
            <w:szCs w:val="16"/>
            <w:u w:val="none"/>
            <w:shd w:val="clear" w:color="auto" w:fill="FFFFFF"/>
            <w:lang w:val="es-CR"/>
          </w:rPr>
          <w:t>the</w:t>
        </w:r>
        <w:proofErr w:type="spellEnd"/>
        <w:r w:rsidR="000447B4" w:rsidRPr="000447B4">
          <w:rPr>
            <w:rStyle w:val="Hipervnculo"/>
            <w:rFonts w:ascii="Verdana" w:hAnsi="Verdana" w:cs="Arial"/>
            <w:bCs/>
            <w:color w:val="000000"/>
            <w:sz w:val="16"/>
            <w:szCs w:val="16"/>
            <w:u w:val="none"/>
            <w:shd w:val="clear" w:color="auto" w:fill="FFFFFF"/>
            <w:lang w:val="es-CR"/>
          </w:rPr>
          <w:t xml:space="preserve"> </w:t>
        </w:r>
        <w:proofErr w:type="spellStart"/>
        <w:r w:rsidR="000447B4" w:rsidRPr="000447B4">
          <w:rPr>
            <w:rStyle w:val="Hipervnculo"/>
            <w:rFonts w:ascii="Verdana" w:hAnsi="Verdana" w:cs="Arial"/>
            <w:bCs/>
            <w:color w:val="000000"/>
            <w:sz w:val="16"/>
            <w:szCs w:val="16"/>
            <w:u w:val="none"/>
            <w:shd w:val="clear" w:color="auto" w:fill="FFFFFF"/>
            <w:lang w:val="es-CR"/>
          </w:rPr>
          <w:t>Merits</w:t>
        </w:r>
        <w:proofErr w:type="spellEnd"/>
        <w:r w:rsidR="000447B4" w:rsidRPr="000447B4">
          <w:rPr>
            <w:rStyle w:val="Hipervnculo"/>
            <w:rFonts w:ascii="Verdana" w:hAnsi="Verdana" w:cs="Arial"/>
            <w:bCs/>
            <w:color w:val="000000"/>
            <w:sz w:val="16"/>
            <w:szCs w:val="16"/>
            <w:u w:val="none"/>
            <w:shd w:val="clear" w:color="auto" w:fill="FFFFFF"/>
            <w:lang w:val="es-CR"/>
          </w:rPr>
          <w:t xml:space="preserve">, </w:t>
        </w:r>
        <w:proofErr w:type="spellStart"/>
        <w:r w:rsidR="000447B4" w:rsidRPr="000447B4">
          <w:rPr>
            <w:rStyle w:val="Hipervnculo"/>
            <w:rFonts w:ascii="Verdana" w:hAnsi="Verdana" w:cs="Arial"/>
            <w:bCs/>
            <w:color w:val="000000"/>
            <w:sz w:val="16"/>
            <w:szCs w:val="16"/>
            <w:u w:val="none"/>
            <w:shd w:val="clear" w:color="auto" w:fill="FFFFFF"/>
            <w:lang w:val="es-CR"/>
          </w:rPr>
          <w:t>Complaint</w:t>
        </w:r>
        <w:proofErr w:type="spellEnd"/>
        <w:r w:rsidR="000447B4" w:rsidRPr="000447B4">
          <w:rPr>
            <w:rStyle w:val="Hipervnculo"/>
            <w:rFonts w:ascii="Verdana" w:hAnsi="Verdana" w:cs="Arial"/>
            <w:bCs/>
            <w:color w:val="000000"/>
            <w:sz w:val="16"/>
            <w:szCs w:val="16"/>
            <w:u w:val="none"/>
            <w:shd w:val="clear" w:color="auto" w:fill="FFFFFF"/>
            <w:lang w:val="es-CR"/>
          </w:rPr>
          <w:t xml:space="preserve"> No. 88/2012</w:t>
        </w:r>
      </w:hyperlink>
      <w:r w:rsidR="000447B4" w:rsidRPr="000447B4">
        <w:rPr>
          <w:rFonts w:ascii="Verdana" w:hAnsi="Verdana"/>
          <w:sz w:val="16"/>
          <w:szCs w:val="16"/>
          <w:lang w:val="es-CR"/>
        </w:rPr>
        <w:t xml:space="preserve">, Decisión de 9 de septiembre de 2014, párrs. 57 y 59 y </w:t>
      </w:r>
      <w:hyperlink r:id="rId2" w:anchor="{%22tabview%22:[%22document%22],%22ESCDcIdentifier%22:[%22cc-113-2014-dmerits-en%22]}" w:history="1">
        <w:proofErr w:type="spellStart"/>
        <w:r w:rsidR="000447B4" w:rsidRPr="000447B4">
          <w:rPr>
            <w:rStyle w:val="Hipervnculo"/>
            <w:rFonts w:ascii="Verdana" w:hAnsi="Verdana" w:cs="Arial"/>
            <w:bCs/>
            <w:i/>
            <w:color w:val="000000"/>
            <w:sz w:val="16"/>
            <w:szCs w:val="16"/>
            <w:u w:val="none"/>
            <w:shd w:val="clear" w:color="auto" w:fill="FFFFFF"/>
            <w:lang w:val="es-CR"/>
          </w:rPr>
          <w:t>Unione</w:t>
        </w:r>
        <w:proofErr w:type="spellEnd"/>
        <w:r w:rsidR="000447B4" w:rsidRPr="000447B4">
          <w:rPr>
            <w:rStyle w:val="Hipervnculo"/>
            <w:rFonts w:ascii="Verdana" w:hAnsi="Verdana" w:cs="Arial"/>
            <w:bCs/>
            <w:i/>
            <w:color w:val="000000"/>
            <w:sz w:val="16"/>
            <w:szCs w:val="16"/>
            <w:u w:val="none"/>
            <w:shd w:val="clear" w:color="auto" w:fill="FFFFFF"/>
            <w:lang w:val="es-CR"/>
          </w:rPr>
          <w:t xml:space="preserve"> Italiana del </w:t>
        </w:r>
        <w:proofErr w:type="spellStart"/>
        <w:r w:rsidR="000447B4" w:rsidRPr="000447B4">
          <w:rPr>
            <w:rStyle w:val="Hipervnculo"/>
            <w:rFonts w:ascii="Verdana" w:hAnsi="Verdana" w:cs="Arial"/>
            <w:bCs/>
            <w:i/>
            <w:color w:val="000000"/>
            <w:sz w:val="16"/>
            <w:szCs w:val="16"/>
            <w:u w:val="none"/>
            <w:shd w:val="clear" w:color="auto" w:fill="FFFFFF"/>
            <w:lang w:val="es-CR"/>
          </w:rPr>
          <w:t>Lavoro</w:t>
        </w:r>
        <w:proofErr w:type="spellEnd"/>
        <w:r w:rsidR="000447B4" w:rsidRPr="000447B4">
          <w:rPr>
            <w:rStyle w:val="Hipervnculo"/>
            <w:rFonts w:ascii="Verdana" w:hAnsi="Verdana" w:cs="Arial"/>
            <w:bCs/>
            <w:i/>
            <w:color w:val="000000"/>
            <w:sz w:val="16"/>
            <w:szCs w:val="16"/>
            <w:u w:val="none"/>
            <w:shd w:val="clear" w:color="auto" w:fill="FFFFFF"/>
            <w:lang w:val="es-CR"/>
          </w:rPr>
          <w:t xml:space="preserve"> U.I.L. </w:t>
        </w:r>
        <w:proofErr w:type="spellStart"/>
        <w:r w:rsidR="000447B4" w:rsidRPr="000447B4">
          <w:rPr>
            <w:rStyle w:val="Hipervnculo"/>
            <w:rFonts w:ascii="Verdana" w:hAnsi="Verdana" w:cs="Arial"/>
            <w:bCs/>
            <w:i/>
            <w:color w:val="000000"/>
            <w:sz w:val="16"/>
            <w:szCs w:val="16"/>
            <w:u w:val="none"/>
            <w:shd w:val="clear" w:color="auto" w:fill="FFFFFF"/>
            <w:lang w:val="es-CR"/>
          </w:rPr>
          <w:t>Scuola</w:t>
        </w:r>
        <w:proofErr w:type="spellEnd"/>
        <w:r w:rsidR="000447B4" w:rsidRPr="000447B4">
          <w:rPr>
            <w:rStyle w:val="Hipervnculo"/>
            <w:rFonts w:ascii="Verdana" w:hAnsi="Verdana" w:cs="Arial"/>
            <w:bCs/>
            <w:i/>
            <w:color w:val="000000"/>
            <w:sz w:val="16"/>
            <w:szCs w:val="16"/>
            <w:u w:val="none"/>
            <w:shd w:val="clear" w:color="auto" w:fill="FFFFFF"/>
            <w:lang w:val="es-CR"/>
          </w:rPr>
          <w:t xml:space="preserve">-Sicilia Vs. </w:t>
        </w:r>
        <w:proofErr w:type="spellStart"/>
        <w:r w:rsidR="000447B4" w:rsidRPr="000447B4">
          <w:rPr>
            <w:rStyle w:val="Hipervnculo"/>
            <w:rFonts w:ascii="Verdana" w:hAnsi="Verdana" w:cs="Arial"/>
            <w:bCs/>
            <w:i/>
            <w:color w:val="000000"/>
            <w:sz w:val="16"/>
            <w:szCs w:val="16"/>
            <w:u w:val="none"/>
            <w:shd w:val="clear" w:color="auto" w:fill="FFFFFF"/>
            <w:lang w:val="es-CR"/>
          </w:rPr>
          <w:t>Italy</w:t>
        </w:r>
        <w:proofErr w:type="spellEnd"/>
        <w:r w:rsidR="000447B4" w:rsidRPr="000447B4">
          <w:rPr>
            <w:rStyle w:val="Hipervnculo"/>
            <w:rFonts w:ascii="Verdana" w:hAnsi="Verdana" w:cs="Arial"/>
            <w:bCs/>
            <w:color w:val="000000"/>
            <w:sz w:val="16"/>
            <w:szCs w:val="16"/>
            <w:u w:val="none"/>
            <w:shd w:val="clear" w:color="auto" w:fill="FFFFFF"/>
            <w:lang w:val="es-CR"/>
          </w:rPr>
          <w:t xml:space="preserve">, </w:t>
        </w:r>
        <w:proofErr w:type="spellStart"/>
        <w:r w:rsidR="000447B4" w:rsidRPr="000447B4">
          <w:rPr>
            <w:rStyle w:val="Hipervnculo"/>
            <w:rFonts w:ascii="Verdana" w:hAnsi="Verdana" w:cs="Arial"/>
            <w:bCs/>
            <w:color w:val="000000"/>
            <w:sz w:val="16"/>
            <w:szCs w:val="16"/>
            <w:u w:val="none"/>
            <w:shd w:val="clear" w:color="auto" w:fill="FFFFFF"/>
            <w:lang w:val="es-CR"/>
          </w:rPr>
          <w:t>Complaint</w:t>
        </w:r>
        <w:proofErr w:type="spellEnd"/>
        <w:r w:rsidR="000447B4" w:rsidRPr="000447B4">
          <w:rPr>
            <w:rStyle w:val="Hipervnculo"/>
            <w:rFonts w:ascii="Verdana" w:hAnsi="Verdana" w:cs="Arial"/>
            <w:bCs/>
            <w:color w:val="000000"/>
            <w:sz w:val="16"/>
            <w:szCs w:val="16"/>
            <w:u w:val="none"/>
            <w:shd w:val="clear" w:color="auto" w:fill="FFFFFF"/>
            <w:lang w:val="es-CR"/>
          </w:rPr>
          <w:t xml:space="preserve"> No. 13/2014</w:t>
        </w:r>
      </w:hyperlink>
      <w:r w:rsidR="000447B4" w:rsidRPr="000447B4">
        <w:rPr>
          <w:rFonts w:ascii="Verdana" w:hAnsi="Verdana"/>
          <w:sz w:val="16"/>
          <w:szCs w:val="16"/>
          <w:lang w:val="es-CR"/>
        </w:rPr>
        <w:t>, Decision on the merits, Decisión de 24 de enero de 201, párr. 52.</w:t>
      </w:r>
      <w:r w:rsidR="000447B4" w:rsidRPr="00D307FC">
        <w:rPr>
          <w:rFonts w:ascii="Verdana" w:hAnsi="Verdana"/>
          <w:sz w:val="16"/>
          <w:szCs w:val="16"/>
          <w:lang w:val="es-CR"/>
        </w:rPr>
        <w:t xml:space="preserve"> </w:t>
      </w:r>
    </w:p>
  </w:footnote>
  <w:footnote w:id="39">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lang w:val="es-CR"/>
        </w:rPr>
        <w:tab/>
        <w:t>“</w:t>
      </w:r>
      <w:r w:rsidRPr="00D503C7">
        <w:rPr>
          <w:rFonts w:ascii="Verdana" w:hAnsi="Verdana"/>
          <w:sz w:val="16"/>
          <w:szCs w:val="16"/>
        </w:rPr>
        <w:t>Para garantizar el ejercicio efectivo al derecho a la Seguridad Social, las partes contratantes se comprometen: 1. A establecer o mantener un régimen de Seguridad Social. 2. A mantener el régimen de Seguridad Social en un nivel satisfactorio, equivalente, por lo menos, al exigido para la ratificación del Convenio Internacional del Trabajo (número 102) sobre normas mínimas de Seguridad Social. 3. A esforzarse por elevar progresivamente el nivel del régimen de Seguridad Social. 4. A adoptar medidas, mediante la conclusión de los oportunos acuerdos bilaterales o multilaterales, o por otros medios, sin perjuicio de las condiciones establecidas en esos acuerdos, encaminadas a conseguir: a. La igualdad de trato entre los nacionales de cada una de las partes contratantes y los de las demás partes en lo relativo a los derechos de Seguridad Social, incluida la conservación de las ventajas concedidas por las leyes de Seguridad Social, sean cuales fueren los desplazamientos que las personas protegidas pudieren efectuar entre los territorios de las partes contratantes. b. La concesión, mantenimiento y restablecimiento de los derechos de Seguridad Social, por medios tales como la acumulación de los períodos de seguro o de empleo completados de conformidad con la legislación de cada una de las partes contratantes”.</w:t>
      </w:r>
    </w:p>
  </w:footnote>
  <w:footnote w:id="40">
    <w:p w:rsidR="000447B4" w:rsidRPr="00E71BF2" w:rsidRDefault="000447B4" w:rsidP="000447B4">
      <w:pPr>
        <w:pStyle w:val="Textonotapie"/>
        <w:spacing w:after="120"/>
        <w:jc w:val="both"/>
        <w:rPr>
          <w:rFonts w:ascii="Verdana" w:hAnsi="Verdana"/>
          <w:sz w:val="16"/>
          <w:szCs w:val="16"/>
          <w:lang w:val="es-CR"/>
        </w:rPr>
      </w:pPr>
      <w:r w:rsidRPr="000447B4">
        <w:rPr>
          <w:rStyle w:val="Refdenotaalpie"/>
          <w:rFonts w:ascii="Verdana" w:hAnsi="Verdana"/>
          <w:sz w:val="16"/>
          <w:szCs w:val="16"/>
          <w:lang w:val="es-CR"/>
        </w:rPr>
        <w:footnoteRef/>
      </w:r>
      <w:r w:rsidRPr="000447B4">
        <w:rPr>
          <w:rFonts w:ascii="Verdana" w:hAnsi="Verdana"/>
          <w:sz w:val="16"/>
          <w:szCs w:val="16"/>
          <w:lang w:val="en-US"/>
        </w:rPr>
        <w:t xml:space="preserve"> </w:t>
      </w:r>
      <w:r w:rsidRPr="000447B4">
        <w:rPr>
          <w:rFonts w:ascii="Verdana" w:hAnsi="Verdana"/>
          <w:sz w:val="16"/>
          <w:szCs w:val="16"/>
          <w:lang w:val="en-US"/>
        </w:rPr>
        <w:tab/>
        <w:t xml:space="preserve">CEDS, </w:t>
      </w:r>
      <w:r w:rsidRPr="000447B4">
        <w:rPr>
          <w:rFonts w:ascii="Verdana" w:hAnsi="Verdana"/>
          <w:i/>
          <w:sz w:val="16"/>
          <w:szCs w:val="16"/>
          <w:lang w:val="en-US"/>
        </w:rPr>
        <w:t>Cfr.</w:t>
      </w:r>
      <w:r w:rsidRPr="000447B4">
        <w:rPr>
          <w:rFonts w:ascii="Verdana" w:hAnsi="Verdana"/>
          <w:sz w:val="16"/>
          <w:szCs w:val="16"/>
          <w:lang w:val="en-US"/>
        </w:rPr>
        <w:t xml:space="preserve"> </w:t>
      </w:r>
      <w:hyperlink r:id="rId3" w:anchor="{%22tabview%22:[%22document%22],%22ESCDcIdentifier%22:[%22cc-88-2012-dmerits-en%22]}" w:history="1">
        <w:r w:rsidRPr="000447B4">
          <w:rPr>
            <w:rStyle w:val="Hipervnculo"/>
            <w:rFonts w:ascii="Verdana" w:hAnsi="Verdana" w:cs="Arial"/>
            <w:bCs/>
            <w:i/>
            <w:color w:val="000000"/>
            <w:sz w:val="16"/>
            <w:szCs w:val="16"/>
            <w:u w:val="none"/>
            <w:shd w:val="clear" w:color="auto" w:fill="FFFFFF"/>
            <w:lang w:val="en-US"/>
          </w:rPr>
          <w:t xml:space="preserve">Finnish Society of Social Rights Vs. </w:t>
        </w:r>
        <w:proofErr w:type="spellStart"/>
        <w:r w:rsidRPr="000447B4">
          <w:rPr>
            <w:rStyle w:val="Hipervnculo"/>
            <w:rFonts w:ascii="Verdana" w:hAnsi="Verdana" w:cs="Arial"/>
            <w:bCs/>
            <w:i/>
            <w:color w:val="000000"/>
            <w:sz w:val="16"/>
            <w:szCs w:val="16"/>
            <w:u w:val="none"/>
            <w:shd w:val="clear" w:color="auto" w:fill="FFFFFF"/>
            <w:lang w:val="es-CR"/>
          </w:rPr>
          <w:t>Finland</w:t>
        </w:r>
        <w:proofErr w:type="spellEnd"/>
        <w:r w:rsidRPr="000447B4">
          <w:rPr>
            <w:rStyle w:val="Hipervnculo"/>
            <w:rFonts w:ascii="Verdana" w:hAnsi="Verdana" w:cs="Arial"/>
            <w:bCs/>
            <w:color w:val="000000"/>
            <w:sz w:val="16"/>
            <w:szCs w:val="16"/>
            <w:u w:val="none"/>
            <w:shd w:val="clear" w:color="auto" w:fill="FFFFFF"/>
            <w:lang w:val="es-CR"/>
          </w:rPr>
          <w:t xml:space="preserve">, </w:t>
        </w:r>
        <w:proofErr w:type="spellStart"/>
        <w:r w:rsidRPr="000447B4">
          <w:rPr>
            <w:rStyle w:val="Hipervnculo"/>
            <w:rFonts w:ascii="Verdana" w:hAnsi="Verdana" w:cs="Arial"/>
            <w:bCs/>
            <w:color w:val="000000"/>
            <w:sz w:val="16"/>
            <w:szCs w:val="16"/>
            <w:u w:val="none"/>
            <w:shd w:val="clear" w:color="auto" w:fill="FFFFFF"/>
            <w:lang w:val="es-CR"/>
          </w:rPr>
          <w:t>Decision</w:t>
        </w:r>
        <w:proofErr w:type="spellEnd"/>
        <w:r w:rsidRPr="000447B4">
          <w:rPr>
            <w:rStyle w:val="Hipervnculo"/>
            <w:rFonts w:ascii="Verdana" w:hAnsi="Verdana" w:cs="Arial"/>
            <w:bCs/>
            <w:color w:val="000000"/>
            <w:sz w:val="16"/>
            <w:szCs w:val="16"/>
            <w:u w:val="none"/>
            <w:shd w:val="clear" w:color="auto" w:fill="FFFFFF"/>
            <w:lang w:val="es-CR"/>
          </w:rPr>
          <w:t xml:space="preserve"> </w:t>
        </w:r>
        <w:proofErr w:type="spellStart"/>
        <w:r w:rsidRPr="000447B4">
          <w:rPr>
            <w:rStyle w:val="Hipervnculo"/>
            <w:rFonts w:ascii="Verdana" w:hAnsi="Verdana" w:cs="Arial"/>
            <w:bCs/>
            <w:color w:val="000000"/>
            <w:sz w:val="16"/>
            <w:szCs w:val="16"/>
            <w:u w:val="none"/>
            <w:shd w:val="clear" w:color="auto" w:fill="FFFFFF"/>
            <w:lang w:val="es-CR"/>
          </w:rPr>
          <w:t>on</w:t>
        </w:r>
        <w:proofErr w:type="spellEnd"/>
        <w:r w:rsidRPr="000447B4">
          <w:rPr>
            <w:rStyle w:val="Hipervnculo"/>
            <w:rFonts w:ascii="Verdana" w:hAnsi="Verdana" w:cs="Arial"/>
            <w:bCs/>
            <w:color w:val="000000"/>
            <w:sz w:val="16"/>
            <w:szCs w:val="16"/>
            <w:u w:val="none"/>
            <w:shd w:val="clear" w:color="auto" w:fill="FFFFFF"/>
            <w:lang w:val="es-CR"/>
          </w:rPr>
          <w:t xml:space="preserve"> </w:t>
        </w:r>
        <w:proofErr w:type="spellStart"/>
        <w:r w:rsidRPr="000447B4">
          <w:rPr>
            <w:rStyle w:val="Hipervnculo"/>
            <w:rFonts w:ascii="Verdana" w:hAnsi="Verdana" w:cs="Arial"/>
            <w:bCs/>
            <w:color w:val="000000"/>
            <w:sz w:val="16"/>
            <w:szCs w:val="16"/>
            <w:u w:val="none"/>
            <w:shd w:val="clear" w:color="auto" w:fill="FFFFFF"/>
            <w:lang w:val="es-CR"/>
          </w:rPr>
          <w:t>the</w:t>
        </w:r>
        <w:proofErr w:type="spellEnd"/>
        <w:r w:rsidRPr="000447B4">
          <w:rPr>
            <w:rStyle w:val="Hipervnculo"/>
            <w:rFonts w:ascii="Verdana" w:hAnsi="Verdana" w:cs="Arial"/>
            <w:bCs/>
            <w:color w:val="000000"/>
            <w:sz w:val="16"/>
            <w:szCs w:val="16"/>
            <w:u w:val="none"/>
            <w:shd w:val="clear" w:color="auto" w:fill="FFFFFF"/>
            <w:lang w:val="es-CR"/>
          </w:rPr>
          <w:t xml:space="preserve"> </w:t>
        </w:r>
        <w:proofErr w:type="spellStart"/>
        <w:r w:rsidRPr="000447B4">
          <w:rPr>
            <w:rStyle w:val="Hipervnculo"/>
            <w:rFonts w:ascii="Verdana" w:hAnsi="Verdana" w:cs="Arial"/>
            <w:bCs/>
            <w:color w:val="000000"/>
            <w:sz w:val="16"/>
            <w:szCs w:val="16"/>
            <w:u w:val="none"/>
            <w:shd w:val="clear" w:color="auto" w:fill="FFFFFF"/>
            <w:lang w:val="es-CR"/>
          </w:rPr>
          <w:t>Merits</w:t>
        </w:r>
        <w:proofErr w:type="spellEnd"/>
        <w:r w:rsidRPr="000447B4">
          <w:rPr>
            <w:rStyle w:val="Hipervnculo"/>
            <w:rFonts w:ascii="Verdana" w:hAnsi="Verdana" w:cs="Arial"/>
            <w:bCs/>
            <w:color w:val="000000"/>
            <w:sz w:val="16"/>
            <w:szCs w:val="16"/>
            <w:u w:val="none"/>
            <w:shd w:val="clear" w:color="auto" w:fill="FFFFFF"/>
            <w:lang w:val="es-CR"/>
          </w:rPr>
          <w:t xml:space="preserve">, </w:t>
        </w:r>
        <w:proofErr w:type="spellStart"/>
        <w:r w:rsidRPr="000447B4">
          <w:rPr>
            <w:rStyle w:val="Hipervnculo"/>
            <w:rFonts w:ascii="Verdana" w:hAnsi="Verdana" w:cs="Arial"/>
            <w:bCs/>
            <w:color w:val="000000"/>
            <w:sz w:val="16"/>
            <w:szCs w:val="16"/>
            <w:u w:val="none"/>
            <w:shd w:val="clear" w:color="auto" w:fill="FFFFFF"/>
            <w:lang w:val="es-CR"/>
          </w:rPr>
          <w:t>Complaint</w:t>
        </w:r>
        <w:proofErr w:type="spellEnd"/>
        <w:r w:rsidRPr="000447B4">
          <w:rPr>
            <w:rStyle w:val="Hipervnculo"/>
            <w:rFonts w:ascii="Verdana" w:hAnsi="Verdana" w:cs="Arial"/>
            <w:bCs/>
            <w:color w:val="000000"/>
            <w:sz w:val="16"/>
            <w:szCs w:val="16"/>
            <w:u w:val="none"/>
            <w:shd w:val="clear" w:color="auto" w:fill="FFFFFF"/>
            <w:lang w:val="es-CR"/>
          </w:rPr>
          <w:t xml:space="preserve"> No. 88/2012</w:t>
        </w:r>
      </w:hyperlink>
      <w:r w:rsidRPr="000447B4">
        <w:rPr>
          <w:rFonts w:ascii="Verdana" w:hAnsi="Verdana"/>
          <w:sz w:val="16"/>
          <w:szCs w:val="16"/>
          <w:lang w:val="es-CR"/>
        </w:rPr>
        <w:t xml:space="preserve">, Decisión de 9 de septiembre de 2014, párrs. 57 y 59 y </w:t>
      </w:r>
      <w:hyperlink r:id="rId4" w:anchor="{%22tabview%22:[%22document%22],%22ESCDcIdentifier%22:[%22cc-113-2014-dmerits-en%22]}" w:history="1">
        <w:proofErr w:type="spellStart"/>
        <w:r w:rsidRPr="000447B4">
          <w:rPr>
            <w:rStyle w:val="Hipervnculo"/>
            <w:rFonts w:ascii="Verdana" w:hAnsi="Verdana" w:cs="Arial"/>
            <w:bCs/>
            <w:i/>
            <w:color w:val="000000"/>
            <w:sz w:val="16"/>
            <w:szCs w:val="16"/>
            <w:u w:val="none"/>
            <w:shd w:val="clear" w:color="auto" w:fill="FFFFFF"/>
            <w:lang w:val="es-CR"/>
          </w:rPr>
          <w:t>Unione</w:t>
        </w:r>
        <w:proofErr w:type="spellEnd"/>
        <w:r w:rsidRPr="000447B4">
          <w:rPr>
            <w:rStyle w:val="Hipervnculo"/>
            <w:rFonts w:ascii="Verdana" w:hAnsi="Verdana" w:cs="Arial"/>
            <w:bCs/>
            <w:i/>
            <w:color w:val="000000"/>
            <w:sz w:val="16"/>
            <w:szCs w:val="16"/>
            <w:u w:val="none"/>
            <w:shd w:val="clear" w:color="auto" w:fill="FFFFFF"/>
            <w:lang w:val="es-CR"/>
          </w:rPr>
          <w:t xml:space="preserve"> Italiana del </w:t>
        </w:r>
        <w:proofErr w:type="spellStart"/>
        <w:r w:rsidRPr="000447B4">
          <w:rPr>
            <w:rStyle w:val="Hipervnculo"/>
            <w:rFonts w:ascii="Verdana" w:hAnsi="Verdana" w:cs="Arial"/>
            <w:bCs/>
            <w:i/>
            <w:color w:val="000000"/>
            <w:sz w:val="16"/>
            <w:szCs w:val="16"/>
            <w:u w:val="none"/>
            <w:shd w:val="clear" w:color="auto" w:fill="FFFFFF"/>
            <w:lang w:val="es-CR"/>
          </w:rPr>
          <w:t>Lavoro</w:t>
        </w:r>
        <w:proofErr w:type="spellEnd"/>
        <w:r w:rsidRPr="000447B4">
          <w:rPr>
            <w:rStyle w:val="Hipervnculo"/>
            <w:rFonts w:ascii="Verdana" w:hAnsi="Verdana" w:cs="Arial"/>
            <w:bCs/>
            <w:i/>
            <w:color w:val="000000"/>
            <w:sz w:val="16"/>
            <w:szCs w:val="16"/>
            <w:u w:val="none"/>
            <w:shd w:val="clear" w:color="auto" w:fill="FFFFFF"/>
            <w:lang w:val="es-CR"/>
          </w:rPr>
          <w:t xml:space="preserve"> U.I.L. </w:t>
        </w:r>
        <w:proofErr w:type="spellStart"/>
        <w:r w:rsidRPr="000447B4">
          <w:rPr>
            <w:rStyle w:val="Hipervnculo"/>
            <w:rFonts w:ascii="Verdana" w:hAnsi="Verdana" w:cs="Arial"/>
            <w:bCs/>
            <w:i/>
            <w:color w:val="000000"/>
            <w:sz w:val="16"/>
            <w:szCs w:val="16"/>
            <w:u w:val="none"/>
            <w:shd w:val="clear" w:color="auto" w:fill="FFFFFF"/>
            <w:lang w:val="es-CR"/>
          </w:rPr>
          <w:t>Scuola</w:t>
        </w:r>
        <w:proofErr w:type="spellEnd"/>
        <w:r w:rsidRPr="000447B4">
          <w:rPr>
            <w:rStyle w:val="Hipervnculo"/>
            <w:rFonts w:ascii="Verdana" w:hAnsi="Verdana" w:cs="Arial"/>
            <w:bCs/>
            <w:i/>
            <w:color w:val="000000"/>
            <w:sz w:val="16"/>
            <w:szCs w:val="16"/>
            <w:u w:val="none"/>
            <w:shd w:val="clear" w:color="auto" w:fill="FFFFFF"/>
            <w:lang w:val="es-CR"/>
          </w:rPr>
          <w:t xml:space="preserve">-Sicilia Vs. </w:t>
        </w:r>
        <w:proofErr w:type="spellStart"/>
        <w:r w:rsidRPr="000447B4">
          <w:rPr>
            <w:rStyle w:val="Hipervnculo"/>
            <w:rFonts w:ascii="Verdana" w:hAnsi="Verdana" w:cs="Arial"/>
            <w:bCs/>
            <w:i/>
            <w:color w:val="000000"/>
            <w:sz w:val="16"/>
            <w:szCs w:val="16"/>
            <w:u w:val="none"/>
            <w:shd w:val="clear" w:color="auto" w:fill="FFFFFF"/>
            <w:lang w:val="es-CR"/>
          </w:rPr>
          <w:t>Italy</w:t>
        </w:r>
        <w:proofErr w:type="spellEnd"/>
        <w:r w:rsidRPr="000447B4">
          <w:rPr>
            <w:rStyle w:val="Hipervnculo"/>
            <w:rFonts w:ascii="Verdana" w:hAnsi="Verdana" w:cs="Arial"/>
            <w:bCs/>
            <w:color w:val="000000"/>
            <w:sz w:val="16"/>
            <w:szCs w:val="16"/>
            <w:u w:val="none"/>
            <w:shd w:val="clear" w:color="auto" w:fill="FFFFFF"/>
            <w:lang w:val="es-CR"/>
          </w:rPr>
          <w:t xml:space="preserve">, </w:t>
        </w:r>
        <w:proofErr w:type="spellStart"/>
        <w:r w:rsidRPr="000447B4">
          <w:rPr>
            <w:rStyle w:val="Hipervnculo"/>
            <w:rFonts w:ascii="Verdana" w:hAnsi="Verdana" w:cs="Arial"/>
            <w:bCs/>
            <w:color w:val="000000"/>
            <w:sz w:val="16"/>
            <w:szCs w:val="16"/>
            <w:u w:val="none"/>
            <w:shd w:val="clear" w:color="auto" w:fill="FFFFFF"/>
            <w:lang w:val="es-CR"/>
          </w:rPr>
          <w:t>Complaint</w:t>
        </w:r>
        <w:proofErr w:type="spellEnd"/>
        <w:r w:rsidRPr="000447B4">
          <w:rPr>
            <w:rStyle w:val="Hipervnculo"/>
            <w:rFonts w:ascii="Verdana" w:hAnsi="Verdana" w:cs="Arial"/>
            <w:bCs/>
            <w:color w:val="000000"/>
            <w:sz w:val="16"/>
            <w:szCs w:val="16"/>
            <w:u w:val="none"/>
            <w:shd w:val="clear" w:color="auto" w:fill="FFFFFF"/>
            <w:lang w:val="es-CR"/>
          </w:rPr>
          <w:t xml:space="preserve"> No. 13/2014</w:t>
        </w:r>
      </w:hyperlink>
      <w:r w:rsidRPr="000447B4">
        <w:rPr>
          <w:rFonts w:ascii="Verdana" w:hAnsi="Verdana"/>
          <w:sz w:val="16"/>
          <w:szCs w:val="16"/>
          <w:lang w:val="es-CR"/>
        </w:rPr>
        <w:t>, Decision on the merits, Decisión de 24 de enero de 201, párr. 52.</w:t>
      </w:r>
      <w:r w:rsidRPr="00D307FC">
        <w:rPr>
          <w:rFonts w:ascii="Verdana" w:hAnsi="Verdana"/>
          <w:sz w:val="16"/>
          <w:szCs w:val="16"/>
          <w:lang w:val="es-CR"/>
        </w:rPr>
        <w:t xml:space="preserve"> </w:t>
      </w:r>
    </w:p>
  </w:footnote>
  <w:footnote w:id="41">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lang w:val="es-CR"/>
        </w:rPr>
        <w:tab/>
        <w:t>“</w:t>
      </w:r>
      <w:r w:rsidRPr="00D503C7">
        <w:rPr>
          <w:rFonts w:ascii="Verdana" w:hAnsi="Verdana"/>
          <w:sz w:val="16"/>
          <w:szCs w:val="16"/>
        </w:rPr>
        <w:t xml:space="preserve">Para garantizar el ejercicio efectivo del derecho de las trabajadoras a la protección de la maternidad, las Partes se comprometen: Para garantizar el ejercicio efectivo del derecho de las trabajadoras a la protección de la maternidad, las Partes se comprometen: 1 a garantizar a las trabajadoras, antes y después del parto, un descanso de una duración total de catorce semanas, como mínimo, sea mediante vacaciones pagadas, sea por prestaciones adecuadas de la seguridad social o por subsidios sufragados con fondos públicos; 2 a considerar como ilegal que un empleador despida a una mujer durante el período comprendido entre el momento en que comunique su embarazo a su empleador y el fin de su permiso de maternidad, o en una fecha tal que el período de preaviso expire durante ese período; 3 a garantizar a las madres que críen a sus hijos el tiempo libre suficiente para hacerlo; 4 a regular el trabajo nocturno de las mujeres que estén embarazadas, que hayan dado a luz recientemente o que estén criando a sus hijos; 5 a prohibir el empleo de las mujeres que estén embarazadas, que hayan dado a luz recientemente o que estén criando a sus hijos en trabajos subterráneos de minería y en cualesquiera otros trabajos que no sean adecuados por su carácter peligroso, penoso o insalubre, y a adoptar las medidas adecuadas para proteger los derechos de estas mujeres en materia de empleo”. </w:t>
      </w:r>
    </w:p>
  </w:footnote>
  <w:footnote w:id="42">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t>Para garantizar el ejercicio efectivo del derecho a beneficiarse de los servicios sociales, las Partes se comprometen: 1 a fomentar u organizar servicios que, utilizando los métodos de un servicio social, contribuyan al bienestar y al desarrollo de los individuos y de los grupos en la comunidad, así como a su adaptación al medio o entorno social; 2 a estimular la participación de los individuos y de las organizaciones benéficas o de otra clase en la creación y mantenimiento de tales servicios.</w:t>
      </w:r>
    </w:p>
  </w:footnote>
  <w:footnote w:id="43">
    <w:p w:rsidR="004D6765" w:rsidRPr="004D6765" w:rsidRDefault="004D6765" w:rsidP="004D6765">
      <w:pPr>
        <w:pStyle w:val="NormalWeb"/>
        <w:spacing w:before="0" w:beforeAutospacing="0" w:after="120" w:afterAutospacing="0"/>
        <w:jc w:val="both"/>
        <w:rPr>
          <w:rFonts w:ascii="Verdana" w:hAnsi="Verdana"/>
          <w:sz w:val="16"/>
          <w:szCs w:val="16"/>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Pr>
          <w:rFonts w:ascii="Verdana" w:hAnsi="Verdana"/>
          <w:sz w:val="16"/>
          <w:szCs w:val="16"/>
        </w:rPr>
        <w:t>Recomendación CM/Rec (2014) 2, del Comité de Ministros a los Estados miembros sobre la promoción de los derec</w:t>
      </w:r>
      <w:r w:rsidR="00FC6342">
        <w:rPr>
          <w:rFonts w:ascii="Verdana" w:hAnsi="Verdana"/>
          <w:sz w:val="16"/>
          <w:szCs w:val="16"/>
        </w:rPr>
        <w:t>h</w:t>
      </w:r>
      <w:r>
        <w:rPr>
          <w:rFonts w:ascii="Verdana" w:hAnsi="Verdana"/>
          <w:sz w:val="16"/>
          <w:szCs w:val="16"/>
        </w:rPr>
        <w:t>os de las personas mayores. Adoptada por el Comité de Ministros el 1</w:t>
      </w:r>
      <w:r w:rsidR="009F3999">
        <w:rPr>
          <w:rFonts w:ascii="Verdana" w:hAnsi="Verdana"/>
          <w:sz w:val="16"/>
          <w:szCs w:val="16"/>
        </w:rPr>
        <w:t>4</w:t>
      </w:r>
      <w:r>
        <w:rPr>
          <w:rFonts w:ascii="Verdana" w:hAnsi="Verdana"/>
          <w:sz w:val="16"/>
          <w:szCs w:val="16"/>
        </w:rPr>
        <w:t xml:space="preserve"> de febrero de 2014 durante la 1192ª reunión de viceministros.</w:t>
      </w:r>
      <w:r w:rsidR="006A72B7">
        <w:rPr>
          <w:rFonts w:ascii="Verdana" w:hAnsi="Verdana"/>
          <w:sz w:val="16"/>
          <w:szCs w:val="16"/>
        </w:rPr>
        <w:t xml:space="preserve"> De conformidad con el primer punto del anexo: “1. El objetivo de esta recomendación es promover, proteger, y asegurar el disfrute pleno y equitativo de todos los derechos humanos y libertades fundamentales por parte de las personas mayores y promover el respeto de su dignidad inherente”.</w:t>
      </w:r>
    </w:p>
  </w:footnote>
  <w:footnote w:id="44">
    <w:p w:rsidR="002005C7" w:rsidRPr="00D503C7" w:rsidRDefault="002005C7" w:rsidP="00F47861">
      <w:pPr>
        <w:pStyle w:val="Textonotapie"/>
        <w:spacing w:after="120"/>
        <w:jc w:val="both"/>
        <w:rPr>
          <w:rFonts w:ascii="Verdana" w:hAnsi="Verdana" w:cs="Arial"/>
          <w:sz w:val="16"/>
          <w:szCs w:val="16"/>
        </w:rPr>
      </w:pPr>
      <w:r w:rsidRPr="00D503C7">
        <w:rPr>
          <w:rStyle w:val="Refdenotaalpie"/>
          <w:rFonts w:ascii="Verdana" w:hAnsi="Verdana" w:cs="Arial"/>
          <w:sz w:val="16"/>
          <w:szCs w:val="16"/>
        </w:rPr>
        <w:footnoteRef/>
      </w:r>
      <w:r w:rsidRPr="00D503C7">
        <w:rPr>
          <w:rFonts w:ascii="Verdana" w:hAnsi="Verdana" w:cs="Arial"/>
          <w:sz w:val="16"/>
          <w:szCs w:val="16"/>
        </w:rPr>
        <w:t xml:space="preserve"> </w:t>
      </w:r>
      <w:r w:rsidRPr="00D503C7">
        <w:rPr>
          <w:rFonts w:ascii="Verdana" w:hAnsi="Verdana" w:cs="Arial"/>
          <w:sz w:val="16"/>
          <w:szCs w:val="16"/>
        </w:rPr>
        <w:tab/>
      </w:r>
      <w:r w:rsidRPr="00D503C7">
        <w:rPr>
          <w:rFonts w:ascii="Verdana" w:eastAsia="Calibri" w:hAnsi="Verdana" w:cs="Arial"/>
          <w:bCs/>
          <w:i/>
          <w:sz w:val="16"/>
          <w:szCs w:val="16"/>
        </w:rPr>
        <w:t>Caso "Cinco Pensionistas" Vs. Perú. Fondo, Reparaciones y Costas.</w:t>
      </w:r>
      <w:r w:rsidRPr="00D503C7">
        <w:rPr>
          <w:rFonts w:ascii="Verdana" w:eastAsia="Calibri" w:hAnsi="Verdana" w:cs="Arial"/>
          <w:bCs/>
          <w:sz w:val="16"/>
          <w:szCs w:val="16"/>
        </w:rPr>
        <w:t xml:space="preserve"> Sentencia de 28 de febrero de 2003. Serie C No. 98, párr. 94.</w:t>
      </w:r>
      <w:r w:rsidR="00792F5C">
        <w:rPr>
          <w:rFonts w:ascii="Verdana" w:eastAsia="Calibri" w:hAnsi="Verdana" w:cs="Arial"/>
          <w:bCs/>
          <w:sz w:val="16"/>
          <w:szCs w:val="16"/>
        </w:rPr>
        <w:t xml:space="preserve"> </w:t>
      </w:r>
    </w:p>
  </w:footnote>
  <w:footnote w:id="45">
    <w:p w:rsidR="002005C7" w:rsidRPr="00D503C7" w:rsidRDefault="002005C7" w:rsidP="00F47861">
      <w:pPr>
        <w:pStyle w:val="Textonotapie"/>
        <w:spacing w:after="120"/>
        <w:jc w:val="both"/>
        <w:rPr>
          <w:rFonts w:ascii="Verdana" w:hAnsi="Verdana" w:cs="Arial"/>
          <w:sz w:val="16"/>
          <w:szCs w:val="16"/>
        </w:rPr>
      </w:pPr>
      <w:r w:rsidRPr="00D503C7">
        <w:rPr>
          <w:rStyle w:val="Refdenotaalpie"/>
          <w:rFonts w:ascii="Verdana" w:hAnsi="Verdana" w:cs="Arial"/>
          <w:sz w:val="16"/>
          <w:szCs w:val="16"/>
        </w:rPr>
        <w:footnoteRef/>
      </w:r>
      <w:r w:rsidRPr="00D503C7">
        <w:rPr>
          <w:rFonts w:ascii="Verdana" w:hAnsi="Verdana" w:cs="Arial"/>
          <w:sz w:val="16"/>
          <w:szCs w:val="16"/>
        </w:rPr>
        <w:t xml:space="preserve"> </w:t>
      </w:r>
      <w:r w:rsidRPr="00D503C7">
        <w:rPr>
          <w:rFonts w:ascii="Verdana" w:hAnsi="Verdana" w:cs="Arial"/>
          <w:sz w:val="16"/>
          <w:szCs w:val="16"/>
        </w:rPr>
        <w:tab/>
      </w:r>
      <w:r w:rsidRPr="00D503C7">
        <w:rPr>
          <w:rFonts w:ascii="Verdana" w:eastAsia="Calibri" w:hAnsi="Verdana" w:cs="Arial"/>
          <w:bCs/>
          <w:i/>
          <w:sz w:val="16"/>
          <w:szCs w:val="16"/>
        </w:rPr>
        <w:t>Caso "Cinco Pensionistas" Vs. Perú. Fondo, Reparaciones y Costas.</w:t>
      </w:r>
      <w:r w:rsidRPr="00D503C7">
        <w:rPr>
          <w:rFonts w:ascii="Verdana" w:eastAsia="Calibri" w:hAnsi="Verdana" w:cs="Arial"/>
          <w:bCs/>
          <w:sz w:val="16"/>
          <w:szCs w:val="16"/>
        </w:rPr>
        <w:t xml:space="preserve"> Sentencia de 28 de febrero de 2003. Serie C No. 98, párr. 95.</w:t>
      </w:r>
    </w:p>
  </w:footnote>
  <w:footnote w:id="46">
    <w:p w:rsidR="002005C7" w:rsidRPr="00D503C7" w:rsidRDefault="002005C7" w:rsidP="00F47861">
      <w:pPr>
        <w:pStyle w:val="Textonotapie"/>
        <w:spacing w:after="120"/>
        <w:jc w:val="both"/>
        <w:rPr>
          <w:rFonts w:ascii="Verdana" w:hAnsi="Verdana" w:cs="Arial"/>
          <w:sz w:val="16"/>
          <w:szCs w:val="16"/>
        </w:rPr>
      </w:pPr>
      <w:r w:rsidRPr="00D503C7">
        <w:rPr>
          <w:rStyle w:val="Refdenotaalpie"/>
          <w:rFonts w:ascii="Verdana" w:hAnsi="Verdana" w:cs="Arial"/>
          <w:sz w:val="16"/>
          <w:szCs w:val="16"/>
        </w:rPr>
        <w:footnoteRef/>
      </w:r>
      <w:r w:rsidRPr="00D503C7">
        <w:rPr>
          <w:rFonts w:ascii="Verdana" w:hAnsi="Verdana" w:cs="Arial"/>
          <w:sz w:val="16"/>
          <w:szCs w:val="16"/>
        </w:rPr>
        <w:t xml:space="preserve"> </w:t>
      </w:r>
      <w:r w:rsidRPr="00D503C7">
        <w:rPr>
          <w:rFonts w:ascii="Verdana" w:hAnsi="Verdana" w:cs="Arial"/>
          <w:sz w:val="16"/>
          <w:szCs w:val="16"/>
        </w:rPr>
        <w:tab/>
      </w:r>
      <w:r w:rsidRPr="00D503C7">
        <w:rPr>
          <w:rFonts w:ascii="Verdana" w:eastAsia="Calibri" w:hAnsi="Verdana" w:cs="Arial"/>
          <w:bCs/>
          <w:i/>
          <w:sz w:val="16"/>
          <w:szCs w:val="16"/>
        </w:rPr>
        <w:t>Caso "Cinco Pensionistas" Vs. Perú. Fondo, Reparaciones y Costas.</w:t>
      </w:r>
      <w:r w:rsidRPr="00D503C7">
        <w:rPr>
          <w:rFonts w:ascii="Verdana" w:eastAsia="Calibri" w:hAnsi="Verdana" w:cs="Arial"/>
          <w:bCs/>
          <w:sz w:val="16"/>
          <w:szCs w:val="16"/>
        </w:rPr>
        <w:t xml:space="preserve"> Sentencia de 28 de febrero de 2003. Serie C No. 98, párrs. 102 y 103.</w:t>
      </w:r>
    </w:p>
  </w:footnote>
  <w:footnote w:id="47">
    <w:p w:rsidR="002005C7" w:rsidRPr="00D503C7" w:rsidRDefault="002005C7" w:rsidP="00F47861">
      <w:pPr>
        <w:pStyle w:val="Prrafodelista"/>
        <w:tabs>
          <w:tab w:val="left" w:pos="0"/>
          <w:tab w:val="left" w:pos="567"/>
          <w:tab w:val="left" w:pos="709"/>
          <w:tab w:val="left" w:pos="9356"/>
        </w:tabs>
        <w:spacing w:after="120"/>
        <w:ind w:left="0" w:right="6"/>
        <w:jc w:val="both"/>
        <w:rPr>
          <w:rFonts w:ascii="Verdana" w:eastAsiaTheme="minorEastAsia" w:hAnsi="Verdana" w:cs="Arial"/>
          <w:sz w:val="16"/>
          <w:szCs w:val="16"/>
        </w:rPr>
      </w:pPr>
      <w:r w:rsidRPr="00D503C7">
        <w:rPr>
          <w:rStyle w:val="Refdenotaalpie"/>
          <w:rFonts w:ascii="Verdana" w:hAnsi="Verdana" w:cs="Arial"/>
          <w:sz w:val="16"/>
          <w:szCs w:val="16"/>
        </w:rPr>
        <w:footnoteRef/>
      </w:r>
      <w:r w:rsidRPr="00D503C7">
        <w:rPr>
          <w:rFonts w:ascii="Verdana" w:hAnsi="Verdana" w:cs="Arial"/>
          <w:sz w:val="16"/>
          <w:szCs w:val="16"/>
        </w:rPr>
        <w:t xml:space="preserve"> </w:t>
      </w:r>
      <w:r w:rsidRPr="00D503C7">
        <w:rPr>
          <w:rFonts w:ascii="Verdana" w:hAnsi="Verdana" w:cs="Arial"/>
          <w:sz w:val="16"/>
          <w:szCs w:val="16"/>
        </w:rPr>
        <w:tab/>
      </w:r>
      <w:r w:rsidR="002706F2">
        <w:rPr>
          <w:rFonts w:ascii="Verdana" w:hAnsi="Verdana" w:cs="Arial"/>
          <w:sz w:val="16"/>
          <w:szCs w:val="16"/>
        </w:rPr>
        <w:tab/>
      </w:r>
      <w:r w:rsidRPr="00D503C7">
        <w:rPr>
          <w:rFonts w:ascii="Verdana" w:eastAsia="Calibri" w:hAnsi="Verdana" w:cs="Arial"/>
          <w:bCs/>
          <w:i/>
          <w:sz w:val="16"/>
          <w:szCs w:val="16"/>
        </w:rPr>
        <w:t>Caso "Cinco Pensionistas" Vs. Perú. Fondo, Reparaciones y Costas.</w:t>
      </w:r>
      <w:r w:rsidRPr="00D503C7">
        <w:rPr>
          <w:rFonts w:ascii="Verdana" w:eastAsia="Calibri" w:hAnsi="Verdana" w:cs="Arial"/>
          <w:bCs/>
          <w:sz w:val="16"/>
          <w:szCs w:val="16"/>
        </w:rPr>
        <w:t xml:space="preserve"> Sentencia de 28 de febrero de 2003. Serie C No. 98, párr. 116.</w:t>
      </w:r>
      <w:r w:rsidRPr="00D503C7">
        <w:rPr>
          <w:rFonts w:ascii="Verdana" w:eastAsiaTheme="minorEastAsia" w:hAnsi="Verdana" w:cs="Arial"/>
          <w:sz w:val="16"/>
          <w:szCs w:val="16"/>
        </w:rPr>
        <w:t xml:space="preserve"> En otras p</w:t>
      </w:r>
      <w:r w:rsidR="002706F2">
        <w:rPr>
          <w:rFonts w:ascii="Verdana" w:eastAsiaTheme="minorEastAsia" w:hAnsi="Verdana" w:cs="Arial"/>
          <w:sz w:val="16"/>
          <w:szCs w:val="16"/>
        </w:rPr>
        <w:t>alabras, la Corte IDH</w:t>
      </w:r>
      <w:r w:rsidRPr="00D503C7">
        <w:rPr>
          <w:rFonts w:ascii="Verdana" w:eastAsiaTheme="minorEastAsia" w:hAnsi="Verdana" w:cs="Arial"/>
          <w:sz w:val="16"/>
          <w:szCs w:val="16"/>
        </w:rPr>
        <w:t xml:space="preserve"> determinó que para restringir el derecho a la pensión nivelable es necesario que se realice un procedimiento administrativo con pleno derecho a </w:t>
      </w:r>
      <w:r w:rsidRPr="00D503C7">
        <w:rPr>
          <w:rFonts w:ascii="Verdana" w:hAnsi="Verdana" w:cs="Arial"/>
          <w:sz w:val="16"/>
          <w:szCs w:val="16"/>
        </w:rPr>
        <w:t>las garantías adecuadas, y b) respetar, en todo caso, las decisiones de la administración, las determinaciones que adoptaron los tribunales de justicia.</w:t>
      </w:r>
      <w:r w:rsidR="00792F5C">
        <w:rPr>
          <w:rFonts w:ascii="Verdana" w:hAnsi="Verdana" w:cs="Arial"/>
          <w:sz w:val="16"/>
          <w:szCs w:val="16"/>
        </w:rPr>
        <w:t xml:space="preserve"> </w:t>
      </w:r>
      <w:r w:rsidRPr="00D503C7">
        <w:rPr>
          <w:rFonts w:ascii="Verdana" w:eastAsiaTheme="minorEastAsia" w:hAnsi="Verdana" w:cs="Arial"/>
          <w:sz w:val="16"/>
          <w:szCs w:val="16"/>
        </w:rPr>
        <w:t>En el caso de las cinco víctimas, el Tribunal Interamericano consideró que no se habían cumplido ninguno de los dos requisitos</w:t>
      </w:r>
      <w:r w:rsidRPr="00D503C7">
        <w:rPr>
          <w:rFonts w:ascii="Verdana" w:hAnsi="Verdana" w:cs="Arial"/>
          <w:sz w:val="16"/>
          <w:szCs w:val="16"/>
        </w:rPr>
        <w:t>.</w:t>
      </w:r>
      <w:r w:rsidR="00792F5C">
        <w:rPr>
          <w:rFonts w:ascii="Verdana" w:hAnsi="Verdana" w:cs="Arial"/>
          <w:sz w:val="16"/>
          <w:szCs w:val="16"/>
        </w:rPr>
        <w:t xml:space="preserve"> </w:t>
      </w:r>
      <w:r w:rsidRPr="00D503C7">
        <w:rPr>
          <w:rFonts w:ascii="Verdana" w:eastAsia="Calibri" w:hAnsi="Verdana" w:cs="Arial"/>
          <w:bCs/>
          <w:i/>
          <w:sz w:val="16"/>
          <w:szCs w:val="16"/>
        </w:rPr>
        <w:t>Caso "Cinco Pensionistas" Vs. Perú. Fondo, Reparaciones y Costas.</w:t>
      </w:r>
      <w:r w:rsidRPr="00D503C7">
        <w:rPr>
          <w:rFonts w:ascii="Verdana" w:eastAsia="Calibri" w:hAnsi="Verdana" w:cs="Arial"/>
          <w:bCs/>
          <w:sz w:val="16"/>
          <w:szCs w:val="16"/>
        </w:rPr>
        <w:t xml:space="preserve"> Sentencia de 28 de febrero de 2003. Serie C No. 98, párrs. 117 y 118. </w:t>
      </w:r>
    </w:p>
  </w:footnote>
  <w:footnote w:id="48">
    <w:p w:rsidR="002005C7" w:rsidRPr="00D503C7" w:rsidRDefault="002005C7" w:rsidP="00F47861">
      <w:pPr>
        <w:pStyle w:val="Textonotapie"/>
        <w:spacing w:after="120"/>
        <w:jc w:val="both"/>
        <w:rPr>
          <w:rFonts w:ascii="Verdana" w:hAnsi="Verdana" w:cs="Arial"/>
          <w:sz w:val="16"/>
          <w:szCs w:val="16"/>
        </w:rPr>
      </w:pPr>
      <w:r w:rsidRPr="00D503C7">
        <w:rPr>
          <w:rStyle w:val="Refdenotaalpie"/>
          <w:rFonts w:ascii="Verdana" w:hAnsi="Verdana" w:cs="Arial"/>
          <w:sz w:val="16"/>
          <w:szCs w:val="16"/>
        </w:rPr>
        <w:footnoteRef/>
      </w:r>
      <w:r w:rsidRPr="00D503C7">
        <w:rPr>
          <w:rFonts w:ascii="Verdana" w:hAnsi="Verdana" w:cs="Arial"/>
          <w:sz w:val="16"/>
          <w:szCs w:val="16"/>
        </w:rPr>
        <w:t xml:space="preserve"> </w:t>
      </w:r>
      <w:r w:rsidRPr="00D503C7">
        <w:rPr>
          <w:rFonts w:ascii="Verdana" w:hAnsi="Verdana" w:cs="Arial"/>
          <w:sz w:val="16"/>
          <w:szCs w:val="16"/>
        </w:rPr>
        <w:tab/>
      </w:r>
      <w:r w:rsidRPr="00D503C7">
        <w:rPr>
          <w:rFonts w:ascii="Verdana" w:eastAsia="Calibri" w:hAnsi="Verdana" w:cs="Arial"/>
          <w:bCs/>
          <w:i/>
          <w:sz w:val="16"/>
          <w:szCs w:val="16"/>
        </w:rPr>
        <w:t>Caso "Cinco Pensionistas" Vs. Perú. Fondo, Reparaciones y Costas.</w:t>
      </w:r>
      <w:r w:rsidRPr="00D503C7">
        <w:rPr>
          <w:rFonts w:ascii="Verdana" w:eastAsia="Calibri" w:hAnsi="Verdana" w:cs="Arial"/>
          <w:bCs/>
          <w:sz w:val="16"/>
          <w:szCs w:val="16"/>
        </w:rPr>
        <w:t xml:space="preserve"> Sentencia de 28 de febrero de 2003. Serie C No. 98, párrs. 138 y 141.</w:t>
      </w:r>
      <w:r w:rsidRPr="00D503C7">
        <w:rPr>
          <w:rFonts w:ascii="Verdana" w:eastAsia="Calibri" w:hAnsi="Verdana" w:cs="Arial"/>
          <w:b/>
          <w:bCs/>
          <w:sz w:val="16"/>
          <w:szCs w:val="16"/>
        </w:rPr>
        <w:t xml:space="preserve"> </w:t>
      </w:r>
    </w:p>
  </w:footnote>
  <w:footnote w:id="49">
    <w:p w:rsidR="002005C7" w:rsidRPr="00D503C7" w:rsidRDefault="002005C7" w:rsidP="00F47861">
      <w:pPr>
        <w:pStyle w:val="Textonotapie"/>
        <w:spacing w:after="120"/>
        <w:jc w:val="both"/>
        <w:rPr>
          <w:rFonts w:ascii="Verdana" w:hAnsi="Verdana" w:cs="Arial"/>
          <w:sz w:val="16"/>
          <w:szCs w:val="16"/>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lang w:val="es-CR"/>
        </w:rPr>
        <w:tab/>
      </w:r>
      <w:r w:rsidRPr="00D503C7">
        <w:rPr>
          <w:rFonts w:ascii="Verdana" w:hAnsi="Verdana" w:cs="Arial"/>
          <w:color w:val="000000"/>
          <w:sz w:val="16"/>
          <w:szCs w:val="16"/>
        </w:rPr>
        <w:t xml:space="preserve">Sobre la violación del artículo 25 del Pacto de San José la Corte expresó que: </w:t>
      </w:r>
      <w:r w:rsidRPr="00D503C7">
        <w:rPr>
          <w:rFonts w:ascii="Verdana" w:hAnsi="Verdana" w:cs="Arial"/>
          <w:sz w:val="16"/>
          <w:szCs w:val="16"/>
        </w:rPr>
        <w:t xml:space="preserve">“72. En ese sentido, en los términos del artículo 25 de la Convención, es posible identificar dos responsabilidades concretas del Estado. La primera, consagrar normativamente y asegurar la debida aplicación de recursos efectivos ante las autoridades competentes, que amparen a todas las personas bajo su jurisdicción contra actos que violen sus derechos fundamentales o que conlleven a la determinación de los derechos y obligaciones de éstas. La segunda, garantizar los medios para ejecutar las respectivas decisiones y sentencias definitivas emitidas por tales autoridades competentes, de manera que se protejan efectivamente los derechos declarados o reconocidos. Esto último, debido a que una sentencia con carácter de cosa juzgada otorga certeza sobre el derecho o controversia discutida en el caso concreto y, por ende, tiene como uno de sus efectos la obligatoriedad o necesidad de cumplimiento. Lo contrario supone la negación misma del derecho involucrado”. </w:t>
      </w:r>
      <w:r w:rsidRPr="00D503C7">
        <w:rPr>
          <w:rFonts w:ascii="Verdana" w:eastAsia="Calibri" w:hAnsi="Verdana" w:cs="Arial"/>
          <w:bCs/>
          <w:i/>
          <w:sz w:val="16"/>
          <w:szCs w:val="16"/>
        </w:rPr>
        <w:t>Caso Acevedo Buendía y otros (“Cesantes y Jubilados de la Contraloría”) Vs. Perú. Excepción Preliminar, Fondo, Reparaciones y Costas</w:t>
      </w:r>
      <w:r w:rsidRPr="00D503C7">
        <w:rPr>
          <w:rFonts w:ascii="Verdana" w:eastAsia="Calibri" w:hAnsi="Verdana" w:cs="Arial"/>
          <w:bCs/>
          <w:sz w:val="16"/>
          <w:szCs w:val="16"/>
        </w:rPr>
        <w:t xml:space="preserve">. Sentencia de 1 de julio de 2009. Serie C No. 198, párr. 72. </w:t>
      </w:r>
    </w:p>
  </w:footnote>
  <w:footnote w:id="50">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lang w:val="es-CR"/>
        </w:rPr>
        <w:tab/>
      </w:r>
      <w:r w:rsidRPr="00D503C7">
        <w:rPr>
          <w:rFonts w:ascii="Verdana" w:hAnsi="Verdana" w:cs="Arial"/>
          <w:color w:val="000000"/>
          <w:sz w:val="16"/>
          <w:szCs w:val="16"/>
        </w:rPr>
        <w:t>Sobre la violación del artículo 21 del Pacto de San José la Corte</w:t>
      </w:r>
      <w:r w:rsidR="002706F2">
        <w:rPr>
          <w:rFonts w:ascii="Verdana" w:hAnsi="Verdana" w:cs="Arial"/>
          <w:color w:val="000000"/>
          <w:sz w:val="16"/>
          <w:szCs w:val="16"/>
        </w:rPr>
        <w:t xml:space="preserve"> IDH</w:t>
      </w:r>
      <w:r w:rsidRPr="00D503C7">
        <w:rPr>
          <w:rFonts w:ascii="Verdana" w:hAnsi="Verdana" w:cs="Arial"/>
          <w:color w:val="000000"/>
          <w:sz w:val="16"/>
          <w:szCs w:val="16"/>
        </w:rPr>
        <w:t xml:space="preserve"> expresó que: </w:t>
      </w:r>
      <w:r w:rsidRPr="00D503C7">
        <w:rPr>
          <w:rFonts w:ascii="Verdana" w:hAnsi="Verdana" w:cs="Arial"/>
          <w:i/>
          <w:sz w:val="16"/>
          <w:szCs w:val="16"/>
        </w:rPr>
        <w:t>“85. En un caso similar al presente, esta Corte declaró una violación del derecho a la propiedad por la afectación patrimonial causada por el incumplimiento de sentencias que pretendían proteger el derecho a una pensión – derecho que había sido adquirido por las víctimas en aquél caso, de conformidad con la normativa interna. En esa sentencia el Tribunal señaló́ que, desde el momento en que un pensionista paga sus contribuciones a un fondo de pensiones y deja de prestar servicios a la institución concernida para acogerse al régimen de jubilaciones previsto en la ley, adquiere el derecho a que su pensión se rija en los términos y condiciones previstas en dicha ley. Asimismo, declaró que el derecho a la pensión que adquiere dicha persona tiene “efectos patrimoniales” los cuales están protegidos bajo el artículo 21 de la Convención. Consecuentemente, en aquél caso el Tribunal declaró que al haber cambiado arbitrariamente el monto de las pensiones que venían percibiendo las presuntas víctimas y al no haber dado cumplimiento a las sentencias judiciales emitidas con ocasión de las acciones de garantía interpuestas por éstos, el Estado violó el derecho a la propiedad reconocido en el artículo 21 de la Convención”</w:t>
      </w:r>
      <w:r w:rsidRPr="00D503C7">
        <w:rPr>
          <w:rFonts w:ascii="Verdana" w:hAnsi="Verdana" w:cs="Arial"/>
          <w:sz w:val="16"/>
          <w:szCs w:val="16"/>
        </w:rPr>
        <w:t xml:space="preserve">. </w:t>
      </w:r>
      <w:r w:rsidRPr="00D503C7">
        <w:rPr>
          <w:rFonts w:ascii="Verdana" w:eastAsia="Calibri" w:hAnsi="Verdana" w:cs="Arial"/>
          <w:bCs/>
          <w:i/>
          <w:sz w:val="16"/>
          <w:szCs w:val="16"/>
        </w:rPr>
        <w:t>Caso Acevedo Buendía y otros (“Cesantes y Jubilados de la Contraloría”) Vs. Perú. Excepción Preliminar, Fondo, Reparaciones y Costas</w:t>
      </w:r>
      <w:r w:rsidRPr="00D503C7">
        <w:rPr>
          <w:rFonts w:ascii="Verdana" w:eastAsia="Calibri" w:hAnsi="Verdana" w:cs="Arial"/>
          <w:bCs/>
          <w:sz w:val="16"/>
          <w:szCs w:val="16"/>
        </w:rPr>
        <w:t>. Sentencia de 1 de julio de 2009. Serie C No. 198, párr. 85.</w:t>
      </w:r>
    </w:p>
  </w:footnote>
  <w:footnote w:id="51">
    <w:p w:rsidR="002005C7" w:rsidRPr="00D503C7" w:rsidRDefault="002005C7" w:rsidP="00F47861">
      <w:pPr>
        <w:pStyle w:val="Textonotapie"/>
        <w:spacing w:after="120"/>
        <w:jc w:val="both"/>
        <w:rPr>
          <w:rFonts w:ascii="Verdana" w:hAnsi="Verdana" w:cs="Arial"/>
          <w:sz w:val="16"/>
          <w:szCs w:val="16"/>
        </w:rPr>
      </w:pPr>
      <w:r w:rsidRPr="00D503C7">
        <w:rPr>
          <w:rStyle w:val="Refdenotaalpie"/>
          <w:rFonts w:ascii="Verdana" w:hAnsi="Verdana" w:cs="Arial"/>
          <w:sz w:val="16"/>
          <w:szCs w:val="16"/>
        </w:rPr>
        <w:footnoteRef/>
      </w:r>
      <w:r w:rsidRPr="00D503C7">
        <w:rPr>
          <w:rFonts w:ascii="Verdana" w:hAnsi="Verdana" w:cs="Arial"/>
          <w:sz w:val="16"/>
          <w:szCs w:val="16"/>
        </w:rPr>
        <w:t xml:space="preserve"> </w:t>
      </w:r>
      <w:r w:rsidRPr="00D503C7">
        <w:rPr>
          <w:rFonts w:ascii="Verdana" w:hAnsi="Verdana" w:cs="Arial"/>
          <w:sz w:val="16"/>
          <w:szCs w:val="16"/>
        </w:rPr>
        <w:tab/>
      </w:r>
      <w:r w:rsidRPr="00D503C7">
        <w:rPr>
          <w:rFonts w:ascii="Verdana" w:eastAsia="Calibri" w:hAnsi="Verdana" w:cs="Arial"/>
          <w:bCs/>
          <w:i/>
          <w:sz w:val="16"/>
          <w:szCs w:val="16"/>
        </w:rPr>
        <w:t>Caso Acevedo Buendía y otros (“Cesantes y Jubilados de la Contraloría”) Vs. Perú. Excepción Preliminar, Fondo, Reparaciones y Costas</w:t>
      </w:r>
      <w:r w:rsidRPr="00D503C7">
        <w:rPr>
          <w:rFonts w:ascii="Verdana" w:eastAsia="Calibri" w:hAnsi="Verdana" w:cs="Arial"/>
          <w:bCs/>
          <w:sz w:val="16"/>
          <w:szCs w:val="16"/>
        </w:rPr>
        <w:t xml:space="preserve">. Sentencia de 1 de julio de 2009. Serie C No. 198, párr. 90. </w:t>
      </w:r>
    </w:p>
  </w:footnote>
  <w:footnote w:id="52">
    <w:p w:rsidR="002005C7" w:rsidRPr="00D503C7" w:rsidRDefault="002005C7" w:rsidP="00F47861">
      <w:pPr>
        <w:pStyle w:val="Textonotapie"/>
        <w:spacing w:after="120"/>
        <w:jc w:val="both"/>
        <w:rPr>
          <w:rFonts w:ascii="Verdana" w:hAnsi="Verdana" w:cs="Arial"/>
          <w:sz w:val="16"/>
          <w:szCs w:val="16"/>
        </w:rPr>
      </w:pPr>
      <w:r w:rsidRPr="00D503C7">
        <w:rPr>
          <w:rStyle w:val="Refdenotaalpie"/>
          <w:rFonts w:ascii="Verdana" w:hAnsi="Verdana" w:cs="Arial"/>
          <w:sz w:val="16"/>
          <w:szCs w:val="16"/>
        </w:rPr>
        <w:footnoteRef/>
      </w:r>
      <w:r w:rsidRPr="00D503C7">
        <w:rPr>
          <w:rFonts w:ascii="Verdana" w:hAnsi="Verdana" w:cs="Arial"/>
          <w:sz w:val="16"/>
          <w:szCs w:val="16"/>
        </w:rPr>
        <w:t xml:space="preserve"> </w:t>
      </w:r>
      <w:r w:rsidRPr="00D503C7">
        <w:rPr>
          <w:rFonts w:ascii="Verdana" w:hAnsi="Verdana" w:cs="Arial"/>
          <w:sz w:val="16"/>
          <w:szCs w:val="16"/>
        </w:rPr>
        <w:tab/>
      </w:r>
      <w:r w:rsidRPr="00D503C7">
        <w:rPr>
          <w:rFonts w:ascii="Verdana" w:eastAsia="Calibri" w:hAnsi="Verdana" w:cs="Arial"/>
          <w:bCs/>
          <w:i/>
          <w:sz w:val="16"/>
          <w:szCs w:val="16"/>
        </w:rPr>
        <w:t>Caso Duque Vs. Colombia. Excepciones Preliminares, Fondo, Reparaciones y Costas</w:t>
      </w:r>
      <w:r w:rsidRPr="00D503C7">
        <w:rPr>
          <w:rFonts w:ascii="Verdana" w:eastAsia="Calibri" w:hAnsi="Verdana" w:cs="Arial"/>
          <w:bCs/>
          <w:sz w:val="16"/>
          <w:szCs w:val="16"/>
        </w:rPr>
        <w:t>. Sentencia de 26 de febrero de 2016. Serie C No. 310, párr. 124.</w:t>
      </w:r>
    </w:p>
  </w:footnote>
  <w:footnote w:id="53">
    <w:p w:rsidR="002005C7" w:rsidRPr="00D503C7" w:rsidRDefault="002005C7" w:rsidP="00F47861">
      <w:pPr>
        <w:pStyle w:val="Textonotapie"/>
        <w:spacing w:after="120"/>
        <w:jc w:val="both"/>
        <w:rPr>
          <w:rFonts w:ascii="Verdana" w:hAnsi="Verdana" w:cs="Arial"/>
          <w:sz w:val="16"/>
          <w:szCs w:val="16"/>
          <w:lang w:val="es-CR"/>
        </w:rPr>
      </w:pPr>
      <w:r w:rsidRPr="00D503C7">
        <w:rPr>
          <w:rStyle w:val="Refdenotaalpie"/>
          <w:rFonts w:ascii="Verdana" w:hAnsi="Verdana" w:cs="Arial"/>
          <w:sz w:val="16"/>
          <w:szCs w:val="16"/>
        </w:rPr>
        <w:footnoteRef/>
      </w:r>
      <w:r w:rsidRPr="00D503C7">
        <w:rPr>
          <w:rFonts w:ascii="Verdana" w:hAnsi="Verdana" w:cs="Arial"/>
          <w:sz w:val="16"/>
          <w:szCs w:val="16"/>
        </w:rPr>
        <w:t xml:space="preserve"> </w:t>
      </w:r>
      <w:r w:rsidRPr="00D503C7">
        <w:rPr>
          <w:rFonts w:ascii="Verdana" w:hAnsi="Verdana" w:cs="Arial"/>
          <w:sz w:val="16"/>
          <w:szCs w:val="16"/>
        </w:rPr>
        <w:tab/>
      </w:r>
      <w:r w:rsidRPr="00D503C7">
        <w:rPr>
          <w:rFonts w:ascii="Verdana" w:eastAsia="Calibri" w:hAnsi="Verdana" w:cs="Arial"/>
          <w:bCs/>
          <w:i/>
          <w:sz w:val="16"/>
          <w:szCs w:val="16"/>
        </w:rPr>
        <w:t>Caso Duque Vs. Colombia. Excepciones Preliminares, Fondo, Reparaciones y Costas</w:t>
      </w:r>
      <w:r w:rsidRPr="00D503C7">
        <w:rPr>
          <w:rFonts w:ascii="Verdana" w:eastAsia="Calibri" w:hAnsi="Verdana" w:cs="Arial"/>
          <w:bCs/>
          <w:sz w:val="16"/>
          <w:szCs w:val="16"/>
        </w:rPr>
        <w:t xml:space="preserve">. Sentencia de 26 de febrero de 2016. Serie C No. 310, párr. </w:t>
      </w:r>
      <w:r w:rsidRPr="00D503C7">
        <w:rPr>
          <w:rFonts w:ascii="Verdana" w:eastAsia="Calibri" w:hAnsi="Verdana" w:cs="Arial"/>
          <w:bCs/>
          <w:sz w:val="16"/>
          <w:szCs w:val="16"/>
          <w:lang w:val="es-CR"/>
        </w:rPr>
        <w:t xml:space="preserve">125. </w:t>
      </w:r>
    </w:p>
  </w:footnote>
  <w:footnote w:id="54">
    <w:p w:rsidR="00261B73" w:rsidRPr="002234BB" w:rsidRDefault="00261B73" w:rsidP="00572749">
      <w:pPr>
        <w:pStyle w:val="Textonotapie"/>
        <w:spacing w:after="120"/>
        <w:rPr>
          <w:rFonts w:ascii="Verdana" w:hAnsi="Verdana"/>
          <w:sz w:val="16"/>
          <w:lang w:val="es-MX"/>
        </w:rPr>
      </w:pPr>
      <w:r w:rsidRPr="008D7C33">
        <w:rPr>
          <w:rStyle w:val="Refdenotaalpie"/>
          <w:rFonts w:ascii="Verdana" w:hAnsi="Verdana"/>
          <w:sz w:val="16"/>
        </w:rPr>
        <w:footnoteRef/>
      </w:r>
      <w:r>
        <w:rPr>
          <w:rFonts w:ascii="Verdana" w:hAnsi="Verdana"/>
          <w:lang w:val="es-MX"/>
        </w:rPr>
        <w:tab/>
      </w:r>
      <w:r>
        <w:rPr>
          <w:rFonts w:ascii="Verdana" w:hAnsi="Verdana"/>
          <w:sz w:val="16"/>
          <w:lang w:val="es-MX"/>
        </w:rPr>
        <w:t xml:space="preserve">Caso Lagos del Campo Vs. Perú. </w:t>
      </w:r>
      <w:r w:rsidRPr="002234BB">
        <w:rPr>
          <w:rFonts w:ascii="Verdana" w:hAnsi="Verdana"/>
          <w:i/>
          <w:sz w:val="16"/>
          <w:lang w:val="es-MX"/>
        </w:rPr>
        <w:t>Excepciones Preliminares, Fondo, Reparaciones y Costas.</w:t>
      </w:r>
      <w:r>
        <w:rPr>
          <w:rFonts w:ascii="Verdana" w:hAnsi="Verdana"/>
          <w:sz w:val="16"/>
          <w:lang w:val="es-MX"/>
        </w:rPr>
        <w:t xml:space="preserve"> Sen</w:t>
      </w:r>
      <w:r w:rsidR="00BD4177">
        <w:rPr>
          <w:rFonts w:ascii="Verdana" w:hAnsi="Verdana"/>
          <w:sz w:val="16"/>
          <w:lang w:val="es-MX"/>
        </w:rPr>
        <w:t xml:space="preserve">tencia de 31 de agosto de 2017. </w:t>
      </w:r>
      <w:r>
        <w:rPr>
          <w:rFonts w:ascii="Verdana" w:hAnsi="Verdana"/>
          <w:sz w:val="16"/>
          <w:lang w:val="es-MX"/>
        </w:rPr>
        <w:t xml:space="preserve">Serie </w:t>
      </w:r>
      <w:r w:rsidRPr="002234BB">
        <w:rPr>
          <w:rFonts w:ascii="Verdana" w:hAnsi="Verdana"/>
          <w:sz w:val="16"/>
          <w:lang w:val="es-MX"/>
        </w:rPr>
        <w:t>C No. 340</w:t>
      </w:r>
      <w:r>
        <w:rPr>
          <w:rFonts w:ascii="Verdana" w:hAnsi="Verdana"/>
          <w:sz w:val="16"/>
          <w:lang w:val="es-MX"/>
        </w:rPr>
        <w:t xml:space="preserve">, párr. 154 y </w:t>
      </w:r>
      <w:r w:rsidR="00BD4177">
        <w:rPr>
          <w:rFonts w:ascii="Verdana" w:hAnsi="Verdana"/>
          <w:sz w:val="16"/>
          <w:lang w:val="es-MX"/>
        </w:rPr>
        <w:t>Resolutivo 5.</w:t>
      </w:r>
    </w:p>
  </w:footnote>
  <w:footnote w:id="55">
    <w:p w:rsidR="00261B73" w:rsidRPr="002234BB" w:rsidRDefault="00261B73" w:rsidP="00C85629">
      <w:pPr>
        <w:pStyle w:val="Textonotapie"/>
        <w:spacing w:after="120"/>
        <w:rPr>
          <w:rFonts w:ascii="Verdana" w:hAnsi="Verdana"/>
          <w:lang w:val="es-MX"/>
        </w:rPr>
      </w:pPr>
      <w:r w:rsidRPr="002234BB">
        <w:rPr>
          <w:rStyle w:val="Refdenotaalpie"/>
          <w:rFonts w:ascii="Verdana" w:hAnsi="Verdana"/>
          <w:sz w:val="16"/>
        </w:rPr>
        <w:footnoteRef/>
      </w:r>
      <w:r w:rsidRPr="002234BB">
        <w:rPr>
          <w:rFonts w:ascii="Verdana" w:hAnsi="Verdana"/>
          <w:sz w:val="16"/>
        </w:rPr>
        <w:t xml:space="preserve"> </w:t>
      </w:r>
      <w:r w:rsidR="004A2756">
        <w:rPr>
          <w:rFonts w:ascii="Verdana" w:hAnsi="Verdana"/>
          <w:sz w:val="16"/>
        </w:rPr>
        <w:tab/>
      </w:r>
      <w:r w:rsidRPr="004A2756">
        <w:rPr>
          <w:rFonts w:ascii="Verdana" w:hAnsi="Verdana"/>
          <w:i/>
          <w:sz w:val="16"/>
        </w:rPr>
        <w:t>Caso Lagos del Campo Vs. Perú</w:t>
      </w:r>
      <w:r w:rsidRPr="002234BB">
        <w:rPr>
          <w:rFonts w:ascii="Verdana" w:hAnsi="Verdana"/>
          <w:sz w:val="16"/>
        </w:rPr>
        <w:t xml:space="preserve">. </w:t>
      </w:r>
      <w:r w:rsidRPr="00D1130B">
        <w:rPr>
          <w:rFonts w:ascii="Verdana" w:hAnsi="Verdana"/>
          <w:i/>
          <w:sz w:val="16"/>
        </w:rPr>
        <w:t>Excepciones Preliminares, Fondo, Reparaciones y Costas</w:t>
      </w:r>
      <w:r w:rsidRPr="002234BB">
        <w:rPr>
          <w:rFonts w:ascii="Verdana" w:hAnsi="Verdana"/>
          <w:sz w:val="16"/>
        </w:rPr>
        <w:t>. Sentencia de 31 de agosto de 2017. Serie C No. 340, párr. 151</w:t>
      </w:r>
      <w:r w:rsidR="00BD4177">
        <w:rPr>
          <w:rFonts w:ascii="Verdana" w:hAnsi="Verdana"/>
          <w:sz w:val="16"/>
        </w:rPr>
        <w:t>.</w:t>
      </w:r>
    </w:p>
  </w:footnote>
  <w:footnote w:id="56">
    <w:p w:rsidR="00C85629" w:rsidRPr="004A2756" w:rsidRDefault="00C85629" w:rsidP="004A2756">
      <w:pPr>
        <w:pStyle w:val="Textonotapie"/>
        <w:spacing w:after="120"/>
        <w:jc w:val="both"/>
        <w:rPr>
          <w:rFonts w:ascii="Verdana" w:hAnsi="Verdana"/>
          <w:sz w:val="16"/>
          <w:szCs w:val="16"/>
          <w:lang w:val="es-PE"/>
        </w:rPr>
      </w:pPr>
      <w:r w:rsidRPr="00511E10">
        <w:rPr>
          <w:rStyle w:val="Refdenotaalpie"/>
          <w:rFonts w:ascii="Verdana" w:hAnsi="Verdana"/>
          <w:sz w:val="16"/>
          <w:szCs w:val="16"/>
        </w:rPr>
        <w:footnoteRef/>
      </w:r>
      <w:r w:rsidRPr="00511E10">
        <w:rPr>
          <w:rFonts w:ascii="Verdana" w:hAnsi="Verdana"/>
          <w:sz w:val="16"/>
          <w:szCs w:val="16"/>
        </w:rPr>
        <w:t xml:space="preserve"> </w:t>
      </w:r>
      <w:r w:rsidRPr="00511E10">
        <w:rPr>
          <w:rFonts w:ascii="Verdana" w:hAnsi="Verdana"/>
          <w:sz w:val="16"/>
          <w:szCs w:val="16"/>
        </w:rPr>
        <w:tab/>
      </w:r>
      <w:r w:rsidR="004A2756" w:rsidRPr="00E06456">
        <w:rPr>
          <w:rFonts w:ascii="Verdana" w:hAnsi="Verdana"/>
          <w:i/>
          <w:sz w:val="16"/>
          <w:szCs w:val="16"/>
          <w:lang w:val="es-PE"/>
        </w:rPr>
        <w:t>Caso Lagos del Campo Vs. Perú. Excepciones Preliminares, Fondo, Reparaciones y Costas</w:t>
      </w:r>
      <w:r w:rsidR="004A2756" w:rsidRPr="00E06456">
        <w:rPr>
          <w:rFonts w:ascii="Verdana" w:hAnsi="Verdana"/>
          <w:sz w:val="16"/>
          <w:szCs w:val="16"/>
          <w:lang w:val="es-PE"/>
        </w:rPr>
        <w:t>. Sentencia de 31 de agosto de 2017. Serie C No. 340</w:t>
      </w:r>
      <w:r w:rsidR="004A2756">
        <w:rPr>
          <w:rFonts w:ascii="Verdana" w:hAnsi="Verdana"/>
          <w:sz w:val="16"/>
          <w:szCs w:val="16"/>
          <w:lang w:val="es-PE"/>
        </w:rPr>
        <w:t>,</w:t>
      </w:r>
      <w:r w:rsidR="004A2756" w:rsidRPr="004A2756">
        <w:rPr>
          <w:rFonts w:ascii="Verdana" w:hAnsi="Verdana"/>
          <w:sz w:val="16"/>
          <w:szCs w:val="16"/>
          <w:lang w:val="es-PE"/>
        </w:rPr>
        <w:t xml:space="preserve"> </w:t>
      </w:r>
      <w:r w:rsidR="004A2756" w:rsidRPr="00E06456">
        <w:rPr>
          <w:rFonts w:ascii="Verdana" w:hAnsi="Verdana"/>
          <w:sz w:val="16"/>
          <w:szCs w:val="16"/>
          <w:lang w:val="es-PE"/>
        </w:rPr>
        <w:t>párrs. 142 y 145</w:t>
      </w:r>
      <w:r w:rsidR="004A2756">
        <w:rPr>
          <w:rFonts w:ascii="Verdana" w:hAnsi="Verdana"/>
          <w:sz w:val="16"/>
          <w:szCs w:val="16"/>
          <w:lang w:val="es-PE"/>
        </w:rPr>
        <w:t xml:space="preserve">; </w:t>
      </w:r>
      <w:r w:rsidR="004A2756" w:rsidRPr="00E06456">
        <w:rPr>
          <w:rFonts w:ascii="Verdana" w:hAnsi="Verdana"/>
          <w:i/>
          <w:sz w:val="16"/>
          <w:szCs w:val="16"/>
          <w:lang w:val="es-PE"/>
        </w:rPr>
        <w:t>Caso Trabajadores Cesados de Petroperú y otros Vs. Perú. Excepciones Preliminares, Fondo, Reparaciones y Costas</w:t>
      </w:r>
      <w:r w:rsidR="004A2756" w:rsidRPr="00E06456">
        <w:rPr>
          <w:rFonts w:ascii="Verdana" w:hAnsi="Verdana"/>
          <w:sz w:val="16"/>
          <w:szCs w:val="16"/>
          <w:lang w:val="es-PE"/>
        </w:rPr>
        <w:t xml:space="preserve">. Sentencia de 23 de noviembre de </w:t>
      </w:r>
      <w:r w:rsidR="004A2756">
        <w:rPr>
          <w:rFonts w:ascii="Verdana" w:hAnsi="Verdana"/>
          <w:sz w:val="16"/>
          <w:szCs w:val="16"/>
          <w:lang w:val="es-PE"/>
        </w:rPr>
        <w:t>2017. Serie C No. 344,</w:t>
      </w:r>
      <w:r w:rsidR="004A2756" w:rsidRPr="004A2756">
        <w:rPr>
          <w:rFonts w:ascii="Verdana" w:hAnsi="Verdana"/>
          <w:sz w:val="16"/>
          <w:szCs w:val="16"/>
          <w:lang w:val="es-PE"/>
        </w:rPr>
        <w:t xml:space="preserve"> </w:t>
      </w:r>
      <w:r w:rsidR="004A2756" w:rsidRPr="00E06456">
        <w:rPr>
          <w:rFonts w:ascii="Verdana" w:hAnsi="Verdana"/>
          <w:sz w:val="16"/>
          <w:szCs w:val="16"/>
          <w:lang w:val="es-PE"/>
        </w:rPr>
        <w:t>párr. 192;</w:t>
      </w:r>
      <w:r w:rsidR="004A2756">
        <w:rPr>
          <w:rFonts w:ascii="Verdana" w:hAnsi="Verdana"/>
          <w:sz w:val="16"/>
          <w:szCs w:val="16"/>
          <w:lang w:val="es-PE"/>
        </w:rPr>
        <w:t xml:space="preserve"> y</w:t>
      </w:r>
      <w:r w:rsidR="004A2756" w:rsidRPr="00E06456">
        <w:rPr>
          <w:rFonts w:ascii="Verdana" w:hAnsi="Verdana"/>
          <w:i/>
          <w:sz w:val="16"/>
          <w:szCs w:val="16"/>
          <w:lang w:val="es-PE"/>
        </w:rPr>
        <w:t xml:space="preserve"> Caso San Miguel Sosa y otras Vs. Venezuela</w:t>
      </w:r>
      <w:r w:rsidR="004A2756" w:rsidRPr="00E06456">
        <w:rPr>
          <w:rFonts w:ascii="Verdana" w:hAnsi="Verdana"/>
          <w:sz w:val="16"/>
          <w:szCs w:val="16"/>
          <w:lang w:val="es-PE"/>
        </w:rPr>
        <w:t xml:space="preserve">. </w:t>
      </w:r>
      <w:r w:rsidR="004A2756" w:rsidRPr="00693ED9">
        <w:rPr>
          <w:rFonts w:ascii="Verdana" w:hAnsi="Verdana"/>
          <w:i/>
          <w:sz w:val="16"/>
          <w:szCs w:val="16"/>
          <w:lang w:val="es-PE"/>
        </w:rPr>
        <w:t>Fondo, Reparaciones y Costas</w:t>
      </w:r>
      <w:r w:rsidR="004A2756" w:rsidRPr="00E06456">
        <w:rPr>
          <w:rFonts w:ascii="Verdana" w:hAnsi="Verdana"/>
          <w:sz w:val="16"/>
          <w:szCs w:val="16"/>
          <w:lang w:val="es-PE"/>
        </w:rPr>
        <w:t>. Sentencia de 8 de fe</w:t>
      </w:r>
      <w:r w:rsidR="004A2756">
        <w:rPr>
          <w:rFonts w:ascii="Verdana" w:hAnsi="Verdana"/>
          <w:sz w:val="16"/>
          <w:szCs w:val="16"/>
          <w:lang w:val="es-PE"/>
        </w:rPr>
        <w:t xml:space="preserve">brero de 2018. Serie C No. 348, </w:t>
      </w:r>
      <w:r w:rsidR="004A2756" w:rsidRPr="00E06456">
        <w:rPr>
          <w:rFonts w:ascii="Verdana" w:hAnsi="Verdana"/>
          <w:sz w:val="16"/>
          <w:szCs w:val="16"/>
          <w:lang w:val="es-PE"/>
        </w:rPr>
        <w:t>párr. 220</w:t>
      </w:r>
      <w:r w:rsidR="00BD4177">
        <w:rPr>
          <w:rFonts w:ascii="Verdana" w:hAnsi="Verdana"/>
          <w:sz w:val="16"/>
          <w:szCs w:val="16"/>
          <w:lang w:val="es-PE"/>
        </w:rPr>
        <w:t>.</w:t>
      </w:r>
    </w:p>
  </w:footnote>
  <w:footnote w:id="57">
    <w:p w:rsidR="00C85629" w:rsidRPr="00511E10" w:rsidRDefault="00C85629" w:rsidP="00C85629">
      <w:pPr>
        <w:pStyle w:val="Prrafodelista"/>
        <w:spacing w:after="120"/>
        <w:ind w:left="0"/>
        <w:contextualSpacing w:val="0"/>
        <w:jc w:val="both"/>
        <w:outlineLvl w:val="1"/>
        <w:rPr>
          <w:rFonts w:ascii="Verdana" w:hAnsi="Verdana"/>
          <w:i/>
          <w:sz w:val="16"/>
          <w:szCs w:val="16"/>
          <w:lang w:val="es-ES"/>
        </w:rPr>
      </w:pPr>
      <w:r w:rsidRPr="00511E10">
        <w:rPr>
          <w:rStyle w:val="Refdenotaalpie"/>
          <w:rFonts w:ascii="Verdana" w:hAnsi="Verdana"/>
          <w:sz w:val="16"/>
          <w:szCs w:val="16"/>
        </w:rPr>
        <w:footnoteRef/>
      </w:r>
      <w:r w:rsidRPr="00511E10">
        <w:rPr>
          <w:rFonts w:ascii="Verdana" w:hAnsi="Verdana"/>
          <w:sz w:val="16"/>
          <w:szCs w:val="16"/>
        </w:rPr>
        <w:t xml:space="preserve"> </w:t>
      </w:r>
      <w:r w:rsidRPr="00511E10">
        <w:rPr>
          <w:rFonts w:ascii="Verdana" w:hAnsi="Verdana"/>
          <w:sz w:val="16"/>
          <w:szCs w:val="16"/>
        </w:rPr>
        <w:tab/>
      </w:r>
      <w:r w:rsidRPr="00511E10">
        <w:rPr>
          <w:rFonts w:ascii="Verdana" w:hAnsi="Verdana"/>
          <w:sz w:val="16"/>
          <w:szCs w:val="16"/>
          <w:lang w:val="es-ES"/>
        </w:rPr>
        <w:t xml:space="preserve"> </w:t>
      </w:r>
      <w:r w:rsidR="004A2756" w:rsidRPr="00693ED9">
        <w:rPr>
          <w:rFonts w:ascii="Verdana" w:hAnsi="Verdana"/>
          <w:i/>
          <w:sz w:val="16"/>
          <w:szCs w:val="16"/>
          <w:lang w:val="es-PE"/>
        </w:rPr>
        <w:t>Caso Poblete Vilches y otros Vs. Chile. Fondo, Reparaciones y Costas</w:t>
      </w:r>
      <w:r w:rsidR="004A2756" w:rsidRPr="00E06456">
        <w:rPr>
          <w:rFonts w:ascii="Verdana" w:hAnsi="Verdana"/>
          <w:sz w:val="16"/>
          <w:szCs w:val="16"/>
          <w:lang w:val="es-PE"/>
        </w:rPr>
        <w:t>. Sentencia de 8 de marzo de 2018. Serie C No. 349, párr. 100;</w:t>
      </w:r>
      <w:r w:rsidR="004A2756">
        <w:rPr>
          <w:rStyle w:val="Textoennegrita"/>
          <w:rFonts w:ascii="Verdana" w:hAnsi="Verdana"/>
          <w:b w:val="0"/>
          <w:sz w:val="16"/>
          <w:szCs w:val="16"/>
          <w:shd w:val="clear" w:color="auto" w:fill="FFFFFF"/>
          <w:lang w:val="es-CR"/>
        </w:rPr>
        <w:t xml:space="preserve"> y </w:t>
      </w:r>
      <w:r w:rsidR="004A2756" w:rsidRPr="00D503C7">
        <w:rPr>
          <w:rStyle w:val="Textoennegrita"/>
          <w:rFonts w:ascii="Verdana" w:hAnsi="Verdana"/>
          <w:b w:val="0"/>
          <w:i/>
          <w:color w:val="000000"/>
          <w:sz w:val="16"/>
          <w:szCs w:val="16"/>
          <w:shd w:val="clear" w:color="auto" w:fill="FFFFFF"/>
        </w:rPr>
        <w:t>Caso Cuscul Pivaral y otros Vs. Guatemala. Excepción Preliminar, Fondo, Reparaciones y Costas.</w:t>
      </w:r>
      <w:r w:rsidR="004A2756" w:rsidRPr="00D503C7">
        <w:rPr>
          <w:rStyle w:val="Textoennegrita"/>
          <w:rFonts w:ascii="Verdana" w:hAnsi="Verdana"/>
          <w:b w:val="0"/>
          <w:color w:val="000000"/>
          <w:sz w:val="16"/>
          <w:szCs w:val="16"/>
          <w:shd w:val="clear" w:color="auto" w:fill="FFFFFF"/>
        </w:rPr>
        <w:t xml:space="preserve"> Sentencia de 23 de agosto de 2018. Serie C No. 359</w:t>
      </w:r>
      <w:r w:rsidR="004A2756" w:rsidRPr="00E06456">
        <w:rPr>
          <w:rFonts w:ascii="Verdana" w:hAnsi="Verdana"/>
          <w:i/>
          <w:sz w:val="16"/>
          <w:szCs w:val="16"/>
          <w:lang w:val="es-PE"/>
        </w:rPr>
        <w:t xml:space="preserve">, </w:t>
      </w:r>
      <w:r w:rsidR="004A2756" w:rsidRPr="00E06456">
        <w:rPr>
          <w:rFonts w:ascii="Verdana" w:hAnsi="Verdana"/>
          <w:sz w:val="16"/>
          <w:szCs w:val="16"/>
          <w:lang w:val="es-PE"/>
        </w:rPr>
        <w:t>párrs. 75 a 97</w:t>
      </w:r>
      <w:r w:rsidR="004A2756">
        <w:rPr>
          <w:rFonts w:ascii="Verdana" w:hAnsi="Verdana"/>
          <w:i/>
          <w:sz w:val="16"/>
          <w:szCs w:val="16"/>
          <w:lang w:val="es-PE"/>
        </w:rPr>
        <w:t>.</w:t>
      </w:r>
    </w:p>
  </w:footnote>
  <w:footnote w:id="58">
    <w:p w:rsidR="006A72B7" w:rsidRPr="00511E10" w:rsidRDefault="006A72B7" w:rsidP="00511E10">
      <w:pPr>
        <w:pStyle w:val="Prrafodelista"/>
        <w:spacing w:after="120"/>
        <w:ind w:left="0"/>
        <w:jc w:val="both"/>
        <w:outlineLvl w:val="1"/>
        <w:rPr>
          <w:rFonts w:ascii="Verdana" w:hAnsi="Verdana"/>
          <w:i/>
          <w:sz w:val="16"/>
          <w:szCs w:val="16"/>
          <w:lang w:val="es-ES"/>
        </w:rPr>
      </w:pPr>
      <w:r w:rsidRPr="00511E10">
        <w:rPr>
          <w:rStyle w:val="Refdenotaalpie"/>
          <w:rFonts w:ascii="Verdana" w:hAnsi="Verdana"/>
          <w:sz w:val="16"/>
          <w:szCs w:val="16"/>
        </w:rPr>
        <w:footnoteRef/>
      </w:r>
      <w:r w:rsidRPr="00511E10">
        <w:rPr>
          <w:rFonts w:ascii="Verdana" w:hAnsi="Verdana"/>
          <w:sz w:val="16"/>
          <w:szCs w:val="16"/>
        </w:rPr>
        <w:t xml:space="preserve"> </w:t>
      </w:r>
      <w:r w:rsidRPr="00511E10">
        <w:rPr>
          <w:rFonts w:ascii="Verdana" w:hAnsi="Verdana"/>
          <w:sz w:val="16"/>
          <w:szCs w:val="16"/>
        </w:rPr>
        <w:tab/>
        <w:t>V</w:t>
      </w:r>
      <w:r w:rsidRPr="00511E10">
        <w:rPr>
          <w:rFonts w:ascii="Verdana" w:hAnsi="Verdana"/>
          <w:sz w:val="16"/>
          <w:szCs w:val="16"/>
          <w:lang w:val="es-ES"/>
        </w:rPr>
        <w:t xml:space="preserve">éase </w:t>
      </w:r>
      <w:r w:rsidRPr="00511E10">
        <w:rPr>
          <w:rFonts w:ascii="Verdana" w:hAnsi="Verdana"/>
          <w:i/>
          <w:sz w:val="16"/>
          <w:szCs w:val="16"/>
          <w:lang w:val="es-ES"/>
        </w:rPr>
        <w:t>supra</w:t>
      </w:r>
      <w:r w:rsidRPr="00511E10">
        <w:rPr>
          <w:rFonts w:ascii="Verdana" w:hAnsi="Verdana"/>
          <w:sz w:val="16"/>
          <w:szCs w:val="16"/>
          <w:lang w:val="es-ES"/>
        </w:rPr>
        <w:t>, párrs. 3 a 5, del pr</w:t>
      </w:r>
      <w:r w:rsidR="004A2756">
        <w:rPr>
          <w:rFonts w:ascii="Verdana" w:hAnsi="Verdana"/>
          <w:sz w:val="16"/>
          <w:szCs w:val="16"/>
          <w:lang w:val="es-ES"/>
        </w:rPr>
        <w:t>esente Voto</w:t>
      </w:r>
      <w:r w:rsidRPr="00511E10">
        <w:rPr>
          <w:rFonts w:ascii="Verdana" w:hAnsi="Verdana"/>
          <w:sz w:val="16"/>
          <w:szCs w:val="16"/>
          <w:lang w:val="es-ES"/>
        </w:rPr>
        <w:t xml:space="preserve">. </w:t>
      </w:r>
    </w:p>
  </w:footnote>
  <w:footnote w:id="59">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 xml:space="preserve">Cfr. Caso Muelle Flores Vs. Perú. Excepciones Preliminares, Fondo, Reparaciones y Costas. </w:t>
      </w:r>
      <w:r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Pr="006B2226">
        <w:rPr>
          <w:rFonts w:ascii="Verdana" w:hAnsi="Verdana"/>
          <w:sz w:val="16"/>
          <w:szCs w:val="16"/>
        </w:rPr>
        <w:t>,</w:t>
      </w:r>
      <w:r w:rsidRPr="00D503C7">
        <w:rPr>
          <w:rFonts w:ascii="Verdana" w:hAnsi="Verdana"/>
          <w:sz w:val="16"/>
          <w:szCs w:val="16"/>
        </w:rPr>
        <w:t xml:space="preserve"> párr. 183. </w:t>
      </w:r>
    </w:p>
  </w:footnote>
  <w:footnote w:id="60">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Style w:val="Textoennegrita"/>
          <w:rFonts w:ascii="Verdana" w:hAnsi="Verdana"/>
          <w:b w:val="0"/>
          <w:color w:val="000000"/>
          <w:sz w:val="16"/>
          <w:szCs w:val="16"/>
          <w:shd w:val="clear" w:color="auto" w:fill="FFFFFF"/>
        </w:rPr>
        <w:t xml:space="preserve"> </w:t>
      </w:r>
      <w:r w:rsidRPr="00D503C7">
        <w:rPr>
          <w:rFonts w:ascii="Verdana" w:hAnsi="Verdana"/>
          <w:i/>
          <w:sz w:val="16"/>
          <w:szCs w:val="16"/>
        </w:rPr>
        <w:t xml:space="preserve">Cfr. Caso Muelle Flores Vs. Perú. Excepciones Preliminares, Fondo, Reparaciones y Costas. </w:t>
      </w:r>
      <w:r w:rsidRPr="00D503C7">
        <w:rPr>
          <w:rFonts w:ascii="Verdana" w:hAnsi="Verdana"/>
          <w:sz w:val="16"/>
          <w:szCs w:val="16"/>
        </w:rPr>
        <w:t>Sentencia de 6 de marzo de 2019. Serie C No</w:t>
      </w:r>
      <w:r w:rsidRPr="006B2226">
        <w:rPr>
          <w:rFonts w:ascii="Verdana" w:hAnsi="Verdana"/>
          <w:sz w:val="16"/>
          <w:szCs w:val="16"/>
        </w:rPr>
        <w:t xml:space="preserve">. </w:t>
      </w:r>
      <w:r w:rsidR="006B2226" w:rsidRPr="001A08D2">
        <w:rPr>
          <w:rFonts w:ascii="Verdana" w:hAnsi="Verdana"/>
          <w:sz w:val="16"/>
          <w:szCs w:val="16"/>
        </w:rPr>
        <w:t>375</w:t>
      </w:r>
      <w:r w:rsidRPr="00D503C7">
        <w:rPr>
          <w:rFonts w:ascii="Verdana" w:hAnsi="Verdana"/>
          <w:sz w:val="16"/>
          <w:szCs w:val="16"/>
        </w:rPr>
        <w:t xml:space="preserve">, </w:t>
      </w:r>
      <w:proofErr w:type="spellStart"/>
      <w:r w:rsidRPr="00D503C7">
        <w:rPr>
          <w:rFonts w:ascii="Verdana" w:hAnsi="Verdana"/>
          <w:sz w:val="16"/>
          <w:szCs w:val="16"/>
        </w:rPr>
        <w:t>párrs</w:t>
      </w:r>
      <w:proofErr w:type="spellEnd"/>
      <w:r w:rsidRPr="00D503C7">
        <w:rPr>
          <w:rFonts w:ascii="Verdana" w:hAnsi="Verdana"/>
          <w:sz w:val="16"/>
          <w:szCs w:val="16"/>
        </w:rPr>
        <w:t>.</w:t>
      </w:r>
      <w:r>
        <w:rPr>
          <w:rFonts w:ascii="Verdana" w:hAnsi="Verdana"/>
          <w:sz w:val="16"/>
          <w:szCs w:val="16"/>
        </w:rPr>
        <w:t xml:space="preserve"> 190, 191 y 202.</w:t>
      </w:r>
      <w:r w:rsidR="00792F5C">
        <w:rPr>
          <w:rFonts w:ascii="Verdana" w:hAnsi="Verdana"/>
          <w:sz w:val="16"/>
          <w:szCs w:val="16"/>
        </w:rPr>
        <w:t xml:space="preserve"> </w:t>
      </w:r>
    </w:p>
  </w:footnote>
  <w:footnote w:id="61">
    <w:p w:rsidR="000447B4" w:rsidRPr="00D307FC" w:rsidRDefault="000447B4" w:rsidP="00F12E86">
      <w:pPr>
        <w:pStyle w:val="Textonotapie"/>
        <w:spacing w:after="120"/>
        <w:jc w:val="both"/>
        <w:rPr>
          <w:rFonts w:ascii="Verdana" w:hAnsi="Verdana"/>
          <w:sz w:val="16"/>
          <w:szCs w:val="16"/>
        </w:rPr>
      </w:pPr>
      <w:r w:rsidRPr="00C446C1">
        <w:rPr>
          <w:rStyle w:val="Refdenotaalpie"/>
          <w:rFonts w:ascii="Verdana" w:hAnsi="Verdana"/>
          <w:sz w:val="16"/>
          <w:szCs w:val="16"/>
        </w:rPr>
        <w:footnoteRef/>
      </w:r>
      <w:r w:rsidRPr="00C446C1">
        <w:rPr>
          <w:rFonts w:ascii="Verdana" w:hAnsi="Verdana"/>
          <w:sz w:val="16"/>
          <w:szCs w:val="16"/>
        </w:rPr>
        <w:t xml:space="preserve"> </w:t>
      </w:r>
      <w:r w:rsidRPr="00D307FC">
        <w:rPr>
          <w:rFonts w:ascii="Verdana" w:hAnsi="Verdana"/>
          <w:sz w:val="16"/>
          <w:szCs w:val="16"/>
        </w:rPr>
        <w:tab/>
      </w:r>
      <w:r w:rsidRPr="00F12E86">
        <w:rPr>
          <w:rFonts w:ascii="Verdana" w:hAnsi="Verdana"/>
          <w:sz w:val="16"/>
          <w:szCs w:val="16"/>
        </w:rPr>
        <w:t>Por ejemplo, en el caso</w:t>
      </w:r>
      <w:r w:rsidRPr="00F12E86">
        <w:rPr>
          <w:rFonts w:ascii="Verdana" w:hAnsi="Verdana"/>
          <w:i/>
          <w:sz w:val="16"/>
          <w:szCs w:val="16"/>
        </w:rPr>
        <w:t xml:space="preserve"> Vereda la Esperanza Vs. Colombia</w:t>
      </w:r>
      <w:r w:rsidRPr="00F12E86">
        <w:rPr>
          <w:rFonts w:ascii="Verdana" w:hAnsi="Verdana"/>
          <w:sz w:val="16"/>
          <w:szCs w:val="16"/>
        </w:rPr>
        <w:t xml:space="preserve">, la Corte </w:t>
      </w:r>
      <w:r w:rsidR="00F12E86" w:rsidRPr="00F12E86">
        <w:rPr>
          <w:rFonts w:ascii="Verdana" w:hAnsi="Verdana"/>
          <w:sz w:val="16"/>
          <w:szCs w:val="16"/>
        </w:rPr>
        <w:t xml:space="preserve">IDH </w:t>
      </w:r>
      <w:r w:rsidRPr="00F12E86">
        <w:rPr>
          <w:rFonts w:ascii="Verdana" w:hAnsi="Verdana"/>
          <w:sz w:val="16"/>
          <w:szCs w:val="16"/>
        </w:rPr>
        <w:t xml:space="preserve">expresó una aproximación similar en relación al artículo 21 de la Convención Americana, sobre la posibilidad de diferenciar el derecho a la propiedad y el derecho a la vivienda. En este sentido, expresó que: “En tal virtud, este Tribunal considera necesario hacer algunas precisiones adicionales sobre la inviolabilidad del domicilio y la vida privada, desde la perspectiva del artículo 11.2 de la Convención y sobre el derecho a la vivienda, esto último tomando en consideración que si bien toda vivienda es susceptible de ser protegida mediante el derecho de propiedad, no toda propiedad es necesariamente una vivienda […]”. Cfr. </w:t>
      </w:r>
      <w:r w:rsidRPr="00F12E86">
        <w:rPr>
          <w:rStyle w:val="Textoennegrita"/>
          <w:rFonts w:ascii="Verdana" w:hAnsi="Verdana"/>
          <w:b w:val="0"/>
          <w:i/>
          <w:color w:val="000000"/>
          <w:sz w:val="16"/>
          <w:szCs w:val="16"/>
          <w:shd w:val="clear" w:color="auto" w:fill="FFFFFF"/>
        </w:rPr>
        <w:t>Caso Vereda La Esperanza Vs. Colombia. Excepciones Preliminares, Fondo, Reparaciones y Costas</w:t>
      </w:r>
      <w:r w:rsidRPr="00F12E86">
        <w:rPr>
          <w:rStyle w:val="Textoennegrita"/>
          <w:rFonts w:ascii="Verdana" w:hAnsi="Verdana"/>
          <w:b w:val="0"/>
          <w:color w:val="000000"/>
          <w:sz w:val="16"/>
          <w:szCs w:val="16"/>
          <w:shd w:val="clear" w:color="auto" w:fill="FFFFFF"/>
        </w:rPr>
        <w:t>. Sentencia de 31 de agosto de 2017. Serie C No. 341, párr. 241.</w:t>
      </w:r>
      <w:r w:rsidRPr="00F12E86">
        <w:rPr>
          <w:rStyle w:val="Textoennegrita"/>
          <w:rFonts w:ascii="Verdana" w:hAnsi="Verdana"/>
          <w:color w:val="000000"/>
          <w:sz w:val="16"/>
          <w:szCs w:val="16"/>
          <w:shd w:val="clear" w:color="auto" w:fill="FFFFFF"/>
        </w:rPr>
        <w:t xml:space="preserve"> </w:t>
      </w:r>
      <w:r w:rsidRPr="00F12E86">
        <w:rPr>
          <w:rStyle w:val="Textoennegrita"/>
          <w:rFonts w:ascii="Verdana" w:hAnsi="Verdana"/>
          <w:b w:val="0"/>
          <w:color w:val="000000"/>
          <w:sz w:val="16"/>
          <w:szCs w:val="16"/>
          <w:shd w:val="clear" w:color="auto" w:fill="FFFFFF"/>
        </w:rPr>
        <w:t xml:space="preserve">Cabe precisar que en dicho fallo la Corte </w:t>
      </w:r>
      <w:r w:rsidR="00F12E86" w:rsidRPr="00F12E86">
        <w:rPr>
          <w:rStyle w:val="Textoennegrita"/>
          <w:rFonts w:ascii="Verdana" w:hAnsi="Verdana"/>
          <w:b w:val="0"/>
          <w:color w:val="000000"/>
          <w:sz w:val="16"/>
          <w:szCs w:val="16"/>
          <w:shd w:val="clear" w:color="auto" w:fill="FFFFFF"/>
        </w:rPr>
        <w:t xml:space="preserve">IDH </w:t>
      </w:r>
      <w:r w:rsidRPr="00F12E86">
        <w:rPr>
          <w:rStyle w:val="Textoennegrita"/>
          <w:rFonts w:ascii="Verdana" w:hAnsi="Verdana"/>
          <w:b w:val="0"/>
          <w:color w:val="000000"/>
          <w:sz w:val="16"/>
          <w:szCs w:val="16"/>
          <w:shd w:val="clear" w:color="auto" w:fill="FFFFFF"/>
        </w:rPr>
        <w:t>no declaró violado el derecho a la vivienda de manera autónoma.</w:t>
      </w:r>
      <w:r w:rsidR="00792F5C">
        <w:rPr>
          <w:rStyle w:val="Textoennegrita"/>
          <w:rFonts w:ascii="Verdana" w:hAnsi="Verdana"/>
          <w:b w:val="0"/>
          <w:color w:val="000000"/>
          <w:sz w:val="16"/>
          <w:szCs w:val="16"/>
          <w:shd w:val="clear" w:color="auto" w:fill="FFFFFF"/>
        </w:rPr>
        <w:t xml:space="preserve"> </w:t>
      </w:r>
    </w:p>
  </w:footnote>
  <w:footnote w:id="62">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lang w:val="es-CR"/>
        </w:rPr>
        <w:t xml:space="preserve">Cfr. </w:t>
      </w:r>
      <w:r w:rsidRPr="00D503C7">
        <w:rPr>
          <w:rFonts w:ascii="Verdana" w:hAnsi="Verdana"/>
          <w:sz w:val="16"/>
          <w:szCs w:val="16"/>
          <w:lang w:val="es-PE"/>
        </w:rPr>
        <w:t xml:space="preserve">ONU, Comité de Derechos Económicos, Sociales y Culturales, Observación General No. 19, </w:t>
      </w:r>
      <w:r w:rsidRPr="00D503C7">
        <w:rPr>
          <w:rFonts w:ascii="Verdana" w:hAnsi="Verdana"/>
          <w:i/>
          <w:iCs/>
          <w:sz w:val="16"/>
          <w:szCs w:val="16"/>
          <w:lang w:val="es-PE"/>
        </w:rPr>
        <w:t>El derecho a la seguridad social (artículo 9)</w:t>
      </w:r>
      <w:r w:rsidRPr="00D503C7">
        <w:rPr>
          <w:rFonts w:ascii="Verdana" w:hAnsi="Verdana"/>
          <w:sz w:val="16"/>
          <w:szCs w:val="16"/>
          <w:lang w:val="es-PE"/>
        </w:rPr>
        <w:t xml:space="preserve">, 4 de </w:t>
      </w:r>
      <w:r w:rsidRPr="00D503C7">
        <w:rPr>
          <w:rFonts w:ascii="Verdana" w:hAnsi="Verdana"/>
          <w:sz w:val="16"/>
          <w:szCs w:val="16"/>
          <w:lang w:val="es-CR"/>
        </w:rPr>
        <w:t>febrero de 2008, párr. 2</w:t>
      </w:r>
    </w:p>
  </w:footnote>
  <w:footnote w:id="63">
    <w:p w:rsidR="002005C7" w:rsidRPr="00D503C7" w:rsidRDefault="002005C7" w:rsidP="00F47861">
      <w:pPr>
        <w:pStyle w:val="Textonotapie"/>
        <w:spacing w:after="120"/>
        <w:jc w:val="both"/>
        <w:rPr>
          <w:rFonts w:ascii="Verdana" w:hAnsi="Verdana"/>
          <w:sz w:val="16"/>
          <w:szCs w:val="16"/>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 xml:space="preserve">Cfr. Caso Muelle Flores Vs. Perú. Excepciones Preliminares, Fondo, Reparaciones y Costas. </w:t>
      </w:r>
      <w:r w:rsidRPr="00D503C7">
        <w:rPr>
          <w:rFonts w:ascii="Verdana" w:hAnsi="Verdana"/>
          <w:sz w:val="16"/>
          <w:szCs w:val="16"/>
        </w:rPr>
        <w:t>Sentencia de 6 de marzo de 2019. Serie C No</w:t>
      </w:r>
      <w:r w:rsidRPr="006B2226">
        <w:rPr>
          <w:rFonts w:ascii="Verdana" w:hAnsi="Verdana"/>
          <w:sz w:val="16"/>
          <w:szCs w:val="16"/>
        </w:rPr>
        <w:t xml:space="preserve">. </w:t>
      </w:r>
      <w:r w:rsidR="006B2226" w:rsidRPr="001A08D2">
        <w:rPr>
          <w:rFonts w:ascii="Verdana" w:hAnsi="Verdana"/>
          <w:sz w:val="16"/>
          <w:szCs w:val="16"/>
        </w:rPr>
        <w:t>375</w:t>
      </w:r>
      <w:r w:rsidRPr="006B2226">
        <w:rPr>
          <w:rFonts w:ascii="Verdana" w:hAnsi="Verdana"/>
          <w:sz w:val="16"/>
          <w:szCs w:val="16"/>
        </w:rPr>
        <w:t>,</w:t>
      </w:r>
      <w:r w:rsidRPr="00D503C7">
        <w:rPr>
          <w:rFonts w:ascii="Verdana" w:hAnsi="Verdana"/>
          <w:sz w:val="16"/>
          <w:szCs w:val="16"/>
        </w:rPr>
        <w:t xml:space="preserve"> párr. 218. </w:t>
      </w:r>
    </w:p>
  </w:footnote>
  <w:footnote w:id="64">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 xml:space="preserve">Cfr. Caso Muelle Flores Vs. Perú. Excepciones Preliminares, Fondo, Reparaciones y Costas. </w:t>
      </w:r>
      <w:r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Pr="006B2226">
        <w:rPr>
          <w:rFonts w:ascii="Verdana" w:hAnsi="Verdana"/>
          <w:sz w:val="16"/>
          <w:szCs w:val="16"/>
        </w:rPr>
        <w:t>,</w:t>
      </w:r>
      <w:r w:rsidRPr="00D503C7">
        <w:rPr>
          <w:rFonts w:ascii="Verdana" w:hAnsi="Verdana"/>
          <w:sz w:val="16"/>
          <w:szCs w:val="16"/>
        </w:rPr>
        <w:t xml:space="preserve"> </w:t>
      </w:r>
      <w:r>
        <w:rPr>
          <w:rFonts w:ascii="Verdana" w:hAnsi="Verdana"/>
          <w:sz w:val="16"/>
          <w:szCs w:val="16"/>
        </w:rPr>
        <w:t>puntos resolutivos quinto y sexto y párrs. 171 a 209 y 213 a 219.</w:t>
      </w:r>
      <w:r w:rsidR="00792F5C">
        <w:rPr>
          <w:rFonts w:ascii="Verdana" w:hAnsi="Verdana"/>
          <w:sz w:val="16"/>
          <w:szCs w:val="16"/>
        </w:rPr>
        <w:t xml:space="preserve"> </w:t>
      </w:r>
      <w:r w:rsidRPr="00D503C7">
        <w:rPr>
          <w:rFonts w:ascii="Verdana" w:hAnsi="Verdana"/>
          <w:sz w:val="16"/>
          <w:szCs w:val="16"/>
        </w:rPr>
        <w:t xml:space="preserve"> </w:t>
      </w:r>
    </w:p>
  </w:footnote>
  <w:footnote w:id="65">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Style w:val="Textoennegrita"/>
          <w:rFonts w:ascii="Verdana" w:hAnsi="Verdana"/>
          <w:b w:val="0"/>
          <w:i/>
          <w:color w:val="000000"/>
          <w:sz w:val="16"/>
          <w:szCs w:val="16"/>
          <w:shd w:val="clear" w:color="auto" w:fill="FFFFFF"/>
        </w:rPr>
        <w:t>Caso Cuscul Pivaral y otros Vs. Guatemala. Excepción Preliminar, Fondo, Reparaciones y Costas.</w:t>
      </w:r>
      <w:r w:rsidRPr="00D503C7">
        <w:rPr>
          <w:rStyle w:val="Textoennegrita"/>
          <w:rFonts w:ascii="Verdana" w:hAnsi="Verdana"/>
          <w:b w:val="0"/>
          <w:color w:val="000000"/>
          <w:sz w:val="16"/>
          <w:szCs w:val="16"/>
          <w:shd w:val="clear" w:color="auto" w:fill="FFFFFF"/>
        </w:rPr>
        <w:t xml:space="preserve"> Sentencia </w:t>
      </w:r>
      <w:r w:rsidRPr="00D503C7">
        <w:rPr>
          <w:rStyle w:val="Textoennegrita"/>
          <w:rFonts w:ascii="Verdana" w:hAnsi="Verdana"/>
          <w:b w:val="0"/>
          <w:sz w:val="16"/>
          <w:szCs w:val="16"/>
          <w:shd w:val="clear" w:color="auto" w:fill="FFFFFF"/>
        </w:rPr>
        <w:t xml:space="preserve">de 23 de agosto de 2018. Serie C No. 359, párr. </w:t>
      </w:r>
      <w:r w:rsidRPr="00D503C7">
        <w:rPr>
          <w:rFonts w:ascii="Verdana" w:hAnsi="Verdana"/>
          <w:sz w:val="16"/>
          <w:szCs w:val="16"/>
        </w:rPr>
        <w:t xml:space="preserve">97. </w:t>
      </w:r>
    </w:p>
  </w:footnote>
  <w:footnote w:id="66">
    <w:p w:rsidR="002005C7" w:rsidRPr="00D503C7" w:rsidRDefault="002005C7" w:rsidP="00F47861">
      <w:pPr>
        <w:pStyle w:val="Textonotapie"/>
        <w:spacing w:after="120"/>
        <w:jc w:val="both"/>
        <w:rPr>
          <w:rFonts w:ascii="Verdana" w:hAnsi="Verdana"/>
          <w:sz w:val="16"/>
          <w:szCs w:val="16"/>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t>Por ejemplo</w:t>
      </w:r>
      <w:r>
        <w:rPr>
          <w:rFonts w:ascii="Verdana" w:hAnsi="Verdana"/>
          <w:sz w:val="16"/>
          <w:szCs w:val="16"/>
        </w:rPr>
        <w:t>,</w:t>
      </w:r>
      <w:r w:rsidRPr="00D503C7">
        <w:rPr>
          <w:rFonts w:ascii="Verdana" w:hAnsi="Verdana"/>
          <w:sz w:val="16"/>
          <w:szCs w:val="16"/>
        </w:rPr>
        <w:t xml:space="preserve"> recientemente la Corte</w:t>
      </w:r>
      <w:r>
        <w:rPr>
          <w:rFonts w:ascii="Verdana" w:hAnsi="Verdana"/>
          <w:sz w:val="16"/>
          <w:szCs w:val="16"/>
        </w:rPr>
        <w:t xml:space="preserve"> IDH</w:t>
      </w:r>
      <w:r w:rsidRPr="00D503C7">
        <w:rPr>
          <w:rFonts w:ascii="Verdana" w:hAnsi="Verdana"/>
          <w:sz w:val="16"/>
          <w:szCs w:val="16"/>
        </w:rPr>
        <w:t xml:space="preserve"> ha interpretado el alcance del artículo 6 de</w:t>
      </w:r>
      <w:r w:rsidR="002706F2">
        <w:rPr>
          <w:rFonts w:ascii="Verdana" w:hAnsi="Verdana"/>
          <w:sz w:val="16"/>
          <w:szCs w:val="16"/>
        </w:rPr>
        <w:t xml:space="preserve"> la Convención Americana. Véase</w:t>
      </w:r>
      <w:r w:rsidRPr="00D503C7">
        <w:rPr>
          <w:rFonts w:ascii="Verdana" w:hAnsi="Verdana"/>
          <w:sz w:val="16"/>
          <w:szCs w:val="16"/>
        </w:rPr>
        <w:t xml:space="preserve"> </w:t>
      </w:r>
      <w:r w:rsidRPr="00D503C7">
        <w:rPr>
          <w:rStyle w:val="Textoennegrita"/>
          <w:rFonts w:ascii="Verdana" w:hAnsi="Verdana"/>
          <w:b w:val="0"/>
          <w:i/>
          <w:sz w:val="16"/>
          <w:szCs w:val="16"/>
          <w:shd w:val="clear" w:color="auto" w:fill="FFFFFF"/>
        </w:rPr>
        <w:t>Caso Trabajadores de la Hacienda Brasil Verde Vs. Brasil. Excepciones Preliminares, Fondo, Reparaciones y Costas</w:t>
      </w:r>
      <w:r w:rsidRPr="00D503C7">
        <w:rPr>
          <w:rStyle w:val="Textoennegrita"/>
          <w:rFonts w:ascii="Verdana" w:hAnsi="Verdana"/>
          <w:b w:val="0"/>
          <w:sz w:val="16"/>
          <w:szCs w:val="16"/>
          <w:shd w:val="clear" w:color="auto" w:fill="FFFFFF"/>
        </w:rPr>
        <w:t>. Sentencia de 20 de octubre de 2016. Serie C No. 318</w:t>
      </w:r>
      <w:r>
        <w:rPr>
          <w:rStyle w:val="Textoennegrita"/>
          <w:rFonts w:ascii="Verdana" w:hAnsi="Verdana"/>
          <w:b w:val="0"/>
          <w:sz w:val="16"/>
          <w:szCs w:val="16"/>
          <w:shd w:val="clear" w:color="auto" w:fill="FFFFFF"/>
        </w:rPr>
        <w:t>.</w:t>
      </w:r>
      <w:r w:rsidRPr="00D503C7">
        <w:rPr>
          <w:rStyle w:val="Textoennegrita"/>
          <w:rFonts w:ascii="Verdana" w:hAnsi="Verdana"/>
          <w:b w:val="0"/>
          <w:sz w:val="16"/>
          <w:szCs w:val="16"/>
          <w:shd w:val="clear" w:color="auto" w:fill="FFFFFF"/>
        </w:rPr>
        <w:t xml:space="preserve"> </w:t>
      </w:r>
      <w:r>
        <w:rPr>
          <w:rStyle w:val="Textoennegrita"/>
          <w:rFonts w:ascii="Verdana" w:hAnsi="Verdana"/>
          <w:b w:val="0"/>
          <w:sz w:val="16"/>
          <w:szCs w:val="16"/>
          <w:shd w:val="clear" w:color="auto" w:fill="FFFFFF"/>
        </w:rPr>
        <w:t>También pueden advertirse</w:t>
      </w:r>
      <w:r w:rsidRPr="00D503C7">
        <w:rPr>
          <w:rStyle w:val="Textoennegrita"/>
          <w:rFonts w:ascii="Verdana" w:hAnsi="Verdana"/>
          <w:b w:val="0"/>
          <w:sz w:val="16"/>
          <w:szCs w:val="16"/>
          <w:shd w:val="clear" w:color="auto" w:fill="FFFFFF"/>
        </w:rPr>
        <w:t xml:space="preserve"> los casos relacionados con el derecho a la verdad: </w:t>
      </w:r>
      <w:r w:rsidRPr="00263B13">
        <w:rPr>
          <w:rStyle w:val="Textoennegrita"/>
          <w:rFonts w:ascii="Verdana" w:hAnsi="Verdana"/>
          <w:b w:val="0"/>
          <w:i/>
          <w:sz w:val="16"/>
          <w:szCs w:val="16"/>
          <w:shd w:val="clear" w:color="auto" w:fill="FFFFFF"/>
        </w:rPr>
        <w:t>Caso Comunidad Campesina de Santa Bárbara Vs. Perú. Excepciones Preliminares, Fondo, Reparaciones y Costas</w:t>
      </w:r>
      <w:r w:rsidRPr="00D503C7">
        <w:rPr>
          <w:rStyle w:val="Textoennegrita"/>
          <w:rFonts w:ascii="Verdana" w:hAnsi="Verdana"/>
          <w:b w:val="0"/>
          <w:sz w:val="16"/>
          <w:szCs w:val="16"/>
          <w:shd w:val="clear" w:color="auto" w:fill="FFFFFF"/>
        </w:rPr>
        <w:t>. Sentencia de 1 de septiembre de 2015. Serie C No. 299</w:t>
      </w:r>
      <w:r>
        <w:rPr>
          <w:rStyle w:val="Textoennegrita"/>
          <w:rFonts w:ascii="Verdana" w:hAnsi="Verdana"/>
          <w:b w:val="0"/>
          <w:sz w:val="16"/>
          <w:szCs w:val="16"/>
          <w:shd w:val="clear" w:color="auto" w:fill="FFFFFF"/>
        </w:rPr>
        <w:t>,</w:t>
      </w:r>
      <w:r w:rsidRPr="00D503C7">
        <w:rPr>
          <w:rStyle w:val="Textoennegrita"/>
          <w:rFonts w:ascii="Verdana" w:hAnsi="Verdana"/>
          <w:b w:val="0"/>
          <w:sz w:val="16"/>
          <w:szCs w:val="16"/>
          <w:shd w:val="clear" w:color="auto" w:fill="FFFFFF"/>
        </w:rPr>
        <w:t xml:space="preserve"> hasta </w:t>
      </w:r>
      <w:r>
        <w:rPr>
          <w:rStyle w:val="Textoennegrita"/>
          <w:rFonts w:ascii="Verdana" w:hAnsi="Verdana"/>
          <w:b w:val="0"/>
          <w:sz w:val="16"/>
          <w:szCs w:val="16"/>
          <w:shd w:val="clear" w:color="auto" w:fill="FFFFFF"/>
        </w:rPr>
        <w:t xml:space="preserve">el </w:t>
      </w:r>
      <w:r w:rsidRPr="00263B13">
        <w:rPr>
          <w:rStyle w:val="Textoennegrita"/>
          <w:rFonts w:ascii="Verdana" w:hAnsi="Verdana"/>
          <w:b w:val="0"/>
          <w:i/>
          <w:sz w:val="16"/>
          <w:szCs w:val="16"/>
          <w:shd w:val="clear" w:color="auto" w:fill="FFFFFF"/>
        </w:rPr>
        <w:t>Caso Munárriz Escobar y otros Vs. Perú</w:t>
      </w:r>
      <w:r w:rsidRPr="00D503C7">
        <w:rPr>
          <w:rStyle w:val="Textoennegrita"/>
          <w:rFonts w:ascii="Verdana" w:hAnsi="Verdana"/>
          <w:b w:val="0"/>
          <w:sz w:val="16"/>
          <w:szCs w:val="16"/>
          <w:shd w:val="clear" w:color="auto" w:fill="FFFFFF"/>
        </w:rPr>
        <w:t xml:space="preserve">. </w:t>
      </w:r>
      <w:r w:rsidRPr="00263B13">
        <w:rPr>
          <w:rStyle w:val="Textoennegrita"/>
          <w:rFonts w:ascii="Verdana" w:hAnsi="Verdana"/>
          <w:b w:val="0"/>
          <w:i/>
          <w:sz w:val="16"/>
          <w:szCs w:val="16"/>
          <w:shd w:val="clear" w:color="auto" w:fill="FFFFFF"/>
        </w:rPr>
        <w:t>Excepción Preliminar, Fondo, Reparaciones y Costas</w:t>
      </w:r>
      <w:r w:rsidRPr="00D503C7">
        <w:rPr>
          <w:rStyle w:val="Textoennegrita"/>
          <w:rFonts w:ascii="Verdana" w:hAnsi="Verdana"/>
          <w:b w:val="0"/>
          <w:sz w:val="16"/>
          <w:szCs w:val="16"/>
          <w:shd w:val="clear" w:color="auto" w:fill="FFFFFF"/>
        </w:rPr>
        <w:t>. Sentencia de 20 de agosto de 2018. Serie C No. 355.</w:t>
      </w:r>
      <w:r w:rsidRPr="00D503C7">
        <w:rPr>
          <w:rStyle w:val="Textoennegrita"/>
          <w:rFonts w:ascii="Verdana" w:hAnsi="Verdana"/>
          <w:sz w:val="16"/>
          <w:szCs w:val="16"/>
          <w:shd w:val="clear" w:color="auto" w:fill="FFFFFF"/>
        </w:rPr>
        <w:t xml:space="preserve"> </w:t>
      </w:r>
    </w:p>
  </w:footnote>
  <w:footnote w:id="67">
    <w:p w:rsidR="002005C7" w:rsidRPr="00D503C7" w:rsidRDefault="002005C7" w:rsidP="00F47861">
      <w:pPr>
        <w:pStyle w:val="Textonotapie"/>
        <w:spacing w:after="120"/>
        <w:jc w:val="both"/>
        <w:rPr>
          <w:rFonts w:ascii="Verdana" w:eastAsia="Batang" w:hAnsi="Verdana" w:cs="Times New Roman"/>
          <w:color w:val="FF0000"/>
          <w:sz w:val="16"/>
          <w:szCs w:val="16"/>
          <w:lang w:val="es-MX"/>
        </w:rPr>
      </w:pPr>
      <w:r w:rsidRPr="00D503C7">
        <w:rPr>
          <w:rStyle w:val="Refdenotaalpie"/>
          <w:rFonts w:ascii="Verdana" w:hAnsi="Verdana"/>
          <w:sz w:val="16"/>
          <w:szCs w:val="16"/>
        </w:rPr>
        <w:footnoteRef/>
      </w:r>
      <w:r w:rsidRPr="00D503C7">
        <w:rPr>
          <w:rFonts w:ascii="Verdana" w:hAnsi="Verdana"/>
          <w:sz w:val="16"/>
          <w:szCs w:val="16"/>
          <w:lang w:val="es-MX"/>
        </w:rPr>
        <w:t xml:space="preserve"> </w:t>
      </w:r>
      <w:r w:rsidRPr="00D503C7">
        <w:rPr>
          <w:rFonts w:ascii="Verdana" w:hAnsi="Verdana"/>
          <w:sz w:val="16"/>
          <w:szCs w:val="16"/>
          <w:lang w:val="es-MX"/>
        </w:rPr>
        <w:tab/>
      </w:r>
      <w:r w:rsidRPr="00D503C7">
        <w:rPr>
          <w:rFonts w:ascii="Verdana" w:hAnsi="Verdana"/>
          <w:i/>
          <w:sz w:val="16"/>
          <w:szCs w:val="16"/>
          <w:lang w:val="es-MX"/>
        </w:rPr>
        <w:t xml:space="preserve">Cfr. </w:t>
      </w:r>
      <w:r w:rsidRPr="00D503C7">
        <w:rPr>
          <w:rStyle w:val="Textoennegrita"/>
          <w:rFonts w:ascii="Verdana" w:hAnsi="Verdana"/>
          <w:b w:val="0"/>
          <w:i/>
          <w:sz w:val="16"/>
          <w:szCs w:val="16"/>
          <w:shd w:val="clear" w:color="auto" w:fill="FFFFFF"/>
          <w:lang w:val="es-MX"/>
        </w:rPr>
        <w:t>Caso Acevedo Buendía y otros (“Cesantes y Jubilados de la Contraloría”) Vs. Perú. Excepción Preliminar, Fondo, Reparaciones y Costas</w:t>
      </w:r>
      <w:r w:rsidRPr="00D503C7">
        <w:rPr>
          <w:rStyle w:val="Textoennegrita"/>
          <w:rFonts w:ascii="Verdana" w:hAnsi="Verdana"/>
          <w:b w:val="0"/>
          <w:sz w:val="16"/>
          <w:szCs w:val="16"/>
          <w:shd w:val="clear" w:color="auto" w:fill="FFFFFF"/>
          <w:lang w:val="es-MX"/>
        </w:rPr>
        <w:t xml:space="preserve">. Sentencia de 1 de julio de 2009. Serie C No. 198, párrs. </w:t>
      </w:r>
      <w:r w:rsidRPr="00D503C7">
        <w:rPr>
          <w:rFonts w:ascii="Verdana" w:hAnsi="Verdana"/>
          <w:sz w:val="16"/>
          <w:szCs w:val="16"/>
          <w:lang w:val="es-MX"/>
        </w:rPr>
        <w:t>16 y 17</w:t>
      </w:r>
      <w:r w:rsidRPr="00D503C7">
        <w:rPr>
          <w:rFonts w:ascii="Verdana" w:hAnsi="Verdana"/>
          <w:color w:val="FF0000"/>
          <w:sz w:val="16"/>
          <w:szCs w:val="16"/>
          <w:lang w:val="es-MX"/>
        </w:rPr>
        <w:t xml:space="preserve">. </w:t>
      </w:r>
    </w:p>
  </w:footnote>
  <w:footnote w:id="68">
    <w:p w:rsidR="002005C7" w:rsidRPr="0051420C"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lang w:val="es-CR"/>
        </w:rPr>
        <w:tab/>
      </w:r>
      <w:r w:rsidRPr="0051420C">
        <w:rPr>
          <w:rFonts w:ascii="Verdana" w:hAnsi="Verdana"/>
          <w:i/>
          <w:sz w:val="16"/>
          <w:szCs w:val="16"/>
        </w:rPr>
        <w:t>Cfr.</w:t>
      </w:r>
      <w:r w:rsidR="00792F5C">
        <w:rPr>
          <w:rFonts w:ascii="Verdana" w:hAnsi="Verdana"/>
          <w:sz w:val="16"/>
          <w:szCs w:val="16"/>
        </w:rPr>
        <w:t xml:space="preserve"> </w:t>
      </w:r>
      <w:r w:rsidRPr="0051420C">
        <w:rPr>
          <w:rStyle w:val="Textoennegrita"/>
          <w:rFonts w:ascii="Verdana" w:hAnsi="Verdana"/>
          <w:b w:val="0"/>
          <w:i/>
          <w:sz w:val="16"/>
          <w:szCs w:val="16"/>
          <w:shd w:val="clear" w:color="auto" w:fill="FFFFFF"/>
        </w:rPr>
        <w:t>Caso Baena Ricardo y otros Vs. Panamá. Competencia</w:t>
      </w:r>
      <w:r w:rsidRPr="0051420C">
        <w:rPr>
          <w:rStyle w:val="Textoennegrita"/>
          <w:rFonts w:ascii="Verdana" w:hAnsi="Verdana"/>
          <w:b w:val="0"/>
          <w:sz w:val="16"/>
          <w:szCs w:val="16"/>
          <w:shd w:val="clear" w:color="auto" w:fill="FFFFFF"/>
        </w:rPr>
        <w:t>. Sentencia de 28 de noviembre de 2003. Serie C No. 104,</w:t>
      </w:r>
      <w:r w:rsidRPr="0051420C">
        <w:rPr>
          <w:rStyle w:val="Textoennegrita"/>
          <w:rFonts w:ascii="Verdana" w:hAnsi="Verdana"/>
          <w:shd w:val="clear" w:color="auto" w:fill="FFFFFF"/>
        </w:rPr>
        <w:t xml:space="preserve"> </w:t>
      </w:r>
      <w:r w:rsidRPr="0051420C">
        <w:rPr>
          <w:rFonts w:ascii="Verdana" w:hAnsi="Verdana"/>
          <w:sz w:val="16"/>
          <w:szCs w:val="16"/>
        </w:rPr>
        <w:t xml:space="preserve">párr. 73, y </w:t>
      </w:r>
      <w:r w:rsidRPr="0051420C">
        <w:rPr>
          <w:rStyle w:val="Textoennegrita"/>
          <w:rFonts w:ascii="Verdana" w:hAnsi="Verdana"/>
          <w:b w:val="0"/>
          <w:sz w:val="16"/>
          <w:szCs w:val="16"/>
          <w:shd w:val="clear" w:color="auto" w:fill="FFFFFF"/>
        </w:rPr>
        <w:t>C</w:t>
      </w:r>
      <w:r w:rsidRPr="0051420C">
        <w:rPr>
          <w:rStyle w:val="Textoennegrita"/>
          <w:rFonts w:ascii="Verdana" w:hAnsi="Verdana"/>
          <w:b w:val="0"/>
          <w:i/>
          <w:sz w:val="16"/>
          <w:szCs w:val="16"/>
          <w:shd w:val="clear" w:color="auto" w:fill="FFFFFF"/>
        </w:rPr>
        <w:t>aso Fornerón e hija Vs. Argentina. Fondo, Reparaciones y Costas</w:t>
      </w:r>
      <w:r w:rsidRPr="0051420C">
        <w:rPr>
          <w:rStyle w:val="Textoennegrita"/>
          <w:rFonts w:ascii="Verdana" w:hAnsi="Verdana"/>
          <w:b w:val="0"/>
          <w:sz w:val="16"/>
          <w:szCs w:val="16"/>
          <w:shd w:val="clear" w:color="auto" w:fill="FFFFFF"/>
        </w:rPr>
        <w:t>. Sentencia de 27 de abril de 2012. Serie C No. 242,</w:t>
      </w:r>
      <w:r w:rsidRPr="0051420C">
        <w:rPr>
          <w:rStyle w:val="Textoennegrita"/>
          <w:rFonts w:ascii="Verdana" w:hAnsi="Verdana"/>
          <w:shd w:val="clear" w:color="auto" w:fill="FFFFFF"/>
        </w:rPr>
        <w:t xml:space="preserve"> </w:t>
      </w:r>
      <w:r w:rsidRPr="0051420C">
        <w:rPr>
          <w:rFonts w:ascii="Verdana" w:hAnsi="Verdana"/>
          <w:sz w:val="16"/>
          <w:szCs w:val="16"/>
        </w:rPr>
        <w:t>párr. 107</w:t>
      </w:r>
    </w:p>
  </w:footnote>
  <w:footnote w:id="69">
    <w:p w:rsidR="002005C7" w:rsidRPr="0051420C" w:rsidRDefault="002005C7" w:rsidP="00F47861">
      <w:pPr>
        <w:pStyle w:val="Textonotapie"/>
        <w:spacing w:after="120"/>
        <w:jc w:val="both"/>
        <w:rPr>
          <w:rFonts w:ascii="Verdana" w:hAnsi="Verdana"/>
          <w:spacing w:val="-4"/>
          <w:sz w:val="16"/>
          <w:szCs w:val="16"/>
          <w:lang w:val="es-PE"/>
        </w:rPr>
      </w:pPr>
      <w:r w:rsidRPr="0051420C">
        <w:rPr>
          <w:rStyle w:val="Refdenotaalpie"/>
          <w:rFonts w:ascii="Verdana" w:eastAsiaTheme="majorEastAsia" w:hAnsi="Verdana"/>
          <w:sz w:val="16"/>
          <w:szCs w:val="16"/>
          <w:lang w:val="es-CR"/>
        </w:rPr>
        <w:footnoteRef/>
      </w:r>
      <w:r w:rsidRPr="0051420C">
        <w:rPr>
          <w:rFonts w:ascii="Verdana" w:hAnsi="Verdana"/>
          <w:sz w:val="16"/>
          <w:szCs w:val="16"/>
          <w:lang w:val="es-PE"/>
        </w:rPr>
        <w:tab/>
      </w:r>
      <w:r w:rsidRPr="0051420C">
        <w:rPr>
          <w:rFonts w:ascii="Verdana" w:hAnsi="Verdana" w:cstheme="minorHAnsi"/>
          <w:i/>
          <w:sz w:val="16"/>
          <w:szCs w:val="16"/>
          <w:lang w:val="es-PE"/>
        </w:rPr>
        <w:t>Cfr.</w:t>
      </w:r>
      <w:r w:rsidRPr="0051420C">
        <w:rPr>
          <w:rFonts w:ascii="Verdana" w:hAnsi="Verdana" w:cstheme="minorHAnsi"/>
          <w:sz w:val="16"/>
          <w:szCs w:val="16"/>
          <w:lang w:val="es-PE"/>
        </w:rPr>
        <w:t xml:space="preserve"> </w:t>
      </w:r>
      <w:r w:rsidRPr="0051420C">
        <w:rPr>
          <w:rStyle w:val="Textoennegrita"/>
          <w:rFonts w:ascii="Verdana" w:hAnsi="Verdana"/>
          <w:b w:val="0"/>
          <w:i/>
          <w:sz w:val="16"/>
          <w:szCs w:val="16"/>
          <w:shd w:val="clear" w:color="auto" w:fill="FFFFFF"/>
          <w:lang w:val="es-CR"/>
        </w:rPr>
        <w:t>Garantías judiciales en estados de emergencia (Arts. 27.2, 25 y 8 Convención Americana sobre Derechos Humanos)</w:t>
      </w:r>
      <w:r w:rsidRPr="0051420C">
        <w:rPr>
          <w:rStyle w:val="Textoennegrita"/>
          <w:rFonts w:ascii="Verdana" w:hAnsi="Verdana"/>
          <w:b w:val="0"/>
          <w:sz w:val="16"/>
          <w:szCs w:val="16"/>
          <w:shd w:val="clear" w:color="auto" w:fill="FFFFFF"/>
          <w:lang w:val="es-CR"/>
        </w:rPr>
        <w:t>. Opinión Consultiva OC-9/87 de 6 de octubre de 1987. Serie A No. 9, párr. 24</w:t>
      </w:r>
      <w:r w:rsidRPr="0051420C">
        <w:rPr>
          <w:rFonts w:ascii="Verdana" w:hAnsi="Verdana" w:cstheme="minorHAnsi"/>
          <w:b/>
          <w:sz w:val="16"/>
          <w:szCs w:val="16"/>
          <w:lang w:val="es-PE"/>
        </w:rPr>
        <w:t xml:space="preserve"> </w:t>
      </w:r>
      <w:r w:rsidRPr="0051420C">
        <w:rPr>
          <w:rFonts w:ascii="Verdana" w:hAnsi="Verdana" w:cstheme="minorHAnsi"/>
          <w:sz w:val="16"/>
          <w:szCs w:val="16"/>
          <w:lang w:val="es-PE"/>
        </w:rPr>
        <w:t xml:space="preserve">y </w:t>
      </w:r>
      <w:r w:rsidRPr="0051420C">
        <w:rPr>
          <w:rStyle w:val="Textoennegrita"/>
          <w:rFonts w:ascii="Verdana" w:hAnsi="Verdana"/>
          <w:b w:val="0"/>
          <w:i/>
          <w:sz w:val="16"/>
          <w:szCs w:val="16"/>
          <w:shd w:val="clear" w:color="auto" w:fill="FFFFFF"/>
          <w:lang w:val="es-CR"/>
        </w:rPr>
        <w:t xml:space="preserve">Caso Cuscul Pivaral y otros Vs. </w:t>
      </w:r>
      <w:r w:rsidRPr="0051420C">
        <w:rPr>
          <w:rStyle w:val="Textoennegrita"/>
          <w:rFonts w:ascii="Verdana" w:hAnsi="Verdana"/>
          <w:b w:val="0"/>
          <w:i/>
          <w:sz w:val="16"/>
          <w:szCs w:val="16"/>
          <w:shd w:val="clear" w:color="auto" w:fill="FFFFFF"/>
          <w:lang w:val="es-PE"/>
        </w:rPr>
        <w:t xml:space="preserve">Guatemala. </w:t>
      </w:r>
      <w:r w:rsidRPr="0051420C">
        <w:rPr>
          <w:rStyle w:val="Textoennegrita"/>
          <w:rFonts w:ascii="Verdana" w:hAnsi="Verdana"/>
          <w:b w:val="0"/>
          <w:i/>
          <w:sz w:val="16"/>
          <w:szCs w:val="16"/>
          <w:shd w:val="clear" w:color="auto" w:fill="FFFFFF"/>
          <w:lang w:val="es-CR"/>
        </w:rPr>
        <w:t>Excepción Preliminar, Fondo, Reparaciones y Costas.</w:t>
      </w:r>
      <w:r w:rsidRPr="0051420C">
        <w:rPr>
          <w:rStyle w:val="Textoennegrita"/>
          <w:rFonts w:ascii="Verdana" w:hAnsi="Verdana"/>
          <w:b w:val="0"/>
          <w:sz w:val="16"/>
          <w:szCs w:val="16"/>
          <w:shd w:val="clear" w:color="auto" w:fill="FFFFFF"/>
          <w:lang w:val="es-CR"/>
        </w:rPr>
        <w:t xml:space="preserve"> Sentencia de 23 de agosto de 2018. Serie C No. 359</w:t>
      </w:r>
      <w:r w:rsidRPr="0051420C">
        <w:rPr>
          <w:rFonts w:ascii="Verdana" w:hAnsi="Verdana" w:cstheme="minorHAnsi"/>
          <w:b/>
          <w:sz w:val="16"/>
          <w:szCs w:val="16"/>
          <w:lang w:val="es-PE"/>
        </w:rPr>
        <w:t xml:space="preserve">, </w:t>
      </w:r>
      <w:r w:rsidRPr="0051420C">
        <w:rPr>
          <w:rFonts w:ascii="Verdana" w:hAnsi="Verdana" w:cstheme="minorHAnsi"/>
          <w:sz w:val="16"/>
          <w:szCs w:val="16"/>
          <w:lang w:val="es-PE"/>
        </w:rPr>
        <w:t>párr. 169.</w:t>
      </w:r>
    </w:p>
  </w:footnote>
  <w:footnote w:id="70">
    <w:p w:rsidR="002005C7" w:rsidRPr="0051420C" w:rsidRDefault="002005C7" w:rsidP="00F47861">
      <w:pPr>
        <w:pStyle w:val="Textonotapie"/>
        <w:spacing w:after="120"/>
        <w:jc w:val="both"/>
        <w:rPr>
          <w:rFonts w:ascii="Verdana" w:hAnsi="Verdana"/>
          <w:sz w:val="16"/>
          <w:szCs w:val="16"/>
          <w:lang w:val="es-CR"/>
        </w:rPr>
      </w:pPr>
      <w:r w:rsidRPr="0051420C">
        <w:rPr>
          <w:rStyle w:val="Refdenotaalpie"/>
          <w:rFonts w:ascii="Verdana" w:eastAsiaTheme="majorEastAsia" w:hAnsi="Verdana"/>
          <w:spacing w:val="-4"/>
          <w:sz w:val="16"/>
          <w:szCs w:val="16"/>
        </w:rPr>
        <w:footnoteRef/>
      </w:r>
      <w:r w:rsidRPr="0051420C">
        <w:rPr>
          <w:rFonts w:ascii="Verdana" w:hAnsi="Verdana"/>
          <w:sz w:val="16"/>
          <w:szCs w:val="16"/>
          <w:lang w:val="es-PE"/>
        </w:rPr>
        <w:t xml:space="preserve"> </w:t>
      </w:r>
      <w:r w:rsidRPr="0051420C">
        <w:rPr>
          <w:rFonts w:ascii="Verdana" w:hAnsi="Verdana"/>
          <w:sz w:val="16"/>
          <w:szCs w:val="16"/>
          <w:lang w:val="es-PE"/>
        </w:rPr>
        <w:tab/>
      </w:r>
      <w:r w:rsidRPr="0051420C">
        <w:rPr>
          <w:rFonts w:ascii="Verdana" w:hAnsi="Verdana"/>
          <w:i/>
          <w:sz w:val="16"/>
          <w:szCs w:val="16"/>
        </w:rPr>
        <w:t>Cfr.</w:t>
      </w:r>
      <w:r w:rsidR="00792F5C">
        <w:rPr>
          <w:rFonts w:ascii="Verdana" w:hAnsi="Verdana"/>
          <w:sz w:val="16"/>
          <w:szCs w:val="16"/>
        </w:rPr>
        <w:t xml:space="preserve"> </w:t>
      </w:r>
      <w:r w:rsidRPr="0051420C">
        <w:rPr>
          <w:rStyle w:val="Textoennegrita"/>
          <w:rFonts w:ascii="Verdana" w:hAnsi="Verdana"/>
          <w:b w:val="0"/>
          <w:i/>
          <w:sz w:val="16"/>
          <w:szCs w:val="16"/>
          <w:shd w:val="clear" w:color="auto" w:fill="FFFFFF"/>
        </w:rPr>
        <w:t>Caso Baena Ricardo y otros Vs. Panamá. Competencia</w:t>
      </w:r>
      <w:r w:rsidRPr="0051420C">
        <w:rPr>
          <w:rStyle w:val="Textoennegrita"/>
          <w:rFonts w:ascii="Verdana" w:hAnsi="Verdana"/>
          <w:b w:val="0"/>
          <w:sz w:val="16"/>
          <w:szCs w:val="16"/>
          <w:shd w:val="clear" w:color="auto" w:fill="FFFFFF"/>
        </w:rPr>
        <w:t>. Sentencia de 28 de noviembre de 2003. Serie C No. 104,</w:t>
      </w:r>
      <w:r w:rsidRPr="0051420C">
        <w:rPr>
          <w:rStyle w:val="Textoennegrita"/>
          <w:rFonts w:ascii="Verdana" w:hAnsi="Verdana"/>
          <w:shd w:val="clear" w:color="auto" w:fill="FFFFFF"/>
        </w:rPr>
        <w:t xml:space="preserve"> </w:t>
      </w:r>
      <w:r w:rsidRPr="0051420C">
        <w:rPr>
          <w:rFonts w:ascii="Verdana" w:hAnsi="Verdana"/>
          <w:sz w:val="16"/>
          <w:szCs w:val="16"/>
        </w:rPr>
        <w:t>párr. 73</w:t>
      </w:r>
      <w:r w:rsidRPr="0051420C">
        <w:rPr>
          <w:rFonts w:ascii="Verdana" w:hAnsi="Verdana"/>
          <w:sz w:val="16"/>
          <w:szCs w:val="16"/>
          <w:lang w:val="es-PE"/>
        </w:rPr>
        <w:t xml:space="preserve"> y </w:t>
      </w:r>
      <w:r w:rsidRPr="0051420C">
        <w:rPr>
          <w:rFonts w:ascii="Verdana" w:hAnsi="Verdana"/>
          <w:i/>
          <w:sz w:val="16"/>
          <w:szCs w:val="16"/>
          <w:lang w:val="es-PE"/>
        </w:rPr>
        <w:t>Caso Liakat Ali Alibux Vs. Surinam.</w:t>
      </w:r>
      <w:r w:rsidRPr="0051420C">
        <w:rPr>
          <w:rFonts w:ascii="Verdana" w:hAnsi="Verdana"/>
          <w:sz w:val="16"/>
          <w:szCs w:val="16"/>
          <w:lang w:val="es-PE"/>
        </w:rPr>
        <w:t xml:space="preserve"> Excepciones Preliminares, Fondo, Reparaciones y Costas. Sentencia de 30 de enero de 2014. </w:t>
      </w:r>
      <w:r w:rsidRPr="0051420C">
        <w:rPr>
          <w:rFonts w:ascii="Verdana" w:hAnsi="Verdana"/>
          <w:sz w:val="16"/>
          <w:szCs w:val="16"/>
          <w:lang w:val="es-CR"/>
        </w:rPr>
        <w:t>Serie C No. 276, párr. 33.</w:t>
      </w:r>
    </w:p>
  </w:footnote>
  <w:footnote w:id="71">
    <w:p w:rsidR="002005C7" w:rsidRPr="0051420C" w:rsidRDefault="002005C7" w:rsidP="00F47861">
      <w:pPr>
        <w:pStyle w:val="Textonotapie"/>
        <w:spacing w:after="120"/>
        <w:jc w:val="both"/>
        <w:rPr>
          <w:rFonts w:ascii="Verdana" w:hAnsi="Verdana"/>
          <w:sz w:val="16"/>
          <w:szCs w:val="16"/>
          <w:lang w:val="es-CR"/>
        </w:rPr>
      </w:pPr>
      <w:r w:rsidRPr="0051420C">
        <w:rPr>
          <w:rStyle w:val="Refdenotaalpie"/>
          <w:rFonts w:ascii="Verdana" w:hAnsi="Verdana"/>
          <w:sz w:val="16"/>
          <w:szCs w:val="16"/>
        </w:rPr>
        <w:footnoteRef/>
      </w:r>
      <w:r w:rsidR="00792F5C">
        <w:rPr>
          <w:rFonts w:ascii="Verdana" w:hAnsi="Verdana"/>
          <w:sz w:val="16"/>
          <w:szCs w:val="16"/>
          <w:lang w:val="es-CR"/>
        </w:rPr>
        <w:t xml:space="preserve"> </w:t>
      </w:r>
      <w:r w:rsidRPr="0051420C">
        <w:rPr>
          <w:rFonts w:ascii="Verdana" w:hAnsi="Verdana"/>
          <w:sz w:val="16"/>
          <w:szCs w:val="16"/>
        </w:rPr>
        <w:tab/>
      </w:r>
      <w:r w:rsidRPr="0051420C">
        <w:rPr>
          <w:rStyle w:val="Textoennegrita"/>
          <w:rFonts w:ascii="Verdana" w:hAnsi="Verdana"/>
          <w:b w:val="0"/>
          <w:i/>
          <w:sz w:val="16"/>
          <w:szCs w:val="16"/>
          <w:shd w:val="clear" w:color="auto" w:fill="FFFFFF"/>
        </w:rPr>
        <w:t>Caso Acevedo Jaramillo y otros Vs. Perú. Excepciones Preliminares, Fondo, Reparaciones y Costas</w:t>
      </w:r>
      <w:r w:rsidRPr="0051420C">
        <w:rPr>
          <w:rStyle w:val="Textoennegrita"/>
          <w:rFonts w:ascii="Verdana" w:hAnsi="Verdana"/>
          <w:b w:val="0"/>
          <w:sz w:val="16"/>
          <w:szCs w:val="16"/>
          <w:shd w:val="clear" w:color="auto" w:fill="FFFFFF"/>
        </w:rPr>
        <w:t xml:space="preserve">. Sentencia de 7 de febrero de 2006. Serie C No. 144, </w:t>
      </w:r>
      <w:r w:rsidRPr="0051420C">
        <w:rPr>
          <w:rFonts w:ascii="Verdana" w:hAnsi="Verdana"/>
          <w:sz w:val="16"/>
          <w:szCs w:val="16"/>
        </w:rPr>
        <w:t>párr. 220</w:t>
      </w:r>
      <w:r w:rsidR="00792F5C">
        <w:rPr>
          <w:rFonts w:ascii="Verdana" w:hAnsi="Verdana"/>
          <w:sz w:val="16"/>
          <w:szCs w:val="16"/>
        </w:rPr>
        <w:t xml:space="preserve"> </w:t>
      </w:r>
      <w:r w:rsidRPr="0051420C">
        <w:rPr>
          <w:rFonts w:ascii="Verdana" w:hAnsi="Verdana"/>
          <w:sz w:val="16"/>
          <w:szCs w:val="16"/>
        </w:rPr>
        <w:t>y</w:t>
      </w:r>
      <w:r w:rsidRPr="0051420C">
        <w:rPr>
          <w:rFonts w:ascii="Verdana" w:hAnsi="Verdana"/>
          <w:b/>
          <w:sz w:val="16"/>
          <w:szCs w:val="16"/>
        </w:rPr>
        <w:t xml:space="preserve"> </w:t>
      </w:r>
      <w:r w:rsidRPr="0051420C">
        <w:rPr>
          <w:rStyle w:val="Textoennegrita"/>
          <w:rFonts w:ascii="Verdana" w:hAnsi="Verdana"/>
          <w:b w:val="0"/>
          <w:i/>
          <w:sz w:val="16"/>
          <w:szCs w:val="16"/>
          <w:shd w:val="clear" w:color="auto" w:fill="FFFFFF"/>
        </w:rPr>
        <w:t xml:space="preserve">Caso </w:t>
      </w:r>
      <w:proofErr w:type="spellStart"/>
      <w:r w:rsidRPr="0051420C">
        <w:rPr>
          <w:rStyle w:val="Textoennegrita"/>
          <w:rFonts w:ascii="Verdana" w:hAnsi="Verdana"/>
          <w:b w:val="0"/>
          <w:i/>
          <w:sz w:val="16"/>
          <w:szCs w:val="16"/>
          <w:shd w:val="clear" w:color="auto" w:fill="FFFFFF"/>
        </w:rPr>
        <w:t>Furlan</w:t>
      </w:r>
      <w:proofErr w:type="spellEnd"/>
      <w:r w:rsidRPr="0051420C">
        <w:rPr>
          <w:rStyle w:val="Textoennegrita"/>
          <w:rFonts w:ascii="Verdana" w:hAnsi="Verdana"/>
          <w:b w:val="0"/>
          <w:i/>
          <w:sz w:val="16"/>
          <w:szCs w:val="16"/>
          <w:shd w:val="clear" w:color="auto" w:fill="FFFFFF"/>
        </w:rPr>
        <w:t xml:space="preserve"> y familiares Vs. Argentina. Excepciones Preliminares, Fondo, Reparaciones y Costas.</w:t>
      </w:r>
      <w:r w:rsidRPr="0051420C">
        <w:rPr>
          <w:rStyle w:val="Textoennegrita"/>
          <w:rFonts w:ascii="Verdana" w:hAnsi="Verdana"/>
          <w:b w:val="0"/>
          <w:sz w:val="16"/>
          <w:szCs w:val="16"/>
          <w:shd w:val="clear" w:color="auto" w:fill="FFFFFF"/>
        </w:rPr>
        <w:t xml:space="preserve"> Sentencia de 31 de agosto de 2012. Serie C No. 246, </w:t>
      </w:r>
      <w:r w:rsidRPr="0051420C">
        <w:rPr>
          <w:rFonts w:ascii="Verdana" w:hAnsi="Verdana"/>
          <w:sz w:val="16"/>
          <w:szCs w:val="16"/>
        </w:rPr>
        <w:t xml:space="preserve">párr. 209. </w:t>
      </w:r>
    </w:p>
  </w:footnote>
  <w:footnote w:id="72">
    <w:p w:rsidR="002005C7" w:rsidRPr="00B61DA8" w:rsidRDefault="002005C7" w:rsidP="00B61DA8">
      <w:pPr>
        <w:pStyle w:val="Textonotapie"/>
        <w:spacing w:after="120"/>
        <w:jc w:val="both"/>
        <w:rPr>
          <w:rFonts w:ascii="Verdana" w:hAnsi="Verdana"/>
          <w:sz w:val="16"/>
          <w:szCs w:val="16"/>
        </w:rPr>
      </w:pPr>
      <w:r w:rsidRPr="00B61DA8">
        <w:rPr>
          <w:rStyle w:val="Refdenotaalpie"/>
          <w:rFonts w:ascii="Verdana" w:hAnsi="Verdana"/>
          <w:sz w:val="16"/>
          <w:szCs w:val="16"/>
        </w:rPr>
        <w:footnoteRef/>
      </w:r>
      <w:r w:rsidRPr="00B61DA8">
        <w:rPr>
          <w:rFonts w:ascii="Verdana" w:hAnsi="Verdana"/>
          <w:sz w:val="16"/>
          <w:szCs w:val="16"/>
        </w:rPr>
        <w:t xml:space="preserve"> </w:t>
      </w:r>
      <w:r>
        <w:rPr>
          <w:rFonts w:ascii="Verdana" w:hAnsi="Verdana"/>
          <w:sz w:val="16"/>
          <w:szCs w:val="16"/>
        </w:rPr>
        <w:tab/>
      </w:r>
      <w:r w:rsidRPr="002005C7">
        <w:rPr>
          <w:rFonts w:ascii="Verdana" w:hAnsi="Verdana"/>
          <w:i/>
          <w:sz w:val="16"/>
          <w:szCs w:val="16"/>
        </w:rPr>
        <w:t>Cfr.</w:t>
      </w:r>
      <w:r w:rsidRPr="00B61DA8">
        <w:rPr>
          <w:rFonts w:ascii="Verdana" w:hAnsi="Verdana"/>
          <w:sz w:val="16"/>
          <w:szCs w:val="16"/>
        </w:rPr>
        <w:t xml:space="preserve"> Comité DESC, </w:t>
      </w:r>
      <w:r w:rsidRPr="002005C7">
        <w:rPr>
          <w:rFonts w:ascii="Verdana" w:hAnsi="Verdana"/>
          <w:i/>
          <w:sz w:val="16"/>
          <w:szCs w:val="16"/>
        </w:rPr>
        <w:t>Observaciones finales sobre a los informes periódicos quinto y sexto combinados de México</w:t>
      </w:r>
      <w:r w:rsidRPr="00B61DA8">
        <w:rPr>
          <w:rFonts w:ascii="Verdana" w:hAnsi="Verdana"/>
          <w:sz w:val="16"/>
          <w:szCs w:val="16"/>
        </w:rPr>
        <w:t xml:space="preserve">, 17 de abril de 2018, U.N. Doc. E/C.12/MEX/CO/5-6, párr. 5; Comité DESC, </w:t>
      </w:r>
      <w:r w:rsidRPr="002005C7">
        <w:rPr>
          <w:rFonts w:ascii="Verdana" w:hAnsi="Verdana"/>
          <w:i/>
          <w:sz w:val="16"/>
          <w:szCs w:val="16"/>
        </w:rPr>
        <w:t>Observaciones finales sobre el quinto informe periódico del Uruguay</w:t>
      </w:r>
      <w:r w:rsidRPr="00B61DA8">
        <w:rPr>
          <w:rFonts w:ascii="Verdana" w:hAnsi="Verdana"/>
          <w:sz w:val="16"/>
          <w:szCs w:val="16"/>
        </w:rPr>
        <w:t xml:space="preserve">, 20 de julio de 2017, U.N. Doc. E/C.12/URY/CO/5, párr. 7; Comité DESC, </w:t>
      </w:r>
      <w:r w:rsidRPr="002005C7">
        <w:rPr>
          <w:rFonts w:ascii="Verdana" w:hAnsi="Verdana"/>
          <w:i/>
          <w:sz w:val="16"/>
          <w:szCs w:val="16"/>
        </w:rPr>
        <w:t>Observaciones finales sobre el quinto informe periódico de Costa Rica</w:t>
      </w:r>
      <w:r w:rsidRPr="00B61DA8">
        <w:rPr>
          <w:rFonts w:ascii="Verdana" w:hAnsi="Verdana"/>
          <w:sz w:val="16"/>
          <w:szCs w:val="16"/>
        </w:rPr>
        <w:t xml:space="preserve">, 21 de octubre de 2016, U.N. Doc. E/C.12/CRI/CO/5, párr. 6 y 7; Comité DESC, </w:t>
      </w:r>
      <w:r w:rsidRPr="002005C7">
        <w:rPr>
          <w:rFonts w:ascii="Verdana" w:hAnsi="Verdana"/>
          <w:i/>
          <w:sz w:val="16"/>
          <w:szCs w:val="16"/>
        </w:rPr>
        <w:t>Observaciones finales sobre el cuarto informe periódico de la República Dominicana</w:t>
      </w:r>
      <w:r w:rsidRPr="00B61DA8">
        <w:rPr>
          <w:rFonts w:ascii="Verdana" w:hAnsi="Verdana"/>
          <w:sz w:val="16"/>
          <w:szCs w:val="16"/>
        </w:rPr>
        <w:t xml:space="preserve">, 21 de octubre de 2016, U.N. Doc. E/C.12/DOM/CO/4, párr. 5; Comité DESC, </w:t>
      </w:r>
      <w:r w:rsidRPr="002005C7">
        <w:rPr>
          <w:rFonts w:ascii="Verdana" w:hAnsi="Verdana"/>
          <w:i/>
          <w:sz w:val="16"/>
          <w:szCs w:val="16"/>
        </w:rPr>
        <w:t>Observaciones finales sobre el segundo informe periódico de Honduras</w:t>
      </w:r>
      <w:r w:rsidRPr="00B61DA8">
        <w:rPr>
          <w:rFonts w:ascii="Verdana" w:hAnsi="Verdana"/>
          <w:sz w:val="16"/>
          <w:szCs w:val="16"/>
        </w:rPr>
        <w:t xml:space="preserve">, 11 de julio de 2016, U.N. Doc. E/C.12/HND/CO/2, párr. 5; Comité DESC, </w:t>
      </w:r>
      <w:r w:rsidRPr="002005C7">
        <w:rPr>
          <w:rFonts w:ascii="Verdana" w:hAnsi="Verdana"/>
          <w:i/>
          <w:sz w:val="16"/>
          <w:szCs w:val="16"/>
        </w:rPr>
        <w:t>Observaciones finales sobre el cuarto informe periódico de Chile</w:t>
      </w:r>
      <w:r w:rsidRPr="00B61DA8">
        <w:rPr>
          <w:rFonts w:ascii="Verdana" w:hAnsi="Verdana"/>
          <w:sz w:val="16"/>
          <w:szCs w:val="16"/>
        </w:rPr>
        <w:t xml:space="preserve">, 07 de julio de 2015, U.N. Doc. E/C.12/CHL/CO/4, párr. 7; Comité DESC, </w:t>
      </w:r>
      <w:r w:rsidRPr="002005C7">
        <w:rPr>
          <w:rFonts w:ascii="Verdana" w:hAnsi="Verdana"/>
          <w:i/>
          <w:sz w:val="16"/>
          <w:szCs w:val="16"/>
        </w:rPr>
        <w:t>Observaciones finales sobre el cuarto informe periódico del Paraguay</w:t>
      </w:r>
      <w:r w:rsidRPr="00B61DA8">
        <w:rPr>
          <w:rFonts w:ascii="Verdana" w:hAnsi="Verdana"/>
          <w:sz w:val="16"/>
          <w:szCs w:val="16"/>
        </w:rPr>
        <w:t xml:space="preserve">, 20 de marzo de 2015, U.N. Doc. E/C.12/PRY/CO/4, párr. 7; Comité DESC, </w:t>
      </w:r>
      <w:r w:rsidRPr="002005C7">
        <w:rPr>
          <w:rFonts w:ascii="Verdana" w:hAnsi="Verdana"/>
          <w:i/>
          <w:sz w:val="16"/>
          <w:szCs w:val="16"/>
        </w:rPr>
        <w:t>Examen de los informes presentados por los Estados Partes de conformidad con los artículos 16 y 17 del Pacto</w:t>
      </w:r>
      <w:r w:rsidRPr="00B61DA8">
        <w:rPr>
          <w:rFonts w:ascii="Verdana" w:hAnsi="Verdana"/>
          <w:sz w:val="16"/>
          <w:szCs w:val="16"/>
        </w:rPr>
        <w:t xml:space="preserve">, </w:t>
      </w:r>
      <w:r w:rsidRPr="002005C7">
        <w:rPr>
          <w:rFonts w:ascii="Verdana" w:hAnsi="Verdana"/>
          <w:i/>
          <w:sz w:val="16"/>
          <w:szCs w:val="16"/>
        </w:rPr>
        <w:t>Observaciones finales del Comité de Derechos Económicos, Sociales y Culturales</w:t>
      </w:r>
      <w:r w:rsidRPr="00B61DA8">
        <w:rPr>
          <w:rFonts w:ascii="Verdana" w:hAnsi="Verdana"/>
          <w:sz w:val="16"/>
          <w:szCs w:val="16"/>
        </w:rPr>
        <w:t>, Panamá, 24 de septiembre de 2001, E/C.12/1/Add.64, párr. 9 y 25</w:t>
      </w:r>
    </w:p>
  </w:footnote>
  <w:footnote w:id="73">
    <w:p w:rsidR="002005C7" w:rsidRPr="00B61DA8" w:rsidRDefault="002005C7" w:rsidP="00B61DA8">
      <w:pPr>
        <w:pStyle w:val="Textonotapie"/>
        <w:spacing w:after="120"/>
        <w:jc w:val="both"/>
        <w:rPr>
          <w:rFonts w:ascii="Verdana" w:hAnsi="Verdana"/>
          <w:sz w:val="16"/>
          <w:szCs w:val="16"/>
        </w:rPr>
      </w:pPr>
      <w:r w:rsidRPr="00B61DA8">
        <w:rPr>
          <w:rStyle w:val="Refdenotaalpie"/>
          <w:rFonts w:ascii="Verdana" w:hAnsi="Verdana"/>
          <w:sz w:val="16"/>
          <w:szCs w:val="16"/>
        </w:rPr>
        <w:footnoteRef/>
      </w:r>
      <w:r w:rsidRPr="00B61DA8">
        <w:rPr>
          <w:rFonts w:ascii="Verdana" w:hAnsi="Verdana"/>
          <w:sz w:val="16"/>
          <w:szCs w:val="16"/>
        </w:rPr>
        <w:t xml:space="preserve"> </w:t>
      </w:r>
      <w:r>
        <w:rPr>
          <w:rFonts w:ascii="Verdana" w:hAnsi="Verdana"/>
          <w:sz w:val="16"/>
          <w:szCs w:val="16"/>
        </w:rPr>
        <w:tab/>
      </w:r>
      <w:r w:rsidRPr="002005C7">
        <w:rPr>
          <w:rFonts w:ascii="Verdana" w:hAnsi="Verdana"/>
          <w:i/>
          <w:sz w:val="16"/>
          <w:szCs w:val="16"/>
        </w:rPr>
        <w:t>Cfr</w:t>
      </w:r>
      <w:r w:rsidRPr="00B61DA8">
        <w:rPr>
          <w:rFonts w:ascii="Verdana" w:hAnsi="Verdana"/>
          <w:sz w:val="16"/>
          <w:szCs w:val="16"/>
        </w:rPr>
        <w:t xml:space="preserve">. Comité DESC, </w:t>
      </w:r>
      <w:r w:rsidRPr="002005C7">
        <w:rPr>
          <w:rFonts w:ascii="Verdana" w:hAnsi="Verdana"/>
          <w:i/>
          <w:sz w:val="16"/>
          <w:szCs w:val="16"/>
        </w:rPr>
        <w:t>Observaciones finales sobre el sexto informe periódico de Colombia</w:t>
      </w:r>
      <w:r w:rsidRPr="00B61DA8">
        <w:rPr>
          <w:rFonts w:ascii="Verdana" w:hAnsi="Verdana"/>
          <w:sz w:val="16"/>
          <w:szCs w:val="16"/>
        </w:rPr>
        <w:t xml:space="preserve">, 19 de octubre de 2017, E/C.12/COL/CO/6, párr. 13 inciso c), 45 y 46 inciso c); Comité DESC, </w:t>
      </w:r>
      <w:r w:rsidRPr="002005C7">
        <w:rPr>
          <w:rFonts w:ascii="Verdana" w:hAnsi="Verdana"/>
          <w:i/>
          <w:sz w:val="16"/>
          <w:szCs w:val="16"/>
        </w:rPr>
        <w:t>Observaciones finales sobre el tercer informe periódico de Guatemala</w:t>
      </w:r>
      <w:r w:rsidRPr="00B61DA8">
        <w:rPr>
          <w:rFonts w:ascii="Verdana" w:hAnsi="Verdana"/>
          <w:sz w:val="16"/>
          <w:szCs w:val="16"/>
        </w:rPr>
        <w:t>, 09 de diciembre de 2014, E/C.12/GTM/CO/3, párr. 6.</w:t>
      </w:r>
    </w:p>
  </w:footnote>
  <w:footnote w:id="74">
    <w:p w:rsidR="002005C7" w:rsidRPr="00B61DA8" w:rsidRDefault="002005C7" w:rsidP="00B61DA8">
      <w:pPr>
        <w:pStyle w:val="Textonotapie"/>
        <w:spacing w:after="120"/>
        <w:jc w:val="both"/>
        <w:rPr>
          <w:rFonts w:ascii="Verdana" w:hAnsi="Verdana"/>
          <w:sz w:val="16"/>
          <w:szCs w:val="16"/>
        </w:rPr>
      </w:pPr>
      <w:r w:rsidRPr="00B61DA8">
        <w:rPr>
          <w:rStyle w:val="Refdenotaalpie"/>
          <w:rFonts w:ascii="Verdana" w:hAnsi="Verdana"/>
          <w:sz w:val="16"/>
          <w:szCs w:val="16"/>
        </w:rPr>
        <w:footnoteRef/>
      </w:r>
      <w:r w:rsidRPr="00B61DA8">
        <w:rPr>
          <w:rFonts w:ascii="Verdana" w:hAnsi="Verdana"/>
          <w:sz w:val="16"/>
          <w:szCs w:val="16"/>
        </w:rPr>
        <w:t xml:space="preserve"> </w:t>
      </w:r>
      <w:r>
        <w:rPr>
          <w:rFonts w:ascii="Verdana" w:hAnsi="Verdana"/>
          <w:sz w:val="16"/>
          <w:szCs w:val="16"/>
        </w:rPr>
        <w:tab/>
      </w:r>
      <w:r w:rsidRPr="002005C7">
        <w:rPr>
          <w:rFonts w:ascii="Verdana" w:hAnsi="Verdana"/>
          <w:i/>
          <w:sz w:val="16"/>
          <w:szCs w:val="16"/>
        </w:rPr>
        <w:t>Cfr.</w:t>
      </w:r>
      <w:r w:rsidRPr="00B61DA8">
        <w:rPr>
          <w:rFonts w:ascii="Verdana" w:hAnsi="Verdana"/>
          <w:sz w:val="16"/>
          <w:szCs w:val="16"/>
        </w:rPr>
        <w:t xml:space="preserve"> Comité DESC, </w:t>
      </w:r>
      <w:r w:rsidRPr="002005C7">
        <w:rPr>
          <w:rFonts w:ascii="Verdana" w:hAnsi="Verdana"/>
          <w:i/>
          <w:sz w:val="16"/>
          <w:szCs w:val="16"/>
        </w:rPr>
        <w:t>Observaciones finales sobre el sexto informe periódico del Canadá</w:t>
      </w:r>
      <w:r w:rsidRPr="00B61DA8">
        <w:rPr>
          <w:rFonts w:ascii="Verdana" w:hAnsi="Verdana"/>
          <w:sz w:val="16"/>
          <w:szCs w:val="16"/>
        </w:rPr>
        <w:t xml:space="preserve">, 23 de marzo de 2016, U.N. Doc. E/C.12/CAN/CO/6, párr. 5; Comité DESC, </w:t>
      </w:r>
      <w:r w:rsidRPr="002005C7">
        <w:rPr>
          <w:rFonts w:ascii="Verdana" w:hAnsi="Verdana"/>
          <w:i/>
          <w:sz w:val="16"/>
          <w:szCs w:val="16"/>
        </w:rPr>
        <w:t>Observaciones finales sobre los informes periódicos segundo a cuarto combinados de Guyana</w:t>
      </w:r>
      <w:r w:rsidRPr="00B61DA8">
        <w:rPr>
          <w:rFonts w:ascii="Verdana" w:hAnsi="Verdana"/>
          <w:sz w:val="16"/>
          <w:szCs w:val="16"/>
        </w:rPr>
        <w:t xml:space="preserve">, 28 de octubre de 2015, U.N. Doc. E/C.12/GUY/CO/2-4, párr. 8; Comité DESC, </w:t>
      </w:r>
      <w:r w:rsidRPr="002005C7">
        <w:rPr>
          <w:rFonts w:ascii="Verdana" w:hAnsi="Verdana"/>
          <w:i/>
          <w:sz w:val="16"/>
          <w:szCs w:val="16"/>
        </w:rPr>
        <w:t>Observaciones finales sobre el tercer informe periódico de la República Bolivariana de Venezuela</w:t>
      </w:r>
      <w:r w:rsidRPr="00B61DA8">
        <w:rPr>
          <w:rFonts w:ascii="Verdana" w:hAnsi="Verdana"/>
          <w:sz w:val="16"/>
          <w:szCs w:val="16"/>
        </w:rPr>
        <w:t xml:space="preserve">, 07 de julio de 2015, U.N. Doc. E/C.12/VEN/CO/3, párr. 7; Comité DESC, </w:t>
      </w:r>
      <w:r w:rsidRPr="002005C7">
        <w:rPr>
          <w:rFonts w:ascii="Verdana" w:hAnsi="Verdana"/>
          <w:i/>
          <w:sz w:val="16"/>
          <w:szCs w:val="16"/>
        </w:rPr>
        <w:t>Observaciones finales sobre los informes periódicos tercero y cuarto combinados de Jamaica</w:t>
      </w:r>
      <w:r w:rsidRPr="00B61DA8">
        <w:rPr>
          <w:rFonts w:ascii="Verdana" w:hAnsi="Verdana"/>
          <w:sz w:val="16"/>
          <w:szCs w:val="16"/>
        </w:rPr>
        <w:t xml:space="preserve">, 10 de junio de 2013, U.N. Doc. E/C.12/JAM/CO/3-4, párr. 6; Comité DESC, </w:t>
      </w:r>
      <w:r w:rsidRPr="002005C7">
        <w:rPr>
          <w:rFonts w:ascii="Verdana" w:hAnsi="Verdana"/>
          <w:i/>
          <w:sz w:val="16"/>
          <w:szCs w:val="16"/>
        </w:rPr>
        <w:t>Examen de los informes presentados por los Estados de conformidad con los artículos 16 y 17 del Pacto, Observaciones finales del Comité de Derechos Económicos, Sociales y Culturales</w:t>
      </w:r>
      <w:r w:rsidRPr="00B61DA8">
        <w:rPr>
          <w:rFonts w:ascii="Verdana" w:hAnsi="Verdana"/>
          <w:sz w:val="16"/>
          <w:szCs w:val="16"/>
        </w:rPr>
        <w:t xml:space="preserve">, Trinidad y Tobado, 05 de junio de 2002, E/C.12/1/Add.80, párr. 9; Comité DESC, </w:t>
      </w:r>
      <w:r w:rsidRPr="002005C7">
        <w:rPr>
          <w:rFonts w:ascii="Verdana" w:hAnsi="Verdana"/>
          <w:i/>
          <w:sz w:val="16"/>
          <w:szCs w:val="16"/>
        </w:rPr>
        <w:t>Examen de los informes presentados por los Estados Partes en virtud de los artículos 16 y 17 del Pacto, Observaciones Finales, San Vicente y las Granadinas</w:t>
      </w:r>
      <w:r w:rsidRPr="00B61DA8">
        <w:rPr>
          <w:rFonts w:ascii="Verdana" w:hAnsi="Verdana"/>
          <w:sz w:val="16"/>
          <w:szCs w:val="16"/>
        </w:rPr>
        <w:t>, 02 de diciembre de 1997, E/C.12/1/Add.21, párr. 13</w:t>
      </w:r>
    </w:p>
  </w:footnote>
  <w:footnote w:id="75">
    <w:p w:rsidR="002005C7" w:rsidRPr="00B61DA8" w:rsidRDefault="002005C7" w:rsidP="00B61DA8">
      <w:pPr>
        <w:pStyle w:val="Textonotapie"/>
        <w:spacing w:after="120"/>
        <w:jc w:val="both"/>
        <w:rPr>
          <w:rFonts w:ascii="Verdana" w:hAnsi="Verdana"/>
          <w:sz w:val="16"/>
          <w:szCs w:val="16"/>
        </w:rPr>
      </w:pPr>
      <w:r w:rsidRPr="00B61DA8">
        <w:rPr>
          <w:rStyle w:val="Refdenotaalpie"/>
          <w:rFonts w:ascii="Verdana" w:hAnsi="Verdana"/>
          <w:sz w:val="16"/>
          <w:szCs w:val="16"/>
        </w:rPr>
        <w:footnoteRef/>
      </w:r>
      <w:r w:rsidRPr="00B61DA8">
        <w:rPr>
          <w:rFonts w:ascii="Verdana" w:hAnsi="Verdana"/>
          <w:sz w:val="16"/>
          <w:szCs w:val="16"/>
        </w:rPr>
        <w:t xml:space="preserve"> </w:t>
      </w:r>
      <w:r>
        <w:rPr>
          <w:rFonts w:ascii="Verdana" w:hAnsi="Verdana"/>
          <w:sz w:val="16"/>
          <w:szCs w:val="16"/>
        </w:rPr>
        <w:tab/>
      </w:r>
      <w:r w:rsidRPr="00B61DA8">
        <w:rPr>
          <w:rFonts w:ascii="Verdana" w:hAnsi="Verdana"/>
          <w:sz w:val="16"/>
          <w:szCs w:val="16"/>
        </w:rPr>
        <w:t xml:space="preserve">Cfr. Comité DESC, </w:t>
      </w:r>
      <w:r w:rsidRPr="002005C7">
        <w:rPr>
          <w:rFonts w:ascii="Verdana" w:hAnsi="Verdana"/>
          <w:i/>
          <w:sz w:val="16"/>
          <w:szCs w:val="16"/>
        </w:rPr>
        <w:t>Observaciones finales sobre a los informes periódicos quinto y sexto combinados de México</w:t>
      </w:r>
      <w:r w:rsidRPr="00B61DA8">
        <w:rPr>
          <w:rFonts w:ascii="Verdana" w:hAnsi="Verdana"/>
          <w:sz w:val="16"/>
          <w:szCs w:val="16"/>
        </w:rPr>
        <w:t xml:space="preserve">, op. cit., párr. 5 y 6; Comité DESC, </w:t>
      </w:r>
      <w:r w:rsidRPr="002005C7">
        <w:rPr>
          <w:rFonts w:ascii="Verdana" w:hAnsi="Verdana"/>
          <w:i/>
          <w:sz w:val="16"/>
          <w:szCs w:val="16"/>
        </w:rPr>
        <w:t>Observaciones finales sobre el sexto informe periódico de Colombia</w:t>
      </w:r>
      <w:r w:rsidRPr="00B61DA8">
        <w:rPr>
          <w:rFonts w:ascii="Verdana" w:hAnsi="Verdana"/>
          <w:sz w:val="16"/>
          <w:szCs w:val="16"/>
        </w:rPr>
        <w:t>, op. cit., párr. 18 inciso c).</w:t>
      </w:r>
    </w:p>
  </w:footnote>
  <w:footnote w:id="76">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51420C">
        <w:rPr>
          <w:rFonts w:ascii="Verdana" w:hAnsi="Verdana"/>
          <w:i/>
          <w:sz w:val="16"/>
          <w:szCs w:val="16"/>
          <w:lang w:val="es-CR"/>
        </w:rPr>
        <w:t>Mutatis mutandi,</w:t>
      </w:r>
      <w:r w:rsidRPr="0051420C">
        <w:rPr>
          <w:rFonts w:ascii="Verdana" w:hAnsi="Verdana"/>
          <w:sz w:val="16"/>
          <w:szCs w:val="16"/>
          <w:lang w:val="es-CR"/>
        </w:rPr>
        <w:t xml:space="preserve"> Comité DESC, Observación General No. 9, </w:t>
      </w:r>
      <w:r w:rsidRPr="002005C7">
        <w:rPr>
          <w:rFonts w:ascii="Verdana" w:hAnsi="Verdana"/>
          <w:i/>
          <w:sz w:val="16"/>
          <w:szCs w:val="16"/>
          <w:lang w:val="es-CR"/>
        </w:rPr>
        <w:t>La aplicación interna del Pacto</w:t>
      </w:r>
      <w:r w:rsidRPr="0051420C">
        <w:rPr>
          <w:rFonts w:ascii="Verdana" w:hAnsi="Verdana"/>
          <w:sz w:val="16"/>
          <w:szCs w:val="16"/>
          <w:lang w:val="es-CR"/>
        </w:rPr>
        <w:t xml:space="preserve">, 1998, párr. 7. </w:t>
      </w:r>
    </w:p>
  </w:footnote>
  <w:footnote w:id="77">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D503C7">
        <w:rPr>
          <w:rFonts w:ascii="Verdana" w:hAnsi="Verdana"/>
          <w:i/>
          <w:sz w:val="16"/>
          <w:szCs w:val="16"/>
        </w:rPr>
        <w:t>Cfr.</w:t>
      </w:r>
      <w:r w:rsidR="00792F5C">
        <w:rPr>
          <w:rFonts w:ascii="Verdana" w:hAnsi="Verdana"/>
          <w:i/>
          <w:sz w:val="16"/>
          <w:szCs w:val="16"/>
        </w:rPr>
        <w:t xml:space="preserve"> </w:t>
      </w:r>
      <w:r w:rsidRPr="00D503C7">
        <w:rPr>
          <w:rFonts w:ascii="Verdana" w:hAnsi="Verdana"/>
          <w:i/>
          <w:sz w:val="16"/>
          <w:szCs w:val="16"/>
        </w:rPr>
        <w:t xml:space="preserve">Caso Muelle Flores Vs. Perú. Excepciones Preliminares, Fondo, Reparaciones y Costas. </w:t>
      </w:r>
      <w:r w:rsidRPr="00D503C7">
        <w:rPr>
          <w:rFonts w:ascii="Verdana" w:hAnsi="Verdana"/>
          <w:sz w:val="16"/>
          <w:szCs w:val="16"/>
        </w:rPr>
        <w:t xml:space="preserve">Sentencia de 6 de marzo de 2019. Serie C No. </w:t>
      </w:r>
      <w:r w:rsidR="006B2226">
        <w:rPr>
          <w:rFonts w:ascii="Verdana" w:hAnsi="Verdana"/>
          <w:sz w:val="16"/>
          <w:szCs w:val="16"/>
        </w:rPr>
        <w:t>375</w:t>
      </w:r>
      <w:r w:rsidRPr="0051420C">
        <w:rPr>
          <w:rFonts w:ascii="Verdana" w:hAnsi="Verdana"/>
          <w:sz w:val="16"/>
          <w:szCs w:val="16"/>
        </w:rPr>
        <w:t>,</w:t>
      </w:r>
      <w:r>
        <w:rPr>
          <w:rFonts w:ascii="Verdana" w:hAnsi="Verdana"/>
          <w:sz w:val="16"/>
          <w:szCs w:val="16"/>
        </w:rPr>
        <w:t xml:space="preserve"> párr. 128.</w:t>
      </w:r>
    </w:p>
  </w:footnote>
  <w:footnote w:id="78">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51420C">
        <w:rPr>
          <w:rFonts w:ascii="Verdana" w:hAnsi="Verdana"/>
          <w:i/>
          <w:sz w:val="16"/>
          <w:szCs w:val="16"/>
          <w:lang w:val="es-CR"/>
        </w:rPr>
        <w:t>Cfr</w:t>
      </w:r>
      <w:r w:rsidRPr="0051420C">
        <w:rPr>
          <w:rFonts w:ascii="Verdana" w:hAnsi="Verdana"/>
          <w:sz w:val="16"/>
          <w:szCs w:val="16"/>
          <w:lang w:val="es-CR"/>
        </w:rPr>
        <w:t xml:space="preserve">. Comité DESC, Observación General No. 6, </w:t>
      </w:r>
      <w:r w:rsidRPr="00EA6CCA">
        <w:rPr>
          <w:rFonts w:ascii="Verdana" w:hAnsi="Verdana"/>
          <w:i/>
          <w:sz w:val="16"/>
          <w:szCs w:val="16"/>
          <w:lang w:val="es-CR"/>
        </w:rPr>
        <w:t>Los derechos económicos, sociales y culturales de las personas de edad</w:t>
      </w:r>
      <w:r w:rsidRPr="0051420C">
        <w:rPr>
          <w:rFonts w:ascii="Verdana" w:hAnsi="Verdana"/>
          <w:sz w:val="16"/>
          <w:szCs w:val="16"/>
          <w:lang w:val="es-CR"/>
        </w:rPr>
        <w:t xml:space="preserve">, </w:t>
      </w:r>
      <w:r w:rsidR="00EA6CCA">
        <w:rPr>
          <w:rFonts w:ascii="Verdana" w:hAnsi="Verdana"/>
          <w:sz w:val="16"/>
          <w:szCs w:val="16"/>
          <w:lang w:val="es-CR"/>
        </w:rPr>
        <w:t>19</w:t>
      </w:r>
      <w:r w:rsidRPr="0051420C">
        <w:rPr>
          <w:rFonts w:ascii="Verdana" w:hAnsi="Verdana"/>
          <w:sz w:val="16"/>
          <w:szCs w:val="16"/>
          <w:lang w:val="es-CR"/>
        </w:rPr>
        <w:t>95, párr. 13.</w:t>
      </w:r>
    </w:p>
  </w:footnote>
  <w:footnote w:id="79">
    <w:p w:rsidR="002005C7" w:rsidRPr="00D503C7" w:rsidRDefault="002005C7" w:rsidP="00F47861">
      <w:pPr>
        <w:pStyle w:val="Textonotapie"/>
        <w:spacing w:after="120"/>
        <w:jc w:val="both"/>
        <w:rPr>
          <w:rFonts w:ascii="Verdana" w:hAnsi="Verdana"/>
          <w:sz w:val="16"/>
          <w:szCs w:val="16"/>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t xml:space="preserve">La primera vez que el tema </w:t>
      </w:r>
      <w:r w:rsidR="00FB75CE">
        <w:rPr>
          <w:rFonts w:ascii="Verdana" w:hAnsi="Verdana"/>
          <w:sz w:val="16"/>
          <w:szCs w:val="16"/>
        </w:rPr>
        <w:t xml:space="preserve">de las personas mayores </w:t>
      </w:r>
      <w:r w:rsidRPr="00D503C7">
        <w:rPr>
          <w:rFonts w:ascii="Verdana" w:hAnsi="Verdana"/>
          <w:sz w:val="16"/>
          <w:szCs w:val="16"/>
        </w:rPr>
        <w:t>se pone de manifiesto en la agenda Inte</w:t>
      </w:r>
      <w:r>
        <w:rPr>
          <w:rFonts w:ascii="Verdana" w:hAnsi="Verdana"/>
          <w:sz w:val="16"/>
          <w:szCs w:val="16"/>
        </w:rPr>
        <w:t xml:space="preserve">rnacional </w:t>
      </w:r>
      <w:r w:rsidRPr="00D503C7">
        <w:rPr>
          <w:rFonts w:ascii="Verdana" w:hAnsi="Verdana"/>
          <w:sz w:val="16"/>
          <w:szCs w:val="16"/>
        </w:rPr>
        <w:t>fue durante el Plan de Acción Internacional de Viena sobre Envejecimiento en 1982. Con posterioridad, en 1991, la Organización de Naciones Unidas proclamó “Principios de las Naciones Unidas en favor de las personas de edad”, en donde se ponían como ejes rectores los principios de independencia, participación, cuidados, autorrealización y dignidad. En 1992, la Asamblea General de las Naciones Unidas, emitió la Proclamación sobre el Envejecimiento en donde se expresó que “[las personas mayores] contribuyen a las sociedades y no son una carga para ellas”. Finalmente, el avance más significativo se dio en el 2002, con la Declaración Política y el Plan de Acción Internacional de Madrid sobre el Envejecimiento, en dicha Declaración los Estados se comprometieron a “llevar a cabo la tarea de incorporar eficazmente el envejecimiento en las estrategias, políticas y acciones socioeconómicas, teniendo presente que las políticas concretas variarán en función de las condiciones de cada país”. Adicionalmente otros órganos del Sistema Universal mediante Observaciones Generales, Recomendaciones Generales o In</w:t>
      </w:r>
      <w:r>
        <w:rPr>
          <w:rFonts w:ascii="Verdana" w:hAnsi="Verdana"/>
          <w:sz w:val="16"/>
          <w:szCs w:val="16"/>
        </w:rPr>
        <w:t>formes de Relatores Especiales</w:t>
      </w:r>
      <w:r w:rsidRPr="00D503C7">
        <w:rPr>
          <w:rFonts w:ascii="Verdana" w:hAnsi="Verdana"/>
          <w:sz w:val="16"/>
          <w:szCs w:val="16"/>
        </w:rPr>
        <w:t xml:space="preserve"> han abordado la </w:t>
      </w:r>
      <w:r>
        <w:rPr>
          <w:rFonts w:ascii="Verdana" w:hAnsi="Verdana"/>
          <w:sz w:val="16"/>
          <w:szCs w:val="16"/>
        </w:rPr>
        <w:t>situación de los derechos de las personas</w:t>
      </w:r>
      <w:r w:rsidRPr="00D503C7">
        <w:rPr>
          <w:rFonts w:ascii="Verdana" w:hAnsi="Verdana"/>
          <w:sz w:val="16"/>
          <w:szCs w:val="16"/>
        </w:rPr>
        <w:t xml:space="preserve"> mayores</w:t>
      </w:r>
      <w:r>
        <w:rPr>
          <w:rFonts w:ascii="Verdana" w:hAnsi="Verdana"/>
          <w:sz w:val="16"/>
          <w:szCs w:val="16"/>
        </w:rPr>
        <w:t>.</w:t>
      </w:r>
    </w:p>
  </w:footnote>
  <w:footnote w:id="80">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t>E</w:t>
      </w:r>
      <w:r w:rsidRPr="00D503C7">
        <w:rPr>
          <w:rFonts w:ascii="Verdana" w:hAnsi="Verdana"/>
          <w:sz w:val="16"/>
          <w:szCs w:val="16"/>
        </w:rPr>
        <w:t xml:space="preserve">ste mandato ha permitido visibilizar informes temáticos sobre las personas mayores en lo relativo a la autonomía y cuidados de </w:t>
      </w:r>
      <w:r>
        <w:rPr>
          <w:rFonts w:ascii="Verdana" w:hAnsi="Verdana"/>
          <w:sz w:val="16"/>
          <w:szCs w:val="16"/>
        </w:rPr>
        <w:t>dichas personas.</w:t>
      </w:r>
    </w:p>
  </w:footnote>
  <w:footnote w:id="81">
    <w:p w:rsidR="002005C7" w:rsidRPr="00D503C7" w:rsidRDefault="002005C7" w:rsidP="00F47861">
      <w:pPr>
        <w:pStyle w:val="Textonotapie"/>
        <w:spacing w:after="120"/>
        <w:jc w:val="both"/>
        <w:rPr>
          <w:rFonts w:ascii="Verdana" w:hAnsi="Verdana"/>
          <w:sz w:val="16"/>
          <w:szCs w:val="16"/>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t xml:space="preserve">“[…] </w:t>
      </w:r>
      <w:r w:rsidRPr="00D503C7">
        <w:rPr>
          <w:rFonts w:ascii="Verdana" w:hAnsi="Verdana"/>
          <w:sz w:val="16"/>
          <w:szCs w:val="16"/>
        </w:rPr>
        <w:t>4. Los ancianos y los minusválidos también tendrán derecho a medidas especiales de protección adecuadas a sus necesidades físicas o morales”</w:t>
      </w:r>
    </w:p>
  </w:footnote>
  <w:footnote w:id="82">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Pr>
          <w:rFonts w:ascii="Verdana" w:hAnsi="Verdana"/>
          <w:sz w:val="16"/>
          <w:szCs w:val="16"/>
          <w:lang w:val="es-CR"/>
        </w:rPr>
        <w:t xml:space="preserve">Este </w:t>
      </w:r>
      <w:r w:rsidRPr="00D503C7">
        <w:rPr>
          <w:rFonts w:ascii="Verdana" w:hAnsi="Verdana"/>
          <w:sz w:val="16"/>
          <w:szCs w:val="16"/>
        </w:rPr>
        <w:t xml:space="preserve">Protocolo </w:t>
      </w:r>
      <w:r>
        <w:rPr>
          <w:rFonts w:ascii="Verdana" w:hAnsi="Verdana"/>
          <w:sz w:val="16"/>
          <w:szCs w:val="16"/>
        </w:rPr>
        <w:t>fue adoptado</w:t>
      </w:r>
      <w:r w:rsidRPr="00D503C7">
        <w:rPr>
          <w:rFonts w:ascii="Verdana" w:hAnsi="Verdana"/>
          <w:sz w:val="16"/>
          <w:szCs w:val="16"/>
        </w:rPr>
        <w:t xml:space="preserve"> el 31 de julio de 2016</w:t>
      </w:r>
      <w:r>
        <w:rPr>
          <w:rFonts w:ascii="Verdana" w:hAnsi="Verdana"/>
          <w:sz w:val="16"/>
          <w:szCs w:val="16"/>
        </w:rPr>
        <w:t>,</w:t>
      </w:r>
      <w:r w:rsidRPr="00D503C7">
        <w:rPr>
          <w:rFonts w:ascii="Verdana" w:hAnsi="Verdana"/>
          <w:sz w:val="16"/>
          <w:szCs w:val="16"/>
        </w:rPr>
        <w:t xml:space="preserve"> en Addis Abeba, Etiopia. </w:t>
      </w:r>
    </w:p>
  </w:footnote>
  <w:footnote w:id="83">
    <w:p w:rsidR="002005C7" w:rsidRPr="00D503C7" w:rsidRDefault="002005C7" w:rsidP="00F47861">
      <w:pPr>
        <w:pStyle w:val="Textonotapie"/>
        <w:spacing w:after="120"/>
        <w:jc w:val="both"/>
        <w:rPr>
          <w:rFonts w:ascii="Verdana" w:hAnsi="Verdana"/>
          <w:sz w:val="16"/>
          <w:szCs w:val="16"/>
          <w:lang w:val="es-CR"/>
        </w:rPr>
      </w:pPr>
      <w:r w:rsidRPr="009B57B2">
        <w:rPr>
          <w:rStyle w:val="Refdenotaalpie"/>
          <w:rFonts w:ascii="Verdana" w:hAnsi="Verdana"/>
          <w:sz w:val="16"/>
          <w:szCs w:val="16"/>
        </w:rPr>
        <w:footnoteRef/>
      </w:r>
      <w:r w:rsidRPr="009B57B2">
        <w:rPr>
          <w:rFonts w:ascii="Verdana" w:hAnsi="Verdana"/>
          <w:sz w:val="16"/>
          <w:szCs w:val="16"/>
          <w:lang w:val="es-CR"/>
        </w:rPr>
        <w:t xml:space="preserve"> </w:t>
      </w:r>
      <w:r w:rsidRPr="009B57B2">
        <w:rPr>
          <w:rFonts w:ascii="Verdana" w:hAnsi="Verdana"/>
          <w:sz w:val="16"/>
          <w:szCs w:val="16"/>
          <w:lang w:val="es-CR"/>
        </w:rPr>
        <w:tab/>
      </w:r>
      <w:r w:rsidRPr="009B57B2">
        <w:rPr>
          <w:rFonts w:ascii="Verdana" w:hAnsi="Verdana"/>
          <w:sz w:val="16"/>
          <w:szCs w:val="16"/>
          <w:lang w:val="es-PE"/>
        </w:rPr>
        <w:t>Hasta el momento</w:t>
      </w:r>
      <w:r w:rsidR="00FB75CE">
        <w:rPr>
          <w:rFonts w:ascii="Verdana" w:hAnsi="Verdana"/>
          <w:sz w:val="16"/>
          <w:szCs w:val="16"/>
          <w:lang w:val="es-PE"/>
        </w:rPr>
        <w:t>, esta Convención</w:t>
      </w:r>
      <w:r w:rsidRPr="009B57B2">
        <w:rPr>
          <w:rFonts w:ascii="Verdana" w:hAnsi="Verdana"/>
          <w:sz w:val="16"/>
          <w:szCs w:val="16"/>
          <w:lang w:val="es-PE"/>
        </w:rPr>
        <w:t xml:space="preserve"> ha sido suscrita, </w:t>
      </w:r>
      <w:r w:rsidR="00FB75CE">
        <w:rPr>
          <w:rFonts w:ascii="Verdana" w:hAnsi="Verdana"/>
          <w:sz w:val="16"/>
          <w:szCs w:val="16"/>
          <w:lang w:val="es-PE"/>
        </w:rPr>
        <w:t>ratificada o se han adherido por los</w:t>
      </w:r>
      <w:r w:rsidRPr="009B57B2">
        <w:rPr>
          <w:rFonts w:ascii="Verdana" w:hAnsi="Verdana"/>
          <w:sz w:val="16"/>
          <w:szCs w:val="16"/>
          <w:lang w:val="es-PE"/>
        </w:rPr>
        <w:t xml:space="preserve"> su</w:t>
      </w:r>
      <w:r w:rsidR="00FB75CE">
        <w:rPr>
          <w:rFonts w:ascii="Verdana" w:hAnsi="Verdana"/>
          <w:sz w:val="16"/>
          <w:szCs w:val="16"/>
          <w:lang w:val="es-PE"/>
        </w:rPr>
        <w:t>i</w:t>
      </w:r>
      <w:r w:rsidRPr="009B57B2">
        <w:rPr>
          <w:rFonts w:ascii="Verdana" w:hAnsi="Verdana"/>
          <w:sz w:val="16"/>
          <w:szCs w:val="16"/>
          <w:lang w:val="es-PE"/>
        </w:rPr>
        <w:t>guientes países: Argentina, Bolivia, Chile, Costa Rica, Ecuador, El Salvador y Uruguay.</w:t>
      </w:r>
    </w:p>
  </w:footnote>
  <w:footnote w:id="84">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t>“</w:t>
      </w:r>
      <w:r w:rsidRPr="00D503C7">
        <w:rPr>
          <w:rFonts w:ascii="Verdana" w:hAnsi="Verdana"/>
          <w:sz w:val="16"/>
          <w:szCs w:val="16"/>
        </w:rPr>
        <w:t>Para garantizar el ejercicio efectivo del derecho de las personas de edad avanzada a protección social, las Partes se comprometen a adoptar o a promover, directamente o en cooperación con organizaciones públicas o privadas, medidas apropiadas orientadas, en particular: - a permitir que las personas de edad avanzada sigan siendo miembros plenos de la sociedad durante el mayor tiempo posible, mediante: a recursos suficientes que les permitan llevar una vida digna y participar activamente en la vida pública, social y cultural; b la difusión de información sobre servicios y facilidades a disposición de las personas de edad avanzada, y las posibilidades que éstas tienen de hacer uso de ellos; - a permitir a las personas de edad avanzada elegir libremente su estilo de vida y llevar una existencia independiente en su entorno habitual mientras lo deseen y les sea posible hacerlo, mediante: a la disponibilidad de viviendas adaptadas a sus necesidades y a su estado de salud o de ayudas adecuadas para la adaptación de su vivienda; b la asistencia sanitaria y los servicios que requiera su estado; - a garantizar a las personas de edad avanzada que vivan en instituciones la asistencia apropiada, respetando su vida privada, y la participación en las decisiones que afecten a sus condiciones de vida en la institución”.</w:t>
      </w:r>
    </w:p>
  </w:footnote>
  <w:footnote w:id="85">
    <w:p w:rsidR="002005C7" w:rsidRPr="0051420C" w:rsidRDefault="002005C7" w:rsidP="00F47861">
      <w:pPr>
        <w:pStyle w:val="Textonotapie"/>
        <w:spacing w:after="120"/>
        <w:jc w:val="both"/>
        <w:rPr>
          <w:rFonts w:ascii="Verdana" w:hAnsi="Verdana"/>
          <w:sz w:val="16"/>
          <w:szCs w:val="16"/>
          <w:lang w:val="es-CR"/>
        </w:rPr>
      </w:pPr>
      <w:r w:rsidRPr="002005C7">
        <w:rPr>
          <w:rStyle w:val="Refdenotaalpie"/>
          <w:rFonts w:ascii="Verdana" w:hAnsi="Verdana"/>
          <w:sz w:val="16"/>
          <w:szCs w:val="16"/>
        </w:rPr>
        <w:footnoteRef/>
      </w:r>
      <w:r w:rsidRPr="002005C7">
        <w:rPr>
          <w:rFonts w:ascii="Verdana" w:hAnsi="Verdana"/>
          <w:sz w:val="16"/>
          <w:szCs w:val="16"/>
          <w:lang w:val="es-CR"/>
        </w:rPr>
        <w:t xml:space="preserve"> </w:t>
      </w:r>
      <w:r w:rsidRPr="00D503C7">
        <w:rPr>
          <w:rFonts w:ascii="Verdana" w:hAnsi="Verdana"/>
          <w:color w:val="FF0000"/>
          <w:sz w:val="16"/>
          <w:szCs w:val="16"/>
          <w:lang w:val="es-CR"/>
        </w:rPr>
        <w:tab/>
      </w:r>
      <w:r w:rsidRPr="002005C7">
        <w:rPr>
          <w:rFonts w:ascii="Verdana" w:hAnsi="Verdana"/>
          <w:i/>
          <w:sz w:val="16"/>
          <w:szCs w:val="16"/>
        </w:rPr>
        <w:t xml:space="preserve">Caso </w:t>
      </w:r>
      <w:proofErr w:type="spellStart"/>
      <w:r w:rsidRPr="002005C7">
        <w:rPr>
          <w:rFonts w:ascii="Verdana" w:hAnsi="Verdana"/>
          <w:i/>
          <w:sz w:val="16"/>
          <w:szCs w:val="16"/>
        </w:rPr>
        <w:t>Dodov</w:t>
      </w:r>
      <w:proofErr w:type="spellEnd"/>
      <w:r w:rsidRPr="002005C7">
        <w:rPr>
          <w:rFonts w:ascii="Verdana" w:hAnsi="Verdana"/>
          <w:i/>
          <w:sz w:val="16"/>
          <w:szCs w:val="16"/>
        </w:rPr>
        <w:t xml:space="preserve"> Vs. Bulgaria</w:t>
      </w:r>
      <w:r w:rsidRPr="0051420C">
        <w:rPr>
          <w:rFonts w:ascii="Verdana" w:hAnsi="Verdana"/>
          <w:sz w:val="16"/>
          <w:szCs w:val="16"/>
        </w:rPr>
        <w:t>. Sentencia de 17 de enero de 2008.</w:t>
      </w:r>
    </w:p>
  </w:footnote>
  <w:footnote w:id="86">
    <w:p w:rsidR="002005C7" w:rsidRPr="0051420C" w:rsidRDefault="002005C7" w:rsidP="00F47861">
      <w:pPr>
        <w:pStyle w:val="Textonotapie"/>
        <w:spacing w:after="120"/>
        <w:jc w:val="both"/>
        <w:rPr>
          <w:rFonts w:ascii="Verdana" w:hAnsi="Verdana"/>
          <w:sz w:val="16"/>
          <w:szCs w:val="16"/>
          <w:lang w:val="es-CR"/>
        </w:rPr>
      </w:pPr>
      <w:r w:rsidRPr="0051420C">
        <w:rPr>
          <w:rStyle w:val="Refdenotaalpie"/>
          <w:rFonts w:ascii="Verdana" w:hAnsi="Verdana"/>
          <w:sz w:val="16"/>
          <w:szCs w:val="16"/>
        </w:rPr>
        <w:footnoteRef/>
      </w:r>
      <w:r w:rsidRPr="0051420C">
        <w:rPr>
          <w:rFonts w:ascii="Verdana" w:hAnsi="Verdana"/>
          <w:sz w:val="16"/>
          <w:szCs w:val="16"/>
          <w:lang w:val="es-CR"/>
        </w:rPr>
        <w:t xml:space="preserve"> </w:t>
      </w:r>
      <w:r w:rsidRPr="0051420C">
        <w:rPr>
          <w:rFonts w:ascii="Verdana" w:hAnsi="Verdana"/>
          <w:sz w:val="16"/>
          <w:szCs w:val="16"/>
          <w:lang w:val="es-CR"/>
        </w:rPr>
        <w:tab/>
      </w:r>
      <w:r w:rsidRPr="002005C7">
        <w:rPr>
          <w:rFonts w:ascii="Verdana" w:hAnsi="Verdana"/>
          <w:i/>
          <w:sz w:val="16"/>
          <w:szCs w:val="16"/>
        </w:rPr>
        <w:t>Cfr.</w:t>
      </w:r>
      <w:r w:rsidRPr="0051420C">
        <w:rPr>
          <w:rFonts w:ascii="Verdana" w:hAnsi="Verdana"/>
          <w:sz w:val="16"/>
          <w:szCs w:val="16"/>
        </w:rPr>
        <w:t xml:space="preserve"> </w:t>
      </w:r>
      <w:r w:rsidRPr="002005C7">
        <w:rPr>
          <w:rFonts w:ascii="Verdana" w:hAnsi="Verdana"/>
          <w:i/>
          <w:sz w:val="16"/>
          <w:szCs w:val="16"/>
        </w:rPr>
        <w:t>Caso Jablonská Vs. Polonia</w:t>
      </w:r>
      <w:r w:rsidRPr="0051420C">
        <w:rPr>
          <w:rFonts w:ascii="Verdana" w:hAnsi="Verdana"/>
          <w:sz w:val="16"/>
          <w:szCs w:val="16"/>
        </w:rPr>
        <w:t>, (No.60225/00), Sentencia de 9 de marzo de 2</w:t>
      </w:r>
      <w:r>
        <w:rPr>
          <w:rFonts w:ascii="Verdana" w:hAnsi="Verdana"/>
          <w:sz w:val="16"/>
          <w:szCs w:val="16"/>
        </w:rPr>
        <w:t>004. Final, 9 de junio de 2004</w:t>
      </w:r>
      <w:r w:rsidRPr="0051420C">
        <w:rPr>
          <w:rFonts w:ascii="Verdana" w:hAnsi="Verdana"/>
          <w:sz w:val="16"/>
          <w:szCs w:val="16"/>
        </w:rPr>
        <w:t xml:space="preserve">; </w:t>
      </w:r>
      <w:r w:rsidRPr="002005C7">
        <w:rPr>
          <w:rFonts w:ascii="Verdana" w:hAnsi="Verdana"/>
          <w:i/>
          <w:sz w:val="16"/>
          <w:szCs w:val="16"/>
        </w:rPr>
        <w:t>Caso Codarcea Vs. Rumania</w:t>
      </w:r>
      <w:r w:rsidRPr="0051420C">
        <w:rPr>
          <w:rFonts w:ascii="Verdana" w:hAnsi="Verdana"/>
          <w:sz w:val="16"/>
          <w:szCs w:val="16"/>
        </w:rPr>
        <w:t xml:space="preserve">, (No. 31675/04), Sentencia de 2 de junio de 2009. Final, 2 de septiembre de 2009; </w:t>
      </w:r>
      <w:r w:rsidRPr="002005C7">
        <w:rPr>
          <w:rFonts w:ascii="Verdana" w:hAnsi="Verdana"/>
          <w:i/>
          <w:sz w:val="16"/>
          <w:szCs w:val="16"/>
        </w:rPr>
        <w:t>Caso Styranowski Vs. Polonia</w:t>
      </w:r>
      <w:r w:rsidRPr="0051420C">
        <w:rPr>
          <w:rFonts w:ascii="Verdana" w:hAnsi="Verdana"/>
          <w:sz w:val="16"/>
          <w:szCs w:val="16"/>
        </w:rPr>
        <w:t xml:space="preserve">, (No. 28616/95), Sentencia de 30 de octubre de 1998; y </w:t>
      </w:r>
      <w:r w:rsidRPr="002005C7">
        <w:rPr>
          <w:rFonts w:ascii="Verdana" w:hAnsi="Verdana"/>
          <w:i/>
          <w:sz w:val="16"/>
          <w:szCs w:val="16"/>
        </w:rPr>
        <w:t>Caso Krzak Vs. Polonia</w:t>
      </w:r>
      <w:r w:rsidRPr="0051420C">
        <w:rPr>
          <w:rFonts w:ascii="Verdana" w:hAnsi="Verdana"/>
          <w:sz w:val="16"/>
          <w:szCs w:val="16"/>
        </w:rPr>
        <w:t>, (No. 51515/99), Sentencia de 6 de abril de 2004. Final, 7 de julio de 2004.</w:t>
      </w:r>
    </w:p>
  </w:footnote>
  <w:footnote w:id="87">
    <w:p w:rsidR="002005C7" w:rsidRPr="0051420C" w:rsidRDefault="002005C7" w:rsidP="00F47861">
      <w:pPr>
        <w:pStyle w:val="Textonotapie"/>
        <w:spacing w:after="120"/>
        <w:jc w:val="both"/>
        <w:rPr>
          <w:rFonts w:ascii="Verdana" w:hAnsi="Verdana"/>
          <w:sz w:val="16"/>
          <w:szCs w:val="16"/>
          <w:lang w:val="es-CR"/>
        </w:rPr>
      </w:pPr>
      <w:r w:rsidRPr="0051420C">
        <w:rPr>
          <w:rStyle w:val="Refdenotaalpie"/>
          <w:rFonts w:ascii="Verdana" w:hAnsi="Verdana"/>
          <w:sz w:val="16"/>
          <w:szCs w:val="16"/>
        </w:rPr>
        <w:footnoteRef/>
      </w:r>
      <w:r w:rsidRPr="0051420C">
        <w:rPr>
          <w:rFonts w:ascii="Verdana" w:hAnsi="Verdana"/>
          <w:sz w:val="16"/>
          <w:szCs w:val="16"/>
          <w:lang w:val="es-CR"/>
        </w:rPr>
        <w:t xml:space="preserve"> </w:t>
      </w:r>
      <w:r w:rsidRPr="0051420C">
        <w:rPr>
          <w:rFonts w:ascii="Verdana" w:hAnsi="Verdana"/>
          <w:sz w:val="16"/>
          <w:szCs w:val="16"/>
          <w:lang w:val="es-CR"/>
        </w:rPr>
        <w:tab/>
      </w:r>
      <w:r w:rsidRPr="002005C7">
        <w:rPr>
          <w:rFonts w:ascii="Verdana" w:hAnsi="Verdana"/>
          <w:i/>
          <w:sz w:val="16"/>
          <w:szCs w:val="16"/>
        </w:rPr>
        <w:t>Caso Watts Vs. Reino Unido</w:t>
      </w:r>
      <w:r w:rsidRPr="0051420C">
        <w:rPr>
          <w:rFonts w:ascii="Verdana" w:hAnsi="Verdana"/>
          <w:sz w:val="16"/>
          <w:szCs w:val="16"/>
        </w:rPr>
        <w:t>, 4 de mayo de 2010</w:t>
      </w:r>
    </w:p>
  </w:footnote>
  <w:footnote w:id="88">
    <w:p w:rsidR="002005C7" w:rsidRPr="00D503C7" w:rsidRDefault="002005C7" w:rsidP="00F47861">
      <w:pPr>
        <w:pStyle w:val="Textonotapie"/>
        <w:spacing w:after="120"/>
        <w:jc w:val="both"/>
        <w:rPr>
          <w:rFonts w:ascii="Verdana" w:hAnsi="Verdana"/>
          <w:color w:val="FF0000"/>
          <w:sz w:val="16"/>
          <w:szCs w:val="16"/>
          <w:lang w:val="es-CR"/>
        </w:rPr>
      </w:pPr>
      <w:r w:rsidRPr="0051420C">
        <w:rPr>
          <w:rStyle w:val="Refdenotaalpie"/>
          <w:rFonts w:ascii="Verdana" w:hAnsi="Verdana"/>
          <w:sz w:val="16"/>
          <w:szCs w:val="16"/>
        </w:rPr>
        <w:footnoteRef/>
      </w:r>
      <w:r w:rsidRPr="0051420C">
        <w:rPr>
          <w:rFonts w:ascii="Verdana" w:hAnsi="Verdana"/>
          <w:sz w:val="16"/>
          <w:szCs w:val="16"/>
          <w:lang w:val="en-US"/>
        </w:rPr>
        <w:t xml:space="preserve"> </w:t>
      </w:r>
      <w:r w:rsidRPr="0051420C">
        <w:rPr>
          <w:rFonts w:ascii="Verdana" w:hAnsi="Verdana"/>
          <w:sz w:val="16"/>
          <w:szCs w:val="16"/>
          <w:lang w:val="en-US"/>
        </w:rPr>
        <w:tab/>
      </w:r>
      <w:r w:rsidRPr="002005C7">
        <w:rPr>
          <w:rFonts w:ascii="Verdana" w:hAnsi="Verdana"/>
          <w:i/>
          <w:sz w:val="16"/>
          <w:szCs w:val="16"/>
          <w:lang w:val="en-US"/>
        </w:rPr>
        <w:t xml:space="preserve">Caso Klaus and Iouri Kiladze Vs. </w:t>
      </w:r>
      <w:r w:rsidRPr="002005C7">
        <w:rPr>
          <w:rFonts w:ascii="Verdana" w:hAnsi="Verdana"/>
          <w:i/>
          <w:sz w:val="16"/>
          <w:szCs w:val="16"/>
        </w:rPr>
        <w:t>Georgia</w:t>
      </w:r>
      <w:r w:rsidRPr="0051420C">
        <w:rPr>
          <w:rFonts w:ascii="Verdana" w:hAnsi="Verdana"/>
          <w:sz w:val="16"/>
          <w:szCs w:val="16"/>
        </w:rPr>
        <w:t xml:space="preserve"> de 2 de febrero de 2010</w:t>
      </w:r>
      <w:r>
        <w:rPr>
          <w:rFonts w:ascii="Verdana" w:hAnsi="Verdana"/>
          <w:sz w:val="16"/>
          <w:szCs w:val="16"/>
        </w:rPr>
        <w:t>;</w:t>
      </w:r>
      <w:r w:rsidRPr="0051420C">
        <w:rPr>
          <w:rFonts w:ascii="Verdana" w:hAnsi="Verdana"/>
          <w:sz w:val="16"/>
          <w:szCs w:val="16"/>
        </w:rPr>
        <w:t xml:space="preserve"> y Da Conceic</w:t>
      </w:r>
      <w:r w:rsidRPr="0051420C">
        <w:rPr>
          <w:rFonts w:ascii="Arial" w:hAnsi="Arial" w:cs="Arial"/>
          <w:sz w:val="16"/>
          <w:szCs w:val="16"/>
        </w:rPr>
        <w:t>̧</w:t>
      </w:r>
      <w:r w:rsidRPr="0051420C">
        <w:rPr>
          <w:rFonts w:ascii="Verdana" w:hAnsi="Verdana"/>
          <w:sz w:val="16"/>
          <w:szCs w:val="16"/>
        </w:rPr>
        <w:t>ão Mateus Vs. Portugal and Santos Januário Vs. Portugal de 08 de octubre de 2013.</w:t>
      </w:r>
    </w:p>
  </w:footnote>
  <w:footnote w:id="89">
    <w:p w:rsidR="002005C7" w:rsidRPr="00D503C7" w:rsidRDefault="002005C7" w:rsidP="00F47861">
      <w:pPr>
        <w:pStyle w:val="Textonotapie"/>
        <w:spacing w:after="120"/>
        <w:jc w:val="both"/>
        <w:rPr>
          <w:rFonts w:ascii="Verdana" w:hAnsi="Verdana"/>
          <w:b/>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D503C7">
        <w:rPr>
          <w:rStyle w:val="Textoennegrita"/>
          <w:rFonts w:ascii="Verdana" w:hAnsi="Verdana"/>
          <w:b w:val="0"/>
          <w:i/>
          <w:color w:val="000000"/>
          <w:sz w:val="16"/>
          <w:szCs w:val="16"/>
          <w:shd w:val="clear" w:color="auto" w:fill="FFFFFF"/>
        </w:rPr>
        <w:t xml:space="preserve">Caso Comunidad Indígena </w:t>
      </w:r>
      <w:proofErr w:type="spellStart"/>
      <w:r w:rsidRPr="00D503C7">
        <w:rPr>
          <w:rStyle w:val="Textoennegrita"/>
          <w:rFonts w:ascii="Verdana" w:hAnsi="Verdana"/>
          <w:b w:val="0"/>
          <w:i/>
          <w:color w:val="000000"/>
          <w:sz w:val="16"/>
          <w:szCs w:val="16"/>
          <w:shd w:val="clear" w:color="auto" w:fill="FFFFFF"/>
        </w:rPr>
        <w:t>Yakye</w:t>
      </w:r>
      <w:proofErr w:type="spellEnd"/>
      <w:r w:rsidRPr="00D503C7">
        <w:rPr>
          <w:rStyle w:val="Textoennegrita"/>
          <w:rFonts w:ascii="Verdana" w:hAnsi="Verdana"/>
          <w:b w:val="0"/>
          <w:i/>
          <w:color w:val="000000"/>
          <w:sz w:val="16"/>
          <w:szCs w:val="16"/>
          <w:shd w:val="clear" w:color="auto" w:fill="FFFFFF"/>
        </w:rPr>
        <w:t xml:space="preserve"> Axa Vs. Paraguay. Fondo, Reparaciones y Costas</w:t>
      </w:r>
      <w:r w:rsidRPr="00D503C7">
        <w:rPr>
          <w:rStyle w:val="Textoennegrita"/>
          <w:rFonts w:ascii="Verdana" w:hAnsi="Verdana"/>
          <w:b w:val="0"/>
          <w:color w:val="000000"/>
          <w:sz w:val="16"/>
          <w:szCs w:val="16"/>
          <w:shd w:val="clear" w:color="auto" w:fill="FFFFFF"/>
        </w:rPr>
        <w:t>. Sentencia de 17 de junio de 2005. Serie C No. 125, párr. 175</w:t>
      </w:r>
    </w:p>
  </w:footnote>
  <w:footnote w:id="90">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D503C7">
        <w:rPr>
          <w:rFonts w:ascii="Verdana" w:hAnsi="Verdana"/>
          <w:i/>
          <w:sz w:val="16"/>
          <w:szCs w:val="16"/>
        </w:rPr>
        <w:t>Caso García Lucero y otras Vs. Chile. Excepción Preliminar, Fondo y Reparaciones</w:t>
      </w:r>
      <w:r w:rsidRPr="00D503C7">
        <w:rPr>
          <w:rFonts w:ascii="Verdana" w:hAnsi="Verdana"/>
          <w:sz w:val="16"/>
          <w:szCs w:val="16"/>
        </w:rPr>
        <w:t>. Sentencia de 28 de agos</w:t>
      </w:r>
      <w:r w:rsidR="000600F1">
        <w:rPr>
          <w:rFonts w:ascii="Verdana" w:hAnsi="Verdana"/>
          <w:sz w:val="16"/>
          <w:szCs w:val="16"/>
        </w:rPr>
        <w:t>to de 2013. Serie C No. 267, pá</w:t>
      </w:r>
      <w:r w:rsidRPr="00D503C7">
        <w:rPr>
          <w:rFonts w:ascii="Verdana" w:hAnsi="Verdana"/>
          <w:sz w:val="16"/>
          <w:szCs w:val="16"/>
        </w:rPr>
        <w:t>rr. 231.</w:t>
      </w:r>
    </w:p>
  </w:footnote>
  <w:footnote w:id="91">
    <w:p w:rsidR="002005C7" w:rsidRPr="00B24CD7" w:rsidRDefault="002005C7" w:rsidP="00697CD3">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D503C7">
        <w:rPr>
          <w:rFonts w:ascii="Verdana" w:hAnsi="Verdana"/>
          <w:i/>
          <w:sz w:val="16"/>
          <w:szCs w:val="16"/>
        </w:rPr>
        <w:t xml:space="preserve">Cfr. </w:t>
      </w:r>
      <w:r w:rsidRPr="00D503C7">
        <w:rPr>
          <w:rStyle w:val="Textoennegrita"/>
          <w:rFonts w:ascii="Verdana" w:hAnsi="Verdana"/>
          <w:b w:val="0"/>
          <w:i/>
          <w:color w:val="000000"/>
          <w:sz w:val="16"/>
          <w:szCs w:val="16"/>
          <w:shd w:val="clear" w:color="auto" w:fill="FFFFFF"/>
        </w:rPr>
        <w:t>Caso Poblete Vilches y otros Vs. Chile. Fondo, Reparaciones y Costas.</w:t>
      </w:r>
      <w:r w:rsidRPr="00D503C7">
        <w:rPr>
          <w:rStyle w:val="Textoennegrita"/>
          <w:rFonts w:ascii="Verdana" w:hAnsi="Verdana"/>
          <w:b w:val="0"/>
          <w:color w:val="000000"/>
          <w:sz w:val="16"/>
          <w:szCs w:val="16"/>
          <w:shd w:val="clear" w:color="auto" w:fill="FFFFFF"/>
        </w:rPr>
        <w:t xml:space="preserve"> Sentencia de 8 de marzo</w:t>
      </w:r>
      <w:r>
        <w:rPr>
          <w:rStyle w:val="Textoennegrita"/>
          <w:rFonts w:ascii="Verdana" w:hAnsi="Verdana"/>
          <w:b w:val="0"/>
          <w:color w:val="000000"/>
          <w:sz w:val="16"/>
          <w:szCs w:val="16"/>
          <w:shd w:val="clear" w:color="auto" w:fill="FFFFFF"/>
        </w:rPr>
        <w:t xml:space="preserve"> de 2018. Serie C No. 349</w:t>
      </w:r>
      <w:r w:rsidRPr="00D503C7">
        <w:rPr>
          <w:rStyle w:val="Textoennegrita"/>
          <w:rFonts w:ascii="Verdana" w:hAnsi="Verdana"/>
          <w:b w:val="0"/>
          <w:color w:val="000000"/>
          <w:sz w:val="16"/>
          <w:szCs w:val="16"/>
          <w:shd w:val="clear" w:color="auto" w:fill="FFFFFF"/>
        </w:rPr>
        <w:t>.</w:t>
      </w:r>
    </w:p>
  </w:footnote>
  <w:footnote w:id="92">
    <w:p w:rsidR="002005C7" w:rsidRPr="00D503C7" w:rsidRDefault="002005C7" w:rsidP="00F47861">
      <w:pPr>
        <w:pStyle w:val="Textonotapie"/>
        <w:spacing w:after="120"/>
        <w:jc w:val="both"/>
        <w:rPr>
          <w:rFonts w:ascii="Verdana" w:hAnsi="Verdana"/>
          <w:b/>
          <w:bCs/>
          <w:color w:val="000000"/>
          <w:sz w:val="16"/>
          <w:szCs w:val="16"/>
          <w:shd w:val="clear" w:color="auto" w:fill="FFFFFF"/>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D503C7">
        <w:rPr>
          <w:rStyle w:val="Textoennegrita"/>
          <w:rFonts w:ascii="Verdana" w:hAnsi="Verdana"/>
          <w:b w:val="0"/>
          <w:color w:val="000000"/>
          <w:sz w:val="16"/>
          <w:szCs w:val="16"/>
          <w:shd w:val="clear" w:color="auto" w:fill="FFFFFF"/>
        </w:rPr>
        <w:t xml:space="preserve">Condición jurídica y derechos de los migrantes indocumentados. Opinión Consultiva OC-18/03 de 17 de septiembre de 2003. Serie A No. 18, párr. 101. </w:t>
      </w:r>
    </w:p>
  </w:footnote>
  <w:footnote w:id="93">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D503C7">
        <w:rPr>
          <w:rFonts w:ascii="Verdana" w:hAnsi="Verdana"/>
          <w:i/>
          <w:sz w:val="16"/>
          <w:szCs w:val="16"/>
        </w:rPr>
        <w:t xml:space="preserve">Cfr. </w:t>
      </w:r>
      <w:r w:rsidRPr="00D503C7">
        <w:rPr>
          <w:rStyle w:val="Textoennegrita"/>
          <w:rFonts w:ascii="Verdana" w:hAnsi="Verdana"/>
          <w:b w:val="0"/>
          <w:i/>
          <w:color w:val="000000"/>
          <w:sz w:val="16"/>
          <w:szCs w:val="16"/>
          <w:shd w:val="clear" w:color="auto" w:fill="FFFFFF"/>
        </w:rPr>
        <w:t>Caso Poblete Vilches y otros Vs. Chile. Fondo, Reparaciones y Costas.</w:t>
      </w:r>
      <w:r w:rsidRPr="00D503C7">
        <w:rPr>
          <w:rStyle w:val="Textoennegrita"/>
          <w:rFonts w:ascii="Verdana" w:hAnsi="Verdana"/>
          <w:b w:val="0"/>
          <w:color w:val="000000"/>
          <w:sz w:val="16"/>
          <w:szCs w:val="16"/>
          <w:shd w:val="clear" w:color="auto" w:fill="FFFFFF"/>
        </w:rPr>
        <w:t xml:space="preserve"> Sentencia de 8 de marzo de 2018. Serie C No. 349, párr. 122. </w:t>
      </w:r>
    </w:p>
  </w:footnote>
  <w:footnote w:id="94">
    <w:p w:rsidR="004D4627" w:rsidRPr="00D503C7" w:rsidRDefault="004D4627" w:rsidP="004D4627">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Pr>
          <w:rStyle w:val="Textoennegrita"/>
          <w:rFonts w:ascii="Verdana" w:hAnsi="Verdana"/>
          <w:b w:val="0"/>
          <w:color w:val="000000"/>
          <w:sz w:val="16"/>
          <w:szCs w:val="16"/>
          <w:shd w:val="clear" w:color="auto" w:fill="FFFFFF"/>
        </w:rPr>
        <w:t xml:space="preserve">Para una aproximación a este caso y su importancia, véanse los interesantes trabajos contenidos en la obra colectiva: Morales </w:t>
      </w:r>
      <w:proofErr w:type="spellStart"/>
      <w:r>
        <w:rPr>
          <w:rStyle w:val="Textoennegrita"/>
          <w:rFonts w:ascii="Verdana" w:hAnsi="Verdana"/>
          <w:b w:val="0"/>
          <w:color w:val="000000"/>
          <w:sz w:val="16"/>
          <w:szCs w:val="16"/>
          <w:shd w:val="clear" w:color="auto" w:fill="FFFFFF"/>
        </w:rPr>
        <w:t>Antoniazzi</w:t>
      </w:r>
      <w:proofErr w:type="spellEnd"/>
      <w:r>
        <w:rPr>
          <w:rStyle w:val="Textoennegrita"/>
          <w:rFonts w:ascii="Verdana" w:hAnsi="Verdana"/>
          <w:b w:val="0"/>
          <w:color w:val="000000"/>
          <w:sz w:val="16"/>
          <w:szCs w:val="16"/>
          <w:shd w:val="clear" w:color="auto" w:fill="FFFFFF"/>
        </w:rPr>
        <w:t xml:space="preserve">, Mariela, y </w:t>
      </w:r>
      <w:proofErr w:type="spellStart"/>
      <w:r>
        <w:rPr>
          <w:rStyle w:val="Textoennegrita"/>
          <w:rFonts w:ascii="Verdana" w:hAnsi="Verdana"/>
          <w:b w:val="0"/>
          <w:color w:val="000000"/>
          <w:sz w:val="16"/>
          <w:szCs w:val="16"/>
          <w:shd w:val="clear" w:color="auto" w:fill="FFFFFF"/>
        </w:rPr>
        <w:t>Clérico</w:t>
      </w:r>
      <w:proofErr w:type="spellEnd"/>
      <w:r>
        <w:rPr>
          <w:rStyle w:val="Textoennegrita"/>
          <w:rFonts w:ascii="Verdana" w:hAnsi="Verdana"/>
          <w:b w:val="0"/>
          <w:color w:val="000000"/>
          <w:sz w:val="16"/>
          <w:szCs w:val="16"/>
          <w:shd w:val="clear" w:color="auto" w:fill="FFFFFF"/>
        </w:rPr>
        <w:t>, Laura (</w:t>
      </w:r>
      <w:proofErr w:type="spellStart"/>
      <w:r>
        <w:rPr>
          <w:rStyle w:val="Textoennegrita"/>
          <w:rFonts w:ascii="Verdana" w:hAnsi="Verdana"/>
          <w:b w:val="0"/>
          <w:color w:val="000000"/>
          <w:sz w:val="16"/>
          <w:szCs w:val="16"/>
          <w:shd w:val="clear" w:color="auto" w:fill="FFFFFF"/>
        </w:rPr>
        <w:t>coords</w:t>
      </w:r>
      <w:proofErr w:type="spellEnd"/>
      <w:r>
        <w:rPr>
          <w:rStyle w:val="Textoennegrita"/>
          <w:rFonts w:ascii="Verdana" w:hAnsi="Verdana"/>
          <w:b w:val="0"/>
          <w:color w:val="000000"/>
          <w:sz w:val="16"/>
          <w:szCs w:val="16"/>
          <w:shd w:val="clear" w:color="auto" w:fill="FFFFFF"/>
        </w:rPr>
        <w:t xml:space="preserve">.), </w:t>
      </w:r>
      <w:proofErr w:type="spellStart"/>
      <w:r>
        <w:rPr>
          <w:rStyle w:val="Textoennegrita"/>
          <w:rFonts w:ascii="Verdana" w:hAnsi="Verdana"/>
          <w:b w:val="0"/>
          <w:i/>
          <w:color w:val="000000"/>
          <w:sz w:val="16"/>
          <w:szCs w:val="16"/>
          <w:shd w:val="clear" w:color="auto" w:fill="FFFFFF"/>
        </w:rPr>
        <w:t>Interamericanización</w:t>
      </w:r>
      <w:proofErr w:type="spellEnd"/>
      <w:r>
        <w:rPr>
          <w:rStyle w:val="Textoennegrita"/>
          <w:rFonts w:ascii="Verdana" w:hAnsi="Verdana"/>
          <w:b w:val="0"/>
          <w:i/>
          <w:color w:val="000000"/>
          <w:sz w:val="16"/>
          <w:szCs w:val="16"/>
          <w:shd w:val="clear" w:color="auto" w:fill="FFFFFF"/>
        </w:rPr>
        <w:t xml:space="preserve"> del derecho a la salud. Perspectivas a la luz del Caso Poblete de la Corte IDH, </w:t>
      </w:r>
      <w:r>
        <w:rPr>
          <w:rStyle w:val="Textoennegrita"/>
          <w:rFonts w:ascii="Verdana" w:hAnsi="Verdana"/>
          <w:b w:val="0"/>
          <w:color w:val="000000"/>
          <w:sz w:val="16"/>
          <w:szCs w:val="16"/>
          <w:shd w:val="clear" w:color="auto" w:fill="FFFFFF"/>
        </w:rPr>
        <w:t>Instituto de Estudios Constitucionales del Estado de Querétaro, Querétaro, 2019.</w:t>
      </w:r>
      <w:r w:rsidRPr="00D503C7">
        <w:rPr>
          <w:rStyle w:val="Textoennegrita"/>
          <w:rFonts w:ascii="Verdana" w:hAnsi="Verdana"/>
          <w:b w:val="0"/>
          <w:color w:val="000000"/>
          <w:sz w:val="16"/>
          <w:szCs w:val="16"/>
          <w:shd w:val="clear" w:color="auto" w:fill="FFFFFF"/>
        </w:rPr>
        <w:t xml:space="preserve"> </w:t>
      </w:r>
    </w:p>
  </w:footnote>
  <w:footnote w:id="95">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D503C7">
        <w:rPr>
          <w:rFonts w:ascii="Verdana" w:hAnsi="Verdana"/>
          <w:i/>
          <w:sz w:val="16"/>
          <w:szCs w:val="16"/>
        </w:rPr>
        <w:t xml:space="preserve">Cfr. </w:t>
      </w:r>
      <w:r w:rsidRPr="00D503C7">
        <w:rPr>
          <w:rStyle w:val="Textoennegrita"/>
          <w:rFonts w:ascii="Verdana" w:hAnsi="Verdana"/>
          <w:b w:val="0"/>
          <w:i/>
          <w:color w:val="000000"/>
          <w:sz w:val="16"/>
          <w:szCs w:val="16"/>
          <w:shd w:val="clear" w:color="auto" w:fill="FFFFFF"/>
        </w:rPr>
        <w:t>Caso Poblete Vilches y otros Vs. Chile. Fondo, Reparaciones y Costas.</w:t>
      </w:r>
      <w:r w:rsidRPr="00D503C7">
        <w:rPr>
          <w:rStyle w:val="Textoennegrita"/>
          <w:rFonts w:ascii="Verdana" w:hAnsi="Verdana"/>
          <w:b w:val="0"/>
          <w:color w:val="000000"/>
          <w:sz w:val="16"/>
          <w:szCs w:val="16"/>
          <w:shd w:val="clear" w:color="auto" w:fill="FFFFFF"/>
        </w:rPr>
        <w:t xml:space="preserve"> Sentencia de 8 de marzo de 2018. Serie C No. 349, párr. 142.</w:t>
      </w:r>
    </w:p>
  </w:footnote>
  <w:footnote w:id="96">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lang w:val="es-CR"/>
        </w:rPr>
        <w:t xml:space="preserve"> </w:t>
      </w:r>
      <w:r w:rsidRPr="00D503C7">
        <w:rPr>
          <w:rFonts w:ascii="Verdana" w:hAnsi="Verdana"/>
          <w:sz w:val="16"/>
          <w:szCs w:val="16"/>
          <w:lang w:val="es-CR"/>
        </w:rPr>
        <w:tab/>
      </w:r>
      <w:r w:rsidRPr="00D503C7">
        <w:rPr>
          <w:rFonts w:ascii="Verdana" w:hAnsi="Verdana"/>
          <w:i/>
          <w:sz w:val="16"/>
          <w:szCs w:val="16"/>
        </w:rPr>
        <w:t xml:space="preserve">Cfr. </w:t>
      </w:r>
      <w:r w:rsidRPr="00D503C7">
        <w:rPr>
          <w:rStyle w:val="Textoennegrita"/>
          <w:rFonts w:ascii="Verdana" w:hAnsi="Verdana"/>
          <w:b w:val="0"/>
          <w:i/>
          <w:color w:val="000000"/>
          <w:sz w:val="16"/>
          <w:szCs w:val="16"/>
          <w:shd w:val="clear" w:color="auto" w:fill="FFFFFF"/>
        </w:rPr>
        <w:t>Caso Poblete Vilches y otros Vs. Chile. Fondo, Reparaciones y Costas.</w:t>
      </w:r>
      <w:r w:rsidRPr="00D503C7">
        <w:rPr>
          <w:rStyle w:val="Textoennegrita"/>
          <w:rFonts w:ascii="Verdana" w:hAnsi="Verdana"/>
          <w:b w:val="0"/>
          <w:color w:val="000000"/>
          <w:sz w:val="16"/>
          <w:szCs w:val="16"/>
          <w:shd w:val="clear" w:color="auto" w:fill="FFFFFF"/>
        </w:rPr>
        <w:t xml:space="preserve"> Sentencia de 8 de marzo de 2018. Serie C No. 349, puntos resolutivos 15 y 16. </w:t>
      </w:r>
    </w:p>
  </w:footnote>
  <w:footnote w:id="97">
    <w:p w:rsidR="002005C7" w:rsidRPr="00D503C7" w:rsidRDefault="002005C7" w:rsidP="00F47861">
      <w:pPr>
        <w:pStyle w:val="Textonotapie"/>
        <w:spacing w:after="120"/>
        <w:jc w:val="both"/>
        <w:rPr>
          <w:rFonts w:ascii="Verdana" w:hAnsi="Verdana"/>
          <w:sz w:val="16"/>
          <w:szCs w:val="16"/>
          <w:lang w:val="es-ES"/>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Cfr.</w:t>
      </w:r>
      <w:r w:rsidR="00792F5C">
        <w:rPr>
          <w:rFonts w:ascii="Verdana" w:hAnsi="Verdana"/>
          <w:i/>
          <w:sz w:val="16"/>
          <w:szCs w:val="16"/>
        </w:rPr>
        <w:t xml:space="preserve"> </w:t>
      </w:r>
      <w:r w:rsidRPr="00D503C7">
        <w:rPr>
          <w:rFonts w:ascii="Verdana" w:hAnsi="Verdana"/>
          <w:i/>
          <w:sz w:val="16"/>
          <w:szCs w:val="16"/>
        </w:rPr>
        <w:t xml:space="preserve">Caso Muelle Flores Vs. Perú. Excepciones Preliminares, Fondo, Reparaciones y Costas. </w:t>
      </w:r>
      <w:r w:rsidRPr="00D503C7">
        <w:rPr>
          <w:rFonts w:ascii="Verdana" w:hAnsi="Verdana"/>
          <w:sz w:val="16"/>
          <w:szCs w:val="16"/>
        </w:rPr>
        <w:t xml:space="preserve">Sentencia de 6 de marzo de 2019. Serie C No. </w:t>
      </w:r>
      <w:r w:rsidR="006B2226" w:rsidRPr="001A08D2">
        <w:rPr>
          <w:rFonts w:ascii="Verdana" w:hAnsi="Verdana"/>
          <w:sz w:val="16"/>
          <w:szCs w:val="16"/>
        </w:rPr>
        <w:t>375</w:t>
      </w:r>
      <w:r w:rsidRPr="006B2226">
        <w:rPr>
          <w:rFonts w:ascii="Verdana" w:hAnsi="Verdana"/>
          <w:sz w:val="16"/>
          <w:szCs w:val="16"/>
        </w:rPr>
        <w:t>,</w:t>
      </w:r>
      <w:r w:rsidRPr="00D503C7">
        <w:rPr>
          <w:rFonts w:ascii="Verdana" w:hAnsi="Verdana"/>
          <w:sz w:val="16"/>
          <w:szCs w:val="16"/>
        </w:rPr>
        <w:t xml:space="preserve"> párr. 157.</w:t>
      </w:r>
    </w:p>
  </w:footnote>
  <w:footnote w:id="98">
    <w:p w:rsidR="002005C7" w:rsidRPr="0051420C" w:rsidRDefault="002005C7" w:rsidP="00F47861">
      <w:pPr>
        <w:pStyle w:val="Textonotapie"/>
        <w:spacing w:after="120"/>
        <w:jc w:val="both"/>
        <w:rPr>
          <w:rFonts w:ascii="Verdana" w:hAnsi="Verdana"/>
          <w:sz w:val="16"/>
          <w:szCs w:val="16"/>
          <w:lang w:val="es-PE"/>
        </w:rPr>
      </w:pPr>
      <w:r w:rsidRPr="00D503C7">
        <w:rPr>
          <w:rStyle w:val="Refdenotaalpie"/>
          <w:rFonts w:ascii="Verdana" w:hAnsi="Verdana"/>
          <w:sz w:val="16"/>
          <w:szCs w:val="16"/>
          <w:lang w:val="es-CR"/>
        </w:rPr>
        <w:footnoteRef/>
      </w:r>
      <w:r w:rsidRPr="00D503C7">
        <w:rPr>
          <w:rFonts w:ascii="Verdana" w:hAnsi="Verdana"/>
          <w:sz w:val="16"/>
          <w:szCs w:val="16"/>
          <w:lang w:val="es-PE"/>
        </w:rPr>
        <w:t xml:space="preserve"> </w:t>
      </w:r>
      <w:r w:rsidRPr="00D503C7">
        <w:rPr>
          <w:rFonts w:ascii="Verdana" w:hAnsi="Verdana"/>
          <w:sz w:val="16"/>
          <w:szCs w:val="16"/>
          <w:lang w:val="es-PE"/>
        </w:rPr>
        <w:tab/>
      </w:r>
      <w:r w:rsidRPr="0051420C">
        <w:rPr>
          <w:rFonts w:ascii="Verdana" w:hAnsi="Verdana"/>
          <w:i/>
          <w:sz w:val="16"/>
          <w:szCs w:val="16"/>
          <w:lang w:val="es-PE"/>
        </w:rPr>
        <w:t>Cfr. Caso Valle Jaramillo y otros Vs. Colombia. Fondo, Reparaciones y Costas.</w:t>
      </w:r>
      <w:r w:rsidRPr="0051420C">
        <w:rPr>
          <w:rFonts w:ascii="Verdana" w:hAnsi="Verdana"/>
          <w:sz w:val="16"/>
          <w:szCs w:val="16"/>
          <w:lang w:val="es-PE"/>
        </w:rPr>
        <w:t xml:space="preserve"> Sentencia de 27 de noviembre de 2008. Serie C No. 192, párr. 155</w:t>
      </w:r>
      <w:r>
        <w:rPr>
          <w:rFonts w:ascii="Verdana" w:hAnsi="Verdana"/>
          <w:sz w:val="16"/>
          <w:szCs w:val="16"/>
          <w:lang w:val="es-PE"/>
        </w:rPr>
        <w:t xml:space="preserve"> y</w:t>
      </w:r>
      <w:r w:rsidRPr="0051420C">
        <w:rPr>
          <w:rFonts w:ascii="Verdana" w:hAnsi="Verdana"/>
          <w:sz w:val="16"/>
          <w:szCs w:val="16"/>
          <w:lang w:val="es-PE"/>
        </w:rPr>
        <w:t xml:space="preserve"> </w:t>
      </w:r>
      <w:r w:rsidRPr="0051420C">
        <w:rPr>
          <w:rStyle w:val="Textoennegrita"/>
          <w:rFonts w:ascii="Verdana" w:hAnsi="Verdana"/>
          <w:b w:val="0"/>
          <w:color w:val="000000"/>
          <w:sz w:val="16"/>
          <w:szCs w:val="16"/>
          <w:shd w:val="clear" w:color="auto" w:fill="FFFFFF"/>
        </w:rPr>
        <w:t>Cas</w:t>
      </w:r>
      <w:r w:rsidRPr="0051420C">
        <w:rPr>
          <w:rStyle w:val="Textoennegrita"/>
          <w:rFonts w:ascii="Verdana" w:hAnsi="Verdana"/>
          <w:b w:val="0"/>
          <w:i/>
          <w:color w:val="000000"/>
          <w:sz w:val="16"/>
          <w:szCs w:val="16"/>
          <w:shd w:val="clear" w:color="auto" w:fill="FFFFFF"/>
        </w:rPr>
        <w:t>o Pacheco León y otros Vs. Honduras. Fondo, Reparaciones y Costas</w:t>
      </w:r>
      <w:r w:rsidRPr="0051420C">
        <w:rPr>
          <w:rStyle w:val="Textoennegrita"/>
          <w:rFonts w:ascii="Verdana" w:hAnsi="Verdana"/>
          <w:b w:val="0"/>
          <w:color w:val="000000"/>
          <w:sz w:val="16"/>
          <w:szCs w:val="16"/>
          <w:shd w:val="clear" w:color="auto" w:fill="FFFFFF"/>
        </w:rPr>
        <w:t xml:space="preserve">. Sentencia de 15 de noviembre 2017. Serie C No. 342, </w:t>
      </w:r>
      <w:r w:rsidRPr="0051420C">
        <w:rPr>
          <w:rFonts w:ascii="Verdana" w:hAnsi="Verdana"/>
          <w:iCs/>
          <w:sz w:val="16"/>
          <w:szCs w:val="16"/>
          <w:lang w:val="es-PE"/>
        </w:rPr>
        <w:t>párr. 120</w:t>
      </w:r>
      <w:r w:rsidRPr="0051420C">
        <w:rPr>
          <w:rFonts w:ascii="Verdana" w:hAnsi="Verdana"/>
          <w:sz w:val="16"/>
          <w:szCs w:val="16"/>
          <w:lang w:val="es-PE"/>
        </w:rPr>
        <w:t>.</w:t>
      </w:r>
    </w:p>
  </w:footnote>
  <w:footnote w:id="99">
    <w:p w:rsidR="002005C7" w:rsidRPr="00D503C7" w:rsidRDefault="002005C7" w:rsidP="00F47861">
      <w:pPr>
        <w:pStyle w:val="Textonotapie"/>
        <w:spacing w:after="120"/>
        <w:jc w:val="both"/>
        <w:rPr>
          <w:rFonts w:ascii="Verdana" w:hAnsi="Verdana" w:cs="Verdana"/>
          <w:bCs/>
          <w:sz w:val="16"/>
          <w:szCs w:val="16"/>
          <w:lang w:eastAsia="ja-JP"/>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00EA6CCA">
        <w:rPr>
          <w:rFonts w:ascii="Verdana" w:hAnsi="Verdana"/>
          <w:sz w:val="16"/>
          <w:szCs w:val="16"/>
        </w:rPr>
        <w:t xml:space="preserve">Corte IDH, </w:t>
      </w:r>
      <w:r w:rsidRPr="00D503C7">
        <w:rPr>
          <w:rFonts w:ascii="Verdana" w:hAnsi="Verdana" w:cs="Verdana"/>
          <w:bCs/>
          <w:i/>
          <w:sz w:val="16"/>
          <w:szCs w:val="16"/>
          <w:lang w:eastAsia="ja-JP"/>
        </w:rPr>
        <w:t>Caso Furlan y Familiares Vs. Argentina. Excepciones Preliminares, Fondo, Reparaciones y Costas.</w:t>
      </w:r>
      <w:r w:rsidRPr="00D503C7">
        <w:rPr>
          <w:rFonts w:ascii="Verdana" w:hAnsi="Verdana" w:cs="Verdana"/>
          <w:bCs/>
          <w:sz w:val="16"/>
          <w:szCs w:val="16"/>
          <w:lang w:eastAsia="ja-JP"/>
        </w:rPr>
        <w:t xml:space="preserve"> Sentencia de 31 de agosto de 2012. Serie C No. 246, párr. 195</w:t>
      </w:r>
      <w:r w:rsidR="00EA6CCA">
        <w:rPr>
          <w:rFonts w:ascii="Verdana" w:hAnsi="Verdana" w:cs="Verdana"/>
          <w:bCs/>
          <w:sz w:val="16"/>
          <w:szCs w:val="16"/>
          <w:lang w:eastAsia="ja-JP"/>
        </w:rPr>
        <w:t>;</w:t>
      </w:r>
      <w:r w:rsidRPr="00D503C7">
        <w:rPr>
          <w:rFonts w:ascii="Verdana" w:hAnsi="Verdana" w:cs="Verdana"/>
          <w:bCs/>
          <w:sz w:val="16"/>
          <w:szCs w:val="16"/>
          <w:lang w:eastAsia="ja-JP"/>
        </w:rPr>
        <w:t xml:space="preserve"> y </w:t>
      </w:r>
      <w:r w:rsidRPr="00D503C7">
        <w:rPr>
          <w:rFonts w:ascii="Verdana" w:hAnsi="Verdana"/>
          <w:noProof/>
          <w:sz w:val="16"/>
          <w:szCs w:val="16"/>
        </w:rPr>
        <w:t>TEDH</w:t>
      </w:r>
      <w:r w:rsidR="00EA6CCA">
        <w:rPr>
          <w:rFonts w:ascii="Verdana" w:hAnsi="Verdana"/>
          <w:noProof/>
          <w:sz w:val="16"/>
          <w:szCs w:val="16"/>
        </w:rPr>
        <w:t>,</w:t>
      </w:r>
      <w:r w:rsidRPr="00D503C7">
        <w:rPr>
          <w:rFonts w:ascii="Verdana" w:hAnsi="Verdana"/>
          <w:noProof/>
          <w:sz w:val="16"/>
          <w:szCs w:val="16"/>
        </w:rPr>
        <w:t xml:space="preserve"> </w:t>
      </w:r>
      <w:r w:rsidRPr="00D503C7">
        <w:rPr>
          <w:rFonts w:ascii="Verdana" w:hAnsi="Verdana"/>
          <w:i/>
          <w:noProof/>
          <w:sz w:val="16"/>
          <w:szCs w:val="16"/>
        </w:rPr>
        <w:t xml:space="preserve">Caso H. Vs. </w:t>
      </w:r>
      <w:r w:rsidRPr="00D503C7">
        <w:rPr>
          <w:rFonts w:ascii="Verdana" w:hAnsi="Verdana"/>
          <w:i/>
          <w:noProof/>
          <w:sz w:val="16"/>
          <w:szCs w:val="16"/>
          <w:lang w:val="es-CR"/>
        </w:rPr>
        <w:t>Reino Unido</w:t>
      </w:r>
      <w:r w:rsidRPr="00D503C7">
        <w:rPr>
          <w:rFonts w:ascii="Verdana" w:hAnsi="Verdana"/>
          <w:noProof/>
          <w:sz w:val="16"/>
          <w:szCs w:val="16"/>
          <w:lang w:val="es-CR"/>
        </w:rPr>
        <w:t>, No. 9580/81, Sentencia de 8 de Julio de 1987, párr. 85.</w:t>
      </w:r>
    </w:p>
  </w:footnote>
  <w:footnote w:id="100">
    <w:p w:rsidR="002005C7" w:rsidRPr="00D503C7" w:rsidRDefault="002005C7" w:rsidP="00F47861">
      <w:pPr>
        <w:pStyle w:val="NormalWeb"/>
        <w:spacing w:before="0" w:beforeAutospacing="0" w:after="120" w:afterAutospacing="0"/>
        <w:jc w:val="both"/>
        <w:rPr>
          <w:rFonts w:ascii="Verdana" w:hAnsi="Verdana"/>
          <w:sz w:val="16"/>
          <w:szCs w:val="16"/>
          <w:lang w:val="es-ES_tradnl"/>
        </w:rPr>
      </w:pPr>
      <w:r w:rsidRPr="00D503C7">
        <w:rPr>
          <w:rStyle w:val="Refdenotaalpie"/>
          <w:rFonts w:ascii="Verdana" w:hAnsi="Verdana"/>
          <w:sz w:val="16"/>
          <w:szCs w:val="16"/>
          <w:lang w:val="es-ES_tradnl"/>
        </w:rPr>
        <w:footnoteRef/>
      </w:r>
      <w:r w:rsidRPr="00D503C7">
        <w:rPr>
          <w:rFonts w:ascii="Verdana" w:hAnsi="Verdana"/>
          <w:sz w:val="16"/>
          <w:szCs w:val="16"/>
          <w:lang w:val="es-ES_tradnl"/>
        </w:rPr>
        <w:t xml:space="preserve"> </w:t>
      </w:r>
      <w:r w:rsidRPr="00D503C7">
        <w:rPr>
          <w:rFonts w:ascii="Verdana" w:hAnsi="Verdana"/>
          <w:sz w:val="16"/>
          <w:szCs w:val="16"/>
          <w:lang w:val="es-ES_tradnl"/>
        </w:rPr>
        <w:tab/>
        <w:t xml:space="preserve">TEDH, </w:t>
      </w:r>
      <w:r w:rsidRPr="00D503C7">
        <w:rPr>
          <w:rFonts w:ascii="Verdana" w:hAnsi="Verdana"/>
          <w:i/>
          <w:sz w:val="16"/>
          <w:szCs w:val="16"/>
          <w:lang w:val="es-ES_tradnl"/>
        </w:rPr>
        <w:t>Caso H. Vs. Reino Unido</w:t>
      </w:r>
      <w:r w:rsidRPr="00D503C7">
        <w:rPr>
          <w:rFonts w:ascii="Verdana" w:hAnsi="Verdana"/>
          <w:sz w:val="16"/>
          <w:szCs w:val="16"/>
          <w:lang w:val="es-ES_tradnl"/>
        </w:rPr>
        <w:t xml:space="preserve">, (No. 9580/81), Sentencia de 8 de Julio de 1987, párr. 85; </w:t>
      </w:r>
      <w:r w:rsidRPr="00D503C7">
        <w:rPr>
          <w:rFonts w:ascii="Verdana" w:hAnsi="Verdana"/>
          <w:i/>
          <w:sz w:val="16"/>
          <w:szCs w:val="16"/>
          <w:lang w:val="es-ES_tradnl"/>
        </w:rPr>
        <w:t>Caso X. Vs. Francia</w:t>
      </w:r>
      <w:r w:rsidRPr="00D503C7">
        <w:rPr>
          <w:rFonts w:ascii="Verdana" w:hAnsi="Verdana"/>
          <w:sz w:val="16"/>
          <w:szCs w:val="16"/>
          <w:lang w:val="es-ES_tradnl"/>
        </w:rPr>
        <w:t>, (No. 18020/91), Sentencia de 31 de marzo de 1992, párr. 47. En similar sentido, C</w:t>
      </w:r>
      <w:r w:rsidRPr="00D503C7">
        <w:rPr>
          <w:rFonts w:ascii="Verdana" w:hAnsi="Verdana"/>
          <w:i/>
          <w:sz w:val="16"/>
          <w:szCs w:val="16"/>
          <w:lang w:val="es-ES_tradnl"/>
        </w:rPr>
        <w:t>aso A. y otros Vs. Dinamarca</w:t>
      </w:r>
      <w:r w:rsidRPr="00D503C7">
        <w:rPr>
          <w:rFonts w:ascii="Verdana" w:hAnsi="Verdana"/>
          <w:sz w:val="16"/>
          <w:szCs w:val="16"/>
          <w:lang w:val="es-ES_tradnl"/>
        </w:rPr>
        <w:t xml:space="preserve">, (No. 20826/92), Sentencia de 8 de febrero de 1996), párr. 78. </w:t>
      </w:r>
    </w:p>
  </w:footnote>
  <w:footnote w:id="101">
    <w:p w:rsidR="002005C7" w:rsidRPr="00D503C7" w:rsidRDefault="002005C7" w:rsidP="00F47861">
      <w:pPr>
        <w:pStyle w:val="NormalWeb"/>
        <w:spacing w:before="0" w:beforeAutospacing="0" w:after="120" w:afterAutospacing="0"/>
        <w:jc w:val="both"/>
        <w:rPr>
          <w:rFonts w:ascii="Verdana" w:hAnsi="Verdana"/>
          <w:sz w:val="16"/>
          <w:szCs w:val="16"/>
          <w:lang w:val="es-ES_tradnl"/>
        </w:rPr>
      </w:pPr>
      <w:r w:rsidRPr="00D503C7">
        <w:rPr>
          <w:rStyle w:val="Refdenotaalpie"/>
          <w:rFonts w:ascii="Verdana" w:hAnsi="Verdana"/>
          <w:sz w:val="16"/>
          <w:szCs w:val="16"/>
          <w:lang w:val="es-ES_tradnl"/>
        </w:rPr>
        <w:footnoteRef/>
      </w:r>
      <w:r w:rsidRPr="00D503C7">
        <w:rPr>
          <w:rFonts w:ascii="Verdana" w:hAnsi="Verdana"/>
          <w:sz w:val="16"/>
          <w:szCs w:val="16"/>
          <w:lang w:val="es-ES_tradnl"/>
        </w:rPr>
        <w:t xml:space="preserve"> </w:t>
      </w:r>
      <w:r w:rsidRPr="00D503C7">
        <w:rPr>
          <w:rFonts w:ascii="Verdana" w:hAnsi="Verdana"/>
          <w:sz w:val="16"/>
          <w:szCs w:val="16"/>
          <w:lang w:val="es-ES_tradnl"/>
        </w:rPr>
        <w:tab/>
        <w:t xml:space="preserve">TEDH, </w:t>
      </w:r>
      <w:r w:rsidRPr="00D503C7">
        <w:rPr>
          <w:rFonts w:ascii="Verdana" w:hAnsi="Verdana"/>
          <w:i/>
          <w:sz w:val="16"/>
          <w:szCs w:val="16"/>
          <w:lang w:val="es-ES_tradnl"/>
        </w:rPr>
        <w:t>Caso Jablonská Vs. Polonia</w:t>
      </w:r>
      <w:r w:rsidRPr="00D503C7">
        <w:rPr>
          <w:rFonts w:ascii="Verdana" w:hAnsi="Verdana"/>
          <w:sz w:val="16"/>
          <w:szCs w:val="16"/>
          <w:lang w:val="es-ES_tradnl"/>
        </w:rPr>
        <w:t>, (No.60225/00), Sentencia de 9 de marzo de 2004. Final, 9 de junio de 2004, párr. 43</w:t>
      </w:r>
      <w:r>
        <w:rPr>
          <w:rFonts w:ascii="Verdana" w:hAnsi="Verdana"/>
          <w:sz w:val="16"/>
          <w:szCs w:val="16"/>
          <w:lang w:val="es-ES_tradnl"/>
        </w:rPr>
        <w:t>;</w:t>
      </w:r>
      <w:r w:rsidR="00792F5C">
        <w:rPr>
          <w:rFonts w:ascii="Verdana" w:hAnsi="Verdana"/>
          <w:sz w:val="16"/>
          <w:szCs w:val="16"/>
          <w:lang w:val="es-ES_tradnl"/>
        </w:rPr>
        <w:t xml:space="preserve"> </w:t>
      </w:r>
      <w:r w:rsidRPr="00D503C7">
        <w:rPr>
          <w:rFonts w:ascii="Verdana" w:hAnsi="Verdana"/>
          <w:i/>
          <w:sz w:val="16"/>
          <w:szCs w:val="16"/>
          <w:lang w:val="es-ES_tradnl"/>
        </w:rPr>
        <w:t xml:space="preserve">Caso </w:t>
      </w:r>
      <w:proofErr w:type="spellStart"/>
      <w:r w:rsidRPr="00D503C7">
        <w:rPr>
          <w:rFonts w:ascii="Verdana" w:hAnsi="Verdana"/>
          <w:i/>
          <w:sz w:val="16"/>
          <w:szCs w:val="16"/>
          <w:lang w:val="es-ES_tradnl"/>
        </w:rPr>
        <w:t>Codarcea</w:t>
      </w:r>
      <w:proofErr w:type="spellEnd"/>
      <w:r w:rsidRPr="00D503C7">
        <w:rPr>
          <w:rFonts w:ascii="Verdana" w:hAnsi="Verdana"/>
          <w:i/>
          <w:sz w:val="16"/>
          <w:szCs w:val="16"/>
          <w:lang w:val="es-ES_tradnl"/>
        </w:rPr>
        <w:t xml:space="preserve"> Vs. Rumanía,</w:t>
      </w:r>
      <w:r w:rsidRPr="00D503C7">
        <w:rPr>
          <w:rFonts w:ascii="Verdana" w:hAnsi="Verdana"/>
          <w:sz w:val="16"/>
          <w:szCs w:val="16"/>
          <w:lang w:val="es-ES_tradnl"/>
        </w:rPr>
        <w:t xml:space="preserve"> (No. 31675/04), Sentencia de 2 de junio de 2009. Final, 2 de septiembre de 2009, párr. 89</w:t>
      </w:r>
      <w:r>
        <w:rPr>
          <w:rFonts w:ascii="Verdana" w:hAnsi="Verdana"/>
          <w:sz w:val="16"/>
          <w:szCs w:val="16"/>
          <w:lang w:val="es-ES_tradnl"/>
        </w:rPr>
        <w:t xml:space="preserve">; </w:t>
      </w:r>
      <w:r w:rsidRPr="00D503C7">
        <w:rPr>
          <w:rFonts w:ascii="Verdana" w:hAnsi="Verdana"/>
          <w:i/>
          <w:sz w:val="16"/>
          <w:szCs w:val="16"/>
          <w:lang w:val="es-ES_tradnl"/>
        </w:rPr>
        <w:t>Caso Styranowski Vs. Polonia</w:t>
      </w:r>
      <w:r w:rsidRPr="00D503C7">
        <w:rPr>
          <w:rFonts w:ascii="Verdana" w:hAnsi="Verdana"/>
          <w:sz w:val="16"/>
          <w:szCs w:val="16"/>
          <w:lang w:val="es-ES_tradnl"/>
        </w:rPr>
        <w:t>, (No. 28616/95), Sentencia de 30 de octubre de 1998, párr. 57</w:t>
      </w:r>
      <w:r>
        <w:rPr>
          <w:rFonts w:ascii="Verdana" w:hAnsi="Verdana"/>
          <w:sz w:val="16"/>
          <w:szCs w:val="16"/>
          <w:lang w:val="es-ES_tradnl"/>
        </w:rPr>
        <w:t>;</w:t>
      </w:r>
      <w:r w:rsidRPr="00D503C7">
        <w:rPr>
          <w:rFonts w:ascii="Verdana" w:hAnsi="Verdana"/>
          <w:sz w:val="16"/>
          <w:szCs w:val="16"/>
          <w:lang w:val="es-ES_tradnl"/>
        </w:rPr>
        <w:t xml:space="preserve"> y </w:t>
      </w:r>
      <w:r w:rsidRPr="00D503C7">
        <w:rPr>
          <w:rFonts w:ascii="Verdana" w:hAnsi="Verdana"/>
          <w:i/>
          <w:sz w:val="16"/>
          <w:szCs w:val="16"/>
          <w:lang w:val="es-ES_tradnl"/>
        </w:rPr>
        <w:t>Caso Krzak Vs. Polonia</w:t>
      </w:r>
      <w:r w:rsidRPr="00D503C7">
        <w:rPr>
          <w:rFonts w:ascii="Verdana" w:hAnsi="Verdana"/>
          <w:sz w:val="16"/>
          <w:szCs w:val="16"/>
          <w:lang w:val="es-ES_tradnl"/>
        </w:rPr>
        <w:t xml:space="preserve">, (No. 51515/99), Sentencia de 6 de abril de 2004. Final, 7 de julio de 2004, párr. 42. </w:t>
      </w:r>
    </w:p>
  </w:footnote>
  <w:footnote w:id="102">
    <w:p w:rsidR="002005C7" w:rsidRPr="00D503C7" w:rsidRDefault="002005C7" w:rsidP="00F47861">
      <w:pPr>
        <w:pStyle w:val="Textonotapie"/>
        <w:spacing w:after="120"/>
        <w:jc w:val="both"/>
        <w:rPr>
          <w:rFonts w:ascii="Verdana" w:hAnsi="Verdana" w:cs="Verdana"/>
          <w:bCs/>
          <w:sz w:val="16"/>
          <w:szCs w:val="16"/>
          <w:lang w:eastAsia="ja-JP"/>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cs="Verdana"/>
          <w:bCs/>
          <w:i/>
          <w:sz w:val="16"/>
          <w:szCs w:val="16"/>
          <w:lang w:eastAsia="ja-JP"/>
        </w:rPr>
        <w:t>Caso Furlan y Familiares Vs. Argentina. Excepciones Preliminares, Fondo, Reparaciones y Costas</w:t>
      </w:r>
      <w:r w:rsidRPr="00D503C7">
        <w:rPr>
          <w:rFonts w:ascii="Verdana" w:hAnsi="Verdana" w:cs="Verdana"/>
          <w:bCs/>
          <w:sz w:val="16"/>
          <w:szCs w:val="16"/>
          <w:lang w:eastAsia="ja-JP"/>
        </w:rPr>
        <w:t>. Sentencia de 31 de agosto de 2012. Serie C No. 246, párr. 196.</w:t>
      </w:r>
    </w:p>
  </w:footnote>
  <w:footnote w:id="103">
    <w:p w:rsidR="00F12E86" w:rsidRPr="0070201A" w:rsidRDefault="00F12E86" w:rsidP="00F12E86">
      <w:pPr>
        <w:pStyle w:val="Textonotapie"/>
        <w:jc w:val="both"/>
        <w:rPr>
          <w:rFonts w:ascii="Verdana" w:hAnsi="Verdana"/>
          <w:sz w:val="16"/>
          <w:szCs w:val="16"/>
        </w:rPr>
      </w:pPr>
      <w:r w:rsidRPr="00F12E86">
        <w:rPr>
          <w:rStyle w:val="Refdenotaalpie"/>
          <w:rFonts w:ascii="Verdana" w:hAnsi="Verdana"/>
          <w:sz w:val="16"/>
          <w:szCs w:val="16"/>
        </w:rPr>
        <w:footnoteRef/>
      </w:r>
      <w:r w:rsidRPr="00F12E86">
        <w:rPr>
          <w:rFonts w:ascii="Verdana" w:hAnsi="Verdana"/>
          <w:sz w:val="16"/>
          <w:szCs w:val="16"/>
        </w:rPr>
        <w:t xml:space="preserve"> </w:t>
      </w:r>
      <w:r w:rsidRPr="00F12E86">
        <w:rPr>
          <w:rFonts w:ascii="Verdana" w:hAnsi="Verdana"/>
          <w:sz w:val="16"/>
          <w:szCs w:val="16"/>
        </w:rPr>
        <w:tab/>
        <w:t>En el caso Gonzales Lluy la Corte especificó que: “315. Tomando en consideración i) que en el presente caso la integridad de Talía estaba en juego; ii) la consecuente urgencia derivada de su condición de niña con VIH, y iii) la crucial importancia en la resolución de los procesos para el acceso de Talía y su familia a una reparación por daños y perjuicios, la Corte concluye que existía una obligación especial de actuar con debida diligencia, y que esta obligación no fue cumplida por el Estado”.</w:t>
      </w:r>
      <w:r w:rsidRPr="00F12E86">
        <w:rPr>
          <w:rStyle w:val="Textoennegrita"/>
          <w:rFonts w:ascii="Verdana" w:hAnsi="Verdana"/>
          <w:b w:val="0"/>
          <w:i/>
          <w:color w:val="000000"/>
          <w:sz w:val="16"/>
          <w:szCs w:val="16"/>
          <w:shd w:val="clear" w:color="auto" w:fill="FFFFFF"/>
        </w:rPr>
        <w:t xml:space="preserve"> Caso Gonzales Lluy y otros Vs. Ecuador. Excepciones Preliminares, Fondo, Reparaciones y Costas</w:t>
      </w:r>
      <w:r w:rsidRPr="00F12E86">
        <w:rPr>
          <w:rStyle w:val="Textoennegrita"/>
          <w:rFonts w:ascii="Verdana" w:hAnsi="Verdana"/>
          <w:b w:val="0"/>
          <w:color w:val="000000"/>
          <w:sz w:val="16"/>
          <w:szCs w:val="16"/>
          <w:shd w:val="clear" w:color="auto" w:fill="FFFFFF"/>
        </w:rPr>
        <w:t>. Sentencia de 1 de septiembre de 2015. Serie C No. 298, párr. 315.</w:t>
      </w:r>
      <w:r w:rsidRPr="0070201A">
        <w:rPr>
          <w:rStyle w:val="Textoennegrita"/>
          <w:rFonts w:ascii="Verdana" w:hAnsi="Verdana"/>
          <w:b w:val="0"/>
          <w:color w:val="000000"/>
          <w:sz w:val="16"/>
          <w:szCs w:val="16"/>
          <w:shd w:val="clear" w:color="auto" w:fill="FFFFFF"/>
        </w:rPr>
        <w:t xml:space="preserve"> </w:t>
      </w:r>
    </w:p>
    <w:p w:rsidR="00F12E86" w:rsidRPr="0070201A" w:rsidRDefault="00F12E86" w:rsidP="00F12E86">
      <w:pPr>
        <w:pStyle w:val="Textonotapie"/>
        <w:jc w:val="both"/>
        <w:rPr>
          <w:rFonts w:ascii="Verdana" w:hAnsi="Verdana"/>
          <w:sz w:val="16"/>
          <w:szCs w:val="16"/>
        </w:rPr>
      </w:pPr>
    </w:p>
  </w:footnote>
  <w:footnote w:id="104">
    <w:p w:rsidR="00F12E86" w:rsidRPr="0070201A" w:rsidRDefault="00F12E86" w:rsidP="00F12E86">
      <w:pPr>
        <w:pStyle w:val="Textonotapie"/>
        <w:spacing w:after="120"/>
        <w:jc w:val="both"/>
        <w:rPr>
          <w:rFonts w:ascii="Verdana" w:hAnsi="Verdana"/>
          <w:bCs/>
          <w:color w:val="000000"/>
          <w:sz w:val="16"/>
          <w:szCs w:val="16"/>
          <w:shd w:val="clear" w:color="auto" w:fill="FFFFFF"/>
        </w:rPr>
      </w:pPr>
      <w:r w:rsidRPr="00F12E86">
        <w:rPr>
          <w:rStyle w:val="Refdenotaalpie"/>
          <w:rFonts w:ascii="Verdana" w:hAnsi="Verdana"/>
          <w:sz w:val="16"/>
          <w:szCs w:val="16"/>
        </w:rPr>
        <w:footnoteRef/>
      </w:r>
      <w:r w:rsidRPr="00F12E86">
        <w:rPr>
          <w:rFonts w:ascii="Verdana" w:hAnsi="Verdana"/>
          <w:sz w:val="16"/>
          <w:szCs w:val="16"/>
        </w:rPr>
        <w:t xml:space="preserve"> </w:t>
      </w:r>
      <w:r w:rsidRPr="00F12E86">
        <w:rPr>
          <w:rFonts w:ascii="Verdana" w:hAnsi="Verdana"/>
          <w:sz w:val="16"/>
          <w:szCs w:val="16"/>
        </w:rPr>
        <w:tab/>
      </w:r>
      <w:r w:rsidRPr="00F12E86">
        <w:rPr>
          <w:rFonts w:ascii="Verdana" w:hAnsi="Verdana"/>
          <w:i/>
          <w:sz w:val="16"/>
          <w:szCs w:val="16"/>
        </w:rPr>
        <w:t>Cfr.</w:t>
      </w:r>
      <w:r w:rsidRPr="00F12E86">
        <w:rPr>
          <w:rFonts w:ascii="Verdana" w:hAnsi="Verdana"/>
          <w:sz w:val="16"/>
          <w:szCs w:val="16"/>
        </w:rPr>
        <w:t xml:space="preserve"> </w:t>
      </w:r>
      <w:r w:rsidRPr="00F12E86">
        <w:rPr>
          <w:rStyle w:val="Textoennegrita"/>
          <w:rFonts w:ascii="Verdana" w:hAnsi="Verdana"/>
          <w:b w:val="0"/>
          <w:i/>
          <w:color w:val="000000"/>
          <w:sz w:val="16"/>
          <w:szCs w:val="16"/>
          <w:shd w:val="clear" w:color="auto" w:fill="FFFFFF"/>
        </w:rPr>
        <w:t>Caso Gonzales Lluy y otros Vs. Ecuador. Excepciones Preliminares, Fondo, Reparaciones y Costas</w:t>
      </w:r>
      <w:r w:rsidRPr="00F12E86">
        <w:rPr>
          <w:rStyle w:val="Textoennegrita"/>
          <w:rFonts w:ascii="Verdana" w:hAnsi="Verdana"/>
          <w:b w:val="0"/>
          <w:color w:val="000000"/>
          <w:sz w:val="16"/>
          <w:szCs w:val="16"/>
          <w:shd w:val="clear" w:color="auto" w:fill="FFFFFF"/>
        </w:rPr>
        <w:t xml:space="preserve">. Sentencia de 1 de septiembre de 2015. Serie C No. 298, párrs. 309 a 312. En similar sentido, aunque en lo relativo a las medidas de reparación, en el caso </w:t>
      </w:r>
      <w:r w:rsidRPr="00F12E86">
        <w:rPr>
          <w:rStyle w:val="Textoennegrita"/>
          <w:rFonts w:ascii="Verdana" w:hAnsi="Verdana"/>
          <w:b w:val="0"/>
          <w:i/>
          <w:color w:val="000000"/>
          <w:sz w:val="16"/>
          <w:szCs w:val="16"/>
          <w:shd w:val="clear" w:color="auto" w:fill="FFFFFF"/>
        </w:rPr>
        <w:t>Cuscul Pivaral y otros Vs. Guatemala</w:t>
      </w:r>
      <w:r w:rsidRPr="00F12E86">
        <w:rPr>
          <w:rStyle w:val="Textoennegrita"/>
          <w:rFonts w:ascii="Verdana" w:hAnsi="Verdana"/>
          <w:b w:val="0"/>
          <w:color w:val="000000"/>
          <w:sz w:val="16"/>
          <w:szCs w:val="16"/>
          <w:shd w:val="clear" w:color="auto" w:fill="FFFFFF"/>
        </w:rPr>
        <w:t xml:space="preserve">, caso relacionado con violación producida al derecho a la salud por la falta de atención médica a personas con VIH/SIDA, la Corte </w:t>
      </w:r>
      <w:r>
        <w:rPr>
          <w:rStyle w:val="Textoennegrita"/>
          <w:rFonts w:ascii="Verdana" w:hAnsi="Verdana"/>
          <w:b w:val="0"/>
          <w:color w:val="000000"/>
          <w:sz w:val="16"/>
          <w:szCs w:val="16"/>
          <w:shd w:val="clear" w:color="auto" w:fill="FFFFFF"/>
        </w:rPr>
        <w:t xml:space="preserve">IDH </w:t>
      </w:r>
      <w:r w:rsidRPr="00F12E86">
        <w:rPr>
          <w:rStyle w:val="Textoennegrita"/>
          <w:rFonts w:ascii="Verdana" w:hAnsi="Verdana"/>
          <w:b w:val="0"/>
          <w:color w:val="000000"/>
          <w:sz w:val="16"/>
          <w:szCs w:val="16"/>
          <w:shd w:val="clear" w:color="auto" w:fill="FFFFFF"/>
        </w:rPr>
        <w:t>ordenó que se debería “actuar con especial celeridad en el cumplimiento”</w:t>
      </w:r>
      <w:r w:rsidR="00792F5C">
        <w:rPr>
          <w:rStyle w:val="Textoennegrita"/>
          <w:rFonts w:ascii="Verdana" w:hAnsi="Verdana"/>
          <w:b w:val="0"/>
          <w:color w:val="000000"/>
          <w:sz w:val="16"/>
          <w:szCs w:val="16"/>
          <w:shd w:val="clear" w:color="auto" w:fill="FFFFFF"/>
        </w:rPr>
        <w:t xml:space="preserve"> </w:t>
      </w:r>
      <w:r w:rsidRPr="00F12E86">
        <w:rPr>
          <w:rStyle w:val="Textoennegrita"/>
          <w:rFonts w:ascii="Verdana" w:hAnsi="Verdana"/>
          <w:b w:val="0"/>
          <w:color w:val="000000"/>
          <w:sz w:val="16"/>
          <w:szCs w:val="16"/>
          <w:shd w:val="clear" w:color="auto" w:fill="FFFFFF"/>
        </w:rPr>
        <w:t>de</w:t>
      </w:r>
      <w:r w:rsidR="00792F5C">
        <w:rPr>
          <w:rStyle w:val="Textoennegrita"/>
          <w:rFonts w:ascii="Verdana" w:hAnsi="Verdana"/>
          <w:b w:val="0"/>
          <w:color w:val="000000"/>
          <w:sz w:val="16"/>
          <w:szCs w:val="16"/>
          <w:shd w:val="clear" w:color="auto" w:fill="FFFFFF"/>
        </w:rPr>
        <w:t xml:space="preserve"> </w:t>
      </w:r>
      <w:r w:rsidRPr="00F12E86">
        <w:rPr>
          <w:rStyle w:val="Textoennegrita"/>
          <w:rFonts w:ascii="Verdana" w:hAnsi="Verdana"/>
          <w:b w:val="0"/>
          <w:color w:val="000000"/>
          <w:sz w:val="16"/>
          <w:szCs w:val="16"/>
          <w:shd w:val="clear" w:color="auto" w:fill="FFFFFF"/>
        </w:rPr>
        <w:t>brindar el tratamiento médico y psicológico/psiquiátrico a las víctimas directas y que se encontraban con vida, pues de</w:t>
      </w:r>
      <w:r w:rsidR="00792F5C">
        <w:rPr>
          <w:rStyle w:val="Textoennegrita"/>
          <w:rFonts w:ascii="Verdana" w:hAnsi="Verdana"/>
          <w:b w:val="0"/>
          <w:color w:val="000000"/>
          <w:sz w:val="16"/>
          <w:szCs w:val="16"/>
          <w:shd w:val="clear" w:color="auto" w:fill="FFFFFF"/>
        </w:rPr>
        <w:t xml:space="preserve"> </w:t>
      </w:r>
      <w:r w:rsidRPr="00F12E86">
        <w:rPr>
          <w:rStyle w:val="Textoennegrita"/>
          <w:rFonts w:ascii="Verdana" w:hAnsi="Verdana"/>
          <w:b w:val="0"/>
          <w:color w:val="000000"/>
          <w:sz w:val="16"/>
          <w:szCs w:val="16"/>
          <w:shd w:val="clear" w:color="auto" w:fill="FFFFFF"/>
        </w:rPr>
        <w:t>“</w:t>
      </w:r>
      <w:r w:rsidRPr="00F12E86">
        <w:rPr>
          <w:rFonts w:ascii="Verdana" w:hAnsi="Verdana"/>
          <w:sz w:val="16"/>
          <w:szCs w:val="16"/>
        </w:rPr>
        <w:t xml:space="preserve">su cumplimiento depende la preservación de la salud, la integridad personal y la vida de las víctimas del caso”. </w:t>
      </w:r>
      <w:r w:rsidRPr="00F12E86">
        <w:rPr>
          <w:rFonts w:ascii="Verdana" w:hAnsi="Verdana"/>
          <w:i/>
          <w:sz w:val="16"/>
          <w:szCs w:val="16"/>
        </w:rPr>
        <w:t xml:space="preserve">Cfr. </w:t>
      </w:r>
      <w:r w:rsidRPr="00F12E86">
        <w:rPr>
          <w:rStyle w:val="Textoennegrita"/>
          <w:rFonts w:ascii="Verdana" w:hAnsi="Verdana"/>
          <w:b w:val="0"/>
          <w:i/>
          <w:color w:val="000000"/>
          <w:sz w:val="16"/>
          <w:szCs w:val="16"/>
          <w:shd w:val="clear" w:color="auto" w:fill="FFFFFF"/>
        </w:rPr>
        <w:t>Caso Cuscul Pivaral y otros Vs. Guatemala. Excepción Preliminar, Fondo, Reparaciones y Costas</w:t>
      </w:r>
      <w:r w:rsidRPr="00F12E86">
        <w:rPr>
          <w:rStyle w:val="Textoennegrita"/>
          <w:rFonts w:ascii="Verdana" w:hAnsi="Verdana"/>
          <w:b w:val="0"/>
          <w:color w:val="000000"/>
          <w:sz w:val="16"/>
          <w:szCs w:val="16"/>
          <w:shd w:val="clear" w:color="auto" w:fill="FFFFFF"/>
        </w:rPr>
        <w:t>. Sentencia de 23 de agosto de 2018. Serie C No. 359, párrs. 210 y 213.</w:t>
      </w:r>
      <w:r w:rsidRPr="0070201A">
        <w:rPr>
          <w:rStyle w:val="Textoennegrita"/>
          <w:rFonts w:ascii="Verdana" w:hAnsi="Verdana"/>
          <w:b w:val="0"/>
          <w:color w:val="000000"/>
          <w:sz w:val="16"/>
          <w:szCs w:val="16"/>
          <w:shd w:val="clear" w:color="auto" w:fill="FFFFFF"/>
        </w:rPr>
        <w:t xml:space="preserve"> </w:t>
      </w:r>
    </w:p>
  </w:footnote>
  <w:footnote w:id="105">
    <w:p w:rsidR="002005C7" w:rsidRPr="00D503C7" w:rsidRDefault="002005C7" w:rsidP="00F47861">
      <w:pPr>
        <w:pStyle w:val="Textonotapie"/>
        <w:spacing w:after="120"/>
        <w:jc w:val="both"/>
        <w:rPr>
          <w:rFonts w:ascii="Verdana" w:hAnsi="Verdana"/>
          <w:sz w:val="16"/>
          <w:szCs w:val="16"/>
          <w:lang w:val="es-ES"/>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sidRPr="00D503C7">
        <w:rPr>
          <w:rFonts w:ascii="Verdana" w:hAnsi="Verdana"/>
          <w:i/>
          <w:sz w:val="16"/>
          <w:szCs w:val="16"/>
        </w:rPr>
        <w:t>Cfr.</w:t>
      </w:r>
      <w:r w:rsidR="00792F5C">
        <w:rPr>
          <w:rFonts w:ascii="Verdana" w:hAnsi="Verdana"/>
          <w:i/>
          <w:sz w:val="16"/>
          <w:szCs w:val="16"/>
        </w:rPr>
        <w:t xml:space="preserve"> </w:t>
      </w:r>
      <w:r w:rsidRPr="00D503C7">
        <w:rPr>
          <w:rFonts w:ascii="Verdana" w:hAnsi="Verdana"/>
          <w:i/>
          <w:sz w:val="16"/>
          <w:szCs w:val="16"/>
        </w:rPr>
        <w:t xml:space="preserve">Caso Muelle Flores Vs. Perú. Excepciones Preliminares, Fondo, Reparaciones y Costas. </w:t>
      </w:r>
      <w:r w:rsidRPr="00D503C7">
        <w:rPr>
          <w:rFonts w:ascii="Verdana" w:hAnsi="Verdana"/>
          <w:sz w:val="16"/>
          <w:szCs w:val="16"/>
        </w:rPr>
        <w:t>Sentencia de 6 de marzo de 2019. Serie C No</w:t>
      </w:r>
      <w:r w:rsidRPr="001A08D2">
        <w:rPr>
          <w:rFonts w:ascii="Verdana" w:hAnsi="Verdana"/>
          <w:sz w:val="16"/>
          <w:szCs w:val="16"/>
          <w:shd w:val="clear" w:color="auto" w:fill="FFFFFF" w:themeFill="background1"/>
        </w:rPr>
        <w:t xml:space="preserve">. </w:t>
      </w:r>
      <w:r w:rsidR="006B2226" w:rsidRPr="001A08D2">
        <w:rPr>
          <w:rFonts w:ascii="Verdana" w:hAnsi="Verdana"/>
          <w:sz w:val="16"/>
          <w:szCs w:val="16"/>
          <w:shd w:val="clear" w:color="auto" w:fill="FFFFFF" w:themeFill="background1"/>
        </w:rPr>
        <w:t>375</w:t>
      </w:r>
      <w:r w:rsidRPr="001A08D2">
        <w:rPr>
          <w:rFonts w:ascii="Verdana" w:hAnsi="Verdana"/>
          <w:sz w:val="16"/>
          <w:szCs w:val="16"/>
          <w:shd w:val="clear" w:color="auto" w:fill="FFFFFF" w:themeFill="background1"/>
        </w:rPr>
        <w:t>,</w:t>
      </w:r>
      <w:r w:rsidRPr="00D503C7">
        <w:rPr>
          <w:rFonts w:ascii="Verdana" w:hAnsi="Verdana"/>
          <w:sz w:val="16"/>
          <w:szCs w:val="16"/>
        </w:rPr>
        <w:t xml:space="preserve"> párr. </w:t>
      </w:r>
      <w:r w:rsidRPr="00D503C7">
        <w:rPr>
          <w:rFonts w:ascii="Verdana" w:hAnsi="Verdana"/>
          <w:sz w:val="16"/>
          <w:szCs w:val="16"/>
          <w:lang w:val="es-ES"/>
        </w:rPr>
        <w:t>227</w:t>
      </w:r>
    </w:p>
  </w:footnote>
  <w:footnote w:id="106">
    <w:p w:rsidR="002005C7" w:rsidRPr="00D503C7" w:rsidRDefault="002005C7" w:rsidP="00F47861">
      <w:pPr>
        <w:pStyle w:val="Textonotapie"/>
        <w:spacing w:after="120"/>
        <w:jc w:val="both"/>
        <w:rPr>
          <w:rFonts w:ascii="Verdana" w:hAnsi="Verdana"/>
          <w:sz w:val="16"/>
          <w:szCs w:val="16"/>
          <w:lang w:val="es-CR"/>
        </w:rPr>
      </w:pPr>
      <w:r w:rsidRPr="00D503C7">
        <w:rPr>
          <w:rStyle w:val="Refdenotaalpie"/>
          <w:rFonts w:ascii="Verdana" w:hAnsi="Verdana"/>
          <w:sz w:val="16"/>
          <w:szCs w:val="16"/>
        </w:rPr>
        <w:footnoteRef/>
      </w:r>
      <w:r w:rsidRPr="00D503C7">
        <w:rPr>
          <w:rFonts w:ascii="Verdana" w:hAnsi="Verdana"/>
          <w:sz w:val="16"/>
          <w:szCs w:val="16"/>
        </w:rPr>
        <w:t xml:space="preserve"> </w:t>
      </w:r>
      <w:r w:rsidRPr="00D503C7">
        <w:rPr>
          <w:rFonts w:ascii="Verdana" w:hAnsi="Verdana"/>
          <w:sz w:val="16"/>
          <w:szCs w:val="16"/>
        </w:rPr>
        <w:tab/>
      </w:r>
      <w:r>
        <w:rPr>
          <w:rFonts w:ascii="Verdana" w:hAnsi="Verdana"/>
          <w:sz w:val="16"/>
          <w:szCs w:val="16"/>
        </w:rPr>
        <w:t>Entre otros</w:t>
      </w:r>
      <w:r w:rsidR="009A1F65">
        <w:rPr>
          <w:rFonts w:ascii="Verdana" w:hAnsi="Verdana"/>
          <w:sz w:val="16"/>
          <w:szCs w:val="16"/>
        </w:rPr>
        <w:t>:</w:t>
      </w:r>
      <w:r w:rsidRPr="00D503C7">
        <w:rPr>
          <w:rFonts w:ascii="Verdana" w:hAnsi="Verdana"/>
          <w:sz w:val="16"/>
          <w:szCs w:val="16"/>
        </w:rPr>
        <w:t xml:space="preserve"> </w:t>
      </w:r>
      <w:r w:rsidRPr="00D503C7">
        <w:rPr>
          <w:rStyle w:val="Textoennegrita"/>
          <w:rFonts w:ascii="Verdana" w:hAnsi="Verdana"/>
          <w:b w:val="0"/>
          <w:color w:val="000000"/>
          <w:sz w:val="16"/>
          <w:szCs w:val="16"/>
          <w:shd w:val="clear" w:color="auto" w:fill="FFFFFF"/>
        </w:rPr>
        <w:t>C</w:t>
      </w:r>
      <w:r w:rsidRPr="00D503C7">
        <w:rPr>
          <w:rStyle w:val="Textoennegrita"/>
          <w:rFonts w:ascii="Verdana" w:hAnsi="Verdana"/>
          <w:b w:val="0"/>
          <w:i/>
          <w:color w:val="000000"/>
          <w:sz w:val="16"/>
          <w:szCs w:val="16"/>
          <w:shd w:val="clear" w:color="auto" w:fill="FFFFFF"/>
        </w:rPr>
        <w:t>aso Gonzales Lluy y otros Vs. Ecuador. Excepciones Preliminares, Fondo, Reparaciones y Costas.</w:t>
      </w:r>
      <w:r w:rsidRPr="00D503C7">
        <w:rPr>
          <w:rStyle w:val="Textoennegrita"/>
          <w:rFonts w:ascii="Verdana" w:hAnsi="Verdana"/>
          <w:b w:val="0"/>
          <w:color w:val="000000"/>
          <w:sz w:val="16"/>
          <w:szCs w:val="16"/>
          <w:shd w:val="clear" w:color="auto" w:fill="FFFFFF"/>
        </w:rPr>
        <w:t xml:space="preserve"> Sentencia de 1 de septiembre de 2015. Serie C No. 298</w:t>
      </w:r>
      <w:r>
        <w:rPr>
          <w:rStyle w:val="Textoennegrita"/>
          <w:rFonts w:ascii="Verdana" w:hAnsi="Verdana"/>
          <w:b w:val="0"/>
          <w:color w:val="000000"/>
          <w:sz w:val="16"/>
          <w:szCs w:val="16"/>
          <w:shd w:val="clear" w:color="auto" w:fill="FFFFFF"/>
        </w:rPr>
        <w:t>;</w:t>
      </w:r>
      <w:r w:rsidRPr="00D503C7">
        <w:rPr>
          <w:rStyle w:val="Textoennegrita"/>
          <w:rFonts w:ascii="Verdana" w:hAnsi="Verdana"/>
          <w:b w:val="0"/>
          <w:color w:val="000000"/>
          <w:sz w:val="16"/>
          <w:szCs w:val="16"/>
          <w:shd w:val="clear" w:color="auto" w:fill="FFFFFF"/>
        </w:rPr>
        <w:t xml:space="preserve"> y </w:t>
      </w:r>
      <w:r w:rsidRPr="00D503C7">
        <w:rPr>
          <w:rStyle w:val="Textoennegrita"/>
          <w:rFonts w:ascii="Verdana" w:hAnsi="Verdana"/>
          <w:b w:val="0"/>
          <w:i/>
          <w:color w:val="000000"/>
          <w:sz w:val="16"/>
          <w:szCs w:val="16"/>
          <w:shd w:val="clear" w:color="auto" w:fill="FFFFFF"/>
        </w:rPr>
        <w:t>Caso Cuscul Pivaral y otros Vs. Guatemala. Excepción Preliminar, Fondo, Reparaciones y Costas</w:t>
      </w:r>
      <w:r w:rsidRPr="00D503C7">
        <w:rPr>
          <w:rStyle w:val="Textoennegrita"/>
          <w:rFonts w:ascii="Verdana" w:hAnsi="Verdana"/>
          <w:b w:val="0"/>
          <w:color w:val="000000"/>
          <w:sz w:val="16"/>
          <w:szCs w:val="16"/>
          <w:shd w:val="clear" w:color="auto" w:fill="FFFFFF"/>
        </w:rPr>
        <w:t>. Sentencia de 23 de agosto de 2018. Serie C No. 359.</w:t>
      </w:r>
    </w:p>
  </w:footnote>
  <w:footnote w:id="107">
    <w:p w:rsidR="002005C7" w:rsidRPr="00EA0610" w:rsidRDefault="002005C7" w:rsidP="007A5FE0">
      <w:pPr>
        <w:pStyle w:val="NormalWeb"/>
        <w:spacing w:before="0" w:beforeAutospacing="0" w:after="120" w:afterAutospacing="0"/>
        <w:jc w:val="both"/>
        <w:rPr>
          <w:rFonts w:ascii="Verdana" w:hAnsi="Verdana"/>
          <w:color w:val="auto"/>
          <w:sz w:val="16"/>
          <w:szCs w:val="16"/>
          <w:lang w:eastAsia="es-ES_tradnl"/>
        </w:rPr>
      </w:pPr>
      <w:r w:rsidRPr="00EA0610">
        <w:rPr>
          <w:rStyle w:val="Refdenotaalpie"/>
          <w:rFonts w:ascii="Verdana" w:hAnsi="Verdana"/>
          <w:sz w:val="16"/>
          <w:szCs w:val="16"/>
        </w:rPr>
        <w:footnoteRef/>
      </w:r>
      <w:r w:rsidRPr="00EA0610">
        <w:rPr>
          <w:rFonts w:ascii="Verdana" w:hAnsi="Verdana"/>
          <w:sz w:val="16"/>
          <w:szCs w:val="16"/>
        </w:rPr>
        <w:t xml:space="preserve"> </w:t>
      </w:r>
      <w:r w:rsidRPr="00EA0610">
        <w:rPr>
          <w:rFonts w:ascii="Verdana" w:hAnsi="Verdana"/>
          <w:sz w:val="16"/>
          <w:szCs w:val="16"/>
        </w:rPr>
        <w:tab/>
      </w:r>
      <w:proofErr w:type="spellStart"/>
      <w:r w:rsidRPr="00EA0610">
        <w:rPr>
          <w:rFonts w:ascii="Verdana" w:hAnsi="Verdana"/>
          <w:color w:val="auto"/>
          <w:sz w:val="16"/>
          <w:szCs w:val="16"/>
          <w:lang w:eastAsia="es-ES_tradnl"/>
        </w:rPr>
        <w:t>Comisión</w:t>
      </w:r>
      <w:proofErr w:type="spellEnd"/>
      <w:r w:rsidRPr="00EA0610">
        <w:rPr>
          <w:rFonts w:ascii="Verdana" w:hAnsi="Verdana"/>
          <w:color w:val="auto"/>
          <w:sz w:val="16"/>
          <w:szCs w:val="16"/>
          <w:lang w:eastAsia="es-ES_tradnl"/>
        </w:rPr>
        <w:t xml:space="preserve"> </w:t>
      </w:r>
      <w:proofErr w:type="spellStart"/>
      <w:r w:rsidRPr="00EA0610">
        <w:rPr>
          <w:rFonts w:ascii="Verdana" w:hAnsi="Verdana"/>
          <w:color w:val="auto"/>
          <w:sz w:val="16"/>
          <w:szCs w:val="16"/>
          <w:lang w:eastAsia="es-ES_tradnl"/>
        </w:rPr>
        <w:t>Económica</w:t>
      </w:r>
      <w:proofErr w:type="spellEnd"/>
      <w:r w:rsidRPr="00EA0610">
        <w:rPr>
          <w:rFonts w:ascii="Verdana" w:hAnsi="Verdana"/>
          <w:color w:val="auto"/>
          <w:sz w:val="16"/>
          <w:szCs w:val="16"/>
          <w:lang w:eastAsia="es-ES_tradnl"/>
        </w:rPr>
        <w:t xml:space="preserve"> para </w:t>
      </w:r>
      <w:proofErr w:type="spellStart"/>
      <w:r w:rsidRPr="00EA0610">
        <w:rPr>
          <w:rFonts w:ascii="Verdana" w:hAnsi="Verdana"/>
          <w:color w:val="auto"/>
          <w:sz w:val="16"/>
          <w:szCs w:val="16"/>
          <w:lang w:eastAsia="es-ES_tradnl"/>
        </w:rPr>
        <w:t>América</w:t>
      </w:r>
      <w:proofErr w:type="spellEnd"/>
      <w:r w:rsidRPr="00EA0610">
        <w:rPr>
          <w:rFonts w:ascii="Verdana" w:hAnsi="Verdana"/>
          <w:color w:val="auto"/>
          <w:sz w:val="16"/>
          <w:szCs w:val="16"/>
          <w:lang w:eastAsia="es-ES_tradnl"/>
        </w:rPr>
        <w:t xml:space="preserve"> Latina y el Caribe (CEPAL), </w:t>
      </w:r>
      <w:r w:rsidRPr="00EA0610">
        <w:rPr>
          <w:rFonts w:ascii="Verdana" w:hAnsi="Verdana"/>
          <w:i/>
          <w:iCs/>
          <w:color w:val="auto"/>
          <w:sz w:val="16"/>
          <w:szCs w:val="16"/>
          <w:lang w:eastAsia="es-ES_tradnl"/>
        </w:rPr>
        <w:t xml:space="preserve">Panorama Social de </w:t>
      </w:r>
      <w:proofErr w:type="spellStart"/>
      <w:r w:rsidRPr="00EA0610">
        <w:rPr>
          <w:rFonts w:ascii="Verdana" w:hAnsi="Verdana"/>
          <w:i/>
          <w:iCs/>
          <w:color w:val="auto"/>
          <w:sz w:val="16"/>
          <w:szCs w:val="16"/>
          <w:lang w:eastAsia="es-ES_tradnl"/>
        </w:rPr>
        <w:t>América</w:t>
      </w:r>
      <w:proofErr w:type="spellEnd"/>
      <w:r w:rsidRPr="00EA0610">
        <w:rPr>
          <w:rFonts w:ascii="Verdana" w:hAnsi="Verdana"/>
          <w:i/>
          <w:iCs/>
          <w:color w:val="auto"/>
          <w:sz w:val="16"/>
          <w:szCs w:val="16"/>
          <w:lang w:eastAsia="es-ES_tradnl"/>
        </w:rPr>
        <w:t xml:space="preserve"> Latina, 2018 </w:t>
      </w:r>
      <w:r w:rsidR="00C26F6B">
        <w:rPr>
          <w:rFonts w:ascii="Verdana" w:hAnsi="Verdana"/>
          <w:color w:val="auto"/>
          <w:sz w:val="16"/>
          <w:szCs w:val="16"/>
          <w:lang w:eastAsia="es-ES_tradnl"/>
        </w:rPr>
        <w:t>LC/PUB.2019/3-P, Santiago, 2019, p. 14.</w:t>
      </w:r>
      <w:r w:rsidRPr="00EA0610">
        <w:rPr>
          <w:rFonts w:ascii="Verdana" w:hAnsi="Verdana"/>
          <w:color w:val="auto"/>
          <w:sz w:val="16"/>
          <w:szCs w:val="16"/>
          <w:lang w:eastAsia="es-ES_tradnl"/>
        </w:rPr>
        <w:t xml:space="preserve"> </w:t>
      </w:r>
    </w:p>
    <w:p w:rsidR="002005C7" w:rsidRPr="00EA0610" w:rsidRDefault="002005C7" w:rsidP="00EA0610">
      <w:pPr>
        <w:pStyle w:val="Textonotapie"/>
        <w:spacing w:after="120"/>
        <w:jc w:val="both"/>
        <w:rPr>
          <w:rFonts w:ascii="Verdana" w:hAnsi="Verdana"/>
          <w:sz w:val="16"/>
          <w:szCs w:val="16"/>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1B0"/>
    <w:multiLevelType w:val="hybridMultilevel"/>
    <w:tmpl w:val="679AE4E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E17B53"/>
    <w:multiLevelType w:val="hybridMultilevel"/>
    <w:tmpl w:val="25489D30"/>
    <w:lvl w:ilvl="0" w:tplc="D06656DE">
      <w:start w:val="1"/>
      <w:numFmt w:val="decimal"/>
      <w:lvlText w:val="%1."/>
      <w:lvlJc w:val="left"/>
      <w:pPr>
        <w:ind w:left="720" w:hanging="360"/>
      </w:pPr>
      <w:rPr>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CA1D97"/>
    <w:multiLevelType w:val="hybridMultilevel"/>
    <w:tmpl w:val="AB2C69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2A625C"/>
    <w:multiLevelType w:val="hybridMultilevel"/>
    <w:tmpl w:val="53CC4FFA"/>
    <w:lvl w:ilvl="0" w:tplc="984AC154">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2F12496"/>
    <w:multiLevelType w:val="hybridMultilevel"/>
    <w:tmpl w:val="53984540"/>
    <w:lvl w:ilvl="0" w:tplc="7C72B86C">
      <w:start w:val="1"/>
      <w:numFmt w:val="lowerLetter"/>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CBA1D04"/>
    <w:multiLevelType w:val="hybridMultilevel"/>
    <w:tmpl w:val="A2B2F2E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4A833A20"/>
    <w:multiLevelType w:val="hybridMultilevel"/>
    <w:tmpl w:val="552863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DC94DA0"/>
    <w:multiLevelType w:val="hybridMultilevel"/>
    <w:tmpl w:val="E066369E"/>
    <w:lvl w:ilvl="0" w:tplc="9F6C78B6">
      <w:start w:val="1"/>
      <w:numFmt w:val="decimal"/>
      <w:lvlText w:val="%1."/>
      <w:lvlJc w:val="left"/>
      <w:pPr>
        <w:ind w:left="4052" w:hanging="360"/>
      </w:pPr>
      <w:rPr>
        <w:rFonts w:ascii="Verdana" w:hAnsi="Verdana" w:hint="default"/>
        <w:b w:val="0"/>
        <w:i w:val="0"/>
      </w:rPr>
    </w:lvl>
    <w:lvl w:ilvl="1" w:tplc="0C0A0019">
      <w:start w:val="1"/>
      <w:numFmt w:val="lowerLetter"/>
      <w:lvlText w:val="%2."/>
      <w:lvlJc w:val="left"/>
      <w:pPr>
        <w:ind w:left="5132" w:hanging="360"/>
      </w:pPr>
    </w:lvl>
    <w:lvl w:ilvl="2" w:tplc="0C0A001B" w:tentative="1">
      <w:start w:val="1"/>
      <w:numFmt w:val="lowerRoman"/>
      <w:lvlText w:val="%3."/>
      <w:lvlJc w:val="right"/>
      <w:pPr>
        <w:ind w:left="5852" w:hanging="180"/>
      </w:pPr>
    </w:lvl>
    <w:lvl w:ilvl="3" w:tplc="0C0A000F" w:tentative="1">
      <w:start w:val="1"/>
      <w:numFmt w:val="decimal"/>
      <w:lvlText w:val="%4."/>
      <w:lvlJc w:val="left"/>
      <w:pPr>
        <w:ind w:left="6572" w:hanging="360"/>
      </w:pPr>
    </w:lvl>
    <w:lvl w:ilvl="4" w:tplc="0C0A0019" w:tentative="1">
      <w:start w:val="1"/>
      <w:numFmt w:val="lowerLetter"/>
      <w:lvlText w:val="%5."/>
      <w:lvlJc w:val="left"/>
      <w:pPr>
        <w:ind w:left="7292" w:hanging="360"/>
      </w:pPr>
    </w:lvl>
    <w:lvl w:ilvl="5" w:tplc="0C0A001B" w:tentative="1">
      <w:start w:val="1"/>
      <w:numFmt w:val="lowerRoman"/>
      <w:lvlText w:val="%6."/>
      <w:lvlJc w:val="right"/>
      <w:pPr>
        <w:ind w:left="8012" w:hanging="180"/>
      </w:pPr>
    </w:lvl>
    <w:lvl w:ilvl="6" w:tplc="0C0A000F" w:tentative="1">
      <w:start w:val="1"/>
      <w:numFmt w:val="decimal"/>
      <w:lvlText w:val="%7."/>
      <w:lvlJc w:val="left"/>
      <w:pPr>
        <w:ind w:left="8732" w:hanging="360"/>
      </w:pPr>
    </w:lvl>
    <w:lvl w:ilvl="7" w:tplc="0C0A0019" w:tentative="1">
      <w:start w:val="1"/>
      <w:numFmt w:val="lowerLetter"/>
      <w:lvlText w:val="%8."/>
      <w:lvlJc w:val="left"/>
      <w:pPr>
        <w:ind w:left="9452" w:hanging="360"/>
      </w:pPr>
    </w:lvl>
    <w:lvl w:ilvl="8" w:tplc="0C0A001B" w:tentative="1">
      <w:start w:val="1"/>
      <w:numFmt w:val="lowerRoman"/>
      <w:lvlText w:val="%9."/>
      <w:lvlJc w:val="right"/>
      <w:pPr>
        <w:ind w:left="10172" w:hanging="180"/>
      </w:pPr>
    </w:lvl>
  </w:abstractNum>
  <w:abstractNum w:abstractNumId="8" w15:restartNumberingAfterBreak="0">
    <w:nsid w:val="4FAB2279"/>
    <w:multiLevelType w:val="hybridMultilevel"/>
    <w:tmpl w:val="0A92D1F2"/>
    <w:lvl w:ilvl="0" w:tplc="C2C0C0D4">
      <w:start w:val="1"/>
      <w:numFmt w:val="lowerRoman"/>
      <w:lvlText w:val="%1)"/>
      <w:lvlJc w:val="left"/>
      <w:pPr>
        <w:ind w:left="72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5AE55027"/>
    <w:multiLevelType w:val="hybridMultilevel"/>
    <w:tmpl w:val="9DE62456"/>
    <w:lvl w:ilvl="0" w:tplc="140A0017">
      <w:start w:val="1"/>
      <w:numFmt w:val="lowerLetter"/>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6C5E2D29"/>
    <w:multiLevelType w:val="hybridMultilevel"/>
    <w:tmpl w:val="29E6D96A"/>
    <w:lvl w:ilvl="0" w:tplc="040A0017">
      <w:start w:val="4"/>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EAE6131"/>
    <w:multiLevelType w:val="hybridMultilevel"/>
    <w:tmpl w:val="B78880C0"/>
    <w:lvl w:ilvl="0" w:tplc="1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753E263C"/>
    <w:multiLevelType w:val="hybridMultilevel"/>
    <w:tmpl w:val="6C52E3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5E35F6C"/>
    <w:multiLevelType w:val="hybridMultilevel"/>
    <w:tmpl w:val="B94C2CFE"/>
    <w:lvl w:ilvl="0" w:tplc="97840986">
      <w:start w:val="28"/>
      <w:numFmt w:val="decimal"/>
      <w:lvlText w:val="%1."/>
      <w:lvlJc w:val="left"/>
      <w:pPr>
        <w:ind w:left="927" w:hanging="360"/>
      </w:pPr>
      <w:rPr>
        <w:rFonts w:eastAsiaTheme="minorHAnsi"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4" w15:restartNumberingAfterBreak="0">
    <w:nsid w:val="79354707"/>
    <w:multiLevelType w:val="hybridMultilevel"/>
    <w:tmpl w:val="B90EDDB8"/>
    <w:lvl w:ilvl="0" w:tplc="985C757E">
      <w:start w:val="1"/>
      <w:numFmt w:val="decimal"/>
      <w:lvlText w:val="%1."/>
      <w:lvlJc w:val="left"/>
      <w:pPr>
        <w:ind w:left="1109" w:hanging="825"/>
      </w:pPr>
      <w:rPr>
        <w:rFonts w:ascii="Verdana" w:eastAsia="Verdana" w:hAnsi="Verdana" w:cs="Verdana" w:hint="default"/>
        <w:b w:val="0"/>
        <w:i w:val="0"/>
        <w:color w:val="auto"/>
        <w:sz w:val="20"/>
        <w:szCs w:val="20"/>
        <w:lang w:val="es-ES"/>
      </w:rPr>
    </w:lvl>
    <w:lvl w:ilvl="1" w:tplc="140A0019">
      <w:start w:val="1"/>
      <w:numFmt w:val="lowerLetter"/>
      <w:lvlText w:val="%2."/>
      <w:lvlJc w:val="left"/>
      <w:pPr>
        <w:ind w:left="1724" w:hanging="360"/>
      </w:pPr>
    </w:lvl>
    <w:lvl w:ilvl="2" w:tplc="140A001B">
      <w:start w:val="1"/>
      <w:numFmt w:val="lowerRoman"/>
      <w:lvlText w:val="%3."/>
      <w:lvlJc w:val="right"/>
      <w:pPr>
        <w:ind w:left="2444" w:hanging="180"/>
      </w:pPr>
    </w:lvl>
    <w:lvl w:ilvl="3" w:tplc="140A000F">
      <w:start w:val="1"/>
      <w:numFmt w:val="decimal"/>
      <w:lvlText w:val="%4."/>
      <w:lvlJc w:val="left"/>
      <w:pPr>
        <w:ind w:left="3164" w:hanging="360"/>
      </w:pPr>
    </w:lvl>
    <w:lvl w:ilvl="4" w:tplc="140A0019">
      <w:start w:val="1"/>
      <w:numFmt w:val="lowerLetter"/>
      <w:lvlText w:val="%5."/>
      <w:lvlJc w:val="left"/>
      <w:pPr>
        <w:ind w:left="3884" w:hanging="360"/>
      </w:pPr>
    </w:lvl>
    <w:lvl w:ilvl="5" w:tplc="140A001B">
      <w:start w:val="1"/>
      <w:numFmt w:val="lowerRoman"/>
      <w:lvlText w:val="%6."/>
      <w:lvlJc w:val="right"/>
      <w:pPr>
        <w:ind w:left="4604" w:hanging="180"/>
      </w:pPr>
    </w:lvl>
    <w:lvl w:ilvl="6" w:tplc="140A000F">
      <w:start w:val="1"/>
      <w:numFmt w:val="decimal"/>
      <w:lvlText w:val="%7."/>
      <w:lvlJc w:val="left"/>
      <w:pPr>
        <w:ind w:left="5324" w:hanging="360"/>
      </w:pPr>
    </w:lvl>
    <w:lvl w:ilvl="7" w:tplc="140A0019">
      <w:start w:val="1"/>
      <w:numFmt w:val="lowerLetter"/>
      <w:lvlText w:val="%8."/>
      <w:lvlJc w:val="left"/>
      <w:pPr>
        <w:ind w:left="6044" w:hanging="360"/>
      </w:pPr>
    </w:lvl>
    <w:lvl w:ilvl="8" w:tplc="140A001B">
      <w:start w:val="1"/>
      <w:numFmt w:val="lowerRoman"/>
      <w:lvlText w:val="%9."/>
      <w:lvlJc w:val="right"/>
      <w:pPr>
        <w:ind w:left="6764" w:hanging="180"/>
      </w:pPr>
    </w:lvl>
  </w:abstractNum>
  <w:num w:numId="1">
    <w:abstractNumId w:val="4"/>
  </w:num>
  <w:num w:numId="2">
    <w:abstractNumId w:val="3"/>
  </w:num>
  <w:num w:numId="3">
    <w:abstractNumId w:val="2"/>
  </w:num>
  <w:num w:numId="4">
    <w:abstractNumId w:val="1"/>
  </w:num>
  <w:num w:numId="5">
    <w:abstractNumId w:val="6"/>
  </w:num>
  <w:num w:numId="6">
    <w:abstractNumId w:val="11"/>
  </w:num>
  <w:num w:numId="7">
    <w:abstractNumId w:val="0"/>
  </w:num>
  <w:num w:numId="8">
    <w:abstractNumId w:val="5"/>
  </w:num>
  <w:num w:numId="9">
    <w:abstractNumId w:val="12"/>
  </w:num>
  <w:num w:numId="10">
    <w:abstractNumId w:val="14"/>
  </w:num>
  <w:num w:numId="11">
    <w:abstractNumId w:val="9"/>
  </w:num>
  <w:num w:numId="12">
    <w:abstractNumId w:val="8"/>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C1"/>
    <w:rsid w:val="00016CEB"/>
    <w:rsid w:val="000247B5"/>
    <w:rsid w:val="00031E60"/>
    <w:rsid w:val="00035896"/>
    <w:rsid w:val="000447B4"/>
    <w:rsid w:val="00053444"/>
    <w:rsid w:val="000600F1"/>
    <w:rsid w:val="00062CE9"/>
    <w:rsid w:val="00071231"/>
    <w:rsid w:val="00076325"/>
    <w:rsid w:val="000B782E"/>
    <w:rsid w:val="000D5795"/>
    <w:rsid w:val="000E4716"/>
    <w:rsid w:val="0011658B"/>
    <w:rsid w:val="00125265"/>
    <w:rsid w:val="00133DE9"/>
    <w:rsid w:val="00135484"/>
    <w:rsid w:val="0014382C"/>
    <w:rsid w:val="001505DE"/>
    <w:rsid w:val="00154021"/>
    <w:rsid w:val="00156126"/>
    <w:rsid w:val="00160BDE"/>
    <w:rsid w:val="00162B36"/>
    <w:rsid w:val="00171B6C"/>
    <w:rsid w:val="00186911"/>
    <w:rsid w:val="00196C33"/>
    <w:rsid w:val="001A08D2"/>
    <w:rsid w:val="001A129E"/>
    <w:rsid w:val="001B1C5F"/>
    <w:rsid w:val="001B6481"/>
    <w:rsid w:val="001B6BF1"/>
    <w:rsid w:val="001C2F15"/>
    <w:rsid w:val="001C7CD8"/>
    <w:rsid w:val="001E240E"/>
    <w:rsid w:val="001E66F6"/>
    <w:rsid w:val="001F79C5"/>
    <w:rsid w:val="002005C7"/>
    <w:rsid w:val="00212A0F"/>
    <w:rsid w:val="0021407E"/>
    <w:rsid w:val="0022737F"/>
    <w:rsid w:val="00236696"/>
    <w:rsid w:val="002420D3"/>
    <w:rsid w:val="002453F1"/>
    <w:rsid w:val="00261B73"/>
    <w:rsid w:val="00263A57"/>
    <w:rsid w:val="00263B13"/>
    <w:rsid w:val="00266398"/>
    <w:rsid w:val="002706F2"/>
    <w:rsid w:val="00282163"/>
    <w:rsid w:val="002866DF"/>
    <w:rsid w:val="00296227"/>
    <w:rsid w:val="002A75FB"/>
    <w:rsid w:val="002B0CE0"/>
    <w:rsid w:val="002B54EB"/>
    <w:rsid w:val="002D3C52"/>
    <w:rsid w:val="002D4CE9"/>
    <w:rsid w:val="002E0656"/>
    <w:rsid w:val="00302439"/>
    <w:rsid w:val="00307B39"/>
    <w:rsid w:val="0031331B"/>
    <w:rsid w:val="00315DE9"/>
    <w:rsid w:val="003251D8"/>
    <w:rsid w:val="00325B5E"/>
    <w:rsid w:val="00340B84"/>
    <w:rsid w:val="0034314C"/>
    <w:rsid w:val="00343CDC"/>
    <w:rsid w:val="00346F6B"/>
    <w:rsid w:val="00355084"/>
    <w:rsid w:val="00366698"/>
    <w:rsid w:val="00391ACB"/>
    <w:rsid w:val="00392AF6"/>
    <w:rsid w:val="003A15E5"/>
    <w:rsid w:val="003A39D9"/>
    <w:rsid w:val="003B3E1F"/>
    <w:rsid w:val="003C297E"/>
    <w:rsid w:val="003D56A1"/>
    <w:rsid w:val="003E5F08"/>
    <w:rsid w:val="003E611A"/>
    <w:rsid w:val="003F103A"/>
    <w:rsid w:val="003F4C57"/>
    <w:rsid w:val="004118ED"/>
    <w:rsid w:val="00423D0B"/>
    <w:rsid w:val="00425006"/>
    <w:rsid w:val="00426080"/>
    <w:rsid w:val="00426810"/>
    <w:rsid w:val="00430535"/>
    <w:rsid w:val="0043561C"/>
    <w:rsid w:val="0044379D"/>
    <w:rsid w:val="004716F7"/>
    <w:rsid w:val="00484B3D"/>
    <w:rsid w:val="0049629D"/>
    <w:rsid w:val="004974E9"/>
    <w:rsid w:val="004A2756"/>
    <w:rsid w:val="004B5B86"/>
    <w:rsid w:val="004D4627"/>
    <w:rsid w:val="004D6765"/>
    <w:rsid w:val="004E066A"/>
    <w:rsid w:val="004E38D3"/>
    <w:rsid w:val="004E7E49"/>
    <w:rsid w:val="00511E10"/>
    <w:rsid w:val="0051420C"/>
    <w:rsid w:val="00521E35"/>
    <w:rsid w:val="005410D2"/>
    <w:rsid w:val="005571C1"/>
    <w:rsid w:val="00561409"/>
    <w:rsid w:val="0056743C"/>
    <w:rsid w:val="00571D94"/>
    <w:rsid w:val="00572749"/>
    <w:rsid w:val="0057467B"/>
    <w:rsid w:val="0058217F"/>
    <w:rsid w:val="00591570"/>
    <w:rsid w:val="00592EBB"/>
    <w:rsid w:val="005A6C93"/>
    <w:rsid w:val="005B7707"/>
    <w:rsid w:val="005C0A47"/>
    <w:rsid w:val="005C2908"/>
    <w:rsid w:val="005C6850"/>
    <w:rsid w:val="005F5C5F"/>
    <w:rsid w:val="005F6956"/>
    <w:rsid w:val="005F76D4"/>
    <w:rsid w:val="006063D8"/>
    <w:rsid w:val="006157B6"/>
    <w:rsid w:val="00617699"/>
    <w:rsid w:val="0062221C"/>
    <w:rsid w:val="0063559D"/>
    <w:rsid w:val="00650596"/>
    <w:rsid w:val="00675F75"/>
    <w:rsid w:val="00686F62"/>
    <w:rsid w:val="00693ED9"/>
    <w:rsid w:val="00697CD3"/>
    <w:rsid w:val="006A72B7"/>
    <w:rsid w:val="006B2226"/>
    <w:rsid w:val="006B2D70"/>
    <w:rsid w:val="006D39DE"/>
    <w:rsid w:val="006D4EBC"/>
    <w:rsid w:val="006E11E1"/>
    <w:rsid w:val="006E5CB9"/>
    <w:rsid w:val="007104DE"/>
    <w:rsid w:val="0071298C"/>
    <w:rsid w:val="0072650D"/>
    <w:rsid w:val="00741416"/>
    <w:rsid w:val="00761FF3"/>
    <w:rsid w:val="007626E3"/>
    <w:rsid w:val="0076647A"/>
    <w:rsid w:val="00773F52"/>
    <w:rsid w:val="00775998"/>
    <w:rsid w:val="007861E6"/>
    <w:rsid w:val="00790151"/>
    <w:rsid w:val="00790A92"/>
    <w:rsid w:val="00790F91"/>
    <w:rsid w:val="00792F5C"/>
    <w:rsid w:val="007A3C34"/>
    <w:rsid w:val="007A5FE0"/>
    <w:rsid w:val="007C273F"/>
    <w:rsid w:val="007C567F"/>
    <w:rsid w:val="007C6E92"/>
    <w:rsid w:val="007C7830"/>
    <w:rsid w:val="007E4EDC"/>
    <w:rsid w:val="007F2038"/>
    <w:rsid w:val="007F6F5F"/>
    <w:rsid w:val="007F7619"/>
    <w:rsid w:val="00817B2A"/>
    <w:rsid w:val="00824155"/>
    <w:rsid w:val="00830D12"/>
    <w:rsid w:val="00831A34"/>
    <w:rsid w:val="008440B7"/>
    <w:rsid w:val="00863B6B"/>
    <w:rsid w:val="0087789C"/>
    <w:rsid w:val="008A6511"/>
    <w:rsid w:val="008B0983"/>
    <w:rsid w:val="008B1EDE"/>
    <w:rsid w:val="008C36A6"/>
    <w:rsid w:val="008F1066"/>
    <w:rsid w:val="008F73BE"/>
    <w:rsid w:val="00903E05"/>
    <w:rsid w:val="0090460C"/>
    <w:rsid w:val="009245BB"/>
    <w:rsid w:val="00925A8D"/>
    <w:rsid w:val="00942B4F"/>
    <w:rsid w:val="009569B6"/>
    <w:rsid w:val="00962E32"/>
    <w:rsid w:val="009639FF"/>
    <w:rsid w:val="0096732F"/>
    <w:rsid w:val="009769EC"/>
    <w:rsid w:val="009825BF"/>
    <w:rsid w:val="009835D5"/>
    <w:rsid w:val="00993E36"/>
    <w:rsid w:val="00994A90"/>
    <w:rsid w:val="009A1F65"/>
    <w:rsid w:val="009A4D31"/>
    <w:rsid w:val="009B14B1"/>
    <w:rsid w:val="009B57B2"/>
    <w:rsid w:val="009C0034"/>
    <w:rsid w:val="009C7D37"/>
    <w:rsid w:val="009D10F8"/>
    <w:rsid w:val="009D2E04"/>
    <w:rsid w:val="009D684E"/>
    <w:rsid w:val="009E16B8"/>
    <w:rsid w:val="009E3688"/>
    <w:rsid w:val="009E3C13"/>
    <w:rsid w:val="009F1B29"/>
    <w:rsid w:val="009F3999"/>
    <w:rsid w:val="00A01705"/>
    <w:rsid w:val="00A03F58"/>
    <w:rsid w:val="00A15755"/>
    <w:rsid w:val="00A22EF0"/>
    <w:rsid w:val="00A25C7B"/>
    <w:rsid w:val="00A32BBE"/>
    <w:rsid w:val="00A409D8"/>
    <w:rsid w:val="00A43DA9"/>
    <w:rsid w:val="00A467DD"/>
    <w:rsid w:val="00A501BB"/>
    <w:rsid w:val="00A57037"/>
    <w:rsid w:val="00A610E7"/>
    <w:rsid w:val="00A70571"/>
    <w:rsid w:val="00A77FAA"/>
    <w:rsid w:val="00A96714"/>
    <w:rsid w:val="00AB26FC"/>
    <w:rsid w:val="00AE1DBE"/>
    <w:rsid w:val="00AF60C5"/>
    <w:rsid w:val="00B05C5A"/>
    <w:rsid w:val="00B14927"/>
    <w:rsid w:val="00B24CD7"/>
    <w:rsid w:val="00B31264"/>
    <w:rsid w:val="00B45114"/>
    <w:rsid w:val="00B51C6A"/>
    <w:rsid w:val="00B53928"/>
    <w:rsid w:val="00B53BC3"/>
    <w:rsid w:val="00B61DA8"/>
    <w:rsid w:val="00B623CB"/>
    <w:rsid w:val="00B74770"/>
    <w:rsid w:val="00BA0AAF"/>
    <w:rsid w:val="00BA0FF7"/>
    <w:rsid w:val="00BA15F3"/>
    <w:rsid w:val="00BA255D"/>
    <w:rsid w:val="00BA4CAC"/>
    <w:rsid w:val="00BB5353"/>
    <w:rsid w:val="00BB66F9"/>
    <w:rsid w:val="00BB6C2A"/>
    <w:rsid w:val="00BD0B8C"/>
    <w:rsid w:val="00BD4177"/>
    <w:rsid w:val="00BE5A53"/>
    <w:rsid w:val="00C15D88"/>
    <w:rsid w:val="00C23871"/>
    <w:rsid w:val="00C26F6B"/>
    <w:rsid w:val="00C3119B"/>
    <w:rsid w:val="00C53A09"/>
    <w:rsid w:val="00C63403"/>
    <w:rsid w:val="00C63D71"/>
    <w:rsid w:val="00C65127"/>
    <w:rsid w:val="00C66CBD"/>
    <w:rsid w:val="00C75B33"/>
    <w:rsid w:val="00C82E1B"/>
    <w:rsid w:val="00C85629"/>
    <w:rsid w:val="00C91764"/>
    <w:rsid w:val="00C92E29"/>
    <w:rsid w:val="00CA09C1"/>
    <w:rsid w:val="00CB1104"/>
    <w:rsid w:val="00CC01D7"/>
    <w:rsid w:val="00CC552D"/>
    <w:rsid w:val="00CC60DB"/>
    <w:rsid w:val="00CD3D86"/>
    <w:rsid w:val="00CD7E8D"/>
    <w:rsid w:val="00CE4489"/>
    <w:rsid w:val="00CE6958"/>
    <w:rsid w:val="00CE7493"/>
    <w:rsid w:val="00CE796F"/>
    <w:rsid w:val="00CF0891"/>
    <w:rsid w:val="00D02375"/>
    <w:rsid w:val="00D0700E"/>
    <w:rsid w:val="00D13A92"/>
    <w:rsid w:val="00D14204"/>
    <w:rsid w:val="00D15F84"/>
    <w:rsid w:val="00D20162"/>
    <w:rsid w:val="00D2143B"/>
    <w:rsid w:val="00D22AAF"/>
    <w:rsid w:val="00D2611F"/>
    <w:rsid w:val="00D3558C"/>
    <w:rsid w:val="00D503C7"/>
    <w:rsid w:val="00D60CED"/>
    <w:rsid w:val="00D738AA"/>
    <w:rsid w:val="00D96838"/>
    <w:rsid w:val="00DA2B42"/>
    <w:rsid w:val="00DB2F32"/>
    <w:rsid w:val="00DB5049"/>
    <w:rsid w:val="00DD0333"/>
    <w:rsid w:val="00DD2476"/>
    <w:rsid w:val="00DD2F96"/>
    <w:rsid w:val="00DE792F"/>
    <w:rsid w:val="00DE7D46"/>
    <w:rsid w:val="00DF5594"/>
    <w:rsid w:val="00E06456"/>
    <w:rsid w:val="00E06B31"/>
    <w:rsid w:val="00E07B97"/>
    <w:rsid w:val="00E156B7"/>
    <w:rsid w:val="00E5451A"/>
    <w:rsid w:val="00E5514D"/>
    <w:rsid w:val="00E604CD"/>
    <w:rsid w:val="00E715C1"/>
    <w:rsid w:val="00E72FC0"/>
    <w:rsid w:val="00E75B35"/>
    <w:rsid w:val="00E763A0"/>
    <w:rsid w:val="00E86BFA"/>
    <w:rsid w:val="00E90A8D"/>
    <w:rsid w:val="00E94B46"/>
    <w:rsid w:val="00EA0610"/>
    <w:rsid w:val="00EA2F3A"/>
    <w:rsid w:val="00EA6CCA"/>
    <w:rsid w:val="00ED25A7"/>
    <w:rsid w:val="00EE247C"/>
    <w:rsid w:val="00EF53D8"/>
    <w:rsid w:val="00F12E86"/>
    <w:rsid w:val="00F14042"/>
    <w:rsid w:val="00F14906"/>
    <w:rsid w:val="00F309DB"/>
    <w:rsid w:val="00F36FA6"/>
    <w:rsid w:val="00F43873"/>
    <w:rsid w:val="00F47861"/>
    <w:rsid w:val="00F628C7"/>
    <w:rsid w:val="00F71626"/>
    <w:rsid w:val="00F961DF"/>
    <w:rsid w:val="00FA13BB"/>
    <w:rsid w:val="00FA716A"/>
    <w:rsid w:val="00FB32F0"/>
    <w:rsid w:val="00FB75CE"/>
    <w:rsid w:val="00FC6342"/>
    <w:rsid w:val="00FE5B19"/>
    <w:rsid w:val="00FE7713"/>
    <w:rsid w:val="00FF50B5"/>
    <w:rsid w:val="00FF7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C0739-A410-437B-B5BF-964B13F8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11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2,Párrafo de lista1,List Paragraph1,Colorful List - Accent 11,Lista vistosa - Énfasis 11,Subtle Emphasis1,Footnote1"/>
    <w:basedOn w:val="Normal"/>
    <w:link w:val="PrrafodelistaCar"/>
    <w:qFormat/>
    <w:rsid w:val="00E715C1"/>
    <w:pPr>
      <w:ind w:left="720"/>
      <w:contextualSpacing/>
    </w:pPr>
  </w:style>
  <w:style w:type="character" w:customStyle="1" w:styleId="Ttulo1Car">
    <w:name w:val="Título 1 Car"/>
    <w:basedOn w:val="Fuentedeprrafopredeter"/>
    <w:link w:val="Ttulo1"/>
    <w:uiPriority w:val="9"/>
    <w:rsid w:val="00C3119B"/>
    <w:rPr>
      <w:rFonts w:asciiTheme="majorHAnsi" w:eastAsiaTheme="majorEastAsia" w:hAnsiTheme="majorHAnsi" w:cstheme="majorBidi"/>
      <w:b/>
      <w:bCs/>
      <w:color w:val="2F5496" w:themeColor="accent1" w:themeShade="BF"/>
      <w:sz w:val="28"/>
      <w:szCs w:val="28"/>
    </w:rPr>
  </w:style>
  <w:style w:type="paragraph" w:styleId="Textonotapie">
    <w:name w:val="footnote text"/>
    <w:aliases w:val="Footnote Text Char Char Char Char Char,Footnote Text Char Char Char Char,footnote text,Footnote reference,FA Fu,Footnote Text Char Char Char,Footnote Text Cha,FA Fußnotentext,FA Fuﬂnotentext,Footnote Text Char Char,Ca,C,FA Fu?notente,ft,5"/>
    <w:basedOn w:val="Normal"/>
    <w:link w:val="TextonotapieCar"/>
    <w:unhideWhenUsed/>
    <w:qFormat/>
    <w:rsid w:val="00C66CBD"/>
    <w:rPr>
      <w:rFonts w:eastAsiaTheme="minorEastAsia"/>
      <w:lang w:val="es-ES_tradnl" w:eastAsia="es-ES"/>
    </w:rPr>
  </w:style>
  <w:style w:type="character" w:customStyle="1" w:styleId="TextonotapieCar">
    <w:name w:val="Texto nota pie Car"/>
    <w:aliases w:val="Footnote Text Char Char Char Char Char Car,Footnote Text Char Char Char Char Car,footnote text Car,Footnote reference Car,FA Fu Car,Footnote Text Char Char Char Car,Footnote Text Cha Car,FA Fußnotentext Car,FA Fuﬂnotentext Car,Ca Car"/>
    <w:basedOn w:val="Fuentedeprrafopredeter"/>
    <w:link w:val="Textonotapie"/>
    <w:qFormat/>
    <w:rsid w:val="00C66CBD"/>
    <w:rPr>
      <w:rFonts w:eastAsiaTheme="minorEastAsia"/>
      <w:lang w:val="es-ES_tradnl" w:eastAsia="es-ES"/>
    </w:rPr>
  </w:style>
  <w:style w:type="character" w:styleId="Refdenotaalpie">
    <w:name w:val="footnote reference"/>
    <w:aliases w:val="Footnotes refss,Texto de nota al pie,Appel note de bas de page,Footnote number,referencia nota al pie,BVI fnr,f,Ref. de nota al pie.,4_G,16 Point,Superscript 6 Point,Footnote symbol,Footnote,Texto nota al pie,Footnote Reference Char3"/>
    <w:basedOn w:val="Fuentedeprrafopredeter"/>
    <w:link w:val="4GChar"/>
    <w:unhideWhenUsed/>
    <w:qFormat/>
    <w:rsid w:val="00C66CB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C66CBD"/>
    <w:pPr>
      <w:jc w:val="both"/>
    </w:pPr>
    <w:rPr>
      <w:vertAlign w:val="superscript"/>
    </w:rPr>
  </w:style>
  <w:style w:type="character" w:customStyle="1" w:styleId="PrrafodelistaCar">
    <w:name w:val="Párrafo de lista Car"/>
    <w:aliases w:val="List Paragraph2 Car,Párrafo de lista1 Car,List Paragraph1 Car,Colorful List - Accent 11 Car,Lista vistosa - Énfasis 11 Car,Subtle Emphasis1 Car,Footnote1 Car"/>
    <w:link w:val="Prrafodelista"/>
    <w:locked/>
    <w:rsid w:val="00C66CBD"/>
  </w:style>
  <w:style w:type="character" w:styleId="Textoennegrita">
    <w:name w:val="Strong"/>
    <w:aliases w:val="Heading 2.1"/>
    <w:uiPriority w:val="22"/>
    <w:qFormat/>
    <w:rsid w:val="00C66CBD"/>
    <w:rPr>
      <w:b/>
      <w:bCs/>
    </w:rPr>
  </w:style>
  <w:style w:type="character" w:customStyle="1" w:styleId="A2">
    <w:name w:val="A2"/>
    <w:uiPriority w:val="99"/>
    <w:rsid w:val="00212A0F"/>
    <w:rPr>
      <w:rFonts w:ascii="Times" w:hAnsi="Times" w:cs="Times" w:hint="default"/>
      <w:color w:val="000000"/>
      <w:sz w:val="17"/>
      <w:szCs w:val="17"/>
    </w:rPr>
  </w:style>
  <w:style w:type="paragraph" w:styleId="NormalWeb">
    <w:name w:val="Normal (Web)"/>
    <w:aliases w:val="Normal (Web) Char1,Normal (Web) Char Char,Normal (Web) Char1 Char,Normal (Web) Char Char Char"/>
    <w:basedOn w:val="Normal"/>
    <w:uiPriority w:val="99"/>
    <w:unhideWhenUsed/>
    <w:rsid w:val="000D5795"/>
    <w:pPr>
      <w:spacing w:before="100" w:beforeAutospacing="1" w:after="100" w:afterAutospacing="1"/>
    </w:pPr>
    <w:rPr>
      <w:rFonts w:ascii="Times New Roman" w:eastAsia="Times New Roman" w:hAnsi="Times New Roman" w:cs="Times New Roman"/>
      <w:color w:val="000000"/>
      <w:lang w:eastAsia="es-MX"/>
    </w:rPr>
  </w:style>
  <w:style w:type="character" w:customStyle="1" w:styleId="apple-converted-space">
    <w:name w:val="apple-converted-space"/>
    <w:basedOn w:val="Fuentedeprrafopredeter"/>
    <w:rsid w:val="001505DE"/>
  </w:style>
  <w:style w:type="paragraph" w:styleId="Textodeglobo">
    <w:name w:val="Balloon Text"/>
    <w:basedOn w:val="Normal"/>
    <w:link w:val="TextodegloboCar"/>
    <w:uiPriority w:val="99"/>
    <w:semiHidden/>
    <w:unhideWhenUsed/>
    <w:rsid w:val="00CC60DB"/>
    <w:rPr>
      <w:rFonts w:ascii="Tahoma" w:hAnsi="Tahoma" w:cs="Tahoma"/>
      <w:sz w:val="16"/>
      <w:szCs w:val="16"/>
    </w:rPr>
  </w:style>
  <w:style w:type="character" w:customStyle="1" w:styleId="TextodegloboCar">
    <w:name w:val="Texto de globo Car"/>
    <w:basedOn w:val="Fuentedeprrafopredeter"/>
    <w:link w:val="Textodeglobo"/>
    <w:uiPriority w:val="99"/>
    <w:semiHidden/>
    <w:rsid w:val="00CC60DB"/>
    <w:rPr>
      <w:rFonts w:ascii="Tahoma" w:hAnsi="Tahoma" w:cs="Tahoma"/>
      <w:sz w:val="16"/>
      <w:szCs w:val="16"/>
    </w:rPr>
  </w:style>
  <w:style w:type="paragraph" w:customStyle="1" w:styleId="style1">
    <w:name w:val="style1"/>
    <w:basedOn w:val="Normal"/>
    <w:rsid w:val="00E5451A"/>
    <w:pPr>
      <w:spacing w:before="100" w:beforeAutospacing="1" w:after="100" w:afterAutospacing="1"/>
    </w:pPr>
    <w:rPr>
      <w:rFonts w:ascii="Times New Roman" w:eastAsia="Times New Roman" w:hAnsi="Times New Roman" w:cs="Times New Roman"/>
      <w:lang w:val="en-US"/>
    </w:rPr>
  </w:style>
  <w:style w:type="paragraph" w:styleId="Piedepgina">
    <w:name w:val="footer"/>
    <w:basedOn w:val="Normal"/>
    <w:link w:val="PiedepginaCar"/>
    <w:uiPriority w:val="99"/>
    <w:unhideWhenUsed/>
    <w:rsid w:val="00296227"/>
    <w:pPr>
      <w:tabs>
        <w:tab w:val="center" w:pos="4419"/>
        <w:tab w:val="right" w:pos="8838"/>
      </w:tabs>
    </w:pPr>
  </w:style>
  <w:style w:type="character" w:customStyle="1" w:styleId="PiedepginaCar">
    <w:name w:val="Pie de página Car"/>
    <w:basedOn w:val="Fuentedeprrafopredeter"/>
    <w:link w:val="Piedepgina"/>
    <w:uiPriority w:val="99"/>
    <w:rsid w:val="00296227"/>
  </w:style>
  <w:style w:type="character" w:styleId="Nmerodepgina">
    <w:name w:val="page number"/>
    <w:basedOn w:val="Fuentedeprrafopredeter"/>
    <w:uiPriority w:val="99"/>
    <w:semiHidden/>
    <w:unhideWhenUsed/>
    <w:rsid w:val="00296227"/>
  </w:style>
  <w:style w:type="paragraph" w:customStyle="1" w:styleId="xmsolistparagraph">
    <w:name w:val="x_msolistparagraph"/>
    <w:basedOn w:val="Normal"/>
    <w:rsid w:val="00B61DA8"/>
    <w:pPr>
      <w:spacing w:before="100" w:beforeAutospacing="1" w:after="100" w:afterAutospacing="1"/>
    </w:pPr>
    <w:rPr>
      <w:rFonts w:ascii="Times New Roman" w:eastAsia="Times New Roman" w:hAnsi="Times New Roman" w:cs="Times New Roman"/>
      <w:lang w:eastAsia="es-MX"/>
    </w:rPr>
  </w:style>
  <w:style w:type="paragraph" w:styleId="HTMLconformatoprevio">
    <w:name w:val="HTML Preformatted"/>
    <w:basedOn w:val="Normal"/>
    <w:link w:val="HTMLconformatoprevioCar"/>
    <w:uiPriority w:val="99"/>
    <w:unhideWhenUsed/>
    <w:rsid w:val="00391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391ACB"/>
    <w:rPr>
      <w:rFonts w:ascii="Courier New" w:eastAsia="Times New Roman" w:hAnsi="Courier New" w:cs="Courier New"/>
      <w:sz w:val="20"/>
      <w:szCs w:val="20"/>
      <w:lang w:eastAsia="es-ES_tradnl"/>
    </w:rPr>
  </w:style>
  <w:style w:type="character" w:styleId="Hipervnculo">
    <w:name w:val="Hyperlink"/>
    <w:basedOn w:val="Fuentedeprrafopredeter"/>
    <w:uiPriority w:val="99"/>
    <w:semiHidden/>
    <w:unhideWhenUsed/>
    <w:rsid w:val="000447B4"/>
    <w:rPr>
      <w:color w:val="0000FF"/>
      <w:u w:val="single"/>
    </w:rPr>
  </w:style>
  <w:style w:type="character" w:styleId="Refdecomentario">
    <w:name w:val="annotation reference"/>
    <w:basedOn w:val="Fuentedeprrafopredeter"/>
    <w:uiPriority w:val="99"/>
    <w:semiHidden/>
    <w:unhideWhenUsed/>
    <w:rsid w:val="0021407E"/>
    <w:rPr>
      <w:sz w:val="16"/>
      <w:szCs w:val="16"/>
    </w:rPr>
  </w:style>
  <w:style w:type="paragraph" w:styleId="Textocomentario">
    <w:name w:val="annotation text"/>
    <w:basedOn w:val="Normal"/>
    <w:link w:val="TextocomentarioCar"/>
    <w:uiPriority w:val="99"/>
    <w:semiHidden/>
    <w:unhideWhenUsed/>
    <w:rsid w:val="0021407E"/>
    <w:rPr>
      <w:sz w:val="20"/>
      <w:szCs w:val="20"/>
    </w:rPr>
  </w:style>
  <w:style w:type="character" w:customStyle="1" w:styleId="TextocomentarioCar">
    <w:name w:val="Texto comentario Car"/>
    <w:basedOn w:val="Fuentedeprrafopredeter"/>
    <w:link w:val="Textocomentario"/>
    <w:uiPriority w:val="99"/>
    <w:semiHidden/>
    <w:rsid w:val="0021407E"/>
    <w:rPr>
      <w:sz w:val="20"/>
      <w:szCs w:val="20"/>
    </w:rPr>
  </w:style>
  <w:style w:type="paragraph" w:styleId="Asuntodelcomentario">
    <w:name w:val="annotation subject"/>
    <w:basedOn w:val="Textocomentario"/>
    <w:next w:val="Textocomentario"/>
    <w:link w:val="AsuntodelcomentarioCar"/>
    <w:uiPriority w:val="99"/>
    <w:semiHidden/>
    <w:unhideWhenUsed/>
    <w:rsid w:val="0021407E"/>
    <w:rPr>
      <w:b/>
      <w:bCs/>
    </w:rPr>
  </w:style>
  <w:style w:type="character" w:customStyle="1" w:styleId="AsuntodelcomentarioCar">
    <w:name w:val="Asunto del comentario Car"/>
    <w:basedOn w:val="TextocomentarioCar"/>
    <w:link w:val="Asuntodelcomentario"/>
    <w:uiPriority w:val="99"/>
    <w:semiHidden/>
    <w:rsid w:val="00214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09221">
      <w:bodyDiv w:val="1"/>
      <w:marLeft w:val="0"/>
      <w:marRight w:val="0"/>
      <w:marTop w:val="0"/>
      <w:marBottom w:val="0"/>
      <w:divBdr>
        <w:top w:val="none" w:sz="0" w:space="0" w:color="auto"/>
        <w:left w:val="none" w:sz="0" w:space="0" w:color="auto"/>
        <w:bottom w:val="none" w:sz="0" w:space="0" w:color="auto"/>
        <w:right w:val="none" w:sz="0" w:space="0" w:color="auto"/>
      </w:divBdr>
    </w:div>
    <w:div w:id="266544093">
      <w:bodyDiv w:val="1"/>
      <w:marLeft w:val="0"/>
      <w:marRight w:val="0"/>
      <w:marTop w:val="0"/>
      <w:marBottom w:val="0"/>
      <w:divBdr>
        <w:top w:val="none" w:sz="0" w:space="0" w:color="auto"/>
        <w:left w:val="none" w:sz="0" w:space="0" w:color="auto"/>
        <w:bottom w:val="none" w:sz="0" w:space="0" w:color="auto"/>
        <w:right w:val="none" w:sz="0" w:space="0" w:color="auto"/>
      </w:divBdr>
      <w:divsChild>
        <w:div w:id="1048577425">
          <w:marLeft w:val="0"/>
          <w:marRight w:val="0"/>
          <w:marTop w:val="0"/>
          <w:marBottom w:val="0"/>
          <w:divBdr>
            <w:top w:val="none" w:sz="0" w:space="0" w:color="auto"/>
            <w:left w:val="none" w:sz="0" w:space="0" w:color="auto"/>
            <w:bottom w:val="none" w:sz="0" w:space="0" w:color="auto"/>
            <w:right w:val="none" w:sz="0" w:space="0" w:color="auto"/>
          </w:divBdr>
          <w:divsChild>
            <w:div w:id="500701848">
              <w:marLeft w:val="0"/>
              <w:marRight w:val="0"/>
              <w:marTop w:val="0"/>
              <w:marBottom w:val="0"/>
              <w:divBdr>
                <w:top w:val="none" w:sz="0" w:space="0" w:color="auto"/>
                <w:left w:val="none" w:sz="0" w:space="0" w:color="auto"/>
                <w:bottom w:val="none" w:sz="0" w:space="0" w:color="auto"/>
                <w:right w:val="none" w:sz="0" w:space="0" w:color="auto"/>
              </w:divBdr>
              <w:divsChild>
                <w:div w:id="2001081259">
                  <w:marLeft w:val="0"/>
                  <w:marRight w:val="0"/>
                  <w:marTop w:val="0"/>
                  <w:marBottom w:val="0"/>
                  <w:divBdr>
                    <w:top w:val="none" w:sz="0" w:space="0" w:color="auto"/>
                    <w:left w:val="none" w:sz="0" w:space="0" w:color="auto"/>
                    <w:bottom w:val="none" w:sz="0" w:space="0" w:color="auto"/>
                    <w:right w:val="none" w:sz="0" w:space="0" w:color="auto"/>
                  </w:divBdr>
                  <w:divsChild>
                    <w:div w:id="1520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29693">
      <w:bodyDiv w:val="1"/>
      <w:marLeft w:val="0"/>
      <w:marRight w:val="0"/>
      <w:marTop w:val="0"/>
      <w:marBottom w:val="0"/>
      <w:divBdr>
        <w:top w:val="none" w:sz="0" w:space="0" w:color="auto"/>
        <w:left w:val="none" w:sz="0" w:space="0" w:color="auto"/>
        <w:bottom w:val="none" w:sz="0" w:space="0" w:color="auto"/>
        <w:right w:val="none" w:sz="0" w:space="0" w:color="auto"/>
      </w:divBdr>
    </w:div>
    <w:div w:id="546644541">
      <w:bodyDiv w:val="1"/>
      <w:marLeft w:val="0"/>
      <w:marRight w:val="0"/>
      <w:marTop w:val="0"/>
      <w:marBottom w:val="0"/>
      <w:divBdr>
        <w:top w:val="none" w:sz="0" w:space="0" w:color="auto"/>
        <w:left w:val="none" w:sz="0" w:space="0" w:color="auto"/>
        <w:bottom w:val="none" w:sz="0" w:space="0" w:color="auto"/>
        <w:right w:val="none" w:sz="0" w:space="0" w:color="auto"/>
      </w:divBdr>
    </w:div>
    <w:div w:id="609242078">
      <w:bodyDiv w:val="1"/>
      <w:marLeft w:val="0"/>
      <w:marRight w:val="0"/>
      <w:marTop w:val="0"/>
      <w:marBottom w:val="0"/>
      <w:divBdr>
        <w:top w:val="none" w:sz="0" w:space="0" w:color="auto"/>
        <w:left w:val="none" w:sz="0" w:space="0" w:color="auto"/>
        <w:bottom w:val="none" w:sz="0" w:space="0" w:color="auto"/>
        <w:right w:val="none" w:sz="0" w:space="0" w:color="auto"/>
      </w:divBdr>
      <w:divsChild>
        <w:div w:id="549466093">
          <w:marLeft w:val="0"/>
          <w:marRight w:val="0"/>
          <w:marTop w:val="0"/>
          <w:marBottom w:val="0"/>
          <w:divBdr>
            <w:top w:val="none" w:sz="0" w:space="0" w:color="auto"/>
            <w:left w:val="none" w:sz="0" w:space="0" w:color="auto"/>
            <w:bottom w:val="none" w:sz="0" w:space="0" w:color="auto"/>
            <w:right w:val="none" w:sz="0" w:space="0" w:color="auto"/>
          </w:divBdr>
          <w:divsChild>
            <w:div w:id="135338574">
              <w:marLeft w:val="0"/>
              <w:marRight w:val="0"/>
              <w:marTop w:val="0"/>
              <w:marBottom w:val="0"/>
              <w:divBdr>
                <w:top w:val="none" w:sz="0" w:space="0" w:color="auto"/>
                <w:left w:val="none" w:sz="0" w:space="0" w:color="auto"/>
                <w:bottom w:val="none" w:sz="0" w:space="0" w:color="auto"/>
                <w:right w:val="none" w:sz="0" w:space="0" w:color="auto"/>
              </w:divBdr>
              <w:divsChild>
                <w:div w:id="1456754687">
                  <w:marLeft w:val="0"/>
                  <w:marRight w:val="0"/>
                  <w:marTop w:val="0"/>
                  <w:marBottom w:val="0"/>
                  <w:divBdr>
                    <w:top w:val="none" w:sz="0" w:space="0" w:color="auto"/>
                    <w:left w:val="none" w:sz="0" w:space="0" w:color="auto"/>
                    <w:bottom w:val="none" w:sz="0" w:space="0" w:color="auto"/>
                    <w:right w:val="none" w:sz="0" w:space="0" w:color="auto"/>
                  </w:divBdr>
                  <w:divsChild>
                    <w:div w:id="164183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0898">
      <w:bodyDiv w:val="1"/>
      <w:marLeft w:val="0"/>
      <w:marRight w:val="0"/>
      <w:marTop w:val="0"/>
      <w:marBottom w:val="0"/>
      <w:divBdr>
        <w:top w:val="none" w:sz="0" w:space="0" w:color="auto"/>
        <w:left w:val="none" w:sz="0" w:space="0" w:color="auto"/>
        <w:bottom w:val="none" w:sz="0" w:space="0" w:color="auto"/>
        <w:right w:val="none" w:sz="0" w:space="0" w:color="auto"/>
      </w:divBdr>
    </w:div>
    <w:div w:id="808978966">
      <w:bodyDiv w:val="1"/>
      <w:marLeft w:val="0"/>
      <w:marRight w:val="0"/>
      <w:marTop w:val="0"/>
      <w:marBottom w:val="0"/>
      <w:divBdr>
        <w:top w:val="none" w:sz="0" w:space="0" w:color="auto"/>
        <w:left w:val="none" w:sz="0" w:space="0" w:color="auto"/>
        <w:bottom w:val="none" w:sz="0" w:space="0" w:color="auto"/>
        <w:right w:val="none" w:sz="0" w:space="0" w:color="auto"/>
      </w:divBdr>
      <w:divsChild>
        <w:div w:id="643630432">
          <w:marLeft w:val="0"/>
          <w:marRight w:val="0"/>
          <w:marTop w:val="0"/>
          <w:marBottom w:val="0"/>
          <w:divBdr>
            <w:top w:val="none" w:sz="0" w:space="0" w:color="auto"/>
            <w:left w:val="none" w:sz="0" w:space="0" w:color="auto"/>
            <w:bottom w:val="none" w:sz="0" w:space="0" w:color="auto"/>
            <w:right w:val="none" w:sz="0" w:space="0" w:color="auto"/>
          </w:divBdr>
          <w:divsChild>
            <w:div w:id="604535390">
              <w:marLeft w:val="0"/>
              <w:marRight w:val="0"/>
              <w:marTop w:val="0"/>
              <w:marBottom w:val="0"/>
              <w:divBdr>
                <w:top w:val="none" w:sz="0" w:space="0" w:color="auto"/>
                <w:left w:val="none" w:sz="0" w:space="0" w:color="auto"/>
                <w:bottom w:val="none" w:sz="0" w:space="0" w:color="auto"/>
                <w:right w:val="none" w:sz="0" w:space="0" w:color="auto"/>
              </w:divBdr>
              <w:divsChild>
                <w:div w:id="7180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98109">
      <w:bodyDiv w:val="1"/>
      <w:marLeft w:val="0"/>
      <w:marRight w:val="0"/>
      <w:marTop w:val="0"/>
      <w:marBottom w:val="0"/>
      <w:divBdr>
        <w:top w:val="none" w:sz="0" w:space="0" w:color="auto"/>
        <w:left w:val="none" w:sz="0" w:space="0" w:color="auto"/>
        <w:bottom w:val="none" w:sz="0" w:space="0" w:color="auto"/>
        <w:right w:val="none" w:sz="0" w:space="0" w:color="auto"/>
      </w:divBdr>
    </w:div>
    <w:div w:id="1214152590">
      <w:bodyDiv w:val="1"/>
      <w:marLeft w:val="0"/>
      <w:marRight w:val="0"/>
      <w:marTop w:val="0"/>
      <w:marBottom w:val="0"/>
      <w:divBdr>
        <w:top w:val="none" w:sz="0" w:space="0" w:color="auto"/>
        <w:left w:val="none" w:sz="0" w:space="0" w:color="auto"/>
        <w:bottom w:val="none" w:sz="0" w:space="0" w:color="auto"/>
        <w:right w:val="none" w:sz="0" w:space="0" w:color="auto"/>
      </w:divBdr>
    </w:div>
    <w:div w:id="2017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hudoc.esc.coe.int/eng" TargetMode="External"/><Relationship Id="rId2" Type="http://schemas.openxmlformats.org/officeDocument/2006/relationships/hyperlink" Target="https://hudoc.esc.coe.int/eng" TargetMode="External"/><Relationship Id="rId1" Type="http://schemas.openxmlformats.org/officeDocument/2006/relationships/hyperlink" Target="https://hudoc.esc.coe.int/eng" TargetMode="External"/><Relationship Id="rId4" Type="http://schemas.openxmlformats.org/officeDocument/2006/relationships/hyperlink" Target="https://hudoc.esc.coe.int/e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6BA1-6424-4385-85F4-BC9AB263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7920</Words>
  <Characters>40952</Characters>
  <Application>Microsoft Office Word</Application>
  <DocSecurity>4</DocSecurity>
  <Lines>650</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dcterms:created xsi:type="dcterms:W3CDTF">2019-05-02T23:36:00Z</dcterms:created>
  <dcterms:modified xsi:type="dcterms:W3CDTF">2019-05-02T23:36:00Z</dcterms:modified>
</cp:coreProperties>
</file>