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DEAE" w14:textId="6195BA79" w:rsidR="00CA35FD" w:rsidRDefault="00CA35FD" w:rsidP="00A857CB">
      <w:pPr>
        <w:tabs>
          <w:tab w:val="left" w:pos="709"/>
        </w:tabs>
        <w:jc w:val="both"/>
        <w:rPr>
          <w:rFonts w:ascii="Verdana" w:hAnsi="Verdana"/>
          <w:b/>
          <w:sz w:val="20"/>
          <w:szCs w:val="20"/>
          <w:lang w:val="pt-BR"/>
        </w:rPr>
      </w:pPr>
    </w:p>
    <w:p w14:paraId="481FA5EC" w14:textId="77777777" w:rsidR="00126364" w:rsidRPr="0038442F" w:rsidRDefault="00126364" w:rsidP="00A857CB">
      <w:pPr>
        <w:tabs>
          <w:tab w:val="left" w:pos="709"/>
        </w:tabs>
        <w:jc w:val="both"/>
        <w:rPr>
          <w:rFonts w:ascii="Verdana" w:hAnsi="Verdana"/>
          <w:b/>
          <w:sz w:val="20"/>
          <w:szCs w:val="20"/>
          <w:lang w:val="pt-BR"/>
        </w:rPr>
      </w:pPr>
    </w:p>
    <w:p w14:paraId="263FA1D0" w14:textId="65252059" w:rsidR="00F56127" w:rsidRPr="0038442F" w:rsidRDefault="00F56127" w:rsidP="002F0C12">
      <w:pPr>
        <w:tabs>
          <w:tab w:val="left" w:pos="709"/>
        </w:tabs>
        <w:jc w:val="center"/>
        <w:rPr>
          <w:rFonts w:ascii="Verdana" w:hAnsi="Verdana"/>
          <w:b/>
          <w:sz w:val="20"/>
          <w:szCs w:val="20"/>
          <w:lang w:val="pt-BR"/>
        </w:rPr>
      </w:pPr>
      <w:r w:rsidRPr="0038442F">
        <w:rPr>
          <w:rFonts w:ascii="Verdana" w:hAnsi="Verdana"/>
          <w:b/>
          <w:sz w:val="20"/>
          <w:szCs w:val="20"/>
          <w:lang w:val="pt-BR"/>
        </w:rPr>
        <w:t xml:space="preserve">VOTO </w:t>
      </w:r>
      <w:r w:rsidR="000A1AA8" w:rsidRPr="0038442F">
        <w:rPr>
          <w:rFonts w:ascii="Verdana" w:hAnsi="Verdana"/>
          <w:b/>
          <w:sz w:val="20"/>
          <w:szCs w:val="20"/>
          <w:lang w:val="pt-BR"/>
        </w:rPr>
        <w:t>FUNDAMENTADO DO</w:t>
      </w:r>
      <w:r w:rsidRPr="0038442F">
        <w:rPr>
          <w:rFonts w:ascii="Verdana" w:hAnsi="Verdana"/>
          <w:b/>
          <w:sz w:val="20"/>
          <w:szCs w:val="20"/>
          <w:lang w:val="pt-BR"/>
        </w:rPr>
        <w:t xml:space="preserve"> </w:t>
      </w:r>
    </w:p>
    <w:p w14:paraId="722F71EA" w14:textId="0EE0BB95" w:rsidR="00F56127" w:rsidRPr="0038442F" w:rsidRDefault="000A7472" w:rsidP="002F0C12">
      <w:pPr>
        <w:tabs>
          <w:tab w:val="left" w:pos="709"/>
        </w:tabs>
        <w:jc w:val="center"/>
        <w:rPr>
          <w:rFonts w:ascii="Verdana" w:hAnsi="Verdana"/>
          <w:b/>
          <w:sz w:val="20"/>
          <w:szCs w:val="20"/>
          <w:lang w:val="pt-BR"/>
        </w:rPr>
      </w:pPr>
      <w:r w:rsidRPr="0038442F">
        <w:rPr>
          <w:rFonts w:ascii="Verdana" w:hAnsi="Verdana"/>
          <w:b/>
          <w:sz w:val="20"/>
          <w:szCs w:val="20"/>
          <w:lang w:val="pt-BR"/>
        </w:rPr>
        <w:t>JU</w:t>
      </w:r>
      <w:r w:rsidR="000A1AA8" w:rsidRPr="0038442F">
        <w:rPr>
          <w:rFonts w:ascii="Verdana" w:hAnsi="Verdana"/>
          <w:b/>
          <w:sz w:val="20"/>
          <w:szCs w:val="20"/>
          <w:lang w:val="pt-BR"/>
        </w:rPr>
        <w:t>I</w:t>
      </w:r>
      <w:r w:rsidRPr="0038442F">
        <w:rPr>
          <w:rFonts w:ascii="Verdana" w:hAnsi="Verdana"/>
          <w:b/>
          <w:sz w:val="20"/>
          <w:szCs w:val="20"/>
          <w:lang w:val="pt-BR"/>
        </w:rPr>
        <w:t xml:space="preserve">Z </w:t>
      </w:r>
      <w:r w:rsidR="00F56127" w:rsidRPr="0038442F">
        <w:rPr>
          <w:rFonts w:ascii="Verdana" w:hAnsi="Verdana"/>
          <w:b/>
          <w:sz w:val="20"/>
          <w:szCs w:val="20"/>
          <w:lang w:val="pt-BR"/>
        </w:rPr>
        <w:t xml:space="preserve">EDUARDO FERRER MAC-GREGOR POISOT </w:t>
      </w:r>
    </w:p>
    <w:p w14:paraId="2132178B" w14:textId="77777777" w:rsidR="002F0C12" w:rsidRPr="0038442F" w:rsidRDefault="002F0C12" w:rsidP="002F0C12">
      <w:pPr>
        <w:tabs>
          <w:tab w:val="left" w:pos="709"/>
        </w:tabs>
        <w:jc w:val="center"/>
        <w:rPr>
          <w:rFonts w:ascii="Verdana" w:hAnsi="Verdana"/>
          <w:b/>
          <w:sz w:val="20"/>
          <w:szCs w:val="20"/>
          <w:lang w:val="pt-BR"/>
        </w:rPr>
      </w:pPr>
    </w:p>
    <w:p w14:paraId="19BDFAF4" w14:textId="27532D8E" w:rsidR="00F56127" w:rsidRPr="0038442F" w:rsidRDefault="00F56127" w:rsidP="002F0C12">
      <w:pPr>
        <w:jc w:val="center"/>
        <w:rPr>
          <w:rFonts w:ascii="Verdana" w:hAnsi="Verdana"/>
          <w:b/>
          <w:i/>
          <w:iCs/>
          <w:sz w:val="20"/>
          <w:szCs w:val="20"/>
          <w:u w:val="single"/>
          <w:lang w:val="pt-BR"/>
        </w:rPr>
      </w:pPr>
      <w:r w:rsidRPr="0038442F">
        <w:rPr>
          <w:rFonts w:ascii="Verdana" w:hAnsi="Verdana"/>
          <w:b/>
          <w:i/>
          <w:iCs/>
          <w:sz w:val="20"/>
          <w:szCs w:val="20"/>
          <w:u w:val="single"/>
          <w:lang w:val="pt-BR"/>
        </w:rPr>
        <w:t xml:space="preserve">CASO </w:t>
      </w:r>
      <w:r w:rsidR="000A1AA8" w:rsidRPr="0038442F">
        <w:rPr>
          <w:rFonts w:ascii="Verdana" w:hAnsi="Verdana"/>
          <w:b/>
          <w:i/>
          <w:iCs/>
          <w:sz w:val="20"/>
          <w:szCs w:val="20"/>
          <w:u w:val="single"/>
          <w:lang w:val="pt-BR"/>
        </w:rPr>
        <w:t xml:space="preserve">EMPREGADOS DA </w:t>
      </w:r>
      <w:r w:rsidRPr="0038442F">
        <w:rPr>
          <w:rFonts w:ascii="Verdana" w:hAnsi="Verdana"/>
          <w:b/>
          <w:i/>
          <w:iCs/>
          <w:sz w:val="20"/>
          <w:szCs w:val="20"/>
          <w:u w:val="single"/>
          <w:lang w:val="pt-BR"/>
        </w:rPr>
        <w:t>FÁBRICA DE F</w:t>
      </w:r>
      <w:r w:rsidR="000A1AA8" w:rsidRPr="0038442F">
        <w:rPr>
          <w:rFonts w:ascii="Verdana" w:hAnsi="Verdana"/>
          <w:b/>
          <w:i/>
          <w:iCs/>
          <w:sz w:val="20"/>
          <w:szCs w:val="20"/>
          <w:u w:val="single"/>
          <w:lang w:val="pt-BR"/>
        </w:rPr>
        <w:t>O</w:t>
      </w:r>
      <w:r w:rsidRPr="0038442F">
        <w:rPr>
          <w:rFonts w:ascii="Verdana" w:hAnsi="Verdana"/>
          <w:b/>
          <w:i/>
          <w:iCs/>
          <w:sz w:val="20"/>
          <w:szCs w:val="20"/>
          <w:u w:val="single"/>
          <w:lang w:val="pt-BR"/>
        </w:rPr>
        <w:t xml:space="preserve">GOS </w:t>
      </w:r>
    </w:p>
    <w:p w14:paraId="285112BF" w14:textId="323F53D5" w:rsidR="00F56127" w:rsidRPr="0038442F" w:rsidRDefault="000A1AA8" w:rsidP="002F0C12">
      <w:pPr>
        <w:jc w:val="center"/>
        <w:rPr>
          <w:rFonts w:ascii="Verdana" w:hAnsi="Verdana"/>
          <w:b/>
          <w:i/>
          <w:iCs/>
          <w:sz w:val="20"/>
          <w:szCs w:val="20"/>
          <w:u w:val="single"/>
          <w:lang w:val="pt-BR"/>
        </w:rPr>
      </w:pPr>
      <w:r w:rsidRPr="0038442F">
        <w:rPr>
          <w:rFonts w:ascii="Verdana" w:hAnsi="Verdana"/>
          <w:b/>
          <w:i/>
          <w:iCs/>
          <w:sz w:val="20"/>
          <w:szCs w:val="20"/>
          <w:u w:val="single"/>
          <w:lang w:val="pt-BR"/>
        </w:rPr>
        <w:t xml:space="preserve">DE </w:t>
      </w:r>
      <w:r w:rsidR="00F56127" w:rsidRPr="0038442F">
        <w:rPr>
          <w:rFonts w:ascii="Verdana" w:hAnsi="Verdana"/>
          <w:b/>
          <w:i/>
          <w:iCs/>
          <w:sz w:val="20"/>
          <w:szCs w:val="20"/>
          <w:u w:val="single"/>
          <w:lang w:val="pt-BR"/>
        </w:rPr>
        <w:t>SANTO ANTÔNIO DE JESUS</w:t>
      </w:r>
      <w:r w:rsidR="00F56127" w:rsidRPr="0038442F" w:rsidDel="00A41E0A">
        <w:rPr>
          <w:rFonts w:ascii="Verdana" w:hAnsi="Verdana"/>
          <w:b/>
          <w:i/>
          <w:iCs/>
          <w:sz w:val="20"/>
          <w:szCs w:val="20"/>
          <w:u w:val="single"/>
          <w:lang w:val="pt-BR"/>
        </w:rPr>
        <w:t xml:space="preserve"> </w:t>
      </w:r>
      <w:r w:rsidRPr="0038442F">
        <w:rPr>
          <w:rFonts w:ascii="Verdana" w:hAnsi="Verdana"/>
          <w:b/>
          <w:i/>
          <w:iCs/>
          <w:sz w:val="20"/>
          <w:szCs w:val="20"/>
          <w:u w:val="single"/>
          <w:lang w:val="pt-BR"/>
        </w:rPr>
        <w:t xml:space="preserve">E SEUS </w:t>
      </w:r>
      <w:r w:rsidR="00F56127" w:rsidRPr="0038442F">
        <w:rPr>
          <w:rFonts w:ascii="Verdana" w:hAnsi="Verdana"/>
          <w:b/>
          <w:i/>
          <w:iCs/>
          <w:sz w:val="20"/>
          <w:szCs w:val="20"/>
          <w:u w:val="single"/>
          <w:lang w:val="pt-BR"/>
        </w:rPr>
        <w:t>FAMILIARES VS. BRASIL</w:t>
      </w:r>
    </w:p>
    <w:p w14:paraId="4948F464" w14:textId="77777777" w:rsidR="00F56127" w:rsidRPr="0038442F" w:rsidRDefault="00F56127" w:rsidP="00F56127">
      <w:pPr>
        <w:tabs>
          <w:tab w:val="left" w:pos="709"/>
        </w:tabs>
        <w:jc w:val="center"/>
        <w:rPr>
          <w:rFonts w:ascii="Verdana" w:hAnsi="Verdana"/>
          <w:b/>
          <w:i/>
          <w:sz w:val="20"/>
          <w:szCs w:val="20"/>
          <w:u w:val="single"/>
          <w:lang w:val="pt-BR"/>
        </w:rPr>
      </w:pPr>
    </w:p>
    <w:p w14:paraId="0ED4735A" w14:textId="2649B429" w:rsidR="00F56127" w:rsidRPr="0038442F" w:rsidRDefault="00F56127" w:rsidP="00F56127">
      <w:pPr>
        <w:tabs>
          <w:tab w:val="left" w:pos="709"/>
        </w:tabs>
        <w:jc w:val="center"/>
        <w:rPr>
          <w:rFonts w:ascii="Verdana" w:hAnsi="Verdana"/>
          <w:b/>
          <w:sz w:val="18"/>
          <w:szCs w:val="18"/>
          <w:lang w:val="pt-BR"/>
        </w:rPr>
      </w:pPr>
      <w:r w:rsidRPr="0038442F">
        <w:rPr>
          <w:rFonts w:ascii="Verdana" w:hAnsi="Verdana"/>
          <w:b/>
          <w:sz w:val="18"/>
          <w:szCs w:val="18"/>
          <w:lang w:val="pt-BR"/>
        </w:rPr>
        <w:t>SENTEN</w:t>
      </w:r>
      <w:r w:rsidR="000A1AA8" w:rsidRPr="0038442F">
        <w:rPr>
          <w:rFonts w:ascii="Verdana" w:hAnsi="Verdana"/>
          <w:b/>
          <w:sz w:val="18"/>
          <w:szCs w:val="18"/>
          <w:lang w:val="pt-BR"/>
        </w:rPr>
        <w:t>Ç</w:t>
      </w:r>
      <w:r w:rsidRPr="0038442F">
        <w:rPr>
          <w:rFonts w:ascii="Verdana" w:hAnsi="Verdana"/>
          <w:b/>
          <w:sz w:val="18"/>
          <w:szCs w:val="18"/>
          <w:lang w:val="pt-BR"/>
        </w:rPr>
        <w:t>A DE 15 DE JU</w:t>
      </w:r>
      <w:r w:rsidR="00C03CE7" w:rsidRPr="0038442F">
        <w:rPr>
          <w:rFonts w:ascii="Verdana" w:hAnsi="Verdana"/>
          <w:b/>
          <w:sz w:val="18"/>
          <w:szCs w:val="18"/>
          <w:lang w:val="pt-BR"/>
        </w:rPr>
        <w:t>L</w:t>
      </w:r>
      <w:r w:rsidR="000A1AA8" w:rsidRPr="0038442F">
        <w:rPr>
          <w:rFonts w:ascii="Verdana" w:hAnsi="Verdana"/>
          <w:b/>
          <w:sz w:val="18"/>
          <w:szCs w:val="18"/>
          <w:lang w:val="pt-BR"/>
        </w:rPr>
        <w:t>H</w:t>
      </w:r>
      <w:r w:rsidRPr="0038442F">
        <w:rPr>
          <w:rFonts w:ascii="Verdana" w:hAnsi="Verdana"/>
          <w:b/>
          <w:sz w:val="18"/>
          <w:szCs w:val="18"/>
          <w:lang w:val="pt-BR"/>
        </w:rPr>
        <w:t>O DE 2020</w:t>
      </w:r>
    </w:p>
    <w:p w14:paraId="075A0111" w14:textId="773C134F" w:rsidR="00F56127" w:rsidRPr="0038442F" w:rsidRDefault="00F56127" w:rsidP="00F56127">
      <w:pPr>
        <w:tabs>
          <w:tab w:val="left" w:pos="709"/>
        </w:tabs>
        <w:jc w:val="center"/>
        <w:rPr>
          <w:rFonts w:ascii="Verdana" w:hAnsi="Verdana"/>
          <w:b/>
          <w:i/>
          <w:sz w:val="18"/>
          <w:szCs w:val="18"/>
          <w:lang w:val="pt-BR"/>
        </w:rPr>
      </w:pPr>
      <w:r w:rsidRPr="0038442F">
        <w:rPr>
          <w:rFonts w:ascii="Verdana" w:hAnsi="Verdana"/>
          <w:b/>
          <w:i/>
          <w:sz w:val="18"/>
          <w:szCs w:val="18"/>
          <w:lang w:val="pt-BR"/>
        </w:rPr>
        <w:t>(Exce</w:t>
      </w:r>
      <w:r w:rsidR="000A1AA8" w:rsidRPr="0038442F">
        <w:rPr>
          <w:rFonts w:ascii="Verdana" w:hAnsi="Verdana"/>
          <w:b/>
          <w:i/>
          <w:sz w:val="18"/>
          <w:szCs w:val="18"/>
          <w:lang w:val="pt-BR"/>
        </w:rPr>
        <w:t>ção</w:t>
      </w:r>
      <w:r w:rsidRPr="0038442F">
        <w:rPr>
          <w:rFonts w:ascii="Verdana" w:hAnsi="Verdana"/>
          <w:b/>
          <w:i/>
          <w:sz w:val="18"/>
          <w:szCs w:val="18"/>
          <w:lang w:val="pt-BR"/>
        </w:rPr>
        <w:t xml:space="preserve"> Preliminar, </w:t>
      </w:r>
      <w:r w:rsidR="000A1AA8" w:rsidRPr="0038442F">
        <w:rPr>
          <w:rFonts w:ascii="Verdana" w:hAnsi="Verdana"/>
          <w:b/>
          <w:i/>
          <w:sz w:val="18"/>
          <w:szCs w:val="18"/>
          <w:lang w:val="pt-BR"/>
        </w:rPr>
        <w:t>Mérito</w:t>
      </w:r>
      <w:r w:rsidRPr="0038442F">
        <w:rPr>
          <w:rFonts w:ascii="Verdana" w:hAnsi="Verdana"/>
          <w:b/>
          <w:i/>
          <w:sz w:val="18"/>
          <w:szCs w:val="18"/>
          <w:lang w:val="pt-BR"/>
        </w:rPr>
        <w:t>, Repara</w:t>
      </w:r>
      <w:r w:rsidR="000A1AA8" w:rsidRPr="0038442F">
        <w:rPr>
          <w:rFonts w:ascii="Verdana" w:hAnsi="Verdana"/>
          <w:b/>
          <w:i/>
          <w:sz w:val="18"/>
          <w:szCs w:val="18"/>
          <w:lang w:val="pt-BR"/>
        </w:rPr>
        <w:t>ções</w:t>
      </w:r>
      <w:r w:rsidRPr="0038442F">
        <w:rPr>
          <w:rFonts w:ascii="Verdana" w:hAnsi="Verdana"/>
          <w:b/>
          <w:i/>
          <w:sz w:val="18"/>
          <w:szCs w:val="18"/>
          <w:lang w:val="pt-BR"/>
        </w:rPr>
        <w:t xml:space="preserve"> </w:t>
      </w:r>
      <w:r w:rsidR="000A1AA8" w:rsidRPr="0038442F">
        <w:rPr>
          <w:rFonts w:ascii="Verdana" w:hAnsi="Verdana"/>
          <w:b/>
          <w:i/>
          <w:sz w:val="18"/>
          <w:szCs w:val="18"/>
          <w:lang w:val="pt-BR"/>
        </w:rPr>
        <w:t>e Custas</w:t>
      </w:r>
      <w:r w:rsidRPr="0038442F">
        <w:rPr>
          <w:rFonts w:ascii="Verdana" w:hAnsi="Verdana"/>
          <w:b/>
          <w:i/>
          <w:sz w:val="18"/>
          <w:szCs w:val="18"/>
          <w:lang w:val="pt-BR"/>
        </w:rPr>
        <w:t>)</w:t>
      </w:r>
    </w:p>
    <w:p w14:paraId="22E79396" w14:textId="3BD47738" w:rsidR="00483D24" w:rsidRPr="0038442F" w:rsidRDefault="00483D24" w:rsidP="00124199">
      <w:pPr>
        <w:tabs>
          <w:tab w:val="left" w:pos="709"/>
        </w:tabs>
        <w:spacing w:before="120" w:after="120"/>
        <w:rPr>
          <w:rFonts w:ascii="Verdana" w:hAnsi="Verdana"/>
          <w:sz w:val="18"/>
          <w:szCs w:val="18"/>
          <w:lang w:val="pt-BR"/>
        </w:rPr>
      </w:pPr>
    </w:p>
    <w:p w14:paraId="60EE83E5" w14:textId="2CB36F57" w:rsidR="000777E8" w:rsidRDefault="000777E8" w:rsidP="00124199">
      <w:pPr>
        <w:tabs>
          <w:tab w:val="left" w:pos="709"/>
        </w:tabs>
        <w:spacing w:before="120" w:after="120"/>
        <w:rPr>
          <w:rFonts w:ascii="Verdana" w:hAnsi="Verdana"/>
          <w:sz w:val="18"/>
          <w:szCs w:val="18"/>
          <w:lang w:val="pt-BR"/>
        </w:rPr>
      </w:pPr>
    </w:p>
    <w:p w14:paraId="7AC326A2" w14:textId="77777777" w:rsidR="006D1646" w:rsidRPr="0038442F" w:rsidRDefault="006D1646" w:rsidP="00124199">
      <w:pPr>
        <w:tabs>
          <w:tab w:val="left" w:pos="709"/>
        </w:tabs>
        <w:spacing w:before="120" w:after="120"/>
        <w:rPr>
          <w:rFonts w:ascii="Verdana" w:hAnsi="Verdana"/>
          <w:sz w:val="18"/>
          <w:szCs w:val="18"/>
          <w:lang w:val="pt-BR"/>
        </w:rPr>
      </w:pPr>
    </w:p>
    <w:p w14:paraId="2915B3FD" w14:textId="1982B71C" w:rsidR="00BD06CC" w:rsidRPr="0038442F" w:rsidRDefault="00C04A6F" w:rsidP="00A857CB">
      <w:pPr>
        <w:pStyle w:val="Prrafodelista"/>
        <w:tabs>
          <w:tab w:val="left" w:pos="709"/>
        </w:tabs>
        <w:spacing w:before="120" w:after="120" w:line="240" w:lineRule="auto"/>
        <w:ind w:left="1800"/>
        <w:jc w:val="both"/>
        <w:rPr>
          <w:rFonts w:ascii="Verdana" w:hAnsi="Verdana"/>
          <w:b/>
          <w:bCs/>
          <w:sz w:val="20"/>
          <w:szCs w:val="20"/>
          <w:lang w:val="pt-BR"/>
        </w:rPr>
      </w:pPr>
      <w:r w:rsidRPr="0038442F">
        <w:rPr>
          <w:rFonts w:ascii="Verdana" w:hAnsi="Verdana"/>
          <w:bCs/>
          <w:sz w:val="20"/>
          <w:szCs w:val="20"/>
          <w:lang w:val="pt-BR"/>
        </w:rPr>
        <w:tab/>
      </w:r>
      <w:r w:rsidRPr="0038442F">
        <w:rPr>
          <w:rFonts w:ascii="Verdana" w:hAnsi="Verdana"/>
          <w:bCs/>
          <w:sz w:val="20"/>
          <w:szCs w:val="20"/>
          <w:lang w:val="pt-BR"/>
        </w:rPr>
        <w:tab/>
      </w:r>
      <w:r w:rsidRPr="0038442F">
        <w:rPr>
          <w:rFonts w:ascii="Verdana" w:hAnsi="Verdana"/>
          <w:bCs/>
          <w:sz w:val="20"/>
          <w:szCs w:val="20"/>
          <w:lang w:val="pt-BR"/>
        </w:rPr>
        <w:tab/>
        <w:t xml:space="preserve"> </w:t>
      </w:r>
      <w:r w:rsidR="00141788" w:rsidRPr="0038442F">
        <w:rPr>
          <w:rFonts w:ascii="Verdana" w:hAnsi="Verdana"/>
          <w:b/>
          <w:bCs/>
          <w:sz w:val="20"/>
          <w:szCs w:val="20"/>
          <w:lang w:val="pt-BR"/>
        </w:rPr>
        <w:t>INTRODU</w:t>
      </w:r>
      <w:r w:rsidR="000A1AA8" w:rsidRPr="0038442F">
        <w:rPr>
          <w:rFonts w:ascii="Verdana" w:hAnsi="Verdana"/>
          <w:b/>
          <w:bCs/>
          <w:sz w:val="20"/>
          <w:szCs w:val="20"/>
          <w:lang w:val="pt-BR"/>
        </w:rPr>
        <w:t>ÇÃO</w:t>
      </w:r>
      <w:r w:rsidR="00BD06CC" w:rsidRPr="0038442F">
        <w:rPr>
          <w:rFonts w:ascii="Verdana" w:hAnsi="Verdana"/>
          <w:b/>
          <w:bCs/>
          <w:sz w:val="20"/>
          <w:szCs w:val="20"/>
          <w:lang w:val="pt-BR"/>
        </w:rPr>
        <w:t xml:space="preserve">: </w:t>
      </w:r>
    </w:p>
    <w:p w14:paraId="40A6CA3A" w14:textId="1237B3C5" w:rsidR="00DF2DFE" w:rsidRPr="0038442F" w:rsidRDefault="00BD06CC" w:rsidP="00B979B2">
      <w:pPr>
        <w:tabs>
          <w:tab w:val="left" w:pos="709"/>
        </w:tabs>
        <w:snapToGrid w:val="0"/>
        <w:jc w:val="center"/>
        <w:rPr>
          <w:rFonts w:ascii="Verdana" w:hAnsi="Verdana" w:cs="Times New Roman (Cuerpo en alfa"/>
          <w:b/>
          <w:bCs/>
          <w:caps/>
          <w:sz w:val="20"/>
          <w:szCs w:val="20"/>
          <w:lang w:val="pt-BR"/>
        </w:rPr>
      </w:pPr>
      <w:r w:rsidRPr="0038442F">
        <w:rPr>
          <w:rFonts w:ascii="Verdana" w:hAnsi="Verdana" w:cs="Times New Roman (Cuerpo en alfa"/>
          <w:b/>
          <w:bCs/>
          <w:caps/>
          <w:sz w:val="20"/>
          <w:szCs w:val="20"/>
          <w:lang w:val="pt-BR"/>
        </w:rPr>
        <w:t xml:space="preserve">Empresa </w:t>
      </w:r>
      <w:r w:rsidR="000A1AA8" w:rsidRPr="0038442F">
        <w:rPr>
          <w:rFonts w:ascii="Verdana" w:hAnsi="Verdana" w:cs="Times New Roman (Cuerpo en alfa"/>
          <w:b/>
          <w:bCs/>
          <w:caps/>
          <w:sz w:val="20"/>
          <w:szCs w:val="20"/>
          <w:lang w:val="pt-BR"/>
        </w:rPr>
        <w:t>E</w:t>
      </w:r>
      <w:r w:rsidRPr="0038442F">
        <w:rPr>
          <w:rFonts w:ascii="Verdana" w:hAnsi="Verdana" w:cs="Times New Roman (Cuerpo en alfa"/>
          <w:b/>
          <w:bCs/>
          <w:caps/>
          <w:sz w:val="20"/>
          <w:szCs w:val="20"/>
          <w:lang w:val="pt-BR"/>
        </w:rPr>
        <w:t xml:space="preserve"> d</w:t>
      </w:r>
      <w:r w:rsidR="000A1AA8" w:rsidRPr="0038442F">
        <w:rPr>
          <w:rFonts w:ascii="Verdana" w:hAnsi="Verdana" w:cs="Times New Roman (Cuerpo en alfa"/>
          <w:b/>
          <w:bCs/>
          <w:caps/>
          <w:sz w:val="20"/>
          <w:szCs w:val="20"/>
          <w:lang w:val="pt-BR"/>
        </w:rPr>
        <w:t xml:space="preserve">IREITOS </w:t>
      </w:r>
      <w:r w:rsidRPr="0038442F">
        <w:rPr>
          <w:rFonts w:ascii="Verdana" w:hAnsi="Verdana" w:cs="Times New Roman (Cuerpo en alfa"/>
          <w:b/>
          <w:bCs/>
          <w:caps/>
          <w:sz w:val="20"/>
          <w:szCs w:val="20"/>
          <w:lang w:val="pt-BR"/>
        </w:rPr>
        <w:t>humanos, d</w:t>
      </w:r>
      <w:r w:rsidR="000A1AA8" w:rsidRPr="0038442F">
        <w:rPr>
          <w:rFonts w:ascii="Verdana" w:hAnsi="Verdana" w:cs="Times New Roman (Cuerpo en alfa"/>
          <w:b/>
          <w:bCs/>
          <w:caps/>
          <w:sz w:val="20"/>
          <w:szCs w:val="20"/>
          <w:lang w:val="pt-BR"/>
        </w:rPr>
        <w:t>IREITO AO TRABALHO</w:t>
      </w:r>
      <w:r w:rsidRPr="0038442F">
        <w:rPr>
          <w:rFonts w:ascii="Verdana" w:hAnsi="Verdana" w:cs="Times New Roman (Cuerpo en alfa"/>
          <w:b/>
          <w:bCs/>
          <w:caps/>
          <w:sz w:val="20"/>
          <w:szCs w:val="20"/>
          <w:lang w:val="pt-BR"/>
        </w:rPr>
        <w:t>, pobreza</w:t>
      </w:r>
      <w:r w:rsidR="00321986" w:rsidRPr="0038442F">
        <w:rPr>
          <w:rFonts w:ascii="Verdana" w:hAnsi="Verdana" w:cs="Times New Roman (Cuerpo en alfa"/>
          <w:b/>
          <w:bCs/>
          <w:caps/>
          <w:sz w:val="20"/>
          <w:szCs w:val="20"/>
          <w:lang w:val="pt-BR"/>
        </w:rPr>
        <w:t xml:space="preserve">, </w:t>
      </w:r>
      <w:r w:rsidRPr="0038442F">
        <w:rPr>
          <w:rFonts w:ascii="Verdana" w:hAnsi="Verdana" w:cs="Times New Roman (Cuerpo en alfa"/>
          <w:b/>
          <w:bCs/>
          <w:caps/>
          <w:sz w:val="20"/>
          <w:szCs w:val="20"/>
          <w:lang w:val="pt-BR"/>
        </w:rPr>
        <w:t>discrimina</w:t>
      </w:r>
      <w:r w:rsidR="000A1AA8" w:rsidRPr="0038442F">
        <w:rPr>
          <w:rFonts w:ascii="Verdana" w:hAnsi="Verdana" w:cs="Times New Roman (Cuerpo en alfa"/>
          <w:b/>
          <w:bCs/>
          <w:caps/>
          <w:sz w:val="20"/>
          <w:szCs w:val="20"/>
          <w:lang w:val="pt-BR"/>
        </w:rPr>
        <w:t>ção</w:t>
      </w:r>
      <w:r w:rsidRPr="0038442F">
        <w:rPr>
          <w:rFonts w:ascii="Verdana" w:hAnsi="Verdana" w:cs="Times New Roman (Cuerpo en alfa"/>
          <w:b/>
          <w:bCs/>
          <w:caps/>
          <w:sz w:val="20"/>
          <w:szCs w:val="20"/>
          <w:lang w:val="pt-BR"/>
        </w:rPr>
        <w:t xml:space="preserve"> estrutural intersecional</w:t>
      </w:r>
      <w:r w:rsidR="002247E5" w:rsidRPr="0038442F">
        <w:rPr>
          <w:rFonts w:ascii="Verdana" w:hAnsi="Verdana" w:cs="Times New Roman (Cuerpo en alfa"/>
          <w:b/>
          <w:bCs/>
          <w:caps/>
          <w:sz w:val="20"/>
          <w:szCs w:val="20"/>
          <w:lang w:val="pt-BR"/>
        </w:rPr>
        <w:t xml:space="preserve"> e igualdad</w:t>
      </w:r>
      <w:r w:rsidR="000A1AA8" w:rsidRPr="0038442F">
        <w:rPr>
          <w:rFonts w:ascii="Verdana" w:hAnsi="Verdana" w:cs="Times New Roman (Cuerpo en alfa"/>
          <w:b/>
          <w:bCs/>
          <w:caps/>
          <w:sz w:val="20"/>
          <w:szCs w:val="20"/>
          <w:lang w:val="pt-BR"/>
        </w:rPr>
        <w:t>E</w:t>
      </w:r>
      <w:r w:rsidR="002247E5" w:rsidRPr="0038442F">
        <w:rPr>
          <w:rFonts w:ascii="Verdana" w:hAnsi="Verdana" w:cs="Times New Roman (Cuerpo en alfa"/>
          <w:b/>
          <w:bCs/>
          <w:caps/>
          <w:sz w:val="20"/>
          <w:szCs w:val="20"/>
          <w:lang w:val="pt-BR"/>
        </w:rPr>
        <w:t xml:space="preserve"> material</w:t>
      </w:r>
    </w:p>
    <w:p w14:paraId="59A8DA53" w14:textId="77777777" w:rsidR="0016131E" w:rsidRPr="0038442F" w:rsidRDefault="0016131E" w:rsidP="00B979B2">
      <w:pPr>
        <w:pStyle w:val="Prrafodelista"/>
        <w:tabs>
          <w:tab w:val="left" w:pos="709"/>
        </w:tabs>
        <w:snapToGrid w:val="0"/>
        <w:spacing w:after="0" w:line="240" w:lineRule="auto"/>
        <w:ind w:left="1800"/>
        <w:contextualSpacing w:val="0"/>
        <w:jc w:val="both"/>
        <w:rPr>
          <w:rFonts w:ascii="Verdana" w:hAnsi="Verdana"/>
          <w:b/>
          <w:bCs/>
          <w:sz w:val="20"/>
          <w:szCs w:val="20"/>
          <w:lang w:val="pt-BR"/>
        </w:rPr>
      </w:pPr>
    </w:p>
    <w:p w14:paraId="5B388DA7" w14:textId="7EB6CCDA" w:rsidR="007E5B50" w:rsidRPr="0038442F" w:rsidRDefault="007E5B50" w:rsidP="007E5B50">
      <w:pPr>
        <w:pStyle w:val="Prrafodelista"/>
        <w:numPr>
          <w:ilvl w:val="0"/>
          <w:numId w:val="2"/>
        </w:numPr>
        <w:spacing w:after="0" w:line="240" w:lineRule="auto"/>
        <w:ind w:left="0" w:firstLine="0"/>
        <w:jc w:val="both"/>
        <w:rPr>
          <w:rFonts w:ascii="Verdana" w:hAnsi="Verdana" w:cs="System Font Regular"/>
          <w:sz w:val="20"/>
          <w:szCs w:val="20"/>
          <w:lang w:val="pt-BR"/>
        </w:rPr>
      </w:pPr>
      <w:r w:rsidRPr="0038442F">
        <w:rPr>
          <w:rFonts w:ascii="Verdana" w:hAnsi="Verdana" w:cs="System Font Regular"/>
          <w:sz w:val="20"/>
          <w:szCs w:val="20"/>
          <w:lang w:val="pt-BR"/>
        </w:rPr>
        <w:t>P</w:t>
      </w:r>
      <w:r w:rsidR="000A1AA8" w:rsidRPr="0038442F">
        <w:rPr>
          <w:rFonts w:ascii="Verdana" w:hAnsi="Verdana" w:cs="System Font Regular"/>
          <w:sz w:val="20"/>
          <w:szCs w:val="20"/>
          <w:lang w:val="pt-BR"/>
        </w:rPr>
        <w:t xml:space="preserve">ode o Estado </w:t>
      </w:r>
      <w:r w:rsidRPr="0038442F">
        <w:rPr>
          <w:rFonts w:ascii="Verdana" w:hAnsi="Verdana" w:cs="System Font Regular"/>
          <w:sz w:val="20"/>
          <w:szCs w:val="20"/>
          <w:lang w:val="pt-BR"/>
        </w:rPr>
        <w:t xml:space="preserve">ser </w:t>
      </w:r>
      <w:r w:rsidR="000A1AA8" w:rsidRPr="0038442F">
        <w:rPr>
          <w:rFonts w:ascii="Verdana" w:hAnsi="Verdana" w:cs="System Font Regular"/>
          <w:sz w:val="20"/>
          <w:szCs w:val="20"/>
          <w:lang w:val="pt-BR"/>
        </w:rPr>
        <w:t xml:space="preserve">responsável </w:t>
      </w:r>
      <w:r w:rsidRPr="0038442F">
        <w:rPr>
          <w:rFonts w:ascii="Verdana" w:hAnsi="Verdana" w:cs="System Font Regular"/>
          <w:sz w:val="20"/>
          <w:szCs w:val="20"/>
          <w:lang w:val="pt-BR"/>
        </w:rPr>
        <w:t xml:space="preserve">internacionalmente </w:t>
      </w:r>
      <w:r w:rsidR="00A97590" w:rsidRPr="0038442F">
        <w:rPr>
          <w:rFonts w:ascii="Verdana" w:hAnsi="Verdana" w:cs="System Font Regular"/>
          <w:sz w:val="20"/>
          <w:szCs w:val="20"/>
          <w:lang w:val="pt-BR"/>
        </w:rPr>
        <w:t>pela</w:t>
      </w:r>
      <w:r w:rsidR="00407242" w:rsidRPr="0038442F">
        <w:rPr>
          <w:rFonts w:ascii="Verdana" w:hAnsi="Verdana" w:cs="System Font Regular"/>
          <w:sz w:val="20"/>
          <w:szCs w:val="20"/>
          <w:lang w:val="pt-BR"/>
        </w:rPr>
        <w:t xml:space="preserve"> </w:t>
      </w:r>
      <w:r w:rsidR="00984A83" w:rsidRPr="0038442F">
        <w:rPr>
          <w:rFonts w:ascii="Verdana" w:hAnsi="Verdana" w:cs="System Font Regular"/>
          <w:sz w:val="20"/>
          <w:szCs w:val="20"/>
          <w:lang w:val="pt-BR"/>
        </w:rPr>
        <w:t xml:space="preserve">violação </w:t>
      </w:r>
      <w:r w:rsidRPr="0038442F">
        <w:rPr>
          <w:rFonts w:ascii="Verdana" w:hAnsi="Verdana" w:cs="System Font Regular"/>
          <w:sz w:val="20"/>
          <w:szCs w:val="20"/>
          <w:lang w:val="pt-BR"/>
        </w:rPr>
        <w:t xml:space="preserve">de </w:t>
      </w:r>
      <w:r w:rsidR="000A1AA8" w:rsidRPr="0038442F">
        <w:rPr>
          <w:rFonts w:ascii="Verdana" w:hAnsi="Verdana" w:cs="System Font Regular"/>
          <w:sz w:val="20"/>
          <w:szCs w:val="20"/>
          <w:lang w:val="pt-BR"/>
        </w:rPr>
        <w:t>direitos</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humanos ocasionada por </w:t>
      </w:r>
      <w:r w:rsidR="000A1AA8" w:rsidRPr="0038442F">
        <w:rPr>
          <w:rFonts w:ascii="Verdana" w:hAnsi="Verdana" w:cs="System Font Regular"/>
          <w:sz w:val="20"/>
          <w:szCs w:val="20"/>
          <w:lang w:val="pt-BR"/>
        </w:rPr>
        <w:t>atos</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cometidos por </w:t>
      </w:r>
      <w:r w:rsidR="00C92762" w:rsidRPr="0038442F">
        <w:rPr>
          <w:rFonts w:ascii="Verdana" w:hAnsi="Verdana" w:cs="System Font Regular"/>
          <w:sz w:val="20"/>
          <w:szCs w:val="20"/>
          <w:lang w:val="pt-BR"/>
        </w:rPr>
        <w:t>uma</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empresa privada?</w:t>
      </w:r>
      <w:r w:rsidR="001E4188"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Os fatos do presente </w:t>
      </w:r>
      <w:r w:rsidR="0041716C" w:rsidRPr="0038442F">
        <w:rPr>
          <w:rFonts w:ascii="Verdana" w:hAnsi="Verdana"/>
          <w:bCs/>
          <w:iCs/>
          <w:sz w:val="20"/>
          <w:szCs w:val="20"/>
          <w:lang w:val="pt-BR"/>
        </w:rPr>
        <w:t xml:space="preserve">caso </w:t>
      </w:r>
      <w:r w:rsidR="00321986" w:rsidRPr="0038442F">
        <w:rPr>
          <w:rFonts w:ascii="Verdana" w:hAnsi="Verdana" w:cs="System Font Regular"/>
          <w:sz w:val="20"/>
          <w:szCs w:val="20"/>
          <w:lang w:val="pt-BR"/>
        </w:rPr>
        <w:t xml:space="preserve">se </w:t>
      </w:r>
      <w:r w:rsidR="00C92762" w:rsidRPr="0038442F">
        <w:rPr>
          <w:rFonts w:ascii="Verdana" w:hAnsi="Verdana" w:cs="System Font Regular"/>
          <w:sz w:val="20"/>
          <w:szCs w:val="20"/>
          <w:lang w:val="pt-BR"/>
        </w:rPr>
        <w:t>referem</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à explosão em uma </w:t>
      </w:r>
      <w:r w:rsidR="002D1439" w:rsidRPr="0038442F">
        <w:rPr>
          <w:rFonts w:ascii="Verdana" w:hAnsi="Verdana" w:cs="System Font Regular"/>
          <w:sz w:val="20"/>
          <w:szCs w:val="20"/>
          <w:lang w:val="pt-BR"/>
        </w:rPr>
        <w:t>fábrica de</w:t>
      </w:r>
      <w:r w:rsidR="00321986"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fogos de artifício</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em que morreram </w:t>
      </w:r>
      <w:r w:rsidR="00C670B9" w:rsidRPr="0038442F">
        <w:rPr>
          <w:rFonts w:ascii="Verdana" w:hAnsi="Verdana" w:cs="System Font Regular"/>
          <w:sz w:val="20"/>
          <w:szCs w:val="20"/>
          <w:lang w:val="pt-BR"/>
        </w:rPr>
        <w:t>60</w:t>
      </w:r>
      <w:r w:rsidR="00321986"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pessoas</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e </w:t>
      </w:r>
      <w:r w:rsidR="00B12E13" w:rsidRPr="0038442F">
        <w:rPr>
          <w:rFonts w:ascii="Verdana" w:hAnsi="Verdana" w:cs="System Font Regular"/>
          <w:sz w:val="20"/>
          <w:szCs w:val="20"/>
          <w:lang w:val="pt-BR"/>
        </w:rPr>
        <w:t xml:space="preserve">outras </w:t>
      </w:r>
      <w:r w:rsidR="00C92762" w:rsidRPr="0038442F">
        <w:rPr>
          <w:rFonts w:ascii="Verdana" w:hAnsi="Verdana" w:cs="System Font Regular"/>
          <w:sz w:val="20"/>
          <w:szCs w:val="20"/>
          <w:lang w:val="pt-BR"/>
        </w:rPr>
        <w:t>seis ficaram feridas, todas elas</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mulheres e crianças </w:t>
      </w:r>
      <w:r w:rsidR="00AE3ADC" w:rsidRPr="0038442F">
        <w:rPr>
          <w:rFonts w:ascii="Verdana" w:hAnsi="Verdana" w:cs="System Font Regular"/>
          <w:sz w:val="20"/>
          <w:szCs w:val="20"/>
          <w:lang w:val="pt-BR"/>
        </w:rPr>
        <w:t xml:space="preserve">que </w:t>
      </w:r>
      <w:r w:rsidR="00C92762" w:rsidRPr="0038442F">
        <w:rPr>
          <w:rFonts w:ascii="Verdana" w:hAnsi="Verdana" w:cs="System Font Regular"/>
          <w:sz w:val="20"/>
          <w:szCs w:val="20"/>
          <w:lang w:val="pt-BR"/>
        </w:rPr>
        <w:t>trabalhavam</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na referida </w:t>
      </w:r>
      <w:r w:rsidR="00AE3ADC" w:rsidRPr="0038442F">
        <w:rPr>
          <w:rFonts w:ascii="Verdana" w:hAnsi="Verdana" w:cs="System Font Regular"/>
          <w:sz w:val="20"/>
          <w:szCs w:val="20"/>
          <w:lang w:val="pt-BR"/>
        </w:rPr>
        <w:t xml:space="preserve">fábrica. </w:t>
      </w:r>
    </w:p>
    <w:p w14:paraId="6CFEFFEE" w14:textId="77777777" w:rsidR="00961B6F" w:rsidRPr="0038442F" w:rsidRDefault="00961B6F" w:rsidP="00961B6F">
      <w:pPr>
        <w:pStyle w:val="Prrafodelista"/>
        <w:spacing w:after="0" w:line="240" w:lineRule="auto"/>
        <w:ind w:left="0"/>
        <w:jc w:val="both"/>
        <w:rPr>
          <w:rFonts w:ascii="Verdana" w:hAnsi="Verdana" w:cs="System Font Regular"/>
          <w:sz w:val="20"/>
          <w:szCs w:val="20"/>
          <w:lang w:val="pt-BR"/>
        </w:rPr>
      </w:pPr>
    </w:p>
    <w:p w14:paraId="0DAD31DE" w14:textId="0FA75C05" w:rsidR="001E4188" w:rsidRPr="0038442F" w:rsidRDefault="00C92762" w:rsidP="00C11890">
      <w:pPr>
        <w:pStyle w:val="Prrafodelista"/>
        <w:numPr>
          <w:ilvl w:val="0"/>
          <w:numId w:val="2"/>
        </w:numPr>
        <w:spacing w:after="0" w:line="240" w:lineRule="auto"/>
        <w:ind w:left="0" w:firstLine="0"/>
        <w:jc w:val="both"/>
        <w:rPr>
          <w:rFonts w:ascii="Verdana" w:hAnsi="Verdana" w:cs="System Font Regular"/>
          <w:sz w:val="20"/>
          <w:szCs w:val="20"/>
          <w:lang w:val="pt-BR"/>
        </w:rPr>
      </w:pPr>
      <w:r w:rsidRPr="0038442F">
        <w:rPr>
          <w:rFonts w:ascii="Verdana" w:hAnsi="Verdana" w:cs="System Font Regular"/>
          <w:sz w:val="20"/>
          <w:szCs w:val="20"/>
          <w:lang w:val="pt-BR"/>
        </w:rPr>
        <w:t>A Corte</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 xml:space="preserve">Interamericana de </w:t>
      </w:r>
      <w:r w:rsidRPr="0038442F">
        <w:rPr>
          <w:rFonts w:ascii="Verdana" w:hAnsi="Verdana" w:cs="System Font Regular"/>
          <w:sz w:val="20"/>
          <w:szCs w:val="20"/>
          <w:lang w:val="pt-BR"/>
        </w:rPr>
        <w:t>Direitos</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 xml:space="preserve">Humanos </w:t>
      </w:r>
      <w:r w:rsidR="001E4188" w:rsidRPr="0038442F">
        <w:rPr>
          <w:rFonts w:ascii="Verdana" w:hAnsi="Verdana"/>
          <w:sz w:val="20"/>
          <w:szCs w:val="20"/>
          <w:lang w:val="pt-BR"/>
        </w:rPr>
        <w:t>(</w:t>
      </w:r>
      <w:r w:rsidRPr="0038442F">
        <w:rPr>
          <w:rFonts w:ascii="Verdana" w:hAnsi="Verdana"/>
          <w:sz w:val="20"/>
          <w:szCs w:val="20"/>
          <w:lang w:val="pt-BR"/>
        </w:rPr>
        <w:t xml:space="preserve">doravante denominada </w:t>
      </w:r>
      <w:r w:rsidR="001E4188" w:rsidRPr="0038442F">
        <w:rPr>
          <w:rFonts w:ascii="Verdana" w:hAnsi="Verdana"/>
          <w:sz w:val="20"/>
          <w:szCs w:val="20"/>
          <w:lang w:val="pt-BR"/>
        </w:rPr>
        <w:t>“Corte IDH” o</w:t>
      </w:r>
      <w:r w:rsidRPr="0038442F">
        <w:rPr>
          <w:rFonts w:ascii="Verdana" w:hAnsi="Verdana"/>
          <w:sz w:val="20"/>
          <w:szCs w:val="20"/>
          <w:lang w:val="pt-BR"/>
        </w:rPr>
        <w:t>u</w:t>
      </w:r>
      <w:r w:rsidR="001E4188" w:rsidRPr="0038442F">
        <w:rPr>
          <w:rFonts w:ascii="Verdana" w:hAnsi="Verdana"/>
          <w:sz w:val="20"/>
          <w:szCs w:val="20"/>
          <w:lang w:val="pt-BR"/>
        </w:rPr>
        <w:t xml:space="preserve"> “Tribunal Interamericano”) </w:t>
      </w:r>
      <w:r w:rsidRPr="0038442F">
        <w:rPr>
          <w:rFonts w:ascii="Verdana" w:hAnsi="Verdana"/>
          <w:sz w:val="20"/>
          <w:szCs w:val="20"/>
          <w:lang w:val="pt-BR"/>
        </w:rPr>
        <w:t>analisa</w:t>
      </w:r>
      <w:r w:rsidR="00407242" w:rsidRPr="0038442F">
        <w:rPr>
          <w:rFonts w:ascii="Verdana" w:hAnsi="Verdana"/>
          <w:sz w:val="20"/>
          <w:szCs w:val="20"/>
          <w:lang w:val="pt-BR"/>
        </w:rPr>
        <w:t xml:space="preserve"> </w:t>
      </w:r>
      <w:r w:rsidR="001E4188" w:rsidRPr="0038442F">
        <w:rPr>
          <w:rFonts w:ascii="Verdana" w:hAnsi="Verdana" w:cs="System Font Regular"/>
          <w:sz w:val="20"/>
          <w:szCs w:val="20"/>
          <w:lang w:val="pt-BR"/>
        </w:rPr>
        <w:t>c</w:t>
      </w:r>
      <w:r w:rsidRPr="0038442F">
        <w:rPr>
          <w:rFonts w:ascii="Verdana" w:hAnsi="Verdana" w:cs="System Font Regular"/>
          <w:sz w:val="20"/>
          <w:szCs w:val="20"/>
          <w:lang w:val="pt-BR"/>
        </w:rPr>
        <w:t>o</w:t>
      </w:r>
      <w:r w:rsidR="001E4188" w:rsidRPr="0038442F">
        <w:rPr>
          <w:rFonts w:ascii="Verdana" w:hAnsi="Verdana" w:cs="System Font Regular"/>
          <w:sz w:val="20"/>
          <w:szCs w:val="20"/>
          <w:lang w:val="pt-BR"/>
        </w:rPr>
        <w:t>mo a falta de fiscaliza</w:t>
      </w:r>
      <w:r w:rsidR="000A1AA8" w:rsidRPr="0038442F">
        <w:rPr>
          <w:rFonts w:ascii="Verdana" w:hAnsi="Verdana" w:cs="System Font Regular"/>
          <w:sz w:val="20"/>
          <w:szCs w:val="20"/>
          <w:lang w:val="pt-BR"/>
        </w:rPr>
        <w:t>ção</w:t>
      </w:r>
      <w:r w:rsidR="001E418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de</w:t>
      </w:r>
      <w:r w:rsidR="001E418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uma</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 xml:space="preserve">empresa privada dedicada </w:t>
      </w:r>
      <w:r w:rsidRPr="0038442F">
        <w:rPr>
          <w:rFonts w:ascii="Verdana" w:hAnsi="Verdana" w:cs="System Font Regular"/>
          <w:sz w:val="20"/>
          <w:szCs w:val="20"/>
          <w:lang w:val="pt-BR"/>
        </w:rPr>
        <w:t xml:space="preserve">à fabricação </w:t>
      </w:r>
      <w:r w:rsidR="001E4188" w:rsidRPr="0038442F">
        <w:rPr>
          <w:rFonts w:ascii="Verdana" w:hAnsi="Verdana" w:cs="System Font Regular"/>
          <w:sz w:val="20"/>
          <w:szCs w:val="20"/>
          <w:lang w:val="pt-BR"/>
        </w:rPr>
        <w:t xml:space="preserve">de </w:t>
      </w:r>
      <w:r w:rsidRPr="0038442F">
        <w:rPr>
          <w:rFonts w:ascii="Verdana" w:hAnsi="Verdana" w:cs="System Font Regular"/>
          <w:sz w:val="20"/>
          <w:szCs w:val="20"/>
          <w:lang w:val="pt-BR"/>
        </w:rPr>
        <w:t>fogos de artifício</w:t>
      </w:r>
      <w:r w:rsidR="00407242" w:rsidRPr="0038442F">
        <w:rPr>
          <w:rFonts w:ascii="Verdana" w:hAnsi="Verdana" w:cs="System Font Regular"/>
          <w:sz w:val="20"/>
          <w:szCs w:val="20"/>
          <w:lang w:val="pt-BR"/>
        </w:rPr>
        <w:t xml:space="preserve"> </w:t>
      </w:r>
      <w:r w:rsidR="0057093F">
        <w:rPr>
          <w:rFonts w:ascii="Verdana" w:hAnsi="Verdana" w:cs="System Font Regular"/>
          <w:sz w:val="20"/>
          <w:szCs w:val="20"/>
          <w:lang w:val="pt-BR"/>
        </w:rPr>
        <w:t>resultou</w:t>
      </w:r>
      <w:r w:rsidR="00B12E13" w:rsidRPr="0038442F">
        <w:rPr>
          <w:rFonts w:ascii="Verdana" w:hAnsi="Verdana" w:cs="System Font Regular"/>
          <w:sz w:val="20"/>
          <w:szCs w:val="20"/>
          <w:lang w:val="pt-BR"/>
        </w:rPr>
        <w:t xml:space="preserve"> em </w:t>
      </w:r>
      <w:r w:rsidRPr="0038442F">
        <w:rPr>
          <w:rFonts w:ascii="Verdana" w:hAnsi="Verdana" w:cs="System Font Regular"/>
          <w:sz w:val="20"/>
          <w:szCs w:val="20"/>
          <w:lang w:val="pt-BR"/>
        </w:rPr>
        <w:t>uma omissão</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d</w:t>
      </w:r>
      <w:r w:rsidR="000A1AA8" w:rsidRPr="0038442F">
        <w:rPr>
          <w:rFonts w:ascii="Verdana" w:hAnsi="Verdana" w:cs="System Font Regular"/>
          <w:sz w:val="20"/>
          <w:szCs w:val="20"/>
          <w:lang w:val="pt-BR"/>
        </w:rPr>
        <w:t xml:space="preserve">o Estado </w:t>
      </w:r>
      <w:r w:rsidR="001E4188" w:rsidRPr="0038442F">
        <w:rPr>
          <w:rFonts w:ascii="Verdana" w:hAnsi="Verdana" w:cs="System Font Regular"/>
          <w:sz w:val="20"/>
          <w:szCs w:val="20"/>
          <w:lang w:val="pt-BR"/>
        </w:rPr>
        <w:t xml:space="preserve">de proteger </w:t>
      </w:r>
      <w:r w:rsidRPr="0038442F">
        <w:rPr>
          <w:rFonts w:ascii="Verdana" w:hAnsi="Verdana" w:cs="System Font Regular"/>
          <w:sz w:val="20"/>
          <w:szCs w:val="20"/>
          <w:lang w:val="pt-BR"/>
        </w:rPr>
        <w:t xml:space="preserve">os direitos à vida e à integridade pessoal das </w:t>
      </w:r>
      <w:r w:rsidR="001E4188" w:rsidRPr="0038442F">
        <w:rPr>
          <w:rFonts w:ascii="Verdana" w:hAnsi="Verdana" w:cs="System Font Regular"/>
          <w:sz w:val="20"/>
          <w:szCs w:val="20"/>
          <w:lang w:val="pt-BR"/>
        </w:rPr>
        <w:t xml:space="preserve">66 </w:t>
      </w:r>
      <w:r w:rsidRPr="0038442F">
        <w:rPr>
          <w:rFonts w:ascii="Verdana" w:hAnsi="Verdana" w:cs="System Font Regular"/>
          <w:sz w:val="20"/>
          <w:szCs w:val="20"/>
          <w:lang w:val="pt-BR"/>
        </w:rPr>
        <w:t>vítimas</w:t>
      </w:r>
      <w:r w:rsidR="00C11890"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Nesse </w:t>
      </w:r>
      <w:r w:rsidR="001E4188" w:rsidRPr="0038442F">
        <w:rPr>
          <w:rFonts w:ascii="Verdana" w:hAnsi="Verdana" w:cs="System Font Regular"/>
          <w:sz w:val="20"/>
          <w:szCs w:val="20"/>
          <w:lang w:val="pt-BR"/>
        </w:rPr>
        <w:t xml:space="preserve">sentido, a </w:t>
      </w:r>
      <w:r w:rsidRPr="0038442F">
        <w:rPr>
          <w:rFonts w:ascii="Verdana" w:hAnsi="Verdana" w:cs="System Font Regular"/>
          <w:sz w:val="20"/>
          <w:szCs w:val="20"/>
          <w:lang w:val="pt-BR"/>
        </w:rPr>
        <w:t>responsabilidade</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 xml:space="preserve">internacional se </w:t>
      </w:r>
      <w:r w:rsidRPr="0038442F">
        <w:rPr>
          <w:rFonts w:ascii="Verdana" w:hAnsi="Verdana" w:cs="System Font Regular"/>
          <w:sz w:val="20"/>
          <w:szCs w:val="20"/>
          <w:lang w:val="pt-BR"/>
        </w:rPr>
        <w:t>analisa</w:t>
      </w:r>
      <w:r w:rsidR="00407242" w:rsidRPr="0038442F">
        <w:rPr>
          <w:rFonts w:ascii="Verdana" w:hAnsi="Verdana" w:cs="System Font Regular"/>
          <w:sz w:val="20"/>
          <w:szCs w:val="20"/>
          <w:lang w:val="pt-BR"/>
        </w:rPr>
        <w:t xml:space="preserve"> </w:t>
      </w:r>
      <w:r w:rsidR="0057093F">
        <w:rPr>
          <w:rFonts w:ascii="Verdana" w:hAnsi="Verdana" w:cs="System Font Regular"/>
          <w:sz w:val="20"/>
          <w:szCs w:val="20"/>
          <w:lang w:val="pt-BR"/>
        </w:rPr>
        <w:t>sob</w:t>
      </w:r>
      <w:r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 xml:space="preserve">ótica </w:t>
      </w:r>
      <w:r w:rsidRPr="0038442F">
        <w:rPr>
          <w:rFonts w:ascii="Verdana" w:hAnsi="Verdana" w:cs="System Font Regular"/>
          <w:sz w:val="20"/>
          <w:szCs w:val="20"/>
          <w:lang w:val="pt-BR"/>
        </w:rPr>
        <w:t>da obrigação</w:t>
      </w:r>
      <w:r w:rsidR="00407242" w:rsidRPr="0038442F">
        <w:rPr>
          <w:rFonts w:ascii="Verdana" w:hAnsi="Verdana" w:cs="System Font Regular"/>
          <w:sz w:val="20"/>
          <w:szCs w:val="20"/>
          <w:lang w:val="pt-BR"/>
        </w:rPr>
        <w:t xml:space="preserve"> </w:t>
      </w:r>
      <w:r w:rsidR="00C11890" w:rsidRPr="0038442F">
        <w:rPr>
          <w:rFonts w:ascii="Verdana" w:hAnsi="Verdana" w:cs="System Font Regular"/>
          <w:sz w:val="20"/>
          <w:szCs w:val="20"/>
          <w:lang w:val="pt-BR"/>
        </w:rPr>
        <w:t xml:space="preserve">estatal </w:t>
      </w:r>
      <w:r w:rsidRPr="0038442F">
        <w:rPr>
          <w:rFonts w:ascii="Verdana" w:hAnsi="Verdana" w:cs="System Font Regular"/>
          <w:sz w:val="20"/>
          <w:szCs w:val="20"/>
          <w:lang w:val="pt-BR"/>
        </w:rPr>
        <w:t>d</w:t>
      </w:r>
      <w:r w:rsidR="004E7BBD" w:rsidRPr="0038442F">
        <w:rPr>
          <w:rFonts w:ascii="Verdana" w:hAnsi="Verdana" w:cs="System Font Regular"/>
          <w:sz w:val="20"/>
          <w:szCs w:val="20"/>
          <w:lang w:val="pt-BR"/>
        </w:rPr>
        <w:t>e</w:t>
      </w:r>
      <w:r w:rsidRPr="0038442F">
        <w:rPr>
          <w:rFonts w:ascii="Verdana" w:hAnsi="Verdana" w:cs="System Font Regular"/>
          <w:sz w:val="20"/>
          <w:szCs w:val="20"/>
          <w:lang w:val="pt-BR"/>
        </w:rPr>
        <w:t xml:space="preserve"> garantia</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dos </w:t>
      </w:r>
      <w:r w:rsidR="000A1AA8" w:rsidRPr="0038442F">
        <w:rPr>
          <w:rFonts w:ascii="Verdana" w:hAnsi="Verdana" w:cs="System Font Regular"/>
          <w:sz w:val="20"/>
          <w:szCs w:val="20"/>
          <w:lang w:val="pt-BR"/>
        </w:rPr>
        <w:t>direitos</w:t>
      </w:r>
      <w:r w:rsidR="00C11890"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especificamente</w:t>
      </w:r>
      <w:r w:rsidR="00407242" w:rsidRPr="0038442F">
        <w:rPr>
          <w:rFonts w:ascii="Verdana" w:hAnsi="Verdana" w:cs="System Font Regular"/>
          <w:sz w:val="20"/>
          <w:szCs w:val="20"/>
          <w:lang w:val="pt-BR"/>
        </w:rPr>
        <w:t xml:space="preserve"> </w:t>
      </w:r>
      <w:r w:rsidR="0038018A" w:rsidRPr="0038442F">
        <w:rPr>
          <w:rFonts w:ascii="Verdana" w:hAnsi="Verdana" w:cs="System Font Regular"/>
          <w:sz w:val="20"/>
          <w:szCs w:val="20"/>
          <w:lang w:val="pt-BR"/>
        </w:rPr>
        <w:t xml:space="preserve">a </w:t>
      </w:r>
      <w:r w:rsidRPr="0038442F">
        <w:rPr>
          <w:rFonts w:ascii="Verdana" w:hAnsi="Verdana" w:cs="System Font Regular"/>
          <w:i/>
          <w:sz w:val="20"/>
          <w:szCs w:val="20"/>
          <w:lang w:val="pt-BR"/>
        </w:rPr>
        <w:t>omissão</w:t>
      </w:r>
      <w:r w:rsidR="00407242" w:rsidRPr="0038442F">
        <w:rPr>
          <w:rFonts w:ascii="Verdana" w:hAnsi="Verdana" w:cs="System Font Regular"/>
          <w:i/>
          <w:sz w:val="20"/>
          <w:szCs w:val="20"/>
          <w:lang w:val="pt-BR"/>
        </w:rPr>
        <w:t xml:space="preserve"> </w:t>
      </w:r>
      <w:r w:rsidR="001E4188" w:rsidRPr="0038442F">
        <w:rPr>
          <w:rFonts w:ascii="Verdana" w:hAnsi="Verdana" w:cs="System Font Regular"/>
          <w:i/>
          <w:sz w:val="20"/>
          <w:szCs w:val="20"/>
          <w:lang w:val="pt-BR"/>
        </w:rPr>
        <w:t>de fiscaliza</w:t>
      </w:r>
      <w:r w:rsidR="000A1AA8" w:rsidRPr="0038442F">
        <w:rPr>
          <w:rFonts w:ascii="Verdana" w:hAnsi="Verdana" w:cs="System Font Regular"/>
          <w:i/>
          <w:sz w:val="20"/>
          <w:szCs w:val="20"/>
          <w:lang w:val="pt-BR"/>
        </w:rPr>
        <w:t>ção</w:t>
      </w:r>
      <w:r w:rsidR="00B12E13" w:rsidRPr="0038442F">
        <w:rPr>
          <w:rFonts w:ascii="Verdana" w:hAnsi="Verdana" w:cs="System Font Regular"/>
          <w:sz w:val="20"/>
          <w:szCs w:val="20"/>
          <w:lang w:val="pt-BR"/>
        </w:rPr>
        <w:t>,</w:t>
      </w:r>
      <w:r w:rsidR="001E4188" w:rsidRPr="0038442F">
        <w:rPr>
          <w:rFonts w:ascii="Verdana" w:hAnsi="Verdana" w:cs="System Font Regular"/>
          <w:sz w:val="20"/>
          <w:szCs w:val="20"/>
          <w:lang w:val="pt-BR"/>
        </w:rPr>
        <w:t xml:space="preserve"> tanto </w:t>
      </w:r>
      <w:r w:rsidRPr="0038442F">
        <w:rPr>
          <w:rFonts w:ascii="Verdana" w:hAnsi="Verdana" w:cs="System Font Regular"/>
          <w:sz w:val="20"/>
          <w:szCs w:val="20"/>
          <w:lang w:val="pt-BR"/>
        </w:rPr>
        <w:t xml:space="preserve">dos direitos </w:t>
      </w:r>
      <w:r w:rsidR="001E4188" w:rsidRPr="0038442F">
        <w:rPr>
          <w:rFonts w:ascii="Verdana" w:hAnsi="Verdana" w:cs="System Font Regular"/>
          <w:sz w:val="20"/>
          <w:szCs w:val="20"/>
          <w:lang w:val="pt-BR"/>
        </w:rPr>
        <w:t>antes descritos</w:t>
      </w:r>
      <w:r w:rsidR="0057093F">
        <w:rPr>
          <w:rFonts w:ascii="Verdana" w:hAnsi="Verdana" w:cs="System Font Regular"/>
          <w:sz w:val="20"/>
          <w:szCs w:val="20"/>
          <w:lang w:val="pt-BR"/>
        </w:rPr>
        <w:t>,</w:t>
      </w:r>
      <w:r w:rsidR="001E4188" w:rsidRPr="0038442F">
        <w:rPr>
          <w:rFonts w:ascii="Verdana" w:hAnsi="Verdana" w:cs="System Font Regular"/>
          <w:sz w:val="20"/>
          <w:szCs w:val="20"/>
          <w:lang w:val="pt-BR"/>
        </w:rPr>
        <w:t xml:space="preserve"> como </w:t>
      </w:r>
      <w:r w:rsidR="0057093F">
        <w:rPr>
          <w:rFonts w:ascii="Verdana" w:hAnsi="Verdana" w:cs="System Font Regular"/>
          <w:sz w:val="20"/>
          <w:szCs w:val="20"/>
          <w:lang w:val="pt-BR"/>
        </w:rPr>
        <w:t>a partir da</w:t>
      </w:r>
      <w:r w:rsidR="0057093F"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visão</w:t>
      </w:r>
      <w:r w:rsidR="001E418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das </w:t>
      </w:r>
      <w:r w:rsidR="001E4188" w:rsidRPr="0038442F">
        <w:rPr>
          <w:rFonts w:ascii="Verdana" w:hAnsi="Verdana" w:cs="System Font Regular"/>
          <w:sz w:val="20"/>
          <w:szCs w:val="20"/>
          <w:lang w:val="pt-BR"/>
        </w:rPr>
        <w:t>condi</w:t>
      </w:r>
      <w:r w:rsidR="000A1AA8" w:rsidRPr="0038442F">
        <w:rPr>
          <w:rFonts w:ascii="Verdana" w:hAnsi="Verdana" w:cs="System Font Regular"/>
          <w:sz w:val="20"/>
          <w:szCs w:val="20"/>
          <w:lang w:val="pt-BR"/>
        </w:rPr>
        <w:t>ções</w:t>
      </w:r>
      <w:r w:rsidR="001E4188" w:rsidRPr="0038442F">
        <w:rPr>
          <w:rFonts w:ascii="Verdana" w:hAnsi="Verdana" w:cs="System Font Regular"/>
          <w:sz w:val="20"/>
          <w:szCs w:val="20"/>
          <w:lang w:val="pt-BR"/>
        </w:rPr>
        <w:t xml:space="preserve"> de </w:t>
      </w:r>
      <w:r w:rsidRPr="0038442F">
        <w:rPr>
          <w:rFonts w:ascii="Verdana" w:hAnsi="Verdana" w:cs="System Font Regular"/>
          <w:sz w:val="20"/>
          <w:szCs w:val="20"/>
          <w:lang w:val="pt-BR"/>
        </w:rPr>
        <w:t>trabalho</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e</w:t>
      </w:r>
      <w:r w:rsidRPr="0038442F">
        <w:rPr>
          <w:rFonts w:ascii="Verdana" w:hAnsi="Verdana" w:cs="System Font Regular"/>
          <w:sz w:val="20"/>
          <w:szCs w:val="20"/>
          <w:lang w:val="pt-BR"/>
        </w:rPr>
        <w:t>m</w:t>
      </w:r>
      <w:r w:rsidR="001E4188" w:rsidRPr="0038442F">
        <w:rPr>
          <w:rFonts w:ascii="Verdana" w:hAnsi="Verdana" w:cs="System Font Regular"/>
          <w:sz w:val="20"/>
          <w:szCs w:val="20"/>
          <w:lang w:val="pt-BR"/>
        </w:rPr>
        <w:t xml:space="preserve"> empresas </w:t>
      </w:r>
      <w:r w:rsidRPr="0038442F">
        <w:rPr>
          <w:rFonts w:ascii="Verdana" w:hAnsi="Verdana" w:cs="System Font Regular"/>
          <w:sz w:val="20"/>
          <w:szCs w:val="20"/>
          <w:lang w:val="pt-BR"/>
        </w:rPr>
        <w:t>e</w:t>
      </w:r>
      <w:r w:rsidR="001E418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especialmente</w:t>
      </w:r>
      <w:r w:rsidR="001E4188" w:rsidRPr="0038442F">
        <w:rPr>
          <w:rFonts w:ascii="Verdana" w:hAnsi="Verdana" w:cs="System Font Regular"/>
          <w:sz w:val="20"/>
          <w:szCs w:val="20"/>
          <w:lang w:val="pt-BR"/>
        </w:rPr>
        <w:t xml:space="preserve">, frente a </w:t>
      </w:r>
      <w:r w:rsidRPr="0038442F">
        <w:rPr>
          <w:rFonts w:ascii="Verdana" w:hAnsi="Verdana" w:cs="System Font Regular"/>
          <w:sz w:val="20"/>
          <w:szCs w:val="20"/>
          <w:lang w:val="pt-BR"/>
        </w:rPr>
        <w:t xml:space="preserve">trabalhos nos quais </w:t>
      </w:r>
      <w:r w:rsidR="001E4188" w:rsidRPr="0038442F">
        <w:rPr>
          <w:rFonts w:ascii="Verdana" w:hAnsi="Verdana" w:cs="System Font Regular"/>
          <w:sz w:val="20"/>
          <w:szCs w:val="20"/>
          <w:lang w:val="pt-BR"/>
        </w:rPr>
        <w:t xml:space="preserve">as </w:t>
      </w:r>
      <w:r w:rsidRPr="0038442F">
        <w:rPr>
          <w:rFonts w:ascii="Verdana" w:hAnsi="Verdana" w:cs="System Font Regular"/>
          <w:sz w:val="20"/>
          <w:szCs w:val="20"/>
          <w:lang w:val="pt-BR"/>
        </w:rPr>
        <w:t>pessoas</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 xml:space="preserve">se </w:t>
      </w:r>
      <w:r w:rsidRPr="0038442F">
        <w:rPr>
          <w:rFonts w:ascii="Verdana" w:hAnsi="Verdana" w:cs="System Font Regular"/>
          <w:sz w:val="20"/>
          <w:szCs w:val="20"/>
          <w:lang w:val="pt-BR"/>
        </w:rPr>
        <w:t>encontram expostas</w:t>
      </w:r>
      <w:r w:rsidR="00407242" w:rsidRPr="0038442F">
        <w:rPr>
          <w:rFonts w:ascii="Verdana" w:hAnsi="Verdana" w:cs="System Font Regular"/>
          <w:sz w:val="20"/>
          <w:szCs w:val="20"/>
          <w:lang w:val="pt-BR"/>
        </w:rPr>
        <w:t xml:space="preserve"> </w:t>
      </w:r>
      <w:r w:rsidR="001E4188" w:rsidRPr="0038442F">
        <w:rPr>
          <w:rFonts w:ascii="Verdana" w:hAnsi="Verdana" w:cs="System Font Regular"/>
          <w:sz w:val="20"/>
          <w:szCs w:val="20"/>
          <w:lang w:val="pt-BR"/>
        </w:rPr>
        <w:t>a realizar su</w:t>
      </w:r>
      <w:r w:rsidRPr="0038442F">
        <w:rPr>
          <w:rFonts w:ascii="Verdana" w:hAnsi="Verdana" w:cs="System Font Regular"/>
          <w:sz w:val="20"/>
          <w:szCs w:val="20"/>
          <w:lang w:val="pt-BR"/>
        </w:rPr>
        <w:t>a</w:t>
      </w:r>
      <w:r w:rsidR="001E4188" w:rsidRPr="0038442F">
        <w:rPr>
          <w:rFonts w:ascii="Verdana" w:hAnsi="Verdana" w:cs="System Font Regular"/>
          <w:sz w:val="20"/>
          <w:szCs w:val="20"/>
          <w:lang w:val="pt-BR"/>
        </w:rPr>
        <w:t xml:space="preserve">s </w:t>
      </w:r>
      <w:r w:rsidRPr="0038442F">
        <w:rPr>
          <w:rFonts w:ascii="Verdana" w:hAnsi="Verdana" w:cs="System Font Regular"/>
          <w:sz w:val="20"/>
          <w:szCs w:val="20"/>
          <w:lang w:val="pt-BR"/>
        </w:rPr>
        <w:t xml:space="preserve">tarefas com </w:t>
      </w:r>
      <w:r w:rsidR="001E4188" w:rsidRPr="0038442F">
        <w:rPr>
          <w:rFonts w:ascii="Verdana" w:hAnsi="Verdana" w:cs="System Font Regular"/>
          <w:sz w:val="20"/>
          <w:szCs w:val="20"/>
          <w:lang w:val="pt-BR"/>
        </w:rPr>
        <w:t>materi</w:t>
      </w:r>
      <w:r w:rsidRPr="0038442F">
        <w:rPr>
          <w:rFonts w:ascii="Verdana" w:hAnsi="Verdana" w:cs="System Font Regular"/>
          <w:sz w:val="20"/>
          <w:szCs w:val="20"/>
          <w:lang w:val="pt-BR"/>
        </w:rPr>
        <w:t>ais</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perigosos</w:t>
      </w:r>
      <w:r w:rsidR="001E418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A</w:t>
      </w:r>
      <w:r w:rsidR="00E246C2" w:rsidRPr="0038442F">
        <w:rPr>
          <w:rFonts w:ascii="Verdana" w:hAnsi="Verdana"/>
          <w:bCs/>
          <w:sz w:val="20"/>
          <w:szCs w:val="20"/>
          <w:lang w:val="pt-BR"/>
        </w:rPr>
        <w:t xml:space="preserve"> </w:t>
      </w:r>
      <w:r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E246C2" w:rsidRPr="0038442F">
        <w:rPr>
          <w:rFonts w:ascii="Verdana" w:hAnsi="Verdana"/>
          <w:bCs/>
          <w:sz w:val="20"/>
          <w:szCs w:val="20"/>
          <w:lang w:val="pt-BR"/>
        </w:rPr>
        <w:t>estatal principal anali</w:t>
      </w:r>
      <w:r w:rsidRPr="0038442F">
        <w:rPr>
          <w:rFonts w:ascii="Verdana" w:hAnsi="Verdana"/>
          <w:bCs/>
          <w:sz w:val="20"/>
          <w:szCs w:val="20"/>
          <w:lang w:val="pt-BR"/>
        </w:rPr>
        <w:t>s</w:t>
      </w:r>
      <w:r w:rsidR="00E246C2" w:rsidRPr="0038442F">
        <w:rPr>
          <w:rFonts w:ascii="Verdana" w:hAnsi="Verdana"/>
          <w:bCs/>
          <w:sz w:val="20"/>
          <w:szCs w:val="20"/>
          <w:lang w:val="pt-BR"/>
        </w:rPr>
        <w:t xml:space="preserve">ada </w:t>
      </w:r>
      <w:r w:rsidRPr="0038442F">
        <w:rPr>
          <w:rFonts w:ascii="Verdana" w:hAnsi="Verdana"/>
          <w:bCs/>
          <w:sz w:val="20"/>
          <w:szCs w:val="20"/>
          <w:lang w:val="pt-BR"/>
        </w:rPr>
        <w:t xml:space="preserve">é a </w:t>
      </w:r>
      <w:r w:rsidR="0008009B" w:rsidRPr="0038442F">
        <w:rPr>
          <w:rFonts w:ascii="Verdana" w:hAnsi="Verdana"/>
          <w:bCs/>
          <w:sz w:val="20"/>
          <w:szCs w:val="20"/>
          <w:lang w:val="pt-BR"/>
        </w:rPr>
        <w:t>de</w:t>
      </w:r>
      <w:r w:rsidR="00E246C2" w:rsidRPr="0038442F">
        <w:rPr>
          <w:rFonts w:ascii="Verdana" w:hAnsi="Verdana"/>
          <w:bCs/>
          <w:sz w:val="20"/>
          <w:szCs w:val="20"/>
          <w:lang w:val="pt-BR"/>
        </w:rPr>
        <w:t xml:space="preserve"> </w:t>
      </w:r>
      <w:r w:rsidRPr="0038442F">
        <w:rPr>
          <w:rFonts w:ascii="Verdana" w:hAnsi="Verdana"/>
          <w:bCs/>
          <w:sz w:val="20"/>
          <w:szCs w:val="20"/>
          <w:lang w:val="pt-BR"/>
        </w:rPr>
        <w:t>adotar</w:t>
      </w:r>
      <w:r w:rsidR="00407242" w:rsidRPr="0038442F">
        <w:rPr>
          <w:rFonts w:ascii="Verdana" w:hAnsi="Verdana"/>
          <w:bCs/>
          <w:sz w:val="20"/>
          <w:szCs w:val="20"/>
          <w:lang w:val="pt-BR"/>
        </w:rPr>
        <w:t xml:space="preserve"> </w:t>
      </w:r>
      <w:r w:rsidRPr="0038442F">
        <w:rPr>
          <w:rFonts w:ascii="Verdana" w:hAnsi="Verdana"/>
          <w:bCs/>
          <w:sz w:val="20"/>
          <w:szCs w:val="20"/>
          <w:lang w:val="pt-BR"/>
        </w:rPr>
        <w:t>“</w:t>
      </w:r>
      <w:r w:rsidR="00E246C2" w:rsidRPr="0038442F">
        <w:rPr>
          <w:rFonts w:ascii="Verdana" w:hAnsi="Verdana"/>
          <w:bCs/>
          <w:sz w:val="20"/>
          <w:szCs w:val="20"/>
          <w:lang w:val="pt-BR"/>
        </w:rPr>
        <w:t xml:space="preserve">as medidas </w:t>
      </w:r>
      <w:r w:rsidRPr="0038442F">
        <w:rPr>
          <w:rFonts w:ascii="Verdana" w:hAnsi="Verdana"/>
          <w:bCs/>
          <w:sz w:val="20"/>
          <w:szCs w:val="20"/>
          <w:lang w:val="pt-BR"/>
        </w:rPr>
        <w:t>necessárias</w:t>
      </w:r>
      <w:r w:rsidR="00E246C2" w:rsidRPr="0038442F">
        <w:rPr>
          <w:rFonts w:ascii="Verdana" w:hAnsi="Verdana"/>
          <w:bCs/>
          <w:sz w:val="20"/>
          <w:szCs w:val="20"/>
          <w:lang w:val="pt-BR"/>
        </w:rPr>
        <w:t>” para “prevenir” eventu</w:t>
      </w:r>
      <w:r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E246C2" w:rsidRPr="0038442F">
        <w:rPr>
          <w:rFonts w:ascii="Verdana" w:hAnsi="Verdana"/>
          <w:bCs/>
          <w:sz w:val="20"/>
          <w:szCs w:val="20"/>
          <w:lang w:val="pt-BR"/>
        </w:rPr>
        <w:t>viola</w:t>
      </w:r>
      <w:r w:rsidR="000A1AA8" w:rsidRPr="0038442F">
        <w:rPr>
          <w:rFonts w:ascii="Verdana" w:hAnsi="Verdana"/>
          <w:bCs/>
          <w:sz w:val="20"/>
          <w:szCs w:val="20"/>
          <w:lang w:val="pt-BR"/>
        </w:rPr>
        <w:t>ções</w:t>
      </w:r>
      <w:r w:rsidR="00E246C2" w:rsidRPr="0038442F">
        <w:rPr>
          <w:rFonts w:ascii="Verdana" w:hAnsi="Verdana"/>
          <w:bCs/>
          <w:sz w:val="20"/>
          <w:szCs w:val="20"/>
          <w:lang w:val="pt-BR"/>
        </w:rPr>
        <w:t xml:space="preserve"> </w:t>
      </w:r>
      <w:r w:rsidRPr="0038442F">
        <w:rPr>
          <w:rFonts w:ascii="Verdana" w:hAnsi="Verdana"/>
          <w:bCs/>
          <w:sz w:val="20"/>
          <w:szCs w:val="20"/>
          <w:lang w:val="pt-BR"/>
        </w:rPr>
        <w:t>dos direitos das mulheres</w:t>
      </w:r>
      <w:r w:rsidR="00407242" w:rsidRPr="0038442F">
        <w:rPr>
          <w:rFonts w:ascii="Verdana" w:hAnsi="Verdana"/>
          <w:bCs/>
          <w:sz w:val="20"/>
          <w:szCs w:val="20"/>
          <w:lang w:val="pt-BR"/>
        </w:rPr>
        <w:t xml:space="preserve"> </w:t>
      </w:r>
      <w:r w:rsidRPr="0038442F">
        <w:rPr>
          <w:rFonts w:ascii="Verdana" w:hAnsi="Verdana"/>
          <w:bCs/>
          <w:sz w:val="20"/>
          <w:szCs w:val="20"/>
          <w:lang w:val="pt-BR"/>
        </w:rPr>
        <w:t>trabalhadoras</w:t>
      </w:r>
      <w:r w:rsidR="00407242" w:rsidRPr="0038442F">
        <w:rPr>
          <w:rFonts w:ascii="Verdana" w:hAnsi="Verdana"/>
          <w:bCs/>
          <w:sz w:val="20"/>
          <w:szCs w:val="20"/>
          <w:lang w:val="pt-BR"/>
        </w:rPr>
        <w:t xml:space="preserve"> </w:t>
      </w:r>
      <w:r w:rsidR="0047712C" w:rsidRPr="0038442F">
        <w:rPr>
          <w:rFonts w:ascii="Verdana" w:hAnsi="Verdana"/>
          <w:bCs/>
          <w:sz w:val="20"/>
          <w:szCs w:val="20"/>
          <w:lang w:val="pt-BR"/>
        </w:rPr>
        <w:t>(</w:t>
      </w:r>
      <w:r w:rsidRPr="0038442F">
        <w:rPr>
          <w:rFonts w:ascii="Verdana" w:hAnsi="Verdana"/>
          <w:bCs/>
          <w:sz w:val="20"/>
          <w:szCs w:val="20"/>
          <w:lang w:val="pt-BR"/>
        </w:rPr>
        <w:t>algumas</w:t>
      </w:r>
      <w:r w:rsidR="00407242" w:rsidRPr="0038442F">
        <w:rPr>
          <w:rFonts w:ascii="Verdana" w:hAnsi="Verdana"/>
          <w:bCs/>
          <w:sz w:val="20"/>
          <w:szCs w:val="20"/>
          <w:lang w:val="pt-BR"/>
        </w:rPr>
        <w:t xml:space="preserve"> </w:t>
      </w:r>
      <w:r w:rsidRPr="0038442F">
        <w:rPr>
          <w:rFonts w:ascii="Verdana" w:hAnsi="Verdana"/>
          <w:bCs/>
          <w:sz w:val="20"/>
          <w:szCs w:val="20"/>
          <w:lang w:val="pt-BR"/>
        </w:rPr>
        <w:t>grávidas</w:t>
      </w:r>
      <w:r w:rsidR="0047712C" w:rsidRPr="0038442F">
        <w:rPr>
          <w:rFonts w:ascii="Verdana" w:hAnsi="Verdana"/>
          <w:bCs/>
          <w:sz w:val="20"/>
          <w:szCs w:val="20"/>
          <w:lang w:val="pt-BR"/>
        </w:rPr>
        <w:t xml:space="preserve">) </w:t>
      </w:r>
      <w:r w:rsidRPr="0038442F">
        <w:rPr>
          <w:rFonts w:ascii="Verdana" w:hAnsi="Verdana"/>
          <w:bCs/>
          <w:sz w:val="20"/>
          <w:szCs w:val="20"/>
          <w:lang w:val="pt-BR"/>
        </w:rPr>
        <w:t xml:space="preserve">e das crianças que perderam </w:t>
      </w:r>
      <w:r w:rsidR="00E246C2" w:rsidRPr="0038442F">
        <w:rPr>
          <w:rFonts w:ascii="Verdana" w:hAnsi="Verdana"/>
          <w:bCs/>
          <w:sz w:val="20"/>
          <w:szCs w:val="20"/>
          <w:lang w:val="pt-BR"/>
        </w:rPr>
        <w:t xml:space="preserve">a vida </w:t>
      </w:r>
      <w:r w:rsidRPr="0038442F">
        <w:rPr>
          <w:rFonts w:ascii="Verdana" w:hAnsi="Verdana"/>
          <w:bCs/>
          <w:sz w:val="20"/>
          <w:szCs w:val="20"/>
          <w:lang w:val="pt-BR"/>
        </w:rPr>
        <w:t>e</w:t>
      </w:r>
      <w:r w:rsidR="00E246C2" w:rsidRPr="0038442F">
        <w:rPr>
          <w:rFonts w:ascii="Verdana" w:hAnsi="Verdana"/>
          <w:bCs/>
          <w:sz w:val="20"/>
          <w:szCs w:val="20"/>
          <w:lang w:val="pt-BR"/>
        </w:rPr>
        <w:t xml:space="preserve"> </w:t>
      </w:r>
      <w:r w:rsidRPr="0038442F">
        <w:rPr>
          <w:rFonts w:ascii="Verdana" w:hAnsi="Verdana"/>
          <w:bCs/>
          <w:sz w:val="20"/>
          <w:szCs w:val="20"/>
          <w:lang w:val="pt-BR"/>
        </w:rPr>
        <w:t>das pessoas</w:t>
      </w:r>
      <w:r w:rsidR="00407242" w:rsidRPr="0038442F">
        <w:rPr>
          <w:rFonts w:ascii="Verdana" w:hAnsi="Verdana"/>
          <w:bCs/>
          <w:sz w:val="20"/>
          <w:szCs w:val="20"/>
          <w:lang w:val="pt-BR"/>
        </w:rPr>
        <w:t xml:space="preserve"> </w:t>
      </w:r>
      <w:r w:rsidR="00FE6D75" w:rsidRPr="0038442F">
        <w:rPr>
          <w:rFonts w:ascii="Verdana" w:hAnsi="Verdana"/>
          <w:bCs/>
          <w:sz w:val="20"/>
          <w:szCs w:val="20"/>
          <w:lang w:val="pt-BR"/>
        </w:rPr>
        <w:t xml:space="preserve">que </w:t>
      </w:r>
      <w:r w:rsidRPr="0038442F">
        <w:rPr>
          <w:rFonts w:ascii="Verdana" w:hAnsi="Verdana"/>
          <w:bCs/>
          <w:sz w:val="20"/>
          <w:szCs w:val="20"/>
          <w:lang w:val="pt-BR"/>
        </w:rPr>
        <w:t xml:space="preserve">ficaram </w:t>
      </w:r>
      <w:r w:rsidR="002247E5" w:rsidRPr="0038442F">
        <w:rPr>
          <w:rFonts w:ascii="Verdana" w:hAnsi="Verdana"/>
          <w:bCs/>
          <w:sz w:val="20"/>
          <w:szCs w:val="20"/>
          <w:lang w:val="pt-BR"/>
        </w:rPr>
        <w:t xml:space="preserve">gravemente </w:t>
      </w:r>
      <w:r w:rsidRPr="0038442F">
        <w:rPr>
          <w:rFonts w:ascii="Verdana" w:hAnsi="Verdana"/>
          <w:bCs/>
          <w:sz w:val="20"/>
          <w:szCs w:val="20"/>
          <w:lang w:val="pt-BR"/>
        </w:rPr>
        <w:t>feridas</w:t>
      </w:r>
      <w:r w:rsidR="00E246C2" w:rsidRPr="0038442F">
        <w:rPr>
          <w:rFonts w:ascii="Verdana" w:hAnsi="Verdana"/>
          <w:bCs/>
          <w:sz w:val="20"/>
          <w:szCs w:val="20"/>
          <w:lang w:val="pt-BR"/>
        </w:rPr>
        <w:t>.</w:t>
      </w:r>
    </w:p>
    <w:p w14:paraId="485ED469" w14:textId="77777777" w:rsidR="00E246C2" w:rsidRPr="0038442F" w:rsidRDefault="00E246C2" w:rsidP="00E246C2">
      <w:pPr>
        <w:pStyle w:val="Prrafodelista"/>
        <w:rPr>
          <w:rFonts w:ascii="Verdana" w:hAnsi="Verdana" w:cs="System Font Regular"/>
          <w:sz w:val="20"/>
          <w:szCs w:val="20"/>
          <w:lang w:val="pt-BR"/>
        </w:rPr>
      </w:pPr>
    </w:p>
    <w:p w14:paraId="790793E9" w14:textId="6ECCCA79" w:rsidR="001E4188" w:rsidRPr="0038442F" w:rsidRDefault="006445EE" w:rsidP="00E246C2">
      <w:pPr>
        <w:pStyle w:val="Prrafodelista"/>
        <w:numPr>
          <w:ilvl w:val="0"/>
          <w:numId w:val="2"/>
        </w:numPr>
        <w:spacing w:after="0" w:line="240" w:lineRule="auto"/>
        <w:ind w:left="0" w:firstLine="0"/>
        <w:jc w:val="both"/>
        <w:rPr>
          <w:rFonts w:ascii="Verdana" w:hAnsi="Verdana" w:cs="System Font Regular"/>
          <w:sz w:val="20"/>
          <w:szCs w:val="20"/>
          <w:lang w:val="pt-BR"/>
        </w:rPr>
      </w:pPr>
      <w:r w:rsidRPr="0038442F">
        <w:rPr>
          <w:rFonts w:ascii="Verdana" w:hAnsi="Verdana"/>
          <w:sz w:val="20"/>
          <w:szCs w:val="20"/>
          <w:lang w:val="pt-BR"/>
        </w:rPr>
        <w:t xml:space="preserve">Cumpre salientar a </w:t>
      </w:r>
      <w:r w:rsidR="00973772" w:rsidRPr="0038442F">
        <w:rPr>
          <w:rFonts w:ascii="Verdana" w:hAnsi="Verdana"/>
          <w:sz w:val="20"/>
          <w:szCs w:val="20"/>
          <w:lang w:val="pt-BR"/>
        </w:rPr>
        <w:t>importante participa</w:t>
      </w:r>
      <w:r w:rsidR="000A1AA8" w:rsidRPr="0038442F">
        <w:rPr>
          <w:rFonts w:ascii="Verdana" w:hAnsi="Verdana"/>
          <w:sz w:val="20"/>
          <w:szCs w:val="20"/>
          <w:lang w:val="pt-BR"/>
        </w:rPr>
        <w:t>ção</w:t>
      </w:r>
      <w:r w:rsidR="0097377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Pr="0038442F">
        <w:rPr>
          <w:rFonts w:ascii="Verdana" w:hAnsi="Verdana"/>
          <w:sz w:val="20"/>
          <w:szCs w:val="20"/>
          <w:lang w:val="pt-BR"/>
        </w:rPr>
        <w:t>sociedade</w:t>
      </w:r>
      <w:r w:rsidR="00407242" w:rsidRPr="0038442F">
        <w:rPr>
          <w:rFonts w:ascii="Verdana" w:hAnsi="Verdana"/>
          <w:sz w:val="20"/>
          <w:szCs w:val="20"/>
          <w:lang w:val="pt-BR"/>
        </w:rPr>
        <w:t xml:space="preserve"> </w:t>
      </w:r>
      <w:r w:rsidR="00973772" w:rsidRPr="0038442F">
        <w:rPr>
          <w:rFonts w:ascii="Verdana" w:hAnsi="Verdana"/>
          <w:sz w:val="20"/>
          <w:szCs w:val="20"/>
          <w:lang w:val="pt-BR"/>
        </w:rPr>
        <w:t>civil</w:t>
      </w:r>
      <w:r w:rsidRPr="0038442F">
        <w:rPr>
          <w:rFonts w:ascii="Verdana" w:hAnsi="Verdana"/>
          <w:sz w:val="20"/>
          <w:szCs w:val="20"/>
          <w:lang w:val="pt-BR"/>
        </w:rPr>
        <w:t>,</w:t>
      </w:r>
      <w:r w:rsidR="00973772" w:rsidRPr="0038442F">
        <w:rPr>
          <w:rFonts w:ascii="Verdana" w:hAnsi="Verdana"/>
          <w:sz w:val="20"/>
          <w:szCs w:val="20"/>
          <w:lang w:val="pt-BR"/>
        </w:rPr>
        <w:t xml:space="preserve"> </w:t>
      </w:r>
      <w:r w:rsidRPr="0038442F">
        <w:rPr>
          <w:rFonts w:ascii="Verdana" w:hAnsi="Verdana"/>
          <w:sz w:val="20"/>
          <w:szCs w:val="20"/>
          <w:lang w:val="pt-BR"/>
        </w:rPr>
        <w:t xml:space="preserve">por meio </w:t>
      </w:r>
      <w:r w:rsidR="00973772" w:rsidRPr="0038442F">
        <w:rPr>
          <w:rFonts w:ascii="Verdana" w:hAnsi="Verdana"/>
          <w:sz w:val="20"/>
          <w:szCs w:val="20"/>
          <w:lang w:val="pt-BR"/>
        </w:rPr>
        <w:t xml:space="preserve">de escritos de </w:t>
      </w:r>
      <w:r w:rsidR="00973772" w:rsidRPr="0038442F">
        <w:rPr>
          <w:rFonts w:ascii="Verdana" w:hAnsi="Verdana"/>
          <w:i/>
          <w:sz w:val="20"/>
          <w:szCs w:val="20"/>
          <w:lang w:val="pt-BR"/>
        </w:rPr>
        <w:t>amicus curiae</w:t>
      </w:r>
      <w:r w:rsidRPr="0038442F">
        <w:rPr>
          <w:rFonts w:ascii="Verdana" w:hAnsi="Verdana"/>
          <w:i/>
          <w:sz w:val="20"/>
          <w:szCs w:val="20"/>
          <w:lang w:val="pt-BR"/>
        </w:rPr>
        <w:t>.</w:t>
      </w:r>
      <w:r w:rsidR="00973772" w:rsidRPr="0038442F">
        <w:rPr>
          <w:rStyle w:val="Refdenotaalpie"/>
          <w:rFonts w:ascii="Verdana" w:hAnsi="Verdana" w:cs="System Font Regular"/>
          <w:sz w:val="20"/>
          <w:szCs w:val="20"/>
          <w:lang w:val="pt-BR"/>
        </w:rPr>
        <w:footnoteReference w:id="1"/>
      </w:r>
      <w:r w:rsidR="00973772" w:rsidRPr="0038442F">
        <w:rPr>
          <w:rFonts w:ascii="Verdana" w:hAnsi="Verdana"/>
          <w:sz w:val="20"/>
          <w:szCs w:val="20"/>
          <w:lang w:val="pt-BR"/>
        </w:rPr>
        <w:t xml:space="preserve"> Esta </w:t>
      </w:r>
      <w:r w:rsidRPr="0038442F">
        <w:rPr>
          <w:rFonts w:ascii="Verdana" w:hAnsi="Verdana"/>
          <w:sz w:val="20"/>
          <w:szCs w:val="20"/>
          <w:lang w:val="pt-BR"/>
        </w:rPr>
        <w:t xml:space="preserve">não é a </w:t>
      </w:r>
      <w:r w:rsidR="00CA30C5" w:rsidRPr="0038442F">
        <w:rPr>
          <w:rFonts w:ascii="Verdana" w:hAnsi="Verdana"/>
          <w:sz w:val="20"/>
          <w:szCs w:val="20"/>
          <w:lang w:val="pt-BR"/>
        </w:rPr>
        <w:t>primeira</w:t>
      </w:r>
      <w:r w:rsidR="00407242" w:rsidRPr="0038442F">
        <w:rPr>
          <w:rFonts w:ascii="Verdana" w:hAnsi="Verdana"/>
          <w:sz w:val="20"/>
          <w:szCs w:val="20"/>
          <w:lang w:val="pt-BR"/>
        </w:rPr>
        <w:t xml:space="preserve"> </w:t>
      </w:r>
      <w:r w:rsidR="00B12E13" w:rsidRPr="0038442F">
        <w:rPr>
          <w:rFonts w:ascii="Verdana" w:hAnsi="Verdana"/>
          <w:sz w:val="20"/>
          <w:szCs w:val="20"/>
          <w:lang w:val="pt-BR"/>
        </w:rPr>
        <w:t>vez</w:t>
      </w:r>
      <w:r w:rsidR="00407242" w:rsidRPr="0038442F">
        <w:rPr>
          <w:rFonts w:ascii="Verdana" w:hAnsi="Verdana"/>
          <w:sz w:val="20"/>
          <w:szCs w:val="20"/>
          <w:lang w:val="pt-BR"/>
        </w:rPr>
        <w:t xml:space="preserve"> </w:t>
      </w:r>
      <w:r w:rsidRPr="0038442F">
        <w:rPr>
          <w:rFonts w:ascii="Verdana" w:hAnsi="Verdana"/>
          <w:sz w:val="20"/>
          <w:szCs w:val="20"/>
          <w:lang w:val="pt-BR"/>
        </w:rPr>
        <w:t xml:space="preserve">que a </w:t>
      </w:r>
      <w:r w:rsidR="00AE3ADC" w:rsidRPr="0038442F">
        <w:rPr>
          <w:rFonts w:ascii="Verdana" w:hAnsi="Verdana"/>
          <w:sz w:val="20"/>
          <w:szCs w:val="20"/>
          <w:lang w:val="pt-BR"/>
        </w:rPr>
        <w:t>Corte I</w:t>
      </w:r>
      <w:r w:rsidR="00E246C2" w:rsidRPr="0038442F">
        <w:rPr>
          <w:rFonts w:ascii="Verdana" w:hAnsi="Verdana"/>
          <w:sz w:val="20"/>
          <w:szCs w:val="20"/>
          <w:lang w:val="pt-BR"/>
        </w:rPr>
        <w:t>DH</w:t>
      </w:r>
      <w:r w:rsidR="00AE3ADC" w:rsidRPr="0038442F">
        <w:rPr>
          <w:rFonts w:ascii="Verdana" w:hAnsi="Verdana"/>
          <w:sz w:val="20"/>
          <w:szCs w:val="20"/>
          <w:lang w:val="pt-BR"/>
        </w:rPr>
        <w:t xml:space="preserve"> </w:t>
      </w:r>
      <w:r w:rsidR="00E246C2" w:rsidRPr="0038442F">
        <w:rPr>
          <w:rFonts w:ascii="Verdana" w:hAnsi="Verdana"/>
          <w:sz w:val="20"/>
          <w:szCs w:val="20"/>
          <w:lang w:val="pt-BR"/>
        </w:rPr>
        <w:t xml:space="preserve">se </w:t>
      </w:r>
      <w:r w:rsidR="00AE3ADC" w:rsidRPr="0038442F">
        <w:rPr>
          <w:rFonts w:ascii="Verdana" w:hAnsi="Verdana"/>
          <w:sz w:val="20"/>
          <w:szCs w:val="20"/>
          <w:lang w:val="pt-BR"/>
        </w:rPr>
        <w:t>pronuncia sobre a) a discrimina</w:t>
      </w:r>
      <w:r w:rsidR="000A1AA8" w:rsidRPr="0038442F">
        <w:rPr>
          <w:rFonts w:ascii="Verdana" w:hAnsi="Verdana"/>
          <w:sz w:val="20"/>
          <w:szCs w:val="20"/>
          <w:lang w:val="pt-BR"/>
        </w:rPr>
        <w:t>ção</w:t>
      </w:r>
      <w:r w:rsidR="00AE3ADC" w:rsidRPr="0038442F">
        <w:rPr>
          <w:rFonts w:ascii="Verdana" w:hAnsi="Verdana"/>
          <w:sz w:val="20"/>
          <w:szCs w:val="20"/>
          <w:lang w:val="pt-BR"/>
        </w:rPr>
        <w:t xml:space="preserve"> </w:t>
      </w:r>
      <w:r w:rsidRPr="0038442F">
        <w:rPr>
          <w:rFonts w:ascii="Verdana" w:hAnsi="Verdana"/>
          <w:sz w:val="20"/>
          <w:szCs w:val="20"/>
          <w:lang w:val="pt-BR"/>
        </w:rPr>
        <w:t>estrutural</w:t>
      </w:r>
      <w:r w:rsidR="00B12E13" w:rsidRPr="0038442F">
        <w:rPr>
          <w:rFonts w:ascii="Verdana" w:hAnsi="Verdana"/>
          <w:sz w:val="20"/>
          <w:szCs w:val="20"/>
          <w:lang w:val="pt-BR"/>
        </w:rPr>
        <w:t>;</w:t>
      </w:r>
      <w:r w:rsidR="00AE3ADC" w:rsidRPr="0038442F">
        <w:rPr>
          <w:rFonts w:ascii="Verdana" w:hAnsi="Verdana"/>
          <w:sz w:val="20"/>
          <w:szCs w:val="20"/>
          <w:lang w:val="pt-BR"/>
        </w:rPr>
        <w:t xml:space="preserve"> b) a discrimina</w:t>
      </w:r>
      <w:r w:rsidR="000A1AA8" w:rsidRPr="0038442F">
        <w:rPr>
          <w:rFonts w:ascii="Verdana" w:hAnsi="Verdana"/>
          <w:sz w:val="20"/>
          <w:szCs w:val="20"/>
          <w:lang w:val="pt-BR"/>
        </w:rPr>
        <w:t>ção</w:t>
      </w:r>
      <w:r w:rsidR="00AE3ADC" w:rsidRPr="0038442F">
        <w:rPr>
          <w:rFonts w:ascii="Verdana" w:hAnsi="Verdana"/>
          <w:sz w:val="20"/>
          <w:szCs w:val="20"/>
          <w:lang w:val="pt-BR"/>
        </w:rPr>
        <w:t xml:space="preserve"> </w:t>
      </w:r>
      <w:r w:rsidRPr="0038442F">
        <w:rPr>
          <w:rFonts w:ascii="Verdana" w:hAnsi="Verdana"/>
          <w:sz w:val="20"/>
          <w:szCs w:val="20"/>
          <w:lang w:val="pt-BR"/>
        </w:rPr>
        <w:t>intersecional</w:t>
      </w:r>
      <w:r w:rsidR="00B12E13" w:rsidRPr="0038442F">
        <w:rPr>
          <w:rFonts w:ascii="Verdana" w:hAnsi="Verdana"/>
          <w:sz w:val="20"/>
          <w:szCs w:val="20"/>
          <w:lang w:val="pt-BR"/>
        </w:rPr>
        <w:t>;</w:t>
      </w:r>
      <w:r w:rsidR="00AE3ADC" w:rsidRPr="0038442F">
        <w:rPr>
          <w:rFonts w:ascii="Verdana" w:hAnsi="Verdana"/>
          <w:sz w:val="20"/>
          <w:szCs w:val="20"/>
          <w:lang w:val="pt-BR"/>
        </w:rPr>
        <w:t xml:space="preserve"> c) a discrimina</w:t>
      </w:r>
      <w:r w:rsidR="000A1AA8" w:rsidRPr="0038442F">
        <w:rPr>
          <w:rFonts w:ascii="Verdana" w:hAnsi="Verdana"/>
          <w:sz w:val="20"/>
          <w:szCs w:val="20"/>
          <w:lang w:val="pt-BR"/>
        </w:rPr>
        <w:t>ção</w:t>
      </w:r>
      <w:r w:rsidR="00AE3ADC" w:rsidRPr="0038442F">
        <w:rPr>
          <w:rFonts w:ascii="Verdana" w:hAnsi="Verdana"/>
          <w:sz w:val="20"/>
          <w:szCs w:val="20"/>
          <w:lang w:val="pt-BR"/>
        </w:rPr>
        <w:t xml:space="preserve"> </w:t>
      </w:r>
      <w:r w:rsidR="000A1AA8" w:rsidRPr="0038442F">
        <w:rPr>
          <w:rFonts w:ascii="Verdana" w:hAnsi="Verdana"/>
          <w:sz w:val="20"/>
          <w:szCs w:val="20"/>
          <w:lang w:val="pt-BR"/>
        </w:rPr>
        <w:t xml:space="preserve">pela </w:t>
      </w:r>
      <w:r w:rsidR="00AE3ADC" w:rsidRPr="0038442F">
        <w:rPr>
          <w:rFonts w:ascii="Verdana" w:hAnsi="Verdana"/>
          <w:sz w:val="20"/>
          <w:szCs w:val="20"/>
          <w:lang w:val="pt-BR"/>
        </w:rPr>
        <w:t>posi</w:t>
      </w:r>
      <w:r w:rsidR="000A1AA8" w:rsidRPr="0038442F">
        <w:rPr>
          <w:rFonts w:ascii="Verdana" w:hAnsi="Verdana"/>
          <w:sz w:val="20"/>
          <w:szCs w:val="20"/>
          <w:lang w:val="pt-BR"/>
        </w:rPr>
        <w:t>ção</w:t>
      </w:r>
      <w:r w:rsidR="00AE3ADC" w:rsidRPr="0038442F">
        <w:rPr>
          <w:rFonts w:ascii="Verdana" w:hAnsi="Verdana"/>
          <w:sz w:val="20"/>
          <w:szCs w:val="20"/>
          <w:lang w:val="pt-BR"/>
        </w:rPr>
        <w:t xml:space="preserve"> </w:t>
      </w:r>
      <w:r w:rsidRPr="0038442F">
        <w:rPr>
          <w:rFonts w:ascii="Verdana" w:hAnsi="Verdana"/>
          <w:sz w:val="20"/>
          <w:szCs w:val="20"/>
          <w:lang w:val="pt-BR"/>
        </w:rPr>
        <w:t>econômica – analisada</w:t>
      </w:r>
      <w:r w:rsidR="00407242" w:rsidRPr="0038442F">
        <w:rPr>
          <w:rFonts w:ascii="Verdana" w:hAnsi="Verdana"/>
          <w:sz w:val="20"/>
          <w:szCs w:val="20"/>
          <w:lang w:val="pt-BR"/>
        </w:rPr>
        <w:t xml:space="preserve"> </w:t>
      </w:r>
      <w:r w:rsidR="00252907">
        <w:rPr>
          <w:rFonts w:ascii="Verdana" w:hAnsi="Verdana"/>
          <w:sz w:val="20"/>
          <w:szCs w:val="20"/>
          <w:lang w:val="pt-BR"/>
        </w:rPr>
        <w:t>sob a</w:t>
      </w:r>
      <w:r w:rsidR="00252907" w:rsidRPr="0038442F">
        <w:rPr>
          <w:rFonts w:ascii="Verdana" w:hAnsi="Verdana"/>
          <w:sz w:val="20"/>
          <w:szCs w:val="20"/>
          <w:lang w:val="pt-BR"/>
        </w:rPr>
        <w:t xml:space="preserve"> </w:t>
      </w:r>
      <w:r w:rsidR="00AE3ADC" w:rsidRPr="0038442F">
        <w:rPr>
          <w:rFonts w:ascii="Verdana" w:hAnsi="Verdana"/>
          <w:sz w:val="20"/>
          <w:szCs w:val="20"/>
          <w:lang w:val="pt-BR"/>
        </w:rPr>
        <w:t xml:space="preserve">ótica </w:t>
      </w:r>
      <w:r w:rsidR="00C92762" w:rsidRPr="0038442F">
        <w:rPr>
          <w:rFonts w:ascii="Verdana" w:hAnsi="Verdana"/>
          <w:sz w:val="20"/>
          <w:szCs w:val="20"/>
          <w:lang w:val="pt-BR"/>
        </w:rPr>
        <w:t xml:space="preserve">da </w:t>
      </w:r>
      <w:r w:rsidR="00AE3ADC" w:rsidRPr="0038442F">
        <w:rPr>
          <w:rFonts w:ascii="Verdana" w:hAnsi="Verdana"/>
          <w:sz w:val="20"/>
          <w:szCs w:val="20"/>
          <w:lang w:val="pt-BR"/>
        </w:rPr>
        <w:t xml:space="preserve">“pobreza” </w:t>
      </w:r>
      <w:r w:rsidR="00C92762" w:rsidRPr="0038442F">
        <w:rPr>
          <w:rFonts w:ascii="Verdana" w:hAnsi="Verdana"/>
          <w:sz w:val="20"/>
          <w:szCs w:val="20"/>
          <w:lang w:val="pt-BR"/>
        </w:rPr>
        <w:t xml:space="preserve">das vítimas </w:t>
      </w:r>
      <w:r w:rsidR="00AE3ADC" w:rsidRPr="0038442F">
        <w:rPr>
          <w:rFonts w:ascii="Verdana" w:hAnsi="Verdana"/>
          <w:sz w:val="20"/>
          <w:szCs w:val="20"/>
          <w:lang w:val="pt-BR"/>
        </w:rPr>
        <w:t>—</w:t>
      </w:r>
      <w:r w:rsidR="00B12E13" w:rsidRPr="0038442F">
        <w:rPr>
          <w:rFonts w:ascii="Verdana" w:hAnsi="Verdana"/>
          <w:sz w:val="20"/>
          <w:szCs w:val="20"/>
          <w:lang w:val="pt-BR"/>
        </w:rPr>
        <w:t>;</w:t>
      </w:r>
      <w:r w:rsidR="00AE3ADC" w:rsidRPr="0038442F">
        <w:rPr>
          <w:rFonts w:ascii="Verdana" w:hAnsi="Verdana" w:cs="System Font Regular"/>
          <w:sz w:val="20"/>
          <w:szCs w:val="20"/>
          <w:lang w:val="pt-BR"/>
        </w:rPr>
        <w:t xml:space="preserve"> </w:t>
      </w:r>
      <w:r w:rsidR="00CA30C5" w:rsidRPr="0038442F">
        <w:rPr>
          <w:rFonts w:ascii="Verdana" w:hAnsi="Verdana" w:cs="System Font Regular"/>
          <w:sz w:val="20"/>
          <w:szCs w:val="20"/>
          <w:lang w:val="pt-BR"/>
        </w:rPr>
        <w:t>e</w:t>
      </w:r>
      <w:r w:rsidR="00AE3ADC" w:rsidRPr="0038442F">
        <w:rPr>
          <w:rFonts w:ascii="Verdana" w:hAnsi="Verdana" w:cs="System Font Regular"/>
          <w:sz w:val="20"/>
          <w:szCs w:val="20"/>
          <w:lang w:val="pt-BR"/>
        </w:rPr>
        <w:t xml:space="preserve"> d) </w:t>
      </w:r>
      <w:r w:rsidR="00CA30C5" w:rsidRPr="0038442F">
        <w:rPr>
          <w:rFonts w:ascii="Verdana" w:hAnsi="Verdana" w:cs="System Font Regular"/>
          <w:sz w:val="20"/>
          <w:szCs w:val="20"/>
          <w:lang w:val="pt-BR"/>
        </w:rPr>
        <w:t xml:space="preserve">o conteúdo </w:t>
      </w:r>
      <w:r w:rsidR="00C92762" w:rsidRPr="0038442F">
        <w:rPr>
          <w:rFonts w:ascii="Verdana" w:hAnsi="Verdana" w:cs="System Font Regular"/>
          <w:sz w:val="20"/>
          <w:szCs w:val="20"/>
          <w:lang w:val="pt-BR"/>
        </w:rPr>
        <w:t xml:space="preserve">dos direitos </w:t>
      </w:r>
      <w:r w:rsidR="00AE3ADC" w:rsidRPr="0038442F">
        <w:rPr>
          <w:rFonts w:ascii="Verdana" w:hAnsi="Verdana" w:cs="System Font Regular"/>
          <w:sz w:val="20"/>
          <w:szCs w:val="20"/>
          <w:lang w:val="pt-BR"/>
        </w:rPr>
        <w:t>soci</w:t>
      </w:r>
      <w:r w:rsidR="00C92762" w:rsidRPr="0038442F">
        <w:rPr>
          <w:rFonts w:ascii="Verdana" w:hAnsi="Verdana" w:cs="System Font Regular"/>
          <w:sz w:val="20"/>
          <w:szCs w:val="20"/>
          <w:lang w:val="pt-BR"/>
        </w:rPr>
        <w:t xml:space="preserve">ais </w:t>
      </w:r>
      <w:r w:rsidR="00AE3ADC" w:rsidRPr="0038442F">
        <w:rPr>
          <w:rFonts w:ascii="Verdana" w:hAnsi="Verdana" w:cs="System Font Regular"/>
          <w:sz w:val="20"/>
          <w:szCs w:val="20"/>
          <w:lang w:val="pt-BR"/>
        </w:rPr>
        <w:t xml:space="preserve">que </w:t>
      </w:r>
      <w:r w:rsidR="00CA30C5" w:rsidRPr="0038442F">
        <w:rPr>
          <w:rFonts w:ascii="Verdana" w:hAnsi="Verdana" w:cs="System Font Regular"/>
          <w:sz w:val="20"/>
          <w:szCs w:val="20"/>
          <w:lang w:val="pt-BR"/>
        </w:rPr>
        <w:t>podem decorrer do artigo</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 xml:space="preserve">26 </w:t>
      </w:r>
      <w:r w:rsidR="00C92762" w:rsidRPr="0038442F">
        <w:rPr>
          <w:rFonts w:ascii="Verdana" w:hAnsi="Verdana" w:cs="System Font Regular"/>
          <w:sz w:val="20"/>
          <w:szCs w:val="20"/>
          <w:lang w:val="pt-BR"/>
        </w:rPr>
        <w:t xml:space="preserve">da </w:t>
      </w:r>
      <w:r w:rsidR="00AE3ADC"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00AE3ADC" w:rsidRPr="0038442F">
        <w:rPr>
          <w:rFonts w:ascii="Verdana" w:hAnsi="Verdana" w:cs="System Font Regular"/>
          <w:sz w:val="20"/>
          <w:szCs w:val="20"/>
          <w:lang w:val="pt-BR"/>
        </w:rPr>
        <w:t xml:space="preserve"> Americana sobre </w:t>
      </w:r>
      <w:r w:rsidR="00C92762" w:rsidRPr="0038442F">
        <w:rPr>
          <w:rFonts w:ascii="Verdana" w:hAnsi="Verdana" w:cs="System Font Regular"/>
          <w:sz w:val="20"/>
          <w:szCs w:val="20"/>
          <w:lang w:val="pt-BR"/>
        </w:rPr>
        <w:t>Direitos</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Humanos (</w:t>
      </w:r>
      <w:r w:rsidR="00CA30C5" w:rsidRPr="0038442F">
        <w:rPr>
          <w:rFonts w:ascii="Verdana" w:hAnsi="Verdana" w:cs="System Font Regular"/>
          <w:sz w:val="20"/>
          <w:szCs w:val="20"/>
          <w:lang w:val="pt-BR"/>
        </w:rPr>
        <w:t xml:space="preserve">doravante denominada </w:t>
      </w:r>
      <w:r w:rsidR="00AE3ADC" w:rsidRPr="0038442F">
        <w:rPr>
          <w:rFonts w:ascii="Verdana" w:hAnsi="Verdana"/>
          <w:sz w:val="20"/>
          <w:szCs w:val="20"/>
          <w:lang w:val="pt-BR"/>
        </w:rPr>
        <w:t>“Conven</w:t>
      </w:r>
      <w:r w:rsidR="000A1AA8" w:rsidRPr="0038442F">
        <w:rPr>
          <w:rFonts w:ascii="Verdana" w:hAnsi="Verdana"/>
          <w:sz w:val="20"/>
          <w:szCs w:val="20"/>
          <w:lang w:val="pt-BR"/>
        </w:rPr>
        <w:t>ção</w:t>
      </w:r>
      <w:r w:rsidR="00AE3ADC" w:rsidRPr="0038442F">
        <w:rPr>
          <w:rFonts w:ascii="Verdana" w:hAnsi="Verdana"/>
          <w:sz w:val="20"/>
          <w:szCs w:val="20"/>
          <w:lang w:val="pt-BR"/>
        </w:rPr>
        <w:t xml:space="preserve"> Americana” o</w:t>
      </w:r>
      <w:r w:rsidR="00CA30C5" w:rsidRPr="0038442F">
        <w:rPr>
          <w:rFonts w:ascii="Verdana" w:hAnsi="Verdana"/>
          <w:sz w:val="20"/>
          <w:szCs w:val="20"/>
          <w:lang w:val="pt-BR"/>
        </w:rPr>
        <w:t>u</w:t>
      </w:r>
      <w:r w:rsidR="00AE3ADC" w:rsidRPr="0038442F">
        <w:rPr>
          <w:rFonts w:ascii="Verdana" w:hAnsi="Verdana"/>
          <w:sz w:val="20"/>
          <w:szCs w:val="20"/>
          <w:lang w:val="pt-BR"/>
        </w:rPr>
        <w:t xml:space="preserve"> “Pacto de San José”)</w:t>
      </w:r>
      <w:r w:rsidR="00AE3ADC" w:rsidRPr="0038442F">
        <w:rPr>
          <w:rFonts w:ascii="Verdana" w:hAnsi="Verdana" w:cs="System Font Regular"/>
          <w:sz w:val="20"/>
          <w:szCs w:val="20"/>
          <w:lang w:val="pt-BR"/>
        </w:rPr>
        <w:t>. N</w:t>
      </w:r>
      <w:r w:rsidR="00CA30C5" w:rsidRPr="0038442F">
        <w:rPr>
          <w:rFonts w:ascii="Verdana" w:hAnsi="Verdana" w:cs="System Font Regular"/>
          <w:sz w:val="20"/>
          <w:szCs w:val="20"/>
          <w:lang w:val="pt-BR"/>
        </w:rPr>
        <w:t>ã</w:t>
      </w:r>
      <w:r w:rsidR="00AE3ADC" w:rsidRPr="0038442F">
        <w:rPr>
          <w:rFonts w:ascii="Verdana" w:hAnsi="Verdana" w:cs="System Font Regular"/>
          <w:sz w:val="20"/>
          <w:szCs w:val="20"/>
          <w:lang w:val="pt-BR"/>
        </w:rPr>
        <w:t>o obstante</w:t>
      </w:r>
      <w:r w:rsidR="00CA30C5" w:rsidRPr="0038442F">
        <w:rPr>
          <w:rFonts w:ascii="Verdana" w:hAnsi="Verdana" w:cs="System Font Regular"/>
          <w:sz w:val="20"/>
          <w:szCs w:val="20"/>
          <w:lang w:val="pt-BR"/>
        </w:rPr>
        <w:t xml:space="preserve"> isso</w:t>
      </w:r>
      <w:r w:rsidR="00AE3ADC" w:rsidRPr="0038442F">
        <w:rPr>
          <w:rFonts w:ascii="Verdana" w:hAnsi="Verdana" w:cs="System Font Regular"/>
          <w:sz w:val="20"/>
          <w:szCs w:val="20"/>
          <w:lang w:val="pt-BR"/>
        </w:rPr>
        <w:t xml:space="preserve">, </w:t>
      </w:r>
      <w:r w:rsidR="00CD350B" w:rsidRPr="0038442F">
        <w:rPr>
          <w:rFonts w:ascii="Verdana" w:hAnsi="Verdana" w:cs="System Font Regular"/>
          <w:sz w:val="20"/>
          <w:szCs w:val="20"/>
          <w:lang w:val="pt-BR"/>
        </w:rPr>
        <w:t>trata-se d</w:t>
      </w:r>
      <w:r w:rsidR="00AE3ADC" w:rsidRPr="0038442F">
        <w:rPr>
          <w:rFonts w:ascii="Verdana" w:hAnsi="Verdana" w:cs="System Font Regular"/>
          <w:sz w:val="20"/>
          <w:szCs w:val="20"/>
          <w:lang w:val="pt-BR"/>
        </w:rPr>
        <w:t xml:space="preserve">a </w:t>
      </w:r>
      <w:r w:rsidR="00CA30C5" w:rsidRPr="0038442F">
        <w:rPr>
          <w:rFonts w:ascii="Verdana" w:hAnsi="Verdana" w:cs="System Font Regular"/>
          <w:sz w:val="20"/>
          <w:szCs w:val="20"/>
          <w:lang w:val="pt-BR"/>
        </w:rPr>
        <w:t>primeira</w:t>
      </w:r>
      <w:r w:rsidR="00407242" w:rsidRPr="0038442F">
        <w:rPr>
          <w:rFonts w:ascii="Verdana" w:hAnsi="Verdana" w:cs="System Font Regular"/>
          <w:sz w:val="20"/>
          <w:szCs w:val="20"/>
          <w:lang w:val="pt-BR"/>
        </w:rPr>
        <w:t xml:space="preserve"> </w:t>
      </w:r>
      <w:r w:rsidR="00CA30C5" w:rsidRPr="0038442F">
        <w:rPr>
          <w:rFonts w:ascii="Verdana" w:hAnsi="Verdana" w:cs="System Font Regular"/>
          <w:sz w:val="20"/>
          <w:szCs w:val="20"/>
          <w:lang w:val="pt-BR"/>
        </w:rPr>
        <w:t>oportunidade</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 xml:space="preserve">que a Corte IDH </w:t>
      </w:r>
      <w:r w:rsidR="00CA30C5" w:rsidRPr="0038442F">
        <w:rPr>
          <w:rFonts w:ascii="Verdana" w:hAnsi="Verdana" w:cs="System Font Regular"/>
          <w:sz w:val="20"/>
          <w:szCs w:val="20"/>
          <w:lang w:val="pt-BR"/>
        </w:rPr>
        <w:t xml:space="preserve">tem de analisar a </w:t>
      </w:r>
      <w:r w:rsidR="00AE3ADC" w:rsidRPr="0038442F">
        <w:rPr>
          <w:rFonts w:ascii="Verdana" w:hAnsi="Verdana" w:cs="System Font Regular"/>
          <w:sz w:val="20"/>
          <w:szCs w:val="20"/>
          <w:lang w:val="pt-BR"/>
        </w:rPr>
        <w:t xml:space="preserve">forma </w:t>
      </w:r>
      <w:r w:rsidR="00CA30C5" w:rsidRPr="0038442F">
        <w:rPr>
          <w:rFonts w:ascii="Verdana" w:hAnsi="Verdana" w:cs="System Font Regular"/>
          <w:sz w:val="20"/>
          <w:szCs w:val="20"/>
          <w:lang w:val="pt-BR"/>
        </w:rPr>
        <w:t xml:space="preserve">mediante a qual a confluência </w:t>
      </w:r>
      <w:r w:rsidR="00AE3ADC" w:rsidRPr="0038442F">
        <w:rPr>
          <w:rFonts w:ascii="Verdana" w:hAnsi="Verdana" w:cs="System Font Regular"/>
          <w:sz w:val="20"/>
          <w:szCs w:val="20"/>
          <w:lang w:val="pt-BR"/>
        </w:rPr>
        <w:t xml:space="preserve">de diversos </w:t>
      </w:r>
      <w:r w:rsidR="00CA30C5" w:rsidRPr="0038442F">
        <w:rPr>
          <w:rFonts w:ascii="Verdana" w:hAnsi="Verdana" w:cs="System Font Regular"/>
          <w:sz w:val="20"/>
          <w:szCs w:val="20"/>
          <w:lang w:val="pt-BR"/>
        </w:rPr>
        <w:t>fatores</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 xml:space="preserve">presentes </w:t>
      </w:r>
      <w:r w:rsidR="00CA30C5" w:rsidRPr="0038442F">
        <w:rPr>
          <w:rFonts w:ascii="Verdana" w:hAnsi="Verdana" w:cs="System Font Regular"/>
          <w:sz w:val="20"/>
          <w:szCs w:val="20"/>
          <w:lang w:val="pt-BR"/>
        </w:rPr>
        <w:t xml:space="preserve">nas </w:t>
      </w:r>
      <w:r w:rsidR="00C92762" w:rsidRPr="0038442F">
        <w:rPr>
          <w:rFonts w:ascii="Verdana" w:hAnsi="Verdana" w:cs="System Font Regular"/>
          <w:sz w:val="20"/>
          <w:szCs w:val="20"/>
          <w:lang w:val="pt-BR"/>
        </w:rPr>
        <w:t>vítimas</w:t>
      </w:r>
      <w:r w:rsidR="00407242" w:rsidRPr="0038442F">
        <w:rPr>
          <w:rFonts w:ascii="Verdana" w:hAnsi="Verdana" w:cs="System Font Regular"/>
          <w:sz w:val="20"/>
          <w:szCs w:val="20"/>
          <w:lang w:val="pt-BR"/>
        </w:rPr>
        <w:t xml:space="preserve"> </w:t>
      </w:r>
      <w:r w:rsidR="00F5040C" w:rsidRPr="0038442F">
        <w:rPr>
          <w:rFonts w:ascii="Verdana" w:hAnsi="Verdana" w:cs="System Font Regular"/>
          <w:sz w:val="20"/>
          <w:szCs w:val="20"/>
          <w:lang w:val="pt-BR"/>
        </w:rPr>
        <w:t>e</w:t>
      </w:r>
      <w:r w:rsidR="00CA30C5" w:rsidRPr="0038442F">
        <w:rPr>
          <w:rFonts w:ascii="Verdana" w:hAnsi="Verdana" w:cs="System Font Regular"/>
          <w:sz w:val="20"/>
          <w:szCs w:val="20"/>
          <w:lang w:val="pt-BR"/>
        </w:rPr>
        <w:t>m</w:t>
      </w:r>
      <w:r w:rsidR="00F5040C" w:rsidRPr="0038442F">
        <w:rPr>
          <w:rFonts w:ascii="Verdana" w:hAnsi="Verdana" w:cs="System Font Regular"/>
          <w:sz w:val="20"/>
          <w:szCs w:val="20"/>
          <w:lang w:val="pt-BR"/>
        </w:rPr>
        <w:t xml:space="preserve"> </w:t>
      </w:r>
      <w:r w:rsidR="000D5E1A" w:rsidRPr="0038442F">
        <w:rPr>
          <w:rFonts w:ascii="Verdana" w:hAnsi="Verdana" w:cs="System Font Regular"/>
          <w:sz w:val="20"/>
          <w:szCs w:val="20"/>
          <w:lang w:val="pt-BR"/>
        </w:rPr>
        <w:t>condi</w:t>
      </w:r>
      <w:r w:rsidR="000A1AA8" w:rsidRPr="0038442F">
        <w:rPr>
          <w:rFonts w:ascii="Verdana" w:hAnsi="Verdana" w:cs="System Font Regular"/>
          <w:sz w:val="20"/>
          <w:szCs w:val="20"/>
          <w:lang w:val="pt-BR"/>
        </w:rPr>
        <w:t>ção</w:t>
      </w:r>
      <w:r w:rsidR="000D5E1A" w:rsidRPr="0038442F">
        <w:rPr>
          <w:rFonts w:ascii="Verdana" w:hAnsi="Verdana" w:cs="System Font Regular"/>
          <w:sz w:val="20"/>
          <w:szCs w:val="20"/>
          <w:lang w:val="pt-BR"/>
        </w:rPr>
        <w:t xml:space="preserve"> </w:t>
      </w:r>
      <w:r w:rsidR="00F5040C" w:rsidRPr="0038442F">
        <w:rPr>
          <w:rFonts w:ascii="Verdana" w:hAnsi="Verdana" w:cs="System Font Regular"/>
          <w:sz w:val="20"/>
          <w:szCs w:val="20"/>
          <w:lang w:val="pt-BR"/>
        </w:rPr>
        <w:t xml:space="preserve">de pobreza </w:t>
      </w:r>
      <w:r w:rsidR="00AE3ADC" w:rsidRPr="0038442F">
        <w:rPr>
          <w:rFonts w:ascii="Verdana" w:hAnsi="Verdana" w:cs="System Font Regular"/>
          <w:sz w:val="20"/>
          <w:szCs w:val="20"/>
          <w:lang w:val="pt-BR"/>
        </w:rPr>
        <w:t xml:space="preserve">as </w:t>
      </w:r>
      <w:r w:rsidR="00CA30C5" w:rsidRPr="0038442F">
        <w:rPr>
          <w:rFonts w:ascii="Verdana" w:hAnsi="Verdana" w:cs="System Font Regular"/>
          <w:sz w:val="20"/>
          <w:szCs w:val="20"/>
          <w:lang w:val="pt-BR"/>
        </w:rPr>
        <w:lastRenderedPageBreak/>
        <w:t>submeteu</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 xml:space="preserve">a </w:t>
      </w:r>
      <w:r w:rsidR="00C92762" w:rsidRPr="0038442F">
        <w:rPr>
          <w:rFonts w:ascii="Verdana" w:hAnsi="Verdana" w:cs="System Font Regular"/>
          <w:sz w:val="20"/>
          <w:szCs w:val="20"/>
          <w:lang w:val="pt-BR"/>
        </w:rPr>
        <w:t>uma</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situa</w:t>
      </w:r>
      <w:r w:rsidR="000A1AA8" w:rsidRPr="0038442F">
        <w:rPr>
          <w:rFonts w:ascii="Verdana" w:hAnsi="Verdana" w:cs="System Font Regular"/>
          <w:sz w:val="20"/>
          <w:szCs w:val="20"/>
          <w:lang w:val="pt-BR"/>
        </w:rPr>
        <w:t>ção</w:t>
      </w:r>
      <w:r w:rsidR="00AE3ADC" w:rsidRPr="0038442F">
        <w:rPr>
          <w:rFonts w:ascii="Verdana" w:hAnsi="Verdana" w:cs="System Font Regular"/>
          <w:sz w:val="20"/>
          <w:szCs w:val="20"/>
          <w:lang w:val="pt-BR"/>
        </w:rPr>
        <w:t xml:space="preserve"> de discrimina</w:t>
      </w:r>
      <w:r w:rsidR="000A1AA8" w:rsidRPr="0038442F">
        <w:rPr>
          <w:rFonts w:ascii="Verdana" w:hAnsi="Verdana" w:cs="System Font Regular"/>
          <w:sz w:val="20"/>
          <w:szCs w:val="20"/>
          <w:lang w:val="pt-BR"/>
        </w:rPr>
        <w:t>ção</w:t>
      </w:r>
      <w:r w:rsidR="00AE3ADC"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estrutural</w:t>
      </w:r>
      <w:r w:rsidR="00407242" w:rsidRPr="0038442F">
        <w:rPr>
          <w:rFonts w:ascii="Verdana" w:hAnsi="Verdana" w:cs="System Font Regular"/>
          <w:sz w:val="20"/>
          <w:szCs w:val="20"/>
          <w:lang w:val="pt-BR"/>
        </w:rPr>
        <w:t xml:space="preserve"> </w:t>
      </w:r>
      <w:r w:rsidR="00AE3ADC" w:rsidRPr="0038442F">
        <w:rPr>
          <w:rFonts w:ascii="Verdana" w:hAnsi="Verdana" w:cs="System Font Regular"/>
          <w:sz w:val="20"/>
          <w:szCs w:val="20"/>
          <w:lang w:val="pt-BR"/>
        </w:rPr>
        <w:t xml:space="preserve">frente </w:t>
      </w:r>
      <w:r w:rsidR="00CA30C5" w:rsidRPr="0038442F">
        <w:rPr>
          <w:rFonts w:ascii="Verdana" w:hAnsi="Verdana" w:cs="System Font Regular"/>
          <w:sz w:val="20"/>
          <w:szCs w:val="20"/>
          <w:lang w:val="pt-BR"/>
        </w:rPr>
        <w:t xml:space="preserve">ao </w:t>
      </w:r>
      <w:r w:rsidR="00AE3ADC" w:rsidRPr="0038442F">
        <w:rPr>
          <w:rFonts w:ascii="Verdana" w:hAnsi="Verdana" w:cs="System Font Regular"/>
          <w:sz w:val="20"/>
          <w:szCs w:val="20"/>
          <w:lang w:val="pt-BR"/>
        </w:rPr>
        <w:t>d</w:t>
      </w:r>
      <w:r w:rsidR="00CA30C5" w:rsidRPr="0038442F">
        <w:rPr>
          <w:rFonts w:ascii="Verdana" w:hAnsi="Verdana" w:cs="System Font Regular"/>
          <w:sz w:val="20"/>
          <w:szCs w:val="20"/>
          <w:lang w:val="pt-BR"/>
        </w:rPr>
        <w:t>e</w:t>
      </w:r>
      <w:r w:rsidR="00AE3ADC" w:rsidRPr="0038442F">
        <w:rPr>
          <w:rFonts w:ascii="Verdana" w:hAnsi="Verdana" w:cs="System Font Regular"/>
          <w:sz w:val="20"/>
          <w:szCs w:val="20"/>
          <w:lang w:val="pt-BR"/>
        </w:rPr>
        <w:t>sfrute de condi</w:t>
      </w:r>
      <w:r w:rsidR="000A1AA8" w:rsidRPr="0038442F">
        <w:rPr>
          <w:rFonts w:ascii="Verdana" w:hAnsi="Verdana" w:cs="System Font Regular"/>
          <w:sz w:val="20"/>
          <w:szCs w:val="20"/>
          <w:lang w:val="pt-BR"/>
        </w:rPr>
        <w:t>ções</w:t>
      </w:r>
      <w:r w:rsidR="00AE3ADC" w:rsidRPr="0038442F">
        <w:rPr>
          <w:rFonts w:ascii="Verdana" w:hAnsi="Verdana" w:cs="System Font Regular"/>
          <w:sz w:val="20"/>
          <w:szCs w:val="20"/>
          <w:lang w:val="pt-BR"/>
        </w:rPr>
        <w:t xml:space="preserve"> espec</w:t>
      </w:r>
      <w:r w:rsidR="00FE6D75" w:rsidRPr="0038442F">
        <w:rPr>
          <w:rFonts w:ascii="Verdana" w:hAnsi="Verdana" w:cs="System Font Regular"/>
          <w:sz w:val="20"/>
          <w:szCs w:val="20"/>
          <w:lang w:val="pt-BR"/>
        </w:rPr>
        <w:t>í</w:t>
      </w:r>
      <w:r w:rsidR="00AE3ADC" w:rsidRPr="0038442F">
        <w:rPr>
          <w:rFonts w:ascii="Verdana" w:hAnsi="Verdana" w:cs="System Font Regular"/>
          <w:sz w:val="20"/>
          <w:szCs w:val="20"/>
          <w:lang w:val="pt-BR"/>
        </w:rPr>
        <w:t>ficas d</w:t>
      </w:r>
      <w:r w:rsidR="00CA30C5" w:rsidRPr="0038442F">
        <w:rPr>
          <w:rFonts w:ascii="Verdana" w:hAnsi="Verdana" w:cs="System Font Regular"/>
          <w:sz w:val="20"/>
          <w:szCs w:val="20"/>
          <w:lang w:val="pt-BR"/>
        </w:rPr>
        <w:t>o direito</w:t>
      </w:r>
      <w:r w:rsidR="00407242" w:rsidRPr="0038442F">
        <w:rPr>
          <w:rFonts w:ascii="Verdana" w:hAnsi="Verdana" w:cs="System Font Regular"/>
          <w:sz w:val="20"/>
          <w:szCs w:val="20"/>
          <w:lang w:val="pt-BR"/>
        </w:rPr>
        <w:t xml:space="preserve"> </w:t>
      </w:r>
      <w:r w:rsidR="00CA30C5" w:rsidRPr="0038442F">
        <w:rPr>
          <w:rFonts w:ascii="Verdana" w:hAnsi="Verdana" w:cs="System Font Regular"/>
          <w:sz w:val="20"/>
          <w:szCs w:val="20"/>
          <w:lang w:val="pt-BR"/>
        </w:rPr>
        <w:t>ao trabalho</w:t>
      </w:r>
      <w:r w:rsidR="00AE3ADC" w:rsidRPr="0038442F">
        <w:rPr>
          <w:rFonts w:ascii="Verdana" w:hAnsi="Verdana" w:cs="System Font Regular"/>
          <w:sz w:val="20"/>
          <w:szCs w:val="20"/>
          <w:lang w:val="pt-BR"/>
        </w:rPr>
        <w:t>.</w:t>
      </w:r>
    </w:p>
    <w:p w14:paraId="32C254B2" w14:textId="77777777" w:rsidR="00C01AE4" w:rsidRPr="0038442F" w:rsidRDefault="00C01AE4" w:rsidP="00A857CB">
      <w:pPr>
        <w:pStyle w:val="Prrafodelista"/>
        <w:tabs>
          <w:tab w:val="left" w:pos="709"/>
          <w:tab w:val="left" w:pos="1464"/>
        </w:tabs>
        <w:spacing w:after="0" w:line="240" w:lineRule="auto"/>
        <w:ind w:left="0"/>
        <w:jc w:val="both"/>
        <w:rPr>
          <w:rFonts w:ascii="Verdana" w:hAnsi="Verdana"/>
          <w:sz w:val="20"/>
          <w:szCs w:val="20"/>
          <w:lang w:val="pt-BR"/>
        </w:rPr>
      </w:pPr>
    </w:p>
    <w:p w14:paraId="6437FEAA" w14:textId="09B91F38" w:rsidR="00816460" w:rsidRPr="0038442F" w:rsidRDefault="00BF7A10" w:rsidP="00A857CB">
      <w:pPr>
        <w:pStyle w:val="Prrafodelista"/>
        <w:numPr>
          <w:ilvl w:val="0"/>
          <w:numId w:val="2"/>
        </w:numPr>
        <w:tabs>
          <w:tab w:val="left" w:pos="709"/>
          <w:tab w:val="left" w:pos="1464"/>
        </w:tabs>
        <w:spacing w:after="0" w:line="240" w:lineRule="auto"/>
        <w:ind w:left="0" w:firstLine="0"/>
        <w:jc w:val="both"/>
        <w:rPr>
          <w:rFonts w:ascii="Verdana" w:hAnsi="Verdana"/>
          <w:sz w:val="20"/>
          <w:szCs w:val="20"/>
          <w:lang w:val="pt-BR"/>
        </w:rPr>
      </w:pPr>
      <w:r w:rsidRPr="0038442F">
        <w:rPr>
          <w:rFonts w:ascii="Verdana" w:hAnsi="Verdana" w:cs="System Font Regular"/>
          <w:sz w:val="20"/>
          <w:szCs w:val="20"/>
          <w:lang w:val="pt-BR"/>
        </w:rPr>
        <w:t>A</w:t>
      </w:r>
      <w:r w:rsidR="00C01AE4"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sentença</w:t>
      </w:r>
      <w:r w:rsidR="00407242" w:rsidRPr="0038442F">
        <w:rPr>
          <w:rFonts w:ascii="Verdana" w:hAnsi="Verdana" w:cs="System Font Regular"/>
          <w:sz w:val="20"/>
          <w:szCs w:val="20"/>
          <w:lang w:val="pt-BR"/>
        </w:rPr>
        <w:t xml:space="preserve"> </w:t>
      </w:r>
      <w:r w:rsidR="00C01AE4" w:rsidRPr="0038442F">
        <w:rPr>
          <w:rFonts w:ascii="Verdana" w:hAnsi="Verdana" w:cs="System Font Regular"/>
          <w:sz w:val="20"/>
          <w:szCs w:val="20"/>
          <w:lang w:val="pt-BR"/>
        </w:rPr>
        <w:t xml:space="preserve">aborda </w:t>
      </w:r>
      <w:r w:rsidRPr="0038442F">
        <w:rPr>
          <w:rFonts w:ascii="Verdana" w:hAnsi="Verdana" w:cs="System Font Regular"/>
          <w:sz w:val="20"/>
          <w:szCs w:val="20"/>
          <w:lang w:val="pt-BR"/>
        </w:rPr>
        <w:t>o</w:t>
      </w:r>
      <w:r w:rsidR="00C01AE4" w:rsidRPr="0038442F">
        <w:rPr>
          <w:rFonts w:ascii="Verdana" w:hAnsi="Verdana" w:cs="System Font Regular"/>
          <w:sz w:val="20"/>
          <w:szCs w:val="20"/>
          <w:lang w:val="pt-BR"/>
        </w:rPr>
        <w:t xml:space="preserve"> </w:t>
      </w:r>
      <w:r w:rsidR="0016131E" w:rsidRPr="0038442F">
        <w:rPr>
          <w:rFonts w:ascii="Verdana" w:hAnsi="Verdana" w:cs="System Font Regular"/>
          <w:sz w:val="20"/>
          <w:szCs w:val="20"/>
          <w:lang w:val="pt-BR"/>
        </w:rPr>
        <w:t xml:space="preserve">contexto </w:t>
      </w:r>
      <w:r w:rsidR="00816460" w:rsidRPr="0038442F">
        <w:rPr>
          <w:rFonts w:ascii="Verdana" w:hAnsi="Verdana" w:cs="System Font Regular"/>
          <w:sz w:val="20"/>
          <w:szCs w:val="20"/>
          <w:lang w:val="pt-BR"/>
        </w:rPr>
        <w:t xml:space="preserve">de </w:t>
      </w:r>
      <w:r w:rsidRPr="0038442F">
        <w:rPr>
          <w:rFonts w:ascii="Verdana" w:hAnsi="Verdana" w:cs="System Font Regular"/>
          <w:i/>
          <w:sz w:val="20"/>
          <w:szCs w:val="20"/>
          <w:lang w:val="pt-BR"/>
        </w:rPr>
        <w:t>exclusão</w:t>
      </w:r>
      <w:r w:rsidR="00407242" w:rsidRPr="0038442F">
        <w:rPr>
          <w:rFonts w:ascii="Verdana" w:hAnsi="Verdana" w:cs="System Font Regular"/>
          <w:i/>
          <w:sz w:val="20"/>
          <w:szCs w:val="20"/>
          <w:lang w:val="pt-BR"/>
        </w:rPr>
        <w:t xml:space="preserve"> </w:t>
      </w:r>
      <w:r w:rsidR="002247E5" w:rsidRPr="0038442F">
        <w:rPr>
          <w:rFonts w:ascii="Verdana" w:hAnsi="Verdana" w:cs="System Font Regular"/>
          <w:i/>
          <w:sz w:val="20"/>
          <w:szCs w:val="20"/>
          <w:lang w:val="pt-BR"/>
        </w:rPr>
        <w:t>social</w:t>
      </w:r>
      <w:r w:rsidR="002247E5"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em </w:t>
      </w:r>
      <w:r w:rsidR="002247E5" w:rsidRPr="0038442F">
        <w:rPr>
          <w:rFonts w:ascii="Verdana" w:hAnsi="Verdana" w:cs="System Font Regular"/>
          <w:sz w:val="20"/>
          <w:szCs w:val="20"/>
          <w:lang w:val="pt-BR"/>
        </w:rPr>
        <w:t xml:space="preserve">que se </w:t>
      </w:r>
      <w:r w:rsidRPr="0038442F">
        <w:rPr>
          <w:rFonts w:ascii="Verdana" w:hAnsi="Verdana" w:cs="System Font Regular"/>
          <w:sz w:val="20"/>
          <w:szCs w:val="20"/>
          <w:lang w:val="pt-BR"/>
        </w:rPr>
        <w:t>encontram</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as pessoas </w:t>
      </w:r>
      <w:r w:rsidR="00816460" w:rsidRPr="0038442F">
        <w:rPr>
          <w:rFonts w:ascii="Verdana" w:hAnsi="Verdana" w:cs="System Font Regular"/>
          <w:sz w:val="20"/>
          <w:szCs w:val="20"/>
          <w:lang w:val="pt-BR"/>
        </w:rPr>
        <w:t>que resid</w:t>
      </w:r>
      <w:r w:rsidRPr="0038442F">
        <w:rPr>
          <w:rFonts w:ascii="Verdana" w:hAnsi="Verdana" w:cs="System Font Regular"/>
          <w:sz w:val="20"/>
          <w:szCs w:val="20"/>
          <w:lang w:val="pt-BR"/>
        </w:rPr>
        <w:t>iam ou residem em alguns</w:t>
      </w:r>
      <w:r w:rsidR="00407242" w:rsidRPr="0038442F">
        <w:rPr>
          <w:rFonts w:ascii="Verdana" w:hAnsi="Verdana" w:cs="System Font Regular"/>
          <w:sz w:val="20"/>
          <w:szCs w:val="20"/>
          <w:lang w:val="pt-BR"/>
        </w:rPr>
        <w:t xml:space="preserve"> </w:t>
      </w:r>
      <w:r w:rsidR="006D3D04" w:rsidRPr="0038442F">
        <w:rPr>
          <w:rFonts w:ascii="Verdana" w:hAnsi="Verdana" w:cs="System Font Regular"/>
          <w:sz w:val="20"/>
          <w:szCs w:val="20"/>
          <w:lang w:val="pt-BR"/>
        </w:rPr>
        <w:t>ba</w:t>
      </w:r>
      <w:r w:rsidRPr="0038442F">
        <w:rPr>
          <w:rFonts w:ascii="Verdana" w:hAnsi="Verdana" w:cs="System Font Regular"/>
          <w:sz w:val="20"/>
          <w:szCs w:val="20"/>
          <w:lang w:val="pt-BR"/>
        </w:rPr>
        <w:t>i</w:t>
      </w:r>
      <w:r w:rsidR="006D3D04" w:rsidRPr="0038442F">
        <w:rPr>
          <w:rFonts w:ascii="Verdana" w:hAnsi="Verdana" w:cs="System Font Regular"/>
          <w:sz w:val="20"/>
          <w:szCs w:val="20"/>
          <w:lang w:val="pt-BR"/>
        </w:rPr>
        <w:t>rros d</w:t>
      </w:r>
      <w:r w:rsidRPr="0038442F">
        <w:rPr>
          <w:rFonts w:ascii="Verdana" w:hAnsi="Verdana" w:cs="System Font Regular"/>
          <w:sz w:val="20"/>
          <w:szCs w:val="20"/>
          <w:lang w:val="pt-BR"/>
        </w:rPr>
        <w:t>o Município</w:t>
      </w:r>
      <w:r w:rsidR="00407242" w:rsidRPr="0038442F">
        <w:rPr>
          <w:rFonts w:ascii="Verdana" w:hAnsi="Verdana" w:cs="System Font Regular"/>
          <w:sz w:val="20"/>
          <w:szCs w:val="20"/>
          <w:lang w:val="pt-BR"/>
        </w:rPr>
        <w:t xml:space="preserve"> </w:t>
      </w:r>
      <w:r w:rsidR="00816460" w:rsidRPr="0038442F">
        <w:rPr>
          <w:rFonts w:ascii="Verdana" w:hAnsi="Verdana" w:cs="System Font Regular"/>
          <w:sz w:val="20"/>
          <w:szCs w:val="20"/>
          <w:lang w:val="pt-BR"/>
        </w:rPr>
        <w:t xml:space="preserve">de </w:t>
      </w:r>
      <w:r w:rsidR="006D3D04" w:rsidRPr="0038442F">
        <w:rPr>
          <w:rFonts w:ascii="Verdana" w:hAnsi="Verdana" w:cs="System Font Regular"/>
          <w:sz w:val="20"/>
          <w:szCs w:val="20"/>
          <w:lang w:val="pt-BR"/>
        </w:rPr>
        <w:t>San</w:t>
      </w:r>
      <w:r w:rsidR="00FD1497" w:rsidRPr="0038442F">
        <w:rPr>
          <w:rFonts w:ascii="Verdana" w:hAnsi="Verdana" w:cs="System Font Regular"/>
          <w:sz w:val="20"/>
          <w:szCs w:val="20"/>
          <w:lang w:val="pt-BR"/>
        </w:rPr>
        <w:t>to</w:t>
      </w:r>
      <w:r w:rsidR="006D3D04" w:rsidRPr="0038442F">
        <w:rPr>
          <w:rFonts w:ascii="Verdana" w:hAnsi="Verdana" w:cs="System Font Regular"/>
          <w:sz w:val="20"/>
          <w:szCs w:val="20"/>
          <w:lang w:val="pt-BR"/>
        </w:rPr>
        <w:t xml:space="preserve"> Ant</w:t>
      </w:r>
      <w:r w:rsidR="00C318E7" w:rsidRPr="0038442F">
        <w:rPr>
          <w:rFonts w:ascii="Verdana" w:hAnsi="Verdana" w:cs="System Font Regular"/>
          <w:sz w:val="20"/>
          <w:szCs w:val="20"/>
          <w:lang w:val="pt-BR"/>
        </w:rPr>
        <w:t>ô</w:t>
      </w:r>
      <w:r w:rsidR="006D3D04" w:rsidRPr="0038442F">
        <w:rPr>
          <w:rFonts w:ascii="Verdana" w:hAnsi="Verdana" w:cs="System Font Regular"/>
          <w:sz w:val="20"/>
          <w:szCs w:val="20"/>
          <w:lang w:val="pt-BR"/>
        </w:rPr>
        <w:t>nio de Jes</w:t>
      </w:r>
      <w:r w:rsidR="00252907">
        <w:rPr>
          <w:rFonts w:ascii="Verdana" w:hAnsi="Verdana" w:cs="System Font Regular"/>
          <w:sz w:val="20"/>
          <w:szCs w:val="20"/>
          <w:lang w:val="pt-BR"/>
        </w:rPr>
        <w:t>u</w:t>
      </w:r>
      <w:r w:rsidR="006D3D04" w:rsidRPr="0038442F">
        <w:rPr>
          <w:rFonts w:ascii="Verdana" w:hAnsi="Verdana" w:cs="System Font Regular"/>
          <w:sz w:val="20"/>
          <w:szCs w:val="20"/>
          <w:lang w:val="pt-BR"/>
        </w:rPr>
        <w:t>s</w:t>
      </w:r>
      <w:r w:rsidR="00C318E7"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na região</w:t>
      </w:r>
      <w:r w:rsidR="00407242" w:rsidRPr="0038442F">
        <w:rPr>
          <w:rFonts w:ascii="Verdana" w:hAnsi="Verdana" w:cs="System Font Regular"/>
          <w:sz w:val="20"/>
          <w:szCs w:val="20"/>
          <w:lang w:val="pt-BR"/>
        </w:rPr>
        <w:t xml:space="preserve"> </w:t>
      </w:r>
      <w:r w:rsidR="00BD06CC" w:rsidRPr="0038442F">
        <w:rPr>
          <w:rFonts w:ascii="Verdana" w:hAnsi="Verdana" w:cs="System Font Regular"/>
          <w:sz w:val="20"/>
          <w:szCs w:val="20"/>
          <w:lang w:val="pt-BR"/>
        </w:rPr>
        <w:t>d</w:t>
      </w:r>
      <w:r w:rsidR="00B12E13" w:rsidRPr="0038442F">
        <w:rPr>
          <w:rFonts w:ascii="Verdana" w:hAnsi="Verdana" w:cs="System Font Regular"/>
          <w:sz w:val="20"/>
          <w:szCs w:val="20"/>
          <w:lang w:val="pt-BR"/>
        </w:rPr>
        <w:t>o</w:t>
      </w:r>
      <w:r w:rsidR="00BD06CC" w:rsidRPr="0038442F">
        <w:rPr>
          <w:rFonts w:ascii="Verdana" w:hAnsi="Verdana" w:cs="System Font Regular"/>
          <w:sz w:val="20"/>
          <w:szCs w:val="20"/>
          <w:lang w:val="pt-BR"/>
        </w:rPr>
        <w:t xml:space="preserve"> Recôncavo Su</w:t>
      </w:r>
      <w:r w:rsidRPr="0038442F">
        <w:rPr>
          <w:rFonts w:ascii="Verdana" w:hAnsi="Verdana" w:cs="System Font Regular"/>
          <w:sz w:val="20"/>
          <w:szCs w:val="20"/>
          <w:lang w:val="pt-BR"/>
        </w:rPr>
        <w:t>l</w:t>
      </w:r>
      <w:r w:rsidR="00BD06CC" w:rsidRPr="0038442F">
        <w:rPr>
          <w:rFonts w:ascii="Verdana" w:hAnsi="Verdana" w:cs="System Font Regular"/>
          <w:sz w:val="20"/>
          <w:szCs w:val="20"/>
          <w:lang w:val="pt-BR"/>
        </w:rPr>
        <w:t>, E</w:t>
      </w:r>
      <w:r w:rsidR="00C318E7" w:rsidRPr="0038442F">
        <w:rPr>
          <w:rFonts w:ascii="Verdana" w:hAnsi="Verdana" w:cs="System Font Regular"/>
          <w:sz w:val="20"/>
          <w:szCs w:val="20"/>
          <w:lang w:val="pt-BR"/>
        </w:rPr>
        <w:t xml:space="preserve">stado </w:t>
      </w:r>
      <w:r w:rsidRPr="0038442F">
        <w:rPr>
          <w:rFonts w:ascii="Verdana" w:hAnsi="Verdana" w:cs="System Font Regular"/>
          <w:sz w:val="20"/>
          <w:szCs w:val="20"/>
          <w:lang w:val="pt-BR"/>
        </w:rPr>
        <w:t>da Bahia</w:t>
      </w:r>
      <w:r w:rsidR="00312F4E"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Nesse</w:t>
      </w:r>
      <w:r w:rsidR="00312F4E" w:rsidRPr="0038442F">
        <w:rPr>
          <w:rFonts w:ascii="Verdana" w:hAnsi="Verdana" w:cs="System Font Regular"/>
          <w:sz w:val="20"/>
          <w:szCs w:val="20"/>
          <w:lang w:val="pt-BR"/>
        </w:rPr>
        <w:t xml:space="preserve"> panoram</w:t>
      </w:r>
      <w:r w:rsidR="00DA14F1" w:rsidRPr="0038442F">
        <w:rPr>
          <w:rFonts w:ascii="Verdana" w:hAnsi="Verdana" w:cs="System Font Regular"/>
          <w:sz w:val="20"/>
          <w:szCs w:val="20"/>
          <w:lang w:val="pt-BR"/>
        </w:rPr>
        <w:t>a</w:t>
      </w:r>
      <w:r w:rsidRPr="0038442F">
        <w:rPr>
          <w:rFonts w:ascii="Verdana" w:hAnsi="Verdana" w:cs="System Font Regular"/>
          <w:sz w:val="20"/>
          <w:szCs w:val="20"/>
          <w:lang w:val="pt-BR"/>
        </w:rPr>
        <w:t>,</w:t>
      </w:r>
      <w:r w:rsidR="00DA14F1" w:rsidRPr="0038442F">
        <w:rPr>
          <w:rFonts w:ascii="Verdana" w:hAnsi="Verdana" w:cs="System Font Regular"/>
          <w:sz w:val="20"/>
          <w:szCs w:val="20"/>
          <w:lang w:val="pt-BR"/>
        </w:rPr>
        <w:t xml:space="preserve"> a fabrica</w:t>
      </w:r>
      <w:r w:rsidR="000A1AA8" w:rsidRPr="0038442F">
        <w:rPr>
          <w:rFonts w:ascii="Verdana" w:hAnsi="Verdana" w:cs="System Font Regular"/>
          <w:sz w:val="20"/>
          <w:szCs w:val="20"/>
          <w:lang w:val="pt-BR"/>
        </w:rPr>
        <w:t>ção</w:t>
      </w:r>
      <w:r w:rsidR="00DA14F1" w:rsidRPr="0038442F">
        <w:rPr>
          <w:rFonts w:ascii="Verdana" w:hAnsi="Verdana" w:cs="System Font Regular"/>
          <w:sz w:val="20"/>
          <w:szCs w:val="20"/>
          <w:lang w:val="pt-BR"/>
        </w:rPr>
        <w:t xml:space="preserve"> de </w:t>
      </w:r>
      <w:r w:rsidR="00C92762" w:rsidRPr="0038442F">
        <w:rPr>
          <w:rFonts w:ascii="Verdana" w:hAnsi="Verdana" w:cs="System Font Regular"/>
          <w:sz w:val="20"/>
          <w:szCs w:val="20"/>
          <w:lang w:val="pt-BR"/>
        </w:rPr>
        <w:t>fogos de artifício</w:t>
      </w:r>
      <w:r w:rsidR="00407242" w:rsidRPr="0038442F">
        <w:rPr>
          <w:rFonts w:ascii="Verdana" w:hAnsi="Verdana" w:cs="System Font Regular"/>
          <w:sz w:val="20"/>
          <w:szCs w:val="20"/>
          <w:lang w:val="pt-BR"/>
        </w:rPr>
        <w:t xml:space="preserve"> </w:t>
      </w:r>
      <w:r w:rsidR="00BD06CC" w:rsidRPr="0038442F">
        <w:rPr>
          <w:rFonts w:ascii="Verdana" w:hAnsi="Verdana" w:cs="System Font Regular"/>
          <w:sz w:val="20"/>
          <w:szCs w:val="20"/>
          <w:lang w:val="pt-BR"/>
        </w:rPr>
        <w:t xml:space="preserve">constituía a principal </w:t>
      </w:r>
      <w:r w:rsidRPr="0038442F">
        <w:rPr>
          <w:rFonts w:ascii="Verdana" w:hAnsi="Verdana" w:cs="System Font Regular"/>
          <w:sz w:val="20"/>
          <w:szCs w:val="20"/>
          <w:lang w:val="pt-BR"/>
        </w:rPr>
        <w:t>fonte</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de trabalho</w:t>
      </w:r>
      <w:r w:rsidR="00BD06CC" w:rsidRPr="0038442F">
        <w:rPr>
          <w:rFonts w:ascii="Verdana" w:hAnsi="Verdana" w:cs="System Font Regular"/>
          <w:sz w:val="20"/>
          <w:szCs w:val="20"/>
          <w:lang w:val="pt-BR"/>
        </w:rPr>
        <w:t xml:space="preserve"> </w:t>
      </w:r>
      <w:r w:rsidR="00B941DF" w:rsidRPr="0038442F">
        <w:rPr>
          <w:rFonts w:ascii="Verdana" w:hAnsi="Verdana" w:cs="System Font Regular"/>
          <w:sz w:val="20"/>
          <w:szCs w:val="20"/>
          <w:lang w:val="pt-BR"/>
        </w:rPr>
        <w:t>(</w:t>
      </w:r>
      <w:r w:rsidRPr="0038442F">
        <w:rPr>
          <w:rFonts w:ascii="Verdana" w:hAnsi="Verdana" w:cs="System Font Regular"/>
          <w:sz w:val="20"/>
          <w:szCs w:val="20"/>
          <w:lang w:val="pt-BR"/>
        </w:rPr>
        <w:t>senão</w:t>
      </w:r>
      <w:r w:rsidR="00B941DF" w:rsidRPr="0038442F">
        <w:rPr>
          <w:rFonts w:ascii="Verdana" w:hAnsi="Verdana" w:cs="System Font Regular"/>
          <w:sz w:val="20"/>
          <w:szCs w:val="20"/>
          <w:lang w:val="pt-BR"/>
        </w:rPr>
        <w:t xml:space="preserve"> a única op</w:t>
      </w:r>
      <w:r w:rsidR="000A1AA8" w:rsidRPr="0038442F">
        <w:rPr>
          <w:rFonts w:ascii="Verdana" w:hAnsi="Verdana" w:cs="System Font Regular"/>
          <w:sz w:val="20"/>
          <w:szCs w:val="20"/>
          <w:lang w:val="pt-BR"/>
        </w:rPr>
        <w:t>ção</w:t>
      </w:r>
      <w:r w:rsidR="00B941DF" w:rsidRPr="0038442F">
        <w:rPr>
          <w:rFonts w:ascii="Verdana" w:hAnsi="Verdana" w:cs="System Font Regular"/>
          <w:sz w:val="20"/>
          <w:szCs w:val="20"/>
          <w:lang w:val="pt-BR"/>
        </w:rPr>
        <w:t xml:space="preserve"> </w:t>
      </w:r>
      <w:r w:rsidR="002246C5" w:rsidRPr="0038442F">
        <w:rPr>
          <w:rFonts w:ascii="Verdana" w:hAnsi="Verdana" w:cs="System Font Regular"/>
          <w:sz w:val="20"/>
          <w:szCs w:val="20"/>
          <w:lang w:val="pt-BR"/>
        </w:rPr>
        <w:t>laboral</w:t>
      </w:r>
      <w:r w:rsidR="00B941DF"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das mulheres</w:t>
      </w:r>
      <w:r w:rsidR="00407242" w:rsidRPr="0038442F">
        <w:rPr>
          <w:rFonts w:ascii="Verdana" w:hAnsi="Verdana" w:cs="System Font Regular"/>
          <w:sz w:val="20"/>
          <w:szCs w:val="20"/>
          <w:lang w:val="pt-BR"/>
        </w:rPr>
        <w:t xml:space="preserve"> </w:t>
      </w:r>
      <w:r w:rsidR="00DA14F1" w:rsidRPr="0038442F">
        <w:rPr>
          <w:rFonts w:ascii="Verdana" w:hAnsi="Verdana" w:cs="System Font Regular"/>
          <w:sz w:val="20"/>
          <w:szCs w:val="20"/>
          <w:lang w:val="pt-BR"/>
        </w:rPr>
        <w:t xml:space="preserve">que </w:t>
      </w:r>
      <w:r w:rsidRPr="0038442F">
        <w:rPr>
          <w:rFonts w:ascii="Verdana" w:hAnsi="Verdana" w:cs="System Font Regular"/>
          <w:sz w:val="20"/>
          <w:szCs w:val="20"/>
          <w:lang w:val="pt-BR"/>
        </w:rPr>
        <w:t>ali</w:t>
      </w:r>
      <w:r w:rsidR="00407242" w:rsidRPr="0038442F">
        <w:rPr>
          <w:rFonts w:ascii="Verdana" w:hAnsi="Verdana" w:cs="System Font Regular"/>
          <w:sz w:val="20"/>
          <w:szCs w:val="20"/>
          <w:lang w:val="pt-BR"/>
        </w:rPr>
        <w:t xml:space="preserve"> </w:t>
      </w:r>
      <w:r w:rsidR="00DA14F1" w:rsidRPr="0038442F">
        <w:rPr>
          <w:rFonts w:ascii="Verdana" w:hAnsi="Verdana" w:cs="System Font Regular"/>
          <w:sz w:val="20"/>
          <w:szCs w:val="20"/>
          <w:lang w:val="pt-BR"/>
        </w:rPr>
        <w:t xml:space="preserve">se </w:t>
      </w:r>
      <w:r w:rsidRPr="0038442F">
        <w:rPr>
          <w:rFonts w:ascii="Verdana" w:hAnsi="Verdana" w:cs="System Font Regular"/>
          <w:sz w:val="20"/>
          <w:szCs w:val="20"/>
          <w:lang w:val="pt-BR"/>
        </w:rPr>
        <w:t>encontravam</w:t>
      </w:r>
      <w:r w:rsidR="00407242" w:rsidRPr="0038442F">
        <w:rPr>
          <w:rFonts w:ascii="Verdana" w:hAnsi="Verdana" w:cs="System Font Regular"/>
          <w:sz w:val="20"/>
          <w:szCs w:val="20"/>
          <w:lang w:val="pt-BR"/>
        </w:rPr>
        <w:t xml:space="preserve"> </w:t>
      </w:r>
      <w:r w:rsidR="00116B3F" w:rsidRPr="0038442F">
        <w:rPr>
          <w:rFonts w:ascii="Verdana" w:hAnsi="Verdana" w:cs="System Font Regular"/>
          <w:sz w:val="20"/>
          <w:szCs w:val="20"/>
          <w:lang w:val="pt-BR"/>
        </w:rPr>
        <w:t>o</w:t>
      </w:r>
      <w:r w:rsidRPr="0038442F">
        <w:rPr>
          <w:rFonts w:ascii="Verdana" w:hAnsi="Verdana" w:cs="System Font Regular"/>
          <w:sz w:val="20"/>
          <w:szCs w:val="20"/>
          <w:lang w:val="pt-BR"/>
        </w:rPr>
        <w:t>u</w:t>
      </w:r>
      <w:r w:rsidR="00116B3F" w:rsidRPr="0038442F">
        <w:rPr>
          <w:rFonts w:ascii="Verdana" w:hAnsi="Verdana" w:cs="System Font Regular"/>
          <w:sz w:val="20"/>
          <w:szCs w:val="20"/>
          <w:lang w:val="pt-BR"/>
        </w:rPr>
        <w:t xml:space="preserve"> se </w:t>
      </w:r>
      <w:r w:rsidRPr="0038442F">
        <w:rPr>
          <w:rFonts w:ascii="Verdana" w:hAnsi="Verdana" w:cs="System Font Regular"/>
          <w:sz w:val="20"/>
          <w:szCs w:val="20"/>
          <w:lang w:val="pt-BR"/>
        </w:rPr>
        <w:t>encontram</w:t>
      </w:r>
      <w:r w:rsidR="001F6D20" w:rsidRPr="0038442F">
        <w:rPr>
          <w:rFonts w:ascii="Verdana" w:hAnsi="Verdana" w:cs="System Font Regular"/>
          <w:sz w:val="20"/>
          <w:szCs w:val="20"/>
          <w:lang w:val="pt-BR"/>
        </w:rPr>
        <w:t>.</w:t>
      </w:r>
      <w:r w:rsidR="006A12FD" w:rsidRPr="0038442F">
        <w:rPr>
          <w:rFonts w:ascii="Verdana" w:hAnsi="Verdana" w:cs="System Font Regular"/>
          <w:sz w:val="20"/>
          <w:szCs w:val="20"/>
          <w:lang w:val="pt-BR"/>
        </w:rPr>
        <w:t xml:space="preserve"> </w:t>
      </w:r>
      <w:r w:rsidR="001F6D20" w:rsidRPr="0038442F">
        <w:rPr>
          <w:rFonts w:ascii="Verdana" w:hAnsi="Verdana" w:cs="System Font Regular"/>
          <w:sz w:val="20"/>
          <w:szCs w:val="20"/>
          <w:lang w:val="pt-BR"/>
        </w:rPr>
        <w:t xml:space="preserve">Com </w:t>
      </w:r>
      <w:r w:rsidR="006A12FD" w:rsidRPr="0038442F">
        <w:rPr>
          <w:rFonts w:ascii="Verdana" w:hAnsi="Verdana" w:cs="System Font Regular"/>
          <w:sz w:val="20"/>
          <w:szCs w:val="20"/>
          <w:lang w:val="pt-BR"/>
        </w:rPr>
        <w:t>muito baixo nível de escolaridade e</w:t>
      </w:r>
      <w:r w:rsidR="002246C5" w:rsidRPr="0038442F">
        <w:rPr>
          <w:rFonts w:ascii="Verdana" w:hAnsi="Verdana" w:cs="System Font Regular"/>
          <w:sz w:val="20"/>
          <w:szCs w:val="20"/>
          <w:lang w:val="pt-BR"/>
        </w:rPr>
        <w:t xml:space="preserve"> alfabetização</w:t>
      </w:r>
      <w:r w:rsidR="002A7EB0" w:rsidRPr="0038442F">
        <w:rPr>
          <w:rFonts w:ascii="Verdana" w:hAnsi="Verdana" w:cs="System Font Regular"/>
          <w:sz w:val="20"/>
          <w:szCs w:val="20"/>
          <w:lang w:val="pt-BR"/>
        </w:rPr>
        <w:t>,</w:t>
      </w:r>
      <w:r w:rsidR="00DA14F1" w:rsidRPr="0038442F">
        <w:rPr>
          <w:rFonts w:ascii="Verdana" w:hAnsi="Verdana" w:cs="System Font Regular"/>
          <w:sz w:val="20"/>
          <w:szCs w:val="20"/>
          <w:lang w:val="pt-BR"/>
        </w:rPr>
        <w:t xml:space="preserve"> </w:t>
      </w:r>
      <w:r w:rsidR="001F6D20" w:rsidRPr="0038442F">
        <w:rPr>
          <w:rFonts w:ascii="Verdana" w:hAnsi="Verdana" w:cs="System Font Regular"/>
          <w:sz w:val="20"/>
          <w:szCs w:val="20"/>
          <w:lang w:val="pt-BR"/>
        </w:rPr>
        <w:t xml:space="preserve">a percepção que </w:t>
      </w:r>
      <w:r w:rsidR="00CD350B" w:rsidRPr="0038442F">
        <w:rPr>
          <w:rFonts w:ascii="Verdana" w:hAnsi="Verdana" w:cs="System Font Regular"/>
          <w:sz w:val="20"/>
          <w:szCs w:val="20"/>
          <w:lang w:val="pt-BR"/>
        </w:rPr>
        <w:t xml:space="preserve">delas </w:t>
      </w:r>
      <w:r w:rsidR="001F6D20" w:rsidRPr="0038442F">
        <w:rPr>
          <w:rFonts w:ascii="Verdana" w:hAnsi="Verdana" w:cs="System Font Regular"/>
          <w:sz w:val="20"/>
          <w:szCs w:val="20"/>
          <w:lang w:val="pt-BR"/>
        </w:rPr>
        <w:t xml:space="preserve">se tinha atribuía-lhes </w:t>
      </w:r>
      <w:r w:rsidR="00126364">
        <w:rPr>
          <w:rFonts w:ascii="Verdana" w:hAnsi="Verdana" w:cs="System Font Regular"/>
          <w:sz w:val="20"/>
          <w:szCs w:val="20"/>
          <w:lang w:val="pt-BR"/>
        </w:rPr>
        <w:t>o</w:t>
      </w:r>
      <w:r w:rsidR="001F6D20" w:rsidRPr="0038442F">
        <w:rPr>
          <w:rFonts w:ascii="Verdana" w:hAnsi="Verdana" w:cs="System Font Regular"/>
          <w:sz w:val="20"/>
          <w:szCs w:val="20"/>
          <w:lang w:val="pt-BR"/>
        </w:rPr>
        <w:t xml:space="preserve"> </w:t>
      </w:r>
      <w:r w:rsidR="00126364">
        <w:rPr>
          <w:rFonts w:ascii="Verdana" w:hAnsi="Verdana" w:cs="System Font Regular"/>
          <w:sz w:val="20"/>
          <w:szCs w:val="20"/>
          <w:lang w:val="pt-BR"/>
        </w:rPr>
        <w:t xml:space="preserve">rótulo de </w:t>
      </w:r>
      <w:r w:rsidR="00126364" w:rsidRPr="0038442F">
        <w:rPr>
          <w:rFonts w:ascii="Verdana" w:hAnsi="Verdana" w:cs="System Font Regular"/>
          <w:sz w:val="20"/>
          <w:szCs w:val="20"/>
          <w:lang w:val="pt-BR"/>
        </w:rPr>
        <w:t xml:space="preserve"> </w:t>
      </w:r>
      <w:r w:rsidR="00DA14F1" w:rsidRPr="0038442F">
        <w:rPr>
          <w:rFonts w:ascii="Verdana" w:hAnsi="Verdana" w:cs="System Font Regular"/>
          <w:sz w:val="20"/>
          <w:szCs w:val="20"/>
          <w:lang w:val="pt-BR"/>
        </w:rPr>
        <w:t>“po</w:t>
      </w:r>
      <w:r w:rsidRPr="0038442F">
        <w:rPr>
          <w:rFonts w:ascii="Verdana" w:hAnsi="Verdana" w:cs="System Font Regular"/>
          <w:sz w:val="20"/>
          <w:szCs w:val="20"/>
          <w:lang w:val="pt-BR"/>
        </w:rPr>
        <w:t>u</w:t>
      </w:r>
      <w:r w:rsidR="00DA14F1" w:rsidRPr="0038442F">
        <w:rPr>
          <w:rFonts w:ascii="Verdana" w:hAnsi="Verdana" w:cs="System Font Regular"/>
          <w:sz w:val="20"/>
          <w:szCs w:val="20"/>
          <w:lang w:val="pt-BR"/>
        </w:rPr>
        <w:t xml:space="preserve">co </w:t>
      </w:r>
      <w:r w:rsidRPr="0038442F">
        <w:rPr>
          <w:rFonts w:ascii="Verdana" w:hAnsi="Verdana" w:cs="System Font Regular"/>
          <w:sz w:val="20"/>
          <w:szCs w:val="20"/>
          <w:lang w:val="pt-BR"/>
        </w:rPr>
        <w:t>confiáve</w:t>
      </w:r>
      <w:r w:rsidR="006A12FD" w:rsidRPr="0038442F">
        <w:rPr>
          <w:rFonts w:ascii="Verdana" w:hAnsi="Verdana" w:cs="System Font Regular"/>
          <w:sz w:val="20"/>
          <w:szCs w:val="20"/>
          <w:lang w:val="pt-BR"/>
        </w:rPr>
        <w:t>l, e por essas razões não podiam t</w:t>
      </w:r>
      <w:r w:rsidR="001F6D20" w:rsidRPr="0038442F">
        <w:rPr>
          <w:rFonts w:ascii="Verdana" w:hAnsi="Verdana" w:cs="System Font Regular"/>
          <w:sz w:val="20"/>
          <w:szCs w:val="20"/>
          <w:lang w:val="pt-BR"/>
        </w:rPr>
        <w:t>e</w:t>
      </w:r>
      <w:r w:rsidR="006A12FD" w:rsidRPr="0038442F">
        <w:rPr>
          <w:rFonts w:ascii="Verdana" w:hAnsi="Verdana" w:cs="System Font Regular"/>
          <w:sz w:val="20"/>
          <w:szCs w:val="20"/>
          <w:lang w:val="pt-BR"/>
        </w:rPr>
        <w:t>r acesso a outro emprego</w:t>
      </w:r>
      <w:r w:rsidR="00206AD4" w:rsidRPr="0038442F">
        <w:rPr>
          <w:rFonts w:ascii="Verdana" w:hAnsi="Verdana" w:cs="System Font Regular"/>
          <w:sz w:val="20"/>
          <w:szCs w:val="20"/>
          <w:lang w:val="pt-BR"/>
        </w:rPr>
        <w:t>”</w:t>
      </w:r>
      <w:r w:rsidR="006A12FD" w:rsidRPr="0038442F">
        <w:rPr>
          <w:rFonts w:ascii="Verdana" w:hAnsi="Verdana" w:cs="System Font Regular"/>
          <w:sz w:val="20"/>
          <w:szCs w:val="20"/>
          <w:lang w:val="pt-BR"/>
        </w:rPr>
        <w:t>.</w:t>
      </w:r>
      <w:r w:rsidR="006D3D04" w:rsidRPr="0038442F">
        <w:rPr>
          <w:rStyle w:val="Refdenotaalpie"/>
          <w:rFonts w:ascii="Verdana" w:hAnsi="Verdana" w:cs="System Font Regular"/>
          <w:sz w:val="20"/>
          <w:szCs w:val="20"/>
          <w:lang w:val="pt-BR"/>
        </w:rPr>
        <w:footnoteReference w:id="2"/>
      </w:r>
      <w:r w:rsidR="00C01AE4"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 xml:space="preserve">O </w:t>
      </w:r>
      <w:r w:rsidR="001F17D1" w:rsidRPr="0038442F">
        <w:rPr>
          <w:rFonts w:ascii="Verdana" w:hAnsi="Verdana" w:cs="System Font Regular"/>
          <w:sz w:val="20"/>
          <w:szCs w:val="20"/>
          <w:lang w:val="pt-BR"/>
        </w:rPr>
        <w:t xml:space="preserve">Tribunal Interamericano </w:t>
      </w:r>
      <w:r w:rsidR="006A12FD" w:rsidRPr="0038442F">
        <w:rPr>
          <w:rFonts w:ascii="Verdana" w:hAnsi="Verdana" w:cs="System Font Regular"/>
          <w:sz w:val="20"/>
          <w:szCs w:val="20"/>
          <w:lang w:val="pt-BR"/>
        </w:rPr>
        <w:t>considerou</w:t>
      </w:r>
      <w:r w:rsidR="00407242" w:rsidRPr="0038442F">
        <w:rPr>
          <w:rFonts w:ascii="Verdana" w:hAnsi="Verdana" w:cs="System Font Regular"/>
          <w:sz w:val="20"/>
          <w:szCs w:val="20"/>
          <w:lang w:val="pt-BR"/>
        </w:rPr>
        <w:t xml:space="preserve"> </w:t>
      </w:r>
      <w:r w:rsidR="001F17D1" w:rsidRPr="0038442F">
        <w:rPr>
          <w:rFonts w:ascii="Verdana" w:hAnsi="Verdana" w:cs="System Font Regular"/>
          <w:sz w:val="20"/>
          <w:szCs w:val="20"/>
          <w:lang w:val="pt-BR"/>
        </w:rPr>
        <w:t>que</w:t>
      </w:r>
      <w:r w:rsidR="0054729F" w:rsidRPr="0038442F">
        <w:rPr>
          <w:rFonts w:ascii="Verdana" w:hAnsi="Verdana" w:cs="System Font Regular"/>
          <w:sz w:val="20"/>
          <w:szCs w:val="20"/>
          <w:lang w:val="pt-BR"/>
        </w:rPr>
        <w:t>,</w:t>
      </w:r>
      <w:r w:rsidR="001F17D1"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além</w:t>
      </w:r>
      <w:r w:rsidR="00993E49"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993E49" w:rsidRPr="0038442F">
        <w:rPr>
          <w:rFonts w:ascii="Verdana" w:hAnsi="Verdana" w:cs="System Font Regular"/>
          <w:i/>
          <w:sz w:val="20"/>
          <w:szCs w:val="20"/>
          <w:lang w:val="pt-BR"/>
        </w:rPr>
        <w:t>discrimina</w:t>
      </w:r>
      <w:r w:rsidR="000A1AA8" w:rsidRPr="0038442F">
        <w:rPr>
          <w:rFonts w:ascii="Verdana" w:hAnsi="Verdana" w:cs="System Font Regular"/>
          <w:i/>
          <w:sz w:val="20"/>
          <w:szCs w:val="20"/>
          <w:lang w:val="pt-BR"/>
        </w:rPr>
        <w:t>ção</w:t>
      </w:r>
      <w:r w:rsidR="00993E49" w:rsidRPr="0038442F">
        <w:rPr>
          <w:rFonts w:ascii="Verdana" w:hAnsi="Verdana" w:cs="System Font Regular"/>
          <w:i/>
          <w:sz w:val="20"/>
          <w:szCs w:val="20"/>
          <w:lang w:val="pt-BR"/>
        </w:rPr>
        <w:t xml:space="preserve"> </w:t>
      </w:r>
      <w:r w:rsidR="006445EE" w:rsidRPr="0038442F">
        <w:rPr>
          <w:rFonts w:ascii="Verdana" w:hAnsi="Verdana" w:cs="System Font Regular"/>
          <w:i/>
          <w:sz w:val="20"/>
          <w:szCs w:val="20"/>
          <w:lang w:val="pt-BR"/>
        </w:rPr>
        <w:t>estrutural</w:t>
      </w:r>
      <w:r w:rsidR="00407242" w:rsidRPr="0038442F">
        <w:rPr>
          <w:rFonts w:ascii="Verdana" w:hAnsi="Verdana" w:cs="System Font Regular"/>
          <w:i/>
          <w:sz w:val="20"/>
          <w:szCs w:val="20"/>
          <w:lang w:val="pt-BR"/>
        </w:rPr>
        <w:t xml:space="preserve"> </w:t>
      </w:r>
      <w:r w:rsidR="00993E49" w:rsidRPr="0038442F">
        <w:rPr>
          <w:rFonts w:ascii="Verdana" w:hAnsi="Verdana" w:cs="System Font Regular"/>
          <w:i/>
          <w:sz w:val="20"/>
          <w:szCs w:val="20"/>
          <w:lang w:val="pt-BR"/>
        </w:rPr>
        <w:t>e</w:t>
      </w:r>
      <w:r w:rsidR="006A12FD" w:rsidRPr="0038442F">
        <w:rPr>
          <w:rFonts w:ascii="Verdana" w:hAnsi="Verdana" w:cs="System Font Regular"/>
          <w:i/>
          <w:sz w:val="20"/>
          <w:szCs w:val="20"/>
          <w:lang w:val="pt-BR"/>
        </w:rPr>
        <w:t>m</w:t>
      </w:r>
      <w:r w:rsidR="00993E49" w:rsidRPr="0038442F">
        <w:rPr>
          <w:rFonts w:ascii="Verdana" w:hAnsi="Verdana" w:cs="System Font Regular"/>
          <w:i/>
          <w:sz w:val="20"/>
          <w:szCs w:val="20"/>
          <w:lang w:val="pt-BR"/>
        </w:rPr>
        <w:t xml:space="preserve"> fun</w:t>
      </w:r>
      <w:r w:rsidR="000A1AA8" w:rsidRPr="0038442F">
        <w:rPr>
          <w:rFonts w:ascii="Verdana" w:hAnsi="Verdana" w:cs="System Font Regular"/>
          <w:i/>
          <w:sz w:val="20"/>
          <w:szCs w:val="20"/>
          <w:lang w:val="pt-BR"/>
        </w:rPr>
        <w:t>ção</w:t>
      </w:r>
      <w:r w:rsidR="00993E49" w:rsidRPr="0038442F">
        <w:rPr>
          <w:rFonts w:ascii="Verdana" w:hAnsi="Verdana" w:cs="System Font Regular"/>
          <w:i/>
          <w:sz w:val="20"/>
          <w:szCs w:val="20"/>
          <w:lang w:val="pt-BR"/>
        </w:rPr>
        <w:t xml:space="preserve"> </w:t>
      </w:r>
      <w:r w:rsidR="00C92762" w:rsidRPr="0038442F">
        <w:rPr>
          <w:rFonts w:ascii="Verdana" w:hAnsi="Verdana" w:cs="System Font Regular"/>
          <w:i/>
          <w:sz w:val="20"/>
          <w:szCs w:val="20"/>
          <w:lang w:val="pt-BR"/>
        </w:rPr>
        <w:t xml:space="preserve">da </w:t>
      </w:r>
      <w:r w:rsidR="00993E49" w:rsidRPr="0038442F">
        <w:rPr>
          <w:rFonts w:ascii="Verdana" w:hAnsi="Verdana" w:cs="System Font Regular"/>
          <w:i/>
          <w:sz w:val="20"/>
          <w:szCs w:val="20"/>
          <w:lang w:val="pt-BR"/>
        </w:rPr>
        <w:t>condi</w:t>
      </w:r>
      <w:r w:rsidR="000A1AA8" w:rsidRPr="0038442F">
        <w:rPr>
          <w:rFonts w:ascii="Verdana" w:hAnsi="Verdana" w:cs="System Font Regular"/>
          <w:i/>
          <w:sz w:val="20"/>
          <w:szCs w:val="20"/>
          <w:lang w:val="pt-BR"/>
        </w:rPr>
        <w:t>ção</w:t>
      </w:r>
      <w:r w:rsidR="00993E49" w:rsidRPr="0038442F">
        <w:rPr>
          <w:rFonts w:ascii="Verdana" w:hAnsi="Verdana" w:cs="System Font Regular"/>
          <w:i/>
          <w:sz w:val="20"/>
          <w:szCs w:val="20"/>
          <w:lang w:val="pt-BR"/>
        </w:rPr>
        <w:t xml:space="preserve"> de pobreza</w:t>
      </w:r>
      <w:r w:rsidR="00993E49" w:rsidRPr="0038442F">
        <w:rPr>
          <w:rFonts w:ascii="Verdana" w:hAnsi="Verdana" w:cs="System Font Regular"/>
          <w:sz w:val="20"/>
          <w:szCs w:val="20"/>
          <w:lang w:val="pt-BR"/>
        </w:rPr>
        <w:t xml:space="preserve">, </w:t>
      </w:r>
      <w:r w:rsidR="00CA30C5" w:rsidRPr="0038442F">
        <w:rPr>
          <w:rFonts w:ascii="Verdana" w:hAnsi="Verdana" w:cs="System Font Regular"/>
          <w:sz w:val="20"/>
          <w:szCs w:val="20"/>
          <w:lang w:val="pt-BR"/>
        </w:rPr>
        <w:t xml:space="preserve">nas </w:t>
      </w:r>
      <w:r w:rsidR="00C92762" w:rsidRPr="0038442F">
        <w:rPr>
          <w:rFonts w:ascii="Verdana" w:hAnsi="Verdana" w:cs="System Font Regular"/>
          <w:sz w:val="20"/>
          <w:szCs w:val="20"/>
          <w:lang w:val="pt-BR"/>
        </w:rPr>
        <w:t>vítimas</w:t>
      </w:r>
      <w:r w:rsidR="00407242"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confluíam diferentes desvantagens estruturais</w:t>
      </w:r>
      <w:r w:rsidR="00407242" w:rsidRPr="0038442F">
        <w:rPr>
          <w:rFonts w:ascii="Verdana" w:hAnsi="Verdana" w:cs="System Font Regular"/>
          <w:sz w:val="20"/>
          <w:szCs w:val="20"/>
          <w:lang w:val="pt-BR"/>
        </w:rPr>
        <w:t xml:space="preserve"> </w:t>
      </w:r>
      <w:r w:rsidR="001F17D1" w:rsidRPr="0038442F">
        <w:rPr>
          <w:rFonts w:ascii="Verdana" w:hAnsi="Verdana" w:cs="System Font Regular"/>
          <w:sz w:val="20"/>
          <w:szCs w:val="20"/>
          <w:lang w:val="pt-BR"/>
        </w:rPr>
        <w:t>que impactar</w:t>
      </w:r>
      <w:r w:rsidR="006A12FD" w:rsidRPr="0038442F">
        <w:rPr>
          <w:rFonts w:ascii="Verdana" w:hAnsi="Verdana" w:cs="System Font Regular"/>
          <w:sz w:val="20"/>
          <w:szCs w:val="20"/>
          <w:lang w:val="pt-BR"/>
        </w:rPr>
        <w:t xml:space="preserve">am </w:t>
      </w:r>
      <w:r w:rsidR="001F17D1" w:rsidRPr="0038442F">
        <w:rPr>
          <w:rFonts w:ascii="Verdana" w:hAnsi="Verdana" w:cs="System Font Regular"/>
          <w:sz w:val="20"/>
          <w:szCs w:val="20"/>
          <w:lang w:val="pt-BR"/>
        </w:rPr>
        <w:t>su</w:t>
      </w:r>
      <w:r w:rsidR="006A12FD" w:rsidRPr="0038442F">
        <w:rPr>
          <w:rFonts w:ascii="Verdana" w:hAnsi="Verdana" w:cs="System Font Regular"/>
          <w:sz w:val="20"/>
          <w:szCs w:val="20"/>
          <w:lang w:val="pt-BR"/>
        </w:rPr>
        <w:t>a</w:t>
      </w:r>
      <w:r w:rsidR="001F17D1" w:rsidRPr="0038442F">
        <w:rPr>
          <w:rFonts w:ascii="Verdana" w:hAnsi="Verdana" w:cs="System Font Regular"/>
          <w:sz w:val="20"/>
          <w:szCs w:val="20"/>
          <w:lang w:val="pt-BR"/>
        </w:rPr>
        <w:t xml:space="preserve"> vitimiza</w:t>
      </w:r>
      <w:r w:rsidR="000A1AA8" w:rsidRPr="0038442F">
        <w:rPr>
          <w:rFonts w:ascii="Verdana" w:hAnsi="Verdana" w:cs="System Font Regular"/>
          <w:sz w:val="20"/>
          <w:szCs w:val="20"/>
          <w:lang w:val="pt-BR"/>
        </w:rPr>
        <w:t>ção</w:t>
      </w:r>
      <w:r w:rsidR="00A41565"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 xml:space="preserve">desvantagens </w:t>
      </w:r>
      <w:r w:rsidR="001F17D1" w:rsidRPr="0038442F">
        <w:rPr>
          <w:rFonts w:ascii="Verdana" w:hAnsi="Verdana" w:cs="System Font Regular"/>
          <w:sz w:val="20"/>
          <w:szCs w:val="20"/>
          <w:lang w:val="pt-BR"/>
        </w:rPr>
        <w:t xml:space="preserve">tanto </w:t>
      </w:r>
      <w:r w:rsidR="006A12FD" w:rsidRPr="0038442F">
        <w:rPr>
          <w:rFonts w:ascii="Verdana" w:hAnsi="Verdana" w:cs="System Font Regular"/>
          <w:sz w:val="20"/>
          <w:szCs w:val="20"/>
          <w:lang w:val="pt-BR"/>
        </w:rPr>
        <w:t>econômicas</w:t>
      </w:r>
      <w:r w:rsidR="00407242"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 xml:space="preserve">quanto </w:t>
      </w:r>
      <w:r w:rsidR="001F17D1" w:rsidRPr="0038442F">
        <w:rPr>
          <w:rFonts w:ascii="Verdana" w:hAnsi="Verdana" w:cs="System Font Regular"/>
          <w:sz w:val="20"/>
          <w:szCs w:val="20"/>
          <w:lang w:val="pt-BR"/>
        </w:rPr>
        <w:t>soci</w:t>
      </w:r>
      <w:r w:rsidR="00C92762" w:rsidRPr="0038442F">
        <w:rPr>
          <w:rFonts w:ascii="Verdana" w:hAnsi="Verdana" w:cs="System Font Regular"/>
          <w:sz w:val="20"/>
          <w:szCs w:val="20"/>
          <w:lang w:val="pt-BR"/>
        </w:rPr>
        <w:t>ais</w:t>
      </w:r>
      <w:r w:rsidR="001F17D1" w:rsidRPr="0038442F">
        <w:rPr>
          <w:rFonts w:ascii="Verdana" w:hAnsi="Verdana" w:cs="System Font Regular"/>
          <w:sz w:val="20"/>
          <w:szCs w:val="20"/>
          <w:lang w:val="pt-BR"/>
        </w:rPr>
        <w:t xml:space="preserve">, como </w:t>
      </w:r>
      <w:r w:rsidR="002246C5" w:rsidRPr="0038442F">
        <w:rPr>
          <w:rFonts w:ascii="Verdana" w:hAnsi="Verdana" w:cs="System Font Regular"/>
          <w:sz w:val="20"/>
          <w:szCs w:val="20"/>
          <w:lang w:val="pt-BR"/>
        </w:rPr>
        <w:t xml:space="preserve">as </w:t>
      </w:r>
      <w:r w:rsidR="006A12FD" w:rsidRPr="0038442F">
        <w:rPr>
          <w:rFonts w:ascii="Verdana" w:hAnsi="Verdana" w:cs="System Font Regular"/>
          <w:sz w:val="20"/>
          <w:szCs w:val="20"/>
          <w:lang w:val="pt-BR"/>
        </w:rPr>
        <w:t xml:space="preserve">referentes </w:t>
      </w:r>
      <w:r w:rsidR="001F17D1" w:rsidRPr="0038442F">
        <w:rPr>
          <w:rFonts w:ascii="Verdana" w:hAnsi="Verdana" w:cs="System Font Regular"/>
          <w:sz w:val="20"/>
          <w:szCs w:val="20"/>
          <w:lang w:val="pt-BR"/>
        </w:rPr>
        <w:t xml:space="preserve">a grupos determinados de </w:t>
      </w:r>
      <w:r w:rsidR="00C92762" w:rsidRPr="0038442F">
        <w:rPr>
          <w:rFonts w:ascii="Verdana" w:hAnsi="Verdana" w:cs="System Font Regular"/>
          <w:sz w:val="20"/>
          <w:szCs w:val="20"/>
          <w:lang w:val="pt-BR"/>
        </w:rPr>
        <w:t>pessoas</w:t>
      </w:r>
      <w:r w:rsidR="001F17D1"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 xml:space="preserve">razão pela qual a </w:t>
      </w:r>
      <w:r w:rsidR="006A12FD" w:rsidRPr="0038442F">
        <w:rPr>
          <w:rFonts w:ascii="Verdana" w:hAnsi="Verdana" w:cs="System Font Regular"/>
          <w:i/>
          <w:sz w:val="20"/>
          <w:szCs w:val="20"/>
          <w:lang w:val="pt-BR"/>
        </w:rPr>
        <w:t>interseção</w:t>
      </w:r>
      <w:r w:rsidR="00407242" w:rsidRPr="0038442F">
        <w:rPr>
          <w:rFonts w:ascii="Verdana" w:hAnsi="Verdana" w:cs="System Font Regular"/>
          <w:i/>
          <w:sz w:val="20"/>
          <w:szCs w:val="20"/>
          <w:lang w:val="pt-BR"/>
        </w:rPr>
        <w:t xml:space="preserve"> </w:t>
      </w:r>
      <w:r w:rsidR="001F17D1" w:rsidRPr="0038442F">
        <w:rPr>
          <w:rFonts w:ascii="Verdana" w:hAnsi="Verdana" w:cs="System Font Regular"/>
          <w:sz w:val="20"/>
          <w:szCs w:val="20"/>
          <w:lang w:val="pt-BR"/>
        </w:rPr>
        <w:t xml:space="preserve">de </w:t>
      </w:r>
      <w:r w:rsidR="00CA30C5" w:rsidRPr="0038442F">
        <w:rPr>
          <w:rFonts w:ascii="Verdana" w:hAnsi="Verdana" w:cs="System Font Regular"/>
          <w:sz w:val="20"/>
          <w:szCs w:val="20"/>
          <w:lang w:val="pt-BR"/>
        </w:rPr>
        <w:t>fatores</w:t>
      </w:r>
      <w:r w:rsidR="00407242" w:rsidRPr="0038442F">
        <w:rPr>
          <w:rFonts w:ascii="Verdana" w:hAnsi="Verdana" w:cs="System Font Regular"/>
          <w:sz w:val="20"/>
          <w:szCs w:val="20"/>
          <w:lang w:val="pt-BR"/>
        </w:rPr>
        <w:t xml:space="preserve"> </w:t>
      </w:r>
      <w:r w:rsidR="001F17D1" w:rsidRPr="0038442F">
        <w:rPr>
          <w:rFonts w:ascii="Verdana" w:hAnsi="Verdana" w:cs="System Font Regular"/>
          <w:sz w:val="20"/>
          <w:szCs w:val="20"/>
          <w:lang w:val="pt-BR"/>
        </w:rPr>
        <w:t>de discrimina</w:t>
      </w:r>
      <w:r w:rsidR="000A1AA8" w:rsidRPr="0038442F">
        <w:rPr>
          <w:rFonts w:ascii="Verdana" w:hAnsi="Verdana" w:cs="System Font Regular"/>
          <w:sz w:val="20"/>
          <w:szCs w:val="20"/>
          <w:lang w:val="pt-BR"/>
        </w:rPr>
        <w:t>ção</w:t>
      </w:r>
      <w:r w:rsidR="001F17D1"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aumentou as desvantagens</w:t>
      </w:r>
      <w:r w:rsidR="001F17D1" w:rsidRPr="0038442F">
        <w:rPr>
          <w:rFonts w:ascii="Verdana" w:hAnsi="Verdana" w:cs="System Font Regular"/>
          <w:sz w:val="20"/>
          <w:szCs w:val="20"/>
          <w:lang w:val="pt-BR"/>
        </w:rPr>
        <w:t xml:space="preserve"> comparativas </w:t>
      </w:r>
      <w:r w:rsidR="00C92762" w:rsidRPr="0038442F">
        <w:rPr>
          <w:rFonts w:ascii="Verdana" w:hAnsi="Verdana" w:cs="System Font Regular"/>
          <w:sz w:val="20"/>
          <w:szCs w:val="20"/>
          <w:lang w:val="pt-BR"/>
        </w:rPr>
        <w:t xml:space="preserve">das </w:t>
      </w:r>
      <w:r w:rsidR="006A12FD" w:rsidRPr="0038442F">
        <w:rPr>
          <w:rFonts w:ascii="Verdana" w:hAnsi="Verdana" w:cs="System Font Regular"/>
          <w:sz w:val="20"/>
          <w:szCs w:val="20"/>
          <w:lang w:val="pt-BR"/>
        </w:rPr>
        <w:t xml:space="preserve">supostas </w:t>
      </w:r>
      <w:r w:rsidR="00C92762" w:rsidRPr="0038442F">
        <w:rPr>
          <w:rFonts w:ascii="Verdana" w:hAnsi="Verdana" w:cs="System Font Regular"/>
          <w:sz w:val="20"/>
          <w:szCs w:val="20"/>
          <w:lang w:val="pt-BR"/>
        </w:rPr>
        <w:t>vítimas</w:t>
      </w:r>
      <w:r w:rsidR="00D150D3" w:rsidRPr="0038442F">
        <w:rPr>
          <w:rFonts w:ascii="Verdana" w:hAnsi="Verdana" w:cs="System Font Regular"/>
          <w:sz w:val="20"/>
          <w:szCs w:val="20"/>
          <w:lang w:val="pt-BR"/>
        </w:rPr>
        <w:t>”</w:t>
      </w:r>
      <w:r w:rsidR="006A12FD" w:rsidRPr="0038442F">
        <w:rPr>
          <w:rFonts w:ascii="Verdana" w:hAnsi="Verdana" w:cs="System Font Regular"/>
          <w:sz w:val="20"/>
          <w:szCs w:val="20"/>
          <w:lang w:val="pt-BR"/>
        </w:rPr>
        <w:t>.</w:t>
      </w:r>
      <w:r w:rsidR="001F17D1" w:rsidRPr="0038442F">
        <w:rPr>
          <w:rStyle w:val="Refdenotaalpie"/>
          <w:rFonts w:ascii="Verdana" w:hAnsi="Verdana" w:cs="System Font Regular"/>
          <w:sz w:val="20"/>
          <w:szCs w:val="20"/>
          <w:lang w:val="pt-BR"/>
        </w:rPr>
        <w:footnoteReference w:id="3"/>
      </w:r>
    </w:p>
    <w:p w14:paraId="53319CF8" w14:textId="77777777" w:rsidR="000B6FAC" w:rsidRPr="0038442F" w:rsidRDefault="000B6FAC" w:rsidP="00A857CB">
      <w:pPr>
        <w:pStyle w:val="Prrafodelista"/>
        <w:spacing w:line="240" w:lineRule="auto"/>
        <w:jc w:val="both"/>
        <w:rPr>
          <w:rFonts w:ascii="Verdana" w:hAnsi="Verdana"/>
          <w:sz w:val="20"/>
          <w:szCs w:val="20"/>
          <w:lang w:val="pt-BR"/>
        </w:rPr>
      </w:pPr>
    </w:p>
    <w:p w14:paraId="315FAE6F" w14:textId="003D15D5" w:rsidR="0016131E" w:rsidRPr="0038442F" w:rsidRDefault="00C92762" w:rsidP="00F255AC">
      <w:pPr>
        <w:pStyle w:val="Prrafodelista"/>
        <w:numPr>
          <w:ilvl w:val="0"/>
          <w:numId w:val="2"/>
        </w:numPr>
        <w:tabs>
          <w:tab w:val="left" w:pos="709"/>
          <w:tab w:val="left" w:pos="1464"/>
        </w:tabs>
        <w:spacing w:after="0" w:line="240" w:lineRule="auto"/>
        <w:ind w:left="0" w:firstLine="0"/>
        <w:jc w:val="both"/>
        <w:rPr>
          <w:rFonts w:ascii="Verdana" w:hAnsi="Verdana"/>
          <w:sz w:val="20"/>
          <w:szCs w:val="20"/>
          <w:lang w:val="pt-BR"/>
        </w:rPr>
      </w:pPr>
      <w:r w:rsidRPr="0038442F">
        <w:rPr>
          <w:rFonts w:ascii="Verdana" w:hAnsi="Verdana"/>
          <w:sz w:val="20"/>
          <w:szCs w:val="20"/>
          <w:lang w:val="pt-BR"/>
        </w:rPr>
        <w:t>A Corte</w:t>
      </w:r>
      <w:r w:rsidR="00407242" w:rsidRPr="0038442F">
        <w:rPr>
          <w:rFonts w:ascii="Verdana" w:hAnsi="Verdana"/>
          <w:sz w:val="20"/>
          <w:szCs w:val="20"/>
          <w:lang w:val="pt-BR"/>
        </w:rPr>
        <w:t xml:space="preserve"> </w:t>
      </w:r>
      <w:r w:rsidR="000B6FAC" w:rsidRPr="0038442F">
        <w:rPr>
          <w:rFonts w:ascii="Verdana" w:hAnsi="Verdana"/>
          <w:sz w:val="20"/>
          <w:szCs w:val="20"/>
          <w:lang w:val="pt-BR"/>
        </w:rPr>
        <w:t xml:space="preserve">IDH </w:t>
      </w:r>
      <w:r w:rsidRPr="0038442F">
        <w:rPr>
          <w:rFonts w:ascii="Verdana" w:hAnsi="Verdana"/>
          <w:sz w:val="20"/>
          <w:szCs w:val="20"/>
          <w:lang w:val="pt-BR"/>
        </w:rPr>
        <w:t>analisa</w:t>
      </w:r>
      <w:r w:rsidR="00407242" w:rsidRPr="0038442F">
        <w:rPr>
          <w:rFonts w:ascii="Verdana" w:hAnsi="Verdana"/>
          <w:sz w:val="20"/>
          <w:szCs w:val="20"/>
          <w:lang w:val="pt-BR"/>
        </w:rPr>
        <w:t xml:space="preserve"> </w:t>
      </w:r>
      <w:r w:rsidR="000B6FAC" w:rsidRPr="0038442F">
        <w:rPr>
          <w:rFonts w:ascii="Verdana" w:hAnsi="Verdana"/>
          <w:sz w:val="20"/>
          <w:szCs w:val="20"/>
          <w:lang w:val="pt-BR"/>
        </w:rPr>
        <w:t xml:space="preserve">de </w:t>
      </w:r>
      <w:r w:rsidR="00126364">
        <w:rPr>
          <w:rFonts w:ascii="Verdana" w:hAnsi="Verdana"/>
          <w:sz w:val="20"/>
          <w:szCs w:val="20"/>
          <w:lang w:val="pt-BR"/>
        </w:rPr>
        <w:t>forma</w:t>
      </w:r>
      <w:r w:rsidR="00126364" w:rsidRPr="0038442F">
        <w:rPr>
          <w:rFonts w:ascii="Verdana" w:hAnsi="Verdana"/>
          <w:sz w:val="20"/>
          <w:szCs w:val="20"/>
          <w:lang w:val="pt-BR"/>
        </w:rPr>
        <w:t xml:space="preserve"> </w:t>
      </w:r>
      <w:r w:rsidR="000B6FAC" w:rsidRPr="0038442F">
        <w:rPr>
          <w:rFonts w:ascii="Verdana" w:hAnsi="Verdana"/>
          <w:sz w:val="20"/>
          <w:szCs w:val="20"/>
          <w:lang w:val="pt-BR"/>
        </w:rPr>
        <w:t xml:space="preserve">conjunta </w:t>
      </w:r>
      <w:r w:rsidR="006A12FD" w:rsidRPr="0038442F">
        <w:rPr>
          <w:rFonts w:ascii="Verdana" w:hAnsi="Verdana"/>
          <w:sz w:val="20"/>
          <w:szCs w:val="20"/>
          <w:lang w:val="pt-BR"/>
        </w:rPr>
        <w:t xml:space="preserve">os artigos </w:t>
      </w:r>
      <w:r w:rsidR="00B1475B" w:rsidRPr="0038442F">
        <w:rPr>
          <w:rFonts w:ascii="Verdana" w:hAnsi="Verdana"/>
          <w:sz w:val="20"/>
          <w:szCs w:val="20"/>
          <w:lang w:val="pt-BR"/>
        </w:rPr>
        <w:t xml:space="preserve">1.1 </w:t>
      </w:r>
      <w:r w:rsidR="006A12FD" w:rsidRPr="0038442F">
        <w:rPr>
          <w:rFonts w:ascii="Verdana" w:hAnsi="Verdana"/>
          <w:sz w:val="20"/>
          <w:szCs w:val="20"/>
          <w:lang w:val="pt-BR"/>
        </w:rPr>
        <w:t>e</w:t>
      </w:r>
      <w:r w:rsidR="00B1475B" w:rsidRPr="0038442F">
        <w:rPr>
          <w:rFonts w:ascii="Verdana" w:hAnsi="Verdana"/>
          <w:sz w:val="20"/>
          <w:szCs w:val="20"/>
          <w:lang w:val="pt-BR"/>
        </w:rPr>
        <w:t xml:space="preserve"> 24 </w:t>
      </w:r>
      <w:r w:rsidRPr="0038442F">
        <w:rPr>
          <w:rFonts w:ascii="Verdana" w:hAnsi="Verdana"/>
          <w:sz w:val="20"/>
          <w:szCs w:val="20"/>
          <w:lang w:val="pt-BR"/>
        </w:rPr>
        <w:t xml:space="preserve">da </w:t>
      </w:r>
      <w:r w:rsidR="00B1475B" w:rsidRPr="0038442F">
        <w:rPr>
          <w:rFonts w:ascii="Verdana" w:hAnsi="Verdana"/>
          <w:sz w:val="20"/>
          <w:szCs w:val="20"/>
          <w:lang w:val="pt-BR"/>
        </w:rPr>
        <w:t>Conven</w:t>
      </w:r>
      <w:r w:rsidR="000A1AA8" w:rsidRPr="0038442F">
        <w:rPr>
          <w:rFonts w:ascii="Verdana" w:hAnsi="Verdana"/>
          <w:sz w:val="20"/>
          <w:szCs w:val="20"/>
          <w:lang w:val="pt-BR"/>
        </w:rPr>
        <w:t>ção</w:t>
      </w:r>
      <w:r w:rsidR="00B1475B" w:rsidRPr="0038442F">
        <w:rPr>
          <w:rFonts w:ascii="Verdana" w:hAnsi="Verdana"/>
          <w:sz w:val="20"/>
          <w:szCs w:val="20"/>
          <w:lang w:val="pt-BR"/>
        </w:rPr>
        <w:t xml:space="preserve"> Americana</w:t>
      </w:r>
      <w:r w:rsidR="002246C5" w:rsidRPr="0038442F">
        <w:rPr>
          <w:rFonts w:ascii="Verdana" w:hAnsi="Verdana"/>
          <w:sz w:val="20"/>
          <w:szCs w:val="20"/>
          <w:lang w:val="pt-BR"/>
        </w:rPr>
        <w:t>,</w:t>
      </w:r>
      <w:r w:rsidR="00B1475B" w:rsidRPr="0038442F">
        <w:rPr>
          <w:rFonts w:ascii="Verdana" w:hAnsi="Verdana"/>
          <w:sz w:val="20"/>
          <w:szCs w:val="20"/>
          <w:lang w:val="pt-BR"/>
        </w:rPr>
        <w:t xml:space="preserve"> tanto </w:t>
      </w:r>
      <w:r w:rsidR="000A1AA8" w:rsidRPr="0038442F">
        <w:rPr>
          <w:rFonts w:ascii="Verdana" w:hAnsi="Verdana"/>
          <w:sz w:val="20"/>
          <w:szCs w:val="20"/>
          <w:lang w:val="pt-BR"/>
        </w:rPr>
        <w:t xml:space="preserve">pela </w:t>
      </w:r>
      <w:r w:rsidR="00B1475B" w:rsidRPr="0038442F">
        <w:rPr>
          <w:rFonts w:ascii="Verdana" w:hAnsi="Verdana"/>
          <w:sz w:val="20"/>
          <w:szCs w:val="20"/>
          <w:lang w:val="pt-BR"/>
        </w:rPr>
        <w:t>discrimina</w:t>
      </w:r>
      <w:r w:rsidR="000A1AA8" w:rsidRPr="0038442F">
        <w:rPr>
          <w:rFonts w:ascii="Verdana" w:hAnsi="Verdana"/>
          <w:sz w:val="20"/>
          <w:szCs w:val="20"/>
          <w:lang w:val="pt-BR"/>
        </w:rPr>
        <w:t>ção</w:t>
      </w:r>
      <w:r w:rsidR="00B1475B" w:rsidRPr="0038442F">
        <w:rPr>
          <w:rFonts w:ascii="Verdana" w:hAnsi="Verdana"/>
          <w:sz w:val="20"/>
          <w:szCs w:val="20"/>
          <w:lang w:val="pt-BR"/>
        </w:rPr>
        <w:t xml:space="preserve"> </w:t>
      </w:r>
      <w:r w:rsidR="00CD350B" w:rsidRPr="0038442F">
        <w:rPr>
          <w:rFonts w:ascii="Verdana" w:hAnsi="Verdana"/>
          <w:sz w:val="20"/>
          <w:szCs w:val="20"/>
          <w:lang w:val="pt-BR"/>
        </w:rPr>
        <w:t xml:space="preserve">que atingia </w:t>
      </w:r>
      <w:r w:rsidR="00B1475B" w:rsidRPr="0038442F">
        <w:rPr>
          <w:rFonts w:ascii="Verdana" w:hAnsi="Verdana"/>
          <w:sz w:val="20"/>
          <w:szCs w:val="20"/>
          <w:lang w:val="pt-BR"/>
        </w:rPr>
        <w:t xml:space="preserve">as </w:t>
      </w:r>
      <w:r w:rsidRPr="0038442F">
        <w:rPr>
          <w:rFonts w:ascii="Verdana" w:hAnsi="Verdana"/>
          <w:sz w:val="20"/>
          <w:szCs w:val="20"/>
          <w:lang w:val="pt-BR"/>
        </w:rPr>
        <w:t>vítimas</w:t>
      </w:r>
      <w:r w:rsidR="006A12FD" w:rsidRPr="0038442F">
        <w:rPr>
          <w:rFonts w:ascii="Verdana" w:hAnsi="Verdana"/>
          <w:sz w:val="20"/>
          <w:szCs w:val="20"/>
          <w:lang w:val="pt-BR"/>
        </w:rPr>
        <w:t>,</w:t>
      </w:r>
      <w:r w:rsidR="00407242" w:rsidRPr="0038442F">
        <w:rPr>
          <w:rFonts w:ascii="Verdana" w:hAnsi="Verdana"/>
          <w:sz w:val="20"/>
          <w:szCs w:val="20"/>
          <w:lang w:val="pt-BR"/>
        </w:rPr>
        <w:t xml:space="preserve"> </w:t>
      </w:r>
      <w:r w:rsidR="000A1AA8" w:rsidRPr="0038442F">
        <w:rPr>
          <w:rFonts w:ascii="Verdana" w:hAnsi="Verdana"/>
          <w:sz w:val="20"/>
          <w:szCs w:val="20"/>
          <w:lang w:val="pt-BR"/>
        </w:rPr>
        <w:t xml:space="preserve">pela </w:t>
      </w:r>
      <w:r w:rsidR="006A12FD" w:rsidRPr="0038442F">
        <w:rPr>
          <w:rFonts w:ascii="Verdana" w:hAnsi="Verdana"/>
          <w:sz w:val="20"/>
          <w:szCs w:val="20"/>
          <w:lang w:val="pt-BR"/>
        </w:rPr>
        <w:t>presença</w:t>
      </w:r>
      <w:r w:rsidR="00407242" w:rsidRPr="0038442F">
        <w:rPr>
          <w:rFonts w:ascii="Verdana" w:hAnsi="Verdana"/>
          <w:sz w:val="20"/>
          <w:szCs w:val="20"/>
          <w:lang w:val="pt-BR"/>
        </w:rPr>
        <w:t xml:space="preserve"> </w:t>
      </w:r>
      <w:r w:rsidR="00B1475B" w:rsidRPr="0038442F">
        <w:rPr>
          <w:rFonts w:ascii="Verdana" w:hAnsi="Verdana"/>
          <w:sz w:val="20"/>
          <w:szCs w:val="20"/>
          <w:lang w:val="pt-BR"/>
        </w:rPr>
        <w:t xml:space="preserve">de </w:t>
      </w:r>
      <w:r w:rsidR="00CA30C5" w:rsidRPr="0038442F">
        <w:rPr>
          <w:rFonts w:ascii="Verdana" w:hAnsi="Verdana"/>
          <w:sz w:val="20"/>
          <w:szCs w:val="20"/>
          <w:lang w:val="pt-BR"/>
        </w:rPr>
        <w:t>fatores</w:t>
      </w:r>
      <w:r w:rsidR="00407242" w:rsidRPr="0038442F">
        <w:rPr>
          <w:rFonts w:ascii="Verdana" w:hAnsi="Verdana"/>
          <w:sz w:val="20"/>
          <w:szCs w:val="20"/>
          <w:lang w:val="pt-BR"/>
        </w:rPr>
        <w:t xml:space="preserve"> </w:t>
      </w:r>
      <w:r w:rsidR="006A12FD" w:rsidRPr="0038442F">
        <w:rPr>
          <w:rFonts w:ascii="Verdana" w:hAnsi="Verdana"/>
          <w:sz w:val="20"/>
          <w:szCs w:val="20"/>
          <w:lang w:val="pt-BR"/>
        </w:rPr>
        <w:t>discriminatórios</w:t>
      </w:r>
      <w:r w:rsidR="00B1475B" w:rsidRPr="0038442F">
        <w:rPr>
          <w:rFonts w:ascii="Verdana" w:hAnsi="Verdana"/>
          <w:sz w:val="20"/>
          <w:szCs w:val="20"/>
          <w:lang w:val="pt-BR"/>
        </w:rPr>
        <w:t xml:space="preserve">, como </w:t>
      </w:r>
      <w:r w:rsidR="006A12FD" w:rsidRPr="0038442F">
        <w:rPr>
          <w:rFonts w:ascii="Verdana" w:hAnsi="Verdana"/>
          <w:sz w:val="20"/>
          <w:szCs w:val="20"/>
          <w:lang w:val="pt-BR"/>
        </w:rPr>
        <w:t xml:space="preserve">pelas </w:t>
      </w:r>
      <w:r w:rsidR="00B1475B" w:rsidRPr="0038442F">
        <w:rPr>
          <w:rFonts w:ascii="Verdana" w:hAnsi="Verdana"/>
          <w:sz w:val="20"/>
          <w:szCs w:val="20"/>
          <w:lang w:val="pt-BR"/>
        </w:rPr>
        <w:t xml:space="preserve">desigualdades </w:t>
      </w:r>
      <w:r w:rsidR="00CD350B" w:rsidRPr="0038442F">
        <w:rPr>
          <w:rFonts w:ascii="Verdana" w:hAnsi="Verdana"/>
          <w:sz w:val="20"/>
          <w:szCs w:val="20"/>
          <w:lang w:val="pt-BR"/>
        </w:rPr>
        <w:t>que experimentavam</w:t>
      </w:r>
      <w:r w:rsidR="006A12FD" w:rsidRPr="0038442F">
        <w:rPr>
          <w:rFonts w:ascii="Verdana" w:hAnsi="Verdana"/>
          <w:sz w:val="20"/>
          <w:szCs w:val="20"/>
          <w:lang w:val="pt-BR"/>
        </w:rPr>
        <w:t xml:space="preserve">, </w:t>
      </w:r>
      <w:r w:rsidR="000A1AA8" w:rsidRPr="0038442F">
        <w:rPr>
          <w:rFonts w:ascii="Verdana" w:hAnsi="Verdana"/>
          <w:sz w:val="20"/>
          <w:szCs w:val="20"/>
          <w:lang w:val="pt-BR"/>
        </w:rPr>
        <w:t xml:space="preserve">pela </w:t>
      </w:r>
      <w:r w:rsidR="00B1475B" w:rsidRPr="0038442F">
        <w:rPr>
          <w:rFonts w:ascii="Verdana" w:hAnsi="Verdana"/>
          <w:sz w:val="20"/>
          <w:szCs w:val="20"/>
          <w:lang w:val="pt-BR"/>
        </w:rPr>
        <w:t xml:space="preserve">falta de </w:t>
      </w:r>
      <w:r w:rsidR="006A12FD" w:rsidRPr="0038442F">
        <w:rPr>
          <w:rFonts w:ascii="Verdana" w:hAnsi="Verdana"/>
          <w:sz w:val="20"/>
          <w:szCs w:val="20"/>
          <w:lang w:val="pt-BR"/>
        </w:rPr>
        <w:t>ações</w:t>
      </w:r>
      <w:r w:rsidR="00407242" w:rsidRPr="0038442F">
        <w:rPr>
          <w:rFonts w:ascii="Verdana" w:hAnsi="Verdana"/>
          <w:sz w:val="20"/>
          <w:szCs w:val="20"/>
          <w:lang w:val="pt-BR"/>
        </w:rPr>
        <w:t xml:space="preserve"> </w:t>
      </w:r>
      <w:r w:rsidR="00B1475B" w:rsidRPr="0038442F">
        <w:rPr>
          <w:rFonts w:ascii="Verdana" w:hAnsi="Verdana"/>
          <w:sz w:val="20"/>
          <w:szCs w:val="20"/>
          <w:lang w:val="pt-BR"/>
        </w:rPr>
        <w:t xml:space="preserve">para </w:t>
      </w:r>
      <w:r w:rsidR="00CD350B" w:rsidRPr="0038442F">
        <w:rPr>
          <w:rFonts w:ascii="Verdana" w:hAnsi="Verdana"/>
          <w:sz w:val="20"/>
          <w:szCs w:val="20"/>
          <w:lang w:val="pt-BR"/>
        </w:rPr>
        <w:t>atenuar</w:t>
      </w:r>
      <w:r w:rsidR="00B1475B" w:rsidRPr="0038442F">
        <w:rPr>
          <w:rFonts w:ascii="Verdana" w:hAnsi="Verdana"/>
          <w:sz w:val="20"/>
          <w:szCs w:val="20"/>
          <w:lang w:val="pt-BR"/>
        </w:rPr>
        <w:t xml:space="preserve"> a situa</w:t>
      </w:r>
      <w:r w:rsidR="000A1AA8" w:rsidRPr="0038442F">
        <w:rPr>
          <w:rFonts w:ascii="Verdana" w:hAnsi="Verdana"/>
          <w:sz w:val="20"/>
          <w:szCs w:val="20"/>
          <w:lang w:val="pt-BR"/>
        </w:rPr>
        <w:t>ção</w:t>
      </w:r>
      <w:r w:rsidR="00B1475B" w:rsidRPr="0038442F">
        <w:rPr>
          <w:rFonts w:ascii="Verdana" w:hAnsi="Verdana"/>
          <w:sz w:val="20"/>
          <w:szCs w:val="20"/>
          <w:lang w:val="pt-BR"/>
        </w:rPr>
        <w:t xml:space="preserve"> </w:t>
      </w:r>
      <w:r w:rsidR="006A12FD" w:rsidRPr="0038442F">
        <w:rPr>
          <w:rFonts w:ascii="Verdana" w:hAnsi="Verdana"/>
          <w:sz w:val="20"/>
          <w:szCs w:val="20"/>
          <w:lang w:val="pt-BR"/>
        </w:rPr>
        <w:t xml:space="preserve">em </w:t>
      </w:r>
      <w:r w:rsidR="00B1475B" w:rsidRPr="0038442F">
        <w:rPr>
          <w:rFonts w:ascii="Verdana" w:hAnsi="Verdana"/>
          <w:sz w:val="20"/>
          <w:szCs w:val="20"/>
          <w:lang w:val="pt-BR"/>
        </w:rPr>
        <w:t xml:space="preserve">que se </w:t>
      </w:r>
      <w:r w:rsidR="00BF7A10" w:rsidRPr="0038442F">
        <w:rPr>
          <w:rFonts w:ascii="Verdana" w:hAnsi="Verdana"/>
          <w:sz w:val="20"/>
          <w:szCs w:val="20"/>
          <w:lang w:val="pt-BR"/>
        </w:rPr>
        <w:t>encontravam</w:t>
      </w:r>
      <w:r w:rsidR="00407242" w:rsidRPr="0038442F">
        <w:rPr>
          <w:rFonts w:ascii="Verdana" w:hAnsi="Verdana"/>
          <w:sz w:val="20"/>
          <w:szCs w:val="20"/>
          <w:lang w:val="pt-BR"/>
        </w:rPr>
        <w:t xml:space="preserve"> </w:t>
      </w:r>
      <w:r w:rsidR="006A12FD" w:rsidRPr="0038442F">
        <w:rPr>
          <w:rFonts w:ascii="Verdana" w:hAnsi="Verdana"/>
          <w:sz w:val="20"/>
          <w:szCs w:val="20"/>
          <w:lang w:val="pt-BR"/>
        </w:rPr>
        <w:t>trabalhando</w:t>
      </w:r>
      <w:r w:rsidR="00791F3E" w:rsidRPr="0038442F">
        <w:rPr>
          <w:rFonts w:ascii="Verdana" w:hAnsi="Verdana"/>
          <w:sz w:val="20"/>
          <w:szCs w:val="20"/>
          <w:lang w:val="pt-BR"/>
        </w:rPr>
        <w:t>,</w:t>
      </w:r>
      <w:r w:rsidR="006A12FD" w:rsidRPr="0038442F">
        <w:rPr>
          <w:rFonts w:ascii="Verdana" w:hAnsi="Verdana"/>
          <w:sz w:val="20"/>
          <w:szCs w:val="20"/>
          <w:lang w:val="pt-BR"/>
        </w:rPr>
        <w:t xml:space="preserve"> </w:t>
      </w:r>
      <w:r w:rsidR="006D3D04" w:rsidRPr="0038442F">
        <w:rPr>
          <w:rFonts w:ascii="Verdana" w:hAnsi="Verdana"/>
          <w:sz w:val="20"/>
          <w:szCs w:val="20"/>
          <w:lang w:val="pt-BR"/>
        </w:rPr>
        <w:t>o</w:t>
      </w:r>
      <w:r w:rsidR="006A12FD" w:rsidRPr="0038442F">
        <w:rPr>
          <w:rFonts w:ascii="Verdana" w:hAnsi="Verdana"/>
          <w:sz w:val="20"/>
          <w:szCs w:val="20"/>
          <w:lang w:val="pt-BR"/>
        </w:rPr>
        <w:t>u</w:t>
      </w:r>
      <w:r w:rsidR="008026EC" w:rsidRPr="0038442F">
        <w:rPr>
          <w:rFonts w:ascii="Verdana" w:hAnsi="Verdana"/>
          <w:sz w:val="20"/>
          <w:szCs w:val="20"/>
          <w:lang w:val="pt-BR"/>
        </w:rPr>
        <w:t xml:space="preserve"> para</w:t>
      </w:r>
      <w:r w:rsidR="006D3D04" w:rsidRPr="0038442F">
        <w:rPr>
          <w:rFonts w:ascii="Verdana" w:hAnsi="Verdana"/>
          <w:sz w:val="20"/>
          <w:szCs w:val="20"/>
          <w:lang w:val="pt-BR"/>
        </w:rPr>
        <w:t xml:space="preserve"> que pud</w:t>
      </w:r>
      <w:r w:rsidR="006A12FD" w:rsidRPr="0038442F">
        <w:rPr>
          <w:rFonts w:ascii="Verdana" w:hAnsi="Verdana"/>
          <w:sz w:val="20"/>
          <w:szCs w:val="20"/>
          <w:lang w:val="pt-BR"/>
        </w:rPr>
        <w:t>essem ter acesso a outras</w:t>
      </w:r>
      <w:r w:rsidR="00407242" w:rsidRPr="0038442F">
        <w:rPr>
          <w:rFonts w:ascii="Verdana" w:hAnsi="Verdana"/>
          <w:sz w:val="20"/>
          <w:szCs w:val="20"/>
          <w:lang w:val="pt-BR"/>
        </w:rPr>
        <w:t xml:space="preserve"> </w:t>
      </w:r>
      <w:r w:rsidR="006D3D04" w:rsidRPr="0038442F">
        <w:rPr>
          <w:rFonts w:ascii="Verdana" w:hAnsi="Verdana"/>
          <w:sz w:val="20"/>
          <w:szCs w:val="20"/>
          <w:lang w:val="pt-BR"/>
        </w:rPr>
        <w:t xml:space="preserve">formas </w:t>
      </w:r>
      <w:r w:rsidR="002247E5" w:rsidRPr="0038442F">
        <w:rPr>
          <w:rFonts w:ascii="Verdana" w:hAnsi="Verdana"/>
          <w:sz w:val="20"/>
          <w:szCs w:val="20"/>
          <w:lang w:val="pt-BR"/>
        </w:rPr>
        <w:t>d</w:t>
      </w:r>
      <w:r w:rsidR="006D3D04" w:rsidRPr="0038442F">
        <w:rPr>
          <w:rFonts w:ascii="Verdana" w:hAnsi="Verdana"/>
          <w:sz w:val="20"/>
          <w:szCs w:val="20"/>
          <w:lang w:val="pt-BR"/>
        </w:rPr>
        <w:t xml:space="preserve">e </w:t>
      </w:r>
      <w:r w:rsidR="006A12FD" w:rsidRPr="0038442F">
        <w:rPr>
          <w:rFonts w:ascii="Verdana" w:hAnsi="Verdana"/>
          <w:sz w:val="20"/>
          <w:szCs w:val="20"/>
          <w:lang w:val="pt-BR"/>
        </w:rPr>
        <w:t>emprego</w:t>
      </w:r>
      <w:r w:rsidR="006D3D04" w:rsidRPr="0038442F">
        <w:rPr>
          <w:rFonts w:ascii="Verdana" w:hAnsi="Verdana"/>
          <w:sz w:val="20"/>
          <w:szCs w:val="20"/>
          <w:lang w:val="pt-BR"/>
        </w:rPr>
        <w:t xml:space="preserve">. </w:t>
      </w:r>
      <w:r w:rsidR="006A12FD" w:rsidRPr="0038442F">
        <w:rPr>
          <w:rFonts w:ascii="Verdana" w:hAnsi="Verdana"/>
          <w:sz w:val="20"/>
          <w:szCs w:val="20"/>
          <w:lang w:val="pt-BR"/>
        </w:rPr>
        <w:t xml:space="preserve">É </w:t>
      </w:r>
      <w:r w:rsidR="002247E5" w:rsidRPr="0038442F">
        <w:rPr>
          <w:rFonts w:ascii="Verdana" w:hAnsi="Verdana"/>
          <w:sz w:val="20"/>
          <w:szCs w:val="20"/>
          <w:lang w:val="pt-BR"/>
        </w:rPr>
        <w:t xml:space="preserve">especialmente relevante que a Corte IDH </w:t>
      </w:r>
      <w:r w:rsidR="00175516" w:rsidRPr="0038442F">
        <w:rPr>
          <w:rFonts w:ascii="Verdana" w:hAnsi="Verdana"/>
          <w:sz w:val="20"/>
          <w:szCs w:val="20"/>
          <w:lang w:val="pt-BR"/>
        </w:rPr>
        <w:t>“</w:t>
      </w:r>
      <w:r w:rsidR="009612FB" w:rsidRPr="0038442F">
        <w:rPr>
          <w:rFonts w:ascii="Verdana" w:hAnsi="Verdana"/>
          <w:sz w:val="20"/>
          <w:szCs w:val="20"/>
          <w:lang w:val="pt-BR"/>
        </w:rPr>
        <w:t>conclu[a]</w:t>
      </w:r>
      <w:r w:rsidR="00175516" w:rsidRPr="0038442F">
        <w:rPr>
          <w:rFonts w:ascii="Verdana" w:hAnsi="Verdana"/>
          <w:sz w:val="20"/>
          <w:szCs w:val="20"/>
          <w:lang w:val="pt-BR"/>
        </w:rPr>
        <w:t xml:space="preserve"> que</w:t>
      </w:r>
      <w:r w:rsidR="009612FB" w:rsidRPr="0038442F">
        <w:rPr>
          <w:rFonts w:ascii="Verdana" w:hAnsi="Verdana"/>
          <w:sz w:val="20"/>
          <w:szCs w:val="20"/>
          <w:lang w:val="pt-BR"/>
        </w:rPr>
        <w:t xml:space="preserve">, do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175516" w:rsidRPr="0038442F">
        <w:rPr>
          <w:rFonts w:ascii="Verdana" w:hAnsi="Verdana"/>
          <w:sz w:val="20"/>
          <w:szCs w:val="20"/>
          <w:lang w:val="pt-BR"/>
        </w:rPr>
        <w:t xml:space="preserve">24 </w:t>
      </w:r>
      <w:r w:rsidRPr="0038442F">
        <w:rPr>
          <w:rFonts w:ascii="Verdana" w:hAnsi="Verdana"/>
          <w:sz w:val="20"/>
          <w:szCs w:val="20"/>
          <w:lang w:val="pt-BR"/>
        </w:rPr>
        <w:t xml:space="preserve">da </w:t>
      </w:r>
      <w:r w:rsidR="00175516" w:rsidRPr="0038442F">
        <w:rPr>
          <w:rFonts w:ascii="Verdana" w:hAnsi="Verdana"/>
          <w:sz w:val="20"/>
          <w:szCs w:val="20"/>
          <w:lang w:val="pt-BR"/>
        </w:rPr>
        <w:t>Conven</w:t>
      </w:r>
      <w:r w:rsidR="000A1AA8" w:rsidRPr="0038442F">
        <w:rPr>
          <w:rFonts w:ascii="Verdana" w:hAnsi="Verdana"/>
          <w:sz w:val="20"/>
          <w:szCs w:val="20"/>
          <w:lang w:val="pt-BR"/>
        </w:rPr>
        <w:t>ção</w:t>
      </w:r>
      <w:r w:rsidR="009612FB" w:rsidRPr="0038442F">
        <w:rPr>
          <w:rFonts w:ascii="Verdana" w:hAnsi="Verdana"/>
          <w:sz w:val="20"/>
          <w:szCs w:val="20"/>
          <w:lang w:val="pt-BR"/>
        </w:rPr>
        <w:t>,</w:t>
      </w:r>
      <w:r w:rsidR="00175516" w:rsidRPr="0038442F">
        <w:rPr>
          <w:rFonts w:ascii="Verdana" w:hAnsi="Verdana"/>
          <w:sz w:val="20"/>
          <w:szCs w:val="20"/>
          <w:lang w:val="pt-BR"/>
        </w:rPr>
        <w:t xml:space="preserve"> </w:t>
      </w:r>
      <w:r w:rsidR="009612FB" w:rsidRPr="0038442F">
        <w:rPr>
          <w:rFonts w:ascii="Verdana" w:hAnsi="Verdana"/>
          <w:sz w:val="20"/>
          <w:szCs w:val="20"/>
          <w:lang w:val="pt-BR"/>
        </w:rPr>
        <w:t xml:space="preserve">decorre um </w:t>
      </w:r>
      <w:r w:rsidR="00175516" w:rsidRPr="0038442F">
        <w:rPr>
          <w:rFonts w:ascii="Verdana" w:hAnsi="Verdana"/>
          <w:sz w:val="20"/>
          <w:szCs w:val="20"/>
          <w:lang w:val="pt-BR"/>
        </w:rPr>
        <w:t xml:space="preserve">mandato </w:t>
      </w:r>
      <w:r w:rsidR="009612FB" w:rsidRPr="0038442F">
        <w:rPr>
          <w:rFonts w:ascii="Verdana" w:hAnsi="Verdana"/>
          <w:sz w:val="20"/>
          <w:szCs w:val="20"/>
          <w:lang w:val="pt-BR"/>
        </w:rPr>
        <w:t xml:space="preserve">destinado a garantir a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00175516" w:rsidRPr="0038442F">
        <w:rPr>
          <w:rFonts w:ascii="Verdana" w:hAnsi="Verdana"/>
          <w:i/>
          <w:sz w:val="20"/>
          <w:szCs w:val="20"/>
          <w:lang w:val="pt-BR"/>
        </w:rPr>
        <w:t>material</w:t>
      </w:r>
      <w:r w:rsidR="00175516" w:rsidRPr="0038442F">
        <w:rPr>
          <w:rFonts w:ascii="Verdana" w:hAnsi="Verdana"/>
          <w:sz w:val="20"/>
          <w:szCs w:val="20"/>
          <w:lang w:val="pt-BR"/>
        </w:rPr>
        <w:t>”</w:t>
      </w:r>
      <w:r w:rsidR="009612FB" w:rsidRPr="0038442F">
        <w:rPr>
          <w:rFonts w:ascii="Verdana" w:hAnsi="Verdana"/>
          <w:sz w:val="20"/>
          <w:szCs w:val="20"/>
          <w:lang w:val="pt-BR"/>
        </w:rPr>
        <w:t xml:space="preserve"> </w:t>
      </w:r>
      <w:r w:rsidR="009612FB" w:rsidRPr="0038442F">
        <w:rPr>
          <w:rFonts w:ascii="Verdana" w:hAnsi="Verdana"/>
          <w:i/>
          <w:sz w:val="20"/>
          <w:szCs w:val="20"/>
          <w:lang w:val="pt-BR"/>
        </w:rPr>
        <w:t>ou substancial</w:t>
      </w:r>
      <w:r w:rsidR="00175516" w:rsidRPr="0038442F">
        <w:rPr>
          <w:rFonts w:ascii="Verdana" w:hAnsi="Verdana"/>
          <w:sz w:val="20"/>
          <w:szCs w:val="20"/>
          <w:lang w:val="pt-BR"/>
        </w:rPr>
        <w:t>, o que “impl</w:t>
      </w:r>
      <w:r w:rsidR="009612FB" w:rsidRPr="0038442F">
        <w:rPr>
          <w:rFonts w:ascii="Verdana" w:hAnsi="Verdana"/>
          <w:sz w:val="20"/>
          <w:szCs w:val="20"/>
          <w:lang w:val="pt-BR"/>
        </w:rPr>
        <w:t xml:space="preserve">ica </w:t>
      </w:r>
      <w:r w:rsidR="00175516" w:rsidRPr="0038442F">
        <w:rPr>
          <w:rFonts w:ascii="Verdana" w:hAnsi="Verdana"/>
          <w:sz w:val="20"/>
          <w:szCs w:val="20"/>
          <w:lang w:val="pt-BR"/>
        </w:rPr>
        <w:t xml:space="preserve">a </w:t>
      </w:r>
      <w:r w:rsidRPr="0038442F">
        <w:rPr>
          <w:rFonts w:ascii="Verdana" w:hAnsi="Verdana"/>
          <w:sz w:val="20"/>
          <w:szCs w:val="20"/>
          <w:lang w:val="pt-BR"/>
        </w:rPr>
        <w:t>obrigação</w:t>
      </w:r>
      <w:r w:rsidR="00407242" w:rsidRPr="0038442F">
        <w:rPr>
          <w:rFonts w:ascii="Verdana" w:hAnsi="Verdana"/>
          <w:sz w:val="20"/>
          <w:szCs w:val="20"/>
          <w:lang w:val="pt-BR"/>
        </w:rPr>
        <w:t xml:space="preserve"> </w:t>
      </w:r>
      <w:r w:rsidR="00175516" w:rsidRPr="0038442F">
        <w:rPr>
          <w:rFonts w:ascii="Verdana" w:hAnsi="Verdana"/>
          <w:sz w:val="20"/>
          <w:szCs w:val="20"/>
          <w:lang w:val="pt-BR"/>
        </w:rPr>
        <w:t xml:space="preserve">de </w:t>
      </w:r>
      <w:r w:rsidRPr="0038442F">
        <w:rPr>
          <w:rFonts w:ascii="Verdana" w:hAnsi="Verdana"/>
          <w:sz w:val="20"/>
          <w:szCs w:val="20"/>
          <w:lang w:val="pt-BR"/>
        </w:rPr>
        <w:t>adotar</w:t>
      </w:r>
      <w:r w:rsidR="00407242" w:rsidRPr="0038442F">
        <w:rPr>
          <w:rFonts w:ascii="Verdana" w:hAnsi="Verdana"/>
          <w:sz w:val="20"/>
          <w:szCs w:val="20"/>
          <w:lang w:val="pt-BR"/>
        </w:rPr>
        <w:t xml:space="preserve"> </w:t>
      </w:r>
      <w:r w:rsidR="00175516" w:rsidRPr="0038442F">
        <w:rPr>
          <w:rFonts w:ascii="Verdana" w:hAnsi="Verdana"/>
          <w:sz w:val="20"/>
          <w:szCs w:val="20"/>
          <w:lang w:val="pt-BR"/>
        </w:rPr>
        <w:t xml:space="preserve">medidas para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175516" w:rsidRPr="0038442F">
        <w:rPr>
          <w:rFonts w:ascii="Verdana" w:hAnsi="Verdana"/>
          <w:sz w:val="20"/>
          <w:szCs w:val="20"/>
          <w:lang w:val="pt-BR"/>
        </w:rPr>
        <w:t xml:space="preserve">que </w:t>
      </w:r>
      <w:r w:rsidR="009612FB" w:rsidRPr="0038442F">
        <w:rPr>
          <w:rFonts w:ascii="Verdana" w:hAnsi="Verdana"/>
          <w:i/>
          <w:sz w:val="20"/>
          <w:szCs w:val="20"/>
          <w:lang w:val="pt-BR"/>
        </w:rPr>
        <w:t>a igualdade</w:t>
      </w:r>
      <w:r w:rsidR="00407242" w:rsidRPr="0038442F">
        <w:rPr>
          <w:rFonts w:ascii="Verdana" w:hAnsi="Verdana"/>
          <w:i/>
          <w:sz w:val="20"/>
          <w:szCs w:val="20"/>
          <w:lang w:val="pt-BR"/>
        </w:rPr>
        <w:t xml:space="preserve"> </w:t>
      </w:r>
      <w:r w:rsidR="00175516" w:rsidRPr="0038442F">
        <w:rPr>
          <w:rFonts w:ascii="Verdana" w:hAnsi="Verdana"/>
          <w:i/>
          <w:sz w:val="20"/>
          <w:szCs w:val="20"/>
          <w:lang w:val="pt-BR"/>
        </w:rPr>
        <w:t>se</w:t>
      </w:r>
      <w:r w:rsidR="009612FB" w:rsidRPr="0038442F">
        <w:rPr>
          <w:rFonts w:ascii="Verdana" w:hAnsi="Verdana"/>
          <w:i/>
          <w:sz w:val="20"/>
          <w:szCs w:val="20"/>
          <w:lang w:val="pt-BR"/>
        </w:rPr>
        <w:t>j</w:t>
      </w:r>
      <w:r w:rsidR="00175516" w:rsidRPr="0038442F">
        <w:rPr>
          <w:rFonts w:ascii="Verdana" w:hAnsi="Verdana"/>
          <w:i/>
          <w:sz w:val="20"/>
          <w:szCs w:val="20"/>
          <w:lang w:val="pt-BR"/>
        </w:rPr>
        <w:t xml:space="preserve">a real </w:t>
      </w:r>
      <w:r w:rsidR="009612FB" w:rsidRPr="0038442F">
        <w:rPr>
          <w:rFonts w:ascii="Verdana" w:hAnsi="Verdana"/>
          <w:i/>
          <w:sz w:val="20"/>
          <w:szCs w:val="20"/>
          <w:lang w:val="pt-BR"/>
        </w:rPr>
        <w:t>e</w:t>
      </w:r>
      <w:r w:rsidR="00175516" w:rsidRPr="0038442F">
        <w:rPr>
          <w:rFonts w:ascii="Verdana" w:hAnsi="Verdana"/>
          <w:i/>
          <w:sz w:val="20"/>
          <w:szCs w:val="20"/>
          <w:lang w:val="pt-BR"/>
        </w:rPr>
        <w:t xml:space="preserve"> </w:t>
      </w:r>
      <w:r w:rsidR="009612FB" w:rsidRPr="0038442F">
        <w:rPr>
          <w:rFonts w:ascii="Verdana" w:hAnsi="Verdana"/>
          <w:i/>
          <w:sz w:val="20"/>
          <w:szCs w:val="20"/>
          <w:lang w:val="pt-BR"/>
        </w:rPr>
        <w:t>efetiva</w:t>
      </w:r>
      <w:r w:rsidR="00175516" w:rsidRPr="0038442F">
        <w:rPr>
          <w:rFonts w:ascii="Verdana" w:hAnsi="Verdana"/>
          <w:sz w:val="20"/>
          <w:szCs w:val="20"/>
          <w:lang w:val="pt-BR"/>
        </w:rPr>
        <w:t xml:space="preserve">, </w:t>
      </w:r>
      <w:r w:rsidR="009612FB" w:rsidRPr="0038442F">
        <w:rPr>
          <w:rFonts w:ascii="Verdana" w:hAnsi="Verdana"/>
          <w:sz w:val="20"/>
          <w:szCs w:val="20"/>
          <w:lang w:val="pt-BR"/>
        </w:rPr>
        <w:t>ou seja</w:t>
      </w:r>
      <w:r w:rsidR="00175516" w:rsidRPr="0038442F">
        <w:rPr>
          <w:rFonts w:ascii="Verdana" w:hAnsi="Verdana"/>
          <w:sz w:val="20"/>
          <w:szCs w:val="20"/>
          <w:lang w:val="pt-BR"/>
        </w:rPr>
        <w:t xml:space="preserve">, </w:t>
      </w:r>
      <w:r w:rsidR="009612FB" w:rsidRPr="0038442F">
        <w:rPr>
          <w:rFonts w:ascii="Verdana" w:hAnsi="Verdana"/>
          <w:sz w:val="20"/>
          <w:szCs w:val="20"/>
          <w:lang w:val="pt-BR"/>
        </w:rPr>
        <w:t xml:space="preserve">de </w:t>
      </w:r>
      <w:r w:rsidR="00175516" w:rsidRPr="0038442F">
        <w:rPr>
          <w:rFonts w:ascii="Verdana" w:hAnsi="Verdana"/>
          <w:sz w:val="20"/>
          <w:szCs w:val="20"/>
          <w:lang w:val="pt-BR"/>
        </w:rPr>
        <w:t>corr</w:t>
      </w:r>
      <w:r w:rsidR="009612FB" w:rsidRPr="0038442F">
        <w:rPr>
          <w:rFonts w:ascii="Verdana" w:hAnsi="Verdana"/>
          <w:sz w:val="20"/>
          <w:szCs w:val="20"/>
          <w:lang w:val="pt-BR"/>
        </w:rPr>
        <w:t>i</w:t>
      </w:r>
      <w:r w:rsidR="00175516" w:rsidRPr="0038442F">
        <w:rPr>
          <w:rFonts w:ascii="Verdana" w:hAnsi="Verdana"/>
          <w:sz w:val="20"/>
          <w:szCs w:val="20"/>
          <w:lang w:val="pt-BR"/>
        </w:rPr>
        <w:t xml:space="preserve">gir as desigualdades existentes, promover a </w:t>
      </w:r>
      <w:r w:rsidR="009612FB" w:rsidRPr="0038442F">
        <w:rPr>
          <w:rFonts w:ascii="Verdana" w:hAnsi="Verdana"/>
          <w:sz w:val="20"/>
          <w:szCs w:val="20"/>
          <w:lang w:val="pt-BR"/>
        </w:rPr>
        <w:t>inclusão</w:t>
      </w:r>
      <w:r w:rsidR="00407242" w:rsidRPr="0038442F">
        <w:rPr>
          <w:rFonts w:ascii="Verdana" w:hAnsi="Verdana"/>
          <w:sz w:val="20"/>
          <w:szCs w:val="20"/>
          <w:lang w:val="pt-BR"/>
        </w:rPr>
        <w:t xml:space="preserve"> </w:t>
      </w:r>
      <w:r w:rsidR="009612FB" w:rsidRPr="0038442F">
        <w:rPr>
          <w:rFonts w:ascii="Verdana" w:hAnsi="Verdana"/>
          <w:sz w:val="20"/>
          <w:szCs w:val="20"/>
          <w:lang w:val="pt-BR"/>
        </w:rPr>
        <w:t xml:space="preserve">e </w:t>
      </w:r>
      <w:r w:rsidR="00175516" w:rsidRPr="0038442F">
        <w:rPr>
          <w:rFonts w:ascii="Verdana" w:hAnsi="Verdana"/>
          <w:sz w:val="20"/>
          <w:szCs w:val="20"/>
          <w:lang w:val="pt-BR"/>
        </w:rPr>
        <w:t>a participa</w:t>
      </w:r>
      <w:r w:rsidR="000A1AA8" w:rsidRPr="0038442F">
        <w:rPr>
          <w:rFonts w:ascii="Verdana" w:hAnsi="Verdana"/>
          <w:sz w:val="20"/>
          <w:szCs w:val="20"/>
          <w:lang w:val="pt-BR"/>
        </w:rPr>
        <w:t>ção</w:t>
      </w:r>
      <w:r w:rsidR="00175516" w:rsidRPr="0038442F">
        <w:rPr>
          <w:rFonts w:ascii="Verdana" w:hAnsi="Verdana"/>
          <w:sz w:val="20"/>
          <w:szCs w:val="20"/>
          <w:lang w:val="pt-BR"/>
        </w:rPr>
        <w:t xml:space="preserve"> </w:t>
      </w:r>
      <w:r w:rsidRPr="0038442F">
        <w:rPr>
          <w:rFonts w:ascii="Verdana" w:hAnsi="Verdana"/>
          <w:sz w:val="20"/>
          <w:szCs w:val="20"/>
          <w:lang w:val="pt-BR"/>
        </w:rPr>
        <w:t xml:space="preserve">dos </w:t>
      </w:r>
      <w:r w:rsidR="00175516" w:rsidRPr="0038442F">
        <w:rPr>
          <w:rFonts w:ascii="Verdana" w:hAnsi="Verdana"/>
          <w:sz w:val="20"/>
          <w:szCs w:val="20"/>
          <w:lang w:val="pt-BR"/>
        </w:rPr>
        <w:t>grupos hist</w:t>
      </w:r>
      <w:r w:rsidR="009612FB" w:rsidRPr="0038442F">
        <w:rPr>
          <w:rFonts w:ascii="Verdana" w:hAnsi="Verdana"/>
          <w:sz w:val="20"/>
          <w:szCs w:val="20"/>
          <w:lang w:val="pt-BR"/>
        </w:rPr>
        <w:t>o</w:t>
      </w:r>
      <w:r w:rsidR="00175516" w:rsidRPr="0038442F">
        <w:rPr>
          <w:rFonts w:ascii="Verdana" w:hAnsi="Verdana"/>
          <w:sz w:val="20"/>
          <w:szCs w:val="20"/>
          <w:lang w:val="pt-BR"/>
        </w:rPr>
        <w:t>ricamente margina</w:t>
      </w:r>
      <w:r w:rsidR="009612FB" w:rsidRPr="0038442F">
        <w:rPr>
          <w:rFonts w:ascii="Verdana" w:hAnsi="Verdana"/>
          <w:sz w:val="20"/>
          <w:szCs w:val="20"/>
          <w:lang w:val="pt-BR"/>
        </w:rPr>
        <w:t>liza</w:t>
      </w:r>
      <w:r w:rsidR="00175516" w:rsidRPr="0038442F">
        <w:rPr>
          <w:rFonts w:ascii="Verdana" w:hAnsi="Verdana"/>
          <w:sz w:val="20"/>
          <w:szCs w:val="20"/>
          <w:lang w:val="pt-BR"/>
        </w:rPr>
        <w:t>dos</w:t>
      </w:r>
      <w:r w:rsidR="009612FB" w:rsidRPr="0038442F">
        <w:rPr>
          <w:rFonts w:ascii="Verdana" w:hAnsi="Verdana"/>
          <w:sz w:val="20"/>
          <w:szCs w:val="20"/>
          <w:lang w:val="pt-BR"/>
        </w:rPr>
        <w:t xml:space="preserve"> e</w:t>
      </w:r>
      <w:r w:rsidR="00175516" w:rsidRPr="0038442F">
        <w:rPr>
          <w:rFonts w:ascii="Verdana" w:hAnsi="Verdana"/>
          <w:sz w:val="20"/>
          <w:szCs w:val="20"/>
          <w:lang w:val="pt-BR"/>
        </w:rPr>
        <w:t xml:space="preserve">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9612FB" w:rsidRPr="0038442F">
        <w:rPr>
          <w:rFonts w:ascii="Verdana" w:hAnsi="Verdana"/>
          <w:sz w:val="20"/>
          <w:szCs w:val="20"/>
          <w:lang w:val="pt-BR"/>
        </w:rPr>
        <w:t xml:space="preserve">às </w:t>
      </w:r>
      <w:r w:rsidR="00BF7A10" w:rsidRPr="0038442F">
        <w:rPr>
          <w:rFonts w:ascii="Verdana" w:hAnsi="Verdana"/>
          <w:sz w:val="20"/>
          <w:szCs w:val="20"/>
          <w:lang w:val="pt-BR"/>
        </w:rPr>
        <w:t xml:space="preserve">pessoas </w:t>
      </w:r>
      <w:r w:rsidR="00175516" w:rsidRPr="0038442F">
        <w:rPr>
          <w:rFonts w:ascii="Verdana" w:hAnsi="Verdana"/>
          <w:sz w:val="20"/>
          <w:szCs w:val="20"/>
          <w:lang w:val="pt-BR"/>
        </w:rPr>
        <w:t>o</w:t>
      </w:r>
      <w:r w:rsidR="009612FB" w:rsidRPr="0038442F">
        <w:rPr>
          <w:rFonts w:ascii="Verdana" w:hAnsi="Verdana"/>
          <w:sz w:val="20"/>
          <w:szCs w:val="20"/>
          <w:lang w:val="pt-BR"/>
        </w:rPr>
        <w:t>u</w:t>
      </w:r>
      <w:r w:rsidR="00175516" w:rsidRPr="0038442F">
        <w:rPr>
          <w:rFonts w:ascii="Verdana" w:hAnsi="Verdana"/>
          <w:sz w:val="20"/>
          <w:szCs w:val="20"/>
          <w:lang w:val="pt-BR"/>
        </w:rPr>
        <w:t xml:space="preserve"> grupos e</w:t>
      </w:r>
      <w:r w:rsidR="009612FB" w:rsidRPr="0038442F">
        <w:rPr>
          <w:rFonts w:ascii="Verdana" w:hAnsi="Verdana"/>
          <w:sz w:val="20"/>
          <w:szCs w:val="20"/>
          <w:lang w:val="pt-BR"/>
        </w:rPr>
        <w:t>m</w:t>
      </w:r>
      <w:r w:rsidR="00175516" w:rsidRPr="0038442F">
        <w:rPr>
          <w:rFonts w:ascii="Verdana" w:hAnsi="Verdana"/>
          <w:sz w:val="20"/>
          <w:szCs w:val="20"/>
          <w:lang w:val="pt-BR"/>
        </w:rPr>
        <w:t xml:space="preserve"> </w:t>
      </w:r>
      <w:r w:rsidR="009612FB" w:rsidRPr="0038442F">
        <w:rPr>
          <w:rFonts w:ascii="Verdana" w:hAnsi="Verdana"/>
          <w:sz w:val="20"/>
          <w:szCs w:val="20"/>
          <w:lang w:val="pt-BR"/>
        </w:rPr>
        <w:t xml:space="preserve">desvantagem o gozo </w:t>
      </w:r>
      <w:r w:rsidR="00175516" w:rsidRPr="0038442F">
        <w:rPr>
          <w:rFonts w:ascii="Verdana" w:hAnsi="Verdana"/>
          <w:sz w:val="20"/>
          <w:szCs w:val="20"/>
          <w:lang w:val="pt-BR"/>
        </w:rPr>
        <w:t>efetivo de s</w:t>
      </w:r>
      <w:r w:rsidR="009612FB" w:rsidRPr="0038442F">
        <w:rPr>
          <w:rFonts w:ascii="Verdana" w:hAnsi="Verdana"/>
          <w:sz w:val="20"/>
          <w:szCs w:val="20"/>
          <w:lang w:val="pt-BR"/>
        </w:rPr>
        <w:t>e</w:t>
      </w:r>
      <w:r w:rsidR="00175516" w:rsidRPr="0038442F">
        <w:rPr>
          <w:rFonts w:ascii="Verdana" w:hAnsi="Verdana"/>
          <w:sz w:val="20"/>
          <w:szCs w:val="20"/>
          <w:lang w:val="pt-BR"/>
        </w:rPr>
        <w:t xml:space="preserve">us </w:t>
      </w:r>
      <w:r w:rsidR="000A1AA8" w:rsidRPr="0038442F">
        <w:rPr>
          <w:rFonts w:ascii="Verdana" w:hAnsi="Verdana"/>
          <w:sz w:val="20"/>
          <w:szCs w:val="20"/>
          <w:lang w:val="pt-BR"/>
        </w:rPr>
        <w:t>direitos</w:t>
      </w:r>
      <w:r w:rsidR="009612FB" w:rsidRPr="0038442F">
        <w:rPr>
          <w:rFonts w:ascii="Verdana" w:hAnsi="Verdana"/>
          <w:sz w:val="20"/>
          <w:szCs w:val="20"/>
          <w:lang w:val="pt-BR"/>
        </w:rPr>
        <w:t xml:space="preserve">; em </w:t>
      </w:r>
      <w:r w:rsidR="00175516" w:rsidRPr="0038442F">
        <w:rPr>
          <w:rFonts w:ascii="Verdana" w:hAnsi="Verdana"/>
          <w:sz w:val="20"/>
          <w:szCs w:val="20"/>
          <w:lang w:val="pt-BR"/>
        </w:rPr>
        <w:t xml:space="preserve">suma, </w:t>
      </w:r>
      <w:r w:rsidR="009612FB" w:rsidRPr="0038442F">
        <w:rPr>
          <w:rFonts w:ascii="Verdana" w:hAnsi="Verdana"/>
          <w:sz w:val="20"/>
          <w:szCs w:val="20"/>
          <w:lang w:val="pt-BR"/>
        </w:rPr>
        <w:t xml:space="preserve">oferecer às </w:t>
      </w:r>
      <w:r w:rsidR="00BF7A10" w:rsidRPr="0038442F">
        <w:rPr>
          <w:rFonts w:ascii="Verdana" w:hAnsi="Verdana"/>
          <w:sz w:val="20"/>
          <w:szCs w:val="20"/>
          <w:lang w:val="pt-BR"/>
        </w:rPr>
        <w:t xml:space="preserve">pessoas </w:t>
      </w:r>
      <w:r w:rsidR="009612FB" w:rsidRPr="0038442F">
        <w:rPr>
          <w:rFonts w:ascii="Verdana" w:hAnsi="Verdana"/>
          <w:sz w:val="20"/>
          <w:szCs w:val="20"/>
          <w:lang w:val="pt-BR"/>
        </w:rPr>
        <w:t>possibilidades</w:t>
      </w:r>
      <w:r w:rsidR="00407242" w:rsidRPr="0038442F">
        <w:rPr>
          <w:rFonts w:ascii="Verdana" w:hAnsi="Verdana"/>
          <w:sz w:val="20"/>
          <w:szCs w:val="20"/>
          <w:lang w:val="pt-BR"/>
        </w:rPr>
        <w:t xml:space="preserve"> </w:t>
      </w:r>
      <w:r w:rsidR="00175516" w:rsidRPr="0038442F">
        <w:rPr>
          <w:rFonts w:ascii="Verdana" w:hAnsi="Verdana"/>
          <w:sz w:val="20"/>
          <w:szCs w:val="20"/>
          <w:lang w:val="pt-BR"/>
        </w:rPr>
        <w:t>concretas de ver realizada, e</w:t>
      </w:r>
      <w:r w:rsidR="009612FB" w:rsidRPr="0038442F">
        <w:rPr>
          <w:rFonts w:ascii="Verdana" w:hAnsi="Verdana"/>
          <w:sz w:val="20"/>
          <w:szCs w:val="20"/>
          <w:lang w:val="pt-BR"/>
        </w:rPr>
        <w:t>m</w:t>
      </w:r>
      <w:r w:rsidR="00175516" w:rsidRPr="0038442F">
        <w:rPr>
          <w:rFonts w:ascii="Verdana" w:hAnsi="Verdana"/>
          <w:sz w:val="20"/>
          <w:szCs w:val="20"/>
          <w:lang w:val="pt-BR"/>
        </w:rPr>
        <w:t xml:space="preserve"> s</w:t>
      </w:r>
      <w:r w:rsidR="009612FB" w:rsidRPr="0038442F">
        <w:rPr>
          <w:rFonts w:ascii="Verdana" w:hAnsi="Verdana"/>
          <w:sz w:val="20"/>
          <w:szCs w:val="20"/>
          <w:lang w:val="pt-BR"/>
        </w:rPr>
        <w:t>e</w:t>
      </w:r>
      <w:r w:rsidR="00175516" w:rsidRPr="0038442F">
        <w:rPr>
          <w:rFonts w:ascii="Verdana" w:hAnsi="Verdana"/>
          <w:sz w:val="20"/>
          <w:szCs w:val="20"/>
          <w:lang w:val="pt-BR"/>
        </w:rPr>
        <w:t xml:space="preserve">us </w:t>
      </w:r>
      <w:r w:rsidR="009612FB" w:rsidRPr="0038442F">
        <w:rPr>
          <w:rFonts w:ascii="Verdana" w:hAnsi="Verdana"/>
          <w:sz w:val="20"/>
          <w:szCs w:val="20"/>
          <w:lang w:val="pt-BR"/>
        </w:rPr>
        <w:t>próprios</w:t>
      </w:r>
      <w:r w:rsidR="00407242" w:rsidRPr="0038442F">
        <w:rPr>
          <w:rFonts w:ascii="Verdana" w:hAnsi="Verdana"/>
          <w:sz w:val="20"/>
          <w:szCs w:val="20"/>
          <w:lang w:val="pt-BR"/>
        </w:rPr>
        <w:t xml:space="preserve"> </w:t>
      </w:r>
      <w:r w:rsidR="00175516" w:rsidRPr="0038442F">
        <w:rPr>
          <w:rFonts w:ascii="Verdana" w:hAnsi="Verdana"/>
          <w:sz w:val="20"/>
          <w:szCs w:val="20"/>
          <w:lang w:val="pt-BR"/>
        </w:rPr>
        <w:t xml:space="preserve">casos, a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00175516" w:rsidRPr="0038442F">
        <w:rPr>
          <w:rFonts w:ascii="Verdana" w:hAnsi="Verdana"/>
          <w:i/>
          <w:sz w:val="20"/>
          <w:szCs w:val="20"/>
          <w:lang w:val="pt-BR"/>
        </w:rPr>
        <w:t>material</w:t>
      </w:r>
      <w:r w:rsidR="00175516" w:rsidRPr="0038442F">
        <w:rPr>
          <w:rFonts w:ascii="Verdana" w:hAnsi="Verdana"/>
          <w:sz w:val="20"/>
          <w:szCs w:val="20"/>
          <w:lang w:val="pt-BR"/>
        </w:rPr>
        <w:t xml:space="preserve">. Para </w:t>
      </w:r>
      <w:r w:rsidR="009612FB" w:rsidRPr="0038442F">
        <w:rPr>
          <w:rFonts w:ascii="Verdana" w:hAnsi="Verdana"/>
          <w:sz w:val="20"/>
          <w:szCs w:val="20"/>
          <w:lang w:val="pt-BR"/>
        </w:rPr>
        <w:t>isso</w:t>
      </w:r>
      <w:r w:rsidR="00175516" w:rsidRPr="0038442F">
        <w:rPr>
          <w:rFonts w:ascii="Verdana" w:hAnsi="Verdana"/>
          <w:sz w:val="20"/>
          <w:szCs w:val="20"/>
          <w:lang w:val="pt-BR"/>
        </w:rPr>
        <w:t xml:space="preserve">, os Estados </w:t>
      </w:r>
      <w:r w:rsidR="009612FB" w:rsidRPr="0038442F">
        <w:rPr>
          <w:rFonts w:ascii="Verdana" w:hAnsi="Verdana"/>
          <w:sz w:val="20"/>
          <w:szCs w:val="20"/>
          <w:lang w:val="pt-BR"/>
        </w:rPr>
        <w:t>devem</w:t>
      </w:r>
      <w:r w:rsidR="00407242" w:rsidRPr="0038442F">
        <w:rPr>
          <w:rFonts w:ascii="Verdana" w:hAnsi="Verdana"/>
          <w:sz w:val="20"/>
          <w:szCs w:val="20"/>
          <w:lang w:val="pt-BR"/>
        </w:rPr>
        <w:t xml:space="preserve"> </w:t>
      </w:r>
      <w:r w:rsidR="00175516" w:rsidRPr="0038442F">
        <w:rPr>
          <w:rFonts w:ascii="Verdana" w:hAnsi="Verdana"/>
          <w:sz w:val="20"/>
          <w:szCs w:val="20"/>
          <w:lang w:val="pt-BR"/>
        </w:rPr>
        <w:t xml:space="preserve">enfrentar </w:t>
      </w:r>
      <w:r w:rsidR="009612FB" w:rsidRPr="0038442F">
        <w:rPr>
          <w:rFonts w:ascii="Verdana" w:hAnsi="Verdana"/>
          <w:i/>
          <w:sz w:val="20"/>
          <w:szCs w:val="20"/>
          <w:lang w:val="pt-BR"/>
        </w:rPr>
        <w:t>energicamente</w:t>
      </w:r>
      <w:r w:rsidR="00175516" w:rsidRPr="0038442F">
        <w:rPr>
          <w:rFonts w:ascii="Verdana" w:hAnsi="Verdana"/>
          <w:sz w:val="20"/>
          <w:szCs w:val="20"/>
          <w:lang w:val="pt-BR"/>
        </w:rPr>
        <w:t xml:space="preserve"> situa</w:t>
      </w:r>
      <w:r w:rsidR="000A1AA8" w:rsidRPr="0038442F">
        <w:rPr>
          <w:rFonts w:ascii="Verdana" w:hAnsi="Verdana"/>
          <w:sz w:val="20"/>
          <w:szCs w:val="20"/>
          <w:lang w:val="pt-BR"/>
        </w:rPr>
        <w:t>ções</w:t>
      </w:r>
      <w:r w:rsidR="00175516" w:rsidRPr="0038442F">
        <w:rPr>
          <w:rFonts w:ascii="Verdana" w:hAnsi="Verdana"/>
          <w:sz w:val="20"/>
          <w:szCs w:val="20"/>
          <w:lang w:val="pt-BR"/>
        </w:rPr>
        <w:t xml:space="preserve"> de </w:t>
      </w:r>
      <w:r w:rsidR="00BF7A10" w:rsidRPr="0038442F">
        <w:rPr>
          <w:rFonts w:ascii="Verdana" w:hAnsi="Verdana"/>
          <w:sz w:val="20"/>
          <w:szCs w:val="20"/>
          <w:lang w:val="pt-BR"/>
        </w:rPr>
        <w:t>exclusão</w:t>
      </w:r>
      <w:r w:rsidR="00407242" w:rsidRPr="0038442F">
        <w:rPr>
          <w:rFonts w:ascii="Verdana" w:hAnsi="Verdana"/>
          <w:sz w:val="20"/>
          <w:szCs w:val="20"/>
          <w:lang w:val="pt-BR"/>
        </w:rPr>
        <w:t xml:space="preserve"> </w:t>
      </w:r>
      <w:r w:rsidR="009612FB" w:rsidRPr="0038442F">
        <w:rPr>
          <w:rFonts w:ascii="Verdana" w:hAnsi="Verdana"/>
          <w:sz w:val="20"/>
          <w:szCs w:val="20"/>
          <w:lang w:val="pt-BR"/>
        </w:rPr>
        <w:t>e</w:t>
      </w:r>
      <w:r w:rsidR="00175516" w:rsidRPr="0038442F">
        <w:rPr>
          <w:rFonts w:ascii="Verdana" w:hAnsi="Verdana"/>
          <w:sz w:val="20"/>
          <w:szCs w:val="20"/>
          <w:lang w:val="pt-BR"/>
        </w:rPr>
        <w:t xml:space="preserve"> margina</w:t>
      </w:r>
      <w:r w:rsidR="009612FB" w:rsidRPr="0038442F">
        <w:rPr>
          <w:rFonts w:ascii="Verdana" w:hAnsi="Verdana"/>
          <w:sz w:val="20"/>
          <w:szCs w:val="20"/>
          <w:lang w:val="pt-BR"/>
        </w:rPr>
        <w:t>liza</w:t>
      </w:r>
      <w:r w:rsidR="000A1AA8" w:rsidRPr="0038442F">
        <w:rPr>
          <w:rFonts w:ascii="Verdana" w:hAnsi="Verdana"/>
          <w:sz w:val="20"/>
          <w:szCs w:val="20"/>
          <w:lang w:val="pt-BR"/>
        </w:rPr>
        <w:t>ção</w:t>
      </w:r>
      <w:r w:rsidR="00175516" w:rsidRPr="0038442F">
        <w:rPr>
          <w:rFonts w:ascii="Verdana" w:hAnsi="Verdana"/>
          <w:sz w:val="20"/>
          <w:szCs w:val="20"/>
          <w:lang w:val="pt-BR"/>
        </w:rPr>
        <w:t>”</w:t>
      </w:r>
      <w:r w:rsidR="002246C5" w:rsidRPr="0038442F">
        <w:rPr>
          <w:rFonts w:ascii="Verdana" w:hAnsi="Verdana"/>
          <w:sz w:val="20"/>
          <w:szCs w:val="20"/>
          <w:lang w:val="pt-BR"/>
        </w:rPr>
        <w:t>.</w:t>
      </w:r>
      <w:r w:rsidR="00175516" w:rsidRPr="0038442F">
        <w:rPr>
          <w:rStyle w:val="Refdenotaalpie"/>
          <w:rFonts w:ascii="Verdana" w:hAnsi="Verdana"/>
          <w:sz w:val="20"/>
          <w:szCs w:val="20"/>
          <w:lang w:val="pt-BR"/>
        </w:rPr>
        <w:footnoteReference w:id="4"/>
      </w:r>
      <w:r w:rsidR="00175516" w:rsidRPr="0038442F">
        <w:rPr>
          <w:rFonts w:ascii="Verdana" w:hAnsi="Verdana"/>
          <w:sz w:val="20"/>
          <w:szCs w:val="20"/>
          <w:lang w:val="pt-BR"/>
        </w:rPr>
        <w:t xml:space="preserve"> </w:t>
      </w:r>
    </w:p>
    <w:p w14:paraId="3EB3B815" w14:textId="77777777" w:rsidR="00175516" w:rsidRPr="0038442F" w:rsidRDefault="00175516" w:rsidP="00175516">
      <w:pPr>
        <w:pStyle w:val="Prrafodelista"/>
        <w:tabs>
          <w:tab w:val="left" w:pos="709"/>
          <w:tab w:val="left" w:pos="1464"/>
        </w:tabs>
        <w:spacing w:after="0" w:line="240" w:lineRule="auto"/>
        <w:ind w:left="0"/>
        <w:jc w:val="both"/>
        <w:rPr>
          <w:rFonts w:ascii="Verdana" w:hAnsi="Verdana"/>
          <w:sz w:val="20"/>
          <w:szCs w:val="20"/>
          <w:lang w:val="pt-BR"/>
        </w:rPr>
      </w:pPr>
    </w:p>
    <w:p w14:paraId="0FA9DCB7" w14:textId="427B2BA0" w:rsidR="0016131E" w:rsidRPr="0038442F" w:rsidRDefault="009817E6" w:rsidP="00175516">
      <w:pPr>
        <w:pStyle w:val="Prrafodelista"/>
        <w:numPr>
          <w:ilvl w:val="0"/>
          <w:numId w:val="2"/>
        </w:numPr>
        <w:tabs>
          <w:tab w:val="left" w:pos="709"/>
          <w:tab w:val="left" w:pos="1464"/>
        </w:tabs>
        <w:spacing w:after="0" w:line="240" w:lineRule="auto"/>
        <w:ind w:left="0" w:firstLine="0"/>
        <w:jc w:val="both"/>
        <w:rPr>
          <w:rFonts w:ascii="Verdana" w:hAnsi="Verdana"/>
          <w:sz w:val="20"/>
          <w:szCs w:val="20"/>
          <w:lang w:val="pt-BR"/>
        </w:rPr>
      </w:pPr>
      <w:r w:rsidRPr="0038442F">
        <w:rPr>
          <w:rFonts w:ascii="Verdana" w:hAnsi="Verdana"/>
          <w:sz w:val="20"/>
          <w:szCs w:val="20"/>
          <w:lang w:val="pt-BR"/>
        </w:rPr>
        <w:t>Co</w:t>
      </w:r>
      <w:r w:rsidR="00B30841" w:rsidRPr="0038442F">
        <w:rPr>
          <w:rFonts w:ascii="Verdana" w:hAnsi="Verdana"/>
          <w:sz w:val="20"/>
          <w:szCs w:val="20"/>
          <w:lang w:val="pt-BR"/>
        </w:rPr>
        <w:t>mpart</w:t>
      </w:r>
      <w:r w:rsidR="00751189" w:rsidRPr="0038442F">
        <w:rPr>
          <w:rFonts w:ascii="Verdana" w:hAnsi="Verdana"/>
          <w:sz w:val="20"/>
          <w:szCs w:val="20"/>
          <w:lang w:val="pt-BR"/>
        </w:rPr>
        <w:t>ilh</w:t>
      </w:r>
      <w:r w:rsidR="00B30841" w:rsidRPr="0038442F">
        <w:rPr>
          <w:rFonts w:ascii="Verdana" w:hAnsi="Verdana"/>
          <w:sz w:val="20"/>
          <w:szCs w:val="20"/>
          <w:lang w:val="pt-BR"/>
        </w:rPr>
        <w:t>o plenamente</w:t>
      </w:r>
      <w:r w:rsidRPr="0038442F">
        <w:rPr>
          <w:rFonts w:ascii="Verdana" w:hAnsi="Verdana"/>
          <w:sz w:val="20"/>
          <w:szCs w:val="20"/>
          <w:lang w:val="pt-BR"/>
        </w:rPr>
        <w:t xml:space="preserve"> o decidido </w:t>
      </w:r>
      <w:r w:rsidR="00BF7A10" w:rsidRPr="0038442F">
        <w:rPr>
          <w:rFonts w:ascii="Verdana" w:hAnsi="Verdana"/>
          <w:sz w:val="20"/>
          <w:szCs w:val="20"/>
          <w:lang w:val="pt-BR"/>
        </w:rPr>
        <w:t>na sentença</w:t>
      </w:r>
      <w:r w:rsidRPr="0038442F">
        <w:rPr>
          <w:rFonts w:ascii="Verdana" w:hAnsi="Verdana"/>
          <w:sz w:val="20"/>
          <w:szCs w:val="20"/>
          <w:lang w:val="pt-BR"/>
        </w:rPr>
        <w:t xml:space="preserve">. </w:t>
      </w:r>
      <w:r w:rsidR="00247F19" w:rsidRPr="0038442F">
        <w:rPr>
          <w:rFonts w:ascii="Verdana" w:hAnsi="Verdana"/>
          <w:sz w:val="20"/>
          <w:szCs w:val="20"/>
          <w:lang w:val="pt-BR"/>
        </w:rPr>
        <w:t xml:space="preserve">Emito este voto fundamentado por considerar a necessidade de enfatizar e aprofundar alguns elementos do caso, que considero cruciais no Sistema Interamericano, e que serão abordados da seguinte maneira: </w:t>
      </w:r>
      <w:r w:rsidR="00247F19" w:rsidRPr="0038442F">
        <w:rPr>
          <w:rFonts w:ascii="Verdana" w:hAnsi="Verdana"/>
          <w:b/>
          <w:sz w:val="20"/>
          <w:szCs w:val="20"/>
          <w:lang w:val="pt-BR"/>
        </w:rPr>
        <w:t>I)</w:t>
      </w:r>
      <w:r w:rsidR="00247F19" w:rsidRPr="0038442F">
        <w:rPr>
          <w:rFonts w:ascii="Verdana" w:hAnsi="Verdana"/>
          <w:i/>
          <w:iCs/>
          <w:sz w:val="20"/>
          <w:szCs w:val="20"/>
          <w:lang w:val="pt-BR"/>
        </w:rPr>
        <w:t xml:space="preserve"> Empresas e direitos humanos: a obrigação de garantia estatal frente à ação de particulares</w:t>
      </w:r>
      <w:r w:rsidR="00247F19" w:rsidRPr="0038442F">
        <w:rPr>
          <w:rFonts w:ascii="Verdana" w:hAnsi="Verdana"/>
          <w:sz w:val="20"/>
          <w:szCs w:val="20"/>
          <w:lang w:val="pt-BR"/>
        </w:rPr>
        <w:t xml:space="preserve"> (</w:t>
      </w:r>
      <w:r w:rsidR="00247F19" w:rsidRPr="0038442F">
        <w:rPr>
          <w:rFonts w:ascii="Verdana" w:hAnsi="Verdana"/>
          <w:sz w:val="20"/>
          <w:szCs w:val="20"/>
          <w:u w:val="single"/>
          <w:lang w:val="pt-BR"/>
        </w:rPr>
        <w:t>par. 7 a 23</w:t>
      </w:r>
      <w:r w:rsidR="00247F19" w:rsidRPr="0038442F">
        <w:rPr>
          <w:rFonts w:ascii="Verdana" w:hAnsi="Verdana"/>
          <w:sz w:val="20"/>
          <w:szCs w:val="20"/>
          <w:lang w:val="pt-BR"/>
        </w:rPr>
        <w:t>)</w:t>
      </w:r>
      <w:r w:rsidR="00247F19" w:rsidRPr="0038442F">
        <w:rPr>
          <w:rFonts w:ascii="Verdana" w:hAnsi="Verdana"/>
          <w:i/>
          <w:sz w:val="20"/>
          <w:szCs w:val="20"/>
          <w:lang w:val="pt-BR"/>
        </w:rPr>
        <w:t>;</w:t>
      </w:r>
      <w:r w:rsidR="00247F19" w:rsidRPr="0038442F">
        <w:rPr>
          <w:rFonts w:ascii="Verdana" w:hAnsi="Verdana"/>
          <w:sz w:val="20"/>
          <w:szCs w:val="20"/>
          <w:lang w:val="pt-BR"/>
        </w:rPr>
        <w:t xml:space="preserve"> </w:t>
      </w:r>
      <w:r w:rsidR="00247F19" w:rsidRPr="0038442F">
        <w:rPr>
          <w:rFonts w:ascii="Verdana" w:hAnsi="Verdana"/>
          <w:b/>
          <w:sz w:val="20"/>
          <w:szCs w:val="20"/>
          <w:lang w:val="pt-BR"/>
        </w:rPr>
        <w:t>II)</w:t>
      </w:r>
      <w:r w:rsidR="00247F19" w:rsidRPr="0038442F">
        <w:rPr>
          <w:rFonts w:ascii="Verdana" w:hAnsi="Verdana"/>
          <w:sz w:val="20"/>
          <w:szCs w:val="20"/>
          <w:lang w:val="pt-BR"/>
        </w:rPr>
        <w:t xml:space="preserve"> </w:t>
      </w:r>
      <w:r w:rsidR="00247F19" w:rsidRPr="0038442F">
        <w:rPr>
          <w:rFonts w:ascii="Verdana" w:hAnsi="Verdana"/>
          <w:i/>
          <w:iCs/>
          <w:sz w:val="20"/>
          <w:szCs w:val="20"/>
          <w:lang w:val="pt-BR"/>
        </w:rPr>
        <w:t xml:space="preserve">O direito </w:t>
      </w:r>
      <w:r w:rsidR="00791F3E" w:rsidRPr="0038442F">
        <w:rPr>
          <w:rFonts w:ascii="Verdana" w:hAnsi="Verdana"/>
          <w:i/>
          <w:iCs/>
          <w:sz w:val="20"/>
          <w:szCs w:val="20"/>
          <w:lang w:val="pt-BR"/>
        </w:rPr>
        <w:t>a</w:t>
      </w:r>
      <w:r w:rsidR="00247F19" w:rsidRPr="0038442F">
        <w:rPr>
          <w:rFonts w:ascii="Verdana" w:hAnsi="Verdana"/>
          <w:i/>
          <w:iCs/>
          <w:sz w:val="20"/>
          <w:szCs w:val="20"/>
          <w:lang w:val="pt-BR"/>
        </w:rPr>
        <w:t xml:space="preserve"> condições equitativas e satisfatórias de trabalho para a proteção das condições de segurança, saúde e higiene: </w:t>
      </w:r>
      <w:r w:rsidR="00126364">
        <w:rPr>
          <w:rFonts w:ascii="Verdana" w:hAnsi="Verdana"/>
          <w:i/>
          <w:iCs/>
          <w:sz w:val="20"/>
          <w:szCs w:val="20"/>
          <w:lang w:val="pt-BR"/>
        </w:rPr>
        <w:t xml:space="preserve">mais </w:t>
      </w:r>
      <w:r w:rsidR="00247F19" w:rsidRPr="0038442F">
        <w:rPr>
          <w:rFonts w:ascii="Verdana" w:hAnsi="Verdana"/>
          <w:i/>
          <w:iCs/>
          <w:sz w:val="20"/>
          <w:szCs w:val="20"/>
          <w:lang w:val="pt-BR"/>
        </w:rPr>
        <w:t>um passo para o conteúdo do artigo 26 da Convenção Americana</w:t>
      </w:r>
      <w:r w:rsidR="00247F19" w:rsidRPr="0038442F">
        <w:rPr>
          <w:rFonts w:ascii="Verdana" w:hAnsi="Verdana"/>
          <w:sz w:val="20"/>
          <w:szCs w:val="20"/>
          <w:lang w:val="pt-BR"/>
        </w:rPr>
        <w:t xml:space="preserve"> (</w:t>
      </w:r>
      <w:r w:rsidR="00247F19" w:rsidRPr="0038442F">
        <w:rPr>
          <w:rFonts w:ascii="Verdana" w:hAnsi="Verdana"/>
          <w:sz w:val="20"/>
          <w:szCs w:val="20"/>
          <w:u w:val="single"/>
          <w:lang w:val="pt-BR"/>
        </w:rPr>
        <w:t>par. 24 a 51</w:t>
      </w:r>
      <w:r w:rsidR="00247F19" w:rsidRPr="0038442F">
        <w:rPr>
          <w:rFonts w:ascii="Verdana" w:hAnsi="Verdana"/>
          <w:sz w:val="20"/>
          <w:szCs w:val="20"/>
          <w:lang w:val="pt-BR"/>
        </w:rPr>
        <w:t xml:space="preserve">); </w:t>
      </w:r>
      <w:r w:rsidR="00247F19" w:rsidRPr="0038442F">
        <w:rPr>
          <w:rFonts w:ascii="Verdana" w:hAnsi="Verdana"/>
          <w:b/>
          <w:sz w:val="20"/>
          <w:szCs w:val="20"/>
          <w:lang w:val="pt-BR"/>
        </w:rPr>
        <w:t>III)</w:t>
      </w:r>
      <w:r w:rsidR="00247F19" w:rsidRPr="0038442F">
        <w:rPr>
          <w:rFonts w:ascii="Verdana" w:hAnsi="Verdana"/>
          <w:sz w:val="20"/>
          <w:szCs w:val="20"/>
          <w:lang w:val="pt-BR"/>
        </w:rPr>
        <w:t xml:space="preserve"> </w:t>
      </w:r>
      <w:r w:rsidR="00247F19" w:rsidRPr="0038442F">
        <w:rPr>
          <w:rFonts w:ascii="Verdana" w:hAnsi="Verdana"/>
          <w:i/>
          <w:iCs/>
          <w:sz w:val="20"/>
          <w:szCs w:val="20"/>
          <w:lang w:val="pt-BR"/>
        </w:rPr>
        <w:t>A pobreza como parte da condição econômica e da discriminação estrutural e intersecional: d</w:t>
      </w:r>
      <w:r w:rsidR="00791F3E" w:rsidRPr="0038442F">
        <w:rPr>
          <w:rFonts w:ascii="Verdana" w:hAnsi="Verdana"/>
          <w:i/>
          <w:iCs/>
          <w:sz w:val="20"/>
          <w:szCs w:val="20"/>
          <w:lang w:val="pt-BR"/>
        </w:rPr>
        <w:t>os</w:t>
      </w:r>
      <w:r w:rsidR="00247F19" w:rsidRPr="0038442F">
        <w:rPr>
          <w:rFonts w:ascii="Verdana" w:hAnsi="Verdana"/>
          <w:i/>
          <w:iCs/>
          <w:sz w:val="20"/>
          <w:szCs w:val="20"/>
          <w:lang w:val="pt-BR"/>
        </w:rPr>
        <w:t xml:space="preserve"> Trabalhadores da Fazenda Brasil Verde a</w:t>
      </w:r>
      <w:r w:rsidR="00791F3E" w:rsidRPr="0038442F">
        <w:rPr>
          <w:rFonts w:ascii="Verdana" w:hAnsi="Verdana"/>
          <w:i/>
          <w:iCs/>
          <w:sz w:val="20"/>
          <w:szCs w:val="20"/>
          <w:lang w:val="pt-BR"/>
        </w:rPr>
        <w:t>os</w:t>
      </w:r>
      <w:r w:rsidR="00247F19" w:rsidRPr="0038442F">
        <w:rPr>
          <w:rFonts w:ascii="Verdana" w:hAnsi="Verdana"/>
          <w:i/>
          <w:iCs/>
          <w:sz w:val="20"/>
          <w:szCs w:val="20"/>
          <w:lang w:val="pt-BR"/>
        </w:rPr>
        <w:t xml:space="preserve"> Empregados da Fábrica de Fogos</w:t>
      </w:r>
      <w:r w:rsidR="00247F19" w:rsidRPr="0038442F">
        <w:rPr>
          <w:rFonts w:ascii="Verdana" w:hAnsi="Verdana"/>
          <w:sz w:val="20"/>
          <w:szCs w:val="20"/>
          <w:lang w:val="pt-BR"/>
        </w:rPr>
        <w:t xml:space="preserve"> (</w:t>
      </w:r>
      <w:r w:rsidR="00247F19" w:rsidRPr="0038442F">
        <w:rPr>
          <w:rFonts w:ascii="Verdana" w:hAnsi="Verdana"/>
          <w:sz w:val="20"/>
          <w:szCs w:val="20"/>
          <w:u w:val="single"/>
          <w:lang w:val="pt-BR"/>
        </w:rPr>
        <w:t>par. 52 a 68</w:t>
      </w:r>
      <w:r w:rsidR="00247F19" w:rsidRPr="0038442F">
        <w:rPr>
          <w:rFonts w:ascii="Verdana" w:hAnsi="Verdana"/>
          <w:sz w:val="20"/>
          <w:szCs w:val="20"/>
          <w:lang w:val="pt-BR"/>
        </w:rPr>
        <w:t>)</w:t>
      </w:r>
      <w:r w:rsidR="00247F19" w:rsidRPr="0038442F">
        <w:rPr>
          <w:rFonts w:ascii="Verdana" w:hAnsi="Verdana"/>
          <w:i/>
          <w:sz w:val="20"/>
          <w:szCs w:val="20"/>
          <w:lang w:val="pt-BR"/>
        </w:rPr>
        <w:t>;</w:t>
      </w:r>
      <w:r w:rsidR="00247F19" w:rsidRPr="0038442F">
        <w:rPr>
          <w:rFonts w:ascii="Verdana" w:hAnsi="Verdana"/>
          <w:sz w:val="20"/>
          <w:szCs w:val="20"/>
          <w:lang w:val="pt-BR"/>
        </w:rPr>
        <w:t xml:space="preserve"> </w:t>
      </w:r>
      <w:r w:rsidR="00247F19" w:rsidRPr="0038442F">
        <w:rPr>
          <w:rFonts w:ascii="Verdana" w:hAnsi="Verdana" w:cs="System Font Regular"/>
          <w:b/>
          <w:sz w:val="20"/>
          <w:szCs w:val="20"/>
          <w:lang w:val="pt-BR"/>
        </w:rPr>
        <w:t>IV)</w:t>
      </w:r>
      <w:r w:rsidR="00247F19" w:rsidRPr="0038442F">
        <w:rPr>
          <w:rFonts w:ascii="Verdana" w:hAnsi="Verdana" w:cs="System Font Regular"/>
          <w:sz w:val="20"/>
          <w:szCs w:val="20"/>
          <w:lang w:val="pt-BR"/>
        </w:rPr>
        <w:t xml:space="preserve"> </w:t>
      </w:r>
      <w:r w:rsidR="00247F19" w:rsidRPr="0038442F">
        <w:rPr>
          <w:rFonts w:ascii="Verdana" w:hAnsi="Verdana"/>
          <w:i/>
          <w:iCs/>
          <w:sz w:val="20"/>
          <w:szCs w:val="20"/>
          <w:lang w:val="pt-BR"/>
        </w:rPr>
        <w:t xml:space="preserve">Igual proteção da lei, sem discriminação: </w:t>
      </w:r>
      <w:r w:rsidR="00FA4A05" w:rsidRPr="0038442F">
        <w:rPr>
          <w:rFonts w:ascii="Verdana" w:hAnsi="Verdana"/>
          <w:i/>
          <w:iCs/>
          <w:sz w:val="20"/>
          <w:szCs w:val="20"/>
          <w:lang w:val="pt-BR"/>
        </w:rPr>
        <w:t>d</w:t>
      </w:r>
      <w:r w:rsidR="00247F19" w:rsidRPr="0038442F">
        <w:rPr>
          <w:rFonts w:ascii="Verdana" w:hAnsi="Verdana"/>
          <w:i/>
          <w:iCs/>
          <w:sz w:val="20"/>
          <w:szCs w:val="20"/>
          <w:lang w:val="pt-BR"/>
        </w:rPr>
        <w:t xml:space="preserve">a evolução da igualdade formal ao mandato da igualdade real </w:t>
      </w:r>
      <w:r w:rsidR="00247F19" w:rsidRPr="0038442F">
        <w:rPr>
          <w:rFonts w:ascii="Verdana" w:hAnsi="Verdana" w:cs="System Font Regular"/>
          <w:sz w:val="20"/>
          <w:szCs w:val="20"/>
          <w:lang w:val="pt-BR"/>
        </w:rPr>
        <w:t>(</w:t>
      </w:r>
      <w:r w:rsidR="00247F19" w:rsidRPr="0038442F">
        <w:rPr>
          <w:rFonts w:ascii="Verdana" w:hAnsi="Verdana" w:cs="System Font Regular"/>
          <w:sz w:val="20"/>
          <w:szCs w:val="20"/>
          <w:u w:val="single"/>
          <w:lang w:val="pt-BR"/>
        </w:rPr>
        <w:t>par. 69 a 96</w:t>
      </w:r>
      <w:r w:rsidR="00247F19" w:rsidRPr="0038442F">
        <w:rPr>
          <w:rFonts w:ascii="Verdana" w:hAnsi="Verdana" w:cs="System Font Regular"/>
          <w:sz w:val="20"/>
          <w:szCs w:val="20"/>
          <w:lang w:val="pt-BR"/>
        </w:rPr>
        <w:t xml:space="preserve">); </w:t>
      </w:r>
      <w:r w:rsidR="00247F19" w:rsidRPr="0038442F">
        <w:rPr>
          <w:rFonts w:ascii="Verdana" w:hAnsi="Verdana" w:cs="System Font Regular"/>
          <w:b/>
          <w:sz w:val="20"/>
          <w:szCs w:val="20"/>
          <w:lang w:val="pt-BR"/>
        </w:rPr>
        <w:t>V)</w:t>
      </w:r>
      <w:r w:rsidR="00247F19" w:rsidRPr="0038442F">
        <w:rPr>
          <w:rFonts w:ascii="Verdana" w:hAnsi="Verdana" w:cs="System Font Regular"/>
          <w:i/>
          <w:sz w:val="20"/>
          <w:szCs w:val="20"/>
          <w:lang w:val="pt-BR"/>
        </w:rPr>
        <w:t xml:space="preserve"> </w:t>
      </w:r>
      <w:r w:rsidR="00247F19" w:rsidRPr="0038442F">
        <w:rPr>
          <w:rFonts w:ascii="Verdana" w:hAnsi="Verdana"/>
          <w:i/>
          <w:iCs/>
          <w:sz w:val="20"/>
          <w:szCs w:val="20"/>
          <w:lang w:val="pt-BR"/>
        </w:rPr>
        <w:t xml:space="preserve">A igualdade material ou substancial nas vítimas da explosão da Fábrica de Fogos </w:t>
      </w:r>
      <w:r w:rsidR="00247F19" w:rsidRPr="0038442F">
        <w:rPr>
          <w:rFonts w:ascii="Verdana" w:hAnsi="Verdana" w:cs="System Font Regular"/>
          <w:sz w:val="20"/>
          <w:szCs w:val="20"/>
          <w:lang w:val="pt-BR"/>
        </w:rPr>
        <w:t>(</w:t>
      </w:r>
      <w:r w:rsidR="00247F19" w:rsidRPr="0038442F">
        <w:rPr>
          <w:rFonts w:ascii="Verdana" w:hAnsi="Verdana" w:cs="System Font Regular"/>
          <w:sz w:val="20"/>
          <w:szCs w:val="20"/>
          <w:u w:val="single"/>
          <w:lang w:val="pt-BR"/>
        </w:rPr>
        <w:t>par. 97 a 114</w:t>
      </w:r>
      <w:r w:rsidR="00247F19" w:rsidRPr="0038442F">
        <w:rPr>
          <w:rFonts w:ascii="Verdana" w:hAnsi="Verdana" w:cs="System Font Regular"/>
          <w:sz w:val="20"/>
          <w:szCs w:val="20"/>
          <w:lang w:val="pt-BR"/>
        </w:rPr>
        <w:t>);</w:t>
      </w:r>
      <w:r w:rsidR="00247F19" w:rsidRPr="0038442F">
        <w:rPr>
          <w:rFonts w:ascii="Verdana" w:hAnsi="Verdana" w:cs="System Font Regular"/>
          <w:i/>
          <w:sz w:val="20"/>
          <w:szCs w:val="20"/>
          <w:lang w:val="pt-BR"/>
        </w:rPr>
        <w:t xml:space="preserve"> </w:t>
      </w:r>
      <w:r w:rsidR="00247F19" w:rsidRPr="0038442F">
        <w:rPr>
          <w:rFonts w:ascii="Verdana" w:hAnsi="Verdana"/>
          <w:sz w:val="20"/>
          <w:szCs w:val="20"/>
          <w:lang w:val="pt-BR"/>
        </w:rPr>
        <w:t>e</w:t>
      </w:r>
      <w:r w:rsidR="00247F19" w:rsidRPr="0038442F">
        <w:rPr>
          <w:rFonts w:ascii="Verdana" w:hAnsi="Verdana"/>
          <w:i/>
          <w:sz w:val="20"/>
          <w:szCs w:val="20"/>
          <w:lang w:val="pt-BR"/>
        </w:rPr>
        <w:t xml:space="preserve"> </w:t>
      </w:r>
      <w:r w:rsidR="00247F19" w:rsidRPr="0038442F">
        <w:rPr>
          <w:rFonts w:ascii="Verdana" w:hAnsi="Verdana"/>
          <w:b/>
          <w:sz w:val="20"/>
          <w:szCs w:val="20"/>
          <w:lang w:val="pt-BR"/>
        </w:rPr>
        <w:t>VI)</w:t>
      </w:r>
      <w:r w:rsidR="00247F19" w:rsidRPr="0038442F">
        <w:rPr>
          <w:rFonts w:ascii="Verdana" w:hAnsi="Verdana"/>
          <w:sz w:val="20"/>
          <w:szCs w:val="20"/>
          <w:lang w:val="pt-BR"/>
        </w:rPr>
        <w:t xml:space="preserve"> Conclusões (</w:t>
      </w:r>
      <w:r w:rsidR="00247F19" w:rsidRPr="0038442F">
        <w:rPr>
          <w:rFonts w:ascii="Verdana" w:hAnsi="Verdana"/>
          <w:sz w:val="20"/>
          <w:szCs w:val="20"/>
          <w:u w:val="single"/>
          <w:lang w:val="pt-BR"/>
        </w:rPr>
        <w:t>par. 115 a 123</w:t>
      </w:r>
      <w:r w:rsidR="00247F19" w:rsidRPr="0038442F">
        <w:rPr>
          <w:rFonts w:ascii="Verdana" w:hAnsi="Verdana"/>
          <w:sz w:val="20"/>
          <w:szCs w:val="20"/>
          <w:lang w:val="pt-BR"/>
        </w:rPr>
        <w:t xml:space="preserve">). </w:t>
      </w:r>
    </w:p>
    <w:p w14:paraId="480B4670" w14:textId="74640786" w:rsidR="00973772" w:rsidRPr="0038442F" w:rsidRDefault="00973772" w:rsidP="00973772">
      <w:pPr>
        <w:pStyle w:val="Prrafodelista"/>
        <w:tabs>
          <w:tab w:val="left" w:pos="709"/>
          <w:tab w:val="left" w:pos="1464"/>
        </w:tabs>
        <w:spacing w:after="0" w:line="240" w:lineRule="auto"/>
        <w:ind w:left="0"/>
        <w:jc w:val="both"/>
        <w:rPr>
          <w:rFonts w:ascii="Verdana" w:hAnsi="Verdana"/>
          <w:sz w:val="20"/>
          <w:szCs w:val="20"/>
          <w:lang w:val="pt-BR"/>
        </w:rPr>
      </w:pPr>
    </w:p>
    <w:p w14:paraId="2E923A41" w14:textId="7B416D6B" w:rsidR="000777E8" w:rsidRDefault="000777E8" w:rsidP="00973772">
      <w:pPr>
        <w:pStyle w:val="Prrafodelista"/>
        <w:tabs>
          <w:tab w:val="left" w:pos="709"/>
          <w:tab w:val="left" w:pos="1464"/>
        </w:tabs>
        <w:spacing w:after="0" w:line="240" w:lineRule="auto"/>
        <w:ind w:left="0"/>
        <w:jc w:val="both"/>
        <w:rPr>
          <w:rFonts w:ascii="Verdana" w:hAnsi="Verdana"/>
          <w:sz w:val="20"/>
          <w:szCs w:val="20"/>
          <w:lang w:val="pt-BR"/>
        </w:rPr>
      </w:pPr>
    </w:p>
    <w:p w14:paraId="180FA2C0" w14:textId="2AE36369" w:rsidR="00126364" w:rsidRDefault="00126364" w:rsidP="00973772">
      <w:pPr>
        <w:pStyle w:val="Prrafodelista"/>
        <w:tabs>
          <w:tab w:val="left" w:pos="709"/>
          <w:tab w:val="left" w:pos="1464"/>
        </w:tabs>
        <w:spacing w:after="0" w:line="240" w:lineRule="auto"/>
        <w:ind w:left="0"/>
        <w:jc w:val="both"/>
        <w:rPr>
          <w:rFonts w:ascii="Verdana" w:hAnsi="Verdana"/>
          <w:sz w:val="20"/>
          <w:szCs w:val="20"/>
          <w:lang w:val="pt-BR"/>
        </w:rPr>
      </w:pPr>
    </w:p>
    <w:p w14:paraId="70698DCE" w14:textId="012D3324" w:rsidR="00126364" w:rsidRDefault="00126364" w:rsidP="00973772">
      <w:pPr>
        <w:pStyle w:val="Prrafodelista"/>
        <w:tabs>
          <w:tab w:val="left" w:pos="709"/>
          <w:tab w:val="left" w:pos="1464"/>
        </w:tabs>
        <w:spacing w:after="0" w:line="240" w:lineRule="auto"/>
        <w:ind w:left="0"/>
        <w:jc w:val="both"/>
        <w:rPr>
          <w:rFonts w:ascii="Verdana" w:hAnsi="Verdana"/>
          <w:sz w:val="20"/>
          <w:szCs w:val="20"/>
          <w:lang w:val="pt-BR"/>
        </w:rPr>
      </w:pPr>
    </w:p>
    <w:p w14:paraId="7AA97A7F" w14:textId="3299A3F9" w:rsidR="00C06C96" w:rsidRPr="0038442F" w:rsidRDefault="00E63F0E" w:rsidP="00B979B2">
      <w:pPr>
        <w:pStyle w:val="Prrafodelista"/>
        <w:numPr>
          <w:ilvl w:val="0"/>
          <w:numId w:val="35"/>
        </w:numPr>
        <w:tabs>
          <w:tab w:val="left" w:pos="709"/>
        </w:tabs>
        <w:snapToGrid w:val="0"/>
        <w:spacing w:after="0" w:line="240" w:lineRule="auto"/>
        <w:contextualSpacing w:val="0"/>
        <w:jc w:val="center"/>
        <w:rPr>
          <w:rFonts w:ascii="Verdana" w:hAnsi="Verdana"/>
          <w:b/>
          <w:bCs/>
          <w:sz w:val="20"/>
          <w:szCs w:val="20"/>
          <w:lang w:val="pt-BR"/>
        </w:rPr>
      </w:pPr>
      <w:r w:rsidRPr="0038442F">
        <w:rPr>
          <w:rFonts w:ascii="Verdana" w:hAnsi="Verdana"/>
          <w:b/>
          <w:bCs/>
          <w:sz w:val="20"/>
          <w:szCs w:val="20"/>
          <w:lang w:val="pt-BR"/>
        </w:rPr>
        <w:t>E</w:t>
      </w:r>
      <w:r w:rsidR="00AD76EE" w:rsidRPr="0038442F">
        <w:rPr>
          <w:rFonts w:ascii="Verdana" w:hAnsi="Verdana"/>
          <w:b/>
          <w:bCs/>
          <w:sz w:val="20"/>
          <w:szCs w:val="20"/>
          <w:lang w:val="pt-BR"/>
        </w:rPr>
        <w:t xml:space="preserve">MPRESAS </w:t>
      </w:r>
      <w:r w:rsidR="00F4306D" w:rsidRPr="0038442F">
        <w:rPr>
          <w:rFonts w:ascii="Verdana" w:hAnsi="Verdana"/>
          <w:b/>
          <w:bCs/>
          <w:sz w:val="20"/>
          <w:szCs w:val="20"/>
          <w:lang w:val="pt-BR"/>
        </w:rPr>
        <w:t xml:space="preserve">E DIREITOS </w:t>
      </w:r>
      <w:r w:rsidR="00AD76EE" w:rsidRPr="0038442F">
        <w:rPr>
          <w:rFonts w:ascii="Verdana" w:hAnsi="Verdana"/>
          <w:b/>
          <w:bCs/>
          <w:sz w:val="20"/>
          <w:szCs w:val="20"/>
          <w:lang w:val="pt-BR"/>
        </w:rPr>
        <w:t>HUMANOS:</w:t>
      </w:r>
    </w:p>
    <w:p w14:paraId="52CD52D8" w14:textId="43379063" w:rsidR="00E262F2" w:rsidRPr="0038442F" w:rsidRDefault="0081208F" w:rsidP="00B979B2">
      <w:pPr>
        <w:pStyle w:val="Prrafodelista"/>
        <w:tabs>
          <w:tab w:val="left" w:pos="709"/>
        </w:tabs>
        <w:snapToGrid w:val="0"/>
        <w:spacing w:after="0" w:line="240" w:lineRule="auto"/>
        <w:ind w:left="1080"/>
        <w:contextualSpacing w:val="0"/>
        <w:jc w:val="center"/>
        <w:rPr>
          <w:rFonts w:ascii="Verdana" w:hAnsi="Verdana"/>
          <w:b/>
          <w:bCs/>
          <w:sz w:val="20"/>
          <w:szCs w:val="20"/>
          <w:lang w:val="pt-BR"/>
        </w:rPr>
      </w:pPr>
      <w:r w:rsidRPr="0038442F">
        <w:rPr>
          <w:rFonts w:ascii="Verdana" w:hAnsi="Verdana"/>
          <w:b/>
          <w:bCs/>
          <w:sz w:val="20"/>
          <w:szCs w:val="20"/>
          <w:lang w:val="pt-BR"/>
        </w:rPr>
        <w:t xml:space="preserve">A </w:t>
      </w:r>
      <w:r w:rsidR="00AD76EE" w:rsidRPr="0038442F">
        <w:rPr>
          <w:rFonts w:ascii="Verdana" w:hAnsi="Verdana"/>
          <w:b/>
          <w:bCs/>
          <w:sz w:val="20"/>
          <w:szCs w:val="20"/>
          <w:lang w:val="pt-BR"/>
        </w:rPr>
        <w:t>OB</w:t>
      </w:r>
      <w:r w:rsidR="00D3719D" w:rsidRPr="0038442F">
        <w:rPr>
          <w:rFonts w:ascii="Verdana" w:hAnsi="Verdana"/>
          <w:b/>
          <w:bCs/>
          <w:sz w:val="20"/>
          <w:szCs w:val="20"/>
          <w:lang w:val="pt-BR"/>
        </w:rPr>
        <w:t>R</w:t>
      </w:r>
      <w:r w:rsidR="00AD76EE" w:rsidRPr="0038442F">
        <w:rPr>
          <w:rFonts w:ascii="Verdana" w:hAnsi="Verdana"/>
          <w:b/>
          <w:bCs/>
          <w:sz w:val="20"/>
          <w:szCs w:val="20"/>
          <w:lang w:val="pt-BR"/>
        </w:rPr>
        <w:t>IGA</w:t>
      </w:r>
      <w:r w:rsidR="00D3719D" w:rsidRPr="0038442F">
        <w:rPr>
          <w:rFonts w:ascii="Verdana" w:hAnsi="Verdana"/>
          <w:b/>
          <w:bCs/>
          <w:sz w:val="20"/>
          <w:szCs w:val="20"/>
          <w:lang w:val="pt-BR"/>
        </w:rPr>
        <w:t xml:space="preserve">ÇÃO DE GARANTIA </w:t>
      </w:r>
      <w:r w:rsidR="00AD76EE" w:rsidRPr="0038442F">
        <w:rPr>
          <w:rFonts w:ascii="Verdana" w:hAnsi="Verdana"/>
          <w:b/>
          <w:bCs/>
          <w:sz w:val="20"/>
          <w:szCs w:val="20"/>
          <w:lang w:val="pt-BR"/>
        </w:rPr>
        <w:t xml:space="preserve">ESTATAL FRENTE </w:t>
      </w:r>
      <w:r w:rsidR="00D3719D" w:rsidRPr="0038442F">
        <w:rPr>
          <w:rFonts w:ascii="Verdana" w:hAnsi="Verdana"/>
          <w:b/>
          <w:bCs/>
          <w:sz w:val="20"/>
          <w:szCs w:val="20"/>
          <w:lang w:val="pt-BR"/>
        </w:rPr>
        <w:t xml:space="preserve">À AÇÃO </w:t>
      </w:r>
      <w:r w:rsidR="00AD76EE" w:rsidRPr="0038442F">
        <w:rPr>
          <w:rFonts w:ascii="Verdana" w:hAnsi="Verdana"/>
          <w:b/>
          <w:bCs/>
          <w:sz w:val="20"/>
          <w:szCs w:val="20"/>
          <w:lang w:val="pt-BR"/>
        </w:rPr>
        <w:t>DE PARTICULARES</w:t>
      </w:r>
    </w:p>
    <w:p w14:paraId="29F01A49" w14:textId="77777777" w:rsidR="00AD76EE" w:rsidRPr="0038442F" w:rsidRDefault="00AD76EE" w:rsidP="00A857CB">
      <w:pPr>
        <w:pStyle w:val="Prrafodelista"/>
        <w:tabs>
          <w:tab w:val="left" w:pos="709"/>
        </w:tabs>
        <w:spacing w:after="0" w:line="240" w:lineRule="auto"/>
        <w:ind w:left="0"/>
        <w:jc w:val="both"/>
        <w:rPr>
          <w:rFonts w:ascii="Verdana" w:hAnsi="Verdana"/>
          <w:bCs/>
          <w:sz w:val="20"/>
          <w:szCs w:val="20"/>
          <w:lang w:val="pt-BR"/>
        </w:rPr>
      </w:pPr>
    </w:p>
    <w:p w14:paraId="7B2D38FC" w14:textId="34276DB3" w:rsidR="005E22C1" w:rsidRPr="0038442F" w:rsidRDefault="00C92762" w:rsidP="00A857CB">
      <w:pPr>
        <w:pStyle w:val="Prrafodelista"/>
        <w:numPr>
          <w:ilvl w:val="0"/>
          <w:numId w:val="2"/>
        </w:numPr>
        <w:spacing w:line="240" w:lineRule="auto"/>
        <w:ind w:left="0" w:firstLine="0"/>
        <w:jc w:val="both"/>
        <w:rPr>
          <w:rFonts w:ascii="Verdana" w:hAnsi="Verdana"/>
          <w:b/>
          <w:sz w:val="20"/>
          <w:szCs w:val="20"/>
          <w:lang w:val="pt-BR"/>
        </w:rPr>
      </w:pPr>
      <w:r w:rsidRPr="0038442F">
        <w:rPr>
          <w:rFonts w:ascii="Verdana" w:hAnsi="Verdana"/>
          <w:bCs/>
          <w:sz w:val="20"/>
          <w:szCs w:val="20"/>
          <w:lang w:val="pt-BR"/>
        </w:rPr>
        <w:t>A Corte</w:t>
      </w:r>
      <w:r w:rsidR="00407242" w:rsidRPr="0038442F">
        <w:rPr>
          <w:rFonts w:ascii="Verdana" w:hAnsi="Verdana"/>
          <w:bCs/>
          <w:sz w:val="20"/>
          <w:szCs w:val="20"/>
          <w:lang w:val="pt-BR"/>
        </w:rPr>
        <w:t xml:space="preserve"> </w:t>
      </w:r>
      <w:r w:rsidR="00A31E29" w:rsidRPr="0038442F">
        <w:rPr>
          <w:rFonts w:ascii="Verdana" w:hAnsi="Verdana"/>
          <w:bCs/>
          <w:sz w:val="20"/>
          <w:szCs w:val="20"/>
          <w:lang w:val="pt-BR"/>
        </w:rPr>
        <w:t xml:space="preserve">IDH </w:t>
      </w:r>
      <w:r w:rsidR="00984A83" w:rsidRPr="0038442F">
        <w:rPr>
          <w:rFonts w:ascii="Verdana" w:hAnsi="Verdana"/>
          <w:bCs/>
          <w:sz w:val="20"/>
          <w:szCs w:val="20"/>
          <w:lang w:val="pt-BR"/>
        </w:rPr>
        <w:t>tem sido coerente em sua jurisprudência</w:t>
      </w:r>
      <w:r w:rsidR="00A85103" w:rsidRPr="0038442F">
        <w:rPr>
          <w:rFonts w:ascii="Verdana" w:hAnsi="Verdana"/>
          <w:bCs/>
          <w:sz w:val="20"/>
          <w:szCs w:val="20"/>
          <w:lang w:val="pt-BR"/>
        </w:rPr>
        <w:t>,</w:t>
      </w:r>
      <w:r w:rsidR="00984A83" w:rsidRPr="0038442F">
        <w:rPr>
          <w:rFonts w:ascii="Verdana" w:hAnsi="Verdana"/>
          <w:bCs/>
          <w:sz w:val="20"/>
          <w:szCs w:val="20"/>
          <w:lang w:val="pt-BR"/>
        </w:rPr>
        <w:t xml:space="preserve"> ao declarar que um </w:t>
      </w:r>
      <w:r w:rsidR="005E22C1" w:rsidRPr="0038442F">
        <w:rPr>
          <w:rFonts w:ascii="Verdana" w:hAnsi="Verdana"/>
          <w:sz w:val="20"/>
          <w:szCs w:val="20"/>
          <w:lang w:val="pt-BR"/>
        </w:rPr>
        <w:t xml:space="preserve">Estado </w:t>
      </w:r>
      <w:r w:rsidR="00984A83" w:rsidRPr="0038442F">
        <w:rPr>
          <w:rFonts w:ascii="Verdana" w:hAnsi="Verdana"/>
          <w:sz w:val="20"/>
          <w:szCs w:val="20"/>
          <w:lang w:val="pt-BR"/>
        </w:rPr>
        <w:t xml:space="preserve">não pode </w:t>
      </w:r>
      <w:r w:rsidR="005E22C1" w:rsidRPr="0038442F">
        <w:rPr>
          <w:rFonts w:ascii="Verdana" w:hAnsi="Verdana"/>
          <w:sz w:val="20"/>
          <w:szCs w:val="20"/>
          <w:lang w:val="pt-BR"/>
        </w:rPr>
        <w:t xml:space="preserve">ser </w:t>
      </w:r>
      <w:r w:rsidR="000A1AA8" w:rsidRPr="0038442F">
        <w:rPr>
          <w:rFonts w:ascii="Verdana" w:hAnsi="Verdana"/>
          <w:sz w:val="20"/>
          <w:szCs w:val="20"/>
          <w:lang w:val="pt-BR"/>
        </w:rPr>
        <w:t xml:space="preserve">responsável </w:t>
      </w:r>
      <w:r w:rsidR="005E22C1" w:rsidRPr="0038442F">
        <w:rPr>
          <w:rFonts w:ascii="Verdana" w:hAnsi="Verdana"/>
          <w:sz w:val="20"/>
          <w:szCs w:val="20"/>
          <w:lang w:val="pt-BR"/>
        </w:rPr>
        <w:t xml:space="preserve">por </w:t>
      </w:r>
      <w:r w:rsidR="00984A83" w:rsidRPr="0038442F">
        <w:rPr>
          <w:rFonts w:ascii="Verdana" w:hAnsi="Verdana"/>
          <w:sz w:val="20"/>
          <w:szCs w:val="20"/>
          <w:lang w:val="pt-BR"/>
        </w:rPr>
        <w:t>qualquer</w:t>
      </w:r>
      <w:r w:rsidR="00407242" w:rsidRPr="0038442F">
        <w:rPr>
          <w:rFonts w:ascii="Verdana" w:hAnsi="Verdana"/>
          <w:sz w:val="20"/>
          <w:szCs w:val="20"/>
          <w:lang w:val="pt-BR"/>
        </w:rPr>
        <w:t xml:space="preserve"> </w:t>
      </w:r>
      <w:r w:rsidR="005E22C1" w:rsidRPr="0038442F">
        <w:rPr>
          <w:rFonts w:ascii="Verdana" w:hAnsi="Verdana"/>
          <w:sz w:val="20"/>
          <w:szCs w:val="20"/>
          <w:lang w:val="pt-BR"/>
        </w:rPr>
        <w:t>viola</w:t>
      </w:r>
      <w:r w:rsidR="000A1AA8" w:rsidRPr="0038442F">
        <w:rPr>
          <w:rFonts w:ascii="Verdana" w:hAnsi="Verdana"/>
          <w:sz w:val="20"/>
          <w:szCs w:val="20"/>
          <w:lang w:val="pt-BR"/>
        </w:rPr>
        <w:t>ção</w:t>
      </w:r>
      <w:r w:rsidR="005E22C1" w:rsidRPr="0038442F">
        <w:rPr>
          <w:rFonts w:ascii="Verdana" w:hAnsi="Verdana"/>
          <w:sz w:val="20"/>
          <w:szCs w:val="20"/>
          <w:lang w:val="pt-BR"/>
        </w:rPr>
        <w:t xml:space="preserve"> de </w:t>
      </w:r>
      <w:r w:rsidR="000A1AA8" w:rsidRPr="0038442F">
        <w:rPr>
          <w:rFonts w:ascii="Verdana" w:hAnsi="Verdana"/>
          <w:sz w:val="20"/>
          <w:szCs w:val="20"/>
          <w:lang w:val="pt-BR"/>
        </w:rPr>
        <w:t>direitos</w:t>
      </w:r>
      <w:r w:rsidR="00407242" w:rsidRPr="0038442F">
        <w:rPr>
          <w:rFonts w:ascii="Verdana" w:hAnsi="Verdana"/>
          <w:sz w:val="20"/>
          <w:szCs w:val="20"/>
          <w:lang w:val="pt-BR"/>
        </w:rPr>
        <w:t xml:space="preserve"> </w:t>
      </w:r>
      <w:r w:rsidR="005E22C1" w:rsidRPr="0038442F">
        <w:rPr>
          <w:rFonts w:ascii="Verdana" w:hAnsi="Verdana"/>
          <w:sz w:val="20"/>
          <w:szCs w:val="20"/>
          <w:lang w:val="pt-BR"/>
        </w:rPr>
        <w:t>humanos cometida por particulares dentro de su</w:t>
      </w:r>
      <w:r w:rsidR="00984A83" w:rsidRPr="0038442F">
        <w:rPr>
          <w:rFonts w:ascii="Verdana" w:hAnsi="Verdana"/>
          <w:sz w:val="20"/>
          <w:szCs w:val="20"/>
          <w:lang w:val="pt-BR"/>
        </w:rPr>
        <w:t>a</w:t>
      </w:r>
      <w:r w:rsidR="005E22C1" w:rsidRPr="0038442F">
        <w:rPr>
          <w:rFonts w:ascii="Verdana" w:hAnsi="Verdana"/>
          <w:sz w:val="20"/>
          <w:szCs w:val="20"/>
          <w:lang w:val="pt-BR"/>
        </w:rPr>
        <w:t xml:space="preserve"> </w:t>
      </w:r>
      <w:r w:rsidR="00984A83" w:rsidRPr="0038442F">
        <w:rPr>
          <w:rFonts w:ascii="Verdana" w:hAnsi="Verdana"/>
          <w:sz w:val="20"/>
          <w:szCs w:val="20"/>
          <w:lang w:val="pt-BR"/>
        </w:rPr>
        <w:t>jurisdição</w:t>
      </w:r>
      <w:r w:rsidR="005E22C1" w:rsidRPr="0038442F">
        <w:rPr>
          <w:rFonts w:ascii="Verdana" w:hAnsi="Verdana"/>
          <w:sz w:val="20"/>
          <w:szCs w:val="20"/>
          <w:lang w:val="pt-BR"/>
        </w:rPr>
        <w:t xml:space="preserve">. </w:t>
      </w:r>
      <w:r w:rsidR="00984A83" w:rsidRPr="0038442F">
        <w:rPr>
          <w:rFonts w:ascii="Verdana" w:hAnsi="Verdana"/>
          <w:sz w:val="20"/>
          <w:szCs w:val="20"/>
          <w:lang w:val="pt-BR"/>
        </w:rPr>
        <w:t>O caráter</w:t>
      </w:r>
      <w:r w:rsidR="00407242" w:rsidRPr="0038442F">
        <w:rPr>
          <w:rFonts w:ascii="Verdana" w:hAnsi="Verdana"/>
          <w:sz w:val="20"/>
          <w:szCs w:val="20"/>
          <w:lang w:val="pt-BR"/>
        </w:rPr>
        <w:t xml:space="preserve"> </w:t>
      </w:r>
      <w:r w:rsidR="005E22C1" w:rsidRPr="0038442F">
        <w:rPr>
          <w:rFonts w:ascii="Verdana" w:hAnsi="Verdana"/>
          <w:i/>
          <w:sz w:val="20"/>
          <w:szCs w:val="20"/>
          <w:lang w:val="pt-BR"/>
        </w:rPr>
        <w:t>erga omnes</w:t>
      </w:r>
      <w:r w:rsidR="005E22C1" w:rsidRPr="0038442F">
        <w:rPr>
          <w:rFonts w:ascii="Verdana" w:hAnsi="Verdana"/>
          <w:sz w:val="20"/>
          <w:szCs w:val="20"/>
          <w:lang w:val="pt-BR"/>
        </w:rPr>
        <w:t xml:space="preserve"> </w:t>
      </w:r>
      <w:r w:rsidRPr="0038442F">
        <w:rPr>
          <w:rFonts w:ascii="Verdana" w:hAnsi="Verdana"/>
          <w:sz w:val="20"/>
          <w:szCs w:val="20"/>
          <w:lang w:val="pt-BR"/>
        </w:rPr>
        <w:t xml:space="preserve">das </w:t>
      </w:r>
      <w:r w:rsidR="00984A83" w:rsidRPr="0038442F">
        <w:rPr>
          <w:rFonts w:ascii="Verdana" w:hAnsi="Verdana"/>
          <w:sz w:val="20"/>
          <w:szCs w:val="20"/>
          <w:lang w:val="pt-BR"/>
        </w:rPr>
        <w:t>obrigações</w:t>
      </w:r>
      <w:r w:rsidR="00407242" w:rsidRPr="0038442F">
        <w:rPr>
          <w:rFonts w:ascii="Verdana" w:hAnsi="Verdana"/>
          <w:sz w:val="20"/>
          <w:szCs w:val="20"/>
          <w:lang w:val="pt-BR"/>
        </w:rPr>
        <w:t xml:space="preserve"> </w:t>
      </w:r>
      <w:r w:rsidR="005E22C1" w:rsidRPr="0038442F">
        <w:rPr>
          <w:rFonts w:ascii="Verdana" w:hAnsi="Verdana"/>
          <w:sz w:val="20"/>
          <w:szCs w:val="20"/>
          <w:lang w:val="pt-BR"/>
        </w:rPr>
        <w:t>convencion</w:t>
      </w:r>
      <w:r w:rsidRPr="0038442F">
        <w:rPr>
          <w:rFonts w:ascii="Verdana" w:hAnsi="Verdana"/>
          <w:sz w:val="20"/>
          <w:szCs w:val="20"/>
          <w:lang w:val="pt-BR"/>
        </w:rPr>
        <w:t>ais</w:t>
      </w:r>
      <w:r w:rsidR="00407242" w:rsidRPr="0038442F">
        <w:rPr>
          <w:rFonts w:ascii="Verdana" w:hAnsi="Verdana"/>
          <w:sz w:val="20"/>
          <w:szCs w:val="20"/>
          <w:lang w:val="pt-BR"/>
        </w:rPr>
        <w:t xml:space="preserve"> </w:t>
      </w:r>
      <w:r w:rsidR="005E22C1" w:rsidRPr="0038442F">
        <w:rPr>
          <w:rFonts w:ascii="Verdana" w:hAnsi="Verdana"/>
          <w:sz w:val="20"/>
          <w:szCs w:val="20"/>
          <w:lang w:val="pt-BR"/>
        </w:rPr>
        <w:t xml:space="preserve">de </w:t>
      </w:r>
      <w:r w:rsidRPr="0038442F">
        <w:rPr>
          <w:rFonts w:ascii="Verdana" w:hAnsi="Verdana"/>
          <w:sz w:val="20"/>
          <w:szCs w:val="20"/>
          <w:lang w:val="pt-BR"/>
        </w:rPr>
        <w:t>garantia</w:t>
      </w:r>
      <w:r w:rsidR="00407242" w:rsidRPr="0038442F">
        <w:rPr>
          <w:rFonts w:ascii="Verdana" w:hAnsi="Verdana"/>
          <w:sz w:val="20"/>
          <w:szCs w:val="20"/>
          <w:lang w:val="pt-BR"/>
        </w:rPr>
        <w:t xml:space="preserve"> </w:t>
      </w:r>
      <w:r w:rsidR="005E22C1" w:rsidRPr="0038442F">
        <w:rPr>
          <w:rFonts w:ascii="Verdana" w:hAnsi="Verdana"/>
          <w:sz w:val="20"/>
          <w:szCs w:val="20"/>
          <w:lang w:val="pt-BR"/>
        </w:rPr>
        <w:t xml:space="preserve">a cargo </w:t>
      </w:r>
      <w:r w:rsidRPr="0038442F">
        <w:rPr>
          <w:rFonts w:ascii="Verdana" w:hAnsi="Verdana"/>
          <w:sz w:val="20"/>
          <w:szCs w:val="20"/>
          <w:lang w:val="pt-BR"/>
        </w:rPr>
        <w:t xml:space="preserve">dos </w:t>
      </w:r>
      <w:r w:rsidR="005E22C1" w:rsidRPr="0038442F">
        <w:rPr>
          <w:rFonts w:ascii="Verdana" w:hAnsi="Verdana"/>
          <w:sz w:val="20"/>
          <w:szCs w:val="20"/>
          <w:lang w:val="pt-BR"/>
        </w:rPr>
        <w:t xml:space="preserve">Estados </w:t>
      </w:r>
      <w:r w:rsidR="00984A83" w:rsidRPr="0038442F">
        <w:rPr>
          <w:rFonts w:ascii="Verdana" w:hAnsi="Verdana"/>
          <w:sz w:val="20"/>
          <w:szCs w:val="20"/>
          <w:lang w:val="pt-BR"/>
        </w:rPr>
        <w:t xml:space="preserve">não implica sua responsabilidade </w:t>
      </w:r>
      <w:r w:rsidR="005E22C1" w:rsidRPr="0038442F">
        <w:rPr>
          <w:rFonts w:ascii="Verdana" w:hAnsi="Verdana"/>
          <w:sz w:val="20"/>
          <w:szCs w:val="20"/>
          <w:lang w:val="pt-BR"/>
        </w:rPr>
        <w:t xml:space="preserve">ilimitada frente a </w:t>
      </w:r>
      <w:r w:rsidR="00984A83" w:rsidRPr="0038442F">
        <w:rPr>
          <w:rFonts w:ascii="Verdana" w:hAnsi="Verdana"/>
          <w:sz w:val="20"/>
          <w:szCs w:val="20"/>
          <w:lang w:val="pt-BR"/>
        </w:rPr>
        <w:t>qualquer</w:t>
      </w:r>
      <w:r w:rsidR="00407242" w:rsidRPr="0038442F">
        <w:rPr>
          <w:rFonts w:ascii="Verdana" w:hAnsi="Verdana"/>
          <w:sz w:val="20"/>
          <w:szCs w:val="20"/>
          <w:lang w:val="pt-BR"/>
        </w:rPr>
        <w:t xml:space="preserve"> </w:t>
      </w:r>
      <w:r w:rsidR="00984A83" w:rsidRPr="0038442F">
        <w:rPr>
          <w:rFonts w:ascii="Verdana" w:hAnsi="Verdana"/>
          <w:sz w:val="20"/>
          <w:szCs w:val="20"/>
          <w:lang w:val="pt-BR"/>
        </w:rPr>
        <w:t>ato</w:t>
      </w:r>
      <w:r w:rsidR="00407242" w:rsidRPr="0038442F">
        <w:rPr>
          <w:rFonts w:ascii="Verdana" w:hAnsi="Verdana"/>
          <w:sz w:val="20"/>
          <w:szCs w:val="20"/>
          <w:lang w:val="pt-BR"/>
        </w:rPr>
        <w:t xml:space="preserve"> </w:t>
      </w:r>
      <w:r w:rsidR="005E22C1" w:rsidRPr="0038442F">
        <w:rPr>
          <w:rFonts w:ascii="Verdana" w:hAnsi="Verdana"/>
          <w:sz w:val="20"/>
          <w:szCs w:val="20"/>
          <w:lang w:val="pt-BR"/>
        </w:rPr>
        <w:t xml:space="preserve">de particulares. </w:t>
      </w:r>
      <w:r w:rsidR="00CD3332" w:rsidRPr="0038442F">
        <w:rPr>
          <w:rFonts w:ascii="Verdana" w:hAnsi="Verdana"/>
          <w:sz w:val="20"/>
          <w:szCs w:val="20"/>
          <w:lang w:val="pt-BR"/>
        </w:rPr>
        <w:t>Assim</w:t>
      </w:r>
      <w:r w:rsidR="005E22C1" w:rsidRPr="0038442F">
        <w:rPr>
          <w:rFonts w:ascii="Verdana" w:hAnsi="Verdana"/>
          <w:sz w:val="20"/>
          <w:szCs w:val="20"/>
          <w:lang w:val="pt-BR"/>
        </w:rPr>
        <w:t xml:space="preserve">, </w:t>
      </w:r>
      <w:r w:rsidR="00984A83" w:rsidRPr="0038442F">
        <w:rPr>
          <w:rFonts w:ascii="Verdana" w:hAnsi="Verdana"/>
          <w:sz w:val="20"/>
          <w:szCs w:val="20"/>
          <w:lang w:val="pt-BR"/>
        </w:rPr>
        <w:t xml:space="preserve">embora um </w:t>
      </w:r>
      <w:r w:rsidR="00984A83" w:rsidRPr="0038442F">
        <w:rPr>
          <w:rFonts w:ascii="Verdana" w:hAnsi="Verdana" w:cs="Verdana"/>
          <w:sz w:val="20"/>
          <w:szCs w:val="20"/>
          <w:lang w:val="pt-BR"/>
        </w:rPr>
        <w:t>ato</w:t>
      </w:r>
      <w:r w:rsidR="005E22C1" w:rsidRPr="0038442F">
        <w:rPr>
          <w:rFonts w:ascii="Verdana" w:hAnsi="Verdana" w:cs="Verdana"/>
          <w:sz w:val="20"/>
          <w:szCs w:val="20"/>
          <w:lang w:val="pt-BR"/>
        </w:rPr>
        <w:t xml:space="preserve">, </w:t>
      </w:r>
      <w:r w:rsidRPr="0038442F">
        <w:rPr>
          <w:rFonts w:ascii="Verdana" w:hAnsi="Verdana" w:cs="Verdana"/>
          <w:sz w:val="20"/>
          <w:szCs w:val="20"/>
          <w:lang w:val="pt-BR"/>
        </w:rPr>
        <w:t xml:space="preserve">omissão </w:t>
      </w:r>
      <w:r w:rsidR="005E22C1" w:rsidRPr="0038442F">
        <w:rPr>
          <w:rFonts w:ascii="Verdana" w:hAnsi="Verdana" w:cs="Verdana"/>
          <w:sz w:val="20"/>
          <w:szCs w:val="20"/>
          <w:lang w:val="pt-BR"/>
        </w:rPr>
        <w:t>o</w:t>
      </w:r>
      <w:r w:rsidR="00984A83" w:rsidRPr="0038442F">
        <w:rPr>
          <w:rFonts w:ascii="Verdana" w:hAnsi="Verdana" w:cs="Verdana"/>
          <w:sz w:val="20"/>
          <w:szCs w:val="20"/>
          <w:lang w:val="pt-BR"/>
        </w:rPr>
        <w:t>u</w:t>
      </w:r>
      <w:r w:rsidR="005E22C1" w:rsidRPr="0038442F">
        <w:rPr>
          <w:rFonts w:ascii="Verdana" w:hAnsi="Verdana" w:cs="Verdana"/>
          <w:sz w:val="20"/>
          <w:szCs w:val="20"/>
          <w:lang w:val="pt-BR"/>
        </w:rPr>
        <w:t xml:space="preserve"> </w:t>
      </w:r>
      <w:r w:rsidR="00984A83" w:rsidRPr="0038442F">
        <w:rPr>
          <w:rFonts w:ascii="Verdana" w:hAnsi="Verdana" w:cs="Verdana"/>
          <w:sz w:val="20"/>
          <w:szCs w:val="20"/>
          <w:lang w:val="pt-BR"/>
        </w:rPr>
        <w:t xml:space="preserve">ação de um </w:t>
      </w:r>
      <w:r w:rsidR="005E22C1" w:rsidRPr="0038442F">
        <w:rPr>
          <w:rFonts w:ascii="Verdana" w:hAnsi="Verdana" w:cs="Verdana"/>
          <w:sz w:val="20"/>
          <w:szCs w:val="20"/>
          <w:lang w:val="pt-BR"/>
        </w:rPr>
        <w:t xml:space="preserve">particular </w:t>
      </w:r>
      <w:r w:rsidR="00984A83" w:rsidRPr="0038442F">
        <w:rPr>
          <w:rFonts w:ascii="Verdana" w:hAnsi="Verdana" w:cs="Verdana"/>
          <w:sz w:val="20"/>
          <w:szCs w:val="20"/>
          <w:lang w:val="pt-BR"/>
        </w:rPr>
        <w:t>tenha</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 xml:space="preserve">como </w:t>
      </w:r>
      <w:r w:rsidR="00984A83" w:rsidRPr="0038442F">
        <w:rPr>
          <w:rFonts w:ascii="Verdana" w:hAnsi="Verdana" w:cs="Verdana"/>
          <w:sz w:val="20"/>
          <w:szCs w:val="20"/>
          <w:lang w:val="pt-BR"/>
        </w:rPr>
        <w:t>consequência</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 xml:space="preserve">jurídica </w:t>
      </w:r>
      <w:r w:rsidR="00984A83" w:rsidRPr="0038442F">
        <w:rPr>
          <w:rFonts w:ascii="Verdana" w:hAnsi="Verdana" w:cs="Verdana"/>
          <w:sz w:val="20"/>
          <w:szCs w:val="20"/>
          <w:lang w:val="pt-BR"/>
        </w:rPr>
        <w:t xml:space="preserve">a violação </w:t>
      </w:r>
      <w:r w:rsidRPr="0038442F">
        <w:rPr>
          <w:rFonts w:ascii="Verdana" w:hAnsi="Verdana" w:cs="Verdana"/>
          <w:sz w:val="20"/>
          <w:szCs w:val="20"/>
          <w:lang w:val="pt-BR"/>
        </w:rPr>
        <w:t xml:space="preserve">dos direitos </w:t>
      </w:r>
      <w:r w:rsidR="005E22C1" w:rsidRPr="0038442F">
        <w:rPr>
          <w:rFonts w:ascii="Verdana" w:hAnsi="Verdana" w:cs="Verdana"/>
          <w:sz w:val="20"/>
          <w:szCs w:val="20"/>
          <w:lang w:val="pt-BR"/>
        </w:rPr>
        <w:t xml:space="preserve">de </w:t>
      </w:r>
      <w:r w:rsidR="00984A83" w:rsidRPr="0038442F">
        <w:rPr>
          <w:rFonts w:ascii="Verdana" w:hAnsi="Verdana" w:cs="Verdana"/>
          <w:sz w:val="20"/>
          <w:szCs w:val="20"/>
          <w:lang w:val="pt-BR"/>
        </w:rPr>
        <w:t>outro</w:t>
      </w:r>
      <w:r w:rsidR="005E22C1" w:rsidRPr="0038442F">
        <w:rPr>
          <w:rFonts w:ascii="Verdana" w:hAnsi="Verdana" w:cs="Verdana"/>
          <w:sz w:val="20"/>
          <w:szCs w:val="20"/>
          <w:lang w:val="pt-BR"/>
        </w:rPr>
        <w:t>, este</w:t>
      </w:r>
      <w:r w:rsidR="00CD3332" w:rsidRPr="0038442F">
        <w:rPr>
          <w:rFonts w:ascii="Verdana" w:hAnsi="Verdana" w:cs="Verdana"/>
          <w:sz w:val="20"/>
          <w:szCs w:val="20"/>
          <w:lang w:val="pt-BR"/>
        </w:rPr>
        <w:t>s</w:t>
      </w:r>
      <w:r w:rsidR="005E22C1" w:rsidRPr="0038442F">
        <w:rPr>
          <w:rFonts w:ascii="Verdana" w:hAnsi="Verdana" w:cs="Verdana"/>
          <w:sz w:val="20"/>
          <w:szCs w:val="20"/>
          <w:lang w:val="pt-BR"/>
        </w:rPr>
        <w:t xml:space="preserve"> </w:t>
      </w:r>
      <w:r w:rsidR="00984A83" w:rsidRPr="0038442F">
        <w:rPr>
          <w:rFonts w:ascii="Verdana" w:hAnsi="Verdana" w:cs="Verdana"/>
          <w:sz w:val="20"/>
          <w:szCs w:val="20"/>
          <w:lang w:val="pt-BR"/>
        </w:rPr>
        <w:t xml:space="preserve">não </w:t>
      </w:r>
      <w:r w:rsidR="00CD3332" w:rsidRPr="0038442F">
        <w:rPr>
          <w:rFonts w:ascii="Verdana" w:hAnsi="Verdana" w:cs="Verdana"/>
          <w:sz w:val="20"/>
          <w:szCs w:val="20"/>
          <w:lang w:val="pt-BR"/>
        </w:rPr>
        <w:t xml:space="preserve">são </w:t>
      </w:r>
      <w:r w:rsidR="005E22C1" w:rsidRPr="0038442F">
        <w:rPr>
          <w:rFonts w:ascii="Verdana" w:hAnsi="Verdana" w:cs="Verdana"/>
          <w:sz w:val="20"/>
          <w:szCs w:val="20"/>
          <w:lang w:val="pt-BR"/>
        </w:rPr>
        <w:t>autom</w:t>
      </w:r>
      <w:r w:rsidR="00984A83" w:rsidRPr="0038442F">
        <w:rPr>
          <w:rFonts w:ascii="Verdana" w:hAnsi="Verdana" w:cs="Verdana"/>
          <w:sz w:val="20"/>
          <w:szCs w:val="20"/>
          <w:lang w:val="pt-BR"/>
        </w:rPr>
        <w:t>a</w:t>
      </w:r>
      <w:r w:rsidR="005E22C1" w:rsidRPr="0038442F">
        <w:rPr>
          <w:rFonts w:ascii="Verdana" w:hAnsi="Verdana" w:cs="Verdana"/>
          <w:sz w:val="20"/>
          <w:szCs w:val="20"/>
          <w:lang w:val="pt-BR"/>
        </w:rPr>
        <w:t>ticamente</w:t>
      </w:r>
      <w:r w:rsidR="005E22C1" w:rsidRPr="0038442F">
        <w:rPr>
          <w:rFonts w:ascii="Verdana" w:hAnsi="Verdana"/>
          <w:sz w:val="20"/>
          <w:szCs w:val="20"/>
          <w:lang w:val="pt-BR"/>
        </w:rPr>
        <w:t xml:space="preserve"> </w:t>
      </w:r>
      <w:r w:rsidR="005E22C1" w:rsidRPr="0038442F">
        <w:rPr>
          <w:rFonts w:ascii="Verdana" w:hAnsi="Verdana" w:cs="Verdana"/>
          <w:sz w:val="20"/>
          <w:szCs w:val="20"/>
          <w:lang w:val="pt-BR"/>
        </w:rPr>
        <w:t>atribu</w:t>
      </w:r>
      <w:r w:rsidR="00984A83" w:rsidRPr="0038442F">
        <w:rPr>
          <w:rFonts w:ascii="Verdana" w:hAnsi="Verdana" w:cs="Verdana"/>
          <w:sz w:val="20"/>
          <w:szCs w:val="20"/>
          <w:lang w:val="pt-BR"/>
        </w:rPr>
        <w:t>íve</w:t>
      </w:r>
      <w:r w:rsidR="00CD3332" w:rsidRPr="0038442F">
        <w:rPr>
          <w:rFonts w:ascii="Verdana" w:hAnsi="Verdana" w:cs="Verdana"/>
          <w:sz w:val="20"/>
          <w:szCs w:val="20"/>
          <w:lang w:val="pt-BR"/>
        </w:rPr>
        <w:t>is</w:t>
      </w:r>
      <w:r w:rsidR="00984A83" w:rsidRPr="0038442F">
        <w:rPr>
          <w:rFonts w:ascii="Verdana" w:hAnsi="Verdana" w:cs="Verdana"/>
          <w:sz w:val="20"/>
          <w:szCs w:val="20"/>
          <w:lang w:val="pt-BR"/>
        </w:rPr>
        <w:t xml:space="preserve"> ao </w:t>
      </w:r>
      <w:r w:rsidR="005E22C1" w:rsidRPr="0038442F">
        <w:rPr>
          <w:rFonts w:ascii="Verdana" w:hAnsi="Verdana" w:cs="Verdana"/>
          <w:sz w:val="20"/>
          <w:szCs w:val="20"/>
          <w:lang w:val="pt-BR"/>
        </w:rPr>
        <w:t xml:space="preserve">Estado, </w:t>
      </w:r>
      <w:r w:rsidR="007E4CE7" w:rsidRPr="0038442F">
        <w:rPr>
          <w:rFonts w:ascii="Verdana" w:hAnsi="Verdana" w:cs="Verdana"/>
          <w:sz w:val="20"/>
          <w:szCs w:val="20"/>
          <w:lang w:val="pt-BR"/>
        </w:rPr>
        <w:t>cabendo</w:t>
      </w:r>
      <w:r w:rsidR="00984A83" w:rsidRPr="0038442F">
        <w:rPr>
          <w:rFonts w:ascii="Verdana" w:hAnsi="Verdana" w:cs="Verdana"/>
          <w:sz w:val="20"/>
          <w:szCs w:val="20"/>
          <w:lang w:val="pt-BR"/>
        </w:rPr>
        <w:t xml:space="preserve"> analisar</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 xml:space="preserve">as </w:t>
      </w:r>
      <w:r w:rsidR="00984A83" w:rsidRPr="0038442F">
        <w:rPr>
          <w:rFonts w:ascii="Verdana" w:hAnsi="Verdana" w:cs="Verdana"/>
          <w:sz w:val="20"/>
          <w:szCs w:val="20"/>
          <w:lang w:val="pt-BR"/>
        </w:rPr>
        <w:t>circunstâncias</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particulares d</w:t>
      </w:r>
      <w:r w:rsidR="00984A83" w:rsidRPr="0038442F">
        <w:rPr>
          <w:rFonts w:ascii="Verdana" w:hAnsi="Verdana" w:cs="Verdana"/>
          <w:sz w:val="20"/>
          <w:szCs w:val="20"/>
          <w:lang w:val="pt-BR"/>
        </w:rPr>
        <w:t xml:space="preserve">o </w:t>
      </w:r>
      <w:r w:rsidR="005E22C1" w:rsidRPr="0038442F">
        <w:rPr>
          <w:rFonts w:ascii="Verdana" w:hAnsi="Verdana" w:cs="Verdana"/>
          <w:sz w:val="20"/>
          <w:szCs w:val="20"/>
          <w:lang w:val="pt-BR"/>
        </w:rPr>
        <w:t xml:space="preserve">caso </w:t>
      </w:r>
      <w:r w:rsidR="00984A83" w:rsidRPr="0038442F">
        <w:rPr>
          <w:rFonts w:ascii="Verdana" w:hAnsi="Verdana" w:cs="Verdana"/>
          <w:sz w:val="20"/>
          <w:szCs w:val="20"/>
          <w:lang w:val="pt-BR"/>
        </w:rPr>
        <w:t>e</w:t>
      </w:r>
      <w:r w:rsidR="005E22C1" w:rsidRPr="0038442F">
        <w:rPr>
          <w:rFonts w:ascii="Verdana" w:hAnsi="Verdana"/>
          <w:sz w:val="20"/>
          <w:szCs w:val="20"/>
          <w:lang w:val="pt-BR"/>
        </w:rPr>
        <w:t xml:space="preserve"> </w:t>
      </w:r>
      <w:r w:rsidR="005E22C1" w:rsidRPr="0038442F">
        <w:rPr>
          <w:rFonts w:ascii="Verdana" w:hAnsi="Verdana" w:cs="Verdana"/>
          <w:sz w:val="20"/>
          <w:szCs w:val="20"/>
          <w:lang w:val="pt-BR"/>
        </w:rPr>
        <w:t>a concre</w:t>
      </w:r>
      <w:r w:rsidR="00984A83" w:rsidRPr="0038442F">
        <w:rPr>
          <w:rFonts w:ascii="Verdana" w:hAnsi="Verdana" w:cs="Verdana"/>
          <w:sz w:val="20"/>
          <w:szCs w:val="20"/>
          <w:lang w:val="pt-BR"/>
        </w:rPr>
        <w:t>tiza</w:t>
      </w:r>
      <w:r w:rsidR="000A1AA8" w:rsidRPr="0038442F">
        <w:rPr>
          <w:rFonts w:ascii="Verdana" w:hAnsi="Verdana" w:cs="Verdana"/>
          <w:sz w:val="20"/>
          <w:szCs w:val="20"/>
          <w:lang w:val="pt-BR"/>
        </w:rPr>
        <w:t>ção</w:t>
      </w:r>
      <w:r w:rsidR="005E22C1" w:rsidRPr="0038442F">
        <w:rPr>
          <w:rFonts w:ascii="Verdana" w:hAnsi="Verdana" w:cs="Verdana"/>
          <w:sz w:val="20"/>
          <w:szCs w:val="20"/>
          <w:lang w:val="pt-BR"/>
        </w:rPr>
        <w:t xml:space="preserve"> </w:t>
      </w:r>
      <w:r w:rsidRPr="0038442F">
        <w:rPr>
          <w:rFonts w:ascii="Verdana" w:hAnsi="Verdana" w:cs="Verdana"/>
          <w:sz w:val="20"/>
          <w:szCs w:val="20"/>
          <w:lang w:val="pt-BR"/>
        </w:rPr>
        <w:t xml:space="preserve">das </w:t>
      </w:r>
      <w:r w:rsidR="00984A83" w:rsidRPr="0038442F">
        <w:rPr>
          <w:rFonts w:ascii="Verdana" w:hAnsi="Verdana" w:cs="Verdana"/>
          <w:sz w:val="20"/>
          <w:szCs w:val="20"/>
          <w:lang w:val="pt-BR"/>
        </w:rPr>
        <w:t>obrigações</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 xml:space="preserve">de </w:t>
      </w:r>
      <w:r w:rsidRPr="0038442F">
        <w:rPr>
          <w:rFonts w:ascii="Verdana" w:hAnsi="Verdana" w:cs="Verdana"/>
          <w:sz w:val="20"/>
          <w:szCs w:val="20"/>
          <w:lang w:val="pt-BR"/>
        </w:rPr>
        <w:t>garantia</w:t>
      </w:r>
      <w:r w:rsidR="00984A83" w:rsidRPr="0038442F">
        <w:rPr>
          <w:rFonts w:ascii="Verdana" w:hAnsi="Verdana" w:cs="Verdana"/>
          <w:sz w:val="20"/>
          <w:szCs w:val="20"/>
          <w:lang w:val="pt-BR"/>
        </w:rPr>
        <w:t>.</w:t>
      </w:r>
      <w:r w:rsidR="005E22C1" w:rsidRPr="0038442F">
        <w:rPr>
          <w:rStyle w:val="Ttulo3Car"/>
          <w:rFonts w:ascii="Verdana" w:hAnsi="Verdana"/>
          <w:color w:val="auto"/>
          <w:sz w:val="20"/>
          <w:szCs w:val="20"/>
          <w:vertAlign w:val="superscript"/>
          <w:lang w:val="pt-BR"/>
        </w:rPr>
        <w:footnoteReference w:id="5"/>
      </w:r>
      <w:r w:rsidR="005E22C1" w:rsidRPr="0038442F">
        <w:rPr>
          <w:rFonts w:ascii="Verdana" w:hAnsi="Verdana" w:cs="Verdana"/>
          <w:sz w:val="20"/>
          <w:szCs w:val="20"/>
          <w:lang w:val="pt-BR"/>
        </w:rPr>
        <w:t xml:space="preserve"> </w:t>
      </w:r>
      <w:r w:rsidR="00984A83" w:rsidRPr="0038442F">
        <w:rPr>
          <w:rFonts w:ascii="Verdana" w:hAnsi="Verdana" w:cs="Verdana"/>
          <w:sz w:val="20"/>
          <w:szCs w:val="20"/>
          <w:lang w:val="pt-BR"/>
        </w:rPr>
        <w:t xml:space="preserve">Nesse </w:t>
      </w:r>
      <w:r w:rsidR="005E22C1" w:rsidRPr="0038442F">
        <w:rPr>
          <w:rFonts w:ascii="Verdana" w:hAnsi="Verdana" w:cs="Verdana"/>
          <w:sz w:val="20"/>
          <w:szCs w:val="20"/>
          <w:lang w:val="pt-BR"/>
        </w:rPr>
        <w:t xml:space="preserve">sentido, </w:t>
      </w:r>
      <w:r w:rsidR="00A31E29" w:rsidRPr="0038442F">
        <w:rPr>
          <w:rFonts w:ascii="Verdana" w:hAnsi="Verdana" w:cs="Verdana"/>
          <w:sz w:val="20"/>
          <w:szCs w:val="20"/>
          <w:lang w:val="pt-BR"/>
        </w:rPr>
        <w:t xml:space="preserve">se </w:t>
      </w:r>
      <w:r w:rsidR="00984A83" w:rsidRPr="0038442F">
        <w:rPr>
          <w:rFonts w:ascii="Verdana" w:hAnsi="Verdana" w:cs="Verdana"/>
          <w:sz w:val="20"/>
          <w:szCs w:val="20"/>
          <w:lang w:val="pt-BR"/>
        </w:rPr>
        <w:t>deverá</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 xml:space="preserve">verificar </w:t>
      </w:r>
      <w:r w:rsidR="005E22C1" w:rsidRPr="0038442F">
        <w:rPr>
          <w:rFonts w:ascii="Verdana" w:hAnsi="Verdana"/>
          <w:sz w:val="20"/>
          <w:szCs w:val="20"/>
          <w:lang w:val="pt-BR"/>
        </w:rPr>
        <w:t>s</w:t>
      </w:r>
      <w:r w:rsidR="00984A83" w:rsidRPr="0038442F">
        <w:rPr>
          <w:rFonts w:ascii="Verdana" w:hAnsi="Verdana"/>
          <w:sz w:val="20"/>
          <w:szCs w:val="20"/>
          <w:lang w:val="pt-BR"/>
        </w:rPr>
        <w:t xml:space="preserve">e é </w:t>
      </w:r>
      <w:r w:rsidR="005E22C1" w:rsidRPr="0038442F">
        <w:rPr>
          <w:rFonts w:ascii="Verdana" w:hAnsi="Verdana"/>
          <w:sz w:val="20"/>
          <w:szCs w:val="20"/>
          <w:lang w:val="pt-BR"/>
        </w:rPr>
        <w:t>atribu</w:t>
      </w:r>
      <w:r w:rsidR="00984A83" w:rsidRPr="0038442F">
        <w:rPr>
          <w:rFonts w:ascii="Verdana" w:hAnsi="Verdana"/>
          <w:sz w:val="20"/>
          <w:szCs w:val="20"/>
          <w:lang w:val="pt-BR"/>
        </w:rPr>
        <w:t xml:space="preserve">ível </w:t>
      </w:r>
      <w:r w:rsidR="00CD3332" w:rsidRPr="0038442F">
        <w:rPr>
          <w:rFonts w:ascii="Verdana" w:hAnsi="Verdana"/>
          <w:sz w:val="20"/>
          <w:szCs w:val="20"/>
          <w:lang w:val="pt-BR"/>
        </w:rPr>
        <w:t xml:space="preserve">ao Estado a responsabilidade </w:t>
      </w:r>
      <w:r w:rsidR="005E22C1" w:rsidRPr="0038442F">
        <w:rPr>
          <w:rFonts w:ascii="Verdana" w:hAnsi="Verdana"/>
          <w:sz w:val="20"/>
          <w:szCs w:val="20"/>
          <w:lang w:val="pt-BR"/>
        </w:rPr>
        <w:t>internacional e</w:t>
      </w:r>
      <w:r w:rsidR="00984A83" w:rsidRPr="0038442F">
        <w:rPr>
          <w:rFonts w:ascii="Verdana" w:hAnsi="Verdana"/>
          <w:sz w:val="20"/>
          <w:szCs w:val="20"/>
          <w:lang w:val="pt-BR"/>
        </w:rPr>
        <w:t>m</w:t>
      </w:r>
      <w:r w:rsidR="005E22C1" w:rsidRPr="0038442F">
        <w:rPr>
          <w:rFonts w:ascii="Verdana" w:hAnsi="Verdana"/>
          <w:sz w:val="20"/>
          <w:szCs w:val="20"/>
          <w:lang w:val="pt-BR"/>
        </w:rPr>
        <w:t xml:space="preserve"> </w:t>
      </w:r>
      <w:r w:rsidR="0041716C" w:rsidRPr="0038442F">
        <w:rPr>
          <w:rFonts w:ascii="Verdana" w:hAnsi="Verdana"/>
          <w:sz w:val="20"/>
          <w:szCs w:val="20"/>
          <w:lang w:val="pt-BR"/>
        </w:rPr>
        <w:t xml:space="preserve">cada caso </w:t>
      </w:r>
      <w:r w:rsidR="005E22C1" w:rsidRPr="0038442F">
        <w:rPr>
          <w:rFonts w:ascii="Verdana" w:hAnsi="Verdana"/>
          <w:sz w:val="20"/>
          <w:szCs w:val="20"/>
          <w:lang w:val="pt-BR"/>
        </w:rPr>
        <w:t>concreto</w:t>
      </w:r>
      <w:r w:rsidR="00984A83" w:rsidRPr="0038442F">
        <w:rPr>
          <w:rFonts w:ascii="Verdana" w:hAnsi="Verdana"/>
          <w:sz w:val="20"/>
          <w:szCs w:val="20"/>
          <w:lang w:val="pt-BR"/>
        </w:rPr>
        <w:t>.</w:t>
      </w:r>
      <w:r w:rsidR="005E22C1" w:rsidRPr="0038442F">
        <w:rPr>
          <w:rStyle w:val="Ttulo3Car"/>
          <w:rFonts w:ascii="Verdana" w:hAnsi="Verdana"/>
          <w:color w:val="auto"/>
          <w:sz w:val="20"/>
          <w:szCs w:val="20"/>
          <w:vertAlign w:val="superscript"/>
          <w:lang w:val="pt-BR"/>
        </w:rPr>
        <w:footnoteReference w:id="6"/>
      </w:r>
    </w:p>
    <w:p w14:paraId="10F00CEB" w14:textId="77777777" w:rsidR="005E22C1" w:rsidRPr="0038442F" w:rsidRDefault="005E22C1" w:rsidP="00A857CB">
      <w:pPr>
        <w:pStyle w:val="Prrafodelista"/>
        <w:spacing w:line="240" w:lineRule="auto"/>
        <w:ind w:left="0"/>
        <w:jc w:val="both"/>
        <w:rPr>
          <w:rFonts w:ascii="Verdana" w:hAnsi="Verdana"/>
          <w:b/>
          <w:sz w:val="20"/>
          <w:szCs w:val="20"/>
          <w:lang w:val="pt-BR"/>
        </w:rPr>
      </w:pPr>
    </w:p>
    <w:p w14:paraId="642C401A" w14:textId="60DA4C81" w:rsidR="00536CB3" w:rsidRPr="0038442F" w:rsidRDefault="005135E5" w:rsidP="00A857CB">
      <w:pPr>
        <w:pStyle w:val="Prrafodelista"/>
        <w:numPr>
          <w:ilvl w:val="0"/>
          <w:numId w:val="2"/>
        </w:numPr>
        <w:spacing w:line="240" w:lineRule="auto"/>
        <w:ind w:left="0" w:firstLine="0"/>
        <w:jc w:val="both"/>
        <w:rPr>
          <w:rFonts w:ascii="Verdana" w:hAnsi="Verdana"/>
          <w:b/>
          <w:sz w:val="20"/>
          <w:szCs w:val="20"/>
          <w:lang w:val="pt-BR"/>
        </w:rPr>
      </w:pPr>
      <w:r w:rsidRPr="0038442F">
        <w:rPr>
          <w:rFonts w:ascii="Verdana" w:hAnsi="Verdana"/>
          <w:sz w:val="20"/>
          <w:szCs w:val="20"/>
          <w:lang w:val="pt-BR"/>
        </w:rPr>
        <w:t>A</w:t>
      </w:r>
      <w:r w:rsidR="005E22C1" w:rsidRPr="0038442F">
        <w:rPr>
          <w:rFonts w:ascii="Verdana" w:hAnsi="Verdana"/>
          <w:sz w:val="20"/>
          <w:szCs w:val="20"/>
          <w:lang w:val="pt-BR"/>
        </w:rPr>
        <w:t xml:space="preserve"> </w:t>
      </w:r>
      <w:r w:rsidR="00C92762" w:rsidRPr="0038442F">
        <w:rPr>
          <w:rFonts w:ascii="Verdana" w:hAnsi="Verdana"/>
          <w:sz w:val="20"/>
          <w:szCs w:val="20"/>
          <w:lang w:val="pt-BR"/>
        </w:rPr>
        <w:t>responsabilidade</w:t>
      </w:r>
      <w:r w:rsidR="00407242" w:rsidRPr="0038442F">
        <w:rPr>
          <w:rFonts w:ascii="Verdana" w:hAnsi="Verdana"/>
          <w:sz w:val="20"/>
          <w:szCs w:val="20"/>
          <w:lang w:val="pt-BR"/>
        </w:rPr>
        <w:t xml:space="preserve"> </w:t>
      </w:r>
      <w:r w:rsidR="005E22C1" w:rsidRPr="0038442F">
        <w:rPr>
          <w:rFonts w:ascii="Verdana" w:hAnsi="Verdana"/>
          <w:sz w:val="20"/>
          <w:szCs w:val="20"/>
          <w:lang w:val="pt-BR"/>
        </w:rPr>
        <w:t>internacional d</w:t>
      </w:r>
      <w:r w:rsidR="000A1AA8" w:rsidRPr="0038442F">
        <w:rPr>
          <w:rFonts w:ascii="Verdana" w:hAnsi="Verdana"/>
          <w:sz w:val="20"/>
          <w:szCs w:val="20"/>
          <w:lang w:val="pt-BR"/>
        </w:rPr>
        <w:t xml:space="preserve">o Estado </w:t>
      </w:r>
      <w:r w:rsidR="005E22C1" w:rsidRPr="0038442F">
        <w:rPr>
          <w:rFonts w:ascii="Verdana" w:hAnsi="Verdana"/>
          <w:sz w:val="20"/>
          <w:szCs w:val="20"/>
          <w:lang w:val="pt-BR"/>
        </w:rPr>
        <w:t>se fundamenta e</w:t>
      </w:r>
      <w:r w:rsidRPr="0038442F">
        <w:rPr>
          <w:rFonts w:ascii="Verdana" w:hAnsi="Verdana"/>
          <w:sz w:val="20"/>
          <w:szCs w:val="20"/>
          <w:lang w:val="pt-BR"/>
        </w:rPr>
        <w:t>m</w:t>
      </w:r>
      <w:r w:rsidR="005E22C1" w:rsidRPr="0038442F">
        <w:rPr>
          <w:rFonts w:ascii="Verdana" w:hAnsi="Verdana"/>
          <w:sz w:val="20"/>
          <w:szCs w:val="20"/>
          <w:lang w:val="pt-BR"/>
        </w:rPr>
        <w:t xml:space="preserve"> </w:t>
      </w:r>
      <w:r w:rsidR="006A12FD" w:rsidRPr="0038442F">
        <w:rPr>
          <w:rFonts w:ascii="Verdana" w:hAnsi="Verdana"/>
          <w:sz w:val="20"/>
          <w:szCs w:val="20"/>
          <w:lang w:val="pt-BR"/>
        </w:rPr>
        <w:t>ações</w:t>
      </w:r>
      <w:r w:rsidR="00407242" w:rsidRPr="0038442F">
        <w:rPr>
          <w:rFonts w:ascii="Verdana" w:hAnsi="Verdana"/>
          <w:sz w:val="20"/>
          <w:szCs w:val="20"/>
          <w:lang w:val="pt-BR"/>
        </w:rPr>
        <w:t xml:space="preserve"> </w:t>
      </w:r>
      <w:r w:rsidRPr="0038442F">
        <w:rPr>
          <w:rFonts w:ascii="Verdana" w:hAnsi="Verdana"/>
          <w:sz w:val="20"/>
          <w:szCs w:val="20"/>
          <w:lang w:val="pt-BR"/>
        </w:rPr>
        <w:t>ou omissões</w:t>
      </w:r>
      <w:r w:rsidRPr="0038442F">
        <w:rPr>
          <w:rFonts w:ascii="Verdana" w:hAnsi="Verdana"/>
          <w:lang w:val="pt-BR"/>
        </w:rPr>
        <w:t xml:space="preserve"> </w:t>
      </w:r>
      <w:r w:rsidR="005E22C1" w:rsidRPr="0038442F">
        <w:rPr>
          <w:rFonts w:ascii="Verdana" w:hAnsi="Verdana"/>
          <w:sz w:val="20"/>
          <w:szCs w:val="20"/>
          <w:lang w:val="pt-BR"/>
        </w:rPr>
        <w:t xml:space="preserve">de </w:t>
      </w:r>
      <w:r w:rsidRPr="0038442F">
        <w:rPr>
          <w:rFonts w:ascii="Verdana" w:hAnsi="Verdana"/>
          <w:sz w:val="20"/>
          <w:szCs w:val="20"/>
          <w:lang w:val="pt-BR"/>
        </w:rPr>
        <w:t>qualquer</w:t>
      </w:r>
      <w:r w:rsidR="005E22C1" w:rsidRPr="0038442F">
        <w:rPr>
          <w:rFonts w:ascii="Verdana" w:hAnsi="Verdana"/>
          <w:sz w:val="20"/>
          <w:szCs w:val="20"/>
          <w:lang w:val="pt-BR"/>
        </w:rPr>
        <w:t xml:space="preserve"> de s</w:t>
      </w:r>
      <w:r w:rsidRPr="0038442F">
        <w:rPr>
          <w:rFonts w:ascii="Verdana" w:hAnsi="Verdana"/>
          <w:sz w:val="20"/>
          <w:szCs w:val="20"/>
          <w:lang w:val="pt-BR"/>
        </w:rPr>
        <w:t>e</w:t>
      </w:r>
      <w:r w:rsidR="005E22C1" w:rsidRPr="0038442F">
        <w:rPr>
          <w:rFonts w:ascii="Verdana" w:hAnsi="Verdana"/>
          <w:sz w:val="20"/>
          <w:szCs w:val="20"/>
          <w:lang w:val="pt-BR"/>
        </w:rPr>
        <w:t xml:space="preserve">us </w:t>
      </w:r>
      <w:r w:rsidRPr="0038442F">
        <w:rPr>
          <w:rFonts w:ascii="Verdana" w:hAnsi="Verdana"/>
          <w:sz w:val="20"/>
          <w:szCs w:val="20"/>
          <w:lang w:val="pt-BR"/>
        </w:rPr>
        <w:t>órgãos</w:t>
      </w:r>
      <w:r w:rsidR="00407242" w:rsidRPr="0038442F">
        <w:rPr>
          <w:rFonts w:ascii="Verdana" w:hAnsi="Verdana"/>
          <w:sz w:val="20"/>
          <w:szCs w:val="20"/>
          <w:lang w:val="pt-BR"/>
        </w:rPr>
        <w:t xml:space="preserve"> </w:t>
      </w:r>
      <w:r w:rsidR="005E22C1" w:rsidRPr="0038442F">
        <w:rPr>
          <w:rFonts w:ascii="Verdana" w:hAnsi="Verdana"/>
          <w:sz w:val="20"/>
          <w:szCs w:val="20"/>
          <w:lang w:val="pt-BR"/>
        </w:rPr>
        <w:t>o</w:t>
      </w:r>
      <w:r w:rsidRPr="0038442F">
        <w:rPr>
          <w:rFonts w:ascii="Verdana" w:hAnsi="Verdana"/>
          <w:sz w:val="20"/>
          <w:szCs w:val="20"/>
          <w:lang w:val="pt-BR"/>
        </w:rPr>
        <w:t>u</w:t>
      </w:r>
      <w:r w:rsidR="005E22C1" w:rsidRPr="0038442F">
        <w:rPr>
          <w:rFonts w:ascii="Verdana" w:hAnsi="Verdana"/>
          <w:sz w:val="20"/>
          <w:szCs w:val="20"/>
          <w:lang w:val="pt-BR"/>
        </w:rPr>
        <w:t xml:space="preserve"> poderes, independente</w:t>
      </w:r>
      <w:r w:rsidRPr="0038442F">
        <w:rPr>
          <w:rFonts w:ascii="Verdana" w:hAnsi="Verdana"/>
          <w:sz w:val="20"/>
          <w:szCs w:val="20"/>
          <w:lang w:val="pt-BR"/>
        </w:rPr>
        <w:t>mente da hierarquia</w:t>
      </w:r>
      <w:r w:rsidR="005E22C1" w:rsidRPr="0038442F">
        <w:rPr>
          <w:rFonts w:ascii="Verdana" w:hAnsi="Verdana"/>
          <w:sz w:val="20"/>
          <w:szCs w:val="20"/>
          <w:lang w:val="pt-BR"/>
        </w:rPr>
        <w:t xml:space="preserve">, que </w:t>
      </w:r>
      <w:r w:rsidRPr="0038442F">
        <w:rPr>
          <w:rFonts w:ascii="Verdana" w:hAnsi="Verdana"/>
          <w:sz w:val="20"/>
          <w:szCs w:val="20"/>
          <w:lang w:val="pt-BR"/>
        </w:rPr>
        <w:t>violem</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os direitos </w:t>
      </w:r>
      <w:r w:rsidRPr="0038442F">
        <w:rPr>
          <w:rFonts w:ascii="Verdana" w:hAnsi="Verdana"/>
          <w:sz w:val="20"/>
          <w:szCs w:val="20"/>
          <w:lang w:val="pt-BR"/>
        </w:rPr>
        <w:t>reconhecidos</w:t>
      </w:r>
      <w:r w:rsidR="00407242"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5E22C1" w:rsidRPr="0038442F">
        <w:rPr>
          <w:rFonts w:ascii="Verdana" w:hAnsi="Verdana"/>
          <w:sz w:val="20"/>
          <w:szCs w:val="20"/>
          <w:lang w:val="pt-BR"/>
        </w:rPr>
        <w:t>Conven</w:t>
      </w:r>
      <w:r w:rsidR="000A1AA8" w:rsidRPr="0038442F">
        <w:rPr>
          <w:rFonts w:ascii="Verdana" w:hAnsi="Verdana"/>
          <w:sz w:val="20"/>
          <w:szCs w:val="20"/>
          <w:lang w:val="pt-BR"/>
        </w:rPr>
        <w:t>ção</w:t>
      </w:r>
      <w:r w:rsidRPr="0038442F">
        <w:rPr>
          <w:rFonts w:ascii="Verdana" w:hAnsi="Verdana"/>
          <w:sz w:val="20"/>
          <w:szCs w:val="20"/>
          <w:lang w:val="pt-BR"/>
        </w:rPr>
        <w:t>.</w:t>
      </w:r>
      <w:r w:rsidR="005E22C1" w:rsidRPr="0038442F">
        <w:rPr>
          <w:rFonts w:ascii="Verdana" w:hAnsi="Verdana"/>
          <w:sz w:val="20"/>
          <w:szCs w:val="20"/>
          <w:vertAlign w:val="superscript"/>
          <w:lang w:val="pt-BR"/>
        </w:rPr>
        <w:footnoteReference w:id="7"/>
      </w:r>
      <w:r w:rsidR="005E22C1" w:rsidRPr="0038442F">
        <w:rPr>
          <w:rFonts w:ascii="Verdana" w:hAnsi="Verdana"/>
          <w:sz w:val="20"/>
          <w:szCs w:val="20"/>
          <w:lang w:val="pt-BR"/>
        </w:rPr>
        <w:t xml:space="preserve"> Por </w:t>
      </w:r>
      <w:r w:rsidRPr="0038442F">
        <w:rPr>
          <w:rFonts w:ascii="Verdana" w:hAnsi="Verdana"/>
          <w:sz w:val="20"/>
          <w:szCs w:val="20"/>
          <w:lang w:val="pt-BR"/>
        </w:rPr>
        <w:t>conseguinte</w:t>
      </w:r>
      <w:r w:rsidR="005E22C1" w:rsidRPr="0038442F">
        <w:rPr>
          <w:rFonts w:ascii="Verdana" w:hAnsi="Verdana"/>
          <w:sz w:val="20"/>
          <w:szCs w:val="20"/>
          <w:lang w:val="pt-BR"/>
        </w:rPr>
        <w:t xml:space="preserve">, </w:t>
      </w:r>
      <w:r w:rsidRPr="0038442F">
        <w:rPr>
          <w:rFonts w:ascii="Verdana" w:hAnsi="Verdana"/>
          <w:sz w:val="20"/>
          <w:szCs w:val="20"/>
          <w:lang w:val="pt-BR"/>
        </w:rPr>
        <w:t xml:space="preserve">os Estados </w:t>
      </w:r>
      <w:r w:rsidR="005E22C1" w:rsidRPr="0038442F">
        <w:rPr>
          <w:rFonts w:ascii="Verdana" w:hAnsi="Verdana"/>
          <w:sz w:val="20"/>
          <w:szCs w:val="20"/>
          <w:lang w:val="pt-BR"/>
        </w:rPr>
        <w:t xml:space="preserve">se </w:t>
      </w:r>
      <w:r w:rsidRPr="0038442F">
        <w:rPr>
          <w:rFonts w:ascii="Verdana" w:hAnsi="Verdana"/>
          <w:sz w:val="20"/>
          <w:szCs w:val="20"/>
          <w:lang w:val="pt-BR"/>
        </w:rPr>
        <w:t>comprometem</w:t>
      </w:r>
      <w:r w:rsidR="00407242" w:rsidRPr="0038442F">
        <w:rPr>
          <w:rFonts w:ascii="Verdana" w:hAnsi="Verdana"/>
          <w:sz w:val="20"/>
          <w:szCs w:val="20"/>
          <w:lang w:val="pt-BR"/>
        </w:rPr>
        <w:t xml:space="preserve"> </w:t>
      </w:r>
      <w:r w:rsidRPr="0038442F">
        <w:rPr>
          <w:rFonts w:ascii="Verdana" w:hAnsi="Verdana"/>
          <w:sz w:val="20"/>
          <w:szCs w:val="20"/>
          <w:lang w:val="pt-BR"/>
        </w:rPr>
        <w:t xml:space="preserve">não só </w:t>
      </w:r>
      <w:r w:rsidR="005E22C1" w:rsidRPr="0038442F">
        <w:rPr>
          <w:rFonts w:ascii="Verdana" w:hAnsi="Verdana"/>
          <w:sz w:val="20"/>
          <w:szCs w:val="20"/>
          <w:lang w:val="pt-BR"/>
        </w:rPr>
        <w:t xml:space="preserve">a </w:t>
      </w:r>
      <w:r w:rsidRPr="0038442F">
        <w:rPr>
          <w:rFonts w:ascii="Verdana" w:hAnsi="Verdana"/>
          <w:sz w:val="20"/>
          <w:szCs w:val="20"/>
          <w:lang w:val="pt-BR"/>
        </w:rPr>
        <w:t>respeitar</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os direitos </w:t>
      </w:r>
      <w:r w:rsidRPr="0038442F">
        <w:rPr>
          <w:rFonts w:ascii="Verdana" w:hAnsi="Verdana"/>
          <w:sz w:val="20"/>
          <w:szCs w:val="20"/>
          <w:lang w:val="pt-BR"/>
        </w:rPr>
        <w:t>e</w:t>
      </w:r>
      <w:r w:rsidR="005E22C1" w:rsidRPr="0038442F">
        <w:rPr>
          <w:rFonts w:ascii="Verdana" w:hAnsi="Verdana"/>
          <w:sz w:val="20"/>
          <w:szCs w:val="20"/>
          <w:lang w:val="pt-BR"/>
        </w:rPr>
        <w:t xml:space="preserve"> </w:t>
      </w:r>
      <w:r w:rsidRPr="0038442F">
        <w:rPr>
          <w:rFonts w:ascii="Verdana" w:hAnsi="Verdana"/>
          <w:sz w:val="20"/>
          <w:szCs w:val="20"/>
          <w:lang w:val="pt-BR"/>
        </w:rPr>
        <w:t>as liberdades nela reconhecidos</w:t>
      </w:r>
      <w:r w:rsidR="00407242" w:rsidRPr="0038442F">
        <w:rPr>
          <w:rFonts w:ascii="Verdana" w:hAnsi="Verdana"/>
          <w:sz w:val="20"/>
          <w:szCs w:val="20"/>
          <w:lang w:val="pt-BR"/>
        </w:rPr>
        <w:t xml:space="preserve"> </w:t>
      </w:r>
      <w:r w:rsidR="005E22C1" w:rsidRPr="0038442F">
        <w:rPr>
          <w:rFonts w:ascii="Verdana" w:hAnsi="Verdana"/>
          <w:sz w:val="20"/>
          <w:szCs w:val="20"/>
          <w:lang w:val="pt-BR"/>
        </w:rPr>
        <w:t>(</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005E22C1" w:rsidRPr="0038442F">
        <w:rPr>
          <w:rFonts w:ascii="Verdana" w:hAnsi="Verdana"/>
          <w:sz w:val="20"/>
          <w:szCs w:val="20"/>
          <w:lang w:val="pt-BR"/>
        </w:rPr>
        <w:t xml:space="preserve">negativa), </w:t>
      </w:r>
      <w:r w:rsidRPr="0038442F">
        <w:rPr>
          <w:rFonts w:ascii="Verdana" w:hAnsi="Verdana"/>
          <w:sz w:val="20"/>
          <w:szCs w:val="20"/>
          <w:lang w:val="pt-BR"/>
        </w:rPr>
        <w:t>mas</w:t>
      </w:r>
      <w:r w:rsidR="005E22C1" w:rsidRPr="0038442F">
        <w:rPr>
          <w:rFonts w:ascii="Verdana" w:hAnsi="Verdana"/>
          <w:sz w:val="20"/>
          <w:szCs w:val="20"/>
          <w:lang w:val="pt-BR"/>
        </w:rPr>
        <w:t xml:space="preserve"> </w:t>
      </w:r>
      <w:r w:rsidRPr="0038442F">
        <w:rPr>
          <w:rFonts w:ascii="Verdana" w:hAnsi="Verdana"/>
          <w:sz w:val="20"/>
          <w:szCs w:val="20"/>
          <w:lang w:val="pt-BR"/>
        </w:rPr>
        <w:t>também</w:t>
      </w:r>
      <w:r w:rsidR="00407242" w:rsidRPr="0038442F">
        <w:rPr>
          <w:rFonts w:ascii="Verdana" w:hAnsi="Verdana"/>
          <w:sz w:val="20"/>
          <w:szCs w:val="20"/>
          <w:lang w:val="pt-BR"/>
        </w:rPr>
        <w:t xml:space="preserve"> </w:t>
      </w:r>
      <w:r w:rsidR="005E22C1" w:rsidRPr="0038442F">
        <w:rPr>
          <w:rFonts w:ascii="Verdana" w:hAnsi="Verdana"/>
          <w:sz w:val="20"/>
          <w:szCs w:val="20"/>
          <w:lang w:val="pt-BR"/>
        </w:rPr>
        <w:t xml:space="preserve">a </w:t>
      </w:r>
      <w:r w:rsidR="00C92762" w:rsidRPr="0038442F">
        <w:rPr>
          <w:rFonts w:ascii="Verdana" w:hAnsi="Verdana"/>
          <w:sz w:val="20"/>
          <w:szCs w:val="20"/>
          <w:lang w:val="pt-BR"/>
        </w:rPr>
        <w:t>adotar</w:t>
      </w:r>
      <w:r w:rsidR="00407242" w:rsidRPr="0038442F">
        <w:rPr>
          <w:rFonts w:ascii="Verdana" w:hAnsi="Verdana"/>
          <w:sz w:val="20"/>
          <w:szCs w:val="20"/>
          <w:lang w:val="pt-BR"/>
        </w:rPr>
        <w:t xml:space="preserve"> </w:t>
      </w:r>
      <w:r w:rsidRPr="0038442F">
        <w:rPr>
          <w:rFonts w:ascii="Verdana" w:hAnsi="Verdana"/>
          <w:sz w:val="20"/>
          <w:szCs w:val="20"/>
          <w:lang w:val="pt-BR"/>
        </w:rPr>
        <w:t xml:space="preserve">todas </w:t>
      </w:r>
      <w:r w:rsidR="005E22C1" w:rsidRPr="0038442F">
        <w:rPr>
          <w:rFonts w:ascii="Verdana" w:hAnsi="Verdana"/>
          <w:sz w:val="20"/>
          <w:szCs w:val="20"/>
          <w:lang w:val="pt-BR"/>
        </w:rPr>
        <w:t xml:space="preserve">as medidas </w:t>
      </w:r>
      <w:r w:rsidRPr="0038442F">
        <w:rPr>
          <w:rFonts w:ascii="Verdana" w:hAnsi="Verdana"/>
          <w:sz w:val="20"/>
          <w:szCs w:val="20"/>
          <w:lang w:val="pt-BR"/>
        </w:rPr>
        <w:t>apropriadas</w:t>
      </w:r>
      <w:r w:rsidR="00407242" w:rsidRPr="0038442F">
        <w:rPr>
          <w:rFonts w:ascii="Verdana" w:hAnsi="Verdana"/>
          <w:sz w:val="20"/>
          <w:szCs w:val="20"/>
          <w:lang w:val="pt-BR"/>
        </w:rPr>
        <w:t xml:space="preserve"> </w:t>
      </w:r>
      <w:r w:rsidR="005E22C1" w:rsidRPr="0038442F">
        <w:rPr>
          <w:rFonts w:ascii="Verdana" w:hAnsi="Verdana"/>
          <w:sz w:val="20"/>
          <w:szCs w:val="20"/>
          <w:lang w:val="pt-BR"/>
        </w:rPr>
        <w:t>para garanti</w:t>
      </w:r>
      <w:r w:rsidRPr="0038442F">
        <w:rPr>
          <w:rFonts w:ascii="Verdana" w:hAnsi="Verdana"/>
          <w:sz w:val="20"/>
          <w:szCs w:val="20"/>
          <w:lang w:val="pt-BR"/>
        </w:rPr>
        <w:t>-</w:t>
      </w:r>
      <w:r w:rsidR="005E22C1" w:rsidRPr="0038442F">
        <w:rPr>
          <w:rFonts w:ascii="Verdana" w:hAnsi="Verdana"/>
          <w:sz w:val="20"/>
          <w:szCs w:val="20"/>
          <w:lang w:val="pt-BR"/>
        </w:rPr>
        <w:t>los (</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005E22C1" w:rsidRPr="0038442F">
        <w:rPr>
          <w:rFonts w:ascii="Verdana" w:hAnsi="Verdana"/>
          <w:sz w:val="20"/>
          <w:szCs w:val="20"/>
          <w:lang w:val="pt-BR"/>
        </w:rPr>
        <w:t>positiva)</w:t>
      </w:r>
      <w:r w:rsidRPr="0038442F">
        <w:rPr>
          <w:rFonts w:ascii="Verdana" w:hAnsi="Verdana"/>
          <w:sz w:val="20"/>
          <w:szCs w:val="20"/>
          <w:lang w:val="pt-BR"/>
        </w:rPr>
        <w:t>.</w:t>
      </w:r>
      <w:r w:rsidR="005E22C1" w:rsidRPr="0038442F">
        <w:rPr>
          <w:rStyle w:val="Ttulo3Car"/>
          <w:rFonts w:ascii="Verdana" w:hAnsi="Verdana"/>
          <w:color w:val="auto"/>
          <w:sz w:val="20"/>
          <w:szCs w:val="20"/>
          <w:vertAlign w:val="superscript"/>
          <w:lang w:val="pt-BR"/>
        </w:rPr>
        <w:footnoteReference w:id="8"/>
      </w:r>
      <w:r w:rsidR="005E22C1" w:rsidRPr="0038442F">
        <w:rPr>
          <w:rFonts w:ascii="Verdana" w:hAnsi="Verdana"/>
          <w:sz w:val="20"/>
          <w:szCs w:val="20"/>
          <w:lang w:val="pt-BR"/>
        </w:rPr>
        <w:t xml:space="preserve"> </w:t>
      </w:r>
      <w:r w:rsidRPr="0038442F">
        <w:rPr>
          <w:rFonts w:ascii="Verdana" w:hAnsi="Verdana" w:cs="Verdana"/>
          <w:sz w:val="20"/>
          <w:szCs w:val="20"/>
          <w:lang w:val="pt-BR"/>
        </w:rPr>
        <w:t xml:space="preserve">Nesse </w:t>
      </w:r>
      <w:r w:rsidR="005E22C1" w:rsidRPr="0038442F">
        <w:rPr>
          <w:rFonts w:ascii="Verdana" w:hAnsi="Verdana" w:cs="Verdana"/>
          <w:sz w:val="20"/>
          <w:szCs w:val="20"/>
          <w:lang w:val="pt-BR"/>
        </w:rPr>
        <w:t xml:space="preserve">sentido, a Corte </w:t>
      </w:r>
      <w:r w:rsidR="00A31E29" w:rsidRPr="0038442F">
        <w:rPr>
          <w:rFonts w:ascii="Verdana" w:hAnsi="Verdana" w:cs="Verdana"/>
          <w:sz w:val="20"/>
          <w:szCs w:val="20"/>
          <w:lang w:val="pt-BR"/>
        </w:rPr>
        <w:t xml:space="preserve">IDH </w:t>
      </w:r>
      <w:r w:rsidRPr="0038442F">
        <w:rPr>
          <w:rFonts w:ascii="Verdana" w:hAnsi="Verdana" w:cs="Verdana"/>
          <w:sz w:val="20"/>
          <w:szCs w:val="20"/>
          <w:lang w:val="pt-BR"/>
        </w:rPr>
        <w:t xml:space="preserve">estabeleceu que não </w:t>
      </w:r>
      <w:r w:rsidR="005E22C1" w:rsidRPr="0038442F">
        <w:rPr>
          <w:rFonts w:ascii="Verdana" w:hAnsi="Verdana" w:cs="Verdana"/>
          <w:sz w:val="20"/>
          <w:szCs w:val="20"/>
          <w:lang w:val="pt-BR"/>
        </w:rPr>
        <w:t xml:space="preserve">basta que </w:t>
      </w:r>
      <w:r w:rsidRPr="0038442F">
        <w:rPr>
          <w:rFonts w:ascii="Verdana" w:hAnsi="Verdana" w:cs="Verdana"/>
          <w:sz w:val="20"/>
          <w:szCs w:val="20"/>
          <w:lang w:val="pt-BR"/>
        </w:rPr>
        <w:t xml:space="preserve">os Estados </w:t>
      </w:r>
      <w:r w:rsidR="005E22C1" w:rsidRPr="0038442F">
        <w:rPr>
          <w:rFonts w:ascii="Verdana" w:hAnsi="Verdana" w:cs="Verdana"/>
          <w:sz w:val="20"/>
          <w:szCs w:val="20"/>
          <w:lang w:val="pt-BR"/>
        </w:rPr>
        <w:t xml:space="preserve">se </w:t>
      </w:r>
      <w:r w:rsidRPr="0038442F">
        <w:rPr>
          <w:rFonts w:ascii="Verdana" w:hAnsi="Verdana" w:cs="Verdana"/>
          <w:sz w:val="20"/>
          <w:szCs w:val="20"/>
          <w:lang w:val="pt-BR"/>
        </w:rPr>
        <w:t xml:space="preserve">abstenham </w:t>
      </w:r>
      <w:r w:rsidR="005E22C1" w:rsidRPr="0038442F">
        <w:rPr>
          <w:rFonts w:ascii="Verdana" w:hAnsi="Verdana" w:cs="Verdana"/>
          <w:sz w:val="20"/>
          <w:szCs w:val="20"/>
          <w:lang w:val="pt-BR"/>
        </w:rPr>
        <w:t xml:space="preserve">de violar </w:t>
      </w:r>
      <w:r w:rsidRPr="0038442F">
        <w:rPr>
          <w:rFonts w:ascii="Verdana" w:hAnsi="Verdana" w:cs="Verdana"/>
          <w:sz w:val="20"/>
          <w:szCs w:val="20"/>
          <w:lang w:val="pt-BR"/>
        </w:rPr>
        <w:t>os direitos</w:t>
      </w:r>
      <w:r w:rsidR="005E22C1" w:rsidRPr="0038442F">
        <w:rPr>
          <w:rFonts w:ascii="Verdana" w:hAnsi="Verdana" w:cs="Verdana"/>
          <w:sz w:val="20"/>
          <w:szCs w:val="20"/>
          <w:lang w:val="pt-BR"/>
        </w:rPr>
        <w:t xml:space="preserve">, </w:t>
      </w:r>
      <w:r w:rsidRPr="0038442F">
        <w:rPr>
          <w:rFonts w:ascii="Verdana" w:hAnsi="Verdana" w:cs="Verdana"/>
          <w:sz w:val="20"/>
          <w:szCs w:val="20"/>
          <w:lang w:val="pt-BR"/>
        </w:rPr>
        <w:t xml:space="preserve">mas que é </w:t>
      </w:r>
      <w:r w:rsidR="005E22C1" w:rsidRPr="0038442F">
        <w:rPr>
          <w:rFonts w:ascii="Verdana" w:hAnsi="Verdana" w:cs="Verdana"/>
          <w:sz w:val="20"/>
          <w:szCs w:val="20"/>
          <w:lang w:val="pt-BR"/>
        </w:rPr>
        <w:t xml:space="preserve">imperativa </w:t>
      </w:r>
      <w:r w:rsidR="005E22C1" w:rsidRPr="0038442F">
        <w:rPr>
          <w:rFonts w:ascii="Verdana" w:hAnsi="Verdana" w:cs="Verdana"/>
          <w:i/>
          <w:sz w:val="20"/>
          <w:szCs w:val="20"/>
          <w:lang w:val="pt-BR"/>
        </w:rPr>
        <w:t xml:space="preserve">a </w:t>
      </w:r>
      <w:r w:rsidR="00826F7D" w:rsidRPr="0038442F">
        <w:rPr>
          <w:rFonts w:ascii="Verdana" w:hAnsi="Verdana" w:cs="Verdana"/>
          <w:i/>
          <w:sz w:val="20"/>
          <w:szCs w:val="20"/>
          <w:lang w:val="pt-BR"/>
        </w:rPr>
        <w:t>adoção</w:t>
      </w:r>
      <w:r w:rsidR="00407242" w:rsidRPr="0038442F">
        <w:rPr>
          <w:rFonts w:ascii="Verdana" w:hAnsi="Verdana" w:cs="Verdana"/>
          <w:i/>
          <w:sz w:val="20"/>
          <w:szCs w:val="20"/>
          <w:lang w:val="pt-BR"/>
        </w:rPr>
        <w:t xml:space="preserve"> </w:t>
      </w:r>
      <w:r w:rsidR="005E22C1" w:rsidRPr="0038442F">
        <w:rPr>
          <w:rFonts w:ascii="Verdana" w:hAnsi="Verdana" w:cs="Verdana"/>
          <w:i/>
          <w:sz w:val="20"/>
          <w:szCs w:val="20"/>
          <w:lang w:val="pt-BR"/>
        </w:rPr>
        <w:t>de medidas positivas</w:t>
      </w:r>
      <w:r w:rsidR="005E22C1" w:rsidRPr="0038442F">
        <w:rPr>
          <w:rFonts w:ascii="Verdana" w:hAnsi="Verdana" w:cs="Verdana"/>
          <w:sz w:val="20"/>
          <w:szCs w:val="20"/>
          <w:lang w:val="pt-BR"/>
        </w:rPr>
        <w:t>, determin</w:t>
      </w:r>
      <w:r w:rsidRPr="0038442F">
        <w:rPr>
          <w:rFonts w:ascii="Verdana" w:hAnsi="Verdana" w:cs="Verdana"/>
          <w:sz w:val="20"/>
          <w:szCs w:val="20"/>
          <w:lang w:val="pt-BR"/>
        </w:rPr>
        <w:t xml:space="preserve">áveis em </w:t>
      </w:r>
      <w:r w:rsidR="005E22C1" w:rsidRPr="0038442F">
        <w:rPr>
          <w:rFonts w:ascii="Verdana" w:hAnsi="Verdana" w:cs="Verdana"/>
          <w:sz w:val="20"/>
          <w:szCs w:val="20"/>
          <w:lang w:val="pt-BR"/>
        </w:rPr>
        <w:t>fun</w:t>
      </w:r>
      <w:r w:rsidR="000A1AA8" w:rsidRPr="0038442F">
        <w:rPr>
          <w:rFonts w:ascii="Verdana" w:hAnsi="Verdana" w:cs="Verdana"/>
          <w:sz w:val="20"/>
          <w:szCs w:val="20"/>
          <w:lang w:val="pt-BR"/>
        </w:rPr>
        <w:t>ção</w:t>
      </w:r>
      <w:r w:rsidR="005E22C1" w:rsidRPr="0038442F">
        <w:rPr>
          <w:rFonts w:ascii="Verdana" w:hAnsi="Verdana" w:cs="Verdana"/>
          <w:sz w:val="20"/>
          <w:szCs w:val="20"/>
          <w:lang w:val="pt-BR"/>
        </w:rPr>
        <w:t xml:space="preserve"> </w:t>
      </w:r>
      <w:r w:rsidR="00C92762" w:rsidRPr="0038442F">
        <w:rPr>
          <w:rFonts w:ascii="Verdana" w:hAnsi="Verdana" w:cs="Verdana"/>
          <w:sz w:val="20"/>
          <w:szCs w:val="20"/>
          <w:lang w:val="pt-BR"/>
        </w:rPr>
        <w:t xml:space="preserve">das </w:t>
      </w:r>
      <w:r w:rsidRPr="0038442F">
        <w:rPr>
          <w:rFonts w:ascii="Verdana" w:hAnsi="Verdana" w:cs="Verdana"/>
          <w:sz w:val="20"/>
          <w:szCs w:val="20"/>
          <w:lang w:val="pt-BR"/>
        </w:rPr>
        <w:t>necessidades</w:t>
      </w:r>
      <w:r w:rsidR="00407242" w:rsidRPr="0038442F">
        <w:rPr>
          <w:rFonts w:ascii="Verdana" w:hAnsi="Verdana" w:cs="Verdana"/>
          <w:sz w:val="20"/>
          <w:szCs w:val="20"/>
          <w:lang w:val="pt-BR"/>
        </w:rPr>
        <w:t xml:space="preserve"> </w:t>
      </w:r>
      <w:r w:rsidRPr="0038442F">
        <w:rPr>
          <w:rFonts w:ascii="Verdana" w:hAnsi="Verdana" w:cs="Verdana"/>
          <w:sz w:val="20"/>
          <w:szCs w:val="20"/>
          <w:lang w:val="pt-BR"/>
        </w:rPr>
        <w:t xml:space="preserve">específicas </w:t>
      </w:r>
      <w:r w:rsidR="005E22C1" w:rsidRPr="0038442F">
        <w:rPr>
          <w:rFonts w:ascii="Verdana" w:hAnsi="Verdana" w:cs="Verdana"/>
          <w:sz w:val="20"/>
          <w:szCs w:val="20"/>
          <w:lang w:val="pt-BR"/>
        </w:rPr>
        <w:t xml:space="preserve">de </w:t>
      </w:r>
      <w:r w:rsidR="00751189" w:rsidRPr="0038442F">
        <w:rPr>
          <w:rFonts w:ascii="Verdana" w:hAnsi="Verdana" w:cs="Verdana"/>
          <w:sz w:val="20"/>
          <w:szCs w:val="20"/>
          <w:lang w:val="pt-BR"/>
        </w:rPr>
        <w:t>proteção</w:t>
      </w:r>
      <w:r w:rsidR="00407242" w:rsidRPr="0038442F">
        <w:rPr>
          <w:rFonts w:ascii="Verdana" w:hAnsi="Verdana" w:cs="Verdana"/>
          <w:sz w:val="20"/>
          <w:szCs w:val="20"/>
          <w:lang w:val="pt-BR"/>
        </w:rPr>
        <w:t xml:space="preserve"> </w:t>
      </w:r>
      <w:r w:rsidR="005E22C1" w:rsidRPr="0038442F">
        <w:rPr>
          <w:rFonts w:ascii="Verdana" w:hAnsi="Verdana" w:cs="Verdana"/>
          <w:sz w:val="20"/>
          <w:szCs w:val="20"/>
          <w:lang w:val="pt-BR"/>
        </w:rPr>
        <w:t>d</w:t>
      </w:r>
      <w:r w:rsidRPr="0038442F">
        <w:rPr>
          <w:rFonts w:ascii="Verdana" w:hAnsi="Verdana" w:cs="Verdana"/>
          <w:sz w:val="20"/>
          <w:szCs w:val="20"/>
          <w:lang w:val="pt-BR"/>
        </w:rPr>
        <w:t xml:space="preserve">o sujeito </w:t>
      </w:r>
      <w:r w:rsidR="005E22C1" w:rsidRPr="0038442F">
        <w:rPr>
          <w:rFonts w:ascii="Verdana" w:hAnsi="Verdana" w:cs="Verdana"/>
          <w:sz w:val="20"/>
          <w:szCs w:val="20"/>
          <w:lang w:val="pt-BR"/>
        </w:rPr>
        <w:t xml:space="preserve">de </w:t>
      </w:r>
      <w:r w:rsidR="00CA30C5" w:rsidRPr="0038442F">
        <w:rPr>
          <w:rFonts w:ascii="Verdana" w:hAnsi="Verdana" w:cs="Verdana"/>
          <w:sz w:val="20"/>
          <w:szCs w:val="20"/>
          <w:lang w:val="pt-BR"/>
        </w:rPr>
        <w:t>direito</w:t>
      </w:r>
      <w:r w:rsidR="005E22C1" w:rsidRPr="0038442F">
        <w:rPr>
          <w:rFonts w:ascii="Verdana" w:hAnsi="Verdana" w:cs="Verdana"/>
          <w:sz w:val="20"/>
          <w:szCs w:val="20"/>
          <w:lang w:val="pt-BR"/>
        </w:rPr>
        <w:t>, se</w:t>
      </w:r>
      <w:r w:rsidRPr="0038442F">
        <w:rPr>
          <w:rFonts w:ascii="Verdana" w:hAnsi="Verdana" w:cs="Verdana"/>
          <w:sz w:val="20"/>
          <w:szCs w:val="20"/>
          <w:lang w:val="pt-BR"/>
        </w:rPr>
        <w:t>j</w:t>
      </w:r>
      <w:r w:rsidR="005E22C1" w:rsidRPr="0038442F">
        <w:rPr>
          <w:rFonts w:ascii="Verdana" w:hAnsi="Verdana" w:cs="Verdana"/>
          <w:sz w:val="20"/>
          <w:szCs w:val="20"/>
          <w:lang w:val="pt-BR"/>
        </w:rPr>
        <w:t>a por su</w:t>
      </w:r>
      <w:r w:rsidRPr="0038442F">
        <w:rPr>
          <w:rFonts w:ascii="Verdana" w:hAnsi="Verdana" w:cs="Verdana"/>
          <w:sz w:val="20"/>
          <w:szCs w:val="20"/>
          <w:lang w:val="pt-BR"/>
        </w:rPr>
        <w:t>a</w:t>
      </w:r>
      <w:r w:rsidR="005E22C1" w:rsidRPr="0038442F">
        <w:rPr>
          <w:rFonts w:ascii="Verdana" w:hAnsi="Verdana" w:cs="Verdana"/>
          <w:sz w:val="20"/>
          <w:szCs w:val="20"/>
          <w:lang w:val="pt-BR"/>
        </w:rPr>
        <w:t xml:space="preserve"> condi</w:t>
      </w:r>
      <w:r w:rsidR="000A1AA8" w:rsidRPr="0038442F">
        <w:rPr>
          <w:rFonts w:ascii="Verdana" w:hAnsi="Verdana" w:cs="Verdana"/>
          <w:sz w:val="20"/>
          <w:szCs w:val="20"/>
          <w:lang w:val="pt-BR"/>
        </w:rPr>
        <w:t>ção</w:t>
      </w:r>
      <w:r w:rsidR="005E22C1" w:rsidRPr="0038442F">
        <w:rPr>
          <w:rFonts w:ascii="Verdana" w:hAnsi="Verdana" w:cs="Verdana"/>
          <w:sz w:val="20"/>
          <w:szCs w:val="20"/>
          <w:lang w:val="pt-BR"/>
        </w:rPr>
        <w:t xml:space="preserve"> </w:t>
      </w:r>
      <w:r w:rsidRPr="0038442F">
        <w:rPr>
          <w:rFonts w:ascii="Verdana" w:hAnsi="Verdana" w:cs="Verdana"/>
          <w:sz w:val="20"/>
          <w:szCs w:val="20"/>
          <w:lang w:val="pt-BR"/>
        </w:rPr>
        <w:t xml:space="preserve">pessoal, seja </w:t>
      </w:r>
      <w:r w:rsidR="000A1AA8" w:rsidRPr="0038442F">
        <w:rPr>
          <w:rFonts w:ascii="Verdana" w:hAnsi="Verdana" w:cs="Verdana"/>
          <w:sz w:val="20"/>
          <w:szCs w:val="20"/>
          <w:lang w:val="pt-BR"/>
        </w:rPr>
        <w:t xml:space="preserve">pela </w:t>
      </w:r>
      <w:r w:rsidR="005E22C1" w:rsidRPr="0038442F">
        <w:rPr>
          <w:rFonts w:ascii="Verdana" w:hAnsi="Verdana" w:cs="Verdana"/>
          <w:sz w:val="20"/>
          <w:szCs w:val="20"/>
          <w:lang w:val="pt-BR"/>
        </w:rPr>
        <w:t>situa</w:t>
      </w:r>
      <w:r w:rsidR="000A1AA8" w:rsidRPr="0038442F">
        <w:rPr>
          <w:rFonts w:ascii="Verdana" w:hAnsi="Verdana" w:cs="Verdana"/>
          <w:sz w:val="20"/>
          <w:szCs w:val="20"/>
          <w:lang w:val="pt-BR"/>
        </w:rPr>
        <w:t>ção</w:t>
      </w:r>
      <w:r w:rsidR="005E22C1" w:rsidRPr="0038442F">
        <w:rPr>
          <w:rFonts w:ascii="Verdana" w:hAnsi="Verdana" w:cs="Verdana"/>
          <w:sz w:val="20"/>
          <w:szCs w:val="20"/>
          <w:lang w:val="pt-BR"/>
        </w:rPr>
        <w:t xml:space="preserve"> específica e</w:t>
      </w:r>
      <w:r w:rsidRPr="0038442F">
        <w:rPr>
          <w:rFonts w:ascii="Verdana" w:hAnsi="Verdana" w:cs="Verdana"/>
          <w:sz w:val="20"/>
          <w:szCs w:val="20"/>
          <w:lang w:val="pt-BR"/>
        </w:rPr>
        <w:t>m</w:t>
      </w:r>
      <w:r w:rsidR="005E22C1" w:rsidRPr="0038442F">
        <w:rPr>
          <w:rFonts w:ascii="Verdana" w:hAnsi="Verdana" w:cs="Verdana"/>
          <w:sz w:val="20"/>
          <w:szCs w:val="20"/>
          <w:lang w:val="pt-BR"/>
        </w:rPr>
        <w:t xml:space="preserve"> que se </w:t>
      </w:r>
      <w:r w:rsidRPr="0038442F">
        <w:rPr>
          <w:rFonts w:ascii="Verdana" w:hAnsi="Verdana" w:cs="Verdana"/>
          <w:sz w:val="20"/>
          <w:szCs w:val="20"/>
          <w:lang w:val="pt-BR"/>
        </w:rPr>
        <w:t>encontre.</w:t>
      </w:r>
      <w:r w:rsidR="005E22C1" w:rsidRPr="0038442F">
        <w:rPr>
          <w:rStyle w:val="Ttulo3Car"/>
          <w:rFonts w:ascii="Verdana" w:hAnsi="Verdana"/>
          <w:color w:val="auto"/>
          <w:sz w:val="20"/>
          <w:szCs w:val="20"/>
          <w:vertAlign w:val="superscript"/>
          <w:lang w:val="pt-BR"/>
        </w:rPr>
        <w:footnoteReference w:id="9"/>
      </w:r>
    </w:p>
    <w:p w14:paraId="10A41025" w14:textId="77777777" w:rsidR="00536CB3" w:rsidRPr="0038442F" w:rsidRDefault="00536CB3" w:rsidP="00A857CB">
      <w:pPr>
        <w:pStyle w:val="Prrafodelista"/>
        <w:spacing w:line="240" w:lineRule="auto"/>
        <w:ind w:left="0"/>
        <w:jc w:val="both"/>
        <w:rPr>
          <w:rFonts w:ascii="Verdana" w:hAnsi="Verdana"/>
          <w:b/>
          <w:sz w:val="20"/>
          <w:szCs w:val="20"/>
          <w:lang w:val="pt-BR"/>
        </w:rPr>
      </w:pPr>
    </w:p>
    <w:p w14:paraId="010C2819" w14:textId="25B0D2DF" w:rsidR="005E22C1" w:rsidRPr="0038442F" w:rsidRDefault="008806F8" w:rsidP="00A857CB">
      <w:pPr>
        <w:pStyle w:val="Prrafodelista"/>
        <w:numPr>
          <w:ilvl w:val="0"/>
          <w:numId w:val="2"/>
        </w:numPr>
        <w:spacing w:line="240" w:lineRule="auto"/>
        <w:ind w:left="0" w:firstLine="0"/>
        <w:jc w:val="both"/>
        <w:rPr>
          <w:rFonts w:ascii="Verdana" w:hAnsi="Verdana"/>
          <w:b/>
          <w:sz w:val="20"/>
          <w:szCs w:val="20"/>
          <w:lang w:val="pt-BR"/>
        </w:rPr>
      </w:pPr>
      <w:r w:rsidRPr="0038442F">
        <w:rPr>
          <w:rFonts w:ascii="Verdana" w:hAnsi="Verdana"/>
          <w:bCs/>
          <w:sz w:val="20"/>
          <w:szCs w:val="20"/>
          <w:lang w:val="pt-BR"/>
        </w:rPr>
        <w:t>Cumpre lembrar</w:t>
      </w:r>
      <w:r w:rsidR="00536CB3" w:rsidRPr="0038442F">
        <w:rPr>
          <w:rFonts w:ascii="Verdana" w:hAnsi="Verdana"/>
          <w:bCs/>
          <w:sz w:val="20"/>
          <w:szCs w:val="20"/>
          <w:lang w:val="pt-BR"/>
        </w:rPr>
        <w:t xml:space="preserve"> </w:t>
      </w:r>
      <w:r w:rsidR="00FD1497" w:rsidRPr="0038442F">
        <w:rPr>
          <w:rFonts w:ascii="Verdana" w:hAnsi="Verdana"/>
          <w:bCs/>
          <w:sz w:val="20"/>
          <w:szCs w:val="20"/>
          <w:lang w:val="pt-BR"/>
        </w:rPr>
        <w:t>que,</w:t>
      </w:r>
      <w:r w:rsidR="00536CB3" w:rsidRPr="0038442F">
        <w:rPr>
          <w:rFonts w:ascii="Verdana" w:hAnsi="Verdana"/>
          <w:bCs/>
          <w:sz w:val="20"/>
          <w:szCs w:val="20"/>
          <w:lang w:val="pt-BR"/>
        </w:rPr>
        <w:t xml:space="preserve"> </w:t>
      </w:r>
      <w:r w:rsidR="00751189" w:rsidRPr="0038442F">
        <w:rPr>
          <w:rFonts w:ascii="Verdana" w:hAnsi="Verdana"/>
          <w:bCs/>
          <w:sz w:val="20"/>
          <w:szCs w:val="20"/>
          <w:lang w:val="pt-BR"/>
        </w:rPr>
        <w:t xml:space="preserve">no </w:t>
      </w:r>
      <w:r w:rsidR="00536CB3" w:rsidRPr="0038442F">
        <w:rPr>
          <w:rFonts w:ascii="Verdana" w:hAnsi="Verdana"/>
          <w:bCs/>
          <w:sz w:val="20"/>
          <w:szCs w:val="20"/>
          <w:lang w:val="pt-BR"/>
        </w:rPr>
        <w:t xml:space="preserve">presente caso, </w:t>
      </w:r>
      <w:r w:rsidRPr="0038442F">
        <w:rPr>
          <w:rFonts w:ascii="Verdana" w:hAnsi="Verdana"/>
          <w:bCs/>
          <w:sz w:val="20"/>
          <w:szCs w:val="20"/>
          <w:lang w:val="pt-BR"/>
        </w:rPr>
        <w:t xml:space="preserve">a Corte </w:t>
      </w:r>
      <w:r w:rsidR="00116B3F" w:rsidRPr="0038442F">
        <w:rPr>
          <w:rFonts w:ascii="Verdana" w:hAnsi="Verdana"/>
          <w:bCs/>
          <w:sz w:val="20"/>
          <w:szCs w:val="20"/>
          <w:lang w:val="pt-BR"/>
        </w:rPr>
        <w:t xml:space="preserve">IDH </w:t>
      </w:r>
      <w:r w:rsidRPr="0038442F">
        <w:rPr>
          <w:rFonts w:ascii="Verdana" w:hAnsi="Verdana"/>
          <w:bCs/>
          <w:sz w:val="20"/>
          <w:szCs w:val="20"/>
          <w:lang w:val="pt-BR"/>
        </w:rPr>
        <w:t>concluiu</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 xml:space="preserve">que </w:t>
      </w:r>
      <w:r w:rsidRPr="0038442F">
        <w:rPr>
          <w:rFonts w:ascii="Verdana" w:hAnsi="Verdana"/>
          <w:bCs/>
          <w:sz w:val="20"/>
          <w:szCs w:val="20"/>
          <w:lang w:val="pt-BR"/>
        </w:rPr>
        <w:t xml:space="preserve">as violações do </w:t>
      </w:r>
      <w:r w:rsidR="00CA30C5" w:rsidRPr="0038442F">
        <w:rPr>
          <w:rFonts w:ascii="Verdana" w:hAnsi="Verdana"/>
          <w:bCs/>
          <w:sz w:val="20"/>
          <w:szCs w:val="20"/>
          <w:lang w:val="pt-BR"/>
        </w:rPr>
        <w:t>direito</w:t>
      </w:r>
      <w:r w:rsidR="00407242" w:rsidRPr="0038442F">
        <w:rPr>
          <w:rFonts w:ascii="Verdana" w:hAnsi="Verdana"/>
          <w:bCs/>
          <w:sz w:val="20"/>
          <w:szCs w:val="20"/>
          <w:lang w:val="pt-BR"/>
        </w:rPr>
        <w:t xml:space="preserve"> </w:t>
      </w:r>
      <w:r w:rsidRPr="0038442F">
        <w:rPr>
          <w:rFonts w:ascii="Verdana" w:hAnsi="Verdana"/>
          <w:bCs/>
          <w:sz w:val="20"/>
          <w:szCs w:val="20"/>
          <w:lang w:val="pt-BR"/>
        </w:rPr>
        <w:t>à vida e</w:t>
      </w:r>
      <w:r w:rsidR="00536CB3" w:rsidRPr="0038442F">
        <w:rPr>
          <w:rFonts w:ascii="Verdana" w:hAnsi="Verdana"/>
          <w:bCs/>
          <w:sz w:val="20"/>
          <w:szCs w:val="20"/>
          <w:lang w:val="pt-BR"/>
        </w:rPr>
        <w:t xml:space="preserve"> </w:t>
      </w:r>
      <w:r w:rsidRPr="0038442F">
        <w:rPr>
          <w:rFonts w:ascii="Verdana" w:hAnsi="Verdana"/>
          <w:bCs/>
          <w:sz w:val="20"/>
          <w:szCs w:val="20"/>
          <w:lang w:val="pt-BR"/>
        </w:rPr>
        <w:t>à integridade</w:t>
      </w:r>
      <w:r w:rsidR="00407242" w:rsidRPr="0038442F">
        <w:rPr>
          <w:rFonts w:ascii="Verdana" w:hAnsi="Verdana"/>
          <w:bCs/>
          <w:sz w:val="20"/>
          <w:szCs w:val="20"/>
          <w:lang w:val="pt-BR"/>
        </w:rPr>
        <w:t xml:space="preserve"> </w:t>
      </w:r>
      <w:r w:rsidR="005135E5" w:rsidRPr="0038442F">
        <w:rPr>
          <w:rFonts w:ascii="Verdana" w:hAnsi="Verdana"/>
          <w:bCs/>
          <w:sz w:val="20"/>
          <w:szCs w:val="20"/>
          <w:lang w:val="pt-BR"/>
        </w:rPr>
        <w:t>pessoal</w:t>
      </w:r>
      <w:r w:rsidR="00536CB3" w:rsidRPr="0038442F">
        <w:rPr>
          <w:rFonts w:ascii="Verdana" w:hAnsi="Verdana"/>
          <w:bCs/>
          <w:sz w:val="20"/>
          <w:szCs w:val="20"/>
          <w:lang w:val="pt-BR"/>
        </w:rPr>
        <w:t xml:space="preserve">, </w:t>
      </w:r>
      <w:r w:rsidRPr="0038442F">
        <w:rPr>
          <w:rFonts w:ascii="Verdana" w:hAnsi="Verdana"/>
          <w:bCs/>
          <w:sz w:val="20"/>
          <w:szCs w:val="20"/>
          <w:lang w:val="pt-BR"/>
        </w:rPr>
        <w:t xml:space="preserve">dos </w:t>
      </w:r>
      <w:r w:rsidR="000A1AA8"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A85103" w:rsidRPr="0038442F">
        <w:rPr>
          <w:rFonts w:ascii="Verdana" w:hAnsi="Verdana"/>
          <w:bCs/>
          <w:sz w:val="20"/>
          <w:szCs w:val="20"/>
          <w:lang w:val="pt-BR"/>
        </w:rPr>
        <w:t xml:space="preserve">das </w:t>
      </w:r>
      <w:r w:rsidRPr="0038442F">
        <w:rPr>
          <w:rFonts w:ascii="Verdana" w:hAnsi="Verdana"/>
          <w:bCs/>
          <w:sz w:val="20"/>
          <w:szCs w:val="20"/>
          <w:lang w:val="pt-BR"/>
        </w:rPr>
        <w:t xml:space="preserve">crianças e </w:t>
      </w:r>
      <w:r w:rsidR="00A73BB8" w:rsidRPr="0038442F">
        <w:rPr>
          <w:rFonts w:ascii="Verdana" w:hAnsi="Verdana"/>
          <w:bCs/>
          <w:sz w:val="20"/>
          <w:szCs w:val="20"/>
          <w:lang w:val="pt-BR"/>
        </w:rPr>
        <w:t xml:space="preserve">do direito </w:t>
      </w:r>
      <w:r w:rsidRPr="0038442F">
        <w:rPr>
          <w:rFonts w:ascii="Verdana" w:hAnsi="Verdana"/>
          <w:bCs/>
          <w:sz w:val="20"/>
          <w:szCs w:val="20"/>
          <w:lang w:val="pt-BR"/>
        </w:rPr>
        <w:t xml:space="preserve">a </w:t>
      </w:r>
      <w:r w:rsidR="00536CB3" w:rsidRPr="0038442F">
        <w:rPr>
          <w:rFonts w:ascii="Verdana" w:hAnsi="Verdana"/>
          <w:bCs/>
          <w:sz w:val="20"/>
          <w:szCs w:val="20"/>
          <w:lang w:val="pt-BR"/>
        </w:rPr>
        <w:t>condi</w:t>
      </w:r>
      <w:r w:rsidR="000A1AA8" w:rsidRPr="0038442F">
        <w:rPr>
          <w:rFonts w:ascii="Verdana" w:hAnsi="Verdana"/>
          <w:bCs/>
          <w:sz w:val="20"/>
          <w:szCs w:val="20"/>
          <w:lang w:val="pt-BR"/>
        </w:rPr>
        <w:t>ções</w:t>
      </w:r>
      <w:r w:rsidR="00536CB3" w:rsidRPr="0038442F">
        <w:rPr>
          <w:rFonts w:ascii="Verdana" w:hAnsi="Verdana"/>
          <w:bCs/>
          <w:sz w:val="20"/>
          <w:szCs w:val="20"/>
          <w:lang w:val="pt-BR"/>
        </w:rPr>
        <w:t xml:space="preserve"> de </w:t>
      </w:r>
      <w:r w:rsidR="00C92762" w:rsidRPr="0038442F">
        <w:rPr>
          <w:rFonts w:ascii="Verdana" w:hAnsi="Verdana"/>
          <w:bCs/>
          <w:sz w:val="20"/>
          <w:szCs w:val="20"/>
          <w:lang w:val="pt-BR"/>
        </w:rPr>
        <w:t>trabalho</w:t>
      </w:r>
      <w:r w:rsidR="00407242" w:rsidRPr="0038442F">
        <w:rPr>
          <w:rFonts w:ascii="Verdana" w:hAnsi="Verdana"/>
          <w:bCs/>
          <w:sz w:val="20"/>
          <w:szCs w:val="20"/>
          <w:lang w:val="pt-BR"/>
        </w:rPr>
        <w:t xml:space="preserve"> </w:t>
      </w:r>
      <w:r w:rsidR="00E14AFC" w:rsidRPr="0038442F">
        <w:rPr>
          <w:rFonts w:ascii="Verdana" w:hAnsi="Verdana"/>
          <w:bCs/>
          <w:sz w:val="20"/>
          <w:szCs w:val="20"/>
          <w:lang w:val="pt-BR"/>
        </w:rPr>
        <w:t xml:space="preserve">equitativas </w:t>
      </w:r>
      <w:r w:rsidRPr="0038442F">
        <w:rPr>
          <w:rFonts w:ascii="Verdana" w:hAnsi="Verdana"/>
          <w:bCs/>
          <w:sz w:val="20"/>
          <w:szCs w:val="20"/>
          <w:lang w:val="pt-BR"/>
        </w:rPr>
        <w:t>e</w:t>
      </w:r>
      <w:r w:rsidR="00E14AFC" w:rsidRPr="0038442F">
        <w:rPr>
          <w:rFonts w:ascii="Verdana" w:hAnsi="Verdana"/>
          <w:bCs/>
          <w:sz w:val="20"/>
          <w:szCs w:val="20"/>
          <w:lang w:val="pt-BR"/>
        </w:rPr>
        <w:t xml:space="preserve"> </w:t>
      </w:r>
      <w:r w:rsidR="00751189" w:rsidRPr="0038442F">
        <w:rPr>
          <w:rFonts w:ascii="Verdana" w:hAnsi="Verdana"/>
          <w:bCs/>
          <w:sz w:val="20"/>
          <w:szCs w:val="20"/>
          <w:lang w:val="pt-BR"/>
        </w:rPr>
        <w:t>satisfatórias</w:t>
      </w:r>
      <w:r w:rsidR="00407242" w:rsidRPr="0038442F">
        <w:rPr>
          <w:rFonts w:ascii="Verdana" w:hAnsi="Verdana"/>
          <w:bCs/>
          <w:sz w:val="20"/>
          <w:szCs w:val="20"/>
          <w:lang w:val="pt-BR"/>
        </w:rPr>
        <w:t xml:space="preserve"> </w:t>
      </w:r>
      <w:r w:rsidR="00116B3F" w:rsidRPr="0038442F">
        <w:rPr>
          <w:rFonts w:ascii="Verdana" w:hAnsi="Verdana"/>
          <w:bCs/>
          <w:sz w:val="20"/>
          <w:szCs w:val="20"/>
          <w:lang w:val="pt-BR"/>
        </w:rPr>
        <w:t>(que garant</w:t>
      </w:r>
      <w:r w:rsidRPr="0038442F">
        <w:rPr>
          <w:rFonts w:ascii="Verdana" w:hAnsi="Verdana"/>
          <w:bCs/>
          <w:sz w:val="20"/>
          <w:szCs w:val="20"/>
          <w:lang w:val="pt-BR"/>
        </w:rPr>
        <w:t xml:space="preserve">am </w:t>
      </w:r>
      <w:r w:rsidR="00BF7A10" w:rsidRPr="0038442F">
        <w:rPr>
          <w:rFonts w:ascii="Verdana" w:hAnsi="Verdana"/>
          <w:bCs/>
          <w:sz w:val="20"/>
          <w:szCs w:val="20"/>
          <w:lang w:val="pt-BR"/>
        </w:rPr>
        <w:t xml:space="preserve">a </w:t>
      </w:r>
      <w:r w:rsidRPr="0038442F">
        <w:rPr>
          <w:rFonts w:ascii="Verdana" w:hAnsi="Verdana"/>
          <w:sz w:val="20"/>
          <w:szCs w:val="20"/>
          <w:lang w:val="pt-BR"/>
        </w:rPr>
        <w:t>segurança</w:t>
      </w:r>
      <w:r w:rsidR="00116B3F" w:rsidRPr="0038442F">
        <w:rPr>
          <w:rFonts w:ascii="Verdana" w:hAnsi="Verdana"/>
          <w:sz w:val="20"/>
          <w:szCs w:val="20"/>
          <w:lang w:val="pt-BR"/>
        </w:rPr>
        <w:t xml:space="preserve">, </w:t>
      </w:r>
      <w:r w:rsidRPr="0038442F">
        <w:rPr>
          <w:rFonts w:ascii="Verdana" w:hAnsi="Verdana"/>
          <w:sz w:val="20"/>
          <w:szCs w:val="20"/>
          <w:lang w:val="pt-BR"/>
        </w:rPr>
        <w:t xml:space="preserve">a saúde e a higiene </w:t>
      </w:r>
      <w:r w:rsidR="00751189" w:rsidRPr="0038442F">
        <w:rPr>
          <w:rFonts w:ascii="Verdana" w:hAnsi="Verdana"/>
          <w:sz w:val="20"/>
          <w:szCs w:val="20"/>
          <w:lang w:val="pt-BR"/>
        </w:rPr>
        <w:t xml:space="preserve">no </w:t>
      </w:r>
      <w:r w:rsidR="00C92762" w:rsidRPr="0038442F">
        <w:rPr>
          <w:rFonts w:ascii="Verdana" w:hAnsi="Verdana"/>
          <w:sz w:val="20"/>
          <w:szCs w:val="20"/>
          <w:lang w:val="pt-BR"/>
        </w:rPr>
        <w:t>trabalho</w:t>
      </w:r>
      <w:r w:rsidR="00116B3F" w:rsidRPr="0038442F">
        <w:rPr>
          <w:rFonts w:ascii="Verdana" w:hAnsi="Verdana"/>
          <w:bCs/>
          <w:sz w:val="20"/>
          <w:szCs w:val="20"/>
          <w:lang w:val="pt-BR"/>
        </w:rPr>
        <w:t>)</w:t>
      </w:r>
      <w:r w:rsidR="00536CB3" w:rsidRPr="0038442F">
        <w:rPr>
          <w:rFonts w:ascii="Verdana" w:hAnsi="Verdana"/>
          <w:bCs/>
          <w:sz w:val="20"/>
          <w:szCs w:val="20"/>
          <w:lang w:val="pt-BR"/>
        </w:rPr>
        <w:t xml:space="preserve"> </w:t>
      </w:r>
      <w:r w:rsidR="00A85103" w:rsidRPr="0038442F">
        <w:rPr>
          <w:rFonts w:ascii="Verdana" w:hAnsi="Verdana"/>
          <w:bCs/>
          <w:sz w:val="20"/>
          <w:szCs w:val="20"/>
          <w:lang w:val="pt-BR"/>
        </w:rPr>
        <w:t xml:space="preserve">se </w:t>
      </w:r>
      <w:r w:rsidRPr="0038442F">
        <w:rPr>
          <w:rFonts w:ascii="Verdana" w:hAnsi="Verdana"/>
          <w:bCs/>
          <w:sz w:val="20"/>
          <w:szCs w:val="20"/>
          <w:lang w:val="pt-BR"/>
        </w:rPr>
        <w:t>deveram às omissões</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o</w:t>
      </w:r>
      <w:r w:rsidRPr="0038442F">
        <w:rPr>
          <w:rFonts w:ascii="Verdana" w:hAnsi="Verdana"/>
          <w:bCs/>
          <w:sz w:val="20"/>
          <w:szCs w:val="20"/>
          <w:lang w:val="pt-BR"/>
        </w:rPr>
        <w:t>u</w:t>
      </w:r>
      <w:r w:rsidR="00536CB3" w:rsidRPr="0038442F">
        <w:rPr>
          <w:rFonts w:ascii="Verdana" w:hAnsi="Verdana"/>
          <w:bCs/>
          <w:sz w:val="20"/>
          <w:szCs w:val="20"/>
          <w:lang w:val="pt-BR"/>
        </w:rPr>
        <w:t xml:space="preserve"> ina</w:t>
      </w:r>
      <w:r w:rsidR="000A1AA8" w:rsidRPr="0038442F">
        <w:rPr>
          <w:rFonts w:ascii="Verdana" w:hAnsi="Verdana"/>
          <w:bCs/>
          <w:sz w:val="20"/>
          <w:szCs w:val="20"/>
          <w:lang w:val="pt-BR"/>
        </w:rPr>
        <w:t>ções</w:t>
      </w:r>
      <w:r w:rsidR="00536CB3" w:rsidRPr="0038442F">
        <w:rPr>
          <w:rFonts w:ascii="Verdana" w:hAnsi="Verdana"/>
          <w:bCs/>
          <w:sz w:val="20"/>
          <w:szCs w:val="20"/>
          <w:lang w:val="pt-BR"/>
        </w:rPr>
        <w:t xml:space="preserve"> estat</w:t>
      </w:r>
      <w:r w:rsidR="00C92762" w:rsidRPr="0038442F">
        <w:rPr>
          <w:rFonts w:ascii="Verdana" w:hAnsi="Verdana"/>
          <w:bCs/>
          <w:sz w:val="20"/>
          <w:szCs w:val="20"/>
          <w:lang w:val="pt-BR"/>
        </w:rPr>
        <w:t>ais</w:t>
      </w:r>
      <w:r w:rsidR="00A31E29" w:rsidRPr="0038442F">
        <w:rPr>
          <w:rFonts w:ascii="Verdana" w:hAnsi="Verdana"/>
          <w:bCs/>
          <w:sz w:val="20"/>
          <w:szCs w:val="20"/>
          <w:lang w:val="pt-BR"/>
        </w:rPr>
        <w:t>,</w:t>
      </w:r>
      <w:r w:rsidR="00536CB3" w:rsidRPr="0038442F">
        <w:rPr>
          <w:rStyle w:val="Refdenotaalpie"/>
          <w:rFonts w:ascii="Verdana" w:hAnsi="Verdana"/>
          <w:bCs/>
          <w:sz w:val="20"/>
          <w:szCs w:val="20"/>
          <w:lang w:val="pt-BR"/>
        </w:rPr>
        <w:footnoteReference w:id="10"/>
      </w:r>
      <w:r w:rsidR="00536CB3" w:rsidRPr="0038442F">
        <w:rPr>
          <w:rFonts w:ascii="Verdana" w:hAnsi="Verdana"/>
          <w:bCs/>
          <w:sz w:val="20"/>
          <w:szCs w:val="20"/>
          <w:lang w:val="pt-BR"/>
        </w:rPr>
        <w:t xml:space="preserve"> </w:t>
      </w:r>
      <w:r w:rsidR="00536CB3" w:rsidRPr="0038442F">
        <w:rPr>
          <w:rFonts w:ascii="Verdana" w:hAnsi="Verdana"/>
          <w:sz w:val="20"/>
          <w:szCs w:val="20"/>
          <w:lang w:val="pt-BR"/>
        </w:rPr>
        <w:t>que levar</w:t>
      </w:r>
      <w:r w:rsidRPr="0038442F">
        <w:rPr>
          <w:rFonts w:ascii="Verdana" w:hAnsi="Verdana"/>
          <w:sz w:val="20"/>
          <w:szCs w:val="20"/>
          <w:lang w:val="pt-BR"/>
        </w:rPr>
        <w:t xml:space="preserve">am </w:t>
      </w:r>
      <w:r w:rsidR="00C92762" w:rsidRPr="0038442F">
        <w:rPr>
          <w:rFonts w:ascii="Verdana" w:hAnsi="Verdana"/>
          <w:sz w:val="20"/>
          <w:szCs w:val="20"/>
          <w:lang w:val="pt-BR"/>
        </w:rPr>
        <w:t xml:space="preserve">à explosão da </w:t>
      </w:r>
      <w:r w:rsidR="00536CB3" w:rsidRPr="0038442F">
        <w:rPr>
          <w:rFonts w:ascii="Verdana" w:hAnsi="Verdana"/>
          <w:sz w:val="20"/>
          <w:szCs w:val="20"/>
          <w:lang w:val="pt-BR"/>
        </w:rPr>
        <w:t xml:space="preserve">fábrica de </w:t>
      </w:r>
      <w:r w:rsidRPr="0038442F">
        <w:rPr>
          <w:rFonts w:ascii="Verdana" w:hAnsi="Verdana"/>
          <w:sz w:val="20"/>
          <w:szCs w:val="20"/>
          <w:lang w:val="pt-BR"/>
        </w:rPr>
        <w:t>fogos</w:t>
      </w:r>
      <w:r w:rsidR="00407242" w:rsidRPr="0038442F">
        <w:rPr>
          <w:rFonts w:ascii="Verdana" w:hAnsi="Verdana"/>
          <w:sz w:val="20"/>
          <w:szCs w:val="20"/>
          <w:lang w:val="pt-BR"/>
        </w:rPr>
        <w:t xml:space="preserve"> </w:t>
      </w:r>
      <w:r w:rsidR="00536CB3" w:rsidRPr="0038442F">
        <w:rPr>
          <w:rFonts w:ascii="Verdana" w:hAnsi="Verdana"/>
          <w:sz w:val="20"/>
          <w:szCs w:val="20"/>
          <w:lang w:val="pt-BR"/>
        </w:rPr>
        <w:t>de Santo Antônio de Jesus</w:t>
      </w:r>
      <w:r w:rsidRPr="0038442F">
        <w:rPr>
          <w:rFonts w:ascii="Verdana" w:hAnsi="Verdana"/>
          <w:sz w:val="20"/>
          <w:szCs w:val="20"/>
          <w:lang w:val="pt-BR"/>
        </w:rPr>
        <w:t xml:space="preserve">, em que perderam a </w:t>
      </w:r>
      <w:r w:rsidR="00536CB3" w:rsidRPr="0038442F">
        <w:rPr>
          <w:rFonts w:ascii="Verdana" w:hAnsi="Verdana"/>
          <w:sz w:val="20"/>
          <w:szCs w:val="20"/>
          <w:lang w:val="pt-BR"/>
        </w:rPr>
        <w:t xml:space="preserve">vida 60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536CB3" w:rsidRPr="0038442F">
        <w:rPr>
          <w:rFonts w:ascii="Verdana" w:hAnsi="Verdana"/>
          <w:sz w:val="20"/>
          <w:szCs w:val="20"/>
          <w:lang w:val="pt-BR"/>
        </w:rPr>
        <w:t>(</w:t>
      </w:r>
      <w:r w:rsidR="00C92762" w:rsidRPr="0038442F">
        <w:rPr>
          <w:rFonts w:ascii="Verdana" w:hAnsi="Verdana"/>
          <w:sz w:val="20"/>
          <w:szCs w:val="20"/>
          <w:lang w:val="pt-BR"/>
        </w:rPr>
        <w:t>mulheres</w:t>
      </w:r>
      <w:r w:rsidRPr="0038442F">
        <w:rPr>
          <w:rFonts w:ascii="Verdana" w:hAnsi="Verdana"/>
          <w:sz w:val="20"/>
          <w:szCs w:val="20"/>
          <w:lang w:val="pt-BR"/>
        </w:rPr>
        <w:t xml:space="preserve"> e crianças</w:t>
      </w:r>
      <w:r w:rsidR="00536CB3" w:rsidRPr="0038442F">
        <w:rPr>
          <w:rFonts w:ascii="Verdana" w:hAnsi="Verdana"/>
          <w:sz w:val="20"/>
          <w:szCs w:val="20"/>
          <w:lang w:val="pt-BR"/>
        </w:rPr>
        <w:t xml:space="preserve">) </w:t>
      </w:r>
      <w:r w:rsidRPr="0038442F">
        <w:rPr>
          <w:rFonts w:ascii="Verdana" w:hAnsi="Verdana"/>
          <w:sz w:val="20"/>
          <w:szCs w:val="20"/>
          <w:lang w:val="pt-BR"/>
        </w:rPr>
        <w:t>e</w:t>
      </w:r>
      <w:r w:rsidR="00536CB3" w:rsidRPr="0038442F">
        <w:rPr>
          <w:rFonts w:ascii="Verdana" w:hAnsi="Verdana"/>
          <w:sz w:val="20"/>
          <w:szCs w:val="20"/>
          <w:lang w:val="pt-BR"/>
        </w:rPr>
        <w:t xml:space="preserve"> </w:t>
      </w:r>
      <w:r w:rsidRPr="0038442F">
        <w:rPr>
          <w:rFonts w:ascii="Verdana" w:hAnsi="Verdana"/>
          <w:sz w:val="20"/>
          <w:szCs w:val="20"/>
          <w:lang w:val="pt-BR"/>
        </w:rPr>
        <w:t xml:space="preserve">da qual </w:t>
      </w:r>
      <w:r w:rsidR="00EB2730">
        <w:rPr>
          <w:rFonts w:ascii="Verdana" w:hAnsi="Verdana"/>
          <w:sz w:val="20"/>
          <w:szCs w:val="20"/>
          <w:lang w:val="pt-BR"/>
        </w:rPr>
        <w:t>6</w:t>
      </w:r>
      <w:r w:rsidRPr="0038442F">
        <w:rPr>
          <w:rFonts w:ascii="Verdana" w:hAnsi="Verdana"/>
          <w:sz w:val="20"/>
          <w:szCs w:val="20"/>
          <w:lang w:val="pt-BR"/>
        </w:rPr>
        <w:t xml:space="preserve"> pessoas sobreviveram com lesões</w:t>
      </w:r>
      <w:r w:rsidR="00536CB3" w:rsidRPr="0038442F">
        <w:rPr>
          <w:rFonts w:ascii="Verdana" w:hAnsi="Verdana"/>
          <w:sz w:val="20"/>
          <w:szCs w:val="20"/>
          <w:lang w:val="pt-BR"/>
        </w:rPr>
        <w:t xml:space="preserve">. </w:t>
      </w:r>
      <w:r w:rsidRPr="0038442F">
        <w:rPr>
          <w:rFonts w:ascii="Verdana" w:hAnsi="Verdana"/>
          <w:sz w:val="20"/>
          <w:szCs w:val="20"/>
          <w:lang w:val="pt-BR"/>
        </w:rPr>
        <w:t>A</w:t>
      </w:r>
      <w:r w:rsidR="00536CB3" w:rsidRPr="0038442F">
        <w:rPr>
          <w:rFonts w:ascii="Verdana" w:hAnsi="Verdana"/>
          <w:bCs/>
          <w:sz w:val="20"/>
          <w:szCs w:val="20"/>
          <w:lang w:val="pt-BR"/>
        </w:rPr>
        <w:t xml:space="preserve"> </w:t>
      </w:r>
      <w:r w:rsidR="00C92762"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 xml:space="preserve">principal </w:t>
      </w:r>
      <w:r w:rsidR="006445EE" w:rsidRPr="0038442F">
        <w:rPr>
          <w:rFonts w:ascii="Verdana" w:hAnsi="Verdana"/>
          <w:bCs/>
          <w:sz w:val="20"/>
          <w:szCs w:val="20"/>
          <w:lang w:val="pt-BR"/>
        </w:rPr>
        <w:t>analisada</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neste caso</w:t>
      </w:r>
      <w:r w:rsidR="00536CB3" w:rsidRPr="0038442F">
        <w:rPr>
          <w:rFonts w:ascii="Verdana" w:hAnsi="Verdana"/>
          <w:b/>
          <w:sz w:val="20"/>
          <w:szCs w:val="20"/>
          <w:lang w:val="pt-BR"/>
        </w:rPr>
        <w:t xml:space="preserve"> </w:t>
      </w:r>
      <w:r w:rsidR="00536CB3" w:rsidRPr="0038442F">
        <w:rPr>
          <w:rFonts w:ascii="Verdana" w:hAnsi="Verdana"/>
          <w:bCs/>
          <w:sz w:val="20"/>
          <w:szCs w:val="20"/>
          <w:lang w:val="pt-BR"/>
        </w:rPr>
        <w:t xml:space="preserve">era a </w:t>
      </w:r>
      <w:r w:rsidR="00F5040C" w:rsidRPr="0038442F">
        <w:rPr>
          <w:rFonts w:ascii="Verdana" w:hAnsi="Verdana"/>
          <w:bCs/>
          <w:sz w:val="20"/>
          <w:szCs w:val="20"/>
          <w:lang w:val="pt-BR"/>
        </w:rPr>
        <w:t xml:space="preserve">de </w:t>
      </w:r>
      <w:r w:rsidR="00C92762" w:rsidRPr="0038442F">
        <w:rPr>
          <w:rFonts w:ascii="Verdana" w:hAnsi="Verdana"/>
          <w:bCs/>
          <w:sz w:val="20"/>
          <w:szCs w:val="20"/>
          <w:lang w:val="pt-BR"/>
        </w:rPr>
        <w:t>adotar</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 xml:space="preserve">“as medidas </w:t>
      </w:r>
      <w:r w:rsidR="00C92762" w:rsidRPr="0038442F">
        <w:rPr>
          <w:rFonts w:ascii="Verdana" w:hAnsi="Verdana"/>
          <w:bCs/>
          <w:sz w:val="20"/>
          <w:szCs w:val="20"/>
          <w:lang w:val="pt-BR"/>
        </w:rPr>
        <w:t>necessárias</w:t>
      </w:r>
      <w:r w:rsidR="00536CB3" w:rsidRPr="0038442F">
        <w:rPr>
          <w:rFonts w:ascii="Verdana" w:hAnsi="Verdana"/>
          <w:bCs/>
          <w:sz w:val="20"/>
          <w:szCs w:val="20"/>
          <w:lang w:val="pt-BR"/>
        </w:rPr>
        <w:t>” para “prevenir” eventu</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viola</w:t>
      </w:r>
      <w:r w:rsidR="000A1AA8" w:rsidRPr="0038442F">
        <w:rPr>
          <w:rFonts w:ascii="Verdana" w:hAnsi="Verdana"/>
          <w:bCs/>
          <w:sz w:val="20"/>
          <w:szCs w:val="20"/>
          <w:lang w:val="pt-BR"/>
        </w:rPr>
        <w:t>ções</w:t>
      </w:r>
      <w:r w:rsidR="00536CB3" w:rsidRPr="0038442F">
        <w:rPr>
          <w:rFonts w:ascii="Verdana" w:hAnsi="Verdana"/>
          <w:bCs/>
          <w:sz w:val="20"/>
          <w:szCs w:val="20"/>
          <w:lang w:val="pt-BR"/>
        </w:rPr>
        <w:t xml:space="preserve"> </w:t>
      </w:r>
      <w:r w:rsidRPr="0038442F">
        <w:rPr>
          <w:rFonts w:ascii="Verdana" w:hAnsi="Verdana"/>
          <w:bCs/>
          <w:sz w:val="20"/>
          <w:szCs w:val="20"/>
          <w:lang w:val="pt-BR"/>
        </w:rPr>
        <w:t xml:space="preserve">dos </w:t>
      </w:r>
      <w:r w:rsidR="00C92762" w:rsidRPr="0038442F">
        <w:rPr>
          <w:rFonts w:ascii="Verdana" w:hAnsi="Verdana"/>
          <w:bCs/>
          <w:sz w:val="20"/>
          <w:szCs w:val="20"/>
          <w:lang w:val="pt-BR"/>
        </w:rPr>
        <w:t>direitos das mulheres</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trabalhadoras</w:t>
      </w:r>
      <w:r w:rsidR="00407242" w:rsidRPr="0038442F">
        <w:rPr>
          <w:rFonts w:ascii="Verdana" w:hAnsi="Verdana"/>
          <w:bCs/>
          <w:sz w:val="20"/>
          <w:szCs w:val="20"/>
          <w:lang w:val="pt-BR"/>
        </w:rPr>
        <w:t xml:space="preserve"> </w:t>
      </w:r>
      <w:r w:rsidRPr="0038442F">
        <w:rPr>
          <w:rFonts w:ascii="Verdana" w:hAnsi="Verdana"/>
          <w:bCs/>
          <w:sz w:val="20"/>
          <w:szCs w:val="20"/>
          <w:lang w:val="pt-BR"/>
        </w:rPr>
        <w:t>e das crianças</w:t>
      </w:r>
      <w:r w:rsidR="00A73BB8" w:rsidRPr="0038442F">
        <w:rPr>
          <w:rFonts w:ascii="Verdana" w:hAnsi="Verdana"/>
          <w:bCs/>
          <w:sz w:val="20"/>
          <w:szCs w:val="20"/>
          <w:lang w:val="pt-BR"/>
        </w:rPr>
        <w:t xml:space="preserve">, e </w:t>
      </w:r>
      <w:r w:rsidRPr="0038442F">
        <w:rPr>
          <w:rFonts w:ascii="Verdana" w:hAnsi="Verdana"/>
          <w:bCs/>
          <w:sz w:val="20"/>
          <w:szCs w:val="20"/>
          <w:lang w:val="pt-BR"/>
        </w:rPr>
        <w:t xml:space="preserve">a </w:t>
      </w:r>
      <w:r w:rsidR="00536CB3" w:rsidRPr="0038442F">
        <w:rPr>
          <w:rFonts w:ascii="Verdana" w:hAnsi="Verdana"/>
          <w:bCs/>
          <w:sz w:val="20"/>
          <w:szCs w:val="20"/>
          <w:lang w:val="pt-BR"/>
        </w:rPr>
        <w:t>forma id</w:t>
      </w:r>
      <w:r w:rsidRPr="0038442F">
        <w:rPr>
          <w:rFonts w:ascii="Verdana" w:hAnsi="Verdana"/>
          <w:bCs/>
          <w:sz w:val="20"/>
          <w:szCs w:val="20"/>
          <w:lang w:val="pt-BR"/>
        </w:rPr>
        <w:t>ô</w:t>
      </w:r>
      <w:r w:rsidR="00536CB3" w:rsidRPr="0038442F">
        <w:rPr>
          <w:rFonts w:ascii="Verdana" w:hAnsi="Verdana"/>
          <w:bCs/>
          <w:sz w:val="20"/>
          <w:szCs w:val="20"/>
          <w:lang w:val="pt-BR"/>
        </w:rPr>
        <w:t xml:space="preserve">nea </w:t>
      </w:r>
      <w:r w:rsidR="00A73BB8" w:rsidRPr="0038442F">
        <w:rPr>
          <w:rFonts w:ascii="Verdana" w:hAnsi="Verdana"/>
          <w:bCs/>
          <w:sz w:val="20"/>
          <w:szCs w:val="20"/>
          <w:lang w:val="pt-BR"/>
        </w:rPr>
        <w:t>de</w:t>
      </w:r>
      <w:r w:rsidR="00536CB3" w:rsidRPr="0038442F">
        <w:rPr>
          <w:rFonts w:ascii="Verdana" w:hAnsi="Verdana"/>
          <w:bCs/>
          <w:sz w:val="20"/>
          <w:szCs w:val="20"/>
          <w:lang w:val="pt-BR"/>
        </w:rPr>
        <w:t xml:space="preserve"> </w:t>
      </w:r>
      <w:r w:rsidR="009612FB" w:rsidRPr="0038442F">
        <w:rPr>
          <w:rFonts w:ascii="Verdana" w:hAnsi="Verdana"/>
          <w:bCs/>
          <w:sz w:val="20"/>
          <w:szCs w:val="20"/>
          <w:lang w:val="pt-BR"/>
        </w:rPr>
        <w:t>garantir</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e</w:t>
      </w:r>
      <w:r w:rsidRPr="0038442F">
        <w:rPr>
          <w:rFonts w:ascii="Verdana" w:hAnsi="Verdana"/>
          <w:bCs/>
          <w:sz w:val="20"/>
          <w:szCs w:val="20"/>
          <w:lang w:val="pt-BR"/>
        </w:rPr>
        <w:t>s</w:t>
      </w:r>
      <w:r w:rsidR="00536CB3" w:rsidRPr="0038442F">
        <w:rPr>
          <w:rFonts w:ascii="Verdana" w:hAnsi="Verdana"/>
          <w:bCs/>
          <w:sz w:val="20"/>
          <w:szCs w:val="20"/>
          <w:lang w:val="pt-BR"/>
        </w:rPr>
        <w:t>sa preven</w:t>
      </w:r>
      <w:r w:rsidR="000A1AA8" w:rsidRPr="0038442F">
        <w:rPr>
          <w:rFonts w:ascii="Verdana" w:hAnsi="Verdana"/>
          <w:bCs/>
          <w:sz w:val="20"/>
          <w:szCs w:val="20"/>
          <w:lang w:val="pt-BR"/>
        </w:rPr>
        <w:t>ção</w:t>
      </w:r>
      <w:r w:rsidR="00536CB3" w:rsidRPr="0038442F">
        <w:rPr>
          <w:rFonts w:ascii="Verdana" w:hAnsi="Verdana"/>
          <w:bCs/>
          <w:sz w:val="20"/>
          <w:szCs w:val="20"/>
          <w:lang w:val="pt-BR"/>
        </w:rPr>
        <w:t xml:space="preserve"> era “a fiscaliza</w:t>
      </w:r>
      <w:r w:rsidR="000A1AA8" w:rsidRPr="0038442F">
        <w:rPr>
          <w:rFonts w:ascii="Verdana" w:hAnsi="Verdana"/>
          <w:bCs/>
          <w:sz w:val="20"/>
          <w:szCs w:val="20"/>
          <w:lang w:val="pt-BR"/>
        </w:rPr>
        <w:t>ção</w:t>
      </w:r>
      <w:r w:rsidR="00536CB3" w:rsidRPr="0038442F">
        <w:rPr>
          <w:rFonts w:ascii="Verdana" w:hAnsi="Verdana"/>
          <w:bCs/>
          <w:sz w:val="20"/>
          <w:szCs w:val="20"/>
          <w:lang w:val="pt-BR"/>
        </w:rPr>
        <w:t>”</w:t>
      </w:r>
      <w:r w:rsidR="00A73BB8" w:rsidRPr="0038442F">
        <w:rPr>
          <w:rFonts w:ascii="Verdana" w:hAnsi="Verdana"/>
          <w:bCs/>
          <w:sz w:val="20"/>
          <w:szCs w:val="20"/>
          <w:lang w:val="pt-BR"/>
        </w:rPr>
        <w:t xml:space="preserve">, </w:t>
      </w:r>
      <w:r w:rsidR="00C92762"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que inclusive</w:t>
      </w:r>
      <w:r w:rsidR="006836EC" w:rsidRPr="0038442F">
        <w:rPr>
          <w:rFonts w:ascii="Verdana" w:hAnsi="Verdana"/>
          <w:bCs/>
          <w:sz w:val="20"/>
          <w:szCs w:val="20"/>
          <w:lang w:val="pt-BR"/>
        </w:rPr>
        <w:t xml:space="preserve"> </w:t>
      </w:r>
      <w:r w:rsidRPr="0038442F">
        <w:rPr>
          <w:rFonts w:ascii="Verdana" w:hAnsi="Verdana"/>
          <w:bCs/>
          <w:sz w:val="20"/>
          <w:szCs w:val="20"/>
          <w:lang w:val="pt-BR"/>
        </w:rPr>
        <w:t>estava</w:t>
      </w:r>
      <w:r w:rsidR="00407242" w:rsidRPr="0038442F">
        <w:rPr>
          <w:rFonts w:ascii="Verdana" w:hAnsi="Verdana"/>
          <w:bCs/>
          <w:sz w:val="20"/>
          <w:szCs w:val="20"/>
          <w:lang w:val="pt-BR"/>
        </w:rPr>
        <w:t xml:space="preserve"> </w:t>
      </w:r>
      <w:r w:rsidRPr="0038442F">
        <w:rPr>
          <w:rFonts w:ascii="Verdana" w:hAnsi="Verdana"/>
          <w:bCs/>
          <w:sz w:val="20"/>
          <w:szCs w:val="20"/>
          <w:lang w:val="pt-BR"/>
        </w:rPr>
        <w:t>estabelecida</w:t>
      </w:r>
      <w:r w:rsidR="00407242" w:rsidRPr="0038442F">
        <w:rPr>
          <w:rFonts w:ascii="Verdana" w:hAnsi="Verdana"/>
          <w:bCs/>
          <w:sz w:val="20"/>
          <w:szCs w:val="20"/>
          <w:lang w:val="pt-BR"/>
        </w:rPr>
        <w:t xml:space="preserve"> </w:t>
      </w:r>
      <w:r w:rsidRPr="0038442F">
        <w:rPr>
          <w:rFonts w:ascii="Verdana" w:hAnsi="Verdana"/>
          <w:bCs/>
          <w:sz w:val="20"/>
          <w:szCs w:val="20"/>
          <w:lang w:val="pt-BR"/>
        </w:rPr>
        <w:t>na</w:t>
      </w:r>
      <w:r w:rsidR="000A1AA8" w:rsidRPr="0038442F">
        <w:rPr>
          <w:rFonts w:ascii="Verdana" w:hAnsi="Verdana"/>
          <w:bCs/>
          <w:sz w:val="20"/>
          <w:szCs w:val="20"/>
          <w:lang w:val="pt-BR"/>
        </w:rPr>
        <w:t xml:space="preserve"> </w:t>
      </w:r>
      <w:r w:rsidR="00EB2730">
        <w:rPr>
          <w:rFonts w:ascii="Verdana" w:hAnsi="Verdana"/>
          <w:bCs/>
          <w:sz w:val="20"/>
          <w:szCs w:val="20"/>
          <w:lang w:val="pt-BR"/>
        </w:rPr>
        <w:t>própria</w:t>
      </w:r>
      <w:r w:rsidR="00EB2730" w:rsidRPr="0038442F">
        <w:rPr>
          <w:rFonts w:ascii="Verdana" w:hAnsi="Verdana"/>
          <w:bCs/>
          <w:sz w:val="20"/>
          <w:szCs w:val="20"/>
          <w:lang w:val="pt-BR"/>
        </w:rPr>
        <w:t xml:space="preserve"> </w:t>
      </w:r>
      <w:r w:rsidR="00536CB3" w:rsidRPr="0038442F">
        <w:rPr>
          <w:rFonts w:ascii="Verdana" w:hAnsi="Verdana"/>
          <w:bCs/>
          <w:sz w:val="20"/>
          <w:szCs w:val="20"/>
          <w:lang w:val="pt-BR"/>
        </w:rPr>
        <w:t>legisla</w:t>
      </w:r>
      <w:r w:rsidR="000A1AA8" w:rsidRPr="0038442F">
        <w:rPr>
          <w:rFonts w:ascii="Verdana" w:hAnsi="Verdana"/>
          <w:bCs/>
          <w:sz w:val="20"/>
          <w:szCs w:val="20"/>
          <w:lang w:val="pt-BR"/>
        </w:rPr>
        <w:t>ção</w:t>
      </w:r>
      <w:r w:rsidR="00536CB3" w:rsidRPr="0038442F">
        <w:rPr>
          <w:rFonts w:ascii="Verdana" w:hAnsi="Verdana"/>
          <w:bCs/>
          <w:sz w:val="20"/>
          <w:szCs w:val="20"/>
          <w:lang w:val="pt-BR"/>
        </w:rPr>
        <w:t xml:space="preserve"> nacional. </w:t>
      </w:r>
      <w:r w:rsidRPr="0038442F">
        <w:rPr>
          <w:rFonts w:ascii="Verdana" w:hAnsi="Verdana"/>
          <w:bCs/>
          <w:sz w:val="20"/>
          <w:szCs w:val="20"/>
          <w:lang w:val="pt-BR"/>
        </w:rPr>
        <w:t>A</w:t>
      </w:r>
      <w:r w:rsidR="00C06D34" w:rsidRPr="0038442F">
        <w:rPr>
          <w:rFonts w:ascii="Verdana" w:hAnsi="Verdana"/>
          <w:bCs/>
          <w:sz w:val="20"/>
          <w:szCs w:val="20"/>
          <w:lang w:val="pt-BR"/>
        </w:rPr>
        <w:t xml:space="preserve"> </w:t>
      </w:r>
      <w:r w:rsidR="00C92762"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de fiscalizar o</w:t>
      </w:r>
      <w:r w:rsidRPr="0038442F">
        <w:rPr>
          <w:rFonts w:ascii="Verdana" w:hAnsi="Verdana"/>
          <w:bCs/>
          <w:sz w:val="20"/>
          <w:szCs w:val="20"/>
          <w:lang w:val="pt-BR"/>
        </w:rPr>
        <w:t>u</w:t>
      </w:r>
      <w:r w:rsidR="00536CB3" w:rsidRPr="0038442F">
        <w:rPr>
          <w:rFonts w:ascii="Verdana" w:hAnsi="Verdana"/>
          <w:bCs/>
          <w:sz w:val="20"/>
          <w:szCs w:val="20"/>
          <w:lang w:val="pt-BR"/>
        </w:rPr>
        <w:t xml:space="preserve"> </w:t>
      </w:r>
      <w:r w:rsidR="0059451E" w:rsidRPr="0038442F">
        <w:rPr>
          <w:rFonts w:ascii="Verdana" w:hAnsi="Verdana"/>
          <w:bCs/>
          <w:sz w:val="20"/>
          <w:szCs w:val="20"/>
          <w:lang w:val="pt-BR"/>
        </w:rPr>
        <w:t>supervisionar</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(o</w:t>
      </w:r>
      <w:r w:rsidRPr="0038442F">
        <w:rPr>
          <w:rFonts w:ascii="Verdana" w:hAnsi="Verdana"/>
          <w:bCs/>
          <w:sz w:val="20"/>
          <w:szCs w:val="20"/>
          <w:lang w:val="pt-BR"/>
        </w:rPr>
        <w:t>u</w:t>
      </w:r>
      <w:r w:rsidR="00536CB3" w:rsidRPr="0038442F">
        <w:rPr>
          <w:rFonts w:ascii="Verdana" w:hAnsi="Verdana"/>
          <w:bCs/>
          <w:sz w:val="20"/>
          <w:szCs w:val="20"/>
          <w:lang w:val="pt-BR"/>
        </w:rPr>
        <w:t xml:space="preserve"> de “inspecionar”</w:t>
      </w:r>
      <w:r w:rsidR="006836EC" w:rsidRPr="0038442F">
        <w:rPr>
          <w:rFonts w:ascii="Verdana" w:hAnsi="Verdana"/>
          <w:bCs/>
          <w:sz w:val="20"/>
          <w:szCs w:val="20"/>
          <w:lang w:val="pt-BR"/>
        </w:rPr>
        <w:t>, como se denomina e</w:t>
      </w:r>
      <w:r w:rsidRPr="0038442F">
        <w:rPr>
          <w:rFonts w:ascii="Verdana" w:hAnsi="Verdana"/>
          <w:bCs/>
          <w:sz w:val="20"/>
          <w:szCs w:val="20"/>
          <w:lang w:val="pt-BR"/>
        </w:rPr>
        <w:t>m</w:t>
      </w:r>
      <w:r w:rsidR="006836EC" w:rsidRPr="0038442F">
        <w:rPr>
          <w:rFonts w:ascii="Verdana" w:hAnsi="Verdana"/>
          <w:bCs/>
          <w:sz w:val="20"/>
          <w:szCs w:val="20"/>
          <w:lang w:val="pt-BR"/>
        </w:rPr>
        <w:t xml:space="preserve"> </w:t>
      </w:r>
      <w:r w:rsidR="00C92762" w:rsidRPr="0038442F">
        <w:rPr>
          <w:rFonts w:ascii="Verdana" w:hAnsi="Verdana"/>
          <w:bCs/>
          <w:sz w:val="20"/>
          <w:szCs w:val="20"/>
          <w:lang w:val="pt-BR"/>
        </w:rPr>
        <w:t>algumas</w:t>
      </w:r>
      <w:r w:rsidR="00407242" w:rsidRPr="0038442F">
        <w:rPr>
          <w:rFonts w:ascii="Verdana" w:hAnsi="Verdana"/>
          <w:bCs/>
          <w:sz w:val="20"/>
          <w:szCs w:val="20"/>
          <w:lang w:val="pt-BR"/>
        </w:rPr>
        <w:t xml:space="preserve"> </w:t>
      </w:r>
      <w:r w:rsidR="006836EC" w:rsidRPr="0038442F">
        <w:rPr>
          <w:rFonts w:ascii="Verdana" w:hAnsi="Verdana"/>
          <w:bCs/>
          <w:sz w:val="20"/>
          <w:szCs w:val="20"/>
          <w:lang w:val="pt-BR"/>
        </w:rPr>
        <w:t>legisla</w:t>
      </w:r>
      <w:r w:rsidR="000A1AA8" w:rsidRPr="0038442F">
        <w:rPr>
          <w:rFonts w:ascii="Verdana" w:hAnsi="Verdana"/>
          <w:bCs/>
          <w:sz w:val="20"/>
          <w:szCs w:val="20"/>
          <w:lang w:val="pt-BR"/>
        </w:rPr>
        <w:t>ções</w:t>
      </w:r>
      <w:r w:rsidR="006836EC" w:rsidRPr="0038442F">
        <w:rPr>
          <w:rFonts w:ascii="Verdana" w:hAnsi="Verdana"/>
          <w:bCs/>
          <w:sz w:val="20"/>
          <w:szCs w:val="20"/>
          <w:lang w:val="pt-BR"/>
        </w:rPr>
        <w:t xml:space="preserve"> nacion</w:t>
      </w:r>
      <w:r w:rsidR="00C92762" w:rsidRPr="0038442F">
        <w:rPr>
          <w:rFonts w:ascii="Verdana" w:hAnsi="Verdana"/>
          <w:bCs/>
          <w:sz w:val="20"/>
          <w:szCs w:val="20"/>
          <w:lang w:val="pt-BR"/>
        </w:rPr>
        <w:t>ais</w:t>
      </w:r>
      <w:r w:rsidR="00536CB3" w:rsidRPr="0038442F">
        <w:rPr>
          <w:rFonts w:ascii="Verdana" w:hAnsi="Verdana"/>
          <w:bCs/>
          <w:sz w:val="20"/>
          <w:szCs w:val="20"/>
          <w:lang w:val="pt-BR"/>
        </w:rPr>
        <w:t xml:space="preserve">) era de fundamental </w:t>
      </w:r>
      <w:r w:rsidR="00246A73" w:rsidRPr="0038442F">
        <w:rPr>
          <w:rFonts w:ascii="Verdana" w:hAnsi="Verdana"/>
          <w:bCs/>
          <w:sz w:val="20"/>
          <w:szCs w:val="20"/>
          <w:lang w:val="pt-BR"/>
        </w:rPr>
        <w:t>importância</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 xml:space="preserve">para </w:t>
      </w:r>
      <w:r w:rsidR="009612FB" w:rsidRPr="0038442F">
        <w:rPr>
          <w:rFonts w:ascii="Verdana" w:hAnsi="Verdana"/>
          <w:bCs/>
          <w:sz w:val="20"/>
          <w:szCs w:val="20"/>
          <w:lang w:val="pt-BR"/>
        </w:rPr>
        <w:t>garantir</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os direitos </w:t>
      </w:r>
      <w:r w:rsidR="00536CB3" w:rsidRPr="0038442F">
        <w:rPr>
          <w:rFonts w:ascii="Verdana" w:hAnsi="Verdana"/>
          <w:bCs/>
          <w:sz w:val="20"/>
          <w:szCs w:val="20"/>
          <w:lang w:val="pt-BR"/>
        </w:rPr>
        <w:t>que neste caso f</w:t>
      </w:r>
      <w:r w:rsidRPr="0038442F">
        <w:rPr>
          <w:rFonts w:ascii="Verdana" w:hAnsi="Verdana"/>
          <w:bCs/>
          <w:sz w:val="20"/>
          <w:szCs w:val="20"/>
          <w:lang w:val="pt-BR"/>
        </w:rPr>
        <w:t xml:space="preserve">oram </w:t>
      </w:r>
      <w:r w:rsidR="00536CB3" w:rsidRPr="0038442F">
        <w:rPr>
          <w:rFonts w:ascii="Verdana" w:hAnsi="Verdana"/>
          <w:bCs/>
          <w:sz w:val="20"/>
          <w:szCs w:val="20"/>
          <w:lang w:val="pt-BR"/>
        </w:rPr>
        <w:t>anali</w:t>
      </w:r>
      <w:r w:rsidRPr="0038442F">
        <w:rPr>
          <w:rFonts w:ascii="Verdana" w:hAnsi="Verdana"/>
          <w:bCs/>
          <w:sz w:val="20"/>
          <w:szCs w:val="20"/>
          <w:lang w:val="pt-BR"/>
        </w:rPr>
        <w:t>s</w:t>
      </w:r>
      <w:r w:rsidR="00536CB3" w:rsidRPr="0038442F">
        <w:rPr>
          <w:rFonts w:ascii="Verdana" w:hAnsi="Verdana"/>
          <w:bCs/>
          <w:sz w:val="20"/>
          <w:szCs w:val="20"/>
          <w:lang w:val="pt-BR"/>
        </w:rPr>
        <w:t>ados</w:t>
      </w:r>
      <w:r w:rsidRPr="0038442F">
        <w:rPr>
          <w:rFonts w:ascii="Verdana" w:hAnsi="Verdana"/>
          <w:bCs/>
          <w:sz w:val="20"/>
          <w:szCs w:val="20"/>
          <w:lang w:val="pt-BR"/>
        </w:rPr>
        <w:t>.</w:t>
      </w:r>
      <w:r w:rsidR="00536CB3" w:rsidRPr="0038442F">
        <w:rPr>
          <w:rStyle w:val="Refdenotaalpie"/>
          <w:rFonts w:ascii="Verdana" w:hAnsi="Verdana"/>
          <w:bCs/>
          <w:sz w:val="20"/>
          <w:szCs w:val="20"/>
          <w:lang w:val="pt-BR"/>
        </w:rPr>
        <w:footnoteReference w:id="11"/>
      </w:r>
    </w:p>
    <w:p w14:paraId="4A6AF397" w14:textId="77777777" w:rsidR="00536CB3" w:rsidRPr="0038442F" w:rsidRDefault="00536CB3" w:rsidP="00A857CB">
      <w:pPr>
        <w:pStyle w:val="Prrafodelista"/>
        <w:spacing w:line="240" w:lineRule="auto"/>
        <w:ind w:left="0"/>
        <w:jc w:val="both"/>
        <w:rPr>
          <w:rFonts w:ascii="Verdana" w:hAnsi="Verdana"/>
          <w:b/>
          <w:sz w:val="20"/>
          <w:szCs w:val="20"/>
          <w:lang w:val="pt-BR"/>
        </w:rPr>
      </w:pPr>
    </w:p>
    <w:p w14:paraId="040FBDA7" w14:textId="6273C5DE" w:rsidR="005E22C1" w:rsidRPr="0038442F" w:rsidRDefault="008806F8"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 xml:space="preserve">Na </w:t>
      </w:r>
      <w:r w:rsidR="00BF7A10" w:rsidRPr="0038442F">
        <w:rPr>
          <w:rFonts w:ascii="Verdana" w:hAnsi="Verdana"/>
          <w:bCs/>
          <w:sz w:val="20"/>
          <w:szCs w:val="20"/>
          <w:lang w:val="pt-BR"/>
        </w:rPr>
        <w:t>sentença</w:t>
      </w:r>
      <w:r w:rsidR="00407242" w:rsidRPr="0038442F">
        <w:rPr>
          <w:rFonts w:ascii="Verdana" w:hAnsi="Verdana"/>
          <w:bCs/>
          <w:sz w:val="20"/>
          <w:szCs w:val="20"/>
          <w:lang w:val="pt-BR"/>
        </w:rPr>
        <w:t xml:space="preserve"> </w:t>
      </w:r>
      <w:r w:rsidR="005E22C1" w:rsidRPr="0038442F">
        <w:rPr>
          <w:rFonts w:ascii="Verdana" w:hAnsi="Verdana"/>
          <w:bCs/>
          <w:sz w:val="20"/>
          <w:szCs w:val="20"/>
          <w:lang w:val="pt-BR"/>
        </w:rPr>
        <w:t>se invoca</w:t>
      </w:r>
      <w:r w:rsidRPr="0038442F">
        <w:rPr>
          <w:rFonts w:ascii="Verdana" w:hAnsi="Verdana"/>
          <w:bCs/>
          <w:sz w:val="20"/>
          <w:szCs w:val="20"/>
          <w:lang w:val="pt-BR"/>
        </w:rPr>
        <w:t xml:space="preserve">m os </w:t>
      </w:r>
      <w:r w:rsidRPr="0038442F">
        <w:rPr>
          <w:rFonts w:ascii="Verdana" w:hAnsi="Verdana"/>
          <w:i/>
          <w:iCs/>
          <w:sz w:val="20"/>
          <w:szCs w:val="20"/>
          <w:lang w:val="pt-BR"/>
        </w:rPr>
        <w:t>Princípios</w:t>
      </w:r>
      <w:r w:rsidR="00407242" w:rsidRPr="0038442F">
        <w:rPr>
          <w:rFonts w:ascii="Verdana" w:hAnsi="Verdana"/>
          <w:i/>
          <w:iCs/>
          <w:sz w:val="20"/>
          <w:szCs w:val="20"/>
          <w:lang w:val="pt-BR"/>
        </w:rPr>
        <w:t xml:space="preserve"> </w:t>
      </w:r>
      <w:r w:rsidRPr="0038442F">
        <w:rPr>
          <w:rFonts w:ascii="Verdana" w:hAnsi="Verdana"/>
          <w:i/>
          <w:iCs/>
          <w:sz w:val="20"/>
          <w:szCs w:val="20"/>
          <w:lang w:val="pt-BR"/>
        </w:rPr>
        <w:t xml:space="preserve">Orientadores das </w:t>
      </w:r>
      <w:r w:rsidR="005E22C1" w:rsidRPr="0038442F">
        <w:rPr>
          <w:rFonts w:ascii="Verdana" w:hAnsi="Verdana"/>
          <w:i/>
          <w:iCs/>
          <w:sz w:val="20"/>
          <w:szCs w:val="20"/>
          <w:lang w:val="pt-BR"/>
        </w:rPr>
        <w:t>Na</w:t>
      </w:r>
      <w:r w:rsidR="000A1AA8" w:rsidRPr="0038442F">
        <w:rPr>
          <w:rFonts w:ascii="Verdana" w:hAnsi="Verdana"/>
          <w:i/>
          <w:iCs/>
          <w:sz w:val="20"/>
          <w:szCs w:val="20"/>
          <w:lang w:val="pt-BR"/>
        </w:rPr>
        <w:t>ções</w:t>
      </w:r>
      <w:r w:rsidR="005E22C1" w:rsidRPr="0038442F">
        <w:rPr>
          <w:rFonts w:ascii="Verdana" w:hAnsi="Verdana"/>
          <w:i/>
          <w:iCs/>
          <w:sz w:val="20"/>
          <w:szCs w:val="20"/>
          <w:lang w:val="pt-BR"/>
        </w:rPr>
        <w:t xml:space="preserve"> Unidas sobre </w:t>
      </w:r>
      <w:r w:rsidR="001158A2" w:rsidRPr="0038442F">
        <w:rPr>
          <w:rFonts w:ascii="Verdana" w:hAnsi="Verdana"/>
          <w:i/>
          <w:iCs/>
          <w:sz w:val="20"/>
          <w:szCs w:val="20"/>
          <w:lang w:val="pt-BR"/>
        </w:rPr>
        <w:t>E</w:t>
      </w:r>
      <w:r w:rsidR="005E22C1" w:rsidRPr="0038442F">
        <w:rPr>
          <w:rFonts w:ascii="Verdana" w:hAnsi="Verdana"/>
          <w:i/>
          <w:iCs/>
          <w:sz w:val="20"/>
          <w:szCs w:val="20"/>
          <w:lang w:val="pt-BR"/>
        </w:rPr>
        <w:t xml:space="preserve">mpresas </w:t>
      </w:r>
      <w:r w:rsidRPr="0038442F">
        <w:rPr>
          <w:rFonts w:ascii="Verdana" w:hAnsi="Verdana"/>
          <w:i/>
          <w:iCs/>
          <w:sz w:val="20"/>
          <w:szCs w:val="20"/>
          <w:lang w:val="pt-BR"/>
        </w:rPr>
        <w:t xml:space="preserve">e </w:t>
      </w:r>
      <w:r w:rsidR="00C92762" w:rsidRPr="0038442F">
        <w:rPr>
          <w:rFonts w:ascii="Verdana" w:hAnsi="Verdana"/>
          <w:i/>
          <w:iCs/>
          <w:sz w:val="20"/>
          <w:szCs w:val="20"/>
          <w:lang w:val="pt-BR"/>
        </w:rPr>
        <w:t>Direitos</w:t>
      </w:r>
      <w:r w:rsidR="00407242" w:rsidRPr="0038442F">
        <w:rPr>
          <w:rFonts w:ascii="Verdana" w:hAnsi="Verdana"/>
          <w:i/>
          <w:iCs/>
          <w:sz w:val="20"/>
          <w:szCs w:val="20"/>
          <w:lang w:val="pt-BR"/>
        </w:rPr>
        <w:t xml:space="preserve"> </w:t>
      </w:r>
      <w:r w:rsidR="001158A2" w:rsidRPr="0038442F">
        <w:rPr>
          <w:rFonts w:ascii="Verdana" w:hAnsi="Verdana"/>
          <w:sz w:val="20"/>
          <w:szCs w:val="20"/>
          <w:lang w:val="pt-BR"/>
        </w:rPr>
        <w:t>Humanos</w:t>
      </w:r>
      <w:r w:rsidR="001158A2" w:rsidRPr="0038442F">
        <w:rPr>
          <w:rFonts w:ascii="Verdana" w:hAnsi="Verdana"/>
          <w:bCs/>
          <w:sz w:val="20"/>
          <w:szCs w:val="20"/>
          <w:lang w:val="pt-BR"/>
        </w:rPr>
        <w:t xml:space="preserve"> </w:t>
      </w:r>
      <w:r w:rsidR="001158A2" w:rsidRPr="0038442F">
        <w:rPr>
          <w:rFonts w:ascii="Verdana" w:hAnsi="Verdana"/>
          <w:sz w:val="20"/>
          <w:szCs w:val="20"/>
          <w:lang w:val="pt-BR"/>
        </w:rPr>
        <w:t>(</w:t>
      </w:r>
      <w:r w:rsidRPr="0038442F">
        <w:rPr>
          <w:rFonts w:ascii="Verdana" w:hAnsi="Verdana"/>
          <w:sz w:val="20"/>
          <w:szCs w:val="20"/>
          <w:lang w:val="pt-BR"/>
        </w:rPr>
        <w:t xml:space="preserve">doravante denominados </w:t>
      </w:r>
      <w:r w:rsidR="001158A2" w:rsidRPr="0038442F">
        <w:rPr>
          <w:rFonts w:ascii="Verdana" w:hAnsi="Verdana"/>
          <w:sz w:val="20"/>
          <w:szCs w:val="20"/>
          <w:lang w:val="pt-BR"/>
        </w:rPr>
        <w:t>“PREDH” o</w:t>
      </w:r>
      <w:r w:rsidRPr="0038442F">
        <w:rPr>
          <w:rFonts w:ascii="Verdana" w:hAnsi="Verdana"/>
          <w:sz w:val="20"/>
          <w:szCs w:val="20"/>
          <w:lang w:val="pt-BR"/>
        </w:rPr>
        <w:t>u</w:t>
      </w:r>
      <w:r w:rsidR="001158A2" w:rsidRPr="0038442F">
        <w:rPr>
          <w:rFonts w:ascii="Verdana" w:hAnsi="Verdana"/>
          <w:sz w:val="20"/>
          <w:szCs w:val="20"/>
          <w:lang w:val="pt-BR"/>
        </w:rPr>
        <w:t xml:space="preserve"> </w:t>
      </w:r>
      <w:r w:rsidR="001158A2" w:rsidRPr="0038442F">
        <w:rPr>
          <w:rFonts w:ascii="Verdana" w:hAnsi="Verdana"/>
          <w:i/>
          <w:iCs/>
          <w:sz w:val="20"/>
          <w:szCs w:val="20"/>
          <w:lang w:val="pt-BR"/>
        </w:rPr>
        <w:t>“</w:t>
      </w:r>
      <w:r w:rsidRPr="0038442F">
        <w:rPr>
          <w:rFonts w:ascii="Verdana" w:hAnsi="Verdana"/>
          <w:sz w:val="20"/>
          <w:szCs w:val="20"/>
          <w:lang w:val="pt-BR"/>
        </w:rPr>
        <w:t>princípios</w:t>
      </w:r>
      <w:r w:rsidR="00407242" w:rsidRPr="0038442F">
        <w:rPr>
          <w:rFonts w:ascii="Verdana" w:hAnsi="Verdana"/>
          <w:sz w:val="20"/>
          <w:szCs w:val="20"/>
          <w:lang w:val="pt-BR"/>
        </w:rPr>
        <w:t xml:space="preserve"> </w:t>
      </w:r>
      <w:r w:rsidR="001158A2" w:rsidRPr="0038442F">
        <w:rPr>
          <w:rFonts w:ascii="Verdana" w:hAnsi="Verdana"/>
          <w:sz w:val="20"/>
          <w:szCs w:val="20"/>
          <w:lang w:val="pt-BR"/>
        </w:rPr>
        <w:t xml:space="preserve">de Ruggie”) </w:t>
      </w:r>
      <w:r w:rsidR="005E22C1" w:rsidRPr="0038442F">
        <w:rPr>
          <w:rFonts w:ascii="Verdana" w:hAnsi="Verdana"/>
          <w:bCs/>
          <w:sz w:val="20"/>
          <w:szCs w:val="20"/>
          <w:lang w:val="pt-BR"/>
        </w:rPr>
        <w:t>para “refor</w:t>
      </w:r>
      <w:r w:rsidRPr="0038442F">
        <w:rPr>
          <w:rFonts w:ascii="Verdana" w:hAnsi="Verdana"/>
          <w:bCs/>
          <w:sz w:val="20"/>
          <w:szCs w:val="20"/>
          <w:lang w:val="pt-BR"/>
        </w:rPr>
        <w:t>ç</w:t>
      </w:r>
      <w:r w:rsidR="005E22C1" w:rsidRPr="0038442F">
        <w:rPr>
          <w:rFonts w:ascii="Verdana" w:hAnsi="Verdana"/>
          <w:bCs/>
          <w:sz w:val="20"/>
          <w:szCs w:val="20"/>
          <w:lang w:val="pt-BR"/>
        </w:rPr>
        <w:t xml:space="preserve">ar” as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5E22C1" w:rsidRPr="0038442F">
        <w:rPr>
          <w:rFonts w:ascii="Verdana" w:hAnsi="Verdana"/>
          <w:bCs/>
          <w:sz w:val="20"/>
          <w:szCs w:val="20"/>
          <w:lang w:val="pt-BR"/>
        </w:rPr>
        <w:t>estat</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5E22C1" w:rsidRPr="0038442F">
        <w:rPr>
          <w:rFonts w:ascii="Verdana" w:hAnsi="Verdana"/>
          <w:bCs/>
          <w:sz w:val="20"/>
          <w:szCs w:val="20"/>
          <w:lang w:val="pt-BR"/>
        </w:rPr>
        <w:t xml:space="preserve">frente </w:t>
      </w:r>
      <w:r w:rsidRPr="0038442F">
        <w:rPr>
          <w:rFonts w:ascii="Verdana" w:hAnsi="Verdana"/>
          <w:bCs/>
          <w:sz w:val="20"/>
          <w:szCs w:val="20"/>
          <w:lang w:val="pt-BR"/>
        </w:rPr>
        <w:t xml:space="preserve">às </w:t>
      </w:r>
      <w:r w:rsidR="005E22C1" w:rsidRPr="0038442F">
        <w:rPr>
          <w:rFonts w:ascii="Verdana" w:hAnsi="Verdana"/>
          <w:bCs/>
          <w:sz w:val="20"/>
          <w:szCs w:val="20"/>
          <w:lang w:val="pt-BR"/>
        </w:rPr>
        <w:t>atividades empresari</w:t>
      </w:r>
      <w:r w:rsidR="00C92762" w:rsidRPr="0038442F">
        <w:rPr>
          <w:rFonts w:ascii="Verdana" w:hAnsi="Verdana"/>
          <w:bCs/>
          <w:sz w:val="20"/>
          <w:szCs w:val="20"/>
          <w:lang w:val="pt-BR"/>
        </w:rPr>
        <w:t>ais</w:t>
      </w:r>
      <w:r w:rsidR="00BC6FC3" w:rsidRPr="0038442F">
        <w:rPr>
          <w:rFonts w:ascii="Verdana" w:hAnsi="Verdana"/>
          <w:bCs/>
          <w:sz w:val="20"/>
          <w:szCs w:val="20"/>
          <w:lang w:val="pt-BR"/>
        </w:rPr>
        <w:t xml:space="preserve">, </w:t>
      </w:r>
      <w:r w:rsidR="005E22C1" w:rsidRPr="0038442F">
        <w:rPr>
          <w:rFonts w:ascii="Verdana" w:hAnsi="Verdana"/>
          <w:bCs/>
          <w:sz w:val="20"/>
          <w:szCs w:val="20"/>
          <w:lang w:val="pt-BR"/>
        </w:rPr>
        <w:t xml:space="preserve">neste caso de </w:t>
      </w:r>
      <w:r w:rsidR="00984A83" w:rsidRPr="0038442F">
        <w:rPr>
          <w:rFonts w:ascii="Verdana" w:hAnsi="Verdana"/>
          <w:bCs/>
          <w:sz w:val="20"/>
          <w:szCs w:val="20"/>
          <w:lang w:val="pt-BR"/>
        </w:rPr>
        <w:t>caráter</w:t>
      </w:r>
      <w:r w:rsidR="00407242" w:rsidRPr="0038442F">
        <w:rPr>
          <w:rFonts w:ascii="Verdana" w:hAnsi="Verdana"/>
          <w:bCs/>
          <w:sz w:val="20"/>
          <w:szCs w:val="20"/>
          <w:lang w:val="pt-BR"/>
        </w:rPr>
        <w:t xml:space="preserve"> </w:t>
      </w:r>
      <w:r w:rsidR="00BC6FC3" w:rsidRPr="0038442F">
        <w:rPr>
          <w:rFonts w:ascii="Verdana" w:hAnsi="Verdana"/>
          <w:bCs/>
          <w:sz w:val="20"/>
          <w:szCs w:val="20"/>
          <w:lang w:val="pt-BR"/>
        </w:rPr>
        <w:t>perigoso</w:t>
      </w:r>
      <w:r w:rsidR="00407242" w:rsidRPr="0038442F">
        <w:rPr>
          <w:rFonts w:ascii="Verdana" w:hAnsi="Verdana"/>
          <w:bCs/>
          <w:sz w:val="20"/>
          <w:szCs w:val="20"/>
          <w:lang w:val="pt-BR"/>
        </w:rPr>
        <w:t xml:space="preserve"> </w:t>
      </w:r>
      <w:r w:rsidR="00855947" w:rsidRPr="0038442F">
        <w:rPr>
          <w:rFonts w:ascii="Verdana" w:hAnsi="Verdana"/>
          <w:bCs/>
          <w:sz w:val="20"/>
          <w:szCs w:val="20"/>
          <w:lang w:val="pt-BR"/>
        </w:rPr>
        <w:t>o</w:t>
      </w:r>
      <w:r w:rsidR="00BC6FC3" w:rsidRPr="0038442F">
        <w:rPr>
          <w:rFonts w:ascii="Verdana" w:hAnsi="Verdana"/>
          <w:bCs/>
          <w:sz w:val="20"/>
          <w:szCs w:val="20"/>
          <w:lang w:val="pt-BR"/>
        </w:rPr>
        <w:t>u</w:t>
      </w:r>
      <w:r w:rsidR="00855947" w:rsidRPr="0038442F">
        <w:rPr>
          <w:rFonts w:ascii="Verdana" w:hAnsi="Verdana"/>
          <w:bCs/>
          <w:sz w:val="20"/>
          <w:szCs w:val="20"/>
          <w:lang w:val="pt-BR"/>
        </w:rPr>
        <w:t xml:space="preserve"> de alto </w:t>
      </w:r>
      <w:r w:rsidR="00BC6FC3" w:rsidRPr="0038442F">
        <w:rPr>
          <w:rFonts w:ascii="Verdana" w:hAnsi="Verdana"/>
          <w:bCs/>
          <w:sz w:val="20"/>
          <w:szCs w:val="20"/>
          <w:lang w:val="pt-BR"/>
        </w:rPr>
        <w:t>risco.</w:t>
      </w:r>
      <w:r w:rsidR="005E22C1" w:rsidRPr="0038442F">
        <w:rPr>
          <w:rStyle w:val="Refdenotaalpie"/>
          <w:rFonts w:ascii="Verdana" w:hAnsi="Verdana"/>
          <w:bCs/>
          <w:sz w:val="20"/>
          <w:szCs w:val="20"/>
          <w:lang w:val="pt-BR"/>
        </w:rPr>
        <w:footnoteReference w:id="12"/>
      </w:r>
      <w:r w:rsidR="001158A2" w:rsidRPr="0038442F">
        <w:rPr>
          <w:rFonts w:ascii="Verdana" w:hAnsi="Verdana"/>
          <w:bCs/>
          <w:sz w:val="20"/>
          <w:szCs w:val="20"/>
          <w:lang w:val="pt-BR"/>
        </w:rPr>
        <w:t xml:space="preserve"> </w:t>
      </w:r>
      <w:r w:rsidR="00BC6FC3" w:rsidRPr="0038442F">
        <w:rPr>
          <w:rFonts w:ascii="Verdana" w:hAnsi="Verdana"/>
          <w:bCs/>
          <w:sz w:val="20"/>
          <w:szCs w:val="20"/>
          <w:lang w:val="pt-BR"/>
        </w:rPr>
        <w:t xml:space="preserve">Embora não seja </w:t>
      </w:r>
      <w:r w:rsidR="001158A2" w:rsidRPr="0038442F">
        <w:rPr>
          <w:rFonts w:ascii="Verdana" w:hAnsi="Verdana"/>
          <w:bCs/>
          <w:sz w:val="20"/>
          <w:szCs w:val="20"/>
          <w:lang w:val="pt-BR"/>
        </w:rPr>
        <w:t xml:space="preserve">a </w:t>
      </w:r>
      <w:r w:rsidR="00CA30C5" w:rsidRPr="0038442F">
        <w:rPr>
          <w:rFonts w:ascii="Verdana" w:hAnsi="Verdana"/>
          <w:bCs/>
          <w:sz w:val="20"/>
          <w:szCs w:val="20"/>
          <w:lang w:val="pt-BR"/>
        </w:rPr>
        <w:t>primeira</w:t>
      </w:r>
      <w:r w:rsidR="00407242" w:rsidRPr="0038442F">
        <w:rPr>
          <w:rFonts w:ascii="Verdana" w:hAnsi="Verdana"/>
          <w:bCs/>
          <w:sz w:val="20"/>
          <w:szCs w:val="20"/>
          <w:lang w:val="pt-BR"/>
        </w:rPr>
        <w:t xml:space="preserve"> </w:t>
      </w:r>
      <w:r w:rsidR="00A85103" w:rsidRPr="0038442F">
        <w:rPr>
          <w:rFonts w:ascii="Verdana" w:hAnsi="Verdana"/>
          <w:bCs/>
          <w:sz w:val="20"/>
          <w:szCs w:val="20"/>
          <w:lang w:val="pt-BR"/>
        </w:rPr>
        <w:t>vez</w:t>
      </w:r>
      <w:r w:rsidR="00407242" w:rsidRPr="0038442F">
        <w:rPr>
          <w:rFonts w:ascii="Verdana" w:hAnsi="Verdana"/>
          <w:bCs/>
          <w:sz w:val="20"/>
          <w:szCs w:val="20"/>
          <w:lang w:val="pt-BR"/>
        </w:rPr>
        <w:t xml:space="preserve"> </w:t>
      </w:r>
      <w:r w:rsidR="00BC6FC3" w:rsidRPr="0038442F">
        <w:rPr>
          <w:rFonts w:ascii="Verdana" w:hAnsi="Verdana"/>
          <w:bCs/>
          <w:sz w:val="20"/>
          <w:szCs w:val="20"/>
          <w:lang w:val="pt-BR"/>
        </w:rPr>
        <w:t xml:space="preserve">que a </w:t>
      </w:r>
      <w:r w:rsidRPr="0038442F">
        <w:rPr>
          <w:rFonts w:ascii="Verdana" w:hAnsi="Verdana"/>
          <w:bCs/>
          <w:sz w:val="20"/>
          <w:szCs w:val="20"/>
          <w:lang w:val="pt-BR"/>
        </w:rPr>
        <w:t xml:space="preserve">Corte </w:t>
      </w:r>
      <w:r w:rsidR="001158A2" w:rsidRPr="0038442F">
        <w:rPr>
          <w:rFonts w:ascii="Verdana" w:hAnsi="Verdana"/>
          <w:bCs/>
          <w:sz w:val="20"/>
          <w:szCs w:val="20"/>
          <w:lang w:val="pt-BR"/>
        </w:rPr>
        <w:t xml:space="preserve">IDH </w:t>
      </w:r>
      <w:r w:rsidR="00BC6FC3" w:rsidRPr="0038442F">
        <w:rPr>
          <w:rFonts w:ascii="Verdana" w:hAnsi="Verdana"/>
          <w:bCs/>
          <w:sz w:val="20"/>
          <w:szCs w:val="20"/>
          <w:lang w:val="pt-BR"/>
        </w:rPr>
        <w:t xml:space="preserve">recorre aos </w:t>
      </w:r>
      <w:r w:rsidR="001158A2" w:rsidRPr="0038442F">
        <w:rPr>
          <w:rFonts w:ascii="Verdana" w:hAnsi="Verdana"/>
          <w:bCs/>
          <w:sz w:val="20"/>
          <w:szCs w:val="20"/>
          <w:lang w:val="pt-BR"/>
        </w:rPr>
        <w:t>PRED</w:t>
      </w:r>
      <w:r w:rsidR="006836EC" w:rsidRPr="0038442F">
        <w:rPr>
          <w:rFonts w:ascii="Verdana" w:hAnsi="Verdana"/>
          <w:bCs/>
          <w:sz w:val="20"/>
          <w:szCs w:val="20"/>
          <w:lang w:val="pt-BR"/>
        </w:rPr>
        <w:t>H</w:t>
      </w:r>
      <w:r w:rsidR="00BC6FC3" w:rsidRPr="0038442F">
        <w:rPr>
          <w:rFonts w:ascii="Verdana" w:hAnsi="Verdana"/>
          <w:bCs/>
          <w:sz w:val="20"/>
          <w:szCs w:val="20"/>
          <w:lang w:val="pt-BR"/>
        </w:rPr>
        <w:t>,</w:t>
      </w:r>
      <w:r w:rsidR="00855947" w:rsidRPr="0038442F">
        <w:rPr>
          <w:rStyle w:val="Refdenotaalpie"/>
          <w:rFonts w:ascii="Verdana" w:hAnsi="Verdana"/>
          <w:bCs/>
          <w:sz w:val="20"/>
          <w:szCs w:val="20"/>
          <w:lang w:val="pt-BR"/>
        </w:rPr>
        <w:footnoteReference w:id="13"/>
      </w:r>
      <w:r w:rsidR="00407242" w:rsidRPr="0038442F">
        <w:rPr>
          <w:rFonts w:ascii="Verdana" w:hAnsi="Verdana"/>
          <w:bCs/>
          <w:sz w:val="20"/>
          <w:szCs w:val="20"/>
          <w:lang w:val="pt-BR"/>
        </w:rPr>
        <w:t xml:space="preserve"> </w:t>
      </w:r>
      <w:r w:rsidR="00BC6FC3" w:rsidRPr="0038442F">
        <w:rPr>
          <w:rFonts w:ascii="Verdana" w:hAnsi="Verdana"/>
          <w:bCs/>
          <w:sz w:val="20"/>
          <w:szCs w:val="20"/>
          <w:lang w:val="pt-BR"/>
        </w:rPr>
        <w:t xml:space="preserve">é o primeiro </w:t>
      </w:r>
      <w:r w:rsidR="001158A2" w:rsidRPr="0038442F">
        <w:rPr>
          <w:rFonts w:ascii="Verdana" w:hAnsi="Verdana"/>
          <w:bCs/>
          <w:sz w:val="20"/>
          <w:szCs w:val="20"/>
          <w:lang w:val="pt-BR"/>
        </w:rPr>
        <w:t xml:space="preserve">caso </w:t>
      </w:r>
      <w:r w:rsidR="00BC6FC3" w:rsidRPr="0038442F">
        <w:rPr>
          <w:rFonts w:ascii="Verdana" w:hAnsi="Verdana"/>
          <w:bCs/>
          <w:sz w:val="20"/>
          <w:szCs w:val="20"/>
          <w:lang w:val="pt-BR"/>
        </w:rPr>
        <w:t xml:space="preserve">em que a </w:t>
      </w:r>
      <w:r w:rsidR="001158A2" w:rsidRPr="0038442F">
        <w:rPr>
          <w:rFonts w:ascii="Verdana" w:hAnsi="Verdana"/>
          <w:bCs/>
          <w:sz w:val="20"/>
          <w:szCs w:val="20"/>
          <w:lang w:val="pt-BR"/>
        </w:rPr>
        <w:t>aplica</w:t>
      </w:r>
      <w:r w:rsidR="000A1AA8" w:rsidRPr="0038442F">
        <w:rPr>
          <w:rFonts w:ascii="Verdana" w:hAnsi="Verdana"/>
          <w:bCs/>
          <w:sz w:val="20"/>
          <w:szCs w:val="20"/>
          <w:lang w:val="pt-BR"/>
        </w:rPr>
        <w:t>ção</w:t>
      </w:r>
      <w:r w:rsidR="001158A2" w:rsidRPr="0038442F">
        <w:rPr>
          <w:rFonts w:ascii="Verdana" w:hAnsi="Verdana"/>
          <w:bCs/>
          <w:sz w:val="20"/>
          <w:szCs w:val="20"/>
          <w:lang w:val="pt-BR"/>
        </w:rPr>
        <w:t xml:space="preserve"> </w:t>
      </w:r>
      <w:r w:rsidR="00BC6FC3" w:rsidRPr="0038442F">
        <w:rPr>
          <w:rFonts w:ascii="Verdana" w:hAnsi="Verdana"/>
          <w:bCs/>
          <w:sz w:val="20"/>
          <w:szCs w:val="20"/>
          <w:lang w:val="pt-BR"/>
        </w:rPr>
        <w:t>d</w:t>
      </w:r>
      <w:r w:rsidR="00A73BB8" w:rsidRPr="0038442F">
        <w:rPr>
          <w:rFonts w:ascii="Verdana" w:hAnsi="Verdana"/>
          <w:bCs/>
          <w:sz w:val="20"/>
          <w:szCs w:val="20"/>
          <w:lang w:val="pt-BR"/>
        </w:rPr>
        <w:t>aquil</w:t>
      </w:r>
      <w:r w:rsidR="00BC6FC3" w:rsidRPr="0038442F">
        <w:rPr>
          <w:rFonts w:ascii="Verdana" w:hAnsi="Verdana"/>
          <w:bCs/>
          <w:sz w:val="20"/>
          <w:szCs w:val="20"/>
          <w:lang w:val="pt-BR"/>
        </w:rPr>
        <w:t xml:space="preserve">o que consta dos </w:t>
      </w:r>
      <w:r w:rsidR="001158A2" w:rsidRPr="0038442F">
        <w:rPr>
          <w:rFonts w:ascii="Verdana" w:hAnsi="Verdana"/>
          <w:bCs/>
          <w:sz w:val="20"/>
          <w:szCs w:val="20"/>
          <w:lang w:val="pt-BR"/>
        </w:rPr>
        <w:t xml:space="preserve">referidos </w:t>
      </w:r>
      <w:r w:rsidRPr="0038442F">
        <w:rPr>
          <w:rFonts w:ascii="Verdana" w:hAnsi="Verdana"/>
          <w:bCs/>
          <w:sz w:val="20"/>
          <w:szCs w:val="20"/>
          <w:lang w:val="pt-BR"/>
        </w:rPr>
        <w:t>princípios</w:t>
      </w:r>
      <w:r w:rsidR="00407242" w:rsidRPr="0038442F">
        <w:rPr>
          <w:rFonts w:ascii="Verdana" w:hAnsi="Verdana"/>
          <w:bCs/>
          <w:sz w:val="20"/>
          <w:szCs w:val="20"/>
          <w:lang w:val="pt-BR"/>
        </w:rPr>
        <w:t xml:space="preserve"> </w:t>
      </w:r>
      <w:r w:rsidR="00BC6FC3" w:rsidRPr="0038442F">
        <w:rPr>
          <w:rFonts w:ascii="Verdana" w:hAnsi="Verdana"/>
          <w:bCs/>
          <w:sz w:val="20"/>
          <w:szCs w:val="20"/>
          <w:lang w:val="pt-BR"/>
        </w:rPr>
        <w:t xml:space="preserve">encontra uma visão harmônica quanto às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1158A2" w:rsidRPr="0038442F">
        <w:rPr>
          <w:rFonts w:ascii="Verdana" w:hAnsi="Verdana"/>
          <w:bCs/>
          <w:sz w:val="20"/>
          <w:szCs w:val="20"/>
          <w:lang w:val="pt-BR"/>
        </w:rPr>
        <w:t xml:space="preserve">que </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00A73BB8" w:rsidRPr="0038442F">
        <w:rPr>
          <w:rFonts w:ascii="Verdana" w:hAnsi="Verdana"/>
          <w:bCs/>
          <w:sz w:val="20"/>
          <w:szCs w:val="20"/>
          <w:lang w:val="pt-BR"/>
        </w:rPr>
        <w:t xml:space="preserve">ser observadas </w:t>
      </w:r>
      <w:r w:rsidR="00BC6FC3" w:rsidRPr="0038442F">
        <w:rPr>
          <w:rFonts w:ascii="Verdana" w:hAnsi="Verdana"/>
          <w:bCs/>
          <w:sz w:val="20"/>
          <w:szCs w:val="20"/>
          <w:lang w:val="pt-BR"/>
        </w:rPr>
        <w:t>a partir dos artigos</w:t>
      </w:r>
      <w:r w:rsidR="00407242" w:rsidRPr="0038442F">
        <w:rPr>
          <w:rFonts w:ascii="Verdana" w:hAnsi="Verdana"/>
          <w:bCs/>
          <w:sz w:val="20"/>
          <w:szCs w:val="20"/>
          <w:lang w:val="pt-BR"/>
        </w:rPr>
        <w:t xml:space="preserve"> </w:t>
      </w:r>
      <w:r w:rsidR="006836EC" w:rsidRPr="0038442F">
        <w:rPr>
          <w:rFonts w:ascii="Verdana" w:hAnsi="Verdana"/>
          <w:bCs/>
          <w:sz w:val="20"/>
          <w:szCs w:val="20"/>
          <w:lang w:val="pt-BR"/>
        </w:rPr>
        <w:t xml:space="preserve">1.1 </w:t>
      </w:r>
      <w:r w:rsidR="00BC6FC3" w:rsidRPr="0038442F">
        <w:rPr>
          <w:rFonts w:ascii="Verdana" w:hAnsi="Verdana"/>
          <w:bCs/>
          <w:sz w:val="20"/>
          <w:szCs w:val="20"/>
          <w:lang w:val="pt-BR"/>
        </w:rPr>
        <w:t>e</w:t>
      </w:r>
      <w:r w:rsidR="006836EC" w:rsidRPr="0038442F">
        <w:rPr>
          <w:rFonts w:ascii="Verdana" w:hAnsi="Verdana"/>
          <w:bCs/>
          <w:sz w:val="20"/>
          <w:szCs w:val="20"/>
          <w:lang w:val="pt-BR"/>
        </w:rPr>
        <w:t xml:space="preserve"> 2 d</w:t>
      </w:r>
      <w:r w:rsidR="00BC6FC3" w:rsidRPr="0038442F">
        <w:rPr>
          <w:rFonts w:ascii="Verdana" w:hAnsi="Verdana"/>
          <w:bCs/>
          <w:sz w:val="20"/>
          <w:szCs w:val="20"/>
          <w:lang w:val="pt-BR"/>
        </w:rPr>
        <w:t>o</w:t>
      </w:r>
      <w:r w:rsidR="006836EC" w:rsidRPr="0038442F">
        <w:rPr>
          <w:rFonts w:ascii="Verdana" w:hAnsi="Verdana"/>
          <w:bCs/>
          <w:sz w:val="20"/>
          <w:szCs w:val="20"/>
          <w:lang w:val="pt-BR"/>
        </w:rPr>
        <w:t xml:space="preserve"> Pacto de San José</w:t>
      </w:r>
      <w:r w:rsidR="001158A2" w:rsidRPr="0038442F">
        <w:rPr>
          <w:rFonts w:ascii="Verdana" w:hAnsi="Verdana"/>
          <w:bCs/>
          <w:sz w:val="20"/>
          <w:szCs w:val="20"/>
          <w:lang w:val="pt-BR"/>
        </w:rPr>
        <w:t>,</w:t>
      </w:r>
      <w:r w:rsidR="00407242" w:rsidRPr="0038442F">
        <w:rPr>
          <w:rFonts w:ascii="Verdana" w:hAnsi="Verdana"/>
          <w:bCs/>
          <w:sz w:val="20"/>
          <w:szCs w:val="20"/>
          <w:lang w:val="pt-BR"/>
        </w:rPr>
        <w:t xml:space="preserve"> </w:t>
      </w:r>
      <w:r w:rsidR="00BC6FC3" w:rsidRPr="0038442F">
        <w:rPr>
          <w:rFonts w:ascii="Verdana" w:hAnsi="Verdana"/>
          <w:bCs/>
          <w:sz w:val="20"/>
          <w:szCs w:val="20"/>
          <w:lang w:val="pt-BR"/>
        </w:rPr>
        <w:t xml:space="preserve">bem </w:t>
      </w:r>
      <w:r w:rsidR="001158A2" w:rsidRPr="0038442F">
        <w:rPr>
          <w:rFonts w:ascii="Verdana" w:hAnsi="Verdana"/>
          <w:bCs/>
          <w:sz w:val="20"/>
          <w:szCs w:val="20"/>
          <w:lang w:val="pt-BR"/>
        </w:rPr>
        <w:t xml:space="preserve">como de </w:t>
      </w:r>
      <w:r w:rsidR="00BC6FC3" w:rsidRPr="0038442F">
        <w:rPr>
          <w:rFonts w:ascii="Verdana" w:hAnsi="Verdana"/>
          <w:bCs/>
          <w:sz w:val="20"/>
          <w:szCs w:val="20"/>
          <w:lang w:val="pt-BR"/>
        </w:rPr>
        <w:t>outros</w:t>
      </w:r>
      <w:r w:rsidR="00407242" w:rsidRPr="0038442F">
        <w:rPr>
          <w:rFonts w:ascii="Verdana" w:hAnsi="Verdana"/>
          <w:bCs/>
          <w:sz w:val="20"/>
          <w:szCs w:val="20"/>
          <w:lang w:val="pt-BR"/>
        </w:rPr>
        <w:t xml:space="preserve"> </w:t>
      </w:r>
      <w:r w:rsidR="001158A2" w:rsidRPr="0038442F">
        <w:rPr>
          <w:rFonts w:ascii="Verdana" w:hAnsi="Verdana"/>
          <w:bCs/>
          <w:sz w:val="20"/>
          <w:szCs w:val="20"/>
          <w:lang w:val="pt-BR"/>
        </w:rPr>
        <w:t>instrumentos internacion</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BC6FC3" w:rsidRPr="0038442F">
        <w:rPr>
          <w:rFonts w:ascii="Verdana" w:hAnsi="Verdana"/>
          <w:bCs/>
          <w:sz w:val="20"/>
          <w:szCs w:val="20"/>
          <w:lang w:val="pt-BR"/>
        </w:rPr>
        <w:t xml:space="preserve">(como as </w:t>
      </w:r>
      <w:r w:rsidR="001158A2" w:rsidRPr="0038442F">
        <w:rPr>
          <w:rFonts w:ascii="Verdana" w:hAnsi="Verdana"/>
          <w:bCs/>
          <w:sz w:val="20"/>
          <w:szCs w:val="20"/>
          <w:lang w:val="pt-BR"/>
        </w:rPr>
        <w:t>Conven</w:t>
      </w:r>
      <w:r w:rsidR="00BC6FC3" w:rsidRPr="0038442F">
        <w:rPr>
          <w:rFonts w:ascii="Verdana" w:hAnsi="Verdana"/>
          <w:bCs/>
          <w:sz w:val="20"/>
          <w:szCs w:val="20"/>
          <w:lang w:val="pt-BR"/>
        </w:rPr>
        <w:t xml:space="preserve">ções </w:t>
      </w:r>
      <w:r w:rsidR="001158A2" w:rsidRPr="0038442F">
        <w:rPr>
          <w:rFonts w:ascii="Verdana" w:hAnsi="Verdana"/>
          <w:bCs/>
          <w:sz w:val="20"/>
          <w:szCs w:val="20"/>
          <w:lang w:val="pt-BR"/>
        </w:rPr>
        <w:t xml:space="preserve">81 </w:t>
      </w:r>
      <w:r w:rsidR="00BC6FC3" w:rsidRPr="0038442F">
        <w:rPr>
          <w:rFonts w:ascii="Verdana" w:hAnsi="Verdana"/>
          <w:bCs/>
          <w:sz w:val="20"/>
          <w:szCs w:val="20"/>
          <w:lang w:val="pt-BR"/>
        </w:rPr>
        <w:t>e</w:t>
      </w:r>
      <w:r w:rsidR="001158A2" w:rsidRPr="0038442F">
        <w:rPr>
          <w:rFonts w:ascii="Verdana" w:hAnsi="Verdana"/>
          <w:bCs/>
          <w:sz w:val="20"/>
          <w:szCs w:val="20"/>
          <w:lang w:val="pt-BR"/>
        </w:rPr>
        <w:t xml:space="preserve"> 155 </w:t>
      </w:r>
      <w:r w:rsidR="00C92762" w:rsidRPr="0038442F">
        <w:rPr>
          <w:rFonts w:ascii="Verdana" w:hAnsi="Verdana"/>
          <w:bCs/>
          <w:sz w:val="20"/>
          <w:szCs w:val="20"/>
          <w:lang w:val="pt-BR"/>
        </w:rPr>
        <w:t xml:space="preserve">da </w:t>
      </w:r>
      <w:r w:rsidR="001158A2" w:rsidRPr="0038442F">
        <w:rPr>
          <w:rFonts w:ascii="Verdana" w:hAnsi="Verdana"/>
          <w:bCs/>
          <w:sz w:val="20"/>
          <w:szCs w:val="20"/>
          <w:lang w:val="pt-BR"/>
        </w:rPr>
        <w:t>Organiza</w:t>
      </w:r>
      <w:r w:rsidR="000A1AA8" w:rsidRPr="0038442F">
        <w:rPr>
          <w:rFonts w:ascii="Verdana" w:hAnsi="Verdana"/>
          <w:bCs/>
          <w:sz w:val="20"/>
          <w:szCs w:val="20"/>
          <w:lang w:val="pt-BR"/>
        </w:rPr>
        <w:t>ção</w:t>
      </w:r>
      <w:r w:rsidR="001158A2" w:rsidRPr="0038442F">
        <w:rPr>
          <w:rFonts w:ascii="Verdana" w:hAnsi="Verdana"/>
          <w:bCs/>
          <w:sz w:val="20"/>
          <w:szCs w:val="20"/>
          <w:lang w:val="pt-BR"/>
        </w:rPr>
        <w:t xml:space="preserve"> Internacional d</w:t>
      </w:r>
      <w:r w:rsidR="00BC6FC3" w:rsidRPr="0038442F">
        <w:rPr>
          <w:rFonts w:ascii="Verdana" w:hAnsi="Verdana"/>
          <w:bCs/>
          <w:sz w:val="20"/>
          <w:szCs w:val="20"/>
          <w:lang w:val="pt-BR"/>
        </w:rPr>
        <w:t>o Trabalho</w:t>
      </w:r>
      <w:r w:rsidR="001158A2" w:rsidRPr="0038442F">
        <w:rPr>
          <w:rFonts w:ascii="Verdana" w:hAnsi="Verdana"/>
          <w:bCs/>
          <w:sz w:val="20"/>
          <w:szCs w:val="20"/>
          <w:lang w:val="pt-BR"/>
        </w:rPr>
        <w:t xml:space="preserve">) </w:t>
      </w:r>
      <w:r w:rsidR="00BC6FC3" w:rsidRPr="0038442F">
        <w:rPr>
          <w:rFonts w:ascii="Verdana" w:hAnsi="Verdana"/>
          <w:bCs/>
          <w:sz w:val="20"/>
          <w:szCs w:val="20"/>
          <w:lang w:val="pt-BR"/>
        </w:rPr>
        <w:t xml:space="preserve">e das </w:t>
      </w:r>
      <w:r w:rsidR="001158A2" w:rsidRPr="0038442F">
        <w:rPr>
          <w:rFonts w:ascii="Verdana" w:hAnsi="Verdana"/>
          <w:bCs/>
          <w:sz w:val="20"/>
          <w:szCs w:val="20"/>
          <w:lang w:val="pt-BR"/>
        </w:rPr>
        <w:t>interpreta</w:t>
      </w:r>
      <w:r w:rsidR="000A1AA8" w:rsidRPr="0038442F">
        <w:rPr>
          <w:rFonts w:ascii="Verdana" w:hAnsi="Verdana"/>
          <w:bCs/>
          <w:sz w:val="20"/>
          <w:szCs w:val="20"/>
          <w:lang w:val="pt-BR"/>
        </w:rPr>
        <w:t>ções</w:t>
      </w:r>
      <w:r w:rsidR="001158A2" w:rsidRPr="0038442F">
        <w:rPr>
          <w:rFonts w:ascii="Verdana" w:hAnsi="Verdana"/>
          <w:bCs/>
          <w:sz w:val="20"/>
          <w:szCs w:val="20"/>
          <w:lang w:val="pt-BR"/>
        </w:rPr>
        <w:t xml:space="preserve"> que contempla</w:t>
      </w:r>
      <w:r w:rsidR="00BC6FC3" w:rsidRPr="0038442F">
        <w:rPr>
          <w:rFonts w:ascii="Verdana" w:hAnsi="Verdana"/>
          <w:bCs/>
          <w:sz w:val="20"/>
          <w:szCs w:val="20"/>
          <w:lang w:val="pt-BR"/>
        </w:rPr>
        <w:t>m</w:t>
      </w:r>
      <w:r w:rsidR="001158A2" w:rsidRPr="0038442F">
        <w:rPr>
          <w:rFonts w:ascii="Verdana" w:hAnsi="Verdana"/>
          <w:bCs/>
          <w:sz w:val="20"/>
          <w:szCs w:val="20"/>
          <w:lang w:val="pt-BR"/>
        </w:rPr>
        <w:t xml:space="preserve">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1158A2" w:rsidRPr="0038442F">
        <w:rPr>
          <w:rFonts w:ascii="Verdana" w:hAnsi="Verdana"/>
          <w:bCs/>
          <w:sz w:val="20"/>
          <w:szCs w:val="20"/>
          <w:lang w:val="pt-BR"/>
        </w:rPr>
        <w:t xml:space="preserve">para </w:t>
      </w:r>
      <w:r w:rsidR="005135E5" w:rsidRPr="0038442F">
        <w:rPr>
          <w:rFonts w:ascii="Verdana" w:hAnsi="Verdana"/>
          <w:bCs/>
          <w:sz w:val="20"/>
          <w:szCs w:val="20"/>
          <w:lang w:val="pt-BR"/>
        </w:rPr>
        <w:t xml:space="preserve">os Estados </w:t>
      </w:r>
      <w:r w:rsidR="001158A2" w:rsidRPr="0038442F">
        <w:rPr>
          <w:rFonts w:ascii="Verdana" w:hAnsi="Verdana"/>
          <w:bCs/>
          <w:sz w:val="20"/>
          <w:szCs w:val="20"/>
          <w:lang w:val="pt-BR"/>
        </w:rPr>
        <w:t>nes</w:t>
      </w:r>
      <w:r w:rsidR="00BC6FC3" w:rsidRPr="0038442F">
        <w:rPr>
          <w:rFonts w:ascii="Verdana" w:hAnsi="Verdana"/>
          <w:bCs/>
          <w:sz w:val="20"/>
          <w:szCs w:val="20"/>
          <w:lang w:val="pt-BR"/>
        </w:rPr>
        <w:t>s</w:t>
      </w:r>
      <w:r w:rsidR="001158A2" w:rsidRPr="0038442F">
        <w:rPr>
          <w:rFonts w:ascii="Verdana" w:hAnsi="Verdana"/>
          <w:bCs/>
          <w:sz w:val="20"/>
          <w:szCs w:val="20"/>
          <w:lang w:val="pt-BR"/>
        </w:rPr>
        <w:t>e tipo de contexto</w:t>
      </w:r>
      <w:r w:rsidR="00BC6FC3" w:rsidRPr="0038442F">
        <w:rPr>
          <w:rFonts w:ascii="Verdana" w:hAnsi="Verdana"/>
          <w:bCs/>
          <w:sz w:val="20"/>
          <w:szCs w:val="20"/>
          <w:lang w:val="pt-BR"/>
        </w:rPr>
        <w:t>.</w:t>
      </w:r>
      <w:r w:rsidR="00E24AEB" w:rsidRPr="0038442F">
        <w:rPr>
          <w:rStyle w:val="Refdenotaalpie"/>
          <w:rFonts w:ascii="Verdana" w:hAnsi="Verdana"/>
          <w:bCs/>
          <w:sz w:val="20"/>
          <w:szCs w:val="20"/>
          <w:lang w:val="pt-BR"/>
        </w:rPr>
        <w:footnoteReference w:id="14"/>
      </w:r>
      <w:r w:rsidR="001158A2" w:rsidRPr="0038442F">
        <w:rPr>
          <w:rFonts w:ascii="Verdana" w:hAnsi="Verdana"/>
          <w:bCs/>
          <w:sz w:val="20"/>
          <w:szCs w:val="20"/>
          <w:lang w:val="pt-BR"/>
        </w:rPr>
        <w:t xml:space="preserve"> </w:t>
      </w:r>
    </w:p>
    <w:p w14:paraId="6AEB6DC8" w14:textId="77777777" w:rsidR="001158A2" w:rsidRPr="0038442F" w:rsidRDefault="001158A2" w:rsidP="00A857CB">
      <w:pPr>
        <w:pStyle w:val="Prrafodelista"/>
        <w:spacing w:line="240" w:lineRule="auto"/>
        <w:rPr>
          <w:rFonts w:ascii="Verdana" w:hAnsi="Verdana"/>
          <w:bCs/>
          <w:sz w:val="20"/>
          <w:szCs w:val="20"/>
          <w:lang w:val="pt-BR"/>
        </w:rPr>
      </w:pPr>
    </w:p>
    <w:p w14:paraId="64DF81BF" w14:textId="7FE3897C" w:rsidR="001158A2" w:rsidRPr="0038442F" w:rsidRDefault="001158A2"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De</w:t>
      </w:r>
      <w:r w:rsidR="009F06E2" w:rsidRPr="0038442F">
        <w:rPr>
          <w:rFonts w:ascii="Verdana" w:hAnsi="Verdana"/>
          <w:bCs/>
          <w:sz w:val="20"/>
          <w:szCs w:val="20"/>
          <w:lang w:val="pt-BR"/>
        </w:rPr>
        <w:t>sse modo</w:t>
      </w:r>
      <w:r w:rsidRPr="0038442F">
        <w:rPr>
          <w:rFonts w:ascii="Verdana" w:hAnsi="Verdana"/>
          <w:bCs/>
          <w:sz w:val="20"/>
          <w:szCs w:val="20"/>
          <w:lang w:val="pt-BR"/>
        </w:rPr>
        <w:t xml:space="preserve">, os </w:t>
      </w:r>
      <w:r w:rsidR="008806F8" w:rsidRPr="0038442F">
        <w:rPr>
          <w:rFonts w:ascii="Verdana" w:hAnsi="Verdana"/>
          <w:bCs/>
          <w:sz w:val="20"/>
          <w:szCs w:val="20"/>
          <w:lang w:val="pt-BR"/>
        </w:rPr>
        <w:t>princípios</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de Ruggie </w:t>
      </w:r>
      <w:r w:rsidR="009F06E2" w:rsidRPr="0038442F">
        <w:rPr>
          <w:rFonts w:ascii="Verdana" w:hAnsi="Verdana"/>
          <w:bCs/>
          <w:sz w:val="20"/>
          <w:szCs w:val="20"/>
          <w:lang w:val="pt-BR"/>
        </w:rPr>
        <w:t xml:space="preserve">partem da ideia </w:t>
      </w:r>
      <w:r w:rsidRPr="0038442F">
        <w:rPr>
          <w:rFonts w:ascii="Verdana" w:hAnsi="Verdana"/>
          <w:bCs/>
          <w:sz w:val="20"/>
          <w:szCs w:val="20"/>
          <w:lang w:val="pt-BR"/>
        </w:rPr>
        <w:t xml:space="preserve">de que </w:t>
      </w:r>
      <w:r w:rsidR="005135E5" w:rsidRPr="0038442F">
        <w:rPr>
          <w:rFonts w:ascii="Verdana" w:hAnsi="Verdana"/>
          <w:bCs/>
          <w:sz w:val="20"/>
          <w:szCs w:val="20"/>
          <w:lang w:val="pt-BR"/>
        </w:rPr>
        <w:t xml:space="preserve">os Estados </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009F06E2" w:rsidRPr="0038442F">
        <w:rPr>
          <w:rFonts w:ascii="Verdana" w:hAnsi="Verdana"/>
          <w:bCs/>
          <w:sz w:val="20"/>
          <w:szCs w:val="20"/>
          <w:lang w:val="pt-BR"/>
        </w:rPr>
        <w:t>z</w:t>
      </w:r>
      <w:r w:rsidRPr="0038442F">
        <w:rPr>
          <w:rFonts w:ascii="Verdana" w:hAnsi="Verdana"/>
          <w:bCs/>
          <w:sz w:val="20"/>
          <w:szCs w:val="20"/>
          <w:lang w:val="pt-BR"/>
        </w:rPr>
        <w:t>elar</w:t>
      </w:r>
      <w:r w:rsidR="006836EC" w:rsidRPr="0038442F">
        <w:rPr>
          <w:rFonts w:ascii="Verdana" w:hAnsi="Verdana"/>
          <w:bCs/>
          <w:sz w:val="20"/>
          <w:szCs w:val="20"/>
          <w:lang w:val="pt-BR"/>
        </w:rPr>
        <w:t xml:space="preserve"> por </w:t>
      </w:r>
      <w:r w:rsidRPr="0038442F">
        <w:rPr>
          <w:rFonts w:ascii="Verdana" w:hAnsi="Verdana"/>
          <w:bCs/>
          <w:sz w:val="20"/>
          <w:szCs w:val="20"/>
          <w:lang w:val="pt-BR"/>
        </w:rPr>
        <w:t>tr</w:t>
      </w:r>
      <w:r w:rsidR="009F06E2" w:rsidRPr="0038442F">
        <w:rPr>
          <w:rFonts w:ascii="Verdana" w:hAnsi="Verdana"/>
          <w:bCs/>
          <w:sz w:val="20"/>
          <w:szCs w:val="20"/>
          <w:lang w:val="pt-BR"/>
        </w:rPr>
        <w:t>ê</w:t>
      </w:r>
      <w:r w:rsidRPr="0038442F">
        <w:rPr>
          <w:rFonts w:ascii="Verdana" w:hAnsi="Verdana"/>
          <w:bCs/>
          <w:sz w:val="20"/>
          <w:szCs w:val="20"/>
          <w:lang w:val="pt-BR"/>
        </w:rPr>
        <w:t xml:space="preserve">s </w:t>
      </w:r>
      <w:r w:rsidR="008806F8" w:rsidRPr="0038442F">
        <w:rPr>
          <w:rFonts w:ascii="Verdana" w:hAnsi="Verdana"/>
          <w:bCs/>
          <w:sz w:val="20"/>
          <w:szCs w:val="20"/>
          <w:lang w:val="pt-BR"/>
        </w:rPr>
        <w:t>princípios</w:t>
      </w:r>
      <w:r w:rsidR="00407242" w:rsidRPr="0038442F">
        <w:rPr>
          <w:rFonts w:ascii="Verdana" w:hAnsi="Verdana"/>
          <w:bCs/>
          <w:sz w:val="20"/>
          <w:szCs w:val="20"/>
          <w:lang w:val="pt-BR"/>
        </w:rPr>
        <w:t xml:space="preserve"> </w:t>
      </w:r>
      <w:r w:rsidR="00E24AEB" w:rsidRPr="0038442F">
        <w:rPr>
          <w:rFonts w:ascii="Verdana" w:hAnsi="Verdana"/>
          <w:bCs/>
          <w:sz w:val="20"/>
          <w:szCs w:val="20"/>
          <w:lang w:val="pt-BR"/>
        </w:rPr>
        <w:t>(</w:t>
      </w:r>
      <w:r w:rsidR="009F06E2" w:rsidRPr="0038442F">
        <w:rPr>
          <w:rFonts w:ascii="Verdana" w:hAnsi="Verdana"/>
          <w:bCs/>
          <w:sz w:val="20"/>
          <w:szCs w:val="20"/>
          <w:lang w:val="pt-BR"/>
        </w:rPr>
        <w:t>o</w:t>
      </w:r>
      <w:r w:rsidR="00855947" w:rsidRPr="0038442F">
        <w:rPr>
          <w:rFonts w:ascii="Verdana" w:hAnsi="Verdana"/>
          <w:bCs/>
          <w:sz w:val="20"/>
          <w:szCs w:val="20"/>
          <w:lang w:val="pt-BR"/>
        </w:rPr>
        <w:t xml:space="preserve">u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Pr="0038442F">
        <w:rPr>
          <w:rFonts w:ascii="Verdana" w:hAnsi="Verdana"/>
          <w:bCs/>
          <w:sz w:val="20"/>
          <w:szCs w:val="20"/>
          <w:lang w:val="pt-BR"/>
        </w:rPr>
        <w:t>básicas</w:t>
      </w:r>
      <w:r w:rsidR="00E24AEB" w:rsidRPr="0038442F">
        <w:rPr>
          <w:rFonts w:ascii="Verdana" w:hAnsi="Verdana"/>
          <w:bCs/>
          <w:sz w:val="20"/>
          <w:szCs w:val="20"/>
          <w:lang w:val="pt-BR"/>
        </w:rPr>
        <w:t>)</w:t>
      </w:r>
      <w:r w:rsidR="00A85103" w:rsidRPr="0038442F">
        <w:rPr>
          <w:rFonts w:ascii="Verdana" w:hAnsi="Verdana"/>
          <w:bCs/>
          <w:sz w:val="20"/>
          <w:szCs w:val="20"/>
          <w:lang w:val="pt-BR"/>
        </w:rPr>
        <w:t>,</w:t>
      </w:r>
      <w:r w:rsidRPr="0038442F">
        <w:rPr>
          <w:rFonts w:ascii="Verdana" w:hAnsi="Verdana"/>
          <w:bCs/>
          <w:sz w:val="20"/>
          <w:szCs w:val="20"/>
          <w:lang w:val="pt-BR"/>
        </w:rPr>
        <w:t xml:space="preserve"> </w:t>
      </w:r>
      <w:r w:rsidR="00751189" w:rsidRPr="0038442F">
        <w:rPr>
          <w:rFonts w:ascii="Verdana" w:hAnsi="Verdana"/>
          <w:bCs/>
          <w:sz w:val="20"/>
          <w:szCs w:val="20"/>
          <w:lang w:val="pt-BR"/>
        </w:rPr>
        <w:t xml:space="preserve">no </w:t>
      </w:r>
      <w:r w:rsidRPr="0038442F">
        <w:rPr>
          <w:rFonts w:ascii="Verdana" w:hAnsi="Verdana"/>
          <w:bCs/>
          <w:sz w:val="20"/>
          <w:szCs w:val="20"/>
          <w:lang w:val="pt-BR"/>
        </w:rPr>
        <w:t xml:space="preserve">contexto de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Pr="0038442F">
        <w:rPr>
          <w:rFonts w:ascii="Verdana" w:hAnsi="Verdana"/>
          <w:bCs/>
          <w:sz w:val="20"/>
          <w:szCs w:val="20"/>
          <w:lang w:val="pt-BR"/>
        </w:rPr>
        <w:t>empresari</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que se </w:t>
      </w:r>
      <w:r w:rsidR="009F06E2" w:rsidRPr="0038442F">
        <w:rPr>
          <w:rFonts w:ascii="Verdana" w:hAnsi="Verdana"/>
          <w:bCs/>
          <w:sz w:val="20"/>
          <w:szCs w:val="20"/>
          <w:lang w:val="pt-BR"/>
        </w:rPr>
        <w:t>encontrem</w:t>
      </w:r>
      <w:r w:rsidR="00407242" w:rsidRPr="0038442F">
        <w:rPr>
          <w:rFonts w:ascii="Verdana" w:hAnsi="Verdana"/>
          <w:bCs/>
          <w:sz w:val="20"/>
          <w:szCs w:val="20"/>
          <w:lang w:val="pt-BR"/>
        </w:rPr>
        <w:t xml:space="preserve"> </w:t>
      </w:r>
      <w:r w:rsidR="009F06E2" w:rsidRPr="0038442F">
        <w:rPr>
          <w:rFonts w:ascii="Verdana" w:hAnsi="Verdana"/>
          <w:bCs/>
          <w:sz w:val="20"/>
          <w:szCs w:val="20"/>
          <w:lang w:val="pt-BR"/>
        </w:rPr>
        <w:t>sob sua jurisdição</w:t>
      </w:r>
      <w:r w:rsidRPr="0038442F">
        <w:rPr>
          <w:rFonts w:ascii="Verdana" w:hAnsi="Verdana"/>
          <w:bCs/>
          <w:sz w:val="20"/>
          <w:szCs w:val="20"/>
          <w:lang w:val="pt-BR"/>
        </w:rPr>
        <w:t xml:space="preserve">: </w:t>
      </w:r>
      <w:r w:rsidRPr="0038442F">
        <w:rPr>
          <w:rFonts w:ascii="Verdana" w:hAnsi="Verdana"/>
          <w:bCs/>
          <w:i/>
          <w:iCs/>
          <w:sz w:val="20"/>
          <w:szCs w:val="20"/>
          <w:lang w:val="pt-BR"/>
        </w:rPr>
        <w:t xml:space="preserve">proteger, </w:t>
      </w:r>
      <w:r w:rsidR="005135E5" w:rsidRPr="0038442F">
        <w:rPr>
          <w:rFonts w:ascii="Verdana" w:hAnsi="Verdana"/>
          <w:bCs/>
          <w:i/>
          <w:iCs/>
          <w:sz w:val="20"/>
          <w:szCs w:val="20"/>
          <w:lang w:val="pt-BR"/>
        </w:rPr>
        <w:t>respeitar</w:t>
      </w:r>
      <w:r w:rsidR="00407242" w:rsidRPr="0038442F">
        <w:rPr>
          <w:rFonts w:ascii="Verdana" w:hAnsi="Verdana"/>
          <w:bCs/>
          <w:i/>
          <w:iCs/>
          <w:sz w:val="20"/>
          <w:szCs w:val="20"/>
          <w:lang w:val="pt-BR"/>
        </w:rPr>
        <w:t xml:space="preserve"> </w:t>
      </w:r>
      <w:r w:rsidR="009F06E2" w:rsidRPr="0038442F">
        <w:rPr>
          <w:rFonts w:ascii="Verdana" w:hAnsi="Verdana"/>
          <w:bCs/>
          <w:i/>
          <w:iCs/>
          <w:sz w:val="20"/>
          <w:szCs w:val="20"/>
          <w:lang w:val="pt-BR"/>
        </w:rPr>
        <w:t>e</w:t>
      </w:r>
      <w:r w:rsidRPr="0038442F">
        <w:rPr>
          <w:rFonts w:ascii="Verdana" w:hAnsi="Verdana"/>
          <w:bCs/>
          <w:i/>
          <w:iCs/>
          <w:sz w:val="20"/>
          <w:szCs w:val="20"/>
          <w:lang w:val="pt-BR"/>
        </w:rPr>
        <w:t xml:space="preserve"> remediar</w:t>
      </w:r>
      <w:r w:rsidRPr="0038442F">
        <w:rPr>
          <w:rFonts w:ascii="Verdana" w:hAnsi="Verdana"/>
          <w:bCs/>
          <w:sz w:val="20"/>
          <w:szCs w:val="20"/>
          <w:lang w:val="pt-BR"/>
        </w:rPr>
        <w:t xml:space="preserve">. </w:t>
      </w:r>
      <w:r w:rsidR="009F06E2" w:rsidRPr="0038442F">
        <w:rPr>
          <w:rFonts w:ascii="Verdana" w:hAnsi="Verdana"/>
          <w:bCs/>
          <w:sz w:val="20"/>
          <w:szCs w:val="20"/>
          <w:lang w:val="pt-BR"/>
        </w:rPr>
        <w:t xml:space="preserve">Nesta seção – dados </w:t>
      </w:r>
      <w:r w:rsidRPr="0038442F">
        <w:rPr>
          <w:rFonts w:ascii="Verdana" w:hAnsi="Verdana"/>
          <w:bCs/>
          <w:sz w:val="20"/>
          <w:szCs w:val="20"/>
          <w:lang w:val="pt-BR"/>
        </w:rPr>
        <w:t xml:space="preserve">os </w:t>
      </w:r>
      <w:r w:rsidR="009F06E2" w:rsidRPr="0038442F">
        <w:rPr>
          <w:rFonts w:ascii="Verdana" w:hAnsi="Verdana"/>
          <w:bCs/>
          <w:sz w:val="20"/>
          <w:szCs w:val="20"/>
          <w:lang w:val="pt-BR"/>
        </w:rPr>
        <w:t xml:space="preserve">fatos do </w:t>
      </w:r>
      <w:r w:rsidRPr="0038442F">
        <w:rPr>
          <w:rFonts w:ascii="Verdana" w:hAnsi="Verdana"/>
          <w:bCs/>
          <w:sz w:val="20"/>
          <w:szCs w:val="20"/>
          <w:lang w:val="pt-BR"/>
        </w:rPr>
        <w:t xml:space="preserve">caso, </w:t>
      </w:r>
      <w:r w:rsidR="009F06E2" w:rsidRPr="0038442F">
        <w:rPr>
          <w:rFonts w:ascii="Verdana" w:hAnsi="Verdana"/>
          <w:bCs/>
          <w:sz w:val="20"/>
          <w:szCs w:val="20"/>
          <w:lang w:val="pt-BR"/>
        </w:rPr>
        <w:t xml:space="preserve">ou seja, </w:t>
      </w:r>
      <w:r w:rsidR="00A85103" w:rsidRPr="0038442F">
        <w:rPr>
          <w:rFonts w:ascii="Verdana" w:hAnsi="Verdana"/>
          <w:bCs/>
          <w:sz w:val="20"/>
          <w:szCs w:val="20"/>
          <w:lang w:val="pt-BR"/>
        </w:rPr>
        <w:t xml:space="preserve">a </w:t>
      </w:r>
      <w:r w:rsidR="009F06E2" w:rsidRPr="0038442F">
        <w:rPr>
          <w:rFonts w:ascii="Verdana" w:hAnsi="Verdana"/>
          <w:bCs/>
          <w:sz w:val="20"/>
          <w:szCs w:val="20"/>
          <w:lang w:val="pt-BR"/>
        </w:rPr>
        <w:t xml:space="preserve">ação </w:t>
      </w:r>
      <w:r w:rsidRPr="0038442F">
        <w:rPr>
          <w:rFonts w:ascii="Verdana" w:hAnsi="Verdana"/>
          <w:bCs/>
          <w:sz w:val="20"/>
          <w:szCs w:val="20"/>
          <w:lang w:val="pt-BR"/>
        </w:rPr>
        <w:t>de particulares</w:t>
      </w:r>
      <w:r w:rsidR="009F06E2" w:rsidRPr="0038442F">
        <w:rPr>
          <w:rFonts w:ascii="Verdana" w:hAnsi="Verdana"/>
          <w:bCs/>
          <w:sz w:val="20"/>
          <w:szCs w:val="20"/>
          <w:lang w:val="pt-BR"/>
        </w:rPr>
        <w:t xml:space="preserve"> –, u</w:t>
      </w:r>
      <w:r w:rsidR="00855947" w:rsidRPr="0038442F">
        <w:rPr>
          <w:rFonts w:ascii="Verdana" w:hAnsi="Verdana"/>
          <w:bCs/>
          <w:sz w:val="20"/>
          <w:szCs w:val="20"/>
          <w:lang w:val="pt-BR"/>
        </w:rPr>
        <w:t>nicamente</w:t>
      </w:r>
      <w:r w:rsidRPr="0038442F">
        <w:rPr>
          <w:rFonts w:ascii="Verdana" w:hAnsi="Verdana"/>
          <w:bCs/>
          <w:sz w:val="20"/>
          <w:szCs w:val="20"/>
          <w:lang w:val="pt-BR"/>
        </w:rPr>
        <w:t xml:space="preserve"> me centrar</w:t>
      </w:r>
      <w:r w:rsidR="009F06E2" w:rsidRPr="0038442F">
        <w:rPr>
          <w:rFonts w:ascii="Verdana" w:hAnsi="Verdana"/>
          <w:bCs/>
          <w:sz w:val="20"/>
          <w:szCs w:val="20"/>
          <w:lang w:val="pt-BR"/>
        </w:rPr>
        <w:t xml:space="preserve">ei </w:t>
      </w:r>
      <w:r w:rsidR="00BF7A10" w:rsidRPr="0038442F">
        <w:rPr>
          <w:rFonts w:ascii="Verdana" w:hAnsi="Verdana"/>
          <w:bCs/>
          <w:sz w:val="20"/>
          <w:szCs w:val="20"/>
          <w:lang w:val="pt-BR"/>
        </w:rPr>
        <w:t xml:space="preserve">na </w:t>
      </w:r>
      <w:r w:rsidR="00C92762"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de proteger. </w:t>
      </w:r>
      <w:r w:rsidR="009F06E2" w:rsidRPr="0038442F">
        <w:rPr>
          <w:rFonts w:ascii="Verdana" w:hAnsi="Verdana"/>
          <w:bCs/>
          <w:sz w:val="20"/>
          <w:szCs w:val="20"/>
          <w:lang w:val="pt-BR"/>
        </w:rPr>
        <w:t xml:space="preserve">No entanto, as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de </w:t>
      </w:r>
      <w:r w:rsidR="005135E5" w:rsidRPr="0038442F">
        <w:rPr>
          <w:rFonts w:ascii="Verdana" w:hAnsi="Verdana"/>
          <w:bCs/>
          <w:sz w:val="20"/>
          <w:szCs w:val="20"/>
          <w:lang w:val="pt-BR"/>
        </w:rPr>
        <w:t>respeitar</w:t>
      </w:r>
      <w:r w:rsidR="00407242" w:rsidRPr="0038442F">
        <w:rPr>
          <w:rFonts w:ascii="Verdana" w:hAnsi="Verdana"/>
          <w:bCs/>
          <w:sz w:val="20"/>
          <w:szCs w:val="20"/>
          <w:lang w:val="pt-BR"/>
        </w:rPr>
        <w:t xml:space="preserve"> </w:t>
      </w:r>
      <w:r w:rsidR="009F06E2" w:rsidRPr="0038442F">
        <w:rPr>
          <w:rFonts w:ascii="Verdana" w:hAnsi="Verdana"/>
          <w:bCs/>
          <w:sz w:val="20"/>
          <w:szCs w:val="20"/>
          <w:lang w:val="pt-BR"/>
        </w:rPr>
        <w:t>e</w:t>
      </w:r>
      <w:r w:rsidR="00D554EC" w:rsidRPr="0038442F">
        <w:rPr>
          <w:rFonts w:ascii="Verdana" w:hAnsi="Verdana"/>
          <w:bCs/>
          <w:sz w:val="20"/>
          <w:szCs w:val="20"/>
          <w:lang w:val="pt-BR"/>
        </w:rPr>
        <w:t xml:space="preserve"> de remediar</w:t>
      </w:r>
      <w:r w:rsidRPr="0038442F">
        <w:rPr>
          <w:rFonts w:ascii="Verdana" w:hAnsi="Verdana"/>
          <w:bCs/>
          <w:sz w:val="20"/>
          <w:szCs w:val="20"/>
          <w:lang w:val="pt-BR"/>
        </w:rPr>
        <w:t>,</w:t>
      </w:r>
      <w:r w:rsidR="00855947" w:rsidRPr="0038442F">
        <w:rPr>
          <w:rFonts w:ascii="Verdana" w:hAnsi="Verdana"/>
          <w:bCs/>
          <w:sz w:val="20"/>
          <w:szCs w:val="20"/>
          <w:lang w:val="pt-BR"/>
        </w:rPr>
        <w:t xml:space="preserve"> </w:t>
      </w:r>
      <w:r w:rsidR="009F06E2" w:rsidRPr="0038442F">
        <w:rPr>
          <w:rFonts w:ascii="Verdana" w:hAnsi="Verdana"/>
          <w:bCs/>
          <w:sz w:val="20"/>
          <w:szCs w:val="20"/>
          <w:lang w:val="pt-BR"/>
        </w:rPr>
        <w:t xml:space="preserve">bem como a </w:t>
      </w:r>
      <w:r w:rsidR="00D554EC" w:rsidRPr="0038442F">
        <w:rPr>
          <w:rFonts w:ascii="Verdana" w:hAnsi="Verdana"/>
          <w:bCs/>
          <w:sz w:val="20"/>
          <w:szCs w:val="20"/>
          <w:lang w:val="pt-BR"/>
        </w:rPr>
        <w:t>de proteger</w:t>
      </w:r>
      <w:r w:rsidR="00855947" w:rsidRPr="0038442F">
        <w:rPr>
          <w:rFonts w:ascii="Verdana" w:hAnsi="Verdana"/>
          <w:bCs/>
          <w:sz w:val="20"/>
          <w:szCs w:val="20"/>
          <w:lang w:val="pt-BR"/>
        </w:rPr>
        <w:t>, s</w:t>
      </w:r>
      <w:r w:rsidR="009F06E2" w:rsidRPr="0038442F">
        <w:rPr>
          <w:rFonts w:ascii="Verdana" w:hAnsi="Verdana"/>
          <w:bCs/>
          <w:sz w:val="20"/>
          <w:szCs w:val="20"/>
          <w:lang w:val="pt-BR"/>
        </w:rPr>
        <w:t xml:space="preserve">ão </w:t>
      </w:r>
      <w:r w:rsidR="00855947" w:rsidRPr="0038442F">
        <w:rPr>
          <w:rFonts w:ascii="Verdana" w:hAnsi="Verdana"/>
          <w:bCs/>
          <w:sz w:val="20"/>
          <w:szCs w:val="20"/>
          <w:lang w:val="pt-BR"/>
        </w:rPr>
        <w:t>fundament</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855947" w:rsidRPr="0038442F">
        <w:rPr>
          <w:rFonts w:ascii="Verdana" w:hAnsi="Verdana"/>
          <w:bCs/>
          <w:sz w:val="20"/>
          <w:szCs w:val="20"/>
          <w:lang w:val="pt-BR"/>
        </w:rPr>
        <w:t xml:space="preserve">para a </w:t>
      </w:r>
      <w:r w:rsidR="009F06E2" w:rsidRPr="0038442F">
        <w:rPr>
          <w:rFonts w:ascii="Verdana" w:hAnsi="Verdana"/>
          <w:bCs/>
          <w:sz w:val="20"/>
          <w:szCs w:val="20"/>
          <w:lang w:val="pt-BR"/>
        </w:rPr>
        <w:t>vigência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dos direitos </w:t>
      </w:r>
      <w:r w:rsidR="00855947" w:rsidRPr="0038442F">
        <w:rPr>
          <w:rFonts w:ascii="Verdana" w:hAnsi="Verdana"/>
          <w:bCs/>
          <w:sz w:val="20"/>
          <w:szCs w:val="20"/>
          <w:lang w:val="pt-BR"/>
        </w:rPr>
        <w:t>humanos</w:t>
      </w:r>
      <w:r w:rsidR="006836EC" w:rsidRPr="0038442F">
        <w:rPr>
          <w:rFonts w:ascii="Verdana" w:hAnsi="Verdana"/>
          <w:bCs/>
          <w:sz w:val="20"/>
          <w:szCs w:val="20"/>
          <w:lang w:val="pt-BR"/>
        </w:rPr>
        <w:t xml:space="preserve"> </w:t>
      </w:r>
      <w:r w:rsidR="009F06E2" w:rsidRPr="0038442F">
        <w:rPr>
          <w:rFonts w:ascii="Verdana" w:hAnsi="Verdana"/>
          <w:bCs/>
          <w:sz w:val="20"/>
          <w:szCs w:val="20"/>
          <w:lang w:val="pt-BR"/>
        </w:rPr>
        <w:t xml:space="preserve">nesse </w:t>
      </w:r>
      <w:r w:rsidR="006836EC" w:rsidRPr="0038442F">
        <w:rPr>
          <w:rFonts w:ascii="Verdana" w:hAnsi="Verdana"/>
          <w:bCs/>
          <w:sz w:val="20"/>
          <w:szCs w:val="20"/>
          <w:lang w:val="pt-BR"/>
        </w:rPr>
        <w:t>tipo de situa</w:t>
      </w:r>
      <w:r w:rsidR="000A1AA8" w:rsidRPr="0038442F">
        <w:rPr>
          <w:rFonts w:ascii="Verdana" w:hAnsi="Verdana"/>
          <w:bCs/>
          <w:sz w:val="20"/>
          <w:szCs w:val="20"/>
          <w:lang w:val="pt-BR"/>
        </w:rPr>
        <w:t>ç</w:t>
      </w:r>
      <w:r w:rsidR="009F06E2" w:rsidRPr="0038442F">
        <w:rPr>
          <w:rFonts w:ascii="Verdana" w:hAnsi="Verdana"/>
          <w:bCs/>
          <w:sz w:val="20"/>
          <w:szCs w:val="20"/>
          <w:lang w:val="pt-BR"/>
        </w:rPr>
        <w:t>ão.</w:t>
      </w:r>
      <w:r w:rsidR="00855947" w:rsidRPr="0038442F">
        <w:rPr>
          <w:rStyle w:val="Refdenotaalpie"/>
          <w:rFonts w:ascii="Verdana" w:hAnsi="Verdana"/>
          <w:bCs/>
          <w:sz w:val="20"/>
          <w:szCs w:val="20"/>
          <w:lang w:val="pt-BR"/>
        </w:rPr>
        <w:footnoteReference w:id="15"/>
      </w:r>
      <w:r w:rsidR="00407242" w:rsidRPr="0038442F">
        <w:rPr>
          <w:rFonts w:ascii="Verdana" w:hAnsi="Verdana"/>
          <w:bCs/>
          <w:sz w:val="20"/>
          <w:szCs w:val="20"/>
          <w:lang w:val="pt-BR"/>
        </w:rPr>
        <w:t xml:space="preserve"> </w:t>
      </w:r>
    </w:p>
    <w:p w14:paraId="6D817265" w14:textId="77777777" w:rsidR="00536CB3" w:rsidRPr="0038442F" w:rsidRDefault="00536CB3" w:rsidP="00A857CB">
      <w:pPr>
        <w:pStyle w:val="Prrafodelista"/>
        <w:spacing w:line="240" w:lineRule="auto"/>
        <w:rPr>
          <w:rFonts w:ascii="Verdana" w:hAnsi="Verdana"/>
          <w:bCs/>
          <w:sz w:val="20"/>
          <w:szCs w:val="20"/>
          <w:lang w:val="pt-BR"/>
        </w:rPr>
      </w:pPr>
    </w:p>
    <w:p w14:paraId="1A0E901E" w14:textId="796ACC2B" w:rsidR="006836EC" w:rsidRPr="0038442F" w:rsidRDefault="009F06E2" w:rsidP="00A857CB">
      <w:pPr>
        <w:pStyle w:val="Prrafodelista"/>
        <w:numPr>
          <w:ilvl w:val="0"/>
          <w:numId w:val="2"/>
        </w:numPr>
        <w:spacing w:line="240" w:lineRule="auto"/>
        <w:ind w:left="0" w:firstLine="0"/>
        <w:jc w:val="both"/>
        <w:rPr>
          <w:rFonts w:ascii="Verdana" w:hAnsi="Verdana"/>
          <w:b/>
          <w:sz w:val="20"/>
          <w:szCs w:val="20"/>
          <w:lang w:val="pt-BR"/>
        </w:rPr>
      </w:pPr>
      <w:r w:rsidRPr="0038442F">
        <w:rPr>
          <w:rFonts w:ascii="Verdana" w:hAnsi="Verdana"/>
          <w:bCs/>
          <w:sz w:val="20"/>
          <w:szCs w:val="20"/>
          <w:lang w:val="pt-BR"/>
        </w:rPr>
        <w:t xml:space="preserve">Os </w:t>
      </w:r>
      <w:r w:rsidR="008806F8" w:rsidRPr="0038442F">
        <w:rPr>
          <w:rFonts w:ascii="Verdana" w:hAnsi="Verdana"/>
          <w:bCs/>
          <w:i/>
          <w:iCs/>
          <w:sz w:val="20"/>
          <w:szCs w:val="20"/>
          <w:lang w:val="pt-BR"/>
        </w:rPr>
        <w:t>Princípios</w:t>
      </w:r>
      <w:r w:rsidR="00407242" w:rsidRPr="0038442F">
        <w:rPr>
          <w:rFonts w:ascii="Verdana" w:hAnsi="Verdana"/>
          <w:bCs/>
          <w:i/>
          <w:iCs/>
          <w:sz w:val="20"/>
          <w:szCs w:val="20"/>
          <w:lang w:val="pt-BR"/>
        </w:rPr>
        <w:t xml:space="preserve"> </w:t>
      </w:r>
      <w:r w:rsidRPr="0038442F">
        <w:rPr>
          <w:rFonts w:ascii="Verdana" w:hAnsi="Verdana"/>
          <w:bCs/>
          <w:i/>
          <w:iCs/>
          <w:sz w:val="20"/>
          <w:szCs w:val="20"/>
          <w:lang w:val="pt-BR"/>
        </w:rPr>
        <w:t xml:space="preserve">Orientadores </w:t>
      </w:r>
      <w:r w:rsidR="00536CB3" w:rsidRPr="0038442F">
        <w:rPr>
          <w:rFonts w:ascii="Verdana" w:hAnsi="Verdana"/>
          <w:bCs/>
          <w:i/>
          <w:iCs/>
          <w:sz w:val="20"/>
          <w:szCs w:val="20"/>
          <w:lang w:val="pt-BR"/>
        </w:rPr>
        <w:t xml:space="preserve">sobre Empresas </w:t>
      </w:r>
      <w:r w:rsidR="00A97590" w:rsidRPr="0038442F">
        <w:rPr>
          <w:rFonts w:ascii="Verdana" w:hAnsi="Verdana"/>
          <w:bCs/>
          <w:i/>
          <w:iCs/>
          <w:sz w:val="20"/>
          <w:szCs w:val="20"/>
          <w:lang w:val="pt-BR"/>
        </w:rPr>
        <w:t>e</w:t>
      </w:r>
      <w:r w:rsidR="00536CB3" w:rsidRPr="0038442F">
        <w:rPr>
          <w:rFonts w:ascii="Verdana" w:hAnsi="Verdana"/>
          <w:bCs/>
          <w:i/>
          <w:iCs/>
          <w:sz w:val="20"/>
          <w:szCs w:val="20"/>
          <w:lang w:val="pt-BR"/>
        </w:rPr>
        <w:t xml:space="preserve"> </w:t>
      </w:r>
      <w:r w:rsidR="00C92762" w:rsidRPr="0038442F">
        <w:rPr>
          <w:rFonts w:ascii="Verdana" w:hAnsi="Verdana"/>
          <w:bCs/>
          <w:i/>
          <w:iCs/>
          <w:sz w:val="20"/>
          <w:szCs w:val="20"/>
          <w:lang w:val="pt-BR"/>
        </w:rPr>
        <w:t>Direitos</w:t>
      </w:r>
      <w:r w:rsidR="00407242" w:rsidRPr="0038442F">
        <w:rPr>
          <w:rFonts w:ascii="Verdana" w:hAnsi="Verdana"/>
          <w:bCs/>
          <w:i/>
          <w:iCs/>
          <w:sz w:val="20"/>
          <w:szCs w:val="20"/>
          <w:lang w:val="pt-BR"/>
        </w:rPr>
        <w:t xml:space="preserve"> </w:t>
      </w:r>
      <w:r w:rsidR="00536CB3" w:rsidRPr="0038442F">
        <w:rPr>
          <w:rFonts w:ascii="Verdana" w:hAnsi="Verdana"/>
          <w:bCs/>
          <w:i/>
          <w:iCs/>
          <w:sz w:val="20"/>
          <w:szCs w:val="20"/>
          <w:lang w:val="pt-BR"/>
        </w:rPr>
        <w:t xml:space="preserve">Humanos </w:t>
      </w:r>
      <w:r w:rsidR="00A97590" w:rsidRPr="0038442F">
        <w:rPr>
          <w:rFonts w:ascii="Verdana" w:hAnsi="Verdana"/>
          <w:bCs/>
          <w:sz w:val="20"/>
          <w:szCs w:val="20"/>
          <w:lang w:val="pt-BR"/>
        </w:rPr>
        <w:t xml:space="preserve">ressaltam que </w:t>
      </w:r>
      <w:r w:rsidR="005135E5" w:rsidRPr="0038442F">
        <w:rPr>
          <w:rFonts w:ascii="Verdana" w:hAnsi="Verdana"/>
          <w:bCs/>
          <w:sz w:val="20"/>
          <w:szCs w:val="20"/>
          <w:lang w:val="pt-BR"/>
        </w:rPr>
        <w:t xml:space="preserve">os Estados </w:t>
      </w:r>
      <w:r w:rsidR="00536CB3" w:rsidRPr="0038442F">
        <w:rPr>
          <w:rFonts w:ascii="Verdana" w:hAnsi="Verdana"/>
          <w:bCs/>
          <w:sz w:val="20"/>
          <w:szCs w:val="20"/>
          <w:lang w:val="pt-BR"/>
        </w:rPr>
        <w:t>“</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00536CB3" w:rsidRPr="0038442F">
        <w:rPr>
          <w:rFonts w:ascii="Verdana" w:hAnsi="Verdana"/>
          <w:bCs/>
          <w:sz w:val="20"/>
          <w:szCs w:val="20"/>
          <w:lang w:val="pt-BR"/>
        </w:rPr>
        <w:t xml:space="preserve">proteger contra </w:t>
      </w:r>
      <w:r w:rsidR="008806F8" w:rsidRPr="0038442F">
        <w:rPr>
          <w:rFonts w:ascii="Verdana" w:hAnsi="Verdana"/>
          <w:bCs/>
          <w:sz w:val="20"/>
          <w:szCs w:val="20"/>
          <w:lang w:val="pt-BR"/>
        </w:rPr>
        <w:t xml:space="preserve">as violações </w:t>
      </w:r>
      <w:r w:rsidR="00C92762" w:rsidRPr="0038442F">
        <w:rPr>
          <w:rFonts w:ascii="Verdana" w:hAnsi="Verdana"/>
          <w:bCs/>
          <w:sz w:val="20"/>
          <w:szCs w:val="20"/>
          <w:lang w:val="pt-BR"/>
        </w:rPr>
        <w:t xml:space="preserve">dos direitos </w:t>
      </w:r>
      <w:r w:rsidR="00536CB3" w:rsidRPr="0038442F">
        <w:rPr>
          <w:rFonts w:ascii="Verdana" w:hAnsi="Verdana"/>
          <w:bCs/>
          <w:sz w:val="20"/>
          <w:szCs w:val="20"/>
          <w:lang w:val="pt-BR"/>
        </w:rPr>
        <w:t>humanos come</w:t>
      </w:r>
      <w:r w:rsidR="00F5040C" w:rsidRPr="0038442F">
        <w:rPr>
          <w:rFonts w:ascii="Verdana" w:hAnsi="Verdana"/>
          <w:bCs/>
          <w:sz w:val="20"/>
          <w:szCs w:val="20"/>
          <w:lang w:val="pt-BR"/>
        </w:rPr>
        <w:t>t</w:t>
      </w:r>
      <w:r w:rsidR="00536CB3" w:rsidRPr="0038442F">
        <w:rPr>
          <w:rFonts w:ascii="Verdana" w:hAnsi="Verdana"/>
          <w:bCs/>
          <w:sz w:val="20"/>
          <w:szCs w:val="20"/>
          <w:lang w:val="pt-BR"/>
        </w:rPr>
        <w:t>idas e</w:t>
      </w:r>
      <w:r w:rsidR="00A97590" w:rsidRPr="0038442F">
        <w:rPr>
          <w:rFonts w:ascii="Verdana" w:hAnsi="Verdana"/>
          <w:bCs/>
          <w:sz w:val="20"/>
          <w:szCs w:val="20"/>
          <w:lang w:val="pt-BR"/>
        </w:rPr>
        <w:t>m seu território e</w:t>
      </w:r>
      <w:r w:rsidR="00536CB3" w:rsidRPr="0038442F">
        <w:rPr>
          <w:rFonts w:ascii="Verdana" w:hAnsi="Verdana"/>
          <w:bCs/>
          <w:sz w:val="20"/>
          <w:szCs w:val="20"/>
          <w:lang w:val="pt-BR"/>
        </w:rPr>
        <w:t>/o</w:t>
      </w:r>
      <w:r w:rsidR="00A97590" w:rsidRPr="0038442F">
        <w:rPr>
          <w:rFonts w:ascii="Verdana" w:hAnsi="Verdana"/>
          <w:bCs/>
          <w:sz w:val="20"/>
          <w:szCs w:val="20"/>
          <w:lang w:val="pt-BR"/>
        </w:rPr>
        <w:t>u</w:t>
      </w:r>
      <w:r w:rsidR="00536CB3" w:rsidRPr="0038442F">
        <w:rPr>
          <w:rFonts w:ascii="Verdana" w:hAnsi="Verdana"/>
          <w:bCs/>
          <w:sz w:val="20"/>
          <w:szCs w:val="20"/>
          <w:lang w:val="pt-BR"/>
        </w:rPr>
        <w:t xml:space="preserve"> </w:t>
      </w:r>
      <w:r w:rsidR="00A97590" w:rsidRPr="0038442F">
        <w:rPr>
          <w:rFonts w:ascii="Verdana" w:hAnsi="Verdana"/>
          <w:bCs/>
          <w:sz w:val="20"/>
          <w:szCs w:val="20"/>
          <w:lang w:val="pt-BR"/>
        </w:rPr>
        <w:t xml:space="preserve">sua </w:t>
      </w:r>
      <w:r w:rsidR="00984A83" w:rsidRPr="0038442F">
        <w:rPr>
          <w:rFonts w:ascii="Verdana" w:hAnsi="Verdana"/>
          <w:bCs/>
          <w:sz w:val="20"/>
          <w:szCs w:val="20"/>
          <w:lang w:val="pt-BR"/>
        </w:rPr>
        <w:t xml:space="preserve">jurisdição </w:t>
      </w:r>
      <w:r w:rsidR="00536CB3" w:rsidRPr="0038442F">
        <w:rPr>
          <w:rFonts w:ascii="Verdana" w:hAnsi="Verdana"/>
          <w:bCs/>
          <w:sz w:val="20"/>
          <w:szCs w:val="20"/>
          <w:lang w:val="pt-BR"/>
        </w:rPr>
        <w:t>por terce</w:t>
      </w:r>
      <w:r w:rsidR="00A97590" w:rsidRPr="0038442F">
        <w:rPr>
          <w:rFonts w:ascii="Verdana" w:hAnsi="Verdana"/>
          <w:bCs/>
          <w:sz w:val="20"/>
          <w:szCs w:val="20"/>
          <w:lang w:val="pt-BR"/>
        </w:rPr>
        <w:t>i</w:t>
      </w:r>
      <w:r w:rsidR="00536CB3" w:rsidRPr="0038442F">
        <w:rPr>
          <w:rFonts w:ascii="Verdana" w:hAnsi="Verdana"/>
          <w:bCs/>
          <w:sz w:val="20"/>
          <w:szCs w:val="20"/>
          <w:lang w:val="pt-BR"/>
        </w:rPr>
        <w:t xml:space="preserve">ros, </w:t>
      </w:r>
      <w:r w:rsidR="00A97590" w:rsidRPr="0038442F">
        <w:rPr>
          <w:rFonts w:ascii="Verdana" w:hAnsi="Verdana"/>
          <w:bCs/>
          <w:sz w:val="20"/>
          <w:szCs w:val="20"/>
          <w:lang w:val="pt-BR"/>
        </w:rPr>
        <w:t xml:space="preserve">inclusive </w:t>
      </w:r>
      <w:r w:rsidR="00536CB3" w:rsidRPr="0038442F">
        <w:rPr>
          <w:rFonts w:ascii="Verdana" w:hAnsi="Verdana"/>
          <w:bCs/>
          <w:sz w:val="20"/>
          <w:szCs w:val="20"/>
          <w:lang w:val="pt-BR"/>
        </w:rPr>
        <w:t>as empresas”</w:t>
      </w:r>
      <w:r w:rsidR="00A97590" w:rsidRPr="0038442F">
        <w:rPr>
          <w:rFonts w:ascii="Verdana" w:hAnsi="Verdana"/>
          <w:bCs/>
          <w:sz w:val="20"/>
          <w:szCs w:val="20"/>
          <w:lang w:val="pt-BR"/>
        </w:rPr>
        <w:t>.</w:t>
      </w:r>
      <w:r w:rsidR="00536CB3" w:rsidRPr="0038442F">
        <w:rPr>
          <w:rStyle w:val="Refdenotaalpie"/>
          <w:rFonts w:ascii="Verdana" w:hAnsi="Verdana"/>
          <w:bCs/>
          <w:sz w:val="20"/>
          <w:szCs w:val="20"/>
          <w:lang w:val="pt-BR"/>
        </w:rPr>
        <w:footnoteReference w:id="16"/>
      </w:r>
      <w:r w:rsidR="00536CB3" w:rsidRPr="0038442F">
        <w:rPr>
          <w:rFonts w:ascii="Verdana" w:hAnsi="Verdana"/>
          <w:bCs/>
          <w:sz w:val="20"/>
          <w:szCs w:val="20"/>
          <w:lang w:val="pt-BR"/>
        </w:rPr>
        <w:t xml:space="preserve"> </w:t>
      </w:r>
      <w:r w:rsidR="00A97590" w:rsidRPr="0038442F">
        <w:rPr>
          <w:rFonts w:ascii="Verdana" w:hAnsi="Verdana"/>
          <w:bCs/>
          <w:sz w:val="20"/>
          <w:szCs w:val="20"/>
          <w:lang w:val="pt-BR"/>
        </w:rPr>
        <w:t xml:space="preserve">O exposto é </w:t>
      </w:r>
      <w:r w:rsidR="006836EC" w:rsidRPr="0038442F">
        <w:rPr>
          <w:rFonts w:ascii="Verdana" w:hAnsi="Verdana"/>
          <w:bCs/>
          <w:sz w:val="20"/>
          <w:szCs w:val="20"/>
          <w:lang w:val="pt-BR"/>
        </w:rPr>
        <w:t xml:space="preserve">relevante </w:t>
      </w:r>
      <w:r w:rsidR="00A97590" w:rsidRPr="0038442F">
        <w:rPr>
          <w:rFonts w:ascii="Verdana" w:hAnsi="Verdana"/>
          <w:bCs/>
          <w:sz w:val="20"/>
          <w:szCs w:val="20"/>
          <w:lang w:val="pt-BR"/>
        </w:rPr>
        <w:t xml:space="preserve">porquanto, embora se entenda que os </w:t>
      </w:r>
      <w:r w:rsidR="00536CB3" w:rsidRPr="0038442F">
        <w:rPr>
          <w:rFonts w:ascii="Verdana" w:hAnsi="Verdana"/>
          <w:bCs/>
          <w:sz w:val="20"/>
          <w:szCs w:val="20"/>
          <w:lang w:val="pt-BR"/>
        </w:rPr>
        <w:t>Estado</w:t>
      </w:r>
      <w:r w:rsidR="00A97590" w:rsidRPr="0038442F">
        <w:rPr>
          <w:rFonts w:ascii="Verdana" w:hAnsi="Verdana"/>
          <w:bCs/>
          <w:sz w:val="20"/>
          <w:szCs w:val="20"/>
          <w:lang w:val="pt-BR"/>
        </w:rPr>
        <w:t>s</w:t>
      </w:r>
      <w:r w:rsidR="00536CB3" w:rsidRPr="0038442F">
        <w:rPr>
          <w:rFonts w:ascii="Verdana" w:hAnsi="Verdana"/>
          <w:bCs/>
          <w:sz w:val="20"/>
          <w:szCs w:val="20"/>
          <w:lang w:val="pt-BR"/>
        </w:rPr>
        <w:t xml:space="preserve"> </w:t>
      </w:r>
      <w:r w:rsidR="00A97590" w:rsidRPr="0038442F">
        <w:rPr>
          <w:rFonts w:ascii="Verdana" w:hAnsi="Verdana"/>
          <w:bCs/>
          <w:sz w:val="20"/>
          <w:szCs w:val="20"/>
          <w:lang w:val="pt-BR"/>
        </w:rPr>
        <w:t>não são</w:t>
      </w:r>
      <w:r w:rsidR="00536CB3" w:rsidRPr="0038442F">
        <w:rPr>
          <w:rFonts w:ascii="Verdana" w:hAnsi="Verdana"/>
          <w:bCs/>
          <w:sz w:val="20"/>
          <w:szCs w:val="20"/>
          <w:lang w:val="pt-BR"/>
        </w:rPr>
        <w:t xml:space="preserve">, </w:t>
      </w:r>
      <w:r w:rsidR="00536CB3" w:rsidRPr="0038442F">
        <w:rPr>
          <w:rFonts w:ascii="Verdana" w:hAnsi="Verdana"/>
          <w:bCs/>
          <w:i/>
          <w:iCs/>
          <w:sz w:val="20"/>
          <w:szCs w:val="20"/>
          <w:lang w:val="pt-BR"/>
        </w:rPr>
        <w:t>per se</w:t>
      </w:r>
      <w:r w:rsidR="00536CB3" w:rsidRPr="0038442F">
        <w:rPr>
          <w:rFonts w:ascii="Verdana" w:hAnsi="Verdana"/>
          <w:bCs/>
          <w:sz w:val="20"/>
          <w:szCs w:val="20"/>
          <w:lang w:val="pt-BR"/>
        </w:rPr>
        <w:t xml:space="preserve">, </w:t>
      </w:r>
      <w:r w:rsidR="00A97590" w:rsidRPr="0038442F">
        <w:rPr>
          <w:rFonts w:ascii="Verdana" w:hAnsi="Verdana"/>
          <w:bCs/>
          <w:sz w:val="20"/>
          <w:szCs w:val="20"/>
          <w:lang w:val="pt-BR"/>
        </w:rPr>
        <w:t>responsáveis</w:t>
      </w:r>
      <w:r w:rsidR="00407242" w:rsidRPr="0038442F">
        <w:rPr>
          <w:rFonts w:ascii="Verdana" w:hAnsi="Verdana"/>
          <w:bCs/>
          <w:sz w:val="20"/>
          <w:szCs w:val="20"/>
          <w:lang w:val="pt-BR"/>
        </w:rPr>
        <w:t xml:space="preserve"> </w:t>
      </w:r>
      <w:r w:rsidR="000A1AA8" w:rsidRPr="0038442F">
        <w:rPr>
          <w:rFonts w:ascii="Verdana" w:hAnsi="Verdana"/>
          <w:bCs/>
          <w:sz w:val="20"/>
          <w:szCs w:val="20"/>
          <w:lang w:val="pt-BR"/>
        </w:rPr>
        <w:t xml:space="preserve">pela </w:t>
      </w:r>
      <w:r w:rsidR="00536CB3" w:rsidRPr="0038442F">
        <w:rPr>
          <w:rFonts w:ascii="Verdana" w:hAnsi="Verdana"/>
          <w:bCs/>
          <w:sz w:val="20"/>
          <w:szCs w:val="20"/>
          <w:lang w:val="pt-BR"/>
        </w:rPr>
        <w:t>a</w:t>
      </w:r>
      <w:r w:rsidR="000A1AA8" w:rsidRPr="0038442F">
        <w:rPr>
          <w:rFonts w:ascii="Verdana" w:hAnsi="Verdana"/>
          <w:bCs/>
          <w:sz w:val="20"/>
          <w:szCs w:val="20"/>
          <w:lang w:val="pt-BR"/>
        </w:rPr>
        <w:t>ção</w:t>
      </w:r>
      <w:r w:rsidR="00536CB3" w:rsidRPr="0038442F">
        <w:rPr>
          <w:rFonts w:ascii="Verdana" w:hAnsi="Verdana"/>
          <w:bCs/>
          <w:sz w:val="20"/>
          <w:szCs w:val="20"/>
          <w:lang w:val="pt-BR"/>
        </w:rPr>
        <w:t xml:space="preserve"> de particulares, eventualmente p</w:t>
      </w:r>
      <w:r w:rsidR="00A97590" w:rsidRPr="0038442F">
        <w:rPr>
          <w:rFonts w:ascii="Verdana" w:hAnsi="Verdana"/>
          <w:bCs/>
          <w:sz w:val="20"/>
          <w:szCs w:val="20"/>
          <w:lang w:val="pt-BR"/>
        </w:rPr>
        <w:t>odem sê-lo</w:t>
      </w:r>
      <w:r w:rsidR="006836EC" w:rsidRPr="0038442F">
        <w:rPr>
          <w:rFonts w:ascii="Verdana" w:hAnsi="Verdana"/>
          <w:bCs/>
          <w:sz w:val="20"/>
          <w:szCs w:val="20"/>
          <w:lang w:val="pt-BR"/>
        </w:rPr>
        <w:t xml:space="preserve">, </w:t>
      </w:r>
      <w:r w:rsidR="00A97590" w:rsidRPr="0038442F">
        <w:rPr>
          <w:rFonts w:ascii="Verdana" w:hAnsi="Verdana"/>
          <w:bCs/>
          <w:sz w:val="20"/>
          <w:szCs w:val="20"/>
          <w:lang w:val="pt-BR"/>
        </w:rPr>
        <w:t xml:space="preserve">caso, </w:t>
      </w:r>
      <w:r w:rsidR="006836EC" w:rsidRPr="0038442F">
        <w:rPr>
          <w:rFonts w:ascii="Verdana" w:hAnsi="Verdana"/>
          <w:bCs/>
          <w:sz w:val="20"/>
          <w:szCs w:val="20"/>
          <w:lang w:val="pt-BR"/>
        </w:rPr>
        <w:t>por u</w:t>
      </w:r>
      <w:r w:rsidR="00A97590" w:rsidRPr="0038442F">
        <w:rPr>
          <w:rFonts w:ascii="Verdana" w:hAnsi="Verdana"/>
          <w:bCs/>
          <w:sz w:val="20"/>
          <w:szCs w:val="20"/>
          <w:lang w:val="pt-BR"/>
        </w:rPr>
        <w:t>m</w:t>
      </w:r>
      <w:r w:rsidR="006836EC" w:rsidRPr="0038442F">
        <w:rPr>
          <w:rFonts w:ascii="Verdana" w:hAnsi="Verdana"/>
          <w:bCs/>
          <w:sz w:val="20"/>
          <w:szCs w:val="20"/>
          <w:lang w:val="pt-BR"/>
        </w:rPr>
        <w:t xml:space="preserve"> lado, </w:t>
      </w:r>
      <w:r w:rsidR="00A97590" w:rsidRPr="0038442F">
        <w:rPr>
          <w:rFonts w:ascii="Verdana" w:hAnsi="Verdana"/>
          <w:bCs/>
          <w:sz w:val="20"/>
          <w:szCs w:val="20"/>
          <w:lang w:val="pt-BR"/>
        </w:rPr>
        <w:t xml:space="preserve">não tenham </w:t>
      </w:r>
      <w:r w:rsidR="001C5FED" w:rsidRPr="0038442F">
        <w:rPr>
          <w:rFonts w:ascii="Verdana" w:hAnsi="Verdana"/>
          <w:bCs/>
          <w:sz w:val="20"/>
          <w:szCs w:val="20"/>
          <w:lang w:val="pt-BR"/>
        </w:rPr>
        <w:t xml:space="preserve">adotado medidas e, por outro, não tenham </w:t>
      </w:r>
      <w:r w:rsidR="00A97590" w:rsidRPr="0038442F">
        <w:rPr>
          <w:rFonts w:ascii="Verdana" w:hAnsi="Verdana"/>
          <w:bCs/>
          <w:sz w:val="20"/>
          <w:szCs w:val="20"/>
          <w:lang w:val="pt-BR"/>
        </w:rPr>
        <w:t xml:space="preserve">tornado efetivas essas </w:t>
      </w:r>
      <w:r w:rsidR="006836EC" w:rsidRPr="0038442F">
        <w:rPr>
          <w:rFonts w:ascii="Verdana" w:hAnsi="Verdana"/>
          <w:bCs/>
          <w:sz w:val="20"/>
          <w:szCs w:val="20"/>
          <w:lang w:val="pt-BR"/>
        </w:rPr>
        <w:t xml:space="preserve">medidas adotadas, </w:t>
      </w:r>
      <w:r w:rsidR="00536CB3" w:rsidRPr="0038442F">
        <w:rPr>
          <w:rFonts w:ascii="Verdana" w:hAnsi="Verdana"/>
          <w:bCs/>
          <w:sz w:val="20"/>
          <w:szCs w:val="20"/>
          <w:lang w:val="pt-BR"/>
        </w:rPr>
        <w:t xml:space="preserve">para </w:t>
      </w:r>
      <w:r w:rsidR="009612FB" w:rsidRPr="0038442F">
        <w:rPr>
          <w:rFonts w:ascii="Verdana" w:hAnsi="Verdana"/>
          <w:bCs/>
          <w:sz w:val="20"/>
          <w:szCs w:val="20"/>
          <w:lang w:val="pt-BR"/>
        </w:rPr>
        <w:t>garantir</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 xml:space="preserve">- de </w:t>
      </w:r>
      <w:r w:rsidR="00847838">
        <w:rPr>
          <w:rFonts w:ascii="Verdana" w:hAnsi="Verdana"/>
          <w:bCs/>
          <w:sz w:val="20"/>
          <w:szCs w:val="20"/>
          <w:lang w:val="pt-BR"/>
        </w:rPr>
        <w:t>forma</w:t>
      </w:r>
      <w:r w:rsidR="00847838" w:rsidRPr="0038442F">
        <w:rPr>
          <w:rFonts w:ascii="Verdana" w:hAnsi="Verdana"/>
          <w:bCs/>
          <w:sz w:val="20"/>
          <w:szCs w:val="20"/>
          <w:lang w:val="pt-BR"/>
        </w:rPr>
        <w:t xml:space="preserve"> </w:t>
      </w:r>
      <w:r w:rsidR="006836EC" w:rsidRPr="0038442F">
        <w:rPr>
          <w:rFonts w:ascii="Verdana" w:hAnsi="Verdana"/>
          <w:bCs/>
          <w:sz w:val="20"/>
          <w:szCs w:val="20"/>
          <w:lang w:val="pt-BR"/>
        </w:rPr>
        <w:t>preventiva</w:t>
      </w:r>
      <w:r w:rsidR="00A97590" w:rsidRPr="0038442F">
        <w:rPr>
          <w:rFonts w:ascii="Verdana" w:hAnsi="Verdana"/>
          <w:bCs/>
          <w:sz w:val="20"/>
          <w:szCs w:val="20"/>
          <w:lang w:val="pt-BR"/>
        </w:rPr>
        <w:t xml:space="preserve"> – os </w:t>
      </w:r>
      <w:r w:rsidR="00C92762" w:rsidRPr="0038442F">
        <w:rPr>
          <w:rFonts w:ascii="Verdana" w:hAnsi="Verdana"/>
          <w:bCs/>
          <w:sz w:val="20"/>
          <w:szCs w:val="20"/>
          <w:lang w:val="pt-BR"/>
        </w:rPr>
        <w:t xml:space="preserve">direitos </w:t>
      </w:r>
      <w:r w:rsidR="00536CB3" w:rsidRPr="0038442F">
        <w:rPr>
          <w:rFonts w:ascii="Verdana" w:hAnsi="Verdana"/>
          <w:bCs/>
          <w:sz w:val="20"/>
          <w:szCs w:val="20"/>
          <w:lang w:val="pt-BR"/>
        </w:rPr>
        <w:t>humanos</w:t>
      </w:r>
      <w:r w:rsidR="006836EC" w:rsidRPr="0038442F">
        <w:rPr>
          <w:rFonts w:ascii="Verdana" w:hAnsi="Verdana"/>
          <w:bCs/>
          <w:sz w:val="20"/>
          <w:szCs w:val="20"/>
          <w:lang w:val="pt-BR"/>
        </w:rPr>
        <w:t xml:space="preserve"> que p</w:t>
      </w:r>
      <w:r w:rsidR="00A97590" w:rsidRPr="0038442F">
        <w:rPr>
          <w:rFonts w:ascii="Verdana" w:hAnsi="Verdana"/>
          <w:bCs/>
          <w:sz w:val="20"/>
          <w:szCs w:val="20"/>
          <w:lang w:val="pt-BR"/>
        </w:rPr>
        <w:t xml:space="preserve">ossam </w:t>
      </w:r>
      <w:r w:rsidR="006836EC" w:rsidRPr="0038442F">
        <w:rPr>
          <w:rFonts w:ascii="Verdana" w:hAnsi="Verdana"/>
          <w:bCs/>
          <w:sz w:val="20"/>
          <w:szCs w:val="20"/>
          <w:lang w:val="pt-BR"/>
        </w:rPr>
        <w:t>estar e</w:t>
      </w:r>
      <w:r w:rsidR="00A97590" w:rsidRPr="0038442F">
        <w:rPr>
          <w:rFonts w:ascii="Verdana" w:hAnsi="Verdana"/>
          <w:bCs/>
          <w:sz w:val="20"/>
          <w:szCs w:val="20"/>
          <w:lang w:val="pt-BR"/>
        </w:rPr>
        <w:t>m jogo.</w:t>
      </w:r>
    </w:p>
    <w:p w14:paraId="3BBB9974" w14:textId="77777777" w:rsidR="006836EC" w:rsidRPr="0038442F" w:rsidRDefault="006836EC" w:rsidP="00DA7255">
      <w:pPr>
        <w:pStyle w:val="Prrafodelista"/>
        <w:rPr>
          <w:rFonts w:ascii="Verdana" w:hAnsi="Verdana"/>
          <w:bCs/>
          <w:sz w:val="20"/>
          <w:szCs w:val="20"/>
          <w:lang w:val="pt-BR"/>
        </w:rPr>
      </w:pPr>
    </w:p>
    <w:p w14:paraId="26FAC6B7" w14:textId="4C30E2B3" w:rsidR="00AD76EE" w:rsidRPr="0038442F" w:rsidRDefault="00536CB3" w:rsidP="00A857CB">
      <w:pPr>
        <w:pStyle w:val="Prrafodelista"/>
        <w:numPr>
          <w:ilvl w:val="0"/>
          <w:numId w:val="2"/>
        </w:numPr>
        <w:spacing w:line="240" w:lineRule="auto"/>
        <w:ind w:left="0" w:firstLine="0"/>
        <w:jc w:val="both"/>
        <w:rPr>
          <w:rFonts w:ascii="Verdana" w:hAnsi="Verdana"/>
          <w:b/>
          <w:sz w:val="20"/>
          <w:szCs w:val="20"/>
          <w:lang w:val="pt-BR"/>
        </w:rPr>
      </w:pPr>
      <w:r w:rsidRPr="0038442F">
        <w:rPr>
          <w:rFonts w:ascii="Verdana" w:hAnsi="Verdana"/>
          <w:bCs/>
          <w:sz w:val="20"/>
          <w:szCs w:val="20"/>
          <w:lang w:val="pt-BR"/>
        </w:rPr>
        <w:t xml:space="preserve">Por </w:t>
      </w:r>
      <w:r w:rsidR="00984A83" w:rsidRPr="0038442F">
        <w:rPr>
          <w:rFonts w:ascii="Verdana" w:hAnsi="Verdana"/>
          <w:bCs/>
          <w:sz w:val="20"/>
          <w:szCs w:val="20"/>
          <w:lang w:val="pt-BR"/>
        </w:rPr>
        <w:t xml:space="preserve">outro </w:t>
      </w:r>
      <w:r w:rsidRPr="0038442F">
        <w:rPr>
          <w:rFonts w:ascii="Verdana" w:hAnsi="Verdana"/>
          <w:bCs/>
          <w:sz w:val="20"/>
          <w:szCs w:val="20"/>
          <w:lang w:val="pt-BR"/>
        </w:rPr>
        <w:t xml:space="preserve">lado, os PREDH </w:t>
      </w:r>
      <w:r w:rsidR="00A97590" w:rsidRPr="0038442F">
        <w:rPr>
          <w:rFonts w:ascii="Verdana" w:hAnsi="Verdana"/>
          <w:bCs/>
          <w:sz w:val="20"/>
          <w:szCs w:val="20"/>
          <w:lang w:val="pt-BR"/>
        </w:rPr>
        <w:t xml:space="preserve">enunciam </w:t>
      </w:r>
      <w:r w:rsidRPr="0038442F">
        <w:rPr>
          <w:rFonts w:ascii="Verdana" w:hAnsi="Verdana"/>
          <w:bCs/>
          <w:sz w:val="20"/>
          <w:szCs w:val="20"/>
          <w:lang w:val="pt-BR"/>
        </w:rPr>
        <w:t xml:space="preserve">que </w:t>
      </w:r>
      <w:r w:rsidR="005135E5" w:rsidRPr="0038442F">
        <w:rPr>
          <w:rFonts w:ascii="Verdana" w:hAnsi="Verdana"/>
          <w:bCs/>
          <w:sz w:val="20"/>
          <w:szCs w:val="20"/>
          <w:lang w:val="pt-BR"/>
        </w:rPr>
        <w:t xml:space="preserve">os Estados também </w:t>
      </w:r>
      <w:r w:rsidRPr="0038442F">
        <w:rPr>
          <w:rFonts w:ascii="Verdana" w:hAnsi="Verdana"/>
          <w:bCs/>
          <w:sz w:val="20"/>
          <w:szCs w:val="20"/>
          <w:lang w:val="pt-BR"/>
        </w:rPr>
        <w:t>t</w:t>
      </w:r>
      <w:r w:rsidR="00A97590" w:rsidRPr="0038442F">
        <w:rPr>
          <w:rFonts w:ascii="Verdana" w:hAnsi="Verdana"/>
          <w:bCs/>
          <w:sz w:val="20"/>
          <w:szCs w:val="20"/>
          <w:lang w:val="pt-BR"/>
        </w:rPr>
        <w:t>êm o dever</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de </w:t>
      </w:r>
      <w:r w:rsidR="00A97590" w:rsidRPr="0038442F">
        <w:rPr>
          <w:rFonts w:ascii="Verdana" w:hAnsi="Verdana"/>
          <w:bCs/>
          <w:sz w:val="20"/>
          <w:szCs w:val="20"/>
          <w:lang w:val="pt-BR"/>
        </w:rPr>
        <w:t>cumprir</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as </w:t>
      </w:r>
      <w:r w:rsidR="00A97590" w:rsidRPr="0038442F">
        <w:rPr>
          <w:rFonts w:ascii="Verdana" w:hAnsi="Verdana"/>
          <w:bCs/>
          <w:sz w:val="20"/>
          <w:szCs w:val="20"/>
          <w:lang w:val="pt-BR"/>
        </w:rPr>
        <w:t>leis</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que </w:t>
      </w:r>
      <w:r w:rsidR="00A97590" w:rsidRPr="0038442F">
        <w:rPr>
          <w:rFonts w:ascii="Verdana" w:hAnsi="Verdana"/>
          <w:bCs/>
          <w:sz w:val="20"/>
          <w:szCs w:val="20"/>
          <w:lang w:val="pt-BR"/>
        </w:rPr>
        <w:t>tenham</w:t>
      </w:r>
      <w:r w:rsidR="00407242" w:rsidRPr="0038442F">
        <w:rPr>
          <w:rFonts w:ascii="Verdana" w:hAnsi="Verdana"/>
          <w:bCs/>
          <w:sz w:val="20"/>
          <w:szCs w:val="20"/>
          <w:lang w:val="pt-BR"/>
        </w:rPr>
        <w:t xml:space="preserve"> </w:t>
      </w:r>
      <w:r w:rsidRPr="0038442F">
        <w:rPr>
          <w:rFonts w:ascii="Verdana" w:hAnsi="Verdana"/>
          <w:bCs/>
          <w:sz w:val="20"/>
          <w:szCs w:val="20"/>
          <w:lang w:val="pt-BR"/>
        </w:rPr>
        <w:t>por objeto o</w:t>
      </w:r>
      <w:r w:rsidR="00A97590" w:rsidRPr="0038442F">
        <w:rPr>
          <w:rFonts w:ascii="Verdana" w:hAnsi="Verdana"/>
          <w:bCs/>
          <w:sz w:val="20"/>
          <w:szCs w:val="20"/>
          <w:lang w:val="pt-BR"/>
        </w:rPr>
        <w:t>u</w:t>
      </w:r>
      <w:r w:rsidRPr="0038442F">
        <w:rPr>
          <w:rFonts w:ascii="Verdana" w:hAnsi="Verdana"/>
          <w:bCs/>
          <w:sz w:val="20"/>
          <w:szCs w:val="20"/>
          <w:lang w:val="pt-BR"/>
        </w:rPr>
        <w:t xml:space="preserve"> por </w:t>
      </w:r>
      <w:r w:rsidR="00A97590" w:rsidRPr="0038442F">
        <w:rPr>
          <w:rFonts w:ascii="Verdana" w:hAnsi="Verdana"/>
          <w:bCs/>
          <w:sz w:val="20"/>
          <w:szCs w:val="20"/>
          <w:lang w:val="pt-BR"/>
        </w:rPr>
        <w:t xml:space="preserve">efeito fazer </w:t>
      </w:r>
      <w:r w:rsidR="00295A2D">
        <w:rPr>
          <w:rFonts w:ascii="Verdana" w:hAnsi="Verdana"/>
          <w:bCs/>
          <w:sz w:val="20"/>
          <w:szCs w:val="20"/>
          <w:lang w:val="pt-BR"/>
        </w:rPr>
        <w:t xml:space="preserve">com </w:t>
      </w:r>
      <w:r w:rsidR="00A97590" w:rsidRPr="0038442F">
        <w:rPr>
          <w:rFonts w:ascii="Verdana" w:hAnsi="Verdana"/>
          <w:bCs/>
          <w:sz w:val="20"/>
          <w:szCs w:val="20"/>
          <w:lang w:val="pt-BR"/>
        </w:rPr>
        <w:t xml:space="preserve">que as empresas respeitem </w:t>
      </w:r>
      <w:r w:rsidR="00C92762" w:rsidRPr="0038442F">
        <w:rPr>
          <w:rFonts w:ascii="Verdana" w:hAnsi="Verdana"/>
          <w:bCs/>
          <w:sz w:val="20"/>
          <w:szCs w:val="20"/>
          <w:lang w:val="pt-BR"/>
        </w:rPr>
        <w:t xml:space="preserve">os direitos </w:t>
      </w:r>
      <w:r w:rsidRPr="0038442F">
        <w:rPr>
          <w:rFonts w:ascii="Verdana" w:hAnsi="Verdana"/>
          <w:bCs/>
          <w:sz w:val="20"/>
          <w:szCs w:val="20"/>
          <w:lang w:val="pt-BR"/>
        </w:rPr>
        <w:t xml:space="preserve">humanos, </w:t>
      </w:r>
      <w:r w:rsidR="00A97590" w:rsidRPr="0038442F">
        <w:rPr>
          <w:rFonts w:ascii="Verdana" w:hAnsi="Verdana"/>
          <w:bCs/>
          <w:sz w:val="20"/>
          <w:szCs w:val="20"/>
          <w:lang w:val="pt-BR"/>
        </w:rPr>
        <w:t xml:space="preserve">mas </w:t>
      </w:r>
      <w:r w:rsidR="005135E5" w:rsidRPr="0038442F">
        <w:rPr>
          <w:rFonts w:ascii="Verdana" w:hAnsi="Verdana"/>
          <w:bCs/>
          <w:sz w:val="20"/>
          <w:szCs w:val="20"/>
          <w:lang w:val="pt-BR"/>
        </w:rPr>
        <w:t>também</w:t>
      </w:r>
      <w:r w:rsidR="00407242" w:rsidRPr="0038442F">
        <w:rPr>
          <w:rFonts w:ascii="Verdana" w:hAnsi="Verdana"/>
          <w:bCs/>
          <w:sz w:val="20"/>
          <w:szCs w:val="20"/>
          <w:lang w:val="pt-BR"/>
        </w:rPr>
        <w:t xml:space="preserve"> </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Pr="0038442F">
        <w:rPr>
          <w:rFonts w:ascii="Verdana" w:hAnsi="Verdana"/>
          <w:bCs/>
          <w:sz w:val="20"/>
          <w:szCs w:val="20"/>
          <w:lang w:val="pt-BR"/>
        </w:rPr>
        <w:t>“</w:t>
      </w:r>
      <w:r w:rsidR="00A97590" w:rsidRPr="0038442F">
        <w:rPr>
          <w:rFonts w:ascii="Verdana" w:hAnsi="Verdana"/>
          <w:bCs/>
          <w:sz w:val="20"/>
          <w:szCs w:val="20"/>
          <w:lang w:val="pt-BR"/>
        </w:rPr>
        <w:t xml:space="preserve">avaliar periodicamente se </w:t>
      </w:r>
      <w:r w:rsidR="00B57DAC" w:rsidRPr="0038442F">
        <w:rPr>
          <w:rFonts w:ascii="Verdana" w:hAnsi="Verdana"/>
          <w:bCs/>
          <w:sz w:val="20"/>
          <w:szCs w:val="20"/>
          <w:lang w:val="pt-BR"/>
        </w:rPr>
        <w:t>essas</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leis</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 xml:space="preserve">são adequadas e </w:t>
      </w:r>
      <w:r w:rsidRPr="0038442F">
        <w:rPr>
          <w:rFonts w:ascii="Verdana" w:hAnsi="Verdana"/>
          <w:bCs/>
          <w:sz w:val="20"/>
          <w:szCs w:val="20"/>
          <w:lang w:val="pt-BR"/>
        </w:rPr>
        <w:t>remediar eventu</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Pr="0038442F">
        <w:rPr>
          <w:rFonts w:ascii="Verdana" w:hAnsi="Verdana"/>
          <w:bCs/>
          <w:sz w:val="20"/>
          <w:szCs w:val="20"/>
          <w:lang w:val="pt-BR"/>
        </w:rPr>
        <w:t>car</w:t>
      </w:r>
      <w:r w:rsidR="00A97590" w:rsidRPr="0038442F">
        <w:rPr>
          <w:rFonts w:ascii="Verdana" w:hAnsi="Verdana"/>
          <w:bCs/>
          <w:sz w:val="20"/>
          <w:szCs w:val="20"/>
          <w:lang w:val="pt-BR"/>
        </w:rPr>
        <w:t>ê</w:t>
      </w:r>
      <w:r w:rsidRPr="0038442F">
        <w:rPr>
          <w:rFonts w:ascii="Verdana" w:hAnsi="Verdana"/>
          <w:bCs/>
          <w:sz w:val="20"/>
          <w:szCs w:val="20"/>
          <w:lang w:val="pt-BR"/>
        </w:rPr>
        <w:t>ncias”</w:t>
      </w:r>
      <w:r w:rsidR="00A97590" w:rsidRPr="0038442F">
        <w:rPr>
          <w:rFonts w:ascii="Verdana" w:hAnsi="Verdana"/>
          <w:bCs/>
          <w:sz w:val="20"/>
          <w:szCs w:val="20"/>
          <w:lang w:val="pt-BR"/>
        </w:rPr>
        <w:t>.</w:t>
      </w:r>
      <w:r w:rsidRPr="0038442F">
        <w:rPr>
          <w:rStyle w:val="Refdenotaalpie"/>
          <w:rFonts w:ascii="Verdana" w:hAnsi="Verdana"/>
          <w:bCs/>
          <w:sz w:val="20"/>
          <w:szCs w:val="20"/>
          <w:lang w:val="pt-BR"/>
        </w:rPr>
        <w:footnoteReference w:id="17"/>
      </w:r>
      <w:r w:rsidR="00407242" w:rsidRPr="0038442F">
        <w:rPr>
          <w:rFonts w:ascii="Verdana" w:hAnsi="Verdana"/>
          <w:bCs/>
          <w:sz w:val="20"/>
          <w:szCs w:val="20"/>
          <w:lang w:val="pt-BR"/>
        </w:rPr>
        <w:t xml:space="preserve"> </w:t>
      </w:r>
      <w:r w:rsidRPr="0038442F">
        <w:rPr>
          <w:rFonts w:ascii="Verdana" w:hAnsi="Verdana"/>
          <w:bCs/>
          <w:sz w:val="20"/>
          <w:szCs w:val="20"/>
          <w:lang w:val="pt-BR"/>
        </w:rPr>
        <w:t>Finalmente,</w:t>
      </w:r>
      <w:r w:rsidR="003F0394" w:rsidRPr="0038442F">
        <w:rPr>
          <w:rFonts w:ascii="Verdana" w:hAnsi="Verdana"/>
          <w:bCs/>
          <w:sz w:val="20"/>
          <w:szCs w:val="20"/>
          <w:lang w:val="pt-BR"/>
        </w:rPr>
        <w:t xml:space="preserve"> os </w:t>
      </w:r>
      <w:r w:rsidR="008806F8" w:rsidRPr="0038442F">
        <w:rPr>
          <w:rFonts w:ascii="Verdana" w:hAnsi="Verdana"/>
          <w:bCs/>
          <w:sz w:val="20"/>
          <w:szCs w:val="20"/>
          <w:lang w:val="pt-BR"/>
        </w:rPr>
        <w:t>princípios</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estabelecem</w:t>
      </w:r>
      <w:r w:rsidR="00407242" w:rsidRPr="0038442F">
        <w:rPr>
          <w:rFonts w:ascii="Verdana" w:hAnsi="Verdana"/>
          <w:bCs/>
          <w:sz w:val="20"/>
          <w:szCs w:val="20"/>
          <w:lang w:val="pt-BR"/>
        </w:rPr>
        <w:t xml:space="preserve"> </w:t>
      </w:r>
      <w:r w:rsidR="003F0394" w:rsidRPr="0038442F">
        <w:rPr>
          <w:rFonts w:ascii="Verdana" w:hAnsi="Verdana"/>
          <w:bCs/>
          <w:sz w:val="20"/>
          <w:szCs w:val="20"/>
          <w:lang w:val="pt-BR"/>
        </w:rPr>
        <w:t>que</w:t>
      </w:r>
      <w:r w:rsidRPr="0038442F">
        <w:rPr>
          <w:rFonts w:ascii="Verdana" w:hAnsi="Verdana"/>
          <w:bCs/>
          <w:sz w:val="20"/>
          <w:szCs w:val="20"/>
          <w:lang w:val="pt-BR"/>
        </w:rPr>
        <w:t xml:space="preserve"> </w:t>
      </w:r>
      <w:r w:rsidR="003F0394" w:rsidRPr="0038442F">
        <w:rPr>
          <w:rFonts w:ascii="Verdana" w:hAnsi="Verdana"/>
          <w:bCs/>
          <w:sz w:val="20"/>
          <w:szCs w:val="20"/>
          <w:lang w:val="pt-BR"/>
        </w:rPr>
        <w:t>os</w:t>
      </w:r>
      <w:r w:rsidRPr="0038442F">
        <w:rPr>
          <w:rFonts w:ascii="Verdana" w:hAnsi="Verdana"/>
          <w:bCs/>
          <w:sz w:val="20"/>
          <w:szCs w:val="20"/>
          <w:lang w:val="pt-BR"/>
        </w:rPr>
        <w:t xml:space="preserve"> Estado</w:t>
      </w:r>
      <w:r w:rsidR="003F0394" w:rsidRPr="0038442F">
        <w:rPr>
          <w:rFonts w:ascii="Verdana" w:hAnsi="Verdana"/>
          <w:bCs/>
          <w:sz w:val="20"/>
          <w:szCs w:val="20"/>
          <w:lang w:val="pt-BR"/>
        </w:rPr>
        <w:t>s,</w:t>
      </w:r>
      <w:r w:rsidRPr="0038442F">
        <w:rPr>
          <w:rFonts w:ascii="Verdana" w:hAnsi="Verdana"/>
          <w:bCs/>
          <w:sz w:val="20"/>
          <w:szCs w:val="20"/>
          <w:lang w:val="pt-BR"/>
        </w:rPr>
        <w:t xml:space="preserve"> como garante</w:t>
      </w:r>
      <w:r w:rsidR="006836EC" w:rsidRPr="0038442F">
        <w:rPr>
          <w:rFonts w:ascii="Verdana" w:hAnsi="Verdana"/>
          <w:bCs/>
          <w:sz w:val="20"/>
          <w:szCs w:val="20"/>
          <w:lang w:val="pt-BR"/>
        </w:rPr>
        <w:t xml:space="preserve">s </w:t>
      </w:r>
      <w:r w:rsidR="00C92762" w:rsidRPr="0038442F">
        <w:rPr>
          <w:rFonts w:ascii="Verdana" w:hAnsi="Verdana"/>
          <w:bCs/>
          <w:sz w:val="20"/>
          <w:szCs w:val="20"/>
          <w:lang w:val="pt-BR"/>
        </w:rPr>
        <w:t xml:space="preserve">dos direitos </w:t>
      </w:r>
      <w:r w:rsidRPr="0038442F">
        <w:rPr>
          <w:rFonts w:ascii="Verdana" w:hAnsi="Verdana"/>
          <w:bCs/>
          <w:sz w:val="20"/>
          <w:szCs w:val="20"/>
          <w:lang w:val="pt-BR"/>
        </w:rPr>
        <w:t xml:space="preserve">humanos </w:t>
      </w:r>
      <w:r w:rsidR="00C92762" w:rsidRPr="0038442F">
        <w:rPr>
          <w:rFonts w:ascii="Verdana" w:hAnsi="Verdana"/>
          <w:bCs/>
          <w:sz w:val="20"/>
          <w:szCs w:val="20"/>
          <w:lang w:val="pt-BR"/>
        </w:rPr>
        <w:t>das pessoas</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que se </w:t>
      </w:r>
      <w:r w:rsidR="00BF7A10" w:rsidRPr="0038442F">
        <w:rPr>
          <w:rFonts w:ascii="Verdana" w:hAnsi="Verdana"/>
          <w:bCs/>
          <w:sz w:val="20"/>
          <w:szCs w:val="20"/>
          <w:lang w:val="pt-BR"/>
        </w:rPr>
        <w:t>encontram</w:t>
      </w:r>
      <w:r w:rsidR="00407242" w:rsidRPr="0038442F">
        <w:rPr>
          <w:rFonts w:ascii="Verdana" w:hAnsi="Verdana"/>
          <w:bCs/>
          <w:sz w:val="20"/>
          <w:szCs w:val="20"/>
          <w:lang w:val="pt-BR"/>
        </w:rPr>
        <w:t xml:space="preserve"> </w:t>
      </w:r>
      <w:r w:rsidR="00333E04" w:rsidRPr="0038442F">
        <w:rPr>
          <w:rFonts w:ascii="Verdana" w:hAnsi="Verdana"/>
          <w:bCs/>
          <w:sz w:val="20"/>
          <w:szCs w:val="20"/>
          <w:lang w:val="pt-BR"/>
        </w:rPr>
        <w:t>em</w:t>
      </w:r>
      <w:r w:rsidR="00E24AEB" w:rsidRPr="0038442F">
        <w:rPr>
          <w:rFonts w:ascii="Verdana" w:hAnsi="Verdana"/>
          <w:bCs/>
          <w:sz w:val="20"/>
          <w:szCs w:val="20"/>
          <w:lang w:val="pt-BR"/>
        </w:rPr>
        <w:t xml:space="preserve"> </w:t>
      </w:r>
      <w:r w:rsidR="009F06E2" w:rsidRPr="0038442F">
        <w:rPr>
          <w:rFonts w:ascii="Verdana" w:hAnsi="Verdana"/>
          <w:bCs/>
          <w:sz w:val="20"/>
          <w:szCs w:val="20"/>
          <w:lang w:val="pt-BR"/>
        </w:rPr>
        <w:t>sua jurisdição</w:t>
      </w:r>
      <w:r w:rsidR="003F0394" w:rsidRPr="0038442F">
        <w:rPr>
          <w:rFonts w:ascii="Verdana" w:hAnsi="Verdana"/>
          <w:bCs/>
          <w:sz w:val="20"/>
          <w:szCs w:val="20"/>
          <w:lang w:val="pt-BR"/>
        </w:rPr>
        <w:t>,</w:t>
      </w:r>
      <w:r w:rsidRPr="0038442F">
        <w:rPr>
          <w:rFonts w:ascii="Verdana" w:hAnsi="Verdana"/>
          <w:bCs/>
          <w:sz w:val="20"/>
          <w:szCs w:val="20"/>
          <w:lang w:val="pt-BR"/>
        </w:rPr>
        <w:t xml:space="preserve"> “</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Pr="0038442F">
        <w:rPr>
          <w:rFonts w:ascii="Verdana" w:hAnsi="Verdana"/>
          <w:bCs/>
          <w:sz w:val="20"/>
          <w:szCs w:val="20"/>
          <w:lang w:val="pt-BR"/>
        </w:rPr>
        <w:t>e</w:t>
      </w:r>
      <w:r w:rsidR="00A97590" w:rsidRPr="0038442F">
        <w:rPr>
          <w:rFonts w:ascii="Verdana" w:hAnsi="Verdana"/>
          <w:bCs/>
          <w:sz w:val="20"/>
          <w:szCs w:val="20"/>
          <w:lang w:val="pt-BR"/>
        </w:rPr>
        <w:t>x</w:t>
      </w:r>
      <w:r w:rsidRPr="0038442F">
        <w:rPr>
          <w:rFonts w:ascii="Verdana" w:hAnsi="Verdana"/>
          <w:bCs/>
          <w:sz w:val="20"/>
          <w:szCs w:val="20"/>
          <w:lang w:val="pt-BR"/>
        </w:rPr>
        <w:t xml:space="preserve">ercer </w:t>
      </w:r>
      <w:r w:rsidR="00C92762" w:rsidRPr="0038442F">
        <w:rPr>
          <w:rFonts w:ascii="Verdana" w:hAnsi="Verdana"/>
          <w:bCs/>
          <w:sz w:val="20"/>
          <w:szCs w:val="20"/>
          <w:lang w:val="pt-BR"/>
        </w:rPr>
        <w:t>uma</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supervisão</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 xml:space="preserve">adequada, com </w:t>
      </w:r>
      <w:r w:rsidRPr="0038442F">
        <w:rPr>
          <w:rFonts w:ascii="Verdana" w:hAnsi="Verdana"/>
          <w:bCs/>
          <w:sz w:val="20"/>
          <w:szCs w:val="20"/>
          <w:lang w:val="pt-BR"/>
        </w:rPr>
        <w:t xml:space="preserve">vistas a </w:t>
      </w:r>
      <w:r w:rsidR="00A97590" w:rsidRPr="0038442F">
        <w:rPr>
          <w:rFonts w:ascii="Verdana" w:hAnsi="Verdana"/>
          <w:bCs/>
          <w:sz w:val="20"/>
          <w:szCs w:val="20"/>
          <w:lang w:val="pt-BR"/>
        </w:rPr>
        <w:t>cumprir</w:t>
      </w:r>
      <w:r w:rsidR="00407242" w:rsidRPr="0038442F">
        <w:rPr>
          <w:rFonts w:ascii="Verdana" w:hAnsi="Verdana"/>
          <w:bCs/>
          <w:sz w:val="20"/>
          <w:szCs w:val="20"/>
          <w:lang w:val="pt-BR"/>
        </w:rPr>
        <w:t xml:space="preserve"> </w:t>
      </w:r>
      <w:r w:rsidRPr="0038442F">
        <w:rPr>
          <w:rFonts w:ascii="Verdana" w:hAnsi="Verdana"/>
          <w:bCs/>
          <w:sz w:val="20"/>
          <w:szCs w:val="20"/>
          <w:lang w:val="pt-BR"/>
        </w:rPr>
        <w:t>su</w:t>
      </w:r>
      <w:r w:rsidR="00A97590" w:rsidRPr="0038442F">
        <w:rPr>
          <w:rFonts w:ascii="Verdana" w:hAnsi="Verdana"/>
          <w:bCs/>
          <w:sz w:val="20"/>
          <w:szCs w:val="20"/>
          <w:lang w:val="pt-BR"/>
        </w:rPr>
        <w:t>a</w:t>
      </w:r>
      <w:r w:rsidRPr="0038442F">
        <w:rPr>
          <w:rFonts w:ascii="Verdana" w:hAnsi="Verdana"/>
          <w:bCs/>
          <w:sz w:val="20"/>
          <w:szCs w:val="20"/>
          <w:lang w:val="pt-BR"/>
        </w:rPr>
        <w:t xml:space="preserve">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Pr="0038442F">
        <w:rPr>
          <w:rFonts w:ascii="Verdana" w:hAnsi="Verdana"/>
          <w:bCs/>
          <w:sz w:val="20"/>
          <w:szCs w:val="20"/>
          <w:lang w:val="pt-BR"/>
        </w:rPr>
        <w:t>internacion</w:t>
      </w:r>
      <w:r w:rsidR="00C92762" w:rsidRPr="0038442F">
        <w:rPr>
          <w:rFonts w:ascii="Verdana" w:hAnsi="Verdana"/>
          <w:bCs/>
          <w:sz w:val="20"/>
          <w:szCs w:val="20"/>
          <w:lang w:val="pt-BR"/>
        </w:rPr>
        <w:t>ais</w:t>
      </w:r>
      <w:r w:rsidRPr="0038442F">
        <w:rPr>
          <w:rFonts w:ascii="Verdana" w:hAnsi="Verdana"/>
          <w:bCs/>
          <w:sz w:val="20"/>
          <w:szCs w:val="20"/>
          <w:lang w:val="pt-BR"/>
        </w:rPr>
        <w:t>”</w:t>
      </w:r>
      <w:r w:rsidR="00A97590" w:rsidRPr="0038442F">
        <w:rPr>
          <w:rFonts w:ascii="Verdana" w:hAnsi="Verdana"/>
          <w:bCs/>
          <w:sz w:val="20"/>
          <w:szCs w:val="20"/>
          <w:lang w:val="pt-BR"/>
        </w:rPr>
        <w:t>,</w:t>
      </w:r>
      <w:r w:rsidRPr="0038442F">
        <w:rPr>
          <w:rStyle w:val="Refdenotaalpie"/>
          <w:rFonts w:ascii="Verdana" w:hAnsi="Verdana"/>
          <w:bCs/>
          <w:sz w:val="20"/>
          <w:szCs w:val="20"/>
          <w:lang w:val="pt-BR"/>
        </w:rPr>
        <w:footnoteReference w:id="18"/>
      </w:r>
      <w:r w:rsidRPr="0038442F">
        <w:rPr>
          <w:rFonts w:ascii="Verdana" w:hAnsi="Verdana"/>
          <w:bCs/>
          <w:sz w:val="20"/>
          <w:szCs w:val="20"/>
          <w:lang w:val="pt-BR"/>
        </w:rPr>
        <w:t xml:space="preserve"> e</w:t>
      </w:r>
      <w:r w:rsidR="00A97590" w:rsidRPr="0038442F">
        <w:rPr>
          <w:rFonts w:ascii="Verdana" w:hAnsi="Verdana"/>
          <w:bCs/>
          <w:sz w:val="20"/>
          <w:szCs w:val="20"/>
          <w:lang w:val="pt-BR"/>
        </w:rPr>
        <w:t xml:space="preserve">m especial </w:t>
      </w:r>
      <w:r w:rsidRPr="0038442F">
        <w:rPr>
          <w:rFonts w:ascii="Verdana" w:hAnsi="Verdana"/>
          <w:sz w:val="20"/>
          <w:szCs w:val="20"/>
          <w:lang w:val="pt-BR"/>
        </w:rPr>
        <w:t xml:space="preserve">mediante mecanismos </w:t>
      </w:r>
      <w:r w:rsidR="00A97590" w:rsidRPr="0038442F">
        <w:rPr>
          <w:rFonts w:ascii="Verdana" w:hAnsi="Verdana"/>
          <w:sz w:val="20"/>
          <w:szCs w:val="20"/>
          <w:lang w:val="pt-BR"/>
        </w:rPr>
        <w:t>adequados</w:t>
      </w:r>
      <w:r w:rsidR="00407242" w:rsidRPr="0038442F">
        <w:rPr>
          <w:rFonts w:ascii="Verdana" w:hAnsi="Verdana"/>
          <w:sz w:val="20"/>
          <w:szCs w:val="20"/>
          <w:lang w:val="pt-BR"/>
        </w:rPr>
        <w:t xml:space="preserve"> </w:t>
      </w:r>
      <w:r w:rsidRPr="0038442F">
        <w:rPr>
          <w:rFonts w:ascii="Verdana" w:hAnsi="Verdana"/>
          <w:sz w:val="20"/>
          <w:szCs w:val="20"/>
          <w:lang w:val="pt-BR"/>
        </w:rPr>
        <w:t xml:space="preserve">e independentes de </w:t>
      </w:r>
      <w:r w:rsidR="00A97590" w:rsidRPr="0038442F">
        <w:rPr>
          <w:rFonts w:ascii="Verdana" w:hAnsi="Verdana"/>
          <w:sz w:val="20"/>
          <w:szCs w:val="20"/>
          <w:lang w:val="pt-BR"/>
        </w:rPr>
        <w:t>supervisão</w:t>
      </w:r>
      <w:r w:rsidR="00407242" w:rsidRPr="0038442F">
        <w:rPr>
          <w:rFonts w:ascii="Verdana" w:hAnsi="Verdana"/>
          <w:sz w:val="20"/>
          <w:szCs w:val="20"/>
          <w:lang w:val="pt-BR"/>
        </w:rPr>
        <w:t xml:space="preserve"> </w:t>
      </w:r>
      <w:r w:rsidR="00A97590" w:rsidRPr="0038442F">
        <w:rPr>
          <w:rFonts w:ascii="Verdana" w:hAnsi="Verdana"/>
          <w:sz w:val="20"/>
          <w:szCs w:val="20"/>
          <w:lang w:val="pt-BR"/>
        </w:rPr>
        <w:t>e</w:t>
      </w:r>
      <w:r w:rsidRPr="0038442F">
        <w:rPr>
          <w:rFonts w:ascii="Verdana" w:hAnsi="Verdana"/>
          <w:sz w:val="20"/>
          <w:szCs w:val="20"/>
          <w:lang w:val="pt-BR"/>
        </w:rPr>
        <w:t xml:space="preserve"> de </w:t>
      </w:r>
      <w:r w:rsidR="00A97590" w:rsidRPr="0038442F">
        <w:rPr>
          <w:rFonts w:ascii="Verdana" w:hAnsi="Verdana"/>
          <w:sz w:val="20"/>
          <w:szCs w:val="20"/>
          <w:lang w:val="pt-BR"/>
        </w:rPr>
        <w:t>responsabilização</w:t>
      </w:r>
      <w:r w:rsidRPr="0038442F">
        <w:rPr>
          <w:rFonts w:ascii="Verdana" w:hAnsi="Verdana"/>
          <w:sz w:val="20"/>
          <w:szCs w:val="20"/>
          <w:lang w:val="pt-BR"/>
        </w:rPr>
        <w:t xml:space="preserve">. </w:t>
      </w:r>
    </w:p>
    <w:p w14:paraId="7DA63092" w14:textId="77777777" w:rsidR="00D63D3F" w:rsidRPr="0038442F" w:rsidRDefault="00D63D3F" w:rsidP="00A857CB">
      <w:pPr>
        <w:pStyle w:val="Prrafodelista"/>
        <w:spacing w:line="240" w:lineRule="auto"/>
        <w:ind w:left="0"/>
        <w:jc w:val="both"/>
        <w:rPr>
          <w:rFonts w:ascii="Verdana" w:hAnsi="Verdana"/>
          <w:b/>
          <w:sz w:val="20"/>
          <w:szCs w:val="20"/>
          <w:lang w:val="pt-BR"/>
        </w:rPr>
      </w:pPr>
    </w:p>
    <w:p w14:paraId="6BA245ED" w14:textId="150021AB" w:rsidR="006836EC" w:rsidRPr="0038442F" w:rsidRDefault="003F0394"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 xml:space="preserve">Como </w:t>
      </w:r>
      <w:r w:rsidR="006836EC" w:rsidRPr="0038442F">
        <w:rPr>
          <w:rFonts w:ascii="Verdana" w:hAnsi="Verdana"/>
          <w:bCs/>
          <w:sz w:val="20"/>
          <w:szCs w:val="20"/>
          <w:lang w:val="pt-BR"/>
        </w:rPr>
        <w:t xml:space="preserve">se </w:t>
      </w:r>
      <w:r w:rsidR="00A97590" w:rsidRPr="0038442F">
        <w:rPr>
          <w:rFonts w:ascii="Verdana" w:hAnsi="Verdana"/>
          <w:bCs/>
          <w:sz w:val="20"/>
          <w:szCs w:val="20"/>
          <w:lang w:val="pt-BR"/>
        </w:rPr>
        <w:t xml:space="preserve">mencionou, o </w:t>
      </w:r>
      <w:r w:rsidRPr="0038442F">
        <w:rPr>
          <w:rFonts w:ascii="Verdana" w:hAnsi="Verdana"/>
          <w:bCs/>
          <w:sz w:val="20"/>
          <w:szCs w:val="20"/>
          <w:lang w:val="pt-BR"/>
        </w:rPr>
        <w:t xml:space="preserve">decidido </w:t>
      </w:r>
      <w:r w:rsidR="00A97590" w:rsidRPr="0038442F">
        <w:rPr>
          <w:rFonts w:ascii="Verdana" w:hAnsi="Verdana"/>
          <w:bCs/>
          <w:sz w:val="20"/>
          <w:szCs w:val="20"/>
          <w:lang w:val="pt-BR"/>
        </w:rPr>
        <w:t>pela</w:t>
      </w:r>
      <w:r w:rsidR="00407242" w:rsidRPr="0038442F">
        <w:rPr>
          <w:rFonts w:ascii="Verdana" w:hAnsi="Verdana"/>
          <w:bCs/>
          <w:sz w:val="20"/>
          <w:szCs w:val="20"/>
          <w:lang w:val="pt-BR"/>
        </w:rPr>
        <w:t xml:space="preserve"> </w:t>
      </w:r>
      <w:r w:rsidR="008806F8" w:rsidRPr="0038442F">
        <w:rPr>
          <w:rFonts w:ascii="Verdana" w:hAnsi="Verdana"/>
          <w:bCs/>
          <w:sz w:val="20"/>
          <w:szCs w:val="20"/>
          <w:lang w:val="pt-BR"/>
        </w:rPr>
        <w:t xml:space="preserve">Corte </w:t>
      </w:r>
      <w:r w:rsidR="00A97590" w:rsidRPr="0038442F">
        <w:rPr>
          <w:rFonts w:ascii="Verdana" w:hAnsi="Verdana"/>
          <w:bCs/>
          <w:sz w:val="20"/>
          <w:szCs w:val="20"/>
          <w:lang w:val="pt-BR"/>
        </w:rPr>
        <w:t xml:space="preserve">IDH é coerente com as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dos </w:t>
      </w:r>
      <w:r w:rsidRPr="0038442F">
        <w:rPr>
          <w:rFonts w:ascii="Verdana" w:hAnsi="Verdana"/>
          <w:bCs/>
          <w:sz w:val="20"/>
          <w:szCs w:val="20"/>
          <w:lang w:val="pt-BR"/>
        </w:rPr>
        <w:t xml:space="preserve">Estados </w:t>
      </w:r>
      <w:r w:rsidR="00A97590" w:rsidRPr="0038442F">
        <w:rPr>
          <w:rFonts w:ascii="Verdana" w:hAnsi="Verdana"/>
          <w:bCs/>
          <w:sz w:val="20"/>
          <w:szCs w:val="20"/>
          <w:lang w:val="pt-BR"/>
        </w:rPr>
        <w:t xml:space="preserve">na área </w:t>
      </w:r>
      <w:r w:rsidR="00C92762" w:rsidRPr="0038442F">
        <w:rPr>
          <w:rFonts w:ascii="Verdana" w:hAnsi="Verdana"/>
          <w:bCs/>
          <w:sz w:val="20"/>
          <w:szCs w:val="20"/>
          <w:lang w:val="pt-BR"/>
        </w:rPr>
        <w:t xml:space="preserve">dos direitos </w:t>
      </w:r>
      <w:r w:rsidRPr="0038442F">
        <w:rPr>
          <w:rFonts w:ascii="Verdana" w:hAnsi="Verdana"/>
          <w:bCs/>
          <w:sz w:val="20"/>
          <w:szCs w:val="20"/>
          <w:lang w:val="pt-BR"/>
        </w:rPr>
        <w:t xml:space="preserve">humanos </w:t>
      </w:r>
      <w:r w:rsidR="00A97590" w:rsidRPr="0038442F">
        <w:rPr>
          <w:rFonts w:ascii="Verdana" w:hAnsi="Verdana"/>
          <w:bCs/>
          <w:sz w:val="20"/>
          <w:szCs w:val="20"/>
          <w:lang w:val="pt-BR"/>
        </w:rPr>
        <w:t>e</w:t>
      </w:r>
      <w:r w:rsidRPr="0038442F">
        <w:rPr>
          <w:rFonts w:ascii="Verdana" w:hAnsi="Verdana"/>
          <w:bCs/>
          <w:sz w:val="20"/>
          <w:szCs w:val="20"/>
          <w:lang w:val="pt-BR"/>
        </w:rPr>
        <w:t xml:space="preserve"> </w:t>
      </w:r>
      <w:r w:rsidR="00A97590" w:rsidRPr="0038442F">
        <w:rPr>
          <w:rFonts w:ascii="Verdana" w:hAnsi="Verdana"/>
          <w:bCs/>
          <w:sz w:val="20"/>
          <w:szCs w:val="20"/>
          <w:lang w:val="pt-BR"/>
        </w:rPr>
        <w:t>d</w:t>
      </w:r>
      <w:r w:rsidRPr="0038442F">
        <w:rPr>
          <w:rFonts w:ascii="Verdana" w:hAnsi="Verdana"/>
          <w:bCs/>
          <w:sz w:val="20"/>
          <w:szCs w:val="20"/>
          <w:lang w:val="pt-BR"/>
        </w:rPr>
        <w:t xml:space="preserve">as empresas. </w:t>
      </w:r>
      <w:r w:rsidR="00A97590" w:rsidRPr="0038442F">
        <w:rPr>
          <w:rFonts w:ascii="Verdana" w:hAnsi="Verdana"/>
          <w:bCs/>
          <w:sz w:val="20"/>
          <w:szCs w:val="20"/>
          <w:lang w:val="pt-BR"/>
        </w:rPr>
        <w:t>Desse modo, por exemplo</w:t>
      </w:r>
      <w:r w:rsidRPr="0038442F">
        <w:rPr>
          <w:rFonts w:ascii="Verdana" w:hAnsi="Verdana"/>
          <w:bCs/>
          <w:sz w:val="20"/>
          <w:szCs w:val="20"/>
          <w:lang w:val="pt-BR"/>
        </w:rPr>
        <w:t xml:space="preserve">, </w:t>
      </w:r>
      <w:r w:rsidR="00AD76EE" w:rsidRPr="0038442F">
        <w:rPr>
          <w:rFonts w:ascii="Verdana" w:hAnsi="Verdana"/>
          <w:bCs/>
          <w:sz w:val="20"/>
          <w:szCs w:val="20"/>
          <w:lang w:val="pt-BR"/>
        </w:rPr>
        <w:t xml:space="preserve">a </w:t>
      </w:r>
      <w:r w:rsidR="0023007F" w:rsidRPr="0038442F">
        <w:rPr>
          <w:rFonts w:ascii="Verdana" w:hAnsi="Verdana"/>
          <w:bCs/>
          <w:sz w:val="20"/>
          <w:szCs w:val="20"/>
          <w:lang w:val="pt-BR"/>
        </w:rPr>
        <w:t>Comissão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Interamericana de </w:t>
      </w:r>
      <w:r w:rsidR="00C92762"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Humanos</w:t>
      </w:r>
      <w:r w:rsidR="006836EC" w:rsidRPr="0038442F">
        <w:rPr>
          <w:rFonts w:ascii="Verdana" w:hAnsi="Verdana"/>
          <w:bCs/>
          <w:sz w:val="20"/>
          <w:szCs w:val="20"/>
          <w:lang w:val="pt-BR"/>
        </w:rPr>
        <w:t xml:space="preserve"> (</w:t>
      </w:r>
      <w:r w:rsidR="0023007F" w:rsidRPr="0038442F">
        <w:rPr>
          <w:rFonts w:ascii="Verdana" w:hAnsi="Verdana"/>
          <w:bCs/>
          <w:sz w:val="20"/>
          <w:szCs w:val="20"/>
          <w:lang w:val="pt-BR"/>
        </w:rPr>
        <w:t xml:space="preserve">doravante denominada </w:t>
      </w:r>
      <w:r w:rsidR="006836EC" w:rsidRPr="0038442F">
        <w:rPr>
          <w:rFonts w:ascii="Verdana" w:hAnsi="Verdana"/>
          <w:bCs/>
          <w:sz w:val="20"/>
          <w:szCs w:val="20"/>
          <w:lang w:val="pt-BR"/>
        </w:rPr>
        <w:t>“CIDH” o</w:t>
      </w:r>
      <w:r w:rsidR="0023007F" w:rsidRPr="0038442F">
        <w:rPr>
          <w:rFonts w:ascii="Verdana" w:hAnsi="Verdana"/>
          <w:bCs/>
          <w:sz w:val="20"/>
          <w:szCs w:val="20"/>
          <w:lang w:val="pt-BR"/>
        </w:rPr>
        <w:t>u</w:t>
      </w:r>
      <w:r w:rsidR="006836EC" w:rsidRPr="0038442F">
        <w:rPr>
          <w:rFonts w:ascii="Verdana" w:hAnsi="Verdana"/>
          <w:bCs/>
          <w:sz w:val="20"/>
          <w:szCs w:val="20"/>
          <w:lang w:val="pt-BR"/>
        </w:rPr>
        <w:t xml:space="preserve"> “</w:t>
      </w:r>
      <w:r w:rsidR="0023007F" w:rsidRPr="0038442F">
        <w:rPr>
          <w:rFonts w:ascii="Verdana" w:hAnsi="Verdana"/>
          <w:bCs/>
          <w:sz w:val="20"/>
          <w:szCs w:val="20"/>
          <w:lang w:val="pt-BR"/>
        </w:rPr>
        <w:t>Comissão</w:t>
      </w:r>
      <w:r w:rsidR="00407242" w:rsidRPr="0038442F">
        <w:rPr>
          <w:rFonts w:ascii="Verdana" w:hAnsi="Verdana"/>
          <w:bCs/>
          <w:sz w:val="20"/>
          <w:szCs w:val="20"/>
          <w:lang w:val="pt-BR"/>
        </w:rPr>
        <w:t xml:space="preserve"> </w:t>
      </w:r>
      <w:r w:rsidR="006836EC" w:rsidRPr="0038442F">
        <w:rPr>
          <w:rFonts w:ascii="Verdana" w:hAnsi="Verdana"/>
          <w:bCs/>
          <w:sz w:val="20"/>
          <w:szCs w:val="20"/>
          <w:lang w:val="pt-BR"/>
        </w:rPr>
        <w:t>Interamericana”)</w:t>
      </w:r>
      <w:r w:rsidR="0023007F" w:rsidRPr="0038442F">
        <w:rPr>
          <w:rFonts w:ascii="Verdana" w:hAnsi="Verdana"/>
          <w:bCs/>
          <w:sz w:val="20"/>
          <w:szCs w:val="20"/>
          <w:lang w:val="pt-BR"/>
        </w:rPr>
        <w:t xml:space="preserve">, </w:t>
      </w:r>
      <w:r w:rsidR="00333E04" w:rsidRPr="0038442F">
        <w:rPr>
          <w:rFonts w:ascii="Verdana" w:hAnsi="Verdana"/>
          <w:bCs/>
          <w:sz w:val="20"/>
          <w:szCs w:val="20"/>
          <w:lang w:val="pt-BR"/>
        </w:rPr>
        <w:t xml:space="preserve">em </w:t>
      </w:r>
      <w:r w:rsidR="0023007F" w:rsidRPr="0038442F">
        <w:rPr>
          <w:rFonts w:ascii="Verdana" w:hAnsi="Verdana"/>
          <w:bCs/>
          <w:sz w:val="20"/>
          <w:szCs w:val="20"/>
          <w:lang w:val="pt-BR"/>
        </w:rPr>
        <w:t xml:space="preserve">relatório recente </w:t>
      </w:r>
      <w:r w:rsidR="00AD76EE" w:rsidRPr="0038442F">
        <w:rPr>
          <w:rFonts w:ascii="Verdana" w:hAnsi="Verdana"/>
          <w:bCs/>
          <w:sz w:val="20"/>
          <w:szCs w:val="20"/>
          <w:lang w:val="pt-BR"/>
        </w:rPr>
        <w:t xml:space="preserve">denominado </w:t>
      </w:r>
      <w:r w:rsidR="00AD76EE" w:rsidRPr="0038442F">
        <w:rPr>
          <w:rFonts w:ascii="Verdana" w:hAnsi="Verdana"/>
          <w:bCs/>
          <w:i/>
          <w:iCs/>
          <w:sz w:val="20"/>
          <w:szCs w:val="20"/>
          <w:lang w:val="pt-BR"/>
        </w:rPr>
        <w:t xml:space="preserve">Empresas </w:t>
      </w:r>
      <w:r w:rsidR="0023007F" w:rsidRPr="0038442F">
        <w:rPr>
          <w:rFonts w:ascii="Verdana" w:hAnsi="Verdana"/>
          <w:bCs/>
          <w:i/>
          <w:iCs/>
          <w:sz w:val="20"/>
          <w:szCs w:val="20"/>
          <w:lang w:val="pt-BR"/>
        </w:rPr>
        <w:t>e</w:t>
      </w:r>
      <w:r w:rsidR="00AD76EE" w:rsidRPr="0038442F">
        <w:rPr>
          <w:rFonts w:ascii="Verdana" w:hAnsi="Verdana"/>
          <w:bCs/>
          <w:i/>
          <w:iCs/>
          <w:sz w:val="20"/>
          <w:szCs w:val="20"/>
          <w:lang w:val="pt-BR"/>
        </w:rPr>
        <w:t xml:space="preserve"> </w:t>
      </w:r>
      <w:r w:rsidR="00C92762" w:rsidRPr="0038442F">
        <w:rPr>
          <w:rFonts w:ascii="Verdana" w:hAnsi="Verdana"/>
          <w:bCs/>
          <w:i/>
          <w:iCs/>
          <w:sz w:val="20"/>
          <w:szCs w:val="20"/>
          <w:lang w:val="pt-BR"/>
        </w:rPr>
        <w:t>Direitos</w:t>
      </w:r>
      <w:r w:rsidR="00407242" w:rsidRPr="0038442F">
        <w:rPr>
          <w:rFonts w:ascii="Verdana" w:hAnsi="Verdana"/>
          <w:bCs/>
          <w:i/>
          <w:iCs/>
          <w:sz w:val="20"/>
          <w:szCs w:val="20"/>
          <w:lang w:val="pt-BR"/>
        </w:rPr>
        <w:t xml:space="preserve"> </w:t>
      </w:r>
      <w:r w:rsidR="00AD76EE" w:rsidRPr="0038442F">
        <w:rPr>
          <w:rFonts w:ascii="Verdana" w:hAnsi="Verdana"/>
          <w:bCs/>
          <w:i/>
          <w:iCs/>
          <w:sz w:val="20"/>
          <w:szCs w:val="20"/>
          <w:lang w:val="pt-BR"/>
        </w:rPr>
        <w:t xml:space="preserve">Humanos: </w:t>
      </w:r>
      <w:r w:rsidR="0023007F" w:rsidRPr="0038442F">
        <w:rPr>
          <w:rFonts w:ascii="Verdana" w:hAnsi="Verdana"/>
          <w:bCs/>
          <w:i/>
          <w:iCs/>
          <w:sz w:val="20"/>
          <w:szCs w:val="20"/>
          <w:lang w:val="pt-BR"/>
        </w:rPr>
        <w:t xml:space="preserve">Normas </w:t>
      </w:r>
      <w:r w:rsidR="00AD76EE" w:rsidRPr="0038442F">
        <w:rPr>
          <w:rFonts w:ascii="Verdana" w:hAnsi="Verdana"/>
          <w:bCs/>
          <w:i/>
          <w:iCs/>
          <w:sz w:val="20"/>
          <w:szCs w:val="20"/>
          <w:lang w:val="pt-BR"/>
        </w:rPr>
        <w:t>Interamerican</w:t>
      </w:r>
      <w:r w:rsidR="0023007F" w:rsidRPr="0038442F">
        <w:rPr>
          <w:rFonts w:ascii="Verdana" w:hAnsi="Verdana"/>
          <w:bCs/>
          <w:i/>
          <w:iCs/>
          <w:sz w:val="20"/>
          <w:szCs w:val="20"/>
          <w:lang w:val="pt-BR"/>
        </w:rPr>
        <w:t>a</w:t>
      </w:r>
      <w:r w:rsidR="00FE6D75" w:rsidRPr="0038442F">
        <w:rPr>
          <w:rFonts w:ascii="Verdana" w:hAnsi="Verdana"/>
          <w:bCs/>
          <w:i/>
          <w:iCs/>
          <w:sz w:val="20"/>
          <w:szCs w:val="20"/>
          <w:lang w:val="pt-BR"/>
        </w:rPr>
        <w:t>s</w:t>
      </w:r>
      <w:r w:rsidR="006836EC" w:rsidRPr="0038442F">
        <w:rPr>
          <w:rFonts w:ascii="Verdana" w:hAnsi="Verdana"/>
          <w:bCs/>
          <w:i/>
          <w:iCs/>
          <w:sz w:val="20"/>
          <w:szCs w:val="20"/>
          <w:lang w:val="pt-BR"/>
        </w:rPr>
        <w:t xml:space="preserve">, </w:t>
      </w:r>
      <w:r w:rsidR="0023007F" w:rsidRPr="0038442F">
        <w:rPr>
          <w:rFonts w:ascii="Verdana" w:hAnsi="Verdana"/>
          <w:bCs/>
          <w:sz w:val="20"/>
          <w:szCs w:val="20"/>
          <w:lang w:val="pt-BR"/>
        </w:rPr>
        <w:t xml:space="preserve">definiu que, na estrutura </w:t>
      </w:r>
      <w:r w:rsidR="00AD76EE" w:rsidRPr="0038442F">
        <w:rPr>
          <w:rFonts w:ascii="Verdana" w:hAnsi="Verdana"/>
          <w:bCs/>
          <w:sz w:val="20"/>
          <w:szCs w:val="20"/>
          <w:lang w:val="pt-BR"/>
        </w:rPr>
        <w:t xml:space="preserve">convencional </w:t>
      </w:r>
      <w:r w:rsidR="0023007F" w:rsidRPr="0038442F">
        <w:rPr>
          <w:rFonts w:ascii="Verdana" w:hAnsi="Verdana"/>
          <w:bCs/>
          <w:sz w:val="20"/>
          <w:szCs w:val="20"/>
          <w:lang w:val="pt-BR"/>
        </w:rPr>
        <w:t>– derivada d</w:t>
      </w:r>
      <w:r w:rsidR="00C92762" w:rsidRPr="0038442F">
        <w:rPr>
          <w:rFonts w:ascii="Verdana" w:hAnsi="Verdana"/>
          <w:bCs/>
          <w:sz w:val="20"/>
          <w:szCs w:val="20"/>
          <w:lang w:val="pt-BR"/>
        </w:rPr>
        <w:t xml:space="preserve">as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ger</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23007F" w:rsidRPr="0038442F">
        <w:rPr>
          <w:rFonts w:ascii="Verdana" w:hAnsi="Verdana"/>
          <w:bCs/>
          <w:sz w:val="20"/>
          <w:szCs w:val="20"/>
          <w:lang w:val="pt-BR"/>
        </w:rPr>
        <w:t xml:space="preserve">contempladas no </w:t>
      </w:r>
      <w:r w:rsidR="00AD76EE" w:rsidRPr="0038442F">
        <w:rPr>
          <w:rFonts w:ascii="Verdana" w:hAnsi="Verdana"/>
          <w:bCs/>
          <w:sz w:val="20"/>
          <w:szCs w:val="20"/>
          <w:lang w:val="pt-BR"/>
        </w:rPr>
        <w:t>Pacto de San José</w:t>
      </w:r>
      <w:r w:rsidR="0023007F" w:rsidRPr="0038442F">
        <w:rPr>
          <w:rFonts w:ascii="Verdana" w:hAnsi="Verdana"/>
          <w:bCs/>
          <w:sz w:val="20"/>
          <w:szCs w:val="20"/>
          <w:lang w:val="pt-BR"/>
        </w:rPr>
        <w:t xml:space="preserve"> –</w:t>
      </w:r>
      <w:r w:rsidR="00333E04" w:rsidRPr="0038442F">
        <w:rPr>
          <w:rFonts w:ascii="Verdana" w:hAnsi="Verdana"/>
          <w:bCs/>
          <w:sz w:val="20"/>
          <w:szCs w:val="20"/>
          <w:lang w:val="pt-BR"/>
        </w:rPr>
        <w:t>,</w:t>
      </w:r>
      <w:r w:rsidR="0023007F" w:rsidRPr="0038442F">
        <w:rPr>
          <w:rFonts w:ascii="Verdana" w:hAnsi="Verdana"/>
          <w:bCs/>
          <w:sz w:val="20"/>
          <w:szCs w:val="20"/>
          <w:lang w:val="pt-BR"/>
        </w:rPr>
        <w:t xml:space="preserve"> pode-se </w:t>
      </w:r>
      <w:r w:rsidR="00AD76EE" w:rsidRPr="0038442F">
        <w:rPr>
          <w:rFonts w:ascii="Verdana" w:hAnsi="Verdana"/>
          <w:bCs/>
          <w:sz w:val="20"/>
          <w:szCs w:val="20"/>
          <w:lang w:val="pt-BR"/>
        </w:rPr>
        <w:t xml:space="preserve">entender que o </w:t>
      </w:r>
      <w:r w:rsidR="00333E04" w:rsidRPr="0038442F">
        <w:rPr>
          <w:rFonts w:ascii="Verdana" w:hAnsi="Verdana"/>
          <w:bCs/>
          <w:sz w:val="20"/>
          <w:szCs w:val="20"/>
          <w:lang w:val="pt-BR"/>
        </w:rPr>
        <w:t>exposto</w:t>
      </w:r>
      <w:r w:rsidR="00AD76EE" w:rsidRPr="0038442F">
        <w:rPr>
          <w:rFonts w:ascii="Verdana" w:hAnsi="Verdana"/>
          <w:bCs/>
          <w:sz w:val="20"/>
          <w:szCs w:val="20"/>
          <w:lang w:val="pt-BR"/>
        </w:rPr>
        <w:t xml:space="preserve"> nos </w:t>
      </w:r>
      <w:r w:rsidR="008806F8" w:rsidRPr="0038442F">
        <w:rPr>
          <w:rFonts w:ascii="Verdana" w:hAnsi="Verdana"/>
          <w:bCs/>
          <w:sz w:val="20"/>
          <w:szCs w:val="20"/>
          <w:lang w:val="pt-BR"/>
        </w:rPr>
        <w:t>princípios</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de Ruggie </w:t>
      </w:r>
      <w:r w:rsidR="006F4C59" w:rsidRPr="0038442F">
        <w:rPr>
          <w:rFonts w:ascii="Verdana" w:hAnsi="Verdana"/>
          <w:bCs/>
          <w:sz w:val="20"/>
          <w:szCs w:val="20"/>
          <w:lang w:val="pt-BR"/>
        </w:rPr>
        <w:t xml:space="preserve">tem lugar </w:t>
      </w:r>
      <w:r w:rsidR="0023007F" w:rsidRPr="0038442F">
        <w:rPr>
          <w:rFonts w:ascii="Verdana" w:hAnsi="Verdana"/>
          <w:bCs/>
          <w:sz w:val="20"/>
          <w:szCs w:val="20"/>
          <w:lang w:val="pt-BR"/>
        </w:rPr>
        <w:t xml:space="preserve">no </w:t>
      </w:r>
      <w:r w:rsidR="00AD76EE" w:rsidRPr="0038442F">
        <w:rPr>
          <w:rFonts w:ascii="Verdana" w:hAnsi="Verdana"/>
          <w:bCs/>
          <w:sz w:val="20"/>
          <w:szCs w:val="20"/>
          <w:lang w:val="pt-BR"/>
        </w:rPr>
        <w:t>Sistema Interamericano.</w:t>
      </w:r>
    </w:p>
    <w:p w14:paraId="4B617CB9" w14:textId="77777777" w:rsidR="006836EC" w:rsidRPr="0038442F" w:rsidRDefault="006836EC" w:rsidP="00DA7255">
      <w:pPr>
        <w:pStyle w:val="Prrafodelista"/>
        <w:rPr>
          <w:rFonts w:ascii="Verdana" w:hAnsi="Verdana"/>
          <w:bCs/>
          <w:sz w:val="20"/>
          <w:szCs w:val="20"/>
          <w:lang w:val="pt-BR"/>
        </w:rPr>
      </w:pPr>
    </w:p>
    <w:p w14:paraId="75FAA723" w14:textId="31CF938F" w:rsidR="00AD76EE" w:rsidRPr="0038442F" w:rsidRDefault="00247F19"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 xml:space="preserve">Do referido relatório se </w:t>
      </w:r>
      <w:r w:rsidR="00B57DAC" w:rsidRPr="0038442F">
        <w:rPr>
          <w:rFonts w:ascii="Verdana" w:hAnsi="Verdana"/>
          <w:bCs/>
          <w:sz w:val="20"/>
          <w:szCs w:val="20"/>
          <w:lang w:val="pt-BR"/>
        </w:rPr>
        <w:t>deduz</w:t>
      </w:r>
      <w:r w:rsidRPr="0038442F">
        <w:rPr>
          <w:rFonts w:ascii="Verdana" w:hAnsi="Verdana"/>
          <w:bCs/>
          <w:sz w:val="20"/>
          <w:szCs w:val="20"/>
          <w:lang w:val="pt-BR"/>
        </w:rPr>
        <w:t xml:space="preserve"> que as obrigações dos Estados frente a particulares que atuem mediante empresas se traduzem em quatro subobrigações - ou deveres - que podem ser compreendidos na obrigação de “garantir” e “adequar o direito interno” (art. 1.1 e 2 da Convenção Americana).</w:t>
      </w:r>
      <w:r w:rsidR="00AD76EE" w:rsidRPr="0038442F">
        <w:rPr>
          <w:rFonts w:ascii="Verdana" w:hAnsi="Verdana"/>
          <w:bCs/>
          <w:sz w:val="20"/>
          <w:szCs w:val="20"/>
          <w:lang w:val="pt-BR"/>
        </w:rPr>
        <w:t xml:space="preserve"> </w:t>
      </w:r>
      <w:r w:rsidR="003F0394" w:rsidRPr="0038442F">
        <w:rPr>
          <w:rFonts w:ascii="Verdana" w:hAnsi="Verdana"/>
          <w:bCs/>
          <w:sz w:val="20"/>
          <w:szCs w:val="20"/>
          <w:lang w:val="pt-BR"/>
        </w:rPr>
        <w:t>Es</w:t>
      </w:r>
      <w:r w:rsidR="00BB665E" w:rsidRPr="0038442F">
        <w:rPr>
          <w:rFonts w:ascii="Verdana" w:hAnsi="Verdana"/>
          <w:bCs/>
          <w:sz w:val="20"/>
          <w:szCs w:val="20"/>
          <w:lang w:val="pt-BR"/>
        </w:rPr>
        <w:t>s</w:t>
      </w:r>
      <w:r w:rsidR="00AD76EE" w:rsidRPr="0038442F">
        <w:rPr>
          <w:rFonts w:ascii="Verdana" w:hAnsi="Verdana"/>
          <w:bCs/>
          <w:sz w:val="20"/>
          <w:szCs w:val="20"/>
          <w:lang w:val="pt-BR"/>
        </w:rPr>
        <w:t xml:space="preserve">as </w:t>
      </w:r>
      <w:r w:rsidR="00BB665E" w:rsidRPr="0038442F">
        <w:rPr>
          <w:rFonts w:ascii="Verdana" w:hAnsi="Verdana"/>
          <w:bCs/>
          <w:sz w:val="20"/>
          <w:szCs w:val="20"/>
          <w:lang w:val="pt-BR"/>
        </w:rPr>
        <w:t>q</w:t>
      </w:r>
      <w:r w:rsidR="00AD76EE" w:rsidRPr="0038442F">
        <w:rPr>
          <w:rFonts w:ascii="Verdana" w:hAnsi="Verdana"/>
          <w:bCs/>
          <w:sz w:val="20"/>
          <w:szCs w:val="20"/>
          <w:lang w:val="pt-BR"/>
        </w:rPr>
        <w:t>uatro sub</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BB665E" w:rsidRPr="0038442F">
        <w:rPr>
          <w:rFonts w:ascii="Verdana" w:hAnsi="Verdana"/>
          <w:bCs/>
          <w:sz w:val="20"/>
          <w:szCs w:val="20"/>
          <w:lang w:val="pt-BR"/>
        </w:rPr>
        <w:t>são</w:t>
      </w:r>
      <w:r w:rsidR="00AD76EE" w:rsidRPr="0038442F">
        <w:rPr>
          <w:rFonts w:ascii="Verdana" w:hAnsi="Verdana"/>
          <w:bCs/>
          <w:sz w:val="20"/>
          <w:szCs w:val="20"/>
          <w:lang w:val="pt-BR"/>
        </w:rPr>
        <w:t xml:space="preserve">: </w:t>
      </w:r>
      <w:r w:rsidR="00AD76EE" w:rsidRPr="0038442F">
        <w:rPr>
          <w:rFonts w:ascii="Verdana" w:hAnsi="Verdana"/>
          <w:sz w:val="20"/>
          <w:szCs w:val="20"/>
          <w:lang w:val="pt-BR"/>
        </w:rPr>
        <w:t xml:space="preserve">i) </w:t>
      </w:r>
      <w:r w:rsidR="00A97590" w:rsidRPr="0038442F">
        <w:rPr>
          <w:rFonts w:ascii="Verdana" w:hAnsi="Verdana"/>
          <w:sz w:val="20"/>
          <w:szCs w:val="20"/>
          <w:lang w:val="pt-BR"/>
        </w:rPr>
        <w:t>dever</w:t>
      </w:r>
      <w:r w:rsidR="00407242" w:rsidRPr="0038442F">
        <w:rPr>
          <w:rFonts w:ascii="Verdana" w:hAnsi="Verdana"/>
          <w:sz w:val="20"/>
          <w:szCs w:val="20"/>
          <w:lang w:val="pt-BR"/>
        </w:rPr>
        <w:t xml:space="preserve"> </w:t>
      </w:r>
      <w:r w:rsidR="00AD76EE" w:rsidRPr="0038442F">
        <w:rPr>
          <w:rFonts w:ascii="Verdana" w:hAnsi="Verdana"/>
          <w:sz w:val="20"/>
          <w:szCs w:val="20"/>
          <w:lang w:val="pt-BR"/>
        </w:rPr>
        <w:t>de prevenir viola</w:t>
      </w:r>
      <w:r w:rsidR="000A1AA8" w:rsidRPr="0038442F">
        <w:rPr>
          <w:rFonts w:ascii="Verdana" w:hAnsi="Verdana"/>
          <w:sz w:val="20"/>
          <w:szCs w:val="20"/>
          <w:lang w:val="pt-BR"/>
        </w:rPr>
        <w:t>ções</w:t>
      </w:r>
      <w:r w:rsidR="00AD76EE" w:rsidRPr="0038442F">
        <w:rPr>
          <w:rFonts w:ascii="Verdana" w:hAnsi="Verdana"/>
          <w:sz w:val="20"/>
          <w:szCs w:val="20"/>
          <w:lang w:val="pt-BR"/>
        </w:rPr>
        <w:t xml:space="preserve"> </w:t>
      </w:r>
      <w:r w:rsidR="00BB665E" w:rsidRPr="0038442F">
        <w:rPr>
          <w:rFonts w:ascii="Verdana" w:hAnsi="Verdana"/>
          <w:sz w:val="20"/>
          <w:szCs w:val="20"/>
          <w:lang w:val="pt-BR"/>
        </w:rPr>
        <w:t xml:space="preserve">dos </w:t>
      </w:r>
      <w:r w:rsidR="00C92762" w:rsidRPr="0038442F">
        <w:rPr>
          <w:rFonts w:ascii="Verdana" w:hAnsi="Verdana"/>
          <w:sz w:val="20"/>
          <w:szCs w:val="20"/>
          <w:lang w:val="pt-BR"/>
        </w:rPr>
        <w:t xml:space="preserve">direitos </w:t>
      </w:r>
      <w:r w:rsidR="00AD76EE" w:rsidRPr="0038442F">
        <w:rPr>
          <w:rFonts w:ascii="Verdana" w:hAnsi="Verdana"/>
          <w:sz w:val="20"/>
          <w:szCs w:val="20"/>
          <w:lang w:val="pt-BR"/>
        </w:rPr>
        <w:t xml:space="preserve">humanos </w:t>
      </w:r>
      <w:r w:rsidR="00751189" w:rsidRPr="0038442F">
        <w:rPr>
          <w:rFonts w:ascii="Verdana" w:hAnsi="Verdana"/>
          <w:sz w:val="20"/>
          <w:szCs w:val="20"/>
          <w:lang w:val="pt-BR"/>
        </w:rPr>
        <w:t xml:space="preserve">no </w:t>
      </w:r>
      <w:r w:rsidR="00BB665E" w:rsidRPr="0038442F">
        <w:rPr>
          <w:rFonts w:ascii="Verdana" w:hAnsi="Verdana"/>
          <w:sz w:val="20"/>
          <w:szCs w:val="20"/>
          <w:lang w:val="pt-BR"/>
        </w:rPr>
        <w:t xml:space="preserve">âmbito </w:t>
      </w:r>
      <w:r w:rsidR="00AD76EE" w:rsidRPr="0038442F">
        <w:rPr>
          <w:rFonts w:ascii="Verdana" w:hAnsi="Verdana"/>
          <w:sz w:val="20"/>
          <w:szCs w:val="20"/>
          <w:lang w:val="pt-BR"/>
        </w:rPr>
        <w:t xml:space="preserve">de </w:t>
      </w:r>
      <w:r w:rsidR="009F06E2" w:rsidRPr="0038442F">
        <w:rPr>
          <w:rFonts w:ascii="Verdana" w:hAnsi="Verdana"/>
          <w:sz w:val="20"/>
          <w:szCs w:val="20"/>
          <w:lang w:val="pt-BR"/>
        </w:rPr>
        <w:t>atividades</w:t>
      </w:r>
      <w:r w:rsidR="00407242" w:rsidRPr="0038442F">
        <w:rPr>
          <w:rFonts w:ascii="Verdana" w:hAnsi="Verdana"/>
          <w:sz w:val="20"/>
          <w:szCs w:val="20"/>
          <w:lang w:val="pt-BR"/>
        </w:rPr>
        <w:t xml:space="preserve"> </w:t>
      </w:r>
      <w:r w:rsidR="00AD76EE" w:rsidRPr="0038442F">
        <w:rPr>
          <w:rFonts w:ascii="Verdana" w:hAnsi="Verdana"/>
          <w:sz w:val="20"/>
          <w:szCs w:val="20"/>
          <w:lang w:val="pt-BR"/>
        </w:rPr>
        <w:t>empresari</w:t>
      </w:r>
      <w:r w:rsidR="00C92762" w:rsidRPr="0038442F">
        <w:rPr>
          <w:rFonts w:ascii="Verdana" w:hAnsi="Verdana"/>
          <w:sz w:val="20"/>
          <w:szCs w:val="20"/>
          <w:lang w:val="pt-BR"/>
        </w:rPr>
        <w:t>ais</w:t>
      </w:r>
      <w:r w:rsidR="009A3C25" w:rsidRPr="0038442F">
        <w:rPr>
          <w:rFonts w:ascii="Verdana" w:hAnsi="Verdana"/>
          <w:sz w:val="20"/>
          <w:szCs w:val="20"/>
          <w:lang w:val="pt-BR"/>
        </w:rPr>
        <w:t>;</w:t>
      </w:r>
      <w:r w:rsidR="00AD76EE" w:rsidRPr="0038442F">
        <w:rPr>
          <w:rFonts w:ascii="Verdana" w:hAnsi="Verdana"/>
          <w:sz w:val="20"/>
          <w:szCs w:val="20"/>
          <w:lang w:val="pt-BR"/>
        </w:rPr>
        <w:t xml:space="preserve"> ii) </w:t>
      </w:r>
      <w:r w:rsidR="00A97590" w:rsidRPr="0038442F">
        <w:rPr>
          <w:rFonts w:ascii="Verdana" w:hAnsi="Verdana"/>
          <w:sz w:val="20"/>
          <w:szCs w:val="20"/>
          <w:lang w:val="pt-BR"/>
        </w:rPr>
        <w:t>dever</w:t>
      </w:r>
      <w:r w:rsidR="00407242" w:rsidRPr="0038442F">
        <w:rPr>
          <w:rFonts w:ascii="Verdana" w:hAnsi="Verdana"/>
          <w:sz w:val="20"/>
          <w:szCs w:val="20"/>
          <w:lang w:val="pt-BR"/>
        </w:rPr>
        <w:t xml:space="preserve"> </w:t>
      </w:r>
      <w:r w:rsidR="00AD76EE" w:rsidRPr="0038442F">
        <w:rPr>
          <w:rFonts w:ascii="Verdana" w:hAnsi="Verdana"/>
          <w:sz w:val="20"/>
          <w:szCs w:val="20"/>
          <w:lang w:val="pt-BR"/>
        </w:rPr>
        <w:t>de regula</w:t>
      </w:r>
      <w:r w:rsidR="00BB665E" w:rsidRPr="0038442F">
        <w:rPr>
          <w:rFonts w:ascii="Verdana" w:hAnsi="Verdana"/>
          <w:sz w:val="20"/>
          <w:szCs w:val="20"/>
          <w:lang w:val="pt-BR"/>
        </w:rPr>
        <w:t>menta</w:t>
      </w:r>
      <w:r w:rsidR="00AD76EE" w:rsidRPr="0038442F">
        <w:rPr>
          <w:rFonts w:ascii="Verdana" w:hAnsi="Verdana"/>
          <w:sz w:val="20"/>
          <w:szCs w:val="20"/>
          <w:lang w:val="pt-BR"/>
        </w:rPr>
        <w:t xml:space="preserve">r </w:t>
      </w:r>
      <w:r w:rsidR="00BB665E" w:rsidRPr="0038442F">
        <w:rPr>
          <w:rFonts w:ascii="Verdana" w:hAnsi="Verdana"/>
          <w:sz w:val="20"/>
          <w:szCs w:val="20"/>
          <w:lang w:val="pt-BR"/>
        </w:rPr>
        <w:t>e</w:t>
      </w:r>
      <w:r w:rsidR="00AD76EE" w:rsidRPr="0038442F">
        <w:rPr>
          <w:rFonts w:ascii="Verdana" w:hAnsi="Verdana"/>
          <w:sz w:val="20"/>
          <w:szCs w:val="20"/>
          <w:lang w:val="pt-BR"/>
        </w:rPr>
        <w:t xml:space="preserve"> </w:t>
      </w:r>
      <w:r w:rsidR="00C92762" w:rsidRPr="0038442F">
        <w:rPr>
          <w:rFonts w:ascii="Verdana" w:hAnsi="Verdana"/>
          <w:sz w:val="20"/>
          <w:szCs w:val="20"/>
          <w:lang w:val="pt-BR"/>
        </w:rPr>
        <w:t>adotar</w:t>
      </w:r>
      <w:r w:rsidR="00407242" w:rsidRPr="0038442F">
        <w:rPr>
          <w:rFonts w:ascii="Verdana" w:hAnsi="Verdana"/>
          <w:sz w:val="20"/>
          <w:szCs w:val="20"/>
          <w:lang w:val="pt-BR"/>
        </w:rPr>
        <w:t xml:space="preserve"> </w:t>
      </w:r>
      <w:r w:rsidR="00AD76EE" w:rsidRPr="0038442F">
        <w:rPr>
          <w:rFonts w:ascii="Verdana" w:hAnsi="Verdana"/>
          <w:sz w:val="20"/>
          <w:szCs w:val="20"/>
          <w:lang w:val="pt-BR"/>
        </w:rPr>
        <w:t>disposi</w:t>
      </w:r>
      <w:r w:rsidR="000A1AA8" w:rsidRPr="0038442F">
        <w:rPr>
          <w:rFonts w:ascii="Verdana" w:hAnsi="Verdana"/>
          <w:sz w:val="20"/>
          <w:szCs w:val="20"/>
          <w:lang w:val="pt-BR"/>
        </w:rPr>
        <w:t>ções</w:t>
      </w:r>
      <w:r w:rsidR="00AD76EE" w:rsidRPr="0038442F">
        <w:rPr>
          <w:rFonts w:ascii="Verdana" w:hAnsi="Verdana"/>
          <w:sz w:val="20"/>
          <w:szCs w:val="20"/>
          <w:lang w:val="pt-BR"/>
        </w:rPr>
        <w:t xml:space="preserve"> de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AD76EE" w:rsidRPr="0038442F">
        <w:rPr>
          <w:rFonts w:ascii="Verdana" w:hAnsi="Verdana"/>
          <w:sz w:val="20"/>
          <w:szCs w:val="20"/>
          <w:lang w:val="pt-BR"/>
        </w:rPr>
        <w:t>interno</w:t>
      </w:r>
      <w:r w:rsidR="009A3C25" w:rsidRPr="0038442F">
        <w:rPr>
          <w:rFonts w:ascii="Verdana" w:hAnsi="Verdana"/>
          <w:sz w:val="20"/>
          <w:szCs w:val="20"/>
          <w:lang w:val="pt-BR"/>
        </w:rPr>
        <w:t>;</w:t>
      </w:r>
      <w:r w:rsidR="00AD76EE" w:rsidRPr="0038442F">
        <w:rPr>
          <w:rFonts w:ascii="Verdana" w:hAnsi="Verdana"/>
          <w:sz w:val="20"/>
          <w:szCs w:val="20"/>
          <w:lang w:val="pt-BR"/>
        </w:rPr>
        <w:t xml:space="preserve"> iii) </w:t>
      </w:r>
      <w:r w:rsidR="00A97590" w:rsidRPr="0038442F">
        <w:rPr>
          <w:rFonts w:ascii="Verdana" w:hAnsi="Verdana"/>
          <w:sz w:val="20"/>
          <w:szCs w:val="20"/>
          <w:lang w:val="pt-BR"/>
        </w:rPr>
        <w:t>dever</w:t>
      </w:r>
      <w:r w:rsidR="00407242" w:rsidRPr="0038442F">
        <w:rPr>
          <w:rFonts w:ascii="Verdana" w:hAnsi="Verdana"/>
          <w:sz w:val="20"/>
          <w:szCs w:val="20"/>
          <w:lang w:val="pt-BR"/>
        </w:rPr>
        <w:t xml:space="preserve"> </w:t>
      </w:r>
      <w:r w:rsidR="00AD76EE" w:rsidRPr="0038442F">
        <w:rPr>
          <w:rFonts w:ascii="Verdana" w:hAnsi="Verdana"/>
          <w:sz w:val="20"/>
          <w:szCs w:val="20"/>
          <w:lang w:val="pt-BR"/>
        </w:rPr>
        <w:t>de fiscalizar t</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9F06E2" w:rsidRPr="0038442F">
        <w:rPr>
          <w:rFonts w:ascii="Verdana" w:hAnsi="Verdana"/>
          <w:sz w:val="20"/>
          <w:szCs w:val="20"/>
          <w:lang w:val="pt-BR"/>
        </w:rPr>
        <w:t>atividades</w:t>
      </w:r>
      <w:r w:rsidR="009A3C25" w:rsidRPr="0038442F">
        <w:rPr>
          <w:rFonts w:ascii="Verdana" w:hAnsi="Verdana"/>
          <w:sz w:val="20"/>
          <w:szCs w:val="20"/>
          <w:lang w:val="pt-BR"/>
        </w:rPr>
        <w:t>;</w:t>
      </w:r>
      <w:r w:rsidR="009F06E2" w:rsidRPr="0038442F">
        <w:rPr>
          <w:rFonts w:ascii="Verdana" w:hAnsi="Verdana"/>
          <w:sz w:val="20"/>
          <w:szCs w:val="20"/>
          <w:lang w:val="pt-BR"/>
        </w:rPr>
        <w:t xml:space="preserve"> </w:t>
      </w:r>
      <w:r w:rsidR="00BB665E" w:rsidRPr="0038442F">
        <w:rPr>
          <w:rFonts w:ascii="Verdana" w:hAnsi="Verdana"/>
          <w:sz w:val="20"/>
          <w:szCs w:val="20"/>
          <w:lang w:val="pt-BR"/>
        </w:rPr>
        <w:t>e</w:t>
      </w:r>
      <w:r w:rsidR="00AD76EE" w:rsidRPr="0038442F">
        <w:rPr>
          <w:rFonts w:ascii="Verdana" w:hAnsi="Verdana"/>
          <w:sz w:val="20"/>
          <w:szCs w:val="20"/>
          <w:lang w:val="pt-BR"/>
        </w:rPr>
        <w:t xml:space="preserve"> iv) </w:t>
      </w:r>
      <w:r w:rsidR="00A97590" w:rsidRPr="0038442F">
        <w:rPr>
          <w:rFonts w:ascii="Verdana" w:hAnsi="Verdana"/>
          <w:sz w:val="20"/>
          <w:szCs w:val="20"/>
          <w:lang w:val="pt-BR"/>
        </w:rPr>
        <w:t>dever</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de investigar, </w:t>
      </w:r>
      <w:r w:rsidR="00BB665E" w:rsidRPr="0038442F">
        <w:rPr>
          <w:rFonts w:ascii="Verdana" w:hAnsi="Verdana"/>
          <w:sz w:val="20"/>
          <w:szCs w:val="20"/>
          <w:lang w:val="pt-BR"/>
        </w:rPr>
        <w:t>punir e assegurar o acesso</w:t>
      </w:r>
      <w:r w:rsidR="00407242" w:rsidRPr="0038442F">
        <w:rPr>
          <w:rFonts w:ascii="Verdana" w:hAnsi="Verdana"/>
          <w:sz w:val="20"/>
          <w:szCs w:val="20"/>
          <w:lang w:val="pt-BR"/>
        </w:rPr>
        <w:t xml:space="preserve"> </w:t>
      </w:r>
      <w:r w:rsidR="00AD76EE" w:rsidRPr="0038442F">
        <w:rPr>
          <w:rFonts w:ascii="Verdana" w:hAnsi="Verdana"/>
          <w:sz w:val="20"/>
          <w:szCs w:val="20"/>
          <w:lang w:val="pt-BR"/>
        </w:rPr>
        <w:t>a repara</w:t>
      </w:r>
      <w:r w:rsidR="000A1AA8" w:rsidRPr="0038442F">
        <w:rPr>
          <w:rFonts w:ascii="Verdana" w:hAnsi="Verdana"/>
          <w:sz w:val="20"/>
          <w:szCs w:val="20"/>
          <w:lang w:val="pt-BR"/>
        </w:rPr>
        <w:t>ções</w:t>
      </w:r>
      <w:r w:rsidR="00AD76EE" w:rsidRPr="0038442F">
        <w:rPr>
          <w:rFonts w:ascii="Verdana" w:hAnsi="Verdana"/>
          <w:sz w:val="20"/>
          <w:szCs w:val="20"/>
          <w:lang w:val="pt-BR"/>
        </w:rPr>
        <w:t xml:space="preserve"> integr</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para </w:t>
      </w:r>
      <w:r w:rsidR="009A3C25" w:rsidRPr="0038442F">
        <w:rPr>
          <w:rFonts w:ascii="Verdana" w:hAnsi="Verdana"/>
          <w:sz w:val="20"/>
          <w:szCs w:val="20"/>
          <w:lang w:val="pt-BR"/>
        </w:rPr>
        <w:t xml:space="preserve">as </w:t>
      </w:r>
      <w:r w:rsidR="00BB665E" w:rsidRPr="0038442F">
        <w:rPr>
          <w:rFonts w:ascii="Verdana" w:hAnsi="Verdana"/>
          <w:sz w:val="20"/>
          <w:szCs w:val="20"/>
          <w:lang w:val="pt-BR"/>
        </w:rPr>
        <w:t>vítimas</w:t>
      </w:r>
      <w:r w:rsidR="00407242" w:rsidRPr="0038442F">
        <w:rPr>
          <w:rFonts w:ascii="Verdana" w:hAnsi="Verdana"/>
          <w:sz w:val="20"/>
          <w:szCs w:val="20"/>
          <w:lang w:val="pt-BR"/>
        </w:rPr>
        <w:t xml:space="preserve"> </w:t>
      </w:r>
      <w:r w:rsidR="00BB665E" w:rsidRPr="0038442F">
        <w:rPr>
          <w:rFonts w:ascii="Verdana" w:hAnsi="Verdana"/>
          <w:sz w:val="20"/>
          <w:szCs w:val="20"/>
          <w:lang w:val="pt-BR"/>
        </w:rPr>
        <w:t xml:space="preserve">nesses </w:t>
      </w:r>
      <w:r w:rsidR="00AD76EE" w:rsidRPr="0038442F">
        <w:rPr>
          <w:rFonts w:ascii="Verdana" w:hAnsi="Verdana"/>
          <w:sz w:val="20"/>
          <w:szCs w:val="20"/>
          <w:lang w:val="pt-BR"/>
        </w:rPr>
        <w:t>contextos</w:t>
      </w:r>
      <w:r w:rsidR="00BB665E" w:rsidRPr="0038442F">
        <w:rPr>
          <w:rFonts w:ascii="Verdana" w:hAnsi="Verdana"/>
          <w:sz w:val="20"/>
          <w:szCs w:val="20"/>
          <w:lang w:val="pt-BR"/>
        </w:rPr>
        <w:t>.</w:t>
      </w:r>
      <w:r w:rsidR="00AD76EE" w:rsidRPr="0038442F">
        <w:rPr>
          <w:rStyle w:val="Refdenotaalpie"/>
          <w:rFonts w:ascii="Verdana" w:hAnsi="Verdana"/>
          <w:sz w:val="20"/>
          <w:szCs w:val="20"/>
          <w:lang w:val="pt-BR"/>
        </w:rPr>
        <w:footnoteReference w:id="19"/>
      </w:r>
      <w:r w:rsidR="00AD76EE" w:rsidRPr="0038442F">
        <w:rPr>
          <w:rFonts w:ascii="Verdana" w:hAnsi="Verdana"/>
          <w:sz w:val="20"/>
          <w:szCs w:val="20"/>
          <w:lang w:val="pt-BR"/>
        </w:rPr>
        <w:t xml:space="preserve"> </w:t>
      </w:r>
      <w:r w:rsidR="00BB665E" w:rsidRPr="0038442F">
        <w:rPr>
          <w:rFonts w:ascii="Verdana" w:hAnsi="Verdana"/>
          <w:sz w:val="20"/>
          <w:szCs w:val="20"/>
          <w:lang w:val="pt-BR"/>
        </w:rPr>
        <w:t>No entanto</w:t>
      </w:r>
      <w:r w:rsidR="003F0394" w:rsidRPr="0038442F">
        <w:rPr>
          <w:rFonts w:ascii="Verdana" w:hAnsi="Verdana"/>
          <w:sz w:val="20"/>
          <w:szCs w:val="20"/>
          <w:lang w:val="pt-BR"/>
        </w:rPr>
        <w:t xml:space="preserve">, </w:t>
      </w:r>
      <w:r w:rsidR="00A44522">
        <w:rPr>
          <w:rFonts w:ascii="Verdana" w:hAnsi="Verdana"/>
          <w:sz w:val="20"/>
          <w:szCs w:val="20"/>
          <w:lang w:val="pt-BR"/>
        </w:rPr>
        <w:t>n</w:t>
      </w:r>
      <w:r w:rsidR="00BB665E" w:rsidRPr="0038442F">
        <w:rPr>
          <w:rFonts w:ascii="Verdana" w:hAnsi="Verdana"/>
          <w:sz w:val="20"/>
          <w:szCs w:val="20"/>
          <w:lang w:val="pt-BR"/>
        </w:rPr>
        <w:t xml:space="preserve">a minha </w:t>
      </w:r>
      <w:r w:rsidR="003F0394" w:rsidRPr="0038442F">
        <w:rPr>
          <w:rFonts w:ascii="Verdana" w:hAnsi="Verdana"/>
          <w:sz w:val="20"/>
          <w:szCs w:val="20"/>
          <w:lang w:val="pt-BR"/>
        </w:rPr>
        <w:t xml:space="preserve">perspectiva, </w:t>
      </w:r>
      <w:r w:rsidR="00547B18" w:rsidRPr="0038442F">
        <w:rPr>
          <w:rFonts w:ascii="Verdana" w:hAnsi="Verdana"/>
          <w:sz w:val="20"/>
          <w:szCs w:val="20"/>
          <w:lang w:val="pt-BR"/>
        </w:rPr>
        <w:t xml:space="preserve">os </w:t>
      </w:r>
      <w:r w:rsidR="00BB665E" w:rsidRPr="0038442F">
        <w:rPr>
          <w:rFonts w:ascii="Verdana" w:hAnsi="Verdana"/>
          <w:sz w:val="20"/>
          <w:szCs w:val="20"/>
          <w:lang w:val="pt-BR"/>
        </w:rPr>
        <w:t>deveres</w:t>
      </w:r>
      <w:r w:rsidR="00407242" w:rsidRPr="0038442F">
        <w:rPr>
          <w:rFonts w:ascii="Verdana" w:hAnsi="Verdana"/>
          <w:sz w:val="20"/>
          <w:szCs w:val="20"/>
          <w:lang w:val="pt-BR"/>
        </w:rPr>
        <w:t xml:space="preserve"> </w:t>
      </w:r>
      <w:r w:rsidR="003F0394" w:rsidRPr="0038442F">
        <w:rPr>
          <w:rFonts w:ascii="Verdana" w:hAnsi="Verdana"/>
          <w:sz w:val="20"/>
          <w:szCs w:val="20"/>
          <w:lang w:val="pt-BR"/>
        </w:rPr>
        <w:t xml:space="preserve">ii) </w:t>
      </w:r>
      <w:r w:rsidR="00BB665E" w:rsidRPr="0038442F">
        <w:rPr>
          <w:rFonts w:ascii="Verdana" w:hAnsi="Verdana"/>
          <w:sz w:val="20"/>
          <w:szCs w:val="20"/>
          <w:lang w:val="pt-BR"/>
        </w:rPr>
        <w:t>e</w:t>
      </w:r>
      <w:r w:rsidR="003F0394" w:rsidRPr="0038442F">
        <w:rPr>
          <w:rFonts w:ascii="Verdana" w:hAnsi="Verdana"/>
          <w:sz w:val="20"/>
          <w:szCs w:val="20"/>
          <w:lang w:val="pt-BR"/>
        </w:rPr>
        <w:t xml:space="preserve"> iii) </w:t>
      </w:r>
      <w:r w:rsidR="00BB665E" w:rsidRPr="0038442F">
        <w:rPr>
          <w:rFonts w:ascii="Verdana" w:hAnsi="Verdana"/>
          <w:sz w:val="20"/>
          <w:szCs w:val="20"/>
          <w:lang w:val="pt-BR"/>
        </w:rPr>
        <w:t xml:space="preserve">são, na </w:t>
      </w:r>
      <w:r w:rsidR="003F0394" w:rsidRPr="0038442F">
        <w:rPr>
          <w:rFonts w:ascii="Verdana" w:hAnsi="Verdana"/>
          <w:sz w:val="20"/>
          <w:szCs w:val="20"/>
          <w:lang w:val="pt-BR"/>
        </w:rPr>
        <w:t>realidad</w:t>
      </w:r>
      <w:r w:rsidR="00BB665E" w:rsidRPr="0038442F">
        <w:rPr>
          <w:rFonts w:ascii="Verdana" w:hAnsi="Verdana"/>
          <w:sz w:val="20"/>
          <w:szCs w:val="20"/>
          <w:lang w:val="pt-BR"/>
        </w:rPr>
        <w:t>e</w:t>
      </w:r>
      <w:r w:rsidR="00547B18" w:rsidRPr="0038442F">
        <w:rPr>
          <w:rFonts w:ascii="Verdana" w:hAnsi="Verdana"/>
          <w:sz w:val="20"/>
          <w:szCs w:val="20"/>
          <w:lang w:val="pt-BR"/>
        </w:rPr>
        <w:t>,</w:t>
      </w:r>
      <w:r w:rsidR="003F0394" w:rsidRPr="0038442F">
        <w:rPr>
          <w:rFonts w:ascii="Verdana" w:hAnsi="Verdana"/>
          <w:sz w:val="20"/>
          <w:szCs w:val="20"/>
          <w:lang w:val="pt-BR"/>
        </w:rPr>
        <w:t xml:space="preserve"> expres</w:t>
      </w:r>
      <w:r w:rsidR="00BB665E" w:rsidRPr="0038442F">
        <w:rPr>
          <w:rFonts w:ascii="Verdana" w:hAnsi="Verdana"/>
          <w:sz w:val="20"/>
          <w:szCs w:val="20"/>
          <w:lang w:val="pt-BR"/>
        </w:rPr>
        <w:t xml:space="preserve">sões de como se pode </w:t>
      </w:r>
      <w:r w:rsidR="003F0394" w:rsidRPr="0038442F">
        <w:rPr>
          <w:rFonts w:ascii="Verdana" w:hAnsi="Verdana"/>
          <w:sz w:val="20"/>
          <w:szCs w:val="20"/>
          <w:lang w:val="pt-BR"/>
        </w:rPr>
        <w:t xml:space="preserve">se </w:t>
      </w:r>
      <w:r w:rsidR="00BB665E" w:rsidRPr="0038442F">
        <w:rPr>
          <w:rFonts w:ascii="Verdana" w:hAnsi="Verdana"/>
          <w:sz w:val="20"/>
          <w:szCs w:val="20"/>
          <w:lang w:val="pt-BR"/>
        </w:rPr>
        <w:t>pode</w:t>
      </w:r>
      <w:r w:rsidR="00407242" w:rsidRPr="0038442F">
        <w:rPr>
          <w:rFonts w:ascii="Verdana" w:hAnsi="Verdana"/>
          <w:sz w:val="20"/>
          <w:szCs w:val="20"/>
          <w:lang w:val="pt-BR"/>
        </w:rPr>
        <w:t xml:space="preserve"> </w:t>
      </w:r>
      <w:r w:rsidR="00BB665E" w:rsidRPr="0038442F">
        <w:rPr>
          <w:rFonts w:ascii="Verdana" w:hAnsi="Verdana"/>
          <w:sz w:val="20"/>
          <w:szCs w:val="20"/>
          <w:lang w:val="pt-BR"/>
        </w:rPr>
        <w:t>executar</w:t>
      </w:r>
      <w:r w:rsidR="00407242" w:rsidRPr="0038442F">
        <w:rPr>
          <w:rFonts w:ascii="Verdana" w:hAnsi="Verdana"/>
          <w:sz w:val="20"/>
          <w:szCs w:val="20"/>
          <w:lang w:val="pt-BR"/>
        </w:rPr>
        <w:t xml:space="preserve"> </w:t>
      </w:r>
      <w:r w:rsidR="003F0394" w:rsidRPr="0038442F">
        <w:rPr>
          <w:rFonts w:ascii="Verdana" w:hAnsi="Verdana"/>
          <w:sz w:val="20"/>
          <w:szCs w:val="20"/>
          <w:lang w:val="pt-BR"/>
        </w:rPr>
        <w:t>a preven</w:t>
      </w:r>
      <w:r w:rsidR="000A1AA8" w:rsidRPr="0038442F">
        <w:rPr>
          <w:rFonts w:ascii="Verdana" w:hAnsi="Verdana"/>
          <w:sz w:val="20"/>
          <w:szCs w:val="20"/>
          <w:lang w:val="pt-BR"/>
        </w:rPr>
        <w:t>ção</w:t>
      </w:r>
      <w:r w:rsidR="003F0394" w:rsidRPr="0038442F">
        <w:rPr>
          <w:rFonts w:ascii="Verdana" w:hAnsi="Verdana"/>
          <w:sz w:val="20"/>
          <w:szCs w:val="20"/>
          <w:lang w:val="pt-BR"/>
        </w:rPr>
        <w:t>, co</w:t>
      </w:r>
      <w:r w:rsidR="000F672C" w:rsidRPr="0038442F">
        <w:rPr>
          <w:rFonts w:ascii="Verdana" w:hAnsi="Verdana"/>
          <w:sz w:val="20"/>
          <w:szCs w:val="20"/>
          <w:lang w:val="pt-BR"/>
        </w:rPr>
        <w:t xml:space="preserve">nforme </w:t>
      </w:r>
      <w:r w:rsidR="003F0394" w:rsidRPr="0038442F">
        <w:rPr>
          <w:rFonts w:ascii="Verdana" w:hAnsi="Verdana"/>
          <w:sz w:val="20"/>
          <w:szCs w:val="20"/>
          <w:lang w:val="pt-BR"/>
        </w:rPr>
        <w:t>se</w:t>
      </w:r>
      <w:r w:rsidR="00A44522">
        <w:rPr>
          <w:rFonts w:ascii="Verdana" w:hAnsi="Verdana"/>
          <w:sz w:val="20"/>
          <w:szCs w:val="20"/>
          <w:lang w:val="pt-BR"/>
        </w:rPr>
        <w:t>rá</w:t>
      </w:r>
      <w:r w:rsidR="003F0394" w:rsidRPr="0038442F">
        <w:rPr>
          <w:rFonts w:ascii="Verdana" w:hAnsi="Verdana"/>
          <w:sz w:val="20"/>
          <w:szCs w:val="20"/>
          <w:lang w:val="pt-BR"/>
        </w:rPr>
        <w:t xml:space="preserve"> </w:t>
      </w:r>
      <w:r w:rsidR="00FD1497" w:rsidRPr="0038442F">
        <w:rPr>
          <w:rFonts w:ascii="Verdana" w:hAnsi="Verdana"/>
          <w:sz w:val="20"/>
          <w:szCs w:val="20"/>
          <w:lang w:val="pt-BR"/>
        </w:rPr>
        <w:t>expo</w:t>
      </w:r>
      <w:r w:rsidR="00A44522">
        <w:rPr>
          <w:rFonts w:ascii="Verdana" w:hAnsi="Verdana"/>
          <w:sz w:val="20"/>
          <w:szCs w:val="20"/>
          <w:lang w:val="pt-BR"/>
        </w:rPr>
        <w:t>sto</w:t>
      </w:r>
      <w:r w:rsidR="003F0394" w:rsidRPr="0038442F">
        <w:rPr>
          <w:rFonts w:ascii="Verdana" w:hAnsi="Verdana"/>
          <w:sz w:val="20"/>
          <w:szCs w:val="20"/>
          <w:lang w:val="pt-BR"/>
        </w:rPr>
        <w:t xml:space="preserve"> a </w:t>
      </w:r>
      <w:r w:rsidR="00BB665E" w:rsidRPr="0038442F">
        <w:rPr>
          <w:rFonts w:ascii="Verdana" w:hAnsi="Verdana"/>
          <w:sz w:val="20"/>
          <w:szCs w:val="20"/>
          <w:lang w:val="pt-BR"/>
        </w:rPr>
        <w:t>seguir</w:t>
      </w:r>
      <w:r w:rsidR="00547B18" w:rsidRPr="0038442F">
        <w:rPr>
          <w:rFonts w:ascii="Verdana" w:hAnsi="Verdana"/>
          <w:sz w:val="20"/>
          <w:szCs w:val="20"/>
          <w:lang w:val="pt-BR"/>
        </w:rPr>
        <w:t>.</w:t>
      </w:r>
      <w:r w:rsidR="00407242" w:rsidRPr="0038442F">
        <w:rPr>
          <w:rFonts w:ascii="Verdana" w:hAnsi="Verdana"/>
          <w:sz w:val="20"/>
          <w:szCs w:val="20"/>
          <w:lang w:val="pt-BR"/>
        </w:rPr>
        <w:t xml:space="preserve"> </w:t>
      </w:r>
    </w:p>
    <w:p w14:paraId="2BEAD311" w14:textId="77777777" w:rsidR="00AD76EE" w:rsidRPr="0038442F" w:rsidRDefault="00AD76EE" w:rsidP="00A857CB">
      <w:pPr>
        <w:pStyle w:val="Prrafodelista"/>
        <w:spacing w:line="240" w:lineRule="auto"/>
        <w:ind w:left="0"/>
        <w:jc w:val="both"/>
        <w:rPr>
          <w:rFonts w:ascii="Verdana" w:hAnsi="Verdana"/>
          <w:bCs/>
          <w:sz w:val="20"/>
          <w:szCs w:val="20"/>
          <w:lang w:val="pt-BR"/>
        </w:rPr>
      </w:pPr>
    </w:p>
    <w:p w14:paraId="6AAFF5A3" w14:textId="7BA37997" w:rsidR="00AD76EE" w:rsidRPr="0038442F" w:rsidRDefault="00C92762" w:rsidP="00FE5B4A">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 xml:space="preserve">A Corte </w:t>
      </w:r>
      <w:r w:rsidR="00AD76EE" w:rsidRPr="0038442F">
        <w:rPr>
          <w:rFonts w:ascii="Verdana" w:hAnsi="Verdana"/>
          <w:bCs/>
          <w:sz w:val="20"/>
          <w:szCs w:val="20"/>
          <w:lang w:val="pt-BR"/>
        </w:rPr>
        <w:t xml:space="preserve">IDH </w:t>
      </w:r>
      <w:r w:rsidR="00BB665E" w:rsidRPr="0038442F">
        <w:rPr>
          <w:rFonts w:ascii="Verdana" w:hAnsi="Verdana"/>
          <w:bCs/>
          <w:sz w:val="20"/>
          <w:szCs w:val="20"/>
          <w:lang w:val="pt-BR"/>
        </w:rPr>
        <w:t xml:space="preserve">já </w:t>
      </w:r>
      <w:r w:rsidR="000F672C" w:rsidRPr="0038442F">
        <w:rPr>
          <w:rFonts w:ascii="Verdana" w:hAnsi="Verdana"/>
          <w:bCs/>
          <w:sz w:val="20"/>
          <w:szCs w:val="20"/>
          <w:lang w:val="pt-BR"/>
        </w:rPr>
        <w:t xml:space="preserve">elucidou, </w:t>
      </w:r>
      <w:r w:rsidR="003F0394" w:rsidRPr="0038442F">
        <w:rPr>
          <w:rFonts w:ascii="Verdana" w:hAnsi="Verdana"/>
          <w:bCs/>
          <w:sz w:val="20"/>
          <w:szCs w:val="20"/>
          <w:lang w:val="pt-BR"/>
        </w:rPr>
        <w:t>desde su</w:t>
      </w:r>
      <w:r w:rsidR="00BB665E" w:rsidRPr="0038442F">
        <w:rPr>
          <w:rFonts w:ascii="Verdana" w:hAnsi="Verdana"/>
          <w:bCs/>
          <w:sz w:val="20"/>
          <w:szCs w:val="20"/>
          <w:lang w:val="pt-BR"/>
        </w:rPr>
        <w:t>a</w:t>
      </w:r>
      <w:r w:rsidR="003F0394" w:rsidRPr="0038442F">
        <w:rPr>
          <w:rFonts w:ascii="Verdana" w:hAnsi="Verdana"/>
          <w:bCs/>
          <w:sz w:val="20"/>
          <w:szCs w:val="20"/>
          <w:lang w:val="pt-BR"/>
        </w:rPr>
        <w:t xml:space="preserve"> </w:t>
      </w:r>
      <w:r w:rsidR="00CA30C5" w:rsidRPr="0038442F">
        <w:rPr>
          <w:rFonts w:ascii="Verdana" w:hAnsi="Verdana"/>
          <w:bCs/>
          <w:sz w:val="20"/>
          <w:szCs w:val="20"/>
          <w:lang w:val="pt-BR"/>
        </w:rPr>
        <w:t>primeira</w:t>
      </w:r>
      <w:r w:rsidR="00407242" w:rsidRPr="0038442F">
        <w:rPr>
          <w:rFonts w:ascii="Verdana" w:hAnsi="Verdana"/>
          <w:bCs/>
          <w:sz w:val="20"/>
          <w:szCs w:val="20"/>
          <w:lang w:val="pt-BR"/>
        </w:rPr>
        <w:t xml:space="preserve"> </w:t>
      </w:r>
      <w:r w:rsidR="00BB665E" w:rsidRPr="0038442F">
        <w:rPr>
          <w:rFonts w:ascii="Verdana" w:hAnsi="Verdana"/>
          <w:bCs/>
          <w:sz w:val="20"/>
          <w:szCs w:val="20"/>
          <w:lang w:val="pt-BR"/>
        </w:rPr>
        <w:t>decisão</w:t>
      </w:r>
      <w:r w:rsidR="000F672C" w:rsidRPr="0038442F">
        <w:rPr>
          <w:rFonts w:ascii="Verdana" w:hAnsi="Verdana"/>
          <w:bCs/>
          <w:sz w:val="20"/>
          <w:szCs w:val="20"/>
          <w:lang w:val="pt-BR"/>
        </w:rPr>
        <w:t>,</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que a </w:t>
      </w:r>
      <w:r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de </w:t>
      </w:r>
      <w:r w:rsidR="009612FB" w:rsidRPr="0038442F">
        <w:rPr>
          <w:rFonts w:ascii="Verdana" w:hAnsi="Verdana"/>
          <w:bCs/>
          <w:sz w:val="20"/>
          <w:szCs w:val="20"/>
          <w:lang w:val="pt-BR"/>
        </w:rPr>
        <w:t>garantir</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implica </w:t>
      </w:r>
      <w:r w:rsidRPr="0038442F">
        <w:rPr>
          <w:rFonts w:ascii="Verdana" w:hAnsi="Verdana"/>
          <w:bCs/>
          <w:sz w:val="20"/>
          <w:szCs w:val="20"/>
          <w:lang w:val="pt-BR"/>
        </w:rPr>
        <w:t>uma</w:t>
      </w:r>
      <w:r w:rsidR="00407242" w:rsidRPr="0038442F">
        <w:rPr>
          <w:rFonts w:ascii="Verdana" w:hAnsi="Verdana"/>
          <w:bCs/>
          <w:sz w:val="20"/>
          <w:szCs w:val="20"/>
          <w:lang w:val="pt-BR"/>
        </w:rPr>
        <w:t xml:space="preserve"> </w:t>
      </w:r>
      <w:r w:rsidR="00BB665E" w:rsidRPr="0038442F">
        <w:rPr>
          <w:rFonts w:ascii="Verdana" w:hAnsi="Verdana"/>
          <w:bCs/>
          <w:sz w:val="20"/>
          <w:szCs w:val="20"/>
          <w:lang w:val="pt-BR"/>
        </w:rPr>
        <w:t>ampla</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gama </w:t>
      </w:r>
      <w:r w:rsidR="008E460D" w:rsidRPr="0038442F">
        <w:rPr>
          <w:rFonts w:ascii="Verdana" w:hAnsi="Verdana"/>
          <w:bCs/>
          <w:sz w:val="20"/>
          <w:szCs w:val="20"/>
          <w:lang w:val="pt-BR"/>
        </w:rPr>
        <w:t xml:space="preserve">de </w:t>
      </w:r>
      <w:r w:rsidR="006A12FD" w:rsidRPr="0038442F">
        <w:rPr>
          <w:rFonts w:ascii="Verdana" w:hAnsi="Verdana"/>
          <w:bCs/>
          <w:sz w:val="20"/>
          <w:szCs w:val="20"/>
          <w:lang w:val="pt-BR"/>
        </w:rPr>
        <w:t>ações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por parte </w:t>
      </w:r>
      <w:r w:rsidR="00BB665E" w:rsidRPr="0038442F">
        <w:rPr>
          <w:rFonts w:ascii="Verdana" w:hAnsi="Verdana"/>
          <w:bCs/>
          <w:sz w:val="20"/>
          <w:szCs w:val="20"/>
          <w:lang w:val="pt-BR"/>
        </w:rPr>
        <w:t>do Estado.</w:t>
      </w:r>
      <w:r w:rsidR="00AD76EE" w:rsidRPr="0038442F">
        <w:rPr>
          <w:rStyle w:val="Refdenotaalpie"/>
          <w:rFonts w:ascii="Verdana" w:hAnsi="Verdana"/>
          <w:bCs/>
          <w:sz w:val="20"/>
          <w:szCs w:val="20"/>
          <w:lang w:val="pt-BR"/>
        </w:rPr>
        <w:footnoteReference w:id="20"/>
      </w:r>
      <w:r w:rsidR="00AD76EE" w:rsidRPr="0038442F">
        <w:rPr>
          <w:rFonts w:ascii="Verdana" w:hAnsi="Verdana"/>
          <w:bCs/>
          <w:sz w:val="20"/>
          <w:szCs w:val="20"/>
          <w:lang w:val="pt-BR"/>
        </w:rPr>
        <w:t xml:space="preserve"> </w:t>
      </w:r>
      <w:r w:rsidR="008E460D" w:rsidRPr="0038442F">
        <w:rPr>
          <w:rFonts w:ascii="Verdana" w:hAnsi="Verdana"/>
          <w:bCs/>
          <w:sz w:val="20"/>
          <w:szCs w:val="20"/>
          <w:lang w:val="pt-BR"/>
        </w:rPr>
        <w:t>U</w:t>
      </w:r>
      <w:r w:rsidR="00BB665E" w:rsidRPr="0038442F">
        <w:rPr>
          <w:rFonts w:ascii="Verdana" w:hAnsi="Verdana"/>
          <w:bCs/>
          <w:sz w:val="20"/>
          <w:szCs w:val="20"/>
          <w:lang w:val="pt-BR"/>
        </w:rPr>
        <w:t xml:space="preserve">m </w:t>
      </w:r>
      <w:r w:rsidR="000F672C" w:rsidRPr="0038442F">
        <w:rPr>
          <w:rFonts w:ascii="Verdana" w:hAnsi="Verdana"/>
          <w:bCs/>
          <w:sz w:val="20"/>
          <w:szCs w:val="20"/>
          <w:lang w:val="pt-BR"/>
        </w:rPr>
        <w:t xml:space="preserve">dos primeiros passos </w:t>
      </w:r>
      <w:r w:rsidR="00AD76EE" w:rsidRPr="0038442F">
        <w:rPr>
          <w:rFonts w:ascii="Verdana" w:hAnsi="Verdana"/>
          <w:bCs/>
          <w:sz w:val="20"/>
          <w:szCs w:val="20"/>
          <w:lang w:val="pt-BR"/>
        </w:rPr>
        <w:t xml:space="preserve">para a </w:t>
      </w:r>
      <w:r w:rsidRPr="0038442F">
        <w:rPr>
          <w:rFonts w:ascii="Verdana" w:hAnsi="Verdana"/>
          <w:bCs/>
          <w:sz w:val="20"/>
          <w:szCs w:val="20"/>
          <w:lang w:val="pt-BR"/>
        </w:rPr>
        <w:t>garantia</w:t>
      </w:r>
      <w:r w:rsidR="00407242" w:rsidRPr="0038442F">
        <w:rPr>
          <w:rFonts w:ascii="Verdana" w:hAnsi="Verdana"/>
          <w:bCs/>
          <w:sz w:val="20"/>
          <w:szCs w:val="20"/>
          <w:lang w:val="pt-BR"/>
        </w:rPr>
        <w:t xml:space="preserve"> </w:t>
      </w:r>
      <w:r w:rsidRPr="0038442F">
        <w:rPr>
          <w:rFonts w:ascii="Verdana" w:hAnsi="Verdana"/>
          <w:bCs/>
          <w:sz w:val="20"/>
          <w:szCs w:val="20"/>
          <w:lang w:val="pt-BR"/>
        </w:rPr>
        <w:t xml:space="preserve">dos direitos </w:t>
      </w:r>
      <w:r w:rsidR="00AD76EE" w:rsidRPr="0038442F">
        <w:rPr>
          <w:rFonts w:ascii="Verdana" w:hAnsi="Verdana"/>
          <w:bCs/>
          <w:sz w:val="20"/>
          <w:szCs w:val="20"/>
          <w:lang w:val="pt-BR"/>
        </w:rPr>
        <w:t xml:space="preserve">humanos </w:t>
      </w:r>
      <w:r w:rsidR="00BB665E" w:rsidRPr="0038442F">
        <w:rPr>
          <w:rFonts w:ascii="Verdana" w:hAnsi="Verdana"/>
          <w:bCs/>
          <w:sz w:val="20"/>
          <w:szCs w:val="20"/>
          <w:lang w:val="pt-BR"/>
        </w:rPr>
        <w:t xml:space="preserve">é a </w:t>
      </w:r>
      <w:r w:rsidR="00AD76EE" w:rsidRPr="0038442F">
        <w:rPr>
          <w:rFonts w:ascii="Verdana" w:hAnsi="Verdana"/>
          <w:bCs/>
          <w:sz w:val="20"/>
          <w:szCs w:val="20"/>
          <w:lang w:val="pt-BR"/>
        </w:rPr>
        <w:t>“preven</w:t>
      </w:r>
      <w:r w:rsidR="000A1AA8" w:rsidRPr="0038442F">
        <w:rPr>
          <w:rFonts w:ascii="Verdana" w:hAnsi="Verdana"/>
          <w:bCs/>
          <w:sz w:val="20"/>
          <w:szCs w:val="20"/>
          <w:lang w:val="pt-BR"/>
        </w:rPr>
        <w:t>ção</w:t>
      </w:r>
      <w:r w:rsidR="00BB665E" w:rsidRPr="0038442F">
        <w:rPr>
          <w:rFonts w:ascii="Verdana" w:hAnsi="Verdana"/>
          <w:bCs/>
          <w:sz w:val="20"/>
          <w:szCs w:val="20"/>
          <w:lang w:val="pt-BR"/>
        </w:rPr>
        <w:t>”. Sobre ess</w:t>
      </w:r>
      <w:r w:rsidR="00AD76EE" w:rsidRPr="0038442F">
        <w:rPr>
          <w:rFonts w:ascii="Verdana" w:hAnsi="Verdana"/>
          <w:bCs/>
          <w:sz w:val="20"/>
          <w:szCs w:val="20"/>
          <w:lang w:val="pt-BR"/>
        </w:rPr>
        <w:t xml:space="preserve">a faceta </w:t>
      </w:r>
      <w:r w:rsidRPr="0038442F">
        <w:rPr>
          <w:rFonts w:ascii="Verdana" w:hAnsi="Verdana"/>
          <w:bCs/>
          <w:sz w:val="20"/>
          <w:szCs w:val="20"/>
          <w:lang w:val="pt-BR"/>
        </w:rPr>
        <w:t>da obrigação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de </w:t>
      </w:r>
      <w:r w:rsidR="009612FB" w:rsidRPr="0038442F">
        <w:rPr>
          <w:rFonts w:ascii="Verdana" w:hAnsi="Verdana"/>
          <w:bCs/>
          <w:sz w:val="20"/>
          <w:szCs w:val="20"/>
          <w:lang w:val="pt-BR"/>
        </w:rPr>
        <w:t>garantir</w:t>
      </w:r>
      <w:r w:rsidR="00317D7A" w:rsidRPr="0038442F">
        <w:rPr>
          <w:rFonts w:ascii="Verdana" w:hAnsi="Verdana"/>
          <w:bCs/>
          <w:sz w:val="20"/>
          <w:szCs w:val="20"/>
          <w:lang w:val="pt-BR"/>
        </w:rPr>
        <w:t>,</w:t>
      </w:r>
      <w:r w:rsidR="00AD76EE" w:rsidRPr="0038442F">
        <w:rPr>
          <w:rFonts w:ascii="Verdana" w:hAnsi="Verdana"/>
          <w:bCs/>
          <w:sz w:val="20"/>
          <w:szCs w:val="20"/>
          <w:lang w:val="pt-BR"/>
        </w:rPr>
        <w:t xml:space="preserve"> </w:t>
      </w:r>
      <w:r w:rsidR="00BB665E" w:rsidRPr="0038442F">
        <w:rPr>
          <w:rFonts w:ascii="Verdana" w:hAnsi="Verdana"/>
          <w:bCs/>
          <w:sz w:val="20"/>
          <w:szCs w:val="20"/>
          <w:lang w:val="pt-BR"/>
        </w:rPr>
        <w:t xml:space="preserve">o </w:t>
      </w:r>
      <w:r w:rsidR="008E460D" w:rsidRPr="0038442F">
        <w:rPr>
          <w:rFonts w:ascii="Verdana" w:hAnsi="Verdana"/>
          <w:bCs/>
          <w:sz w:val="20"/>
          <w:szCs w:val="20"/>
          <w:lang w:val="pt-BR"/>
        </w:rPr>
        <w:t>Tribunal Interamericano</w:t>
      </w:r>
      <w:r w:rsidR="00AD76EE" w:rsidRPr="0038442F">
        <w:rPr>
          <w:rFonts w:ascii="Verdana" w:hAnsi="Verdana"/>
          <w:bCs/>
          <w:sz w:val="20"/>
          <w:szCs w:val="20"/>
          <w:lang w:val="pt-BR"/>
        </w:rPr>
        <w:t xml:space="preserve"> </w:t>
      </w:r>
      <w:r w:rsidR="00BB665E" w:rsidRPr="0038442F">
        <w:rPr>
          <w:rFonts w:ascii="Verdana" w:hAnsi="Verdana"/>
          <w:bCs/>
          <w:sz w:val="20"/>
          <w:szCs w:val="20"/>
          <w:lang w:val="pt-BR"/>
        </w:rPr>
        <w:t xml:space="preserve">salientou que essa </w:t>
      </w:r>
      <w:r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BB665E" w:rsidRPr="0038442F">
        <w:rPr>
          <w:rFonts w:ascii="Verdana" w:hAnsi="Verdana"/>
          <w:bCs/>
          <w:sz w:val="20"/>
          <w:szCs w:val="20"/>
          <w:lang w:val="pt-BR"/>
        </w:rPr>
        <w:t xml:space="preserve">é de meio ou </w:t>
      </w:r>
      <w:r w:rsidR="00A44522">
        <w:rPr>
          <w:rFonts w:ascii="Verdana" w:hAnsi="Verdana"/>
          <w:bCs/>
          <w:sz w:val="20"/>
          <w:szCs w:val="20"/>
          <w:lang w:val="pt-BR"/>
        </w:rPr>
        <w:t xml:space="preserve">de </w:t>
      </w:r>
      <w:r w:rsidR="00BB665E" w:rsidRPr="0038442F">
        <w:rPr>
          <w:rFonts w:ascii="Verdana" w:hAnsi="Verdana"/>
          <w:bCs/>
          <w:sz w:val="20"/>
          <w:szCs w:val="20"/>
          <w:lang w:val="pt-BR"/>
        </w:rPr>
        <w:t xml:space="preserve">comportamento e </w:t>
      </w:r>
      <w:r w:rsidR="000F672C" w:rsidRPr="0038442F">
        <w:rPr>
          <w:rFonts w:ascii="Verdana" w:hAnsi="Verdana"/>
          <w:bCs/>
          <w:sz w:val="20"/>
          <w:szCs w:val="20"/>
          <w:lang w:val="pt-BR"/>
        </w:rPr>
        <w:t xml:space="preserve">que </w:t>
      </w:r>
      <w:r w:rsidR="00BB665E" w:rsidRPr="0038442F">
        <w:rPr>
          <w:rFonts w:ascii="Verdana" w:hAnsi="Verdana"/>
          <w:bCs/>
          <w:sz w:val="20"/>
          <w:szCs w:val="20"/>
          <w:lang w:val="pt-BR"/>
        </w:rPr>
        <w:t xml:space="preserve">não se demonstra </w:t>
      </w:r>
      <w:r w:rsidR="00AD76EE" w:rsidRPr="0038442F">
        <w:rPr>
          <w:rFonts w:ascii="Verdana" w:hAnsi="Verdana"/>
          <w:sz w:val="20"/>
          <w:szCs w:val="20"/>
          <w:lang w:val="pt-BR"/>
        </w:rPr>
        <w:t>s</w:t>
      </w:r>
      <w:r w:rsidR="00BB665E" w:rsidRPr="0038442F">
        <w:rPr>
          <w:rFonts w:ascii="Verdana" w:hAnsi="Verdana"/>
          <w:sz w:val="20"/>
          <w:szCs w:val="20"/>
          <w:lang w:val="pt-BR"/>
        </w:rPr>
        <w:t>e</w:t>
      </w:r>
      <w:r w:rsidR="00AD76EE" w:rsidRPr="0038442F">
        <w:rPr>
          <w:rFonts w:ascii="Verdana" w:hAnsi="Verdana"/>
          <w:sz w:val="20"/>
          <w:szCs w:val="20"/>
          <w:lang w:val="pt-BR"/>
        </w:rPr>
        <w:t xml:space="preserve">u </w:t>
      </w:r>
      <w:r w:rsidR="00BB665E" w:rsidRPr="0038442F">
        <w:rPr>
          <w:rFonts w:ascii="Verdana" w:hAnsi="Verdana"/>
          <w:sz w:val="20"/>
          <w:szCs w:val="20"/>
          <w:lang w:val="pt-BR"/>
        </w:rPr>
        <w:t>descumprimento</w:t>
      </w:r>
      <w:r w:rsidR="00407242" w:rsidRPr="0038442F">
        <w:rPr>
          <w:rFonts w:ascii="Verdana" w:hAnsi="Verdana"/>
          <w:sz w:val="20"/>
          <w:szCs w:val="20"/>
          <w:lang w:val="pt-BR"/>
        </w:rPr>
        <w:t xml:space="preserve"> </w:t>
      </w:r>
      <w:r w:rsidR="00AD76EE" w:rsidRPr="0038442F">
        <w:rPr>
          <w:rFonts w:ascii="Verdana" w:hAnsi="Verdana"/>
          <w:sz w:val="20"/>
          <w:szCs w:val="20"/>
          <w:lang w:val="pt-BR"/>
        </w:rPr>
        <w:t>p</w:t>
      </w:r>
      <w:r w:rsidR="00BB665E" w:rsidRPr="0038442F">
        <w:rPr>
          <w:rFonts w:ascii="Verdana" w:hAnsi="Verdana"/>
          <w:sz w:val="20"/>
          <w:szCs w:val="20"/>
          <w:lang w:val="pt-BR"/>
        </w:rPr>
        <w:t xml:space="preserve">elo </w:t>
      </w:r>
      <w:r w:rsidR="00AD76EE" w:rsidRPr="0038442F">
        <w:rPr>
          <w:rFonts w:ascii="Verdana" w:hAnsi="Verdana"/>
          <w:sz w:val="20"/>
          <w:szCs w:val="20"/>
          <w:lang w:val="pt-BR"/>
        </w:rPr>
        <w:t xml:space="preserve">mero </w:t>
      </w:r>
      <w:r w:rsidR="00BB665E" w:rsidRPr="0038442F">
        <w:rPr>
          <w:rFonts w:ascii="Verdana" w:hAnsi="Verdana"/>
          <w:sz w:val="20"/>
          <w:szCs w:val="20"/>
          <w:lang w:val="pt-BR"/>
        </w:rPr>
        <w:t xml:space="preserve">fato </w:t>
      </w:r>
      <w:r w:rsidR="00AD76EE" w:rsidRPr="0038442F">
        <w:rPr>
          <w:rFonts w:ascii="Verdana" w:hAnsi="Verdana"/>
          <w:sz w:val="20"/>
          <w:szCs w:val="20"/>
          <w:lang w:val="pt-BR"/>
        </w:rPr>
        <w:t>de que u</w:t>
      </w:r>
      <w:r w:rsidR="00BB665E" w:rsidRPr="0038442F">
        <w:rPr>
          <w:rFonts w:ascii="Verdana" w:hAnsi="Verdana"/>
          <w:sz w:val="20"/>
          <w:szCs w:val="20"/>
          <w:lang w:val="pt-BR"/>
        </w:rPr>
        <w:t>m</w:t>
      </w:r>
      <w:r w:rsidR="00AD76EE" w:rsidRPr="0038442F">
        <w:rPr>
          <w:rFonts w:ascii="Verdana" w:hAnsi="Verdana"/>
          <w:sz w:val="20"/>
          <w:szCs w:val="20"/>
          <w:lang w:val="pt-BR"/>
        </w:rPr>
        <w:t xml:space="preserv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BB665E" w:rsidRPr="0038442F">
        <w:rPr>
          <w:rFonts w:ascii="Verdana" w:hAnsi="Verdana"/>
          <w:sz w:val="20"/>
          <w:szCs w:val="20"/>
          <w:lang w:val="pt-BR"/>
        </w:rPr>
        <w:t xml:space="preserve">tenha </w:t>
      </w:r>
      <w:r w:rsidR="00AD76EE" w:rsidRPr="0038442F">
        <w:rPr>
          <w:rFonts w:ascii="Verdana" w:hAnsi="Verdana"/>
          <w:sz w:val="20"/>
          <w:szCs w:val="20"/>
          <w:lang w:val="pt-BR"/>
        </w:rPr>
        <w:t>sido violad</w:t>
      </w:r>
      <w:r w:rsidR="00BB4AD8" w:rsidRPr="0038442F">
        <w:rPr>
          <w:rFonts w:ascii="Verdana" w:hAnsi="Verdana"/>
          <w:sz w:val="20"/>
          <w:szCs w:val="20"/>
          <w:lang w:val="pt-BR"/>
        </w:rPr>
        <w:t>o</w:t>
      </w:r>
      <w:r w:rsidR="00BB665E" w:rsidRPr="0038442F">
        <w:rPr>
          <w:rFonts w:ascii="Verdana" w:hAnsi="Verdana"/>
          <w:sz w:val="20"/>
          <w:szCs w:val="20"/>
          <w:lang w:val="pt-BR"/>
        </w:rPr>
        <w:t>.</w:t>
      </w:r>
      <w:r w:rsidR="00AD76EE" w:rsidRPr="0038442F">
        <w:rPr>
          <w:rStyle w:val="Refdenotaalpie"/>
          <w:rFonts w:ascii="Verdana" w:hAnsi="Verdana"/>
          <w:sz w:val="20"/>
          <w:szCs w:val="20"/>
          <w:lang w:val="pt-BR"/>
        </w:rPr>
        <w:footnoteReference w:id="21"/>
      </w:r>
      <w:r w:rsidR="00AD76EE" w:rsidRPr="0038442F">
        <w:rPr>
          <w:rFonts w:ascii="Verdana" w:hAnsi="Verdana"/>
          <w:sz w:val="20"/>
          <w:szCs w:val="20"/>
          <w:lang w:val="pt-BR"/>
        </w:rPr>
        <w:t xml:space="preserve"> </w:t>
      </w:r>
      <w:r w:rsidR="008E460D" w:rsidRPr="0038442F">
        <w:rPr>
          <w:rFonts w:ascii="Verdana" w:hAnsi="Verdana"/>
          <w:sz w:val="20"/>
          <w:szCs w:val="20"/>
          <w:lang w:val="pt-BR"/>
        </w:rPr>
        <w:t>E</w:t>
      </w:r>
      <w:r w:rsidR="00BB665E" w:rsidRPr="0038442F">
        <w:rPr>
          <w:rFonts w:ascii="Verdana" w:hAnsi="Verdana"/>
          <w:sz w:val="20"/>
          <w:szCs w:val="20"/>
          <w:lang w:val="pt-BR"/>
        </w:rPr>
        <w:t>m</w:t>
      </w:r>
      <w:r w:rsidR="008E460D" w:rsidRPr="0038442F">
        <w:rPr>
          <w:rFonts w:ascii="Verdana" w:hAnsi="Verdana"/>
          <w:sz w:val="20"/>
          <w:szCs w:val="20"/>
          <w:lang w:val="pt-BR"/>
        </w:rPr>
        <w:t xml:space="preserve"> </w:t>
      </w:r>
      <w:r w:rsidR="006A12FD" w:rsidRPr="0038442F">
        <w:rPr>
          <w:rFonts w:ascii="Verdana" w:hAnsi="Verdana"/>
          <w:sz w:val="20"/>
          <w:szCs w:val="20"/>
          <w:lang w:val="pt-BR"/>
        </w:rPr>
        <w:t>outras</w:t>
      </w:r>
      <w:r w:rsidR="00407242" w:rsidRPr="0038442F">
        <w:rPr>
          <w:rFonts w:ascii="Verdana" w:hAnsi="Verdana"/>
          <w:sz w:val="20"/>
          <w:szCs w:val="20"/>
          <w:lang w:val="pt-BR"/>
        </w:rPr>
        <w:t xml:space="preserve"> </w:t>
      </w:r>
      <w:r w:rsidR="008E460D" w:rsidRPr="0038442F">
        <w:rPr>
          <w:rFonts w:ascii="Verdana" w:hAnsi="Verdana"/>
          <w:sz w:val="20"/>
          <w:szCs w:val="20"/>
          <w:lang w:val="pt-BR"/>
        </w:rPr>
        <w:t>pala</w:t>
      </w:r>
      <w:r w:rsidR="00BB665E" w:rsidRPr="0038442F">
        <w:rPr>
          <w:rFonts w:ascii="Verdana" w:hAnsi="Verdana"/>
          <w:sz w:val="20"/>
          <w:szCs w:val="20"/>
          <w:lang w:val="pt-BR"/>
        </w:rPr>
        <w:t>v</w:t>
      </w:r>
      <w:r w:rsidR="008E460D" w:rsidRPr="0038442F">
        <w:rPr>
          <w:rFonts w:ascii="Verdana" w:hAnsi="Verdana"/>
          <w:sz w:val="20"/>
          <w:szCs w:val="20"/>
          <w:lang w:val="pt-BR"/>
        </w:rPr>
        <w:t xml:space="preserve">ras, </w:t>
      </w:r>
      <w:r w:rsidR="00BB665E" w:rsidRPr="0038442F">
        <w:rPr>
          <w:rFonts w:ascii="Verdana" w:hAnsi="Verdana"/>
          <w:sz w:val="20"/>
          <w:szCs w:val="20"/>
          <w:lang w:val="pt-BR"/>
        </w:rPr>
        <w:t xml:space="preserve">o descumprimento </w:t>
      </w:r>
      <w:r w:rsidR="008E460D" w:rsidRPr="0038442F">
        <w:rPr>
          <w:rFonts w:ascii="Verdana" w:hAnsi="Verdana"/>
          <w:sz w:val="20"/>
          <w:szCs w:val="20"/>
          <w:lang w:val="pt-BR"/>
        </w:rPr>
        <w:t>n</w:t>
      </w:r>
      <w:r w:rsidR="00BB665E" w:rsidRPr="0038442F">
        <w:rPr>
          <w:rFonts w:ascii="Verdana" w:hAnsi="Verdana"/>
          <w:sz w:val="20"/>
          <w:szCs w:val="20"/>
          <w:lang w:val="pt-BR"/>
        </w:rPr>
        <w:t>ã</w:t>
      </w:r>
      <w:r w:rsidR="008E460D" w:rsidRPr="0038442F">
        <w:rPr>
          <w:rFonts w:ascii="Verdana" w:hAnsi="Verdana"/>
          <w:sz w:val="20"/>
          <w:szCs w:val="20"/>
          <w:lang w:val="pt-BR"/>
        </w:rPr>
        <w:t xml:space="preserve">o </w:t>
      </w:r>
      <w:r w:rsidR="000F672C" w:rsidRPr="0038442F">
        <w:rPr>
          <w:rFonts w:ascii="Verdana" w:hAnsi="Verdana"/>
          <w:sz w:val="20"/>
          <w:szCs w:val="20"/>
          <w:lang w:val="pt-BR"/>
        </w:rPr>
        <w:t xml:space="preserve">decorre da </w:t>
      </w:r>
      <w:r w:rsidR="008E460D" w:rsidRPr="0038442F">
        <w:rPr>
          <w:rFonts w:ascii="Verdana" w:hAnsi="Verdana"/>
          <w:sz w:val="20"/>
          <w:szCs w:val="20"/>
          <w:lang w:val="pt-BR"/>
        </w:rPr>
        <w:t xml:space="preserve">plena </w:t>
      </w:r>
      <w:r w:rsidR="00BB665E" w:rsidRPr="0038442F">
        <w:rPr>
          <w:rFonts w:ascii="Verdana" w:hAnsi="Verdana"/>
          <w:sz w:val="20"/>
          <w:szCs w:val="20"/>
          <w:lang w:val="pt-BR"/>
        </w:rPr>
        <w:t>efetividade</w:t>
      </w:r>
      <w:r w:rsidR="00407242" w:rsidRPr="0038442F">
        <w:rPr>
          <w:rFonts w:ascii="Verdana" w:hAnsi="Verdana"/>
          <w:sz w:val="20"/>
          <w:szCs w:val="20"/>
          <w:lang w:val="pt-BR"/>
        </w:rPr>
        <w:t xml:space="preserve"> </w:t>
      </w:r>
      <w:r w:rsidR="008E460D" w:rsidRPr="0038442F">
        <w:rPr>
          <w:rFonts w:ascii="Verdana" w:hAnsi="Verdana"/>
          <w:sz w:val="20"/>
          <w:szCs w:val="20"/>
          <w:lang w:val="pt-BR"/>
        </w:rPr>
        <w:t>de</w:t>
      </w:r>
      <w:r w:rsidR="00BB665E" w:rsidRPr="0038442F">
        <w:rPr>
          <w:rFonts w:ascii="Verdana" w:hAnsi="Verdana"/>
          <w:sz w:val="20"/>
          <w:szCs w:val="20"/>
          <w:lang w:val="pt-BR"/>
        </w:rPr>
        <w:t>ssas</w:t>
      </w:r>
      <w:r w:rsidR="008E460D" w:rsidRPr="0038442F">
        <w:rPr>
          <w:rFonts w:ascii="Verdana" w:hAnsi="Verdana"/>
          <w:sz w:val="20"/>
          <w:szCs w:val="20"/>
          <w:lang w:val="pt-BR"/>
        </w:rPr>
        <w:t xml:space="preserve"> medidas, </w:t>
      </w:r>
      <w:r w:rsidR="00BB665E" w:rsidRPr="0038442F">
        <w:rPr>
          <w:rFonts w:ascii="Verdana" w:hAnsi="Verdana"/>
          <w:sz w:val="20"/>
          <w:szCs w:val="20"/>
          <w:lang w:val="pt-BR"/>
        </w:rPr>
        <w:t xml:space="preserve">mas, pelo menos, </w:t>
      </w:r>
      <w:r w:rsidR="008E460D" w:rsidRPr="0038442F">
        <w:rPr>
          <w:rFonts w:ascii="Verdana" w:hAnsi="Verdana"/>
          <w:sz w:val="20"/>
          <w:szCs w:val="20"/>
          <w:lang w:val="pt-BR"/>
        </w:rPr>
        <w:t xml:space="preserve">se espera que </w:t>
      </w:r>
      <w:r w:rsidR="009A3C25" w:rsidRPr="0038442F">
        <w:rPr>
          <w:rFonts w:ascii="Verdana" w:hAnsi="Verdana"/>
          <w:sz w:val="20"/>
          <w:szCs w:val="20"/>
          <w:lang w:val="pt-BR"/>
        </w:rPr>
        <w:t>surtam</w:t>
      </w:r>
      <w:r w:rsidR="00BB665E" w:rsidRPr="0038442F">
        <w:rPr>
          <w:rFonts w:ascii="Verdana" w:hAnsi="Verdana"/>
          <w:sz w:val="20"/>
          <w:szCs w:val="20"/>
          <w:lang w:val="pt-BR"/>
        </w:rPr>
        <w:t xml:space="preserve"> </w:t>
      </w:r>
      <w:r w:rsidR="008E460D" w:rsidRPr="0038442F">
        <w:rPr>
          <w:rFonts w:ascii="Verdana" w:hAnsi="Verdana"/>
          <w:sz w:val="20"/>
          <w:szCs w:val="20"/>
          <w:lang w:val="pt-BR"/>
        </w:rPr>
        <w:t xml:space="preserve">resultados </w:t>
      </w:r>
      <w:r w:rsidR="00BB665E" w:rsidRPr="0038442F">
        <w:rPr>
          <w:rFonts w:ascii="Verdana" w:hAnsi="Verdana"/>
          <w:sz w:val="20"/>
          <w:szCs w:val="20"/>
          <w:lang w:val="pt-BR"/>
        </w:rPr>
        <w:t>consideráveis</w:t>
      </w:r>
      <w:r w:rsidR="00407242" w:rsidRPr="0038442F">
        <w:rPr>
          <w:rFonts w:ascii="Verdana" w:hAnsi="Verdana"/>
          <w:sz w:val="20"/>
          <w:szCs w:val="20"/>
          <w:lang w:val="pt-BR"/>
        </w:rPr>
        <w:t xml:space="preserve"> </w:t>
      </w:r>
      <w:r w:rsidR="00BB665E" w:rsidRPr="0038442F">
        <w:rPr>
          <w:rFonts w:ascii="Verdana" w:hAnsi="Verdana"/>
          <w:sz w:val="20"/>
          <w:szCs w:val="20"/>
          <w:lang w:val="pt-BR"/>
        </w:rPr>
        <w:t xml:space="preserve">e que sejam </w:t>
      </w:r>
      <w:r w:rsidR="008E460D" w:rsidRPr="0038442F">
        <w:rPr>
          <w:rFonts w:ascii="Verdana" w:hAnsi="Verdana"/>
          <w:sz w:val="20"/>
          <w:szCs w:val="20"/>
          <w:lang w:val="pt-BR"/>
        </w:rPr>
        <w:t xml:space="preserve">suficientes para </w:t>
      </w:r>
      <w:r w:rsidR="009A3C25" w:rsidRPr="0038442F">
        <w:rPr>
          <w:rFonts w:ascii="Verdana" w:hAnsi="Verdana"/>
          <w:sz w:val="20"/>
          <w:szCs w:val="20"/>
          <w:lang w:val="pt-BR"/>
        </w:rPr>
        <w:t>considerar</w:t>
      </w:r>
      <w:r w:rsidR="00BB665E" w:rsidRPr="0038442F">
        <w:rPr>
          <w:rFonts w:ascii="Verdana" w:hAnsi="Verdana"/>
          <w:sz w:val="20"/>
          <w:szCs w:val="20"/>
          <w:lang w:val="pt-BR"/>
        </w:rPr>
        <w:t xml:space="preserve"> </w:t>
      </w:r>
      <w:r w:rsidR="008E460D" w:rsidRPr="0038442F">
        <w:rPr>
          <w:rFonts w:ascii="Verdana" w:hAnsi="Verdana"/>
          <w:sz w:val="20"/>
          <w:szCs w:val="20"/>
          <w:lang w:val="pt-BR"/>
        </w:rPr>
        <w:t>que existi</w:t>
      </w:r>
      <w:r w:rsidR="00BB665E" w:rsidRPr="0038442F">
        <w:rPr>
          <w:rFonts w:ascii="Verdana" w:hAnsi="Verdana"/>
          <w:sz w:val="20"/>
          <w:szCs w:val="20"/>
          <w:lang w:val="pt-BR"/>
        </w:rPr>
        <w:t xml:space="preserve">u </w:t>
      </w:r>
      <w:r w:rsidRPr="0038442F">
        <w:rPr>
          <w:rFonts w:ascii="Verdana" w:hAnsi="Verdana"/>
          <w:sz w:val="20"/>
          <w:szCs w:val="20"/>
          <w:lang w:val="pt-BR"/>
        </w:rPr>
        <w:t>uma</w:t>
      </w:r>
      <w:r w:rsidR="00407242" w:rsidRPr="0038442F">
        <w:rPr>
          <w:rFonts w:ascii="Verdana" w:hAnsi="Verdana"/>
          <w:sz w:val="20"/>
          <w:szCs w:val="20"/>
          <w:lang w:val="pt-BR"/>
        </w:rPr>
        <w:t xml:space="preserve"> </w:t>
      </w:r>
      <w:r w:rsidR="008E460D" w:rsidRPr="0038442F">
        <w:rPr>
          <w:rFonts w:ascii="Verdana" w:hAnsi="Verdana"/>
          <w:sz w:val="20"/>
          <w:szCs w:val="20"/>
          <w:lang w:val="pt-BR"/>
        </w:rPr>
        <w:t>evolu</w:t>
      </w:r>
      <w:r w:rsidR="000A1AA8" w:rsidRPr="0038442F">
        <w:rPr>
          <w:rFonts w:ascii="Verdana" w:hAnsi="Verdana"/>
          <w:sz w:val="20"/>
          <w:szCs w:val="20"/>
          <w:lang w:val="pt-BR"/>
        </w:rPr>
        <w:t>ção</w:t>
      </w:r>
      <w:r w:rsidR="008E460D" w:rsidRPr="0038442F">
        <w:rPr>
          <w:rFonts w:ascii="Verdana" w:hAnsi="Verdana"/>
          <w:sz w:val="20"/>
          <w:szCs w:val="20"/>
          <w:lang w:val="pt-BR"/>
        </w:rPr>
        <w:t xml:space="preserve"> </w:t>
      </w:r>
      <w:r w:rsidRPr="0038442F">
        <w:rPr>
          <w:rFonts w:ascii="Verdana" w:hAnsi="Verdana"/>
          <w:sz w:val="20"/>
          <w:szCs w:val="20"/>
          <w:lang w:val="pt-BR"/>
        </w:rPr>
        <w:t xml:space="preserve">da </w:t>
      </w:r>
      <w:r w:rsidR="008E460D" w:rsidRPr="0038442F">
        <w:rPr>
          <w:rFonts w:ascii="Verdana" w:hAnsi="Verdana"/>
          <w:sz w:val="20"/>
          <w:szCs w:val="20"/>
          <w:lang w:val="pt-BR"/>
        </w:rPr>
        <w:t>situa</w:t>
      </w:r>
      <w:r w:rsidR="000A1AA8" w:rsidRPr="0038442F">
        <w:rPr>
          <w:rFonts w:ascii="Verdana" w:hAnsi="Verdana"/>
          <w:sz w:val="20"/>
          <w:szCs w:val="20"/>
          <w:lang w:val="pt-BR"/>
        </w:rPr>
        <w:t>ção</w:t>
      </w:r>
      <w:r w:rsidR="008E460D" w:rsidRPr="0038442F">
        <w:rPr>
          <w:rFonts w:ascii="Verdana" w:hAnsi="Verdana"/>
          <w:sz w:val="20"/>
          <w:szCs w:val="20"/>
          <w:lang w:val="pt-BR"/>
        </w:rPr>
        <w:t xml:space="preserve"> inicial </w:t>
      </w:r>
      <w:r w:rsidR="00BB665E" w:rsidRPr="0038442F">
        <w:rPr>
          <w:rFonts w:ascii="Verdana" w:hAnsi="Verdana"/>
          <w:sz w:val="20"/>
          <w:szCs w:val="20"/>
          <w:lang w:val="pt-BR"/>
        </w:rPr>
        <w:t>par</w:t>
      </w:r>
      <w:r w:rsidR="008E460D" w:rsidRPr="0038442F">
        <w:rPr>
          <w:rFonts w:ascii="Verdana" w:hAnsi="Verdana"/>
          <w:sz w:val="20"/>
          <w:szCs w:val="20"/>
          <w:lang w:val="pt-BR"/>
        </w:rPr>
        <w:t xml:space="preserve">a </w:t>
      </w:r>
      <w:r w:rsidRPr="0038442F">
        <w:rPr>
          <w:rFonts w:ascii="Verdana" w:hAnsi="Verdana"/>
          <w:sz w:val="20"/>
          <w:szCs w:val="20"/>
          <w:lang w:val="pt-BR"/>
        </w:rPr>
        <w:t xml:space="preserve">uma </w:t>
      </w:r>
      <w:r w:rsidR="008E460D" w:rsidRPr="0038442F">
        <w:rPr>
          <w:rFonts w:ascii="Verdana" w:hAnsi="Verdana"/>
          <w:sz w:val="20"/>
          <w:szCs w:val="20"/>
          <w:lang w:val="pt-BR"/>
        </w:rPr>
        <w:t>situa</w:t>
      </w:r>
      <w:r w:rsidR="000A1AA8" w:rsidRPr="0038442F">
        <w:rPr>
          <w:rFonts w:ascii="Verdana" w:hAnsi="Verdana"/>
          <w:sz w:val="20"/>
          <w:szCs w:val="20"/>
          <w:lang w:val="pt-BR"/>
        </w:rPr>
        <w:t>ção</w:t>
      </w:r>
      <w:r w:rsidR="008E460D" w:rsidRPr="0038442F">
        <w:rPr>
          <w:rFonts w:ascii="Verdana" w:hAnsi="Verdana"/>
          <w:sz w:val="20"/>
          <w:szCs w:val="20"/>
          <w:lang w:val="pt-BR"/>
        </w:rPr>
        <w:t xml:space="preserve"> atual, para </w:t>
      </w:r>
      <w:r w:rsidR="00BB665E" w:rsidRPr="0038442F">
        <w:rPr>
          <w:rFonts w:ascii="Verdana" w:hAnsi="Verdana"/>
          <w:sz w:val="20"/>
          <w:szCs w:val="20"/>
          <w:lang w:val="pt-BR"/>
        </w:rPr>
        <w:t xml:space="preserve">o que </w:t>
      </w:r>
      <w:r w:rsidR="008E460D" w:rsidRPr="0038442F">
        <w:rPr>
          <w:rFonts w:ascii="Verdana" w:hAnsi="Verdana"/>
          <w:sz w:val="20"/>
          <w:szCs w:val="20"/>
          <w:lang w:val="pt-BR"/>
        </w:rPr>
        <w:t xml:space="preserve">será </w:t>
      </w:r>
      <w:r w:rsidR="00BB665E" w:rsidRPr="0038442F">
        <w:rPr>
          <w:rFonts w:ascii="Verdana" w:hAnsi="Verdana"/>
          <w:sz w:val="20"/>
          <w:szCs w:val="20"/>
          <w:lang w:val="pt-BR"/>
        </w:rPr>
        <w:t>desejável que esses avanços sejam mensuráveis</w:t>
      </w:r>
      <w:r w:rsidR="008E460D" w:rsidRPr="0038442F">
        <w:rPr>
          <w:rFonts w:ascii="Verdana" w:hAnsi="Verdana"/>
          <w:sz w:val="20"/>
          <w:szCs w:val="20"/>
          <w:lang w:val="pt-BR"/>
        </w:rPr>
        <w:t>.</w:t>
      </w:r>
      <w:r w:rsidR="00407242" w:rsidRPr="0038442F">
        <w:rPr>
          <w:rFonts w:ascii="Verdana" w:hAnsi="Verdana"/>
          <w:sz w:val="20"/>
          <w:szCs w:val="20"/>
          <w:lang w:val="pt-BR"/>
        </w:rPr>
        <w:t xml:space="preserve"> </w:t>
      </w:r>
    </w:p>
    <w:p w14:paraId="7B6F4C79" w14:textId="77777777" w:rsidR="00FE5B4A" w:rsidRPr="0038442F" w:rsidRDefault="00FE5B4A" w:rsidP="00FE5B4A">
      <w:pPr>
        <w:pStyle w:val="Prrafodelista"/>
        <w:spacing w:line="240" w:lineRule="auto"/>
        <w:ind w:left="0"/>
        <w:jc w:val="both"/>
        <w:rPr>
          <w:rFonts w:ascii="Verdana" w:hAnsi="Verdana"/>
          <w:bCs/>
          <w:sz w:val="20"/>
          <w:szCs w:val="20"/>
          <w:lang w:val="pt-BR"/>
        </w:rPr>
      </w:pPr>
    </w:p>
    <w:p w14:paraId="77D5AB20" w14:textId="03A22216" w:rsidR="00AD76EE" w:rsidRPr="0038442F" w:rsidRDefault="000F672C"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Em correlação com o acima exposto</w:t>
      </w:r>
      <w:r w:rsidR="0039256C" w:rsidRPr="0038442F">
        <w:rPr>
          <w:rFonts w:ascii="Verdana" w:hAnsi="Verdana"/>
          <w:bCs/>
          <w:sz w:val="20"/>
          <w:szCs w:val="20"/>
          <w:lang w:val="pt-BR"/>
        </w:rPr>
        <w:t xml:space="preserve">, </w:t>
      </w:r>
      <w:r w:rsidR="008806F8" w:rsidRPr="0038442F">
        <w:rPr>
          <w:rFonts w:ascii="Verdana" w:hAnsi="Verdana"/>
          <w:bCs/>
          <w:sz w:val="20"/>
          <w:szCs w:val="20"/>
          <w:lang w:val="pt-BR"/>
        </w:rPr>
        <w:t xml:space="preserve">a Corte </w:t>
      </w:r>
      <w:r w:rsidR="00AD76EE" w:rsidRPr="0038442F">
        <w:rPr>
          <w:rFonts w:ascii="Verdana" w:hAnsi="Verdana"/>
          <w:bCs/>
          <w:sz w:val="20"/>
          <w:szCs w:val="20"/>
          <w:lang w:val="pt-BR"/>
        </w:rPr>
        <w:t xml:space="preserve">IDH </w:t>
      </w:r>
      <w:r w:rsidR="000450DD" w:rsidRPr="0038442F">
        <w:rPr>
          <w:rFonts w:ascii="Verdana" w:hAnsi="Verdana"/>
          <w:bCs/>
          <w:sz w:val="20"/>
          <w:szCs w:val="20"/>
          <w:lang w:val="pt-BR"/>
        </w:rPr>
        <w:t xml:space="preserve">já expressou </w:t>
      </w:r>
      <w:r w:rsidR="00AD76EE" w:rsidRPr="0038442F">
        <w:rPr>
          <w:rFonts w:ascii="Verdana" w:hAnsi="Verdana"/>
          <w:bCs/>
          <w:sz w:val="20"/>
          <w:szCs w:val="20"/>
          <w:lang w:val="pt-BR"/>
        </w:rPr>
        <w:t xml:space="preserve">que </w:t>
      </w:r>
      <w:r w:rsidR="005135E5" w:rsidRPr="0038442F">
        <w:rPr>
          <w:rFonts w:ascii="Verdana" w:hAnsi="Verdana"/>
          <w:bCs/>
          <w:sz w:val="20"/>
          <w:szCs w:val="20"/>
          <w:lang w:val="pt-BR"/>
        </w:rPr>
        <w:t xml:space="preserve">os Estados </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adotar</w:t>
      </w:r>
      <w:r w:rsidR="00407242" w:rsidRPr="0038442F">
        <w:rPr>
          <w:rFonts w:ascii="Verdana" w:hAnsi="Verdana"/>
          <w:bCs/>
          <w:sz w:val="20"/>
          <w:szCs w:val="20"/>
          <w:lang w:val="pt-BR"/>
        </w:rPr>
        <w:t xml:space="preserve"> </w:t>
      </w:r>
      <w:r w:rsidR="003F0394" w:rsidRPr="0038442F">
        <w:rPr>
          <w:rFonts w:ascii="Verdana" w:hAnsi="Verdana"/>
          <w:bCs/>
          <w:sz w:val="20"/>
          <w:szCs w:val="20"/>
          <w:lang w:val="pt-BR"/>
        </w:rPr>
        <w:t>“</w:t>
      </w:r>
      <w:r w:rsidR="00AD76EE" w:rsidRPr="0038442F">
        <w:rPr>
          <w:rFonts w:ascii="Verdana" w:hAnsi="Verdana"/>
          <w:bCs/>
          <w:sz w:val="20"/>
          <w:szCs w:val="20"/>
          <w:lang w:val="pt-BR"/>
        </w:rPr>
        <w:t>medidas integr</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para </w:t>
      </w:r>
      <w:r w:rsidR="00A97590" w:rsidRPr="0038442F">
        <w:rPr>
          <w:rFonts w:ascii="Verdana" w:hAnsi="Verdana"/>
          <w:bCs/>
          <w:sz w:val="20"/>
          <w:szCs w:val="20"/>
          <w:lang w:val="pt-BR"/>
        </w:rPr>
        <w:t>cumprir</w:t>
      </w:r>
      <w:r w:rsidR="00407242" w:rsidRPr="0038442F">
        <w:rPr>
          <w:rFonts w:ascii="Verdana" w:hAnsi="Verdana"/>
          <w:bCs/>
          <w:sz w:val="20"/>
          <w:szCs w:val="20"/>
          <w:lang w:val="pt-BR"/>
        </w:rPr>
        <w:t xml:space="preserve"> </w:t>
      </w:r>
      <w:r w:rsidR="000450DD" w:rsidRPr="0038442F">
        <w:rPr>
          <w:rFonts w:ascii="Verdana" w:hAnsi="Verdana"/>
          <w:bCs/>
          <w:sz w:val="20"/>
          <w:szCs w:val="20"/>
          <w:lang w:val="pt-BR"/>
        </w:rPr>
        <w:t xml:space="preserve">o </w:t>
      </w:r>
      <w:r w:rsidR="00A97590" w:rsidRPr="0038442F">
        <w:rPr>
          <w:rFonts w:ascii="Verdana" w:hAnsi="Verdana"/>
          <w:bCs/>
          <w:sz w:val="20"/>
          <w:szCs w:val="20"/>
          <w:lang w:val="pt-BR"/>
        </w:rPr>
        <w:t>dever</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de preven</w:t>
      </w:r>
      <w:r w:rsidR="000A1AA8" w:rsidRPr="0038442F">
        <w:rPr>
          <w:rFonts w:ascii="Verdana" w:hAnsi="Verdana"/>
          <w:bCs/>
          <w:sz w:val="20"/>
          <w:szCs w:val="20"/>
          <w:lang w:val="pt-BR"/>
        </w:rPr>
        <w:t>ção</w:t>
      </w:r>
      <w:r w:rsidR="003F0394" w:rsidRPr="0038442F">
        <w:rPr>
          <w:rFonts w:ascii="Verdana" w:hAnsi="Verdana"/>
          <w:bCs/>
          <w:sz w:val="20"/>
          <w:szCs w:val="20"/>
          <w:lang w:val="pt-BR"/>
        </w:rPr>
        <w:t>”</w:t>
      </w:r>
      <w:r w:rsidR="00AD76EE" w:rsidRPr="0038442F">
        <w:rPr>
          <w:rFonts w:ascii="Verdana" w:hAnsi="Verdana"/>
          <w:bCs/>
          <w:sz w:val="20"/>
          <w:szCs w:val="20"/>
          <w:lang w:val="pt-BR"/>
        </w:rPr>
        <w:t>. E</w:t>
      </w:r>
      <w:r w:rsidR="000450DD" w:rsidRPr="0038442F">
        <w:rPr>
          <w:rFonts w:ascii="Verdana" w:hAnsi="Verdana"/>
          <w:bCs/>
          <w:sz w:val="20"/>
          <w:szCs w:val="20"/>
          <w:lang w:val="pt-BR"/>
        </w:rPr>
        <w:t>m</w:t>
      </w:r>
      <w:r w:rsidR="00AD76EE" w:rsidRPr="0038442F">
        <w:rPr>
          <w:rFonts w:ascii="Verdana" w:hAnsi="Verdana"/>
          <w:bCs/>
          <w:sz w:val="20"/>
          <w:szCs w:val="20"/>
          <w:lang w:val="pt-BR"/>
        </w:rPr>
        <w:t xml:space="preserve"> especial, </w:t>
      </w:r>
      <w:r w:rsidR="005135E5" w:rsidRPr="0038442F">
        <w:rPr>
          <w:rFonts w:ascii="Verdana" w:hAnsi="Verdana"/>
          <w:bCs/>
          <w:sz w:val="20"/>
          <w:szCs w:val="20"/>
          <w:lang w:val="pt-BR"/>
        </w:rPr>
        <w:t xml:space="preserve">os Estados </w:t>
      </w:r>
      <w:r w:rsidR="009612FB" w:rsidRPr="0038442F">
        <w:rPr>
          <w:rFonts w:ascii="Verdana" w:hAnsi="Verdana"/>
          <w:bCs/>
          <w:sz w:val="20"/>
          <w:szCs w:val="20"/>
          <w:lang w:val="pt-BR"/>
        </w:rPr>
        <w:t>devem</w:t>
      </w:r>
      <w:r w:rsidR="00407242" w:rsidRPr="0038442F">
        <w:rPr>
          <w:rFonts w:ascii="Verdana" w:hAnsi="Verdana"/>
          <w:bCs/>
          <w:sz w:val="20"/>
          <w:szCs w:val="20"/>
          <w:lang w:val="pt-BR"/>
        </w:rPr>
        <w:t xml:space="preserve"> </w:t>
      </w:r>
      <w:r w:rsidR="000450DD" w:rsidRPr="0038442F">
        <w:rPr>
          <w:rFonts w:ascii="Verdana" w:hAnsi="Verdana"/>
          <w:bCs/>
          <w:sz w:val="20"/>
          <w:szCs w:val="20"/>
          <w:lang w:val="pt-BR"/>
        </w:rPr>
        <w:t xml:space="preserve">dispor de uma estrutura jurídica </w:t>
      </w:r>
      <w:r w:rsidR="00AD76EE" w:rsidRPr="0038442F">
        <w:rPr>
          <w:rFonts w:ascii="Verdana" w:hAnsi="Verdana"/>
          <w:sz w:val="20"/>
          <w:szCs w:val="20"/>
          <w:lang w:val="pt-BR"/>
        </w:rPr>
        <w:t xml:space="preserve">de </w:t>
      </w:r>
      <w:r w:rsidR="00751189" w:rsidRPr="0038442F">
        <w:rPr>
          <w:rFonts w:ascii="Verdana" w:hAnsi="Verdana"/>
          <w:sz w:val="20"/>
          <w:szCs w:val="20"/>
          <w:lang w:val="pt-BR"/>
        </w:rPr>
        <w:t>proteção</w:t>
      </w:r>
      <w:r w:rsidR="00AD76EE" w:rsidRPr="0038442F">
        <w:rPr>
          <w:rFonts w:ascii="Verdana" w:hAnsi="Verdana"/>
          <w:sz w:val="20"/>
          <w:szCs w:val="20"/>
          <w:lang w:val="pt-BR"/>
        </w:rPr>
        <w:t xml:space="preserve">, </w:t>
      </w:r>
      <w:r w:rsidR="000450DD" w:rsidRPr="0038442F">
        <w:rPr>
          <w:rFonts w:ascii="Verdana" w:hAnsi="Verdana"/>
          <w:sz w:val="20"/>
          <w:szCs w:val="20"/>
          <w:lang w:val="pt-BR"/>
        </w:rPr>
        <w:t xml:space="preserve">e contar com sua </w:t>
      </w:r>
      <w:r w:rsidR="00FD1497" w:rsidRPr="0038442F">
        <w:rPr>
          <w:rFonts w:ascii="Verdana" w:hAnsi="Verdana"/>
          <w:sz w:val="20"/>
          <w:szCs w:val="20"/>
          <w:lang w:val="pt-BR"/>
        </w:rPr>
        <w:t>aplica</w:t>
      </w:r>
      <w:r w:rsidR="000A1AA8" w:rsidRPr="0038442F">
        <w:rPr>
          <w:rFonts w:ascii="Verdana" w:hAnsi="Verdana"/>
          <w:sz w:val="20"/>
          <w:szCs w:val="20"/>
          <w:lang w:val="pt-BR"/>
        </w:rPr>
        <w:t>ção</w:t>
      </w:r>
      <w:r w:rsidR="00AD76EE" w:rsidRPr="0038442F">
        <w:rPr>
          <w:rFonts w:ascii="Verdana" w:hAnsi="Verdana"/>
          <w:sz w:val="20"/>
          <w:szCs w:val="20"/>
          <w:lang w:val="pt-BR"/>
        </w:rPr>
        <w:t xml:space="preserve"> </w:t>
      </w:r>
      <w:r w:rsidR="009612FB" w:rsidRPr="0038442F">
        <w:rPr>
          <w:rFonts w:ascii="Verdana" w:hAnsi="Verdana"/>
          <w:sz w:val="20"/>
          <w:szCs w:val="20"/>
          <w:lang w:val="pt-BR"/>
        </w:rPr>
        <w:t>efetiva</w:t>
      </w:r>
      <w:r w:rsidR="00407242" w:rsidRPr="0038442F">
        <w:rPr>
          <w:rFonts w:ascii="Verdana" w:hAnsi="Verdana"/>
          <w:sz w:val="20"/>
          <w:szCs w:val="20"/>
          <w:lang w:val="pt-BR"/>
        </w:rPr>
        <w:t xml:space="preserve"> </w:t>
      </w:r>
      <w:r w:rsidR="000450DD" w:rsidRPr="0038442F">
        <w:rPr>
          <w:rFonts w:ascii="Verdana" w:hAnsi="Verdana"/>
          <w:sz w:val="20"/>
          <w:szCs w:val="20"/>
          <w:lang w:val="pt-BR"/>
        </w:rPr>
        <w:t>e</w:t>
      </w:r>
      <w:r w:rsidR="00AD76EE" w:rsidRPr="0038442F">
        <w:rPr>
          <w:rFonts w:ascii="Verdana" w:hAnsi="Verdana"/>
          <w:sz w:val="20"/>
          <w:szCs w:val="20"/>
          <w:lang w:val="pt-BR"/>
        </w:rPr>
        <w:t xml:space="preserve"> </w:t>
      </w:r>
      <w:r w:rsidR="000450DD" w:rsidRPr="0038442F">
        <w:rPr>
          <w:rFonts w:ascii="Verdana" w:hAnsi="Verdana"/>
          <w:sz w:val="20"/>
          <w:szCs w:val="20"/>
          <w:lang w:val="pt-BR"/>
        </w:rPr>
        <w:t xml:space="preserve">com </w:t>
      </w:r>
      <w:r w:rsidR="008E460D" w:rsidRPr="0038442F">
        <w:rPr>
          <w:rFonts w:ascii="Verdana" w:hAnsi="Verdana"/>
          <w:sz w:val="20"/>
          <w:szCs w:val="20"/>
          <w:lang w:val="pt-BR"/>
        </w:rPr>
        <w:t>políticas</w:t>
      </w:r>
      <w:r w:rsidR="00AD76EE" w:rsidRPr="0038442F">
        <w:rPr>
          <w:rFonts w:ascii="Verdana" w:hAnsi="Verdana"/>
          <w:sz w:val="20"/>
          <w:szCs w:val="20"/>
          <w:lang w:val="pt-BR"/>
        </w:rPr>
        <w:t xml:space="preserve"> de </w:t>
      </w:r>
      <w:r w:rsidR="008E460D" w:rsidRPr="0038442F">
        <w:rPr>
          <w:rFonts w:ascii="Verdana" w:hAnsi="Verdana"/>
          <w:sz w:val="20"/>
          <w:szCs w:val="20"/>
          <w:lang w:val="pt-BR"/>
        </w:rPr>
        <w:t>preven</w:t>
      </w:r>
      <w:r w:rsidR="000A1AA8" w:rsidRPr="0038442F">
        <w:rPr>
          <w:rFonts w:ascii="Verdana" w:hAnsi="Verdana"/>
          <w:sz w:val="20"/>
          <w:szCs w:val="20"/>
          <w:lang w:val="pt-BR"/>
        </w:rPr>
        <w:t>ção</w:t>
      </w:r>
      <w:r w:rsidR="00AD76EE" w:rsidRPr="0038442F">
        <w:rPr>
          <w:rFonts w:ascii="Verdana" w:hAnsi="Verdana"/>
          <w:sz w:val="20"/>
          <w:szCs w:val="20"/>
          <w:lang w:val="pt-BR"/>
        </w:rPr>
        <w:t xml:space="preserve"> </w:t>
      </w:r>
      <w:r w:rsidR="000450DD" w:rsidRPr="0038442F">
        <w:rPr>
          <w:rFonts w:ascii="Verdana" w:hAnsi="Verdana"/>
          <w:sz w:val="20"/>
          <w:szCs w:val="20"/>
          <w:lang w:val="pt-BR"/>
        </w:rPr>
        <w:t>e</w:t>
      </w:r>
      <w:r w:rsidR="00AD76EE" w:rsidRPr="0038442F">
        <w:rPr>
          <w:rFonts w:ascii="Verdana" w:hAnsi="Verdana"/>
          <w:sz w:val="20"/>
          <w:szCs w:val="20"/>
          <w:lang w:val="pt-BR"/>
        </w:rPr>
        <w:t xml:space="preserve"> </w:t>
      </w:r>
      <w:r w:rsidR="000450DD" w:rsidRPr="0038442F">
        <w:rPr>
          <w:rFonts w:ascii="Verdana" w:hAnsi="Verdana"/>
          <w:sz w:val="20"/>
          <w:szCs w:val="20"/>
          <w:lang w:val="pt-BR"/>
        </w:rPr>
        <w:t>práticas</w:t>
      </w:r>
      <w:r w:rsidR="00407242" w:rsidRPr="0038442F">
        <w:rPr>
          <w:rFonts w:ascii="Verdana" w:hAnsi="Verdana"/>
          <w:sz w:val="20"/>
          <w:szCs w:val="20"/>
          <w:lang w:val="pt-BR"/>
        </w:rPr>
        <w:t xml:space="preserve"> </w:t>
      </w:r>
      <w:r w:rsidR="00AD76EE" w:rsidRPr="0038442F">
        <w:rPr>
          <w:rFonts w:ascii="Verdana" w:hAnsi="Verdana"/>
          <w:sz w:val="20"/>
          <w:szCs w:val="20"/>
          <w:lang w:val="pt-BR"/>
        </w:rPr>
        <w:t>que permita</w:t>
      </w:r>
      <w:r w:rsidR="000450DD" w:rsidRPr="0038442F">
        <w:rPr>
          <w:rFonts w:ascii="Verdana" w:hAnsi="Verdana"/>
          <w:sz w:val="20"/>
          <w:szCs w:val="20"/>
          <w:lang w:val="pt-BR"/>
        </w:rPr>
        <w:t xml:space="preserve">m agir </w:t>
      </w:r>
      <w:r w:rsidR="00AD76EE" w:rsidRPr="0038442F">
        <w:rPr>
          <w:rFonts w:ascii="Verdana" w:hAnsi="Verdana"/>
          <w:sz w:val="20"/>
          <w:szCs w:val="20"/>
          <w:lang w:val="pt-BR"/>
        </w:rPr>
        <w:t xml:space="preserve">de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eficaz ante as </w:t>
      </w:r>
      <w:r w:rsidR="000450DD" w:rsidRPr="0038442F">
        <w:rPr>
          <w:rFonts w:ascii="Verdana" w:hAnsi="Verdana"/>
          <w:sz w:val="20"/>
          <w:szCs w:val="20"/>
          <w:lang w:val="pt-BR"/>
        </w:rPr>
        <w:t xml:space="preserve">denúncias </w:t>
      </w:r>
      <w:r w:rsidR="00AD76EE" w:rsidRPr="0038442F">
        <w:rPr>
          <w:rFonts w:ascii="Verdana" w:hAnsi="Verdana"/>
          <w:sz w:val="20"/>
          <w:szCs w:val="20"/>
          <w:lang w:val="pt-BR"/>
        </w:rPr>
        <w:t>de viola</w:t>
      </w:r>
      <w:r w:rsidR="000A1AA8" w:rsidRPr="0038442F">
        <w:rPr>
          <w:rFonts w:ascii="Verdana" w:hAnsi="Verdana"/>
          <w:sz w:val="20"/>
          <w:szCs w:val="20"/>
          <w:lang w:val="pt-BR"/>
        </w:rPr>
        <w:t>ções</w:t>
      </w:r>
      <w:r w:rsidR="00AD76EE" w:rsidRPr="0038442F">
        <w:rPr>
          <w:rFonts w:ascii="Verdana" w:hAnsi="Verdana"/>
          <w:sz w:val="20"/>
          <w:szCs w:val="20"/>
          <w:lang w:val="pt-BR"/>
        </w:rPr>
        <w:t xml:space="preserve"> de </w:t>
      </w:r>
      <w:r w:rsidR="000A1AA8" w:rsidRPr="0038442F">
        <w:rPr>
          <w:rFonts w:ascii="Verdana" w:hAnsi="Verdana"/>
          <w:sz w:val="20"/>
          <w:szCs w:val="20"/>
          <w:lang w:val="pt-BR"/>
        </w:rPr>
        <w:t>direitos</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humanos. </w:t>
      </w:r>
      <w:r w:rsidR="000450DD" w:rsidRPr="0038442F">
        <w:rPr>
          <w:rFonts w:ascii="Verdana" w:hAnsi="Verdana"/>
          <w:sz w:val="20"/>
          <w:szCs w:val="20"/>
          <w:lang w:val="pt-BR"/>
        </w:rPr>
        <w:t xml:space="preserve">A </w:t>
      </w:r>
      <w:r w:rsidR="00AD76EE" w:rsidRPr="0038442F">
        <w:rPr>
          <w:rFonts w:ascii="Verdana" w:hAnsi="Verdana"/>
          <w:sz w:val="20"/>
          <w:szCs w:val="20"/>
          <w:lang w:val="pt-BR"/>
        </w:rPr>
        <w:t>estrat</w:t>
      </w:r>
      <w:r w:rsidR="000450DD" w:rsidRPr="0038442F">
        <w:rPr>
          <w:rFonts w:ascii="Verdana" w:hAnsi="Verdana"/>
          <w:sz w:val="20"/>
          <w:szCs w:val="20"/>
          <w:lang w:val="pt-BR"/>
        </w:rPr>
        <w:t>é</w:t>
      </w:r>
      <w:r w:rsidR="00AD76EE" w:rsidRPr="0038442F">
        <w:rPr>
          <w:rFonts w:ascii="Verdana" w:hAnsi="Verdana"/>
          <w:sz w:val="20"/>
          <w:szCs w:val="20"/>
          <w:lang w:val="pt-BR"/>
        </w:rPr>
        <w:t xml:space="preserve">gia de </w:t>
      </w:r>
      <w:r w:rsidR="008E460D" w:rsidRPr="0038442F">
        <w:rPr>
          <w:rFonts w:ascii="Verdana" w:hAnsi="Verdana"/>
          <w:sz w:val="20"/>
          <w:szCs w:val="20"/>
          <w:lang w:val="pt-BR"/>
        </w:rPr>
        <w:t>preven</w:t>
      </w:r>
      <w:r w:rsidR="000A1AA8" w:rsidRPr="0038442F">
        <w:rPr>
          <w:rFonts w:ascii="Verdana" w:hAnsi="Verdana"/>
          <w:sz w:val="20"/>
          <w:szCs w:val="20"/>
          <w:lang w:val="pt-BR"/>
        </w:rPr>
        <w:t>ção</w:t>
      </w:r>
      <w:r w:rsidR="00AD76EE" w:rsidRPr="0038442F">
        <w:rPr>
          <w:rFonts w:ascii="Verdana" w:hAnsi="Verdana"/>
          <w:sz w:val="20"/>
          <w:szCs w:val="20"/>
          <w:lang w:val="pt-BR"/>
        </w:rPr>
        <w:t xml:space="preserve"> </w:t>
      </w:r>
      <w:r w:rsidR="000450DD" w:rsidRPr="0038442F">
        <w:rPr>
          <w:rFonts w:ascii="Verdana" w:hAnsi="Verdana"/>
          <w:sz w:val="20"/>
          <w:szCs w:val="20"/>
          <w:lang w:val="pt-BR"/>
        </w:rPr>
        <w:t>deve</w:t>
      </w:r>
      <w:r w:rsidR="00407242" w:rsidRPr="0038442F">
        <w:rPr>
          <w:rFonts w:ascii="Verdana" w:hAnsi="Verdana"/>
          <w:sz w:val="20"/>
          <w:szCs w:val="20"/>
          <w:lang w:val="pt-BR"/>
        </w:rPr>
        <w:t xml:space="preserve"> </w:t>
      </w:r>
      <w:r w:rsidR="000450DD" w:rsidRPr="0038442F">
        <w:rPr>
          <w:rFonts w:ascii="Verdana" w:hAnsi="Verdana"/>
          <w:sz w:val="20"/>
          <w:szCs w:val="20"/>
          <w:lang w:val="pt-BR"/>
        </w:rPr>
        <w:t>ser integral, ou seja</w:t>
      </w:r>
      <w:r w:rsidR="00AD76EE" w:rsidRPr="0038442F">
        <w:rPr>
          <w:rFonts w:ascii="Verdana" w:hAnsi="Verdana"/>
          <w:sz w:val="20"/>
          <w:szCs w:val="20"/>
          <w:lang w:val="pt-BR"/>
        </w:rPr>
        <w:t xml:space="preserve">, </w:t>
      </w:r>
      <w:r w:rsidR="000450DD" w:rsidRPr="0038442F">
        <w:rPr>
          <w:rFonts w:ascii="Verdana" w:hAnsi="Verdana"/>
          <w:sz w:val="20"/>
          <w:szCs w:val="20"/>
          <w:lang w:val="pt-BR"/>
        </w:rPr>
        <w:t>deve</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prevenir os </w:t>
      </w:r>
      <w:r w:rsidR="00CA30C5" w:rsidRPr="0038442F">
        <w:rPr>
          <w:rFonts w:ascii="Verdana" w:hAnsi="Verdana"/>
          <w:sz w:val="20"/>
          <w:szCs w:val="20"/>
          <w:lang w:val="pt-BR"/>
        </w:rPr>
        <w:t>fatores</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de </w:t>
      </w:r>
      <w:r w:rsidR="00BC6FC3" w:rsidRPr="0038442F">
        <w:rPr>
          <w:rFonts w:ascii="Verdana" w:hAnsi="Verdana"/>
          <w:sz w:val="20"/>
          <w:szCs w:val="20"/>
          <w:lang w:val="pt-BR"/>
        </w:rPr>
        <w:t>risco</w:t>
      </w:r>
      <w:r w:rsidR="00407242" w:rsidRPr="0038442F">
        <w:rPr>
          <w:rFonts w:ascii="Verdana" w:hAnsi="Verdana"/>
          <w:sz w:val="20"/>
          <w:szCs w:val="20"/>
          <w:lang w:val="pt-BR"/>
        </w:rPr>
        <w:t xml:space="preserve"> </w:t>
      </w:r>
      <w:r w:rsidR="000450DD" w:rsidRPr="0038442F">
        <w:rPr>
          <w:rFonts w:ascii="Verdana" w:hAnsi="Verdana"/>
          <w:sz w:val="20"/>
          <w:szCs w:val="20"/>
          <w:lang w:val="pt-BR"/>
        </w:rPr>
        <w:t xml:space="preserve">e, ao mesmo tempo, </w:t>
      </w:r>
      <w:r w:rsidR="00AD76EE" w:rsidRPr="0038442F">
        <w:rPr>
          <w:rFonts w:ascii="Verdana" w:hAnsi="Verdana"/>
          <w:sz w:val="20"/>
          <w:szCs w:val="20"/>
          <w:lang w:val="pt-BR"/>
        </w:rPr>
        <w:t xml:space="preserve">fortalecer as </w:t>
      </w:r>
      <w:r w:rsidR="000450DD" w:rsidRPr="0038442F">
        <w:rPr>
          <w:rFonts w:ascii="Verdana" w:hAnsi="Verdana"/>
          <w:sz w:val="20"/>
          <w:szCs w:val="20"/>
          <w:lang w:val="pt-BR"/>
        </w:rPr>
        <w:t>instituições</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para que </w:t>
      </w:r>
      <w:r w:rsidR="000450DD" w:rsidRPr="0038442F">
        <w:rPr>
          <w:rFonts w:ascii="Verdana" w:hAnsi="Verdana"/>
          <w:sz w:val="20"/>
          <w:szCs w:val="20"/>
          <w:lang w:val="pt-BR"/>
        </w:rPr>
        <w:t>possam</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proporcionar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0450DD" w:rsidRPr="0038442F">
        <w:rPr>
          <w:rFonts w:ascii="Verdana" w:hAnsi="Verdana"/>
          <w:sz w:val="20"/>
          <w:szCs w:val="20"/>
          <w:lang w:val="pt-BR"/>
        </w:rPr>
        <w:t>resposta</w:t>
      </w:r>
      <w:r w:rsidR="00407242" w:rsidRPr="0038442F">
        <w:rPr>
          <w:rFonts w:ascii="Verdana" w:hAnsi="Verdana"/>
          <w:sz w:val="20"/>
          <w:szCs w:val="20"/>
          <w:lang w:val="pt-BR"/>
        </w:rPr>
        <w:t xml:space="preserve"> </w:t>
      </w:r>
      <w:r w:rsidR="009612FB" w:rsidRPr="0038442F">
        <w:rPr>
          <w:rFonts w:ascii="Verdana" w:hAnsi="Verdana"/>
          <w:sz w:val="20"/>
          <w:szCs w:val="20"/>
          <w:lang w:val="pt-BR"/>
        </w:rPr>
        <w:t>efetiva</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frente </w:t>
      </w:r>
      <w:r w:rsidR="000450DD" w:rsidRPr="0038442F">
        <w:rPr>
          <w:rFonts w:ascii="Verdana" w:hAnsi="Verdana"/>
          <w:sz w:val="20"/>
          <w:szCs w:val="20"/>
          <w:lang w:val="pt-BR"/>
        </w:rPr>
        <w:t xml:space="preserve">à </w:t>
      </w:r>
      <w:r w:rsidR="00984A83" w:rsidRPr="0038442F">
        <w:rPr>
          <w:rFonts w:ascii="Verdana" w:hAnsi="Verdana"/>
          <w:sz w:val="20"/>
          <w:szCs w:val="20"/>
          <w:lang w:val="pt-BR"/>
        </w:rPr>
        <w:t xml:space="preserve">violação </w:t>
      </w:r>
      <w:r w:rsidR="00AD76EE" w:rsidRPr="0038442F">
        <w:rPr>
          <w:rFonts w:ascii="Verdana" w:hAnsi="Verdana"/>
          <w:sz w:val="20"/>
          <w:szCs w:val="20"/>
          <w:lang w:val="pt-BR"/>
        </w:rPr>
        <w:t xml:space="preserve">de </w:t>
      </w:r>
      <w:r w:rsidR="000A1AA8" w:rsidRPr="0038442F">
        <w:rPr>
          <w:rFonts w:ascii="Verdana" w:hAnsi="Verdana"/>
          <w:sz w:val="20"/>
          <w:szCs w:val="20"/>
          <w:lang w:val="pt-BR"/>
        </w:rPr>
        <w:t>direitos</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humanos </w:t>
      </w:r>
      <w:r w:rsidR="000450DD" w:rsidRPr="0038442F">
        <w:rPr>
          <w:rFonts w:ascii="Verdana" w:hAnsi="Verdana"/>
          <w:sz w:val="20"/>
          <w:szCs w:val="20"/>
          <w:lang w:val="pt-BR"/>
        </w:rPr>
        <w:t>em questão</w:t>
      </w:r>
      <w:r w:rsidR="00AD76EE" w:rsidRPr="0038442F">
        <w:rPr>
          <w:rFonts w:ascii="Verdana" w:hAnsi="Verdana"/>
          <w:sz w:val="20"/>
          <w:szCs w:val="20"/>
          <w:lang w:val="pt-BR"/>
        </w:rPr>
        <w:t xml:space="preserve">. </w:t>
      </w:r>
      <w:r w:rsidR="000450DD" w:rsidRPr="0038442F">
        <w:rPr>
          <w:rFonts w:ascii="Verdana" w:hAnsi="Verdana"/>
          <w:sz w:val="20"/>
          <w:szCs w:val="20"/>
          <w:lang w:val="pt-BR"/>
        </w:rPr>
        <w:t>Do mesmo modo</w:t>
      </w:r>
      <w:r w:rsidR="00AD76EE" w:rsidRPr="0038442F">
        <w:rPr>
          <w:rFonts w:ascii="Verdana" w:hAnsi="Verdana"/>
          <w:sz w:val="20"/>
          <w:szCs w:val="20"/>
          <w:lang w:val="pt-BR"/>
        </w:rPr>
        <w:t xml:space="preserve">, </w:t>
      </w:r>
      <w:r w:rsidR="005135E5" w:rsidRPr="0038442F">
        <w:rPr>
          <w:rFonts w:ascii="Verdana" w:hAnsi="Verdana"/>
          <w:sz w:val="20"/>
          <w:szCs w:val="20"/>
          <w:lang w:val="pt-BR"/>
        </w:rPr>
        <w:t xml:space="preserve">os Estados </w:t>
      </w:r>
      <w:r w:rsidR="009612FB" w:rsidRPr="0038442F">
        <w:rPr>
          <w:rFonts w:ascii="Verdana" w:hAnsi="Verdana"/>
          <w:sz w:val="20"/>
          <w:szCs w:val="20"/>
          <w:lang w:val="pt-BR"/>
        </w:rPr>
        <w:t>devem</w:t>
      </w:r>
      <w:r w:rsidR="00407242" w:rsidRPr="0038442F">
        <w:rPr>
          <w:rFonts w:ascii="Verdana" w:hAnsi="Verdana"/>
          <w:sz w:val="20"/>
          <w:szCs w:val="20"/>
          <w:lang w:val="pt-BR"/>
        </w:rPr>
        <w:t xml:space="preserve"> </w:t>
      </w:r>
      <w:r w:rsidR="00C92762" w:rsidRPr="0038442F">
        <w:rPr>
          <w:rFonts w:ascii="Verdana" w:hAnsi="Verdana"/>
          <w:sz w:val="20"/>
          <w:szCs w:val="20"/>
          <w:lang w:val="pt-BR"/>
        </w:rPr>
        <w:t>adotar</w:t>
      </w:r>
      <w:r w:rsidR="00407242" w:rsidRPr="0038442F">
        <w:rPr>
          <w:rFonts w:ascii="Verdana" w:hAnsi="Verdana"/>
          <w:sz w:val="20"/>
          <w:szCs w:val="20"/>
          <w:lang w:val="pt-BR"/>
        </w:rPr>
        <w:t xml:space="preserve"> </w:t>
      </w:r>
      <w:r w:rsidR="00AD76EE" w:rsidRPr="0038442F">
        <w:rPr>
          <w:rFonts w:ascii="Verdana" w:hAnsi="Verdana"/>
          <w:sz w:val="20"/>
          <w:szCs w:val="20"/>
          <w:lang w:val="pt-BR"/>
        </w:rPr>
        <w:t xml:space="preserve">medidas </w:t>
      </w:r>
      <w:r w:rsidR="003F0394" w:rsidRPr="0038442F">
        <w:rPr>
          <w:rFonts w:ascii="Verdana" w:hAnsi="Verdana"/>
          <w:sz w:val="20"/>
          <w:szCs w:val="20"/>
          <w:lang w:val="pt-BR"/>
        </w:rPr>
        <w:t xml:space="preserve">de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AD76EE" w:rsidRPr="0038442F">
        <w:rPr>
          <w:rFonts w:ascii="Verdana" w:hAnsi="Verdana"/>
          <w:sz w:val="20"/>
          <w:szCs w:val="20"/>
          <w:lang w:val="pt-BR"/>
        </w:rPr>
        <w:t>e</w:t>
      </w:r>
      <w:r w:rsidR="000450DD" w:rsidRPr="0038442F">
        <w:rPr>
          <w:rFonts w:ascii="Verdana" w:hAnsi="Verdana"/>
          <w:sz w:val="20"/>
          <w:szCs w:val="20"/>
          <w:lang w:val="pt-BR"/>
        </w:rPr>
        <w:t>m</w:t>
      </w:r>
      <w:r w:rsidR="00AD76EE" w:rsidRPr="0038442F">
        <w:rPr>
          <w:rFonts w:ascii="Verdana" w:hAnsi="Verdana"/>
          <w:sz w:val="20"/>
          <w:szCs w:val="20"/>
          <w:lang w:val="pt-BR"/>
        </w:rPr>
        <w:t xml:space="preserve"> casos </w:t>
      </w:r>
      <w:r w:rsidR="008E460D" w:rsidRPr="0038442F">
        <w:rPr>
          <w:rFonts w:ascii="Verdana" w:hAnsi="Verdana"/>
          <w:sz w:val="20"/>
          <w:szCs w:val="20"/>
          <w:lang w:val="pt-BR"/>
        </w:rPr>
        <w:t>específicos</w:t>
      </w:r>
      <w:r w:rsidR="00AD76EE" w:rsidRPr="0038442F">
        <w:rPr>
          <w:rFonts w:ascii="Verdana" w:hAnsi="Verdana"/>
          <w:sz w:val="20"/>
          <w:szCs w:val="20"/>
          <w:lang w:val="pt-BR"/>
        </w:rPr>
        <w:t xml:space="preserve"> </w:t>
      </w:r>
      <w:r w:rsidR="000450DD" w:rsidRPr="0038442F">
        <w:rPr>
          <w:rFonts w:ascii="Verdana" w:hAnsi="Verdana"/>
          <w:sz w:val="20"/>
          <w:szCs w:val="20"/>
          <w:lang w:val="pt-BR"/>
        </w:rPr>
        <w:t xml:space="preserve">em que seja </w:t>
      </w:r>
      <w:r w:rsidR="00AD76EE" w:rsidRPr="0038442F">
        <w:rPr>
          <w:rFonts w:ascii="Verdana" w:hAnsi="Verdana"/>
          <w:sz w:val="20"/>
          <w:szCs w:val="20"/>
          <w:lang w:val="pt-BR"/>
        </w:rPr>
        <w:t xml:space="preserve">evidente que determinados grupos de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0450DD" w:rsidRPr="0038442F">
        <w:rPr>
          <w:rFonts w:ascii="Verdana" w:hAnsi="Verdana"/>
          <w:sz w:val="20"/>
          <w:szCs w:val="20"/>
          <w:lang w:val="pt-BR"/>
        </w:rPr>
        <w:t>podem</w:t>
      </w:r>
      <w:r w:rsidR="00407242" w:rsidRPr="0038442F">
        <w:rPr>
          <w:rFonts w:ascii="Verdana" w:hAnsi="Verdana"/>
          <w:sz w:val="20"/>
          <w:szCs w:val="20"/>
          <w:lang w:val="pt-BR"/>
        </w:rPr>
        <w:t xml:space="preserve"> </w:t>
      </w:r>
      <w:r w:rsidR="000450DD" w:rsidRPr="0038442F">
        <w:rPr>
          <w:rFonts w:ascii="Verdana" w:hAnsi="Verdana"/>
          <w:sz w:val="20"/>
          <w:szCs w:val="20"/>
          <w:lang w:val="pt-BR"/>
        </w:rPr>
        <w:t xml:space="preserve">sofrer danos a seus </w:t>
      </w:r>
      <w:r w:rsidR="000A1AA8" w:rsidRPr="0038442F">
        <w:rPr>
          <w:rFonts w:ascii="Verdana" w:hAnsi="Verdana"/>
          <w:sz w:val="20"/>
          <w:szCs w:val="20"/>
          <w:lang w:val="pt-BR"/>
        </w:rPr>
        <w:t>direitos</w:t>
      </w:r>
      <w:r w:rsidR="000450DD" w:rsidRPr="0038442F">
        <w:rPr>
          <w:rFonts w:ascii="Verdana" w:hAnsi="Verdana"/>
          <w:sz w:val="20"/>
          <w:szCs w:val="20"/>
          <w:lang w:val="pt-BR"/>
        </w:rPr>
        <w:t>.</w:t>
      </w:r>
      <w:r w:rsidR="00AD76EE" w:rsidRPr="0038442F">
        <w:rPr>
          <w:rStyle w:val="Refdenotaalpie"/>
          <w:rFonts w:ascii="Verdana" w:hAnsi="Verdana"/>
          <w:sz w:val="20"/>
          <w:szCs w:val="20"/>
          <w:lang w:val="pt-BR"/>
        </w:rPr>
        <w:footnoteReference w:id="22"/>
      </w:r>
      <w:r w:rsidR="0001311B" w:rsidRPr="0038442F">
        <w:rPr>
          <w:rFonts w:ascii="Verdana" w:hAnsi="Verdana"/>
          <w:sz w:val="20"/>
          <w:szCs w:val="20"/>
          <w:lang w:val="pt-BR"/>
        </w:rPr>
        <w:t xml:space="preserve"> </w:t>
      </w:r>
    </w:p>
    <w:p w14:paraId="5B12DD7D" w14:textId="77777777" w:rsidR="00AD76EE" w:rsidRPr="0038442F" w:rsidRDefault="00AD76EE" w:rsidP="00A857CB">
      <w:pPr>
        <w:pStyle w:val="Prrafodelista"/>
        <w:spacing w:line="240" w:lineRule="auto"/>
        <w:jc w:val="both"/>
        <w:rPr>
          <w:rFonts w:ascii="Verdana" w:hAnsi="Verdana"/>
          <w:bCs/>
          <w:sz w:val="20"/>
          <w:szCs w:val="20"/>
          <w:lang w:val="pt-BR"/>
        </w:rPr>
      </w:pPr>
    </w:p>
    <w:p w14:paraId="7DC7EFC7" w14:textId="16C12083" w:rsidR="00AD76EE" w:rsidRPr="0038442F" w:rsidRDefault="003F0394"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U</w:t>
      </w:r>
      <w:r w:rsidR="00826F7D" w:rsidRPr="0038442F">
        <w:rPr>
          <w:rFonts w:ascii="Verdana" w:hAnsi="Verdana"/>
          <w:bCs/>
          <w:sz w:val="20"/>
          <w:szCs w:val="20"/>
          <w:lang w:val="pt-BR"/>
        </w:rPr>
        <w:t xml:space="preserve">m primeiro </w:t>
      </w:r>
      <w:r w:rsidR="00AD76EE" w:rsidRPr="0038442F">
        <w:rPr>
          <w:rFonts w:ascii="Verdana" w:hAnsi="Verdana"/>
          <w:bCs/>
          <w:sz w:val="20"/>
          <w:szCs w:val="20"/>
          <w:lang w:val="pt-BR"/>
        </w:rPr>
        <w:t xml:space="preserve">elemento que se </w:t>
      </w:r>
      <w:r w:rsidR="00B17F11">
        <w:rPr>
          <w:rFonts w:ascii="Verdana" w:hAnsi="Verdana"/>
          <w:bCs/>
          <w:sz w:val="20"/>
          <w:szCs w:val="20"/>
          <w:lang w:val="pt-BR"/>
        </w:rPr>
        <w:t>depreende</w:t>
      </w:r>
      <w:r w:rsidR="00826F7D" w:rsidRPr="0038442F">
        <w:rPr>
          <w:rFonts w:ascii="Verdana" w:hAnsi="Verdana"/>
          <w:bCs/>
          <w:sz w:val="20"/>
          <w:szCs w:val="20"/>
          <w:lang w:val="pt-BR"/>
        </w:rPr>
        <w:t xml:space="preserve"> do exposto pelo </w:t>
      </w:r>
      <w:r w:rsidR="008E460D" w:rsidRPr="0038442F">
        <w:rPr>
          <w:rFonts w:ascii="Verdana" w:hAnsi="Verdana"/>
          <w:bCs/>
          <w:sz w:val="20"/>
          <w:szCs w:val="20"/>
          <w:lang w:val="pt-BR"/>
        </w:rPr>
        <w:t>Tribunal Interameric</w:t>
      </w:r>
      <w:r w:rsidR="00826F7D" w:rsidRPr="0038442F">
        <w:rPr>
          <w:rFonts w:ascii="Verdana" w:hAnsi="Verdana"/>
          <w:bCs/>
          <w:sz w:val="20"/>
          <w:szCs w:val="20"/>
          <w:lang w:val="pt-BR"/>
        </w:rPr>
        <w:t xml:space="preserve">ano </w:t>
      </w:r>
      <w:r w:rsidR="00984A83" w:rsidRPr="0038442F">
        <w:rPr>
          <w:rFonts w:ascii="Verdana" w:hAnsi="Verdana"/>
          <w:bCs/>
          <w:sz w:val="20"/>
          <w:szCs w:val="20"/>
          <w:lang w:val="pt-BR"/>
        </w:rPr>
        <w:t xml:space="preserve">é </w:t>
      </w:r>
      <w:r w:rsidR="00AD76EE" w:rsidRPr="0038442F">
        <w:rPr>
          <w:rFonts w:ascii="Verdana" w:hAnsi="Verdana"/>
          <w:bCs/>
          <w:sz w:val="20"/>
          <w:szCs w:val="20"/>
          <w:lang w:val="pt-BR"/>
        </w:rPr>
        <w:t xml:space="preserve">a </w:t>
      </w:r>
      <w:r w:rsidR="00C92762" w:rsidRPr="0038442F">
        <w:rPr>
          <w:rFonts w:ascii="Verdana" w:hAnsi="Verdana"/>
          <w:bCs/>
          <w:sz w:val="20"/>
          <w:szCs w:val="20"/>
          <w:lang w:val="pt-BR"/>
        </w:rPr>
        <w:t>obrigação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de contar </w:t>
      </w:r>
      <w:r w:rsidR="00826F7D" w:rsidRPr="0038442F">
        <w:rPr>
          <w:rFonts w:ascii="Verdana" w:hAnsi="Verdana"/>
          <w:bCs/>
          <w:sz w:val="20"/>
          <w:szCs w:val="20"/>
          <w:lang w:val="pt-BR"/>
        </w:rPr>
        <w:t xml:space="preserve">com uma </w:t>
      </w:r>
      <w:r w:rsidR="00826F7D" w:rsidRPr="0038442F">
        <w:rPr>
          <w:rFonts w:ascii="Verdana" w:hAnsi="Verdana"/>
          <w:bCs/>
          <w:i/>
          <w:iCs/>
          <w:sz w:val="20"/>
          <w:szCs w:val="20"/>
          <w:lang w:val="pt-BR"/>
        </w:rPr>
        <w:t xml:space="preserve">estrutura </w:t>
      </w:r>
      <w:r w:rsidR="00AD76EE" w:rsidRPr="0038442F">
        <w:rPr>
          <w:rFonts w:ascii="Verdana" w:hAnsi="Verdana"/>
          <w:bCs/>
          <w:i/>
          <w:iCs/>
          <w:sz w:val="20"/>
          <w:szCs w:val="20"/>
          <w:lang w:val="pt-BR"/>
        </w:rPr>
        <w:t>jurídic</w:t>
      </w:r>
      <w:r w:rsidR="00826F7D" w:rsidRPr="0038442F">
        <w:rPr>
          <w:rFonts w:ascii="Verdana" w:hAnsi="Verdana"/>
          <w:bCs/>
          <w:i/>
          <w:iCs/>
          <w:sz w:val="20"/>
          <w:szCs w:val="20"/>
          <w:lang w:val="pt-BR"/>
        </w:rPr>
        <w:t>a</w:t>
      </w:r>
      <w:r w:rsidR="00AD76EE" w:rsidRPr="0038442F">
        <w:rPr>
          <w:rFonts w:ascii="Verdana" w:hAnsi="Verdana"/>
          <w:bCs/>
          <w:i/>
          <w:iCs/>
          <w:sz w:val="20"/>
          <w:szCs w:val="20"/>
          <w:lang w:val="pt-BR"/>
        </w:rPr>
        <w:t xml:space="preserve"> de </w:t>
      </w:r>
      <w:r w:rsidR="00751189" w:rsidRPr="0038442F">
        <w:rPr>
          <w:rFonts w:ascii="Verdana" w:hAnsi="Verdana"/>
          <w:bCs/>
          <w:i/>
          <w:iCs/>
          <w:sz w:val="20"/>
          <w:szCs w:val="20"/>
          <w:lang w:val="pt-BR"/>
        </w:rPr>
        <w:t>proteção</w:t>
      </w:r>
      <w:r w:rsidR="00AD76EE" w:rsidRPr="0038442F">
        <w:rPr>
          <w:rFonts w:ascii="Verdana" w:hAnsi="Verdana"/>
          <w:bCs/>
          <w:sz w:val="20"/>
          <w:szCs w:val="20"/>
          <w:lang w:val="pt-BR"/>
        </w:rPr>
        <w:t xml:space="preserve">, </w:t>
      </w:r>
      <w:r w:rsidR="00826F7D" w:rsidRPr="0038442F">
        <w:rPr>
          <w:rFonts w:ascii="Verdana" w:hAnsi="Verdana"/>
          <w:bCs/>
          <w:sz w:val="20"/>
          <w:szCs w:val="20"/>
          <w:lang w:val="pt-BR"/>
        </w:rPr>
        <w:t>ou seja</w:t>
      </w:r>
      <w:r w:rsidR="00AD76EE" w:rsidRPr="0038442F">
        <w:rPr>
          <w:rFonts w:ascii="Verdana" w:hAnsi="Verdana"/>
          <w:bCs/>
          <w:sz w:val="20"/>
          <w:szCs w:val="20"/>
          <w:lang w:val="pt-BR"/>
        </w:rPr>
        <w:t xml:space="preserve">, regular. </w:t>
      </w:r>
      <w:r w:rsidR="008E460D" w:rsidRPr="0038442F">
        <w:rPr>
          <w:rFonts w:ascii="Verdana" w:hAnsi="Verdana"/>
          <w:bCs/>
          <w:sz w:val="20"/>
          <w:szCs w:val="20"/>
          <w:lang w:val="pt-BR"/>
        </w:rPr>
        <w:t>C</w:t>
      </w:r>
      <w:r w:rsidR="00AD76EE" w:rsidRPr="0038442F">
        <w:rPr>
          <w:rFonts w:ascii="Verdana" w:hAnsi="Verdana"/>
          <w:bCs/>
          <w:sz w:val="20"/>
          <w:szCs w:val="20"/>
          <w:lang w:val="pt-BR"/>
        </w:rPr>
        <w:t>o</w:t>
      </w:r>
      <w:r w:rsidR="000F672C" w:rsidRPr="0038442F">
        <w:rPr>
          <w:rFonts w:ascii="Verdana" w:hAnsi="Verdana"/>
          <w:bCs/>
          <w:sz w:val="20"/>
          <w:szCs w:val="20"/>
          <w:lang w:val="pt-BR"/>
        </w:rPr>
        <w:t xml:space="preserve">nforme a interpretação </w:t>
      </w:r>
      <w:r w:rsidR="00C92762" w:rsidRPr="0038442F">
        <w:rPr>
          <w:rFonts w:ascii="Verdana" w:hAnsi="Verdana"/>
          <w:bCs/>
          <w:sz w:val="20"/>
          <w:szCs w:val="20"/>
          <w:lang w:val="pt-BR"/>
        </w:rPr>
        <w:t xml:space="preserve">dos </w:t>
      </w:r>
      <w:r w:rsidR="00BC6FC3" w:rsidRPr="0038442F">
        <w:rPr>
          <w:rFonts w:ascii="Verdana" w:hAnsi="Verdana"/>
          <w:bCs/>
          <w:sz w:val="20"/>
          <w:szCs w:val="20"/>
          <w:lang w:val="pt-BR"/>
        </w:rPr>
        <w:t>artigos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1.1 </w:t>
      </w:r>
      <w:r w:rsidR="00826F7D" w:rsidRPr="0038442F">
        <w:rPr>
          <w:rFonts w:ascii="Verdana" w:hAnsi="Verdana"/>
          <w:bCs/>
          <w:sz w:val="20"/>
          <w:szCs w:val="20"/>
          <w:lang w:val="pt-BR"/>
        </w:rPr>
        <w:t>e</w:t>
      </w:r>
      <w:r w:rsidR="00AD76EE" w:rsidRPr="0038442F">
        <w:rPr>
          <w:rFonts w:ascii="Verdana" w:hAnsi="Verdana"/>
          <w:bCs/>
          <w:sz w:val="20"/>
          <w:szCs w:val="20"/>
          <w:lang w:val="pt-BR"/>
        </w:rPr>
        <w:t xml:space="preserve"> 2 </w:t>
      </w:r>
      <w:r w:rsidR="00C92762" w:rsidRPr="0038442F">
        <w:rPr>
          <w:rFonts w:ascii="Verdana" w:hAnsi="Verdana"/>
          <w:bCs/>
          <w:sz w:val="20"/>
          <w:szCs w:val="20"/>
          <w:lang w:val="pt-BR"/>
        </w:rPr>
        <w:t xml:space="preserve">da </w:t>
      </w:r>
      <w:r w:rsidR="00AD76EE" w:rsidRPr="0038442F">
        <w:rPr>
          <w:rFonts w:ascii="Verdana" w:hAnsi="Verdana"/>
          <w:bCs/>
          <w:sz w:val="20"/>
          <w:szCs w:val="20"/>
          <w:lang w:val="pt-BR"/>
        </w:rPr>
        <w:t>Conven</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Americana, </w:t>
      </w:r>
      <w:r w:rsidR="00AD76EE" w:rsidRPr="0038442F">
        <w:rPr>
          <w:rFonts w:ascii="Verdana" w:hAnsi="Verdana"/>
          <w:sz w:val="20"/>
          <w:szCs w:val="20"/>
          <w:lang w:val="pt-BR"/>
        </w:rPr>
        <w:t xml:space="preserve">“a </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00AD76EE" w:rsidRPr="0038442F">
        <w:rPr>
          <w:rFonts w:ascii="Verdana" w:hAnsi="Verdana"/>
          <w:sz w:val="20"/>
          <w:szCs w:val="20"/>
          <w:lang w:val="pt-BR"/>
        </w:rPr>
        <w:t>estatal de ade</w:t>
      </w:r>
      <w:r w:rsidR="00826F7D" w:rsidRPr="0038442F">
        <w:rPr>
          <w:rFonts w:ascii="Verdana" w:hAnsi="Verdana"/>
          <w:sz w:val="20"/>
          <w:szCs w:val="20"/>
          <w:lang w:val="pt-BR"/>
        </w:rPr>
        <w:t>q</w:t>
      </w:r>
      <w:r w:rsidR="00AD76EE" w:rsidRPr="0038442F">
        <w:rPr>
          <w:rFonts w:ascii="Verdana" w:hAnsi="Verdana"/>
          <w:sz w:val="20"/>
          <w:szCs w:val="20"/>
          <w:lang w:val="pt-BR"/>
        </w:rPr>
        <w:t xml:space="preserve">uar a </w:t>
      </w:r>
      <w:r w:rsidR="005F647D" w:rsidRPr="0038442F">
        <w:rPr>
          <w:rFonts w:ascii="Verdana" w:hAnsi="Verdana"/>
          <w:sz w:val="20"/>
          <w:szCs w:val="20"/>
          <w:lang w:val="pt-BR"/>
        </w:rPr>
        <w:t>legisla</w:t>
      </w:r>
      <w:r w:rsidR="000A1AA8" w:rsidRPr="0038442F">
        <w:rPr>
          <w:rFonts w:ascii="Verdana" w:hAnsi="Verdana"/>
          <w:sz w:val="20"/>
          <w:szCs w:val="20"/>
          <w:lang w:val="pt-BR"/>
        </w:rPr>
        <w:t>ção</w:t>
      </w:r>
      <w:r w:rsidR="00AD76EE" w:rsidRPr="0038442F">
        <w:rPr>
          <w:rFonts w:ascii="Verdana" w:hAnsi="Verdana"/>
          <w:sz w:val="20"/>
          <w:szCs w:val="20"/>
          <w:lang w:val="pt-BR"/>
        </w:rPr>
        <w:t xml:space="preserve"> interna </w:t>
      </w:r>
      <w:r w:rsidR="00826F7D" w:rsidRPr="0038442F">
        <w:rPr>
          <w:rFonts w:ascii="Verdana" w:hAnsi="Verdana"/>
          <w:sz w:val="20"/>
          <w:szCs w:val="20"/>
          <w:lang w:val="pt-BR"/>
        </w:rPr>
        <w:t xml:space="preserve">às </w:t>
      </w:r>
      <w:r w:rsidR="00AD76EE" w:rsidRPr="0038442F">
        <w:rPr>
          <w:rFonts w:ascii="Verdana" w:hAnsi="Verdana"/>
          <w:sz w:val="20"/>
          <w:szCs w:val="20"/>
          <w:lang w:val="pt-BR"/>
        </w:rPr>
        <w:t>disposi</w:t>
      </w:r>
      <w:r w:rsidR="000A1AA8" w:rsidRPr="0038442F">
        <w:rPr>
          <w:rFonts w:ascii="Verdana" w:hAnsi="Verdana"/>
          <w:sz w:val="20"/>
          <w:szCs w:val="20"/>
          <w:lang w:val="pt-BR"/>
        </w:rPr>
        <w:t>ções</w:t>
      </w:r>
      <w:r w:rsidR="00AD76EE" w:rsidRPr="0038442F">
        <w:rPr>
          <w:rFonts w:ascii="Verdana" w:hAnsi="Verdana"/>
          <w:sz w:val="20"/>
          <w:szCs w:val="20"/>
          <w:lang w:val="pt-BR"/>
        </w:rPr>
        <w:t xml:space="preserve"> convencion</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826F7D" w:rsidRPr="0038442F">
        <w:rPr>
          <w:rFonts w:ascii="Verdana" w:hAnsi="Verdana"/>
          <w:sz w:val="20"/>
          <w:szCs w:val="20"/>
          <w:lang w:val="pt-BR"/>
        </w:rPr>
        <w:t xml:space="preserve">não </w:t>
      </w:r>
      <w:r w:rsidR="00AD76EE" w:rsidRPr="0038442F">
        <w:rPr>
          <w:rFonts w:ascii="Verdana" w:hAnsi="Verdana"/>
          <w:sz w:val="20"/>
          <w:szCs w:val="20"/>
          <w:lang w:val="pt-BR"/>
        </w:rPr>
        <w:t>se limita a</w:t>
      </w:r>
      <w:r w:rsidR="00826F7D" w:rsidRPr="0038442F">
        <w:rPr>
          <w:rFonts w:ascii="Verdana" w:hAnsi="Verdana"/>
          <w:sz w:val="20"/>
          <w:szCs w:val="20"/>
          <w:lang w:val="pt-BR"/>
        </w:rPr>
        <w:t>o</w:t>
      </w:r>
      <w:r w:rsidR="00AD76EE" w:rsidRPr="0038442F">
        <w:rPr>
          <w:rFonts w:ascii="Verdana" w:hAnsi="Verdana"/>
          <w:sz w:val="20"/>
          <w:szCs w:val="20"/>
          <w:lang w:val="pt-BR"/>
        </w:rPr>
        <w:t xml:space="preserve"> texto constitucional o</w:t>
      </w:r>
      <w:r w:rsidR="00826F7D" w:rsidRPr="0038442F">
        <w:rPr>
          <w:rFonts w:ascii="Verdana" w:hAnsi="Verdana"/>
          <w:sz w:val="20"/>
          <w:szCs w:val="20"/>
          <w:lang w:val="pt-BR"/>
        </w:rPr>
        <w:t>u</w:t>
      </w:r>
      <w:r w:rsidR="00AD76EE" w:rsidRPr="0038442F">
        <w:rPr>
          <w:rFonts w:ascii="Verdana" w:hAnsi="Verdana"/>
          <w:sz w:val="20"/>
          <w:szCs w:val="20"/>
          <w:lang w:val="pt-BR"/>
        </w:rPr>
        <w:t xml:space="preserve"> legislativo, </w:t>
      </w:r>
      <w:r w:rsidR="00826F7D" w:rsidRPr="0038442F">
        <w:rPr>
          <w:rFonts w:ascii="Verdana" w:hAnsi="Verdana"/>
          <w:sz w:val="20"/>
          <w:szCs w:val="20"/>
          <w:lang w:val="pt-BR"/>
        </w:rPr>
        <w:t xml:space="preserve">mas </w:t>
      </w:r>
      <w:r w:rsidR="000450DD" w:rsidRPr="0038442F">
        <w:rPr>
          <w:rFonts w:ascii="Verdana" w:hAnsi="Verdana"/>
          <w:sz w:val="20"/>
          <w:szCs w:val="20"/>
          <w:lang w:val="pt-BR"/>
        </w:rPr>
        <w:t>deve</w:t>
      </w:r>
      <w:r w:rsidR="000918BA" w:rsidRPr="0038442F">
        <w:rPr>
          <w:rFonts w:ascii="Verdana" w:hAnsi="Verdana"/>
          <w:sz w:val="20"/>
          <w:szCs w:val="20"/>
          <w:lang w:val="pt-BR"/>
        </w:rPr>
        <w:t>rá</w:t>
      </w:r>
      <w:r w:rsidR="000450DD" w:rsidRPr="0038442F">
        <w:rPr>
          <w:rFonts w:ascii="Verdana" w:hAnsi="Verdana"/>
          <w:sz w:val="20"/>
          <w:szCs w:val="20"/>
          <w:lang w:val="pt-BR"/>
        </w:rPr>
        <w:t xml:space="preserve"> </w:t>
      </w:r>
      <w:r w:rsidR="00826F7D" w:rsidRPr="0038442F">
        <w:rPr>
          <w:rFonts w:ascii="Verdana" w:hAnsi="Verdana"/>
          <w:sz w:val="20"/>
          <w:szCs w:val="20"/>
          <w:lang w:val="pt-BR"/>
        </w:rPr>
        <w:t xml:space="preserve">se </w:t>
      </w:r>
      <w:r w:rsidR="000918BA" w:rsidRPr="0038442F">
        <w:rPr>
          <w:rFonts w:ascii="Verdana" w:hAnsi="Verdana"/>
          <w:sz w:val="20"/>
          <w:szCs w:val="20"/>
          <w:lang w:val="pt-BR"/>
        </w:rPr>
        <w:t xml:space="preserve">estender </w:t>
      </w:r>
      <w:r w:rsidR="00AD76EE" w:rsidRPr="0038442F">
        <w:rPr>
          <w:rFonts w:ascii="Verdana" w:hAnsi="Verdana"/>
          <w:sz w:val="20"/>
          <w:szCs w:val="20"/>
          <w:lang w:val="pt-BR"/>
        </w:rPr>
        <w:t>a todas as disposi</w:t>
      </w:r>
      <w:r w:rsidR="000A1AA8" w:rsidRPr="0038442F">
        <w:rPr>
          <w:rFonts w:ascii="Verdana" w:hAnsi="Verdana"/>
          <w:sz w:val="20"/>
          <w:szCs w:val="20"/>
          <w:lang w:val="pt-BR"/>
        </w:rPr>
        <w:t>ções</w:t>
      </w:r>
      <w:r w:rsidR="00AD76EE" w:rsidRPr="0038442F">
        <w:rPr>
          <w:rFonts w:ascii="Verdana" w:hAnsi="Verdana"/>
          <w:sz w:val="20"/>
          <w:szCs w:val="20"/>
          <w:lang w:val="pt-BR"/>
        </w:rPr>
        <w:t xml:space="preserve"> </w:t>
      </w:r>
      <w:r w:rsidR="005F647D" w:rsidRPr="0038442F">
        <w:rPr>
          <w:rFonts w:ascii="Verdana" w:hAnsi="Verdana"/>
          <w:sz w:val="20"/>
          <w:szCs w:val="20"/>
          <w:lang w:val="pt-BR"/>
        </w:rPr>
        <w:t>jurídicas</w:t>
      </w:r>
      <w:r w:rsidR="00AD76EE" w:rsidRPr="0038442F">
        <w:rPr>
          <w:rFonts w:ascii="Verdana" w:hAnsi="Verdana"/>
          <w:sz w:val="20"/>
          <w:szCs w:val="20"/>
          <w:lang w:val="pt-BR"/>
        </w:rPr>
        <w:t xml:space="preserve"> de </w:t>
      </w:r>
      <w:r w:rsidR="00984A83" w:rsidRPr="0038442F">
        <w:rPr>
          <w:rFonts w:ascii="Verdana" w:hAnsi="Verdana"/>
          <w:sz w:val="20"/>
          <w:szCs w:val="20"/>
          <w:lang w:val="pt-BR"/>
        </w:rPr>
        <w:t>caráter</w:t>
      </w:r>
      <w:r w:rsidR="00407242" w:rsidRPr="0038442F">
        <w:rPr>
          <w:rFonts w:ascii="Verdana" w:hAnsi="Verdana"/>
          <w:sz w:val="20"/>
          <w:szCs w:val="20"/>
          <w:lang w:val="pt-BR"/>
        </w:rPr>
        <w:t xml:space="preserve"> </w:t>
      </w:r>
      <w:r w:rsidR="00826F7D" w:rsidRPr="0038442F">
        <w:rPr>
          <w:rFonts w:ascii="Verdana" w:hAnsi="Verdana"/>
          <w:sz w:val="20"/>
          <w:szCs w:val="20"/>
          <w:lang w:val="pt-BR"/>
        </w:rPr>
        <w:t xml:space="preserve">regulamentar e traduzir-se </w:t>
      </w:r>
      <w:r w:rsidR="00BF7A10" w:rsidRPr="0038442F">
        <w:rPr>
          <w:rFonts w:ascii="Verdana" w:hAnsi="Verdana"/>
          <w:sz w:val="20"/>
          <w:szCs w:val="20"/>
          <w:lang w:val="pt-BR"/>
        </w:rPr>
        <w:t xml:space="preserve">na </w:t>
      </w:r>
      <w:r w:rsidR="009612FB" w:rsidRPr="0038442F">
        <w:rPr>
          <w:rFonts w:ascii="Verdana" w:hAnsi="Verdana"/>
          <w:sz w:val="20"/>
          <w:szCs w:val="20"/>
          <w:lang w:val="pt-BR"/>
        </w:rPr>
        <w:t>efetiva</w:t>
      </w:r>
      <w:r w:rsidR="00407242" w:rsidRPr="0038442F">
        <w:rPr>
          <w:rFonts w:ascii="Verdana" w:hAnsi="Verdana"/>
          <w:sz w:val="20"/>
          <w:szCs w:val="20"/>
          <w:lang w:val="pt-BR"/>
        </w:rPr>
        <w:t xml:space="preserve"> </w:t>
      </w:r>
      <w:r w:rsidR="005F647D" w:rsidRPr="0038442F">
        <w:rPr>
          <w:rFonts w:ascii="Verdana" w:hAnsi="Verdana"/>
          <w:sz w:val="20"/>
          <w:szCs w:val="20"/>
          <w:lang w:val="pt-BR"/>
        </w:rPr>
        <w:t>aplica</w:t>
      </w:r>
      <w:r w:rsidR="000A1AA8" w:rsidRPr="0038442F">
        <w:rPr>
          <w:rFonts w:ascii="Verdana" w:hAnsi="Verdana"/>
          <w:sz w:val="20"/>
          <w:szCs w:val="20"/>
          <w:lang w:val="pt-BR"/>
        </w:rPr>
        <w:t>ção</w:t>
      </w:r>
      <w:r w:rsidR="00AD76EE" w:rsidRPr="0038442F">
        <w:rPr>
          <w:rFonts w:ascii="Verdana" w:hAnsi="Verdana"/>
          <w:sz w:val="20"/>
          <w:szCs w:val="20"/>
          <w:lang w:val="pt-BR"/>
        </w:rPr>
        <w:t xml:space="preserve"> </w:t>
      </w:r>
      <w:r w:rsidR="005F647D" w:rsidRPr="0038442F">
        <w:rPr>
          <w:rFonts w:ascii="Verdana" w:hAnsi="Verdana"/>
          <w:sz w:val="20"/>
          <w:szCs w:val="20"/>
          <w:lang w:val="pt-BR"/>
        </w:rPr>
        <w:t>prática</w:t>
      </w:r>
      <w:r w:rsidR="00AD76EE" w:rsidRPr="0038442F">
        <w:rPr>
          <w:rFonts w:ascii="Verdana" w:hAnsi="Verdana"/>
          <w:sz w:val="20"/>
          <w:szCs w:val="20"/>
          <w:lang w:val="pt-BR"/>
        </w:rPr>
        <w:t xml:space="preserve"> </w:t>
      </w:r>
      <w:r w:rsidR="00C92762" w:rsidRPr="0038442F">
        <w:rPr>
          <w:rFonts w:ascii="Verdana" w:hAnsi="Verdana"/>
          <w:sz w:val="20"/>
          <w:szCs w:val="20"/>
          <w:lang w:val="pt-BR"/>
        </w:rPr>
        <w:t>d</w:t>
      </w:r>
      <w:r w:rsidR="000918BA" w:rsidRPr="0038442F">
        <w:rPr>
          <w:rFonts w:ascii="Verdana" w:hAnsi="Verdana"/>
          <w:sz w:val="20"/>
          <w:szCs w:val="20"/>
          <w:lang w:val="pt-BR"/>
        </w:rPr>
        <w:t>a</w:t>
      </w:r>
      <w:r w:rsidR="00826F7D" w:rsidRPr="0038442F">
        <w:rPr>
          <w:rFonts w:ascii="Verdana" w:hAnsi="Verdana"/>
          <w:sz w:val="20"/>
          <w:szCs w:val="20"/>
          <w:lang w:val="pt-BR"/>
        </w:rPr>
        <w:t>s</w:t>
      </w:r>
      <w:r w:rsidR="00C92762" w:rsidRPr="0038442F">
        <w:rPr>
          <w:rFonts w:ascii="Verdana" w:hAnsi="Verdana"/>
          <w:sz w:val="20"/>
          <w:szCs w:val="20"/>
          <w:lang w:val="pt-BR"/>
        </w:rPr>
        <w:t xml:space="preserve"> </w:t>
      </w:r>
      <w:r w:rsidR="000918BA" w:rsidRPr="0038442F">
        <w:rPr>
          <w:rFonts w:ascii="Verdana" w:hAnsi="Verdana"/>
          <w:sz w:val="20"/>
          <w:szCs w:val="20"/>
          <w:lang w:val="pt-BR"/>
        </w:rPr>
        <w:t xml:space="preserve">normas </w:t>
      </w:r>
      <w:r w:rsidR="00AD76EE" w:rsidRPr="0038442F">
        <w:rPr>
          <w:rFonts w:ascii="Verdana" w:hAnsi="Verdana"/>
          <w:sz w:val="20"/>
          <w:szCs w:val="20"/>
          <w:lang w:val="pt-BR"/>
        </w:rPr>
        <w:t xml:space="preserve">de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direitos </w:t>
      </w:r>
      <w:r w:rsidR="00AD76EE" w:rsidRPr="0038442F">
        <w:rPr>
          <w:rFonts w:ascii="Verdana" w:hAnsi="Verdana"/>
          <w:sz w:val="20"/>
          <w:szCs w:val="20"/>
          <w:lang w:val="pt-BR"/>
        </w:rPr>
        <w:t>humanos”</w:t>
      </w:r>
      <w:r w:rsidR="00826F7D" w:rsidRPr="0038442F">
        <w:rPr>
          <w:rFonts w:ascii="Verdana" w:hAnsi="Verdana"/>
          <w:sz w:val="20"/>
          <w:szCs w:val="20"/>
          <w:lang w:val="pt-BR"/>
        </w:rPr>
        <w:t>.</w:t>
      </w:r>
      <w:r w:rsidR="00AD76EE" w:rsidRPr="0038442F">
        <w:rPr>
          <w:rStyle w:val="Refdenotaalpie"/>
          <w:rFonts w:ascii="Verdana" w:hAnsi="Verdana"/>
          <w:sz w:val="20"/>
          <w:szCs w:val="20"/>
          <w:lang w:val="pt-BR"/>
        </w:rPr>
        <w:footnoteReference w:id="23"/>
      </w:r>
      <w:r w:rsidR="00AD76EE" w:rsidRPr="0038442F">
        <w:rPr>
          <w:rFonts w:ascii="Verdana" w:hAnsi="Verdana"/>
          <w:sz w:val="20"/>
          <w:szCs w:val="20"/>
          <w:lang w:val="pt-BR"/>
        </w:rPr>
        <w:t xml:space="preserve"> </w:t>
      </w:r>
      <w:r w:rsidR="00AD76EE" w:rsidRPr="0038442F">
        <w:rPr>
          <w:rFonts w:ascii="Verdana" w:hAnsi="Verdana"/>
          <w:bCs/>
          <w:sz w:val="20"/>
          <w:szCs w:val="20"/>
          <w:lang w:val="pt-BR"/>
        </w:rPr>
        <w:t>N</w:t>
      </w:r>
      <w:r w:rsidR="00826F7D" w:rsidRPr="0038442F">
        <w:rPr>
          <w:rFonts w:ascii="Verdana" w:hAnsi="Verdana"/>
          <w:bCs/>
          <w:sz w:val="20"/>
          <w:szCs w:val="20"/>
          <w:lang w:val="pt-BR"/>
        </w:rPr>
        <w:t>ã</w:t>
      </w:r>
      <w:r w:rsidR="00AD76EE" w:rsidRPr="0038442F">
        <w:rPr>
          <w:rFonts w:ascii="Verdana" w:hAnsi="Verdana"/>
          <w:bCs/>
          <w:sz w:val="20"/>
          <w:szCs w:val="20"/>
          <w:lang w:val="pt-BR"/>
        </w:rPr>
        <w:t>o obstante</w:t>
      </w:r>
      <w:r w:rsidR="00826F7D" w:rsidRPr="0038442F">
        <w:rPr>
          <w:rFonts w:ascii="Verdana" w:hAnsi="Verdana"/>
          <w:bCs/>
          <w:sz w:val="20"/>
          <w:szCs w:val="20"/>
          <w:lang w:val="pt-BR"/>
        </w:rPr>
        <w:t xml:space="preserve"> isso</w:t>
      </w:r>
      <w:r w:rsidR="00AD76EE" w:rsidRPr="0038442F">
        <w:rPr>
          <w:rFonts w:ascii="Verdana" w:hAnsi="Verdana"/>
          <w:bCs/>
          <w:sz w:val="20"/>
          <w:szCs w:val="20"/>
          <w:lang w:val="pt-BR"/>
        </w:rPr>
        <w:t>, n</w:t>
      </w:r>
      <w:r w:rsidR="00826F7D" w:rsidRPr="0038442F">
        <w:rPr>
          <w:rFonts w:ascii="Verdana" w:hAnsi="Verdana"/>
          <w:bCs/>
          <w:sz w:val="20"/>
          <w:szCs w:val="20"/>
          <w:lang w:val="pt-BR"/>
        </w:rPr>
        <w:t>ã</w:t>
      </w:r>
      <w:r w:rsidR="00AD76EE" w:rsidRPr="0038442F">
        <w:rPr>
          <w:rFonts w:ascii="Verdana" w:hAnsi="Verdana"/>
          <w:bCs/>
          <w:sz w:val="20"/>
          <w:szCs w:val="20"/>
          <w:lang w:val="pt-BR"/>
        </w:rPr>
        <w:t xml:space="preserve">o basta a </w:t>
      </w:r>
      <w:r w:rsidR="00826F7D" w:rsidRPr="0038442F">
        <w:rPr>
          <w:rFonts w:ascii="Verdana" w:hAnsi="Verdana"/>
          <w:bCs/>
          <w:sz w:val="20"/>
          <w:szCs w:val="20"/>
          <w:lang w:val="pt-BR"/>
        </w:rPr>
        <w:t>adoção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o</w:t>
      </w:r>
      <w:r w:rsidR="00826F7D" w:rsidRPr="0038442F">
        <w:rPr>
          <w:rFonts w:ascii="Verdana" w:hAnsi="Verdana"/>
          <w:bCs/>
          <w:sz w:val="20"/>
          <w:szCs w:val="20"/>
          <w:lang w:val="pt-BR"/>
        </w:rPr>
        <w:t>u</w:t>
      </w:r>
      <w:r w:rsidR="00AD76EE" w:rsidRPr="0038442F">
        <w:rPr>
          <w:rFonts w:ascii="Verdana" w:hAnsi="Verdana"/>
          <w:bCs/>
          <w:sz w:val="20"/>
          <w:szCs w:val="20"/>
          <w:lang w:val="pt-BR"/>
        </w:rPr>
        <w:t xml:space="preserve"> ade</w:t>
      </w:r>
      <w:r w:rsidR="00826F7D" w:rsidRPr="0038442F">
        <w:rPr>
          <w:rFonts w:ascii="Verdana" w:hAnsi="Verdana"/>
          <w:bCs/>
          <w:sz w:val="20"/>
          <w:szCs w:val="20"/>
          <w:lang w:val="pt-BR"/>
        </w:rPr>
        <w:t>q</w:t>
      </w:r>
      <w:r w:rsidR="00AD76EE" w:rsidRPr="0038442F">
        <w:rPr>
          <w:rFonts w:ascii="Verdana" w:hAnsi="Verdana"/>
          <w:bCs/>
          <w:sz w:val="20"/>
          <w:szCs w:val="20"/>
          <w:lang w:val="pt-BR"/>
        </w:rPr>
        <w:t>ua</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AD76EE" w:rsidRPr="0038442F">
        <w:rPr>
          <w:rFonts w:ascii="Verdana" w:hAnsi="Verdana"/>
          <w:bCs/>
          <w:sz w:val="20"/>
          <w:szCs w:val="20"/>
          <w:lang w:val="pt-BR"/>
        </w:rPr>
        <w:t>legisla</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interna, </w:t>
      </w:r>
      <w:r w:rsidR="00826F7D" w:rsidRPr="0038442F">
        <w:rPr>
          <w:rFonts w:ascii="Verdana" w:hAnsi="Verdana"/>
          <w:bCs/>
          <w:sz w:val="20"/>
          <w:szCs w:val="20"/>
          <w:lang w:val="pt-BR"/>
        </w:rPr>
        <w:t>mas</w:t>
      </w:r>
      <w:r w:rsidR="002226C1" w:rsidRPr="0038442F">
        <w:rPr>
          <w:rFonts w:ascii="Verdana" w:hAnsi="Verdana"/>
          <w:bCs/>
          <w:sz w:val="20"/>
          <w:szCs w:val="20"/>
          <w:lang w:val="pt-BR"/>
        </w:rPr>
        <w:t xml:space="preserve">, </w:t>
      </w:r>
      <w:r w:rsidR="00AD76EE" w:rsidRPr="0038442F">
        <w:rPr>
          <w:rFonts w:ascii="Verdana" w:hAnsi="Verdana"/>
          <w:bCs/>
          <w:sz w:val="20"/>
          <w:szCs w:val="20"/>
          <w:lang w:val="pt-BR"/>
        </w:rPr>
        <w:t>junt</w:t>
      </w:r>
      <w:r w:rsidR="002226C1" w:rsidRPr="0038442F">
        <w:rPr>
          <w:rFonts w:ascii="Verdana" w:hAnsi="Verdana"/>
          <w:bCs/>
          <w:sz w:val="20"/>
          <w:szCs w:val="20"/>
          <w:lang w:val="pt-BR"/>
        </w:rPr>
        <w:t xml:space="preserve">amente com a </w:t>
      </w:r>
      <w:r w:rsidR="00AD76EE" w:rsidRPr="0038442F">
        <w:rPr>
          <w:rFonts w:ascii="Verdana" w:hAnsi="Verdana"/>
          <w:bCs/>
          <w:sz w:val="20"/>
          <w:szCs w:val="20"/>
          <w:lang w:val="pt-BR"/>
        </w:rPr>
        <w:t>regula</w:t>
      </w:r>
      <w:r w:rsidR="002226C1" w:rsidRPr="0038442F">
        <w:rPr>
          <w:rFonts w:ascii="Verdana" w:hAnsi="Verdana"/>
          <w:bCs/>
          <w:sz w:val="20"/>
          <w:szCs w:val="20"/>
          <w:lang w:val="pt-BR"/>
        </w:rPr>
        <w:t>menta</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w:t>
      </w:r>
      <w:r w:rsidR="002226C1" w:rsidRPr="0038442F">
        <w:rPr>
          <w:rFonts w:ascii="Verdana" w:hAnsi="Verdana"/>
          <w:bCs/>
          <w:sz w:val="20"/>
          <w:szCs w:val="20"/>
          <w:lang w:val="pt-BR"/>
        </w:rPr>
        <w:t xml:space="preserve">a fim de tornar operacional o </w:t>
      </w:r>
      <w:r w:rsidR="00AD76EE" w:rsidRPr="0038442F">
        <w:rPr>
          <w:rFonts w:ascii="Verdana" w:hAnsi="Verdana"/>
          <w:bCs/>
          <w:sz w:val="20"/>
          <w:szCs w:val="20"/>
          <w:lang w:val="pt-BR"/>
        </w:rPr>
        <w:t xml:space="preserve">contemplado </w:t>
      </w:r>
      <w:r w:rsidR="00BF7A10" w:rsidRPr="0038442F">
        <w:rPr>
          <w:rFonts w:ascii="Verdana" w:hAnsi="Verdana"/>
          <w:bCs/>
          <w:sz w:val="20"/>
          <w:szCs w:val="20"/>
          <w:lang w:val="pt-BR"/>
        </w:rPr>
        <w:t xml:space="preserve">na </w:t>
      </w:r>
      <w:r w:rsidR="00AD76EE" w:rsidRPr="0038442F">
        <w:rPr>
          <w:rFonts w:ascii="Verdana" w:hAnsi="Verdana"/>
          <w:bCs/>
          <w:sz w:val="20"/>
          <w:szCs w:val="20"/>
          <w:lang w:val="pt-BR"/>
        </w:rPr>
        <w:t xml:space="preserve">norma, </w:t>
      </w:r>
      <w:r w:rsidR="002226C1" w:rsidRPr="0038442F">
        <w:rPr>
          <w:rFonts w:ascii="Verdana" w:hAnsi="Verdana"/>
          <w:bCs/>
          <w:sz w:val="20"/>
          <w:szCs w:val="20"/>
          <w:lang w:val="pt-BR"/>
        </w:rPr>
        <w:t>é necessário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que </w:t>
      </w:r>
      <w:r w:rsidR="00AD76EE" w:rsidRPr="0038442F">
        <w:rPr>
          <w:rFonts w:ascii="Verdana" w:hAnsi="Verdana"/>
          <w:sz w:val="20"/>
          <w:szCs w:val="20"/>
          <w:lang w:val="pt-BR"/>
        </w:rPr>
        <w:t xml:space="preserve">se </w:t>
      </w:r>
      <w:r w:rsidR="002226C1" w:rsidRPr="0038442F">
        <w:rPr>
          <w:rFonts w:ascii="Verdana" w:hAnsi="Verdana"/>
          <w:sz w:val="20"/>
          <w:szCs w:val="20"/>
          <w:lang w:val="pt-BR"/>
        </w:rPr>
        <w:t xml:space="preserve">disponha de um </w:t>
      </w:r>
      <w:r w:rsidR="00AD76EE" w:rsidRPr="0038442F">
        <w:rPr>
          <w:rFonts w:ascii="Verdana" w:hAnsi="Verdana"/>
          <w:sz w:val="20"/>
          <w:szCs w:val="20"/>
          <w:lang w:val="pt-BR"/>
        </w:rPr>
        <w:t>aparato institucional</w:t>
      </w:r>
      <w:r w:rsidR="0001311B" w:rsidRPr="0038442F">
        <w:rPr>
          <w:rFonts w:ascii="Verdana" w:hAnsi="Verdana"/>
          <w:sz w:val="20"/>
          <w:szCs w:val="20"/>
          <w:lang w:val="pt-BR"/>
        </w:rPr>
        <w:t xml:space="preserve"> que </w:t>
      </w:r>
      <w:r w:rsidR="00984A83" w:rsidRPr="0038442F">
        <w:rPr>
          <w:rFonts w:ascii="Verdana" w:hAnsi="Verdana"/>
          <w:sz w:val="20"/>
          <w:szCs w:val="20"/>
          <w:lang w:val="pt-BR"/>
        </w:rPr>
        <w:t>tenha</w:t>
      </w:r>
      <w:r w:rsidR="00407242" w:rsidRPr="0038442F">
        <w:rPr>
          <w:rFonts w:ascii="Verdana" w:hAnsi="Verdana"/>
          <w:sz w:val="20"/>
          <w:szCs w:val="20"/>
          <w:lang w:val="pt-BR"/>
        </w:rPr>
        <w:t xml:space="preserve"> </w:t>
      </w:r>
      <w:r w:rsidR="002226C1" w:rsidRPr="0038442F">
        <w:rPr>
          <w:rFonts w:ascii="Verdana" w:hAnsi="Verdana"/>
          <w:sz w:val="20"/>
          <w:szCs w:val="20"/>
          <w:lang w:val="pt-BR"/>
        </w:rPr>
        <w:t>competência</w:t>
      </w:r>
      <w:r w:rsidR="00407242" w:rsidRPr="0038442F">
        <w:rPr>
          <w:rFonts w:ascii="Verdana" w:hAnsi="Verdana"/>
          <w:sz w:val="20"/>
          <w:szCs w:val="20"/>
          <w:lang w:val="pt-BR"/>
        </w:rPr>
        <w:t xml:space="preserve"> </w:t>
      </w:r>
      <w:r w:rsidR="0001311B" w:rsidRPr="0038442F">
        <w:rPr>
          <w:rFonts w:ascii="Verdana" w:hAnsi="Verdana"/>
          <w:sz w:val="20"/>
          <w:szCs w:val="20"/>
          <w:lang w:val="pt-BR"/>
        </w:rPr>
        <w:t xml:space="preserve">sobre </w:t>
      </w:r>
      <w:r w:rsidR="002226C1" w:rsidRPr="0038442F">
        <w:rPr>
          <w:rFonts w:ascii="Verdana" w:hAnsi="Verdana"/>
          <w:sz w:val="20"/>
          <w:szCs w:val="20"/>
          <w:lang w:val="pt-BR"/>
        </w:rPr>
        <w:t>essa</w:t>
      </w:r>
      <w:r w:rsidR="0001311B" w:rsidRPr="0038442F">
        <w:rPr>
          <w:rFonts w:ascii="Verdana" w:hAnsi="Verdana"/>
          <w:sz w:val="20"/>
          <w:szCs w:val="20"/>
          <w:lang w:val="pt-BR"/>
        </w:rPr>
        <w:t xml:space="preserve"> norma</w:t>
      </w:r>
      <w:r w:rsidR="002226C1" w:rsidRPr="0038442F">
        <w:rPr>
          <w:rFonts w:ascii="Verdana" w:hAnsi="Verdana"/>
          <w:sz w:val="20"/>
          <w:szCs w:val="20"/>
          <w:lang w:val="pt-BR"/>
        </w:rPr>
        <w:t>.</w:t>
      </w:r>
      <w:r w:rsidR="00AD76EE" w:rsidRPr="0038442F">
        <w:rPr>
          <w:rStyle w:val="Refdenotaalpie"/>
          <w:rFonts w:ascii="Verdana" w:hAnsi="Verdana"/>
          <w:sz w:val="20"/>
          <w:szCs w:val="20"/>
          <w:lang w:val="pt-BR"/>
        </w:rPr>
        <w:footnoteReference w:id="24"/>
      </w:r>
      <w:r w:rsidR="00AD76EE" w:rsidRPr="0038442F">
        <w:rPr>
          <w:rFonts w:ascii="Verdana" w:hAnsi="Verdana"/>
          <w:sz w:val="20"/>
          <w:szCs w:val="20"/>
          <w:lang w:val="pt-BR"/>
        </w:rPr>
        <w:t xml:space="preserve"> </w:t>
      </w:r>
    </w:p>
    <w:p w14:paraId="7A46B0A8" w14:textId="77777777" w:rsidR="00AD76EE" w:rsidRPr="0038442F" w:rsidRDefault="00AD76EE" w:rsidP="00A857CB">
      <w:pPr>
        <w:pStyle w:val="Prrafodelista"/>
        <w:spacing w:line="240" w:lineRule="auto"/>
        <w:jc w:val="both"/>
        <w:rPr>
          <w:rFonts w:ascii="Verdana" w:hAnsi="Verdana"/>
          <w:bCs/>
          <w:sz w:val="20"/>
          <w:szCs w:val="20"/>
          <w:lang w:val="pt-BR"/>
        </w:rPr>
      </w:pPr>
    </w:p>
    <w:p w14:paraId="04F4178B" w14:textId="536B8EB5" w:rsidR="0001311B" w:rsidRPr="0038442F" w:rsidRDefault="00FE5B4A"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T</w:t>
      </w:r>
      <w:r w:rsidR="00AD76EE" w:rsidRPr="0038442F">
        <w:rPr>
          <w:rFonts w:ascii="Verdana" w:hAnsi="Verdana"/>
          <w:bCs/>
          <w:sz w:val="20"/>
          <w:szCs w:val="20"/>
          <w:lang w:val="pt-BR"/>
        </w:rPr>
        <w:t>ampo</w:t>
      </w:r>
      <w:r w:rsidR="002226C1" w:rsidRPr="0038442F">
        <w:rPr>
          <w:rFonts w:ascii="Verdana" w:hAnsi="Verdana"/>
          <w:bCs/>
          <w:sz w:val="20"/>
          <w:szCs w:val="20"/>
          <w:lang w:val="pt-BR"/>
        </w:rPr>
        <w:t>u</w:t>
      </w:r>
      <w:r w:rsidR="00AD76EE" w:rsidRPr="0038442F">
        <w:rPr>
          <w:rFonts w:ascii="Verdana" w:hAnsi="Verdana"/>
          <w:bCs/>
          <w:sz w:val="20"/>
          <w:szCs w:val="20"/>
          <w:lang w:val="pt-BR"/>
        </w:rPr>
        <w:t xml:space="preserve">co basta a </w:t>
      </w:r>
      <w:r w:rsidR="00246A73" w:rsidRPr="0038442F">
        <w:rPr>
          <w:rFonts w:ascii="Verdana" w:hAnsi="Verdana"/>
          <w:bCs/>
          <w:sz w:val="20"/>
          <w:szCs w:val="20"/>
          <w:lang w:val="pt-BR"/>
        </w:rPr>
        <w:t>existência</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formal de u</w:t>
      </w:r>
      <w:r w:rsidR="00246A73" w:rsidRPr="0038442F">
        <w:rPr>
          <w:rFonts w:ascii="Verdana" w:hAnsi="Verdana"/>
          <w:bCs/>
          <w:sz w:val="20"/>
          <w:szCs w:val="20"/>
          <w:lang w:val="pt-BR"/>
        </w:rPr>
        <w:t>m</w:t>
      </w:r>
      <w:r w:rsidR="00AD76EE" w:rsidRPr="0038442F">
        <w:rPr>
          <w:rFonts w:ascii="Verdana" w:hAnsi="Verdana"/>
          <w:bCs/>
          <w:sz w:val="20"/>
          <w:szCs w:val="20"/>
          <w:lang w:val="pt-BR"/>
        </w:rPr>
        <w:t xml:space="preserve"> aparato institucional </w:t>
      </w:r>
      <w:r w:rsidR="003F0394" w:rsidRPr="0038442F">
        <w:rPr>
          <w:rFonts w:ascii="Verdana" w:hAnsi="Verdana"/>
          <w:bCs/>
          <w:sz w:val="20"/>
          <w:szCs w:val="20"/>
          <w:lang w:val="pt-BR"/>
        </w:rPr>
        <w:t xml:space="preserve">a que se delegue </w:t>
      </w:r>
      <w:r w:rsidR="005F647D" w:rsidRPr="0038442F">
        <w:rPr>
          <w:rFonts w:ascii="Verdana" w:hAnsi="Verdana"/>
          <w:bCs/>
          <w:sz w:val="20"/>
          <w:szCs w:val="20"/>
          <w:lang w:val="pt-BR"/>
        </w:rPr>
        <w:t xml:space="preserve">a </w:t>
      </w:r>
      <w:r w:rsidR="002226C1" w:rsidRPr="0038442F">
        <w:rPr>
          <w:rFonts w:ascii="Verdana" w:hAnsi="Verdana"/>
          <w:bCs/>
          <w:sz w:val="20"/>
          <w:szCs w:val="20"/>
          <w:lang w:val="pt-BR"/>
        </w:rPr>
        <w:t>competência</w:t>
      </w:r>
      <w:r w:rsidR="00AD76EE" w:rsidRPr="0038442F">
        <w:rPr>
          <w:rFonts w:ascii="Verdana" w:hAnsi="Verdana"/>
          <w:bCs/>
          <w:sz w:val="20"/>
          <w:szCs w:val="20"/>
          <w:lang w:val="pt-BR"/>
        </w:rPr>
        <w:t xml:space="preserve">, </w:t>
      </w:r>
      <w:r w:rsidR="00246A73" w:rsidRPr="0038442F">
        <w:rPr>
          <w:rFonts w:ascii="Verdana" w:hAnsi="Verdana"/>
          <w:bCs/>
          <w:sz w:val="20"/>
          <w:szCs w:val="20"/>
          <w:lang w:val="pt-BR"/>
        </w:rPr>
        <w:t xml:space="preserve">sendo </w:t>
      </w:r>
      <w:r w:rsidR="002226C1" w:rsidRPr="0038442F">
        <w:rPr>
          <w:rFonts w:ascii="Verdana" w:hAnsi="Verdana"/>
          <w:bCs/>
          <w:sz w:val="20"/>
          <w:szCs w:val="20"/>
          <w:lang w:val="pt-BR"/>
        </w:rPr>
        <w:t>necessário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que efetivamente</w:t>
      </w:r>
      <w:r w:rsidR="0001311B" w:rsidRPr="0038442F">
        <w:rPr>
          <w:rFonts w:ascii="Verdana" w:hAnsi="Verdana"/>
          <w:bCs/>
          <w:sz w:val="20"/>
          <w:szCs w:val="20"/>
          <w:lang w:val="pt-BR"/>
        </w:rPr>
        <w:t xml:space="preserve"> e</w:t>
      </w:r>
      <w:r w:rsidR="00246A73" w:rsidRPr="0038442F">
        <w:rPr>
          <w:rFonts w:ascii="Verdana" w:hAnsi="Verdana"/>
          <w:bCs/>
          <w:sz w:val="20"/>
          <w:szCs w:val="20"/>
          <w:lang w:val="pt-BR"/>
        </w:rPr>
        <w:t>s</w:t>
      </w:r>
      <w:r w:rsidR="0001311B" w:rsidRPr="0038442F">
        <w:rPr>
          <w:rFonts w:ascii="Verdana" w:hAnsi="Verdana"/>
          <w:bCs/>
          <w:sz w:val="20"/>
          <w:szCs w:val="20"/>
          <w:lang w:val="pt-BR"/>
        </w:rPr>
        <w:t xml:space="preserve">se aparato, </w:t>
      </w:r>
      <w:r w:rsidR="00BF7A10" w:rsidRPr="0038442F">
        <w:rPr>
          <w:rFonts w:ascii="Verdana" w:hAnsi="Verdana"/>
          <w:bCs/>
          <w:sz w:val="20"/>
          <w:szCs w:val="20"/>
          <w:lang w:val="pt-BR"/>
        </w:rPr>
        <w:t xml:space="preserve">na </w:t>
      </w:r>
      <w:r w:rsidR="00AD76EE" w:rsidRPr="0038442F">
        <w:rPr>
          <w:rFonts w:ascii="Verdana" w:hAnsi="Verdana"/>
          <w:bCs/>
          <w:sz w:val="20"/>
          <w:szCs w:val="20"/>
          <w:lang w:val="pt-BR"/>
        </w:rPr>
        <w:t>prática</w:t>
      </w:r>
      <w:r w:rsidR="005F647D" w:rsidRPr="0038442F">
        <w:rPr>
          <w:rFonts w:ascii="Verdana" w:hAnsi="Verdana"/>
          <w:bCs/>
          <w:sz w:val="20"/>
          <w:szCs w:val="20"/>
          <w:lang w:val="pt-BR"/>
        </w:rPr>
        <w:t>,</w:t>
      </w:r>
      <w:r w:rsidR="00AD76EE" w:rsidRPr="0038442F">
        <w:rPr>
          <w:rFonts w:ascii="Verdana" w:hAnsi="Verdana"/>
          <w:bCs/>
          <w:sz w:val="20"/>
          <w:szCs w:val="20"/>
          <w:lang w:val="pt-BR"/>
        </w:rPr>
        <w:t xml:space="preserve"> </w:t>
      </w:r>
      <w:r w:rsidR="00246A73" w:rsidRPr="0038442F">
        <w:rPr>
          <w:rFonts w:ascii="Verdana" w:hAnsi="Verdana"/>
          <w:bCs/>
          <w:sz w:val="20"/>
          <w:szCs w:val="20"/>
          <w:lang w:val="pt-BR"/>
        </w:rPr>
        <w:t>z</w:t>
      </w:r>
      <w:r w:rsidR="0001311B" w:rsidRPr="0038442F">
        <w:rPr>
          <w:rFonts w:ascii="Verdana" w:hAnsi="Verdana"/>
          <w:bCs/>
          <w:sz w:val="20"/>
          <w:szCs w:val="20"/>
          <w:lang w:val="pt-BR"/>
        </w:rPr>
        <w:t xml:space="preserve">ele </w:t>
      </w:r>
      <w:r w:rsidR="00246A73" w:rsidRPr="0038442F">
        <w:rPr>
          <w:rFonts w:ascii="Verdana" w:hAnsi="Verdana"/>
          <w:bCs/>
          <w:sz w:val="20"/>
          <w:szCs w:val="20"/>
          <w:lang w:val="pt-BR"/>
        </w:rPr>
        <w:t>pela materialização d</w:t>
      </w:r>
      <w:r w:rsidR="0001311B" w:rsidRPr="0038442F">
        <w:rPr>
          <w:rFonts w:ascii="Verdana" w:hAnsi="Verdana"/>
          <w:bCs/>
          <w:sz w:val="20"/>
          <w:szCs w:val="20"/>
          <w:lang w:val="pt-BR"/>
        </w:rPr>
        <w:t xml:space="preserve">o que </w:t>
      </w:r>
      <w:r w:rsidR="00246A73" w:rsidRPr="0038442F">
        <w:rPr>
          <w:rFonts w:ascii="Verdana" w:hAnsi="Verdana"/>
          <w:bCs/>
          <w:sz w:val="20"/>
          <w:szCs w:val="20"/>
          <w:lang w:val="pt-BR"/>
        </w:rPr>
        <w:t>foi regulamentado</w:t>
      </w:r>
      <w:r w:rsidR="00AD76EE" w:rsidRPr="0038442F">
        <w:rPr>
          <w:rFonts w:ascii="Verdana" w:hAnsi="Verdana"/>
          <w:bCs/>
          <w:sz w:val="20"/>
          <w:szCs w:val="20"/>
          <w:lang w:val="pt-BR"/>
        </w:rPr>
        <w:t xml:space="preserve">. Para </w:t>
      </w:r>
      <w:r w:rsidR="00246A73" w:rsidRPr="0038442F">
        <w:rPr>
          <w:rFonts w:ascii="Verdana" w:hAnsi="Verdana"/>
          <w:bCs/>
          <w:sz w:val="20"/>
          <w:szCs w:val="20"/>
          <w:lang w:val="pt-BR"/>
        </w:rPr>
        <w:t>isso</w:t>
      </w:r>
      <w:r w:rsidR="00AD76EE" w:rsidRPr="0038442F">
        <w:rPr>
          <w:rFonts w:ascii="Verdana" w:hAnsi="Verdana"/>
          <w:bCs/>
          <w:sz w:val="20"/>
          <w:szCs w:val="20"/>
          <w:lang w:val="pt-BR"/>
        </w:rPr>
        <w:t xml:space="preserve">, </w:t>
      </w:r>
      <w:r w:rsidR="0001311B" w:rsidRPr="0038442F">
        <w:rPr>
          <w:rFonts w:ascii="Verdana" w:hAnsi="Verdana"/>
          <w:bCs/>
          <w:sz w:val="20"/>
          <w:szCs w:val="20"/>
          <w:lang w:val="pt-BR"/>
        </w:rPr>
        <w:t>como segundo elemento,</w:t>
      </w:r>
      <w:r w:rsidR="0001311B" w:rsidRPr="0038442F">
        <w:rPr>
          <w:rFonts w:ascii="Verdana" w:hAnsi="Verdana"/>
          <w:bCs/>
          <w:i/>
          <w:iCs/>
          <w:sz w:val="20"/>
          <w:szCs w:val="20"/>
          <w:lang w:val="pt-BR"/>
        </w:rPr>
        <w:t xml:space="preserve"> </w:t>
      </w:r>
      <w:r w:rsidR="00BB665E" w:rsidRPr="0038442F">
        <w:rPr>
          <w:rFonts w:ascii="Verdana" w:hAnsi="Verdana"/>
          <w:bCs/>
          <w:i/>
          <w:iCs/>
          <w:sz w:val="20"/>
          <w:szCs w:val="20"/>
          <w:lang w:val="pt-BR"/>
        </w:rPr>
        <w:t xml:space="preserve">as obrigações </w:t>
      </w:r>
      <w:r w:rsidR="00AD76EE" w:rsidRPr="0038442F">
        <w:rPr>
          <w:rFonts w:ascii="Verdana" w:hAnsi="Verdana"/>
          <w:bCs/>
          <w:i/>
          <w:iCs/>
          <w:sz w:val="20"/>
          <w:szCs w:val="20"/>
          <w:lang w:val="pt-BR"/>
        </w:rPr>
        <w:t>de fiscaliza</w:t>
      </w:r>
      <w:r w:rsidR="000A1AA8" w:rsidRPr="0038442F">
        <w:rPr>
          <w:rFonts w:ascii="Verdana" w:hAnsi="Verdana"/>
          <w:bCs/>
          <w:i/>
          <w:iCs/>
          <w:sz w:val="20"/>
          <w:szCs w:val="20"/>
          <w:lang w:val="pt-BR"/>
        </w:rPr>
        <w:t>ção</w:t>
      </w:r>
      <w:r w:rsidR="0001311B" w:rsidRPr="0038442F">
        <w:rPr>
          <w:rFonts w:ascii="Verdana" w:hAnsi="Verdana"/>
          <w:bCs/>
          <w:i/>
          <w:iCs/>
          <w:sz w:val="20"/>
          <w:szCs w:val="20"/>
          <w:lang w:val="pt-BR"/>
        </w:rPr>
        <w:t xml:space="preserve">, </w:t>
      </w:r>
      <w:r w:rsidR="00A97590" w:rsidRPr="0038442F">
        <w:rPr>
          <w:rFonts w:ascii="Verdana" w:hAnsi="Verdana"/>
          <w:bCs/>
          <w:i/>
          <w:iCs/>
          <w:sz w:val="20"/>
          <w:szCs w:val="20"/>
          <w:lang w:val="pt-BR"/>
        </w:rPr>
        <w:t xml:space="preserve">supervisão </w:t>
      </w:r>
      <w:r w:rsidR="0001311B" w:rsidRPr="0038442F">
        <w:rPr>
          <w:rFonts w:ascii="Verdana" w:hAnsi="Verdana"/>
          <w:bCs/>
          <w:i/>
          <w:iCs/>
          <w:sz w:val="20"/>
          <w:szCs w:val="20"/>
          <w:lang w:val="pt-BR"/>
        </w:rPr>
        <w:t>o</w:t>
      </w:r>
      <w:r w:rsidR="00246A73" w:rsidRPr="0038442F">
        <w:rPr>
          <w:rFonts w:ascii="Verdana" w:hAnsi="Verdana"/>
          <w:bCs/>
          <w:i/>
          <w:iCs/>
          <w:sz w:val="20"/>
          <w:szCs w:val="20"/>
          <w:lang w:val="pt-BR"/>
        </w:rPr>
        <w:t>u</w:t>
      </w:r>
      <w:r w:rsidR="0001311B" w:rsidRPr="0038442F">
        <w:rPr>
          <w:rFonts w:ascii="Verdana" w:hAnsi="Verdana"/>
          <w:bCs/>
          <w:i/>
          <w:iCs/>
          <w:sz w:val="20"/>
          <w:szCs w:val="20"/>
          <w:lang w:val="pt-BR"/>
        </w:rPr>
        <w:t xml:space="preserve"> inspe</w:t>
      </w:r>
      <w:r w:rsidR="000A1AA8" w:rsidRPr="0038442F">
        <w:rPr>
          <w:rFonts w:ascii="Verdana" w:hAnsi="Verdana"/>
          <w:bCs/>
          <w:i/>
          <w:iCs/>
          <w:sz w:val="20"/>
          <w:szCs w:val="20"/>
          <w:lang w:val="pt-BR"/>
        </w:rPr>
        <w:t>ção</w:t>
      </w:r>
      <w:r w:rsidR="0001311B" w:rsidRPr="0038442F">
        <w:rPr>
          <w:rFonts w:ascii="Verdana" w:hAnsi="Verdana"/>
          <w:bCs/>
          <w:i/>
          <w:iCs/>
          <w:sz w:val="20"/>
          <w:szCs w:val="20"/>
          <w:lang w:val="pt-BR"/>
        </w:rPr>
        <w:t xml:space="preserve"> </w:t>
      </w:r>
      <w:r w:rsidR="00246A73" w:rsidRPr="0038442F">
        <w:rPr>
          <w:rFonts w:ascii="Verdana" w:hAnsi="Verdana"/>
          <w:bCs/>
          <w:sz w:val="20"/>
          <w:szCs w:val="20"/>
          <w:lang w:val="pt-BR"/>
        </w:rPr>
        <w:t xml:space="preserve">assumem </w:t>
      </w:r>
      <w:r w:rsidR="00AD76EE" w:rsidRPr="0038442F">
        <w:rPr>
          <w:rFonts w:ascii="Verdana" w:hAnsi="Verdana"/>
          <w:bCs/>
          <w:sz w:val="20"/>
          <w:szCs w:val="20"/>
          <w:lang w:val="pt-BR"/>
        </w:rPr>
        <w:t>especial relev</w:t>
      </w:r>
      <w:r w:rsidR="00246A73" w:rsidRPr="0038442F">
        <w:rPr>
          <w:rFonts w:ascii="Verdana" w:hAnsi="Verdana"/>
          <w:bCs/>
          <w:sz w:val="20"/>
          <w:szCs w:val="20"/>
          <w:lang w:val="pt-BR"/>
        </w:rPr>
        <w:t>â</w:t>
      </w:r>
      <w:r w:rsidR="00AD76EE" w:rsidRPr="0038442F">
        <w:rPr>
          <w:rFonts w:ascii="Verdana" w:hAnsi="Verdana"/>
          <w:bCs/>
          <w:sz w:val="20"/>
          <w:szCs w:val="20"/>
          <w:lang w:val="pt-BR"/>
        </w:rPr>
        <w:t>ncia</w:t>
      </w:r>
      <w:r w:rsidR="0001311B" w:rsidRPr="0038442F">
        <w:rPr>
          <w:rFonts w:ascii="Verdana" w:hAnsi="Verdana"/>
          <w:bCs/>
          <w:sz w:val="20"/>
          <w:szCs w:val="20"/>
          <w:lang w:val="pt-BR"/>
        </w:rPr>
        <w:t xml:space="preserve">, </w:t>
      </w:r>
      <w:r w:rsidR="00246A73" w:rsidRPr="0038442F">
        <w:rPr>
          <w:rFonts w:ascii="Verdana" w:hAnsi="Verdana"/>
          <w:bCs/>
          <w:sz w:val="20"/>
          <w:szCs w:val="20"/>
          <w:lang w:val="pt-BR"/>
        </w:rPr>
        <w:t xml:space="preserve">por ser o </w:t>
      </w:r>
      <w:r w:rsidR="00246A73" w:rsidRPr="0038442F">
        <w:rPr>
          <w:rFonts w:ascii="Verdana" w:hAnsi="Verdana"/>
          <w:bCs/>
          <w:i/>
          <w:sz w:val="20"/>
          <w:szCs w:val="20"/>
          <w:lang w:val="pt-BR"/>
        </w:rPr>
        <w:t>meio</w:t>
      </w:r>
      <w:r w:rsidR="00246A73" w:rsidRPr="0038442F">
        <w:rPr>
          <w:rFonts w:ascii="Verdana" w:hAnsi="Verdana"/>
          <w:bCs/>
          <w:sz w:val="20"/>
          <w:szCs w:val="20"/>
          <w:lang w:val="pt-BR"/>
        </w:rPr>
        <w:t xml:space="preserve"> </w:t>
      </w:r>
      <w:r w:rsidR="0039256C" w:rsidRPr="0038442F">
        <w:rPr>
          <w:rFonts w:ascii="Verdana" w:hAnsi="Verdana"/>
          <w:bCs/>
          <w:sz w:val="20"/>
          <w:szCs w:val="20"/>
          <w:lang w:val="pt-BR"/>
        </w:rPr>
        <w:t xml:space="preserve">que permite </w:t>
      </w:r>
      <w:r w:rsidR="00246A73" w:rsidRPr="0038442F">
        <w:rPr>
          <w:rFonts w:ascii="Verdana" w:hAnsi="Verdana"/>
          <w:bCs/>
          <w:sz w:val="20"/>
          <w:szCs w:val="20"/>
          <w:lang w:val="pt-BR"/>
        </w:rPr>
        <w:t xml:space="preserve">às </w:t>
      </w:r>
      <w:r w:rsidR="0039256C" w:rsidRPr="0038442F">
        <w:rPr>
          <w:rFonts w:ascii="Verdana" w:hAnsi="Verdana"/>
          <w:bCs/>
          <w:sz w:val="20"/>
          <w:szCs w:val="20"/>
          <w:lang w:val="pt-BR"/>
        </w:rPr>
        <w:t>autoridades o</w:t>
      </w:r>
      <w:r w:rsidR="00246A73" w:rsidRPr="0038442F">
        <w:rPr>
          <w:rFonts w:ascii="Verdana" w:hAnsi="Verdana"/>
          <w:bCs/>
          <w:sz w:val="20"/>
          <w:szCs w:val="20"/>
          <w:lang w:val="pt-BR"/>
        </w:rPr>
        <w:t>u</w:t>
      </w:r>
      <w:r w:rsidR="0039256C" w:rsidRPr="0038442F">
        <w:rPr>
          <w:rFonts w:ascii="Verdana" w:hAnsi="Verdana"/>
          <w:bCs/>
          <w:sz w:val="20"/>
          <w:szCs w:val="20"/>
          <w:lang w:val="pt-BR"/>
        </w:rPr>
        <w:t xml:space="preserve"> </w:t>
      </w:r>
      <w:r w:rsidR="000450DD" w:rsidRPr="0038442F">
        <w:rPr>
          <w:rFonts w:ascii="Verdana" w:hAnsi="Verdana"/>
          <w:bCs/>
          <w:sz w:val="20"/>
          <w:szCs w:val="20"/>
          <w:lang w:val="pt-BR"/>
        </w:rPr>
        <w:t xml:space="preserve">instituições </w:t>
      </w:r>
      <w:r w:rsidR="0039256C" w:rsidRPr="0038442F">
        <w:rPr>
          <w:rFonts w:ascii="Verdana" w:hAnsi="Verdana"/>
          <w:bCs/>
          <w:sz w:val="20"/>
          <w:szCs w:val="20"/>
          <w:lang w:val="pt-BR"/>
        </w:rPr>
        <w:t>vigi</w:t>
      </w:r>
      <w:r w:rsidR="00246A73" w:rsidRPr="0038442F">
        <w:rPr>
          <w:rFonts w:ascii="Verdana" w:hAnsi="Verdana"/>
          <w:bCs/>
          <w:sz w:val="20"/>
          <w:szCs w:val="20"/>
          <w:lang w:val="pt-BR"/>
        </w:rPr>
        <w:t>a</w:t>
      </w:r>
      <w:r w:rsidR="0039256C" w:rsidRPr="0038442F">
        <w:rPr>
          <w:rFonts w:ascii="Verdana" w:hAnsi="Verdana"/>
          <w:bCs/>
          <w:sz w:val="20"/>
          <w:szCs w:val="20"/>
          <w:lang w:val="pt-BR"/>
        </w:rPr>
        <w:t xml:space="preserve">r </w:t>
      </w:r>
      <w:r w:rsidR="00246A73" w:rsidRPr="0038442F">
        <w:rPr>
          <w:rFonts w:ascii="Verdana" w:hAnsi="Verdana"/>
          <w:bCs/>
          <w:sz w:val="20"/>
          <w:szCs w:val="20"/>
          <w:lang w:val="pt-BR"/>
        </w:rPr>
        <w:t xml:space="preserve">a ação </w:t>
      </w:r>
      <w:r w:rsidR="00C92762" w:rsidRPr="0038442F">
        <w:rPr>
          <w:rFonts w:ascii="Verdana" w:hAnsi="Verdana"/>
          <w:bCs/>
          <w:sz w:val="20"/>
          <w:szCs w:val="20"/>
          <w:lang w:val="pt-BR"/>
        </w:rPr>
        <w:t xml:space="preserve">dos </w:t>
      </w:r>
      <w:r w:rsidR="0039256C" w:rsidRPr="0038442F">
        <w:rPr>
          <w:rFonts w:ascii="Verdana" w:hAnsi="Verdana"/>
          <w:bCs/>
          <w:sz w:val="20"/>
          <w:szCs w:val="20"/>
          <w:lang w:val="pt-BR"/>
        </w:rPr>
        <w:t>entes particulares</w:t>
      </w:r>
      <w:r w:rsidR="0001311B" w:rsidRPr="0038442F">
        <w:rPr>
          <w:rFonts w:ascii="Verdana" w:hAnsi="Verdana"/>
          <w:bCs/>
          <w:sz w:val="20"/>
          <w:szCs w:val="20"/>
          <w:lang w:val="pt-BR"/>
        </w:rPr>
        <w:t xml:space="preserve"> frente a </w:t>
      </w:r>
      <w:r w:rsidR="000A1AA8"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01311B" w:rsidRPr="0038442F">
        <w:rPr>
          <w:rFonts w:ascii="Verdana" w:hAnsi="Verdana"/>
          <w:bCs/>
          <w:sz w:val="20"/>
          <w:szCs w:val="20"/>
          <w:lang w:val="pt-BR"/>
        </w:rPr>
        <w:t xml:space="preserve">que </w:t>
      </w:r>
      <w:r w:rsidR="000A1AA8" w:rsidRPr="0038442F">
        <w:rPr>
          <w:rFonts w:ascii="Verdana" w:hAnsi="Verdana"/>
          <w:bCs/>
          <w:sz w:val="20"/>
          <w:szCs w:val="20"/>
          <w:lang w:val="pt-BR"/>
        </w:rPr>
        <w:t xml:space="preserve">o Estado </w:t>
      </w:r>
      <w:r w:rsidR="00246A73" w:rsidRPr="0038442F">
        <w:rPr>
          <w:rFonts w:ascii="Verdana" w:hAnsi="Verdana"/>
          <w:bCs/>
          <w:sz w:val="20"/>
          <w:szCs w:val="20"/>
          <w:lang w:val="pt-BR"/>
        </w:rPr>
        <w:t xml:space="preserve">reconhece e se comprometeu </w:t>
      </w:r>
      <w:r w:rsidR="0001311B" w:rsidRPr="0038442F">
        <w:rPr>
          <w:rFonts w:ascii="Verdana" w:hAnsi="Verdana"/>
          <w:bCs/>
          <w:sz w:val="20"/>
          <w:szCs w:val="20"/>
          <w:lang w:val="pt-BR"/>
        </w:rPr>
        <w:t xml:space="preserve">a </w:t>
      </w:r>
      <w:r w:rsidR="009612FB" w:rsidRPr="0038442F">
        <w:rPr>
          <w:rFonts w:ascii="Verdana" w:hAnsi="Verdana"/>
          <w:bCs/>
          <w:sz w:val="20"/>
          <w:szCs w:val="20"/>
          <w:lang w:val="pt-BR"/>
        </w:rPr>
        <w:t>garantir</w:t>
      </w:r>
      <w:r w:rsidR="00AD76EE" w:rsidRPr="0038442F">
        <w:rPr>
          <w:rFonts w:ascii="Verdana" w:hAnsi="Verdana"/>
          <w:bCs/>
          <w:sz w:val="20"/>
          <w:szCs w:val="20"/>
          <w:lang w:val="pt-BR"/>
        </w:rPr>
        <w:t xml:space="preserve">. </w:t>
      </w:r>
    </w:p>
    <w:p w14:paraId="2337E260" w14:textId="77777777" w:rsidR="0001311B" w:rsidRPr="0038442F" w:rsidRDefault="0001311B" w:rsidP="00A857CB">
      <w:pPr>
        <w:pStyle w:val="Prrafodelista"/>
        <w:spacing w:line="240" w:lineRule="auto"/>
        <w:rPr>
          <w:rFonts w:ascii="Verdana" w:hAnsi="Verdana"/>
          <w:bCs/>
          <w:sz w:val="20"/>
          <w:szCs w:val="20"/>
          <w:lang w:val="pt-BR"/>
        </w:rPr>
      </w:pPr>
    </w:p>
    <w:p w14:paraId="31F43D2A" w14:textId="5271F9E4" w:rsidR="00AD76EE" w:rsidRPr="0038442F" w:rsidRDefault="00246A73"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A</w:t>
      </w:r>
      <w:r w:rsidR="00AD76EE" w:rsidRPr="0038442F">
        <w:rPr>
          <w:rFonts w:ascii="Verdana" w:hAnsi="Verdana"/>
          <w:bCs/>
          <w:sz w:val="20"/>
          <w:szCs w:val="20"/>
          <w:lang w:val="pt-BR"/>
        </w:rPr>
        <w:t xml:space="preserve"> </w:t>
      </w:r>
      <w:r w:rsidR="00984A83" w:rsidRPr="0038442F">
        <w:rPr>
          <w:rFonts w:ascii="Verdana" w:hAnsi="Verdana"/>
          <w:bCs/>
          <w:sz w:val="20"/>
          <w:szCs w:val="20"/>
          <w:lang w:val="pt-BR"/>
        </w:rPr>
        <w:t xml:space="preserve">jurisprudência </w:t>
      </w:r>
      <w:r w:rsidR="00C92762" w:rsidRPr="0038442F">
        <w:rPr>
          <w:rFonts w:ascii="Verdana" w:hAnsi="Verdana"/>
          <w:bCs/>
          <w:sz w:val="20"/>
          <w:szCs w:val="20"/>
          <w:lang w:val="pt-BR"/>
        </w:rPr>
        <w:t xml:space="preserve">da </w:t>
      </w:r>
      <w:r w:rsidR="00AD76EE" w:rsidRPr="0038442F">
        <w:rPr>
          <w:rFonts w:ascii="Verdana" w:hAnsi="Verdana"/>
          <w:bCs/>
          <w:sz w:val="20"/>
          <w:szCs w:val="20"/>
          <w:lang w:val="pt-BR"/>
        </w:rPr>
        <w:t>Corte I</w:t>
      </w:r>
      <w:r w:rsidR="001F6E4D" w:rsidRPr="0038442F">
        <w:rPr>
          <w:rFonts w:ascii="Verdana" w:hAnsi="Verdana"/>
          <w:bCs/>
          <w:sz w:val="20"/>
          <w:szCs w:val="20"/>
          <w:lang w:val="pt-BR"/>
        </w:rPr>
        <w:t>DH</w:t>
      </w:r>
      <w:r w:rsidR="00AD76EE" w:rsidRPr="0038442F">
        <w:rPr>
          <w:rFonts w:ascii="Verdana" w:hAnsi="Verdana"/>
          <w:bCs/>
          <w:sz w:val="20"/>
          <w:szCs w:val="20"/>
          <w:lang w:val="pt-BR"/>
        </w:rPr>
        <w:t xml:space="preserve"> </w:t>
      </w:r>
      <w:r w:rsidRPr="0038442F">
        <w:rPr>
          <w:rFonts w:ascii="Verdana" w:hAnsi="Verdana"/>
          <w:bCs/>
          <w:sz w:val="20"/>
          <w:szCs w:val="20"/>
          <w:lang w:val="pt-BR"/>
        </w:rPr>
        <w:t xml:space="preserve">já teve a </w:t>
      </w:r>
      <w:r w:rsidR="00CA30C5" w:rsidRPr="0038442F">
        <w:rPr>
          <w:rFonts w:ascii="Verdana" w:hAnsi="Verdana"/>
          <w:bCs/>
          <w:sz w:val="20"/>
          <w:szCs w:val="20"/>
          <w:lang w:val="pt-BR"/>
        </w:rPr>
        <w:t xml:space="preserve">oportunidade </w:t>
      </w:r>
      <w:r w:rsidR="00AD76EE" w:rsidRPr="0038442F">
        <w:rPr>
          <w:rFonts w:ascii="Verdana" w:hAnsi="Verdana"/>
          <w:bCs/>
          <w:sz w:val="20"/>
          <w:szCs w:val="20"/>
          <w:lang w:val="pt-BR"/>
        </w:rPr>
        <w:t xml:space="preserve">de </w:t>
      </w:r>
      <w:r w:rsidRPr="0038442F">
        <w:rPr>
          <w:rFonts w:ascii="Verdana" w:hAnsi="Verdana"/>
          <w:bCs/>
          <w:sz w:val="20"/>
          <w:szCs w:val="20"/>
          <w:lang w:val="pt-BR"/>
        </w:rPr>
        <w:t xml:space="preserve">se </w:t>
      </w:r>
      <w:r w:rsidR="00AD76EE" w:rsidRPr="0038442F">
        <w:rPr>
          <w:rFonts w:ascii="Verdana" w:hAnsi="Verdana"/>
          <w:bCs/>
          <w:sz w:val="20"/>
          <w:szCs w:val="20"/>
          <w:lang w:val="pt-BR"/>
        </w:rPr>
        <w:t>pronunciar concretamente sobre a fiscaliza</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o</w:t>
      </w:r>
      <w:r w:rsidRPr="0038442F">
        <w:rPr>
          <w:rFonts w:ascii="Verdana" w:hAnsi="Verdana"/>
          <w:bCs/>
          <w:sz w:val="20"/>
          <w:szCs w:val="20"/>
          <w:lang w:val="pt-BR"/>
        </w:rPr>
        <w:t>u</w:t>
      </w:r>
      <w:r w:rsidR="00AD76EE" w:rsidRPr="0038442F">
        <w:rPr>
          <w:rFonts w:ascii="Verdana" w:hAnsi="Verdana"/>
          <w:bCs/>
          <w:sz w:val="20"/>
          <w:szCs w:val="20"/>
          <w:lang w:val="pt-BR"/>
        </w:rPr>
        <w:t xml:space="preserve"> </w:t>
      </w:r>
      <w:r w:rsidR="00A97590" w:rsidRPr="0038442F">
        <w:rPr>
          <w:rFonts w:ascii="Verdana" w:hAnsi="Verdana"/>
          <w:bCs/>
          <w:sz w:val="20"/>
          <w:szCs w:val="20"/>
          <w:lang w:val="pt-BR"/>
        </w:rPr>
        <w:t>supervisão</w:t>
      </w:r>
      <w:r w:rsidR="00407242" w:rsidRPr="0038442F">
        <w:rPr>
          <w:rFonts w:ascii="Verdana" w:hAnsi="Verdana"/>
          <w:bCs/>
          <w:sz w:val="20"/>
          <w:szCs w:val="20"/>
          <w:lang w:val="pt-BR"/>
        </w:rPr>
        <w:t xml:space="preserve"> </w:t>
      </w:r>
      <w:r w:rsidR="00F92535" w:rsidRPr="0038442F">
        <w:rPr>
          <w:rFonts w:ascii="Verdana" w:hAnsi="Verdana"/>
          <w:bCs/>
          <w:sz w:val="20"/>
          <w:szCs w:val="20"/>
          <w:lang w:val="pt-BR"/>
        </w:rPr>
        <w:t>na</w:t>
      </w:r>
      <w:r w:rsidRPr="0038442F">
        <w:rPr>
          <w:rFonts w:ascii="Verdana" w:hAnsi="Verdana"/>
          <w:bCs/>
          <w:sz w:val="20"/>
          <w:szCs w:val="20"/>
          <w:lang w:val="pt-BR"/>
        </w:rPr>
        <w:t xml:space="preserve"> </w:t>
      </w:r>
      <w:r w:rsidR="00F92535" w:rsidRPr="0038442F">
        <w:rPr>
          <w:rFonts w:ascii="Verdana" w:hAnsi="Verdana"/>
          <w:bCs/>
          <w:sz w:val="20"/>
          <w:szCs w:val="20"/>
          <w:lang w:val="pt-BR"/>
        </w:rPr>
        <w:t xml:space="preserve">área </w:t>
      </w:r>
      <w:r w:rsidR="00C92762" w:rsidRPr="0038442F">
        <w:rPr>
          <w:rFonts w:ascii="Verdana" w:hAnsi="Verdana"/>
          <w:bCs/>
          <w:sz w:val="20"/>
          <w:szCs w:val="20"/>
          <w:lang w:val="pt-BR"/>
        </w:rPr>
        <w:t xml:space="preserve">da </w:t>
      </w:r>
      <w:r w:rsidR="00751189" w:rsidRPr="0038442F">
        <w:rPr>
          <w:rFonts w:ascii="Verdana" w:hAnsi="Verdana"/>
          <w:bCs/>
          <w:sz w:val="20"/>
          <w:szCs w:val="20"/>
          <w:lang w:val="pt-BR"/>
        </w:rPr>
        <w:t>saúde</w:t>
      </w:r>
      <w:r w:rsidRPr="0038442F">
        <w:rPr>
          <w:rFonts w:ascii="Verdana" w:hAnsi="Verdana"/>
          <w:bCs/>
          <w:sz w:val="20"/>
          <w:szCs w:val="20"/>
          <w:lang w:val="pt-BR"/>
        </w:rPr>
        <w:t>,</w:t>
      </w:r>
      <w:r w:rsidR="00AD76EE" w:rsidRPr="0038442F">
        <w:rPr>
          <w:rStyle w:val="Refdenotaalpie"/>
          <w:rFonts w:ascii="Verdana" w:hAnsi="Verdana"/>
          <w:bCs/>
          <w:sz w:val="20"/>
          <w:szCs w:val="20"/>
          <w:lang w:val="pt-BR"/>
        </w:rPr>
        <w:footnoteReference w:id="25"/>
      </w:r>
      <w:r w:rsidR="00AD76EE" w:rsidRPr="0038442F">
        <w:rPr>
          <w:rFonts w:ascii="Verdana" w:hAnsi="Verdana"/>
          <w:bCs/>
          <w:sz w:val="20"/>
          <w:szCs w:val="20"/>
          <w:lang w:val="pt-BR"/>
        </w:rPr>
        <w:t xml:space="preserve"> </w:t>
      </w:r>
      <w:r w:rsidRPr="0038442F">
        <w:rPr>
          <w:rFonts w:ascii="Verdana" w:hAnsi="Verdana"/>
          <w:bCs/>
          <w:sz w:val="20"/>
          <w:szCs w:val="20"/>
          <w:lang w:val="pt-BR"/>
        </w:rPr>
        <w:t xml:space="preserve">razão pela qual as mesmas </w:t>
      </w:r>
      <w:r w:rsidR="00984A83" w:rsidRPr="0038442F">
        <w:rPr>
          <w:rFonts w:ascii="Verdana" w:hAnsi="Verdana"/>
          <w:bCs/>
          <w:sz w:val="20"/>
          <w:szCs w:val="20"/>
          <w:lang w:val="pt-BR"/>
        </w:rPr>
        <w:t>obrigações</w:t>
      </w:r>
      <w:r w:rsidR="00AD76EE" w:rsidRPr="0038442F">
        <w:rPr>
          <w:rFonts w:ascii="Verdana" w:hAnsi="Verdana"/>
          <w:bCs/>
          <w:sz w:val="20"/>
          <w:szCs w:val="20"/>
          <w:lang w:val="pt-BR"/>
        </w:rPr>
        <w:t xml:space="preserve">, </w:t>
      </w:r>
      <w:r w:rsidR="00751189" w:rsidRPr="0038442F">
        <w:rPr>
          <w:rFonts w:ascii="Verdana" w:hAnsi="Verdana"/>
          <w:bCs/>
          <w:sz w:val="20"/>
          <w:szCs w:val="20"/>
          <w:lang w:val="pt-BR"/>
        </w:rPr>
        <w:t xml:space="preserve">no </w:t>
      </w:r>
      <w:r w:rsidRPr="0038442F">
        <w:rPr>
          <w:rFonts w:ascii="Verdana" w:hAnsi="Verdana"/>
          <w:bCs/>
          <w:sz w:val="20"/>
          <w:szCs w:val="20"/>
          <w:lang w:val="pt-BR"/>
        </w:rPr>
        <w:t>âmbito</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d</w:t>
      </w:r>
      <w:r w:rsidR="00F92535" w:rsidRPr="0038442F">
        <w:rPr>
          <w:rFonts w:ascii="Verdana" w:hAnsi="Verdana"/>
          <w:bCs/>
          <w:sz w:val="20"/>
          <w:szCs w:val="20"/>
          <w:lang w:val="pt-BR"/>
        </w:rPr>
        <w:t>as</w:t>
      </w:r>
      <w:r w:rsidR="00AD76EE" w:rsidRPr="0038442F">
        <w:rPr>
          <w:rFonts w:ascii="Verdana" w:hAnsi="Verdana"/>
          <w:bCs/>
          <w:sz w:val="20"/>
          <w:szCs w:val="20"/>
          <w:lang w:val="pt-BR"/>
        </w:rPr>
        <w:t xml:space="preserve"> empresas </w:t>
      </w:r>
      <w:r w:rsidRPr="0038442F">
        <w:rPr>
          <w:rFonts w:ascii="Verdana" w:hAnsi="Verdana"/>
          <w:bCs/>
          <w:sz w:val="20"/>
          <w:szCs w:val="20"/>
          <w:lang w:val="pt-BR"/>
        </w:rPr>
        <w:t>e</w:t>
      </w:r>
      <w:r w:rsidR="00AD76EE" w:rsidRPr="0038442F">
        <w:rPr>
          <w:rFonts w:ascii="Verdana" w:hAnsi="Verdana"/>
          <w:bCs/>
          <w:sz w:val="20"/>
          <w:szCs w:val="20"/>
          <w:lang w:val="pt-BR"/>
        </w:rPr>
        <w:t xml:space="preserve"> </w:t>
      </w:r>
      <w:r w:rsidR="00F92535" w:rsidRPr="0038442F">
        <w:rPr>
          <w:rFonts w:ascii="Verdana" w:hAnsi="Verdana"/>
          <w:bCs/>
          <w:sz w:val="20"/>
          <w:szCs w:val="20"/>
          <w:lang w:val="pt-BR"/>
        </w:rPr>
        <w:t>d</w:t>
      </w:r>
      <w:r w:rsidR="00AD76EE" w:rsidRPr="0038442F">
        <w:rPr>
          <w:rFonts w:ascii="Verdana" w:hAnsi="Verdana"/>
          <w:bCs/>
          <w:sz w:val="20"/>
          <w:szCs w:val="20"/>
          <w:lang w:val="pt-BR"/>
        </w:rPr>
        <w:t xml:space="preserve">a </w:t>
      </w:r>
      <w:r w:rsidRPr="0038442F">
        <w:rPr>
          <w:rFonts w:ascii="Verdana" w:hAnsi="Verdana"/>
          <w:bCs/>
          <w:sz w:val="20"/>
          <w:szCs w:val="20"/>
          <w:lang w:val="pt-BR"/>
        </w:rPr>
        <w:t xml:space="preserve">vigilância </w:t>
      </w:r>
      <w:r w:rsidR="00AD76EE" w:rsidRPr="0038442F">
        <w:rPr>
          <w:rFonts w:ascii="Verdana" w:hAnsi="Verdana"/>
          <w:bCs/>
          <w:sz w:val="20"/>
          <w:szCs w:val="20"/>
          <w:lang w:val="pt-BR"/>
        </w:rPr>
        <w:t xml:space="preserve">de </w:t>
      </w:r>
      <w:r w:rsidR="000A1AA8"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humanos</w:t>
      </w:r>
      <w:r w:rsidR="0039256C" w:rsidRPr="0038442F">
        <w:rPr>
          <w:rFonts w:ascii="Verdana" w:hAnsi="Verdana"/>
          <w:bCs/>
          <w:sz w:val="20"/>
          <w:szCs w:val="20"/>
          <w:lang w:val="pt-BR"/>
        </w:rPr>
        <w:t xml:space="preserve">, </w:t>
      </w:r>
      <w:r w:rsidRPr="0038442F">
        <w:rPr>
          <w:rFonts w:ascii="Verdana" w:hAnsi="Verdana"/>
          <w:bCs/>
          <w:sz w:val="20"/>
          <w:szCs w:val="20"/>
          <w:lang w:val="pt-BR"/>
        </w:rPr>
        <w:t>e, concretamente, no âmbito</w:t>
      </w:r>
      <w:r w:rsidR="00407242" w:rsidRPr="0038442F">
        <w:rPr>
          <w:rFonts w:ascii="Verdana" w:hAnsi="Verdana"/>
          <w:bCs/>
          <w:sz w:val="20"/>
          <w:szCs w:val="20"/>
          <w:lang w:val="pt-BR"/>
        </w:rPr>
        <w:t xml:space="preserve"> </w:t>
      </w:r>
      <w:r w:rsidR="0039256C" w:rsidRPr="0038442F">
        <w:rPr>
          <w:rFonts w:ascii="Verdana" w:hAnsi="Verdana"/>
          <w:bCs/>
          <w:sz w:val="20"/>
          <w:szCs w:val="20"/>
          <w:lang w:val="pt-BR"/>
        </w:rPr>
        <w:t>laboral</w:t>
      </w:r>
      <w:r w:rsidR="0001311B" w:rsidRPr="0038442F">
        <w:rPr>
          <w:rFonts w:ascii="Verdana" w:hAnsi="Verdana"/>
          <w:bCs/>
          <w:sz w:val="20"/>
          <w:szCs w:val="20"/>
          <w:lang w:val="pt-BR"/>
        </w:rPr>
        <w:t xml:space="preserve">, </w:t>
      </w:r>
      <w:r w:rsidRPr="0038442F">
        <w:rPr>
          <w:rFonts w:ascii="Verdana" w:hAnsi="Verdana"/>
          <w:bCs/>
          <w:sz w:val="20"/>
          <w:szCs w:val="20"/>
          <w:lang w:val="pt-BR"/>
        </w:rPr>
        <w:t xml:space="preserve">desempenham </w:t>
      </w:r>
      <w:r w:rsidR="00AD76EE" w:rsidRPr="0038442F">
        <w:rPr>
          <w:rFonts w:ascii="Verdana" w:hAnsi="Verdana"/>
          <w:bCs/>
          <w:sz w:val="20"/>
          <w:szCs w:val="20"/>
          <w:lang w:val="pt-BR"/>
        </w:rPr>
        <w:t>papel fundamental</w:t>
      </w:r>
      <w:r w:rsidR="0039256C" w:rsidRPr="0038442F">
        <w:rPr>
          <w:rFonts w:ascii="Verdana" w:hAnsi="Verdana"/>
          <w:bCs/>
          <w:sz w:val="20"/>
          <w:szCs w:val="20"/>
          <w:lang w:val="pt-BR"/>
        </w:rPr>
        <w:t xml:space="preserve">. </w:t>
      </w:r>
    </w:p>
    <w:p w14:paraId="01DB4842" w14:textId="77777777" w:rsidR="00AD76EE" w:rsidRPr="0038442F" w:rsidRDefault="00AD76EE" w:rsidP="00A857CB">
      <w:pPr>
        <w:pStyle w:val="Prrafodelista"/>
        <w:spacing w:line="240" w:lineRule="auto"/>
        <w:jc w:val="both"/>
        <w:rPr>
          <w:rFonts w:ascii="Verdana" w:hAnsi="Verdana"/>
          <w:bCs/>
          <w:sz w:val="20"/>
          <w:szCs w:val="20"/>
          <w:lang w:val="pt-BR"/>
        </w:rPr>
      </w:pPr>
    </w:p>
    <w:p w14:paraId="546FB0D7" w14:textId="368F8BE2" w:rsidR="0001311B" w:rsidRPr="0038442F" w:rsidRDefault="00246A73"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A</w:t>
      </w:r>
      <w:r w:rsidR="00AD76EE" w:rsidRPr="0038442F">
        <w:rPr>
          <w:rFonts w:ascii="Verdana" w:hAnsi="Verdana"/>
          <w:bCs/>
          <w:sz w:val="20"/>
          <w:szCs w:val="20"/>
          <w:lang w:val="pt-BR"/>
        </w:rPr>
        <w:t xml:space="preserve"> </w:t>
      </w:r>
      <w:r w:rsidR="0023007F" w:rsidRPr="0038442F">
        <w:rPr>
          <w:rFonts w:ascii="Verdana" w:hAnsi="Verdana"/>
          <w:bCs/>
          <w:sz w:val="20"/>
          <w:szCs w:val="20"/>
          <w:lang w:val="pt-BR"/>
        </w:rPr>
        <w:t xml:space="preserve">Comissão </w:t>
      </w:r>
      <w:r w:rsidR="00AD76EE" w:rsidRPr="0038442F">
        <w:rPr>
          <w:rFonts w:ascii="Verdana" w:hAnsi="Verdana"/>
          <w:bCs/>
          <w:sz w:val="20"/>
          <w:szCs w:val="20"/>
          <w:lang w:val="pt-BR"/>
        </w:rPr>
        <w:t xml:space="preserve">Interamericana </w:t>
      </w:r>
      <w:r w:rsidR="00590BE2" w:rsidRPr="0038442F">
        <w:rPr>
          <w:rFonts w:ascii="Verdana" w:hAnsi="Verdana"/>
          <w:bCs/>
          <w:sz w:val="20"/>
          <w:szCs w:val="20"/>
          <w:lang w:val="pt-BR"/>
        </w:rPr>
        <w:t>determinou</w:t>
      </w:r>
      <w:r w:rsidRPr="0038442F">
        <w:rPr>
          <w:rFonts w:ascii="Verdana" w:hAnsi="Verdana"/>
          <w:bCs/>
          <w:sz w:val="20"/>
          <w:szCs w:val="20"/>
          <w:lang w:val="pt-BR"/>
        </w:rPr>
        <w:t xml:space="preserve"> a importância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A97590" w:rsidRPr="0038442F">
        <w:rPr>
          <w:rFonts w:ascii="Verdana" w:hAnsi="Verdana"/>
          <w:bCs/>
          <w:sz w:val="20"/>
          <w:szCs w:val="20"/>
          <w:lang w:val="pt-BR"/>
        </w:rPr>
        <w:t>supervisão</w:t>
      </w:r>
      <w:r w:rsidR="00AD76EE" w:rsidRPr="0038442F">
        <w:rPr>
          <w:rFonts w:ascii="Verdana" w:hAnsi="Verdana"/>
          <w:bCs/>
          <w:sz w:val="20"/>
          <w:szCs w:val="20"/>
          <w:lang w:val="pt-BR"/>
        </w:rPr>
        <w:t>, fiscaliza</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o</w:t>
      </w:r>
      <w:r w:rsidRPr="0038442F">
        <w:rPr>
          <w:rFonts w:ascii="Verdana" w:hAnsi="Verdana"/>
          <w:bCs/>
          <w:sz w:val="20"/>
          <w:szCs w:val="20"/>
          <w:lang w:val="pt-BR"/>
        </w:rPr>
        <w:t>u</w:t>
      </w:r>
      <w:r w:rsidR="00AD76EE" w:rsidRPr="0038442F">
        <w:rPr>
          <w:rFonts w:ascii="Verdana" w:hAnsi="Verdana"/>
          <w:bCs/>
          <w:sz w:val="20"/>
          <w:szCs w:val="20"/>
          <w:lang w:val="pt-BR"/>
        </w:rPr>
        <w:t xml:space="preserve"> inspe</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w:t>
      </w:r>
      <w:r w:rsidRPr="0038442F">
        <w:rPr>
          <w:rFonts w:ascii="Verdana" w:hAnsi="Verdana"/>
          <w:bCs/>
          <w:sz w:val="20"/>
          <w:szCs w:val="20"/>
          <w:lang w:val="pt-BR"/>
        </w:rPr>
        <w:t xml:space="preserve">na área trabalhista </w:t>
      </w:r>
      <w:r w:rsidR="00AD76EE" w:rsidRPr="0038442F">
        <w:rPr>
          <w:rFonts w:ascii="Verdana" w:hAnsi="Verdana"/>
          <w:bCs/>
          <w:sz w:val="20"/>
          <w:szCs w:val="20"/>
          <w:lang w:val="pt-BR"/>
        </w:rPr>
        <w:t>entre particulares</w:t>
      </w:r>
      <w:r w:rsidR="005F647D" w:rsidRPr="0038442F">
        <w:rPr>
          <w:rFonts w:ascii="Verdana" w:hAnsi="Verdana"/>
          <w:bCs/>
          <w:sz w:val="20"/>
          <w:szCs w:val="20"/>
          <w:lang w:val="pt-BR"/>
        </w:rPr>
        <w:t>,</w:t>
      </w:r>
      <w:r w:rsidR="00AD76EE" w:rsidRPr="0038442F">
        <w:rPr>
          <w:rFonts w:ascii="Verdana" w:hAnsi="Verdana"/>
          <w:bCs/>
          <w:sz w:val="20"/>
          <w:szCs w:val="20"/>
          <w:lang w:val="pt-BR"/>
        </w:rPr>
        <w:t xml:space="preserve"> e</w:t>
      </w:r>
      <w:r w:rsidRPr="0038442F">
        <w:rPr>
          <w:rFonts w:ascii="Verdana" w:hAnsi="Verdana"/>
          <w:bCs/>
          <w:sz w:val="20"/>
          <w:szCs w:val="20"/>
          <w:lang w:val="pt-BR"/>
        </w:rPr>
        <w:t>m</w:t>
      </w:r>
      <w:r w:rsidR="00AD76EE" w:rsidRPr="0038442F">
        <w:rPr>
          <w:rFonts w:ascii="Verdana" w:hAnsi="Verdana"/>
          <w:bCs/>
          <w:sz w:val="20"/>
          <w:szCs w:val="20"/>
          <w:lang w:val="pt-BR"/>
        </w:rPr>
        <w:t xml:space="preserve"> especial para controlar </w:t>
      </w:r>
      <w:r w:rsidRPr="0038442F">
        <w:rPr>
          <w:rFonts w:ascii="Verdana" w:hAnsi="Verdana"/>
          <w:bCs/>
          <w:sz w:val="20"/>
          <w:szCs w:val="20"/>
          <w:lang w:val="pt-BR"/>
        </w:rPr>
        <w:t>e</w:t>
      </w:r>
      <w:r w:rsidR="00AD76EE" w:rsidRPr="0038442F">
        <w:rPr>
          <w:rFonts w:ascii="Verdana" w:hAnsi="Verdana"/>
          <w:bCs/>
          <w:sz w:val="20"/>
          <w:szCs w:val="20"/>
          <w:lang w:val="pt-BR"/>
        </w:rPr>
        <w:t xml:space="preserve"> </w:t>
      </w:r>
      <w:r w:rsidR="00590BE2" w:rsidRPr="0038442F">
        <w:rPr>
          <w:rFonts w:ascii="Verdana" w:hAnsi="Verdana"/>
          <w:bCs/>
          <w:sz w:val="20"/>
          <w:szCs w:val="20"/>
          <w:lang w:val="pt-BR"/>
        </w:rPr>
        <w:t>supervisionar</w:t>
      </w:r>
      <w:r w:rsidR="00AD76EE" w:rsidRPr="0038442F">
        <w:rPr>
          <w:rFonts w:ascii="Verdana" w:hAnsi="Verdana"/>
          <w:bCs/>
          <w:sz w:val="20"/>
          <w:szCs w:val="20"/>
          <w:lang w:val="pt-BR"/>
        </w:rPr>
        <w:t xml:space="preserve"> </w:t>
      </w:r>
      <w:r w:rsidR="00590BE2" w:rsidRPr="0038442F">
        <w:rPr>
          <w:rFonts w:ascii="Verdana" w:hAnsi="Verdana"/>
          <w:bCs/>
          <w:sz w:val="20"/>
          <w:szCs w:val="20"/>
          <w:lang w:val="pt-BR"/>
        </w:rPr>
        <w:t xml:space="preserve">os </w:t>
      </w:r>
      <w:r w:rsidR="00AD76EE" w:rsidRPr="0038442F">
        <w:rPr>
          <w:rFonts w:ascii="Verdana" w:hAnsi="Verdana"/>
          <w:bCs/>
          <w:sz w:val="20"/>
          <w:szCs w:val="20"/>
          <w:lang w:val="pt-BR"/>
        </w:rPr>
        <w:t>hor</w:t>
      </w:r>
      <w:r w:rsidRPr="0038442F">
        <w:rPr>
          <w:rFonts w:ascii="Verdana" w:hAnsi="Verdana"/>
          <w:bCs/>
          <w:sz w:val="20"/>
          <w:szCs w:val="20"/>
          <w:lang w:val="pt-BR"/>
        </w:rPr>
        <w:t>á</w:t>
      </w:r>
      <w:r w:rsidR="00AD76EE" w:rsidRPr="0038442F">
        <w:rPr>
          <w:rFonts w:ascii="Verdana" w:hAnsi="Verdana"/>
          <w:bCs/>
          <w:sz w:val="20"/>
          <w:szCs w:val="20"/>
          <w:lang w:val="pt-BR"/>
        </w:rPr>
        <w:t xml:space="preserve">rios </w:t>
      </w:r>
      <w:r w:rsidR="00C92762" w:rsidRPr="0038442F">
        <w:rPr>
          <w:rFonts w:ascii="Verdana" w:hAnsi="Verdana"/>
          <w:bCs/>
          <w:sz w:val="20"/>
          <w:szCs w:val="20"/>
          <w:lang w:val="pt-BR"/>
        </w:rPr>
        <w:t xml:space="preserve">das </w:t>
      </w:r>
      <w:r w:rsidR="00AD76EE" w:rsidRPr="0038442F">
        <w:rPr>
          <w:rFonts w:ascii="Verdana" w:hAnsi="Verdana"/>
          <w:bCs/>
          <w:sz w:val="20"/>
          <w:szCs w:val="20"/>
          <w:lang w:val="pt-BR"/>
        </w:rPr>
        <w:t xml:space="preserve">jornadas </w:t>
      </w:r>
      <w:r w:rsidRPr="0038442F">
        <w:rPr>
          <w:rFonts w:ascii="Verdana" w:hAnsi="Verdana"/>
          <w:bCs/>
          <w:sz w:val="20"/>
          <w:szCs w:val="20"/>
          <w:lang w:val="pt-BR"/>
        </w:rPr>
        <w:t>de trabalho,</w:t>
      </w:r>
      <w:r w:rsidR="00AD76EE" w:rsidRPr="0038442F">
        <w:rPr>
          <w:rStyle w:val="Refdenotaalpie"/>
          <w:rFonts w:ascii="Verdana" w:hAnsi="Verdana"/>
          <w:bCs/>
          <w:sz w:val="20"/>
          <w:szCs w:val="20"/>
          <w:lang w:val="pt-BR"/>
        </w:rPr>
        <w:footnoteReference w:id="26"/>
      </w:r>
      <w:r w:rsidR="00AD76EE" w:rsidRPr="0038442F">
        <w:rPr>
          <w:rFonts w:ascii="Verdana" w:hAnsi="Verdana"/>
          <w:bCs/>
          <w:sz w:val="20"/>
          <w:szCs w:val="20"/>
          <w:lang w:val="pt-BR"/>
        </w:rPr>
        <w:t xml:space="preserve"> </w:t>
      </w:r>
      <w:r w:rsidR="00590BE2" w:rsidRPr="0038442F">
        <w:rPr>
          <w:rFonts w:ascii="Verdana" w:hAnsi="Verdana"/>
          <w:bCs/>
          <w:sz w:val="20"/>
          <w:szCs w:val="20"/>
          <w:lang w:val="pt-BR"/>
        </w:rPr>
        <w:t xml:space="preserve">as </w:t>
      </w:r>
      <w:r w:rsidR="00AD76EE" w:rsidRPr="0038442F">
        <w:rPr>
          <w:rFonts w:ascii="Verdana" w:hAnsi="Verdana"/>
          <w:bCs/>
          <w:sz w:val="20"/>
          <w:szCs w:val="20"/>
          <w:lang w:val="pt-BR"/>
        </w:rPr>
        <w:t>condi</w:t>
      </w:r>
      <w:r w:rsidR="000A1AA8" w:rsidRPr="0038442F">
        <w:rPr>
          <w:rFonts w:ascii="Verdana" w:hAnsi="Verdana"/>
          <w:bCs/>
          <w:sz w:val="20"/>
          <w:szCs w:val="20"/>
          <w:lang w:val="pt-BR"/>
        </w:rPr>
        <w:t>ções</w:t>
      </w:r>
      <w:r w:rsidR="00AD76EE" w:rsidRPr="0038442F">
        <w:rPr>
          <w:rFonts w:ascii="Verdana" w:hAnsi="Verdana"/>
          <w:bCs/>
          <w:sz w:val="20"/>
          <w:szCs w:val="20"/>
          <w:lang w:val="pt-BR"/>
        </w:rPr>
        <w:t xml:space="preserve"> de </w:t>
      </w:r>
      <w:r w:rsidR="00C92762" w:rsidRPr="0038442F">
        <w:rPr>
          <w:rFonts w:ascii="Verdana" w:hAnsi="Verdana"/>
          <w:bCs/>
          <w:sz w:val="20"/>
          <w:szCs w:val="20"/>
          <w:lang w:val="pt-BR"/>
        </w:rPr>
        <w:t xml:space="preserve">trabalho </w:t>
      </w:r>
      <w:r w:rsidR="00AD76EE" w:rsidRPr="0038442F">
        <w:rPr>
          <w:rFonts w:ascii="Verdana" w:hAnsi="Verdana"/>
          <w:bCs/>
          <w:sz w:val="20"/>
          <w:szCs w:val="20"/>
          <w:lang w:val="pt-BR"/>
        </w:rPr>
        <w:t xml:space="preserve">que </w:t>
      </w:r>
      <w:r w:rsidRPr="0038442F">
        <w:rPr>
          <w:rFonts w:ascii="Verdana" w:hAnsi="Verdana"/>
          <w:bCs/>
          <w:sz w:val="20"/>
          <w:szCs w:val="20"/>
          <w:lang w:val="pt-BR"/>
        </w:rPr>
        <w:t xml:space="preserve">poderiam ter alguma repercussão </w:t>
      </w:r>
      <w:r w:rsidR="00AD76EE" w:rsidRPr="0038442F">
        <w:rPr>
          <w:rFonts w:ascii="Verdana" w:hAnsi="Verdana"/>
          <w:bCs/>
          <w:sz w:val="20"/>
          <w:szCs w:val="20"/>
          <w:lang w:val="pt-BR"/>
        </w:rPr>
        <w:t xml:space="preserve">sobre a vida, </w:t>
      </w:r>
      <w:r w:rsidRPr="0038442F">
        <w:rPr>
          <w:rFonts w:ascii="Verdana" w:hAnsi="Verdana"/>
          <w:bCs/>
          <w:sz w:val="20"/>
          <w:szCs w:val="20"/>
          <w:lang w:val="pt-BR"/>
        </w:rPr>
        <w:t xml:space="preserve">a </w:t>
      </w:r>
      <w:r w:rsidR="008806F8" w:rsidRPr="0038442F">
        <w:rPr>
          <w:rFonts w:ascii="Verdana" w:hAnsi="Verdana"/>
          <w:bCs/>
          <w:sz w:val="20"/>
          <w:szCs w:val="20"/>
          <w:lang w:val="pt-BR"/>
        </w:rPr>
        <w:t>integridade</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o</w:t>
      </w:r>
      <w:r w:rsidRPr="0038442F">
        <w:rPr>
          <w:rFonts w:ascii="Verdana" w:hAnsi="Verdana"/>
          <w:bCs/>
          <w:sz w:val="20"/>
          <w:szCs w:val="20"/>
          <w:lang w:val="pt-BR"/>
        </w:rPr>
        <w:t>u</w:t>
      </w:r>
      <w:r w:rsidR="00AD76EE" w:rsidRPr="0038442F">
        <w:rPr>
          <w:rFonts w:ascii="Verdana" w:hAnsi="Verdana"/>
          <w:bCs/>
          <w:sz w:val="20"/>
          <w:szCs w:val="20"/>
          <w:lang w:val="pt-BR"/>
        </w:rPr>
        <w:t xml:space="preserve"> </w:t>
      </w:r>
      <w:r w:rsidR="008806F8" w:rsidRPr="0038442F">
        <w:rPr>
          <w:rFonts w:ascii="Verdana" w:hAnsi="Verdana"/>
          <w:bCs/>
          <w:sz w:val="20"/>
          <w:szCs w:val="20"/>
          <w:lang w:val="pt-BR"/>
        </w:rPr>
        <w:t xml:space="preserve">a saúde </w:t>
      </w:r>
      <w:r w:rsidR="00C92762" w:rsidRPr="0038442F">
        <w:rPr>
          <w:rFonts w:ascii="Verdana" w:hAnsi="Verdana"/>
          <w:bCs/>
          <w:sz w:val="20"/>
          <w:szCs w:val="20"/>
          <w:lang w:val="pt-BR"/>
        </w:rPr>
        <w:t xml:space="preserve">dos </w:t>
      </w:r>
      <w:r w:rsidRPr="0038442F">
        <w:rPr>
          <w:rFonts w:ascii="Verdana" w:hAnsi="Verdana"/>
          <w:bCs/>
          <w:sz w:val="20"/>
          <w:szCs w:val="20"/>
          <w:lang w:val="pt-BR"/>
        </w:rPr>
        <w:t>trabalhadores,</w:t>
      </w:r>
      <w:r w:rsidR="00AD76EE" w:rsidRPr="0038442F">
        <w:rPr>
          <w:rStyle w:val="Refdenotaalpie"/>
          <w:rFonts w:ascii="Verdana" w:hAnsi="Verdana"/>
          <w:bCs/>
          <w:sz w:val="20"/>
          <w:szCs w:val="20"/>
          <w:lang w:val="pt-BR"/>
        </w:rPr>
        <w:footnoteReference w:id="27"/>
      </w:r>
      <w:r w:rsidR="00AD76EE" w:rsidRPr="0038442F">
        <w:rPr>
          <w:rFonts w:ascii="Verdana" w:hAnsi="Verdana"/>
          <w:bCs/>
          <w:sz w:val="20"/>
          <w:szCs w:val="20"/>
          <w:lang w:val="pt-BR"/>
        </w:rPr>
        <w:t xml:space="preserve"> a falta de </w:t>
      </w:r>
      <w:r w:rsidR="008806F8" w:rsidRPr="0038442F">
        <w:rPr>
          <w:rFonts w:ascii="Verdana" w:hAnsi="Verdana"/>
          <w:bCs/>
          <w:sz w:val="20"/>
          <w:szCs w:val="20"/>
          <w:lang w:val="pt-BR"/>
        </w:rPr>
        <w:t>segurança</w:t>
      </w:r>
      <w:r w:rsidR="00407242" w:rsidRPr="0038442F">
        <w:rPr>
          <w:rFonts w:ascii="Verdana" w:hAnsi="Verdana"/>
          <w:bCs/>
          <w:sz w:val="20"/>
          <w:szCs w:val="20"/>
          <w:lang w:val="pt-BR"/>
        </w:rPr>
        <w:t xml:space="preserve"> </w:t>
      </w:r>
      <w:r w:rsidR="00CA30C5" w:rsidRPr="0038442F">
        <w:rPr>
          <w:rFonts w:ascii="Verdana" w:hAnsi="Verdana"/>
          <w:bCs/>
          <w:sz w:val="20"/>
          <w:szCs w:val="20"/>
          <w:lang w:val="pt-BR"/>
        </w:rPr>
        <w:t xml:space="preserve">nas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AD76EE" w:rsidRPr="0038442F">
        <w:rPr>
          <w:rFonts w:ascii="Verdana" w:hAnsi="Verdana"/>
          <w:bCs/>
          <w:sz w:val="20"/>
          <w:szCs w:val="20"/>
          <w:lang w:val="pt-BR"/>
        </w:rPr>
        <w:t xml:space="preserve">que os </w:t>
      </w:r>
      <w:r w:rsidRPr="0038442F">
        <w:rPr>
          <w:rFonts w:ascii="Verdana" w:hAnsi="Verdana"/>
          <w:bCs/>
          <w:sz w:val="20"/>
          <w:szCs w:val="20"/>
          <w:lang w:val="pt-BR"/>
        </w:rPr>
        <w:t xml:space="preserve">trabalhadores </w:t>
      </w:r>
      <w:r w:rsidR="006378F9" w:rsidRPr="0038442F">
        <w:rPr>
          <w:rFonts w:ascii="Verdana" w:hAnsi="Verdana"/>
          <w:bCs/>
          <w:sz w:val="20"/>
          <w:szCs w:val="20"/>
          <w:lang w:val="pt-BR"/>
        </w:rPr>
        <w:t>executam</w:t>
      </w:r>
      <w:r w:rsidR="00AD76EE" w:rsidRPr="0038442F">
        <w:rPr>
          <w:rStyle w:val="Refdenotaalpie"/>
          <w:rFonts w:ascii="Verdana" w:hAnsi="Verdana"/>
          <w:bCs/>
          <w:sz w:val="20"/>
          <w:szCs w:val="20"/>
          <w:lang w:val="pt-BR"/>
        </w:rPr>
        <w:footnoteReference w:id="28"/>
      </w:r>
      <w:r w:rsidR="00AD76EE" w:rsidRPr="0038442F">
        <w:rPr>
          <w:rFonts w:ascii="Verdana" w:hAnsi="Verdana"/>
          <w:bCs/>
          <w:sz w:val="20"/>
          <w:szCs w:val="20"/>
          <w:lang w:val="pt-BR"/>
        </w:rPr>
        <w:t xml:space="preserve"> o</w:t>
      </w:r>
      <w:r w:rsidR="006378F9" w:rsidRPr="0038442F">
        <w:rPr>
          <w:rFonts w:ascii="Verdana" w:hAnsi="Verdana"/>
          <w:bCs/>
          <w:sz w:val="20"/>
          <w:szCs w:val="20"/>
          <w:lang w:val="pt-BR"/>
        </w:rPr>
        <w:t>u</w:t>
      </w:r>
      <w:r w:rsidR="00AD76EE" w:rsidRPr="0038442F">
        <w:rPr>
          <w:rFonts w:ascii="Verdana" w:hAnsi="Verdana"/>
          <w:bCs/>
          <w:sz w:val="20"/>
          <w:szCs w:val="20"/>
          <w:lang w:val="pt-BR"/>
        </w:rPr>
        <w:t xml:space="preserve"> a exp</w:t>
      </w:r>
      <w:r w:rsidR="006378F9" w:rsidRPr="0038442F">
        <w:rPr>
          <w:rFonts w:ascii="Verdana" w:hAnsi="Verdana"/>
          <w:bCs/>
          <w:sz w:val="20"/>
          <w:szCs w:val="20"/>
          <w:lang w:val="pt-BR"/>
        </w:rPr>
        <w:t>l</w:t>
      </w:r>
      <w:r w:rsidR="00AD76EE" w:rsidRPr="0038442F">
        <w:rPr>
          <w:rFonts w:ascii="Verdana" w:hAnsi="Verdana"/>
          <w:bCs/>
          <w:sz w:val="20"/>
          <w:szCs w:val="20"/>
          <w:lang w:val="pt-BR"/>
        </w:rPr>
        <w:t>o</w:t>
      </w:r>
      <w:r w:rsidR="006378F9" w:rsidRPr="0038442F">
        <w:rPr>
          <w:rFonts w:ascii="Verdana" w:hAnsi="Verdana"/>
          <w:bCs/>
          <w:sz w:val="20"/>
          <w:szCs w:val="20"/>
          <w:lang w:val="pt-BR"/>
        </w:rPr>
        <w:t>r</w:t>
      </w:r>
      <w:r w:rsidR="00AD76EE" w:rsidRPr="0038442F">
        <w:rPr>
          <w:rFonts w:ascii="Verdana" w:hAnsi="Verdana"/>
          <w:bCs/>
          <w:sz w:val="20"/>
          <w:szCs w:val="20"/>
          <w:lang w:val="pt-BR"/>
        </w:rPr>
        <w:t>a</w:t>
      </w:r>
      <w:r w:rsidR="000A1AA8" w:rsidRPr="0038442F">
        <w:rPr>
          <w:rFonts w:ascii="Verdana" w:hAnsi="Verdana"/>
          <w:bCs/>
          <w:sz w:val="20"/>
          <w:szCs w:val="20"/>
          <w:lang w:val="pt-BR"/>
        </w:rPr>
        <w:t>ção</w:t>
      </w:r>
      <w:r w:rsidR="00AD76EE" w:rsidRPr="0038442F">
        <w:rPr>
          <w:rFonts w:ascii="Verdana" w:hAnsi="Verdana"/>
          <w:bCs/>
          <w:sz w:val="20"/>
          <w:szCs w:val="20"/>
          <w:lang w:val="pt-BR"/>
        </w:rPr>
        <w:t xml:space="preserve"> </w:t>
      </w:r>
      <w:r w:rsidR="006378F9" w:rsidRPr="0038442F">
        <w:rPr>
          <w:rFonts w:ascii="Verdana" w:hAnsi="Verdana"/>
          <w:bCs/>
          <w:sz w:val="20"/>
          <w:szCs w:val="20"/>
          <w:lang w:val="pt-BR"/>
        </w:rPr>
        <w:t>de seu trabalho.</w:t>
      </w:r>
      <w:r w:rsidR="00AD76EE" w:rsidRPr="0038442F">
        <w:rPr>
          <w:rStyle w:val="Refdenotaalpie"/>
          <w:rFonts w:ascii="Verdana" w:hAnsi="Verdana"/>
          <w:bCs/>
          <w:sz w:val="20"/>
          <w:szCs w:val="20"/>
          <w:lang w:val="pt-BR"/>
        </w:rPr>
        <w:footnoteReference w:id="29"/>
      </w:r>
      <w:r w:rsidR="00AD76EE" w:rsidRPr="0038442F">
        <w:rPr>
          <w:rFonts w:ascii="Verdana" w:hAnsi="Verdana"/>
          <w:bCs/>
          <w:sz w:val="20"/>
          <w:szCs w:val="20"/>
          <w:lang w:val="pt-BR"/>
        </w:rPr>
        <w:t xml:space="preserve"> </w:t>
      </w:r>
    </w:p>
    <w:p w14:paraId="5BE01008" w14:textId="77777777" w:rsidR="0001311B" w:rsidRPr="0038442F" w:rsidRDefault="0001311B" w:rsidP="00A857CB">
      <w:pPr>
        <w:pStyle w:val="Prrafodelista"/>
        <w:spacing w:line="240" w:lineRule="auto"/>
        <w:rPr>
          <w:rFonts w:ascii="Verdana" w:hAnsi="Verdana"/>
          <w:bCs/>
          <w:sz w:val="20"/>
          <w:szCs w:val="20"/>
          <w:lang w:val="pt-BR"/>
        </w:rPr>
      </w:pPr>
    </w:p>
    <w:p w14:paraId="3DD3F147" w14:textId="490C3D5C" w:rsidR="0039256C" w:rsidRPr="0038442F" w:rsidRDefault="00AD76EE"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Por su</w:t>
      </w:r>
      <w:r w:rsidR="006378F9" w:rsidRPr="0038442F">
        <w:rPr>
          <w:rFonts w:ascii="Verdana" w:hAnsi="Verdana"/>
          <w:bCs/>
          <w:sz w:val="20"/>
          <w:szCs w:val="20"/>
          <w:lang w:val="pt-BR"/>
        </w:rPr>
        <w:t>a</w:t>
      </w:r>
      <w:r w:rsidRPr="0038442F">
        <w:rPr>
          <w:rFonts w:ascii="Verdana" w:hAnsi="Verdana"/>
          <w:bCs/>
          <w:sz w:val="20"/>
          <w:szCs w:val="20"/>
          <w:lang w:val="pt-BR"/>
        </w:rPr>
        <w:t xml:space="preserve"> </w:t>
      </w:r>
      <w:r w:rsidR="006378F9" w:rsidRPr="0038442F">
        <w:rPr>
          <w:rFonts w:ascii="Verdana" w:hAnsi="Verdana"/>
          <w:bCs/>
          <w:sz w:val="20"/>
          <w:szCs w:val="20"/>
          <w:lang w:val="pt-BR"/>
        </w:rPr>
        <w:t>vez</w:t>
      </w:r>
      <w:r w:rsidRPr="0038442F">
        <w:rPr>
          <w:rFonts w:ascii="Verdana" w:hAnsi="Verdana"/>
          <w:bCs/>
          <w:sz w:val="20"/>
          <w:szCs w:val="20"/>
          <w:lang w:val="pt-BR"/>
        </w:rPr>
        <w:t xml:space="preserve">, </w:t>
      </w:r>
      <w:r w:rsidR="006378F9" w:rsidRPr="0038442F">
        <w:rPr>
          <w:rFonts w:ascii="Verdana" w:hAnsi="Verdana"/>
          <w:bCs/>
          <w:sz w:val="20"/>
          <w:szCs w:val="20"/>
          <w:lang w:val="pt-BR"/>
        </w:rPr>
        <w:t xml:space="preserve">embora a </w:t>
      </w:r>
      <w:r w:rsidRPr="0038442F">
        <w:rPr>
          <w:rFonts w:ascii="Verdana" w:hAnsi="Verdana"/>
          <w:bCs/>
          <w:sz w:val="20"/>
          <w:szCs w:val="20"/>
          <w:lang w:val="pt-BR"/>
        </w:rPr>
        <w:t>Corte IDH n</w:t>
      </w:r>
      <w:r w:rsidR="006378F9" w:rsidRPr="0038442F">
        <w:rPr>
          <w:rFonts w:ascii="Verdana" w:hAnsi="Verdana"/>
          <w:bCs/>
          <w:sz w:val="20"/>
          <w:szCs w:val="20"/>
          <w:lang w:val="pt-BR"/>
        </w:rPr>
        <w:t>ã</w:t>
      </w:r>
      <w:r w:rsidRPr="0038442F">
        <w:rPr>
          <w:rFonts w:ascii="Verdana" w:hAnsi="Verdana"/>
          <w:bCs/>
          <w:sz w:val="20"/>
          <w:szCs w:val="20"/>
          <w:lang w:val="pt-BR"/>
        </w:rPr>
        <w:t xml:space="preserve">o </w:t>
      </w:r>
      <w:r w:rsidR="006378F9" w:rsidRPr="0038442F">
        <w:rPr>
          <w:rFonts w:ascii="Verdana" w:hAnsi="Verdana"/>
          <w:bCs/>
          <w:sz w:val="20"/>
          <w:szCs w:val="20"/>
          <w:lang w:val="pt-BR"/>
        </w:rPr>
        <w:t xml:space="preserve">tivesse </w:t>
      </w:r>
      <w:r w:rsidRPr="0038442F">
        <w:rPr>
          <w:rFonts w:ascii="Verdana" w:hAnsi="Verdana"/>
          <w:bCs/>
          <w:sz w:val="20"/>
          <w:szCs w:val="20"/>
          <w:lang w:val="pt-BR"/>
        </w:rPr>
        <w:t>abordado prop</w:t>
      </w:r>
      <w:r w:rsidR="006378F9" w:rsidRPr="0038442F">
        <w:rPr>
          <w:rFonts w:ascii="Verdana" w:hAnsi="Verdana"/>
          <w:bCs/>
          <w:sz w:val="20"/>
          <w:szCs w:val="20"/>
          <w:lang w:val="pt-BR"/>
        </w:rPr>
        <w:t>r</w:t>
      </w:r>
      <w:r w:rsidRPr="0038442F">
        <w:rPr>
          <w:rFonts w:ascii="Verdana" w:hAnsi="Verdana"/>
          <w:bCs/>
          <w:sz w:val="20"/>
          <w:szCs w:val="20"/>
          <w:lang w:val="pt-BR"/>
        </w:rPr>
        <w:t>iamente a inspe</w:t>
      </w:r>
      <w:r w:rsidR="000A1AA8" w:rsidRPr="0038442F">
        <w:rPr>
          <w:rFonts w:ascii="Verdana" w:hAnsi="Verdana"/>
          <w:bCs/>
          <w:sz w:val="20"/>
          <w:szCs w:val="20"/>
          <w:lang w:val="pt-BR"/>
        </w:rPr>
        <w:t>ção</w:t>
      </w:r>
      <w:r w:rsidRPr="0038442F">
        <w:rPr>
          <w:rFonts w:ascii="Verdana" w:hAnsi="Verdana"/>
          <w:bCs/>
          <w:sz w:val="20"/>
          <w:szCs w:val="20"/>
          <w:lang w:val="pt-BR"/>
        </w:rPr>
        <w:t xml:space="preserve"> laboral como parte </w:t>
      </w:r>
      <w:r w:rsidR="00C92762" w:rsidRPr="0038442F">
        <w:rPr>
          <w:rFonts w:ascii="Verdana" w:hAnsi="Verdana"/>
          <w:bCs/>
          <w:sz w:val="20"/>
          <w:szCs w:val="20"/>
          <w:lang w:val="pt-BR"/>
        </w:rPr>
        <w:t>da responsabilidade</w:t>
      </w:r>
      <w:r w:rsidR="00407242" w:rsidRPr="0038442F">
        <w:rPr>
          <w:rFonts w:ascii="Verdana" w:hAnsi="Verdana"/>
          <w:bCs/>
          <w:sz w:val="20"/>
          <w:szCs w:val="20"/>
          <w:lang w:val="pt-BR"/>
        </w:rPr>
        <w:t xml:space="preserve"> </w:t>
      </w:r>
      <w:r w:rsidRPr="0038442F">
        <w:rPr>
          <w:rFonts w:ascii="Verdana" w:hAnsi="Verdana"/>
          <w:bCs/>
          <w:sz w:val="20"/>
          <w:szCs w:val="20"/>
          <w:lang w:val="pt-BR"/>
        </w:rPr>
        <w:t>internacional, e</w:t>
      </w:r>
      <w:r w:rsidR="006378F9" w:rsidRPr="0038442F">
        <w:rPr>
          <w:rFonts w:ascii="Verdana" w:hAnsi="Verdana"/>
          <w:bCs/>
          <w:sz w:val="20"/>
          <w:szCs w:val="20"/>
          <w:lang w:val="pt-BR"/>
        </w:rPr>
        <w:t xml:space="preserve">m um </w:t>
      </w:r>
      <w:r w:rsidRPr="0038442F">
        <w:rPr>
          <w:rFonts w:ascii="Verdana" w:hAnsi="Verdana"/>
          <w:bCs/>
          <w:sz w:val="20"/>
          <w:szCs w:val="20"/>
          <w:lang w:val="pt-BR"/>
        </w:rPr>
        <w:t xml:space="preserve">caso sobre </w:t>
      </w:r>
      <w:r w:rsidR="00C92762" w:rsidRPr="0038442F">
        <w:rPr>
          <w:rFonts w:ascii="Verdana" w:hAnsi="Verdana"/>
          <w:bCs/>
          <w:sz w:val="20"/>
          <w:szCs w:val="20"/>
          <w:lang w:val="pt-BR"/>
        </w:rPr>
        <w:t xml:space="preserve">trabalhos </w:t>
      </w:r>
      <w:r w:rsidRPr="0038442F">
        <w:rPr>
          <w:rFonts w:ascii="Verdana" w:hAnsi="Verdana"/>
          <w:bCs/>
          <w:sz w:val="20"/>
          <w:szCs w:val="20"/>
          <w:lang w:val="pt-BR"/>
        </w:rPr>
        <w:t>for</w:t>
      </w:r>
      <w:r w:rsidR="006378F9" w:rsidRPr="0038442F">
        <w:rPr>
          <w:rFonts w:ascii="Verdana" w:hAnsi="Verdana"/>
          <w:bCs/>
          <w:sz w:val="20"/>
          <w:szCs w:val="20"/>
          <w:lang w:val="pt-BR"/>
        </w:rPr>
        <w:t>ç</w:t>
      </w:r>
      <w:r w:rsidRPr="0038442F">
        <w:rPr>
          <w:rFonts w:ascii="Verdana" w:hAnsi="Verdana"/>
          <w:bCs/>
          <w:sz w:val="20"/>
          <w:szCs w:val="20"/>
          <w:lang w:val="pt-BR"/>
        </w:rPr>
        <w:t xml:space="preserve">ados </w:t>
      </w:r>
      <w:r w:rsidR="006378F9" w:rsidRPr="0038442F">
        <w:rPr>
          <w:rFonts w:ascii="Verdana" w:hAnsi="Verdana"/>
          <w:bCs/>
          <w:sz w:val="20"/>
          <w:szCs w:val="20"/>
          <w:lang w:val="pt-BR"/>
        </w:rPr>
        <w:t>e</w:t>
      </w:r>
      <w:r w:rsidRPr="0038442F">
        <w:rPr>
          <w:rFonts w:ascii="Verdana" w:hAnsi="Verdana"/>
          <w:bCs/>
          <w:sz w:val="20"/>
          <w:szCs w:val="20"/>
          <w:lang w:val="pt-BR"/>
        </w:rPr>
        <w:t xml:space="preserve"> formas contempor</w:t>
      </w:r>
      <w:r w:rsidR="006378F9" w:rsidRPr="0038442F">
        <w:rPr>
          <w:rFonts w:ascii="Verdana" w:hAnsi="Verdana"/>
          <w:bCs/>
          <w:sz w:val="20"/>
          <w:szCs w:val="20"/>
          <w:lang w:val="pt-BR"/>
        </w:rPr>
        <w:t>â</w:t>
      </w:r>
      <w:r w:rsidRPr="0038442F">
        <w:rPr>
          <w:rFonts w:ascii="Verdana" w:hAnsi="Verdana"/>
          <w:bCs/>
          <w:sz w:val="20"/>
          <w:szCs w:val="20"/>
          <w:lang w:val="pt-BR"/>
        </w:rPr>
        <w:t xml:space="preserve">neas de </w:t>
      </w:r>
      <w:r w:rsidR="006378F9" w:rsidRPr="0038442F">
        <w:rPr>
          <w:rFonts w:ascii="Verdana" w:hAnsi="Verdana"/>
          <w:bCs/>
          <w:sz w:val="20"/>
          <w:szCs w:val="20"/>
          <w:lang w:val="pt-BR"/>
        </w:rPr>
        <w:t>escravidão</w:t>
      </w:r>
      <w:r w:rsidRPr="0038442F">
        <w:rPr>
          <w:rFonts w:ascii="Verdana" w:hAnsi="Verdana"/>
          <w:bCs/>
          <w:sz w:val="20"/>
          <w:szCs w:val="20"/>
          <w:lang w:val="pt-BR"/>
        </w:rPr>
        <w:t xml:space="preserve">, </w:t>
      </w:r>
      <w:r w:rsidR="006378F9" w:rsidRPr="0038442F">
        <w:rPr>
          <w:rFonts w:ascii="Verdana" w:hAnsi="Verdana"/>
          <w:bCs/>
          <w:sz w:val="20"/>
          <w:szCs w:val="20"/>
          <w:lang w:val="pt-BR"/>
        </w:rPr>
        <w:t xml:space="preserve">ressaltou </w:t>
      </w:r>
      <w:r w:rsidRPr="0038442F">
        <w:rPr>
          <w:rFonts w:ascii="Verdana" w:hAnsi="Verdana"/>
          <w:bCs/>
          <w:sz w:val="20"/>
          <w:szCs w:val="20"/>
          <w:lang w:val="pt-BR"/>
        </w:rPr>
        <w:t>que</w:t>
      </w:r>
      <w:r w:rsidR="006378F9" w:rsidRPr="0038442F">
        <w:rPr>
          <w:rFonts w:ascii="Verdana" w:hAnsi="Verdana"/>
          <w:bCs/>
          <w:sz w:val="20"/>
          <w:szCs w:val="20"/>
          <w:lang w:val="pt-BR"/>
        </w:rPr>
        <w:t xml:space="preserve">, no </w:t>
      </w:r>
      <w:r w:rsidRPr="0038442F">
        <w:rPr>
          <w:rFonts w:ascii="Verdana" w:hAnsi="Verdana"/>
          <w:bCs/>
          <w:sz w:val="20"/>
          <w:szCs w:val="20"/>
          <w:lang w:val="pt-BR"/>
        </w:rPr>
        <w:t>“[</w:t>
      </w:r>
      <w:r w:rsidR="006378F9" w:rsidRPr="0038442F">
        <w:rPr>
          <w:rFonts w:ascii="Verdana" w:hAnsi="Verdana"/>
          <w:bCs/>
          <w:sz w:val="20"/>
          <w:szCs w:val="20"/>
          <w:lang w:val="pt-BR"/>
        </w:rPr>
        <w:t>t</w:t>
      </w:r>
      <w:r w:rsidRPr="0038442F">
        <w:rPr>
          <w:rFonts w:ascii="Verdana" w:hAnsi="Verdana"/>
          <w:bCs/>
          <w:sz w:val="20"/>
          <w:szCs w:val="20"/>
          <w:lang w:val="pt-BR"/>
        </w:rPr>
        <w:t>]</w:t>
      </w:r>
      <w:r w:rsidR="006378F9" w:rsidRPr="0038442F">
        <w:rPr>
          <w:rFonts w:ascii="Verdana" w:hAnsi="Verdana"/>
          <w:bCs/>
          <w:sz w:val="20"/>
          <w:szCs w:val="20"/>
          <w:lang w:val="pt-BR"/>
        </w:rPr>
        <w:t xml:space="preserve">ocante à </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Pr="0038442F">
        <w:rPr>
          <w:rFonts w:ascii="Verdana" w:hAnsi="Verdana"/>
          <w:sz w:val="20"/>
          <w:szCs w:val="20"/>
          <w:lang w:val="pt-BR"/>
        </w:rPr>
        <w:t xml:space="preserve">de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6378F9"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6378F9" w:rsidRPr="0038442F">
        <w:rPr>
          <w:rFonts w:ascii="Verdana" w:hAnsi="Verdana"/>
          <w:sz w:val="20"/>
          <w:szCs w:val="20"/>
          <w:lang w:val="pt-BR"/>
        </w:rPr>
        <w:t>reconhecido</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Pr="0038442F">
        <w:rPr>
          <w:rFonts w:ascii="Verdana" w:hAnsi="Verdana"/>
          <w:sz w:val="20"/>
          <w:szCs w:val="20"/>
          <w:lang w:val="pt-BR"/>
        </w:rPr>
        <w:t xml:space="preserve">6 </w:t>
      </w:r>
      <w:r w:rsidR="00C92762" w:rsidRPr="0038442F">
        <w:rPr>
          <w:rFonts w:ascii="Verdana" w:hAnsi="Verdana"/>
          <w:sz w:val="20"/>
          <w:szCs w:val="20"/>
          <w:lang w:val="pt-BR"/>
        </w:rPr>
        <w:t xml:space="preserve">da </w:t>
      </w:r>
      <w:r w:rsidR="005F647D" w:rsidRPr="0038442F">
        <w:rPr>
          <w:rFonts w:ascii="Verdana" w:hAnsi="Verdana"/>
          <w:sz w:val="20"/>
          <w:szCs w:val="20"/>
          <w:lang w:val="pt-BR"/>
        </w:rPr>
        <w:t>Conven</w:t>
      </w:r>
      <w:r w:rsidR="000A1AA8" w:rsidRPr="0038442F">
        <w:rPr>
          <w:rFonts w:ascii="Verdana" w:hAnsi="Verdana"/>
          <w:sz w:val="20"/>
          <w:szCs w:val="20"/>
          <w:lang w:val="pt-BR"/>
        </w:rPr>
        <w:t>ção</w:t>
      </w:r>
      <w:r w:rsidRPr="0038442F">
        <w:rPr>
          <w:rFonts w:ascii="Verdana" w:hAnsi="Verdana"/>
          <w:sz w:val="20"/>
          <w:szCs w:val="20"/>
          <w:lang w:val="pt-BR"/>
        </w:rPr>
        <w:t xml:space="preserve"> Americana, </w:t>
      </w:r>
      <w:r w:rsidR="005F647D" w:rsidRPr="0038442F">
        <w:rPr>
          <w:rFonts w:ascii="Verdana" w:hAnsi="Verdana"/>
          <w:sz w:val="20"/>
          <w:szCs w:val="20"/>
          <w:lang w:val="pt-BR"/>
        </w:rPr>
        <w:t>[…]</w:t>
      </w:r>
      <w:r w:rsidRPr="0038442F">
        <w:rPr>
          <w:rFonts w:ascii="Verdana" w:hAnsi="Verdana"/>
          <w:sz w:val="20"/>
          <w:szCs w:val="20"/>
          <w:lang w:val="pt-BR"/>
        </w:rPr>
        <w:t xml:space="preserve"> </w:t>
      </w:r>
      <w:r w:rsidR="005135E5" w:rsidRPr="0038442F">
        <w:rPr>
          <w:rFonts w:ascii="Verdana" w:hAnsi="Verdana"/>
          <w:sz w:val="20"/>
          <w:szCs w:val="20"/>
          <w:lang w:val="pt-BR"/>
        </w:rPr>
        <w:t xml:space="preserve">os Estados </w:t>
      </w:r>
      <w:r w:rsidRPr="0038442F">
        <w:rPr>
          <w:rFonts w:ascii="Verdana" w:hAnsi="Verdana"/>
          <w:sz w:val="20"/>
          <w:szCs w:val="20"/>
          <w:lang w:val="pt-BR"/>
        </w:rPr>
        <w:t>t</w:t>
      </w:r>
      <w:r w:rsidR="006378F9" w:rsidRPr="0038442F">
        <w:rPr>
          <w:rFonts w:ascii="Verdana" w:hAnsi="Verdana"/>
          <w:sz w:val="20"/>
          <w:szCs w:val="20"/>
          <w:lang w:val="pt-BR"/>
        </w:rPr>
        <w:t xml:space="preserve">êm a </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Pr="0038442F">
        <w:rPr>
          <w:rFonts w:ascii="Verdana" w:hAnsi="Verdana"/>
          <w:sz w:val="20"/>
          <w:szCs w:val="20"/>
          <w:lang w:val="pt-BR"/>
        </w:rPr>
        <w:t xml:space="preserve">de: […] </w:t>
      </w:r>
      <w:r w:rsidRPr="0038442F">
        <w:rPr>
          <w:rFonts w:ascii="Verdana" w:hAnsi="Verdana"/>
          <w:i/>
          <w:iCs/>
          <w:sz w:val="20"/>
          <w:szCs w:val="20"/>
          <w:u w:val="single"/>
          <w:lang w:val="pt-BR"/>
        </w:rPr>
        <w:t xml:space="preserve">iv) realizar </w:t>
      </w:r>
      <w:r w:rsidR="006378F9" w:rsidRPr="0038442F">
        <w:rPr>
          <w:rFonts w:ascii="Verdana" w:hAnsi="Verdana"/>
          <w:i/>
          <w:iCs/>
          <w:sz w:val="20"/>
          <w:szCs w:val="20"/>
          <w:u w:val="single"/>
          <w:lang w:val="pt-BR"/>
        </w:rPr>
        <w:t xml:space="preserve">fiscalizações ou </w:t>
      </w:r>
      <w:r w:rsidR="006A12FD" w:rsidRPr="0038442F">
        <w:rPr>
          <w:rFonts w:ascii="Verdana" w:hAnsi="Verdana"/>
          <w:i/>
          <w:iCs/>
          <w:sz w:val="20"/>
          <w:szCs w:val="20"/>
          <w:u w:val="single"/>
          <w:lang w:val="pt-BR"/>
        </w:rPr>
        <w:t>outras</w:t>
      </w:r>
      <w:r w:rsidR="00407242" w:rsidRPr="0038442F">
        <w:rPr>
          <w:rFonts w:ascii="Verdana" w:hAnsi="Verdana"/>
          <w:i/>
          <w:iCs/>
          <w:sz w:val="20"/>
          <w:szCs w:val="20"/>
          <w:u w:val="single"/>
          <w:lang w:val="pt-BR"/>
        </w:rPr>
        <w:t xml:space="preserve"> </w:t>
      </w:r>
      <w:r w:rsidRPr="0038442F">
        <w:rPr>
          <w:rFonts w:ascii="Verdana" w:hAnsi="Verdana"/>
          <w:i/>
          <w:iCs/>
          <w:sz w:val="20"/>
          <w:szCs w:val="20"/>
          <w:u w:val="single"/>
          <w:lang w:val="pt-BR"/>
        </w:rPr>
        <w:t xml:space="preserve">medidas de </w:t>
      </w:r>
      <w:r w:rsidR="0084092A" w:rsidRPr="0038442F">
        <w:rPr>
          <w:rFonts w:ascii="Verdana" w:hAnsi="Verdana"/>
          <w:i/>
          <w:iCs/>
          <w:sz w:val="20"/>
          <w:szCs w:val="20"/>
          <w:u w:val="single"/>
          <w:lang w:val="pt-BR"/>
        </w:rPr>
        <w:t>detec</w:t>
      </w:r>
      <w:r w:rsidR="000A1AA8" w:rsidRPr="0038442F">
        <w:rPr>
          <w:rFonts w:ascii="Verdana" w:hAnsi="Verdana"/>
          <w:i/>
          <w:iCs/>
          <w:sz w:val="20"/>
          <w:szCs w:val="20"/>
          <w:u w:val="single"/>
          <w:lang w:val="pt-BR"/>
        </w:rPr>
        <w:t>ção</w:t>
      </w:r>
      <w:r w:rsidRPr="0038442F">
        <w:rPr>
          <w:rFonts w:ascii="Verdana" w:hAnsi="Verdana"/>
          <w:i/>
          <w:iCs/>
          <w:sz w:val="20"/>
          <w:szCs w:val="20"/>
          <w:u w:val="single"/>
          <w:lang w:val="pt-BR"/>
        </w:rPr>
        <w:t xml:space="preserve"> de</w:t>
      </w:r>
      <w:r w:rsidR="006378F9" w:rsidRPr="0038442F">
        <w:rPr>
          <w:rFonts w:ascii="Verdana" w:hAnsi="Verdana"/>
          <w:i/>
          <w:iCs/>
          <w:sz w:val="20"/>
          <w:szCs w:val="20"/>
          <w:u w:val="single"/>
          <w:lang w:val="pt-BR"/>
        </w:rPr>
        <w:t>s</w:t>
      </w:r>
      <w:r w:rsidR="00590BE2" w:rsidRPr="0038442F">
        <w:rPr>
          <w:rFonts w:ascii="Verdana" w:hAnsi="Verdana"/>
          <w:i/>
          <w:iCs/>
          <w:sz w:val="20"/>
          <w:szCs w:val="20"/>
          <w:u w:val="single"/>
          <w:lang w:val="pt-BR"/>
        </w:rPr>
        <w:t>t</w:t>
      </w:r>
      <w:r w:rsidR="006378F9" w:rsidRPr="0038442F">
        <w:rPr>
          <w:rFonts w:ascii="Verdana" w:hAnsi="Verdana"/>
          <w:i/>
          <w:iCs/>
          <w:sz w:val="20"/>
          <w:szCs w:val="20"/>
          <w:u w:val="single"/>
          <w:lang w:val="pt-BR"/>
        </w:rPr>
        <w:t>as</w:t>
      </w:r>
      <w:r w:rsidRPr="0038442F">
        <w:rPr>
          <w:rFonts w:ascii="Verdana" w:hAnsi="Verdana"/>
          <w:i/>
          <w:iCs/>
          <w:sz w:val="20"/>
          <w:szCs w:val="20"/>
          <w:u w:val="single"/>
          <w:lang w:val="pt-BR"/>
        </w:rPr>
        <w:t xml:space="preserve"> </w:t>
      </w:r>
      <w:r w:rsidR="000450DD" w:rsidRPr="0038442F">
        <w:rPr>
          <w:rFonts w:ascii="Verdana" w:hAnsi="Verdana"/>
          <w:i/>
          <w:iCs/>
          <w:sz w:val="20"/>
          <w:szCs w:val="20"/>
          <w:u w:val="single"/>
          <w:lang w:val="pt-BR"/>
        </w:rPr>
        <w:t>práticas</w:t>
      </w:r>
      <w:r w:rsidR="00407242" w:rsidRPr="0038442F">
        <w:rPr>
          <w:rFonts w:ascii="Verdana" w:hAnsi="Verdana"/>
          <w:i/>
          <w:iCs/>
          <w:sz w:val="20"/>
          <w:szCs w:val="20"/>
          <w:u w:val="single"/>
          <w:lang w:val="pt-BR"/>
        </w:rPr>
        <w:t xml:space="preserve"> </w:t>
      </w:r>
      <w:r w:rsidRPr="0038442F">
        <w:rPr>
          <w:rFonts w:ascii="Verdana" w:hAnsi="Verdana"/>
          <w:sz w:val="20"/>
          <w:szCs w:val="20"/>
          <w:lang w:val="pt-BR"/>
        </w:rPr>
        <w:t>[…]”</w:t>
      </w:r>
      <w:r w:rsidRPr="0038442F">
        <w:rPr>
          <w:rStyle w:val="Refdenotaalpie"/>
          <w:rFonts w:ascii="Verdana" w:hAnsi="Verdana"/>
          <w:sz w:val="20"/>
          <w:szCs w:val="20"/>
          <w:lang w:val="pt-BR"/>
        </w:rPr>
        <w:footnoteReference w:id="30"/>
      </w:r>
      <w:r w:rsidR="005F647D" w:rsidRPr="0038442F">
        <w:rPr>
          <w:rFonts w:ascii="Verdana" w:hAnsi="Verdana"/>
          <w:sz w:val="20"/>
          <w:szCs w:val="20"/>
          <w:lang w:val="pt-BR"/>
        </w:rPr>
        <w:t xml:space="preserve"> (</w:t>
      </w:r>
      <w:r w:rsidR="006378F9" w:rsidRPr="0038442F">
        <w:rPr>
          <w:rFonts w:ascii="Verdana" w:hAnsi="Verdana"/>
          <w:sz w:val="20"/>
          <w:szCs w:val="20"/>
          <w:lang w:val="pt-BR"/>
        </w:rPr>
        <w:t>grifo nosso</w:t>
      </w:r>
      <w:r w:rsidR="005F647D" w:rsidRPr="0038442F">
        <w:rPr>
          <w:rFonts w:ascii="Verdana" w:hAnsi="Verdana"/>
          <w:sz w:val="20"/>
          <w:szCs w:val="20"/>
          <w:lang w:val="pt-BR"/>
        </w:rPr>
        <w:t>).</w:t>
      </w:r>
      <w:r w:rsidRPr="0038442F">
        <w:rPr>
          <w:rFonts w:ascii="Verdana" w:hAnsi="Verdana"/>
          <w:sz w:val="20"/>
          <w:szCs w:val="20"/>
          <w:lang w:val="pt-BR"/>
        </w:rPr>
        <w:t xml:space="preserve"> </w:t>
      </w:r>
      <w:r w:rsidR="005F647D" w:rsidRPr="0038442F">
        <w:rPr>
          <w:rFonts w:ascii="Verdana" w:hAnsi="Verdana"/>
          <w:sz w:val="20"/>
          <w:szCs w:val="20"/>
          <w:lang w:val="pt-BR"/>
        </w:rPr>
        <w:t>P</w:t>
      </w:r>
      <w:r w:rsidRPr="0038442F">
        <w:rPr>
          <w:rFonts w:ascii="Verdana" w:hAnsi="Verdana"/>
          <w:sz w:val="20"/>
          <w:szCs w:val="20"/>
          <w:lang w:val="pt-BR"/>
        </w:rPr>
        <w:t xml:space="preserve">ronunciamento que claramente </w:t>
      </w:r>
      <w:r w:rsidR="006378F9" w:rsidRPr="0038442F">
        <w:rPr>
          <w:rFonts w:ascii="Verdana" w:hAnsi="Verdana"/>
          <w:sz w:val="20"/>
          <w:szCs w:val="20"/>
          <w:lang w:val="pt-BR"/>
        </w:rPr>
        <w:t xml:space="preserve">é aplicável à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Pr="0038442F">
        <w:rPr>
          <w:rFonts w:ascii="Verdana" w:hAnsi="Verdana"/>
          <w:sz w:val="20"/>
          <w:szCs w:val="20"/>
          <w:lang w:val="pt-BR"/>
        </w:rPr>
        <w:t>d</w:t>
      </w:r>
      <w:r w:rsidR="006378F9"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6378F9" w:rsidRPr="0038442F">
        <w:rPr>
          <w:rFonts w:ascii="Verdana" w:hAnsi="Verdana"/>
          <w:sz w:val="20"/>
          <w:szCs w:val="20"/>
          <w:lang w:val="pt-BR"/>
        </w:rPr>
        <w:t xml:space="preserve">às </w:t>
      </w:r>
      <w:r w:rsidRPr="0038442F">
        <w:rPr>
          <w:rFonts w:ascii="Verdana" w:hAnsi="Verdana"/>
          <w:sz w:val="20"/>
          <w:szCs w:val="20"/>
          <w:lang w:val="pt-BR"/>
        </w:rPr>
        <w:t>condi</w:t>
      </w:r>
      <w:r w:rsidR="000A1AA8" w:rsidRPr="0038442F">
        <w:rPr>
          <w:rFonts w:ascii="Verdana" w:hAnsi="Verdana"/>
          <w:sz w:val="20"/>
          <w:szCs w:val="20"/>
          <w:lang w:val="pt-BR"/>
        </w:rPr>
        <w:t>ções</w:t>
      </w:r>
      <w:r w:rsidRPr="0038442F">
        <w:rPr>
          <w:rFonts w:ascii="Verdana" w:hAnsi="Verdana"/>
          <w:sz w:val="20"/>
          <w:szCs w:val="20"/>
          <w:lang w:val="pt-BR"/>
        </w:rPr>
        <w:t xml:space="preserve"> dignas de </w:t>
      </w:r>
      <w:r w:rsidR="00C92762" w:rsidRPr="0038442F">
        <w:rPr>
          <w:rFonts w:ascii="Verdana" w:hAnsi="Verdana"/>
          <w:sz w:val="20"/>
          <w:szCs w:val="20"/>
          <w:lang w:val="pt-BR"/>
        </w:rPr>
        <w:t>trabalho</w:t>
      </w:r>
      <w:r w:rsidRPr="0038442F">
        <w:rPr>
          <w:rFonts w:ascii="Verdana" w:hAnsi="Verdana"/>
          <w:sz w:val="20"/>
          <w:szCs w:val="20"/>
          <w:lang w:val="pt-BR"/>
        </w:rPr>
        <w:t xml:space="preserve">. </w:t>
      </w:r>
    </w:p>
    <w:p w14:paraId="06DBF9A1" w14:textId="77777777" w:rsidR="00AD76EE" w:rsidRPr="0038442F" w:rsidRDefault="00AD76EE" w:rsidP="00A857CB">
      <w:pPr>
        <w:pStyle w:val="Prrafodelista"/>
        <w:spacing w:line="240" w:lineRule="auto"/>
        <w:ind w:left="0"/>
        <w:jc w:val="both"/>
        <w:rPr>
          <w:rFonts w:ascii="Verdana" w:hAnsi="Verdana"/>
          <w:bCs/>
          <w:sz w:val="20"/>
          <w:szCs w:val="20"/>
          <w:lang w:val="pt-BR"/>
        </w:rPr>
      </w:pPr>
    </w:p>
    <w:p w14:paraId="400437E1" w14:textId="09550322" w:rsidR="0039256C" w:rsidRPr="0038442F" w:rsidRDefault="0039256C" w:rsidP="00A857CB">
      <w:pPr>
        <w:pStyle w:val="Prrafodelista"/>
        <w:numPr>
          <w:ilvl w:val="0"/>
          <w:numId w:val="2"/>
        </w:numPr>
        <w:spacing w:line="240" w:lineRule="auto"/>
        <w:ind w:left="0" w:firstLine="0"/>
        <w:jc w:val="both"/>
        <w:rPr>
          <w:rFonts w:ascii="Verdana" w:hAnsi="Verdana"/>
          <w:bCs/>
          <w:sz w:val="20"/>
          <w:szCs w:val="20"/>
          <w:lang w:val="pt-BR"/>
        </w:rPr>
      </w:pPr>
      <w:r w:rsidRPr="0038442F">
        <w:rPr>
          <w:rFonts w:ascii="Verdana" w:hAnsi="Verdana"/>
          <w:bCs/>
          <w:sz w:val="20"/>
          <w:szCs w:val="20"/>
          <w:lang w:val="pt-BR"/>
        </w:rPr>
        <w:t xml:space="preserve">Finalmente, </w:t>
      </w:r>
      <w:r w:rsidR="006378F9" w:rsidRPr="0038442F">
        <w:rPr>
          <w:rFonts w:ascii="Verdana" w:hAnsi="Verdana"/>
          <w:bCs/>
          <w:sz w:val="20"/>
          <w:szCs w:val="20"/>
          <w:lang w:val="pt-BR"/>
        </w:rPr>
        <w:t xml:space="preserve">é </w:t>
      </w:r>
      <w:r w:rsidRPr="0038442F">
        <w:rPr>
          <w:rFonts w:ascii="Verdana" w:hAnsi="Verdana"/>
          <w:bCs/>
          <w:sz w:val="20"/>
          <w:szCs w:val="20"/>
          <w:lang w:val="pt-BR"/>
        </w:rPr>
        <w:t>importante destacar que</w:t>
      </w:r>
      <w:r w:rsidR="00A81147" w:rsidRPr="0038442F">
        <w:rPr>
          <w:rFonts w:ascii="Verdana" w:hAnsi="Verdana"/>
          <w:bCs/>
          <w:sz w:val="20"/>
          <w:szCs w:val="20"/>
          <w:lang w:val="pt-BR"/>
        </w:rPr>
        <w:t>,</w:t>
      </w:r>
      <w:r w:rsidRPr="0038442F">
        <w:rPr>
          <w:rFonts w:ascii="Verdana" w:hAnsi="Verdana"/>
          <w:bCs/>
          <w:sz w:val="20"/>
          <w:szCs w:val="20"/>
          <w:lang w:val="pt-BR"/>
        </w:rPr>
        <w:t xml:space="preserve"> co</w:t>
      </w:r>
      <w:r w:rsidR="006378F9" w:rsidRPr="0038442F">
        <w:rPr>
          <w:rFonts w:ascii="Verdana" w:hAnsi="Verdana"/>
          <w:bCs/>
          <w:sz w:val="20"/>
          <w:szCs w:val="20"/>
          <w:lang w:val="pt-BR"/>
        </w:rPr>
        <w:t xml:space="preserve">nforme expôs a </w:t>
      </w:r>
      <w:r w:rsidR="0023007F" w:rsidRPr="0038442F">
        <w:rPr>
          <w:rFonts w:ascii="Verdana" w:hAnsi="Verdana"/>
          <w:bCs/>
          <w:sz w:val="20"/>
          <w:szCs w:val="20"/>
          <w:lang w:val="pt-BR"/>
        </w:rPr>
        <w:t>Comissão</w:t>
      </w:r>
      <w:r w:rsidR="00407242" w:rsidRPr="0038442F">
        <w:rPr>
          <w:rFonts w:ascii="Verdana" w:hAnsi="Verdana"/>
          <w:bCs/>
          <w:sz w:val="20"/>
          <w:szCs w:val="20"/>
          <w:lang w:val="pt-BR"/>
        </w:rPr>
        <w:t xml:space="preserve"> </w:t>
      </w:r>
      <w:r w:rsidRPr="0038442F">
        <w:rPr>
          <w:rFonts w:ascii="Verdana" w:hAnsi="Verdana"/>
          <w:bCs/>
          <w:sz w:val="20"/>
          <w:szCs w:val="20"/>
          <w:lang w:val="pt-BR"/>
        </w:rPr>
        <w:t>Interamericana</w:t>
      </w:r>
      <w:r w:rsidR="005F647D" w:rsidRPr="0038442F">
        <w:rPr>
          <w:rFonts w:ascii="Verdana" w:hAnsi="Verdana"/>
          <w:bCs/>
          <w:sz w:val="20"/>
          <w:szCs w:val="20"/>
          <w:lang w:val="pt-BR"/>
        </w:rPr>
        <w:t xml:space="preserve">, </w:t>
      </w:r>
      <w:r w:rsidR="00080B1B" w:rsidRPr="0038442F">
        <w:rPr>
          <w:rFonts w:ascii="Verdana" w:hAnsi="Verdana"/>
          <w:bCs/>
          <w:sz w:val="20"/>
          <w:szCs w:val="20"/>
          <w:lang w:val="pt-BR"/>
        </w:rPr>
        <w:t>a preven</w:t>
      </w:r>
      <w:r w:rsidR="000A1AA8" w:rsidRPr="0038442F">
        <w:rPr>
          <w:rFonts w:ascii="Verdana" w:hAnsi="Verdana"/>
          <w:bCs/>
          <w:sz w:val="20"/>
          <w:szCs w:val="20"/>
          <w:lang w:val="pt-BR"/>
        </w:rPr>
        <w:t>ção</w:t>
      </w:r>
      <w:r w:rsidR="00080B1B" w:rsidRPr="0038442F">
        <w:rPr>
          <w:rFonts w:ascii="Verdana" w:hAnsi="Verdana"/>
          <w:bCs/>
          <w:sz w:val="20"/>
          <w:szCs w:val="20"/>
          <w:lang w:val="pt-BR"/>
        </w:rPr>
        <w:t xml:space="preserve"> estará </w:t>
      </w:r>
      <w:r w:rsidR="006378F9" w:rsidRPr="0038442F">
        <w:rPr>
          <w:rFonts w:ascii="Verdana" w:hAnsi="Verdana"/>
          <w:bCs/>
          <w:sz w:val="20"/>
          <w:szCs w:val="20"/>
          <w:lang w:val="pt-BR"/>
        </w:rPr>
        <w:t>em jogo q</w:t>
      </w:r>
      <w:r w:rsidR="00080B1B" w:rsidRPr="0038442F">
        <w:rPr>
          <w:rFonts w:ascii="Verdana" w:hAnsi="Verdana"/>
          <w:bCs/>
          <w:sz w:val="20"/>
          <w:szCs w:val="20"/>
          <w:lang w:val="pt-BR"/>
        </w:rPr>
        <w:t>uando “</w:t>
      </w:r>
      <w:r w:rsidR="006378F9" w:rsidRPr="0038442F">
        <w:rPr>
          <w:rFonts w:ascii="Verdana" w:hAnsi="Verdana"/>
          <w:bCs/>
          <w:sz w:val="20"/>
          <w:szCs w:val="20"/>
          <w:lang w:val="pt-BR"/>
        </w:rPr>
        <w:t xml:space="preserve">o próprio </w:t>
      </w:r>
      <w:r w:rsidR="00080B1B" w:rsidRPr="0038442F">
        <w:rPr>
          <w:rFonts w:ascii="Verdana" w:hAnsi="Verdana"/>
          <w:sz w:val="20"/>
          <w:szCs w:val="20"/>
          <w:lang w:val="pt-BR"/>
        </w:rPr>
        <w:t>Estado gere o</w:t>
      </w:r>
      <w:r w:rsidR="006378F9" w:rsidRPr="0038442F">
        <w:rPr>
          <w:rFonts w:ascii="Verdana" w:hAnsi="Verdana"/>
          <w:sz w:val="20"/>
          <w:szCs w:val="20"/>
          <w:lang w:val="pt-BR"/>
        </w:rPr>
        <w:t>u</w:t>
      </w:r>
      <w:r w:rsidR="00080B1B" w:rsidRPr="0038442F">
        <w:rPr>
          <w:rFonts w:ascii="Verdana" w:hAnsi="Verdana"/>
          <w:sz w:val="20"/>
          <w:szCs w:val="20"/>
          <w:lang w:val="pt-BR"/>
        </w:rPr>
        <w:t xml:space="preserve"> consolide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5F647D" w:rsidRPr="0038442F">
        <w:rPr>
          <w:rFonts w:ascii="Verdana" w:hAnsi="Verdana"/>
          <w:sz w:val="20"/>
          <w:szCs w:val="20"/>
          <w:lang w:val="pt-BR"/>
        </w:rPr>
        <w:t>situa</w:t>
      </w:r>
      <w:r w:rsidR="000A1AA8" w:rsidRPr="0038442F">
        <w:rPr>
          <w:rFonts w:ascii="Verdana" w:hAnsi="Verdana"/>
          <w:sz w:val="20"/>
          <w:szCs w:val="20"/>
          <w:lang w:val="pt-BR"/>
        </w:rPr>
        <w:t>ção</w:t>
      </w:r>
      <w:r w:rsidR="00080B1B" w:rsidRPr="0038442F">
        <w:rPr>
          <w:rFonts w:ascii="Verdana" w:hAnsi="Verdana"/>
          <w:sz w:val="20"/>
          <w:szCs w:val="20"/>
          <w:lang w:val="pt-BR"/>
        </w:rPr>
        <w:t xml:space="preserve"> de </w:t>
      </w:r>
      <w:r w:rsidR="00BC6FC3" w:rsidRPr="0038442F">
        <w:rPr>
          <w:rFonts w:ascii="Verdana" w:hAnsi="Verdana"/>
          <w:sz w:val="20"/>
          <w:szCs w:val="20"/>
          <w:lang w:val="pt-BR"/>
        </w:rPr>
        <w:t>risco</w:t>
      </w:r>
      <w:r w:rsidR="00407242" w:rsidRPr="0038442F">
        <w:rPr>
          <w:rFonts w:ascii="Verdana" w:hAnsi="Verdana"/>
          <w:sz w:val="20"/>
          <w:szCs w:val="20"/>
          <w:lang w:val="pt-BR"/>
        </w:rPr>
        <w:t xml:space="preserve"> </w:t>
      </w:r>
      <w:r w:rsidR="00080B1B" w:rsidRPr="0038442F">
        <w:rPr>
          <w:rFonts w:ascii="Verdana" w:hAnsi="Verdana"/>
          <w:sz w:val="20"/>
          <w:szCs w:val="20"/>
          <w:lang w:val="pt-BR"/>
        </w:rPr>
        <w:t xml:space="preserve">para </w:t>
      </w:r>
      <w:r w:rsidR="006378F9" w:rsidRPr="0038442F">
        <w:rPr>
          <w:rFonts w:ascii="Verdana" w:hAnsi="Verdana"/>
          <w:sz w:val="20"/>
          <w:szCs w:val="20"/>
          <w:lang w:val="pt-BR"/>
        </w:rPr>
        <w:t xml:space="preserve">o desfrute </w:t>
      </w:r>
      <w:r w:rsidR="00C92762" w:rsidRPr="0038442F">
        <w:rPr>
          <w:rFonts w:ascii="Verdana" w:hAnsi="Verdana"/>
          <w:sz w:val="20"/>
          <w:szCs w:val="20"/>
          <w:lang w:val="pt-BR"/>
        </w:rPr>
        <w:t xml:space="preserve">dos direitos </w:t>
      </w:r>
      <w:r w:rsidR="00080B1B" w:rsidRPr="0038442F">
        <w:rPr>
          <w:rFonts w:ascii="Verdana" w:hAnsi="Verdana"/>
          <w:sz w:val="20"/>
          <w:szCs w:val="20"/>
          <w:lang w:val="pt-BR"/>
        </w:rPr>
        <w:t xml:space="preserve">humanos”. </w:t>
      </w:r>
      <w:r w:rsidR="00017D62" w:rsidRPr="0038442F">
        <w:rPr>
          <w:rFonts w:ascii="Verdana" w:hAnsi="Verdana"/>
          <w:sz w:val="20"/>
          <w:szCs w:val="20"/>
          <w:lang w:val="pt-BR"/>
        </w:rPr>
        <w:t xml:space="preserve">Ou seja, </w:t>
      </w:r>
      <w:r w:rsidR="00080B1B" w:rsidRPr="0038442F">
        <w:rPr>
          <w:rFonts w:ascii="Verdana" w:hAnsi="Verdana"/>
          <w:sz w:val="20"/>
          <w:szCs w:val="20"/>
          <w:lang w:val="pt-BR"/>
        </w:rPr>
        <w:t>“</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5F647D" w:rsidRPr="0038442F">
        <w:rPr>
          <w:rFonts w:ascii="Verdana" w:hAnsi="Verdana"/>
          <w:sz w:val="20"/>
          <w:szCs w:val="20"/>
          <w:lang w:val="pt-BR"/>
        </w:rPr>
        <w:t>pod</w:t>
      </w:r>
      <w:r w:rsidR="00017D62" w:rsidRPr="0038442F">
        <w:rPr>
          <w:rFonts w:ascii="Verdana" w:hAnsi="Verdana"/>
          <w:sz w:val="20"/>
          <w:szCs w:val="20"/>
          <w:lang w:val="pt-BR"/>
        </w:rPr>
        <w:t>e</w:t>
      </w:r>
      <w:r w:rsidR="005F647D" w:rsidRPr="0038442F">
        <w:rPr>
          <w:rFonts w:ascii="Verdana" w:hAnsi="Verdana"/>
          <w:sz w:val="20"/>
          <w:szCs w:val="20"/>
          <w:lang w:val="pt-BR"/>
        </w:rPr>
        <w:t>rá</w:t>
      </w:r>
      <w:r w:rsidR="00080B1B" w:rsidRPr="0038442F">
        <w:rPr>
          <w:rFonts w:ascii="Verdana" w:hAnsi="Verdana"/>
          <w:sz w:val="20"/>
          <w:szCs w:val="20"/>
          <w:lang w:val="pt-BR"/>
        </w:rPr>
        <w:t xml:space="preserve">́ </w:t>
      </w:r>
      <w:r w:rsidR="00017D62" w:rsidRPr="0038442F">
        <w:rPr>
          <w:rFonts w:ascii="Verdana" w:hAnsi="Verdana"/>
          <w:sz w:val="20"/>
          <w:szCs w:val="20"/>
          <w:lang w:val="pt-BR"/>
        </w:rPr>
        <w:t xml:space="preserve">descumprir essas </w:t>
      </w:r>
      <w:r w:rsidR="00984A83" w:rsidRPr="0038442F">
        <w:rPr>
          <w:rFonts w:ascii="Verdana" w:hAnsi="Verdana"/>
          <w:sz w:val="20"/>
          <w:szCs w:val="20"/>
          <w:lang w:val="pt-BR"/>
        </w:rPr>
        <w:t xml:space="preserve">obrigações </w:t>
      </w:r>
      <w:r w:rsidR="00080B1B" w:rsidRPr="0038442F">
        <w:rPr>
          <w:rFonts w:ascii="Verdana" w:hAnsi="Verdana"/>
          <w:sz w:val="20"/>
          <w:szCs w:val="20"/>
          <w:lang w:val="pt-BR"/>
        </w:rPr>
        <w:t>sempre que s</w:t>
      </w:r>
      <w:r w:rsidR="00017D62" w:rsidRPr="0038442F">
        <w:rPr>
          <w:rFonts w:ascii="Verdana" w:hAnsi="Verdana"/>
          <w:sz w:val="20"/>
          <w:szCs w:val="20"/>
          <w:lang w:val="pt-BR"/>
        </w:rPr>
        <w:t>e</w:t>
      </w:r>
      <w:r w:rsidR="00080B1B" w:rsidRPr="0038442F">
        <w:rPr>
          <w:rFonts w:ascii="Verdana" w:hAnsi="Verdana"/>
          <w:sz w:val="20"/>
          <w:szCs w:val="20"/>
          <w:lang w:val="pt-BR"/>
        </w:rPr>
        <w:t xml:space="preserve">u comportamento </w:t>
      </w:r>
      <w:r w:rsidR="00017D62" w:rsidRPr="0038442F">
        <w:rPr>
          <w:rFonts w:ascii="Verdana" w:hAnsi="Verdana"/>
          <w:sz w:val="20"/>
          <w:szCs w:val="20"/>
          <w:lang w:val="pt-BR"/>
        </w:rPr>
        <w:t xml:space="preserve">prévio </w:t>
      </w:r>
      <w:r w:rsidR="00590BE2" w:rsidRPr="0038442F">
        <w:rPr>
          <w:rFonts w:ascii="Verdana" w:hAnsi="Verdana"/>
          <w:sz w:val="20"/>
          <w:szCs w:val="20"/>
          <w:lang w:val="pt-BR"/>
        </w:rPr>
        <w:t>seja</w:t>
      </w:r>
      <w:r w:rsidR="00017D62" w:rsidRPr="0038442F">
        <w:rPr>
          <w:rFonts w:ascii="Verdana" w:hAnsi="Verdana"/>
          <w:sz w:val="20"/>
          <w:szCs w:val="20"/>
          <w:lang w:val="pt-BR"/>
        </w:rPr>
        <w:t xml:space="preserve"> </w:t>
      </w:r>
      <w:r w:rsidR="00080B1B" w:rsidRPr="0038442F">
        <w:rPr>
          <w:rFonts w:ascii="Verdana" w:hAnsi="Verdana"/>
          <w:sz w:val="20"/>
          <w:szCs w:val="20"/>
          <w:lang w:val="pt-BR"/>
        </w:rPr>
        <w:t xml:space="preserve">tal que </w:t>
      </w:r>
      <w:r w:rsidR="00017D62" w:rsidRPr="0038442F">
        <w:rPr>
          <w:rFonts w:ascii="Verdana" w:hAnsi="Verdana"/>
          <w:sz w:val="20"/>
          <w:szCs w:val="20"/>
          <w:lang w:val="pt-BR"/>
        </w:rPr>
        <w:t xml:space="preserve">tenha criado ou </w:t>
      </w:r>
      <w:r w:rsidR="00080B1B" w:rsidRPr="0038442F">
        <w:rPr>
          <w:rFonts w:ascii="Verdana" w:hAnsi="Verdana"/>
          <w:sz w:val="20"/>
          <w:szCs w:val="20"/>
          <w:lang w:val="pt-BR"/>
        </w:rPr>
        <w:t>contribu</w:t>
      </w:r>
      <w:r w:rsidR="00017D62" w:rsidRPr="0038442F">
        <w:rPr>
          <w:rFonts w:ascii="Verdana" w:hAnsi="Verdana"/>
          <w:sz w:val="20"/>
          <w:szCs w:val="20"/>
          <w:lang w:val="pt-BR"/>
        </w:rPr>
        <w:t>í</w:t>
      </w:r>
      <w:r w:rsidR="00080B1B" w:rsidRPr="0038442F">
        <w:rPr>
          <w:rFonts w:ascii="Verdana" w:hAnsi="Verdana"/>
          <w:sz w:val="20"/>
          <w:szCs w:val="20"/>
          <w:lang w:val="pt-BR"/>
        </w:rPr>
        <w:t xml:space="preserve">do de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080B1B" w:rsidRPr="0038442F">
        <w:rPr>
          <w:rFonts w:ascii="Verdana" w:hAnsi="Verdana"/>
          <w:sz w:val="20"/>
          <w:szCs w:val="20"/>
          <w:lang w:val="pt-BR"/>
        </w:rPr>
        <w:t xml:space="preserve">decisiva </w:t>
      </w:r>
      <w:r w:rsidR="00017D62" w:rsidRPr="0038442F">
        <w:rPr>
          <w:rFonts w:ascii="Verdana" w:hAnsi="Verdana"/>
          <w:sz w:val="20"/>
          <w:szCs w:val="20"/>
          <w:lang w:val="pt-BR"/>
        </w:rPr>
        <w:t xml:space="preserve">para a </w:t>
      </w:r>
      <w:r w:rsidR="00246A73" w:rsidRPr="0038442F">
        <w:rPr>
          <w:rFonts w:ascii="Verdana" w:hAnsi="Verdana"/>
          <w:sz w:val="20"/>
          <w:szCs w:val="20"/>
          <w:lang w:val="pt-BR"/>
        </w:rPr>
        <w:t>existência</w:t>
      </w:r>
      <w:r w:rsidR="00407242" w:rsidRPr="0038442F">
        <w:rPr>
          <w:rFonts w:ascii="Verdana" w:hAnsi="Verdana"/>
          <w:sz w:val="20"/>
          <w:szCs w:val="20"/>
          <w:lang w:val="pt-BR"/>
        </w:rPr>
        <w:t xml:space="preserve"> </w:t>
      </w:r>
      <w:r w:rsidR="00080B1B" w:rsidRPr="0038442F">
        <w:rPr>
          <w:rFonts w:ascii="Verdana" w:hAnsi="Verdana"/>
          <w:sz w:val="20"/>
          <w:szCs w:val="20"/>
          <w:lang w:val="pt-BR"/>
        </w:rPr>
        <w:t>d</w:t>
      </w:r>
      <w:r w:rsidR="00017D62" w:rsidRPr="0038442F">
        <w:rPr>
          <w:rFonts w:ascii="Verdana" w:hAnsi="Verdana"/>
          <w:sz w:val="20"/>
          <w:szCs w:val="20"/>
          <w:lang w:val="pt-BR"/>
        </w:rPr>
        <w:t xml:space="preserve">o </w:t>
      </w:r>
      <w:r w:rsidR="00BC6FC3" w:rsidRPr="0038442F">
        <w:rPr>
          <w:rFonts w:ascii="Verdana" w:hAnsi="Verdana"/>
          <w:sz w:val="20"/>
          <w:szCs w:val="20"/>
          <w:lang w:val="pt-BR"/>
        </w:rPr>
        <w:t>risco</w:t>
      </w:r>
      <w:r w:rsidR="00407242" w:rsidRPr="0038442F">
        <w:rPr>
          <w:rFonts w:ascii="Verdana" w:hAnsi="Verdana"/>
          <w:sz w:val="20"/>
          <w:szCs w:val="20"/>
          <w:lang w:val="pt-BR"/>
        </w:rPr>
        <w:t xml:space="preserve"> </w:t>
      </w:r>
      <w:r w:rsidR="00080B1B" w:rsidRPr="0038442F">
        <w:rPr>
          <w:rFonts w:ascii="Verdana" w:hAnsi="Verdana"/>
          <w:sz w:val="20"/>
          <w:szCs w:val="20"/>
          <w:lang w:val="pt-BR"/>
        </w:rPr>
        <w:t xml:space="preserve">para a </w:t>
      </w:r>
      <w:r w:rsidR="005F647D" w:rsidRPr="0038442F">
        <w:rPr>
          <w:rFonts w:ascii="Verdana" w:hAnsi="Verdana"/>
          <w:sz w:val="20"/>
          <w:szCs w:val="20"/>
          <w:lang w:val="pt-BR"/>
        </w:rPr>
        <w:t>concre</w:t>
      </w:r>
      <w:r w:rsidR="00017D62" w:rsidRPr="0038442F">
        <w:rPr>
          <w:rFonts w:ascii="Verdana" w:hAnsi="Verdana"/>
          <w:sz w:val="20"/>
          <w:szCs w:val="20"/>
          <w:lang w:val="pt-BR"/>
        </w:rPr>
        <w:t>tiza</w:t>
      </w:r>
      <w:r w:rsidR="000A1AA8" w:rsidRPr="0038442F">
        <w:rPr>
          <w:rFonts w:ascii="Verdana" w:hAnsi="Verdana"/>
          <w:sz w:val="20"/>
          <w:szCs w:val="20"/>
          <w:lang w:val="pt-BR"/>
        </w:rPr>
        <w:t>ção</w:t>
      </w:r>
      <w:r w:rsidR="00080B1B" w:rsidRPr="0038442F">
        <w:rPr>
          <w:rFonts w:ascii="Verdana" w:hAnsi="Verdana"/>
          <w:sz w:val="20"/>
          <w:szCs w:val="20"/>
          <w:lang w:val="pt-BR"/>
        </w:rPr>
        <w:t xml:space="preserve"> de </w:t>
      </w:r>
      <w:r w:rsidR="00017D62" w:rsidRPr="0038442F">
        <w:rPr>
          <w:rFonts w:ascii="Verdana" w:hAnsi="Verdana"/>
          <w:sz w:val="20"/>
          <w:szCs w:val="20"/>
          <w:lang w:val="pt-BR"/>
        </w:rPr>
        <w:t xml:space="preserve">alguma </w:t>
      </w:r>
      <w:r w:rsidR="005F647D" w:rsidRPr="0038442F">
        <w:rPr>
          <w:rFonts w:ascii="Verdana" w:hAnsi="Verdana"/>
          <w:sz w:val="20"/>
          <w:szCs w:val="20"/>
          <w:lang w:val="pt-BR"/>
        </w:rPr>
        <w:t>viola</w:t>
      </w:r>
      <w:r w:rsidR="000A1AA8" w:rsidRPr="0038442F">
        <w:rPr>
          <w:rFonts w:ascii="Verdana" w:hAnsi="Verdana"/>
          <w:sz w:val="20"/>
          <w:szCs w:val="20"/>
          <w:lang w:val="pt-BR"/>
        </w:rPr>
        <w:t>ção</w:t>
      </w:r>
      <w:r w:rsidR="00080B1B"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080B1B" w:rsidRPr="0038442F">
        <w:rPr>
          <w:rFonts w:ascii="Verdana" w:hAnsi="Verdana"/>
          <w:sz w:val="20"/>
          <w:szCs w:val="20"/>
          <w:lang w:val="pt-BR"/>
        </w:rPr>
        <w:t xml:space="preserve">caso particular”. </w:t>
      </w:r>
      <w:r w:rsidR="00247F19" w:rsidRPr="0038442F">
        <w:rPr>
          <w:rFonts w:ascii="Verdana" w:hAnsi="Verdana"/>
          <w:sz w:val="20"/>
          <w:szCs w:val="20"/>
          <w:lang w:val="pt-BR"/>
        </w:rPr>
        <w:t>Para “vincular um comportamento estatal à criação do risco será́ necessário estabelecer a conexão de ações ou omissões concretas com a criação ou consolidação de situações de risco reais para a prática de violações de direitos humanos, neste caso, vinculadas a ações empresariais”.</w:t>
      </w:r>
      <w:r w:rsidR="00247F19" w:rsidRPr="0038442F">
        <w:rPr>
          <w:rStyle w:val="Refdenotaalpie"/>
          <w:rFonts w:ascii="Verdana" w:hAnsi="Verdana"/>
          <w:sz w:val="20"/>
          <w:szCs w:val="20"/>
          <w:lang w:val="pt-BR"/>
        </w:rPr>
        <w:footnoteReference w:id="31"/>
      </w:r>
      <w:r w:rsidR="00247F19" w:rsidRPr="0038442F">
        <w:rPr>
          <w:rFonts w:ascii="Verdana" w:hAnsi="Verdana"/>
          <w:sz w:val="20"/>
          <w:szCs w:val="20"/>
          <w:lang w:val="pt-BR"/>
        </w:rPr>
        <w:t xml:space="preserve"> Circunstâncias que, como se abordou na sentença, levaram à responsabilidade internacional neste caso. </w:t>
      </w:r>
    </w:p>
    <w:p w14:paraId="7CE09AE3" w14:textId="77777777" w:rsidR="00080B1B" w:rsidRPr="0038442F" w:rsidRDefault="00080B1B" w:rsidP="00A857CB">
      <w:pPr>
        <w:pStyle w:val="Prrafodelista"/>
        <w:spacing w:line="240" w:lineRule="auto"/>
        <w:ind w:left="0"/>
        <w:jc w:val="both"/>
        <w:rPr>
          <w:rFonts w:ascii="Verdana" w:hAnsi="Verdana"/>
          <w:bCs/>
          <w:sz w:val="20"/>
          <w:szCs w:val="20"/>
          <w:lang w:val="pt-BR"/>
        </w:rPr>
      </w:pPr>
    </w:p>
    <w:p w14:paraId="4FA2E2BC" w14:textId="5A83E267" w:rsidR="004A3559" w:rsidRPr="0038442F" w:rsidRDefault="00816BB5" w:rsidP="00B979B2">
      <w:pPr>
        <w:snapToGrid w:val="0"/>
        <w:jc w:val="center"/>
        <w:rPr>
          <w:rFonts w:ascii="Verdana" w:hAnsi="Verdana"/>
          <w:b/>
          <w:bCs/>
          <w:sz w:val="20"/>
          <w:szCs w:val="20"/>
          <w:lang w:val="pt-BR"/>
        </w:rPr>
      </w:pPr>
      <w:r w:rsidRPr="0038442F">
        <w:rPr>
          <w:rFonts w:ascii="Verdana" w:hAnsi="Verdana"/>
          <w:b/>
          <w:bCs/>
          <w:sz w:val="20"/>
          <w:szCs w:val="20"/>
          <w:lang w:val="pt-BR"/>
        </w:rPr>
        <w:t xml:space="preserve">II. </w:t>
      </w:r>
      <w:r w:rsidR="00204278" w:rsidRPr="0038442F">
        <w:rPr>
          <w:rFonts w:ascii="Verdana" w:hAnsi="Verdana"/>
          <w:b/>
          <w:bCs/>
          <w:sz w:val="20"/>
          <w:szCs w:val="20"/>
          <w:lang w:val="pt-BR"/>
        </w:rPr>
        <w:t>O DIREITO</w:t>
      </w:r>
      <w:r w:rsidR="0038051B" w:rsidRPr="0038442F">
        <w:rPr>
          <w:rFonts w:ascii="Verdana" w:hAnsi="Verdana"/>
          <w:b/>
          <w:bCs/>
          <w:sz w:val="20"/>
          <w:szCs w:val="20"/>
          <w:lang w:val="pt-BR"/>
        </w:rPr>
        <w:t xml:space="preserve"> A</w:t>
      </w:r>
      <w:r w:rsidR="00204278" w:rsidRPr="0038442F">
        <w:rPr>
          <w:rFonts w:ascii="Verdana" w:hAnsi="Verdana"/>
          <w:b/>
          <w:bCs/>
          <w:sz w:val="20"/>
          <w:szCs w:val="20"/>
          <w:lang w:val="pt-BR"/>
        </w:rPr>
        <w:t xml:space="preserve"> CONDIÇÕES </w:t>
      </w:r>
      <w:r w:rsidRPr="0038442F">
        <w:rPr>
          <w:rFonts w:ascii="Verdana" w:hAnsi="Verdana"/>
          <w:b/>
          <w:bCs/>
          <w:sz w:val="20"/>
          <w:szCs w:val="20"/>
          <w:lang w:val="pt-BR"/>
        </w:rPr>
        <w:t xml:space="preserve">EQUITATIVAS </w:t>
      </w:r>
      <w:r w:rsidR="00204278" w:rsidRPr="0038442F">
        <w:rPr>
          <w:rFonts w:ascii="Verdana" w:hAnsi="Verdana"/>
          <w:b/>
          <w:bCs/>
          <w:sz w:val="20"/>
          <w:szCs w:val="20"/>
          <w:lang w:val="pt-BR"/>
        </w:rPr>
        <w:t>E</w:t>
      </w:r>
      <w:r w:rsidRPr="0038442F">
        <w:rPr>
          <w:rFonts w:ascii="Verdana" w:hAnsi="Verdana"/>
          <w:b/>
          <w:bCs/>
          <w:sz w:val="20"/>
          <w:szCs w:val="20"/>
          <w:lang w:val="pt-BR"/>
        </w:rPr>
        <w:t xml:space="preserve"> SATISFAT</w:t>
      </w:r>
      <w:r w:rsidR="00204278" w:rsidRPr="0038442F">
        <w:rPr>
          <w:rFonts w:ascii="Verdana" w:hAnsi="Verdana"/>
          <w:b/>
          <w:bCs/>
          <w:sz w:val="20"/>
          <w:szCs w:val="20"/>
          <w:lang w:val="pt-BR"/>
        </w:rPr>
        <w:t xml:space="preserve">ÓRIAS DE TRABALHO </w:t>
      </w:r>
      <w:r w:rsidRPr="0038442F">
        <w:rPr>
          <w:rFonts w:ascii="Verdana" w:hAnsi="Verdana"/>
          <w:b/>
          <w:bCs/>
          <w:sz w:val="20"/>
          <w:szCs w:val="20"/>
          <w:lang w:val="pt-BR"/>
        </w:rPr>
        <w:t>PARA A PROTE</w:t>
      </w:r>
      <w:r w:rsidR="00204278" w:rsidRPr="0038442F">
        <w:rPr>
          <w:rFonts w:ascii="Verdana" w:hAnsi="Verdana"/>
          <w:b/>
          <w:bCs/>
          <w:sz w:val="20"/>
          <w:szCs w:val="20"/>
          <w:lang w:val="pt-BR"/>
        </w:rPr>
        <w:t>ÇÃO D</w:t>
      </w:r>
      <w:r w:rsidR="00FD4058">
        <w:rPr>
          <w:rFonts w:ascii="Verdana" w:hAnsi="Verdana"/>
          <w:b/>
          <w:bCs/>
          <w:sz w:val="20"/>
          <w:szCs w:val="20"/>
          <w:lang w:val="pt-BR"/>
        </w:rPr>
        <w:t>A</w:t>
      </w:r>
      <w:r w:rsidR="00204278" w:rsidRPr="0038442F">
        <w:rPr>
          <w:rFonts w:ascii="Verdana" w:hAnsi="Verdana"/>
          <w:b/>
          <w:bCs/>
          <w:sz w:val="20"/>
          <w:szCs w:val="20"/>
          <w:lang w:val="pt-BR"/>
        </w:rPr>
        <w:t xml:space="preserve"> SEGURANÇA</w:t>
      </w:r>
      <w:r w:rsidR="004A3559" w:rsidRPr="0038442F">
        <w:rPr>
          <w:rFonts w:ascii="Verdana" w:hAnsi="Verdana"/>
          <w:b/>
          <w:bCs/>
          <w:sz w:val="20"/>
          <w:szCs w:val="20"/>
          <w:lang w:val="pt-BR"/>
        </w:rPr>
        <w:t xml:space="preserve">, </w:t>
      </w:r>
      <w:r w:rsidR="00204278" w:rsidRPr="0038442F">
        <w:rPr>
          <w:rFonts w:ascii="Verdana" w:hAnsi="Verdana"/>
          <w:b/>
          <w:bCs/>
          <w:sz w:val="20"/>
          <w:szCs w:val="20"/>
          <w:lang w:val="pt-BR"/>
        </w:rPr>
        <w:t xml:space="preserve">SAÚDE </w:t>
      </w:r>
      <w:r w:rsidRPr="0038442F">
        <w:rPr>
          <w:rFonts w:ascii="Verdana" w:hAnsi="Verdana"/>
          <w:b/>
          <w:bCs/>
          <w:sz w:val="20"/>
          <w:szCs w:val="20"/>
          <w:lang w:val="pt-BR"/>
        </w:rPr>
        <w:t xml:space="preserve">E HIGIENE: </w:t>
      </w:r>
      <w:r w:rsidR="00FD4058">
        <w:rPr>
          <w:rFonts w:ascii="Verdana" w:hAnsi="Verdana"/>
          <w:b/>
          <w:bCs/>
          <w:sz w:val="20"/>
          <w:szCs w:val="20"/>
          <w:lang w:val="pt-BR"/>
        </w:rPr>
        <w:t xml:space="preserve">MAIS </w:t>
      </w:r>
      <w:r w:rsidRPr="0038442F">
        <w:rPr>
          <w:rFonts w:ascii="Verdana" w:hAnsi="Verdana"/>
          <w:b/>
          <w:bCs/>
          <w:sz w:val="20"/>
          <w:szCs w:val="20"/>
          <w:lang w:val="pt-BR"/>
        </w:rPr>
        <w:t>U</w:t>
      </w:r>
      <w:r w:rsidR="00204278" w:rsidRPr="0038442F">
        <w:rPr>
          <w:rFonts w:ascii="Verdana" w:hAnsi="Verdana"/>
          <w:b/>
          <w:bCs/>
          <w:sz w:val="20"/>
          <w:szCs w:val="20"/>
          <w:lang w:val="pt-BR"/>
        </w:rPr>
        <w:t>M</w:t>
      </w:r>
      <w:r w:rsidRPr="0038442F">
        <w:rPr>
          <w:rFonts w:ascii="Verdana" w:hAnsi="Verdana"/>
          <w:b/>
          <w:bCs/>
          <w:sz w:val="20"/>
          <w:szCs w:val="20"/>
          <w:lang w:val="pt-BR"/>
        </w:rPr>
        <w:t xml:space="preserve"> PA</w:t>
      </w:r>
      <w:r w:rsidR="00204278" w:rsidRPr="0038442F">
        <w:rPr>
          <w:rFonts w:ascii="Verdana" w:hAnsi="Verdana"/>
          <w:b/>
          <w:bCs/>
          <w:sz w:val="20"/>
          <w:szCs w:val="20"/>
          <w:lang w:val="pt-BR"/>
        </w:rPr>
        <w:t>S</w:t>
      </w:r>
      <w:r w:rsidRPr="0038442F">
        <w:rPr>
          <w:rFonts w:ascii="Verdana" w:hAnsi="Verdana"/>
          <w:b/>
          <w:bCs/>
          <w:sz w:val="20"/>
          <w:szCs w:val="20"/>
          <w:lang w:val="pt-BR"/>
        </w:rPr>
        <w:t>SO</w:t>
      </w:r>
      <w:r w:rsidR="00204278" w:rsidRPr="0038442F">
        <w:rPr>
          <w:rFonts w:ascii="Verdana" w:hAnsi="Verdana"/>
          <w:b/>
          <w:bCs/>
          <w:sz w:val="20"/>
          <w:szCs w:val="20"/>
          <w:lang w:val="pt-BR"/>
        </w:rPr>
        <w:t xml:space="preserve"> </w:t>
      </w:r>
      <w:r w:rsidR="0038051B" w:rsidRPr="0038442F">
        <w:rPr>
          <w:rFonts w:ascii="Verdana" w:hAnsi="Verdana"/>
          <w:b/>
          <w:bCs/>
          <w:sz w:val="20"/>
          <w:szCs w:val="20"/>
          <w:lang w:val="pt-BR"/>
        </w:rPr>
        <w:t xml:space="preserve">PARA O </w:t>
      </w:r>
      <w:r w:rsidR="00204278" w:rsidRPr="0038442F">
        <w:rPr>
          <w:rFonts w:ascii="Verdana" w:hAnsi="Verdana"/>
          <w:b/>
          <w:bCs/>
          <w:sz w:val="20"/>
          <w:szCs w:val="20"/>
          <w:lang w:val="pt-BR"/>
        </w:rPr>
        <w:t xml:space="preserve">CONTEÚDO DO </w:t>
      </w:r>
      <w:r w:rsidRPr="0038442F">
        <w:rPr>
          <w:rFonts w:ascii="Verdana" w:hAnsi="Verdana"/>
          <w:b/>
          <w:bCs/>
          <w:sz w:val="20"/>
          <w:szCs w:val="20"/>
          <w:lang w:val="pt-BR"/>
        </w:rPr>
        <w:t>ART</w:t>
      </w:r>
      <w:r w:rsidR="00204278" w:rsidRPr="0038442F">
        <w:rPr>
          <w:rFonts w:ascii="Verdana" w:hAnsi="Verdana"/>
          <w:b/>
          <w:bCs/>
          <w:sz w:val="20"/>
          <w:szCs w:val="20"/>
          <w:lang w:val="pt-BR"/>
        </w:rPr>
        <w:t xml:space="preserve">IGO </w:t>
      </w:r>
      <w:r w:rsidRPr="0038442F">
        <w:rPr>
          <w:rFonts w:ascii="Verdana" w:hAnsi="Verdana"/>
          <w:b/>
          <w:bCs/>
          <w:sz w:val="20"/>
          <w:szCs w:val="20"/>
          <w:lang w:val="pt-BR"/>
        </w:rPr>
        <w:t>26 DA CONVEN</w:t>
      </w:r>
      <w:r w:rsidR="00204278" w:rsidRPr="0038442F">
        <w:rPr>
          <w:rFonts w:ascii="Verdana" w:hAnsi="Verdana"/>
          <w:b/>
          <w:bCs/>
          <w:sz w:val="20"/>
          <w:szCs w:val="20"/>
          <w:lang w:val="pt-BR"/>
        </w:rPr>
        <w:t xml:space="preserve">ÇÃO </w:t>
      </w:r>
      <w:r w:rsidRPr="0038442F">
        <w:rPr>
          <w:rFonts w:ascii="Verdana" w:hAnsi="Verdana"/>
          <w:b/>
          <w:bCs/>
          <w:sz w:val="20"/>
          <w:szCs w:val="20"/>
          <w:lang w:val="pt-BR"/>
        </w:rPr>
        <w:t>AMERICANA</w:t>
      </w:r>
    </w:p>
    <w:p w14:paraId="0EFF74EA" w14:textId="77777777" w:rsidR="000777E8" w:rsidRPr="0038442F" w:rsidRDefault="000777E8" w:rsidP="00B979B2">
      <w:pPr>
        <w:snapToGrid w:val="0"/>
        <w:jc w:val="center"/>
        <w:rPr>
          <w:rFonts w:ascii="Verdana" w:hAnsi="Verdana"/>
          <w:b/>
          <w:bCs/>
          <w:sz w:val="20"/>
          <w:szCs w:val="20"/>
          <w:lang w:val="pt-BR"/>
        </w:rPr>
      </w:pPr>
    </w:p>
    <w:p w14:paraId="36E13245" w14:textId="37B308F5" w:rsidR="0063748F" w:rsidRPr="0038442F" w:rsidRDefault="00204278" w:rsidP="00A857CB">
      <w:pPr>
        <w:pStyle w:val="Prrafodelista"/>
        <w:numPr>
          <w:ilvl w:val="0"/>
          <w:numId w:val="2"/>
        </w:numPr>
        <w:tabs>
          <w:tab w:val="left" w:pos="0"/>
        </w:tabs>
        <w:spacing w:before="120" w:after="120" w:line="240" w:lineRule="auto"/>
        <w:ind w:left="0" w:firstLine="0"/>
        <w:contextualSpacing w:val="0"/>
        <w:jc w:val="both"/>
        <w:rPr>
          <w:rFonts w:ascii="Verdana" w:hAnsi="Verdana"/>
          <w:sz w:val="20"/>
          <w:szCs w:val="20"/>
          <w:lang w:val="pt-BR"/>
        </w:rPr>
      </w:pPr>
      <w:r w:rsidRPr="0038442F">
        <w:rPr>
          <w:rFonts w:ascii="Verdana" w:hAnsi="Verdana"/>
          <w:sz w:val="20"/>
          <w:szCs w:val="20"/>
          <w:lang w:val="pt-BR"/>
        </w:rPr>
        <w:t xml:space="preserve">Embora </w:t>
      </w:r>
      <w:r w:rsidR="00BF7A10" w:rsidRPr="0038442F">
        <w:rPr>
          <w:rFonts w:ascii="Verdana" w:hAnsi="Verdana"/>
          <w:sz w:val="20"/>
          <w:szCs w:val="20"/>
          <w:lang w:val="pt-BR"/>
        </w:rPr>
        <w:t>na sentença</w:t>
      </w:r>
      <w:r w:rsidR="00407242" w:rsidRPr="0038442F">
        <w:rPr>
          <w:rFonts w:ascii="Verdana" w:hAnsi="Verdana"/>
          <w:sz w:val="20"/>
          <w:szCs w:val="20"/>
          <w:lang w:val="pt-BR"/>
        </w:rPr>
        <w:t xml:space="preserve"> </w:t>
      </w:r>
      <w:r w:rsidR="00C06D34" w:rsidRPr="0038442F">
        <w:rPr>
          <w:rFonts w:ascii="Verdana" w:hAnsi="Verdana"/>
          <w:sz w:val="20"/>
          <w:szCs w:val="20"/>
          <w:lang w:val="pt-BR"/>
        </w:rPr>
        <w:t>se</w:t>
      </w:r>
      <w:r w:rsidR="000001AD" w:rsidRPr="0038442F">
        <w:rPr>
          <w:rFonts w:ascii="Verdana" w:hAnsi="Verdana"/>
          <w:sz w:val="20"/>
          <w:szCs w:val="20"/>
          <w:lang w:val="pt-BR"/>
        </w:rPr>
        <w:t>jam analisados</w:t>
      </w:r>
      <w:r w:rsidR="00C06D34" w:rsidRPr="0038442F">
        <w:rPr>
          <w:rFonts w:ascii="Verdana" w:hAnsi="Verdana"/>
          <w:sz w:val="20"/>
          <w:szCs w:val="20"/>
          <w:lang w:val="pt-BR"/>
        </w:rPr>
        <w:t xml:space="preserve"> </w:t>
      </w:r>
      <w:r w:rsidRPr="0038442F">
        <w:rPr>
          <w:rFonts w:ascii="Verdana" w:hAnsi="Verdana"/>
          <w:sz w:val="20"/>
          <w:szCs w:val="20"/>
          <w:lang w:val="pt-BR"/>
        </w:rPr>
        <w:t xml:space="preserve">em uma seção </w:t>
      </w:r>
      <w:r w:rsidR="00C92762" w:rsidRPr="0038442F">
        <w:rPr>
          <w:rFonts w:ascii="Verdana" w:hAnsi="Verdana"/>
          <w:sz w:val="20"/>
          <w:szCs w:val="20"/>
          <w:lang w:val="pt-BR"/>
        </w:rPr>
        <w:t xml:space="preserve">os direitos </w:t>
      </w:r>
      <w:r w:rsidR="008806F8" w:rsidRPr="0038442F">
        <w:rPr>
          <w:rFonts w:ascii="Verdana" w:hAnsi="Verdana"/>
          <w:sz w:val="20"/>
          <w:szCs w:val="20"/>
          <w:lang w:val="pt-BR"/>
        </w:rPr>
        <w:t>à vida</w:t>
      </w:r>
      <w:r w:rsidR="00407242" w:rsidRPr="0038442F">
        <w:rPr>
          <w:rFonts w:ascii="Verdana" w:hAnsi="Verdana"/>
          <w:sz w:val="20"/>
          <w:szCs w:val="20"/>
          <w:lang w:val="pt-BR"/>
        </w:rPr>
        <w:t xml:space="preserve"> </w:t>
      </w:r>
      <w:r w:rsidRPr="0038442F">
        <w:rPr>
          <w:rFonts w:ascii="Verdana" w:hAnsi="Verdana"/>
          <w:sz w:val="20"/>
          <w:szCs w:val="20"/>
          <w:lang w:val="pt-BR"/>
        </w:rPr>
        <w:t xml:space="preserve">e à </w:t>
      </w:r>
      <w:r w:rsidR="008806F8" w:rsidRPr="0038442F">
        <w:rPr>
          <w:rFonts w:ascii="Verdana" w:hAnsi="Verdana"/>
          <w:sz w:val="20"/>
          <w:szCs w:val="20"/>
          <w:lang w:val="pt-BR"/>
        </w:rPr>
        <w:t>integridade</w:t>
      </w:r>
      <w:r w:rsidR="00407242" w:rsidRPr="0038442F">
        <w:rPr>
          <w:rFonts w:ascii="Verdana" w:hAnsi="Verdana"/>
          <w:sz w:val="20"/>
          <w:szCs w:val="20"/>
          <w:lang w:val="pt-BR"/>
        </w:rPr>
        <w:t xml:space="preserve"> </w:t>
      </w:r>
      <w:r w:rsidR="005135E5" w:rsidRPr="0038442F">
        <w:rPr>
          <w:rFonts w:ascii="Verdana" w:hAnsi="Verdana"/>
          <w:sz w:val="20"/>
          <w:szCs w:val="20"/>
          <w:lang w:val="pt-BR"/>
        </w:rPr>
        <w:t>pessoal</w:t>
      </w:r>
      <w:r w:rsidR="00407242" w:rsidRPr="0038442F">
        <w:rPr>
          <w:rFonts w:ascii="Verdana" w:hAnsi="Verdana"/>
          <w:sz w:val="20"/>
          <w:szCs w:val="20"/>
          <w:lang w:val="pt-BR"/>
        </w:rPr>
        <w:t xml:space="preserve"> </w:t>
      </w:r>
      <w:r w:rsidRPr="0038442F">
        <w:rPr>
          <w:rFonts w:ascii="Verdana" w:hAnsi="Verdana"/>
          <w:sz w:val="20"/>
          <w:szCs w:val="20"/>
          <w:lang w:val="pt-BR"/>
        </w:rPr>
        <w:t>e</w:t>
      </w:r>
      <w:r w:rsidR="005F647D" w:rsidRPr="0038442F">
        <w:rPr>
          <w:rFonts w:ascii="Verdana" w:hAnsi="Verdana"/>
          <w:sz w:val="20"/>
          <w:szCs w:val="20"/>
          <w:lang w:val="pt-BR"/>
        </w:rPr>
        <w:t>,</w:t>
      </w:r>
      <w:r w:rsidR="00680BB9" w:rsidRPr="0038442F">
        <w:rPr>
          <w:rFonts w:ascii="Verdana" w:hAnsi="Verdana"/>
          <w:sz w:val="20"/>
          <w:szCs w:val="20"/>
          <w:lang w:val="pt-BR"/>
        </w:rPr>
        <w:t xml:space="preserve"> </w:t>
      </w:r>
      <w:r w:rsidRPr="0038442F">
        <w:rPr>
          <w:rFonts w:ascii="Verdana" w:hAnsi="Verdana"/>
          <w:sz w:val="20"/>
          <w:szCs w:val="20"/>
          <w:lang w:val="pt-BR"/>
        </w:rPr>
        <w:t xml:space="preserve">em </w:t>
      </w:r>
      <w:r w:rsidR="00984A83" w:rsidRPr="0038442F">
        <w:rPr>
          <w:rFonts w:ascii="Verdana" w:hAnsi="Verdana"/>
          <w:sz w:val="20"/>
          <w:szCs w:val="20"/>
          <w:lang w:val="pt-BR"/>
        </w:rPr>
        <w:t>outr</w:t>
      </w:r>
      <w:r w:rsidR="000001AD" w:rsidRPr="0038442F">
        <w:rPr>
          <w:rFonts w:ascii="Verdana" w:hAnsi="Verdana"/>
          <w:sz w:val="20"/>
          <w:szCs w:val="20"/>
          <w:lang w:val="pt-BR"/>
        </w:rPr>
        <w:t>a</w:t>
      </w:r>
      <w:r w:rsidR="005F647D" w:rsidRPr="0038442F">
        <w:rPr>
          <w:rFonts w:ascii="Verdana" w:hAnsi="Verdana"/>
          <w:sz w:val="20"/>
          <w:szCs w:val="20"/>
          <w:lang w:val="pt-BR"/>
        </w:rPr>
        <w:t xml:space="preserve">, </w:t>
      </w:r>
      <w:r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A30C5" w:rsidRPr="0038442F">
        <w:rPr>
          <w:rFonts w:ascii="Verdana" w:hAnsi="Verdana"/>
          <w:sz w:val="20"/>
          <w:szCs w:val="20"/>
          <w:lang w:val="pt-BR"/>
        </w:rPr>
        <w:t>ao trabalho</w:t>
      </w:r>
      <w:r w:rsidR="00680BB9" w:rsidRPr="0038442F">
        <w:rPr>
          <w:rFonts w:ascii="Verdana" w:hAnsi="Verdana"/>
          <w:sz w:val="20"/>
          <w:szCs w:val="20"/>
          <w:lang w:val="pt-BR"/>
        </w:rPr>
        <w:t xml:space="preserve">, </w:t>
      </w:r>
      <w:r w:rsidRPr="0038442F">
        <w:rPr>
          <w:rFonts w:ascii="Verdana" w:hAnsi="Verdana"/>
          <w:sz w:val="20"/>
          <w:szCs w:val="20"/>
          <w:lang w:val="pt-BR"/>
        </w:rPr>
        <w:t xml:space="preserve">é relevante fazer </w:t>
      </w:r>
      <w:r w:rsidR="00680BB9" w:rsidRPr="0038442F">
        <w:rPr>
          <w:rFonts w:ascii="Verdana" w:hAnsi="Verdana"/>
          <w:sz w:val="20"/>
          <w:szCs w:val="20"/>
          <w:lang w:val="pt-BR"/>
        </w:rPr>
        <w:t>notar que</w:t>
      </w:r>
      <w:r w:rsidR="00257691" w:rsidRPr="0038442F">
        <w:rPr>
          <w:rFonts w:ascii="Verdana" w:hAnsi="Verdana"/>
          <w:sz w:val="20"/>
          <w:szCs w:val="20"/>
          <w:lang w:val="pt-BR"/>
        </w:rPr>
        <w:t xml:space="preserve"> </w:t>
      </w:r>
      <w:r w:rsidRPr="0038442F">
        <w:rPr>
          <w:rFonts w:ascii="Verdana" w:hAnsi="Verdana"/>
          <w:sz w:val="20"/>
          <w:szCs w:val="20"/>
          <w:lang w:val="pt-BR"/>
        </w:rPr>
        <w:t xml:space="preserve">– dada </w:t>
      </w:r>
      <w:r w:rsidR="00680BB9" w:rsidRPr="0038442F">
        <w:rPr>
          <w:rFonts w:ascii="Verdana" w:hAnsi="Verdana"/>
          <w:sz w:val="20"/>
          <w:szCs w:val="20"/>
          <w:lang w:val="pt-BR"/>
        </w:rPr>
        <w:t>a interdepend</w:t>
      </w:r>
      <w:r w:rsidRPr="0038442F">
        <w:rPr>
          <w:rFonts w:ascii="Verdana" w:hAnsi="Verdana"/>
          <w:sz w:val="20"/>
          <w:szCs w:val="20"/>
          <w:lang w:val="pt-BR"/>
        </w:rPr>
        <w:t>ê</w:t>
      </w:r>
      <w:r w:rsidR="00680BB9" w:rsidRPr="0038442F">
        <w:rPr>
          <w:rFonts w:ascii="Verdana" w:hAnsi="Verdana"/>
          <w:sz w:val="20"/>
          <w:szCs w:val="20"/>
          <w:lang w:val="pt-BR"/>
        </w:rPr>
        <w:t>ncia e indivisibilidad</w:t>
      </w:r>
      <w:r w:rsidRPr="0038442F">
        <w:rPr>
          <w:rFonts w:ascii="Verdana" w:hAnsi="Verdana"/>
          <w:sz w:val="20"/>
          <w:szCs w:val="20"/>
          <w:lang w:val="pt-BR"/>
        </w:rPr>
        <w:t>e</w:t>
      </w:r>
      <w:r w:rsidR="00680BB9" w:rsidRPr="0038442F">
        <w:rPr>
          <w:rFonts w:ascii="Verdana" w:hAnsi="Verdana"/>
          <w:sz w:val="20"/>
          <w:szCs w:val="20"/>
          <w:lang w:val="pt-BR"/>
        </w:rPr>
        <w:t xml:space="preserve"> </w:t>
      </w:r>
      <w:r w:rsidR="00C92762" w:rsidRPr="0038442F">
        <w:rPr>
          <w:rFonts w:ascii="Verdana" w:hAnsi="Verdana"/>
          <w:sz w:val="20"/>
          <w:szCs w:val="20"/>
          <w:lang w:val="pt-BR"/>
        </w:rPr>
        <w:t xml:space="preserve">dos direitos </w:t>
      </w:r>
      <w:r w:rsidR="00680BB9" w:rsidRPr="0038442F">
        <w:rPr>
          <w:rFonts w:ascii="Verdana" w:hAnsi="Verdana"/>
          <w:sz w:val="20"/>
          <w:szCs w:val="20"/>
          <w:lang w:val="pt-BR"/>
        </w:rPr>
        <w:t>humanos</w:t>
      </w:r>
      <w:r w:rsidRPr="0038442F">
        <w:rPr>
          <w:rFonts w:ascii="Verdana" w:hAnsi="Verdana"/>
          <w:sz w:val="20"/>
          <w:szCs w:val="20"/>
          <w:lang w:val="pt-BR"/>
        </w:rPr>
        <w:t xml:space="preserve"> –</w:t>
      </w:r>
      <w:r w:rsidR="00680BB9" w:rsidRPr="0038442F">
        <w:rPr>
          <w:rFonts w:ascii="Verdana" w:hAnsi="Verdana"/>
          <w:sz w:val="20"/>
          <w:szCs w:val="20"/>
          <w:lang w:val="pt-BR"/>
        </w:rPr>
        <w:t xml:space="preserve">, </w:t>
      </w:r>
      <w:r w:rsidR="008806F8" w:rsidRPr="0038442F">
        <w:rPr>
          <w:rFonts w:ascii="Verdana" w:hAnsi="Verdana"/>
          <w:sz w:val="20"/>
          <w:szCs w:val="20"/>
          <w:lang w:val="pt-BR"/>
        </w:rPr>
        <w:t xml:space="preserve">as violações </w:t>
      </w:r>
      <w:r w:rsidR="009612FB" w:rsidRPr="0038442F">
        <w:rPr>
          <w:rFonts w:ascii="Verdana" w:hAnsi="Verdana"/>
          <w:sz w:val="20"/>
          <w:szCs w:val="20"/>
          <w:lang w:val="pt-BR"/>
        </w:rPr>
        <w:t>devem</w:t>
      </w:r>
      <w:r w:rsidR="00407242" w:rsidRPr="0038442F">
        <w:rPr>
          <w:rFonts w:ascii="Verdana" w:hAnsi="Verdana"/>
          <w:sz w:val="20"/>
          <w:szCs w:val="20"/>
          <w:lang w:val="pt-BR"/>
        </w:rPr>
        <w:t xml:space="preserve"> </w:t>
      </w:r>
      <w:r w:rsidR="00680BB9" w:rsidRPr="0038442F">
        <w:rPr>
          <w:rFonts w:ascii="Verdana" w:hAnsi="Verdana"/>
          <w:sz w:val="20"/>
          <w:szCs w:val="20"/>
          <w:lang w:val="pt-BR"/>
        </w:rPr>
        <w:t>ser compr</w:t>
      </w:r>
      <w:r w:rsidRPr="0038442F">
        <w:rPr>
          <w:rFonts w:ascii="Verdana" w:hAnsi="Verdana"/>
          <w:sz w:val="20"/>
          <w:szCs w:val="20"/>
          <w:lang w:val="pt-BR"/>
        </w:rPr>
        <w:t>e</w:t>
      </w:r>
      <w:r w:rsidR="00680BB9" w:rsidRPr="0038442F">
        <w:rPr>
          <w:rFonts w:ascii="Verdana" w:hAnsi="Verdana"/>
          <w:sz w:val="20"/>
          <w:szCs w:val="20"/>
          <w:lang w:val="pt-BR"/>
        </w:rPr>
        <w:t xml:space="preserve">endidas de </w:t>
      </w:r>
      <w:r w:rsidR="00FD4058">
        <w:rPr>
          <w:rFonts w:ascii="Verdana" w:hAnsi="Verdana"/>
          <w:sz w:val="20"/>
          <w:szCs w:val="20"/>
          <w:lang w:val="pt-BR"/>
        </w:rPr>
        <w:t>forma</w:t>
      </w:r>
      <w:r w:rsidR="00FD4058" w:rsidRPr="0038442F">
        <w:rPr>
          <w:rFonts w:ascii="Verdana" w:hAnsi="Verdana"/>
          <w:sz w:val="20"/>
          <w:szCs w:val="20"/>
          <w:lang w:val="pt-BR"/>
        </w:rPr>
        <w:t xml:space="preserve"> </w:t>
      </w:r>
      <w:r w:rsidR="00680BB9" w:rsidRPr="0038442F">
        <w:rPr>
          <w:rFonts w:ascii="Verdana" w:hAnsi="Verdana"/>
          <w:sz w:val="20"/>
          <w:szCs w:val="20"/>
          <w:lang w:val="pt-BR"/>
        </w:rPr>
        <w:t>integral</w:t>
      </w:r>
      <w:r w:rsidRPr="0038442F">
        <w:rPr>
          <w:rFonts w:ascii="Verdana" w:hAnsi="Verdana"/>
          <w:sz w:val="20"/>
          <w:szCs w:val="20"/>
          <w:lang w:val="pt-BR"/>
        </w:rPr>
        <w:t xml:space="preserve">, ou seja, o </w:t>
      </w:r>
      <w:r w:rsidR="00BB665E" w:rsidRPr="0038442F">
        <w:rPr>
          <w:rFonts w:ascii="Verdana" w:hAnsi="Verdana"/>
          <w:sz w:val="20"/>
          <w:szCs w:val="20"/>
          <w:lang w:val="pt-BR"/>
        </w:rPr>
        <w:t>descumprimento</w:t>
      </w:r>
      <w:r w:rsidR="00407242" w:rsidRPr="0038442F">
        <w:rPr>
          <w:rFonts w:ascii="Verdana" w:hAnsi="Verdana"/>
          <w:sz w:val="20"/>
          <w:szCs w:val="20"/>
          <w:lang w:val="pt-BR"/>
        </w:rPr>
        <w:t xml:space="preserve"> </w:t>
      </w:r>
      <w:r w:rsidR="00680BB9" w:rsidRPr="0038442F">
        <w:rPr>
          <w:rFonts w:ascii="Verdana" w:hAnsi="Verdana"/>
          <w:sz w:val="20"/>
          <w:szCs w:val="20"/>
          <w:lang w:val="pt-BR"/>
        </w:rPr>
        <w:t>(por ina</w:t>
      </w:r>
      <w:r w:rsidR="000A1AA8" w:rsidRPr="0038442F">
        <w:rPr>
          <w:rFonts w:ascii="Verdana" w:hAnsi="Verdana"/>
          <w:sz w:val="20"/>
          <w:szCs w:val="20"/>
          <w:lang w:val="pt-BR"/>
        </w:rPr>
        <w:t>ção</w:t>
      </w:r>
      <w:r w:rsidR="00680BB9" w:rsidRPr="0038442F">
        <w:rPr>
          <w:rFonts w:ascii="Verdana" w:hAnsi="Verdana"/>
          <w:sz w:val="20"/>
          <w:szCs w:val="20"/>
          <w:lang w:val="pt-BR"/>
        </w:rPr>
        <w:t xml:space="preserve"> </w:t>
      </w:r>
      <w:r w:rsidRPr="0038442F">
        <w:rPr>
          <w:rFonts w:ascii="Verdana" w:hAnsi="Verdana"/>
          <w:sz w:val="20"/>
          <w:szCs w:val="20"/>
          <w:lang w:val="pt-BR"/>
        </w:rPr>
        <w:t>e</w:t>
      </w:r>
      <w:r w:rsidR="00680BB9" w:rsidRPr="0038442F">
        <w:rPr>
          <w:rFonts w:ascii="Verdana" w:hAnsi="Verdana"/>
          <w:sz w:val="20"/>
          <w:szCs w:val="20"/>
          <w:lang w:val="pt-BR"/>
        </w:rPr>
        <w:t xml:space="preserve"> </w:t>
      </w:r>
      <w:r w:rsidR="00C92762" w:rsidRPr="0038442F">
        <w:rPr>
          <w:rFonts w:ascii="Verdana" w:hAnsi="Verdana"/>
          <w:sz w:val="20"/>
          <w:szCs w:val="20"/>
          <w:lang w:val="pt-BR"/>
        </w:rPr>
        <w:t>omissão</w:t>
      </w:r>
      <w:r w:rsidR="00680BB9" w:rsidRPr="0038442F">
        <w:rPr>
          <w:rFonts w:ascii="Verdana" w:hAnsi="Verdana"/>
          <w:sz w:val="20"/>
          <w:szCs w:val="20"/>
          <w:lang w:val="pt-BR"/>
        </w:rPr>
        <w:t xml:space="preserve">) </w:t>
      </w:r>
      <w:r w:rsidR="00C92762" w:rsidRPr="0038442F">
        <w:rPr>
          <w:rFonts w:ascii="Verdana" w:hAnsi="Verdana"/>
          <w:sz w:val="20"/>
          <w:szCs w:val="20"/>
          <w:lang w:val="pt-BR"/>
        </w:rPr>
        <w:t>da obrigação</w:t>
      </w:r>
      <w:r w:rsidR="00407242" w:rsidRPr="0038442F">
        <w:rPr>
          <w:rFonts w:ascii="Verdana" w:hAnsi="Verdana"/>
          <w:sz w:val="20"/>
          <w:szCs w:val="20"/>
          <w:lang w:val="pt-BR"/>
        </w:rPr>
        <w:t xml:space="preserve"> </w:t>
      </w:r>
      <w:r w:rsidR="00680BB9" w:rsidRPr="0038442F">
        <w:rPr>
          <w:rFonts w:ascii="Verdana" w:hAnsi="Verdana"/>
          <w:sz w:val="20"/>
          <w:szCs w:val="20"/>
          <w:lang w:val="pt-BR"/>
        </w:rPr>
        <w:t>de preven</w:t>
      </w:r>
      <w:r w:rsidR="000A1AA8" w:rsidRPr="0038442F">
        <w:rPr>
          <w:rFonts w:ascii="Verdana" w:hAnsi="Verdana"/>
          <w:sz w:val="20"/>
          <w:szCs w:val="20"/>
          <w:lang w:val="pt-BR"/>
        </w:rPr>
        <w:t>ção</w:t>
      </w:r>
      <w:r w:rsidR="000001AD" w:rsidRPr="0038442F">
        <w:rPr>
          <w:rFonts w:ascii="Verdana" w:hAnsi="Verdana"/>
          <w:sz w:val="20"/>
          <w:szCs w:val="20"/>
          <w:lang w:val="pt-BR"/>
        </w:rPr>
        <w:t>,</w:t>
      </w:r>
      <w:r w:rsidR="00680BB9" w:rsidRPr="0038442F">
        <w:rPr>
          <w:rFonts w:ascii="Verdana" w:hAnsi="Verdana"/>
          <w:sz w:val="20"/>
          <w:szCs w:val="20"/>
          <w:lang w:val="pt-BR"/>
        </w:rPr>
        <w:t xml:space="preserve"> frente a u</w:t>
      </w:r>
      <w:r w:rsidRPr="0038442F">
        <w:rPr>
          <w:rFonts w:ascii="Verdana" w:hAnsi="Verdana"/>
          <w:sz w:val="20"/>
          <w:szCs w:val="20"/>
          <w:lang w:val="pt-BR"/>
        </w:rPr>
        <w:t>m</w:t>
      </w:r>
      <w:r w:rsidR="00680BB9" w:rsidRPr="0038442F">
        <w:rPr>
          <w:rFonts w:ascii="Verdana" w:hAnsi="Verdana"/>
          <w:sz w:val="20"/>
          <w:szCs w:val="20"/>
          <w:lang w:val="pt-BR"/>
        </w:rPr>
        <w:t xml:space="preserve"> </w:t>
      </w:r>
      <w:r w:rsidR="00A97590" w:rsidRPr="0038442F">
        <w:rPr>
          <w:rFonts w:ascii="Verdana" w:hAnsi="Verdana"/>
          <w:sz w:val="20"/>
          <w:szCs w:val="20"/>
          <w:lang w:val="pt-BR"/>
        </w:rPr>
        <w:t>dever</w:t>
      </w:r>
      <w:r w:rsidR="00407242" w:rsidRPr="0038442F">
        <w:rPr>
          <w:rFonts w:ascii="Verdana" w:hAnsi="Verdana"/>
          <w:sz w:val="20"/>
          <w:szCs w:val="20"/>
          <w:lang w:val="pt-BR"/>
        </w:rPr>
        <w:t xml:space="preserve"> </w:t>
      </w:r>
      <w:r w:rsidR="00680BB9" w:rsidRPr="0038442F">
        <w:rPr>
          <w:rFonts w:ascii="Verdana" w:hAnsi="Verdana"/>
          <w:sz w:val="20"/>
          <w:szCs w:val="20"/>
          <w:lang w:val="pt-BR"/>
        </w:rPr>
        <w:t xml:space="preserve">concreto </w:t>
      </w:r>
      <w:r w:rsidRPr="0038442F">
        <w:rPr>
          <w:rFonts w:ascii="Verdana" w:hAnsi="Verdana"/>
          <w:sz w:val="20"/>
          <w:szCs w:val="20"/>
          <w:lang w:val="pt-BR"/>
        </w:rPr>
        <w:t>e</w:t>
      </w:r>
      <w:r w:rsidR="00680BB9" w:rsidRPr="0038442F">
        <w:rPr>
          <w:rFonts w:ascii="Verdana" w:hAnsi="Verdana"/>
          <w:sz w:val="20"/>
          <w:szCs w:val="20"/>
          <w:lang w:val="pt-BR"/>
        </w:rPr>
        <w:t xml:space="preserve"> expre</w:t>
      </w:r>
      <w:r w:rsidRPr="0038442F">
        <w:rPr>
          <w:rFonts w:ascii="Verdana" w:hAnsi="Verdana"/>
          <w:sz w:val="20"/>
          <w:szCs w:val="20"/>
          <w:lang w:val="pt-BR"/>
        </w:rPr>
        <w:t>s</w:t>
      </w:r>
      <w:r w:rsidR="00680BB9" w:rsidRPr="0038442F">
        <w:rPr>
          <w:rFonts w:ascii="Verdana" w:hAnsi="Verdana"/>
          <w:sz w:val="20"/>
          <w:szCs w:val="20"/>
          <w:lang w:val="pt-BR"/>
        </w:rPr>
        <w:t>so (fiscalizar, supervis</w:t>
      </w:r>
      <w:r w:rsidRPr="0038442F">
        <w:rPr>
          <w:rFonts w:ascii="Verdana" w:hAnsi="Verdana"/>
          <w:sz w:val="20"/>
          <w:szCs w:val="20"/>
          <w:lang w:val="pt-BR"/>
        </w:rPr>
        <w:t>ion</w:t>
      </w:r>
      <w:r w:rsidR="00680BB9" w:rsidRPr="0038442F">
        <w:rPr>
          <w:rFonts w:ascii="Verdana" w:hAnsi="Verdana"/>
          <w:sz w:val="20"/>
          <w:szCs w:val="20"/>
          <w:lang w:val="pt-BR"/>
        </w:rPr>
        <w:t xml:space="preserve">ar </w:t>
      </w:r>
      <w:r w:rsidR="00533BCF" w:rsidRPr="0038442F">
        <w:rPr>
          <w:rFonts w:ascii="Verdana" w:hAnsi="Verdana"/>
          <w:sz w:val="20"/>
          <w:szCs w:val="20"/>
          <w:lang w:val="pt-BR"/>
        </w:rPr>
        <w:t>o</w:t>
      </w:r>
      <w:r w:rsidRPr="0038442F">
        <w:rPr>
          <w:rFonts w:ascii="Verdana" w:hAnsi="Verdana"/>
          <w:sz w:val="20"/>
          <w:szCs w:val="20"/>
          <w:lang w:val="pt-BR"/>
        </w:rPr>
        <w:t>u</w:t>
      </w:r>
      <w:r w:rsidR="00680BB9" w:rsidRPr="0038442F">
        <w:rPr>
          <w:rFonts w:ascii="Verdana" w:hAnsi="Verdana"/>
          <w:sz w:val="20"/>
          <w:szCs w:val="20"/>
          <w:lang w:val="pt-BR"/>
        </w:rPr>
        <w:t xml:space="preserve"> inspecionar)</w:t>
      </w:r>
      <w:r w:rsidR="00B14813" w:rsidRPr="0038442F">
        <w:rPr>
          <w:rFonts w:ascii="Verdana" w:hAnsi="Verdana"/>
          <w:sz w:val="20"/>
          <w:szCs w:val="20"/>
          <w:lang w:val="pt-BR"/>
        </w:rPr>
        <w:t>,</w:t>
      </w:r>
      <w:r w:rsidR="00680BB9" w:rsidRPr="0038442F">
        <w:rPr>
          <w:rFonts w:ascii="Verdana" w:hAnsi="Verdana"/>
          <w:sz w:val="20"/>
          <w:szCs w:val="20"/>
          <w:lang w:val="pt-BR"/>
        </w:rPr>
        <w:t xml:space="preserve"> </w:t>
      </w:r>
      <w:r w:rsidRPr="0038442F">
        <w:rPr>
          <w:rFonts w:ascii="Verdana" w:hAnsi="Verdana"/>
          <w:sz w:val="20"/>
          <w:szCs w:val="20"/>
          <w:lang w:val="pt-BR"/>
        </w:rPr>
        <w:t xml:space="preserve">provoca impacto em </w:t>
      </w:r>
      <w:r w:rsidR="00680BB9" w:rsidRPr="0038442F">
        <w:rPr>
          <w:rFonts w:ascii="Verdana" w:hAnsi="Verdana"/>
          <w:sz w:val="20"/>
          <w:szCs w:val="20"/>
          <w:lang w:val="pt-BR"/>
        </w:rPr>
        <w:t xml:space="preserve">cada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680BB9" w:rsidRPr="0038442F">
        <w:rPr>
          <w:rFonts w:ascii="Verdana" w:hAnsi="Verdana"/>
          <w:sz w:val="20"/>
          <w:szCs w:val="20"/>
          <w:lang w:val="pt-BR"/>
        </w:rPr>
        <w:t>viola</w:t>
      </w:r>
      <w:r w:rsidR="000A1AA8" w:rsidRPr="0038442F">
        <w:rPr>
          <w:rFonts w:ascii="Verdana" w:hAnsi="Verdana"/>
          <w:sz w:val="20"/>
          <w:szCs w:val="20"/>
          <w:lang w:val="pt-BR"/>
        </w:rPr>
        <w:t>ções</w:t>
      </w:r>
      <w:r w:rsidR="00680BB9" w:rsidRPr="0038442F">
        <w:rPr>
          <w:rFonts w:ascii="Verdana" w:hAnsi="Verdana"/>
          <w:sz w:val="20"/>
          <w:szCs w:val="20"/>
          <w:lang w:val="pt-BR"/>
        </w:rPr>
        <w:t xml:space="preserve"> constatadas. </w:t>
      </w:r>
    </w:p>
    <w:p w14:paraId="78525116" w14:textId="1C4CB39F" w:rsidR="005F647D" w:rsidRPr="0038442F" w:rsidRDefault="00647C46" w:rsidP="00257691">
      <w:pPr>
        <w:pStyle w:val="Prrafodelista"/>
        <w:numPr>
          <w:ilvl w:val="0"/>
          <w:numId w:val="2"/>
        </w:numPr>
        <w:spacing w:line="240" w:lineRule="auto"/>
        <w:ind w:left="0" w:firstLine="0"/>
        <w:jc w:val="both"/>
        <w:rPr>
          <w:rFonts w:ascii="Verdana" w:hAnsi="Verdana"/>
          <w:bCs/>
          <w:sz w:val="20"/>
          <w:szCs w:val="20"/>
          <w:lang w:val="pt-BR"/>
        </w:rPr>
      </w:pPr>
      <w:r>
        <w:rPr>
          <w:rFonts w:ascii="Verdana" w:hAnsi="Verdana"/>
          <w:bCs/>
          <w:sz w:val="20"/>
          <w:szCs w:val="20"/>
          <w:lang w:val="pt-BR"/>
        </w:rPr>
        <w:t>Assim</w:t>
      </w:r>
      <w:r w:rsidR="005F647D" w:rsidRPr="0038442F">
        <w:rPr>
          <w:rFonts w:ascii="Verdana" w:hAnsi="Verdana"/>
          <w:bCs/>
          <w:sz w:val="20"/>
          <w:szCs w:val="20"/>
          <w:lang w:val="pt-BR"/>
        </w:rPr>
        <w:t>, n</w:t>
      </w:r>
      <w:r w:rsidR="00204278" w:rsidRPr="0038442F">
        <w:rPr>
          <w:rFonts w:ascii="Verdana" w:hAnsi="Verdana"/>
          <w:bCs/>
          <w:sz w:val="20"/>
          <w:szCs w:val="20"/>
          <w:lang w:val="pt-BR"/>
        </w:rPr>
        <w:t>ã</w:t>
      </w:r>
      <w:r w:rsidR="005F647D" w:rsidRPr="0038442F">
        <w:rPr>
          <w:rFonts w:ascii="Verdana" w:hAnsi="Verdana"/>
          <w:bCs/>
          <w:sz w:val="20"/>
          <w:szCs w:val="20"/>
          <w:lang w:val="pt-BR"/>
        </w:rPr>
        <w:t xml:space="preserve">o </w:t>
      </w:r>
      <w:r w:rsidR="008806F8" w:rsidRPr="0038442F">
        <w:rPr>
          <w:rFonts w:ascii="Verdana" w:hAnsi="Verdana"/>
          <w:bCs/>
          <w:sz w:val="20"/>
          <w:szCs w:val="20"/>
          <w:lang w:val="pt-BR"/>
        </w:rPr>
        <w:t xml:space="preserve">estava </w:t>
      </w:r>
      <w:r w:rsidR="005F647D" w:rsidRPr="0038442F">
        <w:rPr>
          <w:rFonts w:ascii="Verdana" w:hAnsi="Verdana"/>
          <w:bCs/>
          <w:sz w:val="20"/>
          <w:szCs w:val="20"/>
          <w:lang w:val="pt-BR"/>
        </w:rPr>
        <w:t>e</w:t>
      </w:r>
      <w:r w:rsidR="00204278" w:rsidRPr="0038442F">
        <w:rPr>
          <w:rFonts w:ascii="Verdana" w:hAnsi="Verdana"/>
          <w:bCs/>
          <w:sz w:val="20"/>
          <w:szCs w:val="20"/>
          <w:lang w:val="pt-BR"/>
        </w:rPr>
        <w:t xml:space="preserve">m discussão se </w:t>
      </w:r>
      <w:r w:rsidR="000A1AA8" w:rsidRPr="0038442F">
        <w:rPr>
          <w:rFonts w:ascii="Verdana" w:hAnsi="Verdana"/>
          <w:bCs/>
          <w:sz w:val="20"/>
          <w:szCs w:val="20"/>
          <w:lang w:val="pt-BR"/>
        </w:rPr>
        <w:t xml:space="preserve">o Estado </w:t>
      </w:r>
      <w:r w:rsidR="00204278" w:rsidRPr="0038442F">
        <w:rPr>
          <w:rFonts w:ascii="Verdana" w:hAnsi="Verdana"/>
          <w:bCs/>
          <w:sz w:val="20"/>
          <w:szCs w:val="20"/>
          <w:lang w:val="pt-BR"/>
        </w:rPr>
        <w:t xml:space="preserve">havia regulamentado, ou não, </w:t>
      </w:r>
      <w:r w:rsidR="005F647D" w:rsidRPr="0038442F">
        <w:rPr>
          <w:rFonts w:ascii="Verdana" w:hAnsi="Verdana"/>
          <w:bCs/>
          <w:sz w:val="20"/>
          <w:szCs w:val="20"/>
          <w:lang w:val="pt-BR"/>
        </w:rPr>
        <w:t xml:space="preserve">de </w:t>
      </w:r>
      <w:r w:rsidR="00FD4058">
        <w:rPr>
          <w:rFonts w:ascii="Verdana" w:hAnsi="Verdana"/>
          <w:bCs/>
          <w:sz w:val="20"/>
          <w:szCs w:val="20"/>
          <w:lang w:val="pt-BR"/>
        </w:rPr>
        <w:t>forma</w:t>
      </w:r>
      <w:r w:rsidR="00FD4058" w:rsidRPr="0038442F">
        <w:rPr>
          <w:rFonts w:ascii="Verdana" w:hAnsi="Verdana"/>
          <w:bCs/>
          <w:sz w:val="20"/>
          <w:szCs w:val="20"/>
          <w:lang w:val="pt-BR"/>
        </w:rPr>
        <w:t xml:space="preserve"> </w:t>
      </w:r>
      <w:r w:rsidR="005F647D" w:rsidRPr="0038442F">
        <w:rPr>
          <w:rFonts w:ascii="Verdana" w:hAnsi="Verdana"/>
          <w:bCs/>
          <w:sz w:val="20"/>
          <w:szCs w:val="20"/>
          <w:lang w:val="pt-BR"/>
        </w:rPr>
        <w:t>preventiva</w:t>
      </w:r>
      <w:r w:rsidR="00204278" w:rsidRPr="0038442F">
        <w:rPr>
          <w:rFonts w:ascii="Verdana" w:hAnsi="Verdana"/>
          <w:bCs/>
          <w:sz w:val="20"/>
          <w:szCs w:val="20"/>
          <w:lang w:val="pt-BR"/>
        </w:rPr>
        <w:t>,</w:t>
      </w:r>
      <w:r w:rsidR="005F647D" w:rsidRPr="0038442F">
        <w:rPr>
          <w:rFonts w:ascii="Verdana" w:hAnsi="Verdana"/>
          <w:bCs/>
          <w:sz w:val="20"/>
          <w:szCs w:val="20"/>
          <w:lang w:val="pt-BR"/>
        </w:rPr>
        <w:t xml:space="preserve"> as </w:t>
      </w:r>
      <w:r w:rsidR="009F06E2" w:rsidRPr="0038442F">
        <w:rPr>
          <w:rFonts w:ascii="Verdana" w:hAnsi="Verdana"/>
          <w:bCs/>
          <w:sz w:val="20"/>
          <w:szCs w:val="20"/>
          <w:lang w:val="pt-BR"/>
        </w:rPr>
        <w:t xml:space="preserve">atividades </w:t>
      </w:r>
      <w:r w:rsidR="00204278" w:rsidRPr="0038442F">
        <w:rPr>
          <w:rFonts w:ascii="Verdana" w:hAnsi="Verdana"/>
          <w:bCs/>
          <w:sz w:val="20"/>
          <w:szCs w:val="20"/>
          <w:lang w:val="pt-BR"/>
        </w:rPr>
        <w:t xml:space="preserve">consideradas perigosas, </w:t>
      </w:r>
      <w:r w:rsidR="005F647D" w:rsidRPr="0038442F">
        <w:rPr>
          <w:rFonts w:ascii="Verdana" w:hAnsi="Verdana"/>
          <w:bCs/>
          <w:sz w:val="20"/>
          <w:szCs w:val="20"/>
          <w:lang w:val="pt-BR"/>
        </w:rPr>
        <w:t xml:space="preserve">como parte </w:t>
      </w:r>
      <w:r w:rsidR="00C92762" w:rsidRPr="0038442F">
        <w:rPr>
          <w:rFonts w:ascii="Verdana" w:hAnsi="Verdana"/>
          <w:bCs/>
          <w:sz w:val="20"/>
          <w:szCs w:val="20"/>
          <w:lang w:val="pt-BR"/>
        </w:rPr>
        <w:t>da obrigação</w:t>
      </w:r>
      <w:r w:rsidR="00407242" w:rsidRPr="0038442F">
        <w:rPr>
          <w:rFonts w:ascii="Verdana" w:hAnsi="Verdana"/>
          <w:bCs/>
          <w:sz w:val="20"/>
          <w:szCs w:val="20"/>
          <w:lang w:val="pt-BR"/>
        </w:rPr>
        <w:t xml:space="preserve"> </w:t>
      </w:r>
      <w:r w:rsidR="005F647D" w:rsidRPr="0038442F">
        <w:rPr>
          <w:rFonts w:ascii="Verdana" w:hAnsi="Verdana"/>
          <w:bCs/>
          <w:sz w:val="20"/>
          <w:szCs w:val="20"/>
          <w:lang w:val="pt-BR"/>
        </w:rPr>
        <w:t xml:space="preserve">de </w:t>
      </w:r>
      <w:r w:rsidR="00C92762" w:rsidRPr="0038442F">
        <w:rPr>
          <w:rFonts w:ascii="Verdana" w:hAnsi="Verdana"/>
          <w:bCs/>
          <w:sz w:val="20"/>
          <w:szCs w:val="20"/>
          <w:lang w:val="pt-BR"/>
        </w:rPr>
        <w:t>garantia</w:t>
      </w:r>
      <w:r w:rsidR="005F647D" w:rsidRPr="0038442F">
        <w:rPr>
          <w:rFonts w:ascii="Verdana" w:hAnsi="Verdana"/>
          <w:bCs/>
          <w:sz w:val="20"/>
          <w:szCs w:val="20"/>
          <w:lang w:val="pt-BR"/>
        </w:rPr>
        <w:t xml:space="preserve">. </w:t>
      </w:r>
      <w:r w:rsidR="00204278" w:rsidRPr="0038442F">
        <w:rPr>
          <w:rFonts w:ascii="Verdana" w:hAnsi="Verdana"/>
          <w:bCs/>
          <w:sz w:val="20"/>
          <w:szCs w:val="20"/>
          <w:lang w:val="pt-BR"/>
        </w:rPr>
        <w:t xml:space="preserve">No </w:t>
      </w:r>
      <w:r w:rsidR="005F647D" w:rsidRPr="0038442F">
        <w:rPr>
          <w:rFonts w:ascii="Verdana" w:hAnsi="Verdana"/>
          <w:bCs/>
          <w:sz w:val="20"/>
          <w:szCs w:val="20"/>
          <w:lang w:val="pt-BR"/>
        </w:rPr>
        <w:t>caso</w:t>
      </w:r>
      <w:r w:rsidR="00204278" w:rsidRPr="0038442F">
        <w:rPr>
          <w:rFonts w:ascii="Verdana" w:hAnsi="Verdana"/>
          <w:bCs/>
          <w:sz w:val="20"/>
          <w:szCs w:val="20"/>
          <w:lang w:val="pt-BR"/>
        </w:rPr>
        <w:t>, analisou</w:t>
      </w:r>
      <w:r w:rsidR="00FD4058">
        <w:rPr>
          <w:rFonts w:ascii="Verdana" w:hAnsi="Verdana"/>
          <w:bCs/>
          <w:sz w:val="20"/>
          <w:szCs w:val="20"/>
          <w:lang w:val="pt-BR"/>
        </w:rPr>
        <w:t>-se</w:t>
      </w:r>
      <w:r w:rsidR="00204278" w:rsidRPr="0038442F">
        <w:rPr>
          <w:rFonts w:ascii="Verdana" w:hAnsi="Verdana"/>
          <w:bCs/>
          <w:sz w:val="20"/>
          <w:szCs w:val="20"/>
          <w:lang w:val="pt-BR"/>
        </w:rPr>
        <w:t xml:space="preserve"> se essa legislação havia </w:t>
      </w:r>
      <w:r w:rsidR="005F647D" w:rsidRPr="0038442F">
        <w:rPr>
          <w:rFonts w:ascii="Verdana" w:hAnsi="Verdana"/>
          <w:bCs/>
          <w:sz w:val="20"/>
          <w:szCs w:val="20"/>
          <w:lang w:val="pt-BR"/>
        </w:rPr>
        <w:t xml:space="preserve">sido implementada </w:t>
      </w:r>
      <w:r w:rsidR="006A12FD" w:rsidRPr="0038442F">
        <w:rPr>
          <w:rFonts w:ascii="Verdana" w:hAnsi="Verdana"/>
          <w:bCs/>
          <w:sz w:val="20"/>
          <w:szCs w:val="20"/>
          <w:lang w:val="pt-BR"/>
        </w:rPr>
        <w:t xml:space="preserve">pelas </w:t>
      </w:r>
      <w:r w:rsidR="005F647D" w:rsidRPr="0038442F">
        <w:rPr>
          <w:rFonts w:ascii="Verdana" w:hAnsi="Verdana"/>
          <w:bCs/>
          <w:sz w:val="20"/>
          <w:szCs w:val="20"/>
          <w:lang w:val="pt-BR"/>
        </w:rPr>
        <w:t xml:space="preserve">autoridades competentes </w:t>
      </w:r>
      <w:r w:rsidR="00204278" w:rsidRPr="0038442F">
        <w:rPr>
          <w:rFonts w:ascii="Verdana" w:hAnsi="Verdana"/>
          <w:bCs/>
          <w:sz w:val="20"/>
          <w:szCs w:val="20"/>
          <w:lang w:val="pt-BR"/>
        </w:rPr>
        <w:t>e se a</w:t>
      </w:r>
      <w:r>
        <w:rPr>
          <w:rFonts w:ascii="Verdana" w:hAnsi="Verdana"/>
          <w:bCs/>
          <w:sz w:val="20"/>
          <w:szCs w:val="20"/>
          <w:lang w:val="pt-BR"/>
        </w:rPr>
        <w:t xml:space="preserve"> atuaç</w:t>
      </w:r>
      <w:r w:rsidRPr="0038442F">
        <w:rPr>
          <w:rFonts w:ascii="Verdana" w:hAnsi="Verdana"/>
          <w:bCs/>
          <w:sz w:val="20"/>
          <w:szCs w:val="20"/>
          <w:lang w:val="pt-BR"/>
        </w:rPr>
        <w:t>ã</w:t>
      </w:r>
      <w:r>
        <w:rPr>
          <w:rFonts w:ascii="Verdana" w:hAnsi="Verdana"/>
          <w:bCs/>
          <w:sz w:val="20"/>
          <w:szCs w:val="20"/>
          <w:lang w:val="pt-BR"/>
        </w:rPr>
        <w:t>o</w:t>
      </w:r>
      <w:r w:rsidR="00204278" w:rsidRPr="0038442F">
        <w:rPr>
          <w:rFonts w:ascii="Verdana" w:hAnsi="Verdana"/>
          <w:bCs/>
          <w:sz w:val="20"/>
          <w:szCs w:val="20"/>
          <w:lang w:val="pt-BR"/>
        </w:rPr>
        <w:t xml:space="preserve"> dessas </w:t>
      </w:r>
      <w:r w:rsidR="005F647D" w:rsidRPr="0038442F">
        <w:rPr>
          <w:rFonts w:ascii="Verdana" w:hAnsi="Verdana"/>
          <w:bCs/>
          <w:sz w:val="20"/>
          <w:szCs w:val="20"/>
          <w:lang w:val="pt-BR"/>
        </w:rPr>
        <w:t xml:space="preserve">autoridades </w:t>
      </w:r>
      <w:r w:rsidR="00204278" w:rsidRPr="0038442F">
        <w:rPr>
          <w:rFonts w:ascii="Verdana" w:hAnsi="Verdana"/>
          <w:bCs/>
          <w:sz w:val="20"/>
          <w:szCs w:val="20"/>
          <w:lang w:val="pt-BR"/>
        </w:rPr>
        <w:t xml:space="preserve">havia </w:t>
      </w:r>
      <w:r w:rsidR="005F647D" w:rsidRPr="0038442F">
        <w:rPr>
          <w:rFonts w:ascii="Verdana" w:hAnsi="Verdana"/>
          <w:bCs/>
          <w:sz w:val="20"/>
          <w:szCs w:val="20"/>
          <w:lang w:val="pt-BR"/>
        </w:rPr>
        <w:t>prevenido</w:t>
      </w:r>
      <w:r w:rsidR="00257691" w:rsidRPr="0038442F">
        <w:rPr>
          <w:rFonts w:ascii="Verdana" w:hAnsi="Verdana"/>
          <w:bCs/>
          <w:sz w:val="20"/>
          <w:szCs w:val="20"/>
          <w:lang w:val="pt-BR"/>
        </w:rPr>
        <w:t xml:space="preserve"> </w:t>
      </w:r>
      <w:r w:rsidR="00204278" w:rsidRPr="0038442F">
        <w:rPr>
          <w:rFonts w:ascii="Verdana" w:hAnsi="Verdana"/>
          <w:bCs/>
          <w:sz w:val="20"/>
          <w:szCs w:val="20"/>
          <w:lang w:val="pt-BR"/>
        </w:rPr>
        <w:t xml:space="preserve">– mediante a </w:t>
      </w:r>
      <w:r w:rsidR="005F647D" w:rsidRPr="0038442F">
        <w:rPr>
          <w:rFonts w:ascii="Verdana" w:hAnsi="Verdana"/>
          <w:bCs/>
          <w:sz w:val="20"/>
          <w:szCs w:val="20"/>
          <w:lang w:val="pt-BR"/>
        </w:rPr>
        <w:t>fiscaliza</w:t>
      </w:r>
      <w:r w:rsidR="000A1AA8" w:rsidRPr="0038442F">
        <w:rPr>
          <w:rFonts w:ascii="Verdana" w:hAnsi="Verdana"/>
          <w:bCs/>
          <w:sz w:val="20"/>
          <w:szCs w:val="20"/>
          <w:lang w:val="pt-BR"/>
        </w:rPr>
        <w:t>ção</w:t>
      </w:r>
      <w:r w:rsidR="005F647D" w:rsidRPr="0038442F">
        <w:rPr>
          <w:rFonts w:ascii="Verdana" w:hAnsi="Verdana"/>
          <w:bCs/>
          <w:sz w:val="20"/>
          <w:szCs w:val="20"/>
          <w:lang w:val="pt-BR"/>
        </w:rPr>
        <w:t xml:space="preserve">, </w:t>
      </w:r>
      <w:r w:rsidR="00204278" w:rsidRPr="0038442F">
        <w:rPr>
          <w:rFonts w:ascii="Verdana" w:hAnsi="Verdana"/>
          <w:bCs/>
          <w:sz w:val="20"/>
          <w:szCs w:val="20"/>
          <w:lang w:val="pt-BR"/>
        </w:rPr>
        <w:t xml:space="preserve">a </w:t>
      </w:r>
      <w:r w:rsidR="00A97590" w:rsidRPr="0038442F">
        <w:rPr>
          <w:rFonts w:ascii="Verdana" w:hAnsi="Verdana"/>
          <w:bCs/>
          <w:sz w:val="20"/>
          <w:szCs w:val="20"/>
          <w:lang w:val="pt-BR"/>
        </w:rPr>
        <w:t>supervisão</w:t>
      </w:r>
      <w:r w:rsidR="00407242" w:rsidRPr="0038442F">
        <w:rPr>
          <w:rFonts w:ascii="Verdana" w:hAnsi="Verdana"/>
          <w:bCs/>
          <w:sz w:val="20"/>
          <w:szCs w:val="20"/>
          <w:lang w:val="pt-BR"/>
        </w:rPr>
        <w:t xml:space="preserve"> </w:t>
      </w:r>
      <w:r w:rsidR="005F647D" w:rsidRPr="0038442F">
        <w:rPr>
          <w:rFonts w:ascii="Verdana" w:hAnsi="Verdana"/>
          <w:bCs/>
          <w:sz w:val="20"/>
          <w:szCs w:val="20"/>
          <w:lang w:val="pt-BR"/>
        </w:rPr>
        <w:t>o</w:t>
      </w:r>
      <w:r w:rsidR="00204278" w:rsidRPr="0038442F">
        <w:rPr>
          <w:rFonts w:ascii="Verdana" w:hAnsi="Verdana"/>
          <w:bCs/>
          <w:sz w:val="20"/>
          <w:szCs w:val="20"/>
          <w:lang w:val="pt-BR"/>
        </w:rPr>
        <w:t>u</w:t>
      </w:r>
      <w:r w:rsidR="005F647D" w:rsidRPr="0038442F">
        <w:rPr>
          <w:rFonts w:ascii="Verdana" w:hAnsi="Verdana"/>
          <w:bCs/>
          <w:sz w:val="20"/>
          <w:szCs w:val="20"/>
          <w:lang w:val="pt-BR"/>
        </w:rPr>
        <w:t xml:space="preserve"> </w:t>
      </w:r>
      <w:r w:rsidR="00204278" w:rsidRPr="0038442F">
        <w:rPr>
          <w:rFonts w:ascii="Verdana" w:hAnsi="Verdana"/>
          <w:bCs/>
          <w:sz w:val="20"/>
          <w:szCs w:val="20"/>
          <w:lang w:val="pt-BR"/>
        </w:rPr>
        <w:t xml:space="preserve">a </w:t>
      </w:r>
      <w:r w:rsidR="005F647D" w:rsidRPr="0038442F">
        <w:rPr>
          <w:rFonts w:ascii="Verdana" w:hAnsi="Verdana"/>
          <w:bCs/>
          <w:sz w:val="20"/>
          <w:szCs w:val="20"/>
          <w:lang w:val="pt-BR"/>
        </w:rPr>
        <w:t>inspe</w:t>
      </w:r>
      <w:r w:rsidR="000A1AA8" w:rsidRPr="0038442F">
        <w:rPr>
          <w:rFonts w:ascii="Verdana" w:hAnsi="Verdana"/>
          <w:bCs/>
          <w:sz w:val="20"/>
          <w:szCs w:val="20"/>
          <w:lang w:val="pt-BR"/>
        </w:rPr>
        <w:t>ção</w:t>
      </w:r>
      <w:r w:rsidR="00204278" w:rsidRPr="0038442F">
        <w:rPr>
          <w:rFonts w:ascii="Verdana" w:hAnsi="Verdana"/>
          <w:bCs/>
          <w:sz w:val="20"/>
          <w:szCs w:val="20"/>
          <w:lang w:val="pt-BR"/>
        </w:rPr>
        <w:t xml:space="preserve"> – </w:t>
      </w:r>
      <w:r w:rsidR="008806F8" w:rsidRPr="0038442F">
        <w:rPr>
          <w:rFonts w:ascii="Verdana" w:hAnsi="Verdana"/>
          <w:bCs/>
          <w:sz w:val="20"/>
          <w:szCs w:val="20"/>
          <w:lang w:val="pt-BR"/>
        </w:rPr>
        <w:t xml:space="preserve">as violações </w:t>
      </w:r>
      <w:r w:rsidR="00204278" w:rsidRPr="0038442F">
        <w:rPr>
          <w:rFonts w:ascii="Verdana" w:hAnsi="Verdana"/>
          <w:bCs/>
          <w:sz w:val="20"/>
          <w:szCs w:val="20"/>
          <w:lang w:val="pt-BR"/>
        </w:rPr>
        <w:t xml:space="preserve">dos </w:t>
      </w:r>
      <w:r w:rsidR="00C92762" w:rsidRPr="0038442F">
        <w:rPr>
          <w:rFonts w:ascii="Verdana" w:hAnsi="Verdana"/>
          <w:bCs/>
          <w:sz w:val="20"/>
          <w:szCs w:val="20"/>
          <w:lang w:val="pt-BR"/>
        </w:rPr>
        <w:t xml:space="preserve">direitos </w:t>
      </w:r>
      <w:r w:rsidR="005F647D" w:rsidRPr="0038442F">
        <w:rPr>
          <w:rFonts w:ascii="Verdana" w:hAnsi="Verdana"/>
          <w:bCs/>
          <w:sz w:val="20"/>
          <w:szCs w:val="20"/>
          <w:lang w:val="pt-BR"/>
        </w:rPr>
        <w:t xml:space="preserve">humanos. </w:t>
      </w:r>
      <w:r w:rsidR="00E2429B" w:rsidRPr="0038442F">
        <w:rPr>
          <w:rFonts w:ascii="Verdana" w:hAnsi="Verdana"/>
          <w:bCs/>
          <w:sz w:val="20"/>
          <w:szCs w:val="20"/>
          <w:lang w:val="pt-BR"/>
        </w:rPr>
        <w:t>Des</w:t>
      </w:r>
      <w:r w:rsidR="00204278" w:rsidRPr="0038442F">
        <w:rPr>
          <w:rFonts w:ascii="Verdana" w:hAnsi="Verdana"/>
          <w:bCs/>
          <w:sz w:val="20"/>
          <w:szCs w:val="20"/>
          <w:lang w:val="pt-BR"/>
        </w:rPr>
        <w:t>s</w:t>
      </w:r>
      <w:r w:rsidR="00E2429B" w:rsidRPr="0038442F">
        <w:rPr>
          <w:rFonts w:ascii="Verdana" w:hAnsi="Verdana"/>
          <w:bCs/>
          <w:sz w:val="20"/>
          <w:szCs w:val="20"/>
          <w:lang w:val="pt-BR"/>
        </w:rPr>
        <w:t xml:space="preserve">a forma, </w:t>
      </w:r>
      <w:r w:rsidR="005F647D" w:rsidRPr="0038442F">
        <w:rPr>
          <w:rFonts w:ascii="Verdana" w:hAnsi="Verdana"/>
          <w:bCs/>
          <w:sz w:val="20"/>
          <w:szCs w:val="20"/>
          <w:lang w:val="pt-BR"/>
        </w:rPr>
        <w:t>a conduta omi</w:t>
      </w:r>
      <w:r w:rsidR="00204278" w:rsidRPr="0038442F">
        <w:rPr>
          <w:rFonts w:ascii="Verdana" w:hAnsi="Verdana"/>
          <w:bCs/>
          <w:sz w:val="20"/>
          <w:szCs w:val="20"/>
          <w:lang w:val="pt-BR"/>
        </w:rPr>
        <w:t>s</w:t>
      </w:r>
      <w:r w:rsidR="005F647D" w:rsidRPr="0038442F">
        <w:rPr>
          <w:rFonts w:ascii="Verdana" w:hAnsi="Verdana"/>
          <w:bCs/>
          <w:sz w:val="20"/>
          <w:szCs w:val="20"/>
          <w:lang w:val="pt-BR"/>
        </w:rPr>
        <w:t>sa e inativa d</w:t>
      </w:r>
      <w:r w:rsidR="000A1AA8" w:rsidRPr="0038442F">
        <w:rPr>
          <w:rFonts w:ascii="Verdana" w:hAnsi="Verdana"/>
          <w:bCs/>
          <w:sz w:val="20"/>
          <w:szCs w:val="20"/>
          <w:lang w:val="pt-BR"/>
        </w:rPr>
        <w:t xml:space="preserve">o Estado </w:t>
      </w:r>
      <w:r w:rsidR="005F647D" w:rsidRPr="0038442F">
        <w:rPr>
          <w:rFonts w:ascii="Verdana" w:hAnsi="Verdana"/>
          <w:bCs/>
          <w:sz w:val="20"/>
          <w:szCs w:val="20"/>
          <w:lang w:val="pt-BR"/>
        </w:rPr>
        <w:t xml:space="preserve">nos contextos de empresas particulares compromete a </w:t>
      </w:r>
      <w:r w:rsidR="00C92762" w:rsidRPr="0038442F">
        <w:rPr>
          <w:rFonts w:ascii="Verdana" w:hAnsi="Verdana"/>
          <w:bCs/>
          <w:sz w:val="20"/>
          <w:szCs w:val="20"/>
          <w:lang w:val="pt-BR"/>
        </w:rPr>
        <w:t>responsabilidade</w:t>
      </w:r>
      <w:r w:rsidR="00407242" w:rsidRPr="0038442F">
        <w:rPr>
          <w:rFonts w:ascii="Verdana" w:hAnsi="Verdana"/>
          <w:bCs/>
          <w:sz w:val="20"/>
          <w:szCs w:val="20"/>
          <w:lang w:val="pt-BR"/>
        </w:rPr>
        <w:t xml:space="preserve"> </w:t>
      </w:r>
      <w:r w:rsidR="005F647D" w:rsidRPr="0038442F">
        <w:rPr>
          <w:rFonts w:ascii="Verdana" w:hAnsi="Verdana"/>
          <w:bCs/>
          <w:sz w:val="20"/>
          <w:szCs w:val="20"/>
          <w:lang w:val="pt-BR"/>
        </w:rPr>
        <w:t>internacional, tanto n</w:t>
      </w:r>
      <w:r w:rsidR="00D24373">
        <w:rPr>
          <w:rFonts w:ascii="Verdana" w:hAnsi="Verdana"/>
          <w:bCs/>
          <w:sz w:val="20"/>
          <w:szCs w:val="20"/>
          <w:lang w:val="pt-BR"/>
        </w:rPr>
        <w:t>a</w:t>
      </w:r>
      <w:r w:rsidR="005F647D" w:rsidRPr="0038442F">
        <w:rPr>
          <w:rFonts w:ascii="Verdana" w:hAnsi="Verdana"/>
          <w:bCs/>
          <w:sz w:val="20"/>
          <w:szCs w:val="20"/>
          <w:lang w:val="pt-BR"/>
        </w:rPr>
        <w:t xml:space="preserve">s </w:t>
      </w:r>
      <w:r w:rsidR="00D24373">
        <w:rPr>
          <w:rFonts w:ascii="Verdana" w:hAnsi="Verdana"/>
          <w:bCs/>
          <w:sz w:val="20"/>
          <w:szCs w:val="20"/>
          <w:lang w:val="pt-BR"/>
        </w:rPr>
        <w:t>evoluç</w:t>
      </w:r>
      <w:r w:rsidR="00D24373" w:rsidRPr="0038442F">
        <w:rPr>
          <w:rFonts w:ascii="Verdana" w:hAnsi="Verdana"/>
          <w:sz w:val="20"/>
          <w:szCs w:val="20"/>
          <w:lang w:val="pt-BR"/>
        </w:rPr>
        <w:t>õ</w:t>
      </w:r>
      <w:r w:rsidR="00D24373">
        <w:rPr>
          <w:rFonts w:ascii="Verdana" w:hAnsi="Verdana"/>
          <w:bCs/>
          <w:sz w:val="20"/>
          <w:szCs w:val="20"/>
          <w:lang w:val="pt-BR"/>
        </w:rPr>
        <w:t>es</w:t>
      </w:r>
      <w:r w:rsidR="00D24373" w:rsidRPr="0038442F">
        <w:rPr>
          <w:rFonts w:ascii="Verdana" w:hAnsi="Verdana"/>
          <w:bCs/>
          <w:sz w:val="20"/>
          <w:szCs w:val="20"/>
          <w:lang w:val="pt-BR"/>
        </w:rPr>
        <w:t xml:space="preserve"> normativ</w:t>
      </w:r>
      <w:r w:rsidR="00D24373">
        <w:rPr>
          <w:rFonts w:ascii="Verdana" w:hAnsi="Verdana"/>
          <w:bCs/>
          <w:sz w:val="20"/>
          <w:szCs w:val="20"/>
          <w:lang w:val="pt-BR"/>
        </w:rPr>
        <w:t>as</w:t>
      </w:r>
      <w:r w:rsidR="005F647D" w:rsidRPr="0038442F">
        <w:rPr>
          <w:rFonts w:ascii="Verdana" w:hAnsi="Verdana"/>
          <w:bCs/>
          <w:sz w:val="20"/>
          <w:szCs w:val="20"/>
          <w:lang w:val="pt-BR"/>
        </w:rPr>
        <w:t xml:space="preserve"> sobre empresas </w:t>
      </w:r>
      <w:r w:rsidR="00751189" w:rsidRPr="0038442F">
        <w:rPr>
          <w:rFonts w:ascii="Verdana" w:hAnsi="Verdana"/>
          <w:bCs/>
          <w:sz w:val="20"/>
          <w:szCs w:val="20"/>
          <w:lang w:val="pt-BR"/>
        </w:rPr>
        <w:t xml:space="preserve">e direitos </w:t>
      </w:r>
      <w:r w:rsidR="005F647D" w:rsidRPr="0038442F">
        <w:rPr>
          <w:rFonts w:ascii="Verdana" w:hAnsi="Verdana"/>
          <w:bCs/>
          <w:sz w:val="20"/>
          <w:szCs w:val="20"/>
          <w:lang w:val="pt-BR"/>
        </w:rPr>
        <w:t xml:space="preserve">humanos, como </w:t>
      </w:r>
      <w:r w:rsidR="00751189" w:rsidRPr="0038442F">
        <w:rPr>
          <w:rFonts w:ascii="Verdana" w:hAnsi="Verdana"/>
          <w:bCs/>
          <w:sz w:val="20"/>
          <w:szCs w:val="20"/>
          <w:lang w:val="pt-BR"/>
        </w:rPr>
        <w:t xml:space="preserve">no </w:t>
      </w:r>
      <w:r w:rsidR="00204278" w:rsidRPr="0038442F">
        <w:rPr>
          <w:rFonts w:ascii="Verdana" w:hAnsi="Verdana"/>
          <w:bCs/>
          <w:sz w:val="20"/>
          <w:szCs w:val="20"/>
          <w:lang w:val="pt-BR"/>
        </w:rPr>
        <w:t xml:space="preserve">quadro </w:t>
      </w:r>
      <w:r w:rsidR="005F647D" w:rsidRPr="0038442F">
        <w:rPr>
          <w:rFonts w:ascii="Verdana" w:hAnsi="Verdana"/>
          <w:bCs/>
          <w:sz w:val="20"/>
          <w:szCs w:val="20"/>
          <w:lang w:val="pt-BR"/>
        </w:rPr>
        <w:t xml:space="preserve">convencional </w:t>
      </w:r>
      <w:r w:rsidR="00204278" w:rsidRPr="0038442F">
        <w:rPr>
          <w:rFonts w:ascii="Verdana" w:hAnsi="Verdana"/>
          <w:bCs/>
          <w:sz w:val="20"/>
          <w:szCs w:val="20"/>
          <w:lang w:val="pt-BR"/>
        </w:rPr>
        <w:t xml:space="preserve">desenvolvido </w:t>
      </w:r>
      <w:r w:rsidR="000A1AA8" w:rsidRPr="0038442F">
        <w:rPr>
          <w:rFonts w:ascii="Verdana" w:hAnsi="Verdana"/>
          <w:bCs/>
          <w:sz w:val="20"/>
          <w:szCs w:val="20"/>
          <w:lang w:val="pt-BR"/>
        </w:rPr>
        <w:t xml:space="preserve">pela </w:t>
      </w:r>
      <w:r w:rsidR="00984A83" w:rsidRPr="0038442F">
        <w:rPr>
          <w:rFonts w:ascii="Verdana" w:hAnsi="Verdana"/>
          <w:bCs/>
          <w:sz w:val="20"/>
          <w:szCs w:val="20"/>
          <w:lang w:val="pt-BR"/>
        </w:rPr>
        <w:t>jurisprudência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5F647D" w:rsidRPr="0038442F">
        <w:rPr>
          <w:rFonts w:ascii="Verdana" w:hAnsi="Verdana"/>
          <w:bCs/>
          <w:sz w:val="20"/>
          <w:szCs w:val="20"/>
          <w:lang w:val="pt-BR"/>
        </w:rPr>
        <w:t>Corte I</w:t>
      </w:r>
      <w:r w:rsidR="00257691" w:rsidRPr="0038442F">
        <w:rPr>
          <w:rFonts w:ascii="Verdana" w:hAnsi="Verdana"/>
          <w:bCs/>
          <w:sz w:val="20"/>
          <w:szCs w:val="20"/>
          <w:lang w:val="pt-BR"/>
        </w:rPr>
        <w:t>DH</w:t>
      </w:r>
      <w:r w:rsidR="005F647D" w:rsidRPr="0038442F">
        <w:rPr>
          <w:rFonts w:ascii="Verdana" w:hAnsi="Verdana"/>
          <w:bCs/>
          <w:sz w:val="20"/>
          <w:szCs w:val="20"/>
          <w:lang w:val="pt-BR"/>
        </w:rPr>
        <w:t>.</w:t>
      </w:r>
    </w:p>
    <w:p w14:paraId="08FDB8E6" w14:textId="77777777" w:rsidR="00257691" w:rsidRPr="0038442F" w:rsidRDefault="00257691" w:rsidP="00257691">
      <w:pPr>
        <w:pStyle w:val="Prrafodelista"/>
        <w:spacing w:line="240" w:lineRule="auto"/>
        <w:ind w:left="0"/>
        <w:jc w:val="both"/>
        <w:rPr>
          <w:rFonts w:ascii="Verdana" w:hAnsi="Verdana"/>
          <w:bCs/>
          <w:sz w:val="20"/>
          <w:szCs w:val="20"/>
          <w:lang w:val="pt-BR"/>
        </w:rPr>
      </w:pPr>
    </w:p>
    <w:p w14:paraId="08AB056F" w14:textId="7A0F99DC" w:rsidR="00680BB9" w:rsidRPr="0038442F" w:rsidRDefault="00204278" w:rsidP="00A857CB">
      <w:pPr>
        <w:pStyle w:val="Prrafodelista"/>
        <w:numPr>
          <w:ilvl w:val="0"/>
          <w:numId w:val="2"/>
        </w:numPr>
        <w:tabs>
          <w:tab w:val="left" w:pos="0"/>
        </w:tabs>
        <w:spacing w:before="120" w:after="120" w:line="240" w:lineRule="auto"/>
        <w:ind w:left="0" w:firstLine="0"/>
        <w:contextualSpacing w:val="0"/>
        <w:jc w:val="both"/>
        <w:rPr>
          <w:rFonts w:ascii="Verdana" w:hAnsi="Verdana"/>
          <w:sz w:val="20"/>
          <w:szCs w:val="20"/>
          <w:lang w:val="pt-BR"/>
        </w:rPr>
      </w:pPr>
      <w:r w:rsidRPr="0038442F">
        <w:rPr>
          <w:rFonts w:ascii="Verdana" w:hAnsi="Verdana"/>
          <w:sz w:val="20"/>
          <w:szCs w:val="20"/>
          <w:lang w:val="pt-BR"/>
        </w:rPr>
        <w:t>A</w:t>
      </w:r>
      <w:r w:rsidR="00680BB9" w:rsidRPr="0038442F">
        <w:rPr>
          <w:rFonts w:ascii="Verdana" w:hAnsi="Verdana"/>
          <w:sz w:val="20"/>
          <w:szCs w:val="20"/>
          <w:lang w:val="pt-BR"/>
        </w:rPr>
        <w:t xml:space="preserve"> inten</w:t>
      </w:r>
      <w:r w:rsidR="000A1AA8" w:rsidRPr="0038442F">
        <w:rPr>
          <w:rFonts w:ascii="Verdana" w:hAnsi="Verdana"/>
          <w:sz w:val="20"/>
          <w:szCs w:val="20"/>
          <w:lang w:val="pt-BR"/>
        </w:rPr>
        <w:t>ção</w:t>
      </w:r>
      <w:r w:rsidR="00680BB9" w:rsidRPr="0038442F">
        <w:rPr>
          <w:rFonts w:ascii="Verdana" w:hAnsi="Verdana"/>
          <w:sz w:val="20"/>
          <w:szCs w:val="20"/>
          <w:lang w:val="pt-BR"/>
        </w:rPr>
        <w:t xml:space="preserve"> </w:t>
      </w:r>
      <w:r w:rsidR="00C92762" w:rsidRPr="0038442F">
        <w:rPr>
          <w:rFonts w:ascii="Verdana" w:hAnsi="Verdana"/>
          <w:sz w:val="20"/>
          <w:szCs w:val="20"/>
          <w:lang w:val="pt-BR"/>
        </w:rPr>
        <w:t>d</w:t>
      </w:r>
      <w:r w:rsidR="002316EF">
        <w:rPr>
          <w:rFonts w:ascii="Verdana" w:hAnsi="Verdana"/>
          <w:sz w:val="20"/>
          <w:szCs w:val="20"/>
          <w:lang w:val="pt-BR"/>
        </w:rPr>
        <w:t>a presente</w:t>
      </w:r>
      <w:r w:rsidR="00F4289F" w:rsidRPr="0038442F">
        <w:rPr>
          <w:rFonts w:ascii="Verdana" w:hAnsi="Verdana"/>
          <w:sz w:val="20"/>
          <w:szCs w:val="20"/>
          <w:lang w:val="pt-BR"/>
        </w:rPr>
        <w:t xml:space="preserve"> </w:t>
      </w:r>
      <w:r w:rsidR="00BB4AD8" w:rsidRPr="0038442F">
        <w:rPr>
          <w:rFonts w:ascii="Verdana" w:hAnsi="Verdana"/>
          <w:sz w:val="20"/>
          <w:szCs w:val="20"/>
          <w:lang w:val="pt-BR"/>
        </w:rPr>
        <w:t>se</w:t>
      </w:r>
      <w:r w:rsidR="000A1AA8" w:rsidRPr="0038442F">
        <w:rPr>
          <w:rFonts w:ascii="Verdana" w:hAnsi="Verdana"/>
          <w:sz w:val="20"/>
          <w:szCs w:val="20"/>
          <w:lang w:val="pt-BR"/>
        </w:rPr>
        <w:t>ção</w:t>
      </w:r>
      <w:r w:rsidR="00680BB9" w:rsidRPr="0038442F">
        <w:rPr>
          <w:rFonts w:ascii="Verdana" w:hAnsi="Verdana"/>
          <w:sz w:val="20"/>
          <w:szCs w:val="20"/>
          <w:lang w:val="pt-BR"/>
        </w:rPr>
        <w:t xml:space="preserve"> </w:t>
      </w:r>
      <w:r w:rsidRPr="0038442F">
        <w:rPr>
          <w:rFonts w:ascii="Verdana" w:hAnsi="Verdana"/>
          <w:sz w:val="20"/>
          <w:szCs w:val="20"/>
          <w:lang w:val="pt-BR"/>
        </w:rPr>
        <w:t xml:space="preserve">é </w:t>
      </w:r>
      <w:r w:rsidR="002316EF">
        <w:rPr>
          <w:rFonts w:ascii="Verdana" w:hAnsi="Verdana"/>
          <w:sz w:val="20"/>
          <w:szCs w:val="20"/>
          <w:lang w:val="pt-BR"/>
        </w:rPr>
        <w:t>sustentar</w:t>
      </w:r>
      <w:r w:rsidR="002316EF" w:rsidRPr="0038442F">
        <w:rPr>
          <w:rFonts w:ascii="Verdana" w:hAnsi="Verdana"/>
          <w:sz w:val="20"/>
          <w:szCs w:val="20"/>
          <w:lang w:val="pt-BR"/>
        </w:rPr>
        <w:t xml:space="preserve"> </w:t>
      </w:r>
      <w:r w:rsidR="00BF7A10" w:rsidRPr="0038442F">
        <w:rPr>
          <w:rFonts w:ascii="Verdana" w:hAnsi="Verdana"/>
          <w:sz w:val="20"/>
          <w:szCs w:val="20"/>
          <w:lang w:val="pt-BR"/>
        </w:rPr>
        <w:t xml:space="preserve">a </w:t>
      </w:r>
      <w:r w:rsidR="00246A73" w:rsidRPr="0038442F">
        <w:rPr>
          <w:rFonts w:ascii="Verdana" w:hAnsi="Verdana"/>
          <w:sz w:val="20"/>
          <w:szCs w:val="20"/>
          <w:lang w:val="pt-BR"/>
        </w:rPr>
        <w:t>importância</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680BB9" w:rsidRPr="0038442F">
        <w:rPr>
          <w:rFonts w:ascii="Verdana" w:hAnsi="Verdana"/>
          <w:i/>
          <w:sz w:val="20"/>
          <w:szCs w:val="20"/>
          <w:lang w:val="pt-BR"/>
        </w:rPr>
        <w:t>fiscaliza</w:t>
      </w:r>
      <w:r w:rsidR="000A1AA8" w:rsidRPr="0038442F">
        <w:rPr>
          <w:rFonts w:ascii="Verdana" w:hAnsi="Verdana"/>
          <w:i/>
          <w:sz w:val="20"/>
          <w:szCs w:val="20"/>
          <w:lang w:val="pt-BR"/>
        </w:rPr>
        <w:t>ção</w:t>
      </w:r>
      <w:r w:rsidR="00680BB9" w:rsidRPr="0038442F">
        <w:rPr>
          <w:rFonts w:ascii="Verdana" w:hAnsi="Verdana"/>
          <w:i/>
          <w:sz w:val="20"/>
          <w:szCs w:val="20"/>
          <w:lang w:val="pt-BR"/>
        </w:rPr>
        <w:t xml:space="preserve">, </w:t>
      </w:r>
      <w:r w:rsidR="00A97590" w:rsidRPr="0038442F">
        <w:rPr>
          <w:rFonts w:ascii="Verdana" w:hAnsi="Verdana"/>
          <w:i/>
          <w:sz w:val="20"/>
          <w:szCs w:val="20"/>
          <w:lang w:val="pt-BR"/>
        </w:rPr>
        <w:t>supervisão</w:t>
      </w:r>
      <w:r w:rsidR="00407242" w:rsidRPr="0038442F">
        <w:rPr>
          <w:rFonts w:ascii="Verdana" w:hAnsi="Verdana"/>
          <w:i/>
          <w:sz w:val="20"/>
          <w:szCs w:val="20"/>
          <w:lang w:val="pt-BR"/>
        </w:rPr>
        <w:t xml:space="preserve"> </w:t>
      </w:r>
      <w:r w:rsidR="00533BCF" w:rsidRPr="0038442F">
        <w:rPr>
          <w:rFonts w:ascii="Verdana" w:hAnsi="Verdana"/>
          <w:i/>
          <w:sz w:val="20"/>
          <w:szCs w:val="20"/>
          <w:lang w:val="pt-BR"/>
        </w:rPr>
        <w:t>o</w:t>
      </w:r>
      <w:r w:rsidR="000E331D" w:rsidRPr="0038442F">
        <w:rPr>
          <w:rFonts w:ascii="Verdana" w:hAnsi="Verdana"/>
          <w:i/>
          <w:sz w:val="20"/>
          <w:szCs w:val="20"/>
          <w:lang w:val="pt-BR"/>
        </w:rPr>
        <w:t>u</w:t>
      </w:r>
      <w:r w:rsidR="00680BB9" w:rsidRPr="0038442F">
        <w:rPr>
          <w:rFonts w:ascii="Verdana" w:hAnsi="Verdana"/>
          <w:i/>
          <w:sz w:val="20"/>
          <w:szCs w:val="20"/>
          <w:lang w:val="pt-BR"/>
        </w:rPr>
        <w:t xml:space="preserve"> </w:t>
      </w:r>
      <w:r w:rsidR="000E331D" w:rsidRPr="0038442F">
        <w:rPr>
          <w:rFonts w:ascii="Verdana" w:hAnsi="Verdana"/>
          <w:i/>
          <w:sz w:val="20"/>
          <w:szCs w:val="20"/>
          <w:lang w:val="pt-BR"/>
        </w:rPr>
        <w:t>inspeção</w:t>
      </w:r>
      <w:r w:rsidR="00407242" w:rsidRPr="0038442F">
        <w:rPr>
          <w:rFonts w:ascii="Verdana" w:hAnsi="Verdana"/>
          <w:i/>
          <w:sz w:val="20"/>
          <w:szCs w:val="20"/>
          <w:lang w:val="pt-BR"/>
        </w:rPr>
        <w:t xml:space="preserve"> </w:t>
      </w:r>
      <w:r w:rsidR="00680BB9" w:rsidRPr="0038442F">
        <w:rPr>
          <w:rFonts w:ascii="Verdana" w:hAnsi="Verdana"/>
          <w:sz w:val="20"/>
          <w:szCs w:val="20"/>
          <w:lang w:val="pt-BR"/>
        </w:rPr>
        <w:t xml:space="preserve">como mecanismos de </w:t>
      </w:r>
      <w:r w:rsidR="00C92762" w:rsidRPr="0038442F">
        <w:rPr>
          <w:rFonts w:ascii="Verdana" w:hAnsi="Verdana"/>
          <w:sz w:val="20"/>
          <w:szCs w:val="20"/>
          <w:lang w:val="pt-BR"/>
        </w:rPr>
        <w:t>garantia</w:t>
      </w:r>
      <w:r w:rsidR="00407242" w:rsidRPr="0038442F">
        <w:rPr>
          <w:rFonts w:ascii="Verdana" w:hAnsi="Verdana"/>
          <w:sz w:val="20"/>
          <w:szCs w:val="20"/>
          <w:lang w:val="pt-BR"/>
        </w:rPr>
        <w:t xml:space="preserve"> </w:t>
      </w:r>
      <w:r w:rsidR="000E331D" w:rsidRPr="0038442F">
        <w:rPr>
          <w:rFonts w:ascii="Verdana" w:hAnsi="Verdana"/>
          <w:sz w:val="20"/>
          <w:szCs w:val="20"/>
          <w:lang w:val="pt-BR"/>
        </w:rPr>
        <w:t>e</w:t>
      </w:r>
      <w:r w:rsidR="00680BB9" w:rsidRPr="0038442F">
        <w:rPr>
          <w:rFonts w:ascii="Verdana" w:hAnsi="Verdana"/>
          <w:sz w:val="20"/>
          <w:szCs w:val="20"/>
          <w:lang w:val="pt-BR"/>
        </w:rPr>
        <w:t xml:space="preserve"> </w:t>
      </w:r>
      <w:r w:rsidR="005F647D" w:rsidRPr="0038442F">
        <w:rPr>
          <w:rFonts w:ascii="Verdana" w:hAnsi="Verdana"/>
          <w:sz w:val="20"/>
          <w:szCs w:val="20"/>
          <w:lang w:val="pt-BR"/>
        </w:rPr>
        <w:t>preven</w:t>
      </w:r>
      <w:r w:rsidR="000A1AA8" w:rsidRPr="0038442F">
        <w:rPr>
          <w:rFonts w:ascii="Verdana" w:hAnsi="Verdana"/>
          <w:sz w:val="20"/>
          <w:szCs w:val="20"/>
          <w:lang w:val="pt-BR"/>
        </w:rPr>
        <w:t>ção</w:t>
      </w:r>
      <w:r w:rsidR="005F647D" w:rsidRPr="0038442F" w:rsidDel="005F647D">
        <w:rPr>
          <w:rFonts w:ascii="Verdana" w:hAnsi="Verdana"/>
          <w:sz w:val="20"/>
          <w:szCs w:val="20"/>
          <w:lang w:val="pt-BR"/>
        </w:rPr>
        <w:t xml:space="preserve"> </w:t>
      </w:r>
      <w:r w:rsidR="00C92762" w:rsidRPr="0038442F">
        <w:rPr>
          <w:rFonts w:ascii="Verdana" w:hAnsi="Verdana"/>
          <w:sz w:val="20"/>
          <w:szCs w:val="20"/>
          <w:lang w:val="pt-BR"/>
        </w:rPr>
        <w:t xml:space="preserve">dos direitos </w:t>
      </w:r>
      <w:r w:rsidR="000E331D" w:rsidRPr="0038442F">
        <w:rPr>
          <w:rFonts w:ascii="Verdana" w:hAnsi="Verdana"/>
          <w:sz w:val="20"/>
          <w:szCs w:val="20"/>
          <w:lang w:val="pt-BR"/>
        </w:rPr>
        <w:t xml:space="preserve">trabalhistas nos </w:t>
      </w:r>
      <w:r w:rsidR="00680BB9" w:rsidRPr="0038442F">
        <w:rPr>
          <w:rFonts w:ascii="Verdana" w:hAnsi="Verdana"/>
          <w:sz w:val="20"/>
          <w:szCs w:val="20"/>
          <w:lang w:val="pt-BR"/>
        </w:rPr>
        <w:t>contextos de rela</w:t>
      </w:r>
      <w:r w:rsidR="000A1AA8" w:rsidRPr="0038442F">
        <w:rPr>
          <w:rFonts w:ascii="Verdana" w:hAnsi="Verdana"/>
          <w:sz w:val="20"/>
          <w:szCs w:val="20"/>
          <w:lang w:val="pt-BR"/>
        </w:rPr>
        <w:t>ções</w:t>
      </w:r>
      <w:r w:rsidR="00680BB9" w:rsidRPr="0038442F">
        <w:rPr>
          <w:rFonts w:ascii="Verdana" w:hAnsi="Verdana"/>
          <w:sz w:val="20"/>
          <w:szCs w:val="20"/>
          <w:lang w:val="pt-BR"/>
        </w:rPr>
        <w:t xml:space="preserve"> entre particulares</w:t>
      </w:r>
      <w:r w:rsidR="00B35C18" w:rsidRPr="0038442F">
        <w:rPr>
          <w:rFonts w:ascii="Verdana" w:hAnsi="Verdana"/>
          <w:sz w:val="20"/>
          <w:szCs w:val="20"/>
          <w:lang w:val="pt-BR"/>
        </w:rPr>
        <w:t>.</w:t>
      </w:r>
      <w:r w:rsidR="00680BB9" w:rsidRPr="0038442F">
        <w:rPr>
          <w:rFonts w:ascii="Verdana" w:hAnsi="Verdana"/>
          <w:sz w:val="20"/>
          <w:szCs w:val="20"/>
          <w:lang w:val="pt-BR"/>
        </w:rPr>
        <w:t xml:space="preserve"> Para </w:t>
      </w:r>
      <w:r w:rsidR="000E331D" w:rsidRPr="0038442F">
        <w:rPr>
          <w:rFonts w:ascii="Verdana" w:hAnsi="Verdana"/>
          <w:sz w:val="20"/>
          <w:szCs w:val="20"/>
          <w:lang w:val="pt-BR"/>
        </w:rPr>
        <w:t xml:space="preserve">isso, em primeiro </w:t>
      </w:r>
      <w:r w:rsidR="00680BB9" w:rsidRPr="0038442F">
        <w:rPr>
          <w:rFonts w:ascii="Verdana" w:hAnsi="Verdana"/>
          <w:sz w:val="20"/>
          <w:szCs w:val="20"/>
          <w:lang w:val="pt-BR"/>
        </w:rPr>
        <w:t>lugar, abordar</w:t>
      </w:r>
      <w:r w:rsidR="000E331D" w:rsidRPr="0038442F">
        <w:rPr>
          <w:rFonts w:ascii="Verdana" w:hAnsi="Verdana"/>
          <w:sz w:val="20"/>
          <w:szCs w:val="20"/>
          <w:lang w:val="pt-BR"/>
        </w:rPr>
        <w:t xml:space="preserve">ei </w:t>
      </w:r>
      <w:r w:rsidR="00680BB9" w:rsidRPr="0038442F">
        <w:rPr>
          <w:rFonts w:ascii="Verdana" w:hAnsi="Verdana"/>
          <w:sz w:val="20"/>
          <w:szCs w:val="20"/>
          <w:lang w:val="pt-BR"/>
        </w:rPr>
        <w:t>“</w:t>
      </w:r>
      <w:r w:rsidR="000E331D" w:rsidRPr="0038442F">
        <w:rPr>
          <w:rFonts w:ascii="Verdana" w:hAnsi="Verdana"/>
          <w:sz w:val="20"/>
          <w:szCs w:val="20"/>
          <w:lang w:val="pt-BR"/>
        </w:rPr>
        <w:t xml:space="preserve">o conteúdo do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680BB9" w:rsidRPr="0038442F">
        <w:rPr>
          <w:rFonts w:ascii="Verdana" w:hAnsi="Verdana"/>
          <w:sz w:val="20"/>
          <w:szCs w:val="20"/>
          <w:lang w:val="pt-BR"/>
        </w:rPr>
        <w:t xml:space="preserve">identificado </w:t>
      </w:r>
      <w:r w:rsidR="00751189" w:rsidRPr="0038442F">
        <w:rPr>
          <w:rFonts w:ascii="Verdana" w:hAnsi="Verdana"/>
          <w:sz w:val="20"/>
          <w:szCs w:val="20"/>
          <w:lang w:val="pt-BR"/>
        </w:rPr>
        <w:t xml:space="preserve">no </w:t>
      </w:r>
      <w:r w:rsidR="00680BB9" w:rsidRPr="0038442F">
        <w:rPr>
          <w:rFonts w:ascii="Verdana" w:hAnsi="Verdana"/>
          <w:sz w:val="20"/>
          <w:szCs w:val="20"/>
          <w:lang w:val="pt-BR"/>
        </w:rPr>
        <w:t>presente caso”</w:t>
      </w:r>
      <w:r w:rsidR="000E331D" w:rsidRPr="0038442F">
        <w:rPr>
          <w:rFonts w:ascii="Verdana" w:hAnsi="Verdana"/>
          <w:sz w:val="20"/>
          <w:szCs w:val="20"/>
          <w:lang w:val="pt-BR"/>
        </w:rPr>
        <w:t>,</w:t>
      </w:r>
      <w:r w:rsidR="00680BB9" w:rsidRPr="0038442F">
        <w:rPr>
          <w:rFonts w:ascii="Verdana" w:hAnsi="Verdana"/>
          <w:sz w:val="20"/>
          <w:szCs w:val="20"/>
          <w:lang w:val="pt-BR"/>
        </w:rPr>
        <w:t xml:space="preserve"> derivado </w:t>
      </w:r>
      <w:r w:rsidR="00751189" w:rsidRPr="0038442F">
        <w:rPr>
          <w:rFonts w:ascii="Verdana" w:hAnsi="Verdana"/>
          <w:sz w:val="20"/>
          <w:szCs w:val="20"/>
          <w:lang w:val="pt-BR"/>
        </w:rPr>
        <w:t xml:space="preserve">do artigo </w:t>
      </w:r>
      <w:r w:rsidR="00680BB9" w:rsidRPr="0038442F">
        <w:rPr>
          <w:rFonts w:ascii="Verdana" w:hAnsi="Verdana"/>
          <w:sz w:val="20"/>
          <w:szCs w:val="20"/>
          <w:lang w:val="pt-BR"/>
        </w:rPr>
        <w:t>26 d</w:t>
      </w:r>
      <w:r w:rsidR="000E331D" w:rsidRPr="0038442F">
        <w:rPr>
          <w:rFonts w:ascii="Verdana" w:hAnsi="Verdana"/>
          <w:sz w:val="20"/>
          <w:szCs w:val="20"/>
          <w:lang w:val="pt-BR"/>
        </w:rPr>
        <w:t>o</w:t>
      </w:r>
      <w:r w:rsidR="00680BB9" w:rsidRPr="0038442F">
        <w:rPr>
          <w:rFonts w:ascii="Verdana" w:hAnsi="Verdana"/>
          <w:sz w:val="20"/>
          <w:szCs w:val="20"/>
          <w:lang w:val="pt-BR"/>
        </w:rPr>
        <w:t xml:space="preserve"> Pacto de San José</w:t>
      </w:r>
      <w:r w:rsidR="000E331D" w:rsidRPr="0038442F">
        <w:rPr>
          <w:rFonts w:ascii="Verdana" w:hAnsi="Verdana"/>
          <w:sz w:val="20"/>
          <w:szCs w:val="20"/>
          <w:lang w:val="pt-BR"/>
        </w:rPr>
        <w:t>, e</w:t>
      </w:r>
      <w:r w:rsidR="00680BB9" w:rsidRPr="0038442F">
        <w:rPr>
          <w:rFonts w:ascii="Verdana" w:hAnsi="Verdana"/>
          <w:sz w:val="20"/>
          <w:szCs w:val="20"/>
          <w:lang w:val="pt-BR"/>
        </w:rPr>
        <w:t>, posteriormente, externar</w:t>
      </w:r>
      <w:r w:rsidR="000E331D" w:rsidRPr="0038442F">
        <w:rPr>
          <w:rFonts w:ascii="Verdana" w:hAnsi="Verdana"/>
          <w:sz w:val="20"/>
          <w:szCs w:val="20"/>
          <w:lang w:val="pt-BR"/>
        </w:rPr>
        <w:t xml:space="preserve">ei </w:t>
      </w:r>
      <w:r w:rsidR="00C92762" w:rsidRPr="0038442F">
        <w:rPr>
          <w:rFonts w:ascii="Verdana" w:hAnsi="Verdana"/>
          <w:sz w:val="20"/>
          <w:szCs w:val="20"/>
          <w:lang w:val="pt-BR"/>
        </w:rPr>
        <w:t>algumas</w:t>
      </w:r>
      <w:r w:rsidR="00407242" w:rsidRPr="0038442F">
        <w:rPr>
          <w:rFonts w:ascii="Verdana" w:hAnsi="Verdana"/>
          <w:sz w:val="20"/>
          <w:szCs w:val="20"/>
          <w:lang w:val="pt-BR"/>
        </w:rPr>
        <w:t xml:space="preserve"> </w:t>
      </w:r>
      <w:r w:rsidR="00680BB9" w:rsidRPr="0038442F">
        <w:rPr>
          <w:rFonts w:ascii="Verdana" w:hAnsi="Verdana"/>
          <w:sz w:val="20"/>
          <w:szCs w:val="20"/>
          <w:lang w:val="pt-BR"/>
        </w:rPr>
        <w:t>considera</w:t>
      </w:r>
      <w:r w:rsidR="000A1AA8" w:rsidRPr="0038442F">
        <w:rPr>
          <w:rFonts w:ascii="Verdana" w:hAnsi="Verdana"/>
          <w:sz w:val="20"/>
          <w:szCs w:val="20"/>
          <w:lang w:val="pt-BR"/>
        </w:rPr>
        <w:t>ções</w:t>
      </w:r>
      <w:r w:rsidR="00680BB9" w:rsidRPr="0038442F">
        <w:rPr>
          <w:rFonts w:ascii="Verdana" w:hAnsi="Verdana"/>
          <w:sz w:val="20"/>
          <w:szCs w:val="20"/>
          <w:lang w:val="pt-BR"/>
        </w:rPr>
        <w:t xml:space="preserve"> sobre a </w:t>
      </w:r>
      <w:r w:rsidR="00246A73" w:rsidRPr="0038442F">
        <w:rPr>
          <w:rFonts w:ascii="Verdana" w:hAnsi="Verdana"/>
          <w:sz w:val="20"/>
          <w:szCs w:val="20"/>
          <w:lang w:val="pt-BR"/>
        </w:rPr>
        <w:t>importância</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680BB9" w:rsidRPr="0038442F">
        <w:rPr>
          <w:rFonts w:ascii="Verdana" w:hAnsi="Verdana"/>
          <w:i/>
          <w:sz w:val="20"/>
          <w:szCs w:val="20"/>
          <w:lang w:val="pt-BR"/>
        </w:rPr>
        <w:t>fiscaliza</w:t>
      </w:r>
      <w:r w:rsidR="000A1AA8" w:rsidRPr="0038442F">
        <w:rPr>
          <w:rFonts w:ascii="Verdana" w:hAnsi="Verdana"/>
          <w:i/>
          <w:sz w:val="20"/>
          <w:szCs w:val="20"/>
          <w:lang w:val="pt-BR"/>
        </w:rPr>
        <w:t>ção</w:t>
      </w:r>
      <w:r w:rsidR="00B35C18" w:rsidRPr="0038442F">
        <w:rPr>
          <w:rFonts w:ascii="Verdana" w:hAnsi="Verdana"/>
          <w:i/>
          <w:sz w:val="20"/>
          <w:szCs w:val="20"/>
          <w:lang w:val="pt-BR"/>
        </w:rPr>
        <w:t xml:space="preserve"> o</w:t>
      </w:r>
      <w:r w:rsidR="000E331D" w:rsidRPr="0038442F">
        <w:rPr>
          <w:rFonts w:ascii="Verdana" w:hAnsi="Verdana"/>
          <w:i/>
          <w:sz w:val="20"/>
          <w:szCs w:val="20"/>
          <w:lang w:val="pt-BR"/>
        </w:rPr>
        <w:t>u</w:t>
      </w:r>
      <w:r w:rsidR="00B35C18" w:rsidRPr="0038442F">
        <w:rPr>
          <w:rFonts w:ascii="Verdana" w:hAnsi="Verdana"/>
          <w:i/>
          <w:sz w:val="20"/>
          <w:szCs w:val="20"/>
          <w:lang w:val="pt-BR"/>
        </w:rPr>
        <w:t xml:space="preserve"> </w:t>
      </w:r>
      <w:r w:rsidR="000E331D" w:rsidRPr="0038442F">
        <w:rPr>
          <w:rFonts w:ascii="Verdana" w:hAnsi="Verdana"/>
          <w:i/>
          <w:sz w:val="20"/>
          <w:szCs w:val="20"/>
          <w:lang w:val="pt-BR"/>
        </w:rPr>
        <w:t xml:space="preserve">inspeção </w:t>
      </w:r>
      <w:r w:rsidR="00680BB9" w:rsidRPr="0038442F">
        <w:rPr>
          <w:rFonts w:ascii="Verdana" w:hAnsi="Verdana"/>
          <w:sz w:val="20"/>
          <w:szCs w:val="20"/>
          <w:lang w:val="pt-BR"/>
        </w:rPr>
        <w:t xml:space="preserve">como </w:t>
      </w:r>
      <w:r w:rsidR="00BB4AD8" w:rsidRPr="0038442F">
        <w:rPr>
          <w:rFonts w:ascii="Verdana" w:hAnsi="Verdana"/>
          <w:sz w:val="20"/>
          <w:szCs w:val="20"/>
          <w:lang w:val="pt-BR"/>
        </w:rPr>
        <w:t>mecanismos preventivos para as condi</w:t>
      </w:r>
      <w:r w:rsidR="000A1AA8" w:rsidRPr="0038442F">
        <w:rPr>
          <w:rFonts w:ascii="Verdana" w:hAnsi="Verdana"/>
          <w:sz w:val="20"/>
          <w:szCs w:val="20"/>
          <w:lang w:val="pt-BR"/>
        </w:rPr>
        <w:t>ções</w:t>
      </w:r>
      <w:r w:rsidR="00BB4AD8" w:rsidRPr="0038442F">
        <w:rPr>
          <w:rFonts w:ascii="Verdana" w:hAnsi="Verdana"/>
          <w:sz w:val="20"/>
          <w:szCs w:val="20"/>
          <w:lang w:val="pt-BR"/>
        </w:rPr>
        <w:t xml:space="preserve"> equitativas </w:t>
      </w:r>
      <w:r w:rsidR="000E331D" w:rsidRPr="0038442F">
        <w:rPr>
          <w:rFonts w:ascii="Verdana" w:hAnsi="Verdana"/>
          <w:sz w:val="20"/>
          <w:szCs w:val="20"/>
          <w:lang w:val="pt-BR"/>
        </w:rPr>
        <w:t>e</w:t>
      </w:r>
      <w:r w:rsidR="00BB4AD8" w:rsidRPr="0038442F">
        <w:rPr>
          <w:rFonts w:ascii="Verdana" w:hAnsi="Verdana"/>
          <w:sz w:val="20"/>
          <w:szCs w:val="20"/>
          <w:lang w:val="pt-BR"/>
        </w:rPr>
        <w:t xml:space="preserve"> </w:t>
      </w:r>
      <w:r w:rsidR="00751189" w:rsidRPr="0038442F">
        <w:rPr>
          <w:rFonts w:ascii="Verdana" w:hAnsi="Verdana"/>
          <w:sz w:val="20"/>
          <w:szCs w:val="20"/>
          <w:lang w:val="pt-BR"/>
        </w:rPr>
        <w:t>satisfatórias</w:t>
      </w:r>
      <w:r w:rsidR="00407242" w:rsidRPr="0038442F">
        <w:rPr>
          <w:rFonts w:ascii="Verdana" w:hAnsi="Verdana"/>
          <w:sz w:val="20"/>
          <w:szCs w:val="20"/>
          <w:lang w:val="pt-BR"/>
        </w:rPr>
        <w:t xml:space="preserve"> </w:t>
      </w:r>
      <w:r w:rsidR="00B35C18" w:rsidRPr="0038442F">
        <w:rPr>
          <w:rFonts w:ascii="Verdana" w:hAnsi="Verdana"/>
          <w:sz w:val="20"/>
          <w:szCs w:val="20"/>
          <w:lang w:val="pt-BR"/>
        </w:rPr>
        <w:t>d</w:t>
      </w:r>
      <w:r w:rsidR="000E331D" w:rsidRPr="0038442F">
        <w:rPr>
          <w:rFonts w:ascii="Verdana" w:hAnsi="Verdana"/>
          <w:sz w:val="20"/>
          <w:szCs w:val="20"/>
          <w:lang w:val="pt-BR"/>
        </w:rPr>
        <w:t>o</w:t>
      </w:r>
      <w:r w:rsidR="00B35C18" w:rsidRPr="0038442F">
        <w:rPr>
          <w:rFonts w:ascii="Verdana" w:hAnsi="Verdana"/>
          <w:sz w:val="20"/>
          <w:szCs w:val="20"/>
          <w:lang w:val="pt-BR"/>
        </w:rPr>
        <w:t xml:space="preserv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A30C5" w:rsidRPr="0038442F">
        <w:rPr>
          <w:rFonts w:ascii="Verdana" w:hAnsi="Verdana"/>
          <w:sz w:val="20"/>
          <w:szCs w:val="20"/>
          <w:lang w:val="pt-BR"/>
        </w:rPr>
        <w:t>ao trabalho</w:t>
      </w:r>
      <w:r w:rsidR="00E34F57" w:rsidRPr="0038442F">
        <w:rPr>
          <w:rFonts w:ascii="Verdana" w:hAnsi="Verdana"/>
          <w:sz w:val="20"/>
          <w:szCs w:val="20"/>
          <w:lang w:val="pt-BR"/>
        </w:rPr>
        <w:t>,</w:t>
      </w:r>
      <w:r w:rsidR="00407242" w:rsidRPr="0038442F">
        <w:rPr>
          <w:rFonts w:ascii="Verdana" w:hAnsi="Verdana"/>
          <w:sz w:val="20"/>
          <w:szCs w:val="20"/>
          <w:lang w:val="pt-BR"/>
        </w:rPr>
        <w:t xml:space="preserve"> </w:t>
      </w:r>
      <w:r w:rsidR="00B35C18" w:rsidRPr="0038442F">
        <w:rPr>
          <w:rFonts w:ascii="Verdana" w:hAnsi="Verdana"/>
          <w:sz w:val="20"/>
          <w:szCs w:val="20"/>
          <w:lang w:val="pt-BR"/>
        </w:rPr>
        <w:t xml:space="preserve">que </w:t>
      </w:r>
      <w:r w:rsidR="00257691" w:rsidRPr="0038442F">
        <w:rPr>
          <w:rFonts w:ascii="Verdana" w:hAnsi="Verdana"/>
          <w:sz w:val="20"/>
          <w:szCs w:val="20"/>
          <w:lang w:val="pt-BR"/>
        </w:rPr>
        <w:t>garant</w:t>
      </w:r>
      <w:r w:rsidR="000E331D" w:rsidRPr="0038442F">
        <w:rPr>
          <w:rFonts w:ascii="Verdana" w:hAnsi="Verdana"/>
          <w:sz w:val="20"/>
          <w:szCs w:val="20"/>
          <w:lang w:val="pt-BR"/>
        </w:rPr>
        <w:t>a</w:t>
      </w:r>
      <w:r w:rsidR="00F4289F" w:rsidRPr="0038442F">
        <w:rPr>
          <w:rFonts w:ascii="Verdana" w:hAnsi="Verdana"/>
          <w:sz w:val="20"/>
          <w:szCs w:val="20"/>
          <w:lang w:val="pt-BR"/>
        </w:rPr>
        <w:t>m</w:t>
      </w:r>
      <w:r w:rsidR="000E331D" w:rsidRPr="0038442F">
        <w:rPr>
          <w:rFonts w:ascii="Verdana" w:hAnsi="Verdana"/>
          <w:sz w:val="20"/>
          <w:szCs w:val="20"/>
          <w:lang w:val="pt-BR"/>
        </w:rPr>
        <w:t xml:space="preserve"> </w:t>
      </w:r>
      <w:r w:rsidR="00BF7A10" w:rsidRPr="0038442F">
        <w:rPr>
          <w:rFonts w:ascii="Verdana" w:hAnsi="Verdana"/>
          <w:sz w:val="20"/>
          <w:szCs w:val="20"/>
          <w:lang w:val="pt-BR"/>
        </w:rPr>
        <w:t xml:space="preserve">a </w:t>
      </w:r>
      <w:r w:rsidR="008806F8" w:rsidRPr="0038442F">
        <w:rPr>
          <w:rFonts w:ascii="Verdana" w:hAnsi="Verdana"/>
          <w:sz w:val="20"/>
          <w:szCs w:val="20"/>
          <w:lang w:val="pt-BR"/>
        </w:rPr>
        <w:t>segurança</w:t>
      </w:r>
      <w:r w:rsidR="00B35C18" w:rsidRPr="0038442F">
        <w:rPr>
          <w:rFonts w:ascii="Verdana" w:hAnsi="Verdana"/>
          <w:sz w:val="20"/>
          <w:szCs w:val="20"/>
          <w:lang w:val="pt-BR"/>
        </w:rPr>
        <w:t xml:space="preserve">, </w:t>
      </w:r>
      <w:r w:rsidR="008806F8" w:rsidRPr="0038442F">
        <w:rPr>
          <w:rFonts w:ascii="Verdana" w:hAnsi="Verdana"/>
          <w:sz w:val="20"/>
          <w:szCs w:val="20"/>
          <w:lang w:val="pt-BR"/>
        </w:rPr>
        <w:t xml:space="preserve">a saúde e a higiene </w:t>
      </w:r>
      <w:r w:rsidR="00751189" w:rsidRPr="0038442F">
        <w:rPr>
          <w:rFonts w:ascii="Verdana" w:hAnsi="Verdana"/>
          <w:sz w:val="20"/>
          <w:szCs w:val="20"/>
          <w:lang w:val="pt-BR"/>
        </w:rPr>
        <w:t xml:space="preserve">no </w:t>
      </w:r>
      <w:r w:rsidR="00C92762" w:rsidRPr="0038442F">
        <w:rPr>
          <w:rFonts w:ascii="Verdana" w:hAnsi="Verdana"/>
          <w:sz w:val="20"/>
          <w:szCs w:val="20"/>
          <w:lang w:val="pt-BR"/>
        </w:rPr>
        <w:t>trabalho</w:t>
      </w:r>
      <w:r w:rsidR="00BB4AD8" w:rsidRPr="0038442F">
        <w:rPr>
          <w:rFonts w:ascii="Verdana" w:hAnsi="Verdana"/>
          <w:sz w:val="20"/>
          <w:szCs w:val="20"/>
          <w:lang w:val="pt-BR"/>
        </w:rPr>
        <w:t>.</w:t>
      </w:r>
      <w:r w:rsidR="00407242" w:rsidRPr="0038442F">
        <w:rPr>
          <w:rFonts w:ascii="Verdana" w:hAnsi="Verdana"/>
          <w:sz w:val="20"/>
          <w:szCs w:val="20"/>
          <w:lang w:val="pt-BR"/>
        </w:rPr>
        <w:t xml:space="preserve"> </w:t>
      </w:r>
    </w:p>
    <w:p w14:paraId="498714D6" w14:textId="77777777" w:rsidR="000777E8" w:rsidRPr="0038442F" w:rsidRDefault="000777E8" w:rsidP="000777E8">
      <w:pPr>
        <w:pStyle w:val="Prrafodelista"/>
        <w:tabs>
          <w:tab w:val="left" w:pos="0"/>
        </w:tabs>
        <w:spacing w:before="120" w:after="120" w:line="240" w:lineRule="auto"/>
        <w:ind w:left="0"/>
        <w:contextualSpacing w:val="0"/>
        <w:jc w:val="both"/>
        <w:rPr>
          <w:rFonts w:ascii="Verdana" w:hAnsi="Verdana"/>
          <w:sz w:val="20"/>
          <w:szCs w:val="20"/>
          <w:lang w:val="pt-BR"/>
        </w:rPr>
      </w:pPr>
    </w:p>
    <w:p w14:paraId="23FC1771" w14:textId="11955722" w:rsidR="00BB4AD8" w:rsidRPr="0038442F" w:rsidRDefault="00022900" w:rsidP="000777E8">
      <w:pPr>
        <w:tabs>
          <w:tab w:val="left" w:pos="0"/>
        </w:tabs>
        <w:snapToGrid w:val="0"/>
        <w:jc w:val="both"/>
        <w:rPr>
          <w:rFonts w:ascii="Verdana" w:hAnsi="Verdana"/>
          <w:b/>
          <w:i/>
          <w:iCs/>
          <w:sz w:val="20"/>
          <w:szCs w:val="20"/>
          <w:lang w:val="pt-BR"/>
        </w:rPr>
      </w:pPr>
      <w:r w:rsidRPr="0038442F">
        <w:rPr>
          <w:rFonts w:ascii="Verdana" w:hAnsi="Verdana"/>
          <w:b/>
          <w:i/>
          <w:iCs/>
          <w:sz w:val="20"/>
          <w:szCs w:val="20"/>
          <w:lang w:val="pt-BR"/>
        </w:rPr>
        <w:t xml:space="preserve">A. </w:t>
      </w:r>
      <w:r w:rsidR="0063748F" w:rsidRPr="0038442F">
        <w:rPr>
          <w:rFonts w:ascii="Verdana" w:hAnsi="Verdana"/>
          <w:b/>
          <w:i/>
          <w:iCs/>
          <w:sz w:val="20"/>
          <w:szCs w:val="20"/>
          <w:lang w:val="pt-BR"/>
        </w:rPr>
        <w:t xml:space="preserve">Sobre </w:t>
      </w:r>
      <w:r w:rsidR="000E331D" w:rsidRPr="0038442F">
        <w:rPr>
          <w:rFonts w:ascii="Verdana" w:hAnsi="Verdana"/>
          <w:b/>
          <w:i/>
          <w:iCs/>
          <w:sz w:val="20"/>
          <w:szCs w:val="20"/>
          <w:lang w:val="pt-BR"/>
        </w:rPr>
        <w:t>o</w:t>
      </w:r>
      <w:r w:rsidR="0063748F" w:rsidRPr="0038442F">
        <w:rPr>
          <w:rFonts w:ascii="Verdana" w:hAnsi="Verdana"/>
          <w:b/>
          <w:i/>
          <w:iCs/>
          <w:sz w:val="20"/>
          <w:szCs w:val="20"/>
          <w:lang w:val="pt-BR"/>
        </w:rPr>
        <w:t xml:space="preserve"> conte</w:t>
      </w:r>
      <w:r w:rsidR="000E331D" w:rsidRPr="0038442F">
        <w:rPr>
          <w:rFonts w:ascii="Verdana" w:hAnsi="Verdana"/>
          <w:b/>
          <w:i/>
          <w:iCs/>
          <w:sz w:val="20"/>
          <w:szCs w:val="20"/>
          <w:lang w:val="pt-BR"/>
        </w:rPr>
        <w:t xml:space="preserve">údo do </w:t>
      </w:r>
      <w:r w:rsidR="00CA30C5" w:rsidRPr="0038442F">
        <w:rPr>
          <w:rFonts w:ascii="Verdana" w:hAnsi="Verdana"/>
          <w:b/>
          <w:i/>
          <w:iCs/>
          <w:sz w:val="20"/>
          <w:szCs w:val="20"/>
          <w:lang w:val="pt-BR"/>
        </w:rPr>
        <w:t>direito</w:t>
      </w:r>
      <w:r w:rsidR="00407242" w:rsidRPr="0038442F">
        <w:rPr>
          <w:rFonts w:ascii="Verdana" w:hAnsi="Verdana"/>
          <w:b/>
          <w:i/>
          <w:iCs/>
          <w:sz w:val="20"/>
          <w:szCs w:val="20"/>
          <w:lang w:val="pt-BR"/>
        </w:rPr>
        <w:t xml:space="preserve"> </w:t>
      </w:r>
      <w:r w:rsidR="0063748F" w:rsidRPr="0038442F">
        <w:rPr>
          <w:rFonts w:ascii="Verdana" w:hAnsi="Verdana"/>
          <w:b/>
          <w:i/>
          <w:iCs/>
          <w:sz w:val="20"/>
          <w:szCs w:val="20"/>
          <w:lang w:val="pt-BR"/>
        </w:rPr>
        <w:t xml:space="preserve">a </w:t>
      </w:r>
      <w:r w:rsidR="00BB4AD8" w:rsidRPr="0038442F">
        <w:rPr>
          <w:rFonts w:ascii="Verdana" w:hAnsi="Verdana"/>
          <w:b/>
          <w:i/>
          <w:iCs/>
          <w:sz w:val="20"/>
          <w:szCs w:val="20"/>
          <w:lang w:val="pt-BR"/>
        </w:rPr>
        <w:t>condi</w:t>
      </w:r>
      <w:r w:rsidR="000A1AA8" w:rsidRPr="0038442F">
        <w:rPr>
          <w:rFonts w:ascii="Verdana" w:hAnsi="Verdana"/>
          <w:b/>
          <w:i/>
          <w:iCs/>
          <w:sz w:val="20"/>
          <w:szCs w:val="20"/>
          <w:lang w:val="pt-BR"/>
        </w:rPr>
        <w:t>ções</w:t>
      </w:r>
      <w:r w:rsidR="00BB4AD8" w:rsidRPr="0038442F">
        <w:rPr>
          <w:rFonts w:ascii="Verdana" w:hAnsi="Verdana"/>
          <w:b/>
          <w:i/>
          <w:iCs/>
          <w:sz w:val="20"/>
          <w:szCs w:val="20"/>
          <w:lang w:val="pt-BR"/>
        </w:rPr>
        <w:t xml:space="preserve"> equitativas </w:t>
      </w:r>
      <w:r w:rsidR="000E331D" w:rsidRPr="0038442F">
        <w:rPr>
          <w:rFonts w:ascii="Verdana" w:hAnsi="Verdana"/>
          <w:b/>
          <w:i/>
          <w:iCs/>
          <w:sz w:val="20"/>
          <w:szCs w:val="20"/>
          <w:lang w:val="pt-BR"/>
        </w:rPr>
        <w:t>e</w:t>
      </w:r>
      <w:r w:rsidR="00BB4AD8" w:rsidRPr="0038442F">
        <w:rPr>
          <w:rFonts w:ascii="Verdana" w:hAnsi="Verdana"/>
          <w:b/>
          <w:i/>
          <w:iCs/>
          <w:sz w:val="20"/>
          <w:szCs w:val="20"/>
          <w:lang w:val="pt-BR"/>
        </w:rPr>
        <w:t xml:space="preserve"> </w:t>
      </w:r>
      <w:r w:rsidR="00751189" w:rsidRPr="0038442F">
        <w:rPr>
          <w:rFonts w:ascii="Verdana" w:hAnsi="Verdana"/>
          <w:b/>
          <w:i/>
          <w:iCs/>
          <w:sz w:val="20"/>
          <w:szCs w:val="20"/>
          <w:lang w:val="pt-BR"/>
        </w:rPr>
        <w:t>satisfatórias</w:t>
      </w:r>
      <w:r w:rsidR="00407242" w:rsidRPr="0038442F">
        <w:rPr>
          <w:rFonts w:ascii="Verdana" w:hAnsi="Verdana"/>
          <w:b/>
          <w:i/>
          <w:iCs/>
          <w:sz w:val="20"/>
          <w:szCs w:val="20"/>
          <w:lang w:val="pt-BR"/>
        </w:rPr>
        <w:t xml:space="preserve"> </w:t>
      </w:r>
      <w:r w:rsidR="00B35C18" w:rsidRPr="0038442F">
        <w:rPr>
          <w:rFonts w:ascii="Verdana" w:hAnsi="Verdana"/>
          <w:b/>
          <w:i/>
          <w:iCs/>
          <w:sz w:val="20"/>
          <w:szCs w:val="20"/>
          <w:lang w:val="pt-BR"/>
        </w:rPr>
        <w:t xml:space="preserve">de </w:t>
      </w:r>
      <w:r w:rsidR="00C92762" w:rsidRPr="0038442F">
        <w:rPr>
          <w:rFonts w:ascii="Verdana" w:hAnsi="Verdana"/>
          <w:b/>
          <w:i/>
          <w:iCs/>
          <w:sz w:val="20"/>
          <w:szCs w:val="20"/>
          <w:lang w:val="pt-BR"/>
        </w:rPr>
        <w:t xml:space="preserve">trabalho </w:t>
      </w:r>
    </w:p>
    <w:p w14:paraId="43C82403" w14:textId="77777777" w:rsidR="000777E8" w:rsidRPr="0038442F" w:rsidRDefault="000777E8" w:rsidP="000777E8">
      <w:pPr>
        <w:tabs>
          <w:tab w:val="left" w:pos="0"/>
        </w:tabs>
        <w:snapToGrid w:val="0"/>
        <w:jc w:val="both"/>
        <w:rPr>
          <w:rFonts w:ascii="Verdana" w:hAnsi="Verdana"/>
          <w:b/>
          <w:i/>
          <w:iCs/>
          <w:sz w:val="20"/>
          <w:szCs w:val="20"/>
          <w:lang w:val="pt-BR"/>
        </w:rPr>
      </w:pPr>
    </w:p>
    <w:p w14:paraId="191C12A9" w14:textId="4062CF7F" w:rsidR="00AA4712" w:rsidRPr="0038442F" w:rsidRDefault="00685AC6" w:rsidP="000F257B">
      <w:pPr>
        <w:pStyle w:val="Prrafodelista"/>
        <w:tabs>
          <w:tab w:val="left" w:pos="0"/>
        </w:tabs>
        <w:spacing w:before="120" w:after="120" w:line="240" w:lineRule="auto"/>
        <w:ind w:left="0"/>
        <w:contextualSpacing w:val="0"/>
        <w:jc w:val="both"/>
        <w:rPr>
          <w:rFonts w:ascii="Verdana" w:hAnsi="Verdana"/>
          <w:sz w:val="20"/>
          <w:szCs w:val="20"/>
          <w:lang w:val="pt-BR"/>
        </w:rPr>
      </w:pPr>
      <w:r w:rsidRPr="0038442F">
        <w:rPr>
          <w:rFonts w:ascii="Verdana" w:hAnsi="Verdana"/>
          <w:sz w:val="20"/>
          <w:szCs w:val="20"/>
          <w:lang w:val="pt-BR"/>
        </w:rPr>
        <w:t xml:space="preserve">27. </w:t>
      </w:r>
      <w:r w:rsidRPr="0038442F">
        <w:rPr>
          <w:rFonts w:ascii="Verdana" w:hAnsi="Verdana"/>
          <w:sz w:val="20"/>
          <w:szCs w:val="20"/>
          <w:lang w:val="pt-BR"/>
        </w:rPr>
        <w:tab/>
      </w:r>
      <w:r w:rsidR="00751189" w:rsidRPr="0038442F">
        <w:rPr>
          <w:rFonts w:ascii="Verdana" w:hAnsi="Verdana"/>
          <w:sz w:val="20"/>
          <w:szCs w:val="20"/>
          <w:lang w:val="pt-BR"/>
        </w:rPr>
        <w:t xml:space="preserve">O direito </w:t>
      </w:r>
      <w:r w:rsidR="00CA30C5" w:rsidRPr="0038442F">
        <w:rPr>
          <w:rFonts w:ascii="Verdana" w:hAnsi="Verdana"/>
          <w:sz w:val="20"/>
          <w:szCs w:val="20"/>
          <w:lang w:val="pt-BR"/>
        </w:rPr>
        <w:t xml:space="preserve">ao trabalho </w:t>
      </w:r>
      <w:r w:rsidR="005209E2">
        <w:rPr>
          <w:rFonts w:ascii="Verdana" w:hAnsi="Verdana"/>
          <w:sz w:val="20"/>
          <w:szCs w:val="20"/>
          <w:lang w:val="pt-BR"/>
        </w:rPr>
        <w:t>tem constituído</w:t>
      </w:r>
      <w:r w:rsidR="005209E2" w:rsidRPr="0038442F">
        <w:rPr>
          <w:rFonts w:ascii="Verdana" w:hAnsi="Verdana"/>
          <w:sz w:val="20"/>
          <w:szCs w:val="20"/>
          <w:lang w:val="pt-BR"/>
        </w:rPr>
        <w:t xml:space="preserve"> </w:t>
      </w:r>
      <w:r w:rsidR="00AA4712" w:rsidRPr="0038442F">
        <w:rPr>
          <w:rFonts w:ascii="Verdana" w:hAnsi="Verdana"/>
          <w:sz w:val="20"/>
          <w:szCs w:val="20"/>
          <w:lang w:val="pt-BR"/>
        </w:rPr>
        <w:t>u</w:t>
      </w:r>
      <w:r w:rsidR="000E331D" w:rsidRPr="0038442F">
        <w:rPr>
          <w:rFonts w:ascii="Verdana" w:hAnsi="Verdana"/>
          <w:sz w:val="20"/>
          <w:szCs w:val="20"/>
          <w:lang w:val="pt-BR"/>
        </w:rPr>
        <w:t xml:space="preserve">m elo </w:t>
      </w:r>
      <w:r w:rsidR="00AA4712" w:rsidRPr="0038442F">
        <w:rPr>
          <w:rFonts w:ascii="Verdana" w:hAnsi="Verdana"/>
          <w:sz w:val="20"/>
          <w:szCs w:val="20"/>
          <w:lang w:val="pt-BR"/>
        </w:rPr>
        <w:t xml:space="preserve">fundamental </w:t>
      </w:r>
      <w:r w:rsidR="00BF7A10" w:rsidRPr="0038442F">
        <w:rPr>
          <w:rFonts w:ascii="Verdana" w:hAnsi="Verdana"/>
          <w:sz w:val="20"/>
          <w:szCs w:val="20"/>
          <w:lang w:val="pt-BR"/>
        </w:rPr>
        <w:t xml:space="preserve">na </w:t>
      </w:r>
      <w:r w:rsidR="00AA4712" w:rsidRPr="0038442F">
        <w:rPr>
          <w:rFonts w:ascii="Verdana" w:hAnsi="Verdana"/>
          <w:sz w:val="20"/>
          <w:szCs w:val="20"/>
          <w:lang w:val="pt-BR"/>
        </w:rPr>
        <w:t>l</w:t>
      </w:r>
      <w:r w:rsidR="000E331D" w:rsidRPr="0038442F">
        <w:rPr>
          <w:rFonts w:ascii="Verdana" w:hAnsi="Verdana"/>
          <w:sz w:val="20"/>
          <w:szCs w:val="20"/>
          <w:lang w:val="pt-BR"/>
        </w:rPr>
        <w:t xml:space="preserve">inha </w:t>
      </w:r>
      <w:r w:rsidR="00AA4712" w:rsidRPr="0038442F">
        <w:rPr>
          <w:rFonts w:ascii="Verdana" w:hAnsi="Verdana"/>
          <w:sz w:val="20"/>
          <w:szCs w:val="20"/>
          <w:lang w:val="pt-BR"/>
        </w:rPr>
        <w:t xml:space="preserve">jurisprudencial </w:t>
      </w:r>
      <w:r w:rsidR="002372BD" w:rsidRPr="0038442F">
        <w:rPr>
          <w:rFonts w:ascii="Verdana" w:hAnsi="Verdana"/>
          <w:iCs/>
          <w:sz w:val="20"/>
          <w:szCs w:val="20"/>
          <w:lang w:val="pt-BR"/>
        </w:rPr>
        <w:t>relativa a</w:t>
      </w:r>
      <w:r w:rsidR="00C92762" w:rsidRPr="0038442F">
        <w:rPr>
          <w:rFonts w:ascii="Verdana" w:hAnsi="Verdana"/>
          <w:iCs/>
          <w:sz w:val="20"/>
          <w:szCs w:val="20"/>
          <w:lang w:val="pt-BR"/>
        </w:rPr>
        <w:t xml:space="preserve">os direitos </w:t>
      </w:r>
      <w:r w:rsidR="006A12FD" w:rsidRPr="0038442F">
        <w:rPr>
          <w:rFonts w:ascii="Verdana" w:hAnsi="Verdana"/>
          <w:iCs/>
          <w:sz w:val="20"/>
          <w:szCs w:val="20"/>
          <w:lang w:val="pt-BR"/>
        </w:rPr>
        <w:t>econômic</w:t>
      </w:r>
      <w:r w:rsidR="00E34F57" w:rsidRPr="0038442F">
        <w:rPr>
          <w:rFonts w:ascii="Verdana" w:hAnsi="Verdana"/>
          <w:iCs/>
          <w:sz w:val="20"/>
          <w:szCs w:val="20"/>
          <w:lang w:val="pt-BR"/>
        </w:rPr>
        <w:t>o</w:t>
      </w:r>
      <w:r w:rsidR="006A12FD" w:rsidRPr="0038442F">
        <w:rPr>
          <w:rFonts w:ascii="Verdana" w:hAnsi="Verdana"/>
          <w:iCs/>
          <w:sz w:val="20"/>
          <w:szCs w:val="20"/>
          <w:lang w:val="pt-BR"/>
        </w:rPr>
        <w:t>s</w:t>
      </w:r>
      <w:r w:rsidR="002372BD" w:rsidRPr="0038442F">
        <w:rPr>
          <w:rFonts w:ascii="Verdana" w:hAnsi="Verdana"/>
          <w:iCs/>
          <w:sz w:val="20"/>
          <w:szCs w:val="20"/>
          <w:lang w:val="pt-BR"/>
        </w:rPr>
        <w:t>, soci</w:t>
      </w:r>
      <w:r w:rsidR="00C92762" w:rsidRPr="0038442F">
        <w:rPr>
          <w:rFonts w:ascii="Verdana" w:hAnsi="Verdana"/>
          <w:iCs/>
          <w:sz w:val="20"/>
          <w:szCs w:val="20"/>
          <w:lang w:val="pt-BR"/>
        </w:rPr>
        <w:t>ais</w:t>
      </w:r>
      <w:r w:rsidR="002372BD" w:rsidRPr="0038442F">
        <w:rPr>
          <w:rFonts w:ascii="Verdana" w:hAnsi="Verdana"/>
          <w:iCs/>
          <w:sz w:val="20"/>
          <w:szCs w:val="20"/>
          <w:lang w:val="pt-BR"/>
        </w:rPr>
        <w:t>, cultur</w:t>
      </w:r>
      <w:r w:rsidR="00C92762" w:rsidRPr="0038442F">
        <w:rPr>
          <w:rFonts w:ascii="Verdana" w:hAnsi="Verdana"/>
          <w:iCs/>
          <w:sz w:val="20"/>
          <w:szCs w:val="20"/>
          <w:lang w:val="pt-BR"/>
        </w:rPr>
        <w:t>ais</w:t>
      </w:r>
      <w:r w:rsidR="00407242" w:rsidRPr="0038442F">
        <w:rPr>
          <w:rFonts w:ascii="Verdana" w:hAnsi="Verdana"/>
          <w:iCs/>
          <w:sz w:val="20"/>
          <w:szCs w:val="20"/>
          <w:lang w:val="pt-BR"/>
        </w:rPr>
        <w:t xml:space="preserve"> </w:t>
      </w:r>
      <w:r w:rsidR="000E331D" w:rsidRPr="0038442F">
        <w:rPr>
          <w:rFonts w:ascii="Verdana" w:hAnsi="Verdana"/>
          <w:iCs/>
          <w:sz w:val="20"/>
          <w:szCs w:val="20"/>
          <w:lang w:val="pt-BR"/>
        </w:rPr>
        <w:t>e</w:t>
      </w:r>
      <w:r w:rsidR="002372BD" w:rsidRPr="0038442F">
        <w:rPr>
          <w:rFonts w:ascii="Verdana" w:hAnsi="Verdana"/>
          <w:iCs/>
          <w:sz w:val="20"/>
          <w:szCs w:val="20"/>
          <w:lang w:val="pt-BR"/>
        </w:rPr>
        <w:t xml:space="preserve"> ambient</w:t>
      </w:r>
      <w:r w:rsidR="00C92762" w:rsidRPr="0038442F">
        <w:rPr>
          <w:rFonts w:ascii="Verdana" w:hAnsi="Verdana"/>
          <w:iCs/>
          <w:sz w:val="20"/>
          <w:szCs w:val="20"/>
          <w:lang w:val="pt-BR"/>
        </w:rPr>
        <w:t>ais</w:t>
      </w:r>
      <w:r w:rsidR="00407242" w:rsidRPr="0038442F">
        <w:rPr>
          <w:rFonts w:ascii="Verdana" w:hAnsi="Verdana"/>
          <w:iCs/>
          <w:sz w:val="20"/>
          <w:szCs w:val="20"/>
          <w:lang w:val="pt-BR"/>
        </w:rPr>
        <w:t xml:space="preserve"> </w:t>
      </w:r>
      <w:r w:rsidR="002372BD" w:rsidRPr="0038442F">
        <w:rPr>
          <w:rFonts w:ascii="Verdana" w:hAnsi="Verdana"/>
          <w:iCs/>
          <w:sz w:val="20"/>
          <w:szCs w:val="20"/>
          <w:lang w:val="pt-BR"/>
        </w:rPr>
        <w:t>(</w:t>
      </w:r>
      <w:r w:rsidR="000E331D" w:rsidRPr="0038442F">
        <w:rPr>
          <w:rFonts w:ascii="Verdana" w:hAnsi="Verdana"/>
          <w:iCs/>
          <w:sz w:val="20"/>
          <w:szCs w:val="20"/>
          <w:lang w:val="pt-BR"/>
        </w:rPr>
        <w:t xml:space="preserve">doravante denominados </w:t>
      </w:r>
      <w:r w:rsidR="002372BD" w:rsidRPr="0038442F">
        <w:rPr>
          <w:rFonts w:ascii="Verdana" w:hAnsi="Verdana"/>
          <w:iCs/>
          <w:sz w:val="20"/>
          <w:szCs w:val="20"/>
          <w:lang w:val="pt-BR"/>
        </w:rPr>
        <w:t xml:space="preserve">“DESCA”) desde </w:t>
      </w:r>
      <w:r w:rsidR="000E331D" w:rsidRPr="0038442F">
        <w:rPr>
          <w:rFonts w:ascii="Verdana" w:hAnsi="Verdana"/>
          <w:iCs/>
          <w:sz w:val="20"/>
          <w:szCs w:val="20"/>
          <w:lang w:val="pt-BR"/>
        </w:rPr>
        <w:t xml:space="preserve">o </w:t>
      </w:r>
      <w:r w:rsidR="000E331D" w:rsidRPr="0038442F">
        <w:rPr>
          <w:rFonts w:ascii="Verdana" w:hAnsi="Verdana"/>
          <w:i/>
          <w:iCs/>
          <w:sz w:val="20"/>
          <w:szCs w:val="20"/>
          <w:lang w:val="pt-BR"/>
        </w:rPr>
        <w:t xml:space="preserve">Caso </w:t>
      </w:r>
      <w:r w:rsidR="00AA4712" w:rsidRPr="0038442F">
        <w:rPr>
          <w:rFonts w:ascii="Verdana" w:hAnsi="Verdana"/>
          <w:i/>
          <w:iCs/>
          <w:sz w:val="20"/>
          <w:szCs w:val="20"/>
          <w:lang w:val="pt-BR"/>
        </w:rPr>
        <w:t xml:space="preserve">Lagos del Campo Vs. </w:t>
      </w:r>
      <w:r w:rsidR="000E331D" w:rsidRPr="0038442F">
        <w:rPr>
          <w:rFonts w:ascii="Verdana" w:hAnsi="Verdana"/>
          <w:i/>
          <w:iCs/>
          <w:sz w:val="20"/>
          <w:szCs w:val="20"/>
          <w:lang w:val="pt-BR"/>
        </w:rPr>
        <w:t>Peru.</w:t>
      </w:r>
      <w:r w:rsidR="00AA4712" w:rsidRPr="0038442F">
        <w:rPr>
          <w:rStyle w:val="Refdenotaalpie"/>
          <w:rFonts w:ascii="Verdana" w:hAnsi="Verdana"/>
          <w:iCs/>
          <w:sz w:val="20"/>
          <w:szCs w:val="20"/>
          <w:lang w:val="pt-BR"/>
        </w:rPr>
        <w:footnoteReference w:id="32"/>
      </w:r>
      <w:r w:rsidR="00AA4712" w:rsidRPr="0038442F">
        <w:rPr>
          <w:rFonts w:ascii="Verdana" w:hAnsi="Verdana"/>
          <w:i/>
          <w:iCs/>
          <w:sz w:val="20"/>
          <w:szCs w:val="20"/>
          <w:lang w:val="pt-BR"/>
        </w:rPr>
        <w:t xml:space="preserve"> </w:t>
      </w:r>
      <w:r w:rsidR="000E331D" w:rsidRPr="0038442F">
        <w:rPr>
          <w:rFonts w:ascii="Verdana" w:hAnsi="Verdana"/>
          <w:iCs/>
          <w:sz w:val="20"/>
          <w:szCs w:val="20"/>
          <w:lang w:val="pt-BR"/>
        </w:rPr>
        <w:t>Nes</w:t>
      </w:r>
      <w:r w:rsidR="005209E2">
        <w:rPr>
          <w:rFonts w:ascii="Verdana" w:hAnsi="Verdana"/>
          <w:iCs/>
          <w:sz w:val="20"/>
          <w:szCs w:val="20"/>
          <w:lang w:val="pt-BR"/>
        </w:rPr>
        <w:t>t</w:t>
      </w:r>
      <w:r w:rsidR="000E331D" w:rsidRPr="0038442F">
        <w:rPr>
          <w:rFonts w:ascii="Verdana" w:hAnsi="Verdana"/>
          <w:iCs/>
          <w:sz w:val="20"/>
          <w:szCs w:val="20"/>
          <w:lang w:val="pt-BR"/>
        </w:rPr>
        <w:t>e mesmo</w:t>
      </w:r>
      <w:r w:rsidR="00407242" w:rsidRPr="0038442F">
        <w:rPr>
          <w:rFonts w:ascii="Verdana" w:hAnsi="Verdana"/>
          <w:iCs/>
          <w:sz w:val="20"/>
          <w:szCs w:val="20"/>
          <w:lang w:val="pt-BR"/>
        </w:rPr>
        <w:t xml:space="preserve"> </w:t>
      </w:r>
      <w:r w:rsidR="000E331D" w:rsidRPr="0038442F">
        <w:rPr>
          <w:rFonts w:ascii="Verdana" w:hAnsi="Verdana"/>
          <w:iCs/>
          <w:sz w:val="20"/>
          <w:szCs w:val="20"/>
          <w:lang w:val="pt-BR"/>
        </w:rPr>
        <w:t>período</w:t>
      </w:r>
      <w:r w:rsidR="00407242" w:rsidRPr="0038442F">
        <w:rPr>
          <w:rFonts w:ascii="Verdana" w:hAnsi="Verdana"/>
          <w:iCs/>
          <w:sz w:val="20"/>
          <w:szCs w:val="20"/>
          <w:lang w:val="pt-BR"/>
        </w:rPr>
        <w:t xml:space="preserve"> </w:t>
      </w:r>
      <w:r w:rsidR="002372BD" w:rsidRPr="0038442F">
        <w:rPr>
          <w:rFonts w:ascii="Verdana" w:hAnsi="Verdana"/>
          <w:iCs/>
          <w:sz w:val="20"/>
          <w:szCs w:val="20"/>
          <w:lang w:val="pt-BR"/>
        </w:rPr>
        <w:t xml:space="preserve">de </w:t>
      </w:r>
      <w:r w:rsidR="000E331D" w:rsidRPr="0038442F">
        <w:rPr>
          <w:rFonts w:ascii="Verdana" w:hAnsi="Verdana"/>
          <w:iCs/>
          <w:sz w:val="20"/>
          <w:szCs w:val="20"/>
          <w:lang w:val="pt-BR"/>
        </w:rPr>
        <w:t>sessões</w:t>
      </w:r>
      <w:r w:rsidR="002372BD" w:rsidRPr="0038442F">
        <w:rPr>
          <w:rFonts w:ascii="Verdana" w:hAnsi="Verdana"/>
          <w:iCs/>
          <w:sz w:val="20"/>
          <w:szCs w:val="20"/>
          <w:lang w:val="pt-BR"/>
        </w:rPr>
        <w:t xml:space="preserve"> (</w:t>
      </w:r>
      <w:r w:rsidR="0038486A">
        <w:rPr>
          <w:rFonts w:ascii="Verdana" w:hAnsi="Verdana"/>
          <w:iCs/>
          <w:sz w:val="20"/>
          <w:szCs w:val="20"/>
          <w:lang w:val="pt-BR"/>
        </w:rPr>
        <w:t>realizado</w:t>
      </w:r>
      <w:r w:rsidR="0038486A" w:rsidRPr="0038442F">
        <w:rPr>
          <w:rFonts w:ascii="Verdana" w:hAnsi="Verdana"/>
          <w:iCs/>
          <w:sz w:val="20"/>
          <w:szCs w:val="20"/>
          <w:lang w:val="pt-BR"/>
        </w:rPr>
        <w:t xml:space="preserve"> </w:t>
      </w:r>
      <w:r w:rsidR="000E331D" w:rsidRPr="0038442F">
        <w:rPr>
          <w:rFonts w:ascii="Verdana" w:hAnsi="Verdana"/>
          <w:iCs/>
          <w:sz w:val="20"/>
          <w:szCs w:val="20"/>
          <w:lang w:val="pt-BR"/>
        </w:rPr>
        <w:t xml:space="preserve">pela </w:t>
      </w:r>
      <w:r w:rsidR="00CA30C5" w:rsidRPr="0038442F">
        <w:rPr>
          <w:rFonts w:ascii="Verdana" w:hAnsi="Verdana"/>
          <w:iCs/>
          <w:sz w:val="20"/>
          <w:szCs w:val="20"/>
          <w:lang w:val="pt-BR"/>
        </w:rPr>
        <w:t xml:space="preserve">primeira </w:t>
      </w:r>
      <w:r w:rsidR="002372BD" w:rsidRPr="0038442F">
        <w:rPr>
          <w:rFonts w:ascii="Verdana" w:hAnsi="Verdana"/>
          <w:iCs/>
          <w:sz w:val="20"/>
          <w:szCs w:val="20"/>
          <w:lang w:val="pt-BR"/>
        </w:rPr>
        <w:t xml:space="preserve">vez de </w:t>
      </w:r>
      <w:r w:rsidR="0038486A">
        <w:rPr>
          <w:rFonts w:ascii="Verdana" w:hAnsi="Verdana"/>
          <w:iCs/>
          <w:sz w:val="20"/>
          <w:szCs w:val="20"/>
          <w:lang w:val="pt-BR"/>
        </w:rPr>
        <w:t>forma</w:t>
      </w:r>
      <w:r w:rsidR="0038486A" w:rsidRPr="0038442F">
        <w:rPr>
          <w:rFonts w:ascii="Verdana" w:hAnsi="Verdana"/>
          <w:iCs/>
          <w:sz w:val="20"/>
          <w:szCs w:val="20"/>
          <w:lang w:val="pt-BR"/>
        </w:rPr>
        <w:t xml:space="preserve"> </w:t>
      </w:r>
      <w:r w:rsidR="002372BD" w:rsidRPr="0038442F">
        <w:rPr>
          <w:rFonts w:ascii="Verdana" w:hAnsi="Verdana"/>
          <w:iCs/>
          <w:sz w:val="20"/>
          <w:szCs w:val="20"/>
          <w:lang w:val="pt-BR"/>
        </w:rPr>
        <w:t>virtual</w:t>
      </w:r>
      <w:r w:rsidR="00F4289F" w:rsidRPr="0038442F">
        <w:rPr>
          <w:rFonts w:ascii="Verdana" w:hAnsi="Verdana"/>
          <w:iCs/>
          <w:sz w:val="20"/>
          <w:szCs w:val="20"/>
          <w:lang w:val="pt-BR"/>
        </w:rPr>
        <w:t>,</w:t>
      </w:r>
      <w:r w:rsidR="00E2429B" w:rsidRPr="0038442F">
        <w:rPr>
          <w:rFonts w:ascii="Verdana" w:hAnsi="Verdana"/>
          <w:iCs/>
          <w:sz w:val="20"/>
          <w:szCs w:val="20"/>
          <w:lang w:val="pt-BR"/>
        </w:rPr>
        <w:t xml:space="preserve"> </w:t>
      </w:r>
      <w:r w:rsidR="000E331D" w:rsidRPr="0038442F">
        <w:rPr>
          <w:rFonts w:ascii="Verdana" w:hAnsi="Verdana"/>
          <w:iCs/>
          <w:sz w:val="20"/>
          <w:szCs w:val="20"/>
          <w:lang w:val="pt-BR"/>
        </w:rPr>
        <w:t xml:space="preserve">devido à </w:t>
      </w:r>
      <w:r w:rsidR="00E2429B" w:rsidRPr="0038442F">
        <w:rPr>
          <w:rFonts w:ascii="Verdana" w:hAnsi="Verdana"/>
          <w:iCs/>
          <w:sz w:val="20"/>
          <w:szCs w:val="20"/>
          <w:lang w:val="pt-BR"/>
        </w:rPr>
        <w:t>pandemia</w:t>
      </w:r>
      <w:r w:rsidR="000F257B" w:rsidRPr="0038442F">
        <w:rPr>
          <w:rFonts w:ascii="Verdana" w:hAnsi="Verdana"/>
          <w:iCs/>
          <w:sz w:val="20"/>
          <w:szCs w:val="20"/>
          <w:lang w:val="pt-BR"/>
        </w:rPr>
        <w:t>)</w:t>
      </w:r>
      <w:r w:rsidR="0038486A">
        <w:rPr>
          <w:rFonts w:ascii="Verdana" w:hAnsi="Verdana"/>
          <w:iCs/>
          <w:sz w:val="20"/>
          <w:szCs w:val="20"/>
          <w:lang w:val="pt-BR"/>
        </w:rPr>
        <w:t>,</w:t>
      </w:r>
      <w:r w:rsidR="00FD2BD2" w:rsidRPr="0038442F">
        <w:rPr>
          <w:rFonts w:ascii="Verdana" w:hAnsi="Verdana"/>
          <w:sz w:val="20"/>
          <w:szCs w:val="20"/>
          <w:lang w:val="pt-BR"/>
        </w:rPr>
        <w:t xml:space="preserve"> </w:t>
      </w:r>
      <w:r w:rsidR="007A52EC" w:rsidRPr="0038442F">
        <w:rPr>
          <w:rFonts w:ascii="Verdana" w:hAnsi="Verdana"/>
          <w:sz w:val="20"/>
          <w:szCs w:val="20"/>
          <w:lang w:val="pt-BR"/>
        </w:rPr>
        <w:t>decidiu</w:t>
      </w:r>
      <w:r w:rsidR="0038486A">
        <w:rPr>
          <w:rFonts w:ascii="Verdana" w:hAnsi="Verdana"/>
          <w:sz w:val="20"/>
          <w:szCs w:val="20"/>
          <w:lang w:val="pt-BR"/>
        </w:rPr>
        <w:t>-se</w:t>
      </w:r>
      <w:r w:rsidR="007A52EC" w:rsidRPr="0038442F">
        <w:rPr>
          <w:rFonts w:ascii="Verdana" w:hAnsi="Verdana"/>
          <w:sz w:val="20"/>
          <w:szCs w:val="20"/>
          <w:lang w:val="pt-BR"/>
        </w:rPr>
        <w:t xml:space="preserve"> o </w:t>
      </w:r>
      <w:r w:rsidR="000E331D" w:rsidRPr="0038442F">
        <w:rPr>
          <w:rFonts w:ascii="Verdana" w:hAnsi="Verdana"/>
          <w:i/>
          <w:sz w:val="20"/>
          <w:szCs w:val="20"/>
          <w:lang w:val="pt-BR"/>
        </w:rPr>
        <w:t xml:space="preserve">Caso </w:t>
      </w:r>
      <w:r w:rsidR="00C25517" w:rsidRPr="0038442F">
        <w:rPr>
          <w:rFonts w:ascii="Verdana" w:hAnsi="Verdana"/>
          <w:i/>
          <w:iCs/>
          <w:sz w:val="20"/>
          <w:szCs w:val="20"/>
          <w:lang w:val="pt-BR"/>
        </w:rPr>
        <w:t>Spoltore Vs. Argentina</w:t>
      </w:r>
      <w:r w:rsidR="000F257B" w:rsidRPr="0038442F">
        <w:rPr>
          <w:rFonts w:ascii="Verdana" w:hAnsi="Verdana"/>
          <w:i/>
          <w:iCs/>
          <w:sz w:val="20"/>
          <w:szCs w:val="20"/>
          <w:lang w:val="pt-BR"/>
        </w:rPr>
        <w:t>,</w:t>
      </w:r>
      <w:r w:rsidR="00C25517" w:rsidRPr="0038442F">
        <w:rPr>
          <w:rFonts w:ascii="Verdana" w:hAnsi="Verdana"/>
          <w:sz w:val="20"/>
          <w:szCs w:val="20"/>
          <w:lang w:val="pt-BR"/>
        </w:rPr>
        <w:t xml:space="preserve"> </w:t>
      </w:r>
      <w:r w:rsidR="007A52EC" w:rsidRPr="0038442F">
        <w:rPr>
          <w:rFonts w:ascii="Verdana" w:hAnsi="Verdana"/>
          <w:sz w:val="20"/>
          <w:szCs w:val="20"/>
          <w:lang w:val="pt-BR"/>
        </w:rPr>
        <w:t xml:space="preserve">quando expressei, </w:t>
      </w:r>
      <w:r w:rsidR="00F4289F" w:rsidRPr="0038442F">
        <w:rPr>
          <w:rFonts w:ascii="Verdana" w:hAnsi="Verdana"/>
          <w:sz w:val="20"/>
          <w:szCs w:val="20"/>
          <w:lang w:val="pt-BR"/>
        </w:rPr>
        <w:t xml:space="preserve">em </w:t>
      </w:r>
      <w:r w:rsidR="007A52EC" w:rsidRPr="0038442F">
        <w:rPr>
          <w:rFonts w:ascii="Verdana" w:hAnsi="Verdana"/>
          <w:sz w:val="20"/>
          <w:szCs w:val="20"/>
          <w:lang w:val="pt-BR"/>
        </w:rPr>
        <w:t xml:space="preserve">voto fundamentado, </w:t>
      </w:r>
      <w:r w:rsidR="000F257B" w:rsidRPr="0038442F">
        <w:rPr>
          <w:rFonts w:ascii="Verdana" w:hAnsi="Verdana"/>
          <w:sz w:val="20"/>
          <w:szCs w:val="20"/>
          <w:lang w:val="pt-BR"/>
        </w:rPr>
        <w:t xml:space="preserve">que </w:t>
      </w:r>
      <w:r w:rsidR="000B6AAA" w:rsidRPr="0038442F">
        <w:rPr>
          <w:rFonts w:ascii="Verdana" w:hAnsi="Verdana"/>
          <w:sz w:val="20"/>
          <w:szCs w:val="20"/>
          <w:lang w:val="pt-BR"/>
        </w:rPr>
        <w:t>“[</w:t>
      </w:r>
      <w:r w:rsidR="007A52EC" w:rsidRPr="0038442F">
        <w:rPr>
          <w:rFonts w:ascii="Verdana" w:hAnsi="Verdana"/>
          <w:sz w:val="20"/>
          <w:szCs w:val="20"/>
          <w:lang w:val="pt-BR"/>
        </w:rPr>
        <w:t>j</w:t>
      </w:r>
      <w:r w:rsidR="000B6AAA" w:rsidRPr="0038442F">
        <w:rPr>
          <w:rFonts w:ascii="Verdana" w:hAnsi="Verdana"/>
          <w:sz w:val="20"/>
          <w:szCs w:val="20"/>
          <w:lang w:val="pt-BR"/>
        </w:rPr>
        <w:t>]</w:t>
      </w:r>
      <w:r w:rsidR="007A52EC" w:rsidRPr="0038442F">
        <w:rPr>
          <w:rFonts w:ascii="Verdana" w:hAnsi="Verdana"/>
          <w:sz w:val="20"/>
          <w:szCs w:val="20"/>
          <w:lang w:val="pt-BR"/>
        </w:rPr>
        <w:t>á</w:t>
      </w:r>
      <w:r w:rsidR="00AA4712" w:rsidRPr="0038442F">
        <w:rPr>
          <w:rFonts w:ascii="Verdana" w:hAnsi="Verdana"/>
          <w:sz w:val="20"/>
          <w:szCs w:val="20"/>
          <w:lang w:val="pt-BR"/>
        </w:rPr>
        <w:t xml:space="preserve"> desde </w:t>
      </w:r>
      <w:r w:rsidR="007A52EC" w:rsidRPr="0038442F">
        <w:rPr>
          <w:rFonts w:ascii="Verdana" w:hAnsi="Verdana"/>
          <w:sz w:val="20"/>
          <w:szCs w:val="20"/>
          <w:lang w:val="pt-BR"/>
        </w:rPr>
        <w:t xml:space="preserve">o </w:t>
      </w:r>
      <w:r w:rsidR="00AA4712" w:rsidRPr="0038442F">
        <w:rPr>
          <w:rFonts w:ascii="Verdana" w:hAnsi="Verdana"/>
          <w:i/>
          <w:sz w:val="20"/>
          <w:szCs w:val="20"/>
          <w:lang w:val="pt-BR"/>
        </w:rPr>
        <w:t xml:space="preserve">Caso </w:t>
      </w:r>
      <w:r w:rsidR="00AA4712" w:rsidRPr="0038442F">
        <w:rPr>
          <w:rFonts w:ascii="Verdana" w:hAnsi="Verdana"/>
          <w:i/>
          <w:iCs/>
          <w:sz w:val="20"/>
          <w:szCs w:val="20"/>
          <w:lang w:val="pt-BR"/>
        </w:rPr>
        <w:t xml:space="preserve">Lagos del Campo </w:t>
      </w:r>
      <w:r w:rsidR="00AA4712" w:rsidRPr="0038442F">
        <w:rPr>
          <w:rFonts w:ascii="Verdana" w:hAnsi="Verdana"/>
          <w:sz w:val="20"/>
          <w:szCs w:val="20"/>
          <w:lang w:val="pt-BR"/>
        </w:rPr>
        <w:t xml:space="preserve">a </w:t>
      </w:r>
      <w:r w:rsidR="00984A83" w:rsidRPr="0038442F">
        <w:rPr>
          <w:rFonts w:ascii="Verdana" w:hAnsi="Verdana"/>
          <w:sz w:val="20"/>
          <w:szCs w:val="20"/>
          <w:lang w:val="pt-BR"/>
        </w:rPr>
        <w:t>jurisprudência</w:t>
      </w:r>
      <w:r w:rsidR="00407242" w:rsidRPr="0038442F">
        <w:rPr>
          <w:rFonts w:ascii="Verdana" w:hAnsi="Verdana"/>
          <w:sz w:val="20"/>
          <w:szCs w:val="20"/>
          <w:lang w:val="pt-BR"/>
        </w:rPr>
        <w:t xml:space="preserve"> </w:t>
      </w:r>
      <w:r w:rsidR="00AA4712" w:rsidRPr="0038442F">
        <w:rPr>
          <w:rFonts w:ascii="Verdana" w:hAnsi="Verdana"/>
          <w:sz w:val="20"/>
          <w:szCs w:val="20"/>
          <w:lang w:val="pt-BR"/>
        </w:rPr>
        <w:t>d</w:t>
      </w:r>
      <w:r w:rsidR="007A52EC" w:rsidRPr="0038442F">
        <w:rPr>
          <w:rFonts w:ascii="Verdana" w:hAnsi="Verdana"/>
          <w:sz w:val="20"/>
          <w:szCs w:val="20"/>
          <w:lang w:val="pt-BR"/>
        </w:rPr>
        <w:t>o</w:t>
      </w:r>
      <w:r w:rsidR="00AA4712" w:rsidRPr="0038442F">
        <w:rPr>
          <w:rFonts w:ascii="Verdana" w:hAnsi="Verdana"/>
          <w:sz w:val="20"/>
          <w:szCs w:val="20"/>
          <w:lang w:val="pt-BR"/>
        </w:rPr>
        <w:t xml:space="preserve"> Tribunal Interamericano </w:t>
      </w:r>
      <w:r w:rsidR="007A52EC" w:rsidRPr="0038442F">
        <w:rPr>
          <w:rFonts w:ascii="Verdana" w:hAnsi="Verdana"/>
          <w:sz w:val="20"/>
          <w:szCs w:val="20"/>
          <w:lang w:val="pt-BR"/>
        </w:rPr>
        <w:t xml:space="preserve">vinha </w:t>
      </w:r>
      <w:r w:rsidR="00AA4712" w:rsidRPr="0038442F">
        <w:rPr>
          <w:rFonts w:ascii="Verdana" w:hAnsi="Verdana"/>
          <w:sz w:val="20"/>
          <w:szCs w:val="20"/>
          <w:lang w:val="pt-BR"/>
        </w:rPr>
        <w:t xml:space="preserve">identificando as diferentes formas </w:t>
      </w:r>
      <w:r w:rsidR="00C64067">
        <w:rPr>
          <w:rFonts w:ascii="Verdana" w:hAnsi="Verdana"/>
          <w:sz w:val="20"/>
          <w:szCs w:val="20"/>
          <w:lang w:val="pt-BR"/>
        </w:rPr>
        <w:t>pelas</w:t>
      </w:r>
      <w:r w:rsidR="00C64067" w:rsidRPr="0038442F">
        <w:rPr>
          <w:rFonts w:ascii="Verdana" w:hAnsi="Verdana"/>
          <w:sz w:val="20"/>
          <w:szCs w:val="20"/>
          <w:lang w:val="pt-BR"/>
        </w:rPr>
        <w:t xml:space="preserve"> </w:t>
      </w:r>
      <w:r w:rsidR="007A52EC" w:rsidRPr="0038442F">
        <w:rPr>
          <w:rFonts w:ascii="Verdana" w:hAnsi="Verdana"/>
          <w:sz w:val="20"/>
          <w:szCs w:val="20"/>
          <w:lang w:val="pt-BR"/>
        </w:rPr>
        <w:t xml:space="preserve">quais 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A30C5" w:rsidRPr="0038442F">
        <w:rPr>
          <w:rFonts w:ascii="Verdana" w:hAnsi="Verdana"/>
          <w:sz w:val="20"/>
          <w:szCs w:val="20"/>
          <w:lang w:val="pt-BR"/>
        </w:rPr>
        <w:t>ao trabalho</w:t>
      </w:r>
      <w:r w:rsidR="00407242" w:rsidRPr="0038442F">
        <w:rPr>
          <w:rFonts w:ascii="Verdana" w:hAnsi="Verdana"/>
          <w:sz w:val="20"/>
          <w:szCs w:val="20"/>
          <w:lang w:val="pt-BR"/>
        </w:rPr>
        <w:t xml:space="preserve"> </w:t>
      </w:r>
      <w:r w:rsidR="00AA4712" w:rsidRPr="0038442F">
        <w:rPr>
          <w:rFonts w:ascii="Verdana" w:hAnsi="Verdana"/>
          <w:sz w:val="20"/>
          <w:szCs w:val="20"/>
          <w:lang w:val="pt-BR"/>
        </w:rPr>
        <w:t xml:space="preserve">se </w:t>
      </w:r>
      <w:r w:rsidR="007A52EC" w:rsidRPr="0038442F">
        <w:rPr>
          <w:rFonts w:ascii="Verdana" w:hAnsi="Verdana"/>
          <w:sz w:val="20"/>
          <w:szCs w:val="20"/>
          <w:lang w:val="pt-BR"/>
        </w:rPr>
        <w:t>projeta</w:t>
      </w:r>
      <w:r w:rsidR="00AA4712" w:rsidRPr="0038442F">
        <w:rPr>
          <w:rFonts w:ascii="Verdana" w:hAnsi="Verdana"/>
          <w:sz w:val="20"/>
          <w:szCs w:val="20"/>
          <w:lang w:val="pt-BR"/>
        </w:rPr>
        <w:t>, como</w:t>
      </w:r>
      <w:r w:rsidR="00FD2BD2" w:rsidRPr="0038442F">
        <w:rPr>
          <w:rFonts w:ascii="Verdana" w:hAnsi="Verdana"/>
          <w:sz w:val="20"/>
          <w:szCs w:val="20"/>
          <w:lang w:val="pt-BR"/>
        </w:rPr>
        <w:t xml:space="preserve"> </w:t>
      </w:r>
      <w:r w:rsidR="007A52EC"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AA4712" w:rsidRPr="0038442F">
        <w:rPr>
          <w:rFonts w:ascii="Verdana" w:hAnsi="Verdana"/>
          <w:sz w:val="20"/>
          <w:szCs w:val="20"/>
          <w:lang w:val="pt-BR"/>
        </w:rPr>
        <w:t>emp</w:t>
      </w:r>
      <w:r w:rsidR="007A52EC" w:rsidRPr="0038442F">
        <w:rPr>
          <w:rFonts w:ascii="Verdana" w:hAnsi="Verdana"/>
          <w:sz w:val="20"/>
          <w:szCs w:val="20"/>
          <w:lang w:val="pt-BR"/>
        </w:rPr>
        <w:t>r</w:t>
      </w:r>
      <w:r w:rsidR="00AA4712" w:rsidRPr="0038442F">
        <w:rPr>
          <w:rFonts w:ascii="Verdana" w:hAnsi="Verdana"/>
          <w:sz w:val="20"/>
          <w:szCs w:val="20"/>
          <w:lang w:val="pt-BR"/>
        </w:rPr>
        <w:t>e</w:t>
      </w:r>
      <w:r w:rsidR="007A52EC" w:rsidRPr="0038442F">
        <w:rPr>
          <w:rFonts w:ascii="Verdana" w:hAnsi="Verdana"/>
          <w:sz w:val="20"/>
          <w:szCs w:val="20"/>
          <w:lang w:val="pt-BR"/>
        </w:rPr>
        <w:t>g</w:t>
      </w:r>
      <w:r w:rsidR="00AA4712" w:rsidRPr="0038442F">
        <w:rPr>
          <w:rFonts w:ascii="Verdana" w:hAnsi="Verdana"/>
          <w:sz w:val="20"/>
          <w:szCs w:val="20"/>
          <w:lang w:val="pt-BR"/>
        </w:rPr>
        <w:t xml:space="preserve">adores </w:t>
      </w:r>
      <w:r w:rsidR="007A52EC" w:rsidRPr="0038442F">
        <w:rPr>
          <w:rFonts w:ascii="Verdana" w:hAnsi="Verdana"/>
          <w:sz w:val="20"/>
          <w:szCs w:val="20"/>
          <w:lang w:val="pt-BR"/>
        </w:rPr>
        <w:t>e</w:t>
      </w:r>
      <w:r w:rsidR="00AA4712" w:rsidRPr="0038442F">
        <w:rPr>
          <w:rFonts w:ascii="Verdana" w:hAnsi="Verdana"/>
          <w:sz w:val="20"/>
          <w:szCs w:val="20"/>
          <w:lang w:val="pt-BR"/>
        </w:rPr>
        <w:t xml:space="preserve"> </w:t>
      </w:r>
      <w:r w:rsidR="00246A73" w:rsidRPr="0038442F">
        <w:rPr>
          <w:rFonts w:ascii="Verdana" w:hAnsi="Verdana"/>
          <w:sz w:val="20"/>
          <w:szCs w:val="20"/>
          <w:lang w:val="pt-BR"/>
        </w:rPr>
        <w:t>trabalhadores</w:t>
      </w:r>
      <w:r w:rsidR="00407242" w:rsidRPr="0038442F">
        <w:rPr>
          <w:rFonts w:ascii="Verdana" w:hAnsi="Verdana"/>
          <w:sz w:val="20"/>
          <w:szCs w:val="20"/>
          <w:lang w:val="pt-BR"/>
        </w:rPr>
        <w:t xml:space="preserve"> </w:t>
      </w:r>
      <w:r w:rsidR="00AA4712" w:rsidRPr="0038442F">
        <w:rPr>
          <w:rFonts w:ascii="Verdana" w:hAnsi="Verdana"/>
          <w:sz w:val="20"/>
          <w:szCs w:val="20"/>
          <w:lang w:val="pt-BR"/>
        </w:rPr>
        <w:t xml:space="preserve">de </w:t>
      </w:r>
      <w:r w:rsidR="007A52EC" w:rsidRPr="0038442F">
        <w:rPr>
          <w:rFonts w:ascii="Verdana" w:hAnsi="Verdana"/>
          <w:sz w:val="20"/>
          <w:szCs w:val="20"/>
          <w:lang w:val="pt-BR"/>
        </w:rPr>
        <w:t xml:space="preserve">se </w:t>
      </w:r>
      <w:r w:rsidR="00AA4712" w:rsidRPr="0038442F">
        <w:rPr>
          <w:rFonts w:ascii="Verdana" w:hAnsi="Verdana"/>
          <w:sz w:val="20"/>
          <w:szCs w:val="20"/>
          <w:lang w:val="pt-BR"/>
        </w:rPr>
        <w:t>a</w:t>
      </w:r>
      <w:r w:rsidR="007A52EC" w:rsidRPr="0038442F">
        <w:rPr>
          <w:rFonts w:ascii="Verdana" w:hAnsi="Verdana"/>
          <w:sz w:val="20"/>
          <w:szCs w:val="20"/>
          <w:lang w:val="pt-BR"/>
        </w:rPr>
        <w:t>s</w:t>
      </w:r>
      <w:r w:rsidR="00AA4712" w:rsidRPr="0038442F">
        <w:rPr>
          <w:rFonts w:ascii="Verdana" w:hAnsi="Verdana"/>
          <w:sz w:val="20"/>
          <w:szCs w:val="20"/>
          <w:lang w:val="pt-BR"/>
        </w:rPr>
        <w:t>sociar li</w:t>
      </w:r>
      <w:r w:rsidR="007A52EC" w:rsidRPr="0038442F">
        <w:rPr>
          <w:rFonts w:ascii="Verdana" w:hAnsi="Verdana"/>
          <w:sz w:val="20"/>
          <w:szCs w:val="20"/>
          <w:lang w:val="pt-BR"/>
        </w:rPr>
        <w:t>v</w:t>
      </w:r>
      <w:r w:rsidR="00AA4712" w:rsidRPr="0038442F">
        <w:rPr>
          <w:rFonts w:ascii="Verdana" w:hAnsi="Verdana"/>
          <w:sz w:val="20"/>
          <w:szCs w:val="20"/>
          <w:lang w:val="pt-BR"/>
        </w:rPr>
        <w:t xml:space="preserve">remente para a defesa </w:t>
      </w:r>
      <w:r w:rsidR="007A52EC" w:rsidRPr="0038442F">
        <w:rPr>
          <w:rFonts w:ascii="Verdana" w:hAnsi="Verdana"/>
          <w:sz w:val="20"/>
          <w:szCs w:val="20"/>
          <w:lang w:val="pt-BR"/>
        </w:rPr>
        <w:t>e</w:t>
      </w:r>
      <w:r w:rsidR="00AA4712" w:rsidRPr="0038442F">
        <w:rPr>
          <w:rFonts w:ascii="Verdana" w:hAnsi="Verdana"/>
          <w:sz w:val="20"/>
          <w:szCs w:val="20"/>
          <w:lang w:val="pt-BR"/>
        </w:rPr>
        <w:t xml:space="preserve"> promo</w:t>
      </w:r>
      <w:r w:rsidR="000A1AA8" w:rsidRPr="0038442F">
        <w:rPr>
          <w:rFonts w:ascii="Verdana" w:hAnsi="Verdana"/>
          <w:sz w:val="20"/>
          <w:szCs w:val="20"/>
          <w:lang w:val="pt-BR"/>
        </w:rPr>
        <w:t>ção</w:t>
      </w:r>
      <w:r w:rsidR="00AA4712" w:rsidRPr="0038442F">
        <w:rPr>
          <w:rFonts w:ascii="Verdana" w:hAnsi="Verdana"/>
          <w:sz w:val="20"/>
          <w:szCs w:val="20"/>
          <w:lang w:val="pt-BR"/>
        </w:rPr>
        <w:t xml:space="preserve"> de s</w:t>
      </w:r>
      <w:r w:rsidR="007A52EC" w:rsidRPr="0038442F">
        <w:rPr>
          <w:rFonts w:ascii="Verdana" w:hAnsi="Verdana"/>
          <w:sz w:val="20"/>
          <w:szCs w:val="20"/>
          <w:lang w:val="pt-BR"/>
        </w:rPr>
        <w:t>e</w:t>
      </w:r>
      <w:r w:rsidR="00AA4712" w:rsidRPr="0038442F">
        <w:rPr>
          <w:rFonts w:ascii="Verdana" w:hAnsi="Verdana"/>
          <w:sz w:val="20"/>
          <w:szCs w:val="20"/>
          <w:lang w:val="pt-BR"/>
        </w:rPr>
        <w:t>us interes</w:t>
      </w:r>
      <w:r w:rsidR="007A52EC" w:rsidRPr="0038442F">
        <w:rPr>
          <w:rFonts w:ascii="Verdana" w:hAnsi="Verdana"/>
          <w:sz w:val="20"/>
          <w:szCs w:val="20"/>
          <w:lang w:val="pt-BR"/>
        </w:rPr>
        <w:t>s</w:t>
      </w:r>
      <w:r w:rsidR="00AA4712" w:rsidRPr="0038442F">
        <w:rPr>
          <w:rFonts w:ascii="Verdana" w:hAnsi="Verdana"/>
          <w:sz w:val="20"/>
          <w:szCs w:val="20"/>
          <w:lang w:val="pt-BR"/>
        </w:rPr>
        <w:t>es</w:t>
      </w:r>
      <w:r w:rsidR="00031597" w:rsidRPr="0038442F">
        <w:rPr>
          <w:rFonts w:ascii="Verdana" w:hAnsi="Verdana"/>
          <w:sz w:val="20"/>
          <w:szCs w:val="20"/>
          <w:lang w:val="pt-BR"/>
        </w:rPr>
        <w:t xml:space="preserve"> </w:t>
      </w:r>
      <w:r w:rsidR="00FD2BD2" w:rsidRPr="0038442F">
        <w:rPr>
          <w:rFonts w:ascii="Verdana" w:hAnsi="Verdana"/>
          <w:sz w:val="20"/>
          <w:szCs w:val="20"/>
          <w:lang w:val="pt-BR"/>
        </w:rPr>
        <w:t>[…]</w:t>
      </w:r>
      <w:r w:rsidR="000B6AAA" w:rsidRPr="0038442F">
        <w:rPr>
          <w:rFonts w:ascii="Verdana" w:hAnsi="Verdana"/>
          <w:sz w:val="20"/>
          <w:szCs w:val="20"/>
          <w:lang w:val="pt-BR"/>
        </w:rPr>
        <w:t>”</w:t>
      </w:r>
      <w:r w:rsidR="007F7F32" w:rsidRPr="0038442F">
        <w:rPr>
          <w:rFonts w:ascii="Verdana" w:hAnsi="Verdana"/>
          <w:sz w:val="20"/>
          <w:szCs w:val="20"/>
          <w:lang w:val="pt-BR"/>
        </w:rPr>
        <w:t>.</w:t>
      </w:r>
      <w:r w:rsidR="00AA4712" w:rsidRPr="0038442F">
        <w:rPr>
          <w:rStyle w:val="Refdenotaalpie"/>
          <w:rFonts w:ascii="Verdana" w:hAnsi="Verdana"/>
          <w:sz w:val="20"/>
          <w:szCs w:val="20"/>
          <w:lang w:val="pt-BR"/>
        </w:rPr>
        <w:footnoteReference w:id="33"/>
      </w:r>
    </w:p>
    <w:p w14:paraId="6504913E" w14:textId="235AE392" w:rsidR="000B6AAA" w:rsidRPr="0038442F" w:rsidRDefault="00685AC6" w:rsidP="00685AC6">
      <w:pPr>
        <w:pStyle w:val="Prrafodelista"/>
        <w:tabs>
          <w:tab w:val="left" w:pos="709"/>
        </w:tabs>
        <w:spacing w:before="120" w:after="120" w:line="240" w:lineRule="auto"/>
        <w:ind w:left="0"/>
        <w:contextualSpacing w:val="0"/>
        <w:jc w:val="both"/>
        <w:rPr>
          <w:rFonts w:ascii="Verdana" w:hAnsi="Verdana"/>
          <w:sz w:val="20"/>
          <w:szCs w:val="20"/>
          <w:lang w:val="pt-BR"/>
        </w:rPr>
      </w:pPr>
      <w:r w:rsidRPr="0038442F">
        <w:rPr>
          <w:rFonts w:ascii="Verdana" w:hAnsi="Verdana"/>
          <w:sz w:val="20"/>
          <w:szCs w:val="20"/>
          <w:lang w:val="pt-BR"/>
        </w:rPr>
        <w:t xml:space="preserve">28. </w:t>
      </w:r>
      <w:r w:rsidRPr="0038442F">
        <w:rPr>
          <w:rFonts w:ascii="Verdana" w:hAnsi="Verdana"/>
          <w:sz w:val="20"/>
          <w:szCs w:val="20"/>
          <w:lang w:val="pt-BR"/>
        </w:rPr>
        <w:tab/>
      </w:r>
      <w:r w:rsidR="002317DC" w:rsidRPr="0038442F">
        <w:rPr>
          <w:rFonts w:ascii="Verdana" w:hAnsi="Verdana"/>
          <w:sz w:val="20"/>
          <w:szCs w:val="20"/>
          <w:lang w:val="pt-BR"/>
        </w:rPr>
        <w:t xml:space="preserve">No </w:t>
      </w:r>
      <w:r w:rsidR="002317DC" w:rsidRPr="0038442F">
        <w:rPr>
          <w:rFonts w:ascii="Verdana" w:hAnsi="Verdana"/>
          <w:i/>
          <w:sz w:val="20"/>
          <w:szCs w:val="20"/>
          <w:lang w:val="pt-BR"/>
        </w:rPr>
        <w:t xml:space="preserve">Caso </w:t>
      </w:r>
      <w:r w:rsidR="000B6AAA" w:rsidRPr="0038442F">
        <w:rPr>
          <w:rFonts w:ascii="Verdana" w:hAnsi="Verdana"/>
          <w:i/>
          <w:iCs/>
          <w:sz w:val="20"/>
          <w:szCs w:val="20"/>
          <w:lang w:val="pt-BR"/>
        </w:rPr>
        <w:t>Spoltore</w:t>
      </w:r>
      <w:r w:rsidR="000B6AAA"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022900" w:rsidRPr="0038442F">
        <w:rPr>
          <w:rFonts w:ascii="Verdana" w:hAnsi="Verdana"/>
          <w:sz w:val="20"/>
          <w:szCs w:val="20"/>
          <w:lang w:val="pt-BR"/>
        </w:rPr>
        <w:t xml:space="preserve">IDH </w:t>
      </w:r>
      <w:r w:rsidR="002317DC" w:rsidRPr="0038442F">
        <w:rPr>
          <w:rFonts w:ascii="Verdana" w:hAnsi="Verdana"/>
          <w:sz w:val="20"/>
          <w:szCs w:val="20"/>
          <w:lang w:val="pt-BR"/>
        </w:rPr>
        <w:t xml:space="preserve">definiu que 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2317DC" w:rsidRPr="0038442F">
        <w:rPr>
          <w:rFonts w:ascii="Verdana" w:hAnsi="Verdana"/>
          <w:sz w:val="20"/>
          <w:szCs w:val="20"/>
          <w:lang w:val="pt-BR"/>
        </w:rPr>
        <w:t xml:space="preserve">às </w:t>
      </w:r>
      <w:r w:rsidR="00AA4712" w:rsidRPr="0038442F">
        <w:rPr>
          <w:rFonts w:ascii="Verdana" w:hAnsi="Verdana"/>
          <w:sz w:val="20"/>
          <w:szCs w:val="20"/>
          <w:lang w:val="pt-BR"/>
        </w:rPr>
        <w:t>condi</w:t>
      </w:r>
      <w:r w:rsidR="000A1AA8" w:rsidRPr="0038442F">
        <w:rPr>
          <w:rFonts w:ascii="Verdana" w:hAnsi="Verdana"/>
          <w:sz w:val="20"/>
          <w:szCs w:val="20"/>
          <w:lang w:val="pt-BR"/>
        </w:rPr>
        <w:t>ções</w:t>
      </w:r>
      <w:r w:rsidR="00AA4712" w:rsidRPr="0038442F">
        <w:rPr>
          <w:rFonts w:ascii="Verdana" w:hAnsi="Verdana"/>
          <w:sz w:val="20"/>
          <w:szCs w:val="20"/>
          <w:lang w:val="pt-BR"/>
        </w:rPr>
        <w:t xml:space="preserve"> equitativas </w:t>
      </w:r>
      <w:r w:rsidR="002317DC" w:rsidRPr="0038442F">
        <w:rPr>
          <w:rFonts w:ascii="Verdana" w:hAnsi="Verdana"/>
          <w:sz w:val="20"/>
          <w:szCs w:val="20"/>
          <w:lang w:val="pt-BR"/>
        </w:rPr>
        <w:t>e</w:t>
      </w:r>
      <w:r w:rsidR="00AA4712" w:rsidRPr="0038442F">
        <w:rPr>
          <w:rFonts w:ascii="Verdana" w:hAnsi="Verdana"/>
          <w:sz w:val="20"/>
          <w:szCs w:val="20"/>
          <w:lang w:val="pt-BR"/>
        </w:rPr>
        <w:t xml:space="preserve"> </w:t>
      </w:r>
      <w:r w:rsidR="00751189" w:rsidRPr="0038442F">
        <w:rPr>
          <w:rFonts w:ascii="Verdana" w:hAnsi="Verdana"/>
          <w:sz w:val="20"/>
          <w:szCs w:val="20"/>
          <w:lang w:val="pt-BR"/>
        </w:rPr>
        <w:t>satisfatórias</w:t>
      </w:r>
      <w:r w:rsidR="00AA4712" w:rsidRPr="0038442F">
        <w:rPr>
          <w:rFonts w:ascii="Verdana" w:hAnsi="Verdana"/>
          <w:sz w:val="20"/>
          <w:szCs w:val="20"/>
          <w:lang w:val="pt-BR"/>
        </w:rPr>
        <w:t xml:space="preserve">, “como componente </w:t>
      </w:r>
      <w:r w:rsidR="002317DC" w:rsidRPr="0038442F">
        <w:rPr>
          <w:rFonts w:ascii="Verdana" w:hAnsi="Verdana"/>
          <w:sz w:val="20"/>
          <w:szCs w:val="20"/>
          <w:lang w:val="pt-BR"/>
        </w:rPr>
        <w:t>e</w:t>
      </w:r>
      <w:r w:rsidR="00AA4712" w:rsidRPr="0038442F">
        <w:rPr>
          <w:rFonts w:ascii="Verdana" w:hAnsi="Verdana"/>
          <w:sz w:val="20"/>
          <w:szCs w:val="20"/>
          <w:lang w:val="pt-BR"/>
        </w:rPr>
        <w:t xml:space="preserve"> parte d</w:t>
      </w:r>
      <w:r w:rsidR="002317DC" w:rsidRPr="0038442F">
        <w:rPr>
          <w:rFonts w:ascii="Verdana" w:hAnsi="Verdana"/>
          <w:sz w:val="20"/>
          <w:szCs w:val="20"/>
          <w:lang w:val="pt-BR"/>
        </w:rPr>
        <w:t>o</w:t>
      </w:r>
      <w:r w:rsidR="00AA4712" w:rsidRPr="0038442F">
        <w:rPr>
          <w:rFonts w:ascii="Verdana" w:hAnsi="Verdana"/>
          <w:sz w:val="20"/>
          <w:szCs w:val="20"/>
          <w:lang w:val="pt-BR"/>
        </w:rPr>
        <w:t xml:space="preserv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A30C5" w:rsidRPr="0038442F">
        <w:rPr>
          <w:rFonts w:ascii="Verdana" w:hAnsi="Verdana"/>
          <w:sz w:val="20"/>
          <w:szCs w:val="20"/>
          <w:lang w:val="pt-BR"/>
        </w:rPr>
        <w:t>ao trabalho</w:t>
      </w:r>
      <w:r w:rsidR="00AA4712" w:rsidRPr="0038442F">
        <w:rPr>
          <w:rFonts w:ascii="Verdana" w:hAnsi="Verdana"/>
          <w:sz w:val="20"/>
          <w:szCs w:val="20"/>
          <w:lang w:val="pt-BR"/>
        </w:rPr>
        <w:t>”</w:t>
      </w:r>
      <w:r w:rsidR="002317DC" w:rsidRPr="0038442F">
        <w:rPr>
          <w:rFonts w:ascii="Verdana" w:hAnsi="Verdana"/>
          <w:sz w:val="20"/>
          <w:szCs w:val="20"/>
          <w:lang w:val="pt-BR"/>
        </w:rPr>
        <w:t>,</w:t>
      </w:r>
      <w:r w:rsidR="00AA4712" w:rsidRPr="0038442F">
        <w:rPr>
          <w:rStyle w:val="Refdenotaalpie"/>
          <w:rFonts w:ascii="Verdana" w:hAnsi="Verdana"/>
          <w:sz w:val="20"/>
          <w:szCs w:val="20"/>
          <w:lang w:val="pt-BR"/>
        </w:rPr>
        <w:footnoteReference w:id="34"/>
      </w:r>
      <w:r w:rsidR="00AA4712" w:rsidRPr="0038442F">
        <w:rPr>
          <w:rFonts w:ascii="Verdana" w:hAnsi="Verdana"/>
          <w:sz w:val="20"/>
          <w:szCs w:val="20"/>
          <w:lang w:val="pt-BR"/>
        </w:rPr>
        <w:t xml:space="preserve"> </w:t>
      </w:r>
      <w:r w:rsidR="006D3B60" w:rsidRPr="0038442F">
        <w:rPr>
          <w:rFonts w:ascii="Verdana" w:hAnsi="Verdana"/>
          <w:sz w:val="20"/>
          <w:szCs w:val="20"/>
          <w:lang w:val="pt-BR"/>
        </w:rPr>
        <w:t xml:space="preserve">decorria </w:t>
      </w:r>
      <w:r w:rsidR="00751189" w:rsidRPr="0038442F">
        <w:rPr>
          <w:rFonts w:ascii="Verdana" w:hAnsi="Verdana"/>
          <w:sz w:val="20"/>
          <w:szCs w:val="20"/>
          <w:lang w:val="pt-BR"/>
        </w:rPr>
        <w:t xml:space="preserve">do artigo </w:t>
      </w:r>
      <w:r w:rsidR="00022900" w:rsidRPr="0038442F">
        <w:rPr>
          <w:rFonts w:ascii="Verdana" w:hAnsi="Verdana"/>
          <w:sz w:val="20"/>
          <w:szCs w:val="20"/>
          <w:lang w:val="pt-BR"/>
        </w:rPr>
        <w:t xml:space="preserve">45.b) </w:t>
      </w:r>
      <w:r w:rsidR="00C92762" w:rsidRPr="0038442F">
        <w:rPr>
          <w:rFonts w:ascii="Verdana" w:hAnsi="Verdana"/>
          <w:sz w:val="20"/>
          <w:szCs w:val="20"/>
          <w:lang w:val="pt-BR"/>
        </w:rPr>
        <w:t xml:space="preserve">da </w:t>
      </w:r>
      <w:r w:rsidR="00AA4712" w:rsidRPr="0038442F">
        <w:rPr>
          <w:rFonts w:ascii="Verdana" w:hAnsi="Verdana"/>
          <w:sz w:val="20"/>
          <w:szCs w:val="20"/>
          <w:lang w:val="pt-BR"/>
        </w:rPr>
        <w:t xml:space="preserve">Carta </w:t>
      </w:r>
      <w:r w:rsidR="00C92762" w:rsidRPr="0038442F">
        <w:rPr>
          <w:rFonts w:ascii="Verdana" w:hAnsi="Verdana"/>
          <w:sz w:val="20"/>
          <w:szCs w:val="20"/>
          <w:lang w:val="pt-BR"/>
        </w:rPr>
        <w:t xml:space="preserve">da </w:t>
      </w:r>
      <w:r w:rsidR="00AA4712" w:rsidRPr="0038442F">
        <w:rPr>
          <w:rFonts w:ascii="Verdana" w:hAnsi="Verdana"/>
          <w:sz w:val="20"/>
          <w:szCs w:val="20"/>
          <w:lang w:val="pt-BR"/>
        </w:rPr>
        <w:t>Organiza</w:t>
      </w:r>
      <w:r w:rsidR="000A1AA8" w:rsidRPr="0038442F">
        <w:rPr>
          <w:rFonts w:ascii="Verdana" w:hAnsi="Verdana"/>
          <w:sz w:val="20"/>
          <w:szCs w:val="20"/>
          <w:lang w:val="pt-BR"/>
        </w:rPr>
        <w:t>ção</w:t>
      </w:r>
      <w:r w:rsidR="00AA4712" w:rsidRPr="0038442F">
        <w:rPr>
          <w:rFonts w:ascii="Verdana" w:hAnsi="Verdana"/>
          <w:sz w:val="20"/>
          <w:szCs w:val="20"/>
          <w:lang w:val="pt-BR"/>
        </w:rPr>
        <w:t xml:space="preserve"> d</w:t>
      </w:r>
      <w:r w:rsidR="00B21FE1" w:rsidRPr="0038442F">
        <w:rPr>
          <w:rFonts w:ascii="Verdana" w:hAnsi="Verdana"/>
          <w:sz w:val="20"/>
          <w:szCs w:val="20"/>
          <w:lang w:val="pt-BR"/>
        </w:rPr>
        <w:t xml:space="preserve">os </w:t>
      </w:r>
      <w:r w:rsidR="00AA4712" w:rsidRPr="0038442F">
        <w:rPr>
          <w:rFonts w:ascii="Verdana" w:hAnsi="Verdana"/>
          <w:sz w:val="20"/>
          <w:szCs w:val="20"/>
          <w:lang w:val="pt-BR"/>
        </w:rPr>
        <w:t>Estados Americanos (</w:t>
      </w:r>
      <w:r w:rsidR="00B21FE1" w:rsidRPr="0038442F">
        <w:rPr>
          <w:rFonts w:ascii="Verdana" w:hAnsi="Verdana"/>
          <w:sz w:val="20"/>
          <w:szCs w:val="20"/>
          <w:lang w:val="pt-BR"/>
        </w:rPr>
        <w:t xml:space="preserve">doravante denominada </w:t>
      </w:r>
      <w:r w:rsidR="00AA4712" w:rsidRPr="0038442F">
        <w:rPr>
          <w:rFonts w:ascii="Verdana" w:hAnsi="Verdana"/>
          <w:sz w:val="20"/>
          <w:szCs w:val="20"/>
          <w:lang w:val="pt-BR"/>
        </w:rPr>
        <w:t xml:space="preserve">“Carta </w:t>
      </w:r>
      <w:r w:rsidR="00C92762" w:rsidRPr="0038442F">
        <w:rPr>
          <w:rFonts w:ascii="Verdana" w:hAnsi="Verdana"/>
          <w:sz w:val="20"/>
          <w:szCs w:val="20"/>
          <w:lang w:val="pt-BR"/>
        </w:rPr>
        <w:t xml:space="preserve">da </w:t>
      </w:r>
      <w:r w:rsidR="00AA4712" w:rsidRPr="0038442F">
        <w:rPr>
          <w:rFonts w:ascii="Verdana" w:hAnsi="Verdana"/>
          <w:sz w:val="20"/>
          <w:szCs w:val="20"/>
          <w:lang w:val="pt-BR"/>
        </w:rPr>
        <w:t>OEA”)</w:t>
      </w:r>
      <w:r w:rsidR="00022900" w:rsidRPr="0038442F">
        <w:rPr>
          <w:rFonts w:ascii="Verdana" w:hAnsi="Verdana"/>
          <w:sz w:val="20"/>
          <w:szCs w:val="20"/>
          <w:lang w:val="pt-BR"/>
        </w:rPr>
        <w:t xml:space="preserve">. </w:t>
      </w:r>
      <w:r w:rsidR="006D3B60" w:rsidRPr="0038442F">
        <w:rPr>
          <w:rFonts w:ascii="Verdana" w:hAnsi="Verdana"/>
          <w:sz w:val="20"/>
          <w:szCs w:val="20"/>
          <w:lang w:val="pt-BR"/>
        </w:rPr>
        <w:t>C</w:t>
      </w:r>
      <w:r w:rsidR="006A12FD" w:rsidRPr="0038442F">
        <w:rPr>
          <w:rFonts w:ascii="Verdana" w:hAnsi="Verdana"/>
          <w:sz w:val="20"/>
          <w:szCs w:val="20"/>
          <w:lang w:val="pt-BR"/>
        </w:rPr>
        <w:t>onsiderou</w:t>
      </w:r>
      <w:r w:rsidR="006D3B60" w:rsidRPr="0038442F">
        <w:rPr>
          <w:rFonts w:ascii="Verdana" w:hAnsi="Verdana"/>
          <w:sz w:val="20"/>
          <w:szCs w:val="20"/>
          <w:lang w:val="pt-BR"/>
        </w:rPr>
        <w:t>-se</w:t>
      </w:r>
      <w:r w:rsidR="00407242" w:rsidRPr="0038442F">
        <w:rPr>
          <w:rFonts w:ascii="Verdana" w:hAnsi="Verdana"/>
          <w:sz w:val="20"/>
          <w:szCs w:val="20"/>
          <w:lang w:val="pt-BR"/>
        </w:rPr>
        <w:t xml:space="preserve"> </w:t>
      </w:r>
      <w:r w:rsidR="00AA4712" w:rsidRPr="0038442F">
        <w:rPr>
          <w:rFonts w:ascii="Verdana" w:hAnsi="Verdana"/>
          <w:sz w:val="20"/>
          <w:szCs w:val="20"/>
          <w:lang w:val="pt-BR"/>
        </w:rPr>
        <w:t xml:space="preserve">que </w:t>
      </w:r>
      <w:r w:rsidR="006D3B60" w:rsidRPr="0038442F">
        <w:rPr>
          <w:rFonts w:ascii="Verdana" w:hAnsi="Verdana"/>
          <w:sz w:val="20"/>
          <w:szCs w:val="20"/>
          <w:lang w:val="pt-BR"/>
        </w:rPr>
        <w:t>existia</w:t>
      </w:r>
      <w:r w:rsidR="00407242" w:rsidRPr="0038442F">
        <w:rPr>
          <w:rFonts w:ascii="Verdana" w:hAnsi="Verdana"/>
          <w:sz w:val="20"/>
          <w:szCs w:val="20"/>
          <w:lang w:val="pt-BR"/>
        </w:rPr>
        <w:t xml:space="preserv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6D3B60" w:rsidRPr="0038442F">
        <w:rPr>
          <w:rFonts w:ascii="Verdana" w:hAnsi="Verdana"/>
          <w:sz w:val="20"/>
          <w:szCs w:val="20"/>
          <w:lang w:val="pt-BR"/>
        </w:rPr>
        <w:t>referência</w:t>
      </w:r>
      <w:r w:rsidR="00407242" w:rsidRPr="0038442F">
        <w:rPr>
          <w:rFonts w:ascii="Verdana" w:hAnsi="Verdana"/>
          <w:sz w:val="20"/>
          <w:szCs w:val="20"/>
          <w:lang w:val="pt-BR"/>
        </w:rPr>
        <w:t xml:space="preserve"> </w:t>
      </w:r>
      <w:r w:rsidR="00AA4712" w:rsidRPr="0038442F">
        <w:rPr>
          <w:rFonts w:ascii="Verdana" w:hAnsi="Verdana"/>
          <w:sz w:val="20"/>
          <w:szCs w:val="20"/>
          <w:lang w:val="pt-BR"/>
        </w:rPr>
        <w:t>co</w:t>
      </w:r>
      <w:r w:rsidR="006D3B60" w:rsidRPr="0038442F">
        <w:rPr>
          <w:rFonts w:ascii="Verdana" w:hAnsi="Verdana"/>
          <w:sz w:val="20"/>
          <w:szCs w:val="20"/>
          <w:lang w:val="pt-BR"/>
        </w:rPr>
        <w:t xml:space="preserve">m </w:t>
      </w:r>
      <w:r w:rsidR="00AA4712" w:rsidRPr="0038442F">
        <w:rPr>
          <w:rFonts w:ascii="Verdana" w:hAnsi="Verdana"/>
          <w:sz w:val="20"/>
          <w:szCs w:val="20"/>
          <w:lang w:val="pt-BR"/>
        </w:rPr>
        <w:t>suficiente gra</w:t>
      </w:r>
      <w:r w:rsidR="006D3B60" w:rsidRPr="0038442F">
        <w:rPr>
          <w:rFonts w:ascii="Verdana" w:hAnsi="Verdana"/>
          <w:sz w:val="20"/>
          <w:szCs w:val="20"/>
          <w:lang w:val="pt-BR"/>
        </w:rPr>
        <w:t>u</w:t>
      </w:r>
      <w:r w:rsidR="00AA4712" w:rsidRPr="0038442F">
        <w:rPr>
          <w:rFonts w:ascii="Verdana" w:hAnsi="Verdana"/>
          <w:sz w:val="20"/>
          <w:szCs w:val="20"/>
          <w:lang w:val="pt-BR"/>
        </w:rPr>
        <w:t xml:space="preserve"> de especificidad</w:t>
      </w:r>
      <w:r w:rsidR="006D3B60" w:rsidRPr="0038442F">
        <w:rPr>
          <w:rFonts w:ascii="Verdana" w:hAnsi="Verdana"/>
          <w:sz w:val="20"/>
          <w:szCs w:val="20"/>
          <w:lang w:val="pt-BR"/>
        </w:rPr>
        <w:t>e</w:t>
      </w:r>
      <w:r w:rsidR="00AA4712" w:rsidRPr="0038442F">
        <w:rPr>
          <w:rFonts w:ascii="Verdana" w:hAnsi="Verdana"/>
          <w:sz w:val="20"/>
          <w:szCs w:val="20"/>
          <w:lang w:val="pt-BR"/>
        </w:rPr>
        <w:t xml:space="preserve"> d</w:t>
      </w:r>
      <w:r w:rsidR="006D3B60"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AA4712" w:rsidRPr="0038442F">
        <w:rPr>
          <w:rFonts w:ascii="Verdana" w:hAnsi="Verdana"/>
          <w:sz w:val="20"/>
          <w:szCs w:val="20"/>
          <w:lang w:val="pt-BR"/>
        </w:rPr>
        <w:t>a condi</w:t>
      </w:r>
      <w:r w:rsidR="000A1AA8" w:rsidRPr="0038442F">
        <w:rPr>
          <w:rFonts w:ascii="Verdana" w:hAnsi="Verdana"/>
          <w:sz w:val="20"/>
          <w:szCs w:val="20"/>
          <w:lang w:val="pt-BR"/>
        </w:rPr>
        <w:t>ções</w:t>
      </w:r>
      <w:r w:rsidR="00AA4712" w:rsidRPr="0038442F">
        <w:rPr>
          <w:rFonts w:ascii="Verdana" w:hAnsi="Verdana"/>
          <w:sz w:val="20"/>
          <w:szCs w:val="20"/>
          <w:lang w:val="pt-BR"/>
        </w:rPr>
        <w:t xml:space="preserve"> 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AA4712" w:rsidRPr="0038442F">
        <w:rPr>
          <w:rFonts w:ascii="Verdana" w:hAnsi="Verdana"/>
          <w:sz w:val="20"/>
          <w:szCs w:val="20"/>
          <w:lang w:val="pt-BR"/>
        </w:rPr>
        <w:t xml:space="preserve">para </w:t>
      </w:r>
      <w:r w:rsidR="006D3B60" w:rsidRPr="0038442F">
        <w:rPr>
          <w:rFonts w:ascii="Verdana" w:hAnsi="Verdana"/>
          <w:sz w:val="20"/>
          <w:szCs w:val="20"/>
          <w:lang w:val="pt-BR"/>
        </w:rPr>
        <w:t xml:space="preserve">se deduzir </w:t>
      </w:r>
      <w:r w:rsidR="00AA4712" w:rsidRPr="0038442F">
        <w:rPr>
          <w:rFonts w:ascii="Verdana" w:hAnsi="Verdana"/>
          <w:sz w:val="20"/>
          <w:szCs w:val="20"/>
          <w:lang w:val="pt-BR"/>
        </w:rPr>
        <w:t>su</w:t>
      </w:r>
      <w:r w:rsidR="006D3B60" w:rsidRPr="0038442F">
        <w:rPr>
          <w:rFonts w:ascii="Verdana" w:hAnsi="Verdana"/>
          <w:sz w:val="20"/>
          <w:szCs w:val="20"/>
          <w:lang w:val="pt-BR"/>
        </w:rPr>
        <w:t>a</w:t>
      </w:r>
      <w:r w:rsidR="00AA4712" w:rsidRPr="0038442F">
        <w:rPr>
          <w:rFonts w:ascii="Verdana" w:hAnsi="Verdana"/>
          <w:sz w:val="20"/>
          <w:szCs w:val="20"/>
          <w:lang w:val="pt-BR"/>
        </w:rPr>
        <w:t xml:space="preserve"> </w:t>
      </w:r>
      <w:r w:rsidR="00246A73" w:rsidRPr="0038442F">
        <w:rPr>
          <w:rFonts w:ascii="Verdana" w:hAnsi="Verdana"/>
          <w:sz w:val="20"/>
          <w:szCs w:val="20"/>
          <w:lang w:val="pt-BR"/>
        </w:rPr>
        <w:t>existência</w:t>
      </w:r>
      <w:r w:rsidR="00407242" w:rsidRPr="0038442F">
        <w:rPr>
          <w:rFonts w:ascii="Verdana" w:hAnsi="Verdana"/>
          <w:sz w:val="20"/>
          <w:szCs w:val="20"/>
          <w:lang w:val="pt-BR"/>
        </w:rPr>
        <w:t xml:space="preserve"> </w:t>
      </w:r>
      <w:r w:rsidR="006D3B60" w:rsidRPr="0038442F">
        <w:rPr>
          <w:rFonts w:ascii="Verdana" w:hAnsi="Verdana"/>
          <w:sz w:val="20"/>
          <w:szCs w:val="20"/>
          <w:lang w:val="pt-BR"/>
        </w:rPr>
        <w:t>e</w:t>
      </w:r>
      <w:r w:rsidR="00AA4712" w:rsidRPr="0038442F">
        <w:rPr>
          <w:rFonts w:ascii="Verdana" w:hAnsi="Verdana"/>
          <w:sz w:val="20"/>
          <w:szCs w:val="20"/>
          <w:lang w:val="pt-BR"/>
        </w:rPr>
        <w:t xml:space="preserve"> </w:t>
      </w:r>
      <w:r w:rsidR="006D3B60" w:rsidRPr="0038442F">
        <w:rPr>
          <w:rFonts w:ascii="Verdana" w:hAnsi="Verdana"/>
          <w:sz w:val="20"/>
          <w:szCs w:val="20"/>
          <w:lang w:val="pt-BR"/>
        </w:rPr>
        <w:t>reconhecimento</w:t>
      </w:r>
      <w:r w:rsidR="00407242" w:rsidRPr="0038442F">
        <w:rPr>
          <w:rFonts w:ascii="Verdana" w:hAnsi="Verdana"/>
          <w:sz w:val="20"/>
          <w:szCs w:val="20"/>
          <w:lang w:val="pt-BR"/>
        </w:rPr>
        <w:t xml:space="preserve"> </w:t>
      </w:r>
      <w:r w:rsidR="00AA4712" w:rsidRPr="0038442F">
        <w:rPr>
          <w:rFonts w:ascii="Verdana" w:hAnsi="Verdana"/>
          <w:sz w:val="20"/>
          <w:szCs w:val="20"/>
          <w:lang w:val="pt-BR"/>
        </w:rPr>
        <w:t xml:space="preserve">implícito </w:t>
      </w:r>
      <w:r w:rsidR="00BF7A10" w:rsidRPr="0038442F">
        <w:rPr>
          <w:rFonts w:ascii="Verdana" w:hAnsi="Verdana"/>
          <w:sz w:val="20"/>
          <w:szCs w:val="20"/>
          <w:lang w:val="pt-BR"/>
        </w:rPr>
        <w:t xml:space="preserve">na </w:t>
      </w:r>
      <w:r w:rsidR="00AA4712" w:rsidRPr="0038442F">
        <w:rPr>
          <w:rFonts w:ascii="Verdana" w:hAnsi="Verdana"/>
          <w:sz w:val="20"/>
          <w:szCs w:val="20"/>
          <w:lang w:val="pt-BR"/>
        </w:rPr>
        <w:t>referida Carta</w:t>
      </w:r>
      <w:r w:rsidR="00F4289F" w:rsidRPr="0038442F">
        <w:rPr>
          <w:rFonts w:ascii="Verdana" w:hAnsi="Verdana"/>
          <w:sz w:val="20"/>
          <w:szCs w:val="20"/>
          <w:lang w:val="pt-BR"/>
        </w:rPr>
        <w:t>.</w:t>
      </w:r>
      <w:r w:rsidR="00AA4712" w:rsidRPr="0038442F">
        <w:rPr>
          <w:rStyle w:val="Refdenotaalpie"/>
          <w:rFonts w:ascii="Verdana" w:hAnsi="Verdana"/>
          <w:sz w:val="20"/>
          <w:szCs w:val="20"/>
          <w:lang w:val="pt-BR"/>
        </w:rPr>
        <w:footnoteReference w:id="35"/>
      </w:r>
      <w:r w:rsidR="00AA4712" w:rsidRPr="0038442F">
        <w:rPr>
          <w:rFonts w:ascii="Verdana" w:hAnsi="Verdana"/>
          <w:sz w:val="20"/>
          <w:szCs w:val="20"/>
          <w:lang w:val="pt-BR"/>
        </w:rPr>
        <w:t xml:space="preserve"> De</w:t>
      </w:r>
      <w:r w:rsidR="006D3B60" w:rsidRPr="0038442F">
        <w:rPr>
          <w:rFonts w:ascii="Verdana" w:hAnsi="Verdana"/>
          <w:sz w:val="20"/>
          <w:szCs w:val="20"/>
          <w:lang w:val="pt-BR"/>
        </w:rPr>
        <w:t>sse</w:t>
      </w:r>
      <w:r w:rsidR="00AA4712" w:rsidRPr="0038442F">
        <w:rPr>
          <w:rFonts w:ascii="Verdana" w:hAnsi="Verdana"/>
          <w:sz w:val="20"/>
          <w:szCs w:val="20"/>
          <w:lang w:val="pt-BR"/>
        </w:rPr>
        <w:t xml:space="preserve"> modo, </w:t>
      </w:r>
      <w:r w:rsidR="0006769C" w:rsidRPr="0038442F">
        <w:rPr>
          <w:rFonts w:ascii="Verdana" w:hAnsi="Verdana"/>
          <w:sz w:val="20"/>
          <w:szCs w:val="20"/>
          <w:lang w:val="pt-BR"/>
        </w:rPr>
        <w:t xml:space="preserve">assim </w:t>
      </w:r>
      <w:r w:rsidR="006D3B60" w:rsidRPr="0038442F">
        <w:rPr>
          <w:rFonts w:ascii="Verdana" w:hAnsi="Verdana"/>
          <w:sz w:val="20"/>
          <w:szCs w:val="20"/>
          <w:lang w:val="pt-BR"/>
        </w:rPr>
        <w:t xml:space="preserve">o fez em </w:t>
      </w:r>
      <w:r w:rsidR="00BC6FC3" w:rsidRPr="0038442F">
        <w:rPr>
          <w:rFonts w:ascii="Verdana" w:hAnsi="Verdana"/>
          <w:sz w:val="20"/>
          <w:szCs w:val="20"/>
          <w:lang w:val="pt-BR"/>
        </w:rPr>
        <w:t>outros</w:t>
      </w:r>
      <w:r w:rsidR="00407242" w:rsidRPr="0038442F">
        <w:rPr>
          <w:rFonts w:ascii="Verdana" w:hAnsi="Verdana"/>
          <w:sz w:val="20"/>
          <w:szCs w:val="20"/>
          <w:lang w:val="pt-BR"/>
        </w:rPr>
        <w:t xml:space="preserve"> </w:t>
      </w:r>
      <w:r w:rsidR="00AA4712" w:rsidRPr="0038442F">
        <w:rPr>
          <w:rFonts w:ascii="Verdana" w:hAnsi="Verdana"/>
          <w:sz w:val="20"/>
          <w:szCs w:val="20"/>
          <w:lang w:val="pt-BR"/>
        </w:rPr>
        <w:t>casos</w:t>
      </w:r>
      <w:r w:rsidR="006D3B60" w:rsidRPr="0038442F">
        <w:rPr>
          <w:rFonts w:ascii="Verdana" w:hAnsi="Verdana"/>
          <w:sz w:val="20"/>
          <w:szCs w:val="20"/>
          <w:lang w:val="pt-BR"/>
        </w:rPr>
        <w:t>,</w:t>
      </w:r>
      <w:r w:rsidR="00AA4712" w:rsidRPr="0038442F">
        <w:rPr>
          <w:rStyle w:val="Refdenotaalpie"/>
          <w:rFonts w:ascii="Verdana" w:hAnsi="Verdana"/>
          <w:sz w:val="20"/>
          <w:szCs w:val="20"/>
          <w:lang w:val="pt-BR"/>
        </w:rPr>
        <w:footnoteReference w:id="36"/>
      </w:r>
      <w:r w:rsidR="00AA4712" w:rsidRPr="0038442F">
        <w:rPr>
          <w:rFonts w:ascii="Verdana" w:hAnsi="Verdana"/>
          <w:sz w:val="20"/>
          <w:szCs w:val="20"/>
          <w:lang w:val="pt-BR"/>
        </w:rPr>
        <w:t xml:space="preserve"> a </w:t>
      </w:r>
      <w:r w:rsidR="00BF7A10" w:rsidRPr="0038442F">
        <w:rPr>
          <w:rFonts w:ascii="Verdana" w:hAnsi="Verdana"/>
          <w:sz w:val="20"/>
          <w:szCs w:val="20"/>
          <w:lang w:val="pt-BR"/>
        </w:rPr>
        <w:t>sentença</w:t>
      </w:r>
      <w:r w:rsidR="00407242" w:rsidRPr="0038442F">
        <w:rPr>
          <w:rFonts w:ascii="Verdana" w:hAnsi="Verdana"/>
          <w:sz w:val="20"/>
          <w:szCs w:val="20"/>
          <w:lang w:val="pt-BR"/>
        </w:rPr>
        <w:t xml:space="preserve"> </w:t>
      </w:r>
      <w:r w:rsidR="006D3B60" w:rsidRPr="0038442F">
        <w:rPr>
          <w:rFonts w:ascii="Verdana" w:hAnsi="Verdana"/>
          <w:sz w:val="20"/>
          <w:szCs w:val="20"/>
          <w:lang w:val="pt-BR"/>
        </w:rPr>
        <w:t xml:space="preserve">recorreu à </w:t>
      </w:r>
      <w:r w:rsidR="00AA4712" w:rsidRPr="0038442F">
        <w:rPr>
          <w:rFonts w:ascii="Verdana" w:hAnsi="Verdana"/>
          <w:sz w:val="20"/>
          <w:szCs w:val="20"/>
          <w:lang w:val="pt-BR"/>
        </w:rPr>
        <w:t>Declara</w:t>
      </w:r>
      <w:r w:rsidR="000A1AA8" w:rsidRPr="0038442F">
        <w:rPr>
          <w:rFonts w:ascii="Verdana" w:hAnsi="Verdana"/>
          <w:sz w:val="20"/>
          <w:szCs w:val="20"/>
          <w:lang w:val="pt-BR"/>
        </w:rPr>
        <w:t>ção</w:t>
      </w:r>
      <w:r w:rsidR="00AA4712" w:rsidRPr="0038442F">
        <w:rPr>
          <w:rFonts w:ascii="Verdana" w:hAnsi="Verdana"/>
          <w:sz w:val="20"/>
          <w:szCs w:val="20"/>
          <w:lang w:val="pt-BR"/>
        </w:rPr>
        <w:t xml:space="preserve"> Americana </w:t>
      </w:r>
      <w:r w:rsidR="00C92762" w:rsidRPr="0038442F">
        <w:rPr>
          <w:rFonts w:ascii="Verdana" w:hAnsi="Verdana"/>
          <w:sz w:val="20"/>
          <w:szCs w:val="20"/>
          <w:lang w:val="pt-BR"/>
        </w:rPr>
        <w:t>dos Direitos</w:t>
      </w:r>
      <w:r w:rsidR="00407242" w:rsidRPr="0038442F">
        <w:rPr>
          <w:rFonts w:ascii="Verdana" w:hAnsi="Verdana"/>
          <w:sz w:val="20"/>
          <w:szCs w:val="20"/>
          <w:lang w:val="pt-BR"/>
        </w:rPr>
        <w:t xml:space="preserve"> </w:t>
      </w:r>
      <w:r w:rsidR="00F30A59" w:rsidRPr="0038442F">
        <w:rPr>
          <w:rFonts w:ascii="Verdana" w:hAnsi="Verdana"/>
          <w:sz w:val="20"/>
          <w:szCs w:val="20"/>
          <w:lang w:val="pt-BR"/>
        </w:rPr>
        <w:t>e</w:t>
      </w:r>
      <w:r w:rsidR="00AA4712" w:rsidRPr="0038442F">
        <w:rPr>
          <w:rFonts w:ascii="Verdana" w:hAnsi="Verdana"/>
          <w:sz w:val="20"/>
          <w:szCs w:val="20"/>
          <w:lang w:val="pt-BR"/>
        </w:rPr>
        <w:t xml:space="preserve"> De</w:t>
      </w:r>
      <w:r w:rsidR="00F30A59" w:rsidRPr="0038442F">
        <w:rPr>
          <w:rFonts w:ascii="Verdana" w:hAnsi="Verdana"/>
          <w:sz w:val="20"/>
          <w:szCs w:val="20"/>
          <w:lang w:val="pt-BR"/>
        </w:rPr>
        <w:t>v</w:t>
      </w:r>
      <w:r w:rsidR="00AA4712" w:rsidRPr="0038442F">
        <w:rPr>
          <w:rFonts w:ascii="Verdana" w:hAnsi="Verdana"/>
          <w:sz w:val="20"/>
          <w:szCs w:val="20"/>
          <w:lang w:val="pt-BR"/>
        </w:rPr>
        <w:t>eres d</w:t>
      </w:r>
      <w:r w:rsidR="00F30A59" w:rsidRPr="0038442F">
        <w:rPr>
          <w:rFonts w:ascii="Verdana" w:hAnsi="Verdana"/>
          <w:sz w:val="20"/>
          <w:szCs w:val="20"/>
          <w:lang w:val="pt-BR"/>
        </w:rPr>
        <w:t>o</w:t>
      </w:r>
      <w:r w:rsidR="00AA4712" w:rsidRPr="0038442F">
        <w:rPr>
          <w:rFonts w:ascii="Verdana" w:hAnsi="Verdana"/>
          <w:sz w:val="20"/>
          <w:szCs w:val="20"/>
          <w:lang w:val="pt-BR"/>
        </w:rPr>
        <w:t xml:space="preserve"> Hom</w:t>
      </w:r>
      <w:r w:rsidR="00F30A59" w:rsidRPr="0038442F">
        <w:rPr>
          <w:rFonts w:ascii="Verdana" w:hAnsi="Verdana"/>
          <w:sz w:val="20"/>
          <w:szCs w:val="20"/>
          <w:lang w:val="pt-BR"/>
        </w:rPr>
        <w:t>em</w:t>
      </w:r>
      <w:r w:rsidR="00AA4712" w:rsidRPr="0038442F">
        <w:rPr>
          <w:rFonts w:ascii="Verdana" w:hAnsi="Verdana"/>
          <w:sz w:val="20"/>
          <w:szCs w:val="20"/>
          <w:lang w:val="pt-BR"/>
        </w:rPr>
        <w:t>, a u</w:t>
      </w:r>
      <w:r w:rsidR="006D3B60" w:rsidRPr="0038442F">
        <w:rPr>
          <w:rFonts w:ascii="Verdana" w:hAnsi="Verdana"/>
          <w:sz w:val="20"/>
          <w:szCs w:val="20"/>
          <w:lang w:val="pt-BR"/>
        </w:rPr>
        <w:t>m</w:t>
      </w:r>
      <w:r w:rsidR="00AA4712" w:rsidRPr="0038442F">
        <w:rPr>
          <w:rFonts w:ascii="Verdana" w:hAnsi="Verdana"/>
          <w:sz w:val="20"/>
          <w:szCs w:val="20"/>
          <w:lang w:val="pt-BR"/>
        </w:rPr>
        <w:t xml:space="preserve"> </w:t>
      </w:r>
      <w:r w:rsidR="00AA4712" w:rsidRPr="0038442F">
        <w:rPr>
          <w:rFonts w:ascii="Verdana" w:hAnsi="Verdana"/>
          <w:i/>
          <w:iCs/>
          <w:sz w:val="20"/>
          <w:szCs w:val="20"/>
          <w:lang w:val="pt-BR"/>
        </w:rPr>
        <w:t>corpus iuris internacional</w:t>
      </w:r>
      <w:r w:rsidR="00AA4712" w:rsidRPr="0038442F">
        <w:rPr>
          <w:rFonts w:ascii="Verdana" w:hAnsi="Verdana"/>
          <w:sz w:val="20"/>
          <w:szCs w:val="20"/>
          <w:lang w:val="pt-BR"/>
        </w:rPr>
        <w:t xml:space="preserve"> </w:t>
      </w:r>
      <w:r w:rsidR="006D3B60" w:rsidRPr="0038442F">
        <w:rPr>
          <w:rFonts w:ascii="Verdana" w:hAnsi="Verdana"/>
          <w:sz w:val="20"/>
          <w:szCs w:val="20"/>
          <w:lang w:val="pt-BR"/>
        </w:rPr>
        <w:t xml:space="preserve">e à </w:t>
      </w:r>
      <w:r w:rsidR="00AA4712" w:rsidRPr="0038442F">
        <w:rPr>
          <w:rFonts w:ascii="Verdana" w:hAnsi="Verdana"/>
          <w:sz w:val="20"/>
          <w:szCs w:val="20"/>
          <w:lang w:val="pt-BR"/>
        </w:rPr>
        <w:t>Constitu</w:t>
      </w:r>
      <w:r w:rsidR="006D3B60" w:rsidRPr="0038442F">
        <w:rPr>
          <w:rFonts w:ascii="Verdana" w:hAnsi="Verdana"/>
          <w:sz w:val="20"/>
          <w:szCs w:val="20"/>
          <w:lang w:val="pt-BR"/>
        </w:rPr>
        <w:t>i</w:t>
      </w:r>
      <w:r w:rsidR="000A1AA8" w:rsidRPr="0038442F">
        <w:rPr>
          <w:rFonts w:ascii="Verdana" w:hAnsi="Verdana"/>
          <w:sz w:val="20"/>
          <w:szCs w:val="20"/>
          <w:lang w:val="pt-BR"/>
        </w:rPr>
        <w:t>ção</w:t>
      </w:r>
      <w:r w:rsidR="00AA4712" w:rsidRPr="0038442F">
        <w:rPr>
          <w:rFonts w:ascii="Verdana" w:hAnsi="Verdana"/>
          <w:sz w:val="20"/>
          <w:szCs w:val="20"/>
          <w:lang w:val="pt-BR"/>
        </w:rPr>
        <w:t xml:space="preserve"> d</w:t>
      </w:r>
      <w:r w:rsidR="006D3B60" w:rsidRPr="0038442F">
        <w:rPr>
          <w:rFonts w:ascii="Verdana" w:hAnsi="Verdana"/>
          <w:sz w:val="20"/>
          <w:szCs w:val="20"/>
          <w:lang w:val="pt-BR"/>
        </w:rPr>
        <w:t>a</w:t>
      </w:r>
      <w:r w:rsidR="00AA4712" w:rsidRPr="0038442F">
        <w:rPr>
          <w:rFonts w:ascii="Verdana" w:hAnsi="Verdana"/>
          <w:sz w:val="20"/>
          <w:szCs w:val="20"/>
          <w:lang w:val="pt-BR"/>
        </w:rPr>
        <w:t xml:space="preserve"> Argentina para delimitar </w:t>
      </w:r>
      <w:r w:rsidR="006D3B60" w:rsidRPr="0038442F">
        <w:rPr>
          <w:rFonts w:ascii="Verdana" w:hAnsi="Verdana"/>
          <w:sz w:val="20"/>
          <w:szCs w:val="20"/>
          <w:lang w:val="pt-BR"/>
        </w:rPr>
        <w:t>o conteúdo</w:t>
      </w:r>
      <w:r w:rsidR="00AA4712" w:rsidRPr="0038442F">
        <w:rPr>
          <w:rFonts w:ascii="Verdana" w:hAnsi="Verdana"/>
          <w:sz w:val="20"/>
          <w:szCs w:val="20"/>
          <w:lang w:val="pt-BR"/>
        </w:rPr>
        <w:t xml:space="preserve">, de </w:t>
      </w:r>
      <w:r w:rsidR="001B4A2A">
        <w:rPr>
          <w:rFonts w:ascii="Verdana" w:hAnsi="Verdana"/>
          <w:sz w:val="20"/>
          <w:szCs w:val="20"/>
          <w:lang w:val="pt-BR"/>
        </w:rPr>
        <w:t>forma</w:t>
      </w:r>
      <w:r w:rsidR="001B4A2A" w:rsidRPr="0038442F">
        <w:rPr>
          <w:rFonts w:ascii="Verdana" w:hAnsi="Verdana"/>
          <w:sz w:val="20"/>
          <w:szCs w:val="20"/>
          <w:lang w:val="pt-BR"/>
        </w:rPr>
        <w:t xml:space="preserve"> </w:t>
      </w:r>
      <w:r w:rsidR="00AA4712" w:rsidRPr="0038442F">
        <w:rPr>
          <w:rFonts w:ascii="Verdana" w:hAnsi="Verdana"/>
          <w:sz w:val="20"/>
          <w:szCs w:val="20"/>
          <w:lang w:val="pt-BR"/>
        </w:rPr>
        <w:t>n</w:t>
      </w:r>
      <w:r w:rsidR="006D3B60" w:rsidRPr="0038442F">
        <w:rPr>
          <w:rFonts w:ascii="Verdana" w:hAnsi="Verdana"/>
          <w:sz w:val="20"/>
          <w:szCs w:val="20"/>
          <w:lang w:val="pt-BR"/>
        </w:rPr>
        <w:t>ã</w:t>
      </w:r>
      <w:r w:rsidR="00AA4712" w:rsidRPr="0038442F">
        <w:rPr>
          <w:rFonts w:ascii="Verdana" w:hAnsi="Verdana"/>
          <w:sz w:val="20"/>
          <w:szCs w:val="20"/>
          <w:lang w:val="pt-BR"/>
        </w:rPr>
        <w:t xml:space="preserve">o limitativa, </w:t>
      </w:r>
      <w:r w:rsidR="00BC6FC3" w:rsidRPr="0038442F">
        <w:rPr>
          <w:rFonts w:ascii="Verdana" w:hAnsi="Verdana"/>
          <w:sz w:val="20"/>
          <w:szCs w:val="20"/>
          <w:lang w:val="pt-BR"/>
        </w:rPr>
        <w:t xml:space="preserve">do </w:t>
      </w:r>
      <w:r w:rsidR="00AA4712" w:rsidRPr="0038442F">
        <w:rPr>
          <w:rFonts w:ascii="Verdana" w:hAnsi="Verdana"/>
          <w:sz w:val="20"/>
          <w:szCs w:val="20"/>
          <w:lang w:val="pt-BR"/>
        </w:rPr>
        <w:t xml:space="preserve">que </w:t>
      </w:r>
      <w:r w:rsidR="006D3B60" w:rsidRPr="0038442F">
        <w:rPr>
          <w:rFonts w:ascii="Verdana" w:hAnsi="Verdana"/>
          <w:sz w:val="20"/>
          <w:szCs w:val="20"/>
          <w:lang w:val="pt-BR"/>
        </w:rPr>
        <w:t>poderia</w:t>
      </w:r>
      <w:r w:rsidR="00F4289F" w:rsidRPr="0038442F">
        <w:rPr>
          <w:rFonts w:ascii="Verdana" w:hAnsi="Verdana"/>
          <w:sz w:val="20"/>
          <w:szCs w:val="20"/>
          <w:lang w:val="pt-BR"/>
        </w:rPr>
        <w:t>m</w:t>
      </w:r>
      <w:r w:rsidR="006D3B60" w:rsidRPr="0038442F">
        <w:rPr>
          <w:rFonts w:ascii="Verdana" w:hAnsi="Verdana"/>
          <w:sz w:val="20"/>
          <w:szCs w:val="20"/>
          <w:lang w:val="pt-BR"/>
        </w:rPr>
        <w:t xml:space="preserve"> abranger as </w:t>
      </w:r>
      <w:r w:rsidR="00AA4712" w:rsidRPr="0038442F">
        <w:rPr>
          <w:rFonts w:ascii="Verdana" w:hAnsi="Verdana"/>
          <w:sz w:val="20"/>
          <w:szCs w:val="20"/>
          <w:lang w:val="pt-BR"/>
        </w:rPr>
        <w:t>condi</w:t>
      </w:r>
      <w:r w:rsidR="000A1AA8" w:rsidRPr="0038442F">
        <w:rPr>
          <w:rFonts w:ascii="Verdana" w:hAnsi="Verdana"/>
          <w:sz w:val="20"/>
          <w:szCs w:val="20"/>
          <w:lang w:val="pt-BR"/>
        </w:rPr>
        <w:t>ções</w:t>
      </w:r>
      <w:r w:rsidR="00AA4712" w:rsidRPr="0038442F">
        <w:rPr>
          <w:rFonts w:ascii="Verdana" w:hAnsi="Verdana"/>
          <w:sz w:val="20"/>
          <w:szCs w:val="20"/>
          <w:lang w:val="pt-BR"/>
        </w:rPr>
        <w:t xml:space="preserve"> “equitativas </w:t>
      </w:r>
      <w:r w:rsidR="006D3B60" w:rsidRPr="0038442F">
        <w:rPr>
          <w:rFonts w:ascii="Verdana" w:hAnsi="Verdana"/>
          <w:sz w:val="20"/>
          <w:szCs w:val="20"/>
          <w:lang w:val="pt-BR"/>
        </w:rPr>
        <w:t>e</w:t>
      </w:r>
      <w:r w:rsidR="00AA4712" w:rsidRPr="0038442F">
        <w:rPr>
          <w:rFonts w:ascii="Verdana" w:hAnsi="Verdana"/>
          <w:sz w:val="20"/>
          <w:szCs w:val="20"/>
          <w:lang w:val="pt-BR"/>
        </w:rPr>
        <w:t xml:space="preserve"> </w:t>
      </w:r>
      <w:r w:rsidR="00751189" w:rsidRPr="0038442F">
        <w:rPr>
          <w:rFonts w:ascii="Verdana" w:hAnsi="Verdana"/>
          <w:sz w:val="20"/>
          <w:szCs w:val="20"/>
          <w:lang w:val="pt-BR"/>
        </w:rPr>
        <w:t>satisfatórias</w:t>
      </w:r>
      <w:r w:rsidR="00AA4712" w:rsidRPr="0038442F">
        <w:rPr>
          <w:rFonts w:ascii="Verdana" w:hAnsi="Verdana"/>
          <w:sz w:val="20"/>
          <w:szCs w:val="20"/>
          <w:lang w:val="pt-BR"/>
        </w:rPr>
        <w:t>”</w:t>
      </w:r>
      <w:r w:rsidR="006D3B60" w:rsidRPr="0038442F">
        <w:rPr>
          <w:rFonts w:ascii="Verdana" w:hAnsi="Verdana"/>
          <w:sz w:val="20"/>
          <w:szCs w:val="20"/>
          <w:lang w:val="pt-BR"/>
        </w:rPr>
        <w:t>.</w:t>
      </w:r>
      <w:r w:rsidR="00AA4712" w:rsidRPr="0038442F">
        <w:rPr>
          <w:rStyle w:val="Refdenotaalpie"/>
          <w:rFonts w:ascii="Verdana" w:hAnsi="Verdana"/>
          <w:sz w:val="20"/>
          <w:szCs w:val="20"/>
          <w:lang w:val="pt-BR"/>
        </w:rPr>
        <w:footnoteReference w:id="37"/>
      </w:r>
      <w:r w:rsidR="00AA4712" w:rsidRPr="0038442F">
        <w:rPr>
          <w:rFonts w:ascii="Verdana" w:hAnsi="Verdana"/>
          <w:sz w:val="20"/>
          <w:szCs w:val="20"/>
          <w:lang w:val="pt-BR"/>
        </w:rPr>
        <w:t xml:space="preserve"> </w:t>
      </w:r>
      <w:r w:rsidR="000B6AAA" w:rsidRPr="0038442F">
        <w:rPr>
          <w:rFonts w:ascii="Verdana" w:hAnsi="Verdana"/>
          <w:sz w:val="20"/>
          <w:szCs w:val="20"/>
          <w:lang w:val="pt-BR"/>
        </w:rPr>
        <w:t>N</w:t>
      </w:r>
      <w:r w:rsidR="006D3B60" w:rsidRPr="0038442F">
        <w:rPr>
          <w:rFonts w:ascii="Verdana" w:hAnsi="Verdana"/>
          <w:sz w:val="20"/>
          <w:szCs w:val="20"/>
          <w:lang w:val="pt-BR"/>
        </w:rPr>
        <w:t>ã</w:t>
      </w:r>
      <w:r w:rsidR="000B6AAA" w:rsidRPr="0038442F">
        <w:rPr>
          <w:rFonts w:ascii="Verdana" w:hAnsi="Verdana"/>
          <w:sz w:val="20"/>
          <w:szCs w:val="20"/>
          <w:lang w:val="pt-BR"/>
        </w:rPr>
        <w:t>o obstante</w:t>
      </w:r>
      <w:r w:rsidR="006D3B60" w:rsidRPr="0038442F">
        <w:rPr>
          <w:rFonts w:ascii="Verdana" w:hAnsi="Verdana"/>
          <w:sz w:val="20"/>
          <w:szCs w:val="20"/>
          <w:lang w:val="pt-BR"/>
        </w:rPr>
        <w:t xml:space="preserve"> isso</w:t>
      </w:r>
      <w:r w:rsidR="000B6AAA" w:rsidRPr="0038442F">
        <w:rPr>
          <w:rFonts w:ascii="Verdana" w:hAnsi="Verdana"/>
          <w:sz w:val="20"/>
          <w:szCs w:val="20"/>
          <w:lang w:val="pt-BR"/>
        </w:rPr>
        <w:t>, naquel</w:t>
      </w:r>
      <w:r w:rsidR="006D3B60" w:rsidRPr="0038442F">
        <w:rPr>
          <w:rFonts w:ascii="Verdana" w:hAnsi="Verdana"/>
          <w:sz w:val="20"/>
          <w:szCs w:val="20"/>
          <w:lang w:val="pt-BR"/>
        </w:rPr>
        <w:t>e</w:t>
      </w:r>
      <w:r w:rsidR="000B6AAA" w:rsidRPr="0038442F">
        <w:rPr>
          <w:rFonts w:ascii="Verdana" w:hAnsi="Verdana"/>
          <w:sz w:val="20"/>
          <w:szCs w:val="20"/>
          <w:lang w:val="pt-BR"/>
        </w:rPr>
        <w:t xml:space="preserve"> caso</w:t>
      </w:r>
      <w:r w:rsidR="0006769C" w:rsidRPr="0038442F">
        <w:rPr>
          <w:rFonts w:ascii="Verdana" w:hAnsi="Verdana"/>
          <w:sz w:val="20"/>
          <w:szCs w:val="20"/>
          <w:lang w:val="pt-BR"/>
        </w:rPr>
        <w:t>,</w:t>
      </w:r>
      <w:r w:rsidR="000B6AAA"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0B6AAA" w:rsidRPr="0038442F">
        <w:rPr>
          <w:rFonts w:ascii="Verdana" w:hAnsi="Verdana"/>
          <w:sz w:val="20"/>
          <w:szCs w:val="20"/>
          <w:lang w:val="pt-BR"/>
        </w:rPr>
        <w:t xml:space="preserve">IDH </w:t>
      </w:r>
      <w:r w:rsidR="006D3B60" w:rsidRPr="0038442F">
        <w:rPr>
          <w:rFonts w:ascii="Verdana" w:hAnsi="Verdana"/>
          <w:sz w:val="20"/>
          <w:szCs w:val="20"/>
          <w:lang w:val="pt-BR"/>
        </w:rPr>
        <w:t>abordou u</w:t>
      </w:r>
      <w:r w:rsidR="000B6AAA" w:rsidRPr="0038442F">
        <w:rPr>
          <w:rFonts w:ascii="Verdana" w:hAnsi="Verdana"/>
          <w:sz w:val="20"/>
          <w:szCs w:val="20"/>
          <w:lang w:val="pt-BR"/>
        </w:rPr>
        <w:t>nicamente e</w:t>
      </w:r>
      <w:r w:rsidR="006D3B60" w:rsidRPr="0038442F">
        <w:rPr>
          <w:rFonts w:ascii="Verdana" w:hAnsi="Verdana"/>
          <w:sz w:val="20"/>
          <w:szCs w:val="20"/>
          <w:lang w:val="pt-BR"/>
        </w:rPr>
        <w:t>s</w:t>
      </w:r>
      <w:r w:rsidR="000B6AAA" w:rsidRPr="0038442F">
        <w:rPr>
          <w:rFonts w:ascii="Verdana" w:hAnsi="Verdana"/>
          <w:sz w:val="20"/>
          <w:szCs w:val="20"/>
          <w:lang w:val="pt-BR"/>
        </w:rPr>
        <w:t xml:space="preserve">se </w:t>
      </w:r>
      <w:r w:rsidR="00CA30C5" w:rsidRPr="0038442F">
        <w:rPr>
          <w:rFonts w:ascii="Verdana" w:hAnsi="Verdana"/>
          <w:sz w:val="20"/>
          <w:szCs w:val="20"/>
          <w:lang w:val="pt-BR"/>
        </w:rPr>
        <w:t xml:space="preserve">direito </w:t>
      </w:r>
      <w:r w:rsidR="00751189" w:rsidRPr="0038442F">
        <w:rPr>
          <w:rFonts w:ascii="Verdana" w:hAnsi="Verdana"/>
          <w:sz w:val="20"/>
          <w:szCs w:val="20"/>
          <w:lang w:val="pt-BR"/>
        </w:rPr>
        <w:t xml:space="preserve">no </w:t>
      </w:r>
      <w:r w:rsidR="006D3B60" w:rsidRPr="0038442F">
        <w:rPr>
          <w:rFonts w:ascii="Verdana" w:hAnsi="Verdana"/>
          <w:sz w:val="20"/>
          <w:szCs w:val="20"/>
          <w:lang w:val="pt-BR"/>
        </w:rPr>
        <w:t xml:space="preserve">âmbito do </w:t>
      </w:r>
      <w:r w:rsidR="00BB665E" w:rsidRPr="0038442F">
        <w:rPr>
          <w:rFonts w:ascii="Verdana" w:hAnsi="Verdana"/>
          <w:sz w:val="20"/>
          <w:szCs w:val="20"/>
          <w:lang w:val="pt-BR"/>
        </w:rPr>
        <w:t>acesso</w:t>
      </w:r>
      <w:r w:rsidR="00407242" w:rsidRPr="0038442F">
        <w:rPr>
          <w:rFonts w:ascii="Verdana" w:hAnsi="Verdana"/>
          <w:sz w:val="20"/>
          <w:szCs w:val="20"/>
          <w:lang w:val="pt-BR"/>
        </w:rPr>
        <w:t xml:space="preserve"> </w:t>
      </w:r>
      <w:r w:rsidR="006D3B60" w:rsidRPr="0038442F">
        <w:rPr>
          <w:rFonts w:ascii="Verdana" w:hAnsi="Verdana"/>
          <w:sz w:val="20"/>
          <w:szCs w:val="20"/>
          <w:lang w:val="pt-BR"/>
        </w:rPr>
        <w:t>à justiça</w:t>
      </w:r>
      <w:r w:rsidR="000B6AAA" w:rsidRPr="0038442F">
        <w:rPr>
          <w:rFonts w:ascii="Verdana" w:hAnsi="Verdana"/>
          <w:sz w:val="20"/>
          <w:szCs w:val="20"/>
          <w:lang w:val="pt-BR"/>
        </w:rPr>
        <w:t xml:space="preserve">, </w:t>
      </w:r>
      <w:r w:rsidR="006D3B60" w:rsidRPr="0038442F">
        <w:rPr>
          <w:rFonts w:ascii="Verdana" w:hAnsi="Verdana"/>
          <w:sz w:val="20"/>
          <w:szCs w:val="20"/>
          <w:lang w:val="pt-BR"/>
        </w:rPr>
        <w:t>ou seja</w:t>
      </w:r>
      <w:r w:rsidR="000B6AAA" w:rsidRPr="0038442F">
        <w:rPr>
          <w:rFonts w:ascii="Verdana" w:hAnsi="Verdana"/>
          <w:sz w:val="20"/>
          <w:szCs w:val="20"/>
          <w:lang w:val="pt-BR"/>
        </w:rPr>
        <w:t>, n</w:t>
      </w:r>
      <w:r w:rsidR="006D3B60" w:rsidRPr="0038442F">
        <w:rPr>
          <w:rFonts w:ascii="Verdana" w:hAnsi="Verdana"/>
          <w:sz w:val="20"/>
          <w:szCs w:val="20"/>
          <w:lang w:val="pt-BR"/>
        </w:rPr>
        <w:t>ã</w:t>
      </w:r>
      <w:r w:rsidR="000B6AAA" w:rsidRPr="0038442F">
        <w:rPr>
          <w:rFonts w:ascii="Verdana" w:hAnsi="Verdana"/>
          <w:sz w:val="20"/>
          <w:szCs w:val="20"/>
          <w:lang w:val="pt-BR"/>
        </w:rPr>
        <w:t>o se des</w:t>
      </w:r>
      <w:r w:rsidR="006D3B60" w:rsidRPr="0038442F">
        <w:rPr>
          <w:rFonts w:ascii="Verdana" w:hAnsi="Verdana"/>
          <w:sz w:val="20"/>
          <w:szCs w:val="20"/>
          <w:lang w:val="pt-BR"/>
        </w:rPr>
        <w:t xml:space="preserve">envolveu um conteúdo </w:t>
      </w:r>
      <w:r w:rsidR="00751189" w:rsidRPr="0038442F">
        <w:rPr>
          <w:rFonts w:ascii="Verdana" w:hAnsi="Verdana"/>
          <w:sz w:val="20"/>
          <w:szCs w:val="20"/>
          <w:lang w:val="pt-BR"/>
        </w:rPr>
        <w:t>substancial</w:t>
      </w:r>
      <w:r w:rsidR="00407242" w:rsidRPr="0038442F">
        <w:rPr>
          <w:rFonts w:ascii="Verdana" w:hAnsi="Verdana"/>
          <w:sz w:val="20"/>
          <w:szCs w:val="20"/>
          <w:lang w:val="pt-BR"/>
        </w:rPr>
        <w:t xml:space="preserve"> </w:t>
      </w:r>
      <w:r w:rsidR="006D3B60" w:rsidRPr="0038442F">
        <w:rPr>
          <w:rFonts w:ascii="Verdana" w:hAnsi="Verdana"/>
          <w:sz w:val="20"/>
          <w:szCs w:val="20"/>
          <w:lang w:val="pt-BR"/>
        </w:rPr>
        <w:t>e</w:t>
      </w:r>
      <w:r w:rsidR="000B6AAA" w:rsidRPr="0038442F">
        <w:rPr>
          <w:rFonts w:ascii="Verdana" w:hAnsi="Verdana"/>
          <w:sz w:val="20"/>
          <w:szCs w:val="20"/>
          <w:lang w:val="pt-BR"/>
        </w:rPr>
        <w:t xml:space="preserve"> ob</w:t>
      </w:r>
      <w:r w:rsidR="00D55099" w:rsidRPr="0038442F">
        <w:rPr>
          <w:rFonts w:ascii="Verdana" w:hAnsi="Verdana"/>
          <w:sz w:val="20"/>
          <w:szCs w:val="20"/>
          <w:lang w:val="pt-BR"/>
        </w:rPr>
        <w:t>r</w:t>
      </w:r>
      <w:r w:rsidR="000B6AAA" w:rsidRPr="0038442F">
        <w:rPr>
          <w:rFonts w:ascii="Verdana" w:hAnsi="Verdana"/>
          <w:sz w:val="20"/>
          <w:szCs w:val="20"/>
          <w:lang w:val="pt-BR"/>
        </w:rPr>
        <w:t>igacional e</w:t>
      </w:r>
      <w:r w:rsidR="00D55099" w:rsidRPr="0038442F">
        <w:rPr>
          <w:rFonts w:ascii="Verdana" w:hAnsi="Verdana"/>
          <w:sz w:val="20"/>
          <w:szCs w:val="20"/>
          <w:lang w:val="pt-BR"/>
        </w:rPr>
        <w:t>m</w:t>
      </w:r>
      <w:r w:rsidR="000B6AAA" w:rsidRPr="0038442F">
        <w:rPr>
          <w:rFonts w:ascii="Verdana" w:hAnsi="Verdana"/>
          <w:sz w:val="20"/>
          <w:szCs w:val="20"/>
          <w:lang w:val="pt-BR"/>
        </w:rPr>
        <w:t xml:space="preserve"> rela</w:t>
      </w:r>
      <w:r w:rsidR="000A1AA8" w:rsidRPr="0038442F">
        <w:rPr>
          <w:rFonts w:ascii="Verdana" w:hAnsi="Verdana"/>
          <w:sz w:val="20"/>
          <w:szCs w:val="20"/>
          <w:lang w:val="pt-BR"/>
        </w:rPr>
        <w:t>ção</w:t>
      </w:r>
      <w:r w:rsidR="000B6AAA" w:rsidRPr="0038442F">
        <w:rPr>
          <w:rFonts w:ascii="Verdana" w:hAnsi="Verdana"/>
          <w:sz w:val="20"/>
          <w:szCs w:val="20"/>
          <w:lang w:val="pt-BR"/>
        </w:rPr>
        <w:t xml:space="preserve"> </w:t>
      </w:r>
      <w:r w:rsidR="00D55099" w:rsidRPr="0038442F">
        <w:rPr>
          <w:rFonts w:ascii="Verdana" w:hAnsi="Verdana"/>
          <w:sz w:val="20"/>
          <w:szCs w:val="20"/>
          <w:lang w:val="pt-BR"/>
        </w:rPr>
        <w:t xml:space="preserve">às </w:t>
      </w:r>
      <w:r w:rsidR="000B6AAA" w:rsidRPr="0038442F">
        <w:rPr>
          <w:rFonts w:ascii="Verdana" w:hAnsi="Verdana"/>
          <w:sz w:val="20"/>
          <w:szCs w:val="20"/>
          <w:lang w:val="pt-BR"/>
        </w:rPr>
        <w:t>condi</w:t>
      </w:r>
      <w:r w:rsidR="000A1AA8" w:rsidRPr="0038442F">
        <w:rPr>
          <w:rFonts w:ascii="Verdana" w:hAnsi="Verdana"/>
          <w:sz w:val="20"/>
          <w:szCs w:val="20"/>
          <w:lang w:val="pt-BR"/>
        </w:rPr>
        <w:t>ções</w:t>
      </w:r>
      <w:r w:rsidR="000B6AAA" w:rsidRPr="0038442F">
        <w:rPr>
          <w:rFonts w:ascii="Verdana" w:hAnsi="Verdana"/>
          <w:sz w:val="20"/>
          <w:szCs w:val="20"/>
          <w:lang w:val="pt-BR"/>
        </w:rPr>
        <w:t xml:space="preserve"> equitativas </w:t>
      </w:r>
      <w:r w:rsidR="00D55099" w:rsidRPr="0038442F">
        <w:rPr>
          <w:rFonts w:ascii="Verdana" w:hAnsi="Verdana"/>
          <w:sz w:val="20"/>
          <w:szCs w:val="20"/>
          <w:lang w:val="pt-BR"/>
        </w:rPr>
        <w:t>e</w:t>
      </w:r>
      <w:r w:rsidR="000B6AAA" w:rsidRPr="0038442F">
        <w:rPr>
          <w:rFonts w:ascii="Verdana" w:hAnsi="Verdana"/>
          <w:sz w:val="20"/>
          <w:szCs w:val="20"/>
          <w:lang w:val="pt-BR"/>
        </w:rPr>
        <w:t xml:space="preserve"> </w:t>
      </w:r>
      <w:r w:rsidR="00751189" w:rsidRPr="0038442F">
        <w:rPr>
          <w:rFonts w:ascii="Verdana" w:hAnsi="Verdana"/>
          <w:sz w:val="20"/>
          <w:szCs w:val="20"/>
          <w:lang w:val="pt-BR"/>
        </w:rPr>
        <w:t xml:space="preserve">satisfatórias </w:t>
      </w:r>
      <w:r w:rsidR="000B6AAA" w:rsidRPr="0038442F">
        <w:rPr>
          <w:rFonts w:ascii="Verdana" w:hAnsi="Verdana"/>
          <w:sz w:val="20"/>
          <w:szCs w:val="20"/>
          <w:lang w:val="pt-BR"/>
        </w:rPr>
        <w:t xml:space="preserve">que </w:t>
      </w:r>
      <w:r w:rsidR="00D55099" w:rsidRPr="0038442F">
        <w:rPr>
          <w:rFonts w:ascii="Verdana" w:hAnsi="Verdana"/>
          <w:sz w:val="20"/>
          <w:szCs w:val="20"/>
          <w:lang w:val="pt-BR"/>
        </w:rPr>
        <w:t>compreende</w:t>
      </w:r>
      <w:r w:rsidR="0006769C" w:rsidRPr="0038442F">
        <w:rPr>
          <w:rFonts w:ascii="Verdana" w:hAnsi="Verdana"/>
          <w:sz w:val="20"/>
          <w:szCs w:val="20"/>
          <w:lang w:val="pt-BR"/>
        </w:rPr>
        <w:t>ssem</w:t>
      </w:r>
      <w:r w:rsidR="00D55099" w:rsidRPr="0038442F">
        <w:rPr>
          <w:rFonts w:ascii="Verdana" w:hAnsi="Verdana"/>
          <w:sz w:val="20"/>
          <w:szCs w:val="20"/>
          <w:lang w:val="pt-BR"/>
        </w:rPr>
        <w:t xml:space="preserve"> </w:t>
      </w:r>
      <w:r w:rsidR="000B6AAA" w:rsidRPr="0038442F">
        <w:rPr>
          <w:rFonts w:ascii="Verdana" w:hAnsi="Verdana"/>
          <w:sz w:val="20"/>
          <w:szCs w:val="20"/>
          <w:lang w:val="pt-BR"/>
        </w:rPr>
        <w:t>condi</w:t>
      </w:r>
      <w:r w:rsidR="000A1AA8" w:rsidRPr="0038442F">
        <w:rPr>
          <w:rFonts w:ascii="Verdana" w:hAnsi="Verdana"/>
          <w:sz w:val="20"/>
          <w:szCs w:val="20"/>
          <w:lang w:val="pt-BR"/>
        </w:rPr>
        <w:t>ções</w:t>
      </w:r>
      <w:r w:rsidR="000B6AAA" w:rsidRPr="0038442F">
        <w:rPr>
          <w:rFonts w:ascii="Verdana" w:hAnsi="Verdana"/>
          <w:sz w:val="20"/>
          <w:szCs w:val="20"/>
          <w:lang w:val="pt-BR"/>
        </w:rPr>
        <w:t xml:space="preserve"> de </w:t>
      </w:r>
      <w:r w:rsidR="008806F8" w:rsidRPr="0038442F">
        <w:rPr>
          <w:rFonts w:ascii="Verdana" w:hAnsi="Verdana"/>
          <w:sz w:val="20"/>
          <w:szCs w:val="20"/>
          <w:lang w:val="pt-BR"/>
        </w:rPr>
        <w:t>segurança</w:t>
      </w:r>
      <w:r w:rsidR="000B6AAA" w:rsidRPr="0038442F">
        <w:rPr>
          <w:rFonts w:ascii="Verdana" w:hAnsi="Verdana"/>
          <w:sz w:val="20"/>
          <w:szCs w:val="20"/>
          <w:lang w:val="pt-BR"/>
        </w:rPr>
        <w:t xml:space="preserve">, </w:t>
      </w:r>
      <w:r w:rsidR="00751189" w:rsidRPr="0038442F">
        <w:rPr>
          <w:rFonts w:ascii="Verdana" w:hAnsi="Verdana"/>
          <w:sz w:val="20"/>
          <w:szCs w:val="20"/>
          <w:lang w:val="pt-BR"/>
        </w:rPr>
        <w:t>saúde</w:t>
      </w:r>
      <w:r w:rsidR="00407242" w:rsidRPr="0038442F">
        <w:rPr>
          <w:rFonts w:ascii="Verdana" w:hAnsi="Verdana"/>
          <w:sz w:val="20"/>
          <w:szCs w:val="20"/>
          <w:lang w:val="pt-BR"/>
        </w:rPr>
        <w:t xml:space="preserve"> </w:t>
      </w:r>
      <w:r w:rsidR="000B6AAA" w:rsidRPr="0038442F">
        <w:rPr>
          <w:rFonts w:ascii="Verdana" w:hAnsi="Verdana"/>
          <w:sz w:val="20"/>
          <w:szCs w:val="20"/>
          <w:lang w:val="pt-BR"/>
        </w:rPr>
        <w:t xml:space="preserve">e higiene </w:t>
      </w:r>
      <w:r w:rsidR="00751189" w:rsidRPr="0038442F">
        <w:rPr>
          <w:rFonts w:ascii="Verdana" w:hAnsi="Verdana"/>
          <w:sz w:val="20"/>
          <w:szCs w:val="20"/>
          <w:lang w:val="pt-BR"/>
        </w:rPr>
        <w:t xml:space="preserve">no </w:t>
      </w:r>
      <w:r w:rsidR="00C92762" w:rsidRPr="0038442F">
        <w:rPr>
          <w:rFonts w:ascii="Verdana" w:hAnsi="Verdana"/>
          <w:sz w:val="20"/>
          <w:szCs w:val="20"/>
          <w:lang w:val="pt-BR"/>
        </w:rPr>
        <w:t>trabalho</w:t>
      </w:r>
      <w:r w:rsidR="000B6AAA" w:rsidRPr="0038442F">
        <w:rPr>
          <w:rFonts w:ascii="Verdana" w:hAnsi="Verdana"/>
          <w:sz w:val="20"/>
          <w:szCs w:val="20"/>
          <w:lang w:val="pt-BR"/>
        </w:rPr>
        <w:t xml:space="preserve">. </w:t>
      </w:r>
    </w:p>
    <w:p w14:paraId="7B44EC09" w14:textId="1628E0DE" w:rsidR="00FD2BD2" w:rsidRPr="0038442F" w:rsidRDefault="00685AC6" w:rsidP="00DA7255">
      <w:pPr>
        <w:pStyle w:val="Prrafodelista"/>
        <w:tabs>
          <w:tab w:val="left" w:pos="709"/>
        </w:tabs>
        <w:spacing w:before="120" w:after="120" w:line="240" w:lineRule="auto"/>
        <w:ind w:left="0"/>
        <w:contextualSpacing w:val="0"/>
        <w:jc w:val="both"/>
        <w:rPr>
          <w:rFonts w:ascii="Verdana" w:hAnsi="Verdana"/>
          <w:sz w:val="20"/>
          <w:szCs w:val="20"/>
          <w:lang w:val="pt-BR"/>
        </w:rPr>
      </w:pPr>
      <w:r w:rsidRPr="0038442F">
        <w:rPr>
          <w:rFonts w:ascii="Verdana" w:hAnsi="Verdana"/>
          <w:sz w:val="20"/>
          <w:szCs w:val="20"/>
          <w:lang w:val="pt-BR"/>
        </w:rPr>
        <w:t xml:space="preserve">29. </w:t>
      </w:r>
      <w:r w:rsidRPr="0038442F">
        <w:rPr>
          <w:rFonts w:ascii="Verdana" w:hAnsi="Verdana"/>
          <w:sz w:val="20"/>
          <w:szCs w:val="20"/>
          <w:lang w:val="pt-BR"/>
        </w:rPr>
        <w:tab/>
      </w:r>
      <w:r w:rsidR="00D55099" w:rsidRPr="0038442F">
        <w:rPr>
          <w:rFonts w:ascii="Verdana" w:hAnsi="Verdana"/>
          <w:sz w:val="20"/>
          <w:szCs w:val="20"/>
          <w:lang w:val="pt-BR"/>
        </w:rPr>
        <w:t xml:space="preserve">Diferentemente do </w:t>
      </w:r>
      <w:r w:rsidR="00D55099" w:rsidRPr="0038442F">
        <w:rPr>
          <w:rFonts w:ascii="Verdana" w:hAnsi="Verdana"/>
          <w:i/>
          <w:sz w:val="20"/>
          <w:szCs w:val="20"/>
          <w:lang w:val="pt-BR"/>
        </w:rPr>
        <w:t xml:space="preserve">Caso </w:t>
      </w:r>
      <w:r w:rsidR="00526535" w:rsidRPr="0038442F">
        <w:rPr>
          <w:rFonts w:ascii="Verdana" w:hAnsi="Verdana"/>
          <w:i/>
          <w:iCs/>
          <w:sz w:val="20"/>
          <w:szCs w:val="20"/>
          <w:lang w:val="pt-BR"/>
        </w:rPr>
        <w:t>Spoltore</w:t>
      </w:r>
      <w:r w:rsidR="00C33CAE"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022900" w:rsidRPr="0038442F">
        <w:rPr>
          <w:rFonts w:ascii="Verdana" w:hAnsi="Verdana"/>
          <w:sz w:val="20"/>
          <w:szCs w:val="20"/>
          <w:lang w:val="pt-BR"/>
        </w:rPr>
        <w:t xml:space="preserve">presente caso, </w:t>
      </w:r>
      <w:r w:rsidR="00D55099" w:rsidRPr="0038442F">
        <w:rPr>
          <w:rFonts w:ascii="Verdana" w:hAnsi="Verdana"/>
          <w:sz w:val="20"/>
          <w:szCs w:val="20"/>
          <w:lang w:val="pt-BR"/>
        </w:rPr>
        <w:t xml:space="preserve">o </w:t>
      </w:r>
      <w:r w:rsidR="00FD2BD2" w:rsidRPr="0038442F">
        <w:rPr>
          <w:rFonts w:ascii="Verdana" w:hAnsi="Verdana"/>
          <w:sz w:val="20"/>
          <w:szCs w:val="20"/>
          <w:lang w:val="pt-BR"/>
        </w:rPr>
        <w:t>Tribunal Interamericano</w:t>
      </w:r>
      <w:r w:rsidR="00D55099" w:rsidRPr="0038442F">
        <w:rPr>
          <w:rFonts w:ascii="Verdana" w:hAnsi="Verdana"/>
          <w:sz w:val="20"/>
          <w:szCs w:val="20"/>
          <w:lang w:val="pt-BR"/>
        </w:rPr>
        <w:t xml:space="preserve">, embora utilize </w:t>
      </w:r>
      <w:r w:rsidR="00F4289F" w:rsidRPr="0038442F">
        <w:rPr>
          <w:rFonts w:ascii="Verdana" w:hAnsi="Verdana"/>
          <w:sz w:val="20"/>
          <w:szCs w:val="20"/>
          <w:lang w:val="pt-BR"/>
        </w:rPr>
        <w:t xml:space="preserve">o mesmo fundamento </w:t>
      </w:r>
      <w:r w:rsidR="00247F19" w:rsidRPr="0038442F">
        <w:rPr>
          <w:rFonts w:ascii="Verdana" w:hAnsi="Verdana"/>
          <w:sz w:val="20"/>
          <w:szCs w:val="20"/>
          <w:lang w:val="pt-BR"/>
        </w:rPr>
        <w:t>normativo</w:t>
      </w:r>
      <w:r w:rsidR="00C33CAE" w:rsidRPr="0038442F">
        <w:rPr>
          <w:rFonts w:ascii="Verdana" w:hAnsi="Verdana"/>
          <w:sz w:val="20"/>
          <w:szCs w:val="20"/>
          <w:lang w:val="pt-BR"/>
        </w:rPr>
        <w:t xml:space="preserve"> para </w:t>
      </w:r>
      <w:r w:rsidR="002F7B35">
        <w:rPr>
          <w:rFonts w:ascii="Verdana" w:hAnsi="Verdana"/>
          <w:sz w:val="20"/>
          <w:szCs w:val="20"/>
          <w:lang w:val="pt-BR"/>
        </w:rPr>
        <w:t>extrair o</w:t>
      </w:r>
      <w:r w:rsidR="00C33CAE" w:rsidRPr="0038442F">
        <w:rPr>
          <w:rFonts w:ascii="Verdana" w:hAnsi="Verdana"/>
          <w:sz w:val="20"/>
          <w:szCs w:val="20"/>
          <w:lang w:val="pt-BR"/>
        </w:rPr>
        <w:t xml:space="preserve"> </w:t>
      </w:r>
      <w:r w:rsidR="00CA30C5" w:rsidRPr="0038442F">
        <w:rPr>
          <w:rFonts w:ascii="Verdana" w:hAnsi="Verdana"/>
          <w:sz w:val="20"/>
          <w:szCs w:val="20"/>
          <w:lang w:val="pt-BR"/>
        </w:rPr>
        <w:t>direito</w:t>
      </w:r>
      <w:r w:rsidR="00C550E4" w:rsidRPr="0038442F">
        <w:rPr>
          <w:rFonts w:ascii="Verdana" w:hAnsi="Verdana"/>
          <w:sz w:val="20"/>
          <w:szCs w:val="20"/>
          <w:lang w:val="pt-BR"/>
        </w:rPr>
        <w:t xml:space="preserve">, </w:t>
      </w:r>
      <w:r w:rsidR="00D55099" w:rsidRPr="0038442F">
        <w:rPr>
          <w:rFonts w:ascii="Verdana" w:hAnsi="Verdana"/>
          <w:sz w:val="20"/>
          <w:szCs w:val="20"/>
          <w:lang w:val="pt-BR"/>
        </w:rPr>
        <w:t xml:space="preserve">tece </w:t>
      </w:r>
      <w:r w:rsidR="00C33CAE" w:rsidRPr="0038442F">
        <w:rPr>
          <w:rFonts w:ascii="Verdana" w:hAnsi="Verdana"/>
          <w:sz w:val="20"/>
          <w:szCs w:val="20"/>
          <w:lang w:val="pt-BR"/>
        </w:rPr>
        <w:t xml:space="preserve">importantes </w:t>
      </w:r>
      <w:r w:rsidR="00D55099" w:rsidRPr="0038442F">
        <w:rPr>
          <w:rFonts w:ascii="Verdana" w:hAnsi="Verdana"/>
          <w:sz w:val="20"/>
          <w:szCs w:val="20"/>
          <w:lang w:val="pt-BR"/>
        </w:rPr>
        <w:t xml:space="preserve">considerações sobre seu conteúdo </w:t>
      </w:r>
      <w:r w:rsidR="00751189" w:rsidRPr="0038442F">
        <w:rPr>
          <w:rFonts w:ascii="Verdana" w:hAnsi="Verdana"/>
          <w:sz w:val="20"/>
          <w:szCs w:val="20"/>
          <w:lang w:val="pt-BR"/>
        </w:rPr>
        <w:t>substancial</w:t>
      </w:r>
      <w:r w:rsidR="00C33CAE" w:rsidRPr="0038442F">
        <w:rPr>
          <w:rFonts w:ascii="Verdana" w:hAnsi="Verdana"/>
          <w:sz w:val="20"/>
          <w:szCs w:val="20"/>
          <w:lang w:val="pt-BR"/>
        </w:rPr>
        <w:t>. Por e</w:t>
      </w:r>
      <w:r w:rsidR="00D55099" w:rsidRPr="0038442F">
        <w:rPr>
          <w:rFonts w:ascii="Verdana" w:hAnsi="Verdana"/>
          <w:sz w:val="20"/>
          <w:szCs w:val="20"/>
          <w:lang w:val="pt-BR"/>
        </w:rPr>
        <w:t>x</w:t>
      </w:r>
      <w:r w:rsidR="00C33CAE" w:rsidRPr="0038442F">
        <w:rPr>
          <w:rFonts w:ascii="Verdana" w:hAnsi="Verdana"/>
          <w:sz w:val="20"/>
          <w:szCs w:val="20"/>
          <w:lang w:val="pt-BR"/>
        </w:rPr>
        <w:t xml:space="preserve">emplo, a </w:t>
      </w:r>
      <w:r w:rsidR="00BF7A10" w:rsidRPr="0038442F">
        <w:rPr>
          <w:rFonts w:ascii="Verdana" w:hAnsi="Verdana"/>
          <w:sz w:val="20"/>
          <w:szCs w:val="20"/>
          <w:lang w:val="pt-BR"/>
        </w:rPr>
        <w:t xml:space="preserve">sentença </w:t>
      </w:r>
      <w:r w:rsidR="00D55099" w:rsidRPr="0038442F">
        <w:rPr>
          <w:rFonts w:ascii="Verdana" w:hAnsi="Verdana"/>
          <w:sz w:val="20"/>
          <w:szCs w:val="20"/>
          <w:lang w:val="pt-BR"/>
        </w:rPr>
        <w:t xml:space="preserve">salienta </w:t>
      </w:r>
      <w:r w:rsidR="00C33CAE" w:rsidRPr="0038442F">
        <w:rPr>
          <w:rFonts w:ascii="Verdana" w:hAnsi="Verdana"/>
          <w:sz w:val="20"/>
          <w:szCs w:val="20"/>
          <w:lang w:val="pt-BR"/>
        </w:rPr>
        <w:t xml:space="preserve">que </w:t>
      </w:r>
      <w:r w:rsidR="00D83EEF" w:rsidRPr="0038442F">
        <w:rPr>
          <w:rFonts w:ascii="Verdana" w:hAnsi="Verdana"/>
          <w:sz w:val="20"/>
          <w:szCs w:val="20"/>
          <w:lang w:val="pt-BR"/>
        </w:rPr>
        <w:t>“</w:t>
      </w:r>
      <w:r w:rsidR="00D55099" w:rsidRPr="0038442F">
        <w:rPr>
          <w:rFonts w:ascii="Verdana" w:hAnsi="Verdana"/>
          <w:sz w:val="20"/>
          <w:szCs w:val="20"/>
          <w:lang w:val="pt-BR"/>
        </w:rPr>
        <w:t xml:space="preserve">levando em conta os fatos e as </w:t>
      </w:r>
      <w:r w:rsidR="00D83EEF" w:rsidRPr="0038442F">
        <w:rPr>
          <w:rFonts w:ascii="Verdana" w:hAnsi="Verdana"/>
          <w:sz w:val="20"/>
          <w:szCs w:val="20"/>
          <w:lang w:val="pt-BR"/>
        </w:rPr>
        <w:t xml:space="preserve">particularidades </w:t>
      </w:r>
      <w:r w:rsidR="00C92762" w:rsidRPr="0038442F">
        <w:rPr>
          <w:rFonts w:ascii="Verdana" w:hAnsi="Verdana"/>
          <w:sz w:val="20"/>
          <w:szCs w:val="20"/>
          <w:lang w:val="pt-BR"/>
        </w:rPr>
        <w:t xml:space="preserve">do presente </w:t>
      </w:r>
      <w:r w:rsidR="00D83EEF" w:rsidRPr="0038442F">
        <w:rPr>
          <w:rFonts w:ascii="Verdana" w:hAnsi="Verdana"/>
          <w:sz w:val="20"/>
          <w:szCs w:val="20"/>
          <w:lang w:val="pt-BR"/>
        </w:rPr>
        <w:t>caso”</w:t>
      </w:r>
      <w:r w:rsidR="00734CA0" w:rsidRPr="0038442F">
        <w:rPr>
          <w:rFonts w:ascii="Verdana" w:hAnsi="Verdana"/>
          <w:sz w:val="20"/>
          <w:szCs w:val="20"/>
          <w:lang w:val="pt-BR"/>
        </w:rPr>
        <w:t>,</w:t>
      </w:r>
      <w:r w:rsidR="00D83EEF" w:rsidRPr="0038442F">
        <w:rPr>
          <w:rFonts w:ascii="Verdana" w:hAnsi="Verdana"/>
          <w:sz w:val="20"/>
          <w:szCs w:val="20"/>
          <w:lang w:val="pt-BR"/>
        </w:rPr>
        <w:t xml:space="preserve"> </w:t>
      </w:r>
      <w:r w:rsidR="00D55099"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A30C5" w:rsidRPr="0038442F">
        <w:rPr>
          <w:rFonts w:ascii="Verdana" w:hAnsi="Verdana"/>
          <w:sz w:val="20"/>
          <w:szCs w:val="20"/>
          <w:lang w:val="pt-BR"/>
        </w:rPr>
        <w:t>ao trabalho</w:t>
      </w:r>
      <w:r w:rsidR="00407242" w:rsidRPr="0038442F">
        <w:rPr>
          <w:rFonts w:ascii="Verdana" w:hAnsi="Verdana"/>
          <w:sz w:val="20"/>
          <w:szCs w:val="20"/>
          <w:lang w:val="pt-BR"/>
        </w:rPr>
        <w:t xml:space="preserve"> </w:t>
      </w:r>
      <w:r w:rsidR="001F7635" w:rsidRPr="0038442F">
        <w:rPr>
          <w:rFonts w:ascii="Verdana" w:hAnsi="Verdana"/>
          <w:sz w:val="20"/>
          <w:szCs w:val="20"/>
          <w:lang w:val="pt-BR"/>
        </w:rPr>
        <w:t>implica que</w:t>
      </w:r>
      <w:r w:rsidR="00A37AA3" w:rsidRPr="0038442F">
        <w:rPr>
          <w:rFonts w:ascii="Verdana" w:hAnsi="Verdana"/>
          <w:sz w:val="20"/>
          <w:szCs w:val="20"/>
          <w:lang w:val="pt-BR"/>
        </w:rPr>
        <w:t>:</w:t>
      </w:r>
    </w:p>
    <w:p w14:paraId="4CBCD91E" w14:textId="12C0CA34" w:rsidR="00732AE7" w:rsidRPr="0038442F" w:rsidRDefault="00833AA2" w:rsidP="00D55099">
      <w:pPr>
        <w:ind w:left="700" w:right="757"/>
        <w:jc w:val="both"/>
        <w:rPr>
          <w:rFonts w:ascii="Verdana" w:hAnsi="Verdana"/>
          <w:b/>
          <w:sz w:val="16"/>
          <w:szCs w:val="16"/>
          <w:lang w:val="pt-BR"/>
        </w:rPr>
      </w:pPr>
      <w:r w:rsidRPr="0038442F">
        <w:rPr>
          <w:rFonts w:ascii="Verdana" w:hAnsi="Verdana"/>
          <w:sz w:val="16"/>
          <w:szCs w:val="16"/>
          <w:lang w:val="pt-BR"/>
        </w:rPr>
        <w:t xml:space="preserve">174. </w:t>
      </w:r>
      <w:r w:rsidR="00A37AA3" w:rsidRPr="0038442F">
        <w:rPr>
          <w:rFonts w:ascii="Verdana" w:hAnsi="Verdana"/>
          <w:sz w:val="16"/>
          <w:szCs w:val="16"/>
          <w:lang w:val="pt-BR"/>
        </w:rPr>
        <w:t>[…]</w:t>
      </w:r>
      <w:r w:rsidRPr="0038442F">
        <w:rPr>
          <w:rFonts w:ascii="Verdana" w:hAnsi="Verdana"/>
          <w:sz w:val="16"/>
          <w:szCs w:val="16"/>
          <w:lang w:val="pt-BR"/>
        </w:rPr>
        <w:t xml:space="preserve"> </w:t>
      </w:r>
      <w:r w:rsidR="003B1580" w:rsidRPr="003B1580">
        <w:rPr>
          <w:rFonts w:ascii="Verdana" w:hAnsi="Verdana"/>
          <w:sz w:val="16"/>
          <w:szCs w:val="16"/>
          <w:lang w:val="pt-BR"/>
        </w:rPr>
        <w:t>o trabalhador possa realizar seu trabalho em condições adequadas de segurança, higiene e saúde, que previnam acidentes de trabalho, o que é especialmente relevante quando se trata de atividades que implicam riscos significativos para a vida e a integridade das pessoas. Além disso, de forma específica, à luz da legislação brasileira, esse direito implica a adoção de medidas de prevenção e redução de riscos inerentes ao trabalho e de acidentes de trabalho; a obrigação de proporcionar equipamentos de proteção adequados frente aos riscos decorrentes do trabalho; a caracterização, a cargo das autoridades de trabalho, da insalubridade e da insegurança no trabalho; e a obrigação de fiscalizar essas condições, também a cargo das autoridades de trabalho</w:t>
      </w:r>
      <w:r w:rsidR="00D55099" w:rsidRPr="0038442F">
        <w:rPr>
          <w:rFonts w:ascii="Verdana" w:hAnsi="Verdana"/>
          <w:sz w:val="16"/>
          <w:szCs w:val="16"/>
          <w:lang w:val="pt-BR"/>
        </w:rPr>
        <w:t>.</w:t>
      </w:r>
      <w:r w:rsidR="007F7F32" w:rsidRPr="0038442F">
        <w:rPr>
          <w:rStyle w:val="Refdenotaalpie"/>
          <w:rFonts w:ascii="Verdana" w:hAnsi="Verdana"/>
          <w:sz w:val="16"/>
          <w:szCs w:val="16"/>
          <w:lang w:val="pt-BR"/>
        </w:rPr>
        <w:footnoteReference w:id="38"/>
      </w:r>
      <w:r w:rsidR="00D55099" w:rsidRPr="0038442F">
        <w:rPr>
          <w:rFonts w:ascii="Verdana" w:hAnsi="Verdana"/>
          <w:b/>
          <w:sz w:val="16"/>
          <w:szCs w:val="16"/>
          <w:vertAlign w:val="superscript"/>
          <w:lang w:val="pt-BR"/>
        </w:rPr>
        <w:t xml:space="preserve"> </w:t>
      </w:r>
    </w:p>
    <w:p w14:paraId="432FFCF6" w14:textId="77777777" w:rsidR="00D55099" w:rsidRPr="0038442F" w:rsidRDefault="00D55099" w:rsidP="00D55099">
      <w:pPr>
        <w:ind w:left="700" w:right="757"/>
        <w:jc w:val="both"/>
        <w:rPr>
          <w:rFonts w:ascii="Verdana" w:hAnsi="Verdana"/>
          <w:b/>
          <w:sz w:val="16"/>
          <w:szCs w:val="16"/>
          <w:lang w:val="pt-BR"/>
        </w:rPr>
      </w:pPr>
    </w:p>
    <w:p w14:paraId="03E24259" w14:textId="0919E338" w:rsidR="001F7635"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30. </w:t>
      </w:r>
      <w:r w:rsidRPr="0038442F">
        <w:rPr>
          <w:rFonts w:ascii="Verdana" w:hAnsi="Verdana"/>
          <w:bCs/>
          <w:sz w:val="20"/>
          <w:szCs w:val="20"/>
          <w:lang w:val="pt-BR"/>
        </w:rPr>
        <w:tab/>
      </w:r>
      <w:r w:rsidR="001F7635" w:rsidRPr="0038442F">
        <w:rPr>
          <w:rFonts w:ascii="Verdana" w:hAnsi="Verdana"/>
          <w:bCs/>
          <w:sz w:val="20"/>
          <w:szCs w:val="20"/>
          <w:lang w:val="pt-BR"/>
        </w:rPr>
        <w:t>De</w:t>
      </w:r>
      <w:r w:rsidR="00734CA0" w:rsidRPr="0038442F">
        <w:rPr>
          <w:rFonts w:ascii="Verdana" w:hAnsi="Verdana"/>
          <w:bCs/>
          <w:sz w:val="20"/>
          <w:szCs w:val="20"/>
          <w:lang w:val="pt-BR"/>
        </w:rPr>
        <w:t>s</w:t>
      </w:r>
      <w:r w:rsidR="001F7635" w:rsidRPr="0038442F">
        <w:rPr>
          <w:rFonts w:ascii="Verdana" w:hAnsi="Verdana"/>
          <w:bCs/>
          <w:sz w:val="20"/>
          <w:szCs w:val="20"/>
          <w:lang w:val="pt-BR"/>
        </w:rPr>
        <w:t>sa conce</w:t>
      </w:r>
      <w:r w:rsidR="00734CA0" w:rsidRPr="0038442F">
        <w:rPr>
          <w:rFonts w:ascii="Verdana" w:hAnsi="Verdana"/>
          <w:bCs/>
          <w:sz w:val="20"/>
          <w:szCs w:val="20"/>
          <w:lang w:val="pt-BR"/>
        </w:rPr>
        <w:t>i</w:t>
      </w:r>
      <w:r w:rsidR="001F7635" w:rsidRPr="0038442F">
        <w:rPr>
          <w:rFonts w:ascii="Verdana" w:hAnsi="Verdana"/>
          <w:bCs/>
          <w:sz w:val="20"/>
          <w:szCs w:val="20"/>
          <w:lang w:val="pt-BR"/>
        </w:rPr>
        <w:t>tua</w:t>
      </w:r>
      <w:r w:rsidR="000A1AA8" w:rsidRPr="0038442F">
        <w:rPr>
          <w:rFonts w:ascii="Verdana" w:hAnsi="Verdana"/>
          <w:bCs/>
          <w:sz w:val="20"/>
          <w:szCs w:val="20"/>
          <w:lang w:val="pt-BR"/>
        </w:rPr>
        <w:t>ção</w:t>
      </w:r>
      <w:r w:rsidR="001F7635" w:rsidRPr="0038442F">
        <w:rPr>
          <w:rFonts w:ascii="Verdana" w:hAnsi="Verdana"/>
          <w:bCs/>
          <w:sz w:val="20"/>
          <w:szCs w:val="20"/>
          <w:lang w:val="pt-BR"/>
        </w:rPr>
        <w:t xml:space="preserve"> que </w:t>
      </w:r>
      <w:r w:rsidR="002D3092" w:rsidRPr="0038442F">
        <w:rPr>
          <w:rFonts w:ascii="Verdana" w:hAnsi="Verdana"/>
          <w:bCs/>
          <w:sz w:val="20"/>
          <w:szCs w:val="20"/>
          <w:lang w:val="pt-BR"/>
        </w:rPr>
        <w:t xml:space="preserve">oferece </w:t>
      </w:r>
      <w:r w:rsidR="008806F8" w:rsidRPr="0038442F">
        <w:rPr>
          <w:rFonts w:ascii="Verdana" w:hAnsi="Verdana"/>
          <w:bCs/>
          <w:sz w:val="20"/>
          <w:szCs w:val="20"/>
          <w:lang w:val="pt-BR"/>
        </w:rPr>
        <w:t xml:space="preserve">a Corte </w:t>
      </w:r>
      <w:r w:rsidR="00D54C00" w:rsidRPr="0038442F">
        <w:rPr>
          <w:rFonts w:ascii="Verdana" w:hAnsi="Verdana"/>
          <w:bCs/>
          <w:sz w:val="20"/>
          <w:szCs w:val="20"/>
          <w:lang w:val="pt-BR"/>
        </w:rPr>
        <w:t xml:space="preserve">IDH </w:t>
      </w:r>
      <w:r w:rsidR="001F7635" w:rsidRPr="0038442F">
        <w:rPr>
          <w:rFonts w:ascii="Verdana" w:hAnsi="Verdana"/>
          <w:bCs/>
          <w:sz w:val="20"/>
          <w:szCs w:val="20"/>
          <w:lang w:val="pt-BR"/>
        </w:rPr>
        <w:t>e</w:t>
      </w:r>
      <w:r w:rsidR="002D3092" w:rsidRPr="0038442F">
        <w:rPr>
          <w:rFonts w:ascii="Verdana" w:hAnsi="Verdana"/>
          <w:bCs/>
          <w:sz w:val="20"/>
          <w:szCs w:val="20"/>
          <w:lang w:val="pt-BR"/>
        </w:rPr>
        <w:t xml:space="preserve">m sua </w:t>
      </w:r>
      <w:r w:rsidR="00BF7A10" w:rsidRPr="0038442F">
        <w:rPr>
          <w:rFonts w:ascii="Verdana" w:hAnsi="Verdana"/>
          <w:bCs/>
          <w:sz w:val="20"/>
          <w:szCs w:val="20"/>
          <w:lang w:val="pt-BR"/>
        </w:rPr>
        <w:t>sentença</w:t>
      </w:r>
      <w:r w:rsidR="001F7635" w:rsidRPr="0038442F">
        <w:rPr>
          <w:rFonts w:ascii="Verdana" w:hAnsi="Verdana"/>
          <w:bCs/>
          <w:sz w:val="20"/>
          <w:szCs w:val="20"/>
          <w:lang w:val="pt-BR"/>
        </w:rPr>
        <w:t xml:space="preserve">, podemos </w:t>
      </w:r>
      <w:r w:rsidR="00F45BCD">
        <w:rPr>
          <w:rFonts w:ascii="Verdana" w:hAnsi="Verdana"/>
          <w:bCs/>
          <w:sz w:val="20"/>
          <w:szCs w:val="20"/>
          <w:lang w:val="pt-BR"/>
        </w:rPr>
        <w:t>extrair</w:t>
      </w:r>
      <w:r w:rsidR="00F45BCD" w:rsidRPr="0038442F">
        <w:rPr>
          <w:rFonts w:ascii="Verdana" w:hAnsi="Verdana"/>
          <w:bCs/>
          <w:sz w:val="20"/>
          <w:szCs w:val="20"/>
          <w:lang w:val="pt-BR"/>
        </w:rPr>
        <w:t xml:space="preserve"> </w:t>
      </w:r>
      <w:r w:rsidR="002D3092" w:rsidRPr="0038442F">
        <w:rPr>
          <w:rFonts w:ascii="Verdana" w:hAnsi="Verdana"/>
          <w:bCs/>
          <w:i/>
          <w:sz w:val="20"/>
          <w:szCs w:val="20"/>
          <w:lang w:val="pt-BR"/>
        </w:rPr>
        <w:t>q</w:t>
      </w:r>
      <w:r w:rsidR="001F7635" w:rsidRPr="0038442F">
        <w:rPr>
          <w:rFonts w:ascii="Verdana" w:hAnsi="Verdana"/>
          <w:bCs/>
          <w:i/>
          <w:sz w:val="20"/>
          <w:szCs w:val="20"/>
          <w:lang w:val="pt-BR"/>
        </w:rPr>
        <w:t>uatro elementos</w:t>
      </w:r>
      <w:r w:rsidR="001F7635" w:rsidRPr="0038442F">
        <w:rPr>
          <w:rFonts w:ascii="Verdana" w:hAnsi="Verdana"/>
          <w:bCs/>
          <w:sz w:val="20"/>
          <w:szCs w:val="20"/>
          <w:lang w:val="pt-BR"/>
        </w:rPr>
        <w:t xml:space="preserve"> que merece</w:t>
      </w:r>
      <w:r w:rsidR="002D3092" w:rsidRPr="0038442F">
        <w:rPr>
          <w:rFonts w:ascii="Verdana" w:hAnsi="Verdana"/>
          <w:bCs/>
          <w:sz w:val="20"/>
          <w:szCs w:val="20"/>
          <w:lang w:val="pt-BR"/>
        </w:rPr>
        <w:t>m</w:t>
      </w:r>
      <w:r w:rsidR="001F7635" w:rsidRPr="0038442F">
        <w:rPr>
          <w:rFonts w:ascii="Verdana" w:hAnsi="Verdana"/>
          <w:bCs/>
          <w:sz w:val="20"/>
          <w:szCs w:val="20"/>
          <w:lang w:val="pt-BR"/>
        </w:rPr>
        <w:t xml:space="preserve"> ser destacados. E</w:t>
      </w:r>
      <w:r w:rsidR="002D3092" w:rsidRPr="0038442F">
        <w:rPr>
          <w:rFonts w:ascii="Verdana" w:hAnsi="Verdana"/>
          <w:bCs/>
          <w:sz w:val="20"/>
          <w:szCs w:val="20"/>
          <w:lang w:val="pt-BR"/>
        </w:rPr>
        <w:t xml:space="preserve">m primeiro </w:t>
      </w:r>
      <w:r w:rsidR="001F7635" w:rsidRPr="0038442F">
        <w:rPr>
          <w:rFonts w:ascii="Verdana" w:hAnsi="Verdana"/>
          <w:bCs/>
          <w:sz w:val="20"/>
          <w:szCs w:val="20"/>
          <w:lang w:val="pt-BR"/>
        </w:rPr>
        <w:t xml:space="preserve">lugar </w:t>
      </w:r>
      <w:r w:rsidR="002D3092" w:rsidRPr="0038442F">
        <w:rPr>
          <w:rFonts w:ascii="Verdana" w:hAnsi="Verdana"/>
          <w:bCs/>
          <w:sz w:val="20"/>
          <w:szCs w:val="20"/>
          <w:lang w:val="pt-BR"/>
        </w:rPr>
        <w:t xml:space="preserve">– como já foi </w:t>
      </w:r>
      <w:r w:rsidR="001F7635" w:rsidRPr="0038442F">
        <w:rPr>
          <w:rFonts w:ascii="Verdana" w:hAnsi="Verdana"/>
          <w:bCs/>
          <w:sz w:val="20"/>
          <w:szCs w:val="20"/>
          <w:lang w:val="pt-BR"/>
        </w:rPr>
        <w:t>amplamente exp</w:t>
      </w:r>
      <w:r w:rsidR="002D3092" w:rsidRPr="0038442F">
        <w:rPr>
          <w:rFonts w:ascii="Verdana" w:hAnsi="Verdana"/>
          <w:bCs/>
          <w:sz w:val="20"/>
          <w:szCs w:val="20"/>
          <w:lang w:val="pt-BR"/>
        </w:rPr>
        <w:t>o</w:t>
      </w:r>
      <w:r w:rsidR="001F7635" w:rsidRPr="0038442F">
        <w:rPr>
          <w:rFonts w:ascii="Verdana" w:hAnsi="Verdana"/>
          <w:bCs/>
          <w:sz w:val="20"/>
          <w:szCs w:val="20"/>
          <w:lang w:val="pt-BR"/>
        </w:rPr>
        <w:t xml:space="preserve">sto </w:t>
      </w:r>
      <w:r w:rsidR="00751189" w:rsidRPr="0038442F">
        <w:rPr>
          <w:rFonts w:ascii="Verdana" w:hAnsi="Verdana"/>
          <w:bCs/>
          <w:sz w:val="20"/>
          <w:szCs w:val="20"/>
          <w:lang w:val="pt-BR"/>
        </w:rPr>
        <w:t>n</w:t>
      </w:r>
      <w:r w:rsidR="00084CA4" w:rsidRPr="0038442F">
        <w:rPr>
          <w:rFonts w:ascii="Verdana" w:hAnsi="Verdana"/>
          <w:bCs/>
          <w:sz w:val="20"/>
          <w:szCs w:val="20"/>
          <w:lang w:val="pt-BR"/>
        </w:rPr>
        <w:t xml:space="preserve">a </w:t>
      </w:r>
      <w:r w:rsidR="00A37C2A" w:rsidRPr="0038442F">
        <w:rPr>
          <w:rFonts w:ascii="Verdana" w:hAnsi="Verdana"/>
          <w:bCs/>
          <w:sz w:val="20"/>
          <w:szCs w:val="20"/>
          <w:lang w:val="pt-BR"/>
        </w:rPr>
        <w:t>S</w:t>
      </w:r>
      <w:r w:rsidR="00084CA4" w:rsidRPr="0038442F">
        <w:rPr>
          <w:rFonts w:ascii="Verdana" w:hAnsi="Verdana"/>
          <w:bCs/>
          <w:sz w:val="20"/>
          <w:szCs w:val="20"/>
          <w:lang w:val="pt-BR"/>
        </w:rPr>
        <w:t xml:space="preserve">eção </w:t>
      </w:r>
      <w:r w:rsidR="001F7635" w:rsidRPr="0038442F">
        <w:rPr>
          <w:rFonts w:ascii="Verdana" w:hAnsi="Verdana"/>
          <w:bCs/>
          <w:sz w:val="20"/>
          <w:szCs w:val="20"/>
          <w:lang w:val="pt-BR"/>
        </w:rPr>
        <w:t>I de</w:t>
      </w:r>
      <w:r w:rsidR="00F11C01" w:rsidRPr="0038442F">
        <w:rPr>
          <w:rFonts w:ascii="Verdana" w:hAnsi="Verdana"/>
          <w:bCs/>
          <w:sz w:val="20"/>
          <w:szCs w:val="20"/>
          <w:lang w:val="pt-BR"/>
        </w:rPr>
        <w:t>ste voto</w:t>
      </w:r>
      <w:r w:rsidR="002D3092" w:rsidRPr="0038442F">
        <w:rPr>
          <w:rFonts w:ascii="Verdana" w:hAnsi="Verdana"/>
          <w:bCs/>
          <w:sz w:val="20"/>
          <w:szCs w:val="20"/>
          <w:lang w:val="pt-BR"/>
        </w:rPr>
        <w:t xml:space="preserve"> – devem-se </w:t>
      </w:r>
      <w:r w:rsidR="00C92762" w:rsidRPr="0038442F">
        <w:rPr>
          <w:rFonts w:ascii="Verdana" w:hAnsi="Verdana"/>
          <w:bCs/>
          <w:sz w:val="20"/>
          <w:szCs w:val="20"/>
          <w:lang w:val="pt-BR"/>
        </w:rPr>
        <w:t>adotar</w:t>
      </w:r>
      <w:r w:rsidR="00407242" w:rsidRPr="0038442F">
        <w:rPr>
          <w:rFonts w:ascii="Verdana" w:hAnsi="Verdana"/>
          <w:bCs/>
          <w:sz w:val="20"/>
          <w:szCs w:val="20"/>
          <w:lang w:val="pt-BR"/>
        </w:rPr>
        <w:t xml:space="preserve"> </w:t>
      </w:r>
      <w:r w:rsidR="001F7635" w:rsidRPr="0038442F">
        <w:rPr>
          <w:rFonts w:ascii="Verdana" w:hAnsi="Verdana"/>
          <w:bCs/>
          <w:sz w:val="20"/>
          <w:szCs w:val="20"/>
          <w:lang w:val="pt-BR"/>
        </w:rPr>
        <w:t>medidas para prevenir</w:t>
      </w:r>
      <w:r w:rsidR="00DD6F74" w:rsidRPr="0038442F">
        <w:rPr>
          <w:rFonts w:ascii="Verdana" w:hAnsi="Verdana"/>
          <w:bCs/>
          <w:sz w:val="20"/>
          <w:szCs w:val="20"/>
          <w:lang w:val="pt-BR"/>
        </w:rPr>
        <w:t>.</w:t>
      </w:r>
      <w:r w:rsidR="001F7635" w:rsidRPr="0038442F">
        <w:rPr>
          <w:rFonts w:ascii="Verdana" w:hAnsi="Verdana"/>
          <w:bCs/>
          <w:sz w:val="20"/>
          <w:szCs w:val="20"/>
          <w:lang w:val="pt-BR"/>
        </w:rPr>
        <w:t xml:space="preserve"> </w:t>
      </w:r>
      <w:r w:rsidR="00DD6F74" w:rsidRPr="0038442F">
        <w:rPr>
          <w:rFonts w:ascii="Verdana" w:hAnsi="Verdana"/>
          <w:bCs/>
          <w:sz w:val="20"/>
          <w:szCs w:val="20"/>
          <w:lang w:val="pt-BR"/>
        </w:rPr>
        <w:t>E</w:t>
      </w:r>
      <w:r w:rsidR="002D3092" w:rsidRPr="0038442F">
        <w:rPr>
          <w:rFonts w:ascii="Verdana" w:hAnsi="Verdana"/>
          <w:bCs/>
          <w:sz w:val="20"/>
          <w:szCs w:val="20"/>
          <w:lang w:val="pt-BR"/>
        </w:rPr>
        <w:t>m</w:t>
      </w:r>
      <w:r w:rsidR="001F7635" w:rsidRPr="0038442F">
        <w:rPr>
          <w:rFonts w:ascii="Verdana" w:hAnsi="Verdana"/>
          <w:bCs/>
          <w:sz w:val="20"/>
          <w:szCs w:val="20"/>
          <w:lang w:val="pt-BR"/>
        </w:rPr>
        <w:t xml:space="preserve"> segundo lugar, a preven</w:t>
      </w:r>
      <w:r w:rsidR="000A1AA8" w:rsidRPr="0038442F">
        <w:rPr>
          <w:rFonts w:ascii="Verdana" w:hAnsi="Verdana"/>
          <w:bCs/>
          <w:sz w:val="20"/>
          <w:szCs w:val="20"/>
          <w:lang w:val="pt-BR"/>
        </w:rPr>
        <w:t>ção</w:t>
      </w:r>
      <w:r w:rsidR="001F7635" w:rsidRPr="0038442F">
        <w:rPr>
          <w:rFonts w:ascii="Verdana" w:hAnsi="Verdana"/>
          <w:bCs/>
          <w:sz w:val="20"/>
          <w:szCs w:val="20"/>
          <w:lang w:val="pt-BR"/>
        </w:rPr>
        <w:t xml:space="preserve"> </w:t>
      </w:r>
      <w:r w:rsidR="00BB665E" w:rsidRPr="0038442F">
        <w:rPr>
          <w:rFonts w:ascii="Verdana" w:hAnsi="Verdana"/>
          <w:bCs/>
          <w:sz w:val="20"/>
          <w:szCs w:val="20"/>
          <w:lang w:val="pt-BR"/>
        </w:rPr>
        <w:t>pode</w:t>
      </w:r>
      <w:r w:rsidR="00407242" w:rsidRPr="0038442F">
        <w:rPr>
          <w:rFonts w:ascii="Verdana" w:hAnsi="Verdana"/>
          <w:bCs/>
          <w:sz w:val="20"/>
          <w:szCs w:val="20"/>
          <w:lang w:val="pt-BR"/>
        </w:rPr>
        <w:t xml:space="preserve"> </w:t>
      </w:r>
      <w:r w:rsidR="001F7635" w:rsidRPr="0038442F">
        <w:rPr>
          <w:rFonts w:ascii="Verdana" w:hAnsi="Verdana"/>
          <w:bCs/>
          <w:sz w:val="20"/>
          <w:szCs w:val="20"/>
          <w:lang w:val="pt-BR"/>
        </w:rPr>
        <w:t>encontrar su</w:t>
      </w:r>
      <w:r w:rsidR="002D3092" w:rsidRPr="0038442F">
        <w:rPr>
          <w:rFonts w:ascii="Verdana" w:hAnsi="Verdana"/>
          <w:bCs/>
          <w:sz w:val="20"/>
          <w:szCs w:val="20"/>
          <w:lang w:val="pt-BR"/>
        </w:rPr>
        <w:t>a</w:t>
      </w:r>
      <w:r w:rsidR="001F7635" w:rsidRPr="0038442F">
        <w:rPr>
          <w:rFonts w:ascii="Verdana" w:hAnsi="Verdana"/>
          <w:bCs/>
          <w:sz w:val="20"/>
          <w:szCs w:val="20"/>
          <w:lang w:val="pt-BR"/>
        </w:rPr>
        <w:t xml:space="preserve"> materializa</w:t>
      </w:r>
      <w:r w:rsidR="000A1AA8" w:rsidRPr="0038442F">
        <w:rPr>
          <w:rFonts w:ascii="Verdana" w:hAnsi="Verdana"/>
          <w:bCs/>
          <w:sz w:val="20"/>
          <w:szCs w:val="20"/>
          <w:lang w:val="pt-BR"/>
        </w:rPr>
        <w:t>ção</w:t>
      </w:r>
      <w:r w:rsidR="001F7635" w:rsidRPr="0038442F">
        <w:rPr>
          <w:rFonts w:ascii="Verdana" w:hAnsi="Verdana"/>
          <w:bCs/>
          <w:sz w:val="20"/>
          <w:szCs w:val="20"/>
          <w:lang w:val="pt-BR"/>
        </w:rPr>
        <w:t xml:space="preserve"> </w:t>
      </w:r>
      <w:r w:rsidR="00022900" w:rsidRPr="0038442F">
        <w:rPr>
          <w:rFonts w:ascii="Verdana" w:hAnsi="Verdana"/>
          <w:bCs/>
          <w:sz w:val="20"/>
          <w:szCs w:val="20"/>
          <w:lang w:val="pt-BR"/>
        </w:rPr>
        <w:t>(</w:t>
      </w:r>
      <w:r w:rsidR="001F7635" w:rsidRPr="0038442F">
        <w:rPr>
          <w:rFonts w:ascii="Verdana" w:hAnsi="Verdana"/>
          <w:bCs/>
          <w:sz w:val="20"/>
          <w:szCs w:val="20"/>
          <w:lang w:val="pt-BR"/>
        </w:rPr>
        <w:t>e</w:t>
      </w:r>
      <w:r w:rsidR="002D3092" w:rsidRPr="0038442F">
        <w:rPr>
          <w:rFonts w:ascii="Verdana" w:hAnsi="Verdana"/>
          <w:bCs/>
          <w:sz w:val="20"/>
          <w:szCs w:val="20"/>
          <w:lang w:val="pt-BR"/>
        </w:rPr>
        <w:t>m</w:t>
      </w:r>
      <w:r w:rsidR="001F7635" w:rsidRPr="0038442F">
        <w:rPr>
          <w:rFonts w:ascii="Verdana" w:hAnsi="Verdana"/>
          <w:bCs/>
          <w:sz w:val="20"/>
          <w:szCs w:val="20"/>
          <w:lang w:val="pt-BR"/>
        </w:rPr>
        <w:t xml:space="preserve"> especial </w:t>
      </w:r>
      <w:r w:rsidR="00751189" w:rsidRPr="0038442F">
        <w:rPr>
          <w:rFonts w:ascii="Verdana" w:hAnsi="Verdana"/>
          <w:bCs/>
          <w:sz w:val="20"/>
          <w:szCs w:val="20"/>
          <w:lang w:val="pt-BR"/>
        </w:rPr>
        <w:t>n</w:t>
      </w:r>
      <w:r w:rsidR="002D3092" w:rsidRPr="0038442F">
        <w:rPr>
          <w:rFonts w:ascii="Verdana" w:hAnsi="Verdana"/>
          <w:bCs/>
          <w:sz w:val="20"/>
          <w:szCs w:val="20"/>
          <w:lang w:val="pt-BR"/>
        </w:rPr>
        <w:t xml:space="preserve">a ação </w:t>
      </w:r>
      <w:r w:rsidR="001F7635" w:rsidRPr="0038442F">
        <w:rPr>
          <w:rFonts w:ascii="Verdana" w:hAnsi="Verdana"/>
          <w:bCs/>
          <w:sz w:val="20"/>
          <w:szCs w:val="20"/>
          <w:lang w:val="pt-BR"/>
        </w:rPr>
        <w:t xml:space="preserve">de </w:t>
      </w:r>
      <w:r w:rsidR="00F11C01" w:rsidRPr="0038442F">
        <w:rPr>
          <w:rFonts w:ascii="Verdana" w:hAnsi="Verdana"/>
          <w:bCs/>
          <w:sz w:val="20"/>
          <w:szCs w:val="20"/>
          <w:lang w:val="pt-BR"/>
        </w:rPr>
        <w:t xml:space="preserve">particulares) </w:t>
      </w:r>
      <w:r w:rsidR="00BF7A10" w:rsidRPr="0038442F">
        <w:rPr>
          <w:rFonts w:ascii="Verdana" w:hAnsi="Verdana"/>
          <w:bCs/>
          <w:sz w:val="20"/>
          <w:szCs w:val="20"/>
          <w:lang w:val="pt-BR"/>
        </w:rPr>
        <w:t xml:space="preserve">na </w:t>
      </w:r>
      <w:r w:rsidR="001F7635" w:rsidRPr="0038442F">
        <w:rPr>
          <w:rFonts w:ascii="Verdana" w:hAnsi="Verdana"/>
          <w:bCs/>
          <w:sz w:val="20"/>
          <w:szCs w:val="20"/>
          <w:lang w:val="pt-BR"/>
        </w:rPr>
        <w:t>fiscaliza</w:t>
      </w:r>
      <w:r w:rsidR="000A1AA8" w:rsidRPr="0038442F">
        <w:rPr>
          <w:rFonts w:ascii="Verdana" w:hAnsi="Verdana"/>
          <w:bCs/>
          <w:sz w:val="20"/>
          <w:szCs w:val="20"/>
          <w:lang w:val="pt-BR"/>
        </w:rPr>
        <w:t>ção</w:t>
      </w:r>
      <w:r w:rsidR="00C321C3" w:rsidRPr="0038442F">
        <w:rPr>
          <w:rFonts w:ascii="Verdana" w:hAnsi="Verdana"/>
          <w:bCs/>
          <w:sz w:val="20"/>
          <w:szCs w:val="20"/>
          <w:lang w:val="pt-BR"/>
        </w:rPr>
        <w:t>. E</w:t>
      </w:r>
      <w:r w:rsidR="002D3092" w:rsidRPr="0038442F">
        <w:rPr>
          <w:rFonts w:ascii="Verdana" w:hAnsi="Verdana"/>
          <w:bCs/>
          <w:sz w:val="20"/>
          <w:szCs w:val="20"/>
          <w:lang w:val="pt-BR"/>
        </w:rPr>
        <w:t xml:space="preserve">m terceiro </w:t>
      </w:r>
      <w:r w:rsidR="00C321C3" w:rsidRPr="0038442F">
        <w:rPr>
          <w:rFonts w:ascii="Verdana" w:hAnsi="Verdana"/>
          <w:bCs/>
          <w:sz w:val="20"/>
          <w:szCs w:val="20"/>
          <w:lang w:val="pt-BR"/>
        </w:rPr>
        <w:t>lugar,</w:t>
      </w:r>
      <w:r w:rsidR="001F7635" w:rsidRPr="0038442F">
        <w:rPr>
          <w:rFonts w:ascii="Verdana" w:hAnsi="Verdana"/>
          <w:bCs/>
          <w:sz w:val="20"/>
          <w:szCs w:val="20"/>
          <w:lang w:val="pt-BR"/>
        </w:rPr>
        <w:t xml:space="preserve"> a preven</w:t>
      </w:r>
      <w:r w:rsidR="000A1AA8" w:rsidRPr="0038442F">
        <w:rPr>
          <w:rFonts w:ascii="Verdana" w:hAnsi="Verdana"/>
          <w:bCs/>
          <w:sz w:val="20"/>
          <w:szCs w:val="20"/>
          <w:lang w:val="pt-BR"/>
        </w:rPr>
        <w:t>ção</w:t>
      </w:r>
      <w:r w:rsidR="001F7635" w:rsidRPr="0038442F">
        <w:rPr>
          <w:rFonts w:ascii="Verdana" w:hAnsi="Verdana"/>
          <w:bCs/>
          <w:sz w:val="20"/>
          <w:szCs w:val="20"/>
          <w:lang w:val="pt-BR"/>
        </w:rPr>
        <w:t xml:space="preserve"> </w:t>
      </w:r>
      <w:r w:rsidR="000450DD" w:rsidRPr="0038442F">
        <w:rPr>
          <w:rFonts w:ascii="Verdana" w:hAnsi="Verdana"/>
          <w:bCs/>
          <w:sz w:val="20"/>
          <w:szCs w:val="20"/>
          <w:lang w:val="pt-BR"/>
        </w:rPr>
        <w:t xml:space="preserve">deve </w:t>
      </w:r>
      <w:r w:rsidR="002D3092" w:rsidRPr="0038442F">
        <w:rPr>
          <w:rFonts w:ascii="Verdana" w:hAnsi="Verdana"/>
          <w:bCs/>
          <w:sz w:val="20"/>
          <w:szCs w:val="20"/>
          <w:lang w:val="pt-BR"/>
        </w:rPr>
        <w:t xml:space="preserve">se concentrar na </w:t>
      </w:r>
      <w:r w:rsidR="001F7635" w:rsidRPr="0038442F">
        <w:rPr>
          <w:rFonts w:ascii="Verdana" w:hAnsi="Verdana"/>
          <w:bCs/>
          <w:sz w:val="20"/>
          <w:szCs w:val="20"/>
          <w:lang w:val="pt-BR"/>
        </w:rPr>
        <w:t>“redu</w:t>
      </w:r>
      <w:r w:rsidR="000A1AA8" w:rsidRPr="0038442F">
        <w:rPr>
          <w:rFonts w:ascii="Verdana" w:hAnsi="Verdana"/>
          <w:bCs/>
          <w:sz w:val="20"/>
          <w:szCs w:val="20"/>
          <w:lang w:val="pt-BR"/>
        </w:rPr>
        <w:t>ção</w:t>
      </w:r>
      <w:r w:rsidR="001F7635" w:rsidRPr="0038442F">
        <w:rPr>
          <w:rFonts w:ascii="Verdana" w:hAnsi="Verdana"/>
          <w:bCs/>
          <w:sz w:val="20"/>
          <w:szCs w:val="20"/>
          <w:lang w:val="pt-BR"/>
        </w:rPr>
        <w:t xml:space="preserve"> de </w:t>
      </w:r>
      <w:r w:rsidR="007C2271" w:rsidRPr="0038442F">
        <w:rPr>
          <w:rFonts w:ascii="Verdana" w:hAnsi="Verdana"/>
          <w:bCs/>
          <w:sz w:val="20"/>
          <w:szCs w:val="20"/>
          <w:lang w:val="pt-BR"/>
        </w:rPr>
        <w:t>riscos</w:t>
      </w:r>
      <w:r w:rsidR="00407242" w:rsidRPr="0038442F">
        <w:rPr>
          <w:rFonts w:ascii="Verdana" w:hAnsi="Verdana"/>
          <w:bCs/>
          <w:sz w:val="20"/>
          <w:szCs w:val="20"/>
          <w:lang w:val="pt-BR"/>
        </w:rPr>
        <w:t xml:space="preserve"> </w:t>
      </w:r>
      <w:r w:rsidR="001F7635" w:rsidRPr="0038442F">
        <w:rPr>
          <w:rFonts w:ascii="Verdana" w:hAnsi="Verdana"/>
          <w:bCs/>
          <w:sz w:val="20"/>
          <w:szCs w:val="20"/>
          <w:lang w:val="pt-BR"/>
        </w:rPr>
        <w:t xml:space="preserve">inerentes </w:t>
      </w:r>
      <w:r w:rsidR="00CA30C5" w:rsidRPr="0038442F">
        <w:rPr>
          <w:rFonts w:ascii="Verdana" w:hAnsi="Verdana"/>
          <w:bCs/>
          <w:sz w:val="20"/>
          <w:szCs w:val="20"/>
          <w:lang w:val="pt-BR"/>
        </w:rPr>
        <w:t>ao trabalho</w:t>
      </w:r>
      <w:r w:rsidR="00407242" w:rsidRPr="0038442F">
        <w:rPr>
          <w:rFonts w:ascii="Verdana" w:hAnsi="Verdana"/>
          <w:bCs/>
          <w:sz w:val="20"/>
          <w:szCs w:val="20"/>
          <w:lang w:val="pt-BR"/>
        </w:rPr>
        <w:t xml:space="preserve"> </w:t>
      </w:r>
      <w:r w:rsidR="002D3092" w:rsidRPr="0038442F">
        <w:rPr>
          <w:rFonts w:ascii="Verdana" w:hAnsi="Verdana"/>
          <w:bCs/>
          <w:sz w:val="20"/>
          <w:szCs w:val="20"/>
          <w:lang w:val="pt-BR"/>
        </w:rPr>
        <w:t>e</w:t>
      </w:r>
      <w:r w:rsidR="001F7635" w:rsidRPr="0038442F">
        <w:rPr>
          <w:rFonts w:ascii="Verdana" w:hAnsi="Verdana"/>
          <w:bCs/>
          <w:sz w:val="20"/>
          <w:szCs w:val="20"/>
          <w:lang w:val="pt-BR"/>
        </w:rPr>
        <w:t xml:space="preserve"> de acidentes </w:t>
      </w:r>
      <w:r w:rsidR="002D3092" w:rsidRPr="0038442F">
        <w:rPr>
          <w:rFonts w:ascii="Verdana" w:hAnsi="Verdana"/>
          <w:bCs/>
          <w:sz w:val="20"/>
          <w:szCs w:val="20"/>
          <w:lang w:val="pt-BR"/>
        </w:rPr>
        <w:t>de trabalho</w:t>
      </w:r>
      <w:r w:rsidR="001F7635" w:rsidRPr="0038442F">
        <w:rPr>
          <w:rFonts w:ascii="Verdana" w:hAnsi="Verdana"/>
          <w:bCs/>
          <w:sz w:val="20"/>
          <w:szCs w:val="20"/>
          <w:lang w:val="pt-BR"/>
        </w:rPr>
        <w:t>”</w:t>
      </w:r>
      <w:r w:rsidR="00DD6F74" w:rsidRPr="0038442F">
        <w:rPr>
          <w:rFonts w:ascii="Verdana" w:hAnsi="Verdana"/>
          <w:bCs/>
          <w:sz w:val="20"/>
          <w:szCs w:val="20"/>
          <w:lang w:val="pt-BR"/>
        </w:rPr>
        <w:t>.</w:t>
      </w:r>
      <w:r w:rsidR="001F7635" w:rsidRPr="0038442F">
        <w:rPr>
          <w:rFonts w:ascii="Verdana" w:hAnsi="Verdana"/>
          <w:bCs/>
          <w:sz w:val="20"/>
          <w:szCs w:val="20"/>
          <w:lang w:val="pt-BR"/>
        </w:rPr>
        <w:t xml:space="preserve"> </w:t>
      </w:r>
      <w:r w:rsidR="00DD6F74" w:rsidRPr="0038442F">
        <w:rPr>
          <w:rFonts w:ascii="Verdana" w:hAnsi="Verdana"/>
          <w:bCs/>
          <w:sz w:val="20"/>
          <w:szCs w:val="20"/>
          <w:lang w:val="pt-BR"/>
        </w:rPr>
        <w:t>E</w:t>
      </w:r>
      <w:r w:rsidR="002D3092" w:rsidRPr="0038442F">
        <w:rPr>
          <w:rFonts w:ascii="Verdana" w:hAnsi="Verdana"/>
          <w:bCs/>
          <w:sz w:val="20"/>
          <w:szCs w:val="20"/>
          <w:lang w:val="pt-BR"/>
        </w:rPr>
        <w:t>m</w:t>
      </w:r>
      <w:r w:rsidR="001F7635" w:rsidRPr="0038442F">
        <w:rPr>
          <w:rFonts w:ascii="Verdana" w:hAnsi="Verdana"/>
          <w:bCs/>
          <w:sz w:val="20"/>
          <w:szCs w:val="20"/>
          <w:lang w:val="pt-BR"/>
        </w:rPr>
        <w:t xml:space="preserve"> </w:t>
      </w:r>
      <w:r w:rsidR="002D3092" w:rsidRPr="0038442F">
        <w:rPr>
          <w:rFonts w:ascii="Verdana" w:hAnsi="Verdana"/>
          <w:bCs/>
          <w:sz w:val="20"/>
          <w:szCs w:val="20"/>
          <w:lang w:val="pt-BR"/>
        </w:rPr>
        <w:t>q</w:t>
      </w:r>
      <w:r w:rsidR="001F7635" w:rsidRPr="0038442F">
        <w:rPr>
          <w:rFonts w:ascii="Verdana" w:hAnsi="Verdana"/>
          <w:bCs/>
          <w:sz w:val="20"/>
          <w:szCs w:val="20"/>
          <w:lang w:val="pt-BR"/>
        </w:rPr>
        <w:t xml:space="preserve">uarto lugar, os </w:t>
      </w:r>
      <w:r w:rsidR="002D3092" w:rsidRPr="0038442F">
        <w:rPr>
          <w:rFonts w:ascii="Verdana" w:hAnsi="Verdana"/>
          <w:bCs/>
          <w:sz w:val="20"/>
          <w:szCs w:val="20"/>
          <w:lang w:val="pt-BR"/>
        </w:rPr>
        <w:t xml:space="preserve">riscos </w:t>
      </w:r>
      <w:r w:rsidR="001F7635" w:rsidRPr="0038442F">
        <w:rPr>
          <w:rFonts w:ascii="Verdana" w:hAnsi="Verdana"/>
          <w:bCs/>
          <w:sz w:val="20"/>
          <w:szCs w:val="20"/>
          <w:lang w:val="pt-BR"/>
        </w:rPr>
        <w:t xml:space="preserve">que especialmente </w:t>
      </w:r>
      <w:r w:rsidR="009612FB" w:rsidRPr="0038442F">
        <w:rPr>
          <w:rFonts w:ascii="Verdana" w:hAnsi="Verdana"/>
          <w:bCs/>
          <w:sz w:val="20"/>
          <w:szCs w:val="20"/>
          <w:lang w:val="pt-BR"/>
        </w:rPr>
        <w:t xml:space="preserve">devem </w:t>
      </w:r>
      <w:r w:rsidR="00084CA4" w:rsidRPr="0038442F">
        <w:rPr>
          <w:rFonts w:ascii="Verdana" w:hAnsi="Verdana"/>
          <w:bCs/>
          <w:sz w:val="20"/>
          <w:szCs w:val="20"/>
          <w:lang w:val="pt-BR"/>
        </w:rPr>
        <w:t xml:space="preserve">ser reduzidos </w:t>
      </w:r>
      <w:r w:rsidR="001F7635" w:rsidRPr="0038442F">
        <w:rPr>
          <w:rFonts w:ascii="Verdana" w:hAnsi="Verdana"/>
          <w:bCs/>
          <w:sz w:val="20"/>
          <w:szCs w:val="20"/>
          <w:lang w:val="pt-BR"/>
        </w:rPr>
        <w:t>s</w:t>
      </w:r>
      <w:r w:rsidR="002D3092" w:rsidRPr="0038442F">
        <w:rPr>
          <w:rFonts w:ascii="Verdana" w:hAnsi="Verdana"/>
          <w:bCs/>
          <w:sz w:val="20"/>
          <w:szCs w:val="20"/>
          <w:lang w:val="pt-BR"/>
        </w:rPr>
        <w:t xml:space="preserve">ão aqueles que impliquem </w:t>
      </w:r>
      <w:r w:rsidR="00FD2BD2" w:rsidRPr="0038442F">
        <w:rPr>
          <w:rFonts w:ascii="Verdana" w:hAnsi="Verdana"/>
          <w:bCs/>
          <w:sz w:val="20"/>
          <w:szCs w:val="20"/>
          <w:lang w:val="pt-BR"/>
        </w:rPr>
        <w:t>“</w:t>
      </w:r>
      <w:r w:rsidR="001F7635" w:rsidRPr="0038442F">
        <w:rPr>
          <w:rFonts w:ascii="Verdana" w:hAnsi="Verdana"/>
          <w:bCs/>
          <w:sz w:val="20"/>
          <w:szCs w:val="20"/>
          <w:lang w:val="pt-BR"/>
        </w:rPr>
        <w:t>ris</w:t>
      </w:r>
      <w:r w:rsidR="002D3092" w:rsidRPr="0038442F">
        <w:rPr>
          <w:rFonts w:ascii="Verdana" w:hAnsi="Verdana"/>
          <w:bCs/>
          <w:sz w:val="20"/>
          <w:szCs w:val="20"/>
          <w:lang w:val="pt-BR"/>
        </w:rPr>
        <w:t>c</w:t>
      </w:r>
      <w:r w:rsidR="001F7635" w:rsidRPr="0038442F">
        <w:rPr>
          <w:rFonts w:ascii="Verdana" w:hAnsi="Verdana"/>
          <w:bCs/>
          <w:sz w:val="20"/>
          <w:szCs w:val="20"/>
          <w:lang w:val="pt-BR"/>
        </w:rPr>
        <w:t>os significativos</w:t>
      </w:r>
      <w:r w:rsidR="00FD2BD2" w:rsidRPr="0038442F">
        <w:rPr>
          <w:rFonts w:ascii="Verdana" w:hAnsi="Verdana"/>
          <w:bCs/>
          <w:sz w:val="20"/>
          <w:szCs w:val="20"/>
          <w:lang w:val="pt-BR"/>
        </w:rPr>
        <w:t>”</w:t>
      </w:r>
      <w:r w:rsidR="001F7635" w:rsidRPr="0038442F">
        <w:rPr>
          <w:rFonts w:ascii="Verdana" w:hAnsi="Verdana"/>
          <w:bCs/>
          <w:sz w:val="20"/>
          <w:szCs w:val="20"/>
          <w:lang w:val="pt-BR"/>
        </w:rPr>
        <w:t xml:space="preserve"> par</w:t>
      </w:r>
      <w:r w:rsidR="002D3092" w:rsidRPr="0038442F">
        <w:rPr>
          <w:rFonts w:ascii="Verdana" w:hAnsi="Verdana"/>
          <w:bCs/>
          <w:sz w:val="20"/>
          <w:szCs w:val="20"/>
          <w:lang w:val="pt-BR"/>
        </w:rPr>
        <w:t>a a</w:t>
      </w:r>
      <w:r w:rsidR="008806F8" w:rsidRPr="0038442F">
        <w:rPr>
          <w:rFonts w:ascii="Verdana" w:hAnsi="Verdana"/>
          <w:bCs/>
          <w:sz w:val="20"/>
          <w:szCs w:val="20"/>
          <w:lang w:val="pt-BR"/>
        </w:rPr>
        <w:t xml:space="preserve"> vida</w:t>
      </w:r>
      <w:r w:rsidR="00407242" w:rsidRPr="0038442F">
        <w:rPr>
          <w:rFonts w:ascii="Verdana" w:hAnsi="Verdana"/>
          <w:bCs/>
          <w:sz w:val="20"/>
          <w:szCs w:val="20"/>
          <w:lang w:val="pt-BR"/>
        </w:rPr>
        <w:t xml:space="preserve"> </w:t>
      </w:r>
      <w:r w:rsidR="001F7635" w:rsidRPr="0038442F">
        <w:rPr>
          <w:rFonts w:ascii="Verdana" w:hAnsi="Verdana"/>
          <w:bCs/>
          <w:sz w:val="20"/>
          <w:szCs w:val="20"/>
          <w:lang w:val="pt-BR"/>
        </w:rPr>
        <w:t xml:space="preserve">e </w:t>
      </w:r>
      <w:r w:rsidR="002D3092" w:rsidRPr="0038442F">
        <w:rPr>
          <w:rFonts w:ascii="Verdana" w:hAnsi="Verdana"/>
          <w:bCs/>
          <w:sz w:val="20"/>
          <w:szCs w:val="20"/>
          <w:lang w:val="pt-BR"/>
        </w:rPr>
        <w:t xml:space="preserve">a </w:t>
      </w:r>
      <w:r w:rsidR="008806F8" w:rsidRPr="0038442F">
        <w:rPr>
          <w:rFonts w:ascii="Verdana" w:hAnsi="Verdana"/>
          <w:bCs/>
          <w:sz w:val="20"/>
          <w:szCs w:val="20"/>
          <w:lang w:val="pt-BR"/>
        </w:rPr>
        <w:t>integridade</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das pessoas</w:t>
      </w:r>
      <w:r w:rsidR="00734CA0" w:rsidRPr="0038442F">
        <w:rPr>
          <w:rFonts w:ascii="Verdana" w:hAnsi="Verdana"/>
          <w:bCs/>
          <w:sz w:val="20"/>
          <w:szCs w:val="20"/>
          <w:lang w:val="pt-BR"/>
        </w:rPr>
        <w:t>.</w:t>
      </w:r>
      <w:r w:rsidR="00B35C12" w:rsidRPr="0038442F">
        <w:rPr>
          <w:rStyle w:val="Refdenotaalpie"/>
          <w:rFonts w:ascii="Verdana" w:hAnsi="Verdana"/>
          <w:bCs/>
          <w:sz w:val="20"/>
          <w:szCs w:val="20"/>
          <w:lang w:val="pt-BR"/>
        </w:rPr>
        <w:footnoteReference w:id="39"/>
      </w:r>
      <w:r w:rsidR="00B35C12" w:rsidRPr="0038442F">
        <w:rPr>
          <w:rFonts w:ascii="Verdana" w:hAnsi="Verdana"/>
          <w:bCs/>
          <w:sz w:val="20"/>
          <w:szCs w:val="20"/>
          <w:lang w:val="pt-BR"/>
        </w:rPr>
        <w:t xml:space="preserve"> </w:t>
      </w:r>
    </w:p>
    <w:p w14:paraId="1A17F9C5" w14:textId="77777777" w:rsidR="001F7635" w:rsidRPr="0038442F" w:rsidRDefault="001F7635" w:rsidP="00A857CB">
      <w:pPr>
        <w:pStyle w:val="Prrafodelista"/>
        <w:spacing w:line="240" w:lineRule="auto"/>
        <w:ind w:left="0"/>
        <w:jc w:val="both"/>
        <w:rPr>
          <w:rFonts w:ascii="Verdana" w:hAnsi="Verdana"/>
          <w:b/>
          <w:sz w:val="20"/>
          <w:szCs w:val="20"/>
          <w:lang w:val="pt-BR"/>
        </w:rPr>
      </w:pPr>
    </w:p>
    <w:p w14:paraId="24D5BF34" w14:textId="14D09559" w:rsidR="000F7EA3" w:rsidRPr="0038442F" w:rsidRDefault="00685AC6" w:rsidP="00685AC6">
      <w:pPr>
        <w:pStyle w:val="Prrafodelista"/>
        <w:spacing w:line="240" w:lineRule="auto"/>
        <w:ind w:left="0"/>
        <w:jc w:val="both"/>
        <w:rPr>
          <w:rFonts w:ascii="Verdana" w:hAnsi="Verdana"/>
          <w:b/>
          <w:sz w:val="20"/>
          <w:szCs w:val="20"/>
          <w:lang w:val="pt-BR"/>
        </w:rPr>
      </w:pPr>
      <w:r w:rsidRPr="0038442F">
        <w:rPr>
          <w:rFonts w:ascii="Verdana" w:hAnsi="Verdana"/>
          <w:bCs/>
          <w:sz w:val="20"/>
          <w:szCs w:val="20"/>
          <w:lang w:val="pt-BR"/>
        </w:rPr>
        <w:t xml:space="preserve">31. </w:t>
      </w:r>
      <w:r w:rsidRPr="0038442F">
        <w:rPr>
          <w:rFonts w:ascii="Verdana" w:hAnsi="Verdana"/>
          <w:bCs/>
          <w:sz w:val="20"/>
          <w:szCs w:val="20"/>
          <w:lang w:val="pt-BR"/>
        </w:rPr>
        <w:tab/>
      </w:r>
      <w:r w:rsidR="00596FF9" w:rsidRPr="0038442F">
        <w:rPr>
          <w:rFonts w:ascii="Verdana" w:hAnsi="Verdana"/>
          <w:bCs/>
          <w:sz w:val="20"/>
          <w:szCs w:val="20"/>
          <w:lang w:val="pt-BR"/>
        </w:rPr>
        <w:t>Parte d</w:t>
      </w:r>
      <w:r w:rsidR="002D3092" w:rsidRPr="0038442F">
        <w:rPr>
          <w:rFonts w:ascii="Verdana" w:hAnsi="Verdana"/>
          <w:bCs/>
          <w:sz w:val="20"/>
          <w:szCs w:val="20"/>
          <w:lang w:val="pt-BR"/>
        </w:rPr>
        <w:t xml:space="preserve">o conteúdo </w:t>
      </w:r>
      <w:r w:rsidR="00596FF9" w:rsidRPr="0038442F">
        <w:rPr>
          <w:rFonts w:ascii="Verdana" w:hAnsi="Verdana"/>
          <w:bCs/>
          <w:sz w:val="20"/>
          <w:szCs w:val="20"/>
          <w:lang w:val="pt-BR"/>
        </w:rPr>
        <w:t xml:space="preserve">que </w:t>
      </w:r>
      <w:r w:rsidR="008806F8" w:rsidRPr="0038442F">
        <w:rPr>
          <w:rFonts w:ascii="Verdana" w:hAnsi="Verdana"/>
          <w:bCs/>
          <w:sz w:val="20"/>
          <w:szCs w:val="20"/>
          <w:lang w:val="pt-BR"/>
        </w:rPr>
        <w:t xml:space="preserve">a Corte </w:t>
      </w:r>
      <w:r w:rsidR="00FD2BD2" w:rsidRPr="0038442F">
        <w:rPr>
          <w:rFonts w:ascii="Verdana" w:hAnsi="Verdana"/>
          <w:bCs/>
          <w:sz w:val="20"/>
          <w:szCs w:val="20"/>
          <w:lang w:val="pt-BR"/>
        </w:rPr>
        <w:t xml:space="preserve">IDH </w:t>
      </w:r>
      <w:r w:rsidR="00596FF9" w:rsidRPr="0038442F">
        <w:rPr>
          <w:rFonts w:ascii="Verdana" w:hAnsi="Verdana"/>
          <w:bCs/>
          <w:sz w:val="20"/>
          <w:szCs w:val="20"/>
          <w:lang w:val="pt-BR"/>
        </w:rPr>
        <w:t>identific</w:t>
      </w:r>
      <w:r w:rsidR="002D3092" w:rsidRPr="0038442F">
        <w:rPr>
          <w:rFonts w:ascii="Verdana" w:hAnsi="Verdana"/>
          <w:bCs/>
          <w:sz w:val="20"/>
          <w:szCs w:val="20"/>
          <w:lang w:val="pt-BR"/>
        </w:rPr>
        <w:t xml:space="preserve">ou </w:t>
      </w:r>
      <w:r w:rsidR="00596FF9" w:rsidRPr="0038442F">
        <w:rPr>
          <w:rFonts w:ascii="Verdana" w:hAnsi="Verdana"/>
          <w:bCs/>
          <w:sz w:val="20"/>
          <w:szCs w:val="20"/>
          <w:lang w:val="pt-BR"/>
        </w:rPr>
        <w:t>como aplic</w:t>
      </w:r>
      <w:r w:rsidR="00360928" w:rsidRPr="0038442F">
        <w:rPr>
          <w:rFonts w:ascii="Verdana" w:hAnsi="Verdana"/>
          <w:bCs/>
          <w:sz w:val="20"/>
          <w:szCs w:val="20"/>
          <w:lang w:val="pt-BR"/>
        </w:rPr>
        <w:t xml:space="preserve">ável </w:t>
      </w:r>
      <w:r w:rsidR="00751189" w:rsidRPr="0038442F">
        <w:rPr>
          <w:rFonts w:ascii="Verdana" w:hAnsi="Verdana"/>
          <w:bCs/>
          <w:sz w:val="20"/>
          <w:szCs w:val="20"/>
          <w:lang w:val="pt-BR"/>
        </w:rPr>
        <w:t xml:space="preserve">no </w:t>
      </w:r>
      <w:r w:rsidR="00596FF9" w:rsidRPr="0038442F">
        <w:rPr>
          <w:rFonts w:ascii="Verdana" w:hAnsi="Verdana"/>
          <w:bCs/>
          <w:sz w:val="20"/>
          <w:szCs w:val="20"/>
          <w:lang w:val="pt-BR"/>
        </w:rPr>
        <w:t xml:space="preserve">presente caso </w:t>
      </w:r>
      <w:r w:rsidR="00AA449C">
        <w:rPr>
          <w:rFonts w:ascii="Verdana" w:hAnsi="Verdana"/>
          <w:bCs/>
          <w:sz w:val="20"/>
          <w:szCs w:val="20"/>
          <w:lang w:val="pt-BR"/>
        </w:rPr>
        <w:t>provém</w:t>
      </w:r>
      <w:r w:rsidR="00B966F5" w:rsidRPr="0038442F">
        <w:rPr>
          <w:rFonts w:ascii="Verdana" w:hAnsi="Verdana"/>
          <w:bCs/>
          <w:sz w:val="20"/>
          <w:szCs w:val="20"/>
          <w:lang w:val="pt-BR"/>
        </w:rPr>
        <w:t xml:space="preserve"> </w:t>
      </w:r>
      <w:r w:rsidR="00360928" w:rsidRPr="0038442F">
        <w:rPr>
          <w:rFonts w:ascii="Verdana" w:hAnsi="Verdana"/>
          <w:bCs/>
          <w:sz w:val="20"/>
          <w:szCs w:val="20"/>
          <w:lang w:val="pt-BR"/>
        </w:rPr>
        <w:t xml:space="preserve">do </w:t>
      </w:r>
      <w:r w:rsidR="00B966F5">
        <w:rPr>
          <w:rFonts w:ascii="Verdana" w:hAnsi="Verdana"/>
          <w:bCs/>
          <w:sz w:val="20"/>
          <w:szCs w:val="20"/>
          <w:lang w:val="pt-BR"/>
        </w:rPr>
        <w:t>indicado nas</w:t>
      </w:r>
      <w:r w:rsidR="00360928" w:rsidRPr="0038442F">
        <w:rPr>
          <w:rFonts w:ascii="Verdana" w:hAnsi="Verdana"/>
          <w:bCs/>
          <w:sz w:val="20"/>
          <w:szCs w:val="20"/>
          <w:lang w:val="pt-BR"/>
        </w:rPr>
        <w:t xml:space="preserve"> Convenções </w:t>
      </w:r>
      <w:r w:rsidR="00596FF9" w:rsidRPr="0038442F">
        <w:rPr>
          <w:rFonts w:ascii="Verdana" w:hAnsi="Verdana"/>
          <w:bCs/>
          <w:sz w:val="20"/>
          <w:szCs w:val="20"/>
          <w:lang w:val="pt-BR"/>
        </w:rPr>
        <w:t>N</w:t>
      </w:r>
      <w:r w:rsidR="00596FF9" w:rsidRPr="0038442F">
        <w:rPr>
          <w:rFonts w:ascii="Verdana" w:hAnsi="Verdana"/>
          <w:bCs/>
          <w:sz w:val="20"/>
          <w:szCs w:val="20"/>
          <w:vertAlign w:val="superscript"/>
          <w:lang w:val="pt-BR"/>
        </w:rPr>
        <w:t>o.</w:t>
      </w:r>
      <w:r w:rsidR="00596FF9" w:rsidRPr="0038442F">
        <w:rPr>
          <w:rFonts w:ascii="Verdana" w:hAnsi="Verdana"/>
          <w:bCs/>
          <w:sz w:val="20"/>
          <w:szCs w:val="20"/>
          <w:lang w:val="pt-BR"/>
        </w:rPr>
        <w:t xml:space="preserve"> 81 </w:t>
      </w:r>
      <w:r w:rsidR="00360928" w:rsidRPr="0038442F">
        <w:rPr>
          <w:rFonts w:ascii="Verdana" w:hAnsi="Verdana"/>
          <w:bCs/>
          <w:sz w:val="20"/>
          <w:szCs w:val="20"/>
          <w:lang w:val="pt-BR"/>
        </w:rPr>
        <w:t>e</w:t>
      </w:r>
      <w:r w:rsidR="00596FF9" w:rsidRPr="0038442F">
        <w:rPr>
          <w:rFonts w:ascii="Verdana" w:hAnsi="Verdana"/>
          <w:bCs/>
          <w:sz w:val="20"/>
          <w:szCs w:val="20"/>
          <w:lang w:val="pt-BR"/>
        </w:rPr>
        <w:t xml:space="preserve"> N</w:t>
      </w:r>
      <w:r w:rsidR="00596FF9" w:rsidRPr="0038442F">
        <w:rPr>
          <w:rFonts w:ascii="Verdana" w:hAnsi="Verdana"/>
          <w:bCs/>
          <w:sz w:val="20"/>
          <w:szCs w:val="20"/>
          <w:vertAlign w:val="superscript"/>
          <w:lang w:val="pt-BR"/>
        </w:rPr>
        <w:t>o.</w:t>
      </w:r>
      <w:r w:rsidR="00596FF9" w:rsidRPr="0038442F">
        <w:rPr>
          <w:rFonts w:ascii="Verdana" w:hAnsi="Verdana"/>
          <w:bCs/>
          <w:sz w:val="20"/>
          <w:szCs w:val="20"/>
          <w:lang w:val="pt-BR"/>
        </w:rPr>
        <w:t xml:space="preserve"> 155 </w:t>
      </w:r>
      <w:r w:rsidR="00C92762" w:rsidRPr="0038442F">
        <w:rPr>
          <w:rFonts w:ascii="Verdana" w:hAnsi="Verdana"/>
          <w:bCs/>
          <w:sz w:val="20"/>
          <w:szCs w:val="20"/>
          <w:lang w:val="pt-BR"/>
        </w:rPr>
        <w:t xml:space="preserve">da </w:t>
      </w:r>
      <w:r w:rsidR="00596FF9" w:rsidRPr="0038442F">
        <w:rPr>
          <w:rFonts w:ascii="Verdana" w:hAnsi="Verdana"/>
          <w:bCs/>
          <w:sz w:val="20"/>
          <w:szCs w:val="20"/>
          <w:lang w:val="pt-BR"/>
        </w:rPr>
        <w:t>Organiza</w:t>
      </w:r>
      <w:r w:rsidR="000A1AA8" w:rsidRPr="0038442F">
        <w:rPr>
          <w:rFonts w:ascii="Verdana" w:hAnsi="Verdana"/>
          <w:bCs/>
          <w:sz w:val="20"/>
          <w:szCs w:val="20"/>
          <w:lang w:val="pt-BR"/>
        </w:rPr>
        <w:t>ção</w:t>
      </w:r>
      <w:r w:rsidR="00596FF9" w:rsidRPr="0038442F">
        <w:rPr>
          <w:rFonts w:ascii="Verdana" w:hAnsi="Verdana"/>
          <w:bCs/>
          <w:sz w:val="20"/>
          <w:szCs w:val="20"/>
          <w:lang w:val="pt-BR"/>
        </w:rPr>
        <w:t xml:space="preserve"> Internacional d</w:t>
      </w:r>
      <w:r w:rsidR="00360928" w:rsidRPr="0038442F">
        <w:rPr>
          <w:rFonts w:ascii="Verdana" w:hAnsi="Verdana"/>
          <w:bCs/>
          <w:sz w:val="20"/>
          <w:szCs w:val="20"/>
          <w:lang w:val="pt-BR"/>
        </w:rPr>
        <w:t>o</w:t>
      </w:r>
      <w:r w:rsidR="00596FF9" w:rsidRPr="0038442F">
        <w:rPr>
          <w:rFonts w:ascii="Verdana" w:hAnsi="Verdana"/>
          <w:bCs/>
          <w:sz w:val="20"/>
          <w:szCs w:val="20"/>
          <w:lang w:val="pt-BR"/>
        </w:rPr>
        <w:t xml:space="preserve"> </w:t>
      </w:r>
      <w:r w:rsidR="00BC6FC3" w:rsidRPr="0038442F">
        <w:rPr>
          <w:rFonts w:ascii="Verdana" w:hAnsi="Verdana"/>
          <w:bCs/>
          <w:sz w:val="20"/>
          <w:szCs w:val="20"/>
          <w:lang w:val="pt-BR"/>
        </w:rPr>
        <w:t>Trabalho</w:t>
      </w:r>
      <w:r w:rsidR="00596FF9" w:rsidRPr="0038442F">
        <w:rPr>
          <w:rFonts w:ascii="Verdana" w:hAnsi="Verdana"/>
          <w:bCs/>
          <w:sz w:val="20"/>
          <w:szCs w:val="20"/>
          <w:lang w:val="pt-BR"/>
        </w:rPr>
        <w:t xml:space="preserve">, </w:t>
      </w:r>
      <w:r w:rsidR="00360928" w:rsidRPr="0038442F">
        <w:rPr>
          <w:rFonts w:ascii="Verdana" w:hAnsi="Verdana"/>
          <w:bCs/>
          <w:sz w:val="20"/>
          <w:szCs w:val="20"/>
          <w:lang w:val="pt-BR"/>
        </w:rPr>
        <w:t xml:space="preserve">mas em </w:t>
      </w:r>
      <w:r w:rsidR="00596FF9" w:rsidRPr="0038442F">
        <w:rPr>
          <w:rFonts w:ascii="Verdana" w:hAnsi="Verdana"/>
          <w:bCs/>
          <w:sz w:val="20"/>
          <w:szCs w:val="20"/>
          <w:lang w:val="pt-BR"/>
        </w:rPr>
        <w:t xml:space="preserve">especial </w:t>
      </w:r>
      <w:r w:rsidR="00C92762" w:rsidRPr="0038442F">
        <w:rPr>
          <w:rFonts w:ascii="Verdana" w:hAnsi="Verdana"/>
          <w:bCs/>
          <w:sz w:val="20"/>
          <w:szCs w:val="20"/>
          <w:lang w:val="pt-BR"/>
        </w:rPr>
        <w:t xml:space="preserve">das </w:t>
      </w:r>
      <w:r w:rsidR="00596FF9" w:rsidRPr="0038442F">
        <w:rPr>
          <w:rFonts w:ascii="Verdana" w:hAnsi="Verdana"/>
          <w:bCs/>
          <w:sz w:val="20"/>
          <w:szCs w:val="20"/>
          <w:lang w:val="pt-BR"/>
        </w:rPr>
        <w:t>interpreta</w:t>
      </w:r>
      <w:r w:rsidR="000A1AA8" w:rsidRPr="0038442F">
        <w:rPr>
          <w:rFonts w:ascii="Verdana" w:hAnsi="Verdana"/>
          <w:bCs/>
          <w:sz w:val="20"/>
          <w:szCs w:val="20"/>
          <w:lang w:val="pt-BR"/>
        </w:rPr>
        <w:t>ções</w:t>
      </w:r>
      <w:r w:rsidR="00596FF9" w:rsidRPr="0038442F">
        <w:rPr>
          <w:rFonts w:ascii="Verdana" w:hAnsi="Verdana"/>
          <w:bCs/>
          <w:sz w:val="20"/>
          <w:szCs w:val="20"/>
          <w:lang w:val="pt-BR"/>
        </w:rPr>
        <w:t xml:space="preserve"> </w:t>
      </w:r>
      <w:r w:rsidR="00360928" w:rsidRPr="0038442F">
        <w:rPr>
          <w:rFonts w:ascii="Verdana" w:hAnsi="Verdana"/>
          <w:bCs/>
          <w:sz w:val="20"/>
          <w:szCs w:val="20"/>
          <w:lang w:val="pt-BR"/>
        </w:rPr>
        <w:t>a que procedeu o Comitê</w:t>
      </w:r>
      <w:r w:rsidR="00407242" w:rsidRPr="0038442F">
        <w:rPr>
          <w:rFonts w:ascii="Verdana" w:hAnsi="Verdana"/>
          <w:bCs/>
          <w:sz w:val="20"/>
          <w:szCs w:val="20"/>
          <w:lang w:val="pt-BR"/>
        </w:rPr>
        <w:t xml:space="preserve"> </w:t>
      </w:r>
      <w:r w:rsidR="00596FF9" w:rsidRPr="0038442F">
        <w:rPr>
          <w:rFonts w:ascii="Verdana" w:hAnsi="Verdana"/>
          <w:bCs/>
          <w:sz w:val="20"/>
          <w:szCs w:val="20"/>
          <w:lang w:val="pt-BR"/>
        </w:rPr>
        <w:t xml:space="preserve">de </w:t>
      </w:r>
      <w:r w:rsidR="00C92762"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Econômicos,</w:t>
      </w:r>
      <w:r w:rsidR="00407242" w:rsidRPr="0038442F">
        <w:rPr>
          <w:rFonts w:ascii="Verdana" w:hAnsi="Verdana"/>
          <w:bCs/>
          <w:sz w:val="20"/>
          <w:szCs w:val="20"/>
          <w:lang w:val="pt-BR"/>
        </w:rPr>
        <w:t xml:space="preserve"> </w:t>
      </w:r>
      <w:r w:rsidR="00596FF9" w:rsidRPr="0038442F">
        <w:rPr>
          <w:rFonts w:ascii="Verdana" w:hAnsi="Verdana"/>
          <w:bCs/>
          <w:sz w:val="20"/>
          <w:szCs w:val="20"/>
          <w:lang w:val="pt-BR"/>
        </w:rPr>
        <w:t>Soci</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e</w:t>
      </w:r>
      <w:r w:rsidR="00596FF9" w:rsidRPr="0038442F">
        <w:rPr>
          <w:rFonts w:ascii="Verdana" w:hAnsi="Verdana"/>
          <w:bCs/>
          <w:sz w:val="20"/>
          <w:szCs w:val="20"/>
          <w:lang w:val="pt-BR"/>
        </w:rPr>
        <w:t xml:space="preserve"> Cultur</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CA30C5" w:rsidRPr="0038442F">
        <w:rPr>
          <w:rFonts w:ascii="Verdana" w:hAnsi="Verdana"/>
          <w:bCs/>
          <w:sz w:val="20"/>
          <w:szCs w:val="20"/>
          <w:lang w:val="pt-BR"/>
        </w:rPr>
        <w:t xml:space="preserve">nas </w:t>
      </w:r>
      <w:r w:rsidR="00596FF9" w:rsidRPr="0038442F">
        <w:rPr>
          <w:rFonts w:ascii="Verdana" w:hAnsi="Verdana"/>
          <w:bCs/>
          <w:sz w:val="20"/>
          <w:szCs w:val="20"/>
          <w:lang w:val="pt-BR"/>
        </w:rPr>
        <w:t>Observa</w:t>
      </w:r>
      <w:r w:rsidR="000A1AA8" w:rsidRPr="0038442F">
        <w:rPr>
          <w:rFonts w:ascii="Verdana" w:hAnsi="Verdana"/>
          <w:bCs/>
          <w:sz w:val="20"/>
          <w:szCs w:val="20"/>
          <w:lang w:val="pt-BR"/>
        </w:rPr>
        <w:t>ções</w:t>
      </w:r>
      <w:r w:rsidR="00596FF9" w:rsidRPr="0038442F">
        <w:rPr>
          <w:rFonts w:ascii="Verdana" w:hAnsi="Verdana"/>
          <w:bCs/>
          <w:sz w:val="20"/>
          <w:szCs w:val="20"/>
          <w:lang w:val="pt-BR"/>
        </w:rPr>
        <w:t xml:space="preserve"> Ger</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596FF9" w:rsidRPr="0038442F">
        <w:rPr>
          <w:rFonts w:ascii="Verdana" w:hAnsi="Verdana"/>
          <w:bCs/>
          <w:sz w:val="20"/>
          <w:szCs w:val="20"/>
          <w:lang w:val="pt-BR"/>
        </w:rPr>
        <w:t>N</w:t>
      </w:r>
      <w:r w:rsidR="00360928" w:rsidRPr="0038442F">
        <w:rPr>
          <w:rFonts w:ascii="Verdana" w:hAnsi="Verdana"/>
          <w:bCs/>
          <w:sz w:val="20"/>
          <w:szCs w:val="20"/>
          <w:vertAlign w:val="superscript"/>
          <w:lang w:val="pt-BR"/>
        </w:rPr>
        <w:t>o</w:t>
      </w:r>
      <w:r w:rsidR="00A45077">
        <w:rPr>
          <w:rFonts w:ascii="Verdana" w:hAnsi="Verdana"/>
          <w:bCs/>
          <w:sz w:val="20"/>
          <w:szCs w:val="20"/>
          <w:vertAlign w:val="superscript"/>
          <w:lang w:val="pt-BR"/>
        </w:rPr>
        <w:t>s</w:t>
      </w:r>
      <w:r w:rsidR="00360928" w:rsidRPr="0038442F">
        <w:rPr>
          <w:rFonts w:ascii="Verdana" w:hAnsi="Verdana"/>
          <w:bCs/>
          <w:sz w:val="20"/>
          <w:szCs w:val="20"/>
          <w:lang w:val="pt-BR"/>
        </w:rPr>
        <w:t xml:space="preserve"> </w:t>
      </w:r>
      <w:r w:rsidR="00596FF9" w:rsidRPr="0038442F">
        <w:rPr>
          <w:rFonts w:ascii="Verdana" w:hAnsi="Verdana"/>
          <w:bCs/>
          <w:sz w:val="20"/>
          <w:szCs w:val="20"/>
          <w:lang w:val="pt-BR"/>
        </w:rPr>
        <w:t xml:space="preserve">14, 18 </w:t>
      </w:r>
      <w:r w:rsidR="00360928" w:rsidRPr="0038442F">
        <w:rPr>
          <w:rFonts w:ascii="Verdana" w:hAnsi="Verdana"/>
          <w:bCs/>
          <w:sz w:val="20"/>
          <w:szCs w:val="20"/>
          <w:lang w:val="pt-BR"/>
        </w:rPr>
        <w:t>e</w:t>
      </w:r>
      <w:r w:rsidR="00596FF9" w:rsidRPr="0038442F">
        <w:rPr>
          <w:rFonts w:ascii="Verdana" w:hAnsi="Verdana"/>
          <w:bCs/>
          <w:sz w:val="20"/>
          <w:szCs w:val="20"/>
          <w:lang w:val="pt-BR"/>
        </w:rPr>
        <w:t xml:space="preserve"> 23. Por </w:t>
      </w:r>
      <w:r w:rsidR="00984A83" w:rsidRPr="0038442F">
        <w:rPr>
          <w:rFonts w:ascii="Verdana" w:hAnsi="Verdana"/>
          <w:bCs/>
          <w:sz w:val="20"/>
          <w:szCs w:val="20"/>
          <w:lang w:val="pt-BR"/>
        </w:rPr>
        <w:t xml:space="preserve">outro </w:t>
      </w:r>
      <w:r w:rsidR="00596FF9" w:rsidRPr="0038442F">
        <w:rPr>
          <w:rFonts w:ascii="Verdana" w:hAnsi="Verdana"/>
          <w:bCs/>
          <w:sz w:val="20"/>
          <w:szCs w:val="20"/>
          <w:lang w:val="pt-BR"/>
        </w:rPr>
        <w:t>lado,</w:t>
      </w:r>
      <w:r w:rsidR="002F3DAB" w:rsidRPr="0038442F">
        <w:rPr>
          <w:rFonts w:ascii="Verdana" w:hAnsi="Verdana"/>
          <w:bCs/>
          <w:sz w:val="20"/>
          <w:szCs w:val="20"/>
          <w:lang w:val="pt-BR"/>
        </w:rPr>
        <w:t xml:space="preserve"> a legisla</w:t>
      </w:r>
      <w:r w:rsidR="000A1AA8" w:rsidRPr="0038442F">
        <w:rPr>
          <w:rFonts w:ascii="Verdana" w:hAnsi="Verdana"/>
          <w:bCs/>
          <w:sz w:val="20"/>
          <w:szCs w:val="20"/>
          <w:lang w:val="pt-BR"/>
        </w:rPr>
        <w:t>ção</w:t>
      </w:r>
      <w:r w:rsidR="002F3DAB" w:rsidRPr="0038442F">
        <w:rPr>
          <w:rFonts w:ascii="Verdana" w:hAnsi="Verdana"/>
          <w:bCs/>
          <w:sz w:val="20"/>
          <w:szCs w:val="20"/>
          <w:lang w:val="pt-BR"/>
        </w:rPr>
        <w:t xml:space="preserve"> </w:t>
      </w:r>
      <w:r w:rsidR="00360928" w:rsidRPr="0038442F">
        <w:rPr>
          <w:rFonts w:ascii="Verdana" w:hAnsi="Verdana"/>
          <w:bCs/>
          <w:sz w:val="20"/>
          <w:szCs w:val="20"/>
          <w:lang w:val="pt-BR"/>
        </w:rPr>
        <w:t xml:space="preserve">brasileira foi de </w:t>
      </w:r>
      <w:r w:rsidR="00596FF9" w:rsidRPr="0038442F">
        <w:rPr>
          <w:rFonts w:ascii="Verdana" w:hAnsi="Verdana"/>
          <w:bCs/>
          <w:sz w:val="20"/>
          <w:szCs w:val="20"/>
          <w:lang w:val="pt-BR"/>
        </w:rPr>
        <w:t xml:space="preserve">especial </w:t>
      </w:r>
      <w:r w:rsidR="00360928" w:rsidRPr="0038442F">
        <w:rPr>
          <w:rFonts w:ascii="Verdana" w:hAnsi="Verdana"/>
          <w:bCs/>
          <w:sz w:val="20"/>
          <w:szCs w:val="20"/>
          <w:lang w:val="pt-BR"/>
        </w:rPr>
        <w:t>relevância</w:t>
      </w:r>
      <w:r w:rsidR="00596FF9" w:rsidRPr="0038442F">
        <w:rPr>
          <w:rFonts w:ascii="Verdana" w:hAnsi="Verdana"/>
          <w:bCs/>
          <w:sz w:val="20"/>
          <w:szCs w:val="20"/>
          <w:lang w:val="pt-BR"/>
        </w:rPr>
        <w:t xml:space="preserve">, </w:t>
      </w:r>
      <w:r w:rsidR="00360928" w:rsidRPr="0038442F">
        <w:rPr>
          <w:rFonts w:ascii="Verdana" w:hAnsi="Verdana"/>
          <w:bCs/>
          <w:sz w:val="20"/>
          <w:szCs w:val="20"/>
          <w:lang w:val="pt-BR"/>
        </w:rPr>
        <w:t xml:space="preserve">pois </w:t>
      </w:r>
      <w:r w:rsidR="00A45077">
        <w:rPr>
          <w:rFonts w:ascii="Verdana" w:hAnsi="Verdana"/>
          <w:bCs/>
          <w:sz w:val="20"/>
          <w:szCs w:val="20"/>
          <w:lang w:val="pt-BR"/>
        </w:rPr>
        <w:t>contém</w:t>
      </w:r>
      <w:r w:rsidR="00A45077" w:rsidRPr="0038442F">
        <w:rPr>
          <w:rFonts w:ascii="Verdana" w:hAnsi="Verdana"/>
          <w:bCs/>
          <w:sz w:val="20"/>
          <w:szCs w:val="20"/>
          <w:lang w:val="pt-BR"/>
        </w:rPr>
        <w:t xml:space="preserve"> </w:t>
      </w:r>
      <w:r w:rsidR="002F3DAB" w:rsidRPr="0038442F">
        <w:rPr>
          <w:rFonts w:ascii="Verdana" w:hAnsi="Verdana"/>
          <w:bCs/>
          <w:sz w:val="20"/>
          <w:szCs w:val="20"/>
          <w:lang w:val="pt-BR"/>
        </w:rPr>
        <w:t xml:space="preserve">importantes </w:t>
      </w:r>
      <w:r w:rsidR="00360928" w:rsidRPr="0038442F">
        <w:rPr>
          <w:rFonts w:ascii="Verdana" w:hAnsi="Verdana"/>
          <w:bCs/>
          <w:sz w:val="20"/>
          <w:szCs w:val="20"/>
          <w:lang w:val="pt-BR"/>
        </w:rPr>
        <w:t xml:space="preserve">diretrizes do </w:t>
      </w:r>
      <w:r w:rsidR="00084CA4" w:rsidRPr="0038442F">
        <w:rPr>
          <w:rFonts w:ascii="Verdana" w:hAnsi="Verdana"/>
          <w:bCs/>
          <w:sz w:val="20"/>
          <w:szCs w:val="20"/>
          <w:lang w:val="pt-BR"/>
        </w:rPr>
        <w:t xml:space="preserve">conteúdo </w:t>
      </w:r>
      <w:r w:rsidR="00C864CB" w:rsidRPr="0038442F">
        <w:rPr>
          <w:rFonts w:ascii="Verdana" w:hAnsi="Verdana"/>
          <w:bCs/>
          <w:sz w:val="20"/>
          <w:szCs w:val="20"/>
          <w:lang w:val="pt-BR"/>
        </w:rPr>
        <w:t xml:space="preserve">das </w:t>
      </w:r>
      <w:r w:rsidR="002F3DAB" w:rsidRPr="0038442F">
        <w:rPr>
          <w:rFonts w:ascii="Verdana" w:hAnsi="Verdana"/>
          <w:bCs/>
          <w:sz w:val="20"/>
          <w:szCs w:val="20"/>
          <w:lang w:val="pt-BR"/>
        </w:rPr>
        <w:t>condi</w:t>
      </w:r>
      <w:r w:rsidR="000A1AA8" w:rsidRPr="0038442F">
        <w:rPr>
          <w:rFonts w:ascii="Verdana" w:hAnsi="Verdana"/>
          <w:bCs/>
          <w:sz w:val="20"/>
          <w:szCs w:val="20"/>
          <w:lang w:val="pt-BR"/>
        </w:rPr>
        <w:t>ções</w:t>
      </w:r>
      <w:r w:rsidR="002F3DAB" w:rsidRPr="0038442F">
        <w:rPr>
          <w:rFonts w:ascii="Verdana" w:hAnsi="Verdana"/>
          <w:bCs/>
          <w:sz w:val="20"/>
          <w:szCs w:val="20"/>
          <w:lang w:val="pt-BR"/>
        </w:rPr>
        <w:t xml:space="preserve"> equitativas </w:t>
      </w:r>
      <w:r w:rsidR="00360928" w:rsidRPr="0038442F">
        <w:rPr>
          <w:rFonts w:ascii="Verdana" w:hAnsi="Verdana"/>
          <w:bCs/>
          <w:sz w:val="20"/>
          <w:szCs w:val="20"/>
          <w:lang w:val="pt-BR"/>
        </w:rPr>
        <w:t>e</w:t>
      </w:r>
      <w:r w:rsidR="002F3DAB" w:rsidRPr="0038442F">
        <w:rPr>
          <w:rFonts w:ascii="Verdana" w:hAnsi="Verdana"/>
          <w:bCs/>
          <w:sz w:val="20"/>
          <w:szCs w:val="20"/>
          <w:lang w:val="pt-BR"/>
        </w:rPr>
        <w:t xml:space="preserve"> </w:t>
      </w:r>
      <w:r w:rsidR="00751189" w:rsidRPr="0038442F">
        <w:rPr>
          <w:rFonts w:ascii="Verdana" w:hAnsi="Verdana"/>
          <w:bCs/>
          <w:sz w:val="20"/>
          <w:szCs w:val="20"/>
          <w:lang w:val="pt-BR"/>
        </w:rPr>
        <w:t>satisfatórias</w:t>
      </w:r>
      <w:r w:rsidR="00407242" w:rsidRPr="0038442F">
        <w:rPr>
          <w:rFonts w:ascii="Verdana" w:hAnsi="Verdana"/>
          <w:bCs/>
          <w:sz w:val="20"/>
          <w:szCs w:val="20"/>
          <w:lang w:val="pt-BR"/>
        </w:rPr>
        <w:t xml:space="preserve"> </w:t>
      </w:r>
      <w:r w:rsidR="00596FF9" w:rsidRPr="0038442F">
        <w:rPr>
          <w:rFonts w:ascii="Verdana" w:hAnsi="Verdana"/>
          <w:bCs/>
          <w:sz w:val="20"/>
          <w:szCs w:val="20"/>
          <w:lang w:val="pt-BR"/>
        </w:rPr>
        <w:t xml:space="preserve">para </w:t>
      </w:r>
      <w:r w:rsidR="00C92762" w:rsidRPr="0038442F">
        <w:rPr>
          <w:rFonts w:ascii="Verdana" w:hAnsi="Verdana"/>
          <w:bCs/>
          <w:sz w:val="20"/>
          <w:szCs w:val="20"/>
          <w:lang w:val="pt-BR"/>
        </w:rPr>
        <w:t>garantia</w:t>
      </w:r>
      <w:r w:rsidR="00407242" w:rsidRPr="0038442F">
        <w:rPr>
          <w:rFonts w:ascii="Verdana" w:hAnsi="Verdana"/>
          <w:bCs/>
          <w:sz w:val="20"/>
          <w:szCs w:val="20"/>
          <w:lang w:val="pt-BR"/>
        </w:rPr>
        <w:t xml:space="preserve"> </w:t>
      </w:r>
      <w:r w:rsidR="00596FF9" w:rsidRPr="0038442F">
        <w:rPr>
          <w:rFonts w:ascii="Verdana" w:hAnsi="Verdana"/>
          <w:bCs/>
          <w:sz w:val="20"/>
          <w:szCs w:val="20"/>
          <w:lang w:val="pt-BR"/>
        </w:rPr>
        <w:t>d</w:t>
      </w:r>
      <w:r w:rsidR="00360928" w:rsidRPr="0038442F">
        <w:rPr>
          <w:rFonts w:ascii="Verdana" w:hAnsi="Verdana"/>
          <w:bCs/>
          <w:sz w:val="20"/>
          <w:szCs w:val="20"/>
          <w:lang w:val="pt-BR"/>
        </w:rPr>
        <w:t xml:space="preserve">o </w:t>
      </w:r>
      <w:r w:rsidR="00CA30C5" w:rsidRPr="0038442F">
        <w:rPr>
          <w:rFonts w:ascii="Verdana" w:hAnsi="Verdana"/>
          <w:bCs/>
          <w:sz w:val="20"/>
          <w:szCs w:val="20"/>
          <w:lang w:val="pt-BR"/>
        </w:rPr>
        <w:t>direito</w:t>
      </w:r>
      <w:r w:rsidR="00407242" w:rsidRPr="0038442F">
        <w:rPr>
          <w:rFonts w:ascii="Verdana" w:hAnsi="Verdana"/>
          <w:bCs/>
          <w:sz w:val="20"/>
          <w:szCs w:val="20"/>
          <w:lang w:val="pt-BR"/>
        </w:rPr>
        <w:t xml:space="preserve"> </w:t>
      </w:r>
      <w:r w:rsidR="00CA30C5" w:rsidRPr="0038442F">
        <w:rPr>
          <w:rFonts w:ascii="Verdana" w:hAnsi="Verdana"/>
          <w:bCs/>
          <w:sz w:val="20"/>
          <w:szCs w:val="20"/>
          <w:lang w:val="pt-BR"/>
        </w:rPr>
        <w:t>ao trabalho</w:t>
      </w:r>
      <w:r w:rsidR="00360928" w:rsidRPr="0038442F">
        <w:rPr>
          <w:rFonts w:ascii="Verdana" w:hAnsi="Verdana"/>
          <w:bCs/>
          <w:sz w:val="20"/>
          <w:szCs w:val="20"/>
          <w:lang w:val="pt-BR"/>
        </w:rPr>
        <w:t>.</w:t>
      </w:r>
      <w:r w:rsidR="00905D27" w:rsidRPr="0038442F">
        <w:rPr>
          <w:rStyle w:val="Refdenotaalpie"/>
          <w:rFonts w:ascii="Verdana" w:hAnsi="Verdana"/>
          <w:bCs/>
          <w:sz w:val="20"/>
          <w:szCs w:val="20"/>
          <w:lang w:val="pt-BR"/>
        </w:rPr>
        <w:footnoteReference w:id="40"/>
      </w:r>
      <w:r w:rsidR="00407242" w:rsidRPr="0038442F">
        <w:rPr>
          <w:rFonts w:ascii="Verdana" w:hAnsi="Verdana"/>
          <w:bCs/>
          <w:sz w:val="20"/>
          <w:szCs w:val="20"/>
          <w:lang w:val="pt-BR"/>
        </w:rPr>
        <w:t xml:space="preserve"> </w:t>
      </w:r>
      <w:r w:rsidR="00905D27" w:rsidRPr="0038442F">
        <w:rPr>
          <w:rFonts w:ascii="Verdana" w:hAnsi="Verdana"/>
          <w:bCs/>
          <w:sz w:val="20"/>
          <w:szCs w:val="20"/>
          <w:lang w:val="pt-BR"/>
        </w:rPr>
        <w:t xml:space="preserve">Entre </w:t>
      </w:r>
      <w:r w:rsidR="006A12FD" w:rsidRPr="0038442F">
        <w:rPr>
          <w:rFonts w:ascii="Verdana" w:hAnsi="Verdana"/>
          <w:bCs/>
          <w:sz w:val="20"/>
          <w:szCs w:val="20"/>
          <w:lang w:val="pt-BR"/>
        </w:rPr>
        <w:t>outras</w:t>
      </w:r>
      <w:r w:rsidR="00407242" w:rsidRPr="0038442F">
        <w:rPr>
          <w:rFonts w:ascii="Verdana" w:hAnsi="Verdana"/>
          <w:bCs/>
          <w:sz w:val="20"/>
          <w:szCs w:val="20"/>
          <w:lang w:val="pt-BR"/>
        </w:rPr>
        <w:t xml:space="preserve"> </w:t>
      </w:r>
      <w:r w:rsidR="00905D27" w:rsidRPr="0038442F">
        <w:rPr>
          <w:rFonts w:ascii="Verdana" w:hAnsi="Verdana"/>
          <w:bCs/>
          <w:sz w:val="20"/>
          <w:szCs w:val="20"/>
          <w:lang w:val="pt-BR"/>
        </w:rPr>
        <w:t>considera</w:t>
      </w:r>
      <w:r w:rsidR="000A1AA8" w:rsidRPr="0038442F">
        <w:rPr>
          <w:rFonts w:ascii="Verdana" w:hAnsi="Verdana"/>
          <w:bCs/>
          <w:sz w:val="20"/>
          <w:szCs w:val="20"/>
          <w:lang w:val="pt-BR"/>
        </w:rPr>
        <w:t>ções</w:t>
      </w:r>
      <w:r w:rsidR="00905D27" w:rsidRPr="0038442F">
        <w:rPr>
          <w:rFonts w:ascii="Verdana" w:hAnsi="Verdana"/>
          <w:bCs/>
          <w:sz w:val="20"/>
          <w:szCs w:val="20"/>
          <w:lang w:val="pt-BR"/>
        </w:rPr>
        <w:t>,</w:t>
      </w:r>
      <w:r w:rsidR="00596FF9" w:rsidRPr="0038442F">
        <w:rPr>
          <w:rFonts w:ascii="Verdana" w:hAnsi="Verdana"/>
          <w:bCs/>
          <w:sz w:val="20"/>
          <w:szCs w:val="20"/>
          <w:lang w:val="pt-BR"/>
        </w:rPr>
        <w:t xml:space="preserve"> </w:t>
      </w:r>
      <w:r w:rsidR="00DD6F74" w:rsidRPr="0038442F">
        <w:rPr>
          <w:rFonts w:ascii="Verdana" w:hAnsi="Verdana"/>
          <w:bCs/>
          <w:sz w:val="20"/>
          <w:szCs w:val="20"/>
          <w:lang w:val="pt-BR"/>
        </w:rPr>
        <w:t>por e</w:t>
      </w:r>
      <w:r w:rsidR="00360928" w:rsidRPr="0038442F">
        <w:rPr>
          <w:rFonts w:ascii="Verdana" w:hAnsi="Verdana"/>
          <w:bCs/>
          <w:sz w:val="20"/>
          <w:szCs w:val="20"/>
          <w:lang w:val="pt-BR"/>
        </w:rPr>
        <w:t>x</w:t>
      </w:r>
      <w:r w:rsidR="00DD6F74" w:rsidRPr="0038442F">
        <w:rPr>
          <w:rFonts w:ascii="Verdana" w:hAnsi="Verdana"/>
          <w:bCs/>
          <w:sz w:val="20"/>
          <w:szCs w:val="20"/>
          <w:lang w:val="pt-BR"/>
        </w:rPr>
        <w:t xml:space="preserve">emplo, </w:t>
      </w:r>
      <w:r w:rsidR="00905D27" w:rsidRPr="0038442F">
        <w:rPr>
          <w:rFonts w:ascii="Verdana" w:hAnsi="Verdana"/>
          <w:bCs/>
          <w:sz w:val="20"/>
          <w:szCs w:val="20"/>
          <w:lang w:val="pt-BR"/>
        </w:rPr>
        <w:t>que a fabrica</w:t>
      </w:r>
      <w:r w:rsidR="000A1AA8" w:rsidRPr="0038442F">
        <w:rPr>
          <w:rFonts w:ascii="Verdana" w:hAnsi="Verdana"/>
          <w:bCs/>
          <w:sz w:val="20"/>
          <w:szCs w:val="20"/>
          <w:lang w:val="pt-BR"/>
        </w:rPr>
        <w:t>ção</w:t>
      </w:r>
      <w:r w:rsidR="00905D27" w:rsidRPr="0038442F">
        <w:rPr>
          <w:rFonts w:ascii="Verdana" w:hAnsi="Verdana"/>
          <w:bCs/>
          <w:sz w:val="20"/>
          <w:szCs w:val="20"/>
          <w:lang w:val="pt-BR"/>
        </w:rPr>
        <w:t xml:space="preserve"> de </w:t>
      </w:r>
      <w:r w:rsidR="008806F8" w:rsidRPr="0038442F">
        <w:rPr>
          <w:rFonts w:ascii="Verdana" w:hAnsi="Verdana"/>
          <w:bCs/>
          <w:sz w:val="20"/>
          <w:szCs w:val="20"/>
          <w:lang w:val="pt-BR"/>
        </w:rPr>
        <w:t>fogos</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 xml:space="preserve">é </w:t>
      </w:r>
      <w:r w:rsidR="00905D27" w:rsidRPr="0038442F">
        <w:rPr>
          <w:rFonts w:ascii="Verdana" w:hAnsi="Verdana"/>
          <w:bCs/>
          <w:sz w:val="20"/>
          <w:szCs w:val="20"/>
          <w:lang w:val="pt-BR"/>
        </w:rPr>
        <w:t>considerada “</w:t>
      </w:r>
      <w:r w:rsidR="00C92762" w:rsidRPr="0038442F">
        <w:rPr>
          <w:rFonts w:ascii="Verdana" w:hAnsi="Verdana"/>
          <w:bCs/>
          <w:sz w:val="20"/>
          <w:szCs w:val="20"/>
          <w:lang w:val="pt-BR"/>
        </w:rPr>
        <w:t>uma</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atividade perigosa</w:t>
      </w:r>
      <w:r w:rsidR="00905D27" w:rsidRPr="0038442F">
        <w:rPr>
          <w:rFonts w:ascii="Verdana" w:hAnsi="Verdana"/>
          <w:bCs/>
          <w:sz w:val="20"/>
          <w:szCs w:val="20"/>
          <w:lang w:val="pt-BR"/>
        </w:rPr>
        <w:t>”</w:t>
      </w:r>
      <w:r w:rsidR="00360928" w:rsidRPr="0038442F">
        <w:rPr>
          <w:rFonts w:ascii="Verdana" w:hAnsi="Verdana"/>
          <w:bCs/>
          <w:sz w:val="20"/>
          <w:szCs w:val="20"/>
          <w:lang w:val="pt-BR"/>
        </w:rPr>
        <w:t>.</w:t>
      </w:r>
      <w:r w:rsidR="00905D27" w:rsidRPr="0038442F">
        <w:rPr>
          <w:rStyle w:val="Refdenotaalpie"/>
          <w:rFonts w:ascii="Verdana" w:hAnsi="Verdana"/>
          <w:bCs/>
          <w:sz w:val="20"/>
          <w:szCs w:val="20"/>
          <w:lang w:val="pt-BR"/>
        </w:rPr>
        <w:footnoteReference w:id="41"/>
      </w:r>
      <w:r w:rsidR="00905D27" w:rsidRPr="0038442F">
        <w:rPr>
          <w:rFonts w:ascii="Verdana" w:hAnsi="Verdana"/>
          <w:bCs/>
          <w:sz w:val="20"/>
          <w:szCs w:val="20"/>
          <w:lang w:val="pt-BR"/>
        </w:rPr>
        <w:t xml:space="preserve"> </w:t>
      </w:r>
    </w:p>
    <w:p w14:paraId="3714F00E" w14:textId="77777777" w:rsidR="00E5031B" w:rsidRPr="0038442F" w:rsidRDefault="00E5031B" w:rsidP="00B979B2">
      <w:pPr>
        <w:pStyle w:val="Prrafodelista"/>
        <w:spacing w:after="0" w:line="240" w:lineRule="auto"/>
        <w:ind w:left="0"/>
        <w:jc w:val="both"/>
        <w:rPr>
          <w:rFonts w:ascii="Verdana" w:hAnsi="Verdana"/>
          <w:bCs/>
          <w:i/>
          <w:iCs/>
          <w:sz w:val="20"/>
          <w:szCs w:val="20"/>
          <w:lang w:val="pt-BR"/>
        </w:rPr>
      </w:pPr>
    </w:p>
    <w:p w14:paraId="394A0B79" w14:textId="5A2B6AAF" w:rsidR="0063748F" w:rsidRPr="0038442F" w:rsidRDefault="00DD6F74" w:rsidP="00DD6F74">
      <w:pPr>
        <w:jc w:val="both"/>
        <w:rPr>
          <w:rFonts w:ascii="Verdana" w:hAnsi="Verdana"/>
          <w:b/>
          <w:bCs/>
          <w:i/>
          <w:iCs/>
          <w:sz w:val="20"/>
          <w:szCs w:val="20"/>
          <w:lang w:val="pt-BR"/>
        </w:rPr>
      </w:pPr>
      <w:r w:rsidRPr="0038442F">
        <w:rPr>
          <w:rFonts w:ascii="Verdana" w:hAnsi="Verdana"/>
          <w:b/>
          <w:bCs/>
          <w:i/>
          <w:iCs/>
          <w:sz w:val="20"/>
          <w:szCs w:val="20"/>
          <w:lang w:val="pt-BR"/>
        </w:rPr>
        <w:t>B</w:t>
      </w:r>
      <w:r w:rsidR="00315E98" w:rsidRPr="0038442F">
        <w:rPr>
          <w:rFonts w:ascii="Verdana" w:hAnsi="Verdana"/>
          <w:b/>
          <w:bCs/>
          <w:i/>
          <w:iCs/>
          <w:sz w:val="20"/>
          <w:szCs w:val="20"/>
          <w:lang w:val="pt-BR"/>
        </w:rPr>
        <w:t>.</w:t>
      </w:r>
      <w:r w:rsidRPr="0038442F">
        <w:rPr>
          <w:rFonts w:ascii="Verdana" w:hAnsi="Verdana"/>
          <w:b/>
          <w:bCs/>
          <w:i/>
          <w:iCs/>
          <w:sz w:val="20"/>
          <w:szCs w:val="20"/>
          <w:lang w:val="pt-BR"/>
        </w:rPr>
        <w:t xml:space="preserve"> </w:t>
      </w:r>
      <w:r w:rsidR="0063748F" w:rsidRPr="0038442F">
        <w:rPr>
          <w:rFonts w:ascii="Verdana" w:hAnsi="Verdana"/>
          <w:b/>
          <w:bCs/>
          <w:i/>
          <w:iCs/>
          <w:sz w:val="20"/>
          <w:szCs w:val="20"/>
          <w:lang w:val="pt-BR"/>
        </w:rPr>
        <w:t xml:space="preserve">Sobre a </w:t>
      </w:r>
      <w:r w:rsidR="00246A73" w:rsidRPr="0038442F">
        <w:rPr>
          <w:rFonts w:ascii="Verdana" w:hAnsi="Verdana"/>
          <w:b/>
          <w:bCs/>
          <w:i/>
          <w:iCs/>
          <w:sz w:val="20"/>
          <w:szCs w:val="20"/>
          <w:lang w:val="pt-BR"/>
        </w:rPr>
        <w:t>importância</w:t>
      </w:r>
      <w:r w:rsidR="00407242" w:rsidRPr="0038442F">
        <w:rPr>
          <w:rFonts w:ascii="Verdana" w:hAnsi="Verdana"/>
          <w:b/>
          <w:bCs/>
          <w:i/>
          <w:iCs/>
          <w:sz w:val="20"/>
          <w:szCs w:val="20"/>
          <w:lang w:val="pt-BR"/>
        </w:rPr>
        <w:t xml:space="preserve"> </w:t>
      </w:r>
      <w:r w:rsidR="00C92762" w:rsidRPr="0038442F">
        <w:rPr>
          <w:rFonts w:ascii="Verdana" w:hAnsi="Verdana"/>
          <w:b/>
          <w:bCs/>
          <w:i/>
          <w:iCs/>
          <w:sz w:val="20"/>
          <w:szCs w:val="20"/>
          <w:lang w:val="pt-BR"/>
        </w:rPr>
        <w:t xml:space="preserve">da </w:t>
      </w:r>
      <w:r w:rsidR="0063748F" w:rsidRPr="0038442F">
        <w:rPr>
          <w:rFonts w:ascii="Verdana" w:hAnsi="Verdana"/>
          <w:b/>
          <w:bCs/>
          <w:i/>
          <w:iCs/>
          <w:sz w:val="20"/>
          <w:szCs w:val="20"/>
          <w:lang w:val="pt-BR"/>
        </w:rPr>
        <w:t>fiscaliza</w:t>
      </w:r>
      <w:r w:rsidR="000A1AA8" w:rsidRPr="0038442F">
        <w:rPr>
          <w:rFonts w:ascii="Verdana" w:hAnsi="Verdana"/>
          <w:b/>
          <w:bCs/>
          <w:i/>
          <w:iCs/>
          <w:sz w:val="20"/>
          <w:szCs w:val="20"/>
          <w:lang w:val="pt-BR"/>
        </w:rPr>
        <w:t>ção</w:t>
      </w:r>
      <w:r w:rsidR="0063748F" w:rsidRPr="0038442F">
        <w:rPr>
          <w:rFonts w:ascii="Verdana" w:hAnsi="Verdana"/>
          <w:b/>
          <w:bCs/>
          <w:i/>
          <w:iCs/>
          <w:sz w:val="20"/>
          <w:szCs w:val="20"/>
          <w:lang w:val="pt-BR"/>
        </w:rPr>
        <w:t xml:space="preserve"> como meio de preven</w:t>
      </w:r>
      <w:r w:rsidR="000A1AA8" w:rsidRPr="0038442F">
        <w:rPr>
          <w:rFonts w:ascii="Verdana" w:hAnsi="Verdana"/>
          <w:b/>
          <w:bCs/>
          <w:i/>
          <w:iCs/>
          <w:sz w:val="20"/>
          <w:szCs w:val="20"/>
          <w:lang w:val="pt-BR"/>
        </w:rPr>
        <w:t>ção</w:t>
      </w:r>
      <w:r w:rsidR="0063748F" w:rsidRPr="0038442F">
        <w:rPr>
          <w:rFonts w:ascii="Verdana" w:hAnsi="Verdana"/>
          <w:b/>
          <w:bCs/>
          <w:i/>
          <w:iCs/>
          <w:sz w:val="20"/>
          <w:szCs w:val="20"/>
          <w:lang w:val="pt-BR"/>
        </w:rPr>
        <w:t xml:space="preserve"> de ris</w:t>
      </w:r>
      <w:r w:rsidR="00360928" w:rsidRPr="0038442F">
        <w:rPr>
          <w:rFonts w:ascii="Verdana" w:hAnsi="Verdana"/>
          <w:b/>
          <w:bCs/>
          <w:i/>
          <w:iCs/>
          <w:sz w:val="20"/>
          <w:szCs w:val="20"/>
          <w:lang w:val="pt-BR"/>
        </w:rPr>
        <w:t>c</w:t>
      </w:r>
      <w:r w:rsidR="0063748F" w:rsidRPr="0038442F">
        <w:rPr>
          <w:rFonts w:ascii="Verdana" w:hAnsi="Verdana"/>
          <w:b/>
          <w:bCs/>
          <w:i/>
          <w:iCs/>
          <w:sz w:val="20"/>
          <w:szCs w:val="20"/>
          <w:lang w:val="pt-BR"/>
        </w:rPr>
        <w:t xml:space="preserve">os </w:t>
      </w:r>
      <w:r w:rsidR="00360928" w:rsidRPr="0038442F">
        <w:rPr>
          <w:rFonts w:ascii="Verdana" w:hAnsi="Verdana"/>
          <w:b/>
          <w:bCs/>
          <w:i/>
          <w:iCs/>
          <w:sz w:val="20"/>
          <w:szCs w:val="20"/>
          <w:lang w:val="pt-BR"/>
        </w:rPr>
        <w:t>e</w:t>
      </w:r>
      <w:r w:rsidR="0063748F" w:rsidRPr="0038442F">
        <w:rPr>
          <w:rFonts w:ascii="Verdana" w:hAnsi="Verdana"/>
          <w:b/>
          <w:bCs/>
          <w:i/>
          <w:iCs/>
          <w:sz w:val="20"/>
          <w:szCs w:val="20"/>
          <w:lang w:val="pt-BR"/>
        </w:rPr>
        <w:t xml:space="preserve"> acidentes </w:t>
      </w:r>
      <w:r w:rsidR="00360928" w:rsidRPr="0038442F">
        <w:rPr>
          <w:rFonts w:ascii="Verdana" w:hAnsi="Verdana"/>
          <w:b/>
          <w:bCs/>
          <w:i/>
          <w:iCs/>
          <w:sz w:val="20"/>
          <w:szCs w:val="20"/>
          <w:lang w:val="pt-BR"/>
        </w:rPr>
        <w:t>de trabalho</w:t>
      </w:r>
    </w:p>
    <w:p w14:paraId="68A6F83F" w14:textId="77777777" w:rsidR="006D574F" w:rsidRPr="0038442F" w:rsidRDefault="006D574F" w:rsidP="00A857CB">
      <w:pPr>
        <w:pStyle w:val="Prrafodelista"/>
        <w:spacing w:line="240" w:lineRule="auto"/>
        <w:ind w:left="0"/>
        <w:jc w:val="both"/>
        <w:rPr>
          <w:rFonts w:ascii="Verdana" w:hAnsi="Verdana"/>
          <w:bCs/>
          <w:sz w:val="20"/>
          <w:szCs w:val="20"/>
          <w:lang w:val="pt-BR"/>
        </w:rPr>
      </w:pPr>
    </w:p>
    <w:p w14:paraId="688E7A2D" w14:textId="731D1ACC" w:rsidR="006D574F"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32. </w:t>
      </w:r>
      <w:r w:rsidRPr="0038442F">
        <w:rPr>
          <w:rFonts w:ascii="Verdana" w:hAnsi="Verdana"/>
          <w:bCs/>
          <w:sz w:val="20"/>
          <w:szCs w:val="20"/>
          <w:lang w:val="pt-BR"/>
        </w:rPr>
        <w:tab/>
      </w:r>
      <w:r w:rsidR="00360928" w:rsidRPr="0038442F">
        <w:rPr>
          <w:rFonts w:ascii="Verdana" w:hAnsi="Verdana"/>
          <w:bCs/>
          <w:sz w:val="20"/>
          <w:szCs w:val="20"/>
          <w:lang w:val="pt-BR"/>
        </w:rPr>
        <w:t xml:space="preserve">O </w:t>
      </w:r>
      <w:r w:rsidR="00DD6F74" w:rsidRPr="0038442F">
        <w:rPr>
          <w:rFonts w:ascii="Verdana" w:hAnsi="Verdana"/>
          <w:bCs/>
          <w:sz w:val="20"/>
          <w:szCs w:val="20"/>
          <w:lang w:val="pt-BR"/>
        </w:rPr>
        <w:t xml:space="preserve">caso que motiva </w:t>
      </w:r>
      <w:r w:rsidR="00360928" w:rsidRPr="0038442F">
        <w:rPr>
          <w:rFonts w:ascii="Verdana" w:hAnsi="Verdana"/>
          <w:bCs/>
          <w:sz w:val="20"/>
          <w:szCs w:val="20"/>
          <w:lang w:val="pt-BR"/>
        </w:rPr>
        <w:t xml:space="preserve">o </w:t>
      </w:r>
      <w:r w:rsidR="00DD6F74" w:rsidRPr="0038442F">
        <w:rPr>
          <w:rFonts w:ascii="Verdana" w:hAnsi="Verdana"/>
          <w:bCs/>
          <w:sz w:val="20"/>
          <w:szCs w:val="20"/>
          <w:lang w:val="pt-BR"/>
        </w:rPr>
        <w:t xml:space="preserve">presente voto </w:t>
      </w:r>
      <w:r w:rsidR="00360928" w:rsidRPr="0038442F">
        <w:rPr>
          <w:rFonts w:ascii="Verdana" w:hAnsi="Verdana"/>
          <w:bCs/>
          <w:sz w:val="20"/>
          <w:szCs w:val="20"/>
          <w:lang w:val="pt-BR"/>
        </w:rPr>
        <w:t xml:space="preserve">constitui o primeiro </w:t>
      </w:r>
      <w:r w:rsidR="006D574F" w:rsidRPr="0038442F">
        <w:rPr>
          <w:rFonts w:ascii="Verdana" w:hAnsi="Verdana"/>
          <w:bCs/>
          <w:sz w:val="20"/>
          <w:szCs w:val="20"/>
          <w:lang w:val="pt-BR"/>
        </w:rPr>
        <w:t xml:space="preserve">pronunciamento sobre </w:t>
      </w:r>
      <w:r w:rsidR="00BB665E" w:rsidRPr="0038442F">
        <w:rPr>
          <w:rFonts w:ascii="Verdana" w:hAnsi="Verdana"/>
          <w:bCs/>
          <w:sz w:val="20"/>
          <w:szCs w:val="20"/>
          <w:lang w:val="pt-BR"/>
        </w:rPr>
        <w:t xml:space="preserve">as obrigações </w:t>
      </w:r>
      <w:r w:rsidR="00751189" w:rsidRPr="0038442F">
        <w:rPr>
          <w:rFonts w:ascii="Verdana" w:hAnsi="Verdana"/>
          <w:bCs/>
          <w:sz w:val="20"/>
          <w:szCs w:val="20"/>
          <w:lang w:val="pt-BR"/>
        </w:rPr>
        <w:t xml:space="preserve">no </w:t>
      </w:r>
      <w:r w:rsidR="00360928" w:rsidRPr="0038442F">
        <w:rPr>
          <w:rFonts w:ascii="Verdana" w:hAnsi="Verdana"/>
          <w:bCs/>
          <w:sz w:val="20"/>
          <w:szCs w:val="20"/>
          <w:lang w:val="pt-BR"/>
        </w:rPr>
        <w:t xml:space="preserve">âmbito </w:t>
      </w:r>
      <w:r w:rsidR="00C92762" w:rsidRPr="0038442F">
        <w:rPr>
          <w:rFonts w:ascii="Verdana" w:hAnsi="Verdana"/>
          <w:bCs/>
          <w:sz w:val="20"/>
          <w:szCs w:val="20"/>
          <w:lang w:val="pt-BR"/>
        </w:rPr>
        <w:t xml:space="preserve">das </w:t>
      </w:r>
      <w:r w:rsidR="006D574F" w:rsidRPr="0038442F">
        <w:rPr>
          <w:rFonts w:ascii="Verdana" w:hAnsi="Verdana"/>
          <w:bCs/>
          <w:sz w:val="20"/>
          <w:szCs w:val="20"/>
          <w:lang w:val="pt-BR"/>
        </w:rPr>
        <w:t>“</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perigosas</w:t>
      </w:r>
      <w:r w:rsidR="006D574F" w:rsidRPr="0038442F">
        <w:rPr>
          <w:rFonts w:ascii="Verdana" w:hAnsi="Verdana"/>
          <w:bCs/>
          <w:sz w:val="20"/>
          <w:szCs w:val="20"/>
          <w:lang w:val="pt-BR"/>
        </w:rPr>
        <w:t xml:space="preserve">” dentro </w:t>
      </w:r>
      <w:r w:rsidR="00C92762" w:rsidRPr="0038442F">
        <w:rPr>
          <w:rFonts w:ascii="Verdana" w:hAnsi="Verdana"/>
          <w:bCs/>
          <w:sz w:val="20"/>
          <w:szCs w:val="20"/>
          <w:lang w:val="pt-BR"/>
        </w:rPr>
        <w:t xml:space="preserve">das </w:t>
      </w:r>
      <w:r w:rsidR="006D574F" w:rsidRPr="0038442F">
        <w:rPr>
          <w:rFonts w:ascii="Verdana" w:hAnsi="Verdana"/>
          <w:bCs/>
          <w:sz w:val="20"/>
          <w:szCs w:val="20"/>
          <w:lang w:val="pt-BR"/>
        </w:rPr>
        <w:t>condi</w:t>
      </w:r>
      <w:r w:rsidR="000A1AA8" w:rsidRPr="0038442F">
        <w:rPr>
          <w:rFonts w:ascii="Verdana" w:hAnsi="Verdana"/>
          <w:bCs/>
          <w:sz w:val="20"/>
          <w:szCs w:val="20"/>
          <w:lang w:val="pt-BR"/>
        </w:rPr>
        <w:t>ções</w:t>
      </w:r>
      <w:r w:rsidR="006D574F" w:rsidRPr="0038442F">
        <w:rPr>
          <w:rFonts w:ascii="Verdana" w:hAnsi="Verdana"/>
          <w:bCs/>
          <w:sz w:val="20"/>
          <w:szCs w:val="20"/>
          <w:lang w:val="pt-BR"/>
        </w:rPr>
        <w:t xml:space="preserve"> labor</w:t>
      </w:r>
      <w:r w:rsidR="00C92762" w:rsidRPr="0038442F">
        <w:rPr>
          <w:rFonts w:ascii="Verdana" w:hAnsi="Verdana"/>
          <w:bCs/>
          <w:sz w:val="20"/>
          <w:szCs w:val="20"/>
          <w:lang w:val="pt-BR"/>
        </w:rPr>
        <w:t>ais</w:t>
      </w:r>
      <w:r w:rsidR="006D574F" w:rsidRPr="0038442F">
        <w:rPr>
          <w:rFonts w:ascii="Verdana" w:hAnsi="Verdana"/>
          <w:bCs/>
          <w:sz w:val="20"/>
          <w:szCs w:val="20"/>
          <w:lang w:val="pt-BR"/>
        </w:rPr>
        <w:t xml:space="preserve">. </w:t>
      </w:r>
      <w:r w:rsidR="00360928" w:rsidRPr="0038442F">
        <w:rPr>
          <w:rFonts w:ascii="Verdana" w:hAnsi="Verdana"/>
          <w:bCs/>
          <w:sz w:val="20"/>
          <w:szCs w:val="20"/>
          <w:lang w:val="pt-BR"/>
        </w:rPr>
        <w:t>No entanto</w:t>
      </w:r>
      <w:r w:rsidR="006D574F" w:rsidRPr="0038442F">
        <w:rPr>
          <w:rFonts w:ascii="Verdana" w:hAnsi="Verdana"/>
          <w:bCs/>
          <w:sz w:val="20"/>
          <w:szCs w:val="20"/>
          <w:lang w:val="pt-BR"/>
        </w:rPr>
        <w:t xml:space="preserve">, o que </w:t>
      </w:r>
      <w:r w:rsidR="008806F8" w:rsidRPr="0038442F">
        <w:rPr>
          <w:rFonts w:ascii="Verdana" w:hAnsi="Verdana"/>
          <w:bCs/>
          <w:sz w:val="20"/>
          <w:szCs w:val="20"/>
          <w:lang w:val="pt-BR"/>
        </w:rPr>
        <w:t xml:space="preserve">a Corte </w:t>
      </w:r>
      <w:r w:rsidR="00DD6F74" w:rsidRPr="0038442F">
        <w:rPr>
          <w:rFonts w:ascii="Verdana" w:hAnsi="Verdana"/>
          <w:bCs/>
          <w:sz w:val="20"/>
          <w:szCs w:val="20"/>
          <w:lang w:val="pt-BR"/>
        </w:rPr>
        <w:t xml:space="preserve">IDH </w:t>
      </w:r>
      <w:r w:rsidR="00360928" w:rsidRPr="0038442F">
        <w:rPr>
          <w:rFonts w:ascii="Verdana" w:hAnsi="Verdana"/>
          <w:bCs/>
          <w:sz w:val="20"/>
          <w:szCs w:val="20"/>
          <w:lang w:val="pt-BR"/>
        </w:rPr>
        <w:t xml:space="preserve">decidiu não é alheio à </w:t>
      </w:r>
      <w:r w:rsidR="00984A83" w:rsidRPr="0038442F">
        <w:rPr>
          <w:rFonts w:ascii="Verdana" w:hAnsi="Verdana"/>
          <w:bCs/>
          <w:sz w:val="20"/>
          <w:szCs w:val="20"/>
          <w:lang w:val="pt-BR"/>
        </w:rPr>
        <w:t>jurisprudência</w:t>
      </w:r>
      <w:r w:rsidR="00407242" w:rsidRPr="0038442F">
        <w:rPr>
          <w:rFonts w:ascii="Verdana" w:hAnsi="Verdana"/>
          <w:bCs/>
          <w:sz w:val="20"/>
          <w:szCs w:val="20"/>
          <w:lang w:val="pt-BR"/>
        </w:rPr>
        <w:t xml:space="preserve"> </w:t>
      </w:r>
      <w:r w:rsidR="00DD6F74" w:rsidRPr="0038442F">
        <w:rPr>
          <w:rFonts w:ascii="Verdana" w:hAnsi="Verdana"/>
          <w:bCs/>
          <w:sz w:val="20"/>
          <w:szCs w:val="20"/>
          <w:lang w:val="pt-BR"/>
        </w:rPr>
        <w:t>d</w:t>
      </w:r>
      <w:r w:rsidR="00360928" w:rsidRPr="0038442F">
        <w:rPr>
          <w:rFonts w:ascii="Verdana" w:hAnsi="Verdana"/>
          <w:bCs/>
          <w:sz w:val="20"/>
          <w:szCs w:val="20"/>
          <w:lang w:val="pt-BR"/>
        </w:rPr>
        <w:t>o</w:t>
      </w:r>
      <w:r w:rsidR="006D574F" w:rsidRPr="0038442F">
        <w:rPr>
          <w:rFonts w:ascii="Verdana" w:hAnsi="Verdana"/>
          <w:bCs/>
          <w:sz w:val="20"/>
          <w:szCs w:val="20"/>
          <w:lang w:val="pt-BR"/>
        </w:rPr>
        <w:t xml:space="preserve"> Tribunal Europe</w:t>
      </w:r>
      <w:r w:rsidR="00360928" w:rsidRPr="0038442F">
        <w:rPr>
          <w:rFonts w:ascii="Verdana" w:hAnsi="Verdana"/>
          <w:bCs/>
          <w:sz w:val="20"/>
          <w:szCs w:val="20"/>
          <w:lang w:val="pt-BR"/>
        </w:rPr>
        <w:t>u</w:t>
      </w:r>
      <w:r w:rsidR="006D574F" w:rsidRPr="0038442F">
        <w:rPr>
          <w:rFonts w:ascii="Verdana" w:hAnsi="Verdana"/>
          <w:bCs/>
          <w:sz w:val="20"/>
          <w:szCs w:val="20"/>
          <w:lang w:val="pt-BR"/>
        </w:rPr>
        <w:t xml:space="preserve"> de </w:t>
      </w:r>
      <w:r w:rsidR="00C92762"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6D574F" w:rsidRPr="0038442F">
        <w:rPr>
          <w:rFonts w:ascii="Verdana" w:hAnsi="Verdana"/>
          <w:bCs/>
          <w:sz w:val="20"/>
          <w:szCs w:val="20"/>
          <w:lang w:val="pt-BR"/>
        </w:rPr>
        <w:t>Humanos</w:t>
      </w:r>
      <w:r w:rsidR="00C321C3" w:rsidRPr="0038442F">
        <w:rPr>
          <w:rFonts w:ascii="Verdana" w:hAnsi="Verdana"/>
          <w:bCs/>
          <w:sz w:val="20"/>
          <w:szCs w:val="20"/>
          <w:lang w:val="pt-BR"/>
        </w:rPr>
        <w:t xml:space="preserve"> (</w:t>
      </w:r>
      <w:r w:rsidR="00360928" w:rsidRPr="0038442F">
        <w:rPr>
          <w:rFonts w:ascii="Verdana" w:hAnsi="Verdana"/>
          <w:bCs/>
          <w:sz w:val="20"/>
          <w:szCs w:val="20"/>
          <w:lang w:val="pt-BR"/>
        </w:rPr>
        <w:t xml:space="preserve">doravante denominado </w:t>
      </w:r>
      <w:r w:rsidR="00C321C3" w:rsidRPr="0038442F">
        <w:rPr>
          <w:rFonts w:ascii="Verdana" w:hAnsi="Verdana"/>
          <w:bCs/>
          <w:sz w:val="20"/>
          <w:szCs w:val="20"/>
          <w:lang w:val="pt-BR"/>
        </w:rPr>
        <w:t>“Tribunal Europe</w:t>
      </w:r>
      <w:r w:rsidR="00360928" w:rsidRPr="0038442F">
        <w:rPr>
          <w:rFonts w:ascii="Verdana" w:hAnsi="Verdana"/>
          <w:bCs/>
          <w:sz w:val="20"/>
          <w:szCs w:val="20"/>
          <w:lang w:val="pt-BR"/>
        </w:rPr>
        <w:t>u</w:t>
      </w:r>
      <w:r w:rsidR="00C321C3" w:rsidRPr="0038442F">
        <w:rPr>
          <w:rFonts w:ascii="Verdana" w:hAnsi="Verdana"/>
          <w:bCs/>
          <w:sz w:val="20"/>
          <w:szCs w:val="20"/>
          <w:lang w:val="pt-BR"/>
        </w:rPr>
        <w:t>” o</w:t>
      </w:r>
      <w:r w:rsidR="00360928" w:rsidRPr="0038442F">
        <w:rPr>
          <w:rFonts w:ascii="Verdana" w:hAnsi="Verdana"/>
          <w:bCs/>
          <w:sz w:val="20"/>
          <w:szCs w:val="20"/>
          <w:lang w:val="pt-BR"/>
        </w:rPr>
        <w:t>u</w:t>
      </w:r>
      <w:r w:rsidR="00C321C3" w:rsidRPr="0038442F">
        <w:rPr>
          <w:rFonts w:ascii="Verdana" w:hAnsi="Verdana"/>
          <w:bCs/>
          <w:sz w:val="20"/>
          <w:szCs w:val="20"/>
          <w:lang w:val="pt-BR"/>
        </w:rPr>
        <w:t xml:space="preserve"> “Tribunal de Estrasburgo</w:t>
      </w:r>
      <w:r w:rsidR="00084CA4" w:rsidRPr="0038442F">
        <w:rPr>
          <w:rFonts w:ascii="Verdana" w:hAnsi="Verdana"/>
          <w:bCs/>
          <w:sz w:val="20"/>
          <w:szCs w:val="20"/>
          <w:lang w:val="pt-BR"/>
        </w:rPr>
        <w:t>”</w:t>
      </w:r>
      <w:r w:rsidR="00C321C3" w:rsidRPr="0038442F">
        <w:rPr>
          <w:rFonts w:ascii="Verdana" w:hAnsi="Verdana"/>
          <w:bCs/>
          <w:sz w:val="20"/>
          <w:szCs w:val="20"/>
          <w:lang w:val="pt-BR"/>
        </w:rPr>
        <w:t>)</w:t>
      </w:r>
      <w:r w:rsidR="006D574F" w:rsidRPr="0038442F">
        <w:rPr>
          <w:rFonts w:ascii="Verdana" w:hAnsi="Verdana"/>
          <w:bCs/>
          <w:sz w:val="20"/>
          <w:szCs w:val="20"/>
          <w:lang w:val="pt-BR"/>
        </w:rPr>
        <w:t xml:space="preserve"> </w:t>
      </w:r>
      <w:r w:rsidR="00360928" w:rsidRPr="0038442F">
        <w:rPr>
          <w:rFonts w:ascii="Verdana" w:hAnsi="Verdana"/>
          <w:bCs/>
          <w:sz w:val="20"/>
          <w:szCs w:val="20"/>
          <w:lang w:val="pt-BR"/>
        </w:rPr>
        <w:t xml:space="preserve">e </w:t>
      </w:r>
      <w:r w:rsidR="006B5285" w:rsidRPr="0038442F">
        <w:rPr>
          <w:rFonts w:ascii="Verdana" w:hAnsi="Verdana"/>
          <w:bCs/>
          <w:sz w:val="20"/>
          <w:szCs w:val="20"/>
          <w:lang w:val="pt-BR"/>
        </w:rPr>
        <w:t>d</w:t>
      </w:r>
      <w:r w:rsidR="00360928" w:rsidRPr="0038442F">
        <w:rPr>
          <w:rFonts w:ascii="Verdana" w:hAnsi="Verdana"/>
          <w:bCs/>
          <w:sz w:val="20"/>
          <w:szCs w:val="20"/>
          <w:lang w:val="pt-BR"/>
        </w:rPr>
        <w:t>o Comitê</w:t>
      </w:r>
      <w:r w:rsidR="00407242" w:rsidRPr="0038442F">
        <w:rPr>
          <w:rFonts w:ascii="Verdana" w:hAnsi="Verdana"/>
          <w:bCs/>
          <w:sz w:val="20"/>
          <w:szCs w:val="20"/>
          <w:lang w:val="pt-BR"/>
        </w:rPr>
        <w:t xml:space="preserve"> </w:t>
      </w:r>
      <w:r w:rsidR="006D574F" w:rsidRPr="0038442F">
        <w:rPr>
          <w:rFonts w:ascii="Verdana" w:hAnsi="Verdana"/>
          <w:bCs/>
          <w:sz w:val="20"/>
          <w:szCs w:val="20"/>
          <w:lang w:val="pt-BR"/>
        </w:rPr>
        <w:t>Europe</w:t>
      </w:r>
      <w:r w:rsidR="00360928" w:rsidRPr="0038442F">
        <w:rPr>
          <w:rFonts w:ascii="Verdana" w:hAnsi="Verdana"/>
          <w:bCs/>
          <w:sz w:val="20"/>
          <w:szCs w:val="20"/>
          <w:lang w:val="pt-BR"/>
        </w:rPr>
        <w:t>u</w:t>
      </w:r>
      <w:r w:rsidR="006D574F" w:rsidRPr="0038442F">
        <w:rPr>
          <w:rFonts w:ascii="Verdana" w:hAnsi="Verdana"/>
          <w:bCs/>
          <w:sz w:val="20"/>
          <w:szCs w:val="20"/>
          <w:lang w:val="pt-BR"/>
        </w:rPr>
        <w:t xml:space="preserve"> de </w:t>
      </w:r>
      <w:r w:rsidR="00C92762"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C321C3" w:rsidRPr="0038442F">
        <w:rPr>
          <w:rFonts w:ascii="Verdana" w:hAnsi="Verdana"/>
          <w:bCs/>
          <w:sz w:val="20"/>
          <w:szCs w:val="20"/>
          <w:lang w:val="pt-BR"/>
        </w:rPr>
        <w:t>Soci</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C321C3" w:rsidRPr="0038442F">
        <w:rPr>
          <w:rFonts w:ascii="Verdana" w:hAnsi="Verdana"/>
          <w:bCs/>
          <w:sz w:val="20"/>
          <w:szCs w:val="20"/>
          <w:lang w:val="pt-BR"/>
        </w:rPr>
        <w:t>(</w:t>
      </w:r>
      <w:r w:rsidR="00360928" w:rsidRPr="0038442F">
        <w:rPr>
          <w:rFonts w:ascii="Verdana" w:hAnsi="Verdana"/>
          <w:bCs/>
          <w:sz w:val="20"/>
          <w:szCs w:val="20"/>
          <w:lang w:val="pt-BR"/>
        </w:rPr>
        <w:t xml:space="preserve">doravante denominado </w:t>
      </w:r>
      <w:r w:rsidR="00C321C3" w:rsidRPr="0038442F">
        <w:rPr>
          <w:rFonts w:ascii="Verdana" w:hAnsi="Verdana"/>
          <w:bCs/>
          <w:sz w:val="20"/>
          <w:szCs w:val="20"/>
          <w:lang w:val="pt-BR"/>
        </w:rPr>
        <w:t>“</w:t>
      </w:r>
      <w:r w:rsidR="00360928" w:rsidRPr="0038442F">
        <w:rPr>
          <w:rFonts w:ascii="Verdana" w:hAnsi="Verdana"/>
          <w:bCs/>
          <w:sz w:val="20"/>
          <w:szCs w:val="20"/>
          <w:lang w:val="pt-BR"/>
        </w:rPr>
        <w:t>Comitê</w:t>
      </w:r>
      <w:r w:rsidR="00407242" w:rsidRPr="0038442F">
        <w:rPr>
          <w:rFonts w:ascii="Verdana" w:hAnsi="Verdana"/>
          <w:bCs/>
          <w:sz w:val="20"/>
          <w:szCs w:val="20"/>
          <w:lang w:val="pt-BR"/>
        </w:rPr>
        <w:t xml:space="preserve"> </w:t>
      </w:r>
      <w:r w:rsidR="00C321C3" w:rsidRPr="0038442F">
        <w:rPr>
          <w:rFonts w:ascii="Verdana" w:hAnsi="Verdana"/>
          <w:bCs/>
          <w:sz w:val="20"/>
          <w:szCs w:val="20"/>
          <w:lang w:val="pt-BR"/>
        </w:rPr>
        <w:t>Europe</w:t>
      </w:r>
      <w:r w:rsidR="00360928" w:rsidRPr="0038442F">
        <w:rPr>
          <w:rFonts w:ascii="Verdana" w:hAnsi="Verdana"/>
          <w:bCs/>
          <w:sz w:val="20"/>
          <w:szCs w:val="20"/>
          <w:lang w:val="pt-BR"/>
        </w:rPr>
        <w:t>u</w:t>
      </w:r>
      <w:r w:rsidR="00C321C3" w:rsidRPr="0038442F">
        <w:rPr>
          <w:rFonts w:ascii="Verdana" w:hAnsi="Verdana"/>
          <w:bCs/>
          <w:sz w:val="20"/>
          <w:szCs w:val="20"/>
          <w:lang w:val="pt-BR"/>
        </w:rPr>
        <w:t xml:space="preserve">”), como se </w:t>
      </w:r>
      <w:r w:rsidR="00360928" w:rsidRPr="0038442F">
        <w:rPr>
          <w:rFonts w:ascii="Verdana" w:hAnsi="Verdana"/>
          <w:bCs/>
          <w:sz w:val="20"/>
          <w:szCs w:val="20"/>
          <w:lang w:val="pt-BR"/>
        </w:rPr>
        <w:t>exporá a seguir</w:t>
      </w:r>
      <w:r w:rsidR="006D574F" w:rsidRPr="0038442F">
        <w:rPr>
          <w:rFonts w:ascii="Verdana" w:hAnsi="Verdana"/>
          <w:bCs/>
          <w:sz w:val="20"/>
          <w:szCs w:val="20"/>
          <w:lang w:val="pt-BR"/>
        </w:rPr>
        <w:t xml:space="preserve">. </w:t>
      </w:r>
    </w:p>
    <w:p w14:paraId="3CF202C3" w14:textId="77777777" w:rsidR="006D574F" w:rsidRPr="0038442F" w:rsidRDefault="006D574F" w:rsidP="00A857CB">
      <w:pPr>
        <w:pStyle w:val="Prrafodelista"/>
        <w:spacing w:line="240" w:lineRule="auto"/>
        <w:ind w:left="0"/>
        <w:jc w:val="both"/>
        <w:rPr>
          <w:rFonts w:ascii="Verdana" w:hAnsi="Verdana"/>
          <w:bCs/>
          <w:sz w:val="20"/>
          <w:szCs w:val="20"/>
          <w:lang w:val="pt-BR"/>
        </w:rPr>
      </w:pPr>
    </w:p>
    <w:p w14:paraId="2B60DAB1" w14:textId="68E2CE18" w:rsidR="00E5031B"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33. </w:t>
      </w:r>
      <w:r w:rsidRPr="0038442F">
        <w:rPr>
          <w:rFonts w:ascii="Verdana" w:hAnsi="Verdana"/>
          <w:bCs/>
          <w:sz w:val="20"/>
          <w:szCs w:val="20"/>
          <w:lang w:val="pt-BR"/>
        </w:rPr>
        <w:tab/>
      </w:r>
      <w:r w:rsidR="00360928" w:rsidRPr="0038442F">
        <w:rPr>
          <w:rFonts w:ascii="Verdana" w:hAnsi="Verdana"/>
          <w:bCs/>
          <w:sz w:val="20"/>
          <w:szCs w:val="20"/>
          <w:lang w:val="pt-BR"/>
        </w:rPr>
        <w:t xml:space="preserve">Na </w:t>
      </w:r>
      <w:r w:rsidR="00BF7A10" w:rsidRPr="0038442F">
        <w:rPr>
          <w:rFonts w:ascii="Verdana" w:hAnsi="Verdana"/>
          <w:bCs/>
          <w:sz w:val="20"/>
          <w:szCs w:val="20"/>
          <w:lang w:val="pt-BR"/>
        </w:rPr>
        <w:t>sentença</w:t>
      </w:r>
      <w:r w:rsidR="00360928" w:rsidRPr="0038442F">
        <w:rPr>
          <w:rFonts w:ascii="Verdana" w:hAnsi="Verdana"/>
          <w:bCs/>
          <w:sz w:val="20"/>
          <w:szCs w:val="20"/>
          <w:lang w:val="pt-BR"/>
        </w:rPr>
        <w:t>,</w:t>
      </w:r>
      <w:r w:rsidR="00407242" w:rsidRPr="0038442F">
        <w:rPr>
          <w:rFonts w:ascii="Verdana" w:hAnsi="Verdana"/>
          <w:bCs/>
          <w:sz w:val="20"/>
          <w:szCs w:val="20"/>
          <w:lang w:val="pt-BR"/>
        </w:rPr>
        <w:t xml:space="preserve"> </w:t>
      </w:r>
      <w:r w:rsidR="008806F8" w:rsidRPr="0038442F">
        <w:rPr>
          <w:rFonts w:ascii="Verdana" w:hAnsi="Verdana"/>
          <w:bCs/>
          <w:sz w:val="20"/>
          <w:szCs w:val="20"/>
          <w:lang w:val="pt-BR"/>
        </w:rPr>
        <w:t xml:space="preserve">a Corte </w:t>
      </w:r>
      <w:r w:rsidR="00E8110C" w:rsidRPr="0038442F">
        <w:rPr>
          <w:rFonts w:ascii="Verdana" w:hAnsi="Verdana"/>
          <w:bCs/>
          <w:sz w:val="20"/>
          <w:szCs w:val="20"/>
          <w:lang w:val="pt-BR"/>
        </w:rPr>
        <w:t xml:space="preserve">IDH </w:t>
      </w:r>
      <w:r w:rsidR="00360928" w:rsidRPr="0038442F">
        <w:rPr>
          <w:rFonts w:ascii="Verdana" w:hAnsi="Verdana"/>
          <w:bCs/>
          <w:sz w:val="20"/>
          <w:szCs w:val="20"/>
          <w:lang w:val="pt-BR"/>
        </w:rPr>
        <w:t xml:space="preserve">considerou </w:t>
      </w:r>
      <w:r w:rsidR="00E5031B" w:rsidRPr="0038442F">
        <w:rPr>
          <w:rFonts w:ascii="Verdana" w:hAnsi="Verdana"/>
          <w:bCs/>
          <w:sz w:val="20"/>
          <w:szCs w:val="20"/>
          <w:lang w:val="pt-BR"/>
        </w:rPr>
        <w:t>que</w:t>
      </w:r>
      <w:r w:rsidR="00E8110C" w:rsidRPr="0038442F">
        <w:rPr>
          <w:rFonts w:ascii="Verdana" w:hAnsi="Verdana"/>
          <w:bCs/>
          <w:sz w:val="20"/>
          <w:szCs w:val="20"/>
          <w:lang w:val="pt-BR"/>
        </w:rPr>
        <w:t xml:space="preserve">: </w:t>
      </w:r>
    </w:p>
    <w:p w14:paraId="3DB288B3" w14:textId="6827A278" w:rsidR="00E5031B" w:rsidRPr="0038442F" w:rsidRDefault="00E5031B" w:rsidP="00A857CB">
      <w:pPr>
        <w:numPr>
          <w:ilvl w:val="0"/>
          <w:numId w:val="5"/>
        </w:numPr>
        <w:ind w:left="851" w:right="473" w:firstLine="0"/>
        <w:jc w:val="both"/>
        <w:rPr>
          <w:rFonts w:ascii="Verdana" w:hAnsi="Verdana"/>
          <w:sz w:val="16"/>
          <w:szCs w:val="16"/>
          <w:lang w:val="pt-BR"/>
        </w:rPr>
      </w:pPr>
      <w:r w:rsidRPr="0038442F">
        <w:rPr>
          <w:rFonts w:ascii="Verdana" w:hAnsi="Verdana"/>
          <w:sz w:val="16"/>
          <w:szCs w:val="16"/>
          <w:lang w:val="pt-BR"/>
        </w:rPr>
        <w:t>[…] T</w:t>
      </w:r>
      <w:r w:rsidR="00360928" w:rsidRPr="0038442F">
        <w:rPr>
          <w:rFonts w:ascii="Verdana" w:hAnsi="Verdana"/>
          <w:sz w:val="16"/>
          <w:szCs w:val="16"/>
          <w:lang w:val="pt-BR"/>
        </w:rPr>
        <w:t>u</w:t>
      </w:r>
      <w:r w:rsidRPr="0038442F">
        <w:rPr>
          <w:rFonts w:ascii="Verdana" w:hAnsi="Verdana"/>
          <w:sz w:val="16"/>
          <w:szCs w:val="16"/>
          <w:lang w:val="pt-BR"/>
        </w:rPr>
        <w:t xml:space="preserve">do […] </w:t>
      </w:r>
      <w:r w:rsidR="00360928" w:rsidRPr="0038442F">
        <w:rPr>
          <w:rFonts w:ascii="Verdana" w:hAnsi="Verdana"/>
          <w:sz w:val="16"/>
          <w:szCs w:val="16"/>
          <w:lang w:val="pt-BR"/>
        </w:rPr>
        <w:t xml:space="preserve">ocorreu sem que o </w:t>
      </w:r>
      <w:r w:rsidR="000A1AA8" w:rsidRPr="0038442F">
        <w:rPr>
          <w:rFonts w:ascii="Verdana" w:hAnsi="Verdana"/>
          <w:sz w:val="16"/>
          <w:szCs w:val="16"/>
          <w:lang w:val="pt-BR"/>
        </w:rPr>
        <w:t xml:space="preserve">Estado </w:t>
      </w:r>
      <w:r w:rsidRPr="0038442F">
        <w:rPr>
          <w:rFonts w:ascii="Verdana" w:hAnsi="Verdana"/>
          <w:sz w:val="16"/>
          <w:szCs w:val="16"/>
          <w:lang w:val="pt-BR"/>
        </w:rPr>
        <w:t>e</w:t>
      </w:r>
      <w:r w:rsidR="00360928" w:rsidRPr="0038442F">
        <w:rPr>
          <w:rFonts w:ascii="Verdana" w:hAnsi="Verdana"/>
          <w:sz w:val="16"/>
          <w:szCs w:val="16"/>
          <w:lang w:val="pt-BR"/>
        </w:rPr>
        <w:t>x</w:t>
      </w:r>
      <w:r w:rsidRPr="0038442F">
        <w:rPr>
          <w:rFonts w:ascii="Verdana" w:hAnsi="Verdana"/>
          <w:sz w:val="16"/>
          <w:szCs w:val="16"/>
          <w:lang w:val="pt-BR"/>
        </w:rPr>
        <w:t>erce</w:t>
      </w:r>
      <w:r w:rsidR="00360928" w:rsidRPr="0038442F">
        <w:rPr>
          <w:rFonts w:ascii="Verdana" w:hAnsi="Verdana"/>
          <w:sz w:val="16"/>
          <w:szCs w:val="16"/>
          <w:lang w:val="pt-BR"/>
        </w:rPr>
        <w:t>sse</w:t>
      </w:r>
      <w:r w:rsidRPr="0038442F">
        <w:rPr>
          <w:rFonts w:ascii="Verdana" w:hAnsi="Verdana"/>
          <w:sz w:val="16"/>
          <w:szCs w:val="16"/>
          <w:lang w:val="pt-BR"/>
        </w:rPr>
        <w:t xml:space="preserve"> </w:t>
      </w:r>
      <w:r w:rsidR="002D2A74">
        <w:rPr>
          <w:rFonts w:ascii="Verdana" w:hAnsi="Verdana"/>
          <w:sz w:val="16"/>
          <w:szCs w:val="16"/>
          <w:lang w:val="pt-BR"/>
        </w:rPr>
        <w:t>qualquer atividade</w:t>
      </w:r>
      <w:r w:rsidR="00360928" w:rsidRPr="0038442F">
        <w:rPr>
          <w:rFonts w:ascii="Verdana" w:hAnsi="Verdana"/>
          <w:sz w:val="16"/>
          <w:szCs w:val="16"/>
          <w:lang w:val="pt-BR"/>
        </w:rPr>
        <w:t xml:space="preserve"> </w:t>
      </w:r>
      <w:r w:rsidRPr="0038442F">
        <w:rPr>
          <w:rFonts w:ascii="Verdana" w:hAnsi="Verdana"/>
          <w:sz w:val="16"/>
          <w:szCs w:val="16"/>
          <w:lang w:val="pt-BR"/>
        </w:rPr>
        <w:t xml:space="preserve">de </w:t>
      </w:r>
      <w:r w:rsidR="00A97590" w:rsidRPr="0038442F">
        <w:rPr>
          <w:rFonts w:ascii="Verdana" w:hAnsi="Verdana"/>
          <w:sz w:val="16"/>
          <w:szCs w:val="16"/>
          <w:lang w:val="pt-BR"/>
        </w:rPr>
        <w:t>supervisão</w:t>
      </w:r>
      <w:r w:rsidR="00407242" w:rsidRPr="0038442F">
        <w:rPr>
          <w:rFonts w:ascii="Verdana" w:hAnsi="Verdana"/>
          <w:sz w:val="16"/>
          <w:szCs w:val="16"/>
          <w:lang w:val="pt-BR"/>
        </w:rPr>
        <w:t xml:space="preserve"> </w:t>
      </w:r>
      <w:r w:rsidRPr="0038442F">
        <w:rPr>
          <w:rFonts w:ascii="Verdana" w:hAnsi="Verdana"/>
          <w:sz w:val="16"/>
          <w:szCs w:val="16"/>
          <w:lang w:val="pt-BR"/>
        </w:rPr>
        <w:t>o</w:t>
      </w:r>
      <w:r w:rsidR="00360928" w:rsidRPr="0038442F">
        <w:rPr>
          <w:rFonts w:ascii="Verdana" w:hAnsi="Verdana"/>
          <w:sz w:val="16"/>
          <w:szCs w:val="16"/>
          <w:lang w:val="pt-BR"/>
        </w:rPr>
        <w:t>u</w:t>
      </w:r>
      <w:r w:rsidRPr="0038442F">
        <w:rPr>
          <w:rFonts w:ascii="Verdana" w:hAnsi="Verdana"/>
          <w:sz w:val="16"/>
          <w:szCs w:val="16"/>
          <w:lang w:val="pt-BR"/>
        </w:rPr>
        <w:t xml:space="preserve"> fiscaliza</w:t>
      </w:r>
      <w:r w:rsidR="000A1AA8" w:rsidRPr="0038442F">
        <w:rPr>
          <w:rFonts w:ascii="Verdana" w:hAnsi="Verdana"/>
          <w:sz w:val="16"/>
          <w:szCs w:val="16"/>
          <w:lang w:val="pt-BR"/>
        </w:rPr>
        <w:t>ção</w:t>
      </w:r>
      <w:r w:rsidRPr="0038442F">
        <w:rPr>
          <w:rFonts w:ascii="Verdana" w:hAnsi="Verdana"/>
          <w:sz w:val="16"/>
          <w:szCs w:val="16"/>
          <w:lang w:val="pt-BR"/>
        </w:rPr>
        <w:t xml:space="preserve"> </w:t>
      </w:r>
      <w:r w:rsidR="00360928" w:rsidRPr="0038442F">
        <w:rPr>
          <w:rFonts w:ascii="Verdana" w:hAnsi="Verdana"/>
          <w:bCs/>
          <w:i/>
          <w:sz w:val="16"/>
          <w:szCs w:val="16"/>
          <w:u w:val="single"/>
          <w:lang w:val="pt-BR"/>
        </w:rPr>
        <w:t>destinad</w:t>
      </w:r>
      <w:r w:rsidR="002D2A74">
        <w:rPr>
          <w:rFonts w:ascii="Verdana" w:hAnsi="Verdana"/>
          <w:bCs/>
          <w:i/>
          <w:sz w:val="16"/>
          <w:szCs w:val="16"/>
          <w:u w:val="single"/>
          <w:lang w:val="pt-BR"/>
        </w:rPr>
        <w:t>a</w:t>
      </w:r>
      <w:r w:rsidR="00360928" w:rsidRPr="0038442F">
        <w:rPr>
          <w:rFonts w:ascii="Verdana" w:hAnsi="Verdana"/>
          <w:bCs/>
          <w:i/>
          <w:sz w:val="16"/>
          <w:szCs w:val="16"/>
          <w:u w:val="single"/>
          <w:lang w:val="pt-BR"/>
        </w:rPr>
        <w:t xml:space="preserve"> </w:t>
      </w:r>
      <w:r w:rsidRPr="0038442F">
        <w:rPr>
          <w:rFonts w:ascii="Verdana" w:hAnsi="Verdana"/>
          <w:bCs/>
          <w:i/>
          <w:sz w:val="16"/>
          <w:szCs w:val="16"/>
          <w:u w:val="single"/>
          <w:lang w:val="pt-BR"/>
        </w:rPr>
        <w:t>a verificar as condi</w:t>
      </w:r>
      <w:r w:rsidR="000A1AA8" w:rsidRPr="0038442F">
        <w:rPr>
          <w:rFonts w:ascii="Verdana" w:hAnsi="Verdana"/>
          <w:bCs/>
          <w:i/>
          <w:sz w:val="16"/>
          <w:szCs w:val="16"/>
          <w:u w:val="single"/>
          <w:lang w:val="pt-BR"/>
        </w:rPr>
        <w:t>ções</w:t>
      </w:r>
      <w:r w:rsidRPr="0038442F">
        <w:rPr>
          <w:rFonts w:ascii="Verdana" w:hAnsi="Verdana"/>
          <w:sz w:val="16"/>
          <w:szCs w:val="16"/>
          <w:lang w:val="pt-BR"/>
        </w:rPr>
        <w:t xml:space="preserve"> </w:t>
      </w:r>
      <w:r w:rsidR="00360928" w:rsidRPr="0038442F">
        <w:rPr>
          <w:rFonts w:ascii="Verdana" w:hAnsi="Verdana"/>
          <w:sz w:val="16"/>
          <w:szCs w:val="16"/>
          <w:lang w:val="pt-BR"/>
        </w:rPr>
        <w:t xml:space="preserve">oferecidas àqueles que trabalhavam na </w:t>
      </w:r>
      <w:r w:rsidRPr="0038442F">
        <w:rPr>
          <w:rFonts w:ascii="Verdana" w:hAnsi="Verdana"/>
          <w:sz w:val="16"/>
          <w:szCs w:val="16"/>
          <w:lang w:val="pt-BR"/>
        </w:rPr>
        <w:t xml:space="preserve">fábrica de </w:t>
      </w:r>
      <w:r w:rsidR="008806F8" w:rsidRPr="0038442F">
        <w:rPr>
          <w:rFonts w:ascii="Verdana" w:hAnsi="Verdana"/>
          <w:sz w:val="16"/>
          <w:szCs w:val="16"/>
          <w:lang w:val="pt-BR"/>
        </w:rPr>
        <w:t>fogos</w:t>
      </w:r>
      <w:r w:rsidRPr="0038442F">
        <w:rPr>
          <w:rFonts w:ascii="Verdana" w:hAnsi="Verdana"/>
          <w:sz w:val="16"/>
          <w:szCs w:val="16"/>
          <w:lang w:val="pt-BR"/>
        </w:rPr>
        <w:t xml:space="preserve">, </w:t>
      </w:r>
      <w:r w:rsidR="00360928" w:rsidRPr="0038442F">
        <w:rPr>
          <w:rFonts w:ascii="Verdana" w:hAnsi="Verdana"/>
          <w:sz w:val="16"/>
          <w:szCs w:val="16"/>
          <w:lang w:val="pt-BR"/>
        </w:rPr>
        <w:t xml:space="preserve">ou empreendesse alguma </w:t>
      </w:r>
      <w:r w:rsidRPr="0038442F">
        <w:rPr>
          <w:rFonts w:ascii="Verdana" w:hAnsi="Verdana"/>
          <w:sz w:val="16"/>
          <w:szCs w:val="16"/>
          <w:lang w:val="pt-BR"/>
        </w:rPr>
        <w:t>a</w:t>
      </w:r>
      <w:r w:rsidR="000A1AA8" w:rsidRPr="0038442F">
        <w:rPr>
          <w:rFonts w:ascii="Verdana" w:hAnsi="Verdana"/>
          <w:sz w:val="16"/>
          <w:szCs w:val="16"/>
          <w:lang w:val="pt-BR"/>
        </w:rPr>
        <w:t>ção</w:t>
      </w:r>
      <w:r w:rsidRPr="0038442F">
        <w:rPr>
          <w:rFonts w:ascii="Verdana" w:hAnsi="Verdana"/>
          <w:sz w:val="16"/>
          <w:szCs w:val="16"/>
          <w:lang w:val="pt-BR"/>
        </w:rPr>
        <w:t xml:space="preserve"> </w:t>
      </w:r>
      <w:r w:rsidR="00360928" w:rsidRPr="0038442F">
        <w:rPr>
          <w:rFonts w:ascii="Verdana" w:hAnsi="Verdana"/>
          <w:sz w:val="16"/>
          <w:szCs w:val="16"/>
          <w:lang w:val="pt-BR"/>
        </w:rPr>
        <w:t>voltada par</w:t>
      </w:r>
      <w:r w:rsidRPr="0038442F">
        <w:rPr>
          <w:rFonts w:ascii="Verdana" w:hAnsi="Verdana"/>
          <w:sz w:val="16"/>
          <w:szCs w:val="16"/>
          <w:lang w:val="pt-BR"/>
        </w:rPr>
        <w:t xml:space="preserve">a </w:t>
      </w:r>
      <w:r w:rsidR="00360928" w:rsidRPr="0038442F">
        <w:rPr>
          <w:rFonts w:ascii="Verdana" w:hAnsi="Verdana"/>
          <w:bCs/>
          <w:i/>
          <w:sz w:val="16"/>
          <w:szCs w:val="16"/>
          <w:u w:val="single"/>
          <w:lang w:val="pt-BR"/>
        </w:rPr>
        <w:t xml:space="preserve">a prevenção de </w:t>
      </w:r>
      <w:r w:rsidRPr="0038442F">
        <w:rPr>
          <w:rFonts w:ascii="Verdana" w:hAnsi="Verdana"/>
          <w:bCs/>
          <w:i/>
          <w:sz w:val="16"/>
          <w:szCs w:val="16"/>
          <w:u w:val="single"/>
          <w:lang w:val="pt-BR"/>
        </w:rPr>
        <w:t>acidentes</w:t>
      </w:r>
      <w:r w:rsidR="00360928" w:rsidRPr="0038442F">
        <w:rPr>
          <w:rFonts w:ascii="Verdana" w:hAnsi="Verdana"/>
          <w:bCs/>
          <w:i/>
          <w:sz w:val="16"/>
          <w:szCs w:val="16"/>
          <w:lang w:val="pt-BR"/>
        </w:rPr>
        <w:t>,</w:t>
      </w:r>
      <w:r w:rsidRPr="0038442F">
        <w:rPr>
          <w:rFonts w:ascii="Verdana" w:hAnsi="Verdana"/>
          <w:sz w:val="16"/>
          <w:szCs w:val="16"/>
          <w:lang w:val="pt-BR"/>
        </w:rPr>
        <w:t xml:space="preserve"> </w:t>
      </w:r>
      <w:r w:rsidR="00360928" w:rsidRPr="0038442F">
        <w:rPr>
          <w:rFonts w:ascii="Verdana" w:hAnsi="Verdana"/>
          <w:sz w:val="16"/>
          <w:szCs w:val="16"/>
          <w:lang w:val="pt-BR"/>
        </w:rPr>
        <w:t xml:space="preserve">embora a atividade desenvolvida na </w:t>
      </w:r>
      <w:r w:rsidRPr="0038442F">
        <w:rPr>
          <w:rFonts w:ascii="Verdana" w:hAnsi="Verdana"/>
          <w:sz w:val="16"/>
          <w:szCs w:val="16"/>
          <w:lang w:val="pt-BR"/>
        </w:rPr>
        <w:t xml:space="preserve">fábrica </w:t>
      </w:r>
      <w:r w:rsidR="00360928" w:rsidRPr="0038442F">
        <w:rPr>
          <w:rFonts w:ascii="Verdana" w:hAnsi="Verdana"/>
          <w:sz w:val="16"/>
          <w:szCs w:val="16"/>
          <w:lang w:val="pt-BR"/>
        </w:rPr>
        <w:t xml:space="preserve">fosse </w:t>
      </w:r>
      <w:r w:rsidRPr="0038442F">
        <w:rPr>
          <w:rFonts w:ascii="Verdana" w:hAnsi="Verdana"/>
          <w:sz w:val="16"/>
          <w:szCs w:val="16"/>
          <w:lang w:val="pt-BR"/>
        </w:rPr>
        <w:t xml:space="preserve">caracterizada </w:t>
      </w:r>
      <w:r w:rsidR="000A1AA8" w:rsidRPr="0038442F">
        <w:rPr>
          <w:rFonts w:ascii="Verdana" w:hAnsi="Verdana"/>
          <w:sz w:val="16"/>
          <w:szCs w:val="16"/>
          <w:lang w:val="pt-BR"/>
        </w:rPr>
        <w:t xml:space="preserve">pela </w:t>
      </w:r>
      <w:r w:rsidR="00360928" w:rsidRPr="0038442F">
        <w:rPr>
          <w:rFonts w:ascii="Verdana" w:hAnsi="Verdana"/>
          <w:sz w:val="16"/>
          <w:szCs w:val="16"/>
          <w:lang w:val="pt-BR"/>
        </w:rPr>
        <w:t xml:space="preserve">legislação </w:t>
      </w:r>
      <w:r w:rsidRPr="0038442F">
        <w:rPr>
          <w:rFonts w:ascii="Verdana" w:hAnsi="Verdana"/>
          <w:sz w:val="16"/>
          <w:szCs w:val="16"/>
          <w:lang w:val="pt-BR"/>
        </w:rPr>
        <w:t xml:space="preserve">como especialmente </w:t>
      </w:r>
      <w:r w:rsidR="00360928" w:rsidRPr="0038442F">
        <w:rPr>
          <w:rFonts w:ascii="Verdana" w:hAnsi="Verdana"/>
          <w:sz w:val="16"/>
          <w:szCs w:val="16"/>
          <w:lang w:val="pt-BR"/>
        </w:rPr>
        <w:t>perigosa</w:t>
      </w:r>
      <w:r w:rsidRPr="0038442F">
        <w:rPr>
          <w:rFonts w:ascii="Verdana" w:hAnsi="Verdana"/>
          <w:sz w:val="16"/>
          <w:szCs w:val="16"/>
          <w:lang w:val="pt-BR"/>
        </w:rPr>
        <w:t xml:space="preserve">. </w:t>
      </w:r>
    </w:p>
    <w:p w14:paraId="0533110D" w14:textId="77777777" w:rsidR="00E5031B" w:rsidRPr="0038442F" w:rsidRDefault="00E5031B" w:rsidP="00A857CB">
      <w:pPr>
        <w:ind w:left="851" w:right="473"/>
        <w:jc w:val="both"/>
        <w:rPr>
          <w:rFonts w:ascii="Verdana" w:hAnsi="Verdana"/>
          <w:sz w:val="16"/>
          <w:szCs w:val="16"/>
          <w:lang w:val="pt-BR"/>
        </w:rPr>
      </w:pPr>
    </w:p>
    <w:p w14:paraId="1321C0EB" w14:textId="28230CB7" w:rsidR="00542497" w:rsidRPr="0038442F" w:rsidRDefault="00E5031B" w:rsidP="00A857CB">
      <w:pPr>
        <w:numPr>
          <w:ilvl w:val="0"/>
          <w:numId w:val="5"/>
        </w:numPr>
        <w:ind w:left="851" w:right="473" w:firstLine="0"/>
        <w:jc w:val="both"/>
        <w:rPr>
          <w:rFonts w:ascii="Verdana" w:hAnsi="Verdana"/>
          <w:sz w:val="16"/>
          <w:szCs w:val="16"/>
          <w:lang w:val="pt-BR"/>
        </w:rPr>
      </w:pPr>
      <w:r w:rsidRPr="0038442F">
        <w:rPr>
          <w:rFonts w:ascii="Verdana" w:hAnsi="Verdana"/>
          <w:sz w:val="16"/>
          <w:szCs w:val="16"/>
          <w:lang w:val="pt-BR"/>
        </w:rPr>
        <w:t xml:space="preserve">Conforme </w:t>
      </w:r>
      <w:r w:rsidR="00360928" w:rsidRPr="0038442F">
        <w:rPr>
          <w:rFonts w:ascii="Verdana" w:hAnsi="Verdana"/>
          <w:sz w:val="16"/>
          <w:szCs w:val="16"/>
          <w:lang w:val="pt-BR"/>
        </w:rPr>
        <w:t xml:space="preserve">o exposto, </w:t>
      </w:r>
      <w:r w:rsidR="000A1AA8" w:rsidRPr="0038442F">
        <w:rPr>
          <w:rFonts w:ascii="Verdana" w:hAnsi="Verdana"/>
          <w:sz w:val="16"/>
          <w:szCs w:val="16"/>
          <w:lang w:val="pt-BR"/>
        </w:rPr>
        <w:t xml:space="preserve">o Estado </w:t>
      </w:r>
      <w:r w:rsidR="002D2A74">
        <w:rPr>
          <w:rFonts w:ascii="Verdana" w:hAnsi="Verdana"/>
          <w:sz w:val="16"/>
          <w:szCs w:val="16"/>
          <w:lang w:val="pt-BR"/>
        </w:rPr>
        <w:t>violou</w:t>
      </w:r>
      <w:r w:rsidR="002D2A74" w:rsidRPr="0038442F">
        <w:rPr>
          <w:rFonts w:ascii="Verdana" w:hAnsi="Verdana"/>
          <w:sz w:val="16"/>
          <w:szCs w:val="16"/>
          <w:lang w:val="pt-BR"/>
        </w:rPr>
        <w:t xml:space="preserve"> </w:t>
      </w:r>
      <w:r w:rsidR="00360928" w:rsidRPr="0038442F">
        <w:rPr>
          <w:rFonts w:ascii="Verdana" w:hAnsi="Verdana"/>
          <w:sz w:val="16"/>
          <w:szCs w:val="16"/>
          <w:lang w:val="pt-BR"/>
        </w:rPr>
        <w:t xml:space="preserve">o </w:t>
      </w:r>
      <w:r w:rsidR="00CA30C5" w:rsidRPr="0038442F">
        <w:rPr>
          <w:rFonts w:ascii="Verdana" w:hAnsi="Verdana"/>
          <w:sz w:val="16"/>
          <w:szCs w:val="16"/>
          <w:lang w:val="pt-BR"/>
        </w:rPr>
        <w:t>direito</w:t>
      </w:r>
      <w:r w:rsidR="00407242" w:rsidRPr="0038442F">
        <w:rPr>
          <w:rFonts w:ascii="Verdana" w:hAnsi="Verdana"/>
          <w:sz w:val="16"/>
          <w:szCs w:val="16"/>
          <w:lang w:val="pt-BR"/>
        </w:rPr>
        <w:t xml:space="preserve"> </w:t>
      </w:r>
      <w:r w:rsidRPr="0038442F">
        <w:rPr>
          <w:rFonts w:ascii="Verdana" w:hAnsi="Verdana"/>
          <w:sz w:val="16"/>
          <w:szCs w:val="16"/>
          <w:lang w:val="pt-BR"/>
        </w:rPr>
        <w:t>a condi</w:t>
      </w:r>
      <w:r w:rsidR="000A1AA8" w:rsidRPr="0038442F">
        <w:rPr>
          <w:rFonts w:ascii="Verdana" w:hAnsi="Verdana"/>
          <w:sz w:val="16"/>
          <w:szCs w:val="16"/>
          <w:lang w:val="pt-BR"/>
        </w:rPr>
        <w:t>ções</w:t>
      </w:r>
      <w:r w:rsidRPr="0038442F">
        <w:rPr>
          <w:rFonts w:ascii="Verdana" w:hAnsi="Verdana"/>
          <w:sz w:val="16"/>
          <w:szCs w:val="16"/>
          <w:lang w:val="pt-BR"/>
        </w:rPr>
        <w:t xml:space="preserve"> equitativas </w:t>
      </w:r>
      <w:r w:rsidR="00360928" w:rsidRPr="0038442F">
        <w:rPr>
          <w:rFonts w:ascii="Verdana" w:hAnsi="Verdana"/>
          <w:sz w:val="16"/>
          <w:szCs w:val="16"/>
          <w:lang w:val="pt-BR"/>
        </w:rPr>
        <w:t>e</w:t>
      </w:r>
      <w:r w:rsidRPr="0038442F">
        <w:rPr>
          <w:rFonts w:ascii="Verdana" w:hAnsi="Verdana"/>
          <w:sz w:val="16"/>
          <w:szCs w:val="16"/>
          <w:lang w:val="pt-BR"/>
        </w:rPr>
        <w:t xml:space="preserve"> </w:t>
      </w:r>
      <w:r w:rsidR="00751189" w:rsidRPr="0038442F">
        <w:rPr>
          <w:rFonts w:ascii="Verdana" w:hAnsi="Verdana"/>
          <w:sz w:val="16"/>
          <w:szCs w:val="16"/>
          <w:lang w:val="pt-BR"/>
        </w:rPr>
        <w:t>satisfatórias</w:t>
      </w:r>
      <w:r w:rsidR="00407242" w:rsidRPr="0038442F">
        <w:rPr>
          <w:rFonts w:ascii="Verdana" w:hAnsi="Verdana"/>
          <w:sz w:val="16"/>
          <w:szCs w:val="16"/>
          <w:lang w:val="pt-BR"/>
        </w:rPr>
        <w:t xml:space="preserve"> </w:t>
      </w:r>
      <w:r w:rsidRPr="0038442F">
        <w:rPr>
          <w:rFonts w:ascii="Verdana" w:hAnsi="Verdana"/>
          <w:sz w:val="16"/>
          <w:szCs w:val="16"/>
          <w:lang w:val="pt-BR"/>
        </w:rPr>
        <w:t xml:space="preserve">de </w:t>
      </w:r>
      <w:r w:rsidR="00C92762" w:rsidRPr="0038442F">
        <w:rPr>
          <w:rFonts w:ascii="Verdana" w:hAnsi="Verdana"/>
          <w:sz w:val="16"/>
          <w:szCs w:val="16"/>
          <w:lang w:val="pt-BR"/>
        </w:rPr>
        <w:t>trabalho</w:t>
      </w:r>
      <w:r w:rsidRPr="0038442F">
        <w:rPr>
          <w:rFonts w:ascii="Verdana" w:hAnsi="Verdana"/>
          <w:sz w:val="16"/>
          <w:szCs w:val="16"/>
          <w:lang w:val="pt-BR"/>
        </w:rPr>
        <w:t xml:space="preserve">, </w:t>
      </w:r>
      <w:r w:rsidR="00BF7A10" w:rsidRPr="0038442F">
        <w:rPr>
          <w:rFonts w:ascii="Verdana" w:hAnsi="Verdana"/>
          <w:sz w:val="16"/>
          <w:szCs w:val="16"/>
          <w:lang w:val="pt-BR"/>
        </w:rPr>
        <w:t xml:space="preserve">na </w:t>
      </w:r>
      <w:r w:rsidRPr="0038442F">
        <w:rPr>
          <w:rFonts w:ascii="Verdana" w:hAnsi="Verdana"/>
          <w:sz w:val="16"/>
          <w:szCs w:val="16"/>
          <w:lang w:val="pt-BR"/>
        </w:rPr>
        <w:t>medida e</w:t>
      </w:r>
      <w:r w:rsidR="00360928" w:rsidRPr="0038442F">
        <w:rPr>
          <w:rFonts w:ascii="Verdana" w:hAnsi="Verdana"/>
          <w:sz w:val="16"/>
          <w:szCs w:val="16"/>
          <w:lang w:val="pt-BR"/>
        </w:rPr>
        <w:t>m</w:t>
      </w:r>
      <w:r w:rsidRPr="0038442F">
        <w:rPr>
          <w:rFonts w:ascii="Verdana" w:hAnsi="Verdana"/>
          <w:sz w:val="16"/>
          <w:szCs w:val="16"/>
          <w:lang w:val="pt-BR"/>
        </w:rPr>
        <w:t xml:space="preserve"> que </w:t>
      </w:r>
      <w:r w:rsidRPr="0038442F">
        <w:rPr>
          <w:rFonts w:ascii="Verdana" w:hAnsi="Verdana"/>
          <w:bCs/>
          <w:i/>
          <w:sz w:val="16"/>
          <w:szCs w:val="16"/>
          <w:u w:val="single"/>
          <w:lang w:val="pt-BR"/>
        </w:rPr>
        <w:t>fal</w:t>
      </w:r>
      <w:r w:rsidR="00360928" w:rsidRPr="0038442F">
        <w:rPr>
          <w:rFonts w:ascii="Verdana" w:hAnsi="Verdana"/>
          <w:bCs/>
          <w:i/>
          <w:sz w:val="16"/>
          <w:szCs w:val="16"/>
          <w:u w:val="single"/>
          <w:lang w:val="pt-BR"/>
        </w:rPr>
        <w:t xml:space="preserve">hou em seu </w:t>
      </w:r>
      <w:r w:rsidR="00A97590" w:rsidRPr="0038442F">
        <w:rPr>
          <w:rFonts w:ascii="Verdana" w:hAnsi="Verdana"/>
          <w:bCs/>
          <w:i/>
          <w:sz w:val="16"/>
          <w:szCs w:val="16"/>
          <w:u w:val="single"/>
          <w:lang w:val="pt-BR"/>
        </w:rPr>
        <w:t>dever</w:t>
      </w:r>
      <w:r w:rsidR="00407242" w:rsidRPr="0038442F">
        <w:rPr>
          <w:rFonts w:ascii="Verdana" w:hAnsi="Verdana"/>
          <w:bCs/>
          <w:i/>
          <w:sz w:val="16"/>
          <w:szCs w:val="16"/>
          <w:u w:val="single"/>
          <w:lang w:val="pt-BR"/>
        </w:rPr>
        <w:t xml:space="preserve"> </w:t>
      </w:r>
      <w:r w:rsidRPr="0038442F">
        <w:rPr>
          <w:rFonts w:ascii="Verdana" w:hAnsi="Verdana"/>
          <w:bCs/>
          <w:i/>
          <w:sz w:val="16"/>
          <w:szCs w:val="16"/>
          <w:u w:val="single"/>
          <w:lang w:val="pt-BR"/>
        </w:rPr>
        <w:t xml:space="preserve">de prevenir acidentes de </w:t>
      </w:r>
      <w:r w:rsidR="00C92762" w:rsidRPr="0038442F">
        <w:rPr>
          <w:rFonts w:ascii="Verdana" w:hAnsi="Verdana"/>
          <w:bCs/>
          <w:i/>
          <w:sz w:val="16"/>
          <w:szCs w:val="16"/>
          <w:u w:val="single"/>
          <w:lang w:val="pt-BR"/>
        </w:rPr>
        <w:t>trabalho</w:t>
      </w:r>
      <w:r w:rsidRPr="0038442F">
        <w:rPr>
          <w:rFonts w:ascii="Verdana" w:hAnsi="Verdana"/>
          <w:bCs/>
          <w:sz w:val="16"/>
          <w:szCs w:val="16"/>
          <w:lang w:val="pt-BR"/>
        </w:rPr>
        <w:t>.</w:t>
      </w:r>
      <w:r w:rsidRPr="0038442F">
        <w:rPr>
          <w:rFonts w:ascii="Verdana" w:hAnsi="Verdana"/>
          <w:b/>
          <w:bCs/>
          <w:sz w:val="16"/>
          <w:szCs w:val="16"/>
          <w:lang w:val="pt-BR"/>
        </w:rPr>
        <w:t xml:space="preserve"> </w:t>
      </w:r>
      <w:r w:rsidR="00360928" w:rsidRPr="0038442F">
        <w:rPr>
          <w:rFonts w:ascii="Verdana" w:hAnsi="Verdana"/>
          <w:bCs/>
          <w:sz w:val="16"/>
          <w:szCs w:val="16"/>
          <w:lang w:val="pt-BR"/>
        </w:rPr>
        <w:t xml:space="preserve">Esse </w:t>
      </w:r>
      <w:r w:rsidR="00A97590" w:rsidRPr="0038442F">
        <w:rPr>
          <w:rFonts w:ascii="Verdana" w:hAnsi="Verdana"/>
          <w:bCs/>
          <w:sz w:val="16"/>
          <w:szCs w:val="16"/>
          <w:lang w:val="pt-BR"/>
        </w:rPr>
        <w:t>dever</w:t>
      </w:r>
      <w:r w:rsidR="00407242" w:rsidRPr="0038442F">
        <w:rPr>
          <w:rFonts w:ascii="Verdana" w:hAnsi="Verdana"/>
          <w:bCs/>
          <w:sz w:val="16"/>
          <w:szCs w:val="16"/>
          <w:lang w:val="pt-BR"/>
        </w:rPr>
        <w:t xml:space="preserve"> </w:t>
      </w:r>
      <w:r w:rsidR="002D2A74">
        <w:rPr>
          <w:rFonts w:ascii="Verdana" w:hAnsi="Verdana"/>
          <w:bCs/>
          <w:sz w:val="16"/>
          <w:szCs w:val="16"/>
          <w:lang w:val="pt-BR"/>
        </w:rPr>
        <w:t>se mostra</w:t>
      </w:r>
      <w:r w:rsidR="002D2A74" w:rsidRPr="0038442F">
        <w:rPr>
          <w:rFonts w:ascii="Verdana" w:hAnsi="Verdana"/>
          <w:bCs/>
          <w:sz w:val="16"/>
          <w:szCs w:val="16"/>
          <w:lang w:val="pt-BR"/>
        </w:rPr>
        <w:t xml:space="preserve"> </w:t>
      </w:r>
      <w:r w:rsidR="00360928" w:rsidRPr="0038442F">
        <w:rPr>
          <w:rFonts w:ascii="Verdana" w:hAnsi="Verdana"/>
          <w:bCs/>
          <w:sz w:val="16"/>
          <w:szCs w:val="16"/>
          <w:lang w:val="pt-BR"/>
        </w:rPr>
        <w:t xml:space="preserve">ainda mais </w:t>
      </w:r>
      <w:r w:rsidRPr="0038442F">
        <w:rPr>
          <w:rFonts w:ascii="Verdana" w:hAnsi="Verdana"/>
          <w:bCs/>
          <w:sz w:val="16"/>
          <w:szCs w:val="16"/>
          <w:lang w:val="pt-BR"/>
        </w:rPr>
        <w:t xml:space="preserve">relevante </w:t>
      </w:r>
      <w:r w:rsidR="002D2A74">
        <w:rPr>
          <w:rFonts w:ascii="Verdana" w:hAnsi="Verdana"/>
          <w:bCs/>
          <w:sz w:val="16"/>
          <w:szCs w:val="16"/>
          <w:lang w:val="pt-BR"/>
        </w:rPr>
        <w:t>diante da</w:t>
      </w:r>
      <w:r w:rsidR="00360928" w:rsidRPr="0038442F">
        <w:rPr>
          <w:rFonts w:ascii="Verdana" w:hAnsi="Verdana"/>
          <w:bCs/>
          <w:sz w:val="16"/>
          <w:szCs w:val="16"/>
          <w:lang w:val="pt-BR"/>
        </w:rPr>
        <w:t xml:space="preserve"> dimensão dos fatos </w:t>
      </w:r>
      <w:r w:rsidR="00C92762" w:rsidRPr="0038442F">
        <w:rPr>
          <w:rFonts w:ascii="Verdana" w:hAnsi="Verdana"/>
          <w:bCs/>
          <w:sz w:val="16"/>
          <w:szCs w:val="16"/>
          <w:lang w:val="pt-BR"/>
        </w:rPr>
        <w:t xml:space="preserve">do presente </w:t>
      </w:r>
      <w:r w:rsidRPr="0038442F">
        <w:rPr>
          <w:rFonts w:ascii="Verdana" w:hAnsi="Verdana"/>
          <w:bCs/>
          <w:sz w:val="16"/>
          <w:szCs w:val="16"/>
          <w:lang w:val="pt-BR"/>
        </w:rPr>
        <w:t xml:space="preserve">caso, </w:t>
      </w:r>
      <w:r w:rsidRPr="0038442F">
        <w:rPr>
          <w:rFonts w:ascii="Verdana" w:hAnsi="Verdana"/>
          <w:i/>
          <w:sz w:val="16"/>
          <w:szCs w:val="16"/>
          <w:u w:val="single"/>
          <w:lang w:val="pt-BR"/>
        </w:rPr>
        <w:t>que terminar</w:t>
      </w:r>
      <w:r w:rsidR="00C013FC" w:rsidRPr="0038442F">
        <w:rPr>
          <w:rFonts w:ascii="Verdana" w:hAnsi="Verdana"/>
          <w:i/>
          <w:sz w:val="16"/>
          <w:szCs w:val="16"/>
          <w:u w:val="single"/>
          <w:lang w:val="pt-BR"/>
        </w:rPr>
        <w:t xml:space="preserve">am </w:t>
      </w:r>
      <w:r w:rsidRPr="0038442F">
        <w:rPr>
          <w:rFonts w:ascii="Verdana" w:hAnsi="Verdana"/>
          <w:i/>
          <w:sz w:val="16"/>
          <w:szCs w:val="16"/>
          <w:u w:val="single"/>
          <w:lang w:val="pt-BR"/>
        </w:rPr>
        <w:t xml:space="preserve">por afetar gravemente a vida </w:t>
      </w:r>
      <w:r w:rsidR="00C013FC" w:rsidRPr="0038442F">
        <w:rPr>
          <w:rFonts w:ascii="Verdana" w:hAnsi="Verdana"/>
          <w:i/>
          <w:sz w:val="16"/>
          <w:szCs w:val="16"/>
          <w:u w:val="single"/>
          <w:lang w:val="pt-BR"/>
        </w:rPr>
        <w:t xml:space="preserve">e a </w:t>
      </w:r>
      <w:r w:rsidR="008806F8" w:rsidRPr="0038442F">
        <w:rPr>
          <w:rFonts w:ascii="Verdana" w:hAnsi="Verdana"/>
          <w:i/>
          <w:sz w:val="16"/>
          <w:szCs w:val="16"/>
          <w:u w:val="single"/>
          <w:lang w:val="pt-BR"/>
        </w:rPr>
        <w:t>integridade</w:t>
      </w:r>
      <w:r w:rsidR="00407242" w:rsidRPr="0038442F">
        <w:rPr>
          <w:rFonts w:ascii="Verdana" w:hAnsi="Verdana"/>
          <w:i/>
          <w:sz w:val="16"/>
          <w:szCs w:val="16"/>
          <w:u w:val="single"/>
          <w:lang w:val="pt-BR"/>
        </w:rPr>
        <w:t xml:space="preserve"> </w:t>
      </w:r>
      <w:r w:rsidR="005135E5" w:rsidRPr="0038442F">
        <w:rPr>
          <w:rFonts w:ascii="Verdana" w:hAnsi="Verdana"/>
          <w:i/>
          <w:sz w:val="16"/>
          <w:szCs w:val="16"/>
          <w:u w:val="single"/>
          <w:lang w:val="pt-BR"/>
        </w:rPr>
        <w:t>pessoal</w:t>
      </w:r>
      <w:r w:rsidR="00407242" w:rsidRPr="0038442F">
        <w:rPr>
          <w:rFonts w:ascii="Verdana" w:hAnsi="Verdana"/>
          <w:i/>
          <w:sz w:val="16"/>
          <w:szCs w:val="16"/>
          <w:u w:val="single"/>
          <w:lang w:val="pt-BR"/>
        </w:rPr>
        <w:t xml:space="preserve"> </w:t>
      </w:r>
      <w:r w:rsidR="00C92762" w:rsidRPr="0038442F">
        <w:rPr>
          <w:rFonts w:ascii="Verdana" w:hAnsi="Verdana"/>
          <w:i/>
          <w:sz w:val="16"/>
          <w:szCs w:val="16"/>
          <w:u w:val="single"/>
          <w:lang w:val="pt-BR"/>
        </w:rPr>
        <w:t>das trabalhadoras</w:t>
      </w:r>
      <w:r w:rsidR="00407242" w:rsidRPr="0038442F">
        <w:rPr>
          <w:rFonts w:ascii="Verdana" w:hAnsi="Verdana"/>
          <w:i/>
          <w:sz w:val="16"/>
          <w:szCs w:val="16"/>
          <w:u w:val="single"/>
          <w:lang w:val="pt-BR"/>
        </w:rPr>
        <w:t xml:space="preserve"> </w:t>
      </w:r>
      <w:r w:rsidR="00C013FC" w:rsidRPr="0038442F">
        <w:rPr>
          <w:rFonts w:ascii="Verdana" w:hAnsi="Verdana"/>
          <w:i/>
          <w:sz w:val="16"/>
          <w:szCs w:val="16"/>
          <w:u w:val="single"/>
          <w:lang w:val="pt-BR"/>
        </w:rPr>
        <w:t>e</w:t>
      </w:r>
      <w:r w:rsidRPr="0038442F">
        <w:rPr>
          <w:rFonts w:ascii="Verdana" w:hAnsi="Verdana"/>
          <w:i/>
          <w:sz w:val="16"/>
          <w:szCs w:val="16"/>
          <w:u w:val="single"/>
          <w:lang w:val="pt-BR"/>
        </w:rPr>
        <w:t xml:space="preserve"> </w:t>
      </w:r>
      <w:r w:rsidR="00246A73" w:rsidRPr="0038442F">
        <w:rPr>
          <w:rFonts w:ascii="Verdana" w:hAnsi="Verdana"/>
          <w:i/>
          <w:sz w:val="16"/>
          <w:szCs w:val="16"/>
          <w:u w:val="single"/>
          <w:lang w:val="pt-BR"/>
        </w:rPr>
        <w:t>trabalhadores</w:t>
      </w:r>
      <w:r w:rsidRPr="0038442F">
        <w:rPr>
          <w:rFonts w:ascii="Verdana" w:hAnsi="Verdana"/>
          <w:i/>
          <w:sz w:val="16"/>
          <w:szCs w:val="16"/>
          <w:lang w:val="pt-BR"/>
        </w:rPr>
        <w:t>.</w:t>
      </w:r>
      <w:r w:rsidRPr="0038442F">
        <w:rPr>
          <w:rFonts w:ascii="Verdana" w:hAnsi="Verdana"/>
          <w:sz w:val="16"/>
          <w:szCs w:val="16"/>
          <w:lang w:val="pt-BR"/>
        </w:rPr>
        <w:t xml:space="preserve"> </w:t>
      </w:r>
      <w:r w:rsidR="00247F19" w:rsidRPr="0038442F">
        <w:rPr>
          <w:rFonts w:ascii="Verdana" w:hAnsi="Verdana"/>
          <w:sz w:val="16"/>
          <w:szCs w:val="16"/>
          <w:lang w:val="pt-BR"/>
        </w:rPr>
        <w:t>Neste caso, apesar de o Brasil ter cumprido seu dever de regulamentar a atividade desenvolvida na fábrica de fogos (</w:t>
      </w:r>
      <w:r w:rsidR="00247F19" w:rsidRPr="0038442F">
        <w:rPr>
          <w:rFonts w:ascii="Verdana" w:hAnsi="Verdana"/>
          <w:i/>
          <w:sz w:val="16"/>
          <w:szCs w:val="16"/>
          <w:lang w:val="pt-BR"/>
        </w:rPr>
        <w:t>supra</w:t>
      </w:r>
      <w:r w:rsidR="00247F19" w:rsidRPr="0038442F">
        <w:rPr>
          <w:rFonts w:ascii="Verdana" w:hAnsi="Verdana"/>
          <w:sz w:val="16"/>
          <w:szCs w:val="16"/>
          <w:lang w:val="pt-BR"/>
        </w:rPr>
        <w:t xml:space="preserve"> par. 171), </w:t>
      </w:r>
      <w:r w:rsidR="00247F19" w:rsidRPr="0038442F">
        <w:rPr>
          <w:rFonts w:ascii="Verdana" w:hAnsi="Verdana"/>
          <w:bCs/>
          <w:i/>
          <w:sz w:val="16"/>
          <w:szCs w:val="16"/>
          <w:u w:val="single"/>
          <w:lang w:val="pt-BR"/>
        </w:rPr>
        <w:t>falhou no exercício do controle e da fiscalização das condições de trabalho</w:t>
      </w:r>
      <w:r w:rsidR="00247F19" w:rsidRPr="0038442F">
        <w:rPr>
          <w:rFonts w:ascii="Verdana" w:hAnsi="Verdana"/>
          <w:i/>
          <w:sz w:val="16"/>
          <w:szCs w:val="16"/>
          <w:u w:val="single"/>
          <w:lang w:val="pt-BR"/>
        </w:rPr>
        <w:t xml:space="preserve">, </w:t>
      </w:r>
      <w:r w:rsidR="00247F19" w:rsidRPr="0038442F">
        <w:rPr>
          <w:rFonts w:ascii="Verdana" w:hAnsi="Verdana"/>
          <w:bCs/>
          <w:i/>
          <w:sz w:val="16"/>
          <w:szCs w:val="16"/>
          <w:u w:val="single"/>
          <w:lang w:val="pt-BR"/>
        </w:rPr>
        <w:t>como medida necessária para a prevenção de acidentes</w:t>
      </w:r>
      <w:r w:rsidR="00247F19" w:rsidRPr="0038442F">
        <w:rPr>
          <w:rFonts w:ascii="Verdana" w:hAnsi="Verdana"/>
          <w:sz w:val="16"/>
          <w:szCs w:val="16"/>
          <w:lang w:val="pt-BR"/>
        </w:rPr>
        <w:t>.</w:t>
      </w:r>
      <w:r w:rsidRPr="0038442F">
        <w:rPr>
          <w:rFonts w:ascii="Verdana" w:hAnsi="Verdana"/>
          <w:sz w:val="16"/>
          <w:szCs w:val="16"/>
          <w:lang w:val="pt-BR"/>
        </w:rPr>
        <w:t xml:space="preserve"> </w:t>
      </w:r>
      <w:r w:rsidR="00C013FC" w:rsidRPr="0038442F">
        <w:rPr>
          <w:rFonts w:ascii="Verdana" w:hAnsi="Verdana"/>
          <w:sz w:val="16"/>
          <w:szCs w:val="16"/>
          <w:lang w:val="pt-BR"/>
        </w:rPr>
        <w:t>Isso</w:t>
      </w:r>
      <w:r w:rsidRPr="0038442F">
        <w:rPr>
          <w:rFonts w:ascii="Verdana" w:hAnsi="Verdana"/>
          <w:sz w:val="16"/>
          <w:szCs w:val="16"/>
          <w:lang w:val="pt-BR"/>
        </w:rPr>
        <w:t xml:space="preserve">, </w:t>
      </w:r>
      <w:r w:rsidR="00C013FC" w:rsidRPr="0038442F">
        <w:rPr>
          <w:rFonts w:ascii="Verdana" w:hAnsi="Verdana"/>
          <w:sz w:val="16"/>
          <w:szCs w:val="16"/>
          <w:lang w:val="pt-BR"/>
        </w:rPr>
        <w:t xml:space="preserve">embora as </w:t>
      </w:r>
      <w:r w:rsidRPr="0038442F">
        <w:rPr>
          <w:rFonts w:ascii="Verdana" w:hAnsi="Verdana"/>
          <w:sz w:val="16"/>
          <w:szCs w:val="16"/>
          <w:lang w:val="pt-BR"/>
        </w:rPr>
        <w:t>rela</w:t>
      </w:r>
      <w:r w:rsidR="000A1AA8" w:rsidRPr="0038442F">
        <w:rPr>
          <w:rFonts w:ascii="Verdana" w:hAnsi="Verdana"/>
          <w:sz w:val="16"/>
          <w:szCs w:val="16"/>
          <w:lang w:val="pt-BR"/>
        </w:rPr>
        <w:t>ções</w:t>
      </w:r>
      <w:r w:rsidRPr="0038442F">
        <w:rPr>
          <w:rFonts w:ascii="Verdana" w:hAnsi="Verdana"/>
          <w:sz w:val="16"/>
          <w:szCs w:val="16"/>
          <w:lang w:val="pt-BR"/>
        </w:rPr>
        <w:t xml:space="preserve"> </w:t>
      </w:r>
      <w:r w:rsidR="00C013FC" w:rsidRPr="0038442F">
        <w:rPr>
          <w:rFonts w:ascii="Verdana" w:hAnsi="Verdana"/>
          <w:sz w:val="16"/>
          <w:szCs w:val="16"/>
          <w:lang w:val="pt-BR"/>
        </w:rPr>
        <w:t xml:space="preserve">de trabalho exijam </w:t>
      </w:r>
      <w:r w:rsidR="00A97590" w:rsidRPr="0038442F">
        <w:rPr>
          <w:rFonts w:ascii="Verdana" w:hAnsi="Verdana"/>
          <w:sz w:val="16"/>
          <w:szCs w:val="16"/>
          <w:lang w:val="pt-BR"/>
        </w:rPr>
        <w:t>supervisão</w:t>
      </w:r>
      <w:r w:rsidR="00407242" w:rsidRPr="0038442F">
        <w:rPr>
          <w:rFonts w:ascii="Verdana" w:hAnsi="Verdana"/>
          <w:sz w:val="16"/>
          <w:szCs w:val="16"/>
          <w:lang w:val="pt-BR"/>
        </w:rPr>
        <w:t xml:space="preserve"> </w:t>
      </w:r>
      <w:r w:rsidRPr="0038442F">
        <w:rPr>
          <w:rFonts w:ascii="Verdana" w:hAnsi="Verdana"/>
          <w:sz w:val="16"/>
          <w:szCs w:val="16"/>
          <w:lang w:val="pt-BR"/>
        </w:rPr>
        <w:t xml:space="preserve">por parte </w:t>
      </w:r>
      <w:r w:rsidR="00BB665E" w:rsidRPr="0038442F">
        <w:rPr>
          <w:rFonts w:ascii="Verdana" w:hAnsi="Verdana"/>
          <w:sz w:val="16"/>
          <w:szCs w:val="16"/>
          <w:lang w:val="pt-BR"/>
        </w:rPr>
        <w:t>do Estado</w:t>
      </w:r>
      <w:r w:rsidRPr="0038442F">
        <w:rPr>
          <w:rFonts w:ascii="Verdana" w:hAnsi="Verdana"/>
          <w:sz w:val="16"/>
          <w:szCs w:val="16"/>
          <w:lang w:val="pt-BR"/>
        </w:rPr>
        <w:t xml:space="preserve">, </w:t>
      </w:r>
      <w:r w:rsidR="002D2A74">
        <w:rPr>
          <w:rFonts w:ascii="Verdana" w:hAnsi="Verdana"/>
          <w:sz w:val="16"/>
          <w:szCs w:val="16"/>
          <w:lang w:val="pt-BR"/>
        </w:rPr>
        <w:t>sobretudo</w:t>
      </w:r>
      <w:r w:rsidR="00C013FC" w:rsidRPr="0038442F">
        <w:rPr>
          <w:rFonts w:ascii="Verdana" w:hAnsi="Verdana"/>
          <w:sz w:val="16"/>
          <w:szCs w:val="16"/>
          <w:lang w:val="pt-BR"/>
        </w:rPr>
        <w:t xml:space="preserve"> quando </w:t>
      </w:r>
      <w:r w:rsidRPr="0038442F">
        <w:rPr>
          <w:rFonts w:ascii="Verdana" w:hAnsi="Verdana"/>
          <w:sz w:val="16"/>
          <w:szCs w:val="16"/>
          <w:lang w:val="pt-BR"/>
        </w:rPr>
        <w:t>se trata d</w:t>
      </w:r>
      <w:r w:rsidR="00C013FC" w:rsidRPr="0038442F">
        <w:rPr>
          <w:rFonts w:ascii="Verdana" w:hAnsi="Verdana"/>
          <w:sz w:val="16"/>
          <w:szCs w:val="16"/>
          <w:lang w:val="pt-BR"/>
        </w:rPr>
        <w:t>o</w:t>
      </w:r>
      <w:r w:rsidRPr="0038442F">
        <w:rPr>
          <w:rFonts w:ascii="Verdana" w:hAnsi="Verdana"/>
          <w:sz w:val="16"/>
          <w:szCs w:val="16"/>
          <w:lang w:val="pt-BR"/>
        </w:rPr>
        <w:t xml:space="preserve"> e</w:t>
      </w:r>
      <w:r w:rsidR="00C013FC" w:rsidRPr="0038442F">
        <w:rPr>
          <w:rFonts w:ascii="Verdana" w:hAnsi="Verdana"/>
          <w:sz w:val="16"/>
          <w:szCs w:val="16"/>
          <w:lang w:val="pt-BR"/>
        </w:rPr>
        <w:t>x</w:t>
      </w:r>
      <w:r w:rsidRPr="0038442F">
        <w:rPr>
          <w:rFonts w:ascii="Verdana" w:hAnsi="Verdana"/>
          <w:sz w:val="16"/>
          <w:szCs w:val="16"/>
          <w:lang w:val="pt-BR"/>
        </w:rPr>
        <w:t>erc</w:t>
      </w:r>
      <w:r w:rsidR="00C013FC" w:rsidRPr="0038442F">
        <w:rPr>
          <w:rFonts w:ascii="Verdana" w:hAnsi="Verdana"/>
          <w:sz w:val="16"/>
          <w:szCs w:val="16"/>
          <w:lang w:val="pt-BR"/>
        </w:rPr>
        <w:t>í</w:t>
      </w:r>
      <w:r w:rsidRPr="0038442F">
        <w:rPr>
          <w:rFonts w:ascii="Verdana" w:hAnsi="Verdana"/>
          <w:sz w:val="16"/>
          <w:szCs w:val="16"/>
          <w:lang w:val="pt-BR"/>
        </w:rPr>
        <w:t xml:space="preserve">cio de </w:t>
      </w:r>
      <w:r w:rsidR="009F06E2" w:rsidRPr="0038442F">
        <w:rPr>
          <w:rFonts w:ascii="Verdana" w:hAnsi="Verdana"/>
          <w:sz w:val="16"/>
          <w:szCs w:val="16"/>
          <w:lang w:val="pt-BR"/>
        </w:rPr>
        <w:t>atividades</w:t>
      </w:r>
      <w:r w:rsidR="00407242" w:rsidRPr="0038442F">
        <w:rPr>
          <w:rFonts w:ascii="Verdana" w:hAnsi="Verdana"/>
          <w:sz w:val="16"/>
          <w:szCs w:val="16"/>
          <w:lang w:val="pt-BR"/>
        </w:rPr>
        <w:t xml:space="preserve"> </w:t>
      </w:r>
      <w:r w:rsidR="00360928" w:rsidRPr="0038442F">
        <w:rPr>
          <w:rFonts w:ascii="Verdana" w:hAnsi="Verdana"/>
          <w:sz w:val="16"/>
          <w:szCs w:val="16"/>
          <w:lang w:val="pt-BR"/>
        </w:rPr>
        <w:t>perigosas</w:t>
      </w:r>
      <w:r w:rsidR="00407242" w:rsidRPr="0038442F">
        <w:rPr>
          <w:rFonts w:ascii="Verdana" w:hAnsi="Verdana"/>
          <w:sz w:val="16"/>
          <w:szCs w:val="16"/>
          <w:lang w:val="pt-BR"/>
        </w:rPr>
        <w:t xml:space="preserve"> </w:t>
      </w:r>
      <w:r w:rsidRPr="0038442F">
        <w:rPr>
          <w:rFonts w:ascii="Verdana" w:hAnsi="Verdana"/>
          <w:sz w:val="16"/>
          <w:szCs w:val="16"/>
          <w:lang w:val="pt-BR"/>
        </w:rPr>
        <w:t>[…]</w:t>
      </w:r>
      <w:r w:rsidR="00AB1FD7" w:rsidRPr="0038442F">
        <w:rPr>
          <w:rStyle w:val="Refdenotaalpie"/>
          <w:rFonts w:ascii="Verdana" w:hAnsi="Verdana"/>
          <w:sz w:val="16"/>
          <w:szCs w:val="16"/>
          <w:lang w:val="pt-BR"/>
        </w:rPr>
        <w:footnoteReference w:id="42"/>
      </w:r>
      <w:r w:rsidR="00946C67" w:rsidRPr="0038442F">
        <w:rPr>
          <w:rFonts w:ascii="Verdana" w:hAnsi="Verdana"/>
          <w:sz w:val="16"/>
          <w:szCs w:val="16"/>
          <w:lang w:val="pt-BR"/>
        </w:rPr>
        <w:t xml:space="preserve"> </w:t>
      </w:r>
      <w:r w:rsidR="00E8110C" w:rsidRPr="0038442F">
        <w:rPr>
          <w:rFonts w:ascii="Verdana" w:hAnsi="Verdana"/>
          <w:sz w:val="16"/>
          <w:szCs w:val="16"/>
          <w:lang w:val="pt-BR"/>
        </w:rPr>
        <w:t>(</w:t>
      </w:r>
      <w:r w:rsidR="00C013FC" w:rsidRPr="0038442F">
        <w:rPr>
          <w:rFonts w:ascii="Verdana" w:hAnsi="Verdana"/>
          <w:sz w:val="16"/>
          <w:szCs w:val="16"/>
          <w:lang w:val="pt-BR"/>
        </w:rPr>
        <w:t xml:space="preserve">grifo </w:t>
      </w:r>
      <w:r w:rsidR="00750E0B" w:rsidRPr="0038442F">
        <w:rPr>
          <w:rFonts w:ascii="Verdana" w:hAnsi="Verdana"/>
          <w:sz w:val="16"/>
          <w:szCs w:val="16"/>
          <w:lang w:val="pt-BR"/>
        </w:rPr>
        <w:t>nosso</w:t>
      </w:r>
      <w:r w:rsidR="00E8110C" w:rsidRPr="0038442F">
        <w:rPr>
          <w:rFonts w:ascii="Verdana" w:hAnsi="Verdana"/>
          <w:sz w:val="16"/>
          <w:szCs w:val="16"/>
          <w:lang w:val="pt-BR"/>
        </w:rPr>
        <w:t>)</w:t>
      </w:r>
      <w:r w:rsidR="00946C67" w:rsidRPr="0038442F">
        <w:rPr>
          <w:rFonts w:ascii="Verdana" w:hAnsi="Verdana"/>
          <w:sz w:val="16"/>
          <w:szCs w:val="16"/>
          <w:lang w:val="pt-BR"/>
        </w:rPr>
        <w:t>.</w:t>
      </w:r>
      <w:r w:rsidRPr="0038442F">
        <w:rPr>
          <w:rFonts w:ascii="Verdana" w:hAnsi="Verdana"/>
          <w:sz w:val="16"/>
          <w:szCs w:val="16"/>
          <w:lang w:val="pt-BR"/>
        </w:rPr>
        <w:t xml:space="preserve"> </w:t>
      </w:r>
    </w:p>
    <w:p w14:paraId="10F2BCC2" w14:textId="77777777" w:rsidR="00542497" w:rsidRPr="0038442F" w:rsidRDefault="00542497" w:rsidP="00A857CB">
      <w:pPr>
        <w:pStyle w:val="Prrafodelista"/>
        <w:spacing w:line="240" w:lineRule="auto"/>
        <w:ind w:left="0"/>
        <w:jc w:val="both"/>
        <w:rPr>
          <w:rFonts w:ascii="Verdana" w:hAnsi="Verdana"/>
          <w:bCs/>
          <w:sz w:val="20"/>
          <w:szCs w:val="20"/>
          <w:lang w:val="pt-BR"/>
        </w:rPr>
      </w:pPr>
    </w:p>
    <w:p w14:paraId="4B401998" w14:textId="4A6236C1" w:rsidR="006D574F"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34. </w:t>
      </w:r>
      <w:r w:rsidRPr="0038442F">
        <w:rPr>
          <w:rFonts w:ascii="Verdana" w:hAnsi="Verdana"/>
          <w:bCs/>
          <w:sz w:val="20"/>
          <w:szCs w:val="20"/>
          <w:lang w:val="pt-BR"/>
        </w:rPr>
        <w:tab/>
      </w:r>
      <w:r w:rsidR="00750E0B" w:rsidRPr="0038442F">
        <w:rPr>
          <w:rFonts w:ascii="Verdana" w:hAnsi="Verdana"/>
          <w:bCs/>
          <w:sz w:val="20"/>
          <w:szCs w:val="20"/>
          <w:lang w:val="pt-BR"/>
        </w:rPr>
        <w:t xml:space="preserve">No </w:t>
      </w:r>
      <w:r w:rsidR="00750E0B" w:rsidRPr="0038442F">
        <w:rPr>
          <w:rFonts w:ascii="Verdana" w:hAnsi="Verdana"/>
          <w:bCs/>
          <w:i/>
          <w:sz w:val="20"/>
          <w:szCs w:val="20"/>
          <w:lang w:val="pt-BR"/>
        </w:rPr>
        <w:t xml:space="preserve">Caso </w:t>
      </w:r>
      <w:r w:rsidR="006D574F" w:rsidRPr="0038442F">
        <w:rPr>
          <w:rFonts w:ascii="Verdana" w:hAnsi="Verdana"/>
          <w:bCs/>
          <w:i/>
          <w:iCs/>
          <w:sz w:val="20"/>
          <w:szCs w:val="20"/>
          <w:lang w:val="pt-BR"/>
        </w:rPr>
        <w:t>Lagos del Campo</w:t>
      </w:r>
      <w:r w:rsidR="004B2810" w:rsidRPr="0038442F">
        <w:rPr>
          <w:rFonts w:ascii="Verdana" w:hAnsi="Verdana"/>
          <w:bCs/>
          <w:i/>
          <w:iCs/>
          <w:sz w:val="20"/>
          <w:szCs w:val="20"/>
          <w:lang w:val="pt-BR"/>
        </w:rPr>
        <w:t>,</w:t>
      </w:r>
      <w:r w:rsidR="006D574F" w:rsidRPr="0038442F">
        <w:rPr>
          <w:rFonts w:ascii="Verdana" w:hAnsi="Verdana"/>
          <w:bCs/>
          <w:i/>
          <w:iCs/>
          <w:sz w:val="20"/>
          <w:szCs w:val="20"/>
          <w:lang w:val="pt-BR"/>
        </w:rPr>
        <w:t xml:space="preserve"> </w:t>
      </w:r>
      <w:r w:rsidR="00750E0B" w:rsidRPr="0038442F">
        <w:rPr>
          <w:rFonts w:ascii="Verdana" w:hAnsi="Verdana"/>
          <w:bCs/>
          <w:sz w:val="20"/>
          <w:szCs w:val="20"/>
          <w:lang w:val="pt-BR"/>
        </w:rPr>
        <w:t xml:space="preserve">já se havia ressaltado </w:t>
      </w:r>
      <w:r w:rsidR="006D574F" w:rsidRPr="0038442F">
        <w:rPr>
          <w:rFonts w:ascii="Verdana" w:hAnsi="Verdana"/>
          <w:bCs/>
          <w:sz w:val="20"/>
          <w:szCs w:val="20"/>
          <w:lang w:val="pt-BR"/>
        </w:rPr>
        <w:t>que</w:t>
      </w:r>
      <w:r w:rsidR="004B2810" w:rsidRPr="0038442F">
        <w:rPr>
          <w:rFonts w:ascii="Verdana" w:hAnsi="Verdana"/>
          <w:bCs/>
          <w:sz w:val="20"/>
          <w:szCs w:val="20"/>
          <w:lang w:val="pt-BR"/>
        </w:rPr>
        <w:t>,</w:t>
      </w:r>
      <w:r w:rsidR="006D574F" w:rsidRPr="0038442F">
        <w:rPr>
          <w:rFonts w:ascii="Verdana" w:hAnsi="Verdana"/>
          <w:bCs/>
          <w:sz w:val="20"/>
          <w:szCs w:val="20"/>
          <w:lang w:val="pt-BR"/>
        </w:rPr>
        <w:t xml:space="preserve"> </w:t>
      </w:r>
      <w:r w:rsidR="00750E0B" w:rsidRPr="0038442F">
        <w:rPr>
          <w:rFonts w:ascii="Verdana" w:hAnsi="Verdana"/>
          <w:bCs/>
          <w:sz w:val="20"/>
          <w:szCs w:val="20"/>
          <w:lang w:val="pt-BR"/>
        </w:rPr>
        <w:t xml:space="preserve">no contexto </w:t>
      </w:r>
      <w:r w:rsidR="00C92762" w:rsidRPr="0038442F">
        <w:rPr>
          <w:rFonts w:ascii="Verdana" w:hAnsi="Verdana"/>
          <w:bCs/>
          <w:sz w:val="20"/>
          <w:szCs w:val="20"/>
          <w:lang w:val="pt-BR"/>
        </w:rPr>
        <w:t xml:space="preserve">das </w:t>
      </w:r>
      <w:r w:rsidR="00984A83" w:rsidRPr="0038442F">
        <w:rPr>
          <w:rFonts w:ascii="Verdana" w:hAnsi="Verdana"/>
          <w:bCs/>
          <w:sz w:val="20"/>
          <w:szCs w:val="20"/>
          <w:lang w:val="pt-BR"/>
        </w:rPr>
        <w:t>obrigações</w:t>
      </w:r>
      <w:r w:rsidR="00407242" w:rsidRPr="0038442F">
        <w:rPr>
          <w:rFonts w:ascii="Verdana" w:hAnsi="Verdana"/>
          <w:bCs/>
          <w:sz w:val="20"/>
          <w:szCs w:val="20"/>
          <w:lang w:val="pt-BR"/>
        </w:rPr>
        <w:t xml:space="preserve"> </w:t>
      </w:r>
      <w:r w:rsidR="006D574F" w:rsidRPr="0038442F">
        <w:rPr>
          <w:rFonts w:ascii="Verdana" w:hAnsi="Verdana"/>
          <w:bCs/>
          <w:sz w:val="20"/>
          <w:szCs w:val="20"/>
          <w:lang w:val="pt-BR"/>
        </w:rPr>
        <w:t xml:space="preserve">de </w:t>
      </w:r>
      <w:r w:rsidR="00751189" w:rsidRPr="0038442F">
        <w:rPr>
          <w:rFonts w:ascii="Verdana" w:hAnsi="Verdana"/>
          <w:bCs/>
          <w:sz w:val="20"/>
          <w:szCs w:val="20"/>
          <w:lang w:val="pt-BR"/>
        </w:rPr>
        <w:t>proteção</w:t>
      </w:r>
      <w:r w:rsidR="00407242" w:rsidRPr="0038442F">
        <w:rPr>
          <w:rFonts w:ascii="Verdana" w:hAnsi="Verdana"/>
          <w:bCs/>
          <w:sz w:val="20"/>
          <w:szCs w:val="20"/>
          <w:lang w:val="pt-BR"/>
        </w:rPr>
        <w:t xml:space="preserve"> </w:t>
      </w:r>
      <w:r w:rsidR="006D574F" w:rsidRPr="0038442F">
        <w:rPr>
          <w:rFonts w:ascii="Verdana" w:hAnsi="Verdana"/>
          <w:bCs/>
          <w:sz w:val="20"/>
          <w:szCs w:val="20"/>
          <w:lang w:val="pt-BR"/>
        </w:rPr>
        <w:t xml:space="preserve">que </w:t>
      </w:r>
      <w:r w:rsidR="006B5285" w:rsidRPr="0038442F">
        <w:rPr>
          <w:rFonts w:ascii="Verdana" w:hAnsi="Verdana"/>
          <w:bCs/>
          <w:sz w:val="20"/>
          <w:szCs w:val="20"/>
          <w:lang w:val="pt-BR"/>
        </w:rPr>
        <w:t xml:space="preserve">cabem aos </w:t>
      </w:r>
      <w:r w:rsidR="005135E5" w:rsidRPr="0038442F">
        <w:rPr>
          <w:rFonts w:ascii="Verdana" w:hAnsi="Verdana"/>
          <w:bCs/>
          <w:sz w:val="20"/>
          <w:szCs w:val="20"/>
          <w:lang w:val="pt-BR"/>
        </w:rPr>
        <w:t xml:space="preserve">Estados </w:t>
      </w:r>
      <w:r w:rsidR="00751189" w:rsidRPr="0038442F">
        <w:rPr>
          <w:rFonts w:ascii="Verdana" w:hAnsi="Verdana"/>
          <w:bCs/>
          <w:sz w:val="20"/>
          <w:szCs w:val="20"/>
          <w:lang w:val="pt-BR"/>
        </w:rPr>
        <w:t xml:space="preserve">no </w:t>
      </w:r>
      <w:r w:rsidR="00750E0B" w:rsidRPr="0038442F">
        <w:rPr>
          <w:rFonts w:ascii="Verdana" w:hAnsi="Verdana"/>
          <w:bCs/>
          <w:sz w:val="20"/>
          <w:szCs w:val="20"/>
          <w:lang w:val="pt-BR"/>
        </w:rPr>
        <w:t xml:space="preserve">âmbito do </w:t>
      </w:r>
      <w:r w:rsidR="00CA30C5" w:rsidRPr="0038442F">
        <w:rPr>
          <w:rFonts w:ascii="Verdana" w:hAnsi="Verdana"/>
          <w:bCs/>
          <w:sz w:val="20"/>
          <w:szCs w:val="20"/>
          <w:lang w:val="pt-BR"/>
        </w:rPr>
        <w:t>direito</w:t>
      </w:r>
      <w:r w:rsidR="00407242" w:rsidRPr="0038442F">
        <w:rPr>
          <w:rFonts w:ascii="Verdana" w:hAnsi="Verdana"/>
          <w:bCs/>
          <w:sz w:val="20"/>
          <w:szCs w:val="20"/>
          <w:lang w:val="pt-BR"/>
        </w:rPr>
        <w:t xml:space="preserve"> </w:t>
      </w:r>
      <w:r w:rsidR="00CA30C5" w:rsidRPr="0038442F">
        <w:rPr>
          <w:rFonts w:ascii="Verdana" w:hAnsi="Verdana"/>
          <w:bCs/>
          <w:sz w:val="20"/>
          <w:szCs w:val="20"/>
          <w:lang w:val="pt-BR"/>
        </w:rPr>
        <w:t>ao trabalho</w:t>
      </w:r>
      <w:r w:rsidR="00B14813" w:rsidRPr="0038442F">
        <w:rPr>
          <w:rFonts w:ascii="Verdana" w:hAnsi="Verdana"/>
          <w:bCs/>
          <w:sz w:val="20"/>
          <w:szCs w:val="20"/>
          <w:lang w:val="pt-BR"/>
        </w:rPr>
        <w:t>,</w:t>
      </w:r>
      <w:r w:rsidR="006D574F" w:rsidRPr="0038442F">
        <w:rPr>
          <w:rFonts w:ascii="Verdana" w:hAnsi="Verdana"/>
          <w:bCs/>
          <w:sz w:val="20"/>
          <w:szCs w:val="20"/>
          <w:lang w:val="pt-BR"/>
        </w:rPr>
        <w:t xml:space="preserve"> </w:t>
      </w:r>
      <w:r w:rsidR="00CA30C5" w:rsidRPr="0038442F">
        <w:rPr>
          <w:rFonts w:ascii="Verdana" w:hAnsi="Verdana"/>
          <w:bCs/>
          <w:sz w:val="20"/>
          <w:szCs w:val="20"/>
          <w:lang w:val="pt-BR"/>
        </w:rPr>
        <w:t xml:space="preserve">nas </w:t>
      </w:r>
      <w:r w:rsidR="006D574F" w:rsidRPr="0038442F">
        <w:rPr>
          <w:rFonts w:ascii="Verdana" w:hAnsi="Verdana"/>
          <w:bCs/>
          <w:sz w:val="20"/>
          <w:szCs w:val="20"/>
          <w:lang w:val="pt-BR"/>
        </w:rPr>
        <w:t>rela</w:t>
      </w:r>
      <w:r w:rsidR="000A1AA8" w:rsidRPr="0038442F">
        <w:rPr>
          <w:rFonts w:ascii="Verdana" w:hAnsi="Verdana"/>
          <w:bCs/>
          <w:sz w:val="20"/>
          <w:szCs w:val="20"/>
          <w:lang w:val="pt-BR"/>
        </w:rPr>
        <w:t>ções</w:t>
      </w:r>
      <w:r w:rsidR="006D574F" w:rsidRPr="0038442F">
        <w:rPr>
          <w:rFonts w:ascii="Verdana" w:hAnsi="Verdana"/>
          <w:bCs/>
          <w:sz w:val="20"/>
          <w:szCs w:val="20"/>
          <w:lang w:val="pt-BR"/>
        </w:rPr>
        <w:t xml:space="preserve"> entre particulares (</w:t>
      </w:r>
      <w:r w:rsidR="00750E0B" w:rsidRPr="0038442F">
        <w:rPr>
          <w:rFonts w:ascii="Verdana" w:hAnsi="Verdana"/>
          <w:bCs/>
          <w:sz w:val="20"/>
          <w:szCs w:val="20"/>
          <w:lang w:val="pt-BR"/>
        </w:rPr>
        <w:t xml:space="preserve">naquele caso se analisou o aspecto relativo </w:t>
      </w:r>
      <w:r w:rsidR="006D574F" w:rsidRPr="0038442F">
        <w:rPr>
          <w:rFonts w:ascii="Verdana" w:hAnsi="Verdana"/>
          <w:bCs/>
          <w:sz w:val="20"/>
          <w:szCs w:val="20"/>
          <w:lang w:val="pt-BR"/>
        </w:rPr>
        <w:t>“</w:t>
      </w:r>
      <w:r w:rsidR="00750E0B" w:rsidRPr="0038442F">
        <w:rPr>
          <w:rFonts w:ascii="Verdana" w:hAnsi="Verdana"/>
          <w:bCs/>
          <w:sz w:val="20"/>
          <w:szCs w:val="20"/>
          <w:lang w:val="pt-BR"/>
        </w:rPr>
        <w:t xml:space="preserve">à </w:t>
      </w:r>
      <w:r w:rsidR="006D574F" w:rsidRPr="0038442F">
        <w:rPr>
          <w:rFonts w:ascii="Verdana" w:hAnsi="Verdana"/>
          <w:bCs/>
          <w:sz w:val="20"/>
          <w:szCs w:val="20"/>
          <w:lang w:val="pt-BR"/>
        </w:rPr>
        <w:t>estabilidad</w:t>
      </w:r>
      <w:r w:rsidR="00750E0B" w:rsidRPr="0038442F">
        <w:rPr>
          <w:rFonts w:ascii="Verdana" w:hAnsi="Verdana"/>
          <w:bCs/>
          <w:sz w:val="20"/>
          <w:szCs w:val="20"/>
          <w:lang w:val="pt-BR"/>
        </w:rPr>
        <w:t>e</w:t>
      </w:r>
      <w:r w:rsidR="006D574F" w:rsidRPr="0038442F">
        <w:rPr>
          <w:rFonts w:ascii="Verdana" w:hAnsi="Verdana"/>
          <w:bCs/>
          <w:sz w:val="20"/>
          <w:szCs w:val="20"/>
          <w:lang w:val="pt-BR"/>
        </w:rPr>
        <w:t xml:space="preserve"> laboral”),</w:t>
      </w:r>
      <w:r w:rsidR="00B14813" w:rsidRPr="0038442F">
        <w:rPr>
          <w:rFonts w:ascii="Verdana" w:hAnsi="Verdana"/>
          <w:bCs/>
          <w:sz w:val="20"/>
          <w:szCs w:val="20"/>
          <w:lang w:val="pt-BR"/>
        </w:rPr>
        <w:t xml:space="preserve"> </w:t>
      </w:r>
      <w:r w:rsidR="00750E0B" w:rsidRPr="0038442F">
        <w:rPr>
          <w:rFonts w:ascii="Verdana" w:hAnsi="Verdana"/>
          <w:bCs/>
          <w:sz w:val="20"/>
          <w:szCs w:val="20"/>
          <w:lang w:val="pt-BR"/>
        </w:rPr>
        <w:t>encontra</w:t>
      </w:r>
      <w:r w:rsidR="003F3526">
        <w:rPr>
          <w:rFonts w:ascii="Verdana" w:hAnsi="Verdana"/>
          <w:bCs/>
          <w:sz w:val="20"/>
          <w:szCs w:val="20"/>
          <w:lang w:val="pt-BR"/>
        </w:rPr>
        <w:t>-se</w:t>
      </w:r>
      <w:r w:rsidR="00750E0B" w:rsidRPr="0038442F">
        <w:rPr>
          <w:rFonts w:ascii="Verdana" w:hAnsi="Verdana"/>
          <w:bCs/>
          <w:sz w:val="20"/>
          <w:szCs w:val="20"/>
          <w:lang w:val="pt-BR"/>
        </w:rPr>
        <w:t xml:space="preserve">, entre </w:t>
      </w:r>
      <w:r w:rsidR="006A12FD" w:rsidRPr="0038442F">
        <w:rPr>
          <w:rFonts w:ascii="Verdana" w:hAnsi="Verdana"/>
          <w:bCs/>
          <w:sz w:val="20"/>
          <w:szCs w:val="20"/>
          <w:lang w:val="pt-BR"/>
        </w:rPr>
        <w:t>outras</w:t>
      </w:r>
      <w:r w:rsidR="006D574F" w:rsidRPr="0038442F">
        <w:rPr>
          <w:rFonts w:ascii="Verdana" w:hAnsi="Verdana"/>
          <w:bCs/>
          <w:sz w:val="20"/>
          <w:szCs w:val="20"/>
          <w:lang w:val="pt-BR"/>
        </w:rPr>
        <w:t xml:space="preserve">, </w:t>
      </w:r>
      <w:r w:rsidR="00B14813" w:rsidRPr="0038442F">
        <w:rPr>
          <w:rFonts w:ascii="Verdana" w:hAnsi="Verdana"/>
          <w:bCs/>
          <w:sz w:val="20"/>
          <w:szCs w:val="20"/>
          <w:lang w:val="pt-BR"/>
        </w:rPr>
        <w:t>a de</w:t>
      </w:r>
      <w:r w:rsidR="006D574F" w:rsidRPr="0038442F">
        <w:rPr>
          <w:rFonts w:ascii="Verdana" w:hAnsi="Verdana"/>
          <w:bCs/>
          <w:sz w:val="20"/>
          <w:szCs w:val="20"/>
          <w:lang w:val="pt-BR"/>
        </w:rPr>
        <w:t xml:space="preserve"> “</w:t>
      </w:r>
      <w:r w:rsidR="00C92762" w:rsidRPr="0038442F">
        <w:rPr>
          <w:rFonts w:ascii="Verdana" w:hAnsi="Verdana"/>
          <w:sz w:val="20"/>
          <w:szCs w:val="20"/>
          <w:lang w:val="pt-BR"/>
        </w:rPr>
        <w:t>adotar</w:t>
      </w:r>
      <w:r w:rsidR="00407242" w:rsidRPr="0038442F">
        <w:rPr>
          <w:rFonts w:ascii="Verdana" w:hAnsi="Verdana"/>
          <w:sz w:val="20"/>
          <w:szCs w:val="20"/>
          <w:lang w:val="pt-BR"/>
        </w:rPr>
        <w:t xml:space="preserve"> </w:t>
      </w:r>
      <w:r w:rsidR="006D574F" w:rsidRPr="0038442F">
        <w:rPr>
          <w:rFonts w:ascii="Verdana" w:hAnsi="Verdana"/>
          <w:sz w:val="20"/>
          <w:szCs w:val="20"/>
          <w:lang w:val="pt-BR"/>
        </w:rPr>
        <w:t>as medidas ade</w:t>
      </w:r>
      <w:r w:rsidR="00750E0B" w:rsidRPr="0038442F">
        <w:rPr>
          <w:rFonts w:ascii="Verdana" w:hAnsi="Verdana"/>
          <w:sz w:val="20"/>
          <w:szCs w:val="20"/>
          <w:lang w:val="pt-BR"/>
        </w:rPr>
        <w:t>q</w:t>
      </w:r>
      <w:r w:rsidR="006D574F" w:rsidRPr="0038442F">
        <w:rPr>
          <w:rFonts w:ascii="Verdana" w:hAnsi="Verdana"/>
          <w:sz w:val="20"/>
          <w:szCs w:val="20"/>
          <w:lang w:val="pt-BR"/>
        </w:rPr>
        <w:t xml:space="preserve">uadas para a </w:t>
      </w:r>
      <w:r w:rsidR="00750E0B" w:rsidRPr="0038442F">
        <w:rPr>
          <w:rFonts w:ascii="Verdana" w:hAnsi="Verdana"/>
          <w:sz w:val="20"/>
          <w:szCs w:val="20"/>
          <w:lang w:val="pt-BR"/>
        </w:rPr>
        <w:t>devida</w:t>
      </w:r>
      <w:r w:rsidR="00407242" w:rsidRPr="0038442F">
        <w:rPr>
          <w:rFonts w:ascii="Verdana" w:hAnsi="Verdana"/>
          <w:sz w:val="20"/>
          <w:szCs w:val="20"/>
          <w:lang w:val="pt-BR"/>
        </w:rPr>
        <w:t xml:space="preserve"> </w:t>
      </w:r>
      <w:r w:rsidR="006D574F" w:rsidRPr="0038442F">
        <w:rPr>
          <w:rFonts w:ascii="Verdana" w:hAnsi="Verdana"/>
          <w:sz w:val="20"/>
          <w:szCs w:val="20"/>
          <w:lang w:val="pt-BR"/>
        </w:rPr>
        <w:t>regula</w:t>
      </w:r>
      <w:r w:rsidR="00750E0B" w:rsidRPr="0038442F">
        <w:rPr>
          <w:rFonts w:ascii="Verdana" w:hAnsi="Verdana"/>
          <w:sz w:val="20"/>
          <w:szCs w:val="20"/>
          <w:lang w:val="pt-BR"/>
        </w:rPr>
        <w:t>menta</w:t>
      </w:r>
      <w:r w:rsidR="000A1AA8" w:rsidRPr="0038442F">
        <w:rPr>
          <w:rFonts w:ascii="Verdana" w:hAnsi="Verdana"/>
          <w:sz w:val="20"/>
          <w:szCs w:val="20"/>
          <w:lang w:val="pt-BR"/>
        </w:rPr>
        <w:t>ção</w:t>
      </w:r>
      <w:r w:rsidR="006D574F" w:rsidRPr="0038442F">
        <w:rPr>
          <w:rFonts w:ascii="Verdana" w:hAnsi="Verdana"/>
          <w:sz w:val="20"/>
          <w:szCs w:val="20"/>
          <w:lang w:val="pt-BR"/>
        </w:rPr>
        <w:t xml:space="preserve"> </w:t>
      </w:r>
      <w:r w:rsidR="00750E0B" w:rsidRPr="0038442F">
        <w:rPr>
          <w:rFonts w:ascii="Verdana" w:hAnsi="Verdana"/>
          <w:sz w:val="20"/>
          <w:szCs w:val="20"/>
          <w:lang w:val="pt-BR"/>
        </w:rPr>
        <w:t>e</w:t>
      </w:r>
      <w:r w:rsidR="006D574F" w:rsidRPr="0038442F">
        <w:rPr>
          <w:rFonts w:ascii="Verdana" w:hAnsi="Verdana"/>
          <w:sz w:val="20"/>
          <w:szCs w:val="20"/>
          <w:lang w:val="pt-BR"/>
        </w:rPr>
        <w:t xml:space="preserve"> </w:t>
      </w:r>
      <w:r w:rsidR="00E8110C" w:rsidRPr="0038442F">
        <w:rPr>
          <w:rFonts w:ascii="Verdana" w:hAnsi="Verdana"/>
          <w:sz w:val="20"/>
          <w:szCs w:val="20"/>
          <w:lang w:val="pt-BR"/>
        </w:rPr>
        <w:t>fiscaliza</w:t>
      </w:r>
      <w:r w:rsidR="000A1AA8" w:rsidRPr="0038442F">
        <w:rPr>
          <w:rFonts w:ascii="Verdana" w:hAnsi="Verdana"/>
          <w:sz w:val="20"/>
          <w:szCs w:val="20"/>
          <w:lang w:val="pt-BR"/>
        </w:rPr>
        <w:t>ção</w:t>
      </w:r>
      <w:r w:rsidR="006D574F" w:rsidRPr="0038442F">
        <w:rPr>
          <w:rFonts w:ascii="Verdana" w:hAnsi="Verdana"/>
          <w:sz w:val="20"/>
          <w:szCs w:val="20"/>
          <w:lang w:val="pt-BR"/>
        </w:rPr>
        <w:t>”</w:t>
      </w:r>
      <w:r w:rsidR="006D574F" w:rsidRPr="0038442F">
        <w:rPr>
          <w:rStyle w:val="Refdenotaalpie"/>
          <w:rFonts w:ascii="Verdana" w:hAnsi="Verdana"/>
          <w:sz w:val="20"/>
          <w:szCs w:val="20"/>
          <w:lang w:val="pt-BR"/>
        </w:rPr>
        <w:footnoteReference w:id="43"/>
      </w:r>
      <w:r w:rsidR="006D574F" w:rsidRPr="0038442F">
        <w:rPr>
          <w:rFonts w:ascii="Verdana" w:hAnsi="Verdana"/>
          <w:bCs/>
          <w:sz w:val="20"/>
          <w:szCs w:val="20"/>
          <w:lang w:val="pt-BR"/>
        </w:rPr>
        <w:t>.</w:t>
      </w:r>
    </w:p>
    <w:p w14:paraId="7522C21E" w14:textId="77777777" w:rsidR="006D574F" w:rsidRPr="0038442F" w:rsidRDefault="006D574F" w:rsidP="00A857CB">
      <w:pPr>
        <w:pStyle w:val="Prrafodelista"/>
        <w:spacing w:line="240" w:lineRule="auto"/>
        <w:ind w:left="0"/>
        <w:jc w:val="both"/>
        <w:rPr>
          <w:rFonts w:ascii="Verdana" w:hAnsi="Verdana"/>
          <w:bCs/>
          <w:sz w:val="20"/>
          <w:szCs w:val="20"/>
          <w:lang w:val="pt-BR"/>
        </w:rPr>
      </w:pPr>
    </w:p>
    <w:p w14:paraId="517DFA4D" w14:textId="6A2B77B9" w:rsidR="00AE3991"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Fonts w:ascii="Verdana" w:hAnsi="Verdana"/>
          <w:bCs/>
          <w:sz w:val="20"/>
          <w:szCs w:val="20"/>
          <w:lang w:val="pt-BR"/>
        </w:rPr>
        <w:t xml:space="preserve">35. </w:t>
      </w:r>
      <w:r w:rsidRPr="0038442F">
        <w:rPr>
          <w:rFonts w:ascii="Verdana" w:hAnsi="Verdana"/>
          <w:bCs/>
          <w:sz w:val="20"/>
          <w:szCs w:val="20"/>
          <w:lang w:val="pt-BR"/>
        </w:rPr>
        <w:tab/>
      </w:r>
      <w:r w:rsidR="00247F19" w:rsidRPr="0038442F">
        <w:rPr>
          <w:rFonts w:ascii="Verdana" w:hAnsi="Verdana"/>
          <w:bCs/>
          <w:sz w:val="20"/>
          <w:szCs w:val="20"/>
          <w:lang w:val="pt-BR"/>
        </w:rPr>
        <w:t>A jurisprudência do Tribunal de Estrasburgo teve a oportunidade de analisar contextos de atividades denominadas “perigosas” da perspectiva do artigo 2 (direito à vida) da Convenção Europeia de Direitos Humanos.</w:t>
      </w:r>
      <w:r w:rsidR="00247F19" w:rsidRPr="0038442F">
        <w:rPr>
          <w:rStyle w:val="Refdenotaalpie"/>
          <w:rFonts w:ascii="Verdana" w:hAnsi="Verdana"/>
          <w:bCs/>
          <w:sz w:val="20"/>
          <w:szCs w:val="20"/>
          <w:lang w:val="pt-BR"/>
        </w:rPr>
        <w:footnoteReference w:id="44"/>
      </w:r>
      <w:r w:rsidR="00247F19" w:rsidRPr="0038442F">
        <w:rPr>
          <w:rFonts w:ascii="Verdana" w:hAnsi="Verdana"/>
          <w:bCs/>
          <w:sz w:val="20"/>
          <w:szCs w:val="20"/>
          <w:lang w:val="pt-BR"/>
        </w:rPr>
        <w:t xml:space="preserve"> Externou que a obrigação positiva estabelecida nessa disposição </w:t>
      </w:r>
      <w:r w:rsidR="00247F19" w:rsidRPr="0038442F">
        <w:rPr>
          <w:rStyle w:val="sb8d990e2"/>
          <w:rFonts w:ascii="Verdana" w:hAnsi="Verdana" w:cs="Arial"/>
          <w:bCs/>
          <w:sz w:val="20"/>
          <w:szCs w:val="20"/>
          <w:lang w:val="pt-BR"/>
        </w:rPr>
        <w:t>pode ser interpretada como aplicável no contexto de qualquer atividade, pública ou não, em que possa estar em jogo o direito à vida, e </w:t>
      </w:r>
      <w:r w:rsidR="00247F19" w:rsidRPr="0038442F">
        <w:rPr>
          <w:rStyle w:val="s6b621b36"/>
          <w:rFonts w:ascii="Verdana" w:hAnsi="Verdana" w:cs="Arial"/>
          <w:bCs/>
          <w:i/>
          <w:iCs/>
          <w:sz w:val="20"/>
          <w:szCs w:val="20"/>
          <w:lang w:val="pt-BR"/>
        </w:rPr>
        <w:t>a fortiori</w:t>
      </w:r>
      <w:r w:rsidR="00247F19" w:rsidRPr="0038442F">
        <w:rPr>
          <w:rStyle w:val="s6b621b36"/>
          <w:rFonts w:ascii="Verdana" w:hAnsi="Verdana" w:cs="Arial"/>
          <w:bCs/>
          <w:iCs/>
          <w:sz w:val="20"/>
          <w:szCs w:val="20"/>
          <w:lang w:val="pt-BR"/>
        </w:rPr>
        <w:t>,</w:t>
      </w:r>
      <w:r w:rsidR="00247F19" w:rsidRPr="0038442F">
        <w:rPr>
          <w:rStyle w:val="s6b621b36"/>
          <w:rFonts w:ascii="Verdana" w:hAnsi="Verdana" w:cs="Arial"/>
          <w:bCs/>
          <w:i/>
          <w:iCs/>
          <w:sz w:val="20"/>
          <w:szCs w:val="20"/>
          <w:lang w:val="pt-BR"/>
        </w:rPr>
        <w:t> </w:t>
      </w:r>
      <w:r w:rsidR="00247F19" w:rsidRPr="0038442F">
        <w:rPr>
          <w:rStyle w:val="sb8d990e2"/>
          <w:rFonts w:ascii="Verdana" w:hAnsi="Verdana" w:cs="Arial"/>
          <w:bCs/>
          <w:sz w:val="20"/>
          <w:szCs w:val="20"/>
          <w:lang w:val="pt-BR"/>
        </w:rPr>
        <w:t>no caso de atividades industriais que, por sua própria natureza sejam perigosas,</w:t>
      </w:r>
      <w:r w:rsidR="00247F19" w:rsidRPr="0038442F">
        <w:rPr>
          <w:rStyle w:val="Refdenotaalpie"/>
          <w:rFonts w:ascii="Verdana" w:hAnsi="Verdana" w:cs="Arial"/>
          <w:bCs/>
          <w:sz w:val="20"/>
          <w:szCs w:val="20"/>
          <w:lang w:val="pt-BR"/>
        </w:rPr>
        <w:footnoteReference w:id="45"/>
      </w:r>
      <w:r w:rsidR="00247F19" w:rsidRPr="0038442F">
        <w:rPr>
          <w:rStyle w:val="sb8d990e2"/>
          <w:rFonts w:ascii="Verdana" w:hAnsi="Verdana" w:cs="Arial"/>
          <w:bCs/>
          <w:sz w:val="20"/>
          <w:szCs w:val="20"/>
          <w:lang w:val="pt-BR"/>
        </w:rPr>
        <w:t xml:space="preserve"> como a operação de locais de coleta de dejetos,</w:t>
      </w:r>
      <w:r w:rsidR="00247F19" w:rsidRPr="0038442F">
        <w:rPr>
          <w:rStyle w:val="Refdenotaalpie"/>
          <w:rFonts w:ascii="Verdana" w:hAnsi="Verdana" w:cs="Arial"/>
          <w:bCs/>
          <w:sz w:val="20"/>
          <w:szCs w:val="20"/>
          <w:lang w:val="pt-BR"/>
        </w:rPr>
        <w:footnoteReference w:id="46"/>
      </w:r>
      <w:r w:rsidR="00247F19" w:rsidRPr="0038442F">
        <w:rPr>
          <w:rStyle w:val="sb8d990e2"/>
          <w:rFonts w:ascii="Verdana" w:hAnsi="Verdana" w:cs="Arial"/>
          <w:bCs/>
          <w:sz w:val="20"/>
          <w:szCs w:val="20"/>
          <w:lang w:val="pt-BR"/>
        </w:rPr>
        <w:t xml:space="preserve"> testes nucleares,</w:t>
      </w:r>
      <w:r w:rsidR="00247F19" w:rsidRPr="0038442F">
        <w:rPr>
          <w:rStyle w:val="Refdenotaalpie"/>
          <w:rFonts w:ascii="Verdana" w:hAnsi="Verdana" w:cs="Arial"/>
          <w:bCs/>
          <w:sz w:val="20"/>
          <w:szCs w:val="20"/>
          <w:lang w:val="pt-BR"/>
        </w:rPr>
        <w:footnoteReference w:id="47"/>
      </w:r>
      <w:r w:rsidR="00247F19" w:rsidRPr="0038442F">
        <w:rPr>
          <w:rStyle w:val="sb8d990e2"/>
          <w:rFonts w:ascii="Verdana" w:hAnsi="Verdana" w:cs="Arial"/>
          <w:bCs/>
          <w:sz w:val="20"/>
          <w:szCs w:val="20"/>
          <w:lang w:val="pt-BR"/>
        </w:rPr>
        <w:t xml:space="preserve"> casos relacionados com emissões tóxicas de uma fábrica de fertilizantes</w:t>
      </w:r>
      <w:r w:rsidR="00247F19" w:rsidRPr="0038442F">
        <w:rPr>
          <w:rStyle w:val="Refdenotaalpie"/>
          <w:rFonts w:ascii="Verdana" w:hAnsi="Verdana" w:cs="Arial"/>
          <w:bCs/>
          <w:sz w:val="20"/>
          <w:szCs w:val="20"/>
          <w:lang w:val="pt-BR"/>
        </w:rPr>
        <w:footnoteReference w:id="48"/>
      </w:r>
      <w:r w:rsidR="00247F19" w:rsidRPr="0038442F">
        <w:rPr>
          <w:rStyle w:val="sb8d990e2"/>
          <w:rFonts w:ascii="Verdana" w:hAnsi="Verdana" w:cs="Arial"/>
          <w:bCs/>
          <w:sz w:val="20"/>
          <w:szCs w:val="20"/>
          <w:lang w:val="pt-BR"/>
        </w:rPr>
        <w:t xml:space="preserve"> ou a exposição dos trabalhadores a materiais que p</w:t>
      </w:r>
      <w:r w:rsidR="006B5285" w:rsidRPr="0038442F">
        <w:rPr>
          <w:rStyle w:val="sb8d990e2"/>
          <w:rFonts w:ascii="Verdana" w:hAnsi="Verdana" w:cs="Arial"/>
          <w:bCs/>
          <w:sz w:val="20"/>
          <w:szCs w:val="20"/>
          <w:lang w:val="pt-BR"/>
        </w:rPr>
        <w:t>ossam p</w:t>
      </w:r>
      <w:r w:rsidR="00247F19" w:rsidRPr="0038442F">
        <w:rPr>
          <w:rStyle w:val="sb8d990e2"/>
          <w:rFonts w:ascii="Verdana" w:hAnsi="Verdana" w:cs="Arial"/>
          <w:bCs/>
          <w:sz w:val="20"/>
          <w:szCs w:val="20"/>
          <w:lang w:val="pt-BR"/>
        </w:rPr>
        <w:t>rejudicar sua saúde em um local de trabalho administrado por uma entidade de caráter público e controlada pelo Governo.</w:t>
      </w:r>
      <w:r w:rsidR="00247F19" w:rsidRPr="0038442F">
        <w:rPr>
          <w:rStyle w:val="Refdenotaalpie"/>
          <w:rFonts w:ascii="Verdana" w:hAnsi="Verdana" w:cs="Arial"/>
          <w:bCs/>
          <w:sz w:val="20"/>
          <w:szCs w:val="20"/>
          <w:lang w:val="pt-BR"/>
        </w:rPr>
        <w:footnoteReference w:id="49"/>
      </w:r>
      <w:r w:rsidR="00247F19" w:rsidRPr="0038442F">
        <w:rPr>
          <w:rStyle w:val="sb8d990e2"/>
          <w:rFonts w:ascii="Verdana" w:hAnsi="Verdana" w:cs="Arial"/>
          <w:bCs/>
          <w:sz w:val="20"/>
          <w:szCs w:val="20"/>
          <w:lang w:val="pt-BR"/>
        </w:rPr>
        <w:t xml:space="preserve"> </w:t>
      </w:r>
    </w:p>
    <w:p w14:paraId="68F82A1F" w14:textId="77777777" w:rsidR="00AE3991" w:rsidRPr="0038442F" w:rsidRDefault="00AE3991" w:rsidP="00A857CB">
      <w:pPr>
        <w:pStyle w:val="Prrafodelista"/>
        <w:spacing w:line="240" w:lineRule="auto"/>
        <w:rPr>
          <w:rStyle w:val="sb8d990e2"/>
          <w:rFonts w:ascii="Verdana" w:hAnsi="Verdana"/>
          <w:bCs/>
          <w:sz w:val="20"/>
          <w:szCs w:val="20"/>
          <w:lang w:val="pt-BR"/>
        </w:rPr>
      </w:pPr>
    </w:p>
    <w:p w14:paraId="1374D26A" w14:textId="55E1C0FD" w:rsidR="00542497"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Style w:val="sb8d990e2"/>
          <w:rFonts w:ascii="Verdana" w:hAnsi="Verdana"/>
          <w:bCs/>
          <w:sz w:val="20"/>
          <w:szCs w:val="20"/>
          <w:lang w:val="pt-BR"/>
        </w:rPr>
        <w:t xml:space="preserve">36. </w:t>
      </w:r>
      <w:r w:rsidRPr="0038442F">
        <w:rPr>
          <w:rStyle w:val="sb8d990e2"/>
          <w:rFonts w:ascii="Verdana" w:hAnsi="Verdana"/>
          <w:bCs/>
          <w:sz w:val="20"/>
          <w:szCs w:val="20"/>
          <w:lang w:val="pt-BR"/>
        </w:rPr>
        <w:tab/>
      </w:r>
      <w:r w:rsidR="00221D30" w:rsidRPr="0038442F">
        <w:rPr>
          <w:rStyle w:val="sb8d990e2"/>
          <w:rFonts w:ascii="Verdana" w:hAnsi="Verdana"/>
          <w:bCs/>
          <w:sz w:val="20"/>
          <w:szCs w:val="20"/>
          <w:lang w:val="pt-BR"/>
        </w:rPr>
        <w:t>Especificamente,</w:t>
      </w:r>
      <w:r w:rsidR="00EB37B6" w:rsidRPr="0038442F">
        <w:rPr>
          <w:rStyle w:val="sb8d990e2"/>
          <w:rFonts w:ascii="Verdana" w:hAnsi="Verdana"/>
          <w:bCs/>
          <w:sz w:val="20"/>
          <w:szCs w:val="20"/>
          <w:lang w:val="pt-BR"/>
        </w:rPr>
        <w:t xml:space="preserve"> a </w:t>
      </w:r>
      <w:r w:rsidR="00984A83" w:rsidRPr="0038442F">
        <w:rPr>
          <w:rStyle w:val="sb8d990e2"/>
          <w:rFonts w:ascii="Verdana" w:hAnsi="Verdana"/>
          <w:bCs/>
          <w:sz w:val="20"/>
          <w:szCs w:val="20"/>
          <w:lang w:val="pt-BR"/>
        </w:rPr>
        <w:t>jurisprudência</w:t>
      </w:r>
      <w:r w:rsidR="00407242" w:rsidRPr="0038442F">
        <w:rPr>
          <w:rStyle w:val="sb8d990e2"/>
          <w:rFonts w:ascii="Verdana" w:hAnsi="Verdana"/>
          <w:bCs/>
          <w:sz w:val="20"/>
          <w:szCs w:val="20"/>
          <w:lang w:val="pt-BR"/>
        </w:rPr>
        <w:t xml:space="preserve"> </w:t>
      </w:r>
      <w:r w:rsidR="00EB37B6" w:rsidRPr="0038442F">
        <w:rPr>
          <w:rStyle w:val="sb8d990e2"/>
          <w:rFonts w:ascii="Verdana" w:hAnsi="Verdana"/>
          <w:bCs/>
          <w:sz w:val="20"/>
          <w:szCs w:val="20"/>
          <w:lang w:val="pt-BR"/>
        </w:rPr>
        <w:t>d</w:t>
      </w:r>
      <w:r w:rsidR="00221D30" w:rsidRPr="0038442F">
        <w:rPr>
          <w:rStyle w:val="sb8d990e2"/>
          <w:rFonts w:ascii="Verdana" w:hAnsi="Verdana"/>
          <w:bCs/>
          <w:sz w:val="20"/>
          <w:szCs w:val="20"/>
          <w:lang w:val="pt-BR"/>
        </w:rPr>
        <w:t>o</w:t>
      </w:r>
      <w:r w:rsidR="00EB37B6" w:rsidRPr="0038442F">
        <w:rPr>
          <w:rStyle w:val="sb8d990e2"/>
          <w:rFonts w:ascii="Verdana" w:hAnsi="Verdana"/>
          <w:bCs/>
          <w:sz w:val="20"/>
          <w:szCs w:val="20"/>
          <w:lang w:val="pt-BR"/>
        </w:rPr>
        <w:t xml:space="preserve"> Tribunal </w:t>
      </w:r>
      <w:r w:rsidR="00DA73B1" w:rsidRPr="0038442F">
        <w:rPr>
          <w:rStyle w:val="sb8d990e2"/>
          <w:rFonts w:ascii="Verdana" w:hAnsi="Verdana"/>
          <w:bCs/>
          <w:sz w:val="20"/>
          <w:szCs w:val="20"/>
          <w:lang w:val="pt-BR"/>
        </w:rPr>
        <w:t>Europeu</w:t>
      </w:r>
      <w:r w:rsidR="00407242" w:rsidRPr="0038442F">
        <w:rPr>
          <w:rStyle w:val="sb8d990e2"/>
          <w:rFonts w:ascii="Verdana" w:hAnsi="Verdana"/>
          <w:bCs/>
          <w:sz w:val="20"/>
          <w:szCs w:val="20"/>
          <w:lang w:val="pt-BR"/>
        </w:rPr>
        <w:t xml:space="preserve"> </w:t>
      </w:r>
      <w:r w:rsidR="005135E5" w:rsidRPr="0038442F">
        <w:rPr>
          <w:rStyle w:val="sb8d990e2"/>
          <w:rFonts w:ascii="Verdana" w:hAnsi="Verdana"/>
          <w:bCs/>
          <w:sz w:val="20"/>
          <w:szCs w:val="20"/>
          <w:lang w:val="pt-BR"/>
        </w:rPr>
        <w:t xml:space="preserve">não só </w:t>
      </w:r>
      <w:r w:rsidR="00EB37B6" w:rsidRPr="0038442F">
        <w:rPr>
          <w:rStyle w:val="sb8d990e2"/>
          <w:rFonts w:ascii="Verdana" w:hAnsi="Verdana"/>
          <w:bCs/>
          <w:sz w:val="20"/>
          <w:szCs w:val="20"/>
          <w:lang w:val="pt-BR"/>
        </w:rPr>
        <w:t>aplic</w:t>
      </w:r>
      <w:r w:rsidR="00221D30" w:rsidRPr="0038442F">
        <w:rPr>
          <w:rStyle w:val="sb8d990e2"/>
          <w:rFonts w:ascii="Verdana" w:hAnsi="Verdana"/>
          <w:bCs/>
          <w:sz w:val="20"/>
          <w:szCs w:val="20"/>
          <w:lang w:val="pt-BR"/>
        </w:rPr>
        <w:t xml:space="preserve">ou essas </w:t>
      </w:r>
      <w:r w:rsidR="00984A83" w:rsidRPr="0038442F">
        <w:rPr>
          <w:rStyle w:val="sb8d990e2"/>
          <w:rFonts w:ascii="Verdana" w:hAnsi="Verdana"/>
          <w:bCs/>
          <w:sz w:val="20"/>
          <w:szCs w:val="20"/>
          <w:lang w:val="pt-BR"/>
        </w:rPr>
        <w:t>obrigações</w:t>
      </w:r>
      <w:r w:rsidR="00407242" w:rsidRPr="0038442F">
        <w:rPr>
          <w:rStyle w:val="sb8d990e2"/>
          <w:rFonts w:ascii="Verdana" w:hAnsi="Verdana"/>
          <w:bCs/>
          <w:sz w:val="20"/>
          <w:szCs w:val="20"/>
          <w:lang w:val="pt-BR"/>
        </w:rPr>
        <w:t xml:space="preserve"> </w:t>
      </w:r>
      <w:r w:rsidR="00751189" w:rsidRPr="0038442F">
        <w:rPr>
          <w:rStyle w:val="sb8d990e2"/>
          <w:rFonts w:ascii="Verdana" w:hAnsi="Verdana"/>
          <w:bCs/>
          <w:sz w:val="20"/>
          <w:szCs w:val="20"/>
          <w:lang w:val="pt-BR"/>
        </w:rPr>
        <w:t xml:space="preserve">no </w:t>
      </w:r>
      <w:r w:rsidR="00221D30" w:rsidRPr="0038442F">
        <w:rPr>
          <w:rStyle w:val="sb8d990e2"/>
          <w:rFonts w:ascii="Verdana" w:hAnsi="Verdana"/>
          <w:bCs/>
          <w:sz w:val="20"/>
          <w:szCs w:val="20"/>
          <w:lang w:val="pt-BR"/>
        </w:rPr>
        <w:t xml:space="preserve">âmbito </w:t>
      </w:r>
      <w:r w:rsidR="00A76AB6" w:rsidRPr="0038442F">
        <w:rPr>
          <w:rStyle w:val="sb8d990e2"/>
          <w:rFonts w:ascii="Verdana" w:hAnsi="Verdana"/>
          <w:bCs/>
          <w:sz w:val="20"/>
          <w:szCs w:val="20"/>
          <w:lang w:val="pt-BR"/>
        </w:rPr>
        <w:t xml:space="preserve">de </w:t>
      </w:r>
      <w:r w:rsidR="00C92762" w:rsidRPr="0038442F">
        <w:rPr>
          <w:rStyle w:val="sb8d990e2"/>
          <w:rFonts w:ascii="Verdana" w:hAnsi="Verdana"/>
          <w:bCs/>
          <w:sz w:val="20"/>
          <w:szCs w:val="20"/>
          <w:lang w:val="pt-BR"/>
        </w:rPr>
        <w:t>pessoas</w:t>
      </w:r>
      <w:r w:rsidR="00407242" w:rsidRPr="0038442F">
        <w:rPr>
          <w:rStyle w:val="sb8d990e2"/>
          <w:rFonts w:ascii="Verdana" w:hAnsi="Verdana"/>
          <w:bCs/>
          <w:sz w:val="20"/>
          <w:szCs w:val="20"/>
          <w:lang w:val="pt-BR"/>
        </w:rPr>
        <w:t xml:space="preserve"> </w:t>
      </w:r>
      <w:r w:rsidR="00A76AB6" w:rsidRPr="0038442F">
        <w:rPr>
          <w:rStyle w:val="sb8d990e2"/>
          <w:rFonts w:ascii="Verdana" w:hAnsi="Verdana"/>
          <w:bCs/>
          <w:sz w:val="20"/>
          <w:szCs w:val="20"/>
          <w:lang w:val="pt-BR"/>
        </w:rPr>
        <w:t xml:space="preserve">que </w:t>
      </w:r>
      <w:r w:rsidR="00221D30" w:rsidRPr="0038442F">
        <w:rPr>
          <w:rStyle w:val="sb8d990e2"/>
          <w:rFonts w:ascii="Verdana" w:hAnsi="Verdana"/>
          <w:bCs/>
          <w:sz w:val="20"/>
          <w:szCs w:val="20"/>
          <w:lang w:val="pt-BR"/>
        </w:rPr>
        <w:t xml:space="preserve">perderam a </w:t>
      </w:r>
      <w:r w:rsidR="00A76AB6" w:rsidRPr="0038442F">
        <w:rPr>
          <w:rStyle w:val="sb8d990e2"/>
          <w:rFonts w:ascii="Verdana" w:hAnsi="Verdana"/>
          <w:bCs/>
          <w:sz w:val="20"/>
          <w:szCs w:val="20"/>
          <w:lang w:val="pt-BR"/>
        </w:rPr>
        <w:t>vida</w:t>
      </w:r>
      <w:r w:rsidR="000F7EA3" w:rsidRPr="0038442F">
        <w:rPr>
          <w:rStyle w:val="sb8d990e2"/>
          <w:rFonts w:ascii="Verdana" w:hAnsi="Verdana"/>
          <w:bCs/>
          <w:sz w:val="20"/>
          <w:szCs w:val="20"/>
          <w:lang w:val="pt-BR"/>
        </w:rPr>
        <w:t xml:space="preserve">, </w:t>
      </w:r>
      <w:r w:rsidR="00221D30" w:rsidRPr="0038442F">
        <w:rPr>
          <w:rStyle w:val="sb8d990e2"/>
          <w:rFonts w:ascii="Verdana" w:hAnsi="Verdana"/>
          <w:bCs/>
          <w:sz w:val="20"/>
          <w:szCs w:val="20"/>
          <w:lang w:val="pt-BR"/>
        </w:rPr>
        <w:t xml:space="preserve">mas </w:t>
      </w:r>
      <w:r w:rsidR="005135E5" w:rsidRPr="0038442F">
        <w:rPr>
          <w:rStyle w:val="sb8d990e2"/>
          <w:rFonts w:ascii="Verdana" w:hAnsi="Verdana"/>
          <w:bCs/>
          <w:sz w:val="20"/>
          <w:szCs w:val="20"/>
          <w:lang w:val="pt-BR"/>
        </w:rPr>
        <w:t>também</w:t>
      </w:r>
      <w:r w:rsidR="00407242" w:rsidRPr="0038442F">
        <w:rPr>
          <w:rStyle w:val="sb8d990e2"/>
          <w:rFonts w:ascii="Verdana" w:hAnsi="Verdana"/>
          <w:bCs/>
          <w:sz w:val="20"/>
          <w:szCs w:val="20"/>
          <w:lang w:val="pt-BR"/>
        </w:rPr>
        <w:t xml:space="preserve"> </w:t>
      </w:r>
      <w:r w:rsidR="00221D30" w:rsidRPr="0038442F">
        <w:rPr>
          <w:rStyle w:val="sb8d990e2"/>
          <w:rFonts w:ascii="Verdana" w:hAnsi="Verdana"/>
          <w:bCs/>
          <w:sz w:val="20"/>
          <w:szCs w:val="20"/>
          <w:lang w:val="pt-BR"/>
        </w:rPr>
        <w:t xml:space="preserve">considerou </w:t>
      </w:r>
      <w:r w:rsidR="000F7EA3" w:rsidRPr="0038442F">
        <w:rPr>
          <w:rStyle w:val="sb8d990e2"/>
          <w:rFonts w:ascii="Verdana" w:hAnsi="Verdana"/>
          <w:bCs/>
          <w:sz w:val="20"/>
          <w:szCs w:val="20"/>
          <w:lang w:val="pt-BR"/>
        </w:rPr>
        <w:t>que</w:t>
      </w:r>
      <w:r w:rsidR="00A76AB6" w:rsidRPr="0038442F">
        <w:rPr>
          <w:rStyle w:val="sb8d990e2"/>
          <w:rFonts w:ascii="Verdana" w:hAnsi="Verdana"/>
          <w:bCs/>
          <w:sz w:val="20"/>
          <w:szCs w:val="20"/>
          <w:lang w:val="pt-BR"/>
        </w:rPr>
        <w:t xml:space="preserve"> </w:t>
      </w:r>
      <w:r w:rsidR="000450DD" w:rsidRPr="0038442F">
        <w:rPr>
          <w:rStyle w:val="sb8d990e2"/>
          <w:rFonts w:ascii="Verdana" w:hAnsi="Verdana"/>
          <w:bCs/>
          <w:sz w:val="20"/>
          <w:szCs w:val="20"/>
          <w:lang w:val="pt-BR"/>
        </w:rPr>
        <w:t>podem</w:t>
      </w:r>
      <w:r w:rsidR="00407242" w:rsidRPr="0038442F">
        <w:rPr>
          <w:rStyle w:val="sb8d990e2"/>
          <w:rFonts w:ascii="Verdana" w:hAnsi="Verdana"/>
          <w:bCs/>
          <w:sz w:val="20"/>
          <w:szCs w:val="20"/>
          <w:lang w:val="pt-BR"/>
        </w:rPr>
        <w:t xml:space="preserve"> </w:t>
      </w:r>
      <w:r w:rsidR="00221D30" w:rsidRPr="0038442F">
        <w:rPr>
          <w:rStyle w:val="sb8d990e2"/>
          <w:rFonts w:ascii="Verdana" w:hAnsi="Verdana"/>
          <w:bCs/>
          <w:sz w:val="20"/>
          <w:szCs w:val="20"/>
          <w:lang w:val="pt-BR"/>
        </w:rPr>
        <w:t xml:space="preserve">ser aplicadas </w:t>
      </w:r>
      <w:r w:rsidR="00A76AB6" w:rsidRPr="0038442F">
        <w:rPr>
          <w:rStyle w:val="sb8d990e2"/>
          <w:rFonts w:ascii="Verdana" w:hAnsi="Verdana"/>
          <w:bCs/>
          <w:sz w:val="20"/>
          <w:szCs w:val="20"/>
          <w:lang w:val="pt-BR"/>
        </w:rPr>
        <w:t>“</w:t>
      </w:r>
      <w:r w:rsidR="00221D30" w:rsidRPr="0038442F">
        <w:rPr>
          <w:rStyle w:val="sb8d990e2"/>
          <w:rFonts w:ascii="Verdana" w:hAnsi="Verdana"/>
          <w:bCs/>
          <w:sz w:val="20"/>
          <w:szCs w:val="20"/>
          <w:lang w:val="pt-BR"/>
        </w:rPr>
        <w:t>q</w:t>
      </w:r>
      <w:r w:rsidR="00A76AB6" w:rsidRPr="0038442F">
        <w:rPr>
          <w:rStyle w:val="sb8d990e2"/>
          <w:rFonts w:ascii="Verdana" w:hAnsi="Verdana"/>
          <w:bCs/>
          <w:sz w:val="20"/>
          <w:szCs w:val="20"/>
          <w:lang w:val="pt-BR"/>
        </w:rPr>
        <w:t>uando exista u</w:t>
      </w:r>
      <w:r w:rsidR="00221D30" w:rsidRPr="0038442F">
        <w:rPr>
          <w:rStyle w:val="sb8d990e2"/>
          <w:rFonts w:ascii="Verdana" w:hAnsi="Verdana"/>
          <w:bCs/>
          <w:sz w:val="20"/>
          <w:szCs w:val="20"/>
          <w:lang w:val="pt-BR"/>
        </w:rPr>
        <w:t>m</w:t>
      </w:r>
      <w:r w:rsidR="00A76AB6" w:rsidRPr="0038442F">
        <w:rPr>
          <w:rStyle w:val="sb8d990e2"/>
          <w:rFonts w:ascii="Verdana" w:hAnsi="Verdana"/>
          <w:bCs/>
          <w:sz w:val="20"/>
          <w:szCs w:val="20"/>
          <w:lang w:val="pt-BR"/>
        </w:rPr>
        <w:t xml:space="preserve"> </w:t>
      </w:r>
      <w:r w:rsidR="00BC6FC3" w:rsidRPr="0038442F">
        <w:rPr>
          <w:rStyle w:val="sb8d990e2"/>
          <w:rFonts w:ascii="Verdana" w:hAnsi="Verdana"/>
          <w:bCs/>
          <w:sz w:val="20"/>
          <w:szCs w:val="20"/>
          <w:lang w:val="pt-BR"/>
        </w:rPr>
        <w:t>risco</w:t>
      </w:r>
      <w:r w:rsidR="00407242" w:rsidRPr="0038442F">
        <w:rPr>
          <w:rStyle w:val="sb8d990e2"/>
          <w:rFonts w:ascii="Verdana" w:hAnsi="Verdana"/>
          <w:bCs/>
          <w:sz w:val="20"/>
          <w:szCs w:val="20"/>
          <w:lang w:val="pt-BR"/>
        </w:rPr>
        <w:t xml:space="preserve"> </w:t>
      </w:r>
      <w:r w:rsidR="00A76AB6" w:rsidRPr="0038442F">
        <w:rPr>
          <w:rStyle w:val="sb8d990e2"/>
          <w:rFonts w:ascii="Verdana" w:hAnsi="Verdana"/>
          <w:bCs/>
          <w:sz w:val="20"/>
          <w:szCs w:val="20"/>
          <w:lang w:val="pt-BR"/>
        </w:rPr>
        <w:t>grave de m</w:t>
      </w:r>
      <w:r w:rsidR="00221D30" w:rsidRPr="0038442F">
        <w:rPr>
          <w:rStyle w:val="sb8d990e2"/>
          <w:rFonts w:ascii="Verdana" w:hAnsi="Verdana"/>
          <w:bCs/>
          <w:sz w:val="20"/>
          <w:szCs w:val="20"/>
          <w:lang w:val="pt-BR"/>
        </w:rPr>
        <w:t>o</w:t>
      </w:r>
      <w:r w:rsidR="00A76AB6" w:rsidRPr="0038442F">
        <w:rPr>
          <w:rStyle w:val="sb8d990e2"/>
          <w:rFonts w:ascii="Verdana" w:hAnsi="Verdana"/>
          <w:bCs/>
          <w:sz w:val="20"/>
          <w:szCs w:val="20"/>
          <w:lang w:val="pt-BR"/>
        </w:rPr>
        <w:t>rte posterior”</w:t>
      </w:r>
      <w:r w:rsidR="00221D30" w:rsidRPr="0038442F">
        <w:rPr>
          <w:rStyle w:val="sb8d990e2"/>
          <w:rFonts w:ascii="Verdana" w:hAnsi="Verdana"/>
          <w:bCs/>
          <w:sz w:val="20"/>
          <w:szCs w:val="20"/>
          <w:lang w:val="pt-BR"/>
        </w:rPr>
        <w:t>.</w:t>
      </w:r>
      <w:r w:rsidR="00A76AB6" w:rsidRPr="0038442F">
        <w:rPr>
          <w:rStyle w:val="Refdenotaalpie"/>
          <w:rFonts w:ascii="Verdana" w:hAnsi="Verdana"/>
          <w:bCs/>
          <w:sz w:val="20"/>
          <w:szCs w:val="20"/>
          <w:lang w:val="pt-BR"/>
        </w:rPr>
        <w:footnoteReference w:id="50"/>
      </w:r>
      <w:r w:rsidR="00EA1097" w:rsidRPr="0038442F">
        <w:rPr>
          <w:rStyle w:val="sb8d990e2"/>
          <w:rFonts w:ascii="Verdana" w:hAnsi="Verdana"/>
          <w:bCs/>
          <w:sz w:val="20"/>
          <w:szCs w:val="20"/>
          <w:lang w:val="pt-BR"/>
        </w:rPr>
        <w:t xml:space="preserve"> </w:t>
      </w:r>
    </w:p>
    <w:p w14:paraId="03B8D63F" w14:textId="77777777" w:rsidR="003856EF" w:rsidRPr="0038442F" w:rsidRDefault="003856EF" w:rsidP="00A857CB">
      <w:pPr>
        <w:pStyle w:val="Prrafodelista"/>
        <w:spacing w:line="240" w:lineRule="auto"/>
        <w:ind w:left="0"/>
        <w:jc w:val="both"/>
        <w:rPr>
          <w:rStyle w:val="sb8d990e2"/>
          <w:rFonts w:ascii="Verdana" w:hAnsi="Verdana"/>
          <w:bCs/>
          <w:sz w:val="20"/>
          <w:szCs w:val="20"/>
          <w:lang w:val="pt-BR"/>
        </w:rPr>
      </w:pPr>
    </w:p>
    <w:p w14:paraId="64FFE907" w14:textId="0032D5DC" w:rsidR="00542497"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Style w:val="sb8d990e2"/>
          <w:rFonts w:ascii="Verdana" w:hAnsi="Verdana"/>
          <w:bCs/>
          <w:sz w:val="20"/>
          <w:szCs w:val="20"/>
          <w:lang w:val="pt-BR"/>
        </w:rPr>
        <w:t xml:space="preserve">37. </w:t>
      </w:r>
      <w:r w:rsidRPr="0038442F">
        <w:rPr>
          <w:rStyle w:val="sb8d990e2"/>
          <w:rFonts w:ascii="Verdana" w:hAnsi="Verdana"/>
          <w:bCs/>
          <w:sz w:val="20"/>
          <w:szCs w:val="20"/>
          <w:lang w:val="pt-BR"/>
        </w:rPr>
        <w:tab/>
      </w:r>
      <w:r w:rsidR="00542497" w:rsidRPr="0038442F">
        <w:rPr>
          <w:rStyle w:val="sb8d990e2"/>
          <w:rFonts w:ascii="Verdana" w:hAnsi="Verdana"/>
          <w:bCs/>
          <w:sz w:val="20"/>
          <w:szCs w:val="20"/>
          <w:lang w:val="pt-BR"/>
        </w:rPr>
        <w:t>Por su</w:t>
      </w:r>
      <w:r w:rsidR="00DA73B1" w:rsidRPr="0038442F">
        <w:rPr>
          <w:rStyle w:val="sb8d990e2"/>
          <w:rFonts w:ascii="Verdana" w:hAnsi="Verdana"/>
          <w:bCs/>
          <w:sz w:val="20"/>
          <w:szCs w:val="20"/>
          <w:lang w:val="pt-BR"/>
        </w:rPr>
        <w:t>a</w:t>
      </w:r>
      <w:r w:rsidR="00542497"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vez</w:t>
      </w:r>
      <w:r w:rsidR="00542497"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o </w:t>
      </w:r>
      <w:r w:rsidR="00360928" w:rsidRPr="0038442F">
        <w:rPr>
          <w:rStyle w:val="sb8d990e2"/>
          <w:rFonts w:ascii="Verdana" w:hAnsi="Verdana"/>
          <w:bCs/>
          <w:sz w:val="20"/>
          <w:szCs w:val="20"/>
          <w:lang w:val="pt-BR"/>
        </w:rPr>
        <w:t>Comitê</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Europeu</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 xml:space="preserve">de </w:t>
      </w:r>
      <w:r w:rsidR="00C92762" w:rsidRPr="0038442F">
        <w:rPr>
          <w:rStyle w:val="sb8d990e2"/>
          <w:rFonts w:ascii="Verdana" w:hAnsi="Verdana"/>
          <w:bCs/>
          <w:sz w:val="20"/>
          <w:szCs w:val="20"/>
          <w:lang w:val="pt-BR"/>
        </w:rPr>
        <w:t>Direitos</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Soci</w:t>
      </w:r>
      <w:r w:rsidR="00C92762" w:rsidRPr="0038442F">
        <w:rPr>
          <w:rStyle w:val="sb8d990e2"/>
          <w:rFonts w:ascii="Verdana" w:hAnsi="Verdana"/>
          <w:bCs/>
          <w:sz w:val="20"/>
          <w:szCs w:val="20"/>
          <w:lang w:val="pt-BR"/>
        </w:rPr>
        <w:t>ais</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abord</w:t>
      </w:r>
      <w:r w:rsidR="00DA73B1" w:rsidRPr="0038442F">
        <w:rPr>
          <w:rStyle w:val="sb8d990e2"/>
          <w:rFonts w:ascii="Verdana" w:hAnsi="Verdana"/>
          <w:bCs/>
          <w:sz w:val="20"/>
          <w:szCs w:val="20"/>
          <w:lang w:val="pt-BR"/>
        </w:rPr>
        <w:t>ou o tema com base</w:t>
      </w:r>
      <w:r w:rsidR="005C7939"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nos </w:t>
      </w:r>
      <w:r w:rsidR="00C92762" w:rsidRPr="0038442F">
        <w:rPr>
          <w:rStyle w:val="sb8d990e2"/>
          <w:rFonts w:ascii="Verdana" w:hAnsi="Verdana"/>
          <w:bCs/>
          <w:sz w:val="20"/>
          <w:szCs w:val="20"/>
          <w:lang w:val="pt-BR"/>
        </w:rPr>
        <w:t xml:space="preserve">direitos </w:t>
      </w:r>
      <w:r w:rsidR="00AE3991" w:rsidRPr="0038442F">
        <w:rPr>
          <w:rStyle w:val="sb8d990e2"/>
          <w:rFonts w:ascii="Verdana" w:hAnsi="Verdana"/>
          <w:bCs/>
          <w:sz w:val="20"/>
          <w:szCs w:val="20"/>
          <w:lang w:val="pt-BR"/>
        </w:rPr>
        <w:t>contemplados n</w:t>
      </w:r>
      <w:r w:rsidR="006A12FD" w:rsidRPr="0038442F">
        <w:rPr>
          <w:rStyle w:val="sb8d990e2"/>
          <w:rFonts w:ascii="Verdana" w:hAnsi="Verdana"/>
          <w:bCs/>
          <w:sz w:val="20"/>
          <w:szCs w:val="20"/>
          <w:lang w:val="pt-BR"/>
        </w:rPr>
        <w:t xml:space="preserve">os artigos </w:t>
      </w:r>
      <w:r w:rsidR="00542497" w:rsidRPr="0038442F">
        <w:rPr>
          <w:rStyle w:val="sb8d990e2"/>
          <w:rFonts w:ascii="Verdana" w:hAnsi="Verdana"/>
          <w:bCs/>
          <w:sz w:val="20"/>
          <w:szCs w:val="20"/>
          <w:lang w:val="pt-BR"/>
        </w:rPr>
        <w:t>2.4</w:t>
      </w:r>
      <w:r w:rsidR="00542497" w:rsidRPr="0038442F">
        <w:rPr>
          <w:rStyle w:val="Refdenotaalpie"/>
          <w:rFonts w:ascii="Verdana" w:hAnsi="Verdana"/>
          <w:bCs/>
          <w:sz w:val="20"/>
          <w:szCs w:val="20"/>
          <w:lang w:val="pt-BR"/>
        </w:rPr>
        <w:footnoteReference w:id="51"/>
      </w:r>
      <w:r w:rsidR="00542497"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e</w:t>
      </w:r>
      <w:r w:rsidR="00542497" w:rsidRPr="0038442F">
        <w:rPr>
          <w:rStyle w:val="sb8d990e2"/>
          <w:rFonts w:ascii="Verdana" w:hAnsi="Verdana"/>
          <w:bCs/>
          <w:sz w:val="20"/>
          <w:szCs w:val="20"/>
          <w:lang w:val="pt-BR"/>
        </w:rPr>
        <w:t xml:space="preserve"> 3</w:t>
      </w:r>
      <w:r w:rsidR="00542497" w:rsidRPr="0038442F">
        <w:rPr>
          <w:rStyle w:val="Refdenotaalpie"/>
          <w:rFonts w:ascii="Verdana" w:hAnsi="Verdana"/>
          <w:bCs/>
          <w:sz w:val="20"/>
          <w:szCs w:val="20"/>
          <w:lang w:val="pt-BR"/>
        </w:rPr>
        <w:footnoteReference w:id="52"/>
      </w:r>
      <w:r w:rsidR="00AE3991" w:rsidRPr="0038442F">
        <w:rPr>
          <w:rStyle w:val="sb8d990e2"/>
          <w:rFonts w:ascii="Verdana" w:hAnsi="Verdana"/>
          <w:bCs/>
          <w:sz w:val="20"/>
          <w:szCs w:val="20"/>
          <w:lang w:val="pt-BR"/>
        </w:rPr>
        <w:t xml:space="preserve"> </w:t>
      </w:r>
      <w:r w:rsidR="00C92762" w:rsidRPr="0038442F">
        <w:rPr>
          <w:rStyle w:val="sb8d990e2"/>
          <w:rFonts w:ascii="Verdana" w:hAnsi="Verdana"/>
          <w:bCs/>
          <w:sz w:val="20"/>
          <w:szCs w:val="20"/>
          <w:lang w:val="pt-BR"/>
        </w:rPr>
        <w:t xml:space="preserve">da </w:t>
      </w:r>
      <w:r w:rsidR="00AE3991" w:rsidRPr="0038442F">
        <w:rPr>
          <w:rStyle w:val="sb8d990e2"/>
          <w:rFonts w:ascii="Verdana" w:hAnsi="Verdana"/>
          <w:bCs/>
          <w:sz w:val="20"/>
          <w:szCs w:val="20"/>
          <w:lang w:val="pt-BR"/>
        </w:rPr>
        <w:t>Carta Social Europe</w:t>
      </w:r>
      <w:r w:rsidR="00DA73B1" w:rsidRPr="0038442F">
        <w:rPr>
          <w:rStyle w:val="sb8d990e2"/>
          <w:rFonts w:ascii="Verdana" w:hAnsi="Verdana"/>
          <w:bCs/>
          <w:sz w:val="20"/>
          <w:szCs w:val="20"/>
          <w:lang w:val="pt-BR"/>
        </w:rPr>
        <w:t>i</w:t>
      </w:r>
      <w:r w:rsidR="00AE3991" w:rsidRPr="0038442F">
        <w:rPr>
          <w:rStyle w:val="sb8d990e2"/>
          <w:rFonts w:ascii="Verdana" w:hAnsi="Verdana"/>
          <w:bCs/>
          <w:sz w:val="20"/>
          <w:szCs w:val="20"/>
          <w:lang w:val="pt-BR"/>
        </w:rPr>
        <w:t>a</w:t>
      </w:r>
      <w:r w:rsidR="00C321C3"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doravante denominada </w:t>
      </w:r>
      <w:r w:rsidR="00C321C3" w:rsidRPr="0038442F">
        <w:rPr>
          <w:rStyle w:val="sb8d990e2"/>
          <w:rFonts w:ascii="Verdana" w:hAnsi="Verdana"/>
          <w:bCs/>
          <w:sz w:val="20"/>
          <w:szCs w:val="20"/>
          <w:lang w:val="pt-BR"/>
        </w:rPr>
        <w:t>“Carta Social”)</w:t>
      </w:r>
      <w:r w:rsidR="00542497" w:rsidRPr="0038442F">
        <w:rPr>
          <w:rStyle w:val="sb8d990e2"/>
          <w:rFonts w:ascii="Verdana" w:hAnsi="Verdana"/>
          <w:bCs/>
          <w:sz w:val="20"/>
          <w:szCs w:val="20"/>
          <w:lang w:val="pt-BR"/>
        </w:rPr>
        <w:t xml:space="preserve">. Sobre </w:t>
      </w:r>
      <w:r w:rsidR="00DA73B1" w:rsidRPr="0038442F">
        <w:rPr>
          <w:rStyle w:val="sb8d990e2"/>
          <w:rFonts w:ascii="Verdana" w:hAnsi="Verdana"/>
          <w:bCs/>
          <w:sz w:val="20"/>
          <w:szCs w:val="20"/>
          <w:lang w:val="pt-BR"/>
        </w:rPr>
        <w:t xml:space="preserve">o </w:t>
      </w:r>
      <w:r w:rsidR="00CA30C5" w:rsidRPr="0038442F">
        <w:rPr>
          <w:rStyle w:val="sb8d990e2"/>
          <w:rFonts w:ascii="Verdana" w:hAnsi="Verdana"/>
          <w:bCs/>
          <w:sz w:val="20"/>
          <w:szCs w:val="20"/>
          <w:lang w:val="pt-BR"/>
        </w:rPr>
        <w:t>artigo</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2.4</w:t>
      </w:r>
      <w:r w:rsidR="00DA73B1" w:rsidRPr="0038442F">
        <w:rPr>
          <w:rStyle w:val="sb8d990e2"/>
          <w:rFonts w:ascii="Verdana" w:hAnsi="Verdana"/>
          <w:bCs/>
          <w:sz w:val="20"/>
          <w:szCs w:val="20"/>
          <w:lang w:val="pt-BR"/>
        </w:rPr>
        <w:t xml:space="preserve">, salientou que, </w:t>
      </w:r>
      <w:r w:rsidR="00542497" w:rsidRPr="0038442F">
        <w:rPr>
          <w:rStyle w:val="sb8d990e2"/>
          <w:rFonts w:ascii="Verdana" w:hAnsi="Verdana"/>
          <w:bCs/>
          <w:sz w:val="20"/>
          <w:szCs w:val="20"/>
          <w:lang w:val="pt-BR"/>
        </w:rPr>
        <w:t xml:space="preserve">frente aos denominados </w:t>
      </w:r>
      <w:r w:rsidR="00C92762" w:rsidRPr="0038442F">
        <w:rPr>
          <w:rStyle w:val="sb8d990e2"/>
          <w:rFonts w:ascii="Verdana" w:hAnsi="Verdana"/>
          <w:bCs/>
          <w:sz w:val="20"/>
          <w:szCs w:val="20"/>
          <w:lang w:val="pt-BR"/>
        </w:rPr>
        <w:t>trabalhos perigosos</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 xml:space="preserve">e insalubres </w:t>
      </w:r>
      <w:r w:rsidR="00DA73B1" w:rsidRPr="0038442F">
        <w:rPr>
          <w:rStyle w:val="sb8d990e2"/>
          <w:rFonts w:ascii="Verdana" w:hAnsi="Verdana"/>
          <w:bCs/>
          <w:sz w:val="20"/>
          <w:szCs w:val="20"/>
          <w:lang w:val="pt-BR"/>
        </w:rPr>
        <w:t>e</w:t>
      </w:r>
      <w:r w:rsidR="00542497" w:rsidRPr="0038442F">
        <w:rPr>
          <w:rStyle w:val="sb8d990e2"/>
          <w:rFonts w:ascii="Verdana" w:hAnsi="Verdana"/>
          <w:bCs/>
          <w:sz w:val="20"/>
          <w:szCs w:val="20"/>
          <w:lang w:val="pt-BR"/>
        </w:rPr>
        <w:t xml:space="preserve"> </w:t>
      </w:r>
      <w:r w:rsidR="005C7939" w:rsidRPr="0038442F">
        <w:rPr>
          <w:rStyle w:val="sb8d990e2"/>
          <w:rFonts w:ascii="Verdana" w:hAnsi="Verdana"/>
          <w:bCs/>
          <w:sz w:val="20"/>
          <w:szCs w:val="20"/>
          <w:lang w:val="pt-BR"/>
        </w:rPr>
        <w:t>à</w:t>
      </w:r>
      <w:r w:rsidR="00542497" w:rsidRPr="0038442F">
        <w:rPr>
          <w:rStyle w:val="sb8d990e2"/>
          <w:rFonts w:ascii="Verdana" w:hAnsi="Verdana"/>
          <w:bCs/>
          <w:sz w:val="20"/>
          <w:szCs w:val="20"/>
          <w:lang w:val="pt-BR"/>
        </w:rPr>
        <w:t xml:space="preserve"> exposi</w:t>
      </w:r>
      <w:r w:rsidR="000A1AA8" w:rsidRPr="0038442F">
        <w:rPr>
          <w:rStyle w:val="sb8d990e2"/>
          <w:rFonts w:ascii="Verdana" w:hAnsi="Verdana"/>
          <w:bCs/>
          <w:sz w:val="20"/>
          <w:szCs w:val="20"/>
          <w:lang w:val="pt-BR"/>
        </w:rPr>
        <w:t>ção</w:t>
      </w:r>
      <w:r w:rsidR="00542497" w:rsidRPr="0038442F">
        <w:rPr>
          <w:rStyle w:val="sb8d990e2"/>
          <w:rFonts w:ascii="Verdana" w:hAnsi="Verdana"/>
          <w:bCs/>
          <w:sz w:val="20"/>
          <w:szCs w:val="20"/>
          <w:lang w:val="pt-BR"/>
        </w:rPr>
        <w:t xml:space="preserve"> </w:t>
      </w:r>
      <w:r w:rsidR="00C92762" w:rsidRPr="0038442F">
        <w:rPr>
          <w:rStyle w:val="sb8d990e2"/>
          <w:rFonts w:ascii="Verdana" w:hAnsi="Verdana"/>
          <w:bCs/>
          <w:sz w:val="20"/>
          <w:szCs w:val="20"/>
          <w:lang w:val="pt-BR"/>
        </w:rPr>
        <w:t xml:space="preserve">dos </w:t>
      </w:r>
      <w:r w:rsidR="00246A73" w:rsidRPr="0038442F">
        <w:rPr>
          <w:rStyle w:val="sb8d990e2"/>
          <w:rFonts w:ascii="Verdana" w:hAnsi="Verdana"/>
          <w:bCs/>
          <w:sz w:val="20"/>
          <w:szCs w:val="20"/>
          <w:lang w:val="pt-BR"/>
        </w:rPr>
        <w:t>trabalhadores</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a es</w:t>
      </w:r>
      <w:r w:rsidR="00DA73B1" w:rsidRPr="0038442F">
        <w:rPr>
          <w:rStyle w:val="sb8d990e2"/>
          <w:rFonts w:ascii="Verdana" w:hAnsi="Verdana"/>
          <w:bCs/>
          <w:sz w:val="20"/>
          <w:szCs w:val="20"/>
          <w:lang w:val="pt-BR"/>
        </w:rPr>
        <w:t>s</w:t>
      </w:r>
      <w:r w:rsidR="00542497" w:rsidRPr="0038442F">
        <w:rPr>
          <w:rStyle w:val="sb8d990e2"/>
          <w:rFonts w:ascii="Verdana" w:hAnsi="Verdana"/>
          <w:bCs/>
          <w:sz w:val="20"/>
          <w:szCs w:val="20"/>
          <w:lang w:val="pt-BR"/>
        </w:rPr>
        <w:t xml:space="preserve">e tipo de </w:t>
      </w:r>
      <w:r w:rsidR="009F06E2" w:rsidRPr="0038442F">
        <w:rPr>
          <w:rStyle w:val="sb8d990e2"/>
          <w:rFonts w:ascii="Verdana" w:hAnsi="Verdana"/>
          <w:bCs/>
          <w:sz w:val="20"/>
          <w:szCs w:val="20"/>
          <w:lang w:val="pt-BR"/>
        </w:rPr>
        <w:t>atividade</w:t>
      </w:r>
      <w:r w:rsidR="00542497"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deverão esses trabalhadores </w:t>
      </w:r>
      <w:r w:rsidR="00542497" w:rsidRPr="0038442F">
        <w:rPr>
          <w:rStyle w:val="sb8d990e2"/>
          <w:rFonts w:ascii="Verdana" w:hAnsi="Verdana"/>
          <w:bCs/>
          <w:sz w:val="20"/>
          <w:szCs w:val="20"/>
          <w:lang w:val="pt-BR"/>
        </w:rPr>
        <w:t xml:space="preserve">gozar </w:t>
      </w:r>
      <w:r w:rsidR="001E23E2" w:rsidRPr="0038442F">
        <w:rPr>
          <w:rFonts w:ascii="Verdana" w:hAnsi="Verdana" w:cs="Arial"/>
          <w:sz w:val="20"/>
          <w:szCs w:val="20"/>
          <w:lang w:val="pt-BR"/>
        </w:rPr>
        <w:t>de</w:t>
      </w:r>
      <w:r w:rsidR="00542497" w:rsidRPr="0038442F">
        <w:rPr>
          <w:rFonts w:ascii="Verdana" w:hAnsi="Verdana" w:cs="Arial"/>
          <w:sz w:val="20"/>
          <w:szCs w:val="20"/>
          <w:lang w:val="pt-BR"/>
        </w:rPr>
        <w:t xml:space="preserve"> </w:t>
      </w:r>
      <w:r w:rsidR="00DA73B1" w:rsidRPr="0038442F">
        <w:rPr>
          <w:rFonts w:ascii="Verdana" w:hAnsi="Verdana" w:cs="Arial"/>
          <w:sz w:val="20"/>
          <w:szCs w:val="20"/>
          <w:lang w:val="pt-BR"/>
        </w:rPr>
        <w:t xml:space="preserve">férias pagas </w:t>
      </w:r>
      <w:r w:rsidR="00542497" w:rsidRPr="0038442F">
        <w:rPr>
          <w:rFonts w:ascii="Verdana" w:hAnsi="Verdana" w:cs="Arial"/>
          <w:sz w:val="20"/>
          <w:szCs w:val="20"/>
          <w:lang w:val="pt-BR"/>
        </w:rPr>
        <w:t>adicion</w:t>
      </w:r>
      <w:r w:rsidR="00C92762" w:rsidRPr="0038442F">
        <w:rPr>
          <w:rFonts w:ascii="Verdana" w:hAnsi="Verdana" w:cs="Arial"/>
          <w:sz w:val="20"/>
          <w:szCs w:val="20"/>
          <w:lang w:val="pt-BR"/>
        </w:rPr>
        <w:t>ais</w:t>
      </w:r>
      <w:r w:rsidR="00407242" w:rsidRPr="0038442F">
        <w:rPr>
          <w:rFonts w:ascii="Verdana" w:hAnsi="Verdana" w:cs="Arial"/>
          <w:sz w:val="20"/>
          <w:szCs w:val="20"/>
          <w:lang w:val="pt-BR"/>
        </w:rPr>
        <w:t xml:space="preserve"> </w:t>
      </w:r>
      <w:r w:rsidR="00542497" w:rsidRPr="0038442F">
        <w:rPr>
          <w:rFonts w:ascii="Verdana" w:hAnsi="Verdana" w:cs="Arial"/>
          <w:sz w:val="20"/>
          <w:szCs w:val="20"/>
          <w:lang w:val="pt-BR"/>
        </w:rPr>
        <w:t>o</w:t>
      </w:r>
      <w:r w:rsidR="00DA73B1" w:rsidRPr="0038442F">
        <w:rPr>
          <w:rFonts w:ascii="Verdana" w:hAnsi="Verdana" w:cs="Arial"/>
          <w:sz w:val="20"/>
          <w:szCs w:val="20"/>
          <w:lang w:val="pt-BR"/>
        </w:rPr>
        <w:t>u</w:t>
      </w:r>
      <w:r w:rsidR="00542497" w:rsidRPr="0038442F">
        <w:rPr>
          <w:rFonts w:ascii="Verdana" w:hAnsi="Verdana" w:cs="Arial"/>
          <w:sz w:val="20"/>
          <w:szCs w:val="20"/>
          <w:lang w:val="pt-BR"/>
        </w:rPr>
        <w:t xml:space="preserve"> </w:t>
      </w:r>
      <w:r w:rsidR="00DA73B1" w:rsidRPr="0038442F">
        <w:rPr>
          <w:rFonts w:ascii="Verdana" w:hAnsi="Verdana" w:cs="Arial"/>
          <w:sz w:val="20"/>
          <w:szCs w:val="20"/>
          <w:lang w:val="pt-BR"/>
        </w:rPr>
        <w:t xml:space="preserve">de </w:t>
      </w:r>
      <w:r w:rsidR="00542497" w:rsidRPr="0038442F">
        <w:rPr>
          <w:rFonts w:ascii="Verdana" w:hAnsi="Verdana" w:cs="Arial"/>
          <w:sz w:val="20"/>
          <w:szCs w:val="20"/>
          <w:lang w:val="pt-BR"/>
        </w:rPr>
        <w:t>redu</w:t>
      </w:r>
      <w:r w:rsidR="000A1AA8" w:rsidRPr="0038442F">
        <w:rPr>
          <w:rFonts w:ascii="Verdana" w:hAnsi="Verdana" w:cs="Arial"/>
          <w:sz w:val="20"/>
          <w:szCs w:val="20"/>
          <w:lang w:val="pt-BR"/>
        </w:rPr>
        <w:t>ção</w:t>
      </w:r>
      <w:r w:rsidR="00542497" w:rsidRPr="0038442F">
        <w:rPr>
          <w:rFonts w:ascii="Verdana" w:hAnsi="Verdana" w:cs="Arial"/>
          <w:sz w:val="20"/>
          <w:szCs w:val="20"/>
          <w:lang w:val="pt-BR"/>
        </w:rPr>
        <w:t xml:space="preserve"> de horas de </w:t>
      </w:r>
      <w:r w:rsidR="00C92762" w:rsidRPr="0038442F">
        <w:rPr>
          <w:rFonts w:ascii="Verdana" w:hAnsi="Verdana" w:cs="Arial"/>
          <w:sz w:val="20"/>
          <w:szCs w:val="20"/>
          <w:lang w:val="pt-BR"/>
        </w:rPr>
        <w:t>trabalho</w:t>
      </w:r>
      <w:r w:rsidR="00DA73B1" w:rsidRPr="0038442F">
        <w:rPr>
          <w:rFonts w:ascii="Verdana" w:hAnsi="Verdana" w:cs="Arial"/>
          <w:sz w:val="20"/>
          <w:szCs w:val="20"/>
          <w:lang w:val="pt-BR"/>
        </w:rPr>
        <w:t>,</w:t>
      </w:r>
      <w:r w:rsidR="00542497" w:rsidRPr="0038442F">
        <w:rPr>
          <w:rStyle w:val="Refdenotaalpie"/>
          <w:rFonts w:ascii="Verdana" w:hAnsi="Verdana" w:cs="Arial"/>
          <w:sz w:val="20"/>
          <w:szCs w:val="20"/>
          <w:lang w:val="pt-BR"/>
        </w:rPr>
        <w:footnoteReference w:id="53"/>
      </w:r>
      <w:r w:rsidR="00542497"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critério compartilhado de certo modo pelo </w:t>
      </w:r>
      <w:r w:rsidR="00542497" w:rsidRPr="0038442F">
        <w:rPr>
          <w:rStyle w:val="sb8d990e2"/>
          <w:rFonts w:ascii="Verdana" w:hAnsi="Verdana"/>
          <w:bCs/>
          <w:sz w:val="20"/>
          <w:szCs w:val="20"/>
          <w:lang w:val="pt-BR"/>
        </w:rPr>
        <w:t xml:space="preserve">Tribunal </w:t>
      </w:r>
      <w:r w:rsidR="00DA73B1" w:rsidRPr="0038442F">
        <w:rPr>
          <w:rStyle w:val="sb8d990e2"/>
          <w:rFonts w:ascii="Verdana" w:hAnsi="Verdana"/>
          <w:bCs/>
          <w:sz w:val="20"/>
          <w:szCs w:val="20"/>
          <w:lang w:val="pt-BR"/>
        </w:rPr>
        <w:t>Europeu.</w:t>
      </w:r>
      <w:r w:rsidR="00542497" w:rsidRPr="0038442F">
        <w:rPr>
          <w:rStyle w:val="Refdenotaalpie"/>
          <w:rFonts w:ascii="Verdana" w:hAnsi="Verdana"/>
          <w:bCs/>
          <w:sz w:val="20"/>
          <w:szCs w:val="20"/>
          <w:lang w:val="pt-BR"/>
        </w:rPr>
        <w:footnoteReference w:id="54"/>
      </w:r>
      <w:r w:rsidR="00542497" w:rsidRPr="0038442F">
        <w:rPr>
          <w:rStyle w:val="sb8d990e2"/>
          <w:rFonts w:ascii="Verdana" w:hAnsi="Verdana"/>
          <w:bCs/>
          <w:sz w:val="20"/>
          <w:szCs w:val="20"/>
          <w:lang w:val="pt-BR"/>
        </w:rPr>
        <w:t xml:space="preserve"> Sobre </w:t>
      </w:r>
      <w:r w:rsidR="00DA73B1" w:rsidRPr="0038442F">
        <w:rPr>
          <w:rStyle w:val="sb8d990e2"/>
          <w:rFonts w:ascii="Verdana" w:hAnsi="Verdana"/>
          <w:bCs/>
          <w:sz w:val="20"/>
          <w:szCs w:val="20"/>
          <w:lang w:val="pt-BR"/>
        </w:rPr>
        <w:t xml:space="preserve">o </w:t>
      </w:r>
      <w:r w:rsidR="00CA30C5" w:rsidRPr="0038442F">
        <w:rPr>
          <w:rStyle w:val="sb8d990e2"/>
          <w:rFonts w:ascii="Verdana" w:hAnsi="Verdana"/>
          <w:bCs/>
          <w:sz w:val="20"/>
          <w:szCs w:val="20"/>
          <w:lang w:val="pt-BR"/>
        </w:rPr>
        <w:t>direito</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a </w:t>
      </w:r>
      <w:r w:rsidR="00542497" w:rsidRPr="0038442F">
        <w:rPr>
          <w:rStyle w:val="sb8d990e2"/>
          <w:rFonts w:ascii="Verdana" w:hAnsi="Verdana"/>
          <w:bCs/>
          <w:sz w:val="20"/>
          <w:szCs w:val="20"/>
          <w:lang w:val="pt-BR"/>
        </w:rPr>
        <w:t>condi</w:t>
      </w:r>
      <w:r w:rsidR="000A1AA8" w:rsidRPr="0038442F">
        <w:rPr>
          <w:rStyle w:val="sb8d990e2"/>
          <w:rFonts w:ascii="Verdana" w:hAnsi="Verdana"/>
          <w:bCs/>
          <w:sz w:val="20"/>
          <w:szCs w:val="20"/>
          <w:lang w:val="pt-BR"/>
        </w:rPr>
        <w:t>ções</w:t>
      </w:r>
      <w:r w:rsidR="00542497" w:rsidRPr="0038442F">
        <w:rPr>
          <w:rStyle w:val="sb8d990e2"/>
          <w:rFonts w:ascii="Verdana" w:hAnsi="Verdana"/>
          <w:bCs/>
          <w:sz w:val="20"/>
          <w:szCs w:val="20"/>
          <w:lang w:val="pt-BR"/>
        </w:rPr>
        <w:t xml:space="preserve"> seguras </w:t>
      </w:r>
      <w:r w:rsidR="00DA73B1" w:rsidRPr="0038442F">
        <w:rPr>
          <w:rStyle w:val="sb8d990e2"/>
          <w:rFonts w:ascii="Verdana" w:hAnsi="Verdana"/>
          <w:bCs/>
          <w:sz w:val="20"/>
          <w:szCs w:val="20"/>
          <w:lang w:val="pt-BR"/>
        </w:rPr>
        <w:t>e</w:t>
      </w:r>
      <w:r w:rsidR="00542497" w:rsidRPr="0038442F">
        <w:rPr>
          <w:rStyle w:val="sb8d990e2"/>
          <w:rFonts w:ascii="Verdana" w:hAnsi="Verdana"/>
          <w:bCs/>
          <w:sz w:val="20"/>
          <w:szCs w:val="20"/>
          <w:lang w:val="pt-BR"/>
        </w:rPr>
        <w:t xml:space="preserve"> sa</w:t>
      </w:r>
      <w:r w:rsidR="00DA73B1" w:rsidRPr="0038442F">
        <w:rPr>
          <w:rStyle w:val="sb8d990e2"/>
          <w:rFonts w:ascii="Verdana" w:hAnsi="Verdana"/>
          <w:bCs/>
          <w:sz w:val="20"/>
          <w:szCs w:val="20"/>
          <w:lang w:val="pt-BR"/>
        </w:rPr>
        <w:t xml:space="preserve">udáveis, </w:t>
      </w:r>
      <w:r w:rsidR="00542497" w:rsidRPr="0038442F">
        <w:rPr>
          <w:rStyle w:val="sb8d990e2"/>
          <w:rFonts w:ascii="Verdana" w:hAnsi="Verdana"/>
          <w:bCs/>
          <w:sz w:val="20"/>
          <w:szCs w:val="20"/>
          <w:lang w:val="pt-BR"/>
        </w:rPr>
        <w:t xml:space="preserve">contemplado </w:t>
      </w:r>
      <w:r w:rsidR="00751189" w:rsidRPr="0038442F">
        <w:rPr>
          <w:rStyle w:val="sb8d990e2"/>
          <w:rFonts w:ascii="Verdana" w:hAnsi="Verdana"/>
          <w:bCs/>
          <w:sz w:val="20"/>
          <w:szCs w:val="20"/>
          <w:lang w:val="pt-BR"/>
        </w:rPr>
        <w:t xml:space="preserve">no </w:t>
      </w:r>
      <w:r w:rsidR="00CA30C5" w:rsidRPr="0038442F">
        <w:rPr>
          <w:rStyle w:val="sb8d990e2"/>
          <w:rFonts w:ascii="Verdana" w:hAnsi="Verdana"/>
          <w:bCs/>
          <w:sz w:val="20"/>
          <w:szCs w:val="20"/>
          <w:lang w:val="pt-BR"/>
        </w:rPr>
        <w:t>artigo</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 xml:space="preserve">3 </w:t>
      </w:r>
      <w:r w:rsidR="00C92762" w:rsidRPr="0038442F">
        <w:rPr>
          <w:rStyle w:val="sb8d990e2"/>
          <w:rFonts w:ascii="Verdana" w:hAnsi="Verdana"/>
          <w:bCs/>
          <w:sz w:val="20"/>
          <w:szCs w:val="20"/>
          <w:lang w:val="pt-BR"/>
        </w:rPr>
        <w:t xml:space="preserve">da </w:t>
      </w:r>
      <w:r w:rsidR="00542497" w:rsidRPr="0038442F">
        <w:rPr>
          <w:rStyle w:val="sb8d990e2"/>
          <w:rFonts w:ascii="Verdana" w:hAnsi="Verdana"/>
          <w:bCs/>
          <w:sz w:val="20"/>
          <w:szCs w:val="20"/>
          <w:lang w:val="pt-BR"/>
        </w:rPr>
        <w:t xml:space="preserve">Carta Social, </w:t>
      </w:r>
      <w:r w:rsidR="00DA73B1" w:rsidRPr="0038442F">
        <w:rPr>
          <w:rStyle w:val="sb8d990e2"/>
          <w:rFonts w:ascii="Verdana" w:hAnsi="Verdana"/>
          <w:bCs/>
          <w:sz w:val="20"/>
          <w:szCs w:val="20"/>
          <w:lang w:val="pt-BR"/>
        </w:rPr>
        <w:t xml:space="preserve">o </w:t>
      </w:r>
      <w:r w:rsidR="00360928" w:rsidRPr="0038442F">
        <w:rPr>
          <w:rStyle w:val="sb8d990e2"/>
          <w:rFonts w:ascii="Verdana" w:hAnsi="Verdana"/>
          <w:bCs/>
          <w:sz w:val="20"/>
          <w:szCs w:val="20"/>
          <w:lang w:val="pt-BR"/>
        </w:rPr>
        <w:t>Comitê</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Europeu</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destacou que o </w:t>
      </w:r>
      <w:r w:rsidR="00542497" w:rsidRPr="0038442F">
        <w:rPr>
          <w:rStyle w:val="sb8d990e2"/>
          <w:rFonts w:ascii="Verdana" w:hAnsi="Verdana"/>
          <w:bCs/>
          <w:sz w:val="20"/>
          <w:szCs w:val="20"/>
          <w:lang w:val="pt-BR"/>
        </w:rPr>
        <w:t xml:space="preserve">referido </w:t>
      </w:r>
      <w:r w:rsidR="00CA30C5" w:rsidRPr="0038442F">
        <w:rPr>
          <w:rStyle w:val="sb8d990e2"/>
          <w:rFonts w:ascii="Verdana" w:hAnsi="Verdana"/>
          <w:bCs/>
          <w:sz w:val="20"/>
          <w:szCs w:val="20"/>
          <w:lang w:val="pt-BR"/>
        </w:rPr>
        <w:t>direito</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estar</w:t>
      </w:r>
      <w:r w:rsidR="00DA73B1" w:rsidRPr="0038442F">
        <w:rPr>
          <w:rStyle w:val="sb8d990e2"/>
          <w:rFonts w:ascii="Verdana" w:hAnsi="Verdana"/>
          <w:bCs/>
          <w:sz w:val="20"/>
          <w:szCs w:val="20"/>
          <w:lang w:val="pt-BR"/>
        </w:rPr>
        <w:t>i</w:t>
      </w:r>
      <w:r w:rsidR="00542497" w:rsidRPr="0038442F">
        <w:rPr>
          <w:rStyle w:val="sb8d990e2"/>
          <w:rFonts w:ascii="Verdana" w:hAnsi="Verdana"/>
          <w:bCs/>
          <w:sz w:val="20"/>
          <w:szCs w:val="20"/>
          <w:lang w:val="pt-BR"/>
        </w:rPr>
        <w:t xml:space="preserve">a vinculado </w:t>
      </w:r>
      <w:r w:rsidR="00DA73B1" w:rsidRPr="0038442F">
        <w:rPr>
          <w:rStyle w:val="sb8d990e2"/>
          <w:rFonts w:ascii="Verdana" w:hAnsi="Verdana"/>
          <w:bCs/>
          <w:sz w:val="20"/>
          <w:szCs w:val="20"/>
          <w:lang w:val="pt-BR"/>
        </w:rPr>
        <w:t xml:space="preserve">ao </w:t>
      </w:r>
      <w:r w:rsidR="00CA30C5" w:rsidRPr="0038442F">
        <w:rPr>
          <w:rStyle w:val="sb8d990e2"/>
          <w:rFonts w:ascii="Verdana" w:hAnsi="Verdana"/>
          <w:bCs/>
          <w:sz w:val="20"/>
          <w:szCs w:val="20"/>
          <w:lang w:val="pt-BR"/>
        </w:rPr>
        <w:t>direito</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à </w:t>
      </w:r>
      <w:r w:rsidR="008806F8" w:rsidRPr="0038442F">
        <w:rPr>
          <w:rStyle w:val="sb8d990e2"/>
          <w:rFonts w:ascii="Verdana" w:hAnsi="Verdana"/>
          <w:bCs/>
          <w:sz w:val="20"/>
          <w:szCs w:val="20"/>
          <w:lang w:val="pt-BR"/>
        </w:rPr>
        <w:t>integridade</w:t>
      </w:r>
      <w:r w:rsidR="00407242" w:rsidRPr="0038442F">
        <w:rPr>
          <w:rStyle w:val="sb8d990e2"/>
          <w:rFonts w:ascii="Verdana" w:hAnsi="Verdana"/>
          <w:bCs/>
          <w:sz w:val="20"/>
          <w:szCs w:val="20"/>
          <w:lang w:val="pt-BR"/>
        </w:rPr>
        <w:t xml:space="preserve"> </w:t>
      </w:r>
      <w:r w:rsidR="005135E5" w:rsidRPr="0038442F">
        <w:rPr>
          <w:rStyle w:val="sb8d990e2"/>
          <w:rFonts w:ascii="Verdana" w:hAnsi="Verdana"/>
          <w:bCs/>
          <w:sz w:val="20"/>
          <w:szCs w:val="20"/>
          <w:lang w:val="pt-BR"/>
        </w:rPr>
        <w:t>pessoal</w:t>
      </w:r>
      <w:r w:rsidR="00542497"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desse modo, os </w:t>
      </w:r>
      <w:r w:rsidR="005135E5" w:rsidRPr="0038442F">
        <w:rPr>
          <w:rStyle w:val="sb8d990e2"/>
          <w:rFonts w:ascii="Verdana" w:hAnsi="Verdana"/>
          <w:bCs/>
          <w:sz w:val="20"/>
          <w:szCs w:val="20"/>
          <w:lang w:val="pt-BR"/>
        </w:rPr>
        <w:t>Estados</w:t>
      </w:r>
      <w:r w:rsidR="00DA73B1" w:rsidRPr="0038442F">
        <w:rPr>
          <w:rStyle w:val="sb8d990e2"/>
          <w:rFonts w:ascii="Verdana" w:hAnsi="Verdana"/>
          <w:bCs/>
          <w:sz w:val="20"/>
          <w:szCs w:val="20"/>
          <w:lang w:val="pt-BR"/>
        </w:rPr>
        <w:t xml:space="preserve">, ao aceitar </w:t>
      </w:r>
      <w:r w:rsidR="00927EFF">
        <w:rPr>
          <w:rStyle w:val="sb8d990e2"/>
          <w:rFonts w:ascii="Verdana" w:hAnsi="Verdana"/>
          <w:bCs/>
          <w:sz w:val="20"/>
          <w:szCs w:val="20"/>
          <w:lang w:val="pt-BR"/>
        </w:rPr>
        <w:t>o</w:t>
      </w:r>
      <w:r w:rsidR="00DA73B1" w:rsidRPr="0038442F">
        <w:rPr>
          <w:rStyle w:val="sb8d990e2"/>
          <w:rFonts w:ascii="Verdana" w:hAnsi="Verdana"/>
          <w:bCs/>
          <w:sz w:val="20"/>
          <w:szCs w:val="20"/>
          <w:lang w:val="pt-BR"/>
        </w:rPr>
        <w:t xml:space="preserve"> referid</w:t>
      </w:r>
      <w:r w:rsidR="00927EFF">
        <w:rPr>
          <w:rStyle w:val="sb8d990e2"/>
          <w:rFonts w:ascii="Verdana" w:hAnsi="Verdana"/>
          <w:bCs/>
          <w:sz w:val="20"/>
          <w:szCs w:val="20"/>
          <w:lang w:val="pt-BR"/>
        </w:rPr>
        <w:t>o</w:t>
      </w:r>
      <w:r w:rsidR="00DA73B1"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disposi</w:t>
      </w:r>
      <w:r w:rsidR="00927EFF">
        <w:rPr>
          <w:rStyle w:val="sb8d990e2"/>
          <w:rFonts w:ascii="Verdana" w:hAnsi="Verdana"/>
          <w:bCs/>
          <w:sz w:val="20"/>
          <w:szCs w:val="20"/>
          <w:lang w:val="pt-BR"/>
        </w:rPr>
        <w:t>tivo</w:t>
      </w:r>
      <w:r w:rsidR="00542497" w:rsidRPr="0038442F">
        <w:rPr>
          <w:rStyle w:val="sb8d990e2"/>
          <w:rFonts w:ascii="Verdana" w:hAnsi="Verdana"/>
          <w:bCs/>
          <w:sz w:val="20"/>
          <w:szCs w:val="20"/>
          <w:lang w:val="pt-BR"/>
        </w:rPr>
        <w:t xml:space="preserve"> </w:t>
      </w:r>
      <w:r w:rsidR="00C92762" w:rsidRPr="0038442F">
        <w:rPr>
          <w:rStyle w:val="sb8d990e2"/>
          <w:rFonts w:ascii="Verdana" w:hAnsi="Verdana"/>
          <w:bCs/>
          <w:sz w:val="20"/>
          <w:szCs w:val="20"/>
          <w:lang w:val="pt-BR"/>
        </w:rPr>
        <w:t xml:space="preserve">da </w:t>
      </w:r>
      <w:r w:rsidR="00542497" w:rsidRPr="0038442F">
        <w:rPr>
          <w:rStyle w:val="sb8d990e2"/>
          <w:rFonts w:ascii="Verdana" w:hAnsi="Verdana"/>
          <w:bCs/>
          <w:sz w:val="20"/>
          <w:szCs w:val="20"/>
          <w:lang w:val="pt-BR"/>
        </w:rPr>
        <w:t>C</w:t>
      </w:r>
      <w:r w:rsidR="00B02C81" w:rsidRPr="0038442F">
        <w:rPr>
          <w:rStyle w:val="sb8d990e2"/>
          <w:rFonts w:ascii="Verdana" w:hAnsi="Verdana"/>
          <w:bCs/>
          <w:sz w:val="20"/>
          <w:szCs w:val="20"/>
          <w:lang w:val="pt-BR"/>
        </w:rPr>
        <w:t>arta Social</w:t>
      </w:r>
      <w:r w:rsidR="00DA73B1" w:rsidRPr="0038442F">
        <w:rPr>
          <w:rStyle w:val="sb8d990e2"/>
          <w:rFonts w:ascii="Verdana" w:hAnsi="Verdana"/>
          <w:bCs/>
          <w:sz w:val="20"/>
          <w:szCs w:val="20"/>
          <w:lang w:val="pt-BR"/>
        </w:rPr>
        <w:t>,</w:t>
      </w:r>
      <w:r w:rsidR="00542497" w:rsidRPr="0038442F">
        <w:rPr>
          <w:rStyle w:val="sb8d990e2"/>
          <w:rFonts w:ascii="Verdana" w:hAnsi="Verdana"/>
          <w:bCs/>
          <w:sz w:val="20"/>
          <w:szCs w:val="20"/>
          <w:lang w:val="pt-BR"/>
        </w:rPr>
        <w:t xml:space="preserve"> </w:t>
      </w:r>
      <w:r w:rsidR="005135E5" w:rsidRPr="0038442F">
        <w:rPr>
          <w:rStyle w:val="sb8d990e2"/>
          <w:rFonts w:ascii="Verdana" w:hAnsi="Verdana"/>
          <w:bCs/>
          <w:sz w:val="20"/>
          <w:szCs w:val="20"/>
          <w:lang w:val="pt-BR"/>
        </w:rPr>
        <w:t>comprometem</w:t>
      </w:r>
      <w:r w:rsidR="00927EFF">
        <w:rPr>
          <w:rStyle w:val="sb8d990e2"/>
          <w:rFonts w:ascii="Verdana" w:hAnsi="Verdana"/>
          <w:bCs/>
          <w:sz w:val="20"/>
          <w:szCs w:val="20"/>
          <w:lang w:val="pt-BR"/>
        </w:rPr>
        <w:t>-se</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 xml:space="preserve">a </w:t>
      </w:r>
      <w:r w:rsidR="009612FB" w:rsidRPr="0038442F">
        <w:rPr>
          <w:rStyle w:val="sb8d990e2"/>
          <w:rFonts w:ascii="Verdana" w:hAnsi="Verdana"/>
          <w:bCs/>
          <w:sz w:val="20"/>
          <w:szCs w:val="20"/>
          <w:lang w:val="pt-BR"/>
        </w:rPr>
        <w:t>garantir</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w:t>
      </w:r>
      <w:r w:rsidR="00DA73B1" w:rsidRPr="0038442F">
        <w:rPr>
          <w:rStyle w:val="sb8d990e2"/>
          <w:rFonts w:ascii="Verdana" w:hAnsi="Verdana"/>
          <w:bCs/>
          <w:sz w:val="20"/>
          <w:szCs w:val="20"/>
          <w:lang w:val="pt-BR"/>
        </w:rPr>
        <w:t xml:space="preserve">o </w:t>
      </w:r>
      <w:r w:rsidR="00CA30C5" w:rsidRPr="0038442F">
        <w:rPr>
          <w:rStyle w:val="sb8d990e2"/>
          <w:rFonts w:ascii="Verdana" w:hAnsi="Verdana"/>
          <w:bCs/>
          <w:sz w:val="20"/>
          <w:szCs w:val="20"/>
          <w:lang w:val="pt-BR"/>
        </w:rPr>
        <w:t>direito</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 xml:space="preserve">à </w:t>
      </w:r>
      <w:r w:rsidR="008806F8" w:rsidRPr="0038442F">
        <w:rPr>
          <w:rStyle w:val="sb8d990e2"/>
          <w:rFonts w:ascii="Verdana" w:hAnsi="Verdana"/>
          <w:bCs/>
          <w:sz w:val="20"/>
          <w:szCs w:val="20"/>
          <w:lang w:val="pt-BR"/>
        </w:rPr>
        <w:t>integridade</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 xml:space="preserve">física </w:t>
      </w:r>
      <w:r w:rsidR="00DA73B1" w:rsidRPr="0038442F">
        <w:rPr>
          <w:rStyle w:val="sb8d990e2"/>
          <w:rFonts w:ascii="Verdana" w:hAnsi="Verdana"/>
          <w:bCs/>
          <w:sz w:val="20"/>
          <w:szCs w:val="20"/>
          <w:lang w:val="pt-BR"/>
        </w:rPr>
        <w:t>e</w:t>
      </w:r>
      <w:r w:rsidR="00542497" w:rsidRPr="0038442F">
        <w:rPr>
          <w:rStyle w:val="sb8d990e2"/>
          <w:rFonts w:ascii="Verdana" w:hAnsi="Verdana"/>
          <w:bCs/>
          <w:sz w:val="20"/>
          <w:szCs w:val="20"/>
          <w:lang w:val="pt-BR"/>
        </w:rPr>
        <w:t xml:space="preserve"> mental </w:t>
      </w:r>
      <w:r w:rsidR="00751189" w:rsidRPr="0038442F">
        <w:rPr>
          <w:rStyle w:val="sb8d990e2"/>
          <w:rFonts w:ascii="Verdana" w:hAnsi="Verdana"/>
          <w:bCs/>
          <w:sz w:val="20"/>
          <w:szCs w:val="20"/>
          <w:lang w:val="pt-BR"/>
        </w:rPr>
        <w:t xml:space="preserve">no </w:t>
      </w:r>
      <w:r w:rsidR="00C92762" w:rsidRPr="0038442F">
        <w:rPr>
          <w:rStyle w:val="sb8d990e2"/>
          <w:rFonts w:ascii="Verdana" w:hAnsi="Verdana"/>
          <w:bCs/>
          <w:sz w:val="20"/>
          <w:szCs w:val="20"/>
          <w:lang w:val="pt-BR"/>
        </w:rPr>
        <w:t>trabalho</w:t>
      </w:r>
      <w:r w:rsidR="00542497" w:rsidRPr="0038442F">
        <w:rPr>
          <w:rStyle w:val="sb8d990e2"/>
          <w:rFonts w:ascii="Verdana" w:hAnsi="Verdana"/>
          <w:bCs/>
          <w:sz w:val="20"/>
          <w:szCs w:val="20"/>
          <w:lang w:val="pt-BR"/>
        </w:rPr>
        <w:t xml:space="preserve">”, como </w:t>
      </w:r>
      <w:r w:rsidR="00C92762" w:rsidRPr="0038442F">
        <w:rPr>
          <w:rStyle w:val="sb8d990e2"/>
          <w:rFonts w:ascii="Verdana" w:hAnsi="Verdana"/>
          <w:bCs/>
          <w:sz w:val="20"/>
          <w:szCs w:val="20"/>
          <w:lang w:val="pt-BR"/>
        </w:rPr>
        <w:t>obrigação</w:t>
      </w:r>
      <w:r w:rsidR="00407242" w:rsidRPr="0038442F">
        <w:rPr>
          <w:rStyle w:val="sb8d990e2"/>
          <w:rFonts w:ascii="Verdana" w:hAnsi="Verdana"/>
          <w:bCs/>
          <w:sz w:val="20"/>
          <w:szCs w:val="20"/>
          <w:lang w:val="pt-BR"/>
        </w:rPr>
        <w:t xml:space="preserve"> </w:t>
      </w:r>
      <w:r w:rsidR="00542497" w:rsidRPr="0038442F">
        <w:rPr>
          <w:rStyle w:val="sb8d990e2"/>
          <w:rFonts w:ascii="Verdana" w:hAnsi="Verdana"/>
          <w:bCs/>
          <w:sz w:val="20"/>
          <w:szCs w:val="20"/>
          <w:lang w:val="pt-BR"/>
        </w:rPr>
        <w:t>principal</w:t>
      </w:r>
      <w:r w:rsidR="00DA73B1" w:rsidRPr="0038442F">
        <w:rPr>
          <w:rStyle w:val="sb8d990e2"/>
          <w:rFonts w:ascii="Verdana" w:hAnsi="Verdana"/>
          <w:bCs/>
          <w:sz w:val="20"/>
          <w:szCs w:val="20"/>
          <w:lang w:val="pt-BR"/>
        </w:rPr>
        <w:t>.</w:t>
      </w:r>
      <w:r w:rsidR="00542497" w:rsidRPr="0038442F">
        <w:rPr>
          <w:rStyle w:val="Refdenotaalpie"/>
          <w:rFonts w:ascii="Verdana" w:hAnsi="Verdana"/>
          <w:bCs/>
          <w:sz w:val="20"/>
          <w:szCs w:val="20"/>
          <w:lang w:val="pt-BR"/>
        </w:rPr>
        <w:footnoteReference w:id="55"/>
      </w:r>
    </w:p>
    <w:p w14:paraId="489BAFF2" w14:textId="77777777" w:rsidR="00542497" w:rsidRPr="0038442F" w:rsidRDefault="00542497" w:rsidP="00A857CB">
      <w:pPr>
        <w:pStyle w:val="Prrafodelista"/>
        <w:spacing w:line="240" w:lineRule="auto"/>
        <w:ind w:left="0"/>
        <w:jc w:val="both"/>
        <w:rPr>
          <w:rStyle w:val="sb8d990e2"/>
          <w:rFonts w:ascii="Verdana" w:hAnsi="Verdana"/>
          <w:bCs/>
          <w:sz w:val="20"/>
          <w:szCs w:val="20"/>
          <w:lang w:val="pt-BR"/>
        </w:rPr>
      </w:pPr>
    </w:p>
    <w:p w14:paraId="17B9C12A" w14:textId="37AC8AA9" w:rsidR="00AE3991"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Fonts w:ascii="Verdana" w:hAnsi="Verdana"/>
          <w:bCs/>
          <w:sz w:val="20"/>
          <w:szCs w:val="20"/>
          <w:lang w:val="pt-BR"/>
        </w:rPr>
        <w:t xml:space="preserve">38. </w:t>
      </w:r>
      <w:r w:rsidRPr="0038442F">
        <w:rPr>
          <w:rFonts w:ascii="Verdana" w:hAnsi="Verdana"/>
          <w:bCs/>
          <w:sz w:val="20"/>
          <w:szCs w:val="20"/>
          <w:lang w:val="pt-BR"/>
        </w:rPr>
        <w:tab/>
      </w:r>
      <w:r w:rsidR="00542497" w:rsidRPr="0038442F">
        <w:rPr>
          <w:rFonts w:ascii="Verdana" w:hAnsi="Verdana"/>
          <w:bCs/>
          <w:sz w:val="20"/>
          <w:szCs w:val="20"/>
          <w:lang w:val="pt-BR"/>
        </w:rPr>
        <w:t>Como p</w:t>
      </w:r>
      <w:r w:rsidR="007C2271" w:rsidRPr="0038442F">
        <w:rPr>
          <w:rFonts w:ascii="Verdana" w:hAnsi="Verdana"/>
          <w:bCs/>
          <w:sz w:val="20"/>
          <w:szCs w:val="20"/>
          <w:lang w:val="pt-BR"/>
        </w:rPr>
        <w:t>o</w:t>
      </w:r>
      <w:r w:rsidR="00542497" w:rsidRPr="0038442F">
        <w:rPr>
          <w:rFonts w:ascii="Verdana" w:hAnsi="Verdana"/>
          <w:bCs/>
          <w:sz w:val="20"/>
          <w:szCs w:val="20"/>
          <w:lang w:val="pt-BR"/>
        </w:rPr>
        <w:t>nto de partida,</w:t>
      </w:r>
      <w:r w:rsidR="00C321C3" w:rsidRPr="0038442F">
        <w:rPr>
          <w:rFonts w:ascii="Verdana" w:hAnsi="Verdana"/>
          <w:bCs/>
          <w:sz w:val="20"/>
          <w:szCs w:val="20"/>
          <w:lang w:val="pt-BR"/>
        </w:rPr>
        <w:t xml:space="preserve"> ambos </w:t>
      </w:r>
      <w:r w:rsidR="007C2271" w:rsidRPr="0038442F">
        <w:rPr>
          <w:rFonts w:ascii="Verdana" w:hAnsi="Verdana"/>
          <w:bCs/>
          <w:sz w:val="20"/>
          <w:szCs w:val="20"/>
          <w:lang w:val="pt-BR"/>
        </w:rPr>
        <w:t xml:space="preserve">os </w:t>
      </w:r>
      <w:r w:rsidR="005135E5" w:rsidRPr="0038442F">
        <w:rPr>
          <w:rFonts w:ascii="Verdana" w:hAnsi="Verdana"/>
          <w:bCs/>
          <w:sz w:val="20"/>
          <w:szCs w:val="20"/>
          <w:lang w:val="pt-BR"/>
        </w:rPr>
        <w:t>órgãos</w:t>
      </w:r>
      <w:r w:rsidR="00407242" w:rsidRPr="0038442F">
        <w:rPr>
          <w:rFonts w:ascii="Verdana" w:hAnsi="Verdana"/>
          <w:bCs/>
          <w:sz w:val="20"/>
          <w:szCs w:val="20"/>
          <w:lang w:val="pt-BR"/>
        </w:rPr>
        <w:t xml:space="preserve"> </w:t>
      </w:r>
      <w:r w:rsidR="007C2271" w:rsidRPr="0038442F">
        <w:rPr>
          <w:rFonts w:ascii="Verdana" w:hAnsi="Verdana"/>
          <w:bCs/>
          <w:sz w:val="20"/>
          <w:szCs w:val="20"/>
          <w:lang w:val="pt-BR"/>
        </w:rPr>
        <w:t xml:space="preserve">coincidem em que a regulamentação é </w:t>
      </w:r>
      <w:r w:rsidR="00542497" w:rsidRPr="0038442F">
        <w:rPr>
          <w:rFonts w:ascii="Verdana" w:hAnsi="Verdana"/>
          <w:bCs/>
          <w:sz w:val="20"/>
          <w:szCs w:val="20"/>
          <w:lang w:val="pt-BR"/>
        </w:rPr>
        <w:t xml:space="preserve">fundamental </w:t>
      </w:r>
      <w:r w:rsidR="007C2271" w:rsidRPr="0038442F">
        <w:rPr>
          <w:rFonts w:ascii="Verdana" w:hAnsi="Verdana"/>
          <w:bCs/>
          <w:sz w:val="20"/>
          <w:szCs w:val="20"/>
          <w:lang w:val="pt-BR"/>
        </w:rPr>
        <w:t>q</w:t>
      </w:r>
      <w:r w:rsidR="00542497" w:rsidRPr="0038442F">
        <w:rPr>
          <w:rFonts w:ascii="Verdana" w:hAnsi="Verdana"/>
          <w:bCs/>
          <w:sz w:val="20"/>
          <w:szCs w:val="20"/>
          <w:lang w:val="pt-BR"/>
        </w:rPr>
        <w:t xml:space="preserve">uando se trata de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perigosas</w:t>
      </w:r>
      <w:r w:rsidR="00542497" w:rsidRPr="0038442F">
        <w:rPr>
          <w:rFonts w:ascii="Verdana" w:hAnsi="Verdana"/>
          <w:bCs/>
          <w:sz w:val="20"/>
          <w:szCs w:val="20"/>
          <w:lang w:val="pt-BR"/>
        </w:rPr>
        <w:t xml:space="preserve">. </w:t>
      </w:r>
      <w:r w:rsidR="007C2271" w:rsidRPr="0038442F">
        <w:rPr>
          <w:rFonts w:ascii="Verdana" w:hAnsi="Verdana"/>
          <w:bCs/>
          <w:sz w:val="20"/>
          <w:szCs w:val="20"/>
          <w:lang w:val="pt-BR"/>
        </w:rPr>
        <w:t xml:space="preserve">O </w:t>
      </w:r>
      <w:r w:rsidR="00542497" w:rsidRPr="0038442F">
        <w:rPr>
          <w:rFonts w:ascii="Verdana" w:hAnsi="Verdana"/>
          <w:bCs/>
          <w:sz w:val="20"/>
          <w:szCs w:val="20"/>
          <w:lang w:val="pt-BR"/>
        </w:rPr>
        <w:t xml:space="preserve">Tribunal </w:t>
      </w:r>
      <w:r w:rsidR="00DA73B1" w:rsidRPr="0038442F">
        <w:rPr>
          <w:rFonts w:ascii="Verdana" w:hAnsi="Verdana"/>
          <w:bCs/>
          <w:sz w:val="20"/>
          <w:szCs w:val="20"/>
          <w:lang w:val="pt-BR"/>
        </w:rPr>
        <w:t>Europeu</w:t>
      </w:r>
      <w:r w:rsidR="00407242" w:rsidRPr="0038442F">
        <w:rPr>
          <w:rFonts w:ascii="Verdana" w:hAnsi="Verdana"/>
          <w:bCs/>
          <w:sz w:val="20"/>
          <w:szCs w:val="20"/>
          <w:lang w:val="pt-BR"/>
        </w:rPr>
        <w:t xml:space="preserve"> </w:t>
      </w:r>
      <w:r w:rsidR="00542497" w:rsidRPr="0038442F">
        <w:rPr>
          <w:rFonts w:ascii="Verdana" w:hAnsi="Verdana"/>
          <w:bCs/>
          <w:sz w:val="20"/>
          <w:szCs w:val="20"/>
          <w:lang w:val="pt-BR"/>
        </w:rPr>
        <w:t>especific</w:t>
      </w:r>
      <w:r w:rsidR="007C2271" w:rsidRPr="0038442F">
        <w:rPr>
          <w:rFonts w:ascii="Verdana" w:hAnsi="Verdana"/>
          <w:bCs/>
          <w:sz w:val="20"/>
          <w:szCs w:val="20"/>
          <w:lang w:val="pt-BR"/>
        </w:rPr>
        <w:t xml:space="preserve">ou </w:t>
      </w:r>
      <w:r w:rsidR="00B14813" w:rsidRPr="0038442F">
        <w:rPr>
          <w:rFonts w:ascii="Verdana" w:hAnsi="Verdana"/>
          <w:bCs/>
          <w:sz w:val="20"/>
          <w:szCs w:val="20"/>
          <w:lang w:val="pt-BR"/>
        </w:rPr>
        <w:t>que</w:t>
      </w:r>
      <w:r w:rsidR="007C2271" w:rsidRPr="0038442F">
        <w:rPr>
          <w:rFonts w:ascii="Verdana" w:hAnsi="Verdana"/>
          <w:bCs/>
          <w:sz w:val="20"/>
          <w:szCs w:val="20"/>
          <w:lang w:val="pt-BR"/>
        </w:rPr>
        <w:t xml:space="preserve">, uma vez que um </w:t>
      </w:r>
      <w:r w:rsidR="00A97A64" w:rsidRPr="0038442F">
        <w:rPr>
          <w:rFonts w:ascii="Verdana" w:hAnsi="Verdana"/>
          <w:bCs/>
          <w:sz w:val="20"/>
          <w:szCs w:val="20"/>
          <w:lang w:val="pt-BR"/>
        </w:rPr>
        <w:t xml:space="preserve">Estado </w:t>
      </w:r>
      <w:r w:rsidR="005C7939" w:rsidRPr="0038442F">
        <w:rPr>
          <w:rFonts w:ascii="Verdana" w:hAnsi="Verdana"/>
          <w:bCs/>
          <w:sz w:val="20"/>
          <w:szCs w:val="20"/>
          <w:lang w:val="pt-BR"/>
        </w:rPr>
        <w:t>tenha autorizado</w:t>
      </w:r>
      <w:r w:rsidR="00A97A64" w:rsidRPr="0038442F">
        <w:rPr>
          <w:rFonts w:ascii="Verdana" w:hAnsi="Verdana"/>
          <w:bCs/>
          <w:sz w:val="20"/>
          <w:szCs w:val="20"/>
          <w:lang w:val="pt-BR"/>
        </w:rPr>
        <w:t xml:space="preserve">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360928" w:rsidRPr="0038442F">
        <w:rPr>
          <w:rFonts w:ascii="Verdana" w:hAnsi="Verdana"/>
          <w:bCs/>
          <w:sz w:val="20"/>
          <w:szCs w:val="20"/>
          <w:lang w:val="pt-BR"/>
        </w:rPr>
        <w:t>perigosas</w:t>
      </w:r>
      <w:r w:rsidR="007C2271" w:rsidRPr="0038442F">
        <w:rPr>
          <w:rFonts w:ascii="Verdana" w:hAnsi="Verdana"/>
          <w:bCs/>
          <w:sz w:val="20"/>
          <w:szCs w:val="20"/>
          <w:lang w:val="pt-BR"/>
        </w:rPr>
        <w:t>,</w:t>
      </w:r>
      <w:r w:rsidR="00407242" w:rsidRPr="0038442F">
        <w:rPr>
          <w:rFonts w:ascii="Verdana" w:hAnsi="Verdana"/>
          <w:bCs/>
          <w:sz w:val="20"/>
          <w:szCs w:val="20"/>
          <w:lang w:val="pt-BR"/>
        </w:rPr>
        <w:t xml:space="preserve"> </w:t>
      </w:r>
      <w:r w:rsidR="000450DD" w:rsidRPr="0038442F">
        <w:rPr>
          <w:rFonts w:ascii="Verdana" w:hAnsi="Verdana"/>
          <w:bCs/>
          <w:sz w:val="20"/>
          <w:szCs w:val="20"/>
          <w:lang w:val="pt-BR"/>
        </w:rPr>
        <w:t>deve</w:t>
      </w:r>
      <w:r w:rsidR="00407242" w:rsidRPr="0038442F">
        <w:rPr>
          <w:rFonts w:ascii="Verdana" w:hAnsi="Verdana"/>
          <w:bCs/>
          <w:sz w:val="20"/>
          <w:szCs w:val="20"/>
          <w:lang w:val="pt-BR"/>
        </w:rPr>
        <w:t xml:space="preserve"> </w:t>
      </w:r>
      <w:r w:rsidR="009612FB" w:rsidRPr="0038442F">
        <w:rPr>
          <w:rFonts w:ascii="Verdana" w:hAnsi="Verdana"/>
          <w:bCs/>
          <w:sz w:val="20"/>
          <w:szCs w:val="20"/>
          <w:lang w:val="pt-BR"/>
        </w:rPr>
        <w:t>garantir</w:t>
      </w:r>
      <w:r w:rsidR="007C2271" w:rsidRPr="0038442F">
        <w:rPr>
          <w:rFonts w:ascii="Verdana" w:hAnsi="Verdana"/>
          <w:bCs/>
          <w:sz w:val="20"/>
          <w:szCs w:val="20"/>
          <w:lang w:val="pt-BR"/>
        </w:rPr>
        <w:t>,</w:t>
      </w:r>
      <w:r w:rsidR="00407242" w:rsidRPr="0038442F">
        <w:rPr>
          <w:rFonts w:ascii="Verdana" w:hAnsi="Verdana"/>
          <w:bCs/>
          <w:sz w:val="20"/>
          <w:szCs w:val="20"/>
          <w:lang w:val="pt-BR"/>
        </w:rPr>
        <w:t xml:space="preserve"> </w:t>
      </w:r>
      <w:r w:rsidR="00A97A64" w:rsidRPr="0038442F">
        <w:rPr>
          <w:rFonts w:ascii="Verdana" w:hAnsi="Verdana"/>
          <w:bCs/>
          <w:sz w:val="20"/>
          <w:szCs w:val="20"/>
          <w:lang w:val="pt-BR"/>
        </w:rPr>
        <w:t>mediante u</w:t>
      </w:r>
      <w:r w:rsidR="007C2271" w:rsidRPr="0038442F">
        <w:rPr>
          <w:rFonts w:ascii="Verdana" w:hAnsi="Verdana"/>
          <w:bCs/>
          <w:sz w:val="20"/>
          <w:szCs w:val="20"/>
          <w:lang w:val="pt-BR"/>
        </w:rPr>
        <w:t>m</w:t>
      </w:r>
      <w:r w:rsidR="00A97A64" w:rsidRPr="0038442F">
        <w:rPr>
          <w:rFonts w:ascii="Verdana" w:hAnsi="Verdana"/>
          <w:bCs/>
          <w:sz w:val="20"/>
          <w:szCs w:val="20"/>
          <w:lang w:val="pt-BR"/>
        </w:rPr>
        <w:t xml:space="preserve"> sistema de normas </w:t>
      </w:r>
      <w:r w:rsidR="007C2271" w:rsidRPr="0038442F">
        <w:rPr>
          <w:rFonts w:ascii="Verdana" w:hAnsi="Verdana"/>
          <w:bCs/>
          <w:sz w:val="20"/>
          <w:szCs w:val="20"/>
          <w:lang w:val="pt-BR"/>
        </w:rPr>
        <w:t>e</w:t>
      </w:r>
      <w:r w:rsidR="00A97A64" w:rsidRPr="0038442F">
        <w:rPr>
          <w:rFonts w:ascii="Verdana" w:hAnsi="Verdana"/>
          <w:bCs/>
          <w:sz w:val="20"/>
          <w:szCs w:val="20"/>
          <w:lang w:val="pt-BR"/>
        </w:rPr>
        <w:t xml:space="preserve"> controles suficientes</w:t>
      </w:r>
      <w:r w:rsidR="007C2271" w:rsidRPr="0038442F">
        <w:rPr>
          <w:rFonts w:ascii="Verdana" w:hAnsi="Verdana"/>
          <w:bCs/>
          <w:sz w:val="20"/>
          <w:szCs w:val="20"/>
          <w:lang w:val="pt-BR"/>
        </w:rPr>
        <w:t>,</w:t>
      </w:r>
      <w:r w:rsidR="00A97A64" w:rsidRPr="0038442F">
        <w:rPr>
          <w:rFonts w:ascii="Verdana" w:hAnsi="Verdana"/>
          <w:bCs/>
          <w:sz w:val="20"/>
          <w:szCs w:val="20"/>
          <w:lang w:val="pt-BR"/>
        </w:rPr>
        <w:t xml:space="preserve"> que </w:t>
      </w:r>
      <w:r w:rsidR="007C2271" w:rsidRPr="0038442F">
        <w:rPr>
          <w:rFonts w:ascii="Verdana" w:hAnsi="Verdana"/>
          <w:bCs/>
          <w:sz w:val="20"/>
          <w:szCs w:val="20"/>
          <w:lang w:val="pt-BR"/>
        </w:rPr>
        <w:t xml:space="preserve">o </w:t>
      </w:r>
      <w:r w:rsidR="00BC6FC3" w:rsidRPr="0038442F">
        <w:rPr>
          <w:rFonts w:ascii="Verdana" w:hAnsi="Verdana"/>
          <w:bCs/>
          <w:sz w:val="20"/>
          <w:szCs w:val="20"/>
          <w:lang w:val="pt-BR"/>
        </w:rPr>
        <w:t>risco</w:t>
      </w:r>
      <w:r w:rsidR="00407242" w:rsidRPr="0038442F">
        <w:rPr>
          <w:rFonts w:ascii="Verdana" w:hAnsi="Verdana"/>
          <w:bCs/>
          <w:sz w:val="20"/>
          <w:szCs w:val="20"/>
          <w:lang w:val="pt-BR"/>
        </w:rPr>
        <w:t xml:space="preserve"> </w:t>
      </w:r>
      <w:r w:rsidR="00A97A64" w:rsidRPr="0038442F">
        <w:rPr>
          <w:rFonts w:ascii="Verdana" w:hAnsi="Verdana"/>
          <w:bCs/>
          <w:sz w:val="20"/>
          <w:szCs w:val="20"/>
          <w:lang w:val="pt-BR"/>
        </w:rPr>
        <w:t>se reduza a u</w:t>
      </w:r>
      <w:r w:rsidR="007C2271" w:rsidRPr="0038442F">
        <w:rPr>
          <w:rFonts w:ascii="Verdana" w:hAnsi="Verdana"/>
          <w:bCs/>
          <w:sz w:val="20"/>
          <w:szCs w:val="20"/>
          <w:lang w:val="pt-BR"/>
        </w:rPr>
        <w:t>m</w:t>
      </w:r>
      <w:r w:rsidR="00A97A64" w:rsidRPr="0038442F">
        <w:rPr>
          <w:rFonts w:ascii="Verdana" w:hAnsi="Verdana"/>
          <w:bCs/>
          <w:sz w:val="20"/>
          <w:szCs w:val="20"/>
          <w:lang w:val="pt-BR"/>
        </w:rPr>
        <w:t xml:space="preserve"> mínimo razo</w:t>
      </w:r>
      <w:r w:rsidR="007C2271" w:rsidRPr="0038442F">
        <w:rPr>
          <w:rFonts w:ascii="Verdana" w:hAnsi="Verdana"/>
          <w:bCs/>
          <w:sz w:val="20"/>
          <w:szCs w:val="20"/>
          <w:lang w:val="pt-BR"/>
        </w:rPr>
        <w:t>ável;</w:t>
      </w:r>
      <w:r w:rsidR="00542497" w:rsidRPr="0038442F">
        <w:rPr>
          <w:rStyle w:val="Refdenotaalpie"/>
          <w:rFonts w:ascii="Verdana" w:hAnsi="Verdana"/>
          <w:bCs/>
          <w:sz w:val="20"/>
          <w:szCs w:val="20"/>
          <w:lang w:val="pt-BR"/>
        </w:rPr>
        <w:footnoteReference w:id="56"/>
      </w:r>
      <w:r w:rsidR="00AE3991" w:rsidRPr="0038442F">
        <w:rPr>
          <w:rFonts w:ascii="Verdana" w:hAnsi="Verdana"/>
          <w:bCs/>
          <w:sz w:val="20"/>
          <w:szCs w:val="20"/>
          <w:lang w:val="pt-BR"/>
        </w:rPr>
        <w:t xml:space="preserve"> </w:t>
      </w:r>
      <w:r w:rsidR="007C2271" w:rsidRPr="0038442F">
        <w:rPr>
          <w:rFonts w:ascii="Verdana" w:hAnsi="Verdana"/>
          <w:bCs/>
          <w:sz w:val="20"/>
          <w:szCs w:val="20"/>
          <w:lang w:val="pt-BR"/>
        </w:rPr>
        <w:t xml:space="preserve">razão pela qual a </w:t>
      </w:r>
      <w:r w:rsidR="00C92762" w:rsidRPr="0038442F">
        <w:rPr>
          <w:rFonts w:ascii="Verdana" w:hAnsi="Verdana"/>
          <w:bCs/>
          <w:sz w:val="20"/>
          <w:szCs w:val="20"/>
          <w:lang w:val="pt-BR"/>
        </w:rPr>
        <w:t>responsabilidade</w:t>
      </w:r>
      <w:r w:rsidR="00407242" w:rsidRPr="0038442F">
        <w:rPr>
          <w:rFonts w:ascii="Verdana" w:hAnsi="Verdana"/>
          <w:bCs/>
          <w:sz w:val="20"/>
          <w:szCs w:val="20"/>
          <w:lang w:val="pt-BR"/>
        </w:rPr>
        <w:t xml:space="preserve"> </w:t>
      </w:r>
      <w:r w:rsidR="00AE3991" w:rsidRPr="0038442F">
        <w:rPr>
          <w:rFonts w:ascii="Verdana" w:hAnsi="Verdana"/>
          <w:bCs/>
          <w:sz w:val="20"/>
          <w:szCs w:val="20"/>
          <w:lang w:val="pt-BR"/>
        </w:rPr>
        <w:t xml:space="preserve">internacional </w:t>
      </w:r>
      <w:r w:rsidR="00BB665E" w:rsidRPr="0038442F">
        <w:rPr>
          <w:rFonts w:ascii="Verdana" w:hAnsi="Verdana"/>
          <w:bCs/>
          <w:sz w:val="20"/>
          <w:szCs w:val="20"/>
          <w:lang w:val="pt-BR"/>
        </w:rPr>
        <w:t>pode</w:t>
      </w:r>
      <w:r w:rsidR="00407242" w:rsidRPr="0038442F">
        <w:rPr>
          <w:rFonts w:ascii="Verdana" w:hAnsi="Verdana"/>
          <w:bCs/>
          <w:sz w:val="20"/>
          <w:szCs w:val="20"/>
          <w:lang w:val="pt-BR"/>
        </w:rPr>
        <w:t xml:space="preserve"> </w:t>
      </w:r>
      <w:r w:rsidR="00AE3991" w:rsidRPr="0038442F">
        <w:rPr>
          <w:rFonts w:ascii="Verdana" w:hAnsi="Verdana"/>
          <w:bCs/>
          <w:sz w:val="20"/>
          <w:szCs w:val="20"/>
          <w:lang w:val="pt-BR"/>
        </w:rPr>
        <w:t xml:space="preserve">surgir </w:t>
      </w:r>
      <w:r w:rsidR="005135E5" w:rsidRPr="0038442F">
        <w:rPr>
          <w:rFonts w:ascii="Verdana" w:hAnsi="Verdana"/>
          <w:bCs/>
          <w:sz w:val="20"/>
          <w:szCs w:val="20"/>
          <w:lang w:val="pt-BR"/>
        </w:rPr>
        <w:t xml:space="preserve">não só </w:t>
      </w:r>
      <w:r w:rsidR="007C2271" w:rsidRPr="0038442F">
        <w:rPr>
          <w:rFonts w:ascii="Verdana" w:hAnsi="Verdana"/>
          <w:bCs/>
          <w:sz w:val="20"/>
          <w:szCs w:val="20"/>
          <w:lang w:val="pt-BR"/>
        </w:rPr>
        <w:t xml:space="preserve">diante da ausência de legislação, mas também </w:t>
      </w:r>
      <w:r w:rsidR="00AE3991" w:rsidRPr="0038442F">
        <w:rPr>
          <w:rFonts w:ascii="Verdana" w:hAnsi="Verdana"/>
          <w:bCs/>
          <w:sz w:val="20"/>
          <w:szCs w:val="20"/>
          <w:lang w:val="pt-BR"/>
        </w:rPr>
        <w:t xml:space="preserve">por </w:t>
      </w:r>
      <w:r w:rsidR="00C92762" w:rsidRPr="0038442F">
        <w:rPr>
          <w:rFonts w:ascii="Verdana" w:hAnsi="Verdana"/>
          <w:bCs/>
          <w:sz w:val="20"/>
          <w:szCs w:val="20"/>
          <w:lang w:val="pt-BR"/>
        </w:rPr>
        <w:t>uma</w:t>
      </w:r>
      <w:r w:rsidR="00407242" w:rsidRPr="0038442F">
        <w:rPr>
          <w:rFonts w:ascii="Verdana" w:hAnsi="Verdana"/>
          <w:bCs/>
          <w:sz w:val="20"/>
          <w:szCs w:val="20"/>
          <w:lang w:val="pt-BR"/>
        </w:rPr>
        <w:t xml:space="preserve"> </w:t>
      </w:r>
      <w:r w:rsidR="007C2271" w:rsidRPr="0038442F">
        <w:rPr>
          <w:rFonts w:ascii="Verdana" w:hAnsi="Verdana"/>
          <w:bCs/>
          <w:sz w:val="20"/>
          <w:szCs w:val="20"/>
          <w:lang w:val="pt-BR"/>
        </w:rPr>
        <w:t xml:space="preserve">legislação </w:t>
      </w:r>
      <w:r w:rsidR="00AE3991" w:rsidRPr="0038442F">
        <w:rPr>
          <w:rFonts w:ascii="Verdana" w:hAnsi="Verdana"/>
          <w:bCs/>
          <w:sz w:val="20"/>
          <w:szCs w:val="20"/>
          <w:lang w:val="pt-BR"/>
        </w:rPr>
        <w:t xml:space="preserve">insuficiente </w:t>
      </w:r>
      <w:r w:rsidR="00BF7A10" w:rsidRPr="0038442F">
        <w:rPr>
          <w:rFonts w:ascii="Verdana" w:hAnsi="Verdana"/>
          <w:bCs/>
          <w:sz w:val="20"/>
          <w:szCs w:val="20"/>
          <w:lang w:val="pt-BR"/>
        </w:rPr>
        <w:t xml:space="preserve">na </w:t>
      </w:r>
      <w:r w:rsidR="00AE3991" w:rsidRPr="0038442F">
        <w:rPr>
          <w:rFonts w:ascii="Verdana" w:hAnsi="Verdana"/>
          <w:bCs/>
          <w:sz w:val="20"/>
          <w:szCs w:val="20"/>
          <w:lang w:val="pt-BR"/>
        </w:rPr>
        <w:t>mat</w:t>
      </w:r>
      <w:r w:rsidR="007C2271" w:rsidRPr="0038442F">
        <w:rPr>
          <w:rFonts w:ascii="Verdana" w:hAnsi="Verdana"/>
          <w:bCs/>
          <w:sz w:val="20"/>
          <w:szCs w:val="20"/>
          <w:lang w:val="pt-BR"/>
        </w:rPr>
        <w:t>é</w:t>
      </w:r>
      <w:r w:rsidR="00AE3991" w:rsidRPr="0038442F">
        <w:rPr>
          <w:rFonts w:ascii="Verdana" w:hAnsi="Verdana"/>
          <w:bCs/>
          <w:sz w:val="20"/>
          <w:szCs w:val="20"/>
          <w:lang w:val="pt-BR"/>
        </w:rPr>
        <w:t>ria</w:t>
      </w:r>
      <w:r w:rsidR="007C2271" w:rsidRPr="0038442F">
        <w:rPr>
          <w:rFonts w:ascii="Verdana" w:hAnsi="Verdana"/>
          <w:bCs/>
          <w:sz w:val="20"/>
          <w:szCs w:val="20"/>
          <w:lang w:val="pt-BR"/>
        </w:rPr>
        <w:t>.</w:t>
      </w:r>
      <w:r w:rsidR="00AE3991" w:rsidRPr="0038442F">
        <w:rPr>
          <w:rStyle w:val="Refdenotaalpie"/>
          <w:rFonts w:ascii="Verdana" w:hAnsi="Verdana"/>
          <w:bCs/>
          <w:sz w:val="20"/>
          <w:szCs w:val="20"/>
          <w:lang w:val="pt-BR"/>
        </w:rPr>
        <w:footnoteReference w:id="57"/>
      </w:r>
      <w:r w:rsidR="00E8110C" w:rsidRPr="0038442F">
        <w:rPr>
          <w:rFonts w:ascii="Verdana" w:hAnsi="Verdana"/>
          <w:bCs/>
          <w:sz w:val="20"/>
          <w:szCs w:val="20"/>
          <w:lang w:val="pt-BR"/>
        </w:rPr>
        <w:t xml:space="preserve"> </w:t>
      </w:r>
      <w:r w:rsidR="00542497" w:rsidRPr="0038442F">
        <w:rPr>
          <w:rFonts w:ascii="Verdana" w:hAnsi="Verdana"/>
          <w:bCs/>
          <w:sz w:val="20"/>
          <w:szCs w:val="20"/>
          <w:lang w:val="pt-BR"/>
        </w:rPr>
        <w:t>Por su</w:t>
      </w:r>
      <w:r w:rsidR="007C2271" w:rsidRPr="0038442F">
        <w:rPr>
          <w:rFonts w:ascii="Verdana" w:hAnsi="Verdana"/>
          <w:bCs/>
          <w:sz w:val="20"/>
          <w:szCs w:val="20"/>
          <w:lang w:val="pt-BR"/>
        </w:rPr>
        <w:t>a</w:t>
      </w:r>
      <w:r w:rsidR="00542497" w:rsidRPr="0038442F">
        <w:rPr>
          <w:rFonts w:ascii="Verdana" w:hAnsi="Verdana"/>
          <w:bCs/>
          <w:sz w:val="20"/>
          <w:szCs w:val="20"/>
          <w:lang w:val="pt-BR"/>
        </w:rPr>
        <w:t xml:space="preserve"> </w:t>
      </w:r>
      <w:r w:rsidR="007C2271" w:rsidRPr="0038442F">
        <w:rPr>
          <w:rFonts w:ascii="Verdana" w:hAnsi="Verdana"/>
          <w:bCs/>
          <w:sz w:val="20"/>
          <w:szCs w:val="20"/>
          <w:lang w:val="pt-BR"/>
        </w:rPr>
        <w:t>vez</w:t>
      </w:r>
      <w:r w:rsidR="00542497" w:rsidRPr="0038442F">
        <w:rPr>
          <w:rFonts w:ascii="Verdana" w:hAnsi="Verdana"/>
          <w:bCs/>
          <w:sz w:val="20"/>
          <w:szCs w:val="20"/>
          <w:lang w:val="pt-BR"/>
        </w:rPr>
        <w:t xml:space="preserve">, </w:t>
      </w:r>
      <w:r w:rsidR="007C2271" w:rsidRPr="0038442F">
        <w:rPr>
          <w:rFonts w:ascii="Verdana" w:hAnsi="Verdana"/>
          <w:bCs/>
          <w:sz w:val="20"/>
          <w:szCs w:val="20"/>
          <w:lang w:val="pt-BR"/>
        </w:rPr>
        <w:t xml:space="preserve">o </w:t>
      </w:r>
      <w:r w:rsidR="00360928" w:rsidRPr="0038442F">
        <w:rPr>
          <w:rFonts w:ascii="Verdana" w:hAnsi="Verdana"/>
          <w:bCs/>
          <w:sz w:val="20"/>
          <w:szCs w:val="20"/>
          <w:lang w:val="pt-BR"/>
        </w:rPr>
        <w:t>Comitê</w:t>
      </w:r>
      <w:r w:rsidR="00407242" w:rsidRPr="0038442F">
        <w:rPr>
          <w:rFonts w:ascii="Verdana" w:hAnsi="Verdana"/>
          <w:bCs/>
          <w:sz w:val="20"/>
          <w:szCs w:val="20"/>
          <w:lang w:val="pt-BR"/>
        </w:rPr>
        <w:t xml:space="preserve"> </w:t>
      </w:r>
      <w:r w:rsidR="00DA73B1" w:rsidRPr="0038442F">
        <w:rPr>
          <w:rFonts w:ascii="Verdana" w:hAnsi="Verdana"/>
          <w:bCs/>
          <w:sz w:val="20"/>
          <w:szCs w:val="20"/>
          <w:lang w:val="pt-BR"/>
        </w:rPr>
        <w:t>Europeu</w:t>
      </w:r>
      <w:r w:rsidR="00407242" w:rsidRPr="0038442F">
        <w:rPr>
          <w:rFonts w:ascii="Verdana" w:hAnsi="Verdana"/>
          <w:bCs/>
          <w:sz w:val="20"/>
          <w:szCs w:val="20"/>
          <w:lang w:val="pt-BR"/>
        </w:rPr>
        <w:t xml:space="preserve"> </w:t>
      </w:r>
      <w:r w:rsidR="007C2271" w:rsidRPr="0038442F">
        <w:rPr>
          <w:rFonts w:ascii="Verdana" w:hAnsi="Verdana"/>
          <w:bCs/>
          <w:sz w:val="20"/>
          <w:szCs w:val="20"/>
          <w:lang w:val="pt-BR"/>
        </w:rPr>
        <w:t>ressaltou que, para</w:t>
      </w:r>
      <w:r w:rsidR="00407242" w:rsidRPr="0038442F">
        <w:rPr>
          <w:rFonts w:ascii="Verdana" w:hAnsi="Verdana"/>
          <w:bCs/>
          <w:sz w:val="20"/>
          <w:szCs w:val="20"/>
          <w:lang w:val="pt-BR"/>
        </w:rPr>
        <w:t xml:space="preserve"> </w:t>
      </w:r>
      <w:r w:rsidR="009612FB" w:rsidRPr="0038442F">
        <w:rPr>
          <w:rFonts w:ascii="Verdana" w:hAnsi="Verdana" w:cs="Arial"/>
          <w:bCs/>
          <w:sz w:val="20"/>
          <w:szCs w:val="20"/>
          <w:lang w:val="pt-BR"/>
        </w:rPr>
        <w:t>garantir</w:t>
      </w:r>
      <w:r w:rsidR="00407242" w:rsidRPr="0038442F">
        <w:rPr>
          <w:rFonts w:ascii="Verdana" w:hAnsi="Verdana" w:cs="Arial"/>
          <w:bCs/>
          <w:sz w:val="20"/>
          <w:szCs w:val="20"/>
          <w:lang w:val="pt-BR"/>
        </w:rPr>
        <w:t xml:space="preserve"> </w:t>
      </w:r>
      <w:r w:rsidR="007C2271" w:rsidRPr="0038442F">
        <w:rPr>
          <w:rFonts w:ascii="Verdana" w:hAnsi="Verdana" w:cs="Arial"/>
          <w:bCs/>
          <w:sz w:val="20"/>
          <w:szCs w:val="20"/>
          <w:lang w:val="pt-BR"/>
        </w:rPr>
        <w:t xml:space="preserve">o </w:t>
      </w:r>
      <w:r w:rsidR="00CA30C5" w:rsidRPr="0038442F">
        <w:rPr>
          <w:rFonts w:ascii="Verdana" w:hAnsi="Verdana" w:cs="Arial"/>
          <w:bCs/>
          <w:sz w:val="20"/>
          <w:szCs w:val="20"/>
          <w:lang w:val="pt-BR"/>
        </w:rPr>
        <w:t>direito</w:t>
      </w:r>
      <w:r w:rsidR="00407242" w:rsidRPr="0038442F">
        <w:rPr>
          <w:rFonts w:ascii="Verdana" w:hAnsi="Verdana" w:cs="Arial"/>
          <w:bCs/>
          <w:sz w:val="20"/>
          <w:szCs w:val="20"/>
          <w:lang w:val="pt-BR"/>
        </w:rPr>
        <w:t xml:space="preserve"> </w:t>
      </w:r>
      <w:r w:rsidR="00542497" w:rsidRPr="0038442F">
        <w:rPr>
          <w:rFonts w:ascii="Verdana" w:hAnsi="Verdana" w:cs="Arial"/>
          <w:bCs/>
          <w:sz w:val="20"/>
          <w:szCs w:val="20"/>
          <w:lang w:val="pt-BR"/>
        </w:rPr>
        <w:t xml:space="preserve">contemplado </w:t>
      </w:r>
      <w:r w:rsidR="00751189" w:rsidRPr="0038442F">
        <w:rPr>
          <w:rFonts w:ascii="Verdana" w:hAnsi="Verdana" w:cs="Arial"/>
          <w:bCs/>
          <w:sz w:val="20"/>
          <w:szCs w:val="20"/>
          <w:lang w:val="pt-BR"/>
        </w:rPr>
        <w:t xml:space="preserve">no </w:t>
      </w:r>
      <w:r w:rsidR="00CA30C5" w:rsidRPr="0038442F">
        <w:rPr>
          <w:rFonts w:ascii="Verdana" w:hAnsi="Verdana" w:cs="Arial"/>
          <w:bCs/>
          <w:sz w:val="20"/>
          <w:szCs w:val="20"/>
          <w:lang w:val="pt-BR"/>
        </w:rPr>
        <w:t>artigo</w:t>
      </w:r>
      <w:r w:rsidR="00407242" w:rsidRPr="0038442F">
        <w:rPr>
          <w:rFonts w:ascii="Verdana" w:hAnsi="Verdana" w:cs="Arial"/>
          <w:bCs/>
          <w:sz w:val="20"/>
          <w:szCs w:val="20"/>
          <w:lang w:val="pt-BR"/>
        </w:rPr>
        <w:t xml:space="preserve"> </w:t>
      </w:r>
      <w:r w:rsidR="00542497" w:rsidRPr="0038442F">
        <w:rPr>
          <w:rFonts w:ascii="Verdana" w:hAnsi="Verdana" w:cs="Arial"/>
          <w:bCs/>
          <w:sz w:val="20"/>
          <w:szCs w:val="20"/>
          <w:lang w:val="pt-BR"/>
        </w:rPr>
        <w:t xml:space="preserve">3 </w:t>
      </w:r>
      <w:r w:rsidR="00C92762" w:rsidRPr="0038442F">
        <w:rPr>
          <w:rFonts w:ascii="Verdana" w:hAnsi="Verdana" w:cs="Arial"/>
          <w:bCs/>
          <w:sz w:val="20"/>
          <w:szCs w:val="20"/>
          <w:lang w:val="pt-BR"/>
        </w:rPr>
        <w:t xml:space="preserve">da </w:t>
      </w:r>
      <w:r w:rsidR="00542497" w:rsidRPr="0038442F">
        <w:rPr>
          <w:rFonts w:ascii="Verdana" w:hAnsi="Verdana" w:cs="Arial"/>
          <w:bCs/>
          <w:sz w:val="20"/>
          <w:szCs w:val="20"/>
          <w:lang w:val="pt-BR"/>
        </w:rPr>
        <w:t>C</w:t>
      </w:r>
      <w:r w:rsidR="00B02C81" w:rsidRPr="0038442F">
        <w:rPr>
          <w:rFonts w:ascii="Verdana" w:hAnsi="Verdana" w:cs="Arial"/>
          <w:bCs/>
          <w:sz w:val="20"/>
          <w:szCs w:val="20"/>
          <w:lang w:val="pt-BR"/>
        </w:rPr>
        <w:t>arta Social</w:t>
      </w:r>
      <w:r w:rsidR="00E8110C" w:rsidRPr="0038442F">
        <w:rPr>
          <w:rFonts w:ascii="Verdana" w:hAnsi="Verdana" w:cs="Arial"/>
          <w:bCs/>
          <w:sz w:val="20"/>
          <w:szCs w:val="20"/>
          <w:lang w:val="pt-BR"/>
        </w:rPr>
        <w:t xml:space="preserve">, </w:t>
      </w:r>
      <w:r w:rsidR="007C2271" w:rsidRPr="0038442F">
        <w:rPr>
          <w:rFonts w:ascii="Verdana" w:hAnsi="Verdana" w:cs="Arial"/>
          <w:bCs/>
          <w:sz w:val="20"/>
          <w:szCs w:val="20"/>
          <w:lang w:val="pt-BR"/>
        </w:rPr>
        <w:t xml:space="preserve">devem-se expedir regulamentações </w:t>
      </w:r>
      <w:r w:rsidR="00542497" w:rsidRPr="0038442F">
        <w:rPr>
          <w:rStyle w:val="sb8d990e2"/>
          <w:rFonts w:ascii="Verdana" w:hAnsi="Verdana" w:cs="Arial"/>
          <w:bCs/>
          <w:sz w:val="20"/>
          <w:szCs w:val="20"/>
          <w:lang w:val="pt-BR"/>
        </w:rPr>
        <w:t xml:space="preserve">de </w:t>
      </w:r>
      <w:r w:rsidR="00751189" w:rsidRPr="0038442F">
        <w:rPr>
          <w:rStyle w:val="sb8d990e2"/>
          <w:rFonts w:ascii="Verdana" w:hAnsi="Verdana" w:cs="Arial"/>
          <w:bCs/>
          <w:sz w:val="20"/>
          <w:szCs w:val="20"/>
          <w:lang w:val="pt-BR"/>
        </w:rPr>
        <w:t>saúde</w:t>
      </w:r>
      <w:r w:rsidR="00407242" w:rsidRPr="0038442F">
        <w:rPr>
          <w:rStyle w:val="sb8d990e2"/>
          <w:rFonts w:ascii="Verdana" w:hAnsi="Verdana" w:cs="Arial"/>
          <w:bCs/>
          <w:sz w:val="20"/>
          <w:szCs w:val="20"/>
          <w:lang w:val="pt-BR"/>
        </w:rPr>
        <w:t xml:space="preserve"> </w:t>
      </w:r>
      <w:r w:rsidR="007C2271" w:rsidRPr="0038442F">
        <w:rPr>
          <w:rStyle w:val="sb8d990e2"/>
          <w:rFonts w:ascii="Verdana" w:hAnsi="Verdana" w:cs="Arial"/>
          <w:bCs/>
          <w:sz w:val="20"/>
          <w:szCs w:val="20"/>
          <w:lang w:val="pt-BR"/>
        </w:rPr>
        <w:t>e</w:t>
      </w:r>
      <w:r w:rsidR="00542497" w:rsidRPr="0038442F">
        <w:rPr>
          <w:rStyle w:val="sb8d990e2"/>
          <w:rFonts w:ascii="Verdana" w:hAnsi="Verdana" w:cs="Arial"/>
          <w:bCs/>
          <w:sz w:val="20"/>
          <w:szCs w:val="20"/>
          <w:lang w:val="pt-BR"/>
        </w:rPr>
        <w:t xml:space="preserve"> </w:t>
      </w:r>
      <w:r w:rsidR="008806F8" w:rsidRPr="0038442F">
        <w:rPr>
          <w:rStyle w:val="sb8d990e2"/>
          <w:rFonts w:ascii="Verdana" w:hAnsi="Verdana" w:cs="Arial"/>
          <w:bCs/>
          <w:sz w:val="20"/>
          <w:szCs w:val="20"/>
          <w:lang w:val="pt-BR"/>
        </w:rPr>
        <w:t>segurança</w:t>
      </w:r>
      <w:r w:rsidR="00407242" w:rsidRPr="0038442F">
        <w:rPr>
          <w:rStyle w:val="sb8d990e2"/>
          <w:rFonts w:ascii="Verdana" w:hAnsi="Verdana" w:cs="Arial"/>
          <w:bCs/>
          <w:sz w:val="20"/>
          <w:szCs w:val="20"/>
          <w:lang w:val="pt-BR"/>
        </w:rPr>
        <w:t xml:space="preserve"> </w:t>
      </w:r>
      <w:r w:rsidR="00751189" w:rsidRPr="0038442F">
        <w:rPr>
          <w:rStyle w:val="sb8d990e2"/>
          <w:rFonts w:ascii="Verdana" w:hAnsi="Verdana" w:cs="Arial"/>
          <w:bCs/>
          <w:sz w:val="20"/>
          <w:szCs w:val="20"/>
          <w:lang w:val="pt-BR"/>
        </w:rPr>
        <w:t xml:space="preserve">no </w:t>
      </w:r>
      <w:r w:rsidR="00C92762" w:rsidRPr="0038442F">
        <w:rPr>
          <w:rStyle w:val="sb8d990e2"/>
          <w:rFonts w:ascii="Verdana" w:hAnsi="Verdana" w:cs="Arial"/>
          <w:bCs/>
          <w:sz w:val="20"/>
          <w:szCs w:val="20"/>
          <w:lang w:val="pt-BR"/>
        </w:rPr>
        <w:t>trabalho</w:t>
      </w:r>
      <w:r w:rsidR="007C2271" w:rsidRPr="0038442F">
        <w:rPr>
          <w:rStyle w:val="sb8d990e2"/>
          <w:rFonts w:ascii="Verdana" w:hAnsi="Verdana" w:cs="Arial"/>
          <w:bCs/>
          <w:sz w:val="20"/>
          <w:szCs w:val="20"/>
          <w:lang w:val="pt-BR"/>
        </w:rPr>
        <w:t xml:space="preserve">, que garantam a </w:t>
      </w:r>
      <w:r w:rsidR="00542497" w:rsidRPr="0038442F">
        <w:rPr>
          <w:rStyle w:val="sb8d990e2"/>
          <w:rFonts w:ascii="Verdana" w:hAnsi="Verdana" w:cs="Arial"/>
          <w:bCs/>
          <w:sz w:val="20"/>
          <w:szCs w:val="20"/>
          <w:lang w:val="pt-BR"/>
        </w:rPr>
        <w:t>preven</w:t>
      </w:r>
      <w:r w:rsidR="000A1AA8" w:rsidRPr="0038442F">
        <w:rPr>
          <w:rStyle w:val="sb8d990e2"/>
          <w:rFonts w:ascii="Verdana" w:hAnsi="Verdana" w:cs="Arial"/>
          <w:bCs/>
          <w:sz w:val="20"/>
          <w:szCs w:val="20"/>
          <w:lang w:val="pt-BR"/>
        </w:rPr>
        <w:t>ção</w:t>
      </w:r>
      <w:r w:rsidR="00542497" w:rsidRPr="0038442F">
        <w:rPr>
          <w:rStyle w:val="sb8d990e2"/>
          <w:rFonts w:ascii="Verdana" w:hAnsi="Verdana" w:cs="Arial"/>
          <w:bCs/>
          <w:sz w:val="20"/>
          <w:szCs w:val="20"/>
          <w:lang w:val="pt-BR"/>
        </w:rPr>
        <w:t xml:space="preserve"> </w:t>
      </w:r>
      <w:r w:rsidR="007C2271" w:rsidRPr="0038442F">
        <w:rPr>
          <w:rStyle w:val="sb8d990e2"/>
          <w:rFonts w:ascii="Verdana" w:hAnsi="Verdana" w:cs="Arial"/>
          <w:bCs/>
          <w:sz w:val="20"/>
          <w:szCs w:val="20"/>
          <w:lang w:val="pt-BR"/>
        </w:rPr>
        <w:t>e</w:t>
      </w:r>
      <w:r w:rsidR="00542497" w:rsidRPr="0038442F">
        <w:rPr>
          <w:rStyle w:val="sb8d990e2"/>
          <w:rFonts w:ascii="Verdana" w:hAnsi="Verdana" w:cs="Arial"/>
          <w:bCs/>
          <w:sz w:val="20"/>
          <w:szCs w:val="20"/>
          <w:lang w:val="pt-BR"/>
        </w:rPr>
        <w:t xml:space="preserve"> </w:t>
      </w:r>
      <w:r w:rsidR="007C2271" w:rsidRPr="0038442F">
        <w:rPr>
          <w:rStyle w:val="sb8d990e2"/>
          <w:rFonts w:ascii="Verdana" w:hAnsi="Verdana" w:cs="Arial"/>
          <w:bCs/>
          <w:sz w:val="20"/>
          <w:szCs w:val="20"/>
          <w:lang w:val="pt-BR"/>
        </w:rPr>
        <w:t xml:space="preserve">a </w:t>
      </w:r>
      <w:r w:rsidR="00751189" w:rsidRPr="0038442F">
        <w:rPr>
          <w:rStyle w:val="sb8d990e2"/>
          <w:rFonts w:ascii="Verdana" w:hAnsi="Verdana" w:cs="Arial"/>
          <w:bCs/>
          <w:sz w:val="20"/>
          <w:szCs w:val="20"/>
          <w:lang w:val="pt-BR"/>
        </w:rPr>
        <w:t>proteção</w:t>
      </w:r>
      <w:r w:rsidR="00407242" w:rsidRPr="0038442F">
        <w:rPr>
          <w:rStyle w:val="sb8d990e2"/>
          <w:rFonts w:ascii="Verdana" w:hAnsi="Verdana" w:cs="Arial"/>
          <w:bCs/>
          <w:sz w:val="20"/>
          <w:szCs w:val="20"/>
          <w:lang w:val="pt-BR"/>
        </w:rPr>
        <w:t xml:space="preserve"> </w:t>
      </w:r>
      <w:r w:rsidR="00751189" w:rsidRPr="0038442F">
        <w:rPr>
          <w:rStyle w:val="sb8d990e2"/>
          <w:rFonts w:ascii="Verdana" w:hAnsi="Verdana" w:cs="Arial"/>
          <w:bCs/>
          <w:sz w:val="20"/>
          <w:szCs w:val="20"/>
          <w:lang w:val="pt-BR"/>
        </w:rPr>
        <w:t xml:space="preserve">no </w:t>
      </w:r>
      <w:r w:rsidR="007C2271" w:rsidRPr="0038442F">
        <w:rPr>
          <w:rStyle w:val="sb8d990e2"/>
          <w:rFonts w:ascii="Verdana" w:hAnsi="Verdana" w:cs="Arial"/>
          <w:bCs/>
          <w:sz w:val="20"/>
          <w:szCs w:val="20"/>
          <w:lang w:val="pt-BR"/>
        </w:rPr>
        <w:t xml:space="preserve">local </w:t>
      </w:r>
      <w:r w:rsidR="00542497" w:rsidRPr="0038442F">
        <w:rPr>
          <w:rStyle w:val="sb8d990e2"/>
          <w:rFonts w:ascii="Verdana" w:hAnsi="Verdana" w:cs="Arial"/>
          <w:bCs/>
          <w:sz w:val="20"/>
          <w:szCs w:val="20"/>
          <w:lang w:val="pt-BR"/>
        </w:rPr>
        <w:t xml:space="preserve">de </w:t>
      </w:r>
      <w:r w:rsidR="00C92762" w:rsidRPr="0038442F">
        <w:rPr>
          <w:rStyle w:val="sb8d990e2"/>
          <w:rFonts w:ascii="Verdana" w:hAnsi="Verdana" w:cs="Arial"/>
          <w:bCs/>
          <w:sz w:val="20"/>
          <w:szCs w:val="20"/>
          <w:lang w:val="pt-BR"/>
        </w:rPr>
        <w:t>trabalho</w:t>
      </w:r>
      <w:r w:rsidR="00407242" w:rsidRPr="0038442F">
        <w:rPr>
          <w:rStyle w:val="sb8d990e2"/>
          <w:rFonts w:ascii="Verdana" w:hAnsi="Verdana" w:cs="Arial"/>
          <w:bCs/>
          <w:sz w:val="20"/>
          <w:szCs w:val="20"/>
          <w:lang w:val="pt-BR"/>
        </w:rPr>
        <w:t xml:space="preserve"> </w:t>
      </w:r>
      <w:r w:rsidR="00542497" w:rsidRPr="0038442F">
        <w:rPr>
          <w:rStyle w:val="sb8d990e2"/>
          <w:rFonts w:ascii="Verdana" w:hAnsi="Verdana" w:cs="Arial"/>
          <w:bCs/>
          <w:sz w:val="20"/>
          <w:szCs w:val="20"/>
          <w:lang w:val="pt-BR"/>
        </w:rPr>
        <w:t xml:space="preserve">contra os </w:t>
      </w:r>
      <w:r w:rsidR="007C2271" w:rsidRPr="0038442F">
        <w:rPr>
          <w:rStyle w:val="sb8d990e2"/>
          <w:rFonts w:ascii="Verdana" w:hAnsi="Verdana" w:cs="Arial"/>
          <w:bCs/>
          <w:sz w:val="20"/>
          <w:szCs w:val="20"/>
          <w:lang w:val="pt-BR"/>
        </w:rPr>
        <w:t>riscos</w:t>
      </w:r>
      <w:r w:rsidR="00407242" w:rsidRPr="0038442F">
        <w:rPr>
          <w:rStyle w:val="sb8d990e2"/>
          <w:rFonts w:ascii="Verdana" w:hAnsi="Verdana" w:cs="Arial"/>
          <w:bCs/>
          <w:sz w:val="20"/>
          <w:szCs w:val="20"/>
          <w:lang w:val="pt-BR"/>
        </w:rPr>
        <w:t xml:space="preserve"> </w:t>
      </w:r>
      <w:r w:rsidR="005135E5" w:rsidRPr="0038442F">
        <w:rPr>
          <w:rStyle w:val="sb8d990e2"/>
          <w:rFonts w:ascii="Verdana" w:hAnsi="Verdana" w:cs="Arial"/>
          <w:bCs/>
          <w:sz w:val="20"/>
          <w:szCs w:val="20"/>
          <w:lang w:val="pt-BR"/>
        </w:rPr>
        <w:t>reconhecidos</w:t>
      </w:r>
      <w:r w:rsidR="00407242" w:rsidRPr="0038442F">
        <w:rPr>
          <w:rStyle w:val="sb8d990e2"/>
          <w:rFonts w:ascii="Verdana" w:hAnsi="Verdana" w:cs="Arial"/>
          <w:bCs/>
          <w:sz w:val="20"/>
          <w:szCs w:val="20"/>
          <w:lang w:val="pt-BR"/>
        </w:rPr>
        <w:t xml:space="preserve"> </w:t>
      </w:r>
      <w:r w:rsidR="000A1AA8" w:rsidRPr="0038442F">
        <w:rPr>
          <w:rStyle w:val="sb8d990e2"/>
          <w:rFonts w:ascii="Verdana" w:hAnsi="Verdana" w:cs="Arial"/>
          <w:bCs/>
          <w:sz w:val="20"/>
          <w:szCs w:val="20"/>
          <w:lang w:val="pt-BR"/>
        </w:rPr>
        <w:t xml:space="preserve">pela </w:t>
      </w:r>
      <w:r w:rsidR="00542497" w:rsidRPr="0038442F">
        <w:rPr>
          <w:rStyle w:val="sb8d990e2"/>
          <w:rFonts w:ascii="Verdana" w:hAnsi="Verdana" w:cs="Arial"/>
          <w:bCs/>
          <w:sz w:val="20"/>
          <w:szCs w:val="20"/>
          <w:lang w:val="pt-BR"/>
        </w:rPr>
        <w:t>comunidad</w:t>
      </w:r>
      <w:r w:rsidR="00791C52" w:rsidRPr="0038442F">
        <w:rPr>
          <w:rStyle w:val="sb8d990e2"/>
          <w:rFonts w:ascii="Verdana" w:hAnsi="Verdana" w:cs="Arial"/>
          <w:bCs/>
          <w:sz w:val="20"/>
          <w:szCs w:val="20"/>
          <w:lang w:val="pt-BR"/>
        </w:rPr>
        <w:t>e</w:t>
      </w:r>
      <w:r w:rsidR="00542497" w:rsidRPr="0038442F">
        <w:rPr>
          <w:rStyle w:val="sb8d990e2"/>
          <w:rFonts w:ascii="Verdana" w:hAnsi="Verdana" w:cs="Arial"/>
          <w:bCs/>
          <w:sz w:val="20"/>
          <w:szCs w:val="20"/>
          <w:lang w:val="pt-BR"/>
        </w:rPr>
        <w:t xml:space="preserve"> científica </w:t>
      </w:r>
      <w:r w:rsidR="00791C52" w:rsidRPr="0038442F">
        <w:rPr>
          <w:rStyle w:val="sb8d990e2"/>
          <w:rFonts w:ascii="Verdana" w:hAnsi="Verdana" w:cs="Arial"/>
          <w:bCs/>
          <w:sz w:val="20"/>
          <w:szCs w:val="20"/>
          <w:lang w:val="pt-BR"/>
        </w:rPr>
        <w:t>e</w:t>
      </w:r>
      <w:r w:rsidR="00542497" w:rsidRPr="0038442F">
        <w:rPr>
          <w:rStyle w:val="sb8d990e2"/>
          <w:rFonts w:ascii="Verdana" w:hAnsi="Verdana" w:cs="Arial"/>
          <w:bCs/>
          <w:sz w:val="20"/>
          <w:szCs w:val="20"/>
          <w:lang w:val="pt-BR"/>
        </w:rPr>
        <w:t xml:space="preserve"> </w:t>
      </w:r>
      <w:r w:rsidR="00791C52" w:rsidRPr="0038442F">
        <w:rPr>
          <w:rStyle w:val="sb8d990e2"/>
          <w:rFonts w:ascii="Verdana" w:hAnsi="Verdana" w:cs="Arial"/>
          <w:bCs/>
          <w:sz w:val="20"/>
          <w:szCs w:val="20"/>
          <w:lang w:val="pt-BR"/>
        </w:rPr>
        <w:t xml:space="preserve">regulamentados em âmbito </w:t>
      </w:r>
      <w:r w:rsidR="00542497" w:rsidRPr="0038442F">
        <w:rPr>
          <w:rStyle w:val="sb8d990e2"/>
          <w:rFonts w:ascii="Verdana" w:hAnsi="Verdana" w:cs="Arial"/>
          <w:bCs/>
          <w:sz w:val="20"/>
          <w:szCs w:val="20"/>
          <w:lang w:val="pt-BR"/>
        </w:rPr>
        <w:t>comunit</w:t>
      </w:r>
      <w:r w:rsidR="00791C52" w:rsidRPr="0038442F">
        <w:rPr>
          <w:rStyle w:val="sb8d990e2"/>
          <w:rFonts w:ascii="Verdana" w:hAnsi="Verdana" w:cs="Arial"/>
          <w:bCs/>
          <w:sz w:val="20"/>
          <w:szCs w:val="20"/>
          <w:lang w:val="pt-BR"/>
        </w:rPr>
        <w:t>á</w:t>
      </w:r>
      <w:r w:rsidR="00542497" w:rsidRPr="0038442F">
        <w:rPr>
          <w:rStyle w:val="sb8d990e2"/>
          <w:rFonts w:ascii="Verdana" w:hAnsi="Verdana" w:cs="Arial"/>
          <w:bCs/>
          <w:sz w:val="20"/>
          <w:szCs w:val="20"/>
          <w:lang w:val="pt-BR"/>
        </w:rPr>
        <w:t>rio e internacional</w:t>
      </w:r>
      <w:r w:rsidR="00791C52" w:rsidRPr="0038442F">
        <w:rPr>
          <w:rStyle w:val="sb8d990e2"/>
          <w:rFonts w:ascii="Verdana" w:hAnsi="Verdana" w:cs="Arial"/>
          <w:bCs/>
          <w:sz w:val="20"/>
          <w:szCs w:val="20"/>
          <w:lang w:val="pt-BR"/>
        </w:rPr>
        <w:t>,</w:t>
      </w:r>
      <w:r w:rsidR="00542497" w:rsidRPr="0038442F">
        <w:rPr>
          <w:rStyle w:val="Refdenotaalpie"/>
          <w:rFonts w:ascii="Verdana" w:hAnsi="Verdana" w:cs="Arial"/>
          <w:bCs/>
          <w:sz w:val="20"/>
          <w:szCs w:val="20"/>
          <w:lang w:val="pt-BR"/>
        </w:rPr>
        <w:footnoteReference w:id="58"/>
      </w:r>
      <w:r w:rsidR="00542497" w:rsidRPr="0038442F">
        <w:rPr>
          <w:rFonts w:ascii="Verdana" w:hAnsi="Verdana"/>
          <w:bCs/>
          <w:sz w:val="20"/>
          <w:szCs w:val="20"/>
          <w:lang w:val="pt-BR"/>
        </w:rPr>
        <w:t xml:space="preserve"> o </w:t>
      </w:r>
      <w:r w:rsidR="00791C52" w:rsidRPr="0038442F">
        <w:rPr>
          <w:rFonts w:ascii="Verdana" w:hAnsi="Verdana"/>
          <w:bCs/>
          <w:sz w:val="20"/>
          <w:szCs w:val="20"/>
          <w:lang w:val="pt-BR"/>
        </w:rPr>
        <w:t xml:space="preserve">que é coerente com o </w:t>
      </w:r>
      <w:r w:rsidR="00C23682" w:rsidRPr="0038442F">
        <w:rPr>
          <w:rFonts w:ascii="Verdana" w:hAnsi="Verdana"/>
          <w:bCs/>
          <w:sz w:val="20"/>
          <w:szCs w:val="20"/>
          <w:lang w:val="pt-BR"/>
        </w:rPr>
        <w:t>entendimento</w:t>
      </w:r>
      <w:r w:rsidR="00407242" w:rsidRPr="0038442F">
        <w:rPr>
          <w:rFonts w:ascii="Verdana" w:hAnsi="Verdana"/>
          <w:bCs/>
          <w:sz w:val="20"/>
          <w:szCs w:val="20"/>
          <w:lang w:val="pt-BR"/>
        </w:rPr>
        <w:t xml:space="preserve"> </w:t>
      </w:r>
      <w:r w:rsidR="00542497" w:rsidRPr="0038442F">
        <w:rPr>
          <w:rFonts w:ascii="Verdana" w:hAnsi="Verdana"/>
          <w:bCs/>
          <w:sz w:val="20"/>
          <w:szCs w:val="20"/>
          <w:lang w:val="pt-BR"/>
        </w:rPr>
        <w:t>d</w:t>
      </w:r>
      <w:r w:rsidR="00791C52" w:rsidRPr="0038442F">
        <w:rPr>
          <w:rFonts w:ascii="Verdana" w:hAnsi="Verdana"/>
          <w:bCs/>
          <w:sz w:val="20"/>
          <w:szCs w:val="20"/>
          <w:lang w:val="pt-BR"/>
        </w:rPr>
        <w:t>o</w:t>
      </w:r>
      <w:r w:rsidR="00542497" w:rsidRPr="0038442F">
        <w:rPr>
          <w:rFonts w:ascii="Verdana" w:hAnsi="Verdana"/>
          <w:bCs/>
          <w:sz w:val="20"/>
          <w:szCs w:val="20"/>
          <w:lang w:val="pt-BR"/>
        </w:rPr>
        <w:t xml:space="preserve"> Sistema Interamericano</w:t>
      </w:r>
      <w:r w:rsidR="00E8110C" w:rsidRPr="0038442F">
        <w:rPr>
          <w:rFonts w:ascii="Verdana" w:hAnsi="Verdana"/>
          <w:bCs/>
          <w:sz w:val="20"/>
          <w:szCs w:val="20"/>
          <w:lang w:val="pt-BR"/>
        </w:rPr>
        <w:t xml:space="preserve">. </w:t>
      </w:r>
      <w:r w:rsidR="00AE3991" w:rsidRPr="0038442F">
        <w:rPr>
          <w:rFonts w:ascii="Verdana" w:hAnsi="Verdana"/>
          <w:bCs/>
          <w:sz w:val="20"/>
          <w:szCs w:val="20"/>
          <w:lang w:val="pt-BR"/>
        </w:rPr>
        <w:t>N</w:t>
      </w:r>
      <w:r w:rsidR="00791C52" w:rsidRPr="0038442F">
        <w:rPr>
          <w:rFonts w:ascii="Verdana" w:hAnsi="Verdana"/>
          <w:bCs/>
          <w:sz w:val="20"/>
          <w:szCs w:val="20"/>
          <w:lang w:val="pt-BR"/>
        </w:rPr>
        <w:t>ã</w:t>
      </w:r>
      <w:r w:rsidR="00AE3991" w:rsidRPr="0038442F">
        <w:rPr>
          <w:rFonts w:ascii="Verdana" w:hAnsi="Verdana"/>
          <w:bCs/>
          <w:sz w:val="20"/>
          <w:szCs w:val="20"/>
          <w:lang w:val="pt-BR"/>
        </w:rPr>
        <w:t>o obstante</w:t>
      </w:r>
      <w:r w:rsidR="00791C52" w:rsidRPr="0038442F">
        <w:rPr>
          <w:rFonts w:ascii="Verdana" w:hAnsi="Verdana"/>
          <w:bCs/>
          <w:sz w:val="20"/>
          <w:szCs w:val="20"/>
          <w:lang w:val="pt-BR"/>
        </w:rPr>
        <w:t xml:space="preserve"> isso, o </w:t>
      </w:r>
      <w:r w:rsidR="00AE3991" w:rsidRPr="0038442F">
        <w:rPr>
          <w:rFonts w:ascii="Verdana" w:hAnsi="Verdana"/>
          <w:bCs/>
          <w:sz w:val="20"/>
          <w:szCs w:val="20"/>
          <w:lang w:val="pt-BR"/>
        </w:rPr>
        <w:t xml:space="preserve">Tribunal </w:t>
      </w:r>
      <w:r w:rsidR="00B02C81" w:rsidRPr="0038442F">
        <w:rPr>
          <w:rFonts w:ascii="Verdana" w:hAnsi="Verdana"/>
          <w:bCs/>
          <w:sz w:val="20"/>
          <w:szCs w:val="20"/>
          <w:lang w:val="pt-BR"/>
        </w:rPr>
        <w:t>de Estrasburgo</w:t>
      </w:r>
      <w:r w:rsidR="00AE3991" w:rsidRPr="0038442F">
        <w:rPr>
          <w:rFonts w:ascii="Verdana" w:hAnsi="Verdana"/>
          <w:bCs/>
          <w:sz w:val="20"/>
          <w:szCs w:val="20"/>
          <w:lang w:val="pt-BR"/>
        </w:rPr>
        <w:t xml:space="preserve"> </w:t>
      </w:r>
      <w:r w:rsidR="005135E5" w:rsidRPr="0038442F">
        <w:rPr>
          <w:rFonts w:ascii="Verdana" w:hAnsi="Verdana"/>
          <w:bCs/>
          <w:sz w:val="20"/>
          <w:szCs w:val="20"/>
          <w:lang w:val="pt-BR"/>
        </w:rPr>
        <w:t>também</w:t>
      </w:r>
      <w:r w:rsidR="00407242" w:rsidRPr="0038442F">
        <w:rPr>
          <w:rFonts w:ascii="Verdana" w:hAnsi="Verdana"/>
          <w:bCs/>
          <w:sz w:val="20"/>
          <w:szCs w:val="20"/>
          <w:lang w:val="pt-BR"/>
        </w:rPr>
        <w:t xml:space="preserve"> </w:t>
      </w:r>
      <w:r w:rsidR="00AE3991" w:rsidRPr="0038442F">
        <w:rPr>
          <w:rFonts w:ascii="Verdana" w:hAnsi="Verdana"/>
          <w:bCs/>
          <w:sz w:val="20"/>
          <w:szCs w:val="20"/>
          <w:lang w:val="pt-BR"/>
        </w:rPr>
        <w:t>especific</w:t>
      </w:r>
      <w:r w:rsidR="00791C52" w:rsidRPr="0038442F">
        <w:rPr>
          <w:rFonts w:ascii="Verdana" w:hAnsi="Verdana"/>
          <w:bCs/>
          <w:sz w:val="20"/>
          <w:szCs w:val="20"/>
          <w:lang w:val="pt-BR"/>
        </w:rPr>
        <w:t xml:space="preserve">ou </w:t>
      </w:r>
      <w:r w:rsidR="00AE3991" w:rsidRPr="0038442F">
        <w:rPr>
          <w:rFonts w:ascii="Verdana" w:hAnsi="Verdana"/>
          <w:bCs/>
          <w:sz w:val="20"/>
          <w:szCs w:val="20"/>
          <w:lang w:val="pt-BR"/>
        </w:rPr>
        <w:t>que</w:t>
      </w:r>
      <w:r w:rsidR="00BA226A">
        <w:rPr>
          <w:rFonts w:ascii="Verdana" w:hAnsi="Verdana"/>
          <w:bCs/>
          <w:sz w:val="20"/>
          <w:szCs w:val="20"/>
          <w:lang w:val="pt-BR"/>
        </w:rPr>
        <w:t>,</w:t>
      </w:r>
      <w:r w:rsidR="00AE3991" w:rsidRPr="0038442F">
        <w:rPr>
          <w:rFonts w:ascii="Verdana" w:hAnsi="Verdana"/>
          <w:bCs/>
          <w:sz w:val="20"/>
          <w:szCs w:val="20"/>
          <w:lang w:val="pt-BR"/>
        </w:rPr>
        <w:t xml:space="preserve"> “</w:t>
      </w:r>
      <w:r w:rsidR="00791C52" w:rsidRPr="0038442F">
        <w:rPr>
          <w:rStyle w:val="sb8d990e2"/>
          <w:rFonts w:ascii="Verdana" w:hAnsi="Verdana" w:cs="Arial"/>
          <w:bCs/>
          <w:sz w:val="20"/>
          <w:szCs w:val="20"/>
          <w:lang w:val="pt-BR"/>
        </w:rPr>
        <w:t xml:space="preserve">embora </w:t>
      </w:r>
      <w:r w:rsidR="00AE3991" w:rsidRPr="0038442F">
        <w:rPr>
          <w:rStyle w:val="sb8d990e2"/>
          <w:rFonts w:ascii="Verdana" w:hAnsi="Verdana" w:cs="Arial"/>
          <w:bCs/>
          <w:sz w:val="20"/>
          <w:szCs w:val="20"/>
          <w:lang w:val="pt-BR"/>
        </w:rPr>
        <w:t>exist</w:t>
      </w:r>
      <w:r w:rsidR="00791C52" w:rsidRPr="0038442F">
        <w:rPr>
          <w:rStyle w:val="sb8d990e2"/>
          <w:rFonts w:ascii="Verdana" w:hAnsi="Verdana" w:cs="Arial"/>
          <w:bCs/>
          <w:sz w:val="20"/>
          <w:szCs w:val="20"/>
          <w:lang w:val="pt-BR"/>
        </w:rPr>
        <w:t>a</w:t>
      </w:r>
      <w:r w:rsidR="00AE3991" w:rsidRPr="0038442F">
        <w:rPr>
          <w:rStyle w:val="sb8d990e2"/>
          <w:rFonts w:ascii="Verdana" w:hAnsi="Verdana" w:cs="Arial"/>
          <w:bCs/>
          <w:sz w:val="20"/>
          <w:szCs w:val="20"/>
          <w:lang w:val="pt-BR"/>
        </w:rPr>
        <w:t xml:space="preserve"> </w:t>
      </w:r>
      <w:r w:rsidR="00791C52" w:rsidRPr="0038442F">
        <w:rPr>
          <w:rStyle w:val="sb8d990e2"/>
          <w:rFonts w:ascii="Verdana" w:hAnsi="Verdana" w:cs="Arial"/>
          <w:bCs/>
          <w:sz w:val="20"/>
          <w:szCs w:val="20"/>
          <w:lang w:val="pt-BR"/>
        </w:rPr>
        <w:t xml:space="preserve">o </w:t>
      </w:r>
      <w:r w:rsidR="00A97590" w:rsidRPr="0038442F">
        <w:rPr>
          <w:rStyle w:val="sb8d990e2"/>
          <w:rFonts w:ascii="Verdana" w:hAnsi="Verdana" w:cs="Arial"/>
          <w:bCs/>
          <w:sz w:val="20"/>
          <w:szCs w:val="20"/>
          <w:lang w:val="pt-BR"/>
        </w:rPr>
        <w:t>dever</w:t>
      </w:r>
      <w:r w:rsidR="00407242" w:rsidRPr="0038442F">
        <w:rPr>
          <w:rStyle w:val="sb8d990e2"/>
          <w:rFonts w:ascii="Verdana" w:hAnsi="Verdana" w:cs="Arial"/>
          <w:bCs/>
          <w:sz w:val="20"/>
          <w:szCs w:val="20"/>
          <w:lang w:val="pt-BR"/>
        </w:rPr>
        <w:t xml:space="preserve"> </w:t>
      </w:r>
      <w:r w:rsidR="00AE3991" w:rsidRPr="0038442F">
        <w:rPr>
          <w:rStyle w:val="sb8d990e2"/>
          <w:rFonts w:ascii="Verdana" w:hAnsi="Verdana" w:cs="Arial"/>
          <w:bCs/>
          <w:sz w:val="20"/>
          <w:szCs w:val="20"/>
          <w:lang w:val="pt-BR"/>
        </w:rPr>
        <w:t xml:space="preserve">principal de </w:t>
      </w:r>
      <w:r w:rsidR="00017D62" w:rsidRPr="0038442F">
        <w:rPr>
          <w:rStyle w:val="sb8d990e2"/>
          <w:rFonts w:ascii="Verdana" w:hAnsi="Verdana" w:cs="Arial"/>
          <w:bCs/>
          <w:sz w:val="20"/>
          <w:szCs w:val="20"/>
          <w:lang w:val="pt-BR"/>
        </w:rPr>
        <w:t>estabelecer</w:t>
      </w:r>
      <w:r w:rsidR="00407242" w:rsidRPr="0038442F">
        <w:rPr>
          <w:rStyle w:val="sb8d990e2"/>
          <w:rFonts w:ascii="Verdana" w:hAnsi="Verdana" w:cs="Arial"/>
          <w:bCs/>
          <w:sz w:val="20"/>
          <w:szCs w:val="20"/>
          <w:lang w:val="pt-BR"/>
        </w:rPr>
        <w:t xml:space="preserve"> </w:t>
      </w:r>
      <w:r w:rsidR="00791C52" w:rsidRPr="0038442F">
        <w:rPr>
          <w:rStyle w:val="sb8d990e2"/>
          <w:rFonts w:ascii="Verdana" w:hAnsi="Verdana" w:cs="Arial"/>
          <w:bCs/>
          <w:sz w:val="20"/>
          <w:szCs w:val="20"/>
          <w:lang w:val="pt-BR"/>
        </w:rPr>
        <w:t xml:space="preserve">uma estrutura </w:t>
      </w:r>
      <w:r w:rsidR="00AE3991" w:rsidRPr="0038442F">
        <w:rPr>
          <w:rStyle w:val="sb8d990e2"/>
          <w:rFonts w:ascii="Verdana" w:hAnsi="Verdana" w:cs="Arial"/>
          <w:bCs/>
          <w:sz w:val="20"/>
          <w:szCs w:val="20"/>
          <w:lang w:val="pt-BR"/>
        </w:rPr>
        <w:t>legislativ</w:t>
      </w:r>
      <w:r w:rsidR="00791C52" w:rsidRPr="0038442F">
        <w:rPr>
          <w:rStyle w:val="sb8d990e2"/>
          <w:rFonts w:ascii="Verdana" w:hAnsi="Verdana" w:cs="Arial"/>
          <w:bCs/>
          <w:sz w:val="20"/>
          <w:szCs w:val="20"/>
          <w:lang w:val="pt-BR"/>
        </w:rPr>
        <w:t>a</w:t>
      </w:r>
      <w:r w:rsidR="00AE3991" w:rsidRPr="0038442F">
        <w:rPr>
          <w:rStyle w:val="sb8d990e2"/>
          <w:rFonts w:ascii="Verdana" w:hAnsi="Verdana" w:cs="Arial"/>
          <w:bCs/>
          <w:sz w:val="20"/>
          <w:szCs w:val="20"/>
          <w:lang w:val="pt-BR"/>
        </w:rPr>
        <w:t xml:space="preserve"> </w:t>
      </w:r>
      <w:r w:rsidR="00791C52" w:rsidRPr="0038442F">
        <w:rPr>
          <w:rStyle w:val="sb8d990e2"/>
          <w:rFonts w:ascii="Verdana" w:hAnsi="Verdana" w:cs="Arial"/>
          <w:bCs/>
          <w:sz w:val="20"/>
          <w:szCs w:val="20"/>
          <w:lang w:val="pt-BR"/>
        </w:rPr>
        <w:t>e</w:t>
      </w:r>
      <w:r w:rsidR="00AE3991" w:rsidRPr="0038442F">
        <w:rPr>
          <w:rStyle w:val="sb8d990e2"/>
          <w:rFonts w:ascii="Verdana" w:hAnsi="Verdana" w:cs="Arial"/>
          <w:bCs/>
          <w:sz w:val="20"/>
          <w:szCs w:val="20"/>
          <w:lang w:val="pt-BR"/>
        </w:rPr>
        <w:t xml:space="preserve"> administrativ</w:t>
      </w:r>
      <w:r w:rsidR="00C641CF" w:rsidRPr="0038442F">
        <w:rPr>
          <w:rStyle w:val="sb8d990e2"/>
          <w:rFonts w:ascii="Verdana" w:hAnsi="Verdana" w:cs="Arial"/>
          <w:bCs/>
          <w:sz w:val="20"/>
          <w:szCs w:val="20"/>
          <w:lang w:val="pt-BR"/>
        </w:rPr>
        <w:t>a</w:t>
      </w:r>
      <w:r w:rsidR="00AE3991" w:rsidRPr="0038442F">
        <w:rPr>
          <w:rStyle w:val="sb8d990e2"/>
          <w:rFonts w:ascii="Verdana" w:hAnsi="Verdana" w:cs="Arial"/>
          <w:bCs/>
          <w:sz w:val="20"/>
          <w:szCs w:val="20"/>
          <w:lang w:val="pt-BR"/>
        </w:rPr>
        <w:t xml:space="preserve">, </w:t>
      </w:r>
      <w:r w:rsidR="00791C52" w:rsidRPr="0038442F">
        <w:rPr>
          <w:rStyle w:val="sb8d990e2"/>
          <w:rFonts w:ascii="Verdana" w:hAnsi="Verdana" w:cs="Arial"/>
          <w:bCs/>
          <w:sz w:val="20"/>
          <w:szCs w:val="20"/>
          <w:lang w:val="pt-BR"/>
        </w:rPr>
        <w:t xml:space="preserve">não se </w:t>
      </w:r>
      <w:r w:rsidR="00BB665E" w:rsidRPr="0038442F">
        <w:rPr>
          <w:rStyle w:val="sb8d990e2"/>
          <w:rFonts w:ascii="Verdana" w:hAnsi="Verdana" w:cs="Arial"/>
          <w:bCs/>
          <w:sz w:val="20"/>
          <w:szCs w:val="20"/>
          <w:lang w:val="pt-BR"/>
        </w:rPr>
        <w:t>pode</w:t>
      </w:r>
      <w:r w:rsidR="00407242" w:rsidRPr="0038442F">
        <w:rPr>
          <w:rStyle w:val="sb8d990e2"/>
          <w:rFonts w:ascii="Verdana" w:hAnsi="Verdana" w:cs="Arial"/>
          <w:bCs/>
          <w:sz w:val="20"/>
          <w:szCs w:val="20"/>
          <w:lang w:val="pt-BR"/>
        </w:rPr>
        <w:t xml:space="preserve"> </w:t>
      </w:r>
      <w:r w:rsidR="00AE3991" w:rsidRPr="0038442F">
        <w:rPr>
          <w:rStyle w:val="sb8d990e2"/>
          <w:rFonts w:ascii="Verdana" w:hAnsi="Verdana" w:cs="Arial"/>
          <w:bCs/>
          <w:sz w:val="20"/>
          <w:szCs w:val="20"/>
          <w:lang w:val="pt-BR"/>
        </w:rPr>
        <w:t>descartar a pos</w:t>
      </w:r>
      <w:r w:rsidR="00791C52" w:rsidRPr="0038442F">
        <w:rPr>
          <w:rStyle w:val="sb8d990e2"/>
          <w:rFonts w:ascii="Verdana" w:hAnsi="Verdana" w:cs="Arial"/>
          <w:bCs/>
          <w:sz w:val="20"/>
          <w:szCs w:val="20"/>
          <w:lang w:val="pt-BR"/>
        </w:rPr>
        <w:t>s</w:t>
      </w:r>
      <w:r w:rsidR="00AE3991" w:rsidRPr="0038442F">
        <w:rPr>
          <w:rStyle w:val="sb8d990e2"/>
          <w:rFonts w:ascii="Verdana" w:hAnsi="Verdana" w:cs="Arial"/>
          <w:bCs/>
          <w:sz w:val="20"/>
          <w:szCs w:val="20"/>
          <w:lang w:val="pt-BR"/>
        </w:rPr>
        <w:t>ibilidad</w:t>
      </w:r>
      <w:r w:rsidR="00791C52" w:rsidRPr="0038442F">
        <w:rPr>
          <w:rStyle w:val="sb8d990e2"/>
          <w:rFonts w:ascii="Verdana" w:hAnsi="Verdana" w:cs="Arial"/>
          <w:bCs/>
          <w:sz w:val="20"/>
          <w:szCs w:val="20"/>
          <w:lang w:val="pt-BR"/>
        </w:rPr>
        <w:t>e</w:t>
      </w:r>
      <w:r w:rsidR="00AE3991" w:rsidRPr="0038442F">
        <w:rPr>
          <w:rStyle w:val="sb8d990e2"/>
          <w:rFonts w:ascii="Verdana" w:hAnsi="Verdana" w:cs="Arial"/>
          <w:bCs/>
          <w:sz w:val="20"/>
          <w:szCs w:val="20"/>
          <w:lang w:val="pt-BR"/>
        </w:rPr>
        <w:t>, </w:t>
      </w:r>
      <w:r w:rsidR="00AE3991" w:rsidRPr="0038442F">
        <w:rPr>
          <w:rStyle w:val="s6b621b36"/>
          <w:rFonts w:ascii="Verdana" w:hAnsi="Verdana" w:cs="Arial"/>
          <w:bCs/>
          <w:i/>
          <w:iCs/>
          <w:sz w:val="20"/>
          <w:szCs w:val="20"/>
          <w:lang w:val="pt-BR"/>
        </w:rPr>
        <w:t>a priori</w:t>
      </w:r>
      <w:r w:rsidR="00AE3991" w:rsidRPr="0038442F">
        <w:rPr>
          <w:rStyle w:val="sb8d990e2"/>
          <w:rFonts w:ascii="Verdana" w:hAnsi="Verdana" w:cs="Arial"/>
          <w:bCs/>
          <w:sz w:val="20"/>
          <w:szCs w:val="20"/>
          <w:lang w:val="pt-BR"/>
        </w:rPr>
        <w:t>, de que, e</w:t>
      </w:r>
      <w:r w:rsidR="00791C52" w:rsidRPr="0038442F">
        <w:rPr>
          <w:rStyle w:val="sb8d990e2"/>
          <w:rFonts w:ascii="Verdana" w:hAnsi="Verdana" w:cs="Arial"/>
          <w:bCs/>
          <w:sz w:val="20"/>
          <w:szCs w:val="20"/>
          <w:lang w:val="pt-BR"/>
        </w:rPr>
        <w:t>m</w:t>
      </w:r>
      <w:r w:rsidR="00AE3991" w:rsidRPr="0038442F">
        <w:rPr>
          <w:rStyle w:val="sb8d990e2"/>
          <w:rFonts w:ascii="Verdana" w:hAnsi="Verdana" w:cs="Arial"/>
          <w:bCs/>
          <w:sz w:val="20"/>
          <w:szCs w:val="20"/>
          <w:lang w:val="pt-BR"/>
        </w:rPr>
        <w:t xml:space="preserve"> certas </w:t>
      </w:r>
      <w:r w:rsidR="00984A83" w:rsidRPr="0038442F">
        <w:rPr>
          <w:rStyle w:val="sb8d990e2"/>
          <w:rFonts w:ascii="Verdana" w:hAnsi="Verdana" w:cs="Arial"/>
          <w:bCs/>
          <w:sz w:val="20"/>
          <w:szCs w:val="20"/>
          <w:lang w:val="pt-BR"/>
        </w:rPr>
        <w:t>circunstâncias</w:t>
      </w:r>
      <w:r w:rsidR="00407242" w:rsidRPr="0038442F">
        <w:rPr>
          <w:rStyle w:val="sb8d990e2"/>
          <w:rFonts w:ascii="Verdana" w:hAnsi="Verdana" w:cs="Arial"/>
          <w:bCs/>
          <w:sz w:val="20"/>
          <w:szCs w:val="20"/>
          <w:lang w:val="pt-BR"/>
        </w:rPr>
        <w:t xml:space="preserve"> </w:t>
      </w:r>
      <w:r w:rsidR="00AE3991" w:rsidRPr="0038442F">
        <w:rPr>
          <w:rStyle w:val="sb8d990e2"/>
          <w:rFonts w:ascii="Verdana" w:hAnsi="Verdana" w:cs="Arial"/>
          <w:bCs/>
          <w:sz w:val="20"/>
          <w:szCs w:val="20"/>
          <w:lang w:val="pt-BR"/>
        </w:rPr>
        <w:t xml:space="preserve">específicas, </w:t>
      </w:r>
      <w:r w:rsidR="00791C52" w:rsidRPr="0038442F">
        <w:rPr>
          <w:rStyle w:val="sb8d990e2"/>
          <w:rFonts w:ascii="Verdana" w:hAnsi="Verdana" w:cs="Arial"/>
          <w:bCs/>
          <w:sz w:val="20"/>
          <w:szCs w:val="20"/>
          <w:lang w:val="pt-BR"/>
        </w:rPr>
        <w:t xml:space="preserve">na </w:t>
      </w:r>
      <w:r w:rsidR="00AE3991" w:rsidRPr="0038442F">
        <w:rPr>
          <w:rStyle w:val="sb8d990e2"/>
          <w:rFonts w:ascii="Verdana" w:hAnsi="Verdana" w:cs="Arial"/>
          <w:bCs/>
          <w:sz w:val="20"/>
          <w:szCs w:val="20"/>
          <w:lang w:val="pt-BR"/>
        </w:rPr>
        <w:t>aus</w:t>
      </w:r>
      <w:r w:rsidR="00791C52" w:rsidRPr="0038442F">
        <w:rPr>
          <w:rStyle w:val="sb8d990e2"/>
          <w:rFonts w:ascii="Verdana" w:hAnsi="Verdana" w:cs="Arial"/>
          <w:bCs/>
          <w:sz w:val="20"/>
          <w:szCs w:val="20"/>
          <w:lang w:val="pt-BR"/>
        </w:rPr>
        <w:t>ê</w:t>
      </w:r>
      <w:r w:rsidR="00AE3991" w:rsidRPr="0038442F">
        <w:rPr>
          <w:rStyle w:val="sb8d990e2"/>
          <w:rFonts w:ascii="Verdana" w:hAnsi="Verdana" w:cs="Arial"/>
          <w:bCs/>
          <w:sz w:val="20"/>
          <w:szCs w:val="20"/>
          <w:lang w:val="pt-BR"/>
        </w:rPr>
        <w:t xml:space="preserve">ncia </w:t>
      </w:r>
      <w:r w:rsidR="00C92762" w:rsidRPr="0038442F">
        <w:rPr>
          <w:rStyle w:val="sb8d990e2"/>
          <w:rFonts w:ascii="Verdana" w:hAnsi="Verdana" w:cs="Arial"/>
          <w:bCs/>
          <w:sz w:val="20"/>
          <w:szCs w:val="20"/>
          <w:lang w:val="pt-BR"/>
        </w:rPr>
        <w:t xml:space="preserve">das </w:t>
      </w:r>
      <w:r w:rsidR="00AE3991" w:rsidRPr="0038442F">
        <w:rPr>
          <w:rStyle w:val="sb8d990e2"/>
          <w:rFonts w:ascii="Verdana" w:hAnsi="Verdana" w:cs="Arial"/>
          <w:bCs/>
          <w:sz w:val="20"/>
          <w:szCs w:val="20"/>
          <w:lang w:val="pt-BR"/>
        </w:rPr>
        <w:t>disposi</w:t>
      </w:r>
      <w:r w:rsidR="000A1AA8" w:rsidRPr="0038442F">
        <w:rPr>
          <w:rStyle w:val="sb8d990e2"/>
          <w:rFonts w:ascii="Verdana" w:hAnsi="Verdana" w:cs="Arial"/>
          <w:bCs/>
          <w:sz w:val="20"/>
          <w:szCs w:val="20"/>
          <w:lang w:val="pt-BR"/>
        </w:rPr>
        <w:t>ções</w:t>
      </w:r>
      <w:r w:rsidR="00AE3991" w:rsidRPr="0038442F">
        <w:rPr>
          <w:rStyle w:val="sb8d990e2"/>
          <w:rFonts w:ascii="Verdana" w:hAnsi="Verdana" w:cs="Arial"/>
          <w:bCs/>
          <w:sz w:val="20"/>
          <w:szCs w:val="20"/>
          <w:lang w:val="pt-BR"/>
        </w:rPr>
        <w:t xml:space="preserve"> leg</w:t>
      </w:r>
      <w:r w:rsidR="00C92762" w:rsidRPr="0038442F">
        <w:rPr>
          <w:rStyle w:val="sb8d990e2"/>
          <w:rFonts w:ascii="Verdana" w:hAnsi="Verdana" w:cs="Arial"/>
          <w:bCs/>
          <w:sz w:val="20"/>
          <w:szCs w:val="20"/>
          <w:lang w:val="pt-BR"/>
        </w:rPr>
        <w:t>ais</w:t>
      </w:r>
      <w:r w:rsidR="00407242" w:rsidRPr="0038442F">
        <w:rPr>
          <w:rStyle w:val="sb8d990e2"/>
          <w:rFonts w:ascii="Verdana" w:hAnsi="Verdana" w:cs="Arial"/>
          <w:bCs/>
          <w:sz w:val="20"/>
          <w:szCs w:val="20"/>
          <w:lang w:val="pt-BR"/>
        </w:rPr>
        <w:t xml:space="preserve"> </w:t>
      </w:r>
      <w:r w:rsidR="00AE3991" w:rsidRPr="0038442F">
        <w:rPr>
          <w:rStyle w:val="sb8d990e2"/>
          <w:rFonts w:ascii="Verdana" w:hAnsi="Verdana" w:cs="Arial"/>
          <w:bCs/>
          <w:sz w:val="20"/>
          <w:szCs w:val="20"/>
          <w:lang w:val="pt-BR"/>
        </w:rPr>
        <w:t xml:space="preserve">pertinentes, </w:t>
      </w:r>
      <w:r w:rsidR="00984A83" w:rsidRPr="0038442F">
        <w:rPr>
          <w:rStyle w:val="sb8d990e2"/>
          <w:rFonts w:ascii="Verdana" w:hAnsi="Verdana" w:cs="Arial"/>
          <w:bCs/>
          <w:sz w:val="20"/>
          <w:szCs w:val="20"/>
          <w:lang w:val="pt-BR"/>
        </w:rPr>
        <w:t>obrigações</w:t>
      </w:r>
      <w:r w:rsidR="00407242" w:rsidRPr="0038442F">
        <w:rPr>
          <w:rStyle w:val="sb8d990e2"/>
          <w:rFonts w:ascii="Verdana" w:hAnsi="Verdana" w:cs="Arial"/>
          <w:bCs/>
          <w:sz w:val="20"/>
          <w:szCs w:val="20"/>
          <w:lang w:val="pt-BR"/>
        </w:rPr>
        <w:t xml:space="preserve"> </w:t>
      </w:r>
      <w:r w:rsidR="00AE3991" w:rsidRPr="0038442F">
        <w:rPr>
          <w:rStyle w:val="sb8d990e2"/>
          <w:rFonts w:ascii="Verdana" w:hAnsi="Verdana" w:cs="Arial"/>
          <w:bCs/>
          <w:sz w:val="20"/>
          <w:szCs w:val="20"/>
          <w:lang w:val="pt-BR"/>
        </w:rPr>
        <w:t xml:space="preserve">positivas </w:t>
      </w:r>
      <w:r w:rsidR="000450DD" w:rsidRPr="0038442F">
        <w:rPr>
          <w:rStyle w:val="sb8d990e2"/>
          <w:rFonts w:ascii="Verdana" w:hAnsi="Verdana" w:cs="Arial"/>
          <w:bCs/>
          <w:sz w:val="20"/>
          <w:szCs w:val="20"/>
          <w:lang w:val="pt-BR"/>
        </w:rPr>
        <w:t xml:space="preserve">possam </w:t>
      </w:r>
      <w:r w:rsidR="00791C52" w:rsidRPr="0038442F">
        <w:rPr>
          <w:rStyle w:val="sb8d990e2"/>
          <w:rFonts w:ascii="Verdana" w:hAnsi="Verdana" w:cs="Arial"/>
          <w:bCs/>
          <w:sz w:val="20"/>
          <w:szCs w:val="20"/>
          <w:lang w:val="pt-BR"/>
        </w:rPr>
        <w:t xml:space="preserve">ser cumpridas </w:t>
      </w:r>
      <w:r w:rsidR="00BF7A10" w:rsidRPr="0038442F">
        <w:rPr>
          <w:rStyle w:val="sb8d990e2"/>
          <w:rFonts w:ascii="Verdana" w:hAnsi="Verdana" w:cs="Arial"/>
          <w:bCs/>
          <w:sz w:val="20"/>
          <w:szCs w:val="20"/>
          <w:lang w:val="pt-BR"/>
        </w:rPr>
        <w:t xml:space="preserve">na </w:t>
      </w:r>
      <w:r w:rsidR="0059451E" w:rsidRPr="0038442F">
        <w:rPr>
          <w:rStyle w:val="sb8d990e2"/>
          <w:rFonts w:ascii="Verdana" w:hAnsi="Verdana" w:cs="Arial"/>
          <w:bCs/>
          <w:sz w:val="20"/>
          <w:szCs w:val="20"/>
          <w:lang w:val="pt-BR"/>
        </w:rPr>
        <w:t>prática</w:t>
      </w:r>
      <w:r w:rsidR="00356B86" w:rsidRPr="0038442F">
        <w:rPr>
          <w:rStyle w:val="sb8d990e2"/>
          <w:rFonts w:ascii="Verdana" w:hAnsi="Verdana" w:cs="Arial"/>
          <w:bCs/>
          <w:sz w:val="20"/>
          <w:szCs w:val="20"/>
          <w:lang w:val="pt-BR"/>
        </w:rPr>
        <w:t xml:space="preserve">, mediante a adoção de medidas compatíveis com as </w:t>
      </w:r>
      <w:r w:rsidR="00984A83" w:rsidRPr="0038442F">
        <w:rPr>
          <w:rStyle w:val="sb8d990e2"/>
          <w:rFonts w:ascii="Verdana" w:hAnsi="Verdana" w:cs="Arial"/>
          <w:bCs/>
          <w:sz w:val="20"/>
          <w:szCs w:val="20"/>
          <w:lang w:val="pt-BR"/>
        </w:rPr>
        <w:t>circunstâncias</w:t>
      </w:r>
      <w:r w:rsidR="00791C52" w:rsidRPr="0038442F">
        <w:rPr>
          <w:rStyle w:val="sb8d990e2"/>
          <w:rFonts w:ascii="Verdana" w:hAnsi="Verdana" w:cs="Arial"/>
          <w:bCs/>
          <w:sz w:val="20"/>
          <w:szCs w:val="20"/>
          <w:lang w:val="pt-BR"/>
        </w:rPr>
        <w:t>.</w:t>
      </w:r>
      <w:r w:rsidR="00BA226A">
        <w:rPr>
          <w:rStyle w:val="sb8d990e2"/>
          <w:rFonts w:ascii="Verdana" w:hAnsi="Verdana" w:cs="Arial"/>
          <w:bCs/>
          <w:sz w:val="20"/>
          <w:szCs w:val="20"/>
          <w:lang w:val="pt-BR"/>
        </w:rPr>
        <w:t>”</w:t>
      </w:r>
      <w:r w:rsidR="00AE3991" w:rsidRPr="0038442F">
        <w:rPr>
          <w:rStyle w:val="Refdenotaalpie"/>
          <w:rFonts w:ascii="Verdana" w:hAnsi="Verdana" w:cs="Arial"/>
          <w:bCs/>
          <w:sz w:val="20"/>
          <w:szCs w:val="20"/>
          <w:lang w:val="pt-BR"/>
        </w:rPr>
        <w:footnoteReference w:id="59"/>
      </w:r>
      <w:r w:rsidR="00AE3991" w:rsidRPr="0038442F">
        <w:rPr>
          <w:rStyle w:val="sb8d990e2"/>
          <w:rFonts w:ascii="Verdana" w:hAnsi="Verdana" w:cs="Arial"/>
          <w:bCs/>
          <w:sz w:val="20"/>
          <w:szCs w:val="20"/>
          <w:lang w:val="pt-BR"/>
        </w:rPr>
        <w:t xml:space="preserve"> </w:t>
      </w:r>
    </w:p>
    <w:p w14:paraId="4C343176" w14:textId="77777777" w:rsidR="00542497" w:rsidRPr="0038442F" w:rsidRDefault="00542497" w:rsidP="00A857CB">
      <w:pPr>
        <w:pStyle w:val="Prrafodelista"/>
        <w:spacing w:line="240" w:lineRule="auto"/>
        <w:ind w:left="0"/>
        <w:jc w:val="both"/>
        <w:rPr>
          <w:rFonts w:ascii="Verdana" w:hAnsi="Verdana"/>
          <w:bCs/>
          <w:sz w:val="20"/>
          <w:szCs w:val="20"/>
          <w:lang w:val="pt-BR"/>
        </w:rPr>
      </w:pPr>
    </w:p>
    <w:p w14:paraId="095A6778" w14:textId="0F5AC667" w:rsidR="00DB2F5B"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Fonts w:ascii="Verdana" w:hAnsi="Verdana"/>
          <w:bCs/>
          <w:sz w:val="20"/>
          <w:szCs w:val="20"/>
          <w:lang w:val="pt-BR"/>
        </w:rPr>
        <w:t xml:space="preserve">39. </w:t>
      </w:r>
      <w:r w:rsidRPr="0038442F">
        <w:rPr>
          <w:rFonts w:ascii="Verdana" w:hAnsi="Verdana"/>
          <w:bCs/>
          <w:sz w:val="20"/>
          <w:szCs w:val="20"/>
          <w:lang w:val="pt-BR"/>
        </w:rPr>
        <w:tab/>
      </w:r>
      <w:r w:rsidR="00AE3991" w:rsidRPr="0038442F">
        <w:rPr>
          <w:rFonts w:ascii="Verdana" w:hAnsi="Verdana"/>
          <w:bCs/>
          <w:sz w:val="20"/>
          <w:szCs w:val="20"/>
          <w:lang w:val="pt-BR"/>
        </w:rPr>
        <w:t xml:space="preserve">Por </w:t>
      </w:r>
      <w:r w:rsidR="00984A83" w:rsidRPr="0038442F">
        <w:rPr>
          <w:rFonts w:ascii="Verdana" w:hAnsi="Verdana"/>
          <w:bCs/>
          <w:sz w:val="20"/>
          <w:szCs w:val="20"/>
          <w:lang w:val="pt-BR"/>
        </w:rPr>
        <w:t xml:space="preserve">outro </w:t>
      </w:r>
      <w:r w:rsidR="009D16DD" w:rsidRPr="0038442F">
        <w:rPr>
          <w:rFonts w:ascii="Verdana" w:hAnsi="Verdana"/>
          <w:bCs/>
          <w:sz w:val="20"/>
          <w:szCs w:val="20"/>
          <w:lang w:val="pt-BR"/>
        </w:rPr>
        <w:t xml:space="preserve">lado, sobre </w:t>
      </w:r>
      <w:r w:rsidR="00AE3991" w:rsidRPr="0038442F">
        <w:rPr>
          <w:rFonts w:ascii="Verdana" w:hAnsi="Verdana"/>
          <w:bCs/>
          <w:sz w:val="20"/>
          <w:szCs w:val="20"/>
          <w:lang w:val="pt-BR"/>
        </w:rPr>
        <w:t xml:space="preserve">a </w:t>
      </w:r>
      <w:r w:rsidR="00246A73" w:rsidRPr="0038442F">
        <w:rPr>
          <w:rFonts w:ascii="Verdana" w:hAnsi="Verdana"/>
          <w:bCs/>
          <w:sz w:val="20"/>
          <w:szCs w:val="20"/>
          <w:lang w:val="pt-BR"/>
        </w:rPr>
        <w:t>importância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AE3991" w:rsidRPr="0038442F">
        <w:rPr>
          <w:rFonts w:ascii="Verdana" w:hAnsi="Verdana"/>
          <w:bCs/>
          <w:sz w:val="20"/>
          <w:szCs w:val="20"/>
          <w:lang w:val="pt-BR"/>
        </w:rPr>
        <w:t>fiscaliza</w:t>
      </w:r>
      <w:r w:rsidR="000A1AA8" w:rsidRPr="0038442F">
        <w:rPr>
          <w:rFonts w:ascii="Verdana" w:hAnsi="Verdana"/>
          <w:bCs/>
          <w:sz w:val="20"/>
          <w:szCs w:val="20"/>
          <w:lang w:val="pt-BR"/>
        </w:rPr>
        <w:t>ção</w:t>
      </w:r>
      <w:r w:rsidR="00AE3991" w:rsidRPr="0038442F">
        <w:rPr>
          <w:rFonts w:ascii="Verdana" w:hAnsi="Verdana"/>
          <w:bCs/>
          <w:sz w:val="20"/>
          <w:szCs w:val="20"/>
          <w:lang w:val="pt-BR"/>
        </w:rPr>
        <w:t xml:space="preserve"> como </w:t>
      </w:r>
      <w:r w:rsidR="009D16DD" w:rsidRPr="0038442F">
        <w:rPr>
          <w:rFonts w:ascii="Verdana" w:hAnsi="Verdana"/>
          <w:bCs/>
          <w:sz w:val="20"/>
          <w:szCs w:val="20"/>
          <w:lang w:val="pt-BR"/>
        </w:rPr>
        <w:t>meio</w:t>
      </w:r>
      <w:r w:rsidR="00407242" w:rsidRPr="0038442F">
        <w:rPr>
          <w:rFonts w:ascii="Verdana" w:hAnsi="Verdana"/>
          <w:bCs/>
          <w:sz w:val="20"/>
          <w:szCs w:val="20"/>
          <w:lang w:val="pt-BR"/>
        </w:rPr>
        <w:t xml:space="preserve"> </w:t>
      </w:r>
      <w:r w:rsidR="00AE3991" w:rsidRPr="0038442F">
        <w:rPr>
          <w:rFonts w:ascii="Verdana" w:hAnsi="Verdana"/>
          <w:bCs/>
          <w:sz w:val="20"/>
          <w:szCs w:val="20"/>
          <w:lang w:val="pt-BR"/>
        </w:rPr>
        <w:t>de preven</w:t>
      </w:r>
      <w:r w:rsidR="000A1AA8" w:rsidRPr="0038442F">
        <w:rPr>
          <w:rFonts w:ascii="Verdana" w:hAnsi="Verdana"/>
          <w:bCs/>
          <w:sz w:val="20"/>
          <w:szCs w:val="20"/>
          <w:lang w:val="pt-BR"/>
        </w:rPr>
        <w:t>ção</w:t>
      </w:r>
      <w:r w:rsidR="00AE3991" w:rsidRPr="0038442F">
        <w:rPr>
          <w:rFonts w:ascii="Verdana" w:hAnsi="Verdana"/>
          <w:bCs/>
          <w:sz w:val="20"/>
          <w:szCs w:val="20"/>
          <w:lang w:val="pt-BR"/>
        </w:rPr>
        <w:t xml:space="preserve">, </w:t>
      </w:r>
      <w:r w:rsidR="009D16DD" w:rsidRPr="0038442F">
        <w:rPr>
          <w:rFonts w:ascii="Verdana" w:hAnsi="Verdana"/>
          <w:bCs/>
          <w:sz w:val="20"/>
          <w:szCs w:val="20"/>
          <w:lang w:val="pt-BR"/>
        </w:rPr>
        <w:t xml:space="preserve">o </w:t>
      </w:r>
      <w:r w:rsidR="00AE3991" w:rsidRPr="0038442F">
        <w:rPr>
          <w:rFonts w:ascii="Verdana" w:hAnsi="Verdana"/>
          <w:bCs/>
          <w:sz w:val="20"/>
          <w:szCs w:val="20"/>
          <w:lang w:val="pt-BR"/>
        </w:rPr>
        <w:t>T</w:t>
      </w:r>
      <w:r w:rsidR="00B02C81" w:rsidRPr="0038442F">
        <w:rPr>
          <w:rFonts w:ascii="Verdana" w:hAnsi="Verdana"/>
          <w:bCs/>
          <w:sz w:val="20"/>
          <w:szCs w:val="20"/>
          <w:lang w:val="pt-BR"/>
        </w:rPr>
        <w:t xml:space="preserve">ribunal </w:t>
      </w:r>
      <w:r w:rsidR="00DA73B1" w:rsidRPr="0038442F">
        <w:rPr>
          <w:rFonts w:ascii="Verdana" w:hAnsi="Verdana"/>
          <w:bCs/>
          <w:sz w:val="20"/>
          <w:szCs w:val="20"/>
          <w:lang w:val="pt-BR"/>
        </w:rPr>
        <w:t>Europeu</w:t>
      </w:r>
      <w:r w:rsidR="00407242" w:rsidRPr="0038442F">
        <w:rPr>
          <w:rFonts w:ascii="Verdana" w:hAnsi="Verdana"/>
          <w:bCs/>
          <w:sz w:val="20"/>
          <w:szCs w:val="20"/>
          <w:lang w:val="pt-BR"/>
        </w:rPr>
        <w:t xml:space="preserve"> </w:t>
      </w:r>
      <w:r w:rsidR="00AE3991" w:rsidRPr="0038442F">
        <w:rPr>
          <w:rFonts w:ascii="Verdana" w:hAnsi="Verdana"/>
          <w:bCs/>
          <w:sz w:val="20"/>
          <w:szCs w:val="20"/>
          <w:lang w:val="pt-BR"/>
        </w:rPr>
        <w:t>especific</w:t>
      </w:r>
      <w:r w:rsidR="009D16DD" w:rsidRPr="0038442F">
        <w:rPr>
          <w:rFonts w:ascii="Verdana" w:hAnsi="Verdana"/>
          <w:bCs/>
          <w:sz w:val="20"/>
          <w:szCs w:val="20"/>
          <w:lang w:val="pt-BR"/>
        </w:rPr>
        <w:t>o</w:t>
      </w:r>
      <w:r w:rsidR="00C641CF" w:rsidRPr="0038442F">
        <w:rPr>
          <w:rFonts w:ascii="Verdana" w:hAnsi="Verdana"/>
          <w:bCs/>
          <w:sz w:val="20"/>
          <w:szCs w:val="20"/>
          <w:lang w:val="pt-BR"/>
        </w:rPr>
        <w:t>u</w:t>
      </w:r>
      <w:r w:rsidR="009D16DD" w:rsidRPr="0038442F">
        <w:rPr>
          <w:rFonts w:ascii="Verdana" w:hAnsi="Verdana"/>
          <w:bCs/>
          <w:sz w:val="20"/>
          <w:szCs w:val="20"/>
          <w:lang w:val="pt-BR"/>
        </w:rPr>
        <w:t xml:space="preserve"> que, caso surja um dano, </w:t>
      </w:r>
      <w:r w:rsidR="00984A83" w:rsidRPr="0038442F">
        <w:rPr>
          <w:rFonts w:ascii="Verdana" w:hAnsi="Verdana"/>
          <w:bCs/>
          <w:sz w:val="20"/>
          <w:szCs w:val="20"/>
          <w:lang w:val="pt-BR"/>
        </w:rPr>
        <w:t xml:space="preserve">a violação </w:t>
      </w:r>
      <w:r w:rsidR="00A97A64" w:rsidRPr="0038442F">
        <w:rPr>
          <w:rFonts w:ascii="Verdana" w:hAnsi="Verdana"/>
          <w:bCs/>
          <w:sz w:val="20"/>
          <w:szCs w:val="20"/>
          <w:lang w:val="pt-BR"/>
        </w:rPr>
        <w:t>d</w:t>
      </w:r>
      <w:r w:rsidR="000A1AA8" w:rsidRPr="0038442F">
        <w:rPr>
          <w:rFonts w:ascii="Verdana" w:hAnsi="Verdana"/>
          <w:bCs/>
          <w:sz w:val="20"/>
          <w:szCs w:val="20"/>
          <w:lang w:val="pt-BR"/>
        </w:rPr>
        <w:t xml:space="preserve">o Estado </w:t>
      </w:r>
      <w:r w:rsidR="005135E5" w:rsidRPr="0038442F">
        <w:rPr>
          <w:rFonts w:ascii="Verdana" w:hAnsi="Verdana"/>
          <w:bCs/>
          <w:sz w:val="20"/>
          <w:szCs w:val="20"/>
          <w:lang w:val="pt-BR"/>
        </w:rPr>
        <w:t>também</w:t>
      </w:r>
      <w:r w:rsidR="00407242" w:rsidRPr="0038442F">
        <w:rPr>
          <w:rFonts w:ascii="Verdana" w:hAnsi="Verdana"/>
          <w:bCs/>
          <w:sz w:val="20"/>
          <w:szCs w:val="20"/>
          <w:lang w:val="pt-BR"/>
        </w:rPr>
        <w:t xml:space="preserve"> </w:t>
      </w:r>
      <w:r w:rsidR="009D16DD" w:rsidRPr="0038442F">
        <w:rPr>
          <w:rFonts w:ascii="Verdana" w:hAnsi="Verdana"/>
          <w:bCs/>
          <w:sz w:val="20"/>
          <w:szCs w:val="20"/>
          <w:lang w:val="pt-BR"/>
        </w:rPr>
        <w:t xml:space="preserve">poderia </w:t>
      </w:r>
      <w:r w:rsidR="00356B86" w:rsidRPr="0038442F">
        <w:rPr>
          <w:rFonts w:ascii="Verdana" w:hAnsi="Verdana"/>
          <w:bCs/>
          <w:sz w:val="20"/>
          <w:szCs w:val="20"/>
          <w:lang w:val="pt-BR"/>
        </w:rPr>
        <w:t xml:space="preserve">decorrer do </w:t>
      </w:r>
      <w:r w:rsidR="001F119A" w:rsidRPr="0038442F">
        <w:rPr>
          <w:rFonts w:ascii="Verdana" w:hAnsi="Verdana"/>
          <w:bCs/>
          <w:sz w:val="20"/>
          <w:szCs w:val="20"/>
          <w:lang w:val="pt-BR"/>
        </w:rPr>
        <w:t>controle insuficiente</w:t>
      </w:r>
      <w:r w:rsidR="00AE3991"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C013FC" w:rsidRPr="0038442F">
        <w:rPr>
          <w:rFonts w:ascii="Verdana" w:hAnsi="Verdana"/>
          <w:bCs/>
          <w:sz w:val="20"/>
          <w:szCs w:val="20"/>
          <w:lang w:val="pt-BR"/>
        </w:rPr>
        <w:t>atividade</w:t>
      </w:r>
      <w:r w:rsidR="00407242" w:rsidRPr="0038442F">
        <w:rPr>
          <w:rFonts w:ascii="Verdana" w:hAnsi="Verdana"/>
          <w:bCs/>
          <w:sz w:val="20"/>
          <w:szCs w:val="20"/>
          <w:lang w:val="pt-BR"/>
        </w:rPr>
        <w:t xml:space="preserve"> </w:t>
      </w:r>
      <w:r w:rsidR="00AE3991" w:rsidRPr="0038442F">
        <w:rPr>
          <w:rFonts w:ascii="Verdana" w:hAnsi="Verdana"/>
          <w:bCs/>
          <w:sz w:val="20"/>
          <w:szCs w:val="20"/>
          <w:lang w:val="pt-BR"/>
        </w:rPr>
        <w:t>que se enc</w:t>
      </w:r>
      <w:r w:rsidR="009D16DD" w:rsidRPr="0038442F">
        <w:rPr>
          <w:rFonts w:ascii="Verdana" w:hAnsi="Verdana"/>
          <w:bCs/>
          <w:sz w:val="20"/>
          <w:szCs w:val="20"/>
          <w:lang w:val="pt-BR"/>
        </w:rPr>
        <w:t>o</w:t>
      </w:r>
      <w:r w:rsidR="00AE3991" w:rsidRPr="0038442F">
        <w:rPr>
          <w:rFonts w:ascii="Verdana" w:hAnsi="Verdana"/>
          <w:bCs/>
          <w:sz w:val="20"/>
          <w:szCs w:val="20"/>
          <w:lang w:val="pt-BR"/>
        </w:rPr>
        <w:t>ntra regula</w:t>
      </w:r>
      <w:r w:rsidR="009D16DD" w:rsidRPr="0038442F">
        <w:rPr>
          <w:rFonts w:ascii="Verdana" w:hAnsi="Verdana"/>
          <w:bCs/>
          <w:sz w:val="20"/>
          <w:szCs w:val="20"/>
          <w:lang w:val="pt-BR"/>
        </w:rPr>
        <w:t>menta</w:t>
      </w:r>
      <w:r w:rsidR="00AE3991" w:rsidRPr="0038442F">
        <w:rPr>
          <w:rFonts w:ascii="Verdana" w:hAnsi="Verdana"/>
          <w:bCs/>
          <w:sz w:val="20"/>
          <w:szCs w:val="20"/>
          <w:lang w:val="pt-BR"/>
        </w:rPr>
        <w:t>da</w:t>
      </w:r>
      <w:r w:rsidR="009D16DD" w:rsidRPr="0038442F">
        <w:rPr>
          <w:rFonts w:ascii="Verdana" w:hAnsi="Verdana"/>
          <w:bCs/>
          <w:sz w:val="20"/>
          <w:szCs w:val="20"/>
          <w:lang w:val="pt-BR"/>
        </w:rPr>
        <w:t>.</w:t>
      </w:r>
      <w:r w:rsidR="00A97A64" w:rsidRPr="0038442F">
        <w:rPr>
          <w:rStyle w:val="Refdenotaalpie"/>
          <w:rFonts w:ascii="Verdana" w:hAnsi="Verdana"/>
          <w:bCs/>
          <w:sz w:val="20"/>
          <w:szCs w:val="20"/>
          <w:lang w:val="pt-BR"/>
        </w:rPr>
        <w:footnoteReference w:id="60"/>
      </w:r>
      <w:r w:rsidR="00A97A64" w:rsidRPr="0038442F">
        <w:rPr>
          <w:rFonts w:ascii="Verdana" w:hAnsi="Verdana"/>
          <w:bCs/>
          <w:sz w:val="20"/>
          <w:szCs w:val="20"/>
          <w:lang w:val="pt-BR"/>
        </w:rPr>
        <w:t xml:space="preserve"> </w:t>
      </w:r>
      <w:r w:rsidR="009D16DD" w:rsidRPr="0038442F">
        <w:rPr>
          <w:rFonts w:ascii="Verdana" w:hAnsi="Verdana"/>
          <w:bCs/>
          <w:sz w:val="20"/>
          <w:szCs w:val="20"/>
          <w:lang w:val="pt-BR"/>
        </w:rPr>
        <w:t xml:space="preserve">Em sentido </w:t>
      </w:r>
      <w:r w:rsidR="00AE3991" w:rsidRPr="0038442F">
        <w:rPr>
          <w:rStyle w:val="sb8d990e2"/>
          <w:rFonts w:ascii="Verdana" w:hAnsi="Verdana"/>
          <w:bCs/>
          <w:sz w:val="20"/>
          <w:szCs w:val="20"/>
          <w:lang w:val="pt-BR"/>
        </w:rPr>
        <w:t xml:space="preserve">similar, </w:t>
      </w:r>
      <w:r w:rsidR="009D16DD" w:rsidRPr="0038442F">
        <w:rPr>
          <w:rStyle w:val="sb8d990e2"/>
          <w:rFonts w:ascii="Verdana" w:hAnsi="Verdana"/>
          <w:bCs/>
          <w:sz w:val="20"/>
          <w:szCs w:val="20"/>
          <w:lang w:val="pt-BR"/>
        </w:rPr>
        <w:t xml:space="preserve">o </w:t>
      </w:r>
      <w:r w:rsidR="00360928" w:rsidRPr="0038442F">
        <w:rPr>
          <w:rStyle w:val="sb8d990e2"/>
          <w:rFonts w:ascii="Verdana" w:hAnsi="Verdana"/>
          <w:bCs/>
          <w:sz w:val="20"/>
          <w:szCs w:val="20"/>
          <w:lang w:val="pt-BR"/>
        </w:rPr>
        <w:t>Comitê</w:t>
      </w:r>
      <w:r w:rsidR="00407242" w:rsidRPr="0038442F">
        <w:rPr>
          <w:rStyle w:val="sb8d990e2"/>
          <w:rFonts w:ascii="Verdana" w:hAnsi="Verdana"/>
          <w:bCs/>
          <w:sz w:val="20"/>
          <w:szCs w:val="20"/>
          <w:lang w:val="pt-BR"/>
        </w:rPr>
        <w:t xml:space="preserve"> </w:t>
      </w:r>
      <w:r w:rsidR="00DA73B1" w:rsidRPr="0038442F">
        <w:rPr>
          <w:rStyle w:val="sb8d990e2"/>
          <w:rFonts w:ascii="Verdana" w:hAnsi="Verdana"/>
          <w:bCs/>
          <w:sz w:val="20"/>
          <w:szCs w:val="20"/>
          <w:lang w:val="pt-BR"/>
        </w:rPr>
        <w:t>Europeu</w:t>
      </w:r>
      <w:r w:rsidR="00407242" w:rsidRPr="0038442F">
        <w:rPr>
          <w:rStyle w:val="sb8d990e2"/>
          <w:rFonts w:ascii="Verdana" w:hAnsi="Verdana"/>
          <w:bCs/>
          <w:sz w:val="20"/>
          <w:szCs w:val="20"/>
          <w:lang w:val="pt-BR"/>
        </w:rPr>
        <w:t xml:space="preserve"> </w:t>
      </w:r>
      <w:r w:rsidR="009D16DD" w:rsidRPr="0038442F">
        <w:rPr>
          <w:rStyle w:val="sb8d990e2"/>
          <w:rFonts w:ascii="Verdana" w:hAnsi="Verdana"/>
          <w:bCs/>
          <w:sz w:val="20"/>
          <w:szCs w:val="20"/>
          <w:lang w:val="pt-BR"/>
        </w:rPr>
        <w:t>especifico</w:t>
      </w:r>
      <w:r w:rsidR="00D45B15" w:rsidRPr="0038442F">
        <w:rPr>
          <w:rStyle w:val="sb8d990e2"/>
          <w:rFonts w:ascii="Verdana" w:hAnsi="Verdana"/>
          <w:bCs/>
          <w:sz w:val="20"/>
          <w:szCs w:val="20"/>
          <w:lang w:val="pt-BR"/>
        </w:rPr>
        <w:t>u</w:t>
      </w:r>
      <w:r w:rsidR="009D16DD" w:rsidRPr="0038442F">
        <w:rPr>
          <w:rStyle w:val="sb8d990e2"/>
          <w:rFonts w:ascii="Verdana" w:hAnsi="Verdana"/>
          <w:bCs/>
          <w:sz w:val="20"/>
          <w:szCs w:val="20"/>
          <w:lang w:val="pt-BR"/>
        </w:rPr>
        <w:t xml:space="preserve"> que o </w:t>
      </w:r>
      <w:r w:rsidR="00AE3991" w:rsidRPr="0038442F">
        <w:rPr>
          <w:rStyle w:val="sb8d990e2"/>
          <w:rFonts w:ascii="Verdana" w:hAnsi="Verdana"/>
          <w:bCs/>
          <w:sz w:val="20"/>
          <w:szCs w:val="20"/>
          <w:lang w:val="pt-BR"/>
        </w:rPr>
        <w:t xml:space="preserve">contemplado </w:t>
      </w:r>
      <w:r w:rsidR="00751189" w:rsidRPr="0038442F">
        <w:rPr>
          <w:rStyle w:val="sb8d990e2"/>
          <w:rFonts w:ascii="Verdana" w:hAnsi="Verdana"/>
          <w:bCs/>
          <w:sz w:val="20"/>
          <w:szCs w:val="20"/>
          <w:lang w:val="pt-BR"/>
        </w:rPr>
        <w:t xml:space="preserve">no </w:t>
      </w:r>
      <w:r w:rsidR="00CA30C5" w:rsidRPr="0038442F">
        <w:rPr>
          <w:rStyle w:val="sb8d990e2"/>
          <w:rFonts w:ascii="Verdana" w:hAnsi="Verdana"/>
          <w:bCs/>
          <w:sz w:val="20"/>
          <w:szCs w:val="20"/>
          <w:lang w:val="pt-BR"/>
        </w:rPr>
        <w:t>artigo</w:t>
      </w:r>
      <w:r w:rsidR="00407242" w:rsidRPr="0038442F">
        <w:rPr>
          <w:rStyle w:val="sb8d990e2"/>
          <w:rFonts w:ascii="Verdana" w:hAnsi="Verdana"/>
          <w:bCs/>
          <w:sz w:val="20"/>
          <w:szCs w:val="20"/>
          <w:lang w:val="pt-BR"/>
        </w:rPr>
        <w:t xml:space="preserve"> </w:t>
      </w:r>
      <w:r w:rsidR="00AE3991" w:rsidRPr="0038442F">
        <w:rPr>
          <w:rStyle w:val="sb8d990e2"/>
          <w:rFonts w:ascii="Verdana" w:hAnsi="Verdana"/>
          <w:bCs/>
          <w:sz w:val="20"/>
          <w:szCs w:val="20"/>
          <w:lang w:val="pt-BR"/>
        </w:rPr>
        <w:t>3</w:t>
      </w:r>
      <w:r w:rsidR="003866E7" w:rsidRPr="0038442F">
        <w:rPr>
          <w:rStyle w:val="sb8d990e2"/>
          <w:rFonts w:ascii="Verdana" w:hAnsi="Verdana"/>
          <w:bCs/>
          <w:sz w:val="20"/>
          <w:szCs w:val="20"/>
          <w:lang w:val="pt-BR"/>
        </w:rPr>
        <w:t xml:space="preserve"> n</w:t>
      </w:r>
      <w:r w:rsidR="009D16DD" w:rsidRPr="0038442F">
        <w:rPr>
          <w:rStyle w:val="sb8d990e2"/>
          <w:rFonts w:ascii="Verdana" w:hAnsi="Verdana"/>
          <w:bCs/>
          <w:sz w:val="20"/>
          <w:szCs w:val="20"/>
          <w:lang w:val="pt-BR"/>
        </w:rPr>
        <w:t>ã</w:t>
      </w:r>
      <w:r w:rsidR="003866E7" w:rsidRPr="0038442F">
        <w:rPr>
          <w:rStyle w:val="sb8d990e2"/>
          <w:rFonts w:ascii="Verdana" w:hAnsi="Verdana"/>
          <w:bCs/>
          <w:sz w:val="20"/>
          <w:szCs w:val="20"/>
          <w:lang w:val="pt-BR"/>
        </w:rPr>
        <w:t xml:space="preserve">o se </w:t>
      </w:r>
      <w:r w:rsidR="009D16DD" w:rsidRPr="0038442F">
        <w:rPr>
          <w:rStyle w:val="sb8d990e2"/>
          <w:rFonts w:ascii="Verdana" w:hAnsi="Verdana"/>
          <w:bCs/>
          <w:sz w:val="20"/>
          <w:szCs w:val="20"/>
          <w:lang w:val="pt-BR"/>
        </w:rPr>
        <w:t>garante</w:t>
      </w:r>
      <w:r w:rsidR="00407242" w:rsidRPr="0038442F">
        <w:rPr>
          <w:rStyle w:val="sb8d990e2"/>
          <w:rFonts w:ascii="Verdana" w:hAnsi="Verdana"/>
          <w:bCs/>
          <w:sz w:val="20"/>
          <w:szCs w:val="20"/>
          <w:lang w:val="pt-BR"/>
        </w:rPr>
        <w:t xml:space="preserve"> </w:t>
      </w:r>
      <w:r w:rsidR="003866E7" w:rsidRPr="0038442F">
        <w:rPr>
          <w:rStyle w:val="sb8d990e2"/>
          <w:rFonts w:ascii="Verdana" w:hAnsi="Verdana"/>
          <w:bCs/>
          <w:sz w:val="20"/>
          <w:szCs w:val="20"/>
          <w:lang w:val="pt-BR"/>
        </w:rPr>
        <w:t>“co</w:t>
      </w:r>
      <w:r w:rsidR="009D16DD" w:rsidRPr="0038442F">
        <w:rPr>
          <w:rStyle w:val="sb8d990e2"/>
          <w:rFonts w:ascii="Verdana" w:hAnsi="Verdana"/>
          <w:bCs/>
          <w:sz w:val="20"/>
          <w:szCs w:val="20"/>
          <w:lang w:val="pt-BR"/>
        </w:rPr>
        <w:t>m</w:t>
      </w:r>
      <w:r w:rsidR="003866E7" w:rsidRPr="0038442F">
        <w:rPr>
          <w:rStyle w:val="sb8d990e2"/>
          <w:rFonts w:ascii="Verdana" w:hAnsi="Verdana"/>
          <w:bCs/>
          <w:sz w:val="20"/>
          <w:szCs w:val="20"/>
          <w:lang w:val="pt-BR"/>
        </w:rPr>
        <w:t xml:space="preserve"> </w:t>
      </w:r>
      <w:r w:rsidR="009D16DD" w:rsidRPr="0038442F">
        <w:rPr>
          <w:rStyle w:val="sb8d990e2"/>
          <w:rFonts w:ascii="Verdana" w:hAnsi="Verdana"/>
          <w:bCs/>
          <w:sz w:val="20"/>
          <w:szCs w:val="20"/>
          <w:lang w:val="pt-BR"/>
        </w:rPr>
        <w:t>o</w:t>
      </w:r>
      <w:r w:rsidR="003866E7" w:rsidRPr="0038442F">
        <w:rPr>
          <w:rStyle w:val="sb8d990e2"/>
          <w:rFonts w:ascii="Verdana" w:hAnsi="Verdana"/>
          <w:bCs/>
          <w:sz w:val="20"/>
          <w:szCs w:val="20"/>
          <w:lang w:val="pt-BR"/>
        </w:rPr>
        <w:t xml:space="preserve"> funcionamento </w:t>
      </w:r>
      <w:r w:rsidR="00C92762" w:rsidRPr="0038442F">
        <w:rPr>
          <w:rFonts w:ascii="Verdana" w:hAnsi="Verdana" w:cs="Arial"/>
          <w:bCs/>
          <w:sz w:val="20"/>
          <w:szCs w:val="20"/>
          <w:lang w:val="pt-BR"/>
        </w:rPr>
        <w:t xml:space="preserve">da </w:t>
      </w:r>
      <w:r w:rsidR="003866E7" w:rsidRPr="0038442F">
        <w:rPr>
          <w:rFonts w:ascii="Verdana" w:hAnsi="Verdana" w:cs="Arial"/>
          <w:bCs/>
          <w:sz w:val="20"/>
          <w:szCs w:val="20"/>
          <w:lang w:val="pt-BR"/>
        </w:rPr>
        <w:t>legisla</w:t>
      </w:r>
      <w:r w:rsidR="000A1AA8" w:rsidRPr="0038442F">
        <w:rPr>
          <w:rFonts w:ascii="Verdana" w:hAnsi="Verdana" w:cs="Arial"/>
          <w:bCs/>
          <w:sz w:val="20"/>
          <w:szCs w:val="20"/>
          <w:lang w:val="pt-BR"/>
        </w:rPr>
        <w:t>ção</w:t>
      </w:r>
      <w:r w:rsidR="00AE3991" w:rsidRPr="0038442F">
        <w:rPr>
          <w:rFonts w:ascii="Verdana" w:hAnsi="Verdana" w:cs="Arial"/>
          <w:bCs/>
          <w:sz w:val="20"/>
          <w:szCs w:val="20"/>
          <w:lang w:val="pt-BR"/>
        </w:rPr>
        <w:t>”</w:t>
      </w:r>
      <w:r w:rsidR="00E82EEE" w:rsidRPr="0038442F">
        <w:rPr>
          <w:rFonts w:ascii="Verdana" w:hAnsi="Verdana" w:cs="Arial"/>
          <w:bCs/>
          <w:sz w:val="20"/>
          <w:szCs w:val="20"/>
          <w:lang w:val="pt-BR"/>
        </w:rPr>
        <w:t>,</w:t>
      </w:r>
      <w:r w:rsidR="00AE3991" w:rsidRPr="0038442F">
        <w:rPr>
          <w:rFonts w:ascii="Verdana" w:hAnsi="Verdana" w:cs="Arial"/>
          <w:bCs/>
          <w:sz w:val="20"/>
          <w:szCs w:val="20"/>
          <w:lang w:val="pt-BR"/>
        </w:rPr>
        <w:t xml:space="preserve"> </w:t>
      </w:r>
      <w:r w:rsidR="009D16DD" w:rsidRPr="0038442F">
        <w:rPr>
          <w:rFonts w:ascii="Verdana" w:hAnsi="Verdana" w:cs="Arial"/>
          <w:bCs/>
          <w:sz w:val="20"/>
          <w:szCs w:val="20"/>
          <w:lang w:val="pt-BR"/>
        </w:rPr>
        <w:t xml:space="preserve">mas que é </w:t>
      </w:r>
      <w:r w:rsidR="002226C1" w:rsidRPr="0038442F">
        <w:rPr>
          <w:rFonts w:ascii="Verdana" w:hAnsi="Verdana" w:cs="Arial"/>
          <w:bCs/>
          <w:sz w:val="20"/>
          <w:szCs w:val="20"/>
          <w:lang w:val="pt-BR"/>
        </w:rPr>
        <w:t>necessário</w:t>
      </w:r>
      <w:r w:rsidR="00407242" w:rsidRPr="0038442F">
        <w:rPr>
          <w:rFonts w:ascii="Verdana" w:hAnsi="Verdana" w:cs="Arial"/>
          <w:bCs/>
          <w:sz w:val="20"/>
          <w:szCs w:val="20"/>
          <w:lang w:val="pt-BR"/>
        </w:rPr>
        <w:t xml:space="preserve"> </w:t>
      </w:r>
      <w:r w:rsidR="00AE3991" w:rsidRPr="0038442F">
        <w:rPr>
          <w:rFonts w:ascii="Verdana" w:hAnsi="Verdana" w:cs="Arial"/>
          <w:bCs/>
          <w:sz w:val="20"/>
          <w:szCs w:val="20"/>
          <w:lang w:val="pt-BR"/>
        </w:rPr>
        <w:t>que se aplique de “</w:t>
      </w:r>
      <w:r w:rsidR="006A12FD" w:rsidRPr="0038442F">
        <w:rPr>
          <w:rFonts w:ascii="Verdana" w:hAnsi="Verdana" w:cs="Arial"/>
          <w:bCs/>
          <w:sz w:val="20"/>
          <w:szCs w:val="20"/>
          <w:lang w:val="pt-BR"/>
        </w:rPr>
        <w:t>maneira</w:t>
      </w:r>
      <w:r w:rsidR="00407242" w:rsidRPr="0038442F">
        <w:rPr>
          <w:rFonts w:ascii="Verdana" w:hAnsi="Verdana" w:cs="Arial"/>
          <w:bCs/>
          <w:sz w:val="20"/>
          <w:szCs w:val="20"/>
          <w:lang w:val="pt-BR"/>
        </w:rPr>
        <w:t xml:space="preserve"> </w:t>
      </w:r>
      <w:r w:rsidR="009612FB" w:rsidRPr="0038442F">
        <w:rPr>
          <w:rFonts w:ascii="Verdana" w:hAnsi="Verdana" w:cs="Arial"/>
          <w:bCs/>
          <w:sz w:val="20"/>
          <w:szCs w:val="20"/>
          <w:lang w:val="pt-BR"/>
        </w:rPr>
        <w:t>efetiva</w:t>
      </w:r>
      <w:r w:rsidR="00407242" w:rsidRPr="0038442F">
        <w:rPr>
          <w:rFonts w:ascii="Verdana" w:hAnsi="Verdana" w:cs="Arial"/>
          <w:bCs/>
          <w:sz w:val="20"/>
          <w:szCs w:val="20"/>
          <w:lang w:val="pt-BR"/>
        </w:rPr>
        <w:t xml:space="preserve"> </w:t>
      </w:r>
      <w:r w:rsidR="009D16DD" w:rsidRPr="0038442F">
        <w:rPr>
          <w:rFonts w:ascii="Verdana" w:hAnsi="Verdana" w:cs="Arial"/>
          <w:bCs/>
          <w:sz w:val="20"/>
          <w:szCs w:val="20"/>
          <w:lang w:val="pt-BR"/>
        </w:rPr>
        <w:t>e</w:t>
      </w:r>
      <w:r w:rsidR="003866E7" w:rsidRPr="0038442F">
        <w:rPr>
          <w:rFonts w:ascii="Verdana" w:hAnsi="Verdana" w:cs="Arial"/>
          <w:bCs/>
          <w:sz w:val="20"/>
          <w:szCs w:val="20"/>
          <w:lang w:val="pt-BR"/>
        </w:rPr>
        <w:t xml:space="preserve"> se supervis</w:t>
      </w:r>
      <w:r w:rsidR="009D16DD" w:rsidRPr="0038442F">
        <w:rPr>
          <w:rFonts w:ascii="Verdana" w:hAnsi="Verdana" w:cs="Arial"/>
          <w:bCs/>
          <w:sz w:val="20"/>
          <w:szCs w:val="20"/>
          <w:lang w:val="pt-BR"/>
        </w:rPr>
        <w:t>ion</w:t>
      </w:r>
      <w:r w:rsidR="00BD3A09" w:rsidRPr="0038442F">
        <w:rPr>
          <w:rFonts w:ascii="Verdana" w:hAnsi="Verdana" w:cs="Arial"/>
          <w:bCs/>
          <w:sz w:val="20"/>
          <w:szCs w:val="20"/>
          <w:lang w:val="pt-BR"/>
        </w:rPr>
        <w:t>e</w:t>
      </w:r>
      <w:r w:rsidR="003866E7" w:rsidRPr="0038442F">
        <w:rPr>
          <w:rFonts w:ascii="Verdana" w:hAnsi="Verdana" w:cs="Arial"/>
          <w:bCs/>
          <w:sz w:val="20"/>
          <w:szCs w:val="20"/>
          <w:lang w:val="pt-BR"/>
        </w:rPr>
        <w:t xml:space="preserve"> rig</w:t>
      </w:r>
      <w:r w:rsidR="009D16DD" w:rsidRPr="0038442F">
        <w:rPr>
          <w:rFonts w:ascii="Verdana" w:hAnsi="Verdana" w:cs="Arial"/>
          <w:bCs/>
          <w:sz w:val="20"/>
          <w:szCs w:val="20"/>
          <w:lang w:val="pt-BR"/>
        </w:rPr>
        <w:t>o</w:t>
      </w:r>
      <w:r w:rsidR="003866E7" w:rsidRPr="0038442F">
        <w:rPr>
          <w:rFonts w:ascii="Verdana" w:hAnsi="Verdana" w:cs="Arial"/>
          <w:bCs/>
          <w:sz w:val="20"/>
          <w:szCs w:val="20"/>
          <w:lang w:val="pt-BR"/>
        </w:rPr>
        <w:t>rosamente”</w:t>
      </w:r>
      <w:r w:rsidR="009D16DD" w:rsidRPr="0038442F">
        <w:rPr>
          <w:rFonts w:ascii="Verdana" w:hAnsi="Verdana" w:cs="Arial"/>
          <w:bCs/>
          <w:sz w:val="20"/>
          <w:szCs w:val="20"/>
          <w:lang w:val="pt-BR"/>
        </w:rPr>
        <w:t>;</w:t>
      </w:r>
      <w:r w:rsidR="003866E7" w:rsidRPr="0038442F">
        <w:rPr>
          <w:rStyle w:val="Refdenotaalpie"/>
          <w:rFonts w:ascii="Verdana" w:hAnsi="Verdana" w:cs="Arial"/>
          <w:bCs/>
          <w:sz w:val="20"/>
          <w:szCs w:val="20"/>
          <w:lang w:val="pt-BR"/>
        </w:rPr>
        <w:footnoteReference w:id="61"/>
      </w:r>
      <w:r w:rsidR="00DB2F5B" w:rsidRPr="0038442F">
        <w:rPr>
          <w:rFonts w:ascii="Verdana" w:hAnsi="Verdana" w:cs="Arial"/>
          <w:bCs/>
          <w:sz w:val="20"/>
          <w:szCs w:val="20"/>
          <w:lang w:val="pt-BR"/>
        </w:rPr>
        <w:t xml:space="preserve"> </w:t>
      </w:r>
      <w:r w:rsidR="009D16DD" w:rsidRPr="0038442F">
        <w:rPr>
          <w:rFonts w:ascii="Verdana" w:hAnsi="Verdana" w:cs="Arial"/>
          <w:bCs/>
          <w:sz w:val="20"/>
          <w:szCs w:val="20"/>
          <w:lang w:val="pt-BR"/>
        </w:rPr>
        <w:t>desse modo</w:t>
      </w:r>
      <w:r w:rsidR="00DB2F5B" w:rsidRPr="0038442F">
        <w:rPr>
          <w:rFonts w:ascii="Verdana" w:hAnsi="Verdana" w:cs="Arial"/>
          <w:bCs/>
          <w:sz w:val="20"/>
          <w:szCs w:val="20"/>
          <w:lang w:val="pt-BR"/>
        </w:rPr>
        <w:t xml:space="preserve">, </w:t>
      </w:r>
      <w:r w:rsidR="009D16DD" w:rsidRPr="0038442F">
        <w:rPr>
          <w:rFonts w:ascii="Verdana" w:hAnsi="Verdana" w:cs="Arial"/>
          <w:bCs/>
          <w:sz w:val="20"/>
          <w:szCs w:val="20"/>
          <w:lang w:val="pt-BR"/>
        </w:rPr>
        <w:t xml:space="preserve">o </w:t>
      </w:r>
      <w:r w:rsidR="00BD3A09" w:rsidRPr="0038442F">
        <w:rPr>
          <w:rFonts w:ascii="Verdana" w:hAnsi="Verdana" w:cs="Arial"/>
          <w:bCs/>
          <w:sz w:val="20"/>
          <w:szCs w:val="20"/>
          <w:lang w:val="pt-BR"/>
        </w:rPr>
        <w:t xml:space="preserve">referido </w:t>
      </w:r>
      <w:r w:rsidR="00360928" w:rsidRPr="0038442F">
        <w:rPr>
          <w:rFonts w:ascii="Verdana" w:hAnsi="Verdana" w:cs="Arial"/>
          <w:bCs/>
          <w:sz w:val="20"/>
          <w:szCs w:val="20"/>
          <w:lang w:val="pt-BR"/>
        </w:rPr>
        <w:t>Comitê</w:t>
      </w:r>
      <w:r w:rsidR="00407242" w:rsidRPr="0038442F">
        <w:rPr>
          <w:rFonts w:ascii="Verdana" w:hAnsi="Verdana" w:cs="Arial"/>
          <w:bCs/>
          <w:sz w:val="20"/>
          <w:szCs w:val="20"/>
          <w:lang w:val="pt-BR"/>
        </w:rPr>
        <w:t xml:space="preserve"> </w:t>
      </w:r>
      <w:r w:rsidR="00BD3A09" w:rsidRPr="0038442F">
        <w:rPr>
          <w:rFonts w:ascii="Verdana" w:hAnsi="Verdana" w:cs="Arial"/>
          <w:bCs/>
          <w:sz w:val="20"/>
          <w:szCs w:val="20"/>
          <w:lang w:val="pt-BR"/>
        </w:rPr>
        <w:t>afirm</w:t>
      </w:r>
      <w:r w:rsidR="009D16DD" w:rsidRPr="0038442F">
        <w:rPr>
          <w:rFonts w:ascii="Verdana" w:hAnsi="Verdana" w:cs="Arial"/>
          <w:bCs/>
          <w:sz w:val="20"/>
          <w:szCs w:val="20"/>
          <w:lang w:val="pt-BR"/>
        </w:rPr>
        <w:t xml:space="preserve">ou </w:t>
      </w:r>
      <w:r w:rsidR="00BD3A09" w:rsidRPr="0038442F">
        <w:rPr>
          <w:rFonts w:ascii="Verdana" w:hAnsi="Verdana" w:cs="Arial"/>
          <w:bCs/>
          <w:sz w:val="20"/>
          <w:szCs w:val="20"/>
          <w:lang w:val="pt-BR"/>
        </w:rPr>
        <w:t>que “</w:t>
      </w:r>
      <w:r w:rsidR="009D16DD" w:rsidRPr="0038442F">
        <w:rPr>
          <w:rFonts w:ascii="Verdana" w:hAnsi="Verdana" w:cs="Arial"/>
          <w:bCs/>
          <w:sz w:val="20"/>
          <w:szCs w:val="20"/>
          <w:lang w:val="pt-BR"/>
        </w:rPr>
        <w:t xml:space="preserve">o </w:t>
      </w:r>
      <w:r w:rsidR="00DB2F5B" w:rsidRPr="0038442F">
        <w:rPr>
          <w:rFonts w:ascii="Verdana" w:hAnsi="Verdana" w:cs="Arial"/>
          <w:bCs/>
          <w:sz w:val="20"/>
          <w:szCs w:val="20"/>
          <w:lang w:val="pt-BR"/>
        </w:rPr>
        <w:t>control</w:t>
      </w:r>
      <w:r w:rsidR="009D16DD" w:rsidRPr="0038442F">
        <w:rPr>
          <w:rFonts w:ascii="Verdana" w:hAnsi="Verdana" w:cs="Arial"/>
          <w:bCs/>
          <w:sz w:val="20"/>
          <w:szCs w:val="20"/>
          <w:lang w:val="pt-BR"/>
        </w:rPr>
        <w:t>e</w:t>
      </w:r>
      <w:r w:rsidR="00DB2F5B" w:rsidRPr="0038442F">
        <w:rPr>
          <w:rFonts w:ascii="Verdana" w:hAnsi="Verdana" w:cs="Arial"/>
          <w:bCs/>
          <w:sz w:val="20"/>
          <w:szCs w:val="20"/>
          <w:lang w:val="pt-BR"/>
        </w:rPr>
        <w:t xml:space="preserve">, </w:t>
      </w:r>
      <w:r w:rsidR="00D45B15" w:rsidRPr="0038442F">
        <w:rPr>
          <w:rFonts w:ascii="Verdana" w:hAnsi="Verdana" w:cs="Arial"/>
          <w:bCs/>
          <w:sz w:val="20"/>
          <w:szCs w:val="20"/>
          <w:lang w:val="pt-BR"/>
        </w:rPr>
        <w:t xml:space="preserve">a </w:t>
      </w:r>
      <w:r w:rsidR="00A97590" w:rsidRPr="0038442F">
        <w:rPr>
          <w:rFonts w:ascii="Verdana" w:hAnsi="Verdana" w:cs="Arial"/>
          <w:bCs/>
          <w:sz w:val="20"/>
          <w:szCs w:val="20"/>
          <w:lang w:val="pt-BR"/>
        </w:rPr>
        <w:t>supervisão</w:t>
      </w:r>
      <w:r w:rsidR="00407242" w:rsidRPr="0038442F">
        <w:rPr>
          <w:rFonts w:ascii="Verdana" w:hAnsi="Verdana" w:cs="Arial"/>
          <w:bCs/>
          <w:sz w:val="20"/>
          <w:szCs w:val="20"/>
          <w:lang w:val="pt-BR"/>
        </w:rPr>
        <w:t xml:space="preserve"> </w:t>
      </w:r>
      <w:r w:rsidR="00DB2F5B" w:rsidRPr="0038442F">
        <w:rPr>
          <w:rFonts w:ascii="Verdana" w:hAnsi="Verdana" w:cs="Arial"/>
          <w:bCs/>
          <w:sz w:val="20"/>
          <w:szCs w:val="20"/>
          <w:lang w:val="pt-BR"/>
        </w:rPr>
        <w:t>o</w:t>
      </w:r>
      <w:r w:rsidR="00D45B15" w:rsidRPr="0038442F">
        <w:rPr>
          <w:rFonts w:ascii="Verdana" w:hAnsi="Verdana" w:cs="Arial"/>
          <w:bCs/>
          <w:sz w:val="20"/>
          <w:szCs w:val="20"/>
          <w:lang w:val="pt-BR"/>
        </w:rPr>
        <w:t>u a</w:t>
      </w:r>
      <w:r w:rsidR="00DB2F5B" w:rsidRPr="0038442F">
        <w:rPr>
          <w:rFonts w:ascii="Verdana" w:hAnsi="Verdana" w:cs="Arial"/>
          <w:bCs/>
          <w:sz w:val="20"/>
          <w:szCs w:val="20"/>
          <w:lang w:val="pt-BR"/>
        </w:rPr>
        <w:t xml:space="preserve"> </w:t>
      </w:r>
      <w:r w:rsidR="000E331D" w:rsidRPr="0038442F">
        <w:rPr>
          <w:rFonts w:ascii="Verdana" w:hAnsi="Verdana" w:cs="Arial"/>
          <w:bCs/>
          <w:sz w:val="20"/>
          <w:szCs w:val="20"/>
          <w:lang w:val="pt-BR"/>
        </w:rPr>
        <w:t>inspeção</w:t>
      </w:r>
      <w:r w:rsidR="00407242" w:rsidRPr="0038442F">
        <w:rPr>
          <w:rFonts w:ascii="Verdana" w:hAnsi="Verdana" w:cs="Arial"/>
          <w:bCs/>
          <w:sz w:val="20"/>
          <w:szCs w:val="20"/>
          <w:lang w:val="pt-BR"/>
        </w:rPr>
        <w:t xml:space="preserve"> </w:t>
      </w:r>
      <w:r w:rsidR="00DB2F5B" w:rsidRPr="0038442F">
        <w:rPr>
          <w:rFonts w:ascii="Verdana" w:hAnsi="Verdana" w:cs="Arial"/>
          <w:bCs/>
          <w:sz w:val="20"/>
          <w:szCs w:val="20"/>
          <w:lang w:val="pt-BR"/>
        </w:rPr>
        <w:t>d</w:t>
      </w:r>
      <w:r w:rsidR="00D45B15" w:rsidRPr="0038442F">
        <w:rPr>
          <w:rFonts w:ascii="Verdana" w:hAnsi="Verdana" w:cs="Arial"/>
          <w:bCs/>
          <w:sz w:val="20"/>
          <w:szCs w:val="20"/>
          <w:lang w:val="pt-BR"/>
        </w:rPr>
        <w:t>o cumprimento</w:t>
      </w:r>
      <w:r w:rsidR="00407242" w:rsidRPr="0038442F">
        <w:rPr>
          <w:rFonts w:ascii="Verdana" w:hAnsi="Verdana" w:cs="Arial"/>
          <w:bCs/>
          <w:sz w:val="20"/>
          <w:szCs w:val="20"/>
          <w:lang w:val="pt-BR"/>
        </w:rPr>
        <w:t xml:space="preserve"> </w:t>
      </w:r>
      <w:r w:rsidR="00C92762" w:rsidRPr="0038442F">
        <w:rPr>
          <w:rStyle w:val="sb8d990e2"/>
          <w:rFonts w:ascii="Verdana" w:hAnsi="Verdana" w:cs="Arial"/>
          <w:bCs/>
          <w:sz w:val="20"/>
          <w:szCs w:val="20"/>
          <w:lang w:val="pt-BR"/>
        </w:rPr>
        <w:t xml:space="preserve">das </w:t>
      </w:r>
      <w:r w:rsidR="00DB2F5B" w:rsidRPr="0038442F">
        <w:rPr>
          <w:rStyle w:val="sb8d990e2"/>
          <w:rFonts w:ascii="Verdana" w:hAnsi="Verdana" w:cs="Arial"/>
          <w:bCs/>
          <w:sz w:val="20"/>
          <w:szCs w:val="20"/>
          <w:lang w:val="pt-BR"/>
        </w:rPr>
        <w:t xml:space="preserve">normas sobre </w:t>
      </w:r>
      <w:r w:rsidR="008806F8" w:rsidRPr="0038442F">
        <w:rPr>
          <w:rStyle w:val="sb8d990e2"/>
          <w:rFonts w:ascii="Verdana" w:hAnsi="Verdana" w:cs="Arial"/>
          <w:bCs/>
          <w:sz w:val="20"/>
          <w:szCs w:val="20"/>
          <w:lang w:val="pt-BR"/>
        </w:rPr>
        <w:t>segurança</w:t>
      </w:r>
      <w:r w:rsidR="00407242" w:rsidRPr="0038442F">
        <w:rPr>
          <w:rStyle w:val="sb8d990e2"/>
          <w:rFonts w:ascii="Verdana" w:hAnsi="Verdana" w:cs="Arial"/>
          <w:bCs/>
          <w:sz w:val="20"/>
          <w:szCs w:val="20"/>
          <w:lang w:val="pt-BR"/>
        </w:rPr>
        <w:t xml:space="preserve"> </w:t>
      </w:r>
      <w:r w:rsidR="00D45B15" w:rsidRPr="0038442F">
        <w:rPr>
          <w:rStyle w:val="sb8d990e2"/>
          <w:rFonts w:ascii="Verdana" w:hAnsi="Verdana" w:cs="Arial"/>
          <w:bCs/>
          <w:sz w:val="20"/>
          <w:szCs w:val="20"/>
          <w:lang w:val="pt-BR"/>
        </w:rPr>
        <w:t>e</w:t>
      </w:r>
      <w:r w:rsidR="00DB2F5B" w:rsidRPr="0038442F">
        <w:rPr>
          <w:rStyle w:val="sb8d990e2"/>
          <w:rFonts w:ascii="Verdana" w:hAnsi="Verdana" w:cs="Arial"/>
          <w:bCs/>
          <w:sz w:val="20"/>
          <w:szCs w:val="20"/>
          <w:lang w:val="pt-BR"/>
        </w:rPr>
        <w:t xml:space="preserve"> </w:t>
      </w:r>
      <w:r w:rsidR="00751189" w:rsidRPr="0038442F">
        <w:rPr>
          <w:rStyle w:val="sb8d990e2"/>
          <w:rFonts w:ascii="Verdana" w:hAnsi="Verdana" w:cs="Arial"/>
          <w:bCs/>
          <w:sz w:val="20"/>
          <w:szCs w:val="20"/>
          <w:lang w:val="pt-BR"/>
        </w:rPr>
        <w:t>saúde</w:t>
      </w:r>
      <w:r w:rsidR="00407242" w:rsidRPr="0038442F">
        <w:rPr>
          <w:rStyle w:val="sb8d990e2"/>
          <w:rFonts w:ascii="Verdana" w:hAnsi="Verdana" w:cs="Arial"/>
          <w:bCs/>
          <w:sz w:val="20"/>
          <w:szCs w:val="20"/>
          <w:lang w:val="pt-BR"/>
        </w:rPr>
        <w:t xml:space="preserve"> </w:t>
      </w:r>
      <w:r w:rsidR="00751189" w:rsidRPr="0038442F">
        <w:rPr>
          <w:rStyle w:val="sb8d990e2"/>
          <w:rFonts w:ascii="Verdana" w:hAnsi="Verdana" w:cs="Arial"/>
          <w:bCs/>
          <w:sz w:val="20"/>
          <w:szCs w:val="20"/>
          <w:lang w:val="pt-BR"/>
        </w:rPr>
        <w:t xml:space="preserve">no </w:t>
      </w:r>
      <w:r w:rsidR="00C92762" w:rsidRPr="0038442F">
        <w:rPr>
          <w:rStyle w:val="sb8d990e2"/>
          <w:rFonts w:ascii="Verdana" w:hAnsi="Verdana" w:cs="Arial"/>
          <w:bCs/>
          <w:sz w:val="20"/>
          <w:szCs w:val="20"/>
          <w:lang w:val="pt-BR"/>
        </w:rPr>
        <w:t>trabalho</w:t>
      </w:r>
      <w:r w:rsidR="00C641CF" w:rsidRPr="0038442F">
        <w:rPr>
          <w:rStyle w:val="sb8d990e2"/>
          <w:rFonts w:ascii="Verdana" w:hAnsi="Verdana" w:cs="Arial"/>
          <w:bCs/>
          <w:sz w:val="20"/>
          <w:szCs w:val="20"/>
          <w:lang w:val="pt-BR"/>
        </w:rPr>
        <w:t>,</w:t>
      </w:r>
      <w:r w:rsidR="00407242" w:rsidRPr="0038442F">
        <w:rPr>
          <w:rStyle w:val="sb8d990e2"/>
          <w:rFonts w:ascii="Verdana" w:hAnsi="Verdana" w:cs="Arial"/>
          <w:bCs/>
          <w:sz w:val="20"/>
          <w:szCs w:val="20"/>
          <w:lang w:val="pt-BR"/>
        </w:rPr>
        <w:t xml:space="preserve"> </w:t>
      </w:r>
      <w:r w:rsidR="00DB2F5B" w:rsidRPr="0038442F">
        <w:rPr>
          <w:rStyle w:val="sb8d990e2"/>
          <w:rFonts w:ascii="Verdana" w:hAnsi="Verdana" w:cs="Arial"/>
          <w:bCs/>
          <w:sz w:val="20"/>
          <w:szCs w:val="20"/>
          <w:lang w:val="pt-BR"/>
        </w:rPr>
        <w:t>exigidas p</w:t>
      </w:r>
      <w:r w:rsidR="00D45B15" w:rsidRPr="0038442F">
        <w:rPr>
          <w:rStyle w:val="sb8d990e2"/>
          <w:rFonts w:ascii="Verdana" w:hAnsi="Verdana" w:cs="Arial"/>
          <w:bCs/>
          <w:sz w:val="20"/>
          <w:szCs w:val="20"/>
          <w:lang w:val="pt-BR"/>
        </w:rPr>
        <w:t xml:space="preserve">elo </w:t>
      </w:r>
      <w:r w:rsidR="00CA30C5" w:rsidRPr="0038442F">
        <w:rPr>
          <w:rStyle w:val="sb8d990e2"/>
          <w:rFonts w:ascii="Verdana" w:hAnsi="Verdana" w:cs="Arial"/>
          <w:bCs/>
          <w:sz w:val="20"/>
          <w:szCs w:val="20"/>
          <w:lang w:val="pt-BR"/>
        </w:rPr>
        <w:t>artigo</w:t>
      </w:r>
      <w:r w:rsidR="00407242" w:rsidRPr="0038442F">
        <w:rPr>
          <w:rStyle w:val="sb8d990e2"/>
          <w:rFonts w:ascii="Verdana" w:hAnsi="Verdana" w:cs="Arial"/>
          <w:bCs/>
          <w:sz w:val="20"/>
          <w:szCs w:val="20"/>
          <w:lang w:val="pt-BR"/>
        </w:rPr>
        <w:t xml:space="preserve"> </w:t>
      </w:r>
      <w:r w:rsidR="00DB2F5B" w:rsidRPr="0038442F">
        <w:rPr>
          <w:rStyle w:val="sb8d990e2"/>
          <w:rFonts w:ascii="Verdana" w:hAnsi="Verdana" w:cs="Arial"/>
          <w:bCs/>
          <w:sz w:val="20"/>
          <w:szCs w:val="20"/>
          <w:lang w:val="pt-BR"/>
        </w:rPr>
        <w:t>3</w:t>
      </w:r>
      <w:r w:rsidR="00C641CF" w:rsidRPr="0038442F">
        <w:rPr>
          <w:rStyle w:val="sb8d990e2"/>
          <w:rFonts w:ascii="Verdana" w:hAnsi="Verdana" w:cs="Arial"/>
          <w:bCs/>
          <w:sz w:val="20"/>
          <w:szCs w:val="20"/>
          <w:lang w:val="pt-BR"/>
        </w:rPr>
        <w:t>,</w:t>
      </w:r>
      <w:r w:rsidR="00DB2F5B" w:rsidRPr="0038442F">
        <w:rPr>
          <w:rStyle w:val="sb8d990e2"/>
          <w:rFonts w:ascii="Verdana" w:hAnsi="Verdana" w:cs="Arial"/>
          <w:bCs/>
          <w:sz w:val="20"/>
          <w:szCs w:val="20"/>
          <w:lang w:val="pt-BR"/>
        </w:rPr>
        <w:t xml:space="preserve"> </w:t>
      </w:r>
      <w:r w:rsidR="00D45B15" w:rsidRPr="0038442F">
        <w:rPr>
          <w:rStyle w:val="sb8d990e2"/>
          <w:rFonts w:ascii="Verdana" w:hAnsi="Verdana" w:cs="Arial"/>
          <w:bCs/>
          <w:sz w:val="20"/>
          <w:szCs w:val="20"/>
          <w:lang w:val="pt-BR"/>
        </w:rPr>
        <w:t xml:space="preserve">é </w:t>
      </w:r>
      <w:r w:rsidR="00C92762" w:rsidRPr="0038442F">
        <w:rPr>
          <w:rStyle w:val="sb8d990e2"/>
          <w:rFonts w:ascii="Verdana" w:hAnsi="Verdana" w:cs="Arial"/>
          <w:bCs/>
          <w:sz w:val="20"/>
          <w:szCs w:val="20"/>
          <w:lang w:val="pt-BR"/>
        </w:rPr>
        <w:t>uma</w:t>
      </w:r>
      <w:r w:rsidR="00407242" w:rsidRPr="0038442F">
        <w:rPr>
          <w:rStyle w:val="sb8d990e2"/>
          <w:rFonts w:ascii="Verdana" w:hAnsi="Verdana" w:cs="Arial"/>
          <w:bCs/>
          <w:sz w:val="20"/>
          <w:szCs w:val="20"/>
          <w:lang w:val="pt-BR"/>
        </w:rPr>
        <w:t xml:space="preserve"> </w:t>
      </w:r>
      <w:r w:rsidR="00DB2F5B" w:rsidRPr="0038442F">
        <w:rPr>
          <w:rStyle w:val="s6b621b36"/>
          <w:rFonts w:ascii="Verdana" w:hAnsi="Verdana" w:cs="Arial"/>
          <w:bCs/>
          <w:i/>
          <w:iCs/>
          <w:sz w:val="20"/>
          <w:szCs w:val="20"/>
          <w:lang w:val="pt-BR"/>
        </w:rPr>
        <w:t>condi</w:t>
      </w:r>
      <w:r w:rsidR="000A1AA8" w:rsidRPr="0038442F">
        <w:rPr>
          <w:rStyle w:val="s6b621b36"/>
          <w:rFonts w:ascii="Verdana" w:hAnsi="Verdana" w:cs="Arial"/>
          <w:bCs/>
          <w:i/>
          <w:iCs/>
          <w:sz w:val="20"/>
          <w:szCs w:val="20"/>
          <w:lang w:val="pt-BR"/>
        </w:rPr>
        <w:t>ção</w:t>
      </w:r>
      <w:r w:rsidR="00DB2F5B" w:rsidRPr="0038442F">
        <w:rPr>
          <w:rStyle w:val="s6b621b36"/>
          <w:rFonts w:ascii="Verdana" w:hAnsi="Verdana" w:cs="Arial"/>
          <w:bCs/>
          <w:i/>
          <w:iCs/>
          <w:sz w:val="20"/>
          <w:szCs w:val="20"/>
          <w:lang w:val="pt-BR"/>
        </w:rPr>
        <w:t xml:space="preserve"> sine qua non </w:t>
      </w:r>
      <w:r w:rsidR="00DB2F5B" w:rsidRPr="0038442F">
        <w:rPr>
          <w:rStyle w:val="sb8d990e2"/>
          <w:rFonts w:ascii="Verdana" w:hAnsi="Verdana" w:cs="Arial"/>
          <w:bCs/>
          <w:sz w:val="20"/>
          <w:szCs w:val="20"/>
          <w:lang w:val="pt-BR"/>
        </w:rPr>
        <w:t xml:space="preserve">para a </w:t>
      </w:r>
      <w:r w:rsidR="00BB665E" w:rsidRPr="0038442F">
        <w:rPr>
          <w:rStyle w:val="sb8d990e2"/>
          <w:rFonts w:ascii="Verdana" w:hAnsi="Verdana" w:cs="Arial"/>
          <w:bCs/>
          <w:sz w:val="20"/>
          <w:szCs w:val="20"/>
          <w:lang w:val="pt-BR"/>
        </w:rPr>
        <w:t>efetividade</w:t>
      </w:r>
      <w:r w:rsidR="00407242" w:rsidRPr="0038442F">
        <w:rPr>
          <w:rStyle w:val="sb8d990e2"/>
          <w:rFonts w:ascii="Verdana" w:hAnsi="Verdana" w:cs="Arial"/>
          <w:bCs/>
          <w:sz w:val="20"/>
          <w:szCs w:val="20"/>
          <w:lang w:val="pt-BR"/>
        </w:rPr>
        <w:t xml:space="preserve"> </w:t>
      </w:r>
      <w:r w:rsidR="00DB2F5B" w:rsidRPr="0038442F">
        <w:rPr>
          <w:rStyle w:val="sb8d990e2"/>
          <w:rFonts w:ascii="Verdana" w:hAnsi="Verdana" w:cs="Arial"/>
          <w:bCs/>
          <w:sz w:val="20"/>
          <w:szCs w:val="20"/>
          <w:lang w:val="pt-BR"/>
        </w:rPr>
        <w:t>d</w:t>
      </w:r>
      <w:r w:rsidR="00D45B15" w:rsidRPr="0038442F">
        <w:rPr>
          <w:rStyle w:val="sb8d990e2"/>
          <w:rFonts w:ascii="Verdana" w:hAnsi="Verdana" w:cs="Arial"/>
          <w:bCs/>
          <w:sz w:val="20"/>
          <w:szCs w:val="20"/>
          <w:lang w:val="pt-BR"/>
        </w:rPr>
        <w:t xml:space="preserve">o </w:t>
      </w:r>
      <w:r w:rsidR="00CA30C5" w:rsidRPr="0038442F">
        <w:rPr>
          <w:rStyle w:val="sb8d990e2"/>
          <w:rFonts w:ascii="Verdana" w:hAnsi="Verdana" w:cs="Arial"/>
          <w:bCs/>
          <w:sz w:val="20"/>
          <w:szCs w:val="20"/>
          <w:lang w:val="pt-BR"/>
        </w:rPr>
        <w:t>direito</w:t>
      </w:r>
      <w:r w:rsidR="00407242" w:rsidRPr="0038442F">
        <w:rPr>
          <w:rStyle w:val="sb8d990e2"/>
          <w:rFonts w:ascii="Verdana" w:hAnsi="Verdana" w:cs="Arial"/>
          <w:bCs/>
          <w:sz w:val="20"/>
          <w:szCs w:val="20"/>
          <w:lang w:val="pt-BR"/>
        </w:rPr>
        <w:t xml:space="preserve"> </w:t>
      </w:r>
      <w:r w:rsidR="00D45B15" w:rsidRPr="0038442F">
        <w:rPr>
          <w:rStyle w:val="sb8d990e2"/>
          <w:rFonts w:ascii="Verdana" w:hAnsi="Verdana" w:cs="Arial"/>
          <w:bCs/>
          <w:sz w:val="20"/>
          <w:szCs w:val="20"/>
          <w:lang w:val="pt-BR"/>
        </w:rPr>
        <w:t>garantido</w:t>
      </w:r>
      <w:r w:rsidR="00407242" w:rsidRPr="0038442F">
        <w:rPr>
          <w:rStyle w:val="sb8d990e2"/>
          <w:rFonts w:ascii="Verdana" w:hAnsi="Verdana" w:cs="Arial"/>
          <w:bCs/>
          <w:sz w:val="20"/>
          <w:szCs w:val="20"/>
          <w:lang w:val="pt-BR"/>
        </w:rPr>
        <w:t xml:space="preserve"> </w:t>
      </w:r>
      <w:r w:rsidR="00D45B15" w:rsidRPr="0038442F">
        <w:rPr>
          <w:rStyle w:val="sb8d990e2"/>
          <w:rFonts w:ascii="Verdana" w:hAnsi="Verdana" w:cs="Arial"/>
          <w:bCs/>
          <w:sz w:val="20"/>
          <w:szCs w:val="20"/>
          <w:lang w:val="pt-BR"/>
        </w:rPr>
        <w:t xml:space="preserve">pelo </w:t>
      </w:r>
      <w:r w:rsidR="00DB2F5B" w:rsidRPr="0038442F">
        <w:rPr>
          <w:rStyle w:val="sb8d990e2"/>
          <w:rFonts w:ascii="Verdana" w:hAnsi="Verdana" w:cs="Arial"/>
          <w:bCs/>
          <w:sz w:val="20"/>
          <w:szCs w:val="20"/>
          <w:lang w:val="pt-BR"/>
        </w:rPr>
        <w:t xml:space="preserve">referido </w:t>
      </w:r>
      <w:r w:rsidR="00CA30C5" w:rsidRPr="0038442F">
        <w:rPr>
          <w:rStyle w:val="sb8d990e2"/>
          <w:rFonts w:ascii="Verdana" w:hAnsi="Verdana" w:cs="Arial"/>
          <w:bCs/>
          <w:sz w:val="20"/>
          <w:szCs w:val="20"/>
          <w:lang w:val="pt-BR"/>
        </w:rPr>
        <w:t>artigo</w:t>
      </w:r>
      <w:r w:rsidR="00E82EEE" w:rsidRPr="0038442F">
        <w:rPr>
          <w:rStyle w:val="sb8d990e2"/>
          <w:rFonts w:ascii="Verdana" w:hAnsi="Verdana" w:cs="Arial"/>
          <w:bCs/>
          <w:sz w:val="20"/>
          <w:szCs w:val="20"/>
          <w:lang w:val="pt-BR"/>
        </w:rPr>
        <w:t>”</w:t>
      </w:r>
      <w:r w:rsidR="00D45B15" w:rsidRPr="0038442F">
        <w:rPr>
          <w:rStyle w:val="sb8d990e2"/>
          <w:rFonts w:ascii="Verdana" w:hAnsi="Verdana" w:cs="Arial"/>
          <w:bCs/>
          <w:sz w:val="20"/>
          <w:szCs w:val="20"/>
          <w:lang w:val="pt-BR"/>
        </w:rPr>
        <w:t>.</w:t>
      </w:r>
      <w:r w:rsidR="00DB2F5B" w:rsidRPr="0038442F">
        <w:rPr>
          <w:rStyle w:val="Refdenotaalpie"/>
          <w:rFonts w:ascii="Verdana" w:hAnsi="Verdana" w:cs="Arial"/>
          <w:bCs/>
          <w:sz w:val="20"/>
          <w:szCs w:val="20"/>
          <w:lang w:val="pt-BR"/>
        </w:rPr>
        <w:footnoteReference w:id="62"/>
      </w:r>
      <w:r w:rsidR="00DB2F5B" w:rsidRPr="0038442F">
        <w:rPr>
          <w:rStyle w:val="sb8d990e2"/>
          <w:rFonts w:ascii="Verdana" w:hAnsi="Verdana" w:cs="Arial"/>
          <w:bCs/>
          <w:sz w:val="20"/>
          <w:szCs w:val="20"/>
          <w:lang w:val="pt-BR"/>
        </w:rPr>
        <w:t xml:space="preserve"> </w:t>
      </w:r>
    </w:p>
    <w:p w14:paraId="6C4013C6" w14:textId="77777777" w:rsidR="00DE2142" w:rsidRPr="0038442F" w:rsidRDefault="00DE2142" w:rsidP="00A857CB">
      <w:pPr>
        <w:pStyle w:val="Prrafodelista"/>
        <w:spacing w:line="240" w:lineRule="auto"/>
        <w:jc w:val="both"/>
        <w:rPr>
          <w:rStyle w:val="sb8d990e2"/>
          <w:rFonts w:ascii="Verdana" w:hAnsi="Verdana"/>
          <w:bCs/>
          <w:sz w:val="20"/>
          <w:szCs w:val="20"/>
          <w:lang w:val="pt-BR"/>
        </w:rPr>
      </w:pPr>
    </w:p>
    <w:p w14:paraId="71438112" w14:textId="5D5AC9E0" w:rsidR="000B6B6D" w:rsidRPr="0038442F" w:rsidRDefault="00685AC6" w:rsidP="00685AC6">
      <w:pPr>
        <w:pStyle w:val="Prrafodelista"/>
        <w:spacing w:line="240" w:lineRule="auto"/>
        <w:ind w:left="0"/>
        <w:jc w:val="both"/>
        <w:rPr>
          <w:rFonts w:ascii="Verdana" w:hAnsi="Verdana"/>
          <w:sz w:val="20"/>
          <w:szCs w:val="20"/>
          <w:lang w:val="pt-BR"/>
        </w:rPr>
      </w:pPr>
      <w:r w:rsidRPr="0038442F">
        <w:rPr>
          <w:rStyle w:val="sb8d990e2"/>
          <w:rFonts w:ascii="Verdana" w:hAnsi="Verdana"/>
          <w:bCs/>
          <w:sz w:val="20"/>
          <w:szCs w:val="20"/>
          <w:lang w:val="pt-BR"/>
        </w:rPr>
        <w:t xml:space="preserve">40. </w:t>
      </w:r>
      <w:r w:rsidRPr="0038442F">
        <w:rPr>
          <w:rStyle w:val="sb8d990e2"/>
          <w:rFonts w:ascii="Verdana" w:hAnsi="Verdana"/>
          <w:bCs/>
          <w:sz w:val="20"/>
          <w:szCs w:val="20"/>
          <w:lang w:val="pt-BR"/>
        </w:rPr>
        <w:tab/>
      </w:r>
      <w:r w:rsidR="00D45B15" w:rsidRPr="0038442F">
        <w:rPr>
          <w:rStyle w:val="sb8d990e2"/>
          <w:rFonts w:ascii="Verdana" w:hAnsi="Verdana"/>
          <w:bCs/>
          <w:sz w:val="20"/>
          <w:szCs w:val="20"/>
          <w:lang w:val="pt-BR"/>
        </w:rPr>
        <w:t>Em correlação com o acima exposto</w:t>
      </w:r>
      <w:r w:rsidR="000117AD" w:rsidRPr="0038442F">
        <w:rPr>
          <w:rStyle w:val="sb8d990e2"/>
          <w:rFonts w:ascii="Verdana" w:hAnsi="Verdana"/>
          <w:bCs/>
          <w:sz w:val="20"/>
          <w:szCs w:val="20"/>
          <w:lang w:val="pt-BR"/>
        </w:rPr>
        <w:t xml:space="preserve">, </w:t>
      </w:r>
      <w:r w:rsidR="00D45B15" w:rsidRPr="0038442F">
        <w:rPr>
          <w:rStyle w:val="sb8d990e2"/>
          <w:rFonts w:ascii="Verdana" w:hAnsi="Verdana"/>
          <w:bCs/>
          <w:sz w:val="20"/>
          <w:szCs w:val="20"/>
          <w:lang w:val="pt-BR"/>
        </w:rPr>
        <w:t xml:space="preserve">o </w:t>
      </w:r>
      <w:r w:rsidR="00360928" w:rsidRPr="0038442F">
        <w:rPr>
          <w:rStyle w:val="sb8d990e2"/>
          <w:rFonts w:ascii="Verdana" w:hAnsi="Verdana"/>
          <w:bCs/>
          <w:sz w:val="20"/>
          <w:szCs w:val="20"/>
          <w:lang w:val="pt-BR"/>
        </w:rPr>
        <w:t xml:space="preserve">Comitê </w:t>
      </w:r>
      <w:r w:rsidR="000B6B6D" w:rsidRPr="0038442F">
        <w:rPr>
          <w:rStyle w:val="sb8d990e2"/>
          <w:rFonts w:ascii="Verdana" w:hAnsi="Verdana"/>
          <w:bCs/>
          <w:sz w:val="20"/>
          <w:szCs w:val="20"/>
          <w:lang w:val="pt-BR"/>
        </w:rPr>
        <w:t>DESC</w:t>
      </w:r>
      <w:r w:rsidR="00D45B15" w:rsidRPr="0038442F">
        <w:rPr>
          <w:rStyle w:val="sb8d990e2"/>
          <w:rFonts w:ascii="Verdana" w:hAnsi="Verdana"/>
          <w:bCs/>
          <w:sz w:val="20"/>
          <w:szCs w:val="20"/>
          <w:lang w:val="pt-BR"/>
        </w:rPr>
        <w:t xml:space="preserve">, na </w:t>
      </w:r>
      <w:r w:rsidR="000B6B6D" w:rsidRPr="0038442F">
        <w:rPr>
          <w:rStyle w:val="sb8d990e2"/>
          <w:rFonts w:ascii="Verdana" w:hAnsi="Verdana"/>
          <w:bCs/>
          <w:sz w:val="20"/>
          <w:szCs w:val="20"/>
          <w:lang w:val="pt-BR"/>
        </w:rPr>
        <w:t>Observa</w:t>
      </w:r>
      <w:r w:rsidR="000A1AA8" w:rsidRPr="0038442F">
        <w:rPr>
          <w:rStyle w:val="sb8d990e2"/>
          <w:rFonts w:ascii="Verdana" w:hAnsi="Verdana"/>
          <w:bCs/>
          <w:sz w:val="20"/>
          <w:szCs w:val="20"/>
          <w:lang w:val="pt-BR"/>
        </w:rPr>
        <w:t>ção</w:t>
      </w:r>
      <w:r w:rsidR="000B6B6D" w:rsidRPr="0038442F">
        <w:rPr>
          <w:rStyle w:val="sb8d990e2"/>
          <w:rFonts w:ascii="Verdana" w:hAnsi="Verdana"/>
          <w:bCs/>
          <w:sz w:val="20"/>
          <w:szCs w:val="20"/>
          <w:lang w:val="pt-BR"/>
        </w:rPr>
        <w:t xml:space="preserve"> Geral N</w:t>
      </w:r>
      <w:r w:rsidR="000B6B6D" w:rsidRPr="0038442F">
        <w:rPr>
          <w:rStyle w:val="sb8d990e2"/>
          <w:rFonts w:ascii="Verdana" w:hAnsi="Verdana"/>
          <w:bCs/>
          <w:sz w:val="20"/>
          <w:szCs w:val="20"/>
          <w:vertAlign w:val="superscript"/>
          <w:lang w:val="pt-BR"/>
        </w:rPr>
        <w:t>o.</w:t>
      </w:r>
      <w:r w:rsidR="000B6B6D" w:rsidRPr="0038442F">
        <w:rPr>
          <w:rStyle w:val="sb8d990e2"/>
          <w:rFonts w:ascii="Verdana" w:hAnsi="Verdana"/>
          <w:bCs/>
          <w:sz w:val="20"/>
          <w:szCs w:val="20"/>
          <w:lang w:val="pt-BR"/>
        </w:rPr>
        <w:t xml:space="preserve"> 23</w:t>
      </w:r>
      <w:r w:rsidR="00D45B15" w:rsidRPr="0038442F">
        <w:rPr>
          <w:rStyle w:val="sb8d990e2"/>
          <w:rFonts w:ascii="Verdana" w:hAnsi="Verdana"/>
          <w:bCs/>
          <w:sz w:val="20"/>
          <w:szCs w:val="20"/>
          <w:lang w:val="pt-BR"/>
        </w:rPr>
        <w:t>,</w:t>
      </w:r>
      <w:r w:rsidR="006D574F" w:rsidRPr="0038442F">
        <w:rPr>
          <w:rStyle w:val="sb8d990e2"/>
          <w:rFonts w:ascii="Verdana" w:hAnsi="Verdana"/>
          <w:bCs/>
          <w:sz w:val="20"/>
          <w:szCs w:val="20"/>
          <w:lang w:val="pt-BR"/>
        </w:rPr>
        <w:t xml:space="preserve"> </w:t>
      </w:r>
      <w:r w:rsidR="00D45B15" w:rsidRPr="0038442F">
        <w:rPr>
          <w:rStyle w:val="sb8d990e2"/>
          <w:rFonts w:ascii="Verdana" w:hAnsi="Verdana"/>
          <w:bCs/>
          <w:sz w:val="20"/>
          <w:szCs w:val="20"/>
          <w:lang w:val="pt-BR"/>
        </w:rPr>
        <w:t xml:space="preserve">considerou que, </w:t>
      </w:r>
      <w:r w:rsidR="000138C4" w:rsidRPr="0038442F">
        <w:rPr>
          <w:rStyle w:val="sb8d990e2"/>
          <w:rFonts w:ascii="Verdana" w:hAnsi="Verdana"/>
          <w:bCs/>
          <w:sz w:val="20"/>
          <w:szCs w:val="20"/>
          <w:lang w:val="pt-BR"/>
        </w:rPr>
        <w:t xml:space="preserve">por </w:t>
      </w:r>
      <w:r w:rsidR="00D45B15" w:rsidRPr="0038442F">
        <w:rPr>
          <w:rStyle w:val="sb8d990e2"/>
          <w:rFonts w:ascii="Verdana" w:hAnsi="Verdana"/>
          <w:bCs/>
          <w:sz w:val="20"/>
          <w:szCs w:val="20"/>
          <w:lang w:val="pt-BR"/>
        </w:rPr>
        <w:t>exemplo</w:t>
      </w:r>
      <w:r w:rsidR="000138C4" w:rsidRPr="0038442F">
        <w:rPr>
          <w:rStyle w:val="sb8d990e2"/>
          <w:rFonts w:ascii="Verdana" w:hAnsi="Verdana"/>
          <w:bCs/>
          <w:sz w:val="20"/>
          <w:szCs w:val="20"/>
          <w:lang w:val="pt-BR"/>
        </w:rPr>
        <w:t xml:space="preserve">, </w:t>
      </w:r>
      <w:r w:rsidR="00751189" w:rsidRPr="0038442F">
        <w:rPr>
          <w:rFonts w:ascii="Verdana" w:hAnsi="Verdana"/>
          <w:sz w:val="20"/>
          <w:szCs w:val="20"/>
          <w:lang w:val="pt-BR"/>
        </w:rPr>
        <w:t xml:space="preserve">no </w:t>
      </w:r>
      <w:r w:rsidR="00D45B15" w:rsidRPr="0038442F">
        <w:rPr>
          <w:rFonts w:ascii="Verdana" w:hAnsi="Verdana"/>
          <w:sz w:val="20"/>
          <w:szCs w:val="20"/>
          <w:lang w:val="pt-BR"/>
        </w:rPr>
        <w:t xml:space="preserve">âmbito </w:t>
      </w:r>
      <w:r w:rsidR="00C92762" w:rsidRPr="0038442F">
        <w:rPr>
          <w:rFonts w:ascii="Verdana" w:hAnsi="Verdana"/>
          <w:sz w:val="20"/>
          <w:szCs w:val="20"/>
          <w:lang w:val="pt-BR"/>
        </w:rPr>
        <w:t>da obrigação</w:t>
      </w:r>
      <w:r w:rsidR="00407242" w:rsidRPr="0038442F">
        <w:rPr>
          <w:rFonts w:ascii="Verdana" w:hAnsi="Verdana"/>
          <w:sz w:val="20"/>
          <w:szCs w:val="20"/>
          <w:lang w:val="pt-BR"/>
        </w:rPr>
        <w:t xml:space="preserve"> </w:t>
      </w:r>
      <w:r w:rsidR="000138C4" w:rsidRPr="0038442F">
        <w:rPr>
          <w:rFonts w:ascii="Verdana" w:hAnsi="Verdana"/>
          <w:sz w:val="20"/>
          <w:szCs w:val="20"/>
          <w:lang w:val="pt-BR"/>
        </w:rPr>
        <w:t>de proteger “[</w:t>
      </w:r>
      <w:r w:rsidR="00602FF9" w:rsidRPr="0038442F">
        <w:rPr>
          <w:rFonts w:ascii="Verdana" w:hAnsi="Verdana"/>
          <w:sz w:val="20"/>
          <w:szCs w:val="20"/>
          <w:lang w:val="pt-BR"/>
        </w:rPr>
        <w:t>o</w:t>
      </w:r>
      <w:r w:rsidR="000138C4" w:rsidRPr="0038442F">
        <w:rPr>
          <w:rFonts w:ascii="Verdana" w:hAnsi="Verdana"/>
          <w:sz w:val="20"/>
          <w:szCs w:val="20"/>
          <w:lang w:val="pt-BR"/>
        </w:rPr>
        <w:t>]</w:t>
      </w:r>
      <w:r w:rsidR="000B6B6D" w:rsidRPr="0038442F">
        <w:rPr>
          <w:rFonts w:ascii="Verdana" w:hAnsi="Verdana"/>
          <w:sz w:val="20"/>
          <w:szCs w:val="20"/>
          <w:lang w:val="pt-BR"/>
        </w:rPr>
        <w:t xml:space="preserve">s Estados </w:t>
      </w:r>
      <w:r w:rsidR="00602FF9" w:rsidRPr="0038442F">
        <w:rPr>
          <w:rFonts w:ascii="Verdana" w:hAnsi="Verdana"/>
          <w:sz w:val="20"/>
          <w:szCs w:val="20"/>
          <w:lang w:val="pt-BR"/>
        </w:rPr>
        <w:t>P</w:t>
      </w:r>
      <w:r w:rsidR="000B6B6D" w:rsidRPr="0038442F">
        <w:rPr>
          <w:rFonts w:ascii="Verdana" w:hAnsi="Verdana"/>
          <w:sz w:val="20"/>
          <w:szCs w:val="20"/>
          <w:lang w:val="pt-BR"/>
        </w:rPr>
        <w:t xml:space="preserve">artes </w:t>
      </w:r>
      <w:r w:rsidR="00602FF9" w:rsidRPr="0038442F">
        <w:rPr>
          <w:rFonts w:ascii="Verdana" w:hAnsi="Verdana"/>
          <w:sz w:val="20"/>
          <w:szCs w:val="20"/>
          <w:lang w:val="pt-BR"/>
        </w:rPr>
        <w:t xml:space="preserve">deveriam zelar </w:t>
      </w:r>
      <w:r w:rsidR="000B6B6D" w:rsidRPr="0038442F">
        <w:rPr>
          <w:rFonts w:ascii="Verdana" w:hAnsi="Verdana"/>
          <w:sz w:val="20"/>
          <w:szCs w:val="20"/>
          <w:lang w:val="pt-BR"/>
        </w:rPr>
        <w:t xml:space="preserve">por que os mandatos </w:t>
      </w:r>
      <w:r w:rsidR="00C92762" w:rsidRPr="0038442F">
        <w:rPr>
          <w:rFonts w:ascii="Verdana" w:hAnsi="Verdana"/>
          <w:sz w:val="20"/>
          <w:szCs w:val="20"/>
          <w:lang w:val="pt-BR"/>
        </w:rPr>
        <w:t xml:space="preserve">das </w:t>
      </w:r>
      <w:r w:rsidR="00602FF9" w:rsidRPr="0038442F">
        <w:rPr>
          <w:rFonts w:ascii="Verdana" w:hAnsi="Verdana"/>
          <w:sz w:val="20"/>
          <w:szCs w:val="20"/>
          <w:lang w:val="pt-BR"/>
        </w:rPr>
        <w:t>inspeções</w:t>
      </w:r>
      <w:r w:rsidR="00407242" w:rsidRPr="0038442F">
        <w:rPr>
          <w:rFonts w:ascii="Verdana" w:hAnsi="Verdana"/>
          <w:sz w:val="20"/>
          <w:szCs w:val="20"/>
          <w:lang w:val="pt-BR"/>
        </w:rPr>
        <w:t xml:space="preserve"> </w:t>
      </w:r>
      <w:r w:rsidR="000B6B6D" w:rsidRPr="0038442F">
        <w:rPr>
          <w:rFonts w:ascii="Verdana" w:hAnsi="Verdana"/>
          <w:sz w:val="20"/>
          <w:szCs w:val="20"/>
          <w:lang w:val="pt-BR"/>
        </w:rPr>
        <w:t xml:space="preserve">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0138C4" w:rsidRPr="0038442F">
        <w:rPr>
          <w:rFonts w:ascii="Verdana" w:hAnsi="Verdana"/>
          <w:sz w:val="20"/>
          <w:szCs w:val="20"/>
          <w:lang w:val="pt-BR"/>
        </w:rPr>
        <w:t>[…]</w:t>
      </w:r>
      <w:r w:rsidR="000B6B6D" w:rsidRPr="0038442F">
        <w:rPr>
          <w:rFonts w:ascii="Verdana" w:hAnsi="Verdana"/>
          <w:sz w:val="20"/>
          <w:szCs w:val="20"/>
          <w:lang w:val="pt-BR"/>
        </w:rPr>
        <w:t xml:space="preserve"> inclu</w:t>
      </w:r>
      <w:r w:rsidR="00602FF9" w:rsidRPr="0038442F">
        <w:rPr>
          <w:rFonts w:ascii="Verdana" w:hAnsi="Verdana"/>
          <w:sz w:val="20"/>
          <w:szCs w:val="20"/>
          <w:lang w:val="pt-BR"/>
        </w:rPr>
        <w:t xml:space="preserve">am as </w:t>
      </w:r>
      <w:r w:rsidR="000B6B6D" w:rsidRPr="0038442F">
        <w:rPr>
          <w:rFonts w:ascii="Verdana" w:hAnsi="Verdana"/>
          <w:sz w:val="20"/>
          <w:szCs w:val="20"/>
          <w:lang w:val="pt-BR"/>
        </w:rPr>
        <w:t>condi</w:t>
      </w:r>
      <w:r w:rsidR="000A1AA8" w:rsidRPr="0038442F">
        <w:rPr>
          <w:rFonts w:ascii="Verdana" w:hAnsi="Verdana"/>
          <w:sz w:val="20"/>
          <w:szCs w:val="20"/>
          <w:lang w:val="pt-BR"/>
        </w:rPr>
        <w:t>ções</w:t>
      </w:r>
      <w:r w:rsidR="000B6B6D" w:rsidRPr="0038442F">
        <w:rPr>
          <w:rFonts w:ascii="Verdana" w:hAnsi="Verdana"/>
          <w:sz w:val="20"/>
          <w:szCs w:val="20"/>
          <w:lang w:val="pt-BR"/>
        </w:rPr>
        <w:t xml:space="preserve"> 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602FF9" w:rsidRPr="0038442F">
        <w:rPr>
          <w:rFonts w:ascii="Verdana" w:hAnsi="Verdana"/>
          <w:sz w:val="20"/>
          <w:szCs w:val="20"/>
          <w:lang w:val="pt-BR"/>
        </w:rPr>
        <w:t>setor</w:t>
      </w:r>
      <w:r w:rsidR="00407242" w:rsidRPr="0038442F">
        <w:rPr>
          <w:rFonts w:ascii="Verdana" w:hAnsi="Verdana"/>
          <w:sz w:val="20"/>
          <w:szCs w:val="20"/>
          <w:lang w:val="pt-BR"/>
        </w:rPr>
        <w:t xml:space="preserve"> </w:t>
      </w:r>
      <w:r w:rsidR="000B6B6D" w:rsidRPr="0038442F">
        <w:rPr>
          <w:rFonts w:ascii="Verdana" w:hAnsi="Verdana"/>
          <w:sz w:val="20"/>
          <w:szCs w:val="20"/>
          <w:lang w:val="pt-BR"/>
        </w:rPr>
        <w:t xml:space="preserve">privado </w:t>
      </w:r>
      <w:r w:rsidR="00602FF9" w:rsidRPr="0038442F">
        <w:rPr>
          <w:rFonts w:ascii="Verdana" w:hAnsi="Verdana"/>
          <w:sz w:val="20"/>
          <w:szCs w:val="20"/>
          <w:lang w:val="pt-BR"/>
        </w:rPr>
        <w:t>e</w:t>
      </w:r>
      <w:r w:rsidR="000B6B6D" w:rsidRPr="0038442F">
        <w:rPr>
          <w:rFonts w:ascii="Verdana" w:hAnsi="Verdana"/>
          <w:sz w:val="20"/>
          <w:szCs w:val="20"/>
          <w:lang w:val="pt-BR"/>
        </w:rPr>
        <w:t xml:space="preserve"> </w:t>
      </w:r>
      <w:r w:rsidR="00602FF9" w:rsidRPr="0038442F">
        <w:rPr>
          <w:rFonts w:ascii="Verdana" w:hAnsi="Verdana"/>
          <w:sz w:val="20"/>
          <w:szCs w:val="20"/>
          <w:lang w:val="pt-BR"/>
        </w:rPr>
        <w:t xml:space="preserve">proporcionem </w:t>
      </w:r>
      <w:r w:rsidR="000B6B6D" w:rsidRPr="0038442F">
        <w:rPr>
          <w:rFonts w:ascii="Verdana" w:hAnsi="Verdana"/>
          <w:sz w:val="20"/>
          <w:szCs w:val="20"/>
          <w:lang w:val="pt-BR"/>
        </w:rPr>
        <w:t>orienta</w:t>
      </w:r>
      <w:r w:rsidR="000A1AA8" w:rsidRPr="0038442F">
        <w:rPr>
          <w:rFonts w:ascii="Verdana" w:hAnsi="Verdana"/>
          <w:sz w:val="20"/>
          <w:szCs w:val="20"/>
          <w:lang w:val="pt-BR"/>
        </w:rPr>
        <w:t>ção</w:t>
      </w:r>
      <w:r w:rsidR="000B6B6D" w:rsidRPr="0038442F">
        <w:rPr>
          <w:rFonts w:ascii="Verdana" w:hAnsi="Verdana"/>
          <w:sz w:val="20"/>
          <w:szCs w:val="20"/>
          <w:lang w:val="pt-BR"/>
        </w:rPr>
        <w:t xml:space="preserve"> aos </w:t>
      </w:r>
      <w:r w:rsidR="00602FF9" w:rsidRPr="0038442F">
        <w:rPr>
          <w:rFonts w:ascii="Verdana" w:hAnsi="Verdana"/>
          <w:sz w:val="20"/>
          <w:szCs w:val="20"/>
          <w:lang w:val="pt-BR"/>
        </w:rPr>
        <w:t>empregadores</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e às </w:t>
      </w:r>
      <w:r w:rsidR="000B6B6D" w:rsidRPr="0038442F">
        <w:rPr>
          <w:rFonts w:ascii="Verdana" w:hAnsi="Verdana"/>
          <w:sz w:val="20"/>
          <w:szCs w:val="20"/>
          <w:lang w:val="pt-BR"/>
        </w:rPr>
        <w:t>empresas</w:t>
      </w:r>
      <w:r w:rsidR="000138C4" w:rsidRPr="0038442F">
        <w:rPr>
          <w:rFonts w:ascii="Verdana" w:hAnsi="Verdana"/>
          <w:sz w:val="20"/>
          <w:szCs w:val="20"/>
          <w:lang w:val="pt-BR"/>
        </w:rPr>
        <w:t>”</w:t>
      </w:r>
      <w:r w:rsidR="00602FF9" w:rsidRPr="0038442F">
        <w:rPr>
          <w:rFonts w:ascii="Verdana" w:hAnsi="Verdana"/>
          <w:sz w:val="20"/>
          <w:szCs w:val="20"/>
          <w:lang w:val="pt-BR"/>
        </w:rPr>
        <w:t>.</w:t>
      </w:r>
      <w:r w:rsidR="000138C4" w:rsidRPr="0038442F">
        <w:rPr>
          <w:rStyle w:val="Refdenotaalpie"/>
          <w:rFonts w:ascii="Verdana" w:hAnsi="Verdana"/>
          <w:sz w:val="20"/>
          <w:szCs w:val="20"/>
          <w:lang w:val="pt-BR"/>
        </w:rPr>
        <w:footnoteReference w:id="63"/>
      </w:r>
      <w:r w:rsidR="000B6B6D" w:rsidRPr="0038442F">
        <w:rPr>
          <w:rFonts w:ascii="Verdana" w:hAnsi="Verdana"/>
          <w:sz w:val="20"/>
          <w:szCs w:val="20"/>
          <w:lang w:val="pt-BR"/>
        </w:rPr>
        <w:t xml:space="preserve"> </w:t>
      </w:r>
    </w:p>
    <w:p w14:paraId="45BB9057" w14:textId="77777777" w:rsidR="000138C4" w:rsidRPr="0038442F" w:rsidRDefault="000138C4" w:rsidP="00A857CB">
      <w:pPr>
        <w:pStyle w:val="Prrafodelista"/>
        <w:spacing w:line="240" w:lineRule="auto"/>
        <w:rPr>
          <w:rFonts w:ascii="Verdana" w:hAnsi="Verdana"/>
          <w:sz w:val="20"/>
          <w:szCs w:val="20"/>
          <w:lang w:val="pt-BR"/>
        </w:rPr>
      </w:pPr>
    </w:p>
    <w:p w14:paraId="479D3CBC" w14:textId="55E53121" w:rsidR="000138C4" w:rsidRPr="0038442F" w:rsidRDefault="00685AC6" w:rsidP="00685AC6">
      <w:pPr>
        <w:pStyle w:val="Prrafodelista"/>
        <w:spacing w:line="240" w:lineRule="auto"/>
        <w:ind w:left="0"/>
        <w:jc w:val="both"/>
        <w:rPr>
          <w:rFonts w:ascii="Verdana" w:hAnsi="Verdana"/>
          <w:sz w:val="20"/>
          <w:szCs w:val="20"/>
          <w:lang w:val="pt-BR"/>
        </w:rPr>
      </w:pPr>
      <w:r w:rsidRPr="0038442F">
        <w:rPr>
          <w:rFonts w:ascii="Verdana" w:hAnsi="Verdana"/>
          <w:sz w:val="20"/>
          <w:szCs w:val="20"/>
          <w:lang w:val="pt-BR"/>
        </w:rPr>
        <w:t xml:space="preserve">41. </w:t>
      </w:r>
      <w:r w:rsidRPr="0038442F">
        <w:rPr>
          <w:rFonts w:ascii="Verdana" w:hAnsi="Verdana"/>
          <w:sz w:val="20"/>
          <w:szCs w:val="20"/>
          <w:lang w:val="pt-BR"/>
        </w:rPr>
        <w:tab/>
      </w:r>
      <w:r w:rsidR="00602FF9" w:rsidRPr="0038442F">
        <w:rPr>
          <w:rFonts w:ascii="Verdana" w:hAnsi="Verdana"/>
          <w:sz w:val="20"/>
          <w:szCs w:val="20"/>
          <w:lang w:val="pt-BR"/>
        </w:rPr>
        <w:t xml:space="preserve">O acima exposto </w:t>
      </w:r>
      <w:r w:rsidR="000138C4" w:rsidRPr="0038442F">
        <w:rPr>
          <w:rFonts w:ascii="Verdana" w:hAnsi="Verdana"/>
          <w:sz w:val="20"/>
          <w:szCs w:val="20"/>
          <w:lang w:val="pt-BR"/>
        </w:rPr>
        <w:t xml:space="preserve">se complementa </w:t>
      </w:r>
      <w:r w:rsidR="00602FF9" w:rsidRPr="0038442F">
        <w:rPr>
          <w:rFonts w:ascii="Verdana" w:hAnsi="Verdana"/>
          <w:sz w:val="20"/>
          <w:szCs w:val="20"/>
          <w:lang w:val="pt-BR"/>
        </w:rPr>
        <w:t>com o estabelecido</w:t>
      </w:r>
      <w:r w:rsidR="00407242" w:rsidRPr="0038442F">
        <w:rPr>
          <w:rFonts w:ascii="Verdana" w:hAnsi="Verdana"/>
          <w:sz w:val="20"/>
          <w:szCs w:val="20"/>
          <w:lang w:val="pt-BR"/>
        </w:rPr>
        <w:t xml:space="preserve"> </w:t>
      </w:r>
      <w:r w:rsidR="00C4721F" w:rsidRPr="0038442F">
        <w:rPr>
          <w:rFonts w:ascii="Verdana" w:hAnsi="Verdana"/>
          <w:sz w:val="20"/>
          <w:szCs w:val="20"/>
          <w:lang w:val="pt-BR"/>
        </w:rPr>
        <w:t>n</w:t>
      </w:r>
      <w:r w:rsidR="00602FF9" w:rsidRPr="0038442F">
        <w:rPr>
          <w:rFonts w:ascii="Verdana" w:hAnsi="Verdana"/>
          <w:sz w:val="20"/>
          <w:szCs w:val="20"/>
          <w:lang w:val="pt-BR"/>
        </w:rPr>
        <w:t>a Convenção N</w:t>
      </w:r>
      <w:r w:rsidR="00602FF9" w:rsidRPr="0038442F">
        <w:rPr>
          <w:rFonts w:ascii="Verdana" w:hAnsi="Verdana"/>
          <w:sz w:val="20"/>
          <w:szCs w:val="20"/>
          <w:vertAlign w:val="superscript"/>
          <w:lang w:val="pt-BR"/>
        </w:rPr>
        <w:t>o</w:t>
      </w:r>
      <w:r w:rsidR="00602FF9" w:rsidRPr="0038442F">
        <w:rPr>
          <w:rFonts w:ascii="Verdana" w:hAnsi="Verdana"/>
          <w:sz w:val="20"/>
          <w:szCs w:val="20"/>
          <w:lang w:val="pt-BR"/>
        </w:rPr>
        <w:t xml:space="preserve"> 81 da OIT, de </w:t>
      </w:r>
      <w:r w:rsidR="000138C4" w:rsidRPr="0038442F">
        <w:rPr>
          <w:rFonts w:ascii="Verdana" w:hAnsi="Verdana"/>
          <w:sz w:val="20"/>
          <w:szCs w:val="20"/>
          <w:lang w:val="pt-BR"/>
        </w:rPr>
        <w:t>1947</w:t>
      </w:r>
      <w:r w:rsidR="00602FF9" w:rsidRPr="0038442F">
        <w:rPr>
          <w:rFonts w:ascii="Verdana" w:hAnsi="Verdana"/>
          <w:sz w:val="20"/>
          <w:szCs w:val="20"/>
          <w:lang w:val="pt-BR"/>
        </w:rPr>
        <w:t>,</w:t>
      </w:r>
      <w:r w:rsidR="000138C4" w:rsidRPr="0038442F">
        <w:rPr>
          <w:rFonts w:ascii="Verdana" w:hAnsi="Verdana"/>
          <w:sz w:val="20"/>
          <w:szCs w:val="20"/>
          <w:lang w:val="pt-BR"/>
        </w:rPr>
        <w:t xml:space="preserve"> sobre a </w:t>
      </w:r>
      <w:r w:rsidR="000E331D" w:rsidRPr="0038442F">
        <w:rPr>
          <w:rFonts w:ascii="Verdana" w:hAnsi="Verdana"/>
          <w:sz w:val="20"/>
          <w:szCs w:val="20"/>
          <w:lang w:val="pt-BR"/>
        </w:rPr>
        <w:t>inspeção</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do </w:t>
      </w:r>
      <w:r w:rsidR="00C92762" w:rsidRPr="0038442F">
        <w:rPr>
          <w:rFonts w:ascii="Verdana" w:hAnsi="Verdana"/>
          <w:sz w:val="20"/>
          <w:szCs w:val="20"/>
          <w:lang w:val="pt-BR"/>
        </w:rPr>
        <w:t>trabalho</w:t>
      </w:r>
      <w:r w:rsidR="00B02C81" w:rsidRPr="0038442F">
        <w:rPr>
          <w:rFonts w:ascii="Verdana" w:hAnsi="Verdana"/>
          <w:sz w:val="20"/>
          <w:szCs w:val="20"/>
          <w:lang w:val="pt-BR"/>
        </w:rPr>
        <w:t>,</w:t>
      </w:r>
      <w:r w:rsidR="000138C4" w:rsidRPr="0038442F">
        <w:rPr>
          <w:rStyle w:val="Ttulo3Car"/>
          <w:rFonts w:ascii="Verdana" w:hAnsi="Verdana"/>
          <w:color w:val="auto"/>
          <w:sz w:val="20"/>
          <w:szCs w:val="20"/>
          <w:lang w:val="pt-BR"/>
        </w:rPr>
        <w:t xml:space="preserve"> que </w:t>
      </w:r>
      <w:r w:rsidR="00602FF9" w:rsidRPr="0038442F">
        <w:rPr>
          <w:rStyle w:val="Ttulo3Car"/>
          <w:rFonts w:ascii="Verdana" w:hAnsi="Verdana"/>
          <w:color w:val="auto"/>
          <w:sz w:val="20"/>
          <w:szCs w:val="20"/>
          <w:lang w:val="pt-BR"/>
        </w:rPr>
        <w:t xml:space="preserve">dispõe que </w:t>
      </w:r>
      <w:r w:rsidR="005135E5" w:rsidRPr="0038442F">
        <w:rPr>
          <w:rFonts w:ascii="Verdana" w:hAnsi="Verdana"/>
          <w:sz w:val="20"/>
          <w:szCs w:val="20"/>
          <w:lang w:val="pt-BR"/>
        </w:rPr>
        <w:t xml:space="preserve">os Estados </w:t>
      </w:r>
      <w:r w:rsidR="00602FF9" w:rsidRPr="0038442F">
        <w:rPr>
          <w:rFonts w:ascii="Verdana" w:hAnsi="Verdana"/>
          <w:sz w:val="20"/>
          <w:szCs w:val="20"/>
          <w:lang w:val="pt-BR"/>
        </w:rPr>
        <w:t>P</w:t>
      </w:r>
      <w:r w:rsidR="000138C4" w:rsidRPr="0038442F">
        <w:rPr>
          <w:rFonts w:ascii="Verdana" w:hAnsi="Verdana"/>
          <w:sz w:val="20"/>
          <w:szCs w:val="20"/>
          <w:lang w:val="pt-BR"/>
        </w:rPr>
        <w:t>arte</w:t>
      </w:r>
      <w:r w:rsidR="00602FF9" w:rsidRPr="0038442F">
        <w:rPr>
          <w:rFonts w:ascii="Verdana" w:hAnsi="Verdana"/>
          <w:sz w:val="20"/>
          <w:szCs w:val="20"/>
          <w:lang w:val="pt-BR"/>
        </w:rPr>
        <w:t>s</w:t>
      </w:r>
      <w:r w:rsidR="000138C4" w:rsidRPr="0038442F">
        <w:rPr>
          <w:rFonts w:ascii="Verdana" w:hAnsi="Verdana"/>
          <w:sz w:val="20"/>
          <w:szCs w:val="20"/>
          <w:lang w:val="pt-BR"/>
        </w:rPr>
        <w:t xml:space="preserve"> </w:t>
      </w:r>
      <w:r w:rsidR="009612FB" w:rsidRPr="0038442F">
        <w:rPr>
          <w:rFonts w:ascii="Verdana" w:hAnsi="Verdana"/>
          <w:sz w:val="20"/>
          <w:szCs w:val="20"/>
          <w:lang w:val="pt-BR"/>
        </w:rPr>
        <w:t>devem</w:t>
      </w:r>
      <w:r w:rsidR="00407242" w:rsidRPr="0038442F">
        <w:rPr>
          <w:rFonts w:ascii="Verdana" w:hAnsi="Verdana"/>
          <w:sz w:val="20"/>
          <w:szCs w:val="20"/>
          <w:lang w:val="pt-BR"/>
        </w:rPr>
        <w:t xml:space="preserve"> </w:t>
      </w:r>
      <w:r w:rsidR="000138C4" w:rsidRPr="0038442F">
        <w:rPr>
          <w:rFonts w:ascii="Verdana" w:hAnsi="Verdana"/>
          <w:sz w:val="20"/>
          <w:szCs w:val="20"/>
          <w:lang w:val="pt-BR"/>
        </w:rPr>
        <w:t>“manter u</w:t>
      </w:r>
      <w:r w:rsidR="00602FF9" w:rsidRPr="0038442F">
        <w:rPr>
          <w:rFonts w:ascii="Verdana" w:hAnsi="Verdana"/>
          <w:sz w:val="20"/>
          <w:szCs w:val="20"/>
          <w:lang w:val="pt-BR"/>
        </w:rPr>
        <w:t>m</w:t>
      </w:r>
      <w:r w:rsidR="000138C4" w:rsidRPr="0038442F">
        <w:rPr>
          <w:rFonts w:ascii="Verdana" w:hAnsi="Verdana"/>
          <w:sz w:val="20"/>
          <w:szCs w:val="20"/>
          <w:lang w:val="pt-BR"/>
        </w:rPr>
        <w:t xml:space="preserve"> sistema de </w:t>
      </w:r>
      <w:r w:rsidR="000E331D" w:rsidRPr="0038442F">
        <w:rPr>
          <w:rFonts w:ascii="Verdana" w:hAnsi="Verdana"/>
          <w:sz w:val="20"/>
          <w:szCs w:val="20"/>
          <w:lang w:val="pt-BR"/>
        </w:rPr>
        <w:t>inspeção</w:t>
      </w:r>
      <w:r w:rsidR="00407242" w:rsidRPr="0038442F">
        <w:rPr>
          <w:rFonts w:ascii="Verdana" w:hAnsi="Verdana"/>
          <w:sz w:val="20"/>
          <w:szCs w:val="20"/>
          <w:lang w:val="pt-BR"/>
        </w:rPr>
        <w:t xml:space="preserve"> </w:t>
      </w:r>
      <w:r w:rsidR="00602FF9" w:rsidRPr="0038442F">
        <w:rPr>
          <w:rFonts w:ascii="Verdana" w:hAnsi="Verdana"/>
          <w:sz w:val="20"/>
          <w:szCs w:val="20"/>
          <w:lang w:val="pt-BR"/>
        </w:rPr>
        <w:t>do trabalho nos estabelecimentos</w:t>
      </w:r>
      <w:r w:rsidR="00407242" w:rsidRPr="0038442F">
        <w:rPr>
          <w:rFonts w:ascii="Verdana" w:hAnsi="Verdana"/>
          <w:sz w:val="20"/>
          <w:szCs w:val="20"/>
          <w:lang w:val="pt-BR"/>
        </w:rPr>
        <w:t xml:space="preserve"> </w:t>
      </w:r>
      <w:r w:rsidR="000138C4" w:rsidRPr="0038442F">
        <w:rPr>
          <w:rFonts w:ascii="Verdana" w:hAnsi="Verdana"/>
          <w:sz w:val="20"/>
          <w:szCs w:val="20"/>
          <w:lang w:val="pt-BR"/>
        </w:rPr>
        <w:t>industri</w:t>
      </w:r>
      <w:r w:rsidR="00C92762" w:rsidRPr="0038442F">
        <w:rPr>
          <w:rFonts w:ascii="Verdana" w:hAnsi="Verdana"/>
          <w:sz w:val="20"/>
          <w:szCs w:val="20"/>
          <w:lang w:val="pt-BR"/>
        </w:rPr>
        <w:t>ais</w:t>
      </w:r>
      <w:r w:rsidR="000138C4" w:rsidRPr="0038442F">
        <w:rPr>
          <w:rFonts w:ascii="Verdana" w:hAnsi="Verdana"/>
          <w:sz w:val="20"/>
          <w:szCs w:val="20"/>
          <w:lang w:val="pt-BR"/>
        </w:rPr>
        <w:t>”</w:t>
      </w:r>
      <w:r w:rsidR="00602FF9" w:rsidRPr="0038442F">
        <w:rPr>
          <w:rFonts w:ascii="Verdana" w:hAnsi="Verdana"/>
          <w:sz w:val="20"/>
          <w:szCs w:val="20"/>
          <w:lang w:val="pt-BR"/>
        </w:rPr>
        <w:t>,</w:t>
      </w:r>
      <w:r w:rsidR="00B02C81" w:rsidRPr="0038442F">
        <w:rPr>
          <w:rStyle w:val="Refdenotaalpie"/>
          <w:rFonts w:ascii="Verdana" w:hAnsi="Verdana"/>
          <w:sz w:val="20"/>
          <w:szCs w:val="20"/>
          <w:lang w:val="pt-BR"/>
        </w:rPr>
        <w:footnoteReference w:id="64"/>
      </w:r>
      <w:r w:rsidR="000138C4" w:rsidRPr="0038442F">
        <w:rPr>
          <w:rFonts w:ascii="Verdana" w:hAnsi="Verdana"/>
          <w:sz w:val="20"/>
          <w:szCs w:val="20"/>
          <w:lang w:val="pt-BR"/>
        </w:rPr>
        <w:t xml:space="preserve"> que </w:t>
      </w:r>
      <w:r w:rsidR="00602FF9" w:rsidRPr="0038442F">
        <w:rPr>
          <w:rFonts w:ascii="Verdana" w:hAnsi="Verdana"/>
          <w:sz w:val="20"/>
          <w:szCs w:val="20"/>
          <w:lang w:val="pt-BR"/>
        </w:rPr>
        <w:t xml:space="preserve">esse </w:t>
      </w:r>
      <w:r w:rsidR="000138C4" w:rsidRPr="0038442F">
        <w:rPr>
          <w:rFonts w:ascii="Verdana" w:hAnsi="Verdana"/>
          <w:sz w:val="20"/>
          <w:szCs w:val="20"/>
          <w:lang w:val="pt-BR"/>
        </w:rPr>
        <w:t>sistema “se</w:t>
      </w:r>
      <w:r w:rsidR="00602FF9" w:rsidRPr="0038442F">
        <w:rPr>
          <w:rFonts w:ascii="Verdana" w:hAnsi="Verdana"/>
          <w:sz w:val="20"/>
          <w:szCs w:val="20"/>
          <w:lang w:val="pt-BR"/>
        </w:rPr>
        <w:t xml:space="preserve">rá aplicado a </w:t>
      </w:r>
      <w:r w:rsidR="000138C4" w:rsidRPr="0038442F">
        <w:rPr>
          <w:rFonts w:ascii="Verdana" w:hAnsi="Verdana"/>
          <w:sz w:val="20"/>
          <w:szCs w:val="20"/>
          <w:lang w:val="pt-BR"/>
        </w:rPr>
        <w:t xml:space="preserve">todos os </w:t>
      </w:r>
      <w:r w:rsidR="00602FF9" w:rsidRPr="0038442F">
        <w:rPr>
          <w:rFonts w:ascii="Verdana" w:hAnsi="Verdana"/>
          <w:sz w:val="20"/>
          <w:szCs w:val="20"/>
          <w:lang w:val="pt-BR"/>
        </w:rPr>
        <w:t>estabelecimentos</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a </w:t>
      </w:r>
      <w:r w:rsidR="009D16DD" w:rsidRPr="0038442F">
        <w:rPr>
          <w:rFonts w:ascii="Verdana" w:hAnsi="Verdana"/>
          <w:sz w:val="20"/>
          <w:szCs w:val="20"/>
          <w:lang w:val="pt-BR"/>
        </w:rPr>
        <w:t xml:space="preserve">respeito </w:t>
      </w:r>
      <w:r w:rsidR="00C4721F" w:rsidRPr="0038442F">
        <w:rPr>
          <w:rFonts w:ascii="Verdana" w:hAnsi="Verdana"/>
          <w:sz w:val="20"/>
          <w:szCs w:val="20"/>
          <w:lang w:val="pt-BR"/>
        </w:rPr>
        <w:t xml:space="preserve">dos quais </w:t>
      </w:r>
      <w:r w:rsidR="000138C4" w:rsidRPr="0038442F">
        <w:rPr>
          <w:rFonts w:ascii="Verdana" w:hAnsi="Verdana"/>
          <w:sz w:val="20"/>
          <w:szCs w:val="20"/>
          <w:lang w:val="pt-BR"/>
        </w:rPr>
        <w:t xml:space="preserve">os </w:t>
      </w:r>
      <w:r w:rsidR="00602FF9" w:rsidRPr="0038442F">
        <w:rPr>
          <w:rFonts w:ascii="Verdana" w:hAnsi="Verdana"/>
          <w:sz w:val="20"/>
          <w:szCs w:val="20"/>
          <w:lang w:val="pt-BR"/>
        </w:rPr>
        <w:t>inspetores</w:t>
      </w:r>
      <w:r w:rsidR="00407242" w:rsidRPr="0038442F">
        <w:rPr>
          <w:rFonts w:ascii="Verdana" w:hAnsi="Verdana"/>
          <w:sz w:val="20"/>
          <w:szCs w:val="20"/>
          <w:lang w:val="pt-BR"/>
        </w:rPr>
        <w:t xml:space="preserve"> </w:t>
      </w:r>
      <w:r w:rsidR="00602FF9" w:rsidRPr="0038442F">
        <w:rPr>
          <w:rFonts w:ascii="Verdana" w:hAnsi="Verdana"/>
          <w:sz w:val="20"/>
          <w:szCs w:val="20"/>
          <w:lang w:val="pt-BR"/>
        </w:rPr>
        <w:t>do trabalho estejam</w:t>
      </w:r>
      <w:r w:rsidR="000138C4" w:rsidRPr="0038442F">
        <w:rPr>
          <w:rFonts w:ascii="Verdana" w:hAnsi="Verdana"/>
          <w:sz w:val="20"/>
          <w:szCs w:val="20"/>
          <w:lang w:val="pt-BR"/>
        </w:rPr>
        <w:t xml:space="preserve"> encar</w:t>
      </w:r>
      <w:r w:rsidR="00602FF9" w:rsidRPr="0038442F">
        <w:rPr>
          <w:rFonts w:ascii="Verdana" w:hAnsi="Verdana"/>
          <w:sz w:val="20"/>
          <w:szCs w:val="20"/>
          <w:lang w:val="pt-BR"/>
        </w:rPr>
        <w:t>re</w:t>
      </w:r>
      <w:r w:rsidR="000138C4" w:rsidRPr="0038442F">
        <w:rPr>
          <w:rFonts w:ascii="Verdana" w:hAnsi="Verdana"/>
          <w:sz w:val="20"/>
          <w:szCs w:val="20"/>
          <w:lang w:val="pt-BR"/>
        </w:rPr>
        <w:t xml:space="preserve">gados de </w:t>
      </w:r>
      <w:r w:rsidR="00602FF9" w:rsidRPr="0038442F">
        <w:rPr>
          <w:rFonts w:ascii="Verdana" w:hAnsi="Verdana"/>
          <w:sz w:val="20"/>
          <w:szCs w:val="20"/>
          <w:lang w:val="pt-BR"/>
        </w:rPr>
        <w:t>z</w:t>
      </w:r>
      <w:r w:rsidR="000138C4" w:rsidRPr="0038442F">
        <w:rPr>
          <w:rFonts w:ascii="Verdana" w:hAnsi="Verdana"/>
          <w:sz w:val="20"/>
          <w:szCs w:val="20"/>
          <w:lang w:val="pt-BR"/>
        </w:rPr>
        <w:t xml:space="preserve">elar </w:t>
      </w:r>
      <w:r w:rsidR="00D45B15" w:rsidRPr="0038442F">
        <w:rPr>
          <w:rFonts w:ascii="Verdana" w:hAnsi="Verdana"/>
          <w:sz w:val="20"/>
          <w:szCs w:val="20"/>
          <w:lang w:val="pt-BR"/>
        </w:rPr>
        <w:t>pelo cumprimento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0138C4" w:rsidRPr="0038442F">
        <w:rPr>
          <w:rFonts w:ascii="Verdana" w:hAnsi="Verdana"/>
          <w:sz w:val="20"/>
          <w:szCs w:val="20"/>
          <w:lang w:val="pt-BR"/>
        </w:rPr>
        <w:t>disposi</w:t>
      </w:r>
      <w:r w:rsidR="000A1AA8" w:rsidRPr="0038442F">
        <w:rPr>
          <w:rFonts w:ascii="Verdana" w:hAnsi="Verdana"/>
          <w:sz w:val="20"/>
          <w:szCs w:val="20"/>
          <w:lang w:val="pt-BR"/>
        </w:rPr>
        <w:t>ções</w:t>
      </w:r>
      <w:r w:rsidR="000138C4" w:rsidRPr="0038442F">
        <w:rPr>
          <w:rFonts w:ascii="Verdana" w:hAnsi="Verdana"/>
          <w:sz w:val="20"/>
          <w:szCs w:val="20"/>
          <w:lang w:val="pt-BR"/>
        </w:rPr>
        <w:t xml:space="preserve"> leg</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relativas </w:t>
      </w:r>
      <w:r w:rsidR="00602FF9" w:rsidRPr="0038442F">
        <w:rPr>
          <w:rFonts w:ascii="Verdana" w:hAnsi="Verdana"/>
          <w:sz w:val="20"/>
          <w:szCs w:val="20"/>
          <w:lang w:val="pt-BR"/>
        </w:rPr>
        <w:t xml:space="preserve">às </w:t>
      </w:r>
      <w:r w:rsidR="000138C4" w:rsidRPr="0038442F">
        <w:rPr>
          <w:rFonts w:ascii="Verdana" w:hAnsi="Verdana"/>
          <w:sz w:val="20"/>
          <w:szCs w:val="20"/>
          <w:lang w:val="pt-BR"/>
        </w:rPr>
        <w:t>condi</w:t>
      </w:r>
      <w:r w:rsidR="000A1AA8" w:rsidRPr="0038442F">
        <w:rPr>
          <w:rFonts w:ascii="Verdana" w:hAnsi="Verdana"/>
          <w:sz w:val="20"/>
          <w:szCs w:val="20"/>
          <w:lang w:val="pt-BR"/>
        </w:rPr>
        <w:t>ções</w:t>
      </w:r>
      <w:r w:rsidR="000138C4" w:rsidRPr="0038442F">
        <w:rPr>
          <w:rFonts w:ascii="Verdana" w:hAnsi="Verdana"/>
          <w:sz w:val="20"/>
          <w:szCs w:val="20"/>
          <w:lang w:val="pt-BR"/>
        </w:rPr>
        <w:t xml:space="preserve"> 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e à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246A73" w:rsidRPr="0038442F">
        <w:rPr>
          <w:rFonts w:ascii="Verdana" w:hAnsi="Verdana"/>
          <w:sz w:val="20"/>
          <w:szCs w:val="20"/>
          <w:lang w:val="pt-BR"/>
        </w:rPr>
        <w:t>trabalhadores</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602FF9" w:rsidRPr="0038442F">
        <w:rPr>
          <w:rFonts w:ascii="Verdana" w:hAnsi="Verdana"/>
          <w:sz w:val="20"/>
          <w:szCs w:val="20"/>
          <w:lang w:val="pt-BR"/>
        </w:rPr>
        <w:t>exercício</w:t>
      </w:r>
      <w:r w:rsidR="00407242" w:rsidRPr="0038442F">
        <w:rPr>
          <w:rFonts w:ascii="Verdana" w:hAnsi="Verdana"/>
          <w:sz w:val="20"/>
          <w:szCs w:val="20"/>
          <w:lang w:val="pt-BR"/>
        </w:rPr>
        <w:t xml:space="preserve"> </w:t>
      </w:r>
      <w:r w:rsidR="000138C4" w:rsidRPr="0038442F">
        <w:rPr>
          <w:rFonts w:ascii="Verdana" w:hAnsi="Verdana"/>
          <w:sz w:val="20"/>
          <w:szCs w:val="20"/>
          <w:lang w:val="pt-BR"/>
        </w:rPr>
        <w:t>de su</w:t>
      </w:r>
      <w:r w:rsidR="00602FF9" w:rsidRPr="0038442F">
        <w:rPr>
          <w:rFonts w:ascii="Verdana" w:hAnsi="Verdana"/>
          <w:sz w:val="20"/>
          <w:szCs w:val="20"/>
          <w:lang w:val="pt-BR"/>
        </w:rPr>
        <w:t>a</w:t>
      </w:r>
      <w:r w:rsidR="000138C4" w:rsidRPr="0038442F">
        <w:rPr>
          <w:rFonts w:ascii="Verdana" w:hAnsi="Verdana"/>
          <w:sz w:val="20"/>
          <w:szCs w:val="20"/>
          <w:lang w:val="pt-BR"/>
        </w:rPr>
        <w:t xml:space="preserve"> </w:t>
      </w:r>
      <w:r w:rsidR="00602FF9" w:rsidRPr="0038442F">
        <w:rPr>
          <w:rFonts w:ascii="Verdana" w:hAnsi="Verdana"/>
          <w:sz w:val="20"/>
          <w:szCs w:val="20"/>
          <w:lang w:val="pt-BR"/>
        </w:rPr>
        <w:t>profissão</w:t>
      </w:r>
      <w:r w:rsidR="000138C4" w:rsidRPr="0038442F">
        <w:rPr>
          <w:rFonts w:ascii="Verdana" w:hAnsi="Verdana"/>
          <w:sz w:val="20"/>
          <w:szCs w:val="20"/>
          <w:lang w:val="pt-BR"/>
        </w:rPr>
        <w:t>”</w:t>
      </w:r>
      <w:r w:rsidR="00602FF9" w:rsidRPr="0038442F">
        <w:rPr>
          <w:rFonts w:ascii="Verdana" w:hAnsi="Verdana"/>
          <w:sz w:val="20"/>
          <w:szCs w:val="20"/>
          <w:lang w:val="pt-BR"/>
        </w:rPr>
        <w:t>;</w:t>
      </w:r>
      <w:r w:rsidR="000138C4" w:rsidRPr="0038442F">
        <w:rPr>
          <w:rStyle w:val="Ttulo3Car"/>
          <w:rFonts w:ascii="Verdana" w:hAnsi="Verdana"/>
          <w:color w:val="auto"/>
          <w:sz w:val="20"/>
          <w:szCs w:val="20"/>
          <w:vertAlign w:val="superscript"/>
          <w:lang w:val="pt-BR"/>
        </w:rPr>
        <w:footnoteReference w:id="65"/>
      </w:r>
      <w:r w:rsidR="000138C4" w:rsidRPr="0038442F">
        <w:rPr>
          <w:rFonts w:ascii="Verdana" w:hAnsi="Verdana"/>
          <w:sz w:val="20"/>
          <w:szCs w:val="20"/>
          <w:lang w:val="pt-BR"/>
        </w:rPr>
        <w:t xml:space="preserve"> </w:t>
      </w:r>
      <w:r w:rsidR="00602FF9" w:rsidRPr="0038442F">
        <w:rPr>
          <w:rFonts w:ascii="Verdana" w:hAnsi="Verdana"/>
          <w:sz w:val="20"/>
          <w:szCs w:val="20"/>
          <w:lang w:val="pt-BR"/>
        </w:rPr>
        <w:t xml:space="preserve">e </w:t>
      </w:r>
      <w:r w:rsidR="000138C4" w:rsidRPr="0038442F">
        <w:rPr>
          <w:rFonts w:ascii="Verdana" w:hAnsi="Verdana"/>
          <w:sz w:val="20"/>
          <w:szCs w:val="20"/>
          <w:lang w:val="pt-BR"/>
        </w:rPr>
        <w:t>estará encar</w:t>
      </w:r>
      <w:r w:rsidR="00602FF9" w:rsidRPr="0038442F">
        <w:rPr>
          <w:rFonts w:ascii="Verdana" w:hAnsi="Verdana"/>
          <w:sz w:val="20"/>
          <w:szCs w:val="20"/>
          <w:lang w:val="pt-BR"/>
        </w:rPr>
        <w:t>re</w:t>
      </w:r>
      <w:r w:rsidR="000138C4" w:rsidRPr="0038442F">
        <w:rPr>
          <w:rFonts w:ascii="Verdana" w:hAnsi="Verdana"/>
          <w:sz w:val="20"/>
          <w:szCs w:val="20"/>
          <w:lang w:val="pt-BR"/>
        </w:rPr>
        <w:t>gado de “</w:t>
      </w:r>
      <w:r w:rsidR="00602FF9" w:rsidRPr="0038442F">
        <w:rPr>
          <w:rFonts w:ascii="Verdana" w:hAnsi="Verdana"/>
          <w:sz w:val="20"/>
          <w:szCs w:val="20"/>
          <w:lang w:val="pt-BR"/>
        </w:rPr>
        <w:t>z</w:t>
      </w:r>
      <w:r w:rsidR="000138C4" w:rsidRPr="0038442F">
        <w:rPr>
          <w:rFonts w:ascii="Verdana" w:hAnsi="Verdana"/>
          <w:sz w:val="20"/>
          <w:szCs w:val="20"/>
          <w:lang w:val="pt-BR"/>
        </w:rPr>
        <w:t xml:space="preserve">elar </w:t>
      </w:r>
      <w:r w:rsidR="00D45B15" w:rsidRPr="0038442F">
        <w:rPr>
          <w:rFonts w:ascii="Verdana" w:hAnsi="Verdana"/>
          <w:sz w:val="20"/>
          <w:szCs w:val="20"/>
          <w:lang w:val="pt-BR"/>
        </w:rPr>
        <w:t>pelo cumprimento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0138C4" w:rsidRPr="0038442F">
        <w:rPr>
          <w:rFonts w:ascii="Verdana" w:hAnsi="Verdana"/>
          <w:sz w:val="20"/>
          <w:szCs w:val="20"/>
          <w:lang w:val="pt-BR"/>
        </w:rPr>
        <w:t>disposi</w:t>
      </w:r>
      <w:r w:rsidR="000A1AA8" w:rsidRPr="0038442F">
        <w:rPr>
          <w:rFonts w:ascii="Verdana" w:hAnsi="Verdana"/>
          <w:sz w:val="20"/>
          <w:szCs w:val="20"/>
          <w:lang w:val="pt-BR"/>
        </w:rPr>
        <w:t>ções</w:t>
      </w:r>
      <w:r w:rsidR="000138C4" w:rsidRPr="0038442F">
        <w:rPr>
          <w:rFonts w:ascii="Verdana" w:hAnsi="Verdana"/>
          <w:sz w:val="20"/>
          <w:szCs w:val="20"/>
          <w:lang w:val="pt-BR"/>
        </w:rPr>
        <w:t xml:space="preserve"> leg</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relativas </w:t>
      </w:r>
      <w:r w:rsidR="00602FF9" w:rsidRPr="0038442F">
        <w:rPr>
          <w:rFonts w:ascii="Verdana" w:hAnsi="Verdana"/>
          <w:sz w:val="20"/>
          <w:szCs w:val="20"/>
          <w:lang w:val="pt-BR"/>
        </w:rPr>
        <w:t xml:space="preserve">às </w:t>
      </w:r>
      <w:r w:rsidR="000138C4" w:rsidRPr="0038442F">
        <w:rPr>
          <w:rFonts w:ascii="Verdana" w:hAnsi="Verdana"/>
          <w:sz w:val="20"/>
          <w:szCs w:val="20"/>
          <w:lang w:val="pt-BR"/>
        </w:rPr>
        <w:t>condi</w:t>
      </w:r>
      <w:r w:rsidR="000A1AA8" w:rsidRPr="0038442F">
        <w:rPr>
          <w:rFonts w:ascii="Verdana" w:hAnsi="Verdana"/>
          <w:sz w:val="20"/>
          <w:szCs w:val="20"/>
          <w:lang w:val="pt-BR"/>
        </w:rPr>
        <w:t>ções</w:t>
      </w:r>
      <w:r w:rsidR="000138C4" w:rsidRPr="0038442F">
        <w:rPr>
          <w:rFonts w:ascii="Verdana" w:hAnsi="Verdana"/>
          <w:sz w:val="20"/>
          <w:szCs w:val="20"/>
          <w:lang w:val="pt-BR"/>
        </w:rPr>
        <w:t xml:space="preserve"> 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e à proteção </w:t>
      </w:r>
      <w:r w:rsidR="00C92762" w:rsidRPr="0038442F">
        <w:rPr>
          <w:rFonts w:ascii="Verdana" w:hAnsi="Verdana"/>
          <w:sz w:val="20"/>
          <w:szCs w:val="20"/>
          <w:lang w:val="pt-BR"/>
        </w:rPr>
        <w:t xml:space="preserve">dos </w:t>
      </w:r>
      <w:r w:rsidR="00246A73" w:rsidRPr="0038442F">
        <w:rPr>
          <w:rFonts w:ascii="Verdana" w:hAnsi="Verdana"/>
          <w:sz w:val="20"/>
          <w:szCs w:val="20"/>
          <w:lang w:val="pt-BR"/>
        </w:rPr>
        <w:t>trabalhadores</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602FF9" w:rsidRPr="0038442F">
        <w:rPr>
          <w:rFonts w:ascii="Verdana" w:hAnsi="Verdana"/>
          <w:sz w:val="20"/>
          <w:szCs w:val="20"/>
          <w:lang w:val="pt-BR"/>
        </w:rPr>
        <w:t>exercício</w:t>
      </w:r>
      <w:r w:rsidR="00407242" w:rsidRPr="0038442F">
        <w:rPr>
          <w:rFonts w:ascii="Verdana" w:hAnsi="Verdana"/>
          <w:sz w:val="20"/>
          <w:szCs w:val="20"/>
          <w:lang w:val="pt-BR"/>
        </w:rPr>
        <w:t xml:space="preserve"> </w:t>
      </w:r>
      <w:r w:rsidR="000138C4" w:rsidRPr="0038442F">
        <w:rPr>
          <w:rFonts w:ascii="Verdana" w:hAnsi="Verdana"/>
          <w:sz w:val="20"/>
          <w:szCs w:val="20"/>
          <w:lang w:val="pt-BR"/>
        </w:rPr>
        <w:t>de su</w:t>
      </w:r>
      <w:r w:rsidR="00602FF9" w:rsidRPr="0038442F">
        <w:rPr>
          <w:rFonts w:ascii="Verdana" w:hAnsi="Verdana"/>
          <w:sz w:val="20"/>
          <w:szCs w:val="20"/>
          <w:lang w:val="pt-BR"/>
        </w:rPr>
        <w:t>a profissão</w:t>
      </w:r>
      <w:r w:rsidR="00607563" w:rsidRPr="0038442F">
        <w:rPr>
          <w:rFonts w:ascii="Verdana" w:hAnsi="Verdana"/>
          <w:sz w:val="20"/>
          <w:szCs w:val="20"/>
          <w:lang w:val="pt-BR"/>
        </w:rPr>
        <w:t>,</w:t>
      </w:r>
      <w:r w:rsidR="000138C4" w:rsidRPr="0038442F">
        <w:rPr>
          <w:rFonts w:ascii="Verdana" w:hAnsi="Verdana"/>
          <w:sz w:val="20"/>
          <w:szCs w:val="20"/>
          <w:lang w:val="pt-BR"/>
        </w:rPr>
        <w:t xml:space="preserve"> t</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como </w:t>
      </w:r>
      <w:r w:rsidR="001210B9">
        <w:rPr>
          <w:rFonts w:ascii="Verdana" w:hAnsi="Verdana"/>
          <w:sz w:val="20"/>
          <w:szCs w:val="20"/>
          <w:lang w:val="pt-BR"/>
        </w:rPr>
        <w:t>o</w:t>
      </w:r>
      <w:r w:rsidR="000138C4" w:rsidRPr="0038442F">
        <w:rPr>
          <w:rFonts w:ascii="Verdana" w:hAnsi="Verdana"/>
          <w:sz w:val="20"/>
          <w:szCs w:val="20"/>
          <w:lang w:val="pt-BR"/>
        </w:rPr>
        <w:t>s disposi</w:t>
      </w:r>
      <w:r w:rsidR="001210B9">
        <w:rPr>
          <w:rFonts w:ascii="Verdana" w:hAnsi="Verdana"/>
          <w:sz w:val="20"/>
          <w:szCs w:val="20"/>
          <w:lang w:val="pt-BR"/>
        </w:rPr>
        <w:t>tivos</w:t>
      </w:r>
      <w:r w:rsidR="000138C4" w:rsidRPr="0038442F">
        <w:rPr>
          <w:rFonts w:ascii="Verdana" w:hAnsi="Verdana"/>
          <w:sz w:val="20"/>
          <w:szCs w:val="20"/>
          <w:lang w:val="pt-BR"/>
        </w:rPr>
        <w:t xml:space="preserve"> sobre horas de </w:t>
      </w:r>
      <w:r w:rsidR="00C92762" w:rsidRPr="0038442F">
        <w:rPr>
          <w:rFonts w:ascii="Verdana" w:hAnsi="Verdana"/>
          <w:sz w:val="20"/>
          <w:szCs w:val="20"/>
          <w:lang w:val="pt-BR"/>
        </w:rPr>
        <w:t>trabalho</w:t>
      </w:r>
      <w:r w:rsidR="000138C4" w:rsidRPr="0038442F">
        <w:rPr>
          <w:rFonts w:ascii="Verdana" w:hAnsi="Verdana"/>
          <w:sz w:val="20"/>
          <w:szCs w:val="20"/>
          <w:lang w:val="pt-BR"/>
        </w:rPr>
        <w:t>, sal</w:t>
      </w:r>
      <w:r w:rsidR="00602FF9" w:rsidRPr="0038442F">
        <w:rPr>
          <w:rFonts w:ascii="Verdana" w:hAnsi="Verdana"/>
          <w:sz w:val="20"/>
          <w:szCs w:val="20"/>
          <w:lang w:val="pt-BR"/>
        </w:rPr>
        <w:t xml:space="preserve">ários, </w:t>
      </w:r>
      <w:r w:rsidR="008806F8" w:rsidRPr="0038442F">
        <w:rPr>
          <w:rFonts w:ascii="Verdana" w:hAnsi="Verdana"/>
          <w:sz w:val="20"/>
          <w:szCs w:val="20"/>
          <w:lang w:val="pt-BR"/>
        </w:rPr>
        <w:t>segurança</w:t>
      </w:r>
      <w:r w:rsidR="000138C4" w:rsidRPr="0038442F">
        <w:rPr>
          <w:rFonts w:ascii="Verdana" w:hAnsi="Verdana"/>
          <w:sz w:val="20"/>
          <w:szCs w:val="20"/>
          <w:lang w:val="pt-BR"/>
        </w:rPr>
        <w:t xml:space="preserve">, higiene </w:t>
      </w:r>
      <w:r w:rsidR="00602FF9" w:rsidRPr="0038442F">
        <w:rPr>
          <w:rFonts w:ascii="Verdana" w:hAnsi="Verdana"/>
          <w:sz w:val="20"/>
          <w:szCs w:val="20"/>
          <w:lang w:val="pt-BR"/>
        </w:rPr>
        <w:t>e</w:t>
      </w:r>
      <w:r w:rsidR="000138C4" w:rsidRPr="0038442F">
        <w:rPr>
          <w:rFonts w:ascii="Verdana" w:hAnsi="Verdana"/>
          <w:sz w:val="20"/>
          <w:szCs w:val="20"/>
          <w:lang w:val="pt-BR"/>
        </w:rPr>
        <w:t xml:space="preserve"> b</w:t>
      </w:r>
      <w:r w:rsidR="00602FF9" w:rsidRPr="0038442F">
        <w:rPr>
          <w:rFonts w:ascii="Verdana" w:hAnsi="Verdana"/>
          <w:sz w:val="20"/>
          <w:szCs w:val="20"/>
          <w:lang w:val="pt-BR"/>
        </w:rPr>
        <w:t>em-</w:t>
      </w:r>
      <w:r w:rsidR="000138C4" w:rsidRPr="0038442F">
        <w:rPr>
          <w:rFonts w:ascii="Verdana" w:hAnsi="Verdana"/>
          <w:sz w:val="20"/>
          <w:szCs w:val="20"/>
          <w:lang w:val="pt-BR"/>
        </w:rPr>
        <w:t xml:space="preserve">estar, </w:t>
      </w:r>
      <w:r w:rsidR="006A12FD" w:rsidRPr="0038442F">
        <w:rPr>
          <w:rFonts w:ascii="Verdana" w:hAnsi="Verdana"/>
          <w:sz w:val="20"/>
          <w:szCs w:val="20"/>
          <w:lang w:val="pt-BR"/>
        </w:rPr>
        <w:t>emprego</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de menores </w:t>
      </w:r>
      <w:r w:rsidR="00602FF9" w:rsidRPr="0038442F">
        <w:rPr>
          <w:rFonts w:ascii="Verdana" w:hAnsi="Verdana"/>
          <w:sz w:val="20"/>
          <w:szCs w:val="20"/>
          <w:lang w:val="pt-BR"/>
        </w:rPr>
        <w:t>e</w:t>
      </w:r>
      <w:r w:rsidR="000138C4" w:rsidRPr="0038442F">
        <w:rPr>
          <w:rFonts w:ascii="Verdana" w:hAnsi="Verdana"/>
          <w:sz w:val="20"/>
          <w:szCs w:val="20"/>
          <w:lang w:val="pt-BR"/>
        </w:rPr>
        <w:t xml:space="preserve"> </w:t>
      </w:r>
      <w:r w:rsidR="00602FF9" w:rsidRPr="0038442F">
        <w:rPr>
          <w:rFonts w:ascii="Verdana" w:hAnsi="Verdana"/>
          <w:sz w:val="20"/>
          <w:szCs w:val="20"/>
          <w:lang w:val="pt-BR"/>
        </w:rPr>
        <w:t xml:space="preserve">demais </w:t>
      </w:r>
      <w:r w:rsidR="000138C4" w:rsidRPr="0038442F">
        <w:rPr>
          <w:rFonts w:ascii="Verdana" w:hAnsi="Verdana"/>
          <w:sz w:val="20"/>
          <w:szCs w:val="20"/>
          <w:lang w:val="pt-BR"/>
        </w:rPr>
        <w:t>disposi</w:t>
      </w:r>
      <w:r w:rsidR="008E7279">
        <w:rPr>
          <w:rFonts w:ascii="Verdana" w:hAnsi="Verdana"/>
          <w:sz w:val="20"/>
          <w:szCs w:val="20"/>
          <w:lang w:val="pt-BR"/>
        </w:rPr>
        <w:t>tivos</w:t>
      </w:r>
      <w:r w:rsidR="000138C4" w:rsidRPr="0038442F">
        <w:rPr>
          <w:rFonts w:ascii="Verdana" w:hAnsi="Verdana"/>
          <w:sz w:val="20"/>
          <w:szCs w:val="20"/>
          <w:lang w:val="pt-BR"/>
        </w:rPr>
        <w:t xml:space="preserve"> afins, </w:t>
      </w:r>
      <w:r w:rsidR="00BF7A10" w:rsidRPr="0038442F">
        <w:rPr>
          <w:rFonts w:ascii="Verdana" w:hAnsi="Verdana"/>
          <w:sz w:val="20"/>
          <w:szCs w:val="20"/>
          <w:lang w:val="pt-BR"/>
        </w:rPr>
        <w:t xml:space="preserve">na </w:t>
      </w:r>
      <w:r w:rsidR="000138C4" w:rsidRPr="0038442F">
        <w:rPr>
          <w:rFonts w:ascii="Verdana" w:hAnsi="Verdana"/>
          <w:sz w:val="20"/>
          <w:szCs w:val="20"/>
          <w:lang w:val="pt-BR"/>
        </w:rPr>
        <w:t>medida e</w:t>
      </w:r>
      <w:r w:rsidR="00602FF9" w:rsidRPr="0038442F">
        <w:rPr>
          <w:rFonts w:ascii="Verdana" w:hAnsi="Verdana"/>
          <w:sz w:val="20"/>
          <w:szCs w:val="20"/>
          <w:lang w:val="pt-BR"/>
        </w:rPr>
        <w:t>m que os inspetores</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do trabalho estejam </w:t>
      </w:r>
      <w:r w:rsidR="000138C4" w:rsidRPr="0038442F">
        <w:rPr>
          <w:rFonts w:ascii="Verdana" w:hAnsi="Verdana"/>
          <w:sz w:val="20"/>
          <w:szCs w:val="20"/>
          <w:lang w:val="pt-BR"/>
        </w:rPr>
        <w:t>encar</w:t>
      </w:r>
      <w:r w:rsidR="00602FF9" w:rsidRPr="0038442F">
        <w:rPr>
          <w:rFonts w:ascii="Verdana" w:hAnsi="Verdana"/>
          <w:sz w:val="20"/>
          <w:szCs w:val="20"/>
          <w:lang w:val="pt-BR"/>
        </w:rPr>
        <w:t>re</w:t>
      </w:r>
      <w:r w:rsidR="000138C4" w:rsidRPr="0038442F">
        <w:rPr>
          <w:rFonts w:ascii="Verdana" w:hAnsi="Verdana"/>
          <w:sz w:val="20"/>
          <w:szCs w:val="20"/>
          <w:lang w:val="pt-BR"/>
        </w:rPr>
        <w:t xml:space="preserve">gados de </w:t>
      </w:r>
      <w:r w:rsidR="00602FF9" w:rsidRPr="0038442F">
        <w:rPr>
          <w:rFonts w:ascii="Verdana" w:hAnsi="Verdana"/>
          <w:sz w:val="20"/>
          <w:szCs w:val="20"/>
          <w:lang w:val="pt-BR"/>
        </w:rPr>
        <w:t>z</w:t>
      </w:r>
      <w:r w:rsidR="000138C4" w:rsidRPr="0038442F">
        <w:rPr>
          <w:rFonts w:ascii="Verdana" w:hAnsi="Verdana"/>
          <w:sz w:val="20"/>
          <w:szCs w:val="20"/>
          <w:lang w:val="pt-BR"/>
        </w:rPr>
        <w:t xml:space="preserve">elar </w:t>
      </w:r>
      <w:r w:rsidR="00D45B15" w:rsidRPr="0038442F">
        <w:rPr>
          <w:rFonts w:ascii="Verdana" w:hAnsi="Verdana"/>
          <w:sz w:val="20"/>
          <w:szCs w:val="20"/>
          <w:lang w:val="pt-BR"/>
        </w:rPr>
        <w:t>pelo cumprimento</w:t>
      </w:r>
      <w:r w:rsidR="00407242" w:rsidRPr="0038442F">
        <w:rPr>
          <w:rFonts w:ascii="Verdana" w:hAnsi="Verdana"/>
          <w:sz w:val="20"/>
          <w:szCs w:val="20"/>
          <w:lang w:val="pt-BR"/>
        </w:rPr>
        <w:t xml:space="preserve"> </w:t>
      </w:r>
      <w:r w:rsidR="000138C4" w:rsidRPr="0038442F">
        <w:rPr>
          <w:rFonts w:ascii="Verdana" w:hAnsi="Verdana"/>
          <w:sz w:val="20"/>
          <w:szCs w:val="20"/>
          <w:lang w:val="pt-BR"/>
        </w:rPr>
        <w:t>de</w:t>
      </w:r>
      <w:r w:rsidR="00602FF9" w:rsidRPr="0038442F">
        <w:rPr>
          <w:rFonts w:ascii="Verdana" w:hAnsi="Verdana"/>
          <w:sz w:val="20"/>
          <w:szCs w:val="20"/>
          <w:lang w:val="pt-BR"/>
        </w:rPr>
        <w:t>ssas</w:t>
      </w:r>
      <w:r w:rsidR="000138C4" w:rsidRPr="0038442F">
        <w:rPr>
          <w:rFonts w:ascii="Verdana" w:hAnsi="Verdana"/>
          <w:sz w:val="20"/>
          <w:szCs w:val="20"/>
          <w:lang w:val="pt-BR"/>
        </w:rPr>
        <w:t xml:space="preserve"> disposi</w:t>
      </w:r>
      <w:r w:rsidR="000A1AA8" w:rsidRPr="0038442F">
        <w:rPr>
          <w:rFonts w:ascii="Verdana" w:hAnsi="Verdana"/>
          <w:sz w:val="20"/>
          <w:szCs w:val="20"/>
          <w:lang w:val="pt-BR"/>
        </w:rPr>
        <w:t>ções</w:t>
      </w:r>
      <w:r w:rsidR="000138C4" w:rsidRPr="0038442F">
        <w:rPr>
          <w:rFonts w:ascii="Verdana" w:hAnsi="Verdana"/>
          <w:sz w:val="20"/>
          <w:szCs w:val="20"/>
          <w:lang w:val="pt-BR"/>
        </w:rPr>
        <w:t>”</w:t>
      </w:r>
      <w:r w:rsidR="00602FF9" w:rsidRPr="0038442F">
        <w:rPr>
          <w:rFonts w:ascii="Verdana" w:hAnsi="Verdana"/>
          <w:sz w:val="20"/>
          <w:szCs w:val="20"/>
          <w:lang w:val="pt-BR"/>
        </w:rPr>
        <w:t>.</w:t>
      </w:r>
      <w:r w:rsidR="000138C4" w:rsidRPr="0038442F">
        <w:rPr>
          <w:rStyle w:val="Ttulo3Car"/>
          <w:rFonts w:ascii="Verdana" w:hAnsi="Verdana"/>
          <w:color w:val="auto"/>
          <w:sz w:val="20"/>
          <w:szCs w:val="20"/>
          <w:vertAlign w:val="superscript"/>
          <w:lang w:val="pt-BR"/>
        </w:rPr>
        <w:footnoteReference w:id="66"/>
      </w:r>
    </w:p>
    <w:p w14:paraId="762FDE0C" w14:textId="77777777" w:rsidR="000138C4" w:rsidRPr="0038442F" w:rsidRDefault="000138C4" w:rsidP="00A857CB">
      <w:pPr>
        <w:pStyle w:val="Prrafodelista"/>
        <w:spacing w:line="240" w:lineRule="auto"/>
        <w:rPr>
          <w:rFonts w:ascii="Verdana" w:hAnsi="Verdana"/>
          <w:sz w:val="20"/>
          <w:szCs w:val="20"/>
          <w:lang w:val="pt-BR"/>
        </w:rPr>
      </w:pPr>
    </w:p>
    <w:p w14:paraId="256665D3" w14:textId="7F97B2DB" w:rsidR="007B06BD"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sz w:val="20"/>
          <w:szCs w:val="20"/>
          <w:lang w:val="pt-BR"/>
        </w:rPr>
        <w:t xml:space="preserve">42. </w:t>
      </w:r>
      <w:r w:rsidRPr="0038442F">
        <w:rPr>
          <w:rFonts w:ascii="Verdana" w:hAnsi="Verdana"/>
          <w:sz w:val="20"/>
          <w:szCs w:val="20"/>
          <w:lang w:val="pt-BR"/>
        </w:rPr>
        <w:tab/>
      </w:r>
      <w:r w:rsidR="000138C4" w:rsidRPr="0038442F">
        <w:rPr>
          <w:rFonts w:ascii="Verdana" w:hAnsi="Verdana"/>
          <w:sz w:val="20"/>
          <w:szCs w:val="20"/>
          <w:lang w:val="pt-BR"/>
        </w:rPr>
        <w:t>Adem</w:t>
      </w:r>
      <w:r w:rsidR="00602FF9" w:rsidRPr="0038442F">
        <w:rPr>
          <w:rFonts w:ascii="Verdana" w:hAnsi="Verdana"/>
          <w:sz w:val="20"/>
          <w:szCs w:val="20"/>
          <w:lang w:val="pt-BR"/>
        </w:rPr>
        <w:t>a</w:t>
      </w:r>
      <w:r w:rsidR="00C641CF" w:rsidRPr="0038442F">
        <w:rPr>
          <w:rFonts w:ascii="Verdana" w:hAnsi="Verdana"/>
          <w:sz w:val="20"/>
          <w:szCs w:val="20"/>
          <w:lang w:val="pt-BR"/>
        </w:rPr>
        <w:t>i</w:t>
      </w:r>
      <w:r w:rsidR="000138C4" w:rsidRPr="0038442F">
        <w:rPr>
          <w:rFonts w:ascii="Verdana" w:hAnsi="Verdana"/>
          <w:sz w:val="20"/>
          <w:szCs w:val="20"/>
          <w:lang w:val="pt-BR"/>
        </w:rPr>
        <w:t xml:space="preserve">s, </w:t>
      </w:r>
      <w:r w:rsidR="00602FF9" w:rsidRPr="0038442F">
        <w:rPr>
          <w:rFonts w:ascii="Verdana" w:hAnsi="Verdana"/>
          <w:sz w:val="20"/>
          <w:szCs w:val="20"/>
          <w:lang w:val="pt-BR"/>
        </w:rPr>
        <w:t xml:space="preserve">a </w:t>
      </w:r>
      <w:r w:rsidR="000138C4" w:rsidRPr="0038442F">
        <w:rPr>
          <w:rFonts w:ascii="Verdana" w:hAnsi="Verdana"/>
          <w:sz w:val="20"/>
          <w:szCs w:val="20"/>
          <w:lang w:val="pt-BR"/>
        </w:rPr>
        <w:t>Conven</w:t>
      </w:r>
      <w:r w:rsidR="00C641CF" w:rsidRPr="0038442F">
        <w:rPr>
          <w:rFonts w:ascii="Verdana" w:hAnsi="Verdana"/>
          <w:sz w:val="20"/>
          <w:szCs w:val="20"/>
          <w:lang w:val="pt-BR"/>
        </w:rPr>
        <w:t>ção</w:t>
      </w:r>
      <w:r w:rsidR="000138C4" w:rsidRPr="0038442F">
        <w:rPr>
          <w:rFonts w:ascii="Verdana" w:hAnsi="Verdana"/>
          <w:sz w:val="20"/>
          <w:szCs w:val="20"/>
          <w:lang w:val="pt-BR"/>
        </w:rPr>
        <w:t xml:space="preserve"> N</w:t>
      </w:r>
      <w:r w:rsidR="000138C4" w:rsidRPr="0038442F">
        <w:rPr>
          <w:rFonts w:ascii="Verdana" w:hAnsi="Verdana"/>
          <w:sz w:val="20"/>
          <w:szCs w:val="20"/>
          <w:vertAlign w:val="superscript"/>
          <w:lang w:val="pt-BR"/>
        </w:rPr>
        <w:t>o.</w:t>
      </w:r>
      <w:r w:rsidR="000138C4" w:rsidRPr="0038442F">
        <w:rPr>
          <w:rFonts w:ascii="Verdana" w:hAnsi="Verdana"/>
          <w:sz w:val="20"/>
          <w:szCs w:val="20"/>
          <w:lang w:val="pt-BR"/>
        </w:rPr>
        <w:t xml:space="preserve"> 155 </w:t>
      </w:r>
      <w:r w:rsidR="00C92762" w:rsidRPr="0038442F">
        <w:rPr>
          <w:rFonts w:ascii="Verdana" w:hAnsi="Verdana"/>
          <w:sz w:val="20"/>
          <w:szCs w:val="20"/>
          <w:lang w:val="pt-BR"/>
        </w:rPr>
        <w:t xml:space="preserve">da </w:t>
      </w:r>
      <w:r w:rsidR="000138C4" w:rsidRPr="0038442F">
        <w:rPr>
          <w:rFonts w:ascii="Verdana" w:hAnsi="Verdana"/>
          <w:sz w:val="20"/>
          <w:szCs w:val="20"/>
          <w:lang w:val="pt-BR"/>
        </w:rPr>
        <w:t xml:space="preserve">OIT, </w:t>
      </w:r>
      <w:r w:rsidR="00602FF9" w:rsidRPr="0038442F">
        <w:rPr>
          <w:rFonts w:ascii="Verdana" w:hAnsi="Verdana"/>
          <w:sz w:val="20"/>
          <w:szCs w:val="20"/>
          <w:lang w:val="pt-BR"/>
        </w:rPr>
        <w:t xml:space="preserve">de 1981, </w:t>
      </w:r>
      <w:r w:rsidR="000138C4" w:rsidRPr="0038442F">
        <w:rPr>
          <w:rFonts w:ascii="Verdana" w:hAnsi="Verdana"/>
          <w:sz w:val="20"/>
          <w:szCs w:val="20"/>
          <w:lang w:val="pt-BR"/>
        </w:rPr>
        <w:t xml:space="preserve">sobre </w:t>
      </w:r>
      <w:r w:rsidR="008806F8" w:rsidRPr="0038442F">
        <w:rPr>
          <w:rFonts w:ascii="Verdana" w:hAnsi="Verdana"/>
          <w:sz w:val="20"/>
          <w:szCs w:val="20"/>
          <w:lang w:val="pt-BR"/>
        </w:rPr>
        <w:t>segurança</w:t>
      </w:r>
      <w:r w:rsidR="00407242" w:rsidRPr="0038442F">
        <w:rPr>
          <w:rFonts w:ascii="Verdana" w:hAnsi="Verdana"/>
          <w:sz w:val="20"/>
          <w:szCs w:val="20"/>
          <w:lang w:val="pt-BR"/>
        </w:rPr>
        <w:t xml:space="preserve"> </w:t>
      </w:r>
      <w:r w:rsidR="00602FF9" w:rsidRPr="0038442F">
        <w:rPr>
          <w:rFonts w:ascii="Verdana" w:hAnsi="Verdana"/>
          <w:sz w:val="20"/>
          <w:szCs w:val="20"/>
          <w:lang w:val="pt-BR"/>
        </w:rPr>
        <w:t>e</w:t>
      </w:r>
      <w:r w:rsidR="000138C4" w:rsidRPr="0038442F">
        <w:rPr>
          <w:rFonts w:ascii="Verdana" w:hAnsi="Verdana"/>
          <w:sz w:val="20"/>
          <w:szCs w:val="20"/>
          <w:lang w:val="pt-BR"/>
        </w:rPr>
        <w:t xml:space="preserve"> </w:t>
      </w:r>
      <w:r w:rsidR="00751189" w:rsidRPr="0038442F">
        <w:rPr>
          <w:rFonts w:ascii="Verdana" w:hAnsi="Verdana"/>
          <w:sz w:val="20"/>
          <w:szCs w:val="20"/>
          <w:lang w:val="pt-BR"/>
        </w:rPr>
        <w:t>saúde</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246A73" w:rsidRPr="0038442F">
        <w:rPr>
          <w:rFonts w:ascii="Verdana" w:hAnsi="Verdana"/>
          <w:sz w:val="20"/>
          <w:szCs w:val="20"/>
          <w:lang w:val="pt-BR"/>
        </w:rPr>
        <w:t>trabalhadores</w:t>
      </w:r>
      <w:r w:rsidR="000138C4" w:rsidRPr="0038442F">
        <w:rPr>
          <w:rFonts w:ascii="Verdana" w:hAnsi="Verdana"/>
          <w:sz w:val="20"/>
          <w:szCs w:val="20"/>
          <w:lang w:val="pt-BR"/>
        </w:rPr>
        <w:t>, estab</w:t>
      </w:r>
      <w:r w:rsidR="00602FF9" w:rsidRPr="0038442F">
        <w:rPr>
          <w:rFonts w:ascii="Verdana" w:hAnsi="Verdana"/>
          <w:sz w:val="20"/>
          <w:szCs w:val="20"/>
          <w:lang w:val="pt-BR"/>
        </w:rPr>
        <w:t>e</w:t>
      </w:r>
      <w:r w:rsidR="000138C4" w:rsidRPr="0038442F">
        <w:rPr>
          <w:rFonts w:ascii="Verdana" w:hAnsi="Verdana"/>
          <w:sz w:val="20"/>
          <w:szCs w:val="20"/>
          <w:lang w:val="pt-BR"/>
        </w:rPr>
        <w:t xml:space="preserve">lece que </w:t>
      </w:r>
      <w:r w:rsidR="005135E5" w:rsidRPr="0038442F">
        <w:rPr>
          <w:rFonts w:ascii="Verdana" w:hAnsi="Verdana"/>
          <w:sz w:val="20"/>
          <w:szCs w:val="20"/>
          <w:lang w:val="pt-BR"/>
        </w:rPr>
        <w:t xml:space="preserve">os Estados </w:t>
      </w:r>
      <w:r w:rsidR="009612FB" w:rsidRPr="0038442F">
        <w:rPr>
          <w:rFonts w:ascii="Verdana" w:hAnsi="Verdana"/>
          <w:sz w:val="20"/>
          <w:szCs w:val="20"/>
          <w:lang w:val="pt-BR"/>
        </w:rPr>
        <w:t>devem</w:t>
      </w:r>
      <w:r w:rsidR="00407242" w:rsidRPr="0038442F">
        <w:rPr>
          <w:rFonts w:ascii="Verdana" w:hAnsi="Verdana"/>
          <w:sz w:val="20"/>
          <w:szCs w:val="20"/>
          <w:lang w:val="pt-BR"/>
        </w:rPr>
        <w:t xml:space="preserve"> </w:t>
      </w:r>
      <w:r w:rsidR="000138C4" w:rsidRPr="0038442F">
        <w:rPr>
          <w:rFonts w:ascii="Verdana" w:hAnsi="Verdana"/>
          <w:sz w:val="20"/>
          <w:szCs w:val="20"/>
          <w:lang w:val="pt-BR"/>
        </w:rPr>
        <w:t>“formular, p</w:t>
      </w:r>
      <w:r w:rsidR="00602FF9" w:rsidRPr="0038442F">
        <w:rPr>
          <w:rFonts w:ascii="Verdana" w:hAnsi="Verdana"/>
          <w:sz w:val="20"/>
          <w:szCs w:val="20"/>
          <w:lang w:val="pt-BR"/>
        </w:rPr>
        <w:t xml:space="preserve">ôr em </w:t>
      </w:r>
      <w:r w:rsidR="0059451E" w:rsidRPr="0038442F">
        <w:rPr>
          <w:rFonts w:ascii="Verdana" w:hAnsi="Verdana"/>
          <w:sz w:val="20"/>
          <w:szCs w:val="20"/>
          <w:lang w:val="pt-BR"/>
        </w:rPr>
        <w:t>prática</w:t>
      </w:r>
      <w:r w:rsidR="00407242" w:rsidRPr="0038442F">
        <w:rPr>
          <w:rFonts w:ascii="Verdana" w:hAnsi="Verdana"/>
          <w:sz w:val="20"/>
          <w:szCs w:val="20"/>
          <w:lang w:val="pt-BR"/>
        </w:rPr>
        <w:t xml:space="preserve"> </w:t>
      </w:r>
      <w:r w:rsidR="00602FF9" w:rsidRPr="0038442F">
        <w:rPr>
          <w:rFonts w:ascii="Verdana" w:hAnsi="Verdana"/>
          <w:sz w:val="20"/>
          <w:szCs w:val="20"/>
          <w:lang w:val="pt-BR"/>
        </w:rPr>
        <w:t>e</w:t>
      </w:r>
      <w:r w:rsidR="000138C4" w:rsidRPr="0038442F">
        <w:rPr>
          <w:rFonts w:ascii="Verdana" w:hAnsi="Verdana"/>
          <w:sz w:val="20"/>
          <w:szCs w:val="20"/>
          <w:lang w:val="pt-BR"/>
        </w:rPr>
        <w:t xml:space="preserve"> reexaminar peri</w:t>
      </w:r>
      <w:r w:rsidR="00602FF9" w:rsidRPr="0038442F">
        <w:rPr>
          <w:rFonts w:ascii="Verdana" w:hAnsi="Verdana"/>
          <w:sz w:val="20"/>
          <w:szCs w:val="20"/>
          <w:lang w:val="pt-BR"/>
        </w:rPr>
        <w:t>o</w:t>
      </w:r>
      <w:r w:rsidR="000138C4" w:rsidRPr="0038442F">
        <w:rPr>
          <w:rFonts w:ascii="Verdana" w:hAnsi="Verdana"/>
          <w:sz w:val="20"/>
          <w:szCs w:val="20"/>
          <w:lang w:val="pt-BR"/>
        </w:rPr>
        <w:t xml:space="preserve">dicamente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política nacional coerente </w:t>
      </w:r>
      <w:r w:rsidR="00602FF9" w:rsidRPr="0038442F">
        <w:rPr>
          <w:rFonts w:ascii="Verdana" w:hAnsi="Verdana"/>
          <w:sz w:val="20"/>
          <w:szCs w:val="20"/>
          <w:lang w:val="pt-BR"/>
        </w:rPr>
        <w:t xml:space="preserve">em matéria </w:t>
      </w:r>
      <w:r w:rsidR="000138C4" w:rsidRPr="0038442F">
        <w:rPr>
          <w:rFonts w:ascii="Verdana" w:hAnsi="Verdana"/>
          <w:sz w:val="20"/>
          <w:szCs w:val="20"/>
          <w:lang w:val="pt-BR"/>
        </w:rPr>
        <w:t xml:space="preserve">de </w:t>
      </w:r>
      <w:r w:rsidR="008806F8" w:rsidRPr="0038442F">
        <w:rPr>
          <w:rFonts w:ascii="Verdana" w:hAnsi="Verdana"/>
          <w:sz w:val="20"/>
          <w:szCs w:val="20"/>
          <w:lang w:val="pt-BR"/>
        </w:rPr>
        <w:t>segurança</w:t>
      </w:r>
      <w:r w:rsidR="00407242" w:rsidRPr="0038442F">
        <w:rPr>
          <w:rFonts w:ascii="Verdana" w:hAnsi="Verdana"/>
          <w:sz w:val="20"/>
          <w:szCs w:val="20"/>
          <w:lang w:val="pt-BR"/>
        </w:rPr>
        <w:t xml:space="preserve"> </w:t>
      </w:r>
      <w:r w:rsidR="00602FF9" w:rsidRPr="0038442F">
        <w:rPr>
          <w:rFonts w:ascii="Verdana" w:hAnsi="Verdana"/>
          <w:sz w:val="20"/>
          <w:szCs w:val="20"/>
          <w:lang w:val="pt-BR"/>
        </w:rPr>
        <w:t>e</w:t>
      </w:r>
      <w:r w:rsidR="000138C4" w:rsidRPr="0038442F">
        <w:rPr>
          <w:rFonts w:ascii="Verdana" w:hAnsi="Verdana"/>
          <w:sz w:val="20"/>
          <w:szCs w:val="20"/>
          <w:lang w:val="pt-BR"/>
        </w:rPr>
        <w:t xml:space="preserve"> </w:t>
      </w:r>
      <w:r w:rsidR="00751189" w:rsidRPr="0038442F">
        <w:rPr>
          <w:rFonts w:ascii="Verdana" w:hAnsi="Verdana"/>
          <w:sz w:val="20"/>
          <w:szCs w:val="20"/>
          <w:lang w:val="pt-BR"/>
        </w:rPr>
        <w:t>saúde</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246A73" w:rsidRPr="0038442F">
        <w:rPr>
          <w:rFonts w:ascii="Verdana" w:hAnsi="Verdana"/>
          <w:sz w:val="20"/>
          <w:szCs w:val="20"/>
          <w:lang w:val="pt-BR"/>
        </w:rPr>
        <w:t>trabalhadores</w:t>
      </w:r>
      <w:r w:rsidR="00407242" w:rsidRPr="0038442F">
        <w:rPr>
          <w:rFonts w:ascii="Verdana" w:hAnsi="Verdana"/>
          <w:sz w:val="20"/>
          <w:szCs w:val="20"/>
          <w:lang w:val="pt-BR"/>
        </w:rPr>
        <w:t xml:space="preserve"> </w:t>
      </w:r>
      <w:r w:rsidR="00602FF9" w:rsidRPr="0038442F">
        <w:rPr>
          <w:rFonts w:ascii="Verdana" w:hAnsi="Verdana"/>
          <w:sz w:val="20"/>
          <w:szCs w:val="20"/>
          <w:lang w:val="pt-BR"/>
        </w:rPr>
        <w:t>e</w:t>
      </w:r>
      <w:r w:rsidR="000138C4" w:rsidRPr="0038442F">
        <w:rPr>
          <w:rFonts w:ascii="Verdana" w:hAnsi="Verdana"/>
          <w:sz w:val="20"/>
          <w:szCs w:val="20"/>
          <w:lang w:val="pt-BR"/>
        </w:rPr>
        <w:t xml:space="preserve"> </w:t>
      </w:r>
      <w:r w:rsidR="009D16DD" w:rsidRPr="0038442F">
        <w:rPr>
          <w:rFonts w:ascii="Verdana" w:hAnsi="Verdana"/>
          <w:sz w:val="20"/>
          <w:szCs w:val="20"/>
          <w:lang w:val="pt-BR"/>
        </w:rPr>
        <w:t>meio</w:t>
      </w:r>
      <w:r w:rsidR="00407242" w:rsidRPr="0038442F">
        <w:rPr>
          <w:rFonts w:ascii="Verdana" w:hAnsi="Verdana"/>
          <w:sz w:val="20"/>
          <w:szCs w:val="20"/>
          <w:lang w:val="pt-BR"/>
        </w:rPr>
        <w:t xml:space="preserve"> </w:t>
      </w:r>
      <w:r w:rsidR="000138C4" w:rsidRPr="0038442F">
        <w:rPr>
          <w:rFonts w:ascii="Verdana" w:hAnsi="Verdana"/>
          <w:sz w:val="20"/>
          <w:szCs w:val="20"/>
          <w:lang w:val="pt-BR"/>
        </w:rPr>
        <w:t xml:space="preserve">ambiente de </w:t>
      </w:r>
      <w:r w:rsidR="00C92762" w:rsidRPr="0038442F">
        <w:rPr>
          <w:rFonts w:ascii="Verdana" w:hAnsi="Verdana"/>
          <w:sz w:val="20"/>
          <w:szCs w:val="20"/>
          <w:lang w:val="pt-BR"/>
        </w:rPr>
        <w:t>trabalho</w:t>
      </w:r>
      <w:r w:rsidR="000138C4" w:rsidRPr="0038442F">
        <w:rPr>
          <w:rFonts w:ascii="Verdana" w:hAnsi="Verdana"/>
          <w:sz w:val="20"/>
          <w:szCs w:val="20"/>
          <w:lang w:val="pt-BR"/>
        </w:rPr>
        <w:t xml:space="preserve">”, </w:t>
      </w:r>
      <w:r w:rsidR="00602FF9" w:rsidRPr="0038442F">
        <w:rPr>
          <w:rFonts w:ascii="Verdana" w:hAnsi="Verdana"/>
          <w:sz w:val="20"/>
          <w:szCs w:val="20"/>
          <w:lang w:val="pt-BR"/>
        </w:rPr>
        <w:t>cujo</w:t>
      </w:r>
      <w:r w:rsidR="00407242" w:rsidRPr="0038442F">
        <w:rPr>
          <w:rFonts w:ascii="Verdana" w:hAnsi="Verdana"/>
          <w:sz w:val="20"/>
          <w:szCs w:val="20"/>
          <w:lang w:val="pt-BR"/>
        </w:rPr>
        <w:t xml:space="preserve"> </w:t>
      </w:r>
      <w:r w:rsidR="000138C4" w:rsidRPr="0038442F">
        <w:rPr>
          <w:rFonts w:ascii="Verdana" w:hAnsi="Verdana"/>
          <w:sz w:val="20"/>
          <w:szCs w:val="20"/>
          <w:lang w:val="pt-BR"/>
        </w:rPr>
        <w:t>objet</w:t>
      </w:r>
      <w:r w:rsidR="008E7279">
        <w:rPr>
          <w:rFonts w:ascii="Verdana" w:hAnsi="Verdana"/>
          <w:sz w:val="20"/>
          <w:szCs w:val="20"/>
          <w:lang w:val="pt-BR"/>
        </w:rPr>
        <w:t>iv</w:t>
      </w:r>
      <w:r w:rsidR="000138C4" w:rsidRPr="0038442F">
        <w:rPr>
          <w:rFonts w:ascii="Verdana" w:hAnsi="Verdana"/>
          <w:sz w:val="20"/>
          <w:szCs w:val="20"/>
          <w:lang w:val="pt-BR"/>
        </w:rPr>
        <w:t>o se</w:t>
      </w:r>
      <w:r w:rsidR="003B374E" w:rsidRPr="0038442F">
        <w:rPr>
          <w:rFonts w:ascii="Verdana" w:hAnsi="Verdana"/>
          <w:sz w:val="20"/>
          <w:szCs w:val="20"/>
          <w:lang w:val="pt-BR"/>
        </w:rPr>
        <w:t>j</w:t>
      </w:r>
      <w:r w:rsidR="000138C4" w:rsidRPr="0038442F">
        <w:rPr>
          <w:rFonts w:ascii="Verdana" w:hAnsi="Verdana"/>
          <w:sz w:val="20"/>
          <w:szCs w:val="20"/>
          <w:lang w:val="pt-BR"/>
        </w:rPr>
        <w:t xml:space="preserve">a “prevenir os </w:t>
      </w:r>
      <w:r w:rsidR="003B374E" w:rsidRPr="0038442F">
        <w:rPr>
          <w:rFonts w:ascii="Verdana" w:hAnsi="Verdana"/>
          <w:sz w:val="20"/>
          <w:szCs w:val="20"/>
          <w:lang w:val="pt-BR"/>
        </w:rPr>
        <w:t>acidentes</w:t>
      </w:r>
      <w:r w:rsidR="00407242" w:rsidRPr="0038442F">
        <w:rPr>
          <w:rFonts w:ascii="Verdana" w:hAnsi="Verdana"/>
          <w:sz w:val="20"/>
          <w:szCs w:val="20"/>
          <w:lang w:val="pt-BR"/>
        </w:rPr>
        <w:t xml:space="preserve"> </w:t>
      </w:r>
      <w:r w:rsidR="003B374E" w:rsidRPr="0038442F">
        <w:rPr>
          <w:rFonts w:ascii="Verdana" w:hAnsi="Verdana"/>
          <w:sz w:val="20"/>
          <w:szCs w:val="20"/>
          <w:lang w:val="pt-BR"/>
        </w:rPr>
        <w:t xml:space="preserve">e </w:t>
      </w:r>
      <w:r w:rsidR="000138C4" w:rsidRPr="0038442F">
        <w:rPr>
          <w:rFonts w:ascii="Verdana" w:hAnsi="Verdana"/>
          <w:sz w:val="20"/>
          <w:szCs w:val="20"/>
          <w:lang w:val="pt-BR"/>
        </w:rPr>
        <w:t xml:space="preserve">os </w:t>
      </w:r>
      <w:r w:rsidR="003B374E" w:rsidRPr="0038442F">
        <w:rPr>
          <w:rFonts w:ascii="Verdana" w:hAnsi="Verdana"/>
          <w:sz w:val="20"/>
          <w:szCs w:val="20"/>
          <w:lang w:val="pt-BR"/>
        </w:rPr>
        <w:t xml:space="preserve">danos à </w:t>
      </w:r>
      <w:r w:rsidR="008806F8" w:rsidRPr="0038442F">
        <w:rPr>
          <w:rFonts w:ascii="Verdana" w:hAnsi="Verdana"/>
          <w:sz w:val="20"/>
          <w:szCs w:val="20"/>
          <w:lang w:val="pt-BR"/>
        </w:rPr>
        <w:t xml:space="preserve">saúde </w:t>
      </w:r>
      <w:r w:rsidR="000138C4" w:rsidRPr="0038442F">
        <w:rPr>
          <w:rFonts w:ascii="Verdana" w:hAnsi="Verdana"/>
          <w:sz w:val="20"/>
          <w:szCs w:val="20"/>
          <w:lang w:val="pt-BR"/>
        </w:rPr>
        <w:t xml:space="preserve">que </w:t>
      </w:r>
      <w:r w:rsidR="003B374E" w:rsidRPr="0038442F">
        <w:rPr>
          <w:rFonts w:ascii="Verdana" w:hAnsi="Verdana"/>
          <w:sz w:val="20"/>
          <w:szCs w:val="20"/>
          <w:lang w:val="pt-BR"/>
        </w:rPr>
        <w:t xml:space="preserve">sejam </w:t>
      </w:r>
      <w:r w:rsidR="00984A83" w:rsidRPr="0038442F">
        <w:rPr>
          <w:rFonts w:ascii="Verdana" w:hAnsi="Verdana"/>
          <w:sz w:val="20"/>
          <w:szCs w:val="20"/>
          <w:lang w:val="pt-BR"/>
        </w:rPr>
        <w:t>consequência</w:t>
      </w:r>
      <w:r w:rsidR="00407242" w:rsidRPr="0038442F">
        <w:rPr>
          <w:rFonts w:ascii="Verdana" w:hAnsi="Verdana"/>
          <w:sz w:val="20"/>
          <w:szCs w:val="20"/>
          <w:lang w:val="pt-BR"/>
        </w:rPr>
        <w:t xml:space="preserve"> </w:t>
      </w:r>
      <w:r w:rsidR="003B374E" w:rsidRPr="0038442F">
        <w:rPr>
          <w:rFonts w:ascii="Verdana" w:hAnsi="Verdana"/>
          <w:sz w:val="20"/>
          <w:szCs w:val="20"/>
          <w:lang w:val="pt-BR"/>
        </w:rPr>
        <w:t>do trabalho</w:t>
      </w:r>
      <w:r w:rsidR="000138C4" w:rsidRPr="0038442F">
        <w:rPr>
          <w:rFonts w:ascii="Verdana" w:hAnsi="Verdana"/>
          <w:sz w:val="20"/>
          <w:szCs w:val="20"/>
          <w:lang w:val="pt-BR"/>
        </w:rPr>
        <w:t>, guarde</w:t>
      </w:r>
      <w:r w:rsidR="003B374E" w:rsidRPr="0038442F">
        <w:rPr>
          <w:rFonts w:ascii="Verdana" w:hAnsi="Verdana"/>
          <w:sz w:val="20"/>
          <w:szCs w:val="20"/>
          <w:lang w:val="pt-BR"/>
        </w:rPr>
        <w:t>m</w:t>
      </w:r>
      <w:r w:rsidR="000138C4" w:rsidRPr="0038442F">
        <w:rPr>
          <w:rFonts w:ascii="Verdana" w:hAnsi="Verdana"/>
          <w:sz w:val="20"/>
          <w:szCs w:val="20"/>
          <w:lang w:val="pt-BR"/>
        </w:rPr>
        <w:t xml:space="preserve"> rela</w:t>
      </w:r>
      <w:r w:rsidR="000A1AA8" w:rsidRPr="0038442F">
        <w:rPr>
          <w:rFonts w:ascii="Verdana" w:hAnsi="Verdana"/>
          <w:sz w:val="20"/>
          <w:szCs w:val="20"/>
          <w:lang w:val="pt-BR"/>
        </w:rPr>
        <w:t>ção</w:t>
      </w:r>
      <w:r w:rsidR="000138C4" w:rsidRPr="0038442F">
        <w:rPr>
          <w:rFonts w:ascii="Verdana" w:hAnsi="Verdana"/>
          <w:sz w:val="20"/>
          <w:szCs w:val="20"/>
          <w:lang w:val="pt-BR"/>
        </w:rPr>
        <w:t xml:space="preserve"> </w:t>
      </w:r>
      <w:r w:rsidR="003B374E" w:rsidRPr="0038442F">
        <w:rPr>
          <w:rFonts w:ascii="Verdana" w:hAnsi="Verdana"/>
          <w:sz w:val="20"/>
          <w:szCs w:val="20"/>
          <w:lang w:val="pt-BR"/>
        </w:rPr>
        <w:t xml:space="preserve">com a </w:t>
      </w:r>
      <w:r w:rsidR="00C013FC" w:rsidRPr="0038442F">
        <w:rPr>
          <w:rFonts w:ascii="Verdana" w:hAnsi="Verdana"/>
          <w:sz w:val="20"/>
          <w:szCs w:val="20"/>
          <w:lang w:val="pt-BR"/>
        </w:rPr>
        <w:t>atividade</w:t>
      </w:r>
      <w:r w:rsidR="00407242" w:rsidRPr="0038442F">
        <w:rPr>
          <w:rFonts w:ascii="Verdana" w:hAnsi="Verdana"/>
          <w:sz w:val="20"/>
          <w:szCs w:val="20"/>
          <w:lang w:val="pt-BR"/>
        </w:rPr>
        <w:t xml:space="preserve"> </w:t>
      </w:r>
      <w:r w:rsidR="000138C4" w:rsidRPr="0038442F">
        <w:rPr>
          <w:rFonts w:ascii="Verdana" w:hAnsi="Verdana"/>
          <w:sz w:val="20"/>
          <w:szCs w:val="20"/>
          <w:lang w:val="pt-BR"/>
        </w:rPr>
        <w:t>laboral o</w:t>
      </w:r>
      <w:r w:rsidR="003B374E" w:rsidRPr="0038442F">
        <w:rPr>
          <w:rFonts w:ascii="Verdana" w:hAnsi="Verdana"/>
          <w:sz w:val="20"/>
          <w:szCs w:val="20"/>
          <w:lang w:val="pt-BR"/>
        </w:rPr>
        <w:t>u</w:t>
      </w:r>
      <w:r w:rsidR="000138C4" w:rsidRPr="0038442F">
        <w:rPr>
          <w:rFonts w:ascii="Verdana" w:hAnsi="Verdana"/>
          <w:sz w:val="20"/>
          <w:szCs w:val="20"/>
          <w:lang w:val="pt-BR"/>
        </w:rPr>
        <w:t xml:space="preserve"> sobreven</w:t>
      </w:r>
      <w:r w:rsidR="003B374E" w:rsidRPr="0038442F">
        <w:rPr>
          <w:rFonts w:ascii="Verdana" w:hAnsi="Verdana"/>
          <w:sz w:val="20"/>
          <w:szCs w:val="20"/>
          <w:lang w:val="pt-BR"/>
        </w:rPr>
        <w:t xml:space="preserve">ham </w:t>
      </w:r>
      <w:r w:rsidR="000138C4" w:rsidRPr="0038442F">
        <w:rPr>
          <w:rFonts w:ascii="Verdana" w:hAnsi="Verdana"/>
          <w:sz w:val="20"/>
          <w:szCs w:val="20"/>
          <w:lang w:val="pt-BR"/>
        </w:rPr>
        <w:t xml:space="preserve">durante </w:t>
      </w:r>
      <w:r w:rsidR="003B374E" w:rsidRPr="0038442F">
        <w:rPr>
          <w:rFonts w:ascii="Verdana" w:hAnsi="Verdana"/>
          <w:sz w:val="20"/>
          <w:szCs w:val="20"/>
          <w:lang w:val="pt-BR"/>
        </w:rPr>
        <w:t>o trabalho</w:t>
      </w:r>
      <w:r w:rsidR="000138C4" w:rsidRPr="0038442F">
        <w:rPr>
          <w:rFonts w:ascii="Verdana" w:hAnsi="Verdana"/>
          <w:sz w:val="20"/>
          <w:szCs w:val="20"/>
          <w:lang w:val="pt-BR"/>
        </w:rPr>
        <w:t>”</w:t>
      </w:r>
      <w:r w:rsidR="003B374E" w:rsidRPr="0038442F">
        <w:rPr>
          <w:rFonts w:ascii="Verdana" w:hAnsi="Verdana"/>
          <w:sz w:val="20"/>
          <w:szCs w:val="20"/>
          <w:lang w:val="pt-BR"/>
        </w:rPr>
        <w:t>.</w:t>
      </w:r>
      <w:r w:rsidR="000138C4" w:rsidRPr="0038442F">
        <w:rPr>
          <w:rFonts w:ascii="Verdana" w:hAnsi="Verdana"/>
          <w:sz w:val="20"/>
          <w:szCs w:val="20"/>
          <w:vertAlign w:val="superscript"/>
          <w:lang w:val="pt-BR"/>
        </w:rPr>
        <w:footnoteReference w:id="67"/>
      </w:r>
      <w:r w:rsidR="000138C4" w:rsidRPr="0038442F">
        <w:rPr>
          <w:rFonts w:ascii="Verdana" w:hAnsi="Verdana"/>
          <w:sz w:val="20"/>
          <w:szCs w:val="20"/>
          <w:lang w:val="pt-BR"/>
        </w:rPr>
        <w:t xml:space="preserve"> </w:t>
      </w:r>
    </w:p>
    <w:p w14:paraId="645D260B" w14:textId="77777777" w:rsidR="00C377B8" w:rsidRPr="0038442F" w:rsidRDefault="00C377B8" w:rsidP="00A857CB">
      <w:pPr>
        <w:pStyle w:val="Prrafodelista"/>
        <w:spacing w:line="240" w:lineRule="auto"/>
        <w:ind w:left="0"/>
        <w:jc w:val="both"/>
        <w:rPr>
          <w:rFonts w:ascii="Verdana" w:hAnsi="Verdana"/>
          <w:bCs/>
          <w:sz w:val="20"/>
          <w:szCs w:val="20"/>
          <w:lang w:val="pt-BR"/>
        </w:rPr>
      </w:pPr>
    </w:p>
    <w:p w14:paraId="64895E64" w14:textId="549AA56A" w:rsidR="005D3FCB"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43. </w:t>
      </w:r>
      <w:r w:rsidRPr="0038442F">
        <w:rPr>
          <w:rFonts w:ascii="Verdana" w:hAnsi="Verdana"/>
          <w:bCs/>
          <w:sz w:val="20"/>
          <w:szCs w:val="20"/>
          <w:lang w:val="pt-BR"/>
        </w:rPr>
        <w:tab/>
      </w:r>
      <w:r w:rsidR="003B374E" w:rsidRPr="0038442F">
        <w:rPr>
          <w:rFonts w:ascii="Verdana" w:hAnsi="Verdana"/>
          <w:bCs/>
          <w:sz w:val="20"/>
          <w:szCs w:val="20"/>
          <w:lang w:val="pt-BR"/>
        </w:rPr>
        <w:t>Especificamente</w:t>
      </w:r>
      <w:r w:rsidR="00D32677" w:rsidRPr="0038442F">
        <w:rPr>
          <w:rFonts w:ascii="Verdana" w:hAnsi="Verdana"/>
          <w:bCs/>
          <w:sz w:val="20"/>
          <w:szCs w:val="20"/>
          <w:lang w:val="pt-BR"/>
        </w:rPr>
        <w:t>, as fiscaliza</w:t>
      </w:r>
      <w:r w:rsidR="000A1AA8" w:rsidRPr="0038442F">
        <w:rPr>
          <w:rFonts w:ascii="Verdana" w:hAnsi="Verdana"/>
          <w:bCs/>
          <w:sz w:val="20"/>
          <w:szCs w:val="20"/>
          <w:lang w:val="pt-BR"/>
        </w:rPr>
        <w:t>ções</w:t>
      </w:r>
      <w:r w:rsidR="00D32677" w:rsidRPr="0038442F">
        <w:rPr>
          <w:rFonts w:ascii="Verdana" w:hAnsi="Verdana"/>
          <w:bCs/>
          <w:sz w:val="20"/>
          <w:szCs w:val="20"/>
          <w:lang w:val="pt-BR"/>
        </w:rPr>
        <w:t xml:space="preserve"> e </w:t>
      </w:r>
      <w:r w:rsidR="00602FF9" w:rsidRPr="0038442F">
        <w:rPr>
          <w:rFonts w:ascii="Verdana" w:hAnsi="Verdana"/>
          <w:bCs/>
          <w:sz w:val="20"/>
          <w:szCs w:val="20"/>
          <w:lang w:val="pt-BR"/>
        </w:rPr>
        <w:t>inspeções</w:t>
      </w:r>
      <w:r w:rsidR="00407242" w:rsidRPr="0038442F">
        <w:rPr>
          <w:rFonts w:ascii="Verdana" w:hAnsi="Verdana"/>
          <w:bCs/>
          <w:sz w:val="20"/>
          <w:szCs w:val="20"/>
          <w:lang w:val="pt-BR"/>
        </w:rPr>
        <w:t xml:space="preserve"> </w:t>
      </w:r>
      <w:r w:rsidR="00602FF9" w:rsidRPr="0038442F">
        <w:rPr>
          <w:rFonts w:ascii="Verdana" w:hAnsi="Verdana"/>
          <w:bCs/>
          <w:sz w:val="20"/>
          <w:szCs w:val="20"/>
          <w:lang w:val="pt-BR"/>
        </w:rPr>
        <w:t xml:space="preserve">nos </w:t>
      </w:r>
      <w:r w:rsidR="003B374E" w:rsidRPr="0038442F">
        <w:rPr>
          <w:rFonts w:ascii="Verdana" w:hAnsi="Verdana"/>
          <w:bCs/>
          <w:sz w:val="20"/>
          <w:szCs w:val="20"/>
          <w:lang w:val="pt-BR"/>
        </w:rPr>
        <w:t xml:space="preserve">locais </w:t>
      </w:r>
      <w:r w:rsidR="00D32677" w:rsidRPr="0038442F">
        <w:rPr>
          <w:rFonts w:ascii="Verdana" w:hAnsi="Verdana"/>
          <w:bCs/>
          <w:sz w:val="20"/>
          <w:szCs w:val="20"/>
          <w:lang w:val="pt-BR"/>
        </w:rPr>
        <w:t xml:space="preserve">de </w:t>
      </w:r>
      <w:r w:rsidR="00C92762" w:rsidRPr="0038442F">
        <w:rPr>
          <w:rFonts w:ascii="Verdana" w:hAnsi="Verdana"/>
          <w:bCs/>
          <w:sz w:val="20"/>
          <w:szCs w:val="20"/>
          <w:lang w:val="pt-BR"/>
        </w:rPr>
        <w:t xml:space="preserve">trabalho </w:t>
      </w:r>
      <w:r w:rsidR="003B374E" w:rsidRPr="0038442F">
        <w:rPr>
          <w:rFonts w:ascii="Verdana" w:hAnsi="Verdana"/>
          <w:bCs/>
          <w:sz w:val="20"/>
          <w:szCs w:val="20"/>
          <w:lang w:val="pt-BR"/>
        </w:rPr>
        <w:t>em que se encontr</w:t>
      </w:r>
      <w:r w:rsidR="008E7279">
        <w:rPr>
          <w:rFonts w:ascii="Verdana" w:hAnsi="Verdana"/>
          <w:bCs/>
          <w:sz w:val="20"/>
          <w:szCs w:val="20"/>
          <w:lang w:val="pt-BR"/>
        </w:rPr>
        <w:t>a</w:t>
      </w:r>
      <w:r w:rsidR="003B374E" w:rsidRPr="0038442F">
        <w:rPr>
          <w:rFonts w:ascii="Verdana" w:hAnsi="Verdana"/>
          <w:bCs/>
          <w:sz w:val="20"/>
          <w:szCs w:val="20"/>
          <w:lang w:val="pt-BR"/>
        </w:rPr>
        <w:t xml:space="preserve">m </w:t>
      </w:r>
      <w:r w:rsidR="00D32677" w:rsidRPr="0038442F">
        <w:rPr>
          <w:rFonts w:ascii="Verdana" w:hAnsi="Verdana"/>
          <w:bCs/>
          <w:sz w:val="20"/>
          <w:szCs w:val="20"/>
          <w:lang w:val="pt-BR"/>
        </w:rPr>
        <w:t>materi</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perigosos</w:t>
      </w:r>
      <w:r w:rsidR="00407242" w:rsidRPr="0038442F">
        <w:rPr>
          <w:rFonts w:ascii="Verdana" w:hAnsi="Verdana"/>
          <w:bCs/>
          <w:sz w:val="20"/>
          <w:szCs w:val="20"/>
          <w:lang w:val="pt-BR"/>
        </w:rPr>
        <w:t xml:space="preserve"> </w:t>
      </w:r>
      <w:r w:rsidR="003B374E" w:rsidRPr="0038442F">
        <w:rPr>
          <w:rFonts w:ascii="Verdana" w:hAnsi="Verdana"/>
          <w:bCs/>
          <w:sz w:val="20"/>
          <w:szCs w:val="20"/>
          <w:lang w:val="pt-BR"/>
        </w:rPr>
        <w:t xml:space="preserve">constituem </w:t>
      </w:r>
      <w:r w:rsidR="00C92762" w:rsidRPr="0038442F">
        <w:rPr>
          <w:rFonts w:ascii="Verdana" w:hAnsi="Verdana"/>
          <w:bCs/>
          <w:sz w:val="20"/>
          <w:szCs w:val="20"/>
          <w:lang w:val="pt-BR"/>
        </w:rPr>
        <w:t xml:space="preserve">uma </w:t>
      </w:r>
      <w:r w:rsidR="00D32677" w:rsidRPr="0038442F">
        <w:rPr>
          <w:rFonts w:ascii="Verdana" w:hAnsi="Verdana"/>
          <w:bCs/>
          <w:sz w:val="20"/>
          <w:szCs w:val="20"/>
          <w:lang w:val="pt-BR"/>
        </w:rPr>
        <w:t xml:space="preserve">forma </w:t>
      </w:r>
      <w:r w:rsidR="003B374E" w:rsidRPr="0038442F">
        <w:rPr>
          <w:rFonts w:ascii="Verdana" w:hAnsi="Verdana"/>
          <w:bCs/>
          <w:sz w:val="20"/>
          <w:szCs w:val="20"/>
          <w:lang w:val="pt-BR"/>
        </w:rPr>
        <w:t xml:space="preserve">mediante a qual </w:t>
      </w:r>
      <w:r w:rsidR="005135E5" w:rsidRPr="0038442F">
        <w:rPr>
          <w:rFonts w:ascii="Verdana" w:hAnsi="Verdana"/>
          <w:bCs/>
          <w:sz w:val="20"/>
          <w:szCs w:val="20"/>
          <w:lang w:val="pt-BR"/>
        </w:rPr>
        <w:t xml:space="preserve">os Estados </w:t>
      </w:r>
      <w:r w:rsidR="000450DD" w:rsidRPr="0038442F">
        <w:rPr>
          <w:rFonts w:ascii="Verdana" w:hAnsi="Verdana"/>
          <w:bCs/>
          <w:sz w:val="20"/>
          <w:szCs w:val="20"/>
          <w:lang w:val="pt-BR"/>
        </w:rPr>
        <w:t>podem</w:t>
      </w:r>
      <w:r w:rsidR="00407242" w:rsidRPr="0038442F">
        <w:rPr>
          <w:rFonts w:ascii="Verdana" w:hAnsi="Verdana"/>
          <w:bCs/>
          <w:sz w:val="20"/>
          <w:szCs w:val="20"/>
          <w:lang w:val="pt-BR"/>
        </w:rPr>
        <w:t xml:space="preserve"> </w:t>
      </w:r>
      <w:r w:rsidR="00A97590" w:rsidRPr="0038442F">
        <w:rPr>
          <w:rFonts w:ascii="Verdana" w:hAnsi="Verdana"/>
          <w:bCs/>
          <w:sz w:val="20"/>
          <w:szCs w:val="20"/>
          <w:lang w:val="pt-BR"/>
        </w:rPr>
        <w:t>cumprir</w:t>
      </w:r>
      <w:r w:rsidR="00407242" w:rsidRPr="0038442F">
        <w:rPr>
          <w:rFonts w:ascii="Verdana" w:hAnsi="Verdana"/>
          <w:bCs/>
          <w:sz w:val="20"/>
          <w:szCs w:val="20"/>
          <w:lang w:val="pt-BR"/>
        </w:rPr>
        <w:t xml:space="preserve"> </w:t>
      </w:r>
      <w:r w:rsidR="003B374E" w:rsidRPr="0038442F">
        <w:rPr>
          <w:rFonts w:ascii="Verdana" w:hAnsi="Verdana"/>
          <w:bCs/>
          <w:sz w:val="20"/>
          <w:szCs w:val="20"/>
          <w:lang w:val="pt-BR"/>
        </w:rPr>
        <w:t xml:space="preserve">o artigo </w:t>
      </w:r>
      <w:r w:rsidR="00D32677" w:rsidRPr="0038442F">
        <w:rPr>
          <w:rFonts w:ascii="Verdana" w:hAnsi="Verdana"/>
          <w:bCs/>
          <w:sz w:val="20"/>
          <w:szCs w:val="20"/>
          <w:lang w:val="pt-BR"/>
        </w:rPr>
        <w:t xml:space="preserve">19 </w:t>
      </w:r>
      <w:r w:rsidR="00C92762" w:rsidRPr="0038442F">
        <w:rPr>
          <w:rFonts w:ascii="Verdana" w:hAnsi="Verdana"/>
          <w:bCs/>
          <w:sz w:val="20"/>
          <w:szCs w:val="20"/>
          <w:lang w:val="pt-BR"/>
        </w:rPr>
        <w:t xml:space="preserve">da </w:t>
      </w:r>
      <w:r w:rsidR="00D32677" w:rsidRPr="0038442F">
        <w:rPr>
          <w:rFonts w:ascii="Verdana" w:hAnsi="Verdana"/>
          <w:bCs/>
          <w:sz w:val="20"/>
          <w:szCs w:val="20"/>
          <w:lang w:val="pt-BR"/>
        </w:rPr>
        <w:t>Conven</w:t>
      </w:r>
      <w:r w:rsidR="000A1AA8" w:rsidRPr="0038442F">
        <w:rPr>
          <w:rFonts w:ascii="Verdana" w:hAnsi="Verdana"/>
          <w:bCs/>
          <w:sz w:val="20"/>
          <w:szCs w:val="20"/>
          <w:lang w:val="pt-BR"/>
        </w:rPr>
        <w:t>ção</w:t>
      </w:r>
      <w:r w:rsidR="00D32677" w:rsidRPr="0038442F">
        <w:rPr>
          <w:rFonts w:ascii="Verdana" w:hAnsi="Verdana"/>
          <w:bCs/>
          <w:sz w:val="20"/>
          <w:szCs w:val="20"/>
          <w:lang w:val="pt-BR"/>
        </w:rPr>
        <w:t xml:space="preserve"> Americana</w:t>
      </w:r>
      <w:r w:rsidR="005D3FCB" w:rsidRPr="0038442F">
        <w:rPr>
          <w:rFonts w:ascii="Verdana" w:hAnsi="Verdana"/>
          <w:bCs/>
          <w:sz w:val="20"/>
          <w:szCs w:val="20"/>
          <w:lang w:val="pt-BR"/>
        </w:rPr>
        <w:t xml:space="preserve">, </w:t>
      </w:r>
      <w:r w:rsidR="00A9673B" w:rsidRPr="0038442F">
        <w:rPr>
          <w:rFonts w:ascii="Verdana" w:hAnsi="Verdana"/>
          <w:bCs/>
          <w:sz w:val="20"/>
          <w:szCs w:val="20"/>
          <w:lang w:val="pt-BR"/>
        </w:rPr>
        <w:t xml:space="preserve">sobre </w:t>
      </w:r>
      <w:r w:rsidR="00D32677" w:rsidRPr="0038442F">
        <w:rPr>
          <w:rFonts w:ascii="Verdana" w:hAnsi="Verdana"/>
          <w:bCs/>
          <w:sz w:val="20"/>
          <w:szCs w:val="20"/>
          <w:lang w:val="pt-BR"/>
        </w:rPr>
        <w:t>“</w:t>
      </w:r>
      <w:r w:rsidR="007B06BD" w:rsidRPr="0038442F">
        <w:rPr>
          <w:rFonts w:ascii="Verdana" w:hAnsi="Verdana" w:cs="Tahoma"/>
          <w:sz w:val="20"/>
          <w:szCs w:val="20"/>
          <w:lang w:val="pt-BR"/>
        </w:rPr>
        <w:t xml:space="preserve">as medidas de </w:t>
      </w:r>
      <w:r w:rsidR="00751189" w:rsidRPr="0038442F">
        <w:rPr>
          <w:rFonts w:ascii="Verdana" w:hAnsi="Verdana" w:cs="Tahoma"/>
          <w:sz w:val="20"/>
          <w:szCs w:val="20"/>
          <w:lang w:val="pt-BR"/>
        </w:rPr>
        <w:t>proteção</w:t>
      </w:r>
      <w:r w:rsidR="00D32677" w:rsidRPr="0038442F">
        <w:rPr>
          <w:rFonts w:ascii="Verdana" w:hAnsi="Verdana"/>
          <w:bCs/>
          <w:sz w:val="20"/>
          <w:szCs w:val="20"/>
          <w:lang w:val="pt-BR"/>
        </w:rPr>
        <w:t>”</w:t>
      </w:r>
      <w:r w:rsidR="00E2096F" w:rsidRPr="0038442F">
        <w:rPr>
          <w:rFonts w:ascii="Verdana" w:hAnsi="Verdana"/>
          <w:bCs/>
          <w:sz w:val="20"/>
          <w:szCs w:val="20"/>
          <w:lang w:val="pt-BR"/>
        </w:rPr>
        <w:t xml:space="preserve"> </w:t>
      </w:r>
      <w:r w:rsidR="003B374E" w:rsidRPr="0038442F">
        <w:rPr>
          <w:rFonts w:ascii="Verdana" w:hAnsi="Verdana"/>
          <w:bCs/>
          <w:sz w:val="20"/>
          <w:szCs w:val="20"/>
          <w:lang w:val="pt-BR"/>
        </w:rPr>
        <w:t>em favor das crianças, uma vez que identificariam aqueles locais em que</w:t>
      </w:r>
      <w:r w:rsidR="00D32677" w:rsidRPr="0038442F">
        <w:rPr>
          <w:rFonts w:ascii="Verdana" w:hAnsi="Verdana"/>
          <w:bCs/>
          <w:sz w:val="20"/>
          <w:szCs w:val="20"/>
          <w:lang w:val="pt-BR"/>
        </w:rPr>
        <w:t xml:space="preserve"> n</w:t>
      </w:r>
      <w:r w:rsidR="003B374E" w:rsidRPr="0038442F">
        <w:rPr>
          <w:rFonts w:ascii="Verdana" w:hAnsi="Verdana"/>
          <w:bCs/>
          <w:sz w:val="20"/>
          <w:szCs w:val="20"/>
          <w:lang w:val="pt-BR"/>
        </w:rPr>
        <w:t>ã</w:t>
      </w:r>
      <w:r w:rsidR="00D32677" w:rsidRPr="0038442F">
        <w:rPr>
          <w:rFonts w:ascii="Verdana" w:hAnsi="Verdana"/>
          <w:bCs/>
          <w:sz w:val="20"/>
          <w:szCs w:val="20"/>
          <w:lang w:val="pt-BR"/>
        </w:rPr>
        <w:t xml:space="preserve">o </w:t>
      </w:r>
      <w:r w:rsidR="00A37C2A" w:rsidRPr="0038442F">
        <w:rPr>
          <w:rFonts w:ascii="Verdana" w:hAnsi="Verdana"/>
          <w:bCs/>
          <w:sz w:val="20"/>
          <w:szCs w:val="20"/>
          <w:lang w:val="pt-BR"/>
        </w:rPr>
        <w:t xml:space="preserve">esteja sendo cumprido </w:t>
      </w:r>
      <w:r w:rsidR="003B374E" w:rsidRPr="0038442F">
        <w:rPr>
          <w:rFonts w:ascii="Verdana" w:hAnsi="Verdana"/>
          <w:bCs/>
          <w:sz w:val="20"/>
          <w:szCs w:val="20"/>
          <w:lang w:val="pt-BR"/>
        </w:rPr>
        <w:t xml:space="preserve">o determinado </w:t>
      </w:r>
      <w:r w:rsidR="000A1AA8" w:rsidRPr="0038442F">
        <w:rPr>
          <w:rFonts w:ascii="Verdana" w:hAnsi="Verdana"/>
          <w:bCs/>
          <w:sz w:val="20"/>
          <w:szCs w:val="20"/>
          <w:lang w:val="pt-BR"/>
        </w:rPr>
        <w:t xml:space="preserve">pela </w:t>
      </w:r>
      <w:r w:rsidR="00D32677" w:rsidRPr="0038442F">
        <w:rPr>
          <w:rFonts w:ascii="Verdana" w:hAnsi="Verdana"/>
          <w:bCs/>
          <w:sz w:val="20"/>
          <w:szCs w:val="20"/>
          <w:lang w:val="pt-BR"/>
        </w:rPr>
        <w:t>legisla</w:t>
      </w:r>
      <w:r w:rsidR="000A1AA8" w:rsidRPr="0038442F">
        <w:rPr>
          <w:rFonts w:ascii="Verdana" w:hAnsi="Verdana"/>
          <w:bCs/>
          <w:sz w:val="20"/>
          <w:szCs w:val="20"/>
          <w:lang w:val="pt-BR"/>
        </w:rPr>
        <w:t>ção</w:t>
      </w:r>
      <w:r w:rsidR="00D32677" w:rsidRPr="0038442F">
        <w:rPr>
          <w:rFonts w:ascii="Verdana" w:hAnsi="Verdana"/>
          <w:bCs/>
          <w:sz w:val="20"/>
          <w:szCs w:val="20"/>
          <w:lang w:val="pt-BR"/>
        </w:rPr>
        <w:t xml:space="preserve"> nacional e internacional </w:t>
      </w:r>
      <w:r w:rsidR="003B374E" w:rsidRPr="0038442F">
        <w:rPr>
          <w:rFonts w:ascii="Verdana" w:hAnsi="Verdana"/>
          <w:bCs/>
          <w:sz w:val="20"/>
          <w:szCs w:val="20"/>
          <w:lang w:val="pt-BR"/>
        </w:rPr>
        <w:t xml:space="preserve">a </w:t>
      </w:r>
      <w:r w:rsidR="009D16DD" w:rsidRPr="0038442F">
        <w:rPr>
          <w:rFonts w:ascii="Verdana" w:hAnsi="Verdana"/>
          <w:bCs/>
          <w:sz w:val="20"/>
          <w:szCs w:val="20"/>
          <w:lang w:val="pt-BR"/>
        </w:rPr>
        <w:t>respeito</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D32677" w:rsidRPr="0038442F">
        <w:rPr>
          <w:rFonts w:ascii="Verdana" w:hAnsi="Verdana"/>
          <w:bCs/>
          <w:sz w:val="20"/>
          <w:szCs w:val="20"/>
          <w:lang w:val="pt-BR"/>
        </w:rPr>
        <w:t>proibi</w:t>
      </w:r>
      <w:r w:rsidR="000A1AA8" w:rsidRPr="0038442F">
        <w:rPr>
          <w:rFonts w:ascii="Verdana" w:hAnsi="Verdana"/>
          <w:bCs/>
          <w:sz w:val="20"/>
          <w:szCs w:val="20"/>
          <w:lang w:val="pt-BR"/>
        </w:rPr>
        <w:t>ção</w:t>
      </w:r>
      <w:r w:rsidR="00D32677" w:rsidRPr="0038442F">
        <w:rPr>
          <w:rFonts w:ascii="Verdana" w:hAnsi="Verdana"/>
          <w:bCs/>
          <w:sz w:val="20"/>
          <w:szCs w:val="20"/>
          <w:lang w:val="pt-BR"/>
        </w:rPr>
        <w:t xml:space="preserve"> de </w:t>
      </w:r>
      <w:r w:rsidR="00C92762" w:rsidRPr="0038442F">
        <w:rPr>
          <w:rFonts w:ascii="Verdana" w:hAnsi="Verdana"/>
          <w:bCs/>
          <w:sz w:val="20"/>
          <w:szCs w:val="20"/>
          <w:lang w:val="pt-BR"/>
        </w:rPr>
        <w:t>trabalho</w:t>
      </w:r>
      <w:r w:rsidR="00407242" w:rsidRPr="0038442F">
        <w:rPr>
          <w:rFonts w:ascii="Verdana" w:hAnsi="Verdana"/>
          <w:bCs/>
          <w:sz w:val="20"/>
          <w:szCs w:val="20"/>
          <w:lang w:val="pt-BR"/>
        </w:rPr>
        <w:t xml:space="preserve"> </w:t>
      </w:r>
      <w:r w:rsidR="00D32677" w:rsidRPr="0038442F">
        <w:rPr>
          <w:rFonts w:ascii="Verdana" w:hAnsi="Verdana"/>
          <w:bCs/>
          <w:sz w:val="20"/>
          <w:szCs w:val="20"/>
          <w:lang w:val="pt-BR"/>
        </w:rPr>
        <w:t>infantil</w:t>
      </w:r>
      <w:r w:rsidR="003B374E" w:rsidRPr="0038442F">
        <w:rPr>
          <w:rFonts w:ascii="Verdana" w:hAnsi="Verdana"/>
          <w:bCs/>
          <w:sz w:val="20"/>
          <w:szCs w:val="20"/>
          <w:lang w:val="pt-BR"/>
        </w:rPr>
        <w:t>,</w:t>
      </w:r>
      <w:r w:rsidR="00D32677" w:rsidRPr="0038442F">
        <w:rPr>
          <w:rStyle w:val="Refdenotaalpie"/>
          <w:rFonts w:ascii="Verdana" w:hAnsi="Verdana"/>
          <w:bCs/>
          <w:sz w:val="20"/>
          <w:szCs w:val="20"/>
          <w:lang w:val="pt-BR"/>
        </w:rPr>
        <w:footnoteReference w:id="68"/>
      </w:r>
      <w:r w:rsidR="005D3FCB" w:rsidRPr="0038442F">
        <w:rPr>
          <w:rFonts w:ascii="Verdana" w:hAnsi="Verdana"/>
          <w:bCs/>
          <w:sz w:val="20"/>
          <w:szCs w:val="20"/>
          <w:lang w:val="pt-BR"/>
        </w:rPr>
        <w:t xml:space="preserve"> onde</w:t>
      </w:r>
      <w:r w:rsidR="00B02C81" w:rsidRPr="0038442F">
        <w:rPr>
          <w:rFonts w:ascii="Verdana" w:hAnsi="Verdana"/>
          <w:bCs/>
          <w:sz w:val="20"/>
          <w:szCs w:val="20"/>
          <w:lang w:val="pt-BR"/>
        </w:rPr>
        <w:t>,</w:t>
      </w:r>
      <w:r w:rsidR="005D3FCB" w:rsidRPr="0038442F">
        <w:rPr>
          <w:rFonts w:ascii="Verdana" w:hAnsi="Verdana"/>
          <w:bCs/>
          <w:sz w:val="20"/>
          <w:szCs w:val="20"/>
          <w:lang w:val="pt-BR"/>
        </w:rPr>
        <w:t xml:space="preserve"> entre </w:t>
      </w:r>
      <w:r w:rsidR="00BC6FC3" w:rsidRPr="0038442F">
        <w:rPr>
          <w:rFonts w:ascii="Verdana" w:hAnsi="Verdana"/>
          <w:bCs/>
          <w:sz w:val="20"/>
          <w:szCs w:val="20"/>
          <w:lang w:val="pt-BR"/>
        </w:rPr>
        <w:t>outros</w:t>
      </w:r>
      <w:r w:rsidR="005D3FCB" w:rsidRPr="0038442F">
        <w:rPr>
          <w:rFonts w:ascii="Verdana" w:hAnsi="Verdana"/>
          <w:bCs/>
          <w:sz w:val="20"/>
          <w:szCs w:val="20"/>
          <w:lang w:val="pt-BR"/>
        </w:rPr>
        <w:t xml:space="preserve">, se </w:t>
      </w:r>
      <w:r w:rsidR="003B374E" w:rsidRPr="0038442F">
        <w:rPr>
          <w:rFonts w:ascii="Verdana" w:hAnsi="Verdana"/>
          <w:bCs/>
          <w:sz w:val="20"/>
          <w:szCs w:val="20"/>
          <w:lang w:val="pt-BR"/>
        </w:rPr>
        <w:t xml:space="preserve">ponha em perigo a </w:t>
      </w:r>
      <w:r w:rsidR="008806F8" w:rsidRPr="0038442F">
        <w:rPr>
          <w:rFonts w:ascii="Verdana" w:hAnsi="Verdana"/>
          <w:bCs/>
          <w:sz w:val="20"/>
          <w:szCs w:val="20"/>
          <w:lang w:val="pt-BR"/>
        </w:rPr>
        <w:t>integridade</w:t>
      </w:r>
      <w:r w:rsidR="00407242" w:rsidRPr="0038442F">
        <w:rPr>
          <w:rFonts w:ascii="Verdana" w:hAnsi="Verdana"/>
          <w:bCs/>
          <w:sz w:val="20"/>
          <w:szCs w:val="20"/>
          <w:lang w:val="pt-BR"/>
        </w:rPr>
        <w:t xml:space="preserve"> </w:t>
      </w:r>
      <w:r w:rsidR="004A218C" w:rsidRPr="0038442F">
        <w:rPr>
          <w:rFonts w:ascii="Verdana" w:hAnsi="Verdana"/>
          <w:bCs/>
          <w:sz w:val="20"/>
          <w:szCs w:val="20"/>
          <w:lang w:val="pt-BR"/>
        </w:rPr>
        <w:t>física o</w:t>
      </w:r>
      <w:r w:rsidR="003B374E" w:rsidRPr="0038442F">
        <w:rPr>
          <w:rFonts w:ascii="Verdana" w:hAnsi="Verdana"/>
          <w:bCs/>
          <w:sz w:val="20"/>
          <w:szCs w:val="20"/>
          <w:lang w:val="pt-BR"/>
        </w:rPr>
        <w:t>u</w:t>
      </w:r>
      <w:r w:rsidR="004A218C" w:rsidRPr="0038442F">
        <w:rPr>
          <w:rFonts w:ascii="Verdana" w:hAnsi="Verdana"/>
          <w:bCs/>
          <w:sz w:val="20"/>
          <w:szCs w:val="20"/>
          <w:lang w:val="pt-BR"/>
        </w:rPr>
        <w:t xml:space="preserve"> </w:t>
      </w:r>
      <w:r w:rsidR="008806F8" w:rsidRPr="0038442F">
        <w:rPr>
          <w:rFonts w:ascii="Verdana" w:hAnsi="Verdana"/>
          <w:bCs/>
          <w:sz w:val="20"/>
          <w:szCs w:val="20"/>
          <w:lang w:val="pt-BR"/>
        </w:rPr>
        <w:t xml:space="preserve">a saúde </w:t>
      </w:r>
      <w:r w:rsidR="00C92762" w:rsidRPr="0038442F">
        <w:rPr>
          <w:rFonts w:ascii="Verdana" w:hAnsi="Verdana"/>
          <w:bCs/>
          <w:sz w:val="20"/>
          <w:szCs w:val="20"/>
          <w:lang w:val="pt-BR"/>
        </w:rPr>
        <w:t>d</w:t>
      </w:r>
      <w:r w:rsidR="003B374E" w:rsidRPr="0038442F">
        <w:rPr>
          <w:rFonts w:ascii="Verdana" w:hAnsi="Verdana"/>
          <w:bCs/>
          <w:sz w:val="20"/>
          <w:szCs w:val="20"/>
          <w:lang w:val="pt-BR"/>
        </w:rPr>
        <w:t>as crianças</w:t>
      </w:r>
      <w:r w:rsidR="005D3FCB" w:rsidRPr="0038442F">
        <w:rPr>
          <w:rFonts w:ascii="Verdana" w:hAnsi="Verdana"/>
          <w:bCs/>
          <w:sz w:val="20"/>
          <w:szCs w:val="20"/>
          <w:lang w:val="pt-BR"/>
        </w:rPr>
        <w:t xml:space="preserve">. </w:t>
      </w:r>
      <w:r w:rsidR="003B374E" w:rsidRPr="0038442F">
        <w:rPr>
          <w:rFonts w:ascii="Verdana" w:hAnsi="Verdana"/>
          <w:bCs/>
          <w:sz w:val="20"/>
          <w:szCs w:val="20"/>
          <w:lang w:val="pt-BR"/>
        </w:rPr>
        <w:t xml:space="preserve">Essa </w:t>
      </w:r>
      <w:r w:rsidR="00DD6354" w:rsidRPr="0038442F">
        <w:rPr>
          <w:rFonts w:ascii="Verdana" w:hAnsi="Verdana"/>
          <w:bCs/>
          <w:sz w:val="20"/>
          <w:szCs w:val="20"/>
          <w:lang w:val="pt-BR"/>
        </w:rPr>
        <w:t>p</w:t>
      </w:r>
      <w:r w:rsidR="005D3FCB" w:rsidRPr="0038442F">
        <w:rPr>
          <w:rFonts w:ascii="Verdana" w:hAnsi="Verdana"/>
          <w:bCs/>
          <w:sz w:val="20"/>
          <w:szCs w:val="20"/>
          <w:lang w:val="pt-BR"/>
        </w:rPr>
        <w:t>roibi</w:t>
      </w:r>
      <w:r w:rsidR="000A1AA8" w:rsidRPr="0038442F">
        <w:rPr>
          <w:rFonts w:ascii="Verdana" w:hAnsi="Verdana"/>
          <w:bCs/>
          <w:sz w:val="20"/>
          <w:szCs w:val="20"/>
          <w:lang w:val="pt-BR"/>
        </w:rPr>
        <w:t>ção</w:t>
      </w:r>
      <w:r w:rsidR="005D3FCB" w:rsidRPr="0038442F">
        <w:rPr>
          <w:rFonts w:ascii="Verdana" w:hAnsi="Verdana"/>
          <w:bCs/>
          <w:sz w:val="20"/>
          <w:szCs w:val="20"/>
          <w:lang w:val="pt-BR"/>
        </w:rPr>
        <w:t xml:space="preserve"> </w:t>
      </w:r>
      <w:r w:rsidR="003B374E" w:rsidRPr="0038442F">
        <w:rPr>
          <w:rFonts w:ascii="Verdana" w:hAnsi="Verdana"/>
          <w:bCs/>
          <w:sz w:val="20"/>
          <w:szCs w:val="20"/>
          <w:lang w:val="pt-BR"/>
        </w:rPr>
        <w:t xml:space="preserve">foi </w:t>
      </w:r>
      <w:r w:rsidR="008806F8" w:rsidRPr="0038442F">
        <w:rPr>
          <w:rFonts w:ascii="Verdana" w:hAnsi="Verdana"/>
          <w:bCs/>
          <w:sz w:val="20"/>
          <w:szCs w:val="20"/>
          <w:lang w:val="pt-BR"/>
        </w:rPr>
        <w:t>estabelecida</w:t>
      </w:r>
      <w:r w:rsidR="005D3FCB" w:rsidRPr="0038442F">
        <w:rPr>
          <w:rFonts w:ascii="Verdana" w:hAnsi="Verdana"/>
          <w:bCs/>
          <w:sz w:val="20"/>
          <w:szCs w:val="20"/>
          <w:lang w:val="pt-BR"/>
        </w:rPr>
        <w:t xml:space="preserve">, principalmente, </w:t>
      </w:r>
      <w:r w:rsidR="00BF7A10" w:rsidRPr="0038442F">
        <w:rPr>
          <w:rFonts w:ascii="Verdana" w:hAnsi="Verdana"/>
          <w:bCs/>
          <w:sz w:val="20"/>
          <w:szCs w:val="20"/>
          <w:lang w:val="pt-BR"/>
        </w:rPr>
        <w:t xml:space="preserve">na </w:t>
      </w:r>
      <w:r w:rsidR="005D3FCB" w:rsidRPr="0038442F">
        <w:rPr>
          <w:rFonts w:ascii="Verdana" w:hAnsi="Verdana"/>
          <w:bCs/>
          <w:sz w:val="20"/>
          <w:szCs w:val="20"/>
          <w:lang w:val="pt-BR"/>
        </w:rPr>
        <w:t>Conven</w:t>
      </w:r>
      <w:r w:rsidR="000A1AA8" w:rsidRPr="0038442F">
        <w:rPr>
          <w:rFonts w:ascii="Verdana" w:hAnsi="Verdana"/>
          <w:bCs/>
          <w:sz w:val="20"/>
          <w:szCs w:val="20"/>
          <w:lang w:val="pt-BR"/>
        </w:rPr>
        <w:t>ção</w:t>
      </w:r>
      <w:r w:rsidR="005D3FCB" w:rsidRPr="0038442F">
        <w:rPr>
          <w:rFonts w:ascii="Verdana" w:hAnsi="Verdana"/>
          <w:bCs/>
          <w:sz w:val="20"/>
          <w:szCs w:val="20"/>
          <w:lang w:val="pt-BR"/>
        </w:rPr>
        <w:t xml:space="preserve"> d</w:t>
      </w:r>
      <w:r w:rsidR="003B374E" w:rsidRPr="0038442F">
        <w:rPr>
          <w:rFonts w:ascii="Verdana" w:hAnsi="Verdana"/>
          <w:bCs/>
          <w:sz w:val="20"/>
          <w:szCs w:val="20"/>
          <w:lang w:val="pt-BR"/>
        </w:rPr>
        <w:t>as</w:t>
      </w:r>
      <w:r w:rsidR="005D3FCB" w:rsidRPr="0038442F">
        <w:rPr>
          <w:rFonts w:ascii="Verdana" w:hAnsi="Verdana"/>
          <w:bCs/>
          <w:sz w:val="20"/>
          <w:szCs w:val="20"/>
          <w:lang w:val="pt-BR"/>
        </w:rPr>
        <w:t xml:space="preserve"> Na</w:t>
      </w:r>
      <w:r w:rsidR="000A1AA8" w:rsidRPr="0038442F">
        <w:rPr>
          <w:rFonts w:ascii="Verdana" w:hAnsi="Verdana"/>
          <w:bCs/>
          <w:sz w:val="20"/>
          <w:szCs w:val="20"/>
          <w:lang w:val="pt-BR"/>
        </w:rPr>
        <w:t>ções</w:t>
      </w:r>
      <w:r w:rsidR="005D3FCB" w:rsidRPr="0038442F">
        <w:rPr>
          <w:rFonts w:ascii="Verdana" w:hAnsi="Verdana"/>
          <w:bCs/>
          <w:sz w:val="20"/>
          <w:szCs w:val="20"/>
          <w:lang w:val="pt-BR"/>
        </w:rPr>
        <w:t xml:space="preserve"> Unidas </w:t>
      </w:r>
      <w:r w:rsidR="003B374E" w:rsidRPr="0038442F">
        <w:rPr>
          <w:rFonts w:ascii="Verdana" w:hAnsi="Verdana"/>
          <w:bCs/>
          <w:sz w:val="20"/>
          <w:szCs w:val="20"/>
          <w:lang w:val="pt-BR"/>
        </w:rPr>
        <w:t>s</w:t>
      </w:r>
      <w:r w:rsidR="005D3FCB" w:rsidRPr="0038442F">
        <w:rPr>
          <w:rFonts w:ascii="Verdana" w:hAnsi="Verdana"/>
          <w:bCs/>
          <w:sz w:val="20"/>
          <w:szCs w:val="20"/>
          <w:lang w:val="pt-BR"/>
        </w:rPr>
        <w:t xml:space="preserve">obre os </w:t>
      </w:r>
      <w:r w:rsidR="00C92762"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5D3FCB" w:rsidRPr="0038442F">
        <w:rPr>
          <w:rFonts w:ascii="Verdana" w:hAnsi="Verdana"/>
          <w:bCs/>
          <w:sz w:val="20"/>
          <w:szCs w:val="20"/>
          <w:lang w:val="pt-BR"/>
        </w:rPr>
        <w:t>d</w:t>
      </w:r>
      <w:r w:rsidR="003B374E" w:rsidRPr="0038442F">
        <w:rPr>
          <w:rFonts w:ascii="Verdana" w:hAnsi="Verdana"/>
          <w:bCs/>
          <w:sz w:val="20"/>
          <w:szCs w:val="20"/>
          <w:lang w:val="pt-BR"/>
        </w:rPr>
        <w:t>a Criança,</w:t>
      </w:r>
      <w:r w:rsidR="005D3FCB" w:rsidRPr="0038442F">
        <w:rPr>
          <w:rStyle w:val="Refdenotaalpie"/>
          <w:rFonts w:ascii="Verdana" w:hAnsi="Verdana"/>
          <w:bCs/>
          <w:sz w:val="20"/>
          <w:szCs w:val="20"/>
          <w:lang w:val="pt-BR"/>
        </w:rPr>
        <w:footnoteReference w:id="69"/>
      </w:r>
      <w:r w:rsidR="005D3FCB" w:rsidRPr="0038442F">
        <w:rPr>
          <w:rFonts w:ascii="Verdana" w:hAnsi="Verdana"/>
          <w:bCs/>
          <w:sz w:val="20"/>
          <w:szCs w:val="20"/>
          <w:lang w:val="pt-BR"/>
        </w:rPr>
        <w:t xml:space="preserve"> </w:t>
      </w:r>
      <w:r w:rsidR="003B374E" w:rsidRPr="0038442F">
        <w:rPr>
          <w:rFonts w:ascii="Verdana" w:hAnsi="Verdana"/>
          <w:bCs/>
          <w:sz w:val="20"/>
          <w:szCs w:val="20"/>
          <w:lang w:val="pt-BR"/>
        </w:rPr>
        <w:t xml:space="preserve">na Convenção </w:t>
      </w:r>
      <w:r w:rsidR="00A9673B" w:rsidRPr="0038442F">
        <w:rPr>
          <w:rFonts w:ascii="Verdana" w:hAnsi="Verdana"/>
          <w:bCs/>
          <w:sz w:val="20"/>
          <w:szCs w:val="20"/>
          <w:lang w:val="pt-BR"/>
        </w:rPr>
        <w:t>N</w:t>
      </w:r>
      <w:r w:rsidR="00A9673B" w:rsidRPr="0038442F">
        <w:rPr>
          <w:rFonts w:ascii="Verdana" w:hAnsi="Verdana"/>
          <w:bCs/>
          <w:sz w:val="20"/>
          <w:szCs w:val="20"/>
          <w:vertAlign w:val="superscript"/>
          <w:lang w:val="pt-BR"/>
        </w:rPr>
        <w:t>o.</w:t>
      </w:r>
      <w:r w:rsidR="00A9673B" w:rsidRPr="0038442F">
        <w:rPr>
          <w:rFonts w:ascii="Verdana" w:hAnsi="Verdana"/>
          <w:bCs/>
          <w:sz w:val="20"/>
          <w:szCs w:val="20"/>
          <w:lang w:val="pt-BR"/>
        </w:rPr>
        <w:t xml:space="preserve"> 138 </w:t>
      </w:r>
      <w:r w:rsidR="00C92762" w:rsidRPr="0038442F">
        <w:rPr>
          <w:rFonts w:ascii="Verdana" w:hAnsi="Verdana"/>
          <w:bCs/>
          <w:sz w:val="20"/>
          <w:szCs w:val="20"/>
          <w:lang w:val="pt-BR"/>
        </w:rPr>
        <w:t xml:space="preserve">da </w:t>
      </w:r>
      <w:r w:rsidR="00A9673B" w:rsidRPr="0038442F">
        <w:rPr>
          <w:rFonts w:ascii="Verdana" w:hAnsi="Verdana"/>
          <w:bCs/>
          <w:sz w:val="20"/>
          <w:szCs w:val="20"/>
          <w:lang w:val="pt-BR"/>
        </w:rPr>
        <w:t>OIT</w:t>
      </w:r>
      <w:r w:rsidR="003B374E" w:rsidRPr="0038442F">
        <w:rPr>
          <w:rFonts w:ascii="Verdana" w:hAnsi="Verdana"/>
          <w:bCs/>
          <w:sz w:val="20"/>
          <w:szCs w:val="20"/>
          <w:lang w:val="pt-BR"/>
        </w:rPr>
        <w:t>,</w:t>
      </w:r>
      <w:r w:rsidR="00A9673B" w:rsidRPr="0038442F">
        <w:rPr>
          <w:rStyle w:val="Refdenotaalpie"/>
          <w:rFonts w:ascii="Verdana" w:hAnsi="Verdana"/>
          <w:bCs/>
          <w:sz w:val="20"/>
          <w:szCs w:val="20"/>
          <w:lang w:val="pt-BR"/>
        </w:rPr>
        <w:footnoteReference w:id="70"/>
      </w:r>
      <w:r w:rsidR="00A9673B" w:rsidRPr="0038442F">
        <w:rPr>
          <w:rFonts w:ascii="Verdana" w:hAnsi="Verdana"/>
          <w:bCs/>
          <w:sz w:val="20"/>
          <w:szCs w:val="20"/>
          <w:lang w:val="pt-BR"/>
        </w:rPr>
        <w:t xml:space="preserve"> </w:t>
      </w:r>
      <w:r w:rsidR="003B374E" w:rsidRPr="0038442F">
        <w:rPr>
          <w:rFonts w:ascii="Verdana" w:hAnsi="Verdana"/>
          <w:bCs/>
          <w:sz w:val="20"/>
          <w:szCs w:val="20"/>
          <w:lang w:val="pt-BR"/>
        </w:rPr>
        <w:t xml:space="preserve">na Convenção </w:t>
      </w:r>
      <w:r w:rsidR="005D3FCB" w:rsidRPr="0038442F">
        <w:rPr>
          <w:rFonts w:ascii="Verdana" w:hAnsi="Verdana"/>
          <w:bCs/>
          <w:sz w:val="20"/>
          <w:szCs w:val="20"/>
          <w:lang w:val="pt-BR"/>
        </w:rPr>
        <w:t>N</w:t>
      </w:r>
      <w:r w:rsidR="005D3FCB" w:rsidRPr="0038442F">
        <w:rPr>
          <w:rFonts w:ascii="Verdana" w:hAnsi="Verdana"/>
          <w:bCs/>
          <w:sz w:val="20"/>
          <w:szCs w:val="20"/>
          <w:vertAlign w:val="superscript"/>
          <w:lang w:val="pt-BR"/>
        </w:rPr>
        <w:t>o.</w:t>
      </w:r>
      <w:r w:rsidR="005D3FCB" w:rsidRPr="0038442F">
        <w:rPr>
          <w:rFonts w:ascii="Verdana" w:hAnsi="Verdana"/>
          <w:bCs/>
          <w:sz w:val="20"/>
          <w:szCs w:val="20"/>
          <w:lang w:val="pt-BR"/>
        </w:rPr>
        <w:t xml:space="preserve"> 182 </w:t>
      </w:r>
      <w:r w:rsidR="00C92762" w:rsidRPr="0038442F">
        <w:rPr>
          <w:rFonts w:ascii="Verdana" w:hAnsi="Verdana"/>
          <w:bCs/>
          <w:sz w:val="20"/>
          <w:szCs w:val="20"/>
          <w:lang w:val="pt-BR"/>
        </w:rPr>
        <w:t xml:space="preserve">da </w:t>
      </w:r>
      <w:r w:rsidR="005D3FCB" w:rsidRPr="0038442F">
        <w:rPr>
          <w:rFonts w:ascii="Verdana" w:hAnsi="Verdana"/>
          <w:bCs/>
          <w:sz w:val="20"/>
          <w:szCs w:val="20"/>
          <w:lang w:val="pt-BR"/>
        </w:rPr>
        <w:t>OIT</w:t>
      </w:r>
      <w:r w:rsidR="003B374E" w:rsidRPr="0038442F">
        <w:rPr>
          <w:rFonts w:ascii="Verdana" w:hAnsi="Verdana"/>
          <w:bCs/>
          <w:sz w:val="20"/>
          <w:szCs w:val="20"/>
          <w:lang w:val="pt-BR"/>
        </w:rPr>
        <w:t>,</w:t>
      </w:r>
      <w:r w:rsidR="005D3FCB" w:rsidRPr="0038442F">
        <w:rPr>
          <w:rStyle w:val="Refdenotaalpie"/>
          <w:rFonts w:ascii="Verdana" w:hAnsi="Verdana"/>
          <w:bCs/>
          <w:sz w:val="20"/>
          <w:szCs w:val="20"/>
          <w:lang w:val="pt-BR"/>
        </w:rPr>
        <w:footnoteReference w:id="71"/>
      </w:r>
      <w:r w:rsidR="004A218C" w:rsidRPr="0038442F">
        <w:rPr>
          <w:rFonts w:ascii="Verdana" w:hAnsi="Verdana"/>
          <w:bCs/>
          <w:sz w:val="20"/>
          <w:szCs w:val="20"/>
          <w:lang w:val="pt-BR"/>
        </w:rPr>
        <w:t xml:space="preserve"> </w:t>
      </w:r>
      <w:r w:rsidR="003B374E" w:rsidRPr="0038442F">
        <w:rPr>
          <w:rFonts w:ascii="Verdana" w:hAnsi="Verdana"/>
          <w:bCs/>
          <w:sz w:val="20"/>
          <w:szCs w:val="20"/>
          <w:lang w:val="pt-BR"/>
        </w:rPr>
        <w:t>n</w:t>
      </w:r>
      <w:r w:rsidR="00A9673B" w:rsidRPr="0038442F">
        <w:rPr>
          <w:rFonts w:ascii="Verdana" w:hAnsi="Verdana"/>
          <w:bCs/>
          <w:sz w:val="20"/>
          <w:szCs w:val="20"/>
          <w:lang w:val="pt-BR"/>
        </w:rPr>
        <w:t xml:space="preserve">a Carta Africana sobre os </w:t>
      </w:r>
      <w:r w:rsidR="00C92762" w:rsidRPr="0038442F">
        <w:rPr>
          <w:rFonts w:ascii="Verdana" w:hAnsi="Verdana"/>
          <w:bCs/>
          <w:sz w:val="20"/>
          <w:szCs w:val="20"/>
          <w:lang w:val="pt-BR"/>
        </w:rPr>
        <w:t xml:space="preserve">Direitos </w:t>
      </w:r>
      <w:r w:rsidR="003B374E" w:rsidRPr="0038442F">
        <w:rPr>
          <w:rFonts w:ascii="Verdana" w:hAnsi="Verdana"/>
          <w:bCs/>
          <w:sz w:val="20"/>
          <w:szCs w:val="20"/>
          <w:lang w:val="pt-BR"/>
        </w:rPr>
        <w:t>e o Bem-Estar da Criança</w:t>
      </w:r>
      <w:r w:rsidR="00A9673B" w:rsidRPr="0038442F">
        <w:rPr>
          <w:rStyle w:val="Refdenotaalpie"/>
          <w:rFonts w:ascii="Verdana" w:hAnsi="Verdana"/>
          <w:bCs/>
          <w:sz w:val="20"/>
          <w:szCs w:val="20"/>
          <w:lang w:val="pt-BR"/>
        </w:rPr>
        <w:footnoteReference w:id="72"/>
      </w:r>
      <w:r w:rsidR="00B02C81" w:rsidRPr="0038442F">
        <w:rPr>
          <w:rFonts w:ascii="Verdana" w:hAnsi="Verdana"/>
          <w:bCs/>
          <w:sz w:val="20"/>
          <w:szCs w:val="20"/>
          <w:lang w:val="pt-BR"/>
        </w:rPr>
        <w:t xml:space="preserve"> </w:t>
      </w:r>
      <w:r w:rsidR="003B374E" w:rsidRPr="0038442F">
        <w:rPr>
          <w:rFonts w:ascii="Verdana" w:hAnsi="Verdana"/>
          <w:bCs/>
          <w:sz w:val="20"/>
          <w:szCs w:val="20"/>
          <w:lang w:val="pt-BR"/>
        </w:rPr>
        <w:t xml:space="preserve">e nos </w:t>
      </w:r>
      <w:r w:rsidR="008806F8" w:rsidRPr="0038442F">
        <w:rPr>
          <w:rFonts w:ascii="Verdana" w:hAnsi="Verdana"/>
          <w:bCs/>
          <w:sz w:val="20"/>
          <w:szCs w:val="20"/>
          <w:lang w:val="pt-BR"/>
        </w:rPr>
        <w:t>Princípios</w:t>
      </w:r>
      <w:r w:rsidR="00407242" w:rsidRPr="0038442F">
        <w:rPr>
          <w:rFonts w:ascii="Verdana" w:hAnsi="Verdana"/>
          <w:bCs/>
          <w:sz w:val="20"/>
          <w:szCs w:val="20"/>
          <w:lang w:val="pt-BR"/>
        </w:rPr>
        <w:t xml:space="preserve"> </w:t>
      </w:r>
      <w:r w:rsidR="005D3FCB" w:rsidRPr="0038442F">
        <w:rPr>
          <w:rFonts w:ascii="Verdana" w:hAnsi="Verdana"/>
          <w:bCs/>
          <w:sz w:val="20"/>
          <w:szCs w:val="20"/>
          <w:lang w:val="pt-BR"/>
        </w:rPr>
        <w:t>de Nairobi</w:t>
      </w:r>
      <w:r w:rsidR="003B374E" w:rsidRPr="0038442F">
        <w:rPr>
          <w:rFonts w:ascii="Verdana" w:hAnsi="Verdana"/>
          <w:bCs/>
          <w:sz w:val="20"/>
          <w:szCs w:val="20"/>
          <w:lang w:val="pt-BR"/>
        </w:rPr>
        <w:t>,</w:t>
      </w:r>
      <w:r w:rsidR="005D3FCB"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23007F" w:rsidRPr="0038442F">
        <w:rPr>
          <w:rFonts w:ascii="Verdana" w:hAnsi="Verdana"/>
          <w:bCs/>
          <w:sz w:val="20"/>
          <w:szCs w:val="20"/>
          <w:lang w:val="pt-BR"/>
        </w:rPr>
        <w:t>Comissão</w:t>
      </w:r>
      <w:r w:rsidR="00407242" w:rsidRPr="0038442F">
        <w:rPr>
          <w:rFonts w:ascii="Verdana" w:hAnsi="Verdana"/>
          <w:bCs/>
          <w:sz w:val="20"/>
          <w:szCs w:val="20"/>
          <w:lang w:val="pt-BR"/>
        </w:rPr>
        <w:t xml:space="preserve"> </w:t>
      </w:r>
      <w:r w:rsidR="005D3FCB" w:rsidRPr="0038442F">
        <w:rPr>
          <w:rFonts w:ascii="Verdana" w:hAnsi="Verdana"/>
          <w:bCs/>
          <w:sz w:val="20"/>
          <w:szCs w:val="20"/>
          <w:lang w:val="pt-BR"/>
        </w:rPr>
        <w:t xml:space="preserve">Africana de </w:t>
      </w:r>
      <w:r w:rsidR="00C92762" w:rsidRPr="0038442F">
        <w:rPr>
          <w:rFonts w:ascii="Verdana" w:hAnsi="Verdana"/>
          <w:bCs/>
          <w:sz w:val="20"/>
          <w:szCs w:val="20"/>
          <w:lang w:val="pt-BR"/>
        </w:rPr>
        <w:t>Direitos</w:t>
      </w:r>
      <w:r w:rsidR="00407242" w:rsidRPr="0038442F">
        <w:rPr>
          <w:rFonts w:ascii="Verdana" w:hAnsi="Verdana"/>
          <w:bCs/>
          <w:sz w:val="20"/>
          <w:szCs w:val="20"/>
          <w:lang w:val="pt-BR"/>
        </w:rPr>
        <w:t xml:space="preserve"> </w:t>
      </w:r>
      <w:r w:rsidR="005D3FCB" w:rsidRPr="0038442F">
        <w:rPr>
          <w:rFonts w:ascii="Verdana" w:hAnsi="Verdana"/>
          <w:bCs/>
          <w:sz w:val="20"/>
          <w:szCs w:val="20"/>
          <w:lang w:val="pt-BR"/>
        </w:rPr>
        <w:t>Humanos</w:t>
      </w:r>
      <w:r w:rsidR="003B374E" w:rsidRPr="0038442F">
        <w:rPr>
          <w:rFonts w:ascii="Verdana" w:hAnsi="Verdana"/>
          <w:bCs/>
          <w:sz w:val="20"/>
          <w:szCs w:val="20"/>
          <w:lang w:val="pt-BR"/>
        </w:rPr>
        <w:t>.</w:t>
      </w:r>
      <w:r w:rsidR="005D3FCB" w:rsidRPr="0038442F">
        <w:rPr>
          <w:rStyle w:val="Refdenotaalpie"/>
          <w:rFonts w:ascii="Verdana" w:hAnsi="Verdana"/>
          <w:bCs/>
          <w:sz w:val="20"/>
          <w:szCs w:val="20"/>
          <w:lang w:val="pt-BR"/>
        </w:rPr>
        <w:footnoteReference w:id="73"/>
      </w:r>
      <w:r w:rsidR="00407242" w:rsidRPr="0038442F">
        <w:rPr>
          <w:rFonts w:ascii="Verdana" w:hAnsi="Verdana"/>
          <w:bCs/>
          <w:sz w:val="20"/>
          <w:szCs w:val="20"/>
          <w:lang w:val="pt-BR"/>
        </w:rPr>
        <w:t xml:space="preserve"> </w:t>
      </w:r>
    </w:p>
    <w:p w14:paraId="04F71FD6" w14:textId="77777777" w:rsidR="005D3FCB" w:rsidRPr="0038442F" w:rsidRDefault="005D3FCB" w:rsidP="00A857CB">
      <w:pPr>
        <w:pStyle w:val="Prrafodelista"/>
        <w:spacing w:line="240" w:lineRule="auto"/>
        <w:rPr>
          <w:rFonts w:ascii="Verdana" w:hAnsi="Verdana"/>
          <w:bCs/>
          <w:sz w:val="20"/>
          <w:szCs w:val="20"/>
          <w:lang w:val="pt-BR"/>
        </w:rPr>
      </w:pPr>
    </w:p>
    <w:p w14:paraId="178D11BD" w14:textId="5668C77E" w:rsidR="005D3FCB"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44. </w:t>
      </w:r>
      <w:r w:rsidRPr="0038442F">
        <w:rPr>
          <w:rFonts w:ascii="Verdana" w:hAnsi="Verdana"/>
          <w:bCs/>
          <w:sz w:val="20"/>
          <w:szCs w:val="20"/>
          <w:lang w:val="pt-BR"/>
        </w:rPr>
        <w:tab/>
      </w:r>
      <w:r w:rsidR="00247F19" w:rsidRPr="0038442F">
        <w:rPr>
          <w:rFonts w:ascii="Verdana" w:hAnsi="Verdana"/>
          <w:bCs/>
          <w:sz w:val="20"/>
          <w:szCs w:val="20"/>
          <w:lang w:val="pt-BR"/>
        </w:rPr>
        <w:t>Como consequência desse mecanismo de proteção estatal, se poderia ter como efeito uma adequada vigilância do normatizado em âmbito interno e, desse modo, estabelecer possíveis respostas integrais para fazer frente à situação que vivem as crianças e adolescentes que “trabalham” nesses contextos.</w:t>
      </w:r>
      <w:r w:rsidR="00247F19" w:rsidRPr="0038442F">
        <w:rPr>
          <w:rStyle w:val="Refdenotaalpie"/>
          <w:rFonts w:ascii="Verdana" w:hAnsi="Verdana"/>
          <w:bCs/>
          <w:sz w:val="20"/>
          <w:szCs w:val="20"/>
          <w:lang w:val="pt-BR"/>
        </w:rPr>
        <w:footnoteReference w:id="74"/>
      </w:r>
      <w:r w:rsidR="00247F19" w:rsidRPr="0038442F">
        <w:rPr>
          <w:rFonts w:ascii="Verdana" w:hAnsi="Verdana"/>
          <w:bCs/>
          <w:sz w:val="20"/>
          <w:szCs w:val="20"/>
          <w:lang w:val="pt-BR"/>
        </w:rPr>
        <w:t xml:space="preserve"> Nessa situação, o Comitê dos Direitos da Criança, na Observação Geral N</w:t>
      </w:r>
      <w:r w:rsidR="00247F19" w:rsidRPr="0038442F">
        <w:rPr>
          <w:rFonts w:ascii="Verdana" w:hAnsi="Verdana"/>
          <w:bCs/>
          <w:sz w:val="20"/>
          <w:szCs w:val="20"/>
          <w:vertAlign w:val="superscript"/>
          <w:lang w:val="pt-BR"/>
        </w:rPr>
        <w:t>o.</w:t>
      </w:r>
      <w:r w:rsidR="00080E59" w:rsidRPr="0038442F">
        <w:rPr>
          <w:rFonts w:ascii="Verdana" w:hAnsi="Verdana"/>
          <w:bCs/>
          <w:sz w:val="20"/>
          <w:szCs w:val="20"/>
          <w:lang w:val="pt-BR"/>
        </w:rPr>
        <w:t xml:space="preserve"> </w:t>
      </w:r>
      <w:r w:rsidR="00247F19" w:rsidRPr="0038442F">
        <w:rPr>
          <w:rFonts w:ascii="Verdana" w:hAnsi="Verdana"/>
          <w:bCs/>
          <w:sz w:val="20"/>
          <w:szCs w:val="20"/>
          <w:lang w:val="pt-BR"/>
        </w:rPr>
        <w:t xml:space="preserve">16, </w:t>
      </w:r>
      <w:r w:rsidR="00247F19" w:rsidRPr="0038442F">
        <w:rPr>
          <w:rFonts w:ascii="Verdana" w:hAnsi="Verdana"/>
          <w:i/>
          <w:iCs/>
          <w:sz w:val="20"/>
          <w:szCs w:val="20"/>
          <w:lang w:val="pt-BR"/>
        </w:rPr>
        <w:t>sobre as obrigações do Estado em relação ao impacto do setor empresarial nos direitos da criança</w:t>
      </w:r>
      <w:r w:rsidR="00247F19" w:rsidRPr="0038442F">
        <w:rPr>
          <w:rFonts w:ascii="Verdana" w:hAnsi="Verdana"/>
          <w:sz w:val="20"/>
          <w:szCs w:val="20"/>
          <w:lang w:val="pt-BR"/>
        </w:rPr>
        <w:t>, salientou que “[o]s Estados têm a obrigação de regulamentar e supervisionar as condições de trabalho e estabelecer salvaguardas que protejam as crianças da exploração […] de trabalhos que interfiram em sua educação ou afetem sua saúde ou seu desenvolvimento físico, mental, espiritual, moral ou social. Esses trabalhos costumam ser encontrados, embora não exclusivamente, no setor não estruturado da economia […]. Portanto, os Estados são obrigados a elaborar e a executar programas destinados às empresas nesses contextos, entre outros aspectos, fazendo cumprir as normas internacionais sobre a idade mínima para trabalhar e as condições adequadas de trabalho, investindo em educação e formação profissional e prestando apoio para que se consiga uma transição satisfatória das crianças ao mercado de trabalho. Os Estados devem zelar por que as políticas de proteção social e infantil cheguem a todos, especialmente às famílias no setor não estruturado da economia”.</w:t>
      </w:r>
      <w:r w:rsidR="00247F19" w:rsidRPr="0038442F">
        <w:rPr>
          <w:rStyle w:val="Refdenotaalpie"/>
          <w:rFonts w:ascii="Verdana" w:hAnsi="Verdana"/>
          <w:sz w:val="20"/>
          <w:szCs w:val="20"/>
          <w:lang w:val="pt-BR"/>
        </w:rPr>
        <w:footnoteReference w:id="75"/>
      </w:r>
      <w:r w:rsidR="00247F19" w:rsidRPr="0038442F">
        <w:rPr>
          <w:rFonts w:ascii="Verdana" w:hAnsi="Verdana"/>
          <w:sz w:val="20"/>
          <w:szCs w:val="20"/>
          <w:lang w:val="pt-BR"/>
        </w:rPr>
        <w:t xml:space="preserve"> </w:t>
      </w:r>
    </w:p>
    <w:p w14:paraId="19EE2D98" w14:textId="77777777" w:rsidR="004A218C" w:rsidRPr="0038442F" w:rsidRDefault="004A218C" w:rsidP="00A857CB">
      <w:pPr>
        <w:pStyle w:val="Prrafodelista"/>
        <w:spacing w:line="240" w:lineRule="auto"/>
        <w:ind w:left="0"/>
        <w:jc w:val="both"/>
        <w:rPr>
          <w:rFonts w:ascii="Verdana" w:hAnsi="Verdana"/>
          <w:bCs/>
          <w:sz w:val="20"/>
          <w:szCs w:val="20"/>
          <w:lang w:val="pt-BR"/>
        </w:rPr>
      </w:pPr>
    </w:p>
    <w:p w14:paraId="6157E0F5" w14:textId="2415B5C5" w:rsidR="00963916"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45. </w:t>
      </w:r>
      <w:r w:rsidRPr="0038442F">
        <w:rPr>
          <w:rFonts w:ascii="Verdana" w:hAnsi="Verdana"/>
          <w:bCs/>
          <w:sz w:val="20"/>
          <w:szCs w:val="20"/>
          <w:lang w:val="pt-BR"/>
        </w:rPr>
        <w:tab/>
      </w:r>
      <w:r w:rsidR="004A218C" w:rsidRPr="0038442F">
        <w:rPr>
          <w:rFonts w:ascii="Verdana" w:hAnsi="Verdana"/>
          <w:bCs/>
          <w:sz w:val="20"/>
          <w:szCs w:val="20"/>
          <w:lang w:val="pt-BR"/>
        </w:rPr>
        <w:t xml:space="preserve">Tal como </w:t>
      </w:r>
      <w:r w:rsidR="00F4306D" w:rsidRPr="0038442F">
        <w:rPr>
          <w:rFonts w:ascii="Verdana" w:hAnsi="Verdana"/>
          <w:bCs/>
          <w:sz w:val="20"/>
          <w:szCs w:val="20"/>
          <w:lang w:val="pt-BR"/>
        </w:rPr>
        <w:t xml:space="preserve">dispõe a </w:t>
      </w:r>
      <w:r w:rsidR="00BF7A10" w:rsidRPr="0038442F">
        <w:rPr>
          <w:rFonts w:ascii="Verdana" w:hAnsi="Verdana"/>
          <w:bCs/>
          <w:sz w:val="20"/>
          <w:szCs w:val="20"/>
          <w:lang w:val="pt-BR"/>
        </w:rPr>
        <w:t>sentença</w:t>
      </w:r>
      <w:r w:rsidR="00936783" w:rsidRPr="0038442F">
        <w:rPr>
          <w:rFonts w:ascii="Verdana" w:hAnsi="Verdana"/>
          <w:bCs/>
          <w:sz w:val="20"/>
          <w:szCs w:val="20"/>
          <w:lang w:val="pt-BR"/>
        </w:rPr>
        <w:t>,</w:t>
      </w:r>
      <w:r w:rsidR="004A218C" w:rsidRPr="0038442F">
        <w:rPr>
          <w:rFonts w:ascii="Verdana" w:hAnsi="Verdana"/>
          <w:bCs/>
          <w:sz w:val="20"/>
          <w:szCs w:val="20"/>
          <w:lang w:val="pt-BR"/>
        </w:rPr>
        <w:t xml:space="preserve"> por u</w:t>
      </w:r>
      <w:r w:rsidR="00F4306D" w:rsidRPr="0038442F">
        <w:rPr>
          <w:rFonts w:ascii="Verdana" w:hAnsi="Verdana"/>
          <w:bCs/>
          <w:sz w:val="20"/>
          <w:szCs w:val="20"/>
          <w:lang w:val="pt-BR"/>
        </w:rPr>
        <w:t>m</w:t>
      </w:r>
      <w:r w:rsidR="004A218C" w:rsidRPr="0038442F">
        <w:rPr>
          <w:rFonts w:ascii="Verdana" w:hAnsi="Verdana"/>
          <w:bCs/>
          <w:sz w:val="20"/>
          <w:szCs w:val="20"/>
          <w:lang w:val="pt-BR"/>
        </w:rPr>
        <w:t xml:space="preserve"> </w:t>
      </w:r>
      <w:r w:rsidR="00E2096F" w:rsidRPr="0038442F">
        <w:rPr>
          <w:rFonts w:ascii="Verdana" w:hAnsi="Verdana"/>
          <w:bCs/>
          <w:sz w:val="20"/>
          <w:szCs w:val="20"/>
          <w:lang w:val="pt-BR"/>
        </w:rPr>
        <w:t>lado,</w:t>
      </w:r>
      <w:r w:rsidR="004A218C" w:rsidRPr="0038442F">
        <w:rPr>
          <w:rFonts w:ascii="Verdana" w:hAnsi="Verdana"/>
          <w:bCs/>
          <w:sz w:val="20"/>
          <w:szCs w:val="20"/>
          <w:lang w:val="pt-BR"/>
        </w:rPr>
        <w:t xml:space="preserve"> </w:t>
      </w:r>
      <w:r w:rsidR="006D3B60" w:rsidRPr="0038442F">
        <w:rPr>
          <w:rFonts w:ascii="Verdana" w:hAnsi="Verdana"/>
          <w:bCs/>
          <w:sz w:val="20"/>
          <w:szCs w:val="20"/>
          <w:lang w:val="pt-BR"/>
        </w:rPr>
        <w:t>existia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uma</w:t>
      </w:r>
      <w:r w:rsidR="00407242" w:rsidRPr="0038442F">
        <w:rPr>
          <w:rFonts w:ascii="Verdana" w:hAnsi="Verdana"/>
          <w:bCs/>
          <w:sz w:val="20"/>
          <w:szCs w:val="20"/>
          <w:lang w:val="pt-BR"/>
        </w:rPr>
        <w:t xml:space="preserve"> </w:t>
      </w:r>
      <w:r w:rsidR="004A218C" w:rsidRPr="0038442F">
        <w:rPr>
          <w:rFonts w:ascii="Verdana" w:hAnsi="Verdana"/>
          <w:bCs/>
          <w:sz w:val="20"/>
          <w:szCs w:val="20"/>
          <w:lang w:val="pt-BR"/>
        </w:rPr>
        <w:t>proibi</w:t>
      </w:r>
      <w:r w:rsidR="000A1AA8" w:rsidRPr="0038442F">
        <w:rPr>
          <w:rFonts w:ascii="Verdana" w:hAnsi="Verdana"/>
          <w:bCs/>
          <w:sz w:val="20"/>
          <w:szCs w:val="20"/>
          <w:lang w:val="pt-BR"/>
        </w:rPr>
        <w:t>ção</w:t>
      </w:r>
      <w:r w:rsidR="004A218C" w:rsidRPr="0038442F">
        <w:rPr>
          <w:rFonts w:ascii="Verdana" w:hAnsi="Verdana"/>
          <w:bCs/>
          <w:sz w:val="20"/>
          <w:szCs w:val="20"/>
          <w:lang w:val="pt-BR"/>
        </w:rPr>
        <w:t xml:space="preserve"> </w:t>
      </w:r>
      <w:r w:rsidR="00BF7A10" w:rsidRPr="0038442F">
        <w:rPr>
          <w:rFonts w:ascii="Verdana" w:hAnsi="Verdana"/>
          <w:bCs/>
          <w:sz w:val="20"/>
          <w:szCs w:val="20"/>
          <w:lang w:val="pt-BR"/>
        </w:rPr>
        <w:t xml:space="preserve">na </w:t>
      </w:r>
      <w:r w:rsidR="004A218C" w:rsidRPr="0038442F">
        <w:rPr>
          <w:rFonts w:ascii="Verdana" w:hAnsi="Verdana"/>
          <w:bCs/>
          <w:sz w:val="20"/>
          <w:szCs w:val="20"/>
          <w:lang w:val="pt-BR"/>
        </w:rPr>
        <w:t>legisla</w:t>
      </w:r>
      <w:r w:rsidR="000A1AA8" w:rsidRPr="0038442F">
        <w:rPr>
          <w:rFonts w:ascii="Verdana" w:hAnsi="Verdana"/>
          <w:bCs/>
          <w:sz w:val="20"/>
          <w:szCs w:val="20"/>
          <w:lang w:val="pt-BR"/>
        </w:rPr>
        <w:t>ção</w:t>
      </w:r>
      <w:r w:rsidR="004A218C" w:rsidRPr="0038442F">
        <w:rPr>
          <w:rFonts w:ascii="Verdana" w:hAnsi="Verdana"/>
          <w:bCs/>
          <w:sz w:val="20"/>
          <w:szCs w:val="20"/>
          <w:lang w:val="pt-BR"/>
        </w:rPr>
        <w:t xml:space="preserve"> interna </w:t>
      </w:r>
      <w:r w:rsidR="00F4306D" w:rsidRPr="0038442F">
        <w:rPr>
          <w:rFonts w:ascii="Verdana" w:hAnsi="Verdana"/>
          <w:bCs/>
          <w:sz w:val="20"/>
          <w:szCs w:val="20"/>
          <w:lang w:val="pt-BR"/>
        </w:rPr>
        <w:t xml:space="preserve">em relação à </w:t>
      </w:r>
      <w:r w:rsidR="006A12FD" w:rsidRPr="0038442F">
        <w:rPr>
          <w:rFonts w:ascii="Verdana" w:hAnsi="Verdana"/>
          <w:bCs/>
          <w:sz w:val="20"/>
          <w:szCs w:val="20"/>
          <w:lang w:val="pt-BR"/>
        </w:rPr>
        <w:t>presença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das </w:t>
      </w:r>
      <w:r w:rsidR="00F4306D" w:rsidRPr="0038442F">
        <w:rPr>
          <w:rFonts w:ascii="Verdana" w:hAnsi="Verdana"/>
          <w:bCs/>
          <w:sz w:val="20"/>
          <w:szCs w:val="20"/>
          <w:lang w:val="pt-BR"/>
        </w:rPr>
        <w:t xml:space="preserve">menores e dos </w:t>
      </w:r>
      <w:r w:rsidR="004A218C" w:rsidRPr="0038442F">
        <w:rPr>
          <w:rFonts w:ascii="Verdana" w:hAnsi="Verdana"/>
          <w:bCs/>
          <w:sz w:val="20"/>
          <w:szCs w:val="20"/>
          <w:lang w:val="pt-BR"/>
        </w:rPr>
        <w:t xml:space="preserve">menores de </w:t>
      </w:r>
      <w:r w:rsidR="00F4306D" w:rsidRPr="0038442F">
        <w:rPr>
          <w:rFonts w:ascii="Verdana" w:hAnsi="Verdana"/>
          <w:bCs/>
          <w:sz w:val="20"/>
          <w:szCs w:val="20"/>
          <w:lang w:val="pt-BR"/>
        </w:rPr>
        <w:t xml:space="preserve">idade </w:t>
      </w:r>
      <w:r w:rsidR="00BF7A10" w:rsidRPr="0038442F">
        <w:rPr>
          <w:rFonts w:ascii="Verdana" w:hAnsi="Verdana"/>
          <w:bCs/>
          <w:sz w:val="20"/>
          <w:szCs w:val="20"/>
          <w:lang w:val="pt-BR"/>
        </w:rPr>
        <w:t xml:space="preserve">na </w:t>
      </w:r>
      <w:r w:rsidR="004A218C" w:rsidRPr="0038442F">
        <w:rPr>
          <w:rFonts w:ascii="Verdana" w:hAnsi="Verdana"/>
          <w:bCs/>
          <w:sz w:val="20"/>
          <w:szCs w:val="20"/>
          <w:lang w:val="pt-BR"/>
        </w:rPr>
        <w:t>realiza</w:t>
      </w:r>
      <w:r w:rsidR="000A1AA8" w:rsidRPr="0038442F">
        <w:rPr>
          <w:rFonts w:ascii="Verdana" w:hAnsi="Verdana"/>
          <w:bCs/>
          <w:sz w:val="20"/>
          <w:szCs w:val="20"/>
          <w:lang w:val="pt-BR"/>
        </w:rPr>
        <w:t>ção</w:t>
      </w:r>
      <w:r w:rsidR="004A218C" w:rsidRPr="0038442F">
        <w:rPr>
          <w:rFonts w:ascii="Verdana" w:hAnsi="Verdana"/>
          <w:bCs/>
          <w:sz w:val="20"/>
          <w:szCs w:val="20"/>
          <w:lang w:val="pt-BR"/>
        </w:rPr>
        <w:t xml:space="preserve"> </w:t>
      </w:r>
      <w:r w:rsidR="00C92762" w:rsidRPr="0038442F">
        <w:rPr>
          <w:rFonts w:ascii="Verdana" w:hAnsi="Verdana"/>
          <w:bCs/>
          <w:sz w:val="20"/>
          <w:szCs w:val="20"/>
          <w:lang w:val="pt-BR"/>
        </w:rPr>
        <w:t xml:space="preserve">dos trabalhos </w:t>
      </w:r>
      <w:r w:rsidR="004A218C" w:rsidRPr="0038442F">
        <w:rPr>
          <w:rFonts w:ascii="Verdana" w:hAnsi="Verdana"/>
          <w:bCs/>
          <w:sz w:val="20"/>
          <w:szCs w:val="20"/>
          <w:lang w:val="pt-BR"/>
        </w:rPr>
        <w:t xml:space="preserve">denominados </w:t>
      </w:r>
      <w:r w:rsidR="00C92762" w:rsidRPr="0038442F">
        <w:rPr>
          <w:rFonts w:ascii="Verdana" w:hAnsi="Verdana"/>
          <w:bCs/>
          <w:sz w:val="20"/>
          <w:szCs w:val="20"/>
          <w:lang w:val="pt-BR"/>
        </w:rPr>
        <w:t>perigosos</w:t>
      </w:r>
      <w:r w:rsidR="002B5454">
        <w:rPr>
          <w:rFonts w:ascii="Verdana" w:hAnsi="Verdana"/>
          <w:bCs/>
          <w:sz w:val="20"/>
          <w:szCs w:val="20"/>
          <w:lang w:val="pt-BR"/>
        </w:rPr>
        <w:t>. Isso</w:t>
      </w:r>
      <w:r w:rsidR="00F4306D" w:rsidRPr="0038442F">
        <w:rPr>
          <w:rFonts w:ascii="Verdana" w:hAnsi="Verdana"/>
          <w:bCs/>
          <w:sz w:val="20"/>
          <w:szCs w:val="20"/>
          <w:lang w:val="pt-BR"/>
        </w:rPr>
        <w:t xml:space="preserve"> é </w:t>
      </w:r>
      <w:r w:rsidR="004A218C" w:rsidRPr="0038442F">
        <w:rPr>
          <w:rFonts w:ascii="Verdana" w:hAnsi="Verdana"/>
          <w:bCs/>
          <w:sz w:val="20"/>
          <w:szCs w:val="20"/>
          <w:lang w:val="pt-BR"/>
        </w:rPr>
        <w:t>particularmente grave</w:t>
      </w:r>
      <w:r w:rsidR="00EA4053" w:rsidRPr="0038442F">
        <w:rPr>
          <w:rFonts w:ascii="Verdana" w:hAnsi="Verdana"/>
          <w:bCs/>
          <w:sz w:val="20"/>
          <w:szCs w:val="20"/>
          <w:lang w:val="pt-BR"/>
        </w:rPr>
        <w:t xml:space="preserve">, uma vez </w:t>
      </w:r>
      <w:r w:rsidR="004A218C" w:rsidRPr="0038442F">
        <w:rPr>
          <w:rFonts w:ascii="Verdana" w:hAnsi="Verdana"/>
          <w:bCs/>
          <w:sz w:val="20"/>
          <w:szCs w:val="20"/>
          <w:lang w:val="pt-BR"/>
        </w:rPr>
        <w:t xml:space="preserve">que </w:t>
      </w:r>
      <w:r w:rsidR="00F4306D" w:rsidRPr="0038442F">
        <w:rPr>
          <w:rFonts w:ascii="Verdana" w:hAnsi="Verdana"/>
          <w:bCs/>
          <w:sz w:val="20"/>
          <w:szCs w:val="20"/>
          <w:lang w:val="pt-BR"/>
        </w:rPr>
        <w:t xml:space="preserve">o </w:t>
      </w:r>
      <w:r w:rsidR="004A218C" w:rsidRPr="0038442F">
        <w:rPr>
          <w:rFonts w:ascii="Verdana" w:hAnsi="Verdana"/>
          <w:bCs/>
          <w:sz w:val="20"/>
          <w:szCs w:val="20"/>
          <w:lang w:val="pt-BR"/>
        </w:rPr>
        <w:t>Estado</w:t>
      </w:r>
      <w:r w:rsidR="00E82EEE" w:rsidRPr="0038442F">
        <w:rPr>
          <w:rFonts w:ascii="Verdana" w:hAnsi="Verdana"/>
          <w:bCs/>
          <w:sz w:val="20"/>
          <w:szCs w:val="20"/>
          <w:lang w:val="pt-BR"/>
        </w:rPr>
        <w:t>,</w:t>
      </w:r>
      <w:r w:rsidR="004A218C" w:rsidRPr="0038442F">
        <w:rPr>
          <w:rFonts w:ascii="Verdana" w:hAnsi="Verdana"/>
          <w:bCs/>
          <w:sz w:val="20"/>
          <w:szCs w:val="20"/>
          <w:lang w:val="pt-BR"/>
        </w:rPr>
        <w:t xml:space="preserve"> </w:t>
      </w:r>
      <w:r w:rsidR="00F4306D" w:rsidRPr="0038442F">
        <w:rPr>
          <w:rFonts w:ascii="Verdana" w:hAnsi="Verdana"/>
          <w:bCs/>
          <w:sz w:val="20"/>
          <w:szCs w:val="20"/>
          <w:lang w:val="pt-BR"/>
        </w:rPr>
        <w:t xml:space="preserve">ao não </w:t>
      </w:r>
      <w:r w:rsidR="00BB665E" w:rsidRPr="0038442F">
        <w:rPr>
          <w:rFonts w:ascii="Verdana" w:hAnsi="Verdana"/>
          <w:bCs/>
          <w:sz w:val="20"/>
          <w:szCs w:val="20"/>
          <w:lang w:val="pt-BR"/>
        </w:rPr>
        <w:t>executar</w:t>
      </w:r>
      <w:r w:rsidR="00407242" w:rsidRPr="0038442F">
        <w:rPr>
          <w:rFonts w:ascii="Verdana" w:hAnsi="Verdana"/>
          <w:bCs/>
          <w:sz w:val="20"/>
          <w:szCs w:val="20"/>
          <w:lang w:val="pt-BR"/>
        </w:rPr>
        <w:t xml:space="preserve"> </w:t>
      </w:r>
      <w:r w:rsidR="00BB665E" w:rsidRPr="0038442F">
        <w:rPr>
          <w:rFonts w:ascii="Verdana" w:hAnsi="Verdana"/>
          <w:bCs/>
          <w:sz w:val="20"/>
          <w:szCs w:val="20"/>
          <w:lang w:val="pt-BR"/>
        </w:rPr>
        <w:t xml:space="preserve">as obrigações </w:t>
      </w:r>
      <w:r w:rsidR="004A218C" w:rsidRPr="0038442F">
        <w:rPr>
          <w:rFonts w:ascii="Verdana" w:hAnsi="Verdana"/>
          <w:bCs/>
          <w:sz w:val="20"/>
          <w:szCs w:val="20"/>
          <w:lang w:val="pt-BR"/>
        </w:rPr>
        <w:t xml:space="preserve">que a </w:t>
      </w:r>
      <w:r w:rsidR="00221D30" w:rsidRPr="0038442F">
        <w:rPr>
          <w:rFonts w:ascii="Verdana" w:hAnsi="Verdana"/>
          <w:bCs/>
          <w:sz w:val="20"/>
          <w:szCs w:val="20"/>
          <w:lang w:val="pt-BR"/>
        </w:rPr>
        <w:t>própria</w:t>
      </w:r>
      <w:r w:rsidR="00407242" w:rsidRPr="0038442F">
        <w:rPr>
          <w:rFonts w:ascii="Verdana" w:hAnsi="Verdana"/>
          <w:bCs/>
          <w:sz w:val="20"/>
          <w:szCs w:val="20"/>
          <w:lang w:val="pt-BR"/>
        </w:rPr>
        <w:t xml:space="preserve"> </w:t>
      </w:r>
      <w:r w:rsidR="004A218C" w:rsidRPr="0038442F">
        <w:rPr>
          <w:rFonts w:ascii="Verdana" w:hAnsi="Verdana"/>
          <w:bCs/>
          <w:sz w:val="20"/>
          <w:szCs w:val="20"/>
          <w:lang w:val="pt-BR"/>
        </w:rPr>
        <w:t>legisla</w:t>
      </w:r>
      <w:r w:rsidR="000A1AA8" w:rsidRPr="0038442F">
        <w:rPr>
          <w:rFonts w:ascii="Verdana" w:hAnsi="Verdana"/>
          <w:bCs/>
          <w:sz w:val="20"/>
          <w:szCs w:val="20"/>
          <w:lang w:val="pt-BR"/>
        </w:rPr>
        <w:t>ção</w:t>
      </w:r>
      <w:r w:rsidR="004A218C" w:rsidRPr="0038442F">
        <w:rPr>
          <w:rFonts w:ascii="Verdana" w:hAnsi="Verdana"/>
          <w:bCs/>
          <w:sz w:val="20"/>
          <w:szCs w:val="20"/>
          <w:lang w:val="pt-BR"/>
        </w:rPr>
        <w:t xml:space="preserve"> </w:t>
      </w:r>
      <w:r w:rsidR="00F4306D" w:rsidRPr="0038442F">
        <w:rPr>
          <w:rFonts w:ascii="Verdana" w:hAnsi="Verdana"/>
          <w:bCs/>
          <w:sz w:val="20"/>
          <w:szCs w:val="20"/>
          <w:lang w:val="pt-BR"/>
        </w:rPr>
        <w:t>estabelecia</w:t>
      </w:r>
      <w:r w:rsidR="00E82EEE" w:rsidRPr="0038442F">
        <w:rPr>
          <w:rFonts w:ascii="Verdana" w:hAnsi="Verdana"/>
          <w:bCs/>
          <w:sz w:val="20"/>
          <w:szCs w:val="20"/>
          <w:lang w:val="pt-BR"/>
        </w:rPr>
        <w:t>,</w:t>
      </w:r>
      <w:r w:rsidR="004A218C" w:rsidRPr="0038442F">
        <w:rPr>
          <w:rFonts w:ascii="Verdana" w:hAnsi="Verdana"/>
          <w:bCs/>
          <w:sz w:val="20"/>
          <w:szCs w:val="20"/>
          <w:lang w:val="pt-BR"/>
        </w:rPr>
        <w:t xml:space="preserve"> </w:t>
      </w:r>
      <w:r w:rsidR="00F4306D" w:rsidRPr="0038442F">
        <w:rPr>
          <w:rFonts w:ascii="Verdana" w:hAnsi="Verdana"/>
          <w:bCs/>
          <w:sz w:val="20"/>
          <w:szCs w:val="20"/>
          <w:lang w:val="pt-BR"/>
        </w:rPr>
        <w:t xml:space="preserve">permitiu e tolerou que existissem espaços </w:t>
      </w:r>
      <w:r w:rsidR="002B5454">
        <w:rPr>
          <w:rFonts w:ascii="Verdana" w:hAnsi="Verdana"/>
          <w:bCs/>
          <w:sz w:val="20"/>
          <w:szCs w:val="20"/>
          <w:lang w:val="pt-BR"/>
        </w:rPr>
        <w:t>n</w:t>
      </w:r>
      <w:r w:rsidR="002B5454" w:rsidRPr="0038442F">
        <w:rPr>
          <w:rFonts w:ascii="Verdana" w:hAnsi="Verdana"/>
          <w:bCs/>
          <w:sz w:val="20"/>
          <w:szCs w:val="20"/>
          <w:lang w:val="pt-BR"/>
        </w:rPr>
        <w:t xml:space="preserve">os </w:t>
      </w:r>
      <w:r w:rsidR="00F4306D" w:rsidRPr="0038442F">
        <w:rPr>
          <w:rFonts w:ascii="Verdana" w:hAnsi="Verdana"/>
          <w:bCs/>
          <w:sz w:val="20"/>
          <w:szCs w:val="20"/>
          <w:lang w:val="pt-BR"/>
        </w:rPr>
        <w:t>quais se descumpri</w:t>
      </w:r>
      <w:r w:rsidR="002B5454">
        <w:rPr>
          <w:rFonts w:ascii="Verdana" w:hAnsi="Verdana"/>
          <w:bCs/>
          <w:sz w:val="20"/>
          <w:szCs w:val="20"/>
          <w:lang w:val="pt-BR"/>
        </w:rPr>
        <w:t>ra</w:t>
      </w:r>
      <w:r w:rsidR="00F4306D" w:rsidRPr="0038442F">
        <w:rPr>
          <w:rFonts w:ascii="Verdana" w:hAnsi="Verdana"/>
          <w:bCs/>
          <w:sz w:val="20"/>
          <w:szCs w:val="20"/>
          <w:lang w:val="pt-BR"/>
        </w:rPr>
        <w:t xml:space="preserve">m </w:t>
      </w:r>
      <w:r w:rsidR="00BB665E" w:rsidRPr="0038442F">
        <w:rPr>
          <w:rFonts w:ascii="Verdana" w:hAnsi="Verdana"/>
          <w:bCs/>
          <w:sz w:val="20"/>
          <w:szCs w:val="20"/>
          <w:lang w:val="pt-BR"/>
        </w:rPr>
        <w:t xml:space="preserve">as obrigações </w:t>
      </w:r>
      <w:r w:rsidR="004A218C" w:rsidRPr="0038442F">
        <w:rPr>
          <w:rFonts w:ascii="Verdana" w:hAnsi="Verdana"/>
          <w:bCs/>
          <w:sz w:val="20"/>
          <w:szCs w:val="20"/>
          <w:lang w:val="pt-BR"/>
        </w:rPr>
        <w:t>sobre proibi</w:t>
      </w:r>
      <w:r w:rsidR="000A1AA8" w:rsidRPr="0038442F">
        <w:rPr>
          <w:rFonts w:ascii="Verdana" w:hAnsi="Verdana"/>
          <w:bCs/>
          <w:sz w:val="20"/>
          <w:szCs w:val="20"/>
          <w:lang w:val="pt-BR"/>
        </w:rPr>
        <w:t>ção</w:t>
      </w:r>
      <w:r w:rsidR="004A218C" w:rsidRPr="0038442F">
        <w:rPr>
          <w:rFonts w:ascii="Verdana" w:hAnsi="Verdana"/>
          <w:bCs/>
          <w:sz w:val="20"/>
          <w:szCs w:val="20"/>
          <w:lang w:val="pt-BR"/>
        </w:rPr>
        <w:t xml:space="preserve"> de </w:t>
      </w:r>
      <w:r w:rsidR="00C92762" w:rsidRPr="0038442F">
        <w:rPr>
          <w:rFonts w:ascii="Verdana" w:hAnsi="Verdana"/>
          <w:bCs/>
          <w:sz w:val="20"/>
          <w:szCs w:val="20"/>
          <w:lang w:val="pt-BR"/>
        </w:rPr>
        <w:t>trabalho</w:t>
      </w:r>
      <w:r w:rsidR="00407242" w:rsidRPr="0038442F">
        <w:rPr>
          <w:rFonts w:ascii="Verdana" w:hAnsi="Verdana"/>
          <w:bCs/>
          <w:sz w:val="20"/>
          <w:szCs w:val="20"/>
          <w:lang w:val="pt-BR"/>
        </w:rPr>
        <w:t xml:space="preserve"> </w:t>
      </w:r>
      <w:r w:rsidR="004A218C" w:rsidRPr="0038442F">
        <w:rPr>
          <w:rFonts w:ascii="Verdana" w:hAnsi="Verdana"/>
          <w:bCs/>
          <w:sz w:val="20"/>
          <w:szCs w:val="20"/>
          <w:lang w:val="pt-BR"/>
        </w:rPr>
        <w:t>infantil</w:t>
      </w:r>
      <w:r w:rsidR="00455A1B" w:rsidRPr="0038442F">
        <w:rPr>
          <w:rFonts w:ascii="Verdana" w:hAnsi="Verdana"/>
          <w:bCs/>
          <w:sz w:val="20"/>
          <w:szCs w:val="20"/>
          <w:lang w:val="pt-BR"/>
        </w:rPr>
        <w:t>.</w:t>
      </w:r>
      <w:r w:rsidR="004B6156" w:rsidRPr="0038442F">
        <w:rPr>
          <w:rFonts w:ascii="Verdana" w:hAnsi="Verdana"/>
          <w:bCs/>
          <w:sz w:val="20"/>
          <w:szCs w:val="20"/>
          <w:lang w:val="pt-BR"/>
        </w:rPr>
        <w:t xml:space="preserve"> </w:t>
      </w:r>
      <w:r w:rsidR="00455A1B" w:rsidRPr="0038442F">
        <w:rPr>
          <w:rFonts w:ascii="Verdana" w:hAnsi="Verdana"/>
          <w:bCs/>
          <w:sz w:val="20"/>
          <w:szCs w:val="20"/>
          <w:lang w:val="pt-BR"/>
        </w:rPr>
        <w:t>A</w:t>
      </w:r>
      <w:r w:rsidR="00F4306D" w:rsidRPr="0038442F">
        <w:rPr>
          <w:rFonts w:ascii="Verdana" w:hAnsi="Verdana"/>
          <w:bCs/>
          <w:sz w:val="20"/>
          <w:szCs w:val="20"/>
          <w:lang w:val="pt-BR"/>
        </w:rPr>
        <w:t>lém disso</w:t>
      </w:r>
      <w:r w:rsidR="004B6156" w:rsidRPr="0038442F">
        <w:rPr>
          <w:rFonts w:ascii="Verdana" w:hAnsi="Verdana"/>
          <w:bCs/>
          <w:sz w:val="20"/>
          <w:szCs w:val="20"/>
          <w:lang w:val="pt-BR"/>
        </w:rPr>
        <w:t>,</w:t>
      </w:r>
      <w:r w:rsidR="004A218C" w:rsidRPr="0038442F">
        <w:rPr>
          <w:rFonts w:ascii="Verdana" w:hAnsi="Verdana"/>
          <w:bCs/>
          <w:sz w:val="20"/>
          <w:szCs w:val="20"/>
          <w:lang w:val="pt-BR"/>
        </w:rPr>
        <w:t xml:space="preserve"> a </w:t>
      </w:r>
      <w:r w:rsidR="00C92762" w:rsidRPr="0038442F">
        <w:rPr>
          <w:rFonts w:ascii="Verdana" w:hAnsi="Verdana"/>
          <w:bCs/>
          <w:sz w:val="20"/>
          <w:szCs w:val="20"/>
          <w:lang w:val="pt-BR"/>
        </w:rPr>
        <w:t>omissão</w:t>
      </w:r>
      <w:r w:rsidR="00407242" w:rsidRPr="0038442F">
        <w:rPr>
          <w:rFonts w:ascii="Verdana" w:hAnsi="Verdana"/>
          <w:bCs/>
          <w:sz w:val="20"/>
          <w:szCs w:val="20"/>
          <w:lang w:val="pt-BR"/>
        </w:rPr>
        <w:t xml:space="preserve"> </w:t>
      </w:r>
      <w:r w:rsidR="004A218C" w:rsidRPr="0038442F">
        <w:rPr>
          <w:rFonts w:ascii="Verdana" w:hAnsi="Verdana"/>
          <w:bCs/>
          <w:sz w:val="20"/>
          <w:szCs w:val="20"/>
          <w:lang w:val="pt-BR"/>
        </w:rPr>
        <w:t xml:space="preserve">estatal </w:t>
      </w:r>
      <w:r w:rsidR="00F4306D" w:rsidRPr="0038442F">
        <w:rPr>
          <w:rFonts w:ascii="Verdana" w:hAnsi="Verdana"/>
          <w:bCs/>
          <w:sz w:val="20"/>
          <w:szCs w:val="20"/>
          <w:lang w:val="pt-BR"/>
        </w:rPr>
        <w:t xml:space="preserve">fez com que não se detectasse a </w:t>
      </w:r>
      <w:r w:rsidR="006A12FD" w:rsidRPr="0038442F">
        <w:rPr>
          <w:rFonts w:ascii="Verdana" w:hAnsi="Verdana"/>
          <w:bCs/>
          <w:sz w:val="20"/>
          <w:szCs w:val="20"/>
          <w:lang w:val="pt-BR"/>
        </w:rPr>
        <w:t>presença</w:t>
      </w:r>
      <w:r w:rsidR="00407242" w:rsidRPr="0038442F">
        <w:rPr>
          <w:rFonts w:ascii="Verdana" w:hAnsi="Verdana"/>
          <w:bCs/>
          <w:sz w:val="20"/>
          <w:szCs w:val="20"/>
          <w:lang w:val="pt-BR"/>
        </w:rPr>
        <w:t xml:space="preserve"> </w:t>
      </w:r>
      <w:r w:rsidR="004A218C" w:rsidRPr="0038442F">
        <w:rPr>
          <w:rFonts w:ascii="Verdana" w:hAnsi="Verdana"/>
          <w:bCs/>
          <w:sz w:val="20"/>
          <w:szCs w:val="20"/>
          <w:lang w:val="pt-BR"/>
        </w:rPr>
        <w:t xml:space="preserve">de menores de </w:t>
      </w:r>
      <w:r w:rsidR="00F4306D" w:rsidRPr="0038442F">
        <w:rPr>
          <w:rFonts w:ascii="Verdana" w:hAnsi="Verdana"/>
          <w:bCs/>
          <w:sz w:val="20"/>
          <w:szCs w:val="20"/>
          <w:lang w:val="pt-BR"/>
        </w:rPr>
        <w:t xml:space="preserve">idade </w:t>
      </w:r>
      <w:r w:rsidR="00BF7A10" w:rsidRPr="0038442F">
        <w:rPr>
          <w:rFonts w:ascii="Verdana" w:hAnsi="Verdana"/>
          <w:bCs/>
          <w:sz w:val="20"/>
          <w:szCs w:val="20"/>
          <w:lang w:val="pt-BR"/>
        </w:rPr>
        <w:t xml:space="preserve">na </w:t>
      </w:r>
      <w:r w:rsidR="004A218C" w:rsidRPr="0038442F">
        <w:rPr>
          <w:rFonts w:ascii="Verdana" w:hAnsi="Verdana"/>
          <w:bCs/>
          <w:sz w:val="20"/>
          <w:szCs w:val="20"/>
          <w:lang w:val="pt-BR"/>
        </w:rPr>
        <w:t>f</w:t>
      </w:r>
      <w:r w:rsidR="00455A1B" w:rsidRPr="0038442F">
        <w:rPr>
          <w:rFonts w:ascii="Verdana" w:hAnsi="Verdana"/>
          <w:bCs/>
          <w:sz w:val="20"/>
          <w:szCs w:val="20"/>
          <w:lang w:val="pt-BR"/>
        </w:rPr>
        <w:t>á</w:t>
      </w:r>
      <w:r w:rsidR="004A218C" w:rsidRPr="0038442F">
        <w:rPr>
          <w:rFonts w:ascii="Verdana" w:hAnsi="Verdana"/>
          <w:bCs/>
          <w:sz w:val="20"/>
          <w:szCs w:val="20"/>
          <w:lang w:val="pt-BR"/>
        </w:rPr>
        <w:t xml:space="preserve">brica de </w:t>
      </w:r>
      <w:r w:rsidR="008806F8" w:rsidRPr="0038442F">
        <w:rPr>
          <w:rFonts w:ascii="Verdana" w:hAnsi="Verdana"/>
          <w:bCs/>
          <w:sz w:val="20"/>
          <w:szCs w:val="20"/>
          <w:lang w:val="pt-BR"/>
        </w:rPr>
        <w:t>fogos</w:t>
      </w:r>
      <w:r w:rsidR="004B6156" w:rsidRPr="0038442F">
        <w:rPr>
          <w:rFonts w:ascii="Verdana" w:hAnsi="Verdana"/>
          <w:bCs/>
          <w:sz w:val="20"/>
          <w:szCs w:val="20"/>
          <w:lang w:val="pt-BR"/>
        </w:rPr>
        <w:t xml:space="preserve">, </w:t>
      </w:r>
      <w:r w:rsidR="004A218C" w:rsidRPr="0038442F">
        <w:rPr>
          <w:rFonts w:ascii="Verdana" w:hAnsi="Verdana"/>
          <w:bCs/>
          <w:sz w:val="20"/>
          <w:szCs w:val="20"/>
          <w:lang w:val="pt-BR"/>
        </w:rPr>
        <w:t xml:space="preserve">o que </w:t>
      </w:r>
      <w:r w:rsidR="00F4306D" w:rsidRPr="0038442F">
        <w:rPr>
          <w:rFonts w:ascii="Verdana" w:hAnsi="Verdana"/>
          <w:bCs/>
          <w:sz w:val="20"/>
          <w:szCs w:val="20"/>
          <w:lang w:val="pt-BR"/>
        </w:rPr>
        <w:t xml:space="preserve">provocou a perda </w:t>
      </w:r>
      <w:r w:rsidR="00C92762" w:rsidRPr="0038442F">
        <w:rPr>
          <w:rFonts w:ascii="Verdana" w:hAnsi="Verdana"/>
          <w:bCs/>
          <w:sz w:val="20"/>
          <w:szCs w:val="20"/>
          <w:lang w:val="pt-BR"/>
        </w:rPr>
        <w:t xml:space="preserve">da </w:t>
      </w:r>
      <w:r w:rsidR="004A218C" w:rsidRPr="0038442F">
        <w:rPr>
          <w:rFonts w:ascii="Verdana" w:hAnsi="Verdana"/>
          <w:bCs/>
          <w:sz w:val="20"/>
          <w:szCs w:val="20"/>
          <w:lang w:val="pt-BR"/>
        </w:rPr>
        <w:t xml:space="preserve">vida de </w:t>
      </w:r>
      <w:r w:rsidR="00F4306D" w:rsidRPr="0038442F">
        <w:rPr>
          <w:rFonts w:ascii="Verdana" w:hAnsi="Verdana"/>
          <w:bCs/>
          <w:sz w:val="20"/>
          <w:szCs w:val="20"/>
          <w:lang w:val="pt-BR"/>
        </w:rPr>
        <w:t xml:space="preserve">crianças e os danos que a </w:t>
      </w:r>
      <w:r w:rsidR="00751189" w:rsidRPr="0038442F">
        <w:rPr>
          <w:rFonts w:ascii="Verdana" w:hAnsi="Verdana"/>
          <w:bCs/>
          <w:sz w:val="20"/>
          <w:szCs w:val="20"/>
          <w:lang w:val="pt-BR"/>
        </w:rPr>
        <w:t>explosão</w:t>
      </w:r>
      <w:r w:rsidR="00407242" w:rsidRPr="0038442F">
        <w:rPr>
          <w:rFonts w:ascii="Verdana" w:hAnsi="Verdana"/>
          <w:bCs/>
          <w:sz w:val="20"/>
          <w:szCs w:val="20"/>
          <w:lang w:val="pt-BR"/>
        </w:rPr>
        <w:t xml:space="preserve"> </w:t>
      </w:r>
      <w:r w:rsidR="00F4306D" w:rsidRPr="0038442F">
        <w:rPr>
          <w:rFonts w:ascii="Verdana" w:hAnsi="Verdana"/>
          <w:bCs/>
          <w:sz w:val="20"/>
          <w:szCs w:val="20"/>
          <w:lang w:val="pt-BR"/>
        </w:rPr>
        <w:t xml:space="preserve">deixou </w:t>
      </w:r>
      <w:r w:rsidR="004A218C" w:rsidRPr="0038442F">
        <w:rPr>
          <w:rFonts w:ascii="Verdana" w:hAnsi="Verdana"/>
          <w:bCs/>
          <w:sz w:val="20"/>
          <w:szCs w:val="20"/>
          <w:lang w:val="pt-BR"/>
        </w:rPr>
        <w:t>como se</w:t>
      </w:r>
      <w:r w:rsidR="00F4306D" w:rsidRPr="0038442F">
        <w:rPr>
          <w:rFonts w:ascii="Verdana" w:hAnsi="Verdana"/>
          <w:bCs/>
          <w:sz w:val="20"/>
          <w:szCs w:val="20"/>
          <w:lang w:val="pt-BR"/>
        </w:rPr>
        <w:t>q</w:t>
      </w:r>
      <w:r w:rsidR="004A218C" w:rsidRPr="0038442F">
        <w:rPr>
          <w:rFonts w:ascii="Verdana" w:hAnsi="Verdana"/>
          <w:bCs/>
          <w:sz w:val="20"/>
          <w:szCs w:val="20"/>
          <w:lang w:val="pt-BR"/>
        </w:rPr>
        <w:t xml:space="preserve">uelas </w:t>
      </w:r>
      <w:r w:rsidR="00F4306D" w:rsidRPr="0038442F">
        <w:rPr>
          <w:rFonts w:ascii="Verdana" w:hAnsi="Verdana"/>
          <w:bCs/>
          <w:sz w:val="20"/>
          <w:szCs w:val="20"/>
          <w:lang w:val="pt-BR"/>
        </w:rPr>
        <w:t xml:space="preserve">nos </w:t>
      </w:r>
      <w:r w:rsidR="004A218C" w:rsidRPr="0038442F">
        <w:rPr>
          <w:rFonts w:ascii="Verdana" w:hAnsi="Verdana"/>
          <w:bCs/>
          <w:sz w:val="20"/>
          <w:szCs w:val="20"/>
          <w:lang w:val="pt-BR"/>
        </w:rPr>
        <w:t>menores s</w:t>
      </w:r>
      <w:r w:rsidR="00F4306D" w:rsidRPr="0038442F">
        <w:rPr>
          <w:rFonts w:ascii="Verdana" w:hAnsi="Verdana"/>
          <w:bCs/>
          <w:sz w:val="20"/>
          <w:szCs w:val="20"/>
          <w:lang w:val="pt-BR"/>
        </w:rPr>
        <w:t xml:space="preserve">obreviventes, sequelas que persistem ainda hoje, e que, sem dúvida, têm </w:t>
      </w:r>
      <w:r w:rsidR="004A218C" w:rsidRPr="0038442F">
        <w:rPr>
          <w:rFonts w:ascii="Verdana" w:hAnsi="Verdana"/>
          <w:bCs/>
          <w:sz w:val="20"/>
          <w:szCs w:val="20"/>
          <w:lang w:val="pt-BR"/>
        </w:rPr>
        <w:t>impacto devastador para s</w:t>
      </w:r>
      <w:r w:rsidR="00F4306D" w:rsidRPr="0038442F">
        <w:rPr>
          <w:rFonts w:ascii="Verdana" w:hAnsi="Verdana"/>
          <w:bCs/>
          <w:sz w:val="20"/>
          <w:szCs w:val="20"/>
          <w:lang w:val="pt-BR"/>
        </w:rPr>
        <w:t>e</w:t>
      </w:r>
      <w:r w:rsidR="004A218C" w:rsidRPr="0038442F">
        <w:rPr>
          <w:rFonts w:ascii="Verdana" w:hAnsi="Verdana"/>
          <w:bCs/>
          <w:sz w:val="20"/>
          <w:szCs w:val="20"/>
          <w:lang w:val="pt-BR"/>
        </w:rPr>
        <w:t xml:space="preserve">u pleno </w:t>
      </w:r>
      <w:r w:rsidR="00F4306D" w:rsidRPr="0038442F">
        <w:rPr>
          <w:rFonts w:ascii="Verdana" w:hAnsi="Verdana"/>
          <w:bCs/>
          <w:sz w:val="20"/>
          <w:szCs w:val="20"/>
          <w:lang w:val="pt-BR"/>
        </w:rPr>
        <w:t>desenvolvimento.</w:t>
      </w:r>
      <w:r w:rsidR="00BC65F9" w:rsidRPr="0038442F">
        <w:rPr>
          <w:rStyle w:val="Refdenotaalpie"/>
          <w:rFonts w:ascii="Verdana" w:hAnsi="Verdana"/>
          <w:bCs/>
          <w:sz w:val="20"/>
          <w:szCs w:val="20"/>
          <w:lang w:val="pt-BR"/>
        </w:rPr>
        <w:footnoteReference w:id="76"/>
      </w:r>
      <w:r w:rsidR="004A218C" w:rsidRPr="0038442F">
        <w:rPr>
          <w:rFonts w:ascii="Verdana" w:hAnsi="Verdana"/>
          <w:bCs/>
          <w:sz w:val="20"/>
          <w:szCs w:val="20"/>
          <w:lang w:val="pt-BR"/>
        </w:rPr>
        <w:t xml:space="preserve"> </w:t>
      </w:r>
    </w:p>
    <w:p w14:paraId="035DEE73" w14:textId="77777777" w:rsidR="003856EF" w:rsidRPr="0038442F" w:rsidRDefault="003856EF" w:rsidP="00A857CB">
      <w:pPr>
        <w:pStyle w:val="Prrafodelista"/>
        <w:spacing w:line="240" w:lineRule="auto"/>
        <w:rPr>
          <w:rFonts w:ascii="Verdana" w:hAnsi="Verdana"/>
          <w:bCs/>
          <w:sz w:val="20"/>
          <w:szCs w:val="20"/>
          <w:lang w:val="pt-BR"/>
        </w:rPr>
      </w:pPr>
    </w:p>
    <w:p w14:paraId="45916447" w14:textId="6CFAA629" w:rsidR="00197A06"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46. </w:t>
      </w:r>
      <w:r w:rsidRPr="0038442F">
        <w:rPr>
          <w:rFonts w:ascii="Verdana" w:hAnsi="Verdana"/>
          <w:bCs/>
          <w:sz w:val="20"/>
          <w:szCs w:val="20"/>
          <w:lang w:val="pt-BR"/>
        </w:rPr>
        <w:tab/>
      </w:r>
      <w:r w:rsidR="003856EF" w:rsidRPr="0038442F">
        <w:rPr>
          <w:rFonts w:ascii="Verdana" w:hAnsi="Verdana"/>
          <w:bCs/>
          <w:sz w:val="20"/>
          <w:szCs w:val="20"/>
          <w:lang w:val="pt-BR"/>
        </w:rPr>
        <w:t>Como se mencion</w:t>
      </w:r>
      <w:r w:rsidR="00F4306D" w:rsidRPr="0038442F">
        <w:rPr>
          <w:rFonts w:ascii="Verdana" w:hAnsi="Verdana"/>
          <w:bCs/>
          <w:sz w:val="20"/>
          <w:szCs w:val="20"/>
          <w:lang w:val="pt-BR"/>
        </w:rPr>
        <w:t xml:space="preserve">ou na Seção </w:t>
      </w:r>
      <w:r w:rsidR="003856EF" w:rsidRPr="0038442F">
        <w:rPr>
          <w:rFonts w:ascii="Verdana" w:hAnsi="Verdana"/>
          <w:bCs/>
          <w:sz w:val="20"/>
          <w:szCs w:val="20"/>
          <w:lang w:val="pt-BR"/>
        </w:rPr>
        <w:t>I</w:t>
      </w:r>
      <w:r w:rsidR="00455A1B" w:rsidRPr="0038442F">
        <w:rPr>
          <w:rFonts w:ascii="Verdana" w:hAnsi="Verdana"/>
          <w:bCs/>
          <w:sz w:val="20"/>
          <w:szCs w:val="20"/>
          <w:lang w:val="pt-BR"/>
        </w:rPr>
        <w:t xml:space="preserve"> </w:t>
      </w:r>
      <w:r w:rsidR="00C92762" w:rsidRPr="0038442F">
        <w:rPr>
          <w:rFonts w:ascii="Verdana" w:hAnsi="Verdana"/>
          <w:bCs/>
          <w:sz w:val="20"/>
          <w:szCs w:val="20"/>
          <w:lang w:val="pt-BR"/>
        </w:rPr>
        <w:t xml:space="preserve">do presente </w:t>
      </w:r>
      <w:r w:rsidR="00455A1B" w:rsidRPr="0038442F">
        <w:rPr>
          <w:rFonts w:ascii="Verdana" w:hAnsi="Verdana"/>
          <w:bCs/>
          <w:sz w:val="20"/>
          <w:szCs w:val="20"/>
          <w:lang w:val="pt-BR"/>
        </w:rPr>
        <w:t>voto</w:t>
      </w:r>
      <w:r w:rsidR="003856EF" w:rsidRPr="0038442F">
        <w:rPr>
          <w:rFonts w:ascii="Verdana" w:hAnsi="Verdana"/>
          <w:bCs/>
          <w:sz w:val="20"/>
          <w:szCs w:val="20"/>
          <w:lang w:val="pt-BR"/>
        </w:rPr>
        <w:t>, n</w:t>
      </w:r>
      <w:r w:rsidR="0059451E" w:rsidRPr="0038442F">
        <w:rPr>
          <w:rFonts w:ascii="Verdana" w:hAnsi="Verdana"/>
          <w:bCs/>
          <w:sz w:val="20"/>
          <w:szCs w:val="20"/>
          <w:lang w:val="pt-BR"/>
        </w:rPr>
        <w:t>ã</w:t>
      </w:r>
      <w:r w:rsidR="003856EF" w:rsidRPr="0038442F">
        <w:rPr>
          <w:rFonts w:ascii="Verdana" w:hAnsi="Verdana"/>
          <w:bCs/>
          <w:sz w:val="20"/>
          <w:szCs w:val="20"/>
          <w:lang w:val="pt-BR"/>
        </w:rPr>
        <w:t xml:space="preserve">o basta que formalmente </w:t>
      </w:r>
      <w:r w:rsidR="0059451E" w:rsidRPr="0038442F">
        <w:rPr>
          <w:rFonts w:ascii="Verdana" w:hAnsi="Verdana"/>
          <w:bCs/>
          <w:sz w:val="20"/>
          <w:szCs w:val="20"/>
          <w:lang w:val="pt-BR"/>
        </w:rPr>
        <w:t>existam</w:t>
      </w:r>
      <w:r w:rsidR="00407242" w:rsidRPr="0038442F">
        <w:rPr>
          <w:rFonts w:ascii="Verdana" w:hAnsi="Verdana"/>
          <w:bCs/>
          <w:sz w:val="20"/>
          <w:szCs w:val="20"/>
          <w:lang w:val="pt-BR"/>
        </w:rPr>
        <w:t xml:space="preserve"> </w:t>
      </w:r>
      <w:r w:rsidR="003856EF" w:rsidRPr="0038442F">
        <w:rPr>
          <w:rFonts w:ascii="Verdana" w:hAnsi="Verdana"/>
          <w:bCs/>
          <w:sz w:val="20"/>
          <w:szCs w:val="20"/>
          <w:lang w:val="pt-BR"/>
        </w:rPr>
        <w:t xml:space="preserve">as </w:t>
      </w:r>
      <w:r w:rsidR="000450DD" w:rsidRPr="0038442F">
        <w:rPr>
          <w:rFonts w:ascii="Verdana" w:hAnsi="Verdana"/>
          <w:bCs/>
          <w:sz w:val="20"/>
          <w:szCs w:val="20"/>
          <w:lang w:val="pt-BR"/>
        </w:rPr>
        <w:t>instituições</w:t>
      </w:r>
      <w:r w:rsidR="00407242" w:rsidRPr="0038442F">
        <w:rPr>
          <w:rFonts w:ascii="Verdana" w:hAnsi="Verdana"/>
          <w:bCs/>
          <w:sz w:val="20"/>
          <w:szCs w:val="20"/>
          <w:lang w:val="pt-BR"/>
        </w:rPr>
        <w:t xml:space="preserve"> </w:t>
      </w:r>
      <w:r w:rsidR="0059451E" w:rsidRPr="0038442F">
        <w:rPr>
          <w:rFonts w:ascii="Verdana" w:hAnsi="Verdana"/>
          <w:bCs/>
          <w:sz w:val="20"/>
          <w:szCs w:val="20"/>
          <w:lang w:val="pt-BR"/>
        </w:rPr>
        <w:t xml:space="preserve">às quais se </w:t>
      </w:r>
      <w:r w:rsidR="003856EF" w:rsidRPr="0038442F">
        <w:rPr>
          <w:rFonts w:ascii="Verdana" w:hAnsi="Verdana"/>
          <w:bCs/>
          <w:sz w:val="20"/>
          <w:szCs w:val="20"/>
          <w:lang w:val="pt-BR"/>
        </w:rPr>
        <w:t xml:space="preserve">delegue a </w:t>
      </w:r>
      <w:r w:rsidR="002226C1" w:rsidRPr="0038442F">
        <w:rPr>
          <w:rFonts w:ascii="Verdana" w:hAnsi="Verdana"/>
          <w:bCs/>
          <w:sz w:val="20"/>
          <w:szCs w:val="20"/>
          <w:lang w:val="pt-BR"/>
        </w:rPr>
        <w:t>competência</w:t>
      </w:r>
      <w:r w:rsidR="00407242" w:rsidRPr="0038442F">
        <w:rPr>
          <w:rFonts w:ascii="Verdana" w:hAnsi="Verdana"/>
          <w:bCs/>
          <w:sz w:val="20"/>
          <w:szCs w:val="20"/>
          <w:lang w:val="pt-BR"/>
        </w:rPr>
        <w:t xml:space="preserve"> </w:t>
      </w:r>
      <w:r w:rsidR="003856EF" w:rsidRPr="0038442F">
        <w:rPr>
          <w:rFonts w:ascii="Verdana" w:hAnsi="Verdana"/>
          <w:bCs/>
          <w:sz w:val="20"/>
          <w:szCs w:val="20"/>
          <w:lang w:val="pt-BR"/>
        </w:rPr>
        <w:t xml:space="preserve">de fiscalizar, </w:t>
      </w:r>
      <w:r w:rsidR="0059451E" w:rsidRPr="0038442F">
        <w:rPr>
          <w:rFonts w:ascii="Verdana" w:hAnsi="Verdana"/>
          <w:bCs/>
          <w:sz w:val="20"/>
          <w:szCs w:val="20"/>
          <w:lang w:val="pt-BR"/>
        </w:rPr>
        <w:t>supervisionar</w:t>
      </w:r>
      <w:r w:rsidR="00407242" w:rsidRPr="0038442F">
        <w:rPr>
          <w:rFonts w:ascii="Verdana" w:hAnsi="Verdana"/>
          <w:bCs/>
          <w:sz w:val="20"/>
          <w:szCs w:val="20"/>
          <w:lang w:val="pt-BR"/>
        </w:rPr>
        <w:t xml:space="preserve"> </w:t>
      </w:r>
      <w:r w:rsidR="003856EF" w:rsidRPr="0038442F">
        <w:rPr>
          <w:rFonts w:ascii="Verdana" w:hAnsi="Verdana"/>
          <w:bCs/>
          <w:sz w:val="20"/>
          <w:szCs w:val="20"/>
          <w:lang w:val="pt-BR"/>
        </w:rPr>
        <w:t>o</w:t>
      </w:r>
      <w:r w:rsidR="0059451E" w:rsidRPr="0038442F">
        <w:rPr>
          <w:rFonts w:ascii="Verdana" w:hAnsi="Verdana"/>
          <w:bCs/>
          <w:sz w:val="20"/>
          <w:szCs w:val="20"/>
          <w:lang w:val="pt-BR"/>
        </w:rPr>
        <w:t>u</w:t>
      </w:r>
      <w:r w:rsidR="003856EF" w:rsidRPr="0038442F">
        <w:rPr>
          <w:rFonts w:ascii="Verdana" w:hAnsi="Verdana"/>
          <w:bCs/>
          <w:sz w:val="20"/>
          <w:szCs w:val="20"/>
          <w:lang w:val="pt-BR"/>
        </w:rPr>
        <w:t xml:space="preserve"> </w:t>
      </w:r>
      <w:r w:rsidR="0059451E" w:rsidRPr="0038442F">
        <w:rPr>
          <w:rFonts w:ascii="Verdana" w:hAnsi="Verdana"/>
          <w:bCs/>
          <w:sz w:val="20"/>
          <w:szCs w:val="20"/>
          <w:lang w:val="pt-BR"/>
        </w:rPr>
        <w:t>inspecionar</w:t>
      </w:r>
      <w:r w:rsidR="00407242" w:rsidRPr="0038442F">
        <w:rPr>
          <w:rFonts w:ascii="Verdana" w:hAnsi="Verdana"/>
          <w:bCs/>
          <w:sz w:val="20"/>
          <w:szCs w:val="20"/>
          <w:lang w:val="pt-BR"/>
        </w:rPr>
        <w:t xml:space="preserve"> </w:t>
      </w:r>
      <w:r w:rsidR="0059451E" w:rsidRPr="0038442F">
        <w:rPr>
          <w:rFonts w:ascii="Verdana" w:hAnsi="Verdana"/>
          <w:bCs/>
          <w:sz w:val="20"/>
          <w:szCs w:val="20"/>
          <w:lang w:val="pt-BR"/>
        </w:rPr>
        <w:t>certas</w:t>
      </w:r>
      <w:r w:rsidR="00407242" w:rsidRPr="0038442F">
        <w:rPr>
          <w:rFonts w:ascii="Verdana" w:hAnsi="Verdana"/>
          <w:bCs/>
          <w:sz w:val="20"/>
          <w:szCs w:val="20"/>
          <w:lang w:val="pt-BR"/>
        </w:rPr>
        <w:t xml:space="preserve">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A33F55" w:rsidRPr="0038442F">
        <w:rPr>
          <w:rFonts w:ascii="Verdana" w:hAnsi="Verdana"/>
          <w:bCs/>
          <w:sz w:val="20"/>
          <w:szCs w:val="20"/>
          <w:lang w:val="pt-BR"/>
        </w:rPr>
        <w:t xml:space="preserve">consideradas </w:t>
      </w:r>
      <w:r w:rsidR="00360928" w:rsidRPr="0038442F">
        <w:rPr>
          <w:rFonts w:ascii="Verdana" w:hAnsi="Verdana"/>
          <w:bCs/>
          <w:sz w:val="20"/>
          <w:szCs w:val="20"/>
          <w:lang w:val="pt-BR"/>
        </w:rPr>
        <w:t>perigosas</w:t>
      </w:r>
      <w:r w:rsidR="00407242" w:rsidRPr="0038442F">
        <w:rPr>
          <w:rFonts w:ascii="Verdana" w:hAnsi="Verdana"/>
          <w:bCs/>
          <w:sz w:val="20"/>
          <w:szCs w:val="20"/>
          <w:lang w:val="pt-BR"/>
        </w:rPr>
        <w:t xml:space="preserve"> </w:t>
      </w:r>
      <w:r w:rsidR="00A33F55" w:rsidRPr="0038442F">
        <w:rPr>
          <w:rFonts w:ascii="Verdana" w:hAnsi="Verdana"/>
          <w:bCs/>
          <w:sz w:val="20"/>
          <w:szCs w:val="20"/>
          <w:lang w:val="pt-BR"/>
        </w:rPr>
        <w:t>e</w:t>
      </w:r>
      <w:r w:rsidR="0059451E" w:rsidRPr="0038442F">
        <w:rPr>
          <w:rFonts w:ascii="Verdana" w:hAnsi="Verdana"/>
          <w:bCs/>
          <w:sz w:val="20"/>
          <w:szCs w:val="20"/>
          <w:lang w:val="pt-BR"/>
        </w:rPr>
        <w:t>m</w:t>
      </w:r>
      <w:r w:rsidR="00A33F55" w:rsidRPr="0038442F">
        <w:rPr>
          <w:rFonts w:ascii="Verdana" w:hAnsi="Verdana"/>
          <w:bCs/>
          <w:sz w:val="20"/>
          <w:szCs w:val="20"/>
          <w:lang w:val="pt-BR"/>
        </w:rPr>
        <w:t xml:space="preserve"> contextos labor</w:t>
      </w:r>
      <w:r w:rsidR="00C92762" w:rsidRPr="0038442F">
        <w:rPr>
          <w:rFonts w:ascii="Verdana" w:hAnsi="Verdana"/>
          <w:bCs/>
          <w:sz w:val="20"/>
          <w:szCs w:val="20"/>
          <w:lang w:val="pt-BR"/>
        </w:rPr>
        <w:t>ais</w:t>
      </w:r>
      <w:r w:rsidR="00407242" w:rsidRPr="0038442F">
        <w:rPr>
          <w:rFonts w:ascii="Verdana" w:hAnsi="Verdana"/>
          <w:bCs/>
          <w:sz w:val="20"/>
          <w:szCs w:val="20"/>
          <w:lang w:val="pt-BR"/>
        </w:rPr>
        <w:t xml:space="preserve"> </w:t>
      </w:r>
      <w:r w:rsidR="00A33F55" w:rsidRPr="0038442F">
        <w:rPr>
          <w:rFonts w:ascii="Verdana" w:hAnsi="Verdana"/>
          <w:bCs/>
          <w:sz w:val="20"/>
          <w:szCs w:val="20"/>
          <w:lang w:val="pt-BR"/>
        </w:rPr>
        <w:t xml:space="preserve">entre particulares; </w:t>
      </w:r>
      <w:r w:rsidR="0059451E" w:rsidRPr="0038442F">
        <w:rPr>
          <w:rFonts w:ascii="Verdana" w:hAnsi="Verdana"/>
          <w:bCs/>
          <w:sz w:val="20"/>
          <w:szCs w:val="20"/>
          <w:lang w:val="pt-BR"/>
        </w:rPr>
        <w:t xml:space="preserve">é </w:t>
      </w:r>
      <w:r w:rsidR="002226C1" w:rsidRPr="0038442F">
        <w:rPr>
          <w:rFonts w:ascii="Verdana" w:hAnsi="Verdana"/>
          <w:bCs/>
          <w:sz w:val="20"/>
          <w:szCs w:val="20"/>
          <w:lang w:val="pt-BR"/>
        </w:rPr>
        <w:t>necessário</w:t>
      </w:r>
      <w:r w:rsidR="00407242" w:rsidRPr="0038442F">
        <w:rPr>
          <w:rFonts w:ascii="Verdana" w:hAnsi="Verdana"/>
          <w:bCs/>
          <w:sz w:val="20"/>
          <w:szCs w:val="20"/>
          <w:lang w:val="pt-BR"/>
        </w:rPr>
        <w:t xml:space="preserve"> </w:t>
      </w:r>
      <w:r w:rsidR="00A33F55" w:rsidRPr="0038442F">
        <w:rPr>
          <w:rFonts w:ascii="Verdana" w:hAnsi="Verdana"/>
          <w:bCs/>
          <w:sz w:val="20"/>
          <w:szCs w:val="20"/>
          <w:lang w:val="pt-BR"/>
        </w:rPr>
        <w:t xml:space="preserve">que, </w:t>
      </w:r>
      <w:r w:rsidR="0059451E" w:rsidRPr="0038442F">
        <w:rPr>
          <w:rFonts w:ascii="Verdana" w:hAnsi="Verdana"/>
          <w:bCs/>
          <w:sz w:val="20"/>
          <w:szCs w:val="20"/>
          <w:lang w:val="pt-BR"/>
        </w:rPr>
        <w:t>efetivamente</w:t>
      </w:r>
      <w:r w:rsidR="00407242" w:rsidRPr="0038442F">
        <w:rPr>
          <w:rFonts w:ascii="Verdana" w:hAnsi="Verdana"/>
          <w:bCs/>
          <w:sz w:val="20"/>
          <w:szCs w:val="20"/>
          <w:lang w:val="pt-BR"/>
        </w:rPr>
        <w:t xml:space="preserve"> </w:t>
      </w:r>
      <w:r w:rsidR="00A33F55" w:rsidRPr="0038442F">
        <w:rPr>
          <w:rFonts w:ascii="Verdana" w:hAnsi="Verdana"/>
          <w:bCs/>
          <w:sz w:val="20"/>
          <w:szCs w:val="20"/>
          <w:lang w:val="pt-BR"/>
        </w:rPr>
        <w:t>es</w:t>
      </w:r>
      <w:r w:rsidR="0059451E" w:rsidRPr="0038442F">
        <w:rPr>
          <w:rFonts w:ascii="Verdana" w:hAnsi="Verdana"/>
          <w:bCs/>
          <w:sz w:val="20"/>
          <w:szCs w:val="20"/>
          <w:lang w:val="pt-BR"/>
        </w:rPr>
        <w:t>s</w:t>
      </w:r>
      <w:r w:rsidR="00A33F55" w:rsidRPr="0038442F">
        <w:rPr>
          <w:rFonts w:ascii="Verdana" w:hAnsi="Verdana"/>
          <w:bCs/>
          <w:sz w:val="20"/>
          <w:szCs w:val="20"/>
          <w:lang w:val="pt-BR"/>
        </w:rPr>
        <w:t xml:space="preserve">e aparato institucional, </w:t>
      </w:r>
      <w:r w:rsidR="00BF7A10" w:rsidRPr="0038442F">
        <w:rPr>
          <w:rFonts w:ascii="Verdana" w:hAnsi="Verdana"/>
          <w:bCs/>
          <w:sz w:val="20"/>
          <w:szCs w:val="20"/>
          <w:lang w:val="pt-BR"/>
        </w:rPr>
        <w:t xml:space="preserve">na </w:t>
      </w:r>
      <w:r w:rsidR="0059451E" w:rsidRPr="0038442F">
        <w:rPr>
          <w:rFonts w:ascii="Verdana" w:hAnsi="Verdana"/>
          <w:bCs/>
          <w:sz w:val="20"/>
          <w:szCs w:val="20"/>
          <w:lang w:val="pt-BR"/>
        </w:rPr>
        <w:t>prática</w:t>
      </w:r>
      <w:r w:rsidR="00A33F55" w:rsidRPr="0038442F">
        <w:rPr>
          <w:rFonts w:ascii="Verdana" w:hAnsi="Verdana"/>
          <w:bCs/>
          <w:sz w:val="20"/>
          <w:szCs w:val="20"/>
          <w:lang w:val="pt-BR"/>
        </w:rPr>
        <w:t xml:space="preserve">, </w:t>
      </w:r>
      <w:r w:rsidR="0059451E" w:rsidRPr="0038442F">
        <w:rPr>
          <w:rFonts w:ascii="Verdana" w:hAnsi="Verdana"/>
          <w:bCs/>
          <w:sz w:val="20"/>
          <w:szCs w:val="20"/>
          <w:lang w:val="pt-BR"/>
        </w:rPr>
        <w:t>z</w:t>
      </w:r>
      <w:r w:rsidR="00A33F55" w:rsidRPr="0038442F">
        <w:rPr>
          <w:rFonts w:ascii="Verdana" w:hAnsi="Verdana"/>
          <w:bCs/>
          <w:sz w:val="20"/>
          <w:szCs w:val="20"/>
          <w:lang w:val="pt-BR"/>
        </w:rPr>
        <w:t xml:space="preserve">ele </w:t>
      </w:r>
      <w:r w:rsidR="0059451E" w:rsidRPr="0038442F">
        <w:rPr>
          <w:rFonts w:ascii="Verdana" w:hAnsi="Verdana"/>
          <w:bCs/>
          <w:sz w:val="20"/>
          <w:szCs w:val="20"/>
          <w:lang w:val="pt-BR"/>
        </w:rPr>
        <w:t>pela materialização do que foi regulamentado</w:t>
      </w:r>
      <w:r w:rsidR="00A33F55" w:rsidRPr="0038442F">
        <w:rPr>
          <w:rFonts w:ascii="Verdana" w:hAnsi="Verdana"/>
          <w:bCs/>
          <w:sz w:val="20"/>
          <w:szCs w:val="20"/>
          <w:lang w:val="pt-BR"/>
        </w:rPr>
        <w:t xml:space="preserve">. </w:t>
      </w:r>
      <w:r w:rsidR="00DE0C29" w:rsidRPr="0038442F">
        <w:rPr>
          <w:rFonts w:ascii="Verdana" w:hAnsi="Verdana"/>
          <w:bCs/>
          <w:sz w:val="20"/>
          <w:szCs w:val="20"/>
          <w:lang w:val="pt-BR"/>
        </w:rPr>
        <w:t>N</w:t>
      </w:r>
      <w:r w:rsidR="0059451E" w:rsidRPr="0038442F">
        <w:rPr>
          <w:rFonts w:ascii="Verdana" w:hAnsi="Verdana"/>
          <w:bCs/>
          <w:sz w:val="20"/>
          <w:szCs w:val="20"/>
          <w:lang w:val="pt-BR"/>
        </w:rPr>
        <w:t>ã</w:t>
      </w:r>
      <w:r w:rsidR="00A33F55" w:rsidRPr="0038442F">
        <w:rPr>
          <w:rFonts w:ascii="Verdana" w:hAnsi="Verdana"/>
          <w:bCs/>
          <w:sz w:val="20"/>
          <w:szCs w:val="20"/>
          <w:lang w:val="pt-BR"/>
        </w:rPr>
        <w:t>o</w:t>
      </w:r>
      <w:r w:rsidR="00DE0C29" w:rsidRPr="0038442F">
        <w:rPr>
          <w:rFonts w:ascii="Verdana" w:hAnsi="Verdana"/>
          <w:bCs/>
          <w:sz w:val="20"/>
          <w:szCs w:val="20"/>
          <w:lang w:val="pt-BR"/>
        </w:rPr>
        <w:t xml:space="preserve"> </w:t>
      </w:r>
      <w:r w:rsidR="00BB665E" w:rsidRPr="0038442F">
        <w:rPr>
          <w:rFonts w:ascii="Verdana" w:hAnsi="Verdana"/>
          <w:bCs/>
          <w:sz w:val="20"/>
          <w:szCs w:val="20"/>
          <w:lang w:val="pt-BR"/>
        </w:rPr>
        <w:t>pode</w:t>
      </w:r>
      <w:r w:rsidR="00407242" w:rsidRPr="0038442F">
        <w:rPr>
          <w:rFonts w:ascii="Verdana" w:hAnsi="Verdana"/>
          <w:bCs/>
          <w:sz w:val="20"/>
          <w:szCs w:val="20"/>
          <w:lang w:val="pt-BR"/>
        </w:rPr>
        <w:t xml:space="preserve"> </w:t>
      </w:r>
      <w:r w:rsidR="00A33F55" w:rsidRPr="0038442F">
        <w:rPr>
          <w:rFonts w:ascii="Verdana" w:hAnsi="Verdana"/>
          <w:bCs/>
          <w:sz w:val="20"/>
          <w:szCs w:val="20"/>
          <w:lang w:val="pt-BR"/>
        </w:rPr>
        <w:t>pa</w:t>
      </w:r>
      <w:r w:rsidR="0059451E" w:rsidRPr="0038442F">
        <w:rPr>
          <w:rFonts w:ascii="Verdana" w:hAnsi="Verdana"/>
          <w:bCs/>
          <w:sz w:val="20"/>
          <w:szCs w:val="20"/>
          <w:lang w:val="pt-BR"/>
        </w:rPr>
        <w:t>s</w:t>
      </w:r>
      <w:r w:rsidR="00A33F55" w:rsidRPr="0038442F">
        <w:rPr>
          <w:rFonts w:ascii="Verdana" w:hAnsi="Verdana"/>
          <w:bCs/>
          <w:sz w:val="20"/>
          <w:szCs w:val="20"/>
          <w:lang w:val="pt-BR"/>
        </w:rPr>
        <w:t xml:space="preserve">sar inadvertido </w:t>
      </w:r>
      <w:r w:rsidR="00E2096F" w:rsidRPr="0038442F">
        <w:rPr>
          <w:rFonts w:ascii="Verdana" w:hAnsi="Verdana"/>
          <w:bCs/>
          <w:sz w:val="20"/>
          <w:szCs w:val="20"/>
          <w:lang w:val="pt-BR"/>
        </w:rPr>
        <w:t>que,</w:t>
      </w:r>
      <w:r w:rsidR="00936783" w:rsidRPr="0038442F">
        <w:rPr>
          <w:rFonts w:ascii="Verdana" w:hAnsi="Verdana"/>
          <w:bCs/>
          <w:sz w:val="20"/>
          <w:szCs w:val="20"/>
          <w:lang w:val="pt-BR"/>
        </w:rPr>
        <w:t xml:space="preserve"> </w:t>
      </w:r>
      <w:r w:rsidR="00963916" w:rsidRPr="0038442F">
        <w:rPr>
          <w:rFonts w:ascii="Verdana" w:hAnsi="Verdana"/>
          <w:bCs/>
          <w:sz w:val="20"/>
          <w:szCs w:val="20"/>
          <w:lang w:val="pt-BR"/>
        </w:rPr>
        <w:t>durante a audi</w:t>
      </w:r>
      <w:r w:rsidR="0059451E" w:rsidRPr="0038442F">
        <w:rPr>
          <w:rFonts w:ascii="Verdana" w:hAnsi="Verdana"/>
          <w:bCs/>
          <w:sz w:val="20"/>
          <w:szCs w:val="20"/>
          <w:lang w:val="pt-BR"/>
        </w:rPr>
        <w:t>ê</w:t>
      </w:r>
      <w:r w:rsidR="00963916" w:rsidRPr="0038442F">
        <w:rPr>
          <w:rFonts w:ascii="Verdana" w:hAnsi="Verdana"/>
          <w:bCs/>
          <w:sz w:val="20"/>
          <w:szCs w:val="20"/>
          <w:lang w:val="pt-BR"/>
        </w:rPr>
        <w:t>ncia pública, os agentes d</w:t>
      </w:r>
      <w:r w:rsidR="000A1AA8" w:rsidRPr="0038442F">
        <w:rPr>
          <w:rFonts w:ascii="Verdana" w:hAnsi="Verdana"/>
          <w:bCs/>
          <w:sz w:val="20"/>
          <w:szCs w:val="20"/>
          <w:lang w:val="pt-BR"/>
        </w:rPr>
        <w:t xml:space="preserve">o Estado </w:t>
      </w:r>
      <w:r w:rsidR="0059451E" w:rsidRPr="0038442F">
        <w:rPr>
          <w:rFonts w:ascii="Verdana" w:hAnsi="Verdana"/>
          <w:bCs/>
          <w:sz w:val="20"/>
          <w:szCs w:val="20"/>
          <w:lang w:val="pt-BR"/>
        </w:rPr>
        <w:t xml:space="preserve">reconheceram </w:t>
      </w:r>
      <w:r w:rsidR="00963916" w:rsidRPr="0038442F">
        <w:rPr>
          <w:rFonts w:ascii="Verdana" w:hAnsi="Verdana"/>
          <w:bCs/>
          <w:sz w:val="20"/>
          <w:szCs w:val="20"/>
          <w:lang w:val="pt-BR"/>
        </w:rPr>
        <w:t xml:space="preserve">que, </w:t>
      </w:r>
      <w:r w:rsidR="0059451E" w:rsidRPr="0038442F">
        <w:rPr>
          <w:rFonts w:ascii="Verdana" w:hAnsi="Verdana"/>
          <w:bCs/>
          <w:sz w:val="20"/>
          <w:szCs w:val="20"/>
          <w:lang w:val="pt-BR"/>
        </w:rPr>
        <w:t xml:space="preserve">levando em conta a extensão </w:t>
      </w:r>
      <w:r w:rsidR="00963916" w:rsidRPr="0038442F">
        <w:rPr>
          <w:rFonts w:ascii="Verdana" w:hAnsi="Verdana"/>
          <w:bCs/>
          <w:sz w:val="20"/>
          <w:szCs w:val="20"/>
          <w:lang w:val="pt-BR"/>
        </w:rPr>
        <w:t xml:space="preserve">territorial </w:t>
      </w:r>
      <w:r w:rsidR="00BB665E" w:rsidRPr="0038442F">
        <w:rPr>
          <w:rFonts w:ascii="Verdana" w:hAnsi="Verdana"/>
          <w:bCs/>
          <w:sz w:val="20"/>
          <w:szCs w:val="20"/>
          <w:lang w:val="pt-BR"/>
        </w:rPr>
        <w:t>do Estado</w:t>
      </w:r>
      <w:r w:rsidR="00963916" w:rsidRPr="0038442F">
        <w:rPr>
          <w:rFonts w:ascii="Verdana" w:hAnsi="Verdana"/>
          <w:bCs/>
          <w:sz w:val="20"/>
          <w:szCs w:val="20"/>
          <w:lang w:val="pt-BR"/>
        </w:rPr>
        <w:t xml:space="preserve">, </w:t>
      </w:r>
      <w:r w:rsidR="0059451E" w:rsidRPr="0038442F">
        <w:rPr>
          <w:rFonts w:ascii="Verdana" w:hAnsi="Verdana"/>
          <w:bCs/>
          <w:sz w:val="20"/>
          <w:szCs w:val="20"/>
          <w:lang w:val="pt-BR"/>
        </w:rPr>
        <w:t xml:space="preserve">existem </w:t>
      </w:r>
      <w:r w:rsidR="00963916" w:rsidRPr="0038442F">
        <w:rPr>
          <w:rFonts w:ascii="Verdana" w:hAnsi="Verdana"/>
          <w:bCs/>
          <w:sz w:val="20"/>
          <w:szCs w:val="20"/>
          <w:lang w:val="pt-BR"/>
        </w:rPr>
        <w:t>“limita</w:t>
      </w:r>
      <w:r w:rsidR="000A1AA8" w:rsidRPr="0038442F">
        <w:rPr>
          <w:rFonts w:ascii="Verdana" w:hAnsi="Verdana"/>
          <w:bCs/>
          <w:sz w:val="20"/>
          <w:szCs w:val="20"/>
          <w:lang w:val="pt-BR"/>
        </w:rPr>
        <w:t>ções</w:t>
      </w:r>
      <w:r w:rsidR="00963916" w:rsidRPr="0038442F">
        <w:rPr>
          <w:rFonts w:ascii="Verdana" w:hAnsi="Verdana"/>
          <w:bCs/>
          <w:sz w:val="20"/>
          <w:szCs w:val="20"/>
          <w:lang w:val="pt-BR"/>
        </w:rPr>
        <w:t xml:space="preserve"> razo</w:t>
      </w:r>
      <w:r w:rsidR="0059451E" w:rsidRPr="0038442F">
        <w:rPr>
          <w:rFonts w:ascii="Verdana" w:hAnsi="Verdana"/>
          <w:bCs/>
          <w:sz w:val="20"/>
          <w:szCs w:val="20"/>
          <w:lang w:val="pt-BR"/>
        </w:rPr>
        <w:t>áveis</w:t>
      </w:r>
      <w:r w:rsidR="00963916" w:rsidRPr="0038442F">
        <w:rPr>
          <w:rFonts w:ascii="Verdana" w:hAnsi="Verdana"/>
          <w:bCs/>
          <w:sz w:val="20"/>
          <w:szCs w:val="20"/>
          <w:lang w:val="pt-BR"/>
        </w:rPr>
        <w:t xml:space="preserve">” para realizar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963916" w:rsidRPr="0038442F">
        <w:rPr>
          <w:rFonts w:ascii="Verdana" w:hAnsi="Verdana"/>
          <w:bCs/>
          <w:sz w:val="20"/>
          <w:szCs w:val="20"/>
          <w:lang w:val="pt-BR"/>
        </w:rPr>
        <w:t>de auditor</w:t>
      </w:r>
      <w:r w:rsidR="0059451E" w:rsidRPr="0038442F">
        <w:rPr>
          <w:rFonts w:ascii="Verdana" w:hAnsi="Verdana"/>
          <w:bCs/>
          <w:sz w:val="20"/>
          <w:szCs w:val="20"/>
          <w:lang w:val="pt-BR"/>
        </w:rPr>
        <w:t>i</w:t>
      </w:r>
      <w:r w:rsidR="00963916" w:rsidRPr="0038442F">
        <w:rPr>
          <w:rFonts w:ascii="Verdana" w:hAnsi="Verdana"/>
          <w:bCs/>
          <w:sz w:val="20"/>
          <w:szCs w:val="20"/>
          <w:lang w:val="pt-BR"/>
        </w:rPr>
        <w:t xml:space="preserve">a </w:t>
      </w:r>
      <w:r w:rsidR="0059451E" w:rsidRPr="0038442F">
        <w:rPr>
          <w:rFonts w:ascii="Verdana" w:hAnsi="Verdana"/>
          <w:bCs/>
          <w:sz w:val="20"/>
          <w:szCs w:val="20"/>
          <w:lang w:val="pt-BR"/>
        </w:rPr>
        <w:t>e</w:t>
      </w:r>
      <w:r w:rsidR="00963916" w:rsidRPr="0038442F">
        <w:rPr>
          <w:rFonts w:ascii="Verdana" w:hAnsi="Verdana"/>
          <w:bCs/>
          <w:sz w:val="20"/>
          <w:szCs w:val="20"/>
          <w:lang w:val="pt-BR"/>
        </w:rPr>
        <w:t xml:space="preserve"> fiscaliza</w:t>
      </w:r>
      <w:r w:rsidR="000A1AA8" w:rsidRPr="0038442F">
        <w:rPr>
          <w:rFonts w:ascii="Verdana" w:hAnsi="Verdana"/>
          <w:bCs/>
          <w:sz w:val="20"/>
          <w:szCs w:val="20"/>
          <w:lang w:val="pt-BR"/>
        </w:rPr>
        <w:t>ção</w:t>
      </w:r>
      <w:r w:rsidR="00963916"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das </w:t>
      </w:r>
      <w:r w:rsidR="00963916" w:rsidRPr="0038442F">
        <w:rPr>
          <w:rFonts w:ascii="Verdana" w:hAnsi="Verdana"/>
          <w:bCs/>
          <w:sz w:val="20"/>
          <w:szCs w:val="20"/>
          <w:lang w:val="pt-BR"/>
        </w:rPr>
        <w:t xml:space="preserve">diferentes </w:t>
      </w:r>
      <w:r w:rsidR="009F06E2" w:rsidRPr="0038442F">
        <w:rPr>
          <w:rFonts w:ascii="Verdana" w:hAnsi="Verdana"/>
          <w:bCs/>
          <w:sz w:val="20"/>
          <w:szCs w:val="20"/>
          <w:lang w:val="pt-BR"/>
        </w:rPr>
        <w:t>atividades</w:t>
      </w:r>
      <w:r w:rsidR="00407242" w:rsidRPr="0038442F">
        <w:rPr>
          <w:rFonts w:ascii="Verdana" w:hAnsi="Verdana"/>
          <w:bCs/>
          <w:sz w:val="20"/>
          <w:szCs w:val="20"/>
          <w:lang w:val="pt-BR"/>
        </w:rPr>
        <w:t xml:space="preserve"> </w:t>
      </w:r>
      <w:r w:rsidR="0059451E" w:rsidRPr="0038442F">
        <w:rPr>
          <w:rFonts w:ascii="Verdana" w:hAnsi="Verdana"/>
          <w:bCs/>
          <w:sz w:val="20"/>
          <w:szCs w:val="20"/>
          <w:lang w:val="pt-BR"/>
        </w:rPr>
        <w:t xml:space="preserve">econômicas, e </w:t>
      </w:r>
      <w:r w:rsidR="00963916" w:rsidRPr="0038442F">
        <w:rPr>
          <w:rFonts w:ascii="Verdana" w:hAnsi="Verdana"/>
          <w:bCs/>
          <w:sz w:val="20"/>
          <w:szCs w:val="20"/>
          <w:lang w:val="pt-BR"/>
        </w:rPr>
        <w:t xml:space="preserve">que </w:t>
      </w:r>
      <w:r w:rsidR="000A1AA8" w:rsidRPr="0038442F">
        <w:rPr>
          <w:rFonts w:ascii="Verdana" w:hAnsi="Verdana"/>
          <w:bCs/>
          <w:sz w:val="20"/>
          <w:szCs w:val="20"/>
          <w:lang w:val="pt-BR"/>
        </w:rPr>
        <w:t xml:space="preserve">o Estado </w:t>
      </w:r>
      <w:r w:rsidR="00984A83" w:rsidRPr="0038442F">
        <w:rPr>
          <w:rFonts w:ascii="Verdana" w:hAnsi="Verdana"/>
          <w:bCs/>
          <w:sz w:val="20"/>
          <w:szCs w:val="20"/>
          <w:lang w:val="pt-BR"/>
        </w:rPr>
        <w:t xml:space="preserve">não pode </w:t>
      </w:r>
      <w:r w:rsidR="00963916" w:rsidRPr="0038442F">
        <w:rPr>
          <w:rFonts w:ascii="Verdana" w:hAnsi="Verdana"/>
          <w:bCs/>
          <w:sz w:val="20"/>
          <w:szCs w:val="20"/>
          <w:lang w:val="pt-BR"/>
        </w:rPr>
        <w:t>“</w:t>
      </w:r>
      <w:r w:rsidR="009612FB" w:rsidRPr="0038442F">
        <w:rPr>
          <w:rFonts w:ascii="Verdana" w:hAnsi="Verdana"/>
          <w:bCs/>
          <w:sz w:val="20"/>
          <w:szCs w:val="20"/>
          <w:lang w:val="pt-BR"/>
        </w:rPr>
        <w:t xml:space="preserve">garantir </w:t>
      </w:r>
      <w:r w:rsidR="00963916" w:rsidRPr="0038442F">
        <w:rPr>
          <w:rFonts w:ascii="Verdana" w:hAnsi="Verdana"/>
          <w:bCs/>
          <w:sz w:val="20"/>
          <w:szCs w:val="20"/>
          <w:lang w:val="pt-BR"/>
        </w:rPr>
        <w:t xml:space="preserve">que </w:t>
      </w:r>
      <w:r w:rsidR="0059451E" w:rsidRPr="0038442F">
        <w:rPr>
          <w:rFonts w:ascii="Verdana" w:hAnsi="Verdana"/>
          <w:bCs/>
          <w:sz w:val="20"/>
          <w:szCs w:val="20"/>
          <w:lang w:val="pt-BR"/>
        </w:rPr>
        <w:t xml:space="preserve">100% </w:t>
      </w:r>
      <w:r w:rsidR="00C92762" w:rsidRPr="0038442F">
        <w:rPr>
          <w:rFonts w:ascii="Verdana" w:hAnsi="Verdana"/>
          <w:bCs/>
          <w:sz w:val="20"/>
          <w:szCs w:val="20"/>
          <w:lang w:val="pt-BR"/>
        </w:rPr>
        <w:t xml:space="preserve">dos </w:t>
      </w:r>
      <w:r w:rsidR="00602FF9" w:rsidRPr="0038442F">
        <w:rPr>
          <w:rFonts w:ascii="Verdana" w:hAnsi="Verdana"/>
          <w:bCs/>
          <w:sz w:val="20"/>
          <w:szCs w:val="20"/>
          <w:lang w:val="pt-BR"/>
        </w:rPr>
        <w:t>estabelecimentos</w:t>
      </w:r>
      <w:r w:rsidR="00407242" w:rsidRPr="0038442F">
        <w:rPr>
          <w:rFonts w:ascii="Verdana" w:hAnsi="Verdana"/>
          <w:bCs/>
          <w:sz w:val="20"/>
          <w:szCs w:val="20"/>
          <w:lang w:val="pt-BR"/>
        </w:rPr>
        <w:t xml:space="preserve"> </w:t>
      </w:r>
      <w:r w:rsidR="0059451E" w:rsidRPr="0038442F">
        <w:rPr>
          <w:rFonts w:ascii="Verdana" w:hAnsi="Verdana"/>
          <w:bCs/>
          <w:sz w:val="20"/>
          <w:szCs w:val="20"/>
          <w:lang w:val="pt-BR"/>
        </w:rPr>
        <w:t>e</w:t>
      </w:r>
      <w:r w:rsidR="00963916"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das </w:t>
      </w:r>
      <w:r w:rsidR="00963916" w:rsidRPr="0038442F">
        <w:rPr>
          <w:rFonts w:ascii="Verdana" w:hAnsi="Verdana"/>
          <w:bCs/>
          <w:sz w:val="20"/>
          <w:szCs w:val="20"/>
          <w:lang w:val="pt-BR"/>
        </w:rPr>
        <w:t>situa</w:t>
      </w:r>
      <w:r w:rsidR="000A1AA8" w:rsidRPr="0038442F">
        <w:rPr>
          <w:rFonts w:ascii="Verdana" w:hAnsi="Verdana"/>
          <w:bCs/>
          <w:sz w:val="20"/>
          <w:szCs w:val="20"/>
          <w:lang w:val="pt-BR"/>
        </w:rPr>
        <w:t>ções</w:t>
      </w:r>
      <w:r w:rsidR="00963916" w:rsidRPr="0038442F">
        <w:rPr>
          <w:rFonts w:ascii="Verdana" w:hAnsi="Verdana"/>
          <w:bCs/>
          <w:sz w:val="20"/>
          <w:szCs w:val="20"/>
          <w:lang w:val="pt-BR"/>
        </w:rPr>
        <w:t xml:space="preserve"> </w:t>
      </w:r>
      <w:r w:rsidR="0059451E" w:rsidRPr="0038442F">
        <w:rPr>
          <w:rFonts w:ascii="Verdana" w:hAnsi="Verdana"/>
          <w:bCs/>
          <w:sz w:val="20"/>
          <w:szCs w:val="20"/>
          <w:lang w:val="pt-BR"/>
        </w:rPr>
        <w:t>sejam supervisionados</w:t>
      </w:r>
      <w:r w:rsidR="00963916" w:rsidRPr="0038442F">
        <w:rPr>
          <w:rFonts w:ascii="Verdana" w:hAnsi="Verdana"/>
          <w:bCs/>
          <w:sz w:val="20"/>
          <w:szCs w:val="20"/>
          <w:lang w:val="pt-BR"/>
        </w:rPr>
        <w:t>”</w:t>
      </w:r>
      <w:r w:rsidR="0059451E" w:rsidRPr="0038442F">
        <w:rPr>
          <w:rFonts w:ascii="Verdana" w:hAnsi="Verdana"/>
          <w:bCs/>
          <w:sz w:val="20"/>
          <w:szCs w:val="20"/>
          <w:lang w:val="pt-BR"/>
        </w:rPr>
        <w:t>.</w:t>
      </w:r>
      <w:r w:rsidR="00A33F55" w:rsidRPr="0038442F">
        <w:rPr>
          <w:rStyle w:val="Refdenotaalpie"/>
          <w:rFonts w:ascii="Verdana" w:hAnsi="Verdana"/>
          <w:bCs/>
          <w:sz w:val="20"/>
          <w:szCs w:val="20"/>
          <w:lang w:val="pt-BR"/>
        </w:rPr>
        <w:footnoteReference w:id="77"/>
      </w:r>
      <w:r w:rsidR="00963916" w:rsidRPr="0038442F">
        <w:rPr>
          <w:rFonts w:ascii="Verdana" w:hAnsi="Verdana"/>
          <w:bCs/>
          <w:sz w:val="20"/>
          <w:szCs w:val="20"/>
          <w:lang w:val="pt-BR"/>
        </w:rPr>
        <w:t xml:space="preserve"> </w:t>
      </w:r>
    </w:p>
    <w:p w14:paraId="75C0E1F7" w14:textId="77777777" w:rsidR="00A33F55" w:rsidRPr="0038442F" w:rsidRDefault="00A33F55" w:rsidP="00A857CB">
      <w:pPr>
        <w:pStyle w:val="Prrafodelista"/>
        <w:spacing w:line="240" w:lineRule="auto"/>
        <w:rPr>
          <w:rFonts w:ascii="Verdana" w:hAnsi="Verdana"/>
          <w:bCs/>
          <w:sz w:val="20"/>
          <w:szCs w:val="20"/>
          <w:lang w:val="pt-BR"/>
        </w:rPr>
      </w:pPr>
    </w:p>
    <w:p w14:paraId="03A9A956" w14:textId="72E2D807" w:rsidR="00DE0C29"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Fonts w:ascii="Verdana" w:hAnsi="Verdana"/>
          <w:bCs/>
          <w:sz w:val="20"/>
          <w:szCs w:val="20"/>
          <w:lang w:val="pt-BR"/>
        </w:rPr>
        <w:t xml:space="preserve">47. </w:t>
      </w:r>
      <w:r w:rsidRPr="0038442F">
        <w:rPr>
          <w:rFonts w:ascii="Verdana" w:hAnsi="Verdana"/>
          <w:bCs/>
          <w:sz w:val="20"/>
          <w:szCs w:val="20"/>
          <w:lang w:val="pt-BR"/>
        </w:rPr>
        <w:tab/>
      </w:r>
      <w:r w:rsidR="00F158D8" w:rsidRPr="0038442F">
        <w:rPr>
          <w:rFonts w:ascii="Verdana" w:hAnsi="Verdana"/>
          <w:bCs/>
          <w:sz w:val="20"/>
          <w:szCs w:val="20"/>
          <w:lang w:val="pt-BR"/>
        </w:rPr>
        <w:t>Sobre ess</w:t>
      </w:r>
      <w:r w:rsidR="00A33F55" w:rsidRPr="0038442F">
        <w:rPr>
          <w:rFonts w:ascii="Verdana" w:hAnsi="Verdana"/>
          <w:bCs/>
          <w:sz w:val="20"/>
          <w:szCs w:val="20"/>
          <w:lang w:val="pt-BR"/>
        </w:rPr>
        <w:t xml:space="preserve">a </w:t>
      </w:r>
      <w:r w:rsidR="00F158D8" w:rsidRPr="0038442F">
        <w:rPr>
          <w:rFonts w:ascii="Verdana" w:hAnsi="Verdana"/>
          <w:bCs/>
          <w:sz w:val="20"/>
          <w:szCs w:val="20"/>
          <w:lang w:val="pt-BR"/>
        </w:rPr>
        <w:t>questão</w:t>
      </w:r>
      <w:r w:rsidR="00A33F55" w:rsidRPr="0038442F">
        <w:rPr>
          <w:rFonts w:ascii="Verdana" w:hAnsi="Verdana"/>
          <w:bCs/>
          <w:sz w:val="20"/>
          <w:szCs w:val="20"/>
          <w:lang w:val="pt-BR"/>
        </w:rPr>
        <w:t xml:space="preserve">, por </w:t>
      </w:r>
      <w:r w:rsidR="00D45B15" w:rsidRPr="0038442F">
        <w:rPr>
          <w:rFonts w:ascii="Verdana" w:hAnsi="Verdana"/>
          <w:bCs/>
          <w:sz w:val="20"/>
          <w:szCs w:val="20"/>
          <w:lang w:val="pt-BR"/>
        </w:rPr>
        <w:t>exemplo</w:t>
      </w:r>
      <w:r w:rsidR="00A33F55" w:rsidRPr="0038442F">
        <w:rPr>
          <w:rFonts w:ascii="Verdana" w:hAnsi="Verdana"/>
          <w:bCs/>
          <w:sz w:val="20"/>
          <w:szCs w:val="20"/>
          <w:lang w:val="pt-BR"/>
        </w:rPr>
        <w:t xml:space="preserve">, </w:t>
      </w:r>
      <w:r w:rsidR="00751189" w:rsidRPr="0038442F">
        <w:rPr>
          <w:rFonts w:ascii="Verdana" w:hAnsi="Verdana"/>
          <w:bCs/>
          <w:sz w:val="20"/>
          <w:szCs w:val="20"/>
          <w:lang w:val="pt-BR"/>
        </w:rPr>
        <w:t xml:space="preserve">no </w:t>
      </w:r>
      <w:r w:rsidR="00246A73" w:rsidRPr="0038442F">
        <w:rPr>
          <w:rFonts w:ascii="Verdana" w:hAnsi="Verdana"/>
          <w:bCs/>
          <w:sz w:val="20"/>
          <w:szCs w:val="20"/>
          <w:lang w:val="pt-BR"/>
        </w:rPr>
        <w:t>âmbito</w:t>
      </w:r>
      <w:r w:rsidR="00407242" w:rsidRPr="0038442F">
        <w:rPr>
          <w:rFonts w:ascii="Verdana" w:hAnsi="Verdana"/>
          <w:bCs/>
          <w:sz w:val="20"/>
          <w:szCs w:val="20"/>
          <w:lang w:val="pt-BR"/>
        </w:rPr>
        <w:t xml:space="preserve"> </w:t>
      </w:r>
      <w:r w:rsidR="00F158D8" w:rsidRPr="0038442F">
        <w:rPr>
          <w:rFonts w:ascii="Verdana" w:hAnsi="Verdana"/>
          <w:bCs/>
          <w:sz w:val="20"/>
          <w:szCs w:val="20"/>
          <w:lang w:val="pt-BR"/>
        </w:rPr>
        <w:t xml:space="preserve">do </w:t>
      </w:r>
      <w:r w:rsidR="00A33F55" w:rsidRPr="0038442F">
        <w:rPr>
          <w:rFonts w:ascii="Verdana" w:hAnsi="Verdana"/>
          <w:bCs/>
          <w:sz w:val="20"/>
          <w:szCs w:val="20"/>
          <w:lang w:val="pt-BR"/>
        </w:rPr>
        <w:t xml:space="preserve">Sistema </w:t>
      </w:r>
      <w:r w:rsidR="00DA73B1" w:rsidRPr="0038442F">
        <w:rPr>
          <w:rFonts w:ascii="Verdana" w:hAnsi="Verdana"/>
          <w:bCs/>
          <w:sz w:val="20"/>
          <w:szCs w:val="20"/>
          <w:lang w:val="pt-BR"/>
        </w:rPr>
        <w:t>Europeu</w:t>
      </w:r>
      <w:r w:rsidR="00A33F55" w:rsidRPr="0038442F">
        <w:rPr>
          <w:rFonts w:ascii="Verdana" w:hAnsi="Verdana"/>
          <w:bCs/>
          <w:sz w:val="20"/>
          <w:szCs w:val="20"/>
          <w:lang w:val="pt-BR"/>
        </w:rPr>
        <w:t xml:space="preserve">, </w:t>
      </w:r>
      <w:r w:rsidR="00F158D8" w:rsidRPr="0038442F">
        <w:rPr>
          <w:rFonts w:ascii="Verdana" w:hAnsi="Verdana"/>
          <w:bCs/>
          <w:sz w:val="20"/>
          <w:szCs w:val="20"/>
          <w:lang w:val="pt-BR"/>
        </w:rPr>
        <w:t xml:space="preserve">o </w:t>
      </w:r>
      <w:r w:rsidR="00360928" w:rsidRPr="0038442F">
        <w:rPr>
          <w:rFonts w:ascii="Verdana" w:hAnsi="Verdana" w:cs="Arial"/>
          <w:bCs/>
          <w:sz w:val="20"/>
          <w:szCs w:val="20"/>
          <w:lang w:val="pt-BR"/>
        </w:rPr>
        <w:t>Comitê</w:t>
      </w:r>
      <w:r w:rsidR="00407242" w:rsidRPr="0038442F">
        <w:rPr>
          <w:rFonts w:ascii="Verdana" w:hAnsi="Verdana" w:cs="Arial"/>
          <w:bCs/>
          <w:sz w:val="20"/>
          <w:szCs w:val="20"/>
          <w:lang w:val="pt-BR"/>
        </w:rPr>
        <w:t xml:space="preserve"> </w:t>
      </w:r>
      <w:r w:rsidR="00DA73B1" w:rsidRPr="0038442F">
        <w:rPr>
          <w:rFonts w:ascii="Verdana" w:hAnsi="Verdana" w:cs="Arial"/>
          <w:bCs/>
          <w:sz w:val="20"/>
          <w:szCs w:val="20"/>
          <w:lang w:val="pt-BR"/>
        </w:rPr>
        <w:t>Europeu</w:t>
      </w:r>
      <w:r w:rsidR="00407242" w:rsidRPr="0038442F">
        <w:rPr>
          <w:rFonts w:ascii="Verdana" w:hAnsi="Verdana" w:cs="Arial"/>
          <w:bCs/>
          <w:sz w:val="20"/>
          <w:szCs w:val="20"/>
          <w:lang w:val="pt-BR"/>
        </w:rPr>
        <w:t xml:space="preserve"> </w:t>
      </w:r>
      <w:r w:rsidR="00F158D8" w:rsidRPr="0038442F">
        <w:rPr>
          <w:rFonts w:ascii="Verdana" w:hAnsi="Verdana" w:cs="Arial"/>
          <w:bCs/>
          <w:sz w:val="20"/>
          <w:szCs w:val="20"/>
          <w:lang w:val="pt-BR"/>
        </w:rPr>
        <w:t xml:space="preserve">salientou que, em virtude </w:t>
      </w:r>
      <w:r w:rsidR="00751189" w:rsidRPr="0038442F">
        <w:rPr>
          <w:rFonts w:ascii="Verdana" w:hAnsi="Verdana" w:cs="Arial"/>
          <w:bCs/>
          <w:sz w:val="20"/>
          <w:szCs w:val="20"/>
          <w:lang w:val="pt-BR"/>
        </w:rPr>
        <w:t xml:space="preserve">do artigo </w:t>
      </w:r>
      <w:r w:rsidR="00197A06" w:rsidRPr="0038442F">
        <w:rPr>
          <w:rFonts w:ascii="Verdana" w:hAnsi="Verdana" w:cs="Arial"/>
          <w:bCs/>
          <w:sz w:val="20"/>
          <w:szCs w:val="20"/>
          <w:lang w:val="pt-BR"/>
        </w:rPr>
        <w:t>3</w:t>
      </w:r>
      <w:r w:rsidR="00DD6354" w:rsidRPr="0038442F">
        <w:rPr>
          <w:rFonts w:ascii="Verdana" w:hAnsi="Verdana" w:cs="Arial"/>
          <w:bCs/>
          <w:sz w:val="20"/>
          <w:szCs w:val="20"/>
          <w:lang w:val="pt-BR"/>
        </w:rPr>
        <w:t xml:space="preserve"> </w:t>
      </w:r>
      <w:r w:rsidR="00C92762" w:rsidRPr="0038442F">
        <w:rPr>
          <w:rFonts w:ascii="Verdana" w:hAnsi="Verdana" w:cs="Arial"/>
          <w:bCs/>
          <w:sz w:val="20"/>
          <w:szCs w:val="20"/>
          <w:lang w:val="pt-BR"/>
        </w:rPr>
        <w:t xml:space="preserve">da </w:t>
      </w:r>
      <w:r w:rsidR="00DD6354" w:rsidRPr="0038442F">
        <w:rPr>
          <w:rFonts w:ascii="Verdana" w:hAnsi="Verdana" w:cs="Arial"/>
          <w:bCs/>
          <w:sz w:val="20"/>
          <w:szCs w:val="20"/>
          <w:lang w:val="pt-BR"/>
        </w:rPr>
        <w:t xml:space="preserve">Carta Social </w:t>
      </w:r>
      <w:r w:rsidR="00F158D8" w:rsidRPr="0038442F">
        <w:rPr>
          <w:rFonts w:ascii="Verdana" w:hAnsi="Verdana" w:cs="Arial"/>
          <w:bCs/>
          <w:sz w:val="20"/>
          <w:szCs w:val="20"/>
          <w:lang w:val="pt-BR"/>
        </w:rPr>
        <w:t>Europeia</w:t>
      </w:r>
      <w:r w:rsidR="00197A06" w:rsidRPr="0038442F">
        <w:rPr>
          <w:rFonts w:ascii="Verdana" w:hAnsi="Verdana" w:cs="Arial"/>
          <w:bCs/>
          <w:sz w:val="20"/>
          <w:szCs w:val="20"/>
          <w:lang w:val="pt-BR"/>
        </w:rPr>
        <w:t>, l</w:t>
      </w:r>
      <w:r w:rsidR="00F158D8" w:rsidRPr="0038442F">
        <w:rPr>
          <w:rFonts w:ascii="Verdana" w:hAnsi="Verdana" w:cs="Arial"/>
          <w:bCs/>
          <w:sz w:val="20"/>
          <w:szCs w:val="20"/>
          <w:lang w:val="pt-BR"/>
        </w:rPr>
        <w:t xml:space="preserve">ido em consonância com </w:t>
      </w:r>
      <w:r w:rsidR="003B374E" w:rsidRPr="0038442F">
        <w:rPr>
          <w:rFonts w:ascii="Verdana" w:hAnsi="Verdana" w:cs="Arial"/>
          <w:bCs/>
          <w:sz w:val="20"/>
          <w:szCs w:val="20"/>
          <w:lang w:val="pt-BR"/>
        </w:rPr>
        <w:t xml:space="preserve">o artigo </w:t>
      </w:r>
      <w:r w:rsidR="00197A06" w:rsidRPr="0038442F">
        <w:rPr>
          <w:rFonts w:ascii="Verdana" w:hAnsi="Verdana" w:cs="Arial"/>
          <w:bCs/>
          <w:sz w:val="20"/>
          <w:szCs w:val="20"/>
          <w:lang w:val="pt-BR"/>
        </w:rPr>
        <w:t>A.4</w:t>
      </w:r>
      <w:r w:rsidR="00197A06" w:rsidRPr="0038442F">
        <w:rPr>
          <w:rStyle w:val="Refdenotaalpie"/>
          <w:rFonts w:ascii="Verdana" w:hAnsi="Verdana" w:cs="Arial"/>
          <w:bCs/>
          <w:sz w:val="20"/>
          <w:szCs w:val="20"/>
          <w:lang w:val="pt-BR"/>
        </w:rPr>
        <w:footnoteReference w:id="78"/>
      </w:r>
      <w:r w:rsidR="00DD6354" w:rsidRPr="0038442F">
        <w:rPr>
          <w:rFonts w:ascii="Verdana" w:hAnsi="Verdana" w:cs="Arial"/>
          <w:bCs/>
          <w:sz w:val="20"/>
          <w:szCs w:val="20"/>
          <w:lang w:val="pt-BR"/>
        </w:rPr>
        <w:t xml:space="preserve"> </w:t>
      </w:r>
      <w:r w:rsidR="00C92762" w:rsidRPr="0038442F">
        <w:rPr>
          <w:rFonts w:ascii="Verdana" w:hAnsi="Verdana" w:cs="Arial"/>
          <w:bCs/>
          <w:sz w:val="20"/>
          <w:szCs w:val="20"/>
          <w:lang w:val="pt-BR"/>
        </w:rPr>
        <w:t>d</w:t>
      </w:r>
      <w:r w:rsidR="00F158D8" w:rsidRPr="0038442F">
        <w:rPr>
          <w:rFonts w:ascii="Verdana" w:hAnsi="Verdana" w:cs="Arial"/>
          <w:bCs/>
          <w:sz w:val="20"/>
          <w:szCs w:val="20"/>
          <w:lang w:val="pt-BR"/>
        </w:rPr>
        <w:t>o mesmo instrumento</w:t>
      </w:r>
      <w:r w:rsidR="00197A06" w:rsidRPr="0038442F">
        <w:rPr>
          <w:rFonts w:ascii="Verdana" w:hAnsi="Verdana" w:cs="Arial"/>
          <w:bCs/>
          <w:sz w:val="20"/>
          <w:szCs w:val="20"/>
          <w:lang w:val="pt-BR"/>
        </w:rPr>
        <w:t xml:space="preserve">, </w:t>
      </w:r>
      <w:r w:rsidR="005135E5" w:rsidRPr="0038442F">
        <w:rPr>
          <w:rFonts w:ascii="Verdana" w:hAnsi="Verdana" w:cs="Arial"/>
          <w:bCs/>
          <w:sz w:val="20"/>
          <w:szCs w:val="20"/>
          <w:lang w:val="pt-BR"/>
        </w:rPr>
        <w:t xml:space="preserve">os Estados </w:t>
      </w:r>
      <w:r w:rsidR="00197A06" w:rsidRPr="0038442F">
        <w:rPr>
          <w:rFonts w:ascii="Verdana" w:hAnsi="Verdana" w:cs="Arial"/>
          <w:bCs/>
          <w:sz w:val="20"/>
          <w:szCs w:val="20"/>
          <w:lang w:val="pt-BR"/>
        </w:rPr>
        <w:t xml:space="preserve">se </w:t>
      </w:r>
      <w:r w:rsidR="005135E5" w:rsidRPr="0038442F">
        <w:rPr>
          <w:rFonts w:ascii="Verdana" w:hAnsi="Verdana" w:cs="Arial"/>
          <w:bCs/>
          <w:sz w:val="20"/>
          <w:szCs w:val="20"/>
          <w:lang w:val="pt-BR"/>
        </w:rPr>
        <w:t>comprometem</w:t>
      </w:r>
      <w:r w:rsidR="00407242" w:rsidRPr="0038442F">
        <w:rPr>
          <w:rFonts w:ascii="Verdana" w:hAnsi="Verdana" w:cs="Arial"/>
          <w:bCs/>
          <w:sz w:val="20"/>
          <w:szCs w:val="20"/>
          <w:lang w:val="pt-BR"/>
        </w:rPr>
        <w:t xml:space="preserve"> </w:t>
      </w:r>
      <w:r w:rsidR="00197A06" w:rsidRPr="0038442F">
        <w:rPr>
          <w:rFonts w:ascii="Verdana" w:hAnsi="Verdana" w:cs="Arial"/>
          <w:bCs/>
          <w:sz w:val="20"/>
          <w:szCs w:val="20"/>
          <w:lang w:val="pt-BR"/>
        </w:rPr>
        <w:t>a “</w:t>
      </w:r>
      <w:r w:rsidR="00DE0C29" w:rsidRPr="0038442F">
        <w:rPr>
          <w:rStyle w:val="sb8d990e2"/>
          <w:rFonts w:ascii="Verdana" w:hAnsi="Verdana" w:cs="Arial"/>
          <w:sz w:val="20"/>
          <w:szCs w:val="20"/>
          <w:lang w:val="pt-BR"/>
        </w:rPr>
        <w:t>t</w:t>
      </w:r>
      <w:r w:rsidR="00197A06" w:rsidRPr="0038442F">
        <w:rPr>
          <w:rStyle w:val="sb8d990e2"/>
          <w:rFonts w:ascii="Verdana" w:hAnsi="Verdana" w:cs="Arial"/>
          <w:sz w:val="20"/>
          <w:szCs w:val="20"/>
          <w:lang w:val="pt-BR"/>
        </w:rPr>
        <w:t>er u</w:t>
      </w:r>
      <w:r w:rsidR="00F158D8" w:rsidRPr="0038442F">
        <w:rPr>
          <w:rStyle w:val="sb8d990e2"/>
          <w:rFonts w:ascii="Verdana" w:hAnsi="Verdana" w:cs="Arial"/>
          <w:sz w:val="20"/>
          <w:szCs w:val="20"/>
          <w:lang w:val="pt-BR"/>
        </w:rPr>
        <w:t>m</w:t>
      </w:r>
      <w:r w:rsidR="00197A06" w:rsidRPr="0038442F">
        <w:rPr>
          <w:rStyle w:val="sb8d990e2"/>
          <w:rFonts w:ascii="Verdana" w:hAnsi="Verdana" w:cs="Arial"/>
          <w:sz w:val="20"/>
          <w:szCs w:val="20"/>
          <w:lang w:val="pt-BR"/>
        </w:rPr>
        <w:t xml:space="preserve"> sistema de </w:t>
      </w:r>
      <w:r w:rsidR="000E331D" w:rsidRPr="0038442F">
        <w:rPr>
          <w:rStyle w:val="sb8d990e2"/>
          <w:rFonts w:ascii="Verdana" w:hAnsi="Verdana" w:cs="Arial"/>
          <w:sz w:val="20"/>
          <w:szCs w:val="20"/>
          <w:lang w:val="pt-BR"/>
        </w:rPr>
        <w:t>inspeção</w:t>
      </w:r>
      <w:r w:rsidR="00407242" w:rsidRPr="0038442F">
        <w:rPr>
          <w:rStyle w:val="sb8d990e2"/>
          <w:rFonts w:ascii="Verdana" w:hAnsi="Verdana" w:cs="Arial"/>
          <w:sz w:val="20"/>
          <w:szCs w:val="20"/>
          <w:lang w:val="pt-BR"/>
        </w:rPr>
        <w:t xml:space="preserve"> </w:t>
      </w:r>
      <w:r w:rsidR="00602FF9" w:rsidRPr="0038442F">
        <w:rPr>
          <w:rStyle w:val="sb8d990e2"/>
          <w:rFonts w:ascii="Verdana" w:hAnsi="Verdana" w:cs="Arial"/>
          <w:sz w:val="20"/>
          <w:szCs w:val="20"/>
          <w:lang w:val="pt-BR"/>
        </w:rPr>
        <w:t xml:space="preserve">do trabalho </w:t>
      </w:r>
      <w:r w:rsidR="00A33F55" w:rsidRPr="0038442F">
        <w:rPr>
          <w:rStyle w:val="sb8d990e2"/>
          <w:rFonts w:ascii="Verdana" w:hAnsi="Verdana" w:cs="Arial"/>
          <w:sz w:val="20"/>
          <w:szCs w:val="20"/>
          <w:lang w:val="pt-BR"/>
        </w:rPr>
        <w:t>ade</w:t>
      </w:r>
      <w:r w:rsidR="00F158D8" w:rsidRPr="0038442F">
        <w:rPr>
          <w:rStyle w:val="sb8d990e2"/>
          <w:rFonts w:ascii="Verdana" w:hAnsi="Verdana" w:cs="Arial"/>
          <w:sz w:val="20"/>
          <w:szCs w:val="20"/>
          <w:lang w:val="pt-BR"/>
        </w:rPr>
        <w:t>q</w:t>
      </w:r>
      <w:r w:rsidR="00A33F55" w:rsidRPr="0038442F">
        <w:rPr>
          <w:rStyle w:val="sb8d990e2"/>
          <w:rFonts w:ascii="Verdana" w:hAnsi="Verdana" w:cs="Arial"/>
          <w:sz w:val="20"/>
          <w:szCs w:val="20"/>
          <w:lang w:val="pt-BR"/>
        </w:rPr>
        <w:t xml:space="preserve">uado </w:t>
      </w:r>
      <w:r w:rsidR="00F158D8" w:rsidRPr="0038442F">
        <w:rPr>
          <w:rStyle w:val="sb8d990e2"/>
          <w:rFonts w:ascii="Verdana" w:hAnsi="Verdana" w:cs="Arial"/>
          <w:sz w:val="20"/>
          <w:szCs w:val="20"/>
          <w:lang w:val="pt-BR"/>
        </w:rPr>
        <w:t xml:space="preserve">às </w:t>
      </w:r>
      <w:r w:rsidR="00A33F55" w:rsidRPr="0038442F">
        <w:rPr>
          <w:rStyle w:val="sb8d990e2"/>
          <w:rFonts w:ascii="Verdana" w:hAnsi="Verdana" w:cs="Arial"/>
          <w:sz w:val="20"/>
          <w:szCs w:val="20"/>
          <w:lang w:val="pt-BR"/>
        </w:rPr>
        <w:t>condi</w:t>
      </w:r>
      <w:r w:rsidR="000A1AA8" w:rsidRPr="0038442F">
        <w:rPr>
          <w:rStyle w:val="sb8d990e2"/>
          <w:rFonts w:ascii="Verdana" w:hAnsi="Verdana" w:cs="Arial"/>
          <w:sz w:val="20"/>
          <w:szCs w:val="20"/>
          <w:lang w:val="pt-BR"/>
        </w:rPr>
        <w:t>ções</w:t>
      </w:r>
      <w:r w:rsidR="00A33F55" w:rsidRPr="0038442F">
        <w:rPr>
          <w:rStyle w:val="sb8d990e2"/>
          <w:rFonts w:ascii="Verdana" w:hAnsi="Verdana" w:cs="Arial"/>
          <w:sz w:val="20"/>
          <w:szCs w:val="20"/>
          <w:lang w:val="pt-BR"/>
        </w:rPr>
        <w:t xml:space="preserve"> nacion</w:t>
      </w:r>
      <w:r w:rsidR="00C92762" w:rsidRPr="0038442F">
        <w:rPr>
          <w:rStyle w:val="sb8d990e2"/>
          <w:rFonts w:ascii="Verdana" w:hAnsi="Verdana" w:cs="Arial"/>
          <w:sz w:val="20"/>
          <w:szCs w:val="20"/>
          <w:lang w:val="pt-BR"/>
        </w:rPr>
        <w:t>ais</w:t>
      </w:r>
      <w:r w:rsidR="00197A06" w:rsidRPr="0038442F">
        <w:rPr>
          <w:rStyle w:val="sb8d990e2"/>
          <w:rFonts w:ascii="Verdana" w:hAnsi="Verdana" w:cs="Arial"/>
          <w:sz w:val="20"/>
          <w:szCs w:val="20"/>
          <w:lang w:val="pt-BR"/>
        </w:rPr>
        <w:t>”</w:t>
      </w:r>
      <w:r w:rsidR="00936783" w:rsidRPr="0038442F">
        <w:rPr>
          <w:rStyle w:val="sb8d990e2"/>
          <w:rFonts w:ascii="Verdana" w:hAnsi="Verdana" w:cs="Arial"/>
          <w:sz w:val="20"/>
          <w:szCs w:val="20"/>
          <w:lang w:val="pt-BR"/>
        </w:rPr>
        <w:t xml:space="preserve">. </w:t>
      </w:r>
      <w:r w:rsidR="00F158D8" w:rsidRPr="0038442F">
        <w:rPr>
          <w:rStyle w:val="sb8d990e2"/>
          <w:rFonts w:ascii="Verdana" w:hAnsi="Verdana" w:cs="Arial"/>
          <w:sz w:val="20"/>
          <w:szCs w:val="20"/>
          <w:lang w:val="pt-BR"/>
        </w:rPr>
        <w:t xml:space="preserve">Embora o </w:t>
      </w:r>
      <w:r w:rsidR="00A33F55" w:rsidRPr="0038442F">
        <w:rPr>
          <w:rStyle w:val="sb8d990e2"/>
          <w:rFonts w:ascii="Verdana" w:hAnsi="Verdana" w:cs="Arial"/>
          <w:sz w:val="20"/>
          <w:szCs w:val="20"/>
          <w:lang w:val="pt-BR"/>
        </w:rPr>
        <w:t xml:space="preserve">referido </w:t>
      </w:r>
      <w:r w:rsidR="00360928" w:rsidRPr="0038442F">
        <w:rPr>
          <w:rStyle w:val="sb8d990e2"/>
          <w:rFonts w:ascii="Verdana" w:hAnsi="Verdana" w:cs="Arial"/>
          <w:sz w:val="20"/>
          <w:szCs w:val="20"/>
          <w:lang w:val="pt-BR"/>
        </w:rPr>
        <w:t>Comitê</w:t>
      </w:r>
      <w:r w:rsidR="00407242" w:rsidRPr="0038442F">
        <w:rPr>
          <w:rStyle w:val="sb8d990e2"/>
          <w:rFonts w:ascii="Verdana" w:hAnsi="Verdana" w:cs="Arial"/>
          <w:sz w:val="20"/>
          <w:szCs w:val="20"/>
          <w:lang w:val="pt-BR"/>
        </w:rPr>
        <w:t xml:space="preserve"> </w:t>
      </w:r>
      <w:r w:rsidR="00F158D8" w:rsidRPr="0038442F">
        <w:rPr>
          <w:rStyle w:val="sb8d990e2"/>
          <w:rFonts w:ascii="Verdana" w:hAnsi="Verdana" w:cs="Arial"/>
          <w:sz w:val="20"/>
          <w:szCs w:val="20"/>
          <w:lang w:val="pt-BR"/>
        </w:rPr>
        <w:t xml:space="preserve">tenha exposto </w:t>
      </w:r>
      <w:r w:rsidR="00197A06" w:rsidRPr="0038442F">
        <w:rPr>
          <w:rStyle w:val="sb8d990e2"/>
          <w:rFonts w:ascii="Verdana" w:hAnsi="Verdana" w:cs="Arial"/>
          <w:sz w:val="20"/>
          <w:szCs w:val="20"/>
          <w:lang w:val="pt-BR"/>
        </w:rPr>
        <w:t>que, e</w:t>
      </w:r>
      <w:r w:rsidR="00F158D8" w:rsidRPr="0038442F">
        <w:rPr>
          <w:rStyle w:val="sb8d990e2"/>
          <w:rFonts w:ascii="Verdana" w:hAnsi="Verdana" w:cs="Arial"/>
          <w:sz w:val="20"/>
          <w:szCs w:val="20"/>
          <w:lang w:val="pt-BR"/>
        </w:rPr>
        <w:t>m</w:t>
      </w:r>
      <w:r w:rsidR="00197A06" w:rsidRPr="0038442F">
        <w:rPr>
          <w:rStyle w:val="sb8d990e2"/>
          <w:rFonts w:ascii="Verdana" w:hAnsi="Verdana" w:cs="Arial"/>
          <w:sz w:val="20"/>
          <w:szCs w:val="20"/>
          <w:lang w:val="pt-BR"/>
        </w:rPr>
        <w:t xml:space="preserve"> </w:t>
      </w:r>
      <w:r w:rsidR="00F158D8" w:rsidRPr="0038442F">
        <w:rPr>
          <w:rStyle w:val="sb8d990e2"/>
          <w:rFonts w:ascii="Verdana" w:hAnsi="Verdana" w:cs="Arial"/>
          <w:sz w:val="20"/>
          <w:szCs w:val="20"/>
          <w:lang w:val="pt-BR"/>
        </w:rPr>
        <w:t>princípio</w:t>
      </w:r>
      <w:r w:rsidR="00197A06" w:rsidRPr="0038442F">
        <w:rPr>
          <w:rStyle w:val="sb8d990e2"/>
          <w:rFonts w:ascii="Verdana" w:hAnsi="Verdana" w:cs="Arial"/>
          <w:sz w:val="20"/>
          <w:szCs w:val="20"/>
          <w:lang w:val="pt-BR"/>
        </w:rPr>
        <w:t xml:space="preserve">, </w:t>
      </w:r>
      <w:r w:rsidR="005135E5" w:rsidRPr="0038442F">
        <w:rPr>
          <w:rStyle w:val="sb8d990e2"/>
          <w:rFonts w:ascii="Verdana" w:hAnsi="Verdana" w:cs="Arial"/>
          <w:sz w:val="20"/>
          <w:szCs w:val="20"/>
          <w:lang w:val="pt-BR"/>
        </w:rPr>
        <w:t xml:space="preserve">os Estados </w:t>
      </w:r>
      <w:r w:rsidR="00F30403" w:rsidRPr="0038442F">
        <w:rPr>
          <w:rStyle w:val="sb8d990e2"/>
          <w:rFonts w:ascii="Verdana" w:hAnsi="Verdana" w:cs="Arial"/>
          <w:sz w:val="20"/>
          <w:szCs w:val="20"/>
          <w:lang w:val="pt-BR"/>
        </w:rPr>
        <w:t>gozam de</w:t>
      </w:r>
      <w:r w:rsidR="00F158D8" w:rsidRPr="0038442F">
        <w:rPr>
          <w:rStyle w:val="sb8d990e2"/>
          <w:rFonts w:ascii="Verdana" w:hAnsi="Verdana" w:cs="Arial"/>
          <w:sz w:val="20"/>
          <w:szCs w:val="20"/>
          <w:lang w:val="pt-BR"/>
        </w:rPr>
        <w:t xml:space="preserve"> uma margem </w:t>
      </w:r>
      <w:r w:rsidR="00197A06" w:rsidRPr="0038442F">
        <w:rPr>
          <w:rStyle w:val="sb8d990e2"/>
          <w:rFonts w:ascii="Verdana" w:hAnsi="Verdana" w:cs="Arial"/>
          <w:sz w:val="20"/>
          <w:szCs w:val="20"/>
          <w:lang w:val="pt-BR"/>
        </w:rPr>
        <w:t xml:space="preserve">de </w:t>
      </w:r>
      <w:r w:rsidR="00920B88" w:rsidRPr="0038442F">
        <w:rPr>
          <w:rStyle w:val="sb8d990e2"/>
          <w:rFonts w:ascii="Verdana" w:hAnsi="Verdana" w:cs="Arial"/>
          <w:sz w:val="20"/>
          <w:szCs w:val="20"/>
          <w:lang w:val="pt-BR"/>
        </w:rPr>
        <w:t>aprecia</w:t>
      </w:r>
      <w:r w:rsidR="000A1AA8" w:rsidRPr="0038442F">
        <w:rPr>
          <w:rStyle w:val="sb8d990e2"/>
          <w:rFonts w:ascii="Verdana" w:hAnsi="Verdana" w:cs="Arial"/>
          <w:sz w:val="20"/>
          <w:szCs w:val="20"/>
          <w:lang w:val="pt-BR"/>
        </w:rPr>
        <w:t>ção</w:t>
      </w:r>
      <w:r w:rsidR="00936783" w:rsidRPr="0038442F">
        <w:rPr>
          <w:rStyle w:val="sb8d990e2"/>
          <w:rFonts w:ascii="Verdana" w:hAnsi="Verdana" w:cs="Arial"/>
          <w:sz w:val="20"/>
          <w:szCs w:val="20"/>
          <w:lang w:val="pt-BR"/>
        </w:rPr>
        <w:t xml:space="preserve"> </w:t>
      </w:r>
      <w:r w:rsidR="00F158D8" w:rsidRPr="0038442F">
        <w:rPr>
          <w:rStyle w:val="sb8d990e2"/>
          <w:rFonts w:ascii="Verdana" w:hAnsi="Verdana" w:cs="Arial"/>
          <w:sz w:val="20"/>
          <w:szCs w:val="20"/>
          <w:lang w:val="pt-BR"/>
        </w:rPr>
        <w:t xml:space="preserve">– não </w:t>
      </w:r>
      <w:r w:rsidR="005135E5" w:rsidRPr="0038442F">
        <w:rPr>
          <w:rStyle w:val="sb8d990e2"/>
          <w:rFonts w:ascii="Verdana" w:hAnsi="Verdana" w:cs="Arial"/>
          <w:sz w:val="20"/>
          <w:szCs w:val="20"/>
          <w:lang w:val="pt-BR"/>
        </w:rPr>
        <w:t xml:space="preserve">só </w:t>
      </w:r>
      <w:r w:rsidR="00BF7A10" w:rsidRPr="0038442F">
        <w:rPr>
          <w:rStyle w:val="sb8d990e2"/>
          <w:rFonts w:ascii="Verdana" w:hAnsi="Verdana" w:cs="Arial"/>
          <w:sz w:val="20"/>
          <w:szCs w:val="20"/>
          <w:lang w:val="pt-BR"/>
        </w:rPr>
        <w:t xml:space="preserve">na </w:t>
      </w:r>
      <w:r w:rsidR="00197A06" w:rsidRPr="0038442F">
        <w:rPr>
          <w:rStyle w:val="sb8d990e2"/>
          <w:rFonts w:ascii="Verdana" w:hAnsi="Verdana" w:cs="Arial"/>
          <w:sz w:val="20"/>
          <w:szCs w:val="20"/>
          <w:lang w:val="pt-BR"/>
        </w:rPr>
        <w:t>organiza</w:t>
      </w:r>
      <w:r w:rsidR="000A1AA8" w:rsidRPr="0038442F">
        <w:rPr>
          <w:rStyle w:val="sb8d990e2"/>
          <w:rFonts w:ascii="Verdana" w:hAnsi="Verdana" w:cs="Arial"/>
          <w:sz w:val="20"/>
          <w:szCs w:val="20"/>
          <w:lang w:val="pt-BR"/>
        </w:rPr>
        <w:t>ção</w:t>
      </w:r>
      <w:r w:rsidR="00197A06" w:rsidRPr="0038442F">
        <w:rPr>
          <w:rStyle w:val="sb8d990e2"/>
          <w:rFonts w:ascii="Verdana" w:hAnsi="Verdana" w:cs="Arial"/>
          <w:sz w:val="20"/>
          <w:szCs w:val="20"/>
          <w:lang w:val="pt-BR"/>
        </w:rPr>
        <w:t xml:space="preserve"> </w:t>
      </w:r>
      <w:r w:rsidR="00C92762" w:rsidRPr="0038442F">
        <w:rPr>
          <w:rStyle w:val="sb8d990e2"/>
          <w:rFonts w:ascii="Verdana" w:hAnsi="Verdana" w:cs="Arial"/>
          <w:sz w:val="20"/>
          <w:szCs w:val="20"/>
          <w:lang w:val="pt-BR"/>
        </w:rPr>
        <w:t xml:space="preserve">dos </w:t>
      </w:r>
      <w:r w:rsidR="00197A06" w:rsidRPr="0038442F">
        <w:rPr>
          <w:rStyle w:val="sb8d990e2"/>
          <w:rFonts w:ascii="Verdana" w:hAnsi="Verdana" w:cs="Arial"/>
          <w:sz w:val="20"/>
          <w:szCs w:val="20"/>
          <w:lang w:val="pt-BR"/>
        </w:rPr>
        <w:t>servi</w:t>
      </w:r>
      <w:r w:rsidR="00B266DE" w:rsidRPr="0038442F">
        <w:rPr>
          <w:rStyle w:val="sb8d990e2"/>
          <w:rFonts w:ascii="Verdana" w:hAnsi="Verdana" w:cs="Arial"/>
          <w:sz w:val="20"/>
          <w:szCs w:val="20"/>
          <w:lang w:val="pt-BR"/>
        </w:rPr>
        <w:t>ç</w:t>
      </w:r>
      <w:r w:rsidR="00197A06" w:rsidRPr="0038442F">
        <w:rPr>
          <w:rStyle w:val="sb8d990e2"/>
          <w:rFonts w:ascii="Verdana" w:hAnsi="Verdana" w:cs="Arial"/>
          <w:sz w:val="20"/>
          <w:szCs w:val="20"/>
          <w:lang w:val="pt-BR"/>
        </w:rPr>
        <w:t xml:space="preserve">os de </w:t>
      </w:r>
      <w:r w:rsidR="000E331D" w:rsidRPr="0038442F">
        <w:rPr>
          <w:rStyle w:val="sb8d990e2"/>
          <w:rFonts w:ascii="Verdana" w:hAnsi="Verdana" w:cs="Arial"/>
          <w:sz w:val="20"/>
          <w:szCs w:val="20"/>
          <w:lang w:val="pt-BR"/>
        </w:rPr>
        <w:t>inspeção</w:t>
      </w:r>
      <w:r w:rsidR="00B266DE" w:rsidRPr="0038442F">
        <w:rPr>
          <w:rStyle w:val="sb8d990e2"/>
          <w:rFonts w:ascii="Verdana" w:hAnsi="Verdana" w:cs="Arial"/>
          <w:sz w:val="20"/>
          <w:szCs w:val="20"/>
          <w:lang w:val="pt-BR"/>
        </w:rPr>
        <w:t xml:space="preserve">, mas </w:t>
      </w:r>
      <w:r w:rsidR="005135E5" w:rsidRPr="0038442F">
        <w:rPr>
          <w:rStyle w:val="sb8d990e2"/>
          <w:rFonts w:ascii="Verdana" w:hAnsi="Verdana" w:cs="Arial"/>
          <w:sz w:val="20"/>
          <w:szCs w:val="20"/>
          <w:lang w:val="pt-BR"/>
        </w:rPr>
        <w:t>também</w:t>
      </w:r>
      <w:r w:rsidR="00407242" w:rsidRPr="0038442F">
        <w:rPr>
          <w:rStyle w:val="sb8d990e2"/>
          <w:rFonts w:ascii="Verdana" w:hAnsi="Verdana" w:cs="Arial"/>
          <w:sz w:val="20"/>
          <w:szCs w:val="20"/>
          <w:lang w:val="pt-BR"/>
        </w:rPr>
        <w:t xml:space="preserve"> </w:t>
      </w:r>
      <w:r w:rsidR="00BF7A10" w:rsidRPr="0038442F">
        <w:rPr>
          <w:rStyle w:val="sb8d990e2"/>
          <w:rFonts w:ascii="Verdana" w:hAnsi="Verdana" w:cs="Arial"/>
          <w:sz w:val="20"/>
          <w:szCs w:val="20"/>
          <w:lang w:val="pt-BR"/>
        </w:rPr>
        <w:t xml:space="preserve">na </w:t>
      </w:r>
      <w:r w:rsidR="00B266DE" w:rsidRPr="0038442F">
        <w:rPr>
          <w:rStyle w:val="sb8d990e2"/>
          <w:rFonts w:ascii="Verdana" w:hAnsi="Verdana" w:cs="Arial"/>
          <w:sz w:val="20"/>
          <w:szCs w:val="20"/>
          <w:lang w:val="pt-BR"/>
        </w:rPr>
        <w:t xml:space="preserve">destinação </w:t>
      </w:r>
      <w:r w:rsidR="00197A06" w:rsidRPr="0038442F">
        <w:rPr>
          <w:rStyle w:val="sb8d990e2"/>
          <w:rFonts w:ascii="Verdana" w:hAnsi="Verdana" w:cs="Arial"/>
          <w:sz w:val="20"/>
          <w:szCs w:val="20"/>
          <w:lang w:val="pt-BR"/>
        </w:rPr>
        <w:t xml:space="preserve">de recursos aos </w:t>
      </w:r>
      <w:r w:rsidR="00B266DE" w:rsidRPr="0038442F">
        <w:rPr>
          <w:rStyle w:val="sb8d990e2"/>
          <w:rFonts w:ascii="Verdana" w:hAnsi="Verdana" w:cs="Arial"/>
          <w:sz w:val="20"/>
          <w:szCs w:val="20"/>
          <w:lang w:val="pt-BR"/>
        </w:rPr>
        <w:t>serviços</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 xml:space="preserve">de </w:t>
      </w:r>
      <w:r w:rsidR="000E331D" w:rsidRPr="0038442F">
        <w:rPr>
          <w:rStyle w:val="sb8d990e2"/>
          <w:rFonts w:ascii="Verdana" w:hAnsi="Verdana" w:cs="Arial"/>
          <w:sz w:val="20"/>
          <w:szCs w:val="20"/>
          <w:lang w:val="pt-BR"/>
        </w:rPr>
        <w:t>inspeção</w:t>
      </w:r>
      <w:r w:rsidR="00B266DE" w:rsidRPr="0038442F">
        <w:rPr>
          <w:rStyle w:val="sb8d990e2"/>
          <w:rFonts w:ascii="Verdana" w:hAnsi="Verdana" w:cs="Arial"/>
          <w:sz w:val="20"/>
          <w:szCs w:val="20"/>
          <w:lang w:val="pt-BR"/>
        </w:rPr>
        <w:t xml:space="preserve"> -</w:t>
      </w:r>
      <w:r w:rsidR="00F30403" w:rsidRPr="0038442F">
        <w:rPr>
          <w:rStyle w:val="sb8d990e2"/>
          <w:rFonts w:ascii="Verdana" w:hAnsi="Verdana" w:cs="Arial"/>
          <w:sz w:val="20"/>
          <w:szCs w:val="20"/>
          <w:lang w:val="pt-BR"/>
        </w:rPr>
        <w:t>,</w:t>
      </w:r>
      <w:r w:rsidR="00197A06" w:rsidRPr="0038442F">
        <w:rPr>
          <w:rStyle w:val="sb8d990e2"/>
          <w:rFonts w:ascii="Verdana" w:hAnsi="Verdana" w:cs="Arial"/>
          <w:sz w:val="20"/>
          <w:szCs w:val="20"/>
          <w:lang w:val="pt-BR"/>
        </w:rPr>
        <w:t xml:space="preserve"> o certo </w:t>
      </w:r>
      <w:r w:rsidR="00B266DE" w:rsidRPr="0038442F">
        <w:rPr>
          <w:rStyle w:val="sb8d990e2"/>
          <w:rFonts w:ascii="Verdana" w:hAnsi="Verdana" w:cs="Arial"/>
          <w:sz w:val="20"/>
          <w:szCs w:val="20"/>
          <w:lang w:val="pt-BR"/>
        </w:rPr>
        <w:t>é que, dado que esses serviços</w:t>
      </w:r>
      <w:r w:rsidR="00407242" w:rsidRPr="0038442F">
        <w:rPr>
          <w:rStyle w:val="sb8d990e2"/>
          <w:rFonts w:ascii="Verdana" w:hAnsi="Verdana" w:cs="Arial"/>
          <w:sz w:val="20"/>
          <w:szCs w:val="20"/>
          <w:lang w:val="pt-BR"/>
        </w:rPr>
        <w:t xml:space="preserve"> </w:t>
      </w:r>
      <w:r w:rsidR="00B266DE" w:rsidRPr="0038442F">
        <w:rPr>
          <w:rStyle w:val="sb8d990e2"/>
          <w:rFonts w:ascii="Verdana" w:hAnsi="Verdana" w:cs="Arial"/>
          <w:sz w:val="20"/>
          <w:szCs w:val="20"/>
          <w:lang w:val="pt-BR"/>
        </w:rPr>
        <w:t xml:space="preserve">são os </w:t>
      </w:r>
      <w:r w:rsidR="00197A06" w:rsidRPr="0038442F">
        <w:rPr>
          <w:rStyle w:val="sb8d990e2"/>
          <w:rFonts w:ascii="Verdana" w:hAnsi="Verdana" w:cs="Arial"/>
          <w:sz w:val="20"/>
          <w:szCs w:val="20"/>
          <w:lang w:val="pt-BR"/>
        </w:rPr>
        <w:t>princip</w:t>
      </w:r>
      <w:r w:rsidR="00C92762" w:rsidRPr="0038442F">
        <w:rPr>
          <w:rStyle w:val="sb8d990e2"/>
          <w:rFonts w:ascii="Verdana" w:hAnsi="Verdana" w:cs="Arial"/>
          <w:sz w:val="20"/>
          <w:szCs w:val="20"/>
          <w:lang w:val="pt-BR"/>
        </w:rPr>
        <w:t>ais</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 xml:space="preserve">garantes tanto </w:t>
      </w:r>
      <w:r w:rsidR="00C92762" w:rsidRPr="0038442F">
        <w:rPr>
          <w:rStyle w:val="sb8d990e2"/>
          <w:rFonts w:ascii="Verdana" w:hAnsi="Verdana" w:cs="Arial"/>
          <w:sz w:val="20"/>
          <w:szCs w:val="20"/>
          <w:lang w:val="pt-BR"/>
        </w:rPr>
        <w:t xml:space="preserve">da </w:t>
      </w:r>
      <w:r w:rsidR="00751189" w:rsidRPr="0038442F">
        <w:rPr>
          <w:rStyle w:val="sb8d990e2"/>
          <w:rFonts w:ascii="Verdana" w:hAnsi="Verdana" w:cs="Arial"/>
          <w:sz w:val="20"/>
          <w:szCs w:val="20"/>
          <w:lang w:val="pt-BR"/>
        </w:rPr>
        <w:t>saúde</w:t>
      </w:r>
      <w:r w:rsidR="00407242" w:rsidRPr="0038442F">
        <w:rPr>
          <w:rStyle w:val="sb8d990e2"/>
          <w:rFonts w:ascii="Verdana" w:hAnsi="Verdana" w:cs="Arial"/>
          <w:sz w:val="20"/>
          <w:szCs w:val="20"/>
          <w:lang w:val="pt-BR"/>
        </w:rPr>
        <w:t xml:space="preserve"> </w:t>
      </w:r>
      <w:r w:rsidR="009C265B" w:rsidRPr="0038442F">
        <w:rPr>
          <w:rStyle w:val="sb8d990e2"/>
          <w:rFonts w:ascii="Verdana" w:hAnsi="Verdana" w:cs="Arial"/>
          <w:sz w:val="20"/>
          <w:szCs w:val="20"/>
          <w:lang w:val="pt-BR"/>
        </w:rPr>
        <w:t xml:space="preserve">quanto da </w:t>
      </w:r>
      <w:r w:rsidR="008806F8" w:rsidRPr="0038442F">
        <w:rPr>
          <w:rStyle w:val="sb8d990e2"/>
          <w:rFonts w:ascii="Verdana" w:hAnsi="Verdana" w:cs="Arial"/>
          <w:sz w:val="20"/>
          <w:szCs w:val="20"/>
          <w:lang w:val="pt-BR"/>
        </w:rPr>
        <w:t>segurança</w:t>
      </w:r>
      <w:r w:rsidR="00407242" w:rsidRPr="0038442F">
        <w:rPr>
          <w:rStyle w:val="sb8d990e2"/>
          <w:rFonts w:ascii="Verdana" w:hAnsi="Verdana" w:cs="Arial"/>
          <w:sz w:val="20"/>
          <w:szCs w:val="20"/>
          <w:lang w:val="pt-BR"/>
        </w:rPr>
        <w:t xml:space="preserve"> </w:t>
      </w:r>
      <w:r w:rsidR="00751189" w:rsidRPr="0038442F">
        <w:rPr>
          <w:rStyle w:val="sb8d990e2"/>
          <w:rFonts w:ascii="Verdana" w:hAnsi="Verdana" w:cs="Arial"/>
          <w:sz w:val="20"/>
          <w:szCs w:val="20"/>
          <w:lang w:val="pt-BR"/>
        </w:rPr>
        <w:t xml:space="preserve">no </w:t>
      </w:r>
      <w:r w:rsidR="009C265B" w:rsidRPr="0038442F">
        <w:rPr>
          <w:rStyle w:val="sb8d990e2"/>
          <w:rFonts w:ascii="Verdana" w:hAnsi="Verdana" w:cs="Arial"/>
          <w:sz w:val="20"/>
          <w:szCs w:val="20"/>
          <w:lang w:val="pt-BR"/>
        </w:rPr>
        <w:t xml:space="preserve">local </w:t>
      </w:r>
      <w:r w:rsidR="00197A06" w:rsidRPr="0038442F">
        <w:rPr>
          <w:rStyle w:val="sb8d990e2"/>
          <w:rFonts w:ascii="Verdana" w:hAnsi="Verdana" w:cs="Arial"/>
          <w:sz w:val="20"/>
          <w:szCs w:val="20"/>
          <w:lang w:val="pt-BR"/>
        </w:rPr>
        <w:t xml:space="preserve">de </w:t>
      </w:r>
      <w:r w:rsidR="00C92762" w:rsidRPr="0038442F">
        <w:rPr>
          <w:rStyle w:val="sb8d990e2"/>
          <w:rFonts w:ascii="Verdana" w:hAnsi="Verdana" w:cs="Arial"/>
          <w:sz w:val="20"/>
          <w:szCs w:val="20"/>
          <w:lang w:val="pt-BR"/>
        </w:rPr>
        <w:t>trabalho</w:t>
      </w:r>
      <w:r w:rsidR="00197A06" w:rsidRPr="0038442F">
        <w:rPr>
          <w:rStyle w:val="sb8d990e2"/>
          <w:rFonts w:ascii="Verdana" w:hAnsi="Verdana" w:cs="Arial"/>
          <w:sz w:val="20"/>
          <w:szCs w:val="20"/>
          <w:lang w:val="pt-BR"/>
        </w:rPr>
        <w:t xml:space="preserve">, </w:t>
      </w:r>
      <w:r w:rsidR="009C265B" w:rsidRPr="0038442F">
        <w:rPr>
          <w:rStyle w:val="sb8d990e2"/>
          <w:rFonts w:ascii="Verdana" w:hAnsi="Verdana" w:cs="Arial"/>
          <w:sz w:val="20"/>
          <w:szCs w:val="20"/>
          <w:lang w:val="pt-BR"/>
        </w:rPr>
        <w:t xml:space="preserve">cabe ao </w:t>
      </w:r>
      <w:r w:rsidR="00360928" w:rsidRPr="0038442F">
        <w:rPr>
          <w:rStyle w:val="sb8d990e2"/>
          <w:rFonts w:ascii="Verdana" w:hAnsi="Verdana" w:cs="Arial"/>
          <w:sz w:val="20"/>
          <w:szCs w:val="20"/>
          <w:lang w:val="pt-BR"/>
        </w:rPr>
        <w:t>Comitê</w:t>
      </w:r>
      <w:r w:rsidR="00407242" w:rsidRPr="0038442F">
        <w:rPr>
          <w:rStyle w:val="sb8d990e2"/>
          <w:rFonts w:ascii="Verdana" w:hAnsi="Verdana" w:cs="Arial"/>
          <w:sz w:val="20"/>
          <w:szCs w:val="20"/>
          <w:lang w:val="pt-BR"/>
        </w:rPr>
        <w:t xml:space="preserve"> </w:t>
      </w:r>
      <w:r w:rsidR="009C265B" w:rsidRPr="0038442F">
        <w:rPr>
          <w:rStyle w:val="sb8d990e2"/>
          <w:rFonts w:ascii="Verdana" w:hAnsi="Verdana" w:cs="Arial"/>
          <w:sz w:val="20"/>
          <w:szCs w:val="20"/>
          <w:lang w:val="pt-BR"/>
        </w:rPr>
        <w:t xml:space="preserve">se assegurar de que lhes sejam destinados </w:t>
      </w:r>
      <w:r w:rsidR="00197A06" w:rsidRPr="0038442F">
        <w:rPr>
          <w:rStyle w:val="sb8d990e2"/>
          <w:rFonts w:ascii="Verdana" w:hAnsi="Verdana" w:cs="Arial"/>
          <w:sz w:val="20"/>
          <w:szCs w:val="20"/>
          <w:lang w:val="pt-BR"/>
        </w:rPr>
        <w:t xml:space="preserve">recursos suficientes para que </w:t>
      </w:r>
      <w:r w:rsidR="000450DD" w:rsidRPr="0038442F">
        <w:rPr>
          <w:rStyle w:val="sb8d990e2"/>
          <w:rFonts w:ascii="Verdana" w:hAnsi="Verdana" w:cs="Arial"/>
          <w:sz w:val="20"/>
          <w:szCs w:val="20"/>
          <w:lang w:val="pt-BR"/>
        </w:rPr>
        <w:t>possa</w:t>
      </w:r>
      <w:r w:rsidR="009C265B" w:rsidRPr="0038442F">
        <w:rPr>
          <w:rStyle w:val="sb8d990e2"/>
          <w:rFonts w:ascii="Verdana" w:hAnsi="Verdana" w:cs="Arial"/>
          <w:sz w:val="20"/>
          <w:szCs w:val="20"/>
          <w:lang w:val="pt-BR"/>
        </w:rPr>
        <w:t xml:space="preserve">m ser realizadas, regularmente, um </w:t>
      </w:r>
      <w:r w:rsidR="00197A06" w:rsidRPr="0038442F">
        <w:rPr>
          <w:rStyle w:val="sb8d990e2"/>
          <w:rFonts w:ascii="Verdana" w:hAnsi="Verdana" w:cs="Arial"/>
          <w:sz w:val="20"/>
          <w:szCs w:val="20"/>
          <w:lang w:val="pt-BR"/>
        </w:rPr>
        <w:t>número mínimo de visitas de control</w:t>
      </w:r>
      <w:r w:rsidR="009C265B" w:rsidRPr="0038442F">
        <w:rPr>
          <w:rStyle w:val="sb8d990e2"/>
          <w:rFonts w:ascii="Verdana" w:hAnsi="Verdana" w:cs="Arial"/>
          <w:sz w:val="20"/>
          <w:szCs w:val="20"/>
          <w:lang w:val="pt-BR"/>
        </w:rPr>
        <w:t xml:space="preserve">e, para que o </w:t>
      </w:r>
      <w:r w:rsidR="00CA30C5" w:rsidRPr="0038442F">
        <w:rPr>
          <w:rStyle w:val="sb8d990e2"/>
          <w:rFonts w:ascii="Verdana" w:hAnsi="Verdana" w:cs="Arial"/>
          <w:sz w:val="20"/>
          <w:szCs w:val="20"/>
          <w:lang w:val="pt-BR"/>
        </w:rPr>
        <w:t>direito</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 xml:space="preserve">consagrado </w:t>
      </w:r>
      <w:r w:rsidR="00751189" w:rsidRPr="0038442F">
        <w:rPr>
          <w:rStyle w:val="sb8d990e2"/>
          <w:rFonts w:ascii="Verdana" w:hAnsi="Verdana" w:cs="Arial"/>
          <w:sz w:val="20"/>
          <w:szCs w:val="20"/>
          <w:lang w:val="pt-BR"/>
        </w:rPr>
        <w:t xml:space="preserve">no </w:t>
      </w:r>
      <w:r w:rsidR="00CA30C5" w:rsidRPr="0038442F">
        <w:rPr>
          <w:rStyle w:val="sb8d990e2"/>
          <w:rFonts w:ascii="Verdana" w:hAnsi="Verdana" w:cs="Arial"/>
          <w:sz w:val="20"/>
          <w:szCs w:val="20"/>
          <w:lang w:val="pt-BR"/>
        </w:rPr>
        <w:t>artigo</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 xml:space="preserve">3 beneficie </w:t>
      </w:r>
      <w:r w:rsidR="0059451E" w:rsidRPr="0038442F">
        <w:rPr>
          <w:rStyle w:val="sb8d990e2"/>
          <w:rFonts w:ascii="Verdana" w:hAnsi="Verdana" w:cs="Arial"/>
          <w:sz w:val="20"/>
          <w:szCs w:val="20"/>
          <w:lang w:val="pt-BR"/>
        </w:rPr>
        <w:t>efetivamente</w:t>
      </w:r>
      <w:r w:rsidR="00407242" w:rsidRPr="0038442F">
        <w:rPr>
          <w:rStyle w:val="sb8d990e2"/>
          <w:rFonts w:ascii="Verdana" w:hAnsi="Verdana" w:cs="Arial"/>
          <w:sz w:val="20"/>
          <w:szCs w:val="20"/>
          <w:lang w:val="pt-BR"/>
        </w:rPr>
        <w:t xml:space="preserve"> </w:t>
      </w:r>
      <w:r w:rsidR="009C265B" w:rsidRPr="0038442F">
        <w:rPr>
          <w:rStyle w:val="sb8d990e2"/>
          <w:rFonts w:ascii="Verdana" w:hAnsi="Verdana" w:cs="Arial"/>
          <w:sz w:val="20"/>
          <w:szCs w:val="20"/>
          <w:lang w:val="pt-BR"/>
        </w:rPr>
        <w:t xml:space="preserve">o maior </w:t>
      </w:r>
      <w:r w:rsidR="00197A06" w:rsidRPr="0038442F">
        <w:rPr>
          <w:rStyle w:val="sb8d990e2"/>
          <w:rFonts w:ascii="Verdana" w:hAnsi="Verdana" w:cs="Arial"/>
          <w:sz w:val="20"/>
          <w:szCs w:val="20"/>
          <w:lang w:val="pt-BR"/>
        </w:rPr>
        <w:t xml:space="preserve">número de </w:t>
      </w:r>
      <w:r w:rsidR="00246A73" w:rsidRPr="0038442F">
        <w:rPr>
          <w:rStyle w:val="sb8d990e2"/>
          <w:rFonts w:ascii="Verdana" w:hAnsi="Verdana" w:cs="Arial"/>
          <w:sz w:val="20"/>
          <w:szCs w:val="20"/>
          <w:lang w:val="pt-BR"/>
        </w:rPr>
        <w:t>trabalhadores</w:t>
      </w:r>
      <w:r w:rsidR="00407242" w:rsidRPr="0038442F">
        <w:rPr>
          <w:rStyle w:val="sb8d990e2"/>
          <w:rFonts w:ascii="Verdana" w:hAnsi="Verdana" w:cs="Arial"/>
          <w:sz w:val="20"/>
          <w:szCs w:val="20"/>
          <w:lang w:val="pt-BR"/>
        </w:rPr>
        <w:t xml:space="preserve"> </w:t>
      </w:r>
      <w:r w:rsidR="009C265B" w:rsidRPr="0038442F">
        <w:rPr>
          <w:rStyle w:val="sb8d990e2"/>
          <w:rFonts w:ascii="Verdana" w:hAnsi="Verdana" w:cs="Arial"/>
          <w:sz w:val="20"/>
          <w:szCs w:val="20"/>
          <w:lang w:val="pt-BR"/>
        </w:rPr>
        <w:t>e</w:t>
      </w:r>
      <w:r w:rsidR="00197A06" w:rsidRPr="0038442F">
        <w:rPr>
          <w:rStyle w:val="sb8d990e2"/>
          <w:rFonts w:ascii="Verdana" w:hAnsi="Verdana" w:cs="Arial"/>
          <w:sz w:val="20"/>
          <w:szCs w:val="20"/>
          <w:lang w:val="pt-BR"/>
        </w:rPr>
        <w:t xml:space="preserve"> </w:t>
      </w:r>
      <w:r w:rsidR="00251CF9" w:rsidRPr="0038442F">
        <w:rPr>
          <w:rStyle w:val="sb8d990e2"/>
          <w:rFonts w:ascii="Verdana" w:hAnsi="Verdana" w:cs="Arial"/>
          <w:sz w:val="20"/>
          <w:szCs w:val="20"/>
          <w:lang w:val="pt-BR"/>
        </w:rPr>
        <w:t xml:space="preserve">para </w:t>
      </w:r>
      <w:r w:rsidR="00197A06" w:rsidRPr="0038442F">
        <w:rPr>
          <w:rStyle w:val="sb8d990e2"/>
          <w:rFonts w:ascii="Verdana" w:hAnsi="Verdana" w:cs="Arial"/>
          <w:sz w:val="20"/>
          <w:szCs w:val="20"/>
          <w:lang w:val="pt-BR"/>
        </w:rPr>
        <w:t xml:space="preserve">que </w:t>
      </w:r>
      <w:r w:rsidR="009C265B" w:rsidRPr="0038442F">
        <w:rPr>
          <w:rStyle w:val="sb8d990e2"/>
          <w:rFonts w:ascii="Verdana" w:hAnsi="Verdana" w:cs="Arial"/>
          <w:sz w:val="20"/>
          <w:szCs w:val="20"/>
          <w:lang w:val="pt-BR"/>
        </w:rPr>
        <w:t xml:space="preserve">o </w:t>
      </w:r>
      <w:r w:rsidR="00BC6FC3" w:rsidRPr="0038442F">
        <w:rPr>
          <w:rStyle w:val="sb8d990e2"/>
          <w:rFonts w:ascii="Verdana" w:hAnsi="Verdana" w:cs="Arial"/>
          <w:sz w:val="20"/>
          <w:szCs w:val="20"/>
          <w:lang w:val="pt-BR"/>
        </w:rPr>
        <w:t>risco</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 xml:space="preserve">de </w:t>
      </w:r>
      <w:r w:rsidR="003B374E" w:rsidRPr="0038442F">
        <w:rPr>
          <w:rStyle w:val="sb8d990e2"/>
          <w:rFonts w:ascii="Verdana" w:hAnsi="Verdana" w:cs="Arial"/>
          <w:sz w:val="20"/>
          <w:szCs w:val="20"/>
          <w:lang w:val="pt-BR"/>
        </w:rPr>
        <w:t>acidentes</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se reduza a</w:t>
      </w:r>
      <w:r w:rsidR="009C265B" w:rsidRPr="0038442F">
        <w:rPr>
          <w:rStyle w:val="sb8d990e2"/>
          <w:rFonts w:ascii="Verdana" w:hAnsi="Verdana" w:cs="Arial"/>
          <w:sz w:val="20"/>
          <w:szCs w:val="20"/>
          <w:lang w:val="pt-BR"/>
        </w:rPr>
        <w:t>o</w:t>
      </w:r>
      <w:r w:rsidR="00197A06" w:rsidRPr="0038442F">
        <w:rPr>
          <w:rStyle w:val="sb8d990e2"/>
          <w:rFonts w:ascii="Verdana" w:hAnsi="Verdana" w:cs="Arial"/>
          <w:sz w:val="20"/>
          <w:szCs w:val="20"/>
          <w:lang w:val="pt-BR"/>
        </w:rPr>
        <w:t xml:space="preserve"> mínimo. </w:t>
      </w:r>
      <w:r w:rsidR="009C265B" w:rsidRPr="0038442F">
        <w:rPr>
          <w:rStyle w:val="sb8d990e2"/>
          <w:rFonts w:ascii="Verdana" w:hAnsi="Verdana" w:cs="Arial"/>
          <w:sz w:val="20"/>
          <w:szCs w:val="20"/>
          <w:lang w:val="pt-BR"/>
        </w:rPr>
        <w:t xml:space="preserve">A </w:t>
      </w:r>
      <w:r w:rsidR="00197A06" w:rsidRPr="0038442F">
        <w:rPr>
          <w:rStyle w:val="sb8d990e2"/>
          <w:rFonts w:ascii="Verdana" w:hAnsi="Verdana" w:cs="Arial"/>
          <w:sz w:val="20"/>
          <w:szCs w:val="20"/>
          <w:lang w:val="pt-BR"/>
        </w:rPr>
        <w:t>marge</w:t>
      </w:r>
      <w:r w:rsidR="009C265B" w:rsidRPr="0038442F">
        <w:rPr>
          <w:rStyle w:val="sb8d990e2"/>
          <w:rFonts w:ascii="Verdana" w:hAnsi="Verdana" w:cs="Arial"/>
          <w:sz w:val="20"/>
          <w:szCs w:val="20"/>
          <w:lang w:val="pt-BR"/>
        </w:rPr>
        <w:t>m</w:t>
      </w:r>
      <w:r w:rsidR="00197A06" w:rsidRPr="0038442F">
        <w:rPr>
          <w:rStyle w:val="sb8d990e2"/>
          <w:rFonts w:ascii="Verdana" w:hAnsi="Verdana" w:cs="Arial"/>
          <w:sz w:val="20"/>
          <w:szCs w:val="20"/>
          <w:lang w:val="pt-BR"/>
        </w:rPr>
        <w:t xml:space="preserve"> de </w:t>
      </w:r>
      <w:r w:rsidR="00920B88" w:rsidRPr="0038442F">
        <w:rPr>
          <w:rStyle w:val="sb8d990e2"/>
          <w:rFonts w:ascii="Verdana" w:hAnsi="Verdana" w:cs="Arial"/>
          <w:sz w:val="20"/>
          <w:szCs w:val="20"/>
          <w:lang w:val="pt-BR"/>
        </w:rPr>
        <w:t>aprecia</w:t>
      </w:r>
      <w:r w:rsidR="000A1AA8" w:rsidRPr="0038442F">
        <w:rPr>
          <w:rStyle w:val="sb8d990e2"/>
          <w:rFonts w:ascii="Verdana" w:hAnsi="Verdana" w:cs="Arial"/>
          <w:sz w:val="20"/>
          <w:szCs w:val="20"/>
          <w:lang w:val="pt-BR"/>
        </w:rPr>
        <w:t>ção</w:t>
      </w:r>
      <w:r w:rsidR="00920B88" w:rsidRPr="0038442F">
        <w:rPr>
          <w:rStyle w:val="sb8d990e2"/>
          <w:rFonts w:ascii="Verdana" w:hAnsi="Verdana" w:cs="Arial"/>
          <w:sz w:val="20"/>
          <w:szCs w:val="20"/>
          <w:lang w:val="pt-BR"/>
        </w:rPr>
        <w:t xml:space="preserve"> </w:t>
      </w:r>
      <w:r w:rsidR="00C92762" w:rsidRPr="0038442F">
        <w:rPr>
          <w:rStyle w:val="sb8d990e2"/>
          <w:rFonts w:ascii="Verdana" w:hAnsi="Verdana" w:cs="Arial"/>
          <w:sz w:val="20"/>
          <w:szCs w:val="20"/>
          <w:lang w:val="pt-BR"/>
        </w:rPr>
        <w:t xml:space="preserve">dos </w:t>
      </w:r>
      <w:r w:rsidR="00936783" w:rsidRPr="0038442F">
        <w:rPr>
          <w:rStyle w:val="sb8d990e2"/>
          <w:rFonts w:ascii="Verdana" w:hAnsi="Verdana" w:cs="Arial"/>
          <w:sz w:val="20"/>
          <w:szCs w:val="20"/>
          <w:lang w:val="pt-BR"/>
        </w:rPr>
        <w:t>E</w:t>
      </w:r>
      <w:r w:rsidR="00197A06" w:rsidRPr="0038442F">
        <w:rPr>
          <w:rStyle w:val="sb8d990e2"/>
          <w:rFonts w:ascii="Verdana" w:hAnsi="Verdana" w:cs="Arial"/>
          <w:sz w:val="20"/>
          <w:szCs w:val="20"/>
          <w:lang w:val="pt-BR"/>
        </w:rPr>
        <w:t xml:space="preserve">stados </w:t>
      </w:r>
      <w:r w:rsidR="009C265B" w:rsidRPr="0038442F">
        <w:rPr>
          <w:rStyle w:val="sb8d990e2"/>
          <w:rFonts w:ascii="Verdana" w:hAnsi="Verdana" w:cs="Arial"/>
          <w:sz w:val="20"/>
          <w:szCs w:val="20"/>
          <w:lang w:val="pt-BR"/>
        </w:rPr>
        <w:t>é</w:t>
      </w:r>
      <w:r w:rsidR="00197A06" w:rsidRPr="0038442F">
        <w:rPr>
          <w:rStyle w:val="sb8d990e2"/>
          <w:rFonts w:ascii="Verdana" w:hAnsi="Verdana" w:cs="Arial"/>
          <w:sz w:val="20"/>
          <w:szCs w:val="20"/>
          <w:lang w:val="pt-BR"/>
        </w:rPr>
        <w:t>, portanto, limitado</w:t>
      </w:r>
      <w:r w:rsidR="009C265B" w:rsidRPr="0038442F">
        <w:rPr>
          <w:rStyle w:val="sb8d990e2"/>
          <w:rFonts w:ascii="Verdana" w:hAnsi="Verdana" w:cs="Arial"/>
          <w:sz w:val="20"/>
          <w:szCs w:val="20"/>
          <w:lang w:val="pt-BR"/>
        </w:rPr>
        <w:t xml:space="preserve">, e se </w:t>
      </w:r>
      <w:r w:rsidR="00197A06" w:rsidRPr="0038442F">
        <w:rPr>
          <w:rStyle w:val="sb8d990e2"/>
          <w:rFonts w:ascii="Verdana" w:hAnsi="Verdana" w:cs="Arial"/>
          <w:sz w:val="20"/>
          <w:szCs w:val="20"/>
          <w:lang w:val="pt-BR"/>
        </w:rPr>
        <w:t xml:space="preserve">viola a Carta </w:t>
      </w:r>
      <w:r w:rsidR="009C265B" w:rsidRPr="0038442F">
        <w:rPr>
          <w:rStyle w:val="sb8d990e2"/>
          <w:rFonts w:ascii="Verdana" w:hAnsi="Verdana" w:cs="Arial"/>
          <w:sz w:val="20"/>
          <w:szCs w:val="20"/>
          <w:lang w:val="pt-BR"/>
        </w:rPr>
        <w:t>q</w:t>
      </w:r>
      <w:r w:rsidR="00197A06" w:rsidRPr="0038442F">
        <w:rPr>
          <w:rStyle w:val="sb8d990e2"/>
          <w:rFonts w:ascii="Verdana" w:hAnsi="Verdana" w:cs="Arial"/>
          <w:sz w:val="20"/>
          <w:szCs w:val="20"/>
          <w:lang w:val="pt-BR"/>
        </w:rPr>
        <w:t>uando a rela</w:t>
      </w:r>
      <w:r w:rsidR="000A1AA8" w:rsidRPr="0038442F">
        <w:rPr>
          <w:rStyle w:val="sb8d990e2"/>
          <w:rFonts w:ascii="Verdana" w:hAnsi="Verdana" w:cs="Arial"/>
          <w:sz w:val="20"/>
          <w:szCs w:val="20"/>
          <w:lang w:val="pt-BR"/>
        </w:rPr>
        <w:t>ção</w:t>
      </w:r>
      <w:r w:rsidR="00197A06" w:rsidRPr="0038442F">
        <w:rPr>
          <w:rStyle w:val="sb8d990e2"/>
          <w:rFonts w:ascii="Verdana" w:hAnsi="Verdana" w:cs="Arial"/>
          <w:sz w:val="20"/>
          <w:szCs w:val="20"/>
          <w:lang w:val="pt-BR"/>
        </w:rPr>
        <w:t xml:space="preserve"> entre </w:t>
      </w:r>
      <w:r w:rsidR="009C265B" w:rsidRPr="0038442F">
        <w:rPr>
          <w:rStyle w:val="sb8d990e2"/>
          <w:rFonts w:ascii="Verdana" w:hAnsi="Verdana" w:cs="Arial"/>
          <w:sz w:val="20"/>
          <w:szCs w:val="20"/>
          <w:lang w:val="pt-BR"/>
        </w:rPr>
        <w:t xml:space="preserve">o </w:t>
      </w:r>
      <w:r w:rsidR="005135E5" w:rsidRPr="0038442F">
        <w:rPr>
          <w:rStyle w:val="sb8d990e2"/>
          <w:rFonts w:ascii="Verdana" w:hAnsi="Verdana" w:cs="Arial"/>
          <w:sz w:val="20"/>
          <w:szCs w:val="20"/>
          <w:lang w:val="pt-BR"/>
        </w:rPr>
        <w:t>pessoal</w:t>
      </w:r>
      <w:r w:rsidR="00407242" w:rsidRPr="0038442F">
        <w:rPr>
          <w:rStyle w:val="sb8d990e2"/>
          <w:rFonts w:ascii="Verdana" w:hAnsi="Verdana" w:cs="Arial"/>
          <w:sz w:val="20"/>
          <w:szCs w:val="20"/>
          <w:lang w:val="pt-BR"/>
        </w:rPr>
        <w:t xml:space="preserve"> </w:t>
      </w:r>
      <w:r w:rsidR="00C92762" w:rsidRPr="0038442F">
        <w:rPr>
          <w:rStyle w:val="sb8d990e2"/>
          <w:rFonts w:ascii="Verdana" w:hAnsi="Verdana" w:cs="Arial"/>
          <w:sz w:val="20"/>
          <w:szCs w:val="20"/>
          <w:lang w:val="pt-BR"/>
        </w:rPr>
        <w:t xml:space="preserve">dos </w:t>
      </w:r>
      <w:r w:rsidR="00B266DE" w:rsidRPr="0038442F">
        <w:rPr>
          <w:rStyle w:val="sb8d990e2"/>
          <w:rFonts w:ascii="Verdana" w:hAnsi="Verdana" w:cs="Arial"/>
          <w:sz w:val="20"/>
          <w:szCs w:val="20"/>
          <w:lang w:val="pt-BR"/>
        </w:rPr>
        <w:t>serviços</w:t>
      </w:r>
      <w:r w:rsidR="00407242" w:rsidRPr="0038442F">
        <w:rPr>
          <w:rStyle w:val="sb8d990e2"/>
          <w:rFonts w:ascii="Verdana" w:hAnsi="Verdana" w:cs="Arial"/>
          <w:sz w:val="20"/>
          <w:szCs w:val="20"/>
          <w:lang w:val="pt-BR"/>
        </w:rPr>
        <w:t xml:space="preserve"> </w:t>
      </w:r>
      <w:r w:rsidR="00197A06" w:rsidRPr="0038442F">
        <w:rPr>
          <w:rStyle w:val="sb8d990e2"/>
          <w:rFonts w:ascii="Verdana" w:hAnsi="Verdana" w:cs="Arial"/>
          <w:sz w:val="20"/>
          <w:szCs w:val="20"/>
          <w:lang w:val="pt-BR"/>
        </w:rPr>
        <w:t xml:space="preserve">de </w:t>
      </w:r>
      <w:r w:rsidR="000E331D" w:rsidRPr="0038442F">
        <w:rPr>
          <w:rStyle w:val="sb8d990e2"/>
          <w:rFonts w:ascii="Verdana" w:hAnsi="Verdana" w:cs="Arial"/>
          <w:sz w:val="20"/>
          <w:szCs w:val="20"/>
          <w:lang w:val="pt-BR"/>
        </w:rPr>
        <w:t>inspeção</w:t>
      </w:r>
      <w:r w:rsidR="00197A06" w:rsidRPr="0038442F">
        <w:rPr>
          <w:rStyle w:val="sb8d990e2"/>
          <w:rFonts w:ascii="Verdana" w:hAnsi="Verdana" w:cs="Arial"/>
          <w:sz w:val="20"/>
          <w:szCs w:val="20"/>
          <w:lang w:val="pt-BR"/>
        </w:rPr>
        <w:t xml:space="preserve">, as visitas realizadas </w:t>
      </w:r>
      <w:r w:rsidR="009C265B" w:rsidRPr="0038442F">
        <w:rPr>
          <w:rStyle w:val="sb8d990e2"/>
          <w:rFonts w:ascii="Verdana" w:hAnsi="Verdana" w:cs="Arial"/>
          <w:sz w:val="20"/>
          <w:szCs w:val="20"/>
          <w:lang w:val="pt-BR"/>
        </w:rPr>
        <w:t>e os empregados</w:t>
      </w:r>
      <w:r w:rsidR="00407242" w:rsidRPr="0038442F">
        <w:rPr>
          <w:rStyle w:val="sb8d990e2"/>
          <w:rFonts w:ascii="Verdana" w:hAnsi="Verdana" w:cs="Arial"/>
          <w:sz w:val="20"/>
          <w:szCs w:val="20"/>
          <w:lang w:val="pt-BR"/>
        </w:rPr>
        <w:t xml:space="preserve"> </w:t>
      </w:r>
      <w:r w:rsidR="009C265B" w:rsidRPr="0038442F">
        <w:rPr>
          <w:rStyle w:val="sb8d990e2"/>
          <w:rFonts w:ascii="Verdana" w:hAnsi="Verdana" w:cs="Arial"/>
          <w:sz w:val="20"/>
          <w:szCs w:val="20"/>
          <w:lang w:val="pt-BR"/>
        </w:rPr>
        <w:t>envolvidos é</w:t>
      </w:r>
      <w:r w:rsidR="00197A06" w:rsidRPr="0038442F">
        <w:rPr>
          <w:rStyle w:val="sb8d990e2"/>
          <w:rFonts w:ascii="Verdana" w:hAnsi="Verdana" w:cs="Arial"/>
          <w:sz w:val="20"/>
          <w:szCs w:val="20"/>
          <w:lang w:val="pt-BR"/>
        </w:rPr>
        <w:t xml:space="preserve"> manifestamente insuficiente</w:t>
      </w:r>
      <w:r w:rsidR="009C265B" w:rsidRPr="0038442F">
        <w:rPr>
          <w:rStyle w:val="sb8d990e2"/>
          <w:rFonts w:ascii="Verdana" w:hAnsi="Verdana" w:cs="Arial"/>
          <w:sz w:val="20"/>
          <w:szCs w:val="20"/>
          <w:lang w:val="pt-BR"/>
        </w:rPr>
        <w:t>.</w:t>
      </w:r>
      <w:r w:rsidR="00197A06" w:rsidRPr="0038442F">
        <w:rPr>
          <w:rStyle w:val="Refdenotaalpie"/>
          <w:rFonts w:ascii="Verdana" w:hAnsi="Verdana" w:cs="Arial"/>
          <w:sz w:val="20"/>
          <w:szCs w:val="20"/>
          <w:lang w:val="pt-BR"/>
        </w:rPr>
        <w:footnoteReference w:id="79"/>
      </w:r>
      <w:r w:rsidR="005E77FD" w:rsidRPr="0038442F">
        <w:rPr>
          <w:rStyle w:val="sb8d990e2"/>
          <w:rFonts w:ascii="Verdana" w:hAnsi="Verdana" w:cs="Arial"/>
          <w:sz w:val="20"/>
          <w:szCs w:val="20"/>
          <w:lang w:val="pt-BR"/>
        </w:rPr>
        <w:t xml:space="preserve"> </w:t>
      </w:r>
    </w:p>
    <w:p w14:paraId="1ED1EB3C" w14:textId="77777777" w:rsidR="000F257B" w:rsidRPr="0038442F" w:rsidRDefault="000F257B" w:rsidP="000F257B">
      <w:pPr>
        <w:pStyle w:val="Prrafodelista"/>
        <w:spacing w:line="240" w:lineRule="auto"/>
        <w:ind w:left="0"/>
        <w:jc w:val="both"/>
        <w:rPr>
          <w:rStyle w:val="sb8d990e2"/>
          <w:rFonts w:ascii="Verdana" w:hAnsi="Verdana"/>
          <w:bCs/>
          <w:sz w:val="20"/>
          <w:szCs w:val="20"/>
          <w:lang w:val="pt-BR"/>
        </w:rPr>
      </w:pPr>
    </w:p>
    <w:p w14:paraId="763A2FF7" w14:textId="26C440CE" w:rsidR="005E77FD" w:rsidRPr="0038442F" w:rsidRDefault="00685AC6" w:rsidP="00685AC6">
      <w:pPr>
        <w:pStyle w:val="Prrafodelista"/>
        <w:spacing w:line="240" w:lineRule="auto"/>
        <w:ind w:left="0"/>
        <w:jc w:val="both"/>
        <w:rPr>
          <w:rFonts w:ascii="Verdana" w:hAnsi="Verdana"/>
          <w:bCs/>
          <w:sz w:val="20"/>
          <w:szCs w:val="20"/>
          <w:lang w:val="pt-BR"/>
        </w:rPr>
      </w:pPr>
      <w:r w:rsidRPr="0038442F">
        <w:rPr>
          <w:rStyle w:val="sb8d990e2"/>
          <w:rFonts w:ascii="Verdana" w:hAnsi="Verdana" w:cs="Arial"/>
          <w:sz w:val="20"/>
          <w:szCs w:val="20"/>
          <w:lang w:val="pt-BR"/>
        </w:rPr>
        <w:t xml:space="preserve">48. </w:t>
      </w:r>
      <w:r w:rsidRPr="0038442F">
        <w:rPr>
          <w:rStyle w:val="sb8d990e2"/>
          <w:rFonts w:ascii="Verdana" w:hAnsi="Verdana" w:cs="Arial"/>
          <w:sz w:val="20"/>
          <w:szCs w:val="20"/>
          <w:lang w:val="pt-BR"/>
        </w:rPr>
        <w:tab/>
      </w:r>
      <w:r w:rsidR="00247F19" w:rsidRPr="0038442F">
        <w:rPr>
          <w:rStyle w:val="sb8d990e2"/>
          <w:rFonts w:ascii="Verdana" w:hAnsi="Verdana" w:cs="Arial"/>
          <w:sz w:val="20"/>
          <w:szCs w:val="20"/>
          <w:lang w:val="pt-BR"/>
        </w:rPr>
        <w:t xml:space="preserve">Em sentido similar, a Comissão Interamericana destacou que, como parte da estratégia de prevenção integral, os Estados deveriam </w:t>
      </w:r>
      <w:r w:rsidR="00247F19" w:rsidRPr="0038442F">
        <w:rPr>
          <w:rFonts w:ascii="Verdana" w:hAnsi="Verdana"/>
          <w:sz w:val="20"/>
          <w:szCs w:val="20"/>
          <w:lang w:val="pt-BR"/>
        </w:rPr>
        <w:t>fortalecer as instituições envolvidas nessa estratégia “para que possam proporcionar uma resposta efetiva ao fen</w:t>
      </w:r>
      <w:r w:rsidR="004C21F3" w:rsidRPr="0038442F">
        <w:rPr>
          <w:rFonts w:ascii="Verdana" w:hAnsi="Verdana"/>
          <w:sz w:val="20"/>
          <w:szCs w:val="20"/>
          <w:lang w:val="pt-BR"/>
        </w:rPr>
        <w:t>ô</w:t>
      </w:r>
      <w:r w:rsidR="00247F19" w:rsidRPr="0038442F">
        <w:rPr>
          <w:rFonts w:ascii="Verdana" w:hAnsi="Verdana"/>
          <w:sz w:val="20"/>
          <w:szCs w:val="20"/>
          <w:lang w:val="pt-BR"/>
        </w:rPr>
        <w:t>meno que se pretenda enfrentar”.</w:t>
      </w:r>
      <w:r w:rsidR="00247F19" w:rsidRPr="0038442F">
        <w:rPr>
          <w:rStyle w:val="Refdenotaalpie"/>
          <w:rFonts w:ascii="Verdana" w:hAnsi="Verdana"/>
          <w:sz w:val="20"/>
          <w:szCs w:val="20"/>
          <w:lang w:val="pt-BR"/>
        </w:rPr>
        <w:footnoteReference w:id="80"/>
      </w:r>
    </w:p>
    <w:p w14:paraId="314F0866" w14:textId="77777777" w:rsidR="005E77FD" w:rsidRPr="0038442F" w:rsidRDefault="005E77FD" w:rsidP="00A857CB">
      <w:pPr>
        <w:pStyle w:val="Prrafodelista"/>
        <w:spacing w:line="240" w:lineRule="auto"/>
        <w:rPr>
          <w:rFonts w:ascii="Verdana" w:hAnsi="Verdana"/>
          <w:bCs/>
          <w:sz w:val="20"/>
          <w:szCs w:val="20"/>
          <w:lang w:val="pt-BR"/>
        </w:rPr>
      </w:pPr>
    </w:p>
    <w:p w14:paraId="4001F9A9" w14:textId="3D0D9AA9" w:rsidR="005B7F5F" w:rsidRPr="0038442F" w:rsidRDefault="00685AC6" w:rsidP="00685AC6">
      <w:pPr>
        <w:pStyle w:val="Prrafodelista"/>
        <w:spacing w:line="240" w:lineRule="auto"/>
        <w:ind w:left="0"/>
        <w:jc w:val="both"/>
        <w:rPr>
          <w:rFonts w:ascii="Verdana" w:hAnsi="Verdana"/>
          <w:bCs/>
          <w:sz w:val="20"/>
          <w:szCs w:val="20"/>
          <w:lang w:val="pt-BR"/>
        </w:rPr>
      </w:pPr>
      <w:r w:rsidRPr="0038442F">
        <w:rPr>
          <w:rFonts w:ascii="Verdana" w:hAnsi="Verdana"/>
          <w:bCs/>
          <w:sz w:val="20"/>
          <w:szCs w:val="20"/>
          <w:lang w:val="pt-BR"/>
        </w:rPr>
        <w:t xml:space="preserve">49. </w:t>
      </w:r>
      <w:r w:rsidRPr="0038442F">
        <w:rPr>
          <w:rFonts w:ascii="Verdana" w:hAnsi="Verdana"/>
          <w:bCs/>
          <w:sz w:val="20"/>
          <w:szCs w:val="20"/>
          <w:lang w:val="pt-BR"/>
        </w:rPr>
        <w:tab/>
      </w:r>
      <w:r w:rsidR="001523D1" w:rsidRPr="0038442F">
        <w:rPr>
          <w:rFonts w:ascii="Verdana" w:hAnsi="Verdana"/>
          <w:bCs/>
          <w:sz w:val="20"/>
          <w:szCs w:val="20"/>
          <w:lang w:val="pt-BR"/>
        </w:rPr>
        <w:t xml:space="preserve">Tamanha foi a </w:t>
      </w:r>
      <w:r w:rsidR="00C92762" w:rsidRPr="0038442F">
        <w:rPr>
          <w:rFonts w:ascii="Verdana" w:hAnsi="Verdana"/>
          <w:bCs/>
          <w:sz w:val="20"/>
          <w:szCs w:val="20"/>
          <w:lang w:val="pt-BR"/>
        </w:rPr>
        <w:t xml:space="preserve">omissão </w:t>
      </w:r>
      <w:r w:rsidR="005E77FD" w:rsidRPr="0038442F">
        <w:rPr>
          <w:rFonts w:ascii="Verdana" w:hAnsi="Verdana"/>
          <w:bCs/>
          <w:sz w:val="20"/>
          <w:szCs w:val="20"/>
          <w:lang w:val="pt-BR"/>
        </w:rPr>
        <w:t>d</w:t>
      </w:r>
      <w:r w:rsidR="000A1AA8" w:rsidRPr="0038442F">
        <w:rPr>
          <w:rFonts w:ascii="Verdana" w:hAnsi="Verdana"/>
          <w:bCs/>
          <w:sz w:val="20"/>
          <w:szCs w:val="20"/>
          <w:lang w:val="pt-BR"/>
        </w:rPr>
        <w:t xml:space="preserve">o Estado </w:t>
      </w:r>
      <w:r w:rsidR="001523D1" w:rsidRPr="0038442F">
        <w:rPr>
          <w:rFonts w:ascii="Verdana" w:hAnsi="Verdana"/>
          <w:bCs/>
          <w:sz w:val="20"/>
          <w:szCs w:val="20"/>
          <w:lang w:val="pt-BR"/>
        </w:rPr>
        <w:t xml:space="preserve">no </w:t>
      </w:r>
      <w:r w:rsidR="005E77FD" w:rsidRPr="0038442F">
        <w:rPr>
          <w:rFonts w:ascii="Verdana" w:hAnsi="Verdana"/>
          <w:bCs/>
          <w:sz w:val="20"/>
          <w:szCs w:val="20"/>
          <w:lang w:val="pt-BR"/>
        </w:rPr>
        <w:t xml:space="preserve">momento </w:t>
      </w:r>
      <w:r w:rsidR="00C92762" w:rsidRPr="0038442F">
        <w:rPr>
          <w:rFonts w:ascii="Verdana" w:hAnsi="Verdana"/>
          <w:bCs/>
          <w:sz w:val="20"/>
          <w:szCs w:val="20"/>
          <w:lang w:val="pt-BR"/>
        </w:rPr>
        <w:t xml:space="preserve">dos </w:t>
      </w:r>
      <w:r w:rsidR="001523D1" w:rsidRPr="0038442F">
        <w:rPr>
          <w:rFonts w:ascii="Verdana" w:hAnsi="Verdana"/>
          <w:bCs/>
          <w:sz w:val="20"/>
          <w:szCs w:val="20"/>
          <w:lang w:val="pt-BR"/>
        </w:rPr>
        <w:t>fatos</w:t>
      </w:r>
      <w:r w:rsidR="005B7F5F" w:rsidRPr="0038442F">
        <w:rPr>
          <w:rFonts w:ascii="Verdana" w:hAnsi="Verdana"/>
          <w:bCs/>
          <w:sz w:val="20"/>
          <w:szCs w:val="20"/>
          <w:lang w:val="pt-BR"/>
        </w:rPr>
        <w:t xml:space="preserve">, que a </w:t>
      </w:r>
      <w:r w:rsidR="00246A73" w:rsidRPr="0038442F">
        <w:rPr>
          <w:rFonts w:ascii="Verdana" w:hAnsi="Verdana"/>
          <w:bCs/>
          <w:sz w:val="20"/>
          <w:szCs w:val="20"/>
          <w:lang w:val="pt-BR"/>
        </w:rPr>
        <w:t>importância</w:t>
      </w:r>
      <w:r w:rsidR="00407242" w:rsidRPr="0038442F">
        <w:rPr>
          <w:rFonts w:ascii="Verdana" w:hAnsi="Verdana"/>
          <w:bCs/>
          <w:sz w:val="20"/>
          <w:szCs w:val="20"/>
          <w:lang w:val="pt-BR"/>
        </w:rPr>
        <w:t xml:space="preserve"> </w:t>
      </w:r>
      <w:r w:rsidR="00C92762" w:rsidRPr="0038442F">
        <w:rPr>
          <w:rFonts w:ascii="Verdana" w:hAnsi="Verdana"/>
          <w:bCs/>
          <w:sz w:val="20"/>
          <w:szCs w:val="20"/>
          <w:lang w:val="pt-BR"/>
        </w:rPr>
        <w:t xml:space="preserve">da </w:t>
      </w:r>
      <w:r w:rsidR="005B7F5F" w:rsidRPr="0038442F">
        <w:rPr>
          <w:rFonts w:ascii="Verdana" w:hAnsi="Verdana"/>
          <w:bCs/>
          <w:sz w:val="20"/>
          <w:szCs w:val="20"/>
          <w:lang w:val="pt-BR"/>
        </w:rPr>
        <w:t>fiscaliza</w:t>
      </w:r>
      <w:r w:rsidR="000A1AA8" w:rsidRPr="0038442F">
        <w:rPr>
          <w:rFonts w:ascii="Verdana" w:hAnsi="Verdana"/>
          <w:bCs/>
          <w:sz w:val="20"/>
          <w:szCs w:val="20"/>
          <w:lang w:val="pt-BR"/>
        </w:rPr>
        <w:t>ção</w:t>
      </w:r>
      <w:r w:rsidR="005B7F5F" w:rsidRPr="0038442F">
        <w:rPr>
          <w:rFonts w:ascii="Verdana" w:hAnsi="Verdana"/>
          <w:bCs/>
          <w:sz w:val="20"/>
          <w:szCs w:val="20"/>
          <w:lang w:val="pt-BR"/>
        </w:rPr>
        <w:t xml:space="preserve"> o</w:t>
      </w:r>
      <w:r w:rsidR="001523D1" w:rsidRPr="0038442F">
        <w:rPr>
          <w:rFonts w:ascii="Verdana" w:hAnsi="Verdana"/>
          <w:bCs/>
          <w:sz w:val="20"/>
          <w:szCs w:val="20"/>
          <w:lang w:val="pt-BR"/>
        </w:rPr>
        <w:t>u</w:t>
      </w:r>
      <w:r w:rsidR="005B7F5F" w:rsidRPr="0038442F">
        <w:rPr>
          <w:rFonts w:ascii="Verdana" w:hAnsi="Verdana"/>
          <w:bCs/>
          <w:sz w:val="20"/>
          <w:szCs w:val="20"/>
          <w:lang w:val="pt-BR"/>
        </w:rPr>
        <w:t xml:space="preserve"> </w:t>
      </w:r>
      <w:r w:rsidR="000E331D" w:rsidRPr="0038442F">
        <w:rPr>
          <w:rFonts w:ascii="Verdana" w:hAnsi="Verdana"/>
          <w:bCs/>
          <w:sz w:val="20"/>
          <w:szCs w:val="20"/>
          <w:lang w:val="pt-BR"/>
        </w:rPr>
        <w:t>inspeção</w:t>
      </w:r>
      <w:r w:rsidR="00407242" w:rsidRPr="0038442F">
        <w:rPr>
          <w:rFonts w:ascii="Verdana" w:hAnsi="Verdana"/>
          <w:bCs/>
          <w:sz w:val="20"/>
          <w:szCs w:val="20"/>
          <w:lang w:val="pt-BR"/>
        </w:rPr>
        <w:t xml:space="preserve"> </w:t>
      </w:r>
      <w:r w:rsidR="005B7F5F" w:rsidRPr="0038442F">
        <w:rPr>
          <w:rFonts w:ascii="Verdana" w:hAnsi="Verdana"/>
          <w:bCs/>
          <w:sz w:val="20"/>
          <w:szCs w:val="20"/>
          <w:lang w:val="pt-BR"/>
        </w:rPr>
        <w:t xml:space="preserve">se </w:t>
      </w:r>
      <w:r w:rsidR="001523D1" w:rsidRPr="0038442F">
        <w:rPr>
          <w:rFonts w:ascii="Verdana" w:hAnsi="Verdana"/>
          <w:bCs/>
          <w:sz w:val="20"/>
          <w:szCs w:val="20"/>
          <w:lang w:val="pt-BR"/>
        </w:rPr>
        <w:t xml:space="preserve">viu refletida </w:t>
      </w:r>
      <w:r w:rsidR="00CA30C5" w:rsidRPr="0038442F">
        <w:rPr>
          <w:rFonts w:ascii="Verdana" w:hAnsi="Verdana"/>
          <w:bCs/>
          <w:sz w:val="20"/>
          <w:szCs w:val="20"/>
          <w:lang w:val="pt-BR"/>
        </w:rPr>
        <w:t xml:space="preserve">nas </w:t>
      </w:r>
      <w:r w:rsidR="005B7F5F" w:rsidRPr="0038442F">
        <w:rPr>
          <w:rFonts w:ascii="Verdana" w:hAnsi="Verdana"/>
          <w:bCs/>
          <w:sz w:val="20"/>
          <w:szCs w:val="20"/>
          <w:lang w:val="pt-BR"/>
        </w:rPr>
        <w:t>medidas de n</w:t>
      </w:r>
      <w:r w:rsidR="001523D1" w:rsidRPr="0038442F">
        <w:rPr>
          <w:rFonts w:ascii="Verdana" w:hAnsi="Verdana"/>
          <w:bCs/>
          <w:sz w:val="20"/>
          <w:szCs w:val="20"/>
          <w:lang w:val="pt-BR"/>
        </w:rPr>
        <w:t>ã</w:t>
      </w:r>
      <w:r w:rsidR="005B7F5F" w:rsidRPr="0038442F">
        <w:rPr>
          <w:rFonts w:ascii="Verdana" w:hAnsi="Verdana"/>
          <w:bCs/>
          <w:sz w:val="20"/>
          <w:szCs w:val="20"/>
          <w:lang w:val="pt-BR"/>
        </w:rPr>
        <w:t>o repeti</w:t>
      </w:r>
      <w:r w:rsidR="000A1AA8" w:rsidRPr="0038442F">
        <w:rPr>
          <w:rFonts w:ascii="Verdana" w:hAnsi="Verdana"/>
          <w:bCs/>
          <w:sz w:val="20"/>
          <w:szCs w:val="20"/>
          <w:lang w:val="pt-BR"/>
        </w:rPr>
        <w:t>ção</w:t>
      </w:r>
      <w:r w:rsidR="005B7F5F" w:rsidRPr="0038442F">
        <w:rPr>
          <w:rFonts w:ascii="Verdana" w:hAnsi="Verdana"/>
          <w:bCs/>
          <w:sz w:val="20"/>
          <w:szCs w:val="20"/>
          <w:lang w:val="pt-BR"/>
        </w:rPr>
        <w:t xml:space="preserve"> ordenadas </w:t>
      </w:r>
      <w:r w:rsidR="00D45B15" w:rsidRPr="0038442F">
        <w:rPr>
          <w:rFonts w:ascii="Verdana" w:hAnsi="Verdana"/>
          <w:bCs/>
          <w:sz w:val="20"/>
          <w:szCs w:val="20"/>
          <w:lang w:val="pt-BR"/>
        </w:rPr>
        <w:t xml:space="preserve">pelo </w:t>
      </w:r>
      <w:r w:rsidR="005B7F5F" w:rsidRPr="0038442F">
        <w:rPr>
          <w:rFonts w:ascii="Verdana" w:hAnsi="Verdana"/>
          <w:bCs/>
          <w:sz w:val="20"/>
          <w:szCs w:val="20"/>
          <w:lang w:val="pt-BR"/>
        </w:rPr>
        <w:t>Tri</w:t>
      </w:r>
      <w:r w:rsidR="00311C17" w:rsidRPr="0038442F">
        <w:rPr>
          <w:rFonts w:ascii="Verdana" w:hAnsi="Verdana"/>
          <w:bCs/>
          <w:sz w:val="20"/>
          <w:szCs w:val="20"/>
          <w:lang w:val="pt-BR"/>
        </w:rPr>
        <w:t>bunal Interamericano</w:t>
      </w:r>
      <w:r w:rsidR="005B7F5F" w:rsidRPr="0038442F">
        <w:rPr>
          <w:rFonts w:ascii="Verdana" w:hAnsi="Verdana"/>
          <w:bCs/>
          <w:sz w:val="20"/>
          <w:szCs w:val="20"/>
          <w:lang w:val="pt-BR"/>
        </w:rPr>
        <w:t xml:space="preserve"> nesta </w:t>
      </w:r>
      <w:r w:rsidR="00BF7A10" w:rsidRPr="0038442F">
        <w:rPr>
          <w:rFonts w:ascii="Verdana" w:hAnsi="Verdana"/>
          <w:bCs/>
          <w:sz w:val="20"/>
          <w:szCs w:val="20"/>
          <w:lang w:val="pt-BR"/>
        </w:rPr>
        <w:t>sentença</w:t>
      </w:r>
      <w:r w:rsidR="005B7F5F" w:rsidRPr="0038442F">
        <w:rPr>
          <w:rFonts w:ascii="Verdana" w:hAnsi="Verdana"/>
          <w:bCs/>
          <w:sz w:val="20"/>
          <w:szCs w:val="20"/>
          <w:lang w:val="pt-BR"/>
        </w:rPr>
        <w:t>. As</w:t>
      </w:r>
      <w:r w:rsidR="001523D1" w:rsidRPr="0038442F">
        <w:rPr>
          <w:rFonts w:ascii="Verdana" w:hAnsi="Verdana"/>
          <w:bCs/>
          <w:sz w:val="20"/>
          <w:szCs w:val="20"/>
          <w:lang w:val="pt-BR"/>
        </w:rPr>
        <w:t>sim, conforme</w:t>
      </w:r>
      <w:r w:rsidR="00407242" w:rsidRPr="0038442F">
        <w:rPr>
          <w:rFonts w:ascii="Verdana" w:hAnsi="Verdana"/>
          <w:bCs/>
          <w:sz w:val="20"/>
          <w:szCs w:val="20"/>
          <w:lang w:val="pt-BR"/>
        </w:rPr>
        <w:t xml:space="preserve"> </w:t>
      </w:r>
      <w:r w:rsidR="001523D1" w:rsidRPr="0038442F">
        <w:rPr>
          <w:rFonts w:ascii="Verdana" w:hAnsi="Verdana"/>
          <w:bCs/>
          <w:sz w:val="20"/>
          <w:szCs w:val="20"/>
          <w:lang w:val="pt-BR"/>
        </w:rPr>
        <w:t xml:space="preserve">se </w:t>
      </w:r>
      <w:r w:rsidR="00E54D60">
        <w:rPr>
          <w:rFonts w:ascii="Verdana" w:hAnsi="Verdana"/>
          <w:bCs/>
          <w:sz w:val="20"/>
          <w:szCs w:val="20"/>
          <w:lang w:val="pt-BR"/>
        </w:rPr>
        <w:t>observa</w:t>
      </w:r>
      <w:r w:rsidR="00E54D60" w:rsidRPr="0038442F">
        <w:rPr>
          <w:rFonts w:ascii="Verdana" w:hAnsi="Verdana"/>
          <w:bCs/>
          <w:sz w:val="20"/>
          <w:szCs w:val="20"/>
          <w:lang w:val="pt-BR"/>
        </w:rPr>
        <w:t xml:space="preserve"> </w:t>
      </w:r>
      <w:r w:rsidR="00E54D60">
        <w:rPr>
          <w:rFonts w:ascii="Verdana" w:hAnsi="Verdana"/>
          <w:bCs/>
          <w:sz w:val="20"/>
          <w:szCs w:val="20"/>
          <w:lang w:val="pt-BR"/>
        </w:rPr>
        <w:t>n</w:t>
      </w:r>
      <w:r w:rsidR="001523D1" w:rsidRPr="0038442F">
        <w:rPr>
          <w:rFonts w:ascii="Verdana" w:hAnsi="Verdana"/>
          <w:bCs/>
          <w:sz w:val="20"/>
          <w:szCs w:val="20"/>
          <w:lang w:val="pt-BR"/>
        </w:rPr>
        <w:t xml:space="preserve">a </w:t>
      </w:r>
      <w:r w:rsidR="00BF7A10" w:rsidRPr="0038442F">
        <w:rPr>
          <w:rFonts w:ascii="Verdana" w:hAnsi="Verdana"/>
          <w:bCs/>
          <w:sz w:val="20"/>
          <w:szCs w:val="20"/>
          <w:lang w:val="pt-BR"/>
        </w:rPr>
        <w:t>sentença</w:t>
      </w:r>
      <w:r w:rsidR="00251CF9" w:rsidRPr="0038442F">
        <w:rPr>
          <w:rFonts w:ascii="Verdana" w:hAnsi="Verdana"/>
          <w:bCs/>
          <w:sz w:val="20"/>
          <w:szCs w:val="20"/>
          <w:lang w:val="pt-BR"/>
        </w:rPr>
        <w:t>,</w:t>
      </w:r>
      <w:r w:rsidR="005B7F5F" w:rsidRPr="0038442F">
        <w:rPr>
          <w:rFonts w:ascii="Verdana" w:hAnsi="Verdana"/>
          <w:bCs/>
          <w:sz w:val="20"/>
          <w:szCs w:val="20"/>
          <w:lang w:val="pt-BR"/>
        </w:rPr>
        <w:t xml:space="preserve"> n</w:t>
      </w:r>
      <w:r w:rsidR="001523D1" w:rsidRPr="0038442F">
        <w:rPr>
          <w:rFonts w:ascii="Verdana" w:hAnsi="Verdana"/>
          <w:bCs/>
          <w:sz w:val="20"/>
          <w:szCs w:val="20"/>
          <w:lang w:val="pt-BR"/>
        </w:rPr>
        <w:t>ã</w:t>
      </w:r>
      <w:r w:rsidR="005B7F5F" w:rsidRPr="0038442F">
        <w:rPr>
          <w:rFonts w:ascii="Verdana" w:hAnsi="Verdana"/>
          <w:bCs/>
          <w:sz w:val="20"/>
          <w:szCs w:val="20"/>
          <w:lang w:val="pt-BR"/>
        </w:rPr>
        <w:t xml:space="preserve">o se </w:t>
      </w:r>
      <w:r w:rsidR="001523D1" w:rsidRPr="0038442F">
        <w:rPr>
          <w:rFonts w:ascii="Verdana" w:hAnsi="Verdana"/>
          <w:bCs/>
          <w:sz w:val="20"/>
          <w:szCs w:val="20"/>
          <w:lang w:val="pt-BR"/>
        </w:rPr>
        <w:t xml:space="preserve">questionou a regulamentação </w:t>
      </w:r>
      <w:r w:rsidR="005B7F5F" w:rsidRPr="0038442F">
        <w:rPr>
          <w:rFonts w:ascii="Verdana" w:hAnsi="Verdana"/>
          <w:bCs/>
          <w:sz w:val="20"/>
          <w:szCs w:val="20"/>
          <w:lang w:val="pt-BR"/>
        </w:rPr>
        <w:t xml:space="preserve">existente </w:t>
      </w:r>
      <w:r w:rsidR="001523D1" w:rsidRPr="0038442F">
        <w:rPr>
          <w:rFonts w:ascii="Verdana" w:hAnsi="Verdana"/>
          <w:bCs/>
          <w:sz w:val="20"/>
          <w:szCs w:val="20"/>
          <w:lang w:val="pt-BR"/>
        </w:rPr>
        <w:t>no âmbito</w:t>
      </w:r>
      <w:r w:rsidR="00F30403" w:rsidRPr="0038442F">
        <w:rPr>
          <w:rFonts w:ascii="Verdana" w:hAnsi="Verdana"/>
          <w:bCs/>
          <w:sz w:val="20"/>
          <w:szCs w:val="20"/>
          <w:lang w:val="pt-BR"/>
        </w:rPr>
        <w:t xml:space="preserve"> interno</w:t>
      </w:r>
      <w:r w:rsidR="005B7F5F" w:rsidRPr="0038442F">
        <w:rPr>
          <w:rFonts w:ascii="Verdana" w:hAnsi="Verdana"/>
          <w:bCs/>
          <w:sz w:val="20"/>
          <w:szCs w:val="20"/>
          <w:lang w:val="pt-BR"/>
        </w:rPr>
        <w:t>, e</w:t>
      </w:r>
      <w:r w:rsidR="001523D1" w:rsidRPr="0038442F">
        <w:rPr>
          <w:rFonts w:ascii="Verdana" w:hAnsi="Verdana"/>
          <w:bCs/>
          <w:sz w:val="20"/>
          <w:szCs w:val="20"/>
          <w:lang w:val="pt-BR"/>
        </w:rPr>
        <w:t>,</w:t>
      </w:r>
      <w:r w:rsidR="005B7F5F" w:rsidRPr="0038442F">
        <w:rPr>
          <w:rFonts w:ascii="Verdana" w:hAnsi="Verdana"/>
          <w:bCs/>
          <w:sz w:val="20"/>
          <w:szCs w:val="20"/>
          <w:lang w:val="pt-BR"/>
        </w:rPr>
        <w:t xml:space="preserve"> inclusive, </w:t>
      </w:r>
      <w:r w:rsidR="001523D1" w:rsidRPr="0038442F">
        <w:rPr>
          <w:rFonts w:ascii="Verdana" w:hAnsi="Verdana"/>
          <w:bCs/>
          <w:sz w:val="20"/>
          <w:szCs w:val="20"/>
          <w:lang w:val="pt-BR"/>
        </w:rPr>
        <w:t>avaliou</w:t>
      </w:r>
      <w:r w:rsidR="00E54D60">
        <w:rPr>
          <w:rFonts w:ascii="Verdana" w:hAnsi="Verdana"/>
          <w:bCs/>
          <w:sz w:val="20"/>
          <w:szCs w:val="20"/>
          <w:lang w:val="pt-BR"/>
        </w:rPr>
        <w:t>-se</w:t>
      </w:r>
      <w:r w:rsidR="001523D1" w:rsidRPr="0038442F">
        <w:rPr>
          <w:rFonts w:ascii="Verdana" w:hAnsi="Verdana"/>
          <w:bCs/>
          <w:sz w:val="20"/>
          <w:szCs w:val="20"/>
          <w:lang w:val="pt-BR"/>
        </w:rPr>
        <w:t xml:space="preserve"> </w:t>
      </w:r>
      <w:r w:rsidR="005B7F5F" w:rsidRPr="0038442F">
        <w:rPr>
          <w:rFonts w:ascii="Verdana" w:hAnsi="Verdana"/>
          <w:bCs/>
          <w:sz w:val="20"/>
          <w:szCs w:val="20"/>
          <w:lang w:val="pt-BR"/>
        </w:rPr>
        <w:t>como positiv</w:t>
      </w:r>
      <w:r w:rsidR="00251CF9" w:rsidRPr="0038442F">
        <w:rPr>
          <w:rFonts w:ascii="Verdana" w:hAnsi="Verdana"/>
          <w:bCs/>
          <w:sz w:val="20"/>
          <w:szCs w:val="20"/>
          <w:lang w:val="pt-BR"/>
        </w:rPr>
        <w:t>a</w:t>
      </w:r>
      <w:r w:rsidR="005B7F5F" w:rsidRPr="0038442F">
        <w:rPr>
          <w:rFonts w:ascii="Verdana" w:hAnsi="Verdana"/>
          <w:bCs/>
          <w:sz w:val="20"/>
          <w:szCs w:val="20"/>
          <w:lang w:val="pt-BR"/>
        </w:rPr>
        <w:t xml:space="preserve"> a </w:t>
      </w:r>
      <w:r w:rsidR="00826F7D" w:rsidRPr="0038442F">
        <w:rPr>
          <w:rFonts w:ascii="Verdana" w:hAnsi="Verdana"/>
          <w:bCs/>
          <w:sz w:val="20"/>
          <w:szCs w:val="20"/>
          <w:lang w:val="pt-BR"/>
        </w:rPr>
        <w:t>adoção</w:t>
      </w:r>
      <w:r w:rsidR="00407242" w:rsidRPr="0038442F">
        <w:rPr>
          <w:rFonts w:ascii="Verdana" w:hAnsi="Verdana"/>
          <w:bCs/>
          <w:sz w:val="20"/>
          <w:szCs w:val="20"/>
          <w:lang w:val="pt-BR"/>
        </w:rPr>
        <w:t xml:space="preserve"> </w:t>
      </w:r>
      <w:r w:rsidR="005B7F5F" w:rsidRPr="0038442F">
        <w:rPr>
          <w:rFonts w:ascii="Verdana" w:hAnsi="Verdana"/>
          <w:bCs/>
          <w:sz w:val="20"/>
          <w:szCs w:val="20"/>
          <w:lang w:val="pt-BR"/>
        </w:rPr>
        <w:t>de</w:t>
      </w:r>
      <w:r w:rsidR="001523D1" w:rsidRPr="0038442F">
        <w:rPr>
          <w:rFonts w:ascii="Verdana" w:hAnsi="Verdana"/>
          <w:bCs/>
          <w:sz w:val="20"/>
          <w:szCs w:val="20"/>
          <w:lang w:val="pt-BR"/>
        </w:rPr>
        <w:t>ssa</w:t>
      </w:r>
      <w:r w:rsidR="005B7F5F" w:rsidRPr="0038442F">
        <w:rPr>
          <w:rFonts w:ascii="Verdana" w:hAnsi="Verdana"/>
          <w:bCs/>
          <w:sz w:val="20"/>
          <w:szCs w:val="20"/>
          <w:lang w:val="pt-BR"/>
        </w:rPr>
        <w:t xml:space="preserve"> </w:t>
      </w:r>
      <w:r w:rsidR="001523D1" w:rsidRPr="0038442F">
        <w:rPr>
          <w:rFonts w:ascii="Verdana" w:hAnsi="Verdana"/>
          <w:bCs/>
          <w:sz w:val="20"/>
          <w:szCs w:val="20"/>
          <w:lang w:val="pt-BR"/>
        </w:rPr>
        <w:t>legislação;</w:t>
      </w:r>
      <w:r w:rsidR="005B7F5F" w:rsidRPr="0038442F">
        <w:rPr>
          <w:rStyle w:val="Refdenotaalpie"/>
          <w:rFonts w:ascii="Verdana" w:hAnsi="Verdana"/>
          <w:bCs/>
          <w:sz w:val="20"/>
          <w:szCs w:val="20"/>
          <w:lang w:val="pt-BR"/>
        </w:rPr>
        <w:footnoteReference w:id="81"/>
      </w:r>
      <w:r w:rsidR="005B7F5F" w:rsidRPr="0038442F">
        <w:rPr>
          <w:rFonts w:ascii="Verdana" w:hAnsi="Verdana"/>
          <w:bCs/>
          <w:sz w:val="20"/>
          <w:szCs w:val="20"/>
          <w:lang w:val="pt-BR"/>
        </w:rPr>
        <w:t xml:space="preserve"> </w:t>
      </w:r>
      <w:r w:rsidR="001523D1" w:rsidRPr="0038442F">
        <w:rPr>
          <w:rFonts w:ascii="Verdana" w:hAnsi="Verdana"/>
          <w:bCs/>
          <w:sz w:val="20"/>
          <w:szCs w:val="20"/>
          <w:lang w:val="pt-BR"/>
        </w:rPr>
        <w:t xml:space="preserve">no entanto, </w:t>
      </w:r>
      <w:r w:rsidR="005B7F5F" w:rsidRPr="0038442F">
        <w:rPr>
          <w:rFonts w:ascii="Verdana" w:hAnsi="Verdana"/>
          <w:bCs/>
          <w:sz w:val="20"/>
          <w:szCs w:val="20"/>
          <w:lang w:val="pt-BR"/>
        </w:rPr>
        <w:t xml:space="preserve">se </w:t>
      </w:r>
      <w:r w:rsidR="001523D1" w:rsidRPr="0038442F">
        <w:rPr>
          <w:rFonts w:ascii="Verdana" w:hAnsi="Verdana"/>
          <w:bCs/>
          <w:sz w:val="20"/>
          <w:szCs w:val="20"/>
          <w:lang w:val="pt-BR"/>
        </w:rPr>
        <w:t xml:space="preserve">explicitou </w:t>
      </w:r>
      <w:r w:rsidR="005B7F5F" w:rsidRPr="0038442F">
        <w:rPr>
          <w:rFonts w:ascii="Verdana" w:hAnsi="Verdana"/>
          <w:bCs/>
          <w:sz w:val="20"/>
          <w:szCs w:val="20"/>
          <w:lang w:val="pt-BR"/>
        </w:rPr>
        <w:t>“</w:t>
      </w:r>
      <w:r w:rsidR="005B7F5F" w:rsidRPr="0038442F">
        <w:rPr>
          <w:rFonts w:ascii="Verdana" w:hAnsi="Verdana"/>
          <w:sz w:val="20"/>
          <w:szCs w:val="20"/>
          <w:lang w:val="pt-BR"/>
        </w:rPr>
        <w:t>que n</w:t>
      </w:r>
      <w:r w:rsidR="001523D1" w:rsidRPr="0038442F">
        <w:rPr>
          <w:rFonts w:ascii="Verdana" w:hAnsi="Verdana"/>
          <w:sz w:val="20"/>
          <w:szCs w:val="20"/>
          <w:lang w:val="pt-BR"/>
        </w:rPr>
        <w:t>ã</w:t>
      </w:r>
      <w:r w:rsidR="005B7F5F" w:rsidRPr="0038442F">
        <w:rPr>
          <w:rFonts w:ascii="Verdana" w:hAnsi="Verdana"/>
          <w:sz w:val="20"/>
          <w:szCs w:val="20"/>
          <w:lang w:val="pt-BR"/>
        </w:rPr>
        <w:t>o consta[</w:t>
      </w:r>
      <w:r w:rsidR="00DC1756" w:rsidRPr="0038442F">
        <w:rPr>
          <w:rFonts w:ascii="Verdana" w:hAnsi="Verdana"/>
          <w:sz w:val="20"/>
          <w:szCs w:val="20"/>
          <w:lang w:val="pt-BR"/>
        </w:rPr>
        <w:t>v</w:t>
      </w:r>
      <w:r w:rsidR="005B7F5F" w:rsidRPr="0038442F">
        <w:rPr>
          <w:rFonts w:ascii="Verdana" w:hAnsi="Verdana"/>
          <w:sz w:val="20"/>
          <w:szCs w:val="20"/>
          <w:lang w:val="pt-BR"/>
        </w:rPr>
        <w:t xml:space="preserve">a] </w:t>
      </w:r>
      <w:r w:rsidR="00DC1756" w:rsidRPr="0038442F">
        <w:rPr>
          <w:rFonts w:ascii="Verdana" w:hAnsi="Verdana"/>
          <w:sz w:val="20"/>
          <w:szCs w:val="20"/>
          <w:lang w:val="pt-BR"/>
        </w:rPr>
        <w:t>d</w:t>
      </w:r>
      <w:r w:rsidR="00602FF9" w:rsidRPr="0038442F">
        <w:rPr>
          <w:rFonts w:ascii="Verdana" w:hAnsi="Verdana"/>
          <w:sz w:val="20"/>
          <w:szCs w:val="20"/>
          <w:lang w:val="pt-BR"/>
        </w:rPr>
        <w:t xml:space="preserve">os </w:t>
      </w:r>
      <w:r w:rsidR="005B7F5F" w:rsidRPr="0038442F">
        <w:rPr>
          <w:rFonts w:ascii="Verdana" w:hAnsi="Verdana"/>
          <w:sz w:val="20"/>
          <w:szCs w:val="20"/>
          <w:lang w:val="pt-BR"/>
        </w:rPr>
        <w:t xml:space="preserve">escritos </w:t>
      </w:r>
      <w:r w:rsidR="00DC1756" w:rsidRPr="0038442F">
        <w:rPr>
          <w:rFonts w:ascii="Verdana" w:hAnsi="Verdana"/>
          <w:sz w:val="20"/>
          <w:szCs w:val="20"/>
          <w:lang w:val="pt-BR"/>
        </w:rPr>
        <w:t>e</w:t>
      </w:r>
      <w:r w:rsidR="005B7F5F" w:rsidRPr="0038442F">
        <w:rPr>
          <w:rFonts w:ascii="Verdana" w:hAnsi="Verdana"/>
          <w:sz w:val="20"/>
          <w:szCs w:val="20"/>
          <w:lang w:val="pt-BR"/>
        </w:rPr>
        <w:t xml:space="preserve"> pr</w:t>
      </w:r>
      <w:r w:rsidR="00DC1756" w:rsidRPr="0038442F">
        <w:rPr>
          <w:rFonts w:ascii="Verdana" w:hAnsi="Verdana"/>
          <w:sz w:val="20"/>
          <w:szCs w:val="20"/>
          <w:lang w:val="pt-BR"/>
        </w:rPr>
        <w:t>ov</w:t>
      </w:r>
      <w:r w:rsidR="005B7F5F" w:rsidRPr="0038442F">
        <w:rPr>
          <w:rFonts w:ascii="Verdana" w:hAnsi="Verdana"/>
          <w:sz w:val="20"/>
          <w:szCs w:val="20"/>
          <w:lang w:val="pt-BR"/>
        </w:rPr>
        <w:t xml:space="preserve">as </w:t>
      </w:r>
      <w:r w:rsidR="00E54D60">
        <w:rPr>
          <w:rFonts w:ascii="Verdana" w:hAnsi="Verdana"/>
          <w:sz w:val="20"/>
          <w:szCs w:val="20"/>
          <w:lang w:val="pt-BR"/>
        </w:rPr>
        <w:t>encaminha</w:t>
      </w:r>
      <w:r w:rsidR="00E54D60" w:rsidRPr="0038442F">
        <w:rPr>
          <w:rFonts w:ascii="Verdana" w:hAnsi="Verdana"/>
          <w:sz w:val="20"/>
          <w:szCs w:val="20"/>
          <w:lang w:val="pt-BR"/>
        </w:rPr>
        <w:t>dos</w:t>
      </w:r>
      <w:r w:rsidR="005B7F5F" w:rsidRPr="0038442F">
        <w:rPr>
          <w:rFonts w:ascii="Verdana" w:hAnsi="Verdana"/>
          <w:sz w:val="20"/>
          <w:szCs w:val="20"/>
          <w:lang w:val="pt-BR"/>
        </w:rPr>
        <w:t xml:space="preserve">, </w:t>
      </w:r>
      <w:r w:rsidR="00DC1756" w:rsidRPr="0038442F">
        <w:rPr>
          <w:rFonts w:ascii="Verdana" w:hAnsi="Verdana"/>
          <w:sz w:val="20"/>
          <w:szCs w:val="20"/>
          <w:lang w:val="pt-BR"/>
        </w:rPr>
        <w:t xml:space="preserve">nem dos depoimentos ou das alegações </w:t>
      </w:r>
      <w:r w:rsidR="00E54D60">
        <w:rPr>
          <w:rFonts w:ascii="Verdana" w:hAnsi="Verdana"/>
          <w:sz w:val="20"/>
          <w:szCs w:val="20"/>
          <w:lang w:val="pt-BR"/>
        </w:rPr>
        <w:t>orais oferecidos</w:t>
      </w:r>
      <w:r w:rsidR="00DC1756"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5B7F5F" w:rsidRPr="0038442F">
        <w:rPr>
          <w:rFonts w:ascii="Verdana" w:hAnsi="Verdana"/>
          <w:sz w:val="20"/>
          <w:szCs w:val="20"/>
          <w:lang w:val="pt-BR"/>
        </w:rPr>
        <w:t>Audi</w:t>
      </w:r>
      <w:r w:rsidR="00DC1756" w:rsidRPr="0038442F">
        <w:rPr>
          <w:rFonts w:ascii="Verdana" w:hAnsi="Verdana"/>
          <w:sz w:val="20"/>
          <w:szCs w:val="20"/>
          <w:lang w:val="pt-BR"/>
        </w:rPr>
        <w:t>ê</w:t>
      </w:r>
      <w:r w:rsidR="005B7F5F" w:rsidRPr="0038442F">
        <w:rPr>
          <w:rFonts w:ascii="Verdana" w:hAnsi="Verdana"/>
          <w:sz w:val="20"/>
          <w:szCs w:val="20"/>
          <w:lang w:val="pt-BR"/>
        </w:rPr>
        <w:t xml:space="preserve">ncia Pública, que </w:t>
      </w:r>
      <w:r w:rsidR="000A1AA8" w:rsidRPr="0038442F">
        <w:rPr>
          <w:rFonts w:ascii="Verdana" w:hAnsi="Verdana"/>
          <w:sz w:val="20"/>
          <w:szCs w:val="20"/>
          <w:lang w:val="pt-BR"/>
        </w:rPr>
        <w:t xml:space="preserve">o Estado </w:t>
      </w:r>
      <w:r w:rsidR="00DC1756" w:rsidRPr="0038442F">
        <w:rPr>
          <w:rFonts w:ascii="Verdana" w:hAnsi="Verdana"/>
          <w:sz w:val="20"/>
          <w:szCs w:val="20"/>
          <w:lang w:val="pt-BR"/>
        </w:rPr>
        <w:t xml:space="preserve">tenha conseguido </w:t>
      </w:r>
      <w:r w:rsidR="005B7F5F" w:rsidRPr="0038442F">
        <w:rPr>
          <w:rFonts w:ascii="Verdana" w:hAnsi="Verdana"/>
          <w:sz w:val="20"/>
          <w:szCs w:val="20"/>
          <w:lang w:val="pt-BR"/>
        </w:rPr>
        <w:t xml:space="preserve">implementar medidas </w:t>
      </w:r>
      <w:r w:rsidR="005B7F5F" w:rsidRPr="0038442F">
        <w:rPr>
          <w:rFonts w:ascii="Verdana" w:hAnsi="Verdana"/>
          <w:i/>
          <w:sz w:val="20"/>
          <w:szCs w:val="20"/>
          <w:lang w:val="pt-BR"/>
        </w:rPr>
        <w:t>para as</w:t>
      </w:r>
      <w:r w:rsidR="00DC1756" w:rsidRPr="0038442F">
        <w:rPr>
          <w:rFonts w:ascii="Verdana" w:hAnsi="Verdana"/>
          <w:i/>
          <w:sz w:val="20"/>
          <w:szCs w:val="20"/>
          <w:lang w:val="pt-BR"/>
        </w:rPr>
        <w:t>s</w:t>
      </w:r>
      <w:r w:rsidR="005B7F5F" w:rsidRPr="0038442F">
        <w:rPr>
          <w:rFonts w:ascii="Verdana" w:hAnsi="Verdana"/>
          <w:i/>
          <w:sz w:val="20"/>
          <w:szCs w:val="20"/>
          <w:lang w:val="pt-BR"/>
        </w:rPr>
        <w:t xml:space="preserve">egurar que, </w:t>
      </w:r>
      <w:r w:rsidR="00BF7A10" w:rsidRPr="0038442F">
        <w:rPr>
          <w:rFonts w:ascii="Verdana" w:hAnsi="Verdana"/>
          <w:i/>
          <w:sz w:val="20"/>
          <w:szCs w:val="20"/>
          <w:lang w:val="pt-BR"/>
        </w:rPr>
        <w:t xml:space="preserve">na </w:t>
      </w:r>
      <w:r w:rsidR="0059451E" w:rsidRPr="0038442F">
        <w:rPr>
          <w:rFonts w:ascii="Verdana" w:hAnsi="Verdana"/>
          <w:i/>
          <w:sz w:val="20"/>
          <w:szCs w:val="20"/>
          <w:lang w:val="pt-BR"/>
        </w:rPr>
        <w:t>prática</w:t>
      </w:r>
      <w:r w:rsidR="005B7F5F" w:rsidRPr="0038442F">
        <w:rPr>
          <w:rFonts w:ascii="Verdana" w:hAnsi="Verdana"/>
          <w:i/>
          <w:sz w:val="20"/>
          <w:szCs w:val="20"/>
          <w:lang w:val="pt-BR"/>
        </w:rPr>
        <w:t xml:space="preserve">, </w:t>
      </w:r>
      <w:r w:rsidR="00DC1756" w:rsidRPr="0038442F">
        <w:rPr>
          <w:rFonts w:ascii="Verdana" w:hAnsi="Verdana"/>
          <w:i/>
          <w:sz w:val="20"/>
          <w:szCs w:val="20"/>
          <w:lang w:val="pt-BR"/>
        </w:rPr>
        <w:t>os locais em que são fabricados fogos de artifício no Brasil sejam fiscalizados de forma regular</w:t>
      </w:r>
      <w:r w:rsidR="005B7F5F" w:rsidRPr="0038442F">
        <w:rPr>
          <w:rFonts w:ascii="Verdana" w:hAnsi="Verdana"/>
          <w:sz w:val="20"/>
          <w:szCs w:val="20"/>
          <w:lang w:val="pt-BR"/>
        </w:rPr>
        <w:t>” (</w:t>
      </w:r>
      <w:r w:rsidR="00DC1756" w:rsidRPr="0038442F">
        <w:rPr>
          <w:rFonts w:ascii="Verdana" w:hAnsi="Verdana"/>
          <w:sz w:val="20"/>
          <w:szCs w:val="20"/>
          <w:lang w:val="pt-BR"/>
        </w:rPr>
        <w:t>grifo nosso</w:t>
      </w:r>
      <w:r w:rsidR="005B7F5F" w:rsidRPr="0038442F">
        <w:rPr>
          <w:rFonts w:ascii="Verdana" w:hAnsi="Verdana"/>
          <w:sz w:val="20"/>
          <w:szCs w:val="20"/>
          <w:lang w:val="pt-BR"/>
        </w:rPr>
        <w:t>)</w:t>
      </w:r>
      <w:r w:rsidR="00DC1756" w:rsidRPr="0038442F">
        <w:rPr>
          <w:rFonts w:ascii="Verdana" w:hAnsi="Verdana"/>
          <w:sz w:val="20"/>
          <w:szCs w:val="20"/>
          <w:lang w:val="pt-BR"/>
        </w:rPr>
        <w:t>.</w:t>
      </w:r>
      <w:r w:rsidR="005B7F5F" w:rsidRPr="0038442F">
        <w:rPr>
          <w:rStyle w:val="Refdenotaalpie"/>
          <w:rFonts w:ascii="Verdana" w:hAnsi="Verdana"/>
          <w:sz w:val="20"/>
          <w:szCs w:val="20"/>
          <w:lang w:val="pt-BR"/>
        </w:rPr>
        <w:footnoteReference w:id="82"/>
      </w:r>
    </w:p>
    <w:p w14:paraId="26D3A29C" w14:textId="77777777" w:rsidR="005B7F5F" w:rsidRPr="0038442F" w:rsidRDefault="005B7F5F" w:rsidP="00A857CB">
      <w:pPr>
        <w:pStyle w:val="Prrafodelista"/>
        <w:spacing w:line="240" w:lineRule="auto"/>
        <w:rPr>
          <w:rStyle w:val="sb8d990e2"/>
          <w:rFonts w:ascii="Verdana" w:hAnsi="Verdana"/>
          <w:bCs/>
          <w:sz w:val="20"/>
          <w:szCs w:val="20"/>
          <w:lang w:val="pt-BR"/>
        </w:rPr>
      </w:pPr>
    </w:p>
    <w:p w14:paraId="201208D3" w14:textId="0A30C19B" w:rsidR="00033CB7" w:rsidRPr="0038442F" w:rsidRDefault="00685AC6" w:rsidP="00685AC6">
      <w:pPr>
        <w:pStyle w:val="Prrafodelista"/>
        <w:spacing w:line="240" w:lineRule="auto"/>
        <w:ind w:left="0"/>
        <w:jc w:val="both"/>
        <w:rPr>
          <w:rFonts w:ascii="Verdana" w:hAnsi="Verdana"/>
          <w:bCs/>
          <w:sz w:val="20"/>
          <w:szCs w:val="20"/>
          <w:lang w:val="pt-BR"/>
        </w:rPr>
      </w:pPr>
      <w:r w:rsidRPr="0038442F">
        <w:rPr>
          <w:rStyle w:val="sb8d990e2"/>
          <w:rFonts w:ascii="Verdana" w:hAnsi="Verdana"/>
          <w:bCs/>
          <w:sz w:val="20"/>
          <w:szCs w:val="20"/>
          <w:lang w:val="pt-BR"/>
        </w:rPr>
        <w:t xml:space="preserve">50. </w:t>
      </w:r>
      <w:r w:rsidRPr="0038442F">
        <w:rPr>
          <w:rStyle w:val="sb8d990e2"/>
          <w:rFonts w:ascii="Verdana" w:hAnsi="Verdana"/>
          <w:bCs/>
          <w:sz w:val="20"/>
          <w:szCs w:val="20"/>
          <w:lang w:val="pt-BR"/>
        </w:rPr>
        <w:tab/>
      </w:r>
      <w:r w:rsidR="00C16586" w:rsidRPr="0038442F">
        <w:rPr>
          <w:rStyle w:val="sb8d990e2"/>
          <w:rFonts w:ascii="Verdana" w:hAnsi="Verdana"/>
          <w:bCs/>
          <w:sz w:val="20"/>
          <w:szCs w:val="20"/>
          <w:lang w:val="pt-BR"/>
        </w:rPr>
        <w:t>Desse modo</w:t>
      </w:r>
      <w:r w:rsidR="005B7F5F" w:rsidRPr="0038442F">
        <w:rPr>
          <w:rStyle w:val="sb8d990e2"/>
          <w:rFonts w:ascii="Verdana" w:hAnsi="Verdana"/>
          <w:bCs/>
          <w:sz w:val="20"/>
          <w:szCs w:val="20"/>
          <w:lang w:val="pt-BR"/>
        </w:rPr>
        <w:t>,</w:t>
      </w:r>
      <w:r w:rsidR="00C16586" w:rsidRPr="0038442F">
        <w:rPr>
          <w:rStyle w:val="sb8d990e2"/>
          <w:rFonts w:ascii="Verdana" w:hAnsi="Verdana"/>
          <w:bCs/>
          <w:sz w:val="20"/>
          <w:szCs w:val="20"/>
          <w:lang w:val="pt-BR"/>
        </w:rPr>
        <w:t xml:space="preserve"> o </w:t>
      </w:r>
      <w:r w:rsidR="00311C17" w:rsidRPr="0038442F">
        <w:rPr>
          <w:rStyle w:val="sb8d990e2"/>
          <w:rFonts w:ascii="Verdana" w:hAnsi="Verdana"/>
          <w:bCs/>
          <w:sz w:val="20"/>
          <w:szCs w:val="20"/>
          <w:lang w:val="pt-BR"/>
        </w:rPr>
        <w:t xml:space="preserve">Tribunal Interamericano </w:t>
      </w:r>
      <w:r w:rsidR="00C16586" w:rsidRPr="0038442F">
        <w:rPr>
          <w:rStyle w:val="sb8d990e2"/>
          <w:rFonts w:ascii="Verdana" w:hAnsi="Verdana"/>
          <w:bCs/>
          <w:sz w:val="20"/>
          <w:szCs w:val="20"/>
          <w:lang w:val="pt-BR"/>
        </w:rPr>
        <w:t>ressaltou</w:t>
      </w:r>
      <w:r w:rsidR="005B7F5F" w:rsidRPr="0038442F">
        <w:rPr>
          <w:rStyle w:val="sb8d990e2"/>
          <w:rFonts w:ascii="Verdana" w:hAnsi="Verdana"/>
          <w:bCs/>
          <w:sz w:val="20"/>
          <w:szCs w:val="20"/>
          <w:lang w:val="pt-BR"/>
        </w:rPr>
        <w:t xml:space="preserve"> que: </w:t>
      </w:r>
    </w:p>
    <w:p w14:paraId="6EE94B6F" w14:textId="4DF32B4C" w:rsidR="00033CB7" w:rsidRPr="0038442F" w:rsidRDefault="00033CB7" w:rsidP="00A857CB">
      <w:pPr>
        <w:ind w:left="708" w:right="473"/>
        <w:jc w:val="both"/>
        <w:rPr>
          <w:rStyle w:val="sb8d990e2"/>
          <w:rFonts w:ascii="Verdana" w:hAnsi="Verdana"/>
          <w:bCs/>
          <w:sz w:val="16"/>
          <w:szCs w:val="16"/>
          <w:lang w:val="pt-BR"/>
        </w:rPr>
      </w:pPr>
      <w:r w:rsidRPr="0038442F">
        <w:rPr>
          <w:rFonts w:ascii="Verdana" w:hAnsi="Verdana"/>
          <w:sz w:val="16"/>
          <w:szCs w:val="16"/>
          <w:lang w:val="pt-BR"/>
        </w:rPr>
        <w:t xml:space="preserve">287. </w:t>
      </w:r>
      <w:r w:rsidR="00C16586" w:rsidRPr="0038442F">
        <w:rPr>
          <w:rFonts w:ascii="Verdana" w:hAnsi="Verdana"/>
          <w:sz w:val="16"/>
          <w:szCs w:val="16"/>
          <w:lang w:val="pt-BR"/>
        </w:rPr>
        <w:t>A Corte lembra que a falta de fiscalização da fábrica de fogos em Santo Antônio de Jesus, por parte das autoridades estatais, foi o elemento principal que gerou a responsabilidade internacional do Estado</w:t>
      </w:r>
      <w:r w:rsidRPr="0038442F">
        <w:rPr>
          <w:rFonts w:ascii="Verdana" w:hAnsi="Verdana"/>
          <w:sz w:val="16"/>
          <w:szCs w:val="16"/>
          <w:lang w:val="pt-BR"/>
        </w:rPr>
        <w:t xml:space="preserve">. </w:t>
      </w:r>
      <w:r w:rsidR="00C16586" w:rsidRPr="0038442F">
        <w:rPr>
          <w:rFonts w:ascii="Verdana" w:hAnsi="Verdana"/>
          <w:sz w:val="16"/>
          <w:szCs w:val="16"/>
          <w:lang w:val="pt-BR"/>
        </w:rPr>
        <w:t>Nesse</w:t>
      </w:r>
      <w:r w:rsidRPr="0038442F">
        <w:rPr>
          <w:rFonts w:ascii="Verdana" w:hAnsi="Verdana"/>
          <w:sz w:val="16"/>
          <w:szCs w:val="16"/>
          <w:lang w:val="pt-BR"/>
        </w:rPr>
        <w:t xml:space="preserve"> sentido, </w:t>
      </w:r>
      <w:r w:rsidR="00C16586" w:rsidRPr="0038442F">
        <w:rPr>
          <w:rFonts w:ascii="Verdana" w:hAnsi="Verdana"/>
          <w:bCs/>
          <w:sz w:val="16"/>
          <w:szCs w:val="16"/>
          <w:u w:val="single"/>
          <w:lang w:val="pt-BR"/>
        </w:rPr>
        <w:t xml:space="preserve">a fim de deter o funcionamento das fábricas clandestinas e/ou que funcionam em desacordo com as normas sobre o controle de atividades perigosas, e de garantir condições de trabalho equitativas e satisfatórias nesses ambientes, o Estado deve adotar medidas para implementar uma política sistemática de inspeções periódicas nos locais de produção de fogos de artifício, tanto para que sejam verificadas as condições de segurança e salubridade do trabalho, </w:t>
      </w:r>
      <w:r w:rsidR="00CA72ED">
        <w:rPr>
          <w:rFonts w:ascii="Verdana" w:hAnsi="Verdana"/>
          <w:bCs/>
          <w:sz w:val="16"/>
          <w:szCs w:val="16"/>
          <w:u w:val="single"/>
          <w:lang w:val="pt-BR"/>
        </w:rPr>
        <w:t>quanto</w:t>
      </w:r>
      <w:r w:rsidR="00CA72ED" w:rsidRPr="0038442F">
        <w:rPr>
          <w:rFonts w:ascii="Verdana" w:hAnsi="Verdana"/>
          <w:bCs/>
          <w:sz w:val="16"/>
          <w:szCs w:val="16"/>
          <w:u w:val="single"/>
          <w:lang w:val="pt-BR"/>
        </w:rPr>
        <w:t xml:space="preserve"> </w:t>
      </w:r>
      <w:r w:rsidR="00C16586" w:rsidRPr="0038442F">
        <w:rPr>
          <w:rFonts w:ascii="Verdana" w:hAnsi="Verdana"/>
          <w:bCs/>
          <w:sz w:val="16"/>
          <w:szCs w:val="16"/>
          <w:u w:val="single"/>
          <w:lang w:val="pt-BR"/>
        </w:rPr>
        <w:t>para que seja fiscalizado o cumprimento das normas relativas ao armazenamento dos insumos</w:t>
      </w:r>
      <w:r w:rsidRPr="0038442F">
        <w:rPr>
          <w:rFonts w:ascii="Verdana" w:hAnsi="Verdana"/>
          <w:bCs/>
          <w:sz w:val="16"/>
          <w:szCs w:val="16"/>
          <w:u w:val="single"/>
          <w:lang w:val="pt-BR"/>
        </w:rPr>
        <w:t>.</w:t>
      </w:r>
      <w:r w:rsidRPr="0038442F">
        <w:rPr>
          <w:rFonts w:ascii="Verdana" w:hAnsi="Verdana"/>
          <w:sz w:val="16"/>
          <w:szCs w:val="16"/>
          <w:lang w:val="pt-BR"/>
        </w:rPr>
        <w:t xml:space="preserve"> </w:t>
      </w:r>
      <w:r w:rsidR="00C16586" w:rsidRPr="0038442F">
        <w:rPr>
          <w:rFonts w:ascii="Verdana" w:hAnsi="Verdana"/>
          <w:sz w:val="16"/>
          <w:szCs w:val="16"/>
          <w:lang w:val="pt-BR"/>
        </w:rPr>
        <w:t>O Estado deve assegurar que as inspeções periódicas sejam realizadas por inspetores que tenham o devido conhecimento em matéria de saúde e segurança no âmbito específico da fabricação de fogos de artifício</w:t>
      </w:r>
      <w:r w:rsidR="00E2096F" w:rsidRPr="0038442F">
        <w:rPr>
          <w:rFonts w:ascii="Verdana" w:hAnsi="Verdana"/>
          <w:sz w:val="16"/>
          <w:szCs w:val="16"/>
          <w:lang w:val="pt-BR"/>
        </w:rPr>
        <w:t>. (</w:t>
      </w:r>
      <w:r w:rsidR="00C16586" w:rsidRPr="0038442F">
        <w:rPr>
          <w:rFonts w:ascii="Verdana" w:hAnsi="Verdana"/>
          <w:sz w:val="16"/>
          <w:szCs w:val="16"/>
          <w:lang w:val="pt-BR"/>
        </w:rPr>
        <w:t>grifo nosso</w:t>
      </w:r>
      <w:r w:rsidR="00E2096F" w:rsidRPr="0038442F">
        <w:rPr>
          <w:rFonts w:ascii="Verdana" w:hAnsi="Verdana"/>
          <w:sz w:val="16"/>
          <w:szCs w:val="16"/>
          <w:lang w:val="pt-BR"/>
        </w:rPr>
        <w:t>)</w:t>
      </w:r>
    </w:p>
    <w:p w14:paraId="06FFD7CA" w14:textId="77777777" w:rsidR="005B7F5F" w:rsidRPr="0038442F" w:rsidRDefault="005B7F5F" w:rsidP="00A857CB">
      <w:pPr>
        <w:pStyle w:val="Prrafodelista"/>
        <w:spacing w:line="240" w:lineRule="auto"/>
        <w:ind w:left="0"/>
        <w:jc w:val="both"/>
        <w:rPr>
          <w:rStyle w:val="sb8d990e2"/>
          <w:rFonts w:ascii="Verdana" w:hAnsi="Verdana"/>
          <w:bCs/>
          <w:sz w:val="20"/>
          <w:szCs w:val="20"/>
          <w:lang w:val="pt-BR"/>
        </w:rPr>
      </w:pPr>
    </w:p>
    <w:p w14:paraId="20061A9B" w14:textId="7645D495" w:rsidR="00830B13" w:rsidRPr="0038442F" w:rsidRDefault="00685AC6" w:rsidP="00685AC6">
      <w:pPr>
        <w:pStyle w:val="Prrafodelista"/>
        <w:spacing w:line="240" w:lineRule="auto"/>
        <w:ind w:left="0"/>
        <w:jc w:val="both"/>
        <w:rPr>
          <w:rStyle w:val="sb8d990e2"/>
          <w:rFonts w:ascii="Verdana" w:hAnsi="Verdana"/>
          <w:bCs/>
          <w:sz w:val="20"/>
          <w:szCs w:val="20"/>
          <w:lang w:val="pt-BR"/>
        </w:rPr>
      </w:pPr>
      <w:r w:rsidRPr="0038442F">
        <w:rPr>
          <w:rStyle w:val="sb8d990e2"/>
          <w:rFonts w:ascii="Verdana" w:hAnsi="Verdana"/>
          <w:bCs/>
          <w:sz w:val="20"/>
          <w:szCs w:val="20"/>
          <w:lang w:val="pt-BR"/>
        </w:rPr>
        <w:t xml:space="preserve">51. </w:t>
      </w:r>
      <w:r w:rsidRPr="0038442F">
        <w:rPr>
          <w:rStyle w:val="sb8d990e2"/>
          <w:rFonts w:ascii="Verdana" w:hAnsi="Verdana"/>
          <w:bCs/>
          <w:sz w:val="20"/>
          <w:szCs w:val="20"/>
          <w:lang w:val="pt-BR"/>
        </w:rPr>
        <w:tab/>
      </w:r>
      <w:r w:rsidR="00247F19" w:rsidRPr="0038442F">
        <w:rPr>
          <w:rStyle w:val="sb8d990e2"/>
          <w:rFonts w:ascii="Verdana" w:hAnsi="Verdana"/>
          <w:bCs/>
          <w:sz w:val="20"/>
          <w:szCs w:val="20"/>
          <w:lang w:val="pt-BR"/>
        </w:rPr>
        <w:t>Quanto à execução dessa medida, além do exposto na sentença,</w:t>
      </w:r>
      <w:r w:rsidR="00247F19" w:rsidRPr="0038442F">
        <w:rPr>
          <w:rStyle w:val="Refdenotaalpie"/>
          <w:rFonts w:ascii="Verdana" w:hAnsi="Verdana"/>
          <w:bCs/>
          <w:sz w:val="20"/>
          <w:szCs w:val="20"/>
          <w:lang w:val="pt-BR"/>
        </w:rPr>
        <w:footnoteReference w:id="83"/>
      </w:r>
      <w:r w:rsidR="00247F19" w:rsidRPr="0038442F">
        <w:rPr>
          <w:rStyle w:val="sb8d990e2"/>
          <w:rFonts w:ascii="Verdana" w:hAnsi="Verdana"/>
          <w:bCs/>
          <w:sz w:val="20"/>
          <w:szCs w:val="20"/>
          <w:lang w:val="pt-BR"/>
        </w:rPr>
        <w:t xml:space="preserve"> por exemplo, poderiam ser ilustrativos e não limitativos alguns parâmetros dispostos pelo Comitê Europeu, nos quais especificou que, para avaliar o artigo 3 da Carta Social Europeia, é necessário que se proporcionem: i) estatísticas sobre o número de estabelecimentos que recebem visitas de inspeção e o número de pessoas que empregam; ii) cifras atualizadas sobre a contratação de pessoas para a inspeção de trabalho e o número de visitas realizadas, iii) descumprimentos constatados e penalidades impostas; e iv) a proporção de trabalhadores compreendidos nas inspeções em comparação com a força total de trabalho.</w:t>
      </w:r>
      <w:r w:rsidR="00247F19" w:rsidRPr="0038442F">
        <w:rPr>
          <w:rStyle w:val="Refdenotaalpie"/>
          <w:rFonts w:ascii="Verdana" w:hAnsi="Verdana"/>
          <w:bCs/>
          <w:sz w:val="20"/>
          <w:szCs w:val="20"/>
          <w:lang w:val="pt-BR"/>
        </w:rPr>
        <w:footnoteReference w:id="84"/>
      </w:r>
      <w:r w:rsidR="00247F19" w:rsidRPr="0038442F">
        <w:rPr>
          <w:rStyle w:val="sb8d990e2"/>
          <w:rFonts w:ascii="Verdana" w:hAnsi="Verdana"/>
          <w:bCs/>
          <w:sz w:val="20"/>
          <w:szCs w:val="20"/>
          <w:lang w:val="pt-BR"/>
        </w:rPr>
        <w:t xml:space="preserve"> </w:t>
      </w:r>
    </w:p>
    <w:p w14:paraId="253764F5" w14:textId="77777777" w:rsidR="0082271F" w:rsidRPr="0038442F" w:rsidRDefault="0082271F" w:rsidP="00685AC6">
      <w:pPr>
        <w:pStyle w:val="Prrafodelista"/>
        <w:spacing w:line="240" w:lineRule="auto"/>
        <w:ind w:left="0"/>
        <w:jc w:val="both"/>
        <w:rPr>
          <w:rFonts w:ascii="Verdana" w:hAnsi="Verdana"/>
          <w:bCs/>
          <w:sz w:val="20"/>
          <w:szCs w:val="20"/>
          <w:lang w:val="pt-BR"/>
        </w:rPr>
      </w:pPr>
    </w:p>
    <w:p w14:paraId="5928CAC4" w14:textId="5EA4BE89" w:rsidR="00815F66" w:rsidRPr="0038442F" w:rsidRDefault="001523D1" w:rsidP="00B979B2">
      <w:pPr>
        <w:snapToGrid w:val="0"/>
        <w:jc w:val="center"/>
        <w:rPr>
          <w:rFonts w:ascii="Verdana" w:hAnsi="Verdana"/>
          <w:b/>
          <w:bCs/>
          <w:sz w:val="20"/>
          <w:szCs w:val="20"/>
          <w:lang w:val="pt-BR"/>
        </w:rPr>
      </w:pPr>
      <w:r w:rsidRPr="0038442F">
        <w:rPr>
          <w:rFonts w:ascii="Verdana" w:hAnsi="Verdana"/>
          <w:b/>
          <w:bCs/>
          <w:sz w:val="20"/>
          <w:szCs w:val="20"/>
          <w:lang w:val="pt-BR"/>
        </w:rPr>
        <w:t xml:space="preserve">III. </w:t>
      </w:r>
      <w:r w:rsidR="00981CF8" w:rsidRPr="0038442F">
        <w:rPr>
          <w:rFonts w:ascii="Verdana" w:hAnsi="Verdana"/>
          <w:b/>
          <w:bCs/>
          <w:sz w:val="20"/>
          <w:szCs w:val="20"/>
          <w:lang w:val="pt-BR"/>
        </w:rPr>
        <w:t>A POBREZA COMO PARTE DA CONDI</w:t>
      </w:r>
      <w:r w:rsidRPr="0038442F">
        <w:rPr>
          <w:rFonts w:ascii="Verdana" w:hAnsi="Verdana"/>
          <w:b/>
          <w:bCs/>
          <w:sz w:val="20"/>
          <w:szCs w:val="20"/>
          <w:lang w:val="pt-BR"/>
        </w:rPr>
        <w:t xml:space="preserve">ÇÃO </w:t>
      </w:r>
      <w:r w:rsidR="00981CF8" w:rsidRPr="0038442F">
        <w:rPr>
          <w:rFonts w:ascii="Verdana" w:hAnsi="Verdana"/>
          <w:b/>
          <w:bCs/>
          <w:sz w:val="20"/>
          <w:szCs w:val="20"/>
          <w:lang w:val="pt-BR"/>
        </w:rPr>
        <w:t>ECON</w:t>
      </w:r>
      <w:r w:rsidRPr="0038442F">
        <w:rPr>
          <w:rFonts w:ascii="Verdana" w:hAnsi="Verdana"/>
          <w:b/>
          <w:bCs/>
          <w:sz w:val="20"/>
          <w:szCs w:val="20"/>
          <w:lang w:val="pt-BR"/>
        </w:rPr>
        <w:t>Ô</w:t>
      </w:r>
      <w:r w:rsidR="00981CF8" w:rsidRPr="0038442F">
        <w:rPr>
          <w:rFonts w:ascii="Verdana" w:hAnsi="Verdana"/>
          <w:b/>
          <w:bCs/>
          <w:sz w:val="20"/>
          <w:szCs w:val="20"/>
          <w:lang w:val="pt-BR"/>
        </w:rPr>
        <w:t>MICA</w:t>
      </w:r>
      <w:r w:rsidR="00815F66" w:rsidRPr="0038442F">
        <w:rPr>
          <w:rFonts w:ascii="Verdana" w:hAnsi="Verdana"/>
          <w:b/>
          <w:bCs/>
          <w:sz w:val="20"/>
          <w:szCs w:val="20"/>
          <w:lang w:val="pt-BR"/>
        </w:rPr>
        <w:t xml:space="preserve"> </w:t>
      </w:r>
      <w:r w:rsidRPr="0038442F">
        <w:rPr>
          <w:rFonts w:ascii="Verdana" w:hAnsi="Verdana"/>
          <w:b/>
          <w:bCs/>
          <w:sz w:val="20"/>
          <w:szCs w:val="20"/>
          <w:lang w:val="pt-BR"/>
        </w:rPr>
        <w:t>E</w:t>
      </w:r>
      <w:r w:rsidR="00B15EEE" w:rsidRPr="0038442F">
        <w:rPr>
          <w:rFonts w:ascii="Verdana" w:hAnsi="Verdana"/>
          <w:b/>
          <w:bCs/>
          <w:sz w:val="20"/>
          <w:szCs w:val="20"/>
          <w:lang w:val="pt-BR"/>
        </w:rPr>
        <w:t xml:space="preserve"> </w:t>
      </w:r>
      <w:r w:rsidR="00815F66" w:rsidRPr="0038442F">
        <w:rPr>
          <w:rFonts w:ascii="Verdana" w:hAnsi="Verdana"/>
          <w:b/>
          <w:bCs/>
          <w:sz w:val="20"/>
          <w:szCs w:val="20"/>
          <w:lang w:val="pt-BR"/>
        </w:rPr>
        <w:t>A DISCRIMINA</w:t>
      </w:r>
      <w:r w:rsidRPr="0038442F">
        <w:rPr>
          <w:rFonts w:ascii="Verdana" w:hAnsi="Verdana"/>
          <w:b/>
          <w:bCs/>
          <w:sz w:val="20"/>
          <w:szCs w:val="20"/>
          <w:lang w:val="pt-BR"/>
        </w:rPr>
        <w:t xml:space="preserve">ÇÃO </w:t>
      </w:r>
      <w:r w:rsidR="00815F66" w:rsidRPr="0038442F">
        <w:rPr>
          <w:rFonts w:ascii="Verdana" w:hAnsi="Verdana"/>
          <w:b/>
          <w:bCs/>
          <w:sz w:val="20"/>
          <w:szCs w:val="20"/>
          <w:lang w:val="pt-BR"/>
        </w:rPr>
        <w:t xml:space="preserve">ESTRUTURAL E INTERSECIONAL: </w:t>
      </w:r>
      <w:r w:rsidR="00B15EEE" w:rsidRPr="0038442F">
        <w:rPr>
          <w:rFonts w:ascii="Verdana" w:hAnsi="Verdana"/>
          <w:b/>
          <w:bCs/>
          <w:sz w:val="20"/>
          <w:szCs w:val="20"/>
          <w:lang w:val="pt-BR"/>
        </w:rPr>
        <w:t>D</w:t>
      </w:r>
      <w:r w:rsidRPr="0038442F">
        <w:rPr>
          <w:rFonts w:ascii="Verdana" w:hAnsi="Verdana"/>
          <w:b/>
          <w:bCs/>
          <w:sz w:val="20"/>
          <w:szCs w:val="20"/>
          <w:lang w:val="pt-BR"/>
        </w:rPr>
        <w:t>OS</w:t>
      </w:r>
      <w:r w:rsidR="003B308E" w:rsidRPr="0038442F">
        <w:rPr>
          <w:rFonts w:ascii="Verdana" w:hAnsi="Verdana"/>
          <w:b/>
          <w:bCs/>
          <w:sz w:val="20"/>
          <w:szCs w:val="20"/>
          <w:lang w:val="pt-BR"/>
        </w:rPr>
        <w:t xml:space="preserve"> </w:t>
      </w:r>
      <w:r w:rsidR="003B308E" w:rsidRPr="0038442F">
        <w:rPr>
          <w:rFonts w:ascii="Verdana" w:hAnsi="Verdana"/>
          <w:b/>
          <w:bCs/>
          <w:i/>
          <w:sz w:val="20"/>
          <w:szCs w:val="20"/>
          <w:lang w:val="pt-BR"/>
        </w:rPr>
        <w:t>TRABA</w:t>
      </w:r>
      <w:r w:rsidRPr="0038442F">
        <w:rPr>
          <w:rFonts w:ascii="Verdana" w:hAnsi="Verdana"/>
          <w:b/>
          <w:bCs/>
          <w:i/>
          <w:sz w:val="20"/>
          <w:szCs w:val="20"/>
          <w:lang w:val="pt-BR"/>
        </w:rPr>
        <w:t>LH</w:t>
      </w:r>
      <w:r w:rsidR="003B308E" w:rsidRPr="0038442F">
        <w:rPr>
          <w:rFonts w:ascii="Verdana" w:hAnsi="Verdana"/>
          <w:b/>
          <w:bCs/>
          <w:i/>
          <w:sz w:val="20"/>
          <w:szCs w:val="20"/>
          <w:lang w:val="pt-BR"/>
        </w:rPr>
        <w:t>ADOR</w:t>
      </w:r>
      <w:r w:rsidR="0081208F" w:rsidRPr="0038442F">
        <w:rPr>
          <w:rFonts w:ascii="Verdana" w:hAnsi="Verdana"/>
          <w:b/>
          <w:bCs/>
          <w:i/>
          <w:sz w:val="20"/>
          <w:szCs w:val="20"/>
          <w:lang w:val="pt-BR"/>
        </w:rPr>
        <w:t>E</w:t>
      </w:r>
      <w:r w:rsidR="003B308E" w:rsidRPr="0038442F">
        <w:rPr>
          <w:rFonts w:ascii="Verdana" w:hAnsi="Verdana"/>
          <w:b/>
          <w:bCs/>
          <w:i/>
          <w:sz w:val="20"/>
          <w:szCs w:val="20"/>
          <w:lang w:val="pt-BR"/>
        </w:rPr>
        <w:t>S D</w:t>
      </w:r>
      <w:r w:rsidRPr="0038442F">
        <w:rPr>
          <w:rFonts w:ascii="Verdana" w:hAnsi="Verdana"/>
          <w:b/>
          <w:bCs/>
          <w:i/>
          <w:sz w:val="20"/>
          <w:szCs w:val="20"/>
          <w:lang w:val="pt-BR"/>
        </w:rPr>
        <w:t>A</w:t>
      </w:r>
      <w:r w:rsidR="00B15EEE" w:rsidRPr="0038442F">
        <w:rPr>
          <w:rFonts w:ascii="Verdana" w:hAnsi="Verdana"/>
          <w:b/>
          <w:bCs/>
          <w:i/>
          <w:sz w:val="20"/>
          <w:szCs w:val="20"/>
          <w:lang w:val="pt-BR"/>
        </w:rPr>
        <w:t xml:space="preserve"> </w:t>
      </w:r>
      <w:r w:rsidRPr="0038442F">
        <w:rPr>
          <w:rFonts w:ascii="Verdana" w:hAnsi="Verdana"/>
          <w:b/>
          <w:bCs/>
          <w:i/>
          <w:sz w:val="20"/>
          <w:szCs w:val="20"/>
          <w:lang w:val="pt-BR"/>
        </w:rPr>
        <w:t xml:space="preserve">FAZENDA </w:t>
      </w:r>
      <w:r w:rsidR="00815F66" w:rsidRPr="0038442F">
        <w:rPr>
          <w:rFonts w:ascii="Verdana" w:hAnsi="Verdana"/>
          <w:b/>
          <w:bCs/>
          <w:i/>
          <w:sz w:val="20"/>
          <w:szCs w:val="20"/>
          <w:lang w:val="pt-BR"/>
        </w:rPr>
        <w:t>BRASIL VERDE</w:t>
      </w:r>
      <w:r w:rsidR="00815F66" w:rsidRPr="0038442F">
        <w:rPr>
          <w:rFonts w:ascii="Verdana" w:hAnsi="Verdana"/>
          <w:b/>
          <w:bCs/>
          <w:sz w:val="20"/>
          <w:szCs w:val="20"/>
          <w:lang w:val="pt-BR"/>
        </w:rPr>
        <w:t xml:space="preserve"> </w:t>
      </w:r>
      <w:r w:rsidRPr="0038442F">
        <w:rPr>
          <w:rFonts w:ascii="Verdana" w:hAnsi="Verdana"/>
          <w:b/>
          <w:bCs/>
          <w:i/>
          <w:sz w:val="20"/>
          <w:szCs w:val="20"/>
          <w:lang w:val="pt-BR"/>
        </w:rPr>
        <w:t>AOS EMPREGADOS DA</w:t>
      </w:r>
      <w:r w:rsidRPr="0038442F">
        <w:rPr>
          <w:rFonts w:ascii="Verdana" w:hAnsi="Verdana"/>
          <w:b/>
          <w:bCs/>
          <w:sz w:val="20"/>
          <w:szCs w:val="20"/>
          <w:lang w:val="pt-BR"/>
        </w:rPr>
        <w:t xml:space="preserve"> </w:t>
      </w:r>
      <w:r w:rsidR="00815F66" w:rsidRPr="0038442F">
        <w:rPr>
          <w:rFonts w:ascii="Verdana" w:hAnsi="Verdana"/>
          <w:b/>
          <w:bCs/>
          <w:i/>
          <w:sz w:val="20"/>
          <w:szCs w:val="20"/>
          <w:lang w:val="pt-BR"/>
        </w:rPr>
        <w:t>F</w:t>
      </w:r>
      <w:r w:rsidR="009C4046" w:rsidRPr="0038442F">
        <w:rPr>
          <w:rFonts w:ascii="Verdana" w:hAnsi="Verdana"/>
          <w:b/>
          <w:bCs/>
          <w:i/>
          <w:sz w:val="20"/>
          <w:szCs w:val="20"/>
          <w:lang w:val="pt-BR"/>
        </w:rPr>
        <w:t>Á</w:t>
      </w:r>
      <w:r w:rsidR="00815F66" w:rsidRPr="0038442F">
        <w:rPr>
          <w:rFonts w:ascii="Verdana" w:hAnsi="Verdana"/>
          <w:b/>
          <w:bCs/>
          <w:i/>
          <w:sz w:val="20"/>
          <w:szCs w:val="20"/>
          <w:lang w:val="pt-BR"/>
        </w:rPr>
        <w:t>BRICA DE F</w:t>
      </w:r>
      <w:r w:rsidRPr="0038442F">
        <w:rPr>
          <w:rFonts w:ascii="Verdana" w:hAnsi="Verdana"/>
          <w:b/>
          <w:bCs/>
          <w:i/>
          <w:sz w:val="20"/>
          <w:szCs w:val="20"/>
          <w:lang w:val="pt-BR"/>
        </w:rPr>
        <w:t>O</w:t>
      </w:r>
      <w:r w:rsidR="00815F66" w:rsidRPr="0038442F">
        <w:rPr>
          <w:rFonts w:ascii="Verdana" w:hAnsi="Verdana"/>
          <w:b/>
          <w:bCs/>
          <w:i/>
          <w:sz w:val="20"/>
          <w:szCs w:val="20"/>
          <w:lang w:val="pt-BR"/>
        </w:rPr>
        <w:t>GOS</w:t>
      </w:r>
      <w:r w:rsidR="00815F66" w:rsidRPr="0038442F">
        <w:rPr>
          <w:rFonts w:ascii="Verdana" w:hAnsi="Verdana"/>
          <w:b/>
          <w:bCs/>
          <w:sz w:val="20"/>
          <w:szCs w:val="20"/>
          <w:lang w:val="pt-BR"/>
        </w:rPr>
        <w:t xml:space="preserve"> </w:t>
      </w:r>
    </w:p>
    <w:p w14:paraId="0CF7B126" w14:textId="77777777" w:rsidR="00815F66" w:rsidRPr="0038442F" w:rsidRDefault="00815F66" w:rsidP="00A857CB">
      <w:pPr>
        <w:jc w:val="center"/>
        <w:rPr>
          <w:rFonts w:ascii="Verdana" w:hAnsi="Verdana"/>
          <w:b/>
          <w:bCs/>
          <w:sz w:val="20"/>
          <w:szCs w:val="20"/>
          <w:lang w:val="pt-BR"/>
        </w:rPr>
      </w:pPr>
    </w:p>
    <w:p w14:paraId="1553C085" w14:textId="0EEB2B61" w:rsidR="00D83EEF" w:rsidRPr="0038442F" w:rsidRDefault="00815F66" w:rsidP="00A857CB">
      <w:pPr>
        <w:rPr>
          <w:rFonts w:ascii="Verdana" w:hAnsi="Verdana"/>
          <w:b/>
          <w:i/>
          <w:sz w:val="20"/>
          <w:szCs w:val="20"/>
          <w:lang w:val="pt-BR"/>
        </w:rPr>
      </w:pPr>
      <w:r w:rsidRPr="0038442F">
        <w:rPr>
          <w:rFonts w:ascii="Verdana" w:hAnsi="Verdana"/>
          <w:b/>
          <w:i/>
          <w:sz w:val="20"/>
          <w:szCs w:val="20"/>
          <w:lang w:val="pt-BR"/>
        </w:rPr>
        <w:t xml:space="preserve">A. </w:t>
      </w:r>
      <w:r w:rsidR="001523D1" w:rsidRPr="0038442F">
        <w:rPr>
          <w:rFonts w:ascii="Verdana" w:hAnsi="Verdana"/>
          <w:b/>
          <w:i/>
          <w:sz w:val="20"/>
          <w:szCs w:val="20"/>
          <w:lang w:val="pt-BR"/>
        </w:rPr>
        <w:t>O</w:t>
      </w:r>
      <w:r w:rsidR="003B308E" w:rsidRPr="0038442F">
        <w:rPr>
          <w:rFonts w:ascii="Verdana" w:hAnsi="Verdana"/>
          <w:b/>
          <w:i/>
          <w:sz w:val="20"/>
          <w:szCs w:val="20"/>
          <w:lang w:val="pt-BR"/>
        </w:rPr>
        <w:t xml:space="preserve"> antes </w:t>
      </w:r>
      <w:r w:rsidR="001523D1" w:rsidRPr="0038442F">
        <w:rPr>
          <w:rFonts w:ascii="Verdana" w:hAnsi="Verdana"/>
          <w:b/>
          <w:i/>
          <w:sz w:val="20"/>
          <w:szCs w:val="20"/>
          <w:lang w:val="pt-BR"/>
        </w:rPr>
        <w:t xml:space="preserve">e o depois do Caso Trabalhadores </w:t>
      </w:r>
      <w:r w:rsidR="00C92762" w:rsidRPr="0038442F">
        <w:rPr>
          <w:rFonts w:ascii="Verdana" w:hAnsi="Verdana"/>
          <w:b/>
          <w:i/>
          <w:sz w:val="20"/>
          <w:szCs w:val="20"/>
          <w:lang w:val="pt-BR"/>
        </w:rPr>
        <w:t xml:space="preserve">da </w:t>
      </w:r>
      <w:r w:rsidR="001523D1" w:rsidRPr="0038442F">
        <w:rPr>
          <w:rFonts w:ascii="Verdana" w:hAnsi="Verdana"/>
          <w:b/>
          <w:i/>
          <w:sz w:val="20"/>
          <w:szCs w:val="20"/>
          <w:lang w:val="pt-BR"/>
        </w:rPr>
        <w:t xml:space="preserve">Fazenda </w:t>
      </w:r>
      <w:r w:rsidR="003B308E" w:rsidRPr="0038442F">
        <w:rPr>
          <w:rFonts w:ascii="Verdana" w:hAnsi="Verdana"/>
          <w:b/>
          <w:i/>
          <w:sz w:val="20"/>
          <w:szCs w:val="20"/>
          <w:lang w:val="pt-BR"/>
        </w:rPr>
        <w:t>Brasil Verde</w:t>
      </w:r>
    </w:p>
    <w:p w14:paraId="490D6D42" w14:textId="77777777" w:rsidR="00B56DB7" w:rsidRPr="0038442F" w:rsidRDefault="00B56DB7" w:rsidP="00A857CB">
      <w:pPr>
        <w:jc w:val="both"/>
        <w:rPr>
          <w:rFonts w:ascii="Verdana" w:hAnsi="Verdana"/>
          <w:b/>
          <w:bCs/>
          <w:sz w:val="20"/>
          <w:szCs w:val="20"/>
          <w:lang w:val="pt-BR"/>
        </w:rPr>
      </w:pPr>
    </w:p>
    <w:p w14:paraId="232546A2" w14:textId="0B0EC3A6" w:rsidR="005C7ABA" w:rsidRPr="0038442F" w:rsidRDefault="00685AC6" w:rsidP="00685AC6">
      <w:pPr>
        <w:pStyle w:val="Prrafodelista"/>
        <w:spacing w:after="0" w:line="240" w:lineRule="auto"/>
        <w:ind w:left="0"/>
        <w:jc w:val="both"/>
        <w:rPr>
          <w:rFonts w:ascii="Verdana" w:hAnsi="Verdana" w:cs="Times New Roman"/>
          <w:sz w:val="20"/>
          <w:szCs w:val="20"/>
          <w:lang w:val="pt-BR"/>
        </w:rPr>
      </w:pPr>
      <w:r w:rsidRPr="0038442F">
        <w:rPr>
          <w:rFonts w:ascii="Verdana" w:hAnsi="Verdana"/>
          <w:sz w:val="20"/>
          <w:szCs w:val="20"/>
          <w:lang w:val="pt-BR"/>
        </w:rPr>
        <w:t xml:space="preserve">52. </w:t>
      </w:r>
      <w:r w:rsidRPr="0038442F">
        <w:rPr>
          <w:rFonts w:ascii="Verdana" w:hAnsi="Verdana"/>
          <w:sz w:val="20"/>
          <w:szCs w:val="20"/>
          <w:lang w:val="pt-BR"/>
        </w:rPr>
        <w:tab/>
      </w:r>
      <w:r w:rsidR="005C7ABA" w:rsidRPr="0038442F">
        <w:rPr>
          <w:rFonts w:ascii="Verdana" w:hAnsi="Verdana"/>
          <w:sz w:val="20"/>
          <w:szCs w:val="20"/>
          <w:lang w:val="pt-BR"/>
        </w:rPr>
        <w:t>Como p</w:t>
      </w:r>
      <w:r w:rsidR="00DC1756" w:rsidRPr="0038442F">
        <w:rPr>
          <w:rFonts w:ascii="Verdana" w:hAnsi="Verdana"/>
          <w:sz w:val="20"/>
          <w:szCs w:val="20"/>
          <w:lang w:val="pt-BR"/>
        </w:rPr>
        <w:t>o</w:t>
      </w:r>
      <w:r w:rsidR="005C7ABA" w:rsidRPr="0038442F">
        <w:rPr>
          <w:rFonts w:ascii="Verdana" w:hAnsi="Verdana"/>
          <w:sz w:val="20"/>
          <w:szCs w:val="20"/>
          <w:lang w:val="pt-BR"/>
        </w:rPr>
        <w:t>nto de partida d</w:t>
      </w:r>
      <w:r w:rsidR="00DC1756" w:rsidRPr="0038442F">
        <w:rPr>
          <w:rFonts w:ascii="Verdana" w:hAnsi="Verdana"/>
          <w:sz w:val="20"/>
          <w:szCs w:val="20"/>
          <w:lang w:val="pt-BR"/>
        </w:rPr>
        <w:t>a</w:t>
      </w:r>
      <w:r w:rsidR="005C7ABA" w:rsidRPr="0038442F">
        <w:rPr>
          <w:rFonts w:ascii="Verdana" w:hAnsi="Verdana"/>
          <w:sz w:val="20"/>
          <w:szCs w:val="20"/>
          <w:lang w:val="pt-BR"/>
        </w:rPr>
        <w:t xml:space="preserve"> anális</w:t>
      </w:r>
      <w:r w:rsidR="00DC1756" w:rsidRPr="0038442F">
        <w:rPr>
          <w:rFonts w:ascii="Verdana" w:hAnsi="Verdana"/>
          <w:sz w:val="20"/>
          <w:szCs w:val="20"/>
          <w:lang w:val="pt-BR"/>
        </w:rPr>
        <w:t>e</w:t>
      </w:r>
      <w:r w:rsidR="005C7ABA"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5C7ABA" w:rsidRPr="0038442F">
        <w:rPr>
          <w:rFonts w:ascii="Verdana" w:hAnsi="Verdana"/>
          <w:sz w:val="20"/>
          <w:szCs w:val="20"/>
          <w:lang w:val="pt-BR"/>
        </w:rPr>
        <w:t xml:space="preserve">pobreza dentro </w:t>
      </w:r>
      <w:r w:rsidR="00C92762" w:rsidRPr="0038442F">
        <w:rPr>
          <w:rFonts w:ascii="Verdana" w:hAnsi="Verdana"/>
          <w:sz w:val="20"/>
          <w:szCs w:val="20"/>
          <w:lang w:val="pt-BR"/>
        </w:rPr>
        <w:t xml:space="preserve">das </w:t>
      </w:r>
      <w:r w:rsidR="005C7ABA" w:rsidRPr="0038442F">
        <w:rPr>
          <w:rFonts w:ascii="Verdana" w:hAnsi="Verdana"/>
          <w:sz w:val="20"/>
          <w:szCs w:val="20"/>
          <w:lang w:val="pt-BR"/>
        </w:rPr>
        <w:t>categor</w:t>
      </w:r>
      <w:r w:rsidR="00DC1756" w:rsidRPr="0038442F">
        <w:rPr>
          <w:rFonts w:ascii="Verdana" w:hAnsi="Verdana"/>
          <w:sz w:val="20"/>
          <w:szCs w:val="20"/>
          <w:lang w:val="pt-BR"/>
        </w:rPr>
        <w:t>i</w:t>
      </w:r>
      <w:r w:rsidR="005C7ABA" w:rsidRPr="0038442F">
        <w:rPr>
          <w:rFonts w:ascii="Verdana" w:hAnsi="Verdana"/>
          <w:sz w:val="20"/>
          <w:szCs w:val="20"/>
          <w:lang w:val="pt-BR"/>
        </w:rPr>
        <w:t xml:space="preserve">as </w:t>
      </w:r>
      <w:r w:rsidR="003B308E" w:rsidRPr="0038442F">
        <w:rPr>
          <w:rFonts w:ascii="Verdana" w:hAnsi="Verdana"/>
          <w:sz w:val="20"/>
          <w:szCs w:val="20"/>
          <w:lang w:val="pt-BR"/>
        </w:rPr>
        <w:t xml:space="preserve">de </w:t>
      </w:r>
      <w:r w:rsidR="005C7ABA" w:rsidRPr="0038442F">
        <w:rPr>
          <w:rFonts w:ascii="Verdana" w:hAnsi="Verdana"/>
          <w:sz w:val="20"/>
          <w:szCs w:val="20"/>
          <w:lang w:val="pt-BR"/>
        </w:rPr>
        <w:t>proibi</w:t>
      </w:r>
      <w:r w:rsidR="000A1AA8" w:rsidRPr="0038442F">
        <w:rPr>
          <w:rFonts w:ascii="Verdana" w:hAnsi="Verdana"/>
          <w:sz w:val="20"/>
          <w:szCs w:val="20"/>
          <w:lang w:val="pt-BR"/>
        </w:rPr>
        <w:t>ção</w:t>
      </w:r>
      <w:r w:rsidR="005C7ABA"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5C7ABA" w:rsidRPr="0038442F">
        <w:rPr>
          <w:rFonts w:ascii="Verdana" w:hAnsi="Verdana"/>
          <w:sz w:val="20"/>
          <w:szCs w:val="20"/>
          <w:lang w:val="pt-BR"/>
        </w:rPr>
        <w:t>discrimina</w:t>
      </w:r>
      <w:r w:rsidR="000A1AA8" w:rsidRPr="0038442F">
        <w:rPr>
          <w:rFonts w:ascii="Verdana" w:hAnsi="Verdana"/>
          <w:sz w:val="20"/>
          <w:szCs w:val="20"/>
          <w:lang w:val="pt-BR"/>
        </w:rPr>
        <w:t>ção</w:t>
      </w:r>
      <w:r w:rsidR="005C7ABA" w:rsidRPr="0038442F">
        <w:rPr>
          <w:rFonts w:ascii="Verdana" w:hAnsi="Verdana"/>
          <w:sz w:val="20"/>
          <w:szCs w:val="20"/>
          <w:lang w:val="pt-BR"/>
        </w:rPr>
        <w:t xml:space="preserve">, </w:t>
      </w:r>
      <w:r w:rsidR="00DC1756" w:rsidRPr="0038442F">
        <w:rPr>
          <w:rFonts w:ascii="Verdana" w:hAnsi="Verdana"/>
          <w:sz w:val="20"/>
          <w:szCs w:val="20"/>
          <w:lang w:val="pt-BR"/>
        </w:rPr>
        <w:t xml:space="preserve">é </w:t>
      </w:r>
      <w:r w:rsidR="005C7ABA" w:rsidRPr="0038442F">
        <w:rPr>
          <w:rFonts w:ascii="Verdana" w:hAnsi="Verdana"/>
          <w:sz w:val="20"/>
          <w:szCs w:val="20"/>
          <w:lang w:val="pt-BR"/>
        </w:rPr>
        <w:t>importante retomar as pala</w:t>
      </w:r>
      <w:r w:rsidR="00DC1756" w:rsidRPr="0038442F">
        <w:rPr>
          <w:rFonts w:ascii="Verdana" w:hAnsi="Verdana"/>
          <w:sz w:val="20"/>
          <w:szCs w:val="20"/>
          <w:lang w:val="pt-BR"/>
        </w:rPr>
        <w:t>v</w:t>
      </w:r>
      <w:r w:rsidR="005C7ABA" w:rsidRPr="0038442F">
        <w:rPr>
          <w:rFonts w:ascii="Verdana" w:hAnsi="Verdana"/>
          <w:sz w:val="20"/>
          <w:szCs w:val="20"/>
          <w:lang w:val="pt-BR"/>
        </w:rPr>
        <w:t>ras d</w:t>
      </w:r>
      <w:r w:rsidR="00DC1756" w:rsidRPr="0038442F">
        <w:rPr>
          <w:rFonts w:ascii="Verdana" w:hAnsi="Verdana"/>
          <w:sz w:val="20"/>
          <w:szCs w:val="20"/>
          <w:lang w:val="pt-BR"/>
        </w:rPr>
        <w:t>o</w:t>
      </w:r>
      <w:r w:rsidR="005C7ABA" w:rsidRPr="0038442F">
        <w:rPr>
          <w:rFonts w:ascii="Verdana" w:hAnsi="Verdana"/>
          <w:sz w:val="20"/>
          <w:szCs w:val="20"/>
          <w:lang w:val="pt-BR"/>
        </w:rPr>
        <w:t xml:space="preserve">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5C7ABA" w:rsidRPr="0038442F">
        <w:rPr>
          <w:rFonts w:ascii="Verdana" w:hAnsi="Verdana"/>
          <w:sz w:val="20"/>
          <w:szCs w:val="20"/>
          <w:lang w:val="pt-BR"/>
        </w:rPr>
        <w:t xml:space="preserve">DESC </w:t>
      </w:r>
      <w:r w:rsidR="00DC1756" w:rsidRPr="0038442F">
        <w:rPr>
          <w:rFonts w:ascii="Verdana" w:hAnsi="Verdana"/>
          <w:sz w:val="20"/>
          <w:szCs w:val="20"/>
          <w:lang w:val="pt-BR"/>
        </w:rPr>
        <w:t xml:space="preserve">sobre como </w:t>
      </w:r>
      <w:r w:rsidR="005D1865" w:rsidRPr="0038442F">
        <w:rPr>
          <w:rFonts w:ascii="Verdana" w:hAnsi="Verdana"/>
          <w:sz w:val="20"/>
          <w:szCs w:val="20"/>
          <w:lang w:val="pt-BR"/>
        </w:rPr>
        <w:t xml:space="preserve">se deve </w:t>
      </w:r>
      <w:r w:rsidR="005C7ABA" w:rsidRPr="0038442F">
        <w:rPr>
          <w:rFonts w:ascii="Verdana" w:hAnsi="Verdana"/>
          <w:sz w:val="20"/>
          <w:szCs w:val="20"/>
          <w:lang w:val="pt-BR"/>
        </w:rPr>
        <w:t xml:space="preserve">entender </w:t>
      </w:r>
      <w:r w:rsidR="004C21F3" w:rsidRPr="0038442F">
        <w:rPr>
          <w:rFonts w:ascii="Verdana" w:hAnsi="Verdana"/>
          <w:sz w:val="20"/>
          <w:szCs w:val="20"/>
          <w:lang w:val="pt-BR"/>
        </w:rPr>
        <w:t>a pobreza</w:t>
      </w:r>
      <w:r w:rsidR="005C7ABA" w:rsidRPr="0038442F">
        <w:rPr>
          <w:rFonts w:ascii="Verdana" w:hAnsi="Verdana"/>
          <w:sz w:val="20"/>
          <w:szCs w:val="20"/>
          <w:lang w:val="pt-BR"/>
        </w:rPr>
        <w:t>, consider</w:t>
      </w:r>
      <w:r w:rsidR="00DC1756" w:rsidRPr="0038442F">
        <w:rPr>
          <w:rFonts w:ascii="Verdana" w:hAnsi="Verdana"/>
          <w:sz w:val="20"/>
          <w:szCs w:val="20"/>
          <w:lang w:val="pt-BR"/>
        </w:rPr>
        <w:t>a</w:t>
      </w:r>
      <w:r w:rsidR="005C7ABA" w:rsidRPr="0038442F">
        <w:rPr>
          <w:rFonts w:ascii="Verdana" w:hAnsi="Verdana"/>
          <w:sz w:val="20"/>
          <w:szCs w:val="20"/>
          <w:lang w:val="pt-BR"/>
        </w:rPr>
        <w:t>ndo</w:t>
      </w:r>
      <w:r w:rsidR="00DC1756" w:rsidRPr="0038442F">
        <w:rPr>
          <w:rFonts w:ascii="Verdana" w:hAnsi="Verdana"/>
          <w:sz w:val="20"/>
          <w:szCs w:val="20"/>
          <w:lang w:val="pt-BR"/>
        </w:rPr>
        <w:t>-</w:t>
      </w:r>
      <w:r w:rsidR="005C7ABA" w:rsidRPr="0038442F">
        <w:rPr>
          <w:rFonts w:ascii="Verdana" w:hAnsi="Verdana"/>
          <w:sz w:val="20"/>
          <w:szCs w:val="20"/>
          <w:lang w:val="pt-BR"/>
        </w:rPr>
        <w:t xml:space="preserve">a como </w:t>
      </w:r>
      <w:r w:rsidR="005C7ABA" w:rsidRPr="0038442F">
        <w:rPr>
          <w:rFonts w:ascii="Verdana" w:hAnsi="Verdana" w:cs="Times"/>
          <w:sz w:val="20"/>
          <w:szCs w:val="20"/>
          <w:lang w:val="pt-BR"/>
        </w:rPr>
        <w:t>“</w:t>
      </w:r>
      <w:r w:rsidR="00C92762" w:rsidRPr="0038442F">
        <w:rPr>
          <w:rFonts w:ascii="Verdana" w:hAnsi="Verdana" w:cs="Times"/>
          <w:i/>
          <w:sz w:val="20"/>
          <w:szCs w:val="20"/>
          <w:lang w:val="pt-BR"/>
        </w:rPr>
        <w:t>uma</w:t>
      </w:r>
      <w:r w:rsidR="00407242" w:rsidRPr="0038442F">
        <w:rPr>
          <w:rFonts w:ascii="Verdana" w:hAnsi="Verdana" w:cs="Times"/>
          <w:i/>
          <w:sz w:val="20"/>
          <w:szCs w:val="20"/>
          <w:lang w:val="pt-BR"/>
        </w:rPr>
        <w:t xml:space="preserve"> </w:t>
      </w:r>
      <w:r w:rsidR="005C7ABA" w:rsidRPr="0038442F">
        <w:rPr>
          <w:rFonts w:ascii="Verdana" w:hAnsi="Verdana" w:cs="Times"/>
          <w:i/>
          <w:sz w:val="20"/>
          <w:szCs w:val="20"/>
          <w:lang w:val="pt-BR"/>
        </w:rPr>
        <w:t>condi</w:t>
      </w:r>
      <w:r w:rsidR="000A1AA8" w:rsidRPr="0038442F">
        <w:rPr>
          <w:rFonts w:ascii="Verdana" w:hAnsi="Verdana" w:cs="Times"/>
          <w:i/>
          <w:sz w:val="20"/>
          <w:szCs w:val="20"/>
          <w:lang w:val="pt-BR"/>
        </w:rPr>
        <w:t>ção</w:t>
      </w:r>
      <w:r w:rsidR="005C7ABA" w:rsidRPr="0038442F">
        <w:rPr>
          <w:rFonts w:ascii="Verdana" w:hAnsi="Verdana" w:cs="Times"/>
          <w:i/>
          <w:sz w:val="20"/>
          <w:szCs w:val="20"/>
          <w:lang w:val="pt-BR"/>
        </w:rPr>
        <w:t xml:space="preserve"> humana que se caracteriza </w:t>
      </w:r>
      <w:r w:rsidR="000A1AA8" w:rsidRPr="0038442F">
        <w:rPr>
          <w:rFonts w:ascii="Verdana" w:hAnsi="Verdana" w:cs="Times"/>
          <w:i/>
          <w:sz w:val="20"/>
          <w:szCs w:val="20"/>
          <w:lang w:val="pt-BR"/>
        </w:rPr>
        <w:t xml:space="preserve">pela </w:t>
      </w:r>
      <w:r w:rsidR="005C7ABA" w:rsidRPr="0038442F">
        <w:rPr>
          <w:rFonts w:ascii="Verdana" w:hAnsi="Verdana" w:cs="Times"/>
          <w:i/>
          <w:sz w:val="20"/>
          <w:szCs w:val="20"/>
          <w:lang w:val="pt-BR"/>
        </w:rPr>
        <w:t>priva</w:t>
      </w:r>
      <w:r w:rsidR="000A1AA8" w:rsidRPr="0038442F">
        <w:rPr>
          <w:rFonts w:ascii="Verdana" w:hAnsi="Verdana" w:cs="Times"/>
          <w:i/>
          <w:sz w:val="20"/>
          <w:szCs w:val="20"/>
          <w:lang w:val="pt-BR"/>
        </w:rPr>
        <w:t>ção</w:t>
      </w:r>
      <w:r w:rsidR="005C7ABA" w:rsidRPr="0038442F">
        <w:rPr>
          <w:rFonts w:ascii="Verdana" w:hAnsi="Verdana" w:cs="Times"/>
          <w:i/>
          <w:sz w:val="20"/>
          <w:szCs w:val="20"/>
          <w:lang w:val="pt-BR"/>
        </w:rPr>
        <w:t xml:space="preserve"> cont</w:t>
      </w:r>
      <w:r w:rsidR="00DC1756" w:rsidRPr="0038442F">
        <w:rPr>
          <w:rFonts w:ascii="Verdana" w:hAnsi="Verdana" w:cs="Times"/>
          <w:i/>
          <w:sz w:val="20"/>
          <w:szCs w:val="20"/>
          <w:lang w:val="pt-BR"/>
        </w:rPr>
        <w:t xml:space="preserve">ínua ou crônica </w:t>
      </w:r>
      <w:r w:rsidR="00C92762" w:rsidRPr="0038442F">
        <w:rPr>
          <w:rFonts w:ascii="Verdana" w:hAnsi="Verdana" w:cs="Times"/>
          <w:i/>
          <w:sz w:val="20"/>
          <w:szCs w:val="20"/>
          <w:lang w:val="pt-BR"/>
        </w:rPr>
        <w:t xml:space="preserve">dos </w:t>
      </w:r>
      <w:r w:rsidR="005C7ABA" w:rsidRPr="0038442F">
        <w:rPr>
          <w:rFonts w:ascii="Verdana" w:hAnsi="Verdana" w:cs="Times"/>
          <w:i/>
          <w:sz w:val="20"/>
          <w:szCs w:val="20"/>
          <w:lang w:val="pt-BR"/>
        </w:rPr>
        <w:t>recursos</w:t>
      </w:r>
      <w:r w:rsidR="005C7ABA" w:rsidRPr="0038442F">
        <w:rPr>
          <w:rFonts w:ascii="Verdana" w:hAnsi="Verdana" w:cs="Times"/>
          <w:sz w:val="20"/>
          <w:szCs w:val="20"/>
          <w:lang w:val="pt-BR"/>
        </w:rPr>
        <w:t xml:space="preserve">, </w:t>
      </w:r>
      <w:r w:rsidR="00DC1756" w:rsidRPr="0038442F">
        <w:rPr>
          <w:rFonts w:ascii="Verdana" w:hAnsi="Verdana" w:cs="Times"/>
          <w:i/>
          <w:sz w:val="20"/>
          <w:szCs w:val="20"/>
          <w:lang w:val="pt-BR"/>
        </w:rPr>
        <w:t>d</w:t>
      </w:r>
      <w:r w:rsidR="005C7ABA" w:rsidRPr="0038442F">
        <w:rPr>
          <w:rFonts w:ascii="Verdana" w:hAnsi="Verdana" w:cs="Times"/>
          <w:i/>
          <w:sz w:val="20"/>
          <w:szCs w:val="20"/>
          <w:lang w:val="pt-BR"/>
        </w:rPr>
        <w:t>a capacidad</w:t>
      </w:r>
      <w:r w:rsidR="00DC1756" w:rsidRPr="0038442F">
        <w:rPr>
          <w:rFonts w:ascii="Verdana" w:hAnsi="Verdana" w:cs="Times"/>
          <w:i/>
          <w:sz w:val="20"/>
          <w:szCs w:val="20"/>
          <w:lang w:val="pt-BR"/>
        </w:rPr>
        <w:t>e</w:t>
      </w:r>
      <w:r w:rsidR="005C7ABA" w:rsidRPr="0038442F">
        <w:rPr>
          <w:rFonts w:ascii="Verdana" w:hAnsi="Verdana" w:cs="Times"/>
          <w:i/>
          <w:sz w:val="20"/>
          <w:szCs w:val="20"/>
          <w:lang w:val="pt-BR"/>
        </w:rPr>
        <w:t xml:space="preserve">, </w:t>
      </w:r>
      <w:r w:rsidR="00DC1756" w:rsidRPr="0038442F">
        <w:rPr>
          <w:rFonts w:ascii="Verdana" w:hAnsi="Verdana" w:cs="Times"/>
          <w:i/>
          <w:sz w:val="20"/>
          <w:szCs w:val="20"/>
          <w:lang w:val="pt-BR"/>
        </w:rPr>
        <w:t>d</w:t>
      </w:r>
      <w:r w:rsidR="005C7ABA" w:rsidRPr="0038442F">
        <w:rPr>
          <w:rFonts w:ascii="Verdana" w:hAnsi="Verdana" w:cs="Times"/>
          <w:i/>
          <w:sz w:val="20"/>
          <w:szCs w:val="20"/>
          <w:lang w:val="pt-BR"/>
        </w:rPr>
        <w:t>as op</w:t>
      </w:r>
      <w:r w:rsidR="000A1AA8" w:rsidRPr="0038442F">
        <w:rPr>
          <w:rFonts w:ascii="Verdana" w:hAnsi="Verdana" w:cs="Times"/>
          <w:i/>
          <w:sz w:val="20"/>
          <w:szCs w:val="20"/>
          <w:lang w:val="pt-BR"/>
        </w:rPr>
        <w:t>ções</w:t>
      </w:r>
      <w:r w:rsidR="005C7ABA" w:rsidRPr="0038442F">
        <w:rPr>
          <w:rFonts w:ascii="Verdana" w:hAnsi="Verdana" w:cs="Times"/>
          <w:i/>
          <w:sz w:val="20"/>
          <w:szCs w:val="20"/>
          <w:lang w:val="pt-BR"/>
        </w:rPr>
        <w:t xml:space="preserve">, </w:t>
      </w:r>
      <w:r w:rsidR="00DC1756" w:rsidRPr="0038442F">
        <w:rPr>
          <w:rFonts w:ascii="Verdana" w:hAnsi="Verdana" w:cs="Times"/>
          <w:i/>
          <w:sz w:val="20"/>
          <w:szCs w:val="20"/>
          <w:lang w:val="pt-BR"/>
        </w:rPr>
        <w:t>d</w:t>
      </w:r>
      <w:r w:rsidR="005C7ABA" w:rsidRPr="0038442F">
        <w:rPr>
          <w:rFonts w:ascii="Verdana" w:hAnsi="Verdana" w:cs="Times"/>
          <w:i/>
          <w:sz w:val="20"/>
          <w:szCs w:val="20"/>
          <w:lang w:val="pt-BR"/>
        </w:rPr>
        <w:t xml:space="preserve">a </w:t>
      </w:r>
      <w:r w:rsidR="008806F8" w:rsidRPr="0038442F">
        <w:rPr>
          <w:rFonts w:ascii="Verdana" w:hAnsi="Verdana" w:cs="Times"/>
          <w:i/>
          <w:sz w:val="20"/>
          <w:szCs w:val="20"/>
          <w:lang w:val="pt-BR"/>
        </w:rPr>
        <w:t>segurança</w:t>
      </w:r>
      <w:r w:rsidR="00407242" w:rsidRPr="0038442F">
        <w:rPr>
          <w:rFonts w:ascii="Verdana" w:hAnsi="Verdana" w:cs="Times"/>
          <w:i/>
          <w:sz w:val="20"/>
          <w:szCs w:val="20"/>
          <w:lang w:val="pt-BR"/>
        </w:rPr>
        <w:t xml:space="preserve"> </w:t>
      </w:r>
      <w:r w:rsidR="00DC1756" w:rsidRPr="0038442F">
        <w:rPr>
          <w:rFonts w:ascii="Verdana" w:hAnsi="Verdana" w:cs="Times"/>
          <w:i/>
          <w:sz w:val="20"/>
          <w:szCs w:val="20"/>
          <w:lang w:val="pt-BR"/>
        </w:rPr>
        <w:t>e</w:t>
      </w:r>
      <w:r w:rsidR="005C7ABA" w:rsidRPr="0038442F">
        <w:rPr>
          <w:rFonts w:ascii="Verdana" w:hAnsi="Verdana" w:cs="Times"/>
          <w:i/>
          <w:sz w:val="20"/>
          <w:szCs w:val="20"/>
          <w:lang w:val="pt-BR"/>
        </w:rPr>
        <w:t xml:space="preserve"> </w:t>
      </w:r>
      <w:r w:rsidR="00DC1756" w:rsidRPr="0038442F">
        <w:rPr>
          <w:rFonts w:ascii="Verdana" w:hAnsi="Verdana" w:cs="Times"/>
          <w:i/>
          <w:sz w:val="20"/>
          <w:szCs w:val="20"/>
          <w:lang w:val="pt-BR"/>
        </w:rPr>
        <w:t xml:space="preserve">do </w:t>
      </w:r>
      <w:r w:rsidR="005C7ABA" w:rsidRPr="0038442F">
        <w:rPr>
          <w:rFonts w:ascii="Verdana" w:hAnsi="Verdana" w:cs="Times"/>
          <w:i/>
          <w:sz w:val="20"/>
          <w:szCs w:val="20"/>
          <w:lang w:val="pt-BR"/>
        </w:rPr>
        <w:t>poder neces</w:t>
      </w:r>
      <w:r w:rsidR="00DC1756" w:rsidRPr="0038442F">
        <w:rPr>
          <w:rFonts w:ascii="Verdana" w:hAnsi="Verdana" w:cs="Times"/>
          <w:i/>
          <w:sz w:val="20"/>
          <w:szCs w:val="20"/>
          <w:lang w:val="pt-BR"/>
        </w:rPr>
        <w:t>sá</w:t>
      </w:r>
      <w:r w:rsidR="005C7ABA" w:rsidRPr="0038442F">
        <w:rPr>
          <w:rFonts w:ascii="Verdana" w:hAnsi="Verdana" w:cs="Times"/>
          <w:i/>
          <w:sz w:val="20"/>
          <w:szCs w:val="20"/>
          <w:lang w:val="pt-BR"/>
        </w:rPr>
        <w:t>rios para d</w:t>
      </w:r>
      <w:r w:rsidR="00DC1756" w:rsidRPr="0038442F">
        <w:rPr>
          <w:rFonts w:ascii="Verdana" w:hAnsi="Verdana" w:cs="Times"/>
          <w:i/>
          <w:sz w:val="20"/>
          <w:szCs w:val="20"/>
          <w:lang w:val="pt-BR"/>
        </w:rPr>
        <w:t>e</w:t>
      </w:r>
      <w:r w:rsidR="005C7ABA" w:rsidRPr="0038442F">
        <w:rPr>
          <w:rFonts w:ascii="Verdana" w:hAnsi="Verdana" w:cs="Times"/>
          <w:i/>
          <w:sz w:val="20"/>
          <w:szCs w:val="20"/>
          <w:lang w:val="pt-BR"/>
        </w:rPr>
        <w:t>sfrutar de u</w:t>
      </w:r>
      <w:r w:rsidR="00DC1756" w:rsidRPr="0038442F">
        <w:rPr>
          <w:rFonts w:ascii="Verdana" w:hAnsi="Verdana" w:cs="Times"/>
          <w:i/>
          <w:sz w:val="20"/>
          <w:szCs w:val="20"/>
          <w:lang w:val="pt-BR"/>
        </w:rPr>
        <w:t xml:space="preserve">m nível </w:t>
      </w:r>
      <w:r w:rsidR="005C7ABA" w:rsidRPr="0038442F">
        <w:rPr>
          <w:rFonts w:ascii="Verdana" w:hAnsi="Verdana" w:cs="Times"/>
          <w:i/>
          <w:sz w:val="20"/>
          <w:szCs w:val="20"/>
          <w:lang w:val="pt-BR"/>
        </w:rPr>
        <w:t>de vida ade</w:t>
      </w:r>
      <w:r w:rsidR="00DC1756" w:rsidRPr="0038442F">
        <w:rPr>
          <w:rFonts w:ascii="Verdana" w:hAnsi="Verdana" w:cs="Times"/>
          <w:i/>
          <w:sz w:val="20"/>
          <w:szCs w:val="20"/>
          <w:lang w:val="pt-BR"/>
        </w:rPr>
        <w:t>q</w:t>
      </w:r>
      <w:r w:rsidR="005C7ABA" w:rsidRPr="0038442F">
        <w:rPr>
          <w:rFonts w:ascii="Verdana" w:hAnsi="Verdana" w:cs="Times"/>
          <w:i/>
          <w:sz w:val="20"/>
          <w:szCs w:val="20"/>
          <w:lang w:val="pt-BR"/>
        </w:rPr>
        <w:t xml:space="preserve">uado </w:t>
      </w:r>
      <w:r w:rsidR="00DC1756" w:rsidRPr="0038442F">
        <w:rPr>
          <w:rFonts w:ascii="Verdana" w:hAnsi="Verdana" w:cs="Times"/>
          <w:i/>
          <w:sz w:val="20"/>
          <w:szCs w:val="20"/>
          <w:lang w:val="pt-BR"/>
        </w:rPr>
        <w:t>e</w:t>
      </w:r>
      <w:r w:rsidR="005C7ABA" w:rsidRPr="0038442F">
        <w:rPr>
          <w:rFonts w:ascii="Verdana" w:hAnsi="Verdana" w:cs="Times"/>
          <w:i/>
          <w:sz w:val="20"/>
          <w:szCs w:val="20"/>
          <w:lang w:val="pt-BR"/>
        </w:rPr>
        <w:t xml:space="preserve"> de </w:t>
      </w:r>
      <w:r w:rsidR="00BC6FC3" w:rsidRPr="0038442F">
        <w:rPr>
          <w:rFonts w:ascii="Verdana" w:hAnsi="Verdana" w:cs="Times"/>
          <w:i/>
          <w:sz w:val="20"/>
          <w:szCs w:val="20"/>
          <w:lang w:val="pt-BR"/>
        </w:rPr>
        <w:t>outros</w:t>
      </w:r>
      <w:r w:rsidR="00407242" w:rsidRPr="0038442F">
        <w:rPr>
          <w:rFonts w:ascii="Verdana" w:hAnsi="Verdana" w:cs="Times"/>
          <w:i/>
          <w:sz w:val="20"/>
          <w:szCs w:val="20"/>
          <w:lang w:val="pt-BR"/>
        </w:rPr>
        <w:t xml:space="preserve"> </w:t>
      </w:r>
      <w:r w:rsidR="000A1AA8" w:rsidRPr="0038442F">
        <w:rPr>
          <w:rFonts w:ascii="Verdana" w:hAnsi="Verdana" w:cs="Times"/>
          <w:i/>
          <w:sz w:val="20"/>
          <w:szCs w:val="20"/>
          <w:lang w:val="pt-BR"/>
        </w:rPr>
        <w:t>direitos</w:t>
      </w:r>
      <w:r w:rsidR="00407242" w:rsidRPr="0038442F">
        <w:rPr>
          <w:rFonts w:ascii="Verdana" w:hAnsi="Verdana" w:cs="Times"/>
          <w:i/>
          <w:sz w:val="20"/>
          <w:szCs w:val="20"/>
          <w:lang w:val="pt-BR"/>
        </w:rPr>
        <w:t xml:space="preserve"> </w:t>
      </w:r>
      <w:r w:rsidR="005C7ABA" w:rsidRPr="0038442F">
        <w:rPr>
          <w:rFonts w:ascii="Verdana" w:hAnsi="Verdana" w:cs="Times"/>
          <w:i/>
          <w:sz w:val="20"/>
          <w:szCs w:val="20"/>
          <w:lang w:val="pt-BR"/>
        </w:rPr>
        <w:t>civis, cultur</w:t>
      </w:r>
      <w:r w:rsidR="00C92762" w:rsidRPr="0038442F">
        <w:rPr>
          <w:rFonts w:ascii="Verdana" w:hAnsi="Verdana" w:cs="Times"/>
          <w:i/>
          <w:sz w:val="20"/>
          <w:szCs w:val="20"/>
          <w:lang w:val="pt-BR"/>
        </w:rPr>
        <w:t>ais</w:t>
      </w:r>
      <w:r w:rsidR="005C7ABA" w:rsidRPr="0038442F">
        <w:rPr>
          <w:rFonts w:ascii="Verdana" w:hAnsi="Verdana" w:cs="Times"/>
          <w:i/>
          <w:sz w:val="20"/>
          <w:szCs w:val="20"/>
          <w:lang w:val="pt-BR"/>
        </w:rPr>
        <w:t xml:space="preserve">, </w:t>
      </w:r>
      <w:r w:rsidR="006A12FD" w:rsidRPr="0038442F">
        <w:rPr>
          <w:rFonts w:ascii="Verdana" w:hAnsi="Verdana" w:cs="Times"/>
          <w:i/>
          <w:sz w:val="20"/>
          <w:szCs w:val="20"/>
          <w:lang w:val="pt-BR"/>
        </w:rPr>
        <w:t>econômic</w:t>
      </w:r>
      <w:r w:rsidR="00DC1756" w:rsidRPr="0038442F">
        <w:rPr>
          <w:rFonts w:ascii="Verdana" w:hAnsi="Verdana" w:cs="Times"/>
          <w:i/>
          <w:sz w:val="20"/>
          <w:szCs w:val="20"/>
          <w:lang w:val="pt-BR"/>
        </w:rPr>
        <w:t>o</w:t>
      </w:r>
      <w:r w:rsidR="006A12FD" w:rsidRPr="0038442F">
        <w:rPr>
          <w:rFonts w:ascii="Verdana" w:hAnsi="Verdana" w:cs="Times"/>
          <w:i/>
          <w:sz w:val="20"/>
          <w:szCs w:val="20"/>
          <w:lang w:val="pt-BR"/>
        </w:rPr>
        <w:t>s</w:t>
      </w:r>
      <w:r w:rsidR="005C7ABA" w:rsidRPr="0038442F">
        <w:rPr>
          <w:rFonts w:ascii="Verdana" w:hAnsi="Verdana" w:cs="Times"/>
          <w:i/>
          <w:sz w:val="20"/>
          <w:szCs w:val="20"/>
          <w:lang w:val="pt-BR"/>
        </w:rPr>
        <w:t xml:space="preserve">, políticos </w:t>
      </w:r>
      <w:r w:rsidR="00DC1756" w:rsidRPr="0038442F">
        <w:rPr>
          <w:rFonts w:ascii="Verdana" w:hAnsi="Verdana" w:cs="Times"/>
          <w:i/>
          <w:sz w:val="20"/>
          <w:szCs w:val="20"/>
          <w:lang w:val="pt-BR"/>
        </w:rPr>
        <w:t>e</w:t>
      </w:r>
      <w:r w:rsidR="005C7ABA" w:rsidRPr="0038442F">
        <w:rPr>
          <w:rFonts w:ascii="Verdana" w:hAnsi="Verdana" w:cs="Times"/>
          <w:i/>
          <w:sz w:val="20"/>
          <w:szCs w:val="20"/>
          <w:lang w:val="pt-BR"/>
        </w:rPr>
        <w:t xml:space="preserve"> soci</w:t>
      </w:r>
      <w:r w:rsidR="00C92762" w:rsidRPr="0038442F">
        <w:rPr>
          <w:rFonts w:ascii="Verdana" w:hAnsi="Verdana" w:cs="Times"/>
          <w:i/>
          <w:sz w:val="20"/>
          <w:szCs w:val="20"/>
          <w:lang w:val="pt-BR"/>
        </w:rPr>
        <w:t>ais</w:t>
      </w:r>
      <w:r w:rsidR="000C4A5F" w:rsidRPr="0038442F">
        <w:rPr>
          <w:rFonts w:ascii="Verdana" w:hAnsi="Verdana" w:cs="Times"/>
          <w:sz w:val="20"/>
          <w:szCs w:val="20"/>
          <w:lang w:val="pt-BR"/>
        </w:rPr>
        <w:t>”</w:t>
      </w:r>
      <w:r w:rsidR="00DC1756" w:rsidRPr="0038442F">
        <w:rPr>
          <w:rFonts w:ascii="Verdana" w:hAnsi="Verdana" w:cs="Times"/>
          <w:sz w:val="20"/>
          <w:szCs w:val="20"/>
          <w:lang w:val="pt-BR"/>
        </w:rPr>
        <w:t>.</w:t>
      </w:r>
      <w:r w:rsidR="005C7ABA" w:rsidRPr="0038442F">
        <w:rPr>
          <w:rStyle w:val="Refdenotaalpie"/>
          <w:rFonts w:ascii="Verdana" w:hAnsi="Verdana"/>
          <w:sz w:val="20"/>
          <w:szCs w:val="20"/>
          <w:lang w:val="pt-BR"/>
        </w:rPr>
        <w:footnoteReference w:id="85"/>
      </w:r>
      <w:r w:rsidR="005C7ABA" w:rsidRPr="0038442F">
        <w:rPr>
          <w:rFonts w:ascii="Verdana" w:hAnsi="Verdana" w:cs="Times"/>
          <w:sz w:val="20"/>
          <w:szCs w:val="20"/>
          <w:lang w:val="pt-BR"/>
        </w:rPr>
        <w:t xml:space="preserve"> </w:t>
      </w:r>
    </w:p>
    <w:p w14:paraId="68137D88" w14:textId="77777777" w:rsidR="005C7ABA" w:rsidRPr="0038442F" w:rsidRDefault="005C7ABA" w:rsidP="00A857CB">
      <w:pPr>
        <w:pStyle w:val="Prrafodelista"/>
        <w:spacing w:after="0" w:line="240" w:lineRule="auto"/>
        <w:ind w:left="0"/>
        <w:jc w:val="both"/>
        <w:rPr>
          <w:rFonts w:ascii="Verdana" w:hAnsi="Verdana" w:cs="Times New Roman"/>
          <w:sz w:val="20"/>
          <w:szCs w:val="20"/>
          <w:lang w:val="pt-BR"/>
        </w:rPr>
      </w:pPr>
    </w:p>
    <w:p w14:paraId="4EC3AB96" w14:textId="4D5FCB26" w:rsidR="005C7ABA" w:rsidRPr="0038442F" w:rsidRDefault="00685AC6" w:rsidP="00685AC6">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53. </w:t>
      </w:r>
      <w:r w:rsidRPr="0038442F">
        <w:rPr>
          <w:rFonts w:ascii="Verdana" w:hAnsi="Verdana" w:cs="Times New Roman"/>
          <w:sz w:val="20"/>
          <w:szCs w:val="20"/>
          <w:lang w:val="pt-BR"/>
        </w:rPr>
        <w:tab/>
      </w:r>
      <w:r w:rsidR="00247F19" w:rsidRPr="0038442F">
        <w:rPr>
          <w:rFonts w:ascii="Verdana" w:hAnsi="Verdana" w:cs="Times New Roman"/>
          <w:sz w:val="20"/>
          <w:szCs w:val="20"/>
          <w:lang w:val="pt-BR"/>
        </w:rPr>
        <w:t xml:space="preserve">Por sua vez, os </w:t>
      </w:r>
      <w:r w:rsidR="00247F19" w:rsidRPr="0038442F">
        <w:rPr>
          <w:rFonts w:ascii="Verdana" w:hAnsi="Verdana"/>
          <w:sz w:val="20"/>
          <w:szCs w:val="20"/>
          <w:lang w:val="pt-BR"/>
        </w:rPr>
        <w:t>Princípios Orientadores sobre Extrema Pobreza e Direitos Humanos consideraram que “</w:t>
      </w:r>
      <w:r w:rsidR="00247F19" w:rsidRPr="0038442F">
        <w:rPr>
          <w:rFonts w:ascii="Verdana" w:hAnsi="Verdana" w:cs="Times"/>
          <w:sz w:val="20"/>
          <w:szCs w:val="20"/>
          <w:lang w:val="pt-BR"/>
        </w:rPr>
        <w:t xml:space="preserve">[a] pobreza é em si mesma um problema de direitos humanos urgente. Ao mesmo tempo causa e consequência de violações dos direitos humanos, é uma condição que leva a outras violações. </w:t>
      </w:r>
      <w:r w:rsidR="00247F19" w:rsidRPr="0038442F">
        <w:rPr>
          <w:rFonts w:ascii="Verdana" w:hAnsi="Verdana" w:cs="Times"/>
          <w:i/>
          <w:sz w:val="20"/>
          <w:szCs w:val="20"/>
          <w:u w:val="single"/>
          <w:lang w:val="pt-BR"/>
        </w:rPr>
        <w:t>A extrema pobreza se caracteriza por violações múltiplas e interconexas dos direitos civis, políticos, econômicos, sociais e culturais, e as pessoas que vivem na pobreza se veem expostas regularmente à negação de sua dignidade e igualdade</w:t>
      </w:r>
      <w:r w:rsidR="00247F19" w:rsidRPr="0038442F">
        <w:rPr>
          <w:rFonts w:ascii="Verdana" w:hAnsi="Verdana" w:cs="Times"/>
          <w:sz w:val="20"/>
          <w:szCs w:val="20"/>
          <w:lang w:val="pt-BR"/>
        </w:rPr>
        <w:t xml:space="preserve">”; além disso, “[a]s pessoas que vivem na pobreza </w:t>
      </w:r>
      <w:r w:rsidR="006820D6">
        <w:rPr>
          <w:rFonts w:ascii="Verdana" w:hAnsi="Verdana" w:cs="Times"/>
          <w:sz w:val="20"/>
          <w:szCs w:val="20"/>
          <w:lang w:val="pt-BR"/>
        </w:rPr>
        <w:t xml:space="preserve">se </w:t>
      </w:r>
      <w:r w:rsidR="00247F19" w:rsidRPr="0038442F">
        <w:rPr>
          <w:rFonts w:ascii="Verdana" w:hAnsi="Verdana" w:cs="Times"/>
          <w:sz w:val="20"/>
          <w:szCs w:val="20"/>
          <w:lang w:val="pt-BR"/>
        </w:rPr>
        <w:t xml:space="preserve">deparam </w:t>
      </w:r>
      <w:r w:rsidR="006820D6">
        <w:rPr>
          <w:rFonts w:ascii="Verdana" w:hAnsi="Verdana" w:cs="Times"/>
          <w:sz w:val="20"/>
          <w:szCs w:val="20"/>
          <w:lang w:val="pt-BR"/>
        </w:rPr>
        <w:t xml:space="preserve">com </w:t>
      </w:r>
      <w:r w:rsidR="00247F19" w:rsidRPr="0038442F">
        <w:rPr>
          <w:rFonts w:ascii="Verdana" w:hAnsi="Verdana" w:cs="Times"/>
          <w:sz w:val="20"/>
          <w:szCs w:val="20"/>
          <w:lang w:val="pt-BR"/>
        </w:rPr>
        <w:t>enormes obstáculos, de natureza física, econômica, cultural e social, para exercer seus direitos. Por conseguinte, sofrem muitas privações que se relacionam entre si e se reforçam mutuamente – como as condições de trabalho perigosas, […] –, que lhes impedem de tornar realidade seus direitos e perpetuam sua pobreza”.</w:t>
      </w:r>
      <w:r w:rsidR="00247F19" w:rsidRPr="0038442F">
        <w:rPr>
          <w:rStyle w:val="Refdenotaalpie"/>
          <w:rFonts w:ascii="Verdana" w:hAnsi="Verdana"/>
          <w:sz w:val="20"/>
          <w:szCs w:val="20"/>
          <w:lang w:val="pt-BR"/>
        </w:rPr>
        <w:footnoteReference w:id="86"/>
      </w:r>
      <w:r w:rsidR="00247F19" w:rsidRPr="0038442F">
        <w:rPr>
          <w:rFonts w:ascii="Verdana" w:hAnsi="Verdana" w:cs="Times"/>
          <w:i/>
          <w:sz w:val="20"/>
          <w:szCs w:val="20"/>
          <w:lang w:val="pt-BR"/>
        </w:rPr>
        <w:t xml:space="preserve"> </w:t>
      </w:r>
      <w:r w:rsidR="00247F19" w:rsidRPr="0038442F">
        <w:rPr>
          <w:rFonts w:ascii="Verdana" w:hAnsi="Verdana" w:cs="Times"/>
          <w:sz w:val="20"/>
          <w:szCs w:val="20"/>
          <w:lang w:val="pt-BR"/>
        </w:rPr>
        <w:t>(grifo nosso).</w:t>
      </w:r>
    </w:p>
    <w:p w14:paraId="439A89E2" w14:textId="77777777" w:rsidR="005C7ABA" w:rsidRPr="0038442F" w:rsidRDefault="005C7ABA" w:rsidP="00A857CB">
      <w:pPr>
        <w:pStyle w:val="Prrafodelista"/>
        <w:spacing w:line="240" w:lineRule="auto"/>
        <w:ind w:left="0"/>
        <w:jc w:val="both"/>
        <w:rPr>
          <w:rFonts w:ascii="Verdana" w:hAnsi="Verdana"/>
          <w:sz w:val="20"/>
          <w:szCs w:val="20"/>
          <w:lang w:val="pt-BR"/>
        </w:rPr>
      </w:pPr>
    </w:p>
    <w:p w14:paraId="1AA88EA0" w14:textId="5BD3F761" w:rsidR="00B56DB7" w:rsidRPr="0038442F" w:rsidRDefault="00685AC6" w:rsidP="00685AC6">
      <w:pPr>
        <w:pStyle w:val="Prrafodelista"/>
        <w:spacing w:line="240" w:lineRule="auto"/>
        <w:ind w:left="0"/>
        <w:jc w:val="both"/>
        <w:rPr>
          <w:rFonts w:ascii="Verdana" w:hAnsi="Verdana"/>
          <w:sz w:val="20"/>
          <w:szCs w:val="20"/>
          <w:lang w:val="pt-BR"/>
        </w:rPr>
      </w:pPr>
      <w:r w:rsidRPr="0038442F">
        <w:rPr>
          <w:rFonts w:ascii="Verdana" w:hAnsi="Verdana"/>
          <w:sz w:val="20"/>
          <w:szCs w:val="20"/>
          <w:lang w:val="pt-BR"/>
        </w:rPr>
        <w:t xml:space="preserve">54. </w:t>
      </w:r>
      <w:r w:rsidRPr="0038442F">
        <w:rPr>
          <w:rFonts w:ascii="Verdana" w:hAnsi="Verdana"/>
          <w:sz w:val="20"/>
          <w:szCs w:val="20"/>
          <w:lang w:val="pt-BR"/>
        </w:rPr>
        <w:tab/>
      </w:r>
      <w:r w:rsidR="008D1D71" w:rsidRPr="0038442F">
        <w:rPr>
          <w:rFonts w:ascii="Verdana" w:hAnsi="Verdana"/>
          <w:sz w:val="20"/>
          <w:szCs w:val="20"/>
          <w:lang w:val="pt-BR"/>
        </w:rPr>
        <w:t xml:space="preserve">No </w:t>
      </w:r>
      <w:r w:rsidR="008D1D71" w:rsidRPr="0038442F">
        <w:rPr>
          <w:rFonts w:ascii="Verdana" w:hAnsi="Verdana"/>
          <w:i/>
          <w:sz w:val="20"/>
          <w:szCs w:val="20"/>
          <w:lang w:val="pt-BR"/>
        </w:rPr>
        <w:t xml:space="preserve">Caso </w:t>
      </w:r>
      <w:r w:rsidR="005D1865" w:rsidRPr="0038442F">
        <w:rPr>
          <w:rFonts w:ascii="Verdana" w:hAnsi="Verdana"/>
          <w:i/>
          <w:iCs/>
          <w:sz w:val="20"/>
          <w:szCs w:val="20"/>
          <w:lang w:val="pt-BR"/>
        </w:rPr>
        <w:t>Trabalhadores</w:t>
      </w:r>
      <w:r w:rsidR="00B56DB7" w:rsidRPr="0038442F">
        <w:rPr>
          <w:rFonts w:ascii="Verdana" w:hAnsi="Verdana"/>
          <w:i/>
          <w:iCs/>
          <w:sz w:val="20"/>
          <w:szCs w:val="20"/>
          <w:lang w:val="pt-BR"/>
        </w:rPr>
        <w:t xml:space="preserve"> </w:t>
      </w:r>
      <w:r w:rsidR="00C92762" w:rsidRPr="0038442F">
        <w:rPr>
          <w:rFonts w:ascii="Verdana" w:hAnsi="Verdana"/>
          <w:i/>
          <w:iCs/>
          <w:sz w:val="20"/>
          <w:szCs w:val="20"/>
          <w:lang w:val="pt-BR"/>
        </w:rPr>
        <w:t xml:space="preserve">da </w:t>
      </w:r>
      <w:r w:rsidR="008D1D71" w:rsidRPr="0038442F">
        <w:rPr>
          <w:rFonts w:ascii="Verdana" w:hAnsi="Verdana"/>
          <w:i/>
          <w:iCs/>
          <w:sz w:val="20"/>
          <w:szCs w:val="20"/>
          <w:lang w:val="pt-BR"/>
        </w:rPr>
        <w:t xml:space="preserve">Fazenda </w:t>
      </w:r>
      <w:r w:rsidR="00B56DB7" w:rsidRPr="0038442F">
        <w:rPr>
          <w:rFonts w:ascii="Verdana" w:hAnsi="Verdana"/>
          <w:i/>
          <w:iCs/>
          <w:sz w:val="20"/>
          <w:szCs w:val="20"/>
          <w:lang w:val="pt-BR"/>
        </w:rPr>
        <w:t xml:space="preserve">Brasil Verde Vs. Brasil </w:t>
      </w:r>
      <w:r w:rsidR="005D1865" w:rsidRPr="0038442F">
        <w:rPr>
          <w:rFonts w:ascii="Verdana" w:hAnsi="Verdana"/>
          <w:sz w:val="20"/>
          <w:szCs w:val="20"/>
          <w:lang w:val="pt-BR"/>
        </w:rPr>
        <w:t>expus</w:t>
      </w:r>
      <w:r w:rsidR="008D1D71" w:rsidRPr="0038442F">
        <w:rPr>
          <w:rFonts w:ascii="Verdana" w:hAnsi="Verdana"/>
          <w:sz w:val="20"/>
          <w:szCs w:val="20"/>
          <w:lang w:val="pt-BR"/>
        </w:rPr>
        <w:t xml:space="preserve"> que </w:t>
      </w:r>
      <w:r w:rsidR="00B56DB7" w:rsidRPr="0038442F">
        <w:rPr>
          <w:rFonts w:ascii="Verdana" w:hAnsi="Verdana"/>
          <w:sz w:val="20"/>
          <w:szCs w:val="20"/>
          <w:lang w:val="pt-BR"/>
        </w:rPr>
        <w:t>“</w:t>
      </w:r>
      <w:r w:rsidR="00B56DB7" w:rsidRPr="0038442F">
        <w:rPr>
          <w:rFonts w:ascii="Verdana" w:hAnsi="Verdana" w:cs="Times New Roman"/>
          <w:sz w:val="20"/>
          <w:szCs w:val="20"/>
          <w:lang w:val="pt-BR"/>
        </w:rPr>
        <w:t xml:space="preserve">a `pobreza´ </w:t>
      </w:r>
      <w:r w:rsidR="008D1D71" w:rsidRPr="0038442F">
        <w:rPr>
          <w:rFonts w:ascii="Verdana" w:hAnsi="Verdana" w:cs="Times New Roman"/>
          <w:sz w:val="20"/>
          <w:szCs w:val="20"/>
          <w:lang w:val="pt-BR"/>
        </w:rPr>
        <w:t xml:space="preserve">não foi reconhecida de </w:t>
      </w:r>
      <w:r w:rsidR="006820D6">
        <w:rPr>
          <w:rFonts w:ascii="Verdana" w:hAnsi="Verdana" w:cs="Times New Roman"/>
          <w:sz w:val="20"/>
          <w:szCs w:val="20"/>
          <w:lang w:val="pt-BR"/>
        </w:rPr>
        <w:t>forma</w:t>
      </w:r>
      <w:r w:rsidR="006820D6"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expres</w:t>
      </w:r>
      <w:r w:rsidR="008D1D71" w:rsidRPr="0038442F">
        <w:rPr>
          <w:rFonts w:ascii="Verdana" w:hAnsi="Verdana" w:cs="Times New Roman"/>
          <w:sz w:val="20"/>
          <w:szCs w:val="20"/>
          <w:lang w:val="pt-BR"/>
        </w:rPr>
        <w:t>s</w:t>
      </w:r>
      <w:r w:rsidR="00B56DB7" w:rsidRPr="0038442F">
        <w:rPr>
          <w:rFonts w:ascii="Verdana" w:hAnsi="Verdana" w:cs="Times New Roman"/>
          <w:sz w:val="20"/>
          <w:szCs w:val="20"/>
          <w:lang w:val="pt-BR"/>
        </w:rPr>
        <w:t xml:space="preserve">a como </w:t>
      </w:r>
      <w:r w:rsidR="008D1D71" w:rsidRPr="0038442F">
        <w:rPr>
          <w:rFonts w:ascii="Verdana" w:hAnsi="Verdana" w:cs="Times New Roman"/>
          <w:sz w:val="20"/>
          <w:szCs w:val="20"/>
          <w:lang w:val="pt-BR"/>
        </w:rPr>
        <w:t>categoria</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 xml:space="preserve">de especial </w:t>
      </w:r>
      <w:r w:rsidR="00751189" w:rsidRPr="0038442F">
        <w:rPr>
          <w:rFonts w:ascii="Verdana" w:hAnsi="Verdana" w:cs="Times New Roman"/>
          <w:sz w:val="20"/>
          <w:szCs w:val="20"/>
          <w:lang w:val="pt-BR"/>
        </w:rPr>
        <w:t>proteção</w:t>
      </w:r>
      <w:r w:rsidR="00B56DB7"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 xml:space="preserve">isso não </w:t>
      </w:r>
      <w:r w:rsidR="00B56DB7" w:rsidRPr="0038442F">
        <w:rPr>
          <w:rFonts w:ascii="Verdana" w:hAnsi="Verdana" w:cs="Times New Roman"/>
          <w:sz w:val="20"/>
          <w:szCs w:val="20"/>
          <w:lang w:val="pt-BR"/>
        </w:rPr>
        <w:t xml:space="preserve">significa, </w:t>
      </w:r>
      <w:r w:rsidR="008D1D71" w:rsidRPr="0038442F">
        <w:rPr>
          <w:rFonts w:ascii="Verdana" w:hAnsi="Verdana" w:cs="Times New Roman"/>
          <w:sz w:val="20"/>
          <w:szCs w:val="20"/>
          <w:lang w:val="pt-BR"/>
        </w:rPr>
        <w:t>no entanto</w:t>
      </w:r>
      <w:r w:rsidR="00B56DB7" w:rsidRPr="0038442F">
        <w:rPr>
          <w:rFonts w:ascii="Verdana" w:hAnsi="Verdana" w:cs="Times New Roman"/>
          <w:sz w:val="20"/>
          <w:szCs w:val="20"/>
          <w:lang w:val="pt-BR"/>
        </w:rPr>
        <w:t>, que a pobreza n</w:t>
      </w:r>
      <w:r w:rsidR="008D1D71" w:rsidRPr="0038442F">
        <w:rPr>
          <w:rFonts w:ascii="Verdana" w:hAnsi="Verdana" w:cs="Times New Roman"/>
          <w:sz w:val="20"/>
          <w:szCs w:val="20"/>
          <w:lang w:val="pt-BR"/>
        </w:rPr>
        <w:t>ã</w:t>
      </w:r>
      <w:r w:rsidR="00B56DB7" w:rsidRPr="0038442F">
        <w:rPr>
          <w:rFonts w:ascii="Verdana" w:hAnsi="Verdana" w:cs="Times New Roman"/>
          <w:sz w:val="20"/>
          <w:szCs w:val="20"/>
          <w:lang w:val="pt-BR"/>
        </w:rPr>
        <w:t>o p</w:t>
      </w:r>
      <w:r w:rsidR="008D1D71" w:rsidRPr="0038442F">
        <w:rPr>
          <w:rFonts w:ascii="Verdana" w:hAnsi="Verdana" w:cs="Times New Roman"/>
          <w:sz w:val="20"/>
          <w:szCs w:val="20"/>
          <w:lang w:val="pt-BR"/>
        </w:rPr>
        <w:t xml:space="preserve">ossa ser avaliada </w:t>
      </w:r>
      <w:r w:rsidR="00B56DB7" w:rsidRPr="0038442F">
        <w:rPr>
          <w:rFonts w:ascii="Verdana" w:hAnsi="Verdana" w:cs="Times New Roman"/>
          <w:sz w:val="20"/>
          <w:szCs w:val="20"/>
          <w:lang w:val="pt-BR"/>
        </w:rPr>
        <w:t>como parte de algu</w:t>
      </w:r>
      <w:r w:rsidR="008D1D71" w:rsidRPr="0038442F">
        <w:rPr>
          <w:rFonts w:ascii="Verdana" w:hAnsi="Verdana" w:cs="Times New Roman"/>
          <w:sz w:val="20"/>
          <w:szCs w:val="20"/>
          <w:lang w:val="pt-BR"/>
        </w:rPr>
        <w:t>m</w:t>
      </w:r>
      <w:r w:rsidR="00B56DB7" w:rsidRPr="0038442F">
        <w:rPr>
          <w:rFonts w:ascii="Verdana" w:hAnsi="Verdana" w:cs="Times New Roman"/>
          <w:sz w:val="20"/>
          <w:szCs w:val="20"/>
          <w:lang w:val="pt-BR"/>
        </w:rPr>
        <w:t xml:space="preserve">a </w:t>
      </w:r>
      <w:r w:rsidR="008D1D71" w:rsidRPr="0038442F">
        <w:rPr>
          <w:rFonts w:ascii="Verdana" w:hAnsi="Verdana" w:cs="Times New Roman"/>
          <w:sz w:val="20"/>
          <w:szCs w:val="20"/>
          <w:lang w:val="pt-BR"/>
        </w:rPr>
        <w:t>categoria</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que</w:t>
      </w:r>
      <w:r w:rsidR="008D1D71" w:rsidRPr="0038442F">
        <w:rPr>
          <w:rFonts w:ascii="Verdana" w:hAnsi="Verdana" w:cs="Times New Roman"/>
          <w:sz w:val="20"/>
          <w:szCs w:val="20"/>
          <w:lang w:val="pt-BR"/>
        </w:rPr>
        <w:t xml:space="preserve">, de fato, se </w:t>
      </w:r>
      <w:r w:rsidR="005135E5" w:rsidRPr="0038442F">
        <w:rPr>
          <w:rFonts w:ascii="Verdana" w:hAnsi="Verdana" w:cs="Times New Roman"/>
          <w:sz w:val="20"/>
          <w:szCs w:val="20"/>
          <w:lang w:val="pt-BR"/>
        </w:rPr>
        <w:t>encontre</w:t>
      </w:r>
      <w:r w:rsidR="00407242"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 xml:space="preserve">reconhecida ou, antes, que </w:t>
      </w:r>
      <w:r w:rsidR="00B56DB7" w:rsidRPr="0038442F">
        <w:rPr>
          <w:rFonts w:ascii="Verdana" w:hAnsi="Verdana" w:cs="Times New Roman"/>
          <w:sz w:val="20"/>
          <w:szCs w:val="20"/>
          <w:lang w:val="pt-BR"/>
        </w:rPr>
        <w:t xml:space="preserve">se incorpore como parte de </w:t>
      </w:r>
      <w:r w:rsidR="008C1D13" w:rsidRPr="0038442F">
        <w:rPr>
          <w:rFonts w:ascii="Verdana" w:hAnsi="Verdana" w:cs="Times New Roman"/>
          <w:sz w:val="20"/>
          <w:szCs w:val="20"/>
          <w:lang w:val="pt-BR"/>
        </w:rPr>
        <w:t>`</w:t>
      </w:r>
      <w:r w:rsidR="00B56DB7" w:rsidRPr="0038442F">
        <w:rPr>
          <w:rFonts w:ascii="Verdana" w:hAnsi="Verdana" w:cs="Times New Roman"/>
          <w:sz w:val="20"/>
          <w:szCs w:val="20"/>
          <w:lang w:val="pt-BR"/>
        </w:rPr>
        <w:t>o</w:t>
      </w:r>
      <w:r w:rsidR="008D1D71" w:rsidRPr="0038442F">
        <w:rPr>
          <w:rFonts w:ascii="Verdana" w:hAnsi="Verdana" w:cs="Times New Roman"/>
          <w:sz w:val="20"/>
          <w:szCs w:val="20"/>
          <w:lang w:val="pt-BR"/>
        </w:rPr>
        <w:t>u</w:t>
      </w:r>
      <w:r w:rsidR="00B56DB7" w:rsidRPr="0038442F">
        <w:rPr>
          <w:rFonts w:ascii="Verdana" w:hAnsi="Verdana" w:cs="Times New Roman"/>
          <w:sz w:val="20"/>
          <w:szCs w:val="20"/>
          <w:lang w:val="pt-BR"/>
        </w:rPr>
        <w:t>tra condi</w:t>
      </w:r>
      <w:r w:rsidR="000A1AA8" w:rsidRPr="0038442F">
        <w:rPr>
          <w:rFonts w:ascii="Verdana" w:hAnsi="Verdana" w:cs="Times New Roman"/>
          <w:sz w:val="20"/>
          <w:szCs w:val="20"/>
          <w:lang w:val="pt-BR"/>
        </w:rPr>
        <w:t>ção</w:t>
      </w:r>
      <w:r w:rsidR="00B56DB7" w:rsidRPr="0038442F">
        <w:rPr>
          <w:rFonts w:ascii="Verdana" w:hAnsi="Verdana" w:cs="Times New Roman"/>
          <w:sz w:val="20"/>
          <w:szCs w:val="20"/>
          <w:lang w:val="pt-BR"/>
        </w:rPr>
        <w:t xml:space="preserve"> social</w:t>
      </w:r>
      <w:r w:rsidR="008C1D13" w:rsidRPr="0038442F">
        <w:rPr>
          <w:rFonts w:ascii="Verdana" w:hAnsi="Verdana" w:cs="Times New Roman"/>
          <w:sz w:val="20"/>
          <w:szCs w:val="20"/>
          <w:lang w:val="pt-BR"/>
        </w:rPr>
        <w:t>´</w:t>
      </w:r>
      <w:r w:rsidR="00B56DB7"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 xml:space="preserve">Nessa situação, os </w:t>
      </w:r>
      <w:r w:rsidR="00B56DB7" w:rsidRPr="0038442F">
        <w:rPr>
          <w:rFonts w:ascii="Verdana" w:hAnsi="Verdana" w:cs="Times New Roman"/>
          <w:sz w:val="20"/>
          <w:szCs w:val="20"/>
          <w:lang w:val="pt-BR"/>
        </w:rPr>
        <w:t xml:space="preserve">diversos sistemas </w:t>
      </w:r>
      <w:r w:rsidR="008D1D71" w:rsidRPr="0038442F">
        <w:rPr>
          <w:rFonts w:ascii="Verdana" w:hAnsi="Verdana" w:cs="Times New Roman"/>
          <w:sz w:val="20"/>
          <w:szCs w:val="20"/>
          <w:lang w:val="pt-BR"/>
        </w:rPr>
        <w:t xml:space="preserve">de </w:t>
      </w:r>
      <w:r w:rsidR="00751189" w:rsidRPr="0038442F">
        <w:rPr>
          <w:rFonts w:ascii="Verdana" w:hAnsi="Verdana" w:cs="Times New Roman"/>
          <w:sz w:val="20"/>
          <w:szCs w:val="20"/>
          <w:lang w:val="pt-BR"/>
        </w:rPr>
        <w:t>proteção</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 xml:space="preserve">de </w:t>
      </w:r>
      <w:r w:rsidR="000A1AA8" w:rsidRPr="0038442F">
        <w:rPr>
          <w:rFonts w:ascii="Verdana" w:hAnsi="Verdana" w:cs="Times New Roman"/>
          <w:sz w:val="20"/>
          <w:szCs w:val="20"/>
          <w:lang w:val="pt-BR"/>
        </w:rPr>
        <w:t>direitos</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humanos (region</w:t>
      </w:r>
      <w:r w:rsidR="00C92762" w:rsidRPr="0038442F">
        <w:rPr>
          <w:rFonts w:ascii="Verdana" w:hAnsi="Verdana" w:cs="Times New Roman"/>
          <w:sz w:val="20"/>
          <w:szCs w:val="20"/>
          <w:lang w:val="pt-BR"/>
        </w:rPr>
        <w:t>ais</w:t>
      </w:r>
      <w:r w:rsidR="008C1D13" w:rsidRPr="0038442F">
        <w:rPr>
          <w:rStyle w:val="Refdenotaalpie"/>
          <w:rFonts w:ascii="Verdana" w:hAnsi="Verdana" w:cs="Times New Roman"/>
          <w:sz w:val="20"/>
          <w:szCs w:val="20"/>
          <w:lang w:val="pt-BR"/>
        </w:rPr>
        <w:footnoteReference w:id="87"/>
      </w:r>
      <w:r w:rsidR="00B56DB7"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e</w:t>
      </w:r>
      <w:r w:rsidR="00B56DB7" w:rsidRPr="0038442F">
        <w:rPr>
          <w:rFonts w:ascii="Verdana" w:hAnsi="Verdana" w:cs="Times New Roman"/>
          <w:sz w:val="20"/>
          <w:szCs w:val="20"/>
          <w:lang w:val="pt-BR"/>
        </w:rPr>
        <w:t xml:space="preserve"> universal</w:t>
      </w:r>
      <w:r w:rsidR="008C1D13" w:rsidRPr="0038442F">
        <w:rPr>
          <w:rStyle w:val="Refdenotaalpie"/>
          <w:rFonts w:ascii="Verdana" w:hAnsi="Verdana" w:cs="Times New Roman"/>
          <w:sz w:val="20"/>
          <w:szCs w:val="20"/>
          <w:lang w:val="pt-BR"/>
        </w:rPr>
        <w:footnoteReference w:id="88"/>
      </w:r>
      <w:r w:rsidR="00B56DB7" w:rsidRPr="0038442F">
        <w:rPr>
          <w:rFonts w:ascii="Verdana" w:hAnsi="Verdana" w:cs="Times New Roman"/>
          <w:sz w:val="20"/>
          <w:szCs w:val="20"/>
          <w:lang w:val="pt-BR"/>
        </w:rPr>
        <w:t>) t</w:t>
      </w:r>
      <w:r w:rsidR="008D1D71" w:rsidRPr="0038442F">
        <w:rPr>
          <w:rFonts w:ascii="Verdana" w:hAnsi="Verdana" w:cs="Times New Roman"/>
          <w:sz w:val="20"/>
          <w:szCs w:val="20"/>
          <w:lang w:val="pt-BR"/>
        </w:rPr>
        <w:t xml:space="preserve">êm suas </w:t>
      </w:r>
      <w:r w:rsidR="00B56DB7" w:rsidRPr="0038442F">
        <w:rPr>
          <w:rFonts w:ascii="Verdana" w:hAnsi="Verdana" w:cs="Times New Roman"/>
          <w:sz w:val="20"/>
          <w:szCs w:val="20"/>
          <w:lang w:val="pt-BR"/>
        </w:rPr>
        <w:t xml:space="preserve">particularidades </w:t>
      </w:r>
      <w:r w:rsidR="008D1D71" w:rsidRPr="0038442F">
        <w:rPr>
          <w:rFonts w:ascii="Verdana" w:hAnsi="Verdana" w:cs="Times New Roman"/>
          <w:sz w:val="20"/>
          <w:szCs w:val="20"/>
          <w:lang w:val="pt-BR"/>
        </w:rPr>
        <w:t>q</w:t>
      </w:r>
      <w:r w:rsidR="00B56DB7" w:rsidRPr="0038442F">
        <w:rPr>
          <w:rFonts w:ascii="Verdana" w:hAnsi="Verdana" w:cs="Times New Roman"/>
          <w:sz w:val="20"/>
          <w:szCs w:val="20"/>
          <w:lang w:val="pt-BR"/>
        </w:rPr>
        <w:t xml:space="preserve">uanto </w:t>
      </w:r>
      <w:r w:rsidR="008D1D71" w:rsidRPr="0038442F">
        <w:rPr>
          <w:rFonts w:ascii="Verdana" w:hAnsi="Verdana" w:cs="Times New Roman"/>
          <w:sz w:val="20"/>
          <w:szCs w:val="20"/>
          <w:lang w:val="pt-BR"/>
        </w:rPr>
        <w:t xml:space="preserve">ao </w:t>
      </w:r>
      <w:r w:rsidR="006D3B60" w:rsidRPr="0038442F">
        <w:rPr>
          <w:rFonts w:ascii="Verdana" w:hAnsi="Verdana" w:cs="Times New Roman"/>
          <w:sz w:val="20"/>
          <w:szCs w:val="20"/>
          <w:lang w:val="pt-BR"/>
        </w:rPr>
        <w:t>reconhecimento</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B56DB7" w:rsidRPr="0038442F">
        <w:rPr>
          <w:rFonts w:ascii="Verdana" w:hAnsi="Verdana" w:cs="Times New Roman"/>
          <w:sz w:val="20"/>
          <w:szCs w:val="20"/>
          <w:lang w:val="pt-BR"/>
        </w:rPr>
        <w:t xml:space="preserve">pobreza como parte </w:t>
      </w:r>
      <w:r w:rsidR="00C92762" w:rsidRPr="0038442F">
        <w:rPr>
          <w:rFonts w:ascii="Verdana" w:hAnsi="Verdana" w:cs="Times New Roman"/>
          <w:sz w:val="20"/>
          <w:szCs w:val="20"/>
          <w:lang w:val="pt-BR"/>
        </w:rPr>
        <w:t xml:space="preserve">da </w:t>
      </w:r>
      <w:r w:rsidR="008D1D71" w:rsidRPr="0038442F">
        <w:rPr>
          <w:rFonts w:ascii="Verdana" w:hAnsi="Verdana" w:cs="Times New Roman"/>
          <w:sz w:val="20"/>
          <w:szCs w:val="20"/>
          <w:lang w:val="pt-BR"/>
        </w:rPr>
        <w:t>categoria</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de proibi</w:t>
      </w:r>
      <w:r w:rsidR="000A1AA8" w:rsidRPr="0038442F">
        <w:rPr>
          <w:rFonts w:ascii="Verdana" w:hAnsi="Verdana" w:cs="Times New Roman"/>
          <w:sz w:val="20"/>
          <w:szCs w:val="20"/>
          <w:lang w:val="pt-BR"/>
        </w:rPr>
        <w:t>ção</w:t>
      </w:r>
      <w:r w:rsidR="00B56DB7" w:rsidRPr="0038442F">
        <w:rPr>
          <w:rFonts w:ascii="Verdana" w:hAnsi="Verdana" w:cs="Times New Roman"/>
          <w:sz w:val="20"/>
          <w:szCs w:val="20"/>
          <w:lang w:val="pt-BR"/>
        </w:rPr>
        <w:t xml:space="preserve"> de discrimina</w:t>
      </w:r>
      <w:r w:rsidR="000A1AA8" w:rsidRPr="0038442F">
        <w:rPr>
          <w:rFonts w:ascii="Verdana" w:hAnsi="Verdana" w:cs="Times New Roman"/>
          <w:sz w:val="20"/>
          <w:szCs w:val="20"/>
          <w:lang w:val="pt-BR"/>
        </w:rPr>
        <w:t>ção</w:t>
      </w:r>
      <w:r w:rsidR="00B56DB7" w:rsidRPr="0038442F">
        <w:rPr>
          <w:rFonts w:ascii="Verdana" w:hAnsi="Verdana" w:cs="Times New Roman"/>
          <w:sz w:val="20"/>
          <w:szCs w:val="20"/>
          <w:lang w:val="pt-BR"/>
        </w:rPr>
        <w:t xml:space="preserve"> </w:t>
      </w:r>
      <w:r w:rsidR="00C83729" w:rsidRPr="0038442F">
        <w:rPr>
          <w:rFonts w:ascii="Verdana" w:hAnsi="Verdana" w:cs="Times New Roman"/>
          <w:sz w:val="20"/>
          <w:szCs w:val="20"/>
          <w:lang w:val="pt-BR"/>
        </w:rPr>
        <w:t>`</w:t>
      </w:r>
      <w:r w:rsidR="00B56DB7" w:rsidRPr="0038442F">
        <w:rPr>
          <w:rFonts w:ascii="Verdana" w:hAnsi="Verdana" w:cs="Times New Roman"/>
          <w:sz w:val="20"/>
          <w:szCs w:val="20"/>
          <w:lang w:val="pt-BR"/>
        </w:rPr>
        <w:t>por posi</w:t>
      </w:r>
      <w:r w:rsidR="000A1AA8" w:rsidRPr="0038442F">
        <w:rPr>
          <w:rFonts w:ascii="Verdana" w:hAnsi="Verdana" w:cs="Times New Roman"/>
          <w:sz w:val="20"/>
          <w:szCs w:val="20"/>
          <w:lang w:val="pt-BR"/>
        </w:rPr>
        <w:t>ção</w:t>
      </w:r>
      <w:r w:rsidR="00B56DB7"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econômica</w:t>
      </w:r>
      <w:r w:rsidR="008D1D71" w:rsidRPr="0038442F">
        <w:rPr>
          <w:rFonts w:ascii="Verdana" w:hAnsi="Verdana" w:cs="Times New Roman"/>
          <w:sz w:val="20"/>
          <w:szCs w:val="20"/>
          <w:lang w:val="pt-BR"/>
        </w:rPr>
        <w:t>’</w:t>
      </w:r>
      <w:r w:rsidR="005D1865" w:rsidRPr="0038442F">
        <w:rPr>
          <w:rFonts w:ascii="Verdana" w:hAnsi="Verdana" w:cs="Times New Roman"/>
          <w:sz w:val="20"/>
          <w:szCs w:val="20"/>
          <w:lang w:val="pt-BR"/>
        </w:rPr>
        <w:t xml:space="preserve">, o que não </w:t>
      </w:r>
      <w:r w:rsidR="008D1D71" w:rsidRPr="0038442F">
        <w:rPr>
          <w:rFonts w:ascii="Verdana" w:hAnsi="Verdana" w:cs="Times New Roman"/>
          <w:sz w:val="20"/>
          <w:szCs w:val="20"/>
          <w:lang w:val="pt-BR"/>
        </w:rPr>
        <w:t xml:space="preserve">foi </w:t>
      </w:r>
      <w:r w:rsidR="00B56DB7" w:rsidRPr="0038442F">
        <w:rPr>
          <w:rFonts w:ascii="Verdana" w:hAnsi="Verdana" w:cs="Times New Roman"/>
          <w:sz w:val="20"/>
          <w:szCs w:val="20"/>
          <w:lang w:val="pt-BR"/>
        </w:rPr>
        <w:t xml:space="preserve">impedimento para que se </w:t>
      </w:r>
      <w:r w:rsidR="008D1D71" w:rsidRPr="0038442F">
        <w:rPr>
          <w:rFonts w:ascii="Verdana" w:hAnsi="Verdana" w:cs="Times New Roman"/>
          <w:sz w:val="20"/>
          <w:szCs w:val="20"/>
          <w:lang w:val="pt-BR"/>
        </w:rPr>
        <w:t xml:space="preserve">permeiem </w:t>
      </w:r>
      <w:r w:rsidR="00984A83" w:rsidRPr="0038442F">
        <w:rPr>
          <w:rFonts w:ascii="Verdana" w:hAnsi="Verdana" w:cs="Times New Roman"/>
          <w:sz w:val="20"/>
          <w:szCs w:val="20"/>
          <w:lang w:val="pt-BR"/>
        </w:rPr>
        <w:t xml:space="preserve">obrigações </w:t>
      </w:r>
      <w:r w:rsidR="008D1D71" w:rsidRPr="0038442F">
        <w:rPr>
          <w:rFonts w:ascii="Verdana" w:hAnsi="Verdana" w:cs="Times New Roman"/>
          <w:sz w:val="20"/>
          <w:szCs w:val="20"/>
          <w:lang w:val="pt-BR"/>
        </w:rPr>
        <w:t xml:space="preserve">quanto à </w:t>
      </w:r>
      <w:r w:rsidR="00B56DB7" w:rsidRPr="0038442F">
        <w:rPr>
          <w:rFonts w:ascii="Verdana" w:hAnsi="Verdana" w:cs="Times New Roman"/>
          <w:sz w:val="20"/>
          <w:szCs w:val="20"/>
          <w:lang w:val="pt-BR"/>
        </w:rPr>
        <w:t>erradica</w:t>
      </w:r>
      <w:r w:rsidR="000A1AA8" w:rsidRPr="0038442F">
        <w:rPr>
          <w:rFonts w:ascii="Verdana" w:hAnsi="Verdana" w:cs="Times New Roman"/>
          <w:sz w:val="20"/>
          <w:szCs w:val="20"/>
          <w:lang w:val="pt-BR"/>
        </w:rPr>
        <w:t>ção</w:t>
      </w:r>
      <w:r w:rsidR="00B56DB7"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B56DB7" w:rsidRPr="0038442F">
        <w:rPr>
          <w:rFonts w:ascii="Verdana" w:hAnsi="Verdana" w:cs="Times New Roman"/>
          <w:sz w:val="20"/>
          <w:szCs w:val="20"/>
          <w:lang w:val="pt-BR"/>
        </w:rPr>
        <w:t xml:space="preserve">pobreza, </w:t>
      </w:r>
      <w:r w:rsidR="008D1D71" w:rsidRPr="0038442F">
        <w:rPr>
          <w:rFonts w:ascii="Verdana" w:hAnsi="Verdana" w:cs="Times New Roman"/>
          <w:sz w:val="20"/>
          <w:szCs w:val="20"/>
          <w:lang w:val="pt-BR"/>
        </w:rPr>
        <w:t xml:space="preserve">embora não </w:t>
      </w:r>
      <w:r w:rsidR="00B56DB7" w:rsidRPr="0038442F">
        <w:rPr>
          <w:rFonts w:ascii="Verdana" w:hAnsi="Verdana" w:cs="Times New Roman"/>
          <w:sz w:val="20"/>
          <w:szCs w:val="20"/>
          <w:lang w:val="pt-BR"/>
        </w:rPr>
        <w:t xml:space="preserve">como parte de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categoria</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 xml:space="preserve">de especial </w:t>
      </w:r>
      <w:r w:rsidR="00751189" w:rsidRPr="0038442F">
        <w:rPr>
          <w:rFonts w:ascii="Verdana" w:hAnsi="Verdana" w:cs="Times New Roman"/>
          <w:sz w:val="20"/>
          <w:szCs w:val="20"/>
          <w:lang w:val="pt-BR"/>
        </w:rPr>
        <w:t>proteção</w:t>
      </w:r>
      <w:r w:rsidR="00B56DB7"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 xml:space="preserve">mas sim </w:t>
      </w:r>
      <w:r w:rsidR="00B56DB7" w:rsidRPr="0038442F">
        <w:rPr>
          <w:rFonts w:ascii="Verdana" w:hAnsi="Verdana" w:cs="Times New Roman"/>
          <w:sz w:val="20"/>
          <w:szCs w:val="20"/>
          <w:lang w:val="pt-BR"/>
        </w:rPr>
        <w:t xml:space="preserve">como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situa</w:t>
      </w:r>
      <w:r w:rsidR="000A1AA8" w:rsidRPr="0038442F">
        <w:rPr>
          <w:rFonts w:ascii="Verdana" w:hAnsi="Verdana" w:cs="Times New Roman"/>
          <w:sz w:val="20"/>
          <w:szCs w:val="20"/>
          <w:lang w:val="pt-BR"/>
        </w:rPr>
        <w:t>ção</w:t>
      </w:r>
      <w:r w:rsidR="00B56DB7" w:rsidRPr="0038442F">
        <w:rPr>
          <w:rFonts w:ascii="Verdana" w:hAnsi="Verdana" w:cs="Times New Roman"/>
          <w:sz w:val="20"/>
          <w:szCs w:val="20"/>
          <w:lang w:val="pt-BR"/>
        </w:rPr>
        <w:t xml:space="preserve"> agravante </w:t>
      </w:r>
      <w:r w:rsidR="00C92762" w:rsidRPr="0038442F">
        <w:rPr>
          <w:rFonts w:ascii="Verdana" w:hAnsi="Verdana" w:cs="Times New Roman"/>
          <w:sz w:val="20"/>
          <w:szCs w:val="20"/>
          <w:lang w:val="pt-BR"/>
        </w:rPr>
        <w:t xml:space="preserve">das </w:t>
      </w:r>
      <w:r w:rsidR="00B56DB7" w:rsidRPr="0038442F">
        <w:rPr>
          <w:rFonts w:ascii="Verdana" w:hAnsi="Verdana" w:cs="Times New Roman"/>
          <w:sz w:val="20"/>
          <w:szCs w:val="20"/>
          <w:lang w:val="pt-BR"/>
        </w:rPr>
        <w:t>condi</w:t>
      </w:r>
      <w:r w:rsidR="000A1AA8" w:rsidRPr="0038442F">
        <w:rPr>
          <w:rFonts w:ascii="Verdana" w:hAnsi="Verdana" w:cs="Times New Roman"/>
          <w:sz w:val="20"/>
          <w:szCs w:val="20"/>
          <w:lang w:val="pt-BR"/>
        </w:rPr>
        <w:t>ções</w:t>
      </w:r>
      <w:r w:rsidR="00B56DB7" w:rsidRPr="0038442F">
        <w:rPr>
          <w:rFonts w:ascii="Verdana" w:hAnsi="Verdana" w:cs="Times New Roman"/>
          <w:sz w:val="20"/>
          <w:szCs w:val="20"/>
          <w:lang w:val="pt-BR"/>
        </w:rPr>
        <w:t xml:space="preserve"> soci</w:t>
      </w:r>
      <w:r w:rsidR="00C92762" w:rsidRPr="0038442F">
        <w:rPr>
          <w:rFonts w:ascii="Verdana" w:hAnsi="Verdana" w:cs="Times New Roman"/>
          <w:sz w:val="20"/>
          <w:szCs w:val="20"/>
          <w:lang w:val="pt-BR"/>
        </w:rPr>
        <w:t>ais</w:t>
      </w:r>
      <w:r w:rsidR="00407242"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 xml:space="preserve">em que vivem as </w:t>
      </w:r>
      <w:r w:rsidR="00C92762" w:rsidRPr="0038442F">
        <w:rPr>
          <w:rFonts w:ascii="Verdana" w:hAnsi="Verdana" w:cs="Times New Roman"/>
          <w:sz w:val="20"/>
          <w:szCs w:val="20"/>
          <w:lang w:val="pt-BR"/>
        </w:rPr>
        <w:t>pessoas</w:t>
      </w:r>
      <w:r w:rsidR="00B56DB7" w:rsidRPr="0038442F">
        <w:rPr>
          <w:rFonts w:ascii="Verdana" w:hAnsi="Verdana" w:cs="Times New Roman"/>
          <w:sz w:val="20"/>
          <w:szCs w:val="20"/>
          <w:lang w:val="pt-BR"/>
        </w:rPr>
        <w:t xml:space="preserve">, </w:t>
      </w:r>
      <w:r w:rsidR="008D1D71" w:rsidRPr="0038442F">
        <w:rPr>
          <w:rFonts w:ascii="Verdana" w:hAnsi="Verdana" w:cs="Times New Roman"/>
          <w:sz w:val="20"/>
          <w:szCs w:val="20"/>
          <w:lang w:val="pt-BR"/>
        </w:rPr>
        <w:t>e</w:t>
      </w:r>
      <w:r w:rsidR="00B56DB7" w:rsidRPr="0038442F">
        <w:rPr>
          <w:rFonts w:ascii="Verdana" w:hAnsi="Verdana" w:cs="Times New Roman"/>
          <w:sz w:val="20"/>
          <w:szCs w:val="20"/>
          <w:lang w:val="pt-BR"/>
        </w:rPr>
        <w:t xml:space="preserve"> que </w:t>
      </w:r>
      <w:r w:rsidR="000450DD" w:rsidRPr="0038442F">
        <w:rPr>
          <w:rFonts w:ascii="Verdana" w:hAnsi="Verdana" w:cs="Times New Roman"/>
          <w:sz w:val="20"/>
          <w:szCs w:val="20"/>
          <w:lang w:val="pt-BR"/>
        </w:rPr>
        <w:t>podem</w:t>
      </w:r>
      <w:r w:rsidR="00407242" w:rsidRPr="0038442F">
        <w:rPr>
          <w:rFonts w:ascii="Verdana" w:hAnsi="Verdana" w:cs="Times New Roman"/>
          <w:sz w:val="20"/>
          <w:szCs w:val="20"/>
          <w:lang w:val="pt-BR"/>
        </w:rPr>
        <w:t xml:space="preserve"> </w:t>
      </w:r>
      <w:r w:rsidR="00B56DB7" w:rsidRPr="0038442F">
        <w:rPr>
          <w:rFonts w:ascii="Verdana" w:hAnsi="Verdana" w:cs="Times New Roman"/>
          <w:sz w:val="20"/>
          <w:szCs w:val="20"/>
          <w:lang w:val="pt-BR"/>
        </w:rPr>
        <w:t>variar caso a caso</w:t>
      </w:r>
      <w:r w:rsidR="008C1D13" w:rsidRPr="0038442F">
        <w:rPr>
          <w:rFonts w:ascii="Verdana" w:hAnsi="Verdana" w:cs="Times New Roman"/>
          <w:sz w:val="20"/>
          <w:szCs w:val="20"/>
          <w:lang w:val="pt-BR"/>
        </w:rPr>
        <w:t>”</w:t>
      </w:r>
      <w:r w:rsidR="008D1D71" w:rsidRPr="0038442F">
        <w:rPr>
          <w:rFonts w:ascii="Verdana" w:hAnsi="Verdana" w:cs="Times New Roman"/>
          <w:sz w:val="20"/>
          <w:szCs w:val="20"/>
          <w:lang w:val="pt-BR"/>
        </w:rPr>
        <w:t>.</w:t>
      </w:r>
      <w:r w:rsidR="008C1D13" w:rsidRPr="0038442F">
        <w:rPr>
          <w:rStyle w:val="Refdenotaalpie"/>
          <w:rFonts w:ascii="Verdana" w:hAnsi="Verdana" w:cs="Times New Roman"/>
          <w:sz w:val="20"/>
          <w:szCs w:val="20"/>
          <w:lang w:val="pt-BR"/>
        </w:rPr>
        <w:footnoteReference w:id="89"/>
      </w:r>
      <w:r w:rsidR="00B56DB7" w:rsidRPr="0038442F">
        <w:rPr>
          <w:rFonts w:ascii="Verdana" w:hAnsi="Verdana" w:cs="Times New Roman"/>
          <w:sz w:val="20"/>
          <w:szCs w:val="20"/>
          <w:lang w:val="pt-BR"/>
        </w:rPr>
        <w:t xml:space="preserve"> </w:t>
      </w:r>
    </w:p>
    <w:p w14:paraId="4F745CB3" w14:textId="77777777" w:rsidR="005C7ABA" w:rsidRPr="0038442F" w:rsidRDefault="005C7ABA" w:rsidP="00A857CB">
      <w:pPr>
        <w:pStyle w:val="Prrafodelista"/>
        <w:spacing w:line="240" w:lineRule="auto"/>
        <w:ind w:left="0"/>
        <w:jc w:val="both"/>
        <w:rPr>
          <w:rFonts w:ascii="Verdana" w:hAnsi="Verdana"/>
          <w:sz w:val="20"/>
          <w:szCs w:val="20"/>
          <w:lang w:val="pt-BR"/>
        </w:rPr>
      </w:pPr>
    </w:p>
    <w:p w14:paraId="3E15314B" w14:textId="2515F3BA" w:rsidR="0068362F" w:rsidRPr="0038442F" w:rsidRDefault="00685AC6" w:rsidP="00685AC6">
      <w:pPr>
        <w:pStyle w:val="Prrafodelista"/>
        <w:spacing w:line="240" w:lineRule="auto"/>
        <w:ind w:left="0"/>
        <w:jc w:val="both"/>
        <w:rPr>
          <w:rFonts w:ascii="Verdana" w:hAnsi="Verdana"/>
          <w:sz w:val="20"/>
          <w:szCs w:val="20"/>
          <w:lang w:val="pt-BR"/>
        </w:rPr>
      </w:pPr>
      <w:r w:rsidRPr="0038442F">
        <w:rPr>
          <w:rFonts w:ascii="Verdana" w:hAnsi="Verdana"/>
          <w:sz w:val="20"/>
          <w:szCs w:val="20"/>
          <w:lang w:val="pt-BR"/>
        </w:rPr>
        <w:t xml:space="preserve">55. </w:t>
      </w:r>
      <w:r w:rsidRPr="0038442F">
        <w:rPr>
          <w:rFonts w:ascii="Verdana" w:hAnsi="Verdana"/>
          <w:sz w:val="20"/>
          <w:szCs w:val="20"/>
          <w:lang w:val="pt-BR"/>
        </w:rPr>
        <w:tab/>
      </w:r>
      <w:r w:rsidR="00247F19" w:rsidRPr="0038442F">
        <w:rPr>
          <w:rFonts w:ascii="Verdana" w:hAnsi="Verdana"/>
          <w:sz w:val="20"/>
          <w:szCs w:val="20"/>
          <w:lang w:val="pt-BR"/>
        </w:rPr>
        <w:t xml:space="preserve">No caso do Sistema Interamericano, em </w:t>
      </w:r>
      <w:r w:rsidR="00247F19" w:rsidRPr="0038442F">
        <w:rPr>
          <w:rFonts w:ascii="Verdana" w:hAnsi="Verdana" w:cs="Times New Roman"/>
          <w:sz w:val="20"/>
          <w:szCs w:val="20"/>
          <w:lang w:val="pt-BR"/>
        </w:rPr>
        <w:t xml:space="preserve">2016, </w:t>
      </w:r>
      <w:r w:rsidR="00247F19" w:rsidRPr="0038442F">
        <w:rPr>
          <w:rFonts w:ascii="Verdana" w:hAnsi="Verdana"/>
          <w:sz w:val="20"/>
          <w:szCs w:val="20"/>
          <w:lang w:val="pt-BR"/>
        </w:rPr>
        <w:t>salientei</w:t>
      </w:r>
      <w:r w:rsidR="00247F19" w:rsidRPr="0038442F">
        <w:rPr>
          <w:rStyle w:val="Refdenotaalpie"/>
          <w:rFonts w:ascii="Verdana" w:hAnsi="Verdana"/>
          <w:sz w:val="20"/>
          <w:szCs w:val="20"/>
          <w:lang w:val="pt-BR"/>
        </w:rPr>
        <w:footnoteReference w:id="90"/>
      </w:r>
      <w:r w:rsidR="00247F19" w:rsidRPr="0038442F">
        <w:rPr>
          <w:rFonts w:ascii="Verdana" w:hAnsi="Verdana"/>
          <w:sz w:val="20"/>
          <w:szCs w:val="20"/>
          <w:lang w:val="pt-BR"/>
        </w:rPr>
        <w:t xml:space="preserve"> que “</w:t>
      </w:r>
      <w:r w:rsidR="00247F19" w:rsidRPr="0038442F">
        <w:rPr>
          <w:rFonts w:ascii="Verdana" w:hAnsi="Verdana" w:cs="Times New Roman"/>
          <w:sz w:val="20"/>
          <w:szCs w:val="20"/>
          <w:lang w:val="pt-BR"/>
        </w:rPr>
        <w:t>a pobreza e a posição econômica estiveram presente[s] ao longo da jurisprudência [contenciosa</w:t>
      </w:r>
      <w:r w:rsidR="00247F19" w:rsidRPr="0038442F">
        <w:rPr>
          <w:rStyle w:val="Refdenotaalpie"/>
          <w:rFonts w:ascii="Verdana" w:hAnsi="Verdana" w:cs="Times New Roman"/>
          <w:sz w:val="20"/>
          <w:szCs w:val="20"/>
          <w:lang w:val="pt-BR"/>
        </w:rPr>
        <w:footnoteReference w:id="91"/>
      </w:r>
      <w:r w:rsidR="00247F19" w:rsidRPr="0038442F">
        <w:rPr>
          <w:rFonts w:ascii="Verdana" w:hAnsi="Verdana" w:cs="Times New Roman"/>
          <w:sz w:val="20"/>
          <w:szCs w:val="20"/>
          <w:lang w:val="pt-BR"/>
        </w:rPr>
        <w:t xml:space="preserve">] deste Tribunal Interamericano; muitas violações de direitos humanos se relacionam a situações de exclusão e de marginalização pela própria situação de pobreza das vítimas. […] na totalidade dos casos, se ha[via] identificado a pobreza como fator de vulnerabilidade que aprofunda o impacto que </w:t>
      </w:r>
      <w:r w:rsidR="00B837AE" w:rsidRPr="0038442F">
        <w:rPr>
          <w:rFonts w:ascii="Verdana" w:hAnsi="Verdana" w:cs="Times New Roman"/>
          <w:sz w:val="20"/>
          <w:szCs w:val="20"/>
          <w:lang w:val="pt-BR"/>
        </w:rPr>
        <w:t>sofrem</w:t>
      </w:r>
      <w:r w:rsidR="00247F19" w:rsidRPr="0038442F">
        <w:rPr>
          <w:rFonts w:ascii="Verdana" w:hAnsi="Verdana" w:cs="Times New Roman"/>
          <w:sz w:val="20"/>
          <w:szCs w:val="20"/>
          <w:lang w:val="pt-BR"/>
        </w:rPr>
        <w:t xml:space="preserve"> as vítimas de violações de direitos humanos submetidas a essa condição”.</w:t>
      </w:r>
      <w:r w:rsidR="00247F19" w:rsidRPr="0038442F">
        <w:rPr>
          <w:rStyle w:val="Refdenotaalpie"/>
          <w:rFonts w:ascii="Verdana" w:hAnsi="Verdana" w:cs="Times New Roman"/>
          <w:sz w:val="20"/>
          <w:szCs w:val="20"/>
          <w:lang w:val="pt-BR"/>
        </w:rPr>
        <w:footnoteReference w:id="92"/>
      </w:r>
      <w:r w:rsidR="00247F19" w:rsidRPr="0038442F">
        <w:rPr>
          <w:rFonts w:ascii="Verdana" w:hAnsi="Verdana" w:cs="Times New Roman"/>
          <w:sz w:val="20"/>
          <w:szCs w:val="20"/>
          <w:lang w:val="pt-BR"/>
        </w:rPr>
        <w:t xml:space="preserve"> Desse modo, entre 1989 e 2016, a jurisprudência da Corte IDH havia analisado a pobreza ou a posição econômica das vítimas de três formas distintas: em primeiro lugar, pobreza ou condição econômica associada a grupos de vulnerabilidade tradicionalmente identificados (crianças, mulheres, indígenas, pessoas com deficiência, migrantes, etc.); em segundo lugar, pobreza ou condição econômica analisada como discriminação intersecionada com outras categorias;</w:t>
      </w:r>
      <w:r w:rsidR="00247F19" w:rsidRPr="0038442F">
        <w:rPr>
          <w:rStyle w:val="Refdenotaalpie"/>
          <w:rFonts w:ascii="Verdana" w:hAnsi="Verdana"/>
          <w:sz w:val="20"/>
          <w:szCs w:val="20"/>
          <w:lang w:val="pt-BR"/>
        </w:rPr>
        <w:footnoteReference w:id="93"/>
      </w:r>
      <w:r w:rsidR="00247F19" w:rsidRPr="0038442F">
        <w:rPr>
          <w:rFonts w:ascii="Verdana" w:hAnsi="Verdana" w:cs="Times New Roman"/>
          <w:sz w:val="20"/>
          <w:szCs w:val="20"/>
          <w:lang w:val="pt-BR"/>
        </w:rPr>
        <w:t xml:space="preserve"> e, em terceiro lugar, pobreza ou condição econômica analisada de maneira isolada, dadas as circunstâncias do caso, sem vinculá-la a outra categoria de especial proteção.</w:t>
      </w:r>
      <w:r w:rsidR="00247F19" w:rsidRPr="0038442F">
        <w:rPr>
          <w:rStyle w:val="Refdenotaalpie"/>
          <w:rFonts w:ascii="Verdana" w:hAnsi="Verdana"/>
          <w:sz w:val="20"/>
          <w:szCs w:val="20"/>
          <w:lang w:val="pt-BR"/>
        </w:rPr>
        <w:footnoteReference w:id="94"/>
      </w:r>
      <w:r w:rsidR="00247F19" w:rsidRPr="0038442F">
        <w:rPr>
          <w:rFonts w:ascii="Verdana" w:hAnsi="Verdana" w:cs="Times New Roman"/>
          <w:sz w:val="20"/>
          <w:szCs w:val="20"/>
          <w:lang w:val="pt-BR"/>
        </w:rPr>
        <w:t xml:space="preserve"> </w:t>
      </w:r>
    </w:p>
    <w:p w14:paraId="4E10E429" w14:textId="77777777" w:rsidR="0068362F" w:rsidRPr="0038442F" w:rsidRDefault="0068362F" w:rsidP="00A857CB">
      <w:pPr>
        <w:pStyle w:val="Prrafodelista"/>
        <w:spacing w:line="240" w:lineRule="auto"/>
        <w:ind w:left="0"/>
        <w:jc w:val="both"/>
        <w:rPr>
          <w:rFonts w:ascii="Verdana" w:hAnsi="Verdana"/>
          <w:sz w:val="20"/>
          <w:szCs w:val="20"/>
          <w:lang w:val="pt-BR"/>
        </w:rPr>
      </w:pPr>
    </w:p>
    <w:p w14:paraId="790DD188" w14:textId="134D05DD" w:rsidR="00CE4FF4" w:rsidRPr="0038442F" w:rsidRDefault="00685AC6" w:rsidP="00685AC6">
      <w:pPr>
        <w:pStyle w:val="Prrafodelista"/>
        <w:spacing w:line="240" w:lineRule="auto"/>
        <w:ind w:left="0"/>
        <w:jc w:val="both"/>
        <w:rPr>
          <w:rFonts w:ascii="Verdana" w:hAnsi="Verdana"/>
          <w:sz w:val="20"/>
          <w:szCs w:val="20"/>
          <w:lang w:val="pt-BR"/>
        </w:rPr>
      </w:pPr>
      <w:r w:rsidRPr="0038442F">
        <w:rPr>
          <w:rFonts w:ascii="Verdana" w:hAnsi="Verdana"/>
          <w:sz w:val="20"/>
          <w:szCs w:val="20"/>
          <w:lang w:val="pt-BR"/>
        </w:rPr>
        <w:t xml:space="preserve">56. </w:t>
      </w:r>
      <w:r w:rsidRPr="0038442F">
        <w:rPr>
          <w:rFonts w:ascii="Verdana" w:hAnsi="Verdana"/>
          <w:sz w:val="20"/>
          <w:szCs w:val="20"/>
          <w:lang w:val="pt-BR"/>
        </w:rPr>
        <w:tab/>
      </w:r>
      <w:r w:rsidR="0068362F" w:rsidRPr="0038442F">
        <w:rPr>
          <w:rFonts w:ascii="Verdana" w:hAnsi="Verdana"/>
          <w:sz w:val="20"/>
          <w:szCs w:val="20"/>
          <w:lang w:val="pt-BR"/>
        </w:rPr>
        <w:t>S</w:t>
      </w:r>
      <w:r w:rsidR="00A35F8B" w:rsidRPr="0038442F">
        <w:rPr>
          <w:rFonts w:ascii="Verdana" w:hAnsi="Verdana"/>
          <w:sz w:val="20"/>
          <w:szCs w:val="20"/>
          <w:lang w:val="pt-BR"/>
        </w:rPr>
        <w:t>em prejuízo do exposto</w:t>
      </w:r>
      <w:r w:rsidR="0068362F" w:rsidRPr="0038442F">
        <w:rPr>
          <w:rFonts w:ascii="Verdana" w:hAnsi="Verdana"/>
          <w:sz w:val="20"/>
          <w:szCs w:val="20"/>
          <w:lang w:val="pt-BR"/>
        </w:rPr>
        <w:t xml:space="preserve">, </w:t>
      </w:r>
      <w:r w:rsidR="00A35F8B" w:rsidRPr="0038442F">
        <w:rPr>
          <w:rFonts w:ascii="Verdana" w:hAnsi="Verdana"/>
          <w:sz w:val="20"/>
          <w:szCs w:val="20"/>
          <w:lang w:val="pt-BR"/>
        </w:rPr>
        <w:t xml:space="preserve">considero um passo </w:t>
      </w:r>
      <w:r w:rsidR="00AB6EEC" w:rsidRPr="0038442F">
        <w:rPr>
          <w:rFonts w:ascii="Verdana" w:hAnsi="Verdana"/>
          <w:sz w:val="20"/>
          <w:szCs w:val="20"/>
          <w:lang w:val="pt-BR"/>
        </w:rPr>
        <w:t xml:space="preserve">fundamental para </w:t>
      </w:r>
      <w:r w:rsidR="00A35F8B" w:rsidRPr="0038442F">
        <w:rPr>
          <w:rFonts w:ascii="Verdana" w:hAnsi="Verdana"/>
          <w:sz w:val="20"/>
          <w:szCs w:val="20"/>
          <w:lang w:val="pt-BR"/>
        </w:rPr>
        <w:t xml:space="preserve">o </w:t>
      </w:r>
      <w:r w:rsidR="0068362F" w:rsidRPr="0038442F">
        <w:rPr>
          <w:rFonts w:ascii="Verdana" w:hAnsi="Verdana"/>
          <w:sz w:val="20"/>
          <w:szCs w:val="20"/>
          <w:lang w:val="pt-BR"/>
        </w:rPr>
        <w:t xml:space="preserve">Sistema Interamericano </w:t>
      </w:r>
      <w:r w:rsidR="00AB6EEC" w:rsidRPr="0038442F">
        <w:rPr>
          <w:rFonts w:ascii="Verdana" w:hAnsi="Verdana"/>
          <w:sz w:val="20"/>
          <w:szCs w:val="20"/>
          <w:lang w:val="pt-BR"/>
        </w:rPr>
        <w:t>(</w:t>
      </w:r>
      <w:r w:rsidR="00D274C6" w:rsidRPr="0038442F">
        <w:rPr>
          <w:rFonts w:ascii="Verdana" w:hAnsi="Verdana"/>
          <w:sz w:val="20"/>
          <w:szCs w:val="20"/>
          <w:lang w:val="pt-BR"/>
        </w:rPr>
        <w:t xml:space="preserve">e no </w:t>
      </w:r>
      <w:r w:rsidR="0068362F" w:rsidRPr="0038442F">
        <w:rPr>
          <w:rFonts w:ascii="Verdana" w:hAnsi="Verdana"/>
          <w:sz w:val="20"/>
          <w:szCs w:val="20"/>
          <w:lang w:val="pt-BR"/>
        </w:rPr>
        <w:t>D</w:t>
      </w:r>
      <w:r w:rsidR="00D274C6" w:rsidRPr="0038442F">
        <w:rPr>
          <w:rFonts w:ascii="Verdana" w:hAnsi="Verdana"/>
          <w:sz w:val="20"/>
          <w:szCs w:val="20"/>
          <w:lang w:val="pt-BR"/>
        </w:rPr>
        <w:t xml:space="preserve">ireito </w:t>
      </w:r>
      <w:r w:rsidR="0068362F" w:rsidRPr="0038442F">
        <w:rPr>
          <w:rFonts w:ascii="Verdana" w:hAnsi="Verdana"/>
          <w:sz w:val="20"/>
          <w:szCs w:val="20"/>
          <w:lang w:val="pt-BR"/>
        </w:rPr>
        <w:t xml:space="preserve">Internacional </w:t>
      </w:r>
      <w:r w:rsidR="00C92762" w:rsidRPr="0038442F">
        <w:rPr>
          <w:rFonts w:ascii="Verdana" w:hAnsi="Verdana"/>
          <w:sz w:val="20"/>
          <w:szCs w:val="20"/>
          <w:lang w:val="pt-BR"/>
        </w:rPr>
        <w:t>dos Direitos</w:t>
      </w:r>
      <w:r w:rsidR="00407242" w:rsidRPr="0038442F">
        <w:rPr>
          <w:rFonts w:ascii="Verdana" w:hAnsi="Verdana"/>
          <w:sz w:val="20"/>
          <w:szCs w:val="20"/>
          <w:lang w:val="pt-BR"/>
        </w:rPr>
        <w:t xml:space="preserve"> </w:t>
      </w:r>
      <w:r w:rsidR="0068362F" w:rsidRPr="0038442F">
        <w:rPr>
          <w:rFonts w:ascii="Verdana" w:hAnsi="Verdana"/>
          <w:sz w:val="20"/>
          <w:szCs w:val="20"/>
          <w:lang w:val="pt-BR"/>
        </w:rPr>
        <w:t>Humanos</w:t>
      </w:r>
      <w:r w:rsidR="00AB6EEC" w:rsidRPr="0038442F">
        <w:rPr>
          <w:rFonts w:ascii="Verdana" w:hAnsi="Verdana"/>
          <w:sz w:val="20"/>
          <w:szCs w:val="20"/>
          <w:lang w:val="pt-BR"/>
        </w:rPr>
        <w:t>)</w:t>
      </w:r>
      <w:r w:rsidR="0068362F" w:rsidRPr="0038442F">
        <w:rPr>
          <w:rFonts w:ascii="Verdana" w:hAnsi="Verdana"/>
          <w:sz w:val="20"/>
          <w:szCs w:val="20"/>
          <w:lang w:val="pt-BR"/>
        </w:rPr>
        <w:t xml:space="preserve"> </w:t>
      </w:r>
      <w:r w:rsidR="00D274C6" w:rsidRPr="0038442F">
        <w:rPr>
          <w:rFonts w:ascii="Verdana" w:hAnsi="Verdana"/>
          <w:sz w:val="20"/>
          <w:szCs w:val="20"/>
          <w:lang w:val="pt-BR"/>
        </w:rPr>
        <w:t xml:space="preserve">o </w:t>
      </w:r>
      <w:r w:rsidR="00D274C6" w:rsidRPr="0038442F">
        <w:rPr>
          <w:rFonts w:ascii="Verdana" w:hAnsi="Verdana"/>
          <w:i/>
          <w:sz w:val="20"/>
          <w:szCs w:val="20"/>
          <w:lang w:val="pt-BR"/>
        </w:rPr>
        <w:t xml:space="preserve">Caso </w:t>
      </w:r>
      <w:r w:rsidR="00D274C6" w:rsidRPr="0038442F">
        <w:rPr>
          <w:rFonts w:ascii="Verdana" w:hAnsi="Verdana"/>
          <w:i/>
          <w:iCs/>
          <w:sz w:val="20"/>
          <w:szCs w:val="20"/>
          <w:lang w:val="pt-BR"/>
        </w:rPr>
        <w:t xml:space="preserve">Trabalhadores da Fazenda </w:t>
      </w:r>
      <w:r w:rsidR="0068362F" w:rsidRPr="0038442F">
        <w:rPr>
          <w:rFonts w:ascii="Verdana" w:hAnsi="Verdana"/>
          <w:i/>
          <w:iCs/>
          <w:sz w:val="20"/>
          <w:szCs w:val="20"/>
          <w:lang w:val="pt-BR"/>
        </w:rPr>
        <w:t>Brasil Verde</w:t>
      </w:r>
      <w:r w:rsidR="0068362F" w:rsidRPr="0038442F">
        <w:rPr>
          <w:rFonts w:ascii="Verdana" w:hAnsi="Verdana"/>
          <w:sz w:val="20"/>
          <w:szCs w:val="20"/>
          <w:lang w:val="pt-BR"/>
        </w:rPr>
        <w:t xml:space="preserve">, </w:t>
      </w:r>
      <w:r w:rsidR="00D274C6" w:rsidRPr="0038442F">
        <w:rPr>
          <w:rFonts w:ascii="Verdana" w:hAnsi="Verdana"/>
          <w:sz w:val="20"/>
          <w:szCs w:val="20"/>
          <w:lang w:val="pt-BR"/>
        </w:rPr>
        <w:t xml:space="preserve">em que a </w:t>
      </w:r>
      <w:r w:rsidR="0068362F" w:rsidRPr="0038442F">
        <w:rPr>
          <w:rFonts w:ascii="Verdana" w:hAnsi="Verdana"/>
          <w:sz w:val="20"/>
          <w:szCs w:val="20"/>
          <w:lang w:val="pt-BR"/>
        </w:rPr>
        <w:t xml:space="preserve">Corte IDH </w:t>
      </w:r>
      <w:r w:rsidR="00D274C6" w:rsidRPr="0038442F">
        <w:rPr>
          <w:rFonts w:ascii="Verdana" w:hAnsi="Verdana"/>
          <w:sz w:val="20"/>
          <w:szCs w:val="20"/>
          <w:lang w:val="pt-BR"/>
        </w:rPr>
        <w:t xml:space="preserve">analisou em um </w:t>
      </w:r>
      <w:r w:rsidR="00C83729" w:rsidRPr="0038442F">
        <w:rPr>
          <w:rFonts w:ascii="Verdana" w:hAnsi="Verdana"/>
          <w:sz w:val="20"/>
          <w:szCs w:val="20"/>
          <w:lang w:val="pt-BR"/>
        </w:rPr>
        <w:t>caso contencioso</w:t>
      </w:r>
      <w:r w:rsidR="005327AA" w:rsidRPr="0038442F">
        <w:rPr>
          <w:rFonts w:ascii="Verdana" w:hAnsi="Verdana"/>
          <w:sz w:val="20"/>
          <w:szCs w:val="20"/>
          <w:lang w:val="pt-BR"/>
        </w:rPr>
        <w:t>,</w:t>
      </w:r>
      <w:r w:rsidR="00C83729" w:rsidRPr="0038442F">
        <w:rPr>
          <w:rFonts w:ascii="Verdana" w:hAnsi="Verdana"/>
          <w:sz w:val="20"/>
          <w:szCs w:val="20"/>
          <w:lang w:val="pt-BR"/>
        </w:rPr>
        <w:t xml:space="preserve"> </w:t>
      </w:r>
      <w:r w:rsidR="0068362F" w:rsidRPr="0038442F">
        <w:rPr>
          <w:rFonts w:ascii="Verdana" w:hAnsi="Verdana"/>
          <w:sz w:val="20"/>
          <w:szCs w:val="20"/>
          <w:lang w:val="pt-BR"/>
        </w:rPr>
        <w:t xml:space="preserve">de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68362F" w:rsidRPr="0038442F">
        <w:rPr>
          <w:rFonts w:ascii="Verdana" w:hAnsi="Verdana"/>
          <w:sz w:val="20"/>
          <w:szCs w:val="20"/>
          <w:lang w:val="pt-BR"/>
        </w:rPr>
        <w:t xml:space="preserve">direta, </w:t>
      </w:r>
      <w:r w:rsidR="00D274C6" w:rsidRPr="0038442F">
        <w:rPr>
          <w:rFonts w:ascii="Verdana" w:hAnsi="Verdana"/>
          <w:sz w:val="20"/>
          <w:szCs w:val="20"/>
          <w:lang w:val="pt-BR"/>
        </w:rPr>
        <w:t xml:space="preserve">isolada e autônoma a </w:t>
      </w:r>
      <w:r w:rsidR="008D1D71" w:rsidRPr="0038442F">
        <w:rPr>
          <w:rFonts w:ascii="Verdana" w:hAnsi="Verdana"/>
          <w:sz w:val="20"/>
          <w:szCs w:val="20"/>
          <w:lang w:val="pt-BR"/>
        </w:rPr>
        <w:t>categoria</w:t>
      </w:r>
      <w:r w:rsidR="00407242" w:rsidRPr="0038442F">
        <w:rPr>
          <w:rFonts w:ascii="Verdana" w:hAnsi="Verdana"/>
          <w:sz w:val="20"/>
          <w:szCs w:val="20"/>
          <w:lang w:val="pt-BR"/>
        </w:rPr>
        <w:t xml:space="preserve"> </w:t>
      </w:r>
      <w:r w:rsidR="0068362F" w:rsidRPr="0038442F">
        <w:rPr>
          <w:rFonts w:ascii="Verdana" w:hAnsi="Verdana"/>
          <w:sz w:val="20"/>
          <w:szCs w:val="20"/>
          <w:lang w:val="pt-BR"/>
        </w:rPr>
        <w:t>“posi</w:t>
      </w:r>
      <w:r w:rsidR="000A1AA8" w:rsidRPr="0038442F">
        <w:rPr>
          <w:rFonts w:ascii="Verdana" w:hAnsi="Verdana"/>
          <w:sz w:val="20"/>
          <w:szCs w:val="20"/>
          <w:lang w:val="pt-BR"/>
        </w:rPr>
        <w:t>ção</w:t>
      </w:r>
      <w:r w:rsidR="0068362F" w:rsidRPr="0038442F">
        <w:rPr>
          <w:rFonts w:ascii="Verdana" w:hAnsi="Verdana"/>
          <w:sz w:val="20"/>
          <w:szCs w:val="20"/>
          <w:lang w:val="pt-BR"/>
        </w:rPr>
        <w:t xml:space="preserve"> </w:t>
      </w:r>
      <w:r w:rsidR="006445EE" w:rsidRPr="0038442F">
        <w:rPr>
          <w:rFonts w:ascii="Verdana" w:hAnsi="Verdana"/>
          <w:sz w:val="20"/>
          <w:szCs w:val="20"/>
          <w:lang w:val="pt-BR"/>
        </w:rPr>
        <w:t>econômica</w:t>
      </w:r>
      <w:r w:rsidR="0068362F" w:rsidRPr="0038442F">
        <w:rPr>
          <w:rFonts w:ascii="Verdana" w:hAnsi="Verdana"/>
          <w:sz w:val="20"/>
          <w:szCs w:val="20"/>
          <w:lang w:val="pt-BR"/>
        </w:rPr>
        <w:t>”</w:t>
      </w:r>
      <w:r w:rsidR="00B34D0A" w:rsidRPr="0038442F">
        <w:rPr>
          <w:rFonts w:ascii="Verdana" w:hAnsi="Verdana"/>
          <w:sz w:val="20"/>
          <w:szCs w:val="20"/>
          <w:lang w:val="pt-BR"/>
        </w:rPr>
        <w:t>,</w:t>
      </w:r>
      <w:r w:rsidR="0068362F" w:rsidRPr="0038442F">
        <w:rPr>
          <w:rFonts w:ascii="Verdana" w:hAnsi="Verdana"/>
          <w:sz w:val="20"/>
          <w:szCs w:val="20"/>
          <w:lang w:val="pt-BR"/>
        </w:rPr>
        <w:t xml:space="preserve"> contemplada </w:t>
      </w:r>
      <w:r w:rsidR="00751189" w:rsidRPr="0038442F">
        <w:rPr>
          <w:rFonts w:ascii="Verdana" w:hAnsi="Verdana"/>
          <w:sz w:val="20"/>
          <w:szCs w:val="20"/>
          <w:lang w:val="pt-BR"/>
        </w:rPr>
        <w:t xml:space="preserve">no </w:t>
      </w:r>
      <w:r w:rsidR="00D274C6" w:rsidRPr="0038442F">
        <w:rPr>
          <w:rFonts w:ascii="Verdana" w:hAnsi="Verdana"/>
          <w:sz w:val="20"/>
          <w:szCs w:val="20"/>
          <w:lang w:val="pt-BR"/>
        </w:rPr>
        <w:t xml:space="preserve">artigo </w:t>
      </w:r>
      <w:r w:rsidR="0068362F" w:rsidRPr="0038442F">
        <w:rPr>
          <w:rFonts w:ascii="Verdana" w:hAnsi="Verdana"/>
          <w:sz w:val="20"/>
          <w:szCs w:val="20"/>
          <w:lang w:val="pt-BR"/>
        </w:rPr>
        <w:t>1.1 d</w:t>
      </w:r>
      <w:r w:rsidR="00D274C6" w:rsidRPr="0038442F">
        <w:rPr>
          <w:rFonts w:ascii="Verdana" w:hAnsi="Verdana"/>
          <w:sz w:val="20"/>
          <w:szCs w:val="20"/>
          <w:lang w:val="pt-BR"/>
        </w:rPr>
        <w:t>o</w:t>
      </w:r>
      <w:r w:rsidR="0068362F" w:rsidRPr="0038442F">
        <w:rPr>
          <w:rFonts w:ascii="Verdana" w:hAnsi="Verdana"/>
          <w:sz w:val="20"/>
          <w:szCs w:val="20"/>
          <w:lang w:val="pt-BR"/>
        </w:rPr>
        <w:t xml:space="preserve"> Pacto de San José. </w:t>
      </w:r>
      <w:r w:rsidR="00CE4FF4" w:rsidRPr="0038442F">
        <w:rPr>
          <w:rFonts w:ascii="Verdana" w:hAnsi="Verdana"/>
          <w:sz w:val="20"/>
          <w:szCs w:val="20"/>
          <w:lang w:val="pt-BR"/>
        </w:rPr>
        <w:t>A</w:t>
      </w:r>
      <w:r w:rsidR="00D274C6" w:rsidRPr="0038442F">
        <w:rPr>
          <w:rFonts w:ascii="Verdana" w:hAnsi="Verdana"/>
          <w:sz w:val="20"/>
          <w:szCs w:val="20"/>
          <w:lang w:val="pt-BR"/>
        </w:rPr>
        <w:t xml:space="preserve">lém disso, </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CE4FF4" w:rsidRPr="0038442F">
        <w:rPr>
          <w:rFonts w:ascii="Verdana" w:hAnsi="Verdana"/>
          <w:sz w:val="20"/>
          <w:szCs w:val="20"/>
          <w:lang w:val="pt-BR"/>
        </w:rPr>
        <w:t>f</w:t>
      </w:r>
      <w:r w:rsidR="00D274C6" w:rsidRPr="0038442F">
        <w:rPr>
          <w:rFonts w:ascii="Verdana" w:hAnsi="Verdana"/>
          <w:sz w:val="20"/>
          <w:szCs w:val="20"/>
          <w:lang w:val="pt-BR"/>
        </w:rPr>
        <w:t>oi</w:t>
      </w:r>
      <w:r w:rsidR="00CE4FF4" w:rsidRPr="0038442F">
        <w:rPr>
          <w:rFonts w:ascii="Verdana" w:hAnsi="Verdana"/>
          <w:sz w:val="20"/>
          <w:szCs w:val="20"/>
          <w:lang w:val="pt-BR"/>
        </w:rPr>
        <w:t xml:space="preserve"> verdade</w:t>
      </w:r>
      <w:r w:rsidR="00D274C6" w:rsidRPr="0038442F">
        <w:rPr>
          <w:rFonts w:ascii="Verdana" w:hAnsi="Verdana"/>
          <w:sz w:val="20"/>
          <w:szCs w:val="20"/>
          <w:lang w:val="pt-BR"/>
        </w:rPr>
        <w:t>i</w:t>
      </w:r>
      <w:r w:rsidR="00CE4FF4" w:rsidRPr="0038442F">
        <w:rPr>
          <w:rFonts w:ascii="Verdana" w:hAnsi="Verdana"/>
          <w:sz w:val="20"/>
          <w:szCs w:val="20"/>
          <w:lang w:val="pt-BR"/>
        </w:rPr>
        <w:t xml:space="preserve">ramente inovador </w:t>
      </w:r>
      <w:r w:rsidR="00984A83" w:rsidRPr="0038442F">
        <w:rPr>
          <w:rFonts w:ascii="Verdana" w:hAnsi="Verdana"/>
          <w:sz w:val="20"/>
          <w:szCs w:val="20"/>
          <w:lang w:val="pt-BR"/>
        </w:rPr>
        <w:t>analisar</w:t>
      </w:r>
      <w:r w:rsidR="00407242" w:rsidRPr="0038442F">
        <w:rPr>
          <w:rFonts w:ascii="Verdana" w:hAnsi="Verdana"/>
          <w:sz w:val="20"/>
          <w:szCs w:val="20"/>
          <w:lang w:val="pt-BR"/>
        </w:rPr>
        <w:t xml:space="preserve"> </w:t>
      </w:r>
      <w:r w:rsidR="00CE4FF4" w:rsidRPr="0038442F">
        <w:rPr>
          <w:rFonts w:ascii="Verdana" w:hAnsi="Verdana"/>
          <w:sz w:val="20"/>
          <w:szCs w:val="20"/>
          <w:lang w:val="pt-BR"/>
        </w:rPr>
        <w:t>a “posi</w:t>
      </w:r>
      <w:r w:rsidR="000A1AA8" w:rsidRPr="0038442F">
        <w:rPr>
          <w:rFonts w:ascii="Verdana" w:hAnsi="Verdana"/>
          <w:sz w:val="20"/>
          <w:szCs w:val="20"/>
          <w:lang w:val="pt-BR"/>
        </w:rPr>
        <w:t>ção</w:t>
      </w:r>
      <w:r w:rsidR="00CE4FF4" w:rsidRPr="0038442F">
        <w:rPr>
          <w:rFonts w:ascii="Verdana" w:hAnsi="Verdana"/>
          <w:sz w:val="20"/>
          <w:szCs w:val="20"/>
          <w:lang w:val="pt-BR"/>
        </w:rPr>
        <w:t xml:space="preserve"> </w:t>
      </w:r>
      <w:r w:rsidR="006445EE" w:rsidRPr="0038442F">
        <w:rPr>
          <w:rFonts w:ascii="Verdana" w:hAnsi="Verdana"/>
          <w:sz w:val="20"/>
          <w:szCs w:val="20"/>
          <w:lang w:val="pt-BR"/>
        </w:rPr>
        <w:t>econômica</w:t>
      </w:r>
      <w:r w:rsidR="00CE4FF4" w:rsidRPr="0038442F">
        <w:rPr>
          <w:rFonts w:ascii="Verdana" w:hAnsi="Verdana"/>
          <w:sz w:val="20"/>
          <w:szCs w:val="20"/>
          <w:lang w:val="pt-BR"/>
        </w:rPr>
        <w:t>” d</w:t>
      </w:r>
      <w:r w:rsidR="00C92762" w:rsidRPr="0038442F">
        <w:rPr>
          <w:rFonts w:ascii="Verdana" w:hAnsi="Verdana"/>
          <w:sz w:val="20"/>
          <w:szCs w:val="20"/>
          <w:lang w:val="pt-BR"/>
        </w:rPr>
        <w:t>a</w:t>
      </w:r>
      <w:r w:rsidR="00407242" w:rsidRPr="0038442F">
        <w:rPr>
          <w:rFonts w:ascii="Verdana" w:hAnsi="Verdana"/>
          <w:sz w:val="20"/>
          <w:szCs w:val="20"/>
          <w:lang w:val="pt-BR"/>
        </w:rPr>
        <w:t xml:space="preserve"> </w:t>
      </w:r>
      <w:r w:rsidR="00CE4FF4" w:rsidRPr="0038442F">
        <w:rPr>
          <w:rFonts w:ascii="Verdana" w:hAnsi="Verdana"/>
          <w:sz w:val="20"/>
          <w:szCs w:val="20"/>
          <w:lang w:val="pt-BR"/>
        </w:rPr>
        <w:t xml:space="preserve">ótica </w:t>
      </w:r>
      <w:r w:rsidR="00C92762" w:rsidRPr="0038442F">
        <w:rPr>
          <w:rFonts w:ascii="Verdana" w:hAnsi="Verdana"/>
          <w:sz w:val="20"/>
          <w:szCs w:val="20"/>
          <w:lang w:val="pt-BR"/>
        </w:rPr>
        <w:t xml:space="preserve">da </w:t>
      </w:r>
      <w:r w:rsidR="00CE4FF4" w:rsidRPr="0038442F">
        <w:rPr>
          <w:rFonts w:ascii="Verdana" w:hAnsi="Verdana"/>
          <w:sz w:val="20"/>
          <w:szCs w:val="20"/>
          <w:lang w:val="pt-BR"/>
        </w:rPr>
        <w:t>“pobreza”</w:t>
      </w:r>
      <w:r w:rsidR="00D274C6" w:rsidRPr="0038442F">
        <w:rPr>
          <w:rFonts w:ascii="Verdana" w:hAnsi="Verdana"/>
          <w:sz w:val="20"/>
          <w:szCs w:val="20"/>
          <w:lang w:val="pt-BR"/>
        </w:rPr>
        <w:t>.</w:t>
      </w:r>
      <w:r w:rsidR="00DB1C6A" w:rsidRPr="0038442F">
        <w:rPr>
          <w:rStyle w:val="Refdenotaalpie"/>
          <w:rFonts w:ascii="Verdana" w:hAnsi="Verdana"/>
          <w:sz w:val="20"/>
          <w:szCs w:val="20"/>
          <w:lang w:val="pt-BR"/>
        </w:rPr>
        <w:footnoteReference w:id="95"/>
      </w:r>
      <w:r w:rsidR="00CE4FF4" w:rsidRPr="0038442F">
        <w:rPr>
          <w:rFonts w:ascii="Verdana" w:hAnsi="Verdana"/>
          <w:sz w:val="20"/>
          <w:szCs w:val="20"/>
          <w:lang w:val="pt-BR"/>
        </w:rPr>
        <w:t xml:space="preserve"> A</w:t>
      </w:r>
      <w:r w:rsidR="00D274C6" w:rsidRPr="0038442F">
        <w:rPr>
          <w:rFonts w:ascii="Verdana" w:hAnsi="Verdana"/>
          <w:sz w:val="20"/>
          <w:szCs w:val="20"/>
          <w:lang w:val="pt-BR"/>
        </w:rPr>
        <w:t>ssim</w:t>
      </w:r>
      <w:r w:rsidR="00CE4FF4" w:rsidRPr="0038442F">
        <w:rPr>
          <w:rFonts w:ascii="Verdana" w:hAnsi="Verdana"/>
          <w:sz w:val="20"/>
          <w:szCs w:val="20"/>
          <w:lang w:val="pt-BR"/>
        </w:rPr>
        <w:t xml:space="preserve">, por </w:t>
      </w:r>
      <w:r w:rsidR="00D45B15" w:rsidRPr="0038442F">
        <w:rPr>
          <w:rFonts w:ascii="Verdana" w:hAnsi="Verdana"/>
          <w:sz w:val="20"/>
          <w:szCs w:val="20"/>
          <w:lang w:val="pt-BR"/>
        </w:rPr>
        <w:t>exemplo</w:t>
      </w:r>
      <w:r w:rsidR="00CE4FF4" w:rsidRPr="0038442F">
        <w:rPr>
          <w:rFonts w:ascii="Verdana" w:hAnsi="Verdana"/>
          <w:sz w:val="20"/>
          <w:szCs w:val="20"/>
          <w:lang w:val="pt-BR"/>
        </w:rPr>
        <w:t xml:space="preserve">, </w:t>
      </w:r>
      <w:r w:rsidR="00D274C6" w:rsidRPr="0038442F">
        <w:rPr>
          <w:rFonts w:ascii="Verdana" w:hAnsi="Verdana"/>
          <w:sz w:val="20"/>
          <w:szCs w:val="20"/>
          <w:lang w:val="pt-BR"/>
        </w:rPr>
        <w:t xml:space="preserve">naquele </w:t>
      </w:r>
      <w:r w:rsidR="00CE4FF4" w:rsidRPr="0038442F">
        <w:rPr>
          <w:rFonts w:ascii="Verdana" w:hAnsi="Verdana"/>
          <w:sz w:val="20"/>
          <w:szCs w:val="20"/>
          <w:lang w:val="pt-BR"/>
        </w:rPr>
        <w:t xml:space="preserve">caso </w:t>
      </w:r>
      <w:r w:rsidR="008806F8" w:rsidRPr="0038442F">
        <w:rPr>
          <w:rFonts w:ascii="Verdana" w:hAnsi="Verdana"/>
          <w:sz w:val="20"/>
          <w:szCs w:val="20"/>
          <w:lang w:val="pt-BR"/>
        </w:rPr>
        <w:t xml:space="preserve">a Corte </w:t>
      </w:r>
      <w:r w:rsidR="003B308E" w:rsidRPr="0038442F">
        <w:rPr>
          <w:rFonts w:ascii="Verdana" w:hAnsi="Verdana"/>
          <w:sz w:val="20"/>
          <w:szCs w:val="20"/>
          <w:lang w:val="pt-BR"/>
        </w:rPr>
        <w:t xml:space="preserve">IDH </w:t>
      </w:r>
      <w:r w:rsidR="00D274C6" w:rsidRPr="0038442F">
        <w:rPr>
          <w:rFonts w:ascii="Verdana" w:hAnsi="Verdana"/>
          <w:sz w:val="20"/>
          <w:szCs w:val="20"/>
          <w:lang w:val="pt-BR"/>
        </w:rPr>
        <w:t xml:space="preserve">considerou </w:t>
      </w:r>
      <w:r w:rsidR="00CE4FF4" w:rsidRPr="0038442F">
        <w:rPr>
          <w:rFonts w:ascii="Verdana" w:hAnsi="Verdana"/>
          <w:sz w:val="20"/>
          <w:szCs w:val="20"/>
          <w:lang w:val="pt-BR"/>
        </w:rPr>
        <w:t xml:space="preserve">que: </w:t>
      </w:r>
    </w:p>
    <w:p w14:paraId="222C4A0A" w14:textId="57DC1954" w:rsidR="00CE4FF4" w:rsidRPr="0038442F" w:rsidRDefault="00CE4FF4" w:rsidP="00A857CB">
      <w:pPr>
        <w:ind w:left="708" w:right="615"/>
        <w:jc w:val="both"/>
        <w:rPr>
          <w:rFonts w:ascii="Verdana" w:hAnsi="Verdana"/>
          <w:sz w:val="20"/>
          <w:szCs w:val="20"/>
          <w:lang w:val="pt-BR"/>
        </w:rPr>
      </w:pPr>
      <w:r w:rsidRPr="0038442F">
        <w:rPr>
          <w:rFonts w:ascii="Verdana" w:hAnsi="Verdana"/>
          <w:sz w:val="16"/>
          <w:szCs w:val="16"/>
          <w:lang w:val="pt-BR"/>
        </w:rPr>
        <w:t xml:space="preserve">339. […] </w:t>
      </w:r>
      <w:r w:rsidR="00751189" w:rsidRPr="0038442F">
        <w:rPr>
          <w:rFonts w:ascii="Verdana" w:hAnsi="Verdana"/>
          <w:sz w:val="16"/>
          <w:szCs w:val="16"/>
          <w:lang w:val="pt-BR"/>
        </w:rPr>
        <w:t xml:space="preserve">no </w:t>
      </w:r>
      <w:r w:rsidRPr="0038442F">
        <w:rPr>
          <w:rFonts w:ascii="Verdana" w:hAnsi="Verdana"/>
          <w:sz w:val="16"/>
          <w:szCs w:val="16"/>
          <w:lang w:val="pt-BR"/>
        </w:rPr>
        <w:t>presente caso</w:t>
      </w:r>
      <w:r w:rsidR="00D274C6" w:rsidRPr="0038442F">
        <w:rPr>
          <w:rFonts w:ascii="Verdana" w:hAnsi="Verdana"/>
          <w:sz w:val="16"/>
          <w:szCs w:val="16"/>
          <w:lang w:val="pt-BR"/>
        </w:rPr>
        <w:t>,</w:t>
      </w:r>
      <w:r w:rsidRPr="0038442F">
        <w:rPr>
          <w:rFonts w:ascii="Verdana" w:hAnsi="Verdana"/>
          <w:sz w:val="16"/>
          <w:szCs w:val="16"/>
          <w:lang w:val="pt-BR"/>
        </w:rPr>
        <w:t xml:space="preserve"> </w:t>
      </w:r>
      <w:r w:rsidR="00C92762" w:rsidRPr="0038442F">
        <w:rPr>
          <w:rFonts w:ascii="Verdana" w:hAnsi="Verdana"/>
          <w:sz w:val="16"/>
          <w:szCs w:val="16"/>
          <w:u w:val="single"/>
          <w:lang w:val="pt-BR"/>
        </w:rPr>
        <w:t>algumas</w:t>
      </w:r>
      <w:r w:rsidR="00407242" w:rsidRPr="0038442F">
        <w:rPr>
          <w:rFonts w:ascii="Verdana" w:hAnsi="Verdana"/>
          <w:sz w:val="16"/>
          <w:szCs w:val="16"/>
          <w:u w:val="single"/>
          <w:lang w:val="pt-BR"/>
        </w:rPr>
        <w:t xml:space="preserve"> </w:t>
      </w:r>
      <w:r w:rsidRPr="0038442F">
        <w:rPr>
          <w:rFonts w:ascii="Verdana" w:hAnsi="Verdana"/>
          <w:sz w:val="16"/>
          <w:szCs w:val="16"/>
          <w:u w:val="single"/>
          <w:lang w:val="pt-BR"/>
        </w:rPr>
        <w:t>características de particular vitimiza</w:t>
      </w:r>
      <w:r w:rsidR="000A1AA8" w:rsidRPr="0038442F">
        <w:rPr>
          <w:rFonts w:ascii="Verdana" w:hAnsi="Verdana"/>
          <w:sz w:val="16"/>
          <w:szCs w:val="16"/>
          <w:u w:val="single"/>
          <w:lang w:val="pt-BR"/>
        </w:rPr>
        <w:t>ção</w:t>
      </w:r>
      <w:r w:rsidRPr="0038442F">
        <w:rPr>
          <w:rFonts w:ascii="Verdana" w:hAnsi="Verdana"/>
          <w:sz w:val="16"/>
          <w:szCs w:val="16"/>
          <w:u w:val="single"/>
          <w:lang w:val="pt-BR"/>
        </w:rPr>
        <w:t xml:space="preserve"> comparti</w:t>
      </w:r>
      <w:r w:rsidR="00D274C6" w:rsidRPr="0038442F">
        <w:rPr>
          <w:rFonts w:ascii="Verdana" w:hAnsi="Verdana"/>
          <w:sz w:val="16"/>
          <w:szCs w:val="16"/>
          <w:u w:val="single"/>
          <w:lang w:val="pt-BR"/>
        </w:rPr>
        <w:t>lha</w:t>
      </w:r>
      <w:r w:rsidRPr="0038442F">
        <w:rPr>
          <w:rFonts w:ascii="Verdana" w:hAnsi="Verdana"/>
          <w:sz w:val="16"/>
          <w:szCs w:val="16"/>
          <w:u w:val="single"/>
          <w:lang w:val="pt-BR"/>
        </w:rPr>
        <w:t>das p</w:t>
      </w:r>
      <w:r w:rsidR="00D274C6" w:rsidRPr="0038442F">
        <w:rPr>
          <w:rFonts w:ascii="Verdana" w:hAnsi="Verdana"/>
          <w:sz w:val="16"/>
          <w:szCs w:val="16"/>
          <w:u w:val="single"/>
          <w:lang w:val="pt-BR"/>
        </w:rPr>
        <w:t xml:space="preserve">elos </w:t>
      </w:r>
      <w:r w:rsidRPr="0038442F">
        <w:rPr>
          <w:rFonts w:ascii="Verdana" w:hAnsi="Verdana"/>
          <w:sz w:val="16"/>
          <w:szCs w:val="16"/>
          <w:u w:val="single"/>
          <w:lang w:val="pt-BR"/>
        </w:rPr>
        <w:t xml:space="preserve">85 </w:t>
      </w:r>
      <w:r w:rsidR="00246A73" w:rsidRPr="0038442F">
        <w:rPr>
          <w:rFonts w:ascii="Verdana" w:hAnsi="Verdana"/>
          <w:sz w:val="16"/>
          <w:szCs w:val="16"/>
          <w:u w:val="single"/>
          <w:lang w:val="pt-BR"/>
        </w:rPr>
        <w:t>trabalhadores</w:t>
      </w:r>
      <w:r w:rsidR="00407242" w:rsidRPr="0038442F">
        <w:rPr>
          <w:rFonts w:ascii="Verdana" w:hAnsi="Verdana"/>
          <w:sz w:val="16"/>
          <w:szCs w:val="16"/>
          <w:u w:val="single"/>
          <w:lang w:val="pt-BR"/>
        </w:rPr>
        <w:t xml:space="preserve"> </w:t>
      </w:r>
      <w:r w:rsidRPr="0038442F">
        <w:rPr>
          <w:rFonts w:ascii="Verdana" w:hAnsi="Verdana"/>
          <w:sz w:val="16"/>
          <w:szCs w:val="16"/>
          <w:u w:val="single"/>
          <w:lang w:val="pt-BR"/>
        </w:rPr>
        <w:t>res</w:t>
      </w:r>
      <w:r w:rsidR="00D274C6" w:rsidRPr="0038442F">
        <w:rPr>
          <w:rFonts w:ascii="Verdana" w:hAnsi="Verdana"/>
          <w:sz w:val="16"/>
          <w:szCs w:val="16"/>
          <w:u w:val="single"/>
          <w:lang w:val="pt-BR"/>
        </w:rPr>
        <w:t>g</w:t>
      </w:r>
      <w:r w:rsidRPr="0038442F">
        <w:rPr>
          <w:rFonts w:ascii="Verdana" w:hAnsi="Verdana"/>
          <w:sz w:val="16"/>
          <w:szCs w:val="16"/>
          <w:u w:val="single"/>
          <w:lang w:val="pt-BR"/>
        </w:rPr>
        <w:t>atados</w:t>
      </w:r>
      <w:r w:rsidRPr="0038442F">
        <w:rPr>
          <w:rFonts w:ascii="Verdana" w:hAnsi="Verdana"/>
          <w:sz w:val="16"/>
          <w:szCs w:val="16"/>
          <w:lang w:val="pt-BR"/>
        </w:rPr>
        <w:t xml:space="preserve"> e</w:t>
      </w:r>
      <w:r w:rsidR="00D274C6" w:rsidRPr="0038442F">
        <w:rPr>
          <w:rFonts w:ascii="Verdana" w:hAnsi="Verdana"/>
          <w:sz w:val="16"/>
          <w:szCs w:val="16"/>
          <w:lang w:val="pt-BR"/>
        </w:rPr>
        <w:t>m</w:t>
      </w:r>
      <w:r w:rsidRPr="0038442F">
        <w:rPr>
          <w:rFonts w:ascii="Verdana" w:hAnsi="Verdana"/>
          <w:sz w:val="16"/>
          <w:szCs w:val="16"/>
          <w:lang w:val="pt-BR"/>
        </w:rPr>
        <w:t xml:space="preserve"> 15 de mar</w:t>
      </w:r>
      <w:r w:rsidR="00D274C6" w:rsidRPr="0038442F">
        <w:rPr>
          <w:rFonts w:ascii="Verdana" w:hAnsi="Verdana"/>
          <w:sz w:val="16"/>
          <w:szCs w:val="16"/>
          <w:lang w:val="pt-BR"/>
        </w:rPr>
        <w:t>ç</w:t>
      </w:r>
      <w:r w:rsidRPr="0038442F">
        <w:rPr>
          <w:rFonts w:ascii="Verdana" w:hAnsi="Verdana"/>
          <w:sz w:val="16"/>
          <w:szCs w:val="16"/>
          <w:lang w:val="pt-BR"/>
        </w:rPr>
        <w:t xml:space="preserve">o de 2000: </w:t>
      </w:r>
      <w:r w:rsidRPr="0038442F">
        <w:rPr>
          <w:rFonts w:ascii="Verdana" w:hAnsi="Verdana"/>
          <w:i/>
          <w:sz w:val="16"/>
          <w:szCs w:val="16"/>
          <w:lang w:val="pt-BR"/>
        </w:rPr>
        <w:t>[i)]</w:t>
      </w:r>
      <w:r w:rsidRPr="0038442F">
        <w:rPr>
          <w:rFonts w:ascii="Verdana" w:hAnsi="Verdana"/>
          <w:i/>
          <w:sz w:val="16"/>
          <w:szCs w:val="16"/>
          <w:u w:val="single"/>
          <w:lang w:val="pt-BR"/>
        </w:rPr>
        <w:t xml:space="preserve">se </w:t>
      </w:r>
      <w:r w:rsidR="00BF7A10" w:rsidRPr="0038442F">
        <w:rPr>
          <w:rFonts w:ascii="Verdana" w:hAnsi="Verdana"/>
          <w:i/>
          <w:sz w:val="16"/>
          <w:szCs w:val="16"/>
          <w:u w:val="single"/>
          <w:lang w:val="pt-BR"/>
        </w:rPr>
        <w:t>encontravam</w:t>
      </w:r>
      <w:r w:rsidR="00407242" w:rsidRPr="0038442F">
        <w:rPr>
          <w:rFonts w:ascii="Verdana" w:hAnsi="Verdana"/>
          <w:i/>
          <w:sz w:val="16"/>
          <w:szCs w:val="16"/>
          <w:u w:val="single"/>
          <w:lang w:val="pt-BR"/>
        </w:rPr>
        <w:t xml:space="preserve"> </w:t>
      </w:r>
      <w:r w:rsidR="00C92762" w:rsidRPr="0038442F">
        <w:rPr>
          <w:rFonts w:ascii="Verdana" w:hAnsi="Verdana"/>
          <w:i/>
          <w:sz w:val="16"/>
          <w:szCs w:val="16"/>
          <w:u w:val="single"/>
          <w:lang w:val="pt-BR"/>
        </w:rPr>
        <w:t xml:space="preserve">em uma </w:t>
      </w:r>
      <w:r w:rsidRPr="0038442F">
        <w:rPr>
          <w:rFonts w:ascii="Verdana" w:hAnsi="Verdana"/>
          <w:i/>
          <w:sz w:val="16"/>
          <w:szCs w:val="16"/>
          <w:u w:val="single"/>
          <w:lang w:val="pt-BR"/>
        </w:rPr>
        <w:t>situa</w:t>
      </w:r>
      <w:r w:rsidR="000A1AA8" w:rsidRPr="0038442F">
        <w:rPr>
          <w:rFonts w:ascii="Verdana" w:hAnsi="Verdana"/>
          <w:i/>
          <w:sz w:val="16"/>
          <w:szCs w:val="16"/>
          <w:u w:val="single"/>
          <w:lang w:val="pt-BR"/>
        </w:rPr>
        <w:t>ção</w:t>
      </w:r>
      <w:r w:rsidRPr="0038442F">
        <w:rPr>
          <w:rFonts w:ascii="Verdana" w:hAnsi="Verdana"/>
          <w:i/>
          <w:sz w:val="16"/>
          <w:szCs w:val="16"/>
          <w:u w:val="single"/>
          <w:lang w:val="pt-BR"/>
        </w:rPr>
        <w:t xml:space="preserve"> de pobreza</w:t>
      </w:r>
      <w:r w:rsidRPr="0038442F">
        <w:rPr>
          <w:rFonts w:ascii="Verdana" w:hAnsi="Verdana"/>
          <w:i/>
          <w:sz w:val="16"/>
          <w:szCs w:val="16"/>
          <w:lang w:val="pt-BR"/>
        </w:rPr>
        <w:t>, [ii)]</w:t>
      </w:r>
      <w:r w:rsidR="00D274C6" w:rsidRPr="0038442F">
        <w:rPr>
          <w:rFonts w:ascii="Verdana" w:hAnsi="Verdana"/>
          <w:i/>
          <w:sz w:val="16"/>
          <w:szCs w:val="16"/>
          <w:u w:val="single"/>
          <w:lang w:val="pt-BR"/>
        </w:rPr>
        <w:t xml:space="preserve">provinham das regiões mais </w:t>
      </w:r>
      <w:r w:rsidRPr="0038442F">
        <w:rPr>
          <w:rFonts w:ascii="Verdana" w:hAnsi="Verdana"/>
          <w:i/>
          <w:sz w:val="16"/>
          <w:szCs w:val="16"/>
          <w:u w:val="single"/>
          <w:lang w:val="pt-BR"/>
        </w:rPr>
        <w:t>pobres d</w:t>
      </w:r>
      <w:r w:rsidR="00D274C6" w:rsidRPr="0038442F">
        <w:rPr>
          <w:rFonts w:ascii="Verdana" w:hAnsi="Verdana"/>
          <w:i/>
          <w:sz w:val="16"/>
          <w:szCs w:val="16"/>
          <w:u w:val="single"/>
          <w:lang w:val="pt-BR"/>
        </w:rPr>
        <w:t>o</w:t>
      </w:r>
      <w:r w:rsidRPr="0038442F">
        <w:rPr>
          <w:rFonts w:ascii="Verdana" w:hAnsi="Verdana"/>
          <w:i/>
          <w:sz w:val="16"/>
          <w:szCs w:val="16"/>
          <w:u w:val="single"/>
          <w:lang w:val="pt-BR"/>
        </w:rPr>
        <w:t xml:space="preserve"> país</w:t>
      </w:r>
      <w:r w:rsidRPr="0038442F">
        <w:rPr>
          <w:rFonts w:ascii="Verdana" w:hAnsi="Verdana"/>
          <w:i/>
          <w:sz w:val="16"/>
          <w:szCs w:val="16"/>
          <w:lang w:val="pt-BR"/>
        </w:rPr>
        <w:t>, [iii)]</w:t>
      </w:r>
      <w:r w:rsidRPr="0038442F">
        <w:rPr>
          <w:rFonts w:ascii="Verdana" w:hAnsi="Verdana"/>
          <w:i/>
          <w:sz w:val="16"/>
          <w:szCs w:val="16"/>
          <w:u w:val="single"/>
          <w:lang w:val="pt-BR"/>
        </w:rPr>
        <w:t>co</w:t>
      </w:r>
      <w:r w:rsidR="00D274C6" w:rsidRPr="0038442F">
        <w:rPr>
          <w:rFonts w:ascii="Verdana" w:hAnsi="Verdana"/>
          <w:i/>
          <w:sz w:val="16"/>
          <w:szCs w:val="16"/>
          <w:u w:val="single"/>
          <w:lang w:val="pt-BR"/>
        </w:rPr>
        <w:t>m</w:t>
      </w:r>
      <w:r w:rsidRPr="0038442F">
        <w:rPr>
          <w:rFonts w:ascii="Verdana" w:hAnsi="Verdana"/>
          <w:i/>
          <w:sz w:val="16"/>
          <w:szCs w:val="16"/>
          <w:u w:val="single"/>
          <w:lang w:val="pt-BR"/>
        </w:rPr>
        <w:t xml:space="preserve"> menor </w:t>
      </w:r>
      <w:r w:rsidR="00F4306D" w:rsidRPr="0038442F">
        <w:rPr>
          <w:rFonts w:ascii="Verdana" w:hAnsi="Verdana"/>
          <w:i/>
          <w:sz w:val="16"/>
          <w:szCs w:val="16"/>
          <w:u w:val="single"/>
          <w:lang w:val="pt-BR"/>
        </w:rPr>
        <w:t>desenvolvimento</w:t>
      </w:r>
      <w:r w:rsidR="00407242" w:rsidRPr="0038442F">
        <w:rPr>
          <w:rFonts w:ascii="Verdana" w:hAnsi="Verdana"/>
          <w:i/>
          <w:sz w:val="16"/>
          <w:szCs w:val="16"/>
          <w:u w:val="single"/>
          <w:lang w:val="pt-BR"/>
        </w:rPr>
        <w:t xml:space="preserve"> </w:t>
      </w:r>
      <w:r w:rsidRPr="0038442F">
        <w:rPr>
          <w:rFonts w:ascii="Verdana" w:hAnsi="Verdana"/>
          <w:i/>
          <w:sz w:val="16"/>
          <w:szCs w:val="16"/>
          <w:u w:val="single"/>
          <w:lang w:val="pt-BR"/>
        </w:rPr>
        <w:t xml:space="preserve">humano </w:t>
      </w:r>
      <w:r w:rsidR="00D274C6" w:rsidRPr="0038442F">
        <w:rPr>
          <w:rFonts w:ascii="Verdana" w:hAnsi="Verdana"/>
          <w:i/>
          <w:sz w:val="16"/>
          <w:szCs w:val="16"/>
          <w:u w:val="single"/>
          <w:lang w:val="pt-BR"/>
        </w:rPr>
        <w:t>e</w:t>
      </w:r>
      <w:r w:rsidRPr="0038442F">
        <w:rPr>
          <w:rFonts w:ascii="Verdana" w:hAnsi="Verdana"/>
          <w:i/>
          <w:sz w:val="16"/>
          <w:szCs w:val="16"/>
          <w:u w:val="single"/>
          <w:lang w:val="pt-BR"/>
        </w:rPr>
        <w:t xml:space="preserve"> perspectivas de </w:t>
      </w:r>
      <w:r w:rsidR="00C92762" w:rsidRPr="0038442F">
        <w:rPr>
          <w:rFonts w:ascii="Verdana" w:hAnsi="Verdana"/>
          <w:i/>
          <w:sz w:val="16"/>
          <w:szCs w:val="16"/>
          <w:u w:val="single"/>
          <w:lang w:val="pt-BR"/>
        </w:rPr>
        <w:t>trabalho</w:t>
      </w:r>
      <w:r w:rsidR="00407242" w:rsidRPr="0038442F">
        <w:rPr>
          <w:rFonts w:ascii="Verdana" w:hAnsi="Verdana"/>
          <w:i/>
          <w:sz w:val="16"/>
          <w:szCs w:val="16"/>
          <w:u w:val="single"/>
          <w:lang w:val="pt-BR"/>
        </w:rPr>
        <w:t xml:space="preserve"> </w:t>
      </w:r>
      <w:r w:rsidR="00D274C6" w:rsidRPr="0038442F">
        <w:rPr>
          <w:rFonts w:ascii="Verdana" w:hAnsi="Verdana"/>
          <w:i/>
          <w:sz w:val="16"/>
          <w:szCs w:val="16"/>
          <w:u w:val="single"/>
          <w:lang w:val="pt-BR"/>
        </w:rPr>
        <w:t>e</w:t>
      </w:r>
      <w:r w:rsidRPr="0038442F">
        <w:rPr>
          <w:rFonts w:ascii="Verdana" w:hAnsi="Verdana"/>
          <w:i/>
          <w:sz w:val="16"/>
          <w:szCs w:val="16"/>
          <w:u w:val="single"/>
          <w:lang w:val="pt-BR"/>
        </w:rPr>
        <w:t xml:space="preserve"> </w:t>
      </w:r>
      <w:r w:rsidR="006A12FD" w:rsidRPr="0038442F">
        <w:rPr>
          <w:rFonts w:ascii="Verdana" w:hAnsi="Verdana"/>
          <w:i/>
          <w:sz w:val="16"/>
          <w:szCs w:val="16"/>
          <w:u w:val="single"/>
          <w:lang w:val="pt-BR"/>
        </w:rPr>
        <w:t>emprego</w:t>
      </w:r>
      <w:r w:rsidRPr="0038442F">
        <w:rPr>
          <w:rFonts w:ascii="Verdana" w:hAnsi="Verdana"/>
          <w:i/>
          <w:sz w:val="16"/>
          <w:szCs w:val="16"/>
          <w:lang w:val="pt-BR"/>
        </w:rPr>
        <w:t>, [iv)] era</w:t>
      </w:r>
      <w:r w:rsidR="00D274C6" w:rsidRPr="0038442F">
        <w:rPr>
          <w:rFonts w:ascii="Verdana" w:hAnsi="Verdana"/>
          <w:i/>
          <w:sz w:val="16"/>
          <w:szCs w:val="16"/>
          <w:lang w:val="pt-BR"/>
        </w:rPr>
        <w:t>m</w:t>
      </w:r>
      <w:r w:rsidRPr="0038442F">
        <w:rPr>
          <w:rFonts w:ascii="Verdana" w:hAnsi="Verdana"/>
          <w:i/>
          <w:sz w:val="16"/>
          <w:szCs w:val="16"/>
          <w:lang w:val="pt-BR"/>
        </w:rPr>
        <w:t xml:space="preserve"> analfabet</w:t>
      </w:r>
      <w:r w:rsidR="00D274C6" w:rsidRPr="0038442F">
        <w:rPr>
          <w:rFonts w:ascii="Verdana" w:hAnsi="Verdana"/>
          <w:i/>
          <w:sz w:val="16"/>
          <w:szCs w:val="16"/>
          <w:lang w:val="pt-BR"/>
        </w:rPr>
        <w:t>o</w:t>
      </w:r>
      <w:r w:rsidRPr="0038442F">
        <w:rPr>
          <w:rFonts w:ascii="Verdana" w:hAnsi="Verdana"/>
          <w:i/>
          <w:sz w:val="16"/>
          <w:szCs w:val="16"/>
          <w:lang w:val="pt-BR"/>
        </w:rPr>
        <w:t xml:space="preserve">s, </w:t>
      </w:r>
      <w:r w:rsidR="00D274C6" w:rsidRPr="0038442F">
        <w:rPr>
          <w:rFonts w:ascii="Verdana" w:hAnsi="Verdana"/>
          <w:i/>
          <w:sz w:val="16"/>
          <w:szCs w:val="16"/>
          <w:lang w:val="pt-BR"/>
        </w:rPr>
        <w:t>e</w:t>
      </w:r>
      <w:r w:rsidRPr="0038442F">
        <w:rPr>
          <w:rFonts w:ascii="Verdana" w:hAnsi="Verdana"/>
          <w:i/>
          <w:sz w:val="16"/>
          <w:szCs w:val="16"/>
          <w:lang w:val="pt-BR"/>
        </w:rPr>
        <w:t xml:space="preserve"> [v)] t</w:t>
      </w:r>
      <w:r w:rsidR="00D274C6" w:rsidRPr="0038442F">
        <w:rPr>
          <w:rFonts w:ascii="Verdana" w:hAnsi="Verdana"/>
          <w:i/>
          <w:sz w:val="16"/>
          <w:szCs w:val="16"/>
          <w:lang w:val="pt-BR"/>
        </w:rPr>
        <w:t xml:space="preserve">inham pouca ou nenhuma </w:t>
      </w:r>
      <w:r w:rsidRPr="0038442F">
        <w:rPr>
          <w:rFonts w:ascii="Verdana" w:hAnsi="Verdana"/>
          <w:i/>
          <w:sz w:val="16"/>
          <w:szCs w:val="16"/>
          <w:lang w:val="pt-BR"/>
        </w:rPr>
        <w:t>escolariza</w:t>
      </w:r>
      <w:r w:rsidR="000A1AA8" w:rsidRPr="0038442F">
        <w:rPr>
          <w:rFonts w:ascii="Verdana" w:hAnsi="Verdana"/>
          <w:i/>
          <w:sz w:val="16"/>
          <w:szCs w:val="16"/>
          <w:lang w:val="pt-BR"/>
        </w:rPr>
        <w:t>ção</w:t>
      </w:r>
      <w:r w:rsidRPr="0038442F">
        <w:rPr>
          <w:rFonts w:ascii="Verdana" w:hAnsi="Verdana"/>
          <w:i/>
          <w:sz w:val="16"/>
          <w:szCs w:val="16"/>
          <w:lang w:val="pt-BR"/>
        </w:rPr>
        <w:t xml:space="preserve"> […].</w:t>
      </w:r>
      <w:r w:rsidRPr="0038442F">
        <w:rPr>
          <w:rFonts w:ascii="Verdana" w:hAnsi="Verdana"/>
          <w:sz w:val="16"/>
          <w:szCs w:val="16"/>
          <w:lang w:val="pt-BR"/>
        </w:rPr>
        <w:t xml:space="preserve"> </w:t>
      </w:r>
      <w:r w:rsidR="00D274C6" w:rsidRPr="0038442F">
        <w:rPr>
          <w:rFonts w:ascii="Verdana" w:hAnsi="Verdana"/>
          <w:sz w:val="16"/>
          <w:szCs w:val="16"/>
          <w:lang w:val="pt-BR"/>
        </w:rPr>
        <w:t xml:space="preserve">Essas circunstâncias os </w:t>
      </w:r>
      <w:r w:rsidR="00247F19" w:rsidRPr="0038442F">
        <w:rPr>
          <w:rFonts w:ascii="Verdana" w:hAnsi="Verdana"/>
          <w:sz w:val="16"/>
          <w:szCs w:val="16"/>
          <w:lang w:val="pt-BR"/>
        </w:rPr>
        <w:t>colocavam</w:t>
      </w:r>
      <w:r w:rsidRPr="0038442F">
        <w:rPr>
          <w:rFonts w:ascii="Verdana" w:hAnsi="Verdana"/>
          <w:sz w:val="16"/>
          <w:szCs w:val="16"/>
          <w:lang w:val="pt-BR"/>
        </w:rPr>
        <w:t xml:space="preserve"> </w:t>
      </w:r>
      <w:r w:rsidR="00C92762" w:rsidRPr="0038442F">
        <w:rPr>
          <w:rFonts w:ascii="Verdana" w:hAnsi="Verdana"/>
          <w:sz w:val="16"/>
          <w:szCs w:val="16"/>
          <w:lang w:val="pt-BR"/>
        </w:rPr>
        <w:t xml:space="preserve">em uma </w:t>
      </w:r>
      <w:r w:rsidRPr="0038442F">
        <w:rPr>
          <w:rFonts w:ascii="Verdana" w:hAnsi="Verdana"/>
          <w:sz w:val="16"/>
          <w:szCs w:val="16"/>
          <w:lang w:val="pt-BR"/>
        </w:rPr>
        <w:t>situa</w:t>
      </w:r>
      <w:r w:rsidR="000A1AA8" w:rsidRPr="0038442F">
        <w:rPr>
          <w:rFonts w:ascii="Verdana" w:hAnsi="Verdana"/>
          <w:sz w:val="16"/>
          <w:szCs w:val="16"/>
          <w:lang w:val="pt-BR"/>
        </w:rPr>
        <w:t>ção</w:t>
      </w:r>
      <w:r w:rsidRPr="0038442F">
        <w:rPr>
          <w:rFonts w:ascii="Verdana" w:hAnsi="Verdana"/>
          <w:sz w:val="16"/>
          <w:szCs w:val="16"/>
          <w:lang w:val="pt-BR"/>
        </w:rPr>
        <w:t xml:space="preserve"> que os </w:t>
      </w:r>
      <w:r w:rsidR="00D274C6" w:rsidRPr="0038442F">
        <w:rPr>
          <w:rFonts w:ascii="Verdana" w:hAnsi="Verdana"/>
          <w:sz w:val="16"/>
          <w:szCs w:val="16"/>
          <w:lang w:val="pt-BR"/>
        </w:rPr>
        <w:t>tornava</w:t>
      </w:r>
      <w:r w:rsidR="003C740D" w:rsidRPr="0038442F">
        <w:rPr>
          <w:rFonts w:ascii="Verdana" w:hAnsi="Verdana"/>
          <w:sz w:val="16"/>
          <w:szCs w:val="16"/>
          <w:lang w:val="pt-BR"/>
        </w:rPr>
        <w:t>m</w:t>
      </w:r>
      <w:r w:rsidR="00D274C6" w:rsidRPr="0038442F">
        <w:rPr>
          <w:rFonts w:ascii="Verdana" w:hAnsi="Verdana"/>
          <w:sz w:val="16"/>
          <w:szCs w:val="16"/>
          <w:lang w:val="pt-BR"/>
        </w:rPr>
        <w:t xml:space="preserve"> mais suscetíveis de serem aliciados </w:t>
      </w:r>
      <w:r w:rsidRPr="0038442F">
        <w:rPr>
          <w:rFonts w:ascii="Verdana" w:hAnsi="Verdana"/>
          <w:sz w:val="16"/>
          <w:szCs w:val="16"/>
          <w:lang w:val="pt-BR"/>
        </w:rPr>
        <w:t>mediante falsas promes</w:t>
      </w:r>
      <w:r w:rsidR="00D274C6" w:rsidRPr="0038442F">
        <w:rPr>
          <w:rFonts w:ascii="Verdana" w:hAnsi="Verdana"/>
          <w:sz w:val="16"/>
          <w:szCs w:val="16"/>
          <w:lang w:val="pt-BR"/>
        </w:rPr>
        <w:t>s</w:t>
      </w:r>
      <w:r w:rsidRPr="0038442F">
        <w:rPr>
          <w:rFonts w:ascii="Verdana" w:hAnsi="Verdana"/>
          <w:sz w:val="16"/>
          <w:szCs w:val="16"/>
          <w:lang w:val="pt-BR"/>
        </w:rPr>
        <w:t xml:space="preserve">as </w:t>
      </w:r>
      <w:r w:rsidR="00D274C6" w:rsidRPr="0038442F">
        <w:rPr>
          <w:rFonts w:ascii="Verdana" w:hAnsi="Verdana"/>
          <w:sz w:val="16"/>
          <w:szCs w:val="16"/>
          <w:lang w:val="pt-BR"/>
        </w:rPr>
        <w:t>e</w:t>
      </w:r>
      <w:r w:rsidRPr="0038442F">
        <w:rPr>
          <w:rFonts w:ascii="Verdana" w:hAnsi="Verdana"/>
          <w:sz w:val="16"/>
          <w:szCs w:val="16"/>
          <w:lang w:val="pt-BR"/>
        </w:rPr>
        <w:t xml:space="preserve"> enga</w:t>
      </w:r>
      <w:r w:rsidR="00D274C6" w:rsidRPr="0038442F">
        <w:rPr>
          <w:rFonts w:ascii="Verdana" w:hAnsi="Verdana"/>
          <w:sz w:val="16"/>
          <w:szCs w:val="16"/>
          <w:lang w:val="pt-BR"/>
        </w:rPr>
        <w:t>n</w:t>
      </w:r>
      <w:r w:rsidRPr="0038442F">
        <w:rPr>
          <w:rFonts w:ascii="Verdana" w:hAnsi="Verdana"/>
          <w:sz w:val="16"/>
          <w:szCs w:val="16"/>
          <w:lang w:val="pt-BR"/>
        </w:rPr>
        <w:t>os</w:t>
      </w:r>
      <w:r w:rsidRPr="0038442F">
        <w:rPr>
          <w:rStyle w:val="Refdenotaalpie"/>
          <w:rFonts w:ascii="Verdana" w:hAnsi="Verdana"/>
          <w:sz w:val="16"/>
          <w:lang w:val="pt-BR"/>
        </w:rPr>
        <w:footnoteReference w:id="96"/>
      </w:r>
      <w:r w:rsidR="003B308E" w:rsidRPr="0038442F">
        <w:rPr>
          <w:rFonts w:ascii="Verdana" w:hAnsi="Verdana"/>
          <w:sz w:val="16"/>
          <w:szCs w:val="16"/>
          <w:lang w:val="pt-BR"/>
        </w:rPr>
        <w:t xml:space="preserve"> (</w:t>
      </w:r>
      <w:r w:rsidR="00D274C6" w:rsidRPr="0038442F">
        <w:rPr>
          <w:rFonts w:ascii="Verdana" w:hAnsi="Verdana"/>
          <w:sz w:val="16"/>
          <w:szCs w:val="16"/>
          <w:lang w:val="pt-BR"/>
        </w:rPr>
        <w:t>grifo nosso</w:t>
      </w:r>
      <w:r w:rsidR="003B308E" w:rsidRPr="0038442F">
        <w:rPr>
          <w:rFonts w:ascii="Verdana" w:hAnsi="Verdana"/>
          <w:sz w:val="16"/>
          <w:szCs w:val="16"/>
          <w:lang w:val="pt-BR"/>
        </w:rPr>
        <w:t>)</w:t>
      </w:r>
      <w:r w:rsidRPr="0038442F">
        <w:rPr>
          <w:rFonts w:ascii="Verdana" w:hAnsi="Verdana"/>
          <w:sz w:val="16"/>
          <w:szCs w:val="16"/>
          <w:lang w:val="pt-BR"/>
        </w:rPr>
        <w:t>.</w:t>
      </w:r>
    </w:p>
    <w:p w14:paraId="18213063" w14:textId="77777777" w:rsidR="0068362F" w:rsidRPr="0038442F" w:rsidRDefault="0068362F" w:rsidP="00A857CB">
      <w:pPr>
        <w:pStyle w:val="Prrafodelista"/>
        <w:spacing w:line="240" w:lineRule="auto"/>
        <w:ind w:left="0"/>
        <w:jc w:val="both"/>
        <w:rPr>
          <w:rFonts w:ascii="Verdana" w:hAnsi="Verdana"/>
          <w:sz w:val="20"/>
          <w:szCs w:val="20"/>
          <w:lang w:val="pt-BR"/>
        </w:rPr>
      </w:pPr>
    </w:p>
    <w:p w14:paraId="4C49F5C5" w14:textId="66096517" w:rsidR="007E51C4" w:rsidRPr="0038442F" w:rsidRDefault="00685AC6" w:rsidP="00685AC6">
      <w:pPr>
        <w:pStyle w:val="Prrafodelista"/>
        <w:spacing w:after="0" w:line="240" w:lineRule="auto"/>
        <w:ind w:left="0"/>
        <w:jc w:val="both"/>
        <w:rPr>
          <w:rFonts w:ascii="Verdana" w:hAnsi="Verdana" w:cs="Times New Roman"/>
          <w:strike/>
          <w:sz w:val="20"/>
          <w:szCs w:val="20"/>
          <w:lang w:val="pt-BR"/>
        </w:rPr>
      </w:pPr>
      <w:r w:rsidRPr="0038442F">
        <w:rPr>
          <w:rFonts w:ascii="Verdana" w:hAnsi="Verdana"/>
          <w:sz w:val="20"/>
          <w:szCs w:val="20"/>
          <w:lang w:val="pt-BR"/>
        </w:rPr>
        <w:t xml:space="preserve">57. </w:t>
      </w:r>
      <w:r w:rsidRPr="0038442F">
        <w:rPr>
          <w:rFonts w:ascii="Verdana" w:hAnsi="Verdana"/>
          <w:sz w:val="20"/>
          <w:szCs w:val="20"/>
          <w:lang w:val="pt-BR"/>
        </w:rPr>
        <w:tab/>
      </w:r>
      <w:r w:rsidR="00C76C5C" w:rsidRPr="0038442F">
        <w:rPr>
          <w:rFonts w:ascii="Verdana" w:hAnsi="Verdana"/>
          <w:sz w:val="20"/>
          <w:szCs w:val="20"/>
          <w:lang w:val="pt-BR"/>
        </w:rPr>
        <w:t xml:space="preserve">Naquele </w:t>
      </w:r>
      <w:r w:rsidR="000B5B3C" w:rsidRPr="0038442F">
        <w:rPr>
          <w:rFonts w:ascii="Verdana" w:hAnsi="Verdana"/>
          <w:sz w:val="20"/>
          <w:szCs w:val="20"/>
          <w:lang w:val="pt-BR"/>
        </w:rPr>
        <w:t xml:space="preserve">caso, </w:t>
      </w:r>
      <w:r w:rsidR="00C76C5C" w:rsidRPr="0038442F">
        <w:rPr>
          <w:rFonts w:ascii="Verdana" w:hAnsi="Verdana"/>
          <w:sz w:val="20"/>
          <w:szCs w:val="20"/>
          <w:lang w:val="pt-BR"/>
        </w:rPr>
        <w:t xml:space="preserve">conforme se expressou na </w:t>
      </w:r>
      <w:r w:rsidR="00BF7A10" w:rsidRPr="0038442F">
        <w:rPr>
          <w:rFonts w:ascii="Verdana" w:hAnsi="Verdana"/>
          <w:sz w:val="20"/>
          <w:szCs w:val="20"/>
          <w:lang w:val="pt-BR"/>
        </w:rPr>
        <w:t>sentença</w:t>
      </w:r>
      <w:r w:rsidR="000B5B3C" w:rsidRPr="0038442F">
        <w:rPr>
          <w:rFonts w:ascii="Verdana" w:hAnsi="Verdana"/>
          <w:sz w:val="20"/>
          <w:szCs w:val="20"/>
          <w:lang w:val="pt-BR"/>
        </w:rPr>
        <w:t xml:space="preserve">, a pobreza “[era] </w:t>
      </w:r>
      <w:r w:rsidR="00C76C5C" w:rsidRPr="0038442F">
        <w:rPr>
          <w:rFonts w:ascii="Verdana" w:hAnsi="Verdana"/>
          <w:sz w:val="20"/>
          <w:szCs w:val="20"/>
          <w:lang w:val="pt-BR"/>
        </w:rPr>
        <w:t xml:space="preserve">o </w:t>
      </w:r>
      <w:r w:rsidR="000B5B3C" w:rsidRPr="0038442F">
        <w:rPr>
          <w:rFonts w:ascii="Verdana" w:hAnsi="Verdana"/>
          <w:sz w:val="20"/>
          <w:szCs w:val="20"/>
          <w:lang w:val="pt-BR"/>
        </w:rPr>
        <w:t xml:space="preserve">principal fator </w:t>
      </w:r>
      <w:r w:rsidR="00C92762" w:rsidRPr="0038442F">
        <w:rPr>
          <w:rFonts w:ascii="Verdana" w:hAnsi="Verdana"/>
          <w:sz w:val="20"/>
          <w:szCs w:val="20"/>
          <w:lang w:val="pt-BR"/>
        </w:rPr>
        <w:t xml:space="preserve">da </w:t>
      </w:r>
      <w:r w:rsidR="00C76C5C" w:rsidRPr="0038442F">
        <w:rPr>
          <w:rFonts w:ascii="Verdana" w:hAnsi="Verdana"/>
          <w:sz w:val="20"/>
          <w:szCs w:val="20"/>
          <w:lang w:val="pt-BR"/>
        </w:rPr>
        <w:t xml:space="preserve">escravidão </w:t>
      </w:r>
      <w:r w:rsidR="000B5B3C" w:rsidRPr="0038442F">
        <w:rPr>
          <w:rFonts w:ascii="Verdana" w:hAnsi="Verdana"/>
          <w:sz w:val="20"/>
          <w:szCs w:val="20"/>
          <w:lang w:val="pt-BR"/>
        </w:rPr>
        <w:t>contempor</w:t>
      </w:r>
      <w:r w:rsidR="00C76C5C" w:rsidRPr="0038442F">
        <w:rPr>
          <w:rFonts w:ascii="Verdana" w:hAnsi="Verdana"/>
          <w:sz w:val="20"/>
          <w:szCs w:val="20"/>
          <w:lang w:val="pt-BR"/>
        </w:rPr>
        <w:t>â</w:t>
      </w:r>
      <w:r w:rsidR="000B5B3C" w:rsidRPr="0038442F">
        <w:rPr>
          <w:rFonts w:ascii="Verdana" w:hAnsi="Verdana"/>
          <w:sz w:val="20"/>
          <w:szCs w:val="20"/>
          <w:lang w:val="pt-BR"/>
        </w:rPr>
        <w:t>nea n</w:t>
      </w:r>
      <w:r w:rsidR="00C76C5C" w:rsidRPr="0038442F">
        <w:rPr>
          <w:rFonts w:ascii="Verdana" w:hAnsi="Verdana"/>
          <w:sz w:val="20"/>
          <w:szCs w:val="20"/>
          <w:lang w:val="pt-BR"/>
        </w:rPr>
        <w:t>o</w:t>
      </w:r>
      <w:r w:rsidR="000B5B3C" w:rsidRPr="0038442F">
        <w:rPr>
          <w:rFonts w:ascii="Verdana" w:hAnsi="Verdana"/>
          <w:sz w:val="20"/>
          <w:szCs w:val="20"/>
          <w:lang w:val="pt-BR"/>
        </w:rPr>
        <w:t xml:space="preserve"> Brasil, por aumentar a vulnerabilidad</w:t>
      </w:r>
      <w:r w:rsidR="00C76C5C" w:rsidRPr="0038442F">
        <w:rPr>
          <w:rFonts w:ascii="Verdana" w:hAnsi="Verdana"/>
          <w:sz w:val="20"/>
          <w:szCs w:val="20"/>
          <w:lang w:val="pt-BR"/>
        </w:rPr>
        <w:t>e</w:t>
      </w:r>
      <w:r w:rsidR="000B5B3C" w:rsidRPr="0038442F">
        <w:rPr>
          <w:rFonts w:ascii="Verdana" w:hAnsi="Verdana"/>
          <w:sz w:val="20"/>
          <w:szCs w:val="20"/>
          <w:lang w:val="pt-BR"/>
        </w:rPr>
        <w:t xml:space="preserve"> de significativa parte </w:t>
      </w:r>
      <w:r w:rsidR="00C92762" w:rsidRPr="0038442F">
        <w:rPr>
          <w:rFonts w:ascii="Verdana" w:hAnsi="Verdana"/>
          <w:sz w:val="20"/>
          <w:szCs w:val="20"/>
          <w:lang w:val="pt-BR"/>
        </w:rPr>
        <w:t xml:space="preserve">da </w:t>
      </w:r>
      <w:r w:rsidR="00C76C5C" w:rsidRPr="0038442F">
        <w:rPr>
          <w:rFonts w:ascii="Verdana" w:hAnsi="Verdana"/>
          <w:sz w:val="20"/>
          <w:szCs w:val="20"/>
          <w:lang w:val="pt-BR"/>
        </w:rPr>
        <w:t>população</w:t>
      </w:r>
      <w:r w:rsidR="000B5B3C" w:rsidRPr="0038442F">
        <w:rPr>
          <w:rFonts w:ascii="Verdana" w:hAnsi="Verdana"/>
          <w:sz w:val="20"/>
          <w:szCs w:val="20"/>
          <w:lang w:val="pt-BR"/>
        </w:rPr>
        <w:t xml:space="preserve">, </w:t>
      </w:r>
      <w:r w:rsidR="00C76C5C" w:rsidRPr="0038442F">
        <w:rPr>
          <w:rFonts w:ascii="Verdana" w:hAnsi="Verdana"/>
          <w:sz w:val="20"/>
          <w:szCs w:val="20"/>
          <w:lang w:val="pt-BR"/>
        </w:rPr>
        <w:t xml:space="preserve">tornando-a </w:t>
      </w:r>
      <w:r w:rsidR="000B5B3C" w:rsidRPr="0038442F">
        <w:rPr>
          <w:rFonts w:ascii="Verdana" w:hAnsi="Verdana"/>
          <w:sz w:val="20"/>
          <w:szCs w:val="20"/>
          <w:lang w:val="pt-BR"/>
        </w:rPr>
        <w:t xml:space="preserve">presa fácil </w:t>
      </w:r>
      <w:r w:rsidR="00C92762" w:rsidRPr="0038442F">
        <w:rPr>
          <w:rFonts w:ascii="Verdana" w:hAnsi="Verdana"/>
          <w:sz w:val="20"/>
          <w:szCs w:val="20"/>
          <w:lang w:val="pt-BR"/>
        </w:rPr>
        <w:t xml:space="preserve">dos </w:t>
      </w:r>
      <w:r w:rsidR="00C76C5C" w:rsidRPr="0038442F">
        <w:rPr>
          <w:rFonts w:ascii="Verdana" w:hAnsi="Verdana"/>
          <w:sz w:val="20"/>
          <w:szCs w:val="20"/>
          <w:lang w:val="pt-BR"/>
        </w:rPr>
        <w:t xml:space="preserve">aliciadores </w:t>
      </w:r>
      <w:r w:rsidR="000B5B3C" w:rsidRPr="0038442F">
        <w:rPr>
          <w:rFonts w:ascii="Verdana" w:hAnsi="Verdana"/>
          <w:sz w:val="20"/>
          <w:szCs w:val="20"/>
          <w:lang w:val="pt-BR"/>
        </w:rPr>
        <w:t xml:space="preserve">para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0B5B3C" w:rsidRPr="0038442F">
        <w:rPr>
          <w:rFonts w:ascii="Verdana" w:hAnsi="Verdana"/>
          <w:sz w:val="20"/>
          <w:szCs w:val="20"/>
          <w:lang w:val="pt-BR"/>
        </w:rPr>
        <w:t>esc</w:t>
      </w:r>
      <w:r w:rsidR="00C76C5C" w:rsidRPr="0038442F">
        <w:rPr>
          <w:rFonts w:ascii="Verdana" w:hAnsi="Verdana"/>
          <w:sz w:val="20"/>
          <w:szCs w:val="20"/>
          <w:lang w:val="pt-BR"/>
        </w:rPr>
        <w:t>r</w:t>
      </w:r>
      <w:r w:rsidR="000B5B3C" w:rsidRPr="0038442F">
        <w:rPr>
          <w:rFonts w:ascii="Verdana" w:hAnsi="Verdana"/>
          <w:sz w:val="20"/>
          <w:szCs w:val="20"/>
          <w:lang w:val="pt-BR"/>
        </w:rPr>
        <w:t>avo”</w:t>
      </w:r>
      <w:r w:rsidR="00C76C5C" w:rsidRPr="0038442F">
        <w:rPr>
          <w:rFonts w:ascii="Verdana" w:hAnsi="Verdana"/>
          <w:sz w:val="20"/>
          <w:szCs w:val="20"/>
          <w:lang w:val="pt-BR"/>
        </w:rPr>
        <w:t>.</w:t>
      </w:r>
      <w:r w:rsidR="000B5B3C" w:rsidRPr="0038442F">
        <w:rPr>
          <w:rStyle w:val="Refdenotaalpie"/>
          <w:rFonts w:ascii="Verdana" w:hAnsi="Verdana"/>
          <w:sz w:val="20"/>
          <w:szCs w:val="20"/>
          <w:lang w:val="pt-BR"/>
        </w:rPr>
        <w:footnoteReference w:id="97"/>
      </w:r>
      <w:r w:rsidR="000B5B3C" w:rsidRPr="0038442F">
        <w:rPr>
          <w:rFonts w:ascii="Verdana" w:hAnsi="Verdana"/>
          <w:sz w:val="20"/>
          <w:szCs w:val="20"/>
          <w:lang w:val="pt-BR"/>
        </w:rPr>
        <w:t xml:space="preserve"> </w:t>
      </w:r>
      <w:r w:rsidR="00C76C5C" w:rsidRPr="0038442F">
        <w:rPr>
          <w:rFonts w:ascii="Verdana" w:hAnsi="Verdana"/>
          <w:sz w:val="20"/>
          <w:szCs w:val="20"/>
          <w:lang w:val="pt-BR"/>
        </w:rPr>
        <w:t>A</w:t>
      </w:r>
      <w:r w:rsidR="000B5B3C" w:rsidRPr="0038442F">
        <w:rPr>
          <w:rFonts w:ascii="Verdana" w:hAnsi="Verdana" w:cs="Times New Roman"/>
          <w:sz w:val="20"/>
          <w:szCs w:val="20"/>
          <w:lang w:val="pt-BR"/>
        </w:rPr>
        <w:t xml:space="preserve"> pobreza</w:t>
      </w:r>
      <w:r w:rsidR="00C76C5C" w:rsidRPr="0038442F">
        <w:rPr>
          <w:rFonts w:ascii="Verdana" w:hAnsi="Verdana" w:cs="Times New Roman"/>
          <w:sz w:val="20"/>
          <w:szCs w:val="20"/>
          <w:lang w:val="pt-BR"/>
        </w:rPr>
        <w:t xml:space="preserve"> não se enquadra como um </w:t>
      </w:r>
      <w:r w:rsidR="000B5B3C" w:rsidRPr="0038442F">
        <w:rPr>
          <w:rFonts w:ascii="Verdana" w:hAnsi="Verdana" w:cs="Times New Roman"/>
          <w:sz w:val="20"/>
          <w:szCs w:val="20"/>
          <w:lang w:val="pt-BR"/>
        </w:rPr>
        <w:t>fen</w:t>
      </w:r>
      <w:r w:rsidR="00C76C5C" w:rsidRPr="0038442F">
        <w:rPr>
          <w:rFonts w:ascii="Verdana" w:hAnsi="Verdana" w:cs="Times New Roman"/>
          <w:sz w:val="20"/>
          <w:szCs w:val="20"/>
          <w:lang w:val="pt-BR"/>
        </w:rPr>
        <w:t>ô</w:t>
      </w:r>
      <w:r w:rsidR="000B5B3C" w:rsidRPr="0038442F">
        <w:rPr>
          <w:rFonts w:ascii="Verdana" w:hAnsi="Verdana" w:cs="Times New Roman"/>
          <w:sz w:val="20"/>
          <w:szCs w:val="20"/>
          <w:lang w:val="pt-BR"/>
        </w:rPr>
        <w:t>meno</w:t>
      </w:r>
      <w:r w:rsidR="00125585" w:rsidRPr="0038442F">
        <w:rPr>
          <w:rFonts w:ascii="Verdana" w:hAnsi="Verdana" w:cs="Times New Roman"/>
          <w:sz w:val="20"/>
          <w:szCs w:val="20"/>
          <w:lang w:val="pt-BR"/>
        </w:rPr>
        <w:t>,</w:t>
      </w:r>
      <w:r w:rsidR="000B5B3C" w:rsidRPr="0038442F">
        <w:rPr>
          <w:rFonts w:ascii="Verdana" w:hAnsi="Verdana" w:cs="Times New Roman"/>
          <w:sz w:val="20"/>
          <w:szCs w:val="20"/>
          <w:lang w:val="pt-BR"/>
        </w:rPr>
        <w:t xml:space="preserve"> </w:t>
      </w:r>
      <w:r w:rsidR="00C76C5C" w:rsidRPr="0038442F">
        <w:rPr>
          <w:rFonts w:ascii="Verdana" w:hAnsi="Verdana" w:cs="Times New Roman"/>
          <w:sz w:val="20"/>
          <w:szCs w:val="20"/>
          <w:lang w:val="pt-BR"/>
        </w:rPr>
        <w:t>mas como um</w:t>
      </w:r>
      <w:r w:rsidR="00E86ABE">
        <w:rPr>
          <w:rFonts w:ascii="Verdana" w:hAnsi="Verdana" w:cs="Times New Roman"/>
          <w:sz w:val="20"/>
          <w:szCs w:val="20"/>
          <w:lang w:val="pt-BR"/>
        </w:rPr>
        <w:t>a</w:t>
      </w:r>
      <w:r w:rsidR="00C76C5C" w:rsidRPr="0038442F">
        <w:rPr>
          <w:rFonts w:ascii="Verdana" w:hAnsi="Verdana" w:cs="Times New Roman"/>
          <w:sz w:val="20"/>
          <w:szCs w:val="20"/>
          <w:lang w:val="pt-BR"/>
        </w:rPr>
        <w:t xml:space="preserve"> </w:t>
      </w:r>
      <w:r w:rsidR="00E86ABE">
        <w:rPr>
          <w:rFonts w:ascii="Verdana" w:hAnsi="Verdana" w:cs="Times New Roman"/>
          <w:sz w:val="20"/>
          <w:szCs w:val="20"/>
          <w:lang w:val="pt-BR"/>
        </w:rPr>
        <w:t>afetação</w:t>
      </w:r>
      <w:r w:rsidR="00E86ABE" w:rsidRPr="0038442F">
        <w:rPr>
          <w:rFonts w:ascii="Verdana" w:hAnsi="Verdana" w:cs="Times New Roman"/>
          <w:sz w:val="20"/>
          <w:szCs w:val="20"/>
          <w:lang w:val="pt-BR"/>
        </w:rPr>
        <w:t xml:space="preserve"> </w:t>
      </w:r>
      <w:r w:rsidR="00C76C5C" w:rsidRPr="0038442F">
        <w:rPr>
          <w:rFonts w:ascii="Verdana" w:hAnsi="Verdana" w:cs="Times New Roman"/>
          <w:sz w:val="20"/>
          <w:szCs w:val="20"/>
          <w:lang w:val="pt-BR"/>
        </w:rPr>
        <w:t xml:space="preserve">de especial vulnerabilidade, </w:t>
      </w:r>
      <w:r w:rsidR="00E86ABE">
        <w:rPr>
          <w:rFonts w:ascii="Verdana" w:hAnsi="Verdana" w:cs="Times New Roman"/>
          <w:sz w:val="20"/>
          <w:szCs w:val="20"/>
          <w:lang w:val="pt-BR"/>
        </w:rPr>
        <w:t>na qual</w:t>
      </w:r>
      <w:r w:rsidR="00C76C5C" w:rsidRPr="0038442F">
        <w:rPr>
          <w:rFonts w:ascii="Verdana" w:hAnsi="Verdana" w:cs="Times New Roman"/>
          <w:sz w:val="20"/>
          <w:szCs w:val="20"/>
          <w:lang w:val="pt-BR"/>
        </w:rPr>
        <w:t xml:space="preserve"> a situação </w:t>
      </w:r>
      <w:r w:rsidR="000B5B3C" w:rsidRPr="0038442F">
        <w:rPr>
          <w:rFonts w:ascii="Verdana" w:hAnsi="Verdana" w:cs="Times New Roman"/>
          <w:sz w:val="20"/>
          <w:szCs w:val="20"/>
          <w:lang w:val="pt-BR"/>
        </w:rPr>
        <w:t xml:space="preserve">de </w:t>
      </w:r>
      <w:r w:rsidR="00BF7A10" w:rsidRPr="0038442F">
        <w:rPr>
          <w:rFonts w:ascii="Verdana" w:hAnsi="Verdana" w:cs="Times New Roman"/>
          <w:sz w:val="20"/>
          <w:szCs w:val="20"/>
          <w:lang w:val="pt-BR"/>
        </w:rPr>
        <w:t>exclusão</w:t>
      </w:r>
      <w:r w:rsidR="00407242" w:rsidRPr="0038442F">
        <w:rPr>
          <w:rFonts w:ascii="Verdana" w:hAnsi="Verdana" w:cs="Times New Roman"/>
          <w:sz w:val="20"/>
          <w:szCs w:val="20"/>
          <w:lang w:val="pt-BR"/>
        </w:rPr>
        <w:t xml:space="preserve"> </w:t>
      </w:r>
      <w:r w:rsidR="00C76C5C" w:rsidRPr="0038442F">
        <w:rPr>
          <w:rFonts w:ascii="Verdana" w:hAnsi="Verdana" w:cs="Times New Roman"/>
          <w:sz w:val="20"/>
          <w:szCs w:val="20"/>
          <w:lang w:val="pt-BR"/>
        </w:rPr>
        <w:t>e</w:t>
      </w:r>
      <w:r w:rsidR="000B5B3C" w:rsidRPr="0038442F">
        <w:rPr>
          <w:rFonts w:ascii="Verdana" w:hAnsi="Verdana" w:cs="Times New Roman"/>
          <w:sz w:val="20"/>
          <w:szCs w:val="20"/>
          <w:lang w:val="pt-BR"/>
        </w:rPr>
        <w:t xml:space="preserve"> </w:t>
      </w:r>
      <w:r w:rsidR="00C76C5C" w:rsidRPr="0038442F">
        <w:rPr>
          <w:rFonts w:ascii="Verdana" w:hAnsi="Verdana" w:cs="Times New Roman"/>
          <w:sz w:val="20"/>
          <w:szCs w:val="20"/>
          <w:lang w:val="pt-BR"/>
        </w:rPr>
        <w:t>marginalização</w:t>
      </w:r>
      <w:r w:rsidR="000B5B3C" w:rsidRPr="0038442F">
        <w:rPr>
          <w:rFonts w:ascii="Verdana" w:hAnsi="Verdana" w:cs="Times New Roman"/>
          <w:sz w:val="20"/>
          <w:szCs w:val="20"/>
          <w:lang w:val="pt-BR"/>
        </w:rPr>
        <w:t xml:space="preserve">, </w:t>
      </w:r>
      <w:r w:rsidR="003C740D" w:rsidRPr="0038442F">
        <w:rPr>
          <w:rFonts w:ascii="Verdana" w:hAnsi="Verdana" w:cs="Times New Roman"/>
          <w:sz w:val="20"/>
          <w:szCs w:val="20"/>
          <w:lang w:val="pt-BR"/>
        </w:rPr>
        <w:t>somada</w:t>
      </w:r>
      <w:r w:rsidR="00C76C5C" w:rsidRPr="0038442F">
        <w:rPr>
          <w:rFonts w:ascii="Verdana" w:hAnsi="Verdana" w:cs="Times New Roman"/>
          <w:sz w:val="20"/>
          <w:szCs w:val="20"/>
          <w:lang w:val="pt-BR"/>
        </w:rPr>
        <w:t xml:space="preserve"> à </w:t>
      </w:r>
      <w:r w:rsidR="000B5B3C" w:rsidRPr="0038442F">
        <w:rPr>
          <w:rFonts w:ascii="Verdana" w:hAnsi="Verdana" w:cs="Times New Roman"/>
          <w:sz w:val="20"/>
          <w:szCs w:val="20"/>
          <w:lang w:val="pt-BR"/>
        </w:rPr>
        <w:t>nega</w:t>
      </w:r>
      <w:r w:rsidR="000A1AA8" w:rsidRPr="0038442F">
        <w:rPr>
          <w:rFonts w:ascii="Verdana" w:hAnsi="Verdana" w:cs="Times New Roman"/>
          <w:sz w:val="20"/>
          <w:szCs w:val="20"/>
          <w:lang w:val="pt-BR"/>
        </w:rPr>
        <w:t>ção</w:t>
      </w:r>
      <w:r w:rsidR="000B5B3C"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estrutural</w:t>
      </w:r>
      <w:r w:rsidR="00407242" w:rsidRPr="0038442F">
        <w:rPr>
          <w:rFonts w:ascii="Verdana" w:hAnsi="Verdana" w:cs="Times New Roman"/>
          <w:sz w:val="20"/>
          <w:szCs w:val="20"/>
          <w:lang w:val="pt-BR"/>
        </w:rPr>
        <w:t xml:space="preserve"> </w:t>
      </w:r>
      <w:r w:rsidR="00C76C5C" w:rsidRPr="0038442F">
        <w:rPr>
          <w:rFonts w:ascii="Verdana" w:hAnsi="Verdana" w:cs="Times New Roman"/>
          <w:sz w:val="20"/>
          <w:szCs w:val="20"/>
          <w:lang w:val="pt-BR"/>
        </w:rPr>
        <w:t>e</w:t>
      </w:r>
      <w:r w:rsidR="000B5B3C" w:rsidRPr="0038442F">
        <w:rPr>
          <w:rFonts w:ascii="Verdana" w:hAnsi="Verdana" w:cs="Times New Roman"/>
          <w:sz w:val="20"/>
          <w:szCs w:val="20"/>
          <w:lang w:val="pt-BR"/>
        </w:rPr>
        <w:t xml:space="preserve"> sistémica (co</w:t>
      </w:r>
      <w:r w:rsidR="00C76C5C" w:rsidRPr="0038442F">
        <w:rPr>
          <w:rFonts w:ascii="Verdana" w:hAnsi="Verdana" w:cs="Times New Roman"/>
          <w:sz w:val="20"/>
          <w:szCs w:val="20"/>
          <w:lang w:val="pt-BR"/>
        </w:rPr>
        <w:t>m</w:t>
      </w:r>
      <w:r w:rsidR="000B5B3C" w:rsidRPr="0038442F">
        <w:rPr>
          <w:rFonts w:ascii="Verdana" w:hAnsi="Verdana" w:cs="Times New Roman"/>
          <w:sz w:val="20"/>
          <w:szCs w:val="20"/>
          <w:lang w:val="pt-BR"/>
        </w:rPr>
        <w:t xml:space="preserve"> antecedentes históricos para </w:t>
      </w:r>
      <w:r w:rsidR="00C76C5C" w:rsidRPr="0038442F">
        <w:rPr>
          <w:rFonts w:ascii="Verdana" w:hAnsi="Verdana" w:cs="Times New Roman"/>
          <w:sz w:val="20"/>
          <w:szCs w:val="20"/>
          <w:lang w:val="pt-BR"/>
        </w:rPr>
        <w:t xml:space="preserve">o </w:t>
      </w:r>
      <w:r w:rsidR="000B5B3C" w:rsidRPr="0038442F">
        <w:rPr>
          <w:rFonts w:ascii="Verdana" w:hAnsi="Verdana" w:cs="Times New Roman"/>
          <w:sz w:val="20"/>
          <w:szCs w:val="20"/>
          <w:lang w:val="pt-BR"/>
        </w:rPr>
        <w:t xml:space="preserve">caso </w:t>
      </w:r>
      <w:r w:rsidR="00C76C5C" w:rsidRPr="0038442F">
        <w:rPr>
          <w:rFonts w:ascii="Verdana" w:hAnsi="Verdana" w:cs="Times New Roman"/>
          <w:sz w:val="20"/>
          <w:szCs w:val="20"/>
          <w:lang w:val="pt-BR"/>
        </w:rPr>
        <w:t>específico</w:t>
      </w:r>
      <w:r w:rsidR="000B5B3C" w:rsidRPr="0038442F">
        <w:rPr>
          <w:rFonts w:ascii="Verdana" w:hAnsi="Verdana" w:cs="Times New Roman"/>
          <w:sz w:val="20"/>
          <w:szCs w:val="20"/>
          <w:lang w:val="pt-BR"/>
        </w:rPr>
        <w:t xml:space="preserve">), </w:t>
      </w:r>
      <w:r w:rsidR="00C76C5C" w:rsidRPr="0038442F">
        <w:rPr>
          <w:rFonts w:ascii="Verdana" w:hAnsi="Verdana" w:cs="Times New Roman"/>
          <w:sz w:val="20"/>
          <w:szCs w:val="20"/>
          <w:lang w:val="pt-BR"/>
        </w:rPr>
        <w:t xml:space="preserve">provocaram dano aos </w:t>
      </w:r>
      <w:r w:rsidR="000B5B3C" w:rsidRPr="0038442F">
        <w:rPr>
          <w:rFonts w:ascii="Verdana" w:hAnsi="Verdana" w:cs="Times New Roman"/>
          <w:sz w:val="20"/>
          <w:szCs w:val="20"/>
          <w:lang w:val="pt-BR"/>
        </w:rPr>
        <w:t xml:space="preserve">85 </w:t>
      </w:r>
      <w:r w:rsidR="00246A73" w:rsidRPr="0038442F">
        <w:rPr>
          <w:rFonts w:ascii="Verdana" w:hAnsi="Verdana" w:cs="Times New Roman"/>
          <w:sz w:val="20"/>
          <w:szCs w:val="20"/>
          <w:lang w:val="pt-BR"/>
        </w:rPr>
        <w:t>trabalhadores</w:t>
      </w:r>
      <w:r w:rsidR="00407242" w:rsidRPr="0038442F">
        <w:rPr>
          <w:rFonts w:ascii="Verdana" w:hAnsi="Verdana" w:cs="Times New Roman"/>
          <w:sz w:val="20"/>
          <w:szCs w:val="20"/>
          <w:lang w:val="pt-BR"/>
        </w:rPr>
        <w:t xml:space="preserve"> </w:t>
      </w:r>
      <w:r w:rsidR="000B5B3C" w:rsidRPr="0038442F">
        <w:rPr>
          <w:rFonts w:ascii="Verdana" w:hAnsi="Verdana" w:cs="Times New Roman"/>
          <w:sz w:val="20"/>
          <w:szCs w:val="20"/>
          <w:lang w:val="pt-BR"/>
        </w:rPr>
        <w:t>res</w:t>
      </w:r>
      <w:r w:rsidR="00C76C5C" w:rsidRPr="0038442F">
        <w:rPr>
          <w:rFonts w:ascii="Verdana" w:hAnsi="Verdana" w:cs="Times New Roman"/>
          <w:sz w:val="20"/>
          <w:szCs w:val="20"/>
          <w:lang w:val="pt-BR"/>
        </w:rPr>
        <w:t>g</w:t>
      </w:r>
      <w:r w:rsidR="000B5B3C" w:rsidRPr="0038442F">
        <w:rPr>
          <w:rFonts w:ascii="Verdana" w:hAnsi="Verdana" w:cs="Times New Roman"/>
          <w:sz w:val="20"/>
          <w:szCs w:val="20"/>
          <w:lang w:val="pt-BR"/>
        </w:rPr>
        <w:t xml:space="preserve">atados </w:t>
      </w:r>
      <w:r w:rsidR="00C92762" w:rsidRPr="0038442F">
        <w:rPr>
          <w:rFonts w:ascii="Verdana" w:hAnsi="Verdana" w:cs="Times New Roman"/>
          <w:sz w:val="20"/>
          <w:szCs w:val="20"/>
          <w:lang w:val="pt-BR"/>
        </w:rPr>
        <w:t xml:space="preserve">da </w:t>
      </w:r>
      <w:r w:rsidR="00C76C5C" w:rsidRPr="0038442F">
        <w:rPr>
          <w:rFonts w:ascii="Verdana" w:hAnsi="Verdana" w:cs="Times New Roman"/>
          <w:sz w:val="20"/>
          <w:szCs w:val="20"/>
          <w:lang w:val="pt-BR"/>
        </w:rPr>
        <w:t>Fazenda</w:t>
      </w:r>
      <w:r w:rsidR="00407242" w:rsidRPr="0038442F">
        <w:rPr>
          <w:rFonts w:ascii="Verdana" w:hAnsi="Verdana" w:cs="Times New Roman"/>
          <w:sz w:val="20"/>
          <w:szCs w:val="20"/>
          <w:lang w:val="pt-BR"/>
        </w:rPr>
        <w:t xml:space="preserve"> </w:t>
      </w:r>
      <w:r w:rsidR="000B5B3C" w:rsidRPr="0038442F">
        <w:rPr>
          <w:rFonts w:ascii="Verdana" w:hAnsi="Verdana" w:cs="Times New Roman"/>
          <w:sz w:val="20"/>
          <w:szCs w:val="20"/>
          <w:lang w:val="pt-BR"/>
        </w:rPr>
        <w:t>Brasil Verde</w:t>
      </w:r>
      <w:r w:rsidR="00C76C5C" w:rsidRPr="0038442F">
        <w:rPr>
          <w:rFonts w:ascii="Verdana" w:hAnsi="Verdana" w:cs="Times New Roman"/>
          <w:sz w:val="20"/>
          <w:szCs w:val="20"/>
          <w:lang w:val="pt-BR"/>
        </w:rPr>
        <w:t>.</w:t>
      </w:r>
      <w:r w:rsidR="000B5B3C" w:rsidRPr="0038442F">
        <w:rPr>
          <w:rStyle w:val="Refdenotaalpie"/>
          <w:rFonts w:ascii="Verdana" w:hAnsi="Verdana" w:cs="Times New Roman"/>
          <w:sz w:val="20"/>
          <w:szCs w:val="20"/>
          <w:lang w:val="pt-BR"/>
        </w:rPr>
        <w:footnoteReference w:id="98"/>
      </w:r>
    </w:p>
    <w:p w14:paraId="4C665C0F" w14:textId="77777777" w:rsidR="0045746A" w:rsidRPr="0038442F" w:rsidRDefault="0045746A" w:rsidP="00A857CB">
      <w:pPr>
        <w:pStyle w:val="Prrafodelista"/>
        <w:spacing w:after="0" w:line="240" w:lineRule="auto"/>
        <w:ind w:left="0"/>
        <w:jc w:val="both"/>
        <w:rPr>
          <w:rFonts w:ascii="Verdana" w:hAnsi="Verdana" w:cs="Times New Roman"/>
          <w:strike/>
          <w:sz w:val="20"/>
          <w:szCs w:val="20"/>
          <w:lang w:val="pt-BR"/>
        </w:rPr>
      </w:pPr>
    </w:p>
    <w:p w14:paraId="0DE68EF5" w14:textId="1178037E" w:rsidR="0045746A" w:rsidRPr="0038442F" w:rsidRDefault="00685AC6" w:rsidP="00685AC6">
      <w:pPr>
        <w:pStyle w:val="Prrafodelista"/>
        <w:spacing w:after="0" w:line="240" w:lineRule="auto"/>
        <w:ind w:left="0"/>
        <w:jc w:val="both"/>
        <w:rPr>
          <w:rFonts w:ascii="Verdana" w:hAnsi="Verdana" w:cs="Times New Roman"/>
          <w:strike/>
          <w:sz w:val="20"/>
          <w:szCs w:val="20"/>
          <w:lang w:val="pt-BR"/>
        </w:rPr>
      </w:pPr>
      <w:r w:rsidRPr="0038442F">
        <w:rPr>
          <w:rFonts w:ascii="Verdana" w:hAnsi="Verdana" w:cs="Times New Roman"/>
          <w:sz w:val="20"/>
          <w:szCs w:val="20"/>
          <w:lang w:val="pt-BR"/>
        </w:rPr>
        <w:t xml:space="preserve">58. </w:t>
      </w:r>
      <w:r w:rsidRPr="0038442F">
        <w:rPr>
          <w:rFonts w:ascii="Verdana" w:hAnsi="Verdana" w:cs="Times New Roman"/>
          <w:sz w:val="20"/>
          <w:szCs w:val="20"/>
          <w:lang w:val="pt-BR"/>
        </w:rPr>
        <w:tab/>
      </w:r>
      <w:r w:rsidR="0045746A" w:rsidRPr="0038442F">
        <w:rPr>
          <w:rFonts w:ascii="Verdana" w:hAnsi="Verdana" w:cs="Times New Roman"/>
          <w:sz w:val="20"/>
          <w:szCs w:val="20"/>
          <w:lang w:val="pt-BR"/>
        </w:rPr>
        <w:t>U</w:t>
      </w:r>
      <w:r w:rsidR="00C76C5C" w:rsidRPr="0038442F">
        <w:rPr>
          <w:rFonts w:ascii="Verdana" w:hAnsi="Verdana" w:cs="Times New Roman"/>
          <w:sz w:val="20"/>
          <w:szCs w:val="20"/>
          <w:lang w:val="pt-BR"/>
        </w:rPr>
        <w:t>m</w:t>
      </w:r>
      <w:r w:rsidR="0045746A" w:rsidRPr="0038442F">
        <w:rPr>
          <w:rFonts w:ascii="Verdana" w:hAnsi="Verdana" w:cs="Times New Roman"/>
          <w:sz w:val="20"/>
          <w:szCs w:val="20"/>
          <w:lang w:val="pt-BR"/>
        </w:rPr>
        <w:t xml:space="preserve"> aspecto que </w:t>
      </w:r>
      <w:r w:rsidR="00C76C5C" w:rsidRPr="0038442F">
        <w:rPr>
          <w:rFonts w:ascii="Verdana" w:hAnsi="Verdana" w:cs="Times New Roman"/>
          <w:sz w:val="20"/>
          <w:szCs w:val="20"/>
          <w:lang w:val="pt-BR"/>
        </w:rPr>
        <w:t xml:space="preserve">não foi </w:t>
      </w:r>
      <w:r w:rsidR="0045746A" w:rsidRPr="0038442F">
        <w:rPr>
          <w:rFonts w:ascii="Verdana" w:hAnsi="Verdana" w:cs="Times New Roman"/>
          <w:sz w:val="20"/>
          <w:szCs w:val="20"/>
          <w:lang w:val="pt-BR"/>
        </w:rPr>
        <w:t xml:space="preserve">abordado </w:t>
      </w:r>
      <w:r w:rsidR="00751189" w:rsidRPr="0038442F">
        <w:rPr>
          <w:rFonts w:ascii="Verdana" w:hAnsi="Verdana" w:cs="Times New Roman"/>
          <w:sz w:val="20"/>
          <w:szCs w:val="20"/>
          <w:lang w:val="pt-BR"/>
        </w:rPr>
        <w:t xml:space="preserve">no </w:t>
      </w:r>
      <w:r w:rsidR="00C76C5C" w:rsidRPr="0038442F">
        <w:rPr>
          <w:rFonts w:ascii="Verdana" w:hAnsi="Verdana" w:cs="Times New Roman"/>
          <w:i/>
          <w:sz w:val="20"/>
          <w:szCs w:val="20"/>
          <w:lang w:val="pt-BR"/>
        </w:rPr>
        <w:t xml:space="preserve">Caso </w:t>
      </w:r>
      <w:r w:rsidR="00D274C6" w:rsidRPr="0038442F">
        <w:rPr>
          <w:rFonts w:ascii="Verdana" w:hAnsi="Verdana" w:cs="Times New Roman"/>
          <w:i/>
          <w:iCs/>
          <w:sz w:val="20"/>
          <w:szCs w:val="20"/>
          <w:lang w:val="pt-BR"/>
        </w:rPr>
        <w:t xml:space="preserve">Trabalhadores da Fazenda </w:t>
      </w:r>
      <w:r w:rsidR="0045746A" w:rsidRPr="0038442F">
        <w:rPr>
          <w:rFonts w:ascii="Verdana" w:hAnsi="Verdana" w:cs="Times New Roman"/>
          <w:i/>
          <w:iCs/>
          <w:sz w:val="20"/>
          <w:szCs w:val="20"/>
          <w:lang w:val="pt-BR"/>
        </w:rPr>
        <w:t>Brasil Verde</w:t>
      </w:r>
      <w:r w:rsidR="0045746A" w:rsidRPr="0038442F">
        <w:rPr>
          <w:rFonts w:ascii="Verdana" w:hAnsi="Verdana" w:cs="Times New Roman"/>
          <w:sz w:val="20"/>
          <w:szCs w:val="20"/>
          <w:lang w:val="pt-BR"/>
        </w:rPr>
        <w:t xml:space="preserve"> (</w:t>
      </w:r>
      <w:r w:rsidR="006A12FD" w:rsidRPr="0038442F">
        <w:rPr>
          <w:rFonts w:ascii="Verdana" w:hAnsi="Verdana" w:cs="Times New Roman"/>
          <w:sz w:val="20"/>
          <w:szCs w:val="20"/>
          <w:lang w:val="pt-BR"/>
        </w:rPr>
        <w:t xml:space="preserve">pelas </w:t>
      </w:r>
      <w:r w:rsidR="0045746A" w:rsidRPr="0038442F">
        <w:rPr>
          <w:rFonts w:ascii="Verdana" w:hAnsi="Verdana" w:cs="Times New Roman"/>
          <w:sz w:val="20"/>
          <w:szCs w:val="20"/>
          <w:lang w:val="pt-BR"/>
        </w:rPr>
        <w:t>particular</w:t>
      </w:r>
      <w:r w:rsidR="00C83729" w:rsidRPr="0038442F">
        <w:rPr>
          <w:rFonts w:ascii="Verdana" w:hAnsi="Verdana" w:cs="Times New Roman"/>
          <w:sz w:val="20"/>
          <w:szCs w:val="20"/>
          <w:lang w:val="pt-BR"/>
        </w:rPr>
        <w:t>idade</w:t>
      </w:r>
      <w:r w:rsidR="0045746A" w:rsidRPr="0038442F">
        <w:rPr>
          <w:rFonts w:ascii="Verdana" w:hAnsi="Verdana" w:cs="Times New Roman"/>
          <w:sz w:val="20"/>
          <w:szCs w:val="20"/>
          <w:lang w:val="pt-BR"/>
        </w:rPr>
        <w:t>s d</w:t>
      </w:r>
      <w:r w:rsidR="00C76C5C" w:rsidRPr="0038442F">
        <w:rPr>
          <w:rFonts w:ascii="Verdana" w:hAnsi="Verdana" w:cs="Times New Roman"/>
          <w:sz w:val="20"/>
          <w:szCs w:val="20"/>
          <w:lang w:val="pt-BR"/>
        </w:rPr>
        <w:t xml:space="preserve">o </w:t>
      </w:r>
      <w:r w:rsidR="0045746A" w:rsidRPr="0038442F">
        <w:rPr>
          <w:rFonts w:ascii="Verdana" w:hAnsi="Verdana" w:cs="Times New Roman"/>
          <w:sz w:val="20"/>
          <w:szCs w:val="20"/>
          <w:lang w:val="pt-BR"/>
        </w:rPr>
        <w:t xml:space="preserve">caso), </w:t>
      </w:r>
      <w:r w:rsidR="00C76C5C" w:rsidRPr="0038442F">
        <w:rPr>
          <w:rFonts w:ascii="Verdana" w:hAnsi="Verdana" w:cs="Times New Roman"/>
          <w:sz w:val="20"/>
          <w:szCs w:val="20"/>
          <w:lang w:val="pt-BR"/>
        </w:rPr>
        <w:t xml:space="preserve">mas que considerei </w:t>
      </w:r>
      <w:r w:rsidR="0045746A" w:rsidRPr="0038442F">
        <w:rPr>
          <w:rFonts w:ascii="Verdana" w:hAnsi="Verdana" w:cs="Times New Roman"/>
          <w:sz w:val="20"/>
          <w:szCs w:val="20"/>
          <w:lang w:val="pt-BR"/>
        </w:rPr>
        <w:t xml:space="preserve">oportuno </w:t>
      </w:r>
      <w:r w:rsidR="00C76C5C" w:rsidRPr="0038442F">
        <w:rPr>
          <w:rFonts w:ascii="Verdana" w:hAnsi="Verdana" w:cs="Times New Roman"/>
          <w:sz w:val="20"/>
          <w:szCs w:val="20"/>
          <w:lang w:val="pt-BR"/>
        </w:rPr>
        <w:t xml:space="preserve">mencionar, em </w:t>
      </w:r>
      <w:r w:rsidR="0045746A" w:rsidRPr="0038442F">
        <w:rPr>
          <w:rFonts w:ascii="Verdana" w:hAnsi="Verdana" w:cs="Times New Roman"/>
          <w:sz w:val="20"/>
          <w:szCs w:val="20"/>
          <w:lang w:val="pt-BR"/>
        </w:rPr>
        <w:t>2016, era c</w:t>
      </w:r>
      <w:r w:rsidR="00C76C5C" w:rsidRPr="0038442F">
        <w:rPr>
          <w:rFonts w:ascii="Verdana" w:hAnsi="Verdana" w:cs="Times New Roman"/>
          <w:sz w:val="20"/>
          <w:szCs w:val="20"/>
          <w:lang w:val="pt-BR"/>
        </w:rPr>
        <w:t>o</w:t>
      </w:r>
      <w:r w:rsidR="0045746A" w:rsidRPr="0038442F">
        <w:rPr>
          <w:rFonts w:ascii="Verdana" w:hAnsi="Verdana" w:cs="Times New Roman"/>
          <w:sz w:val="20"/>
          <w:szCs w:val="20"/>
          <w:lang w:val="pt-BR"/>
        </w:rPr>
        <w:t>mo a condi</w:t>
      </w:r>
      <w:r w:rsidR="000A1AA8" w:rsidRPr="0038442F">
        <w:rPr>
          <w:rFonts w:ascii="Verdana" w:hAnsi="Verdana" w:cs="Times New Roman"/>
          <w:sz w:val="20"/>
          <w:szCs w:val="20"/>
          <w:lang w:val="pt-BR"/>
        </w:rPr>
        <w:t>ção</w:t>
      </w:r>
      <w:r w:rsidR="0045746A"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econômica</w:t>
      </w:r>
      <w:r w:rsidR="00407242" w:rsidRPr="0038442F">
        <w:rPr>
          <w:rFonts w:ascii="Verdana" w:hAnsi="Verdana" w:cs="Times New Roman"/>
          <w:sz w:val="20"/>
          <w:szCs w:val="20"/>
          <w:lang w:val="pt-BR"/>
        </w:rPr>
        <w:t xml:space="preserve"> </w:t>
      </w:r>
      <w:r w:rsidR="0045746A" w:rsidRPr="0038442F">
        <w:rPr>
          <w:rFonts w:ascii="Verdana" w:hAnsi="Verdana" w:cs="Times New Roman"/>
          <w:sz w:val="20"/>
          <w:szCs w:val="20"/>
          <w:lang w:val="pt-BR"/>
        </w:rPr>
        <w:t>pod</w:t>
      </w:r>
      <w:r w:rsidR="00C76C5C" w:rsidRPr="0038442F">
        <w:rPr>
          <w:rFonts w:ascii="Verdana" w:hAnsi="Verdana" w:cs="Times New Roman"/>
          <w:sz w:val="20"/>
          <w:szCs w:val="20"/>
          <w:lang w:val="pt-BR"/>
        </w:rPr>
        <w:t xml:space="preserve">eria </w:t>
      </w:r>
      <w:r w:rsidR="001845F6" w:rsidRPr="0038442F">
        <w:rPr>
          <w:rFonts w:ascii="Verdana" w:hAnsi="Verdana" w:cs="Times New Roman"/>
          <w:sz w:val="20"/>
          <w:szCs w:val="20"/>
          <w:lang w:val="pt-BR"/>
        </w:rPr>
        <w:t xml:space="preserve">se </w:t>
      </w:r>
      <w:r w:rsidR="0045746A" w:rsidRPr="0038442F">
        <w:rPr>
          <w:rFonts w:ascii="Verdana" w:hAnsi="Verdana" w:cs="Times New Roman"/>
          <w:sz w:val="20"/>
          <w:szCs w:val="20"/>
          <w:lang w:val="pt-BR"/>
        </w:rPr>
        <w:t>intersecionar co</w:t>
      </w:r>
      <w:r w:rsidR="00C76C5C" w:rsidRPr="0038442F">
        <w:rPr>
          <w:rFonts w:ascii="Verdana" w:hAnsi="Verdana" w:cs="Times New Roman"/>
          <w:sz w:val="20"/>
          <w:szCs w:val="20"/>
          <w:lang w:val="pt-BR"/>
        </w:rPr>
        <w:t>m</w:t>
      </w:r>
      <w:r w:rsidR="0045746A" w:rsidRPr="0038442F">
        <w:rPr>
          <w:rFonts w:ascii="Verdana" w:hAnsi="Verdana" w:cs="Times New Roman"/>
          <w:sz w:val="20"/>
          <w:szCs w:val="20"/>
          <w:lang w:val="pt-BR"/>
        </w:rPr>
        <w:t xml:space="preserve"> </w:t>
      </w:r>
      <w:r w:rsidR="006A12FD" w:rsidRPr="0038442F">
        <w:rPr>
          <w:rFonts w:ascii="Verdana" w:hAnsi="Verdana" w:cs="Times New Roman"/>
          <w:sz w:val="20"/>
          <w:szCs w:val="20"/>
          <w:lang w:val="pt-BR"/>
        </w:rPr>
        <w:t>outras</w:t>
      </w:r>
      <w:r w:rsidR="00407242" w:rsidRPr="0038442F">
        <w:rPr>
          <w:rFonts w:ascii="Verdana" w:hAnsi="Verdana" w:cs="Times New Roman"/>
          <w:sz w:val="20"/>
          <w:szCs w:val="20"/>
          <w:lang w:val="pt-BR"/>
        </w:rPr>
        <w:t xml:space="preserve"> </w:t>
      </w:r>
      <w:r w:rsidR="00C83729" w:rsidRPr="0038442F">
        <w:rPr>
          <w:rFonts w:ascii="Verdana" w:hAnsi="Verdana" w:cs="Times New Roman"/>
          <w:sz w:val="20"/>
          <w:szCs w:val="20"/>
          <w:lang w:val="pt-BR"/>
        </w:rPr>
        <w:t>categor</w:t>
      </w:r>
      <w:r w:rsidR="00C76C5C" w:rsidRPr="0038442F">
        <w:rPr>
          <w:rFonts w:ascii="Verdana" w:hAnsi="Verdana" w:cs="Times New Roman"/>
          <w:sz w:val="20"/>
          <w:szCs w:val="20"/>
          <w:lang w:val="pt-BR"/>
        </w:rPr>
        <w:t>i</w:t>
      </w:r>
      <w:r w:rsidR="00C83729" w:rsidRPr="0038442F">
        <w:rPr>
          <w:rFonts w:ascii="Verdana" w:hAnsi="Verdana" w:cs="Times New Roman"/>
          <w:sz w:val="20"/>
          <w:szCs w:val="20"/>
          <w:lang w:val="pt-BR"/>
        </w:rPr>
        <w:t>as</w:t>
      </w:r>
      <w:r w:rsidR="0045746A" w:rsidRPr="0038442F">
        <w:rPr>
          <w:rFonts w:ascii="Verdana" w:hAnsi="Verdana" w:cs="Times New Roman"/>
          <w:sz w:val="20"/>
          <w:szCs w:val="20"/>
          <w:lang w:val="pt-BR"/>
        </w:rPr>
        <w:t xml:space="preserve"> o</w:t>
      </w:r>
      <w:r w:rsidR="00C76C5C" w:rsidRPr="0038442F">
        <w:rPr>
          <w:rFonts w:ascii="Verdana" w:hAnsi="Verdana" w:cs="Times New Roman"/>
          <w:sz w:val="20"/>
          <w:szCs w:val="20"/>
          <w:lang w:val="pt-BR"/>
        </w:rPr>
        <w:t>u</w:t>
      </w:r>
      <w:r w:rsidR="0045746A" w:rsidRPr="0038442F">
        <w:rPr>
          <w:rFonts w:ascii="Verdana" w:hAnsi="Verdana" w:cs="Times New Roman"/>
          <w:sz w:val="20"/>
          <w:szCs w:val="20"/>
          <w:lang w:val="pt-BR"/>
        </w:rPr>
        <w:t xml:space="preserve"> </w:t>
      </w:r>
      <w:r w:rsidR="00CA30C5" w:rsidRPr="0038442F">
        <w:rPr>
          <w:rFonts w:ascii="Verdana" w:hAnsi="Verdana" w:cs="Times New Roman"/>
          <w:sz w:val="20"/>
          <w:szCs w:val="20"/>
          <w:lang w:val="pt-BR"/>
        </w:rPr>
        <w:t>fatores</w:t>
      </w:r>
      <w:r w:rsidR="00407242" w:rsidRPr="0038442F">
        <w:rPr>
          <w:rFonts w:ascii="Verdana" w:hAnsi="Verdana" w:cs="Times New Roman"/>
          <w:sz w:val="20"/>
          <w:szCs w:val="20"/>
          <w:lang w:val="pt-BR"/>
        </w:rPr>
        <w:t xml:space="preserve"> </w:t>
      </w:r>
      <w:r w:rsidR="0045746A" w:rsidRPr="0038442F">
        <w:rPr>
          <w:rFonts w:ascii="Verdana" w:hAnsi="Verdana" w:cs="Times New Roman"/>
          <w:sz w:val="20"/>
          <w:szCs w:val="20"/>
          <w:lang w:val="pt-BR"/>
        </w:rPr>
        <w:t>de vulnerabilidad</w:t>
      </w:r>
      <w:r w:rsidR="00C76C5C" w:rsidRPr="0038442F">
        <w:rPr>
          <w:rFonts w:ascii="Verdana" w:hAnsi="Verdana" w:cs="Times New Roman"/>
          <w:sz w:val="20"/>
          <w:szCs w:val="20"/>
          <w:lang w:val="pt-BR"/>
        </w:rPr>
        <w:t>e</w:t>
      </w:r>
      <w:r w:rsidR="0045746A" w:rsidRPr="0038442F">
        <w:rPr>
          <w:rFonts w:ascii="Verdana" w:hAnsi="Verdana" w:cs="Times New Roman"/>
          <w:sz w:val="20"/>
          <w:szCs w:val="20"/>
          <w:lang w:val="pt-BR"/>
        </w:rPr>
        <w:t xml:space="preserve"> anali</w:t>
      </w:r>
      <w:r w:rsidR="00C76C5C" w:rsidRPr="0038442F">
        <w:rPr>
          <w:rFonts w:ascii="Verdana" w:hAnsi="Verdana" w:cs="Times New Roman"/>
          <w:sz w:val="20"/>
          <w:szCs w:val="20"/>
          <w:lang w:val="pt-BR"/>
        </w:rPr>
        <w:t>s</w:t>
      </w:r>
      <w:r w:rsidR="0045746A" w:rsidRPr="0038442F">
        <w:rPr>
          <w:rFonts w:ascii="Verdana" w:hAnsi="Verdana" w:cs="Times New Roman"/>
          <w:sz w:val="20"/>
          <w:szCs w:val="20"/>
          <w:lang w:val="pt-BR"/>
        </w:rPr>
        <w:t xml:space="preserve">ados </w:t>
      </w:r>
      <w:r w:rsidR="000A1AA8" w:rsidRPr="0038442F">
        <w:rPr>
          <w:rFonts w:ascii="Verdana" w:hAnsi="Verdana" w:cs="Times New Roman"/>
          <w:sz w:val="20"/>
          <w:szCs w:val="20"/>
          <w:lang w:val="pt-BR"/>
        </w:rPr>
        <w:t xml:space="preserve">pela </w:t>
      </w:r>
      <w:r w:rsidR="00984A83" w:rsidRPr="0038442F">
        <w:rPr>
          <w:rFonts w:ascii="Verdana" w:hAnsi="Verdana" w:cs="Times New Roman"/>
          <w:sz w:val="20"/>
          <w:szCs w:val="20"/>
          <w:lang w:val="pt-BR"/>
        </w:rPr>
        <w:t>jurisprudência</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45746A" w:rsidRPr="0038442F">
        <w:rPr>
          <w:rFonts w:ascii="Verdana" w:hAnsi="Verdana" w:cs="Times New Roman"/>
          <w:sz w:val="20"/>
          <w:szCs w:val="20"/>
          <w:lang w:val="pt-BR"/>
        </w:rPr>
        <w:t>Corte IDH. A</w:t>
      </w:r>
      <w:r w:rsidR="00C76C5C" w:rsidRPr="0038442F">
        <w:rPr>
          <w:rFonts w:ascii="Verdana" w:hAnsi="Verdana" w:cs="Times New Roman"/>
          <w:sz w:val="20"/>
          <w:szCs w:val="20"/>
          <w:lang w:val="pt-BR"/>
        </w:rPr>
        <w:t xml:space="preserve">ssim, considerei </w:t>
      </w:r>
      <w:r w:rsidR="0045746A" w:rsidRPr="0038442F">
        <w:rPr>
          <w:rFonts w:ascii="Verdana" w:hAnsi="Verdana" w:cs="Times New Roman"/>
          <w:sz w:val="20"/>
          <w:szCs w:val="20"/>
          <w:lang w:val="pt-BR"/>
        </w:rPr>
        <w:t xml:space="preserve">que: </w:t>
      </w:r>
    </w:p>
    <w:p w14:paraId="610708DF" w14:textId="77777777" w:rsidR="0045746A" w:rsidRPr="0038442F" w:rsidRDefault="0045746A" w:rsidP="00A857CB">
      <w:pPr>
        <w:pStyle w:val="Prrafodelista"/>
        <w:spacing w:line="240" w:lineRule="auto"/>
        <w:rPr>
          <w:rFonts w:ascii="Verdana" w:hAnsi="Verdana" w:cs="Times New Roman"/>
          <w:strike/>
          <w:sz w:val="20"/>
          <w:szCs w:val="20"/>
          <w:lang w:val="pt-BR"/>
        </w:rPr>
      </w:pPr>
    </w:p>
    <w:p w14:paraId="65EC31DE" w14:textId="1C0539AB" w:rsidR="0045746A" w:rsidRPr="0038442F" w:rsidRDefault="0045746A" w:rsidP="00A857CB">
      <w:pPr>
        <w:pStyle w:val="Prrafodelista"/>
        <w:spacing w:after="0" w:line="240" w:lineRule="auto"/>
        <w:ind w:left="708" w:right="757"/>
        <w:jc w:val="both"/>
        <w:rPr>
          <w:rFonts w:ascii="Verdana" w:hAnsi="Verdana" w:cs="Times New Roman"/>
          <w:strike/>
          <w:sz w:val="16"/>
          <w:szCs w:val="16"/>
          <w:lang w:val="pt-BR"/>
        </w:rPr>
      </w:pPr>
      <w:r w:rsidRPr="0038442F">
        <w:rPr>
          <w:rFonts w:ascii="Verdana" w:hAnsi="Verdana" w:cs="Times New Roman"/>
          <w:sz w:val="16"/>
          <w:szCs w:val="16"/>
          <w:lang w:val="pt-BR"/>
        </w:rPr>
        <w:t>53. […]</w:t>
      </w:r>
      <w:r w:rsidR="00166BBC" w:rsidRPr="0038442F">
        <w:rPr>
          <w:rFonts w:ascii="Verdana" w:hAnsi="Verdana" w:cs="Times New Roman"/>
          <w:sz w:val="16"/>
          <w:szCs w:val="16"/>
          <w:lang w:val="pt-BR"/>
        </w:rPr>
        <w:t xml:space="preserve"> </w:t>
      </w:r>
      <w:r w:rsidR="00214116" w:rsidRPr="00214116">
        <w:rPr>
          <w:rFonts w:ascii="Verdana" w:hAnsi="Verdana" w:cs="Times New Roman"/>
          <w:sz w:val="16"/>
          <w:szCs w:val="16"/>
          <w:lang w:val="pt-BR"/>
        </w:rPr>
        <w:t>faz-se mister ressaltar que quando, além da situação pobreza estiver presente outra categoria, como raça</w:t>
      </w:r>
      <w:r w:rsidR="00C76C5C" w:rsidRPr="0038442F">
        <w:rPr>
          <w:rFonts w:ascii="Verdana" w:hAnsi="Verdana" w:cs="Times New Roman"/>
          <w:sz w:val="16"/>
          <w:szCs w:val="16"/>
          <w:lang w:val="pt-BR"/>
        </w:rPr>
        <w:t xml:space="preserve">, gênero, origem </w:t>
      </w:r>
      <w:r w:rsidRPr="0038442F">
        <w:rPr>
          <w:rFonts w:ascii="Verdana" w:hAnsi="Verdana" w:cs="Times New Roman"/>
          <w:sz w:val="16"/>
          <w:szCs w:val="16"/>
          <w:lang w:val="pt-BR"/>
        </w:rPr>
        <w:t>étnic</w:t>
      </w:r>
      <w:r w:rsidR="00C76C5C" w:rsidRPr="0038442F">
        <w:rPr>
          <w:rFonts w:ascii="Verdana" w:hAnsi="Verdana" w:cs="Times New Roman"/>
          <w:sz w:val="16"/>
          <w:szCs w:val="16"/>
          <w:lang w:val="pt-BR"/>
        </w:rPr>
        <w:t>a</w:t>
      </w:r>
      <w:r w:rsidRPr="0038442F">
        <w:rPr>
          <w:rFonts w:ascii="Verdana" w:hAnsi="Verdana" w:cs="Times New Roman"/>
          <w:sz w:val="16"/>
          <w:szCs w:val="16"/>
          <w:lang w:val="pt-BR"/>
        </w:rPr>
        <w:t xml:space="preserve">, etc., </w:t>
      </w:r>
      <w:r w:rsidR="00214116">
        <w:rPr>
          <w:rFonts w:ascii="Verdana" w:hAnsi="Verdana" w:cs="Times New Roman"/>
          <w:sz w:val="16"/>
          <w:szCs w:val="16"/>
          <w:lang w:val="pt-BR"/>
        </w:rPr>
        <w:t>prevista</w:t>
      </w:r>
      <w:r w:rsidR="00214116" w:rsidRPr="0038442F">
        <w:rPr>
          <w:rFonts w:ascii="Verdana" w:hAnsi="Verdana" w:cs="Times New Roman"/>
          <w:sz w:val="16"/>
          <w:szCs w:val="16"/>
          <w:lang w:val="pt-BR"/>
        </w:rPr>
        <w:t xml:space="preserve"> </w:t>
      </w:r>
      <w:r w:rsidR="00751189" w:rsidRPr="0038442F">
        <w:rPr>
          <w:rFonts w:ascii="Verdana" w:hAnsi="Verdana" w:cs="Times New Roman"/>
          <w:sz w:val="16"/>
          <w:szCs w:val="16"/>
          <w:lang w:val="pt-BR"/>
        </w:rPr>
        <w:t xml:space="preserve">no </w:t>
      </w:r>
      <w:r w:rsidR="00CA30C5" w:rsidRPr="0038442F">
        <w:rPr>
          <w:rFonts w:ascii="Verdana" w:hAnsi="Verdana" w:cs="Times New Roman"/>
          <w:sz w:val="16"/>
          <w:szCs w:val="16"/>
          <w:lang w:val="pt-BR"/>
        </w:rPr>
        <w:t>artigo</w:t>
      </w:r>
      <w:r w:rsidR="00407242" w:rsidRPr="0038442F">
        <w:rPr>
          <w:rFonts w:ascii="Verdana" w:hAnsi="Verdana" w:cs="Times New Roman"/>
          <w:sz w:val="16"/>
          <w:szCs w:val="16"/>
          <w:lang w:val="pt-BR"/>
        </w:rPr>
        <w:t xml:space="preserve"> </w:t>
      </w:r>
      <w:r w:rsidRPr="0038442F">
        <w:rPr>
          <w:rFonts w:ascii="Verdana" w:hAnsi="Verdana" w:cs="Times New Roman"/>
          <w:sz w:val="16"/>
          <w:szCs w:val="16"/>
          <w:lang w:val="pt-BR"/>
        </w:rPr>
        <w:t>1.1</w:t>
      </w:r>
      <w:r w:rsidR="00C76C5C" w:rsidRPr="0038442F">
        <w:rPr>
          <w:rFonts w:ascii="Verdana" w:hAnsi="Verdana" w:cs="Times New Roman"/>
          <w:sz w:val="16"/>
          <w:szCs w:val="16"/>
          <w:lang w:val="pt-BR"/>
        </w:rPr>
        <w:t>,</w:t>
      </w:r>
      <w:r w:rsidRPr="0038442F">
        <w:rPr>
          <w:rFonts w:ascii="Verdana" w:hAnsi="Verdana" w:cs="Times New Roman"/>
          <w:sz w:val="16"/>
          <w:szCs w:val="16"/>
          <w:lang w:val="pt-BR"/>
        </w:rPr>
        <w:t xml:space="preserve"> </w:t>
      </w:r>
      <w:r w:rsidR="00214116">
        <w:rPr>
          <w:rFonts w:ascii="Verdana" w:hAnsi="Verdana" w:cs="Times New Roman"/>
          <w:sz w:val="16"/>
          <w:szCs w:val="16"/>
          <w:lang w:val="pt-BR"/>
        </w:rPr>
        <w:t>estaremos</w:t>
      </w:r>
      <w:r w:rsidRPr="0038442F">
        <w:rPr>
          <w:rFonts w:ascii="Verdana" w:hAnsi="Verdana" w:cs="Times New Roman"/>
          <w:sz w:val="16"/>
          <w:szCs w:val="16"/>
          <w:lang w:val="pt-BR"/>
        </w:rPr>
        <w:t xml:space="preserve"> </w:t>
      </w:r>
      <w:r w:rsidR="00C76C5C" w:rsidRPr="0038442F">
        <w:rPr>
          <w:rFonts w:ascii="Verdana" w:hAnsi="Verdana" w:cs="Times New Roman"/>
          <w:sz w:val="16"/>
          <w:szCs w:val="16"/>
          <w:lang w:val="pt-BR"/>
        </w:rPr>
        <w:t xml:space="preserve">diante de uma </w:t>
      </w:r>
      <w:r w:rsidRPr="0038442F">
        <w:rPr>
          <w:rFonts w:ascii="Verdana" w:hAnsi="Verdana" w:cs="Times New Roman"/>
          <w:sz w:val="16"/>
          <w:szCs w:val="16"/>
          <w:lang w:val="pt-BR"/>
        </w:rPr>
        <w:t>situa</w:t>
      </w:r>
      <w:r w:rsidR="000A1AA8" w:rsidRPr="0038442F">
        <w:rPr>
          <w:rFonts w:ascii="Verdana" w:hAnsi="Verdana" w:cs="Times New Roman"/>
          <w:sz w:val="16"/>
          <w:szCs w:val="16"/>
          <w:lang w:val="pt-BR"/>
        </w:rPr>
        <w:t>ção</w:t>
      </w:r>
      <w:r w:rsidRPr="0038442F">
        <w:rPr>
          <w:rFonts w:ascii="Verdana" w:hAnsi="Verdana" w:cs="Times New Roman"/>
          <w:sz w:val="16"/>
          <w:szCs w:val="16"/>
          <w:lang w:val="pt-BR"/>
        </w:rPr>
        <w:t xml:space="preserve"> […] </w:t>
      </w:r>
      <w:r w:rsidR="006445EE" w:rsidRPr="0038442F">
        <w:rPr>
          <w:rFonts w:ascii="Verdana" w:hAnsi="Verdana" w:cs="Times New Roman"/>
          <w:sz w:val="16"/>
          <w:szCs w:val="16"/>
          <w:lang w:val="pt-BR"/>
        </w:rPr>
        <w:t>intersecional</w:t>
      </w:r>
      <w:r w:rsidR="00407242" w:rsidRPr="0038442F">
        <w:rPr>
          <w:rFonts w:ascii="Verdana" w:hAnsi="Verdana" w:cs="Times New Roman"/>
          <w:sz w:val="16"/>
          <w:szCs w:val="16"/>
          <w:lang w:val="pt-BR"/>
        </w:rPr>
        <w:t xml:space="preserve"> </w:t>
      </w:r>
      <w:r w:rsidRPr="0038442F">
        <w:rPr>
          <w:rFonts w:ascii="Verdana" w:hAnsi="Verdana" w:cs="Times New Roman"/>
          <w:sz w:val="16"/>
          <w:szCs w:val="16"/>
          <w:lang w:val="pt-BR"/>
        </w:rPr>
        <w:t>de discrimina</w:t>
      </w:r>
      <w:r w:rsidR="000A1AA8" w:rsidRPr="0038442F">
        <w:rPr>
          <w:rFonts w:ascii="Verdana" w:hAnsi="Verdana" w:cs="Times New Roman"/>
          <w:sz w:val="16"/>
          <w:szCs w:val="16"/>
          <w:lang w:val="pt-BR"/>
        </w:rPr>
        <w:t>ção</w:t>
      </w:r>
      <w:r w:rsidRPr="0038442F">
        <w:rPr>
          <w:rFonts w:ascii="Verdana" w:hAnsi="Verdana" w:cs="Times New Roman"/>
          <w:sz w:val="16"/>
          <w:szCs w:val="16"/>
          <w:lang w:val="pt-BR"/>
        </w:rPr>
        <w:t xml:space="preserve">, </w:t>
      </w:r>
      <w:r w:rsidR="00214116">
        <w:rPr>
          <w:rFonts w:ascii="Verdana" w:hAnsi="Verdana" w:cs="Times New Roman"/>
          <w:sz w:val="16"/>
          <w:szCs w:val="16"/>
          <w:lang w:val="pt-BR"/>
        </w:rPr>
        <w:t>dependendo das</w:t>
      </w:r>
      <w:r w:rsidR="00C76C5C" w:rsidRPr="0038442F">
        <w:rPr>
          <w:rFonts w:ascii="Verdana" w:hAnsi="Verdana" w:cs="Times New Roman"/>
          <w:sz w:val="16"/>
          <w:szCs w:val="16"/>
          <w:lang w:val="pt-BR"/>
        </w:rPr>
        <w:t xml:space="preserve"> </w:t>
      </w:r>
      <w:r w:rsidRPr="0038442F">
        <w:rPr>
          <w:rFonts w:ascii="Verdana" w:hAnsi="Verdana" w:cs="Times New Roman"/>
          <w:sz w:val="16"/>
          <w:szCs w:val="16"/>
          <w:lang w:val="pt-BR"/>
        </w:rPr>
        <w:t>particularidades d</w:t>
      </w:r>
      <w:r w:rsidR="00C76C5C" w:rsidRPr="0038442F">
        <w:rPr>
          <w:rFonts w:ascii="Verdana" w:hAnsi="Verdana" w:cs="Times New Roman"/>
          <w:sz w:val="16"/>
          <w:szCs w:val="16"/>
          <w:lang w:val="pt-BR"/>
        </w:rPr>
        <w:t xml:space="preserve">o </w:t>
      </w:r>
      <w:r w:rsidRPr="0038442F">
        <w:rPr>
          <w:rFonts w:ascii="Verdana" w:hAnsi="Verdana" w:cs="Times New Roman"/>
          <w:sz w:val="16"/>
          <w:szCs w:val="16"/>
          <w:lang w:val="pt-BR"/>
        </w:rPr>
        <w:t>caso</w:t>
      </w:r>
      <w:r w:rsidR="00214116">
        <w:rPr>
          <w:rFonts w:ascii="Verdana" w:hAnsi="Verdana" w:cs="Times New Roman"/>
          <w:sz w:val="16"/>
          <w:szCs w:val="16"/>
          <w:lang w:val="pt-BR"/>
        </w:rPr>
        <w:t>,</w:t>
      </w:r>
      <w:r w:rsidR="00C76C5C" w:rsidRPr="0038442F">
        <w:rPr>
          <w:rFonts w:ascii="Verdana" w:hAnsi="Verdana" w:cs="Times New Roman"/>
          <w:sz w:val="16"/>
          <w:szCs w:val="16"/>
          <w:lang w:val="pt-BR"/>
        </w:rPr>
        <w:t xml:space="preserve"> </w:t>
      </w:r>
      <w:r w:rsidR="00214116" w:rsidRPr="0038442F">
        <w:rPr>
          <w:rFonts w:ascii="Verdana" w:hAnsi="Verdana" w:cs="Times New Roman"/>
          <w:sz w:val="16"/>
          <w:szCs w:val="16"/>
          <w:lang w:val="pt-BR"/>
        </w:rPr>
        <w:t>co</w:t>
      </w:r>
      <w:r w:rsidR="00214116">
        <w:rPr>
          <w:rFonts w:ascii="Verdana" w:hAnsi="Verdana" w:cs="Times New Roman"/>
          <w:sz w:val="16"/>
          <w:szCs w:val="16"/>
          <w:lang w:val="pt-BR"/>
        </w:rPr>
        <w:t>nforme já foi</w:t>
      </w:r>
      <w:r w:rsidR="00C76C5C" w:rsidRPr="0038442F">
        <w:rPr>
          <w:rFonts w:ascii="Verdana" w:hAnsi="Verdana" w:cs="Times New Roman"/>
          <w:sz w:val="16"/>
          <w:szCs w:val="16"/>
          <w:lang w:val="pt-BR"/>
        </w:rPr>
        <w:t xml:space="preserve"> reconhecido em </w:t>
      </w:r>
      <w:r w:rsidR="006A12FD" w:rsidRPr="0038442F">
        <w:rPr>
          <w:rFonts w:ascii="Verdana" w:hAnsi="Verdana" w:cs="Times New Roman"/>
          <w:sz w:val="16"/>
          <w:szCs w:val="16"/>
          <w:lang w:val="pt-BR"/>
        </w:rPr>
        <w:t>outras</w:t>
      </w:r>
      <w:r w:rsidR="00407242" w:rsidRPr="0038442F">
        <w:rPr>
          <w:rFonts w:ascii="Verdana" w:hAnsi="Verdana" w:cs="Times New Roman"/>
          <w:sz w:val="16"/>
          <w:szCs w:val="16"/>
          <w:lang w:val="pt-BR"/>
        </w:rPr>
        <w:t xml:space="preserve"> </w:t>
      </w:r>
      <w:r w:rsidR="00C76C5C" w:rsidRPr="0038442F">
        <w:rPr>
          <w:rFonts w:ascii="Verdana" w:hAnsi="Verdana" w:cs="Times New Roman"/>
          <w:sz w:val="16"/>
          <w:szCs w:val="16"/>
          <w:lang w:val="pt-BR"/>
        </w:rPr>
        <w:t xml:space="preserve">ocasiões </w:t>
      </w:r>
      <w:r w:rsidR="00D45B15" w:rsidRPr="0038442F">
        <w:rPr>
          <w:rFonts w:ascii="Verdana" w:hAnsi="Verdana" w:cs="Times New Roman"/>
          <w:sz w:val="16"/>
          <w:szCs w:val="16"/>
          <w:lang w:val="pt-BR"/>
        </w:rPr>
        <w:t xml:space="preserve">pelo </w:t>
      </w:r>
      <w:r w:rsidRPr="0038442F">
        <w:rPr>
          <w:rFonts w:ascii="Verdana" w:hAnsi="Verdana" w:cs="Times New Roman"/>
          <w:sz w:val="16"/>
          <w:szCs w:val="16"/>
          <w:lang w:val="pt-BR"/>
        </w:rPr>
        <w:t>Tribunal Interamericano</w:t>
      </w:r>
      <w:r w:rsidR="00C76C5C" w:rsidRPr="0038442F">
        <w:rPr>
          <w:rFonts w:ascii="Verdana" w:hAnsi="Verdana" w:cs="Times New Roman"/>
          <w:sz w:val="16"/>
          <w:szCs w:val="16"/>
          <w:lang w:val="pt-BR"/>
        </w:rPr>
        <w:t>.</w:t>
      </w:r>
      <w:r w:rsidRPr="0038442F">
        <w:rPr>
          <w:rStyle w:val="Refdenotaalpie"/>
          <w:rFonts w:ascii="Verdana" w:hAnsi="Verdana"/>
          <w:sz w:val="16"/>
          <w:szCs w:val="16"/>
          <w:lang w:val="pt-BR"/>
        </w:rPr>
        <w:footnoteReference w:id="99"/>
      </w:r>
    </w:p>
    <w:p w14:paraId="31421034" w14:textId="77777777" w:rsidR="007E51C4" w:rsidRPr="0038442F" w:rsidRDefault="007E51C4" w:rsidP="00A857CB">
      <w:pPr>
        <w:pStyle w:val="Prrafodelista"/>
        <w:spacing w:after="0" w:line="240" w:lineRule="auto"/>
        <w:ind w:left="0"/>
        <w:jc w:val="both"/>
        <w:rPr>
          <w:rFonts w:ascii="Verdana" w:hAnsi="Verdana" w:cs="Times New Roman"/>
          <w:strike/>
          <w:sz w:val="20"/>
          <w:szCs w:val="20"/>
          <w:lang w:val="pt-BR"/>
        </w:rPr>
      </w:pPr>
    </w:p>
    <w:p w14:paraId="4E746CB6" w14:textId="5179D6B0" w:rsidR="00AF1663" w:rsidRPr="0038442F" w:rsidRDefault="00685AC6" w:rsidP="00685AC6">
      <w:pPr>
        <w:pStyle w:val="Prrafodelista"/>
        <w:spacing w:after="0" w:line="240" w:lineRule="auto"/>
        <w:ind w:left="0"/>
        <w:jc w:val="both"/>
        <w:rPr>
          <w:rFonts w:ascii="Verdana" w:hAnsi="Verdana" w:cs="Times New Roman"/>
          <w:strike/>
          <w:sz w:val="20"/>
          <w:szCs w:val="20"/>
          <w:lang w:val="pt-BR"/>
        </w:rPr>
      </w:pPr>
      <w:r w:rsidRPr="0038442F">
        <w:rPr>
          <w:rFonts w:ascii="Verdana" w:hAnsi="Verdana" w:cs="Times New Roman"/>
          <w:sz w:val="20"/>
          <w:szCs w:val="20"/>
          <w:lang w:val="pt-BR"/>
        </w:rPr>
        <w:t xml:space="preserve">59. </w:t>
      </w:r>
      <w:r w:rsidRPr="0038442F">
        <w:rPr>
          <w:rFonts w:ascii="Verdana" w:hAnsi="Verdana" w:cs="Times New Roman"/>
          <w:sz w:val="20"/>
          <w:szCs w:val="20"/>
          <w:lang w:val="pt-BR"/>
        </w:rPr>
        <w:tab/>
      </w:r>
      <w:r w:rsidR="003C740D" w:rsidRPr="0038442F">
        <w:rPr>
          <w:rFonts w:ascii="Verdana" w:hAnsi="Verdana" w:cs="Times New Roman"/>
          <w:sz w:val="20"/>
          <w:szCs w:val="20"/>
          <w:lang w:val="pt-BR"/>
        </w:rPr>
        <w:t xml:space="preserve">A manifestação </w:t>
      </w:r>
      <w:r w:rsidR="00C76C5C" w:rsidRPr="0038442F">
        <w:rPr>
          <w:rFonts w:ascii="Verdana" w:hAnsi="Verdana" w:cs="Times New Roman"/>
          <w:sz w:val="20"/>
          <w:szCs w:val="20"/>
          <w:lang w:val="pt-BR"/>
        </w:rPr>
        <w:t xml:space="preserve">acima é </w:t>
      </w:r>
      <w:r w:rsidR="00E337EC" w:rsidRPr="0038442F">
        <w:rPr>
          <w:rFonts w:ascii="Verdana" w:hAnsi="Verdana" w:cs="Times New Roman"/>
          <w:sz w:val="20"/>
          <w:szCs w:val="20"/>
          <w:lang w:val="pt-BR"/>
        </w:rPr>
        <w:t xml:space="preserve">semelhante ao que declarou a </w:t>
      </w:r>
      <w:r w:rsidR="00AF1663" w:rsidRPr="0038442F">
        <w:rPr>
          <w:rFonts w:ascii="Verdana" w:hAnsi="Verdana" w:cs="Times New Roman"/>
          <w:sz w:val="20"/>
          <w:szCs w:val="20"/>
          <w:lang w:val="pt-BR"/>
        </w:rPr>
        <w:t xml:space="preserve">Relatora Especial para a Extrema Pobreza </w:t>
      </w:r>
      <w:r w:rsidR="00C76C5C" w:rsidRPr="0038442F">
        <w:rPr>
          <w:rFonts w:ascii="Verdana" w:hAnsi="Verdana" w:cs="Times New Roman"/>
          <w:sz w:val="20"/>
          <w:szCs w:val="20"/>
          <w:lang w:val="pt-BR"/>
        </w:rPr>
        <w:t xml:space="preserve">e os </w:t>
      </w:r>
      <w:r w:rsidR="00C92762" w:rsidRPr="0038442F">
        <w:rPr>
          <w:rFonts w:ascii="Verdana" w:hAnsi="Verdana" w:cs="Times New Roman"/>
          <w:sz w:val="20"/>
          <w:szCs w:val="20"/>
          <w:lang w:val="pt-BR"/>
        </w:rPr>
        <w:t>Direitos</w:t>
      </w:r>
      <w:r w:rsidR="00407242" w:rsidRPr="0038442F">
        <w:rPr>
          <w:rFonts w:ascii="Verdana" w:hAnsi="Verdana" w:cs="Times New Roman"/>
          <w:sz w:val="20"/>
          <w:szCs w:val="20"/>
          <w:lang w:val="pt-BR"/>
        </w:rPr>
        <w:t xml:space="preserve"> </w:t>
      </w:r>
      <w:r w:rsidR="00AF1663" w:rsidRPr="0038442F">
        <w:rPr>
          <w:rFonts w:ascii="Verdana" w:hAnsi="Verdana" w:cs="Times New Roman"/>
          <w:sz w:val="20"/>
          <w:szCs w:val="20"/>
          <w:lang w:val="pt-BR"/>
        </w:rPr>
        <w:t xml:space="preserve">Humanos, </w:t>
      </w:r>
      <w:r w:rsidR="00125585" w:rsidRPr="0038442F">
        <w:rPr>
          <w:rFonts w:ascii="Verdana" w:hAnsi="Verdana" w:cs="Times New Roman"/>
          <w:sz w:val="20"/>
          <w:szCs w:val="20"/>
          <w:lang w:val="pt-BR"/>
        </w:rPr>
        <w:t xml:space="preserve">que </w:t>
      </w:r>
      <w:r w:rsidR="006A12FD" w:rsidRPr="0038442F">
        <w:rPr>
          <w:rFonts w:ascii="Verdana" w:hAnsi="Verdana" w:cs="Times New Roman"/>
          <w:sz w:val="20"/>
          <w:szCs w:val="20"/>
          <w:lang w:val="pt-BR"/>
        </w:rPr>
        <w:t>considerou</w:t>
      </w:r>
      <w:r w:rsidR="00407242" w:rsidRPr="0038442F">
        <w:rPr>
          <w:rFonts w:ascii="Verdana" w:hAnsi="Verdana" w:cs="Times New Roman"/>
          <w:sz w:val="20"/>
          <w:szCs w:val="20"/>
          <w:lang w:val="pt-BR"/>
        </w:rPr>
        <w:t xml:space="preserve"> </w:t>
      </w:r>
      <w:r w:rsidR="00AF1663" w:rsidRPr="0038442F">
        <w:rPr>
          <w:rFonts w:ascii="Verdana" w:hAnsi="Verdana" w:cs="Times New Roman"/>
          <w:sz w:val="20"/>
          <w:szCs w:val="20"/>
          <w:lang w:val="pt-BR"/>
        </w:rPr>
        <w:t>que “</w:t>
      </w:r>
      <w:r w:rsidR="00BF7A10" w:rsidRPr="0038442F">
        <w:rPr>
          <w:rFonts w:ascii="Verdana" w:hAnsi="Verdana" w:cs="Times"/>
          <w:sz w:val="20"/>
          <w:szCs w:val="20"/>
          <w:lang w:val="pt-BR"/>
        </w:rPr>
        <w:t xml:space="preserve">as pessoas </w:t>
      </w:r>
      <w:r w:rsidR="00AF1663" w:rsidRPr="0038442F">
        <w:rPr>
          <w:rFonts w:ascii="Verdana" w:hAnsi="Verdana" w:cs="Times"/>
          <w:sz w:val="20"/>
          <w:szCs w:val="20"/>
          <w:lang w:val="pt-BR"/>
        </w:rPr>
        <w:t>que vive</w:t>
      </w:r>
      <w:r w:rsidR="00C76C5C" w:rsidRPr="0038442F">
        <w:rPr>
          <w:rFonts w:ascii="Verdana" w:hAnsi="Verdana" w:cs="Times"/>
          <w:sz w:val="20"/>
          <w:szCs w:val="20"/>
          <w:lang w:val="pt-BR"/>
        </w:rPr>
        <w:t>m</w:t>
      </w:r>
      <w:r w:rsidR="00AF1663" w:rsidRPr="0038442F">
        <w:rPr>
          <w:rFonts w:ascii="Verdana" w:hAnsi="Verdana" w:cs="Times"/>
          <w:sz w:val="20"/>
          <w:szCs w:val="20"/>
          <w:lang w:val="pt-BR"/>
        </w:rPr>
        <w:t xml:space="preserve"> </w:t>
      </w:r>
      <w:r w:rsidR="00BF7A10" w:rsidRPr="0038442F">
        <w:rPr>
          <w:rFonts w:ascii="Verdana" w:hAnsi="Verdana" w:cs="Times"/>
          <w:sz w:val="20"/>
          <w:szCs w:val="20"/>
          <w:lang w:val="pt-BR"/>
        </w:rPr>
        <w:t xml:space="preserve">na </w:t>
      </w:r>
      <w:r w:rsidR="00AF1663" w:rsidRPr="0038442F">
        <w:rPr>
          <w:rFonts w:ascii="Verdana" w:hAnsi="Verdana" w:cs="Times"/>
          <w:sz w:val="20"/>
          <w:szCs w:val="20"/>
          <w:lang w:val="pt-BR"/>
        </w:rPr>
        <w:t>pobreza s</w:t>
      </w:r>
      <w:r w:rsidR="00C76C5C" w:rsidRPr="0038442F">
        <w:rPr>
          <w:rFonts w:ascii="Verdana" w:hAnsi="Verdana" w:cs="Times"/>
          <w:sz w:val="20"/>
          <w:szCs w:val="20"/>
          <w:lang w:val="pt-BR"/>
        </w:rPr>
        <w:t xml:space="preserve">ão </w:t>
      </w:r>
      <w:r w:rsidR="00AF1663" w:rsidRPr="0038442F">
        <w:rPr>
          <w:rFonts w:ascii="Verdana" w:hAnsi="Verdana" w:cs="Times"/>
          <w:sz w:val="20"/>
          <w:szCs w:val="20"/>
          <w:lang w:val="pt-BR"/>
        </w:rPr>
        <w:t>objeto de discrimina</w:t>
      </w:r>
      <w:r w:rsidR="000A1AA8" w:rsidRPr="0038442F">
        <w:rPr>
          <w:rFonts w:ascii="Verdana" w:hAnsi="Verdana" w:cs="Times"/>
          <w:sz w:val="20"/>
          <w:szCs w:val="20"/>
          <w:lang w:val="pt-BR"/>
        </w:rPr>
        <w:t>ção</w:t>
      </w:r>
      <w:r w:rsidR="00AF1663" w:rsidRPr="0038442F">
        <w:rPr>
          <w:rFonts w:ascii="Verdana" w:hAnsi="Verdana" w:cs="Times"/>
          <w:sz w:val="20"/>
          <w:szCs w:val="20"/>
          <w:lang w:val="pt-BR"/>
        </w:rPr>
        <w:t xml:space="preserve"> </w:t>
      </w:r>
      <w:r w:rsidR="000A1AA8" w:rsidRPr="0038442F">
        <w:rPr>
          <w:rFonts w:ascii="Verdana" w:hAnsi="Verdana" w:cs="Times"/>
          <w:sz w:val="20"/>
          <w:szCs w:val="20"/>
          <w:lang w:val="pt-BR"/>
        </w:rPr>
        <w:t xml:space="preserve">pela </w:t>
      </w:r>
      <w:r w:rsidR="00221D30" w:rsidRPr="0038442F">
        <w:rPr>
          <w:rFonts w:ascii="Verdana" w:hAnsi="Verdana" w:cs="Times"/>
          <w:sz w:val="20"/>
          <w:szCs w:val="20"/>
          <w:lang w:val="pt-BR"/>
        </w:rPr>
        <w:t>própria</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 xml:space="preserve">pobreza; </w:t>
      </w:r>
      <w:r w:rsidR="00C76C5C" w:rsidRPr="0038442F">
        <w:rPr>
          <w:rFonts w:ascii="Verdana" w:hAnsi="Verdana" w:cs="Times"/>
          <w:sz w:val="20"/>
          <w:szCs w:val="20"/>
          <w:lang w:val="pt-BR"/>
        </w:rPr>
        <w:t>e</w:t>
      </w:r>
      <w:r w:rsidR="00AF1663" w:rsidRPr="0038442F">
        <w:rPr>
          <w:rFonts w:ascii="Verdana" w:hAnsi="Verdana" w:cs="Times"/>
          <w:sz w:val="20"/>
          <w:szCs w:val="20"/>
          <w:lang w:val="pt-BR"/>
        </w:rPr>
        <w:t xml:space="preserve"> </w:t>
      </w:r>
      <w:r w:rsidR="00A35F8B" w:rsidRPr="0038442F">
        <w:rPr>
          <w:rFonts w:ascii="Verdana" w:hAnsi="Verdana" w:cs="Times"/>
          <w:sz w:val="20"/>
          <w:szCs w:val="20"/>
          <w:lang w:val="pt-BR"/>
        </w:rPr>
        <w:t>muitas</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ve</w:t>
      </w:r>
      <w:r w:rsidR="00C76C5C" w:rsidRPr="0038442F">
        <w:rPr>
          <w:rFonts w:ascii="Verdana" w:hAnsi="Verdana" w:cs="Times"/>
          <w:sz w:val="20"/>
          <w:szCs w:val="20"/>
          <w:lang w:val="pt-BR"/>
        </w:rPr>
        <w:t>z</w:t>
      </w:r>
      <w:r w:rsidR="00AF1663" w:rsidRPr="0038442F">
        <w:rPr>
          <w:rFonts w:ascii="Verdana" w:hAnsi="Verdana" w:cs="Times"/>
          <w:sz w:val="20"/>
          <w:szCs w:val="20"/>
          <w:lang w:val="pt-BR"/>
        </w:rPr>
        <w:t xml:space="preserve">es </w:t>
      </w:r>
      <w:r w:rsidR="005135E5" w:rsidRPr="0038442F">
        <w:rPr>
          <w:rFonts w:ascii="Verdana" w:hAnsi="Verdana" w:cs="Times"/>
          <w:sz w:val="20"/>
          <w:szCs w:val="20"/>
          <w:lang w:val="pt-BR"/>
        </w:rPr>
        <w:t>também</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porque pertence</w:t>
      </w:r>
      <w:r w:rsidR="00C76C5C" w:rsidRPr="0038442F">
        <w:rPr>
          <w:rFonts w:ascii="Verdana" w:hAnsi="Verdana" w:cs="Times"/>
          <w:sz w:val="20"/>
          <w:szCs w:val="20"/>
          <w:lang w:val="pt-BR"/>
        </w:rPr>
        <w:t>m</w:t>
      </w:r>
      <w:r w:rsidR="00AF1663" w:rsidRPr="0038442F">
        <w:rPr>
          <w:rFonts w:ascii="Verdana" w:hAnsi="Verdana" w:cs="Times"/>
          <w:sz w:val="20"/>
          <w:szCs w:val="20"/>
          <w:lang w:val="pt-BR"/>
        </w:rPr>
        <w:t xml:space="preserve"> a </w:t>
      </w:r>
      <w:r w:rsidR="00BC6FC3" w:rsidRPr="0038442F">
        <w:rPr>
          <w:rFonts w:ascii="Verdana" w:hAnsi="Verdana" w:cs="Times"/>
          <w:sz w:val="20"/>
          <w:szCs w:val="20"/>
          <w:lang w:val="pt-BR"/>
        </w:rPr>
        <w:t>outros</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 xml:space="preserve">setores desfavorecidos </w:t>
      </w:r>
      <w:r w:rsidR="00C92762" w:rsidRPr="0038442F">
        <w:rPr>
          <w:rFonts w:ascii="Verdana" w:hAnsi="Verdana" w:cs="Times"/>
          <w:sz w:val="20"/>
          <w:szCs w:val="20"/>
          <w:lang w:val="pt-BR"/>
        </w:rPr>
        <w:t xml:space="preserve">da </w:t>
      </w:r>
      <w:r w:rsidR="00C76C5C" w:rsidRPr="0038442F">
        <w:rPr>
          <w:rFonts w:ascii="Verdana" w:hAnsi="Verdana" w:cs="Times"/>
          <w:sz w:val="20"/>
          <w:szCs w:val="20"/>
          <w:lang w:val="pt-BR"/>
        </w:rPr>
        <w:t>população</w:t>
      </w:r>
      <w:r w:rsidR="00AF1663" w:rsidRPr="0038442F">
        <w:rPr>
          <w:rFonts w:ascii="Verdana" w:hAnsi="Verdana" w:cs="Times"/>
          <w:sz w:val="20"/>
          <w:szCs w:val="20"/>
          <w:lang w:val="pt-BR"/>
        </w:rPr>
        <w:t xml:space="preserve">, como os </w:t>
      </w:r>
      <w:r w:rsidR="00C76C5C" w:rsidRPr="0038442F">
        <w:rPr>
          <w:rFonts w:ascii="Verdana" w:hAnsi="Verdana" w:cs="Times"/>
          <w:sz w:val="20"/>
          <w:szCs w:val="20"/>
          <w:lang w:val="pt-BR"/>
        </w:rPr>
        <w:t>povos</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 xml:space="preserve">indígenas, </w:t>
      </w:r>
      <w:r w:rsidR="00BF7A10" w:rsidRPr="0038442F">
        <w:rPr>
          <w:rFonts w:ascii="Verdana" w:hAnsi="Verdana" w:cs="Times"/>
          <w:sz w:val="20"/>
          <w:szCs w:val="20"/>
          <w:lang w:val="pt-BR"/>
        </w:rPr>
        <w:t xml:space="preserve">as pessoas </w:t>
      </w:r>
      <w:r w:rsidR="00AF1663" w:rsidRPr="0038442F">
        <w:rPr>
          <w:rFonts w:ascii="Verdana" w:hAnsi="Verdana" w:cs="Times"/>
          <w:sz w:val="20"/>
          <w:szCs w:val="20"/>
          <w:lang w:val="pt-BR"/>
        </w:rPr>
        <w:t>co</w:t>
      </w:r>
      <w:r w:rsidR="00C76C5C" w:rsidRPr="0038442F">
        <w:rPr>
          <w:rFonts w:ascii="Verdana" w:hAnsi="Verdana" w:cs="Times"/>
          <w:sz w:val="20"/>
          <w:szCs w:val="20"/>
          <w:lang w:val="pt-BR"/>
        </w:rPr>
        <w:t xml:space="preserve">m deficiência, as minorias </w:t>
      </w:r>
      <w:r w:rsidR="00AF1663" w:rsidRPr="0038442F">
        <w:rPr>
          <w:rFonts w:ascii="Verdana" w:hAnsi="Verdana" w:cs="Times"/>
          <w:sz w:val="20"/>
          <w:szCs w:val="20"/>
          <w:lang w:val="pt-BR"/>
        </w:rPr>
        <w:t xml:space="preserve">étnicas </w:t>
      </w:r>
      <w:r w:rsidR="00C76C5C" w:rsidRPr="0038442F">
        <w:rPr>
          <w:rFonts w:ascii="Verdana" w:hAnsi="Verdana" w:cs="Times"/>
          <w:sz w:val="20"/>
          <w:szCs w:val="20"/>
          <w:lang w:val="pt-BR"/>
        </w:rPr>
        <w:t>e</w:t>
      </w:r>
      <w:r w:rsidR="00AF1663" w:rsidRPr="0038442F">
        <w:rPr>
          <w:rFonts w:ascii="Verdana" w:hAnsi="Verdana" w:cs="Times"/>
          <w:sz w:val="20"/>
          <w:szCs w:val="20"/>
          <w:lang w:val="pt-BR"/>
        </w:rPr>
        <w:t xml:space="preserve"> </w:t>
      </w:r>
      <w:r w:rsidR="00BF7A10" w:rsidRPr="0038442F">
        <w:rPr>
          <w:rFonts w:ascii="Verdana" w:hAnsi="Verdana" w:cs="Times"/>
          <w:sz w:val="20"/>
          <w:szCs w:val="20"/>
          <w:lang w:val="pt-BR"/>
        </w:rPr>
        <w:t xml:space="preserve">as pessoas </w:t>
      </w:r>
      <w:r w:rsidR="00AF1663" w:rsidRPr="0038442F">
        <w:rPr>
          <w:rFonts w:ascii="Verdana" w:hAnsi="Verdana" w:cs="Times"/>
          <w:sz w:val="20"/>
          <w:szCs w:val="20"/>
          <w:lang w:val="pt-BR"/>
        </w:rPr>
        <w:t>que vive</w:t>
      </w:r>
      <w:r w:rsidR="00C76C5C" w:rsidRPr="0038442F">
        <w:rPr>
          <w:rFonts w:ascii="Verdana" w:hAnsi="Verdana" w:cs="Times"/>
          <w:sz w:val="20"/>
          <w:szCs w:val="20"/>
          <w:lang w:val="pt-BR"/>
        </w:rPr>
        <w:t>m com o HI</w:t>
      </w:r>
      <w:r w:rsidR="00AF1663" w:rsidRPr="0038442F">
        <w:rPr>
          <w:rFonts w:ascii="Verdana" w:hAnsi="Verdana" w:cs="Times"/>
          <w:sz w:val="20"/>
          <w:szCs w:val="20"/>
          <w:lang w:val="pt-BR"/>
        </w:rPr>
        <w:t>V/</w:t>
      </w:r>
      <w:r w:rsidR="00C76C5C" w:rsidRPr="0038442F">
        <w:rPr>
          <w:rFonts w:ascii="Verdana" w:hAnsi="Verdana" w:cs="Times"/>
          <w:sz w:val="20"/>
          <w:szCs w:val="20"/>
          <w:lang w:val="pt-BR"/>
        </w:rPr>
        <w:t>AIDS</w:t>
      </w:r>
      <w:r w:rsidR="00AF1663" w:rsidRPr="0038442F">
        <w:rPr>
          <w:rFonts w:ascii="Verdana" w:hAnsi="Verdana" w:cs="Times"/>
          <w:sz w:val="20"/>
          <w:szCs w:val="20"/>
          <w:lang w:val="pt-BR"/>
        </w:rPr>
        <w:t xml:space="preserve">, entre </w:t>
      </w:r>
      <w:r w:rsidR="00BC6FC3" w:rsidRPr="0038442F">
        <w:rPr>
          <w:rFonts w:ascii="Verdana" w:hAnsi="Verdana" w:cs="Times"/>
          <w:sz w:val="20"/>
          <w:szCs w:val="20"/>
          <w:lang w:val="pt-BR"/>
        </w:rPr>
        <w:t>outros</w:t>
      </w:r>
      <w:r w:rsidR="00125585" w:rsidRPr="0038442F">
        <w:rPr>
          <w:rFonts w:ascii="Verdana" w:hAnsi="Verdana" w:cs="Times"/>
          <w:sz w:val="20"/>
          <w:szCs w:val="20"/>
          <w:lang w:val="pt-BR"/>
        </w:rPr>
        <w:t>”</w:t>
      </w:r>
      <w:r w:rsidR="00C76C5C" w:rsidRPr="0038442F">
        <w:rPr>
          <w:rFonts w:ascii="Verdana" w:hAnsi="Verdana" w:cs="Times"/>
          <w:sz w:val="20"/>
          <w:szCs w:val="20"/>
          <w:lang w:val="pt-BR"/>
        </w:rPr>
        <w:t>.</w:t>
      </w:r>
      <w:r w:rsidR="00AF1663" w:rsidRPr="0038442F">
        <w:rPr>
          <w:rStyle w:val="Refdenotaalpie"/>
          <w:rFonts w:ascii="Verdana" w:hAnsi="Verdana"/>
          <w:sz w:val="20"/>
          <w:szCs w:val="20"/>
          <w:lang w:val="pt-BR"/>
        </w:rPr>
        <w:footnoteReference w:id="100"/>
      </w:r>
      <w:r w:rsidR="00AF1663" w:rsidRPr="0038442F">
        <w:rPr>
          <w:rFonts w:ascii="Verdana" w:hAnsi="Verdana" w:cs="Times"/>
          <w:sz w:val="20"/>
          <w:szCs w:val="20"/>
          <w:lang w:val="pt-BR"/>
        </w:rPr>
        <w:t xml:space="preserve"> </w:t>
      </w:r>
      <w:r w:rsidR="00C76C5C" w:rsidRPr="0038442F">
        <w:rPr>
          <w:rFonts w:ascii="Verdana" w:hAnsi="Verdana" w:cs="Times"/>
          <w:sz w:val="20"/>
          <w:szCs w:val="20"/>
          <w:lang w:val="pt-BR"/>
        </w:rPr>
        <w:t xml:space="preserve">Ou seja, embora </w:t>
      </w:r>
      <w:r w:rsidR="00AF1663" w:rsidRPr="0038442F">
        <w:rPr>
          <w:rFonts w:ascii="Verdana" w:hAnsi="Verdana" w:cs="Times"/>
          <w:sz w:val="20"/>
          <w:szCs w:val="20"/>
          <w:lang w:val="pt-BR"/>
        </w:rPr>
        <w:t xml:space="preserve">geralmente </w:t>
      </w:r>
      <w:r w:rsidR="00BF7A10" w:rsidRPr="0038442F">
        <w:rPr>
          <w:rFonts w:ascii="Verdana" w:hAnsi="Verdana" w:cs="Times"/>
          <w:sz w:val="20"/>
          <w:szCs w:val="20"/>
          <w:lang w:val="pt-BR"/>
        </w:rPr>
        <w:t xml:space="preserve">as pessoas </w:t>
      </w:r>
      <w:r w:rsidR="00AF1663" w:rsidRPr="0038442F">
        <w:rPr>
          <w:rFonts w:ascii="Verdana" w:hAnsi="Verdana" w:cs="Times"/>
          <w:sz w:val="20"/>
          <w:szCs w:val="20"/>
          <w:lang w:val="pt-BR"/>
        </w:rPr>
        <w:t xml:space="preserve">que se </w:t>
      </w:r>
      <w:r w:rsidR="00BF7A10" w:rsidRPr="0038442F">
        <w:rPr>
          <w:rFonts w:ascii="Verdana" w:hAnsi="Verdana" w:cs="Times"/>
          <w:sz w:val="20"/>
          <w:szCs w:val="20"/>
          <w:lang w:val="pt-BR"/>
        </w:rPr>
        <w:t>encontram</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e</w:t>
      </w:r>
      <w:r w:rsidR="00C76C5C" w:rsidRPr="0038442F">
        <w:rPr>
          <w:rFonts w:ascii="Verdana" w:hAnsi="Verdana" w:cs="Times"/>
          <w:sz w:val="20"/>
          <w:szCs w:val="20"/>
          <w:lang w:val="pt-BR"/>
        </w:rPr>
        <w:t>m</w:t>
      </w:r>
      <w:r w:rsidR="00AF1663" w:rsidRPr="0038442F">
        <w:rPr>
          <w:rFonts w:ascii="Verdana" w:hAnsi="Verdana" w:cs="Times"/>
          <w:sz w:val="20"/>
          <w:szCs w:val="20"/>
          <w:lang w:val="pt-BR"/>
        </w:rPr>
        <w:t xml:space="preserve"> condi</w:t>
      </w:r>
      <w:r w:rsidR="000A1AA8" w:rsidRPr="0038442F">
        <w:rPr>
          <w:rFonts w:ascii="Verdana" w:hAnsi="Verdana" w:cs="Times"/>
          <w:sz w:val="20"/>
          <w:szCs w:val="20"/>
          <w:lang w:val="pt-BR"/>
        </w:rPr>
        <w:t>ç</w:t>
      </w:r>
      <w:r w:rsidR="00C76C5C" w:rsidRPr="0038442F">
        <w:rPr>
          <w:rFonts w:ascii="Verdana" w:hAnsi="Verdana" w:cs="Times"/>
          <w:sz w:val="20"/>
          <w:szCs w:val="20"/>
          <w:lang w:val="pt-BR"/>
        </w:rPr>
        <w:t xml:space="preserve">ão </w:t>
      </w:r>
      <w:r w:rsidR="00AF1663" w:rsidRPr="0038442F">
        <w:rPr>
          <w:rFonts w:ascii="Verdana" w:hAnsi="Verdana" w:cs="Times"/>
          <w:sz w:val="20"/>
          <w:szCs w:val="20"/>
          <w:lang w:val="pt-BR"/>
        </w:rPr>
        <w:t>de pobreza</w:t>
      </w:r>
      <w:r w:rsidR="00E337EC" w:rsidRPr="0038442F">
        <w:rPr>
          <w:rFonts w:ascii="Verdana" w:hAnsi="Verdana" w:cs="Times"/>
          <w:sz w:val="20"/>
          <w:szCs w:val="20"/>
          <w:lang w:val="pt-BR"/>
        </w:rPr>
        <w:t xml:space="preserve"> possam</w:t>
      </w:r>
      <w:r w:rsidR="00C76C5C" w:rsidRPr="0038442F">
        <w:rPr>
          <w:rFonts w:ascii="Verdana" w:hAnsi="Verdana" w:cs="Times"/>
          <w:sz w:val="20"/>
          <w:szCs w:val="20"/>
          <w:lang w:val="pt-BR"/>
        </w:rPr>
        <w:t>,</w:t>
      </w:r>
      <w:r w:rsidR="00AF1663" w:rsidRPr="0038442F">
        <w:rPr>
          <w:rFonts w:ascii="Verdana" w:hAnsi="Verdana" w:cs="Times"/>
          <w:sz w:val="20"/>
          <w:szCs w:val="20"/>
          <w:lang w:val="pt-BR"/>
        </w:rPr>
        <w:t xml:space="preserve"> coincidentemente</w:t>
      </w:r>
      <w:r w:rsidR="00E337EC" w:rsidRPr="0038442F">
        <w:rPr>
          <w:rFonts w:ascii="Verdana" w:hAnsi="Verdana" w:cs="Times"/>
          <w:sz w:val="20"/>
          <w:szCs w:val="20"/>
          <w:lang w:val="pt-BR"/>
        </w:rPr>
        <w:t>,</w:t>
      </w:r>
      <w:r w:rsidR="00AF1663" w:rsidRPr="0038442F">
        <w:rPr>
          <w:rFonts w:ascii="Verdana" w:hAnsi="Verdana" w:cs="Times"/>
          <w:sz w:val="20"/>
          <w:szCs w:val="20"/>
          <w:lang w:val="pt-BR"/>
        </w:rPr>
        <w:t xml:space="preserve"> </w:t>
      </w:r>
      <w:r w:rsidR="00C76C5C" w:rsidRPr="0038442F">
        <w:rPr>
          <w:rFonts w:ascii="Verdana" w:hAnsi="Verdana" w:cs="Times"/>
          <w:sz w:val="20"/>
          <w:szCs w:val="20"/>
          <w:lang w:val="pt-BR"/>
        </w:rPr>
        <w:t xml:space="preserve">pertencer </w:t>
      </w:r>
      <w:r w:rsidR="00AF1663" w:rsidRPr="0038442F">
        <w:rPr>
          <w:rFonts w:ascii="Verdana" w:hAnsi="Verdana" w:cs="Times"/>
          <w:sz w:val="20"/>
          <w:szCs w:val="20"/>
          <w:lang w:val="pt-BR"/>
        </w:rPr>
        <w:t xml:space="preserve">a </w:t>
      </w:r>
      <w:r w:rsidR="00BC6FC3" w:rsidRPr="0038442F">
        <w:rPr>
          <w:rFonts w:ascii="Verdana" w:hAnsi="Verdana" w:cs="Times"/>
          <w:sz w:val="20"/>
          <w:szCs w:val="20"/>
          <w:lang w:val="pt-BR"/>
        </w:rPr>
        <w:t>outros</w:t>
      </w:r>
      <w:r w:rsidR="00407242" w:rsidRPr="0038442F">
        <w:rPr>
          <w:rFonts w:ascii="Verdana" w:hAnsi="Verdana" w:cs="Times"/>
          <w:sz w:val="20"/>
          <w:szCs w:val="20"/>
          <w:lang w:val="pt-BR"/>
        </w:rPr>
        <w:t xml:space="preserve"> </w:t>
      </w:r>
      <w:r w:rsidR="00AF1663" w:rsidRPr="0038442F">
        <w:rPr>
          <w:rFonts w:ascii="Verdana" w:hAnsi="Verdana" w:cs="Times"/>
          <w:sz w:val="20"/>
          <w:szCs w:val="20"/>
          <w:lang w:val="pt-BR"/>
        </w:rPr>
        <w:t xml:space="preserve">setores </w:t>
      </w:r>
      <w:r w:rsidR="00C76C5C" w:rsidRPr="0038442F">
        <w:rPr>
          <w:rFonts w:ascii="Verdana" w:hAnsi="Verdana" w:cs="Times"/>
          <w:sz w:val="20"/>
          <w:szCs w:val="20"/>
          <w:lang w:val="pt-BR"/>
        </w:rPr>
        <w:t xml:space="preserve">vulneráveis </w:t>
      </w:r>
      <w:r w:rsidR="00AF1663" w:rsidRPr="0038442F">
        <w:rPr>
          <w:rFonts w:ascii="Verdana" w:hAnsi="Verdana" w:cs="Times"/>
          <w:sz w:val="20"/>
          <w:szCs w:val="20"/>
          <w:lang w:val="pt-BR"/>
        </w:rPr>
        <w:t>(</w:t>
      </w:r>
      <w:r w:rsidR="00C92762" w:rsidRPr="0038442F">
        <w:rPr>
          <w:rFonts w:ascii="Verdana" w:hAnsi="Verdana" w:cs="Times"/>
          <w:sz w:val="20"/>
          <w:szCs w:val="20"/>
          <w:lang w:val="pt-BR"/>
        </w:rPr>
        <w:t>mulheres</w:t>
      </w:r>
      <w:r w:rsidR="00826187" w:rsidRPr="0038442F">
        <w:rPr>
          <w:rFonts w:ascii="Verdana" w:hAnsi="Verdana" w:cs="Times"/>
          <w:sz w:val="20"/>
          <w:szCs w:val="20"/>
          <w:lang w:val="pt-BR"/>
        </w:rPr>
        <w:t xml:space="preserve">, </w:t>
      </w:r>
      <w:r w:rsidR="00C76C5C" w:rsidRPr="0038442F">
        <w:rPr>
          <w:rFonts w:ascii="Verdana" w:hAnsi="Verdana" w:cs="Times"/>
          <w:sz w:val="20"/>
          <w:szCs w:val="20"/>
          <w:lang w:val="pt-BR"/>
        </w:rPr>
        <w:t>crianças</w:t>
      </w:r>
      <w:r w:rsidR="00AF1663" w:rsidRPr="0038442F">
        <w:rPr>
          <w:rFonts w:ascii="Verdana" w:hAnsi="Verdana" w:cs="Times"/>
          <w:sz w:val="20"/>
          <w:szCs w:val="20"/>
          <w:lang w:val="pt-BR"/>
        </w:rPr>
        <w:t xml:space="preserve">, </w:t>
      </w:r>
      <w:r w:rsidR="00C92762" w:rsidRPr="0038442F">
        <w:rPr>
          <w:rFonts w:ascii="Verdana" w:hAnsi="Verdana" w:cs="Times"/>
          <w:sz w:val="20"/>
          <w:szCs w:val="20"/>
          <w:lang w:val="pt-BR"/>
        </w:rPr>
        <w:t>pessoas</w:t>
      </w:r>
      <w:r w:rsidR="00407242" w:rsidRPr="0038442F">
        <w:rPr>
          <w:rFonts w:ascii="Verdana" w:hAnsi="Verdana" w:cs="Times"/>
          <w:sz w:val="20"/>
          <w:szCs w:val="20"/>
          <w:lang w:val="pt-BR"/>
        </w:rPr>
        <w:t xml:space="preserve"> </w:t>
      </w:r>
      <w:r w:rsidR="00C76C5C" w:rsidRPr="0038442F">
        <w:rPr>
          <w:rFonts w:ascii="Verdana" w:hAnsi="Verdana" w:cs="Times"/>
          <w:sz w:val="20"/>
          <w:szCs w:val="20"/>
          <w:lang w:val="pt-BR"/>
        </w:rPr>
        <w:t>com deficiência</w:t>
      </w:r>
      <w:r w:rsidR="00AF1663" w:rsidRPr="0038442F">
        <w:rPr>
          <w:rFonts w:ascii="Verdana" w:hAnsi="Verdana" w:cs="Times"/>
          <w:sz w:val="20"/>
          <w:szCs w:val="20"/>
          <w:lang w:val="pt-BR"/>
        </w:rPr>
        <w:t xml:space="preserve">, indígenas, afrodescendentes, </w:t>
      </w:r>
      <w:r w:rsidR="00C76C5C" w:rsidRPr="0038442F">
        <w:rPr>
          <w:rFonts w:ascii="Verdana" w:hAnsi="Verdana" w:cs="Times"/>
          <w:sz w:val="20"/>
          <w:szCs w:val="20"/>
          <w:lang w:val="pt-BR"/>
        </w:rPr>
        <w:t>idosos</w:t>
      </w:r>
      <w:r w:rsidR="00AF1663" w:rsidRPr="0038442F">
        <w:rPr>
          <w:rFonts w:ascii="Verdana" w:hAnsi="Verdana" w:cs="Times"/>
          <w:sz w:val="20"/>
          <w:szCs w:val="20"/>
          <w:lang w:val="pt-BR"/>
        </w:rPr>
        <w:t xml:space="preserve">, etc.), </w:t>
      </w:r>
      <w:r w:rsidR="00F449A6" w:rsidRPr="0038442F">
        <w:rPr>
          <w:rFonts w:ascii="Verdana" w:hAnsi="Verdana" w:cs="Times"/>
          <w:sz w:val="20"/>
          <w:szCs w:val="20"/>
          <w:lang w:val="pt-BR"/>
        </w:rPr>
        <w:t xml:space="preserve">isso não exclui que </w:t>
      </w:r>
      <w:r w:rsidR="00BF7A10" w:rsidRPr="0038442F">
        <w:rPr>
          <w:rFonts w:ascii="Verdana" w:hAnsi="Verdana" w:cs="Times"/>
          <w:sz w:val="20"/>
          <w:szCs w:val="20"/>
          <w:lang w:val="pt-BR"/>
        </w:rPr>
        <w:t xml:space="preserve">as pessoas </w:t>
      </w:r>
      <w:r w:rsidR="00AF1663" w:rsidRPr="0038442F">
        <w:rPr>
          <w:rFonts w:ascii="Verdana" w:hAnsi="Verdana" w:cs="Times"/>
          <w:sz w:val="20"/>
          <w:szCs w:val="20"/>
          <w:lang w:val="pt-BR"/>
        </w:rPr>
        <w:t>e</w:t>
      </w:r>
      <w:r w:rsidR="00F449A6" w:rsidRPr="0038442F">
        <w:rPr>
          <w:rFonts w:ascii="Verdana" w:hAnsi="Verdana" w:cs="Times"/>
          <w:sz w:val="20"/>
          <w:szCs w:val="20"/>
          <w:lang w:val="pt-BR"/>
        </w:rPr>
        <w:t>m</w:t>
      </w:r>
      <w:r w:rsidR="00AF1663" w:rsidRPr="0038442F">
        <w:rPr>
          <w:rFonts w:ascii="Verdana" w:hAnsi="Verdana" w:cs="Times"/>
          <w:sz w:val="20"/>
          <w:szCs w:val="20"/>
          <w:lang w:val="pt-BR"/>
        </w:rPr>
        <w:t xml:space="preserve"> situa</w:t>
      </w:r>
      <w:r w:rsidR="000A1AA8" w:rsidRPr="0038442F">
        <w:rPr>
          <w:rFonts w:ascii="Verdana" w:hAnsi="Verdana" w:cs="Times"/>
          <w:sz w:val="20"/>
          <w:szCs w:val="20"/>
          <w:lang w:val="pt-BR"/>
        </w:rPr>
        <w:t>ção</w:t>
      </w:r>
      <w:r w:rsidR="00AF1663" w:rsidRPr="0038442F">
        <w:rPr>
          <w:rFonts w:ascii="Verdana" w:hAnsi="Verdana" w:cs="Times"/>
          <w:sz w:val="20"/>
          <w:szCs w:val="20"/>
          <w:lang w:val="pt-BR"/>
        </w:rPr>
        <w:t xml:space="preserve"> de pobreza </w:t>
      </w:r>
      <w:r w:rsidR="00F449A6" w:rsidRPr="0038442F">
        <w:rPr>
          <w:rFonts w:ascii="Verdana" w:hAnsi="Verdana" w:cs="Times"/>
          <w:sz w:val="20"/>
          <w:szCs w:val="20"/>
          <w:lang w:val="pt-BR"/>
        </w:rPr>
        <w:t xml:space="preserve">não </w:t>
      </w:r>
      <w:r w:rsidR="00AF1663" w:rsidRPr="0038442F">
        <w:rPr>
          <w:rFonts w:ascii="Verdana" w:hAnsi="Verdana" w:cs="Times"/>
          <w:sz w:val="20"/>
          <w:szCs w:val="20"/>
          <w:lang w:val="pt-BR"/>
        </w:rPr>
        <w:t>se vincule</w:t>
      </w:r>
      <w:r w:rsidR="00F449A6" w:rsidRPr="0038442F">
        <w:rPr>
          <w:rFonts w:ascii="Verdana" w:hAnsi="Verdana" w:cs="Times"/>
          <w:sz w:val="20"/>
          <w:szCs w:val="20"/>
          <w:lang w:val="pt-BR"/>
        </w:rPr>
        <w:t xml:space="preserve">m a </w:t>
      </w:r>
      <w:r w:rsidR="00A35F8B" w:rsidRPr="0038442F">
        <w:rPr>
          <w:rFonts w:ascii="Verdana" w:hAnsi="Verdana" w:cs="Times"/>
          <w:sz w:val="20"/>
          <w:szCs w:val="20"/>
          <w:lang w:val="pt-BR"/>
        </w:rPr>
        <w:t>outra</w:t>
      </w:r>
      <w:r w:rsidR="00407242" w:rsidRPr="0038442F">
        <w:rPr>
          <w:rFonts w:ascii="Verdana" w:hAnsi="Verdana" w:cs="Times"/>
          <w:sz w:val="20"/>
          <w:szCs w:val="20"/>
          <w:lang w:val="pt-BR"/>
        </w:rPr>
        <w:t xml:space="preserve"> </w:t>
      </w:r>
      <w:r w:rsidR="008D1D71" w:rsidRPr="0038442F">
        <w:rPr>
          <w:rFonts w:ascii="Verdana" w:hAnsi="Verdana" w:cs="Times"/>
          <w:sz w:val="20"/>
          <w:szCs w:val="20"/>
          <w:lang w:val="pt-BR"/>
        </w:rPr>
        <w:t>categoria</w:t>
      </w:r>
      <w:r w:rsidR="00AF1663" w:rsidRPr="0038442F">
        <w:rPr>
          <w:rFonts w:ascii="Verdana" w:hAnsi="Verdana" w:cs="Times"/>
          <w:sz w:val="20"/>
          <w:szCs w:val="20"/>
          <w:lang w:val="pt-BR"/>
        </w:rPr>
        <w:t xml:space="preserve">. </w:t>
      </w:r>
    </w:p>
    <w:p w14:paraId="637B6971" w14:textId="77777777" w:rsidR="00AF1663" w:rsidRPr="0038442F" w:rsidRDefault="00AF1663" w:rsidP="00A857CB">
      <w:pPr>
        <w:pStyle w:val="Prrafodelista"/>
        <w:spacing w:after="0" w:line="240" w:lineRule="auto"/>
        <w:ind w:left="0"/>
        <w:jc w:val="both"/>
        <w:rPr>
          <w:rFonts w:ascii="Verdana" w:hAnsi="Verdana" w:cs="Times New Roman"/>
          <w:strike/>
          <w:sz w:val="20"/>
          <w:szCs w:val="20"/>
          <w:lang w:val="pt-BR"/>
        </w:rPr>
      </w:pPr>
    </w:p>
    <w:p w14:paraId="10890066" w14:textId="01F5AE46" w:rsidR="00AF1663" w:rsidRPr="0038442F" w:rsidRDefault="00685AC6" w:rsidP="00685AC6">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60. </w:t>
      </w:r>
      <w:r w:rsidRPr="0038442F">
        <w:rPr>
          <w:rFonts w:ascii="Verdana" w:hAnsi="Verdana" w:cs="Times New Roman"/>
          <w:sz w:val="20"/>
          <w:szCs w:val="20"/>
          <w:lang w:val="pt-BR"/>
        </w:rPr>
        <w:tab/>
      </w:r>
      <w:r w:rsidR="00AF1663" w:rsidRPr="0038442F">
        <w:rPr>
          <w:rFonts w:ascii="Verdana" w:hAnsi="Verdana" w:cs="Times New Roman"/>
          <w:sz w:val="20"/>
          <w:szCs w:val="20"/>
          <w:lang w:val="pt-BR"/>
        </w:rPr>
        <w:t>As</w:t>
      </w:r>
      <w:r w:rsidR="00F449A6" w:rsidRPr="0038442F">
        <w:rPr>
          <w:rFonts w:ascii="Verdana" w:hAnsi="Verdana" w:cs="Times New Roman"/>
          <w:sz w:val="20"/>
          <w:szCs w:val="20"/>
          <w:lang w:val="pt-BR"/>
        </w:rPr>
        <w:t>sim</w:t>
      </w:r>
      <w:r w:rsidR="00AF1663" w:rsidRPr="0038442F">
        <w:rPr>
          <w:rFonts w:ascii="Verdana" w:hAnsi="Verdana" w:cs="Times New Roman"/>
          <w:sz w:val="20"/>
          <w:szCs w:val="20"/>
          <w:lang w:val="pt-BR"/>
        </w:rPr>
        <w:t>, desde que a pobreza o</w:t>
      </w:r>
      <w:r w:rsidR="00F449A6" w:rsidRPr="0038442F">
        <w:rPr>
          <w:rFonts w:ascii="Verdana" w:hAnsi="Verdana" w:cs="Times New Roman"/>
          <w:sz w:val="20"/>
          <w:szCs w:val="20"/>
          <w:lang w:val="pt-BR"/>
        </w:rPr>
        <w:t>u</w:t>
      </w:r>
      <w:r w:rsidR="00AF1663" w:rsidRPr="0038442F">
        <w:rPr>
          <w:rFonts w:ascii="Verdana" w:hAnsi="Verdana" w:cs="Times New Roman"/>
          <w:sz w:val="20"/>
          <w:szCs w:val="20"/>
          <w:lang w:val="pt-BR"/>
        </w:rPr>
        <w:t xml:space="preserve"> prec</w:t>
      </w:r>
      <w:r w:rsidR="00F449A6" w:rsidRPr="0038442F">
        <w:rPr>
          <w:rFonts w:ascii="Verdana" w:hAnsi="Verdana" w:cs="Times New Roman"/>
          <w:sz w:val="20"/>
          <w:szCs w:val="20"/>
          <w:lang w:val="pt-BR"/>
        </w:rPr>
        <w:t>á</w:t>
      </w:r>
      <w:r w:rsidR="00AF1663" w:rsidRPr="0038442F">
        <w:rPr>
          <w:rFonts w:ascii="Verdana" w:hAnsi="Verdana" w:cs="Times New Roman"/>
          <w:sz w:val="20"/>
          <w:szCs w:val="20"/>
          <w:lang w:val="pt-BR"/>
        </w:rPr>
        <w:t>ria situa</w:t>
      </w:r>
      <w:r w:rsidR="000A1AA8" w:rsidRPr="0038442F">
        <w:rPr>
          <w:rFonts w:ascii="Verdana" w:hAnsi="Verdana" w:cs="Times New Roman"/>
          <w:sz w:val="20"/>
          <w:szCs w:val="20"/>
          <w:lang w:val="pt-BR"/>
        </w:rPr>
        <w:t>ção</w:t>
      </w:r>
      <w:r w:rsidR="00AF1663"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 xml:space="preserve">econômica </w:t>
      </w:r>
      <w:r w:rsidR="00F449A6" w:rsidRPr="0038442F">
        <w:rPr>
          <w:rFonts w:ascii="Verdana" w:hAnsi="Verdana" w:cs="Times New Roman"/>
          <w:sz w:val="20"/>
          <w:szCs w:val="20"/>
          <w:lang w:val="pt-BR"/>
        </w:rPr>
        <w:t>em que viv</w:t>
      </w:r>
      <w:r w:rsidR="00E337EC" w:rsidRPr="0038442F">
        <w:rPr>
          <w:rFonts w:ascii="Verdana" w:hAnsi="Verdana" w:cs="Times New Roman"/>
          <w:sz w:val="20"/>
          <w:szCs w:val="20"/>
          <w:lang w:val="pt-BR"/>
        </w:rPr>
        <w:t>i</w:t>
      </w:r>
      <w:r w:rsidR="00F449A6" w:rsidRPr="0038442F">
        <w:rPr>
          <w:rFonts w:ascii="Verdana" w:hAnsi="Verdana" w:cs="Times New Roman"/>
          <w:sz w:val="20"/>
          <w:szCs w:val="20"/>
          <w:lang w:val="pt-BR"/>
        </w:rPr>
        <w:t xml:space="preserve">a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AF1663" w:rsidRPr="0038442F">
        <w:rPr>
          <w:rFonts w:ascii="Verdana" w:hAnsi="Verdana" w:cs="Times New Roman"/>
          <w:sz w:val="20"/>
          <w:szCs w:val="20"/>
          <w:lang w:val="pt-BR"/>
        </w:rPr>
        <w:t>vítima o</w:t>
      </w:r>
      <w:r w:rsidR="00F449A6" w:rsidRPr="0038442F">
        <w:rPr>
          <w:rFonts w:ascii="Verdana" w:hAnsi="Verdana" w:cs="Times New Roman"/>
          <w:sz w:val="20"/>
          <w:szCs w:val="20"/>
          <w:lang w:val="pt-BR"/>
        </w:rPr>
        <w:t>u</w:t>
      </w:r>
      <w:r w:rsidR="00AF1663" w:rsidRPr="0038442F">
        <w:rPr>
          <w:rFonts w:ascii="Verdana" w:hAnsi="Verdana" w:cs="Times New Roman"/>
          <w:sz w:val="20"/>
          <w:szCs w:val="20"/>
          <w:lang w:val="pt-BR"/>
        </w:rPr>
        <w:t xml:space="preserve"> </w:t>
      </w:r>
      <w:r w:rsidR="00BB665E" w:rsidRPr="0038442F">
        <w:rPr>
          <w:rFonts w:ascii="Verdana" w:hAnsi="Verdana" w:cs="Times New Roman"/>
          <w:sz w:val="20"/>
          <w:szCs w:val="20"/>
          <w:lang w:val="pt-BR"/>
        </w:rPr>
        <w:t>vítimas</w:t>
      </w:r>
      <w:r w:rsidR="00407242" w:rsidRPr="0038442F">
        <w:rPr>
          <w:rFonts w:ascii="Verdana" w:hAnsi="Verdana" w:cs="Times New Roman"/>
          <w:sz w:val="20"/>
          <w:szCs w:val="20"/>
          <w:lang w:val="pt-BR"/>
        </w:rPr>
        <w:t xml:space="preserve"> </w:t>
      </w:r>
      <w:r w:rsidR="00AF1663" w:rsidRPr="0038442F">
        <w:rPr>
          <w:rFonts w:ascii="Verdana" w:hAnsi="Verdana" w:cs="Times New Roman"/>
          <w:sz w:val="20"/>
          <w:szCs w:val="20"/>
          <w:lang w:val="pt-BR"/>
        </w:rPr>
        <w:t xml:space="preserve">se </w:t>
      </w:r>
      <w:r w:rsidR="00F449A6" w:rsidRPr="0038442F">
        <w:rPr>
          <w:rFonts w:ascii="Verdana" w:hAnsi="Verdana" w:cs="Times New Roman"/>
          <w:sz w:val="20"/>
          <w:szCs w:val="20"/>
          <w:lang w:val="pt-BR"/>
        </w:rPr>
        <w:t xml:space="preserve">tornou visível </w:t>
      </w:r>
      <w:r w:rsidR="00AF1663" w:rsidRPr="0038442F">
        <w:rPr>
          <w:rFonts w:ascii="Verdana" w:hAnsi="Verdana" w:cs="Times New Roman"/>
          <w:sz w:val="20"/>
          <w:szCs w:val="20"/>
          <w:lang w:val="pt-BR"/>
        </w:rPr>
        <w:t>mediante “a posi</w:t>
      </w:r>
      <w:r w:rsidR="000A1AA8" w:rsidRPr="0038442F">
        <w:rPr>
          <w:rFonts w:ascii="Verdana" w:hAnsi="Verdana" w:cs="Times New Roman"/>
          <w:sz w:val="20"/>
          <w:szCs w:val="20"/>
          <w:lang w:val="pt-BR"/>
        </w:rPr>
        <w:t>ção</w:t>
      </w:r>
      <w:r w:rsidR="00AF1663"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econômica</w:t>
      </w:r>
      <w:r w:rsidR="00AF1663" w:rsidRPr="0038442F">
        <w:rPr>
          <w:rFonts w:ascii="Verdana" w:hAnsi="Verdana" w:cs="Times New Roman"/>
          <w:sz w:val="20"/>
          <w:szCs w:val="20"/>
          <w:lang w:val="pt-BR"/>
        </w:rPr>
        <w:t xml:space="preserve">” </w:t>
      </w:r>
      <w:r w:rsidR="00BF7A10" w:rsidRPr="0038442F">
        <w:rPr>
          <w:rFonts w:ascii="Verdana" w:hAnsi="Verdana" w:cs="Times New Roman"/>
          <w:sz w:val="20"/>
          <w:szCs w:val="20"/>
          <w:lang w:val="pt-BR"/>
        </w:rPr>
        <w:t xml:space="preserve">na </w:t>
      </w:r>
      <w:r w:rsidR="00984A83" w:rsidRPr="0038442F">
        <w:rPr>
          <w:rFonts w:ascii="Verdana" w:hAnsi="Verdana" w:cs="Times New Roman"/>
          <w:sz w:val="20"/>
          <w:szCs w:val="20"/>
          <w:lang w:val="pt-BR"/>
        </w:rPr>
        <w:t>jurisprudência</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AF1663" w:rsidRPr="0038442F">
        <w:rPr>
          <w:rFonts w:ascii="Verdana" w:hAnsi="Verdana" w:cs="Times New Roman"/>
          <w:sz w:val="20"/>
          <w:szCs w:val="20"/>
          <w:lang w:val="pt-BR"/>
        </w:rPr>
        <w:t>Corte I</w:t>
      </w:r>
      <w:r w:rsidR="003B308E" w:rsidRPr="0038442F">
        <w:rPr>
          <w:rFonts w:ascii="Verdana" w:hAnsi="Verdana" w:cs="Times New Roman"/>
          <w:sz w:val="20"/>
          <w:szCs w:val="20"/>
          <w:lang w:val="pt-BR"/>
        </w:rPr>
        <w:t>DH</w:t>
      </w:r>
      <w:r w:rsidR="00826187" w:rsidRPr="0038442F">
        <w:rPr>
          <w:rFonts w:ascii="Verdana" w:hAnsi="Verdana" w:cs="Times New Roman"/>
          <w:sz w:val="20"/>
          <w:szCs w:val="20"/>
          <w:lang w:val="pt-BR"/>
        </w:rPr>
        <w:t>,</w:t>
      </w:r>
      <w:r w:rsidR="00AF1663" w:rsidRPr="0038442F">
        <w:rPr>
          <w:rFonts w:ascii="Verdana" w:hAnsi="Verdana" w:cs="Times New Roman"/>
          <w:sz w:val="20"/>
          <w:szCs w:val="20"/>
          <w:lang w:val="pt-BR"/>
        </w:rPr>
        <w:t xml:space="preserve"> a tend</w:t>
      </w:r>
      <w:r w:rsidR="00F449A6" w:rsidRPr="0038442F">
        <w:rPr>
          <w:rFonts w:ascii="Verdana" w:hAnsi="Verdana" w:cs="Times New Roman"/>
          <w:sz w:val="20"/>
          <w:szCs w:val="20"/>
          <w:lang w:val="pt-BR"/>
        </w:rPr>
        <w:t>ê</w:t>
      </w:r>
      <w:r w:rsidR="00AF1663" w:rsidRPr="0038442F">
        <w:rPr>
          <w:rFonts w:ascii="Verdana" w:hAnsi="Verdana" w:cs="Times New Roman"/>
          <w:sz w:val="20"/>
          <w:szCs w:val="20"/>
          <w:lang w:val="pt-BR"/>
        </w:rPr>
        <w:t xml:space="preserve">ncia jurisprudencial </w:t>
      </w:r>
      <w:r w:rsidR="00F449A6" w:rsidRPr="0038442F">
        <w:rPr>
          <w:rFonts w:ascii="Verdana" w:hAnsi="Verdana" w:cs="Times New Roman"/>
          <w:sz w:val="20"/>
          <w:szCs w:val="20"/>
          <w:lang w:val="pt-BR"/>
        </w:rPr>
        <w:t xml:space="preserve">foi analisá-la </w:t>
      </w:r>
      <w:r w:rsidR="00AF1663" w:rsidRPr="0038442F">
        <w:rPr>
          <w:rFonts w:ascii="Verdana" w:hAnsi="Verdana" w:cs="Times New Roman"/>
          <w:sz w:val="20"/>
          <w:szCs w:val="20"/>
          <w:lang w:val="pt-BR"/>
        </w:rPr>
        <w:t xml:space="preserve">de </w:t>
      </w:r>
      <w:r w:rsidR="006A12FD" w:rsidRPr="0038442F">
        <w:rPr>
          <w:rFonts w:ascii="Verdana" w:hAnsi="Verdana" w:cs="Times New Roman"/>
          <w:sz w:val="20"/>
          <w:szCs w:val="20"/>
          <w:lang w:val="pt-BR"/>
        </w:rPr>
        <w:t>maneira</w:t>
      </w:r>
      <w:r w:rsidR="00407242" w:rsidRPr="0038442F">
        <w:rPr>
          <w:rFonts w:ascii="Verdana" w:hAnsi="Verdana" w:cs="Times New Roman"/>
          <w:sz w:val="20"/>
          <w:szCs w:val="20"/>
          <w:lang w:val="pt-BR"/>
        </w:rPr>
        <w:t xml:space="preserve"> </w:t>
      </w:r>
      <w:r w:rsidR="00AF1663" w:rsidRPr="0038442F">
        <w:rPr>
          <w:rFonts w:ascii="Verdana" w:hAnsi="Verdana" w:cs="Times New Roman"/>
          <w:sz w:val="20"/>
          <w:szCs w:val="20"/>
          <w:lang w:val="pt-BR"/>
        </w:rPr>
        <w:t>intersecionada co</w:t>
      </w:r>
      <w:r w:rsidR="00F449A6" w:rsidRPr="0038442F">
        <w:rPr>
          <w:rFonts w:ascii="Verdana" w:hAnsi="Verdana" w:cs="Times New Roman"/>
          <w:sz w:val="20"/>
          <w:szCs w:val="20"/>
          <w:lang w:val="pt-BR"/>
        </w:rPr>
        <w:t>m</w:t>
      </w:r>
      <w:r w:rsidR="00AF1663" w:rsidRPr="0038442F">
        <w:rPr>
          <w:rFonts w:ascii="Verdana" w:hAnsi="Verdana" w:cs="Times New Roman"/>
          <w:sz w:val="20"/>
          <w:szCs w:val="20"/>
          <w:lang w:val="pt-BR"/>
        </w:rPr>
        <w:t xml:space="preserve"> </w:t>
      </w:r>
      <w:r w:rsidR="006A12FD" w:rsidRPr="0038442F">
        <w:rPr>
          <w:rFonts w:ascii="Verdana" w:hAnsi="Verdana" w:cs="Times New Roman"/>
          <w:sz w:val="20"/>
          <w:szCs w:val="20"/>
          <w:lang w:val="pt-BR"/>
        </w:rPr>
        <w:t>outras</w:t>
      </w:r>
      <w:r w:rsidR="00407242" w:rsidRPr="0038442F">
        <w:rPr>
          <w:rFonts w:ascii="Verdana" w:hAnsi="Verdana" w:cs="Times New Roman"/>
          <w:sz w:val="20"/>
          <w:szCs w:val="20"/>
          <w:lang w:val="pt-BR"/>
        </w:rPr>
        <w:t xml:space="preserve"> </w:t>
      </w:r>
      <w:r w:rsidR="00C83729" w:rsidRPr="0038442F">
        <w:rPr>
          <w:rFonts w:ascii="Verdana" w:hAnsi="Verdana" w:cs="Times New Roman"/>
          <w:sz w:val="20"/>
          <w:szCs w:val="20"/>
          <w:lang w:val="pt-BR"/>
        </w:rPr>
        <w:t>categor</w:t>
      </w:r>
      <w:r w:rsidR="00F449A6" w:rsidRPr="0038442F">
        <w:rPr>
          <w:rFonts w:ascii="Verdana" w:hAnsi="Verdana" w:cs="Times New Roman"/>
          <w:sz w:val="20"/>
          <w:szCs w:val="20"/>
          <w:lang w:val="pt-BR"/>
        </w:rPr>
        <w:t>i</w:t>
      </w:r>
      <w:r w:rsidR="00C83729" w:rsidRPr="0038442F">
        <w:rPr>
          <w:rFonts w:ascii="Verdana" w:hAnsi="Verdana" w:cs="Times New Roman"/>
          <w:sz w:val="20"/>
          <w:szCs w:val="20"/>
          <w:lang w:val="pt-BR"/>
        </w:rPr>
        <w:t>as</w:t>
      </w:r>
      <w:r w:rsidR="00AF1663" w:rsidRPr="0038442F">
        <w:rPr>
          <w:rFonts w:ascii="Verdana" w:hAnsi="Verdana" w:cs="Times New Roman"/>
          <w:sz w:val="20"/>
          <w:szCs w:val="20"/>
          <w:lang w:val="pt-BR"/>
        </w:rPr>
        <w:t xml:space="preserve"> o</w:t>
      </w:r>
      <w:r w:rsidR="00F449A6" w:rsidRPr="0038442F">
        <w:rPr>
          <w:rFonts w:ascii="Verdana" w:hAnsi="Verdana" w:cs="Times New Roman"/>
          <w:sz w:val="20"/>
          <w:szCs w:val="20"/>
          <w:lang w:val="pt-BR"/>
        </w:rPr>
        <w:t>u</w:t>
      </w:r>
      <w:r w:rsidR="00AF1663" w:rsidRPr="0038442F">
        <w:rPr>
          <w:rFonts w:ascii="Verdana" w:hAnsi="Verdana" w:cs="Times New Roman"/>
          <w:sz w:val="20"/>
          <w:szCs w:val="20"/>
          <w:lang w:val="pt-BR"/>
        </w:rPr>
        <w:t xml:space="preserve"> </w:t>
      </w:r>
      <w:r w:rsidR="00CA30C5" w:rsidRPr="0038442F">
        <w:rPr>
          <w:rFonts w:ascii="Verdana" w:hAnsi="Verdana" w:cs="Times New Roman"/>
          <w:sz w:val="20"/>
          <w:szCs w:val="20"/>
          <w:lang w:val="pt-BR"/>
        </w:rPr>
        <w:t>fatores</w:t>
      </w:r>
      <w:r w:rsidR="00407242" w:rsidRPr="0038442F">
        <w:rPr>
          <w:rFonts w:ascii="Verdana" w:hAnsi="Verdana" w:cs="Times New Roman"/>
          <w:sz w:val="20"/>
          <w:szCs w:val="20"/>
          <w:lang w:val="pt-BR"/>
        </w:rPr>
        <w:t xml:space="preserve"> </w:t>
      </w:r>
      <w:r w:rsidR="00AF1663" w:rsidRPr="0038442F">
        <w:rPr>
          <w:rFonts w:ascii="Verdana" w:hAnsi="Verdana" w:cs="Times New Roman"/>
          <w:sz w:val="20"/>
          <w:szCs w:val="20"/>
          <w:lang w:val="pt-BR"/>
        </w:rPr>
        <w:t>de vulnerabilidad</w:t>
      </w:r>
      <w:r w:rsidR="00F449A6" w:rsidRPr="0038442F">
        <w:rPr>
          <w:rFonts w:ascii="Verdana" w:hAnsi="Verdana" w:cs="Times New Roman"/>
          <w:sz w:val="20"/>
          <w:szCs w:val="20"/>
          <w:lang w:val="pt-BR"/>
        </w:rPr>
        <w:t>e,</w:t>
      </w:r>
      <w:r w:rsidR="00AF1663" w:rsidRPr="0038442F">
        <w:rPr>
          <w:rStyle w:val="Refdenotaalpie"/>
          <w:rFonts w:ascii="Verdana" w:hAnsi="Verdana" w:cs="Times New Roman"/>
          <w:sz w:val="20"/>
          <w:szCs w:val="20"/>
          <w:lang w:val="pt-BR"/>
        </w:rPr>
        <w:footnoteReference w:id="101"/>
      </w:r>
      <w:r w:rsidR="00AF1663" w:rsidRPr="0038442F">
        <w:rPr>
          <w:rFonts w:ascii="Verdana" w:hAnsi="Verdana" w:cs="Times New Roman"/>
          <w:sz w:val="20"/>
          <w:szCs w:val="20"/>
          <w:lang w:val="pt-BR"/>
        </w:rPr>
        <w:t xml:space="preserve"> </w:t>
      </w:r>
      <w:r w:rsidR="00F449A6" w:rsidRPr="0038442F">
        <w:rPr>
          <w:rFonts w:ascii="Verdana" w:hAnsi="Verdana" w:cs="Times New Roman"/>
          <w:sz w:val="20"/>
          <w:szCs w:val="20"/>
          <w:lang w:val="pt-BR"/>
        </w:rPr>
        <w:t xml:space="preserve">ou, então, </w:t>
      </w:r>
      <w:r w:rsidR="003651D9" w:rsidRPr="0038442F">
        <w:rPr>
          <w:rFonts w:ascii="Verdana" w:hAnsi="Verdana" w:cs="Times New Roman"/>
          <w:sz w:val="20"/>
          <w:szCs w:val="20"/>
          <w:lang w:val="pt-BR"/>
        </w:rPr>
        <w:t xml:space="preserve">dentro </w:t>
      </w:r>
      <w:r w:rsidR="00C92762" w:rsidRPr="0038442F">
        <w:rPr>
          <w:rFonts w:ascii="Verdana" w:hAnsi="Verdana" w:cs="Times New Roman"/>
          <w:sz w:val="20"/>
          <w:szCs w:val="20"/>
          <w:lang w:val="pt-BR"/>
        </w:rPr>
        <w:t xml:space="preserve">dos </w:t>
      </w:r>
      <w:r w:rsidR="003651D9" w:rsidRPr="0038442F">
        <w:rPr>
          <w:rFonts w:ascii="Verdana" w:hAnsi="Verdana" w:cs="Times New Roman"/>
          <w:sz w:val="20"/>
          <w:szCs w:val="20"/>
          <w:lang w:val="pt-BR"/>
        </w:rPr>
        <w:t>elementos de aces</w:t>
      </w:r>
      <w:r w:rsidR="00F449A6" w:rsidRPr="0038442F">
        <w:rPr>
          <w:rFonts w:ascii="Verdana" w:hAnsi="Verdana" w:cs="Times New Roman"/>
          <w:sz w:val="20"/>
          <w:szCs w:val="20"/>
          <w:lang w:val="pt-BR"/>
        </w:rPr>
        <w:t>s</w:t>
      </w:r>
      <w:r w:rsidR="003651D9" w:rsidRPr="0038442F">
        <w:rPr>
          <w:rFonts w:ascii="Verdana" w:hAnsi="Verdana" w:cs="Times New Roman"/>
          <w:sz w:val="20"/>
          <w:szCs w:val="20"/>
          <w:lang w:val="pt-BR"/>
        </w:rPr>
        <w:t>ibilidad</w:t>
      </w:r>
      <w:r w:rsidR="00F449A6" w:rsidRPr="0038442F">
        <w:rPr>
          <w:rFonts w:ascii="Verdana" w:hAnsi="Verdana" w:cs="Times New Roman"/>
          <w:sz w:val="20"/>
          <w:szCs w:val="20"/>
          <w:lang w:val="pt-BR"/>
        </w:rPr>
        <w:t>e</w:t>
      </w:r>
      <w:r w:rsidR="003651D9"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dos direitos </w:t>
      </w:r>
      <w:r w:rsidR="003651D9" w:rsidRPr="0038442F">
        <w:rPr>
          <w:rFonts w:ascii="Verdana" w:hAnsi="Verdana" w:cs="Times New Roman"/>
          <w:sz w:val="20"/>
          <w:szCs w:val="20"/>
          <w:lang w:val="pt-BR"/>
        </w:rPr>
        <w:t>soci</w:t>
      </w:r>
      <w:r w:rsidR="00C92762" w:rsidRPr="0038442F">
        <w:rPr>
          <w:rFonts w:ascii="Verdana" w:hAnsi="Verdana" w:cs="Times New Roman"/>
          <w:sz w:val="20"/>
          <w:szCs w:val="20"/>
          <w:lang w:val="pt-BR"/>
        </w:rPr>
        <w:t xml:space="preserve">ais </w:t>
      </w:r>
      <w:r w:rsidR="003651D9" w:rsidRPr="0038442F">
        <w:rPr>
          <w:rFonts w:ascii="Verdana" w:hAnsi="Verdana" w:cs="Times New Roman"/>
          <w:sz w:val="20"/>
          <w:szCs w:val="20"/>
          <w:lang w:val="pt-BR"/>
        </w:rPr>
        <w:t>(aces</w:t>
      </w:r>
      <w:r w:rsidR="00F449A6" w:rsidRPr="0038442F">
        <w:rPr>
          <w:rFonts w:ascii="Verdana" w:hAnsi="Verdana" w:cs="Times New Roman"/>
          <w:sz w:val="20"/>
          <w:szCs w:val="20"/>
          <w:lang w:val="pt-BR"/>
        </w:rPr>
        <w:t>s</w:t>
      </w:r>
      <w:r w:rsidR="003651D9" w:rsidRPr="0038442F">
        <w:rPr>
          <w:rFonts w:ascii="Verdana" w:hAnsi="Verdana" w:cs="Times New Roman"/>
          <w:sz w:val="20"/>
          <w:szCs w:val="20"/>
          <w:lang w:val="pt-BR"/>
        </w:rPr>
        <w:t>ibilidad</w:t>
      </w:r>
      <w:r w:rsidR="00F449A6" w:rsidRPr="0038442F">
        <w:rPr>
          <w:rFonts w:ascii="Verdana" w:hAnsi="Verdana" w:cs="Times New Roman"/>
          <w:sz w:val="20"/>
          <w:szCs w:val="20"/>
          <w:lang w:val="pt-BR"/>
        </w:rPr>
        <w:t>e</w:t>
      </w:r>
      <w:r w:rsidR="003651D9" w:rsidRPr="0038442F">
        <w:rPr>
          <w:rFonts w:ascii="Verdana" w:hAnsi="Verdana" w:cs="Times New Roman"/>
          <w:sz w:val="20"/>
          <w:szCs w:val="20"/>
          <w:lang w:val="pt-BR"/>
        </w:rPr>
        <w:t xml:space="preserve"> física)</w:t>
      </w:r>
      <w:r w:rsidR="00F449A6" w:rsidRPr="0038442F">
        <w:rPr>
          <w:rFonts w:ascii="Verdana" w:hAnsi="Verdana" w:cs="Times New Roman"/>
          <w:sz w:val="20"/>
          <w:szCs w:val="20"/>
          <w:lang w:val="pt-BR"/>
        </w:rPr>
        <w:t xml:space="preserve">, o que </w:t>
      </w:r>
      <w:r w:rsidR="00AF1663" w:rsidRPr="0038442F">
        <w:rPr>
          <w:rFonts w:ascii="Verdana" w:hAnsi="Verdana" w:cs="Times New Roman"/>
          <w:sz w:val="20"/>
          <w:szCs w:val="20"/>
          <w:lang w:val="pt-BR"/>
        </w:rPr>
        <w:t>contrasta significativamente co</w:t>
      </w:r>
      <w:r w:rsidR="00F449A6" w:rsidRPr="0038442F">
        <w:rPr>
          <w:rFonts w:ascii="Verdana" w:hAnsi="Verdana" w:cs="Times New Roman"/>
          <w:sz w:val="20"/>
          <w:szCs w:val="20"/>
          <w:lang w:val="pt-BR"/>
        </w:rPr>
        <w:t xml:space="preserve">m a </w:t>
      </w:r>
      <w:r w:rsidR="00984A83" w:rsidRPr="0038442F">
        <w:rPr>
          <w:rFonts w:ascii="Verdana" w:hAnsi="Verdana" w:cs="Times New Roman"/>
          <w:sz w:val="20"/>
          <w:szCs w:val="20"/>
          <w:lang w:val="pt-BR"/>
        </w:rPr>
        <w:t>jurisprudência</w:t>
      </w:r>
      <w:r w:rsidR="00407242" w:rsidRPr="0038442F">
        <w:rPr>
          <w:rFonts w:ascii="Verdana" w:hAnsi="Verdana" w:cs="Times New Roman"/>
          <w:sz w:val="20"/>
          <w:szCs w:val="20"/>
          <w:lang w:val="pt-BR"/>
        </w:rPr>
        <w:t xml:space="preserve"> </w:t>
      </w:r>
      <w:r w:rsidR="001845F6" w:rsidRPr="0038442F">
        <w:rPr>
          <w:rFonts w:ascii="Verdana" w:hAnsi="Verdana" w:cs="Times New Roman"/>
          <w:sz w:val="20"/>
          <w:szCs w:val="20"/>
          <w:lang w:val="pt-BR"/>
        </w:rPr>
        <w:t>anterior ao</w:t>
      </w:r>
      <w:r w:rsidR="00F449A6" w:rsidRPr="0038442F">
        <w:rPr>
          <w:rFonts w:ascii="Verdana" w:hAnsi="Verdana" w:cs="Times New Roman"/>
          <w:sz w:val="20"/>
          <w:szCs w:val="20"/>
          <w:lang w:val="pt-BR"/>
        </w:rPr>
        <w:t xml:space="preserve"> ano de </w:t>
      </w:r>
      <w:r w:rsidR="00AF1663" w:rsidRPr="0038442F">
        <w:rPr>
          <w:rFonts w:ascii="Verdana" w:hAnsi="Verdana" w:cs="Times New Roman"/>
          <w:sz w:val="20"/>
          <w:szCs w:val="20"/>
          <w:lang w:val="pt-BR"/>
        </w:rPr>
        <w:t>2016</w:t>
      </w:r>
      <w:r w:rsidR="00826187" w:rsidRPr="0038442F">
        <w:rPr>
          <w:rFonts w:ascii="Verdana" w:hAnsi="Verdana" w:cs="Times New Roman"/>
          <w:sz w:val="20"/>
          <w:szCs w:val="20"/>
          <w:lang w:val="pt-BR"/>
        </w:rPr>
        <w:t xml:space="preserve">. </w:t>
      </w:r>
      <w:r w:rsidR="00F449A6" w:rsidRPr="0038442F">
        <w:rPr>
          <w:rFonts w:ascii="Verdana" w:hAnsi="Verdana" w:cs="Times New Roman"/>
          <w:sz w:val="20"/>
          <w:szCs w:val="20"/>
          <w:lang w:val="pt-BR"/>
        </w:rPr>
        <w:t xml:space="preserve">Mesmo quando em decisões </w:t>
      </w:r>
      <w:r w:rsidR="00AF1663" w:rsidRPr="0038442F">
        <w:rPr>
          <w:rFonts w:ascii="Verdana" w:hAnsi="Verdana" w:cs="Times New Roman"/>
          <w:sz w:val="20"/>
          <w:szCs w:val="20"/>
          <w:lang w:val="pt-BR"/>
        </w:rPr>
        <w:t>anteriores a pobreza o</w:t>
      </w:r>
      <w:r w:rsidR="00F449A6" w:rsidRPr="0038442F">
        <w:rPr>
          <w:rFonts w:ascii="Verdana" w:hAnsi="Verdana" w:cs="Times New Roman"/>
          <w:sz w:val="20"/>
          <w:szCs w:val="20"/>
          <w:lang w:val="pt-BR"/>
        </w:rPr>
        <w:t>u</w:t>
      </w:r>
      <w:r w:rsidR="00AF1663" w:rsidRPr="0038442F">
        <w:rPr>
          <w:rFonts w:ascii="Verdana" w:hAnsi="Verdana" w:cs="Times New Roman"/>
          <w:sz w:val="20"/>
          <w:szCs w:val="20"/>
          <w:lang w:val="pt-BR"/>
        </w:rPr>
        <w:t xml:space="preserve"> a condi</w:t>
      </w:r>
      <w:r w:rsidR="000A1AA8" w:rsidRPr="0038442F">
        <w:rPr>
          <w:rFonts w:ascii="Verdana" w:hAnsi="Verdana" w:cs="Times New Roman"/>
          <w:sz w:val="20"/>
          <w:szCs w:val="20"/>
          <w:lang w:val="pt-BR"/>
        </w:rPr>
        <w:t>ção</w:t>
      </w:r>
      <w:r w:rsidR="00AF1663"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 xml:space="preserve">econômica </w:t>
      </w:r>
      <w:r w:rsidR="00F449A6" w:rsidRPr="0038442F">
        <w:rPr>
          <w:rFonts w:ascii="Verdana" w:hAnsi="Verdana" w:cs="Times New Roman"/>
          <w:sz w:val="20"/>
          <w:szCs w:val="20"/>
          <w:lang w:val="pt-BR"/>
        </w:rPr>
        <w:t xml:space="preserve">tenham estado presentes nas sentenças do </w:t>
      </w:r>
      <w:r w:rsidR="00AF1663" w:rsidRPr="0038442F">
        <w:rPr>
          <w:rFonts w:ascii="Verdana" w:hAnsi="Verdana" w:cs="Times New Roman"/>
          <w:sz w:val="20"/>
          <w:szCs w:val="20"/>
          <w:lang w:val="pt-BR"/>
        </w:rPr>
        <w:t xml:space="preserve">Tribunal Interamericano, </w:t>
      </w:r>
      <w:r w:rsidR="00F449A6" w:rsidRPr="0038442F">
        <w:rPr>
          <w:rFonts w:ascii="Verdana" w:hAnsi="Verdana" w:cs="Times New Roman"/>
          <w:sz w:val="20"/>
          <w:szCs w:val="20"/>
          <w:lang w:val="pt-BR"/>
        </w:rPr>
        <w:t xml:space="preserve">a abordagem </w:t>
      </w:r>
      <w:r w:rsidR="00C83729" w:rsidRPr="0038442F">
        <w:rPr>
          <w:rFonts w:ascii="Verdana" w:hAnsi="Verdana" w:cs="Times New Roman"/>
          <w:sz w:val="20"/>
          <w:szCs w:val="20"/>
          <w:lang w:val="pt-BR"/>
        </w:rPr>
        <w:t xml:space="preserve">era </w:t>
      </w:r>
      <w:r w:rsidR="00AF1663" w:rsidRPr="0038442F">
        <w:rPr>
          <w:rFonts w:ascii="Verdana" w:hAnsi="Verdana" w:cs="Times New Roman"/>
          <w:sz w:val="20"/>
          <w:szCs w:val="20"/>
          <w:lang w:val="pt-BR"/>
        </w:rPr>
        <w:t>tangencial o</w:t>
      </w:r>
      <w:r w:rsidR="00F449A6" w:rsidRPr="0038442F">
        <w:rPr>
          <w:rFonts w:ascii="Verdana" w:hAnsi="Verdana" w:cs="Times New Roman"/>
          <w:sz w:val="20"/>
          <w:szCs w:val="20"/>
          <w:lang w:val="pt-BR"/>
        </w:rPr>
        <w:t>u</w:t>
      </w:r>
      <w:r w:rsidR="00AF1663" w:rsidRPr="0038442F">
        <w:rPr>
          <w:rFonts w:ascii="Verdana" w:hAnsi="Verdana" w:cs="Times New Roman"/>
          <w:sz w:val="20"/>
          <w:szCs w:val="20"/>
          <w:lang w:val="pt-BR"/>
        </w:rPr>
        <w:t xml:space="preserve"> agravante contextual e</w:t>
      </w:r>
      <w:r w:rsidR="00F449A6" w:rsidRPr="0038442F">
        <w:rPr>
          <w:rFonts w:ascii="Verdana" w:hAnsi="Verdana" w:cs="Times New Roman"/>
          <w:sz w:val="20"/>
          <w:szCs w:val="20"/>
          <w:lang w:val="pt-BR"/>
        </w:rPr>
        <w:t xml:space="preserve">m cada um </w:t>
      </w:r>
      <w:r w:rsidR="00C92762" w:rsidRPr="0038442F">
        <w:rPr>
          <w:rFonts w:ascii="Verdana" w:hAnsi="Verdana" w:cs="Times New Roman"/>
          <w:sz w:val="20"/>
          <w:szCs w:val="20"/>
          <w:lang w:val="pt-BR"/>
        </w:rPr>
        <w:t xml:space="preserve">dos </w:t>
      </w:r>
      <w:r w:rsidR="00AF1663" w:rsidRPr="0038442F">
        <w:rPr>
          <w:rFonts w:ascii="Verdana" w:hAnsi="Verdana" w:cs="Times New Roman"/>
          <w:sz w:val="20"/>
          <w:szCs w:val="20"/>
          <w:lang w:val="pt-BR"/>
        </w:rPr>
        <w:t xml:space="preserve">diferentes casos </w:t>
      </w:r>
      <w:r w:rsidR="00F449A6" w:rsidRPr="0038442F">
        <w:rPr>
          <w:rFonts w:ascii="Verdana" w:hAnsi="Verdana" w:cs="Times New Roman"/>
          <w:sz w:val="20"/>
          <w:szCs w:val="20"/>
          <w:lang w:val="pt-BR"/>
        </w:rPr>
        <w:t xml:space="preserve">sobre os quais </w:t>
      </w:r>
      <w:r w:rsidR="008806F8" w:rsidRPr="0038442F">
        <w:rPr>
          <w:rFonts w:ascii="Verdana" w:hAnsi="Verdana" w:cs="Times New Roman"/>
          <w:sz w:val="20"/>
          <w:szCs w:val="20"/>
          <w:lang w:val="pt-BR"/>
        </w:rPr>
        <w:t xml:space="preserve">a Corte </w:t>
      </w:r>
      <w:r w:rsidR="00AF1663" w:rsidRPr="0038442F">
        <w:rPr>
          <w:rFonts w:ascii="Verdana" w:hAnsi="Verdana" w:cs="Times New Roman"/>
          <w:sz w:val="20"/>
          <w:szCs w:val="20"/>
          <w:lang w:val="pt-BR"/>
        </w:rPr>
        <w:t xml:space="preserve">IDH se </w:t>
      </w:r>
      <w:r w:rsidR="00F449A6" w:rsidRPr="0038442F">
        <w:rPr>
          <w:rFonts w:ascii="Verdana" w:hAnsi="Verdana" w:cs="Times New Roman"/>
          <w:sz w:val="20"/>
          <w:szCs w:val="20"/>
          <w:lang w:val="pt-BR"/>
        </w:rPr>
        <w:t xml:space="preserve">havia </w:t>
      </w:r>
      <w:r w:rsidR="00C83729" w:rsidRPr="0038442F">
        <w:rPr>
          <w:rFonts w:ascii="Verdana" w:hAnsi="Verdana" w:cs="Times New Roman"/>
          <w:sz w:val="20"/>
          <w:szCs w:val="20"/>
          <w:lang w:val="pt-BR"/>
        </w:rPr>
        <w:t xml:space="preserve">pronunciado. </w:t>
      </w:r>
    </w:p>
    <w:p w14:paraId="72E1158E" w14:textId="77777777" w:rsidR="00AF1663" w:rsidRPr="0038442F" w:rsidRDefault="00AF1663" w:rsidP="00A857CB">
      <w:pPr>
        <w:jc w:val="both"/>
        <w:rPr>
          <w:rFonts w:ascii="Verdana" w:hAnsi="Verdana"/>
          <w:strike/>
          <w:sz w:val="20"/>
          <w:szCs w:val="20"/>
          <w:lang w:val="pt-BR"/>
        </w:rPr>
      </w:pPr>
    </w:p>
    <w:p w14:paraId="4004D3E2" w14:textId="0F820621" w:rsidR="007E51C4" w:rsidRPr="0038442F" w:rsidRDefault="00685AC6" w:rsidP="00685AC6">
      <w:pPr>
        <w:pStyle w:val="Prrafodelista"/>
        <w:spacing w:after="0" w:line="240" w:lineRule="auto"/>
        <w:ind w:left="0"/>
        <w:jc w:val="both"/>
        <w:rPr>
          <w:rFonts w:ascii="Verdana" w:hAnsi="Verdana" w:cs="Times New Roman"/>
          <w:strike/>
          <w:sz w:val="20"/>
          <w:szCs w:val="20"/>
          <w:lang w:val="pt-BR"/>
        </w:rPr>
      </w:pPr>
      <w:r w:rsidRPr="0038442F">
        <w:rPr>
          <w:rFonts w:ascii="Verdana" w:hAnsi="Verdana"/>
          <w:sz w:val="20"/>
          <w:szCs w:val="20"/>
          <w:lang w:val="pt-BR"/>
        </w:rPr>
        <w:t xml:space="preserve">61. </w:t>
      </w:r>
      <w:r w:rsidRPr="0038442F">
        <w:rPr>
          <w:rFonts w:ascii="Verdana" w:hAnsi="Verdana"/>
          <w:sz w:val="20"/>
          <w:szCs w:val="20"/>
          <w:lang w:val="pt-BR"/>
        </w:rPr>
        <w:tab/>
      </w:r>
      <w:r w:rsidR="00F449A6" w:rsidRPr="0038442F">
        <w:rPr>
          <w:rFonts w:ascii="Verdana" w:hAnsi="Verdana"/>
          <w:sz w:val="20"/>
          <w:szCs w:val="20"/>
          <w:lang w:val="pt-BR"/>
        </w:rPr>
        <w:t xml:space="preserve">O </w:t>
      </w:r>
      <w:r w:rsidR="00C83729" w:rsidRPr="0038442F">
        <w:rPr>
          <w:rFonts w:ascii="Verdana" w:hAnsi="Verdana"/>
          <w:sz w:val="20"/>
          <w:szCs w:val="20"/>
          <w:lang w:val="pt-BR"/>
        </w:rPr>
        <w:t xml:space="preserve">enfoque </w:t>
      </w:r>
      <w:r w:rsidR="00AF1663" w:rsidRPr="0038442F">
        <w:rPr>
          <w:rFonts w:ascii="Verdana" w:hAnsi="Verdana"/>
          <w:sz w:val="20"/>
          <w:szCs w:val="20"/>
          <w:lang w:val="pt-BR"/>
        </w:rPr>
        <w:t>antes descrito (pobreza e intersecionalidad</w:t>
      </w:r>
      <w:r w:rsidR="00F449A6" w:rsidRPr="0038442F">
        <w:rPr>
          <w:rFonts w:ascii="Verdana" w:hAnsi="Verdana"/>
          <w:sz w:val="20"/>
          <w:szCs w:val="20"/>
          <w:lang w:val="pt-BR"/>
        </w:rPr>
        <w:t>e</w:t>
      </w:r>
      <w:r w:rsidR="00AF1663" w:rsidRPr="0038442F">
        <w:rPr>
          <w:rFonts w:ascii="Verdana" w:hAnsi="Verdana"/>
          <w:sz w:val="20"/>
          <w:szCs w:val="20"/>
          <w:lang w:val="pt-BR"/>
        </w:rPr>
        <w:t xml:space="preserve">) </w:t>
      </w:r>
      <w:r w:rsidR="00F449A6" w:rsidRPr="0038442F">
        <w:rPr>
          <w:rFonts w:ascii="Verdana" w:hAnsi="Verdana"/>
          <w:sz w:val="20"/>
          <w:szCs w:val="20"/>
          <w:lang w:val="pt-BR"/>
        </w:rPr>
        <w:t xml:space="preserve">foi manifestado com maior frequência posteriormente à </w:t>
      </w:r>
      <w:r w:rsidR="00BF7A10" w:rsidRPr="0038442F">
        <w:rPr>
          <w:rFonts w:ascii="Verdana" w:hAnsi="Verdana"/>
          <w:sz w:val="20"/>
          <w:szCs w:val="20"/>
          <w:lang w:val="pt-BR"/>
        </w:rPr>
        <w:t>sentença</w:t>
      </w:r>
      <w:r w:rsidR="00407242" w:rsidRPr="0038442F">
        <w:rPr>
          <w:rFonts w:ascii="Verdana" w:hAnsi="Verdana"/>
          <w:sz w:val="20"/>
          <w:szCs w:val="20"/>
          <w:lang w:val="pt-BR"/>
        </w:rPr>
        <w:t xml:space="preserve"> </w:t>
      </w:r>
      <w:r w:rsidR="00F449A6" w:rsidRPr="0038442F">
        <w:rPr>
          <w:rFonts w:ascii="Verdana" w:hAnsi="Verdana"/>
          <w:sz w:val="20"/>
          <w:szCs w:val="20"/>
          <w:lang w:val="pt-BR"/>
        </w:rPr>
        <w:t xml:space="preserve">do </w:t>
      </w:r>
      <w:r w:rsidR="00F449A6" w:rsidRPr="0038442F">
        <w:rPr>
          <w:rFonts w:ascii="Verdana" w:hAnsi="Verdana"/>
          <w:i/>
          <w:sz w:val="20"/>
          <w:szCs w:val="20"/>
          <w:lang w:val="pt-BR"/>
        </w:rPr>
        <w:t xml:space="preserve">Caso </w:t>
      </w:r>
      <w:r w:rsidR="00D274C6" w:rsidRPr="0038442F">
        <w:rPr>
          <w:rFonts w:ascii="Verdana" w:hAnsi="Verdana"/>
          <w:i/>
          <w:iCs/>
          <w:sz w:val="20"/>
          <w:szCs w:val="20"/>
          <w:lang w:val="pt-BR"/>
        </w:rPr>
        <w:t xml:space="preserve">Trabalhadores da Fazenda </w:t>
      </w:r>
      <w:r w:rsidR="00AF1663" w:rsidRPr="0038442F">
        <w:rPr>
          <w:rFonts w:ascii="Verdana" w:hAnsi="Verdana"/>
          <w:i/>
          <w:iCs/>
          <w:sz w:val="20"/>
          <w:szCs w:val="20"/>
          <w:lang w:val="pt-BR"/>
        </w:rPr>
        <w:t>Brasil Verde</w:t>
      </w:r>
      <w:r w:rsidR="00AF1663" w:rsidRPr="0038442F">
        <w:rPr>
          <w:rFonts w:ascii="Verdana" w:hAnsi="Verdana"/>
          <w:sz w:val="20"/>
          <w:szCs w:val="20"/>
          <w:lang w:val="pt-BR"/>
        </w:rPr>
        <w:t xml:space="preserve">. Por </w:t>
      </w:r>
      <w:r w:rsidR="00D45B15" w:rsidRPr="0038442F">
        <w:rPr>
          <w:rFonts w:ascii="Verdana" w:hAnsi="Verdana"/>
          <w:sz w:val="20"/>
          <w:szCs w:val="20"/>
          <w:lang w:val="pt-BR"/>
        </w:rPr>
        <w:t>exemplo</w:t>
      </w:r>
      <w:r w:rsidR="00AF1663" w:rsidRPr="0038442F">
        <w:rPr>
          <w:rFonts w:ascii="Verdana" w:hAnsi="Verdana"/>
          <w:sz w:val="20"/>
          <w:szCs w:val="20"/>
          <w:lang w:val="pt-BR"/>
        </w:rPr>
        <w:t xml:space="preserve">, </w:t>
      </w:r>
      <w:r w:rsidR="00F449A6" w:rsidRPr="0038442F">
        <w:rPr>
          <w:rFonts w:ascii="Verdana" w:hAnsi="Verdana"/>
          <w:sz w:val="20"/>
          <w:szCs w:val="20"/>
          <w:lang w:val="pt-BR"/>
        </w:rPr>
        <w:t xml:space="preserve">em </w:t>
      </w:r>
      <w:r w:rsidR="00AF1663" w:rsidRPr="0038442F">
        <w:rPr>
          <w:rFonts w:ascii="Verdana" w:hAnsi="Verdana"/>
          <w:sz w:val="20"/>
          <w:szCs w:val="20"/>
          <w:lang w:val="pt-BR"/>
        </w:rPr>
        <w:t>2017</w:t>
      </w:r>
      <w:r w:rsidR="00F449A6" w:rsidRPr="0038442F">
        <w:rPr>
          <w:rFonts w:ascii="Verdana" w:hAnsi="Verdana"/>
          <w:sz w:val="20"/>
          <w:szCs w:val="20"/>
          <w:lang w:val="pt-BR"/>
        </w:rPr>
        <w:t>,</w:t>
      </w:r>
      <w:r w:rsidR="00AF1663" w:rsidRPr="0038442F">
        <w:rPr>
          <w:rFonts w:ascii="Verdana" w:hAnsi="Verdana"/>
          <w:sz w:val="20"/>
          <w:szCs w:val="20"/>
          <w:lang w:val="pt-BR"/>
        </w:rPr>
        <w:t xml:space="preserve"> </w:t>
      </w:r>
      <w:r w:rsidR="009C265B" w:rsidRPr="0038442F">
        <w:rPr>
          <w:rFonts w:ascii="Verdana" w:hAnsi="Verdana"/>
          <w:sz w:val="20"/>
          <w:szCs w:val="20"/>
          <w:lang w:val="pt-BR"/>
        </w:rPr>
        <w:t xml:space="preserve">a Comissão </w:t>
      </w:r>
      <w:r w:rsidR="000B5B3C" w:rsidRPr="0038442F">
        <w:rPr>
          <w:rFonts w:ascii="Verdana" w:hAnsi="Verdana"/>
          <w:sz w:val="20"/>
          <w:szCs w:val="20"/>
          <w:lang w:val="pt-BR"/>
        </w:rPr>
        <w:t xml:space="preserve">Interamericana de </w:t>
      </w:r>
      <w:r w:rsidR="00C92762" w:rsidRPr="0038442F">
        <w:rPr>
          <w:rFonts w:ascii="Verdana" w:hAnsi="Verdana"/>
          <w:sz w:val="20"/>
          <w:szCs w:val="20"/>
          <w:lang w:val="pt-BR"/>
        </w:rPr>
        <w:t>Direitos</w:t>
      </w:r>
      <w:r w:rsidR="00407242" w:rsidRPr="0038442F">
        <w:rPr>
          <w:rFonts w:ascii="Verdana" w:hAnsi="Verdana"/>
          <w:sz w:val="20"/>
          <w:szCs w:val="20"/>
          <w:lang w:val="pt-BR"/>
        </w:rPr>
        <w:t xml:space="preserve"> </w:t>
      </w:r>
      <w:r w:rsidR="000B5B3C" w:rsidRPr="0038442F">
        <w:rPr>
          <w:rFonts w:ascii="Verdana" w:hAnsi="Verdana"/>
          <w:sz w:val="20"/>
          <w:szCs w:val="20"/>
          <w:lang w:val="pt-BR"/>
        </w:rPr>
        <w:t xml:space="preserve">Humanos </w:t>
      </w:r>
      <w:r w:rsidR="00F449A6" w:rsidRPr="0038442F">
        <w:rPr>
          <w:rFonts w:ascii="Verdana" w:hAnsi="Verdana"/>
          <w:sz w:val="20"/>
          <w:szCs w:val="20"/>
          <w:lang w:val="pt-BR"/>
        </w:rPr>
        <w:t xml:space="preserve">emitiu o relatório </w:t>
      </w:r>
      <w:r w:rsidR="000B5B3C" w:rsidRPr="0038442F">
        <w:rPr>
          <w:rFonts w:ascii="Verdana" w:hAnsi="Verdana"/>
          <w:i/>
          <w:iCs/>
          <w:sz w:val="20"/>
          <w:szCs w:val="20"/>
          <w:lang w:val="pt-BR"/>
        </w:rPr>
        <w:t xml:space="preserve">Pobreza </w:t>
      </w:r>
      <w:r w:rsidR="00F449A6" w:rsidRPr="0038442F">
        <w:rPr>
          <w:rFonts w:ascii="Verdana" w:hAnsi="Verdana"/>
          <w:i/>
          <w:iCs/>
          <w:sz w:val="20"/>
          <w:szCs w:val="20"/>
          <w:lang w:val="pt-BR"/>
        </w:rPr>
        <w:t>e</w:t>
      </w:r>
      <w:r w:rsidR="000B5B3C" w:rsidRPr="0038442F">
        <w:rPr>
          <w:rFonts w:ascii="Verdana" w:hAnsi="Verdana"/>
          <w:i/>
          <w:iCs/>
          <w:sz w:val="20"/>
          <w:szCs w:val="20"/>
          <w:lang w:val="pt-BR"/>
        </w:rPr>
        <w:t xml:space="preserve"> </w:t>
      </w:r>
      <w:r w:rsidR="00C92762" w:rsidRPr="0038442F">
        <w:rPr>
          <w:rFonts w:ascii="Verdana" w:hAnsi="Verdana"/>
          <w:i/>
          <w:iCs/>
          <w:sz w:val="20"/>
          <w:szCs w:val="20"/>
          <w:lang w:val="pt-BR"/>
        </w:rPr>
        <w:t>Direitos</w:t>
      </w:r>
      <w:r w:rsidR="00407242" w:rsidRPr="0038442F">
        <w:rPr>
          <w:rFonts w:ascii="Verdana" w:hAnsi="Verdana"/>
          <w:i/>
          <w:iCs/>
          <w:sz w:val="20"/>
          <w:szCs w:val="20"/>
          <w:lang w:val="pt-BR"/>
        </w:rPr>
        <w:t xml:space="preserve"> </w:t>
      </w:r>
      <w:r w:rsidR="000B5B3C" w:rsidRPr="0038442F">
        <w:rPr>
          <w:rFonts w:ascii="Verdana" w:hAnsi="Verdana"/>
          <w:i/>
          <w:iCs/>
          <w:sz w:val="20"/>
          <w:szCs w:val="20"/>
          <w:lang w:val="pt-BR"/>
        </w:rPr>
        <w:t>Humanos</w:t>
      </w:r>
      <w:r w:rsidR="00F449A6" w:rsidRPr="0038442F">
        <w:rPr>
          <w:rFonts w:ascii="Verdana" w:hAnsi="Verdana"/>
          <w:iCs/>
          <w:sz w:val="20"/>
          <w:szCs w:val="20"/>
          <w:lang w:val="pt-BR"/>
        </w:rPr>
        <w:t xml:space="preserve">, em que definiu a </w:t>
      </w:r>
      <w:r w:rsidR="007E51C4" w:rsidRPr="0038442F">
        <w:rPr>
          <w:rFonts w:ascii="Verdana" w:hAnsi="Verdana"/>
          <w:sz w:val="20"/>
          <w:szCs w:val="20"/>
          <w:lang w:val="pt-BR"/>
        </w:rPr>
        <w:t>pobreza</w:t>
      </w:r>
      <w:r w:rsidR="00E337EC" w:rsidRPr="0038442F">
        <w:rPr>
          <w:rFonts w:ascii="Verdana" w:hAnsi="Verdana"/>
          <w:sz w:val="20"/>
          <w:szCs w:val="20"/>
          <w:lang w:val="pt-BR"/>
        </w:rPr>
        <w:t xml:space="preserve"> e</w:t>
      </w:r>
      <w:r w:rsidR="007E51C4" w:rsidRPr="0038442F">
        <w:rPr>
          <w:rFonts w:ascii="Verdana" w:hAnsi="Verdana"/>
          <w:sz w:val="20"/>
          <w:szCs w:val="20"/>
          <w:lang w:val="pt-BR"/>
        </w:rPr>
        <w:t xml:space="preserve"> a </w:t>
      </w:r>
      <w:r w:rsidR="006A12FD" w:rsidRPr="0038442F">
        <w:rPr>
          <w:rFonts w:ascii="Verdana" w:hAnsi="Verdana"/>
          <w:sz w:val="20"/>
          <w:szCs w:val="20"/>
          <w:lang w:val="pt-BR"/>
        </w:rPr>
        <w:t>considerou</w:t>
      </w:r>
      <w:r w:rsidR="00407242" w:rsidRPr="0038442F">
        <w:rPr>
          <w:rFonts w:ascii="Verdana" w:hAnsi="Verdana"/>
          <w:sz w:val="20"/>
          <w:szCs w:val="20"/>
          <w:lang w:val="pt-BR"/>
        </w:rPr>
        <w:t xml:space="preserve"> </w:t>
      </w:r>
      <w:r w:rsidR="00E352B7" w:rsidRPr="0038442F">
        <w:rPr>
          <w:rFonts w:ascii="Verdana" w:hAnsi="Verdana"/>
          <w:sz w:val="20"/>
          <w:szCs w:val="20"/>
          <w:lang w:val="pt-BR"/>
        </w:rPr>
        <w:t xml:space="preserve">um </w:t>
      </w:r>
      <w:r w:rsidR="007E51C4" w:rsidRPr="0038442F">
        <w:rPr>
          <w:rFonts w:ascii="Verdana" w:hAnsi="Verdana"/>
          <w:sz w:val="20"/>
          <w:szCs w:val="20"/>
          <w:lang w:val="pt-BR"/>
        </w:rPr>
        <w:t xml:space="preserve">problema </w:t>
      </w:r>
      <w:r w:rsidR="006445EE" w:rsidRPr="0038442F">
        <w:rPr>
          <w:rFonts w:ascii="Verdana" w:hAnsi="Verdana"/>
          <w:sz w:val="20"/>
          <w:szCs w:val="20"/>
          <w:lang w:val="pt-BR"/>
        </w:rPr>
        <w:t>estrutural</w:t>
      </w:r>
      <w:r w:rsidR="00407242" w:rsidRPr="0038442F">
        <w:rPr>
          <w:rFonts w:ascii="Verdana" w:hAnsi="Verdana"/>
          <w:sz w:val="20"/>
          <w:szCs w:val="20"/>
          <w:lang w:val="pt-BR"/>
        </w:rPr>
        <w:t xml:space="preserve"> </w:t>
      </w:r>
      <w:r w:rsidR="009E384B" w:rsidRPr="0038442F">
        <w:rPr>
          <w:rFonts w:ascii="Verdana" w:hAnsi="Verdana"/>
          <w:sz w:val="20"/>
          <w:szCs w:val="20"/>
          <w:lang w:val="pt-BR"/>
        </w:rPr>
        <w:t>q</w:t>
      </w:r>
      <w:r w:rsidR="007E51C4" w:rsidRPr="0038442F">
        <w:rPr>
          <w:rFonts w:ascii="Verdana" w:hAnsi="Verdana"/>
          <w:sz w:val="20"/>
          <w:szCs w:val="20"/>
          <w:lang w:val="pt-BR"/>
        </w:rPr>
        <w:t>ue se tradu</w:t>
      </w:r>
      <w:r w:rsidR="00E352B7" w:rsidRPr="0038442F">
        <w:rPr>
          <w:rFonts w:ascii="Verdana" w:hAnsi="Verdana"/>
          <w:sz w:val="20"/>
          <w:szCs w:val="20"/>
          <w:lang w:val="pt-BR"/>
        </w:rPr>
        <w:t>z</w:t>
      </w:r>
      <w:r w:rsidR="007E51C4" w:rsidRPr="0038442F">
        <w:rPr>
          <w:rFonts w:ascii="Verdana" w:hAnsi="Verdana"/>
          <w:sz w:val="20"/>
          <w:szCs w:val="20"/>
          <w:lang w:val="pt-BR"/>
        </w:rPr>
        <w:t xml:space="preserve"> </w:t>
      </w:r>
      <w:r w:rsidR="00E352B7" w:rsidRPr="0038442F">
        <w:rPr>
          <w:rFonts w:ascii="Verdana" w:hAnsi="Verdana"/>
          <w:sz w:val="20"/>
          <w:szCs w:val="20"/>
          <w:lang w:val="pt-BR"/>
        </w:rPr>
        <w:t xml:space="preserve">em </w:t>
      </w:r>
      <w:r w:rsidR="0036488E">
        <w:rPr>
          <w:rFonts w:ascii="Verdana" w:hAnsi="Verdana"/>
          <w:sz w:val="20"/>
          <w:szCs w:val="20"/>
          <w:lang w:val="pt-BR"/>
        </w:rPr>
        <w:t>prejuízos</w:t>
      </w:r>
      <w:r w:rsidR="0036488E" w:rsidRPr="0038442F">
        <w:rPr>
          <w:rFonts w:ascii="Verdana" w:hAnsi="Verdana"/>
          <w:sz w:val="20"/>
          <w:szCs w:val="20"/>
          <w:lang w:val="pt-BR"/>
        </w:rPr>
        <w:t xml:space="preserve"> </w:t>
      </w:r>
      <w:r w:rsidR="00E352B7" w:rsidRPr="0038442F">
        <w:rPr>
          <w:rFonts w:ascii="Verdana" w:hAnsi="Verdana"/>
          <w:sz w:val="20"/>
          <w:szCs w:val="20"/>
          <w:lang w:val="pt-BR"/>
        </w:rPr>
        <w:t xml:space="preserve">ao gozo e </w:t>
      </w:r>
      <w:r w:rsidR="00602FF9" w:rsidRPr="0038442F">
        <w:rPr>
          <w:rFonts w:ascii="Verdana" w:hAnsi="Verdana"/>
          <w:sz w:val="20"/>
          <w:szCs w:val="20"/>
          <w:lang w:val="pt-BR"/>
        </w:rPr>
        <w:t>exercício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direitos </w:t>
      </w:r>
      <w:r w:rsidR="007E51C4" w:rsidRPr="0038442F">
        <w:rPr>
          <w:rFonts w:ascii="Verdana" w:hAnsi="Verdana"/>
          <w:sz w:val="20"/>
          <w:szCs w:val="20"/>
          <w:lang w:val="pt-BR"/>
        </w:rPr>
        <w:t xml:space="preserve">humanos que, </w:t>
      </w:r>
      <w:r w:rsidR="00E352B7" w:rsidRPr="0038442F">
        <w:rPr>
          <w:rFonts w:ascii="Verdana" w:hAnsi="Verdana"/>
          <w:sz w:val="20"/>
          <w:szCs w:val="20"/>
          <w:lang w:val="pt-BR"/>
        </w:rPr>
        <w:t xml:space="preserve">às vezes, </w:t>
      </w:r>
      <w:r w:rsidR="007E51C4" w:rsidRPr="0038442F">
        <w:rPr>
          <w:rFonts w:ascii="Verdana" w:hAnsi="Verdana"/>
          <w:sz w:val="20"/>
          <w:szCs w:val="20"/>
          <w:lang w:val="pt-BR"/>
        </w:rPr>
        <w:t>implica viola</w:t>
      </w:r>
      <w:r w:rsidR="000A1AA8" w:rsidRPr="0038442F">
        <w:rPr>
          <w:rFonts w:ascii="Verdana" w:hAnsi="Verdana"/>
          <w:sz w:val="20"/>
          <w:szCs w:val="20"/>
          <w:lang w:val="pt-BR"/>
        </w:rPr>
        <w:t>ções</w:t>
      </w:r>
      <w:r w:rsidR="007E51C4" w:rsidRPr="0038442F">
        <w:rPr>
          <w:rFonts w:ascii="Verdana" w:hAnsi="Verdana"/>
          <w:sz w:val="20"/>
          <w:szCs w:val="20"/>
          <w:lang w:val="pt-BR"/>
        </w:rPr>
        <w:t xml:space="preserve"> que sup</w:t>
      </w:r>
      <w:r w:rsidR="00E352B7" w:rsidRPr="0038442F">
        <w:rPr>
          <w:rFonts w:ascii="Verdana" w:hAnsi="Verdana"/>
          <w:sz w:val="20"/>
          <w:szCs w:val="20"/>
          <w:lang w:val="pt-BR"/>
        </w:rPr>
        <w:t xml:space="preserve">õem a </w:t>
      </w:r>
      <w:r w:rsidR="00C92762" w:rsidRPr="0038442F">
        <w:rPr>
          <w:rFonts w:ascii="Verdana" w:hAnsi="Verdana"/>
          <w:sz w:val="20"/>
          <w:szCs w:val="20"/>
          <w:lang w:val="pt-BR"/>
        </w:rPr>
        <w:t>responsabilidade</w:t>
      </w:r>
      <w:r w:rsidR="00407242" w:rsidRPr="0038442F">
        <w:rPr>
          <w:rFonts w:ascii="Verdana" w:hAnsi="Verdana"/>
          <w:sz w:val="20"/>
          <w:szCs w:val="20"/>
          <w:lang w:val="pt-BR"/>
        </w:rPr>
        <w:t xml:space="preserve"> </w:t>
      </w:r>
      <w:r w:rsidR="007E51C4" w:rsidRPr="0038442F">
        <w:rPr>
          <w:rFonts w:ascii="Verdana" w:hAnsi="Verdana"/>
          <w:sz w:val="20"/>
          <w:szCs w:val="20"/>
          <w:lang w:val="pt-BR"/>
        </w:rPr>
        <w:t xml:space="preserve">internacional </w:t>
      </w:r>
      <w:r w:rsidR="00BB665E" w:rsidRPr="0038442F">
        <w:rPr>
          <w:rFonts w:ascii="Verdana" w:hAnsi="Verdana"/>
          <w:sz w:val="20"/>
          <w:szCs w:val="20"/>
          <w:lang w:val="pt-BR"/>
        </w:rPr>
        <w:t>do Estado</w:t>
      </w:r>
      <w:r w:rsidR="00E352B7" w:rsidRPr="0038442F">
        <w:rPr>
          <w:rFonts w:ascii="Verdana" w:hAnsi="Verdana"/>
          <w:sz w:val="20"/>
          <w:szCs w:val="20"/>
          <w:lang w:val="pt-BR"/>
        </w:rPr>
        <w:t>.</w:t>
      </w:r>
      <w:r w:rsidR="00BF358B" w:rsidRPr="0038442F">
        <w:rPr>
          <w:rStyle w:val="Refdenotaalpie"/>
          <w:rFonts w:ascii="Verdana" w:hAnsi="Verdana"/>
          <w:sz w:val="20"/>
          <w:szCs w:val="20"/>
          <w:lang w:val="pt-BR"/>
        </w:rPr>
        <w:footnoteReference w:id="102"/>
      </w:r>
      <w:r w:rsidR="007E51C4" w:rsidRPr="0038442F">
        <w:rPr>
          <w:rFonts w:ascii="Verdana" w:hAnsi="Verdana"/>
          <w:sz w:val="20"/>
          <w:szCs w:val="20"/>
          <w:lang w:val="pt-BR"/>
        </w:rPr>
        <w:t xml:space="preserve"> </w:t>
      </w:r>
      <w:r w:rsidR="00AF1663" w:rsidRPr="0038442F">
        <w:rPr>
          <w:rFonts w:ascii="Verdana" w:hAnsi="Verdana"/>
          <w:sz w:val="20"/>
          <w:szCs w:val="20"/>
          <w:lang w:val="pt-BR"/>
        </w:rPr>
        <w:t>També</w:t>
      </w:r>
      <w:r w:rsidR="00E352B7" w:rsidRPr="0038442F">
        <w:rPr>
          <w:rFonts w:ascii="Verdana" w:hAnsi="Verdana"/>
          <w:sz w:val="20"/>
          <w:szCs w:val="20"/>
          <w:lang w:val="pt-BR"/>
        </w:rPr>
        <w:t>m teceu</w:t>
      </w:r>
      <w:r w:rsidR="00AF1663" w:rsidRPr="0038442F">
        <w:rPr>
          <w:rFonts w:ascii="Verdana" w:hAnsi="Verdana"/>
          <w:sz w:val="20"/>
          <w:szCs w:val="20"/>
          <w:lang w:val="pt-BR"/>
        </w:rPr>
        <w:t xml:space="preserve"> importantes considera</w:t>
      </w:r>
      <w:r w:rsidR="000A1AA8" w:rsidRPr="0038442F">
        <w:rPr>
          <w:rFonts w:ascii="Verdana" w:hAnsi="Verdana"/>
          <w:sz w:val="20"/>
          <w:szCs w:val="20"/>
          <w:lang w:val="pt-BR"/>
        </w:rPr>
        <w:t>ções</w:t>
      </w:r>
      <w:r w:rsidR="00AF1663" w:rsidRPr="0038442F">
        <w:rPr>
          <w:rFonts w:ascii="Verdana" w:hAnsi="Verdana"/>
          <w:sz w:val="20"/>
          <w:szCs w:val="20"/>
          <w:lang w:val="pt-BR"/>
        </w:rPr>
        <w:t xml:space="preserve"> sobre </w:t>
      </w:r>
      <w:r w:rsidR="00E352B7" w:rsidRPr="0038442F">
        <w:rPr>
          <w:rFonts w:ascii="Verdana" w:hAnsi="Verdana"/>
          <w:sz w:val="20"/>
          <w:szCs w:val="20"/>
          <w:lang w:val="pt-BR"/>
        </w:rPr>
        <w:t xml:space="preserve">a abordagem </w:t>
      </w:r>
      <w:r w:rsidR="00C92762" w:rsidRPr="0038442F">
        <w:rPr>
          <w:rFonts w:ascii="Verdana" w:hAnsi="Verdana"/>
          <w:sz w:val="20"/>
          <w:szCs w:val="20"/>
          <w:lang w:val="pt-BR"/>
        </w:rPr>
        <w:t xml:space="preserve">da </w:t>
      </w:r>
      <w:r w:rsidR="00AF1663" w:rsidRPr="0038442F">
        <w:rPr>
          <w:rFonts w:ascii="Verdana" w:hAnsi="Verdana"/>
          <w:sz w:val="20"/>
          <w:szCs w:val="20"/>
          <w:lang w:val="pt-BR"/>
        </w:rPr>
        <w:t xml:space="preserve">pobreza </w:t>
      </w:r>
      <w:r w:rsidR="00E337EC" w:rsidRPr="0038442F">
        <w:rPr>
          <w:rFonts w:ascii="Verdana" w:hAnsi="Verdana"/>
          <w:sz w:val="20"/>
          <w:szCs w:val="20"/>
          <w:lang w:val="pt-BR"/>
        </w:rPr>
        <w:t xml:space="preserve">com base na </w:t>
      </w:r>
      <w:r w:rsidR="00AF1663" w:rsidRPr="0038442F">
        <w:rPr>
          <w:rFonts w:ascii="Verdana" w:hAnsi="Verdana"/>
          <w:sz w:val="20"/>
          <w:szCs w:val="20"/>
          <w:lang w:val="pt-BR"/>
        </w:rPr>
        <w:t>proibi</w:t>
      </w:r>
      <w:r w:rsidR="000A1AA8" w:rsidRPr="0038442F">
        <w:rPr>
          <w:rFonts w:ascii="Verdana" w:hAnsi="Verdana"/>
          <w:sz w:val="20"/>
          <w:szCs w:val="20"/>
          <w:lang w:val="pt-BR"/>
        </w:rPr>
        <w:t>ção</w:t>
      </w:r>
      <w:r w:rsidR="00AF1663" w:rsidRPr="0038442F">
        <w:rPr>
          <w:rFonts w:ascii="Verdana" w:hAnsi="Verdana"/>
          <w:sz w:val="20"/>
          <w:szCs w:val="20"/>
          <w:lang w:val="pt-BR"/>
        </w:rPr>
        <w:t xml:space="preserve"> de discrimina</w:t>
      </w:r>
      <w:r w:rsidR="000A1AA8" w:rsidRPr="0038442F">
        <w:rPr>
          <w:rFonts w:ascii="Verdana" w:hAnsi="Verdana"/>
          <w:sz w:val="20"/>
          <w:szCs w:val="20"/>
          <w:lang w:val="pt-BR"/>
        </w:rPr>
        <w:t>ção</w:t>
      </w:r>
      <w:r w:rsidR="00125585" w:rsidRPr="0038442F">
        <w:rPr>
          <w:rFonts w:ascii="Verdana" w:hAnsi="Verdana"/>
          <w:sz w:val="20"/>
          <w:szCs w:val="20"/>
          <w:lang w:val="pt-BR"/>
        </w:rPr>
        <w:t>,</w:t>
      </w:r>
      <w:r w:rsidR="00AF1663" w:rsidRPr="0038442F">
        <w:rPr>
          <w:rFonts w:ascii="Verdana" w:hAnsi="Verdana"/>
          <w:sz w:val="20"/>
          <w:szCs w:val="20"/>
          <w:lang w:val="pt-BR"/>
        </w:rPr>
        <w:t xml:space="preserve"> </w:t>
      </w:r>
      <w:r w:rsidR="00E352B7" w:rsidRPr="0038442F">
        <w:rPr>
          <w:rFonts w:ascii="Verdana" w:hAnsi="Verdana"/>
          <w:sz w:val="20"/>
          <w:szCs w:val="20"/>
          <w:lang w:val="pt-BR"/>
        </w:rPr>
        <w:t xml:space="preserve">decorrente </w:t>
      </w:r>
      <w:r w:rsidR="00C92762" w:rsidRPr="0038442F">
        <w:rPr>
          <w:rFonts w:ascii="Verdana" w:hAnsi="Verdana"/>
          <w:sz w:val="20"/>
          <w:szCs w:val="20"/>
          <w:lang w:val="pt-BR"/>
        </w:rPr>
        <w:t xml:space="preserve">dos </w:t>
      </w:r>
      <w:r w:rsidR="00BC6FC3" w:rsidRPr="0038442F">
        <w:rPr>
          <w:rFonts w:ascii="Verdana" w:hAnsi="Verdana"/>
          <w:sz w:val="20"/>
          <w:szCs w:val="20"/>
          <w:lang w:val="pt-BR"/>
        </w:rPr>
        <w:t>artigos</w:t>
      </w:r>
      <w:r w:rsidR="00407242" w:rsidRPr="0038442F">
        <w:rPr>
          <w:rFonts w:ascii="Verdana" w:hAnsi="Verdana"/>
          <w:sz w:val="20"/>
          <w:szCs w:val="20"/>
          <w:lang w:val="pt-BR"/>
        </w:rPr>
        <w:t xml:space="preserve"> </w:t>
      </w:r>
      <w:r w:rsidR="00AF1663" w:rsidRPr="0038442F">
        <w:rPr>
          <w:rFonts w:ascii="Verdana" w:hAnsi="Verdana"/>
          <w:sz w:val="20"/>
          <w:szCs w:val="20"/>
          <w:lang w:val="pt-BR"/>
        </w:rPr>
        <w:t xml:space="preserve">1.1 </w:t>
      </w:r>
      <w:r w:rsidR="00E352B7" w:rsidRPr="0038442F">
        <w:rPr>
          <w:rFonts w:ascii="Verdana" w:hAnsi="Verdana"/>
          <w:sz w:val="20"/>
          <w:szCs w:val="20"/>
          <w:lang w:val="pt-BR"/>
        </w:rPr>
        <w:t>e</w:t>
      </w:r>
      <w:r w:rsidR="00AF1663" w:rsidRPr="0038442F">
        <w:rPr>
          <w:rFonts w:ascii="Verdana" w:hAnsi="Verdana"/>
          <w:sz w:val="20"/>
          <w:szCs w:val="20"/>
          <w:lang w:val="pt-BR"/>
        </w:rPr>
        <w:t xml:space="preserve"> 24 </w:t>
      </w:r>
      <w:r w:rsidR="00C92762" w:rsidRPr="0038442F">
        <w:rPr>
          <w:rFonts w:ascii="Verdana" w:hAnsi="Verdana"/>
          <w:sz w:val="20"/>
          <w:szCs w:val="20"/>
          <w:lang w:val="pt-BR"/>
        </w:rPr>
        <w:t xml:space="preserve">da </w:t>
      </w:r>
      <w:r w:rsidR="00AF1663" w:rsidRPr="0038442F">
        <w:rPr>
          <w:rFonts w:ascii="Verdana" w:hAnsi="Verdana"/>
          <w:sz w:val="20"/>
          <w:szCs w:val="20"/>
          <w:lang w:val="pt-BR"/>
        </w:rPr>
        <w:t>Conven</w:t>
      </w:r>
      <w:r w:rsidR="000A1AA8" w:rsidRPr="0038442F">
        <w:rPr>
          <w:rFonts w:ascii="Verdana" w:hAnsi="Verdana"/>
          <w:sz w:val="20"/>
          <w:szCs w:val="20"/>
          <w:lang w:val="pt-BR"/>
        </w:rPr>
        <w:t>ção</w:t>
      </w:r>
      <w:r w:rsidR="00AF1663" w:rsidRPr="0038442F">
        <w:rPr>
          <w:rFonts w:ascii="Verdana" w:hAnsi="Verdana"/>
          <w:sz w:val="20"/>
          <w:szCs w:val="20"/>
          <w:lang w:val="pt-BR"/>
        </w:rPr>
        <w:t xml:space="preserve"> Interamericana </w:t>
      </w:r>
      <w:r w:rsidR="00E352B7" w:rsidRPr="0038442F">
        <w:rPr>
          <w:rFonts w:ascii="Verdana" w:hAnsi="Verdana"/>
          <w:sz w:val="20"/>
          <w:szCs w:val="20"/>
          <w:lang w:val="pt-BR"/>
        </w:rPr>
        <w:t xml:space="preserve">e com </w:t>
      </w:r>
      <w:r w:rsidR="00AF1663" w:rsidRPr="0038442F">
        <w:rPr>
          <w:rFonts w:ascii="Verdana" w:hAnsi="Verdana"/>
          <w:sz w:val="20"/>
          <w:szCs w:val="20"/>
          <w:lang w:val="pt-BR"/>
        </w:rPr>
        <w:t xml:space="preserve">especial </w:t>
      </w:r>
      <w:r w:rsidR="00E352B7" w:rsidRPr="0038442F">
        <w:rPr>
          <w:rFonts w:ascii="Verdana" w:hAnsi="Verdana"/>
          <w:sz w:val="20"/>
          <w:szCs w:val="20"/>
          <w:lang w:val="pt-BR"/>
        </w:rPr>
        <w:t>ê</w:t>
      </w:r>
      <w:r w:rsidR="003B53AA" w:rsidRPr="0038442F">
        <w:rPr>
          <w:rFonts w:ascii="Verdana" w:hAnsi="Verdana"/>
          <w:sz w:val="20"/>
          <w:szCs w:val="20"/>
          <w:lang w:val="pt-BR"/>
        </w:rPr>
        <w:t>nfas</w:t>
      </w:r>
      <w:r w:rsidR="00E352B7" w:rsidRPr="0038442F">
        <w:rPr>
          <w:rFonts w:ascii="Verdana" w:hAnsi="Verdana"/>
          <w:sz w:val="20"/>
          <w:szCs w:val="20"/>
          <w:lang w:val="pt-BR"/>
        </w:rPr>
        <w:t>e</w:t>
      </w:r>
      <w:r w:rsidR="00AF1663" w:rsidRPr="0038442F">
        <w:rPr>
          <w:rFonts w:ascii="Verdana" w:hAnsi="Verdana"/>
          <w:sz w:val="20"/>
          <w:szCs w:val="20"/>
          <w:lang w:val="pt-BR"/>
        </w:rPr>
        <w:t xml:space="preserve"> </w:t>
      </w:r>
      <w:r w:rsidR="00E352B7" w:rsidRPr="0038442F">
        <w:rPr>
          <w:rFonts w:ascii="Verdana" w:hAnsi="Verdana"/>
          <w:sz w:val="20"/>
          <w:szCs w:val="20"/>
          <w:lang w:val="pt-BR"/>
        </w:rPr>
        <w:t xml:space="preserve">no </w:t>
      </w:r>
      <w:r w:rsidR="00AF1663" w:rsidRPr="0038442F">
        <w:rPr>
          <w:rFonts w:ascii="Verdana" w:hAnsi="Verdana"/>
          <w:sz w:val="20"/>
          <w:szCs w:val="20"/>
          <w:lang w:val="pt-BR"/>
        </w:rPr>
        <w:t xml:space="preserve">enfoque </w:t>
      </w:r>
      <w:r w:rsidR="006445EE" w:rsidRPr="0038442F">
        <w:rPr>
          <w:rFonts w:ascii="Verdana" w:hAnsi="Verdana"/>
          <w:sz w:val="20"/>
          <w:szCs w:val="20"/>
          <w:lang w:val="pt-BR"/>
        </w:rPr>
        <w:t>intersecional</w:t>
      </w:r>
      <w:r w:rsidR="00E352B7" w:rsidRPr="0038442F">
        <w:rPr>
          <w:rFonts w:ascii="Verdana" w:hAnsi="Verdana"/>
          <w:sz w:val="20"/>
          <w:szCs w:val="20"/>
          <w:lang w:val="pt-BR"/>
        </w:rPr>
        <w:t>.</w:t>
      </w:r>
      <w:r w:rsidR="00ED5CD7" w:rsidRPr="0038442F">
        <w:rPr>
          <w:rStyle w:val="Refdenotaalpie"/>
          <w:rFonts w:ascii="Verdana" w:hAnsi="Verdana"/>
          <w:sz w:val="20"/>
          <w:szCs w:val="20"/>
          <w:lang w:val="pt-BR"/>
        </w:rPr>
        <w:footnoteReference w:id="103"/>
      </w:r>
      <w:r w:rsidR="00AF1663" w:rsidRPr="0038442F">
        <w:rPr>
          <w:rFonts w:ascii="Verdana" w:hAnsi="Verdana"/>
          <w:sz w:val="20"/>
          <w:szCs w:val="20"/>
          <w:lang w:val="pt-BR"/>
        </w:rPr>
        <w:t xml:space="preserve"> </w:t>
      </w:r>
      <w:r w:rsidR="00E352B7" w:rsidRPr="0038442F">
        <w:rPr>
          <w:rFonts w:ascii="Verdana" w:hAnsi="Verdana"/>
          <w:sz w:val="20"/>
          <w:szCs w:val="20"/>
          <w:lang w:val="pt-BR"/>
        </w:rPr>
        <w:t xml:space="preserve">Nesse relatório, </w:t>
      </w:r>
      <w:r w:rsidR="009C265B" w:rsidRPr="0038442F">
        <w:rPr>
          <w:rFonts w:ascii="Verdana" w:hAnsi="Verdana"/>
          <w:sz w:val="20"/>
          <w:szCs w:val="20"/>
          <w:lang w:val="pt-BR"/>
        </w:rPr>
        <w:t xml:space="preserve">a Comissão </w:t>
      </w:r>
      <w:r w:rsidR="009E384B" w:rsidRPr="0038442F">
        <w:rPr>
          <w:rFonts w:ascii="Verdana" w:hAnsi="Verdana"/>
          <w:sz w:val="20"/>
          <w:szCs w:val="20"/>
          <w:lang w:val="pt-BR"/>
        </w:rPr>
        <w:t>Interamericana</w:t>
      </w:r>
      <w:r w:rsidR="00F3439B" w:rsidRPr="0038442F">
        <w:rPr>
          <w:rFonts w:ascii="Verdana" w:hAnsi="Verdana"/>
          <w:sz w:val="20"/>
          <w:szCs w:val="20"/>
          <w:lang w:val="pt-BR"/>
        </w:rPr>
        <w:t xml:space="preserve"> </w:t>
      </w:r>
      <w:r w:rsidR="00E352B7" w:rsidRPr="0038442F">
        <w:rPr>
          <w:rFonts w:ascii="Verdana" w:hAnsi="Verdana"/>
          <w:sz w:val="20"/>
          <w:szCs w:val="20"/>
          <w:lang w:val="pt-BR"/>
        </w:rPr>
        <w:t xml:space="preserve">definiu </w:t>
      </w:r>
      <w:r w:rsidR="00F3439B" w:rsidRPr="0038442F">
        <w:rPr>
          <w:rFonts w:ascii="Verdana" w:hAnsi="Verdana"/>
          <w:sz w:val="20"/>
          <w:szCs w:val="20"/>
          <w:lang w:val="pt-BR"/>
        </w:rPr>
        <w:t>como grupos especialmente vulner</w:t>
      </w:r>
      <w:r w:rsidR="00E352B7" w:rsidRPr="0038442F">
        <w:rPr>
          <w:rFonts w:ascii="Verdana" w:hAnsi="Verdana"/>
          <w:sz w:val="20"/>
          <w:szCs w:val="20"/>
          <w:lang w:val="pt-BR"/>
        </w:rPr>
        <w:t xml:space="preserve">áveis à </w:t>
      </w:r>
      <w:r w:rsidR="00F3439B" w:rsidRPr="0038442F">
        <w:rPr>
          <w:rFonts w:ascii="Verdana" w:hAnsi="Verdana"/>
          <w:sz w:val="20"/>
          <w:szCs w:val="20"/>
          <w:lang w:val="pt-BR"/>
        </w:rPr>
        <w:t xml:space="preserve">pobreza </w:t>
      </w:r>
      <w:r w:rsidR="003B53AA" w:rsidRPr="0038442F">
        <w:rPr>
          <w:rFonts w:ascii="Verdana" w:hAnsi="Verdana"/>
          <w:sz w:val="20"/>
          <w:szCs w:val="20"/>
          <w:lang w:val="pt-BR"/>
        </w:rPr>
        <w:t xml:space="preserve">as </w:t>
      </w:r>
      <w:r w:rsidR="00C92762" w:rsidRPr="0038442F">
        <w:rPr>
          <w:rFonts w:ascii="Verdana" w:hAnsi="Verdana"/>
          <w:sz w:val="20"/>
          <w:szCs w:val="20"/>
          <w:lang w:val="pt-BR"/>
        </w:rPr>
        <w:t>mulheres</w:t>
      </w:r>
      <w:r w:rsidR="00F3439B" w:rsidRPr="0038442F">
        <w:rPr>
          <w:rFonts w:ascii="Verdana" w:hAnsi="Verdana"/>
          <w:sz w:val="20"/>
          <w:szCs w:val="20"/>
          <w:lang w:val="pt-BR"/>
        </w:rPr>
        <w:t xml:space="preserve">, </w:t>
      </w:r>
      <w:r w:rsidR="00E352B7" w:rsidRPr="0038442F">
        <w:rPr>
          <w:rFonts w:ascii="Verdana" w:hAnsi="Verdana"/>
          <w:sz w:val="20"/>
          <w:szCs w:val="20"/>
          <w:lang w:val="pt-BR"/>
        </w:rPr>
        <w:t xml:space="preserve">as crianças e </w:t>
      </w:r>
      <w:r w:rsidR="00F3439B" w:rsidRPr="0038442F">
        <w:rPr>
          <w:rFonts w:ascii="Verdana" w:hAnsi="Verdana"/>
          <w:sz w:val="20"/>
          <w:szCs w:val="20"/>
          <w:lang w:val="pt-BR"/>
        </w:rPr>
        <w:t xml:space="preserve">adolescentes, a </w:t>
      </w:r>
      <w:r w:rsidR="00C76C5C" w:rsidRPr="0038442F">
        <w:rPr>
          <w:rFonts w:ascii="Verdana" w:hAnsi="Verdana"/>
          <w:sz w:val="20"/>
          <w:szCs w:val="20"/>
          <w:lang w:val="pt-BR"/>
        </w:rPr>
        <w:t>população</w:t>
      </w:r>
      <w:r w:rsidR="00407242" w:rsidRPr="0038442F">
        <w:rPr>
          <w:rFonts w:ascii="Verdana" w:hAnsi="Verdana"/>
          <w:sz w:val="20"/>
          <w:szCs w:val="20"/>
          <w:lang w:val="pt-BR"/>
        </w:rPr>
        <w:t xml:space="preserve"> </w:t>
      </w:r>
      <w:r w:rsidR="00F3439B" w:rsidRPr="0038442F">
        <w:rPr>
          <w:rFonts w:ascii="Verdana" w:hAnsi="Verdana"/>
          <w:sz w:val="20"/>
          <w:szCs w:val="20"/>
          <w:lang w:val="pt-BR"/>
        </w:rPr>
        <w:t>indígena (</w:t>
      </w:r>
      <w:r w:rsidR="00E352B7" w:rsidRPr="0038442F">
        <w:rPr>
          <w:rFonts w:ascii="Verdana" w:hAnsi="Verdana"/>
          <w:sz w:val="20"/>
          <w:szCs w:val="20"/>
          <w:lang w:val="pt-BR"/>
        </w:rPr>
        <w:t>e</w:t>
      </w:r>
      <w:r w:rsidR="00F3439B" w:rsidRPr="0038442F">
        <w:rPr>
          <w:rFonts w:ascii="Verdana" w:hAnsi="Verdana"/>
          <w:sz w:val="20"/>
          <w:szCs w:val="20"/>
          <w:lang w:val="pt-BR"/>
        </w:rPr>
        <w:t xml:space="preserve"> tribal), a </w:t>
      </w:r>
      <w:r w:rsidR="00C76C5C" w:rsidRPr="0038442F">
        <w:rPr>
          <w:rFonts w:ascii="Verdana" w:hAnsi="Verdana"/>
          <w:sz w:val="20"/>
          <w:szCs w:val="20"/>
          <w:lang w:val="pt-BR"/>
        </w:rPr>
        <w:t>população</w:t>
      </w:r>
      <w:r w:rsidR="00407242" w:rsidRPr="0038442F">
        <w:rPr>
          <w:rFonts w:ascii="Verdana" w:hAnsi="Verdana"/>
          <w:sz w:val="20"/>
          <w:szCs w:val="20"/>
          <w:lang w:val="pt-BR"/>
        </w:rPr>
        <w:t xml:space="preserve"> </w:t>
      </w:r>
      <w:r w:rsidR="00F3439B" w:rsidRPr="0038442F">
        <w:rPr>
          <w:rFonts w:ascii="Verdana" w:hAnsi="Verdana"/>
          <w:sz w:val="20"/>
          <w:szCs w:val="20"/>
          <w:lang w:val="pt-BR"/>
        </w:rPr>
        <w:t>afrodescendente, a</w:t>
      </w:r>
      <w:r w:rsidR="00E352B7" w:rsidRPr="0038442F">
        <w:rPr>
          <w:rFonts w:ascii="Verdana" w:hAnsi="Verdana"/>
          <w:sz w:val="20"/>
          <w:szCs w:val="20"/>
          <w:lang w:val="pt-BR"/>
        </w:rPr>
        <w:t>s</w:t>
      </w:r>
      <w:r w:rsidR="00F3439B" w:rsidRPr="0038442F">
        <w:rPr>
          <w:rFonts w:ascii="Verdana" w:hAnsi="Verdana"/>
          <w:sz w:val="20"/>
          <w:szCs w:val="20"/>
          <w:lang w:val="pt-BR"/>
        </w:rPr>
        <w:t xml:space="preserve">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F3439B" w:rsidRPr="0038442F">
        <w:rPr>
          <w:rFonts w:ascii="Verdana" w:hAnsi="Verdana"/>
          <w:sz w:val="20"/>
          <w:szCs w:val="20"/>
          <w:lang w:val="pt-BR"/>
        </w:rPr>
        <w:t>migrantes, a</w:t>
      </w:r>
      <w:r w:rsidR="00BF7A10" w:rsidRPr="0038442F">
        <w:rPr>
          <w:rFonts w:ascii="Verdana" w:hAnsi="Verdana"/>
          <w:sz w:val="20"/>
          <w:szCs w:val="20"/>
          <w:lang w:val="pt-BR"/>
        </w:rPr>
        <w:t xml:space="preserve">s pessoas </w:t>
      </w:r>
      <w:r w:rsidR="00F3439B" w:rsidRPr="0038442F">
        <w:rPr>
          <w:rFonts w:ascii="Verdana" w:hAnsi="Verdana"/>
          <w:sz w:val="20"/>
          <w:szCs w:val="20"/>
          <w:lang w:val="pt-BR"/>
        </w:rPr>
        <w:t>privadas de liber</w:t>
      </w:r>
      <w:r w:rsidR="00E352B7" w:rsidRPr="0038442F">
        <w:rPr>
          <w:rFonts w:ascii="Verdana" w:hAnsi="Verdana"/>
          <w:sz w:val="20"/>
          <w:szCs w:val="20"/>
          <w:lang w:val="pt-BR"/>
        </w:rPr>
        <w:t>dade</w:t>
      </w:r>
      <w:r w:rsidR="00F3439B" w:rsidRPr="0038442F">
        <w:rPr>
          <w:rFonts w:ascii="Verdana" w:hAnsi="Verdana"/>
          <w:sz w:val="20"/>
          <w:szCs w:val="20"/>
          <w:lang w:val="pt-BR"/>
        </w:rPr>
        <w:t xml:space="preserve">, </w:t>
      </w:r>
      <w:r w:rsidR="003B308E" w:rsidRPr="0038442F">
        <w:rPr>
          <w:rFonts w:ascii="Verdana" w:hAnsi="Verdana"/>
          <w:sz w:val="20"/>
          <w:szCs w:val="20"/>
          <w:lang w:val="pt-BR"/>
        </w:rPr>
        <w:t>a</w:t>
      </w:r>
      <w:r w:rsidR="00E352B7" w:rsidRPr="0038442F">
        <w:rPr>
          <w:rFonts w:ascii="Verdana" w:hAnsi="Verdana"/>
          <w:sz w:val="20"/>
          <w:szCs w:val="20"/>
          <w:lang w:val="pt-BR"/>
        </w:rPr>
        <w:t>s</w:t>
      </w:r>
      <w:r w:rsidR="003B308E" w:rsidRPr="0038442F">
        <w:rPr>
          <w:rFonts w:ascii="Verdana" w:hAnsi="Verdana"/>
          <w:sz w:val="20"/>
          <w:szCs w:val="20"/>
          <w:lang w:val="pt-BR"/>
        </w:rPr>
        <w:t xml:space="preserve">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E352B7" w:rsidRPr="0038442F">
        <w:rPr>
          <w:rFonts w:ascii="Verdana" w:hAnsi="Verdana"/>
          <w:sz w:val="20"/>
          <w:szCs w:val="20"/>
          <w:lang w:val="pt-BR"/>
        </w:rPr>
        <w:t>com deficiência</w:t>
      </w:r>
      <w:r w:rsidR="00F3439B" w:rsidRPr="0038442F">
        <w:rPr>
          <w:rFonts w:ascii="Verdana" w:hAnsi="Verdana"/>
          <w:sz w:val="20"/>
          <w:szCs w:val="20"/>
          <w:lang w:val="pt-BR"/>
        </w:rPr>
        <w:t>, a</w:t>
      </w:r>
      <w:r w:rsidR="00E352B7" w:rsidRPr="0038442F">
        <w:rPr>
          <w:rFonts w:ascii="Verdana" w:hAnsi="Verdana"/>
          <w:sz w:val="20"/>
          <w:szCs w:val="20"/>
          <w:lang w:val="pt-BR"/>
        </w:rPr>
        <w:t>s</w:t>
      </w:r>
      <w:r w:rsidR="00F3439B" w:rsidRPr="0038442F">
        <w:rPr>
          <w:rFonts w:ascii="Verdana" w:hAnsi="Verdana"/>
          <w:sz w:val="20"/>
          <w:szCs w:val="20"/>
          <w:lang w:val="pt-BR"/>
        </w:rPr>
        <w:t xml:space="preserve">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F3439B" w:rsidRPr="0038442F">
        <w:rPr>
          <w:rFonts w:ascii="Verdana" w:hAnsi="Verdana"/>
          <w:sz w:val="20"/>
          <w:szCs w:val="20"/>
          <w:lang w:val="pt-BR"/>
        </w:rPr>
        <w:t xml:space="preserve">pertencentes </w:t>
      </w:r>
      <w:r w:rsidR="00E352B7" w:rsidRPr="0038442F">
        <w:rPr>
          <w:rFonts w:ascii="Verdana" w:hAnsi="Verdana"/>
          <w:sz w:val="20"/>
          <w:szCs w:val="20"/>
          <w:lang w:val="pt-BR"/>
        </w:rPr>
        <w:t xml:space="preserve">à </w:t>
      </w:r>
      <w:r w:rsidR="00F3439B" w:rsidRPr="0038442F">
        <w:rPr>
          <w:rFonts w:ascii="Verdana" w:hAnsi="Verdana"/>
          <w:sz w:val="20"/>
          <w:szCs w:val="20"/>
          <w:lang w:val="pt-BR"/>
        </w:rPr>
        <w:t>comunidad</w:t>
      </w:r>
      <w:r w:rsidR="00E352B7" w:rsidRPr="0038442F">
        <w:rPr>
          <w:rFonts w:ascii="Verdana" w:hAnsi="Verdana"/>
          <w:sz w:val="20"/>
          <w:szCs w:val="20"/>
          <w:lang w:val="pt-BR"/>
        </w:rPr>
        <w:t>e</w:t>
      </w:r>
      <w:r w:rsidR="00F3439B" w:rsidRPr="0038442F">
        <w:rPr>
          <w:rFonts w:ascii="Verdana" w:hAnsi="Verdana"/>
          <w:sz w:val="20"/>
          <w:szCs w:val="20"/>
          <w:lang w:val="pt-BR"/>
        </w:rPr>
        <w:t xml:space="preserve"> LGBT+ </w:t>
      </w:r>
      <w:r w:rsidR="00E352B7" w:rsidRPr="0038442F">
        <w:rPr>
          <w:rFonts w:ascii="Verdana" w:hAnsi="Verdana"/>
          <w:sz w:val="20"/>
          <w:szCs w:val="20"/>
          <w:lang w:val="pt-BR"/>
        </w:rPr>
        <w:t xml:space="preserve">e as </w:t>
      </w:r>
      <w:r w:rsidR="00BF7A10" w:rsidRPr="0038442F">
        <w:rPr>
          <w:rFonts w:ascii="Verdana" w:hAnsi="Verdana"/>
          <w:sz w:val="20"/>
          <w:szCs w:val="20"/>
          <w:lang w:val="pt-BR"/>
        </w:rPr>
        <w:t xml:space="preserve">pessoas </w:t>
      </w:r>
      <w:r w:rsidR="00E352B7" w:rsidRPr="0038442F">
        <w:rPr>
          <w:rFonts w:ascii="Verdana" w:hAnsi="Verdana"/>
          <w:sz w:val="20"/>
          <w:szCs w:val="20"/>
          <w:lang w:val="pt-BR"/>
        </w:rPr>
        <w:t>idosas.</w:t>
      </w:r>
      <w:r w:rsidR="00F3439B" w:rsidRPr="0038442F">
        <w:rPr>
          <w:rStyle w:val="Refdenotaalpie"/>
          <w:rFonts w:ascii="Verdana" w:hAnsi="Verdana"/>
          <w:sz w:val="20"/>
          <w:szCs w:val="20"/>
          <w:lang w:val="pt-BR"/>
        </w:rPr>
        <w:footnoteReference w:id="104"/>
      </w:r>
      <w:r w:rsidR="00F3439B" w:rsidRPr="0038442F">
        <w:rPr>
          <w:rFonts w:ascii="Verdana" w:hAnsi="Verdana"/>
          <w:sz w:val="20"/>
          <w:szCs w:val="20"/>
          <w:lang w:val="pt-BR"/>
        </w:rPr>
        <w:t xml:space="preserve"> També</w:t>
      </w:r>
      <w:r w:rsidR="00E352B7" w:rsidRPr="0038442F">
        <w:rPr>
          <w:rFonts w:ascii="Verdana" w:hAnsi="Verdana"/>
          <w:sz w:val="20"/>
          <w:szCs w:val="20"/>
          <w:lang w:val="pt-BR"/>
        </w:rPr>
        <w:t xml:space="preserve">m cabe </w:t>
      </w:r>
      <w:r w:rsidR="00F3439B" w:rsidRPr="0038442F">
        <w:rPr>
          <w:rFonts w:ascii="Verdana" w:hAnsi="Verdana"/>
          <w:sz w:val="20"/>
          <w:szCs w:val="20"/>
          <w:lang w:val="pt-BR"/>
        </w:rPr>
        <w:t xml:space="preserve">destacar </w:t>
      </w:r>
      <w:r w:rsidR="00E352B7" w:rsidRPr="0038442F">
        <w:rPr>
          <w:rFonts w:ascii="Verdana" w:hAnsi="Verdana"/>
          <w:sz w:val="20"/>
          <w:szCs w:val="20"/>
          <w:lang w:val="pt-BR"/>
        </w:rPr>
        <w:t>a</w:t>
      </w:r>
      <w:r w:rsidR="00F3439B" w:rsidRPr="0038442F">
        <w:rPr>
          <w:rFonts w:ascii="Verdana" w:hAnsi="Verdana"/>
          <w:sz w:val="20"/>
          <w:szCs w:val="20"/>
          <w:lang w:val="pt-BR"/>
        </w:rPr>
        <w:t xml:space="preserve"> anális</w:t>
      </w:r>
      <w:r w:rsidR="00E352B7" w:rsidRPr="0038442F">
        <w:rPr>
          <w:rFonts w:ascii="Verdana" w:hAnsi="Verdana"/>
          <w:sz w:val="20"/>
          <w:szCs w:val="20"/>
          <w:lang w:val="pt-BR"/>
        </w:rPr>
        <w:t>e</w:t>
      </w:r>
      <w:r w:rsidR="00F3439B" w:rsidRPr="0038442F">
        <w:rPr>
          <w:rFonts w:ascii="Verdana" w:hAnsi="Verdana"/>
          <w:sz w:val="20"/>
          <w:szCs w:val="20"/>
          <w:lang w:val="pt-BR"/>
        </w:rPr>
        <w:t xml:space="preserve"> </w:t>
      </w:r>
      <w:r w:rsidR="00E352B7" w:rsidRPr="0038442F">
        <w:rPr>
          <w:rFonts w:ascii="Verdana" w:hAnsi="Verdana"/>
          <w:sz w:val="20"/>
          <w:szCs w:val="20"/>
          <w:lang w:val="pt-BR"/>
        </w:rPr>
        <w:t xml:space="preserve">referente às </w:t>
      </w:r>
      <w:r w:rsidR="00BB665E" w:rsidRPr="0038442F">
        <w:rPr>
          <w:rFonts w:ascii="Verdana" w:hAnsi="Verdana"/>
          <w:sz w:val="20"/>
          <w:szCs w:val="20"/>
          <w:lang w:val="pt-BR"/>
        </w:rPr>
        <w:t xml:space="preserve">obrigações </w:t>
      </w:r>
      <w:r w:rsidR="00C92762" w:rsidRPr="0038442F">
        <w:rPr>
          <w:rFonts w:ascii="Verdana" w:hAnsi="Verdana"/>
          <w:sz w:val="20"/>
          <w:szCs w:val="20"/>
          <w:lang w:val="pt-BR"/>
        </w:rPr>
        <w:t xml:space="preserve">dos </w:t>
      </w:r>
      <w:r w:rsidR="00F3439B" w:rsidRPr="0038442F">
        <w:rPr>
          <w:rFonts w:ascii="Verdana" w:hAnsi="Verdana"/>
          <w:sz w:val="20"/>
          <w:szCs w:val="20"/>
          <w:lang w:val="pt-BR"/>
        </w:rPr>
        <w:t xml:space="preserve">Estados </w:t>
      </w:r>
      <w:r w:rsidR="00E352B7" w:rsidRPr="0038442F">
        <w:rPr>
          <w:rFonts w:ascii="Verdana" w:hAnsi="Verdana"/>
          <w:sz w:val="20"/>
          <w:szCs w:val="20"/>
          <w:lang w:val="pt-BR"/>
        </w:rPr>
        <w:t xml:space="preserve">a </w:t>
      </w:r>
      <w:r w:rsidR="009D16DD" w:rsidRPr="0038442F">
        <w:rPr>
          <w:rFonts w:ascii="Verdana" w:hAnsi="Verdana"/>
          <w:sz w:val="20"/>
          <w:szCs w:val="20"/>
          <w:lang w:val="pt-BR"/>
        </w:rPr>
        <w:t>respeito</w:t>
      </w:r>
      <w:r w:rsidR="00407242" w:rsidRPr="0038442F">
        <w:rPr>
          <w:rFonts w:ascii="Verdana" w:hAnsi="Verdana"/>
          <w:sz w:val="20"/>
          <w:szCs w:val="20"/>
          <w:lang w:val="pt-BR"/>
        </w:rPr>
        <w:t xml:space="preserve"> </w:t>
      </w:r>
      <w:r w:rsidR="00F3439B" w:rsidRPr="0038442F">
        <w:rPr>
          <w:rFonts w:ascii="Verdana" w:hAnsi="Verdana"/>
          <w:sz w:val="20"/>
          <w:szCs w:val="20"/>
          <w:lang w:val="pt-BR"/>
        </w:rPr>
        <w:t>d</w:t>
      </w:r>
      <w:r w:rsidR="00E352B7" w:rsidRPr="0038442F">
        <w:rPr>
          <w:rFonts w:ascii="Verdana" w:hAnsi="Verdana"/>
          <w:sz w:val="20"/>
          <w:szCs w:val="20"/>
          <w:lang w:val="pt-BR"/>
        </w:rPr>
        <w:t>a a</w:t>
      </w:r>
      <w:r w:rsidR="0036488E">
        <w:rPr>
          <w:rFonts w:ascii="Verdana" w:hAnsi="Verdana"/>
          <w:sz w:val="20"/>
          <w:szCs w:val="20"/>
          <w:lang w:val="pt-BR"/>
        </w:rPr>
        <w:t>tu</w:t>
      </w:r>
      <w:r w:rsidR="00E352B7" w:rsidRPr="0038442F">
        <w:rPr>
          <w:rFonts w:ascii="Verdana" w:hAnsi="Verdana"/>
          <w:sz w:val="20"/>
          <w:szCs w:val="20"/>
          <w:lang w:val="pt-BR"/>
        </w:rPr>
        <w:t xml:space="preserve">ção </w:t>
      </w:r>
      <w:r w:rsidR="00C92762" w:rsidRPr="0038442F">
        <w:rPr>
          <w:rFonts w:ascii="Verdana" w:hAnsi="Verdana"/>
          <w:sz w:val="20"/>
          <w:szCs w:val="20"/>
          <w:lang w:val="pt-BR"/>
        </w:rPr>
        <w:t xml:space="preserve">dos </w:t>
      </w:r>
      <w:r w:rsidR="00F3439B" w:rsidRPr="0038442F">
        <w:rPr>
          <w:rFonts w:ascii="Verdana" w:hAnsi="Verdana"/>
          <w:sz w:val="20"/>
          <w:szCs w:val="20"/>
          <w:lang w:val="pt-BR"/>
        </w:rPr>
        <w:t xml:space="preserve">particulares frente </w:t>
      </w:r>
      <w:r w:rsidR="00E352B7" w:rsidRPr="0038442F">
        <w:rPr>
          <w:rFonts w:ascii="Verdana" w:hAnsi="Verdana"/>
          <w:sz w:val="20"/>
          <w:szCs w:val="20"/>
          <w:lang w:val="pt-BR"/>
        </w:rPr>
        <w:t xml:space="preserve">à </w:t>
      </w:r>
      <w:r w:rsidR="00F3439B" w:rsidRPr="0038442F">
        <w:rPr>
          <w:rFonts w:ascii="Verdana" w:hAnsi="Verdana"/>
          <w:sz w:val="20"/>
          <w:szCs w:val="20"/>
          <w:lang w:val="pt-BR"/>
        </w:rPr>
        <w:t>pobreza</w:t>
      </w:r>
      <w:r w:rsidR="00E352B7" w:rsidRPr="0038442F">
        <w:rPr>
          <w:rFonts w:ascii="Verdana" w:hAnsi="Verdana"/>
          <w:sz w:val="20"/>
          <w:szCs w:val="20"/>
          <w:lang w:val="pt-BR"/>
        </w:rPr>
        <w:t>.</w:t>
      </w:r>
      <w:r w:rsidR="00F3439B" w:rsidRPr="0038442F">
        <w:rPr>
          <w:rStyle w:val="Refdenotaalpie"/>
          <w:rFonts w:ascii="Verdana" w:hAnsi="Verdana"/>
          <w:sz w:val="20"/>
          <w:szCs w:val="20"/>
          <w:lang w:val="pt-BR"/>
        </w:rPr>
        <w:footnoteReference w:id="105"/>
      </w:r>
      <w:r w:rsidR="00F3439B" w:rsidRPr="0038442F">
        <w:rPr>
          <w:rFonts w:ascii="Verdana" w:hAnsi="Verdana"/>
          <w:sz w:val="20"/>
          <w:szCs w:val="20"/>
          <w:lang w:val="pt-BR"/>
        </w:rPr>
        <w:t xml:space="preserve"> </w:t>
      </w:r>
    </w:p>
    <w:p w14:paraId="14416324" w14:textId="77777777" w:rsidR="0045746A" w:rsidRPr="0038442F" w:rsidRDefault="0045746A" w:rsidP="00A857CB">
      <w:pPr>
        <w:rPr>
          <w:rFonts w:ascii="Verdana" w:hAnsi="Verdana"/>
          <w:sz w:val="20"/>
          <w:szCs w:val="20"/>
          <w:lang w:val="pt-BR"/>
        </w:rPr>
      </w:pPr>
    </w:p>
    <w:p w14:paraId="2B850DFB" w14:textId="0A31CB86" w:rsidR="00D867EF" w:rsidRPr="0038442F" w:rsidRDefault="00685AC6" w:rsidP="00685AC6">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62. </w:t>
      </w:r>
      <w:r w:rsidRPr="0038442F">
        <w:rPr>
          <w:rFonts w:ascii="Verdana" w:hAnsi="Verdana" w:cs="Times New Roman"/>
          <w:sz w:val="20"/>
          <w:szCs w:val="20"/>
          <w:lang w:val="pt-BR"/>
        </w:rPr>
        <w:tab/>
      </w:r>
      <w:r w:rsidR="002B1BD7" w:rsidRPr="0038442F">
        <w:rPr>
          <w:rFonts w:ascii="Verdana" w:hAnsi="Verdana" w:cs="Times New Roman"/>
          <w:sz w:val="20"/>
          <w:szCs w:val="20"/>
          <w:lang w:val="pt-BR"/>
        </w:rPr>
        <w:t xml:space="preserve">No </w:t>
      </w:r>
      <w:r w:rsidR="00ED5CD7" w:rsidRPr="0038442F">
        <w:rPr>
          <w:rFonts w:ascii="Verdana" w:hAnsi="Verdana" w:cs="Times New Roman"/>
          <w:sz w:val="20"/>
          <w:szCs w:val="20"/>
          <w:lang w:val="pt-BR"/>
        </w:rPr>
        <w:t xml:space="preserve">caso </w:t>
      </w:r>
      <w:r w:rsidR="00C92762" w:rsidRPr="0038442F">
        <w:rPr>
          <w:rFonts w:ascii="Verdana" w:hAnsi="Verdana" w:cs="Times New Roman"/>
          <w:sz w:val="20"/>
          <w:szCs w:val="20"/>
          <w:lang w:val="pt-BR"/>
        </w:rPr>
        <w:t xml:space="preserve">da </w:t>
      </w:r>
      <w:r w:rsidR="00984A83" w:rsidRPr="0038442F">
        <w:rPr>
          <w:rFonts w:ascii="Verdana" w:hAnsi="Verdana" w:cs="Times New Roman"/>
          <w:sz w:val="20"/>
          <w:szCs w:val="20"/>
          <w:lang w:val="pt-BR"/>
        </w:rPr>
        <w:t>jurisprudência</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ED5CD7" w:rsidRPr="0038442F">
        <w:rPr>
          <w:rFonts w:ascii="Verdana" w:hAnsi="Verdana" w:cs="Times New Roman"/>
          <w:sz w:val="20"/>
          <w:szCs w:val="20"/>
          <w:lang w:val="pt-BR"/>
        </w:rPr>
        <w:t xml:space="preserve">Corte </w:t>
      </w:r>
      <w:r w:rsidR="003B308E" w:rsidRPr="0038442F">
        <w:rPr>
          <w:rFonts w:ascii="Verdana" w:hAnsi="Verdana" w:cs="Times New Roman"/>
          <w:sz w:val="20"/>
          <w:szCs w:val="20"/>
          <w:lang w:val="pt-BR"/>
        </w:rPr>
        <w:t>IDH</w:t>
      </w:r>
      <w:r w:rsidR="00ED5CD7" w:rsidRPr="0038442F">
        <w:rPr>
          <w:rFonts w:ascii="Verdana" w:hAnsi="Verdana" w:cs="Times New Roman"/>
          <w:sz w:val="20"/>
          <w:szCs w:val="20"/>
          <w:lang w:val="pt-BR"/>
        </w:rPr>
        <w:t xml:space="preserve">, </w:t>
      </w:r>
      <w:r w:rsidR="002B1BD7" w:rsidRPr="0038442F">
        <w:rPr>
          <w:rFonts w:ascii="Verdana" w:hAnsi="Verdana" w:cs="Times New Roman"/>
          <w:sz w:val="20"/>
          <w:szCs w:val="20"/>
          <w:lang w:val="pt-BR"/>
        </w:rPr>
        <w:t xml:space="preserve">o primeiro </w:t>
      </w:r>
      <w:r w:rsidR="00ED5CD7" w:rsidRPr="0038442F">
        <w:rPr>
          <w:rFonts w:ascii="Verdana" w:hAnsi="Verdana" w:cs="Times New Roman"/>
          <w:sz w:val="20"/>
          <w:szCs w:val="20"/>
          <w:lang w:val="pt-BR"/>
        </w:rPr>
        <w:t xml:space="preserve">caso imediato </w:t>
      </w:r>
      <w:r w:rsidR="002B1BD7" w:rsidRPr="0038442F">
        <w:rPr>
          <w:rFonts w:ascii="Verdana" w:hAnsi="Verdana" w:cs="Times New Roman"/>
          <w:sz w:val="20"/>
          <w:szCs w:val="20"/>
          <w:lang w:val="pt-BR"/>
        </w:rPr>
        <w:t xml:space="preserve">em que se começa a </w:t>
      </w:r>
      <w:r w:rsidR="00ED5CD7" w:rsidRPr="0038442F">
        <w:rPr>
          <w:rFonts w:ascii="Verdana" w:hAnsi="Verdana" w:cs="Times New Roman"/>
          <w:sz w:val="20"/>
          <w:szCs w:val="20"/>
          <w:lang w:val="pt-BR"/>
        </w:rPr>
        <w:t>consolidar es</w:t>
      </w:r>
      <w:r w:rsidR="002B1BD7" w:rsidRPr="0038442F">
        <w:rPr>
          <w:rFonts w:ascii="Verdana" w:hAnsi="Verdana" w:cs="Times New Roman"/>
          <w:sz w:val="20"/>
          <w:szCs w:val="20"/>
          <w:lang w:val="pt-BR"/>
        </w:rPr>
        <w:t>s</w:t>
      </w:r>
      <w:r w:rsidR="00ED5CD7" w:rsidRPr="0038442F">
        <w:rPr>
          <w:rFonts w:ascii="Verdana" w:hAnsi="Verdana" w:cs="Times New Roman"/>
          <w:sz w:val="20"/>
          <w:szCs w:val="20"/>
          <w:lang w:val="pt-BR"/>
        </w:rPr>
        <w:t xml:space="preserve">e enfoque </w:t>
      </w:r>
      <w:r w:rsidR="002B1BD7" w:rsidRPr="0038442F">
        <w:rPr>
          <w:rFonts w:ascii="Verdana" w:hAnsi="Verdana" w:cs="Times New Roman"/>
          <w:sz w:val="20"/>
          <w:szCs w:val="20"/>
          <w:lang w:val="pt-BR"/>
        </w:rPr>
        <w:t xml:space="preserve">é o </w:t>
      </w:r>
      <w:r w:rsidR="002B1BD7" w:rsidRPr="0038442F">
        <w:rPr>
          <w:rFonts w:ascii="Verdana" w:hAnsi="Verdana" w:cs="Times New Roman"/>
          <w:i/>
          <w:sz w:val="20"/>
          <w:szCs w:val="20"/>
          <w:lang w:val="pt-BR"/>
        </w:rPr>
        <w:t xml:space="preserve">Caso </w:t>
      </w:r>
      <w:r w:rsidR="00ED5CD7" w:rsidRPr="0038442F">
        <w:rPr>
          <w:rFonts w:ascii="Verdana" w:hAnsi="Verdana" w:cs="Times New Roman"/>
          <w:i/>
          <w:iCs/>
          <w:sz w:val="20"/>
          <w:szCs w:val="20"/>
          <w:lang w:val="pt-BR"/>
        </w:rPr>
        <w:t>I.V. Vs. Bol</w:t>
      </w:r>
      <w:r w:rsidR="002B1BD7" w:rsidRPr="0038442F">
        <w:rPr>
          <w:rFonts w:ascii="Verdana" w:hAnsi="Verdana" w:cs="Times New Roman"/>
          <w:i/>
          <w:iCs/>
          <w:sz w:val="20"/>
          <w:szCs w:val="20"/>
          <w:lang w:val="pt-BR"/>
        </w:rPr>
        <w:t>í</w:t>
      </w:r>
      <w:r w:rsidR="00ED5CD7" w:rsidRPr="0038442F">
        <w:rPr>
          <w:rFonts w:ascii="Verdana" w:hAnsi="Verdana" w:cs="Times New Roman"/>
          <w:i/>
          <w:iCs/>
          <w:sz w:val="20"/>
          <w:szCs w:val="20"/>
          <w:lang w:val="pt-BR"/>
        </w:rPr>
        <w:t>via</w:t>
      </w:r>
      <w:r w:rsidR="00ED5CD7" w:rsidRPr="0038442F">
        <w:rPr>
          <w:rFonts w:ascii="Verdana" w:hAnsi="Verdana" w:cs="Times New Roman"/>
          <w:sz w:val="20"/>
          <w:szCs w:val="20"/>
          <w:lang w:val="pt-BR"/>
        </w:rPr>
        <w:t xml:space="preserve"> (2016). </w:t>
      </w:r>
      <w:r w:rsidR="00C92762" w:rsidRPr="0038442F">
        <w:rPr>
          <w:rFonts w:ascii="Verdana" w:hAnsi="Verdana" w:cs="Times New Roman"/>
          <w:sz w:val="20"/>
          <w:szCs w:val="20"/>
          <w:lang w:val="pt-BR"/>
        </w:rPr>
        <w:t>A Corte</w:t>
      </w:r>
      <w:r w:rsidR="00407242" w:rsidRPr="0038442F">
        <w:rPr>
          <w:rFonts w:ascii="Verdana" w:hAnsi="Verdana" w:cs="Times New Roman"/>
          <w:sz w:val="20"/>
          <w:szCs w:val="20"/>
          <w:lang w:val="pt-BR"/>
        </w:rPr>
        <w:t xml:space="preserve"> </w:t>
      </w:r>
      <w:r w:rsidR="00ED5CD7" w:rsidRPr="0038442F">
        <w:rPr>
          <w:rFonts w:ascii="Verdana" w:hAnsi="Verdana" w:cs="Times New Roman"/>
          <w:sz w:val="20"/>
          <w:szCs w:val="20"/>
          <w:lang w:val="pt-BR"/>
        </w:rPr>
        <w:t xml:space="preserve">IDH </w:t>
      </w:r>
      <w:r w:rsidR="0036488E">
        <w:rPr>
          <w:rFonts w:ascii="Verdana" w:hAnsi="Verdana" w:cs="Times New Roman"/>
          <w:sz w:val="20"/>
          <w:szCs w:val="20"/>
          <w:lang w:val="pt-BR"/>
        </w:rPr>
        <w:t>examinou</w:t>
      </w:r>
      <w:r w:rsidR="0036488E" w:rsidRPr="0038442F">
        <w:rPr>
          <w:rFonts w:ascii="Verdana" w:hAnsi="Verdana" w:cs="Times New Roman"/>
          <w:sz w:val="20"/>
          <w:szCs w:val="20"/>
          <w:lang w:val="pt-BR"/>
        </w:rPr>
        <w:t xml:space="preserve"> </w:t>
      </w:r>
      <w:r w:rsidR="002B1BD7" w:rsidRPr="0038442F">
        <w:rPr>
          <w:rFonts w:ascii="Verdana" w:hAnsi="Verdana" w:cs="Times New Roman"/>
          <w:sz w:val="20"/>
          <w:szCs w:val="20"/>
          <w:lang w:val="pt-BR"/>
        </w:rPr>
        <w:t xml:space="preserve">um </w:t>
      </w:r>
      <w:r w:rsidR="00ED5CD7" w:rsidRPr="0038442F">
        <w:rPr>
          <w:rFonts w:ascii="Verdana" w:hAnsi="Verdana" w:cs="Times New Roman"/>
          <w:sz w:val="20"/>
          <w:szCs w:val="20"/>
          <w:lang w:val="pt-BR"/>
        </w:rPr>
        <w:t xml:space="preserve">caso de </w:t>
      </w:r>
      <w:r w:rsidR="002B1BD7" w:rsidRPr="0038442F">
        <w:rPr>
          <w:rFonts w:ascii="Verdana" w:hAnsi="Verdana" w:cs="Times New Roman"/>
          <w:sz w:val="20"/>
          <w:szCs w:val="20"/>
          <w:lang w:val="pt-BR"/>
        </w:rPr>
        <w:t xml:space="preserve">violência contra a mulher em um </w:t>
      </w:r>
      <w:r w:rsidR="00ED5CD7" w:rsidRPr="0038442F">
        <w:rPr>
          <w:rFonts w:ascii="Verdana" w:hAnsi="Verdana" w:cs="Times New Roman"/>
          <w:sz w:val="20"/>
          <w:szCs w:val="20"/>
          <w:lang w:val="pt-BR"/>
        </w:rPr>
        <w:t>contexto de aus</w:t>
      </w:r>
      <w:r w:rsidR="002B1BD7" w:rsidRPr="0038442F">
        <w:rPr>
          <w:rFonts w:ascii="Verdana" w:hAnsi="Verdana" w:cs="Times New Roman"/>
          <w:sz w:val="20"/>
          <w:szCs w:val="20"/>
          <w:lang w:val="pt-BR"/>
        </w:rPr>
        <w:t>ê</w:t>
      </w:r>
      <w:r w:rsidR="00ED5CD7" w:rsidRPr="0038442F">
        <w:rPr>
          <w:rFonts w:ascii="Verdana" w:hAnsi="Verdana" w:cs="Times New Roman"/>
          <w:sz w:val="20"/>
          <w:szCs w:val="20"/>
          <w:lang w:val="pt-BR"/>
        </w:rPr>
        <w:t xml:space="preserve">ncia de consentimento </w:t>
      </w:r>
      <w:r w:rsidR="00602FF9" w:rsidRPr="0038442F">
        <w:rPr>
          <w:rFonts w:ascii="Verdana" w:hAnsi="Verdana" w:cs="Times New Roman"/>
          <w:sz w:val="20"/>
          <w:szCs w:val="20"/>
          <w:lang w:val="pt-BR"/>
        </w:rPr>
        <w:t xml:space="preserve">em matéria </w:t>
      </w:r>
      <w:r w:rsidR="00ED5CD7" w:rsidRPr="0038442F">
        <w:rPr>
          <w:rFonts w:ascii="Verdana" w:hAnsi="Verdana" w:cs="Times New Roman"/>
          <w:sz w:val="20"/>
          <w:szCs w:val="20"/>
          <w:lang w:val="pt-BR"/>
        </w:rPr>
        <w:t xml:space="preserve">de </w:t>
      </w:r>
      <w:r w:rsidR="00751189" w:rsidRPr="0038442F">
        <w:rPr>
          <w:rFonts w:ascii="Verdana" w:hAnsi="Verdana" w:cs="Times New Roman"/>
          <w:sz w:val="20"/>
          <w:szCs w:val="20"/>
          <w:lang w:val="pt-BR"/>
        </w:rPr>
        <w:t>saúde</w:t>
      </w:r>
      <w:r w:rsidR="00407242" w:rsidRPr="0038442F">
        <w:rPr>
          <w:rFonts w:ascii="Verdana" w:hAnsi="Verdana" w:cs="Times New Roman"/>
          <w:sz w:val="20"/>
          <w:szCs w:val="20"/>
          <w:lang w:val="pt-BR"/>
        </w:rPr>
        <w:t xml:space="preserve"> </w:t>
      </w:r>
      <w:r w:rsidR="00ED5CD7" w:rsidRPr="0038442F">
        <w:rPr>
          <w:rFonts w:ascii="Verdana" w:hAnsi="Verdana" w:cs="Times New Roman"/>
          <w:sz w:val="20"/>
          <w:szCs w:val="20"/>
          <w:lang w:val="pt-BR"/>
        </w:rPr>
        <w:t xml:space="preserve">sexual </w:t>
      </w:r>
      <w:r w:rsidR="002B1BD7" w:rsidRPr="0038442F">
        <w:rPr>
          <w:rFonts w:ascii="Verdana" w:hAnsi="Verdana" w:cs="Times New Roman"/>
          <w:sz w:val="20"/>
          <w:szCs w:val="20"/>
          <w:lang w:val="pt-BR"/>
        </w:rPr>
        <w:t>e</w:t>
      </w:r>
      <w:r w:rsidR="00ED5CD7" w:rsidRPr="0038442F">
        <w:rPr>
          <w:rFonts w:ascii="Verdana" w:hAnsi="Verdana" w:cs="Times New Roman"/>
          <w:sz w:val="20"/>
          <w:szCs w:val="20"/>
          <w:lang w:val="pt-BR"/>
        </w:rPr>
        <w:t xml:space="preserve"> reprodutiva</w:t>
      </w:r>
      <w:r w:rsidR="004B6C60" w:rsidRPr="0038442F">
        <w:rPr>
          <w:rFonts w:ascii="Verdana" w:hAnsi="Verdana" w:cs="Times New Roman"/>
          <w:sz w:val="20"/>
          <w:szCs w:val="20"/>
          <w:lang w:val="pt-BR"/>
        </w:rPr>
        <w:t xml:space="preserve">. </w:t>
      </w:r>
      <w:r w:rsidR="002B1BD7" w:rsidRPr="0038442F">
        <w:rPr>
          <w:rFonts w:ascii="Verdana" w:hAnsi="Verdana" w:cs="Times New Roman"/>
          <w:sz w:val="20"/>
          <w:szCs w:val="20"/>
          <w:lang w:val="pt-BR"/>
        </w:rPr>
        <w:t xml:space="preserve">Na </w:t>
      </w:r>
      <w:r w:rsidR="00ED5CD7" w:rsidRPr="0038442F">
        <w:rPr>
          <w:rFonts w:ascii="Verdana" w:hAnsi="Verdana" w:cs="Times New Roman"/>
          <w:sz w:val="20"/>
          <w:szCs w:val="20"/>
          <w:lang w:val="pt-BR"/>
        </w:rPr>
        <w:t>anális</w:t>
      </w:r>
      <w:r w:rsidR="002B1BD7" w:rsidRPr="0038442F">
        <w:rPr>
          <w:rFonts w:ascii="Verdana" w:hAnsi="Verdana" w:cs="Times New Roman"/>
          <w:sz w:val="20"/>
          <w:szCs w:val="20"/>
          <w:lang w:val="pt-BR"/>
        </w:rPr>
        <w:t>e</w:t>
      </w:r>
      <w:r w:rsidR="00ED5CD7" w:rsidRPr="0038442F">
        <w:rPr>
          <w:rFonts w:ascii="Verdana" w:hAnsi="Verdana" w:cs="Times New Roman"/>
          <w:sz w:val="20"/>
          <w:szCs w:val="20"/>
          <w:lang w:val="pt-BR"/>
        </w:rPr>
        <w:t xml:space="preserve"> d</w:t>
      </w:r>
      <w:r w:rsidR="002B1BD7" w:rsidRPr="0038442F">
        <w:rPr>
          <w:rFonts w:ascii="Verdana" w:hAnsi="Verdana" w:cs="Times New Roman"/>
          <w:sz w:val="20"/>
          <w:szCs w:val="20"/>
          <w:lang w:val="pt-BR"/>
        </w:rPr>
        <w:t xml:space="preserve">o </w:t>
      </w:r>
      <w:r w:rsidR="00BB665E" w:rsidRPr="0038442F">
        <w:rPr>
          <w:rFonts w:ascii="Verdana" w:hAnsi="Verdana" w:cs="Times New Roman"/>
          <w:sz w:val="20"/>
          <w:szCs w:val="20"/>
          <w:lang w:val="pt-BR"/>
        </w:rPr>
        <w:t>acesso</w:t>
      </w:r>
      <w:r w:rsidR="00407242" w:rsidRPr="0038442F">
        <w:rPr>
          <w:rFonts w:ascii="Verdana" w:hAnsi="Verdana" w:cs="Times New Roman"/>
          <w:sz w:val="20"/>
          <w:szCs w:val="20"/>
          <w:lang w:val="pt-BR"/>
        </w:rPr>
        <w:t xml:space="preserve"> </w:t>
      </w:r>
      <w:r w:rsidR="002B1BD7" w:rsidRPr="0038442F">
        <w:rPr>
          <w:rFonts w:ascii="Verdana" w:hAnsi="Verdana" w:cs="Times New Roman"/>
          <w:sz w:val="20"/>
          <w:szCs w:val="20"/>
          <w:lang w:val="pt-BR"/>
        </w:rPr>
        <w:t xml:space="preserve">à </w:t>
      </w:r>
      <w:r w:rsidR="006D3B60" w:rsidRPr="0038442F">
        <w:rPr>
          <w:rFonts w:ascii="Verdana" w:hAnsi="Verdana" w:cs="Times New Roman"/>
          <w:sz w:val="20"/>
          <w:szCs w:val="20"/>
          <w:lang w:val="pt-BR"/>
        </w:rPr>
        <w:t>justiça</w:t>
      </w:r>
      <w:r w:rsidR="00407242" w:rsidRPr="0038442F">
        <w:rPr>
          <w:rFonts w:ascii="Verdana" w:hAnsi="Verdana" w:cs="Times New Roman"/>
          <w:sz w:val="20"/>
          <w:szCs w:val="20"/>
          <w:lang w:val="pt-BR"/>
        </w:rPr>
        <w:t xml:space="preserve"> </w:t>
      </w:r>
      <w:r w:rsidR="002B1BD7" w:rsidRPr="0038442F">
        <w:rPr>
          <w:rFonts w:ascii="Verdana" w:hAnsi="Verdana" w:cs="Times New Roman"/>
          <w:sz w:val="20"/>
          <w:szCs w:val="20"/>
          <w:lang w:val="pt-BR"/>
        </w:rPr>
        <w:t xml:space="preserve">considerou que, além de sua </w:t>
      </w:r>
      <w:r w:rsidR="003B53AA" w:rsidRPr="0038442F">
        <w:rPr>
          <w:rFonts w:ascii="Verdana" w:hAnsi="Verdana" w:cs="Times New Roman"/>
          <w:sz w:val="20"/>
          <w:szCs w:val="20"/>
          <w:lang w:val="pt-BR"/>
        </w:rPr>
        <w:t>condi</w:t>
      </w:r>
      <w:r w:rsidR="000A1AA8" w:rsidRPr="0038442F">
        <w:rPr>
          <w:rFonts w:ascii="Verdana" w:hAnsi="Verdana" w:cs="Times New Roman"/>
          <w:sz w:val="20"/>
          <w:szCs w:val="20"/>
          <w:lang w:val="pt-BR"/>
        </w:rPr>
        <w:t>ção</w:t>
      </w:r>
      <w:r w:rsidR="00ED5CD7" w:rsidRPr="0038442F">
        <w:rPr>
          <w:rFonts w:ascii="Verdana" w:hAnsi="Verdana" w:cs="Times New Roman"/>
          <w:sz w:val="20"/>
          <w:szCs w:val="20"/>
          <w:lang w:val="pt-BR"/>
        </w:rPr>
        <w:t xml:space="preserve"> de </w:t>
      </w:r>
      <w:r w:rsidR="002B1BD7" w:rsidRPr="0038442F">
        <w:rPr>
          <w:rFonts w:ascii="Verdana" w:hAnsi="Verdana" w:cs="Times New Roman"/>
          <w:sz w:val="20"/>
          <w:szCs w:val="20"/>
          <w:lang w:val="pt-BR"/>
        </w:rPr>
        <w:t xml:space="preserve">mulher e seu </w:t>
      </w:r>
      <w:r w:rsidR="002B1BD7" w:rsidRPr="0038442F">
        <w:rPr>
          <w:rFonts w:ascii="Verdana" w:hAnsi="Verdana" w:cs="Times New Roman"/>
          <w:i/>
          <w:sz w:val="20"/>
          <w:szCs w:val="20"/>
          <w:lang w:val="pt-BR"/>
        </w:rPr>
        <w:t xml:space="preserve">status </w:t>
      </w:r>
      <w:r w:rsidR="005F1589" w:rsidRPr="0038442F">
        <w:rPr>
          <w:rFonts w:ascii="Verdana" w:hAnsi="Verdana" w:cs="Times New Roman"/>
          <w:sz w:val="20"/>
          <w:szCs w:val="20"/>
          <w:lang w:val="pt-BR"/>
        </w:rPr>
        <w:t xml:space="preserve">de refugiada, </w:t>
      </w:r>
      <w:r w:rsidR="00984A83" w:rsidRPr="0038442F">
        <w:rPr>
          <w:rFonts w:ascii="Verdana" w:hAnsi="Verdana" w:cs="Times New Roman"/>
          <w:sz w:val="20"/>
          <w:szCs w:val="20"/>
          <w:lang w:val="pt-BR"/>
        </w:rPr>
        <w:t>outro</w:t>
      </w:r>
      <w:r w:rsidR="00407242" w:rsidRPr="0038442F">
        <w:rPr>
          <w:rFonts w:ascii="Verdana" w:hAnsi="Verdana" w:cs="Times New Roman"/>
          <w:sz w:val="20"/>
          <w:szCs w:val="20"/>
          <w:lang w:val="pt-BR"/>
        </w:rPr>
        <w:t xml:space="preserve"> </w:t>
      </w:r>
      <w:r w:rsidR="005F1589" w:rsidRPr="0038442F">
        <w:rPr>
          <w:rFonts w:ascii="Verdana" w:hAnsi="Verdana" w:cs="Times New Roman"/>
          <w:sz w:val="20"/>
          <w:szCs w:val="20"/>
          <w:lang w:val="pt-BR"/>
        </w:rPr>
        <w:t xml:space="preserve">fator determinante </w:t>
      </w:r>
      <w:r w:rsidR="00E1399E" w:rsidRPr="0038442F">
        <w:rPr>
          <w:rFonts w:ascii="Verdana" w:hAnsi="Verdana" w:cs="Times New Roman"/>
          <w:sz w:val="20"/>
          <w:szCs w:val="20"/>
          <w:lang w:val="pt-BR"/>
        </w:rPr>
        <w:t xml:space="preserve">foi </w:t>
      </w:r>
      <w:r w:rsidR="005F1589" w:rsidRPr="0038442F">
        <w:rPr>
          <w:rFonts w:ascii="Verdana" w:hAnsi="Verdana" w:cs="Times New Roman"/>
          <w:sz w:val="20"/>
          <w:szCs w:val="20"/>
          <w:lang w:val="pt-BR"/>
        </w:rPr>
        <w:t>a “posi</w:t>
      </w:r>
      <w:r w:rsidR="000A1AA8" w:rsidRPr="0038442F">
        <w:rPr>
          <w:rFonts w:ascii="Verdana" w:hAnsi="Verdana" w:cs="Times New Roman"/>
          <w:sz w:val="20"/>
          <w:szCs w:val="20"/>
          <w:lang w:val="pt-BR"/>
        </w:rPr>
        <w:t>ção</w:t>
      </w:r>
      <w:r w:rsidR="005F1589" w:rsidRPr="0038442F">
        <w:rPr>
          <w:rFonts w:ascii="Verdana" w:hAnsi="Verdana" w:cs="Times New Roman"/>
          <w:sz w:val="20"/>
          <w:szCs w:val="20"/>
          <w:lang w:val="pt-BR"/>
        </w:rPr>
        <w:t xml:space="preserve"> </w:t>
      </w:r>
      <w:r w:rsidR="006445EE" w:rsidRPr="0038442F">
        <w:rPr>
          <w:rFonts w:ascii="Verdana" w:hAnsi="Verdana" w:cs="Times New Roman"/>
          <w:sz w:val="20"/>
          <w:szCs w:val="20"/>
          <w:lang w:val="pt-BR"/>
        </w:rPr>
        <w:t>econômica</w:t>
      </w:r>
      <w:r w:rsidR="005F1589"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5F1589" w:rsidRPr="0038442F">
        <w:rPr>
          <w:rFonts w:ascii="Verdana" w:hAnsi="Verdana" w:cs="Times New Roman"/>
          <w:sz w:val="20"/>
          <w:szCs w:val="20"/>
          <w:lang w:val="pt-BR"/>
        </w:rPr>
        <w:t>vítima</w:t>
      </w:r>
      <w:r w:rsidR="0076170C" w:rsidRPr="0038442F">
        <w:rPr>
          <w:rFonts w:ascii="Verdana" w:hAnsi="Verdana" w:cs="Times New Roman"/>
          <w:sz w:val="20"/>
          <w:szCs w:val="20"/>
          <w:lang w:val="pt-BR"/>
        </w:rPr>
        <w:t xml:space="preserve">, </w:t>
      </w:r>
      <w:r w:rsidR="00E1399E" w:rsidRPr="0038442F">
        <w:rPr>
          <w:rFonts w:ascii="Verdana" w:hAnsi="Verdana" w:cs="Times New Roman"/>
          <w:sz w:val="20"/>
          <w:szCs w:val="20"/>
          <w:lang w:val="pt-BR"/>
        </w:rPr>
        <w:t xml:space="preserve">pois as mudanças </w:t>
      </w:r>
      <w:r w:rsidR="005F1589" w:rsidRPr="0038442F">
        <w:rPr>
          <w:rFonts w:ascii="Verdana" w:hAnsi="Verdana"/>
          <w:sz w:val="20"/>
          <w:szCs w:val="20"/>
          <w:lang w:val="pt-BR"/>
        </w:rPr>
        <w:t xml:space="preserve">de </w:t>
      </w:r>
      <w:r w:rsidR="00984A83" w:rsidRPr="0038442F">
        <w:rPr>
          <w:rFonts w:ascii="Verdana" w:hAnsi="Verdana"/>
          <w:sz w:val="20"/>
          <w:szCs w:val="20"/>
          <w:lang w:val="pt-BR"/>
        </w:rPr>
        <w:t xml:space="preserve">jurisdição </w:t>
      </w:r>
      <w:r w:rsidR="005F1589" w:rsidRPr="0038442F">
        <w:rPr>
          <w:rFonts w:ascii="Verdana" w:hAnsi="Verdana"/>
          <w:sz w:val="20"/>
          <w:szCs w:val="20"/>
          <w:lang w:val="pt-BR"/>
        </w:rPr>
        <w:t xml:space="preserve">para a </w:t>
      </w:r>
      <w:r w:rsidR="00E1399E" w:rsidRPr="0038442F">
        <w:rPr>
          <w:rFonts w:ascii="Verdana" w:hAnsi="Verdana"/>
          <w:sz w:val="20"/>
          <w:szCs w:val="20"/>
          <w:lang w:val="pt-BR"/>
        </w:rPr>
        <w:t>sede</w:t>
      </w:r>
      <w:r w:rsidR="005F1589"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E1399E" w:rsidRPr="0038442F">
        <w:rPr>
          <w:rFonts w:ascii="Verdana" w:hAnsi="Verdana"/>
          <w:sz w:val="20"/>
          <w:szCs w:val="20"/>
          <w:lang w:val="pt-BR"/>
        </w:rPr>
        <w:t xml:space="preserve">julgamentos </w:t>
      </w:r>
      <w:r w:rsidR="005F1589" w:rsidRPr="0038442F">
        <w:rPr>
          <w:rFonts w:ascii="Verdana" w:hAnsi="Verdana"/>
          <w:sz w:val="20"/>
          <w:szCs w:val="20"/>
          <w:lang w:val="pt-BR"/>
        </w:rPr>
        <w:t>pen</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E1399E" w:rsidRPr="0038442F">
        <w:rPr>
          <w:rFonts w:ascii="Verdana" w:hAnsi="Verdana"/>
          <w:sz w:val="20"/>
          <w:szCs w:val="20"/>
          <w:lang w:val="pt-BR"/>
        </w:rPr>
        <w:t xml:space="preserve">fizeram com que se apresentasse um </w:t>
      </w:r>
      <w:r w:rsidR="00BD5186" w:rsidRPr="0038442F">
        <w:rPr>
          <w:rFonts w:ascii="Verdana" w:hAnsi="Verdana"/>
          <w:sz w:val="20"/>
          <w:szCs w:val="20"/>
          <w:lang w:val="pt-BR"/>
        </w:rPr>
        <w:t>obstáculo</w:t>
      </w:r>
      <w:r w:rsidR="005F1589" w:rsidRPr="0038442F">
        <w:rPr>
          <w:rFonts w:ascii="Verdana" w:hAnsi="Verdana"/>
          <w:sz w:val="20"/>
          <w:szCs w:val="20"/>
          <w:lang w:val="pt-BR"/>
        </w:rPr>
        <w:t xml:space="preserve"> </w:t>
      </w:r>
      <w:r w:rsidR="00BD5186" w:rsidRPr="0038442F">
        <w:rPr>
          <w:rFonts w:ascii="Verdana" w:hAnsi="Verdana"/>
          <w:sz w:val="20"/>
          <w:szCs w:val="20"/>
          <w:lang w:val="pt-BR"/>
        </w:rPr>
        <w:t>geográfico</w:t>
      </w:r>
      <w:r w:rsidR="005F1589"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5F1589" w:rsidRPr="0038442F">
        <w:rPr>
          <w:rFonts w:ascii="Verdana" w:hAnsi="Verdana"/>
          <w:sz w:val="20"/>
          <w:szCs w:val="20"/>
          <w:lang w:val="pt-BR"/>
        </w:rPr>
        <w:t>aces</w:t>
      </w:r>
      <w:r w:rsidR="00E1399E" w:rsidRPr="0038442F">
        <w:rPr>
          <w:rFonts w:ascii="Verdana" w:hAnsi="Verdana"/>
          <w:sz w:val="20"/>
          <w:szCs w:val="20"/>
          <w:lang w:val="pt-BR"/>
        </w:rPr>
        <w:t>s</w:t>
      </w:r>
      <w:r w:rsidR="005F1589" w:rsidRPr="0038442F">
        <w:rPr>
          <w:rFonts w:ascii="Verdana" w:hAnsi="Verdana"/>
          <w:sz w:val="20"/>
          <w:szCs w:val="20"/>
          <w:lang w:val="pt-BR"/>
        </w:rPr>
        <w:t>ibilidad</w:t>
      </w:r>
      <w:r w:rsidR="00E1399E" w:rsidRPr="0038442F">
        <w:rPr>
          <w:rFonts w:ascii="Verdana" w:hAnsi="Verdana"/>
          <w:sz w:val="20"/>
          <w:szCs w:val="20"/>
          <w:lang w:val="pt-BR"/>
        </w:rPr>
        <w:t>e</w:t>
      </w:r>
      <w:r w:rsidR="005F1589" w:rsidRPr="0038442F">
        <w:rPr>
          <w:rFonts w:ascii="Verdana" w:hAnsi="Verdana"/>
          <w:sz w:val="20"/>
          <w:szCs w:val="20"/>
          <w:lang w:val="pt-BR"/>
        </w:rPr>
        <w:t xml:space="preserve"> </w:t>
      </w:r>
      <w:r w:rsidR="00E1399E" w:rsidRPr="0038442F">
        <w:rPr>
          <w:rFonts w:ascii="Verdana" w:hAnsi="Verdana"/>
          <w:sz w:val="20"/>
          <w:szCs w:val="20"/>
          <w:lang w:val="pt-BR"/>
        </w:rPr>
        <w:t xml:space="preserve">ao </w:t>
      </w:r>
      <w:r w:rsidR="005F1589" w:rsidRPr="0038442F">
        <w:rPr>
          <w:rFonts w:ascii="Verdana" w:hAnsi="Verdana"/>
          <w:sz w:val="20"/>
          <w:szCs w:val="20"/>
          <w:lang w:val="pt-BR"/>
        </w:rPr>
        <w:t xml:space="preserve">tribunal. </w:t>
      </w:r>
      <w:r w:rsidR="00E1399E" w:rsidRPr="0038442F">
        <w:rPr>
          <w:rFonts w:ascii="Verdana" w:hAnsi="Verdana"/>
          <w:sz w:val="20"/>
          <w:szCs w:val="20"/>
          <w:lang w:val="pt-BR"/>
        </w:rPr>
        <w:t xml:space="preserve">Isso implicou o </w:t>
      </w:r>
      <w:r w:rsidR="005F1589" w:rsidRPr="0038442F">
        <w:rPr>
          <w:rFonts w:ascii="Verdana" w:hAnsi="Verdana"/>
          <w:sz w:val="20"/>
          <w:szCs w:val="20"/>
          <w:lang w:val="pt-BR"/>
        </w:rPr>
        <w:t>elevado c</w:t>
      </w:r>
      <w:r w:rsidR="00E1399E" w:rsidRPr="0038442F">
        <w:rPr>
          <w:rFonts w:ascii="Verdana" w:hAnsi="Verdana"/>
          <w:sz w:val="20"/>
          <w:szCs w:val="20"/>
          <w:lang w:val="pt-BR"/>
        </w:rPr>
        <w:t>u</w:t>
      </w:r>
      <w:r w:rsidR="005F1589" w:rsidRPr="0038442F">
        <w:rPr>
          <w:rFonts w:ascii="Verdana" w:hAnsi="Verdana"/>
          <w:sz w:val="20"/>
          <w:szCs w:val="20"/>
          <w:lang w:val="pt-BR"/>
        </w:rPr>
        <w:t>sto socioecon</w:t>
      </w:r>
      <w:r w:rsidR="00E1399E" w:rsidRPr="0038442F">
        <w:rPr>
          <w:rFonts w:ascii="Verdana" w:hAnsi="Verdana"/>
          <w:sz w:val="20"/>
          <w:szCs w:val="20"/>
          <w:lang w:val="pt-BR"/>
        </w:rPr>
        <w:t>ô</w:t>
      </w:r>
      <w:r w:rsidR="005F1589" w:rsidRPr="0038442F">
        <w:rPr>
          <w:rFonts w:ascii="Verdana" w:hAnsi="Verdana"/>
          <w:sz w:val="20"/>
          <w:szCs w:val="20"/>
          <w:lang w:val="pt-BR"/>
        </w:rPr>
        <w:t xml:space="preserve">mico de ter </w:t>
      </w:r>
      <w:r w:rsidR="00E1399E" w:rsidRPr="0038442F">
        <w:rPr>
          <w:rFonts w:ascii="Verdana" w:hAnsi="Verdana"/>
          <w:sz w:val="20"/>
          <w:szCs w:val="20"/>
          <w:lang w:val="pt-BR"/>
        </w:rPr>
        <w:t xml:space="preserve">de </w:t>
      </w:r>
      <w:r w:rsidR="00E337EC" w:rsidRPr="0038442F">
        <w:rPr>
          <w:rFonts w:ascii="Verdana" w:hAnsi="Verdana"/>
          <w:sz w:val="20"/>
          <w:szCs w:val="20"/>
          <w:lang w:val="pt-BR"/>
        </w:rPr>
        <w:t xml:space="preserve">se </w:t>
      </w:r>
      <w:r w:rsidR="005F1589" w:rsidRPr="0038442F">
        <w:rPr>
          <w:rFonts w:ascii="Verdana" w:hAnsi="Verdana"/>
          <w:sz w:val="20"/>
          <w:szCs w:val="20"/>
          <w:lang w:val="pt-BR"/>
        </w:rPr>
        <w:t xml:space="preserve">trasladar a </w:t>
      </w:r>
      <w:r w:rsidR="00C92762" w:rsidRPr="0038442F">
        <w:rPr>
          <w:rFonts w:ascii="Verdana" w:hAnsi="Verdana"/>
          <w:sz w:val="20"/>
          <w:szCs w:val="20"/>
          <w:lang w:val="pt-BR"/>
        </w:rPr>
        <w:t xml:space="preserve">uma </w:t>
      </w:r>
      <w:r w:rsidR="001845F6" w:rsidRPr="0038442F">
        <w:rPr>
          <w:rFonts w:ascii="Verdana" w:hAnsi="Verdana"/>
          <w:sz w:val="20"/>
          <w:szCs w:val="20"/>
          <w:lang w:val="pt-BR"/>
        </w:rPr>
        <w:t xml:space="preserve">longa </w:t>
      </w:r>
      <w:r w:rsidR="005F1589" w:rsidRPr="0038442F">
        <w:rPr>
          <w:rFonts w:ascii="Verdana" w:hAnsi="Verdana"/>
          <w:sz w:val="20"/>
          <w:szCs w:val="20"/>
          <w:lang w:val="pt-BR"/>
        </w:rPr>
        <w:t>dist</w:t>
      </w:r>
      <w:r w:rsidR="00E1399E" w:rsidRPr="0038442F">
        <w:rPr>
          <w:rFonts w:ascii="Verdana" w:hAnsi="Verdana"/>
          <w:sz w:val="20"/>
          <w:szCs w:val="20"/>
          <w:lang w:val="pt-BR"/>
        </w:rPr>
        <w:t>â</w:t>
      </w:r>
      <w:r w:rsidR="005F1589" w:rsidRPr="0038442F">
        <w:rPr>
          <w:rFonts w:ascii="Verdana" w:hAnsi="Verdana"/>
          <w:sz w:val="20"/>
          <w:szCs w:val="20"/>
          <w:lang w:val="pt-BR"/>
        </w:rPr>
        <w:t xml:space="preserve">ncia, </w:t>
      </w:r>
      <w:r w:rsidR="00E1399E" w:rsidRPr="0038442F">
        <w:rPr>
          <w:rFonts w:ascii="Verdana" w:hAnsi="Verdana"/>
          <w:sz w:val="20"/>
          <w:szCs w:val="20"/>
          <w:lang w:val="pt-BR"/>
        </w:rPr>
        <w:t xml:space="preserve">chegando a ter de viajar um trajeto </w:t>
      </w:r>
      <w:r w:rsidR="005F1589" w:rsidRPr="0038442F">
        <w:rPr>
          <w:rFonts w:ascii="Verdana" w:hAnsi="Verdana"/>
          <w:sz w:val="20"/>
          <w:szCs w:val="20"/>
          <w:lang w:val="pt-BR"/>
        </w:rPr>
        <w:t xml:space="preserve">de aproximadamente 255 km </w:t>
      </w:r>
      <w:r w:rsidR="00E1399E" w:rsidRPr="0038442F">
        <w:rPr>
          <w:rFonts w:ascii="Verdana" w:hAnsi="Verdana"/>
          <w:sz w:val="20"/>
          <w:szCs w:val="20"/>
          <w:lang w:val="pt-BR"/>
        </w:rPr>
        <w:t>e</w:t>
      </w:r>
      <w:r w:rsidR="005F1589" w:rsidRPr="0038442F">
        <w:rPr>
          <w:rFonts w:ascii="Verdana" w:hAnsi="Verdana"/>
          <w:sz w:val="20"/>
          <w:szCs w:val="20"/>
          <w:lang w:val="pt-BR"/>
        </w:rPr>
        <w:t xml:space="preserve"> </w:t>
      </w:r>
      <w:r w:rsidR="00E1399E" w:rsidRPr="0038442F">
        <w:rPr>
          <w:rFonts w:ascii="Verdana" w:hAnsi="Verdana"/>
          <w:sz w:val="20"/>
          <w:szCs w:val="20"/>
          <w:lang w:val="pt-BR"/>
        </w:rPr>
        <w:t xml:space="preserve">financiar a viagem, a hospedagem e outros custos do </w:t>
      </w:r>
      <w:r w:rsidR="005F1589" w:rsidRPr="0038442F">
        <w:rPr>
          <w:rFonts w:ascii="Verdana" w:hAnsi="Verdana"/>
          <w:sz w:val="20"/>
          <w:szCs w:val="20"/>
          <w:lang w:val="pt-BR"/>
        </w:rPr>
        <w:t xml:space="preserve">traslado </w:t>
      </w:r>
      <w:r w:rsidR="005135E5" w:rsidRPr="0038442F">
        <w:rPr>
          <w:rFonts w:ascii="Verdana" w:hAnsi="Verdana"/>
          <w:sz w:val="20"/>
          <w:szCs w:val="20"/>
          <w:lang w:val="pt-BR"/>
        </w:rPr>
        <w:t xml:space="preserve">não só </w:t>
      </w:r>
      <w:r w:rsidR="005F1589" w:rsidRPr="0038442F">
        <w:rPr>
          <w:rFonts w:ascii="Verdana" w:hAnsi="Verdana"/>
          <w:sz w:val="20"/>
          <w:szCs w:val="20"/>
          <w:lang w:val="pt-BR"/>
        </w:rPr>
        <w:t>de</w:t>
      </w:r>
      <w:r w:rsidR="00E1399E" w:rsidRPr="0038442F">
        <w:rPr>
          <w:rFonts w:ascii="Verdana" w:hAnsi="Verdana"/>
          <w:sz w:val="20"/>
          <w:szCs w:val="20"/>
          <w:lang w:val="pt-BR"/>
        </w:rPr>
        <w:t xml:space="preserve">la mesma, mas </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C92762" w:rsidRPr="0038442F">
        <w:rPr>
          <w:rFonts w:ascii="Verdana" w:hAnsi="Verdana"/>
          <w:sz w:val="20"/>
          <w:szCs w:val="20"/>
          <w:lang w:val="pt-BR"/>
        </w:rPr>
        <w:t>d</w:t>
      </w:r>
      <w:r w:rsidR="00E1399E" w:rsidRPr="0038442F">
        <w:rPr>
          <w:rFonts w:ascii="Verdana" w:hAnsi="Verdana"/>
          <w:sz w:val="20"/>
          <w:szCs w:val="20"/>
          <w:lang w:val="pt-BR"/>
        </w:rPr>
        <w:t>a</w:t>
      </w:r>
      <w:r w:rsidR="00C92762" w:rsidRPr="0038442F">
        <w:rPr>
          <w:rFonts w:ascii="Verdana" w:hAnsi="Verdana"/>
          <w:sz w:val="20"/>
          <w:szCs w:val="20"/>
          <w:lang w:val="pt-BR"/>
        </w:rPr>
        <w:t xml:space="preserve">s </w:t>
      </w:r>
      <w:r w:rsidR="00E1399E" w:rsidRPr="0038442F">
        <w:rPr>
          <w:rFonts w:ascii="Verdana" w:hAnsi="Verdana"/>
          <w:sz w:val="20"/>
          <w:szCs w:val="20"/>
          <w:lang w:val="pt-BR"/>
        </w:rPr>
        <w:t>testemunhas</w:t>
      </w:r>
      <w:r w:rsidR="005F1589" w:rsidRPr="0038442F">
        <w:rPr>
          <w:rFonts w:ascii="Verdana" w:hAnsi="Verdana"/>
          <w:sz w:val="20"/>
          <w:szCs w:val="20"/>
          <w:lang w:val="pt-BR"/>
        </w:rPr>
        <w:t xml:space="preserve">, o </w:t>
      </w:r>
      <w:r w:rsidR="003B374E" w:rsidRPr="0038442F">
        <w:rPr>
          <w:rFonts w:ascii="Verdana" w:hAnsi="Verdana"/>
          <w:sz w:val="20"/>
          <w:szCs w:val="20"/>
          <w:lang w:val="pt-BR"/>
        </w:rPr>
        <w:t>qu</w:t>
      </w:r>
      <w:r w:rsidR="00E1399E" w:rsidRPr="0038442F">
        <w:rPr>
          <w:rFonts w:ascii="Verdana" w:hAnsi="Verdana"/>
          <w:sz w:val="20"/>
          <w:szCs w:val="20"/>
          <w:lang w:val="pt-BR"/>
        </w:rPr>
        <w:t>e</w:t>
      </w:r>
      <w:r w:rsidR="00407242" w:rsidRPr="0038442F">
        <w:rPr>
          <w:rFonts w:ascii="Verdana" w:hAnsi="Verdana"/>
          <w:sz w:val="20"/>
          <w:szCs w:val="20"/>
          <w:lang w:val="pt-BR"/>
        </w:rPr>
        <w:t xml:space="preserve"> </w:t>
      </w:r>
      <w:r w:rsidR="005F1589" w:rsidRPr="0038442F">
        <w:rPr>
          <w:rFonts w:ascii="Verdana" w:hAnsi="Verdana"/>
          <w:sz w:val="20"/>
          <w:szCs w:val="20"/>
          <w:lang w:val="pt-BR"/>
        </w:rPr>
        <w:t xml:space="preserve">evidentemente </w:t>
      </w:r>
      <w:r w:rsidR="00E1399E" w:rsidRPr="0038442F">
        <w:rPr>
          <w:rFonts w:ascii="Verdana" w:hAnsi="Verdana"/>
          <w:sz w:val="20"/>
          <w:szCs w:val="20"/>
          <w:lang w:val="pt-BR"/>
        </w:rPr>
        <w:t xml:space="preserve">implicou um prejuízo </w:t>
      </w:r>
      <w:r w:rsidR="005F1589" w:rsidRPr="0038442F">
        <w:rPr>
          <w:rFonts w:ascii="Verdana" w:hAnsi="Verdana"/>
          <w:sz w:val="20"/>
          <w:szCs w:val="20"/>
          <w:lang w:val="pt-BR"/>
        </w:rPr>
        <w:t xml:space="preserve">de </w:t>
      </w:r>
      <w:r w:rsidR="00E1399E" w:rsidRPr="0038442F">
        <w:rPr>
          <w:rFonts w:ascii="Verdana" w:hAnsi="Verdana"/>
          <w:sz w:val="20"/>
          <w:szCs w:val="20"/>
          <w:lang w:val="pt-BR"/>
        </w:rPr>
        <w:t xml:space="preserve">fato </w:t>
      </w:r>
      <w:r w:rsidR="005F1589" w:rsidRPr="0038442F">
        <w:rPr>
          <w:rFonts w:ascii="Verdana" w:hAnsi="Verdana"/>
          <w:sz w:val="20"/>
          <w:szCs w:val="20"/>
          <w:lang w:val="pt-BR"/>
        </w:rPr>
        <w:t xml:space="preserve">injustificado </w:t>
      </w:r>
      <w:r w:rsidR="00E1399E" w:rsidRPr="0038442F">
        <w:rPr>
          <w:rFonts w:ascii="Verdana" w:hAnsi="Verdana"/>
          <w:sz w:val="20"/>
          <w:szCs w:val="20"/>
          <w:lang w:val="pt-BR"/>
        </w:rPr>
        <w:t xml:space="preserve">em seu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5F1589" w:rsidRPr="0038442F">
        <w:rPr>
          <w:rFonts w:ascii="Verdana" w:hAnsi="Verdana"/>
          <w:sz w:val="20"/>
          <w:szCs w:val="20"/>
          <w:lang w:val="pt-BR"/>
        </w:rPr>
        <w:t>de ace</w:t>
      </w:r>
      <w:r w:rsidR="00E1399E" w:rsidRPr="0038442F">
        <w:rPr>
          <w:rFonts w:ascii="Verdana" w:hAnsi="Verdana"/>
          <w:sz w:val="20"/>
          <w:szCs w:val="20"/>
          <w:lang w:val="pt-BR"/>
        </w:rPr>
        <w:t xml:space="preserve">sso à </w:t>
      </w:r>
      <w:r w:rsidR="006D3B60" w:rsidRPr="0038442F">
        <w:rPr>
          <w:rFonts w:ascii="Verdana" w:hAnsi="Verdana"/>
          <w:sz w:val="20"/>
          <w:szCs w:val="20"/>
          <w:lang w:val="pt-BR"/>
        </w:rPr>
        <w:t>justiça</w:t>
      </w:r>
      <w:r w:rsidR="00E1399E" w:rsidRPr="0038442F">
        <w:rPr>
          <w:rFonts w:ascii="Verdana" w:hAnsi="Verdana"/>
          <w:sz w:val="20"/>
          <w:szCs w:val="20"/>
          <w:lang w:val="pt-BR"/>
        </w:rPr>
        <w:t>.</w:t>
      </w:r>
      <w:r w:rsidR="005F1589" w:rsidRPr="0038442F">
        <w:rPr>
          <w:rStyle w:val="Refdenotaalpie"/>
          <w:rFonts w:ascii="Verdana" w:hAnsi="Verdana"/>
          <w:sz w:val="20"/>
          <w:szCs w:val="20"/>
          <w:lang w:val="pt-BR"/>
        </w:rPr>
        <w:footnoteReference w:id="106"/>
      </w:r>
      <w:r w:rsidR="005F1589" w:rsidRPr="0038442F">
        <w:rPr>
          <w:rFonts w:ascii="Verdana" w:hAnsi="Verdana"/>
          <w:sz w:val="20"/>
          <w:szCs w:val="20"/>
          <w:lang w:val="pt-BR"/>
        </w:rPr>
        <w:t xml:space="preserve"> </w:t>
      </w:r>
    </w:p>
    <w:p w14:paraId="2A762EFA" w14:textId="77777777" w:rsidR="00D867EF" w:rsidRPr="0038442F" w:rsidRDefault="00D867EF" w:rsidP="00A857CB">
      <w:pPr>
        <w:pStyle w:val="Prrafodelista"/>
        <w:spacing w:line="240" w:lineRule="auto"/>
        <w:rPr>
          <w:rFonts w:ascii="Verdana" w:hAnsi="Verdana"/>
          <w:sz w:val="20"/>
          <w:szCs w:val="20"/>
          <w:lang w:val="pt-BR"/>
        </w:rPr>
      </w:pPr>
    </w:p>
    <w:p w14:paraId="12F4E9AA" w14:textId="4CFBD62E" w:rsidR="003651D9" w:rsidRPr="0038442F" w:rsidRDefault="00685AC6" w:rsidP="00685AC6">
      <w:pPr>
        <w:pStyle w:val="Prrafodelista"/>
        <w:spacing w:after="0" w:line="240" w:lineRule="auto"/>
        <w:ind w:left="0"/>
        <w:jc w:val="both"/>
        <w:rPr>
          <w:rFonts w:ascii="Verdana" w:hAnsi="Verdana" w:cs="Times New Roman"/>
          <w:sz w:val="20"/>
          <w:szCs w:val="20"/>
          <w:lang w:val="pt-BR"/>
        </w:rPr>
      </w:pPr>
      <w:r w:rsidRPr="0038442F">
        <w:rPr>
          <w:rFonts w:ascii="Verdana" w:hAnsi="Verdana"/>
          <w:sz w:val="20"/>
          <w:szCs w:val="20"/>
          <w:lang w:val="pt-BR"/>
        </w:rPr>
        <w:t xml:space="preserve">63. </w:t>
      </w:r>
      <w:r w:rsidRPr="0038442F">
        <w:rPr>
          <w:rFonts w:ascii="Verdana" w:hAnsi="Verdana"/>
          <w:sz w:val="20"/>
          <w:szCs w:val="20"/>
          <w:lang w:val="pt-BR"/>
        </w:rPr>
        <w:tab/>
      </w:r>
      <w:r w:rsidR="00E1399E" w:rsidRPr="0038442F">
        <w:rPr>
          <w:rFonts w:ascii="Verdana" w:hAnsi="Verdana"/>
          <w:sz w:val="20"/>
          <w:szCs w:val="20"/>
          <w:lang w:val="pt-BR"/>
        </w:rPr>
        <w:t xml:space="preserve">Posteriormente, em </w:t>
      </w:r>
      <w:r w:rsidR="005F1589" w:rsidRPr="0038442F">
        <w:rPr>
          <w:rFonts w:ascii="Verdana" w:hAnsi="Verdana"/>
          <w:sz w:val="20"/>
          <w:szCs w:val="20"/>
          <w:lang w:val="pt-BR"/>
        </w:rPr>
        <w:t xml:space="preserve">2018, </w:t>
      </w:r>
      <w:r w:rsidR="00751189" w:rsidRPr="0038442F">
        <w:rPr>
          <w:rFonts w:ascii="Verdana" w:hAnsi="Verdana"/>
          <w:iCs/>
          <w:sz w:val="20"/>
          <w:szCs w:val="20"/>
          <w:lang w:val="pt-BR"/>
        </w:rPr>
        <w:t>no</w:t>
      </w:r>
      <w:r w:rsidR="00751189" w:rsidRPr="0038442F">
        <w:rPr>
          <w:rFonts w:ascii="Verdana" w:hAnsi="Verdana"/>
          <w:i/>
          <w:iCs/>
          <w:sz w:val="20"/>
          <w:szCs w:val="20"/>
          <w:lang w:val="pt-BR"/>
        </w:rPr>
        <w:t xml:space="preserve"> </w:t>
      </w:r>
      <w:r w:rsidR="00E1399E" w:rsidRPr="0038442F">
        <w:rPr>
          <w:rFonts w:ascii="Verdana" w:hAnsi="Verdana"/>
          <w:i/>
          <w:iCs/>
          <w:sz w:val="20"/>
          <w:szCs w:val="20"/>
          <w:lang w:val="pt-BR"/>
        </w:rPr>
        <w:t xml:space="preserve">Caso </w:t>
      </w:r>
      <w:r w:rsidR="0076170C" w:rsidRPr="0038442F">
        <w:rPr>
          <w:rFonts w:ascii="Verdana" w:hAnsi="Verdana"/>
          <w:i/>
          <w:iCs/>
          <w:sz w:val="20"/>
          <w:szCs w:val="20"/>
          <w:lang w:val="pt-BR"/>
        </w:rPr>
        <w:t>Ramírez</w:t>
      </w:r>
      <w:r w:rsidR="005F1589" w:rsidRPr="0038442F">
        <w:rPr>
          <w:rFonts w:ascii="Verdana" w:hAnsi="Verdana"/>
          <w:i/>
          <w:iCs/>
          <w:sz w:val="20"/>
          <w:szCs w:val="20"/>
          <w:lang w:val="pt-BR"/>
        </w:rPr>
        <w:t xml:space="preserve"> Escobar </w:t>
      </w:r>
      <w:r w:rsidR="00E1399E" w:rsidRPr="0038442F">
        <w:rPr>
          <w:rFonts w:ascii="Verdana" w:hAnsi="Verdana"/>
          <w:i/>
          <w:iCs/>
          <w:sz w:val="20"/>
          <w:szCs w:val="20"/>
          <w:lang w:val="pt-BR"/>
        </w:rPr>
        <w:t>e</w:t>
      </w:r>
      <w:r w:rsidR="005F1589" w:rsidRPr="0038442F">
        <w:rPr>
          <w:rFonts w:ascii="Verdana" w:hAnsi="Verdana"/>
          <w:i/>
          <w:iCs/>
          <w:sz w:val="20"/>
          <w:szCs w:val="20"/>
          <w:lang w:val="pt-BR"/>
        </w:rPr>
        <w:t xml:space="preserve"> </w:t>
      </w:r>
      <w:r w:rsidR="00BC6FC3" w:rsidRPr="0038442F">
        <w:rPr>
          <w:rFonts w:ascii="Verdana" w:hAnsi="Verdana"/>
          <w:i/>
          <w:iCs/>
          <w:sz w:val="20"/>
          <w:szCs w:val="20"/>
          <w:lang w:val="pt-BR"/>
        </w:rPr>
        <w:t>outros</w:t>
      </w:r>
      <w:r w:rsidR="00407242" w:rsidRPr="0038442F">
        <w:rPr>
          <w:rFonts w:ascii="Verdana" w:hAnsi="Verdana"/>
          <w:i/>
          <w:iCs/>
          <w:sz w:val="20"/>
          <w:szCs w:val="20"/>
          <w:lang w:val="pt-BR"/>
        </w:rPr>
        <w:t xml:space="preserve"> </w:t>
      </w:r>
      <w:r w:rsidR="005F1589" w:rsidRPr="0038442F">
        <w:rPr>
          <w:rFonts w:ascii="Verdana" w:hAnsi="Verdana"/>
          <w:i/>
          <w:iCs/>
          <w:sz w:val="20"/>
          <w:szCs w:val="20"/>
          <w:lang w:val="pt-BR"/>
        </w:rPr>
        <w:t>Vs. Guatemala</w:t>
      </w:r>
      <w:r w:rsidR="00D867EF" w:rsidRPr="0038442F">
        <w:rPr>
          <w:rFonts w:ascii="Verdana" w:hAnsi="Verdana"/>
          <w:sz w:val="20"/>
          <w:szCs w:val="20"/>
          <w:lang w:val="pt-BR"/>
        </w:rPr>
        <w:t xml:space="preserve">, </w:t>
      </w:r>
      <w:r w:rsidR="00E1399E" w:rsidRPr="0038442F">
        <w:rPr>
          <w:rFonts w:ascii="Verdana" w:hAnsi="Verdana"/>
          <w:sz w:val="20"/>
          <w:szCs w:val="20"/>
          <w:lang w:val="pt-BR"/>
        </w:rPr>
        <w:t xml:space="preserve">o </w:t>
      </w:r>
      <w:r w:rsidR="005F1589" w:rsidRPr="0038442F">
        <w:rPr>
          <w:rFonts w:ascii="Verdana" w:hAnsi="Verdana"/>
          <w:sz w:val="20"/>
          <w:szCs w:val="20"/>
          <w:lang w:val="pt-BR"/>
        </w:rPr>
        <w:t>Tribunal Interamericano abord</w:t>
      </w:r>
      <w:r w:rsidR="00E1399E" w:rsidRPr="0038442F">
        <w:rPr>
          <w:rFonts w:ascii="Verdana" w:hAnsi="Verdana"/>
          <w:sz w:val="20"/>
          <w:szCs w:val="20"/>
          <w:lang w:val="pt-BR"/>
        </w:rPr>
        <w:t xml:space="preserve">ou </w:t>
      </w:r>
      <w:r w:rsidR="008806F8" w:rsidRPr="0038442F">
        <w:rPr>
          <w:rFonts w:ascii="Verdana" w:hAnsi="Verdana"/>
          <w:sz w:val="20"/>
          <w:szCs w:val="20"/>
          <w:lang w:val="pt-BR"/>
        </w:rPr>
        <w:t xml:space="preserve">as violações </w:t>
      </w:r>
      <w:r w:rsidR="00D867EF" w:rsidRPr="0038442F">
        <w:rPr>
          <w:rFonts w:ascii="Verdana" w:hAnsi="Verdana"/>
          <w:sz w:val="20"/>
          <w:szCs w:val="20"/>
          <w:lang w:val="pt-BR"/>
        </w:rPr>
        <w:t xml:space="preserve">a partir de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BB665E" w:rsidRPr="0038442F">
        <w:rPr>
          <w:rFonts w:ascii="Verdana" w:hAnsi="Verdana"/>
          <w:sz w:val="20"/>
          <w:szCs w:val="20"/>
          <w:lang w:val="pt-BR"/>
        </w:rPr>
        <w:t>decisão</w:t>
      </w:r>
      <w:r w:rsidR="00407242" w:rsidRPr="0038442F">
        <w:rPr>
          <w:rFonts w:ascii="Verdana" w:hAnsi="Verdana"/>
          <w:sz w:val="20"/>
          <w:szCs w:val="20"/>
          <w:lang w:val="pt-BR"/>
        </w:rPr>
        <w:t xml:space="preserve"> </w:t>
      </w:r>
      <w:r w:rsidR="005F1589" w:rsidRPr="0038442F">
        <w:rPr>
          <w:rFonts w:ascii="Verdana" w:hAnsi="Verdana"/>
          <w:sz w:val="20"/>
          <w:szCs w:val="20"/>
          <w:lang w:val="pt-BR"/>
        </w:rPr>
        <w:t>de</w:t>
      </w:r>
      <w:r w:rsidR="00D867EF" w:rsidRPr="0038442F">
        <w:rPr>
          <w:rFonts w:ascii="Verdana" w:hAnsi="Verdana"/>
          <w:sz w:val="20"/>
          <w:szCs w:val="20"/>
          <w:lang w:val="pt-BR"/>
        </w:rPr>
        <w:t xml:space="preserve"> declara</w:t>
      </w:r>
      <w:r w:rsidR="00E1399E" w:rsidRPr="0038442F">
        <w:rPr>
          <w:rFonts w:ascii="Verdana" w:hAnsi="Verdana"/>
          <w:sz w:val="20"/>
          <w:szCs w:val="20"/>
          <w:lang w:val="pt-BR"/>
        </w:rPr>
        <w:t xml:space="preserve">ção </w:t>
      </w:r>
      <w:r w:rsidR="00D867EF" w:rsidRPr="0038442F">
        <w:rPr>
          <w:rFonts w:ascii="Verdana" w:hAnsi="Verdana"/>
          <w:sz w:val="20"/>
          <w:szCs w:val="20"/>
          <w:lang w:val="pt-BR"/>
        </w:rPr>
        <w:t>de abandono</w:t>
      </w:r>
      <w:r w:rsidR="00155F43" w:rsidRPr="0038442F">
        <w:rPr>
          <w:rFonts w:ascii="Verdana" w:hAnsi="Verdana"/>
          <w:sz w:val="20"/>
          <w:szCs w:val="20"/>
          <w:lang w:val="pt-BR"/>
        </w:rPr>
        <w:t>,</w:t>
      </w:r>
      <w:r w:rsidR="00D867EF" w:rsidRPr="0038442F">
        <w:rPr>
          <w:rFonts w:ascii="Verdana" w:hAnsi="Verdana"/>
          <w:sz w:val="20"/>
          <w:szCs w:val="20"/>
          <w:lang w:val="pt-BR"/>
        </w:rPr>
        <w:t xml:space="preserve"> </w:t>
      </w:r>
      <w:r w:rsidR="00E1399E" w:rsidRPr="0038442F">
        <w:rPr>
          <w:rFonts w:ascii="Verdana" w:hAnsi="Verdana"/>
          <w:sz w:val="20"/>
          <w:szCs w:val="20"/>
          <w:lang w:val="pt-BR"/>
        </w:rPr>
        <w:t xml:space="preserve">em que a senhora </w:t>
      </w:r>
      <w:r w:rsidR="003B53AA" w:rsidRPr="0038442F">
        <w:rPr>
          <w:rFonts w:ascii="Verdana" w:hAnsi="Verdana"/>
          <w:sz w:val="20"/>
          <w:szCs w:val="20"/>
          <w:lang w:val="pt-BR"/>
        </w:rPr>
        <w:t>Ramírez</w:t>
      </w:r>
      <w:r w:rsidR="00D867EF" w:rsidRPr="0038442F">
        <w:rPr>
          <w:rFonts w:ascii="Verdana" w:hAnsi="Verdana"/>
          <w:sz w:val="20"/>
          <w:szCs w:val="20"/>
          <w:lang w:val="pt-BR"/>
        </w:rPr>
        <w:t xml:space="preserve"> </w:t>
      </w:r>
      <w:r w:rsidR="005F1589" w:rsidRPr="0038442F">
        <w:rPr>
          <w:rFonts w:ascii="Verdana" w:hAnsi="Verdana"/>
          <w:sz w:val="20"/>
          <w:szCs w:val="20"/>
          <w:lang w:val="pt-BR"/>
        </w:rPr>
        <w:t>Escobar</w:t>
      </w:r>
      <w:r w:rsidR="00D867EF" w:rsidRPr="0038442F">
        <w:rPr>
          <w:rFonts w:ascii="Verdana" w:hAnsi="Verdana"/>
          <w:sz w:val="20"/>
          <w:szCs w:val="20"/>
          <w:lang w:val="pt-BR"/>
        </w:rPr>
        <w:t xml:space="preserve"> f</w:t>
      </w:r>
      <w:r w:rsidR="00E1399E" w:rsidRPr="0038442F">
        <w:rPr>
          <w:rFonts w:ascii="Verdana" w:hAnsi="Verdana"/>
          <w:sz w:val="20"/>
          <w:szCs w:val="20"/>
          <w:lang w:val="pt-BR"/>
        </w:rPr>
        <w:t>oi separada de seus dois filhos</w:t>
      </w:r>
      <w:r w:rsidR="005F1589" w:rsidRPr="0038442F">
        <w:rPr>
          <w:rFonts w:ascii="Verdana" w:hAnsi="Verdana"/>
          <w:sz w:val="20"/>
          <w:szCs w:val="20"/>
          <w:lang w:val="pt-BR"/>
        </w:rPr>
        <w:t xml:space="preserve">. </w:t>
      </w:r>
      <w:r w:rsidR="00E1399E" w:rsidRPr="0038442F">
        <w:rPr>
          <w:rFonts w:ascii="Verdana" w:hAnsi="Verdana"/>
          <w:sz w:val="20"/>
          <w:szCs w:val="20"/>
          <w:lang w:val="pt-BR"/>
        </w:rPr>
        <w:t xml:space="preserve">No </w:t>
      </w:r>
      <w:r w:rsidR="005F1589" w:rsidRPr="0038442F">
        <w:rPr>
          <w:rFonts w:ascii="Verdana" w:hAnsi="Verdana"/>
          <w:sz w:val="20"/>
          <w:szCs w:val="20"/>
          <w:lang w:val="pt-BR"/>
        </w:rPr>
        <w:t>caso</w:t>
      </w:r>
      <w:r w:rsidR="00D867EF" w:rsidRPr="0038442F">
        <w:rPr>
          <w:rFonts w:ascii="Verdana" w:hAnsi="Verdana"/>
          <w:sz w:val="20"/>
          <w:szCs w:val="20"/>
          <w:lang w:val="pt-BR"/>
        </w:rPr>
        <w:t>,</w:t>
      </w:r>
      <w:r w:rsidR="005F1589"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4B6C60" w:rsidRPr="0038442F">
        <w:rPr>
          <w:rFonts w:ascii="Verdana" w:hAnsi="Verdana"/>
          <w:sz w:val="20"/>
          <w:szCs w:val="20"/>
          <w:lang w:val="pt-BR"/>
        </w:rPr>
        <w:t xml:space="preserve">IDH </w:t>
      </w:r>
      <w:r w:rsidR="00E1399E" w:rsidRPr="0038442F">
        <w:rPr>
          <w:rFonts w:ascii="Verdana" w:hAnsi="Verdana"/>
          <w:sz w:val="20"/>
          <w:szCs w:val="20"/>
          <w:lang w:val="pt-BR"/>
        </w:rPr>
        <w:t xml:space="preserve">considerou que a </w:t>
      </w:r>
      <w:r w:rsidR="005F1589" w:rsidRPr="0038442F">
        <w:rPr>
          <w:rFonts w:ascii="Verdana" w:hAnsi="Verdana"/>
          <w:sz w:val="20"/>
          <w:szCs w:val="20"/>
          <w:lang w:val="pt-BR"/>
        </w:rPr>
        <w:t>separa</w:t>
      </w:r>
      <w:r w:rsidR="000A1AA8" w:rsidRPr="0038442F">
        <w:rPr>
          <w:rFonts w:ascii="Verdana" w:hAnsi="Verdana"/>
          <w:sz w:val="20"/>
          <w:szCs w:val="20"/>
          <w:lang w:val="pt-BR"/>
        </w:rPr>
        <w:t>ção</w:t>
      </w:r>
      <w:r w:rsidR="005F1589" w:rsidRPr="0038442F">
        <w:rPr>
          <w:rFonts w:ascii="Verdana" w:hAnsi="Verdana"/>
          <w:sz w:val="20"/>
          <w:szCs w:val="20"/>
          <w:lang w:val="pt-BR"/>
        </w:rPr>
        <w:t xml:space="preserve"> </w:t>
      </w:r>
      <w:r w:rsidR="00F323C2" w:rsidRPr="0038442F">
        <w:rPr>
          <w:rFonts w:ascii="Verdana" w:hAnsi="Verdana"/>
          <w:sz w:val="20"/>
          <w:szCs w:val="20"/>
          <w:lang w:val="pt-BR"/>
        </w:rPr>
        <w:t xml:space="preserve">ocorreu </w:t>
      </w:r>
      <w:r w:rsidR="00E1399E" w:rsidRPr="0038442F">
        <w:rPr>
          <w:rFonts w:ascii="Verdana" w:hAnsi="Verdana"/>
          <w:sz w:val="20"/>
          <w:szCs w:val="20"/>
          <w:lang w:val="pt-BR"/>
        </w:rPr>
        <w:t xml:space="preserve">devido a sua </w:t>
      </w:r>
      <w:r w:rsidR="00D867EF" w:rsidRPr="0038442F">
        <w:rPr>
          <w:rFonts w:ascii="Verdana" w:hAnsi="Verdana"/>
          <w:sz w:val="20"/>
          <w:szCs w:val="20"/>
          <w:lang w:val="pt-BR"/>
        </w:rPr>
        <w:t>“posi</w:t>
      </w:r>
      <w:r w:rsidR="000A1AA8" w:rsidRPr="0038442F">
        <w:rPr>
          <w:rFonts w:ascii="Verdana" w:hAnsi="Verdana"/>
          <w:sz w:val="20"/>
          <w:szCs w:val="20"/>
          <w:lang w:val="pt-BR"/>
        </w:rPr>
        <w:t>ção</w:t>
      </w:r>
      <w:r w:rsidR="00D867EF" w:rsidRPr="0038442F">
        <w:rPr>
          <w:rFonts w:ascii="Verdana" w:hAnsi="Verdana"/>
          <w:sz w:val="20"/>
          <w:szCs w:val="20"/>
          <w:lang w:val="pt-BR"/>
        </w:rPr>
        <w:t xml:space="preserve"> </w:t>
      </w:r>
      <w:r w:rsidR="006445EE" w:rsidRPr="0038442F">
        <w:rPr>
          <w:rFonts w:ascii="Verdana" w:hAnsi="Verdana"/>
          <w:sz w:val="20"/>
          <w:szCs w:val="20"/>
          <w:lang w:val="pt-BR"/>
        </w:rPr>
        <w:t>econômica</w:t>
      </w:r>
      <w:r w:rsidR="00D867EF" w:rsidRPr="0038442F">
        <w:rPr>
          <w:rFonts w:ascii="Verdana" w:hAnsi="Verdana"/>
          <w:sz w:val="20"/>
          <w:szCs w:val="20"/>
          <w:lang w:val="pt-BR"/>
        </w:rPr>
        <w:t xml:space="preserve">” </w:t>
      </w:r>
      <w:r w:rsidR="00E1399E" w:rsidRPr="0038442F">
        <w:rPr>
          <w:rFonts w:ascii="Verdana" w:hAnsi="Verdana"/>
          <w:sz w:val="20"/>
          <w:szCs w:val="20"/>
          <w:lang w:val="pt-BR"/>
        </w:rPr>
        <w:t>e</w:t>
      </w:r>
      <w:r w:rsidR="00D867EF" w:rsidRPr="0038442F">
        <w:rPr>
          <w:rFonts w:ascii="Verdana" w:hAnsi="Verdana"/>
          <w:sz w:val="20"/>
          <w:szCs w:val="20"/>
          <w:lang w:val="pt-BR"/>
        </w:rPr>
        <w:t xml:space="preserve"> </w:t>
      </w:r>
      <w:r w:rsidR="00E1399E" w:rsidRPr="0038442F">
        <w:rPr>
          <w:rFonts w:ascii="Verdana" w:hAnsi="Verdana"/>
          <w:sz w:val="20"/>
          <w:szCs w:val="20"/>
          <w:lang w:val="pt-BR"/>
        </w:rPr>
        <w:t xml:space="preserve">especificou </w:t>
      </w:r>
      <w:r w:rsidR="00D867EF" w:rsidRPr="0038442F">
        <w:rPr>
          <w:rFonts w:ascii="Verdana" w:hAnsi="Verdana"/>
          <w:sz w:val="20"/>
          <w:szCs w:val="20"/>
          <w:lang w:val="pt-BR"/>
        </w:rPr>
        <w:t>que “a car</w:t>
      </w:r>
      <w:r w:rsidR="00E1399E" w:rsidRPr="0038442F">
        <w:rPr>
          <w:rFonts w:ascii="Verdana" w:hAnsi="Verdana"/>
          <w:sz w:val="20"/>
          <w:szCs w:val="20"/>
          <w:lang w:val="pt-BR"/>
        </w:rPr>
        <w:t>ê</w:t>
      </w:r>
      <w:r w:rsidR="00D867EF" w:rsidRPr="0038442F">
        <w:rPr>
          <w:rFonts w:ascii="Verdana" w:hAnsi="Verdana"/>
          <w:sz w:val="20"/>
          <w:szCs w:val="20"/>
          <w:lang w:val="pt-BR"/>
        </w:rPr>
        <w:t>ncia de recursos materi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984A83" w:rsidRPr="0038442F">
        <w:rPr>
          <w:rFonts w:ascii="Verdana" w:hAnsi="Verdana"/>
          <w:sz w:val="20"/>
          <w:szCs w:val="20"/>
          <w:lang w:val="pt-BR"/>
        </w:rPr>
        <w:t xml:space="preserve">não pode </w:t>
      </w:r>
      <w:r w:rsidR="00D867EF" w:rsidRPr="0038442F">
        <w:rPr>
          <w:rFonts w:ascii="Verdana" w:hAnsi="Verdana"/>
          <w:sz w:val="20"/>
          <w:szCs w:val="20"/>
          <w:lang w:val="pt-BR"/>
        </w:rPr>
        <w:t xml:space="preserve">ser </w:t>
      </w:r>
      <w:r w:rsidR="00E1399E" w:rsidRPr="0038442F">
        <w:rPr>
          <w:rFonts w:ascii="Verdana" w:hAnsi="Verdana"/>
          <w:sz w:val="20"/>
          <w:szCs w:val="20"/>
          <w:lang w:val="pt-BR"/>
        </w:rPr>
        <w:t xml:space="preserve">o </w:t>
      </w:r>
      <w:r w:rsidR="0076170C" w:rsidRPr="0038442F">
        <w:rPr>
          <w:rFonts w:ascii="Verdana" w:hAnsi="Verdana"/>
          <w:sz w:val="20"/>
          <w:szCs w:val="20"/>
          <w:lang w:val="pt-BR"/>
        </w:rPr>
        <w:t>único</w:t>
      </w:r>
      <w:r w:rsidR="00D867EF" w:rsidRPr="0038442F">
        <w:rPr>
          <w:rFonts w:ascii="Verdana" w:hAnsi="Verdana"/>
          <w:sz w:val="20"/>
          <w:szCs w:val="20"/>
          <w:lang w:val="pt-BR"/>
        </w:rPr>
        <w:t xml:space="preserve"> fundamento para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BB665E" w:rsidRPr="0038442F">
        <w:rPr>
          <w:rFonts w:ascii="Verdana" w:hAnsi="Verdana"/>
          <w:sz w:val="20"/>
          <w:szCs w:val="20"/>
          <w:lang w:val="pt-BR"/>
        </w:rPr>
        <w:t>decisão</w:t>
      </w:r>
      <w:r w:rsidR="00407242" w:rsidRPr="0038442F">
        <w:rPr>
          <w:rFonts w:ascii="Verdana" w:hAnsi="Verdana"/>
          <w:sz w:val="20"/>
          <w:szCs w:val="20"/>
          <w:lang w:val="pt-BR"/>
        </w:rPr>
        <w:t xml:space="preserve"> </w:t>
      </w:r>
      <w:r w:rsidR="00D867EF" w:rsidRPr="0038442F">
        <w:rPr>
          <w:rFonts w:ascii="Verdana" w:hAnsi="Verdana"/>
          <w:sz w:val="20"/>
          <w:szCs w:val="20"/>
          <w:lang w:val="pt-BR"/>
        </w:rPr>
        <w:t>que supon</w:t>
      </w:r>
      <w:r w:rsidR="00E1399E" w:rsidRPr="0038442F">
        <w:rPr>
          <w:rFonts w:ascii="Verdana" w:hAnsi="Verdana"/>
          <w:sz w:val="20"/>
          <w:szCs w:val="20"/>
          <w:lang w:val="pt-BR"/>
        </w:rPr>
        <w:t>h</w:t>
      </w:r>
      <w:r w:rsidR="00D867EF" w:rsidRPr="0038442F">
        <w:rPr>
          <w:rFonts w:ascii="Verdana" w:hAnsi="Verdana"/>
          <w:sz w:val="20"/>
          <w:szCs w:val="20"/>
          <w:lang w:val="pt-BR"/>
        </w:rPr>
        <w:t xml:space="preserve">a a </w:t>
      </w:r>
      <w:r w:rsidR="003B53AA" w:rsidRPr="0038442F">
        <w:rPr>
          <w:rFonts w:ascii="Verdana" w:hAnsi="Verdana"/>
          <w:sz w:val="20"/>
          <w:szCs w:val="20"/>
          <w:lang w:val="pt-BR"/>
        </w:rPr>
        <w:t>separa</w:t>
      </w:r>
      <w:r w:rsidR="000A1AA8" w:rsidRPr="0038442F">
        <w:rPr>
          <w:rFonts w:ascii="Verdana" w:hAnsi="Verdana"/>
          <w:sz w:val="20"/>
          <w:szCs w:val="20"/>
          <w:lang w:val="pt-BR"/>
        </w:rPr>
        <w:t>ção</w:t>
      </w:r>
      <w:r w:rsidR="00D867EF" w:rsidRPr="0038442F">
        <w:rPr>
          <w:rFonts w:ascii="Verdana" w:hAnsi="Verdana"/>
          <w:sz w:val="20"/>
          <w:szCs w:val="20"/>
          <w:lang w:val="pt-BR"/>
        </w:rPr>
        <w:t xml:space="preserve"> </w:t>
      </w:r>
      <w:r w:rsidR="00155F43" w:rsidRPr="0038442F">
        <w:rPr>
          <w:rFonts w:ascii="Verdana" w:hAnsi="Verdana"/>
          <w:sz w:val="20"/>
          <w:szCs w:val="20"/>
          <w:lang w:val="pt-BR"/>
        </w:rPr>
        <w:t xml:space="preserve">de </w:t>
      </w:r>
      <w:r w:rsidR="00E1399E" w:rsidRPr="0038442F">
        <w:rPr>
          <w:rFonts w:ascii="Verdana" w:hAnsi="Verdana"/>
          <w:sz w:val="20"/>
          <w:szCs w:val="20"/>
          <w:lang w:val="pt-BR"/>
        </w:rPr>
        <w:t>uma criança de sua família</w:t>
      </w:r>
      <w:r w:rsidR="00EB7E7E" w:rsidRPr="0038442F">
        <w:rPr>
          <w:rFonts w:ascii="Verdana" w:hAnsi="Verdana"/>
          <w:sz w:val="20"/>
          <w:szCs w:val="20"/>
          <w:lang w:val="pt-BR"/>
        </w:rPr>
        <w:t>”</w:t>
      </w:r>
      <w:r w:rsidR="00E1399E" w:rsidRPr="0038442F">
        <w:rPr>
          <w:rFonts w:ascii="Verdana" w:hAnsi="Verdana"/>
          <w:sz w:val="20"/>
          <w:szCs w:val="20"/>
          <w:lang w:val="pt-BR"/>
        </w:rPr>
        <w:t>.</w:t>
      </w:r>
      <w:r w:rsidR="00D867EF" w:rsidRPr="0038442F">
        <w:rPr>
          <w:rStyle w:val="Refdenotaalpie"/>
          <w:rFonts w:ascii="Verdana" w:hAnsi="Verdana"/>
          <w:sz w:val="20"/>
          <w:szCs w:val="20"/>
          <w:lang w:val="pt-BR"/>
        </w:rPr>
        <w:footnoteReference w:id="107"/>
      </w:r>
      <w:r w:rsidR="00D867EF" w:rsidRPr="0038442F">
        <w:rPr>
          <w:rFonts w:ascii="Verdana" w:hAnsi="Verdana"/>
          <w:sz w:val="20"/>
          <w:szCs w:val="20"/>
          <w:lang w:val="pt-BR"/>
        </w:rPr>
        <w:t xml:space="preserve"> </w:t>
      </w:r>
      <w:r w:rsidR="00E1399E" w:rsidRPr="0038442F">
        <w:rPr>
          <w:rFonts w:ascii="Verdana" w:hAnsi="Verdana"/>
          <w:sz w:val="20"/>
          <w:szCs w:val="20"/>
          <w:lang w:val="pt-BR"/>
        </w:rPr>
        <w:t xml:space="preserve">No </w:t>
      </w:r>
      <w:r w:rsidR="00D867EF" w:rsidRPr="0038442F">
        <w:rPr>
          <w:rFonts w:ascii="Verdana" w:hAnsi="Verdana"/>
          <w:sz w:val="20"/>
          <w:szCs w:val="20"/>
          <w:lang w:val="pt-BR"/>
        </w:rPr>
        <w:t>caso, a posi</w:t>
      </w:r>
      <w:r w:rsidR="000A1AA8" w:rsidRPr="0038442F">
        <w:rPr>
          <w:rFonts w:ascii="Verdana" w:hAnsi="Verdana"/>
          <w:sz w:val="20"/>
          <w:szCs w:val="20"/>
          <w:lang w:val="pt-BR"/>
        </w:rPr>
        <w:t>ção</w:t>
      </w:r>
      <w:r w:rsidR="00D867EF" w:rsidRPr="0038442F">
        <w:rPr>
          <w:rFonts w:ascii="Verdana" w:hAnsi="Verdana"/>
          <w:sz w:val="20"/>
          <w:szCs w:val="20"/>
          <w:lang w:val="pt-BR"/>
        </w:rPr>
        <w:t xml:space="preserve"> </w:t>
      </w:r>
      <w:r w:rsidR="006445EE" w:rsidRPr="0038442F">
        <w:rPr>
          <w:rFonts w:ascii="Verdana" w:hAnsi="Verdana"/>
          <w:sz w:val="20"/>
          <w:szCs w:val="20"/>
          <w:lang w:val="pt-BR"/>
        </w:rPr>
        <w:t>econômica</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E1399E" w:rsidRPr="0038442F">
        <w:rPr>
          <w:rFonts w:ascii="Verdana" w:hAnsi="Verdana"/>
          <w:sz w:val="20"/>
          <w:szCs w:val="20"/>
          <w:lang w:val="pt-BR"/>
        </w:rPr>
        <w:t xml:space="preserve">senhora </w:t>
      </w:r>
      <w:r w:rsidR="003B53AA" w:rsidRPr="0038442F">
        <w:rPr>
          <w:rFonts w:ascii="Verdana" w:hAnsi="Verdana"/>
          <w:sz w:val="20"/>
          <w:szCs w:val="20"/>
          <w:lang w:val="pt-BR"/>
        </w:rPr>
        <w:t>Ramírez</w:t>
      </w:r>
      <w:r w:rsidR="00D867EF" w:rsidRPr="0038442F">
        <w:rPr>
          <w:rFonts w:ascii="Verdana" w:hAnsi="Verdana"/>
          <w:sz w:val="20"/>
          <w:szCs w:val="20"/>
          <w:lang w:val="pt-BR"/>
        </w:rPr>
        <w:t xml:space="preserve"> Escobar intersecion</w:t>
      </w:r>
      <w:r w:rsidR="00E1399E" w:rsidRPr="0038442F">
        <w:rPr>
          <w:rFonts w:ascii="Verdana" w:hAnsi="Verdana"/>
          <w:sz w:val="20"/>
          <w:szCs w:val="20"/>
          <w:lang w:val="pt-BR"/>
        </w:rPr>
        <w:t>ou com o gênero</w:t>
      </w:r>
      <w:r w:rsidR="00D867EF" w:rsidRPr="0038442F">
        <w:rPr>
          <w:rFonts w:ascii="Verdana" w:hAnsi="Verdana"/>
          <w:sz w:val="20"/>
          <w:szCs w:val="20"/>
          <w:lang w:val="pt-BR"/>
        </w:rPr>
        <w:t xml:space="preserve">, </w:t>
      </w:r>
      <w:r w:rsidR="00E1399E" w:rsidRPr="0038442F">
        <w:rPr>
          <w:rFonts w:ascii="Verdana" w:hAnsi="Verdana"/>
          <w:sz w:val="20"/>
          <w:szCs w:val="20"/>
          <w:lang w:val="pt-BR"/>
        </w:rPr>
        <w:t xml:space="preserve">já </w:t>
      </w:r>
      <w:r w:rsidR="001007C2" w:rsidRPr="0038442F">
        <w:rPr>
          <w:rFonts w:ascii="Verdana" w:hAnsi="Verdana"/>
          <w:sz w:val="20"/>
          <w:szCs w:val="20"/>
          <w:lang w:val="pt-BR"/>
        </w:rPr>
        <w:t>que</w:t>
      </w:r>
      <w:r w:rsidR="00E1399E" w:rsidRPr="0038442F">
        <w:rPr>
          <w:rFonts w:ascii="Verdana" w:hAnsi="Verdana"/>
          <w:sz w:val="20"/>
          <w:szCs w:val="20"/>
          <w:lang w:val="pt-BR"/>
        </w:rPr>
        <w:t xml:space="preserve">, no caso, também </w:t>
      </w:r>
      <w:r w:rsidR="00BA4A48" w:rsidRPr="0038442F">
        <w:rPr>
          <w:rFonts w:ascii="Verdana" w:hAnsi="Verdana"/>
          <w:sz w:val="20"/>
          <w:szCs w:val="20"/>
          <w:lang w:val="pt-BR"/>
        </w:rPr>
        <w:t xml:space="preserve">foi discriminada por uma avaliação sobre o que implicava </w:t>
      </w:r>
      <w:r w:rsidR="00D867EF" w:rsidRPr="0038442F">
        <w:rPr>
          <w:rFonts w:ascii="Verdana" w:hAnsi="Verdana"/>
          <w:sz w:val="20"/>
          <w:szCs w:val="20"/>
          <w:lang w:val="pt-BR"/>
        </w:rPr>
        <w:t xml:space="preserve">“ser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D867EF" w:rsidRPr="0038442F">
        <w:rPr>
          <w:rFonts w:ascii="Verdana" w:hAnsi="Verdana"/>
          <w:sz w:val="20"/>
          <w:szCs w:val="20"/>
          <w:lang w:val="pt-BR"/>
        </w:rPr>
        <w:t>b</w:t>
      </w:r>
      <w:r w:rsidR="00BA4A48" w:rsidRPr="0038442F">
        <w:rPr>
          <w:rFonts w:ascii="Verdana" w:hAnsi="Verdana"/>
          <w:sz w:val="20"/>
          <w:szCs w:val="20"/>
          <w:lang w:val="pt-BR"/>
        </w:rPr>
        <w:t>oa mãe</w:t>
      </w:r>
      <w:r w:rsidR="00D867EF" w:rsidRPr="0038442F">
        <w:rPr>
          <w:rFonts w:ascii="Verdana" w:hAnsi="Verdana"/>
          <w:sz w:val="20"/>
          <w:szCs w:val="20"/>
          <w:lang w:val="pt-BR"/>
        </w:rPr>
        <w:t xml:space="preserve">”, </w:t>
      </w:r>
      <w:r w:rsidR="00BA4A48" w:rsidRPr="0038442F">
        <w:rPr>
          <w:rFonts w:ascii="Verdana" w:hAnsi="Verdana"/>
          <w:sz w:val="20"/>
          <w:szCs w:val="20"/>
          <w:lang w:val="pt-BR"/>
        </w:rPr>
        <w:t xml:space="preserve">ou seja, com </w:t>
      </w:r>
      <w:r w:rsidR="00D867EF" w:rsidRPr="0038442F">
        <w:rPr>
          <w:rFonts w:ascii="Verdana" w:hAnsi="Verdana"/>
          <w:sz w:val="20"/>
          <w:szCs w:val="20"/>
          <w:lang w:val="pt-BR"/>
        </w:rPr>
        <w:t xml:space="preserve">base </w:t>
      </w:r>
      <w:r w:rsidR="00602FF9" w:rsidRPr="0038442F">
        <w:rPr>
          <w:rFonts w:ascii="Verdana" w:hAnsi="Verdana"/>
          <w:sz w:val="20"/>
          <w:szCs w:val="20"/>
          <w:lang w:val="pt-BR"/>
        </w:rPr>
        <w:t xml:space="preserve">nos </w:t>
      </w:r>
      <w:r w:rsidR="00BA4A48" w:rsidRPr="0038442F">
        <w:rPr>
          <w:rFonts w:ascii="Verdana" w:hAnsi="Verdana"/>
          <w:sz w:val="20"/>
          <w:szCs w:val="20"/>
          <w:lang w:val="pt-BR"/>
        </w:rPr>
        <w:t>papéis de gênero.</w:t>
      </w:r>
      <w:r w:rsidR="00D867EF" w:rsidRPr="0038442F">
        <w:rPr>
          <w:rStyle w:val="Refdenotaalpie"/>
          <w:rFonts w:ascii="Verdana" w:hAnsi="Verdana"/>
          <w:sz w:val="20"/>
          <w:szCs w:val="20"/>
          <w:lang w:val="pt-BR"/>
        </w:rPr>
        <w:footnoteReference w:id="108"/>
      </w:r>
    </w:p>
    <w:p w14:paraId="58B4E51D" w14:textId="77777777" w:rsidR="003651D9" w:rsidRPr="0038442F" w:rsidRDefault="003651D9" w:rsidP="00A857CB">
      <w:pPr>
        <w:pStyle w:val="Prrafodelista"/>
        <w:spacing w:line="240" w:lineRule="auto"/>
        <w:rPr>
          <w:rFonts w:ascii="Verdana" w:hAnsi="Verdana"/>
          <w:sz w:val="20"/>
          <w:szCs w:val="20"/>
          <w:lang w:val="pt-BR"/>
        </w:rPr>
      </w:pPr>
    </w:p>
    <w:p w14:paraId="2EC678E1" w14:textId="7454732E" w:rsidR="00F60718" w:rsidRPr="0038442F" w:rsidRDefault="00685AC6" w:rsidP="00685AC6">
      <w:pPr>
        <w:pStyle w:val="Prrafodelista"/>
        <w:spacing w:after="0" w:line="240" w:lineRule="auto"/>
        <w:ind w:left="0"/>
        <w:jc w:val="both"/>
        <w:rPr>
          <w:rFonts w:ascii="Verdana" w:hAnsi="Verdana" w:cs="Times New Roman"/>
          <w:sz w:val="20"/>
          <w:szCs w:val="20"/>
          <w:lang w:val="pt-BR"/>
        </w:rPr>
      </w:pPr>
      <w:r w:rsidRPr="0038442F">
        <w:rPr>
          <w:rFonts w:ascii="Verdana" w:hAnsi="Verdana"/>
          <w:sz w:val="20"/>
          <w:szCs w:val="20"/>
          <w:lang w:val="pt-BR"/>
        </w:rPr>
        <w:t xml:space="preserve">64. </w:t>
      </w:r>
      <w:r w:rsidRPr="0038442F">
        <w:rPr>
          <w:rFonts w:ascii="Verdana" w:hAnsi="Verdana"/>
          <w:sz w:val="20"/>
          <w:szCs w:val="20"/>
          <w:lang w:val="pt-BR"/>
        </w:rPr>
        <w:tab/>
      </w:r>
      <w:r w:rsidR="00D867EF" w:rsidRPr="0038442F">
        <w:rPr>
          <w:rFonts w:ascii="Verdana" w:hAnsi="Verdana"/>
          <w:sz w:val="20"/>
          <w:szCs w:val="20"/>
          <w:lang w:val="pt-BR"/>
        </w:rPr>
        <w:t xml:space="preserve">Finalmente, </w:t>
      </w:r>
      <w:r w:rsidR="00751189" w:rsidRPr="0038442F">
        <w:rPr>
          <w:rFonts w:ascii="Verdana" w:hAnsi="Verdana"/>
          <w:sz w:val="20"/>
          <w:szCs w:val="20"/>
          <w:lang w:val="pt-BR"/>
        </w:rPr>
        <w:t xml:space="preserve">no </w:t>
      </w:r>
      <w:r w:rsidR="000E331D" w:rsidRPr="0038442F">
        <w:rPr>
          <w:rFonts w:ascii="Verdana" w:hAnsi="Verdana"/>
          <w:sz w:val="20"/>
          <w:szCs w:val="20"/>
          <w:lang w:val="pt-BR"/>
        </w:rPr>
        <w:t>mesmo</w:t>
      </w:r>
      <w:r w:rsidR="00407242" w:rsidRPr="0038442F">
        <w:rPr>
          <w:rFonts w:ascii="Verdana" w:hAnsi="Verdana"/>
          <w:sz w:val="20"/>
          <w:szCs w:val="20"/>
          <w:lang w:val="pt-BR"/>
        </w:rPr>
        <w:t xml:space="preserve"> </w:t>
      </w:r>
      <w:r w:rsidR="00D867EF" w:rsidRPr="0038442F">
        <w:rPr>
          <w:rFonts w:ascii="Verdana" w:hAnsi="Verdana"/>
          <w:sz w:val="20"/>
          <w:szCs w:val="20"/>
          <w:lang w:val="pt-BR"/>
        </w:rPr>
        <w:t>a</w:t>
      </w:r>
      <w:r w:rsidR="00BA4A48" w:rsidRPr="0038442F">
        <w:rPr>
          <w:rFonts w:ascii="Verdana" w:hAnsi="Verdana"/>
          <w:sz w:val="20"/>
          <w:szCs w:val="20"/>
          <w:lang w:val="pt-BR"/>
        </w:rPr>
        <w:t>n</w:t>
      </w:r>
      <w:r w:rsidR="00D867EF" w:rsidRPr="0038442F">
        <w:rPr>
          <w:rFonts w:ascii="Verdana" w:hAnsi="Verdana"/>
          <w:sz w:val="20"/>
          <w:szCs w:val="20"/>
          <w:lang w:val="pt-BR"/>
        </w:rPr>
        <w:t xml:space="preserve">o, </w:t>
      </w:r>
      <w:r w:rsidR="00751189" w:rsidRPr="0038442F">
        <w:rPr>
          <w:rFonts w:ascii="Verdana" w:hAnsi="Verdana"/>
          <w:sz w:val="20"/>
          <w:szCs w:val="20"/>
          <w:lang w:val="pt-BR"/>
        </w:rPr>
        <w:t xml:space="preserve">no </w:t>
      </w:r>
      <w:r w:rsidR="00BA4A48" w:rsidRPr="0038442F">
        <w:rPr>
          <w:rFonts w:ascii="Verdana" w:hAnsi="Verdana"/>
          <w:i/>
          <w:sz w:val="20"/>
          <w:szCs w:val="20"/>
          <w:lang w:val="pt-BR"/>
        </w:rPr>
        <w:t xml:space="preserve">Caso </w:t>
      </w:r>
      <w:r w:rsidR="00D867EF" w:rsidRPr="0038442F">
        <w:rPr>
          <w:rFonts w:ascii="Verdana" w:hAnsi="Verdana"/>
          <w:i/>
          <w:iCs/>
          <w:sz w:val="20"/>
          <w:szCs w:val="20"/>
          <w:lang w:val="pt-BR"/>
        </w:rPr>
        <w:t>Cuscul Pivaral</w:t>
      </w:r>
      <w:r w:rsidR="003651D9" w:rsidRPr="0038442F">
        <w:rPr>
          <w:rFonts w:ascii="Verdana" w:hAnsi="Verdana"/>
          <w:i/>
          <w:iCs/>
          <w:sz w:val="20"/>
          <w:szCs w:val="20"/>
          <w:lang w:val="pt-BR"/>
        </w:rPr>
        <w:t xml:space="preserve"> </w:t>
      </w:r>
      <w:r w:rsidR="00BA4A48" w:rsidRPr="0038442F">
        <w:rPr>
          <w:rFonts w:ascii="Verdana" w:hAnsi="Verdana"/>
          <w:i/>
          <w:iCs/>
          <w:sz w:val="20"/>
          <w:szCs w:val="20"/>
          <w:lang w:val="pt-BR"/>
        </w:rPr>
        <w:t>e</w:t>
      </w:r>
      <w:r w:rsidR="003651D9" w:rsidRPr="0038442F">
        <w:rPr>
          <w:rFonts w:ascii="Verdana" w:hAnsi="Verdana"/>
          <w:i/>
          <w:iCs/>
          <w:sz w:val="20"/>
          <w:szCs w:val="20"/>
          <w:lang w:val="pt-BR"/>
        </w:rPr>
        <w:t xml:space="preserve"> </w:t>
      </w:r>
      <w:r w:rsidR="00BC6FC3" w:rsidRPr="0038442F">
        <w:rPr>
          <w:rFonts w:ascii="Verdana" w:hAnsi="Verdana"/>
          <w:i/>
          <w:iCs/>
          <w:sz w:val="20"/>
          <w:szCs w:val="20"/>
          <w:lang w:val="pt-BR"/>
        </w:rPr>
        <w:t>outros</w:t>
      </w:r>
      <w:r w:rsidR="00407242" w:rsidRPr="0038442F">
        <w:rPr>
          <w:rFonts w:ascii="Verdana" w:hAnsi="Verdana"/>
          <w:i/>
          <w:iCs/>
          <w:sz w:val="20"/>
          <w:szCs w:val="20"/>
          <w:lang w:val="pt-BR"/>
        </w:rPr>
        <w:t xml:space="preserve"> </w:t>
      </w:r>
      <w:r w:rsidR="003651D9" w:rsidRPr="0038442F">
        <w:rPr>
          <w:rFonts w:ascii="Verdana" w:hAnsi="Verdana"/>
          <w:sz w:val="20"/>
          <w:szCs w:val="20"/>
          <w:lang w:val="pt-BR"/>
        </w:rPr>
        <w:t xml:space="preserve">(2018), </w:t>
      </w:r>
      <w:r w:rsidR="008806F8" w:rsidRPr="0038442F">
        <w:rPr>
          <w:rFonts w:ascii="Verdana" w:hAnsi="Verdana"/>
          <w:sz w:val="20"/>
          <w:szCs w:val="20"/>
          <w:lang w:val="pt-BR"/>
        </w:rPr>
        <w:t xml:space="preserve">a Corte </w:t>
      </w:r>
      <w:r w:rsidR="004B6C60" w:rsidRPr="0038442F">
        <w:rPr>
          <w:rFonts w:ascii="Verdana" w:hAnsi="Verdana"/>
          <w:sz w:val="20"/>
          <w:szCs w:val="20"/>
          <w:lang w:val="pt-BR"/>
        </w:rPr>
        <w:t xml:space="preserve">IDH </w:t>
      </w:r>
      <w:r w:rsidR="003651D9" w:rsidRPr="0038442F">
        <w:rPr>
          <w:rFonts w:ascii="Verdana" w:hAnsi="Verdana"/>
          <w:sz w:val="20"/>
          <w:szCs w:val="20"/>
          <w:lang w:val="pt-BR"/>
        </w:rPr>
        <w:t>anali</w:t>
      </w:r>
      <w:r w:rsidR="00BA4A48" w:rsidRPr="0038442F">
        <w:rPr>
          <w:rFonts w:ascii="Verdana" w:hAnsi="Verdana"/>
          <w:sz w:val="20"/>
          <w:szCs w:val="20"/>
          <w:lang w:val="pt-BR"/>
        </w:rPr>
        <w:t xml:space="preserve">sou a </w:t>
      </w:r>
      <w:r w:rsidR="003651D9" w:rsidRPr="0038442F">
        <w:rPr>
          <w:rFonts w:ascii="Verdana" w:hAnsi="Verdana"/>
          <w:sz w:val="20"/>
          <w:szCs w:val="20"/>
          <w:lang w:val="pt-BR"/>
        </w:rPr>
        <w:t>condi</w:t>
      </w:r>
      <w:r w:rsidR="000A1AA8" w:rsidRPr="0038442F">
        <w:rPr>
          <w:rFonts w:ascii="Verdana" w:hAnsi="Verdana"/>
          <w:sz w:val="20"/>
          <w:szCs w:val="20"/>
          <w:lang w:val="pt-BR"/>
        </w:rPr>
        <w:t>ção</w:t>
      </w:r>
      <w:r w:rsidR="003651D9" w:rsidRPr="0038442F">
        <w:rPr>
          <w:rFonts w:ascii="Verdana" w:hAnsi="Verdana"/>
          <w:sz w:val="20"/>
          <w:szCs w:val="20"/>
          <w:lang w:val="pt-BR"/>
        </w:rPr>
        <w:t xml:space="preserve"> </w:t>
      </w:r>
      <w:r w:rsidR="006445EE" w:rsidRPr="0038442F">
        <w:rPr>
          <w:rFonts w:ascii="Verdana" w:hAnsi="Verdana"/>
          <w:sz w:val="20"/>
          <w:szCs w:val="20"/>
          <w:lang w:val="pt-BR"/>
        </w:rPr>
        <w:t xml:space="preserve">econômica </w:t>
      </w:r>
      <w:r w:rsidR="00BA4A48" w:rsidRPr="0038442F">
        <w:rPr>
          <w:rFonts w:ascii="Verdana" w:hAnsi="Verdana"/>
          <w:sz w:val="20"/>
          <w:szCs w:val="20"/>
          <w:lang w:val="pt-BR"/>
        </w:rPr>
        <w:t xml:space="preserve">do ponto de </w:t>
      </w:r>
      <w:r w:rsidR="003B53AA" w:rsidRPr="0038442F">
        <w:rPr>
          <w:rFonts w:ascii="Verdana" w:hAnsi="Verdana"/>
          <w:sz w:val="20"/>
          <w:szCs w:val="20"/>
          <w:lang w:val="pt-BR"/>
        </w:rPr>
        <w:t>vista</w:t>
      </w:r>
      <w:r w:rsidR="003651D9"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3651D9" w:rsidRPr="0038442F">
        <w:rPr>
          <w:rFonts w:ascii="Verdana" w:hAnsi="Verdana"/>
          <w:sz w:val="20"/>
          <w:szCs w:val="20"/>
          <w:lang w:val="pt-BR"/>
        </w:rPr>
        <w:t>“aces</w:t>
      </w:r>
      <w:r w:rsidR="00BA4A48" w:rsidRPr="0038442F">
        <w:rPr>
          <w:rFonts w:ascii="Verdana" w:hAnsi="Verdana"/>
          <w:sz w:val="20"/>
          <w:szCs w:val="20"/>
          <w:lang w:val="pt-BR"/>
        </w:rPr>
        <w:t>s</w:t>
      </w:r>
      <w:r w:rsidR="003651D9" w:rsidRPr="0038442F">
        <w:rPr>
          <w:rFonts w:ascii="Verdana" w:hAnsi="Verdana"/>
          <w:sz w:val="20"/>
          <w:szCs w:val="20"/>
          <w:lang w:val="pt-BR"/>
        </w:rPr>
        <w:t>ibilidad</w:t>
      </w:r>
      <w:r w:rsidR="00BA4A48" w:rsidRPr="0038442F">
        <w:rPr>
          <w:rFonts w:ascii="Verdana" w:hAnsi="Verdana"/>
          <w:sz w:val="20"/>
          <w:szCs w:val="20"/>
          <w:lang w:val="pt-BR"/>
        </w:rPr>
        <w:t>e</w:t>
      </w:r>
      <w:r w:rsidR="003651D9" w:rsidRPr="0038442F">
        <w:rPr>
          <w:rFonts w:ascii="Verdana" w:hAnsi="Verdana"/>
          <w:sz w:val="20"/>
          <w:szCs w:val="20"/>
          <w:lang w:val="pt-BR"/>
        </w:rPr>
        <w:t xml:space="preserve"> física” </w:t>
      </w:r>
      <w:r w:rsidR="00C92762" w:rsidRPr="0038442F">
        <w:rPr>
          <w:rFonts w:ascii="Verdana" w:hAnsi="Verdana"/>
          <w:sz w:val="20"/>
          <w:szCs w:val="20"/>
          <w:lang w:val="pt-BR"/>
        </w:rPr>
        <w:t xml:space="preserve">dos </w:t>
      </w:r>
      <w:r w:rsidR="00602FF9" w:rsidRPr="0038442F">
        <w:rPr>
          <w:rFonts w:ascii="Verdana" w:hAnsi="Verdana"/>
          <w:sz w:val="20"/>
          <w:szCs w:val="20"/>
          <w:lang w:val="pt-BR"/>
        </w:rPr>
        <w:t>estabelecimentos</w:t>
      </w:r>
      <w:r w:rsidR="00407242" w:rsidRPr="0038442F">
        <w:rPr>
          <w:rFonts w:ascii="Verdana" w:hAnsi="Verdana"/>
          <w:sz w:val="20"/>
          <w:szCs w:val="20"/>
          <w:lang w:val="pt-BR"/>
        </w:rPr>
        <w:t xml:space="preserve"> </w:t>
      </w:r>
      <w:r w:rsidR="003651D9" w:rsidRPr="0038442F">
        <w:rPr>
          <w:rFonts w:ascii="Verdana" w:hAnsi="Verdana"/>
          <w:sz w:val="20"/>
          <w:szCs w:val="20"/>
          <w:lang w:val="pt-BR"/>
        </w:rPr>
        <w:t xml:space="preserve">de </w:t>
      </w:r>
      <w:r w:rsidR="00751189" w:rsidRPr="0038442F">
        <w:rPr>
          <w:rFonts w:ascii="Verdana" w:hAnsi="Verdana"/>
          <w:sz w:val="20"/>
          <w:szCs w:val="20"/>
          <w:lang w:val="pt-BR"/>
        </w:rPr>
        <w:t>saúde</w:t>
      </w:r>
      <w:r w:rsidR="00F323C2" w:rsidRPr="0038442F">
        <w:rPr>
          <w:rFonts w:ascii="Verdana" w:hAnsi="Verdana"/>
          <w:sz w:val="20"/>
          <w:szCs w:val="20"/>
          <w:lang w:val="pt-BR"/>
        </w:rPr>
        <w:t>,</w:t>
      </w:r>
      <w:r w:rsidR="00751189" w:rsidRPr="0038442F">
        <w:rPr>
          <w:rFonts w:ascii="Verdana" w:hAnsi="Verdana"/>
          <w:sz w:val="20"/>
          <w:szCs w:val="20"/>
          <w:lang w:val="pt-BR"/>
        </w:rPr>
        <w:t xml:space="preserve"> </w:t>
      </w:r>
      <w:r w:rsidR="00BA4A48" w:rsidRPr="0038442F">
        <w:rPr>
          <w:rFonts w:ascii="Verdana" w:hAnsi="Verdana"/>
          <w:sz w:val="20"/>
          <w:szCs w:val="20"/>
          <w:lang w:val="pt-BR"/>
        </w:rPr>
        <w:t xml:space="preserve">em que cinco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BA4A48" w:rsidRPr="0038442F">
        <w:rPr>
          <w:rFonts w:ascii="Verdana" w:hAnsi="Verdana"/>
          <w:sz w:val="20"/>
          <w:szCs w:val="20"/>
          <w:lang w:val="pt-BR"/>
        </w:rPr>
        <w:t xml:space="preserve">deviam ter recebido </w:t>
      </w:r>
      <w:r w:rsidR="003651D9" w:rsidRPr="0038442F">
        <w:rPr>
          <w:rFonts w:ascii="Verdana" w:hAnsi="Verdana"/>
          <w:sz w:val="20"/>
          <w:szCs w:val="20"/>
          <w:lang w:val="pt-BR"/>
        </w:rPr>
        <w:t>aten</w:t>
      </w:r>
      <w:r w:rsidR="000A1AA8" w:rsidRPr="0038442F">
        <w:rPr>
          <w:rFonts w:ascii="Verdana" w:hAnsi="Verdana"/>
          <w:sz w:val="20"/>
          <w:szCs w:val="20"/>
          <w:lang w:val="pt-BR"/>
        </w:rPr>
        <w:t>ção</w:t>
      </w:r>
      <w:r w:rsidR="003651D9" w:rsidRPr="0038442F">
        <w:rPr>
          <w:rFonts w:ascii="Verdana" w:hAnsi="Verdana"/>
          <w:sz w:val="20"/>
          <w:szCs w:val="20"/>
          <w:lang w:val="pt-BR"/>
        </w:rPr>
        <w:t xml:space="preserve"> médica para tratamento </w:t>
      </w:r>
      <w:r w:rsidR="00BA4A48" w:rsidRPr="0038442F">
        <w:rPr>
          <w:rFonts w:ascii="Verdana" w:hAnsi="Verdana"/>
          <w:sz w:val="20"/>
          <w:szCs w:val="20"/>
          <w:lang w:val="pt-BR"/>
        </w:rPr>
        <w:t>de HIV/AIDS</w:t>
      </w:r>
      <w:r w:rsidR="003651D9" w:rsidRPr="0038442F">
        <w:rPr>
          <w:rFonts w:ascii="Verdana" w:hAnsi="Verdana"/>
          <w:sz w:val="20"/>
          <w:szCs w:val="20"/>
          <w:lang w:val="pt-BR"/>
        </w:rPr>
        <w:t xml:space="preserve">. </w:t>
      </w:r>
      <w:r w:rsidR="00BA4A48" w:rsidRPr="0038442F">
        <w:rPr>
          <w:rFonts w:ascii="Verdana" w:hAnsi="Verdana"/>
          <w:sz w:val="20"/>
          <w:szCs w:val="20"/>
          <w:lang w:val="pt-BR"/>
        </w:rPr>
        <w:t>Desse modo</w:t>
      </w:r>
      <w:r w:rsidR="003651D9" w:rsidRPr="0038442F">
        <w:rPr>
          <w:rFonts w:ascii="Verdana" w:hAnsi="Verdana"/>
          <w:sz w:val="20"/>
          <w:szCs w:val="20"/>
          <w:lang w:val="pt-BR"/>
        </w:rPr>
        <w:t xml:space="preserve">, </w:t>
      </w:r>
      <w:r w:rsidR="00BA4A48" w:rsidRPr="0038442F">
        <w:rPr>
          <w:rFonts w:ascii="Verdana" w:hAnsi="Verdana"/>
          <w:sz w:val="20"/>
          <w:szCs w:val="20"/>
          <w:lang w:val="pt-BR"/>
        </w:rPr>
        <w:t xml:space="preserve">o </w:t>
      </w:r>
      <w:r w:rsidR="004B6C60" w:rsidRPr="0038442F">
        <w:rPr>
          <w:rFonts w:ascii="Verdana" w:hAnsi="Verdana"/>
          <w:sz w:val="20"/>
          <w:szCs w:val="20"/>
          <w:lang w:val="pt-BR"/>
        </w:rPr>
        <w:t>Tribunal Interamericano</w:t>
      </w:r>
      <w:r w:rsidR="003651D9" w:rsidRPr="0038442F">
        <w:rPr>
          <w:rFonts w:ascii="Verdana" w:hAnsi="Verdana"/>
          <w:sz w:val="20"/>
          <w:szCs w:val="20"/>
          <w:lang w:val="pt-BR"/>
        </w:rPr>
        <w:t xml:space="preserve"> </w:t>
      </w:r>
      <w:r w:rsidR="006A12FD" w:rsidRPr="0038442F">
        <w:rPr>
          <w:rFonts w:ascii="Verdana" w:hAnsi="Verdana"/>
          <w:sz w:val="20"/>
          <w:szCs w:val="20"/>
          <w:lang w:val="pt-BR"/>
        </w:rPr>
        <w:t>considerou</w:t>
      </w:r>
      <w:r w:rsidR="00407242" w:rsidRPr="0038442F">
        <w:rPr>
          <w:rFonts w:ascii="Verdana" w:hAnsi="Verdana"/>
          <w:sz w:val="20"/>
          <w:szCs w:val="20"/>
          <w:lang w:val="pt-BR"/>
        </w:rPr>
        <w:t xml:space="preserve"> </w:t>
      </w:r>
      <w:r w:rsidR="003651D9" w:rsidRPr="0038442F">
        <w:rPr>
          <w:rFonts w:ascii="Verdana" w:hAnsi="Verdana"/>
          <w:sz w:val="20"/>
          <w:szCs w:val="20"/>
          <w:lang w:val="pt-BR"/>
        </w:rPr>
        <w:t>que “a dist</w:t>
      </w:r>
      <w:r w:rsidR="00BA4A48" w:rsidRPr="0038442F">
        <w:rPr>
          <w:rFonts w:ascii="Verdana" w:hAnsi="Verdana"/>
          <w:sz w:val="20"/>
          <w:szCs w:val="20"/>
          <w:lang w:val="pt-BR"/>
        </w:rPr>
        <w:t>â</w:t>
      </w:r>
      <w:r w:rsidR="003651D9" w:rsidRPr="0038442F">
        <w:rPr>
          <w:rFonts w:ascii="Verdana" w:hAnsi="Verdana"/>
          <w:sz w:val="20"/>
          <w:szCs w:val="20"/>
          <w:lang w:val="pt-BR"/>
        </w:rPr>
        <w:t xml:space="preserve">ncia entre </w:t>
      </w:r>
      <w:r w:rsidR="00BA4A48" w:rsidRPr="0038442F">
        <w:rPr>
          <w:rFonts w:ascii="Verdana" w:hAnsi="Verdana"/>
          <w:sz w:val="20"/>
          <w:szCs w:val="20"/>
          <w:lang w:val="pt-BR"/>
        </w:rPr>
        <w:t xml:space="preserve">o </w:t>
      </w:r>
      <w:r w:rsidR="003651D9" w:rsidRPr="0038442F">
        <w:rPr>
          <w:rFonts w:ascii="Verdana" w:hAnsi="Verdana"/>
          <w:sz w:val="20"/>
          <w:szCs w:val="20"/>
          <w:lang w:val="pt-BR"/>
        </w:rPr>
        <w:t xml:space="preserve">centro de </w:t>
      </w:r>
      <w:r w:rsidR="00751189" w:rsidRPr="0038442F">
        <w:rPr>
          <w:rFonts w:ascii="Verdana" w:hAnsi="Verdana"/>
          <w:sz w:val="20"/>
          <w:szCs w:val="20"/>
          <w:lang w:val="pt-BR"/>
        </w:rPr>
        <w:t>saúde</w:t>
      </w:r>
      <w:r w:rsidR="00407242" w:rsidRPr="0038442F">
        <w:rPr>
          <w:rFonts w:ascii="Verdana" w:hAnsi="Verdana"/>
          <w:sz w:val="20"/>
          <w:szCs w:val="20"/>
          <w:lang w:val="pt-BR"/>
        </w:rPr>
        <w:t xml:space="preserve"> </w:t>
      </w:r>
      <w:r w:rsidR="00BA4A48" w:rsidRPr="0038442F">
        <w:rPr>
          <w:rFonts w:ascii="Verdana" w:hAnsi="Verdana"/>
          <w:sz w:val="20"/>
          <w:szCs w:val="20"/>
          <w:lang w:val="pt-BR"/>
        </w:rPr>
        <w:t>e</w:t>
      </w:r>
      <w:r w:rsidR="003651D9" w:rsidRPr="0038442F">
        <w:rPr>
          <w:rFonts w:ascii="Verdana" w:hAnsi="Verdana"/>
          <w:sz w:val="20"/>
          <w:szCs w:val="20"/>
          <w:lang w:val="pt-BR"/>
        </w:rPr>
        <w:t xml:space="preserve"> a prec</w:t>
      </w:r>
      <w:r w:rsidR="00BA4A48" w:rsidRPr="0038442F">
        <w:rPr>
          <w:rFonts w:ascii="Verdana" w:hAnsi="Verdana"/>
          <w:sz w:val="20"/>
          <w:szCs w:val="20"/>
          <w:lang w:val="pt-BR"/>
        </w:rPr>
        <w:t>á</w:t>
      </w:r>
      <w:r w:rsidR="003651D9" w:rsidRPr="0038442F">
        <w:rPr>
          <w:rFonts w:ascii="Verdana" w:hAnsi="Verdana"/>
          <w:sz w:val="20"/>
          <w:szCs w:val="20"/>
          <w:lang w:val="pt-BR"/>
        </w:rPr>
        <w:t xml:space="preserve">ria </w:t>
      </w:r>
      <w:r w:rsidR="003B53AA" w:rsidRPr="0038442F">
        <w:rPr>
          <w:rFonts w:ascii="Verdana" w:hAnsi="Verdana"/>
          <w:sz w:val="20"/>
          <w:szCs w:val="20"/>
          <w:lang w:val="pt-BR"/>
        </w:rPr>
        <w:t>condi</w:t>
      </w:r>
      <w:r w:rsidR="000A1AA8" w:rsidRPr="0038442F">
        <w:rPr>
          <w:rFonts w:ascii="Verdana" w:hAnsi="Verdana"/>
          <w:sz w:val="20"/>
          <w:szCs w:val="20"/>
          <w:lang w:val="pt-BR"/>
        </w:rPr>
        <w:t>ção</w:t>
      </w:r>
      <w:r w:rsidR="003651D9" w:rsidRPr="0038442F">
        <w:rPr>
          <w:rFonts w:ascii="Verdana" w:hAnsi="Verdana"/>
          <w:sz w:val="20"/>
          <w:szCs w:val="20"/>
          <w:lang w:val="pt-BR"/>
        </w:rPr>
        <w:t xml:space="preserve"> </w:t>
      </w:r>
      <w:r w:rsidR="006445EE" w:rsidRPr="0038442F">
        <w:rPr>
          <w:rFonts w:ascii="Verdana" w:hAnsi="Verdana"/>
          <w:sz w:val="20"/>
          <w:szCs w:val="20"/>
          <w:lang w:val="pt-BR"/>
        </w:rPr>
        <w:t>econômica</w:t>
      </w:r>
      <w:r w:rsidR="00407242" w:rsidRPr="0038442F">
        <w:rPr>
          <w:rFonts w:ascii="Verdana" w:hAnsi="Verdana"/>
          <w:sz w:val="20"/>
          <w:szCs w:val="20"/>
          <w:lang w:val="pt-BR"/>
        </w:rPr>
        <w:t xml:space="preserve"> </w:t>
      </w:r>
      <w:r w:rsidR="003651D9" w:rsidRPr="0038442F">
        <w:rPr>
          <w:rFonts w:ascii="Verdana" w:hAnsi="Verdana"/>
          <w:sz w:val="20"/>
          <w:szCs w:val="20"/>
          <w:lang w:val="pt-BR"/>
        </w:rPr>
        <w:t xml:space="preserve">de </w:t>
      </w:r>
      <w:r w:rsidR="00BA4A48" w:rsidRPr="0038442F">
        <w:rPr>
          <w:rFonts w:ascii="Verdana" w:hAnsi="Verdana"/>
          <w:sz w:val="20"/>
          <w:szCs w:val="20"/>
          <w:lang w:val="pt-BR"/>
        </w:rPr>
        <w:t xml:space="preserve">cinco supostas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BA4A48" w:rsidRPr="0038442F">
        <w:rPr>
          <w:rFonts w:ascii="Verdana" w:hAnsi="Verdana"/>
          <w:sz w:val="20"/>
          <w:szCs w:val="20"/>
          <w:lang w:val="pt-BR"/>
        </w:rPr>
        <w:t>constitui</w:t>
      </w:r>
      <w:r w:rsidR="00EB7E7E" w:rsidRPr="0038442F">
        <w:rPr>
          <w:rFonts w:ascii="Verdana" w:hAnsi="Verdana"/>
          <w:sz w:val="20"/>
          <w:szCs w:val="20"/>
          <w:lang w:val="pt-BR"/>
        </w:rPr>
        <w:t>u</w:t>
      </w:r>
      <w:r w:rsidR="00BA4A48" w:rsidRPr="0038442F">
        <w:rPr>
          <w:rFonts w:ascii="Verdana" w:hAnsi="Verdana"/>
          <w:sz w:val="20"/>
          <w:szCs w:val="20"/>
          <w:lang w:val="pt-BR"/>
        </w:rPr>
        <w:t xml:space="preserve"> um</w:t>
      </w:r>
      <w:r w:rsidR="003651D9" w:rsidRPr="0038442F">
        <w:rPr>
          <w:rFonts w:ascii="Verdana" w:hAnsi="Verdana"/>
          <w:sz w:val="20"/>
          <w:szCs w:val="20"/>
          <w:lang w:val="pt-BR"/>
        </w:rPr>
        <w:t xml:space="preserve"> </w:t>
      </w:r>
      <w:r w:rsidR="0076170C" w:rsidRPr="0038442F">
        <w:rPr>
          <w:rFonts w:ascii="Verdana" w:hAnsi="Verdana"/>
          <w:sz w:val="20"/>
          <w:szCs w:val="20"/>
          <w:lang w:val="pt-BR"/>
        </w:rPr>
        <w:t>obstáculo</w:t>
      </w:r>
      <w:r w:rsidR="003651D9" w:rsidRPr="0038442F">
        <w:rPr>
          <w:rFonts w:ascii="Verdana" w:hAnsi="Verdana"/>
          <w:sz w:val="20"/>
          <w:szCs w:val="20"/>
          <w:lang w:val="pt-BR"/>
        </w:rPr>
        <w:t xml:space="preserve"> para </w:t>
      </w:r>
      <w:r w:rsidR="00BA4A48" w:rsidRPr="0038442F">
        <w:rPr>
          <w:rFonts w:ascii="Verdana" w:hAnsi="Verdana"/>
          <w:sz w:val="20"/>
          <w:szCs w:val="20"/>
          <w:lang w:val="pt-BR"/>
        </w:rPr>
        <w:t xml:space="preserve">que se deslocassem até os </w:t>
      </w:r>
      <w:r w:rsidR="003651D9" w:rsidRPr="0038442F">
        <w:rPr>
          <w:rFonts w:ascii="Verdana" w:hAnsi="Verdana"/>
          <w:sz w:val="20"/>
          <w:szCs w:val="20"/>
          <w:lang w:val="pt-BR"/>
        </w:rPr>
        <w:t xml:space="preserve">centros de </w:t>
      </w:r>
      <w:r w:rsidR="00751189" w:rsidRPr="0038442F">
        <w:rPr>
          <w:rFonts w:ascii="Verdana" w:hAnsi="Verdana"/>
          <w:sz w:val="20"/>
          <w:szCs w:val="20"/>
          <w:lang w:val="pt-BR"/>
        </w:rPr>
        <w:t>saúde</w:t>
      </w:r>
      <w:r w:rsidR="003651D9" w:rsidRPr="0038442F">
        <w:rPr>
          <w:rFonts w:ascii="Verdana" w:hAnsi="Verdana"/>
          <w:sz w:val="20"/>
          <w:szCs w:val="20"/>
          <w:lang w:val="pt-BR"/>
        </w:rPr>
        <w:t xml:space="preserve">, o </w:t>
      </w:r>
      <w:r w:rsidR="00BA4A48" w:rsidRPr="0038442F">
        <w:rPr>
          <w:rFonts w:ascii="Verdana" w:hAnsi="Verdana"/>
          <w:sz w:val="20"/>
          <w:szCs w:val="20"/>
          <w:lang w:val="pt-BR"/>
        </w:rPr>
        <w:t xml:space="preserve">que impactou sua possibilidade de receber </w:t>
      </w:r>
      <w:r w:rsidR="0076170C" w:rsidRPr="0038442F">
        <w:rPr>
          <w:rFonts w:ascii="Verdana" w:hAnsi="Verdana"/>
          <w:sz w:val="20"/>
          <w:szCs w:val="20"/>
          <w:lang w:val="pt-BR"/>
        </w:rPr>
        <w:t>aten</w:t>
      </w:r>
      <w:r w:rsidR="000A1AA8" w:rsidRPr="0038442F">
        <w:rPr>
          <w:rFonts w:ascii="Verdana" w:hAnsi="Verdana"/>
          <w:sz w:val="20"/>
          <w:szCs w:val="20"/>
          <w:lang w:val="pt-BR"/>
        </w:rPr>
        <w:t>ção</w:t>
      </w:r>
      <w:r w:rsidR="003651D9" w:rsidRPr="0038442F">
        <w:rPr>
          <w:rFonts w:ascii="Verdana" w:hAnsi="Verdana"/>
          <w:sz w:val="20"/>
          <w:szCs w:val="20"/>
          <w:lang w:val="pt-BR"/>
        </w:rPr>
        <w:t xml:space="preserve"> </w:t>
      </w:r>
      <w:r w:rsidR="0076170C" w:rsidRPr="0038442F">
        <w:rPr>
          <w:rFonts w:ascii="Verdana" w:hAnsi="Verdana"/>
          <w:sz w:val="20"/>
          <w:szCs w:val="20"/>
          <w:lang w:val="pt-BR"/>
        </w:rPr>
        <w:t>médica</w:t>
      </w:r>
      <w:r w:rsidR="003651D9" w:rsidRPr="0038442F">
        <w:rPr>
          <w:rFonts w:ascii="Verdana" w:hAnsi="Verdana"/>
          <w:sz w:val="20"/>
          <w:szCs w:val="20"/>
          <w:lang w:val="pt-BR"/>
        </w:rPr>
        <w:t xml:space="preserve">, </w:t>
      </w:r>
      <w:r w:rsidR="00BA4A48" w:rsidRPr="0038442F">
        <w:rPr>
          <w:rFonts w:ascii="Verdana" w:hAnsi="Verdana"/>
          <w:sz w:val="20"/>
          <w:szCs w:val="20"/>
          <w:lang w:val="pt-BR"/>
        </w:rPr>
        <w:t xml:space="preserve">e, portanto, suas </w:t>
      </w:r>
      <w:r w:rsidR="009612FB" w:rsidRPr="0038442F">
        <w:rPr>
          <w:rFonts w:ascii="Verdana" w:hAnsi="Verdana"/>
          <w:sz w:val="20"/>
          <w:szCs w:val="20"/>
          <w:lang w:val="pt-BR"/>
        </w:rPr>
        <w:t>possibilidades</w:t>
      </w:r>
      <w:r w:rsidR="00407242" w:rsidRPr="0038442F">
        <w:rPr>
          <w:rFonts w:ascii="Verdana" w:hAnsi="Verdana"/>
          <w:sz w:val="20"/>
          <w:szCs w:val="20"/>
          <w:lang w:val="pt-BR"/>
        </w:rPr>
        <w:t xml:space="preserve"> </w:t>
      </w:r>
      <w:r w:rsidR="003651D9" w:rsidRPr="0038442F">
        <w:rPr>
          <w:rFonts w:ascii="Verdana" w:hAnsi="Verdana"/>
          <w:sz w:val="20"/>
          <w:szCs w:val="20"/>
          <w:lang w:val="pt-BR"/>
        </w:rPr>
        <w:t>de iniciar o</w:t>
      </w:r>
      <w:r w:rsidR="00BA4A48" w:rsidRPr="0038442F">
        <w:rPr>
          <w:rFonts w:ascii="Verdana" w:hAnsi="Verdana"/>
          <w:sz w:val="20"/>
          <w:szCs w:val="20"/>
          <w:lang w:val="pt-BR"/>
        </w:rPr>
        <w:t>u</w:t>
      </w:r>
      <w:r w:rsidR="003651D9" w:rsidRPr="0038442F">
        <w:rPr>
          <w:rFonts w:ascii="Verdana" w:hAnsi="Verdana"/>
          <w:sz w:val="20"/>
          <w:szCs w:val="20"/>
          <w:lang w:val="pt-BR"/>
        </w:rPr>
        <w:t xml:space="preserve"> continuar s</w:t>
      </w:r>
      <w:r w:rsidR="00BA4A48" w:rsidRPr="0038442F">
        <w:rPr>
          <w:rFonts w:ascii="Verdana" w:hAnsi="Verdana"/>
          <w:sz w:val="20"/>
          <w:szCs w:val="20"/>
          <w:lang w:val="pt-BR"/>
        </w:rPr>
        <w:t>e</w:t>
      </w:r>
      <w:r w:rsidR="003651D9" w:rsidRPr="0038442F">
        <w:rPr>
          <w:rFonts w:ascii="Verdana" w:hAnsi="Verdana"/>
          <w:sz w:val="20"/>
          <w:szCs w:val="20"/>
          <w:lang w:val="pt-BR"/>
        </w:rPr>
        <w:t xml:space="preserve">u tratamento de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A97590" w:rsidRPr="0038442F">
        <w:rPr>
          <w:rFonts w:ascii="Verdana" w:hAnsi="Verdana"/>
          <w:sz w:val="20"/>
          <w:szCs w:val="20"/>
          <w:lang w:val="pt-BR"/>
        </w:rPr>
        <w:t>adequada</w:t>
      </w:r>
      <w:r w:rsidR="003651D9" w:rsidRPr="0038442F">
        <w:rPr>
          <w:rFonts w:ascii="Verdana" w:hAnsi="Verdana"/>
          <w:sz w:val="20"/>
          <w:szCs w:val="20"/>
          <w:lang w:val="pt-BR"/>
        </w:rPr>
        <w:t xml:space="preserve">. </w:t>
      </w:r>
      <w:r w:rsidR="00BA4A48" w:rsidRPr="0038442F">
        <w:rPr>
          <w:rFonts w:ascii="Verdana" w:hAnsi="Verdana"/>
          <w:sz w:val="20"/>
          <w:szCs w:val="20"/>
          <w:lang w:val="pt-BR"/>
        </w:rPr>
        <w:t xml:space="preserve">Nesse </w:t>
      </w:r>
      <w:r w:rsidR="003651D9" w:rsidRPr="0038442F">
        <w:rPr>
          <w:rFonts w:ascii="Verdana" w:hAnsi="Verdana"/>
          <w:sz w:val="20"/>
          <w:szCs w:val="20"/>
          <w:lang w:val="pt-BR"/>
        </w:rPr>
        <w:t xml:space="preserve">sentido, </w:t>
      </w:r>
      <w:r w:rsidR="00BA4A48" w:rsidRPr="0038442F">
        <w:rPr>
          <w:rFonts w:ascii="Verdana" w:hAnsi="Verdana"/>
          <w:sz w:val="20"/>
          <w:szCs w:val="20"/>
          <w:lang w:val="pt-BR"/>
        </w:rPr>
        <w:t xml:space="preserve">o </w:t>
      </w:r>
      <w:r w:rsidR="003651D9" w:rsidRPr="0038442F">
        <w:rPr>
          <w:rFonts w:ascii="Verdana" w:hAnsi="Verdana"/>
          <w:sz w:val="20"/>
          <w:szCs w:val="20"/>
          <w:lang w:val="pt-BR"/>
        </w:rPr>
        <w:t xml:space="preserve">Tribunal </w:t>
      </w:r>
      <w:r w:rsidR="00BA4A48" w:rsidRPr="0038442F">
        <w:rPr>
          <w:rFonts w:ascii="Verdana" w:hAnsi="Verdana"/>
          <w:sz w:val="20"/>
          <w:szCs w:val="20"/>
          <w:lang w:val="pt-BR"/>
        </w:rPr>
        <w:t xml:space="preserve">observou que a </w:t>
      </w:r>
      <w:r w:rsidR="003B53AA" w:rsidRPr="0038442F">
        <w:rPr>
          <w:rFonts w:ascii="Verdana" w:hAnsi="Verdana"/>
          <w:sz w:val="20"/>
          <w:szCs w:val="20"/>
          <w:lang w:val="pt-BR"/>
        </w:rPr>
        <w:t>condi</w:t>
      </w:r>
      <w:r w:rsidR="000A1AA8" w:rsidRPr="0038442F">
        <w:rPr>
          <w:rFonts w:ascii="Verdana" w:hAnsi="Verdana"/>
          <w:sz w:val="20"/>
          <w:szCs w:val="20"/>
          <w:lang w:val="pt-BR"/>
        </w:rPr>
        <w:t>ção</w:t>
      </w:r>
      <w:r w:rsidR="003651D9" w:rsidRPr="0038442F">
        <w:rPr>
          <w:rFonts w:ascii="Verdana" w:hAnsi="Verdana"/>
          <w:sz w:val="20"/>
          <w:szCs w:val="20"/>
          <w:lang w:val="pt-BR"/>
        </w:rPr>
        <w:t xml:space="preserve"> </w:t>
      </w:r>
      <w:r w:rsidR="006445EE" w:rsidRPr="0038442F">
        <w:rPr>
          <w:rFonts w:ascii="Verdana" w:hAnsi="Verdana"/>
          <w:sz w:val="20"/>
          <w:szCs w:val="20"/>
          <w:lang w:val="pt-BR"/>
        </w:rPr>
        <w:t>econômica</w:t>
      </w:r>
      <w:r w:rsidR="00407242" w:rsidRPr="0038442F">
        <w:rPr>
          <w:rFonts w:ascii="Verdana" w:hAnsi="Verdana"/>
          <w:sz w:val="20"/>
          <w:szCs w:val="20"/>
          <w:lang w:val="pt-BR"/>
        </w:rPr>
        <w:t xml:space="preserve"> </w:t>
      </w:r>
      <w:r w:rsidR="00BA4A48" w:rsidRPr="0038442F">
        <w:rPr>
          <w:rFonts w:ascii="Verdana" w:hAnsi="Verdana"/>
          <w:sz w:val="20"/>
          <w:szCs w:val="20"/>
          <w:lang w:val="pt-BR"/>
        </w:rPr>
        <w:t xml:space="preserve">em que viviam as supostas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BA4A48" w:rsidRPr="0038442F">
        <w:rPr>
          <w:rFonts w:ascii="Verdana" w:hAnsi="Verdana"/>
          <w:sz w:val="20"/>
          <w:szCs w:val="20"/>
          <w:lang w:val="pt-BR"/>
        </w:rPr>
        <w:t xml:space="preserve">foi um fator </w:t>
      </w:r>
      <w:r w:rsidR="003651D9" w:rsidRPr="0038442F">
        <w:rPr>
          <w:rFonts w:ascii="Verdana" w:hAnsi="Verdana"/>
          <w:sz w:val="20"/>
          <w:szCs w:val="20"/>
          <w:lang w:val="pt-BR"/>
        </w:rPr>
        <w:t xml:space="preserve">determinante </w:t>
      </w:r>
      <w:r w:rsidR="00BA4A48" w:rsidRPr="0038442F">
        <w:rPr>
          <w:rFonts w:ascii="Verdana" w:hAnsi="Verdana"/>
          <w:sz w:val="20"/>
          <w:szCs w:val="20"/>
          <w:lang w:val="pt-BR"/>
        </w:rPr>
        <w:t xml:space="preserve">em sua possibilidade de acesso aos </w:t>
      </w:r>
      <w:r w:rsidR="00602FF9" w:rsidRPr="0038442F">
        <w:rPr>
          <w:rFonts w:ascii="Verdana" w:hAnsi="Verdana"/>
          <w:sz w:val="20"/>
          <w:szCs w:val="20"/>
          <w:lang w:val="pt-BR"/>
        </w:rPr>
        <w:t>estabelecimentos</w:t>
      </w:r>
      <w:r w:rsidR="003651D9" w:rsidRPr="0038442F">
        <w:rPr>
          <w:rFonts w:ascii="Verdana" w:hAnsi="Verdana"/>
          <w:sz w:val="20"/>
          <w:szCs w:val="20"/>
          <w:lang w:val="pt-BR"/>
        </w:rPr>
        <w:t xml:space="preserve">, bens </w:t>
      </w:r>
      <w:r w:rsidR="00BA4A48" w:rsidRPr="0038442F">
        <w:rPr>
          <w:rFonts w:ascii="Verdana" w:hAnsi="Verdana"/>
          <w:sz w:val="20"/>
          <w:szCs w:val="20"/>
          <w:lang w:val="pt-BR"/>
        </w:rPr>
        <w:t>e</w:t>
      </w:r>
      <w:r w:rsidR="003651D9" w:rsidRPr="0038442F">
        <w:rPr>
          <w:rFonts w:ascii="Verdana" w:hAnsi="Verdana"/>
          <w:sz w:val="20"/>
          <w:szCs w:val="20"/>
          <w:lang w:val="pt-BR"/>
        </w:rPr>
        <w:t xml:space="preserve"> </w:t>
      </w:r>
      <w:r w:rsidR="00B266DE" w:rsidRPr="0038442F">
        <w:rPr>
          <w:rFonts w:ascii="Verdana" w:hAnsi="Verdana"/>
          <w:sz w:val="20"/>
          <w:szCs w:val="20"/>
          <w:lang w:val="pt-BR"/>
        </w:rPr>
        <w:t>serviços</w:t>
      </w:r>
      <w:r w:rsidR="00407242" w:rsidRPr="0038442F">
        <w:rPr>
          <w:rFonts w:ascii="Verdana" w:hAnsi="Verdana"/>
          <w:sz w:val="20"/>
          <w:szCs w:val="20"/>
          <w:lang w:val="pt-BR"/>
        </w:rPr>
        <w:t xml:space="preserve"> </w:t>
      </w:r>
      <w:r w:rsidR="003651D9" w:rsidRPr="0038442F">
        <w:rPr>
          <w:rFonts w:ascii="Verdana" w:hAnsi="Verdana"/>
          <w:sz w:val="20"/>
          <w:szCs w:val="20"/>
          <w:lang w:val="pt-BR"/>
        </w:rPr>
        <w:t xml:space="preserve">de </w:t>
      </w:r>
      <w:r w:rsidR="00751189" w:rsidRPr="0038442F">
        <w:rPr>
          <w:rFonts w:ascii="Verdana" w:hAnsi="Verdana"/>
          <w:sz w:val="20"/>
          <w:szCs w:val="20"/>
          <w:lang w:val="pt-BR"/>
        </w:rPr>
        <w:t>saúde</w:t>
      </w:r>
      <w:r w:rsidR="003651D9" w:rsidRPr="0038442F">
        <w:rPr>
          <w:rFonts w:ascii="Verdana" w:hAnsi="Verdana"/>
          <w:sz w:val="20"/>
          <w:szCs w:val="20"/>
          <w:lang w:val="pt-BR"/>
        </w:rPr>
        <w:t xml:space="preserve">, </w:t>
      </w:r>
      <w:r w:rsidR="00BA4A48" w:rsidRPr="0038442F">
        <w:rPr>
          <w:rFonts w:ascii="Verdana" w:hAnsi="Verdana"/>
          <w:sz w:val="20"/>
          <w:szCs w:val="20"/>
          <w:lang w:val="pt-BR"/>
        </w:rPr>
        <w:t>e</w:t>
      </w:r>
      <w:r w:rsidR="003651D9" w:rsidRPr="0038442F">
        <w:rPr>
          <w:rFonts w:ascii="Verdana" w:hAnsi="Verdana"/>
          <w:sz w:val="20"/>
          <w:szCs w:val="20"/>
          <w:lang w:val="pt-BR"/>
        </w:rPr>
        <w:t xml:space="preserve"> que </w:t>
      </w:r>
      <w:r w:rsidR="000A1AA8" w:rsidRPr="0038442F">
        <w:rPr>
          <w:rFonts w:ascii="Verdana" w:hAnsi="Verdana"/>
          <w:sz w:val="20"/>
          <w:szCs w:val="20"/>
          <w:lang w:val="pt-BR"/>
        </w:rPr>
        <w:t xml:space="preserve">o Estado </w:t>
      </w:r>
      <w:r w:rsidR="00BA4A48" w:rsidRPr="0038442F">
        <w:rPr>
          <w:rFonts w:ascii="Verdana" w:hAnsi="Verdana"/>
          <w:sz w:val="20"/>
          <w:szCs w:val="20"/>
          <w:lang w:val="pt-BR"/>
        </w:rPr>
        <w:t xml:space="preserve">não realizou nenhuma </w:t>
      </w:r>
      <w:r w:rsidR="003B53AA" w:rsidRPr="0038442F">
        <w:rPr>
          <w:rFonts w:ascii="Verdana" w:hAnsi="Verdana"/>
          <w:sz w:val="20"/>
          <w:szCs w:val="20"/>
          <w:lang w:val="pt-BR"/>
        </w:rPr>
        <w:t>a</w:t>
      </w:r>
      <w:r w:rsidR="000A1AA8" w:rsidRPr="0038442F">
        <w:rPr>
          <w:rFonts w:ascii="Verdana" w:hAnsi="Verdana"/>
          <w:sz w:val="20"/>
          <w:szCs w:val="20"/>
          <w:lang w:val="pt-BR"/>
        </w:rPr>
        <w:t>ção</w:t>
      </w:r>
      <w:r w:rsidR="003651D9" w:rsidRPr="0038442F">
        <w:rPr>
          <w:rFonts w:ascii="Verdana" w:hAnsi="Verdana"/>
          <w:sz w:val="20"/>
          <w:szCs w:val="20"/>
          <w:lang w:val="pt-BR"/>
        </w:rPr>
        <w:t xml:space="preserve"> destinada a </w:t>
      </w:r>
      <w:r w:rsidR="00BA4A48" w:rsidRPr="0038442F">
        <w:rPr>
          <w:rFonts w:ascii="Verdana" w:hAnsi="Verdana"/>
          <w:sz w:val="20"/>
          <w:szCs w:val="20"/>
          <w:lang w:val="pt-BR"/>
        </w:rPr>
        <w:t xml:space="preserve">reduzir esse </w:t>
      </w:r>
      <w:r w:rsidR="003651D9" w:rsidRPr="0038442F">
        <w:rPr>
          <w:rFonts w:ascii="Verdana" w:hAnsi="Verdana"/>
          <w:sz w:val="20"/>
          <w:szCs w:val="20"/>
          <w:lang w:val="pt-BR"/>
        </w:rPr>
        <w:t>impacto”</w:t>
      </w:r>
      <w:r w:rsidR="00BA4A48" w:rsidRPr="0038442F">
        <w:rPr>
          <w:rFonts w:ascii="Verdana" w:hAnsi="Verdana"/>
          <w:sz w:val="20"/>
          <w:szCs w:val="20"/>
          <w:lang w:val="pt-BR"/>
        </w:rPr>
        <w:t>.</w:t>
      </w:r>
      <w:r w:rsidR="003651D9" w:rsidRPr="0038442F">
        <w:rPr>
          <w:rStyle w:val="Refdenotaalpie"/>
          <w:rFonts w:ascii="Verdana" w:hAnsi="Verdana"/>
          <w:sz w:val="20"/>
          <w:szCs w:val="20"/>
          <w:lang w:val="pt-BR"/>
        </w:rPr>
        <w:footnoteReference w:id="109"/>
      </w:r>
      <w:r w:rsidR="003651D9" w:rsidRPr="0038442F">
        <w:rPr>
          <w:rFonts w:ascii="Verdana" w:hAnsi="Verdana"/>
          <w:sz w:val="20"/>
          <w:szCs w:val="20"/>
          <w:lang w:val="pt-BR"/>
        </w:rPr>
        <w:t xml:space="preserve"> </w:t>
      </w:r>
    </w:p>
    <w:p w14:paraId="0F18266F" w14:textId="77777777" w:rsidR="00F60718" w:rsidRPr="0038442F" w:rsidRDefault="00F60718" w:rsidP="00A857CB">
      <w:pPr>
        <w:pStyle w:val="Prrafodelista"/>
        <w:spacing w:line="240" w:lineRule="auto"/>
        <w:jc w:val="both"/>
        <w:rPr>
          <w:rFonts w:ascii="Verdana" w:hAnsi="Verdana"/>
          <w:sz w:val="20"/>
          <w:szCs w:val="20"/>
          <w:u w:val="single"/>
          <w:lang w:val="pt-BR"/>
        </w:rPr>
      </w:pPr>
    </w:p>
    <w:p w14:paraId="2C8729DF" w14:textId="69AA0C7C" w:rsidR="00815F66" w:rsidRPr="0038442F" w:rsidRDefault="00815F66" w:rsidP="00A857CB">
      <w:pPr>
        <w:pStyle w:val="Prrafodelista"/>
        <w:spacing w:after="0" w:line="240" w:lineRule="auto"/>
        <w:ind w:left="0"/>
        <w:jc w:val="both"/>
        <w:rPr>
          <w:rFonts w:ascii="Verdana" w:hAnsi="Verdana"/>
          <w:b/>
          <w:i/>
          <w:sz w:val="20"/>
          <w:szCs w:val="20"/>
          <w:lang w:val="pt-BR"/>
        </w:rPr>
      </w:pPr>
      <w:r w:rsidRPr="0038442F">
        <w:rPr>
          <w:rFonts w:ascii="Verdana" w:hAnsi="Verdana"/>
          <w:b/>
          <w:i/>
          <w:sz w:val="20"/>
          <w:szCs w:val="20"/>
          <w:lang w:val="pt-BR"/>
        </w:rPr>
        <w:t xml:space="preserve">B. </w:t>
      </w:r>
      <w:r w:rsidR="00BA4A48" w:rsidRPr="0038442F">
        <w:rPr>
          <w:rFonts w:ascii="Verdana" w:hAnsi="Verdana"/>
          <w:b/>
          <w:i/>
          <w:sz w:val="20"/>
          <w:szCs w:val="20"/>
          <w:lang w:val="pt-BR"/>
        </w:rPr>
        <w:t>A</w:t>
      </w:r>
      <w:r w:rsidR="000F257B" w:rsidRPr="0038442F">
        <w:rPr>
          <w:rFonts w:ascii="Verdana" w:hAnsi="Verdana"/>
          <w:b/>
          <w:i/>
          <w:sz w:val="20"/>
          <w:szCs w:val="20"/>
          <w:lang w:val="pt-BR"/>
        </w:rPr>
        <w:t xml:space="preserve"> discrimina</w:t>
      </w:r>
      <w:r w:rsidR="000A1AA8" w:rsidRPr="0038442F">
        <w:rPr>
          <w:rFonts w:ascii="Verdana" w:hAnsi="Verdana"/>
          <w:b/>
          <w:i/>
          <w:sz w:val="20"/>
          <w:szCs w:val="20"/>
          <w:lang w:val="pt-BR"/>
        </w:rPr>
        <w:t>ção</w:t>
      </w:r>
      <w:r w:rsidR="000F257B" w:rsidRPr="0038442F">
        <w:rPr>
          <w:rFonts w:ascii="Verdana" w:hAnsi="Verdana"/>
          <w:b/>
          <w:i/>
          <w:sz w:val="20"/>
          <w:szCs w:val="20"/>
          <w:lang w:val="pt-BR"/>
        </w:rPr>
        <w:t xml:space="preserve"> </w:t>
      </w:r>
      <w:r w:rsidR="006445EE" w:rsidRPr="0038442F">
        <w:rPr>
          <w:rFonts w:ascii="Verdana" w:hAnsi="Verdana"/>
          <w:b/>
          <w:i/>
          <w:sz w:val="20"/>
          <w:szCs w:val="20"/>
          <w:lang w:val="pt-BR"/>
        </w:rPr>
        <w:t>estrutural</w:t>
      </w:r>
      <w:r w:rsidR="00407242" w:rsidRPr="0038442F">
        <w:rPr>
          <w:rFonts w:ascii="Verdana" w:hAnsi="Verdana"/>
          <w:b/>
          <w:i/>
          <w:sz w:val="20"/>
          <w:szCs w:val="20"/>
          <w:lang w:val="pt-BR"/>
        </w:rPr>
        <w:t xml:space="preserve"> </w:t>
      </w:r>
      <w:r w:rsidR="000F257B" w:rsidRPr="0038442F">
        <w:rPr>
          <w:rFonts w:ascii="Verdana" w:hAnsi="Verdana"/>
          <w:b/>
          <w:i/>
          <w:sz w:val="20"/>
          <w:szCs w:val="20"/>
          <w:lang w:val="pt-BR"/>
        </w:rPr>
        <w:t xml:space="preserve">e </w:t>
      </w:r>
      <w:r w:rsidR="006445EE" w:rsidRPr="0038442F">
        <w:rPr>
          <w:rFonts w:ascii="Verdana" w:hAnsi="Verdana"/>
          <w:b/>
          <w:i/>
          <w:sz w:val="20"/>
          <w:szCs w:val="20"/>
          <w:lang w:val="pt-BR"/>
        </w:rPr>
        <w:t>intersecional</w:t>
      </w:r>
      <w:r w:rsidR="00407242" w:rsidRPr="0038442F">
        <w:rPr>
          <w:rFonts w:ascii="Verdana" w:hAnsi="Verdana"/>
          <w:b/>
          <w:i/>
          <w:sz w:val="20"/>
          <w:szCs w:val="20"/>
          <w:lang w:val="pt-BR"/>
        </w:rPr>
        <w:t xml:space="preserve"> </w:t>
      </w:r>
      <w:r w:rsidR="00CA30C5" w:rsidRPr="0038442F">
        <w:rPr>
          <w:rFonts w:ascii="Verdana" w:hAnsi="Verdana"/>
          <w:b/>
          <w:i/>
          <w:sz w:val="20"/>
          <w:szCs w:val="20"/>
          <w:lang w:val="pt-BR"/>
        </w:rPr>
        <w:t xml:space="preserve">nas </w:t>
      </w:r>
      <w:r w:rsidR="00C92762" w:rsidRPr="0038442F">
        <w:rPr>
          <w:rFonts w:ascii="Verdana" w:hAnsi="Verdana"/>
          <w:b/>
          <w:i/>
          <w:sz w:val="20"/>
          <w:szCs w:val="20"/>
          <w:lang w:val="pt-BR"/>
        </w:rPr>
        <w:t>vítimas</w:t>
      </w:r>
      <w:r w:rsidR="00407242" w:rsidRPr="0038442F">
        <w:rPr>
          <w:rFonts w:ascii="Verdana" w:hAnsi="Verdana"/>
          <w:b/>
          <w:i/>
          <w:sz w:val="20"/>
          <w:szCs w:val="20"/>
          <w:lang w:val="pt-BR"/>
        </w:rPr>
        <w:t xml:space="preserve"> </w:t>
      </w:r>
      <w:r w:rsidR="00C92762" w:rsidRPr="0038442F">
        <w:rPr>
          <w:rFonts w:ascii="Verdana" w:hAnsi="Verdana"/>
          <w:b/>
          <w:i/>
          <w:sz w:val="20"/>
          <w:szCs w:val="20"/>
          <w:lang w:val="pt-BR"/>
        </w:rPr>
        <w:t xml:space="preserve">da </w:t>
      </w:r>
      <w:r w:rsidR="00751189" w:rsidRPr="0038442F">
        <w:rPr>
          <w:rFonts w:ascii="Verdana" w:hAnsi="Verdana"/>
          <w:b/>
          <w:i/>
          <w:sz w:val="20"/>
          <w:szCs w:val="20"/>
          <w:lang w:val="pt-BR"/>
        </w:rPr>
        <w:t>explosão</w:t>
      </w:r>
      <w:r w:rsidR="00407242" w:rsidRPr="0038442F">
        <w:rPr>
          <w:rFonts w:ascii="Verdana" w:hAnsi="Verdana"/>
          <w:b/>
          <w:i/>
          <w:sz w:val="20"/>
          <w:szCs w:val="20"/>
          <w:lang w:val="pt-BR"/>
        </w:rPr>
        <w:t xml:space="preserve"> </w:t>
      </w:r>
      <w:r w:rsidR="00C92762" w:rsidRPr="0038442F">
        <w:rPr>
          <w:rFonts w:ascii="Verdana" w:hAnsi="Verdana"/>
          <w:b/>
          <w:i/>
          <w:sz w:val="20"/>
          <w:szCs w:val="20"/>
          <w:lang w:val="pt-BR"/>
        </w:rPr>
        <w:t xml:space="preserve">da </w:t>
      </w:r>
      <w:r w:rsidR="000F257B" w:rsidRPr="0038442F">
        <w:rPr>
          <w:rFonts w:ascii="Verdana" w:hAnsi="Verdana"/>
          <w:b/>
          <w:i/>
          <w:sz w:val="20"/>
          <w:szCs w:val="20"/>
          <w:lang w:val="pt-BR"/>
        </w:rPr>
        <w:t xml:space="preserve">Fábrica de </w:t>
      </w:r>
      <w:r w:rsidR="00751189" w:rsidRPr="0038442F">
        <w:rPr>
          <w:rFonts w:ascii="Verdana" w:hAnsi="Verdana"/>
          <w:b/>
          <w:i/>
          <w:sz w:val="20"/>
          <w:szCs w:val="20"/>
          <w:lang w:val="pt-BR"/>
        </w:rPr>
        <w:t xml:space="preserve">Fogos </w:t>
      </w:r>
    </w:p>
    <w:p w14:paraId="585E16AB" w14:textId="77777777" w:rsidR="00815F66" w:rsidRPr="0038442F" w:rsidRDefault="00815F66" w:rsidP="00A857CB">
      <w:pPr>
        <w:rPr>
          <w:rFonts w:ascii="Verdana" w:hAnsi="Verdana"/>
          <w:b/>
          <w:bCs/>
          <w:sz w:val="20"/>
          <w:szCs w:val="20"/>
          <w:lang w:val="pt-BR"/>
        </w:rPr>
      </w:pPr>
    </w:p>
    <w:p w14:paraId="2C9882FA" w14:textId="77D71F6E" w:rsidR="007309B3" w:rsidRPr="0038442F" w:rsidRDefault="00685AC6" w:rsidP="00685AC6">
      <w:pPr>
        <w:pStyle w:val="Prrafodelista"/>
        <w:spacing w:after="0" w:line="240" w:lineRule="auto"/>
        <w:ind w:left="0"/>
        <w:jc w:val="both"/>
        <w:rPr>
          <w:rFonts w:ascii="Verdana" w:hAnsi="Verdana" w:cs="System Font Regular"/>
          <w:sz w:val="20"/>
          <w:szCs w:val="20"/>
          <w:lang w:val="pt-BR"/>
        </w:rPr>
      </w:pPr>
      <w:r w:rsidRPr="0038442F">
        <w:rPr>
          <w:rFonts w:ascii="Verdana" w:hAnsi="Verdana" w:cs="Arial"/>
          <w:sz w:val="20"/>
          <w:szCs w:val="20"/>
          <w:lang w:val="pt-BR"/>
        </w:rPr>
        <w:t xml:space="preserve">65. </w:t>
      </w:r>
      <w:r w:rsidRPr="0038442F">
        <w:rPr>
          <w:rFonts w:ascii="Verdana" w:hAnsi="Verdana" w:cs="Arial"/>
          <w:sz w:val="20"/>
          <w:szCs w:val="20"/>
          <w:lang w:val="pt-BR"/>
        </w:rPr>
        <w:tab/>
      </w:r>
      <w:r w:rsidR="005907B2" w:rsidRPr="0038442F">
        <w:rPr>
          <w:rFonts w:ascii="Verdana" w:hAnsi="Verdana" w:cs="Arial"/>
          <w:sz w:val="20"/>
          <w:szCs w:val="20"/>
          <w:lang w:val="pt-BR"/>
        </w:rPr>
        <w:t xml:space="preserve">Expus, anteriormente, </w:t>
      </w:r>
      <w:r w:rsidR="00BF7A10" w:rsidRPr="0038442F">
        <w:rPr>
          <w:rFonts w:ascii="Verdana" w:hAnsi="Verdana" w:cs="Arial"/>
          <w:sz w:val="20"/>
          <w:szCs w:val="20"/>
          <w:lang w:val="pt-BR"/>
        </w:rPr>
        <w:t>alguns</w:t>
      </w:r>
      <w:r w:rsidR="00407242"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dos </w:t>
      </w:r>
      <w:r w:rsidR="00815F66" w:rsidRPr="0038442F">
        <w:rPr>
          <w:rFonts w:ascii="Verdana" w:hAnsi="Verdana" w:cs="Arial"/>
          <w:sz w:val="20"/>
          <w:szCs w:val="20"/>
          <w:lang w:val="pt-BR"/>
        </w:rPr>
        <w:t xml:space="preserve">elementos que </w:t>
      </w:r>
      <w:r w:rsidR="009612FB" w:rsidRPr="0038442F">
        <w:rPr>
          <w:rFonts w:ascii="Verdana" w:hAnsi="Verdana" w:cs="Arial"/>
          <w:sz w:val="20"/>
          <w:szCs w:val="20"/>
          <w:lang w:val="pt-BR"/>
        </w:rPr>
        <w:t xml:space="preserve">devem </w:t>
      </w:r>
      <w:r w:rsidR="00815F66" w:rsidRPr="0038442F">
        <w:rPr>
          <w:rFonts w:ascii="Verdana" w:hAnsi="Verdana" w:cs="Arial"/>
          <w:sz w:val="20"/>
          <w:szCs w:val="20"/>
          <w:lang w:val="pt-BR"/>
        </w:rPr>
        <w:t xml:space="preserve">ser </w:t>
      </w:r>
      <w:r w:rsidR="00EB7E7E" w:rsidRPr="0038442F">
        <w:rPr>
          <w:rFonts w:ascii="Verdana" w:hAnsi="Verdana" w:cs="Arial"/>
          <w:sz w:val="20"/>
          <w:szCs w:val="20"/>
          <w:lang w:val="pt-BR"/>
        </w:rPr>
        <w:t>levados</w:t>
      </w:r>
      <w:r w:rsidR="00815F66" w:rsidRPr="0038442F">
        <w:rPr>
          <w:rFonts w:ascii="Verdana" w:hAnsi="Verdana" w:cs="Arial"/>
          <w:sz w:val="20"/>
          <w:szCs w:val="20"/>
          <w:lang w:val="pt-BR"/>
        </w:rPr>
        <w:t xml:space="preserve"> </w:t>
      </w:r>
      <w:r w:rsidR="005907B2" w:rsidRPr="0038442F">
        <w:rPr>
          <w:rFonts w:ascii="Verdana" w:hAnsi="Verdana" w:cs="Arial"/>
          <w:sz w:val="20"/>
          <w:szCs w:val="20"/>
          <w:lang w:val="pt-BR"/>
        </w:rPr>
        <w:t>em consideração</w:t>
      </w:r>
      <w:r w:rsidR="00815F66" w:rsidRPr="0038442F">
        <w:rPr>
          <w:rFonts w:ascii="Verdana" w:hAnsi="Verdana" w:cs="Arial"/>
          <w:sz w:val="20"/>
          <w:szCs w:val="20"/>
          <w:lang w:val="pt-BR"/>
        </w:rPr>
        <w:t xml:space="preserve">, </w:t>
      </w:r>
      <w:r w:rsidR="005907B2" w:rsidRPr="0038442F">
        <w:rPr>
          <w:rFonts w:ascii="Verdana" w:hAnsi="Verdana" w:cs="Arial"/>
          <w:sz w:val="20"/>
          <w:szCs w:val="20"/>
          <w:lang w:val="pt-BR"/>
        </w:rPr>
        <w:t>de</w:t>
      </w:r>
      <w:r w:rsidR="00815F66" w:rsidRPr="0038442F">
        <w:rPr>
          <w:rFonts w:ascii="Verdana" w:hAnsi="Verdana" w:cs="Arial"/>
          <w:sz w:val="20"/>
          <w:szCs w:val="20"/>
          <w:lang w:val="pt-BR"/>
        </w:rPr>
        <w:t xml:space="preserve"> modo enunciativo</w:t>
      </w:r>
      <w:r w:rsidR="005907B2" w:rsidRPr="0038442F">
        <w:rPr>
          <w:rFonts w:ascii="Verdana" w:hAnsi="Verdana" w:cs="Arial"/>
          <w:sz w:val="20"/>
          <w:szCs w:val="20"/>
          <w:lang w:val="pt-BR"/>
        </w:rPr>
        <w:t xml:space="preserve">, mas não </w:t>
      </w:r>
      <w:r w:rsidR="00815F66" w:rsidRPr="0038442F">
        <w:rPr>
          <w:rFonts w:ascii="Verdana" w:hAnsi="Verdana" w:cs="Arial"/>
          <w:sz w:val="20"/>
          <w:szCs w:val="20"/>
          <w:lang w:val="pt-BR"/>
        </w:rPr>
        <w:t>limitativo, para determinar</w:t>
      </w:r>
      <w:r w:rsidR="00EB7E7E" w:rsidRPr="0038442F">
        <w:rPr>
          <w:rFonts w:ascii="Verdana" w:hAnsi="Verdana" w:cs="Arial"/>
          <w:sz w:val="20"/>
          <w:szCs w:val="20"/>
          <w:lang w:val="pt-BR"/>
        </w:rPr>
        <w:t xml:space="preserve"> se</w:t>
      </w:r>
      <w:r w:rsidR="005907B2" w:rsidRPr="0038442F">
        <w:rPr>
          <w:rFonts w:ascii="Verdana" w:hAnsi="Verdana" w:cs="Arial"/>
          <w:sz w:val="20"/>
          <w:szCs w:val="20"/>
          <w:lang w:val="pt-BR"/>
        </w:rPr>
        <w:t xml:space="preserve">, como decorrência do </w:t>
      </w:r>
      <w:r w:rsidR="00815F66" w:rsidRPr="0038442F">
        <w:rPr>
          <w:rFonts w:ascii="Verdana" w:hAnsi="Verdana" w:cs="Arial"/>
          <w:sz w:val="20"/>
          <w:szCs w:val="20"/>
          <w:lang w:val="pt-BR"/>
        </w:rPr>
        <w:t>contexto o</w:t>
      </w:r>
      <w:r w:rsidR="005907B2" w:rsidRPr="0038442F">
        <w:rPr>
          <w:rFonts w:ascii="Verdana" w:hAnsi="Verdana" w:cs="Arial"/>
          <w:sz w:val="20"/>
          <w:szCs w:val="20"/>
          <w:lang w:val="pt-BR"/>
        </w:rPr>
        <w:t xml:space="preserve">u de padrões coletivos ou </w:t>
      </w:r>
      <w:r w:rsidR="000F0525">
        <w:rPr>
          <w:rFonts w:ascii="Verdana" w:hAnsi="Verdana" w:cs="Arial"/>
          <w:sz w:val="20"/>
          <w:szCs w:val="20"/>
          <w:lang w:val="pt-BR"/>
        </w:rPr>
        <w:t>massivos</w:t>
      </w:r>
      <w:r w:rsidR="005907B2" w:rsidRPr="0038442F">
        <w:rPr>
          <w:rFonts w:ascii="Verdana" w:hAnsi="Verdana" w:cs="Arial"/>
          <w:sz w:val="20"/>
          <w:szCs w:val="20"/>
          <w:lang w:val="pt-BR"/>
        </w:rPr>
        <w:t xml:space="preserve">, </w:t>
      </w:r>
      <w:r w:rsidR="00815F66" w:rsidRPr="0038442F">
        <w:rPr>
          <w:rFonts w:ascii="Verdana" w:hAnsi="Verdana" w:cs="Arial"/>
          <w:sz w:val="20"/>
          <w:szCs w:val="20"/>
          <w:lang w:val="pt-BR"/>
        </w:rPr>
        <w:t xml:space="preserve">estamos </w:t>
      </w:r>
      <w:r w:rsidR="000F0525">
        <w:rPr>
          <w:rFonts w:ascii="Verdana" w:hAnsi="Verdana" w:cs="Arial"/>
          <w:sz w:val="20"/>
          <w:szCs w:val="20"/>
          <w:lang w:val="pt-BR"/>
        </w:rPr>
        <w:t>diante de</w:t>
      </w:r>
      <w:r w:rsidR="00815F66" w:rsidRPr="0038442F">
        <w:rPr>
          <w:rFonts w:ascii="Verdana" w:hAnsi="Verdana" w:cs="Arial"/>
          <w:sz w:val="20"/>
          <w:szCs w:val="20"/>
          <w:lang w:val="pt-BR"/>
        </w:rPr>
        <w:t xml:space="preserve"> </w:t>
      </w:r>
      <w:r w:rsidR="00C92762" w:rsidRPr="0038442F">
        <w:rPr>
          <w:rFonts w:ascii="Verdana" w:hAnsi="Verdana" w:cs="Arial"/>
          <w:sz w:val="20"/>
          <w:szCs w:val="20"/>
          <w:lang w:val="pt-BR"/>
        </w:rPr>
        <w:t>uma</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discrimina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w:t>
      </w:r>
      <w:r w:rsidR="006445EE" w:rsidRPr="0038442F">
        <w:rPr>
          <w:rFonts w:ascii="Verdana" w:hAnsi="Verdana" w:cs="Arial"/>
          <w:sz w:val="20"/>
          <w:szCs w:val="20"/>
          <w:lang w:val="pt-BR"/>
        </w:rPr>
        <w:t>estrutural</w:t>
      </w:r>
      <w:r w:rsidR="005907B2" w:rsidRPr="0038442F">
        <w:rPr>
          <w:rFonts w:ascii="Verdana" w:hAnsi="Verdana" w:cs="Arial"/>
          <w:sz w:val="20"/>
          <w:szCs w:val="20"/>
          <w:lang w:val="pt-BR"/>
        </w:rPr>
        <w:t>.</w:t>
      </w:r>
      <w:r w:rsidR="001007C2" w:rsidRPr="0038442F">
        <w:rPr>
          <w:rStyle w:val="Refdenotaalpie"/>
          <w:rFonts w:ascii="Verdana" w:hAnsi="Verdana" w:cs="Arial"/>
          <w:sz w:val="20"/>
          <w:szCs w:val="20"/>
          <w:lang w:val="pt-BR"/>
        </w:rPr>
        <w:footnoteReference w:id="110"/>
      </w:r>
      <w:r w:rsidR="00815F66" w:rsidRPr="0038442F">
        <w:rPr>
          <w:rFonts w:ascii="Verdana" w:hAnsi="Verdana" w:cs="Arial"/>
          <w:sz w:val="20"/>
          <w:szCs w:val="20"/>
          <w:lang w:val="pt-BR"/>
        </w:rPr>
        <w:t xml:space="preserve"> </w:t>
      </w:r>
      <w:r w:rsidR="005907B2" w:rsidRPr="0038442F">
        <w:rPr>
          <w:rFonts w:ascii="Verdana" w:hAnsi="Verdana" w:cs="Arial"/>
          <w:sz w:val="20"/>
          <w:szCs w:val="20"/>
          <w:lang w:val="pt-BR"/>
        </w:rPr>
        <w:t xml:space="preserve">Nesse </w:t>
      </w:r>
      <w:r w:rsidR="00815F66" w:rsidRPr="0038442F">
        <w:rPr>
          <w:rFonts w:ascii="Verdana" w:hAnsi="Verdana" w:cs="Arial"/>
          <w:sz w:val="20"/>
          <w:szCs w:val="20"/>
          <w:lang w:val="pt-BR"/>
        </w:rPr>
        <w:t xml:space="preserve">sentido, os casos mencionados </w:t>
      </w:r>
      <w:r w:rsidR="005907B2" w:rsidRPr="0038442F">
        <w:rPr>
          <w:rFonts w:ascii="Verdana" w:hAnsi="Verdana" w:cs="Arial"/>
          <w:sz w:val="20"/>
          <w:szCs w:val="20"/>
          <w:lang w:val="pt-BR"/>
        </w:rPr>
        <w:t>levaram em consideração</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que se trata de: i) u</w:t>
      </w:r>
      <w:r w:rsidR="005907B2" w:rsidRPr="0038442F">
        <w:rPr>
          <w:rFonts w:ascii="Verdana" w:hAnsi="Verdana" w:cs="Arial"/>
          <w:sz w:val="20"/>
          <w:szCs w:val="20"/>
          <w:lang w:val="pt-BR"/>
        </w:rPr>
        <w:t>m</w:t>
      </w:r>
      <w:r w:rsidR="00815F66" w:rsidRPr="0038442F">
        <w:rPr>
          <w:rFonts w:ascii="Verdana" w:hAnsi="Verdana" w:cs="Arial"/>
          <w:sz w:val="20"/>
          <w:szCs w:val="20"/>
          <w:lang w:val="pt-BR"/>
        </w:rPr>
        <w:t xml:space="preserve"> grupo o</w:t>
      </w:r>
      <w:r w:rsidR="005907B2" w:rsidRPr="0038442F">
        <w:rPr>
          <w:rFonts w:ascii="Verdana" w:hAnsi="Verdana" w:cs="Arial"/>
          <w:sz w:val="20"/>
          <w:szCs w:val="20"/>
          <w:lang w:val="pt-BR"/>
        </w:rPr>
        <w:t>u</w:t>
      </w:r>
      <w:r w:rsidR="00815F66" w:rsidRPr="0038442F">
        <w:rPr>
          <w:rFonts w:ascii="Verdana" w:hAnsi="Verdana" w:cs="Arial"/>
          <w:sz w:val="20"/>
          <w:szCs w:val="20"/>
          <w:lang w:val="pt-BR"/>
        </w:rPr>
        <w:t xml:space="preserve"> grupos de </w:t>
      </w:r>
      <w:r w:rsidR="00C92762" w:rsidRPr="0038442F">
        <w:rPr>
          <w:rFonts w:ascii="Verdana" w:hAnsi="Verdana" w:cs="Arial"/>
          <w:sz w:val="20"/>
          <w:szCs w:val="20"/>
          <w:lang w:val="pt-BR"/>
        </w:rPr>
        <w:t xml:space="preserve">pessoas </w:t>
      </w:r>
      <w:r w:rsidR="005907B2" w:rsidRPr="0038442F">
        <w:rPr>
          <w:rFonts w:ascii="Verdana" w:hAnsi="Verdana" w:cs="Arial"/>
          <w:sz w:val="20"/>
          <w:szCs w:val="20"/>
          <w:lang w:val="pt-BR"/>
        </w:rPr>
        <w:t xml:space="preserve">com </w:t>
      </w:r>
      <w:r w:rsidR="00815F66" w:rsidRPr="0038442F">
        <w:rPr>
          <w:rFonts w:ascii="Verdana" w:hAnsi="Verdana" w:cs="Arial"/>
          <w:sz w:val="20"/>
          <w:szCs w:val="20"/>
          <w:lang w:val="pt-BR"/>
        </w:rPr>
        <w:t xml:space="preserve">características </w:t>
      </w:r>
      <w:r w:rsidR="005907B2" w:rsidRPr="0038442F">
        <w:rPr>
          <w:rFonts w:ascii="Verdana" w:hAnsi="Verdana" w:cs="Arial"/>
          <w:sz w:val="20"/>
          <w:szCs w:val="20"/>
          <w:lang w:val="pt-BR"/>
        </w:rPr>
        <w:t xml:space="preserve">imutáveis ou </w:t>
      </w:r>
      <w:r w:rsidR="00815F66" w:rsidRPr="0038442F">
        <w:rPr>
          <w:rFonts w:ascii="Verdana" w:hAnsi="Verdana" w:cs="Arial"/>
          <w:sz w:val="20"/>
          <w:szCs w:val="20"/>
          <w:lang w:val="pt-BR"/>
        </w:rPr>
        <w:t>imodific</w:t>
      </w:r>
      <w:r w:rsidR="005907B2" w:rsidRPr="0038442F">
        <w:rPr>
          <w:rFonts w:ascii="Verdana" w:hAnsi="Verdana" w:cs="Arial"/>
          <w:sz w:val="20"/>
          <w:szCs w:val="20"/>
          <w:lang w:val="pt-BR"/>
        </w:rPr>
        <w:t xml:space="preserve">áveis pela </w:t>
      </w:r>
      <w:r w:rsidR="00221D30" w:rsidRPr="0038442F">
        <w:rPr>
          <w:rFonts w:ascii="Verdana" w:hAnsi="Verdana" w:cs="Arial"/>
          <w:sz w:val="20"/>
          <w:szCs w:val="20"/>
          <w:lang w:val="pt-BR"/>
        </w:rPr>
        <w:t>própria</w:t>
      </w:r>
      <w:r w:rsidR="00407242" w:rsidRPr="0038442F">
        <w:rPr>
          <w:rFonts w:ascii="Verdana" w:hAnsi="Verdana" w:cs="Arial"/>
          <w:sz w:val="20"/>
          <w:szCs w:val="20"/>
          <w:lang w:val="pt-BR"/>
        </w:rPr>
        <w:t xml:space="preserve"> </w:t>
      </w:r>
      <w:r w:rsidR="005907B2" w:rsidRPr="0038442F">
        <w:rPr>
          <w:rFonts w:ascii="Verdana" w:hAnsi="Verdana" w:cs="Arial"/>
          <w:sz w:val="20"/>
          <w:szCs w:val="20"/>
          <w:lang w:val="pt-BR"/>
        </w:rPr>
        <w:t>vontade</w:t>
      </w:r>
      <w:r w:rsidR="00407242"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da </w:t>
      </w:r>
      <w:r w:rsidR="005907B2" w:rsidRPr="0038442F">
        <w:rPr>
          <w:rFonts w:ascii="Verdana" w:hAnsi="Verdana" w:cs="Arial"/>
          <w:sz w:val="20"/>
          <w:szCs w:val="20"/>
          <w:lang w:val="pt-BR"/>
        </w:rPr>
        <w:t>pessoa</w:t>
      </w:r>
      <w:r w:rsidR="00815F66" w:rsidRPr="0038442F">
        <w:rPr>
          <w:rFonts w:ascii="Verdana" w:hAnsi="Verdana" w:cs="Arial"/>
          <w:sz w:val="20"/>
          <w:szCs w:val="20"/>
          <w:lang w:val="pt-BR"/>
        </w:rPr>
        <w:t>, o</w:t>
      </w:r>
      <w:r w:rsidR="005907B2" w:rsidRPr="0038442F">
        <w:rPr>
          <w:rFonts w:ascii="Verdana" w:hAnsi="Verdana" w:cs="Arial"/>
          <w:sz w:val="20"/>
          <w:szCs w:val="20"/>
          <w:lang w:val="pt-BR"/>
        </w:rPr>
        <w:t xml:space="preserve">u, antes, que estão </w:t>
      </w:r>
      <w:r w:rsidR="00815F66" w:rsidRPr="0038442F">
        <w:rPr>
          <w:rFonts w:ascii="Verdana" w:hAnsi="Verdana" w:cs="Arial"/>
          <w:sz w:val="20"/>
          <w:szCs w:val="20"/>
          <w:lang w:val="pt-BR"/>
        </w:rPr>
        <w:t>relacionados</w:t>
      </w:r>
      <w:r w:rsidR="00815F66" w:rsidRPr="0038442F">
        <w:rPr>
          <w:rFonts w:ascii="Verdana" w:hAnsi="Verdana" w:cs="System Font Regular"/>
          <w:sz w:val="20"/>
          <w:szCs w:val="20"/>
          <w:lang w:val="pt-BR"/>
        </w:rPr>
        <w:t xml:space="preserve"> </w:t>
      </w:r>
      <w:r w:rsidR="00815F66" w:rsidRPr="0038442F">
        <w:rPr>
          <w:rFonts w:ascii="Verdana" w:hAnsi="Verdana" w:cs="Arial"/>
          <w:sz w:val="20"/>
          <w:szCs w:val="20"/>
          <w:lang w:val="pt-BR"/>
        </w:rPr>
        <w:t xml:space="preserve">a </w:t>
      </w:r>
      <w:r w:rsidR="00CA30C5" w:rsidRPr="0038442F">
        <w:rPr>
          <w:rFonts w:ascii="Verdana" w:hAnsi="Verdana" w:cs="Arial"/>
          <w:sz w:val="20"/>
          <w:szCs w:val="20"/>
          <w:lang w:val="pt-BR"/>
        </w:rPr>
        <w:t>fatores</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 xml:space="preserve">históricos de </w:t>
      </w:r>
      <w:r w:rsidR="000450DD" w:rsidRPr="0038442F">
        <w:rPr>
          <w:rFonts w:ascii="Verdana" w:hAnsi="Verdana" w:cs="Arial"/>
          <w:sz w:val="20"/>
          <w:szCs w:val="20"/>
          <w:lang w:val="pt-BR"/>
        </w:rPr>
        <w:t>práticas</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discriminat</w:t>
      </w:r>
      <w:r w:rsidR="005907B2" w:rsidRPr="0038442F">
        <w:rPr>
          <w:rFonts w:ascii="Verdana" w:hAnsi="Verdana" w:cs="Arial"/>
          <w:sz w:val="20"/>
          <w:szCs w:val="20"/>
          <w:lang w:val="pt-BR"/>
        </w:rPr>
        <w:t>ó</w:t>
      </w:r>
      <w:r w:rsidR="00815F66" w:rsidRPr="0038442F">
        <w:rPr>
          <w:rFonts w:ascii="Verdana" w:hAnsi="Verdana" w:cs="Arial"/>
          <w:sz w:val="20"/>
          <w:szCs w:val="20"/>
          <w:lang w:val="pt-BR"/>
        </w:rPr>
        <w:t>rias, p</w:t>
      </w:r>
      <w:r w:rsidR="005907B2" w:rsidRPr="0038442F">
        <w:rPr>
          <w:rFonts w:ascii="Verdana" w:hAnsi="Verdana" w:cs="Arial"/>
          <w:sz w:val="20"/>
          <w:szCs w:val="20"/>
          <w:lang w:val="pt-BR"/>
        </w:rPr>
        <w:t xml:space="preserve">odendo </w:t>
      </w:r>
      <w:r w:rsidR="00815F66" w:rsidRPr="0038442F">
        <w:rPr>
          <w:rFonts w:ascii="Verdana" w:hAnsi="Verdana" w:cs="Arial"/>
          <w:sz w:val="20"/>
          <w:szCs w:val="20"/>
          <w:lang w:val="pt-BR"/>
        </w:rPr>
        <w:t>ser es</w:t>
      </w:r>
      <w:r w:rsidR="005907B2" w:rsidRPr="0038442F">
        <w:rPr>
          <w:rFonts w:ascii="Verdana" w:hAnsi="Verdana" w:cs="Arial"/>
          <w:sz w:val="20"/>
          <w:szCs w:val="20"/>
          <w:lang w:val="pt-BR"/>
        </w:rPr>
        <w:t>s</w:t>
      </w:r>
      <w:r w:rsidR="00815F66" w:rsidRPr="0038442F">
        <w:rPr>
          <w:rFonts w:ascii="Verdana" w:hAnsi="Verdana" w:cs="Arial"/>
          <w:sz w:val="20"/>
          <w:szCs w:val="20"/>
          <w:lang w:val="pt-BR"/>
        </w:rPr>
        <w:t xml:space="preserve">e grupo de </w:t>
      </w:r>
      <w:r w:rsidR="00C92762" w:rsidRPr="0038442F">
        <w:rPr>
          <w:rFonts w:ascii="Verdana" w:hAnsi="Verdana" w:cs="Arial"/>
          <w:sz w:val="20"/>
          <w:szCs w:val="20"/>
          <w:lang w:val="pt-BR"/>
        </w:rPr>
        <w:t xml:space="preserve">pessoas </w:t>
      </w:r>
      <w:r w:rsidR="005907B2" w:rsidRPr="0038442F">
        <w:rPr>
          <w:rFonts w:ascii="Verdana" w:hAnsi="Verdana" w:cs="Arial"/>
          <w:sz w:val="20"/>
          <w:szCs w:val="20"/>
          <w:lang w:val="pt-BR"/>
        </w:rPr>
        <w:t>em minoria ou maioria</w:t>
      </w:r>
      <w:r w:rsidR="00815F66" w:rsidRPr="0038442F">
        <w:rPr>
          <w:rFonts w:ascii="Verdana" w:hAnsi="Verdana" w:cs="Arial"/>
          <w:sz w:val="20"/>
          <w:szCs w:val="20"/>
          <w:lang w:val="pt-BR"/>
        </w:rPr>
        <w:t>; ii) que es</w:t>
      </w:r>
      <w:r w:rsidR="005907B2" w:rsidRPr="0038442F">
        <w:rPr>
          <w:rFonts w:ascii="Verdana" w:hAnsi="Verdana" w:cs="Arial"/>
          <w:sz w:val="20"/>
          <w:szCs w:val="20"/>
          <w:lang w:val="pt-BR"/>
        </w:rPr>
        <w:t>se</w:t>
      </w:r>
      <w:r w:rsidR="00815F66" w:rsidRPr="0038442F">
        <w:rPr>
          <w:rFonts w:ascii="Verdana" w:hAnsi="Verdana" w:cs="Arial"/>
          <w:sz w:val="20"/>
          <w:szCs w:val="20"/>
          <w:lang w:val="pt-BR"/>
        </w:rPr>
        <w:t xml:space="preserve">s grupos se </w:t>
      </w:r>
      <w:r w:rsidR="005907B2" w:rsidRPr="0038442F">
        <w:rPr>
          <w:rFonts w:ascii="Verdana" w:hAnsi="Verdana" w:cs="Arial"/>
          <w:sz w:val="20"/>
          <w:szCs w:val="20"/>
          <w:lang w:val="pt-BR"/>
        </w:rPr>
        <w:t xml:space="preserve">encontraram </w:t>
      </w:r>
      <w:r w:rsidR="00C92762" w:rsidRPr="0038442F">
        <w:rPr>
          <w:rFonts w:ascii="Verdana" w:hAnsi="Verdana" w:cs="Arial"/>
          <w:sz w:val="20"/>
          <w:szCs w:val="20"/>
          <w:lang w:val="pt-BR"/>
        </w:rPr>
        <w:t xml:space="preserve">em uma </w:t>
      </w:r>
      <w:r w:rsidR="00815F66" w:rsidRPr="0038442F">
        <w:rPr>
          <w:rFonts w:ascii="Verdana" w:hAnsi="Verdana" w:cs="Arial"/>
          <w:sz w:val="20"/>
          <w:szCs w:val="20"/>
          <w:lang w:val="pt-BR"/>
        </w:rPr>
        <w:t>situa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sistemática e histórica de </w:t>
      </w:r>
      <w:r w:rsidR="00BF7A10" w:rsidRPr="0038442F">
        <w:rPr>
          <w:rFonts w:ascii="Verdana" w:hAnsi="Verdana" w:cs="Arial"/>
          <w:sz w:val="20"/>
          <w:szCs w:val="20"/>
          <w:lang w:val="pt-BR"/>
        </w:rPr>
        <w:t>exclusão</w:t>
      </w:r>
      <w:r w:rsidR="00815F66" w:rsidRPr="0038442F">
        <w:rPr>
          <w:rFonts w:ascii="Verdana" w:hAnsi="Verdana" w:cs="Arial"/>
          <w:sz w:val="20"/>
          <w:szCs w:val="20"/>
          <w:lang w:val="pt-BR"/>
        </w:rPr>
        <w:t xml:space="preserve">, </w:t>
      </w:r>
      <w:r w:rsidR="00C76C5C" w:rsidRPr="0038442F">
        <w:rPr>
          <w:rFonts w:ascii="Verdana" w:hAnsi="Verdana" w:cs="Arial"/>
          <w:sz w:val="20"/>
          <w:szCs w:val="20"/>
          <w:lang w:val="pt-BR"/>
        </w:rPr>
        <w:t>marginalização</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o</w:t>
      </w:r>
      <w:r w:rsidR="005907B2" w:rsidRPr="0038442F">
        <w:rPr>
          <w:rFonts w:ascii="Verdana" w:hAnsi="Verdana" w:cs="Arial"/>
          <w:sz w:val="20"/>
          <w:szCs w:val="20"/>
          <w:lang w:val="pt-BR"/>
        </w:rPr>
        <w:t>u</w:t>
      </w:r>
      <w:r w:rsidR="00815F66" w:rsidRPr="0038442F">
        <w:rPr>
          <w:rFonts w:ascii="Verdana" w:hAnsi="Verdana" w:cs="Arial"/>
          <w:sz w:val="20"/>
          <w:szCs w:val="20"/>
          <w:lang w:val="pt-BR"/>
        </w:rPr>
        <w:t xml:space="preserve"> subordina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que </w:t>
      </w:r>
      <w:r w:rsidR="00E00C49" w:rsidRPr="0038442F">
        <w:rPr>
          <w:rFonts w:ascii="Verdana" w:hAnsi="Verdana" w:cs="Arial"/>
          <w:sz w:val="20"/>
          <w:szCs w:val="20"/>
          <w:lang w:val="pt-BR"/>
        </w:rPr>
        <w:t>os</w:t>
      </w:r>
      <w:r w:rsidR="00815F66" w:rsidRPr="0038442F">
        <w:rPr>
          <w:rFonts w:ascii="Verdana" w:hAnsi="Verdana" w:cs="Arial"/>
          <w:sz w:val="20"/>
          <w:szCs w:val="20"/>
          <w:lang w:val="pt-BR"/>
        </w:rPr>
        <w:t xml:space="preserve"> </w:t>
      </w:r>
      <w:r w:rsidR="005907B2" w:rsidRPr="0038442F">
        <w:rPr>
          <w:rFonts w:ascii="Verdana" w:hAnsi="Verdana" w:cs="Arial"/>
          <w:sz w:val="20"/>
          <w:szCs w:val="20"/>
          <w:lang w:val="pt-BR"/>
        </w:rPr>
        <w:t xml:space="preserve">impede de ter acesso </w:t>
      </w:r>
      <w:r w:rsidR="00815F66" w:rsidRPr="0038442F">
        <w:rPr>
          <w:rFonts w:ascii="Verdana" w:hAnsi="Verdana" w:cs="Arial"/>
          <w:sz w:val="20"/>
          <w:szCs w:val="20"/>
          <w:lang w:val="pt-BR"/>
        </w:rPr>
        <w:t>a condi</w:t>
      </w:r>
      <w:r w:rsidR="000A1AA8" w:rsidRPr="0038442F">
        <w:rPr>
          <w:rFonts w:ascii="Verdana" w:hAnsi="Verdana" w:cs="Arial"/>
          <w:sz w:val="20"/>
          <w:szCs w:val="20"/>
          <w:lang w:val="pt-BR"/>
        </w:rPr>
        <w:t>ções</w:t>
      </w:r>
      <w:r w:rsidR="00815F66" w:rsidRPr="0038442F">
        <w:rPr>
          <w:rFonts w:ascii="Verdana" w:hAnsi="Verdana" w:cs="Arial"/>
          <w:sz w:val="20"/>
          <w:szCs w:val="20"/>
          <w:lang w:val="pt-BR"/>
        </w:rPr>
        <w:t xml:space="preserve"> básicas de </w:t>
      </w:r>
      <w:r w:rsidR="00F4306D" w:rsidRPr="0038442F">
        <w:rPr>
          <w:rFonts w:ascii="Verdana" w:hAnsi="Verdana" w:cs="Arial"/>
          <w:sz w:val="20"/>
          <w:szCs w:val="20"/>
          <w:lang w:val="pt-BR"/>
        </w:rPr>
        <w:t>desenvolvimento</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humano; iii) que a situa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de </w:t>
      </w:r>
      <w:r w:rsidR="00BF7A10" w:rsidRPr="0038442F">
        <w:rPr>
          <w:rFonts w:ascii="Verdana" w:hAnsi="Verdana" w:cs="Arial"/>
          <w:sz w:val="20"/>
          <w:szCs w:val="20"/>
          <w:lang w:val="pt-BR"/>
        </w:rPr>
        <w:t>exclusão</w:t>
      </w:r>
      <w:r w:rsidR="00815F66" w:rsidRPr="0038442F">
        <w:rPr>
          <w:rFonts w:ascii="Verdana" w:hAnsi="Verdana" w:cs="Arial"/>
          <w:sz w:val="20"/>
          <w:szCs w:val="20"/>
          <w:lang w:val="pt-BR"/>
        </w:rPr>
        <w:t xml:space="preserve">, </w:t>
      </w:r>
      <w:r w:rsidR="00C76C5C" w:rsidRPr="0038442F">
        <w:rPr>
          <w:rFonts w:ascii="Verdana" w:hAnsi="Verdana" w:cs="Arial"/>
          <w:sz w:val="20"/>
          <w:szCs w:val="20"/>
          <w:lang w:val="pt-BR"/>
        </w:rPr>
        <w:t>marginalização</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o</w:t>
      </w:r>
      <w:r w:rsidR="005907B2" w:rsidRPr="0038442F">
        <w:rPr>
          <w:rFonts w:ascii="Verdana" w:hAnsi="Verdana" w:cs="Arial"/>
          <w:sz w:val="20"/>
          <w:szCs w:val="20"/>
          <w:lang w:val="pt-BR"/>
        </w:rPr>
        <w:t>u</w:t>
      </w:r>
      <w:r w:rsidR="00815F66" w:rsidRPr="0038442F">
        <w:rPr>
          <w:rFonts w:ascii="Verdana" w:hAnsi="Verdana" w:cs="Arial"/>
          <w:sz w:val="20"/>
          <w:szCs w:val="20"/>
          <w:lang w:val="pt-BR"/>
        </w:rPr>
        <w:t xml:space="preserve"> subordina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se centra </w:t>
      </w:r>
      <w:r w:rsidR="00C92762" w:rsidRPr="0038442F">
        <w:rPr>
          <w:rFonts w:ascii="Verdana" w:hAnsi="Verdana" w:cs="Arial"/>
          <w:sz w:val="20"/>
          <w:szCs w:val="20"/>
          <w:lang w:val="pt-BR"/>
        </w:rPr>
        <w:t xml:space="preserve">em uma </w:t>
      </w:r>
      <w:r w:rsidR="00815F66" w:rsidRPr="0038442F">
        <w:rPr>
          <w:rFonts w:ascii="Verdana" w:hAnsi="Verdana" w:cs="Arial"/>
          <w:sz w:val="20"/>
          <w:szCs w:val="20"/>
          <w:lang w:val="pt-BR"/>
        </w:rPr>
        <w:t>zona geográfica determinada o</w:t>
      </w:r>
      <w:r w:rsidR="005907B2" w:rsidRPr="0038442F">
        <w:rPr>
          <w:rFonts w:ascii="Verdana" w:hAnsi="Verdana" w:cs="Arial"/>
          <w:sz w:val="20"/>
          <w:szCs w:val="20"/>
          <w:lang w:val="pt-BR"/>
        </w:rPr>
        <w:t xml:space="preserve">u pode </w:t>
      </w:r>
      <w:r w:rsidR="00815F66" w:rsidRPr="0038442F">
        <w:rPr>
          <w:rFonts w:ascii="Verdana" w:hAnsi="Verdana" w:cs="Arial"/>
          <w:sz w:val="20"/>
          <w:szCs w:val="20"/>
          <w:lang w:val="pt-BR"/>
        </w:rPr>
        <w:t>ser generalizada e</w:t>
      </w:r>
      <w:r w:rsidR="005907B2" w:rsidRPr="0038442F">
        <w:rPr>
          <w:rFonts w:ascii="Verdana" w:hAnsi="Verdana" w:cs="Arial"/>
          <w:sz w:val="20"/>
          <w:szCs w:val="20"/>
          <w:lang w:val="pt-BR"/>
        </w:rPr>
        <w:t>m</w:t>
      </w:r>
      <w:r w:rsidR="00815F66" w:rsidRPr="0038442F">
        <w:rPr>
          <w:rFonts w:ascii="Verdana" w:hAnsi="Verdana" w:cs="Arial"/>
          <w:sz w:val="20"/>
          <w:szCs w:val="20"/>
          <w:lang w:val="pt-BR"/>
        </w:rPr>
        <w:t xml:space="preserve"> todo </w:t>
      </w:r>
      <w:r w:rsidR="005907B2" w:rsidRPr="0038442F">
        <w:rPr>
          <w:rFonts w:ascii="Verdana" w:hAnsi="Verdana" w:cs="Arial"/>
          <w:sz w:val="20"/>
          <w:szCs w:val="20"/>
          <w:lang w:val="pt-BR"/>
        </w:rPr>
        <w:t xml:space="preserve">o </w:t>
      </w:r>
      <w:r w:rsidR="00815F66" w:rsidRPr="0038442F">
        <w:rPr>
          <w:rFonts w:ascii="Verdana" w:hAnsi="Verdana" w:cs="Arial"/>
          <w:sz w:val="20"/>
          <w:szCs w:val="20"/>
          <w:lang w:val="pt-BR"/>
        </w:rPr>
        <w:t>territ</w:t>
      </w:r>
      <w:r w:rsidR="005907B2" w:rsidRPr="0038442F">
        <w:rPr>
          <w:rFonts w:ascii="Verdana" w:hAnsi="Verdana" w:cs="Arial"/>
          <w:sz w:val="20"/>
          <w:szCs w:val="20"/>
          <w:lang w:val="pt-BR"/>
        </w:rPr>
        <w:t xml:space="preserve">ório de um </w:t>
      </w:r>
      <w:r w:rsidR="00815F66" w:rsidRPr="0038442F">
        <w:rPr>
          <w:rFonts w:ascii="Verdana" w:hAnsi="Verdana" w:cs="Arial"/>
          <w:sz w:val="20"/>
          <w:szCs w:val="20"/>
          <w:lang w:val="pt-BR"/>
        </w:rPr>
        <w:t>Estado</w:t>
      </w:r>
      <w:r w:rsidR="005907B2" w:rsidRPr="0038442F">
        <w:rPr>
          <w:rFonts w:ascii="Verdana" w:hAnsi="Verdana" w:cs="Arial"/>
          <w:sz w:val="20"/>
          <w:szCs w:val="20"/>
          <w:lang w:val="pt-BR"/>
        </w:rPr>
        <w:t xml:space="preserve">, </w:t>
      </w:r>
      <w:r w:rsidR="00EB7E7E" w:rsidRPr="0038442F">
        <w:rPr>
          <w:rFonts w:ascii="Verdana" w:hAnsi="Verdana" w:cs="Arial"/>
          <w:sz w:val="20"/>
          <w:szCs w:val="20"/>
          <w:lang w:val="pt-BR"/>
        </w:rPr>
        <w:t xml:space="preserve">podendo, </w:t>
      </w:r>
      <w:r w:rsidR="005907B2" w:rsidRPr="0038442F">
        <w:rPr>
          <w:rFonts w:ascii="Verdana" w:hAnsi="Verdana" w:cs="Arial"/>
          <w:sz w:val="20"/>
          <w:szCs w:val="20"/>
          <w:lang w:val="pt-BR"/>
        </w:rPr>
        <w:t xml:space="preserve">em alguns </w:t>
      </w:r>
      <w:r w:rsidR="00815F66" w:rsidRPr="0038442F">
        <w:rPr>
          <w:rFonts w:ascii="Verdana" w:hAnsi="Verdana" w:cs="Arial"/>
          <w:sz w:val="20"/>
          <w:szCs w:val="20"/>
          <w:lang w:val="pt-BR"/>
        </w:rPr>
        <w:t>casos</w:t>
      </w:r>
      <w:r w:rsidR="005907B2" w:rsidRPr="0038442F">
        <w:rPr>
          <w:rFonts w:ascii="Verdana" w:hAnsi="Verdana" w:cs="Arial"/>
          <w:sz w:val="20"/>
          <w:szCs w:val="20"/>
          <w:lang w:val="pt-BR"/>
        </w:rPr>
        <w:t>,</w:t>
      </w:r>
      <w:r w:rsidR="00815F66" w:rsidRPr="0038442F">
        <w:rPr>
          <w:rFonts w:ascii="Verdana" w:hAnsi="Verdana" w:cs="Arial"/>
          <w:sz w:val="20"/>
          <w:szCs w:val="20"/>
          <w:lang w:val="pt-BR"/>
        </w:rPr>
        <w:t xml:space="preserve"> ser intergeracional</w:t>
      </w:r>
      <w:r w:rsidR="00EB7E7E" w:rsidRPr="0038442F">
        <w:rPr>
          <w:rFonts w:ascii="Verdana" w:hAnsi="Verdana" w:cs="Arial"/>
          <w:sz w:val="20"/>
          <w:szCs w:val="20"/>
          <w:lang w:val="pt-BR"/>
        </w:rPr>
        <w:t>;</w:t>
      </w:r>
      <w:r w:rsidR="00815F66" w:rsidRPr="0038442F">
        <w:rPr>
          <w:rFonts w:ascii="Verdana" w:hAnsi="Verdana" w:cs="Arial"/>
          <w:sz w:val="20"/>
          <w:szCs w:val="20"/>
          <w:lang w:val="pt-BR"/>
        </w:rPr>
        <w:t xml:space="preserve"> </w:t>
      </w:r>
      <w:r w:rsidR="005907B2" w:rsidRPr="0038442F">
        <w:rPr>
          <w:rFonts w:ascii="Verdana" w:hAnsi="Verdana" w:cs="Arial"/>
          <w:sz w:val="20"/>
          <w:szCs w:val="20"/>
          <w:lang w:val="pt-BR"/>
        </w:rPr>
        <w:t>e</w:t>
      </w:r>
      <w:r w:rsidR="00815F66" w:rsidRPr="0038442F">
        <w:rPr>
          <w:rFonts w:ascii="Verdana" w:hAnsi="Verdana" w:cs="Arial"/>
          <w:sz w:val="20"/>
          <w:szCs w:val="20"/>
          <w:lang w:val="pt-BR"/>
        </w:rPr>
        <w:t xml:space="preserve"> iv) que </w:t>
      </w:r>
      <w:r w:rsidR="00BF7A10" w:rsidRPr="0038442F">
        <w:rPr>
          <w:rFonts w:ascii="Verdana" w:hAnsi="Verdana" w:cs="Arial"/>
          <w:sz w:val="20"/>
          <w:szCs w:val="20"/>
          <w:lang w:val="pt-BR"/>
        </w:rPr>
        <w:t xml:space="preserve">as pessoas </w:t>
      </w:r>
      <w:r w:rsidR="00815F66" w:rsidRPr="0038442F">
        <w:rPr>
          <w:rFonts w:ascii="Verdana" w:hAnsi="Verdana" w:cs="Arial"/>
          <w:sz w:val="20"/>
          <w:szCs w:val="20"/>
          <w:lang w:val="pt-BR"/>
        </w:rPr>
        <w:t xml:space="preserve">pertencentes a </w:t>
      </w:r>
      <w:r w:rsidR="005907B2" w:rsidRPr="0038442F">
        <w:rPr>
          <w:rFonts w:ascii="Verdana" w:hAnsi="Verdana" w:cs="Arial"/>
          <w:sz w:val="20"/>
          <w:szCs w:val="20"/>
          <w:lang w:val="pt-BR"/>
        </w:rPr>
        <w:t xml:space="preserve">esses </w:t>
      </w:r>
      <w:r w:rsidR="00815F66" w:rsidRPr="0038442F">
        <w:rPr>
          <w:rFonts w:ascii="Verdana" w:hAnsi="Verdana" w:cs="Arial"/>
          <w:sz w:val="20"/>
          <w:szCs w:val="20"/>
          <w:lang w:val="pt-BR"/>
        </w:rPr>
        <w:t xml:space="preserve">grupos, </w:t>
      </w:r>
      <w:r w:rsidR="00EB7E7E" w:rsidRPr="0038442F">
        <w:rPr>
          <w:rFonts w:ascii="Verdana" w:hAnsi="Verdana" w:cs="Arial"/>
          <w:sz w:val="20"/>
          <w:szCs w:val="20"/>
          <w:lang w:val="pt-BR"/>
        </w:rPr>
        <w:t xml:space="preserve">independentemente da </w:t>
      </w:r>
      <w:r w:rsidR="00815F66" w:rsidRPr="0038442F">
        <w:rPr>
          <w:rFonts w:ascii="Verdana" w:hAnsi="Verdana" w:cs="Arial"/>
          <w:sz w:val="20"/>
          <w:szCs w:val="20"/>
          <w:lang w:val="pt-BR"/>
        </w:rPr>
        <w:t>inten</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da </w:t>
      </w:r>
      <w:r w:rsidR="00815F66" w:rsidRPr="0038442F">
        <w:rPr>
          <w:rFonts w:ascii="Verdana" w:hAnsi="Verdana" w:cs="Arial"/>
          <w:sz w:val="20"/>
          <w:szCs w:val="20"/>
          <w:lang w:val="pt-BR"/>
        </w:rPr>
        <w:t xml:space="preserve">norma, </w:t>
      </w:r>
      <w:r w:rsidR="00EB7E7E" w:rsidRPr="0038442F">
        <w:rPr>
          <w:rFonts w:ascii="Verdana" w:hAnsi="Verdana" w:cs="Arial"/>
          <w:sz w:val="20"/>
          <w:szCs w:val="20"/>
          <w:lang w:val="pt-BR"/>
        </w:rPr>
        <w:t>d</w:t>
      </w:r>
      <w:r w:rsidR="00815F66" w:rsidRPr="0038442F">
        <w:rPr>
          <w:rFonts w:ascii="Verdana" w:hAnsi="Verdana" w:cs="Arial"/>
          <w:sz w:val="20"/>
          <w:szCs w:val="20"/>
          <w:lang w:val="pt-BR"/>
        </w:rPr>
        <w:t>a neutralidad</w:t>
      </w:r>
      <w:r w:rsidR="005907B2" w:rsidRPr="0038442F">
        <w:rPr>
          <w:rFonts w:ascii="Verdana" w:hAnsi="Verdana" w:cs="Arial"/>
          <w:sz w:val="20"/>
          <w:szCs w:val="20"/>
          <w:lang w:val="pt-BR"/>
        </w:rPr>
        <w:t>e</w:t>
      </w:r>
      <w:r w:rsidR="00815F66" w:rsidRPr="0038442F">
        <w:rPr>
          <w:rFonts w:ascii="Verdana" w:hAnsi="Verdana" w:cs="Arial"/>
          <w:sz w:val="20"/>
          <w:szCs w:val="20"/>
          <w:lang w:val="pt-BR"/>
        </w:rPr>
        <w:t xml:space="preserve"> o</w:t>
      </w:r>
      <w:r w:rsidR="005907B2" w:rsidRPr="0038442F">
        <w:rPr>
          <w:rFonts w:ascii="Verdana" w:hAnsi="Verdana" w:cs="Arial"/>
          <w:sz w:val="20"/>
          <w:szCs w:val="20"/>
          <w:lang w:val="pt-BR"/>
        </w:rPr>
        <w:t>u</w:t>
      </w:r>
      <w:r w:rsidR="00815F66" w:rsidRPr="0038442F">
        <w:rPr>
          <w:rFonts w:ascii="Verdana" w:hAnsi="Verdana" w:cs="Arial"/>
          <w:sz w:val="20"/>
          <w:szCs w:val="20"/>
          <w:lang w:val="pt-BR"/>
        </w:rPr>
        <w:t xml:space="preserve"> </w:t>
      </w:r>
      <w:r w:rsidR="00EB7E7E" w:rsidRPr="0038442F">
        <w:rPr>
          <w:rFonts w:ascii="Verdana" w:hAnsi="Verdana" w:cs="Arial"/>
          <w:sz w:val="20"/>
          <w:szCs w:val="20"/>
          <w:lang w:val="pt-BR"/>
        </w:rPr>
        <w:t>d</w:t>
      </w:r>
      <w:r w:rsidR="00815F66" w:rsidRPr="0038442F">
        <w:rPr>
          <w:rFonts w:ascii="Verdana" w:hAnsi="Verdana" w:cs="Arial"/>
          <w:sz w:val="20"/>
          <w:szCs w:val="20"/>
          <w:lang w:val="pt-BR"/>
        </w:rPr>
        <w:t>a men</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expre</w:t>
      </w:r>
      <w:r w:rsidR="005907B2" w:rsidRPr="0038442F">
        <w:rPr>
          <w:rFonts w:ascii="Verdana" w:hAnsi="Verdana" w:cs="Arial"/>
          <w:sz w:val="20"/>
          <w:szCs w:val="20"/>
          <w:lang w:val="pt-BR"/>
        </w:rPr>
        <w:t>s</w:t>
      </w:r>
      <w:r w:rsidR="00815F66" w:rsidRPr="0038442F">
        <w:rPr>
          <w:rFonts w:ascii="Verdana" w:hAnsi="Verdana" w:cs="Arial"/>
          <w:sz w:val="20"/>
          <w:szCs w:val="20"/>
          <w:lang w:val="pt-BR"/>
        </w:rPr>
        <w:t>sa de algu</w:t>
      </w:r>
      <w:r w:rsidR="005907B2" w:rsidRPr="0038442F">
        <w:rPr>
          <w:rFonts w:ascii="Verdana" w:hAnsi="Verdana" w:cs="Arial"/>
          <w:sz w:val="20"/>
          <w:szCs w:val="20"/>
          <w:lang w:val="pt-BR"/>
        </w:rPr>
        <w:t>m</w:t>
      </w:r>
      <w:r w:rsidR="00815F66" w:rsidRPr="0038442F">
        <w:rPr>
          <w:rFonts w:ascii="Verdana" w:hAnsi="Verdana" w:cs="Arial"/>
          <w:sz w:val="20"/>
          <w:szCs w:val="20"/>
          <w:lang w:val="pt-BR"/>
        </w:rPr>
        <w:t>a distin</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o</w:t>
      </w:r>
      <w:r w:rsidR="005907B2" w:rsidRPr="0038442F">
        <w:rPr>
          <w:rFonts w:ascii="Verdana" w:hAnsi="Verdana" w:cs="Arial"/>
          <w:sz w:val="20"/>
          <w:szCs w:val="20"/>
          <w:lang w:val="pt-BR"/>
        </w:rPr>
        <w:t>u</w:t>
      </w:r>
      <w:r w:rsidR="00815F66" w:rsidRPr="0038442F">
        <w:rPr>
          <w:rFonts w:ascii="Verdana" w:hAnsi="Verdana" w:cs="Arial"/>
          <w:sz w:val="20"/>
          <w:szCs w:val="20"/>
          <w:lang w:val="pt-BR"/>
        </w:rPr>
        <w:t xml:space="preserve"> restri</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explícita bas</w:t>
      </w:r>
      <w:r w:rsidR="005907B2" w:rsidRPr="0038442F">
        <w:rPr>
          <w:rFonts w:ascii="Verdana" w:hAnsi="Verdana" w:cs="Arial"/>
          <w:sz w:val="20"/>
          <w:szCs w:val="20"/>
          <w:lang w:val="pt-BR"/>
        </w:rPr>
        <w:t>e</w:t>
      </w:r>
      <w:r w:rsidR="00815F66" w:rsidRPr="0038442F">
        <w:rPr>
          <w:rFonts w:ascii="Verdana" w:hAnsi="Verdana" w:cs="Arial"/>
          <w:sz w:val="20"/>
          <w:szCs w:val="20"/>
          <w:lang w:val="pt-BR"/>
        </w:rPr>
        <w:t xml:space="preserve">ada </w:t>
      </w:r>
      <w:r w:rsidR="00CA30C5" w:rsidRPr="0038442F">
        <w:rPr>
          <w:rFonts w:ascii="Verdana" w:hAnsi="Verdana" w:cs="Arial"/>
          <w:sz w:val="20"/>
          <w:szCs w:val="20"/>
          <w:lang w:val="pt-BR"/>
        </w:rPr>
        <w:t xml:space="preserve">nas </w:t>
      </w:r>
      <w:r w:rsidR="00815F66" w:rsidRPr="0038442F">
        <w:rPr>
          <w:rFonts w:ascii="Verdana" w:hAnsi="Verdana" w:cs="Arial"/>
          <w:sz w:val="20"/>
          <w:szCs w:val="20"/>
          <w:lang w:val="pt-BR"/>
        </w:rPr>
        <w:t>enuncia</w:t>
      </w:r>
      <w:r w:rsidR="000A1AA8" w:rsidRPr="0038442F">
        <w:rPr>
          <w:rFonts w:ascii="Verdana" w:hAnsi="Verdana" w:cs="Arial"/>
          <w:sz w:val="20"/>
          <w:szCs w:val="20"/>
          <w:lang w:val="pt-BR"/>
        </w:rPr>
        <w:t>ções</w:t>
      </w:r>
      <w:r w:rsidR="00815F66" w:rsidRPr="0038442F">
        <w:rPr>
          <w:rFonts w:ascii="Verdana" w:hAnsi="Verdana" w:cs="Arial"/>
          <w:sz w:val="20"/>
          <w:szCs w:val="20"/>
          <w:lang w:val="pt-BR"/>
        </w:rPr>
        <w:t xml:space="preserve"> e interpreta</w:t>
      </w:r>
      <w:r w:rsidR="000A1AA8" w:rsidRPr="0038442F">
        <w:rPr>
          <w:rFonts w:ascii="Verdana" w:hAnsi="Verdana" w:cs="Arial"/>
          <w:sz w:val="20"/>
          <w:szCs w:val="20"/>
          <w:lang w:val="pt-BR"/>
        </w:rPr>
        <w:t>ções</w:t>
      </w:r>
      <w:r w:rsidR="00815F66" w:rsidRPr="0038442F">
        <w:rPr>
          <w:rFonts w:ascii="Verdana" w:hAnsi="Verdana" w:cs="Arial"/>
          <w:sz w:val="20"/>
          <w:szCs w:val="20"/>
          <w:lang w:val="pt-BR"/>
        </w:rPr>
        <w:t xml:space="preserve"> </w:t>
      </w:r>
      <w:r w:rsidR="00751189" w:rsidRPr="0038442F">
        <w:rPr>
          <w:rFonts w:ascii="Verdana" w:hAnsi="Verdana" w:cs="Arial"/>
          <w:sz w:val="20"/>
          <w:szCs w:val="20"/>
          <w:lang w:val="pt-BR"/>
        </w:rPr>
        <w:t xml:space="preserve">do artigo </w:t>
      </w:r>
      <w:r w:rsidR="00815F66" w:rsidRPr="0038442F">
        <w:rPr>
          <w:rFonts w:ascii="Verdana" w:hAnsi="Verdana" w:cs="Arial"/>
          <w:sz w:val="20"/>
          <w:szCs w:val="20"/>
          <w:lang w:val="pt-BR"/>
        </w:rPr>
        <w:t xml:space="preserve">1.1 </w:t>
      </w:r>
      <w:r w:rsidR="00C92762" w:rsidRPr="0038442F">
        <w:rPr>
          <w:rFonts w:ascii="Verdana" w:hAnsi="Verdana" w:cs="Arial"/>
          <w:sz w:val="20"/>
          <w:szCs w:val="20"/>
          <w:lang w:val="pt-BR"/>
        </w:rPr>
        <w:t xml:space="preserve">da </w:t>
      </w:r>
      <w:r w:rsidR="00815F66" w:rsidRPr="0038442F">
        <w:rPr>
          <w:rFonts w:ascii="Verdana" w:hAnsi="Verdana" w:cs="Arial"/>
          <w:sz w:val="20"/>
          <w:szCs w:val="20"/>
          <w:lang w:val="pt-BR"/>
        </w:rPr>
        <w:t>Conven</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Americana, </w:t>
      </w:r>
      <w:r w:rsidR="005907B2" w:rsidRPr="0038442F">
        <w:rPr>
          <w:rFonts w:ascii="Verdana" w:hAnsi="Verdana" w:cs="Arial"/>
          <w:sz w:val="20"/>
          <w:szCs w:val="20"/>
          <w:lang w:val="pt-BR"/>
        </w:rPr>
        <w:t xml:space="preserve">são </w:t>
      </w:r>
      <w:r w:rsidR="00C92762" w:rsidRPr="0038442F">
        <w:rPr>
          <w:rFonts w:ascii="Verdana" w:hAnsi="Verdana" w:cs="Arial"/>
          <w:sz w:val="20"/>
          <w:szCs w:val="20"/>
          <w:lang w:val="pt-BR"/>
        </w:rPr>
        <w:t>vítimas</w:t>
      </w:r>
      <w:r w:rsidR="00407242" w:rsidRPr="0038442F">
        <w:rPr>
          <w:rFonts w:ascii="Verdana" w:hAnsi="Verdana" w:cs="Arial"/>
          <w:sz w:val="20"/>
          <w:szCs w:val="20"/>
          <w:lang w:val="pt-BR"/>
        </w:rPr>
        <w:t xml:space="preserve"> </w:t>
      </w:r>
      <w:r w:rsidR="00815F66" w:rsidRPr="0038442F">
        <w:rPr>
          <w:rFonts w:ascii="Verdana" w:hAnsi="Verdana" w:cs="Arial"/>
          <w:sz w:val="20"/>
          <w:szCs w:val="20"/>
          <w:lang w:val="pt-BR"/>
        </w:rPr>
        <w:t>de discrimina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indireta o</w:t>
      </w:r>
      <w:r w:rsidR="005907B2" w:rsidRPr="0038442F">
        <w:rPr>
          <w:rFonts w:ascii="Verdana" w:hAnsi="Verdana" w:cs="Arial"/>
          <w:sz w:val="20"/>
          <w:szCs w:val="20"/>
          <w:lang w:val="pt-BR"/>
        </w:rPr>
        <w:t xml:space="preserve">u, </w:t>
      </w:r>
      <w:r w:rsidR="00E00C49" w:rsidRPr="0038442F">
        <w:rPr>
          <w:rFonts w:ascii="Verdana" w:hAnsi="Verdana" w:cs="Arial"/>
          <w:sz w:val="20"/>
          <w:szCs w:val="20"/>
          <w:lang w:val="pt-BR"/>
        </w:rPr>
        <w:t>então</w:t>
      </w:r>
      <w:r w:rsidR="005907B2" w:rsidRPr="0038442F">
        <w:rPr>
          <w:rFonts w:ascii="Verdana" w:hAnsi="Verdana" w:cs="Arial"/>
          <w:sz w:val="20"/>
          <w:szCs w:val="20"/>
          <w:lang w:val="pt-BR"/>
        </w:rPr>
        <w:t xml:space="preserve">, </w:t>
      </w:r>
      <w:r w:rsidR="00815F66" w:rsidRPr="0038442F">
        <w:rPr>
          <w:rFonts w:ascii="Verdana" w:hAnsi="Verdana" w:cs="Arial"/>
          <w:sz w:val="20"/>
          <w:szCs w:val="20"/>
          <w:lang w:val="pt-BR"/>
        </w:rPr>
        <w:t>de discrimina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w:t>
      </w:r>
      <w:r w:rsidR="00815F66" w:rsidRPr="0038442F">
        <w:rPr>
          <w:rFonts w:ascii="Verdana" w:hAnsi="Verdana" w:cs="Arial"/>
          <w:i/>
          <w:sz w:val="20"/>
          <w:szCs w:val="20"/>
          <w:lang w:val="pt-BR"/>
        </w:rPr>
        <w:t>de</w:t>
      </w:r>
      <w:r w:rsidR="00815F66" w:rsidRPr="0038442F">
        <w:rPr>
          <w:rFonts w:ascii="Verdana" w:hAnsi="Verdana" w:cs="Arial"/>
          <w:sz w:val="20"/>
          <w:szCs w:val="20"/>
          <w:lang w:val="pt-BR"/>
        </w:rPr>
        <w:t xml:space="preserve"> </w:t>
      </w:r>
      <w:r w:rsidR="00815F66" w:rsidRPr="0038442F">
        <w:rPr>
          <w:rFonts w:ascii="Verdana" w:hAnsi="Verdana" w:cs="Arial"/>
          <w:i/>
          <w:sz w:val="20"/>
          <w:szCs w:val="20"/>
          <w:lang w:val="pt-BR"/>
        </w:rPr>
        <w:t>facto,</w:t>
      </w:r>
      <w:r w:rsidR="00815F66" w:rsidRPr="0038442F">
        <w:rPr>
          <w:rFonts w:ascii="Verdana" w:hAnsi="Verdana" w:cs="Arial"/>
          <w:sz w:val="20"/>
          <w:szCs w:val="20"/>
          <w:lang w:val="pt-BR"/>
        </w:rPr>
        <w:t xml:space="preserve"> </w:t>
      </w:r>
      <w:r w:rsidR="006A12FD" w:rsidRPr="0038442F">
        <w:rPr>
          <w:rFonts w:ascii="Verdana" w:hAnsi="Verdana" w:cs="Arial"/>
          <w:sz w:val="20"/>
          <w:szCs w:val="20"/>
          <w:lang w:val="pt-BR"/>
        </w:rPr>
        <w:t>pela</w:t>
      </w:r>
      <w:r w:rsidR="005907B2" w:rsidRPr="0038442F">
        <w:rPr>
          <w:rFonts w:ascii="Verdana" w:hAnsi="Verdana" w:cs="Arial"/>
          <w:sz w:val="20"/>
          <w:szCs w:val="20"/>
          <w:lang w:val="pt-BR"/>
        </w:rPr>
        <w:t xml:space="preserve"> conduta do Estado ou pela </w:t>
      </w:r>
      <w:r w:rsidR="00815F66" w:rsidRPr="0038442F">
        <w:rPr>
          <w:rFonts w:ascii="Verdana" w:hAnsi="Verdana" w:cs="Arial"/>
          <w:sz w:val="20"/>
          <w:szCs w:val="20"/>
          <w:lang w:val="pt-BR"/>
        </w:rPr>
        <w:t>aplica</w:t>
      </w:r>
      <w:r w:rsidR="000A1AA8" w:rsidRPr="0038442F">
        <w:rPr>
          <w:rFonts w:ascii="Verdana" w:hAnsi="Verdana" w:cs="Arial"/>
          <w:sz w:val="20"/>
          <w:szCs w:val="20"/>
          <w:lang w:val="pt-BR"/>
        </w:rPr>
        <w:t>ção</w:t>
      </w:r>
      <w:r w:rsidR="00815F66" w:rsidRPr="0038442F">
        <w:rPr>
          <w:rFonts w:ascii="Verdana" w:hAnsi="Verdana" w:cs="Arial"/>
          <w:sz w:val="20"/>
          <w:szCs w:val="20"/>
          <w:lang w:val="pt-BR"/>
        </w:rPr>
        <w:t xml:space="preserve"> de medidas o</w:t>
      </w:r>
      <w:r w:rsidR="005907B2" w:rsidRPr="0038442F">
        <w:rPr>
          <w:rFonts w:ascii="Verdana" w:hAnsi="Verdana" w:cs="Arial"/>
          <w:sz w:val="20"/>
          <w:szCs w:val="20"/>
          <w:lang w:val="pt-BR"/>
        </w:rPr>
        <w:t>u</w:t>
      </w:r>
      <w:r w:rsidR="00815F66" w:rsidRPr="0038442F">
        <w:rPr>
          <w:rFonts w:ascii="Verdana" w:hAnsi="Verdana" w:cs="Arial"/>
          <w:sz w:val="20"/>
          <w:szCs w:val="20"/>
          <w:lang w:val="pt-BR"/>
        </w:rPr>
        <w:t xml:space="preserve"> </w:t>
      </w:r>
      <w:r w:rsidR="006A12FD" w:rsidRPr="0038442F">
        <w:rPr>
          <w:rFonts w:ascii="Verdana" w:hAnsi="Verdana" w:cs="Arial"/>
          <w:sz w:val="20"/>
          <w:szCs w:val="20"/>
          <w:lang w:val="pt-BR"/>
        </w:rPr>
        <w:t>ações</w:t>
      </w:r>
      <w:r w:rsidR="00407242" w:rsidRPr="0038442F">
        <w:rPr>
          <w:rFonts w:ascii="Verdana" w:hAnsi="Verdana" w:cs="Arial"/>
          <w:sz w:val="20"/>
          <w:szCs w:val="20"/>
          <w:lang w:val="pt-BR"/>
        </w:rPr>
        <w:t xml:space="preserve"> </w:t>
      </w:r>
      <w:r w:rsidR="005907B2" w:rsidRPr="0038442F">
        <w:rPr>
          <w:rFonts w:ascii="Verdana" w:hAnsi="Verdana" w:cs="Arial"/>
          <w:sz w:val="20"/>
          <w:szCs w:val="20"/>
          <w:lang w:val="pt-BR"/>
        </w:rPr>
        <w:t xml:space="preserve">por ele </w:t>
      </w:r>
      <w:r w:rsidR="00815F66" w:rsidRPr="0038442F">
        <w:rPr>
          <w:rFonts w:ascii="Verdana" w:hAnsi="Verdana" w:cs="Arial"/>
          <w:sz w:val="20"/>
          <w:szCs w:val="20"/>
          <w:lang w:val="pt-BR"/>
        </w:rPr>
        <w:t xml:space="preserve">implementadas. </w:t>
      </w:r>
    </w:p>
    <w:p w14:paraId="71E57707" w14:textId="77777777" w:rsidR="00815F66" w:rsidRPr="0038442F" w:rsidRDefault="00815F66" w:rsidP="00A857CB">
      <w:pPr>
        <w:pStyle w:val="Prrafodelista"/>
        <w:spacing w:after="0" w:line="240" w:lineRule="auto"/>
        <w:ind w:left="0"/>
        <w:jc w:val="both"/>
        <w:rPr>
          <w:rFonts w:ascii="Verdana" w:hAnsi="Verdana" w:cs="System Font Regular"/>
          <w:sz w:val="20"/>
          <w:szCs w:val="20"/>
          <w:u w:val="single"/>
          <w:lang w:val="pt-BR"/>
        </w:rPr>
      </w:pPr>
    </w:p>
    <w:p w14:paraId="0B1428F4" w14:textId="06A7592E" w:rsidR="00815F66" w:rsidRPr="0038442F" w:rsidRDefault="00685AC6" w:rsidP="00685AC6">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66. </w:t>
      </w:r>
      <w:r w:rsidRPr="0038442F">
        <w:rPr>
          <w:rFonts w:ascii="Verdana" w:hAnsi="Verdana" w:cs="System Font Regular"/>
          <w:sz w:val="20"/>
          <w:szCs w:val="20"/>
          <w:lang w:val="pt-BR"/>
        </w:rPr>
        <w:tab/>
      </w:r>
      <w:r w:rsidR="00247F19" w:rsidRPr="0038442F">
        <w:rPr>
          <w:rFonts w:ascii="Verdana" w:hAnsi="Verdana" w:cs="System Font Regular"/>
          <w:sz w:val="20"/>
          <w:szCs w:val="20"/>
          <w:lang w:val="pt-BR"/>
        </w:rPr>
        <w:t>No caso, i) as 66 vítimas apresentavam diversas características, como a condição econômica, o gênero, a idade</w:t>
      </w:r>
      <w:r w:rsidR="00E00C49" w:rsidRPr="0038442F">
        <w:rPr>
          <w:rFonts w:ascii="Verdana" w:hAnsi="Verdana" w:cs="System Font Regular"/>
          <w:sz w:val="20"/>
          <w:szCs w:val="20"/>
          <w:lang w:val="pt-BR"/>
        </w:rPr>
        <w:t xml:space="preserve"> e</w:t>
      </w:r>
      <w:r w:rsidR="00247F19" w:rsidRPr="0038442F">
        <w:rPr>
          <w:rFonts w:ascii="Verdana" w:hAnsi="Verdana" w:cs="System Font Regular"/>
          <w:sz w:val="20"/>
          <w:szCs w:val="20"/>
          <w:lang w:val="pt-BR"/>
        </w:rPr>
        <w:t xml:space="preserve"> a raça, </w:t>
      </w:r>
      <w:r w:rsidR="00E00C49" w:rsidRPr="0038442F">
        <w:rPr>
          <w:rFonts w:ascii="Verdana" w:hAnsi="Verdana" w:cs="System Font Regular"/>
          <w:sz w:val="20"/>
          <w:szCs w:val="20"/>
          <w:lang w:val="pt-BR"/>
        </w:rPr>
        <w:t>e</w:t>
      </w:r>
      <w:r w:rsidR="00247F19" w:rsidRPr="0038442F">
        <w:rPr>
          <w:rFonts w:ascii="Verdana" w:hAnsi="Verdana" w:cs="System Font Regular"/>
          <w:sz w:val="20"/>
          <w:szCs w:val="20"/>
          <w:lang w:val="pt-BR"/>
        </w:rPr>
        <w:t xml:space="preserve"> algumas estavam grávidas;</w:t>
      </w:r>
      <w:r w:rsidR="00247F19" w:rsidRPr="0038442F">
        <w:rPr>
          <w:rStyle w:val="Refdenotaalpie"/>
          <w:rFonts w:ascii="Verdana" w:hAnsi="Verdana" w:cs="System Font Regular"/>
          <w:sz w:val="20"/>
          <w:szCs w:val="20"/>
          <w:lang w:val="pt-BR"/>
        </w:rPr>
        <w:footnoteReference w:id="111"/>
      </w:r>
      <w:r w:rsidR="00247F19" w:rsidRPr="0038442F">
        <w:rPr>
          <w:rFonts w:ascii="Verdana" w:hAnsi="Verdana" w:cs="System Font Regular"/>
          <w:sz w:val="20"/>
          <w:szCs w:val="20"/>
          <w:lang w:val="pt-BR"/>
        </w:rPr>
        <w:t xml:space="preserve"> ii) identificou-se que os bairros onde vive a maioria </w:t>
      </w:r>
      <w:r w:rsidR="00247F19" w:rsidRPr="0038442F">
        <w:rPr>
          <w:rStyle w:val="None"/>
          <w:rFonts w:ascii="Verdana" w:eastAsia="Arial Unicode MS" w:hAnsi="Verdana"/>
          <w:sz w:val="20"/>
          <w:szCs w:val="20"/>
          <w:lang w:val="pt-BR"/>
        </w:rPr>
        <w:t>das trabalhadoras e dos trabalhadores da fábrica se caracterizam não só pela pobreza, mas também pela falta de acesso à educação formal.</w:t>
      </w:r>
      <w:r w:rsidR="00815F66" w:rsidRPr="0038442F">
        <w:rPr>
          <w:rStyle w:val="None"/>
          <w:rFonts w:ascii="Verdana" w:eastAsia="Arial Unicode MS" w:hAnsi="Verdana"/>
          <w:sz w:val="20"/>
          <w:szCs w:val="20"/>
          <w:lang w:val="pt-BR"/>
        </w:rPr>
        <w:t xml:space="preserve"> </w:t>
      </w:r>
      <w:r w:rsidR="00247F19" w:rsidRPr="0038442F">
        <w:rPr>
          <w:rStyle w:val="None"/>
          <w:rFonts w:ascii="Verdana" w:eastAsia="Arial Unicode MS" w:hAnsi="Verdana"/>
          <w:sz w:val="20"/>
          <w:szCs w:val="20"/>
          <w:lang w:val="pt-BR"/>
        </w:rPr>
        <w:t>Esses lugares tinham (têm), ademais, problemas de falta de infraestrutura, especialmente em relação ao saneamento básico</w:t>
      </w:r>
      <w:r w:rsidR="00E00C49" w:rsidRPr="0038442F">
        <w:rPr>
          <w:rStyle w:val="None"/>
          <w:rFonts w:ascii="Verdana" w:eastAsia="Arial Unicode MS" w:hAnsi="Verdana"/>
          <w:sz w:val="20"/>
          <w:szCs w:val="20"/>
          <w:lang w:val="pt-BR"/>
        </w:rPr>
        <w:t>, e neles</w:t>
      </w:r>
      <w:r w:rsidR="00247F19" w:rsidRPr="0038442F">
        <w:rPr>
          <w:rStyle w:val="None"/>
          <w:rFonts w:ascii="Verdana" w:eastAsia="Arial Unicode MS" w:hAnsi="Verdana"/>
          <w:sz w:val="20"/>
          <w:szCs w:val="20"/>
          <w:lang w:val="pt-BR"/>
        </w:rPr>
        <w:t xml:space="preserve"> predomi</w:t>
      </w:r>
      <w:r w:rsidR="00E00C49" w:rsidRPr="0038442F">
        <w:rPr>
          <w:rStyle w:val="None"/>
          <w:rFonts w:ascii="Verdana" w:eastAsia="Arial Unicode MS" w:hAnsi="Verdana"/>
          <w:sz w:val="20"/>
          <w:szCs w:val="20"/>
          <w:lang w:val="pt-BR"/>
        </w:rPr>
        <w:t>nam</w:t>
      </w:r>
      <w:r w:rsidR="00247F19" w:rsidRPr="0038442F">
        <w:rPr>
          <w:rStyle w:val="None"/>
          <w:rFonts w:ascii="Verdana" w:eastAsia="Arial Unicode MS" w:hAnsi="Verdana"/>
          <w:sz w:val="20"/>
          <w:szCs w:val="20"/>
          <w:lang w:val="pt-BR"/>
        </w:rPr>
        <w:t xml:space="preserve"> pessoas com baixos níveis de educação e, consequentemente, com baixa renda;</w:t>
      </w:r>
      <w:r w:rsidR="00247F19" w:rsidRPr="0038442F">
        <w:rPr>
          <w:rStyle w:val="Refdenotaalpie"/>
          <w:rFonts w:ascii="Verdana" w:eastAsia="Arial Unicode MS" w:hAnsi="Verdana"/>
          <w:sz w:val="20"/>
          <w:szCs w:val="20"/>
          <w:lang w:val="pt-BR"/>
        </w:rPr>
        <w:footnoteReference w:id="112"/>
      </w:r>
      <w:r w:rsidR="00247F19" w:rsidRPr="0038442F">
        <w:rPr>
          <w:rStyle w:val="None"/>
          <w:rFonts w:ascii="Verdana" w:eastAsia="Arial Unicode MS" w:hAnsi="Verdana"/>
          <w:sz w:val="20"/>
          <w:szCs w:val="20"/>
          <w:lang w:val="pt-BR"/>
        </w:rPr>
        <w:t xml:space="preserve"> iii) os fatos se centravam nos bairros periféricos de Santo Antônio de Jesus, “Irmã Dulce” e “São Paulo”, no E</w:t>
      </w:r>
      <w:r w:rsidR="00247F19" w:rsidRPr="0038442F">
        <w:rPr>
          <w:rStyle w:val="None"/>
          <w:rFonts w:ascii="Verdana" w:eastAsia="Verdana" w:hAnsi="Verdana"/>
          <w:sz w:val="20"/>
          <w:szCs w:val="20"/>
          <w:lang w:val="pt-BR"/>
        </w:rPr>
        <w:t>stado da Bahia;</w:t>
      </w:r>
      <w:r w:rsidR="00247F19" w:rsidRPr="0038442F">
        <w:rPr>
          <w:rStyle w:val="Refdenotaalpie"/>
          <w:rFonts w:ascii="Verdana" w:eastAsia="Verdana" w:hAnsi="Verdana"/>
          <w:sz w:val="20"/>
          <w:szCs w:val="20"/>
          <w:lang w:val="pt-BR"/>
        </w:rPr>
        <w:footnoteReference w:id="113"/>
      </w:r>
      <w:r w:rsidR="00247F19" w:rsidRPr="0038442F">
        <w:rPr>
          <w:rStyle w:val="None"/>
          <w:rFonts w:ascii="Verdana" w:eastAsia="Verdana" w:hAnsi="Verdana"/>
          <w:sz w:val="20"/>
          <w:szCs w:val="20"/>
          <w:lang w:val="pt-BR"/>
        </w:rPr>
        <w:t xml:space="preserve"> e iv) em que pese a existência de normas internas que regulamentavam (e estabeleciam) a fiscalização dos trabalhos perigosos e a proibição do trabalho infantil, a ineficaz aplicação destas e a nula a</w:t>
      </w:r>
      <w:r w:rsidR="000F0525">
        <w:rPr>
          <w:rStyle w:val="None"/>
          <w:rFonts w:ascii="Verdana" w:eastAsia="Verdana" w:hAnsi="Verdana"/>
          <w:sz w:val="20"/>
          <w:szCs w:val="20"/>
          <w:lang w:val="pt-BR"/>
        </w:rPr>
        <w:t>tu</w:t>
      </w:r>
      <w:r w:rsidR="00247F19" w:rsidRPr="0038442F">
        <w:rPr>
          <w:rStyle w:val="None"/>
          <w:rFonts w:ascii="Verdana" w:eastAsia="Verdana" w:hAnsi="Verdana"/>
          <w:sz w:val="20"/>
          <w:szCs w:val="20"/>
          <w:lang w:val="pt-BR"/>
        </w:rPr>
        <w:t xml:space="preserve">ção das autoridades levou a que, na realidade, </w:t>
      </w:r>
      <w:r w:rsidR="00247F19" w:rsidRPr="0038442F">
        <w:rPr>
          <w:rFonts w:ascii="Verdana" w:hAnsi="Verdana"/>
          <w:sz w:val="20"/>
          <w:szCs w:val="20"/>
          <w:lang w:val="pt-BR"/>
        </w:rPr>
        <w:t>uma atividade econômica especialmente perigosa se tenha instalado na área com altos índices de pobreza e marginalização da população que ali residia e reside.</w:t>
      </w:r>
      <w:r w:rsidR="00247F19" w:rsidRPr="0038442F">
        <w:rPr>
          <w:rStyle w:val="Refdenotaalpie"/>
          <w:rFonts w:ascii="Verdana" w:hAnsi="Verdana"/>
          <w:sz w:val="20"/>
          <w:szCs w:val="20"/>
          <w:lang w:val="pt-BR"/>
        </w:rPr>
        <w:footnoteReference w:id="114"/>
      </w:r>
      <w:r w:rsidR="00247F19" w:rsidRPr="0038442F">
        <w:rPr>
          <w:rFonts w:ascii="Verdana" w:hAnsi="Verdana"/>
          <w:sz w:val="20"/>
          <w:szCs w:val="20"/>
          <w:lang w:val="pt-BR"/>
        </w:rPr>
        <w:t xml:space="preserve"> Foi com base nessas considerações que a sentença chegou a que as vítimas foram objeto de uma discriminação estrutural por sua posição econômica. </w:t>
      </w:r>
    </w:p>
    <w:p w14:paraId="1F73D137" w14:textId="77777777" w:rsidR="00815F66" w:rsidRPr="0038442F" w:rsidRDefault="00815F66" w:rsidP="00A857CB">
      <w:pPr>
        <w:pStyle w:val="Prrafodelista"/>
        <w:spacing w:after="0" w:line="240" w:lineRule="auto"/>
        <w:ind w:left="0"/>
        <w:jc w:val="both"/>
        <w:rPr>
          <w:rFonts w:ascii="Verdana" w:hAnsi="Verdana" w:cs="System Font Regular"/>
          <w:sz w:val="20"/>
          <w:szCs w:val="20"/>
          <w:lang w:val="pt-BR"/>
        </w:rPr>
      </w:pPr>
    </w:p>
    <w:p w14:paraId="392DE3C7" w14:textId="5C526A2A" w:rsidR="004C7D21" w:rsidRPr="0038442F" w:rsidRDefault="00685AC6" w:rsidP="00685AC6">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67. </w:t>
      </w:r>
      <w:r w:rsidRPr="0038442F">
        <w:rPr>
          <w:rFonts w:ascii="Verdana" w:hAnsi="Verdana" w:cs="System Font Regular"/>
          <w:sz w:val="20"/>
          <w:szCs w:val="20"/>
          <w:lang w:val="pt-BR"/>
        </w:rPr>
        <w:tab/>
      </w:r>
      <w:r w:rsidR="00032DD5" w:rsidRPr="0038442F">
        <w:rPr>
          <w:rFonts w:ascii="Verdana" w:hAnsi="Verdana" w:cs="System Font Regular"/>
          <w:sz w:val="20"/>
          <w:szCs w:val="20"/>
          <w:lang w:val="pt-BR"/>
        </w:rPr>
        <w:t xml:space="preserve">Isso </w:t>
      </w:r>
      <w:r w:rsidR="00C23682" w:rsidRPr="0038442F">
        <w:rPr>
          <w:rFonts w:ascii="Verdana" w:hAnsi="Verdana" w:cs="System Font Regular"/>
          <w:sz w:val="20"/>
          <w:szCs w:val="20"/>
          <w:lang w:val="pt-BR"/>
        </w:rPr>
        <w:t>posto</w:t>
      </w:r>
      <w:r w:rsidR="00815F66" w:rsidRPr="0038442F">
        <w:rPr>
          <w:rFonts w:ascii="Verdana" w:hAnsi="Verdana" w:cs="System Font Regular"/>
          <w:sz w:val="20"/>
          <w:szCs w:val="20"/>
          <w:lang w:val="pt-BR"/>
        </w:rPr>
        <w:t xml:space="preserve">, </w:t>
      </w:r>
      <w:r w:rsidR="00032DD5" w:rsidRPr="0038442F">
        <w:rPr>
          <w:rFonts w:ascii="Verdana" w:hAnsi="Verdana" w:cs="System Font Regular"/>
          <w:sz w:val="20"/>
          <w:szCs w:val="20"/>
          <w:lang w:val="pt-BR"/>
        </w:rPr>
        <w:t xml:space="preserve">diferentemente </w:t>
      </w:r>
      <w:r w:rsidR="00815F66" w:rsidRPr="0038442F">
        <w:rPr>
          <w:rFonts w:ascii="Verdana" w:hAnsi="Verdana" w:cs="System Font Regular"/>
          <w:sz w:val="20"/>
          <w:szCs w:val="20"/>
          <w:lang w:val="pt-BR"/>
        </w:rPr>
        <w:t>d</w:t>
      </w:r>
      <w:r w:rsidR="00032DD5" w:rsidRPr="0038442F">
        <w:rPr>
          <w:rFonts w:ascii="Verdana" w:hAnsi="Verdana" w:cs="System Font Regular"/>
          <w:sz w:val="20"/>
          <w:szCs w:val="20"/>
          <w:lang w:val="pt-BR"/>
        </w:rPr>
        <w:t xml:space="preserve">o </w:t>
      </w:r>
      <w:r w:rsidR="00032DD5" w:rsidRPr="0038442F">
        <w:rPr>
          <w:rFonts w:ascii="Verdana" w:hAnsi="Verdana" w:cs="System Font Regular"/>
          <w:i/>
          <w:sz w:val="20"/>
          <w:szCs w:val="20"/>
          <w:lang w:val="pt-BR"/>
        </w:rPr>
        <w:t xml:space="preserve">Caso </w:t>
      </w:r>
      <w:r w:rsidR="00D274C6" w:rsidRPr="0038442F">
        <w:rPr>
          <w:rFonts w:ascii="Verdana" w:hAnsi="Verdana" w:cs="System Font Regular"/>
          <w:i/>
          <w:iCs/>
          <w:sz w:val="20"/>
          <w:szCs w:val="20"/>
          <w:lang w:val="pt-BR"/>
        </w:rPr>
        <w:t xml:space="preserve">Trabalhadores da Fazenda </w:t>
      </w:r>
      <w:r w:rsidR="00815F66" w:rsidRPr="0038442F">
        <w:rPr>
          <w:rFonts w:ascii="Verdana" w:hAnsi="Verdana" w:cs="System Font Regular"/>
          <w:i/>
          <w:iCs/>
          <w:sz w:val="20"/>
          <w:szCs w:val="20"/>
          <w:lang w:val="pt-BR"/>
        </w:rPr>
        <w:t>Brasil Verde</w:t>
      </w:r>
      <w:r w:rsidR="00C23682" w:rsidRPr="0038442F">
        <w:rPr>
          <w:rFonts w:ascii="Verdana" w:hAnsi="Verdana" w:cs="System Font Regular"/>
          <w:iCs/>
          <w:sz w:val="20"/>
          <w:szCs w:val="20"/>
          <w:lang w:val="pt-BR"/>
        </w:rPr>
        <w:t>,</w:t>
      </w:r>
      <w:r w:rsidR="00815F66" w:rsidRPr="0038442F">
        <w:rPr>
          <w:rFonts w:ascii="Verdana" w:hAnsi="Verdana" w:cs="System Font Regular"/>
          <w:sz w:val="20"/>
          <w:szCs w:val="20"/>
          <w:lang w:val="pt-BR"/>
        </w:rPr>
        <w:t xml:space="preserve"> </w:t>
      </w:r>
      <w:r w:rsidR="00C23682" w:rsidRPr="0038442F">
        <w:rPr>
          <w:rFonts w:ascii="Verdana" w:hAnsi="Verdana" w:cs="System Font Regular"/>
          <w:sz w:val="20"/>
          <w:szCs w:val="20"/>
          <w:lang w:val="pt-BR"/>
        </w:rPr>
        <w:t xml:space="preserve">em que a </w:t>
      </w:r>
      <w:r w:rsidR="00815F66" w:rsidRPr="0038442F">
        <w:rPr>
          <w:rFonts w:ascii="Verdana" w:hAnsi="Verdana" w:cs="System Font Regular"/>
          <w:sz w:val="20"/>
          <w:szCs w:val="20"/>
          <w:lang w:val="pt-BR"/>
        </w:rPr>
        <w:t>anális</w:t>
      </w:r>
      <w:r w:rsidR="00C23682" w:rsidRPr="0038442F">
        <w:rPr>
          <w:rFonts w:ascii="Verdana" w:hAnsi="Verdana" w:cs="System Font Regular"/>
          <w:sz w:val="20"/>
          <w:szCs w:val="20"/>
          <w:lang w:val="pt-BR"/>
        </w:rPr>
        <w:t>e</w:t>
      </w:r>
      <w:r w:rsidR="00815F66"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815F66" w:rsidRPr="0038442F">
        <w:rPr>
          <w:rFonts w:ascii="Verdana" w:hAnsi="Verdana" w:cs="System Font Regular"/>
          <w:sz w:val="20"/>
          <w:szCs w:val="20"/>
          <w:lang w:val="pt-BR"/>
        </w:rPr>
        <w:t>discrimina</w:t>
      </w:r>
      <w:r w:rsidR="000A1AA8" w:rsidRPr="0038442F">
        <w:rPr>
          <w:rFonts w:ascii="Verdana" w:hAnsi="Verdana" w:cs="System Font Regular"/>
          <w:sz w:val="20"/>
          <w:szCs w:val="20"/>
          <w:lang w:val="pt-BR"/>
        </w:rPr>
        <w:t>ção</w:t>
      </w:r>
      <w:r w:rsidR="00815F66"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estrutural</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 xml:space="preserve">se </w:t>
      </w:r>
      <w:r w:rsidR="00C23682" w:rsidRPr="0038442F">
        <w:rPr>
          <w:rFonts w:ascii="Verdana" w:hAnsi="Verdana" w:cs="System Font Regular"/>
          <w:sz w:val="20"/>
          <w:szCs w:val="20"/>
          <w:lang w:val="pt-BR"/>
        </w:rPr>
        <w:t>centrou u</w:t>
      </w:r>
      <w:r w:rsidR="00815F66" w:rsidRPr="0038442F">
        <w:rPr>
          <w:rFonts w:ascii="Verdana" w:hAnsi="Verdana" w:cs="System Font Regular"/>
          <w:sz w:val="20"/>
          <w:szCs w:val="20"/>
          <w:lang w:val="pt-BR"/>
        </w:rPr>
        <w:t xml:space="preserve">nicamente </w:t>
      </w:r>
      <w:r w:rsidR="00BF7A10" w:rsidRPr="0038442F">
        <w:rPr>
          <w:rFonts w:ascii="Verdana" w:hAnsi="Verdana" w:cs="System Font Regular"/>
          <w:sz w:val="20"/>
          <w:szCs w:val="20"/>
          <w:lang w:val="pt-BR"/>
        </w:rPr>
        <w:t xml:space="preserve">na </w:t>
      </w:r>
      <w:r w:rsidR="00815F66" w:rsidRPr="0038442F">
        <w:rPr>
          <w:rFonts w:ascii="Verdana" w:hAnsi="Verdana" w:cs="System Font Regular"/>
          <w:sz w:val="20"/>
          <w:szCs w:val="20"/>
          <w:lang w:val="pt-BR"/>
        </w:rPr>
        <w:t>posi</w:t>
      </w:r>
      <w:r w:rsidR="000A1AA8" w:rsidRPr="0038442F">
        <w:rPr>
          <w:rFonts w:ascii="Verdana" w:hAnsi="Verdana" w:cs="System Font Regular"/>
          <w:sz w:val="20"/>
          <w:szCs w:val="20"/>
          <w:lang w:val="pt-BR"/>
        </w:rPr>
        <w:t>ção</w:t>
      </w:r>
      <w:r w:rsidR="00815F66"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econômica</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das </w:t>
      </w:r>
      <w:r w:rsidR="00815F66" w:rsidRPr="0038442F">
        <w:rPr>
          <w:rFonts w:ascii="Verdana" w:hAnsi="Verdana" w:cs="System Font Regular"/>
          <w:sz w:val="20"/>
          <w:szCs w:val="20"/>
          <w:lang w:val="pt-BR"/>
        </w:rPr>
        <w:t xml:space="preserve">85 </w:t>
      </w:r>
      <w:r w:rsidR="00C92762" w:rsidRPr="0038442F">
        <w:rPr>
          <w:rFonts w:ascii="Verdana" w:hAnsi="Verdana" w:cs="System Font Regular"/>
          <w:sz w:val="20"/>
          <w:szCs w:val="20"/>
          <w:lang w:val="pt-BR"/>
        </w:rPr>
        <w:t>vítimas</w:t>
      </w:r>
      <w:r w:rsidR="00815F66"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no </w:t>
      </w:r>
      <w:r w:rsidR="00C23682" w:rsidRPr="0038442F">
        <w:rPr>
          <w:rFonts w:ascii="Verdana" w:hAnsi="Verdana" w:cs="System Font Regular"/>
          <w:i/>
          <w:sz w:val="20"/>
          <w:szCs w:val="20"/>
          <w:lang w:val="pt-BR"/>
        </w:rPr>
        <w:t xml:space="preserve">Caso </w:t>
      </w:r>
      <w:r w:rsidR="00C23682" w:rsidRPr="0038442F">
        <w:rPr>
          <w:rFonts w:ascii="Verdana" w:hAnsi="Verdana" w:cs="System Font Regular"/>
          <w:i/>
          <w:iCs/>
          <w:sz w:val="20"/>
          <w:szCs w:val="20"/>
          <w:lang w:val="pt-BR"/>
        </w:rPr>
        <w:t xml:space="preserve">Trabalhadores </w:t>
      </w:r>
      <w:r w:rsidR="00C92762" w:rsidRPr="0038442F">
        <w:rPr>
          <w:rFonts w:ascii="Verdana" w:hAnsi="Verdana" w:cs="System Font Regular"/>
          <w:i/>
          <w:iCs/>
          <w:sz w:val="20"/>
          <w:szCs w:val="20"/>
          <w:lang w:val="pt-BR"/>
        </w:rPr>
        <w:t xml:space="preserve">da </w:t>
      </w:r>
      <w:r w:rsidR="00815F66" w:rsidRPr="0038442F">
        <w:rPr>
          <w:rFonts w:ascii="Verdana" w:hAnsi="Verdana" w:cs="System Font Regular"/>
          <w:i/>
          <w:iCs/>
          <w:sz w:val="20"/>
          <w:szCs w:val="20"/>
          <w:lang w:val="pt-BR"/>
        </w:rPr>
        <w:t>F</w:t>
      </w:r>
      <w:r w:rsidR="009C4046" w:rsidRPr="0038442F">
        <w:rPr>
          <w:rFonts w:ascii="Verdana" w:hAnsi="Verdana" w:cs="System Font Regular"/>
          <w:i/>
          <w:iCs/>
          <w:sz w:val="20"/>
          <w:szCs w:val="20"/>
          <w:lang w:val="pt-BR"/>
        </w:rPr>
        <w:t>á</w:t>
      </w:r>
      <w:r w:rsidR="00815F66" w:rsidRPr="0038442F">
        <w:rPr>
          <w:rFonts w:ascii="Verdana" w:hAnsi="Verdana" w:cs="System Font Regular"/>
          <w:i/>
          <w:iCs/>
          <w:sz w:val="20"/>
          <w:szCs w:val="20"/>
          <w:lang w:val="pt-BR"/>
        </w:rPr>
        <w:t xml:space="preserve">brica de </w:t>
      </w:r>
      <w:r w:rsidR="00751189" w:rsidRPr="0038442F">
        <w:rPr>
          <w:rFonts w:ascii="Verdana" w:hAnsi="Verdana" w:cs="System Font Regular"/>
          <w:i/>
          <w:iCs/>
          <w:sz w:val="20"/>
          <w:szCs w:val="20"/>
          <w:lang w:val="pt-BR"/>
        </w:rPr>
        <w:t>Fogos</w:t>
      </w:r>
      <w:r w:rsidR="00815F66" w:rsidRPr="0038442F">
        <w:rPr>
          <w:rFonts w:ascii="Verdana" w:hAnsi="Verdana" w:cs="System Font Regular"/>
          <w:sz w:val="20"/>
          <w:szCs w:val="20"/>
          <w:lang w:val="pt-BR"/>
        </w:rPr>
        <w:t>, agrega</w:t>
      </w:r>
      <w:r w:rsidR="000F0525">
        <w:rPr>
          <w:rFonts w:ascii="Verdana" w:hAnsi="Verdana" w:cs="System Font Regular"/>
          <w:sz w:val="20"/>
          <w:szCs w:val="20"/>
          <w:lang w:val="pt-BR"/>
        </w:rPr>
        <w:t>-se</w:t>
      </w:r>
      <w:r w:rsidR="00815F66" w:rsidRPr="0038442F">
        <w:rPr>
          <w:rFonts w:ascii="Verdana" w:hAnsi="Verdana" w:cs="System Font Regular"/>
          <w:sz w:val="20"/>
          <w:szCs w:val="20"/>
          <w:lang w:val="pt-BR"/>
        </w:rPr>
        <w:t xml:space="preserve"> u</w:t>
      </w:r>
      <w:r w:rsidR="00C23682" w:rsidRPr="0038442F">
        <w:rPr>
          <w:rFonts w:ascii="Verdana" w:hAnsi="Verdana" w:cs="System Font Regular"/>
          <w:sz w:val="20"/>
          <w:szCs w:val="20"/>
          <w:lang w:val="pt-BR"/>
        </w:rPr>
        <w:t xml:space="preserve">m novo </w:t>
      </w:r>
      <w:r w:rsidR="00815F66" w:rsidRPr="0038442F">
        <w:rPr>
          <w:rFonts w:ascii="Verdana" w:hAnsi="Verdana" w:cs="System Font Regular"/>
          <w:sz w:val="20"/>
          <w:szCs w:val="20"/>
          <w:lang w:val="pt-BR"/>
        </w:rPr>
        <w:t xml:space="preserve">enfoque: </w:t>
      </w:r>
      <w:r w:rsidR="00C23682" w:rsidRPr="0038442F">
        <w:rPr>
          <w:rFonts w:ascii="Verdana" w:hAnsi="Verdana" w:cs="System Font Regular"/>
          <w:sz w:val="20"/>
          <w:szCs w:val="20"/>
          <w:lang w:val="pt-BR"/>
        </w:rPr>
        <w:t xml:space="preserve">o </w:t>
      </w:r>
      <w:r w:rsidR="006445EE" w:rsidRPr="0038442F">
        <w:rPr>
          <w:rFonts w:ascii="Verdana" w:hAnsi="Verdana" w:cs="System Font Regular"/>
          <w:sz w:val="20"/>
          <w:szCs w:val="20"/>
          <w:lang w:val="pt-BR"/>
        </w:rPr>
        <w:t>intersecional</w:t>
      </w:r>
      <w:r w:rsidR="000B1CE7" w:rsidRPr="0038442F">
        <w:rPr>
          <w:rFonts w:ascii="Verdana" w:hAnsi="Verdana" w:cs="System Font Regular"/>
          <w:sz w:val="20"/>
          <w:szCs w:val="20"/>
          <w:lang w:val="pt-BR"/>
        </w:rPr>
        <w:t xml:space="preserve">. </w:t>
      </w:r>
    </w:p>
    <w:p w14:paraId="308816FF" w14:textId="77777777" w:rsidR="004C7D21" w:rsidRPr="0038442F" w:rsidRDefault="004C7D21" w:rsidP="004C7D21">
      <w:pPr>
        <w:pStyle w:val="Prrafodelista"/>
        <w:rPr>
          <w:rFonts w:ascii="Verdana" w:hAnsi="Verdana" w:cs="System Font Regular"/>
          <w:sz w:val="20"/>
          <w:szCs w:val="20"/>
          <w:lang w:val="pt-BR"/>
        </w:rPr>
      </w:pPr>
    </w:p>
    <w:p w14:paraId="6FE6F5F9" w14:textId="55740589" w:rsidR="00815F66" w:rsidRPr="0038442F" w:rsidRDefault="00685AC6" w:rsidP="00685AC6">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68. </w:t>
      </w:r>
      <w:r w:rsidRPr="0038442F">
        <w:rPr>
          <w:rFonts w:ascii="Verdana" w:hAnsi="Verdana" w:cs="System Font Regular"/>
          <w:sz w:val="20"/>
          <w:szCs w:val="20"/>
          <w:lang w:val="pt-BR"/>
        </w:rPr>
        <w:tab/>
      </w:r>
      <w:r w:rsidR="00C23682" w:rsidRPr="0038442F">
        <w:rPr>
          <w:rFonts w:ascii="Verdana" w:hAnsi="Verdana" w:cs="System Font Regular"/>
          <w:sz w:val="20"/>
          <w:szCs w:val="20"/>
          <w:lang w:val="pt-BR"/>
        </w:rPr>
        <w:t xml:space="preserve">Com esse entendimento, a </w:t>
      </w:r>
      <w:r w:rsidR="00BF7A10" w:rsidRPr="0038442F">
        <w:rPr>
          <w:rFonts w:ascii="Verdana" w:hAnsi="Verdana" w:cs="System Font Regular"/>
          <w:sz w:val="20"/>
          <w:szCs w:val="20"/>
          <w:lang w:val="pt-BR"/>
        </w:rPr>
        <w:t>sentença</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analisa</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 xml:space="preserve">a forma </w:t>
      </w:r>
      <w:r w:rsidR="00D77CD5" w:rsidRPr="0038442F">
        <w:rPr>
          <w:rFonts w:ascii="Verdana" w:hAnsi="Verdana" w:cs="System Font Regular"/>
          <w:sz w:val="20"/>
          <w:szCs w:val="20"/>
          <w:lang w:val="pt-BR"/>
        </w:rPr>
        <w:t>mediante a qual</w:t>
      </w:r>
      <w:r w:rsidR="00C23682" w:rsidRPr="0038442F">
        <w:rPr>
          <w:rFonts w:ascii="Verdana" w:hAnsi="Verdana" w:cs="System Font Regular"/>
          <w:sz w:val="20"/>
          <w:szCs w:val="20"/>
          <w:lang w:val="pt-BR"/>
        </w:rPr>
        <w:t xml:space="preserve">, paralelamente à </w:t>
      </w:r>
      <w:r w:rsidR="00815F66" w:rsidRPr="0038442F">
        <w:rPr>
          <w:rFonts w:ascii="Verdana" w:hAnsi="Verdana" w:cs="System Font Regular"/>
          <w:sz w:val="20"/>
          <w:szCs w:val="20"/>
          <w:lang w:val="pt-BR"/>
        </w:rPr>
        <w:t>posi</w:t>
      </w:r>
      <w:r w:rsidR="000A1AA8" w:rsidRPr="0038442F">
        <w:rPr>
          <w:rFonts w:ascii="Verdana" w:hAnsi="Verdana" w:cs="System Font Regular"/>
          <w:sz w:val="20"/>
          <w:szCs w:val="20"/>
          <w:lang w:val="pt-BR"/>
        </w:rPr>
        <w:t>ção</w:t>
      </w:r>
      <w:r w:rsidR="00815F66"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econômica</w:t>
      </w:r>
      <w:r w:rsidR="00771AAA" w:rsidRPr="0038442F">
        <w:rPr>
          <w:rFonts w:ascii="Verdana" w:hAnsi="Verdana" w:cs="System Font Regular"/>
          <w:sz w:val="20"/>
          <w:szCs w:val="20"/>
          <w:lang w:val="pt-BR"/>
        </w:rPr>
        <w:t>,</w:t>
      </w:r>
      <w:r w:rsidR="00815F66" w:rsidRPr="0038442F">
        <w:rPr>
          <w:rFonts w:ascii="Verdana" w:hAnsi="Verdana" w:cs="System Font Regular"/>
          <w:sz w:val="20"/>
          <w:szCs w:val="20"/>
          <w:lang w:val="pt-BR"/>
        </w:rPr>
        <w:t xml:space="preserve"> coexiste</w:t>
      </w:r>
      <w:r w:rsidR="00C23682" w:rsidRPr="0038442F">
        <w:rPr>
          <w:rFonts w:ascii="Verdana" w:hAnsi="Verdana" w:cs="System Font Regular"/>
          <w:sz w:val="20"/>
          <w:szCs w:val="20"/>
          <w:lang w:val="pt-BR"/>
        </w:rPr>
        <w:t xml:space="preserve">m em </w:t>
      </w:r>
      <w:r w:rsidR="00C92762" w:rsidRPr="0038442F">
        <w:rPr>
          <w:rFonts w:ascii="Verdana" w:hAnsi="Verdana" w:cs="System Font Regular"/>
          <w:sz w:val="20"/>
          <w:szCs w:val="20"/>
          <w:lang w:val="pt-BR"/>
        </w:rPr>
        <w:t>algumas</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das vítimas</w:t>
      </w:r>
      <w:r w:rsidR="00407242"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outras</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formas de discrimina</w:t>
      </w:r>
      <w:r w:rsidR="000A1AA8" w:rsidRPr="0038442F">
        <w:rPr>
          <w:rFonts w:ascii="Verdana" w:hAnsi="Verdana" w:cs="System Font Regular"/>
          <w:sz w:val="20"/>
          <w:szCs w:val="20"/>
          <w:lang w:val="pt-BR"/>
        </w:rPr>
        <w:t>ção</w:t>
      </w:r>
      <w:r w:rsidR="00815F66" w:rsidRPr="0038442F">
        <w:rPr>
          <w:rFonts w:ascii="Verdana" w:hAnsi="Verdana" w:cs="System Font Regular"/>
          <w:sz w:val="20"/>
          <w:szCs w:val="20"/>
          <w:lang w:val="pt-BR"/>
        </w:rPr>
        <w:t xml:space="preserve"> que </w:t>
      </w:r>
      <w:r w:rsidR="005135E5" w:rsidRPr="0038442F">
        <w:rPr>
          <w:rFonts w:ascii="Verdana" w:hAnsi="Verdana" w:cs="System Font Regular"/>
          <w:sz w:val="20"/>
          <w:szCs w:val="20"/>
          <w:lang w:val="pt-BR"/>
        </w:rPr>
        <w:t>também</w:t>
      </w:r>
      <w:r w:rsidR="00407242" w:rsidRPr="0038442F">
        <w:rPr>
          <w:rFonts w:ascii="Verdana" w:hAnsi="Verdana" w:cs="System Font Regular"/>
          <w:sz w:val="20"/>
          <w:szCs w:val="20"/>
          <w:lang w:val="pt-BR"/>
        </w:rPr>
        <w:t xml:space="preserve"> </w:t>
      </w:r>
      <w:r w:rsidR="00C23682" w:rsidRPr="0038442F">
        <w:rPr>
          <w:rFonts w:ascii="Verdana" w:hAnsi="Verdana" w:cs="System Font Regular"/>
          <w:sz w:val="20"/>
          <w:szCs w:val="20"/>
          <w:lang w:val="pt-BR"/>
        </w:rPr>
        <w:t xml:space="preserve">estão associadas </w:t>
      </w:r>
      <w:r w:rsidR="00815F66" w:rsidRPr="0038442F">
        <w:rPr>
          <w:rFonts w:ascii="Verdana" w:hAnsi="Verdana" w:cs="System Font Regular"/>
          <w:sz w:val="20"/>
          <w:szCs w:val="20"/>
          <w:lang w:val="pt-BR"/>
        </w:rPr>
        <w:t xml:space="preserve">a </w:t>
      </w:r>
      <w:r w:rsidR="00CA30C5" w:rsidRPr="0038442F">
        <w:rPr>
          <w:rFonts w:ascii="Verdana" w:hAnsi="Verdana" w:cs="System Font Regular"/>
          <w:sz w:val="20"/>
          <w:szCs w:val="20"/>
          <w:lang w:val="pt-BR"/>
        </w:rPr>
        <w:t>fatores</w:t>
      </w:r>
      <w:r w:rsidR="00407242"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estruturais</w:t>
      </w:r>
      <w:r w:rsidR="00C23682" w:rsidRPr="0038442F">
        <w:rPr>
          <w:rFonts w:ascii="Verdana" w:hAnsi="Verdana" w:cs="System Font Regular"/>
          <w:sz w:val="20"/>
          <w:szCs w:val="20"/>
          <w:lang w:val="pt-BR"/>
        </w:rPr>
        <w:t>,</w:t>
      </w:r>
      <w:r w:rsidR="006A12FD" w:rsidRPr="0038442F">
        <w:rPr>
          <w:rFonts w:ascii="Verdana" w:hAnsi="Verdana" w:cs="System Font Regular"/>
          <w:sz w:val="20"/>
          <w:szCs w:val="20"/>
          <w:lang w:val="pt-BR"/>
        </w:rPr>
        <w:t xml:space="preserve"> </w:t>
      </w:r>
      <w:r w:rsidR="00C23682" w:rsidRPr="0038442F">
        <w:rPr>
          <w:rFonts w:ascii="Verdana" w:hAnsi="Verdana" w:cs="System Font Regular"/>
          <w:sz w:val="20"/>
          <w:szCs w:val="20"/>
          <w:lang w:val="pt-BR"/>
        </w:rPr>
        <w:t xml:space="preserve">como o </w:t>
      </w:r>
      <w:r w:rsidR="005907B2" w:rsidRPr="0038442F">
        <w:rPr>
          <w:rFonts w:ascii="Verdana" w:hAnsi="Verdana" w:cs="System Font Regular"/>
          <w:sz w:val="20"/>
          <w:szCs w:val="20"/>
          <w:lang w:val="pt-BR"/>
        </w:rPr>
        <w:t>gênero</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o</w:t>
      </w:r>
      <w:r w:rsidR="00C23682" w:rsidRPr="0038442F">
        <w:rPr>
          <w:rFonts w:ascii="Verdana" w:hAnsi="Verdana" w:cs="System Font Regular"/>
          <w:sz w:val="20"/>
          <w:szCs w:val="20"/>
          <w:lang w:val="pt-BR"/>
        </w:rPr>
        <w:t>u</w:t>
      </w:r>
      <w:r w:rsidR="00815F66" w:rsidRPr="0038442F">
        <w:rPr>
          <w:rFonts w:ascii="Verdana" w:hAnsi="Verdana" w:cs="System Font Regular"/>
          <w:sz w:val="20"/>
          <w:szCs w:val="20"/>
          <w:lang w:val="pt-BR"/>
        </w:rPr>
        <w:t xml:space="preserve"> a ra</w:t>
      </w:r>
      <w:r w:rsidR="00C23682" w:rsidRPr="0038442F">
        <w:rPr>
          <w:rFonts w:ascii="Verdana" w:hAnsi="Verdana" w:cs="System Font Regular"/>
          <w:sz w:val="20"/>
          <w:szCs w:val="20"/>
          <w:lang w:val="pt-BR"/>
        </w:rPr>
        <w:t>ç</w:t>
      </w:r>
      <w:r w:rsidR="004C7D21" w:rsidRPr="0038442F">
        <w:rPr>
          <w:rFonts w:ascii="Verdana" w:hAnsi="Verdana" w:cs="System Font Regular"/>
          <w:sz w:val="20"/>
          <w:szCs w:val="20"/>
          <w:lang w:val="pt-BR"/>
        </w:rPr>
        <w:t>a</w:t>
      </w:r>
      <w:r w:rsidR="00C2368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Pod</w:t>
      </w:r>
      <w:r w:rsidR="00C23682" w:rsidRPr="0038442F">
        <w:rPr>
          <w:rFonts w:ascii="Verdana" w:hAnsi="Verdana" w:cs="System Font Regular"/>
          <w:sz w:val="20"/>
          <w:szCs w:val="20"/>
          <w:lang w:val="pt-BR"/>
        </w:rPr>
        <w:t>e</w:t>
      </w:r>
      <w:r w:rsidR="00815F66" w:rsidRPr="0038442F">
        <w:rPr>
          <w:rFonts w:ascii="Verdana" w:hAnsi="Verdana" w:cs="System Font Regular"/>
          <w:sz w:val="20"/>
          <w:szCs w:val="20"/>
          <w:lang w:val="pt-BR"/>
        </w:rPr>
        <w:t xml:space="preserve">ríamos entender, </w:t>
      </w:r>
      <w:r w:rsidR="00C23682" w:rsidRPr="0038442F">
        <w:rPr>
          <w:rFonts w:ascii="Verdana" w:hAnsi="Verdana" w:cs="System Font Regular"/>
          <w:sz w:val="20"/>
          <w:szCs w:val="20"/>
          <w:lang w:val="pt-BR"/>
        </w:rPr>
        <w:t xml:space="preserve">então, que a </w:t>
      </w:r>
      <w:r w:rsidR="00BF7A10" w:rsidRPr="0038442F">
        <w:rPr>
          <w:rFonts w:ascii="Verdana" w:hAnsi="Verdana" w:cs="System Font Regular"/>
          <w:sz w:val="20"/>
          <w:szCs w:val="20"/>
          <w:lang w:val="pt-BR"/>
        </w:rPr>
        <w:t xml:space="preserve">sentença </w:t>
      </w:r>
      <w:r w:rsidR="00D77CD5" w:rsidRPr="0038442F">
        <w:rPr>
          <w:rFonts w:ascii="Verdana" w:hAnsi="Verdana" w:cs="System Font Regular"/>
          <w:sz w:val="20"/>
          <w:szCs w:val="20"/>
          <w:lang w:val="pt-BR"/>
        </w:rPr>
        <w:t>co</w:t>
      </w:r>
      <w:r w:rsidR="00A7059A">
        <w:rPr>
          <w:rFonts w:ascii="Verdana" w:hAnsi="Verdana" w:cs="System Font Regular"/>
          <w:sz w:val="20"/>
          <w:szCs w:val="20"/>
          <w:lang w:val="pt-BR"/>
        </w:rPr>
        <w:t>ntribui para</w:t>
      </w:r>
      <w:r w:rsidR="00C23682" w:rsidRPr="0038442F">
        <w:rPr>
          <w:rFonts w:ascii="Verdana" w:hAnsi="Verdana" w:cs="System Font Regular"/>
          <w:sz w:val="20"/>
          <w:szCs w:val="20"/>
          <w:lang w:val="pt-BR"/>
        </w:rPr>
        <w:t xml:space="preserve"> </w:t>
      </w:r>
      <w:r w:rsidR="00A7059A">
        <w:rPr>
          <w:rFonts w:ascii="Verdana" w:hAnsi="Verdana" w:cs="System Font Regular"/>
          <w:sz w:val="20"/>
          <w:szCs w:val="20"/>
          <w:lang w:val="pt-BR"/>
        </w:rPr>
        <w:t>a</w:t>
      </w:r>
      <w:r w:rsidR="00C23682" w:rsidRPr="0038442F">
        <w:rPr>
          <w:rFonts w:ascii="Verdana" w:hAnsi="Verdana" w:cs="System Font Regular"/>
          <w:sz w:val="20"/>
          <w:szCs w:val="20"/>
          <w:lang w:val="pt-BR"/>
        </w:rPr>
        <w:t xml:space="preserve"> </w:t>
      </w:r>
      <w:r w:rsidR="00A7059A">
        <w:rPr>
          <w:rFonts w:ascii="Verdana" w:hAnsi="Verdana" w:cs="System Font Regular"/>
          <w:sz w:val="20"/>
          <w:szCs w:val="20"/>
          <w:lang w:val="pt-BR"/>
        </w:rPr>
        <w:t>compreensão</w:t>
      </w:r>
      <w:r w:rsidR="00A7059A"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A85477" w:rsidRPr="0038442F">
        <w:rPr>
          <w:rFonts w:ascii="Verdana" w:hAnsi="Verdana" w:cs="System Font Regular"/>
          <w:sz w:val="20"/>
          <w:szCs w:val="20"/>
          <w:lang w:val="pt-BR"/>
        </w:rPr>
        <w:t>“</w:t>
      </w:r>
      <w:r w:rsidR="00815F66" w:rsidRPr="0038442F">
        <w:rPr>
          <w:rFonts w:ascii="Verdana" w:hAnsi="Verdana" w:cs="System Font Regular"/>
          <w:sz w:val="20"/>
          <w:szCs w:val="20"/>
          <w:lang w:val="pt-BR"/>
        </w:rPr>
        <w:t>discrimina</w:t>
      </w:r>
      <w:r w:rsidR="000A1AA8" w:rsidRPr="0038442F">
        <w:rPr>
          <w:rFonts w:ascii="Verdana" w:hAnsi="Verdana" w:cs="System Font Regular"/>
          <w:sz w:val="20"/>
          <w:szCs w:val="20"/>
          <w:lang w:val="pt-BR"/>
        </w:rPr>
        <w:t>ção</w:t>
      </w:r>
      <w:r w:rsidR="00815F66"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estrutural</w:t>
      </w:r>
      <w:r w:rsidR="00407242"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intersecional</w:t>
      </w:r>
      <w:r w:rsidR="00815F66" w:rsidRPr="0038442F">
        <w:rPr>
          <w:rFonts w:ascii="Verdana" w:hAnsi="Verdana" w:cs="System Font Regular"/>
          <w:sz w:val="20"/>
          <w:szCs w:val="20"/>
          <w:lang w:val="pt-BR"/>
        </w:rPr>
        <w:t>”</w:t>
      </w:r>
      <w:r w:rsidR="000B1CE7" w:rsidRPr="0038442F">
        <w:rPr>
          <w:rFonts w:ascii="Verdana" w:hAnsi="Verdana" w:cs="System Font Regular"/>
          <w:sz w:val="20"/>
          <w:szCs w:val="20"/>
          <w:lang w:val="pt-BR"/>
        </w:rPr>
        <w:t xml:space="preserve"> e</w:t>
      </w:r>
      <w:r w:rsidR="00C23682" w:rsidRPr="0038442F">
        <w:rPr>
          <w:rFonts w:ascii="Verdana" w:hAnsi="Verdana" w:cs="System Font Regular"/>
          <w:sz w:val="20"/>
          <w:szCs w:val="20"/>
          <w:lang w:val="pt-BR"/>
        </w:rPr>
        <w:t>m</w:t>
      </w:r>
      <w:r w:rsidR="000B1CE7" w:rsidRPr="0038442F">
        <w:rPr>
          <w:rFonts w:ascii="Verdana" w:hAnsi="Verdana" w:cs="System Font Regular"/>
          <w:sz w:val="20"/>
          <w:szCs w:val="20"/>
          <w:lang w:val="pt-BR"/>
        </w:rPr>
        <w:t xml:space="preserve"> casos particulares</w:t>
      </w:r>
      <w:r w:rsidR="00815F66" w:rsidRPr="0038442F">
        <w:rPr>
          <w:rFonts w:ascii="Verdana" w:hAnsi="Verdana" w:cs="System Font Regular"/>
          <w:sz w:val="20"/>
          <w:szCs w:val="20"/>
          <w:lang w:val="pt-BR"/>
        </w:rPr>
        <w:t>. Finalmente, existe u</w:t>
      </w:r>
      <w:r w:rsidR="00C23682" w:rsidRPr="0038442F">
        <w:rPr>
          <w:rFonts w:ascii="Verdana" w:hAnsi="Verdana" w:cs="System Font Regular"/>
          <w:sz w:val="20"/>
          <w:szCs w:val="20"/>
          <w:lang w:val="pt-BR"/>
        </w:rPr>
        <w:t>m</w:t>
      </w:r>
      <w:r w:rsidR="00815F66" w:rsidRPr="0038442F">
        <w:rPr>
          <w:rFonts w:ascii="Verdana" w:hAnsi="Verdana" w:cs="System Font Regular"/>
          <w:sz w:val="20"/>
          <w:szCs w:val="20"/>
          <w:lang w:val="pt-BR"/>
        </w:rPr>
        <w:t xml:space="preserve"> conjunto de </w:t>
      </w:r>
      <w:r w:rsidR="00C92762" w:rsidRPr="0038442F">
        <w:rPr>
          <w:rFonts w:ascii="Verdana" w:hAnsi="Verdana" w:cs="System Font Regular"/>
          <w:sz w:val="20"/>
          <w:szCs w:val="20"/>
          <w:lang w:val="pt-BR"/>
        </w:rPr>
        <w:t>vítimas</w:t>
      </w:r>
      <w:r w:rsidR="00407242" w:rsidRPr="0038442F">
        <w:rPr>
          <w:rFonts w:ascii="Verdana" w:hAnsi="Verdana" w:cs="System Font Regular"/>
          <w:sz w:val="20"/>
          <w:szCs w:val="20"/>
          <w:lang w:val="pt-BR"/>
        </w:rPr>
        <w:t xml:space="preserve"> </w:t>
      </w:r>
      <w:r w:rsidR="00D77CD5" w:rsidRPr="0038442F">
        <w:rPr>
          <w:rFonts w:ascii="Verdana" w:hAnsi="Verdana" w:cs="System Font Regular"/>
          <w:sz w:val="20"/>
          <w:szCs w:val="20"/>
          <w:lang w:val="pt-BR"/>
        </w:rPr>
        <w:t>ao qual</w:t>
      </w:r>
      <w:r w:rsidR="00815F66" w:rsidRPr="0038442F">
        <w:rPr>
          <w:rFonts w:ascii="Verdana" w:hAnsi="Verdana" w:cs="System Font Regular"/>
          <w:sz w:val="20"/>
          <w:szCs w:val="20"/>
          <w:lang w:val="pt-BR"/>
        </w:rPr>
        <w:t xml:space="preserve">, </w:t>
      </w:r>
      <w:r w:rsidR="00C23682" w:rsidRPr="0038442F">
        <w:rPr>
          <w:rFonts w:ascii="Verdana" w:hAnsi="Verdana" w:cs="System Font Regular"/>
          <w:sz w:val="20"/>
          <w:szCs w:val="20"/>
          <w:lang w:val="pt-BR"/>
        </w:rPr>
        <w:t xml:space="preserve">além dos </w:t>
      </w:r>
      <w:r w:rsidR="00CA30C5" w:rsidRPr="0038442F">
        <w:rPr>
          <w:rFonts w:ascii="Verdana" w:hAnsi="Verdana" w:cs="System Font Regular"/>
          <w:sz w:val="20"/>
          <w:szCs w:val="20"/>
          <w:lang w:val="pt-BR"/>
        </w:rPr>
        <w:t>fatores</w:t>
      </w:r>
      <w:r w:rsidR="00407242"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estruturais</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intersecion</w:t>
      </w:r>
      <w:r w:rsidR="00C92762" w:rsidRPr="0038442F">
        <w:rPr>
          <w:rFonts w:ascii="Verdana" w:hAnsi="Verdana" w:cs="System Font Regular"/>
          <w:sz w:val="20"/>
          <w:szCs w:val="20"/>
          <w:lang w:val="pt-BR"/>
        </w:rPr>
        <w:t>ais</w:t>
      </w:r>
      <w:r w:rsidR="003B53AA" w:rsidRPr="0038442F">
        <w:rPr>
          <w:rFonts w:ascii="Verdana" w:hAnsi="Verdana" w:cs="System Font Regular"/>
          <w:sz w:val="20"/>
          <w:szCs w:val="20"/>
          <w:lang w:val="pt-BR"/>
        </w:rPr>
        <w:t xml:space="preserve">, </w:t>
      </w:r>
      <w:r w:rsidR="00591D26">
        <w:rPr>
          <w:rFonts w:ascii="Verdana" w:hAnsi="Verdana" w:cs="System Font Regular"/>
          <w:sz w:val="20"/>
          <w:szCs w:val="20"/>
          <w:lang w:val="pt-BR"/>
        </w:rPr>
        <w:t>soma-se</w:t>
      </w:r>
      <w:r w:rsidR="00C23682" w:rsidRPr="0038442F">
        <w:rPr>
          <w:rFonts w:ascii="Verdana" w:hAnsi="Verdana" w:cs="System Font Regular"/>
          <w:sz w:val="20"/>
          <w:szCs w:val="20"/>
          <w:lang w:val="pt-BR"/>
        </w:rPr>
        <w:t xml:space="preserve"> a idade </w:t>
      </w:r>
      <w:r w:rsidR="00815F66" w:rsidRPr="0038442F">
        <w:rPr>
          <w:rFonts w:ascii="Verdana" w:hAnsi="Verdana" w:cs="System Font Regular"/>
          <w:sz w:val="20"/>
          <w:szCs w:val="20"/>
          <w:lang w:val="pt-BR"/>
        </w:rPr>
        <w:t>(</w:t>
      </w:r>
      <w:r w:rsidR="00751189" w:rsidRPr="0038442F">
        <w:rPr>
          <w:rFonts w:ascii="Verdana" w:hAnsi="Verdana" w:cs="System Font Regular"/>
          <w:sz w:val="20"/>
          <w:szCs w:val="20"/>
          <w:lang w:val="pt-BR"/>
        </w:rPr>
        <w:t xml:space="preserve">no </w:t>
      </w:r>
      <w:r w:rsidR="00815F66" w:rsidRPr="0038442F">
        <w:rPr>
          <w:rFonts w:ascii="Verdana" w:hAnsi="Verdana" w:cs="System Font Regular"/>
          <w:sz w:val="20"/>
          <w:szCs w:val="20"/>
          <w:lang w:val="pt-BR"/>
        </w:rPr>
        <w:t xml:space="preserve">caso </w:t>
      </w:r>
      <w:r w:rsidR="00C92762" w:rsidRPr="0038442F">
        <w:rPr>
          <w:rFonts w:ascii="Verdana" w:hAnsi="Verdana" w:cs="System Font Regular"/>
          <w:sz w:val="20"/>
          <w:szCs w:val="20"/>
          <w:lang w:val="pt-BR"/>
        </w:rPr>
        <w:t xml:space="preserve">das </w:t>
      </w:r>
      <w:r w:rsidR="00C23682" w:rsidRPr="0038442F">
        <w:rPr>
          <w:rFonts w:ascii="Verdana" w:hAnsi="Verdana" w:cs="System Font Regular"/>
          <w:sz w:val="20"/>
          <w:szCs w:val="20"/>
          <w:lang w:val="pt-BR"/>
        </w:rPr>
        <w:t>meninas</w:t>
      </w:r>
      <w:r w:rsidR="00815F66" w:rsidRPr="0038442F">
        <w:rPr>
          <w:rFonts w:ascii="Verdana" w:hAnsi="Verdana" w:cs="System Font Regular"/>
          <w:sz w:val="20"/>
          <w:szCs w:val="20"/>
          <w:lang w:val="pt-BR"/>
        </w:rPr>
        <w:t>) o</w:t>
      </w:r>
      <w:r w:rsidR="00C23682" w:rsidRPr="0038442F">
        <w:rPr>
          <w:rFonts w:ascii="Verdana" w:hAnsi="Verdana" w:cs="System Font Regular"/>
          <w:sz w:val="20"/>
          <w:szCs w:val="20"/>
          <w:lang w:val="pt-BR"/>
        </w:rPr>
        <w:t>u</w:t>
      </w:r>
      <w:r w:rsidR="00815F66" w:rsidRPr="0038442F">
        <w:rPr>
          <w:rFonts w:ascii="Verdana" w:hAnsi="Verdana" w:cs="System Font Regular"/>
          <w:sz w:val="20"/>
          <w:szCs w:val="20"/>
          <w:lang w:val="pt-BR"/>
        </w:rPr>
        <w:t xml:space="preserve"> </w:t>
      </w:r>
      <w:r w:rsidR="00C23682" w:rsidRPr="0038442F">
        <w:rPr>
          <w:rFonts w:ascii="Verdana" w:hAnsi="Verdana" w:cs="System Font Regular"/>
          <w:sz w:val="20"/>
          <w:szCs w:val="20"/>
          <w:lang w:val="pt-BR"/>
        </w:rPr>
        <w:t xml:space="preserve">o </w:t>
      </w:r>
      <w:r w:rsidR="00815F66" w:rsidRPr="0038442F">
        <w:rPr>
          <w:rFonts w:ascii="Verdana" w:hAnsi="Verdana" w:cs="System Font Regular"/>
          <w:sz w:val="20"/>
          <w:szCs w:val="20"/>
          <w:lang w:val="pt-BR"/>
        </w:rPr>
        <w:t xml:space="preserve">estado de </w:t>
      </w:r>
      <w:r w:rsidR="00C23682" w:rsidRPr="0038442F">
        <w:rPr>
          <w:rFonts w:ascii="Verdana" w:hAnsi="Verdana" w:cs="System Font Regular"/>
          <w:sz w:val="20"/>
          <w:szCs w:val="20"/>
          <w:lang w:val="pt-BR"/>
        </w:rPr>
        <w:t xml:space="preserve">gravidez </w:t>
      </w:r>
      <w:r w:rsidR="00C92762" w:rsidRPr="0038442F">
        <w:rPr>
          <w:rFonts w:ascii="Verdana" w:hAnsi="Verdana" w:cs="System Font Regular"/>
          <w:sz w:val="20"/>
          <w:szCs w:val="20"/>
          <w:lang w:val="pt-BR"/>
        </w:rPr>
        <w:t>das mulheres</w:t>
      </w:r>
      <w:r w:rsidR="00815F66" w:rsidRPr="0038442F">
        <w:rPr>
          <w:rFonts w:ascii="Verdana" w:hAnsi="Verdana" w:cs="System Font Regular"/>
          <w:sz w:val="20"/>
          <w:szCs w:val="20"/>
          <w:lang w:val="pt-BR"/>
        </w:rPr>
        <w:t>. També</w:t>
      </w:r>
      <w:r w:rsidR="00C23682" w:rsidRPr="0038442F">
        <w:rPr>
          <w:rFonts w:ascii="Verdana" w:hAnsi="Verdana" w:cs="System Font Regular"/>
          <w:sz w:val="20"/>
          <w:szCs w:val="20"/>
          <w:lang w:val="pt-BR"/>
        </w:rPr>
        <w:t>m</w:t>
      </w:r>
      <w:r w:rsidR="00815F66" w:rsidRPr="0038442F">
        <w:rPr>
          <w:rFonts w:ascii="Verdana" w:hAnsi="Verdana" w:cs="System Font Regular"/>
          <w:sz w:val="20"/>
          <w:szCs w:val="20"/>
          <w:lang w:val="pt-BR"/>
        </w:rPr>
        <w:t>, algo que n</w:t>
      </w:r>
      <w:r w:rsidR="00C23682" w:rsidRPr="0038442F">
        <w:rPr>
          <w:rFonts w:ascii="Verdana" w:hAnsi="Verdana" w:cs="System Font Regular"/>
          <w:sz w:val="20"/>
          <w:szCs w:val="20"/>
          <w:lang w:val="pt-BR"/>
        </w:rPr>
        <w:t>ã</w:t>
      </w:r>
      <w:r w:rsidR="00815F66" w:rsidRPr="0038442F">
        <w:rPr>
          <w:rFonts w:ascii="Verdana" w:hAnsi="Verdana" w:cs="System Font Regular"/>
          <w:sz w:val="20"/>
          <w:szCs w:val="20"/>
          <w:lang w:val="pt-BR"/>
        </w:rPr>
        <w:t>o se explicita</w:t>
      </w:r>
      <w:r w:rsidR="00C23682" w:rsidRPr="0038442F">
        <w:rPr>
          <w:rFonts w:ascii="Verdana" w:hAnsi="Verdana" w:cs="System Font Regular"/>
          <w:sz w:val="20"/>
          <w:szCs w:val="20"/>
          <w:lang w:val="pt-BR"/>
        </w:rPr>
        <w:t xml:space="preserve">, mas </w:t>
      </w:r>
      <w:r w:rsidR="00815F66" w:rsidRPr="0038442F">
        <w:rPr>
          <w:rFonts w:ascii="Verdana" w:hAnsi="Verdana" w:cs="System Font Regular"/>
          <w:sz w:val="20"/>
          <w:szCs w:val="20"/>
          <w:lang w:val="pt-BR"/>
        </w:rPr>
        <w:t xml:space="preserve">que </w:t>
      </w:r>
      <w:r w:rsidR="00C23682" w:rsidRPr="0038442F">
        <w:rPr>
          <w:rFonts w:ascii="Verdana" w:hAnsi="Verdana" w:cs="System Font Regular"/>
          <w:sz w:val="20"/>
          <w:szCs w:val="20"/>
          <w:lang w:val="pt-BR"/>
        </w:rPr>
        <w:t xml:space="preserve">é possível </w:t>
      </w:r>
      <w:r w:rsidR="00815F66" w:rsidRPr="0038442F">
        <w:rPr>
          <w:rFonts w:ascii="Verdana" w:hAnsi="Verdana" w:cs="System Font Regular"/>
          <w:sz w:val="20"/>
          <w:szCs w:val="20"/>
          <w:lang w:val="pt-BR"/>
        </w:rPr>
        <w:t xml:space="preserve">entender </w:t>
      </w:r>
      <w:r w:rsidR="00BC6FC3" w:rsidRPr="0038442F">
        <w:rPr>
          <w:rFonts w:ascii="Verdana" w:hAnsi="Verdana" w:cs="System Font Regular"/>
          <w:sz w:val="20"/>
          <w:szCs w:val="20"/>
          <w:lang w:val="pt-BR"/>
        </w:rPr>
        <w:t xml:space="preserve">do </w:t>
      </w:r>
      <w:r w:rsidR="00815F66" w:rsidRPr="0038442F">
        <w:rPr>
          <w:rFonts w:ascii="Verdana" w:hAnsi="Verdana" w:cs="System Font Regular"/>
          <w:sz w:val="20"/>
          <w:szCs w:val="20"/>
          <w:lang w:val="pt-BR"/>
        </w:rPr>
        <w:t>anali</w:t>
      </w:r>
      <w:r w:rsidR="00C23682" w:rsidRPr="0038442F">
        <w:rPr>
          <w:rFonts w:ascii="Verdana" w:hAnsi="Verdana" w:cs="System Font Regular"/>
          <w:sz w:val="20"/>
          <w:szCs w:val="20"/>
          <w:lang w:val="pt-BR"/>
        </w:rPr>
        <w:t>s</w:t>
      </w:r>
      <w:r w:rsidR="00815F66" w:rsidRPr="0038442F">
        <w:rPr>
          <w:rFonts w:ascii="Verdana" w:hAnsi="Verdana" w:cs="System Font Regular"/>
          <w:sz w:val="20"/>
          <w:szCs w:val="20"/>
          <w:lang w:val="pt-BR"/>
        </w:rPr>
        <w:t xml:space="preserve">ado </w:t>
      </w:r>
      <w:r w:rsidR="00A97590" w:rsidRPr="0038442F">
        <w:rPr>
          <w:rFonts w:ascii="Verdana" w:hAnsi="Verdana" w:cs="System Font Regular"/>
          <w:sz w:val="20"/>
          <w:szCs w:val="20"/>
          <w:lang w:val="pt-BR"/>
        </w:rPr>
        <w:t>pela</w:t>
      </w:r>
      <w:r w:rsidR="00407242" w:rsidRPr="0038442F">
        <w:rPr>
          <w:rFonts w:ascii="Verdana" w:hAnsi="Verdana" w:cs="System Font Regular"/>
          <w:sz w:val="20"/>
          <w:szCs w:val="20"/>
          <w:lang w:val="pt-BR"/>
        </w:rPr>
        <w:t xml:space="preserve"> </w:t>
      </w:r>
      <w:r w:rsidR="008806F8" w:rsidRPr="0038442F">
        <w:rPr>
          <w:rFonts w:ascii="Verdana" w:hAnsi="Verdana" w:cs="System Font Regular"/>
          <w:sz w:val="20"/>
          <w:szCs w:val="20"/>
          <w:lang w:val="pt-BR"/>
        </w:rPr>
        <w:t xml:space="preserve">Corte </w:t>
      </w:r>
      <w:r w:rsidR="00815F66" w:rsidRPr="0038442F">
        <w:rPr>
          <w:rFonts w:ascii="Verdana" w:hAnsi="Verdana" w:cs="System Font Regular"/>
          <w:sz w:val="20"/>
          <w:szCs w:val="20"/>
          <w:lang w:val="pt-BR"/>
        </w:rPr>
        <w:t xml:space="preserve">IDH, </w:t>
      </w:r>
      <w:r w:rsidR="00C23682" w:rsidRPr="0038442F">
        <w:rPr>
          <w:rFonts w:ascii="Verdana" w:hAnsi="Verdana" w:cs="System Font Regular"/>
          <w:sz w:val="20"/>
          <w:szCs w:val="20"/>
          <w:lang w:val="pt-BR"/>
        </w:rPr>
        <w:t xml:space="preserve">é </w:t>
      </w:r>
      <w:r w:rsidR="00815F66" w:rsidRPr="0038442F">
        <w:rPr>
          <w:rFonts w:ascii="Verdana" w:hAnsi="Verdana" w:cs="System Font Regular"/>
          <w:sz w:val="20"/>
          <w:szCs w:val="20"/>
          <w:lang w:val="pt-BR"/>
        </w:rPr>
        <w:t>que</w:t>
      </w:r>
      <w:r w:rsidR="00286F2F" w:rsidRPr="0038442F">
        <w:rPr>
          <w:rFonts w:ascii="Verdana" w:hAnsi="Verdana" w:cs="System Font Regular"/>
          <w:sz w:val="20"/>
          <w:szCs w:val="20"/>
          <w:lang w:val="pt-BR"/>
        </w:rPr>
        <w:t>,</w:t>
      </w:r>
      <w:r w:rsidR="00815F66" w:rsidRPr="0038442F">
        <w:rPr>
          <w:rFonts w:ascii="Verdana" w:hAnsi="Verdana" w:cs="System Font Regular"/>
          <w:sz w:val="20"/>
          <w:szCs w:val="20"/>
          <w:lang w:val="pt-BR"/>
        </w:rPr>
        <w:t xml:space="preserve"> </w:t>
      </w:r>
      <w:r w:rsidR="002C26B7" w:rsidRPr="0038442F">
        <w:rPr>
          <w:rFonts w:ascii="Verdana" w:hAnsi="Verdana" w:cs="System Font Regular"/>
          <w:sz w:val="20"/>
          <w:szCs w:val="20"/>
          <w:lang w:val="pt-BR"/>
        </w:rPr>
        <w:t xml:space="preserve">embora o </w:t>
      </w:r>
      <w:r w:rsidR="00815F66" w:rsidRPr="0038442F">
        <w:rPr>
          <w:rFonts w:ascii="Verdana" w:hAnsi="Verdana" w:cs="System Font Regular"/>
          <w:sz w:val="20"/>
          <w:szCs w:val="20"/>
          <w:lang w:val="pt-BR"/>
        </w:rPr>
        <w:t xml:space="preserve">enfoque </w:t>
      </w:r>
      <w:r w:rsidR="006445EE" w:rsidRPr="0038442F">
        <w:rPr>
          <w:rFonts w:ascii="Verdana" w:hAnsi="Verdana" w:cs="System Font Regular"/>
          <w:sz w:val="20"/>
          <w:szCs w:val="20"/>
          <w:lang w:val="pt-BR"/>
        </w:rPr>
        <w:t>intersecional</w:t>
      </w:r>
      <w:r w:rsidR="00407242" w:rsidRPr="0038442F">
        <w:rPr>
          <w:rFonts w:ascii="Verdana" w:hAnsi="Verdana" w:cs="System Font Regular"/>
          <w:sz w:val="20"/>
          <w:szCs w:val="20"/>
          <w:lang w:val="pt-BR"/>
        </w:rPr>
        <w:t xml:space="preserve"> </w:t>
      </w:r>
      <w:r w:rsidR="002C26B7" w:rsidRPr="0038442F">
        <w:rPr>
          <w:rFonts w:ascii="Verdana" w:hAnsi="Verdana" w:cs="System Font Regular"/>
          <w:sz w:val="20"/>
          <w:szCs w:val="20"/>
          <w:lang w:val="pt-BR"/>
        </w:rPr>
        <w:t xml:space="preserve">tenha sido </w:t>
      </w:r>
      <w:r w:rsidR="00541BFE" w:rsidRPr="0038442F">
        <w:rPr>
          <w:rFonts w:ascii="Verdana" w:hAnsi="Verdana" w:cs="System Font Regular"/>
          <w:sz w:val="20"/>
          <w:szCs w:val="20"/>
          <w:lang w:val="pt-BR"/>
        </w:rPr>
        <w:t xml:space="preserve">cunhado com base no </w:t>
      </w:r>
      <w:r w:rsidR="00815F66" w:rsidRPr="0038442F">
        <w:rPr>
          <w:rFonts w:ascii="Verdana" w:hAnsi="Verdana" w:cs="System Font Regular"/>
          <w:sz w:val="20"/>
          <w:szCs w:val="20"/>
          <w:lang w:val="pt-BR"/>
        </w:rPr>
        <w:t xml:space="preserve">enfoque de </w:t>
      </w:r>
      <w:r w:rsidR="005907B2" w:rsidRPr="0038442F">
        <w:rPr>
          <w:rFonts w:ascii="Verdana" w:hAnsi="Verdana" w:cs="System Font Regular"/>
          <w:sz w:val="20"/>
          <w:szCs w:val="20"/>
          <w:lang w:val="pt-BR"/>
        </w:rPr>
        <w:t>gênero</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w:t>
      </w:r>
      <w:r w:rsidR="00541BFE" w:rsidRPr="0038442F">
        <w:rPr>
          <w:rFonts w:ascii="Verdana" w:hAnsi="Verdana" w:cs="System Font Regular"/>
          <w:sz w:val="20"/>
          <w:szCs w:val="20"/>
          <w:lang w:val="pt-BR"/>
        </w:rPr>
        <w:t xml:space="preserve">a partir das desvantagens </w:t>
      </w:r>
      <w:r w:rsidR="003B53AA" w:rsidRPr="0038442F">
        <w:rPr>
          <w:rFonts w:ascii="Verdana" w:hAnsi="Verdana" w:cs="System Font Regular"/>
          <w:sz w:val="20"/>
          <w:szCs w:val="20"/>
          <w:lang w:val="pt-BR"/>
        </w:rPr>
        <w:t>que s</w:t>
      </w:r>
      <w:r w:rsidR="00541BFE" w:rsidRPr="0038442F">
        <w:rPr>
          <w:rFonts w:ascii="Verdana" w:hAnsi="Verdana" w:cs="System Font Regular"/>
          <w:sz w:val="20"/>
          <w:szCs w:val="20"/>
          <w:lang w:val="pt-BR"/>
        </w:rPr>
        <w:t xml:space="preserve">ofrem </w:t>
      </w:r>
      <w:r w:rsidR="00BF7A10" w:rsidRPr="0038442F">
        <w:rPr>
          <w:rFonts w:ascii="Verdana" w:hAnsi="Verdana" w:cs="System Font Regular"/>
          <w:sz w:val="20"/>
          <w:szCs w:val="20"/>
          <w:lang w:val="pt-BR"/>
        </w:rPr>
        <w:t>alguns</w:t>
      </w:r>
      <w:r w:rsidR="00407242" w:rsidRPr="0038442F">
        <w:rPr>
          <w:rFonts w:ascii="Verdana" w:hAnsi="Verdana" w:cs="System Font Regular"/>
          <w:sz w:val="20"/>
          <w:szCs w:val="20"/>
          <w:lang w:val="pt-BR"/>
        </w:rPr>
        <w:t xml:space="preserve"> </w:t>
      </w:r>
      <w:r w:rsidR="003B53AA" w:rsidRPr="0038442F">
        <w:rPr>
          <w:rFonts w:ascii="Verdana" w:hAnsi="Verdana" w:cs="System Font Regular"/>
          <w:sz w:val="20"/>
          <w:szCs w:val="20"/>
          <w:lang w:val="pt-BR"/>
        </w:rPr>
        <w:t>grupos de</w:t>
      </w:r>
      <w:r w:rsidR="00815F66"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mulheres</w:t>
      </w:r>
      <w:r w:rsidR="00815F66" w:rsidRPr="0038442F">
        <w:rPr>
          <w:rFonts w:ascii="Verdana" w:hAnsi="Verdana" w:cs="System Font Regular"/>
          <w:sz w:val="20"/>
          <w:szCs w:val="20"/>
          <w:lang w:val="pt-BR"/>
        </w:rPr>
        <w:t xml:space="preserve">), </w:t>
      </w:r>
      <w:r w:rsidR="00541BFE" w:rsidRPr="0038442F">
        <w:rPr>
          <w:rFonts w:ascii="Verdana" w:hAnsi="Verdana" w:cs="System Font Regular"/>
          <w:sz w:val="20"/>
          <w:szCs w:val="20"/>
          <w:lang w:val="pt-BR"/>
        </w:rPr>
        <w:t xml:space="preserve">o </w:t>
      </w:r>
      <w:r w:rsidR="00815F66" w:rsidRPr="0038442F">
        <w:rPr>
          <w:rFonts w:ascii="Verdana" w:hAnsi="Verdana" w:cs="System Font Regular"/>
          <w:sz w:val="20"/>
          <w:szCs w:val="20"/>
          <w:lang w:val="pt-BR"/>
        </w:rPr>
        <w:t>caso nos m</w:t>
      </w:r>
      <w:r w:rsidR="00541BFE" w:rsidRPr="0038442F">
        <w:rPr>
          <w:rFonts w:ascii="Verdana" w:hAnsi="Verdana" w:cs="System Font Regular"/>
          <w:sz w:val="20"/>
          <w:szCs w:val="20"/>
          <w:lang w:val="pt-BR"/>
        </w:rPr>
        <w:t>o</w:t>
      </w:r>
      <w:r w:rsidR="00815F66" w:rsidRPr="0038442F">
        <w:rPr>
          <w:rFonts w:ascii="Verdana" w:hAnsi="Verdana" w:cs="System Font Regular"/>
          <w:sz w:val="20"/>
          <w:szCs w:val="20"/>
          <w:lang w:val="pt-BR"/>
        </w:rPr>
        <w:t xml:space="preserve">stra que </w:t>
      </w:r>
      <w:r w:rsidR="00826187" w:rsidRPr="0038442F">
        <w:rPr>
          <w:rFonts w:ascii="Verdana" w:hAnsi="Verdana" w:cs="System Font Regular"/>
          <w:sz w:val="20"/>
          <w:szCs w:val="20"/>
          <w:lang w:val="pt-BR"/>
        </w:rPr>
        <w:t>a</w:t>
      </w:r>
      <w:r w:rsidR="000B1CE7" w:rsidRPr="0038442F">
        <w:rPr>
          <w:rFonts w:ascii="Verdana" w:hAnsi="Verdana" w:cs="System Font Regular"/>
          <w:sz w:val="20"/>
          <w:szCs w:val="20"/>
          <w:lang w:val="pt-BR"/>
        </w:rPr>
        <w:t>s</w:t>
      </w:r>
      <w:r w:rsidR="00815F66" w:rsidRPr="0038442F">
        <w:rPr>
          <w:rFonts w:ascii="Verdana" w:hAnsi="Verdana" w:cs="System Font Regular"/>
          <w:sz w:val="20"/>
          <w:szCs w:val="20"/>
          <w:lang w:val="pt-BR"/>
        </w:rPr>
        <w:t xml:space="preserve"> </w:t>
      </w:r>
      <w:r w:rsidR="00541BFE" w:rsidRPr="0038442F">
        <w:rPr>
          <w:rFonts w:ascii="Verdana" w:hAnsi="Verdana" w:cs="System Font Regular"/>
          <w:sz w:val="20"/>
          <w:szCs w:val="20"/>
          <w:lang w:val="pt-BR"/>
        </w:rPr>
        <w:t xml:space="preserve">crianças, </w:t>
      </w:r>
      <w:r w:rsidR="00815F66" w:rsidRPr="0038442F">
        <w:rPr>
          <w:rFonts w:ascii="Verdana" w:hAnsi="Verdana" w:cs="System Font Regular"/>
          <w:sz w:val="20"/>
          <w:szCs w:val="20"/>
          <w:lang w:val="pt-BR"/>
        </w:rPr>
        <w:t xml:space="preserve">pobres </w:t>
      </w:r>
      <w:r w:rsidR="00541BFE" w:rsidRPr="0038442F">
        <w:rPr>
          <w:rFonts w:ascii="Verdana" w:hAnsi="Verdana" w:cs="System Font Regular"/>
          <w:sz w:val="20"/>
          <w:szCs w:val="20"/>
          <w:lang w:val="pt-BR"/>
        </w:rPr>
        <w:t>e</w:t>
      </w:r>
      <w:r w:rsidR="00815F66" w:rsidRPr="0038442F">
        <w:rPr>
          <w:rFonts w:ascii="Verdana" w:hAnsi="Verdana" w:cs="System Font Regular"/>
          <w:sz w:val="20"/>
          <w:szCs w:val="20"/>
          <w:lang w:val="pt-BR"/>
        </w:rPr>
        <w:t xml:space="preserve"> afro</w:t>
      </w:r>
      <w:r w:rsidR="00EA1693" w:rsidRPr="0038442F">
        <w:rPr>
          <w:rFonts w:ascii="Verdana" w:hAnsi="Verdana" w:cs="System Font Regular"/>
          <w:sz w:val="20"/>
          <w:szCs w:val="20"/>
          <w:lang w:val="pt-BR"/>
        </w:rPr>
        <w:t>d</w:t>
      </w:r>
      <w:r w:rsidR="00815F66" w:rsidRPr="0038442F">
        <w:rPr>
          <w:rFonts w:ascii="Verdana" w:hAnsi="Verdana" w:cs="System Font Regular"/>
          <w:sz w:val="20"/>
          <w:szCs w:val="20"/>
          <w:lang w:val="pt-BR"/>
        </w:rPr>
        <w:t xml:space="preserve">escendentes </w:t>
      </w:r>
      <w:r w:rsidR="005135E5" w:rsidRPr="0038442F">
        <w:rPr>
          <w:rFonts w:ascii="Verdana" w:hAnsi="Verdana" w:cs="System Font Regular"/>
          <w:sz w:val="20"/>
          <w:szCs w:val="20"/>
          <w:lang w:val="pt-BR"/>
        </w:rPr>
        <w:t>também</w:t>
      </w:r>
      <w:r w:rsidR="00407242" w:rsidRPr="0038442F">
        <w:rPr>
          <w:rFonts w:ascii="Verdana" w:hAnsi="Verdana" w:cs="System Font Regular"/>
          <w:sz w:val="20"/>
          <w:szCs w:val="20"/>
          <w:lang w:val="pt-BR"/>
        </w:rPr>
        <w:t xml:space="preserve"> </w:t>
      </w:r>
      <w:r w:rsidR="000450DD" w:rsidRPr="0038442F">
        <w:rPr>
          <w:rFonts w:ascii="Verdana" w:hAnsi="Verdana" w:cs="System Font Regular"/>
          <w:sz w:val="20"/>
          <w:szCs w:val="20"/>
          <w:lang w:val="pt-BR"/>
        </w:rPr>
        <w:t>podem</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 xml:space="preserve">ser </w:t>
      </w:r>
      <w:r w:rsidR="00C92762" w:rsidRPr="0038442F">
        <w:rPr>
          <w:rFonts w:ascii="Verdana" w:hAnsi="Verdana" w:cs="System Font Regular"/>
          <w:sz w:val="20"/>
          <w:szCs w:val="20"/>
          <w:lang w:val="pt-BR"/>
        </w:rPr>
        <w:t>vítimas</w:t>
      </w:r>
      <w:r w:rsidR="00407242" w:rsidRPr="0038442F">
        <w:rPr>
          <w:rFonts w:ascii="Verdana" w:hAnsi="Verdana" w:cs="System Font Regular"/>
          <w:sz w:val="20"/>
          <w:szCs w:val="20"/>
          <w:lang w:val="pt-BR"/>
        </w:rPr>
        <w:t xml:space="preserve"> </w:t>
      </w:r>
      <w:r w:rsidR="00815F66" w:rsidRPr="0038442F">
        <w:rPr>
          <w:rFonts w:ascii="Verdana" w:hAnsi="Verdana" w:cs="System Font Regular"/>
          <w:sz w:val="20"/>
          <w:szCs w:val="20"/>
          <w:lang w:val="pt-BR"/>
        </w:rPr>
        <w:t>de discrimina</w:t>
      </w:r>
      <w:r w:rsidR="000A1AA8" w:rsidRPr="0038442F">
        <w:rPr>
          <w:rFonts w:ascii="Verdana" w:hAnsi="Verdana" w:cs="System Font Regular"/>
          <w:sz w:val="20"/>
          <w:szCs w:val="20"/>
          <w:lang w:val="pt-BR"/>
        </w:rPr>
        <w:t>ção</w:t>
      </w:r>
      <w:r w:rsidR="00815F66"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intersecional</w:t>
      </w:r>
      <w:r w:rsidR="00815F66" w:rsidRPr="0038442F">
        <w:rPr>
          <w:rFonts w:ascii="Verdana" w:hAnsi="Verdana" w:cs="System Font Regular"/>
          <w:sz w:val="20"/>
          <w:szCs w:val="20"/>
          <w:lang w:val="pt-BR"/>
        </w:rPr>
        <w:t xml:space="preserve">. </w:t>
      </w:r>
      <w:r w:rsidR="00591D26">
        <w:rPr>
          <w:rFonts w:ascii="Verdana" w:hAnsi="Verdana" w:cs="System Font Regular"/>
          <w:sz w:val="20"/>
          <w:szCs w:val="20"/>
          <w:lang w:val="pt-BR"/>
        </w:rPr>
        <w:t>Diante</w:t>
      </w:r>
      <w:r w:rsidR="000B1CE7" w:rsidRPr="0038442F">
        <w:rPr>
          <w:rFonts w:ascii="Verdana" w:hAnsi="Verdana" w:cs="System Font Regular"/>
          <w:sz w:val="20"/>
          <w:szCs w:val="20"/>
          <w:lang w:val="pt-BR"/>
        </w:rPr>
        <w:t xml:space="preserve"> </w:t>
      </w:r>
      <w:r w:rsidR="00591D26">
        <w:rPr>
          <w:rFonts w:ascii="Verdana" w:hAnsi="Verdana" w:cs="System Font Regular"/>
          <w:sz w:val="20"/>
          <w:szCs w:val="20"/>
          <w:lang w:val="pt-BR"/>
        </w:rPr>
        <w:t>d</w:t>
      </w:r>
      <w:r w:rsidR="000B1CE7" w:rsidRPr="0038442F">
        <w:rPr>
          <w:rFonts w:ascii="Verdana" w:hAnsi="Verdana" w:cs="System Font Regular"/>
          <w:sz w:val="20"/>
          <w:szCs w:val="20"/>
          <w:lang w:val="pt-BR"/>
        </w:rPr>
        <w:t>es</w:t>
      </w:r>
      <w:r w:rsidR="00541BFE" w:rsidRPr="0038442F">
        <w:rPr>
          <w:rFonts w:ascii="Verdana" w:hAnsi="Verdana" w:cs="System Font Regular"/>
          <w:sz w:val="20"/>
          <w:szCs w:val="20"/>
          <w:lang w:val="pt-BR"/>
        </w:rPr>
        <w:t>s</w:t>
      </w:r>
      <w:r w:rsidR="000B1CE7" w:rsidRPr="0038442F">
        <w:rPr>
          <w:rFonts w:ascii="Verdana" w:hAnsi="Verdana" w:cs="System Font Regular"/>
          <w:sz w:val="20"/>
          <w:szCs w:val="20"/>
          <w:lang w:val="pt-BR"/>
        </w:rPr>
        <w:t>a forma de discrimina</w:t>
      </w:r>
      <w:r w:rsidR="000A1AA8" w:rsidRPr="0038442F">
        <w:rPr>
          <w:rFonts w:ascii="Verdana" w:hAnsi="Verdana" w:cs="System Font Regular"/>
          <w:sz w:val="20"/>
          <w:szCs w:val="20"/>
          <w:lang w:val="pt-BR"/>
        </w:rPr>
        <w:t>ção</w:t>
      </w:r>
      <w:r w:rsidR="000B1CE7" w:rsidRPr="0038442F">
        <w:rPr>
          <w:rFonts w:ascii="Verdana" w:hAnsi="Verdana" w:cs="System Font Regular"/>
          <w:sz w:val="20"/>
          <w:szCs w:val="20"/>
          <w:lang w:val="pt-BR"/>
        </w:rPr>
        <w:t xml:space="preserve">, </w:t>
      </w:r>
      <w:r w:rsidR="00541BFE" w:rsidRPr="0038442F">
        <w:rPr>
          <w:rFonts w:ascii="Verdana" w:hAnsi="Verdana" w:cs="System Font Regular"/>
          <w:sz w:val="20"/>
          <w:szCs w:val="20"/>
          <w:lang w:val="pt-BR"/>
        </w:rPr>
        <w:t xml:space="preserve">é </w:t>
      </w:r>
      <w:r w:rsidR="002226C1" w:rsidRPr="0038442F">
        <w:rPr>
          <w:rFonts w:ascii="Verdana" w:hAnsi="Verdana" w:cs="System Font Regular"/>
          <w:sz w:val="20"/>
          <w:szCs w:val="20"/>
          <w:lang w:val="pt-BR"/>
        </w:rPr>
        <w:t>necessário</w:t>
      </w:r>
      <w:r w:rsidR="00407242" w:rsidRPr="0038442F">
        <w:rPr>
          <w:rFonts w:ascii="Verdana" w:hAnsi="Verdana" w:cs="System Font Regular"/>
          <w:sz w:val="20"/>
          <w:szCs w:val="20"/>
          <w:lang w:val="pt-BR"/>
        </w:rPr>
        <w:t xml:space="preserve"> </w:t>
      </w:r>
      <w:r w:rsidR="000B1CE7" w:rsidRPr="0038442F">
        <w:rPr>
          <w:rFonts w:ascii="Verdana" w:hAnsi="Verdana" w:cs="System Font Regular"/>
          <w:sz w:val="20"/>
          <w:szCs w:val="20"/>
          <w:lang w:val="pt-BR"/>
        </w:rPr>
        <w:t xml:space="preserve">que </w:t>
      </w:r>
      <w:r w:rsidR="00D423B7" w:rsidRPr="0038442F">
        <w:rPr>
          <w:rFonts w:ascii="Verdana" w:hAnsi="Verdana" w:cs="System Font Regular"/>
          <w:sz w:val="20"/>
          <w:szCs w:val="20"/>
          <w:lang w:val="pt-BR"/>
        </w:rPr>
        <w:t>a</w:t>
      </w:r>
      <w:r w:rsidR="000B1CE7" w:rsidRPr="0038442F">
        <w:rPr>
          <w:rFonts w:ascii="Verdana" w:hAnsi="Verdana" w:cs="System Font Regular"/>
          <w:sz w:val="20"/>
          <w:szCs w:val="20"/>
          <w:lang w:val="pt-BR"/>
        </w:rPr>
        <w:t xml:space="preserve">s </w:t>
      </w:r>
      <w:r w:rsidR="006A12FD" w:rsidRPr="0038442F">
        <w:rPr>
          <w:rFonts w:ascii="Verdana" w:hAnsi="Verdana" w:cs="System Font Regular"/>
          <w:sz w:val="20"/>
          <w:szCs w:val="20"/>
          <w:lang w:val="pt-BR"/>
        </w:rPr>
        <w:t>ações</w:t>
      </w:r>
      <w:r w:rsidR="00407242" w:rsidRPr="0038442F">
        <w:rPr>
          <w:rFonts w:ascii="Verdana" w:hAnsi="Verdana" w:cs="System Font Regular"/>
          <w:sz w:val="20"/>
          <w:szCs w:val="20"/>
          <w:lang w:val="pt-BR"/>
        </w:rPr>
        <w:t xml:space="preserve"> </w:t>
      </w:r>
      <w:r w:rsidR="000B1CE7" w:rsidRPr="0038442F">
        <w:rPr>
          <w:rFonts w:ascii="Verdana" w:hAnsi="Verdana" w:cs="System Font Regular"/>
          <w:sz w:val="20"/>
          <w:szCs w:val="20"/>
          <w:lang w:val="pt-BR"/>
        </w:rPr>
        <w:t>para erradicar es</w:t>
      </w:r>
      <w:r w:rsidR="00541BFE" w:rsidRPr="0038442F">
        <w:rPr>
          <w:rFonts w:ascii="Verdana" w:hAnsi="Verdana" w:cs="System Font Regular"/>
          <w:sz w:val="20"/>
          <w:szCs w:val="20"/>
          <w:lang w:val="pt-BR"/>
        </w:rPr>
        <w:t>s</w:t>
      </w:r>
      <w:r w:rsidR="000B1CE7" w:rsidRPr="0038442F">
        <w:rPr>
          <w:rFonts w:ascii="Verdana" w:hAnsi="Verdana" w:cs="System Font Regular"/>
          <w:sz w:val="20"/>
          <w:szCs w:val="20"/>
          <w:lang w:val="pt-BR"/>
        </w:rPr>
        <w:t>as situa</w:t>
      </w:r>
      <w:r w:rsidR="000A1AA8" w:rsidRPr="0038442F">
        <w:rPr>
          <w:rFonts w:ascii="Verdana" w:hAnsi="Verdana" w:cs="System Font Regular"/>
          <w:sz w:val="20"/>
          <w:szCs w:val="20"/>
          <w:lang w:val="pt-BR"/>
        </w:rPr>
        <w:t>ções</w:t>
      </w:r>
      <w:r w:rsidR="000B1CE7" w:rsidRPr="0038442F">
        <w:rPr>
          <w:rFonts w:ascii="Verdana" w:hAnsi="Verdana" w:cs="System Font Regular"/>
          <w:sz w:val="20"/>
          <w:szCs w:val="20"/>
          <w:lang w:val="pt-BR"/>
        </w:rPr>
        <w:t xml:space="preserve"> de </w:t>
      </w:r>
      <w:r w:rsidR="00BF7A10" w:rsidRPr="0038442F">
        <w:rPr>
          <w:rFonts w:ascii="Verdana" w:hAnsi="Verdana" w:cs="System Font Regular"/>
          <w:sz w:val="20"/>
          <w:szCs w:val="20"/>
          <w:lang w:val="pt-BR"/>
        </w:rPr>
        <w:t>exclusão</w:t>
      </w:r>
      <w:r w:rsidR="00407242" w:rsidRPr="0038442F">
        <w:rPr>
          <w:rFonts w:ascii="Verdana" w:hAnsi="Verdana" w:cs="System Font Regular"/>
          <w:sz w:val="20"/>
          <w:szCs w:val="20"/>
          <w:lang w:val="pt-BR"/>
        </w:rPr>
        <w:t xml:space="preserve"> </w:t>
      </w:r>
      <w:r w:rsidR="003B7B75" w:rsidRPr="0038442F">
        <w:rPr>
          <w:rFonts w:ascii="Verdana" w:hAnsi="Verdana" w:cs="System Font Regular"/>
          <w:sz w:val="20"/>
          <w:szCs w:val="20"/>
          <w:lang w:val="pt-BR"/>
        </w:rPr>
        <w:t>o</w:t>
      </w:r>
      <w:r w:rsidR="00541BFE" w:rsidRPr="0038442F">
        <w:rPr>
          <w:rFonts w:ascii="Verdana" w:hAnsi="Verdana" w:cs="System Font Regular"/>
          <w:sz w:val="20"/>
          <w:szCs w:val="20"/>
          <w:lang w:val="pt-BR"/>
        </w:rPr>
        <w:t>u</w:t>
      </w:r>
      <w:r w:rsidR="003B7B75" w:rsidRPr="0038442F">
        <w:rPr>
          <w:rFonts w:ascii="Verdana" w:hAnsi="Verdana" w:cs="System Font Regular"/>
          <w:sz w:val="20"/>
          <w:szCs w:val="20"/>
          <w:lang w:val="pt-BR"/>
        </w:rPr>
        <w:t xml:space="preserve"> </w:t>
      </w:r>
      <w:r w:rsidR="00C76C5C" w:rsidRPr="0038442F">
        <w:rPr>
          <w:rFonts w:ascii="Verdana" w:hAnsi="Verdana" w:cs="System Font Regular"/>
          <w:sz w:val="20"/>
          <w:szCs w:val="20"/>
          <w:lang w:val="pt-BR"/>
        </w:rPr>
        <w:t>marginalização</w:t>
      </w:r>
      <w:r w:rsidR="00407242" w:rsidRPr="0038442F">
        <w:rPr>
          <w:rFonts w:ascii="Verdana" w:hAnsi="Verdana" w:cs="System Font Regular"/>
          <w:sz w:val="20"/>
          <w:szCs w:val="20"/>
          <w:lang w:val="pt-BR"/>
        </w:rPr>
        <w:t xml:space="preserve"> </w:t>
      </w:r>
      <w:r w:rsidR="00541BFE" w:rsidRPr="0038442F">
        <w:rPr>
          <w:rFonts w:ascii="Verdana" w:hAnsi="Verdana" w:cs="System Font Regular"/>
          <w:sz w:val="20"/>
          <w:szCs w:val="20"/>
          <w:lang w:val="pt-BR"/>
        </w:rPr>
        <w:t xml:space="preserve">adotem um </w:t>
      </w:r>
      <w:r w:rsidR="000B1CE7" w:rsidRPr="0038442F">
        <w:rPr>
          <w:rFonts w:ascii="Verdana" w:hAnsi="Verdana" w:cs="System Font Regular"/>
          <w:sz w:val="20"/>
          <w:szCs w:val="20"/>
          <w:lang w:val="pt-BR"/>
        </w:rPr>
        <w:t>“enfoque diferencial” para que</w:t>
      </w:r>
      <w:r w:rsidR="00D77CD5" w:rsidRPr="0038442F">
        <w:rPr>
          <w:rFonts w:ascii="Verdana" w:hAnsi="Verdana" w:cs="System Font Regular"/>
          <w:sz w:val="20"/>
          <w:szCs w:val="20"/>
          <w:lang w:val="pt-BR"/>
        </w:rPr>
        <w:t>,</w:t>
      </w:r>
      <w:r w:rsidR="000B1CE7"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n</w:t>
      </w:r>
      <w:r w:rsidR="00541BFE" w:rsidRPr="0038442F">
        <w:rPr>
          <w:rFonts w:ascii="Verdana" w:hAnsi="Verdana" w:cs="System Font Regular"/>
          <w:sz w:val="20"/>
          <w:szCs w:val="20"/>
          <w:lang w:val="pt-BR"/>
        </w:rPr>
        <w:t>a</w:t>
      </w:r>
      <w:r w:rsidR="00751189" w:rsidRPr="0038442F">
        <w:rPr>
          <w:rFonts w:ascii="Verdana" w:hAnsi="Verdana" w:cs="System Font Regular"/>
          <w:sz w:val="20"/>
          <w:szCs w:val="20"/>
          <w:lang w:val="pt-BR"/>
        </w:rPr>
        <w:t xml:space="preserve"> </w:t>
      </w:r>
      <w:r w:rsidR="00541BFE" w:rsidRPr="0038442F">
        <w:rPr>
          <w:rFonts w:ascii="Verdana" w:hAnsi="Verdana" w:cs="System Font Regular"/>
          <w:sz w:val="20"/>
          <w:szCs w:val="20"/>
          <w:lang w:val="pt-BR"/>
        </w:rPr>
        <w:t xml:space="preserve">formulação </w:t>
      </w:r>
      <w:r w:rsidR="00C92762" w:rsidRPr="0038442F">
        <w:rPr>
          <w:rFonts w:ascii="Verdana" w:hAnsi="Verdana" w:cs="System Font Regular"/>
          <w:sz w:val="20"/>
          <w:szCs w:val="20"/>
          <w:lang w:val="pt-BR"/>
        </w:rPr>
        <w:t xml:space="preserve">das </w:t>
      </w:r>
      <w:r w:rsidR="000B1CE7" w:rsidRPr="0038442F">
        <w:rPr>
          <w:rFonts w:ascii="Verdana" w:hAnsi="Verdana" w:cs="System Font Regular"/>
          <w:sz w:val="20"/>
          <w:szCs w:val="20"/>
          <w:lang w:val="pt-BR"/>
        </w:rPr>
        <w:t>medidas</w:t>
      </w:r>
      <w:r w:rsidR="00D77CD5" w:rsidRPr="0038442F">
        <w:rPr>
          <w:rFonts w:ascii="Verdana" w:hAnsi="Verdana" w:cs="System Font Regular"/>
          <w:sz w:val="20"/>
          <w:szCs w:val="20"/>
          <w:lang w:val="pt-BR"/>
        </w:rPr>
        <w:t>,</w:t>
      </w:r>
      <w:r w:rsidR="003B7B75" w:rsidRPr="0038442F">
        <w:rPr>
          <w:rFonts w:ascii="Verdana" w:hAnsi="Verdana" w:cs="System Font Regular"/>
          <w:sz w:val="20"/>
          <w:szCs w:val="20"/>
          <w:lang w:val="pt-BR"/>
        </w:rPr>
        <w:t xml:space="preserve"> se</w:t>
      </w:r>
      <w:r w:rsidR="00D77CD5" w:rsidRPr="0038442F">
        <w:rPr>
          <w:rFonts w:ascii="Verdana" w:hAnsi="Verdana" w:cs="System Font Regular"/>
          <w:sz w:val="20"/>
          <w:szCs w:val="20"/>
          <w:lang w:val="pt-BR"/>
        </w:rPr>
        <w:t>jam levad</w:t>
      </w:r>
      <w:r w:rsidR="002173DA" w:rsidRPr="0038442F">
        <w:rPr>
          <w:rFonts w:ascii="Verdana" w:hAnsi="Verdana" w:cs="System Font Regular"/>
          <w:sz w:val="20"/>
          <w:szCs w:val="20"/>
          <w:lang w:val="pt-BR"/>
        </w:rPr>
        <w:t>a</w:t>
      </w:r>
      <w:r w:rsidR="00D77CD5" w:rsidRPr="0038442F">
        <w:rPr>
          <w:rFonts w:ascii="Verdana" w:hAnsi="Verdana" w:cs="System Font Regular"/>
          <w:sz w:val="20"/>
          <w:szCs w:val="20"/>
          <w:lang w:val="pt-BR"/>
        </w:rPr>
        <w:t xml:space="preserve">s em </w:t>
      </w:r>
      <w:r w:rsidR="00541BFE" w:rsidRPr="0038442F">
        <w:rPr>
          <w:rFonts w:ascii="Verdana" w:hAnsi="Verdana" w:cs="System Font Regular"/>
          <w:sz w:val="20"/>
          <w:szCs w:val="20"/>
          <w:lang w:val="pt-BR"/>
        </w:rPr>
        <w:t xml:space="preserve">conta </w:t>
      </w:r>
      <w:r w:rsidR="003B7B75" w:rsidRPr="0038442F">
        <w:rPr>
          <w:rFonts w:ascii="Verdana" w:hAnsi="Verdana" w:cs="System Font Regular"/>
          <w:sz w:val="20"/>
          <w:szCs w:val="20"/>
          <w:lang w:val="pt-BR"/>
        </w:rPr>
        <w:t>pos</w:t>
      </w:r>
      <w:r w:rsidR="00541BFE" w:rsidRPr="0038442F">
        <w:rPr>
          <w:rFonts w:ascii="Verdana" w:hAnsi="Verdana" w:cs="System Font Regular"/>
          <w:sz w:val="20"/>
          <w:szCs w:val="20"/>
          <w:lang w:val="pt-BR"/>
        </w:rPr>
        <w:t xml:space="preserve">síveis </w:t>
      </w:r>
      <w:r w:rsidR="00D77CD5" w:rsidRPr="0038442F">
        <w:rPr>
          <w:rFonts w:ascii="Verdana" w:hAnsi="Verdana" w:cs="System Font Regular"/>
          <w:sz w:val="20"/>
          <w:szCs w:val="20"/>
          <w:lang w:val="pt-BR"/>
        </w:rPr>
        <w:t>especificidades</w:t>
      </w:r>
      <w:r w:rsidR="003B7B75" w:rsidRPr="0038442F">
        <w:rPr>
          <w:rFonts w:ascii="Verdana" w:hAnsi="Verdana" w:cs="System Font Regular"/>
          <w:sz w:val="20"/>
          <w:szCs w:val="20"/>
          <w:lang w:val="pt-BR"/>
        </w:rPr>
        <w:t xml:space="preserve"> que </w:t>
      </w:r>
      <w:r w:rsidR="000450DD" w:rsidRPr="0038442F">
        <w:rPr>
          <w:rFonts w:ascii="Verdana" w:hAnsi="Verdana" w:cs="System Font Regular"/>
          <w:sz w:val="20"/>
          <w:szCs w:val="20"/>
          <w:lang w:val="pt-BR"/>
        </w:rPr>
        <w:t>possam</w:t>
      </w:r>
      <w:r w:rsidR="00407242" w:rsidRPr="0038442F">
        <w:rPr>
          <w:rFonts w:ascii="Verdana" w:hAnsi="Verdana" w:cs="System Font Regular"/>
          <w:sz w:val="20"/>
          <w:szCs w:val="20"/>
          <w:lang w:val="pt-BR"/>
        </w:rPr>
        <w:t xml:space="preserve"> </w:t>
      </w:r>
      <w:r w:rsidR="00541BFE" w:rsidRPr="0038442F">
        <w:rPr>
          <w:rFonts w:ascii="Verdana" w:hAnsi="Verdana" w:cs="System Font Regular"/>
          <w:sz w:val="20"/>
          <w:szCs w:val="20"/>
          <w:lang w:val="pt-BR"/>
        </w:rPr>
        <w:t xml:space="preserve">ter impacto </w:t>
      </w:r>
      <w:r w:rsidR="00D77CD5" w:rsidRPr="0038442F">
        <w:rPr>
          <w:rFonts w:ascii="Verdana" w:hAnsi="Verdana" w:cs="System Font Regular"/>
          <w:sz w:val="20"/>
          <w:szCs w:val="20"/>
          <w:lang w:val="pt-BR"/>
        </w:rPr>
        <w:t xml:space="preserve">em </w:t>
      </w:r>
      <w:r w:rsidR="003B7B75" w:rsidRPr="0038442F">
        <w:rPr>
          <w:rFonts w:ascii="Verdana" w:hAnsi="Verdana" w:cs="System Font Regular"/>
          <w:sz w:val="20"/>
          <w:szCs w:val="20"/>
          <w:lang w:val="pt-BR"/>
        </w:rPr>
        <w:t xml:space="preserve">diferentes </w:t>
      </w:r>
      <w:r w:rsidR="001E16E4" w:rsidRPr="0038442F">
        <w:rPr>
          <w:rFonts w:ascii="Verdana" w:hAnsi="Verdana" w:cs="System Font Regular"/>
          <w:sz w:val="20"/>
          <w:szCs w:val="20"/>
          <w:lang w:val="pt-BR"/>
        </w:rPr>
        <w:t>subgrupos</w:t>
      </w:r>
      <w:r w:rsidR="003B7B75" w:rsidRPr="0038442F">
        <w:rPr>
          <w:rFonts w:ascii="Verdana" w:hAnsi="Verdana" w:cs="System Font Regular"/>
          <w:sz w:val="20"/>
          <w:szCs w:val="20"/>
          <w:lang w:val="pt-BR"/>
        </w:rPr>
        <w:t xml:space="preserve"> d</w:t>
      </w:r>
      <w:r w:rsidR="00591D26">
        <w:rPr>
          <w:rFonts w:ascii="Verdana" w:hAnsi="Verdana" w:cs="System Font Regular"/>
          <w:sz w:val="20"/>
          <w:szCs w:val="20"/>
          <w:lang w:val="pt-BR"/>
        </w:rPr>
        <w:t>as</w:t>
      </w:r>
      <w:r w:rsidR="003B7B75"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pessoas</w:t>
      </w:r>
      <w:r w:rsidR="00407242" w:rsidRPr="0038442F">
        <w:rPr>
          <w:rFonts w:ascii="Verdana" w:hAnsi="Verdana" w:cs="System Font Regular"/>
          <w:sz w:val="20"/>
          <w:szCs w:val="20"/>
          <w:lang w:val="pt-BR"/>
        </w:rPr>
        <w:t xml:space="preserve"> </w:t>
      </w:r>
      <w:r w:rsidR="003B7B75" w:rsidRPr="0038442F">
        <w:rPr>
          <w:rFonts w:ascii="Verdana" w:hAnsi="Verdana" w:cs="System Font Regular"/>
          <w:sz w:val="20"/>
          <w:szCs w:val="20"/>
          <w:lang w:val="pt-BR"/>
        </w:rPr>
        <w:t>destinat</w:t>
      </w:r>
      <w:r w:rsidR="00541BFE" w:rsidRPr="0038442F">
        <w:rPr>
          <w:rFonts w:ascii="Verdana" w:hAnsi="Verdana" w:cs="System Font Regular"/>
          <w:sz w:val="20"/>
          <w:szCs w:val="20"/>
          <w:lang w:val="pt-BR"/>
        </w:rPr>
        <w:t>á</w:t>
      </w:r>
      <w:r w:rsidR="003B7B75" w:rsidRPr="0038442F">
        <w:rPr>
          <w:rFonts w:ascii="Verdana" w:hAnsi="Verdana" w:cs="System Font Regular"/>
          <w:sz w:val="20"/>
          <w:szCs w:val="20"/>
          <w:lang w:val="pt-BR"/>
        </w:rPr>
        <w:t>rias de</w:t>
      </w:r>
      <w:r w:rsidR="00541BFE" w:rsidRPr="0038442F">
        <w:rPr>
          <w:rFonts w:ascii="Verdana" w:hAnsi="Verdana" w:cs="System Font Regular"/>
          <w:sz w:val="20"/>
          <w:szCs w:val="20"/>
          <w:lang w:val="pt-BR"/>
        </w:rPr>
        <w:t>ssas</w:t>
      </w:r>
      <w:r w:rsidR="003B7B75" w:rsidRPr="0038442F">
        <w:rPr>
          <w:rFonts w:ascii="Verdana" w:hAnsi="Verdana" w:cs="System Font Regular"/>
          <w:sz w:val="20"/>
          <w:szCs w:val="20"/>
          <w:lang w:val="pt-BR"/>
        </w:rPr>
        <w:t xml:space="preserve"> medidas</w:t>
      </w:r>
      <w:r w:rsidR="00541BFE" w:rsidRPr="0038442F">
        <w:rPr>
          <w:rFonts w:ascii="Verdana" w:hAnsi="Verdana" w:cs="System Font Regular"/>
          <w:sz w:val="20"/>
          <w:szCs w:val="20"/>
          <w:lang w:val="pt-BR"/>
        </w:rPr>
        <w:t>.</w:t>
      </w:r>
      <w:r w:rsidR="003B7B75" w:rsidRPr="0038442F">
        <w:rPr>
          <w:rStyle w:val="Refdenotaalpie"/>
          <w:rFonts w:ascii="Verdana" w:hAnsi="Verdana" w:cs="System Font Regular"/>
          <w:sz w:val="20"/>
          <w:szCs w:val="20"/>
          <w:lang w:val="pt-BR"/>
        </w:rPr>
        <w:footnoteReference w:id="115"/>
      </w:r>
      <w:r w:rsidR="00407242" w:rsidRPr="0038442F">
        <w:rPr>
          <w:rFonts w:ascii="Verdana" w:hAnsi="Verdana" w:cs="System Font Regular"/>
          <w:sz w:val="20"/>
          <w:szCs w:val="20"/>
          <w:lang w:val="pt-BR"/>
        </w:rPr>
        <w:t xml:space="preserve"> </w:t>
      </w:r>
    </w:p>
    <w:p w14:paraId="0A773A49" w14:textId="2F62E2CC" w:rsidR="00DC725C" w:rsidRPr="0038442F" w:rsidRDefault="00DC725C" w:rsidP="00A857CB">
      <w:pPr>
        <w:pStyle w:val="Prrafodelista"/>
        <w:spacing w:after="0" w:line="240" w:lineRule="auto"/>
        <w:ind w:left="0"/>
        <w:jc w:val="both"/>
        <w:rPr>
          <w:rFonts w:ascii="Verdana" w:hAnsi="Verdana" w:cs="Times New Roman"/>
          <w:b/>
          <w:sz w:val="20"/>
          <w:szCs w:val="20"/>
          <w:lang w:val="pt-BR"/>
        </w:rPr>
      </w:pPr>
    </w:p>
    <w:p w14:paraId="7FA37037" w14:textId="77777777" w:rsidR="000777E8" w:rsidRPr="0038442F" w:rsidRDefault="000777E8" w:rsidP="00A857CB">
      <w:pPr>
        <w:pStyle w:val="Prrafodelista"/>
        <w:spacing w:after="0" w:line="240" w:lineRule="auto"/>
        <w:ind w:left="0"/>
        <w:jc w:val="both"/>
        <w:rPr>
          <w:rFonts w:ascii="Verdana" w:hAnsi="Verdana" w:cs="Times New Roman"/>
          <w:b/>
          <w:sz w:val="20"/>
          <w:szCs w:val="20"/>
          <w:lang w:val="pt-BR"/>
        </w:rPr>
      </w:pPr>
    </w:p>
    <w:p w14:paraId="681CD405" w14:textId="2D30466C" w:rsidR="006967DC" w:rsidRPr="0038442F" w:rsidRDefault="00981CF8" w:rsidP="00B979B2">
      <w:pPr>
        <w:snapToGrid w:val="0"/>
        <w:jc w:val="center"/>
        <w:rPr>
          <w:rFonts w:ascii="Verdana" w:hAnsi="Verdana"/>
          <w:b/>
          <w:sz w:val="20"/>
          <w:szCs w:val="20"/>
          <w:lang w:val="pt-BR"/>
        </w:rPr>
      </w:pPr>
      <w:r w:rsidRPr="0038442F">
        <w:rPr>
          <w:rFonts w:ascii="Verdana" w:hAnsi="Verdana"/>
          <w:b/>
          <w:sz w:val="20"/>
          <w:szCs w:val="20"/>
          <w:lang w:val="pt-BR"/>
        </w:rPr>
        <w:t xml:space="preserve">IV. </w:t>
      </w:r>
      <w:r w:rsidR="00706529" w:rsidRPr="0038442F">
        <w:rPr>
          <w:rFonts w:ascii="Verdana" w:hAnsi="Verdana"/>
          <w:b/>
          <w:sz w:val="20"/>
          <w:szCs w:val="20"/>
          <w:lang w:val="pt-BR"/>
        </w:rPr>
        <w:t>IGUAL</w:t>
      </w:r>
      <w:r w:rsidRPr="0038442F">
        <w:rPr>
          <w:rFonts w:ascii="Verdana" w:hAnsi="Verdana"/>
          <w:b/>
          <w:sz w:val="20"/>
          <w:szCs w:val="20"/>
          <w:lang w:val="pt-BR"/>
        </w:rPr>
        <w:t xml:space="preserve"> PROTE</w:t>
      </w:r>
      <w:r w:rsidR="006967DC" w:rsidRPr="0038442F">
        <w:rPr>
          <w:rFonts w:ascii="Verdana" w:hAnsi="Verdana"/>
          <w:b/>
          <w:sz w:val="20"/>
          <w:szCs w:val="20"/>
          <w:lang w:val="pt-BR"/>
        </w:rPr>
        <w:t>ÇÃO DA LEI</w:t>
      </w:r>
      <w:r w:rsidR="00706529" w:rsidRPr="0038442F">
        <w:rPr>
          <w:rFonts w:ascii="Verdana" w:hAnsi="Verdana"/>
          <w:b/>
          <w:sz w:val="20"/>
          <w:szCs w:val="20"/>
          <w:lang w:val="pt-BR"/>
        </w:rPr>
        <w:t xml:space="preserve">, </w:t>
      </w:r>
      <w:r w:rsidRPr="0038442F">
        <w:rPr>
          <w:rFonts w:ascii="Verdana" w:hAnsi="Verdana"/>
          <w:b/>
          <w:sz w:val="20"/>
          <w:szCs w:val="20"/>
          <w:lang w:val="pt-BR"/>
        </w:rPr>
        <w:t>S</w:t>
      </w:r>
      <w:r w:rsidR="006967DC" w:rsidRPr="0038442F">
        <w:rPr>
          <w:rFonts w:ascii="Verdana" w:hAnsi="Verdana"/>
          <w:b/>
          <w:sz w:val="20"/>
          <w:szCs w:val="20"/>
          <w:lang w:val="pt-BR"/>
        </w:rPr>
        <w:t>EM</w:t>
      </w:r>
      <w:r w:rsidRPr="0038442F">
        <w:rPr>
          <w:rFonts w:ascii="Verdana" w:hAnsi="Verdana"/>
          <w:b/>
          <w:sz w:val="20"/>
          <w:szCs w:val="20"/>
          <w:lang w:val="pt-BR"/>
        </w:rPr>
        <w:t xml:space="preserve"> DISCRIMINA</w:t>
      </w:r>
      <w:r w:rsidR="006967DC" w:rsidRPr="0038442F">
        <w:rPr>
          <w:rFonts w:ascii="Verdana" w:hAnsi="Verdana"/>
          <w:b/>
          <w:sz w:val="20"/>
          <w:szCs w:val="20"/>
          <w:lang w:val="pt-BR"/>
        </w:rPr>
        <w:t>ÇÃO</w:t>
      </w:r>
      <w:r w:rsidRPr="0038442F">
        <w:rPr>
          <w:rFonts w:ascii="Verdana" w:hAnsi="Verdana"/>
          <w:b/>
          <w:sz w:val="20"/>
          <w:szCs w:val="20"/>
          <w:lang w:val="pt-BR"/>
        </w:rPr>
        <w:t xml:space="preserve">: </w:t>
      </w:r>
      <w:r w:rsidR="00D87A86" w:rsidRPr="0038442F">
        <w:rPr>
          <w:rFonts w:ascii="Verdana" w:hAnsi="Verdana"/>
          <w:b/>
          <w:sz w:val="20"/>
          <w:szCs w:val="20"/>
          <w:lang w:val="pt-BR"/>
        </w:rPr>
        <w:t>D</w:t>
      </w:r>
      <w:r w:rsidRPr="0038442F">
        <w:rPr>
          <w:rFonts w:ascii="Verdana" w:hAnsi="Verdana"/>
          <w:b/>
          <w:sz w:val="20"/>
          <w:szCs w:val="20"/>
          <w:lang w:val="pt-BR"/>
        </w:rPr>
        <w:t>A EVOLU</w:t>
      </w:r>
      <w:r w:rsidR="006967DC" w:rsidRPr="0038442F">
        <w:rPr>
          <w:rFonts w:ascii="Verdana" w:hAnsi="Verdana"/>
          <w:b/>
          <w:sz w:val="20"/>
          <w:szCs w:val="20"/>
          <w:lang w:val="pt-BR"/>
        </w:rPr>
        <w:t xml:space="preserve">ÇÃO DA </w:t>
      </w:r>
    </w:p>
    <w:p w14:paraId="1B03BA7E" w14:textId="34FEA719" w:rsidR="00981CF8" w:rsidRPr="0038442F" w:rsidRDefault="00981CF8" w:rsidP="00B979B2">
      <w:pPr>
        <w:snapToGrid w:val="0"/>
        <w:jc w:val="center"/>
        <w:rPr>
          <w:rFonts w:ascii="Verdana" w:hAnsi="Verdana"/>
          <w:b/>
          <w:sz w:val="20"/>
          <w:szCs w:val="20"/>
          <w:lang w:val="pt-BR"/>
        </w:rPr>
      </w:pPr>
      <w:r w:rsidRPr="0038442F">
        <w:rPr>
          <w:rFonts w:ascii="Verdana" w:hAnsi="Verdana"/>
          <w:b/>
          <w:i/>
          <w:sz w:val="20"/>
          <w:szCs w:val="20"/>
          <w:lang w:val="pt-BR"/>
        </w:rPr>
        <w:t>IGUAL</w:t>
      </w:r>
      <w:r w:rsidR="00F60718" w:rsidRPr="0038442F">
        <w:rPr>
          <w:rFonts w:ascii="Verdana" w:hAnsi="Verdana"/>
          <w:b/>
          <w:i/>
          <w:sz w:val="20"/>
          <w:szCs w:val="20"/>
          <w:lang w:val="pt-BR"/>
        </w:rPr>
        <w:t>DAD</w:t>
      </w:r>
      <w:r w:rsidR="006967DC" w:rsidRPr="0038442F">
        <w:rPr>
          <w:rFonts w:ascii="Verdana" w:hAnsi="Verdana"/>
          <w:b/>
          <w:i/>
          <w:sz w:val="20"/>
          <w:szCs w:val="20"/>
          <w:lang w:val="pt-BR"/>
        </w:rPr>
        <w:t>E</w:t>
      </w:r>
      <w:r w:rsidR="00F60718" w:rsidRPr="0038442F">
        <w:rPr>
          <w:rFonts w:ascii="Verdana" w:hAnsi="Verdana"/>
          <w:b/>
          <w:i/>
          <w:sz w:val="20"/>
          <w:szCs w:val="20"/>
          <w:lang w:val="pt-BR"/>
        </w:rPr>
        <w:t xml:space="preserve"> </w:t>
      </w:r>
      <w:r w:rsidRPr="0038442F">
        <w:rPr>
          <w:rFonts w:ascii="Verdana" w:hAnsi="Verdana"/>
          <w:b/>
          <w:i/>
          <w:sz w:val="20"/>
          <w:szCs w:val="20"/>
          <w:lang w:val="pt-BR"/>
        </w:rPr>
        <w:t>FORMAL</w:t>
      </w:r>
      <w:r w:rsidRPr="0038442F">
        <w:rPr>
          <w:rFonts w:ascii="Verdana" w:hAnsi="Verdana"/>
          <w:b/>
          <w:sz w:val="20"/>
          <w:szCs w:val="20"/>
          <w:lang w:val="pt-BR"/>
        </w:rPr>
        <w:t xml:space="preserve"> </w:t>
      </w:r>
      <w:r w:rsidR="006967DC" w:rsidRPr="0038442F">
        <w:rPr>
          <w:rFonts w:ascii="Verdana" w:hAnsi="Verdana"/>
          <w:b/>
          <w:sz w:val="20"/>
          <w:szCs w:val="20"/>
          <w:lang w:val="pt-BR"/>
        </w:rPr>
        <w:t xml:space="preserve">AO </w:t>
      </w:r>
      <w:r w:rsidRPr="0038442F">
        <w:rPr>
          <w:rFonts w:ascii="Verdana" w:hAnsi="Verdana"/>
          <w:b/>
          <w:sz w:val="20"/>
          <w:szCs w:val="20"/>
          <w:lang w:val="pt-BR"/>
        </w:rPr>
        <w:t>MANDATO D</w:t>
      </w:r>
      <w:r w:rsidR="004C7D21" w:rsidRPr="0038442F">
        <w:rPr>
          <w:rFonts w:ascii="Verdana" w:hAnsi="Verdana"/>
          <w:b/>
          <w:sz w:val="20"/>
          <w:szCs w:val="20"/>
          <w:lang w:val="pt-BR"/>
        </w:rPr>
        <w:t xml:space="preserve">A </w:t>
      </w:r>
      <w:r w:rsidRPr="0038442F">
        <w:rPr>
          <w:rFonts w:ascii="Verdana" w:hAnsi="Verdana"/>
          <w:b/>
          <w:i/>
          <w:sz w:val="20"/>
          <w:szCs w:val="20"/>
          <w:lang w:val="pt-BR"/>
        </w:rPr>
        <w:t>IGUALDAD</w:t>
      </w:r>
      <w:r w:rsidR="006967DC" w:rsidRPr="0038442F">
        <w:rPr>
          <w:rFonts w:ascii="Verdana" w:hAnsi="Verdana"/>
          <w:b/>
          <w:i/>
          <w:sz w:val="20"/>
          <w:szCs w:val="20"/>
          <w:lang w:val="pt-BR"/>
        </w:rPr>
        <w:t>E</w:t>
      </w:r>
      <w:r w:rsidRPr="0038442F">
        <w:rPr>
          <w:rFonts w:ascii="Verdana" w:hAnsi="Verdana"/>
          <w:b/>
          <w:i/>
          <w:sz w:val="20"/>
          <w:szCs w:val="20"/>
          <w:lang w:val="pt-BR"/>
        </w:rPr>
        <w:t xml:space="preserve"> </w:t>
      </w:r>
      <w:r w:rsidR="004C7D21" w:rsidRPr="0038442F">
        <w:rPr>
          <w:rFonts w:ascii="Verdana" w:hAnsi="Verdana"/>
          <w:b/>
          <w:i/>
          <w:sz w:val="20"/>
          <w:szCs w:val="20"/>
          <w:lang w:val="pt-BR"/>
        </w:rPr>
        <w:t xml:space="preserve">MATERIAL </w:t>
      </w:r>
    </w:p>
    <w:p w14:paraId="7916418C" w14:textId="77777777" w:rsidR="00981CF8" w:rsidRPr="0038442F" w:rsidRDefault="00981CF8" w:rsidP="00A857CB">
      <w:pPr>
        <w:jc w:val="both"/>
        <w:rPr>
          <w:rFonts w:ascii="Verdana" w:hAnsi="Verdana"/>
          <w:b/>
          <w:sz w:val="20"/>
          <w:szCs w:val="20"/>
          <w:lang w:val="pt-BR"/>
        </w:rPr>
      </w:pPr>
    </w:p>
    <w:p w14:paraId="65DD8687" w14:textId="747B1EFC" w:rsidR="00F60718" w:rsidRPr="0038442F" w:rsidRDefault="008A684B" w:rsidP="00A857CB">
      <w:pPr>
        <w:jc w:val="both"/>
        <w:rPr>
          <w:rFonts w:ascii="Verdana" w:hAnsi="Verdana" w:cs="Arial"/>
          <w:b/>
          <w:bCs/>
          <w:i/>
          <w:sz w:val="20"/>
          <w:szCs w:val="20"/>
          <w:lang w:val="pt-BR"/>
        </w:rPr>
      </w:pPr>
      <w:r w:rsidRPr="0038442F">
        <w:rPr>
          <w:rFonts w:ascii="Verdana" w:hAnsi="Verdana" w:cs="Arial"/>
          <w:b/>
          <w:bCs/>
          <w:i/>
          <w:sz w:val="20"/>
          <w:szCs w:val="20"/>
          <w:lang w:val="pt-BR"/>
        </w:rPr>
        <w:t>A</w:t>
      </w:r>
      <w:r w:rsidR="00F60718" w:rsidRPr="0038442F">
        <w:rPr>
          <w:rFonts w:ascii="Verdana" w:hAnsi="Verdana" w:cs="Arial"/>
          <w:b/>
          <w:bCs/>
          <w:i/>
          <w:sz w:val="20"/>
          <w:szCs w:val="20"/>
          <w:lang w:val="pt-BR"/>
        </w:rPr>
        <w:t xml:space="preserve">. </w:t>
      </w:r>
      <w:r w:rsidR="006967DC" w:rsidRPr="0038442F">
        <w:rPr>
          <w:rFonts w:ascii="Verdana" w:hAnsi="Verdana" w:cs="Arial"/>
          <w:b/>
          <w:bCs/>
          <w:i/>
          <w:sz w:val="20"/>
          <w:szCs w:val="20"/>
          <w:lang w:val="pt-BR"/>
        </w:rPr>
        <w:t>A</w:t>
      </w:r>
      <w:r w:rsidR="00D77CD5" w:rsidRPr="0038442F">
        <w:rPr>
          <w:rFonts w:ascii="Verdana" w:hAnsi="Verdana" w:cs="Arial"/>
          <w:b/>
          <w:bCs/>
          <w:i/>
          <w:sz w:val="20"/>
          <w:szCs w:val="20"/>
          <w:lang w:val="pt-BR"/>
        </w:rPr>
        <w:t xml:space="preserve"> </w:t>
      </w:r>
      <w:r w:rsidR="009612FB" w:rsidRPr="0038442F">
        <w:rPr>
          <w:rFonts w:ascii="Verdana" w:hAnsi="Verdana" w:cs="Arial"/>
          <w:b/>
          <w:bCs/>
          <w:i/>
          <w:sz w:val="20"/>
          <w:szCs w:val="20"/>
          <w:lang w:val="pt-BR"/>
        </w:rPr>
        <w:t>igualdade</w:t>
      </w:r>
      <w:r w:rsidR="00407242" w:rsidRPr="0038442F">
        <w:rPr>
          <w:rFonts w:ascii="Verdana" w:hAnsi="Verdana" w:cs="Arial"/>
          <w:b/>
          <w:bCs/>
          <w:i/>
          <w:sz w:val="20"/>
          <w:szCs w:val="20"/>
          <w:lang w:val="pt-BR"/>
        </w:rPr>
        <w:t xml:space="preserve"> </w:t>
      </w:r>
      <w:r w:rsidR="000F257B" w:rsidRPr="0038442F">
        <w:rPr>
          <w:rFonts w:ascii="Verdana" w:hAnsi="Verdana" w:cs="Arial"/>
          <w:b/>
          <w:bCs/>
          <w:i/>
          <w:sz w:val="20"/>
          <w:szCs w:val="20"/>
          <w:lang w:val="pt-BR"/>
        </w:rPr>
        <w:t>material o</w:t>
      </w:r>
      <w:r w:rsidR="006967DC" w:rsidRPr="0038442F">
        <w:rPr>
          <w:rFonts w:ascii="Verdana" w:hAnsi="Verdana" w:cs="Arial"/>
          <w:b/>
          <w:bCs/>
          <w:i/>
          <w:sz w:val="20"/>
          <w:szCs w:val="20"/>
          <w:lang w:val="pt-BR"/>
        </w:rPr>
        <w:t>u</w:t>
      </w:r>
      <w:r w:rsidR="000F257B" w:rsidRPr="0038442F">
        <w:rPr>
          <w:rFonts w:ascii="Verdana" w:hAnsi="Verdana" w:cs="Arial"/>
          <w:b/>
          <w:bCs/>
          <w:i/>
          <w:sz w:val="20"/>
          <w:szCs w:val="20"/>
          <w:lang w:val="pt-BR"/>
        </w:rPr>
        <w:t xml:space="preserve"> real </w:t>
      </w:r>
      <w:r w:rsidR="00602FF9" w:rsidRPr="0038442F">
        <w:rPr>
          <w:rFonts w:ascii="Verdana" w:hAnsi="Verdana" w:cs="Arial"/>
          <w:b/>
          <w:bCs/>
          <w:i/>
          <w:sz w:val="20"/>
          <w:szCs w:val="20"/>
          <w:lang w:val="pt-BR"/>
        </w:rPr>
        <w:t xml:space="preserve">nos </w:t>
      </w:r>
      <w:r w:rsidR="000F257B" w:rsidRPr="0038442F">
        <w:rPr>
          <w:rFonts w:ascii="Verdana" w:hAnsi="Verdana" w:cs="Arial"/>
          <w:b/>
          <w:bCs/>
          <w:i/>
          <w:sz w:val="20"/>
          <w:szCs w:val="20"/>
          <w:lang w:val="pt-BR"/>
        </w:rPr>
        <w:t xml:space="preserve">sistemas de </w:t>
      </w:r>
      <w:r w:rsidR="000A1AA8" w:rsidRPr="0038442F">
        <w:rPr>
          <w:rFonts w:ascii="Verdana" w:hAnsi="Verdana" w:cs="Arial"/>
          <w:b/>
          <w:bCs/>
          <w:i/>
          <w:sz w:val="20"/>
          <w:szCs w:val="20"/>
          <w:lang w:val="pt-BR"/>
        </w:rPr>
        <w:t>direitos</w:t>
      </w:r>
      <w:r w:rsidR="00407242" w:rsidRPr="0038442F">
        <w:rPr>
          <w:rFonts w:ascii="Verdana" w:hAnsi="Verdana" w:cs="Arial"/>
          <w:b/>
          <w:bCs/>
          <w:i/>
          <w:sz w:val="20"/>
          <w:szCs w:val="20"/>
          <w:lang w:val="pt-BR"/>
        </w:rPr>
        <w:t xml:space="preserve"> </w:t>
      </w:r>
      <w:r w:rsidR="000F257B" w:rsidRPr="0038442F">
        <w:rPr>
          <w:rFonts w:ascii="Verdana" w:hAnsi="Verdana" w:cs="Arial"/>
          <w:b/>
          <w:bCs/>
          <w:i/>
          <w:sz w:val="20"/>
          <w:szCs w:val="20"/>
          <w:lang w:val="pt-BR"/>
        </w:rPr>
        <w:t>humanos</w:t>
      </w:r>
      <w:r w:rsidR="00F60718" w:rsidRPr="0038442F">
        <w:rPr>
          <w:rFonts w:ascii="Verdana" w:hAnsi="Verdana" w:cs="Arial"/>
          <w:b/>
          <w:bCs/>
          <w:i/>
          <w:sz w:val="20"/>
          <w:szCs w:val="20"/>
          <w:lang w:val="pt-BR"/>
        </w:rPr>
        <w:t xml:space="preserve"> </w:t>
      </w:r>
    </w:p>
    <w:p w14:paraId="7E7ECDD1" w14:textId="77777777" w:rsidR="00706529" w:rsidRPr="0038442F" w:rsidRDefault="00706529" w:rsidP="00A857CB">
      <w:pPr>
        <w:jc w:val="both"/>
        <w:rPr>
          <w:rFonts w:ascii="Verdana" w:hAnsi="Verdana"/>
          <w:i/>
          <w:iCs/>
          <w:sz w:val="20"/>
          <w:szCs w:val="20"/>
          <w:lang w:val="pt-BR"/>
        </w:rPr>
      </w:pPr>
    </w:p>
    <w:p w14:paraId="61AAD6E4" w14:textId="3E34F6CE" w:rsidR="00385DF6" w:rsidRPr="0038442F" w:rsidRDefault="00685AC6" w:rsidP="00685AC6">
      <w:pPr>
        <w:pStyle w:val="Prrafodelista"/>
        <w:spacing w:line="240" w:lineRule="auto"/>
        <w:ind w:left="0"/>
        <w:jc w:val="both"/>
        <w:rPr>
          <w:rFonts w:ascii="Verdana" w:hAnsi="Verdana"/>
          <w:sz w:val="20"/>
          <w:szCs w:val="20"/>
          <w:lang w:val="pt-BR"/>
        </w:rPr>
      </w:pPr>
      <w:r w:rsidRPr="0038442F">
        <w:rPr>
          <w:rFonts w:ascii="Verdana" w:hAnsi="Verdana"/>
          <w:sz w:val="20"/>
          <w:szCs w:val="20"/>
          <w:lang w:val="pt-BR"/>
        </w:rPr>
        <w:t xml:space="preserve">69. </w:t>
      </w:r>
      <w:r w:rsidRPr="0038442F">
        <w:rPr>
          <w:rFonts w:ascii="Verdana" w:hAnsi="Verdana"/>
          <w:sz w:val="20"/>
          <w:szCs w:val="20"/>
          <w:lang w:val="pt-BR"/>
        </w:rPr>
        <w:tab/>
      </w:r>
      <w:r w:rsidR="00247F19" w:rsidRPr="0038442F">
        <w:rPr>
          <w:rFonts w:ascii="Verdana" w:hAnsi="Verdana"/>
          <w:sz w:val="20"/>
          <w:szCs w:val="20"/>
          <w:lang w:val="pt-BR"/>
        </w:rPr>
        <w:t>Alguns instrumentos internacionais do Sistema Universal e do Sistema Europeu estão em sintonia com a Convenção Americana; ou seja, por um lado, contêm disposições que fazem referência à proibição de discriminação e, por outro lado, disposições que são destinadas a garantir a igualdade das pessoas perante a lei.</w:t>
      </w:r>
      <w:r w:rsidR="00247F19" w:rsidRPr="0038442F">
        <w:rPr>
          <w:rStyle w:val="Refdenotaalpie"/>
          <w:rFonts w:ascii="Verdana" w:hAnsi="Verdana"/>
          <w:sz w:val="20"/>
          <w:szCs w:val="20"/>
          <w:lang w:val="pt-BR"/>
        </w:rPr>
        <w:footnoteReference w:id="116"/>
      </w:r>
    </w:p>
    <w:p w14:paraId="4D5DE02F" w14:textId="77777777" w:rsidR="000777E8" w:rsidRPr="0038442F" w:rsidRDefault="000777E8" w:rsidP="00685AC6">
      <w:pPr>
        <w:pStyle w:val="Prrafodelista"/>
        <w:spacing w:line="240" w:lineRule="auto"/>
        <w:ind w:left="0"/>
        <w:jc w:val="both"/>
        <w:rPr>
          <w:rFonts w:ascii="Verdana" w:hAnsi="Verdana"/>
          <w:i/>
          <w:iCs/>
          <w:sz w:val="20"/>
          <w:szCs w:val="20"/>
          <w:lang w:val="pt-BR"/>
        </w:rPr>
      </w:pPr>
    </w:p>
    <w:p w14:paraId="7202CE5A" w14:textId="6CD2CF80" w:rsidR="00706529" w:rsidRPr="0038442F" w:rsidRDefault="008A684B" w:rsidP="000F257B">
      <w:pPr>
        <w:ind w:firstLine="709"/>
        <w:jc w:val="both"/>
        <w:rPr>
          <w:rFonts w:ascii="Verdana" w:hAnsi="Verdana" w:cs="Arial"/>
          <w:b/>
          <w:bCs/>
          <w:iCs/>
          <w:sz w:val="20"/>
          <w:szCs w:val="20"/>
          <w:lang w:val="pt-BR"/>
        </w:rPr>
      </w:pPr>
      <w:r w:rsidRPr="0038442F">
        <w:rPr>
          <w:rFonts w:ascii="Verdana" w:hAnsi="Verdana" w:cs="Arial"/>
          <w:b/>
          <w:bCs/>
          <w:iCs/>
          <w:sz w:val="20"/>
          <w:szCs w:val="20"/>
          <w:lang w:val="pt-BR"/>
        </w:rPr>
        <w:t>A</w:t>
      </w:r>
      <w:r w:rsidR="00706529" w:rsidRPr="0038442F">
        <w:rPr>
          <w:rFonts w:ascii="Verdana" w:hAnsi="Verdana" w:cs="Arial"/>
          <w:b/>
          <w:bCs/>
          <w:iCs/>
          <w:sz w:val="20"/>
          <w:szCs w:val="20"/>
          <w:lang w:val="pt-BR"/>
        </w:rPr>
        <w:t>.1</w:t>
      </w:r>
      <w:r w:rsidRPr="0038442F">
        <w:rPr>
          <w:rFonts w:ascii="Verdana" w:hAnsi="Verdana" w:cs="Arial"/>
          <w:b/>
          <w:bCs/>
          <w:iCs/>
          <w:sz w:val="20"/>
          <w:szCs w:val="20"/>
          <w:lang w:val="pt-BR"/>
        </w:rPr>
        <w:t>.</w:t>
      </w:r>
      <w:r w:rsidR="00407242" w:rsidRPr="0038442F">
        <w:rPr>
          <w:rFonts w:ascii="Verdana" w:hAnsi="Verdana" w:cs="Arial"/>
          <w:b/>
          <w:bCs/>
          <w:iCs/>
          <w:sz w:val="20"/>
          <w:szCs w:val="20"/>
          <w:lang w:val="pt-BR"/>
        </w:rPr>
        <w:t xml:space="preserve"> </w:t>
      </w:r>
      <w:r w:rsidR="00706529" w:rsidRPr="0038442F">
        <w:rPr>
          <w:rFonts w:ascii="Verdana" w:hAnsi="Verdana" w:cs="Arial"/>
          <w:b/>
          <w:bCs/>
          <w:iCs/>
          <w:sz w:val="20"/>
          <w:szCs w:val="20"/>
          <w:lang w:val="pt-BR"/>
        </w:rPr>
        <w:t xml:space="preserve">Sistema Universal de </w:t>
      </w:r>
      <w:r w:rsidR="00C92762" w:rsidRPr="0038442F">
        <w:rPr>
          <w:rFonts w:ascii="Verdana" w:hAnsi="Verdana" w:cs="Arial"/>
          <w:b/>
          <w:bCs/>
          <w:iCs/>
          <w:sz w:val="20"/>
          <w:szCs w:val="20"/>
          <w:lang w:val="pt-BR"/>
        </w:rPr>
        <w:t>Direitos</w:t>
      </w:r>
      <w:r w:rsidR="00407242" w:rsidRPr="0038442F">
        <w:rPr>
          <w:rFonts w:ascii="Verdana" w:hAnsi="Verdana" w:cs="Arial"/>
          <w:b/>
          <w:bCs/>
          <w:iCs/>
          <w:sz w:val="20"/>
          <w:szCs w:val="20"/>
          <w:lang w:val="pt-BR"/>
        </w:rPr>
        <w:t xml:space="preserve"> </w:t>
      </w:r>
      <w:r w:rsidR="00706529" w:rsidRPr="0038442F">
        <w:rPr>
          <w:rFonts w:ascii="Verdana" w:hAnsi="Verdana" w:cs="Arial"/>
          <w:b/>
          <w:bCs/>
          <w:iCs/>
          <w:sz w:val="20"/>
          <w:szCs w:val="20"/>
          <w:lang w:val="pt-BR"/>
        </w:rPr>
        <w:t xml:space="preserve">Humanos </w:t>
      </w:r>
    </w:p>
    <w:p w14:paraId="70B3579E" w14:textId="77777777" w:rsidR="00706529" w:rsidRPr="0038442F" w:rsidRDefault="00706529" w:rsidP="00A857CB">
      <w:pPr>
        <w:pStyle w:val="Prrafodelista"/>
        <w:spacing w:line="240" w:lineRule="auto"/>
        <w:ind w:left="0"/>
        <w:jc w:val="both"/>
        <w:rPr>
          <w:rFonts w:ascii="Verdana" w:hAnsi="Verdana"/>
          <w:b/>
          <w:bCs/>
          <w:i/>
          <w:iCs/>
          <w:sz w:val="20"/>
          <w:szCs w:val="20"/>
          <w:lang w:val="pt-BR"/>
        </w:rPr>
      </w:pPr>
    </w:p>
    <w:p w14:paraId="2B352B3B" w14:textId="0F7954BE" w:rsidR="009A74AA" w:rsidRPr="0038442F" w:rsidRDefault="00685AC6" w:rsidP="00685AC6">
      <w:pPr>
        <w:pStyle w:val="Prrafodelista"/>
        <w:spacing w:line="240" w:lineRule="auto"/>
        <w:ind w:left="0"/>
        <w:jc w:val="both"/>
        <w:rPr>
          <w:rFonts w:ascii="Verdana" w:hAnsi="Verdana"/>
          <w:i/>
          <w:iCs/>
          <w:sz w:val="20"/>
          <w:szCs w:val="20"/>
          <w:lang w:val="pt-BR"/>
        </w:rPr>
      </w:pPr>
      <w:r w:rsidRPr="0038442F">
        <w:rPr>
          <w:rFonts w:ascii="Verdana" w:hAnsi="Verdana" w:cs="Arial"/>
          <w:sz w:val="20"/>
          <w:szCs w:val="20"/>
          <w:lang w:val="pt-BR"/>
        </w:rPr>
        <w:t xml:space="preserve">70. </w:t>
      </w:r>
      <w:r w:rsidRPr="0038442F">
        <w:rPr>
          <w:rFonts w:ascii="Verdana" w:hAnsi="Verdana" w:cs="Arial"/>
          <w:sz w:val="20"/>
          <w:szCs w:val="20"/>
          <w:lang w:val="pt-BR"/>
        </w:rPr>
        <w:tab/>
      </w:r>
      <w:r w:rsidR="006967DC" w:rsidRPr="0038442F">
        <w:rPr>
          <w:rFonts w:ascii="Verdana" w:hAnsi="Verdana" w:cs="Arial"/>
          <w:sz w:val="20"/>
          <w:szCs w:val="20"/>
          <w:lang w:val="pt-BR"/>
        </w:rPr>
        <w:t>O</w:t>
      </w:r>
      <w:r w:rsidR="00706529" w:rsidRPr="0038442F">
        <w:rPr>
          <w:rFonts w:ascii="Verdana" w:hAnsi="Verdana" w:cs="Arial"/>
          <w:sz w:val="20"/>
          <w:szCs w:val="20"/>
          <w:lang w:val="pt-BR"/>
        </w:rPr>
        <w:t xml:space="preserve"> </w:t>
      </w:r>
      <w:r w:rsidR="00706529" w:rsidRPr="0038442F">
        <w:rPr>
          <w:rFonts w:ascii="Verdana" w:hAnsi="Verdana"/>
          <w:sz w:val="20"/>
          <w:szCs w:val="20"/>
          <w:lang w:val="pt-BR"/>
        </w:rPr>
        <w:t xml:space="preserve">Pacto Internacional </w:t>
      </w:r>
      <w:r w:rsidR="002173DA" w:rsidRPr="0038442F">
        <w:rPr>
          <w:rFonts w:ascii="Verdana" w:hAnsi="Verdana"/>
          <w:sz w:val="20"/>
          <w:szCs w:val="20"/>
          <w:lang w:val="pt-BR"/>
        </w:rPr>
        <w:t>de</w:t>
      </w:r>
      <w:r w:rsidR="00763BC3" w:rsidRPr="0038442F">
        <w:rPr>
          <w:rFonts w:ascii="Verdana" w:hAnsi="Verdana"/>
          <w:sz w:val="20"/>
          <w:szCs w:val="20"/>
          <w:lang w:val="pt-BR"/>
        </w:rPr>
        <w:t xml:space="preserve"> </w:t>
      </w:r>
      <w:r w:rsidR="00C92762" w:rsidRPr="0038442F">
        <w:rPr>
          <w:rFonts w:ascii="Verdana" w:hAnsi="Verdana"/>
          <w:sz w:val="20"/>
          <w:szCs w:val="20"/>
          <w:lang w:val="pt-BR"/>
        </w:rPr>
        <w:t>Direitos</w:t>
      </w:r>
      <w:r w:rsidR="00407242" w:rsidRPr="0038442F">
        <w:rPr>
          <w:rFonts w:ascii="Verdana" w:hAnsi="Verdana"/>
          <w:sz w:val="20"/>
          <w:szCs w:val="20"/>
          <w:lang w:val="pt-BR"/>
        </w:rPr>
        <w:t xml:space="preserve"> </w:t>
      </w:r>
      <w:r w:rsidR="006967DC" w:rsidRPr="0038442F">
        <w:rPr>
          <w:rFonts w:ascii="Verdana" w:hAnsi="Verdana"/>
          <w:sz w:val="20"/>
          <w:szCs w:val="20"/>
          <w:lang w:val="pt-BR"/>
        </w:rPr>
        <w:t>Civis</w:t>
      </w:r>
      <w:r w:rsidR="00407242" w:rsidRPr="0038442F">
        <w:rPr>
          <w:rFonts w:ascii="Verdana" w:hAnsi="Verdana"/>
          <w:sz w:val="20"/>
          <w:szCs w:val="20"/>
          <w:lang w:val="pt-BR"/>
        </w:rPr>
        <w:t xml:space="preserve"> </w:t>
      </w:r>
      <w:r w:rsidR="006967DC" w:rsidRPr="0038442F">
        <w:rPr>
          <w:rFonts w:ascii="Verdana" w:hAnsi="Verdana"/>
          <w:sz w:val="20"/>
          <w:szCs w:val="20"/>
          <w:lang w:val="pt-BR"/>
        </w:rPr>
        <w:t>e</w:t>
      </w:r>
      <w:r w:rsidR="00706529" w:rsidRPr="0038442F">
        <w:rPr>
          <w:rFonts w:ascii="Verdana" w:hAnsi="Verdana"/>
          <w:sz w:val="20"/>
          <w:szCs w:val="20"/>
          <w:lang w:val="pt-BR"/>
        </w:rPr>
        <w:t xml:space="preserve"> Políticos estipula</w:t>
      </w:r>
      <w:r w:rsidR="006967DC" w:rsidRPr="0038442F">
        <w:rPr>
          <w:rFonts w:ascii="Verdana" w:hAnsi="Verdana"/>
          <w:sz w:val="20"/>
          <w:szCs w:val="20"/>
          <w:lang w:val="pt-BR"/>
        </w:rPr>
        <w:t>, no</w:t>
      </w:r>
      <w:r w:rsidR="00407242" w:rsidRPr="0038442F">
        <w:rPr>
          <w:rFonts w:ascii="Verdana" w:hAnsi="Verdana"/>
          <w:sz w:val="20"/>
          <w:szCs w:val="20"/>
          <w:lang w:val="pt-BR"/>
        </w:rPr>
        <w:t xml:space="preserve">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2 </w:t>
      </w:r>
      <w:r w:rsidR="006967DC" w:rsidRPr="0038442F">
        <w:rPr>
          <w:rFonts w:ascii="Verdana" w:hAnsi="Verdana"/>
          <w:sz w:val="20"/>
          <w:szCs w:val="20"/>
          <w:lang w:val="pt-BR"/>
        </w:rPr>
        <w:t xml:space="preserve">e 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706529" w:rsidRPr="0038442F">
        <w:rPr>
          <w:rFonts w:ascii="Verdana" w:hAnsi="Verdana"/>
          <w:sz w:val="20"/>
          <w:szCs w:val="20"/>
          <w:lang w:val="pt-BR"/>
        </w:rPr>
        <w:t>26</w:t>
      </w:r>
      <w:r w:rsidR="006967DC" w:rsidRPr="0038442F">
        <w:rPr>
          <w:rFonts w:ascii="Verdana" w:hAnsi="Verdana"/>
          <w:sz w:val="20"/>
          <w:szCs w:val="20"/>
          <w:lang w:val="pt-BR"/>
        </w:rPr>
        <w:t>,</w:t>
      </w:r>
      <w:r w:rsidR="00706529" w:rsidRPr="0038442F">
        <w:rPr>
          <w:rStyle w:val="Refdenotaalpie"/>
          <w:rFonts w:ascii="Verdana" w:hAnsi="Verdana"/>
          <w:sz w:val="20"/>
          <w:szCs w:val="20"/>
          <w:lang w:val="pt-BR"/>
        </w:rPr>
        <w:footnoteReference w:id="117"/>
      </w:r>
      <w:r w:rsidR="00706529" w:rsidRPr="0038442F">
        <w:rPr>
          <w:rFonts w:ascii="Verdana" w:hAnsi="Verdana"/>
          <w:sz w:val="20"/>
          <w:szCs w:val="20"/>
          <w:lang w:val="pt-BR"/>
        </w:rPr>
        <w:t xml:space="preserve"> o que </w:t>
      </w:r>
      <w:r w:rsidR="006967DC" w:rsidRPr="0038442F">
        <w:rPr>
          <w:rFonts w:ascii="Verdana" w:hAnsi="Verdana"/>
          <w:sz w:val="20"/>
          <w:szCs w:val="20"/>
          <w:lang w:val="pt-BR"/>
        </w:rPr>
        <w:t xml:space="preserve">seria o </w:t>
      </w:r>
      <w:r w:rsidR="00706529" w:rsidRPr="0038442F">
        <w:rPr>
          <w:rFonts w:ascii="Verdana" w:hAnsi="Verdana"/>
          <w:sz w:val="20"/>
          <w:szCs w:val="20"/>
          <w:lang w:val="pt-BR"/>
        </w:rPr>
        <w:t>equivalente a</w:t>
      </w:r>
      <w:r w:rsidR="006A12FD" w:rsidRPr="0038442F">
        <w:rPr>
          <w:rFonts w:ascii="Verdana" w:hAnsi="Verdana"/>
          <w:sz w:val="20"/>
          <w:szCs w:val="20"/>
          <w:lang w:val="pt-BR"/>
        </w:rPr>
        <w:t xml:space="preserve">os artigos </w:t>
      </w:r>
      <w:r w:rsidR="00706529" w:rsidRPr="0038442F">
        <w:rPr>
          <w:rFonts w:ascii="Verdana" w:hAnsi="Verdana"/>
          <w:sz w:val="20"/>
          <w:szCs w:val="20"/>
          <w:lang w:val="pt-BR"/>
        </w:rPr>
        <w:t xml:space="preserve">1.1 </w:t>
      </w:r>
      <w:r w:rsidR="006967DC" w:rsidRPr="0038442F">
        <w:rPr>
          <w:rFonts w:ascii="Verdana" w:hAnsi="Verdana"/>
          <w:sz w:val="20"/>
          <w:szCs w:val="20"/>
          <w:lang w:val="pt-BR"/>
        </w:rPr>
        <w:t>e</w:t>
      </w:r>
      <w:r w:rsidR="00706529" w:rsidRPr="0038442F">
        <w:rPr>
          <w:rFonts w:ascii="Verdana" w:hAnsi="Verdana"/>
          <w:sz w:val="20"/>
          <w:szCs w:val="20"/>
          <w:lang w:val="pt-BR"/>
        </w:rPr>
        <w:t xml:space="preserve"> 24 </w:t>
      </w:r>
      <w:r w:rsidR="00C92762" w:rsidRPr="0038442F">
        <w:rPr>
          <w:rFonts w:ascii="Verdana" w:hAnsi="Verdana"/>
          <w:sz w:val="20"/>
          <w:szCs w:val="20"/>
          <w:lang w:val="pt-BR"/>
        </w:rPr>
        <w:t xml:space="preserve">da </w:t>
      </w:r>
      <w:r w:rsidR="00706529" w:rsidRPr="0038442F">
        <w:rPr>
          <w:rFonts w:ascii="Verdana" w:hAnsi="Verdana"/>
          <w:sz w:val="20"/>
          <w:szCs w:val="20"/>
          <w:lang w:val="pt-BR"/>
        </w:rPr>
        <w:t>Conven</w:t>
      </w:r>
      <w:r w:rsidR="000A1AA8" w:rsidRPr="0038442F">
        <w:rPr>
          <w:rFonts w:ascii="Verdana" w:hAnsi="Verdana"/>
          <w:sz w:val="20"/>
          <w:szCs w:val="20"/>
          <w:lang w:val="pt-BR"/>
        </w:rPr>
        <w:t>ção</w:t>
      </w:r>
      <w:r w:rsidR="00706529" w:rsidRPr="0038442F">
        <w:rPr>
          <w:rFonts w:ascii="Verdana" w:hAnsi="Verdana"/>
          <w:sz w:val="20"/>
          <w:szCs w:val="20"/>
          <w:lang w:val="pt-BR"/>
        </w:rPr>
        <w:t xml:space="preserve"> Americana. </w:t>
      </w:r>
      <w:r w:rsidR="00D77CD5" w:rsidRPr="0038442F">
        <w:rPr>
          <w:rFonts w:ascii="Verdana" w:hAnsi="Verdana"/>
          <w:sz w:val="20"/>
          <w:szCs w:val="20"/>
          <w:lang w:val="pt-BR"/>
        </w:rPr>
        <w:t>No entanto</w:t>
      </w:r>
      <w:r w:rsidR="00706529" w:rsidRPr="0038442F">
        <w:rPr>
          <w:rFonts w:ascii="Verdana" w:hAnsi="Verdana"/>
          <w:sz w:val="20"/>
          <w:szCs w:val="20"/>
          <w:lang w:val="pt-BR"/>
        </w:rPr>
        <w:t xml:space="preserve">, a </w:t>
      </w:r>
      <w:r w:rsidR="00984A83" w:rsidRPr="0038442F">
        <w:rPr>
          <w:rFonts w:ascii="Verdana" w:hAnsi="Verdana"/>
          <w:sz w:val="20"/>
          <w:szCs w:val="20"/>
          <w:lang w:val="pt-BR"/>
        </w:rPr>
        <w:t>jurisprudência</w:t>
      </w:r>
      <w:r w:rsidR="00407242" w:rsidRPr="0038442F">
        <w:rPr>
          <w:rFonts w:ascii="Verdana" w:hAnsi="Verdana"/>
          <w:sz w:val="20"/>
          <w:szCs w:val="20"/>
          <w:lang w:val="pt-BR"/>
        </w:rPr>
        <w:t xml:space="preserve"> </w:t>
      </w:r>
      <w:r w:rsidR="00706529" w:rsidRPr="0038442F">
        <w:rPr>
          <w:rFonts w:ascii="Verdana" w:hAnsi="Verdana"/>
          <w:sz w:val="20"/>
          <w:szCs w:val="20"/>
          <w:lang w:val="pt-BR"/>
        </w:rPr>
        <w:t>d</w:t>
      </w:r>
      <w:r w:rsidR="006967DC" w:rsidRPr="0038442F">
        <w:rPr>
          <w:rFonts w:ascii="Verdana" w:hAnsi="Verdana"/>
          <w:sz w:val="20"/>
          <w:szCs w:val="20"/>
          <w:lang w:val="pt-BR"/>
        </w:rPr>
        <w:t xml:space="preserve">o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 </w:t>
      </w:r>
      <w:r w:rsidR="00C92762" w:rsidRPr="0038442F">
        <w:rPr>
          <w:rFonts w:ascii="Verdana" w:hAnsi="Verdana"/>
          <w:sz w:val="20"/>
          <w:szCs w:val="20"/>
          <w:lang w:val="pt-BR"/>
        </w:rPr>
        <w:t>Direitos</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Humanos </w:t>
      </w:r>
      <w:r w:rsidR="006967DC" w:rsidRPr="0038442F">
        <w:rPr>
          <w:rFonts w:ascii="Verdana" w:hAnsi="Verdana"/>
          <w:sz w:val="20"/>
          <w:szCs w:val="20"/>
          <w:lang w:val="pt-BR"/>
        </w:rPr>
        <w:t xml:space="preserve">não se aprofundou na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material </w:t>
      </w:r>
      <w:r w:rsidR="00CE1F80">
        <w:rPr>
          <w:rFonts w:ascii="Verdana" w:hAnsi="Verdana"/>
          <w:sz w:val="20"/>
          <w:szCs w:val="20"/>
          <w:lang w:val="pt-BR"/>
        </w:rPr>
        <w:t>sob a</w:t>
      </w:r>
      <w:r w:rsidR="00C92762" w:rsidRPr="0038442F">
        <w:rPr>
          <w:rFonts w:ascii="Verdana" w:hAnsi="Verdana"/>
          <w:sz w:val="20"/>
          <w:szCs w:val="20"/>
          <w:lang w:val="pt-BR"/>
        </w:rPr>
        <w:t xml:space="preserve"> </w:t>
      </w:r>
      <w:r w:rsidR="00CE1F80">
        <w:rPr>
          <w:rFonts w:ascii="Verdana" w:hAnsi="Verdana"/>
          <w:sz w:val="20"/>
          <w:szCs w:val="20"/>
          <w:lang w:val="pt-BR"/>
        </w:rPr>
        <w:t>ótica</w:t>
      </w:r>
      <w:r w:rsidR="00706529" w:rsidRPr="0038442F">
        <w:rPr>
          <w:rFonts w:ascii="Verdana" w:hAnsi="Verdana"/>
          <w:sz w:val="20"/>
          <w:szCs w:val="20"/>
          <w:lang w:val="pt-BR"/>
        </w:rPr>
        <w:t xml:space="preserve"> </w:t>
      </w:r>
      <w:r w:rsidR="00751189" w:rsidRPr="0038442F">
        <w:rPr>
          <w:rFonts w:ascii="Verdana" w:hAnsi="Verdana"/>
          <w:sz w:val="20"/>
          <w:szCs w:val="20"/>
          <w:lang w:val="pt-BR"/>
        </w:rPr>
        <w:t xml:space="preserve">do artigo </w:t>
      </w:r>
      <w:r w:rsidR="00706529" w:rsidRPr="0038442F">
        <w:rPr>
          <w:rFonts w:ascii="Verdana" w:hAnsi="Verdana"/>
          <w:sz w:val="20"/>
          <w:szCs w:val="20"/>
          <w:lang w:val="pt-BR"/>
        </w:rPr>
        <w:t xml:space="preserve">26. </w:t>
      </w:r>
      <w:r w:rsidR="006967DC" w:rsidRPr="0038442F">
        <w:rPr>
          <w:rFonts w:ascii="Verdana" w:hAnsi="Verdana"/>
          <w:sz w:val="20"/>
          <w:szCs w:val="20"/>
          <w:lang w:val="pt-BR"/>
        </w:rPr>
        <w:t>No entanto</w:t>
      </w:r>
      <w:r w:rsidR="00706529"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706529" w:rsidRPr="0038442F">
        <w:rPr>
          <w:rFonts w:ascii="Verdana" w:hAnsi="Verdana"/>
          <w:sz w:val="20"/>
          <w:szCs w:val="20"/>
          <w:lang w:val="pt-BR"/>
        </w:rPr>
        <w:t>Recomenda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Geral N</w:t>
      </w:r>
      <w:r w:rsidR="00706529" w:rsidRPr="0038442F">
        <w:rPr>
          <w:rFonts w:ascii="Verdana" w:hAnsi="Verdana"/>
          <w:sz w:val="20"/>
          <w:szCs w:val="20"/>
          <w:vertAlign w:val="superscript"/>
          <w:lang w:val="pt-BR"/>
        </w:rPr>
        <w:t>o.</w:t>
      </w:r>
      <w:r w:rsidR="00706529" w:rsidRPr="0038442F">
        <w:rPr>
          <w:rFonts w:ascii="Verdana" w:hAnsi="Verdana"/>
          <w:sz w:val="20"/>
          <w:szCs w:val="20"/>
          <w:lang w:val="pt-BR"/>
        </w:rPr>
        <w:t xml:space="preserve"> 18</w:t>
      </w:r>
      <w:r w:rsidR="006967DC" w:rsidRPr="0038442F">
        <w:rPr>
          <w:rFonts w:ascii="Verdana" w:hAnsi="Verdana"/>
          <w:sz w:val="20"/>
          <w:szCs w:val="20"/>
          <w:lang w:val="pt-BR"/>
        </w:rPr>
        <w:t xml:space="preserve">, do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 </w:t>
      </w:r>
      <w:r w:rsidR="00C92762" w:rsidRPr="0038442F">
        <w:rPr>
          <w:rFonts w:ascii="Verdana" w:hAnsi="Verdana"/>
          <w:sz w:val="20"/>
          <w:szCs w:val="20"/>
          <w:lang w:val="pt-BR"/>
        </w:rPr>
        <w:t>Direitos</w:t>
      </w:r>
      <w:r w:rsidR="00407242" w:rsidRPr="0038442F">
        <w:rPr>
          <w:rFonts w:ascii="Verdana" w:hAnsi="Verdana"/>
          <w:sz w:val="20"/>
          <w:szCs w:val="20"/>
          <w:lang w:val="pt-BR"/>
        </w:rPr>
        <w:t xml:space="preserve"> </w:t>
      </w:r>
      <w:r w:rsidR="0089440C" w:rsidRPr="0038442F">
        <w:rPr>
          <w:rFonts w:ascii="Verdana" w:hAnsi="Verdana"/>
          <w:sz w:val="20"/>
          <w:szCs w:val="20"/>
          <w:lang w:val="pt-BR"/>
        </w:rPr>
        <w:t>H</w:t>
      </w:r>
      <w:r w:rsidR="00706529" w:rsidRPr="0038442F">
        <w:rPr>
          <w:rFonts w:ascii="Verdana" w:hAnsi="Verdana"/>
          <w:sz w:val="20"/>
          <w:szCs w:val="20"/>
          <w:lang w:val="pt-BR"/>
        </w:rPr>
        <w:t>umanos, sobre a discrimina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w:t>
      </w:r>
      <w:r w:rsidR="006967DC" w:rsidRPr="0038442F">
        <w:rPr>
          <w:rFonts w:ascii="Verdana" w:hAnsi="Verdana"/>
          <w:sz w:val="20"/>
          <w:szCs w:val="20"/>
          <w:lang w:val="pt-BR"/>
        </w:rPr>
        <w:t xml:space="preserve">salientou </w:t>
      </w:r>
      <w:r w:rsidR="00706529" w:rsidRPr="0038442F">
        <w:rPr>
          <w:rFonts w:ascii="Verdana" w:hAnsi="Verdana"/>
          <w:sz w:val="20"/>
          <w:szCs w:val="20"/>
          <w:lang w:val="pt-BR"/>
        </w:rPr>
        <w:t>que “</w:t>
      </w:r>
      <w:r w:rsidR="0089440C" w:rsidRPr="0038442F">
        <w:rPr>
          <w:rFonts w:ascii="Verdana" w:hAnsi="Verdana"/>
          <w:sz w:val="20"/>
          <w:szCs w:val="20"/>
          <w:lang w:val="pt-BR"/>
        </w:rPr>
        <w:t>[a</w:t>
      </w:r>
      <w:r w:rsidR="008A684B" w:rsidRPr="0038442F">
        <w:rPr>
          <w:rFonts w:ascii="Verdana" w:hAnsi="Verdana"/>
          <w:sz w:val="20"/>
          <w:szCs w:val="20"/>
          <w:lang w:val="pt-BR"/>
        </w:rPr>
        <w:t xml:space="preserve"> s</w:t>
      </w:r>
      <w:r w:rsidR="006967DC" w:rsidRPr="0038442F">
        <w:rPr>
          <w:rFonts w:ascii="Verdana" w:hAnsi="Verdana"/>
          <w:sz w:val="20"/>
          <w:szCs w:val="20"/>
          <w:lang w:val="pt-BR"/>
        </w:rPr>
        <w:t>e</w:t>
      </w:r>
      <w:r w:rsidR="008A684B" w:rsidRPr="0038442F">
        <w:rPr>
          <w:rFonts w:ascii="Verdana" w:hAnsi="Verdana"/>
          <w:sz w:val="20"/>
          <w:szCs w:val="20"/>
          <w:lang w:val="pt-BR"/>
        </w:rPr>
        <w:t>u</w:t>
      </w:r>
      <w:r w:rsidR="0089440C" w:rsidRPr="0038442F">
        <w:rPr>
          <w:rFonts w:ascii="Verdana" w:hAnsi="Verdana"/>
          <w:sz w:val="20"/>
          <w:szCs w:val="20"/>
          <w:lang w:val="pt-BR"/>
        </w:rPr>
        <w:t>]</w:t>
      </w:r>
      <w:r w:rsidR="00706529" w:rsidRPr="0038442F">
        <w:rPr>
          <w:rFonts w:ascii="Verdana" w:hAnsi="Verdana"/>
          <w:sz w:val="20"/>
          <w:szCs w:val="20"/>
          <w:lang w:val="pt-BR"/>
        </w:rPr>
        <w:t xml:space="preserve"> ju</w:t>
      </w:r>
      <w:r w:rsidR="006967DC" w:rsidRPr="0038442F">
        <w:rPr>
          <w:rFonts w:ascii="Verdana" w:hAnsi="Verdana"/>
          <w:sz w:val="20"/>
          <w:szCs w:val="20"/>
          <w:lang w:val="pt-BR"/>
        </w:rPr>
        <w:t>íz</w:t>
      </w:r>
      <w:r w:rsidR="00706529" w:rsidRPr="0038442F">
        <w:rPr>
          <w:rFonts w:ascii="Verdana" w:hAnsi="Verdana"/>
          <w:sz w:val="20"/>
          <w:szCs w:val="20"/>
          <w:lang w:val="pt-BR"/>
        </w:rPr>
        <w:t xml:space="preserve">o </w:t>
      </w:r>
      <w:r w:rsidR="008A684B" w:rsidRPr="0038442F">
        <w:rPr>
          <w:rFonts w:ascii="Verdana" w:hAnsi="Verdana"/>
          <w:sz w:val="20"/>
          <w:szCs w:val="20"/>
          <w:lang w:val="pt-BR"/>
        </w:rPr>
        <w:t>[…]</w:t>
      </w:r>
      <w:r w:rsidR="00706529" w:rsidRPr="0038442F">
        <w:rPr>
          <w:rFonts w:ascii="Verdana" w:hAnsi="Verdana"/>
          <w:sz w:val="20"/>
          <w:szCs w:val="20"/>
          <w:lang w:val="pt-BR"/>
        </w:rPr>
        <w:t xml:space="preserve">, </w:t>
      </w:r>
      <w:r w:rsidR="003B374E" w:rsidRPr="0038442F">
        <w:rPr>
          <w:rFonts w:ascii="Verdana" w:hAnsi="Verdana"/>
          <w:sz w:val="20"/>
          <w:szCs w:val="20"/>
          <w:lang w:val="pt-BR"/>
        </w:rPr>
        <w:t xml:space="preserve">o artigo </w:t>
      </w:r>
      <w:r w:rsidR="00706529" w:rsidRPr="0038442F">
        <w:rPr>
          <w:rFonts w:ascii="Verdana" w:hAnsi="Verdana"/>
          <w:sz w:val="20"/>
          <w:szCs w:val="20"/>
          <w:lang w:val="pt-BR"/>
        </w:rPr>
        <w:t>26 n</w:t>
      </w:r>
      <w:r w:rsidR="006967DC" w:rsidRPr="0038442F">
        <w:rPr>
          <w:rFonts w:ascii="Verdana" w:hAnsi="Verdana"/>
          <w:sz w:val="20"/>
          <w:szCs w:val="20"/>
          <w:lang w:val="pt-BR"/>
        </w:rPr>
        <w:t>ã</w:t>
      </w:r>
      <w:r w:rsidR="00706529" w:rsidRPr="0038442F">
        <w:rPr>
          <w:rFonts w:ascii="Verdana" w:hAnsi="Verdana"/>
          <w:sz w:val="20"/>
          <w:szCs w:val="20"/>
          <w:lang w:val="pt-BR"/>
        </w:rPr>
        <w:t xml:space="preserve">o se limita a reiterar a </w:t>
      </w:r>
      <w:r w:rsidR="00C92762" w:rsidRPr="0038442F">
        <w:rPr>
          <w:rFonts w:ascii="Verdana" w:hAnsi="Verdana"/>
          <w:sz w:val="20"/>
          <w:szCs w:val="20"/>
          <w:lang w:val="pt-BR"/>
        </w:rPr>
        <w:t>garantia</w:t>
      </w:r>
      <w:r w:rsidR="00407242" w:rsidRPr="0038442F">
        <w:rPr>
          <w:rFonts w:ascii="Verdana" w:hAnsi="Verdana"/>
          <w:sz w:val="20"/>
          <w:szCs w:val="20"/>
          <w:lang w:val="pt-BR"/>
        </w:rPr>
        <w:t xml:space="preserve"> </w:t>
      </w:r>
      <w:r w:rsidR="006967DC" w:rsidRPr="0038442F">
        <w:rPr>
          <w:rFonts w:ascii="Verdana" w:hAnsi="Verdana"/>
          <w:sz w:val="20"/>
          <w:szCs w:val="20"/>
          <w:lang w:val="pt-BR"/>
        </w:rPr>
        <w:t xml:space="preserve">já </w:t>
      </w:r>
      <w:r w:rsidR="00706529" w:rsidRPr="0038442F">
        <w:rPr>
          <w:rFonts w:ascii="Verdana" w:hAnsi="Verdana"/>
          <w:sz w:val="20"/>
          <w:szCs w:val="20"/>
          <w:lang w:val="pt-BR"/>
        </w:rPr>
        <w:t xml:space="preserve">prevista </w:t>
      </w:r>
      <w:r w:rsidR="00751189" w:rsidRPr="0038442F">
        <w:rPr>
          <w:rFonts w:ascii="Verdana" w:hAnsi="Verdana"/>
          <w:sz w:val="20"/>
          <w:szCs w:val="20"/>
          <w:lang w:val="pt-BR"/>
        </w:rPr>
        <w:t xml:space="preserve">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706529" w:rsidRPr="0038442F">
        <w:rPr>
          <w:rFonts w:ascii="Verdana" w:hAnsi="Verdana"/>
          <w:sz w:val="20"/>
          <w:szCs w:val="20"/>
          <w:lang w:val="pt-BR"/>
        </w:rPr>
        <w:t>2</w:t>
      </w:r>
      <w:r w:rsidR="006967DC" w:rsidRPr="0038442F">
        <w:rPr>
          <w:rFonts w:ascii="Verdana" w:hAnsi="Verdana"/>
          <w:sz w:val="20"/>
          <w:szCs w:val="20"/>
          <w:lang w:val="pt-BR"/>
        </w:rPr>
        <w:t>,</w:t>
      </w:r>
      <w:r w:rsidR="00706529" w:rsidRPr="0038442F">
        <w:rPr>
          <w:rFonts w:ascii="Verdana" w:hAnsi="Verdana"/>
          <w:sz w:val="20"/>
          <w:szCs w:val="20"/>
          <w:lang w:val="pt-BR"/>
        </w:rPr>
        <w:t xml:space="preserve"> </w:t>
      </w:r>
      <w:r w:rsidR="006967DC" w:rsidRPr="0038442F">
        <w:rPr>
          <w:rFonts w:ascii="Verdana" w:hAnsi="Verdana"/>
          <w:sz w:val="20"/>
          <w:szCs w:val="20"/>
          <w:lang w:val="pt-BR"/>
        </w:rPr>
        <w:t xml:space="preserve">estabelecendo, ao contrário, em si mesmo, um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706529" w:rsidRPr="0038442F">
        <w:rPr>
          <w:rFonts w:ascii="Verdana" w:hAnsi="Verdana"/>
          <w:sz w:val="20"/>
          <w:szCs w:val="20"/>
          <w:lang w:val="pt-BR"/>
        </w:rPr>
        <w:t>aut</w:t>
      </w:r>
      <w:r w:rsidR="006967DC" w:rsidRPr="0038442F">
        <w:rPr>
          <w:rFonts w:ascii="Verdana" w:hAnsi="Verdana"/>
          <w:sz w:val="20"/>
          <w:szCs w:val="20"/>
          <w:lang w:val="pt-BR"/>
        </w:rPr>
        <w:t>ô</w:t>
      </w:r>
      <w:r w:rsidR="00706529" w:rsidRPr="0038442F">
        <w:rPr>
          <w:rFonts w:ascii="Verdana" w:hAnsi="Verdana"/>
          <w:sz w:val="20"/>
          <w:szCs w:val="20"/>
          <w:lang w:val="pt-BR"/>
        </w:rPr>
        <w:t>nomo. Proíbe a discrimina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de </w:t>
      </w:r>
      <w:r w:rsidR="006967DC" w:rsidRPr="0038442F">
        <w:rPr>
          <w:rFonts w:ascii="Verdana" w:hAnsi="Verdana"/>
          <w:sz w:val="20"/>
          <w:szCs w:val="20"/>
          <w:lang w:val="pt-BR"/>
        </w:rPr>
        <w:t xml:space="preserve">fato ou </w:t>
      </w:r>
      <w:r w:rsidR="00706529" w:rsidRPr="0038442F">
        <w:rPr>
          <w:rFonts w:ascii="Verdana" w:hAnsi="Verdana"/>
          <w:sz w:val="20"/>
          <w:szCs w:val="20"/>
          <w:lang w:val="pt-BR"/>
        </w:rPr>
        <w:t xml:space="preserve">de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706529" w:rsidRPr="0038442F">
        <w:rPr>
          <w:rFonts w:ascii="Verdana" w:hAnsi="Verdana"/>
          <w:sz w:val="20"/>
          <w:szCs w:val="20"/>
          <w:lang w:val="pt-BR"/>
        </w:rPr>
        <w:t>e</w:t>
      </w:r>
      <w:r w:rsidR="006967DC" w:rsidRPr="0038442F">
        <w:rPr>
          <w:rFonts w:ascii="Verdana" w:hAnsi="Verdana"/>
          <w:sz w:val="20"/>
          <w:szCs w:val="20"/>
          <w:lang w:val="pt-BR"/>
        </w:rPr>
        <w:t>m</w:t>
      </w:r>
      <w:r w:rsidR="00706529" w:rsidRPr="0038442F">
        <w:rPr>
          <w:rFonts w:ascii="Verdana" w:hAnsi="Verdana"/>
          <w:sz w:val="20"/>
          <w:szCs w:val="20"/>
          <w:lang w:val="pt-BR"/>
        </w:rPr>
        <w:t xml:space="preserve"> </w:t>
      </w:r>
      <w:r w:rsidR="00984A83" w:rsidRPr="0038442F">
        <w:rPr>
          <w:rFonts w:ascii="Verdana" w:hAnsi="Verdana"/>
          <w:sz w:val="20"/>
          <w:szCs w:val="20"/>
          <w:lang w:val="pt-BR"/>
        </w:rPr>
        <w:t>qualquer</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esfera </w:t>
      </w:r>
      <w:r w:rsidR="006967DC" w:rsidRPr="0038442F">
        <w:rPr>
          <w:rFonts w:ascii="Verdana" w:hAnsi="Verdana"/>
          <w:sz w:val="20"/>
          <w:szCs w:val="20"/>
          <w:lang w:val="pt-BR"/>
        </w:rPr>
        <w:t xml:space="preserve">sujeita à legislação e à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706529" w:rsidRPr="0038442F">
        <w:rPr>
          <w:rFonts w:ascii="Verdana" w:hAnsi="Verdana"/>
          <w:sz w:val="20"/>
          <w:szCs w:val="20"/>
          <w:lang w:val="pt-BR"/>
        </w:rPr>
        <w:t xml:space="preserve">autoridades públicas. Portanto, </w:t>
      </w:r>
      <w:r w:rsidR="003B374E" w:rsidRPr="0038442F">
        <w:rPr>
          <w:rFonts w:ascii="Verdana" w:hAnsi="Verdana"/>
          <w:sz w:val="20"/>
          <w:szCs w:val="20"/>
          <w:lang w:val="pt-BR"/>
        </w:rPr>
        <w:t xml:space="preserve">o artigo </w:t>
      </w:r>
      <w:r w:rsidR="00706529" w:rsidRPr="0038442F">
        <w:rPr>
          <w:rFonts w:ascii="Verdana" w:hAnsi="Verdana"/>
          <w:sz w:val="20"/>
          <w:szCs w:val="20"/>
          <w:lang w:val="pt-BR"/>
        </w:rPr>
        <w:t xml:space="preserve">26 se refere </w:t>
      </w:r>
      <w:r w:rsidR="006967DC" w:rsidRPr="0038442F">
        <w:rPr>
          <w:rFonts w:ascii="Verdana" w:hAnsi="Verdana"/>
          <w:sz w:val="20"/>
          <w:szCs w:val="20"/>
          <w:lang w:val="pt-BR"/>
        </w:rPr>
        <w:t xml:space="preserve">às </w:t>
      </w:r>
      <w:r w:rsidR="00BB665E" w:rsidRPr="0038442F">
        <w:rPr>
          <w:rFonts w:ascii="Verdana" w:hAnsi="Verdana"/>
          <w:sz w:val="20"/>
          <w:szCs w:val="20"/>
          <w:lang w:val="pt-BR"/>
        </w:rPr>
        <w:t xml:space="preserve">obrigações </w:t>
      </w:r>
      <w:r w:rsidR="00706529" w:rsidRPr="0038442F">
        <w:rPr>
          <w:rFonts w:ascii="Verdana" w:hAnsi="Verdana"/>
          <w:sz w:val="20"/>
          <w:szCs w:val="20"/>
          <w:lang w:val="pt-BR"/>
        </w:rPr>
        <w:t>que se imp</w:t>
      </w:r>
      <w:r w:rsidR="006967DC" w:rsidRPr="0038442F">
        <w:rPr>
          <w:rFonts w:ascii="Verdana" w:hAnsi="Verdana"/>
          <w:sz w:val="20"/>
          <w:szCs w:val="20"/>
          <w:lang w:val="pt-BR"/>
        </w:rPr>
        <w:t xml:space="preserve">õem aos </w:t>
      </w:r>
      <w:r w:rsidR="005135E5" w:rsidRPr="0038442F">
        <w:rPr>
          <w:rFonts w:ascii="Verdana" w:hAnsi="Verdana"/>
          <w:sz w:val="20"/>
          <w:szCs w:val="20"/>
          <w:lang w:val="pt-BR"/>
        </w:rPr>
        <w:t xml:space="preserve">Estados </w:t>
      </w:r>
      <w:r w:rsidR="00706529" w:rsidRPr="0038442F">
        <w:rPr>
          <w:rFonts w:ascii="Verdana" w:hAnsi="Verdana"/>
          <w:sz w:val="20"/>
          <w:szCs w:val="20"/>
          <w:lang w:val="pt-BR"/>
        </w:rPr>
        <w:t xml:space="preserve">Partes </w:t>
      </w:r>
      <w:r w:rsidR="006967DC" w:rsidRPr="0038442F">
        <w:rPr>
          <w:rFonts w:ascii="Verdana" w:hAnsi="Verdana"/>
          <w:sz w:val="20"/>
          <w:szCs w:val="20"/>
          <w:lang w:val="pt-BR"/>
        </w:rPr>
        <w:t>no</w:t>
      </w:r>
      <w:r w:rsidR="00D77CD5" w:rsidRPr="0038442F">
        <w:rPr>
          <w:rFonts w:ascii="Verdana" w:hAnsi="Verdana"/>
          <w:sz w:val="20"/>
          <w:szCs w:val="20"/>
          <w:lang w:val="pt-BR"/>
        </w:rPr>
        <w:t xml:space="preserve"> </w:t>
      </w:r>
      <w:r w:rsidR="006967DC" w:rsidRPr="0038442F">
        <w:rPr>
          <w:rFonts w:ascii="Verdana" w:hAnsi="Verdana"/>
          <w:sz w:val="20"/>
          <w:szCs w:val="20"/>
          <w:lang w:val="pt-BR"/>
        </w:rPr>
        <w:t xml:space="preserve">que diz respeito a suas leis e à </w:t>
      </w:r>
      <w:r w:rsidR="00706529" w:rsidRPr="0038442F">
        <w:rPr>
          <w:rFonts w:ascii="Verdana" w:hAnsi="Verdana"/>
          <w:sz w:val="20"/>
          <w:szCs w:val="20"/>
          <w:lang w:val="pt-BR"/>
        </w:rPr>
        <w:t>aplica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de su</w:t>
      </w:r>
      <w:r w:rsidR="006967DC" w:rsidRPr="0038442F">
        <w:rPr>
          <w:rFonts w:ascii="Verdana" w:hAnsi="Verdana"/>
          <w:sz w:val="20"/>
          <w:szCs w:val="20"/>
          <w:lang w:val="pt-BR"/>
        </w:rPr>
        <w:t>a</w:t>
      </w:r>
      <w:r w:rsidR="00706529" w:rsidRPr="0038442F">
        <w:rPr>
          <w:rFonts w:ascii="Verdana" w:hAnsi="Verdana"/>
          <w:sz w:val="20"/>
          <w:szCs w:val="20"/>
          <w:lang w:val="pt-BR"/>
        </w:rPr>
        <w:t xml:space="preserve">s </w:t>
      </w:r>
      <w:r w:rsidR="00A97590" w:rsidRPr="0038442F">
        <w:rPr>
          <w:rFonts w:ascii="Verdana" w:hAnsi="Verdana"/>
          <w:sz w:val="20"/>
          <w:szCs w:val="20"/>
          <w:lang w:val="pt-BR"/>
        </w:rPr>
        <w:t>leis</w:t>
      </w:r>
      <w:r w:rsidR="00407242" w:rsidRPr="0038442F">
        <w:rPr>
          <w:rFonts w:ascii="Verdana" w:hAnsi="Verdana"/>
          <w:sz w:val="20"/>
          <w:szCs w:val="20"/>
          <w:lang w:val="pt-BR"/>
        </w:rPr>
        <w:t xml:space="preserve"> </w:t>
      </w:r>
      <w:r w:rsidR="00706529" w:rsidRPr="0038442F">
        <w:rPr>
          <w:rFonts w:ascii="Verdana" w:hAnsi="Verdana"/>
          <w:sz w:val="20"/>
          <w:szCs w:val="20"/>
          <w:lang w:val="pt-BR"/>
        </w:rPr>
        <w:t>[…]”</w:t>
      </w:r>
      <w:r w:rsidR="006967DC" w:rsidRPr="0038442F">
        <w:rPr>
          <w:rFonts w:ascii="Verdana" w:hAnsi="Verdana"/>
          <w:sz w:val="20"/>
          <w:szCs w:val="20"/>
          <w:lang w:val="pt-BR"/>
        </w:rPr>
        <w:t>.</w:t>
      </w:r>
      <w:r w:rsidR="00706529" w:rsidRPr="0038442F">
        <w:rPr>
          <w:rStyle w:val="Refdenotaalpie"/>
          <w:rFonts w:ascii="Verdana" w:hAnsi="Verdana"/>
          <w:sz w:val="20"/>
          <w:szCs w:val="20"/>
          <w:lang w:val="pt-BR"/>
        </w:rPr>
        <w:footnoteReference w:id="118"/>
      </w:r>
      <w:r w:rsidR="009A74AA" w:rsidRPr="0038442F">
        <w:rPr>
          <w:rFonts w:ascii="Verdana" w:hAnsi="Verdana"/>
          <w:sz w:val="20"/>
          <w:szCs w:val="20"/>
          <w:lang w:val="pt-BR"/>
        </w:rPr>
        <w:t xml:space="preserve"> </w:t>
      </w:r>
    </w:p>
    <w:p w14:paraId="31C84064" w14:textId="77777777" w:rsidR="009A74AA" w:rsidRPr="0038442F" w:rsidRDefault="00706529" w:rsidP="00A857CB">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 </w:t>
      </w:r>
    </w:p>
    <w:p w14:paraId="6A5AFA84" w14:textId="6109A89E" w:rsidR="00706529" w:rsidRPr="0038442F" w:rsidRDefault="00685AC6" w:rsidP="00685AC6">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71. </w:t>
      </w:r>
      <w:r w:rsidRPr="0038442F">
        <w:rPr>
          <w:rFonts w:ascii="Verdana" w:hAnsi="Verdana"/>
          <w:sz w:val="20"/>
          <w:szCs w:val="20"/>
          <w:lang w:val="pt-BR"/>
        </w:rPr>
        <w:tab/>
      </w:r>
      <w:r w:rsidR="009A74AA" w:rsidRPr="0038442F">
        <w:rPr>
          <w:rFonts w:ascii="Verdana" w:hAnsi="Verdana"/>
          <w:sz w:val="20"/>
          <w:szCs w:val="20"/>
          <w:lang w:val="pt-BR"/>
        </w:rPr>
        <w:t>E</w:t>
      </w:r>
      <w:r w:rsidR="006967DC" w:rsidRPr="0038442F">
        <w:rPr>
          <w:rFonts w:ascii="Verdana" w:hAnsi="Verdana"/>
          <w:sz w:val="20"/>
          <w:szCs w:val="20"/>
          <w:lang w:val="pt-BR"/>
        </w:rPr>
        <w:t xml:space="preserve">m consonância com o acima exposto, esse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CA1642" w:rsidRPr="0038442F">
        <w:rPr>
          <w:rFonts w:ascii="Verdana" w:hAnsi="Verdana"/>
          <w:sz w:val="20"/>
          <w:szCs w:val="20"/>
          <w:lang w:val="pt-BR"/>
        </w:rPr>
        <w:t xml:space="preserve">se referiu a </w:t>
      </w:r>
      <w:r w:rsidR="00706529" w:rsidRPr="0038442F">
        <w:rPr>
          <w:rFonts w:ascii="Verdana" w:hAnsi="Verdana"/>
          <w:sz w:val="20"/>
          <w:szCs w:val="20"/>
          <w:lang w:val="pt-BR"/>
        </w:rPr>
        <w:t>que “</w:t>
      </w:r>
      <w:r w:rsidR="00CA1642" w:rsidRPr="0038442F">
        <w:rPr>
          <w:rFonts w:ascii="Verdana" w:hAnsi="Verdana"/>
          <w:sz w:val="20"/>
          <w:szCs w:val="20"/>
          <w:lang w:val="pt-BR"/>
        </w:rPr>
        <w:t>o</w:t>
      </w:r>
      <w:r w:rsidR="00706529" w:rsidRPr="0038442F">
        <w:rPr>
          <w:rFonts w:ascii="Verdana" w:hAnsi="Verdana"/>
          <w:sz w:val="20"/>
          <w:szCs w:val="20"/>
          <w:lang w:val="pt-BR"/>
        </w:rPr>
        <w:t xml:space="preserve"> </w:t>
      </w:r>
      <w:r w:rsidR="00F158D8" w:rsidRPr="0038442F">
        <w:rPr>
          <w:rFonts w:ascii="Verdana" w:hAnsi="Verdana"/>
          <w:sz w:val="20"/>
          <w:szCs w:val="20"/>
          <w:lang w:val="pt-BR"/>
        </w:rPr>
        <w:t>princípio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exige </w:t>
      </w:r>
      <w:r w:rsidR="00C92762" w:rsidRPr="0038442F">
        <w:rPr>
          <w:rFonts w:ascii="Verdana" w:hAnsi="Verdana"/>
          <w:sz w:val="20"/>
          <w:szCs w:val="20"/>
          <w:lang w:val="pt-BR"/>
        </w:rPr>
        <w:t>algumas</w:t>
      </w:r>
      <w:r w:rsidR="00407242" w:rsidRPr="0038442F">
        <w:rPr>
          <w:rFonts w:ascii="Verdana" w:hAnsi="Verdana"/>
          <w:sz w:val="20"/>
          <w:szCs w:val="20"/>
          <w:lang w:val="pt-BR"/>
        </w:rPr>
        <w:t xml:space="preserve"> </w:t>
      </w:r>
      <w:r w:rsidR="00706529" w:rsidRPr="0038442F">
        <w:rPr>
          <w:rFonts w:ascii="Verdana" w:hAnsi="Verdana"/>
          <w:sz w:val="20"/>
          <w:szCs w:val="20"/>
          <w:lang w:val="pt-BR"/>
        </w:rPr>
        <w:t>ve</w:t>
      </w:r>
      <w:r w:rsidR="00CA1642" w:rsidRPr="0038442F">
        <w:rPr>
          <w:rFonts w:ascii="Verdana" w:hAnsi="Verdana"/>
          <w:sz w:val="20"/>
          <w:szCs w:val="20"/>
          <w:lang w:val="pt-BR"/>
        </w:rPr>
        <w:t>z</w:t>
      </w:r>
      <w:r w:rsidR="00706529" w:rsidRPr="0038442F">
        <w:rPr>
          <w:rFonts w:ascii="Verdana" w:hAnsi="Verdana"/>
          <w:sz w:val="20"/>
          <w:szCs w:val="20"/>
          <w:lang w:val="pt-BR"/>
        </w:rPr>
        <w:t xml:space="preserve">es </w:t>
      </w:r>
      <w:r w:rsidR="00CA1642" w:rsidRPr="0038442F">
        <w:rPr>
          <w:rFonts w:ascii="Verdana" w:hAnsi="Verdana"/>
          <w:sz w:val="20"/>
          <w:szCs w:val="20"/>
          <w:lang w:val="pt-BR"/>
        </w:rPr>
        <w:t xml:space="preserve">que os </w:t>
      </w:r>
      <w:r w:rsidR="005135E5" w:rsidRPr="0038442F">
        <w:rPr>
          <w:rFonts w:ascii="Verdana" w:hAnsi="Verdana"/>
          <w:sz w:val="20"/>
          <w:szCs w:val="20"/>
          <w:lang w:val="pt-BR"/>
        </w:rPr>
        <w:t xml:space="preserve">Estados </w:t>
      </w:r>
      <w:r w:rsidR="00706529" w:rsidRPr="0038442F">
        <w:rPr>
          <w:rFonts w:ascii="Verdana" w:hAnsi="Verdana"/>
          <w:sz w:val="20"/>
          <w:szCs w:val="20"/>
          <w:lang w:val="pt-BR"/>
        </w:rPr>
        <w:t xml:space="preserve">Partes </w:t>
      </w:r>
      <w:r w:rsidR="00CA1642" w:rsidRPr="0038442F">
        <w:rPr>
          <w:rFonts w:ascii="Verdana" w:hAnsi="Verdana"/>
          <w:sz w:val="20"/>
          <w:szCs w:val="20"/>
          <w:lang w:val="pt-BR"/>
        </w:rPr>
        <w:t xml:space="preserve">adotem </w:t>
      </w:r>
      <w:r w:rsidR="00706529" w:rsidRPr="0038442F">
        <w:rPr>
          <w:rFonts w:ascii="Verdana" w:hAnsi="Verdana"/>
          <w:i/>
          <w:sz w:val="20"/>
          <w:szCs w:val="20"/>
          <w:lang w:val="pt-BR"/>
        </w:rPr>
        <w:t>disposi</w:t>
      </w:r>
      <w:r w:rsidR="000A1AA8" w:rsidRPr="0038442F">
        <w:rPr>
          <w:rFonts w:ascii="Verdana" w:hAnsi="Verdana"/>
          <w:i/>
          <w:sz w:val="20"/>
          <w:szCs w:val="20"/>
          <w:lang w:val="pt-BR"/>
        </w:rPr>
        <w:t>ções</w:t>
      </w:r>
      <w:r w:rsidR="00706529" w:rsidRPr="0038442F">
        <w:rPr>
          <w:rFonts w:ascii="Verdana" w:hAnsi="Verdana"/>
          <w:i/>
          <w:sz w:val="20"/>
          <w:szCs w:val="20"/>
          <w:lang w:val="pt-BR"/>
        </w:rPr>
        <w:t xml:space="preserve"> positivas para redu</w:t>
      </w:r>
      <w:r w:rsidR="00CA1642" w:rsidRPr="0038442F">
        <w:rPr>
          <w:rFonts w:ascii="Verdana" w:hAnsi="Verdana"/>
          <w:i/>
          <w:sz w:val="20"/>
          <w:szCs w:val="20"/>
          <w:lang w:val="pt-BR"/>
        </w:rPr>
        <w:t>z</w:t>
      </w:r>
      <w:r w:rsidR="00706529" w:rsidRPr="0038442F">
        <w:rPr>
          <w:rFonts w:ascii="Verdana" w:hAnsi="Verdana"/>
          <w:i/>
          <w:sz w:val="20"/>
          <w:szCs w:val="20"/>
          <w:lang w:val="pt-BR"/>
        </w:rPr>
        <w:t>ir o</w:t>
      </w:r>
      <w:r w:rsidR="00CA1642" w:rsidRPr="0038442F">
        <w:rPr>
          <w:rFonts w:ascii="Verdana" w:hAnsi="Verdana"/>
          <w:i/>
          <w:sz w:val="20"/>
          <w:szCs w:val="20"/>
          <w:lang w:val="pt-BR"/>
        </w:rPr>
        <w:t>u</w:t>
      </w:r>
      <w:r w:rsidR="00706529" w:rsidRPr="0038442F">
        <w:rPr>
          <w:rFonts w:ascii="Verdana" w:hAnsi="Verdana"/>
          <w:i/>
          <w:sz w:val="20"/>
          <w:szCs w:val="20"/>
          <w:lang w:val="pt-BR"/>
        </w:rPr>
        <w:t xml:space="preserve"> eliminar as condi</w:t>
      </w:r>
      <w:r w:rsidR="000A1AA8" w:rsidRPr="0038442F">
        <w:rPr>
          <w:rFonts w:ascii="Verdana" w:hAnsi="Verdana"/>
          <w:i/>
          <w:sz w:val="20"/>
          <w:szCs w:val="20"/>
          <w:lang w:val="pt-BR"/>
        </w:rPr>
        <w:t>ções</w:t>
      </w:r>
      <w:r w:rsidR="00706529" w:rsidRPr="0038442F">
        <w:rPr>
          <w:rFonts w:ascii="Verdana" w:hAnsi="Verdana"/>
          <w:i/>
          <w:sz w:val="20"/>
          <w:szCs w:val="20"/>
          <w:lang w:val="pt-BR"/>
        </w:rPr>
        <w:t xml:space="preserve"> que </w:t>
      </w:r>
      <w:r w:rsidR="00CA1642" w:rsidRPr="0038442F">
        <w:rPr>
          <w:rFonts w:ascii="Verdana" w:hAnsi="Verdana"/>
          <w:i/>
          <w:sz w:val="20"/>
          <w:szCs w:val="20"/>
          <w:lang w:val="pt-BR"/>
        </w:rPr>
        <w:t xml:space="preserve">dão origem à discriminação proibida pelo Pacto, ou que </w:t>
      </w:r>
      <w:r w:rsidR="002C789E" w:rsidRPr="0038442F">
        <w:rPr>
          <w:rFonts w:ascii="Verdana" w:hAnsi="Verdana"/>
          <w:i/>
          <w:sz w:val="20"/>
          <w:szCs w:val="20"/>
          <w:lang w:val="pt-BR"/>
        </w:rPr>
        <w:t>facilitem sua perpetuação</w:t>
      </w:r>
      <w:r w:rsidR="00706529" w:rsidRPr="0038442F">
        <w:rPr>
          <w:rFonts w:ascii="Verdana" w:hAnsi="Verdana"/>
          <w:sz w:val="20"/>
          <w:szCs w:val="20"/>
          <w:lang w:val="pt-BR"/>
        </w:rPr>
        <w:t xml:space="preserve">. Por </w:t>
      </w:r>
      <w:r w:rsidR="00D45B15" w:rsidRPr="0038442F">
        <w:rPr>
          <w:rFonts w:ascii="Verdana" w:hAnsi="Verdana"/>
          <w:sz w:val="20"/>
          <w:szCs w:val="20"/>
          <w:lang w:val="pt-BR"/>
        </w:rPr>
        <w:t>exemplo</w:t>
      </w:r>
      <w:r w:rsidR="00706529" w:rsidRPr="0038442F">
        <w:rPr>
          <w:rFonts w:ascii="Verdana" w:hAnsi="Verdana"/>
          <w:sz w:val="20"/>
          <w:szCs w:val="20"/>
          <w:lang w:val="pt-BR"/>
        </w:rPr>
        <w:t>, e</w:t>
      </w:r>
      <w:r w:rsidR="00CA1642" w:rsidRPr="0038442F">
        <w:rPr>
          <w:rFonts w:ascii="Verdana" w:hAnsi="Verdana"/>
          <w:sz w:val="20"/>
          <w:szCs w:val="20"/>
          <w:lang w:val="pt-BR"/>
        </w:rPr>
        <w:t xml:space="preserve">m um </w:t>
      </w:r>
      <w:r w:rsidR="00706529" w:rsidRPr="0038442F">
        <w:rPr>
          <w:rFonts w:ascii="Verdana" w:hAnsi="Verdana"/>
          <w:sz w:val="20"/>
          <w:szCs w:val="20"/>
          <w:lang w:val="pt-BR"/>
        </w:rPr>
        <w:t xml:space="preserve">Estado </w:t>
      </w:r>
      <w:r w:rsidR="00CA1642" w:rsidRPr="0038442F">
        <w:rPr>
          <w:rFonts w:ascii="Verdana" w:hAnsi="Verdana"/>
          <w:sz w:val="20"/>
          <w:szCs w:val="20"/>
          <w:lang w:val="pt-BR"/>
        </w:rPr>
        <w:t xml:space="preserve">em que a </w:t>
      </w:r>
      <w:r w:rsidR="00706529" w:rsidRPr="0038442F">
        <w:rPr>
          <w:rFonts w:ascii="Verdana" w:hAnsi="Verdana"/>
          <w:sz w:val="20"/>
          <w:szCs w:val="20"/>
          <w:lang w:val="pt-BR"/>
        </w:rPr>
        <w:t>situa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geral de u</w:t>
      </w:r>
      <w:r w:rsidR="00CA1642" w:rsidRPr="0038442F">
        <w:rPr>
          <w:rFonts w:ascii="Verdana" w:hAnsi="Verdana"/>
          <w:sz w:val="20"/>
          <w:szCs w:val="20"/>
          <w:lang w:val="pt-BR"/>
        </w:rPr>
        <w:t xml:space="preserve">m determinado </w:t>
      </w:r>
      <w:r w:rsidR="00602FF9" w:rsidRPr="0038442F">
        <w:rPr>
          <w:rFonts w:ascii="Verdana" w:hAnsi="Verdana"/>
          <w:sz w:val="20"/>
          <w:szCs w:val="20"/>
          <w:lang w:val="pt-BR"/>
        </w:rPr>
        <w:t>setor</w:t>
      </w:r>
      <w:r w:rsidR="00407242" w:rsidRPr="0038442F">
        <w:rPr>
          <w:rFonts w:ascii="Verdana" w:hAnsi="Verdana"/>
          <w:sz w:val="20"/>
          <w:szCs w:val="20"/>
          <w:lang w:val="pt-BR"/>
        </w:rPr>
        <w:t xml:space="preserve"> </w:t>
      </w:r>
      <w:r w:rsidR="00706529" w:rsidRPr="0038442F">
        <w:rPr>
          <w:rFonts w:ascii="Verdana" w:hAnsi="Verdana"/>
          <w:sz w:val="20"/>
          <w:szCs w:val="20"/>
          <w:lang w:val="pt-BR"/>
        </w:rPr>
        <w:t>d</w:t>
      </w:r>
      <w:r w:rsidR="00CA1642" w:rsidRPr="0038442F">
        <w:rPr>
          <w:rFonts w:ascii="Verdana" w:hAnsi="Verdana"/>
          <w:sz w:val="20"/>
          <w:szCs w:val="20"/>
          <w:lang w:val="pt-BR"/>
        </w:rPr>
        <w:t>a</w:t>
      </w:r>
      <w:r w:rsidR="00706529" w:rsidRPr="0038442F">
        <w:rPr>
          <w:rFonts w:ascii="Verdana" w:hAnsi="Verdana"/>
          <w:sz w:val="20"/>
          <w:szCs w:val="20"/>
          <w:lang w:val="pt-BR"/>
        </w:rPr>
        <w:t xml:space="preserve"> </w:t>
      </w:r>
      <w:r w:rsidR="00C76C5C" w:rsidRPr="0038442F">
        <w:rPr>
          <w:rFonts w:ascii="Verdana" w:hAnsi="Verdana"/>
          <w:sz w:val="20"/>
          <w:szCs w:val="20"/>
          <w:lang w:val="pt-BR"/>
        </w:rPr>
        <w:t>população</w:t>
      </w:r>
      <w:r w:rsidR="00407242" w:rsidRPr="0038442F">
        <w:rPr>
          <w:rFonts w:ascii="Verdana" w:hAnsi="Verdana"/>
          <w:sz w:val="20"/>
          <w:szCs w:val="20"/>
          <w:lang w:val="pt-BR"/>
        </w:rPr>
        <w:t xml:space="preserve"> </w:t>
      </w:r>
      <w:r w:rsidR="00706529" w:rsidRPr="0038442F">
        <w:rPr>
          <w:rFonts w:ascii="Verdana" w:hAnsi="Verdana"/>
          <w:sz w:val="20"/>
          <w:szCs w:val="20"/>
          <w:lang w:val="pt-BR"/>
        </w:rPr>
        <w:t>imp</w:t>
      </w:r>
      <w:r w:rsidR="00CA1642" w:rsidRPr="0038442F">
        <w:rPr>
          <w:rFonts w:ascii="Verdana" w:hAnsi="Verdana"/>
          <w:sz w:val="20"/>
          <w:szCs w:val="20"/>
          <w:lang w:val="pt-BR"/>
        </w:rPr>
        <w:t>e</w:t>
      </w:r>
      <w:r w:rsidR="00706529" w:rsidRPr="0038442F">
        <w:rPr>
          <w:rFonts w:ascii="Verdana" w:hAnsi="Verdana"/>
          <w:sz w:val="20"/>
          <w:szCs w:val="20"/>
          <w:lang w:val="pt-BR"/>
        </w:rPr>
        <w:t xml:space="preserve">de </w:t>
      </w:r>
      <w:r w:rsidR="00CA1642" w:rsidRPr="0038442F">
        <w:rPr>
          <w:rFonts w:ascii="Verdana" w:hAnsi="Verdana"/>
          <w:sz w:val="20"/>
          <w:szCs w:val="20"/>
          <w:lang w:val="pt-BR"/>
        </w:rPr>
        <w:t>o</w:t>
      </w:r>
      <w:r w:rsidR="00706529" w:rsidRPr="0038442F">
        <w:rPr>
          <w:rFonts w:ascii="Verdana" w:hAnsi="Verdana"/>
          <w:sz w:val="20"/>
          <w:szCs w:val="20"/>
          <w:lang w:val="pt-BR"/>
        </w:rPr>
        <w:t xml:space="preserve">u </w:t>
      </w:r>
      <w:r w:rsidR="00CA1642" w:rsidRPr="0038442F">
        <w:rPr>
          <w:rFonts w:ascii="Verdana" w:hAnsi="Verdana"/>
          <w:sz w:val="20"/>
          <w:szCs w:val="20"/>
          <w:lang w:val="pt-BR"/>
        </w:rPr>
        <w:t xml:space="preserve">dificulta o desfrute </w:t>
      </w:r>
      <w:r w:rsidR="00C92762" w:rsidRPr="0038442F">
        <w:rPr>
          <w:rFonts w:ascii="Verdana" w:hAnsi="Verdana"/>
          <w:sz w:val="20"/>
          <w:szCs w:val="20"/>
          <w:lang w:val="pt-BR"/>
        </w:rPr>
        <w:t xml:space="preserve">dos direitos </w:t>
      </w:r>
      <w:r w:rsidR="00706529" w:rsidRPr="0038442F">
        <w:rPr>
          <w:rFonts w:ascii="Verdana" w:hAnsi="Verdana"/>
          <w:sz w:val="20"/>
          <w:szCs w:val="20"/>
          <w:lang w:val="pt-BR"/>
        </w:rPr>
        <w:t>humanos por parte de</w:t>
      </w:r>
      <w:r w:rsidR="00CA1642" w:rsidRPr="0038442F">
        <w:rPr>
          <w:rFonts w:ascii="Verdana" w:hAnsi="Verdana"/>
          <w:sz w:val="20"/>
          <w:szCs w:val="20"/>
          <w:lang w:val="pt-BR"/>
        </w:rPr>
        <w:t>ssa</w:t>
      </w:r>
      <w:r w:rsidR="00706529" w:rsidRPr="0038442F">
        <w:rPr>
          <w:rFonts w:ascii="Verdana" w:hAnsi="Verdana"/>
          <w:sz w:val="20"/>
          <w:szCs w:val="20"/>
          <w:lang w:val="pt-BR"/>
        </w:rPr>
        <w:t xml:space="preserve"> </w:t>
      </w:r>
      <w:r w:rsidR="00C76C5C" w:rsidRPr="0038442F">
        <w:rPr>
          <w:rFonts w:ascii="Verdana" w:hAnsi="Verdana"/>
          <w:sz w:val="20"/>
          <w:szCs w:val="20"/>
          <w:lang w:val="pt-BR"/>
        </w:rPr>
        <w:t>população</w:t>
      </w:r>
      <w:r w:rsidR="00706529" w:rsidRPr="0038442F">
        <w:rPr>
          <w:rFonts w:ascii="Verdana" w:hAnsi="Verdana"/>
          <w:sz w:val="20"/>
          <w:szCs w:val="20"/>
          <w:lang w:val="pt-BR"/>
        </w:rPr>
        <w:t xml:space="preserve">, </w:t>
      </w:r>
      <w:r w:rsidR="000A1AA8" w:rsidRPr="0038442F">
        <w:rPr>
          <w:rFonts w:ascii="Verdana" w:hAnsi="Verdana"/>
          <w:sz w:val="20"/>
          <w:szCs w:val="20"/>
          <w:lang w:val="pt-BR"/>
        </w:rPr>
        <w:t xml:space="preserve">o Estado </w:t>
      </w:r>
      <w:r w:rsidR="00706529" w:rsidRPr="0038442F">
        <w:rPr>
          <w:rFonts w:ascii="Verdana" w:hAnsi="Verdana"/>
          <w:sz w:val="20"/>
          <w:szCs w:val="20"/>
          <w:lang w:val="pt-BR"/>
        </w:rPr>
        <w:t>de</w:t>
      </w:r>
      <w:r w:rsidR="00CA1642" w:rsidRPr="0038442F">
        <w:rPr>
          <w:rFonts w:ascii="Verdana" w:hAnsi="Verdana"/>
          <w:sz w:val="20"/>
          <w:szCs w:val="20"/>
          <w:lang w:val="pt-BR"/>
        </w:rPr>
        <w:t xml:space="preserve">veria </w:t>
      </w:r>
      <w:r w:rsidR="00C92762" w:rsidRPr="0038442F">
        <w:rPr>
          <w:rFonts w:ascii="Verdana" w:hAnsi="Verdana"/>
          <w:sz w:val="20"/>
          <w:szCs w:val="20"/>
          <w:lang w:val="pt-BR"/>
        </w:rPr>
        <w:t>adotar</w:t>
      </w:r>
      <w:r w:rsidR="00407242" w:rsidRPr="0038442F">
        <w:rPr>
          <w:rFonts w:ascii="Verdana" w:hAnsi="Verdana"/>
          <w:sz w:val="20"/>
          <w:szCs w:val="20"/>
          <w:lang w:val="pt-BR"/>
        </w:rPr>
        <w:t xml:space="preserve"> </w:t>
      </w:r>
      <w:r w:rsidR="00706529" w:rsidRPr="0038442F">
        <w:rPr>
          <w:rFonts w:ascii="Verdana" w:hAnsi="Verdana"/>
          <w:sz w:val="20"/>
          <w:szCs w:val="20"/>
          <w:lang w:val="pt-BR"/>
        </w:rPr>
        <w:t>disposi</w:t>
      </w:r>
      <w:r w:rsidR="000A1AA8" w:rsidRPr="0038442F">
        <w:rPr>
          <w:rFonts w:ascii="Verdana" w:hAnsi="Verdana"/>
          <w:sz w:val="20"/>
          <w:szCs w:val="20"/>
          <w:lang w:val="pt-BR"/>
        </w:rPr>
        <w:t>ções</w:t>
      </w:r>
      <w:r w:rsidR="00706529" w:rsidRPr="0038442F">
        <w:rPr>
          <w:rFonts w:ascii="Verdana" w:hAnsi="Verdana"/>
          <w:sz w:val="20"/>
          <w:szCs w:val="20"/>
          <w:lang w:val="pt-BR"/>
        </w:rPr>
        <w:t xml:space="preserve"> especi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para </w:t>
      </w:r>
      <w:r w:rsidR="00CA1642" w:rsidRPr="0038442F">
        <w:rPr>
          <w:rFonts w:ascii="Verdana" w:hAnsi="Verdana"/>
          <w:sz w:val="20"/>
          <w:szCs w:val="20"/>
          <w:lang w:val="pt-BR"/>
        </w:rPr>
        <w:t xml:space="preserve">remediar essa </w:t>
      </w:r>
      <w:r w:rsidR="00706529" w:rsidRPr="0038442F">
        <w:rPr>
          <w:rFonts w:ascii="Verdana" w:hAnsi="Verdana"/>
          <w:sz w:val="20"/>
          <w:szCs w:val="20"/>
          <w:lang w:val="pt-BR"/>
        </w:rPr>
        <w:t>situa</w:t>
      </w:r>
      <w:r w:rsidR="000A1AA8" w:rsidRPr="0038442F">
        <w:rPr>
          <w:rFonts w:ascii="Verdana" w:hAnsi="Verdana"/>
          <w:sz w:val="20"/>
          <w:szCs w:val="20"/>
          <w:lang w:val="pt-BR"/>
        </w:rPr>
        <w:t>ção</w:t>
      </w:r>
      <w:r w:rsidR="00B87324" w:rsidRPr="0038442F">
        <w:rPr>
          <w:rFonts w:ascii="Verdana" w:hAnsi="Verdana"/>
          <w:sz w:val="20"/>
          <w:szCs w:val="20"/>
          <w:lang w:val="pt-BR"/>
        </w:rPr>
        <w:t xml:space="preserve"> </w:t>
      </w:r>
      <w:r w:rsidR="008A684B" w:rsidRPr="0038442F">
        <w:rPr>
          <w:rFonts w:ascii="Verdana" w:hAnsi="Verdana"/>
          <w:sz w:val="20"/>
          <w:szCs w:val="20"/>
          <w:lang w:val="pt-BR"/>
        </w:rPr>
        <w:t>[…]”</w:t>
      </w:r>
      <w:r w:rsidR="00CA1642" w:rsidRPr="0038442F">
        <w:rPr>
          <w:rFonts w:ascii="Verdana" w:hAnsi="Verdana"/>
          <w:sz w:val="20"/>
          <w:szCs w:val="20"/>
          <w:lang w:val="pt-BR"/>
        </w:rPr>
        <w:t>.</w:t>
      </w:r>
      <w:r w:rsidR="00385DF6" w:rsidRPr="0038442F">
        <w:rPr>
          <w:rStyle w:val="Refdenotaalpie"/>
          <w:rFonts w:ascii="Verdana" w:hAnsi="Verdana"/>
          <w:sz w:val="20"/>
          <w:szCs w:val="20"/>
          <w:lang w:val="pt-BR"/>
        </w:rPr>
        <w:footnoteReference w:id="119"/>
      </w:r>
    </w:p>
    <w:p w14:paraId="3F499104" w14:textId="77777777" w:rsidR="00706529" w:rsidRPr="0038442F" w:rsidRDefault="00706529" w:rsidP="00A857CB">
      <w:pPr>
        <w:pStyle w:val="Prrafodelista"/>
        <w:spacing w:line="240" w:lineRule="auto"/>
        <w:ind w:left="0"/>
        <w:jc w:val="both"/>
        <w:rPr>
          <w:rFonts w:ascii="Verdana" w:hAnsi="Verdana"/>
          <w:i/>
          <w:iCs/>
          <w:sz w:val="20"/>
          <w:szCs w:val="20"/>
          <w:lang w:val="pt-BR"/>
        </w:rPr>
      </w:pPr>
    </w:p>
    <w:p w14:paraId="044D11FC" w14:textId="7BEF4424" w:rsidR="00706529" w:rsidRPr="0038442F" w:rsidRDefault="00685AC6" w:rsidP="00685AC6">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72. </w:t>
      </w:r>
      <w:r w:rsidRPr="0038442F">
        <w:rPr>
          <w:rFonts w:ascii="Verdana" w:hAnsi="Verdana"/>
          <w:sz w:val="20"/>
          <w:szCs w:val="20"/>
          <w:lang w:val="pt-BR"/>
        </w:rPr>
        <w:tab/>
      </w:r>
      <w:r w:rsidR="00CA1642" w:rsidRPr="0038442F">
        <w:rPr>
          <w:rFonts w:ascii="Verdana" w:hAnsi="Verdana"/>
          <w:sz w:val="20"/>
          <w:szCs w:val="20"/>
          <w:lang w:val="pt-BR"/>
        </w:rPr>
        <w:t xml:space="preserve">O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para </w:t>
      </w:r>
      <w:r w:rsidR="00CA1642" w:rsidRPr="0038442F">
        <w:rPr>
          <w:rFonts w:ascii="Verdana" w:hAnsi="Verdana"/>
          <w:sz w:val="20"/>
          <w:szCs w:val="20"/>
          <w:lang w:val="pt-BR"/>
        </w:rPr>
        <w:t xml:space="preserve">Pessoas com Deficiência </w:t>
      </w:r>
      <w:r w:rsidR="00706529" w:rsidRPr="0038442F">
        <w:rPr>
          <w:rFonts w:ascii="Verdana" w:hAnsi="Verdana"/>
          <w:sz w:val="20"/>
          <w:szCs w:val="20"/>
          <w:lang w:val="pt-BR"/>
        </w:rPr>
        <w:t>des</w:t>
      </w:r>
      <w:r w:rsidR="00CA1642" w:rsidRPr="0038442F">
        <w:rPr>
          <w:rFonts w:ascii="Verdana" w:hAnsi="Verdana"/>
          <w:sz w:val="20"/>
          <w:szCs w:val="20"/>
          <w:lang w:val="pt-BR"/>
        </w:rPr>
        <w:t xml:space="preserve">envolveu com maior </w:t>
      </w:r>
      <w:r w:rsidR="00706529" w:rsidRPr="0038442F">
        <w:rPr>
          <w:rFonts w:ascii="Verdana" w:hAnsi="Verdana"/>
          <w:sz w:val="20"/>
          <w:szCs w:val="20"/>
          <w:lang w:val="pt-BR"/>
        </w:rPr>
        <w:t>profundidad</w:t>
      </w:r>
      <w:r w:rsidR="00CA1642" w:rsidRPr="0038442F">
        <w:rPr>
          <w:rFonts w:ascii="Verdana" w:hAnsi="Verdana"/>
          <w:sz w:val="20"/>
          <w:szCs w:val="20"/>
          <w:lang w:val="pt-BR"/>
        </w:rPr>
        <w:t>e</w:t>
      </w:r>
      <w:r w:rsidR="00706529" w:rsidRPr="0038442F">
        <w:rPr>
          <w:rFonts w:ascii="Verdana" w:hAnsi="Verdana"/>
          <w:sz w:val="20"/>
          <w:szCs w:val="20"/>
          <w:lang w:val="pt-BR"/>
        </w:rPr>
        <w:t xml:space="preserve"> as no</w:t>
      </w:r>
      <w:r w:rsidR="000A1AA8" w:rsidRPr="0038442F">
        <w:rPr>
          <w:rFonts w:ascii="Verdana" w:hAnsi="Verdana"/>
          <w:sz w:val="20"/>
          <w:szCs w:val="20"/>
          <w:lang w:val="pt-BR"/>
        </w:rPr>
        <w:t>ções</w:t>
      </w:r>
      <w:r w:rsidR="00706529" w:rsidRPr="0038442F">
        <w:rPr>
          <w:rFonts w:ascii="Verdana" w:hAnsi="Verdana"/>
          <w:sz w:val="20"/>
          <w:szCs w:val="20"/>
          <w:lang w:val="pt-BR"/>
        </w:rPr>
        <w:t xml:space="preserve"> de </w:t>
      </w:r>
      <w:r w:rsidR="009612FB" w:rsidRPr="0038442F">
        <w:rPr>
          <w:rFonts w:ascii="Verdana" w:hAnsi="Verdana"/>
          <w:sz w:val="20"/>
          <w:szCs w:val="20"/>
          <w:lang w:val="pt-BR"/>
        </w:rPr>
        <w:t>igualdade</w:t>
      </w:r>
      <w:r w:rsidR="002C789E" w:rsidRPr="0038442F">
        <w:rPr>
          <w:rFonts w:ascii="Verdana" w:hAnsi="Verdana"/>
          <w:sz w:val="20"/>
          <w:szCs w:val="20"/>
          <w:lang w:val="pt-BR"/>
        </w:rPr>
        <w:t>,</w:t>
      </w:r>
      <w:r w:rsidR="009612FB" w:rsidRPr="0038442F">
        <w:rPr>
          <w:rFonts w:ascii="Verdana" w:hAnsi="Verdana"/>
          <w:sz w:val="20"/>
          <w:szCs w:val="20"/>
          <w:lang w:val="pt-BR"/>
        </w:rPr>
        <w:t xml:space="preserve"> </w:t>
      </w:r>
      <w:r w:rsidR="00D77CD5" w:rsidRPr="0038442F">
        <w:rPr>
          <w:rFonts w:ascii="Verdana" w:hAnsi="Verdana"/>
          <w:sz w:val="20"/>
          <w:szCs w:val="20"/>
          <w:lang w:val="pt-BR"/>
        </w:rPr>
        <w:t xml:space="preserve">com base na </w:t>
      </w:r>
      <w:r w:rsidR="00706529" w:rsidRPr="0038442F">
        <w:rPr>
          <w:rFonts w:ascii="Verdana" w:hAnsi="Verdana"/>
          <w:sz w:val="20"/>
          <w:szCs w:val="20"/>
          <w:lang w:val="pt-BR"/>
        </w:rPr>
        <w:t>Conven</w:t>
      </w:r>
      <w:r w:rsidR="000A1AA8" w:rsidRPr="0038442F">
        <w:rPr>
          <w:rFonts w:ascii="Verdana" w:hAnsi="Verdana"/>
          <w:sz w:val="20"/>
          <w:szCs w:val="20"/>
          <w:lang w:val="pt-BR"/>
        </w:rPr>
        <w:t>ção</w:t>
      </w:r>
      <w:r w:rsidR="00706529" w:rsidRPr="0038442F">
        <w:rPr>
          <w:rFonts w:ascii="Verdana" w:hAnsi="Verdana"/>
          <w:sz w:val="20"/>
          <w:szCs w:val="20"/>
          <w:lang w:val="pt-BR"/>
        </w:rPr>
        <w:t xml:space="preserve"> </w:t>
      </w:r>
      <w:r w:rsidR="00CA1642" w:rsidRPr="0038442F">
        <w:rPr>
          <w:rFonts w:ascii="Verdana" w:hAnsi="Verdana"/>
          <w:sz w:val="20"/>
          <w:szCs w:val="20"/>
          <w:lang w:val="pt-BR"/>
        </w:rPr>
        <w:t xml:space="preserve">sobre </w:t>
      </w:r>
      <w:r w:rsidR="00C92762" w:rsidRPr="0038442F">
        <w:rPr>
          <w:rFonts w:ascii="Verdana" w:hAnsi="Verdana"/>
          <w:sz w:val="20"/>
          <w:szCs w:val="20"/>
          <w:lang w:val="pt-BR"/>
        </w:rPr>
        <w:t>os Direitos</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CA1642" w:rsidRPr="0038442F">
        <w:rPr>
          <w:rFonts w:ascii="Verdana" w:hAnsi="Verdana"/>
          <w:sz w:val="20"/>
          <w:szCs w:val="20"/>
          <w:lang w:val="pt-BR"/>
        </w:rPr>
        <w:t>Pessoas com Deficiência</w:t>
      </w:r>
      <w:r w:rsidR="00706529" w:rsidRPr="0038442F">
        <w:rPr>
          <w:rFonts w:ascii="Verdana" w:hAnsi="Verdana"/>
          <w:sz w:val="20"/>
          <w:szCs w:val="20"/>
          <w:lang w:val="pt-BR"/>
        </w:rPr>
        <w:t xml:space="preserve">. </w:t>
      </w:r>
      <w:r w:rsidR="00D77CD5" w:rsidRPr="0038442F">
        <w:rPr>
          <w:rFonts w:ascii="Verdana" w:hAnsi="Verdana"/>
          <w:sz w:val="20"/>
          <w:szCs w:val="20"/>
          <w:lang w:val="pt-BR"/>
        </w:rPr>
        <w:t xml:space="preserve">Na </w:t>
      </w:r>
      <w:r w:rsidR="00706529" w:rsidRPr="0038442F">
        <w:rPr>
          <w:rFonts w:ascii="Verdana" w:hAnsi="Verdana"/>
          <w:sz w:val="20"/>
          <w:szCs w:val="20"/>
          <w:lang w:val="pt-BR"/>
        </w:rPr>
        <w:t>referida Conven</w:t>
      </w:r>
      <w:r w:rsidR="000A1AA8" w:rsidRPr="0038442F">
        <w:rPr>
          <w:rFonts w:ascii="Verdana" w:hAnsi="Verdana"/>
          <w:sz w:val="20"/>
          <w:szCs w:val="20"/>
          <w:lang w:val="pt-BR"/>
        </w:rPr>
        <w:t>ção</w:t>
      </w:r>
      <w:r w:rsidR="00CA1642" w:rsidRPr="0038442F">
        <w:rPr>
          <w:rFonts w:ascii="Verdana" w:hAnsi="Verdana"/>
          <w:sz w:val="20"/>
          <w:szCs w:val="20"/>
          <w:lang w:val="pt-BR"/>
        </w:rPr>
        <w:t>,</w:t>
      </w:r>
      <w:r w:rsidR="00706529" w:rsidRPr="0038442F">
        <w:rPr>
          <w:rFonts w:ascii="Verdana" w:hAnsi="Verdana"/>
          <w:sz w:val="20"/>
          <w:szCs w:val="20"/>
          <w:lang w:val="pt-BR"/>
        </w:rPr>
        <w:t xml:space="preserve"> </w:t>
      </w:r>
      <w:r w:rsidR="006A12FD" w:rsidRPr="0038442F">
        <w:rPr>
          <w:rFonts w:ascii="Verdana" w:hAnsi="Verdana"/>
          <w:sz w:val="20"/>
          <w:szCs w:val="20"/>
          <w:lang w:val="pt-BR"/>
        </w:rPr>
        <w:t xml:space="preserve">os artigos </w:t>
      </w:r>
      <w:r w:rsidR="00706529" w:rsidRPr="0038442F">
        <w:rPr>
          <w:rFonts w:ascii="Verdana" w:hAnsi="Verdana"/>
          <w:sz w:val="20"/>
          <w:szCs w:val="20"/>
          <w:lang w:val="pt-BR"/>
        </w:rPr>
        <w:t xml:space="preserve">5.1 </w:t>
      </w:r>
      <w:r w:rsidR="00CA1642" w:rsidRPr="0038442F">
        <w:rPr>
          <w:rFonts w:ascii="Verdana" w:hAnsi="Verdana"/>
          <w:sz w:val="20"/>
          <w:szCs w:val="20"/>
          <w:lang w:val="pt-BR"/>
        </w:rPr>
        <w:t>e</w:t>
      </w:r>
      <w:r w:rsidR="00706529" w:rsidRPr="0038442F">
        <w:rPr>
          <w:rFonts w:ascii="Verdana" w:hAnsi="Verdana"/>
          <w:sz w:val="20"/>
          <w:szCs w:val="20"/>
          <w:lang w:val="pt-BR"/>
        </w:rPr>
        <w:t xml:space="preserve"> 5.2</w:t>
      </w:r>
      <w:r w:rsidR="00706529" w:rsidRPr="0038442F">
        <w:rPr>
          <w:rStyle w:val="Refdenotaalpie"/>
          <w:rFonts w:ascii="Verdana" w:hAnsi="Verdana"/>
          <w:sz w:val="20"/>
          <w:szCs w:val="20"/>
          <w:lang w:val="pt-BR"/>
        </w:rPr>
        <w:footnoteReference w:id="120"/>
      </w:r>
      <w:r w:rsidR="00706529" w:rsidRPr="0038442F">
        <w:rPr>
          <w:rFonts w:ascii="Verdana" w:hAnsi="Verdana"/>
          <w:sz w:val="20"/>
          <w:szCs w:val="20"/>
          <w:lang w:val="pt-BR"/>
        </w:rPr>
        <w:t xml:space="preserve"> </w:t>
      </w:r>
      <w:r w:rsidR="00CA1642" w:rsidRPr="0038442F">
        <w:rPr>
          <w:rFonts w:ascii="Verdana" w:hAnsi="Verdana"/>
          <w:sz w:val="20"/>
          <w:szCs w:val="20"/>
          <w:lang w:val="pt-BR"/>
        </w:rPr>
        <w:t xml:space="preserve">são </w:t>
      </w:r>
      <w:r w:rsidR="00706529" w:rsidRPr="0038442F">
        <w:rPr>
          <w:rFonts w:ascii="Verdana" w:hAnsi="Verdana"/>
          <w:sz w:val="20"/>
          <w:szCs w:val="20"/>
          <w:lang w:val="pt-BR"/>
        </w:rPr>
        <w:t>equivalentes</w:t>
      </w:r>
      <w:r w:rsidR="00CA1642" w:rsidRPr="0038442F">
        <w:rPr>
          <w:rFonts w:ascii="Verdana" w:hAnsi="Verdana"/>
          <w:sz w:val="20"/>
          <w:szCs w:val="20"/>
          <w:lang w:val="pt-BR"/>
        </w:rPr>
        <w:t>, respectivamente,</w:t>
      </w:r>
      <w:r w:rsidR="00706529" w:rsidRPr="0038442F">
        <w:rPr>
          <w:rFonts w:ascii="Verdana" w:hAnsi="Verdana"/>
          <w:sz w:val="20"/>
          <w:szCs w:val="20"/>
          <w:lang w:val="pt-BR"/>
        </w:rPr>
        <w:t xml:space="preserve"> a</w:t>
      </w:r>
      <w:r w:rsidR="006A12FD" w:rsidRPr="0038442F">
        <w:rPr>
          <w:rFonts w:ascii="Verdana" w:hAnsi="Verdana"/>
          <w:sz w:val="20"/>
          <w:szCs w:val="20"/>
          <w:lang w:val="pt-BR"/>
        </w:rPr>
        <w:t xml:space="preserve">os artigos </w:t>
      </w:r>
      <w:r w:rsidR="00706529" w:rsidRPr="0038442F">
        <w:rPr>
          <w:rFonts w:ascii="Verdana" w:hAnsi="Verdana"/>
          <w:sz w:val="20"/>
          <w:szCs w:val="20"/>
          <w:lang w:val="pt-BR"/>
        </w:rPr>
        <w:t xml:space="preserve">24 </w:t>
      </w:r>
      <w:r w:rsidR="00CA1642" w:rsidRPr="0038442F">
        <w:rPr>
          <w:rFonts w:ascii="Verdana" w:hAnsi="Verdana"/>
          <w:sz w:val="20"/>
          <w:szCs w:val="20"/>
          <w:lang w:val="pt-BR"/>
        </w:rPr>
        <w:t>e</w:t>
      </w:r>
      <w:r w:rsidR="00706529" w:rsidRPr="0038442F">
        <w:rPr>
          <w:rFonts w:ascii="Verdana" w:hAnsi="Verdana"/>
          <w:sz w:val="20"/>
          <w:szCs w:val="20"/>
          <w:lang w:val="pt-BR"/>
        </w:rPr>
        <w:t xml:space="preserve"> 1.1 </w:t>
      </w:r>
      <w:r w:rsidR="00C92762" w:rsidRPr="0038442F">
        <w:rPr>
          <w:rFonts w:ascii="Verdana" w:hAnsi="Verdana"/>
          <w:sz w:val="20"/>
          <w:szCs w:val="20"/>
          <w:lang w:val="pt-BR"/>
        </w:rPr>
        <w:t xml:space="preserve">da </w:t>
      </w:r>
      <w:r w:rsidR="00706529" w:rsidRPr="0038442F">
        <w:rPr>
          <w:rFonts w:ascii="Verdana" w:hAnsi="Verdana"/>
          <w:sz w:val="20"/>
          <w:szCs w:val="20"/>
          <w:lang w:val="pt-BR"/>
        </w:rPr>
        <w:t>Conven</w:t>
      </w:r>
      <w:r w:rsidR="000A1AA8" w:rsidRPr="0038442F">
        <w:rPr>
          <w:rFonts w:ascii="Verdana" w:hAnsi="Verdana"/>
          <w:sz w:val="20"/>
          <w:szCs w:val="20"/>
          <w:lang w:val="pt-BR"/>
        </w:rPr>
        <w:t>ção</w:t>
      </w:r>
      <w:r w:rsidR="00706529" w:rsidRPr="0038442F">
        <w:rPr>
          <w:rFonts w:ascii="Verdana" w:hAnsi="Verdana"/>
          <w:sz w:val="20"/>
          <w:szCs w:val="20"/>
          <w:lang w:val="pt-BR"/>
        </w:rPr>
        <w:t xml:space="preserve"> Americana. </w:t>
      </w:r>
      <w:r w:rsidR="00CA1642" w:rsidRPr="0038442F">
        <w:rPr>
          <w:rFonts w:ascii="Verdana" w:hAnsi="Verdana"/>
          <w:sz w:val="20"/>
          <w:szCs w:val="20"/>
          <w:lang w:val="pt-BR"/>
        </w:rPr>
        <w:t xml:space="preserve">Na </w:t>
      </w:r>
      <w:r w:rsidR="00706529" w:rsidRPr="0038442F">
        <w:rPr>
          <w:rFonts w:ascii="Verdana" w:hAnsi="Verdana"/>
          <w:sz w:val="20"/>
          <w:szCs w:val="20"/>
          <w:lang w:val="pt-BR"/>
        </w:rPr>
        <w:t>Observa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Geral N</w:t>
      </w:r>
      <w:r w:rsidR="00706529" w:rsidRPr="0038442F">
        <w:rPr>
          <w:rFonts w:ascii="Verdana" w:hAnsi="Verdana"/>
          <w:sz w:val="20"/>
          <w:szCs w:val="20"/>
          <w:vertAlign w:val="superscript"/>
          <w:lang w:val="pt-BR"/>
        </w:rPr>
        <w:t>o.</w:t>
      </w:r>
      <w:r w:rsidR="00706529" w:rsidRPr="0038442F">
        <w:rPr>
          <w:rFonts w:ascii="Verdana" w:hAnsi="Verdana"/>
          <w:sz w:val="20"/>
          <w:szCs w:val="20"/>
          <w:lang w:val="pt-BR"/>
        </w:rPr>
        <w:t xml:space="preserve"> 6</w:t>
      </w:r>
      <w:r w:rsidR="008A684B" w:rsidRPr="0038442F">
        <w:rPr>
          <w:rFonts w:ascii="Verdana" w:hAnsi="Verdana"/>
          <w:sz w:val="20"/>
          <w:szCs w:val="20"/>
          <w:lang w:val="pt-BR"/>
        </w:rPr>
        <w:t>,</w:t>
      </w:r>
      <w:r w:rsidR="00706529" w:rsidRPr="0038442F">
        <w:rPr>
          <w:rFonts w:ascii="Verdana" w:hAnsi="Verdana"/>
          <w:sz w:val="20"/>
          <w:szCs w:val="20"/>
          <w:lang w:val="pt-BR"/>
        </w:rPr>
        <w:t xml:space="preserve"> </w:t>
      </w:r>
      <w:r w:rsidR="00CA1642" w:rsidRPr="0038442F">
        <w:rPr>
          <w:rFonts w:ascii="Verdana" w:hAnsi="Verdana"/>
          <w:sz w:val="20"/>
          <w:szCs w:val="20"/>
          <w:lang w:val="pt-BR"/>
        </w:rPr>
        <w:t xml:space="preserve">o </w:t>
      </w:r>
      <w:r w:rsidR="00706529" w:rsidRPr="0038442F">
        <w:rPr>
          <w:rFonts w:ascii="Verdana" w:hAnsi="Verdana"/>
          <w:sz w:val="20"/>
          <w:szCs w:val="20"/>
          <w:lang w:val="pt-BR"/>
        </w:rPr>
        <w:t xml:space="preserve">referido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2C789E" w:rsidRPr="0038442F">
        <w:rPr>
          <w:rFonts w:ascii="Verdana" w:hAnsi="Verdana"/>
          <w:sz w:val="20"/>
          <w:szCs w:val="20"/>
          <w:lang w:val="pt-BR"/>
        </w:rPr>
        <w:t>salientou</w:t>
      </w:r>
      <w:r w:rsidR="00CA1642" w:rsidRPr="0038442F">
        <w:rPr>
          <w:rFonts w:ascii="Verdana" w:hAnsi="Verdana"/>
          <w:sz w:val="20"/>
          <w:szCs w:val="20"/>
          <w:lang w:val="pt-BR"/>
        </w:rPr>
        <w:t xml:space="preserve"> </w:t>
      </w:r>
      <w:r w:rsidR="00706529" w:rsidRPr="0038442F">
        <w:rPr>
          <w:rFonts w:ascii="Verdana" w:hAnsi="Verdana"/>
          <w:sz w:val="20"/>
          <w:szCs w:val="20"/>
          <w:lang w:val="pt-BR"/>
        </w:rPr>
        <w:t xml:space="preserve">que: </w:t>
      </w:r>
      <w:r w:rsidR="004C7D21" w:rsidRPr="0038442F">
        <w:rPr>
          <w:rFonts w:ascii="Verdana" w:hAnsi="Verdana"/>
          <w:sz w:val="20"/>
          <w:szCs w:val="20"/>
          <w:lang w:val="pt-BR"/>
        </w:rPr>
        <w:t>“</w:t>
      </w:r>
      <w:r w:rsidR="00706529" w:rsidRPr="0038442F">
        <w:rPr>
          <w:rFonts w:ascii="Verdana" w:hAnsi="Verdana"/>
          <w:sz w:val="20"/>
          <w:szCs w:val="20"/>
          <w:lang w:val="pt-BR"/>
        </w:rPr>
        <w:t>[</w:t>
      </w:r>
      <w:r w:rsidR="00CA1642" w:rsidRPr="0038442F">
        <w:rPr>
          <w:rFonts w:ascii="Verdana" w:hAnsi="Verdana"/>
          <w:sz w:val="20"/>
          <w:szCs w:val="20"/>
          <w:lang w:val="pt-BR"/>
        </w:rPr>
        <w:t>a</w:t>
      </w:r>
      <w:r w:rsidR="00706529" w:rsidRPr="0038442F">
        <w:rPr>
          <w:rFonts w:ascii="Verdana" w:hAnsi="Verdana"/>
          <w:sz w:val="20"/>
          <w:szCs w:val="20"/>
          <w:lang w:val="pt-BR"/>
        </w:rPr>
        <w:t xml:space="preserve">]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00706529" w:rsidRPr="0038442F">
        <w:rPr>
          <w:rFonts w:ascii="Verdana" w:hAnsi="Verdana"/>
          <w:i/>
          <w:sz w:val="20"/>
          <w:szCs w:val="20"/>
          <w:lang w:val="pt-BR"/>
        </w:rPr>
        <w:t xml:space="preserve">formal </w:t>
      </w:r>
      <w:r w:rsidR="00CA1642" w:rsidRPr="0038442F">
        <w:rPr>
          <w:rFonts w:ascii="Verdana" w:hAnsi="Verdana"/>
          <w:sz w:val="20"/>
          <w:szCs w:val="20"/>
          <w:lang w:val="pt-BR"/>
        </w:rPr>
        <w:t>luta</w:t>
      </w:r>
      <w:r w:rsidR="00706529" w:rsidRPr="0038442F">
        <w:rPr>
          <w:rFonts w:ascii="Verdana" w:hAnsi="Verdana"/>
          <w:sz w:val="20"/>
          <w:szCs w:val="20"/>
          <w:lang w:val="pt-BR"/>
        </w:rPr>
        <w:t xml:space="preserve"> contra a discrimina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direta </w:t>
      </w:r>
      <w:r w:rsidR="00CA1642" w:rsidRPr="0038442F">
        <w:rPr>
          <w:rFonts w:ascii="Verdana" w:hAnsi="Verdana"/>
          <w:sz w:val="20"/>
          <w:szCs w:val="20"/>
          <w:lang w:val="pt-BR"/>
        </w:rPr>
        <w:t xml:space="preserve">considerando </w:t>
      </w:r>
      <w:r w:rsidR="00706529" w:rsidRPr="0038442F">
        <w:rPr>
          <w:rFonts w:ascii="Verdana" w:hAnsi="Verdana"/>
          <w:sz w:val="20"/>
          <w:szCs w:val="20"/>
          <w:lang w:val="pt-BR"/>
        </w:rPr>
        <w:t xml:space="preserve">de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similar </w:t>
      </w:r>
      <w:r w:rsidR="00BF7A10" w:rsidRPr="0038442F">
        <w:rPr>
          <w:rFonts w:ascii="Verdana" w:hAnsi="Verdana"/>
          <w:sz w:val="20"/>
          <w:szCs w:val="20"/>
          <w:lang w:val="pt-BR"/>
        </w:rPr>
        <w:t xml:space="preserve">as pessoas </w:t>
      </w:r>
      <w:r w:rsidR="00706529" w:rsidRPr="0038442F">
        <w:rPr>
          <w:rFonts w:ascii="Verdana" w:hAnsi="Verdana"/>
          <w:sz w:val="20"/>
          <w:szCs w:val="20"/>
          <w:lang w:val="pt-BR"/>
        </w:rPr>
        <w:t xml:space="preserve">que </w:t>
      </w:r>
      <w:r w:rsidR="00CA1642" w:rsidRPr="0038442F">
        <w:rPr>
          <w:rFonts w:ascii="Verdana" w:hAnsi="Verdana"/>
          <w:sz w:val="20"/>
          <w:szCs w:val="20"/>
          <w:lang w:val="pt-BR"/>
        </w:rPr>
        <w:t xml:space="preserve">estão em </w:t>
      </w:r>
      <w:r w:rsidR="00706529" w:rsidRPr="0038442F">
        <w:rPr>
          <w:rFonts w:ascii="Verdana" w:hAnsi="Verdana"/>
          <w:sz w:val="20"/>
          <w:szCs w:val="20"/>
          <w:lang w:val="pt-BR"/>
        </w:rPr>
        <w:t>situa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similar. P</w:t>
      </w:r>
      <w:r w:rsidR="00CA1642" w:rsidRPr="0038442F">
        <w:rPr>
          <w:rFonts w:ascii="Verdana" w:hAnsi="Verdana"/>
          <w:sz w:val="20"/>
          <w:szCs w:val="20"/>
          <w:lang w:val="pt-BR"/>
        </w:rPr>
        <w:t>o</w:t>
      </w:r>
      <w:r w:rsidR="00706529" w:rsidRPr="0038442F">
        <w:rPr>
          <w:rFonts w:ascii="Verdana" w:hAnsi="Verdana"/>
          <w:sz w:val="20"/>
          <w:szCs w:val="20"/>
          <w:lang w:val="pt-BR"/>
        </w:rPr>
        <w:t>de a</w:t>
      </w:r>
      <w:r w:rsidR="00CA1642" w:rsidRPr="0038442F">
        <w:rPr>
          <w:rFonts w:ascii="Verdana" w:hAnsi="Verdana"/>
          <w:sz w:val="20"/>
          <w:szCs w:val="20"/>
          <w:lang w:val="pt-BR"/>
        </w:rPr>
        <w:t>j</w:t>
      </w:r>
      <w:r w:rsidR="00706529" w:rsidRPr="0038442F">
        <w:rPr>
          <w:rFonts w:ascii="Verdana" w:hAnsi="Verdana"/>
          <w:sz w:val="20"/>
          <w:szCs w:val="20"/>
          <w:lang w:val="pt-BR"/>
        </w:rPr>
        <w:t>udar a combat</w:t>
      </w:r>
      <w:r w:rsidR="00CA1642" w:rsidRPr="0038442F">
        <w:rPr>
          <w:rFonts w:ascii="Verdana" w:hAnsi="Verdana"/>
          <w:sz w:val="20"/>
          <w:szCs w:val="20"/>
          <w:lang w:val="pt-BR"/>
        </w:rPr>
        <w:t>e</w:t>
      </w:r>
      <w:r w:rsidR="00706529" w:rsidRPr="0038442F">
        <w:rPr>
          <w:rFonts w:ascii="Verdana" w:hAnsi="Verdana"/>
          <w:sz w:val="20"/>
          <w:szCs w:val="20"/>
          <w:lang w:val="pt-BR"/>
        </w:rPr>
        <w:t>r os estere</w:t>
      </w:r>
      <w:r w:rsidR="00CA1642" w:rsidRPr="0038442F">
        <w:rPr>
          <w:rFonts w:ascii="Verdana" w:hAnsi="Verdana"/>
          <w:sz w:val="20"/>
          <w:szCs w:val="20"/>
          <w:lang w:val="pt-BR"/>
        </w:rPr>
        <w:t>ó</w:t>
      </w:r>
      <w:r w:rsidR="00706529" w:rsidRPr="0038442F">
        <w:rPr>
          <w:rFonts w:ascii="Verdana" w:hAnsi="Verdana"/>
          <w:sz w:val="20"/>
          <w:szCs w:val="20"/>
          <w:lang w:val="pt-BR"/>
        </w:rPr>
        <w:t xml:space="preserve">tipos negativos </w:t>
      </w:r>
      <w:r w:rsidR="00CA1642" w:rsidRPr="0038442F">
        <w:rPr>
          <w:rFonts w:ascii="Verdana" w:hAnsi="Verdana"/>
          <w:sz w:val="20"/>
          <w:szCs w:val="20"/>
          <w:lang w:val="pt-BR"/>
        </w:rPr>
        <w:t>e os pre</w:t>
      </w:r>
      <w:r w:rsidR="00870F62">
        <w:rPr>
          <w:rFonts w:ascii="Verdana" w:hAnsi="Verdana"/>
          <w:sz w:val="20"/>
          <w:szCs w:val="20"/>
          <w:lang w:val="pt-BR"/>
        </w:rPr>
        <w:t>conceitos</w:t>
      </w:r>
      <w:r w:rsidR="00706529" w:rsidRPr="0038442F">
        <w:rPr>
          <w:rFonts w:ascii="Verdana" w:hAnsi="Verdana"/>
          <w:sz w:val="20"/>
          <w:szCs w:val="20"/>
          <w:lang w:val="pt-BR"/>
        </w:rPr>
        <w:t xml:space="preserve">, </w:t>
      </w:r>
      <w:r w:rsidR="00CA1642" w:rsidRPr="0038442F">
        <w:rPr>
          <w:rFonts w:ascii="Verdana" w:hAnsi="Verdana"/>
          <w:sz w:val="20"/>
          <w:szCs w:val="20"/>
          <w:lang w:val="pt-BR"/>
        </w:rPr>
        <w:t xml:space="preserve">mas </w:t>
      </w:r>
      <w:r w:rsidR="00984A83" w:rsidRPr="0038442F">
        <w:rPr>
          <w:rFonts w:ascii="Verdana" w:hAnsi="Verdana"/>
          <w:sz w:val="20"/>
          <w:szCs w:val="20"/>
          <w:lang w:val="pt-BR"/>
        </w:rPr>
        <w:t xml:space="preserve">não pode </w:t>
      </w:r>
      <w:r w:rsidR="00706529" w:rsidRPr="0038442F">
        <w:rPr>
          <w:rFonts w:ascii="Verdana" w:hAnsi="Verdana"/>
          <w:sz w:val="20"/>
          <w:szCs w:val="20"/>
          <w:lang w:val="pt-BR"/>
        </w:rPr>
        <w:t>of</w:t>
      </w:r>
      <w:r w:rsidR="00CA1642" w:rsidRPr="0038442F">
        <w:rPr>
          <w:rFonts w:ascii="Verdana" w:hAnsi="Verdana"/>
          <w:sz w:val="20"/>
          <w:szCs w:val="20"/>
          <w:lang w:val="pt-BR"/>
        </w:rPr>
        <w:t>e</w:t>
      </w:r>
      <w:r w:rsidR="00706529" w:rsidRPr="0038442F">
        <w:rPr>
          <w:rFonts w:ascii="Verdana" w:hAnsi="Verdana"/>
          <w:sz w:val="20"/>
          <w:szCs w:val="20"/>
          <w:lang w:val="pt-BR"/>
        </w:rPr>
        <w:t>recer solu</w:t>
      </w:r>
      <w:r w:rsidR="000A1AA8" w:rsidRPr="0038442F">
        <w:rPr>
          <w:rFonts w:ascii="Verdana" w:hAnsi="Verdana"/>
          <w:sz w:val="20"/>
          <w:szCs w:val="20"/>
          <w:lang w:val="pt-BR"/>
        </w:rPr>
        <w:t>ções</w:t>
      </w:r>
      <w:r w:rsidR="00706529" w:rsidRPr="0038442F">
        <w:rPr>
          <w:rFonts w:ascii="Verdana" w:hAnsi="Verdana"/>
          <w:sz w:val="20"/>
          <w:szCs w:val="20"/>
          <w:lang w:val="pt-BR"/>
        </w:rPr>
        <w:t xml:space="preserve"> </w:t>
      </w:r>
      <w:r w:rsidR="00CA1642" w:rsidRPr="0038442F">
        <w:rPr>
          <w:rFonts w:ascii="Verdana" w:hAnsi="Verdana"/>
          <w:sz w:val="20"/>
          <w:szCs w:val="20"/>
          <w:lang w:val="pt-BR"/>
        </w:rPr>
        <w:t xml:space="preserve">para o </w:t>
      </w:r>
      <w:r w:rsidR="00706529" w:rsidRPr="0038442F">
        <w:rPr>
          <w:rFonts w:ascii="Verdana" w:hAnsi="Verdana"/>
          <w:sz w:val="20"/>
          <w:szCs w:val="20"/>
          <w:lang w:val="pt-BR"/>
        </w:rPr>
        <w:t xml:space="preserve">“dilema </w:t>
      </w:r>
      <w:r w:rsidR="00C92762" w:rsidRPr="0038442F">
        <w:rPr>
          <w:rFonts w:ascii="Verdana" w:hAnsi="Verdana"/>
          <w:sz w:val="20"/>
          <w:szCs w:val="20"/>
          <w:lang w:val="pt-BR"/>
        </w:rPr>
        <w:t xml:space="preserve">da </w:t>
      </w:r>
      <w:r w:rsidR="00706529" w:rsidRPr="0038442F">
        <w:rPr>
          <w:rFonts w:ascii="Verdana" w:hAnsi="Verdana"/>
          <w:sz w:val="20"/>
          <w:szCs w:val="20"/>
          <w:lang w:val="pt-BR"/>
        </w:rPr>
        <w:t>diferen</w:t>
      </w:r>
      <w:r w:rsidR="00CA1642" w:rsidRPr="0038442F">
        <w:rPr>
          <w:rFonts w:ascii="Verdana" w:hAnsi="Verdana"/>
          <w:sz w:val="20"/>
          <w:szCs w:val="20"/>
          <w:lang w:val="pt-BR"/>
        </w:rPr>
        <w:t>ç</w:t>
      </w:r>
      <w:r w:rsidR="00706529" w:rsidRPr="0038442F">
        <w:rPr>
          <w:rFonts w:ascii="Verdana" w:hAnsi="Verdana"/>
          <w:sz w:val="20"/>
          <w:szCs w:val="20"/>
          <w:lang w:val="pt-BR"/>
        </w:rPr>
        <w:t xml:space="preserve">a”, </w:t>
      </w:r>
      <w:r w:rsidR="00CA1642" w:rsidRPr="0038442F">
        <w:rPr>
          <w:rFonts w:ascii="Verdana" w:hAnsi="Verdana"/>
          <w:sz w:val="20"/>
          <w:szCs w:val="20"/>
          <w:lang w:val="pt-BR"/>
        </w:rPr>
        <w:t xml:space="preserve">já que não leva em conta nem aceita as diferenças entre os </w:t>
      </w:r>
      <w:r w:rsidR="00706529" w:rsidRPr="0038442F">
        <w:rPr>
          <w:rFonts w:ascii="Verdana" w:hAnsi="Verdana"/>
          <w:sz w:val="20"/>
          <w:szCs w:val="20"/>
          <w:lang w:val="pt-BR"/>
        </w:rPr>
        <w:t xml:space="preserve">seres humanos. </w:t>
      </w:r>
      <w:r w:rsidR="00CA1642" w:rsidRPr="0038442F">
        <w:rPr>
          <w:rFonts w:ascii="Verdana" w:hAnsi="Verdana"/>
          <w:sz w:val="20"/>
          <w:szCs w:val="20"/>
          <w:lang w:val="pt-BR"/>
        </w:rPr>
        <w:t xml:space="preserve">A </w:t>
      </w:r>
      <w:r w:rsidR="009612FB" w:rsidRPr="0038442F">
        <w:rPr>
          <w:rFonts w:ascii="Verdana" w:hAnsi="Verdana"/>
          <w:i/>
          <w:sz w:val="20"/>
          <w:szCs w:val="20"/>
          <w:lang w:val="pt-BR"/>
        </w:rPr>
        <w:t xml:space="preserve">igualdade </w:t>
      </w:r>
      <w:r w:rsidR="00706529" w:rsidRPr="0038442F">
        <w:rPr>
          <w:rFonts w:ascii="Verdana" w:hAnsi="Verdana"/>
          <w:i/>
          <w:sz w:val="20"/>
          <w:szCs w:val="20"/>
          <w:lang w:val="pt-BR"/>
        </w:rPr>
        <w:t>su</w:t>
      </w:r>
      <w:r w:rsidR="00CA1642" w:rsidRPr="0038442F">
        <w:rPr>
          <w:rFonts w:ascii="Verdana" w:hAnsi="Verdana"/>
          <w:i/>
          <w:sz w:val="20"/>
          <w:szCs w:val="20"/>
          <w:lang w:val="pt-BR"/>
        </w:rPr>
        <w:t>b</w:t>
      </w:r>
      <w:r w:rsidR="00706529" w:rsidRPr="0038442F">
        <w:rPr>
          <w:rFonts w:ascii="Verdana" w:hAnsi="Verdana"/>
          <w:i/>
          <w:sz w:val="20"/>
          <w:szCs w:val="20"/>
          <w:lang w:val="pt-BR"/>
        </w:rPr>
        <w:t>stantiva</w:t>
      </w:r>
      <w:r w:rsidR="00706529" w:rsidRPr="0038442F">
        <w:rPr>
          <w:rFonts w:ascii="Verdana" w:hAnsi="Verdana"/>
          <w:sz w:val="20"/>
          <w:szCs w:val="20"/>
          <w:lang w:val="pt-BR"/>
        </w:rPr>
        <w:t xml:space="preserve">, </w:t>
      </w:r>
      <w:r w:rsidR="00CA1642" w:rsidRPr="0038442F">
        <w:rPr>
          <w:rFonts w:ascii="Verdana" w:hAnsi="Verdana"/>
          <w:sz w:val="20"/>
          <w:szCs w:val="20"/>
          <w:lang w:val="pt-BR"/>
        </w:rPr>
        <w:t>ao contrário</w:t>
      </w:r>
      <w:r w:rsidR="00706529" w:rsidRPr="0038442F">
        <w:rPr>
          <w:rFonts w:ascii="Verdana" w:hAnsi="Verdana"/>
          <w:sz w:val="20"/>
          <w:szCs w:val="20"/>
          <w:lang w:val="pt-BR"/>
        </w:rPr>
        <w:t xml:space="preserve">, aborda </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706529" w:rsidRPr="0038442F">
        <w:rPr>
          <w:rFonts w:ascii="Verdana" w:hAnsi="Verdana"/>
          <w:sz w:val="20"/>
          <w:szCs w:val="20"/>
          <w:lang w:val="pt-BR"/>
        </w:rPr>
        <w:t>a discrimina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indireta </w:t>
      </w:r>
      <w:r w:rsidR="00CA1642" w:rsidRPr="0038442F">
        <w:rPr>
          <w:rFonts w:ascii="Verdana" w:hAnsi="Verdana"/>
          <w:sz w:val="20"/>
          <w:szCs w:val="20"/>
          <w:lang w:val="pt-BR"/>
        </w:rPr>
        <w:t>e</w:t>
      </w:r>
      <w:r w:rsidR="00706529" w:rsidRPr="0038442F">
        <w:rPr>
          <w:rFonts w:ascii="Verdana" w:hAnsi="Verdana"/>
          <w:sz w:val="20"/>
          <w:szCs w:val="20"/>
          <w:lang w:val="pt-BR"/>
        </w:rPr>
        <w:t xml:space="preserve"> </w:t>
      </w:r>
      <w:r w:rsidR="006445EE" w:rsidRPr="0038442F">
        <w:rPr>
          <w:rFonts w:ascii="Verdana" w:hAnsi="Verdana"/>
          <w:sz w:val="20"/>
          <w:szCs w:val="20"/>
          <w:lang w:val="pt-BR"/>
        </w:rPr>
        <w:t>estrutural</w:t>
      </w:r>
      <w:r w:rsidR="00706529" w:rsidRPr="0038442F">
        <w:rPr>
          <w:rFonts w:ascii="Verdana" w:hAnsi="Verdana"/>
          <w:sz w:val="20"/>
          <w:szCs w:val="20"/>
          <w:lang w:val="pt-BR"/>
        </w:rPr>
        <w:t xml:space="preserve">, </w:t>
      </w:r>
      <w:r w:rsidR="00CA1642" w:rsidRPr="0038442F">
        <w:rPr>
          <w:rFonts w:ascii="Verdana" w:hAnsi="Verdana"/>
          <w:sz w:val="20"/>
          <w:szCs w:val="20"/>
          <w:lang w:val="pt-BR"/>
        </w:rPr>
        <w:t xml:space="preserve">e leva em conta as </w:t>
      </w:r>
      <w:r w:rsidR="00706529" w:rsidRPr="0038442F">
        <w:rPr>
          <w:rFonts w:ascii="Verdana" w:hAnsi="Verdana"/>
          <w:sz w:val="20"/>
          <w:szCs w:val="20"/>
          <w:lang w:val="pt-BR"/>
        </w:rPr>
        <w:t>rela</w:t>
      </w:r>
      <w:r w:rsidR="000A1AA8" w:rsidRPr="0038442F">
        <w:rPr>
          <w:rFonts w:ascii="Verdana" w:hAnsi="Verdana"/>
          <w:sz w:val="20"/>
          <w:szCs w:val="20"/>
          <w:lang w:val="pt-BR"/>
        </w:rPr>
        <w:t>ções</w:t>
      </w:r>
      <w:r w:rsidR="00706529" w:rsidRPr="0038442F">
        <w:rPr>
          <w:rFonts w:ascii="Verdana" w:hAnsi="Verdana"/>
          <w:sz w:val="20"/>
          <w:szCs w:val="20"/>
          <w:lang w:val="pt-BR"/>
        </w:rPr>
        <w:t xml:space="preserve"> de poder. Admite que </w:t>
      </w:r>
      <w:r w:rsidR="00CA1642" w:rsidRPr="0038442F">
        <w:rPr>
          <w:rFonts w:ascii="Verdana" w:hAnsi="Verdana"/>
          <w:sz w:val="20"/>
          <w:szCs w:val="20"/>
          <w:lang w:val="pt-BR"/>
        </w:rPr>
        <w:t xml:space="preserve">o </w:t>
      </w:r>
      <w:r w:rsidR="00706529" w:rsidRPr="0038442F">
        <w:rPr>
          <w:rFonts w:ascii="Verdana" w:hAnsi="Verdana"/>
          <w:sz w:val="20"/>
          <w:szCs w:val="20"/>
          <w:lang w:val="pt-BR"/>
        </w:rPr>
        <w:t xml:space="preserve">“dilema </w:t>
      </w:r>
      <w:r w:rsidR="00C92762" w:rsidRPr="0038442F">
        <w:rPr>
          <w:rFonts w:ascii="Verdana" w:hAnsi="Verdana"/>
          <w:sz w:val="20"/>
          <w:szCs w:val="20"/>
          <w:lang w:val="pt-BR"/>
        </w:rPr>
        <w:t xml:space="preserve">da </w:t>
      </w:r>
      <w:r w:rsidR="00706529" w:rsidRPr="0038442F">
        <w:rPr>
          <w:rFonts w:ascii="Verdana" w:hAnsi="Verdana"/>
          <w:sz w:val="20"/>
          <w:szCs w:val="20"/>
          <w:lang w:val="pt-BR"/>
        </w:rPr>
        <w:t>diferen</w:t>
      </w:r>
      <w:r w:rsidR="00CA1642" w:rsidRPr="0038442F">
        <w:rPr>
          <w:rFonts w:ascii="Verdana" w:hAnsi="Verdana"/>
          <w:sz w:val="20"/>
          <w:szCs w:val="20"/>
          <w:lang w:val="pt-BR"/>
        </w:rPr>
        <w:t>ç</w:t>
      </w:r>
      <w:r w:rsidR="00706529" w:rsidRPr="0038442F">
        <w:rPr>
          <w:rFonts w:ascii="Verdana" w:hAnsi="Verdana"/>
          <w:sz w:val="20"/>
          <w:szCs w:val="20"/>
          <w:lang w:val="pt-BR"/>
        </w:rPr>
        <w:t xml:space="preserve">a” </w:t>
      </w:r>
      <w:r w:rsidR="009F38E9" w:rsidRPr="0038442F">
        <w:rPr>
          <w:rFonts w:ascii="Verdana" w:hAnsi="Verdana"/>
          <w:sz w:val="20"/>
          <w:szCs w:val="20"/>
          <w:lang w:val="pt-BR"/>
        </w:rPr>
        <w:t xml:space="preserve">implica </w:t>
      </w:r>
      <w:r w:rsidR="00706529" w:rsidRPr="0038442F">
        <w:rPr>
          <w:rFonts w:ascii="Verdana" w:hAnsi="Verdana"/>
          <w:sz w:val="20"/>
          <w:szCs w:val="20"/>
          <w:lang w:val="pt-BR"/>
        </w:rPr>
        <w:t>tanto ignorar as diferen</w:t>
      </w:r>
      <w:r w:rsidR="009F38E9" w:rsidRPr="0038442F">
        <w:rPr>
          <w:rFonts w:ascii="Verdana" w:hAnsi="Verdana"/>
          <w:sz w:val="20"/>
          <w:szCs w:val="20"/>
          <w:lang w:val="pt-BR"/>
        </w:rPr>
        <w:t>ç</w:t>
      </w:r>
      <w:r w:rsidR="00706529" w:rsidRPr="0038442F">
        <w:rPr>
          <w:rFonts w:ascii="Verdana" w:hAnsi="Verdana"/>
          <w:sz w:val="20"/>
          <w:szCs w:val="20"/>
          <w:lang w:val="pt-BR"/>
        </w:rPr>
        <w:t xml:space="preserve">as entre os seres humanos como </w:t>
      </w:r>
      <w:r w:rsidR="009F38E9" w:rsidRPr="0038442F">
        <w:rPr>
          <w:rFonts w:ascii="Verdana" w:hAnsi="Verdana"/>
          <w:sz w:val="20"/>
          <w:szCs w:val="20"/>
          <w:lang w:val="pt-BR"/>
        </w:rPr>
        <w:t>reconhecê-</w:t>
      </w:r>
      <w:r w:rsidR="00706529" w:rsidRPr="0038442F">
        <w:rPr>
          <w:rFonts w:ascii="Verdana" w:hAnsi="Verdana"/>
          <w:sz w:val="20"/>
          <w:szCs w:val="20"/>
          <w:lang w:val="pt-BR"/>
        </w:rPr>
        <w:t>las, a fi</w:t>
      </w:r>
      <w:r w:rsidR="009F38E9" w:rsidRPr="0038442F">
        <w:rPr>
          <w:rFonts w:ascii="Verdana" w:hAnsi="Verdana"/>
          <w:sz w:val="20"/>
          <w:szCs w:val="20"/>
          <w:lang w:val="pt-BR"/>
        </w:rPr>
        <w:t xml:space="preserve">m de conseguir a </w:t>
      </w:r>
      <w:r w:rsidR="009612FB" w:rsidRPr="0038442F">
        <w:rPr>
          <w:rFonts w:ascii="Verdana" w:hAnsi="Verdana"/>
          <w:sz w:val="20"/>
          <w:szCs w:val="20"/>
          <w:lang w:val="pt-BR"/>
        </w:rPr>
        <w:t>igualdade</w:t>
      </w:r>
      <w:r w:rsidR="00706529" w:rsidRPr="0038442F">
        <w:rPr>
          <w:rFonts w:ascii="Verdana" w:hAnsi="Verdana"/>
          <w:sz w:val="20"/>
          <w:szCs w:val="20"/>
          <w:lang w:val="pt-BR"/>
        </w:rPr>
        <w:t>”</w:t>
      </w:r>
      <w:r w:rsidR="00C708A8" w:rsidRPr="0038442F">
        <w:rPr>
          <w:rFonts w:ascii="Verdana" w:hAnsi="Verdana"/>
          <w:sz w:val="20"/>
          <w:szCs w:val="20"/>
          <w:lang w:val="pt-BR"/>
        </w:rPr>
        <w:t>.</w:t>
      </w:r>
      <w:r w:rsidR="00706529" w:rsidRPr="0038442F">
        <w:rPr>
          <w:rStyle w:val="Refdenotaalpie"/>
          <w:rFonts w:ascii="Verdana" w:hAnsi="Verdana"/>
          <w:sz w:val="20"/>
          <w:szCs w:val="20"/>
          <w:lang w:val="pt-BR"/>
        </w:rPr>
        <w:footnoteReference w:id="121"/>
      </w:r>
    </w:p>
    <w:p w14:paraId="1BB7A79F" w14:textId="77777777" w:rsidR="00706529" w:rsidRPr="0038442F" w:rsidRDefault="00706529" w:rsidP="00A857CB">
      <w:pPr>
        <w:pStyle w:val="Prrafodelista"/>
        <w:spacing w:line="240" w:lineRule="auto"/>
        <w:rPr>
          <w:rFonts w:ascii="Verdana" w:hAnsi="Verdana"/>
          <w:i/>
          <w:iCs/>
          <w:sz w:val="20"/>
          <w:szCs w:val="20"/>
          <w:lang w:val="pt-BR"/>
        </w:rPr>
      </w:pPr>
    </w:p>
    <w:p w14:paraId="6FA645A4" w14:textId="1B4FE442" w:rsidR="00706529" w:rsidRPr="0038442F" w:rsidRDefault="00685AC6" w:rsidP="00685AC6">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73. </w:t>
      </w:r>
      <w:r w:rsidRPr="0038442F">
        <w:rPr>
          <w:rFonts w:ascii="Verdana" w:hAnsi="Verdana"/>
          <w:sz w:val="20"/>
          <w:szCs w:val="20"/>
          <w:lang w:val="pt-BR"/>
        </w:rPr>
        <w:tab/>
      </w:r>
      <w:r w:rsidR="004E50C1" w:rsidRPr="0038442F">
        <w:rPr>
          <w:rFonts w:ascii="Verdana" w:hAnsi="Verdana"/>
          <w:sz w:val="20"/>
          <w:szCs w:val="20"/>
          <w:lang w:val="pt-BR"/>
        </w:rPr>
        <w:t>Além disso</w:t>
      </w:r>
      <w:r w:rsidR="00706529" w:rsidRPr="0038442F">
        <w:rPr>
          <w:rFonts w:ascii="Verdana" w:hAnsi="Verdana"/>
          <w:sz w:val="20"/>
          <w:szCs w:val="20"/>
          <w:lang w:val="pt-BR"/>
        </w:rPr>
        <w:t xml:space="preserve">, </w:t>
      </w:r>
      <w:r w:rsidR="002C789E" w:rsidRPr="0038442F">
        <w:rPr>
          <w:rFonts w:ascii="Verdana" w:hAnsi="Verdana"/>
          <w:sz w:val="20"/>
          <w:szCs w:val="20"/>
          <w:lang w:val="pt-BR"/>
        </w:rPr>
        <w:t>reconheceu</w:t>
      </w:r>
      <w:r w:rsidR="004E50C1" w:rsidRPr="0038442F">
        <w:rPr>
          <w:rFonts w:ascii="Verdana" w:hAnsi="Verdana"/>
          <w:sz w:val="20"/>
          <w:szCs w:val="20"/>
          <w:lang w:val="pt-BR"/>
        </w:rPr>
        <w:t xml:space="preserve"> </w:t>
      </w:r>
      <w:r w:rsidR="00706529" w:rsidRPr="0038442F">
        <w:rPr>
          <w:rFonts w:ascii="Verdana" w:hAnsi="Verdana"/>
          <w:sz w:val="20"/>
          <w:szCs w:val="20"/>
          <w:lang w:val="pt-BR"/>
        </w:rPr>
        <w:t xml:space="preserve">que </w:t>
      </w:r>
      <w:r w:rsidR="003B374E" w:rsidRPr="0038442F">
        <w:rPr>
          <w:rFonts w:ascii="Verdana" w:hAnsi="Verdana"/>
          <w:sz w:val="20"/>
          <w:szCs w:val="20"/>
          <w:lang w:val="pt-BR"/>
        </w:rPr>
        <w:t xml:space="preserve">o artigo </w:t>
      </w:r>
      <w:r w:rsidR="00706529" w:rsidRPr="0038442F">
        <w:rPr>
          <w:rFonts w:ascii="Verdana" w:hAnsi="Verdana"/>
          <w:sz w:val="20"/>
          <w:szCs w:val="20"/>
          <w:lang w:val="pt-BR"/>
        </w:rPr>
        <w:t xml:space="preserve">5.1 </w:t>
      </w:r>
      <w:r w:rsidR="004E50C1" w:rsidRPr="0038442F">
        <w:rPr>
          <w:rFonts w:ascii="Verdana" w:hAnsi="Verdana"/>
          <w:sz w:val="20"/>
          <w:szCs w:val="20"/>
          <w:lang w:val="pt-BR"/>
        </w:rPr>
        <w:t>estabelece</w:t>
      </w:r>
      <w:r w:rsidR="00607020" w:rsidRPr="0038442F">
        <w:rPr>
          <w:rFonts w:ascii="Verdana" w:hAnsi="Verdana"/>
          <w:sz w:val="20"/>
          <w:szCs w:val="20"/>
          <w:lang w:val="pt-BR"/>
        </w:rPr>
        <w:t>,</w:t>
      </w:r>
      <w:r w:rsidR="00706529" w:rsidRPr="0038442F">
        <w:rPr>
          <w:rFonts w:ascii="Verdana" w:hAnsi="Verdana"/>
          <w:sz w:val="20"/>
          <w:szCs w:val="20"/>
          <w:lang w:val="pt-BR"/>
        </w:rPr>
        <w:t xml:space="preserve"> por u</w:t>
      </w:r>
      <w:r w:rsidR="004E50C1" w:rsidRPr="0038442F">
        <w:rPr>
          <w:rFonts w:ascii="Verdana" w:hAnsi="Verdana"/>
          <w:sz w:val="20"/>
          <w:szCs w:val="20"/>
          <w:lang w:val="pt-BR"/>
        </w:rPr>
        <w:t>m</w:t>
      </w:r>
      <w:r w:rsidR="00706529" w:rsidRPr="0038442F">
        <w:rPr>
          <w:rFonts w:ascii="Verdana" w:hAnsi="Verdana"/>
          <w:sz w:val="20"/>
          <w:szCs w:val="20"/>
          <w:lang w:val="pt-BR"/>
        </w:rPr>
        <w:t xml:space="preserve"> lado</w:t>
      </w:r>
      <w:r w:rsidR="00607020" w:rsidRPr="0038442F">
        <w:rPr>
          <w:rFonts w:ascii="Verdana" w:hAnsi="Verdana"/>
          <w:sz w:val="20"/>
          <w:szCs w:val="20"/>
          <w:lang w:val="pt-BR"/>
        </w:rPr>
        <w:t>,</w:t>
      </w:r>
      <w:r w:rsidR="00706529" w:rsidRPr="0038442F">
        <w:rPr>
          <w:rFonts w:ascii="Verdana" w:hAnsi="Verdana"/>
          <w:sz w:val="20"/>
          <w:szCs w:val="20"/>
          <w:lang w:val="pt-BR"/>
        </w:rPr>
        <w:t xml:space="preserve"> “a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4E50C1" w:rsidRPr="0038442F">
        <w:rPr>
          <w:rFonts w:ascii="Verdana" w:hAnsi="Verdana"/>
          <w:sz w:val="20"/>
          <w:szCs w:val="20"/>
          <w:lang w:val="pt-BR"/>
        </w:rPr>
        <w:t>per</w:t>
      </w:r>
      <w:r w:rsidR="00706529" w:rsidRPr="0038442F">
        <w:rPr>
          <w:rFonts w:ascii="Verdana" w:hAnsi="Verdana"/>
          <w:sz w:val="20"/>
          <w:szCs w:val="20"/>
          <w:lang w:val="pt-BR"/>
        </w:rPr>
        <w:t xml:space="preserve">ante a </w:t>
      </w:r>
      <w:r w:rsidR="00751189" w:rsidRPr="0038442F">
        <w:rPr>
          <w:rFonts w:ascii="Verdana" w:hAnsi="Verdana"/>
          <w:sz w:val="20"/>
          <w:szCs w:val="20"/>
          <w:lang w:val="pt-BR"/>
        </w:rPr>
        <w:t>lei</w:t>
      </w:r>
      <w:r w:rsidR="00706529" w:rsidRPr="0038442F">
        <w:rPr>
          <w:rFonts w:ascii="Verdana" w:hAnsi="Verdana"/>
          <w:sz w:val="20"/>
          <w:szCs w:val="20"/>
          <w:lang w:val="pt-BR"/>
        </w:rPr>
        <w:t xml:space="preserve">” </w:t>
      </w:r>
      <w:r w:rsidR="004E50C1" w:rsidRPr="0038442F">
        <w:rPr>
          <w:rFonts w:ascii="Verdana" w:hAnsi="Verdana"/>
          <w:sz w:val="20"/>
          <w:szCs w:val="20"/>
          <w:lang w:val="pt-BR"/>
        </w:rPr>
        <w:t>e</w:t>
      </w:r>
      <w:r w:rsidR="00706529" w:rsidRPr="0038442F">
        <w:rPr>
          <w:rFonts w:ascii="Verdana" w:hAnsi="Verdana"/>
          <w:sz w:val="20"/>
          <w:szCs w:val="20"/>
          <w:lang w:val="pt-BR"/>
        </w:rPr>
        <w:t xml:space="preserve">, </w:t>
      </w:r>
      <w:r w:rsidR="00D45B15" w:rsidRPr="0038442F">
        <w:rPr>
          <w:rFonts w:ascii="Verdana" w:hAnsi="Verdana"/>
          <w:sz w:val="20"/>
          <w:szCs w:val="20"/>
          <w:lang w:val="pt-BR"/>
        </w:rPr>
        <w:t xml:space="preserve">pelo </w:t>
      </w:r>
      <w:r w:rsidR="00984A83" w:rsidRPr="0038442F">
        <w:rPr>
          <w:rFonts w:ascii="Verdana" w:hAnsi="Verdana"/>
          <w:sz w:val="20"/>
          <w:szCs w:val="20"/>
          <w:lang w:val="pt-BR"/>
        </w:rPr>
        <w:t>outro</w:t>
      </w:r>
      <w:r w:rsidR="00706529" w:rsidRPr="0038442F">
        <w:rPr>
          <w:rFonts w:ascii="Verdana" w:hAnsi="Verdana"/>
          <w:sz w:val="20"/>
          <w:szCs w:val="20"/>
          <w:lang w:val="pt-BR"/>
        </w:rPr>
        <w:t xml:space="preserve">, </w:t>
      </w:r>
      <w:r w:rsidR="002C789E" w:rsidRPr="0038442F">
        <w:rPr>
          <w:rFonts w:ascii="Verdana" w:hAnsi="Verdana"/>
          <w:sz w:val="20"/>
          <w:szCs w:val="20"/>
          <w:lang w:val="pt-BR"/>
        </w:rPr>
        <w:t xml:space="preserve">a </w:t>
      </w:r>
      <w:r w:rsidR="00706529" w:rsidRPr="0038442F">
        <w:rPr>
          <w:rFonts w:ascii="Verdana" w:hAnsi="Verdana"/>
          <w:sz w:val="20"/>
          <w:szCs w:val="20"/>
          <w:lang w:val="pt-BR"/>
        </w:rPr>
        <w:t xml:space="preserve">“igual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4E50C1" w:rsidRPr="0038442F">
        <w:rPr>
          <w:rFonts w:ascii="Verdana" w:hAnsi="Verdana"/>
          <w:sz w:val="20"/>
          <w:szCs w:val="20"/>
          <w:lang w:val="pt-BR"/>
        </w:rPr>
        <w:t>da lei</w:t>
      </w:r>
      <w:r w:rsidR="00706529" w:rsidRPr="0038442F">
        <w:rPr>
          <w:rFonts w:ascii="Verdana" w:hAnsi="Verdana"/>
          <w:sz w:val="20"/>
          <w:szCs w:val="20"/>
          <w:lang w:val="pt-BR"/>
        </w:rPr>
        <w:t xml:space="preserve">”. Sobre a </w:t>
      </w:r>
      <w:r w:rsidR="00CA30C5" w:rsidRPr="0038442F">
        <w:rPr>
          <w:rFonts w:ascii="Verdana" w:hAnsi="Verdana"/>
          <w:sz w:val="20"/>
          <w:szCs w:val="20"/>
          <w:lang w:val="pt-BR"/>
        </w:rPr>
        <w:t>primeira</w:t>
      </w:r>
      <w:r w:rsidR="004E50C1" w:rsidRPr="0038442F">
        <w:rPr>
          <w:rFonts w:ascii="Verdana" w:hAnsi="Verdana"/>
          <w:sz w:val="20"/>
          <w:szCs w:val="20"/>
          <w:lang w:val="pt-BR"/>
        </w:rPr>
        <w:t xml:space="preserve">, salientou </w:t>
      </w:r>
      <w:r w:rsidR="00706529" w:rsidRPr="0038442F">
        <w:rPr>
          <w:rFonts w:ascii="Verdana" w:hAnsi="Verdana"/>
          <w:sz w:val="20"/>
          <w:szCs w:val="20"/>
          <w:lang w:val="pt-BR"/>
        </w:rPr>
        <w:t>que “[v]</w:t>
      </w:r>
      <w:r w:rsidR="004E50C1" w:rsidRPr="0038442F">
        <w:rPr>
          <w:rFonts w:ascii="Verdana" w:hAnsi="Verdana"/>
          <w:sz w:val="20"/>
          <w:szCs w:val="20"/>
          <w:lang w:val="pt-BR"/>
        </w:rPr>
        <w:t>á</w:t>
      </w:r>
      <w:r w:rsidR="00706529" w:rsidRPr="0038442F">
        <w:rPr>
          <w:rFonts w:ascii="Verdana" w:hAnsi="Verdana"/>
          <w:sz w:val="20"/>
          <w:szCs w:val="20"/>
          <w:lang w:val="pt-BR"/>
        </w:rPr>
        <w:t>rios tratados internacion</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 </w:t>
      </w:r>
      <w:r w:rsidR="000A1AA8" w:rsidRPr="0038442F">
        <w:rPr>
          <w:rFonts w:ascii="Verdana" w:hAnsi="Verdana"/>
          <w:sz w:val="20"/>
          <w:szCs w:val="20"/>
          <w:lang w:val="pt-BR"/>
        </w:rPr>
        <w:t>direitos</w:t>
      </w:r>
      <w:r w:rsidR="00407242" w:rsidRPr="0038442F">
        <w:rPr>
          <w:rFonts w:ascii="Verdana" w:hAnsi="Verdana"/>
          <w:sz w:val="20"/>
          <w:szCs w:val="20"/>
          <w:lang w:val="pt-BR"/>
        </w:rPr>
        <w:t xml:space="preserve"> </w:t>
      </w:r>
      <w:r w:rsidR="00706529" w:rsidRPr="0038442F">
        <w:rPr>
          <w:rFonts w:ascii="Verdana" w:hAnsi="Verdana"/>
          <w:sz w:val="20"/>
          <w:szCs w:val="20"/>
          <w:lang w:val="pt-BR"/>
        </w:rPr>
        <w:t>humanos cont</w:t>
      </w:r>
      <w:r w:rsidR="004E50C1" w:rsidRPr="0038442F">
        <w:rPr>
          <w:rFonts w:ascii="Verdana" w:hAnsi="Verdana"/>
          <w:sz w:val="20"/>
          <w:szCs w:val="20"/>
          <w:lang w:val="pt-BR"/>
        </w:rPr>
        <w:t xml:space="preserve">êm a expressão </w:t>
      </w:r>
      <w:r w:rsidR="00706529" w:rsidRPr="0038442F">
        <w:rPr>
          <w:rFonts w:ascii="Verdana" w:hAnsi="Verdana"/>
          <w:sz w:val="20"/>
          <w:szCs w:val="20"/>
          <w:lang w:val="pt-BR"/>
        </w:rPr>
        <w:t>“</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4E50C1" w:rsidRPr="0038442F">
        <w:rPr>
          <w:rFonts w:ascii="Verdana" w:hAnsi="Verdana"/>
          <w:sz w:val="20"/>
          <w:szCs w:val="20"/>
          <w:lang w:val="pt-BR"/>
        </w:rPr>
        <w:t>per</w:t>
      </w:r>
      <w:r w:rsidR="00706529" w:rsidRPr="0038442F">
        <w:rPr>
          <w:rFonts w:ascii="Verdana" w:hAnsi="Verdana"/>
          <w:sz w:val="20"/>
          <w:szCs w:val="20"/>
          <w:lang w:val="pt-BR"/>
        </w:rPr>
        <w:t>ante a</w:t>
      </w:r>
      <w:r w:rsidR="004E50C1" w:rsidRPr="0038442F">
        <w:rPr>
          <w:rFonts w:ascii="Verdana" w:hAnsi="Verdana"/>
          <w:sz w:val="20"/>
          <w:szCs w:val="20"/>
          <w:lang w:val="pt-BR"/>
        </w:rPr>
        <w:t xml:space="preserve"> </w:t>
      </w:r>
      <w:r w:rsidR="00751189" w:rsidRPr="0038442F">
        <w:rPr>
          <w:rFonts w:ascii="Verdana" w:hAnsi="Verdana"/>
          <w:sz w:val="20"/>
          <w:szCs w:val="20"/>
          <w:lang w:val="pt-BR"/>
        </w:rPr>
        <w:t>lei</w:t>
      </w:r>
      <w:r w:rsidR="00706529" w:rsidRPr="0038442F">
        <w:rPr>
          <w:rFonts w:ascii="Verdana" w:hAnsi="Verdana"/>
          <w:sz w:val="20"/>
          <w:szCs w:val="20"/>
          <w:lang w:val="pt-BR"/>
        </w:rPr>
        <w:t>”, que descr</w:t>
      </w:r>
      <w:r w:rsidR="004E50C1" w:rsidRPr="0038442F">
        <w:rPr>
          <w:rFonts w:ascii="Verdana" w:hAnsi="Verdana"/>
          <w:sz w:val="20"/>
          <w:szCs w:val="20"/>
          <w:lang w:val="pt-BR"/>
        </w:rPr>
        <w:t xml:space="preserve">eve 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92762" w:rsidRPr="0038442F">
        <w:rPr>
          <w:rFonts w:ascii="Verdana" w:hAnsi="Verdana"/>
          <w:sz w:val="20"/>
          <w:szCs w:val="20"/>
          <w:lang w:val="pt-BR"/>
        </w:rPr>
        <w:t>das pessoas</w:t>
      </w:r>
      <w:r w:rsidR="00407242" w:rsidRPr="0038442F">
        <w:rPr>
          <w:rFonts w:ascii="Verdana" w:hAnsi="Verdana"/>
          <w:sz w:val="20"/>
          <w:szCs w:val="20"/>
          <w:lang w:val="pt-BR"/>
        </w:rPr>
        <w:t xml:space="preserve"> </w:t>
      </w:r>
      <w:r w:rsidR="004E50C1" w:rsidRPr="0038442F">
        <w:rPr>
          <w:rFonts w:ascii="Verdana" w:hAnsi="Verdana"/>
          <w:sz w:val="20"/>
          <w:szCs w:val="20"/>
          <w:lang w:val="pt-BR"/>
        </w:rPr>
        <w:t xml:space="preserve">à </w:t>
      </w:r>
      <w:r w:rsidR="009612FB" w:rsidRPr="0038442F">
        <w:rPr>
          <w:rFonts w:ascii="Verdana" w:hAnsi="Verdana"/>
          <w:sz w:val="20"/>
          <w:szCs w:val="20"/>
          <w:lang w:val="pt-BR"/>
        </w:rPr>
        <w:t xml:space="preserve">igualdade </w:t>
      </w:r>
      <w:r w:rsidR="00706529" w:rsidRPr="0038442F">
        <w:rPr>
          <w:rFonts w:ascii="Verdana" w:hAnsi="Verdana"/>
          <w:sz w:val="20"/>
          <w:szCs w:val="20"/>
          <w:lang w:val="pt-BR"/>
        </w:rPr>
        <w:t>de trat</w:t>
      </w:r>
      <w:r w:rsidR="004E50C1" w:rsidRPr="0038442F">
        <w:rPr>
          <w:rFonts w:ascii="Verdana" w:hAnsi="Verdana"/>
          <w:sz w:val="20"/>
          <w:szCs w:val="20"/>
          <w:lang w:val="pt-BR"/>
        </w:rPr>
        <w:t>ament</w:t>
      </w:r>
      <w:r w:rsidR="00706529" w:rsidRPr="0038442F">
        <w:rPr>
          <w:rFonts w:ascii="Verdana" w:hAnsi="Verdana"/>
          <w:sz w:val="20"/>
          <w:szCs w:val="20"/>
          <w:lang w:val="pt-BR"/>
        </w:rPr>
        <w:t xml:space="preserve">o </w:t>
      </w:r>
      <w:r w:rsidR="00870F62">
        <w:rPr>
          <w:rFonts w:ascii="Verdana" w:hAnsi="Verdana"/>
          <w:sz w:val="20"/>
          <w:szCs w:val="20"/>
          <w:lang w:val="pt-BR"/>
        </w:rPr>
        <w:t>por</w:t>
      </w:r>
      <w:r w:rsidR="00870F62" w:rsidRPr="0038442F">
        <w:rPr>
          <w:rFonts w:ascii="Verdana" w:hAnsi="Verdana"/>
          <w:sz w:val="20"/>
          <w:szCs w:val="20"/>
          <w:lang w:val="pt-BR"/>
        </w:rPr>
        <w:t xml:space="preserve"> </w:t>
      </w:r>
      <w:r w:rsidR="004E50C1" w:rsidRPr="0038442F">
        <w:rPr>
          <w:rFonts w:ascii="Verdana" w:hAnsi="Verdana"/>
          <w:sz w:val="20"/>
          <w:szCs w:val="20"/>
          <w:lang w:val="pt-BR"/>
        </w:rPr>
        <w:t xml:space="preserve">lei e também </w:t>
      </w:r>
      <w:r w:rsidR="00BF7A10" w:rsidRPr="0038442F">
        <w:rPr>
          <w:rFonts w:ascii="Verdana" w:hAnsi="Verdana"/>
          <w:sz w:val="20"/>
          <w:szCs w:val="20"/>
          <w:lang w:val="pt-BR"/>
        </w:rPr>
        <w:t xml:space="preserve">na </w:t>
      </w:r>
      <w:r w:rsidR="00706529" w:rsidRPr="0038442F">
        <w:rPr>
          <w:rFonts w:ascii="Verdana" w:hAnsi="Verdana"/>
          <w:sz w:val="20"/>
          <w:szCs w:val="20"/>
          <w:lang w:val="pt-BR"/>
        </w:rPr>
        <w:t>aplica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751189" w:rsidRPr="0038442F">
        <w:rPr>
          <w:rFonts w:ascii="Verdana" w:hAnsi="Verdana"/>
          <w:sz w:val="20"/>
          <w:szCs w:val="20"/>
          <w:lang w:val="pt-BR"/>
        </w:rPr>
        <w:t>lei</w:t>
      </w:r>
      <w:r w:rsidR="00706529" w:rsidRPr="0038442F">
        <w:rPr>
          <w:rFonts w:ascii="Verdana" w:hAnsi="Verdana"/>
          <w:sz w:val="20"/>
          <w:szCs w:val="20"/>
          <w:lang w:val="pt-BR"/>
        </w:rPr>
        <w:t xml:space="preserve">, como </w:t>
      </w:r>
      <w:r w:rsidR="00246A73" w:rsidRPr="0038442F">
        <w:rPr>
          <w:rFonts w:ascii="Verdana" w:hAnsi="Verdana"/>
          <w:sz w:val="20"/>
          <w:szCs w:val="20"/>
          <w:lang w:val="pt-BR"/>
        </w:rPr>
        <w:t>âmbito</w:t>
      </w:r>
      <w:r w:rsidR="00706529" w:rsidRPr="0038442F">
        <w:rPr>
          <w:rFonts w:ascii="Verdana" w:hAnsi="Verdana"/>
          <w:sz w:val="20"/>
          <w:szCs w:val="20"/>
          <w:lang w:val="pt-BR"/>
        </w:rPr>
        <w:t>”</w:t>
      </w:r>
      <w:r w:rsidR="004E50C1" w:rsidRPr="0038442F">
        <w:rPr>
          <w:rFonts w:ascii="Verdana" w:hAnsi="Verdana"/>
          <w:sz w:val="20"/>
          <w:szCs w:val="20"/>
          <w:lang w:val="pt-BR"/>
        </w:rPr>
        <w:t>.</w:t>
      </w:r>
      <w:r w:rsidR="00706529" w:rsidRPr="0038442F">
        <w:rPr>
          <w:rStyle w:val="Refdenotaalpie"/>
          <w:rFonts w:ascii="Verdana" w:hAnsi="Verdana"/>
          <w:sz w:val="20"/>
          <w:szCs w:val="20"/>
          <w:lang w:val="pt-BR"/>
        </w:rPr>
        <w:footnoteReference w:id="122"/>
      </w:r>
      <w:r w:rsidR="00706529" w:rsidRPr="0038442F">
        <w:rPr>
          <w:rFonts w:ascii="Verdana" w:hAnsi="Verdana"/>
          <w:sz w:val="20"/>
          <w:szCs w:val="20"/>
          <w:lang w:val="pt-BR"/>
        </w:rPr>
        <w:t xml:space="preserve"> Por </w:t>
      </w:r>
      <w:r w:rsidR="00984A83" w:rsidRPr="0038442F">
        <w:rPr>
          <w:rFonts w:ascii="Verdana" w:hAnsi="Verdana"/>
          <w:sz w:val="20"/>
          <w:szCs w:val="20"/>
          <w:lang w:val="pt-BR"/>
        </w:rPr>
        <w:t>outro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lado, </w:t>
      </w:r>
      <w:r w:rsidR="002C789E" w:rsidRPr="0038442F">
        <w:rPr>
          <w:rFonts w:ascii="Verdana" w:hAnsi="Verdana"/>
          <w:sz w:val="20"/>
          <w:szCs w:val="20"/>
          <w:lang w:val="pt-BR"/>
        </w:rPr>
        <w:t>exp</w:t>
      </w:r>
      <w:r w:rsidR="00870F62">
        <w:rPr>
          <w:rFonts w:ascii="Verdana" w:hAnsi="Verdana"/>
          <w:sz w:val="20"/>
          <w:szCs w:val="20"/>
          <w:lang w:val="pt-BR"/>
        </w:rPr>
        <w:t>ressou</w:t>
      </w:r>
      <w:r w:rsidR="004E50C1" w:rsidRPr="0038442F">
        <w:rPr>
          <w:rFonts w:ascii="Verdana" w:hAnsi="Verdana"/>
          <w:sz w:val="20"/>
          <w:szCs w:val="20"/>
          <w:lang w:val="pt-BR"/>
        </w:rPr>
        <w:t xml:space="preserve"> </w:t>
      </w:r>
      <w:r w:rsidR="00706529" w:rsidRPr="0038442F">
        <w:rPr>
          <w:rFonts w:ascii="Verdana" w:hAnsi="Verdana"/>
          <w:sz w:val="20"/>
          <w:szCs w:val="20"/>
          <w:lang w:val="pt-BR"/>
        </w:rPr>
        <w:t xml:space="preserve">que: </w:t>
      </w:r>
    </w:p>
    <w:p w14:paraId="58CA9E56" w14:textId="77777777" w:rsidR="00706529" w:rsidRPr="0038442F" w:rsidRDefault="00706529" w:rsidP="00A857CB">
      <w:pPr>
        <w:pStyle w:val="Prrafodelista"/>
        <w:spacing w:line="240" w:lineRule="auto"/>
        <w:rPr>
          <w:rFonts w:ascii="Verdana" w:hAnsi="Verdana"/>
          <w:i/>
          <w:iCs/>
          <w:sz w:val="20"/>
          <w:szCs w:val="20"/>
          <w:lang w:val="pt-BR"/>
        </w:rPr>
      </w:pPr>
    </w:p>
    <w:p w14:paraId="70292986" w14:textId="36814B86" w:rsidR="00706529" w:rsidRPr="0038442F" w:rsidRDefault="00706529" w:rsidP="00A857CB">
      <w:pPr>
        <w:pStyle w:val="Prrafodelista"/>
        <w:spacing w:line="240" w:lineRule="auto"/>
        <w:ind w:left="708" w:right="615"/>
        <w:jc w:val="both"/>
        <w:rPr>
          <w:rFonts w:ascii="Verdana" w:hAnsi="Verdana"/>
          <w:i/>
          <w:iCs/>
          <w:sz w:val="16"/>
          <w:szCs w:val="16"/>
          <w:lang w:val="pt-BR"/>
        </w:rPr>
      </w:pPr>
      <w:r w:rsidRPr="0038442F">
        <w:rPr>
          <w:rFonts w:ascii="Verdana" w:hAnsi="Verdana"/>
          <w:sz w:val="16"/>
          <w:szCs w:val="16"/>
          <w:lang w:val="pt-BR"/>
        </w:rPr>
        <w:t xml:space="preserve">16. […] </w:t>
      </w:r>
      <w:r w:rsidR="004E50C1" w:rsidRPr="0038442F">
        <w:rPr>
          <w:rFonts w:ascii="Verdana" w:hAnsi="Verdana"/>
          <w:sz w:val="16"/>
          <w:szCs w:val="16"/>
          <w:lang w:val="pt-BR"/>
        </w:rPr>
        <w:t>A</w:t>
      </w:r>
      <w:r w:rsidRPr="0038442F">
        <w:rPr>
          <w:rFonts w:ascii="Verdana" w:hAnsi="Verdana"/>
          <w:sz w:val="16"/>
          <w:szCs w:val="16"/>
          <w:lang w:val="pt-BR"/>
        </w:rPr>
        <w:t xml:space="preserve"> </w:t>
      </w:r>
      <w:r w:rsidR="004E50C1" w:rsidRPr="0038442F">
        <w:rPr>
          <w:rFonts w:ascii="Verdana" w:hAnsi="Verdana"/>
          <w:sz w:val="16"/>
          <w:szCs w:val="16"/>
          <w:lang w:val="pt-BR"/>
        </w:rPr>
        <w:t>expressão</w:t>
      </w:r>
      <w:r w:rsidRPr="0038442F">
        <w:rPr>
          <w:rFonts w:ascii="Verdana" w:hAnsi="Verdana"/>
          <w:sz w:val="16"/>
          <w:szCs w:val="16"/>
          <w:lang w:val="pt-BR"/>
        </w:rPr>
        <w:t xml:space="preserve"> “igual </w:t>
      </w:r>
      <w:r w:rsidR="00751189" w:rsidRPr="0038442F">
        <w:rPr>
          <w:rFonts w:ascii="Verdana" w:hAnsi="Verdana"/>
          <w:sz w:val="16"/>
          <w:szCs w:val="16"/>
          <w:lang w:val="pt-BR"/>
        </w:rPr>
        <w:t>proteção</w:t>
      </w:r>
      <w:r w:rsidR="00407242" w:rsidRPr="0038442F">
        <w:rPr>
          <w:rFonts w:ascii="Verdana" w:hAnsi="Verdana"/>
          <w:sz w:val="16"/>
          <w:szCs w:val="16"/>
          <w:lang w:val="pt-BR"/>
        </w:rPr>
        <w:t xml:space="preserve"> </w:t>
      </w:r>
      <w:r w:rsidR="004E50C1" w:rsidRPr="0038442F">
        <w:rPr>
          <w:rFonts w:ascii="Verdana" w:hAnsi="Verdana"/>
          <w:sz w:val="16"/>
          <w:szCs w:val="16"/>
          <w:lang w:val="pt-BR"/>
        </w:rPr>
        <w:t>da lei</w:t>
      </w:r>
      <w:r w:rsidRPr="0038442F">
        <w:rPr>
          <w:rFonts w:ascii="Verdana" w:hAnsi="Verdana"/>
          <w:sz w:val="16"/>
          <w:szCs w:val="16"/>
          <w:lang w:val="pt-BR"/>
        </w:rPr>
        <w:t xml:space="preserve">” </w:t>
      </w:r>
      <w:r w:rsidR="004E50C1" w:rsidRPr="0038442F">
        <w:rPr>
          <w:rFonts w:ascii="Verdana" w:hAnsi="Verdana"/>
          <w:sz w:val="16"/>
          <w:szCs w:val="16"/>
          <w:lang w:val="pt-BR"/>
        </w:rPr>
        <w:t xml:space="preserve">é bem conhecida </w:t>
      </w:r>
      <w:r w:rsidR="00751189" w:rsidRPr="0038442F">
        <w:rPr>
          <w:rFonts w:ascii="Verdana" w:hAnsi="Verdana"/>
          <w:sz w:val="16"/>
          <w:szCs w:val="16"/>
          <w:lang w:val="pt-BR"/>
        </w:rPr>
        <w:t xml:space="preserve">no </w:t>
      </w:r>
      <w:r w:rsidR="00CA30C5" w:rsidRPr="0038442F">
        <w:rPr>
          <w:rFonts w:ascii="Verdana" w:hAnsi="Verdana"/>
          <w:sz w:val="16"/>
          <w:szCs w:val="16"/>
          <w:lang w:val="pt-BR"/>
        </w:rPr>
        <w:t>direito</w:t>
      </w:r>
      <w:r w:rsidR="00407242" w:rsidRPr="0038442F">
        <w:rPr>
          <w:rFonts w:ascii="Verdana" w:hAnsi="Verdana"/>
          <w:sz w:val="16"/>
          <w:szCs w:val="16"/>
          <w:lang w:val="pt-BR"/>
        </w:rPr>
        <w:t xml:space="preserve"> </w:t>
      </w:r>
      <w:r w:rsidRPr="0038442F">
        <w:rPr>
          <w:rFonts w:ascii="Verdana" w:hAnsi="Verdana"/>
          <w:sz w:val="16"/>
          <w:szCs w:val="16"/>
          <w:lang w:val="pt-BR"/>
        </w:rPr>
        <w:t xml:space="preserve">internacional </w:t>
      </w:r>
      <w:r w:rsidR="00C92762" w:rsidRPr="0038442F">
        <w:rPr>
          <w:rFonts w:ascii="Verdana" w:hAnsi="Verdana"/>
          <w:sz w:val="16"/>
          <w:szCs w:val="16"/>
          <w:lang w:val="pt-BR"/>
        </w:rPr>
        <w:t xml:space="preserve">dos </w:t>
      </w:r>
      <w:r w:rsidRPr="0038442F">
        <w:rPr>
          <w:rFonts w:ascii="Verdana" w:hAnsi="Verdana"/>
          <w:sz w:val="16"/>
          <w:szCs w:val="16"/>
          <w:lang w:val="pt-BR"/>
        </w:rPr>
        <w:t xml:space="preserve">tratados de </w:t>
      </w:r>
      <w:r w:rsidR="000A1AA8" w:rsidRPr="0038442F">
        <w:rPr>
          <w:rFonts w:ascii="Verdana" w:hAnsi="Verdana"/>
          <w:sz w:val="16"/>
          <w:szCs w:val="16"/>
          <w:lang w:val="pt-BR"/>
        </w:rPr>
        <w:t>direitos</w:t>
      </w:r>
      <w:r w:rsidR="00407242" w:rsidRPr="0038442F">
        <w:rPr>
          <w:rFonts w:ascii="Verdana" w:hAnsi="Verdana"/>
          <w:sz w:val="16"/>
          <w:szCs w:val="16"/>
          <w:lang w:val="pt-BR"/>
        </w:rPr>
        <w:t xml:space="preserve"> </w:t>
      </w:r>
      <w:r w:rsidRPr="0038442F">
        <w:rPr>
          <w:rFonts w:ascii="Verdana" w:hAnsi="Verdana"/>
          <w:sz w:val="16"/>
          <w:szCs w:val="16"/>
          <w:lang w:val="pt-BR"/>
        </w:rPr>
        <w:t xml:space="preserve">humanos </w:t>
      </w:r>
      <w:r w:rsidR="004E50C1" w:rsidRPr="0038442F">
        <w:rPr>
          <w:rFonts w:ascii="Verdana" w:hAnsi="Verdana"/>
          <w:sz w:val="16"/>
          <w:szCs w:val="16"/>
          <w:lang w:val="pt-BR"/>
        </w:rPr>
        <w:t>e</w:t>
      </w:r>
      <w:r w:rsidRPr="0038442F">
        <w:rPr>
          <w:rFonts w:ascii="Verdana" w:hAnsi="Verdana"/>
          <w:sz w:val="16"/>
          <w:szCs w:val="16"/>
          <w:lang w:val="pt-BR"/>
        </w:rPr>
        <w:t xml:space="preserve"> </w:t>
      </w:r>
      <w:r w:rsidR="004E50C1" w:rsidRPr="0038442F">
        <w:rPr>
          <w:rFonts w:ascii="Verdana" w:hAnsi="Verdana"/>
          <w:sz w:val="16"/>
          <w:szCs w:val="16"/>
          <w:lang w:val="pt-BR"/>
        </w:rPr>
        <w:t xml:space="preserve">é utilizada </w:t>
      </w:r>
      <w:r w:rsidRPr="0038442F">
        <w:rPr>
          <w:rFonts w:ascii="Verdana" w:hAnsi="Verdana"/>
          <w:sz w:val="16"/>
          <w:szCs w:val="16"/>
          <w:lang w:val="pt-BR"/>
        </w:rPr>
        <w:t xml:space="preserve">para exigir que os </w:t>
      </w:r>
      <w:r w:rsidR="005135E5" w:rsidRPr="0038442F">
        <w:rPr>
          <w:rFonts w:ascii="Verdana" w:hAnsi="Verdana"/>
          <w:sz w:val="16"/>
          <w:szCs w:val="16"/>
          <w:lang w:val="pt-BR"/>
        </w:rPr>
        <w:t>órgãos</w:t>
      </w:r>
      <w:r w:rsidR="00407242" w:rsidRPr="0038442F">
        <w:rPr>
          <w:rFonts w:ascii="Verdana" w:hAnsi="Verdana"/>
          <w:sz w:val="16"/>
          <w:szCs w:val="16"/>
          <w:lang w:val="pt-BR"/>
        </w:rPr>
        <w:t xml:space="preserve"> </w:t>
      </w:r>
      <w:r w:rsidRPr="0038442F">
        <w:rPr>
          <w:rFonts w:ascii="Verdana" w:hAnsi="Verdana"/>
          <w:sz w:val="16"/>
          <w:szCs w:val="16"/>
          <w:lang w:val="pt-BR"/>
        </w:rPr>
        <w:t>legislativos nacion</w:t>
      </w:r>
      <w:r w:rsidR="00C92762" w:rsidRPr="0038442F">
        <w:rPr>
          <w:rFonts w:ascii="Verdana" w:hAnsi="Verdana"/>
          <w:sz w:val="16"/>
          <w:szCs w:val="16"/>
          <w:lang w:val="pt-BR"/>
        </w:rPr>
        <w:t>ais</w:t>
      </w:r>
      <w:r w:rsidR="00407242" w:rsidRPr="0038442F">
        <w:rPr>
          <w:rFonts w:ascii="Verdana" w:hAnsi="Verdana"/>
          <w:sz w:val="16"/>
          <w:szCs w:val="16"/>
          <w:lang w:val="pt-BR"/>
        </w:rPr>
        <w:t xml:space="preserve"> </w:t>
      </w:r>
      <w:r w:rsidRPr="0038442F">
        <w:rPr>
          <w:rFonts w:ascii="Verdana" w:hAnsi="Verdana"/>
          <w:sz w:val="16"/>
          <w:szCs w:val="16"/>
          <w:lang w:val="pt-BR"/>
        </w:rPr>
        <w:t>se absten</w:t>
      </w:r>
      <w:r w:rsidR="004E50C1" w:rsidRPr="0038442F">
        <w:rPr>
          <w:rFonts w:ascii="Verdana" w:hAnsi="Verdana"/>
          <w:sz w:val="16"/>
          <w:szCs w:val="16"/>
          <w:lang w:val="pt-BR"/>
        </w:rPr>
        <w:t xml:space="preserve">ham </w:t>
      </w:r>
      <w:r w:rsidRPr="0038442F">
        <w:rPr>
          <w:rFonts w:ascii="Verdana" w:hAnsi="Verdana"/>
          <w:sz w:val="16"/>
          <w:szCs w:val="16"/>
          <w:lang w:val="pt-BR"/>
        </w:rPr>
        <w:t>de manter o</w:t>
      </w:r>
      <w:r w:rsidR="004E50C1" w:rsidRPr="0038442F">
        <w:rPr>
          <w:rFonts w:ascii="Verdana" w:hAnsi="Verdana"/>
          <w:sz w:val="16"/>
          <w:szCs w:val="16"/>
          <w:lang w:val="pt-BR"/>
        </w:rPr>
        <w:t>u</w:t>
      </w:r>
      <w:r w:rsidRPr="0038442F">
        <w:rPr>
          <w:rFonts w:ascii="Verdana" w:hAnsi="Verdana"/>
          <w:sz w:val="16"/>
          <w:szCs w:val="16"/>
          <w:lang w:val="pt-BR"/>
        </w:rPr>
        <w:t xml:space="preserve"> gerar discrimina</w:t>
      </w:r>
      <w:r w:rsidR="000A1AA8" w:rsidRPr="0038442F">
        <w:rPr>
          <w:rFonts w:ascii="Verdana" w:hAnsi="Verdana"/>
          <w:sz w:val="16"/>
          <w:szCs w:val="16"/>
          <w:lang w:val="pt-BR"/>
        </w:rPr>
        <w:t>ção</w:t>
      </w:r>
      <w:r w:rsidRPr="0038442F">
        <w:rPr>
          <w:rFonts w:ascii="Verdana" w:hAnsi="Verdana"/>
          <w:sz w:val="16"/>
          <w:szCs w:val="16"/>
          <w:lang w:val="pt-BR"/>
        </w:rPr>
        <w:t xml:space="preserve"> contra </w:t>
      </w:r>
      <w:r w:rsidR="00BF7A10" w:rsidRPr="0038442F">
        <w:rPr>
          <w:rFonts w:ascii="Verdana" w:hAnsi="Verdana"/>
          <w:sz w:val="16"/>
          <w:szCs w:val="16"/>
          <w:lang w:val="pt-BR"/>
        </w:rPr>
        <w:t xml:space="preserve">as pessoas </w:t>
      </w:r>
      <w:r w:rsidR="0052100C" w:rsidRPr="0038442F">
        <w:rPr>
          <w:rFonts w:ascii="Verdana" w:hAnsi="Verdana"/>
          <w:sz w:val="16"/>
          <w:szCs w:val="16"/>
          <w:lang w:val="pt-BR"/>
        </w:rPr>
        <w:t xml:space="preserve">[…] </w:t>
      </w:r>
      <w:r w:rsidRPr="0038442F">
        <w:rPr>
          <w:rFonts w:ascii="Verdana" w:hAnsi="Verdana"/>
          <w:sz w:val="16"/>
          <w:szCs w:val="16"/>
          <w:lang w:val="pt-BR"/>
        </w:rPr>
        <w:t>a</w:t>
      </w:r>
      <w:r w:rsidR="004E50C1" w:rsidRPr="0038442F">
        <w:rPr>
          <w:rFonts w:ascii="Verdana" w:hAnsi="Verdana"/>
          <w:sz w:val="16"/>
          <w:szCs w:val="16"/>
          <w:lang w:val="pt-BR"/>
        </w:rPr>
        <w:t>o</w:t>
      </w:r>
      <w:r w:rsidRPr="0038442F">
        <w:rPr>
          <w:rFonts w:ascii="Verdana" w:hAnsi="Verdana"/>
          <w:sz w:val="16"/>
          <w:szCs w:val="16"/>
          <w:lang w:val="pt-BR"/>
        </w:rPr>
        <w:t xml:space="preserve"> promulgar </w:t>
      </w:r>
      <w:r w:rsidR="00A97590" w:rsidRPr="0038442F">
        <w:rPr>
          <w:rFonts w:ascii="Verdana" w:hAnsi="Verdana"/>
          <w:sz w:val="16"/>
          <w:szCs w:val="16"/>
          <w:lang w:val="pt-BR"/>
        </w:rPr>
        <w:t>leis</w:t>
      </w:r>
      <w:r w:rsidR="00407242" w:rsidRPr="0038442F">
        <w:rPr>
          <w:rFonts w:ascii="Verdana" w:hAnsi="Verdana"/>
          <w:sz w:val="16"/>
          <w:szCs w:val="16"/>
          <w:lang w:val="pt-BR"/>
        </w:rPr>
        <w:t xml:space="preserve"> </w:t>
      </w:r>
      <w:r w:rsidR="004E50C1" w:rsidRPr="0038442F">
        <w:rPr>
          <w:rFonts w:ascii="Verdana" w:hAnsi="Verdana"/>
          <w:sz w:val="16"/>
          <w:szCs w:val="16"/>
          <w:lang w:val="pt-BR"/>
        </w:rPr>
        <w:t>e</w:t>
      </w:r>
      <w:r w:rsidRPr="0038442F">
        <w:rPr>
          <w:rFonts w:ascii="Verdana" w:hAnsi="Verdana"/>
          <w:sz w:val="16"/>
          <w:szCs w:val="16"/>
          <w:lang w:val="pt-BR"/>
        </w:rPr>
        <w:t xml:space="preserve"> formular políticas.</w:t>
      </w:r>
      <w:r w:rsidR="0082271F" w:rsidRPr="0038442F">
        <w:rPr>
          <w:rFonts w:ascii="Verdana" w:hAnsi="Verdana"/>
          <w:sz w:val="16"/>
          <w:szCs w:val="16"/>
          <w:lang w:val="pt-BR"/>
        </w:rPr>
        <w:t xml:space="preserve"> </w:t>
      </w:r>
      <w:r w:rsidR="00247F19" w:rsidRPr="0038442F">
        <w:rPr>
          <w:rFonts w:ascii="Verdana" w:hAnsi="Verdana"/>
          <w:sz w:val="16"/>
          <w:szCs w:val="16"/>
          <w:lang w:val="pt-BR"/>
        </w:rPr>
        <w:t xml:space="preserve">Ao ler o artigo 5 em conjunção [com outros artigos da Convenção sobre os Direitos das Pessoas com Deficiência], </w:t>
      </w:r>
      <w:r w:rsidR="00247F19" w:rsidRPr="0038442F">
        <w:rPr>
          <w:rFonts w:ascii="Verdana" w:hAnsi="Verdana"/>
          <w:sz w:val="16"/>
          <w:szCs w:val="16"/>
          <w:u w:val="single"/>
          <w:lang w:val="pt-BR"/>
        </w:rPr>
        <w:t xml:space="preserve">fica evidente que os Estados Partes devem adotar </w:t>
      </w:r>
      <w:r w:rsidR="00247F19" w:rsidRPr="0038442F">
        <w:rPr>
          <w:rFonts w:ascii="Verdana" w:hAnsi="Verdana"/>
          <w:i/>
          <w:sz w:val="16"/>
          <w:szCs w:val="16"/>
          <w:u w:val="single"/>
          <w:lang w:val="pt-BR"/>
        </w:rPr>
        <w:t>medidas positivas</w:t>
      </w:r>
      <w:r w:rsidR="00247F19" w:rsidRPr="0038442F">
        <w:rPr>
          <w:rFonts w:ascii="Verdana" w:hAnsi="Verdana"/>
          <w:sz w:val="16"/>
          <w:szCs w:val="16"/>
          <w:u w:val="single"/>
          <w:lang w:val="pt-BR"/>
        </w:rPr>
        <w:t xml:space="preserve"> para facilitar que as pessoas […] desfrutem em igualdade de condições dos direitos garantidos na legislação.</w:t>
      </w:r>
      <w:r w:rsidRPr="0038442F">
        <w:rPr>
          <w:rFonts w:ascii="Verdana" w:hAnsi="Verdana"/>
          <w:sz w:val="16"/>
          <w:szCs w:val="16"/>
          <w:u w:val="single"/>
          <w:lang w:val="pt-BR"/>
        </w:rPr>
        <w:t xml:space="preserve"> […]</w:t>
      </w:r>
      <w:r w:rsidRPr="0038442F">
        <w:rPr>
          <w:rStyle w:val="Refdenotaalpie"/>
          <w:rFonts w:ascii="Verdana" w:hAnsi="Verdana"/>
          <w:sz w:val="16"/>
          <w:szCs w:val="16"/>
          <w:lang w:val="pt-BR"/>
        </w:rPr>
        <w:footnoteReference w:id="123"/>
      </w:r>
      <w:r w:rsidR="0082271F" w:rsidRPr="0038442F">
        <w:rPr>
          <w:rFonts w:ascii="Verdana" w:hAnsi="Verdana"/>
          <w:sz w:val="16"/>
          <w:szCs w:val="16"/>
          <w:lang w:val="pt-BR"/>
        </w:rPr>
        <w:t xml:space="preserve"> (</w:t>
      </w:r>
      <w:r w:rsidR="00F471D7" w:rsidRPr="0038442F">
        <w:rPr>
          <w:rFonts w:ascii="Verdana" w:hAnsi="Verdana"/>
          <w:sz w:val="16"/>
          <w:szCs w:val="16"/>
          <w:lang w:val="pt-BR"/>
        </w:rPr>
        <w:t>grifo nosso</w:t>
      </w:r>
      <w:r w:rsidR="0082271F" w:rsidRPr="0038442F">
        <w:rPr>
          <w:rFonts w:ascii="Verdana" w:hAnsi="Verdana"/>
          <w:sz w:val="16"/>
          <w:szCs w:val="16"/>
          <w:lang w:val="pt-BR"/>
        </w:rPr>
        <w:t>)</w:t>
      </w:r>
      <w:r w:rsidRPr="0038442F">
        <w:rPr>
          <w:rFonts w:ascii="Verdana" w:hAnsi="Verdana"/>
          <w:sz w:val="16"/>
          <w:szCs w:val="16"/>
          <w:lang w:val="pt-BR"/>
        </w:rPr>
        <w:t>.</w:t>
      </w:r>
    </w:p>
    <w:p w14:paraId="762AE32D" w14:textId="16B8B6BF" w:rsidR="00706529" w:rsidRPr="0038442F" w:rsidRDefault="00CC0959" w:rsidP="00A857CB">
      <w:pPr>
        <w:jc w:val="both"/>
        <w:rPr>
          <w:rFonts w:ascii="Verdana" w:hAnsi="Verdana"/>
          <w:sz w:val="20"/>
          <w:szCs w:val="20"/>
          <w:lang w:val="pt-BR"/>
        </w:rPr>
      </w:pPr>
      <w:r w:rsidRPr="0038442F">
        <w:rPr>
          <w:rFonts w:ascii="Verdana" w:hAnsi="Verdana"/>
          <w:sz w:val="20"/>
          <w:szCs w:val="20"/>
          <w:lang w:val="pt-BR"/>
        </w:rPr>
        <w:t>74</w:t>
      </w:r>
      <w:r w:rsidRPr="0038442F">
        <w:rPr>
          <w:rFonts w:ascii="Verdana" w:hAnsi="Verdana"/>
          <w:sz w:val="20"/>
          <w:szCs w:val="20"/>
          <w:lang w:val="pt-BR"/>
        </w:rPr>
        <w:tab/>
      </w:r>
      <w:r w:rsidR="00556A32" w:rsidRPr="0038442F">
        <w:rPr>
          <w:rFonts w:ascii="Verdana" w:hAnsi="Verdana"/>
          <w:sz w:val="20"/>
          <w:szCs w:val="20"/>
          <w:lang w:val="pt-BR"/>
        </w:rPr>
        <w:t>As</w:t>
      </w:r>
      <w:r w:rsidR="004E50C1" w:rsidRPr="0038442F">
        <w:rPr>
          <w:rFonts w:ascii="Verdana" w:hAnsi="Verdana"/>
          <w:sz w:val="20"/>
          <w:szCs w:val="20"/>
          <w:lang w:val="pt-BR"/>
        </w:rPr>
        <w:t>sim</w:t>
      </w:r>
      <w:r w:rsidR="00706529" w:rsidRPr="0038442F">
        <w:rPr>
          <w:rFonts w:ascii="Verdana" w:hAnsi="Verdana"/>
          <w:sz w:val="20"/>
          <w:szCs w:val="20"/>
          <w:lang w:val="pt-BR"/>
        </w:rPr>
        <w:t xml:space="preserve">, “a </w:t>
      </w:r>
      <w:r w:rsidR="009612FB" w:rsidRPr="0038442F">
        <w:rPr>
          <w:rFonts w:ascii="Verdana" w:hAnsi="Verdana"/>
          <w:sz w:val="20"/>
          <w:szCs w:val="20"/>
          <w:lang w:val="pt-BR"/>
        </w:rPr>
        <w:t>igual</w:t>
      </w:r>
      <w:r w:rsidR="00407242" w:rsidRPr="0038442F">
        <w:rPr>
          <w:rFonts w:ascii="Verdana" w:hAnsi="Verdana"/>
          <w:sz w:val="20"/>
          <w:szCs w:val="20"/>
          <w:lang w:val="pt-BR"/>
        </w:rPr>
        <w:t xml:space="preserve">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4E50C1" w:rsidRPr="0038442F">
        <w:rPr>
          <w:rFonts w:ascii="Verdana" w:hAnsi="Verdana"/>
          <w:sz w:val="20"/>
          <w:szCs w:val="20"/>
          <w:lang w:val="pt-BR"/>
        </w:rPr>
        <w:t>da lei</w:t>
      </w:r>
      <w:r w:rsidR="00706529" w:rsidRPr="0038442F">
        <w:rPr>
          <w:rFonts w:ascii="Verdana" w:hAnsi="Verdana"/>
          <w:sz w:val="20"/>
          <w:szCs w:val="20"/>
          <w:lang w:val="pt-BR"/>
        </w:rPr>
        <w:t>” estar</w:t>
      </w:r>
      <w:r w:rsidR="004E50C1" w:rsidRPr="0038442F">
        <w:rPr>
          <w:rFonts w:ascii="Verdana" w:hAnsi="Verdana"/>
          <w:sz w:val="20"/>
          <w:szCs w:val="20"/>
          <w:lang w:val="pt-BR"/>
        </w:rPr>
        <w:t>i</w:t>
      </w:r>
      <w:r w:rsidR="00706529" w:rsidRPr="0038442F">
        <w:rPr>
          <w:rFonts w:ascii="Verdana" w:hAnsi="Verdana"/>
          <w:sz w:val="20"/>
          <w:szCs w:val="20"/>
          <w:lang w:val="pt-BR"/>
        </w:rPr>
        <w:t xml:space="preserve">a </w:t>
      </w:r>
      <w:r w:rsidR="004E50C1" w:rsidRPr="0038442F">
        <w:rPr>
          <w:rFonts w:ascii="Verdana" w:hAnsi="Verdana"/>
          <w:sz w:val="20"/>
          <w:szCs w:val="20"/>
          <w:lang w:val="pt-BR"/>
        </w:rPr>
        <w:t xml:space="preserve">voltada para a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 oportunidades </w:t>
      </w:r>
      <w:r w:rsidR="008A684B" w:rsidRPr="0038442F">
        <w:rPr>
          <w:rFonts w:ascii="Verdana" w:hAnsi="Verdana"/>
          <w:sz w:val="20"/>
          <w:szCs w:val="20"/>
          <w:lang w:val="pt-BR"/>
        </w:rPr>
        <w:t>o</w:t>
      </w:r>
      <w:r w:rsidR="004E50C1" w:rsidRPr="0038442F">
        <w:rPr>
          <w:rFonts w:ascii="Verdana" w:hAnsi="Verdana"/>
          <w:sz w:val="20"/>
          <w:szCs w:val="20"/>
          <w:lang w:val="pt-BR"/>
        </w:rPr>
        <w:t>u</w:t>
      </w:r>
      <w:r w:rsidR="008A684B" w:rsidRPr="0038442F">
        <w:rPr>
          <w:rFonts w:ascii="Verdana" w:hAnsi="Verdana"/>
          <w:sz w:val="20"/>
          <w:szCs w:val="20"/>
          <w:lang w:val="pt-BR"/>
        </w:rPr>
        <w:t>,</w:t>
      </w:r>
      <w:r w:rsidR="00706529" w:rsidRPr="0038442F">
        <w:rPr>
          <w:rFonts w:ascii="Verdana" w:hAnsi="Verdana"/>
          <w:sz w:val="20"/>
          <w:szCs w:val="20"/>
          <w:lang w:val="pt-BR"/>
        </w:rPr>
        <w:t xml:space="preserve"> e</w:t>
      </w:r>
      <w:r w:rsidR="004E50C1" w:rsidRPr="0038442F">
        <w:rPr>
          <w:rFonts w:ascii="Verdana" w:hAnsi="Verdana"/>
          <w:sz w:val="20"/>
          <w:szCs w:val="20"/>
          <w:lang w:val="pt-BR"/>
        </w:rPr>
        <w:t>m</w:t>
      </w:r>
      <w:r w:rsidR="00706529" w:rsidRPr="0038442F">
        <w:rPr>
          <w:rFonts w:ascii="Verdana" w:hAnsi="Verdana"/>
          <w:sz w:val="20"/>
          <w:szCs w:val="20"/>
          <w:lang w:val="pt-BR"/>
        </w:rPr>
        <w:t xml:space="preserve"> </w:t>
      </w:r>
      <w:r w:rsidR="006A12FD" w:rsidRPr="0038442F">
        <w:rPr>
          <w:rFonts w:ascii="Verdana" w:hAnsi="Verdana"/>
          <w:sz w:val="20"/>
          <w:szCs w:val="20"/>
          <w:lang w:val="pt-BR"/>
        </w:rPr>
        <w:t>outras</w:t>
      </w:r>
      <w:r w:rsidR="00407242" w:rsidRPr="0038442F">
        <w:rPr>
          <w:rFonts w:ascii="Verdana" w:hAnsi="Verdana"/>
          <w:sz w:val="20"/>
          <w:szCs w:val="20"/>
          <w:lang w:val="pt-BR"/>
        </w:rPr>
        <w:t xml:space="preserve"> </w:t>
      </w:r>
      <w:r w:rsidR="00706529" w:rsidRPr="0038442F">
        <w:rPr>
          <w:rFonts w:ascii="Verdana" w:hAnsi="Verdana"/>
          <w:sz w:val="20"/>
          <w:szCs w:val="20"/>
          <w:lang w:val="pt-BR"/>
        </w:rPr>
        <w:t>pala</w:t>
      </w:r>
      <w:r w:rsidR="004E50C1" w:rsidRPr="0038442F">
        <w:rPr>
          <w:rFonts w:ascii="Verdana" w:hAnsi="Verdana"/>
          <w:sz w:val="20"/>
          <w:szCs w:val="20"/>
          <w:lang w:val="pt-BR"/>
        </w:rPr>
        <w:t>v</w:t>
      </w:r>
      <w:r w:rsidR="00706529" w:rsidRPr="0038442F">
        <w:rPr>
          <w:rFonts w:ascii="Verdana" w:hAnsi="Verdana"/>
          <w:sz w:val="20"/>
          <w:szCs w:val="20"/>
          <w:lang w:val="pt-BR"/>
        </w:rPr>
        <w:t xml:space="preserve">ras, </w:t>
      </w:r>
      <w:r w:rsidR="004E50C1" w:rsidRPr="0038442F">
        <w:rPr>
          <w:rFonts w:ascii="Verdana" w:hAnsi="Verdana"/>
          <w:sz w:val="20"/>
          <w:szCs w:val="20"/>
          <w:lang w:val="pt-BR"/>
        </w:rPr>
        <w:t xml:space="preserve">para </w:t>
      </w:r>
      <w:r w:rsidR="00706529" w:rsidRPr="0038442F">
        <w:rPr>
          <w:rFonts w:ascii="Verdana" w:hAnsi="Verdana"/>
          <w:sz w:val="20"/>
          <w:szCs w:val="20"/>
          <w:lang w:val="pt-BR"/>
        </w:rPr>
        <w:t>a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material”. </w:t>
      </w:r>
    </w:p>
    <w:p w14:paraId="665A2BF5" w14:textId="77777777" w:rsidR="00706529" w:rsidRPr="0038442F" w:rsidRDefault="00706529" w:rsidP="00A857CB">
      <w:pPr>
        <w:jc w:val="both"/>
        <w:rPr>
          <w:rFonts w:ascii="Verdana" w:hAnsi="Verdana"/>
          <w:sz w:val="20"/>
          <w:szCs w:val="20"/>
          <w:lang w:val="pt-BR"/>
        </w:rPr>
      </w:pPr>
    </w:p>
    <w:p w14:paraId="2C554486" w14:textId="5C3D4E3D" w:rsidR="00706529" w:rsidRPr="0038442F" w:rsidRDefault="008A684B" w:rsidP="00315E98">
      <w:pPr>
        <w:ind w:firstLine="709"/>
        <w:jc w:val="both"/>
        <w:rPr>
          <w:rFonts w:ascii="Verdana" w:hAnsi="Verdana" w:cs="Arial"/>
          <w:b/>
          <w:bCs/>
          <w:iCs/>
          <w:sz w:val="20"/>
          <w:szCs w:val="20"/>
          <w:lang w:val="pt-BR"/>
        </w:rPr>
      </w:pPr>
      <w:r w:rsidRPr="0038442F">
        <w:rPr>
          <w:rFonts w:ascii="Verdana" w:hAnsi="Verdana" w:cs="Arial"/>
          <w:b/>
          <w:bCs/>
          <w:iCs/>
          <w:sz w:val="20"/>
          <w:szCs w:val="20"/>
          <w:lang w:val="pt-BR"/>
        </w:rPr>
        <w:t>A</w:t>
      </w:r>
      <w:r w:rsidR="00706529" w:rsidRPr="0038442F">
        <w:rPr>
          <w:rFonts w:ascii="Verdana" w:hAnsi="Verdana" w:cs="Arial"/>
          <w:b/>
          <w:bCs/>
          <w:iCs/>
          <w:sz w:val="20"/>
          <w:szCs w:val="20"/>
          <w:lang w:val="pt-BR"/>
        </w:rPr>
        <w:t>.</w:t>
      </w:r>
      <w:r w:rsidRPr="0038442F">
        <w:rPr>
          <w:rFonts w:ascii="Verdana" w:hAnsi="Verdana" w:cs="Arial"/>
          <w:b/>
          <w:bCs/>
          <w:iCs/>
          <w:sz w:val="20"/>
          <w:szCs w:val="20"/>
          <w:lang w:val="pt-BR"/>
        </w:rPr>
        <w:t>2</w:t>
      </w:r>
      <w:r w:rsidR="00706529" w:rsidRPr="0038442F">
        <w:rPr>
          <w:rFonts w:ascii="Verdana" w:hAnsi="Verdana" w:cs="Arial"/>
          <w:b/>
          <w:bCs/>
          <w:iCs/>
          <w:sz w:val="20"/>
          <w:szCs w:val="20"/>
          <w:lang w:val="pt-BR"/>
        </w:rPr>
        <w:t xml:space="preserve">. Sistema </w:t>
      </w:r>
      <w:r w:rsidR="00DA73B1" w:rsidRPr="0038442F">
        <w:rPr>
          <w:rFonts w:ascii="Verdana" w:hAnsi="Verdana" w:cs="Arial"/>
          <w:b/>
          <w:bCs/>
          <w:iCs/>
          <w:sz w:val="20"/>
          <w:szCs w:val="20"/>
          <w:lang w:val="pt-BR"/>
        </w:rPr>
        <w:t>Europeu</w:t>
      </w:r>
      <w:r w:rsidR="00407242" w:rsidRPr="0038442F">
        <w:rPr>
          <w:rFonts w:ascii="Verdana" w:hAnsi="Verdana" w:cs="Arial"/>
          <w:b/>
          <w:bCs/>
          <w:iCs/>
          <w:sz w:val="20"/>
          <w:szCs w:val="20"/>
          <w:lang w:val="pt-BR"/>
        </w:rPr>
        <w:t xml:space="preserve"> </w:t>
      </w:r>
      <w:r w:rsidR="00706529" w:rsidRPr="0038442F">
        <w:rPr>
          <w:rFonts w:ascii="Verdana" w:hAnsi="Verdana" w:cs="Arial"/>
          <w:b/>
          <w:bCs/>
          <w:iCs/>
          <w:sz w:val="20"/>
          <w:szCs w:val="20"/>
          <w:lang w:val="pt-BR"/>
        </w:rPr>
        <w:t xml:space="preserve">de </w:t>
      </w:r>
      <w:r w:rsidR="00C92762" w:rsidRPr="0038442F">
        <w:rPr>
          <w:rFonts w:ascii="Verdana" w:hAnsi="Verdana" w:cs="Arial"/>
          <w:b/>
          <w:bCs/>
          <w:iCs/>
          <w:sz w:val="20"/>
          <w:szCs w:val="20"/>
          <w:lang w:val="pt-BR"/>
        </w:rPr>
        <w:t>Direitos</w:t>
      </w:r>
      <w:r w:rsidR="00407242" w:rsidRPr="0038442F">
        <w:rPr>
          <w:rFonts w:ascii="Verdana" w:hAnsi="Verdana" w:cs="Arial"/>
          <w:b/>
          <w:bCs/>
          <w:iCs/>
          <w:sz w:val="20"/>
          <w:szCs w:val="20"/>
          <w:lang w:val="pt-BR"/>
        </w:rPr>
        <w:t xml:space="preserve"> </w:t>
      </w:r>
      <w:r w:rsidR="00706529" w:rsidRPr="0038442F">
        <w:rPr>
          <w:rFonts w:ascii="Verdana" w:hAnsi="Verdana" w:cs="Arial"/>
          <w:b/>
          <w:bCs/>
          <w:iCs/>
          <w:sz w:val="20"/>
          <w:szCs w:val="20"/>
          <w:lang w:val="pt-BR"/>
        </w:rPr>
        <w:t xml:space="preserve">Humanos </w:t>
      </w:r>
    </w:p>
    <w:p w14:paraId="5E329F72" w14:textId="77777777" w:rsidR="00315E98" w:rsidRPr="0038442F" w:rsidRDefault="00315E98" w:rsidP="00315E98">
      <w:pPr>
        <w:ind w:firstLine="709"/>
        <w:jc w:val="both"/>
        <w:rPr>
          <w:rFonts w:ascii="Verdana" w:hAnsi="Verdana" w:cs="Arial"/>
          <w:iCs/>
          <w:sz w:val="20"/>
          <w:szCs w:val="20"/>
          <w:lang w:val="pt-BR"/>
        </w:rPr>
      </w:pPr>
    </w:p>
    <w:p w14:paraId="571BBF4A" w14:textId="5882B384" w:rsidR="00706529" w:rsidRPr="0038442F" w:rsidRDefault="00CC0959" w:rsidP="00CC0959">
      <w:pPr>
        <w:jc w:val="both"/>
        <w:rPr>
          <w:rFonts w:ascii="Verdana" w:hAnsi="Verdana" w:cs="Arial"/>
          <w:sz w:val="20"/>
          <w:szCs w:val="20"/>
          <w:shd w:val="clear" w:color="auto" w:fill="FFFFFF"/>
          <w:lang w:val="pt-BR"/>
        </w:rPr>
      </w:pPr>
      <w:r w:rsidRPr="0038442F">
        <w:rPr>
          <w:rFonts w:ascii="Verdana" w:hAnsi="Verdana"/>
          <w:sz w:val="20"/>
          <w:szCs w:val="20"/>
          <w:lang w:val="pt-BR"/>
        </w:rPr>
        <w:t>75.</w:t>
      </w:r>
      <w:r w:rsidRPr="0038442F">
        <w:rPr>
          <w:rFonts w:ascii="Verdana" w:hAnsi="Verdana"/>
          <w:sz w:val="20"/>
          <w:szCs w:val="20"/>
          <w:lang w:val="pt-BR"/>
        </w:rPr>
        <w:tab/>
      </w:r>
      <w:r w:rsidR="004E50C1" w:rsidRPr="0038442F">
        <w:rPr>
          <w:rFonts w:ascii="Verdana" w:hAnsi="Verdana"/>
          <w:sz w:val="20"/>
          <w:szCs w:val="20"/>
          <w:lang w:val="pt-BR"/>
        </w:rPr>
        <w:t xml:space="preserve">A Convenção </w:t>
      </w:r>
      <w:r w:rsidR="00DA73B1" w:rsidRPr="0038442F">
        <w:rPr>
          <w:rFonts w:ascii="Verdana" w:hAnsi="Verdana"/>
          <w:sz w:val="20"/>
          <w:szCs w:val="20"/>
          <w:lang w:val="pt-BR"/>
        </w:rPr>
        <w:t>Europe</w:t>
      </w:r>
      <w:r w:rsidR="004E50C1" w:rsidRPr="0038442F">
        <w:rPr>
          <w:rFonts w:ascii="Verdana" w:hAnsi="Verdana"/>
          <w:sz w:val="20"/>
          <w:szCs w:val="20"/>
          <w:lang w:val="pt-BR"/>
        </w:rPr>
        <w:t>ia</w:t>
      </w:r>
      <w:r w:rsidR="00407242" w:rsidRPr="0038442F">
        <w:rPr>
          <w:rFonts w:ascii="Verdana" w:hAnsi="Verdana"/>
          <w:sz w:val="20"/>
          <w:szCs w:val="20"/>
          <w:lang w:val="pt-BR"/>
        </w:rPr>
        <w:t xml:space="preserve"> </w:t>
      </w:r>
      <w:r w:rsidR="002B3BAA">
        <w:rPr>
          <w:rFonts w:ascii="Verdana" w:hAnsi="Verdana"/>
          <w:sz w:val="20"/>
          <w:szCs w:val="20"/>
          <w:lang w:val="pt-BR"/>
        </w:rPr>
        <w:t>contém</w:t>
      </w:r>
      <w:r w:rsidR="004E50C1" w:rsidRPr="0038442F">
        <w:rPr>
          <w:rFonts w:ascii="Verdana" w:hAnsi="Verdana"/>
          <w:sz w:val="20"/>
          <w:szCs w:val="20"/>
          <w:lang w:val="pt-BR"/>
        </w:rPr>
        <w:t xml:space="preserve">, nos </w:t>
      </w:r>
      <w:r w:rsidR="00BC6FC3" w:rsidRPr="0038442F">
        <w:rPr>
          <w:rFonts w:ascii="Verdana" w:hAnsi="Verdana"/>
          <w:sz w:val="20"/>
          <w:szCs w:val="20"/>
          <w:lang w:val="pt-BR"/>
        </w:rPr>
        <w:t>artigos</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14 </w:t>
      </w:r>
      <w:r w:rsidR="004E50C1" w:rsidRPr="0038442F">
        <w:rPr>
          <w:rFonts w:ascii="Verdana" w:hAnsi="Verdana"/>
          <w:sz w:val="20"/>
          <w:szCs w:val="20"/>
          <w:lang w:val="pt-BR"/>
        </w:rPr>
        <w:t>e</w:t>
      </w:r>
      <w:r w:rsidR="00706529" w:rsidRPr="0038442F">
        <w:rPr>
          <w:rFonts w:ascii="Verdana" w:hAnsi="Verdana"/>
          <w:sz w:val="20"/>
          <w:szCs w:val="20"/>
          <w:lang w:val="pt-BR"/>
        </w:rPr>
        <w:t xml:space="preserve"> 1 d</w:t>
      </w:r>
      <w:r w:rsidR="004E50C1" w:rsidRPr="0038442F">
        <w:rPr>
          <w:rFonts w:ascii="Verdana" w:hAnsi="Verdana"/>
          <w:sz w:val="20"/>
          <w:szCs w:val="20"/>
          <w:lang w:val="pt-BR"/>
        </w:rPr>
        <w:t>o</w:t>
      </w:r>
      <w:r w:rsidR="00706529" w:rsidRPr="0038442F">
        <w:rPr>
          <w:rFonts w:ascii="Verdana" w:hAnsi="Verdana"/>
          <w:sz w:val="20"/>
          <w:szCs w:val="20"/>
          <w:lang w:val="pt-BR"/>
        </w:rPr>
        <w:t xml:space="preserve"> Protocolo Adicional N</w:t>
      </w:r>
      <w:r w:rsidR="00706529" w:rsidRPr="0038442F">
        <w:rPr>
          <w:rFonts w:ascii="Verdana" w:hAnsi="Verdana"/>
          <w:sz w:val="20"/>
          <w:szCs w:val="20"/>
          <w:vertAlign w:val="superscript"/>
          <w:lang w:val="pt-BR"/>
        </w:rPr>
        <w:t>o.</w:t>
      </w:r>
      <w:r w:rsidR="00706529" w:rsidRPr="0038442F">
        <w:rPr>
          <w:rFonts w:ascii="Verdana" w:hAnsi="Verdana"/>
          <w:sz w:val="20"/>
          <w:szCs w:val="20"/>
          <w:lang w:val="pt-BR"/>
        </w:rPr>
        <w:t xml:space="preserve"> 12</w:t>
      </w:r>
      <w:r w:rsidR="004E50C1" w:rsidRPr="0038442F">
        <w:rPr>
          <w:rFonts w:ascii="Verdana" w:hAnsi="Verdana"/>
          <w:sz w:val="20"/>
          <w:szCs w:val="20"/>
          <w:lang w:val="pt-BR"/>
        </w:rPr>
        <w:t>,</w:t>
      </w:r>
      <w:r w:rsidR="00706529" w:rsidRPr="0038442F">
        <w:rPr>
          <w:rStyle w:val="Refdenotaalpie"/>
          <w:rFonts w:ascii="Verdana" w:hAnsi="Verdana"/>
          <w:lang w:val="pt-BR"/>
        </w:rPr>
        <w:footnoteReference w:id="124"/>
      </w:r>
      <w:r w:rsidR="00706529" w:rsidRPr="0038442F">
        <w:rPr>
          <w:rFonts w:ascii="Verdana" w:hAnsi="Verdana"/>
          <w:sz w:val="20"/>
          <w:szCs w:val="20"/>
          <w:lang w:val="pt-BR"/>
        </w:rPr>
        <w:t xml:space="preserve"> </w:t>
      </w:r>
      <w:r w:rsidR="002B3BAA">
        <w:rPr>
          <w:rFonts w:ascii="Verdana" w:hAnsi="Verdana"/>
          <w:sz w:val="20"/>
          <w:szCs w:val="20"/>
          <w:lang w:val="pt-BR"/>
        </w:rPr>
        <w:t>disposições</w:t>
      </w:r>
      <w:r w:rsidR="002B3BAA" w:rsidRPr="0038442F">
        <w:rPr>
          <w:rFonts w:ascii="Verdana" w:hAnsi="Verdana"/>
          <w:sz w:val="20"/>
          <w:szCs w:val="20"/>
          <w:lang w:val="pt-BR"/>
        </w:rPr>
        <w:t xml:space="preserve"> </w:t>
      </w:r>
      <w:r w:rsidR="00706529" w:rsidRPr="0038442F">
        <w:rPr>
          <w:rFonts w:ascii="Verdana" w:hAnsi="Verdana"/>
          <w:sz w:val="20"/>
          <w:szCs w:val="20"/>
          <w:lang w:val="pt-BR"/>
        </w:rPr>
        <w:t>equivalentes a</w:t>
      </w:r>
      <w:r w:rsidR="006A12FD" w:rsidRPr="0038442F">
        <w:rPr>
          <w:rFonts w:ascii="Verdana" w:hAnsi="Verdana"/>
          <w:sz w:val="20"/>
          <w:szCs w:val="20"/>
          <w:lang w:val="pt-BR"/>
        </w:rPr>
        <w:t xml:space="preserve">os artigos </w:t>
      </w:r>
      <w:r w:rsidR="00706529" w:rsidRPr="0038442F">
        <w:rPr>
          <w:rFonts w:ascii="Verdana" w:hAnsi="Verdana"/>
          <w:sz w:val="20"/>
          <w:szCs w:val="20"/>
          <w:lang w:val="pt-BR"/>
        </w:rPr>
        <w:t xml:space="preserve">1.1 </w:t>
      </w:r>
      <w:r w:rsidR="004E50C1" w:rsidRPr="0038442F">
        <w:rPr>
          <w:rFonts w:ascii="Verdana" w:hAnsi="Verdana"/>
          <w:sz w:val="20"/>
          <w:szCs w:val="20"/>
          <w:lang w:val="pt-BR"/>
        </w:rPr>
        <w:t>e</w:t>
      </w:r>
      <w:r w:rsidR="00706529" w:rsidRPr="0038442F">
        <w:rPr>
          <w:rFonts w:ascii="Verdana" w:hAnsi="Verdana"/>
          <w:sz w:val="20"/>
          <w:szCs w:val="20"/>
          <w:lang w:val="pt-BR"/>
        </w:rPr>
        <w:t xml:space="preserve"> 24 </w:t>
      </w:r>
      <w:r w:rsidR="00C92762" w:rsidRPr="0038442F">
        <w:rPr>
          <w:rFonts w:ascii="Verdana" w:hAnsi="Verdana"/>
          <w:sz w:val="20"/>
          <w:szCs w:val="20"/>
          <w:lang w:val="pt-BR"/>
        </w:rPr>
        <w:t xml:space="preserve">da </w:t>
      </w:r>
      <w:r w:rsidR="00706529" w:rsidRPr="0038442F">
        <w:rPr>
          <w:rFonts w:ascii="Verdana" w:hAnsi="Verdana"/>
          <w:sz w:val="20"/>
          <w:szCs w:val="20"/>
          <w:lang w:val="pt-BR"/>
        </w:rPr>
        <w:t>Conven</w:t>
      </w:r>
      <w:r w:rsidR="000A1AA8" w:rsidRPr="0038442F">
        <w:rPr>
          <w:rFonts w:ascii="Verdana" w:hAnsi="Verdana"/>
          <w:sz w:val="20"/>
          <w:szCs w:val="20"/>
          <w:lang w:val="pt-BR"/>
        </w:rPr>
        <w:t>ção</w:t>
      </w:r>
      <w:r w:rsidR="00706529" w:rsidRPr="0038442F">
        <w:rPr>
          <w:rFonts w:ascii="Verdana" w:hAnsi="Verdana"/>
          <w:sz w:val="20"/>
          <w:szCs w:val="20"/>
          <w:lang w:val="pt-BR"/>
        </w:rPr>
        <w:t xml:space="preserve"> Americana, respectivamente. </w:t>
      </w:r>
      <w:r w:rsidR="004E50C1" w:rsidRPr="0038442F">
        <w:rPr>
          <w:rFonts w:ascii="Verdana" w:hAnsi="Verdana"/>
          <w:sz w:val="20"/>
          <w:szCs w:val="20"/>
          <w:lang w:val="pt-BR"/>
        </w:rPr>
        <w:t xml:space="preserve">Quanto à </w:t>
      </w:r>
      <w:r w:rsidR="00706529" w:rsidRPr="0038442F">
        <w:rPr>
          <w:rFonts w:ascii="Verdana" w:hAnsi="Verdana"/>
          <w:sz w:val="20"/>
          <w:szCs w:val="20"/>
          <w:lang w:val="pt-BR"/>
        </w:rPr>
        <w:t>interpreta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w:t>
      </w:r>
      <w:r w:rsidR="004E50C1" w:rsidRPr="0038442F">
        <w:rPr>
          <w:rFonts w:ascii="Verdana" w:hAnsi="Verdana"/>
          <w:sz w:val="20"/>
          <w:szCs w:val="20"/>
          <w:lang w:val="pt-BR"/>
        </w:rPr>
        <w:t xml:space="preserve">do </w:t>
      </w:r>
      <w:r w:rsidR="00706529" w:rsidRPr="0038442F">
        <w:rPr>
          <w:rFonts w:ascii="Verdana" w:hAnsi="Verdana"/>
          <w:sz w:val="20"/>
          <w:szCs w:val="20"/>
          <w:lang w:val="pt-BR"/>
        </w:rPr>
        <w:t xml:space="preserve">Tribunal </w:t>
      </w:r>
      <w:r w:rsidR="00DA73B1" w:rsidRPr="0038442F">
        <w:rPr>
          <w:rFonts w:ascii="Verdana" w:hAnsi="Verdana"/>
          <w:sz w:val="20"/>
          <w:szCs w:val="20"/>
          <w:lang w:val="pt-BR"/>
        </w:rPr>
        <w:t>Europeu</w:t>
      </w:r>
      <w:r w:rsidR="00706529" w:rsidRPr="0038442F">
        <w:rPr>
          <w:rFonts w:ascii="Verdana" w:hAnsi="Verdana"/>
          <w:sz w:val="20"/>
          <w:szCs w:val="20"/>
          <w:lang w:val="pt-BR"/>
        </w:rPr>
        <w:t xml:space="preserve">, </w:t>
      </w:r>
      <w:r w:rsidR="004E50C1" w:rsidRPr="0038442F">
        <w:rPr>
          <w:rFonts w:ascii="Verdana" w:hAnsi="Verdana"/>
          <w:sz w:val="20"/>
          <w:szCs w:val="20"/>
          <w:lang w:val="pt-BR"/>
        </w:rPr>
        <w:t xml:space="preserve">referiu-se a </w:t>
      </w:r>
      <w:r w:rsidR="00706529" w:rsidRPr="0038442F">
        <w:rPr>
          <w:rFonts w:ascii="Verdana" w:hAnsi="Verdana"/>
          <w:sz w:val="20"/>
          <w:szCs w:val="20"/>
          <w:lang w:val="pt-BR"/>
        </w:rPr>
        <w:t xml:space="preserve">que </w:t>
      </w:r>
      <w:r w:rsidR="00706529" w:rsidRPr="0038442F">
        <w:rPr>
          <w:rFonts w:ascii="Verdana" w:hAnsi="Verdana" w:cs="Arial"/>
          <w:sz w:val="20"/>
          <w:szCs w:val="20"/>
          <w:shd w:val="clear" w:color="auto" w:fill="FFFFFF"/>
          <w:lang w:val="pt-BR"/>
        </w:rPr>
        <w:t>“</w:t>
      </w:r>
      <w:r w:rsidR="004E50C1" w:rsidRPr="0038442F">
        <w:rPr>
          <w:rFonts w:ascii="Verdana" w:hAnsi="Verdana" w:cs="Arial"/>
          <w:sz w:val="20"/>
          <w:szCs w:val="20"/>
          <w:shd w:val="clear" w:color="auto" w:fill="FFFFFF"/>
          <w:lang w:val="pt-BR"/>
        </w:rPr>
        <w:t xml:space="preserve">embora o </w:t>
      </w:r>
      <w:r w:rsidR="00CA30C5" w:rsidRPr="0038442F">
        <w:rPr>
          <w:rFonts w:ascii="Verdana" w:hAnsi="Verdana" w:cs="Arial"/>
          <w:sz w:val="20"/>
          <w:szCs w:val="20"/>
          <w:shd w:val="clear" w:color="auto" w:fill="FFFFFF"/>
          <w:lang w:val="pt-BR"/>
        </w:rPr>
        <w:t>artigo</w:t>
      </w:r>
      <w:r w:rsidR="00407242"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14 d</w:t>
      </w:r>
      <w:r w:rsidR="004E50C1" w:rsidRPr="0038442F">
        <w:rPr>
          <w:rFonts w:ascii="Verdana" w:hAnsi="Verdana" w:cs="Arial"/>
          <w:sz w:val="20"/>
          <w:szCs w:val="20"/>
          <w:shd w:val="clear" w:color="auto" w:fill="FFFFFF"/>
          <w:lang w:val="pt-BR"/>
        </w:rPr>
        <w:t>a</w:t>
      </w:r>
      <w:r w:rsidR="00706529" w:rsidRPr="0038442F">
        <w:rPr>
          <w:rFonts w:ascii="Verdana" w:hAnsi="Verdana" w:cs="Arial"/>
          <w:sz w:val="20"/>
          <w:szCs w:val="20"/>
          <w:shd w:val="clear" w:color="auto" w:fill="FFFFFF"/>
          <w:lang w:val="pt-BR"/>
        </w:rPr>
        <w:t xml:space="preserve"> Conven</w:t>
      </w:r>
      <w:r w:rsidR="004E50C1" w:rsidRPr="0038442F">
        <w:rPr>
          <w:rFonts w:ascii="Verdana" w:hAnsi="Verdana" w:cs="Arial"/>
          <w:sz w:val="20"/>
          <w:szCs w:val="20"/>
          <w:shd w:val="clear" w:color="auto" w:fill="FFFFFF"/>
          <w:lang w:val="pt-BR"/>
        </w:rPr>
        <w:t xml:space="preserve">ção </w:t>
      </w:r>
      <w:r w:rsidR="00706529" w:rsidRPr="0038442F">
        <w:rPr>
          <w:rFonts w:ascii="Verdana" w:hAnsi="Verdana" w:cs="Arial"/>
          <w:sz w:val="20"/>
          <w:szCs w:val="20"/>
          <w:shd w:val="clear" w:color="auto" w:fill="FFFFFF"/>
          <w:lang w:val="pt-BR"/>
        </w:rPr>
        <w:t>proíb</w:t>
      </w:r>
      <w:r w:rsidR="004E50C1" w:rsidRPr="0038442F">
        <w:rPr>
          <w:rFonts w:ascii="Verdana" w:hAnsi="Verdana" w:cs="Arial"/>
          <w:sz w:val="20"/>
          <w:szCs w:val="20"/>
          <w:shd w:val="clear" w:color="auto" w:fill="FFFFFF"/>
          <w:lang w:val="pt-BR"/>
        </w:rPr>
        <w:t>a</w:t>
      </w:r>
      <w:r w:rsidR="00706529" w:rsidRPr="0038442F">
        <w:rPr>
          <w:rFonts w:ascii="Verdana" w:hAnsi="Verdana" w:cs="Arial"/>
          <w:sz w:val="20"/>
          <w:szCs w:val="20"/>
          <w:shd w:val="clear" w:color="auto" w:fill="FFFFFF"/>
          <w:lang w:val="pt-BR"/>
        </w:rPr>
        <w:t xml:space="preserve"> a discrimina</w:t>
      </w:r>
      <w:r w:rsidR="000A1AA8" w:rsidRPr="0038442F">
        <w:rPr>
          <w:rFonts w:ascii="Verdana" w:hAnsi="Verdana" w:cs="Arial"/>
          <w:sz w:val="20"/>
          <w:szCs w:val="20"/>
          <w:shd w:val="clear" w:color="auto" w:fill="FFFFFF"/>
          <w:lang w:val="pt-BR"/>
        </w:rPr>
        <w:t>ção</w:t>
      </w:r>
      <w:r w:rsidR="00706529" w:rsidRPr="0038442F">
        <w:rPr>
          <w:rFonts w:ascii="Verdana" w:hAnsi="Verdana" w:cs="Arial"/>
          <w:sz w:val="20"/>
          <w:szCs w:val="20"/>
          <w:shd w:val="clear" w:color="auto" w:fill="FFFFFF"/>
          <w:lang w:val="pt-BR"/>
        </w:rPr>
        <w:t xml:space="preserve"> para </w:t>
      </w:r>
      <w:r w:rsidR="009612FB" w:rsidRPr="0038442F">
        <w:rPr>
          <w:rFonts w:ascii="Verdana" w:hAnsi="Verdana" w:cs="Arial"/>
          <w:sz w:val="20"/>
          <w:szCs w:val="20"/>
          <w:shd w:val="clear" w:color="auto" w:fill="FFFFFF"/>
          <w:lang w:val="pt-BR"/>
        </w:rPr>
        <w:t>garantir</w:t>
      </w:r>
      <w:r w:rsidR="00407242" w:rsidRPr="0038442F">
        <w:rPr>
          <w:rFonts w:ascii="Verdana" w:hAnsi="Verdana" w:cs="Arial"/>
          <w:sz w:val="20"/>
          <w:szCs w:val="20"/>
          <w:shd w:val="clear" w:color="auto" w:fill="FFFFFF"/>
          <w:lang w:val="pt-BR"/>
        </w:rPr>
        <w:t xml:space="preserve"> </w:t>
      </w:r>
      <w:r w:rsidR="004E50C1" w:rsidRPr="0038442F">
        <w:rPr>
          <w:rFonts w:ascii="Verdana" w:hAnsi="Verdana" w:cs="Arial"/>
          <w:sz w:val="20"/>
          <w:szCs w:val="20"/>
          <w:shd w:val="clear" w:color="auto" w:fill="FFFFFF"/>
          <w:lang w:val="pt-BR"/>
        </w:rPr>
        <w:t xml:space="preserve">o gozo </w:t>
      </w:r>
      <w:r w:rsidR="00C92762" w:rsidRPr="0038442F">
        <w:rPr>
          <w:rFonts w:ascii="Verdana" w:hAnsi="Verdana" w:cs="Arial"/>
          <w:sz w:val="20"/>
          <w:szCs w:val="20"/>
          <w:shd w:val="clear" w:color="auto" w:fill="FFFFFF"/>
          <w:lang w:val="pt-BR"/>
        </w:rPr>
        <w:t xml:space="preserve">dos </w:t>
      </w:r>
      <w:r w:rsidR="00706529" w:rsidRPr="0038442F">
        <w:rPr>
          <w:rFonts w:ascii="Verdana" w:hAnsi="Verdana" w:cs="Arial"/>
          <w:sz w:val="20"/>
          <w:szCs w:val="20"/>
          <w:shd w:val="clear" w:color="auto" w:fill="FFFFFF"/>
          <w:lang w:val="pt-BR"/>
        </w:rPr>
        <w:t>«</w:t>
      </w:r>
      <w:r w:rsidR="000A1AA8" w:rsidRPr="0038442F">
        <w:rPr>
          <w:rFonts w:ascii="Verdana" w:hAnsi="Verdana" w:cs="Arial"/>
          <w:sz w:val="20"/>
          <w:szCs w:val="20"/>
          <w:shd w:val="clear" w:color="auto" w:fill="FFFFFF"/>
          <w:lang w:val="pt-BR"/>
        </w:rPr>
        <w:t>direitos</w:t>
      </w:r>
      <w:r w:rsidR="00407242" w:rsidRPr="0038442F">
        <w:rPr>
          <w:rFonts w:ascii="Verdana" w:hAnsi="Verdana" w:cs="Arial"/>
          <w:sz w:val="20"/>
          <w:szCs w:val="20"/>
          <w:shd w:val="clear" w:color="auto" w:fill="FFFFFF"/>
          <w:lang w:val="pt-BR"/>
        </w:rPr>
        <w:t xml:space="preserve"> </w:t>
      </w:r>
      <w:r w:rsidR="004E50C1" w:rsidRPr="0038442F">
        <w:rPr>
          <w:rFonts w:ascii="Verdana" w:hAnsi="Verdana" w:cs="Arial"/>
          <w:sz w:val="20"/>
          <w:szCs w:val="20"/>
          <w:shd w:val="clear" w:color="auto" w:fill="FFFFFF"/>
          <w:lang w:val="pt-BR"/>
        </w:rPr>
        <w:t>e</w:t>
      </w:r>
      <w:r w:rsidR="00706529" w:rsidRPr="0038442F">
        <w:rPr>
          <w:rFonts w:ascii="Verdana" w:hAnsi="Verdana" w:cs="Arial"/>
          <w:sz w:val="20"/>
          <w:szCs w:val="20"/>
          <w:shd w:val="clear" w:color="auto" w:fill="FFFFFF"/>
          <w:lang w:val="pt-BR"/>
        </w:rPr>
        <w:t xml:space="preserve"> </w:t>
      </w:r>
      <w:r w:rsidR="005135E5" w:rsidRPr="0038442F">
        <w:rPr>
          <w:rFonts w:ascii="Verdana" w:hAnsi="Verdana" w:cs="Arial"/>
          <w:sz w:val="20"/>
          <w:szCs w:val="20"/>
          <w:shd w:val="clear" w:color="auto" w:fill="FFFFFF"/>
          <w:lang w:val="pt-BR"/>
        </w:rPr>
        <w:t>liberdades reconhecidos</w:t>
      </w:r>
      <w:r w:rsidR="00407242" w:rsidRPr="0038442F">
        <w:rPr>
          <w:rFonts w:ascii="Verdana" w:hAnsi="Verdana" w:cs="Arial"/>
          <w:sz w:val="20"/>
          <w:szCs w:val="20"/>
          <w:shd w:val="clear" w:color="auto" w:fill="FFFFFF"/>
          <w:lang w:val="pt-BR"/>
        </w:rPr>
        <w:t xml:space="preserve"> </w:t>
      </w:r>
      <w:r w:rsidR="00751189" w:rsidRPr="0038442F">
        <w:rPr>
          <w:rFonts w:ascii="Verdana" w:hAnsi="Verdana" w:cs="Arial"/>
          <w:sz w:val="20"/>
          <w:szCs w:val="20"/>
          <w:shd w:val="clear" w:color="auto" w:fill="FFFFFF"/>
          <w:lang w:val="pt-BR"/>
        </w:rPr>
        <w:t>n</w:t>
      </w:r>
      <w:r w:rsidR="004E50C1" w:rsidRPr="0038442F">
        <w:rPr>
          <w:rFonts w:ascii="Verdana" w:hAnsi="Verdana" w:cs="Arial"/>
          <w:sz w:val="20"/>
          <w:szCs w:val="20"/>
          <w:shd w:val="clear" w:color="auto" w:fill="FFFFFF"/>
          <w:lang w:val="pt-BR"/>
        </w:rPr>
        <w:t>a</w:t>
      </w:r>
      <w:r w:rsidR="00751189"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 Conven</w:t>
      </w:r>
      <w:r w:rsidR="004E50C1" w:rsidRPr="0038442F">
        <w:rPr>
          <w:rFonts w:ascii="Verdana" w:hAnsi="Verdana" w:cs="Arial"/>
          <w:sz w:val="20"/>
          <w:szCs w:val="20"/>
          <w:shd w:val="clear" w:color="auto" w:fill="FFFFFF"/>
          <w:lang w:val="pt-BR"/>
        </w:rPr>
        <w:t>ção</w:t>
      </w:r>
      <w:r w:rsidR="00706529" w:rsidRPr="0038442F">
        <w:rPr>
          <w:rFonts w:ascii="Verdana" w:hAnsi="Verdana" w:cs="Arial"/>
          <w:sz w:val="20"/>
          <w:szCs w:val="20"/>
          <w:shd w:val="clear" w:color="auto" w:fill="FFFFFF"/>
          <w:lang w:val="pt-BR"/>
        </w:rPr>
        <w:t xml:space="preserve">», </w:t>
      </w:r>
      <w:r w:rsidR="003B374E" w:rsidRPr="0038442F">
        <w:rPr>
          <w:rFonts w:ascii="Verdana" w:hAnsi="Verdana" w:cs="Arial"/>
          <w:sz w:val="20"/>
          <w:szCs w:val="20"/>
          <w:shd w:val="clear" w:color="auto" w:fill="FFFFFF"/>
          <w:lang w:val="pt-BR"/>
        </w:rPr>
        <w:t xml:space="preserve">o artigo </w:t>
      </w:r>
      <w:r w:rsidR="00706529" w:rsidRPr="0038442F">
        <w:rPr>
          <w:rFonts w:ascii="Verdana" w:hAnsi="Verdana" w:cs="Arial"/>
          <w:sz w:val="20"/>
          <w:szCs w:val="20"/>
          <w:shd w:val="clear" w:color="auto" w:fill="FFFFFF"/>
          <w:lang w:val="pt-BR"/>
        </w:rPr>
        <w:t>1 d</w:t>
      </w:r>
      <w:r w:rsidR="00BB701F" w:rsidRPr="0038442F">
        <w:rPr>
          <w:rFonts w:ascii="Verdana" w:hAnsi="Verdana" w:cs="Arial"/>
          <w:sz w:val="20"/>
          <w:szCs w:val="20"/>
          <w:shd w:val="clear" w:color="auto" w:fill="FFFFFF"/>
          <w:lang w:val="pt-BR"/>
        </w:rPr>
        <w:t>o</w:t>
      </w:r>
      <w:r w:rsidR="00706529" w:rsidRPr="0038442F">
        <w:rPr>
          <w:rFonts w:ascii="Verdana" w:hAnsi="Verdana" w:cs="Arial"/>
          <w:sz w:val="20"/>
          <w:szCs w:val="20"/>
          <w:shd w:val="clear" w:color="auto" w:fill="FFFFFF"/>
          <w:lang w:val="pt-BR"/>
        </w:rPr>
        <w:t xml:space="preserve"> Protocolo </w:t>
      </w:r>
      <w:r w:rsidR="00332F07" w:rsidRPr="0038442F">
        <w:rPr>
          <w:rFonts w:ascii="Verdana" w:hAnsi="Verdana" w:cs="Arial"/>
          <w:sz w:val="20"/>
          <w:szCs w:val="20"/>
          <w:shd w:val="clear" w:color="auto" w:fill="FFFFFF"/>
          <w:lang w:val="pt-BR"/>
        </w:rPr>
        <w:t>N</w:t>
      </w:r>
      <w:r w:rsidR="00332F07" w:rsidRPr="0038442F">
        <w:rPr>
          <w:rFonts w:ascii="Verdana" w:hAnsi="Verdana" w:cs="Arial"/>
          <w:sz w:val="20"/>
          <w:szCs w:val="20"/>
          <w:shd w:val="clear" w:color="auto" w:fill="FFFFFF"/>
          <w:vertAlign w:val="superscript"/>
          <w:lang w:val="pt-BR"/>
        </w:rPr>
        <w:t>o</w:t>
      </w:r>
      <w:r w:rsidR="00706529" w:rsidRPr="0038442F">
        <w:rPr>
          <w:rFonts w:ascii="Verdana" w:hAnsi="Verdana" w:cs="Arial"/>
          <w:sz w:val="20"/>
          <w:szCs w:val="20"/>
          <w:shd w:val="clear" w:color="auto" w:fill="FFFFFF"/>
          <w:vertAlign w:val="superscript"/>
          <w:lang w:val="pt-BR"/>
        </w:rPr>
        <w:t>.</w:t>
      </w:r>
      <w:r w:rsidR="00706529" w:rsidRPr="0038442F">
        <w:rPr>
          <w:rFonts w:ascii="Verdana" w:hAnsi="Verdana" w:cs="Arial"/>
          <w:sz w:val="20"/>
          <w:szCs w:val="20"/>
          <w:shd w:val="clear" w:color="auto" w:fill="FFFFFF"/>
          <w:lang w:val="pt-BR"/>
        </w:rPr>
        <w:t xml:space="preserve"> 12 ampl</w:t>
      </w:r>
      <w:r w:rsidR="00BB701F" w:rsidRPr="0038442F">
        <w:rPr>
          <w:rFonts w:ascii="Verdana" w:hAnsi="Verdana" w:cs="Arial"/>
          <w:sz w:val="20"/>
          <w:szCs w:val="20"/>
          <w:shd w:val="clear" w:color="auto" w:fill="FFFFFF"/>
          <w:lang w:val="pt-BR"/>
        </w:rPr>
        <w:t>i</w:t>
      </w:r>
      <w:r w:rsidR="00706529" w:rsidRPr="0038442F">
        <w:rPr>
          <w:rFonts w:ascii="Verdana" w:hAnsi="Verdana" w:cs="Arial"/>
          <w:sz w:val="20"/>
          <w:szCs w:val="20"/>
          <w:shd w:val="clear" w:color="auto" w:fill="FFFFFF"/>
          <w:lang w:val="pt-BR"/>
        </w:rPr>
        <w:t xml:space="preserve">a </w:t>
      </w:r>
      <w:r w:rsidR="00BB701F" w:rsidRPr="0038442F">
        <w:rPr>
          <w:rFonts w:ascii="Verdana" w:hAnsi="Verdana" w:cs="Arial"/>
          <w:sz w:val="20"/>
          <w:szCs w:val="20"/>
          <w:shd w:val="clear" w:color="auto" w:fill="FFFFFF"/>
          <w:lang w:val="pt-BR"/>
        </w:rPr>
        <w:t xml:space="preserve">o </w:t>
      </w:r>
      <w:r w:rsidR="00246A73" w:rsidRPr="0038442F">
        <w:rPr>
          <w:rFonts w:ascii="Verdana" w:hAnsi="Verdana" w:cs="Arial"/>
          <w:sz w:val="20"/>
          <w:szCs w:val="20"/>
          <w:shd w:val="clear" w:color="auto" w:fill="FFFFFF"/>
          <w:lang w:val="pt-BR"/>
        </w:rPr>
        <w:t>âmbito</w:t>
      </w:r>
      <w:r w:rsidR="00407242"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 xml:space="preserve">de </w:t>
      </w:r>
      <w:r w:rsidR="00751189" w:rsidRPr="0038442F">
        <w:rPr>
          <w:rFonts w:ascii="Verdana" w:hAnsi="Verdana" w:cs="Arial"/>
          <w:sz w:val="20"/>
          <w:szCs w:val="20"/>
          <w:shd w:val="clear" w:color="auto" w:fill="FFFFFF"/>
          <w:lang w:val="pt-BR"/>
        </w:rPr>
        <w:t>proteção</w:t>
      </w:r>
      <w:r w:rsidR="00407242"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a «</w:t>
      </w:r>
      <w:r w:rsidR="00984A83" w:rsidRPr="0038442F">
        <w:rPr>
          <w:rFonts w:ascii="Verdana" w:hAnsi="Verdana" w:cs="Arial"/>
          <w:sz w:val="20"/>
          <w:szCs w:val="20"/>
          <w:shd w:val="clear" w:color="auto" w:fill="FFFFFF"/>
          <w:lang w:val="pt-BR"/>
        </w:rPr>
        <w:t>qualquer</w:t>
      </w:r>
      <w:r w:rsidR="00407242" w:rsidRPr="0038442F">
        <w:rPr>
          <w:rFonts w:ascii="Verdana" w:hAnsi="Verdana" w:cs="Arial"/>
          <w:sz w:val="20"/>
          <w:szCs w:val="20"/>
          <w:shd w:val="clear" w:color="auto" w:fill="FFFFFF"/>
          <w:lang w:val="pt-BR"/>
        </w:rPr>
        <w:t xml:space="preserve"> </w:t>
      </w:r>
      <w:r w:rsidR="00CA30C5" w:rsidRPr="0038442F">
        <w:rPr>
          <w:rFonts w:ascii="Verdana" w:hAnsi="Verdana" w:cs="Arial"/>
          <w:sz w:val="20"/>
          <w:szCs w:val="20"/>
          <w:shd w:val="clear" w:color="auto" w:fill="FFFFFF"/>
          <w:lang w:val="pt-BR"/>
        </w:rPr>
        <w:t>direito</w:t>
      </w:r>
      <w:r w:rsidR="00407242"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 xml:space="preserve">previsto </w:t>
      </w:r>
      <w:r w:rsidR="000A1AA8" w:rsidRPr="0038442F">
        <w:rPr>
          <w:rFonts w:ascii="Verdana" w:hAnsi="Verdana" w:cs="Arial"/>
          <w:sz w:val="20"/>
          <w:szCs w:val="20"/>
          <w:shd w:val="clear" w:color="auto" w:fill="FFFFFF"/>
          <w:lang w:val="pt-BR"/>
        </w:rPr>
        <w:t xml:space="preserve">pela </w:t>
      </w:r>
      <w:r w:rsidR="00751189" w:rsidRPr="0038442F">
        <w:rPr>
          <w:rFonts w:ascii="Verdana" w:hAnsi="Verdana" w:cs="Arial"/>
          <w:sz w:val="20"/>
          <w:szCs w:val="20"/>
          <w:shd w:val="clear" w:color="auto" w:fill="FFFFFF"/>
          <w:lang w:val="pt-BR"/>
        </w:rPr>
        <w:t>lei</w:t>
      </w:r>
      <w:r w:rsidR="00706529" w:rsidRPr="0038442F">
        <w:rPr>
          <w:rFonts w:ascii="Verdana" w:hAnsi="Verdana" w:cs="Arial"/>
          <w:sz w:val="20"/>
          <w:szCs w:val="20"/>
          <w:shd w:val="clear" w:color="auto" w:fill="FFFFFF"/>
          <w:lang w:val="pt-BR"/>
        </w:rPr>
        <w:t>». Introdu</w:t>
      </w:r>
      <w:r w:rsidR="00BB701F" w:rsidRPr="0038442F">
        <w:rPr>
          <w:rFonts w:ascii="Verdana" w:hAnsi="Verdana" w:cs="Arial"/>
          <w:sz w:val="20"/>
          <w:szCs w:val="20"/>
          <w:shd w:val="clear" w:color="auto" w:fill="FFFFFF"/>
          <w:lang w:val="pt-BR"/>
        </w:rPr>
        <w:t>z</w:t>
      </w:r>
      <w:r w:rsidR="00706529" w:rsidRPr="0038442F">
        <w:rPr>
          <w:rFonts w:ascii="Verdana" w:hAnsi="Verdana" w:cs="Arial"/>
          <w:sz w:val="20"/>
          <w:szCs w:val="20"/>
          <w:shd w:val="clear" w:color="auto" w:fill="FFFFFF"/>
          <w:lang w:val="pt-BR"/>
        </w:rPr>
        <w:t xml:space="preserve">, portanto, </w:t>
      </w:r>
      <w:r w:rsidR="00C92762" w:rsidRPr="0038442F">
        <w:rPr>
          <w:rFonts w:ascii="Verdana" w:hAnsi="Verdana" w:cs="Arial"/>
          <w:sz w:val="20"/>
          <w:szCs w:val="20"/>
          <w:shd w:val="clear" w:color="auto" w:fill="FFFFFF"/>
          <w:lang w:val="pt-BR"/>
        </w:rPr>
        <w:t>uma</w:t>
      </w:r>
      <w:r w:rsidR="00407242"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proibi</w:t>
      </w:r>
      <w:r w:rsidR="000A1AA8" w:rsidRPr="0038442F">
        <w:rPr>
          <w:rFonts w:ascii="Verdana" w:hAnsi="Verdana" w:cs="Arial"/>
          <w:sz w:val="20"/>
          <w:szCs w:val="20"/>
          <w:shd w:val="clear" w:color="auto" w:fill="FFFFFF"/>
          <w:lang w:val="pt-BR"/>
        </w:rPr>
        <w:t>ção</w:t>
      </w:r>
      <w:r w:rsidR="00706529" w:rsidRPr="0038442F">
        <w:rPr>
          <w:rFonts w:ascii="Verdana" w:hAnsi="Verdana" w:cs="Arial"/>
          <w:sz w:val="20"/>
          <w:szCs w:val="20"/>
          <w:shd w:val="clear" w:color="auto" w:fill="FFFFFF"/>
          <w:lang w:val="pt-BR"/>
        </w:rPr>
        <w:t xml:space="preserve"> geral </w:t>
      </w:r>
      <w:r w:rsidR="00C92762" w:rsidRPr="0038442F">
        <w:rPr>
          <w:rFonts w:ascii="Verdana" w:hAnsi="Verdana" w:cs="Arial"/>
          <w:sz w:val="20"/>
          <w:szCs w:val="20"/>
          <w:shd w:val="clear" w:color="auto" w:fill="FFFFFF"/>
          <w:lang w:val="pt-BR"/>
        </w:rPr>
        <w:t xml:space="preserve">da </w:t>
      </w:r>
      <w:r w:rsidR="00706529" w:rsidRPr="0038442F">
        <w:rPr>
          <w:rFonts w:ascii="Verdana" w:hAnsi="Verdana" w:cs="Arial"/>
          <w:sz w:val="20"/>
          <w:szCs w:val="20"/>
          <w:shd w:val="clear" w:color="auto" w:fill="FFFFFF"/>
          <w:lang w:val="pt-BR"/>
        </w:rPr>
        <w:t>discrimina</w:t>
      </w:r>
      <w:r w:rsidR="000A1AA8" w:rsidRPr="0038442F">
        <w:rPr>
          <w:rFonts w:ascii="Verdana" w:hAnsi="Verdana" w:cs="Arial"/>
          <w:sz w:val="20"/>
          <w:szCs w:val="20"/>
          <w:shd w:val="clear" w:color="auto" w:fill="FFFFFF"/>
          <w:lang w:val="pt-BR"/>
        </w:rPr>
        <w:t>ção</w:t>
      </w:r>
      <w:r w:rsidR="00706529" w:rsidRPr="0038442F">
        <w:rPr>
          <w:rFonts w:ascii="Verdana" w:hAnsi="Verdana" w:cs="Arial"/>
          <w:sz w:val="20"/>
          <w:szCs w:val="20"/>
          <w:shd w:val="clear" w:color="auto" w:fill="FFFFFF"/>
          <w:lang w:val="pt-BR"/>
        </w:rPr>
        <w:t>”</w:t>
      </w:r>
      <w:r w:rsidR="00BB701F" w:rsidRPr="0038442F">
        <w:rPr>
          <w:rFonts w:ascii="Verdana" w:hAnsi="Verdana" w:cs="Arial"/>
          <w:sz w:val="20"/>
          <w:szCs w:val="20"/>
          <w:shd w:val="clear" w:color="auto" w:fill="FFFFFF"/>
          <w:lang w:val="pt-BR"/>
        </w:rPr>
        <w:t>.</w:t>
      </w:r>
      <w:r w:rsidR="00706529" w:rsidRPr="0038442F">
        <w:rPr>
          <w:rStyle w:val="Refdenotaalpie"/>
          <w:rFonts w:ascii="Verdana" w:hAnsi="Verdana" w:cs="Arial"/>
          <w:sz w:val="20"/>
          <w:szCs w:val="20"/>
          <w:shd w:val="clear" w:color="auto" w:fill="FFFFFF"/>
          <w:lang w:val="pt-BR"/>
        </w:rPr>
        <w:footnoteReference w:id="125"/>
      </w:r>
      <w:r w:rsidR="00706529" w:rsidRPr="0038442F">
        <w:rPr>
          <w:rFonts w:ascii="Verdana" w:hAnsi="Verdana" w:cs="Arial"/>
          <w:sz w:val="20"/>
          <w:szCs w:val="20"/>
          <w:shd w:val="clear" w:color="auto" w:fill="FFFFFF"/>
          <w:lang w:val="pt-BR"/>
        </w:rPr>
        <w:t xml:space="preserve"> Ade</w:t>
      </w:r>
      <w:r w:rsidR="00BB701F" w:rsidRPr="0038442F">
        <w:rPr>
          <w:rFonts w:ascii="Verdana" w:hAnsi="Verdana" w:cs="Arial"/>
          <w:sz w:val="20"/>
          <w:szCs w:val="20"/>
          <w:shd w:val="clear" w:color="auto" w:fill="FFFFFF"/>
          <w:lang w:val="pt-BR"/>
        </w:rPr>
        <w:t xml:space="preserve">mais, destacou </w:t>
      </w:r>
      <w:r w:rsidR="00706529" w:rsidRPr="0038442F">
        <w:rPr>
          <w:rFonts w:ascii="Verdana" w:hAnsi="Verdana" w:cs="Arial"/>
          <w:sz w:val="20"/>
          <w:szCs w:val="20"/>
          <w:shd w:val="clear" w:color="auto" w:fill="FFFFFF"/>
          <w:lang w:val="pt-BR"/>
        </w:rPr>
        <w:t>que “[</w:t>
      </w:r>
      <w:r w:rsidR="00BB701F" w:rsidRPr="0038442F">
        <w:rPr>
          <w:rFonts w:ascii="Verdana" w:hAnsi="Verdana" w:cs="Arial"/>
          <w:sz w:val="20"/>
          <w:szCs w:val="20"/>
          <w:shd w:val="clear" w:color="auto" w:fill="FFFFFF"/>
          <w:lang w:val="pt-BR"/>
        </w:rPr>
        <w:t>o</w:t>
      </w:r>
      <w:r w:rsidR="00706529" w:rsidRPr="0038442F">
        <w:rPr>
          <w:rFonts w:ascii="Verdana" w:hAnsi="Verdana" w:cs="Arial"/>
          <w:sz w:val="20"/>
          <w:szCs w:val="20"/>
          <w:shd w:val="clear" w:color="auto" w:fill="FFFFFF"/>
          <w:lang w:val="pt-BR"/>
        </w:rPr>
        <w:t>]s autores d</w:t>
      </w:r>
      <w:r w:rsidR="00BB701F" w:rsidRPr="0038442F">
        <w:rPr>
          <w:rFonts w:ascii="Verdana" w:hAnsi="Verdana" w:cs="Arial"/>
          <w:sz w:val="20"/>
          <w:szCs w:val="20"/>
          <w:shd w:val="clear" w:color="auto" w:fill="FFFFFF"/>
          <w:lang w:val="pt-BR"/>
        </w:rPr>
        <w:t xml:space="preserve">o </w:t>
      </w:r>
      <w:r w:rsidR="00706529" w:rsidRPr="0038442F">
        <w:rPr>
          <w:rFonts w:ascii="Verdana" w:hAnsi="Verdana" w:cs="Arial"/>
          <w:sz w:val="20"/>
          <w:szCs w:val="20"/>
          <w:shd w:val="clear" w:color="auto" w:fill="FFFFFF"/>
          <w:lang w:val="pt-BR"/>
        </w:rPr>
        <w:t>Protocolo N</w:t>
      </w:r>
      <w:r w:rsidR="00706529" w:rsidRPr="0038442F">
        <w:rPr>
          <w:rFonts w:ascii="Verdana" w:hAnsi="Verdana" w:cs="Arial"/>
          <w:sz w:val="20"/>
          <w:szCs w:val="20"/>
          <w:shd w:val="clear" w:color="auto" w:fill="FFFFFF"/>
          <w:vertAlign w:val="superscript"/>
          <w:lang w:val="pt-BR"/>
        </w:rPr>
        <w:t>o.</w:t>
      </w:r>
      <w:r w:rsidR="00706529" w:rsidRPr="0038442F">
        <w:rPr>
          <w:rFonts w:ascii="Verdana" w:hAnsi="Verdana" w:cs="Arial"/>
          <w:sz w:val="20"/>
          <w:szCs w:val="20"/>
          <w:shd w:val="clear" w:color="auto" w:fill="FFFFFF"/>
          <w:lang w:val="pt-BR"/>
        </w:rPr>
        <w:t xml:space="preserve"> 12 utilizar</w:t>
      </w:r>
      <w:r w:rsidR="00BB701F" w:rsidRPr="0038442F">
        <w:rPr>
          <w:rFonts w:ascii="Verdana" w:hAnsi="Verdana" w:cs="Arial"/>
          <w:sz w:val="20"/>
          <w:szCs w:val="20"/>
          <w:shd w:val="clear" w:color="auto" w:fill="FFFFFF"/>
          <w:lang w:val="pt-BR"/>
        </w:rPr>
        <w:t>am</w:t>
      </w:r>
      <w:r w:rsidR="00F37600" w:rsidRPr="0038442F">
        <w:rPr>
          <w:rFonts w:ascii="Verdana" w:hAnsi="Verdana" w:cs="Arial"/>
          <w:sz w:val="20"/>
          <w:szCs w:val="20"/>
          <w:shd w:val="clear" w:color="auto" w:fill="FFFFFF"/>
          <w:lang w:val="pt-BR"/>
        </w:rPr>
        <w:t>, no artigo 1 desse instrumento,</w:t>
      </w:r>
      <w:r w:rsidR="00BB701F" w:rsidRPr="0038442F">
        <w:rPr>
          <w:rFonts w:ascii="Verdana" w:hAnsi="Verdana" w:cs="Arial"/>
          <w:sz w:val="20"/>
          <w:szCs w:val="20"/>
          <w:shd w:val="clear" w:color="auto" w:fill="FFFFFF"/>
          <w:lang w:val="pt-BR"/>
        </w:rPr>
        <w:t xml:space="preserve"> o mesmo termo</w:t>
      </w:r>
      <w:r w:rsidR="009C54D1" w:rsidRPr="0038442F">
        <w:rPr>
          <w:rFonts w:ascii="Verdana" w:hAnsi="Verdana" w:cs="Arial"/>
          <w:sz w:val="20"/>
          <w:szCs w:val="20"/>
          <w:shd w:val="clear" w:color="auto" w:fill="FFFFFF"/>
          <w:lang w:val="pt-BR"/>
        </w:rPr>
        <w:t>,</w:t>
      </w:r>
      <w:r w:rsidR="00BB701F"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discrimina</w:t>
      </w:r>
      <w:r w:rsidR="000A1AA8" w:rsidRPr="0038442F">
        <w:rPr>
          <w:rFonts w:ascii="Verdana" w:hAnsi="Verdana" w:cs="Arial"/>
          <w:sz w:val="20"/>
          <w:szCs w:val="20"/>
          <w:shd w:val="clear" w:color="auto" w:fill="FFFFFF"/>
          <w:lang w:val="pt-BR"/>
        </w:rPr>
        <w:t>ção</w:t>
      </w:r>
      <w:r w:rsidR="009C54D1" w:rsidRPr="0038442F">
        <w:rPr>
          <w:rFonts w:ascii="Verdana" w:hAnsi="Verdana" w:cs="Arial"/>
          <w:sz w:val="20"/>
          <w:szCs w:val="20"/>
          <w:shd w:val="clear" w:color="auto" w:fill="FFFFFF"/>
          <w:lang w:val="pt-BR"/>
        </w:rPr>
        <w:t>,</w:t>
      </w:r>
      <w:r w:rsidR="00706529" w:rsidRPr="0038442F">
        <w:rPr>
          <w:rFonts w:ascii="Verdana" w:hAnsi="Verdana" w:cs="Arial"/>
          <w:sz w:val="20"/>
          <w:szCs w:val="20"/>
          <w:shd w:val="clear" w:color="auto" w:fill="FFFFFF"/>
          <w:lang w:val="pt-BR"/>
        </w:rPr>
        <w:t xml:space="preserve"> </w:t>
      </w:r>
      <w:r w:rsidR="00F37600" w:rsidRPr="0038442F">
        <w:rPr>
          <w:rFonts w:ascii="Verdana" w:hAnsi="Verdana" w:cs="Arial"/>
          <w:sz w:val="20"/>
          <w:szCs w:val="20"/>
          <w:shd w:val="clear" w:color="auto" w:fill="FFFFFF"/>
          <w:lang w:val="pt-BR"/>
        </w:rPr>
        <w:t xml:space="preserve">utilizado na interpretação </w:t>
      </w:r>
      <w:r w:rsidR="00751189" w:rsidRPr="0038442F">
        <w:rPr>
          <w:rFonts w:ascii="Verdana" w:hAnsi="Verdana" w:cs="Arial"/>
          <w:sz w:val="20"/>
          <w:szCs w:val="20"/>
          <w:shd w:val="clear" w:color="auto" w:fill="FFFFFF"/>
          <w:lang w:val="pt-BR"/>
        </w:rPr>
        <w:t xml:space="preserve">no </w:t>
      </w:r>
      <w:r w:rsidR="00CA30C5" w:rsidRPr="0038442F">
        <w:rPr>
          <w:rFonts w:ascii="Verdana" w:hAnsi="Verdana" w:cs="Arial"/>
          <w:sz w:val="20"/>
          <w:szCs w:val="20"/>
          <w:shd w:val="clear" w:color="auto" w:fill="FFFFFF"/>
          <w:lang w:val="pt-BR"/>
        </w:rPr>
        <w:t>artigo</w:t>
      </w:r>
      <w:r w:rsidR="00407242" w:rsidRPr="0038442F">
        <w:rPr>
          <w:rFonts w:ascii="Verdana" w:hAnsi="Verdana" w:cs="Arial"/>
          <w:sz w:val="20"/>
          <w:szCs w:val="20"/>
          <w:shd w:val="clear" w:color="auto" w:fill="FFFFFF"/>
          <w:lang w:val="pt-BR"/>
        </w:rPr>
        <w:t xml:space="preserve"> </w:t>
      </w:r>
      <w:r w:rsidR="00706529" w:rsidRPr="0038442F">
        <w:rPr>
          <w:rFonts w:ascii="Verdana" w:hAnsi="Verdana" w:cs="Arial"/>
          <w:sz w:val="20"/>
          <w:szCs w:val="20"/>
          <w:shd w:val="clear" w:color="auto" w:fill="FFFFFF"/>
          <w:lang w:val="pt-BR"/>
        </w:rPr>
        <w:t>14</w:t>
      </w:r>
      <w:r w:rsidR="00BB701F" w:rsidRPr="0038442F">
        <w:rPr>
          <w:rFonts w:ascii="Verdana" w:hAnsi="Verdana" w:cs="Arial"/>
          <w:sz w:val="20"/>
          <w:szCs w:val="20"/>
          <w:shd w:val="clear" w:color="auto" w:fill="FFFFFF"/>
          <w:lang w:val="pt-BR"/>
        </w:rPr>
        <w:t>.</w:t>
      </w:r>
      <w:r w:rsidR="00706529" w:rsidRPr="0038442F">
        <w:rPr>
          <w:rStyle w:val="Refdenotaalpie"/>
          <w:rFonts w:ascii="Verdana" w:hAnsi="Verdana" w:cs="Arial"/>
          <w:sz w:val="20"/>
          <w:szCs w:val="20"/>
          <w:shd w:val="clear" w:color="auto" w:fill="FFFFFF"/>
          <w:lang w:val="pt-BR"/>
        </w:rPr>
        <w:footnoteReference w:id="126"/>
      </w:r>
      <w:r w:rsidR="00706529" w:rsidRPr="0038442F">
        <w:rPr>
          <w:rFonts w:ascii="Verdana" w:hAnsi="Verdana" w:cs="Arial"/>
          <w:sz w:val="20"/>
          <w:szCs w:val="20"/>
          <w:shd w:val="clear" w:color="auto" w:fill="FFFFFF"/>
          <w:lang w:val="pt-BR"/>
        </w:rPr>
        <w:t xml:space="preserve">” </w:t>
      </w:r>
    </w:p>
    <w:p w14:paraId="5E8662C8" w14:textId="77777777" w:rsidR="00CC0959" w:rsidRPr="0038442F" w:rsidRDefault="00CC0959" w:rsidP="00CC0959">
      <w:pPr>
        <w:jc w:val="both"/>
        <w:rPr>
          <w:rFonts w:ascii="Verdana" w:hAnsi="Verdana"/>
          <w:i/>
          <w:iCs/>
          <w:sz w:val="20"/>
          <w:szCs w:val="20"/>
          <w:lang w:val="pt-BR"/>
        </w:rPr>
      </w:pPr>
    </w:p>
    <w:p w14:paraId="648877E2" w14:textId="292DA87F" w:rsidR="00706529" w:rsidRPr="0038442F" w:rsidRDefault="00CC0959" w:rsidP="00CC0959">
      <w:pPr>
        <w:jc w:val="both"/>
        <w:rPr>
          <w:rFonts w:ascii="Verdana" w:hAnsi="Verdana"/>
          <w:i/>
          <w:iCs/>
          <w:sz w:val="20"/>
          <w:szCs w:val="20"/>
          <w:lang w:val="pt-BR"/>
        </w:rPr>
      </w:pPr>
      <w:r w:rsidRPr="0038442F">
        <w:rPr>
          <w:rFonts w:ascii="Verdana" w:hAnsi="Verdana"/>
          <w:sz w:val="20"/>
          <w:szCs w:val="20"/>
          <w:lang w:val="pt-BR"/>
        </w:rPr>
        <w:t xml:space="preserve">76. </w:t>
      </w:r>
      <w:r w:rsidRPr="0038442F">
        <w:rPr>
          <w:rFonts w:ascii="Verdana" w:hAnsi="Verdana"/>
          <w:sz w:val="20"/>
          <w:szCs w:val="20"/>
          <w:lang w:val="pt-BR"/>
        </w:rPr>
        <w:tab/>
      </w:r>
      <w:r w:rsidR="00247F19" w:rsidRPr="0038442F">
        <w:rPr>
          <w:rFonts w:ascii="Verdana" w:hAnsi="Verdana"/>
          <w:sz w:val="20"/>
          <w:szCs w:val="20"/>
          <w:lang w:val="pt-BR"/>
        </w:rPr>
        <w:t xml:space="preserve">Para </w:t>
      </w:r>
      <w:r w:rsidR="00F37600" w:rsidRPr="0038442F">
        <w:rPr>
          <w:rFonts w:ascii="Verdana" w:hAnsi="Verdana"/>
          <w:sz w:val="20"/>
          <w:szCs w:val="20"/>
          <w:lang w:val="pt-BR"/>
        </w:rPr>
        <w:t>melhor</w:t>
      </w:r>
      <w:r w:rsidR="00247F19" w:rsidRPr="0038442F">
        <w:rPr>
          <w:rFonts w:ascii="Verdana" w:hAnsi="Verdana"/>
          <w:sz w:val="20"/>
          <w:szCs w:val="20"/>
          <w:lang w:val="pt-BR"/>
        </w:rPr>
        <w:t xml:space="preserve"> entendimento, é necessário recorrer ao </w:t>
      </w:r>
      <w:r w:rsidR="00247F19" w:rsidRPr="0038442F">
        <w:rPr>
          <w:rFonts w:ascii="Verdana" w:hAnsi="Verdana" w:cs="Arial"/>
          <w:i/>
          <w:iCs/>
          <w:sz w:val="20"/>
          <w:szCs w:val="20"/>
          <w:shd w:val="clear" w:color="auto" w:fill="FFFFFF"/>
          <w:lang w:val="pt-BR"/>
        </w:rPr>
        <w:t xml:space="preserve">Relatório </w:t>
      </w:r>
      <w:r w:rsidR="00F37600" w:rsidRPr="0038442F">
        <w:rPr>
          <w:rFonts w:ascii="Verdana" w:hAnsi="Verdana" w:cs="Arial"/>
          <w:i/>
          <w:iCs/>
          <w:sz w:val="20"/>
          <w:szCs w:val="20"/>
          <w:shd w:val="clear" w:color="auto" w:fill="FFFFFF"/>
          <w:lang w:val="pt-BR"/>
        </w:rPr>
        <w:t>E</w:t>
      </w:r>
      <w:r w:rsidR="00247F19" w:rsidRPr="0038442F">
        <w:rPr>
          <w:rFonts w:ascii="Verdana" w:hAnsi="Verdana" w:cs="Arial"/>
          <w:i/>
          <w:iCs/>
          <w:sz w:val="20"/>
          <w:szCs w:val="20"/>
          <w:shd w:val="clear" w:color="auto" w:fill="FFFFFF"/>
          <w:lang w:val="pt-BR"/>
        </w:rPr>
        <w:t>xplicativo do Protocolo 12 da Convenção Europeia</w:t>
      </w:r>
      <w:r w:rsidR="00247F19" w:rsidRPr="0038442F">
        <w:rPr>
          <w:rFonts w:ascii="Verdana" w:hAnsi="Verdana" w:cs="Arial"/>
          <w:sz w:val="20"/>
          <w:szCs w:val="20"/>
          <w:shd w:val="clear" w:color="auto" w:fill="FFFFFF"/>
          <w:lang w:val="pt-BR"/>
        </w:rPr>
        <w:t xml:space="preserve">, no qual se considerou que, </w:t>
      </w:r>
      <w:r w:rsidR="00247F19" w:rsidRPr="0038442F">
        <w:rPr>
          <w:rFonts w:ascii="Verdana" w:hAnsi="Verdana"/>
          <w:sz w:val="20"/>
          <w:szCs w:val="20"/>
          <w:lang w:val="pt-BR"/>
        </w:rPr>
        <w:t>em especial, o alcance da proteção adicional, em virtude do artigo 1, se refere aos casos em que uma pessoa é objeto de discriminação: i.</w:t>
      </w:r>
      <w:r w:rsidR="00706529"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BB701F" w:rsidRPr="0038442F">
        <w:rPr>
          <w:rFonts w:ascii="Verdana" w:hAnsi="Verdana"/>
          <w:sz w:val="20"/>
          <w:szCs w:val="20"/>
          <w:lang w:val="pt-BR"/>
        </w:rPr>
        <w:t>gozo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 todo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C92762" w:rsidRPr="0038442F">
        <w:rPr>
          <w:rFonts w:ascii="Verdana" w:hAnsi="Verdana"/>
          <w:sz w:val="20"/>
          <w:szCs w:val="20"/>
          <w:lang w:val="pt-BR"/>
        </w:rPr>
        <w:t>especificamente</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concedido </w:t>
      </w:r>
      <w:r w:rsidR="00BB701F" w:rsidRPr="0038442F">
        <w:rPr>
          <w:rFonts w:ascii="Verdana" w:hAnsi="Verdana"/>
          <w:sz w:val="20"/>
          <w:szCs w:val="20"/>
          <w:lang w:val="pt-BR"/>
        </w:rPr>
        <w:t>ao indivíduo</w:t>
      </w:r>
      <w:r w:rsidR="00407242" w:rsidRPr="0038442F">
        <w:rPr>
          <w:rFonts w:ascii="Verdana" w:hAnsi="Verdana"/>
          <w:sz w:val="20"/>
          <w:szCs w:val="20"/>
          <w:lang w:val="pt-BR"/>
        </w:rPr>
        <w:t xml:space="preserve"> </w:t>
      </w:r>
      <w:r w:rsidR="00D45B15" w:rsidRPr="0038442F">
        <w:rPr>
          <w:rFonts w:ascii="Verdana" w:hAnsi="Verdana"/>
          <w:sz w:val="20"/>
          <w:szCs w:val="20"/>
          <w:lang w:val="pt-BR"/>
        </w:rPr>
        <w:t xml:space="preserve">pelo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nacional; ii. </w:t>
      </w:r>
      <w:r w:rsidR="00751189" w:rsidRPr="0038442F">
        <w:rPr>
          <w:rFonts w:ascii="Verdana" w:hAnsi="Verdana"/>
          <w:sz w:val="20"/>
          <w:szCs w:val="20"/>
          <w:lang w:val="pt-BR"/>
        </w:rPr>
        <w:t xml:space="preserve">no </w:t>
      </w:r>
      <w:r w:rsidR="00BB701F" w:rsidRPr="0038442F">
        <w:rPr>
          <w:rFonts w:ascii="Verdana" w:hAnsi="Verdana"/>
          <w:sz w:val="20"/>
          <w:szCs w:val="20"/>
          <w:lang w:val="pt-BR"/>
        </w:rPr>
        <w:t>gozo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 </w:t>
      </w:r>
      <w:r w:rsidR="00984A83" w:rsidRPr="0038442F">
        <w:rPr>
          <w:rFonts w:ascii="Verdana" w:hAnsi="Verdana"/>
          <w:sz w:val="20"/>
          <w:szCs w:val="20"/>
          <w:lang w:val="pt-BR"/>
        </w:rPr>
        <w:t>qualquer</w:t>
      </w:r>
      <w:r w:rsidR="00407242" w:rsidRPr="0038442F">
        <w:rPr>
          <w:rFonts w:ascii="Verdana" w:hAnsi="Verdana"/>
          <w:sz w:val="20"/>
          <w:szCs w:val="20"/>
          <w:lang w:val="pt-BR"/>
        </w:rPr>
        <w:t xml:space="preserv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derivado de </w:t>
      </w:r>
      <w:r w:rsidR="00984A83" w:rsidRPr="0038442F">
        <w:rPr>
          <w:rFonts w:ascii="Verdana" w:hAnsi="Verdana"/>
          <w:sz w:val="20"/>
          <w:szCs w:val="20"/>
          <w:lang w:val="pt-BR"/>
        </w:rPr>
        <w:t>obrigações</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claras </w:t>
      </w:r>
      <w:r w:rsidR="00C92762" w:rsidRPr="0038442F">
        <w:rPr>
          <w:rFonts w:ascii="Verdana" w:hAnsi="Verdana"/>
          <w:sz w:val="20"/>
          <w:szCs w:val="20"/>
          <w:lang w:val="pt-BR"/>
        </w:rPr>
        <w:t xml:space="preserve">das </w:t>
      </w:r>
      <w:r w:rsidR="008E080F" w:rsidRPr="0038442F">
        <w:rPr>
          <w:rFonts w:ascii="Verdana" w:hAnsi="Verdana"/>
          <w:sz w:val="20"/>
          <w:szCs w:val="20"/>
          <w:lang w:val="pt-BR"/>
        </w:rPr>
        <w:t>autoridades</w:t>
      </w:r>
      <w:r w:rsidR="00706529"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nacional, </w:t>
      </w:r>
      <w:r w:rsidR="00BB701F" w:rsidRPr="0038442F">
        <w:rPr>
          <w:rFonts w:ascii="Verdana" w:hAnsi="Verdana"/>
          <w:sz w:val="20"/>
          <w:szCs w:val="20"/>
          <w:lang w:val="pt-BR"/>
        </w:rPr>
        <w:t>ou seja</w:t>
      </w:r>
      <w:r w:rsidR="00706529" w:rsidRPr="0038442F">
        <w:rPr>
          <w:rFonts w:ascii="Verdana" w:hAnsi="Verdana"/>
          <w:sz w:val="20"/>
          <w:szCs w:val="20"/>
          <w:lang w:val="pt-BR"/>
        </w:rPr>
        <w:t xml:space="preserve">, </w:t>
      </w:r>
      <w:r w:rsidR="00BB701F" w:rsidRPr="0038442F">
        <w:rPr>
          <w:rFonts w:ascii="Verdana" w:hAnsi="Verdana"/>
          <w:sz w:val="20"/>
          <w:szCs w:val="20"/>
          <w:lang w:val="pt-BR"/>
        </w:rPr>
        <w:t>q</w:t>
      </w:r>
      <w:r w:rsidR="00706529" w:rsidRPr="0038442F">
        <w:rPr>
          <w:rFonts w:ascii="Verdana" w:hAnsi="Verdana"/>
          <w:sz w:val="20"/>
          <w:szCs w:val="20"/>
          <w:lang w:val="pt-BR"/>
        </w:rPr>
        <w:t xml:space="preserve">uando a </w:t>
      </w:r>
      <w:r w:rsidR="00751189" w:rsidRPr="0038442F">
        <w:rPr>
          <w:rFonts w:ascii="Verdana" w:hAnsi="Verdana"/>
          <w:sz w:val="20"/>
          <w:szCs w:val="20"/>
          <w:lang w:val="pt-BR"/>
        </w:rPr>
        <w:t>lei</w:t>
      </w:r>
      <w:r w:rsidR="00407242" w:rsidRPr="0038442F">
        <w:rPr>
          <w:rFonts w:ascii="Verdana" w:hAnsi="Verdana"/>
          <w:sz w:val="20"/>
          <w:szCs w:val="20"/>
          <w:lang w:val="pt-BR"/>
        </w:rPr>
        <w:t xml:space="preserve"> </w:t>
      </w:r>
      <w:r w:rsidR="00706529" w:rsidRPr="0038442F">
        <w:rPr>
          <w:rFonts w:ascii="Verdana" w:hAnsi="Verdana"/>
          <w:sz w:val="20"/>
          <w:szCs w:val="20"/>
          <w:lang w:val="pt-BR"/>
        </w:rPr>
        <w:t>nacional ob</w:t>
      </w:r>
      <w:r w:rsidR="00BB701F" w:rsidRPr="0038442F">
        <w:rPr>
          <w:rFonts w:ascii="Verdana" w:hAnsi="Verdana"/>
          <w:sz w:val="20"/>
          <w:szCs w:val="20"/>
          <w:lang w:val="pt-BR"/>
        </w:rPr>
        <w:t>r</w:t>
      </w:r>
      <w:r w:rsidR="00706529" w:rsidRPr="0038442F">
        <w:rPr>
          <w:rFonts w:ascii="Verdana" w:hAnsi="Verdana"/>
          <w:sz w:val="20"/>
          <w:szCs w:val="20"/>
          <w:lang w:val="pt-BR"/>
        </w:rPr>
        <w:t>iga e</w:t>
      </w:r>
      <w:r w:rsidR="00BB701F" w:rsidRPr="0038442F">
        <w:rPr>
          <w:rFonts w:ascii="Verdana" w:hAnsi="Verdana"/>
          <w:sz w:val="20"/>
          <w:szCs w:val="20"/>
          <w:lang w:val="pt-BR"/>
        </w:rPr>
        <w:t>s</w:t>
      </w:r>
      <w:r w:rsidR="00706529" w:rsidRPr="0038442F">
        <w:rPr>
          <w:rFonts w:ascii="Verdana" w:hAnsi="Verdana"/>
          <w:sz w:val="20"/>
          <w:szCs w:val="20"/>
          <w:lang w:val="pt-BR"/>
        </w:rPr>
        <w:t xml:space="preserve">sas autoridades a </w:t>
      </w:r>
      <w:r w:rsidR="00BB701F" w:rsidRPr="0038442F">
        <w:rPr>
          <w:rFonts w:ascii="Verdana" w:hAnsi="Verdana"/>
          <w:sz w:val="20"/>
          <w:szCs w:val="20"/>
          <w:lang w:val="pt-BR"/>
        </w:rPr>
        <w:t xml:space="preserve">agir </w:t>
      </w:r>
      <w:r w:rsidR="00706529" w:rsidRPr="0038442F">
        <w:rPr>
          <w:rFonts w:ascii="Verdana" w:hAnsi="Verdana"/>
          <w:sz w:val="20"/>
          <w:szCs w:val="20"/>
          <w:lang w:val="pt-BR"/>
        </w:rPr>
        <w:t xml:space="preserve">de certa </w:t>
      </w:r>
      <w:r w:rsidR="00DF7BDC">
        <w:rPr>
          <w:rFonts w:ascii="Verdana" w:hAnsi="Verdana"/>
          <w:sz w:val="20"/>
          <w:szCs w:val="20"/>
          <w:lang w:val="pt-BR"/>
        </w:rPr>
        <w:t>form</w:t>
      </w:r>
      <w:r w:rsidR="00DF7BDC" w:rsidRPr="0038442F">
        <w:rPr>
          <w:rFonts w:ascii="Verdana" w:hAnsi="Verdana"/>
          <w:sz w:val="20"/>
          <w:szCs w:val="20"/>
          <w:lang w:val="pt-BR"/>
        </w:rPr>
        <w:t>a</w:t>
      </w:r>
      <w:r w:rsidR="00706529" w:rsidRPr="0038442F">
        <w:rPr>
          <w:rFonts w:ascii="Verdana" w:hAnsi="Verdana"/>
          <w:sz w:val="20"/>
          <w:szCs w:val="20"/>
          <w:lang w:val="pt-BR"/>
        </w:rPr>
        <w:t>; [</w:t>
      </w:r>
      <w:r w:rsidR="00BB701F" w:rsidRPr="0038442F">
        <w:rPr>
          <w:rFonts w:ascii="Verdana" w:hAnsi="Verdana"/>
          <w:sz w:val="20"/>
          <w:szCs w:val="20"/>
          <w:lang w:val="pt-BR"/>
        </w:rPr>
        <w:t>e</w:t>
      </w:r>
      <w:r w:rsidR="00706529" w:rsidRPr="0038442F">
        <w:rPr>
          <w:rFonts w:ascii="Verdana" w:hAnsi="Verdana"/>
          <w:sz w:val="20"/>
          <w:szCs w:val="20"/>
          <w:lang w:val="pt-BR"/>
        </w:rPr>
        <w:t>] i</w:t>
      </w:r>
      <w:r w:rsidR="00F37600" w:rsidRPr="0038442F">
        <w:rPr>
          <w:rFonts w:ascii="Verdana" w:hAnsi="Verdana"/>
          <w:sz w:val="20"/>
          <w:szCs w:val="20"/>
          <w:lang w:val="pt-BR"/>
        </w:rPr>
        <w:t>ii</w:t>
      </w:r>
      <w:r w:rsidR="00706529" w:rsidRPr="0038442F">
        <w:rPr>
          <w:rFonts w:ascii="Verdana" w:hAnsi="Verdana"/>
          <w:sz w:val="20"/>
          <w:szCs w:val="20"/>
          <w:lang w:val="pt-BR"/>
        </w:rPr>
        <w:t xml:space="preserve">. </w:t>
      </w:r>
      <w:r w:rsidR="00132CD1" w:rsidRPr="0038442F">
        <w:rPr>
          <w:rFonts w:ascii="Verdana" w:hAnsi="Verdana"/>
          <w:sz w:val="20"/>
          <w:szCs w:val="20"/>
          <w:lang w:val="pt-BR"/>
        </w:rPr>
        <w:t>devido</w:t>
      </w:r>
      <w:r w:rsidR="00706529" w:rsidRPr="0038442F">
        <w:rPr>
          <w:rFonts w:ascii="Verdana" w:hAnsi="Verdana"/>
          <w:sz w:val="20"/>
          <w:szCs w:val="20"/>
          <w:lang w:val="pt-BR"/>
        </w:rPr>
        <w:t xml:space="preserve"> a </w:t>
      </w:r>
      <w:r w:rsidR="00BC6FC3" w:rsidRPr="0038442F">
        <w:rPr>
          <w:rFonts w:ascii="Verdana" w:hAnsi="Verdana"/>
          <w:sz w:val="20"/>
          <w:szCs w:val="20"/>
          <w:lang w:val="pt-BR"/>
        </w:rPr>
        <w:t>outros</w:t>
      </w:r>
      <w:r w:rsidR="00407242" w:rsidRPr="0038442F">
        <w:rPr>
          <w:rFonts w:ascii="Verdana" w:hAnsi="Verdana"/>
          <w:sz w:val="20"/>
          <w:szCs w:val="20"/>
          <w:lang w:val="pt-BR"/>
        </w:rPr>
        <w:t xml:space="preserve"> </w:t>
      </w:r>
      <w:r w:rsidR="000A1AA8" w:rsidRPr="0038442F">
        <w:rPr>
          <w:rFonts w:ascii="Verdana" w:hAnsi="Verdana"/>
          <w:sz w:val="20"/>
          <w:szCs w:val="20"/>
          <w:lang w:val="pt-BR"/>
        </w:rPr>
        <w:t>atos</w:t>
      </w:r>
      <w:r w:rsidR="00407242" w:rsidRPr="0038442F">
        <w:rPr>
          <w:rFonts w:ascii="Verdana" w:hAnsi="Verdana"/>
          <w:sz w:val="20"/>
          <w:szCs w:val="20"/>
          <w:lang w:val="pt-BR"/>
        </w:rPr>
        <w:t xml:space="preserve"> </w:t>
      </w:r>
      <w:r w:rsidR="005135E5" w:rsidRPr="0038442F">
        <w:rPr>
          <w:rFonts w:ascii="Verdana" w:hAnsi="Verdana"/>
          <w:sz w:val="20"/>
          <w:szCs w:val="20"/>
          <w:lang w:val="pt-BR"/>
        </w:rPr>
        <w:t xml:space="preserve">ou omissões </w:t>
      </w:r>
      <w:r w:rsidR="00706529" w:rsidRPr="0038442F">
        <w:rPr>
          <w:rFonts w:ascii="Verdana" w:hAnsi="Verdana"/>
          <w:sz w:val="20"/>
          <w:szCs w:val="20"/>
          <w:lang w:val="pt-BR"/>
        </w:rPr>
        <w:t xml:space="preserve">por parte </w:t>
      </w:r>
      <w:r w:rsidR="00C92762" w:rsidRPr="0038442F">
        <w:rPr>
          <w:rFonts w:ascii="Verdana" w:hAnsi="Verdana"/>
          <w:sz w:val="20"/>
          <w:szCs w:val="20"/>
          <w:lang w:val="pt-BR"/>
        </w:rPr>
        <w:t xml:space="preserve">das </w:t>
      </w:r>
      <w:r w:rsidR="008E080F" w:rsidRPr="0038442F">
        <w:rPr>
          <w:rFonts w:ascii="Verdana" w:hAnsi="Verdana"/>
          <w:sz w:val="20"/>
          <w:szCs w:val="20"/>
          <w:lang w:val="pt-BR"/>
        </w:rPr>
        <w:t>autoridades</w:t>
      </w:r>
      <w:r w:rsidR="00BB701F" w:rsidRPr="0038442F">
        <w:rPr>
          <w:rFonts w:ascii="Verdana" w:hAnsi="Verdana"/>
          <w:sz w:val="20"/>
          <w:szCs w:val="20"/>
          <w:lang w:val="pt-BR"/>
        </w:rPr>
        <w:t>.</w:t>
      </w:r>
      <w:r w:rsidR="00706529" w:rsidRPr="0038442F">
        <w:rPr>
          <w:rStyle w:val="Refdenotaalpie"/>
          <w:rFonts w:ascii="Verdana" w:hAnsi="Verdana" w:cs="Arial"/>
          <w:sz w:val="20"/>
          <w:szCs w:val="20"/>
          <w:shd w:val="clear" w:color="auto" w:fill="FFFFFF"/>
          <w:lang w:val="pt-BR"/>
        </w:rPr>
        <w:footnoteReference w:id="127"/>
      </w:r>
      <w:r w:rsidR="00706529" w:rsidRPr="0038442F">
        <w:rPr>
          <w:rFonts w:ascii="Verdana" w:hAnsi="Verdana"/>
          <w:sz w:val="20"/>
          <w:szCs w:val="20"/>
          <w:lang w:val="pt-BR"/>
        </w:rPr>
        <w:t xml:space="preserve"> </w:t>
      </w:r>
    </w:p>
    <w:p w14:paraId="626C0226" w14:textId="77777777" w:rsidR="00706529" w:rsidRPr="0038442F" w:rsidRDefault="00706529" w:rsidP="00A857CB">
      <w:pPr>
        <w:pStyle w:val="Prrafodelista"/>
        <w:spacing w:line="240" w:lineRule="auto"/>
        <w:rPr>
          <w:rFonts w:ascii="Verdana" w:hAnsi="Verdana"/>
          <w:i/>
          <w:iCs/>
          <w:sz w:val="20"/>
          <w:szCs w:val="20"/>
          <w:lang w:val="pt-BR"/>
        </w:rPr>
      </w:pPr>
    </w:p>
    <w:p w14:paraId="649B5EF8" w14:textId="33ACC307" w:rsidR="00706529" w:rsidRPr="0038442F" w:rsidRDefault="00CC0959" w:rsidP="00CC0959">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77. </w:t>
      </w:r>
      <w:r w:rsidRPr="0038442F">
        <w:rPr>
          <w:rFonts w:ascii="Verdana" w:hAnsi="Verdana"/>
          <w:sz w:val="20"/>
          <w:szCs w:val="20"/>
          <w:lang w:val="pt-BR"/>
        </w:rPr>
        <w:tab/>
      </w:r>
      <w:r w:rsidR="007524D8" w:rsidRPr="0038442F">
        <w:rPr>
          <w:rFonts w:ascii="Verdana" w:hAnsi="Verdana"/>
          <w:sz w:val="20"/>
          <w:szCs w:val="20"/>
          <w:lang w:val="pt-BR"/>
        </w:rPr>
        <w:t>Isso posto, o</w:t>
      </w:r>
      <w:r w:rsidR="00751189" w:rsidRPr="0038442F">
        <w:rPr>
          <w:rFonts w:ascii="Verdana" w:hAnsi="Verdana"/>
          <w:sz w:val="20"/>
          <w:szCs w:val="20"/>
          <w:lang w:val="pt-BR"/>
        </w:rPr>
        <w:t xml:space="preserve"> </w:t>
      </w:r>
      <w:r w:rsidR="00706529" w:rsidRPr="0038442F">
        <w:rPr>
          <w:rFonts w:ascii="Verdana" w:hAnsi="Verdana"/>
          <w:sz w:val="20"/>
          <w:szCs w:val="20"/>
          <w:lang w:val="pt-BR"/>
        </w:rPr>
        <w:t xml:space="preserve">referido </w:t>
      </w:r>
      <w:r w:rsidR="007524D8" w:rsidRPr="0038442F">
        <w:rPr>
          <w:rFonts w:ascii="Verdana" w:hAnsi="Verdana"/>
          <w:sz w:val="20"/>
          <w:szCs w:val="20"/>
          <w:lang w:val="pt-BR"/>
        </w:rPr>
        <w:t xml:space="preserve">relatório especificou que, em </w:t>
      </w:r>
      <w:r w:rsidR="00F158D8" w:rsidRPr="0038442F">
        <w:rPr>
          <w:rFonts w:ascii="Verdana" w:hAnsi="Verdana"/>
          <w:sz w:val="20"/>
          <w:szCs w:val="20"/>
          <w:lang w:val="pt-BR"/>
        </w:rPr>
        <w:t>princípio</w:t>
      </w:r>
      <w:r w:rsidRPr="0038442F">
        <w:rPr>
          <w:rFonts w:ascii="Verdana" w:hAnsi="Verdana"/>
          <w:sz w:val="20"/>
          <w:szCs w:val="20"/>
          <w:lang w:val="pt-BR"/>
        </w:rPr>
        <w:t>,</w:t>
      </w:r>
      <w:r w:rsidR="00706529" w:rsidRPr="0038442F">
        <w:rPr>
          <w:rFonts w:ascii="Verdana" w:hAnsi="Verdana"/>
          <w:sz w:val="20"/>
          <w:szCs w:val="20"/>
          <w:lang w:val="pt-BR"/>
        </w:rPr>
        <w:t xml:space="preserve"> “</w:t>
      </w:r>
      <w:r w:rsidR="003B374E" w:rsidRPr="0038442F">
        <w:rPr>
          <w:rFonts w:ascii="Verdana" w:hAnsi="Verdana"/>
          <w:sz w:val="20"/>
          <w:szCs w:val="20"/>
          <w:lang w:val="pt-BR"/>
        </w:rPr>
        <w:t xml:space="preserve">o artigo </w:t>
      </w:r>
      <w:r w:rsidR="00706529" w:rsidRPr="0038442F">
        <w:rPr>
          <w:rFonts w:ascii="Verdana" w:hAnsi="Verdana"/>
          <w:sz w:val="20"/>
          <w:szCs w:val="20"/>
          <w:lang w:val="pt-BR"/>
        </w:rPr>
        <w:t xml:space="preserve">1 </w:t>
      </w:r>
      <w:r w:rsidR="009D16DD" w:rsidRPr="0038442F">
        <w:rPr>
          <w:rFonts w:ascii="Verdana" w:hAnsi="Verdana"/>
          <w:sz w:val="20"/>
          <w:szCs w:val="20"/>
          <w:lang w:val="pt-BR"/>
        </w:rPr>
        <w:t>garante</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a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706529" w:rsidRPr="0038442F">
        <w:rPr>
          <w:rFonts w:ascii="Verdana" w:hAnsi="Verdana"/>
          <w:sz w:val="20"/>
          <w:szCs w:val="20"/>
          <w:lang w:val="pt-BR"/>
        </w:rPr>
        <w:t>contra a discrimina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por parte </w:t>
      </w:r>
      <w:r w:rsidR="00C92762" w:rsidRPr="0038442F">
        <w:rPr>
          <w:rFonts w:ascii="Verdana" w:hAnsi="Verdana"/>
          <w:sz w:val="20"/>
          <w:szCs w:val="20"/>
          <w:lang w:val="pt-BR"/>
        </w:rPr>
        <w:t xml:space="preserve">das </w:t>
      </w:r>
      <w:r w:rsidR="00706529" w:rsidRPr="0038442F">
        <w:rPr>
          <w:rFonts w:ascii="Verdana" w:hAnsi="Verdana"/>
          <w:sz w:val="20"/>
          <w:szCs w:val="20"/>
          <w:lang w:val="pt-BR"/>
        </w:rPr>
        <w:t>autoridades. Es</w:t>
      </w:r>
      <w:r w:rsidR="007524D8" w:rsidRPr="0038442F">
        <w:rPr>
          <w:rFonts w:ascii="Verdana" w:hAnsi="Verdana"/>
          <w:sz w:val="20"/>
          <w:szCs w:val="20"/>
          <w:lang w:val="pt-BR"/>
        </w:rPr>
        <w:t>s</w:t>
      </w:r>
      <w:r w:rsidR="00706529" w:rsidRPr="0038442F">
        <w:rPr>
          <w:rFonts w:ascii="Verdana" w:hAnsi="Verdana"/>
          <w:sz w:val="20"/>
          <w:szCs w:val="20"/>
          <w:lang w:val="pt-BR"/>
        </w:rPr>
        <w:t xml:space="preserve">e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706529" w:rsidRPr="0038442F">
        <w:rPr>
          <w:rFonts w:ascii="Verdana" w:hAnsi="Verdana"/>
          <w:sz w:val="20"/>
          <w:szCs w:val="20"/>
          <w:lang w:val="pt-BR"/>
        </w:rPr>
        <w:t>n</w:t>
      </w:r>
      <w:r w:rsidR="007524D8" w:rsidRPr="0038442F">
        <w:rPr>
          <w:rFonts w:ascii="Verdana" w:hAnsi="Verdana"/>
          <w:sz w:val="20"/>
          <w:szCs w:val="20"/>
          <w:lang w:val="pt-BR"/>
        </w:rPr>
        <w:t>ã</w:t>
      </w:r>
      <w:r w:rsidR="00706529" w:rsidRPr="0038442F">
        <w:rPr>
          <w:rFonts w:ascii="Verdana" w:hAnsi="Verdana"/>
          <w:sz w:val="20"/>
          <w:szCs w:val="20"/>
          <w:lang w:val="pt-BR"/>
        </w:rPr>
        <w:t xml:space="preserve">o pretende impor </w:t>
      </w:r>
      <w:r w:rsidR="007524D8" w:rsidRPr="0038442F">
        <w:rPr>
          <w:rFonts w:ascii="Verdana" w:hAnsi="Verdana"/>
          <w:sz w:val="20"/>
          <w:szCs w:val="20"/>
          <w:lang w:val="pt-BR"/>
        </w:rPr>
        <w:t xml:space="preserve">às </w:t>
      </w:r>
      <w:r w:rsidR="00706529" w:rsidRPr="0038442F">
        <w:rPr>
          <w:rFonts w:ascii="Verdana" w:hAnsi="Verdana"/>
          <w:sz w:val="20"/>
          <w:szCs w:val="20"/>
          <w:lang w:val="pt-BR"/>
        </w:rPr>
        <w:t xml:space="preserve">Partes a </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positiva geral de tomar medidas para evitar </w:t>
      </w:r>
      <w:r w:rsidR="007524D8" w:rsidRPr="0038442F">
        <w:rPr>
          <w:rFonts w:ascii="Verdana" w:hAnsi="Verdana"/>
          <w:sz w:val="20"/>
          <w:szCs w:val="20"/>
          <w:lang w:val="pt-BR"/>
        </w:rPr>
        <w:t xml:space="preserve">qualquer caso </w:t>
      </w:r>
      <w:r w:rsidR="00706529" w:rsidRPr="0038442F">
        <w:rPr>
          <w:rFonts w:ascii="Verdana" w:hAnsi="Verdana"/>
          <w:sz w:val="20"/>
          <w:szCs w:val="20"/>
          <w:lang w:val="pt-BR"/>
        </w:rPr>
        <w:t>de discrimina</w:t>
      </w:r>
      <w:r w:rsidR="000A1AA8" w:rsidRPr="0038442F">
        <w:rPr>
          <w:rFonts w:ascii="Verdana" w:hAnsi="Verdana"/>
          <w:sz w:val="20"/>
          <w:szCs w:val="20"/>
          <w:lang w:val="pt-BR"/>
        </w:rPr>
        <w:t>ção</w:t>
      </w:r>
      <w:r w:rsidR="00F471D7" w:rsidRPr="0038442F">
        <w:rPr>
          <w:rFonts w:ascii="Verdana" w:hAnsi="Verdana"/>
          <w:sz w:val="20"/>
          <w:szCs w:val="20"/>
          <w:lang w:val="pt-BR"/>
        </w:rPr>
        <w:t>, ou pôr fim</w:t>
      </w:r>
      <w:r w:rsidR="00706529" w:rsidRPr="0038442F">
        <w:rPr>
          <w:rFonts w:ascii="Verdana" w:hAnsi="Verdana"/>
          <w:sz w:val="20"/>
          <w:szCs w:val="20"/>
          <w:lang w:val="pt-BR"/>
        </w:rPr>
        <w:t xml:space="preserve"> </w:t>
      </w:r>
      <w:r w:rsidR="00F471D7" w:rsidRPr="0038442F">
        <w:rPr>
          <w:rFonts w:ascii="Verdana" w:hAnsi="Verdana"/>
          <w:sz w:val="20"/>
          <w:szCs w:val="20"/>
          <w:lang w:val="pt-BR"/>
        </w:rPr>
        <w:t xml:space="preserve">a ele, </w:t>
      </w:r>
      <w:r w:rsidR="00CA30C5" w:rsidRPr="0038442F">
        <w:rPr>
          <w:rFonts w:ascii="Verdana" w:hAnsi="Verdana"/>
          <w:sz w:val="20"/>
          <w:szCs w:val="20"/>
          <w:lang w:val="pt-BR"/>
        </w:rPr>
        <w:t xml:space="preserve">nas </w:t>
      </w:r>
      <w:r w:rsidR="00706529" w:rsidRPr="0038442F">
        <w:rPr>
          <w:rFonts w:ascii="Verdana" w:hAnsi="Verdana"/>
          <w:sz w:val="20"/>
          <w:szCs w:val="20"/>
          <w:lang w:val="pt-BR"/>
        </w:rPr>
        <w:t>rela</w:t>
      </w:r>
      <w:r w:rsidR="000A1AA8" w:rsidRPr="0038442F">
        <w:rPr>
          <w:rFonts w:ascii="Verdana" w:hAnsi="Verdana"/>
          <w:sz w:val="20"/>
          <w:szCs w:val="20"/>
          <w:lang w:val="pt-BR"/>
        </w:rPr>
        <w:t>ções</w:t>
      </w:r>
      <w:r w:rsidR="00706529" w:rsidRPr="0038442F">
        <w:rPr>
          <w:rFonts w:ascii="Verdana" w:hAnsi="Verdana"/>
          <w:sz w:val="20"/>
          <w:szCs w:val="20"/>
          <w:lang w:val="pt-BR"/>
        </w:rPr>
        <w:t xml:space="preserve"> entre particulares”</w:t>
      </w:r>
      <w:r w:rsidR="007524D8" w:rsidRPr="0038442F">
        <w:rPr>
          <w:rFonts w:ascii="Verdana" w:hAnsi="Verdana"/>
          <w:sz w:val="20"/>
          <w:szCs w:val="20"/>
          <w:lang w:val="pt-BR"/>
        </w:rPr>
        <w:t>.</w:t>
      </w:r>
      <w:r w:rsidR="00706529" w:rsidRPr="0038442F">
        <w:rPr>
          <w:rStyle w:val="Refdenotaalpie"/>
          <w:rFonts w:ascii="Verdana" w:hAnsi="Verdana"/>
          <w:sz w:val="20"/>
          <w:szCs w:val="20"/>
          <w:lang w:val="pt-BR"/>
        </w:rPr>
        <w:footnoteReference w:id="128"/>
      </w:r>
      <w:r w:rsidR="00706529" w:rsidRPr="0038442F">
        <w:rPr>
          <w:rFonts w:ascii="Verdana" w:hAnsi="Verdana"/>
          <w:sz w:val="20"/>
          <w:szCs w:val="20"/>
          <w:lang w:val="pt-BR"/>
        </w:rPr>
        <w:t xml:space="preserve"> </w:t>
      </w:r>
      <w:r w:rsidR="007524D8" w:rsidRPr="0038442F">
        <w:rPr>
          <w:rFonts w:ascii="Verdana" w:hAnsi="Verdana"/>
          <w:sz w:val="20"/>
          <w:szCs w:val="20"/>
          <w:lang w:val="pt-BR"/>
        </w:rPr>
        <w:t>No entanto</w:t>
      </w:r>
      <w:r w:rsidR="00706529" w:rsidRPr="0038442F">
        <w:rPr>
          <w:rFonts w:ascii="Verdana" w:hAnsi="Verdana"/>
          <w:sz w:val="20"/>
          <w:szCs w:val="20"/>
          <w:lang w:val="pt-BR"/>
        </w:rPr>
        <w:t xml:space="preserve">, </w:t>
      </w:r>
      <w:r w:rsidR="006A12FD" w:rsidRPr="0038442F">
        <w:rPr>
          <w:rFonts w:ascii="Verdana" w:hAnsi="Verdana"/>
          <w:sz w:val="20"/>
          <w:szCs w:val="20"/>
          <w:lang w:val="pt-BR"/>
        </w:rPr>
        <w:t xml:space="preserve">considerou </w:t>
      </w:r>
      <w:r w:rsidR="00706529" w:rsidRPr="0038442F">
        <w:rPr>
          <w:rFonts w:ascii="Verdana" w:hAnsi="Verdana"/>
          <w:sz w:val="20"/>
          <w:szCs w:val="20"/>
          <w:lang w:val="pt-BR"/>
        </w:rPr>
        <w:t xml:space="preserve">que: </w:t>
      </w:r>
    </w:p>
    <w:p w14:paraId="379730E7" w14:textId="44933634" w:rsidR="00706529" w:rsidRPr="0038442F" w:rsidRDefault="00706529" w:rsidP="00A857CB">
      <w:pPr>
        <w:spacing w:before="100" w:beforeAutospacing="1" w:after="100" w:afterAutospacing="1"/>
        <w:ind w:left="708" w:right="615"/>
        <w:jc w:val="both"/>
        <w:rPr>
          <w:rFonts w:ascii="Verdana" w:hAnsi="Verdana"/>
          <w:sz w:val="16"/>
          <w:szCs w:val="16"/>
          <w:lang w:val="pt-BR"/>
        </w:rPr>
      </w:pPr>
      <w:r w:rsidRPr="0038442F">
        <w:rPr>
          <w:rFonts w:ascii="Verdana" w:hAnsi="Verdana"/>
          <w:sz w:val="16"/>
          <w:szCs w:val="16"/>
          <w:lang w:val="pt-BR"/>
        </w:rPr>
        <w:t xml:space="preserve">26. </w:t>
      </w:r>
      <w:r w:rsidR="00332F07" w:rsidRPr="0038442F">
        <w:rPr>
          <w:rFonts w:ascii="Verdana" w:hAnsi="Verdana"/>
          <w:sz w:val="16"/>
          <w:szCs w:val="16"/>
          <w:lang w:val="pt-BR"/>
        </w:rPr>
        <w:t>[…]</w:t>
      </w:r>
      <w:r w:rsidRPr="0038442F">
        <w:rPr>
          <w:rFonts w:ascii="Verdana" w:hAnsi="Verdana"/>
          <w:b/>
          <w:bCs/>
          <w:sz w:val="16"/>
          <w:szCs w:val="16"/>
          <w:lang w:val="pt-BR"/>
        </w:rPr>
        <w:t xml:space="preserve"> </w:t>
      </w:r>
      <w:r w:rsidRPr="0038442F">
        <w:rPr>
          <w:rFonts w:ascii="Verdana" w:hAnsi="Verdana"/>
          <w:bCs/>
          <w:i/>
          <w:sz w:val="16"/>
          <w:szCs w:val="16"/>
          <w:lang w:val="pt-BR"/>
        </w:rPr>
        <w:t>n</w:t>
      </w:r>
      <w:r w:rsidR="00B93CBF" w:rsidRPr="0038442F">
        <w:rPr>
          <w:rFonts w:ascii="Verdana" w:hAnsi="Verdana"/>
          <w:bCs/>
          <w:i/>
          <w:sz w:val="16"/>
          <w:szCs w:val="16"/>
          <w:lang w:val="pt-BR"/>
        </w:rPr>
        <w:t>ã</w:t>
      </w:r>
      <w:r w:rsidRPr="0038442F">
        <w:rPr>
          <w:rFonts w:ascii="Verdana" w:hAnsi="Verdana"/>
          <w:bCs/>
          <w:i/>
          <w:sz w:val="16"/>
          <w:szCs w:val="16"/>
          <w:lang w:val="pt-BR"/>
        </w:rPr>
        <w:t xml:space="preserve">o se </w:t>
      </w:r>
      <w:r w:rsidR="00BB665E" w:rsidRPr="0038442F">
        <w:rPr>
          <w:rFonts w:ascii="Verdana" w:hAnsi="Verdana"/>
          <w:bCs/>
          <w:i/>
          <w:sz w:val="16"/>
          <w:szCs w:val="16"/>
          <w:lang w:val="pt-BR"/>
        </w:rPr>
        <w:t>pode</w:t>
      </w:r>
      <w:r w:rsidR="00407242" w:rsidRPr="0038442F">
        <w:rPr>
          <w:rFonts w:ascii="Verdana" w:hAnsi="Verdana"/>
          <w:bCs/>
          <w:i/>
          <w:sz w:val="16"/>
          <w:szCs w:val="16"/>
          <w:lang w:val="pt-BR"/>
        </w:rPr>
        <w:t xml:space="preserve"> </w:t>
      </w:r>
      <w:r w:rsidRPr="0038442F">
        <w:rPr>
          <w:rFonts w:ascii="Verdana" w:hAnsi="Verdana"/>
          <w:bCs/>
          <w:i/>
          <w:sz w:val="16"/>
          <w:szCs w:val="16"/>
          <w:lang w:val="pt-BR"/>
        </w:rPr>
        <w:t xml:space="preserve">descartar totalmente que </w:t>
      </w:r>
      <w:r w:rsidR="00B93CBF" w:rsidRPr="0038442F">
        <w:rPr>
          <w:rFonts w:ascii="Verdana" w:hAnsi="Verdana"/>
          <w:bCs/>
          <w:i/>
          <w:sz w:val="16"/>
          <w:szCs w:val="16"/>
          <w:lang w:val="pt-BR"/>
        </w:rPr>
        <w:t xml:space="preserve">o </w:t>
      </w:r>
      <w:r w:rsidR="00A97590" w:rsidRPr="0038442F">
        <w:rPr>
          <w:rFonts w:ascii="Verdana" w:hAnsi="Verdana"/>
          <w:bCs/>
          <w:i/>
          <w:sz w:val="16"/>
          <w:szCs w:val="16"/>
          <w:lang w:val="pt-BR"/>
        </w:rPr>
        <w:t>dever</w:t>
      </w:r>
      <w:r w:rsidR="00407242" w:rsidRPr="0038442F">
        <w:rPr>
          <w:rFonts w:ascii="Verdana" w:hAnsi="Verdana"/>
          <w:bCs/>
          <w:i/>
          <w:sz w:val="16"/>
          <w:szCs w:val="16"/>
          <w:lang w:val="pt-BR"/>
        </w:rPr>
        <w:t xml:space="preserve"> </w:t>
      </w:r>
      <w:r w:rsidRPr="0038442F">
        <w:rPr>
          <w:rFonts w:ascii="Verdana" w:hAnsi="Verdana"/>
          <w:bCs/>
          <w:i/>
          <w:sz w:val="16"/>
          <w:szCs w:val="16"/>
          <w:lang w:val="pt-BR"/>
        </w:rPr>
        <w:t>de «as</w:t>
      </w:r>
      <w:r w:rsidR="00B93CBF" w:rsidRPr="0038442F">
        <w:rPr>
          <w:rFonts w:ascii="Verdana" w:hAnsi="Verdana"/>
          <w:bCs/>
          <w:i/>
          <w:sz w:val="16"/>
          <w:szCs w:val="16"/>
          <w:lang w:val="pt-BR"/>
        </w:rPr>
        <w:t>s</w:t>
      </w:r>
      <w:r w:rsidRPr="0038442F">
        <w:rPr>
          <w:rFonts w:ascii="Verdana" w:hAnsi="Verdana"/>
          <w:bCs/>
          <w:i/>
          <w:sz w:val="16"/>
          <w:szCs w:val="16"/>
          <w:lang w:val="pt-BR"/>
        </w:rPr>
        <w:t xml:space="preserve">egurar» que figura </w:t>
      </w:r>
      <w:r w:rsidR="00751189" w:rsidRPr="0038442F">
        <w:rPr>
          <w:rFonts w:ascii="Verdana" w:hAnsi="Verdana"/>
          <w:bCs/>
          <w:i/>
          <w:sz w:val="16"/>
          <w:szCs w:val="16"/>
          <w:lang w:val="pt-BR"/>
        </w:rPr>
        <w:t xml:space="preserve">no </w:t>
      </w:r>
      <w:r w:rsidR="00B93CBF" w:rsidRPr="0038442F">
        <w:rPr>
          <w:rFonts w:ascii="Verdana" w:hAnsi="Verdana"/>
          <w:bCs/>
          <w:i/>
          <w:sz w:val="16"/>
          <w:szCs w:val="16"/>
          <w:lang w:val="pt-BR"/>
        </w:rPr>
        <w:t xml:space="preserve">primeiro parágrafo </w:t>
      </w:r>
      <w:r w:rsidR="00751189" w:rsidRPr="0038442F">
        <w:rPr>
          <w:rFonts w:ascii="Verdana" w:hAnsi="Verdana"/>
          <w:bCs/>
          <w:i/>
          <w:sz w:val="16"/>
          <w:szCs w:val="16"/>
          <w:lang w:val="pt-BR"/>
        </w:rPr>
        <w:t xml:space="preserve">do artigo </w:t>
      </w:r>
      <w:r w:rsidRPr="0038442F">
        <w:rPr>
          <w:rFonts w:ascii="Verdana" w:hAnsi="Verdana"/>
          <w:bCs/>
          <w:i/>
          <w:sz w:val="16"/>
          <w:szCs w:val="16"/>
          <w:lang w:val="pt-BR"/>
        </w:rPr>
        <w:t xml:space="preserve">1 implique </w:t>
      </w:r>
      <w:r w:rsidR="00984A83" w:rsidRPr="0038442F">
        <w:rPr>
          <w:rFonts w:ascii="Verdana" w:hAnsi="Verdana"/>
          <w:bCs/>
          <w:i/>
          <w:sz w:val="16"/>
          <w:szCs w:val="16"/>
          <w:lang w:val="pt-BR"/>
        </w:rPr>
        <w:t>obrigações</w:t>
      </w:r>
      <w:r w:rsidR="00407242" w:rsidRPr="0038442F">
        <w:rPr>
          <w:rFonts w:ascii="Verdana" w:hAnsi="Verdana"/>
          <w:bCs/>
          <w:i/>
          <w:sz w:val="16"/>
          <w:szCs w:val="16"/>
          <w:lang w:val="pt-BR"/>
        </w:rPr>
        <w:t xml:space="preserve"> </w:t>
      </w:r>
      <w:r w:rsidRPr="0038442F">
        <w:rPr>
          <w:rFonts w:ascii="Verdana" w:hAnsi="Verdana"/>
          <w:bCs/>
          <w:i/>
          <w:sz w:val="16"/>
          <w:szCs w:val="16"/>
          <w:lang w:val="pt-BR"/>
        </w:rPr>
        <w:t>positivas.</w:t>
      </w:r>
      <w:r w:rsidRPr="0038442F">
        <w:rPr>
          <w:rFonts w:ascii="Verdana" w:hAnsi="Verdana"/>
          <w:sz w:val="16"/>
          <w:szCs w:val="16"/>
          <w:lang w:val="pt-BR"/>
        </w:rPr>
        <w:t xml:space="preserve"> Es</w:t>
      </w:r>
      <w:r w:rsidR="00B93CBF" w:rsidRPr="0038442F">
        <w:rPr>
          <w:rFonts w:ascii="Verdana" w:hAnsi="Verdana"/>
          <w:sz w:val="16"/>
          <w:szCs w:val="16"/>
          <w:lang w:val="pt-BR"/>
        </w:rPr>
        <w:t>s</w:t>
      </w:r>
      <w:r w:rsidRPr="0038442F">
        <w:rPr>
          <w:rFonts w:ascii="Verdana" w:hAnsi="Verdana"/>
          <w:sz w:val="16"/>
          <w:szCs w:val="16"/>
          <w:lang w:val="pt-BR"/>
        </w:rPr>
        <w:t xml:space="preserve">a </w:t>
      </w:r>
      <w:r w:rsidR="00F158D8" w:rsidRPr="0038442F">
        <w:rPr>
          <w:rFonts w:ascii="Verdana" w:hAnsi="Verdana"/>
          <w:sz w:val="16"/>
          <w:szCs w:val="16"/>
          <w:lang w:val="pt-BR"/>
        </w:rPr>
        <w:t>questão</w:t>
      </w:r>
      <w:r w:rsidR="00407242" w:rsidRPr="0038442F">
        <w:rPr>
          <w:rFonts w:ascii="Verdana" w:hAnsi="Verdana"/>
          <w:sz w:val="16"/>
          <w:szCs w:val="16"/>
          <w:lang w:val="pt-BR"/>
        </w:rPr>
        <w:t xml:space="preserve"> </w:t>
      </w:r>
      <w:r w:rsidR="00BB665E" w:rsidRPr="0038442F">
        <w:rPr>
          <w:rFonts w:ascii="Verdana" w:hAnsi="Verdana"/>
          <w:sz w:val="16"/>
          <w:szCs w:val="16"/>
          <w:lang w:val="pt-BR"/>
        </w:rPr>
        <w:t>pode</w:t>
      </w:r>
      <w:r w:rsidR="00407242" w:rsidRPr="0038442F">
        <w:rPr>
          <w:rFonts w:ascii="Verdana" w:hAnsi="Verdana"/>
          <w:sz w:val="16"/>
          <w:szCs w:val="16"/>
          <w:lang w:val="pt-BR"/>
        </w:rPr>
        <w:t xml:space="preserve"> </w:t>
      </w:r>
      <w:r w:rsidR="00B93CBF" w:rsidRPr="0038442F">
        <w:rPr>
          <w:rFonts w:ascii="Verdana" w:hAnsi="Verdana"/>
          <w:sz w:val="16"/>
          <w:szCs w:val="16"/>
          <w:lang w:val="pt-BR"/>
        </w:rPr>
        <w:t xml:space="preserve">ser suscitada, </w:t>
      </w:r>
      <w:r w:rsidRPr="0038442F">
        <w:rPr>
          <w:rFonts w:ascii="Verdana" w:hAnsi="Verdana"/>
          <w:bCs/>
          <w:i/>
          <w:sz w:val="16"/>
          <w:szCs w:val="16"/>
          <w:lang w:val="pt-BR"/>
        </w:rPr>
        <w:t xml:space="preserve">por </w:t>
      </w:r>
      <w:r w:rsidR="00D45B15" w:rsidRPr="0038442F">
        <w:rPr>
          <w:rFonts w:ascii="Verdana" w:hAnsi="Verdana"/>
          <w:bCs/>
          <w:i/>
          <w:sz w:val="16"/>
          <w:szCs w:val="16"/>
          <w:lang w:val="pt-BR"/>
        </w:rPr>
        <w:t>exemplo</w:t>
      </w:r>
      <w:r w:rsidRPr="0038442F">
        <w:rPr>
          <w:rFonts w:ascii="Verdana" w:hAnsi="Verdana"/>
          <w:bCs/>
          <w:i/>
          <w:sz w:val="16"/>
          <w:szCs w:val="16"/>
          <w:lang w:val="pt-BR"/>
        </w:rPr>
        <w:t xml:space="preserve">, </w:t>
      </w:r>
      <w:r w:rsidR="00B93CBF" w:rsidRPr="0038442F">
        <w:rPr>
          <w:rFonts w:ascii="Verdana" w:hAnsi="Verdana"/>
          <w:bCs/>
          <w:i/>
          <w:sz w:val="16"/>
          <w:szCs w:val="16"/>
          <w:lang w:val="pt-BR"/>
        </w:rPr>
        <w:t>q</w:t>
      </w:r>
      <w:r w:rsidRPr="0038442F">
        <w:rPr>
          <w:rFonts w:ascii="Verdana" w:hAnsi="Verdana"/>
          <w:bCs/>
          <w:i/>
          <w:sz w:val="16"/>
          <w:szCs w:val="16"/>
          <w:lang w:val="pt-BR"/>
        </w:rPr>
        <w:t>uando exista u</w:t>
      </w:r>
      <w:r w:rsidR="00B93CBF" w:rsidRPr="0038442F">
        <w:rPr>
          <w:rFonts w:ascii="Verdana" w:hAnsi="Verdana"/>
          <w:bCs/>
          <w:i/>
          <w:sz w:val="16"/>
          <w:szCs w:val="16"/>
          <w:lang w:val="pt-BR"/>
        </w:rPr>
        <w:t xml:space="preserve">m vazio </w:t>
      </w:r>
      <w:r w:rsidRPr="0038442F">
        <w:rPr>
          <w:rFonts w:ascii="Verdana" w:hAnsi="Verdana"/>
          <w:bCs/>
          <w:i/>
          <w:sz w:val="16"/>
          <w:szCs w:val="16"/>
          <w:lang w:val="pt-BR"/>
        </w:rPr>
        <w:t xml:space="preserve">manifesto </w:t>
      </w:r>
      <w:r w:rsidR="00BF7A10" w:rsidRPr="0038442F">
        <w:rPr>
          <w:rFonts w:ascii="Verdana" w:hAnsi="Verdana"/>
          <w:bCs/>
          <w:i/>
          <w:sz w:val="16"/>
          <w:szCs w:val="16"/>
          <w:lang w:val="pt-BR"/>
        </w:rPr>
        <w:t xml:space="preserve">na </w:t>
      </w:r>
      <w:r w:rsidR="00751189" w:rsidRPr="0038442F">
        <w:rPr>
          <w:rFonts w:ascii="Verdana" w:hAnsi="Verdana"/>
          <w:bCs/>
          <w:i/>
          <w:sz w:val="16"/>
          <w:szCs w:val="16"/>
          <w:lang w:val="pt-BR"/>
        </w:rPr>
        <w:t>proteção</w:t>
      </w:r>
      <w:r w:rsidR="00407242" w:rsidRPr="0038442F">
        <w:rPr>
          <w:rFonts w:ascii="Verdana" w:hAnsi="Verdana"/>
          <w:bCs/>
          <w:i/>
          <w:sz w:val="16"/>
          <w:szCs w:val="16"/>
          <w:lang w:val="pt-BR"/>
        </w:rPr>
        <w:t xml:space="preserve"> </w:t>
      </w:r>
      <w:r w:rsidR="00247F19" w:rsidRPr="0038442F">
        <w:rPr>
          <w:rFonts w:ascii="Verdana" w:hAnsi="Verdana"/>
          <w:bCs/>
          <w:i/>
          <w:sz w:val="16"/>
          <w:szCs w:val="16"/>
          <w:lang w:val="pt-BR"/>
        </w:rPr>
        <w:t>oferecida</w:t>
      </w:r>
      <w:r w:rsidRPr="0038442F">
        <w:rPr>
          <w:rFonts w:ascii="Verdana" w:hAnsi="Verdana"/>
          <w:bCs/>
          <w:i/>
          <w:sz w:val="16"/>
          <w:szCs w:val="16"/>
          <w:lang w:val="pt-BR"/>
        </w:rPr>
        <w:t xml:space="preserve"> </w:t>
      </w:r>
      <w:r w:rsidR="00D45B15" w:rsidRPr="0038442F">
        <w:rPr>
          <w:rFonts w:ascii="Verdana" w:hAnsi="Verdana"/>
          <w:bCs/>
          <w:i/>
          <w:sz w:val="16"/>
          <w:szCs w:val="16"/>
          <w:lang w:val="pt-BR"/>
        </w:rPr>
        <w:t xml:space="preserve">pelo </w:t>
      </w:r>
      <w:r w:rsidR="00CA30C5" w:rsidRPr="0038442F">
        <w:rPr>
          <w:rFonts w:ascii="Verdana" w:hAnsi="Verdana"/>
          <w:bCs/>
          <w:i/>
          <w:sz w:val="16"/>
          <w:szCs w:val="16"/>
          <w:lang w:val="pt-BR"/>
        </w:rPr>
        <w:t>direito</w:t>
      </w:r>
      <w:r w:rsidR="00407242" w:rsidRPr="0038442F">
        <w:rPr>
          <w:rFonts w:ascii="Verdana" w:hAnsi="Verdana"/>
          <w:bCs/>
          <w:i/>
          <w:sz w:val="16"/>
          <w:szCs w:val="16"/>
          <w:lang w:val="pt-BR"/>
        </w:rPr>
        <w:t xml:space="preserve"> </w:t>
      </w:r>
      <w:r w:rsidRPr="0038442F">
        <w:rPr>
          <w:rFonts w:ascii="Verdana" w:hAnsi="Verdana"/>
          <w:bCs/>
          <w:i/>
          <w:sz w:val="16"/>
          <w:szCs w:val="16"/>
          <w:lang w:val="pt-BR"/>
        </w:rPr>
        <w:t>nacional contra a discrimina</w:t>
      </w:r>
      <w:r w:rsidR="000A1AA8" w:rsidRPr="0038442F">
        <w:rPr>
          <w:rFonts w:ascii="Verdana" w:hAnsi="Verdana"/>
          <w:bCs/>
          <w:i/>
          <w:sz w:val="16"/>
          <w:szCs w:val="16"/>
          <w:lang w:val="pt-BR"/>
        </w:rPr>
        <w:t>ção</w:t>
      </w:r>
      <w:r w:rsidRPr="0038442F">
        <w:rPr>
          <w:rFonts w:ascii="Verdana" w:hAnsi="Verdana"/>
          <w:i/>
          <w:sz w:val="16"/>
          <w:szCs w:val="16"/>
          <w:lang w:val="pt-BR"/>
        </w:rPr>
        <w:t xml:space="preserve">. </w:t>
      </w:r>
      <w:r w:rsidR="00B93CBF" w:rsidRPr="0038442F">
        <w:rPr>
          <w:rFonts w:ascii="Verdana" w:hAnsi="Verdana"/>
          <w:i/>
          <w:sz w:val="16"/>
          <w:szCs w:val="16"/>
          <w:lang w:val="pt-BR"/>
        </w:rPr>
        <w:t xml:space="preserve">No que se refere mais </w:t>
      </w:r>
      <w:r w:rsidR="00C92762" w:rsidRPr="0038442F">
        <w:rPr>
          <w:rFonts w:ascii="Verdana" w:hAnsi="Verdana"/>
          <w:bCs/>
          <w:i/>
          <w:sz w:val="16"/>
          <w:szCs w:val="16"/>
          <w:lang w:val="pt-BR"/>
        </w:rPr>
        <w:t>especificamente</w:t>
      </w:r>
      <w:r w:rsidR="00407242" w:rsidRPr="0038442F">
        <w:rPr>
          <w:rFonts w:ascii="Verdana" w:hAnsi="Verdana"/>
          <w:bCs/>
          <w:i/>
          <w:sz w:val="16"/>
          <w:szCs w:val="16"/>
          <w:lang w:val="pt-BR"/>
        </w:rPr>
        <w:t xml:space="preserve"> </w:t>
      </w:r>
      <w:r w:rsidR="00B93CBF" w:rsidRPr="0038442F">
        <w:rPr>
          <w:rFonts w:ascii="Verdana" w:hAnsi="Verdana"/>
          <w:bCs/>
          <w:i/>
          <w:sz w:val="16"/>
          <w:szCs w:val="16"/>
          <w:lang w:val="pt-BR"/>
        </w:rPr>
        <w:t xml:space="preserve">às </w:t>
      </w:r>
      <w:r w:rsidRPr="0038442F">
        <w:rPr>
          <w:rFonts w:ascii="Verdana" w:hAnsi="Verdana"/>
          <w:bCs/>
          <w:i/>
          <w:sz w:val="16"/>
          <w:szCs w:val="16"/>
          <w:lang w:val="pt-BR"/>
        </w:rPr>
        <w:t>rela</w:t>
      </w:r>
      <w:r w:rsidR="000A1AA8" w:rsidRPr="0038442F">
        <w:rPr>
          <w:rFonts w:ascii="Verdana" w:hAnsi="Verdana"/>
          <w:bCs/>
          <w:i/>
          <w:sz w:val="16"/>
          <w:szCs w:val="16"/>
          <w:lang w:val="pt-BR"/>
        </w:rPr>
        <w:t>ções</w:t>
      </w:r>
      <w:r w:rsidRPr="0038442F">
        <w:rPr>
          <w:rFonts w:ascii="Verdana" w:hAnsi="Verdana"/>
          <w:bCs/>
          <w:i/>
          <w:sz w:val="16"/>
          <w:szCs w:val="16"/>
          <w:lang w:val="pt-BR"/>
        </w:rPr>
        <w:t xml:space="preserve"> entre particulares, a aus</w:t>
      </w:r>
      <w:r w:rsidR="00B93CBF" w:rsidRPr="0038442F">
        <w:rPr>
          <w:rFonts w:ascii="Verdana" w:hAnsi="Verdana"/>
          <w:bCs/>
          <w:i/>
          <w:sz w:val="16"/>
          <w:szCs w:val="16"/>
          <w:lang w:val="pt-BR"/>
        </w:rPr>
        <w:t>ê</w:t>
      </w:r>
      <w:r w:rsidRPr="0038442F">
        <w:rPr>
          <w:rFonts w:ascii="Verdana" w:hAnsi="Verdana"/>
          <w:bCs/>
          <w:i/>
          <w:sz w:val="16"/>
          <w:szCs w:val="16"/>
          <w:lang w:val="pt-BR"/>
        </w:rPr>
        <w:t xml:space="preserve">ncia de </w:t>
      </w:r>
      <w:r w:rsidR="00751189" w:rsidRPr="0038442F">
        <w:rPr>
          <w:rFonts w:ascii="Verdana" w:hAnsi="Verdana"/>
          <w:bCs/>
          <w:i/>
          <w:sz w:val="16"/>
          <w:szCs w:val="16"/>
          <w:lang w:val="pt-BR"/>
        </w:rPr>
        <w:t>proteção</w:t>
      </w:r>
      <w:r w:rsidR="00407242" w:rsidRPr="0038442F">
        <w:rPr>
          <w:rFonts w:ascii="Verdana" w:hAnsi="Verdana"/>
          <w:bCs/>
          <w:i/>
          <w:sz w:val="16"/>
          <w:szCs w:val="16"/>
          <w:lang w:val="pt-BR"/>
        </w:rPr>
        <w:t xml:space="preserve"> </w:t>
      </w:r>
      <w:r w:rsidRPr="0038442F">
        <w:rPr>
          <w:rFonts w:ascii="Verdana" w:hAnsi="Verdana"/>
          <w:bCs/>
          <w:i/>
          <w:sz w:val="16"/>
          <w:szCs w:val="16"/>
          <w:lang w:val="pt-BR"/>
        </w:rPr>
        <w:t>contra a discrimina</w:t>
      </w:r>
      <w:r w:rsidR="000A1AA8" w:rsidRPr="0038442F">
        <w:rPr>
          <w:rFonts w:ascii="Verdana" w:hAnsi="Verdana"/>
          <w:bCs/>
          <w:i/>
          <w:sz w:val="16"/>
          <w:szCs w:val="16"/>
          <w:lang w:val="pt-BR"/>
        </w:rPr>
        <w:t>ção</w:t>
      </w:r>
      <w:r w:rsidRPr="0038442F">
        <w:rPr>
          <w:rFonts w:ascii="Verdana" w:hAnsi="Verdana"/>
          <w:bCs/>
          <w:i/>
          <w:sz w:val="16"/>
          <w:szCs w:val="16"/>
          <w:lang w:val="pt-BR"/>
        </w:rPr>
        <w:t xml:space="preserve"> ne</w:t>
      </w:r>
      <w:r w:rsidR="00B93CBF" w:rsidRPr="0038442F">
        <w:rPr>
          <w:rFonts w:ascii="Verdana" w:hAnsi="Verdana"/>
          <w:bCs/>
          <w:i/>
          <w:sz w:val="16"/>
          <w:szCs w:val="16"/>
          <w:lang w:val="pt-BR"/>
        </w:rPr>
        <w:t>s</w:t>
      </w:r>
      <w:r w:rsidRPr="0038442F">
        <w:rPr>
          <w:rFonts w:ascii="Verdana" w:hAnsi="Verdana"/>
          <w:bCs/>
          <w:i/>
          <w:sz w:val="16"/>
          <w:szCs w:val="16"/>
          <w:lang w:val="pt-BR"/>
        </w:rPr>
        <w:t>sas rela</w:t>
      </w:r>
      <w:r w:rsidR="000A1AA8" w:rsidRPr="0038442F">
        <w:rPr>
          <w:rFonts w:ascii="Verdana" w:hAnsi="Verdana"/>
          <w:bCs/>
          <w:i/>
          <w:sz w:val="16"/>
          <w:szCs w:val="16"/>
          <w:lang w:val="pt-BR"/>
        </w:rPr>
        <w:t>ções</w:t>
      </w:r>
      <w:r w:rsidRPr="0038442F">
        <w:rPr>
          <w:rFonts w:ascii="Verdana" w:hAnsi="Verdana"/>
          <w:bCs/>
          <w:i/>
          <w:sz w:val="16"/>
          <w:szCs w:val="16"/>
          <w:lang w:val="pt-BR"/>
        </w:rPr>
        <w:t xml:space="preserve"> </w:t>
      </w:r>
      <w:r w:rsidR="00B93CBF" w:rsidRPr="0038442F">
        <w:rPr>
          <w:rFonts w:ascii="Verdana" w:hAnsi="Verdana"/>
          <w:bCs/>
          <w:i/>
          <w:sz w:val="16"/>
          <w:szCs w:val="16"/>
          <w:lang w:val="pt-BR"/>
        </w:rPr>
        <w:t xml:space="preserve">poderia </w:t>
      </w:r>
      <w:r w:rsidRPr="0038442F">
        <w:rPr>
          <w:rFonts w:ascii="Verdana" w:hAnsi="Verdana"/>
          <w:bCs/>
          <w:i/>
          <w:sz w:val="16"/>
          <w:szCs w:val="16"/>
          <w:lang w:val="pt-BR"/>
        </w:rPr>
        <w:t xml:space="preserve">ser </w:t>
      </w:r>
      <w:r w:rsidR="00B93CBF" w:rsidRPr="0038442F">
        <w:rPr>
          <w:rFonts w:ascii="Verdana" w:hAnsi="Verdana"/>
          <w:bCs/>
          <w:i/>
          <w:sz w:val="16"/>
          <w:szCs w:val="16"/>
          <w:lang w:val="pt-BR"/>
        </w:rPr>
        <w:t>tão nítida e</w:t>
      </w:r>
      <w:r w:rsidRPr="0038442F">
        <w:rPr>
          <w:rFonts w:ascii="Verdana" w:hAnsi="Verdana"/>
          <w:bCs/>
          <w:i/>
          <w:sz w:val="16"/>
          <w:szCs w:val="16"/>
          <w:lang w:val="pt-BR"/>
        </w:rPr>
        <w:t xml:space="preserve"> grave que implicar</w:t>
      </w:r>
      <w:r w:rsidR="00B93CBF" w:rsidRPr="0038442F">
        <w:rPr>
          <w:rFonts w:ascii="Verdana" w:hAnsi="Verdana"/>
          <w:bCs/>
          <w:i/>
          <w:sz w:val="16"/>
          <w:szCs w:val="16"/>
          <w:lang w:val="pt-BR"/>
        </w:rPr>
        <w:t>i</w:t>
      </w:r>
      <w:r w:rsidRPr="0038442F">
        <w:rPr>
          <w:rFonts w:ascii="Verdana" w:hAnsi="Verdana"/>
          <w:bCs/>
          <w:i/>
          <w:sz w:val="16"/>
          <w:szCs w:val="16"/>
          <w:lang w:val="pt-BR"/>
        </w:rPr>
        <w:t xml:space="preserve">a claramente a </w:t>
      </w:r>
      <w:r w:rsidR="00C92762" w:rsidRPr="0038442F">
        <w:rPr>
          <w:rFonts w:ascii="Verdana" w:hAnsi="Verdana"/>
          <w:bCs/>
          <w:i/>
          <w:sz w:val="16"/>
          <w:szCs w:val="16"/>
          <w:lang w:val="pt-BR"/>
        </w:rPr>
        <w:t>responsabilidade</w:t>
      </w:r>
      <w:r w:rsidR="00407242" w:rsidRPr="0038442F">
        <w:rPr>
          <w:rFonts w:ascii="Verdana" w:hAnsi="Verdana"/>
          <w:bCs/>
          <w:i/>
          <w:sz w:val="16"/>
          <w:szCs w:val="16"/>
          <w:lang w:val="pt-BR"/>
        </w:rPr>
        <w:t xml:space="preserve"> </w:t>
      </w:r>
      <w:r w:rsidRPr="0038442F">
        <w:rPr>
          <w:rFonts w:ascii="Verdana" w:hAnsi="Verdana"/>
          <w:bCs/>
          <w:i/>
          <w:sz w:val="16"/>
          <w:szCs w:val="16"/>
          <w:lang w:val="pt-BR"/>
        </w:rPr>
        <w:t>d</w:t>
      </w:r>
      <w:r w:rsidR="000A1AA8" w:rsidRPr="0038442F">
        <w:rPr>
          <w:rFonts w:ascii="Verdana" w:hAnsi="Verdana"/>
          <w:bCs/>
          <w:i/>
          <w:sz w:val="16"/>
          <w:szCs w:val="16"/>
          <w:lang w:val="pt-BR"/>
        </w:rPr>
        <w:t xml:space="preserve">o Estado </w:t>
      </w:r>
      <w:r w:rsidR="00B93CBF" w:rsidRPr="0038442F">
        <w:rPr>
          <w:rFonts w:ascii="Verdana" w:hAnsi="Verdana"/>
          <w:bCs/>
          <w:i/>
          <w:sz w:val="16"/>
          <w:szCs w:val="16"/>
          <w:lang w:val="pt-BR"/>
        </w:rPr>
        <w:t xml:space="preserve">e colocaria em jogo o </w:t>
      </w:r>
      <w:r w:rsidR="003B374E" w:rsidRPr="0038442F">
        <w:rPr>
          <w:rFonts w:ascii="Verdana" w:hAnsi="Verdana"/>
          <w:bCs/>
          <w:i/>
          <w:sz w:val="16"/>
          <w:szCs w:val="16"/>
          <w:lang w:val="pt-BR"/>
        </w:rPr>
        <w:t xml:space="preserve">artigo </w:t>
      </w:r>
      <w:r w:rsidRPr="0038442F">
        <w:rPr>
          <w:rFonts w:ascii="Verdana" w:hAnsi="Verdana"/>
          <w:bCs/>
          <w:i/>
          <w:sz w:val="16"/>
          <w:szCs w:val="16"/>
          <w:lang w:val="pt-BR"/>
        </w:rPr>
        <w:t>1 d</w:t>
      </w:r>
      <w:r w:rsidR="00B93CBF" w:rsidRPr="0038442F">
        <w:rPr>
          <w:rFonts w:ascii="Verdana" w:hAnsi="Verdana"/>
          <w:bCs/>
          <w:i/>
          <w:sz w:val="16"/>
          <w:szCs w:val="16"/>
          <w:lang w:val="pt-BR"/>
        </w:rPr>
        <w:t>o</w:t>
      </w:r>
      <w:r w:rsidRPr="0038442F">
        <w:rPr>
          <w:rFonts w:ascii="Verdana" w:hAnsi="Verdana"/>
          <w:bCs/>
          <w:i/>
          <w:sz w:val="16"/>
          <w:szCs w:val="16"/>
          <w:lang w:val="pt-BR"/>
        </w:rPr>
        <w:t xml:space="preserve"> Protocolo</w:t>
      </w:r>
      <w:r w:rsidRPr="0038442F">
        <w:rPr>
          <w:rFonts w:ascii="Verdana" w:hAnsi="Verdana"/>
          <w:i/>
          <w:sz w:val="16"/>
          <w:szCs w:val="16"/>
          <w:lang w:val="pt-BR"/>
        </w:rPr>
        <w:t xml:space="preserve">. </w:t>
      </w:r>
    </w:p>
    <w:p w14:paraId="3E3BDB78" w14:textId="77777777" w:rsidR="00706529" w:rsidRPr="0038442F" w:rsidRDefault="00706529" w:rsidP="00A857CB">
      <w:pPr>
        <w:spacing w:before="100" w:beforeAutospacing="1" w:after="100" w:afterAutospacing="1"/>
        <w:ind w:left="708" w:right="615"/>
        <w:jc w:val="both"/>
        <w:rPr>
          <w:rFonts w:ascii="Verdana" w:hAnsi="Verdana"/>
          <w:sz w:val="16"/>
          <w:szCs w:val="16"/>
          <w:lang w:val="pt-BR"/>
        </w:rPr>
      </w:pPr>
      <w:r w:rsidRPr="0038442F">
        <w:rPr>
          <w:rFonts w:ascii="Verdana" w:hAnsi="Verdana"/>
          <w:sz w:val="16"/>
          <w:szCs w:val="16"/>
          <w:lang w:val="pt-BR"/>
        </w:rPr>
        <w:t>[…]</w:t>
      </w:r>
    </w:p>
    <w:p w14:paraId="195F645C" w14:textId="0DA74BB4" w:rsidR="00706529" w:rsidRPr="0038442F" w:rsidRDefault="00706529" w:rsidP="00A857CB">
      <w:pPr>
        <w:spacing w:before="100" w:beforeAutospacing="1" w:after="100" w:afterAutospacing="1"/>
        <w:ind w:left="708" w:right="615"/>
        <w:jc w:val="both"/>
        <w:rPr>
          <w:rFonts w:ascii="Verdana" w:hAnsi="Verdana"/>
          <w:sz w:val="16"/>
          <w:szCs w:val="16"/>
          <w:lang w:val="pt-BR"/>
        </w:rPr>
      </w:pPr>
      <w:r w:rsidRPr="0038442F">
        <w:rPr>
          <w:rFonts w:ascii="Verdana" w:hAnsi="Verdana"/>
          <w:sz w:val="16"/>
          <w:szCs w:val="16"/>
          <w:lang w:val="pt-BR"/>
        </w:rPr>
        <w:t xml:space="preserve">28. </w:t>
      </w:r>
      <w:r w:rsidR="00B93CBF" w:rsidRPr="0038442F">
        <w:rPr>
          <w:rFonts w:ascii="Verdana" w:hAnsi="Verdana"/>
          <w:bCs/>
          <w:i/>
          <w:sz w:val="16"/>
          <w:szCs w:val="16"/>
          <w:lang w:val="pt-BR"/>
        </w:rPr>
        <w:t xml:space="preserve">Deduz-se </w:t>
      </w:r>
      <w:r w:rsidRPr="0038442F">
        <w:rPr>
          <w:rFonts w:ascii="Verdana" w:hAnsi="Verdana"/>
          <w:bCs/>
          <w:i/>
          <w:sz w:val="16"/>
          <w:szCs w:val="16"/>
          <w:lang w:val="pt-BR"/>
        </w:rPr>
        <w:t>de</w:t>
      </w:r>
      <w:r w:rsidR="00B93CBF" w:rsidRPr="0038442F">
        <w:rPr>
          <w:rFonts w:ascii="Verdana" w:hAnsi="Verdana"/>
          <w:bCs/>
          <w:i/>
          <w:sz w:val="16"/>
          <w:szCs w:val="16"/>
          <w:lang w:val="pt-BR"/>
        </w:rPr>
        <w:t>ssas</w:t>
      </w:r>
      <w:r w:rsidRPr="0038442F">
        <w:rPr>
          <w:rFonts w:ascii="Verdana" w:hAnsi="Verdana"/>
          <w:bCs/>
          <w:i/>
          <w:sz w:val="16"/>
          <w:szCs w:val="16"/>
          <w:lang w:val="pt-BR"/>
        </w:rPr>
        <w:t xml:space="preserve"> considera</w:t>
      </w:r>
      <w:r w:rsidR="000A1AA8" w:rsidRPr="0038442F">
        <w:rPr>
          <w:rFonts w:ascii="Verdana" w:hAnsi="Verdana"/>
          <w:bCs/>
          <w:i/>
          <w:sz w:val="16"/>
          <w:szCs w:val="16"/>
          <w:lang w:val="pt-BR"/>
        </w:rPr>
        <w:t>ções</w:t>
      </w:r>
      <w:r w:rsidRPr="0038442F">
        <w:rPr>
          <w:rFonts w:ascii="Verdana" w:hAnsi="Verdana"/>
          <w:bCs/>
          <w:i/>
          <w:sz w:val="16"/>
          <w:szCs w:val="16"/>
          <w:lang w:val="pt-BR"/>
        </w:rPr>
        <w:t xml:space="preserve"> que toda </w:t>
      </w:r>
      <w:r w:rsidR="00C92762" w:rsidRPr="0038442F">
        <w:rPr>
          <w:rFonts w:ascii="Verdana" w:hAnsi="Verdana"/>
          <w:bCs/>
          <w:i/>
          <w:sz w:val="16"/>
          <w:szCs w:val="16"/>
          <w:lang w:val="pt-BR"/>
        </w:rPr>
        <w:t>obrigação</w:t>
      </w:r>
      <w:r w:rsidR="00407242" w:rsidRPr="0038442F">
        <w:rPr>
          <w:rFonts w:ascii="Verdana" w:hAnsi="Verdana"/>
          <w:bCs/>
          <w:i/>
          <w:sz w:val="16"/>
          <w:szCs w:val="16"/>
          <w:lang w:val="pt-BR"/>
        </w:rPr>
        <w:t xml:space="preserve"> </w:t>
      </w:r>
      <w:r w:rsidRPr="0038442F">
        <w:rPr>
          <w:rFonts w:ascii="Verdana" w:hAnsi="Verdana"/>
          <w:bCs/>
          <w:i/>
          <w:sz w:val="16"/>
          <w:szCs w:val="16"/>
          <w:lang w:val="pt-BR"/>
        </w:rPr>
        <w:t xml:space="preserve">positiva </w:t>
      </w:r>
      <w:r w:rsidR="00751189" w:rsidRPr="0038442F">
        <w:rPr>
          <w:rFonts w:ascii="Verdana" w:hAnsi="Verdana"/>
          <w:bCs/>
          <w:i/>
          <w:sz w:val="16"/>
          <w:szCs w:val="16"/>
          <w:lang w:val="pt-BR"/>
        </w:rPr>
        <w:t xml:space="preserve">no </w:t>
      </w:r>
      <w:r w:rsidR="00246A73" w:rsidRPr="0038442F">
        <w:rPr>
          <w:rFonts w:ascii="Verdana" w:hAnsi="Verdana"/>
          <w:bCs/>
          <w:i/>
          <w:sz w:val="16"/>
          <w:szCs w:val="16"/>
          <w:lang w:val="pt-BR"/>
        </w:rPr>
        <w:t>âmbito</w:t>
      </w:r>
      <w:r w:rsidR="00407242" w:rsidRPr="0038442F">
        <w:rPr>
          <w:rFonts w:ascii="Verdana" w:hAnsi="Verdana"/>
          <w:bCs/>
          <w:i/>
          <w:sz w:val="16"/>
          <w:szCs w:val="16"/>
          <w:lang w:val="pt-BR"/>
        </w:rPr>
        <w:t xml:space="preserve"> </w:t>
      </w:r>
      <w:r w:rsidR="00C92762" w:rsidRPr="0038442F">
        <w:rPr>
          <w:rFonts w:ascii="Verdana" w:hAnsi="Verdana"/>
          <w:bCs/>
          <w:i/>
          <w:sz w:val="16"/>
          <w:szCs w:val="16"/>
          <w:lang w:val="pt-BR"/>
        </w:rPr>
        <w:t xml:space="preserve">das </w:t>
      </w:r>
      <w:r w:rsidRPr="0038442F">
        <w:rPr>
          <w:rFonts w:ascii="Verdana" w:hAnsi="Verdana"/>
          <w:bCs/>
          <w:i/>
          <w:sz w:val="16"/>
          <w:szCs w:val="16"/>
          <w:lang w:val="pt-BR"/>
        </w:rPr>
        <w:t>rela</w:t>
      </w:r>
      <w:r w:rsidR="000A1AA8" w:rsidRPr="0038442F">
        <w:rPr>
          <w:rFonts w:ascii="Verdana" w:hAnsi="Verdana"/>
          <w:bCs/>
          <w:i/>
          <w:sz w:val="16"/>
          <w:szCs w:val="16"/>
          <w:lang w:val="pt-BR"/>
        </w:rPr>
        <w:t>ções</w:t>
      </w:r>
      <w:r w:rsidRPr="0038442F">
        <w:rPr>
          <w:rFonts w:ascii="Verdana" w:hAnsi="Verdana"/>
          <w:bCs/>
          <w:i/>
          <w:sz w:val="16"/>
          <w:szCs w:val="16"/>
          <w:lang w:val="pt-BR"/>
        </w:rPr>
        <w:t xml:space="preserve"> entre particulares se referir</w:t>
      </w:r>
      <w:r w:rsidR="00B93CBF" w:rsidRPr="0038442F">
        <w:rPr>
          <w:rFonts w:ascii="Verdana" w:hAnsi="Verdana"/>
          <w:bCs/>
          <w:i/>
          <w:sz w:val="16"/>
          <w:szCs w:val="16"/>
          <w:lang w:val="pt-BR"/>
        </w:rPr>
        <w:t>i</w:t>
      </w:r>
      <w:r w:rsidRPr="0038442F">
        <w:rPr>
          <w:rFonts w:ascii="Verdana" w:hAnsi="Verdana"/>
          <w:bCs/>
          <w:i/>
          <w:sz w:val="16"/>
          <w:szCs w:val="16"/>
          <w:lang w:val="pt-BR"/>
        </w:rPr>
        <w:t xml:space="preserve">a, </w:t>
      </w:r>
      <w:r w:rsidR="00751189" w:rsidRPr="0038442F">
        <w:rPr>
          <w:rFonts w:ascii="Verdana" w:hAnsi="Verdana"/>
          <w:bCs/>
          <w:i/>
          <w:sz w:val="16"/>
          <w:szCs w:val="16"/>
          <w:lang w:val="pt-BR"/>
        </w:rPr>
        <w:t>n</w:t>
      </w:r>
      <w:r w:rsidR="00845A32">
        <w:rPr>
          <w:rFonts w:ascii="Verdana" w:hAnsi="Verdana"/>
          <w:bCs/>
          <w:i/>
          <w:sz w:val="16"/>
          <w:szCs w:val="16"/>
          <w:lang w:val="pt-BR"/>
        </w:rPr>
        <w:t>a</w:t>
      </w:r>
      <w:r w:rsidR="00751189" w:rsidRPr="0038442F">
        <w:rPr>
          <w:rFonts w:ascii="Verdana" w:hAnsi="Verdana"/>
          <w:bCs/>
          <w:i/>
          <w:sz w:val="16"/>
          <w:szCs w:val="16"/>
          <w:lang w:val="pt-BR"/>
        </w:rPr>
        <w:t xml:space="preserve"> </w:t>
      </w:r>
      <w:r w:rsidR="00B93CBF" w:rsidRPr="0038442F">
        <w:rPr>
          <w:rFonts w:ascii="Verdana" w:hAnsi="Verdana"/>
          <w:bCs/>
          <w:i/>
          <w:sz w:val="16"/>
          <w:szCs w:val="16"/>
          <w:lang w:val="pt-BR"/>
        </w:rPr>
        <w:t xml:space="preserve">melhor </w:t>
      </w:r>
      <w:r w:rsidR="00C92762" w:rsidRPr="0038442F">
        <w:rPr>
          <w:rFonts w:ascii="Verdana" w:hAnsi="Verdana"/>
          <w:bCs/>
          <w:i/>
          <w:sz w:val="16"/>
          <w:szCs w:val="16"/>
          <w:lang w:val="pt-BR"/>
        </w:rPr>
        <w:t>d</w:t>
      </w:r>
      <w:r w:rsidR="00B93CBF" w:rsidRPr="0038442F">
        <w:rPr>
          <w:rFonts w:ascii="Verdana" w:hAnsi="Verdana"/>
          <w:bCs/>
          <w:i/>
          <w:sz w:val="16"/>
          <w:szCs w:val="16"/>
          <w:lang w:val="pt-BR"/>
        </w:rPr>
        <w:t>a</w:t>
      </w:r>
      <w:r w:rsidR="00C92762" w:rsidRPr="0038442F">
        <w:rPr>
          <w:rFonts w:ascii="Verdana" w:hAnsi="Verdana"/>
          <w:bCs/>
          <w:i/>
          <w:sz w:val="16"/>
          <w:szCs w:val="16"/>
          <w:lang w:val="pt-BR"/>
        </w:rPr>
        <w:t xml:space="preserve">s </w:t>
      </w:r>
      <w:r w:rsidR="00C36C89" w:rsidRPr="0038442F">
        <w:rPr>
          <w:rFonts w:ascii="Verdana" w:hAnsi="Verdana"/>
          <w:bCs/>
          <w:i/>
          <w:sz w:val="16"/>
          <w:szCs w:val="16"/>
          <w:lang w:val="pt-BR"/>
        </w:rPr>
        <w:t>hi</w:t>
      </w:r>
      <w:r w:rsidR="00B93CBF" w:rsidRPr="0038442F">
        <w:rPr>
          <w:rFonts w:ascii="Verdana" w:hAnsi="Verdana"/>
          <w:bCs/>
          <w:i/>
          <w:sz w:val="16"/>
          <w:szCs w:val="16"/>
          <w:lang w:val="pt-BR"/>
        </w:rPr>
        <w:t>póteses</w:t>
      </w:r>
      <w:r w:rsidRPr="0038442F">
        <w:rPr>
          <w:rFonts w:ascii="Verdana" w:hAnsi="Verdana"/>
          <w:bCs/>
          <w:i/>
          <w:sz w:val="16"/>
          <w:szCs w:val="16"/>
          <w:lang w:val="pt-BR"/>
        </w:rPr>
        <w:t xml:space="preserve">, </w:t>
      </w:r>
      <w:r w:rsidR="00B93CBF" w:rsidRPr="0038442F">
        <w:rPr>
          <w:rFonts w:ascii="Verdana" w:hAnsi="Verdana"/>
          <w:bCs/>
          <w:i/>
          <w:sz w:val="16"/>
          <w:szCs w:val="16"/>
          <w:lang w:val="pt-BR"/>
        </w:rPr>
        <w:t xml:space="preserve">às </w:t>
      </w:r>
      <w:r w:rsidRPr="0038442F">
        <w:rPr>
          <w:rFonts w:ascii="Verdana" w:hAnsi="Verdana"/>
          <w:bCs/>
          <w:i/>
          <w:sz w:val="16"/>
          <w:szCs w:val="16"/>
          <w:lang w:val="pt-BR"/>
        </w:rPr>
        <w:t>rela</w:t>
      </w:r>
      <w:r w:rsidR="000A1AA8" w:rsidRPr="0038442F">
        <w:rPr>
          <w:rFonts w:ascii="Verdana" w:hAnsi="Verdana"/>
          <w:bCs/>
          <w:i/>
          <w:sz w:val="16"/>
          <w:szCs w:val="16"/>
          <w:lang w:val="pt-BR"/>
        </w:rPr>
        <w:t>ções</w:t>
      </w:r>
      <w:r w:rsidRPr="0038442F">
        <w:rPr>
          <w:rFonts w:ascii="Verdana" w:hAnsi="Verdana"/>
          <w:bCs/>
          <w:i/>
          <w:sz w:val="16"/>
          <w:szCs w:val="16"/>
          <w:lang w:val="pt-BR"/>
        </w:rPr>
        <w:t xml:space="preserve"> </w:t>
      </w:r>
      <w:r w:rsidR="00BF7A10" w:rsidRPr="0038442F">
        <w:rPr>
          <w:rFonts w:ascii="Verdana" w:hAnsi="Verdana"/>
          <w:bCs/>
          <w:i/>
          <w:sz w:val="16"/>
          <w:szCs w:val="16"/>
          <w:lang w:val="pt-BR"/>
        </w:rPr>
        <w:t xml:space="preserve">na </w:t>
      </w:r>
      <w:r w:rsidRPr="0038442F">
        <w:rPr>
          <w:rFonts w:ascii="Verdana" w:hAnsi="Verdana"/>
          <w:bCs/>
          <w:i/>
          <w:sz w:val="16"/>
          <w:szCs w:val="16"/>
          <w:lang w:val="pt-BR"/>
        </w:rPr>
        <w:t xml:space="preserve">esfera pública normalmente regida </w:t>
      </w:r>
      <w:r w:rsidR="000A1AA8" w:rsidRPr="0038442F">
        <w:rPr>
          <w:rFonts w:ascii="Verdana" w:hAnsi="Verdana"/>
          <w:bCs/>
          <w:i/>
          <w:sz w:val="16"/>
          <w:szCs w:val="16"/>
          <w:lang w:val="pt-BR"/>
        </w:rPr>
        <w:t xml:space="preserve">pela </w:t>
      </w:r>
      <w:r w:rsidR="00751189" w:rsidRPr="0038442F">
        <w:rPr>
          <w:rFonts w:ascii="Verdana" w:hAnsi="Verdana"/>
          <w:bCs/>
          <w:i/>
          <w:sz w:val="16"/>
          <w:szCs w:val="16"/>
          <w:lang w:val="pt-BR"/>
        </w:rPr>
        <w:t>lei</w:t>
      </w:r>
      <w:r w:rsidRPr="0038442F">
        <w:rPr>
          <w:rFonts w:ascii="Verdana" w:hAnsi="Verdana"/>
          <w:bCs/>
          <w:i/>
          <w:sz w:val="16"/>
          <w:szCs w:val="16"/>
          <w:lang w:val="pt-BR"/>
        </w:rPr>
        <w:t xml:space="preserve">, </w:t>
      </w:r>
      <w:r w:rsidR="000A1AA8" w:rsidRPr="0038442F">
        <w:rPr>
          <w:rFonts w:ascii="Verdana" w:hAnsi="Verdana"/>
          <w:bCs/>
          <w:i/>
          <w:sz w:val="16"/>
          <w:szCs w:val="16"/>
          <w:lang w:val="pt-BR"/>
        </w:rPr>
        <w:t xml:space="preserve">pela </w:t>
      </w:r>
      <w:r w:rsidR="00B93CBF" w:rsidRPr="0038442F">
        <w:rPr>
          <w:rFonts w:ascii="Verdana" w:hAnsi="Verdana"/>
          <w:bCs/>
          <w:i/>
          <w:sz w:val="16"/>
          <w:szCs w:val="16"/>
          <w:lang w:val="pt-BR"/>
        </w:rPr>
        <w:t xml:space="preserve">qual o </w:t>
      </w:r>
      <w:r w:rsidR="000A1AA8" w:rsidRPr="0038442F">
        <w:rPr>
          <w:rFonts w:ascii="Verdana" w:hAnsi="Verdana"/>
          <w:bCs/>
          <w:i/>
          <w:sz w:val="16"/>
          <w:szCs w:val="16"/>
          <w:lang w:val="pt-BR"/>
        </w:rPr>
        <w:t xml:space="preserve">Estado </w:t>
      </w:r>
      <w:r w:rsidRPr="0038442F">
        <w:rPr>
          <w:rFonts w:ascii="Verdana" w:hAnsi="Verdana"/>
          <w:bCs/>
          <w:i/>
          <w:sz w:val="16"/>
          <w:szCs w:val="16"/>
          <w:lang w:val="pt-BR"/>
        </w:rPr>
        <w:t>t</w:t>
      </w:r>
      <w:r w:rsidR="00B93CBF" w:rsidRPr="0038442F">
        <w:rPr>
          <w:rFonts w:ascii="Verdana" w:hAnsi="Verdana"/>
          <w:bCs/>
          <w:i/>
          <w:sz w:val="16"/>
          <w:szCs w:val="16"/>
          <w:lang w:val="pt-BR"/>
        </w:rPr>
        <w:t xml:space="preserve">em </w:t>
      </w:r>
      <w:r w:rsidRPr="0038442F">
        <w:rPr>
          <w:rFonts w:ascii="Verdana" w:hAnsi="Verdana"/>
          <w:bCs/>
          <w:i/>
          <w:sz w:val="16"/>
          <w:szCs w:val="16"/>
          <w:lang w:val="pt-BR"/>
        </w:rPr>
        <w:t xml:space="preserve">certa </w:t>
      </w:r>
      <w:r w:rsidR="00C92762" w:rsidRPr="0038442F">
        <w:rPr>
          <w:rFonts w:ascii="Verdana" w:hAnsi="Verdana"/>
          <w:bCs/>
          <w:i/>
          <w:sz w:val="16"/>
          <w:szCs w:val="16"/>
          <w:lang w:val="pt-BR"/>
        </w:rPr>
        <w:t>responsabilidade</w:t>
      </w:r>
      <w:r w:rsidRPr="0038442F">
        <w:rPr>
          <w:rFonts w:ascii="Verdana" w:hAnsi="Verdana"/>
          <w:bCs/>
          <w:i/>
          <w:sz w:val="16"/>
          <w:szCs w:val="16"/>
          <w:lang w:val="pt-BR"/>
        </w:rPr>
        <w:t>.</w:t>
      </w:r>
      <w:r w:rsidRPr="0038442F">
        <w:rPr>
          <w:rFonts w:ascii="Verdana" w:hAnsi="Verdana"/>
          <w:sz w:val="16"/>
          <w:szCs w:val="16"/>
          <w:lang w:val="pt-BR"/>
        </w:rPr>
        <w:t xml:space="preserve"> […] </w:t>
      </w:r>
      <w:r w:rsidR="00B93CBF" w:rsidRPr="0038442F">
        <w:rPr>
          <w:rFonts w:ascii="Verdana" w:hAnsi="Verdana"/>
          <w:sz w:val="16"/>
          <w:szCs w:val="16"/>
          <w:lang w:val="pt-BR"/>
        </w:rPr>
        <w:t xml:space="preserve">A </w:t>
      </w:r>
      <w:r w:rsidR="00845A32">
        <w:rPr>
          <w:rFonts w:ascii="Verdana" w:hAnsi="Verdana"/>
          <w:sz w:val="16"/>
          <w:szCs w:val="16"/>
          <w:lang w:val="pt-BR"/>
        </w:rPr>
        <w:t>forma</w:t>
      </w:r>
      <w:r w:rsidR="00407242" w:rsidRPr="0038442F">
        <w:rPr>
          <w:rFonts w:ascii="Verdana" w:hAnsi="Verdana"/>
          <w:sz w:val="16"/>
          <w:szCs w:val="16"/>
          <w:lang w:val="pt-BR"/>
        </w:rPr>
        <w:t xml:space="preserve"> </w:t>
      </w:r>
      <w:r w:rsidRPr="0038442F">
        <w:rPr>
          <w:rFonts w:ascii="Verdana" w:hAnsi="Verdana"/>
          <w:sz w:val="16"/>
          <w:szCs w:val="16"/>
          <w:lang w:val="pt-BR"/>
        </w:rPr>
        <w:t xml:space="preserve">precisa </w:t>
      </w:r>
      <w:r w:rsidR="00B93CBF" w:rsidRPr="0038442F">
        <w:rPr>
          <w:rFonts w:ascii="Verdana" w:hAnsi="Verdana"/>
          <w:sz w:val="16"/>
          <w:szCs w:val="16"/>
          <w:lang w:val="pt-BR"/>
        </w:rPr>
        <w:t xml:space="preserve">pela qual o </w:t>
      </w:r>
      <w:r w:rsidR="000A1AA8" w:rsidRPr="0038442F">
        <w:rPr>
          <w:rFonts w:ascii="Verdana" w:hAnsi="Verdana"/>
          <w:sz w:val="16"/>
          <w:szCs w:val="16"/>
          <w:lang w:val="pt-BR"/>
        </w:rPr>
        <w:t xml:space="preserve">Estado </w:t>
      </w:r>
      <w:r w:rsidR="00B93CBF" w:rsidRPr="0038442F">
        <w:rPr>
          <w:rFonts w:ascii="Verdana" w:hAnsi="Verdana"/>
          <w:sz w:val="16"/>
          <w:szCs w:val="16"/>
          <w:lang w:val="pt-BR"/>
        </w:rPr>
        <w:t xml:space="preserve">deveria </w:t>
      </w:r>
      <w:r w:rsidRPr="0038442F">
        <w:rPr>
          <w:rFonts w:ascii="Verdana" w:hAnsi="Verdana"/>
          <w:sz w:val="16"/>
          <w:szCs w:val="16"/>
          <w:lang w:val="pt-BR"/>
        </w:rPr>
        <w:t>responder variará seg</w:t>
      </w:r>
      <w:r w:rsidR="00B93CBF" w:rsidRPr="0038442F">
        <w:rPr>
          <w:rFonts w:ascii="Verdana" w:hAnsi="Verdana"/>
          <w:sz w:val="16"/>
          <w:szCs w:val="16"/>
          <w:lang w:val="pt-BR"/>
        </w:rPr>
        <w:t xml:space="preserve">undo as </w:t>
      </w:r>
      <w:r w:rsidR="00984A83" w:rsidRPr="0038442F">
        <w:rPr>
          <w:rFonts w:ascii="Verdana" w:hAnsi="Verdana"/>
          <w:sz w:val="16"/>
          <w:szCs w:val="16"/>
          <w:lang w:val="pt-BR"/>
        </w:rPr>
        <w:t>circunstâncias</w:t>
      </w:r>
      <w:r w:rsidRPr="0038442F">
        <w:rPr>
          <w:rFonts w:ascii="Verdana" w:hAnsi="Verdana"/>
          <w:sz w:val="16"/>
          <w:szCs w:val="16"/>
          <w:lang w:val="pt-BR"/>
        </w:rPr>
        <w:t xml:space="preserve">. Está claro que </w:t>
      </w:r>
      <w:r w:rsidR="00B93CBF" w:rsidRPr="0038442F">
        <w:rPr>
          <w:rFonts w:ascii="Verdana" w:hAnsi="Verdana"/>
          <w:sz w:val="16"/>
          <w:szCs w:val="16"/>
          <w:lang w:val="pt-BR"/>
        </w:rPr>
        <w:t xml:space="preserve">os assuntos puramente privados não podem ver-se </w:t>
      </w:r>
      <w:r w:rsidRPr="0038442F">
        <w:rPr>
          <w:rFonts w:ascii="Verdana" w:hAnsi="Verdana"/>
          <w:sz w:val="16"/>
          <w:szCs w:val="16"/>
          <w:lang w:val="pt-BR"/>
        </w:rPr>
        <w:t>afetados. […]</w:t>
      </w:r>
      <w:r w:rsidRPr="0038442F">
        <w:rPr>
          <w:rStyle w:val="Refdenotaalpie"/>
          <w:rFonts w:ascii="Verdana" w:hAnsi="Verdana"/>
          <w:sz w:val="16"/>
          <w:szCs w:val="16"/>
          <w:lang w:val="pt-BR"/>
        </w:rPr>
        <w:footnoteReference w:id="129"/>
      </w:r>
      <w:r w:rsidR="00332F07" w:rsidRPr="0038442F">
        <w:rPr>
          <w:rFonts w:ascii="Verdana" w:hAnsi="Verdana"/>
          <w:sz w:val="16"/>
          <w:szCs w:val="16"/>
          <w:lang w:val="pt-BR"/>
        </w:rPr>
        <w:t xml:space="preserve"> (</w:t>
      </w:r>
      <w:r w:rsidR="00C36C89" w:rsidRPr="0038442F">
        <w:rPr>
          <w:rFonts w:ascii="Verdana" w:hAnsi="Verdana"/>
          <w:sz w:val="16"/>
          <w:szCs w:val="16"/>
          <w:lang w:val="pt-BR"/>
        </w:rPr>
        <w:t>grifo nosso</w:t>
      </w:r>
      <w:r w:rsidR="00332F07" w:rsidRPr="0038442F">
        <w:rPr>
          <w:rFonts w:ascii="Verdana" w:hAnsi="Verdana"/>
          <w:sz w:val="16"/>
          <w:szCs w:val="16"/>
          <w:lang w:val="pt-BR"/>
        </w:rPr>
        <w:t>)</w:t>
      </w:r>
      <w:r w:rsidRPr="0038442F">
        <w:rPr>
          <w:rFonts w:ascii="Verdana" w:hAnsi="Verdana"/>
          <w:sz w:val="16"/>
          <w:szCs w:val="16"/>
          <w:lang w:val="pt-BR"/>
        </w:rPr>
        <w:t>.</w:t>
      </w:r>
    </w:p>
    <w:p w14:paraId="7B99E81F" w14:textId="47BE546C" w:rsidR="00706529" w:rsidRDefault="00CC0959" w:rsidP="00CC0959">
      <w:pPr>
        <w:pStyle w:val="Prrafodelista"/>
        <w:spacing w:line="240" w:lineRule="auto"/>
        <w:ind w:left="0"/>
        <w:jc w:val="both"/>
        <w:rPr>
          <w:rFonts w:ascii="Verdana" w:hAnsi="Verdana" w:cs="Arial"/>
          <w:sz w:val="20"/>
          <w:szCs w:val="20"/>
          <w:lang w:val="pt-BR"/>
        </w:rPr>
      </w:pPr>
      <w:r w:rsidRPr="0038442F">
        <w:rPr>
          <w:rFonts w:ascii="Verdana" w:hAnsi="Verdana"/>
          <w:sz w:val="20"/>
          <w:szCs w:val="20"/>
          <w:lang w:val="pt-BR"/>
        </w:rPr>
        <w:t xml:space="preserve">78. </w:t>
      </w:r>
      <w:r w:rsidRPr="0038442F">
        <w:rPr>
          <w:rFonts w:ascii="Verdana" w:hAnsi="Verdana"/>
          <w:sz w:val="20"/>
          <w:szCs w:val="20"/>
          <w:lang w:val="pt-BR"/>
        </w:rPr>
        <w:tab/>
      </w:r>
      <w:r w:rsidR="00706529" w:rsidRPr="0038442F">
        <w:rPr>
          <w:rFonts w:ascii="Verdana" w:hAnsi="Verdana"/>
          <w:sz w:val="20"/>
          <w:szCs w:val="20"/>
          <w:lang w:val="pt-BR"/>
        </w:rPr>
        <w:t xml:space="preserve">Por </w:t>
      </w:r>
      <w:r w:rsidR="00984A83" w:rsidRPr="0038442F">
        <w:rPr>
          <w:rFonts w:ascii="Verdana" w:hAnsi="Verdana"/>
          <w:sz w:val="20"/>
          <w:szCs w:val="20"/>
          <w:lang w:val="pt-BR"/>
        </w:rPr>
        <w:t>outro</w:t>
      </w:r>
      <w:r w:rsidR="00407242" w:rsidRPr="0038442F">
        <w:rPr>
          <w:rFonts w:ascii="Verdana" w:hAnsi="Verdana"/>
          <w:sz w:val="20"/>
          <w:szCs w:val="20"/>
          <w:lang w:val="pt-BR"/>
        </w:rPr>
        <w:t xml:space="preserve"> </w:t>
      </w:r>
      <w:r w:rsidR="00706529" w:rsidRPr="0038442F">
        <w:rPr>
          <w:rFonts w:ascii="Verdana" w:hAnsi="Verdana"/>
          <w:sz w:val="20"/>
          <w:szCs w:val="20"/>
          <w:lang w:val="pt-BR"/>
        </w:rPr>
        <w:t>lado, u</w:t>
      </w:r>
      <w:r w:rsidR="00B93CBF" w:rsidRPr="0038442F">
        <w:rPr>
          <w:rFonts w:ascii="Verdana" w:hAnsi="Verdana"/>
          <w:sz w:val="20"/>
          <w:szCs w:val="20"/>
          <w:lang w:val="pt-BR"/>
        </w:rPr>
        <w:t>m</w:t>
      </w:r>
      <w:r w:rsidR="00706529" w:rsidRPr="0038442F">
        <w:rPr>
          <w:rFonts w:ascii="Verdana" w:hAnsi="Verdana"/>
          <w:sz w:val="20"/>
          <w:szCs w:val="20"/>
          <w:lang w:val="pt-BR"/>
        </w:rPr>
        <w:t xml:space="preserve"> aspecto a destacar se </w:t>
      </w:r>
      <w:r w:rsidR="00B93CBF" w:rsidRPr="0038442F">
        <w:rPr>
          <w:rFonts w:ascii="Verdana" w:hAnsi="Verdana"/>
          <w:sz w:val="20"/>
          <w:szCs w:val="20"/>
          <w:lang w:val="pt-BR"/>
        </w:rPr>
        <w:t>encontra</w:t>
      </w:r>
      <w:r w:rsidR="00407242"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706529" w:rsidRPr="0038442F">
        <w:rPr>
          <w:rFonts w:ascii="Verdana" w:hAnsi="Verdana"/>
          <w:sz w:val="20"/>
          <w:szCs w:val="20"/>
          <w:lang w:val="pt-BR"/>
        </w:rPr>
        <w:t xml:space="preserve">Carta Social, </w:t>
      </w:r>
      <w:r w:rsidR="00B93CBF" w:rsidRPr="0038442F">
        <w:rPr>
          <w:rFonts w:ascii="Verdana" w:hAnsi="Verdana"/>
          <w:sz w:val="20"/>
          <w:szCs w:val="20"/>
          <w:lang w:val="pt-BR"/>
        </w:rPr>
        <w:t xml:space="preserve">já que esse </w:t>
      </w:r>
      <w:r w:rsidR="00706529" w:rsidRPr="0038442F">
        <w:rPr>
          <w:rFonts w:ascii="Verdana" w:hAnsi="Verdana"/>
          <w:sz w:val="20"/>
          <w:szCs w:val="20"/>
          <w:lang w:val="pt-BR"/>
        </w:rPr>
        <w:t xml:space="preserve">instrumento </w:t>
      </w:r>
      <w:r w:rsidR="00B93CBF" w:rsidRPr="0038442F">
        <w:rPr>
          <w:rFonts w:ascii="Verdana" w:hAnsi="Verdana"/>
          <w:sz w:val="20"/>
          <w:szCs w:val="20"/>
          <w:lang w:val="pt-BR"/>
        </w:rPr>
        <w:t xml:space="preserve">só contém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706529" w:rsidRPr="0038442F">
        <w:rPr>
          <w:rFonts w:ascii="Verdana" w:hAnsi="Verdana"/>
          <w:sz w:val="20"/>
          <w:szCs w:val="20"/>
          <w:lang w:val="pt-BR"/>
        </w:rPr>
        <w:t>“cláusula de n</w:t>
      </w:r>
      <w:r w:rsidR="00B93CBF" w:rsidRPr="0038442F">
        <w:rPr>
          <w:rFonts w:ascii="Verdana" w:hAnsi="Verdana"/>
          <w:sz w:val="20"/>
          <w:szCs w:val="20"/>
          <w:lang w:val="pt-BR"/>
        </w:rPr>
        <w:t>ã</w:t>
      </w:r>
      <w:r w:rsidR="00706529" w:rsidRPr="0038442F">
        <w:rPr>
          <w:rFonts w:ascii="Verdana" w:hAnsi="Verdana"/>
          <w:sz w:val="20"/>
          <w:szCs w:val="20"/>
          <w:lang w:val="pt-BR"/>
        </w:rPr>
        <w:t>o discrimina</w:t>
      </w:r>
      <w:r w:rsidR="000A1AA8" w:rsidRPr="0038442F">
        <w:rPr>
          <w:rFonts w:ascii="Verdana" w:hAnsi="Verdana"/>
          <w:sz w:val="20"/>
          <w:szCs w:val="20"/>
          <w:lang w:val="pt-BR"/>
        </w:rPr>
        <w:t>ção</w:t>
      </w:r>
      <w:r w:rsidR="00706529" w:rsidRPr="0038442F">
        <w:rPr>
          <w:rFonts w:ascii="Verdana" w:hAnsi="Verdana"/>
          <w:sz w:val="20"/>
          <w:szCs w:val="20"/>
          <w:lang w:val="pt-BR"/>
        </w:rPr>
        <w:t>” (art. E)</w:t>
      </w:r>
      <w:r w:rsidRPr="0038442F">
        <w:rPr>
          <w:rFonts w:ascii="Verdana" w:hAnsi="Verdana"/>
          <w:sz w:val="20"/>
          <w:szCs w:val="20"/>
          <w:lang w:val="pt-BR"/>
        </w:rPr>
        <w:t>,</w:t>
      </w:r>
      <w:r w:rsidR="00706529" w:rsidRPr="0038442F">
        <w:rPr>
          <w:rFonts w:ascii="Verdana" w:hAnsi="Verdana"/>
          <w:sz w:val="20"/>
          <w:szCs w:val="20"/>
          <w:lang w:val="pt-BR"/>
        </w:rPr>
        <w:t xml:space="preserve"> e</w:t>
      </w:r>
      <w:r w:rsidR="00B93CBF" w:rsidRPr="0038442F">
        <w:rPr>
          <w:rFonts w:ascii="Verdana" w:hAnsi="Verdana"/>
          <w:sz w:val="20"/>
          <w:szCs w:val="20"/>
          <w:lang w:val="pt-BR"/>
        </w:rPr>
        <w:t xml:space="preserve">m sentido </w:t>
      </w:r>
      <w:r w:rsidR="00706529" w:rsidRPr="0038442F">
        <w:rPr>
          <w:rFonts w:ascii="Verdana" w:hAnsi="Verdana"/>
          <w:sz w:val="20"/>
          <w:szCs w:val="20"/>
          <w:lang w:val="pt-BR"/>
        </w:rPr>
        <w:t xml:space="preserve">similar </w:t>
      </w:r>
      <w:r w:rsidR="00B93CBF" w:rsidRPr="0038442F">
        <w:rPr>
          <w:rFonts w:ascii="Verdana" w:hAnsi="Verdana"/>
          <w:sz w:val="20"/>
          <w:szCs w:val="20"/>
          <w:lang w:val="pt-BR"/>
        </w:rPr>
        <w:t xml:space="preserve">ao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706529" w:rsidRPr="0038442F">
        <w:rPr>
          <w:rFonts w:ascii="Verdana" w:hAnsi="Verdana"/>
          <w:sz w:val="20"/>
          <w:szCs w:val="20"/>
          <w:lang w:val="pt-BR"/>
        </w:rPr>
        <w:t xml:space="preserve">1.1 </w:t>
      </w:r>
      <w:r w:rsidR="00C92762" w:rsidRPr="0038442F">
        <w:rPr>
          <w:rFonts w:ascii="Verdana" w:hAnsi="Verdana"/>
          <w:sz w:val="20"/>
          <w:szCs w:val="20"/>
          <w:lang w:val="pt-BR"/>
        </w:rPr>
        <w:t xml:space="preserve">da </w:t>
      </w:r>
      <w:r w:rsidR="00706529" w:rsidRPr="0038442F">
        <w:rPr>
          <w:rFonts w:ascii="Verdana" w:hAnsi="Verdana"/>
          <w:sz w:val="20"/>
          <w:szCs w:val="20"/>
          <w:lang w:val="pt-BR"/>
        </w:rPr>
        <w:t>Conven</w:t>
      </w:r>
      <w:r w:rsidR="000A1AA8" w:rsidRPr="0038442F">
        <w:rPr>
          <w:rFonts w:ascii="Verdana" w:hAnsi="Verdana"/>
          <w:sz w:val="20"/>
          <w:szCs w:val="20"/>
          <w:lang w:val="pt-BR"/>
        </w:rPr>
        <w:t>ção</w:t>
      </w:r>
      <w:r w:rsidR="00706529" w:rsidRPr="0038442F">
        <w:rPr>
          <w:rFonts w:ascii="Verdana" w:hAnsi="Verdana"/>
          <w:sz w:val="20"/>
          <w:szCs w:val="20"/>
          <w:lang w:val="pt-BR"/>
        </w:rPr>
        <w:t xml:space="preserve"> Americana. </w:t>
      </w:r>
      <w:r w:rsidR="00B93CBF" w:rsidRPr="0038442F">
        <w:rPr>
          <w:rFonts w:ascii="Verdana" w:hAnsi="Verdana"/>
          <w:sz w:val="20"/>
          <w:szCs w:val="20"/>
          <w:lang w:val="pt-BR"/>
        </w:rPr>
        <w:t>No entanto</w:t>
      </w:r>
      <w:r w:rsidR="00706529" w:rsidRPr="0038442F">
        <w:rPr>
          <w:rFonts w:ascii="Verdana" w:hAnsi="Verdana"/>
          <w:sz w:val="20"/>
          <w:szCs w:val="20"/>
          <w:lang w:val="pt-BR"/>
        </w:rPr>
        <w:t xml:space="preserve">, </w:t>
      </w:r>
      <w:r w:rsidR="00B93CBF" w:rsidRPr="0038442F">
        <w:rPr>
          <w:rFonts w:ascii="Verdana" w:hAnsi="Verdana"/>
          <w:sz w:val="20"/>
          <w:szCs w:val="20"/>
          <w:lang w:val="pt-BR"/>
        </w:rPr>
        <w:t xml:space="preserve">com base nessa </w:t>
      </w:r>
      <w:r w:rsidR="00706529" w:rsidRPr="0038442F">
        <w:rPr>
          <w:rFonts w:ascii="Verdana" w:hAnsi="Verdana"/>
          <w:sz w:val="20"/>
          <w:szCs w:val="20"/>
          <w:lang w:val="pt-BR"/>
        </w:rPr>
        <w:t>disposi</w:t>
      </w:r>
      <w:r w:rsidR="000A1AA8" w:rsidRPr="0038442F">
        <w:rPr>
          <w:rFonts w:ascii="Verdana" w:hAnsi="Verdana"/>
          <w:sz w:val="20"/>
          <w:szCs w:val="20"/>
          <w:lang w:val="pt-BR"/>
        </w:rPr>
        <w:t>ção</w:t>
      </w:r>
      <w:r w:rsidR="00C36C89" w:rsidRPr="0038442F">
        <w:rPr>
          <w:rFonts w:ascii="Verdana" w:hAnsi="Verdana"/>
          <w:sz w:val="20"/>
          <w:szCs w:val="20"/>
          <w:lang w:val="pt-BR"/>
        </w:rPr>
        <w:t>,</w:t>
      </w:r>
      <w:r w:rsidR="00706529" w:rsidRPr="0038442F">
        <w:rPr>
          <w:rFonts w:ascii="Verdana" w:hAnsi="Verdana"/>
          <w:sz w:val="20"/>
          <w:szCs w:val="20"/>
          <w:lang w:val="pt-BR"/>
        </w:rPr>
        <w:t xml:space="preserve"> </w:t>
      </w:r>
      <w:r w:rsidR="00B93CBF" w:rsidRPr="0038442F">
        <w:rPr>
          <w:rFonts w:ascii="Verdana" w:hAnsi="Verdana"/>
          <w:sz w:val="20"/>
          <w:szCs w:val="20"/>
          <w:lang w:val="pt-BR"/>
        </w:rPr>
        <w:t xml:space="preserve">o </w:t>
      </w:r>
      <w:r w:rsidR="00360928" w:rsidRPr="0038442F">
        <w:rPr>
          <w:rFonts w:ascii="Verdana" w:hAnsi="Verdana"/>
          <w:sz w:val="20"/>
          <w:szCs w:val="20"/>
          <w:lang w:val="pt-BR"/>
        </w:rPr>
        <w:t>Comitê</w:t>
      </w:r>
      <w:r w:rsidR="00407242" w:rsidRPr="0038442F">
        <w:rPr>
          <w:rFonts w:ascii="Verdana" w:hAnsi="Verdana"/>
          <w:sz w:val="20"/>
          <w:szCs w:val="20"/>
          <w:lang w:val="pt-BR"/>
        </w:rPr>
        <w:t xml:space="preserve"> </w:t>
      </w:r>
      <w:r w:rsidR="00706529" w:rsidRPr="0038442F">
        <w:rPr>
          <w:rFonts w:ascii="Verdana" w:hAnsi="Verdana"/>
          <w:sz w:val="20"/>
          <w:szCs w:val="20"/>
          <w:lang w:val="pt-BR"/>
        </w:rPr>
        <w:t>vincul</w:t>
      </w:r>
      <w:r w:rsidR="00B93CBF" w:rsidRPr="0038442F">
        <w:rPr>
          <w:rFonts w:ascii="Verdana" w:hAnsi="Verdana"/>
          <w:sz w:val="20"/>
          <w:szCs w:val="20"/>
          <w:lang w:val="pt-BR"/>
        </w:rPr>
        <w:t xml:space="preserve">ou a não </w:t>
      </w:r>
      <w:r w:rsidR="00706529" w:rsidRPr="0038442F">
        <w:rPr>
          <w:rFonts w:ascii="Verdana" w:hAnsi="Verdana"/>
          <w:sz w:val="20"/>
          <w:szCs w:val="20"/>
          <w:lang w:val="pt-BR"/>
        </w:rPr>
        <w:t>discrimina</w:t>
      </w:r>
      <w:r w:rsidR="000A1AA8" w:rsidRPr="0038442F">
        <w:rPr>
          <w:rFonts w:ascii="Verdana" w:hAnsi="Verdana"/>
          <w:sz w:val="20"/>
          <w:szCs w:val="20"/>
          <w:lang w:val="pt-BR"/>
        </w:rPr>
        <w:t>ção</w:t>
      </w:r>
      <w:r w:rsidR="00706529" w:rsidRPr="0038442F">
        <w:rPr>
          <w:rFonts w:ascii="Verdana" w:hAnsi="Verdana"/>
          <w:sz w:val="20"/>
          <w:szCs w:val="20"/>
          <w:lang w:val="pt-BR"/>
        </w:rPr>
        <w:t xml:space="preserve"> </w:t>
      </w:r>
      <w:r w:rsidR="00B93CBF" w:rsidRPr="0038442F">
        <w:rPr>
          <w:rFonts w:ascii="Verdana" w:hAnsi="Verdana"/>
          <w:sz w:val="20"/>
          <w:szCs w:val="20"/>
          <w:lang w:val="pt-BR"/>
        </w:rPr>
        <w:t xml:space="preserve">à </w:t>
      </w:r>
      <w:r w:rsidR="00706529" w:rsidRPr="0038442F">
        <w:rPr>
          <w:rFonts w:ascii="Verdana" w:hAnsi="Verdana"/>
          <w:sz w:val="20"/>
          <w:szCs w:val="20"/>
          <w:lang w:val="pt-BR"/>
        </w:rPr>
        <w:t>“</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706529" w:rsidRPr="0038442F">
        <w:rPr>
          <w:rFonts w:ascii="Verdana" w:hAnsi="Verdana"/>
          <w:sz w:val="20"/>
          <w:szCs w:val="20"/>
          <w:lang w:val="pt-BR"/>
        </w:rPr>
        <w:t>de trat</w:t>
      </w:r>
      <w:r w:rsidR="00B93CBF" w:rsidRPr="0038442F">
        <w:rPr>
          <w:rFonts w:ascii="Verdana" w:hAnsi="Verdana"/>
          <w:sz w:val="20"/>
          <w:szCs w:val="20"/>
          <w:lang w:val="pt-BR"/>
        </w:rPr>
        <w:t>ament</w:t>
      </w:r>
      <w:r w:rsidR="00706529" w:rsidRPr="0038442F">
        <w:rPr>
          <w:rFonts w:ascii="Verdana" w:hAnsi="Verdana"/>
          <w:sz w:val="20"/>
          <w:szCs w:val="20"/>
          <w:lang w:val="pt-BR"/>
        </w:rPr>
        <w:t>o”</w:t>
      </w:r>
      <w:r w:rsidR="00F60718" w:rsidRPr="0038442F">
        <w:rPr>
          <w:rFonts w:ascii="Verdana" w:hAnsi="Verdana"/>
          <w:sz w:val="20"/>
          <w:szCs w:val="20"/>
          <w:lang w:val="pt-BR"/>
        </w:rPr>
        <w:t xml:space="preserve"> o</w:t>
      </w:r>
      <w:r w:rsidR="00B93CBF" w:rsidRPr="0038442F">
        <w:rPr>
          <w:rFonts w:ascii="Verdana" w:hAnsi="Verdana"/>
          <w:sz w:val="20"/>
          <w:szCs w:val="20"/>
          <w:lang w:val="pt-BR"/>
        </w:rPr>
        <w:t>u</w:t>
      </w:r>
      <w:r w:rsidR="00F60718" w:rsidRPr="0038442F">
        <w:rPr>
          <w:rFonts w:ascii="Verdana" w:hAnsi="Verdana"/>
          <w:sz w:val="20"/>
          <w:szCs w:val="20"/>
          <w:lang w:val="pt-BR"/>
        </w:rPr>
        <w:t xml:space="preserve"> “formal”</w:t>
      </w:r>
      <w:r w:rsidR="00706529" w:rsidRPr="0038442F">
        <w:rPr>
          <w:rFonts w:ascii="Verdana" w:hAnsi="Verdana"/>
          <w:sz w:val="20"/>
          <w:szCs w:val="20"/>
          <w:lang w:val="pt-BR"/>
        </w:rPr>
        <w:t xml:space="preserve">. </w:t>
      </w:r>
      <w:r w:rsidR="00247F19" w:rsidRPr="0038442F">
        <w:rPr>
          <w:rFonts w:ascii="Verdana" w:hAnsi="Verdana"/>
          <w:sz w:val="20"/>
          <w:szCs w:val="20"/>
          <w:lang w:val="pt-BR"/>
        </w:rPr>
        <w:t>Assim, declarou que “</w:t>
      </w:r>
      <w:r w:rsidR="00247F19" w:rsidRPr="0038442F">
        <w:rPr>
          <w:rFonts w:ascii="Verdana" w:hAnsi="Verdana" w:cs="Arial"/>
          <w:sz w:val="20"/>
          <w:szCs w:val="20"/>
          <w:lang w:val="pt-BR"/>
        </w:rPr>
        <w:t>para garantir a igualdade de tratamento, em conformidade com o artigo E, é necessário proibir todas as formas de discriminação indireta que possam surgir, ao não se levar devidamente em conta todas as diferenças relevantes ou ao não tomar as medidas adequadas para garantir que os direitos e as vantagens coletivas que estão abertos a todos sejam realmente acessíveis a todos”.</w:t>
      </w:r>
      <w:r w:rsidR="00247F19" w:rsidRPr="0038442F">
        <w:rPr>
          <w:rStyle w:val="Refdenotaalpie"/>
          <w:rFonts w:ascii="Verdana" w:hAnsi="Verdana" w:cs="Arial"/>
          <w:sz w:val="20"/>
          <w:szCs w:val="20"/>
          <w:lang w:val="pt-BR"/>
        </w:rPr>
        <w:footnoteReference w:id="130"/>
      </w:r>
      <w:r w:rsidR="00247F19" w:rsidRPr="0038442F">
        <w:rPr>
          <w:rFonts w:ascii="Verdana" w:hAnsi="Verdana" w:cs="Arial"/>
          <w:sz w:val="20"/>
          <w:szCs w:val="20"/>
          <w:lang w:val="pt-BR"/>
        </w:rPr>
        <w:t xml:space="preserve"> Dessa </w:t>
      </w:r>
      <w:r w:rsidR="00845A32">
        <w:rPr>
          <w:rFonts w:ascii="Verdana" w:hAnsi="Verdana" w:cs="Arial"/>
          <w:sz w:val="20"/>
          <w:szCs w:val="20"/>
          <w:lang w:val="pt-BR"/>
        </w:rPr>
        <w:t>form</w:t>
      </w:r>
      <w:r w:rsidR="00845A32" w:rsidRPr="0038442F">
        <w:rPr>
          <w:rFonts w:ascii="Verdana" w:hAnsi="Verdana" w:cs="Arial"/>
          <w:sz w:val="20"/>
          <w:szCs w:val="20"/>
          <w:lang w:val="pt-BR"/>
        </w:rPr>
        <w:t>a</w:t>
      </w:r>
      <w:r w:rsidR="00247F19" w:rsidRPr="0038442F">
        <w:rPr>
          <w:rFonts w:ascii="Verdana" w:hAnsi="Verdana" w:cs="Arial"/>
          <w:sz w:val="20"/>
          <w:szCs w:val="20"/>
          <w:lang w:val="pt-BR"/>
        </w:rPr>
        <w:t xml:space="preserve">, o artigo E da Carta abrange, por um lado, a obrigação positiva de tratar de </w:t>
      </w:r>
      <w:r w:rsidR="00845A32">
        <w:rPr>
          <w:rFonts w:ascii="Verdana" w:hAnsi="Verdana" w:cs="Arial"/>
          <w:sz w:val="20"/>
          <w:szCs w:val="20"/>
          <w:lang w:val="pt-BR"/>
        </w:rPr>
        <w:t>forma</w:t>
      </w:r>
      <w:r w:rsidR="00845A32" w:rsidRPr="0038442F">
        <w:rPr>
          <w:rFonts w:ascii="Verdana" w:hAnsi="Verdana" w:cs="Arial"/>
          <w:sz w:val="20"/>
          <w:szCs w:val="20"/>
          <w:lang w:val="pt-BR"/>
        </w:rPr>
        <w:t xml:space="preserve"> </w:t>
      </w:r>
      <w:r w:rsidR="00247F19" w:rsidRPr="0038442F">
        <w:rPr>
          <w:rFonts w:ascii="Verdana" w:hAnsi="Verdana" w:cs="Arial"/>
          <w:sz w:val="20"/>
          <w:szCs w:val="20"/>
          <w:lang w:val="pt-BR"/>
        </w:rPr>
        <w:t>diferente as pessoas cujas situações são diferentes e, pelo outro, a diferença humana</w:t>
      </w:r>
      <w:r w:rsidR="00845A32">
        <w:rPr>
          <w:rFonts w:ascii="Verdana" w:hAnsi="Verdana" w:cs="Arial"/>
          <w:sz w:val="20"/>
          <w:szCs w:val="20"/>
          <w:lang w:val="pt-BR"/>
        </w:rPr>
        <w:t xml:space="preserve"> </w:t>
      </w:r>
      <w:r w:rsidR="00247F19" w:rsidRPr="0038442F">
        <w:rPr>
          <w:rFonts w:ascii="Verdana" w:hAnsi="Verdana" w:cs="Arial"/>
          <w:sz w:val="20"/>
          <w:szCs w:val="20"/>
          <w:lang w:val="pt-BR"/>
        </w:rPr>
        <w:t xml:space="preserve">não só deve ser vista de maneira positiva, mas </w:t>
      </w:r>
      <w:r w:rsidR="00845A32">
        <w:rPr>
          <w:rFonts w:ascii="Verdana" w:hAnsi="Verdana" w:cs="Arial"/>
          <w:sz w:val="20"/>
          <w:szCs w:val="20"/>
          <w:lang w:val="pt-BR"/>
        </w:rPr>
        <w:t>também deve ser respondida</w:t>
      </w:r>
      <w:r w:rsidR="00247F19" w:rsidRPr="0038442F">
        <w:rPr>
          <w:rFonts w:ascii="Verdana" w:hAnsi="Verdana" w:cs="Arial"/>
          <w:sz w:val="20"/>
          <w:szCs w:val="20"/>
          <w:lang w:val="pt-BR"/>
        </w:rPr>
        <w:t xml:space="preserve"> com discernimento para garantir uma igualdade real e efetiva.</w:t>
      </w:r>
      <w:r w:rsidR="00247F19" w:rsidRPr="0038442F">
        <w:rPr>
          <w:rStyle w:val="Refdenotaalpie"/>
          <w:rFonts w:ascii="Verdana" w:hAnsi="Verdana" w:cs="Arial"/>
          <w:sz w:val="20"/>
          <w:szCs w:val="20"/>
          <w:lang w:val="pt-BR"/>
        </w:rPr>
        <w:footnoteReference w:id="131"/>
      </w:r>
      <w:r w:rsidR="00247F19" w:rsidRPr="0038442F">
        <w:rPr>
          <w:rFonts w:ascii="Verdana" w:hAnsi="Verdana" w:cs="Arial"/>
          <w:sz w:val="20"/>
          <w:szCs w:val="20"/>
          <w:lang w:val="pt-BR"/>
        </w:rPr>
        <w:t xml:space="preserve"> Entende-se que, do artigo E, derivariam elementos, dependendo do caso, tanto da igualdade formal como da igualdade material. </w:t>
      </w:r>
    </w:p>
    <w:p w14:paraId="45D23A30" w14:textId="77777777" w:rsidR="00845A32" w:rsidRPr="0038442F" w:rsidRDefault="00845A32" w:rsidP="00CC0959">
      <w:pPr>
        <w:pStyle w:val="Prrafodelista"/>
        <w:spacing w:line="240" w:lineRule="auto"/>
        <w:ind w:left="0"/>
        <w:jc w:val="both"/>
        <w:rPr>
          <w:rFonts w:ascii="Verdana" w:hAnsi="Verdana"/>
          <w:b/>
          <w:bCs/>
          <w:i/>
          <w:iCs/>
          <w:sz w:val="20"/>
          <w:szCs w:val="20"/>
          <w:lang w:val="pt-BR"/>
        </w:rPr>
      </w:pPr>
    </w:p>
    <w:p w14:paraId="5A6AF122" w14:textId="47C4EAD1" w:rsidR="003454B0" w:rsidRPr="0038442F" w:rsidRDefault="00332F07" w:rsidP="00315E98">
      <w:pPr>
        <w:spacing w:after="120"/>
        <w:jc w:val="both"/>
        <w:rPr>
          <w:rFonts w:ascii="Verdana" w:hAnsi="Verdana"/>
          <w:b/>
          <w:bCs/>
          <w:i/>
          <w:iCs/>
          <w:sz w:val="20"/>
          <w:szCs w:val="20"/>
          <w:lang w:val="pt-BR"/>
        </w:rPr>
      </w:pPr>
      <w:r w:rsidRPr="0038442F">
        <w:rPr>
          <w:rFonts w:ascii="Verdana" w:hAnsi="Verdana"/>
          <w:b/>
          <w:bCs/>
          <w:i/>
          <w:sz w:val="20"/>
          <w:szCs w:val="20"/>
          <w:lang w:val="pt-BR"/>
        </w:rPr>
        <w:t>B</w:t>
      </w:r>
      <w:r w:rsidR="00F60718" w:rsidRPr="0038442F">
        <w:rPr>
          <w:rFonts w:ascii="Verdana" w:hAnsi="Verdana"/>
          <w:b/>
          <w:bCs/>
          <w:i/>
          <w:sz w:val="20"/>
          <w:szCs w:val="20"/>
          <w:lang w:val="pt-BR"/>
        </w:rPr>
        <w:t xml:space="preserve">. </w:t>
      </w:r>
      <w:r w:rsidR="00B93CBF" w:rsidRPr="0038442F">
        <w:rPr>
          <w:rFonts w:ascii="Verdana" w:hAnsi="Verdana"/>
          <w:b/>
          <w:bCs/>
          <w:i/>
          <w:sz w:val="20"/>
          <w:szCs w:val="20"/>
          <w:lang w:val="pt-BR"/>
        </w:rPr>
        <w:t>O</w:t>
      </w:r>
      <w:r w:rsidR="000F257B" w:rsidRPr="0038442F">
        <w:rPr>
          <w:rFonts w:ascii="Verdana" w:hAnsi="Verdana"/>
          <w:b/>
          <w:bCs/>
          <w:i/>
          <w:sz w:val="20"/>
          <w:szCs w:val="20"/>
          <w:lang w:val="pt-BR"/>
        </w:rPr>
        <w:t xml:space="preserve"> mandato d</w:t>
      </w:r>
      <w:r w:rsidR="00845A32">
        <w:rPr>
          <w:rFonts w:ascii="Verdana" w:hAnsi="Verdana"/>
          <w:b/>
          <w:bCs/>
          <w:i/>
          <w:sz w:val="20"/>
          <w:szCs w:val="20"/>
          <w:lang w:val="pt-BR"/>
        </w:rPr>
        <w:t>a</w:t>
      </w:r>
      <w:r w:rsidR="000F257B" w:rsidRPr="0038442F">
        <w:rPr>
          <w:rFonts w:ascii="Verdana" w:hAnsi="Verdana"/>
          <w:b/>
          <w:bCs/>
          <w:i/>
          <w:sz w:val="20"/>
          <w:szCs w:val="20"/>
          <w:lang w:val="pt-BR"/>
        </w:rPr>
        <w:t xml:space="preserve"> </w:t>
      </w:r>
      <w:r w:rsidR="009612FB" w:rsidRPr="0038442F">
        <w:rPr>
          <w:rFonts w:ascii="Verdana" w:hAnsi="Verdana"/>
          <w:b/>
          <w:bCs/>
          <w:i/>
          <w:sz w:val="20"/>
          <w:szCs w:val="20"/>
          <w:lang w:val="pt-BR"/>
        </w:rPr>
        <w:t xml:space="preserve">igualdade </w:t>
      </w:r>
      <w:r w:rsidR="000F257B" w:rsidRPr="0038442F">
        <w:rPr>
          <w:rFonts w:ascii="Verdana" w:hAnsi="Verdana"/>
          <w:b/>
          <w:bCs/>
          <w:i/>
          <w:sz w:val="20"/>
          <w:szCs w:val="20"/>
          <w:lang w:val="pt-BR"/>
        </w:rPr>
        <w:t>real o</w:t>
      </w:r>
      <w:r w:rsidR="00B93CBF" w:rsidRPr="0038442F">
        <w:rPr>
          <w:rFonts w:ascii="Verdana" w:hAnsi="Verdana"/>
          <w:b/>
          <w:bCs/>
          <w:i/>
          <w:sz w:val="20"/>
          <w:szCs w:val="20"/>
          <w:lang w:val="pt-BR"/>
        </w:rPr>
        <w:t>u</w:t>
      </w:r>
      <w:r w:rsidR="000F257B" w:rsidRPr="0038442F">
        <w:rPr>
          <w:rFonts w:ascii="Verdana" w:hAnsi="Verdana"/>
          <w:b/>
          <w:bCs/>
          <w:i/>
          <w:sz w:val="20"/>
          <w:szCs w:val="20"/>
          <w:lang w:val="pt-BR"/>
        </w:rPr>
        <w:t xml:space="preserve"> </w:t>
      </w:r>
      <w:r w:rsidR="00751189" w:rsidRPr="0038442F">
        <w:rPr>
          <w:rFonts w:ascii="Verdana" w:hAnsi="Verdana"/>
          <w:b/>
          <w:bCs/>
          <w:i/>
          <w:sz w:val="20"/>
          <w:szCs w:val="20"/>
          <w:lang w:val="pt-BR"/>
        </w:rPr>
        <w:t xml:space="preserve">substancial </w:t>
      </w:r>
      <w:r w:rsidR="00B93CBF" w:rsidRPr="0038442F">
        <w:rPr>
          <w:rFonts w:ascii="Verdana" w:hAnsi="Verdana"/>
          <w:b/>
          <w:bCs/>
          <w:i/>
          <w:sz w:val="20"/>
          <w:szCs w:val="20"/>
          <w:lang w:val="pt-BR"/>
        </w:rPr>
        <w:t xml:space="preserve">com base no </w:t>
      </w:r>
      <w:r w:rsidR="003B374E" w:rsidRPr="0038442F">
        <w:rPr>
          <w:rFonts w:ascii="Verdana" w:hAnsi="Verdana"/>
          <w:b/>
          <w:bCs/>
          <w:i/>
          <w:sz w:val="20"/>
          <w:szCs w:val="20"/>
          <w:lang w:val="pt-BR"/>
        </w:rPr>
        <w:t xml:space="preserve">artigo </w:t>
      </w:r>
      <w:r w:rsidR="000F257B" w:rsidRPr="0038442F">
        <w:rPr>
          <w:rFonts w:ascii="Verdana" w:hAnsi="Verdana"/>
          <w:b/>
          <w:bCs/>
          <w:i/>
          <w:sz w:val="20"/>
          <w:szCs w:val="20"/>
          <w:lang w:val="pt-BR"/>
        </w:rPr>
        <w:t xml:space="preserve">24 </w:t>
      </w:r>
      <w:r w:rsidR="00C92762" w:rsidRPr="0038442F">
        <w:rPr>
          <w:rFonts w:ascii="Verdana" w:hAnsi="Verdana"/>
          <w:b/>
          <w:bCs/>
          <w:i/>
          <w:sz w:val="20"/>
          <w:szCs w:val="20"/>
          <w:lang w:val="pt-BR"/>
        </w:rPr>
        <w:t xml:space="preserve">da </w:t>
      </w:r>
      <w:r w:rsidR="000F257B" w:rsidRPr="0038442F">
        <w:rPr>
          <w:rFonts w:ascii="Verdana" w:hAnsi="Verdana"/>
          <w:b/>
          <w:bCs/>
          <w:i/>
          <w:sz w:val="20"/>
          <w:szCs w:val="20"/>
          <w:lang w:val="pt-BR"/>
        </w:rPr>
        <w:t>Conven</w:t>
      </w:r>
      <w:r w:rsidR="000A1AA8" w:rsidRPr="0038442F">
        <w:rPr>
          <w:rFonts w:ascii="Verdana" w:hAnsi="Verdana"/>
          <w:b/>
          <w:bCs/>
          <w:i/>
          <w:sz w:val="20"/>
          <w:szCs w:val="20"/>
          <w:lang w:val="pt-BR"/>
        </w:rPr>
        <w:t>ção</w:t>
      </w:r>
      <w:r w:rsidR="000F257B" w:rsidRPr="0038442F">
        <w:rPr>
          <w:rFonts w:ascii="Verdana" w:hAnsi="Verdana"/>
          <w:b/>
          <w:bCs/>
          <w:i/>
          <w:sz w:val="20"/>
          <w:szCs w:val="20"/>
          <w:lang w:val="pt-BR"/>
        </w:rPr>
        <w:t xml:space="preserve"> Americana: </w:t>
      </w:r>
      <w:r w:rsidR="00B93CBF" w:rsidRPr="0038442F">
        <w:rPr>
          <w:rFonts w:ascii="Verdana" w:hAnsi="Verdana"/>
          <w:b/>
          <w:bCs/>
          <w:i/>
          <w:sz w:val="20"/>
          <w:szCs w:val="20"/>
          <w:lang w:val="pt-BR"/>
        </w:rPr>
        <w:t>A</w:t>
      </w:r>
      <w:r w:rsidR="00247E1C" w:rsidRPr="0038442F">
        <w:rPr>
          <w:rFonts w:ascii="Verdana" w:hAnsi="Verdana"/>
          <w:b/>
          <w:bCs/>
          <w:i/>
          <w:sz w:val="20"/>
          <w:szCs w:val="20"/>
          <w:lang w:val="pt-BR"/>
        </w:rPr>
        <w:t>s</w:t>
      </w:r>
      <w:r w:rsidR="000F257B" w:rsidRPr="0038442F">
        <w:rPr>
          <w:rFonts w:ascii="Verdana" w:hAnsi="Verdana"/>
          <w:b/>
          <w:bCs/>
          <w:i/>
          <w:sz w:val="20"/>
          <w:szCs w:val="20"/>
          <w:lang w:val="pt-BR"/>
        </w:rPr>
        <w:t xml:space="preserve"> cláusula</w:t>
      </w:r>
      <w:r w:rsidR="00247E1C" w:rsidRPr="0038442F">
        <w:rPr>
          <w:rFonts w:ascii="Verdana" w:hAnsi="Verdana"/>
          <w:b/>
          <w:bCs/>
          <w:i/>
          <w:sz w:val="20"/>
          <w:szCs w:val="20"/>
          <w:lang w:val="pt-BR"/>
        </w:rPr>
        <w:t>s</w:t>
      </w:r>
      <w:r w:rsidR="000F257B" w:rsidRPr="0038442F">
        <w:rPr>
          <w:rFonts w:ascii="Verdana" w:hAnsi="Verdana"/>
          <w:b/>
          <w:bCs/>
          <w:i/>
          <w:sz w:val="20"/>
          <w:szCs w:val="20"/>
          <w:lang w:val="pt-BR"/>
        </w:rPr>
        <w:t xml:space="preserve"> </w:t>
      </w:r>
      <w:r w:rsidR="00247E1C" w:rsidRPr="0038442F">
        <w:rPr>
          <w:rFonts w:ascii="Verdana" w:hAnsi="Verdana"/>
          <w:b/>
          <w:bCs/>
          <w:i/>
          <w:sz w:val="20"/>
          <w:szCs w:val="20"/>
          <w:lang w:val="pt-BR"/>
        </w:rPr>
        <w:t>“</w:t>
      </w:r>
      <w:r w:rsidR="000F257B" w:rsidRPr="0038442F">
        <w:rPr>
          <w:rFonts w:ascii="Verdana" w:hAnsi="Verdana"/>
          <w:b/>
          <w:bCs/>
          <w:i/>
          <w:sz w:val="20"/>
          <w:szCs w:val="20"/>
          <w:lang w:val="pt-BR"/>
        </w:rPr>
        <w:t>aut</w:t>
      </w:r>
      <w:r w:rsidR="00B93CBF" w:rsidRPr="0038442F">
        <w:rPr>
          <w:rFonts w:ascii="Verdana" w:hAnsi="Verdana"/>
          <w:b/>
          <w:bCs/>
          <w:i/>
          <w:sz w:val="20"/>
          <w:szCs w:val="20"/>
          <w:lang w:val="pt-BR"/>
        </w:rPr>
        <w:t>ô</w:t>
      </w:r>
      <w:r w:rsidR="000F257B" w:rsidRPr="0038442F">
        <w:rPr>
          <w:rFonts w:ascii="Verdana" w:hAnsi="Verdana"/>
          <w:b/>
          <w:bCs/>
          <w:i/>
          <w:sz w:val="20"/>
          <w:szCs w:val="20"/>
          <w:lang w:val="pt-BR"/>
        </w:rPr>
        <w:t>noma</w:t>
      </w:r>
      <w:r w:rsidR="00247E1C" w:rsidRPr="0038442F">
        <w:rPr>
          <w:rFonts w:ascii="Verdana" w:hAnsi="Verdana"/>
          <w:b/>
          <w:bCs/>
          <w:i/>
          <w:sz w:val="20"/>
          <w:szCs w:val="20"/>
          <w:lang w:val="pt-BR"/>
        </w:rPr>
        <w:t>”</w:t>
      </w:r>
      <w:r w:rsidR="000F257B" w:rsidRPr="0038442F">
        <w:rPr>
          <w:rFonts w:ascii="Verdana" w:hAnsi="Verdana"/>
          <w:b/>
          <w:bCs/>
          <w:i/>
          <w:sz w:val="20"/>
          <w:szCs w:val="20"/>
          <w:lang w:val="pt-BR"/>
        </w:rPr>
        <w:t xml:space="preserve"> </w:t>
      </w:r>
      <w:r w:rsidR="00B93CBF" w:rsidRPr="0038442F">
        <w:rPr>
          <w:rFonts w:ascii="Verdana" w:hAnsi="Verdana"/>
          <w:b/>
          <w:bCs/>
          <w:i/>
          <w:sz w:val="20"/>
          <w:szCs w:val="20"/>
          <w:lang w:val="pt-BR"/>
        </w:rPr>
        <w:t>e</w:t>
      </w:r>
      <w:r w:rsidR="000F257B" w:rsidRPr="0038442F">
        <w:rPr>
          <w:rFonts w:ascii="Verdana" w:hAnsi="Verdana"/>
          <w:b/>
          <w:bCs/>
          <w:i/>
          <w:sz w:val="20"/>
          <w:szCs w:val="20"/>
          <w:lang w:val="pt-BR"/>
        </w:rPr>
        <w:t xml:space="preserve"> </w:t>
      </w:r>
      <w:r w:rsidR="00247E1C" w:rsidRPr="0038442F">
        <w:rPr>
          <w:rFonts w:ascii="Verdana" w:hAnsi="Verdana"/>
          <w:b/>
          <w:bCs/>
          <w:i/>
          <w:sz w:val="20"/>
          <w:szCs w:val="20"/>
          <w:lang w:val="pt-BR"/>
        </w:rPr>
        <w:t>“</w:t>
      </w:r>
      <w:r w:rsidR="000F257B" w:rsidRPr="0038442F">
        <w:rPr>
          <w:rFonts w:ascii="Verdana" w:hAnsi="Verdana"/>
          <w:b/>
          <w:bCs/>
          <w:i/>
          <w:sz w:val="20"/>
          <w:szCs w:val="20"/>
          <w:lang w:val="pt-BR"/>
        </w:rPr>
        <w:t>subordinada</w:t>
      </w:r>
      <w:r w:rsidR="00247E1C" w:rsidRPr="0038442F">
        <w:rPr>
          <w:rFonts w:ascii="Verdana" w:hAnsi="Verdana"/>
          <w:b/>
          <w:bCs/>
          <w:i/>
          <w:sz w:val="20"/>
          <w:szCs w:val="20"/>
          <w:lang w:val="pt-BR"/>
        </w:rPr>
        <w:t>”</w:t>
      </w:r>
      <w:r w:rsidR="000F257B" w:rsidRPr="0038442F">
        <w:rPr>
          <w:rFonts w:ascii="Verdana" w:hAnsi="Verdana"/>
          <w:b/>
          <w:bCs/>
          <w:i/>
          <w:sz w:val="20"/>
          <w:szCs w:val="20"/>
          <w:lang w:val="pt-BR"/>
        </w:rPr>
        <w:t xml:space="preserve"> d</w:t>
      </w:r>
      <w:r w:rsidR="00845A32">
        <w:rPr>
          <w:rFonts w:ascii="Verdana" w:hAnsi="Verdana"/>
          <w:b/>
          <w:bCs/>
          <w:i/>
          <w:sz w:val="20"/>
          <w:szCs w:val="20"/>
          <w:lang w:val="pt-BR"/>
        </w:rPr>
        <w:t>a</w:t>
      </w:r>
      <w:r w:rsidR="000F257B" w:rsidRPr="0038442F">
        <w:rPr>
          <w:rFonts w:ascii="Verdana" w:hAnsi="Verdana"/>
          <w:b/>
          <w:bCs/>
          <w:i/>
          <w:sz w:val="20"/>
          <w:szCs w:val="20"/>
          <w:lang w:val="pt-BR"/>
        </w:rPr>
        <w:t xml:space="preserve"> </w:t>
      </w:r>
      <w:r w:rsidR="009612FB" w:rsidRPr="0038442F">
        <w:rPr>
          <w:rFonts w:ascii="Verdana" w:hAnsi="Verdana"/>
          <w:b/>
          <w:bCs/>
          <w:i/>
          <w:sz w:val="20"/>
          <w:szCs w:val="20"/>
          <w:lang w:val="pt-BR"/>
        </w:rPr>
        <w:t>igualdade</w:t>
      </w:r>
      <w:r w:rsidR="00407242" w:rsidRPr="0038442F">
        <w:rPr>
          <w:rFonts w:ascii="Verdana" w:hAnsi="Verdana"/>
          <w:b/>
          <w:bCs/>
          <w:i/>
          <w:sz w:val="20"/>
          <w:szCs w:val="20"/>
          <w:lang w:val="pt-BR"/>
        </w:rPr>
        <w:t xml:space="preserve"> </w:t>
      </w:r>
      <w:r w:rsidR="00B93CBF" w:rsidRPr="0038442F">
        <w:rPr>
          <w:rFonts w:ascii="Verdana" w:hAnsi="Verdana"/>
          <w:b/>
          <w:bCs/>
          <w:i/>
          <w:sz w:val="20"/>
          <w:szCs w:val="20"/>
          <w:lang w:val="pt-BR"/>
        </w:rPr>
        <w:t>e</w:t>
      </w:r>
      <w:r w:rsidR="000F257B" w:rsidRPr="0038442F">
        <w:rPr>
          <w:rFonts w:ascii="Verdana" w:hAnsi="Verdana"/>
          <w:b/>
          <w:bCs/>
          <w:i/>
          <w:sz w:val="20"/>
          <w:szCs w:val="20"/>
          <w:lang w:val="pt-BR"/>
        </w:rPr>
        <w:t xml:space="preserve"> n</w:t>
      </w:r>
      <w:r w:rsidR="00B93CBF" w:rsidRPr="0038442F">
        <w:rPr>
          <w:rFonts w:ascii="Verdana" w:hAnsi="Verdana"/>
          <w:b/>
          <w:bCs/>
          <w:i/>
          <w:sz w:val="20"/>
          <w:szCs w:val="20"/>
          <w:lang w:val="pt-BR"/>
        </w:rPr>
        <w:t>ã</w:t>
      </w:r>
      <w:r w:rsidR="000F257B" w:rsidRPr="0038442F">
        <w:rPr>
          <w:rFonts w:ascii="Verdana" w:hAnsi="Verdana"/>
          <w:b/>
          <w:bCs/>
          <w:i/>
          <w:sz w:val="20"/>
          <w:szCs w:val="20"/>
          <w:lang w:val="pt-BR"/>
        </w:rPr>
        <w:t>o discrimina</w:t>
      </w:r>
      <w:r w:rsidR="000A1AA8" w:rsidRPr="0038442F">
        <w:rPr>
          <w:rFonts w:ascii="Verdana" w:hAnsi="Verdana"/>
          <w:b/>
          <w:bCs/>
          <w:i/>
          <w:sz w:val="20"/>
          <w:szCs w:val="20"/>
          <w:lang w:val="pt-BR"/>
        </w:rPr>
        <w:t>ção</w:t>
      </w:r>
      <w:r w:rsidRPr="0038442F">
        <w:rPr>
          <w:rFonts w:ascii="Verdana" w:hAnsi="Verdana"/>
          <w:b/>
          <w:bCs/>
          <w:i/>
          <w:sz w:val="20"/>
          <w:szCs w:val="20"/>
          <w:lang w:val="pt-BR"/>
        </w:rPr>
        <w:t xml:space="preserve"> </w:t>
      </w:r>
    </w:p>
    <w:p w14:paraId="53B19991" w14:textId="19926F3C" w:rsidR="003454B0" w:rsidRPr="0038442F" w:rsidRDefault="00332F07" w:rsidP="00315E98">
      <w:pPr>
        <w:ind w:firstLine="709"/>
        <w:jc w:val="both"/>
        <w:rPr>
          <w:rFonts w:ascii="Verdana" w:hAnsi="Verdana"/>
          <w:b/>
          <w:bCs/>
          <w:iCs/>
          <w:sz w:val="20"/>
          <w:szCs w:val="20"/>
          <w:lang w:val="pt-BR"/>
        </w:rPr>
      </w:pPr>
      <w:r w:rsidRPr="0038442F">
        <w:rPr>
          <w:rFonts w:ascii="Verdana" w:hAnsi="Verdana"/>
          <w:b/>
          <w:bCs/>
          <w:iCs/>
          <w:sz w:val="20"/>
          <w:szCs w:val="20"/>
          <w:lang w:val="pt-BR"/>
        </w:rPr>
        <w:t>B</w:t>
      </w:r>
      <w:r w:rsidR="003454B0" w:rsidRPr="0038442F">
        <w:rPr>
          <w:rFonts w:ascii="Verdana" w:hAnsi="Verdana"/>
          <w:b/>
          <w:bCs/>
          <w:iCs/>
          <w:sz w:val="20"/>
          <w:szCs w:val="20"/>
          <w:lang w:val="pt-BR"/>
        </w:rPr>
        <w:t>.1.</w:t>
      </w:r>
      <w:r w:rsidRPr="0038442F">
        <w:rPr>
          <w:rFonts w:ascii="Verdana" w:hAnsi="Verdana"/>
          <w:b/>
          <w:bCs/>
          <w:iCs/>
          <w:sz w:val="20"/>
          <w:szCs w:val="20"/>
          <w:lang w:val="pt-BR"/>
        </w:rPr>
        <w:t xml:space="preserve"> </w:t>
      </w:r>
      <w:r w:rsidR="008806F8" w:rsidRPr="0038442F">
        <w:rPr>
          <w:rFonts w:ascii="Verdana" w:hAnsi="Verdana"/>
          <w:b/>
          <w:bCs/>
          <w:iCs/>
          <w:sz w:val="20"/>
          <w:szCs w:val="20"/>
          <w:lang w:val="pt-BR"/>
        </w:rPr>
        <w:t>Princípios</w:t>
      </w:r>
      <w:r w:rsidR="00407242" w:rsidRPr="0038442F">
        <w:rPr>
          <w:rFonts w:ascii="Verdana" w:hAnsi="Verdana"/>
          <w:b/>
          <w:bCs/>
          <w:iCs/>
          <w:sz w:val="20"/>
          <w:szCs w:val="20"/>
          <w:lang w:val="pt-BR"/>
        </w:rPr>
        <w:t xml:space="preserve"> </w:t>
      </w:r>
      <w:r w:rsidR="000F257B" w:rsidRPr="0038442F">
        <w:rPr>
          <w:rFonts w:ascii="Verdana" w:hAnsi="Verdana"/>
          <w:b/>
          <w:bCs/>
          <w:iCs/>
          <w:sz w:val="20"/>
          <w:szCs w:val="20"/>
          <w:lang w:val="pt-BR"/>
        </w:rPr>
        <w:t>g</w:t>
      </w:r>
      <w:r w:rsidR="003454B0" w:rsidRPr="0038442F">
        <w:rPr>
          <w:rFonts w:ascii="Verdana" w:hAnsi="Verdana"/>
          <w:b/>
          <w:bCs/>
          <w:iCs/>
          <w:sz w:val="20"/>
          <w:szCs w:val="20"/>
          <w:lang w:val="pt-BR"/>
        </w:rPr>
        <w:t>er</w:t>
      </w:r>
      <w:r w:rsidR="00C92762" w:rsidRPr="0038442F">
        <w:rPr>
          <w:rFonts w:ascii="Verdana" w:hAnsi="Verdana"/>
          <w:b/>
          <w:bCs/>
          <w:iCs/>
          <w:sz w:val="20"/>
          <w:szCs w:val="20"/>
          <w:lang w:val="pt-BR"/>
        </w:rPr>
        <w:t xml:space="preserve">ais </w:t>
      </w:r>
    </w:p>
    <w:p w14:paraId="5F5D1EF3" w14:textId="77777777" w:rsidR="003454B0" w:rsidRPr="0038442F" w:rsidRDefault="003454B0" w:rsidP="00A857CB">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 </w:t>
      </w:r>
    </w:p>
    <w:p w14:paraId="127930DD" w14:textId="794C7189" w:rsidR="00C30C92" w:rsidRPr="0038442F" w:rsidRDefault="00CC0959" w:rsidP="00CC0959">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79. </w:t>
      </w:r>
      <w:r w:rsidRPr="0038442F">
        <w:rPr>
          <w:rFonts w:ascii="Verdana" w:hAnsi="Verdana" w:cs="Times New Roman"/>
          <w:sz w:val="20"/>
          <w:szCs w:val="20"/>
          <w:lang w:val="pt-BR"/>
        </w:rPr>
        <w:tab/>
      </w:r>
      <w:r w:rsidR="00C30C92" w:rsidRPr="0038442F">
        <w:rPr>
          <w:rFonts w:ascii="Verdana" w:hAnsi="Verdana" w:cs="Times New Roman"/>
          <w:sz w:val="20"/>
          <w:szCs w:val="20"/>
          <w:lang w:val="pt-BR"/>
        </w:rPr>
        <w:t>D</w:t>
      </w:r>
      <w:r w:rsidR="005B55A8" w:rsidRPr="0038442F">
        <w:rPr>
          <w:rFonts w:ascii="Verdana" w:hAnsi="Verdana" w:cs="Times New Roman"/>
          <w:sz w:val="20"/>
          <w:szCs w:val="20"/>
          <w:lang w:val="pt-BR"/>
        </w:rPr>
        <w:t xml:space="preserve">o ponto </w:t>
      </w:r>
      <w:r w:rsidR="00C30C92" w:rsidRPr="0038442F">
        <w:rPr>
          <w:rFonts w:ascii="Verdana" w:hAnsi="Verdana" w:cs="Times New Roman"/>
          <w:sz w:val="20"/>
          <w:szCs w:val="20"/>
          <w:lang w:val="pt-BR"/>
        </w:rPr>
        <w:t xml:space="preserve">de vista </w:t>
      </w:r>
      <w:r w:rsidR="005B55A8" w:rsidRPr="0038442F">
        <w:rPr>
          <w:rFonts w:ascii="Verdana" w:hAnsi="Verdana" w:cs="Times New Roman"/>
          <w:sz w:val="20"/>
          <w:szCs w:val="20"/>
          <w:lang w:val="pt-BR"/>
        </w:rPr>
        <w:t>doutrinário</w:t>
      </w:r>
      <w:r w:rsidR="00C30C92" w:rsidRPr="0038442F">
        <w:rPr>
          <w:rFonts w:ascii="Verdana" w:hAnsi="Verdana" w:cs="Times New Roman"/>
          <w:sz w:val="20"/>
          <w:szCs w:val="20"/>
          <w:lang w:val="pt-BR"/>
        </w:rPr>
        <w:t xml:space="preserve">, </w:t>
      </w:r>
      <w:r w:rsidR="003B374E" w:rsidRPr="0038442F">
        <w:rPr>
          <w:rFonts w:ascii="Verdana" w:hAnsi="Verdana" w:cs="Times New Roman"/>
          <w:sz w:val="20"/>
          <w:szCs w:val="20"/>
          <w:lang w:val="pt-BR"/>
        </w:rPr>
        <w:t xml:space="preserve">o artigo </w:t>
      </w:r>
      <w:r w:rsidR="00035D88" w:rsidRPr="0038442F">
        <w:rPr>
          <w:rFonts w:ascii="Verdana" w:hAnsi="Verdana" w:cs="Times New Roman"/>
          <w:sz w:val="20"/>
          <w:szCs w:val="20"/>
          <w:lang w:val="pt-BR"/>
        </w:rPr>
        <w:t xml:space="preserve">24 </w:t>
      </w:r>
      <w:r w:rsidR="00C92762" w:rsidRPr="0038442F">
        <w:rPr>
          <w:rFonts w:ascii="Verdana" w:hAnsi="Verdana" w:cs="Times New Roman"/>
          <w:sz w:val="20"/>
          <w:szCs w:val="20"/>
          <w:lang w:val="pt-BR"/>
        </w:rPr>
        <w:t xml:space="preserve">da </w:t>
      </w:r>
      <w:r w:rsidR="00C30C92" w:rsidRPr="0038442F">
        <w:rPr>
          <w:rFonts w:ascii="Verdana" w:hAnsi="Verdana" w:cs="Times New Roman"/>
          <w:sz w:val="20"/>
          <w:szCs w:val="20"/>
          <w:lang w:val="pt-BR"/>
        </w:rPr>
        <w:t>Conven</w:t>
      </w:r>
      <w:r w:rsidR="000A1AA8" w:rsidRPr="0038442F">
        <w:rPr>
          <w:rFonts w:ascii="Verdana" w:hAnsi="Verdana" w:cs="Times New Roman"/>
          <w:sz w:val="20"/>
          <w:szCs w:val="20"/>
          <w:lang w:val="pt-BR"/>
        </w:rPr>
        <w:t>ção</w:t>
      </w:r>
      <w:r w:rsidR="00C30C92" w:rsidRPr="0038442F">
        <w:rPr>
          <w:rFonts w:ascii="Verdana" w:hAnsi="Verdana" w:cs="Times New Roman"/>
          <w:sz w:val="20"/>
          <w:szCs w:val="20"/>
          <w:lang w:val="pt-BR"/>
        </w:rPr>
        <w:t xml:space="preserve"> Americana cont</w:t>
      </w:r>
      <w:r w:rsidR="005B55A8" w:rsidRPr="0038442F">
        <w:rPr>
          <w:rFonts w:ascii="Verdana" w:hAnsi="Verdana" w:cs="Times New Roman"/>
          <w:sz w:val="20"/>
          <w:szCs w:val="20"/>
          <w:lang w:val="pt-BR"/>
        </w:rPr>
        <w:t xml:space="preserve">ém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C30C92" w:rsidRPr="0038442F">
        <w:rPr>
          <w:rFonts w:ascii="Verdana" w:hAnsi="Verdana" w:cs="Times New Roman"/>
          <w:sz w:val="20"/>
          <w:szCs w:val="20"/>
          <w:lang w:val="pt-BR"/>
        </w:rPr>
        <w:t>cláusula de n</w:t>
      </w:r>
      <w:r w:rsidR="005B55A8" w:rsidRPr="0038442F">
        <w:rPr>
          <w:rFonts w:ascii="Verdana" w:hAnsi="Verdana" w:cs="Times New Roman"/>
          <w:sz w:val="20"/>
          <w:szCs w:val="20"/>
          <w:lang w:val="pt-BR"/>
        </w:rPr>
        <w:t>ã</w:t>
      </w:r>
      <w:r w:rsidR="00C30C92" w:rsidRPr="0038442F">
        <w:rPr>
          <w:rFonts w:ascii="Verdana" w:hAnsi="Verdana" w:cs="Times New Roman"/>
          <w:sz w:val="20"/>
          <w:szCs w:val="20"/>
          <w:lang w:val="pt-BR"/>
        </w:rPr>
        <w:t>o discrimina</w:t>
      </w:r>
      <w:r w:rsidR="000A1AA8" w:rsidRPr="0038442F">
        <w:rPr>
          <w:rFonts w:ascii="Verdana" w:hAnsi="Verdana" w:cs="Times New Roman"/>
          <w:sz w:val="20"/>
          <w:szCs w:val="20"/>
          <w:lang w:val="pt-BR"/>
        </w:rPr>
        <w:t>ção</w:t>
      </w:r>
      <w:r w:rsidR="00C30C92" w:rsidRPr="0038442F">
        <w:rPr>
          <w:rFonts w:ascii="Verdana" w:hAnsi="Verdana" w:cs="Times New Roman"/>
          <w:sz w:val="20"/>
          <w:szCs w:val="20"/>
          <w:lang w:val="pt-BR"/>
        </w:rPr>
        <w:t xml:space="preserve"> “aut</w:t>
      </w:r>
      <w:r w:rsidR="005B55A8" w:rsidRPr="0038442F">
        <w:rPr>
          <w:rFonts w:ascii="Verdana" w:hAnsi="Verdana" w:cs="Times New Roman"/>
          <w:sz w:val="20"/>
          <w:szCs w:val="20"/>
          <w:lang w:val="pt-BR"/>
        </w:rPr>
        <w:t>ô</w:t>
      </w:r>
      <w:r w:rsidR="00C30C92" w:rsidRPr="0038442F">
        <w:rPr>
          <w:rFonts w:ascii="Verdana" w:hAnsi="Verdana" w:cs="Times New Roman"/>
          <w:sz w:val="20"/>
          <w:szCs w:val="20"/>
          <w:lang w:val="pt-BR"/>
        </w:rPr>
        <w:t>noma”</w:t>
      </w:r>
      <w:r w:rsidR="00C36C89" w:rsidRPr="0038442F">
        <w:rPr>
          <w:rFonts w:ascii="Verdana" w:hAnsi="Verdana" w:cs="Times New Roman"/>
          <w:sz w:val="20"/>
          <w:szCs w:val="20"/>
          <w:lang w:val="pt-BR"/>
        </w:rPr>
        <w:t>,</w:t>
      </w:r>
      <w:r w:rsidR="00C30C92" w:rsidRPr="0038442F">
        <w:rPr>
          <w:rFonts w:ascii="Verdana" w:hAnsi="Verdana" w:cs="Times New Roman"/>
          <w:sz w:val="20"/>
          <w:szCs w:val="20"/>
          <w:lang w:val="pt-BR"/>
        </w:rPr>
        <w:t xml:space="preserve"> que, </w:t>
      </w:r>
      <w:r w:rsidR="005B55A8" w:rsidRPr="0038442F">
        <w:rPr>
          <w:rFonts w:ascii="Verdana" w:hAnsi="Verdana" w:cs="Times New Roman"/>
          <w:sz w:val="20"/>
          <w:szCs w:val="20"/>
          <w:lang w:val="pt-BR"/>
        </w:rPr>
        <w:t>em geral</w:t>
      </w:r>
      <w:r w:rsidR="00C30C92" w:rsidRPr="0038442F">
        <w:rPr>
          <w:rFonts w:ascii="Verdana" w:hAnsi="Verdana" w:cs="Times New Roman"/>
          <w:sz w:val="20"/>
          <w:szCs w:val="20"/>
          <w:lang w:val="pt-BR"/>
        </w:rPr>
        <w:t xml:space="preserve">, responde </w:t>
      </w:r>
      <w:r w:rsidR="005B55A8" w:rsidRPr="0038442F">
        <w:rPr>
          <w:rFonts w:ascii="Verdana" w:hAnsi="Verdana" w:cs="Times New Roman"/>
          <w:sz w:val="20"/>
          <w:szCs w:val="20"/>
          <w:lang w:val="pt-BR"/>
        </w:rPr>
        <w:t xml:space="preserve">à </w:t>
      </w:r>
      <w:r w:rsidR="00C30C92" w:rsidRPr="0038442F">
        <w:rPr>
          <w:rFonts w:ascii="Verdana" w:hAnsi="Verdana" w:cs="Times New Roman"/>
          <w:sz w:val="20"/>
          <w:szCs w:val="20"/>
          <w:lang w:val="pt-BR"/>
        </w:rPr>
        <w:t>formula</w:t>
      </w:r>
      <w:r w:rsidR="000A1AA8" w:rsidRPr="0038442F">
        <w:rPr>
          <w:rFonts w:ascii="Verdana" w:hAnsi="Verdana" w:cs="Times New Roman"/>
          <w:sz w:val="20"/>
          <w:szCs w:val="20"/>
          <w:lang w:val="pt-BR"/>
        </w:rPr>
        <w:t>ção</w:t>
      </w:r>
      <w:r w:rsidR="00C30C92" w:rsidRPr="0038442F">
        <w:rPr>
          <w:rFonts w:ascii="Verdana" w:hAnsi="Verdana" w:cs="Times New Roman"/>
          <w:sz w:val="20"/>
          <w:szCs w:val="20"/>
          <w:lang w:val="pt-BR"/>
        </w:rPr>
        <w:t xml:space="preserve"> clá</w:t>
      </w:r>
      <w:r w:rsidR="005B55A8" w:rsidRPr="0038442F">
        <w:rPr>
          <w:rFonts w:ascii="Verdana" w:hAnsi="Verdana" w:cs="Times New Roman"/>
          <w:sz w:val="20"/>
          <w:szCs w:val="20"/>
          <w:lang w:val="pt-BR"/>
        </w:rPr>
        <w:t>s</w:t>
      </w:r>
      <w:r w:rsidR="00C30C92" w:rsidRPr="0038442F">
        <w:rPr>
          <w:rFonts w:ascii="Verdana" w:hAnsi="Verdana" w:cs="Times New Roman"/>
          <w:sz w:val="20"/>
          <w:szCs w:val="20"/>
          <w:lang w:val="pt-BR"/>
        </w:rPr>
        <w:t xml:space="preserve">sica de </w:t>
      </w:r>
      <w:r w:rsidR="005B55A8" w:rsidRPr="0038442F">
        <w:rPr>
          <w:rFonts w:ascii="Verdana" w:hAnsi="Verdana" w:cs="Times New Roman"/>
          <w:sz w:val="20"/>
          <w:szCs w:val="20"/>
          <w:lang w:val="pt-BR"/>
        </w:rPr>
        <w:t>não discriminação perante a lei</w:t>
      </w:r>
      <w:r w:rsidR="00C30C9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mas</w:t>
      </w:r>
      <w:r w:rsidR="00C30C92" w:rsidRPr="0038442F">
        <w:rPr>
          <w:rFonts w:ascii="Verdana" w:hAnsi="Verdana" w:cs="Times New Roman"/>
          <w:sz w:val="20"/>
          <w:szCs w:val="20"/>
          <w:lang w:val="pt-BR"/>
        </w:rPr>
        <w:t xml:space="preserve">, por </w:t>
      </w:r>
      <w:r w:rsidR="00984A83" w:rsidRPr="0038442F">
        <w:rPr>
          <w:rFonts w:ascii="Verdana" w:hAnsi="Verdana" w:cs="Times New Roman"/>
          <w:sz w:val="20"/>
          <w:szCs w:val="20"/>
          <w:lang w:val="pt-BR"/>
        </w:rPr>
        <w:t>outro</w:t>
      </w:r>
      <w:r w:rsidR="00407242" w:rsidRPr="0038442F">
        <w:rPr>
          <w:rFonts w:ascii="Verdana" w:hAnsi="Verdana" w:cs="Times New Roman"/>
          <w:sz w:val="20"/>
          <w:szCs w:val="20"/>
          <w:lang w:val="pt-BR"/>
        </w:rPr>
        <w:t xml:space="preserve"> </w:t>
      </w:r>
      <w:r w:rsidR="00C30C92" w:rsidRPr="0038442F">
        <w:rPr>
          <w:rFonts w:ascii="Verdana" w:hAnsi="Verdana" w:cs="Times New Roman"/>
          <w:sz w:val="20"/>
          <w:szCs w:val="20"/>
          <w:lang w:val="pt-BR"/>
        </w:rPr>
        <w:t xml:space="preserve">lado, </w:t>
      </w:r>
      <w:r w:rsidR="003B374E" w:rsidRPr="0038442F">
        <w:rPr>
          <w:rFonts w:ascii="Verdana" w:hAnsi="Verdana" w:cs="Times New Roman"/>
          <w:sz w:val="20"/>
          <w:szCs w:val="20"/>
          <w:lang w:val="pt-BR"/>
        </w:rPr>
        <w:t xml:space="preserve">o artigo </w:t>
      </w:r>
      <w:r w:rsidR="00C30C92" w:rsidRPr="0038442F">
        <w:rPr>
          <w:rFonts w:ascii="Verdana" w:hAnsi="Verdana" w:cs="Times New Roman"/>
          <w:sz w:val="20"/>
          <w:szCs w:val="20"/>
          <w:lang w:val="pt-BR"/>
        </w:rPr>
        <w:t xml:space="preserve">1.1 </w:t>
      </w:r>
      <w:r w:rsidR="005135E5" w:rsidRPr="0038442F">
        <w:rPr>
          <w:rFonts w:ascii="Verdana" w:hAnsi="Verdana" w:cs="Times New Roman"/>
          <w:sz w:val="20"/>
          <w:szCs w:val="20"/>
          <w:lang w:val="pt-BR"/>
        </w:rPr>
        <w:t>também</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contém</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C30C92" w:rsidRPr="0038442F">
        <w:rPr>
          <w:rFonts w:ascii="Verdana" w:hAnsi="Verdana" w:cs="Times New Roman"/>
          <w:sz w:val="20"/>
          <w:szCs w:val="20"/>
          <w:lang w:val="pt-BR"/>
        </w:rPr>
        <w:t xml:space="preserve">cláusula de </w:t>
      </w:r>
      <w:r w:rsidR="005B55A8" w:rsidRPr="0038442F">
        <w:rPr>
          <w:rFonts w:ascii="Verdana" w:hAnsi="Verdana" w:cs="Times New Roman"/>
          <w:sz w:val="20"/>
          <w:szCs w:val="20"/>
          <w:lang w:val="pt-BR"/>
        </w:rPr>
        <w:t>não discriminação</w:t>
      </w:r>
      <w:r w:rsidR="00C30C92" w:rsidRPr="0038442F">
        <w:rPr>
          <w:rFonts w:ascii="Verdana" w:hAnsi="Verdana" w:cs="Times New Roman"/>
          <w:sz w:val="20"/>
          <w:szCs w:val="20"/>
          <w:lang w:val="pt-BR"/>
        </w:rPr>
        <w:t>, identificad</w:t>
      </w:r>
      <w:r w:rsidR="00A82EA2" w:rsidRPr="0038442F">
        <w:rPr>
          <w:rFonts w:ascii="Verdana" w:hAnsi="Verdana" w:cs="Times New Roman"/>
          <w:sz w:val="20"/>
          <w:szCs w:val="20"/>
          <w:lang w:val="pt-BR"/>
        </w:rPr>
        <w:t>a</w:t>
      </w:r>
      <w:r w:rsidR="00C30C92" w:rsidRPr="0038442F">
        <w:rPr>
          <w:rFonts w:ascii="Verdana" w:hAnsi="Verdana" w:cs="Times New Roman"/>
          <w:sz w:val="20"/>
          <w:szCs w:val="20"/>
          <w:lang w:val="pt-BR"/>
        </w:rPr>
        <w:t xml:space="preserve"> como “subordinada”</w:t>
      </w:r>
      <w:r w:rsidR="005B55A8" w:rsidRPr="0038442F">
        <w:rPr>
          <w:rFonts w:ascii="Verdana" w:hAnsi="Verdana" w:cs="Times New Roman"/>
          <w:sz w:val="20"/>
          <w:szCs w:val="20"/>
          <w:lang w:val="pt-BR"/>
        </w:rPr>
        <w:t>.</w:t>
      </w:r>
      <w:r w:rsidR="00A82EA2" w:rsidRPr="0038442F">
        <w:rPr>
          <w:rStyle w:val="Refdenotaalpie"/>
          <w:rFonts w:ascii="Verdana" w:hAnsi="Verdana" w:cs="Times New Roman"/>
          <w:sz w:val="20"/>
          <w:szCs w:val="20"/>
          <w:lang w:val="pt-BR"/>
        </w:rPr>
        <w:footnoteReference w:id="132"/>
      </w:r>
      <w:r w:rsidR="00C30C92" w:rsidRPr="0038442F">
        <w:rPr>
          <w:rFonts w:ascii="Verdana" w:hAnsi="Verdana" w:cs="Times New Roman"/>
          <w:sz w:val="20"/>
          <w:szCs w:val="20"/>
          <w:lang w:val="pt-BR"/>
        </w:rPr>
        <w:t xml:space="preserve"> </w:t>
      </w:r>
    </w:p>
    <w:p w14:paraId="4E5446EE" w14:textId="77777777" w:rsidR="00C30C92" w:rsidRPr="0038442F" w:rsidRDefault="00C30C92" w:rsidP="00A857CB">
      <w:pPr>
        <w:pStyle w:val="Prrafodelista"/>
        <w:spacing w:after="0" w:line="240" w:lineRule="auto"/>
        <w:ind w:left="0"/>
        <w:jc w:val="both"/>
        <w:rPr>
          <w:rFonts w:ascii="Verdana" w:hAnsi="Verdana" w:cs="Times New Roman"/>
          <w:sz w:val="20"/>
          <w:szCs w:val="20"/>
          <w:lang w:val="pt-BR"/>
        </w:rPr>
      </w:pPr>
    </w:p>
    <w:p w14:paraId="1231FE97" w14:textId="17D0D754" w:rsidR="00332F07" w:rsidRPr="0038442F" w:rsidRDefault="00CC0959" w:rsidP="00CC0959">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80. </w:t>
      </w:r>
      <w:r w:rsidRPr="0038442F">
        <w:rPr>
          <w:rFonts w:ascii="Verdana" w:hAnsi="Verdana" w:cs="Times New Roman"/>
          <w:sz w:val="20"/>
          <w:szCs w:val="20"/>
          <w:lang w:val="pt-BR"/>
        </w:rPr>
        <w:tab/>
      </w:r>
      <w:r w:rsidR="00C92762" w:rsidRPr="0038442F">
        <w:rPr>
          <w:rFonts w:ascii="Verdana" w:hAnsi="Verdana" w:cs="Times New Roman"/>
          <w:sz w:val="20"/>
          <w:szCs w:val="20"/>
          <w:lang w:val="pt-BR"/>
        </w:rPr>
        <w:t xml:space="preserve">A Corte </w:t>
      </w:r>
      <w:r w:rsidR="00332F07" w:rsidRPr="0038442F">
        <w:rPr>
          <w:rFonts w:ascii="Verdana" w:hAnsi="Verdana" w:cs="Times New Roman"/>
          <w:sz w:val="20"/>
          <w:szCs w:val="20"/>
          <w:lang w:val="pt-BR"/>
        </w:rPr>
        <w:t>IDH</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 xml:space="preserve">observou </w:t>
      </w:r>
      <w:r w:rsidR="00981CF8" w:rsidRPr="0038442F">
        <w:rPr>
          <w:rFonts w:ascii="Verdana" w:hAnsi="Verdana" w:cs="Times New Roman"/>
          <w:sz w:val="20"/>
          <w:szCs w:val="20"/>
          <w:lang w:val="pt-BR"/>
        </w:rPr>
        <w:t>que</w:t>
      </w:r>
      <w:r w:rsidR="005C0E46"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 xml:space="preserve">ao </w:t>
      </w:r>
      <w:r w:rsidR="00981CF8" w:rsidRPr="0038442F">
        <w:rPr>
          <w:rFonts w:ascii="Verdana" w:hAnsi="Verdana" w:cs="Times New Roman"/>
          <w:sz w:val="20"/>
          <w:szCs w:val="20"/>
          <w:lang w:val="pt-BR"/>
        </w:rPr>
        <w:t xml:space="preserve">abordar </w:t>
      </w:r>
      <w:r w:rsidR="005B55A8" w:rsidRPr="0038442F">
        <w:rPr>
          <w:rFonts w:ascii="Verdana" w:hAnsi="Verdana" w:cs="Times New Roman"/>
          <w:sz w:val="20"/>
          <w:szCs w:val="20"/>
          <w:lang w:val="pt-BR"/>
        </w:rPr>
        <w:t xml:space="preserve">o princípio </w:t>
      </w:r>
      <w:r w:rsidR="00C92762" w:rsidRPr="0038442F">
        <w:rPr>
          <w:rFonts w:ascii="Verdana" w:hAnsi="Verdana" w:cs="Times New Roman"/>
          <w:sz w:val="20"/>
          <w:szCs w:val="20"/>
          <w:lang w:val="pt-BR"/>
        </w:rPr>
        <w:t xml:space="preserve">da </w:t>
      </w:r>
      <w:r w:rsidR="009612FB" w:rsidRPr="0038442F">
        <w:rPr>
          <w:rFonts w:ascii="Verdana" w:hAnsi="Verdana" w:cs="Times New Roman"/>
          <w:sz w:val="20"/>
          <w:szCs w:val="20"/>
          <w:lang w:val="pt-BR"/>
        </w:rPr>
        <w:t>igualdade</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e não discriminação</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 xml:space="preserve">deve-se ter presente </w:t>
      </w:r>
      <w:r w:rsidR="00981CF8" w:rsidRPr="0038442F">
        <w:rPr>
          <w:rFonts w:ascii="Verdana" w:hAnsi="Verdana" w:cs="Times New Roman"/>
          <w:sz w:val="20"/>
          <w:szCs w:val="20"/>
          <w:lang w:val="pt-BR"/>
        </w:rPr>
        <w:t>a cont</w:t>
      </w:r>
      <w:r w:rsidR="005B55A8" w:rsidRPr="0038442F">
        <w:rPr>
          <w:rFonts w:ascii="Verdana" w:hAnsi="Verdana" w:cs="Times New Roman"/>
          <w:sz w:val="20"/>
          <w:szCs w:val="20"/>
          <w:lang w:val="pt-BR"/>
        </w:rPr>
        <w:t>í</w:t>
      </w:r>
      <w:r w:rsidR="00981CF8" w:rsidRPr="0038442F">
        <w:rPr>
          <w:rFonts w:ascii="Verdana" w:hAnsi="Verdana" w:cs="Times New Roman"/>
          <w:sz w:val="20"/>
          <w:szCs w:val="20"/>
          <w:lang w:val="pt-BR"/>
        </w:rPr>
        <w:t>nua evolu</w:t>
      </w:r>
      <w:r w:rsidR="000A1AA8" w:rsidRPr="0038442F">
        <w:rPr>
          <w:rFonts w:ascii="Verdana" w:hAnsi="Verdana" w:cs="Times New Roman"/>
          <w:sz w:val="20"/>
          <w:szCs w:val="20"/>
          <w:lang w:val="pt-BR"/>
        </w:rPr>
        <w:t>ção</w:t>
      </w:r>
      <w:r w:rsidR="00981CF8" w:rsidRPr="0038442F">
        <w:rPr>
          <w:rFonts w:ascii="Verdana" w:hAnsi="Verdana" w:cs="Times New Roman"/>
          <w:sz w:val="20"/>
          <w:szCs w:val="20"/>
          <w:lang w:val="pt-BR"/>
        </w:rPr>
        <w:t xml:space="preserve"> d</w:t>
      </w:r>
      <w:r w:rsidR="005B55A8" w:rsidRPr="0038442F">
        <w:rPr>
          <w:rFonts w:ascii="Verdana" w:hAnsi="Verdana" w:cs="Times New Roman"/>
          <w:sz w:val="20"/>
          <w:szCs w:val="20"/>
          <w:lang w:val="pt-BR"/>
        </w:rPr>
        <w:t>o D</w:t>
      </w:r>
      <w:r w:rsidR="00CA30C5" w:rsidRPr="0038442F">
        <w:rPr>
          <w:rFonts w:ascii="Verdana" w:hAnsi="Verdana" w:cs="Times New Roman"/>
          <w:sz w:val="20"/>
          <w:szCs w:val="20"/>
          <w:lang w:val="pt-BR"/>
        </w:rPr>
        <w:t>ireito</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I</w:t>
      </w:r>
      <w:r w:rsidR="00981CF8" w:rsidRPr="0038442F">
        <w:rPr>
          <w:rFonts w:ascii="Verdana" w:hAnsi="Verdana" w:cs="Times New Roman"/>
          <w:sz w:val="20"/>
          <w:szCs w:val="20"/>
          <w:lang w:val="pt-BR"/>
        </w:rPr>
        <w:t>nternacional</w:t>
      </w:r>
      <w:r w:rsidR="005B55A8" w:rsidRPr="0038442F">
        <w:rPr>
          <w:rFonts w:ascii="Verdana" w:hAnsi="Verdana" w:cs="Times New Roman"/>
          <w:sz w:val="20"/>
          <w:szCs w:val="20"/>
          <w:lang w:val="pt-BR"/>
        </w:rPr>
        <w:t>.</w:t>
      </w:r>
      <w:r w:rsidR="00981CF8" w:rsidRPr="0038442F">
        <w:rPr>
          <w:rStyle w:val="Refdenotaalpie"/>
          <w:rFonts w:ascii="Verdana" w:hAnsi="Verdana"/>
          <w:sz w:val="20"/>
          <w:szCs w:val="20"/>
          <w:lang w:val="pt-BR"/>
        </w:rPr>
        <w:footnoteReference w:id="133"/>
      </w:r>
      <w:r w:rsidR="00981CF8" w:rsidRPr="0038442F">
        <w:rPr>
          <w:rFonts w:ascii="Verdana" w:hAnsi="Verdana" w:cs="Times New Roman"/>
          <w:sz w:val="20"/>
          <w:szCs w:val="20"/>
          <w:lang w:val="pt-BR"/>
        </w:rPr>
        <w:t xml:space="preserve"> De</w:t>
      </w:r>
      <w:r w:rsidR="005B55A8" w:rsidRPr="0038442F">
        <w:rPr>
          <w:rFonts w:ascii="Verdana" w:hAnsi="Verdana" w:cs="Times New Roman"/>
          <w:sz w:val="20"/>
          <w:szCs w:val="20"/>
          <w:lang w:val="pt-BR"/>
        </w:rPr>
        <w:t>ss</w:t>
      </w:r>
      <w:r w:rsidR="00845A32">
        <w:rPr>
          <w:rFonts w:ascii="Verdana" w:hAnsi="Verdana" w:cs="Times New Roman"/>
          <w:sz w:val="20"/>
          <w:szCs w:val="20"/>
          <w:lang w:val="pt-BR"/>
        </w:rPr>
        <w:t>e modo</w:t>
      </w:r>
      <w:r w:rsidR="00981CF8" w:rsidRPr="0038442F">
        <w:rPr>
          <w:rFonts w:ascii="Verdana" w:hAnsi="Verdana" w:cs="Times New Roman"/>
          <w:sz w:val="20"/>
          <w:szCs w:val="20"/>
          <w:lang w:val="pt-BR"/>
        </w:rPr>
        <w:t xml:space="preserve">, a </w:t>
      </w:r>
      <w:r w:rsidR="005B55A8" w:rsidRPr="0038442F">
        <w:rPr>
          <w:rFonts w:ascii="Verdana" w:hAnsi="Verdana" w:cs="Times New Roman"/>
          <w:sz w:val="20"/>
          <w:szCs w:val="20"/>
          <w:lang w:val="pt-BR"/>
        </w:rPr>
        <w:t xml:space="preserve">não discriminação </w:t>
      </w:r>
      <w:r w:rsidR="00C30C92" w:rsidRPr="0038442F">
        <w:rPr>
          <w:rFonts w:ascii="Verdana" w:hAnsi="Verdana" w:cs="Times New Roman"/>
          <w:sz w:val="20"/>
          <w:szCs w:val="20"/>
          <w:lang w:val="pt-BR"/>
        </w:rPr>
        <w:t xml:space="preserve">(art. 1.1 </w:t>
      </w:r>
      <w:r w:rsidR="005B55A8" w:rsidRPr="0038442F">
        <w:rPr>
          <w:rFonts w:ascii="Verdana" w:hAnsi="Verdana" w:cs="Times New Roman"/>
          <w:sz w:val="20"/>
          <w:szCs w:val="20"/>
          <w:lang w:val="pt-BR"/>
        </w:rPr>
        <w:t>e</w:t>
      </w:r>
      <w:r w:rsidR="00C30C92" w:rsidRPr="0038442F">
        <w:rPr>
          <w:rFonts w:ascii="Verdana" w:hAnsi="Verdana" w:cs="Times New Roman"/>
          <w:sz w:val="20"/>
          <w:szCs w:val="20"/>
          <w:lang w:val="pt-BR"/>
        </w:rPr>
        <w:t xml:space="preserve"> 24)</w:t>
      </w:r>
      <w:r w:rsidR="00981CF8" w:rsidRPr="0038442F">
        <w:rPr>
          <w:rFonts w:ascii="Verdana" w:hAnsi="Verdana" w:cs="Times New Roman"/>
          <w:sz w:val="20"/>
          <w:szCs w:val="20"/>
          <w:lang w:val="pt-BR"/>
        </w:rPr>
        <w:t>, junt</w:t>
      </w:r>
      <w:r w:rsidR="005B55A8" w:rsidRPr="0038442F">
        <w:rPr>
          <w:rFonts w:ascii="Verdana" w:hAnsi="Verdana" w:cs="Times New Roman"/>
          <w:sz w:val="20"/>
          <w:szCs w:val="20"/>
          <w:lang w:val="pt-BR"/>
        </w:rPr>
        <w:t xml:space="preserve">amente com a </w:t>
      </w:r>
      <w:r w:rsidR="009612FB" w:rsidRPr="0038442F">
        <w:rPr>
          <w:rFonts w:ascii="Verdana" w:hAnsi="Verdana" w:cs="Times New Roman"/>
          <w:sz w:val="20"/>
          <w:szCs w:val="20"/>
          <w:lang w:val="pt-BR"/>
        </w:rPr>
        <w:t>igualdade</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perante a lei</w:t>
      </w:r>
      <w:r w:rsidR="00407242" w:rsidRPr="0038442F">
        <w:rPr>
          <w:rFonts w:ascii="Verdana" w:hAnsi="Verdana" w:cs="Times New Roman"/>
          <w:sz w:val="20"/>
          <w:szCs w:val="20"/>
          <w:lang w:val="pt-BR"/>
        </w:rPr>
        <w:t xml:space="preserve"> </w:t>
      </w:r>
      <w:r w:rsidR="00C30C92" w:rsidRPr="0038442F">
        <w:rPr>
          <w:rFonts w:ascii="Verdana" w:hAnsi="Verdana" w:cs="Times New Roman"/>
          <w:sz w:val="20"/>
          <w:szCs w:val="20"/>
          <w:lang w:val="pt-BR"/>
        </w:rPr>
        <w:t>(art. 24)</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e</w:t>
      </w:r>
      <w:r w:rsidR="00981CF8" w:rsidRPr="0038442F">
        <w:rPr>
          <w:rFonts w:ascii="Verdana" w:hAnsi="Verdana" w:cs="Times New Roman"/>
          <w:sz w:val="20"/>
          <w:szCs w:val="20"/>
          <w:lang w:val="pt-BR"/>
        </w:rPr>
        <w:t xml:space="preserve"> a igual </w:t>
      </w:r>
      <w:r w:rsidR="00751189" w:rsidRPr="0038442F">
        <w:rPr>
          <w:rFonts w:ascii="Verdana" w:hAnsi="Verdana" w:cs="Times New Roman"/>
          <w:sz w:val="20"/>
          <w:szCs w:val="20"/>
          <w:lang w:val="pt-BR"/>
        </w:rPr>
        <w:t>proteção</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751189" w:rsidRPr="0038442F">
        <w:rPr>
          <w:rFonts w:ascii="Verdana" w:hAnsi="Verdana" w:cs="Times New Roman"/>
          <w:sz w:val="20"/>
          <w:szCs w:val="20"/>
          <w:lang w:val="pt-BR"/>
        </w:rPr>
        <w:t>lei</w:t>
      </w:r>
      <w:r w:rsidR="00407242" w:rsidRPr="0038442F">
        <w:rPr>
          <w:rFonts w:ascii="Verdana" w:hAnsi="Verdana" w:cs="Times New Roman"/>
          <w:sz w:val="20"/>
          <w:szCs w:val="20"/>
          <w:lang w:val="pt-BR"/>
        </w:rPr>
        <w:t xml:space="preserve"> </w:t>
      </w:r>
      <w:r w:rsidR="00C30C92" w:rsidRPr="0038442F">
        <w:rPr>
          <w:rFonts w:ascii="Verdana" w:hAnsi="Verdana" w:cs="Times New Roman"/>
          <w:sz w:val="20"/>
          <w:szCs w:val="20"/>
          <w:lang w:val="pt-BR"/>
        </w:rPr>
        <w:t>(art. 24)</w:t>
      </w:r>
      <w:r w:rsidR="005C0E46"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 xml:space="preserve">em </w:t>
      </w:r>
      <w:r w:rsidR="00981CF8" w:rsidRPr="0038442F">
        <w:rPr>
          <w:rFonts w:ascii="Verdana" w:hAnsi="Verdana" w:cs="Times New Roman"/>
          <w:sz w:val="20"/>
          <w:szCs w:val="20"/>
          <w:lang w:val="pt-BR"/>
        </w:rPr>
        <w:t xml:space="preserve">favor de todas </w:t>
      </w:r>
      <w:r w:rsidR="00BF7A10" w:rsidRPr="0038442F">
        <w:rPr>
          <w:rFonts w:ascii="Verdana" w:hAnsi="Verdana" w:cs="Times New Roman"/>
          <w:sz w:val="20"/>
          <w:szCs w:val="20"/>
          <w:lang w:val="pt-BR"/>
        </w:rPr>
        <w:t xml:space="preserve">as pessoas </w:t>
      </w:r>
      <w:r w:rsidR="005B55A8" w:rsidRPr="0038442F">
        <w:rPr>
          <w:rFonts w:ascii="Verdana" w:hAnsi="Verdana" w:cs="Times New Roman"/>
          <w:sz w:val="20"/>
          <w:szCs w:val="20"/>
          <w:lang w:val="pt-BR"/>
        </w:rPr>
        <w:t>e</w:t>
      </w:r>
      <w:r w:rsidR="00981CF8" w:rsidRPr="0038442F">
        <w:rPr>
          <w:rFonts w:ascii="Verdana" w:hAnsi="Verdana" w:cs="Times New Roman"/>
          <w:sz w:val="20"/>
          <w:szCs w:val="20"/>
          <w:lang w:val="pt-BR"/>
        </w:rPr>
        <w:t xml:space="preserve"> grupos de </w:t>
      </w:r>
      <w:r w:rsidR="00C92762" w:rsidRPr="0038442F">
        <w:rPr>
          <w:rFonts w:ascii="Verdana" w:hAnsi="Verdana" w:cs="Times New Roman"/>
          <w:sz w:val="20"/>
          <w:szCs w:val="20"/>
          <w:lang w:val="pt-BR"/>
        </w:rPr>
        <w:t>pessoas</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são</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elementos constitutivos de u</w:t>
      </w:r>
      <w:r w:rsidR="005B55A8" w:rsidRPr="0038442F">
        <w:rPr>
          <w:rFonts w:ascii="Verdana" w:hAnsi="Verdana" w:cs="Times New Roman"/>
          <w:sz w:val="20"/>
          <w:szCs w:val="20"/>
          <w:lang w:val="pt-BR"/>
        </w:rPr>
        <w:t>m</w:t>
      </w:r>
      <w:r w:rsidR="00981CF8" w:rsidRPr="0038442F">
        <w:rPr>
          <w:rFonts w:ascii="Verdana" w:hAnsi="Verdana" w:cs="Times New Roman"/>
          <w:sz w:val="20"/>
          <w:szCs w:val="20"/>
          <w:lang w:val="pt-BR"/>
        </w:rPr>
        <w:t xml:space="preserve"> </w:t>
      </w:r>
      <w:r w:rsidR="00F158D8" w:rsidRPr="0038442F">
        <w:rPr>
          <w:rFonts w:ascii="Verdana" w:hAnsi="Verdana" w:cs="Times New Roman"/>
          <w:sz w:val="20"/>
          <w:szCs w:val="20"/>
          <w:lang w:val="pt-BR"/>
        </w:rPr>
        <w:t>princípio</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 xml:space="preserve">básico </w:t>
      </w:r>
      <w:r w:rsidR="005B55A8" w:rsidRPr="0038442F">
        <w:rPr>
          <w:rFonts w:ascii="Verdana" w:hAnsi="Verdana" w:cs="Times New Roman"/>
          <w:sz w:val="20"/>
          <w:szCs w:val="20"/>
          <w:lang w:val="pt-BR"/>
        </w:rPr>
        <w:t>e</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geral</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 xml:space="preserve">relacionado </w:t>
      </w:r>
      <w:r w:rsidR="005B55A8" w:rsidRPr="0038442F">
        <w:rPr>
          <w:rFonts w:ascii="Verdana" w:hAnsi="Verdana" w:cs="Times New Roman"/>
          <w:sz w:val="20"/>
          <w:szCs w:val="20"/>
          <w:lang w:val="pt-BR"/>
        </w:rPr>
        <w:t xml:space="preserve">à </w:t>
      </w:r>
      <w:r w:rsidR="00751189" w:rsidRPr="0038442F">
        <w:rPr>
          <w:rFonts w:ascii="Verdana" w:hAnsi="Verdana" w:cs="Times New Roman"/>
          <w:sz w:val="20"/>
          <w:szCs w:val="20"/>
          <w:lang w:val="pt-BR"/>
        </w:rPr>
        <w:t xml:space="preserve">proteção </w:t>
      </w:r>
      <w:r w:rsidR="00C92762" w:rsidRPr="0038442F">
        <w:rPr>
          <w:rFonts w:ascii="Verdana" w:hAnsi="Verdana" w:cs="Times New Roman"/>
          <w:sz w:val="20"/>
          <w:szCs w:val="20"/>
          <w:lang w:val="pt-BR"/>
        </w:rPr>
        <w:t xml:space="preserve">dos direitos </w:t>
      </w:r>
      <w:r w:rsidR="00981CF8" w:rsidRPr="0038442F">
        <w:rPr>
          <w:rFonts w:ascii="Verdana" w:hAnsi="Verdana" w:cs="Times New Roman"/>
          <w:sz w:val="20"/>
          <w:szCs w:val="20"/>
          <w:lang w:val="pt-BR"/>
        </w:rPr>
        <w:t xml:space="preserve">humanos. </w:t>
      </w:r>
      <w:r w:rsidR="0035541B" w:rsidRPr="0038442F">
        <w:rPr>
          <w:rFonts w:ascii="Verdana" w:hAnsi="Verdana" w:cs="Times New Roman"/>
          <w:sz w:val="20"/>
          <w:szCs w:val="20"/>
          <w:lang w:val="pt-BR"/>
        </w:rPr>
        <w:t>É difícil desvincular o</w:t>
      </w:r>
      <w:r w:rsidR="005B55A8"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 xml:space="preserve">elemento </w:t>
      </w:r>
      <w:r w:rsidR="00C92762" w:rsidRPr="0038442F">
        <w:rPr>
          <w:rFonts w:ascii="Verdana" w:hAnsi="Verdana" w:cs="Times New Roman"/>
          <w:sz w:val="20"/>
          <w:szCs w:val="20"/>
          <w:lang w:val="pt-BR"/>
        </w:rPr>
        <w:t xml:space="preserve">da </w:t>
      </w:r>
      <w:r w:rsidR="009612FB" w:rsidRPr="0038442F">
        <w:rPr>
          <w:rFonts w:ascii="Verdana" w:hAnsi="Verdana" w:cs="Times New Roman"/>
          <w:sz w:val="20"/>
          <w:szCs w:val="20"/>
          <w:lang w:val="pt-BR"/>
        </w:rPr>
        <w:t xml:space="preserve">igualdade </w:t>
      </w:r>
      <w:r w:rsidR="00C92762" w:rsidRPr="0038442F">
        <w:rPr>
          <w:rFonts w:ascii="Verdana" w:hAnsi="Verdana" w:cs="Times New Roman"/>
          <w:sz w:val="20"/>
          <w:szCs w:val="20"/>
          <w:lang w:val="pt-BR"/>
        </w:rPr>
        <w:t xml:space="preserve">da </w:t>
      </w:r>
      <w:r w:rsidR="005B55A8" w:rsidRPr="0038442F">
        <w:rPr>
          <w:rFonts w:ascii="Verdana" w:hAnsi="Verdana" w:cs="Times New Roman"/>
          <w:sz w:val="20"/>
          <w:szCs w:val="20"/>
          <w:lang w:val="pt-BR"/>
        </w:rPr>
        <w:t>não discriminação</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 xml:space="preserve">razão pela qual, ao falar </w:t>
      </w:r>
      <w:r w:rsidR="00981CF8" w:rsidRPr="0038442F">
        <w:rPr>
          <w:rFonts w:ascii="Verdana" w:hAnsi="Verdana" w:cs="Times New Roman"/>
          <w:sz w:val="20"/>
          <w:szCs w:val="20"/>
          <w:lang w:val="pt-BR"/>
        </w:rPr>
        <w:t xml:space="preserve">de </w:t>
      </w:r>
      <w:r w:rsidR="009612FB" w:rsidRPr="0038442F">
        <w:rPr>
          <w:rFonts w:ascii="Verdana" w:hAnsi="Verdana" w:cs="Times New Roman"/>
          <w:sz w:val="20"/>
          <w:szCs w:val="20"/>
          <w:lang w:val="pt-BR"/>
        </w:rPr>
        <w:t>igualdade</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perante a lei</w:t>
      </w:r>
      <w:r w:rsidR="00981CF8" w:rsidRPr="0038442F">
        <w:rPr>
          <w:rFonts w:ascii="Verdana" w:hAnsi="Verdana" w:cs="Times New Roman"/>
          <w:sz w:val="20"/>
          <w:szCs w:val="20"/>
          <w:lang w:val="pt-BR"/>
        </w:rPr>
        <w:t>, es</w:t>
      </w:r>
      <w:r w:rsidR="005B55A8" w:rsidRPr="0038442F">
        <w:rPr>
          <w:rFonts w:ascii="Verdana" w:hAnsi="Verdana" w:cs="Times New Roman"/>
          <w:sz w:val="20"/>
          <w:szCs w:val="20"/>
          <w:lang w:val="pt-BR"/>
        </w:rPr>
        <w:t>s</w:t>
      </w:r>
      <w:r w:rsidR="00981CF8" w:rsidRPr="0038442F">
        <w:rPr>
          <w:rFonts w:ascii="Verdana" w:hAnsi="Verdana" w:cs="Times New Roman"/>
          <w:sz w:val="20"/>
          <w:szCs w:val="20"/>
          <w:lang w:val="pt-BR"/>
        </w:rPr>
        <w:t xml:space="preserve">e </w:t>
      </w:r>
      <w:r w:rsidR="00F158D8" w:rsidRPr="0038442F">
        <w:rPr>
          <w:rFonts w:ascii="Verdana" w:hAnsi="Verdana" w:cs="Times New Roman"/>
          <w:sz w:val="20"/>
          <w:szCs w:val="20"/>
          <w:lang w:val="pt-BR"/>
        </w:rPr>
        <w:t xml:space="preserve">princípio </w:t>
      </w:r>
      <w:r w:rsidR="000450DD" w:rsidRPr="0038442F">
        <w:rPr>
          <w:rFonts w:ascii="Verdana" w:hAnsi="Verdana" w:cs="Times New Roman"/>
          <w:sz w:val="20"/>
          <w:szCs w:val="20"/>
          <w:lang w:val="pt-BR"/>
        </w:rPr>
        <w:t>deve</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 xml:space="preserve">ser garantido </w:t>
      </w:r>
      <w:r w:rsidR="00751189" w:rsidRPr="0038442F">
        <w:rPr>
          <w:rFonts w:ascii="Verdana" w:hAnsi="Verdana" w:cs="Times New Roman"/>
          <w:sz w:val="20"/>
          <w:szCs w:val="20"/>
          <w:lang w:val="pt-BR"/>
        </w:rPr>
        <w:t>sem</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discrimina</w:t>
      </w:r>
      <w:r w:rsidR="000A1AA8" w:rsidRPr="0038442F">
        <w:rPr>
          <w:rFonts w:ascii="Verdana" w:hAnsi="Verdana" w:cs="Times New Roman"/>
          <w:sz w:val="20"/>
          <w:szCs w:val="20"/>
          <w:lang w:val="pt-BR"/>
        </w:rPr>
        <w:t>ção</w:t>
      </w:r>
      <w:r w:rsidR="00981CF8"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alguma.</w:t>
      </w:r>
      <w:r w:rsidR="00981CF8" w:rsidRPr="0038442F">
        <w:rPr>
          <w:rStyle w:val="Refdenotaalpie"/>
          <w:rFonts w:ascii="Verdana" w:hAnsi="Verdana"/>
          <w:sz w:val="20"/>
          <w:szCs w:val="20"/>
          <w:lang w:val="pt-BR"/>
        </w:rPr>
        <w:footnoteReference w:id="134"/>
      </w:r>
      <w:r w:rsidR="00981CF8" w:rsidRPr="0038442F">
        <w:rPr>
          <w:rFonts w:ascii="Verdana" w:hAnsi="Verdana" w:cs="Times New Roman"/>
          <w:sz w:val="20"/>
          <w:szCs w:val="20"/>
          <w:lang w:val="pt-BR"/>
        </w:rPr>
        <w:t xml:space="preserve"> </w:t>
      </w:r>
    </w:p>
    <w:p w14:paraId="2300B070" w14:textId="77777777" w:rsidR="00981CF8" w:rsidRPr="0038442F" w:rsidRDefault="00981CF8" w:rsidP="00781273">
      <w:pPr>
        <w:pStyle w:val="Prrafodelista"/>
        <w:spacing w:after="0" w:line="240" w:lineRule="auto"/>
        <w:ind w:left="0"/>
        <w:jc w:val="both"/>
        <w:rPr>
          <w:rFonts w:ascii="Verdana" w:hAnsi="Verdana" w:cs="Times New Roman"/>
          <w:szCs w:val="20"/>
          <w:lang w:val="pt-BR"/>
        </w:rPr>
      </w:pPr>
    </w:p>
    <w:p w14:paraId="6C7D7A66" w14:textId="4A97352E" w:rsidR="00981CF8" w:rsidRPr="0038442F" w:rsidRDefault="00CC0959" w:rsidP="00CC0959">
      <w:pPr>
        <w:pStyle w:val="Prrafodelista"/>
        <w:spacing w:after="0" w:line="240" w:lineRule="auto"/>
        <w:ind w:left="0"/>
        <w:jc w:val="both"/>
        <w:rPr>
          <w:rFonts w:ascii="Verdana" w:hAnsi="Verdana" w:cs="Times New Roman"/>
          <w:sz w:val="20"/>
          <w:szCs w:val="20"/>
          <w:lang w:val="pt-BR"/>
        </w:rPr>
      </w:pPr>
      <w:r w:rsidRPr="0038442F">
        <w:rPr>
          <w:rFonts w:ascii="Verdana" w:hAnsi="Verdana"/>
          <w:sz w:val="20"/>
          <w:szCs w:val="20"/>
          <w:lang w:val="pt-BR"/>
        </w:rPr>
        <w:t xml:space="preserve">81. </w:t>
      </w:r>
      <w:r w:rsidRPr="0038442F">
        <w:rPr>
          <w:rFonts w:ascii="Verdana" w:hAnsi="Verdana"/>
          <w:sz w:val="20"/>
          <w:szCs w:val="20"/>
          <w:lang w:val="pt-BR"/>
        </w:rPr>
        <w:tab/>
      </w:r>
      <w:r w:rsidR="00981CF8" w:rsidRPr="0038442F">
        <w:rPr>
          <w:rFonts w:ascii="Verdana" w:hAnsi="Verdana"/>
          <w:sz w:val="20"/>
          <w:szCs w:val="20"/>
          <w:lang w:val="pt-BR"/>
        </w:rPr>
        <w:t>E</w:t>
      </w:r>
      <w:r w:rsidR="005B55A8" w:rsidRPr="0038442F">
        <w:rPr>
          <w:rFonts w:ascii="Verdana" w:hAnsi="Verdana"/>
          <w:sz w:val="20"/>
          <w:szCs w:val="20"/>
          <w:lang w:val="pt-BR"/>
        </w:rPr>
        <w:t>m</w:t>
      </w:r>
      <w:r w:rsidR="00981CF8" w:rsidRPr="0038442F">
        <w:rPr>
          <w:rFonts w:ascii="Verdana" w:hAnsi="Verdana"/>
          <w:sz w:val="20"/>
          <w:szCs w:val="20"/>
          <w:lang w:val="pt-BR"/>
        </w:rPr>
        <w:t xml:space="preserve"> rela</w:t>
      </w:r>
      <w:r w:rsidR="000A1AA8" w:rsidRPr="0038442F">
        <w:rPr>
          <w:rFonts w:ascii="Verdana" w:hAnsi="Verdana"/>
          <w:sz w:val="20"/>
          <w:szCs w:val="20"/>
          <w:lang w:val="pt-BR"/>
        </w:rPr>
        <w:t>ção</w:t>
      </w:r>
      <w:r w:rsidR="00981CF8" w:rsidRPr="0038442F">
        <w:rPr>
          <w:rFonts w:ascii="Verdana" w:hAnsi="Verdana"/>
          <w:sz w:val="20"/>
          <w:szCs w:val="20"/>
          <w:lang w:val="pt-BR"/>
        </w:rPr>
        <w:t xml:space="preserve"> </w:t>
      </w:r>
      <w:r w:rsidR="005B55A8" w:rsidRPr="0038442F">
        <w:rPr>
          <w:rFonts w:ascii="Verdana" w:hAnsi="Verdana"/>
          <w:sz w:val="20"/>
          <w:szCs w:val="20"/>
          <w:lang w:val="pt-BR"/>
        </w:rPr>
        <w:t xml:space="preserve">ao </w:t>
      </w:r>
      <w:r w:rsidR="003B374E" w:rsidRPr="0038442F">
        <w:rPr>
          <w:rFonts w:ascii="Verdana" w:hAnsi="Verdana"/>
          <w:sz w:val="20"/>
          <w:szCs w:val="20"/>
          <w:lang w:val="pt-BR"/>
        </w:rPr>
        <w:t xml:space="preserve">artigo </w:t>
      </w:r>
      <w:r w:rsidR="00981CF8" w:rsidRPr="0038442F">
        <w:rPr>
          <w:rFonts w:ascii="Verdana" w:hAnsi="Verdana"/>
          <w:sz w:val="20"/>
          <w:szCs w:val="20"/>
          <w:lang w:val="pt-BR"/>
        </w:rPr>
        <w:t xml:space="preserve">1.1 </w:t>
      </w:r>
      <w:r w:rsidR="00C92762" w:rsidRPr="0038442F">
        <w:rPr>
          <w:rFonts w:ascii="Verdana" w:hAnsi="Verdana"/>
          <w:sz w:val="20"/>
          <w:szCs w:val="20"/>
          <w:lang w:val="pt-BR"/>
        </w:rPr>
        <w:t xml:space="preserve">da </w:t>
      </w:r>
      <w:r w:rsidR="00981CF8" w:rsidRPr="0038442F">
        <w:rPr>
          <w:rFonts w:ascii="Verdana" w:hAnsi="Verdana"/>
          <w:sz w:val="20"/>
          <w:szCs w:val="20"/>
          <w:lang w:val="pt-BR"/>
        </w:rPr>
        <w:t>Conven</w:t>
      </w:r>
      <w:r w:rsidR="000A1AA8" w:rsidRPr="0038442F">
        <w:rPr>
          <w:rFonts w:ascii="Verdana" w:hAnsi="Verdana"/>
          <w:sz w:val="20"/>
          <w:szCs w:val="20"/>
          <w:lang w:val="pt-BR"/>
        </w:rPr>
        <w:t>ção</w:t>
      </w:r>
      <w:r w:rsidR="00247E1C" w:rsidRPr="0038442F">
        <w:rPr>
          <w:rFonts w:ascii="Verdana" w:hAnsi="Verdana"/>
          <w:sz w:val="20"/>
          <w:szCs w:val="20"/>
          <w:lang w:val="pt-BR"/>
        </w:rPr>
        <w:t xml:space="preserve"> Americana</w:t>
      </w:r>
      <w:r w:rsidR="00981CF8"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332F07" w:rsidRPr="0038442F">
        <w:rPr>
          <w:rFonts w:ascii="Verdana" w:hAnsi="Verdana"/>
          <w:sz w:val="20"/>
          <w:szCs w:val="20"/>
          <w:lang w:val="pt-BR"/>
        </w:rPr>
        <w:t xml:space="preserve">IDH </w:t>
      </w:r>
      <w:r w:rsidR="00602FF9" w:rsidRPr="0038442F">
        <w:rPr>
          <w:rFonts w:ascii="Verdana" w:hAnsi="Verdana"/>
          <w:sz w:val="20"/>
          <w:szCs w:val="20"/>
          <w:lang w:val="pt-BR"/>
        </w:rPr>
        <w:t>estabelec</w:t>
      </w:r>
      <w:r w:rsidR="005B55A8" w:rsidRPr="0038442F">
        <w:rPr>
          <w:rFonts w:ascii="Verdana" w:hAnsi="Verdana"/>
          <w:sz w:val="20"/>
          <w:szCs w:val="20"/>
          <w:lang w:val="pt-BR"/>
        </w:rPr>
        <w:t xml:space="preserve">eu </w:t>
      </w:r>
      <w:r w:rsidR="00981CF8" w:rsidRPr="0038442F">
        <w:rPr>
          <w:rFonts w:ascii="Verdana" w:hAnsi="Verdana"/>
          <w:sz w:val="20"/>
          <w:szCs w:val="20"/>
          <w:lang w:val="pt-BR"/>
        </w:rPr>
        <w:t xml:space="preserve">que </w:t>
      </w:r>
      <w:r w:rsidR="005B55A8" w:rsidRPr="0038442F">
        <w:rPr>
          <w:rFonts w:ascii="Verdana" w:hAnsi="Verdana"/>
          <w:sz w:val="20"/>
          <w:szCs w:val="20"/>
          <w:lang w:val="pt-BR"/>
        </w:rPr>
        <w:t xml:space="preserve">é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981CF8" w:rsidRPr="0038442F">
        <w:rPr>
          <w:rFonts w:ascii="Verdana" w:hAnsi="Verdana"/>
          <w:sz w:val="20"/>
          <w:szCs w:val="20"/>
          <w:lang w:val="pt-BR"/>
        </w:rPr>
        <w:t xml:space="preserve">norma de </w:t>
      </w:r>
      <w:r w:rsidR="00984A83" w:rsidRPr="0038442F">
        <w:rPr>
          <w:rFonts w:ascii="Verdana" w:hAnsi="Verdana"/>
          <w:sz w:val="20"/>
          <w:szCs w:val="20"/>
          <w:lang w:val="pt-BR"/>
        </w:rPr>
        <w:t>caráter</w:t>
      </w:r>
      <w:r w:rsidR="00407242" w:rsidRPr="0038442F">
        <w:rPr>
          <w:rFonts w:ascii="Verdana" w:hAnsi="Verdana"/>
          <w:sz w:val="20"/>
          <w:szCs w:val="20"/>
          <w:lang w:val="pt-BR"/>
        </w:rPr>
        <w:t xml:space="preserve"> </w:t>
      </w:r>
      <w:r w:rsidR="005B55A8" w:rsidRPr="0038442F">
        <w:rPr>
          <w:rFonts w:ascii="Verdana" w:hAnsi="Verdana"/>
          <w:sz w:val="20"/>
          <w:szCs w:val="20"/>
          <w:lang w:val="pt-BR"/>
        </w:rPr>
        <w:t>geral</w:t>
      </w:r>
      <w:r w:rsidR="00407242" w:rsidRPr="0038442F">
        <w:rPr>
          <w:rFonts w:ascii="Verdana" w:hAnsi="Verdana"/>
          <w:sz w:val="20"/>
          <w:szCs w:val="20"/>
          <w:lang w:val="pt-BR"/>
        </w:rPr>
        <w:t xml:space="preserve"> </w:t>
      </w:r>
      <w:r w:rsidR="00602FF9" w:rsidRPr="0038442F">
        <w:rPr>
          <w:rFonts w:ascii="Verdana" w:hAnsi="Verdana"/>
          <w:sz w:val="20"/>
          <w:szCs w:val="20"/>
          <w:lang w:val="pt-BR"/>
        </w:rPr>
        <w:t>cujo</w:t>
      </w:r>
      <w:r w:rsidR="00407242" w:rsidRPr="0038442F">
        <w:rPr>
          <w:rFonts w:ascii="Verdana" w:hAnsi="Verdana"/>
          <w:sz w:val="20"/>
          <w:szCs w:val="20"/>
          <w:lang w:val="pt-BR"/>
        </w:rPr>
        <w:t xml:space="preserve"> </w:t>
      </w:r>
      <w:r w:rsidR="005B55A8" w:rsidRPr="0038442F">
        <w:rPr>
          <w:rFonts w:ascii="Verdana" w:hAnsi="Verdana"/>
          <w:sz w:val="20"/>
          <w:szCs w:val="20"/>
          <w:lang w:val="pt-BR"/>
        </w:rPr>
        <w:t xml:space="preserve">conteúdo se estende </w:t>
      </w:r>
      <w:r w:rsidR="00981CF8" w:rsidRPr="0038442F">
        <w:rPr>
          <w:rFonts w:ascii="Verdana" w:hAnsi="Verdana"/>
          <w:sz w:val="20"/>
          <w:szCs w:val="20"/>
          <w:lang w:val="pt-BR"/>
        </w:rPr>
        <w:t>a tod</w:t>
      </w:r>
      <w:r w:rsidR="00845A32">
        <w:rPr>
          <w:rFonts w:ascii="Verdana" w:hAnsi="Verdana"/>
          <w:sz w:val="20"/>
          <w:szCs w:val="20"/>
          <w:lang w:val="pt-BR"/>
        </w:rPr>
        <w:t>o</w:t>
      </w:r>
      <w:r w:rsidR="00981CF8" w:rsidRPr="0038442F">
        <w:rPr>
          <w:rFonts w:ascii="Verdana" w:hAnsi="Verdana"/>
          <w:sz w:val="20"/>
          <w:szCs w:val="20"/>
          <w:lang w:val="pt-BR"/>
        </w:rPr>
        <w:t xml:space="preserve">s </w:t>
      </w:r>
      <w:r w:rsidR="00845A32">
        <w:rPr>
          <w:rFonts w:ascii="Verdana" w:hAnsi="Verdana"/>
          <w:sz w:val="20"/>
          <w:szCs w:val="20"/>
          <w:lang w:val="pt-BR"/>
        </w:rPr>
        <w:t>o</w:t>
      </w:r>
      <w:r w:rsidR="00981CF8" w:rsidRPr="0038442F">
        <w:rPr>
          <w:rFonts w:ascii="Verdana" w:hAnsi="Verdana"/>
          <w:sz w:val="20"/>
          <w:szCs w:val="20"/>
          <w:lang w:val="pt-BR"/>
        </w:rPr>
        <w:t>s disposi</w:t>
      </w:r>
      <w:r w:rsidR="00845A32">
        <w:rPr>
          <w:rFonts w:ascii="Verdana" w:hAnsi="Verdana"/>
          <w:sz w:val="20"/>
          <w:szCs w:val="20"/>
          <w:lang w:val="pt-BR"/>
        </w:rPr>
        <w:t>tivos</w:t>
      </w:r>
      <w:r w:rsidR="00981CF8" w:rsidRPr="0038442F">
        <w:rPr>
          <w:rFonts w:ascii="Verdana" w:hAnsi="Verdana"/>
          <w:sz w:val="20"/>
          <w:szCs w:val="20"/>
          <w:lang w:val="pt-BR"/>
        </w:rPr>
        <w:t xml:space="preserve"> </w:t>
      </w:r>
      <w:r w:rsidR="005B55A8" w:rsidRPr="0038442F">
        <w:rPr>
          <w:rFonts w:ascii="Verdana" w:hAnsi="Verdana"/>
          <w:sz w:val="20"/>
          <w:szCs w:val="20"/>
          <w:lang w:val="pt-BR"/>
        </w:rPr>
        <w:t>do tratado</w:t>
      </w:r>
      <w:r w:rsidR="00981CF8" w:rsidRPr="0038442F">
        <w:rPr>
          <w:rFonts w:ascii="Verdana" w:hAnsi="Verdana"/>
          <w:sz w:val="20"/>
          <w:szCs w:val="20"/>
          <w:lang w:val="pt-BR"/>
        </w:rPr>
        <w:t xml:space="preserve">, </w:t>
      </w:r>
      <w:r w:rsidR="005B55A8" w:rsidRPr="0038442F">
        <w:rPr>
          <w:rFonts w:ascii="Verdana" w:hAnsi="Verdana"/>
          <w:sz w:val="20"/>
          <w:szCs w:val="20"/>
          <w:lang w:val="pt-BR"/>
        </w:rPr>
        <w:t xml:space="preserve">e </w:t>
      </w:r>
      <w:r w:rsidR="00845A32">
        <w:rPr>
          <w:rFonts w:ascii="Verdana" w:hAnsi="Verdana"/>
          <w:sz w:val="20"/>
          <w:szCs w:val="20"/>
          <w:lang w:val="pt-BR"/>
        </w:rPr>
        <w:t>estabelece</w:t>
      </w:r>
      <w:r w:rsidR="00845A32" w:rsidRPr="0038442F">
        <w:rPr>
          <w:rFonts w:ascii="Verdana" w:hAnsi="Verdana"/>
          <w:sz w:val="20"/>
          <w:szCs w:val="20"/>
          <w:lang w:val="pt-BR"/>
        </w:rPr>
        <w:t xml:space="preserve"> </w:t>
      </w:r>
      <w:r w:rsidR="005B55A8" w:rsidRPr="0038442F">
        <w:rPr>
          <w:rFonts w:ascii="Verdana" w:hAnsi="Verdana"/>
          <w:sz w:val="20"/>
          <w:szCs w:val="20"/>
          <w:lang w:val="pt-BR"/>
        </w:rPr>
        <w:t xml:space="preserve">a obrigação </w:t>
      </w:r>
      <w:r w:rsidR="00C92762" w:rsidRPr="0038442F">
        <w:rPr>
          <w:rFonts w:ascii="Verdana" w:hAnsi="Verdana"/>
          <w:sz w:val="20"/>
          <w:szCs w:val="20"/>
          <w:lang w:val="pt-BR"/>
        </w:rPr>
        <w:t xml:space="preserve">dos </w:t>
      </w:r>
      <w:r w:rsidR="00981CF8" w:rsidRPr="0038442F">
        <w:rPr>
          <w:rFonts w:ascii="Verdana" w:hAnsi="Verdana"/>
          <w:sz w:val="20"/>
          <w:szCs w:val="20"/>
          <w:lang w:val="pt-BR"/>
        </w:rPr>
        <w:t>Estados Parte</w:t>
      </w:r>
      <w:r w:rsidR="00DC731D" w:rsidRPr="0038442F">
        <w:rPr>
          <w:rFonts w:ascii="Verdana" w:hAnsi="Verdana"/>
          <w:sz w:val="20"/>
          <w:szCs w:val="20"/>
          <w:lang w:val="pt-BR"/>
        </w:rPr>
        <w:t>s</w:t>
      </w:r>
      <w:r w:rsidR="00981CF8" w:rsidRPr="0038442F">
        <w:rPr>
          <w:rFonts w:ascii="Verdana" w:hAnsi="Verdana"/>
          <w:sz w:val="20"/>
          <w:szCs w:val="20"/>
          <w:lang w:val="pt-BR"/>
        </w:rPr>
        <w:t xml:space="preserve"> de </w:t>
      </w:r>
      <w:r w:rsidR="005135E5" w:rsidRPr="0038442F">
        <w:rPr>
          <w:rFonts w:ascii="Verdana" w:hAnsi="Verdana"/>
          <w:sz w:val="20"/>
          <w:szCs w:val="20"/>
          <w:lang w:val="pt-BR"/>
        </w:rPr>
        <w:t>respeitar</w:t>
      </w:r>
      <w:r w:rsidR="00407242" w:rsidRPr="0038442F">
        <w:rPr>
          <w:rFonts w:ascii="Verdana" w:hAnsi="Verdana"/>
          <w:sz w:val="20"/>
          <w:szCs w:val="20"/>
          <w:lang w:val="pt-BR"/>
        </w:rPr>
        <w:t xml:space="preserve"> </w:t>
      </w:r>
      <w:r w:rsidR="005B55A8" w:rsidRPr="0038442F">
        <w:rPr>
          <w:rFonts w:ascii="Verdana" w:hAnsi="Verdana"/>
          <w:sz w:val="20"/>
          <w:szCs w:val="20"/>
          <w:lang w:val="pt-BR"/>
        </w:rPr>
        <w:t>e</w:t>
      </w:r>
      <w:r w:rsidR="00981CF8" w:rsidRPr="0038442F">
        <w:rPr>
          <w:rFonts w:ascii="Verdana" w:hAnsi="Verdana"/>
          <w:sz w:val="20"/>
          <w:szCs w:val="20"/>
          <w:lang w:val="pt-BR"/>
        </w:rPr>
        <w:t xml:space="preserve">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5B55A8" w:rsidRPr="0038442F">
        <w:rPr>
          <w:rFonts w:ascii="Verdana" w:hAnsi="Verdana"/>
          <w:sz w:val="20"/>
          <w:szCs w:val="20"/>
          <w:lang w:val="pt-BR"/>
        </w:rPr>
        <w:t xml:space="preserve">o pleno e livre </w:t>
      </w:r>
      <w:r w:rsidR="00602FF9" w:rsidRPr="0038442F">
        <w:rPr>
          <w:rFonts w:ascii="Verdana" w:hAnsi="Verdana"/>
          <w:sz w:val="20"/>
          <w:szCs w:val="20"/>
          <w:lang w:val="pt-BR"/>
        </w:rPr>
        <w:t>exercício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direitos </w:t>
      </w:r>
      <w:r w:rsidR="005B55A8" w:rsidRPr="0038442F">
        <w:rPr>
          <w:rFonts w:ascii="Verdana" w:hAnsi="Verdana"/>
          <w:sz w:val="20"/>
          <w:szCs w:val="20"/>
          <w:lang w:val="pt-BR"/>
        </w:rPr>
        <w:t>e</w:t>
      </w:r>
      <w:r w:rsidR="00981CF8" w:rsidRPr="0038442F">
        <w:rPr>
          <w:rFonts w:ascii="Verdana" w:hAnsi="Verdana"/>
          <w:sz w:val="20"/>
          <w:szCs w:val="20"/>
          <w:lang w:val="pt-BR"/>
        </w:rPr>
        <w:t xml:space="preserve"> </w:t>
      </w:r>
      <w:r w:rsidR="005135E5" w:rsidRPr="0038442F">
        <w:rPr>
          <w:rFonts w:ascii="Verdana" w:hAnsi="Verdana"/>
          <w:sz w:val="20"/>
          <w:szCs w:val="20"/>
          <w:lang w:val="pt-BR"/>
        </w:rPr>
        <w:t xml:space="preserve">liberdades </w:t>
      </w:r>
      <w:r w:rsidR="00BF7A10" w:rsidRPr="0038442F">
        <w:rPr>
          <w:rFonts w:ascii="Verdana" w:hAnsi="Verdana"/>
          <w:sz w:val="20"/>
          <w:szCs w:val="20"/>
          <w:lang w:val="pt-BR"/>
        </w:rPr>
        <w:t>ali</w:t>
      </w:r>
      <w:r w:rsidR="00407242" w:rsidRPr="0038442F">
        <w:rPr>
          <w:rFonts w:ascii="Verdana" w:hAnsi="Verdana"/>
          <w:sz w:val="20"/>
          <w:szCs w:val="20"/>
          <w:lang w:val="pt-BR"/>
        </w:rPr>
        <w:t xml:space="preserve"> </w:t>
      </w:r>
      <w:r w:rsidR="005B55A8" w:rsidRPr="0038442F">
        <w:rPr>
          <w:rFonts w:ascii="Verdana" w:hAnsi="Verdana"/>
          <w:sz w:val="20"/>
          <w:szCs w:val="20"/>
          <w:lang w:val="pt-BR"/>
        </w:rPr>
        <w:t xml:space="preserve">reconhecidos, </w:t>
      </w:r>
      <w:r w:rsidR="00981CF8" w:rsidRPr="0038442F">
        <w:rPr>
          <w:rFonts w:ascii="Verdana" w:hAnsi="Verdana"/>
          <w:sz w:val="20"/>
          <w:szCs w:val="20"/>
          <w:lang w:val="pt-BR"/>
        </w:rPr>
        <w:t>“</w:t>
      </w:r>
      <w:r w:rsidR="00751189" w:rsidRPr="0038442F">
        <w:rPr>
          <w:rFonts w:ascii="Verdana" w:hAnsi="Verdana"/>
          <w:sz w:val="20"/>
          <w:szCs w:val="20"/>
          <w:lang w:val="pt-BR"/>
        </w:rPr>
        <w:t>sem</w:t>
      </w:r>
      <w:r w:rsidR="00407242" w:rsidRPr="0038442F">
        <w:rPr>
          <w:rFonts w:ascii="Verdana" w:hAnsi="Verdana"/>
          <w:sz w:val="20"/>
          <w:szCs w:val="20"/>
          <w:lang w:val="pt-BR"/>
        </w:rPr>
        <w:t xml:space="preserve"> </w:t>
      </w:r>
      <w:r w:rsidR="00981CF8" w:rsidRPr="0038442F">
        <w:rPr>
          <w:rFonts w:ascii="Verdana" w:hAnsi="Verdana"/>
          <w:sz w:val="20"/>
          <w:szCs w:val="20"/>
          <w:lang w:val="pt-BR"/>
        </w:rPr>
        <w:t>discrimina</w:t>
      </w:r>
      <w:r w:rsidR="000A1AA8" w:rsidRPr="0038442F">
        <w:rPr>
          <w:rFonts w:ascii="Verdana" w:hAnsi="Verdana"/>
          <w:sz w:val="20"/>
          <w:szCs w:val="20"/>
          <w:lang w:val="pt-BR"/>
        </w:rPr>
        <w:t>ção</w:t>
      </w:r>
      <w:r w:rsidR="00981CF8" w:rsidRPr="0038442F">
        <w:rPr>
          <w:rFonts w:ascii="Verdana" w:hAnsi="Verdana"/>
          <w:sz w:val="20"/>
          <w:szCs w:val="20"/>
          <w:lang w:val="pt-BR"/>
        </w:rPr>
        <w:t xml:space="preserve"> </w:t>
      </w:r>
      <w:r w:rsidR="005B55A8" w:rsidRPr="0038442F">
        <w:rPr>
          <w:rFonts w:ascii="Verdana" w:hAnsi="Verdana"/>
          <w:sz w:val="20"/>
          <w:szCs w:val="20"/>
          <w:lang w:val="pt-BR"/>
        </w:rPr>
        <w:t>alguma</w:t>
      </w:r>
      <w:r w:rsidR="00981CF8" w:rsidRPr="0038442F">
        <w:rPr>
          <w:rFonts w:ascii="Verdana" w:hAnsi="Verdana"/>
          <w:sz w:val="20"/>
          <w:szCs w:val="20"/>
          <w:lang w:val="pt-BR"/>
        </w:rPr>
        <w:t xml:space="preserve">”. </w:t>
      </w:r>
      <w:r w:rsidR="005B55A8" w:rsidRPr="0038442F">
        <w:rPr>
          <w:rFonts w:ascii="Verdana" w:hAnsi="Verdana"/>
          <w:sz w:val="20"/>
          <w:szCs w:val="20"/>
          <w:lang w:val="pt-BR"/>
        </w:rPr>
        <w:t xml:space="preserve">Ou seja, </w:t>
      </w:r>
      <w:r w:rsidR="00DC731D" w:rsidRPr="0038442F">
        <w:rPr>
          <w:rFonts w:ascii="Verdana" w:hAnsi="Verdana"/>
          <w:sz w:val="20"/>
          <w:szCs w:val="20"/>
          <w:lang w:val="pt-BR"/>
        </w:rPr>
        <w:t xml:space="preserve">independentemente da </w:t>
      </w:r>
      <w:r w:rsidR="005B55A8" w:rsidRPr="0038442F">
        <w:rPr>
          <w:rFonts w:ascii="Verdana" w:hAnsi="Verdana"/>
          <w:sz w:val="20"/>
          <w:szCs w:val="20"/>
          <w:lang w:val="pt-BR"/>
        </w:rPr>
        <w:t>origem</w:t>
      </w:r>
      <w:r w:rsidR="00407242" w:rsidRPr="0038442F">
        <w:rPr>
          <w:rFonts w:ascii="Verdana" w:hAnsi="Verdana"/>
          <w:sz w:val="20"/>
          <w:szCs w:val="20"/>
          <w:lang w:val="pt-BR"/>
        </w:rPr>
        <w:t xml:space="preserve"> </w:t>
      </w:r>
      <w:r w:rsidR="00981CF8" w:rsidRPr="0038442F">
        <w:rPr>
          <w:rFonts w:ascii="Verdana" w:hAnsi="Verdana"/>
          <w:sz w:val="20"/>
          <w:szCs w:val="20"/>
          <w:lang w:val="pt-BR"/>
        </w:rPr>
        <w:t>o</w:t>
      </w:r>
      <w:r w:rsidR="005B55A8" w:rsidRPr="0038442F">
        <w:rPr>
          <w:rFonts w:ascii="Verdana" w:hAnsi="Verdana"/>
          <w:sz w:val="20"/>
          <w:szCs w:val="20"/>
          <w:lang w:val="pt-BR"/>
        </w:rPr>
        <w:t>u</w:t>
      </w:r>
      <w:r w:rsidR="00981CF8" w:rsidRPr="0038442F">
        <w:rPr>
          <w:rFonts w:ascii="Verdana" w:hAnsi="Verdana"/>
          <w:sz w:val="20"/>
          <w:szCs w:val="20"/>
          <w:lang w:val="pt-BR"/>
        </w:rPr>
        <w:t xml:space="preserve"> </w:t>
      </w:r>
      <w:r w:rsidR="00DC731D" w:rsidRPr="0038442F">
        <w:rPr>
          <w:rFonts w:ascii="Verdana" w:hAnsi="Verdana"/>
          <w:sz w:val="20"/>
          <w:szCs w:val="20"/>
          <w:lang w:val="pt-BR"/>
        </w:rPr>
        <w:t>d</w:t>
      </w:r>
      <w:r w:rsidR="00981CF8" w:rsidRPr="0038442F">
        <w:rPr>
          <w:rFonts w:ascii="Verdana" w:hAnsi="Verdana"/>
          <w:sz w:val="20"/>
          <w:szCs w:val="20"/>
          <w:lang w:val="pt-BR"/>
        </w:rPr>
        <w:t>a forma que a</w:t>
      </w:r>
      <w:r w:rsidR="005B55A8" w:rsidRPr="0038442F">
        <w:rPr>
          <w:rFonts w:ascii="Verdana" w:hAnsi="Verdana"/>
          <w:sz w:val="20"/>
          <w:szCs w:val="20"/>
          <w:lang w:val="pt-BR"/>
        </w:rPr>
        <w:t>s</w:t>
      </w:r>
      <w:r w:rsidR="00981CF8" w:rsidRPr="0038442F">
        <w:rPr>
          <w:rFonts w:ascii="Verdana" w:hAnsi="Verdana"/>
          <w:sz w:val="20"/>
          <w:szCs w:val="20"/>
          <w:lang w:val="pt-BR"/>
        </w:rPr>
        <w:t>suma, todo tratamento que p</w:t>
      </w:r>
      <w:r w:rsidR="005B55A8" w:rsidRPr="0038442F">
        <w:rPr>
          <w:rFonts w:ascii="Verdana" w:hAnsi="Verdana"/>
          <w:sz w:val="20"/>
          <w:szCs w:val="20"/>
          <w:lang w:val="pt-BR"/>
        </w:rPr>
        <w:t xml:space="preserve">ossa </w:t>
      </w:r>
      <w:r w:rsidR="00981CF8" w:rsidRPr="0038442F">
        <w:rPr>
          <w:rFonts w:ascii="Verdana" w:hAnsi="Verdana"/>
          <w:sz w:val="20"/>
          <w:szCs w:val="20"/>
          <w:lang w:val="pt-BR"/>
        </w:rPr>
        <w:t>ser considerado discriminat</w:t>
      </w:r>
      <w:r w:rsidR="005B55A8" w:rsidRPr="0038442F">
        <w:rPr>
          <w:rFonts w:ascii="Verdana" w:hAnsi="Verdana"/>
          <w:sz w:val="20"/>
          <w:szCs w:val="20"/>
          <w:lang w:val="pt-BR"/>
        </w:rPr>
        <w:t>ó</w:t>
      </w:r>
      <w:r w:rsidR="00981CF8" w:rsidRPr="0038442F">
        <w:rPr>
          <w:rFonts w:ascii="Verdana" w:hAnsi="Verdana"/>
          <w:sz w:val="20"/>
          <w:szCs w:val="20"/>
          <w:lang w:val="pt-BR"/>
        </w:rPr>
        <w:t xml:space="preserve">rio </w:t>
      </w:r>
      <w:r w:rsidR="005B55A8" w:rsidRPr="0038442F">
        <w:rPr>
          <w:rFonts w:ascii="Verdana" w:hAnsi="Verdana"/>
          <w:sz w:val="20"/>
          <w:szCs w:val="20"/>
          <w:lang w:val="pt-BR"/>
        </w:rPr>
        <w:t xml:space="preserve">a </w:t>
      </w:r>
      <w:r w:rsidR="009D16DD" w:rsidRPr="0038442F">
        <w:rPr>
          <w:rFonts w:ascii="Verdana" w:hAnsi="Verdana"/>
          <w:sz w:val="20"/>
          <w:szCs w:val="20"/>
          <w:lang w:val="pt-BR"/>
        </w:rPr>
        <w:t>respeito</w:t>
      </w:r>
      <w:r w:rsidR="00407242" w:rsidRPr="0038442F">
        <w:rPr>
          <w:rFonts w:ascii="Verdana" w:hAnsi="Verdana"/>
          <w:sz w:val="20"/>
          <w:szCs w:val="20"/>
          <w:lang w:val="pt-BR"/>
        </w:rPr>
        <w:t xml:space="preserve"> </w:t>
      </w:r>
      <w:r w:rsidR="00981CF8" w:rsidRPr="0038442F">
        <w:rPr>
          <w:rFonts w:ascii="Verdana" w:hAnsi="Verdana"/>
          <w:sz w:val="20"/>
          <w:szCs w:val="20"/>
          <w:lang w:val="pt-BR"/>
        </w:rPr>
        <w:t>d</w:t>
      </w:r>
      <w:r w:rsidR="005B55A8" w:rsidRPr="0038442F">
        <w:rPr>
          <w:rFonts w:ascii="Verdana" w:hAnsi="Verdana"/>
          <w:sz w:val="20"/>
          <w:szCs w:val="20"/>
          <w:lang w:val="pt-BR"/>
        </w:rPr>
        <w:t xml:space="preserve">o </w:t>
      </w:r>
      <w:r w:rsidR="00602FF9" w:rsidRPr="0038442F">
        <w:rPr>
          <w:rFonts w:ascii="Verdana" w:hAnsi="Verdana"/>
          <w:sz w:val="20"/>
          <w:szCs w:val="20"/>
          <w:lang w:val="pt-BR"/>
        </w:rPr>
        <w:t>exercício</w:t>
      </w:r>
      <w:r w:rsidR="00407242" w:rsidRPr="0038442F">
        <w:rPr>
          <w:rFonts w:ascii="Verdana" w:hAnsi="Verdana"/>
          <w:sz w:val="20"/>
          <w:szCs w:val="20"/>
          <w:lang w:val="pt-BR"/>
        </w:rPr>
        <w:t xml:space="preserve"> </w:t>
      </w:r>
      <w:r w:rsidR="00981CF8" w:rsidRPr="0038442F">
        <w:rPr>
          <w:rFonts w:ascii="Verdana" w:hAnsi="Verdana"/>
          <w:sz w:val="20"/>
          <w:szCs w:val="20"/>
          <w:lang w:val="pt-BR"/>
        </w:rPr>
        <w:t xml:space="preserve">de </w:t>
      </w:r>
      <w:r w:rsidR="005B55A8" w:rsidRPr="0038442F">
        <w:rPr>
          <w:rFonts w:ascii="Verdana" w:hAnsi="Verdana"/>
          <w:sz w:val="20"/>
          <w:szCs w:val="20"/>
          <w:lang w:val="pt-BR"/>
        </w:rPr>
        <w:t xml:space="preserve">qualquer </w:t>
      </w:r>
      <w:r w:rsidR="00C92762" w:rsidRPr="0038442F">
        <w:rPr>
          <w:rFonts w:ascii="Verdana" w:hAnsi="Verdana"/>
          <w:sz w:val="20"/>
          <w:szCs w:val="20"/>
          <w:lang w:val="pt-BR"/>
        </w:rPr>
        <w:t xml:space="preserve">dos direitos </w:t>
      </w:r>
      <w:r w:rsidR="005B55A8" w:rsidRPr="0038442F">
        <w:rPr>
          <w:rFonts w:ascii="Verdana" w:hAnsi="Verdana"/>
          <w:sz w:val="20"/>
          <w:szCs w:val="20"/>
          <w:lang w:val="pt-BR"/>
        </w:rPr>
        <w:t>garantidos</w:t>
      </w:r>
      <w:r w:rsidR="00407242"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981CF8" w:rsidRPr="0038442F">
        <w:rPr>
          <w:rFonts w:ascii="Verdana" w:hAnsi="Verdana"/>
          <w:sz w:val="20"/>
          <w:szCs w:val="20"/>
          <w:lang w:val="pt-BR"/>
        </w:rPr>
        <w:t>Conven</w:t>
      </w:r>
      <w:r w:rsidR="000A1AA8" w:rsidRPr="0038442F">
        <w:rPr>
          <w:rFonts w:ascii="Verdana" w:hAnsi="Verdana"/>
          <w:sz w:val="20"/>
          <w:szCs w:val="20"/>
          <w:lang w:val="pt-BR"/>
        </w:rPr>
        <w:t>ção</w:t>
      </w:r>
      <w:r w:rsidR="00981CF8" w:rsidRPr="0038442F">
        <w:rPr>
          <w:rFonts w:ascii="Verdana" w:hAnsi="Verdana"/>
          <w:sz w:val="20"/>
          <w:szCs w:val="20"/>
          <w:lang w:val="pt-BR"/>
        </w:rPr>
        <w:t xml:space="preserve"> </w:t>
      </w:r>
      <w:r w:rsidR="005B55A8" w:rsidRPr="0038442F">
        <w:rPr>
          <w:rFonts w:ascii="Verdana" w:hAnsi="Verdana"/>
          <w:sz w:val="20"/>
          <w:szCs w:val="20"/>
          <w:lang w:val="pt-BR"/>
        </w:rPr>
        <w:t>é</w:t>
      </w:r>
      <w:r w:rsidR="00981CF8" w:rsidRPr="0038442F">
        <w:rPr>
          <w:rFonts w:ascii="Verdana" w:hAnsi="Verdana"/>
          <w:sz w:val="20"/>
          <w:szCs w:val="20"/>
          <w:lang w:val="pt-BR"/>
        </w:rPr>
        <w:t xml:space="preserve"> </w:t>
      </w:r>
      <w:r w:rsidR="00981CF8" w:rsidRPr="0038442F">
        <w:rPr>
          <w:rFonts w:ascii="Verdana" w:hAnsi="Verdana"/>
          <w:i/>
          <w:sz w:val="20"/>
          <w:szCs w:val="20"/>
          <w:lang w:val="pt-BR"/>
        </w:rPr>
        <w:t>per se</w:t>
      </w:r>
      <w:r w:rsidR="00981CF8" w:rsidRPr="0038442F">
        <w:rPr>
          <w:rFonts w:ascii="Verdana" w:hAnsi="Verdana"/>
          <w:sz w:val="20"/>
          <w:szCs w:val="20"/>
          <w:lang w:val="pt-BR"/>
        </w:rPr>
        <w:t xml:space="preserve"> </w:t>
      </w:r>
      <w:r w:rsidR="005B55A8" w:rsidRPr="0038442F">
        <w:rPr>
          <w:rFonts w:ascii="Verdana" w:hAnsi="Verdana"/>
          <w:sz w:val="20"/>
          <w:szCs w:val="20"/>
          <w:lang w:val="pt-BR"/>
        </w:rPr>
        <w:t xml:space="preserve">com ela </w:t>
      </w:r>
      <w:r w:rsidR="00981CF8" w:rsidRPr="0038442F">
        <w:rPr>
          <w:rFonts w:ascii="Verdana" w:hAnsi="Verdana"/>
          <w:sz w:val="20"/>
          <w:szCs w:val="20"/>
          <w:lang w:val="pt-BR"/>
        </w:rPr>
        <w:t>incompat</w:t>
      </w:r>
      <w:r w:rsidR="005B55A8" w:rsidRPr="0038442F">
        <w:rPr>
          <w:rFonts w:ascii="Verdana" w:hAnsi="Verdana"/>
          <w:sz w:val="20"/>
          <w:szCs w:val="20"/>
          <w:lang w:val="pt-BR"/>
        </w:rPr>
        <w:t>ível.</w:t>
      </w:r>
      <w:r w:rsidR="00981CF8" w:rsidRPr="0038442F">
        <w:rPr>
          <w:rStyle w:val="Refdenotaalpie"/>
          <w:rFonts w:ascii="Verdana" w:hAnsi="Verdana"/>
          <w:sz w:val="20"/>
          <w:szCs w:val="20"/>
          <w:lang w:val="pt-BR"/>
        </w:rPr>
        <w:footnoteReference w:id="135"/>
      </w:r>
      <w:r w:rsidR="00981CF8" w:rsidRPr="0038442F">
        <w:rPr>
          <w:rFonts w:ascii="Verdana" w:hAnsi="Verdana"/>
          <w:sz w:val="20"/>
          <w:szCs w:val="20"/>
          <w:lang w:val="pt-BR"/>
        </w:rPr>
        <w:t xml:space="preserve"> </w:t>
      </w:r>
      <w:r w:rsidR="005B55A8" w:rsidRPr="0038442F">
        <w:rPr>
          <w:rFonts w:ascii="Verdana" w:hAnsi="Verdana"/>
          <w:sz w:val="20"/>
          <w:szCs w:val="20"/>
          <w:lang w:val="pt-BR"/>
        </w:rPr>
        <w:t xml:space="preserve">O </w:t>
      </w:r>
      <w:r w:rsidR="00BB665E" w:rsidRPr="0038442F">
        <w:rPr>
          <w:rFonts w:ascii="Verdana" w:hAnsi="Verdana" w:cs="Arial"/>
          <w:sz w:val="20"/>
          <w:szCs w:val="20"/>
          <w:lang w:val="pt-BR"/>
        </w:rPr>
        <w:t>descumprimento</w:t>
      </w:r>
      <w:r w:rsidR="00407242" w:rsidRPr="0038442F">
        <w:rPr>
          <w:rFonts w:ascii="Verdana" w:hAnsi="Verdana" w:cs="Arial"/>
          <w:sz w:val="20"/>
          <w:szCs w:val="20"/>
          <w:lang w:val="pt-BR"/>
        </w:rPr>
        <w:t xml:space="preserve"> </w:t>
      </w:r>
      <w:r w:rsidR="00D45B15" w:rsidRPr="0038442F">
        <w:rPr>
          <w:rFonts w:ascii="Verdana" w:hAnsi="Verdana" w:cs="Arial"/>
          <w:sz w:val="20"/>
          <w:szCs w:val="20"/>
          <w:lang w:val="pt-BR"/>
        </w:rPr>
        <w:t xml:space="preserve">pelo </w:t>
      </w:r>
      <w:r w:rsidR="00981CF8" w:rsidRPr="0038442F">
        <w:rPr>
          <w:rFonts w:ascii="Verdana" w:hAnsi="Verdana" w:cs="Arial"/>
          <w:sz w:val="20"/>
          <w:szCs w:val="20"/>
          <w:lang w:val="pt-BR"/>
        </w:rPr>
        <w:t xml:space="preserve">Estado, mediante </w:t>
      </w:r>
      <w:r w:rsidR="00984A83" w:rsidRPr="0038442F">
        <w:rPr>
          <w:rFonts w:ascii="Verdana" w:hAnsi="Verdana" w:cs="Arial"/>
          <w:sz w:val="20"/>
          <w:szCs w:val="20"/>
          <w:lang w:val="pt-BR"/>
        </w:rPr>
        <w:t>qualquer</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 xml:space="preserve">tratamento </w:t>
      </w:r>
      <w:r w:rsidR="005B55A8" w:rsidRPr="0038442F">
        <w:rPr>
          <w:rFonts w:ascii="Verdana" w:hAnsi="Verdana" w:cs="Arial"/>
          <w:sz w:val="20"/>
          <w:szCs w:val="20"/>
          <w:lang w:val="pt-BR"/>
        </w:rPr>
        <w:t>discriminatório</w:t>
      </w:r>
      <w:r w:rsidR="00981CF8" w:rsidRPr="0038442F">
        <w:rPr>
          <w:rFonts w:ascii="Verdana" w:hAnsi="Verdana" w:cs="Arial"/>
          <w:sz w:val="20"/>
          <w:szCs w:val="20"/>
          <w:lang w:val="pt-BR"/>
        </w:rPr>
        <w:t xml:space="preserve">, </w:t>
      </w:r>
      <w:r w:rsidR="00C92762" w:rsidRPr="0038442F">
        <w:rPr>
          <w:rFonts w:ascii="Verdana" w:hAnsi="Verdana" w:cs="Arial"/>
          <w:sz w:val="20"/>
          <w:szCs w:val="20"/>
          <w:lang w:val="pt-BR"/>
        </w:rPr>
        <w:t>da obrigação</w:t>
      </w:r>
      <w:r w:rsidR="00407242" w:rsidRPr="0038442F">
        <w:rPr>
          <w:rFonts w:ascii="Verdana" w:hAnsi="Verdana" w:cs="Arial"/>
          <w:sz w:val="20"/>
          <w:szCs w:val="20"/>
          <w:lang w:val="pt-BR"/>
        </w:rPr>
        <w:t xml:space="preserve"> </w:t>
      </w:r>
      <w:r w:rsidR="005B55A8" w:rsidRPr="0038442F">
        <w:rPr>
          <w:rFonts w:ascii="Verdana" w:hAnsi="Verdana" w:cs="Arial"/>
          <w:sz w:val="20"/>
          <w:szCs w:val="20"/>
          <w:lang w:val="pt-BR"/>
        </w:rPr>
        <w:t>geral</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 xml:space="preserve">de </w:t>
      </w:r>
      <w:r w:rsidR="005135E5" w:rsidRPr="0038442F">
        <w:rPr>
          <w:rFonts w:ascii="Verdana" w:hAnsi="Verdana" w:cs="Arial"/>
          <w:sz w:val="20"/>
          <w:szCs w:val="20"/>
          <w:lang w:val="pt-BR"/>
        </w:rPr>
        <w:t>respeitar</w:t>
      </w:r>
      <w:r w:rsidR="00407242" w:rsidRPr="0038442F">
        <w:rPr>
          <w:rFonts w:ascii="Verdana" w:hAnsi="Verdana" w:cs="Arial"/>
          <w:sz w:val="20"/>
          <w:szCs w:val="20"/>
          <w:lang w:val="pt-BR"/>
        </w:rPr>
        <w:t xml:space="preserve"> </w:t>
      </w:r>
      <w:r w:rsidR="005B55A8" w:rsidRPr="0038442F">
        <w:rPr>
          <w:rFonts w:ascii="Verdana" w:hAnsi="Verdana" w:cs="Arial"/>
          <w:sz w:val="20"/>
          <w:szCs w:val="20"/>
          <w:lang w:val="pt-BR"/>
        </w:rPr>
        <w:t>e</w:t>
      </w:r>
      <w:r w:rsidR="00981CF8" w:rsidRPr="0038442F">
        <w:rPr>
          <w:rFonts w:ascii="Verdana" w:hAnsi="Verdana" w:cs="Arial"/>
          <w:sz w:val="20"/>
          <w:szCs w:val="20"/>
          <w:lang w:val="pt-BR"/>
        </w:rPr>
        <w:t xml:space="preserve"> </w:t>
      </w:r>
      <w:r w:rsidR="009612FB" w:rsidRPr="0038442F">
        <w:rPr>
          <w:rFonts w:ascii="Verdana" w:hAnsi="Verdana" w:cs="Arial"/>
          <w:sz w:val="20"/>
          <w:szCs w:val="20"/>
          <w:lang w:val="pt-BR"/>
        </w:rPr>
        <w:t>garantir</w:t>
      </w:r>
      <w:r w:rsidR="00407242"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os direitos </w:t>
      </w:r>
      <w:r w:rsidR="00981CF8" w:rsidRPr="0038442F">
        <w:rPr>
          <w:rFonts w:ascii="Verdana" w:hAnsi="Verdana" w:cs="Arial"/>
          <w:sz w:val="20"/>
          <w:szCs w:val="20"/>
          <w:lang w:val="pt-BR"/>
        </w:rPr>
        <w:t xml:space="preserve">humanos gera </w:t>
      </w:r>
      <w:r w:rsidR="005B55A8" w:rsidRPr="0038442F">
        <w:rPr>
          <w:rFonts w:ascii="Verdana" w:hAnsi="Verdana" w:cs="Arial"/>
          <w:sz w:val="20"/>
          <w:szCs w:val="20"/>
          <w:lang w:val="pt-BR"/>
        </w:rPr>
        <w:t xml:space="preserve">sua </w:t>
      </w:r>
      <w:r w:rsidR="00C92762" w:rsidRPr="0038442F">
        <w:rPr>
          <w:rFonts w:ascii="Verdana" w:hAnsi="Verdana" w:cs="Arial"/>
          <w:sz w:val="20"/>
          <w:szCs w:val="20"/>
          <w:lang w:val="pt-BR"/>
        </w:rPr>
        <w:t>responsabilidade</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internacional</w:t>
      </w:r>
      <w:r w:rsidR="005B55A8" w:rsidRPr="0038442F">
        <w:rPr>
          <w:rFonts w:ascii="Verdana" w:hAnsi="Verdana" w:cs="Arial"/>
          <w:sz w:val="20"/>
          <w:szCs w:val="20"/>
          <w:lang w:val="pt-BR"/>
        </w:rPr>
        <w:t>.</w:t>
      </w:r>
      <w:r w:rsidR="00981CF8" w:rsidRPr="0038442F">
        <w:rPr>
          <w:rFonts w:ascii="Verdana" w:hAnsi="Verdana" w:cs="Arial"/>
          <w:sz w:val="20"/>
          <w:szCs w:val="20"/>
          <w:vertAlign w:val="superscript"/>
          <w:lang w:val="pt-BR"/>
        </w:rPr>
        <w:footnoteReference w:id="136"/>
      </w:r>
      <w:r w:rsidR="00981CF8" w:rsidRPr="0038442F">
        <w:rPr>
          <w:rFonts w:ascii="Verdana" w:hAnsi="Verdana" w:cs="Arial"/>
          <w:sz w:val="20"/>
          <w:szCs w:val="20"/>
          <w:lang w:val="pt-BR"/>
        </w:rPr>
        <w:t xml:space="preserve"> </w:t>
      </w:r>
      <w:r w:rsidR="005B55A8" w:rsidRPr="0038442F">
        <w:rPr>
          <w:rFonts w:ascii="Verdana" w:hAnsi="Verdana" w:cs="Arial"/>
          <w:sz w:val="20"/>
          <w:szCs w:val="20"/>
          <w:lang w:val="pt-BR"/>
        </w:rPr>
        <w:t xml:space="preserve">É por esse motivo </w:t>
      </w:r>
      <w:r w:rsidR="00332F07" w:rsidRPr="0038442F">
        <w:rPr>
          <w:rFonts w:ascii="Verdana" w:hAnsi="Verdana" w:cs="Arial"/>
          <w:sz w:val="20"/>
          <w:szCs w:val="20"/>
          <w:lang w:val="pt-BR"/>
        </w:rPr>
        <w:t>que</w:t>
      </w:r>
      <w:r w:rsidR="00981CF8" w:rsidRPr="0038442F">
        <w:rPr>
          <w:rFonts w:ascii="Verdana" w:hAnsi="Verdana" w:cs="Arial"/>
          <w:sz w:val="20"/>
          <w:szCs w:val="20"/>
          <w:lang w:val="pt-BR"/>
        </w:rPr>
        <w:t xml:space="preserve"> existe u</w:t>
      </w:r>
      <w:r w:rsidR="005B55A8" w:rsidRPr="0038442F">
        <w:rPr>
          <w:rFonts w:ascii="Verdana" w:hAnsi="Verdana" w:cs="Arial"/>
          <w:sz w:val="20"/>
          <w:szCs w:val="20"/>
          <w:lang w:val="pt-BR"/>
        </w:rPr>
        <w:t>m</w:t>
      </w:r>
      <w:r w:rsidR="00981CF8" w:rsidRPr="0038442F">
        <w:rPr>
          <w:rFonts w:ascii="Verdana" w:hAnsi="Verdana" w:cs="Arial"/>
          <w:sz w:val="20"/>
          <w:szCs w:val="20"/>
          <w:lang w:val="pt-BR"/>
        </w:rPr>
        <w:t xml:space="preserve"> vínculo indis</w:t>
      </w:r>
      <w:r w:rsidR="005B55A8" w:rsidRPr="0038442F">
        <w:rPr>
          <w:rFonts w:ascii="Verdana" w:hAnsi="Verdana" w:cs="Arial"/>
          <w:sz w:val="20"/>
          <w:szCs w:val="20"/>
          <w:lang w:val="pt-BR"/>
        </w:rPr>
        <w:t>s</w:t>
      </w:r>
      <w:r w:rsidR="00981CF8" w:rsidRPr="0038442F">
        <w:rPr>
          <w:rFonts w:ascii="Verdana" w:hAnsi="Verdana" w:cs="Arial"/>
          <w:sz w:val="20"/>
          <w:szCs w:val="20"/>
          <w:lang w:val="pt-BR"/>
        </w:rPr>
        <w:t>ol</w:t>
      </w:r>
      <w:r w:rsidR="005B55A8" w:rsidRPr="0038442F">
        <w:rPr>
          <w:rFonts w:ascii="Verdana" w:hAnsi="Verdana" w:cs="Arial"/>
          <w:sz w:val="20"/>
          <w:szCs w:val="20"/>
          <w:lang w:val="pt-BR"/>
        </w:rPr>
        <w:t xml:space="preserve">úvel </w:t>
      </w:r>
      <w:r w:rsidR="00981CF8" w:rsidRPr="0038442F">
        <w:rPr>
          <w:rFonts w:ascii="Verdana" w:hAnsi="Verdana" w:cs="Arial"/>
          <w:sz w:val="20"/>
          <w:szCs w:val="20"/>
          <w:lang w:val="pt-BR"/>
        </w:rPr>
        <w:t xml:space="preserve">entre </w:t>
      </w:r>
      <w:r w:rsidR="005B55A8" w:rsidRPr="0038442F">
        <w:rPr>
          <w:rFonts w:ascii="Verdana" w:hAnsi="Verdana" w:cs="Arial"/>
          <w:sz w:val="20"/>
          <w:szCs w:val="20"/>
          <w:lang w:val="pt-BR"/>
        </w:rPr>
        <w:t xml:space="preserve">a obrigação </w:t>
      </w:r>
      <w:r w:rsidR="00981CF8" w:rsidRPr="0038442F">
        <w:rPr>
          <w:rFonts w:ascii="Verdana" w:hAnsi="Verdana" w:cs="Arial"/>
          <w:sz w:val="20"/>
          <w:szCs w:val="20"/>
          <w:lang w:val="pt-BR"/>
        </w:rPr>
        <w:t xml:space="preserve">de </w:t>
      </w:r>
      <w:r w:rsidR="005135E5" w:rsidRPr="0038442F">
        <w:rPr>
          <w:rFonts w:ascii="Verdana" w:hAnsi="Verdana" w:cs="Arial"/>
          <w:sz w:val="20"/>
          <w:szCs w:val="20"/>
          <w:lang w:val="pt-BR"/>
        </w:rPr>
        <w:t>respeitar</w:t>
      </w:r>
      <w:r w:rsidR="00407242" w:rsidRPr="0038442F">
        <w:rPr>
          <w:rFonts w:ascii="Verdana" w:hAnsi="Verdana" w:cs="Arial"/>
          <w:sz w:val="20"/>
          <w:szCs w:val="20"/>
          <w:lang w:val="pt-BR"/>
        </w:rPr>
        <w:t xml:space="preserve"> </w:t>
      </w:r>
      <w:r w:rsidR="005B55A8" w:rsidRPr="0038442F">
        <w:rPr>
          <w:rFonts w:ascii="Verdana" w:hAnsi="Verdana" w:cs="Arial"/>
          <w:sz w:val="20"/>
          <w:szCs w:val="20"/>
          <w:lang w:val="pt-BR"/>
        </w:rPr>
        <w:t>e</w:t>
      </w:r>
      <w:r w:rsidR="00981CF8" w:rsidRPr="0038442F">
        <w:rPr>
          <w:rFonts w:ascii="Verdana" w:hAnsi="Verdana" w:cs="Arial"/>
          <w:sz w:val="20"/>
          <w:szCs w:val="20"/>
          <w:lang w:val="pt-BR"/>
        </w:rPr>
        <w:t xml:space="preserve"> </w:t>
      </w:r>
      <w:r w:rsidR="009612FB" w:rsidRPr="0038442F">
        <w:rPr>
          <w:rFonts w:ascii="Verdana" w:hAnsi="Verdana" w:cs="Arial"/>
          <w:sz w:val="20"/>
          <w:szCs w:val="20"/>
          <w:lang w:val="pt-BR"/>
        </w:rPr>
        <w:t>garantir</w:t>
      </w:r>
      <w:r w:rsidR="00407242"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os direitos </w:t>
      </w:r>
      <w:r w:rsidR="00981CF8" w:rsidRPr="0038442F">
        <w:rPr>
          <w:rFonts w:ascii="Verdana" w:hAnsi="Verdana" w:cs="Arial"/>
          <w:sz w:val="20"/>
          <w:szCs w:val="20"/>
          <w:lang w:val="pt-BR"/>
        </w:rPr>
        <w:t xml:space="preserve">humanos </w:t>
      </w:r>
      <w:r w:rsidR="005B55A8" w:rsidRPr="0038442F">
        <w:rPr>
          <w:rFonts w:ascii="Verdana" w:hAnsi="Verdana" w:cs="Arial"/>
          <w:sz w:val="20"/>
          <w:szCs w:val="20"/>
          <w:lang w:val="pt-BR"/>
        </w:rPr>
        <w:t>e</w:t>
      </w:r>
      <w:r w:rsidR="00981CF8" w:rsidRPr="0038442F">
        <w:rPr>
          <w:rFonts w:ascii="Verdana" w:hAnsi="Verdana" w:cs="Arial"/>
          <w:sz w:val="20"/>
          <w:szCs w:val="20"/>
          <w:lang w:val="pt-BR"/>
        </w:rPr>
        <w:t xml:space="preserve"> </w:t>
      </w:r>
      <w:r w:rsidR="005B55A8" w:rsidRPr="0038442F">
        <w:rPr>
          <w:rFonts w:ascii="Verdana" w:hAnsi="Verdana" w:cs="Arial"/>
          <w:sz w:val="20"/>
          <w:szCs w:val="20"/>
          <w:lang w:val="pt-BR"/>
        </w:rPr>
        <w:t xml:space="preserve">o princípio </w:t>
      </w:r>
      <w:r w:rsidR="00981CF8" w:rsidRPr="0038442F">
        <w:rPr>
          <w:rFonts w:ascii="Verdana" w:hAnsi="Verdana" w:cs="Arial"/>
          <w:sz w:val="20"/>
          <w:szCs w:val="20"/>
          <w:lang w:val="pt-BR"/>
        </w:rPr>
        <w:t xml:space="preserve">de </w:t>
      </w:r>
      <w:r w:rsidR="009612FB" w:rsidRPr="0038442F">
        <w:rPr>
          <w:rFonts w:ascii="Verdana" w:hAnsi="Verdana" w:cs="Arial"/>
          <w:sz w:val="20"/>
          <w:szCs w:val="20"/>
          <w:lang w:val="pt-BR"/>
        </w:rPr>
        <w:t>igualdade</w:t>
      </w:r>
      <w:r w:rsidR="00407242" w:rsidRPr="0038442F">
        <w:rPr>
          <w:rFonts w:ascii="Verdana" w:hAnsi="Verdana" w:cs="Arial"/>
          <w:sz w:val="20"/>
          <w:szCs w:val="20"/>
          <w:lang w:val="pt-BR"/>
        </w:rPr>
        <w:t xml:space="preserve"> </w:t>
      </w:r>
      <w:r w:rsidR="005B55A8" w:rsidRPr="0038442F">
        <w:rPr>
          <w:rFonts w:ascii="Verdana" w:hAnsi="Verdana" w:cs="Arial"/>
          <w:sz w:val="20"/>
          <w:szCs w:val="20"/>
          <w:lang w:val="pt-BR"/>
        </w:rPr>
        <w:t>e não discriminação.</w:t>
      </w:r>
      <w:r w:rsidR="00981CF8" w:rsidRPr="0038442F">
        <w:rPr>
          <w:rFonts w:ascii="Verdana" w:hAnsi="Verdana" w:cs="Arial"/>
          <w:sz w:val="20"/>
          <w:szCs w:val="20"/>
          <w:vertAlign w:val="superscript"/>
          <w:lang w:val="pt-BR"/>
        </w:rPr>
        <w:footnoteReference w:id="137"/>
      </w:r>
    </w:p>
    <w:p w14:paraId="24CD805C" w14:textId="77777777" w:rsidR="00981CF8" w:rsidRPr="0038442F" w:rsidRDefault="00981CF8" w:rsidP="00A857CB">
      <w:pPr>
        <w:pStyle w:val="Prrafodelista"/>
        <w:spacing w:line="240" w:lineRule="auto"/>
        <w:jc w:val="both"/>
        <w:rPr>
          <w:rFonts w:ascii="Verdana" w:hAnsi="Verdana" w:cs="Arial"/>
          <w:lang w:val="pt-BR"/>
        </w:rPr>
      </w:pPr>
    </w:p>
    <w:p w14:paraId="7AC21313" w14:textId="7B31AE7F" w:rsidR="00981CF8" w:rsidRPr="0038442F" w:rsidRDefault="00EE4EC3" w:rsidP="00EE4EC3">
      <w:pPr>
        <w:pStyle w:val="Prrafodelista"/>
        <w:spacing w:after="0" w:line="240" w:lineRule="auto"/>
        <w:ind w:left="0"/>
        <w:jc w:val="both"/>
        <w:rPr>
          <w:rFonts w:ascii="Verdana" w:hAnsi="Verdana" w:cs="Times New Roman"/>
          <w:sz w:val="20"/>
          <w:szCs w:val="20"/>
          <w:lang w:val="pt-BR"/>
        </w:rPr>
      </w:pPr>
      <w:r w:rsidRPr="0038442F">
        <w:rPr>
          <w:rFonts w:ascii="Verdana" w:hAnsi="Verdana" w:cs="Arial"/>
          <w:sz w:val="20"/>
          <w:szCs w:val="20"/>
          <w:lang w:val="pt-BR"/>
        </w:rPr>
        <w:t>82.</w:t>
      </w:r>
      <w:r w:rsidRPr="0038442F">
        <w:rPr>
          <w:rFonts w:ascii="Verdana" w:hAnsi="Verdana" w:cs="Arial"/>
          <w:sz w:val="20"/>
          <w:szCs w:val="20"/>
          <w:lang w:val="pt-BR"/>
        </w:rPr>
        <w:tab/>
      </w:r>
      <w:r w:rsidR="005B55A8" w:rsidRPr="0038442F">
        <w:rPr>
          <w:rFonts w:ascii="Verdana" w:hAnsi="Verdana" w:cs="Arial"/>
          <w:sz w:val="20"/>
          <w:szCs w:val="20"/>
          <w:lang w:val="pt-BR"/>
        </w:rPr>
        <w:t>O</w:t>
      </w:r>
      <w:r w:rsidR="00981CF8" w:rsidRPr="0038442F">
        <w:rPr>
          <w:rFonts w:ascii="Verdana" w:hAnsi="Verdana" w:cs="Arial"/>
          <w:sz w:val="20"/>
          <w:szCs w:val="20"/>
          <w:lang w:val="pt-BR"/>
        </w:rPr>
        <w:t xml:space="preserve"> </w:t>
      </w:r>
      <w:r w:rsidR="00F158D8" w:rsidRPr="0038442F">
        <w:rPr>
          <w:rFonts w:ascii="Verdana" w:hAnsi="Verdana" w:cs="Arial"/>
          <w:sz w:val="20"/>
          <w:szCs w:val="20"/>
          <w:lang w:val="pt-BR"/>
        </w:rPr>
        <w:t>princípio</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 xml:space="preserve">de </w:t>
      </w:r>
      <w:r w:rsidR="00751189" w:rsidRPr="0038442F">
        <w:rPr>
          <w:rFonts w:ascii="Verdana" w:hAnsi="Verdana" w:cs="Arial"/>
          <w:sz w:val="20"/>
          <w:szCs w:val="20"/>
          <w:lang w:val="pt-BR"/>
        </w:rPr>
        <w:t>proteção</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igualit</w:t>
      </w:r>
      <w:r w:rsidR="005B55A8" w:rsidRPr="0038442F">
        <w:rPr>
          <w:rFonts w:ascii="Verdana" w:hAnsi="Verdana" w:cs="Arial"/>
          <w:sz w:val="20"/>
          <w:szCs w:val="20"/>
          <w:lang w:val="pt-BR"/>
        </w:rPr>
        <w:t>á</w:t>
      </w:r>
      <w:r w:rsidR="00981CF8" w:rsidRPr="0038442F">
        <w:rPr>
          <w:rFonts w:ascii="Verdana" w:hAnsi="Verdana" w:cs="Arial"/>
          <w:sz w:val="20"/>
          <w:szCs w:val="20"/>
          <w:lang w:val="pt-BR"/>
        </w:rPr>
        <w:t xml:space="preserve">ria </w:t>
      </w:r>
      <w:r w:rsidR="005B55A8" w:rsidRPr="0038442F">
        <w:rPr>
          <w:rFonts w:ascii="Verdana" w:hAnsi="Verdana" w:cs="Arial"/>
          <w:sz w:val="20"/>
          <w:szCs w:val="20"/>
          <w:lang w:val="pt-BR"/>
        </w:rPr>
        <w:t>e</w:t>
      </w:r>
      <w:r w:rsidR="00981CF8" w:rsidRPr="0038442F">
        <w:rPr>
          <w:rFonts w:ascii="Verdana" w:hAnsi="Verdana" w:cs="Arial"/>
          <w:sz w:val="20"/>
          <w:szCs w:val="20"/>
          <w:lang w:val="pt-BR"/>
        </w:rPr>
        <w:t xml:space="preserve"> </w:t>
      </w:r>
      <w:r w:rsidR="009612FB" w:rsidRPr="0038442F">
        <w:rPr>
          <w:rFonts w:ascii="Verdana" w:hAnsi="Verdana" w:cs="Arial"/>
          <w:sz w:val="20"/>
          <w:szCs w:val="20"/>
          <w:lang w:val="pt-BR"/>
        </w:rPr>
        <w:t>efetiva</w:t>
      </w:r>
      <w:r w:rsidR="00407242"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da </w:t>
      </w:r>
      <w:r w:rsidR="00751189" w:rsidRPr="0038442F">
        <w:rPr>
          <w:rFonts w:ascii="Verdana" w:hAnsi="Verdana" w:cs="Arial"/>
          <w:sz w:val="20"/>
          <w:szCs w:val="20"/>
          <w:lang w:val="pt-BR"/>
        </w:rPr>
        <w:t>lei</w:t>
      </w:r>
      <w:r w:rsidR="00407242" w:rsidRPr="0038442F">
        <w:rPr>
          <w:rFonts w:ascii="Verdana" w:hAnsi="Verdana" w:cs="Arial"/>
          <w:sz w:val="20"/>
          <w:szCs w:val="20"/>
          <w:lang w:val="pt-BR"/>
        </w:rPr>
        <w:t xml:space="preserve"> </w:t>
      </w:r>
      <w:r w:rsidR="005B55A8" w:rsidRPr="0038442F">
        <w:rPr>
          <w:rFonts w:ascii="Verdana" w:hAnsi="Verdana" w:cs="Arial"/>
          <w:sz w:val="20"/>
          <w:szCs w:val="20"/>
          <w:lang w:val="pt-BR"/>
        </w:rPr>
        <w:t>e</w:t>
      </w:r>
      <w:r w:rsidR="00981CF8" w:rsidRPr="0038442F">
        <w:rPr>
          <w:rFonts w:ascii="Verdana" w:hAnsi="Verdana" w:cs="Arial"/>
          <w:sz w:val="20"/>
          <w:szCs w:val="20"/>
          <w:lang w:val="pt-BR"/>
        </w:rPr>
        <w:t xml:space="preserve"> </w:t>
      </w:r>
      <w:r w:rsidR="00C92762" w:rsidRPr="0038442F">
        <w:rPr>
          <w:rFonts w:ascii="Verdana" w:hAnsi="Verdana" w:cs="Arial"/>
          <w:sz w:val="20"/>
          <w:szCs w:val="20"/>
          <w:lang w:val="pt-BR"/>
        </w:rPr>
        <w:t xml:space="preserve">da </w:t>
      </w:r>
      <w:r w:rsidR="005B55A8" w:rsidRPr="0038442F">
        <w:rPr>
          <w:rFonts w:ascii="Verdana" w:hAnsi="Verdana" w:cs="Arial"/>
          <w:sz w:val="20"/>
          <w:szCs w:val="20"/>
          <w:lang w:val="pt-BR"/>
        </w:rPr>
        <w:t xml:space="preserve">não discriminação </w:t>
      </w:r>
      <w:r w:rsidR="00BD4A23" w:rsidRPr="0038442F">
        <w:rPr>
          <w:rFonts w:ascii="Verdana" w:hAnsi="Verdana" w:cs="Arial"/>
          <w:sz w:val="20"/>
          <w:szCs w:val="20"/>
          <w:lang w:val="pt-BR"/>
        </w:rPr>
        <w:t>constitui</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u</w:t>
      </w:r>
      <w:r w:rsidR="00BD4A23" w:rsidRPr="0038442F">
        <w:rPr>
          <w:rFonts w:ascii="Verdana" w:hAnsi="Verdana" w:cs="Arial"/>
          <w:sz w:val="20"/>
          <w:szCs w:val="20"/>
          <w:lang w:val="pt-BR"/>
        </w:rPr>
        <w:t xml:space="preserve">m dado </w:t>
      </w:r>
      <w:r w:rsidR="00981CF8" w:rsidRPr="0038442F">
        <w:rPr>
          <w:rFonts w:ascii="Verdana" w:hAnsi="Verdana" w:cs="Arial"/>
          <w:sz w:val="20"/>
          <w:szCs w:val="20"/>
          <w:lang w:val="pt-BR"/>
        </w:rPr>
        <w:t>sobres</w:t>
      </w:r>
      <w:r w:rsidR="00BD4A23" w:rsidRPr="0038442F">
        <w:rPr>
          <w:rFonts w:ascii="Verdana" w:hAnsi="Verdana" w:cs="Arial"/>
          <w:sz w:val="20"/>
          <w:szCs w:val="20"/>
          <w:lang w:val="pt-BR"/>
        </w:rPr>
        <w:t>s</w:t>
      </w:r>
      <w:r w:rsidR="00981CF8" w:rsidRPr="0038442F">
        <w:rPr>
          <w:rFonts w:ascii="Verdana" w:hAnsi="Verdana" w:cs="Arial"/>
          <w:sz w:val="20"/>
          <w:szCs w:val="20"/>
          <w:lang w:val="pt-BR"/>
        </w:rPr>
        <w:t>a</w:t>
      </w:r>
      <w:r w:rsidR="0035541B" w:rsidRPr="0038442F">
        <w:rPr>
          <w:rFonts w:ascii="Verdana" w:hAnsi="Verdana" w:cs="Arial"/>
          <w:sz w:val="20"/>
          <w:szCs w:val="20"/>
          <w:lang w:val="pt-BR"/>
        </w:rPr>
        <w:t>l</w:t>
      </w:r>
      <w:r w:rsidR="00981CF8" w:rsidRPr="0038442F">
        <w:rPr>
          <w:rFonts w:ascii="Verdana" w:hAnsi="Verdana" w:cs="Arial"/>
          <w:sz w:val="20"/>
          <w:szCs w:val="20"/>
          <w:lang w:val="pt-BR"/>
        </w:rPr>
        <w:t xml:space="preserve">ente </w:t>
      </w:r>
      <w:r w:rsidR="00751189" w:rsidRPr="0038442F">
        <w:rPr>
          <w:rFonts w:ascii="Verdana" w:hAnsi="Verdana" w:cs="Arial"/>
          <w:sz w:val="20"/>
          <w:szCs w:val="20"/>
          <w:lang w:val="pt-BR"/>
        </w:rPr>
        <w:t xml:space="preserve">no </w:t>
      </w:r>
      <w:r w:rsidR="00981CF8" w:rsidRPr="0038442F">
        <w:rPr>
          <w:rFonts w:ascii="Verdana" w:hAnsi="Verdana" w:cs="Arial"/>
          <w:sz w:val="20"/>
          <w:szCs w:val="20"/>
          <w:lang w:val="pt-BR"/>
        </w:rPr>
        <w:t xml:space="preserve">sistema tutelar </w:t>
      </w:r>
      <w:r w:rsidR="00C92762" w:rsidRPr="0038442F">
        <w:rPr>
          <w:rFonts w:ascii="Verdana" w:hAnsi="Verdana" w:cs="Arial"/>
          <w:sz w:val="20"/>
          <w:szCs w:val="20"/>
          <w:lang w:val="pt-BR"/>
        </w:rPr>
        <w:t xml:space="preserve">dos direitos </w:t>
      </w:r>
      <w:r w:rsidR="00981CF8" w:rsidRPr="0038442F">
        <w:rPr>
          <w:rFonts w:ascii="Verdana" w:hAnsi="Verdana" w:cs="Arial"/>
          <w:sz w:val="20"/>
          <w:szCs w:val="20"/>
          <w:lang w:val="pt-BR"/>
        </w:rPr>
        <w:t>humanos consagrado e</w:t>
      </w:r>
      <w:r w:rsidR="00BD4A23" w:rsidRPr="0038442F">
        <w:rPr>
          <w:rFonts w:ascii="Verdana" w:hAnsi="Verdana" w:cs="Arial"/>
          <w:sz w:val="20"/>
          <w:szCs w:val="20"/>
          <w:lang w:val="pt-BR"/>
        </w:rPr>
        <w:t>m</w:t>
      </w:r>
      <w:r w:rsidR="00981CF8" w:rsidRPr="0038442F">
        <w:rPr>
          <w:rFonts w:ascii="Verdana" w:hAnsi="Verdana" w:cs="Arial"/>
          <w:sz w:val="20"/>
          <w:szCs w:val="20"/>
          <w:lang w:val="pt-BR"/>
        </w:rPr>
        <w:t xml:space="preserve"> numerosos instrumentos internacion</w:t>
      </w:r>
      <w:r w:rsidR="00C92762" w:rsidRPr="0038442F">
        <w:rPr>
          <w:rFonts w:ascii="Verdana" w:hAnsi="Verdana" w:cs="Arial"/>
          <w:sz w:val="20"/>
          <w:szCs w:val="20"/>
          <w:lang w:val="pt-BR"/>
        </w:rPr>
        <w:t>ais</w:t>
      </w:r>
      <w:r w:rsidR="00407242" w:rsidRPr="0038442F">
        <w:rPr>
          <w:rFonts w:ascii="Verdana" w:hAnsi="Verdana" w:cs="Arial"/>
          <w:sz w:val="20"/>
          <w:szCs w:val="20"/>
          <w:lang w:val="pt-BR"/>
        </w:rPr>
        <w:t xml:space="preserve"> </w:t>
      </w:r>
      <w:r w:rsidR="00BD4A23" w:rsidRPr="0038442F">
        <w:rPr>
          <w:rFonts w:ascii="Verdana" w:hAnsi="Verdana" w:cs="Arial"/>
          <w:sz w:val="20"/>
          <w:szCs w:val="20"/>
          <w:lang w:val="pt-BR"/>
        </w:rPr>
        <w:t>e</w:t>
      </w:r>
      <w:r w:rsidR="00981CF8" w:rsidRPr="0038442F">
        <w:rPr>
          <w:rFonts w:ascii="Verdana" w:hAnsi="Verdana" w:cs="Arial"/>
          <w:sz w:val="20"/>
          <w:szCs w:val="20"/>
          <w:lang w:val="pt-BR"/>
        </w:rPr>
        <w:t xml:space="preserve"> des</w:t>
      </w:r>
      <w:r w:rsidR="00BD4A23" w:rsidRPr="0038442F">
        <w:rPr>
          <w:rFonts w:ascii="Verdana" w:hAnsi="Verdana" w:cs="Arial"/>
          <w:sz w:val="20"/>
          <w:szCs w:val="20"/>
          <w:lang w:val="pt-BR"/>
        </w:rPr>
        <w:t>envolvido pela doutrina e pela jurisprudência.</w:t>
      </w:r>
      <w:r w:rsidR="00981CF8" w:rsidRPr="0038442F">
        <w:rPr>
          <w:rStyle w:val="Refdenotaalpie"/>
          <w:rFonts w:ascii="Verdana" w:hAnsi="Verdana"/>
          <w:sz w:val="20"/>
          <w:szCs w:val="20"/>
          <w:lang w:val="pt-BR"/>
        </w:rPr>
        <w:footnoteReference w:id="138"/>
      </w:r>
      <w:r w:rsidR="00981CF8" w:rsidRPr="0038442F">
        <w:rPr>
          <w:rFonts w:ascii="Verdana" w:hAnsi="Verdana" w:cs="Arial"/>
          <w:sz w:val="20"/>
          <w:szCs w:val="20"/>
          <w:lang w:val="pt-BR"/>
        </w:rPr>
        <w:t xml:space="preserve"> A</w:t>
      </w:r>
      <w:r w:rsidR="00BD4A23" w:rsidRPr="0038442F">
        <w:rPr>
          <w:rFonts w:ascii="Verdana" w:hAnsi="Verdana" w:cs="Arial"/>
          <w:sz w:val="20"/>
          <w:szCs w:val="20"/>
          <w:lang w:val="pt-BR"/>
        </w:rPr>
        <w:t>lém disso</w:t>
      </w:r>
      <w:r w:rsidR="00981CF8" w:rsidRPr="0038442F">
        <w:rPr>
          <w:rFonts w:ascii="Verdana" w:hAnsi="Verdana" w:cs="Arial"/>
          <w:sz w:val="20"/>
          <w:szCs w:val="20"/>
          <w:lang w:val="pt-BR"/>
        </w:rPr>
        <w:t xml:space="preserve">, </w:t>
      </w:r>
      <w:r w:rsidR="008806F8" w:rsidRPr="0038442F">
        <w:rPr>
          <w:rFonts w:ascii="Verdana" w:hAnsi="Verdana" w:cs="Arial"/>
          <w:sz w:val="20"/>
          <w:szCs w:val="20"/>
          <w:lang w:val="pt-BR"/>
        </w:rPr>
        <w:t xml:space="preserve">a Corte </w:t>
      </w:r>
      <w:r w:rsidR="00332F07" w:rsidRPr="0038442F">
        <w:rPr>
          <w:rFonts w:ascii="Verdana" w:hAnsi="Verdana" w:cs="Arial"/>
          <w:sz w:val="20"/>
          <w:szCs w:val="20"/>
          <w:lang w:val="pt-BR"/>
        </w:rPr>
        <w:t xml:space="preserve">IDH </w:t>
      </w:r>
      <w:r w:rsidR="00981CF8" w:rsidRPr="0038442F">
        <w:rPr>
          <w:rFonts w:ascii="Verdana" w:hAnsi="Verdana" w:cs="Arial"/>
          <w:sz w:val="20"/>
          <w:szCs w:val="20"/>
          <w:lang w:val="pt-BR"/>
        </w:rPr>
        <w:t>s</w:t>
      </w:r>
      <w:r w:rsidR="00BD4A23" w:rsidRPr="0038442F">
        <w:rPr>
          <w:rFonts w:ascii="Verdana" w:hAnsi="Verdana" w:cs="Arial"/>
          <w:sz w:val="20"/>
          <w:szCs w:val="20"/>
          <w:lang w:val="pt-BR"/>
        </w:rPr>
        <w:t xml:space="preserve">alientou que a </w:t>
      </w:r>
      <w:r w:rsidR="00981CF8" w:rsidRPr="0038442F">
        <w:rPr>
          <w:rFonts w:ascii="Verdana" w:hAnsi="Verdana" w:cs="Arial"/>
          <w:sz w:val="20"/>
          <w:szCs w:val="20"/>
          <w:lang w:val="pt-BR"/>
        </w:rPr>
        <w:t>no</w:t>
      </w:r>
      <w:r w:rsidR="000A1AA8" w:rsidRPr="0038442F">
        <w:rPr>
          <w:rFonts w:ascii="Verdana" w:hAnsi="Verdana" w:cs="Arial"/>
          <w:sz w:val="20"/>
          <w:szCs w:val="20"/>
          <w:lang w:val="pt-BR"/>
        </w:rPr>
        <w:t>ção</w:t>
      </w:r>
      <w:r w:rsidR="00981CF8" w:rsidRPr="0038442F">
        <w:rPr>
          <w:rFonts w:ascii="Verdana" w:hAnsi="Verdana" w:cs="Arial"/>
          <w:sz w:val="20"/>
          <w:szCs w:val="20"/>
          <w:lang w:val="pt-BR"/>
        </w:rPr>
        <w:t xml:space="preserve"> de </w:t>
      </w:r>
      <w:r w:rsidR="009612FB" w:rsidRPr="0038442F">
        <w:rPr>
          <w:rFonts w:ascii="Verdana" w:hAnsi="Verdana" w:cs="Arial"/>
          <w:sz w:val="20"/>
          <w:szCs w:val="20"/>
          <w:lang w:val="pt-BR"/>
        </w:rPr>
        <w:t xml:space="preserve">igualdade </w:t>
      </w:r>
      <w:r w:rsidR="00644B1B">
        <w:rPr>
          <w:rFonts w:ascii="Verdana" w:hAnsi="Verdana" w:cs="Arial"/>
          <w:sz w:val="20"/>
          <w:szCs w:val="20"/>
          <w:lang w:val="pt-BR"/>
        </w:rPr>
        <w:t>se depreende</w:t>
      </w:r>
      <w:r w:rsidR="00644B1B" w:rsidRPr="0038442F">
        <w:rPr>
          <w:rFonts w:ascii="Verdana" w:hAnsi="Verdana" w:cs="Arial"/>
          <w:sz w:val="20"/>
          <w:szCs w:val="20"/>
          <w:lang w:val="pt-BR"/>
        </w:rPr>
        <w:t xml:space="preserve"> </w:t>
      </w:r>
      <w:r w:rsidR="00981CF8" w:rsidRPr="0038442F">
        <w:rPr>
          <w:rFonts w:ascii="Verdana" w:hAnsi="Verdana" w:cs="Arial"/>
          <w:sz w:val="20"/>
          <w:szCs w:val="20"/>
          <w:lang w:val="pt-BR"/>
        </w:rPr>
        <w:t xml:space="preserve">diretamente </w:t>
      </w:r>
      <w:r w:rsidR="00C92762" w:rsidRPr="0038442F">
        <w:rPr>
          <w:rFonts w:ascii="Verdana" w:hAnsi="Verdana" w:cs="Arial"/>
          <w:sz w:val="20"/>
          <w:szCs w:val="20"/>
          <w:lang w:val="pt-BR"/>
        </w:rPr>
        <w:t xml:space="preserve">da </w:t>
      </w:r>
      <w:r w:rsidR="00981CF8" w:rsidRPr="0038442F">
        <w:rPr>
          <w:rFonts w:ascii="Verdana" w:hAnsi="Verdana" w:cs="Arial"/>
          <w:sz w:val="20"/>
          <w:szCs w:val="20"/>
          <w:lang w:val="pt-BR"/>
        </w:rPr>
        <w:t>unidad</w:t>
      </w:r>
      <w:r w:rsidR="00BD4A23" w:rsidRPr="0038442F">
        <w:rPr>
          <w:rFonts w:ascii="Verdana" w:hAnsi="Verdana" w:cs="Arial"/>
          <w:sz w:val="20"/>
          <w:szCs w:val="20"/>
          <w:lang w:val="pt-BR"/>
        </w:rPr>
        <w:t>e</w:t>
      </w:r>
      <w:r w:rsidR="00981CF8" w:rsidRPr="0038442F">
        <w:rPr>
          <w:rFonts w:ascii="Verdana" w:hAnsi="Verdana" w:cs="Arial"/>
          <w:sz w:val="20"/>
          <w:szCs w:val="20"/>
          <w:lang w:val="pt-BR"/>
        </w:rPr>
        <w:t xml:space="preserve"> de natureza d</w:t>
      </w:r>
      <w:r w:rsidR="00BD4A23" w:rsidRPr="0038442F">
        <w:rPr>
          <w:rFonts w:ascii="Verdana" w:hAnsi="Verdana" w:cs="Arial"/>
          <w:sz w:val="20"/>
          <w:szCs w:val="20"/>
          <w:lang w:val="pt-BR"/>
        </w:rPr>
        <w:t xml:space="preserve">o </w:t>
      </w:r>
      <w:r w:rsidR="005907B2" w:rsidRPr="0038442F">
        <w:rPr>
          <w:rFonts w:ascii="Verdana" w:hAnsi="Verdana" w:cs="Arial"/>
          <w:sz w:val="20"/>
          <w:szCs w:val="20"/>
          <w:lang w:val="pt-BR"/>
        </w:rPr>
        <w:t>gênero</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humano</w:t>
      </w:r>
      <w:r w:rsidR="00BD4A23" w:rsidRPr="0038442F">
        <w:rPr>
          <w:rFonts w:ascii="Verdana" w:hAnsi="Verdana" w:cs="Arial"/>
          <w:sz w:val="20"/>
          <w:szCs w:val="20"/>
          <w:lang w:val="pt-BR"/>
        </w:rPr>
        <w:t xml:space="preserve">, e é inseparável </w:t>
      </w:r>
      <w:r w:rsidR="00C92762" w:rsidRPr="0038442F">
        <w:rPr>
          <w:rFonts w:ascii="Verdana" w:hAnsi="Verdana" w:cs="Arial"/>
          <w:sz w:val="20"/>
          <w:szCs w:val="20"/>
          <w:lang w:val="pt-BR"/>
        </w:rPr>
        <w:t xml:space="preserve">da </w:t>
      </w:r>
      <w:r w:rsidR="00981CF8" w:rsidRPr="0038442F">
        <w:rPr>
          <w:rFonts w:ascii="Verdana" w:hAnsi="Verdana" w:cs="Arial"/>
          <w:sz w:val="20"/>
          <w:szCs w:val="20"/>
          <w:lang w:val="pt-BR"/>
        </w:rPr>
        <w:t>dignidad</w:t>
      </w:r>
      <w:r w:rsidR="00BD4A23" w:rsidRPr="0038442F">
        <w:rPr>
          <w:rFonts w:ascii="Verdana" w:hAnsi="Verdana" w:cs="Arial"/>
          <w:sz w:val="20"/>
          <w:szCs w:val="20"/>
          <w:lang w:val="pt-BR"/>
        </w:rPr>
        <w:t>e</w:t>
      </w:r>
      <w:r w:rsidR="00981CF8" w:rsidRPr="0038442F">
        <w:rPr>
          <w:rFonts w:ascii="Verdana" w:hAnsi="Verdana" w:cs="Arial"/>
          <w:sz w:val="20"/>
          <w:szCs w:val="20"/>
          <w:lang w:val="pt-BR"/>
        </w:rPr>
        <w:t xml:space="preserve"> e</w:t>
      </w:r>
      <w:r w:rsidR="00BD4A23" w:rsidRPr="0038442F">
        <w:rPr>
          <w:rFonts w:ascii="Verdana" w:hAnsi="Verdana" w:cs="Arial"/>
          <w:sz w:val="20"/>
          <w:szCs w:val="20"/>
          <w:lang w:val="pt-BR"/>
        </w:rPr>
        <w:t>s</w:t>
      </w:r>
      <w:r w:rsidR="00981CF8" w:rsidRPr="0038442F">
        <w:rPr>
          <w:rFonts w:ascii="Verdana" w:hAnsi="Verdana" w:cs="Arial"/>
          <w:sz w:val="20"/>
          <w:szCs w:val="20"/>
          <w:lang w:val="pt-BR"/>
        </w:rPr>
        <w:t xml:space="preserve">sencial </w:t>
      </w:r>
      <w:r w:rsidR="00C92762" w:rsidRPr="0038442F">
        <w:rPr>
          <w:rFonts w:ascii="Verdana" w:hAnsi="Verdana" w:cs="Arial"/>
          <w:sz w:val="20"/>
          <w:szCs w:val="20"/>
          <w:lang w:val="pt-BR"/>
        </w:rPr>
        <w:t xml:space="preserve">da </w:t>
      </w:r>
      <w:r w:rsidR="005907B2" w:rsidRPr="0038442F">
        <w:rPr>
          <w:rFonts w:ascii="Verdana" w:hAnsi="Verdana" w:cs="Arial"/>
          <w:sz w:val="20"/>
          <w:szCs w:val="20"/>
          <w:lang w:val="pt-BR"/>
        </w:rPr>
        <w:t>pessoa</w:t>
      </w:r>
      <w:r w:rsidR="00981CF8" w:rsidRPr="0038442F">
        <w:rPr>
          <w:rFonts w:ascii="Verdana" w:hAnsi="Verdana" w:cs="Arial"/>
          <w:sz w:val="20"/>
          <w:szCs w:val="20"/>
          <w:lang w:val="pt-BR"/>
        </w:rPr>
        <w:t xml:space="preserve">, frente </w:t>
      </w:r>
      <w:r w:rsidR="00BD4A23" w:rsidRPr="0038442F">
        <w:rPr>
          <w:rFonts w:ascii="Verdana" w:hAnsi="Verdana" w:cs="Arial"/>
          <w:sz w:val="20"/>
          <w:szCs w:val="20"/>
          <w:lang w:val="pt-BR"/>
        </w:rPr>
        <w:t xml:space="preserve">à </w:t>
      </w:r>
      <w:r w:rsidR="003B374E" w:rsidRPr="0038442F">
        <w:rPr>
          <w:rFonts w:ascii="Verdana" w:hAnsi="Verdana" w:cs="Arial"/>
          <w:sz w:val="20"/>
          <w:szCs w:val="20"/>
          <w:lang w:val="pt-BR"/>
        </w:rPr>
        <w:t>qual</w:t>
      </w:r>
      <w:r w:rsidR="00407242" w:rsidRPr="0038442F">
        <w:rPr>
          <w:rFonts w:ascii="Verdana" w:hAnsi="Verdana" w:cs="Arial"/>
          <w:sz w:val="20"/>
          <w:szCs w:val="20"/>
          <w:lang w:val="pt-BR"/>
        </w:rPr>
        <w:t xml:space="preserve"> </w:t>
      </w:r>
      <w:r w:rsidR="00BD4A23" w:rsidRPr="0038442F">
        <w:rPr>
          <w:rFonts w:ascii="Verdana" w:hAnsi="Verdana" w:cs="Arial"/>
          <w:sz w:val="20"/>
          <w:szCs w:val="20"/>
          <w:lang w:val="pt-BR"/>
        </w:rPr>
        <w:t xml:space="preserve">é incompatível </w:t>
      </w:r>
      <w:r w:rsidR="00981CF8" w:rsidRPr="0038442F">
        <w:rPr>
          <w:rFonts w:ascii="Verdana" w:hAnsi="Verdana" w:cs="Arial"/>
          <w:sz w:val="20"/>
          <w:szCs w:val="20"/>
          <w:lang w:val="pt-BR"/>
        </w:rPr>
        <w:t>toda situa</w:t>
      </w:r>
      <w:r w:rsidR="000A1AA8" w:rsidRPr="0038442F">
        <w:rPr>
          <w:rFonts w:ascii="Verdana" w:hAnsi="Verdana" w:cs="Arial"/>
          <w:sz w:val="20"/>
          <w:szCs w:val="20"/>
          <w:lang w:val="pt-BR"/>
        </w:rPr>
        <w:t>ção</w:t>
      </w:r>
      <w:r w:rsidR="00981CF8" w:rsidRPr="0038442F">
        <w:rPr>
          <w:rFonts w:ascii="Verdana" w:hAnsi="Verdana" w:cs="Arial"/>
          <w:sz w:val="20"/>
          <w:szCs w:val="20"/>
          <w:lang w:val="pt-BR"/>
        </w:rPr>
        <w:t xml:space="preserve"> que, por considerar superior </w:t>
      </w:r>
      <w:r w:rsidR="00BD4A23" w:rsidRPr="0038442F">
        <w:rPr>
          <w:rFonts w:ascii="Verdana" w:hAnsi="Verdana" w:cs="Arial"/>
          <w:sz w:val="20"/>
          <w:szCs w:val="20"/>
          <w:lang w:val="pt-BR"/>
        </w:rPr>
        <w:t xml:space="preserve">um </w:t>
      </w:r>
      <w:r w:rsidR="00981CF8" w:rsidRPr="0038442F">
        <w:rPr>
          <w:rFonts w:ascii="Verdana" w:hAnsi="Verdana" w:cs="Arial"/>
          <w:sz w:val="20"/>
          <w:szCs w:val="20"/>
          <w:lang w:val="pt-BR"/>
        </w:rPr>
        <w:t xml:space="preserve">determinado grupo, </w:t>
      </w:r>
      <w:r w:rsidR="00BD4A23" w:rsidRPr="0038442F">
        <w:rPr>
          <w:rFonts w:ascii="Verdana" w:hAnsi="Verdana" w:cs="Arial"/>
          <w:sz w:val="20"/>
          <w:szCs w:val="20"/>
          <w:lang w:val="pt-BR"/>
        </w:rPr>
        <w:t xml:space="preserve">leve a </w:t>
      </w:r>
      <w:r w:rsidR="00DC731D" w:rsidRPr="0038442F">
        <w:rPr>
          <w:rFonts w:ascii="Verdana" w:hAnsi="Verdana" w:cs="Arial"/>
          <w:sz w:val="20"/>
          <w:szCs w:val="20"/>
          <w:lang w:val="pt-BR"/>
        </w:rPr>
        <w:t xml:space="preserve">que seja tratado </w:t>
      </w:r>
      <w:r w:rsidR="00981CF8" w:rsidRPr="0038442F">
        <w:rPr>
          <w:rFonts w:ascii="Verdana" w:hAnsi="Verdana" w:cs="Arial"/>
          <w:sz w:val="20"/>
          <w:szCs w:val="20"/>
          <w:lang w:val="pt-BR"/>
        </w:rPr>
        <w:t>co</w:t>
      </w:r>
      <w:r w:rsidR="00BD4A23" w:rsidRPr="0038442F">
        <w:rPr>
          <w:rFonts w:ascii="Verdana" w:hAnsi="Verdana" w:cs="Arial"/>
          <w:sz w:val="20"/>
          <w:szCs w:val="20"/>
          <w:lang w:val="pt-BR"/>
        </w:rPr>
        <w:t>m privilégio</w:t>
      </w:r>
      <w:r w:rsidR="00981CF8" w:rsidRPr="0038442F">
        <w:rPr>
          <w:rFonts w:ascii="Verdana" w:hAnsi="Verdana" w:cs="Arial"/>
          <w:sz w:val="20"/>
          <w:szCs w:val="20"/>
          <w:lang w:val="pt-BR"/>
        </w:rPr>
        <w:t>; o</w:t>
      </w:r>
      <w:r w:rsidR="00BD4A23" w:rsidRPr="0038442F">
        <w:rPr>
          <w:rFonts w:ascii="Verdana" w:hAnsi="Verdana" w:cs="Arial"/>
          <w:sz w:val="20"/>
          <w:szCs w:val="20"/>
          <w:lang w:val="pt-BR"/>
        </w:rPr>
        <w:t>u</w:t>
      </w:r>
      <w:r w:rsidR="00981CF8" w:rsidRPr="0038442F">
        <w:rPr>
          <w:rFonts w:ascii="Verdana" w:hAnsi="Verdana" w:cs="Arial"/>
          <w:sz w:val="20"/>
          <w:szCs w:val="20"/>
          <w:lang w:val="pt-BR"/>
        </w:rPr>
        <w:t xml:space="preserve"> que, </w:t>
      </w:r>
      <w:r w:rsidR="00BD4A23" w:rsidRPr="0038442F">
        <w:rPr>
          <w:rFonts w:ascii="Verdana" w:hAnsi="Verdana" w:cs="Arial"/>
          <w:sz w:val="20"/>
          <w:szCs w:val="20"/>
          <w:lang w:val="pt-BR"/>
        </w:rPr>
        <w:t>ao contrário, por consider</w:t>
      </w:r>
      <w:r w:rsidR="0035541B" w:rsidRPr="0038442F">
        <w:rPr>
          <w:rFonts w:ascii="Verdana" w:hAnsi="Verdana" w:cs="Arial"/>
          <w:sz w:val="20"/>
          <w:szCs w:val="20"/>
          <w:lang w:val="pt-BR"/>
        </w:rPr>
        <w:t>á</w:t>
      </w:r>
      <w:r w:rsidR="00BD4A23" w:rsidRPr="0038442F">
        <w:rPr>
          <w:rFonts w:ascii="Verdana" w:hAnsi="Verdana" w:cs="Arial"/>
          <w:sz w:val="20"/>
          <w:szCs w:val="20"/>
          <w:lang w:val="pt-BR"/>
        </w:rPr>
        <w:t xml:space="preserve">-lo </w:t>
      </w:r>
      <w:r w:rsidR="00981CF8" w:rsidRPr="0038442F">
        <w:rPr>
          <w:rFonts w:ascii="Verdana" w:hAnsi="Verdana" w:cs="Arial"/>
          <w:sz w:val="20"/>
          <w:szCs w:val="20"/>
          <w:lang w:val="pt-BR"/>
        </w:rPr>
        <w:t xml:space="preserve">inferior, o trate </w:t>
      </w:r>
      <w:r w:rsidR="00BD4A23" w:rsidRPr="0038442F">
        <w:rPr>
          <w:rFonts w:ascii="Verdana" w:hAnsi="Verdana" w:cs="Arial"/>
          <w:sz w:val="20"/>
          <w:szCs w:val="20"/>
          <w:lang w:val="pt-BR"/>
        </w:rPr>
        <w:t xml:space="preserve">com hostilidade, ou de </w:t>
      </w:r>
      <w:r w:rsidR="00984A83" w:rsidRPr="0038442F">
        <w:rPr>
          <w:rFonts w:ascii="Verdana" w:hAnsi="Verdana" w:cs="Arial"/>
          <w:sz w:val="20"/>
          <w:szCs w:val="20"/>
          <w:lang w:val="pt-BR"/>
        </w:rPr>
        <w:t>qualquer</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 xml:space="preserve">forma o discrimine </w:t>
      </w:r>
      <w:r w:rsidR="00644B1B">
        <w:rPr>
          <w:rFonts w:ascii="Verdana" w:hAnsi="Verdana" w:cs="Arial"/>
          <w:sz w:val="20"/>
          <w:szCs w:val="20"/>
          <w:lang w:val="pt-BR"/>
        </w:rPr>
        <w:t>n</w:t>
      </w:r>
      <w:r w:rsidR="00BD4A23" w:rsidRPr="0038442F">
        <w:rPr>
          <w:rFonts w:ascii="Verdana" w:hAnsi="Verdana" w:cs="Arial"/>
          <w:sz w:val="20"/>
          <w:szCs w:val="20"/>
          <w:lang w:val="pt-BR"/>
        </w:rPr>
        <w:t xml:space="preserve">o </w:t>
      </w:r>
      <w:r w:rsidR="00BB701F" w:rsidRPr="0038442F">
        <w:rPr>
          <w:rFonts w:ascii="Verdana" w:hAnsi="Verdana" w:cs="Arial"/>
          <w:sz w:val="20"/>
          <w:szCs w:val="20"/>
          <w:lang w:val="pt-BR"/>
        </w:rPr>
        <w:t>gozo</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d</w:t>
      </w:r>
      <w:r w:rsidR="00BD4A23" w:rsidRPr="0038442F">
        <w:rPr>
          <w:rFonts w:ascii="Verdana" w:hAnsi="Verdana" w:cs="Arial"/>
          <w:sz w:val="20"/>
          <w:szCs w:val="20"/>
          <w:lang w:val="pt-BR"/>
        </w:rPr>
        <w:t>o</w:t>
      </w:r>
      <w:r w:rsidR="00981CF8" w:rsidRPr="0038442F">
        <w:rPr>
          <w:rFonts w:ascii="Verdana" w:hAnsi="Verdana" w:cs="Arial"/>
          <w:sz w:val="20"/>
          <w:szCs w:val="20"/>
          <w:lang w:val="pt-BR"/>
        </w:rPr>
        <w:t xml:space="preserve"> </w:t>
      </w:r>
      <w:r w:rsidR="00CA30C5" w:rsidRPr="0038442F">
        <w:rPr>
          <w:rFonts w:ascii="Verdana" w:hAnsi="Verdana" w:cs="Arial"/>
          <w:sz w:val="20"/>
          <w:szCs w:val="20"/>
          <w:lang w:val="pt-BR"/>
        </w:rPr>
        <w:t xml:space="preserve">direito </w:t>
      </w:r>
      <w:r w:rsidR="00981CF8" w:rsidRPr="0038442F">
        <w:rPr>
          <w:rFonts w:ascii="Verdana" w:hAnsi="Verdana" w:cs="Arial"/>
          <w:sz w:val="20"/>
          <w:szCs w:val="20"/>
          <w:lang w:val="pt-BR"/>
        </w:rPr>
        <w:t>que</w:t>
      </w:r>
      <w:r w:rsidR="00BD4A23" w:rsidRPr="0038442F">
        <w:rPr>
          <w:rFonts w:ascii="Verdana" w:hAnsi="Verdana" w:cs="Arial"/>
          <w:sz w:val="20"/>
          <w:szCs w:val="20"/>
          <w:lang w:val="pt-BR"/>
        </w:rPr>
        <w:t>, de fato, se reconhece àqueles que não</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considera</w:t>
      </w:r>
      <w:r w:rsidR="00BD4A23" w:rsidRPr="0038442F">
        <w:rPr>
          <w:rFonts w:ascii="Verdana" w:hAnsi="Verdana" w:cs="Arial"/>
          <w:sz w:val="20"/>
          <w:szCs w:val="20"/>
          <w:lang w:val="pt-BR"/>
        </w:rPr>
        <w:t>m</w:t>
      </w:r>
      <w:r w:rsidR="00981CF8" w:rsidRPr="0038442F">
        <w:rPr>
          <w:rFonts w:ascii="Verdana" w:hAnsi="Verdana" w:cs="Arial"/>
          <w:sz w:val="20"/>
          <w:szCs w:val="20"/>
          <w:lang w:val="pt-BR"/>
        </w:rPr>
        <w:t xml:space="preserve"> incursos ne</w:t>
      </w:r>
      <w:r w:rsidR="00BD4A23" w:rsidRPr="0038442F">
        <w:rPr>
          <w:rFonts w:ascii="Verdana" w:hAnsi="Verdana" w:cs="Arial"/>
          <w:sz w:val="20"/>
          <w:szCs w:val="20"/>
          <w:lang w:val="pt-BR"/>
        </w:rPr>
        <w:t>s</w:t>
      </w:r>
      <w:r w:rsidR="00981CF8" w:rsidRPr="0038442F">
        <w:rPr>
          <w:rFonts w:ascii="Verdana" w:hAnsi="Verdana" w:cs="Arial"/>
          <w:sz w:val="20"/>
          <w:szCs w:val="20"/>
          <w:lang w:val="pt-BR"/>
        </w:rPr>
        <w:t>sa situa</w:t>
      </w:r>
      <w:r w:rsidR="000A1AA8" w:rsidRPr="0038442F">
        <w:rPr>
          <w:rFonts w:ascii="Verdana" w:hAnsi="Verdana" w:cs="Arial"/>
          <w:sz w:val="20"/>
          <w:szCs w:val="20"/>
          <w:lang w:val="pt-BR"/>
        </w:rPr>
        <w:t>ção</w:t>
      </w:r>
      <w:r w:rsidR="00BD4A23" w:rsidRPr="0038442F">
        <w:rPr>
          <w:rFonts w:ascii="Verdana" w:hAnsi="Verdana" w:cs="Arial"/>
          <w:sz w:val="20"/>
          <w:szCs w:val="20"/>
          <w:lang w:val="pt-BR"/>
        </w:rPr>
        <w:t>.</w:t>
      </w:r>
      <w:r w:rsidR="00981CF8" w:rsidRPr="0038442F">
        <w:rPr>
          <w:rStyle w:val="Refdenotaalpie"/>
          <w:rFonts w:ascii="Verdana" w:hAnsi="Verdana"/>
          <w:sz w:val="20"/>
          <w:szCs w:val="20"/>
          <w:lang w:val="pt-BR"/>
        </w:rPr>
        <w:footnoteReference w:id="139"/>
      </w:r>
      <w:r w:rsidR="00981CF8" w:rsidRPr="0038442F">
        <w:rPr>
          <w:rFonts w:ascii="Verdana" w:hAnsi="Verdana" w:cs="Arial"/>
          <w:sz w:val="20"/>
          <w:szCs w:val="20"/>
          <w:lang w:val="pt-BR"/>
        </w:rPr>
        <w:t xml:space="preserve"> </w:t>
      </w:r>
      <w:r w:rsidR="00BD4A23" w:rsidRPr="0038442F">
        <w:rPr>
          <w:rFonts w:ascii="Verdana" w:hAnsi="Verdana" w:cs="Arial"/>
          <w:sz w:val="20"/>
          <w:szCs w:val="20"/>
          <w:lang w:val="pt-BR"/>
        </w:rPr>
        <w:t xml:space="preserve">Na </w:t>
      </w:r>
      <w:r w:rsidR="00981CF8" w:rsidRPr="0038442F">
        <w:rPr>
          <w:rFonts w:ascii="Verdana" w:hAnsi="Verdana" w:cs="Arial"/>
          <w:sz w:val="20"/>
          <w:szCs w:val="20"/>
          <w:lang w:val="pt-BR"/>
        </w:rPr>
        <w:t>at</w:t>
      </w:r>
      <w:r w:rsidRPr="0038442F">
        <w:rPr>
          <w:rFonts w:ascii="Verdana" w:hAnsi="Verdana" w:cs="Arial"/>
          <w:sz w:val="20"/>
          <w:szCs w:val="20"/>
          <w:lang w:val="pt-BR"/>
        </w:rPr>
        <w:t>u</w:t>
      </w:r>
      <w:r w:rsidR="00981CF8" w:rsidRPr="0038442F">
        <w:rPr>
          <w:rFonts w:ascii="Verdana" w:hAnsi="Verdana" w:cs="Arial"/>
          <w:sz w:val="20"/>
          <w:szCs w:val="20"/>
          <w:lang w:val="pt-BR"/>
        </w:rPr>
        <w:t>a</w:t>
      </w:r>
      <w:r w:rsidRPr="0038442F">
        <w:rPr>
          <w:rFonts w:ascii="Verdana" w:hAnsi="Verdana" w:cs="Arial"/>
          <w:sz w:val="20"/>
          <w:szCs w:val="20"/>
          <w:lang w:val="pt-BR"/>
        </w:rPr>
        <w:t>l</w:t>
      </w:r>
      <w:r w:rsidR="00981CF8" w:rsidRPr="0038442F">
        <w:rPr>
          <w:rFonts w:ascii="Verdana" w:hAnsi="Verdana" w:cs="Arial"/>
          <w:sz w:val="20"/>
          <w:szCs w:val="20"/>
          <w:lang w:val="pt-BR"/>
        </w:rPr>
        <w:t xml:space="preserve"> etapa </w:t>
      </w:r>
      <w:r w:rsidR="00C92762" w:rsidRPr="0038442F">
        <w:rPr>
          <w:rFonts w:ascii="Verdana" w:hAnsi="Verdana" w:cs="Arial"/>
          <w:sz w:val="20"/>
          <w:szCs w:val="20"/>
          <w:lang w:val="pt-BR"/>
        </w:rPr>
        <w:t xml:space="preserve">da </w:t>
      </w:r>
      <w:r w:rsidR="00981CF8" w:rsidRPr="0038442F">
        <w:rPr>
          <w:rFonts w:ascii="Verdana" w:hAnsi="Verdana" w:cs="Arial"/>
          <w:sz w:val="20"/>
          <w:szCs w:val="20"/>
          <w:lang w:val="pt-BR"/>
        </w:rPr>
        <w:t>evolu</w:t>
      </w:r>
      <w:r w:rsidR="000A1AA8" w:rsidRPr="0038442F">
        <w:rPr>
          <w:rFonts w:ascii="Verdana" w:hAnsi="Verdana" w:cs="Arial"/>
          <w:sz w:val="20"/>
          <w:szCs w:val="20"/>
          <w:lang w:val="pt-BR"/>
        </w:rPr>
        <w:t>ção</w:t>
      </w:r>
      <w:r w:rsidR="00981CF8" w:rsidRPr="0038442F">
        <w:rPr>
          <w:rFonts w:ascii="Verdana" w:hAnsi="Verdana" w:cs="Arial"/>
          <w:sz w:val="20"/>
          <w:szCs w:val="20"/>
          <w:lang w:val="pt-BR"/>
        </w:rPr>
        <w:t xml:space="preserve"> d</w:t>
      </w:r>
      <w:r w:rsidR="00BD4A23" w:rsidRPr="0038442F">
        <w:rPr>
          <w:rFonts w:ascii="Verdana" w:hAnsi="Verdana" w:cs="Arial"/>
          <w:sz w:val="20"/>
          <w:szCs w:val="20"/>
          <w:lang w:val="pt-BR"/>
        </w:rPr>
        <w:t>o</w:t>
      </w:r>
      <w:r w:rsidR="00981CF8" w:rsidRPr="0038442F">
        <w:rPr>
          <w:rFonts w:ascii="Verdana" w:hAnsi="Verdana" w:cs="Arial"/>
          <w:sz w:val="20"/>
          <w:szCs w:val="20"/>
          <w:lang w:val="pt-BR"/>
        </w:rPr>
        <w:t xml:space="preserve"> </w:t>
      </w:r>
      <w:r w:rsidR="00BD4A23" w:rsidRPr="0038442F">
        <w:rPr>
          <w:rFonts w:ascii="Verdana" w:hAnsi="Verdana" w:cs="Arial"/>
          <w:sz w:val="20"/>
          <w:szCs w:val="20"/>
          <w:lang w:val="pt-BR"/>
        </w:rPr>
        <w:t>D</w:t>
      </w:r>
      <w:r w:rsidR="00CA30C5" w:rsidRPr="0038442F">
        <w:rPr>
          <w:rFonts w:ascii="Verdana" w:hAnsi="Verdana" w:cs="Arial"/>
          <w:sz w:val="20"/>
          <w:szCs w:val="20"/>
          <w:lang w:val="pt-BR"/>
        </w:rPr>
        <w:t>ireito</w:t>
      </w:r>
      <w:r w:rsidR="00407242" w:rsidRPr="0038442F">
        <w:rPr>
          <w:rFonts w:ascii="Verdana" w:hAnsi="Verdana" w:cs="Arial"/>
          <w:sz w:val="20"/>
          <w:szCs w:val="20"/>
          <w:lang w:val="pt-BR"/>
        </w:rPr>
        <w:t xml:space="preserve"> </w:t>
      </w:r>
      <w:r w:rsidR="00BD4A23" w:rsidRPr="0038442F">
        <w:rPr>
          <w:rFonts w:ascii="Verdana" w:hAnsi="Verdana" w:cs="Arial"/>
          <w:sz w:val="20"/>
          <w:szCs w:val="20"/>
          <w:lang w:val="pt-BR"/>
        </w:rPr>
        <w:t>I</w:t>
      </w:r>
      <w:r w:rsidR="00981CF8" w:rsidRPr="0038442F">
        <w:rPr>
          <w:rFonts w:ascii="Verdana" w:hAnsi="Verdana" w:cs="Arial"/>
          <w:sz w:val="20"/>
          <w:szCs w:val="20"/>
          <w:lang w:val="pt-BR"/>
        </w:rPr>
        <w:t xml:space="preserve">nternacional, </w:t>
      </w:r>
      <w:r w:rsidR="005B55A8" w:rsidRPr="0038442F">
        <w:rPr>
          <w:rFonts w:ascii="Verdana" w:hAnsi="Verdana" w:cs="Arial"/>
          <w:sz w:val="20"/>
          <w:szCs w:val="20"/>
          <w:lang w:val="pt-BR"/>
        </w:rPr>
        <w:t xml:space="preserve">o princípio </w:t>
      </w:r>
      <w:r w:rsidR="00981CF8" w:rsidRPr="0038442F">
        <w:rPr>
          <w:rFonts w:ascii="Verdana" w:hAnsi="Verdana" w:cs="Arial"/>
          <w:sz w:val="20"/>
          <w:szCs w:val="20"/>
          <w:lang w:val="pt-BR"/>
        </w:rPr>
        <w:t>fundamental d</w:t>
      </w:r>
      <w:r w:rsidR="00644B1B">
        <w:rPr>
          <w:rFonts w:ascii="Verdana" w:hAnsi="Verdana" w:cs="Arial"/>
          <w:sz w:val="20"/>
          <w:szCs w:val="20"/>
          <w:lang w:val="pt-BR"/>
        </w:rPr>
        <w:t>a</w:t>
      </w:r>
      <w:r w:rsidR="00981CF8" w:rsidRPr="0038442F">
        <w:rPr>
          <w:rFonts w:ascii="Verdana" w:hAnsi="Verdana" w:cs="Arial"/>
          <w:sz w:val="20"/>
          <w:szCs w:val="20"/>
          <w:lang w:val="pt-BR"/>
        </w:rPr>
        <w:t xml:space="preserve"> </w:t>
      </w:r>
      <w:r w:rsidR="009612FB" w:rsidRPr="0038442F">
        <w:rPr>
          <w:rFonts w:ascii="Verdana" w:hAnsi="Verdana" w:cs="Arial"/>
          <w:sz w:val="20"/>
          <w:szCs w:val="20"/>
          <w:lang w:val="pt-BR"/>
        </w:rPr>
        <w:t>igualdade</w:t>
      </w:r>
      <w:r w:rsidR="00407242" w:rsidRPr="0038442F">
        <w:rPr>
          <w:rFonts w:ascii="Verdana" w:hAnsi="Verdana" w:cs="Arial"/>
          <w:sz w:val="20"/>
          <w:szCs w:val="20"/>
          <w:lang w:val="pt-BR"/>
        </w:rPr>
        <w:t xml:space="preserve"> </w:t>
      </w:r>
      <w:r w:rsidR="005B55A8" w:rsidRPr="0038442F">
        <w:rPr>
          <w:rFonts w:ascii="Verdana" w:hAnsi="Verdana" w:cs="Arial"/>
          <w:sz w:val="20"/>
          <w:szCs w:val="20"/>
          <w:lang w:val="pt-BR"/>
        </w:rPr>
        <w:t>e não discriminação</w:t>
      </w:r>
      <w:r w:rsidR="00407242" w:rsidRPr="0038442F">
        <w:rPr>
          <w:rFonts w:ascii="Verdana" w:hAnsi="Verdana" w:cs="Arial"/>
          <w:sz w:val="20"/>
          <w:szCs w:val="20"/>
          <w:lang w:val="pt-BR"/>
        </w:rPr>
        <w:t xml:space="preserve"> </w:t>
      </w:r>
      <w:r w:rsidR="00981CF8" w:rsidRPr="0038442F">
        <w:rPr>
          <w:rFonts w:ascii="Verdana" w:hAnsi="Verdana" w:cs="Arial"/>
          <w:sz w:val="20"/>
          <w:szCs w:val="20"/>
          <w:lang w:val="pt-BR"/>
        </w:rPr>
        <w:t>ingres</w:t>
      </w:r>
      <w:r w:rsidR="00BD4A23" w:rsidRPr="0038442F">
        <w:rPr>
          <w:rFonts w:ascii="Verdana" w:hAnsi="Verdana" w:cs="Arial"/>
          <w:sz w:val="20"/>
          <w:szCs w:val="20"/>
          <w:lang w:val="pt-BR"/>
        </w:rPr>
        <w:t xml:space="preserve">sou no domínio do </w:t>
      </w:r>
      <w:r w:rsidR="00981CF8" w:rsidRPr="0038442F">
        <w:rPr>
          <w:rFonts w:ascii="Verdana" w:hAnsi="Verdana" w:cs="Arial"/>
          <w:i/>
          <w:sz w:val="20"/>
          <w:szCs w:val="20"/>
          <w:lang w:val="pt-BR"/>
        </w:rPr>
        <w:t xml:space="preserve">jus cogens. </w:t>
      </w:r>
      <w:r w:rsidR="00981CF8" w:rsidRPr="0038442F">
        <w:rPr>
          <w:rFonts w:ascii="Verdana" w:hAnsi="Verdana" w:cs="Arial"/>
          <w:sz w:val="20"/>
          <w:szCs w:val="20"/>
          <w:lang w:val="pt-BR"/>
        </w:rPr>
        <w:t xml:space="preserve">Sobre </w:t>
      </w:r>
      <w:r w:rsidR="00BD4A23" w:rsidRPr="0038442F">
        <w:rPr>
          <w:rFonts w:ascii="Verdana" w:hAnsi="Verdana" w:cs="Arial"/>
          <w:sz w:val="20"/>
          <w:szCs w:val="20"/>
          <w:lang w:val="pt-BR"/>
        </w:rPr>
        <w:t xml:space="preserve">ele reside o aparato </w:t>
      </w:r>
      <w:r w:rsidR="00981CF8" w:rsidRPr="0038442F">
        <w:rPr>
          <w:rFonts w:ascii="Verdana" w:hAnsi="Verdana" w:cs="Arial"/>
          <w:sz w:val="20"/>
          <w:szCs w:val="20"/>
          <w:lang w:val="pt-BR"/>
        </w:rPr>
        <w:t>jurídico d</w:t>
      </w:r>
      <w:r w:rsidR="00BD4A23" w:rsidRPr="0038442F">
        <w:rPr>
          <w:rFonts w:ascii="Verdana" w:hAnsi="Verdana" w:cs="Arial"/>
          <w:sz w:val="20"/>
          <w:szCs w:val="20"/>
          <w:lang w:val="pt-BR"/>
        </w:rPr>
        <w:t xml:space="preserve">o </w:t>
      </w:r>
      <w:r w:rsidR="00981CF8" w:rsidRPr="0038442F">
        <w:rPr>
          <w:rFonts w:ascii="Verdana" w:hAnsi="Verdana" w:cs="Arial"/>
          <w:sz w:val="20"/>
          <w:szCs w:val="20"/>
          <w:lang w:val="pt-BR"/>
        </w:rPr>
        <w:t>ordenamento jurídico</w:t>
      </w:r>
      <w:r w:rsidR="00BD4A23" w:rsidRPr="0038442F">
        <w:rPr>
          <w:rFonts w:ascii="Verdana" w:hAnsi="Verdana" w:cs="Arial"/>
          <w:sz w:val="20"/>
          <w:szCs w:val="20"/>
          <w:lang w:val="pt-BR"/>
        </w:rPr>
        <w:t>.</w:t>
      </w:r>
      <w:r w:rsidR="00981CF8" w:rsidRPr="0038442F">
        <w:rPr>
          <w:rStyle w:val="Refdenotaalpie"/>
          <w:rFonts w:ascii="Verdana" w:hAnsi="Verdana"/>
          <w:sz w:val="20"/>
          <w:szCs w:val="20"/>
          <w:lang w:val="pt-BR"/>
        </w:rPr>
        <w:footnoteReference w:id="140"/>
      </w:r>
      <w:r w:rsidR="00981CF8" w:rsidRPr="0038442F">
        <w:rPr>
          <w:rFonts w:ascii="Verdana" w:hAnsi="Verdana" w:cs="Arial"/>
          <w:b/>
          <w:sz w:val="20"/>
          <w:szCs w:val="20"/>
          <w:lang w:val="pt-BR"/>
        </w:rPr>
        <w:t xml:space="preserve"> </w:t>
      </w:r>
    </w:p>
    <w:p w14:paraId="0262AEF3" w14:textId="77777777" w:rsidR="00F7221D" w:rsidRPr="0038442F" w:rsidRDefault="00F7221D" w:rsidP="00A857CB">
      <w:pPr>
        <w:rPr>
          <w:rFonts w:ascii="Verdana" w:hAnsi="Verdana"/>
          <w:szCs w:val="20"/>
          <w:lang w:val="pt-BR"/>
        </w:rPr>
      </w:pPr>
    </w:p>
    <w:p w14:paraId="1EDE5B40" w14:textId="3C00483B" w:rsidR="003454B0" w:rsidRPr="0038442F" w:rsidRDefault="00EE4EC3" w:rsidP="00EE4EC3">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83.</w:t>
      </w:r>
      <w:r w:rsidRPr="0038442F">
        <w:rPr>
          <w:rFonts w:ascii="Verdana" w:hAnsi="Verdana" w:cs="Times New Roman"/>
          <w:sz w:val="20"/>
          <w:szCs w:val="20"/>
          <w:lang w:val="pt-BR"/>
        </w:rPr>
        <w:tab/>
      </w:r>
      <w:r w:rsidR="003454B0" w:rsidRPr="0038442F">
        <w:rPr>
          <w:rFonts w:ascii="Verdana" w:hAnsi="Verdana" w:cs="Times New Roman"/>
          <w:sz w:val="20"/>
          <w:szCs w:val="20"/>
          <w:lang w:val="pt-BR"/>
        </w:rPr>
        <w:t>Ao l</w:t>
      </w:r>
      <w:r w:rsidR="00BD4A23" w:rsidRPr="0038442F">
        <w:rPr>
          <w:rFonts w:ascii="Verdana" w:hAnsi="Verdana" w:cs="Times New Roman"/>
          <w:sz w:val="20"/>
          <w:szCs w:val="20"/>
          <w:lang w:val="pt-BR"/>
        </w:rPr>
        <w:t xml:space="preserve">ongo </w:t>
      </w:r>
      <w:r w:rsidR="003454B0" w:rsidRPr="0038442F">
        <w:rPr>
          <w:rFonts w:ascii="Verdana" w:hAnsi="Verdana" w:cs="Times New Roman"/>
          <w:sz w:val="20"/>
          <w:szCs w:val="20"/>
          <w:lang w:val="pt-BR"/>
        </w:rPr>
        <w:t>de s</w:t>
      </w:r>
      <w:r w:rsidR="00BD4A23" w:rsidRPr="0038442F">
        <w:rPr>
          <w:rFonts w:ascii="Verdana" w:hAnsi="Verdana" w:cs="Times New Roman"/>
          <w:sz w:val="20"/>
          <w:szCs w:val="20"/>
          <w:lang w:val="pt-BR"/>
        </w:rPr>
        <w:t>e</w:t>
      </w:r>
      <w:r w:rsidR="003454B0" w:rsidRPr="0038442F">
        <w:rPr>
          <w:rFonts w:ascii="Verdana" w:hAnsi="Verdana" w:cs="Times New Roman"/>
          <w:sz w:val="20"/>
          <w:szCs w:val="20"/>
          <w:lang w:val="pt-BR"/>
        </w:rPr>
        <w:t>u</w:t>
      </w:r>
      <w:r w:rsidR="001E23E2" w:rsidRPr="0038442F">
        <w:rPr>
          <w:rFonts w:ascii="Verdana" w:hAnsi="Verdana" w:cs="Times New Roman"/>
          <w:sz w:val="20"/>
          <w:szCs w:val="20"/>
          <w:lang w:val="pt-BR"/>
        </w:rPr>
        <w:t xml:space="preserve">s </w:t>
      </w:r>
      <w:r w:rsidR="00BD4A23" w:rsidRPr="0038442F">
        <w:rPr>
          <w:rFonts w:ascii="Verdana" w:hAnsi="Verdana" w:cs="Times New Roman"/>
          <w:sz w:val="20"/>
          <w:szCs w:val="20"/>
          <w:lang w:val="pt-BR"/>
        </w:rPr>
        <w:t xml:space="preserve">mais </w:t>
      </w:r>
      <w:r w:rsidR="001E23E2" w:rsidRPr="0038442F">
        <w:rPr>
          <w:rFonts w:ascii="Verdana" w:hAnsi="Verdana" w:cs="Times New Roman"/>
          <w:sz w:val="20"/>
          <w:szCs w:val="20"/>
          <w:lang w:val="pt-BR"/>
        </w:rPr>
        <w:t xml:space="preserve">de </w:t>
      </w:r>
      <w:r w:rsidR="00BD4A23" w:rsidRPr="0038442F">
        <w:rPr>
          <w:rFonts w:ascii="Verdana" w:hAnsi="Verdana" w:cs="Times New Roman"/>
          <w:sz w:val="20"/>
          <w:szCs w:val="20"/>
          <w:lang w:val="pt-BR"/>
        </w:rPr>
        <w:t>q</w:t>
      </w:r>
      <w:r w:rsidR="003454B0" w:rsidRPr="0038442F">
        <w:rPr>
          <w:rFonts w:ascii="Verdana" w:hAnsi="Verdana" w:cs="Times New Roman"/>
          <w:sz w:val="20"/>
          <w:szCs w:val="20"/>
          <w:lang w:val="pt-BR"/>
        </w:rPr>
        <w:t xml:space="preserve">uarenta </w:t>
      </w:r>
      <w:r w:rsidR="00BD4A23" w:rsidRPr="0038442F">
        <w:rPr>
          <w:rFonts w:ascii="Verdana" w:hAnsi="Verdana" w:cs="Times New Roman"/>
          <w:sz w:val="20"/>
          <w:szCs w:val="20"/>
          <w:lang w:val="pt-BR"/>
        </w:rPr>
        <w:t xml:space="preserve">anos </w:t>
      </w:r>
      <w:r w:rsidR="001E23E2" w:rsidRPr="0038442F">
        <w:rPr>
          <w:rFonts w:ascii="Verdana" w:hAnsi="Verdana" w:cs="Times New Roman"/>
          <w:sz w:val="20"/>
          <w:szCs w:val="20"/>
          <w:lang w:val="pt-BR"/>
        </w:rPr>
        <w:t xml:space="preserve">de </w:t>
      </w:r>
      <w:r w:rsidR="00246A73" w:rsidRPr="0038442F">
        <w:rPr>
          <w:rFonts w:ascii="Verdana" w:hAnsi="Verdana" w:cs="Times New Roman"/>
          <w:sz w:val="20"/>
          <w:szCs w:val="20"/>
          <w:lang w:val="pt-BR"/>
        </w:rPr>
        <w:t>existência</w:t>
      </w:r>
      <w:r w:rsidR="001E23E2" w:rsidRPr="0038442F">
        <w:rPr>
          <w:rFonts w:ascii="Verdana" w:hAnsi="Verdana" w:cs="Times New Roman"/>
          <w:sz w:val="20"/>
          <w:szCs w:val="20"/>
          <w:lang w:val="pt-BR"/>
        </w:rPr>
        <w:t xml:space="preserve">, </w:t>
      </w:r>
      <w:r w:rsidR="008806F8" w:rsidRPr="0038442F">
        <w:rPr>
          <w:rFonts w:ascii="Verdana" w:hAnsi="Verdana" w:cs="Times New Roman"/>
          <w:sz w:val="20"/>
          <w:szCs w:val="20"/>
          <w:lang w:val="pt-BR"/>
        </w:rPr>
        <w:t xml:space="preserve">a Corte </w:t>
      </w:r>
      <w:r w:rsidR="00223C29" w:rsidRPr="0038442F">
        <w:rPr>
          <w:rFonts w:ascii="Verdana" w:hAnsi="Verdana" w:cs="Times New Roman"/>
          <w:sz w:val="20"/>
          <w:szCs w:val="20"/>
          <w:lang w:val="pt-BR"/>
        </w:rPr>
        <w:t xml:space="preserve">IDH </w:t>
      </w:r>
      <w:r w:rsidR="00BD4A23" w:rsidRPr="0038442F">
        <w:rPr>
          <w:rFonts w:ascii="Verdana" w:hAnsi="Verdana" w:cs="Times New Roman"/>
          <w:sz w:val="20"/>
          <w:szCs w:val="20"/>
          <w:lang w:val="pt-BR"/>
        </w:rPr>
        <w:t xml:space="preserve">foi aperfeiçoando e </w:t>
      </w:r>
      <w:r w:rsidR="003454B0" w:rsidRPr="0038442F">
        <w:rPr>
          <w:rFonts w:ascii="Verdana" w:hAnsi="Verdana" w:cs="Times New Roman"/>
          <w:sz w:val="20"/>
          <w:szCs w:val="20"/>
          <w:lang w:val="pt-BR"/>
        </w:rPr>
        <w:t>aplica</w:t>
      </w:r>
      <w:r w:rsidR="00247E1C" w:rsidRPr="0038442F">
        <w:rPr>
          <w:rFonts w:ascii="Verdana" w:hAnsi="Verdana" w:cs="Times New Roman"/>
          <w:sz w:val="20"/>
          <w:szCs w:val="20"/>
          <w:lang w:val="pt-BR"/>
        </w:rPr>
        <w:t>n</w:t>
      </w:r>
      <w:r w:rsidR="003454B0" w:rsidRPr="0038442F">
        <w:rPr>
          <w:rFonts w:ascii="Verdana" w:hAnsi="Verdana" w:cs="Times New Roman"/>
          <w:sz w:val="20"/>
          <w:szCs w:val="20"/>
          <w:lang w:val="pt-BR"/>
        </w:rPr>
        <w:t>do</w:t>
      </w:r>
      <w:r w:rsidR="00DC731D" w:rsidRPr="0038442F">
        <w:rPr>
          <w:rFonts w:ascii="Verdana" w:hAnsi="Verdana" w:cs="Times New Roman"/>
          <w:sz w:val="20"/>
          <w:szCs w:val="20"/>
          <w:lang w:val="pt-BR"/>
        </w:rPr>
        <w:t>,</w:t>
      </w:r>
      <w:r w:rsidR="003454B0" w:rsidRPr="0038442F">
        <w:rPr>
          <w:rFonts w:ascii="Verdana" w:hAnsi="Verdana" w:cs="Times New Roman"/>
          <w:sz w:val="20"/>
          <w:szCs w:val="20"/>
          <w:lang w:val="pt-BR"/>
        </w:rPr>
        <w:t xml:space="preserve"> de </w:t>
      </w:r>
      <w:r w:rsidR="006A12FD" w:rsidRPr="0038442F">
        <w:rPr>
          <w:rFonts w:ascii="Verdana" w:hAnsi="Verdana" w:cs="Times New Roman"/>
          <w:sz w:val="20"/>
          <w:szCs w:val="20"/>
          <w:lang w:val="pt-BR"/>
        </w:rPr>
        <w:t xml:space="preserve">maneira </w:t>
      </w:r>
      <w:r w:rsidR="003454B0" w:rsidRPr="0038442F">
        <w:rPr>
          <w:rFonts w:ascii="Verdana" w:hAnsi="Verdana" w:cs="Times New Roman"/>
          <w:sz w:val="20"/>
          <w:szCs w:val="20"/>
          <w:lang w:val="pt-BR"/>
        </w:rPr>
        <w:t>concreta</w:t>
      </w:r>
      <w:r w:rsidR="00DC731D" w:rsidRPr="0038442F">
        <w:rPr>
          <w:rFonts w:ascii="Verdana" w:hAnsi="Verdana" w:cs="Times New Roman"/>
          <w:sz w:val="20"/>
          <w:szCs w:val="20"/>
          <w:lang w:val="pt-BR"/>
        </w:rPr>
        <w:t>,</w:t>
      </w:r>
      <w:r w:rsidR="003454B0" w:rsidRPr="0038442F">
        <w:rPr>
          <w:rFonts w:ascii="Verdana" w:hAnsi="Verdana" w:cs="Times New Roman"/>
          <w:sz w:val="20"/>
          <w:szCs w:val="20"/>
          <w:lang w:val="pt-BR"/>
        </w:rPr>
        <w:t xml:space="preserve"> </w:t>
      </w:r>
      <w:r w:rsidR="00BD4A23" w:rsidRPr="0038442F">
        <w:rPr>
          <w:rFonts w:ascii="Verdana" w:hAnsi="Verdana" w:cs="Times New Roman"/>
          <w:sz w:val="20"/>
          <w:szCs w:val="20"/>
          <w:lang w:val="pt-BR"/>
        </w:rPr>
        <w:t xml:space="preserve">as normas sobre o direito à </w:t>
      </w:r>
      <w:r w:rsidR="009612FB" w:rsidRPr="0038442F">
        <w:rPr>
          <w:rFonts w:ascii="Verdana" w:hAnsi="Verdana" w:cs="Times New Roman"/>
          <w:sz w:val="20"/>
          <w:szCs w:val="20"/>
          <w:lang w:val="pt-BR"/>
        </w:rPr>
        <w:t>igualdade</w:t>
      </w:r>
      <w:r w:rsidR="00407242" w:rsidRPr="0038442F">
        <w:rPr>
          <w:rFonts w:ascii="Verdana" w:hAnsi="Verdana" w:cs="Times New Roman"/>
          <w:sz w:val="20"/>
          <w:szCs w:val="20"/>
          <w:lang w:val="pt-BR"/>
        </w:rPr>
        <w:t xml:space="preserve"> </w:t>
      </w:r>
      <w:r w:rsidR="00BD4A23" w:rsidRPr="0038442F">
        <w:rPr>
          <w:rFonts w:ascii="Verdana" w:hAnsi="Verdana" w:cs="Times New Roman"/>
          <w:sz w:val="20"/>
          <w:szCs w:val="20"/>
          <w:lang w:val="pt-BR"/>
        </w:rPr>
        <w:t xml:space="preserve">e à </w:t>
      </w:r>
      <w:r w:rsidR="005B55A8" w:rsidRPr="0038442F">
        <w:rPr>
          <w:rFonts w:ascii="Verdana" w:hAnsi="Verdana" w:cs="Times New Roman"/>
          <w:sz w:val="20"/>
          <w:szCs w:val="20"/>
          <w:lang w:val="pt-BR"/>
        </w:rPr>
        <w:t>não discriminação</w:t>
      </w:r>
      <w:r w:rsidR="003454B0" w:rsidRPr="0038442F">
        <w:rPr>
          <w:rFonts w:ascii="Verdana" w:hAnsi="Verdana" w:cs="Times New Roman"/>
          <w:sz w:val="20"/>
          <w:szCs w:val="20"/>
          <w:lang w:val="pt-BR"/>
        </w:rPr>
        <w:t xml:space="preserve">. </w:t>
      </w:r>
      <w:r w:rsidR="00247F19" w:rsidRPr="0038442F">
        <w:rPr>
          <w:rFonts w:ascii="Verdana" w:hAnsi="Verdana" w:cs="Times New Roman"/>
          <w:sz w:val="20"/>
          <w:szCs w:val="20"/>
          <w:lang w:val="pt-BR"/>
        </w:rPr>
        <w:t xml:space="preserve">Nesse sentido, podemos destacar três cenários jurisprudenciais nos quais a Corte IDH aplicou os artigos 1.1 e 24: i) de 1984 até o ano 2007, que </w:t>
      </w:r>
      <w:r w:rsidR="00523AD5" w:rsidRPr="0038442F">
        <w:rPr>
          <w:rFonts w:ascii="Verdana" w:hAnsi="Verdana" w:cs="Times New Roman"/>
          <w:sz w:val="20"/>
          <w:szCs w:val="20"/>
          <w:lang w:val="pt-BR"/>
        </w:rPr>
        <w:t>cor</w:t>
      </w:r>
      <w:r w:rsidR="00247F19" w:rsidRPr="0038442F">
        <w:rPr>
          <w:rFonts w:ascii="Verdana" w:hAnsi="Verdana" w:cs="Times New Roman"/>
          <w:sz w:val="20"/>
          <w:szCs w:val="20"/>
          <w:lang w:val="pt-BR"/>
        </w:rPr>
        <w:t xml:space="preserve">responde a uma aplicação casuística dos fatos; ii) a partir do caso </w:t>
      </w:r>
      <w:r w:rsidR="00247F19" w:rsidRPr="0038442F">
        <w:rPr>
          <w:rFonts w:ascii="Verdana" w:hAnsi="Verdana" w:cs="Times New Roman"/>
          <w:i/>
          <w:iCs/>
          <w:sz w:val="20"/>
          <w:szCs w:val="20"/>
          <w:lang w:val="pt-BR"/>
        </w:rPr>
        <w:t xml:space="preserve">Apitz Barbera e outros Vs. Venezuela </w:t>
      </w:r>
      <w:r w:rsidR="00247F19" w:rsidRPr="0038442F">
        <w:rPr>
          <w:rFonts w:ascii="Verdana" w:hAnsi="Verdana" w:cs="Times New Roman"/>
          <w:sz w:val="20"/>
          <w:szCs w:val="20"/>
          <w:lang w:val="pt-BR"/>
        </w:rPr>
        <w:t xml:space="preserve">(2008), que </w:t>
      </w:r>
      <w:r w:rsidR="00523AD5" w:rsidRPr="0038442F">
        <w:rPr>
          <w:rFonts w:ascii="Verdana" w:hAnsi="Verdana" w:cs="Times New Roman"/>
          <w:sz w:val="20"/>
          <w:szCs w:val="20"/>
          <w:lang w:val="pt-BR"/>
        </w:rPr>
        <w:t>cor</w:t>
      </w:r>
      <w:r w:rsidR="00247F19" w:rsidRPr="0038442F">
        <w:rPr>
          <w:rFonts w:ascii="Verdana" w:hAnsi="Verdana" w:cs="Times New Roman"/>
          <w:sz w:val="20"/>
          <w:szCs w:val="20"/>
          <w:lang w:val="pt-BR"/>
        </w:rPr>
        <w:t>responde ao estabelecimento de uma possível distinção d</w:t>
      </w:r>
      <w:r w:rsidR="00644B1B">
        <w:rPr>
          <w:rFonts w:ascii="Verdana" w:hAnsi="Verdana" w:cs="Times New Roman"/>
          <w:sz w:val="20"/>
          <w:szCs w:val="20"/>
          <w:lang w:val="pt-BR"/>
        </w:rPr>
        <w:t>a</w:t>
      </w:r>
      <w:r w:rsidR="00247F19" w:rsidRPr="0038442F">
        <w:rPr>
          <w:rFonts w:ascii="Verdana" w:hAnsi="Verdana" w:cs="Times New Roman"/>
          <w:sz w:val="20"/>
          <w:szCs w:val="20"/>
          <w:lang w:val="pt-BR"/>
        </w:rPr>
        <w:t xml:space="preserve"> aplicação dos artigos 1.1 e 24 da CADH; e iii) algumas hipóteses excepcionais em que, em decorrência das circunstâncias dos fatos do caso, a aplicação dos artigos 1.1 e 24 não justifica uma distinção. </w:t>
      </w:r>
    </w:p>
    <w:p w14:paraId="535F57DB" w14:textId="77777777" w:rsidR="00C30C92" w:rsidRPr="0038442F" w:rsidRDefault="00C30C92" w:rsidP="00A857CB">
      <w:pPr>
        <w:jc w:val="both"/>
        <w:rPr>
          <w:rFonts w:ascii="Verdana" w:hAnsi="Verdana"/>
          <w:sz w:val="20"/>
          <w:szCs w:val="20"/>
          <w:lang w:val="pt-BR"/>
        </w:rPr>
      </w:pPr>
    </w:p>
    <w:p w14:paraId="0BBA407B" w14:textId="4A89C2D7" w:rsidR="00F83D8F" w:rsidRPr="0038442F" w:rsidRDefault="008D19D5" w:rsidP="00A857CB">
      <w:pPr>
        <w:ind w:firstLine="708"/>
        <w:jc w:val="both"/>
        <w:rPr>
          <w:rFonts w:ascii="Verdana" w:hAnsi="Verdana"/>
          <w:b/>
          <w:bCs/>
          <w:iCs/>
          <w:sz w:val="20"/>
          <w:szCs w:val="20"/>
          <w:lang w:val="pt-BR"/>
        </w:rPr>
      </w:pPr>
      <w:r w:rsidRPr="0038442F">
        <w:rPr>
          <w:rFonts w:ascii="Verdana" w:hAnsi="Verdana"/>
          <w:b/>
          <w:bCs/>
          <w:iCs/>
          <w:sz w:val="20"/>
          <w:szCs w:val="20"/>
          <w:lang w:val="pt-BR"/>
        </w:rPr>
        <w:t>B</w:t>
      </w:r>
      <w:r w:rsidR="00F83D8F" w:rsidRPr="0038442F">
        <w:rPr>
          <w:rFonts w:ascii="Verdana" w:hAnsi="Verdana"/>
          <w:b/>
          <w:bCs/>
          <w:iCs/>
          <w:sz w:val="20"/>
          <w:szCs w:val="20"/>
          <w:lang w:val="pt-BR"/>
        </w:rPr>
        <w:t xml:space="preserve">.1.i) </w:t>
      </w:r>
      <w:r w:rsidR="009F7B78" w:rsidRPr="0038442F">
        <w:rPr>
          <w:rFonts w:ascii="Verdana" w:hAnsi="Verdana"/>
          <w:b/>
          <w:bCs/>
          <w:iCs/>
          <w:sz w:val="20"/>
          <w:szCs w:val="20"/>
          <w:lang w:val="pt-BR"/>
        </w:rPr>
        <w:t>D</w:t>
      </w:r>
      <w:r w:rsidR="00BD4A23" w:rsidRPr="0038442F">
        <w:rPr>
          <w:rFonts w:ascii="Verdana" w:hAnsi="Verdana"/>
          <w:b/>
          <w:bCs/>
          <w:iCs/>
          <w:sz w:val="20"/>
          <w:szCs w:val="20"/>
          <w:lang w:val="pt-BR"/>
        </w:rPr>
        <w:t>o Parecer</w:t>
      </w:r>
      <w:r w:rsidR="009F7B78" w:rsidRPr="0038442F">
        <w:rPr>
          <w:rFonts w:ascii="Verdana" w:hAnsi="Verdana"/>
          <w:b/>
          <w:bCs/>
          <w:iCs/>
          <w:sz w:val="20"/>
          <w:szCs w:val="20"/>
          <w:lang w:val="pt-BR"/>
        </w:rPr>
        <w:t xml:space="preserve"> Consultiv</w:t>
      </w:r>
      <w:r w:rsidR="00BD4A23" w:rsidRPr="0038442F">
        <w:rPr>
          <w:rFonts w:ascii="Verdana" w:hAnsi="Verdana"/>
          <w:b/>
          <w:bCs/>
          <w:iCs/>
          <w:sz w:val="20"/>
          <w:szCs w:val="20"/>
          <w:lang w:val="pt-BR"/>
        </w:rPr>
        <w:t>o</w:t>
      </w:r>
      <w:r w:rsidR="009F7B78" w:rsidRPr="0038442F">
        <w:rPr>
          <w:rFonts w:ascii="Verdana" w:hAnsi="Verdana"/>
          <w:b/>
          <w:bCs/>
          <w:iCs/>
          <w:sz w:val="20"/>
          <w:szCs w:val="20"/>
          <w:lang w:val="pt-BR"/>
        </w:rPr>
        <w:t xml:space="preserve"> N</w:t>
      </w:r>
      <w:r w:rsidR="009F7B78" w:rsidRPr="0038442F">
        <w:rPr>
          <w:rFonts w:ascii="Verdana" w:hAnsi="Verdana"/>
          <w:b/>
          <w:bCs/>
          <w:iCs/>
          <w:sz w:val="20"/>
          <w:szCs w:val="20"/>
          <w:vertAlign w:val="superscript"/>
          <w:lang w:val="pt-BR"/>
        </w:rPr>
        <w:t>o.</w:t>
      </w:r>
      <w:r w:rsidR="009F7B78" w:rsidRPr="0038442F">
        <w:rPr>
          <w:rFonts w:ascii="Verdana" w:hAnsi="Verdana"/>
          <w:b/>
          <w:bCs/>
          <w:iCs/>
          <w:sz w:val="20"/>
          <w:szCs w:val="20"/>
          <w:lang w:val="pt-BR"/>
        </w:rPr>
        <w:t xml:space="preserve"> 4 (</w:t>
      </w:r>
      <w:r w:rsidR="00223C29" w:rsidRPr="0038442F">
        <w:rPr>
          <w:rFonts w:ascii="Verdana" w:hAnsi="Verdana"/>
          <w:b/>
          <w:bCs/>
          <w:iCs/>
          <w:sz w:val="20"/>
          <w:szCs w:val="20"/>
          <w:lang w:val="pt-BR"/>
        </w:rPr>
        <w:t>1984</w:t>
      </w:r>
      <w:r w:rsidR="009F7B78" w:rsidRPr="0038442F">
        <w:rPr>
          <w:rFonts w:ascii="Verdana" w:hAnsi="Verdana"/>
          <w:b/>
          <w:bCs/>
          <w:iCs/>
          <w:sz w:val="20"/>
          <w:szCs w:val="20"/>
          <w:lang w:val="pt-BR"/>
        </w:rPr>
        <w:t xml:space="preserve">) </w:t>
      </w:r>
      <w:r w:rsidR="00BD4A23" w:rsidRPr="0038442F">
        <w:rPr>
          <w:rFonts w:ascii="Verdana" w:hAnsi="Verdana"/>
          <w:b/>
          <w:bCs/>
          <w:iCs/>
          <w:sz w:val="20"/>
          <w:szCs w:val="20"/>
          <w:lang w:val="pt-BR"/>
        </w:rPr>
        <w:t xml:space="preserve">ao </w:t>
      </w:r>
      <w:r w:rsidR="00BD4A23" w:rsidRPr="0038442F">
        <w:rPr>
          <w:rFonts w:ascii="Verdana" w:hAnsi="Verdana"/>
          <w:b/>
          <w:bCs/>
          <w:i/>
          <w:iCs/>
          <w:sz w:val="20"/>
          <w:szCs w:val="20"/>
          <w:lang w:val="pt-BR"/>
        </w:rPr>
        <w:t>Caso</w:t>
      </w:r>
      <w:r w:rsidR="00BD4A23" w:rsidRPr="0038442F">
        <w:rPr>
          <w:rFonts w:ascii="Verdana" w:hAnsi="Verdana"/>
          <w:b/>
          <w:bCs/>
          <w:iCs/>
          <w:sz w:val="20"/>
          <w:szCs w:val="20"/>
          <w:lang w:val="pt-BR"/>
        </w:rPr>
        <w:t xml:space="preserve"> </w:t>
      </w:r>
      <w:r w:rsidR="009F7B78" w:rsidRPr="0038442F">
        <w:rPr>
          <w:rFonts w:ascii="Verdana" w:hAnsi="Verdana"/>
          <w:b/>
          <w:bCs/>
          <w:i/>
          <w:iCs/>
          <w:sz w:val="20"/>
          <w:szCs w:val="20"/>
          <w:lang w:val="pt-BR"/>
        </w:rPr>
        <w:t>Saramaka Vs. Surinam</w:t>
      </w:r>
      <w:r w:rsidR="00BD4A23" w:rsidRPr="0038442F">
        <w:rPr>
          <w:rFonts w:ascii="Verdana" w:hAnsi="Verdana"/>
          <w:b/>
          <w:bCs/>
          <w:i/>
          <w:iCs/>
          <w:sz w:val="20"/>
          <w:szCs w:val="20"/>
          <w:lang w:val="pt-BR"/>
        </w:rPr>
        <w:t>e</w:t>
      </w:r>
      <w:r w:rsidR="00223C29" w:rsidRPr="0038442F">
        <w:rPr>
          <w:rFonts w:ascii="Verdana" w:hAnsi="Verdana"/>
          <w:b/>
          <w:bCs/>
          <w:iCs/>
          <w:sz w:val="20"/>
          <w:szCs w:val="20"/>
          <w:lang w:val="pt-BR"/>
        </w:rPr>
        <w:t xml:space="preserve"> (2007)</w:t>
      </w:r>
    </w:p>
    <w:p w14:paraId="034872F3" w14:textId="77777777" w:rsidR="00F83D8F" w:rsidRPr="0038442F" w:rsidRDefault="00F83D8F" w:rsidP="00A857CB">
      <w:pPr>
        <w:jc w:val="both"/>
        <w:rPr>
          <w:rFonts w:ascii="Verdana" w:hAnsi="Verdana"/>
          <w:i/>
          <w:iCs/>
          <w:sz w:val="20"/>
          <w:szCs w:val="20"/>
          <w:lang w:val="pt-BR"/>
        </w:rPr>
      </w:pPr>
    </w:p>
    <w:p w14:paraId="0D6E739A" w14:textId="3246339F" w:rsidR="00223C29" w:rsidRPr="0038442F" w:rsidRDefault="00EE4EC3" w:rsidP="00EE4EC3">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84. </w:t>
      </w:r>
      <w:r w:rsidRPr="0038442F">
        <w:rPr>
          <w:rFonts w:ascii="Verdana" w:hAnsi="Verdana"/>
          <w:sz w:val="20"/>
          <w:szCs w:val="20"/>
          <w:lang w:val="pt-BR"/>
        </w:rPr>
        <w:tab/>
      </w:r>
      <w:r w:rsidR="00BD4A23" w:rsidRPr="0038442F">
        <w:rPr>
          <w:rFonts w:ascii="Verdana" w:hAnsi="Verdana"/>
          <w:sz w:val="20"/>
          <w:szCs w:val="20"/>
          <w:lang w:val="pt-BR"/>
        </w:rPr>
        <w:t xml:space="preserve">A </w:t>
      </w:r>
      <w:r w:rsidR="00CA30C5" w:rsidRPr="0038442F">
        <w:rPr>
          <w:rFonts w:ascii="Verdana" w:hAnsi="Verdana"/>
          <w:sz w:val="20"/>
          <w:szCs w:val="20"/>
          <w:lang w:val="pt-BR"/>
        </w:rPr>
        <w:t xml:space="preserve">primeira </w:t>
      </w:r>
      <w:r w:rsidR="006445EE" w:rsidRPr="0038442F">
        <w:rPr>
          <w:rFonts w:ascii="Verdana" w:hAnsi="Verdana"/>
          <w:sz w:val="20"/>
          <w:szCs w:val="20"/>
          <w:lang w:val="pt-BR"/>
        </w:rPr>
        <w:t xml:space="preserve">ocasião </w:t>
      </w:r>
      <w:r w:rsidR="00934300" w:rsidRPr="0038442F">
        <w:rPr>
          <w:rFonts w:ascii="Verdana" w:hAnsi="Verdana"/>
          <w:sz w:val="20"/>
          <w:szCs w:val="20"/>
          <w:lang w:val="pt-BR"/>
        </w:rPr>
        <w:t xml:space="preserve">em </w:t>
      </w:r>
      <w:r w:rsidR="00223C29" w:rsidRPr="0038442F">
        <w:rPr>
          <w:rFonts w:ascii="Verdana" w:hAnsi="Verdana"/>
          <w:sz w:val="20"/>
          <w:szCs w:val="20"/>
          <w:lang w:val="pt-BR"/>
        </w:rPr>
        <w:t xml:space="preserve">que </w:t>
      </w:r>
      <w:r w:rsidR="00BD4A23" w:rsidRPr="0038442F">
        <w:rPr>
          <w:rFonts w:ascii="Verdana" w:hAnsi="Verdana"/>
          <w:sz w:val="20"/>
          <w:szCs w:val="20"/>
          <w:lang w:val="pt-BR"/>
        </w:rPr>
        <w:t xml:space="preserve">o </w:t>
      </w:r>
      <w:r w:rsidR="00223C29" w:rsidRPr="0038442F">
        <w:rPr>
          <w:rFonts w:ascii="Verdana" w:hAnsi="Verdana"/>
          <w:sz w:val="20"/>
          <w:szCs w:val="20"/>
          <w:lang w:val="pt-BR"/>
        </w:rPr>
        <w:t>Tribunal Interamericano t</w:t>
      </w:r>
      <w:r w:rsidR="00934300" w:rsidRPr="0038442F">
        <w:rPr>
          <w:rFonts w:ascii="Verdana" w:hAnsi="Verdana"/>
          <w:sz w:val="20"/>
          <w:szCs w:val="20"/>
          <w:lang w:val="pt-BR"/>
        </w:rPr>
        <w:t xml:space="preserve">eve </w:t>
      </w:r>
      <w:r w:rsidR="00223C29" w:rsidRPr="0038442F">
        <w:rPr>
          <w:rFonts w:ascii="Verdana" w:hAnsi="Verdana"/>
          <w:sz w:val="20"/>
          <w:szCs w:val="20"/>
          <w:lang w:val="pt-BR"/>
        </w:rPr>
        <w:t xml:space="preserve">a </w:t>
      </w:r>
      <w:r w:rsidR="00CA30C5" w:rsidRPr="0038442F">
        <w:rPr>
          <w:rFonts w:ascii="Verdana" w:hAnsi="Verdana"/>
          <w:sz w:val="20"/>
          <w:szCs w:val="20"/>
          <w:lang w:val="pt-BR"/>
        </w:rPr>
        <w:t>oportunidade</w:t>
      </w:r>
      <w:r w:rsidR="00407242" w:rsidRPr="0038442F">
        <w:rPr>
          <w:rFonts w:ascii="Verdana" w:hAnsi="Verdana"/>
          <w:sz w:val="20"/>
          <w:szCs w:val="20"/>
          <w:lang w:val="pt-BR"/>
        </w:rPr>
        <w:t xml:space="preserve"> </w:t>
      </w:r>
      <w:r w:rsidR="00223C29" w:rsidRPr="0038442F">
        <w:rPr>
          <w:rFonts w:ascii="Verdana" w:hAnsi="Verdana"/>
          <w:sz w:val="20"/>
          <w:szCs w:val="20"/>
          <w:lang w:val="pt-BR"/>
        </w:rPr>
        <w:t xml:space="preserve">de </w:t>
      </w:r>
      <w:r w:rsidR="0067204A" w:rsidRPr="0038442F">
        <w:rPr>
          <w:rFonts w:ascii="Verdana" w:hAnsi="Verdana"/>
          <w:sz w:val="20"/>
          <w:szCs w:val="20"/>
          <w:lang w:val="pt-BR"/>
        </w:rPr>
        <w:t>analisar</w:t>
      </w:r>
      <w:r w:rsidR="00223C29" w:rsidRPr="0038442F">
        <w:rPr>
          <w:rFonts w:ascii="Verdana" w:hAnsi="Verdana"/>
          <w:sz w:val="20"/>
          <w:szCs w:val="20"/>
          <w:lang w:val="pt-BR"/>
        </w:rPr>
        <w:t xml:space="preserve"> </w:t>
      </w:r>
      <w:r w:rsidR="00934300" w:rsidRPr="0038442F">
        <w:rPr>
          <w:rFonts w:ascii="Verdana" w:hAnsi="Verdana"/>
          <w:sz w:val="20"/>
          <w:szCs w:val="20"/>
          <w:lang w:val="pt-BR"/>
        </w:rPr>
        <w:t xml:space="preserve">o conteúdo </w:t>
      </w:r>
      <w:r w:rsidR="00751189" w:rsidRPr="0038442F">
        <w:rPr>
          <w:rFonts w:ascii="Verdana" w:hAnsi="Verdana"/>
          <w:sz w:val="20"/>
          <w:szCs w:val="20"/>
          <w:lang w:val="pt-BR"/>
        </w:rPr>
        <w:t>do</w:t>
      </w:r>
      <w:r w:rsidR="0067204A" w:rsidRPr="0038442F">
        <w:rPr>
          <w:rFonts w:ascii="Verdana" w:hAnsi="Verdana"/>
          <w:sz w:val="20"/>
          <w:szCs w:val="20"/>
          <w:lang w:val="pt-BR"/>
        </w:rPr>
        <w:t>s</w:t>
      </w:r>
      <w:r w:rsidR="00751189" w:rsidRPr="0038442F">
        <w:rPr>
          <w:rFonts w:ascii="Verdana" w:hAnsi="Verdana"/>
          <w:sz w:val="20"/>
          <w:szCs w:val="20"/>
          <w:lang w:val="pt-BR"/>
        </w:rPr>
        <w:t xml:space="preserve"> artigo</w:t>
      </w:r>
      <w:r w:rsidR="0067204A" w:rsidRPr="0038442F">
        <w:rPr>
          <w:rFonts w:ascii="Verdana" w:hAnsi="Verdana"/>
          <w:sz w:val="20"/>
          <w:szCs w:val="20"/>
          <w:lang w:val="pt-BR"/>
        </w:rPr>
        <w:t>s</w:t>
      </w:r>
      <w:r w:rsidR="00751189" w:rsidRPr="0038442F">
        <w:rPr>
          <w:rFonts w:ascii="Verdana" w:hAnsi="Verdana"/>
          <w:sz w:val="20"/>
          <w:szCs w:val="20"/>
          <w:lang w:val="pt-BR"/>
        </w:rPr>
        <w:t xml:space="preserve"> </w:t>
      </w:r>
      <w:r w:rsidR="00223C29" w:rsidRPr="0038442F">
        <w:rPr>
          <w:rFonts w:ascii="Verdana" w:hAnsi="Verdana"/>
          <w:sz w:val="20"/>
          <w:szCs w:val="20"/>
          <w:lang w:val="pt-BR"/>
        </w:rPr>
        <w:t xml:space="preserve">1.1 </w:t>
      </w:r>
      <w:r w:rsidR="00934300" w:rsidRPr="0038442F">
        <w:rPr>
          <w:rFonts w:ascii="Verdana" w:hAnsi="Verdana"/>
          <w:sz w:val="20"/>
          <w:szCs w:val="20"/>
          <w:lang w:val="pt-BR"/>
        </w:rPr>
        <w:t>e</w:t>
      </w:r>
      <w:r w:rsidR="00223C29" w:rsidRPr="0038442F">
        <w:rPr>
          <w:rFonts w:ascii="Verdana" w:hAnsi="Verdana"/>
          <w:sz w:val="20"/>
          <w:szCs w:val="20"/>
          <w:lang w:val="pt-BR"/>
        </w:rPr>
        <w:t xml:space="preserve"> 24 f</w:t>
      </w:r>
      <w:r w:rsidR="00934300" w:rsidRPr="0038442F">
        <w:rPr>
          <w:rFonts w:ascii="Verdana" w:hAnsi="Verdana"/>
          <w:sz w:val="20"/>
          <w:szCs w:val="20"/>
          <w:lang w:val="pt-BR"/>
        </w:rPr>
        <w:t xml:space="preserve">oi no ano </w:t>
      </w:r>
      <w:r w:rsidR="00223C29" w:rsidRPr="0038442F">
        <w:rPr>
          <w:rFonts w:ascii="Verdana" w:hAnsi="Verdana"/>
          <w:sz w:val="20"/>
          <w:szCs w:val="20"/>
          <w:lang w:val="pt-BR"/>
        </w:rPr>
        <w:t>de 1984</w:t>
      </w:r>
      <w:r w:rsidR="00781273" w:rsidRPr="0038442F">
        <w:rPr>
          <w:rFonts w:ascii="Verdana" w:hAnsi="Verdana"/>
          <w:sz w:val="20"/>
          <w:szCs w:val="20"/>
          <w:lang w:val="pt-BR"/>
        </w:rPr>
        <w:t>;</w:t>
      </w:r>
      <w:r w:rsidR="00223C29" w:rsidRPr="0038442F">
        <w:rPr>
          <w:rFonts w:ascii="Verdana" w:hAnsi="Verdana"/>
          <w:sz w:val="20"/>
          <w:szCs w:val="20"/>
          <w:lang w:val="pt-BR"/>
        </w:rPr>
        <w:t xml:space="preserve"> </w:t>
      </w:r>
      <w:r w:rsidR="00BF7A10" w:rsidRPr="0038442F">
        <w:rPr>
          <w:rFonts w:ascii="Verdana" w:hAnsi="Verdana"/>
          <w:sz w:val="20"/>
          <w:szCs w:val="20"/>
          <w:lang w:val="pt-BR"/>
        </w:rPr>
        <w:t>n</w:t>
      </w:r>
      <w:r w:rsidR="00934300" w:rsidRPr="0038442F">
        <w:rPr>
          <w:rFonts w:ascii="Verdana" w:hAnsi="Verdana"/>
          <w:sz w:val="20"/>
          <w:szCs w:val="20"/>
          <w:lang w:val="pt-BR"/>
        </w:rPr>
        <w:t>o</w:t>
      </w:r>
      <w:r w:rsidR="00BF7A10" w:rsidRPr="0038442F">
        <w:rPr>
          <w:rFonts w:ascii="Verdana" w:hAnsi="Verdana"/>
          <w:sz w:val="20"/>
          <w:szCs w:val="20"/>
          <w:lang w:val="pt-BR"/>
        </w:rPr>
        <w:t xml:space="preserve"> </w:t>
      </w:r>
      <w:r w:rsidR="00934300" w:rsidRPr="0038442F">
        <w:rPr>
          <w:rFonts w:ascii="Verdana" w:hAnsi="Verdana"/>
          <w:sz w:val="20"/>
          <w:szCs w:val="20"/>
          <w:lang w:val="pt-BR"/>
        </w:rPr>
        <w:t xml:space="preserve">Parecer </w:t>
      </w:r>
      <w:r w:rsidR="00223C29" w:rsidRPr="0038442F">
        <w:rPr>
          <w:rFonts w:ascii="Verdana" w:hAnsi="Verdana"/>
          <w:sz w:val="20"/>
          <w:szCs w:val="20"/>
          <w:lang w:val="pt-BR"/>
        </w:rPr>
        <w:t>Consultiv</w:t>
      </w:r>
      <w:r w:rsidR="00934300" w:rsidRPr="0038442F">
        <w:rPr>
          <w:rFonts w:ascii="Verdana" w:hAnsi="Verdana"/>
          <w:sz w:val="20"/>
          <w:szCs w:val="20"/>
          <w:lang w:val="pt-BR"/>
        </w:rPr>
        <w:t>o</w:t>
      </w:r>
      <w:r w:rsidR="00223C29" w:rsidRPr="0038442F">
        <w:rPr>
          <w:rFonts w:ascii="Verdana" w:hAnsi="Verdana"/>
          <w:sz w:val="20"/>
          <w:szCs w:val="20"/>
          <w:lang w:val="pt-BR"/>
        </w:rPr>
        <w:t xml:space="preserve"> N</w:t>
      </w:r>
      <w:r w:rsidR="00223C29" w:rsidRPr="0038442F">
        <w:rPr>
          <w:rFonts w:ascii="Verdana" w:hAnsi="Verdana"/>
          <w:sz w:val="20"/>
          <w:szCs w:val="20"/>
          <w:vertAlign w:val="superscript"/>
          <w:lang w:val="pt-BR"/>
        </w:rPr>
        <w:t>o.</w:t>
      </w:r>
      <w:r w:rsidR="00223C29" w:rsidRPr="0038442F">
        <w:rPr>
          <w:rFonts w:ascii="Verdana" w:hAnsi="Verdana"/>
          <w:sz w:val="20"/>
          <w:szCs w:val="20"/>
          <w:lang w:val="pt-BR"/>
        </w:rPr>
        <w:t xml:space="preserve"> 4</w:t>
      </w:r>
      <w:r w:rsidR="00934300" w:rsidRPr="0038442F">
        <w:rPr>
          <w:rFonts w:ascii="Verdana" w:hAnsi="Verdana"/>
          <w:sz w:val="20"/>
          <w:szCs w:val="20"/>
          <w:lang w:val="pt-BR"/>
        </w:rPr>
        <w:t>,</w:t>
      </w:r>
      <w:r w:rsidR="00223C29"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223C29" w:rsidRPr="0038442F">
        <w:rPr>
          <w:rFonts w:ascii="Verdana" w:hAnsi="Verdana"/>
          <w:sz w:val="20"/>
          <w:szCs w:val="20"/>
          <w:lang w:val="pt-BR"/>
        </w:rPr>
        <w:t xml:space="preserve">IDH </w:t>
      </w:r>
      <w:r w:rsidR="00934300" w:rsidRPr="0038442F">
        <w:rPr>
          <w:rFonts w:ascii="Verdana" w:hAnsi="Verdana"/>
          <w:sz w:val="20"/>
          <w:szCs w:val="20"/>
          <w:lang w:val="pt-BR"/>
        </w:rPr>
        <w:t xml:space="preserve">estabeleceu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223C29" w:rsidRPr="0038442F">
        <w:rPr>
          <w:rFonts w:ascii="Verdana" w:hAnsi="Verdana"/>
          <w:sz w:val="20"/>
          <w:szCs w:val="20"/>
          <w:lang w:val="pt-BR"/>
        </w:rPr>
        <w:t>diferen</w:t>
      </w:r>
      <w:r w:rsidR="00934300" w:rsidRPr="0038442F">
        <w:rPr>
          <w:rFonts w:ascii="Verdana" w:hAnsi="Verdana"/>
          <w:sz w:val="20"/>
          <w:szCs w:val="20"/>
          <w:lang w:val="pt-BR"/>
        </w:rPr>
        <w:t>ç</w:t>
      </w:r>
      <w:r w:rsidR="00223C29" w:rsidRPr="0038442F">
        <w:rPr>
          <w:rFonts w:ascii="Verdana" w:hAnsi="Verdana"/>
          <w:sz w:val="20"/>
          <w:szCs w:val="20"/>
          <w:lang w:val="pt-BR"/>
        </w:rPr>
        <w:t xml:space="preserve">a </w:t>
      </w:r>
      <w:r w:rsidR="00934300" w:rsidRPr="0038442F">
        <w:rPr>
          <w:rFonts w:ascii="Verdana" w:hAnsi="Verdana"/>
          <w:sz w:val="20"/>
          <w:szCs w:val="20"/>
          <w:lang w:val="pt-BR"/>
        </w:rPr>
        <w:t xml:space="preserve">quanto ao </w:t>
      </w:r>
      <w:r w:rsidR="00223C29" w:rsidRPr="0038442F">
        <w:rPr>
          <w:rFonts w:ascii="Verdana" w:hAnsi="Verdana"/>
          <w:sz w:val="20"/>
          <w:szCs w:val="20"/>
          <w:lang w:val="pt-BR"/>
        </w:rPr>
        <w:t xml:space="preserve">alcance de ambas </w:t>
      </w:r>
      <w:r w:rsidR="00934300" w:rsidRPr="0038442F">
        <w:rPr>
          <w:rFonts w:ascii="Verdana" w:hAnsi="Verdana"/>
          <w:sz w:val="20"/>
          <w:szCs w:val="20"/>
          <w:lang w:val="pt-BR"/>
        </w:rPr>
        <w:t xml:space="preserve">as </w:t>
      </w:r>
      <w:r w:rsidR="00223C29" w:rsidRPr="0038442F">
        <w:rPr>
          <w:rFonts w:ascii="Verdana" w:hAnsi="Verdana"/>
          <w:sz w:val="20"/>
          <w:szCs w:val="20"/>
          <w:lang w:val="pt-BR"/>
        </w:rPr>
        <w:t>disposi</w:t>
      </w:r>
      <w:r w:rsidR="000A1AA8" w:rsidRPr="0038442F">
        <w:rPr>
          <w:rFonts w:ascii="Verdana" w:hAnsi="Verdana"/>
          <w:sz w:val="20"/>
          <w:szCs w:val="20"/>
          <w:lang w:val="pt-BR"/>
        </w:rPr>
        <w:t>ções</w:t>
      </w:r>
      <w:r w:rsidR="00223C29" w:rsidRPr="0038442F">
        <w:rPr>
          <w:rFonts w:ascii="Verdana" w:hAnsi="Verdana"/>
          <w:sz w:val="20"/>
          <w:szCs w:val="20"/>
          <w:lang w:val="pt-BR"/>
        </w:rPr>
        <w:t>. As</w:t>
      </w:r>
      <w:r w:rsidR="00934300" w:rsidRPr="0038442F">
        <w:rPr>
          <w:rFonts w:ascii="Verdana" w:hAnsi="Verdana"/>
          <w:sz w:val="20"/>
          <w:szCs w:val="20"/>
          <w:lang w:val="pt-BR"/>
        </w:rPr>
        <w:t>sim</w:t>
      </w:r>
      <w:r w:rsidR="00223C29" w:rsidRPr="0038442F">
        <w:rPr>
          <w:rFonts w:ascii="Verdana" w:hAnsi="Verdana"/>
          <w:sz w:val="20"/>
          <w:szCs w:val="20"/>
          <w:lang w:val="pt-BR"/>
        </w:rPr>
        <w:t xml:space="preserve">, </w:t>
      </w:r>
      <w:r w:rsidR="00934300" w:rsidRPr="0038442F">
        <w:rPr>
          <w:rFonts w:ascii="Verdana" w:hAnsi="Verdana"/>
          <w:sz w:val="20"/>
          <w:szCs w:val="20"/>
          <w:lang w:val="pt-BR"/>
        </w:rPr>
        <w:t xml:space="preserve">salientou que, </w:t>
      </w:r>
      <w:r w:rsidR="00644B1B">
        <w:rPr>
          <w:rFonts w:ascii="Verdana" w:hAnsi="Verdana"/>
          <w:sz w:val="20"/>
          <w:szCs w:val="20"/>
          <w:lang w:val="pt-BR"/>
        </w:rPr>
        <w:t>a</w:t>
      </w:r>
      <w:r w:rsidR="00934300" w:rsidRPr="0038442F">
        <w:rPr>
          <w:rFonts w:ascii="Verdana" w:hAnsi="Verdana"/>
          <w:sz w:val="20"/>
          <w:szCs w:val="20"/>
          <w:lang w:val="pt-BR"/>
        </w:rPr>
        <w:t xml:space="preserve"> </w:t>
      </w:r>
      <w:r w:rsidR="009D16DD" w:rsidRPr="0038442F">
        <w:rPr>
          <w:rFonts w:ascii="Verdana" w:hAnsi="Verdana"/>
          <w:sz w:val="20"/>
          <w:szCs w:val="20"/>
          <w:lang w:val="pt-BR"/>
        </w:rPr>
        <w:t>respeito</w:t>
      </w:r>
      <w:r w:rsidR="00407242" w:rsidRPr="0038442F">
        <w:rPr>
          <w:rFonts w:ascii="Verdana" w:hAnsi="Verdana"/>
          <w:sz w:val="20"/>
          <w:szCs w:val="20"/>
          <w:lang w:val="pt-BR"/>
        </w:rPr>
        <w:t xml:space="preserve"> </w:t>
      </w:r>
      <w:r w:rsidR="00644B1B">
        <w:rPr>
          <w:rFonts w:ascii="Verdana" w:hAnsi="Verdana"/>
          <w:sz w:val="20"/>
          <w:szCs w:val="20"/>
          <w:lang w:val="pt-BR"/>
        </w:rPr>
        <w:t>d</w:t>
      </w:r>
      <w:r w:rsidR="00934300" w:rsidRPr="0038442F">
        <w:rPr>
          <w:rFonts w:ascii="Verdana" w:hAnsi="Verdana"/>
          <w:sz w:val="20"/>
          <w:szCs w:val="20"/>
          <w:lang w:val="pt-BR"/>
        </w:rPr>
        <w:t xml:space="preserve">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223C29" w:rsidRPr="0038442F">
        <w:rPr>
          <w:rFonts w:ascii="Verdana" w:hAnsi="Verdana"/>
          <w:sz w:val="20"/>
          <w:szCs w:val="20"/>
          <w:lang w:val="pt-BR"/>
        </w:rPr>
        <w:t>1.1</w:t>
      </w:r>
      <w:r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Pr="0038442F">
        <w:rPr>
          <w:rFonts w:ascii="Verdana" w:hAnsi="Verdana"/>
          <w:sz w:val="20"/>
          <w:szCs w:val="20"/>
          <w:lang w:val="pt-BR"/>
        </w:rPr>
        <w:t>Conven</w:t>
      </w:r>
      <w:r w:rsidR="000A1AA8" w:rsidRPr="0038442F">
        <w:rPr>
          <w:rFonts w:ascii="Verdana" w:hAnsi="Verdana"/>
          <w:sz w:val="20"/>
          <w:szCs w:val="20"/>
          <w:lang w:val="pt-BR"/>
        </w:rPr>
        <w:t>ção</w:t>
      </w:r>
      <w:r w:rsidR="00223C29" w:rsidRPr="0038442F">
        <w:rPr>
          <w:rFonts w:ascii="Verdana" w:hAnsi="Verdana"/>
          <w:sz w:val="20"/>
          <w:szCs w:val="20"/>
          <w:lang w:val="pt-BR"/>
        </w:rPr>
        <w:t xml:space="preserve">: </w:t>
      </w:r>
    </w:p>
    <w:p w14:paraId="61558B93" w14:textId="77777777" w:rsidR="00223C29" w:rsidRPr="0038442F" w:rsidRDefault="00223C29" w:rsidP="00A857CB">
      <w:pPr>
        <w:pStyle w:val="Prrafodelista"/>
        <w:spacing w:line="240" w:lineRule="auto"/>
        <w:ind w:left="0"/>
        <w:jc w:val="both"/>
        <w:rPr>
          <w:rFonts w:ascii="Verdana" w:hAnsi="Verdana"/>
          <w:i/>
          <w:iCs/>
          <w:sz w:val="20"/>
          <w:szCs w:val="20"/>
          <w:lang w:val="pt-BR"/>
        </w:rPr>
      </w:pPr>
    </w:p>
    <w:p w14:paraId="29D872D3" w14:textId="451B9E00" w:rsidR="00223C29" w:rsidRPr="0038442F" w:rsidRDefault="00223C29" w:rsidP="00781273">
      <w:pPr>
        <w:pStyle w:val="Prrafodelista"/>
        <w:spacing w:line="240" w:lineRule="auto"/>
        <w:ind w:left="708" w:right="615"/>
        <w:jc w:val="both"/>
        <w:rPr>
          <w:rFonts w:ascii="Verdana" w:hAnsi="Verdana"/>
          <w:i/>
          <w:iCs/>
          <w:sz w:val="16"/>
          <w:szCs w:val="16"/>
          <w:lang w:val="pt-BR"/>
        </w:rPr>
      </w:pPr>
      <w:r w:rsidRPr="0038442F">
        <w:rPr>
          <w:rFonts w:ascii="Verdana" w:hAnsi="Verdana"/>
          <w:sz w:val="16"/>
          <w:szCs w:val="16"/>
          <w:lang w:val="pt-BR"/>
        </w:rPr>
        <w:t xml:space="preserve">[…] </w:t>
      </w:r>
      <w:r w:rsidR="00934300" w:rsidRPr="0038442F">
        <w:rPr>
          <w:rFonts w:ascii="Verdana" w:hAnsi="Verdana"/>
          <w:sz w:val="16"/>
          <w:szCs w:val="16"/>
          <w:lang w:val="pt-BR"/>
        </w:rPr>
        <w:t>O</w:t>
      </w:r>
      <w:r w:rsidRPr="0038442F">
        <w:rPr>
          <w:rFonts w:ascii="Verdana" w:hAnsi="Verdana"/>
          <w:sz w:val="16"/>
          <w:szCs w:val="16"/>
          <w:lang w:val="pt-BR"/>
        </w:rPr>
        <w:t xml:space="preserve"> </w:t>
      </w:r>
      <w:r w:rsidR="00934300" w:rsidRPr="0038442F">
        <w:rPr>
          <w:rFonts w:ascii="Verdana" w:hAnsi="Verdana"/>
          <w:sz w:val="16"/>
          <w:szCs w:val="16"/>
          <w:lang w:val="pt-BR"/>
        </w:rPr>
        <w:t>artigo</w:t>
      </w:r>
      <w:r w:rsidR="00407242" w:rsidRPr="0038442F">
        <w:rPr>
          <w:rFonts w:ascii="Verdana" w:hAnsi="Verdana"/>
          <w:sz w:val="16"/>
          <w:szCs w:val="16"/>
          <w:lang w:val="pt-BR"/>
        </w:rPr>
        <w:t xml:space="preserve"> </w:t>
      </w:r>
      <w:r w:rsidRPr="0038442F">
        <w:rPr>
          <w:rFonts w:ascii="Verdana" w:hAnsi="Verdana"/>
          <w:sz w:val="16"/>
          <w:szCs w:val="16"/>
          <w:lang w:val="pt-BR"/>
        </w:rPr>
        <w:t xml:space="preserve">1.1 </w:t>
      </w:r>
      <w:r w:rsidR="00C92762" w:rsidRPr="0038442F">
        <w:rPr>
          <w:rFonts w:ascii="Verdana" w:hAnsi="Verdana"/>
          <w:sz w:val="16"/>
          <w:szCs w:val="16"/>
          <w:lang w:val="pt-BR"/>
        </w:rPr>
        <w:t xml:space="preserve">da </w:t>
      </w:r>
      <w:r w:rsidRPr="0038442F">
        <w:rPr>
          <w:rFonts w:ascii="Verdana" w:hAnsi="Verdana"/>
          <w:sz w:val="16"/>
          <w:szCs w:val="16"/>
          <w:lang w:val="pt-BR"/>
        </w:rPr>
        <w:t>Conven</w:t>
      </w:r>
      <w:r w:rsidR="00934300" w:rsidRPr="0038442F">
        <w:rPr>
          <w:rFonts w:ascii="Verdana" w:hAnsi="Verdana"/>
          <w:sz w:val="16"/>
          <w:szCs w:val="16"/>
          <w:lang w:val="pt-BR"/>
        </w:rPr>
        <w:t>ção</w:t>
      </w:r>
      <w:r w:rsidRPr="0038442F">
        <w:rPr>
          <w:rFonts w:ascii="Verdana" w:hAnsi="Verdana"/>
          <w:sz w:val="16"/>
          <w:szCs w:val="16"/>
          <w:lang w:val="pt-BR"/>
        </w:rPr>
        <w:t xml:space="preserve"> […] </w:t>
      </w:r>
      <w:r w:rsidR="00934300" w:rsidRPr="0038442F">
        <w:rPr>
          <w:rFonts w:ascii="Verdana" w:hAnsi="Verdana"/>
          <w:sz w:val="16"/>
          <w:szCs w:val="16"/>
          <w:lang w:val="pt-BR"/>
        </w:rPr>
        <w:t>é</w:t>
      </w:r>
      <w:r w:rsidRPr="0038442F">
        <w:rPr>
          <w:rFonts w:ascii="Verdana" w:hAnsi="Verdana"/>
          <w:sz w:val="16"/>
          <w:szCs w:val="16"/>
          <w:lang w:val="pt-BR"/>
        </w:rPr>
        <w:t xml:space="preserve"> </w:t>
      </w:r>
      <w:r w:rsidR="00C92762" w:rsidRPr="0038442F">
        <w:rPr>
          <w:rFonts w:ascii="Verdana" w:hAnsi="Verdana"/>
          <w:sz w:val="16"/>
          <w:szCs w:val="16"/>
          <w:lang w:val="pt-BR"/>
        </w:rPr>
        <w:t>uma</w:t>
      </w:r>
      <w:r w:rsidR="00407242" w:rsidRPr="0038442F">
        <w:rPr>
          <w:rFonts w:ascii="Verdana" w:hAnsi="Verdana"/>
          <w:sz w:val="16"/>
          <w:szCs w:val="16"/>
          <w:lang w:val="pt-BR"/>
        </w:rPr>
        <w:t xml:space="preserve"> </w:t>
      </w:r>
      <w:r w:rsidRPr="0038442F">
        <w:rPr>
          <w:rFonts w:ascii="Verdana" w:hAnsi="Verdana"/>
          <w:sz w:val="16"/>
          <w:szCs w:val="16"/>
          <w:lang w:val="pt-BR"/>
        </w:rPr>
        <w:t xml:space="preserve">norma de caráter </w:t>
      </w:r>
      <w:r w:rsidR="005B55A8" w:rsidRPr="0038442F">
        <w:rPr>
          <w:rFonts w:ascii="Verdana" w:hAnsi="Verdana"/>
          <w:sz w:val="16"/>
          <w:szCs w:val="16"/>
          <w:lang w:val="pt-BR"/>
        </w:rPr>
        <w:t>geral</w:t>
      </w:r>
      <w:r w:rsidR="00407242" w:rsidRPr="0038442F">
        <w:rPr>
          <w:rFonts w:ascii="Verdana" w:hAnsi="Verdana"/>
          <w:sz w:val="16"/>
          <w:szCs w:val="16"/>
          <w:lang w:val="pt-BR"/>
        </w:rPr>
        <w:t xml:space="preserve"> </w:t>
      </w:r>
      <w:r w:rsidR="00602FF9" w:rsidRPr="0038442F">
        <w:rPr>
          <w:rFonts w:ascii="Verdana" w:hAnsi="Verdana"/>
          <w:sz w:val="16"/>
          <w:szCs w:val="16"/>
          <w:lang w:val="pt-BR"/>
        </w:rPr>
        <w:t>cujo</w:t>
      </w:r>
      <w:r w:rsidR="00407242" w:rsidRPr="0038442F">
        <w:rPr>
          <w:rFonts w:ascii="Verdana" w:hAnsi="Verdana"/>
          <w:sz w:val="16"/>
          <w:szCs w:val="16"/>
          <w:lang w:val="pt-BR"/>
        </w:rPr>
        <w:t xml:space="preserve"> </w:t>
      </w:r>
      <w:r w:rsidR="00934300" w:rsidRPr="0038442F">
        <w:rPr>
          <w:rFonts w:ascii="Verdana" w:hAnsi="Verdana"/>
          <w:sz w:val="16"/>
          <w:szCs w:val="16"/>
          <w:lang w:val="pt-BR"/>
        </w:rPr>
        <w:t xml:space="preserve">conteúdo se estende </w:t>
      </w:r>
      <w:r w:rsidRPr="0038442F">
        <w:rPr>
          <w:rFonts w:ascii="Verdana" w:hAnsi="Verdana"/>
          <w:sz w:val="16"/>
          <w:szCs w:val="16"/>
          <w:lang w:val="pt-BR"/>
        </w:rPr>
        <w:t>a todas as disposi</w:t>
      </w:r>
      <w:r w:rsidR="000A1AA8" w:rsidRPr="0038442F">
        <w:rPr>
          <w:rFonts w:ascii="Verdana" w:hAnsi="Verdana"/>
          <w:sz w:val="16"/>
          <w:szCs w:val="16"/>
          <w:lang w:val="pt-BR"/>
        </w:rPr>
        <w:t>ções</w:t>
      </w:r>
      <w:r w:rsidRPr="0038442F">
        <w:rPr>
          <w:rFonts w:ascii="Verdana" w:hAnsi="Verdana"/>
          <w:sz w:val="16"/>
          <w:szCs w:val="16"/>
          <w:lang w:val="pt-BR"/>
        </w:rPr>
        <w:t xml:space="preserve"> </w:t>
      </w:r>
      <w:r w:rsidR="005B55A8" w:rsidRPr="0038442F">
        <w:rPr>
          <w:rFonts w:ascii="Verdana" w:hAnsi="Verdana"/>
          <w:sz w:val="16"/>
          <w:szCs w:val="16"/>
          <w:lang w:val="pt-BR"/>
        </w:rPr>
        <w:t>do tratado</w:t>
      </w:r>
      <w:r w:rsidRPr="0038442F">
        <w:rPr>
          <w:rFonts w:ascii="Verdana" w:hAnsi="Verdana"/>
          <w:sz w:val="16"/>
          <w:szCs w:val="16"/>
          <w:lang w:val="pt-BR"/>
        </w:rPr>
        <w:t>,</w:t>
      </w:r>
      <w:r w:rsidR="005A3DEF" w:rsidRPr="0038442F">
        <w:rPr>
          <w:rFonts w:ascii="Verdana" w:hAnsi="Verdana"/>
          <w:sz w:val="16"/>
          <w:szCs w:val="16"/>
          <w:lang w:val="pt-BR"/>
        </w:rPr>
        <w:t xml:space="preserve"> </w:t>
      </w:r>
      <w:r w:rsidR="00781273" w:rsidRPr="0038442F">
        <w:rPr>
          <w:rFonts w:ascii="Verdana" w:hAnsi="Verdana"/>
          <w:sz w:val="16"/>
          <w:szCs w:val="16"/>
          <w:lang w:val="pt-BR"/>
        </w:rPr>
        <w:t>[…]</w:t>
      </w:r>
      <w:r w:rsidRPr="0038442F">
        <w:rPr>
          <w:rFonts w:ascii="Verdana" w:hAnsi="Verdana"/>
          <w:sz w:val="16"/>
          <w:szCs w:val="16"/>
          <w:lang w:val="pt-BR"/>
        </w:rPr>
        <w:t xml:space="preserve"> </w:t>
      </w:r>
      <w:r w:rsidR="0067204A" w:rsidRPr="0038442F">
        <w:rPr>
          <w:rFonts w:ascii="Verdana" w:hAnsi="Verdana"/>
          <w:sz w:val="16"/>
          <w:szCs w:val="16"/>
          <w:lang w:val="pt-BR"/>
        </w:rPr>
        <w:t>qualquer</w:t>
      </w:r>
      <w:r w:rsidRPr="0038442F">
        <w:rPr>
          <w:rFonts w:ascii="Verdana" w:hAnsi="Verdana"/>
          <w:sz w:val="16"/>
          <w:szCs w:val="16"/>
          <w:lang w:val="pt-BR"/>
        </w:rPr>
        <w:t xml:space="preserve"> tratamento que p</w:t>
      </w:r>
      <w:r w:rsidR="00934300" w:rsidRPr="0038442F">
        <w:rPr>
          <w:rFonts w:ascii="Verdana" w:hAnsi="Verdana"/>
          <w:sz w:val="16"/>
          <w:szCs w:val="16"/>
          <w:lang w:val="pt-BR"/>
        </w:rPr>
        <w:t xml:space="preserve">ossa </w:t>
      </w:r>
      <w:r w:rsidRPr="0038442F">
        <w:rPr>
          <w:rFonts w:ascii="Verdana" w:hAnsi="Verdana"/>
          <w:sz w:val="16"/>
          <w:szCs w:val="16"/>
          <w:lang w:val="pt-BR"/>
        </w:rPr>
        <w:t xml:space="preserve">ser considerado </w:t>
      </w:r>
      <w:r w:rsidR="005B55A8" w:rsidRPr="0038442F">
        <w:rPr>
          <w:rFonts w:ascii="Verdana" w:hAnsi="Verdana"/>
          <w:sz w:val="16"/>
          <w:szCs w:val="16"/>
          <w:lang w:val="pt-BR"/>
        </w:rPr>
        <w:t>discriminatório</w:t>
      </w:r>
      <w:r w:rsidR="00407242" w:rsidRPr="0038442F">
        <w:rPr>
          <w:rFonts w:ascii="Verdana" w:hAnsi="Verdana"/>
          <w:sz w:val="16"/>
          <w:szCs w:val="16"/>
          <w:lang w:val="pt-BR"/>
        </w:rPr>
        <w:t xml:space="preserve"> </w:t>
      </w:r>
      <w:r w:rsidR="0067204A" w:rsidRPr="0038442F">
        <w:rPr>
          <w:rFonts w:ascii="Verdana" w:hAnsi="Verdana"/>
          <w:sz w:val="16"/>
          <w:szCs w:val="16"/>
          <w:lang w:val="pt-BR"/>
        </w:rPr>
        <w:t xml:space="preserve">em relação ao </w:t>
      </w:r>
      <w:r w:rsidR="00602FF9" w:rsidRPr="0038442F">
        <w:rPr>
          <w:rFonts w:ascii="Verdana" w:hAnsi="Verdana"/>
          <w:sz w:val="16"/>
          <w:szCs w:val="16"/>
          <w:lang w:val="pt-BR"/>
        </w:rPr>
        <w:t>exercício</w:t>
      </w:r>
      <w:r w:rsidR="00407242" w:rsidRPr="0038442F">
        <w:rPr>
          <w:rFonts w:ascii="Verdana" w:hAnsi="Verdana"/>
          <w:sz w:val="16"/>
          <w:szCs w:val="16"/>
          <w:lang w:val="pt-BR"/>
        </w:rPr>
        <w:t xml:space="preserve"> </w:t>
      </w:r>
      <w:r w:rsidRPr="0038442F">
        <w:rPr>
          <w:rFonts w:ascii="Verdana" w:hAnsi="Verdana"/>
          <w:sz w:val="16"/>
          <w:szCs w:val="16"/>
          <w:lang w:val="pt-BR"/>
        </w:rPr>
        <w:t xml:space="preserve">de </w:t>
      </w:r>
      <w:r w:rsidR="00934300" w:rsidRPr="0038442F">
        <w:rPr>
          <w:rFonts w:ascii="Verdana" w:hAnsi="Verdana"/>
          <w:sz w:val="16"/>
          <w:szCs w:val="16"/>
          <w:lang w:val="pt-BR"/>
        </w:rPr>
        <w:t xml:space="preserve">qualquer </w:t>
      </w:r>
      <w:r w:rsidR="0067204A" w:rsidRPr="0038442F">
        <w:rPr>
          <w:rFonts w:ascii="Verdana" w:hAnsi="Verdana"/>
          <w:sz w:val="16"/>
          <w:szCs w:val="16"/>
          <w:lang w:val="pt-BR"/>
        </w:rPr>
        <w:t xml:space="preserve">um </w:t>
      </w:r>
      <w:r w:rsidR="00C92762" w:rsidRPr="0038442F">
        <w:rPr>
          <w:rFonts w:ascii="Verdana" w:hAnsi="Verdana"/>
          <w:sz w:val="16"/>
          <w:szCs w:val="16"/>
          <w:lang w:val="pt-BR"/>
        </w:rPr>
        <w:t xml:space="preserve">dos direitos </w:t>
      </w:r>
      <w:r w:rsidR="005B55A8" w:rsidRPr="0038442F">
        <w:rPr>
          <w:rFonts w:ascii="Verdana" w:hAnsi="Verdana"/>
          <w:sz w:val="16"/>
          <w:szCs w:val="16"/>
          <w:lang w:val="pt-BR"/>
        </w:rPr>
        <w:t>garantidos</w:t>
      </w:r>
      <w:r w:rsidR="00407242" w:rsidRPr="0038442F">
        <w:rPr>
          <w:rFonts w:ascii="Verdana" w:hAnsi="Verdana"/>
          <w:sz w:val="16"/>
          <w:szCs w:val="16"/>
          <w:lang w:val="pt-BR"/>
        </w:rPr>
        <w:t xml:space="preserve"> </w:t>
      </w:r>
      <w:r w:rsidR="00BF7A10" w:rsidRPr="0038442F">
        <w:rPr>
          <w:rFonts w:ascii="Verdana" w:hAnsi="Verdana"/>
          <w:sz w:val="16"/>
          <w:szCs w:val="16"/>
          <w:lang w:val="pt-BR"/>
        </w:rPr>
        <w:t xml:space="preserve">na </w:t>
      </w:r>
      <w:r w:rsidR="00781273" w:rsidRPr="0038442F">
        <w:rPr>
          <w:rFonts w:ascii="Verdana" w:hAnsi="Verdana"/>
          <w:sz w:val="16"/>
          <w:szCs w:val="16"/>
          <w:lang w:val="pt-BR"/>
        </w:rPr>
        <w:t>Conven</w:t>
      </w:r>
      <w:r w:rsidR="000A1AA8" w:rsidRPr="0038442F">
        <w:rPr>
          <w:rFonts w:ascii="Verdana" w:hAnsi="Verdana"/>
          <w:sz w:val="16"/>
          <w:szCs w:val="16"/>
          <w:lang w:val="pt-BR"/>
        </w:rPr>
        <w:t>ção</w:t>
      </w:r>
      <w:r w:rsidR="005A3DEF" w:rsidRPr="0038442F">
        <w:rPr>
          <w:rFonts w:ascii="Verdana" w:hAnsi="Verdana"/>
          <w:sz w:val="16"/>
          <w:szCs w:val="16"/>
          <w:lang w:val="pt-BR"/>
        </w:rPr>
        <w:t xml:space="preserve"> </w:t>
      </w:r>
      <w:r w:rsidR="00934300" w:rsidRPr="0038442F">
        <w:rPr>
          <w:rFonts w:ascii="Verdana" w:hAnsi="Verdana"/>
          <w:sz w:val="16"/>
          <w:szCs w:val="16"/>
          <w:lang w:val="pt-BR"/>
        </w:rPr>
        <w:t xml:space="preserve">é </w:t>
      </w:r>
      <w:r w:rsidRPr="0038442F">
        <w:rPr>
          <w:rFonts w:ascii="Verdana" w:hAnsi="Verdana"/>
          <w:i/>
          <w:iCs/>
          <w:sz w:val="16"/>
          <w:szCs w:val="16"/>
          <w:lang w:val="pt-BR"/>
        </w:rPr>
        <w:t xml:space="preserve">per se </w:t>
      </w:r>
      <w:r w:rsidR="00934300" w:rsidRPr="0038442F">
        <w:rPr>
          <w:rFonts w:ascii="Verdana" w:hAnsi="Verdana"/>
          <w:iCs/>
          <w:sz w:val="16"/>
          <w:szCs w:val="16"/>
          <w:lang w:val="pt-BR"/>
        </w:rPr>
        <w:t xml:space="preserve">com ela </w:t>
      </w:r>
      <w:r w:rsidR="00934300" w:rsidRPr="0038442F">
        <w:rPr>
          <w:rFonts w:ascii="Verdana" w:hAnsi="Verdana"/>
          <w:sz w:val="16"/>
          <w:szCs w:val="16"/>
          <w:lang w:val="pt-BR"/>
        </w:rPr>
        <w:t>incompatível</w:t>
      </w:r>
      <w:r w:rsidRPr="0038442F">
        <w:rPr>
          <w:rFonts w:ascii="Verdana" w:hAnsi="Verdana"/>
          <w:sz w:val="16"/>
          <w:szCs w:val="16"/>
          <w:lang w:val="pt-BR"/>
        </w:rPr>
        <w:t xml:space="preserve"> […]</w:t>
      </w:r>
      <w:r w:rsidR="0067204A" w:rsidRPr="0038442F">
        <w:rPr>
          <w:rFonts w:ascii="Verdana" w:hAnsi="Verdana"/>
          <w:sz w:val="16"/>
          <w:szCs w:val="16"/>
          <w:lang w:val="pt-BR"/>
        </w:rPr>
        <w:t>.</w:t>
      </w:r>
      <w:r w:rsidRPr="0038442F">
        <w:rPr>
          <w:rStyle w:val="Refdenotaalpie"/>
          <w:rFonts w:ascii="Verdana" w:hAnsi="Verdana"/>
          <w:sz w:val="16"/>
          <w:szCs w:val="16"/>
          <w:lang w:val="pt-BR"/>
        </w:rPr>
        <w:footnoteReference w:id="141"/>
      </w:r>
      <w:r w:rsidR="00407242" w:rsidRPr="0038442F">
        <w:rPr>
          <w:rFonts w:ascii="Verdana" w:hAnsi="Verdana"/>
          <w:sz w:val="16"/>
          <w:szCs w:val="16"/>
          <w:lang w:val="pt-BR"/>
        </w:rPr>
        <w:t xml:space="preserve"> </w:t>
      </w:r>
    </w:p>
    <w:p w14:paraId="6FB9DC1F" w14:textId="77777777" w:rsidR="00223C29" w:rsidRPr="0038442F" w:rsidRDefault="00223C29" w:rsidP="00A857CB">
      <w:pPr>
        <w:pStyle w:val="Prrafodelista"/>
        <w:spacing w:line="240" w:lineRule="auto"/>
        <w:ind w:left="0"/>
        <w:jc w:val="both"/>
        <w:rPr>
          <w:rFonts w:ascii="Verdana" w:hAnsi="Verdana"/>
          <w:i/>
          <w:iCs/>
          <w:sz w:val="20"/>
          <w:szCs w:val="20"/>
          <w:lang w:val="pt-BR"/>
        </w:rPr>
      </w:pPr>
    </w:p>
    <w:p w14:paraId="483E7870" w14:textId="22846932" w:rsidR="00223C29" w:rsidRPr="0038442F" w:rsidRDefault="00EE4EC3" w:rsidP="00EE4EC3">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85.</w:t>
      </w:r>
      <w:r w:rsidRPr="0038442F">
        <w:rPr>
          <w:rFonts w:ascii="Verdana" w:hAnsi="Verdana"/>
          <w:sz w:val="20"/>
          <w:szCs w:val="20"/>
          <w:lang w:val="pt-BR"/>
        </w:rPr>
        <w:tab/>
      </w:r>
      <w:r w:rsidR="00934300" w:rsidRPr="0038442F">
        <w:rPr>
          <w:rFonts w:ascii="Verdana" w:hAnsi="Verdana"/>
          <w:sz w:val="20"/>
          <w:szCs w:val="20"/>
          <w:lang w:val="pt-BR"/>
        </w:rPr>
        <w:t>E</w:t>
      </w:r>
      <w:r w:rsidR="00223C29" w:rsidRPr="0038442F">
        <w:rPr>
          <w:rFonts w:ascii="Verdana" w:hAnsi="Verdana"/>
          <w:sz w:val="20"/>
          <w:szCs w:val="20"/>
          <w:lang w:val="pt-BR"/>
        </w:rPr>
        <w:t xml:space="preserve"> sobre </w:t>
      </w:r>
      <w:r w:rsidR="00934300" w:rsidRPr="0038442F">
        <w:rPr>
          <w:rFonts w:ascii="Verdana" w:hAnsi="Verdana"/>
          <w:sz w:val="20"/>
          <w:szCs w:val="20"/>
          <w:lang w:val="pt-BR"/>
        </w:rPr>
        <w:t>o</w:t>
      </w:r>
      <w:r w:rsidR="00407242" w:rsidRPr="0038442F">
        <w:rPr>
          <w:rFonts w:ascii="Verdana" w:hAnsi="Verdana"/>
          <w:sz w:val="20"/>
          <w:szCs w:val="20"/>
          <w:lang w:val="pt-BR"/>
        </w:rPr>
        <w:t xml:space="preserve"> </w:t>
      </w:r>
      <w:r w:rsidR="00934300" w:rsidRPr="0038442F">
        <w:rPr>
          <w:rFonts w:ascii="Verdana" w:hAnsi="Verdana"/>
          <w:sz w:val="20"/>
          <w:szCs w:val="20"/>
          <w:lang w:val="pt-BR"/>
        </w:rPr>
        <w:t>artigo</w:t>
      </w:r>
      <w:r w:rsidR="00407242" w:rsidRPr="0038442F">
        <w:rPr>
          <w:rFonts w:ascii="Verdana" w:hAnsi="Verdana"/>
          <w:sz w:val="20"/>
          <w:szCs w:val="20"/>
          <w:lang w:val="pt-BR"/>
        </w:rPr>
        <w:t xml:space="preserve"> </w:t>
      </w:r>
      <w:r w:rsidR="00223C29" w:rsidRPr="0038442F">
        <w:rPr>
          <w:rFonts w:ascii="Verdana" w:hAnsi="Verdana"/>
          <w:sz w:val="20"/>
          <w:szCs w:val="20"/>
          <w:lang w:val="pt-BR"/>
        </w:rPr>
        <w:t xml:space="preserve">24 </w:t>
      </w:r>
      <w:r w:rsidR="00934300" w:rsidRPr="0038442F">
        <w:rPr>
          <w:rFonts w:ascii="Verdana" w:hAnsi="Verdana"/>
          <w:sz w:val="20"/>
          <w:szCs w:val="20"/>
          <w:lang w:val="pt-BR"/>
        </w:rPr>
        <w:t>dispôs</w:t>
      </w:r>
      <w:r w:rsidR="00223C29" w:rsidRPr="0038442F">
        <w:rPr>
          <w:rFonts w:ascii="Verdana" w:hAnsi="Verdana"/>
          <w:sz w:val="20"/>
          <w:szCs w:val="20"/>
          <w:lang w:val="pt-BR"/>
        </w:rPr>
        <w:t xml:space="preserve"> que: </w:t>
      </w:r>
    </w:p>
    <w:p w14:paraId="1F9F3F2D" w14:textId="2440EB0B" w:rsidR="00223C29" w:rsidRPr="0038442F" w:rsidRDefault="0067204A" w:rsidP="00781273">
      <w:pPr>
        <w:spacing w:before="100" w:beforeAutospacing="1" w:after="100" w:afterAutospacing="1"/>
        <w:ind w:left="708" w:right="615"/>
        <w:jc w:val="both"/>
        <w:rPr>
          <w:rFonts w:ascii="Verdana" w:hAnsi="Verdana"/>
          <w:sz w:val="16"/>
          <w:szCs w:val="16"/>
          <w:lang w:val="pt-BR"/>
        </w:rPr>
      </w:pPr>
      <w:r w:rsidRPr="0038442F">
        <w:rPr>
          <w:rFonts w:ascii="Verdana" w:hAnsi="Verdana"/>
          <w:sz w:val="16"/>
          <w:szCs w:val="16"/>
          <w:lang w:val="pt-BR"/>
        </w:rPr>
        <w:t xml:space="preserve">Embora as </w:t>
      </w:r>
      <w:r w:rsidR="00223C29" w:rsidRPr="0038442F">
        <w:rPr>
          <w:rFonts w:ascii="Verdana" w:hAnsi="Verdana"/>
          <w:sz w:val="16"/>
          <w:szCs w:val="16"/>
          <w:lang w:val="pt-BR"/>
        </w:rPr>
        <w:t>no</w:t>
      </w:r>
      <w:r w:rsidR="000A1AA8" w:rsidRPr="0038442F">
        <w:rPr>
          <w:rFonts w:ascii="Verdana" w:hAnsi="Verdana"/>
          <w:sz w:val="16"/>
          <w:szCs w:val="16"/>
          <w:lang w:val="pt-BR"/>
        </w:rPr>
        <w:t>ções</w:t>
      </w:r>
      <w:r w:rsidR="00223C29" w:rsidRPr="0038442F">
        <w:rPr>
          <w:rFonts w:ascii="Verdana" w:hAnsi="Verdana"/>
          <w:sz w:val="16"/>
          <w:szCs w:val="16"/>
          <w:lang w:val="pt-BR"/>
        </w:rPr>
        <w:t xml:space="preserve"> </w:t>
      </w:r>
      <w:r w:rsidR="00A97590" w:rsidRPr="0038442F">
        <w:rPr>
          <w:rFonts w:ascii="Verdana" w:hAnsi="Verdana"/>
          <w:sz w:val="16"/>
          <w:szCs w:val="16"/>
          <w:lang w:val="pt-BR"/>
        </w:rPr>
        <w:t xml:space="preserve">não </w:t>
      </w:r>
      <w:r w:rsidRPr="0038442F">
        <w:rPr>
          <w:rFonts w:ascii="Verdana" w:hAnsi="Verdana"/>
          <w:sz w:val="16"/>
          <w:szCs w:val="16"/>
          <w:lang w:val="pt-BR"/>
        </w:rPr>
        <w:t xml:space="preserve">sejam idênticas e a </w:t>
      </w:r>
      <w:r w:rsidR="008806F8" w:rsidRPr="0038442F">
        <w:rPr>
          <w:rFonts w:ascii="Verdana" w:hAnsi="Verdana"/>
          <w:sz w:val="16"/>
          <w:szCs w:val="16"/>
          <w:lang w:val="pt-BR"/>
        </w:rPr>
        <w:t xml:space="preserve">Corte </w:t>
      </w:r>
      <w:r w:rsidRPr="0038442F">
        <w:rPr>
          <w:rFonts w:ascii="Verdana" w:hAnsi="Verdana"/>
          <w:sz w:val="16"/>
          <w:szCs w:val="16"/>
          <w:lang w:val="pt-BR"/>
        </w:rPr>
        <w:t xml:space="preserve">tenha, </w:t>
      </w:r>
      <w:r w:rsidR="00523AD5" w:rsidRPr="0038442F">
        <w:rPr>
          <w:rFonts w:ascii="Verdana" w:hAnsi="Verdana"/>
          <w:sz w:val="16"/>
          <w:szCs w:val="16"/>
          <w:lang w:val="pt-BR"/>
        </w:rPr>
        <w:t xml:space="preserve">talvez, </w:t>
      </w:r>
      <w:r w:rsidRPr="0038442F">
        <w:rPr>
          <w:rFonts w:ascii="Verdana" w:hAnsi="Verdana"/>
          <w:sz w:val="16"/>
          <w:szCs w:val="16"/>
          <w:lang w:val="pt-BR"/>
        </w:rPr>
        <w:t xml:space="preserve">no futuro, a </w:t>
      </w:r>
      <w:r w:rsidR="00CA30C5" w:rsidRPr="0038442F">
        <w:rPr>
          <w:rFonts w:ascii="Verdana" w:hAnsi="Verdana"/>
          <w:sz w:val="16"/>
          <w:szCs w:val="16"/>
          <w:lang w:val="pt-BR"/>
        </w:rPr>
        <w:t>oportunidade</w:t>
      </w:r>
      <w:r w:rsidR="00407242" w:rsidRPr="0038442F">
        <w:rPr>
          <w:rFonts w:ascii="Verdana" w:hAnsi="Verdana"/>
          <w:sz w:val="16"/>
          <w:szCs w:val="16"/>
          <w:lang w:val="pt-BR"/>
        </w:rPr>
        <w:t xml:space="preserve"> </w:t>
      </w:r>
      <w:r w:rsidR="00223C29" w:rsidRPr="0038442F">
        <w:rPr>
          <w:rFonts w:ascii="Verdana" w:hAnsi="Verdana"/>
          <w:sz w:val="16"/>
          <w:szCs w:val="16"/>
          <w:lang w:val="pt-BR"/>
        </w:rPr>
        <w:t>de precisar as diferen</w:t>
      </w:r>
      <w:r w:rsidRPr="0038442F">
        <w:rPr>
          <w:rFonts w:ascii="Verdana" w:hAnsi="Verdana"/>
          <w:sz w:val="16"/>
          <w:szCs w:val="16"/>
          <w:lang w:val="pt-BR"/>
        </w:rPr>
        <w:t>ç</w:t>
      </w:r>
      <w:r w:rsidR="00223C29" w:rsidRPr="0038442F">
        <w:rPr>
          <w:rFonts w:ascii="Verdana" w:hAnsi="Verdana"/>
          <w:sz w:val="16"/>
          <w:szCs w:val="16"/>
          <w:lang w:val="pt-BR"/>
        </w:rPr>
        <w:t xml:space="preserve">as, </w:t>
      </w:r>
      <w:r w:rsidRPr="0038442F">
        <w:rPr>
          <w:rFonts w:ascii="Verdana" w:hAnsi="Verdana"/>
          <w:sz w:val="16"/>
          <w:szCs w:val="16"/>
          <w:lang w:val="pt-BR"/>
        </w:rPr>
        <w:t>essa</w:t>
      </w:r>
      <w:r w:rsidR="00223C29" w:rsidRPr="0038442F">
        <w:rPr>
          <w:rFonts w:ascii="Verdana" w:hAnsi="Verdana"/>
          <w:sz w:val="16"/>
          <w:szCs w:val="16"/>
          <w:lang w:val="pt-BR"/>
        </w:rPr>
        <w:t xml:space="preserve"> disposi</w:t>
      </w:r>
      <w:r w:rsidR="00934300" w:rsidRPr="0038442F">
        <w:rPr>
          <w:rFonts w:ascii="Verdana" w:hAnsi="Verdana"/>
          <w:sz w:val="16"/>
          <w:szCs w:val="16"/>
          <w:lang w:val="pt-BR"/>
        </w:rPr>
        <w:t>ção</w:t>
      </w:r>
      <w:r w:rsidR="00223C29" w:rsidRPr="0038442F">
        <w:rPr>
          <w:rFonts w:ascii="Verdana" w:hAnsi="Verdana"/>
          <w:sz w:val="16"/>
          <w:szCs w:val="16"/>
          <w:lang w:val="pt-BR"/>
        </w:rPr>
        <w:t xml:space="preserve"> reitera</w:t>
      </w:r>
      <w:r w:rsidRPr="0038442F">
        <w:rPr>
          <w:rFonts w:ascii="Verdana" w:hAnsi="Verdana"/>
          <w:sz w:val="16"/>
          <w:szCs w:val="16"/>
          <w:lang w:val="pt-BR"/>
        </w:rPr>
        <w:t xml:space="preserve">, de certa forma, o princípio </w:t>
      </w:r>
      <w:r w:rsidR="00602FF9" w:rsidRPr="0038442F">
        <w:rPr>
          <w:rFonts w:ascii="Verdana" w:hAnsi="Verdana"/>
          <w:sz w:val="16"/>
          <w:szCs w:val="16"/>
          <w:lang w:val="pt-BR"/>
        </w:rPr>
        <w:t>estabelecido</w:t>
      </w:r>
      <w:r w:rsidR="00407242" w:rsidRPr="0038442F">
        <w:rPr>
          <w:rFonts w:ascii="Verdana" w:hAnsi="Verdana"/>
          <w:sz w:val="16"/>
          <w:szCs w:val="16"/>
          <w:lang w:val="pt-BR"/>
        </w:rPr>
        <w:t xml:space="preserve"> </w:t>
      </w:r>
      <w:r w:rsidR="00751189" w:rsidRPr="0038442F">
        <w:rPr>
          <w:rFonts w:ascii="Verdana" w:hAnsi="Verdana"/>
          <w:sz w:val="16"/>
          <w:szCs w:val="16"/>
          <w:lang w:val="pt-BR"/>
        </w:rPr>
        <w:t xml:space="preserve">no </w:t>
      </w:r>
      <w:r w:rsidR="00934300" w:rsidRPr="0038442F">
        <w:rPr>
          <w:rFonts w:ascii="Verdana" w:hAnsi="Verdana"/>
          <w:sz w:val="16"/>
          <w:szCs w:val="16"/>
          <w:lang w:val="pt-BR"/>
        </w:rPr>
        <w:t>artigo</w:t>
      </w:r>
      <w:r w:rsidR="00407242" w:rsidRPr="0038442F">
        <w:rPr>
          <w:rFonts w:ascii="Verdana" w:hAnsi="Verdana"/>
          <w:sz w:val="16"/>
          <w:szCs w:val="16"/>
          <w:lang w:val="pt-BR"/>
        </w:rPr>
        <w:t xml:space="preserve"> </w:t>
      </w:r>
      <w:r w:rsidR="00223C29" w:rsidRPr="0038442F">
        <w:rPr>
          <w:rFonts w:ascii="Verdana" w:hAnsi="Verdana"/>
          <w:sz w:val="16"/>
          <w:szCs w:val="16"/>
          <w:lang w:val="pt-BR"/>
        </w:rPr>
        <w:t>1.1. E</w:t>
      </w:r>
      <w:r w:rsidRPr="0038442F">
        <w:rPr>
          <w:rFonts w:ascii="Verdana" w:hAnsi="Verdana"/>
          <w:sz w:val="16"/>
          <w:szCs w:val="16"/>
          <w:lang w:val="pt-BR"/>
        </w:rPr>
        <w:t>m</w:t>
      </w:r>
      <w:r w:rsidR="00223C29" w:rsidRPr="0038442F">
        <w:rPr>
          <w:rFonts w:ascii="Verdana" w:hAnsi="Verdana"/>
          <w:sz w:val="16"/>
          <w:szCs w:val="16"/>
          <w:lang w:val="pt-BR"/>
        </w:rPr>
        <w:t xml:space="preserve"> fun</w:t>
      </w:r>
      <w:r w:rsidR="00934300" w:rsidRPr="0038442F">
        <w:rPr>
          <w:rFonts w:ascii="Verdana" w:hAnsi="Verdana"/>
          <w:sz w:val="16"/>
          <w:szCs w:val="16"/>
          <w:lang w:val="pt-BR"/>
        </w:rPr>
        <w:t>ção</w:t>
      </w:r>
      <w:r w:rsidR="00223C29" w:rsidRPr="0038442F">
        <w:rPr>
          <w:rFonts w:ascii="Verdana" w:hAnsi="Verdana"/>
          <w:sz w:val="16"/>
          <w:szCs w:val="16"/>
          <w:lang w:val="pt-BR"/>
        </w:rPr>
        <w:t xml:space="preserve"> </w:t>
      </w:r>
      <w:r w:rsidRPr="0038442F">
        <w:rPr>
          <w:rFonts w:ascii="Verdana" w:hAnsi="Verdana"/>
          <w:sz w:val="16"/>
          <w:szCs w:val="16"/>
          <w:lang w:val="pt-BR"/>
        </w:rPr>
        <w:t xml:space="preserve">do </w:t>
      </w:r>
      <w:r w:rsidR="006D3B60" w:rsidRPr="0038442F">
        <w:rPr>
          <w:rFonts w:ascii="Verdana" w:hAnsi="Verdana"/>
          <w:sz w:val="16"/>
          <w:szCs w:val="16"/>
          <w:lang w:val="pt-BR"/>
        </w:rPr>
        <w:t>reconhecimento</w:t>
      </w:r>
      <w:r w:rsidR="00407242" w:rsidRPr="0038442F">
        <w:rPr>
          <w:rFonts w:ascii="Verdana" w:hAnsi="Verdana"/>
          <w:sz w:val="16"/>
          <w:szCs w:val="16"/>
          <w:lang w:val="pt-BR"/>
        </w:rPr>
        <w:t xml:space="preserve"> </w:t>
      </w:r>
      <w:r w:rsidR="00C92762" w:rsidRPr="0038442F">
        <w:rPr>
          <w:rFonts w:ascii="Verdana" w:hAnsi="Verdana"/>
          <w:sz w:val="16"/>
          <w:szCs w:val="16"/>
          <w:lang w:val="pt-BR"/>
        </w:rPr>
        <w:t xml:space="preserve">da </w:t>
      </w:r>
      <w:r w:rsidR="009612FB" w:rsidRPr="0038442F">
        <w:rPr>
          <w:rFonts w:ascii="Verdana" w:hAnsi="Verdana"/>
          <w:sz w:val="16"/>
          <w:szCs w:val="16"/>
          <w:lang w:val="pt-BR"/>
        </w:rPr>
        <w:t>igualdade</w:t>
      </w:r>
      <w:r w:rsidR="00407242" w:rsidRPr="0038442F">
        <w:rPr>
          <w:rFonts w:ascii="Verdana" w:hAnsi="Verdana"/>
          <w:sz w:val="16"/>
          <w:szCs w:val="16"/>
          <w:lang w:val="pt-BR"/>
        </w:rPr>
        <w:t xml:space="preserve"> </w:t>
      </w:r>
      <w:r w:rsidR="005B55A8" w:rsidRPr="0038442F">
        <w:rPr>
          <w:rFonts w:ascii="Verdana" w:hAnsi="Verdana"/>
          <w:sz w:val="16"/>
          <w:szCs w:val="16"/>
          <w:lang w:val="pt-BR"/>
        </w:rPr>
        <w:t>perante a lei</w:t>
      </w:r>
      <w:r w:rsidRPr="0038442F">
        <w:rPr>
          <w:rFonts w:ascii="Verdana" w:hAnsi="Verdana"/>
          <w:sz w:val="16"/>
          <w:szCs w:val="16"/>
          <w:lang w:val="pt-BR"/>
        </w:rPr>
        <w:t>,</w:t>
      </w:r>
      <w:r w:rsidR="00407242" w:rsidRPr="0038442F">
        <w:rPr>
          <w:rFonts w:ascii="Verdana" w:hAnsi="Verdana"/>
          <w:sz w:val="16"/>
          <w:szCs w:val="16"/>
          <w:lang w:val="pt-BR"/>
        </w:rPr>
        <w:t xml:space="preserve"> </w:t>
      </w:r>
      <w:r w:rsidR="00223C29" w:rsidRPr="0038442F">
        <w:rPr>
          <w:rFonts w:ascii="Verdana" w:hAnsi="Verdana"/>
          <w:sz w:val="16"/>
          <w:szCs w:val="16"/>
          <w:lang w:val="pt-BR"/>
        </w:rPr>
        <w:t xml:space="preserve">se proíbe todo tratamento </w:t>
      </w:r>
      <w:r w:rsidR="005B55A8" w:rsidRPr="0038442F">
        <w:rPr>
          <w:rFonts w:ascii="Verdana" w:hAnsi="Verdana"/>
          <w:sz w:val="16"/>
          <w:szCs w:val="16"/>
          <w:lang w:val="pt-BR"/>
        </w:rPr>
        <w:t>discriminatório</w:t>
      </w:r>
      <w:r w:rsidR="00407242" w:rsidRPr="0038442F">
        <w:rPr>
          <w:rFonts w:ascii="Verdana" w:hAnsi="Verdana"/>
          <w:sz w:val="16"/>
          <w:szCs w:val="16"/>
          <w:lang w:val="pt-BR"/>
        </w:rPr>
        <w:t xml:space="preserve"> </w:t>
      </w:r>
      <w:r w:rsidR="00223C29" w:rsidRPr="0038442F">
        <w:rPr>
          <w:rFonts w:ascii="Verdana" w:hAnsi="Verdana"/>
          <w:sz w:val="16"/>
          <w:szCs w:val="16"/>
          <w:lang w:val="pt-BR"/>
        </w:rPr>
        <w:t xml:space="preserve">de </w:t>
      </w:r>
      <w:r w:rsidR="005B55A8" w:rsidRPr="0038442F">
        <w:rPr>
          <w:rFonts w:ascii="Verdana" w:hAnsi="Verdana"/>
          <w:sz w:val="16"/>
          <w:szCs w:val="16"/>
          <w:lang w:val="pt-BR"/>
        </w:rPr>
        <w:t>origem</w:t>
      </w:r>
      <w:r w:rsidR="00407242" w:rsidRPr="0038442F">
        <w:rPr>
          <w:rFonts w:ascii="Verdana" w:hAnsi="Verdana"/>
          <w:sz w:val="16"/>
          <w:szCs w:val="16"/>
          <w:lang w:val="pt-BR"/>
        </w:rPr>
        <w:t xml:space="preserve"> </w:t>
      </w:r>
      <w:r w:rsidR="00223C29" w:rsidRPr="0038442F">
        <w:rPr>
          <w:rFonts w:ascii="Verdana" w:hAnsi="Verdana"/>
          <w:sz w:val="16"/>
          <w:szCs w:val="16"/>
          <w:lang w:val="pt-BR"/>
        </w:rPr>
        <w:t>legal. De</w:t>
      </w:r>
      <w:r w:rsidRPr="0038442F">
        <w:rPr>
          <w:rFonts w:ascii="Verdana" w:hAnsi="Verdana"/>
          <w:sz w:val="16"/>
          <w:szCs w:val="16"/>
          <w:lang w:val="pt-BR"/>
        </w:rPr>
        <w:t xml:space="preserve">sse modo, a </w:t>
      </w:r>
      <w:r w:rsidR="00223C29" w:rsidRPr="0038442F">
        <w:rPr>
          <w:rFonts w:ascii="Verdana" w:hAnsi="Verdana"/>
          <w:sz w:val="16"/>
          <w:szCs w:val="16"/>
          <w:lang w:val="pt-BR"/>
        </w:rPr>
        <w:t>proibi</w:t>
      </w:r>
      <w:r w:rsidR="00934300" w:rsidRPr="0038442F">
        <w:rPr>
          <w:rFonts w:ascii="Verdana" w:hAnsi="Verdana"/>
          <w:sz w:val="16"/>
          <w:szCs w:val="16"/>
          <w:lang w:val="pt-BR"/>
        </w:rPr>
        <w:t>ção</w:t>
      </w:r>
      <w:r w:rsidR="00223C29" w:rsidRPr="0038442F">
        <w:rPr>
          <w:rFonts w:ascii="Verdana" w:hAnsi="Verdana"/>
          <w:sz w:val="16"/>
          <w:szCs w:val="16"/>
          <w:lang w:val="pt-BR"/>
        </w:rPr>
        <w:t xml:space="preserve"> de discrimina</w:t>
      </w:r>
      <w:r w:rsidR="00934300" w:rsidRPr="0038442F">
        <w:rPr>
          <w:rFonts w:ascii="Verdana" w:hAnsi="Verdana"/>
          <w:sz w:val="16"/>
          <w:szCs w:val="16"/>
          <w:lang w:val="pt-BR"/>
        </w:rPr>
        <w:t>ção</w:t>
      </w:r>
      <w:r w:rsidR="00223C29" w:rsidRPr="0038442F">
        <w:rPr>
          <w:rFonts w:ascii="Verdana" w:hAnsi="Verdana"/>
          <w:sz w:val="16"/>
          <w:szCs w:val="16"/>
          <w:lang w:val="pt-BR"/>
        </w:rPr>
        <w:t xml:space="preserve"> amplamente </w:t>
      </w:r>
      <w:r w:rsidRPr="0038442F">
        <w:rPr>
          <w:rFonts w:ascii="Verdana" w:hAnsi="Verdana"/>
          <w:sz w:val="16"/>
          <w:szCs w:val="16"/>
          <w:lang w:val="pt-BR"/>
        </w:rPr>
        <w:t xml:space="preserve">constante do </w:t>
      </w:r>
      <w:r w:rsidR="00934300" w:rsidRPr="0038442F">
        <w:rPr>
          <w:rFonts w:ascii="Verdana" w:hAnsi="Verdana"/>
          <w:sz w:val="16"/>
          <w:szCs w:val="16"/>
          <w:lang w:val="pt-BR"/>
        </w:rPr>
        <w:t>artigo</w:t>
      </w:r>
      <w:r w:rsidR="00407242" w:rsidRPr="0038442F">
        <w:rPr>
          <w:rFonts w:ascii="Verdana" w:hAnsi="Verdana"/>
          <w:sz w:val="16"/>
          <w:szCs w:val="16"/>
          <w:lang w:val="pt-BR"/>
        </w:rPr>
        <w:t xml:space="preserve"> </w:t>
      </w:r>
      <w:r w:rsidR="00223C29" w:rsidRPr="0038442F">
        <w:rPr>
          <w:rFonts w:ascii="Verdana" w:hAnsi="Verdana"/>
          <w:sz w:val="16"/>
          <w:szCs w:val="16"/>
          <w:lang w:val="pt-BR"/>
        </w:rPr>
        <w:t>1.1</w:t>
      </w:r>
      <w:r w:rsidRPr="0038442F">
        <w:rPr>
          <w:rFonts w:ascii="Verdana" w:hAnsi="Verdana"/>
          <w:sz w:val="16"/>
          <w:szCs w:val="16"/>
          <w:lang w:val="pt-BR"/>
        </w:rPr>
        <w:t xml:space="preserve">, a respeito </w:t>
      </w:r>
      <w:r w:rsidR="00C92762" w:rsidRPr="0038442F">
        <w:rPr>
          <w:rFonts w:ascii="Verdana" w:hAnsi="Verdana"/>
          <w:sz w:val="16"/>
          <w:szCs w:val="16"/>
          <w:lang w:val="pt-BR"/>
        </w:rPr>
        <w:t xml:space="preserve">dos direitos </w:t>
      </w:r>
      <w:r w:rsidRPr="0038442F">
        <w:rPr>
          <w:rFonts w:ascii="Verdana" w:hAnsi="Verdana"/>
          <w:sz w:val="16"/>
          <w:szCs w:val="16"/>
          <w:lang w:val="pt-BR"/>
        </w:rPr>
        <w:t>e</w:t>
      </w:r>
      <w:r w:rsidR="00223C29" w:rsidRPr="0038442F">
        <w:rPr>
          <w:rFonts w:ascii="Verdana" w:hAnsi="Verdana"/>
          <w:sz w:val="16"/>
          <w:szCs w:val="16"/>
          <w:lang w:val="pt-BR"/>
        </w:rPr>
        <w:t xml:space="preserve"> garant</w:t>
      </w:r>
      <w:r w:rsidRPr="0038442F">
        <w:rPr>
          <w:rFonts w:ascii="Verdana" w:hAnsi="Verdana"/>
          <w:sz w:val="16"/>
          <w:szCs w:val="16"/>
          <w:lang w:val="pt-BR"/>
        </w:rPr>
        <w:t>i</w:t>
      </w:r>
      <w:r w:rsidR="00223C29" w:rsidRPr="0038442F">
        <w:rPr>
          <w:rFonts w:ascii="Verdana" w:hAnsi="Verdana"/>
          <w:sz w:val="16"/>
          <w:szCs w:val="16"/>
          <w:lang w:val="pt-BR"/>
        </w:rPr>
        <w:t xml:space="preserve">as estipulados </w:t>
      </w:r>
      <w:r w:rsidR="000A1AA8" w:rsidRPr="0038442F">
        <w:rPr>
          <w:rFonts w:ascii="Verdana" w:hAnsi="Verdana"/>
          <w:sz w:val="16"/>
          <w:szCs w:val="16"/>
          <w:lang w:val="pt-BR"/>
        </w:rPr>
        <w:t xml:space="preserve">pela </w:t>
      </w:r>
      <w:r w:rsidR="00223C29" w:rsidRPr="0038442F">
        <w:rPr>
          <w:rFonts w:ascii="Verdana" w:hAnsi="Verdana"/>
          <w:sz w:val="16"/>
          <w:szCs w:val="16"/>
          <w:lang w:val="pt-BR"/>
        </w:rPr>
        <w:t>Conven</w:t>
      </w:r>
      <w:r w:rsidR="00934300" w:rsidRPr="0038442F">
        <w:rPr>
          <w:rFonts w:ascii="Verdana" w:hAnsi="Verdana"/>
          <w:sz w:val="16"/>
          <w:szCs w:val="16"/>
          <w:lang w:val="pt-BR"/>
        </w:rPr>
        <w:t>ção</w:t>
      </w:r>
      <w:r w:rsidR="00223C29" w:rsidRPr="0038442F">
        <w:rPr>
          <w:rFonts w:ascii="Verdana" w:hAnsi="Verdana"/>
          <w:sz w:val="16"/>
          <w:szCs w:val="16"/>
          <w:lang w:val="pt-BR"/>
        </w:rPr>
        <w:t>, se e</w:t>
      </w:r>
      <w:r w:rsidRPr="0038442F">
        <w:rPr>
          <w:rFonts w:ascii="Verdana" w:hAnsi="Verdana"/>
          <w:sz w:val="16"/>
          <w:szCs w:val="16"/>
          <w:lang w:val="pt-BR"/>
        </w:rPr>
        <w:t xml:space="preserve">stende ao </w:t>
      </w:r>
      <w:r w:rsidR="00CA30C5" w:rsidRPr="0038442F">
        <w:rPr>
          <w:rFonts w:ascii="Verdana" w:hAnsi="Verdana"/>
          <w:sz w:val="16"/>
          <w:szCs w:val="16"/>
          <w:lang w:val="pt-BR"/>
        </w:rPr>
        <w:t>direito</w:t>
      </w:r>
      <w:r w:rsidR="00407242" w:rsidRPr="0038442F">
        <w:rPr>
          <w:rFonts w:ascii="Verdana" w:hAnsi="Verdana"/>
          <w:sz w:val="16"/>
          <w:szCs w:val="16"/>
          <w:lang w:val="pt-BR"/>
        </w:rPr>
        <w:t xml:space="preserve"> </w:t>
      </w:r>
      <w:r w:rsidR="00223C29" w:rsidRPr="0038442F">
        <w:rPr>
          <w:rFonts w:ascii="Verdana" w:hAnsi="Verdana"/>
          <w:sz w:val="16"/>
          <w:szCs w:val="16"/>
          <w:lang w:val="pt-BR"/>
        </w:rPr>
        <w:t xml:space="preserve">interno </w:t>
      </w:r>
      <w:r w:rsidR="00C92762" w:rsidRPr="0038442F">
        <w:rPr>
          <w:rFonts w:ascii="Verdana" w:hAnsi="Verdana"/>
          <w:sz w:val="16"/>
          <w:szCs w:val="16"/>
          <w:lang w:val="pt-BR"/>
        </w:rPr>
        <w:t xml:space="preserve">dos </w:t>
      </w:r>
      <w:r w:rsidR="00223C29" w:rsidRPr="0038442F">
        <w:rPr>
          <w:rFonts w:ascii="Verdana" w:hAnsi="Verdana"/>
          <w:sz w:val="16"/>
          <w:szCs w:val="16"/>
          <w:lang w:val="pt-BR"/>
        </w:rPr>
        <w:t xml:space="preserve">Estados Partes, de tal </w:t>
      </w:r>
      <w:r w:rsidR="006A12FD" w:rsidRPr="0038442F">
        <w:rPr>
          <w:rFonts w:ascii="Verdana" w:hAnsi="Verdana"/>
          <w:sz w:val="16"/>
          <w:szCs w:val="16"/>
          <w:lang w:val="pt-BR"/>
        </w:rPr>
        <w:t>maneira</w:t>
      </w:r>
      <w:r w:rsidR="00407242" w:rsidRPr="0038442F">
        <w:rPr>
          <w:rFonts w:ascii="Verdana" w:hAnsi="Verdana"/>
          <w:sz w:val="16"/>
          <w:szCs w:val="16"/>
          <w:lang w:val="pt-BR"/>
        </w:rPr>
        <w:t xml:space="preserve"> </w:t>
      </w:r>
      <w:r w:rsidR="00223C29" w:rsidRPr="0038442F">
        <w:rPr>
          <w:rFonts w:ascii="Verdana" w:hAnsi="Verdana"/>
          <w:sz w:val="16"/>
          <w:szCs w:val="16"/>
          <w:lang w:val="pt-BR"/>
        </w:rPr>
        <w:t xml:space="preserve">que </w:t>
      </w:r>
      <w:r w:rsidRPr="0038442F">
        <w:rPr>
          <w:rFonts w:ascii="Verdana" w:hAnsi="Verdana"/>
          <w:sz w:val="16"/>
          <w:szCs w:val="16"/>
          <w:lang w:val="pt-BR"/>
        </w:rPr>
        <w:t xml:space="preserve">é possível </w:t>
      </w:r>
      <w:r w:rsidR="00223C29" w:rsidRPr="0038442F">
        <w:rPr>
          <w:rFonts w:ascii="Verdana" w:hAnsi="Verdana"/>
          <w:sz w:val="16"/>
          <w:szCs w:val="16"/>
          <w:lang w:val="pt-BR"/>
        </w:rPr>
        <w:t xml:space="preserve">concluir que, </w:t>
      </w:r>
      <w:r w:rsidRPr="0038442F">
        <w:rPr>
          <w:rFonts w:ascii="Verdana" w:hAnsi="Verdana"/>
          <w:sz w:val="16"/>
          <w:szCs w:val="16"/>
          <w:lang w:val="pt-BR"/>
        </w:rPr>
        <w:t xml:space="preserve">com base nessas </w:t>
      </w:r>
      <w:r w:rsidR="00223C29" w:rsidRPr="0038442F">
        <w:rPr>
          <w:rFonts w:ascii="Verdana" w:hAnsi="Verdana"/>
          <w:sz w:val="16"/>
          <w:szCs w:val="16"/>
          <w:lang w:val="pt-BR"/>
        </w:rPr>
        <w:t>disposi</w:t>
      </w:r>
      <w:r w:rsidR="000A1AA8" w:rsidRPr="0038442F">
        <w:rPr>
          <w:rFonts w:ascii="Verdana" w:hAnsi="Verdana"/>
          <w:sz w:val="16"/>
          <w:szCs w:val="16"/>
          <w:lang w:val="pt-BR"/>
        </w:rPr>
        <w:t>ções</w:t>
      </w:r>
      <w:r w:rsidR="00223C29" w:rsidRPr="0038442F">
        <w:rPr>
          <w:rFonts w:ascii="Verdana" w:hAnsi="Verdana"/>
          <w:sz w:val="16"/>
          <w:szCs w:val="16"/>
          <w:lang w:val="pt-BR"/>
        </w:rPr>
        <w:t xml:space="preserve">, </w:t>
      </w:r>
      <w:r w:rsidRPr="0038442F">
        <w:rPr>
          <w:rFonts w:ascii="Verdana" w:hAnsi="Verdana"/>
          <w:sz w:val="16"/>
          <w:szCs w:val="16"/>
          <w:lang w:val="pt-BR"/>
        </w:rPr>
        <w:t xml:space="preserve">estes se comprometeram, </w:t>
      </w:r>
      <w:r w:rsidR="00F158D8" w:rsidRPr="0038442F">
        <w:rPr>
          <w:rFonts w:ascii="Verdana" w:hAnsi="Verdana"/>
          <w:sz w:val="16"/>
          <w:szCs w:val="16"/>
          <w:lang w:val="pt-BR"/>
        </w:rPr>
        <w:t xml:space="preserve">em virtude </w:t>
      </w:r>
      <w:r w:rsidR="00C92762" w:rsidRPr="0038442F">
        <w:rPr>
          <w:rFonts w:ascii="Verdana" w:hAnsi="Verdana"/>
          <w:sz w:val="16"/>
          <w:szCs w:val="16"/>
          <w:lang w:val="pt-BR"/>
        </w:rPr>
        <w:t xml:space="preserve">da </w:t>
      </w:r>
      <w:r w:rsidR="00223C29" w:rsidRPr="0038442F">
        <w:rPr>
          <w:rFonts w:ascii="Verdana" w:hAnsi="Verdana"/>
          <w:sz w:val="16"/>
          <w:szCs w:val="16"/>
          <w:lang w:val="pt-BR"/>
        </w:rPr>
        <w:t>Conven</w:t>
      </w:r>
      <w:r w:rsidR="00934300" w:rsidRPr="0038442F">
        <w:rPr>
          <w:rFonts w:ascii="Verdana" w:hAnsi="Verdana"/>
          <w:sz w:val="16"/>
          <w:szCs w:val="16"/>
          <w:lang w:val="pt-BR"/>
        </w:rPr>
        <w:t>ção</w:t>
      </w:r>
      <w:r w:rsidR="00223C29" w:rsidRPr="0038442F">
        <w:rPr>
          <w:rFonts w:ascii="Verdana" w:hAnsi="Verdana"/>
          <w:sz w:val="16"/>
          <w:szCs w:val="16"/>
          <w:lang w:val="pt-BR"/>
        </w:rPr>
        <w:t xml:space="preserve">, a </w:t>
      </w:r>
      <w:r w:rsidRPr="0038442F">
        <w:rPr>
          <w:rFonts w:ascii="Verdana" w:hAnsi="Verdana"/>
          <w:sz w:val="16"/>
          <w:szCs w:val="16"/>
          <w:lang w:val="pt-BR"/>
        </w:rPr>
        <w:t xml:space="preserve">não introduzir em seu </w:t>
      </w:r>
      <w:r w:rsidR="00223C29" w:rsidRPr="0038442F">
        <w:rPr>
          <w:rFonts w:ascii="Verdana" w:hAnsi="Verdana"/>
          <w:sz w:val="16"/>
          <w:szCs w:val="16"/>
          <w:lang w:val="pt-BR"/>
        </w:rPr>
        <w:t>ordenamento jurídico regula</w:t>
      </w:r>
      <w:r w:rsidRPr="0038442F">
        <w:rPr>
          <w:rFonts w:ascii="Verdana" w:hAnsi="Verdana"/>
          <w:sz w:val="16"/>
          <w:szCs w:val="16"/>
          <w:lang w:val="pt-BR"/>
        </w:rPr>
        <w:t>menta</w:t>
      </w:r>
      <w:r w:rsidR="000A1AA8" w:rsidRPr="0038442F">
        <w:rPr>
          <w:rFonts w:ascii="Verdana" w:hAnsi="Verdana"/>
          <w:sz w:val="16"/>
          <w:szCs w:val="16"/>
          <w:lang w:val="pt-BR"/>
        </w:rPr>
        <w:t>ções</w:t>
      </w:r>
      <w:r w:rsidR="00223C29" w:rsidRPr="0038442F">
        <w:rPr>
          <w:rFonts w:ascii="Verdana" w:hAnsi="Verdana"/>
          <w:sz w:val="16"/>
          <w:szCs w:val="16"/>
          <w:lang w:val="pt-BR"/>
        </w:rPr>
        <w:t xml:space="preserve"> discriminat</w:t>
      </w:r>
      <w:r w:rsidRPr="0038442F">
        <w:rPr>
          <w:rFonts w:ascii="Verdana" w:hAnsi="Verdana"/>
          <w:sz w:val="16"/>
          <w:szCs w:val="16"/>
          <w:lang w:val="pt-BR"/>
        </w:rPr>
        <w:t>ó</w:t>
      </w:r>
      <w:r w:rsidR="00223C29" w:rsidRPr="0038442F">
        <w:rPr>
          <w:rFonts w:ascii="Verdana" w:hAnsi="Verdana"/>
          <w:sz w:val="16"/>
          <w:szCs w:val="16"/>
          <w:lang w:val="pt-BR"/>
        </w:rPr>
        <w:t xml:space="preserve">rias referentes </w:t>
      </w:r>
      <w:r w:rsidRPr="0038442F">
        <w:rPr>
          <w:rFonts w:ascii="Verdana" w:hAnsi="Verdana"/>
          <w:sz w:val="16"/>
          <w:szCs w:val="16"/>
          <w:lang w:val="pt-BR"/>
        </w:rPr>
        <w:t xml:space="preserve">à </w:t>
      </w:r>
      <w:r w:rsidR="00223C29" w:rsidRPr="0038442F">
        <w:rPr>
          <w:rFonts w:ascii="Verdana" w:hAnsi="Verdana"/>
          <w:sz w:val="16"/>
          <w:szCs w:val="16"/>
          <w:lang w:val="pt-BR"/>
        </w:rPr>
        <w:t>prote</w:t>
      </w:r>
      <w:r w:rsidR="00934300" w:rsidRPr="0038442F">
        <w:rPr>
          <w:rFonts w:ascii="Verdana" w:hAnsi="Verdana"/>
          <w:sz w:val="16"/>
          <w:szCs w:val="16"/>
          <w:lang w:val="pt-BR"/>
        </w:rPr>
        <w:t>ção</w:t>
      </w:r>
      <w:r w:rsidR="00223C29" w:rsidRPr="0038442F">
        <w:rPr>
          <w:rFonts w:ascii="Verdana" w:hAnsi="Verdana"/>
          <w:sz w:val="16"/>
          <w:szCs w:val="16"/>
          <w:lang w:val="pt-BR"/>
        </w:rPr>
        <w:t xml:space="preserve"> </w:t>
      </w:r>
      <w:r w:rsidR="00C92762" w:rsidRPr="0038442F">
        <w:rPr>
          <w:rFonts w:ascii="Verdana" w:hAnsi="Verdana"/>
          <w:sz w:val="16"/>
          <w:szCs w:val="16"/>
          <w:lang w:val="pt-BR"/>
        </w:rPr>
        <w:t xml:space="preserve">da </w:t>
      </w:r>
      <w:r w:rsidR="00751189" w:rsidRPr="0038442F">
        <w:rPr>
          <w:rFonts w:ascii="Verdana" w:hAnsi="Verdana"/>
          <w:sz w:val="16"/>
          <w:szCs w:val="16"/>
          <w:lang w:val="pt-BR"/>
        </w:rPr>
        <w:t>lei</w:t>
      </w:r>
      <w:r w:rsidR="00407242" w:rsidRPr="0038442F">
        <w:rPr>
          <w:rFonts w:ascii="Verdana" w:hAnsi="Verdana"/>
          <w:sz w:val="16"/>
          <w:szCs w:val="16"/>
          <w:lang w:val="pt-BR"/>
        </w:rPr>
        <w:t xml:space="preserve"> </w:t>
      </w:r>
      <w:r w:rsidR="00223C29" w:rsidRPr="0038442F">
        <w:rPr>
          <w:rFonts w:ascii="Verdana" w:hAnsi="Verdana"/>
          <w:sz w:val="16"/>
          <w:szCs w:val="16"/>
          <w:lang w:val="pt-BR"/>
        </w:rPr>
        <w:t>[…]</w:t>
      </w:r>
      <w:r w:rsidRPr="0038442F">
        <w:rPr>
          <w:rFonts w:ascii="Verdana" w:hAnsi="Verdana"/>
          <w:sz w:val="16"/>
          <w:szCs w:val="16"/>
          <w:lang w:val="pt-BR"/>
        </w:rPr>
        <w:t>.</w:t>
      </w:r>
      <w:r w:rsidR="00223C29" w:rsidRPr="0038442F">
        <w:rPr>
          <w:rStyle w:val="Refdenotaalpie"/>
          <w:rFonts w:ascii="Verdana" w:hAnsi="Verdana"/>
          <w:sz w:val="16"/>
          <w:szCs w:val="16"/>
          <w:lang w:val="pt-BR"/>
        </w:rPr>
        <w:footnoteReference w:id="142"/>
      </w:r>
      <w:r w:rsidR="00407242" w:rsidRPr="0038442F">
        <w:rPr>
          <w:rFonts w:ascii="Verdana" w:hAnsi="Verdana"/>
          <w:sz w:val="16"/>
          <w:szCs w:val="16"/>
          <w:lang w:val="pt-BR"/>
        </w:rPr>
        <w:t xml:space="preserve"> </w:t>
      </w:r>
    </w:p>
    <w:p w14:paraId="3B4756B2" w14:textId="63361F5A" w:rsidR="00B8471B" w:rsidRPr="0038442F" w:rsidRDefault="00EE4EC3" w:rsidP="00EE4EC3">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86.</w:t>
      </w:r>
      <w:r w:rsidRPr="0038442F">
        <w:rPr>
          <w:rFonts w:ascii="Verdana" w:hAnsi="Verdana"/>
          <w:sz w:val="20"/>
          <w:szCs w:val="20"/>
          <w:lang w:val="pt-BR"/>
        </w:rPr>
        <w:tab/>
      </w:r>
      <w:r w:rsidR="007002F5" w:rsidRPr="0038442F">
        <w:rPr>
          <w:rFonts w:ascii="Verdana" w:hAnsi="Verdana"/>
          <w:sz w:val="20"/>
          <w:szCs w:val="20"/>
          <w:lang w:val="pt-BR"/>
        </w:rPr>
        <w:t>No entanto</w:t>
      </w:r>
      <w:r w:rsidR="00223C29" w:rsidRPr="0038442F">
        <w:rPr>
          <w:rFonts w:ascii="Verdana" w:hAnsi="Verdana"/>
          <w:sz w:val="20"/>
          <w:szCs w:val="20"/>
          <w:lang w:val="pt-BR"/>
        </w:rPr>
        <w:t>, posterior</w:t>
      </w:r>
      <w:r w:rsidR="007002F5" w:rsidRPr="0038442F">
        <w:rPr>
          <w:rFonts w:ascii="Verdana" w:hAnsi="Verdana"/>
          <w:sz w:val="20"/>
          <w:szCs w:val="20"/>
          <w:lang w:val="pt-BR"/>
        </w:rPr>
        <w:t>mente</w:t>
      </w:r>
      <w:r w:rsidR="00223C29"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7002F5" w:rsidRPr="0038442F">
        <w:rPr>
          <w:rFonts w:ascii="Verdana" w:hAnsi="Verdana"/>
          <w:sz w:val="20"/>
          <w:szCs w:val="20"/>
          <w:lang w:val="pt-BR"/>
        </w:rPr>
        <w:t xml:space="preserve">ano de </w:t>
      </w:r>
      <w:r w:rsidR="00223C29" w:rsidRPr="0038442F">
        <w:rPr>
          <w:rFonts w:ascii="Verdana" w:hAnsi="Verdana"/>
          <w:sz w:val="20"/>
          <w:szCs w:val="20"/>
          <w:lang w:val="pt-BR"/>
        </w:rPr>
        <w:t xml:space="preserve">1990, </w:t>
      </w:r>
      <w:r w:rsidR="007002F5" w:rsidRPr="0038442F">
        <w:rPr>
          <w:rFonts w:ascii="Verdana" w:hAnsi="Verdana"/>
          <w:sz w:val="20"/>
          <w:szCs w:val="20"/>
          <w:lang w:val="pt-BR"/>
        </w:rPr>
        <w:t xml:space="preserve">por ocasião do Parecer </w:t>
      </w:r>
      <w:r w:rsidR="00223C29" w:rsidRPr="0038442F">
        <w:rPr>
          <w:rFonts w:ascii="Verdana" w:hAnsi="Verdana"/>
          <w:sz w:val="20"/>
          <w:szCs w:val="20"/>
          <w:lang w:val="pt-BR"/>
        </w:rPr>
        <w:t>Consultiv</w:t>
      </w:r>
      <w:r w:rsidR="007002F5" w:rsidRPr="0038442F">
        <w:rPr>
          <w:rFonts w:ascii="Verdana" w:hAnsi="Verdana"/>
          <w:sz w:val="20"/>
          <w:szCs w:val="20"/>
          <w:lang w:val="pt-BR"/>
        </w:rPr>
        <w:t>o</w:t>
      </w:r>
      <w:r w:rsidR="00223C29" w:rsidRPr="0038442F">
        <w:rPr>
          <w:rFonts w:ascii="Verdana" w:hAnsi="Verdana"/>
          <w:sz w:val="20"/>
          <w:szCs w:val="20"/>
          <w:lang w:val="pt-BR"/>
        </w:rPr>
        <w:t xml:space="preserve"> N</w:t>
      </w:r>
      <w:r w:rsidR="00223C29" w:rsidRPr="0038442F">
        <w:rPr>
          <w:rFonts w:ascii="Verdana" w:hAnsi="Verdana"/>
          <w:sz w:val="20"/>
          <w:szCs w:val="20"/>
          <w:vertAlign w:val="superscript"/>
          <w:lang w:val="pt-BR"/>
        </w:rPr>
        <w:t>o.</w:t>
      </w:r>
      <w:r w:rsidR="00223C29" w:rsidRPr="0038442F">
        <w:rPr>
          <w:rFonts w:ascii="Verdana" w:hAnsi="Verdana"/>
          <w:sz w:val="20"/>
          <w:szCs w:val="20"/>
          <w:lang w:val="pt-BR"/>
        </w:rPr>
        <w:t xml:space="preserve"> 10</w:t>
      </w:r>
      <w:r w:rsidR="00C17F65" w:rsidRPr="0038442F">
        <w:rPr>
          <w:rFonts w:ascii="Verdana" w:hAnsi="Verdana"/>
          <w:sz w:val="20"/>
          <w:szCs w:val="20"/>
          <w:lang w:val="pt-BR"/>
        </w:rPr>
        <w:t>,</w:t>
      </w:r>
      <w:r w:rsidR="00223C29" w:rsidRPr="0038442F">
        <w:rPr>
          <w:rFonts w:ascii="Verdana" w:hAnsi="Verdana"/>
          <w:sz w:val="20"/>
          <w:szCs w:val="20"/>
          <w:lang w:val="pt-BR"/>
        </w:rPr>
        <w:t xml:space="preserve"> </w:t>
      </w:r>
      <w:r w:rsidR="007002F5" w:rsidRPr="0038442F">
        <w:rPr>
          <w:rFonts w:ascii="Verdana" w:hAnsi="Verdana"/>
          <w:sz w:val="20"/>
          <w:szCs w:val="20"/>
          <w:lang w:val="pt-BR"/>
        </w:rPr>
        <w:t xml:space="preserve">ressaltou </w:t>
      </w:r>
      <w:r w:rsidR="00223C29" w:rsidRPr="0038442F">
        <w:rPr>
          <w:rFonts w:ascii="Verdana" w:hAnsi="Verdana"/>
          <w:sz w:val="20"/>
          <w:szCs w:val="20"/>
          <w:lang w:val="pt-BR"/>
        </w:rPr>
        <w:t>que “</w:t>
      </w:r>
      <w:r w:rsidR="007002F5" w:rsidRPr="0038442F">
        <w:rPr>
          <w:rFonts w:ascii="Verdana" w:hAnsi="Verdana"/>
          <w:sz w:val="20"/>
          <w:szCs w:val="20"/>
          <w:lang w:val="pt-BR"/>
        </w:rPr>
        <w:t xml:space="preserve">o </w:t>
      </w:r>
      <w:r w:rsidR="00223C29" w:rsidRPr="0038442F">
        <w:rPr>
          <w:rFonts w:ascii="Verdana" w:hAnsi="Verdana"/>
          <w:sz w:val="20"/>
          <w:szCs w:val="20"/>
          <w:lang w:val="pt-BR"/>
        </w:rPr>
        <w:t xml:space="preserve">sentido </w:t>
      </w:r>
      <w:r w:rsidR="00C92762" w:rsidRPr="0038442F">
        <w:rPr>
          <w:rFonts w:ascii="Verdana" w:hAnsi="Verdana"/>
          <w:sz w:val="20"/>
          <w:szCs w:val="20"/>
          <w:lang w:val="pt-BR"/>
        </w:rPr>
        <w:t xml:space="preserve">da </w:t>
      </w:r>
      <w:r w:rsidR="00781273" w:rsidRPr="0038442F">
        <w:rPr>
          <w:rFonts w:ascii="Verdana" w:hAnsi="Verdana"/>
          <w:sz w:val="20"/>
          <w:szCs w:val="20"/>
          <w:lang w:val="pt-BR"/>
        </w:rPr>
        <w:t>expres</w:t>
      </w:r>
      <w:r w:rsidR="007002F5" w:rsidRPr="0038442F">
        <w:rPr>
          <w:rFonts w:ascii="Verdana" w:hAnsi="Verdana"/>
          <w:sz w:val="20"/>
          <w:szCs w:val="20"/>
          <w:lang w:val="pt-BR"/>
        </w:rPr>
        <w:t xml:space="preserve">são </w:t>
      </w:r>
      <w:r w:rsidR="00781273" w:rsidRPr="0038442F">
        <w:rPr>
          <w:rFonts w:ascii="Verdana" w:hAnsi="Verdana"/>
          <w:i/>
          <w:iCs/>
          <w:sz w:val="20"/>
          <w:szCs w:val="20"/>
          <w:lang w:val="pt-BR"/>
        </w:rPr>
        <w:t>discrimina</w:t>
      </w:r>
      <w:r w:rsidR="000A1AA8" w:rsidRPr="0038442F">
        <w:rPr>
          <w:rFonts w:ascii="Verdana" w:hAnsi="Verdana"/>
          <w:i/>
          <w:iCs/>
          <w:sz w:val="20"/>
          <w:szCs w:val="20"/>
          <w:lang w:val="pt-BR"/>
        </w:rPr>
        <w:t>ção</w:t>
      </w:r>
      <w:r w:rsidR="00223C29" w:rsidRPr="0038442F">
        <w:rPr>
          <w:rFonts w:ascii="Verdana" w:hAnsi="Verdana"/>
          <w:i/>
          <w:iCs/>
          <w:sz w:val="20"/>
          <w:szCs w:val="20"/>
          <w:lang w:val="pt-BR"/>
        </w:rPr>
        <w:t xml:space="preserve"> </w:t>
      </w:r>
      <w:r w:rsidR="00223C29" w:rsidRPr="0038442F">
        <w:rPr>
          <w:rFonts w:ascii="Verdana" w:hAnsi="Verdana"/>
          <w:sz w:val="20"/>
          <w:szCs w:val="20"/>
          <w:lang w:val="pt-BR"/>
        </w:rPr>
        <w:t xml:space="preserve">que menciona </w:t>
      </w:r>
      <w:r w:rsidR="003B374E" w:rsidRPr="0038442F">
        <w:rPr>
          <w:rFonts w:ascii="Verdana" w:hAnsi="Verdana"/>
          <w:sz w:val="20"/>
          <w:szCs w:val="20"/>
          <w:lang w:val="pt-BR"/>
        </w:rPr>
        <w:t xml:space="preserve">o artigo </w:t>
      </w:r>
      <w:r w:rsidR="00223C29" w:rsidRPr="0038442F">
        <w:rPr>
          <w:rFonts w:ascii="Verdana" w:hAnsi="Verdana"/>
          <w:sz w:val="20"/>
          <w:szCs w:val="20"/>
          <w:lang w:val="pt-BR"/>
        </w:rPr>
        <w:t xml:space="preserve">24 </w:t>
      </w:r>
      <w:r w:rsidR="000450DD" w:rsidRPr="0038442F">
        <w:rPr>
          <w:rFonts w:ascii="Verdana" w:hAnsi="Verdana"/>
          <w:sz w:val="20"/>
          <w:szCs w:val="20"/>
          <w:lang w:val="pt-BR"/>
        </w:rPr>
        <w:t>deve</w:t>
      </w:r>
      <w:r w:rsidR="00407242" w:rsidRPr="0038442F">
        <w:rPr>
          <w:rFonts w:ascii="Verdana" w:hAnsi="Verdana"/>
          <w:sz w:val="20"/>
          <w:szCs w:val="20"/>
          <w:lang w:val="pt-BR"/>
        </w:rPr>
        <w:t xml:space="preserve"> </w:t>
      </w:r>
      <w:r w:rsidR="00223C29" w:rsidRPr="0038442F">
        <w:rPr>
          <w:rFonts w:ascii="Verdana" w:hAnsi="Verdana"/>
          <w:sz w:val="20"/>
          <w:szCs w:val="20"/>
          <w:lang w:val="pt-BR"/>
        </w:rPr>
        <w:t>ser interpretado, ent</w:t>
      </w:r>
      <w:r w:rsidR="00CD222E" w:rsidRPr="0038442F">
        <w:rPr>
          <w:rFonts w:ascii="Verdana" w:hAnsi="Verdana"/>
          <w:sz w:val="20"/>
          <w:szCs w:val="20"/>
          <w:lang w:val="pt-BR"/>
        </w:rPr>
        <w:t>ão</w:t>
      </w:r>
      <w:r w:rsidR="00223C29" w:rsidRPr="0038442F">
        <w:rPr>
          <w:rFonts w:ascii="Verdana" w:hAnsi="Verdana"/>
          <w:sz w:val="20"/>
          <w:szCs w:val="20"/>
          <w:lang w:val="pt-BR"/>
        </w:rPr>
        <w:t xml:space="preserve">, </w:t>
      </w:r>
      <w:r w:rsidR="00CD222E" w:rsidRPr="0038442F">
        <w:rPr>
          <w:rFonts w:ascii="Verdana" w:hAnsi="Verdana"/>
          <w:sz w:val="20"/>
          <w:szCs w:val="20"/>
          <w:lang w:val="pt-BR"/>
        </w:rPr>
        <w:t xml:space="preserve">à </w:t>
      </w:r>
      <w:r w:rsidR="00B86998" w:rsidRPr="0038442F">
        <w:rPr>
          <w:rFonts w:ascii="Verdana" w:hAnsi="Verdana"/>
          <w:sz w:val="20"/>
          <w:szCs w:val="20"/>
          <w:lang w:val="pt-BR"/>
        </w:rPr>
        <w:t xml:space="preserve">luz </w:t>
      </w:r>
      <w:r w:rsidR="00BC6FC3" w:rsidRPr="0038442F">
        <w:rPr>
          <w:rFonts w:ascii="Verdana" w:hAnsi="Verdana"/>
          <w:sz w:val="20"/>
          <w:szCs w:val="20"/>
          <w:lang w:val="pt-BR"/>
        </w:rPr>
        <w:t xml:space="preserve">do </w:t>
      </w:r>
      <w:r w:rsidR="00223C29" w:rsidRPr="0038442F">
        <w:rPr>
          <w:rFonts w:ascii="Verdana" w:hAnsi="Verdana"/>
          <w:sz w:val="20"/>
          <w:szCs w:val="20"/>
          <w:lang w:val="pt-BR"/>
        </w:rPr>
        <w:t xml:space="preserve">que menciona </w:t>
      </w:r>
      <w:r w:rsidR="003B374E" w:rsidRPr="0038442F">
        <w:rPr>
          <w:rFonts w:ascii="Verdana" w:hAnsi="Verdana"/>
          <w:sz w:val="20"/>
          <w:szCs w:val="20"/>
          <w:lang w:val="pt-BR"/>
        </w:rPr>
        <w:t xml:space="preserve">o artigo </w:t>
      </w:r>
      <w:r w:rsidR="00223C29" w:rsidRPr="0038442F">
        <w:rPr>
          <w:rFonts w:ascii="Verdana" w:hAnsi="Verdana"/>
          <w:sz w:val="20"/>
          <w:szCs w:val="20"/>
          <w:lang w:val="pt-BR"/>
        </w:rPr>
        <w:t>1.1”</w:t>
      </w:r>
      <w:r w:rsidR="00CD222E" w:rsidRPr="0038442F">
        <w:rPr>
          <w:rFonts w:ascii="Verdana" w:hAnsi="Verdana"/>
          <w:sz w:val="20"/>
          <w:szCs w:val="20"/>
          <w:lang w:val="pt-BR"/>
        </w:rPr>
        <w:t>.</w:t>
      </w:r>
      <w:r w:rsidR="00223C29" w:rsidRPr="0038442F">
        <w:rPr>
          <w:rStyle w:val="Refdenotaalpie"/>
          <w:rFonts w:ascii="Verdana" w:hAnsi="Verdana"/>
          <w:sz w:val="20"/>
          <w:szCs w:val="20"/>
          <w:lang w:val="pt-BR"/>
        </w:rPr>
        <w:footnoteReference w:id="143"/>
      </w:r>
      <w:r w:rsidR="00223C29" w:rsidRPr="0038442F">
        <w:rPr>
          <w:rFonts w:ascii="Verdana" w:hAnsi="Verdana"/>
          <w:sz w:val="20"/>
          <w:szCs w:val="20"/>
          <w:lang w:val="pt-BR"/>
        </w:rPr>
        <w:t xml:space="preserve"> </w:t>
      </w:r>
      <w:r w:rsidRPr="0038442F">
        <w:rPr>
          <w:rFonts w:ascii="Verdana" w:hAnsi="Verdana"/>
          <w:sz w:val="20"/>
          <w:szCs w:val="20"/>
          <w:lang w:val="pt-BR"/>
        </w:rPr>
        <w:t xml:space="preserve">Posteriormente, </w:t>
      </w:r>
      <w:r w:rsidR="00751189" w:rsidRPr="0038442F">
        <w:rPr>
          <w:rFonts w:ascii="Verdana" w:hAnsi="Verdana"/>
          <w:sz w:val="20"/>
          <w:szCs w:val="20"/>
          <w:lang w:val="pt-BR"/>
        </w:rPr>
        <w:t xml:space="preserve">no </w:t>
      </w:r>
      <w:r w:rsidR="00223C29" w:rsidRPr="0038442F">
        <w:rPr>
          <w:rFonts w:ascii="Verdana" w:hAnsi="Verdana"/>
          <w:sz w:val="20"/>
          <w:szCs w:val="20"/>
          <w:lang w:val="pt-BR"/>
        </w:rPr>
        <w:t>a</w:t>
      </w:r>
      <w:r w:rsidR="007002F5" w:rsidRPr="0038442F">
        <w:rPr>
          <w:rFonts w:ascii="Verdana" w:hAnsi="Verdana"/>
          <w:sz w:val="20"/>
          <w:szCs w:val="20"/>
          <w:lang w:val="pt-BR"/>
        </w:rPr>
        <w:t>n</w:t>
      </w:r>
      <w:r w:rsidR="00223C29" w:rsidRPr="0038442F">
        <w:rPr>
          <w:rFonts w:ascii="Verdana" w:hAnsi="Verdana"/>
          <w:sz w:val="20"/>
          <w:szCs w:val="20"/>
          <w:lang w:val="pt-BR"/>
        </w:rPr>
        <w:t xml:space="preserve">o </w:t>
      </w:r>
      <w:r w:rsidR="00CD222E" w:rsidRPr="0038442F">
        <w:rPr>
          <w:rFonts w:ascii="Verdana" w:hAnsi="Verdana"/>
          <w:sz w:val="20"/>
          <w:szCs w:val="20"/>
          <w:lang w:val="pt-BR"/>
        </w:rPr>
        <w:t xml:space="preserve">de </w:t>
      </w:r>
      <w:r w:rsidR="00223C29" w:rsidRPr="0038442F">
        <w:rPr>
          <w:rFonts w:ascii="Verdana" w:hAnsi="Verdana"/>
          <w:sz w:val="20"/>
          <w:szCs w:val="20"/>
          <w:lang w:val="pt-BR"/>
        </w:rPr>
        <w:t xml:space="preserve">2002, </w:t>
      </w:r>
      <w:r w:rsidR="00BF7A10" w:rsidRPr="0038442F">
        <w:rPr>
          <w:rFonts w:ascii="Verdana" w:hAnsi="Verdana"/>
          <w:sz w:val="20"/>
          <w:szCs w:val="20"/>
          <w:lang w:val="pt-BR"/>
        </w:rPr>
        <w:t>n</w:t>
      </w:r>
      <w:r w:rsidR="007002F5" w:rsidRPr="0038442F">
        <w:rPr>
          <w:rFonts w:ascii="Verdana" w:hAnsi="Verdana"/>
          <w:sz w:val="20"/>
          <w:szCs w:val="20"/>
          <w:lang w:val="pt-BR"/>
        </w:rPr>
        <w:t xml:space="preserve">o Parecer </w:t>
      </w:r>
      <w:r w:rsidR="00223C29" w:rsidRPr="0038442F">
        <w:rPr>
          <w:rFonts w:ascii="Verdana" w:hAnsi="Verdana"/>
          <w:sz w:val="20"/>
          <w:szCs w:val="20"/>
          <w:lang w:val="pt-BR"/>
        </w:rPr>
        <w:t>Consultiv</w:t>
      </w:r>
      <w:r w:rsidR="007002F5" w:rsidRPr="0038442F">
        <w:rPr>
          <w:rFonts w:ascii="Verdana" w:hAnsi="Verdana"/>
          <w:sz w:val="20"/>
          <w:szCs w:val="20"/>
          <w:lang w:val="pt-BR"/>
        </w:rPr>
        <w:t>o</w:t>
      </w:r>
      <w:r w:rsidR="00223C29" w:rsidRPr="0038442F">
        <w:rPr>
          <w:rFonts w:ascii="Verdana" w:hAnsi="Verdana"/>
          <w:sz w:val="20"/>
          <w:szCs w:val="20"/>
          <w:lang w:val="pt-BR"/>
        </w:rPr>
        <w:t xml:space="preserve"> N</w:t>
      </w:r>
      <w:r w:rsidR="00223C29" w:rsidRPr="0038442F">
        <w:rPr>
          <w:rFonts w:ascii="Verdana" w:hAnsi="Verdana"/>
          <w:sz w:val="20"/>
          <w:szCs w:val="20"/>
          <w:vertAlign w:val="superscript"/>
          <w:lang w:val="pt-BR"/>
        </w:rPr>
        <w:t>o.</w:t>
      </w:r>
      <w:r w:rsidR="00223C29" w:rsidRPr="0038442F">
        <w:rPr>
          <w:rFonts w:ascii="Verdana" w:hAnsi="Verdana"/>
          <w:sz w:val="20"/>
          <w:szCs w:val="20"/>
          <w:lang w:val="pt-BR"/>
        </w:rPr>
        <w:t xml:space="preserve"> 17</w:t>
      </w:r>
      <w:r w:rsidR="005A3DEF" w:rsidRPr="0038442F">
        <w:rPr>
          <w:rFonts w:ascii="Verdana" w:hAnsi="Verdana"/>
          <w:sz w:val="20"/>
          <w:szCs w:val="20"/>
          <w:lang w:val="pt-BR"/>
        </w:rPr>
        <w:t>,</w:t>
      </w:r>
      <w:r w:rsidR="00223C29"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223C29" w:rsidRPr="0038442F">
        <w:rPr>
          <w:rFonts w:ascii="Verdana" w:hAnsi="Verdana"/>
          <w:sz w:val="20"/>
          <w:szCs w:val="20"/>
          <w:lang w:val="pt-BR"/>
        </w:rPr>
        <w:t xml:space="preserve">IDH reitera </w:t>
      </w:r>
      <w:r w:rsidR="007002F5" w:rsidRPr="0038442F">
        <w:rPr>
          <w:rFonts w:ascii="Verdana" w:hAnsi="Verdana"/>
          <w:sz w:val="20"/>
          <w:szCs w:val="20"/>
          <w:lang w:val="pt-BR"/>
        </w:rPr>
        <w:t xml:space="preserve">o critério </w:t>
      </w:r>
      <w:r w:rsidR="00223C29" w:rsidRPr="0038442F">
        <w:rPr>
          <w:rFonts w:ascii="Verdana" w:hAnsi="Verdana"/>
          <w:sz w:val="20"/>
          <w:szCs w:val="20"/>
          <w:lang w:val="pt-BR"/>
        </w:rPr>
        <w:t>de distin</w:t>
      </w:r>
      <w:r w:rsidR="000A1AA8" w:rsidRPr="0038442F">
        <w:rPr>
          <w:rFonts w:ascii="Verdana" w:hAnsi="Verdana"/>
          <w:sz w:val="20"/>
          <w:szCs w:val="20"/>
          <w:lang w:val="pt-BR"/>
        </w:rPr>
        <w:t>ção</w:t>
      </w:r>
      <w:r w:rsidR="00223C29" w:rsidRPr="0038442F">
        <w:rPr>
          <w:rFonts w:ascii="Verdana" w:hAnsi="Verdana"/>
          <w:sz w:val="20"/>
          <w:szCs w:val="20"/>
          <w:lang w:val="pt-BR"/>
        </w:rPr>
        <w:t xml:space="preserve"> </w:t>
      </w:r>
      <w:r w:rsidR="00602FF9" w:rsidRPr="0038442F">
        <w:rPr>
          <w:rFonts w:ascii="Verdana" w:hAnsi="Verdana"/>
          <w:sz w:val="20"/>
          <w:szCs w:val="20"/>
          <w:lang w:val="pt-BR"/>
        </w:rPr>
        <w:t>estabelecido</w:t>
      </w:r>
      <w:r w:rsidR="00407242" w:rsidRPr="0038442F">
        <w:rPr>
          <w:rFonts w:ascii="Verdana" w:hAnsi="Verdana"/>
          <w:sz w:val="20"/>
          <w:szCs w:val="20"/>
          <w:lang w:val="pt-BR"/>
        </w:rPr>
        <w:t xml:space="preserve"> </w:t>
      </w:r>
      <w:r w:rsidR="00BF7A10" w:rsidRPr="0038442F">
        <w:rPr>
          <w:rFonts w:ascii="Verdana" w:hAnsi="Verdana"/>
          <w:sz w:val="20"/>
          <w:szCs w:val="20"/>
          <w:lang w:val="pt-BR"/>
        </w:rPr>
        <w:t>n</w:t>
      </w:r>
      <w:r w:rsidR="007002F5" w:rsidRPr="0038442F">
        <w:rPr>
          <w:rFonts w:ascii="Verdana" w:hAnsi="Verdana"/>
          <w:sz w:val="20"/>
          <w:szCs w:val="20"/>
          <w:lang w:val="pt-BR"/>
        </w:rPr>
        <w:t>o</w:t>
      </w:r>
      <w:r w:rsidR="00BF7A10" w:rsidRPr="0038442F">
        <w:rPr>
          <w:rFonts w:ascii="Verdana" w:hAnsi="Verdana"/>
          <w:sz w:val="20"/>
          <w:szCs w:val="20"/>
          <w:lang w:val="pt-BR"/>
        </w:rPr>
        <w:t xml:space="preserve"> </w:t>
      </w:r>
      <w:r w:rsidR="00223C29" w:rsidRPr="0038442F">
        <w:rPr>
          <w:rFonts w:ascii="Verdana" w:hAnsi="Verdana"/>
          <w:sz w:val="20"/>
          <w:szCs w:val="20"/>
          <w:lang w:val="pt-BR"/>
        </w:rPr>
        <w:t>OC</w:t>
      </w:r>
      <w:r w:rsidR="007002F5" w:rsidRPr="0038442F">
        <w:rPr>
          <w:rFonts w:ascii="Verdana" w:hAnsi="Verdana"/>
          <w:sz w:val="20"/>
          <w:szCs w:val="20"/>
          <w:lang w:val="pt-BR"/>
        </w:rPr>
        <w:t>-</w:t>
      </w:r>
      <w:r w:rsidR="00223C29" w:rsidRPr="0038442F">
        <w:rPr>
          <w:rFonts w:ascii="Verdana" w:hAnsi="Verdana"/>
          <w:sz w:val="20"/>
          <w:szCs w:val="20"/>
          <w:lang w:val="pt-BR"/>
        </w:rPr>
        <w:t>4</w:t>
      </w:r>
      <w:r w:rsidR="007002F5" w:rsidRPr="0038442F">
        <w:rPr>
          <w:rFonts w:ascii="Verdana" w:hAnsi="Verdana"/>
          <w:sz w:val="20"/>
          <w:szCs w:val="20"/>
          <w:lang w:val="pt-BR"/>
        </w:rPr>
        <w:t>.</w:t>
      </w:r>
      <w:r w:rsidR="00B8471B" w:rsidRPr="0038442F">
        <w:rPr>
          <w:rStyle w:val="Refdenotaalpie"/>
          <w:rFonts w:ascii="Verdana" w:hAnsi="Verdana"/>
          <w:sz w:val="20"/>
          <w:szCs w:val="20"/>
          <w:lang w:val="pt-BR"/>
        </w:rPr>
        <w:footnoteReference w:id="144"/>
      </w:r>
      <w:r w:rsidR="00223C29" w:rsidRPr="0038442F">
        <w:rPr>
          <w:rFonts w:ascii="Verdana" w:hAnsi="Verdana"/>
          <w:sz w:val="20"/>
          <w:szCs w:val="20"/>
          <w:lang w:val="pt-BR"/>
        </w:rPr>
        <w:t xml:space="preserve"> </w:t>
      </w:r>
      <w:r w:rsidR="007002F5" w:rsidRPr="0038442F">
        <w:rPr>
          <w:rFonts w:ascii="Verdana" w:hAnsi="Verdana"/>
          <w:sz w:val="20"/>
          <w:szCs w:val="20"/>
          <w:lang w:val="pt-BR"/>
        </w:rPr>
        <w:t xml:space="preserve">No </w:t>
      </w:r>
      <w:r w:rsidR="00B8471B" w:rsidRPr="0038442F">
        <w:rPr>
          <w:rFonts w:ascii="Verdana" w:hAnsi="Verdana"/>
          <w:sz w:val="20"/>
          <w:szCs w:val="20"/>
          <w:lang w:val="pt-BR"/>
        </w:rPr>
        <w:t>OC</w:t>
      </w:r>
      <w:r w:rsidR="007002F5" w:rsidRPr="0038442F">
        <w:rPr>
          <w:rFonts w:ascii="Verdana" w:hAnsi="Verdana"/>
          <w:sz w:val="20"/>
          <w:szCs w:val="20"/>
          <w:lang w:val="pt-BR"/>
        </w:rPr>
        <w:t>-</w:t>
      </w:r>
      <w:r w:rsidR="00B8471B" w:rsidRPr="0038442F">
        <w:rPr>
          <w:rFonts w:ascii="Verdana" w:hAnsi="Verdana"/>
          <w:sz w:val="20"/>
          <w:szCs w:val="20"/>
          <w:lang w:val="pt-BR"/>
        </w:rPr>
        <w:t xml:space="preserve">18, </w:t>
      </w:r>
      <w:r w:rsidR="007002F5" w:rsidRPr="0038442F">
        <w:rPr>
          <w:rFonts w:ascii="Verdana" w:hAnsi="Verdana"/>
          <w:sz w:val="20"/>
          <w:szCs w:val="20"/>
          <w:lang w:val="pt-BR"/>
        </w:rPr>
        <w:t xml:space="preserve">o </w:t>
      </w:r>
      <w:r w:rsidR="005236DE" w:rsidRPr="0038442F">
        <w:rPr>
          <w:rFonts w:ascii="Verdana" w:hAnsi="Verdana"/>
          <w:sz w:val="20"/>
          <w:szCs w:val="20"/>
          <w:lang w:val="pt-BR"/>
        </w:rPr>
        <w:t xml:space="preserve">Tribunal Interamericano </w:t>
      </w:r>
      <w:r w:rsidR="007002F5" w:rsidRPr="0038442F">
        <w:rPr>
          <w:rFonts w:ascii="Verdana" w:hAnsi="Verdana"/>
          <w:sz w:val="20"/>
          <w:szCs w:val="20"/>
          <w:lang w:val="pt-BR"/>
        </w:rPr>
        <w:t xml:space="preserve">novamente </w:t>
      </w:r>
      <w:r w:rsidR="00CD222E" w:rsidRPr="0038442F">
        <w:rPr>
          <w:rFonts w:ascii="Verdana" w:hAnsi="Verdana"/>
          <w:sz w:val="20"/>
          <w:szCs w:val="20"/>
          <w:lang w:val="pt-BR"/>
        </w:rPr>
        <w:t>ressalta</w:t>
      </w:r>
      <w:r w:rsidR="007002F5" w:rsidRPr="0038442F">
        <w:rPr>
          <w:rFonts w:ascii="Verdana" w:hAnsi="Verdana"/>
          <w:sz w:val="20"/>
          <w:szCs w:val="20"/>
          <w:lang w:val="pt-BR"/>
        </w:rPr>
        <w:t xml:space="preserve"> a </w:t>
      </w:r>
      <w:r w:rsidR="00B8471B" w:rsidRPr="0038442F">
        <w:rPr>
          <w:rFonts w:ascii="Verdana" w:hAnsi="Verdana"/>
          <w:sz w:val="20"/>
          <w:szCs w:val="20"/>
          <w:lang w:val="pt-BR"/>
        </w:rPr>
        <w:t>distin</w:t>
      </w:r>
      <w:r w:rsidR="000A1AA8" w:rsidRPr="0038442F">
        <w:rPr>
          <w:rFonts w:ascii="Verdana" w:hAnsi="Verdana"/>
          <w:sz w:val="20"/>
          <w:szCs w:val="20"/>
          <w:lang w:val="pt-BR"/>
        </w:rPr>
        <w:t>ção</w:t>
      </w:r>
      <w:r w:rsidR="00B8471B" w:rsidRPr="0038442F">
        <w:rPr>
          <w:rFonts w:ascii="Verdana" w:hAnsi="Verdana"/>
          <w:sz w:val="20"/>
          <w:szCs w:val="20"/>
          <w:lang w:val="pt-BR"/>
        </w:rPr>
        <w:t xml:space="preserve"> </w:t>
      </w:r>
      <w:r w:rsidR="008806F8" w:rsidRPr="0038442F">
        <w:rPr>
          <w:rFonts w:ascii="Verdana" w:hAnsi="Verdana"/>
          <w:sz w:val="20"/>
          <w:szCs w:val="20"/>
          <w:lang w:val="pt-BR"/>
        </w:rPr>
        <w:t>estabelecida</w:t>
      </w:r>
      <w:r w:rsidR="00407242" w:rsidRPr="0038442F">
        <w:rPr>
          <w:rFonts w:ascii="Verdana" w:hAnsi="Verdana"/>
          <w:sz w:val="20"/>
          <w:szCs w:val="20"/>
          <w:lang w:val="pt-BR"/>
        </w:rPr>
        <w:t xml:space="preserve"> </w:t>
      </w:r>
      <w:r w:rsidR="00BF7A10" w:rsidRPr="0038442F">
        <w:rPr>
          <w:rFonts w:ascii="Verdana" w:hAnsi="Verdana"/>
          <w:sz w:val="20"/>
          <w:szCs w:val="20"/>
          <w:lang w:val="pt-BR"/>
        </w:rPr>
        <w:t>n</w:t>
      </w:r>
      <w:r w:rsidR="007002F5" w:rsidRPr="0038442F">
        <w:rPr>
          <w:rFonts w:ascii="Verdana" w:hAnsi="Verdana"/>
          <w:sz w:val="20"/>
          <w:szCs w:val="20"/>
          <w:lang w:val="pt-BR"/>
        </w:rPr>
        <w:t xml:space="preserve">o </w:t>
      </w:r>
      <w:r w:rsidR="00B8471B" w:rsidRPr="0038442F">
        <w:rPr>
          <w:rFonts w:ascii="Verdana" w:hAnsi="Verdana"/>
          <w:sz w:val="20"/>
          <w:szCs w:val="20"/>
          <w:lang w:val="pt-BR"/>
        </w:rPr>
        <w:t>OC</w:t>
      </w:r>
      <w:r w:rsidR="005236DE" w:rsidRPr="0038442F">
        <w:rPr>
          <w:rFonts w:ascii="Verdana" w:hAnsi="Verdana"/>
          <w:sz w:val="20"/>
          <w:szCs w:val="20"/>
          <w:lang w:val="pt-BR"/>
        </w:rPr>
        <w:t>-</w:t>
      </w:r>
      <w:r w:rsidR="00B8471B" w:rsidRPr="0038442F">
        <w:rPr>
          <w:rFonts w:ascii="Verdana" w:hAnsi="Verdana"/>
          <w:sz w:val="20"/>
          <w:szCs w:val="20"/>
          <w:lang w:val="pt-BR"/>
        </w:rPr>
        <w:t xml:space="preserve">4, </w:t>
      </w:r>
      <w:r w:rsidR="00751189" w:rsidRPr="0038442F">
        <w:rPr>
          <w:rFonts w:ascii="Verdana" w:hAnsi="Verdana"/>
          <w:sz w:val="20"/>
          <w:szCs w:val="20"/>
          <w:lang w:val="pt-BR"/>
        </w:rPr>
        <w:t xml:space="preserve">no </w:t>
      </w:r>
      <w:r w:rsidR="00B8471B" w:rsidRPr="0038442F">
        <w:rPr>
          <w:rFonts w:ascii="Verdana" w:hAnsi="Verdana"/>
          <w:sz w:val="20"/>
          <w:szCs w:val="20"/>
          <w:lang w:val="pt-BR"/>
        </w:rPr>
        <w:t>entendi</w:t>
      </w:r>
      <w:r w:rsidR="007002F5" w:rsidRPr="0038442F">
        <w:rPr>
          <w:rFonts w:ascii="Verdana" w:hAnsi="Verdana"/>
          <w:sz w:val="20"/>
          <w:szCs w:val="20"/>
          <w:lang w:val="pt-BR"/>
        </w:rPr>
        <w:t xml:space="preserve">mento de </w:t>
      </w:r>
      <w:r w:rsidR="00B8471B" w:rsidRPr="0038442F">
        <w:rPr>
          <w:rFonts w:ascii="Verdana" w:hAnsi="Verdana"/>
          <w:sz w:val="20"/>
          <w:szCs w:val="20"/>
          <w:lang w:val="pt-BR"/>
        </w:rPr>
        <w:t xml:space="preserve">que “independentemente de </w:t>
      </w:r>
      <w:r w:rsidR="007002F5" w:rsidRPr="0038442F">
        <w:rPr>
          <w:rFonts w:ascii="Verdana" w:hAnsi="Verdana"/>
          <w:sz w:val="20"/>
          <w:szCs w:val="20"/>
          <w:lang w:val="pt-BR"/>
        </w:rPr>
        <w:t xml:space="preserve">quais desses </w:t>
      </w:r>
      <w:r w:rsidR="000A1AA8" w:rsidRPr="0038442F">
        <w:rPr>
          <w:rFonts w:ascii="Verdana" w:hAnsi="Verdana"/>
          <w:sz w:val="20"/>
          <w:szCs w:val="20"/>
          <w:lang w:val="pt-BR"/>
        </w:rPr>
        <w:t>direitos</w:t>
      </w:r>
      <w:r w:rsidR="00407242" w:rsidRPr="0038442F">
        <w:rPr>
          <w:rFonts w:ascii="Verdana" w:hAnsi="Verdana"/>
          <w:sz w:val="20"/>
          <w:szCs w:val="20"/>
          <w:lang w:val="pt-BR"/>
        </w:rPr>
        <w:t xml:space="preserve"> </w:t>
      </w:r>
      <w:r w:rsidR="007002F5" w:rsidRPr="0038442F">
        <w:rPr>
          <w:rFonts w:ascii="Verdana" w:hAnsi="Verdana"/>
          <w:sz w:val="20"/>
          <w:szCs w:val="20"/>
          <w:lang w:val="pt-BR"/>
        </w:rPr>
        <w:t xml:space="preserve">estejam </w:t>
      </w:r>
      <w:r w:rsidR="005135E5" w:rsidRPr="0038442F">
        <w:rPr>
          <w:rFonts w:ascii="Verdana" w:hAnsi="Verdana"/>
          <w:sz w:val="20"/>
          <w:szCs w:val="20"/>
          <w:lang w:val="pt-BR"/>
        </w:rPr>
        <w:t xml:space="preserve">reconhecidos </w:t>
      </w:r>
      <w:r w:rsidR="00B8471B" w:rsidRPr="0038442F">
        <w:rPr>
          <w:rFonts w:ascii="Verdana" w:hAnsi="Verdana"/>
          <w:sz w:val="20"/>
          <w:szCs w:val="20"/>
          <w:lang w:val="pt-BR"/>
        </w:rPr>
        <w:t xml:space="preserve">por </w:t>
      </w:r>
      <w:r w:rsidR="007002F5" w:rsidRPr="0038442F">
        <w:rPr>
          <w:rFonts w:ascii="Verdana" w:hAnsi="Verdana"/>
          <w:sz w:val="20"/>
          <w:szCs w:val="20"/>
          <w:lang w:val="pt-BR"/>
        </w:rPr>
        <w:t xml:space="preserve">um </w:t>
      </w:r>
      <w:r w:rsidR="00B8471B" w:rsidRPr="0038442F">
        <w:rPr>
          <w:rFonts w:ascii="Verdana" w:hAnsi="Verdana"/>
          <w:sz w:val="20"/>
          <w:szCs w:val="20"/>
          <w:lang w:val="pt-BR"/>
        </w:rPr>
        <w:t>Estado</w:t>
      </w:r>
      <w:r w:rsidR="00CD222E" w:rsidRPr="0038442F">
        <w:rPr>
          <w:rFonts w:ascii="Verdana" w:hAnsi="Verdana"/>
          <w:sz w:val="20"/>
          <w:szCs w:val="20"/>
          <w:lang w:val="pt-BR"/>
        </w:rPr>
        <w:t>,</w:t>
      </w:r>
      <w:r w:rsidR="00B8471B" w:rsidRPr="0038442F">
        <w:rPr>
          <w:rFonts w:ascii="Verdana" w:hAnsi="Verdana"/>
          <w:sz w:val="20"/>
          <w:szCs w:val="20"/>
          <w:lang w:val="pt-BR"/>
        </w:rPr>
        <w:t xml:space="preserve"> e</w:t>
      </w:r>
      <w:r w:rsidR="007002F5" w:rsidRPr="0038442F">
        <w:rPr>
          <w:rFonts w:ascii="Verdana" w:hAnsi="Verdana"/>
          <w:sz w:val="20"/>
          <w:szCs w:val="20"/>
          <w:lang w:val="pt-BR"/>
        </w:rPr>
        <w:t>m</w:t>
      </w:r>
      <w:r w:rsidR="00B8471B" w:rsidRPr="0038442F">
        <w:rPr>
          <w:rFonts w:ascii="Verdana" w:hAnsi="Verdana"/>
          <w:sz w:val="20"/>
          <w:szCs w:val="20"/>
          <w:lang w:val="pt-BR"/>
        </w:rPr>
        <w:t xml:space="preserve"> normas de </w:t>
      </w:r>
      <w:r w:rsidR="00984A83" w:rsidRPr="0038442F">
        <w:rPr>
          <w:rFonts w:ascii="Verdana" w:hAnsi="Verdana"/>
          <w:sz w:val="20"/>
          <w:szCs w:val="20"/>
          <w:lang w:val="pt-BR"/>
        </w:rPr>
        <w:t>caráter</w:t>
      </w:r>
      <w:r w:rsidR="00407242" w:rsidRPr="0038442F">
        <w:rPr>
          <w:rFonts w:ascii="Verdana" w:hAnsi="Verdana"/>
          <w:sz w:val="20"/>
          <w:szCs w:val="20"/>
          <w:lang w:val="pt-BR"/>
        </w:rPr>
        <w:t xml:space="preserve"> </w:t>
      </w:r>
      <w:r w:rsidR="00B8471B" w:rsidRPr="0038442F">
        <w:rPr>
          <w:rFonts w:ascii="Verdana" w:hAnsi="Verdana"/>
          <w:sz w:val="20"/>
          <w:szCs w:val="20"/>
          <w:lang w:val="pt-BR"/>
        </w:rPr>
        <w:t>interno o</w:t>
      </w:r>
      <w:r w:rsidR="007002F5" w:rsidRPr="0038442F">
        <w:rPr>
          <w:rFonts w:ascii="Verdana" w:hAnsi="Verdana"/>
          <w:sz w:val="20"/>
          <w:szCs w:val="20"/>
          <w:lang w:val="pt-BR"/>
        </w:rPr>
        <w:t>u</w:t>
      </w:r>
      <w:r w:rsidR="00B8471B" w:rsidRPr="0038442F">
        <w:rPr>
          <w:rFonts w:ascii="Verdana" w:hAnsi="Verdana"/>
          <w:sz w:val="20"/>
          <w:szCs w:val="20"/>
          <w:lang w:val="pt-BR"/>
        </w:rPr>
        <w:t xml:space="preserve"> internacional, </w:t>
      </w:r>
      <w:r w:rsidR="008806F8" w:rsidRPr="0038442F">
        <w:rPr>
          <w:rFonts w:ascii="Verdana" w:hAnsi="Verdana"/>
          <w:sz w:val="20"/>
          <w:szCs w:val="20"/>
          <w:lang w:val="pt-BR"/>
        </w:rPr>
        <w:t xml:space="preserve">a Corte </w:t>
      </w:r>
      <w:r w:rsidR="00B8471B" w:rsidRPr="0038442F">
        <w:rPr>
          <w:rFonts w:ascii="Verdana" w:hAnsi="Verdana"/>
          <w:sz w:val="20"/>
          <w:szCs w:val="20"/>
          <w:lang w:val="pt-BR"/>
        </w:rPr>
        <w:t xml:space="preserve">considera evidente que todos os Estados, como membros </w:t>
      </w:r>
      <w:r w:rsidR="00C92762" w:rsidRPr="0038442F">
        <w:rPr>
          <w:rFonts w:ascii="Verdana" w:hAnsi="Verdana"/>
          <w:sz w:val="20"/>
          <w:szCs w:val="20"/>
          <w:lang w:val="pt-BR"/>
        </w:rPr>
        <w:t xml:space="preserve">da </w:t>
      </w:r>
      <w:r w:rsidR="00B8471B" w:rsidRPr="0038442F">
        <w:rPr>
          <w:rFonts w:ascii="Verdana" w:hAnsi="Verdana"/>
          <w:sz w:val="20"/>
          <w:szCs w:val="20"/>
          <w:lang w:val="pt-BR"/>
        </w:rPr>
        <w:t>comunidad</w:t>
      </w:r>
      <w:r w:rsidR="007002F5" w:rsidRPr="0038442F">
        <w:rPr>
          <w:rFonts w:ascii="Verdana" w:hAnsi="Verdana"/>
          <w:sz w:val="20"/>
          <w:szCs w:val="20"/>
          <w:lang w:val="pt-BR"/>
        </w:rPr>
        <w:t>e</w:t>
      </w:r>
      <w:r w:rsidR="00B8471B" w:rsidRPr="0038442F">
        <w:rPr>
          <w:rFonts w:ascii="Verdana" w:hAnsi="Verdana"/>
          <w:sz w:val="20"/>
          <w:szCs w:val="20"/>
          <w:lang w:val="pt-BR"/>
        </w:rPr>
        <w:t xml:space="preserve"> internacional, </w:t>
      </w:r>
      <w:r w:rsidR="009612FB" w:rsidRPr="0038442F">
        <w:rPr>
          <w:rFonts w:ascii="Verdana" w:hAnsi="Verdana"/>
          <w:sz w:val="20"/>
          <w:szCs w:val="20"/>
          <w:lang w:val="pt-BR"/>
        </w:rPr>
        <w:t>devem</w:t>
      </w:r>
      <w:r w:rsidR="00407242" w:rsidRPr="0038442F">
        <w:rPr>
          <w:rFonts w:ascii="Verdana" w:hAnsi="Verdana"/>
          <w:sz w:val="20"/>
          <w:szCs w:val="20"/>
          <w:lang w:val="pt-BR"/>
        </w:rPr>
        <w:t xml:space="preserve"> </w:t>
      </w:r>
      <w:r w:rsidR="00A97590" w:rsidRPr="0038442F">
        <w:rPr>
          <w:rFonts w:ascii="Verdana" w:hAnsi="Verdana"/>
          <w:sz w:val="20"/>
          <w:szCs w:val="20"/>
          <w:lang w:val="pt-BR"/>
        </w:rPr>
        <w:t>cumprir</w:t>
      </w:r>
      <w:r w:rsidR="00407242" w:rsidRPr="0038442F">
        <w:rPr>
          <w:rFonts w:ascii="Verdana" w:hAnsi="Verdana"/>
          <w:sz w:val="20"/>
          <w:szCs w:val="20"/>
          <w:lang w:val="pt-BR"/>
        </w:rPr>
        <w:t xml:space="preserve"> </w:t>
      </w:r>
      <w:r w:rsidR="00B8471B" w:rsidRPr="0038442F">
        <w:rPr>
          <w:rFonts w:ascii="Verdana" w:hAnsi="Verdana"/>
          <w:sz w:val="20"/>
          <w:szCs w:val="20"/>
          <w:lang w:val="pt-BR"/>
        </w:rPr>
        <w:t xml:space="preserve">[as] </w:t>
      </w:r>
      <w:r w:rsidR="00984A83" w:rsidRPr="0038442F">
        <w:rPr>
          <w:rFonts w:ascii="Verdana" w:hAnsi="Verdana"/>
          <w:sz w:val="20"/>
          <w:szCs w:val="20"/>
          <w:lang w:val="pt-BR"/>
        </w:rPr>
        <w:t>obrigações</w:t>
      </w:r>
      <w:r w:rsidR="00407242" w:rsidRPr="0038442F">
        <w:rPr>
          <w:rFonts w:ascii="Verdana" w:hAnsi="Verdana"/>
          <w:sz w:val="20"/>
          <w:szCs w:val="20"/>
          <w:lang w:val="pt-BR"/>
        </w:rPr>
        <w:t xml:space="preserve"> </w:t>
      </w:r>
      <w:r w:rsidR="00B8471B" w:rsidRPr="0038442F">
        <w:rPr>
          <w:rFonts w:ascii="Verdana" w:hAnsi="Verdana"/>
          <w:sz w:val="20"/>
          <w:szCs w:val="20"/>
          <w:lang w:val="pt-BR"/>
        </w:rPr>
        <w:t xml:space="preserve">[de </w:t>
      </w:r>
      <w:r w:rsidR="007002F5" w:rsidRPr="0038442F">
        <w:rPr>
          <w:rFonts w:ascii="Verdana" w:hAnsi="Verdana"/>
          <w:sz w:val="20"/>
          <w:szCs w:val="20"/>
          <w:lang w:val="pt-BR"/>
        </w:rPr>
        <w:t xml:space="preserve">respeito e </w:t>
      </w:r>
      <w:r w:rsidR="00C92762" w:rsidRPr="0038442F">
        <w:rPr>
          <w:rFonts w:ascii="Verdana" w:hAnsi="Verdana"/>
          <w:sz w:val="20"/>
          <w:szCs w:val="20"/>
          <w:lang w:val="pt-BR"/>
        </w:rPr>
        <w:t>garantia</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direitos </w:t>
      </w:r>
      <w:r w:rsidR="00B8471B" w:rsidRPr="0038442F">
        <w:rPr>
          <w:rFonts w:ascii="Verdana" w:hAnsi="Verdana"/>
          <w:sz w:val="20"/>
          <w:szCs w:val="20"/>
          <w:lang w:val="pt-BR"/>
        </w:rPr>
        <w:t xml:space="preserve">humanos] </w:t>
      </w:r>
      <w:r w:rsidR="00751189" w:rsidRPr="0038442F">
        <w:rPr>
          <w:rFonts w:ascii="Verdana" w:hAnsi="Verdana"/>
          <w:sz w:val="20"/>
          <w:szCs w:val="20"/>
          <w:lang w:val="pt-BR"/>
        </w:rPr>
        <w:t>sem</w:t>
      </w:r>
      <w:r w:rsidR="00407242" w:rsidRPr="0038442F">
        <w:rPr>
          <w:rFonts w:ascii="Verdana" w:hAnsi="Verdana"/>
          <w:sz w:val="20"/>
          <w:szCs w:val="20"/>
          <w:lang w:val="pt-BR"/>
        </w:rPr>
        <w:t xml:space="preserve"> </w:t>
      </w:r>
      <w:r w:rsidR="005A3DEF" w:rsidRPr="0038442F">
        <w:rPr>
          <w:rFonts w:ascii="Verdana" w:hAnsi="Verdana"/>
          <w:sz w:val="20"/>
          <w:szCs w:val="20"/>
          <w:lang w:val="pt-BR"/>
        </w:rPr>
        <w:t>discrimina</w:t>
      </w:r>
      <w:r w:rsidR="000A1AA8" w:rsidRPr="0038442F">
        <w:rPr>
          <w:rFonts w:ascii="Verdana" w:hAnsi="Verdana"/>
          <w:sz w:val="20"/>
          <w:szCs w:val="20"/>
          <w:lang w:val="pt-BR"/>
        </w:rPr>
        <w:t>ção</w:t>
      </w:r>
      <w:r w:rsidR="00B8471B" w:rsidRPr="0038442F">
        <w:rPr>
          <w:rFonts w:ascii="Verdana" w:hAnsi="Verdana"/>
          <w:sz w:val="20"/>
          <w:szCs w:val="20"/>
          <w:lang w:val="pt-BR"/>
        </w:rPr>
        <w:t xml:space="preserve"> </w:t>
      </w:r>
      <w:r w:rsidR="005B55A8" w:rsidRPr="0038442F">
        <w:rPr>
          <w:rFonts w:ascii="Verdana" w:hAnsi="Verdana"/>
          <w:sz w:val="20"/>
          <w:szCs w:val="20"/>
          <w:lang w:val="pt-BR"/>
        </w:rPr>
        <w:t>alguma</w:t>
      </w:r>
      <w:r w:rsidR="00B8471B" w:rsidRPr="0038442F">
        <w:rPr>
          <w:rFonts w:ascii="Verdana" w:hAnsi="Verdana"/>
          <w:sz w:val="20"/>
          <w:szCs w:val="20"/>
          <w:lang w:val="pt-BR"/>
        </w:rPr>
        <w:t>”</w:t>
      </w:r>
      <w:r w:rsidR="007002F5" w:rsidRPr="0038442F">
        <w:rPr>
          <w:rFonts w:ascii="Verdana" w:hAnsi="Verdana"/>
          <w:sz w:val="20"/>
          <w:szCs w:val="20"/>
          <w:lang w:val="pt-BR"/>
        </w:rPr>
        <w:t>.</w:t>
      </w:r>
      <w:r w:rsidR="00B8471B" w:rsidRPr="0038442F">
        <w:rPr>
          <w:rStyle w:val="Refdenotaalpie"/>
          <w:rFonts w:ascii="Verdana" w:hAnsi="Verdana"/>
          <w:sz w:val="20"/>
          <w:szCs w:val="20"/>
          <w:lang w:val="pt-BR"/>
        </w:rPr>
        <w:footnoteReference w:id="145"/>
      </w:r>
      <w:r w:rsidR="00B8471B" w:rsidRPr="0038442F">
        <w:rPr>
          <w:rFonts w:ascii="Verdana" w:hAnsi="Verdana"/>
          <w:sz w:val="20"/>
          <w:szCs w:val="20"/>
          <w:lang w:val="pt-BR"/>
        </w:rPr>
        <w:t xml:space="preserve"> </w:t>
      </w:r>
    </w:p>
    <w:p w14:paraId="3AD5D117" w14:textId="77777777" w:rsidR="00DA144F" w:rsidRPr="0038442F" w:rsidRDefault="00DA144F" w:rsidP="00A857CB">
      <w:pPr>
        <w:pStyle w:val="Prrafodelista"/>
        <w:spacing w:line="240" w:lineRule="auto"/>
        <w:ind w:left="0"/>
        <w:jc w:val="both"/>
        <w:rPr>
          <w:rFonts w:ascii="Verdana" w:hAnsi="Verdana"/>
          <w:i/>
          <w:iCs/>
          <w:sz w:val="20"/>
          <w:szCs w:val="20"/>
          <w:lang w:val="pt-BR"/>
        </w:rPr>
      </w:pPr>
    </w:p>
    <w:p w14:paraId="37C344CF" w14:textId="4567BA59" w:rsidR="00B8471B" w:rsidRPr="0038442F" w:rsidRDefault="00EE4EC3" w:rsidP="00EE4EC3">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87.</w:t>
      </w:r>
      <w:r w:rsidRPr="0038442F">
        <w:rPr>
          <w:rFonts w:ascii="Verdana" w:hAnsi="Verdana"/>
          <w:sz w:val="20"/>
          <w:szCs w:val="20"/>
          <w:lang w:val="pt-BR"/>
        </w:rPr>
        <w:tab/>
      </w:r>
      <w:r w:rsidR="005F6CCC" w:rsidRPr="0038442F">
        <w:rPr>
          <w:rFonts w:ascii="Verdana" w:hAnsi="Verdana"/>
          <w:sz w:val="20"/>
          <w:szCs w:val="20"/>
          <w:lang w:val="pt-BR"/>
        </w:rPr>
        <w:t xml:space="preserve">Quanto aos </w:t>
      </w:r>
      <w:r w:rsidR="00B8471B" w:rsidRPr="0038442F">
        <w:rPr>
          <w:rFonts w:ascii="Verdana" w:hAnsi="Verdana"/>
          <w:sz w:val="20"/>
          <w:szCs w:val="20"/>
          <w:lang w:val="pt-BR"/>
        </w:rPr>
        <w:t xml:space="preserve">casos contenciosos, </w:t>
      </w:r>
      <w:r w:rsidR="005F6CCC" w:rsidRPr="0038442F">
        <w:rPr>
          <w:rFonts w:ascii="Verdana" w:hAnsi="Verdana"/>
          <w:sz w:val="20"/>
          <w:szCs w:val="20"/>
          <w:lang w:val="pt-BR"/>
        </w:rPr>
        <w:t xml:space="preserve">as primeiras aproximações com vistas à possível </w:t>
      </w:r>
      <w:r w:rsidR="00B8471B" w:rsidRPr="0038442F">
        <w:rPr>
          <w:rFonts w:ascii="Verdana" w:hAnsi="Verdana"/>
          <w:sz w:val="20"/>
          <w:szCs w:val="20"/>
          <w:lang w:val="pt-BR"/>
        </w:rPr>
        <w:t>aplica</w:t>
      </w:r>
      <w:r w:rsidR="000A1AA8" w:rsidRPr="0038442F">
        <w:rPr>
          <w:rFonts w:ascii="Verdana" w:hAnsi="Verdana"/>
          <w:sz w:val="20"/>
          <w:szCs w:val="20"/>
          <w:lang w:val="pt-BR"/>
        </w:rPr>
        <w:t>ção</w:t>
      </w:r>
      <w:r w:rsidR="00B8471B"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BC6FC3" w:rsidRPr="0038442F">
        <w:rPr>
          <w:rFonts w:ascii="Verdana" w:hAnsi="Verdana"/>
          <w:sz w:val="20"/>
          <w:szCs w:val="20"/>
          <w:lang w:val="pt-BR"/>
        </w:rPr>
        <w:t>artigos</w:t>
      </w:r>
      <w:r w:rsidR="00407242" w:rsidRPr="0038442F">
        <w:rPr>
          <w:rFonts w:ascii="Verdana" w:hAnsi="Verdana"/>
          <w:sz w:val="20"/>
          <w:szCs w:val="20"/>
          <w:lang w:val="pt-BR"/>
        </w:rPr>
        <w:t xml:space="preserve"> </w:t>
      </w:r>
      <w:r w:rsidR="00B8471B" w:rsidRPr="0038442F">
        <w:rPr>
          <w:rFonts w:ascii="Verdana" w:hAnsi="Verdana"/>
          <w:sz w:val="20"/>
          <w:szCs w:val="20"/>
          <w:lang w:val="pt-BR"/>
        </w:rPr>
        <w:t xml:space="preserve">1.1 </w:t>
      </w:r>
      <w:r w:rsidR="005F6CCC" w:rsidRPr="0038442F">
        <w:rPr>
          <w:rFonts w:ascii="Verdana" w:hAnsi="Verdana"/>
          <w:sz w:val="20"/>
          <w:szCs w:val="20"/>
          <w:lang w:val="pt-BR"/>
        </w:rPr>
        <w:t>e</w:t>
      </w:r>
      <w:r w:rsidR="00B8471B" w:rsidRPr="0038442F">
        <w:rPr>
          <w:rFonts w:ascii="Verdana" w:hAnsi="Verdana"/>
          <w:sz w:val="20"/>
          <w:szCs w:val="20"/>
          <w:lang w:val="pt-BR"/>
        </w:rPr>
        <w:t xml:space="preserve"> 24 </w:t>
      </w:r>
      <w:r w:rsidR="005F6CCC" w:rsidRPr="0038442F">
        <w:rPr>
          <w:rFonts w:ascii="Verdana" w:hAnsi="Verdana"/>
          <w:sz w:val="20"/>
          <w:szCs w:val="20"/>
          <w:lang w:val="pt-BR"/>
        </w:rPr>
        <w:t xml:space="preserve">aconteceram no tema </w:t>
      </w:r>
      <w:r w:rsidR="00781273" w:rsidRPr="0038442F">
        <w:rPr>
          <w:rFonts w:ascii="Verdana" w:hAnsi="Verdana"/>
          <w:sz w:val="20"/>
          <w:szCs w:val="20"/>
          <w:lang w:val="pt-BR"/>
        </w:rPr>
        <w:t>indígena</w:t>
      </w:r>
      <w:r w:rsidR="00B8471B" w:rsidRPr="0038442F">
        <w:rPr>
          <w:rFonts w:ascii="Verdana" w:hAnsi="Verdana"/>
          <w:sz w:val="20"/>
          <w:szCs w:val="20"/>
          <w:lang w:val="pt-BR"/>
        </w:rPr>
        <w:t xml:space="preserve"> (</w:t>
      </w:r>
      <w:r w:rsidR="00B8471B" w:rsidRPr="0038442F">
        <w:rPr>
          <w:rFonts w:ascii="Verdana" w:hAnsi="Verdana"/>
          <w:i/>
          <w:iCs/>
          <w:sz w:val="20"/>
          <w:szCs w:val="20"/>
          <w:lang w:val="pt-BR"/>
        </w:rPr>
        <w:t>Comunidad</w:t>
      </w:r>
      <w:r w:rsidR="005F6CCC" w:rsidRPr="0038442F">
        <w:rPr>
          <w:rFonts w:ascii="Verdana" w:hAnsi="Verdana"/>
          <w:i/>
          <w:iCs/>
          <w:sz w:val="20"/>
          <w:szCs w:val="20"/>
          <w:lang w:val="pt-BR"/>
        </w:rPr>
        <w:t>e</w:t>
      </w:r>
      <w:r w:rsidR="00B8471B" w:rsidRPr="0038442F">
        <w:rPr>
          <w:rFonts w:ascii="Verdana" w:hAnsi="Verdana"/>
          <w:i/>
          <w:iCs/>
          <w:sz w:val="20"/>
          <w:szCs w:val="20"/>
          <w:lang w:val="pt-BR"/>
        </w:rPr>
        <w:t xml:space="preserve"> Moiwana </w:t>
      </w:r>
      <w:r w:rsidR="005F6CCC" w:rsidRPr="0038442F">
        <w:rPr>
          <w:rFonts w:ascii="Verdana" w:hAnsi="Verdana"/>
          <w:i/>
          <w:iCs/>
          <w:sz w:val="20"/>
          <w:szCs w:val="20"/>
          <w:lang w:val="pt-BR"/>
        </w:rPr>
        <w:t>V</w:t>
      </w:r>
      <w:r w:rsidR="00B8471B" w:rsidRPr="0038442F">
        <w:rPr>
          <w:rFonts w:ascii="Verdana" w:hAnsi="Verdana"/>
          <w:i/>
          <w:iCs/>
          <w:sz w:val="20"/>
          <w:szCs w:val="20"/>
          <w:lang w:val="pt-BR"/>
        </w:rPr>
        <w:t>s. Surinam</w:t>
      </w:r>
      <w:r w:rsidR="005F6CCC" w:rsidRPr="0038442F">
        <w:rPr>
          <w:rFonts w:ascii="Verdana" w:hAnsi="Verdana"/>
          <w:i/>
          <w:iCs/>
          <w:sz w:val="20"/>
          <w:szCs w:val="20"/>
          <w:lang w:val="pt-BR"/>
        </w:rPr>
        <w:t>e</w:t>
      </w:r>
      <w:r w:rsidR="00B8471B" w:rsidRPr="0038442F">
        <w:rPr>
          <w:rStyle w:val="Refdenotaalpie"/>
          <w:rFonts w:ascii="Verdana" w:hAnsi="Verdana"/>
          <w:i/>
          <w:iCs/>
          <w:sz w:val="20"/>
          <w:szCs w:val="20"/>
          <w:lang w:val="pt-BR"/>
        </w:rPr>
        <w:footnoteReference w:id="146"/>
      </w:r>
      <w:r w:rsidR="00B8471B" w:rsidRPr="0038442F">
        <w:rPr>
          <w:rFonts w:ascii="Verdana" w:hAnsi="Verdana"/>
          <w:i/>
          <w:iCs/>
          <w:sz w:val="20"/>
          <w:szCs w:val="20"/>
          <w:lang w:val="pt-BR"/>
        </w:rPr>
        <w:t xml:space="preserve"> </w:t>
      </w:r>
      <w:r w:rsidR="005F6CCC" w:rsidRPr="0038442F">
        <w:rPr>
          <w:rFonts w:ascii="Verdana" w:hAnsi="Verdana"/>
          <w:iCs/>
          <w:sz w:val="20"/>
          <w:szCs w:val="20"/>
          <w:lang w:val="pt-BR"/>
        </w:rPr>
        <w:t xml:space="preserve">e </w:t>
      </w:r>
      <w:r w:rsidR="00B8471B" w:rsidRPr="0038442F">
        <w:rPr>
          <w:rFonts w:ascii="Verdana" w:hAnsi="Verdana"/>
          <w:i/>
          <w:iCs/>
          <w:sz w:val="20"/>
          <w:szCs w:val="20"/>
          <w:lang w:val="pt-BR"/>
        </w:rPr>
        <w:t>Comunidad</w:t>
      </w:r>
      <w:r w:rsidR="005F6CCC" w:rsidRPr="0038442F">
        <w:rPr>
          <w:rFonts w:ascii="Verdana" w:hAnsi="Verdana"/>
          <w:i/>
          <w:iCs/>
          <w:sz w:val="20"/>
          <w:szCs w:val="20"/>
          <w:lang w:val="pt-BR"/>
        </w:rPr>
        <w:t>e</w:t>
      </w:r>
      <w:r w:rsidR="00B8471B" w:rsidRPr="0038442F">
        <w:rPr>
          <w:rFonts w:ascii="Verdana" w:hAnsi="Verdana"/>
          <w:i/>
          <w:iCs/>
          <w:sz w:val="20"/>
          <w:szCs w:val="20"/>
          <w:lang w:val="pt-BR"/>
        </w:rPr>
        <w:t xml:space="preserve"> </w:t>
      </w:r>
      <w:r w:rsidR="00781273" w:rsidRPr="0038442F">
        <w:rPr>
          <w:rFonts w:ascii="Verdana" w:hAnsi="Verdana"/>
          <w:i/>
          <w:iCs/>
          <w:sz w:val="20"/>
          <w:szCs w:val="20"/>
          <w:lang w:val="pt-BR"/>
        </w:rPr>
        <w:t>Indígena</w:t>
      </w:r>
      <w:r w:rsidR="00B8471B" w:rsidRPr="0038442F">
        <w:rPr>
          <w:rFonts w:ascii="Verdana" w:hAnsi="Verdana"/>
          <w:i/>
          <w:iCs/>
          <w:sz w:val="20"/>
          <w:szCs w:val="20"/>
          <w:lang w:val="pt-BR"/>
        </w:rPr>
        <w:t xml:space="preserve"> Yakye Axa vs. Paragua</w:t>
      </w:r>
      <w:r w:rsidR="005F6CCC" w:rsidRPr="0038442F">
        <w:rPr>
          <w:rFonts w:ascii="Verdana" w:hAnsi="Verdana"/>
          <w:i/>
          <w:iCs/>
          <w:sz w:val="20"/>
          <w:szCs w:val="20"/>
          <w:lang w:val="pt-BR"/>
        </w:rPr>
        <w:t>i</w:t>
      </w:r>
      <w:r w:rsidR="00B8471B" w:rsidRPr="0038442F">
        <w:rPr>
          <w:rStyle w:val="Refdenotaalpie"/>
          <w:rFonts w:ascii="Verdana" w:hAnsi="Verdana"/>
          <w:i/>
          <w:iCs/>
          <w:sz w:val="20"/>
          <w:szCs w:val="20"/>
          <w:lang w:val="pt-BR"/>
        </w:rPr>
        <w:footnoteReference w:id="147"/>
      </w:r>
      <w:r w:rsidR="00B8471B" w:rsidRPr="0038442F">
        <w:rPr>
          <w:rFonts w:ascii="Verdana" w:hAnsi="Verdana"/>
          <w:i/>
          <w:iCs/>
          <w:sz w:val="20"/>
          <w:szCs w:val="20"/>
          <w:lang w:val="pt-BR"/>
        </w:rPr>
        <w:t xml:space="preserve"> </w:t>
      </w:r>
      <w:r w:rsidR="00B8471B" w:rsidRPr="0038442F">
        <w:rPr>
          <w:rFonts w:ascii="Verdana" w:hAnsi="Verdana"/>
          <w:sz w:val="20"/>
          <w:szCs w:val="20"/>
          <w:lang w:val="pt-BR"/>
        </w:rPr>
        <w:t>)</w:t>
      </w:r>
      <w:r w:rsidR="005236DE" w:rsidRPr="0038442F">
        <w:rPr>
          <w:rFonts w:ascii="Verdana" w:hAnsi="Verdana"/>
          <w:sz w:val="20"/>
          <w:szCs w:val="20"/>
          <w:lang w:val="pt-BR"/>
        </w:rPr>
        <w:t>,</w:t>
      </w:r>
      <w:r w:rsidR="00DA144F" w:rsidRPr="0038442F">
        <w:rPr>
          <w:rFonts w:ascii="Verdana" w:hAnsi="Verdana"/>
          <w:sz w:val="20"/>
          <w:szCs w:val="20"/>
          <w:lang w:val="pt-BR"/>
        </w:rPr>
        <w:t xml:space="preserve"> </w:t>
      </w:r>
      <w:r w:rsidR="00751189" w:rsidRPr="0038442F">
        <w:rPr>
          <w:rFonts w:ascii="Verdana" w:hAnsi="Verdana"/>
          <w:sz w:val="20"/>
          <w:szCs w:val="20"/>
          <w:lang w:val="pt-BR"/>
        </w:rPr>
        <w:t>sem</w:t>
      </w:r>
      <w:r w:rsidR="00407242" w:rsidRPr="0038442F">
        <w:rPr>
          <w:rFonts w:ascii="Verdana" w:hAnsi="Verdana"/>
          <w:sz w:val="20"/>
          <w:szCs w:val="20"/>
          <w:lang w:val="pt-BR"/>
        </w:rPr>
        <w:t xml:space="preserve"> </w:t>
      </w:r>
      <w:r w:rsidR="005236DE" w:rsidRPr="0038442F">
        <w:rPr>
          <w:rFonts w:ascii="Verdana" w:hAnsi="Verdana"/>
          <w:sz w:val="20"/>
          <w:szCs w:val="20"/>
          <w:lang w:val="pt-BR"/>
        </w:rPr>
        <w:t xml:space="preserve">que </w:t>
      </w:r>
      <w:r w:rsidR="00DA144F" w:rsidRPr="0038442F">
        <w:rPr>
          <w:rFonts w:ascii="Verdana" w:hAnsi="Verdana"/>
          <w:sz w:val="20"/>
          <w:szCs w:val="20"/>
          <w:lang w:val="pt-BR"/>
        </w:rPr>
        <w:t xml:space="preserve">se </w:t>
      </w:r>
      <w:r w:rsidR="005F6CCC" w:rsidRPr="0038442F">
        <w:rPr>
          <w:rFonts w:ascii="Verdana" w:hAnsi="Verdana"/>
          <w:sz w:val="20"/>
          <w:szCs w:val="20"/>
          <w:lang w:val="pt-BR"/>
        </w:rPr>
        <w:t xml:space="preserve">declarasse </w:t>
      </w:r>
      <w:r w:rsidR="00DA144F" w:rsidRPr="0038442F">
        <w:rPr>
          <w:rFonts w:ascii="Verdana" w:hAnsi="Verdana"/>
          <w:sz w:val="20"/>
          <w:szCs w:val="20"/>
          <w:lang w:val="pt-BR"/>
        </w:rPr>
        <w:t xml:space="preserve">a </w:t>
      </w:r>
      <w:r w:rsidR="005F6CCC" w:rsidRPr="0038442F">
        <w:rPr>
          <w:rFonts w:ascii="Verdana" w:hAnsi="Verdana"/>
          <w:sz w:val="20"/>
          <w:szCs w:val="20"/>
          <w:lang w:val="pt-BR"/>
        </w:rPr>
        <w:t xml:space="preserve">violação </w:t>
      </w:r>
      <w:r w:rsidR="00C92762" w:rsidRPr="0038442F">
        <w:rPr>
          <w:rFonts w:ascii="Verdana" w:hAnsi="Verdana"/>
          <w:sz w:val="20"/>
          <w:szCs w:val="20"/>
          <w:lang w:val="pt-BR"/>
        </w:rPr>
        <w:t>d</w:t>
      </w:r>
      <w:r w:rsidR="0085707C">
        <w:rPr>
          <w:rFonts w:ascii="Verdana" w:hAnsi="Verdana"/>
          <w:sz w:val="20"/>
          <w:szCs w:val="20"/>
          <w:lang w:val="pt-BR"/>
        </w:rPr>
        <w:t>o</w:t>
      </w:r>
      <w:r w:rsidR="00C92762" w:rsidRPr="0038442F">
        <w:rPr>
          <w:rFonts w:ascii="Verdana" w:hAnsi="Verdana"/>
          <w:sz w:val="20"/>
          <w:szCs w:val="20"/>
          <w:lang w:val="pt-BR"/>
        </w:rPr>
        <w:t xml:space="preserve">s </w:t>
      </w:r>
      <w:r w:rsidR="00DA144F" w:rsidRPr="0038442F">
        <w:rPr>
          <w:rFonts w:ascii="Verdana" w:hAnsi="Verdana"/>
          <w:sz w:val="20"/>
          <w:szCs w:val="20"/>
          <w:lang w:val="pt-BR"/>
        </w:rPr>
        <w:t>referid</w:t>
      </w:r>
      <w:r w:rsidR="0085707C">
        <w:rPr>
          <w:rFonts w:ascii="Verdana" w:hAnsi="Verdana"/>
          <w:sz w:val="20"/>
          <w:szCs w:val="20"/>
          <w:lang w:val="pt-BR"/>
        </w:rPr>
        <w:t>o</w:t>
      </w:r>
      <w:r w:rsidR="00DA144F" w:rsidRPr="0038442F">
        <w:rPr>
          <w:rFonts w:ascii="Verdana" w:hAnsi="Verdana"/>
          <w:sz w:val="20"/>
          <w:szCs w:val="20"/>
          <w:lang w:val="pt-BR"/>
        </w:rPr>
        <w:t>s disposi</w:t>
      </w:r>
      <w:r w:rsidR="0085707C">
        <w:rPr>
          <w:rFonts w:ascii="Verdana" w:hAnsi="Verdana"/>
          <w:sz w:val="20"/>
          <w:szCs w:val="20"/>
          <w:lang w:val="pt-BR"/>
        </w:rPr>
        <w:t>tivos</w:t>
      </w:r>
      <w:r w:rsidR="00DA144F" w:rsidRPr="0038442F">
        <w:rPr>
          <w:rFonts w:ascii="Verdana" w:hAnsi="Verdana"/>
          <w:sz w:val="20"/>
          <w:szCs w:val="20"/>
          <w:lang w:val="pt-BR"/>
        </w:rPr>
        <w:t>. F</w:t>
      </w:r>
      <w:r w:rsidR="005F6CCC" w:rsidRPr="0038442F">
        <w:rPr>
          <w:rFonts w:ascii="Verdana" w:hAnsi="Verdana"/>
          <w:sz w:val="20"/>
          <w:szCs w:val="20"/>
          <w:lang w:val="pt-BR"/>
        </w:rPr>
        <w:t xml:space="preserve">oi </w:t>
      </w:r>
      <w:r w:rsidR="00DE4A47" w:rsidRPr="0038442F">
        <w:rPr>
          <w:rFonts w:ascii="Verdana" w:hAnsi="Verdana"/>
          <w:sz w:val="20"/>
          <w:szCs w:val="20"/>
          <w:lang w:val="pt-BR"/>
        </w:rPr>
        <w:t xml:space="preserve">somente no </w:t>
      </w:r>
      <w:r w:rsidR="005F6CCC" w:rsidRPr="0038442F">
        <w:rPr>
          <w:rFonts w:ascii="Verdana" w:hAnsi="Verdana"/>
          <w:i/>
          <w:sz w:val="20"/>
          <w:szCs w:val="20"/>
          <w:lang w:val="pt-BR"/>
        </w:rPr>
        <w:t xml:space="preserve">Caso </w:t>
      </w:r>
      <w:r w:rsidR="00DA144F" w:rsidRPr="0038442F">
        <w:rPr>
          <w:rFonts w:ascii="Verdana" w:hAnsi="Verdana"/>
          <w:i/>
          <w:iCs/>
          <w:sz w:val="20"/>
          <w:szCs w:val="20"/>
          <w:lang w:val="pt-BR"/>
        </w:rPr>
        <w:t>Yatama Vs. Nicar</w:t>
      </w:r>
      <w:r w:rsidR="005F6CCC" w:rsidRPr="0038442F">
        <w:rPr>
          <w:rFonts w:ascii="Verdana" w:hAnsi="Verdana"/>
          <w:i/>
          <w:iCs/>
          <w:sz w:val="20"/>
          <w:szCs w:val="20"/>
          <w:lang w:val="pt-BR"/>
        </w:rPr>
        <w:t>á</w:t>
      </w:r>
      <w:r w:rsidR="00DA144F" w:rsidRPr="0038442F">
        <w:rPr>
          <w:rFonts w:ascii="Verdana" w:hAnsi="Verdana"/>
          <w:i/>
          <w:iCs/>
          <w:sz w:val="20"/>
          <w:szCs w:val="20"/>
          <w:lang w:val="pt-BR"/>
        </w:rPr>
        <w:t>gua</w:t>
      </w:r>
      <w:r w:rsidR="00DA144F" w:rsidRPr="0038442F">
        <w:rPr>
          <w:rFonts w:ascii="Verdana" w:hAnsi="Verdana"/>
          <w:sz w:val="20"/>
          <w:szCs w:val="20"/>
          <w:lang w:val="pt-BR"/>
        </w:rPr>
        <w:t xml:space="preserve"> que </w:t>
      </w:r>
      <w:r w:rsidR="008806F8" w:rsidRPr="0038442F">
        <w:rPr>
          <w:rFonts w:ascii="Verdana" w:hAnsi="Verdana"/>
          <w:sz w:val="20"/>
          <w:szCs w:val="20"/>
          <w:lang w:val="pt-BR"/>
        </w:rPr>
        <w:t xml:space="preserve">a Corte </w:t>
      </w:r>
      <w:r w:rsidR="00DA144F" w:rsidRPr="0038442F">
        <w:rPr>
          <w:rFonts w:ascii="Verdana" w:hAnsi="Verdana"/>
          <w:sz w:val="20"/>
          <w:szCs w:val="20"/>
          <w:lang w:val="pt-BR"/>
        </w:rPr>
        <w:t xml:space="preserve">IDH </w:t>
      </w:r>
      <w:r w:rsidR="00DE4A47" w:rsidRPr="0038442F">
        <w:rPr>
          <w:rFonts w:ascii="Verdana" w:hAnsi="Verdana"/>
          <w:sz w:val="20"/>
          <w:szCs w:val="20"/>
          <w:lang w:val="pt-BR"/>
        </w:rPr>
        <w:t>constat</w:t>
      </w:r>
      <w:r w:rsidR="00B86998" w:rsidRPr="0038442F">
        <w:rPr>
          <w:rFonts w:ascii="Verdana" w:hAnsi="Verdana"/>
          <w:sz w:val="20"/>
          <w:szCs w:val="20"/>
          <w:lang w:val="pt-BR"/>
        </w:rPr>
        <w:t>ou</w:t>
      </w:r>
      <w:r w:rsidR="00407242" w:rsidRPr="0038442F">
        <w:rPr>
          <w:rFonts w:ascii="Verdana" w:hAnsi="Verdana"/>
          <w:sz w:val="20"/>
          <w:szCs w:val="20"/>
          <w:lang w:val="pt-BR"/>
        </w:rPr>
        <w:t xml:space="preserv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DA144F" w:rsidRPr="0038442F">
        <w:rPr>
          <w:rFonts w:ascii="Verdana" w:hAnsi="Verdana"/>
          <w:sz w:val="20"/>
          <w:szCs w:val="20"/>
          <w:lang w:val="pt-BR"/>
        </w:rPr>
        <w:t>viola</w:t>
      </w:r>
      <w:r w:rsidR="000A1AA8" w:rsidRPr="0038442F">
        <w:rPr>
          <w:rFonts w:ascii="Verdana" w:hAnsi="Verdana"/>
          <w:sz w:val="20"/>
          <w:szCs w:val="20"/>
          <w:lang w:val="pt-BR"/>
        </w:rPr>
        <w:t>ção</w:t>
      </w:r>
      <w:r w:rsidR="00DA144F" w:rsidRPr="0038442F">
        <w:rPr>
          <w:rFonts w:ascii="Verdana" w:hAnsi="Verdana"/>
          <w:sz w:val="20"/>
          <w:szCs w:val="20"/>
          <w:lang w:val="pt-BR"/>
        </w:rPr>
        <w:t xml:space="preserve"> </w:t>
      </w:r>
      <w:r w:rsidR="005F6CCC" w:rsidRPr="0038442F">
        <w:rPr>
          <w:rFonts w:ascii="Verdana" w:hAnsi="Verdana"/>
          <w:sz w:val="20"/>
          <w:szCs w:val="20"/>
          <w:lang w:val="pt-BR"/>
        </w:rPr>
        <w:t xml:space="preserve">explicitando </w:t>
      </w:r>
      <w:r w:rsidR="00DA144F" w:rsidRPr="0038442F">
        <w:rPr>
          <w:rFonts w:ascii="Verdana" w:hAnsi="Verdana"/>
          <w:sz w:val="20"/>
          <w:szCs w:val="20"/>
          <w:lang w:val="pt-BR"/>
        </w:rPr>
        <w:t>a distin</w:t>
      </w:r>
      <w:r w:rsidR="000A1AA8" w:rsidRPr="0038442F">
        <w:rPr>
          <w:rFonts w:ascii="Verdana" w:hAnsi="Verdana"/>
          <w:sz w:val="20"/>
          <w:szCs w:val="20"/>
          <w:lang w:val="pt-BR"/>
        </w:rPr>
        <w:t>ção</w:t>
      </w:r>
      <w:r w:rsidR="00DA144F" w:rsidRPr="0038442F">
        <w:rPr>
          <w:rFonts w:ascii="Verdana" w:hAnsi="Verdana"/>
          <w:sz w:val="20"/>
          <w:szCs w:val="20"/>
          <w:lang w:val="pt-BR"/>
        </w:rPr>
        <w:t xml:space="preserve"> conforme o </w:t>
      </w:r>
      <w:r w:rsidR="00602FF9" w:rsidRPr="0038442F">
        <w:rPr>
          <w:rFonts w:ascii="Verdana" w:hAnsi="Verdana"/>
          <w:sz w:val="20"/>
          <w:szCs w:val="20"/>
          <w:lang w:val="pt-BR"/>
        </w:rPr>
        <w:t>estabelecido</w:t>
      </w:r>
      <w:r w:rsidR="00407242" w:rsidRPr="0038442F">
        <w:rPr>
          <w:rFonts w:ascii="Verdana" w:hAnsi="Verdana"/>
          <w:sz w:val="20"/>
          <w:szCs w:val="20"/>
          <w:lang w:val="pt-BR"/>
        </w:rPr>
        <w:t xml:space="preserve"> </w:t>
      </w:r>
      <w:r w:rsidR="00BF7A10" w:rsidRPr="0038442F">
        <w:rPr>
          <w:rFonts w:ascii="Verdana" w:hAnsi="Verdana"/>
          <w:sz w:val="20"/>
          <w:szCs w:val="20"/>
          <w:lang w:val="pt-BR"/>
        </w:rPr>
        <w:t>n</w:t>
      </w:r>
      <w:r w:rsidR="00DE4A47" w:rsidRPr="0038442F">
        <w:rPr>
          <w:rFonts w:ascii="Verdana" w:hAnsi="Verdana"/>
          <w:sz w:val="20"/>
          <w:szCs w:val="20"/>
          <w:lang w:val="pt-BR"/>
        </w:rPr>
        <w:t>o</w:t>
      </w:r>
      <w:r w:rsidR="00BF7A10" w:rsidRPr="0038442F">
        <w:rPr>
          <w:rFonts w:ascii="Verdana" w:hAnsi="Verdana"/>
          <w:sz w:val="20"/>
          <w:szCs w:val="20"/>
          <w:lang w:val="pt-BR"/>
        </w:rPr>
        <w:t xml:space="preserve"> </w:t>
      </w:r>
      <w:r w:rsidR="00DA144F" w:rsidRPr="0038442F">
        <w:rPr>
          <w:rFonts w:ascii="Verdana" w:hAnsi="Verdana"/>
          <w:sz w:val="20"/>
          <w:szCs w:val="20"/>
          <w:lang w:val="pt-BR"/>
        </w:rPr>
        <w:t>OC-4</w:t>
      </w:r>
      <w:r w:rsidR="00DE4A47" w:rsidRPr="0038442F">
        <w:rPr>
          <w:rFonts w:ascii="Verdana" w:hAnsi="Verdana"/>
          <w:sz w:val="20"/>
          <w:szCs w:val="20"/>
          <w:lang w:val="pt-BR"/>
        </w:rPr>
        <w:t>;</w:t>
      </w:r>
      <w:r w:rsidR="00DA144F" w:rsidRPr="0038442F">
        <w:rPr>
          <w:rStyle w:val="Refdenotaalpie"/>
          <w:rFonts w:ascii="Verdana" w:hAnsi="Verdana"/>
          <w:sz w:val="20"/>
          <w:szCs w:val="20"/>
          <w:lang w:val="pt-BR"/>
        </w:rPr>
        <w:footnoteReference w:id="148"/>
      </w:r>
      <w:r w:rsidR="00DA144F" w:rsidRPr="0038442F">
        <w:rPr>
          <w:rFonts w:ascii="Verdana" w:hAnsi="Verdana"/>
          <w:sz w:val="20"/>
          <w:szCs w:val="20"/>
          <w:lang w:val="pt-BR"/>
        </w:rPr>
        <w:t xml:space="preserve"> </w:t>
      </w:r>
      <w:r w:rsidR="00DE4A47" w:rsidRPr="0038442F">
        <w:rPr>
          <w:rFonts w:ascii="Verdana" w:hAnsi="Verdana"/>
          <w:sz w:val="20"/>
          <w:szCs w:val="20"/>
          <w:lang w:val="pt-BR"/>
        </w:rPr>
        <w:t>no entanto</w:t>
      </w:r>
      <w:r w:rsidR="00DA144F" w:rsidRPr="0038442F">
        <w:rPr>
          <w:rFonts w:ascii="Verdana" w:hAnsi="Verdana"/>
          <w:sz w:val="20"/>
          <w:szCs w:val="20"/>
          <w:lang w:val="pt-BR"/>
        </w:rPr>
        <w:t xml:space="preserve">, </w:t>
      </w:r>
      <w:r w:rsidR="00DE4A47" w:rsidRPr="0038442F">
        <w:rPr>
          <w:rFonts w:ascii="Verdana" w:hAnsi="Verdana"/>
          <w:sz w:val="20"/>
          <w:szCs w:val="20"/>
          <w:lang w:val="pt-BR"/>
        </w:rPr>
        <w:t>q</w:t>
      </w:r>
      <w:r w:rsidR="00DA144F" w:rsidRPr="0038442F">
        <w:rPr>
          <w:rFonts w:ascii="Verdana" w:hAnsi="Verdana"/>
          <w:sz w:val="20"/>
          <w:szCs w:val="20"/>
          <w:lang w:val="pt-BR"/>
        </w:rPr>
        <w:t xml:space="preserve">uando declara a </w:t>
      </w:r>
      <w:r w:rsidR="00C92762" w:rsidRPr="0038442F">
        <w:rPr>
          <w:rFonts w:ascii="Verdana" w:hAnsi="Verdana"/>
          <w:sz w:val="20"/>
          <w:szCs w:val="20"/>
          <w:lang w:val="pt-BR"/>
        </w:rPr>
        <w:t>responsabilidade</w:t>
      </w:r>
      <w:r w:rsidR="00407242" w:rsidRPr="0038442F">
        <w:rPr>
          <w:rFonts w:ascii="Verdana" w:hAnsi="Verdana"/>
          <w:sz w:val="20"/>
          <w:szCs w:val="20"/>
          <w:lang w:val="pt-BR"/>
        </w:rPr>
        <w:t xml:space="preserve"> </w:t>
      </w:r>
      <w:r w:rsidR="00DA144F" w:rsidRPr="0038442F">
        <w:rPr>
          <w:rFonts w:ascii="Verdana" w:hAnsi="Verdana"/>
          <w:sz w:val="20"/>
          <w:szCs w:val="20"/>
          <w:lang w:val="pt-BR"/>
        </w:rPr>
        <w:t>internacional n</w:t>
      </w:r>
      <w:r w:rsidR="00DE4A47" w:rsidRPr="0038442F">
        <w:rPr>
          <w:rFonts w:ascii="Verdana" w:hAnsi="Verdana"/>
          <w:sz w:val="20"/>
          <w:szCs w:val="20"/>
          <w:lang w:val="pt-BR"/>
        </w:rPr>
        <w:t>ã</w:t>
      </w:r>
      <w:r w:rsidR="00DA144F" w:rsidRPr="0038442F">
        <w:rPr>
          <w:rFonts w:ascii="Verdana" w:hAnsi="Verdana"/>
          <w:sz w:val="20"/>
          <w:szCs w:val="20"/>
          <w:lang w:val="pt-BR"/>
        </w:rPr>
        <w:t xml:space="preserve">o </w:t>
      </w:r>
      <w:r w:rsidR="00DE4A47" w:rsidRPr="0038442F">
        <w:rPr>
          <w:rFonts w:ascii="Verdana" w:hAnsi="Verdana"/>
          <w:sz w:val="20"/>
          <w:szCs w:val="20"/>
          <w:lang w:val="pt-BR"/>
        </w:rPr>
        <w:t xml:space="preserve">tece as considerações sobre o </w:t>
      </w:r>
      <w:r w:rsidR="00DA144F" w:rsidRPr="0038442F">
        <w:rPr>
          <w:rFonts w:ascii="Verdana" w:hAnsi="Verdana"/>
          <w:sz w:val="20"/>
          <w:szCs w:val="20"/>
          <w:lang w:val="pt-BR"/>
        </w:rPr>
        <w:t xml:space="preserve">alcance </w:t>
      </w:r>
      <w:r w:rsidR="00C92762" w:rsidRPr="0038442F">
        <w:rPr>
          <w:rFonts w:ascii="Verdana" w:hAnsi="Verdana"/>
          <w:sz w:val="20"/>
          <w:szCs w:val="20"/>
          <w:lang w:val="pt-BR"/>
        </w:rPr>
        <w:t xml:space="preserve">dos </w:t>
      </w:r>
      <w:r w:rsidR="00DA144F" w:rsidRPr="0038442F">
        <w:rPr>
          <w:rFonts w:ascii="Verdana" w:hAnsi="Verdana"/>
          <w:sz w:val="20"/>
          <w:szCs w:val="20"/>
          <w:lang w:val="pt-BR"/>
        </w:rPr>
        <w:t xml:space="preserve">referidos </w:t>
      </w:r>
      <w:r w:rsidR="00BC6FC3" w:rsidRPr="0038442F">
        <w:rPr>
          <w:rFonts w:ascii="Verdana" w:hAnsi="Verdana"/>
          <w:sz w:val="20"/>
          <w:szCs w:val="20"/>
          <w:lang w:val="pt-BR"/>
        </w:rPr>
        <w:t>artigos</w:t>
      </w:r>
      <w:r w:rsidR="00DE4A47" w:rsidRPr="0038442F">
        <w:rPr>
          <w:rFonts w:ascii="Verdana" w:hAnsi="Verdana"/>
          <w:sz w:val="20"/>
          <w:szCs w:val="20"/>
          <w:lang w:val="pt-BR"/>
        </w:rPr>
        <w:t xml:space="preserve">, e pareceria que a </w:t>
      </w:r>
      <w:r w:rsidR="00DA144F" w:rsidRPr="0038442F">
        <w:rPr>
          <w:rFonts w:ascii="Verdana" w:hAnsi="Verdana"/>
          <w:sz w:val="20"/>
          <w:szCs w:val="20"/>
          <w:lang w:val="pt-BR"/>
        </w:rPr>
        <w:t>interpreta</w:t>
      </w:r>
      <w:r w:rsidR="000A1AA8" w:rsidRPr="0038442F">
        <w:rPr>
          <w:rFonts w:ascii="Verdana" w:hAnsi="Verdana"/>
          <w:sz w:val="20"/>
          <w:szCs w:val="20"/>
          <w:lang w:val="pt-BR"/>
        </w:rPr>
        <w:t>ção</w:t>
      </w:r>
      <w:r w:rsidR="00DA144F" w:rsidRPr="0038442F">
        <w:rPr>
          <w:rFonts w:ascii="Verdana" w:hAnsi="Verdana"/>
          <w:sz w:val="20"/>
          <w:szCs w:val="20"/>
          <w:lang w:val="pt-BR"/>
        </w:rPr>
        <w:t xml:space="preserve"> </w:t>
      </w:r>
      <w:r w:rsidR="00DE4A47" w:rsidRPr="0038442F">
        <w:rPr>
          <w:rFonts w:ascii="Verdana" w:hAnsi="Verdana"/>
          <w:sz w:val="20"/>
          <w:szCs w:val="20"/>
          <w:lang w:val="pt-BR"/>
        </w:rPr>
        <w:t xml:space="preserve">mediante a qual se declara essa </w:t>
      </w:r>
      <w:r w:rsidR="00C92762" w:rsidRPr="0038442F">
        <w:rPr>
          <w:rFonts w:ascii="Verdana" w:hAnsi="Verdana"/>
          <w:sz w:val="20"/>
          <w:szCs w:val="20"/>
          <w:lang w:val="pt-BR"/>
        </w:rPr>
        <w:t>responsabilidade</w:t>
      </w:r>
      <w:r w:rsidR="00407242" w:rsidRPr="0038442F">
        <w:rPr>
          <w:rFonts w:ascii="Verdana" w:hAnsi="Verdana"/>
          <w:sz w:val="20"/>
          <w:szCs w:val="20"/>
          <w:lang w:val="pt-BR"/>
        </w:rPr>
        <w:t xml:space="preserve"> </w:t>
      </w:r>
      <w:r w:rsidR="00DE4A47" w:rsidRPr="0038442F">
        <w:rPr>
          <w:rFonts w:ascii="Verdana" w:hAnsi="Verdana"/>
          <w:sz w:val="20"/>
          <w:szCs w:val="20"/>
          <w:lang w:val="pt-BR"/>
        </w:rPr>
        <w:t xml:space="preserve">é mais </w:t>
      </w:r>
      <w:r w:rsidR="00DA144F" w:rsidRPr="0038442F">
        <w:rPr>
          <w:rFonts w:ascii="Verdana" w:hAnsi="Verdana"/>
          <w:sz w:val="20"/>
          <w:szCs w:val="20"/>
          <w:lang w:val="pt-BR"/>
        </w:rPr>
        <w:t xml:space="preserve">acorde </w:t>
      </w:r>
      <w:r w:rsidR="00DE4A47" w:rsidRPr="0038442F">
        <w:rPr>
          <w:rFonts w:ascii="Verdana" w:hAnsi="Verdana"/>
          <w:sz w:val="20"/>
          <w:szCs w:val="20"/>
          <w:lang w:val="pt-BR"/>
        </w:rPr>
        <w:t xml:space="preserve">com o </w:t>
      </w:r>
      <w:r w:rsidR="00602FF9" w:rsidRPr="0038442F">
        <w:rPr>
          <w:rFonts w:ascii="Verdana" w:hAnsi="Verdana"/>
          <w:sz w:val="20"/>
          <w:szCs w:val="20"/>
          <w:lang w:val="pt-BR"/>
        </w:rPr>
        <w:t>estabelecido</w:t>
      </w:r>
      <w:r w:rsidR="00407242" w:rsidRPr="0038442F">
        <w:rPr>
          <w:rFonts w:ascii="Verdana" w:hAnsi="Verdana"/>
          <w:sz w:val="20"/>
          <w:szCs w:val="20"/>
          <w:lang w:val="pt-BR"/>
        </w:rPr>
        <w:t xml:space="preserve"> </w:t>
      </w:r>
      <w:r w:rsidR="00BF7A10" w:rsidRPr="0038442F">
        <w:rPr>
          <w:rFonts w:ascii="Verdana" w:hAnsi="Verdana"/>
          <w:sz w:val="20"/>
          <w:szCs w:val="20"/>
          <w:lang w:val="pt-BR"/>
        </w:rPr>
        <w:t>n</w:t>
      </w:r>
      <w:r w:rsidR="00DE4A47" w:rsidRPr="0038442F">
        <w:rPr>
          <w:rFonts w:ascii="Verdana" w:hAnsi="Verdana"/>
          <w:sz w:val="20"/>
          <w:szCs w:val="20"/>
          <w:lang w:val="pt-BR"/>
        </w:rPr>
        <w:t>o</w:t>
      </w:r>
      <w:r w:rsidR="00BF7A10" w:rsidRPr="0038442F">
        <w:rPr>
          <w:rFonts w:ascii="Verdana" w:hAnsi="Verdana"/>
          <w:sz w:val="20"/>
          <w:szCs w:val="20"/>
          <w:lang w:val="pt-BR"/>
        </w:rPr>
        <w:t xml:space="preserve"> </w:t>
      </w:r>
      <w:r w:rsidR="00DA144F" w:rsidRPr="0038442F">
        <w:rPr>
          <w:rFonts w:ascii="Verdana" w:hAnsi="Verdana"/>
          <w:sz w:val="20"/>
          <w:szCs w:val="20"/>
          <w:lang w:val="pt-BR"/>
        </w:rPr>
        <w:t>OC-10</w:t>
      </w:r>
      <w:r w:rsidR="00DE4A47" w:rsidRPr="0038442F">
        <w:rPr>
          <w:rFonts w:ascii="Verdana" w:hAnsi="Verdana"/>
          <w:sz w:val="20"/>
          <w:szCs w:val="20"/>
          <w:lang w:val="pt-BR"/>
        </w:rPr>
        <w:t>.</w:t>
      </w:r>
      <w:r w:rsidR="00DA144F" w:rsidRPr="0038442F">
        <w:rPr>
          <w:rStyle w:val="Refdenotaalpie"/>
          <w:rFonts w:ascii="Verdana" w:hAnsi="Verdana"/>
          <w:sz w:val="20"/>
          <w:szCs w:val="20"/>
          <w:lang w:val="pt-BR"/>
        </w:rPr>
        <w:footnoteReference w:id="149"/>
      </w:r>
      <w:r w:rsidR="00DA144F" w:rsidRPr="0038442F">
        <w:rPr>
          <w:rFonts w:ascii="Verdana" w:hAnsi="Verdana"/>
          <w:sz w:val="20"/>
          <w:szCs w:val="20"/>
          <w:lang w:val="pt-BR"/>
        </w:rPr>
        <w:t xml:space="preserve"> </w:t>
      </w:r>
    </w:p>
    <w:p w14:paraId="593390CA" w14:textId="77777777" w:rsidR="00DA144F" w:rsidRPr="0038442F" w:rsidRDefault="00DA144F" w:rsidP="00A857CB">
      <w:pPr>
        <w:pStyle w:val="Prrafodelista"/>
        <w:spacing w:line="240" w:lineRule="auto"/>
        <w:ind w:left="0"/>
        <w:jc w:val="both"/>
        <w:rPr>
          <w:rFonts w:ascii="Verdana" w:hAnsi="Verdana"/>
          <w:i/>
          <w:iCs/>
          <w:sz w:val="20"/>
          <w:szCs w:val="20"/>
          <w:lang w:val="pt-BR"/>
        </w:rPr>
      </w:pPr>
    </w:p>
    <w:p w14:paraId="2A467C30" w14:textId="59067CBA" w:rsidR="006F25D0" w:rsidRPr="0038442F" w:rsidRDefault="00EE4EC3" w:rsidP="00EE4EC3">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88.</w:t>
      </w:r>
      <w:r w:rsidRPr="0038442F">
        <w:rPr>
          <w:rFonts w:ascii="Verdana" w:hAnsi="Verdana"/>
          <w:sz w:val="20"/>
          <w:szCs w:val="20"/>
          <w:lang w:val="pt-BR"/>
        </w:rPr>
        <w:tab/>
      </w:r>
      <w:r w:rsidR="00DE4A47" w:rsidRPr="0038442F">
        <w:rPr>
          <w:rFonts w:ascii="Verdana" w:hAnsi="Verdana"/>
          <w:sz w:val="20"/>
          <w:szCs w:val="20"/>
          <w:lang w:val="pt-BR"/>
        </w:rPr>
        <w:t xml:space="preserve">Até esse </w:t>
      </w:r>
      <w:r w:rsidR="00DA144F" w:rsidRPr="0038442F">
        <w:rPr>
          <w:rFonts w:ascii="Verdana" w:hAnsi="Verdana"/>
          <w:sz w:val="20"/>
          <w:szCs w:val="20"/>
          <w:lang w:val="pt-BR"/>
        </w:rPr>
        <w:t>p</w:t>
      </w:r>
      <w:r w:rsidR="00DE4A47" w:rsidRPr="0038442F">
        <w:rPr>
          <w:rFonts w:ascii="Verdana" w:hAnsi="Verdana"/>
          <w:sz w:val="20"/>
          <w:szCs w:val="20"/>
          <w:lang w:val="pt-BR"/>
        </w:rPr>
        <w:t>o</w:t>
      </w:r>
      <w:r w:rsidR="00DA144F" w:rsidRPr="0038442F">
        <w:rPr>
          <w:rFonts w:ascii="Verdana" w:hAnsi="Verdana"/>
          <w:sz w:val="20"/>
          <w:szCs w:val="20"/>
          <w:lang w:val="pt-BR"/>
        </w:rPr>
        <w:t>nto</w:t>
      </w:r>
      <w:r w:rsidR="005236DE" w:rsidRPr="0038442F">
        <w:rPr>
          <w:rFonts w:ascii="Verdana" w:hAnsi="Verdana"/>
          <w:sz w:val="20"/>
          <w:szCs w:val="20"/>
          <w:lang w:val="pt-BR"/>
        </w:rPr>
        <w:t>,</w:t>
      </w:r>
      <w:r w:rsidR="00DA144F" w:rsidRPr="0038442F">
        <w:rPr>
          <w:rFonts w:ascii="Verdana" w:hAnsi="Verdana"/>
          <w:sz w:val="20"/>
          <w:szCs w:val="20"/>
          <w:lang w:val="pt-BR"/>
        </w:rPr>
        <w:t xml:space="preserve"> </w:t>
      </w:r>
      <w:r w:rsidR="00DE4A47" w:rsidRPr="0038442F">
        <w:rPr>
          <w:rFonts w:ascii="Verdana" w:hAnsi="Verdana"/>
          <w:sz w:val="20"/>
          <w:szCs w:val="20"/>
          <w:lang w:val="pt-BR"/>
        </w:rPr>
        <w:t xml:space="preserve">pareceria que a tendência </w:t>
      </w:r>
      <w:r w:rsidR="00DA144F" w:rsidRPr="0038442F">
        <w:rPr>
          <w:rFonts w:ascii="Verdana" w:hAnsi="Verdana"/>
          <w:sz w:val="20"/>
          <w:szCs w:val="20"/>
          <w:lang w:val="pt-BR"/>
        </w:rPr>
        <w:t>jurisprudencia</w:t>
      </w:r>
      <w:r w:rsidR="00781273" w:rsidRPr="0038442F">
        <w:rPr>
          <w:rFonts w:ascii="Verdana" w:hAnsi="Verdana"/>
          <w:sz w:val="20"/>
          <w:szCs w:val="20"/>
          <w:lang w:val="pt-BR"/>
        </w:rPr>
        <w:t>l</w:t>
      </w:r>
      <w:r w:rsidR="00DA144F"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DA144F" w:rsidRPr="0038442F">
        <w:rPr>
          <w:rFonts w:ascii="Verdana" w:hAnsi="Verdana"/>
          <w:sz w:val="20"/>
          <w:szCs w:val="20"/>
          <w:lang w:val="pt-BR"/>
        </w:rPr>
        <w:t>Corte</w:t>
      </w:r>
      <w:r w:rsidRPr="0038442F">
        <w:rPr>
          <w:rFonts w:ascii="Verdana" w:hAnsi="Verdana"/>
          <w:sz w:val="20"/>
          <w:szCs w:val="20"/>
          <w:lang w:val="pt-BR"/>
        </w:rPr>
        <w:t xml:space="preserve"> IDH</w:t>
      </w:r>
      <w:r w:rsidR="00DA144F" w:rsidRPr="0038442F">
        <w:rPr>
          <w:rFonts w:ascii="Verdana" w:hAnsi="Verdana"/>
          <w:sz w:val="20"/>
          <w:szCs w:val="20"/>
          <w:lang w:val="pt-BR"/>
        </w:rPr>
        <w:t xml:space="preserve"> </w:t>
      </w:r>
      <w:r w:rsidR="00DE4A47" w:rsidRPr="0038442F">
        <w:rPr>
          <w:rFonts w:ascii="Verdana" w:hAnsi="Verdana"/>
          <w:sz w:val="20"/>
          <w:szCs w:val="20"/>
          <w:lang w:val="pt-BR"/>
        </w:rPr>
        <w:t xml:space="preserve">até o ano </w:t>
      </w:r>
      <w:r w:rsidR="00B9378C" w:rsidRPr="0038442F">
        <w:rPr>
          <w:rFonts w:ascii="Verdana" w:hAnsi="Verdana"/>
          <w:sz w:val="20"/>
          <w:szCs w:val="20"/>
          <w:lang w:val="pt-BR"/>
        </w:rPr>
        <w:t xml:space="preserve">de </w:t>
      </w:r>
      <w:r w:rsidR="006F25D0" w:rsidRPr="0038442F">
        <w:rPr>
          <w:rFonts w:ascii="Verdana" w:hAnsi="Verdana"/>
          <w:sz w:val="20"/>
          <w:szCs w:val="20"/>
          <w:lang w:val="pt-BR"/>
        </w:rPr>
        <w:t>2005</w:t>
      </w:r>
      <w:r w:rsidR="00DA144F" w:rsidRPr="0038442F">
        <w:rPr>
          <w:rFonts w:ascii="Verdana" w:hAnsi="Verdana"/>
          <w:sz w:val="20"/>
          <w:szCs w:val="20"/>
          <w:lang w:val="pt-BR"/>
        </w:rPr>
        <w:t xml:space="preserve"> era distinguir </w:t>
      </w:r>
      <w:r w:rsidR="00DE4A47" w:rsidRPr="0038442F">
        <w:rPr>
          <w:rFonts w:ascii="Verdana" w:hAnsi="Verdana"/>
          <w:sz w:val="20"/>
          <w:szCs w:val="20"/>
          <w:lang w:val="pt-BR"/>
        </w:rPr>
        <w:t>o conteúdo d</w:t>
      </w:r>
      <w:r w:rsidR="006A12FD" w:rsidRPr="0038442F">
        <w:rPr>
          <w:rFonts w:ascii="Verdana" w:hAnsi="Verdana"/>
          <w:sz w:val="20"/>
          <w:szCs w:val="20"/>
          <w:lang w:val="pt-BR"/>
        </w:rPr>
        <w:t xml:space="preserve">os artigos </w:t>
      </w:r>
      <w:r w:rsidR="00DA144F" w:rsidRPr="0038442F">
        <w:rPr>
          <w:rFonts w:ascii="Verdana" w:hAnsi="Verdana"/>
          <w:sz w:val="20"/>
          <w:szCs w:val="20"/>
          <w:lang w:val="pt-BR"/>
        </w:rPr>
        <w:t xml:space="preserve">conforme </w:t>
      </w:r>
      <w:r w:rsidR="00DE4A47" w:rsidRPr="0038442F">
        <w:rPr>
          <w:rFonts w:ascii="Verdana" w:hAnsi="Verdana"/>
          <w:sz w:val="20"/>
          <w:szCs w:val="20"/>
          <w:lang w:val="pt-BR"/>
        </w:rPr>
        <w:t xml:space="preserve">o </w:t>
      </w:r>
      <w:r w:rsidR="00DA144F" w:rsidRPr="0038442F">
        <w:rPr>
          <w:rFonts w:ascii="Verdana" w:hAnsi="Verdana"/>
          <w:sz w:val="20"/>
          <w:szCs w:val="20"/>
          <w:lang w:val="pt-BR"/>
        </w:rPr>
        <w:t xml:space="preserve">OC-4, </w:t>
      </w:r>
      <w:r w:rsidR="00DE4A47" w:rsidRPr="0038442F">
        <w:rPr>
          <w:rFonts w:ascii="Verdana" w:hAnsi="Verdana"/>
          <w:sz w:val="20"/>
          <w:szCs w:val="20"/>
          <w:lang w:val="pt-BR"/>
        </w:rPr>
        <w:t xml:space="preserve">ou seja, o </w:t>
      </w:r>
      <w:r w:rsidR="00DA144F" w:rsidRPr="0038442F">
        <w:rPr>
          <w:rFonts w:ascii="Verdana" w:hAnsi="Verdana"/>
          <w:sz w:val="20"/>
          <w:szCs w:val="20"/>
          <w:lang w:val="pt-BR"/>
        </w:rPr>
        <w:t xml:space="preserve">art. 1.1 se aplica </w:t>
      </w:r>
      <w:r w:rsidR="00DE4A47" w:rsidRPr="0038442F">
        <w:rPr>
          <w:rFonts w:ascii="Verdana" w:hAnsi="Verdana"/>
          <w:sz w:val="20"/>
          <w:szCs w:val="20"/>
          <w:lang w:val="pt-BR"/>
        </w:rPr>
        <w:t xml:space="preserve">a </w:t>
      </w:r>
      <w:r w:rsidR="009D16DD" w:rsidRPr="0038442F">
        <w:rPr>
          <w:rFonts w:ascii="Verdana" w:hAnsi="Verdana"/>
          <w:sz w:val="20"/>
          <w:szCs w:val="20"/>
          <w:lang w:val="pt-BR"/>
        </w:rPr>
        <w:t>respeito</w:t>
      </w:r>
      <w:r w:rsidR="00407242" w:rsidRPr="0038442F">
        <w:rPr>
          <w:rFonts w:ascii="Verdana" w:hAnsi="Verdana"/>
          <w:sz w:val="20"/>
          <w:szCs w:val="20"/>
          <w:lang w:val="pt-BR"/>
        </w:rPr>
        <w:t xml:space="preserve"> </w:t>
      </w:r>
      <w:r w:rsidR="00DA144F" w:rsidRPr="0038442F">
        <w:rPr>
          <w:rFonts w:ascii="Verdana" w:hAnsi="Verdana"/>
          <w:sz w:val="20"/>
          <w:szCs w:val="20"/>
          <w:lang w:val="pt-BR"/>
        </w:rPr>
        <w:t>de tod</w:t>
      </w:r>
      <w:r w:rsidR="00C74D43">
        <w:rPr>
          <w:rFonts w:ascii="Verdana" w:hAnsi="Verdana"/>
          <w:sz w:val="20"/>
          <w:szCs w:val="20"/>
          <w:lang w:val="pt-BR"/>
        </w:rPr>
        <w:t>o</w:t>
      </w:r>
      <w:r w:rsidR="00DA144F" w:rsidRPr="0038442F">
        <w:rPr>
          <w:rFonts w:ascii="Verdana" w:hAnsi="Verdana"/>
          <w:sz w:val="20"/>
          <w:szCs w:val="20"/>
          <w:lang w:val="pt-BR"/>
        </w:rPr>
        <w:t xml:space="preserve">s </w:t>
      </w:r>
      <w:r w:rsidR="00C74D43">
        <w:rPr>
          <w:rFonts w:ascii="Verdana" w:hAnsi="Verdana"/>
          <w:sz w:val="20"/>
          <w:szCs w:val="20"/>
          <w:lang w:val="pt-BR"/>
        </w:rPr>
        <w:t>o</w:t>
      </w:r>
      <w:r w:rsidR="00DA144F" w:rsidRPr="0038442F">
        <w:rPr>
          <w:rFonts w:ascii="Verdana" w:hAnsi="Verdana"/>
          <w:sz w:val="20"/>
          <w:szCs w:val="20"/>
          <w:lang w:val="pt-BR"/>
        </w:rPr>
        <w:t>s disposi</w:t>
      </w:r>
      <w:r w:rsidR="00C74D43">
        <w:rPr>
          <w:rFonts w:ascii="Verdana" w:hAnsi="Verdana"/>
          <w:sz w:val="20"/>
          <w:szCs w:val="20"/>
          <w:lang w:val="pt-BR"/>
        </w:rPr>
        <w:t>tivos</w:t>
      </w:r>
      <w:r w:rsidR="000A1AA8" w:rsidRPr="0038442F">
        <w:rPr>
          <w:rFonts w:ascii="Verdana" w:hAnsi="Verdana"/>
          <w:sz w:val="20"/>
          <w:szCs w:val="20"/>
          <w:lang w:val="pt-BR"/>
        </w:rPr>
        <w:t>s</w:t>
      </w:r>
      <w:r w:rsidR="00DA144F"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DA144F" w:rsidRPr="0038442F">
        <w:rPr>
          <w:rFonts w:ascii="Verdana" w:hAnsi="Verdana"/>
          <w:sz w:val="20"/>
          <w:szCs w:val="20"/>
          <w:lang w:val="pt-BR"/>
        </w:rPr>
        <w:t>Conven</w:t>
      </w:r>
      <w:r w:rsidR="000A1AA8" w:rsidRPr="0038442F">
        <w:rPr>
          <w:rFonts w:ascii="Verdana" w:hAnsi="Verdana"/>
          <w:sz w:val="20"/>
          <w:szCs w:val="20"/>
          <w:lang w:val="pt-BR"/>
        </w:rPr>
        <w:t>ção</w:t>
      </w:r>
      <w:r w:rsidR="00DA144F" w:rsidRPr="0038442F">
        <w:rPr>
          <w:rFonts w:ascii="Verdana" w:hAnsi="Verdana"/>
          <w:sz w:val="20"/>
          <w:szCs w:val="20"/>
          <w:lang w:val="pt-BR"/>
        </w:rPr>
        <w:t xml:space="preserve"> (e</w:t>
      </w:r>
      <w:r w:rsidR="00DE4A47" w:rsidRPr="0038442F">
        <w:rPr>
          <w:rFonts w:ascii="Verdana" w:hAnsi="Verdana"/>
          <w:sz w:val="20"/>
          <w:szCs w:val="20"/>
          <w:lang w:val="pt-BR"/>
        </w:rPr>
        <w:t>m</w:t>
      </w:r>
      <w:r w:rsidR="00DA144F" w:rsidRPr="0038442F">
        <w:rPr>
          <w:rFonts w:ascii="Verdana" w:hAnsi="Verdana"/>
          <w:sz w:val="20"/>
          <w:szCs w:val="20"/>
          <w:lang w:val="pt-BR"/>
        </w:rPr>
        <w:t xml:space="preserve"> especial</w:t>
      </w:r>
      <w:r w:rsidR="00DE4A47" w:rsidRPr="0038442F">
        <w:rPr>
          <w:rFonts w:ascii="Verdana" w:hAnsi="Verdana"/>
          <w:sz w:val="20"/>
          <w:szCs w:val="20"/>
          <w:lang w:val="pt-BR"/>
        </w:rPr>
        <w:t>,</w:t>
      </w:r>
      <w:r w:rsidR="00DA144F" w:rsidRPr="0038442F">
        <w:rPr>
          <w:rFonts w:ascii="Verdana" w:hAnsi="Verdana"/>
          <w:sz w:val="20"/>
          <w:szCs w:val="20"/>
          <w:lang w:val="pt-BR"/>
        </w:rPr>
        <w:t xml:space="preserve"> conforme a proibi</w:t>
      </w:r>
      <w:r w:rsidR="000A1AA8" w:rsidRPr="0038442F">
        <w:rPr>
          <w:rFonts w:ascii="Verdana" w:hAnsi="Verdana"/>
          <w:sz w:val="20"/>
          <w:szCs w:val="20"/>
          <w:lang w:val="pt-BR"/>
        </w:rPr>
        <w:t>ção</w:t>
      </w:r>
      <w:r w:rsidR="00DA144F" w:rsidRPr="0038442F">
        <w:rPr>
          <w:rFonts w:ascii="Verdana" w:hAnsi="Verdana"/>
          <w:sz w:val="20"/>
          <w:szCs w:val="20"/>
          <w:lang w:val="pt-BR"/>
        </w:rPr>
        <w:t xml:space="preserve"> de discrimina</w:t>
      </w:r>
      <w:r w:rsidR="000A1AA8" w:rsidRPr="0038442F">
        <w:rPr>
          <w:rFonts w:ascii="Verdana" w:hAnsi="Verdana"/>
          <w:sz w:val="20"/>
          <w:szCs w:val="20"/>
          <w:lang w:val="pt-BR"/>
        </w:rPr>
        <w:t>ção</w:t>
      </w:r>
      <w:r w:rsidR="00DA144F" w:rsidRPr="0038442F">
        <w:rPr>
          <w:rFonts w:ascii="Verdana" w:hAnsi="Verdana"/>
          <w:sz w:val="20"/>
          <w:szCs w:val="20"/>
          <w:lang w:val="pt-BR"/>
        </w:rPr>
        <w:t xml:space="preserve"> </w:t>
      </w:r>
      <w:r w:rsidR="006F25D0" w:rsidRPr="0038442F">
        <w:rPr>
          <w:rFonts w:ascii="Verdana" w:hAnsi="Verdana"/>
          <w:sz w:val="20"/>
          <w:szCs w:val="20"/>
          <w:lang w:val="pt-BR"/>
        </w:rPr>
        <w:t>por categor</w:t>
      </w:r>
      <w:r w:rsidR="00DE4A47" w:rsidRPr="0038442F">
        <w:rPr>
          <w:rFonts w:ascii="Verdana" w:hAnsi="Verdana"/>
          <w:sz w:val="20"/>
          <w:szCs w:val="20"/>
          <w:lang w:val="pt-BR"/>
        </w:rPr>
        <w:t>i</w:t>
      </w:r>
      <w:r w:rsidR="006F25D0" w:rsidRPr="0038442F">
        <w:rPr>
          <w:rFonts w:ascii="Verdana" w:hAnsi="Verdana"/>
          <w:sz w:val="20"/>
          <w:szCs w:val="20"/>
          <w:lang w:val="pt-BR"/>
        </w:rPr>
        <w:t>as</w:t>
      </w:r>
      <w:r w:rsidR="00B143E3">
        <w:rPr>
          <w:rFonts w:ascii="Verdana" w:hAnsi="Verdana"/>
          <w:sz w:val="20"/>
          <w:szCs w:val="20"/>
          <w:lang w:val="pt-BR"/>
        </w:rPr>
        <w:t xml:space="preserve"> específicas</w:t>
      </w:r>
      <w:r w:rsidR="00DA144F" w:rsidRPr="0038442F">
        <w:rPr>
          <w:rFonts w:ascii="Verdana" w:hAnsi="Verdana"/>
          <w:sz w:val="20"/>
          <w:szCs w:val="20"/>
          <w:lang w:val="pt-BR"/>
        </w:rPr>
        <w:t xml:space="preserve">), </w:t>
      </w:r>
      <w:r w:rsidR="00DE4A47" w:rsidRPr="0038442F">
        <w:rPr>
          <w:rFonts w:ascii="Verdana" w:hAnsi="Verdana"/>
          <w:sz w:val="20"/>
          <w:szCs w:val="20"/>
          <w:lang w:val="pt-BR"/>
        </w:rPr>
        <w:t xml:space="preserve">ao passo que o </w:t>
      </w:r>
      <w:r w:rsidR="00DA144F" w:rsidRPr="0038442F">
        <w:rPr>
          <w:rFonts w:ascii="Verdana" w:hAnsi="Verdana"/>
          <w:sz w:val="20"/>
          <w:szCs w:val="20"/>
          <w:lang w:val="pt-BR"/>
        </w:rPr>
        <w:t>art. 24</w:t>
      </w:r>
      <w:r w:rsidR="00081DB7" w:rsidRPr="0038442F">
        <w:rPr>
          <w:rFonts w:ascii="Verdana" w:hAnsi="Verdana"/>
          <w:sz w:val="20"/>
          <w:szCs w:val="20"/>
          <w:lang w:val="pt-BR"/>
        </w:rPr>
        <w:t>,</w:t>
      </w:r>
      <w:r w:rsidR="00DA144F" w:rsidRPr="0038442F">
        <w:rPr>
          <w:rFonts w:ascii="Verdana" w:hAnsi="Verdana"/>
          <w:sz w:val="20"/>
          <w:szCs w:val="20"/>
          <w:lang w:val="pt-BR"/>
        </w:rPr>
        <w:t xml:space="preserve"> </w:t>
      </w:r>
      <w:r w:rsidR="00B86998" w:rsidRPr="0038442F">
        <w:rPr>
          <w:rFonts w:ascii="Verdana" w:hAnsi="Verdana"/>
          <w:sz w:val="20"/>
          <w:szCs w:val="20"/>
          <w:lang w:val="pt-BR"/>
        </w:rPr>
        <w:t>a respeito d</w:t>
      </w:r>
      <w:r w:rsidR="00DA144F" w:rsidRPr="0038442F">
        <w:rPr>
          <w:rFonts w:ascii="Verdana" w:hAnsi="Verdana"/>
          <w:sz w:val="20"/>
          <w:szCs w:val="20"/>
          <w:lang w:val="pt-BR"/>
        </w:rPr>
        <w:t xml:space="preserve">a </w:t>
      </w:r>
      <w:r w:rsidR="00DE4A47" w:rsidRPr="0038442F">
        <w:rPr>
          <w:rFonts w:ascii="Verdana" w:hAnsi="Verdana"/>
          <w:sz w:val="20"/>
          <w:szCs w:val="20"/>
          <w:lang w:val="pt-BR"/>
        </w:rPr>
        <w:t xml:space="preserve">legislação </w:t>
      </w:r>
      <w:r w:rsidR="00DA144F" w:rsidRPr="0038442F">
        <w:rPr>
          <w:rFonts w:ascii="Verdana" w:hAnsi="Verdana"/>
          <w:sz w:val="20"/>
          <w:szCs w:val="20"/>
          <w:lang w:val="pt-BR"/>
        </w:rPr>
        <w:t>interna. N</w:t>
      </w:r>
      <w:r w:rsidR="00DE4A47" w:rsidRPr="0038442F">
        <w:rPr>
          <w:rFonts w:ascii="Verdana" w:hAnsi="Verdana"/>
          <w:sz w:val="20"/>
          <w:szCs w:val="20"/>
          <w:lang w:val="pt-BR"/>
        </w:rPr>
        <w:t>ã</w:t>
      </w:r>
      <w:r w:rsidR="00DA144F" w:rsidRPr="0038442F">
        <w:rPr>
          <w:rFonts w:ascii="Verdana" w:hAnsi="Verdana"/>
          <w:sz w:val="20"/>
          <w:szCs w:val="20"/>
          <w:lang w:val="pt-BR"/>
        </w:rPr>
        <w:t>o obst</w:t>
      </w:r>
      <w:r w:rsidR="006F25D0" w:rsidRPr="0038442F">
        <w:rPr>
          <w:rFonts w:ascii="Verdana" w:hAnsi="Verdana"/>
          <w:sz w:val="20"/>
          <w:szCs w:val="20"/>
          <w:lang w:val="pt-BR"/>
        </w:rPr>
        <w:t>ante</w:t>
      </w:r>
      <w:r w:rsidR="00DE4A47" w:rsidRPr="0038442F">
        <w:rPr>
          <w:rFonts w:ascii="Verdana" w:hAnsi="Verdana"/>
          <w:sz w:val="20"/>
          <w:szCs w:val="20"/>
          <w:lang w:val="pt-BR"/>
        </w:rPr>
        <w:t xml:space="preserve"> isso</w:t>
      </w:r>
      <w:r w:rsidR="006F25D0" w:rsidRPr="0038442F">
        <w:rPr>
          <w:rFonts w:ascii="Verdana" w:hAnsi="Verdana"/>
          <w:sz w:val="20"/>
          <w:szCs w:val="20"/>
          <w:lang w:val="pt-BR"/>
        </w:rPr>
        <w:t xml:space="preserve">, </w:t>
      </w:r>
      <w:r w:rsidR="00DE4A47" w:rsidRPr="0038442F">
        <w:rPr>
          <w:rFonts w:ascii="Verdana" w:hAnsi="Verdana"/>
          <w:sz w:val="20"/>
          <w:szCs w:val="20"/>
          <w:lang w:val="pt-BR"/>
        </w:rPr>
        <w:t xml:space="preserve">duas decisões </w:t>
      </w:r>
      <w:r w:rsidR="006F25D0" w:rsidRPr="0038442F">
        <w:rPr>
          <w:rFonts w:ascii="Verdana" w:hAnsi="Verdana"/>
          <w:sz w:val="20"/>
          <w:szCs w:val="20"/>
          <w:lang w:val="pt-BR"/>
        </w:rPr>
        <w:t xml:space="preserve">antes de 2008 </w:t>
      </w:r>
      <w:r w:rsidR="00B9378C" w:rsidRPr="0038442F">
        <w:rPr>
          <w:rFonts w:ascii="Verdana" w:hAnsi="Verdana"/>
          <w:sz w:val="20"/>
          <w:szCs w:val="20"/>
          <w:lang w:val="pt-BR"/>
        </w:rPr>
        <w:t>r</w:t>
      </w:r>
      <w:r w:rsidR="00DE4A47" w:rsidRPr="0038442F">
        <w:rPr>
          <w:rFonts w:ascii="Verdana" w:hAnsi="Verdana"/>
          <w:sz w:val="20"/>
          <w:szCs w:val="20"/>
          <w:lang w:val="pt-BR"/>
        </w:rPr>
        <w:t xml:space="preserve">omperam esse </w:t>
      </w:r>
      <w:r w:rsidR="006F25D0" w:rsidRPr="0038442F">
        <w:rPr>
          <w:rFonts w:ascii="Verdana" w:hAnsi="Verdana"/>
          <w:sz w:val="20"/>
          <w:szCs w:val="20"/>
          <w:lang w:val="pt-BR"/>
        </w:rPr>
        <w:t xml:space="preserve">esquema que se </w:t>
      </w:r>
      <w:r w:rsidR="00DE4A47" w:rsidRPr="0038442F">
        <w:rPr>
          <w:rFonts w:ascii="Verdana" w:hAnsi="Verdana"/>
          <w:sz w:val="20"/>
          <w:szCs w:val="20"/>
          <w:lang w:val="pt-BR"/>
        </w:rPr>
        <w:t xml:space="preserve">vinha </w:t>
      </w:r>
      <w:r w:rsidR="006F25D0" w:rsidRPr="0038442F">
        <w:rPr>
          <w:rFonts w:ascii="Verdana" w:hAnsi="Verdana"/>
          <w:sz w:val="20"/>
          <w:szCs w:val="20"/>
          <w:lang w:val="pt-BR"/>
        </w:rPr>
        <w:t>consolidando</w:t>
      </w:r>
      <w:r w:rsidR="002227C4" w:rsidRPr="0038442F">
        <w:rPr>
          <w:rFonts w:ascii="Verdana" w:hAnsi="Verdana"/>
          <w:sz w:val="20"/>
          <w:szCs w:val="20"/>
          <w:lang w:val="pt-BR"/>
        </w:rPr>
        <w:t>.</w:t>
      </w:r>
      <w:r w:rsidR="006F25D0" w:rsidRPr="0038442F">
        <w:rPr>
          <w:rFonts w:ascii="Verdana" w:hAnsi="Verdana"/>
          <w:sz w:val="20"/>
          <w:szCs w:val="20"/>
          <w:lang w:val="pt-BR"/>
        </w:rPr>
        <w:t xml:space="preserve"> </w:t>
      </w:r>
    </w:p>
    <w:p w14:paraId="6D16F901" w14:textId="77777777" w:rsidR="006F25D0" w:rsidRPr="0038442F" w:rsidRDefault="006F25D0" w:rsidP="00A857CB">
      <w:pPr>
        <w:pStyle w:val="Prrafodelista"/>
        <w:spacing w:line="240" w:lineRule="auto"/>
        <w:rPr>
          <w:rFonts w:ascii="Verdana" w:hAnsi="Verdana"/>
          <w:i/>
          <w:iCs/>
          <w:sz w:val="20"/>
          <w:szCs w:val="20"/>
          <w:lang w:val="pt-BR"/>
        </w:rPr>
      </w:pPr>
    </w:p>
    <w:p w14:paraId="255B84B7" w14:textId="2B4AA2E7" w:rsidR="00E83F78" w:rsidRPr="0038442F" w:rsidRDefault="00EE4EC3" w:rsidP="00EE4EC3">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89.</w:t>
      </w:r>
      <w:r w:rsidRPr="0038442F">
        <w:rPr>
          <w:rFonts w:ascii="Verdana" w:hAnsi="Verdana"/>
          <w:sz w:val="20"/>
          <w:szCs w:val="20"/>
          <w:lang w:val="pt-BR"/>
        </w:rPr>
        <w:tab/>
      </w:r>
      <w:r w:rsidR="006F25D0" w:rsidRPr="0038442F">
        <w:rPr>
          <w:rFonts w:ascii="Verdana" w:hAnsi="Verdana"/>
          <w:sz w:val="20"/>
          <w:szCs w:val="20"/>
          <w:lang w:val="pt-BR"/>
        </w:rPr>
        <w:t>E</w:t>
      </w:r>
      <w:r w:rsidR="00DE4A47" w:rsidRPr="0038442F">
        <w:rPr>
          <w:rFonts w:ascii="Verdana" w:hAnsi="Verdana"/>
          <w:sz w:val="20"/>
          <w:szCs w:val="20"/>
          <w:lang w:val="pt-BR"/>
        </w:rPr>
        <w:t xml:space="preserve">m </w:t>
      </w:r>
      <w:r w:rsidR="006F25D0" w:rsidRPr="0038442F">
        <w:rPr>
          <w:rFonts w:ascii="Verdana" w:hAnsi="Verdana"/>
          <w:sz w:val="20"/>
          <w:szCs w:val="20"/>
          <w:lang w:val="pt-BR"/>
        </w:rPr>
        <w:t xml:space="preserve">2006, </w:t>
      </w:r>
      <w:r w:rsidR="008806F8" w:rsidRPr="0038442F">
        <w:rPr>
          <w:rFonts w:ascii="Verdana" w:hAnsi="Verdana"/>
          <w:sz w:val="20"/>
          <w:szCs w:val="20"/>
          <w:lang w:val="pt-BR"/>
        </w:rPr>
        <w:t xml:space="preserve">a Corte </w:t>
      </w:r>
      <w:r w:rsidR="008663E4" w:rsidRPr="0038442F">
        <w:rPr>
          <w:rFonts w:ascii="Verdana" w:hAnsi="Verdana"/>
          <w:sz w:val="20"/>
          <w:szCs w:val="20"/>
          <w:lang w:val="pt-BR"/>
        </w:rPr>
        <w:t xml:space="preserve">IDH </w:t>
      </w:r>
      <w:r w:rsidR="00DE4A47" w:rsidRPr="0038442F">
        <w:rPr>
          <w:rFonts w:ascii="Verdana" w:hAnsi="Verdana"/>
          <w:sz w:val="20"/>
          <w:szCs w:val="20"/>
          <w:lang w:val="pt-BR"/>
        </w:rPr>
        <w:t xml:space="preserve">decidiu o </w:t>
      </w:r>
      <w:r w:rsidR="00DE4A47" w:rsidRPr="0038442F">
        <w:rPr>
          <w:rFonts w:ascii="Verdana" w:hAnsi="Verdana"/>
          <w:i/>
          <w:sz w:val="20"/>
          <w:szCs w:val="20"/>
          <w:lang w:val="pt-BR"/>
        </w:rPr>
        <w:t>Caso</w:t>
      </w:r>
      <w:r w:rsidR="006F25D0" w:rsidRPr="0038442F">
        <w:rPr>
          <w:rFonts w:ascii="Verdana" w:hAnsi="Verdana"/>
          <w:sz w:val="20"/>
          <w:szCs w:val="20"/>
          <w:lang w:val="pt-BR"/>
        </w:rPr>
        <w:t xml:space="preserve"> </w:t>
      </w:r>
      <w:r w:rsidR="006F25D0" w:rsidRPr="0038442F">
        <w:rPr>
          <w:rFonts w:ascii="Verdana" w:hAnsi="Verdana"/>
          <w:i/>
          <w:iCs/>
          <w:sz w:val="20"/>
          <w:szCs w:val="20"/>
          <w:lang w:val="pt-BR"/>
        </w:rPr>
        <w:t>López Álvarez Vs. Honduras</w:t>
      </w:r>
      <w:r w:rsidR="006F25D0"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DE4A47" w:rsidRPr="0038442F">
        <w:rPr>
          <w:rFonts w:ascii="Verdana" w:hAnsi="Verdana"/>
          <w:sz w:val="20"/>
          <w:szCs w:val="20"/>
          <w:lang w:val="pt-BR"/>
        </w:rPr>
        <w:t xml:space="preserve">qual a </w:t>
      </w:r>
      <w:r w:rsidR="006F25D0" w:rsidRPr="0038442F">
        <w:rPr>
          <w:rFonts w:ascii="Verdana" w:hAnsi="Verdana"/>
          <w:sz w:val="20"/>
          <w:szCs w:val="20"/>
          <w:lang w:val="pt-BR"/>
        </w:rPr>
        <w:t xml:space="preserve">vítima </w:t>
      </w:r>
      <w:r w:rsidR="00781273" w:rsidRPr="0038442F">
        <w:rPr>
          <w:rFonts w:ascii="Verdana" w:hAnsi="Verdana"/>
          <w:sz w:val="20"/>
          <w:szCs w:val="20"/>
          <w:lang w:val="pt-BR"/>
        </w:rPr>
        <w:t>perten</w:t>
      </w:r>
      <w:r w:rsidR="00DE4A47" w:rsidRPr="0038442F">
        <w:rPr>
          <w:rFonts w:ascii="Verdana" w:hAnsi="Verdana"/>
          <w:sz w:val="20"/>
          <w:szCs w:val="20"/>
          <w:lang w:val="pt-BR"/>
        </w:rPr>
        <w:t xml:space="preserve">cia a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6F25D0" w:rsidRPr="0038442F">
        <w:rPr>
          <w:rFonts w:ascii="Verdana" w:hAnsi="Verdana"/>
          <w:sz w:val="20"/>
          <w:szCs w:val="20"/>
          <w:lang w:val="pt-BR"/>
        </w:rPr>
        <w:t>comunidad</w:t>
      </w:r>
      <w:r w:rsidR="00DE4A47" w:rsidRPr="0038442F">
        <w:rPr>
          <w:rFonts w:ascii="Verdana" w:hAnsi="Verdana"/>
          <w:sz w:val="20"/>
          <w:szCs w:val="20"/>
          <w:lang w:val="pt-BR"/>
        </w:rPr>
        <w:t>e</w:t>
      </w:r>
      <w:r w:rsidR="006F25D0" w:rsidRPr="0038442F">
        <w:rPr>
          <w:rFonts w:ascii="Verdana" w:hAnsi="Verdana"/>
          <w:sz w:val="20"/>
          <w:szCs w:val="20"/>
          <w:lang w:val="pt-BR"/>
        </w:rPr>
        <w:t xml:space="preserve"> </w:t>
      </w:r>
      <w:r w:rsidR="005A3DEF" w:rsidRPr="0038442F">
        <w:rPr>
          <w:rFonts w:ascii="Verdana" w:hAnsi="Verdana"/>
          <w:sz w:val="20"/>
          <w:szCs w:val="20"/>
          <w:lang w:val="pt-BR"/>
        </w:rPr>
        <w:t>garífuna</w:t>
      </w:r>
      <w:r w:rsidR="00DE4A47" w:rsidRPr="0038442F">
        <w:rPr>
          <w:rFonts w:ascii="Verdana" w:hAnsi="Verdana"/>
          <w:sz w:val="20"/>
          <w:szCs w:val="20"/>
          <w:lang w:val="pt-BR"/>
        </w:rPr>
        <w:t xml:space="preserve"> e foi proibida de falar seu </w:t>
      </w:r>
      <w:r w:rsidR="006F25D0" w:rsidRPr="0038442F">
        <w:rPr>
          <w:rFonts w:ascii="Verdana" w:hAnsi="Verdana"/>
          <w:sz w:val="20"/>
          <w:szCs w:val="20"/>
          <w:lang w:val="pt-BR"/>
        </w:rPr>
        <w:t xml:space="preserve">idioma materno </w:t>
      </w:r>
      <w:r w:rsidR="00DE4A47" w:rsidRPr="0038442F">
        <w:rPr>
          <w:rFonts w:ascii="Verdana" w:hAnsi="Verdana"/>
          <w:sz w:val="20"/>
          <w:szCs w:val="20"/>
          <w:lang w:val="pt-BR"/>
        </w:rPr>
        <w:t xml:space="preserve">enquanto se encontrava </w:t>
      </w:r>
      <w:r w:rsidR="006F25D0" w:rsidRPr="0038442F">
        <w:rPr>
          <w:rFonts w:ascii="Verdana" w:hAnsi="Verdana"/>
          <w:sz w:val="20"/>
          <w:szCs w:val="20"/>
          <w:lang w:val="pt-BR"/>
        </w:rPr>
        <w:t xml:space="preserve">privado de </w:t>
      </w:r>
      <w:r w:rsidR="00DE4A47" w:rsidRPr="0038442F">
        <w:rPr>
          <w:rFonts w:ascii="Verdana" w:hAnsi="Verdana"/>
          <w:sz w:val="20"/>
          <w:szCs w:val="20"/>
          <w:lang w:val="pt-BR"/>
        </w:rPr>
        <w:t>liberdade</w:t>
      </w:r>
      <w:r w:rsidR="006F25D0" w:rsidRPr="0038442F">
        <w:rPr>
          <w:rFonts w:ascii="Verdana" w:hAnsi="Verdana"/>
          <w:sz w:val="20"/>
          <w:szCs w:val="20"/>
          <w:lang w:val="pt-BR"/>
        </w:rPr>
        <w:t xml:space="preserve">. </w:t>
      </w:r>
      <w:r w:rsidR="00C92762" w:rsidRPr="0038442F">
        <w:rPr>
          <w:rFonts w:ascii="Verdana" w:hAnsi="Verdana"/>
          <w:sz w:val="20"/>
          <w:szCs w:val="20"/>
          <w:lang w:val="pt-BR"/>
        </w:rPr>
        <w:t>A Corte</w:t>
      </w:r>
      <w:r w:rsidR="00407242" w:rsidRPr="0038442F">
        <w:rPr>
          <w:rFonts w:ascii="Verdana" w:hAnsi="Verdana"/>
          <w:sz w:val="20"/>
          <w:szCs w:val="20"/>
          <w:lang w:val="pt-BR"/>
        </w:rPr>
        <w:t xml:space="preserve"> </w:t>
      </w:r>
      <w:r w:rsidRPr="0038442F">
        <w:rPr>
          <w:rFonts w:ascii="Verdana" w:hAnsi="Verdana"/>
          <w:sz w:val="20"/>
          <w:szCs w:val="20"/>
          <w:lang w:val="pt-BR"/>
        </w:rPr>
        <w:t xml:space="preserve">IDH </w:t>
      </w:r>
      <w:r w:rsidR="00DE4A47" w:rsidRPr="0038442F">
        <w:rPr>
          <w:rFonts w:ascii="Verdana" w:hAnsi="Verdana"/>
          <w:sz w:val="20"/>
          <w:szCs w:val="20"/>
          <w:lang w:val="pt-BR"/>
        </w:rPr>
        <w:t xml:space="preserve">determinou a </w:t>
      </w:r>
      <w:r w:rsidR="00984A83" w:rsidRPr="0038442F">
        <w:rPr>
          <w:rFonts w:ascii="Verdana" w:hAnsi="Verdana"/>
          <w:sz w:val="20"/>
          <w:szCs w:val="20"/>
          <w:lang w:val="pt-BR"/>
        </w:rPr>
        <w:t xml:space="preserve">violação </w:t>
      </w:r>
      <w:r w:rsidR="00C92762" w:rsidRPr="0038442F">
        <w:rPr>
          <w:rFonts w:ascii="Verdana" w:hAnsi="Verdana"/>
          <w:sz w:val="20"/>
          <w:szCs w:val="20"/>
          <w:lang w:val="pt-BR"/>
        </w:rPr>
        <w:t xml:space="preserve">dos direitos </w:t>
      </w:r>
      <w:r w:rsidR="00DE4A47" w:rsidRPr="0038442F">
        <w:rPr>
          <w:rFonts w:ascii="Verdana" w:hAnsi="Verdana"/>
          <w:sz w:val="20"/>
          <w:szCs w:val="20"/>
          <w:lang w:val="pt-BR"/>
        </w:rPr>
        <w:t>à liberdade</w:t>
      </w:r>
      <w:r w:rsidR="00407242" w:rsidRPr="0038442F">
        <w:rPr>
          <w:rFonts w:ascii="Verdana" w:hAnsi="Verdana"/>
          <w:sz w:val="20"/>
          <w:szCs w:val="20"/>
          <w:lang w:val="pt-BR"/>
        </w:rPr>
        <w:t xml:space="preserve"> </w:t>
      </w:r>
      <w:r w:rsidR="006F25D0" w:rsidRPr="0038442F">
        <w:rPr>
          <w:rFonts w:ascii="Verdana" w:hAnsi="Verdana"/>
          <w:sz w:val="20"/>
          <w:szCs w:val="20"/>
          <w:lang w:val="pt-BR"/>
        </w:rPr>
        <w:t xml:space="preserve">de pensamento </w:t>
      </w:r>
      <w:r w:rsidR="00DE4A47" w:rsidRPr="0038442F">
        <w:rPr>
          <w:rFonts w:ascii="Verdana" w:hAnsi="Verdana"/>
          <w:sz w:val="20"/>
          <w:szCs w:val="20"/>
          <w:lang w:val="pt-BR"/>
        </w:rPr>
        <w:t>e</w:t>
      </w:r>
      <w:r w:rsidR="006F25D0" w:rsidRPr="0038442F">
        <w:rPr>
          <w:rFonts w:ascii="Verdana" w:hAnsi="Verdana"/>
          <w:sz w:val="20"/>
          <w:szCs w:val="20"/>
          <w:lang w:val="pt-BR"/>
        </w:rPr>
        <w:t xml:space="preserve"> </w:t>
      </w:r>
      <w:r w:rsidR="005A3DEF" w:rsidRPr="0038442F">
        <w:rPr>
          <w:rFonts w:ascii="Verdana" w:hAnsi="Verdana"/>
          <w:sz w:val="20"/>
          <w:szCs w:val="20"/>
          <w:lang w:val="pt-BR"/>
        </w:rPr>
        <w:t>expres</w:t>
      </w:r>
      <w:r w:rsidR="00DE4A47" w:rsidRPr="0038442F">
        <w:rPr>
          <w:rFonts w:ascii="Verdana" w:hAnsi="Verdana"/>
          <w:sz w:val="20"/>
          <w:szCs w:val="20"/>
          <w:lang w:val="pt-BR"/>
        </w:rPr>
        <w:t xml:space="preserve">são e </w:t>
      </w:r>
      <w:r w:rsidR="00B86998" w:rsidRPr="0038442F">
        <w:rPr>
          <w:rFonts w:ascii="Verdana" w:hAnsi="Verdana"/>
          <w:sz w:val="20"/>
          <w:szCs w:val="20"/>
          <w:lang w:val="pt-BR"/>
        </w:rPr>
        <w:t>à</w:t>
      </w:r>
      <w:r w:rsidR="00DE4A47" w:rsidRPr="0038442F">
        <w:rPr>
          <w:rFonts w:ascii="Verdana" w:hAnsi="Verdana"/>
          <w:sz w:val="20"/>
          <w:szCs w:val="20"/>
          <w:lang w:val="pt-BR"/>
        </w:rPr>
        <w:t xml:space="preserve">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5B55A8" w:rsidRPr="0038442F">
        <w:rPr>
          <w:rFonts w:ascii="Verdana" w:hAnsi="Verdana"/>
          <w:sz w:val="20"/>
          <w:szCs w:val="20"/>
          <w:lang w:val="pt-BR"/>
        </w:rPr>
        <w:t>perante a lei</w:t>
      </w:r>
      <w:r w:rsidR="006F25D0" w:rsidRPr="0038442F">
        <w:rPr>
          <w:rFonts w:ascii="Verdana" w:hAnsi="Verdana"/>
          <w:sz w:val="20"/>
          <w:szCs w:val="20"/>
          <w:lang w:val="pt-BR"/>
        </w:rPr>
        <w:t>, consagrados n</w:t>
      </w:r>
      <w:r w:rsidR="006A12FD" w:rsidRPr="0038442F">
        <w:rPr>
          <w:rFonts w:ascii="Verdana" w:hAnsi="Verdana"/>
          <w:sz w:val="20"/>
          <w:szCs w:val="20"/>
          <w:lang w:val="pt-BR"/>
        </w:rPr>
        <w:t xml:space="preserve">os artigos </w:t>
      </w:r>
      <w:r w:rsidR="006F25D0" w:rsidRPr="0038442F">
        <w:rPr>
          <w:rFonts w:ascii="Verdana" w:hAnsi="Verdana"/>
          <w:sz w:val="20"/>
          <w:szCs w:val="20"/>
          <w:lang w:val="pt-BR"/>
        </w:rPr>
        <w:t xml:space="preserve">13 </w:t>
      </w:r>
      <w:r w:rsidR="00DE4A47" w:rsidRPr="0038442F">
        <w:rPr>
          <w:rFonts w:ascii="Verdana" w:hAnsi="Verdana"/>
          <w:sz w:val="20"/>
          <w:szCs w:val="20"/>
          <w:lang w:val="pt-BR"/>
        </w:rPr>
        <w:t>e</w:t>
      </w:r>
      <w:r w:rsidR="006F25D0" w:rsidRPr="0038442F">
        <w:rPr>
          <w:rFonts w:ascii="Verdana" w:hAnsi="Verdana"/>
          <w:sz w:val="20"/>
          <w:szCs w:val="20"/>
          <w:lang w:val="pt-BR"/>
        </w:rPr>
        <w:t xml:space="preserve"> 24 </w:t>
      </w:r>
      <w:r w:rsidR="00C92762" w:rsidRPr="0038442F">
        <w:rPr>
          <w:rFonts w:ascii="Verdana" w:hAnsi="Verdana"/>
          <w:sz w:val="20"/>
          <w:szCs w:val="20"/>
          <w:lang w:val="pt-BR"/>
        </w:rPr>
        <w:t xml:space="preserve">da </w:t>
      </w:r>
      <w:r w:rsidR="005A3DEF" w:rsidRPr="0038442F">
        <w:rPr>
          <w:rFonts w:ascii="Verdana" w:hAnsi="Verdana"/>
          <w:sz w:val="20"/>
          <w:szCs w:val="20"/>
          <w:lang w:val="pt-BR"/>
        </w:rPr>
        <w:t>Conven</w:t>
      </w:r>
      <w:r w:rsidR="000A1AA8" w:rsidRPr="0038442F">
        <w:rPr>
          <w:rFonts w:ascii="Verdana" w:hAnsi="Verdana"/>
          <w:sz w:val="20"/>
          <w:szCs w:val="20"/>
          <w:lang w:val="pt-BR"/>
        </w:rPr>
        <w:t>ção</w:t>
      </w:r>
      <w:r w:rsidR="006F25D0" w:rsidRPr="0038442F">
        <w:rPr>
          <w:rFonts w:ascii="Verdana" w:hAnsi="Verdana"/>
          <w:sz w:val="20"/>
          <w:szCs w:val="20"/>
          <w:lang w:val="pt-BR"/>
        </w:rPr>
        <w:t xml:space="preserve"> Americana, </w:t>
      </w:r>
      <w:r w:rsidR="008B56A3" w:rsidRPr="0038442F">
        <w:rPr>
          <w:rFonts w:ascii="Verdana" w:hAnsi="Verdana"/>
          <w:sz w:val="20"/>
          <w:szCs w:val="20"/>
          <w:lang w:val="pt-BR"/>
        </w:rPr>
        <w:t>e</w:t>
      </w:r>
      <w:r w:rsidR="006F25D0" w:rsidRPr="0038442F">
        <w:rPr>
          <w:rFonts w:ascii="Verdana" w:hAnsi="Verdana"/>
          <w:sz w:val="20"/>
          <w:szCs w:val="20"/>
          <w:lang w:val="pt-BR"/>
        </w:rPr>
        <w:t xml:space="preserve"> </w:t>
      </w:r>
      <w:r w:rsidR="00D45B15" w:rsidRPr="0038442F">
        <w:rPr>
          <w:rFonts w:ascii="Verdana" w:hAnsi="Verdana"/>
          <w:sz w:val="20"/>
          <w:szCs w:val="20"/>
          <w:lang w:val="pt-BR"/>
        </w:rPr>
        <w:t xml:space="preserve">o </w:t>
      </w:r>
      <w:r w:rsidR="00BB665E" w:rsidRPr="0038442F">
        <w:rPr>
          <w:rFonts w:ascii="Verdana" w:hAnsi="Verdana"/>
          <w:sz w:val="20"/>
          <w:szCs w:val="20"/>
          <w:lang w:val="pt-BR"/>
        </w:rPr>
        <w:t>descumprimento</w:t>
      </w:r>
      <w:r w:rsidR="00407242" w:rsidRPr="0038442F">
        <w:rPr>
          <w:rFonts w:ascii="Verdana" w:hAnsi="Verdana"/>
          <w:sz w:val="20"/>
          <w:szCs w:val="20"/>
          <w:lang w:val="pt-BR"/>
        </w:rPr>
        <w:t xml:space="preserve"> </w:t>
      </w:r>
      <w:r w:rsidR="00C92762" w:rsidRPr="0038442F">
        <w:rPr>
          <w:rFonts w:ascii="Verdana" w:hAnsi="Verdana"/>
          <w:sz w:val="20"/>
          <w:szCs w:val="20"/>
          <w:lang w:val="pt-BR"/>
        </w:rPr>
        <w:t>da obrigação</w:t>
      </w:r>
      <w:r w:rsidR="00407242" w:rsidRPr="0038442F">
        <w:rPr>
          <w:rFonts w:ascii="Verdana" w:hAnsi="Verdana"/>
          <w:sz w:val="20"/>
          <w:szCs w:val="20"/>
          <w:lang w:val="pt-BR"/>
        </w:rPr>
        <w:t xml:space="preserve"> </w:t>
      </w:r>
      <w:r w:rsidR="005B55A8" w:rsidRPr="0038442F">
        <w:rPr>
          <w:rFonts w:ascii="Verdana" w:hAnsi="Verdana"/>
          <w:sz w:val="20"/>
          <w:szCs w:val="20"/>
          <w:lang w:val="pt-BR"/>
        </w:rPr>
        <w:t>geral</w:t>
      </w:r>
      <w:r w:rsidR="00407242" w:rsidRPr="0038442F">
        <w:rPr>
          <w:rFonts w:ascii="Verdana" w:hAnsi="Verdana"/>
          <w:sz w:val="20"/>
          <w:szCs w:val="20"/>
          <w:lang w:val="pt-BR"/>
        </w:rPr>
        <w:t xml:space="preserve"> </w:t>
      </w:r>
      <w:r w:rsidR="006F25D0" w:rsidRPr="0038442F">
        <w:rPr>
          <w:rFonts w:ascii="Verdana" w:hAnsi="Verdana"/>
          <w:sz w:val="20"/>
          <w:szCs w:val="20"/>
          <w:lang w:val="pt-BR"/>
        </w:rPr>
        <w:t xml:space="preserve">de </w:t>
      </w:r>
      <w:r w:rsidR="005135E5" w:rsidRPr="0038442F">
        <w:rPr>
          <w:rFonts w:ascii="Verdana" w:hAnsi="Verdana"/>
          <w:sz w:val="20"/>
          <w:szCs w:val="20"/>
          <w:lang w:val="pt-BR"/>
        </w:rPr>
        <w:t>respeitar</w:t>
      </w:r>
      <w:r w:rsidR="00407242" w:rsidRPr="0038442F">
        <w:rPr>
          <w:rFonts w:ascii="Verdana" w:hAnsi="Verdana"/>
          <w:sz w:val="20"/>
          <w:szCs w:val="20"/>
          <w:lang w:val="pt-BR"/>
        </w:rPr>
        <w:t xml:space="preserve"> </w:t>
      </w:r>
      <w:r w:rsidR="008B56A3" w:rsidRPr="0038442F">
        <w:rPr>
          <w:rFonts w:ascii="Verdana" w:hAnsi="Verdana"/>
          <w:sz w:val="20"/>
          <w:szCs w:val="20"/>
          <w:lang w:val="pt-BR"/>
        </w:rPr>
        <w:t>e</w:t>
      </w:r>
      <w:r w:rsidR="006F25D0" w:rsidRPr="0038442F">
        <w:rPr>
          <w:rFonts w:ascii="Verdana" w:hAnsi="Verdana"/>
          <w:sz w:val="20"/>
          <w:szCs w:val="20"/>
          <w:lang w:val="pt-BR"/>
        </w:rPr>
        <w:t xml:space="preserve">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os direitos </w:t>
      </w:r>
      <w:r w:rsidR="008B56A3" w:rsidRPr="0038442F">
        <w:rPr>
          <w:rFonts w:ascii="Verdana" w:hAnsi="Verdana"/>
          <w:sz w:val="20"/>
          <w:szCs w:val="20"/>
          <w:lang w:val="pt-BR"/>
        </w:rPr>
        <w:t>e</w:t>
      </w:r>
      <w:r w:rsidR="006F25D0" w:rsidRPr="0038442F">
        <w:rPr>
          <w:rFonts w:ascii="Verdana" w:hAnsi="Verdana"/>
          <w:sz w:val="20"/>
          <w:szCs w:val="20"/>
          <w:lang w:val="pt-BR"/>
        </w:rPr>
        <w:t xml:space="preserve"> </w:t>
      </w:r>
      <w:r w:rsidR="005135E5" w:rsidRPr="0038442F">
        <w:rPr>
          <w:rFonts w:ascii="Verdana" w:hAnsi="Verdana"/>
          <w:sz w:val="20"/>
          <w:szCs w:val="20"/>
          <w:lang w:val="pt-BR"/>
        </w:rPr>
        <w:t>liberdades</w:t>
      </w:r>
      <w:r w:rsidR="00B9378C" w:rsidRPr="0038442F">
        <w:rPr>
          <w:rFonts w:ascii="Verdana" w:hAnsi="Verdana"/>
          <w:sz w:val="20"/>
          <w:szCs w:val="20"/>
          <w:lang w:val="pt-BR"/>
        </w:rPr>
        <w:t>,</w:t>
      </w:r>
      <w:r w:rsidR="005135E5" w:rsidRPr="0038442F">
        <w:rPr>
          <w:rFonts w:ascii="Verdana" w:hAnsi="Verdana"/>
          <w:sz w:val="20"/>
          <w:szCs w:val="20"/>
          <w:lang w:val="pt-BR"/>
        </w:rPr>
        <w:t xml:space="preserve"> </w:t>
      </w:r>
      <w:r w:rsidR="008806F8" w:rsidRPr="0038442F">
        <w:rPr>
          <w:rFonts w:ascii="Verdana" w:hAnsi="Verdana"/>
          <w:sz w:val="20"/>
          <w:szCs w:val="20"/>
          <w:lang w:val="pt-BR"/>
        </w:rPr>
        <w:t>estabelecida</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6F25D0" w:rsidRPr="0038442F">
        <w:rPr>
          <w:rFonts w:ascii="Verdana" w:hAnsi="Verdana"/>
          <w:sz w:val="20"/>
          <w:szCs w:val="20"/>
          <w:lang w:val="pt-BR"/>
        </w:rPr>
        <w:t>1.1</w:t>
      </w:r>
      <w:r w:rsidR="008B56A3" w:rsidRPr="0038442F">
        <w:rPr>
          <w:rFonts w:ascii="Verdana" w:hAnsi="Verdana"/>
          <w:sz w:val="20"/>
          <w:szCs w:val="20"/>
          <w:lang w:val="pt-BR"/>
        </w:rPr>
        <w:t>.</w:t>
      </w:r>
      <w:r w:rsidR="006F25D0" w:rsidRPr="0038442F">
        <w:rPr>
          <w:rStyle w:val="Refdenotaalpie"/>
          <w:rFonts w:ascii="Verdana" w:hAnsi="Verdana"/>
          <w:sz w:val="20"/>
          <w:szCs w:val="20"/>
          <w:lang w:val="pt-BR"/>
        </w:rPr>
        <w:footnoteReference w:id="150"/>
      </w:r>
      <w:r w:rsidR="00407242" w:rsidRPr="0038442F">
        <w:rPr>
          <w:rFonts w:ascii="Verdana" w:hAnsi="Verdana"/>
          <w:sz w:val="20"/>
          <w:szCs w:val="20"/>
          <w:lang w:val="pt-BR"/>
        </w:rPr>
        <w:t xml:space="preserve"> </w:t>
      </w:r>
      <w:r w:rsidR="008B56A3" w:rsidRPr="0038442F">
        <w:rPr>
          <w:rFonts w:ascii="Verdana" w:hAnsi="Verdana"/>
          <w:sz w:val="20"/>
          <w:szCs w:val="20"/>
          <w:lang w:val="pt-BR"/>
        </w:rPr>
        <w:t xml:space="preserve">No </w:t>
      </w:r>
      <w:r w:rsidR="006F25D0" w:rsidRPr="0038442F">
        <w:rPr>
          <w:rFonts w:ascii="Verdana" w:hAnsi="Verdana"/>
          <w:sz w:val="20"/>
          <w:szCs w:val="20"/>
          <w:lang w:val="pt-BR"/>
        </w:rPr>
        <w:t xml:space="preserve">caso, </w:t>
      </w:r>
      <w:r w:rsidR="008B56A3" w:rsidRPr="0038442F">
        <w:rPr>
          <w:rFonts w:ascii="Verdana" w:hAnsi="Verdana"/>
          <w:sz w:val="20"/>
          <w:szCs w:val="20"/>
          <w:lang w:val="pt-BR"/>
        </w:rPr>
        <w:t>haveria que explicitar duas questões</w:t>
      </w:r>
      <w:r w:rsidRPr="0038442F">
        <w:rPr>
          <w:rFonts w:ascii="Verdana" w:hAnsi="Verdana"/>
          <w:sz w:val="20"/>
          <w:szCs w:val="20"/>
          <w:lang w:val="pt-BR"/>
        </w:rPr>
        <w:t xml:space="preserve">. </w:t>
      </w:r>
      <w:r w:rsidR="008B56A3" w:rsidRPr="0038442F">
        <w:rPr>
          <w:rFonts w:ascii="Verdana" w:hAnsi="Verdana"/>
          <w:sz w:val="20"/>
          <w:szCs w:val="20"/>
          <w:lang w:val="pt-BR"/>
        </w:rPr>
        <w:t xml:space="preserve">Não se aplicou aos fatos </w:t>
      </w:r>
      <w:r w:rsidR="006F25D0" w:rsidRPr="0038442F">
        <w:rPr>
          <w:rFonts w:ascii="Verdana" w:hAnsi="Verdana"/>
          <w:sz w:val="20"/>
          <w:szCs w:val="20"/>
          <w:lang w:val="pt-BR"/>
        </w:rPr>
        <w:t>“</w:t>
      </w:r>
      <w:r w:rsidR="00C92762" w:rsidRPr="0038442F">
        <w:rPr>
          <w:rFonts w:ascii="Verdana" w:hAnsi="Verdana"/>
          <w:sz w:val="20"/>
          <w:szCs w:val="20"/>
          <w:lang w:val="pt-BR"/>
        </w:rPr>
        <w:t xml:space="preserve">uma </w:t>
      </w:r>
      <w:r w:rsidR="006F25D0" w:rsidRPr="0038442F">
        <w:rPr>
          <w:rFonts w:ascii="Verdana" w:hAnsi="Verdana"/>
          <w:sz w:val="20"/>
          <w:szCs w:val="20"/>
          <w:lang w:val="pt-BR"/>
        </w:rPr>
        <w:t>norma interna”</w:t>
      </w:r>
      <w:r w:rsidR="008B56A3" w:rsidRPr="0038442F">
        <w:rPr>
          <w:rFonts w:ascii="Verdana" w:hAnsi="Verdana"/>
          <w:sz w:val="20"/>
          <w:szCs w:val="20"/>
          <w:lang w:val="pt-BR"/>
        </w:rPr>
        <w:t>,</w:t>
      </w:r>
      <w:r w:rsidR="006F25D0" w:rsidRPr="0038442F">
        <w:rPr>
          <w:rFonts w:ascii="Verdana" w:hAnsi="Verdana"/>
          <w:sz w:val="20"/>
          <w:szCs w:val="20"/>
          <w:lang w:val="pt-BR"/>
        </w:rPr>
        <w:t xml:space="preserve"> de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8B56A3" w:rsidRPr="0038442F">
        <w:rPr>
          <w:rFonts w:ascii="Verdana" w:hAnsi="Verdana"/>
          <w:sz w:val="20"/>
          <w:szCs w:val="20"/>
          <w:lang w:val="pt-BR"/>
        </w:rPr>
        <w:t xml:space="preserve">arbitrária, razão pela qual, </w:t>
      </w:r>
      <w:r w:rsidR="006F25D0" w:rsidRPr="0038442F">
        <w:rPr>
          <w:rFonts w:ascii="Verdana" w:hAnsi="Verdana"/>
          <w:sz w:val="20"/>
          <w:szCs w:val="20"/>
          <w:lang w:val="pt-BR"/>
        </w:rPr>
        <w:t xml:space="preserve">conforme o que </w:t>
      </w:r>
      <w:r w:rsidR="008B56A3" w:rsidRPr="0038442F">
        <w:rPr>
          <w:rFonts w:ascii="Verdana" w:hAnsi="Verdana"/>
          <w:sz w:val="20"/>
          <w:szCs w:val="20"/>
          <w:lang w:val="pt-BR"/>
        </w:rPr>
        <w:t xml:space="preserve">vinha </w:t>
      </w:r>
      <w:r w:rsidR="006F25D0" w:rsidRPr="0038442F">
        <w:rPr>
          <w:rFonts w:ascii="Verdana" w:hAnsi="Verdana"/>
          <w:sz w:val="20"/>
          <w:szCs w:val="20"/>
          <w:lang w:val="pt-BR"/>
        </w:rPr>
        <w:t xml:space="preserve">consolidando </w:t>
      </w:r>
      <w:r w:rsidR="008806F8" w:rsidRPr="0038442F">
        <w:rPr>
          <w:rFonts w:ascii="Verdana" w:hAnsi="Verdana"/>
          <w:sz w:val="20"/>
          <w:szCs w:val="20"/>
          <w:lang w:val="pt-BR"/>
        </w:rPr>
        <w:t xml:space="preserve">a Corte </w:t>
      </w:r>
      <w:r w:rsidRPr="0038442F">
        <w:rPr>
          <w:rFonts w:ascii="Verdana" w:hAnsi="Verdana"/>
          <w:sz w:val="20"/>
          <w:szCs w:val="20"/>
          <w:lang w:val="pt-BR"/>
        </w:rPr>
        <w:t>IDH</w:t>
      </w:r>
      <w:r w:rsidR="006F25D0" w:rsidRPr="0038442F">
        <w:rPr>
          <w:rFonts w:ascii="Verdana" w:hAnsi="Verdana"/>
          <w:sz w:val="20"/>
          <w:szCs w:val="20"/>
          <w:lang w:val="pt-BR"/>
        </w:rPr>
        <w:t xml:space="preserve">, </w:t>
      </w:r>
      <w:r w:rsidR="00984A83" w:rsidRPr="0038442F">
        <w:rPr>
          <w:rFonts w:ascii="Verdana" w:hAnsi="Verdana"/>
          <w:sz w:val="20"/>
          <w:szCs w:val="20"/>
          <w:lang w:val="pt-BR"/>
        </w:rPr>
        <w:t xml:space="preserve">a violação </w:t>
      </w:r>
      <w:r w:rsidR="006F25D0" w:rsidRPr="0038442F">
        <w:rPr>
          <w:rFonts w:ascii="Verdana" w:hAnsi="Verdana"/>
          <w:sz w:val="20"/>
          <w:szCs w:val="20"/>
          <w:lang w:val="pt-BR"/>
        </w:rPr>
        <w:t>d</w:t>
      </w:r>
      <w:r w:rsidR="008B56A3" w:rsidRPr="0038442F">
        <w:rPr>
          <w:rFonts w:ascii="Verdana" w:hAnsi="Verdana"/>
          <w:sz w:val="20"/>
          <w:szCs w:val="20"/>
          <w:lang w:val="pt-BR"/>
        </w:rPr>
        <w:t xml:space="preserve">o </w:t>
      </w:r>
      <w:r w:rsidR="006F25D0" w:rsidRPr="0038442F">
        <w:rPr>
          <w:rFonts w:ascii="Verdana" w:hAnsi="Verdana"/>
          <w:sz w:val="20"/>
          <w:szCs w:val="20"/>
          <w:lang w:val="pt-BR"/>
        </w:rPr>
        <w:t>art. 24 n</w:t>
      </w:r>
      <w:r w:rsidR="008B56A3" w:rsidRPr="0038442F">
        <w:rPr>
          <w:rFonts w:ascii="Verdana" w:hAnsi="Verdana"/>
          <w:sz w:val="20"/>
          <w:szCs w:val="20"/>
          <w:lang w:val="pt-BR"/>
        </w:rPr>
        <w:t>ã</w:t>
      </w:r>
      <w:r w:rsidR="006F25D0" w:rsidRPr="0038442F">
        <w:rPr>
          <w:rFonts w:ascii="Verdana" w:hAnsi="Verdana"/>
          <w:sz w:val="20"/>
          <w:szCs w:val="20"/>
          <w:lang w:val="pt-BR"/>
        </w:rPr>
        <w:t xml:space="preserve">o </w:t>
      </w:r>
      <w:r w:rsidR="008B56A3" w:rsidRPr="0038442F">
        <w:rPr>
          <w:rFonts w:ascii="Verdana" w:hAnsi="Verdana"/>
          <w:sz w:val="20"/>
          <w:szCs w:val="20"/>
          <w:lang w:val="pt-BR"/>
        </w:rPr>
        <w:t xml:space="preserve">teria </w:t>
      </w:r>
      <w:r w:rsidR="00B9378C" w:rsidRPr="0038442F">
        <w:rPr>
          <w:rFonts w:ascii="Verdana" w:hAnsi="Verdana"/>
          <w:sz w:val="20"/>
          <w:szCs w:val="20"/>
          <w:lang w:val="pt-BR"/>
        </w:rPr>
        <w:t>acontecido</w:t>
      </w:r>
      <w:r w:rsidR="006F25D0" w:rsidRPr="0038442F">
        <w:rPr>
          <w:rFonts w:ascii="Verdana" w:hAnsi="Verdana"/>
          <w:sz w:val="20"/>
          <w:szCs w:val="20"/>
          <w:lang w:val="pt-BR"/>
        </w:rPr>
        <w:t xml:space="preserve">, </w:t>
      </w:r>
      <w:r w:rsidR="008B56A3" w:rsidRPr="0038442F">
        <w:rPr>
          <w:rFonts w:ascii="Verdana" w:hAnsi="Verdana"/>
          <w:sz w:val="20"/>
          <w:szCs w:val="20"/>
          <w:lang w:val="pt-BR"/>
        </w:rPr>
        <w:t xml:space="preserve">mas </w:t>
      </w:r>
      <w:r w:rsidR="006F25D0" w:rsidRPr="0038442F">
        <w:rPr>
          <w:rFonts w:ascii="Verdana" w:hAnsi="Verdana"/>
          <w:sz w:val="20"/>
          <w:szCs w:val="20"/>
          <w:lang w:val="pt-BR"/>
        </w:rPr>
        <w:t xml:space="preserve">a </w:t>
      </w:r>
      <w:r w:rsidR="00781273" w:rsidRPr="0038442F">
        <w:rPr>
          <w:rFonts w:ascii="Verdana" w:hAnsi="Verdana"/>
          <w:sz w:val="20"/>
          <w:szCs w:val="20"/>
          <w:lang w:val="pt-BR"/>
        </w:rPr>
        <w:t>discrimina</w:t>
      </w:r>
      <w:r w:rsidR="000A1AA8" w:rsidRPr="0038442F">
        <w:rPr>
          <w:rFonts w:ascii="Verdana" w:hAnsi="Verdana"/>
          <w:sz w:val="20"/>
          <w:szCs w:val="20"/>
          <w:lang w:val="pt-BR"/>
        </w:rPr>
        <w:t>ção</w:t>
      </w:r>
      <w:r w:rsidR="006F25D0" w:rsidRPr="0038442F">
        <w:rPr>
          <w:rFonts w:ascii="Verdana" w:hAnsi="Verdana"/>
          <w:sz w:val="20"/>
          <w:szCs w:val="20"/>
          <w:lang w:val="pt-BR"/>
        </w:rPr>
        <w:t xml:space="preserve"> </w:t>
      </w:r>
      <w:r w:rsidR="008B56A3" w:rsidRPr="0038442F">
        <w:rPr>
          <w:rFonts w:ascii="Verdana" w:hAnsi="Verdana"/>
          <w:sz w:val="20"/>
          <w:szCs w:val="20"/>
          <w:lang w:val="pt-BR"/>
        </w:rPr>
        <w:t xml:space="preserve">teria se originado </w:t>
      </w:r>
      <w:r w:rsidR="006F25D0" w:rsidRPr="0038442F">
        <w:rPr>
          <w:rFonts w:ascii="Verdana" w:hAnsi="Verdana"/>
          <w:sz w:val="20"/>
          <w:szCs w:val="20"/>
          <w:lang w:val="pt-BR"/>
        </w:rPr>
        <w:t>por “</w:t>
      </w:r>
      <w:r w:rsidR="008B56A3" w:rsidRPr="0038442F">
        <w:rPr>
          <w:rFonts w:ascii="Verdana" w:hAnsi="Verdana"/>
          <w:sz w:val="20"/>
          <w:szCs w:val="20"/>
          <w:lang w:val="pt-BR"/>
        </w:rPr>
        <w:t xml:space="preserve">falar seu </w:t>
      </w:r>
      <w:r w:rsidR="006F25D0" w:rsidRPr="0038442F">
        <w:rPr>
          <w:rFonts w:ascii="Verdana" w:hAnsi="Verdana"/>
          <w:sz w:val="20"/>
          <w:szCs w:val="20"/>
          <w:lang w:val="pt-BR"/>
        </w:rPr>
        <w:t xml:space="preserve">idioma”, </w:t>
      </w:r>
      <w:r w:rsidR="00F158D8" w:rsidRPr="0038442F">
        <w:rPr>
          <w:rFonts w:ascii="Verdana" w:hAnsi="Verdana"/>
          <w:sz w:val="20"/>
          <w:szCs w:val="20"/>
          <w:lang w:val="pt-BR"/>
        </w:rPr>
        <w:t xml:space="preserve">questão </w:t>
      </w:r>
      <w:r w:rsidR="006F25D0" w:rsidRPr="0038442F">
        <w:rPr>
          <w:rFonts w:ascii="Verdana" w:hAnsi="Verdana"/>
          <w:sz w:val="20"/>
          <w:szCs w:val="20"/>
          <w:lang w:val="pt-BR"/>
        </w:rPr>
        <w:t>que est</w:t>
      </w:r>
      <w:r w:rsidRPr="0038442F">
        <w:rPr>
          <w:rFonts w:ascii="Verdana" w:hAnsi="Verdana"/>
          <w:sz w:val="20"/>
          <w:szCs w:val="20"/>
          <w:lang w:val="pt-BR"/>
        </w:rPr>
        <w:t>á</w:t>
      </w:r>
      <w:r w:rsidR="006F25D0" w:rsidRPr="0038442F">
        <w:rPr>
          <w:rFonts w:ascii="Verdana" w:hAnsi="Verdana"/>
          <w:sz w:val="20"/>
          <w:szCs w:val="20"/>
          <w:lang w:val="pt-BR"/>
        </w:rPr>
        <w:t xml:space="preserve"> relacionad</w:t>
      </w:r>
      <w:r w:rsidR="008B56A3" w:rsidRPr="0038442F">
        <w:rPr>
          <w:rFonts w:ascii="Verdana" w:hAnsi="Verdana"/>
          <w:sz w:val="20"/>
          <w:szCs w:val="20"/>
          <w:lang w:val="pt-BR"/>
        </w:rPr>
        <w:t>a</w:t>
      </w:r>
      <w:r w:rsidR="006F25D0" w:rsidRPr="0038442F">
        <w:rPr>
          <w:rFonts w:ascii="Verdana" w:hAnsi="Verdana"/>
          <w:sz w:val="20"/>
          <w:szCs w:val="20"/>
          <w:lang w:val="pt-BR"/>
        </w:rPr>
        <w:t xml:space="preserve"> diretamente </w:t>
      </w:r>
      <w:r w:rsidR="008B56A3" w:rsidRPr="0038442F">
        <w:rPr>
          <w:rFonts w:ascii="Verdana" w:hAnsi="Verdana"/>
          <w:sz w:val="20"/>
          <w:szCs w:val="20"/>
          <w:lang w:val="pt-BR"/>
        </w:rPr>
        <w:t xml:space="preserve">a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8D1D71" w:rsidRPr="0038442F">
        <w:rPr>
          <w:rFonts w:ascii="Verdana" w:hAnsi="Verdana"/>
          <w:sz w:val="20"/>
          <w:szCs w:val="20"/>
          <w:lang w:val="pt-BR"/>
        </w:rPr>
        <w:t>categoria</w:t>
      </w:r>
      <w:r w:rsidR="00407242" w:rsidRPr="0038442F">
        <w:rPr>
          <w:rFonts w:ascii="Verdana" w:hAnsi="Verdana"/>
          <w:sz w:val="20"/>
          <w:szCs w:val="20"/>
          <w:lang w:val="pt-BR"/>
        </w:rPr>
        <w:t xml:space="preserve"> </w:t>
      </w:r>
      <w:r w:rsidR="008806F8" w:rsidRPr="0038442F">
        <w:rPr>
          <w:rFonts w:ascii="Verdana" w:hAnsi="Verdana"/>
          <w:sz w:val="20"/>
          <w:szCs w:val="20"/>
          <w:lang w:val="pt-BR"/>
        </w:rPr>
        <w:t>estabelecida</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6F25D0" w:rsidRPr="0038442F">
        <w:rPr>
          <w:rFonts w:ascii="Verdana" w:hAnsi="Verdana"/>
          <w:sz w:val="20"/>
          <w:szCs w:val="20"/>
          <w:lang w:val="pt-BR"/>
        </w:rPr>
        <w:t xml:space="preserve">1.1. </w:t>
      </w:r>
      <w:r w:rsidR="008B56A3" w:rsidRPr="0038442F">
        <w:rPr>
          <w:rFonts w:ascii="Verdana" w:hAnsi="Verdana"/>
          <w:sz w:val="20"/>
          <w:szCs w:val="20"/>
          <w:lang w:val="pt-BR"/>
        </w:rPr>
        <w:t>No entanto</w:t>
      </w:r>
      <w:r w:rsidR="006F25D0"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6F25D0" w:rsidRPr="0038442F">
        <w:rPr>
          <w:rFonts w:ascii="Verdana" w:hAnsi="Verdana"/>
          <w:sz w:val="20"/>
          <w:szCs w:val="20"/>
          <w:lang w:val="pt-BR"/>
        </w:rPr>
        <w:t xml:space="preserve">caso, </w:t>
      </w:r>
      <w:r w:rsidR="003B374E" w:rsidRPr="0038442F">
        <w:rPr>
          <w:rFonts w:ascii="Verdana" w:hAnsi="Verdana"/>
          <w:sz w:val="20"/>
          <w:szCs w:val="20"/>
          <w:lang w:val="pt-BR"/>
        </w:rPr>
        <w:t xml:space="preserve">o artigo </w:t>
      </w:r>
      <w:r w:rsidR="006F25D0" w:rsidRPr="0038442F">
        <w:rPr>
          <w:rFonts w:ascii="Verdana" w:hAnsi="Verdana"/>
          <w:sz w:val="20"/>
          <w:szCs w:val="20"/>
          <w:lang w:val="pt-BR"/>
        </w:rPr>
        <w:t xml:space="preserve">1.1 </w:t>
      </w:r>
      <w:r w:rsidR="008B56A3" w:rsidRPr="0038442F">
        <w:rPr>
          <w:rFonts w:ascii="Verdana" w:hAnsi="Verdana"/>
          <w:sz w:val="20"/>
          <w:szCs w:val="20"/>
          <w:lang w:val="pt-BR"/>
        </w:rPr>
        <w:t xml:space="preserve">é usado no que se refere às </w:t>
      </w:r>
      <w:r w:rsidR="00BB665E" w:rsidRPr="0038442F">
        <w:rPr>
          <w:rFonts w:ascii="Verdana" w:hAnsi="Verdana"/>
          <w:sz w:val="20"/>
          <w:szCs w:val="20"/>
          <w:lang w:val="pt-BR"/>
        </w:rPr>
        <w:t xml:space="preserve">obrigações </w:t>
      </w:r>
      <w:r w:rsidR="006F25D0" w:rsidRPr="0038442F">
        <w:rPr>
          <w:rFonts w:ascii="Verdana" w:hAnsi="Verdana"/>
          <w:sz w:val="20"/>
          <w:szCs w:val="20"/>
          <w:lang w:val="pt-BR"/>
        </w:rPr>
        <w:t>de “respe</w:t>
      </w:r>
      <w:r w:rsidR="008B56A3" w:rsidRPr="0038442F">
        <w:rPr>
          <w:rFonts w:ascii="Verdana" w:hAnsi="Verdana"/>
          <w:sz w:val="20"/>
          <w:szCs w:val="20"/>
          <w:lang w:val="pt-BR"/>
        </w:rPr>
        <w:t>i</w:t>
      </w:r>
      <w:r w:rsidR="006F25D0" w:rsidRPr="0038442F">
        <w:rPr>
          <w:rFonts w:ascii="Verdana" w:hAnsi="Verdana"/>
          <w:sz w:val="20"/>
          <w:szCs w:val="20"/>
          <w:lang w:val="pt-BR"/>
        </w:rPr>
        <w:t xml:space="preserve">to </w:t>
      </w:r>
      <w:r w:rsidR="008B56A3" w:rsidRPr="0038442F">
        <w:rPr>
          <w:rFonts w:ascii="Verdana" w:hAnsi="Verdana"/>
          <w:sz w:val="20"/>
          <w:szCs w:val="20"/>
          <w:lang w:val="pt-BR"/>
        </w:rPr>
        <w:t>e</w:t>
      </w:r>
      <w:r w:rsidR="006F25D0" w:rsidRPr="0038442F">
        <w:rPr>
          <w:rFonts w:ascii="Verdana" w:hAnsi="Verdana"/>
          <w:sz w:val="20"/>
          <w:szCs w:val="20"/>
          <w:lang w:val="pt-BR"/>
        </w:rPr>
        <w:t xml:space="preserve"> </w:t>
      </w:r>
      <w:r w:rsidR="00C92762" w:rsidRPr="0038442F">
        <w:rPr>
          <w:rFonts w:ascii="Verdana" w:hAnsi="Verdana"/>
          <w:sz w:val="20"/>
          <w:szCs w:val="20"/>
          <w:lang w:val="pt-BR"/>
        </w:rPr>
        <w:t>garantia</w:t>
      </w:r>
      <w:r w:rsidR="006F25D0" w:rsidRPr="0038442F">
        <w:rPr>
          <w:rFonts w:ascii="Verdana" w:hAnsi="Verdana"/>
          <w:sz w:val="20"/>
          <w:szCs w:val="20"/>
          <w:lang w:val="pt-BR"/>
        </w:rPr>
        <w:t>”.</w:t>
      </w:r>
    </w:p>
    <w:p w14:paraId="42FF22F1" w14:textId="77777777" w:rsidR="00E83F78" w:rsidRPr="0038442F" w:rsidRDefault="00E83F78" w:rsidP="00A857CB">
      <w:pPr>
        <w:pStyle w:val="Prrafodelista"/>
        <w:spacing w:line="240" w:lineRule="auto"/>
        <w:ind w:left="0"/>
        <w:jc w:val="both"/>
        <w:rPr>
          <w:rFonts w:ascii="Verdana" w:hAnsi="Verdana"/>
          <w:i/>
          <w:iCs/>
          <w:sz w:val="20"/>
          <w:szCs w:val="20"/>
          <w:lang w:val="pt-BR"/>
        </w:rPr>
      </w:pPr>
    </w:p>
    <w:p w14:paraId="50EC55CF" w14:textId="085DC83F" w:rsidR="00E83F78" w:rsidRPr="0038442F" w:rsidRDefault="008663E4" w:rsidP="008663E4">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90. </w:t>
      </w:r>
      <w:r w:rsidRPr="0038442F">
        <w:rPr>
          <w:rFonts w:ascii="Verdana" w:hAnsi="Verdana"/>
          <w:sz w:val="20"/>
          <w:szCs w:val="20"/>
          <w:lang w:val="pt-BR"/>
        </w:rPr>
        <w:tab/>
      </w:r>
      <w:r w:rsidR="00846188" w:rsidRPr="0038442F">
        <w:rPr>
          <w:rFonts w:ascii="Verdana" w:hAnsi="Verdana"/>
          <w:sz w:val="20"/>
          <w:szCs w:val="20"/>
          <w:lang w:val="pt-BR"/>
        </w:rPr>
        <w:t xml:space="preserve">O outro </w:t>
      </w:r>
      <w:r w:rsidR="006F25D0" w:rsidRPr="0038442F">
        <w:rPr>
          <w:rFonts w:ascii="Verdana" w:hAnsi="Verdana"/>
          <w:sz w:val="20"/>
          <w:szCs w:val="20"/>
          <w:lang w:val="pt-BR"/>
        </w:rPr>
        <w:t xml:space="preserve">caso que </w:t>
      </w:r>
      <w:r w:rsidR="00846188" w:rsidRPr="0038442F">
        <w:rPr>
          <w:rFonts w:ascii="Verdana" w:hAnsi="Verdana"/>
          <w:sz w:val="20"/>
          <w:szCs w:val="20"/>
          <w:lang w:val="pt-BR"/>
        </w:rPr>
        <w:t xml:space="preserve">rompeu com o </w:t>
      </w:r>
      <w:r w:rsidR="006F25D0" w:rsidRPr="0038442F">
        <w:rPr>
          <w:rFonts w:ascii="Verdana" w:hAnsi="Verdana"/>
          <w:sz w:val="20"/>
          <w:szCs w:val="20"/>
          <w:lang w:val="pt-BR"/>
        </w:rPr>
        <w:t xml:space="preserve">esquema que </w:t>
      </w:r>
      <w:r w:rsidR="00846188" w:rsidRPr="0038442F">
        <w:rPr>
          <w:rFonts w:ascii="Verdana" w:hAnsi="Verdana"/>
          <w:sz w:val="20"/>
          <w:szCs w:val="20"/>
          <w:lang w:val="pt-BR"/>
        </w:rPr>
        <w:t xml:space="preserve">a </w:t>
      </w:r>
      <w:r w:rsidR="008806F8" w:rsidRPr="0038442F">
        <w:rPr>
          <w:rFonts w:ascii="Verdana" w:hAnsi="Verdana"/>
          <w:sz w:val="20"/>
          <w:szCs w:val="20"/>
          <w:lang w:val="pt-BR"/>
        </w:rPr>
        <w:t xml:space="preserve">Corte </w:t>
      </w:r>
      <w:r w:rsidR="006F25D0" w:rsidRPr="0038442F">
        <w:rPr>
          <w:rFonts w:ascii="Verdana" w:hAnsi="Verdana"/>
          <w:sz w:val="20"/>
          <w:szCs w:val="20"/>
          <w:lang w:val="pt-BR"/>
        </w:rPr>
        <w:t xml:space="preserve">IDH </w:t>
      </w:r>
      <w:r w:rsidR="00846188" w:rsidRPr="0038442F">
        <w:rPr>
          <w:rFonts w:ascii="Verdana" w:hAnsi="Verdana"/>
          <w:sz w:val="20"/>
          <w:szCs w:val="20"/>
          <w:lang w:val="pt-BR"/>
        </w:rPr>
        <w:t xml:space="preserve">vinha estabelecendo foi o </w:t>
      </w:r>
      <w:r w:rsidR="00846188" w:rsidRPr="0038442F">
        <w:rPr>
          <w:rFonts w:ascii="Verdana" w:hAnsi="Verdana"/>
          <w:i/>
          <w:sz w:val="20"/>
          <w:szCs w:val="20"/>
          <w:lang w:val="pt-BR"/>
        </w:rPr>
        <w:t xml:space="preserve">Caso do Presídio </w:t>
      </w:r>
      <w:r w:rsidR="006F25D0" w:rsidRPr="0038442F">
        <w:rPr>
          <w:rFonts w:ascii="Verdana" w:hAnsi="Verdana"/>
          <w:i/>
          <w:iCs/>
          <w:sz w:val="20"/>
          <w:szCs w:val="20"/>
          <w:lang w:val="pt-BR"/>
        </w:rPr>
        <w:t xml:space="preserve">Miguel Castro Castro </w:t>
      </w:r>
      <w:r w:rsidR="006F25D0" w:rsidRPr="0038442F">
        <w:rPr>
          <w:rFonts w:ascii="Verdana" w:hAnsi="Verdana"/>
          <w:sz w:val="20"/>
          <w:szCs w:val="20"/>
          <w:lang w:val="pt-BR"/>
        </w:rPr>
        <w:t>(2006</w:t>
      </w:r>
      <w:r w:rsidR="00781273" w:rsidRPr="0038442F">
        <w:rPr>
          <w:rFonts w:ascii="Verdana" w:hAnsi="Verdana"/>
          <w:sz w:val="20"/>
          <w:szCs w:val="20"/>
          <w:lang w:val="pt-BR"/>
        </w:rPr>
        <w:t>).</w:t>
      </w:r>
      <w:r w:rsidR="006F25D0" w:rsidRPr="0038442F">
        <w:rPr>
          <w:rFonts w:ascii="Verdana" w:hAnsi="Verdana"/>
          <w:sz w:val="20"/>
          <w:szCs w:val="20"/>
          <w:lang w:val="pt-BR"/>
        </w:rPr>
        <w:t xml:space="preserve"> </w:t>
      </w:r>
      <w:r w:rsidR="00846188" w:rsidRPr="0038442F">
        <w:rPr>
          <w:rFonts w:ascii="Verdana" w:hAnsi="Verdana"/>
          <w:sz w:val="20"/>
          <w:szCs w:val="20"/>
          <w:lang w:val="pt-BR"/>
        </w:rPr>
        <w:t xml:space="preserve">O </w:t>
      </w:r>
      <w:r w:rsidRPr="0038442F">
        <w:rPr>
          <w:rFonts w:ascii="Verdana" w:hAnsi="Verdana"/>
          <w:sz w:val="20"/>
          <w:szCs w:val="20"/>
          <w:lang w:val="pt-BR"/>
        </w:rPr>
        <w:t xml:space="preserve">Tribunal Interamericano </w:t>
      </w:r>
      <w:r w:rsidR="008806F8" w:rsidRPr="0038442F">
        <w:rPr>
          <w:rFonts w:ascii="Verdana" w:hAnsi="Verdana"/>
          <w:sz w:val="20"/>
          <w:szCs w:val="20"/>
          <w:lang w:val="pt-BR"/>
        </w:rPr>
        <w:t>concluiu</w:t>
      </w:r>
      <w:r w:rsidR="00407242" w:rsidRPr="0038442F">
        <w:rPr>
          <w:rFonts w:ascii="Verdana" w:hAnsi="Verdana"/>
          <w:sz w:val="20"/>
          <w:szCs w:val="20"/>
          <w:lang w:val="pt-BR"/>
        </w:rPr>
        <w:t xml:space="preserve"> </w:t>
      </w:r>
      <w:r w:rsidR="006F25D0" w:rsidRPr="0038442F">
        <w:rPr>
          <w:rFonts w:ascii="Verdana" w:hAnsi="Verdana"/>
          <w:sz w:val="20"/>
          <w:szCs w:val="20"/>
          <w:lang w:val="pt-BR"/>
        </w:rPr>
        <w:t xml:space="preserve">que </w:t>
      </w:r>
      <w:r w:rsidR="000A1AA8" w:rsidRPr="0038442F">
        <w:rPr>
          <w:rFonts w:ascii="Verdana" w:hAnsi="Verdana"/>
          <w:sz w:val="20"/>
          <w:szCs w:val="20"/>
          <w:lang w:val="pt-BR"/>
        </w:rPr>
        <w:t xml:space="preserve">o Estado </w:t>
      </w:r>
      <w:r w:rsidR="00846188" w:rsidRPr="0038442F">
        <w:rPr>
          <w:rFonts w:ascii="Verdana" w:hAnsi="Verdana"/>
          <w:sz w:val="20"/>
          <w:szCs w:val="20"/>
          <w:lang w:val="pt-BR"/>
        </w:rPr>
        <w:t xml:space="preserve">havia descumprido a </w:t>
      </w:r>
      <w:r w:rsidR="005B55A8" w:rsidRPr="0038442F">
        <w:rPr>
          <w:rFonts w:ascii="Verdana" w:hAnsi="Verdana"/>
          <w:sz w:val="20"/>
          <w:szCs w:val="20"/>
          <w:lang w:val="pt-BR"/>
        </w:rPr>
        <w:t xml:space="preserve">obrigação </w:t>
      </w:r>
      <w:r w:rsidR="006F25D0" w:rsidRPr="0038442F">
        <w:rPr>
          <w:rFonts w:ascii="Verdana" w:hAnsi="Verdana"/>
          <w:sz w:val="20"/>
          <w:szCs w:val="20"/>
          <w:lang w:val="pt-BR"/>
        </w:rPr>
        <w:t>de n</w:t>
      </w:r>
      <w:r w:rsidR="00846188" w:rsidRPr="0038442F">
        <w:rPr>
          <w:rFonts w:ascii="Verdana" w:hAnsi="Verdana"/>
          <w:sz w:val="20"/>
          <w:szCs w:val="20"/>
          <w:lang w:val="pt-BR"/>
        </w:rPr>
        <w:t>ã</w:t>
      </w:r>
      <w:r w:rsidR="006F25D0" w:rsidRPr="0038442F">
        <w:rPr>
          <w:rFonts w:ascii="Verdana" w:hAnsi="Verdana"/>
          <w:sz w:val="20"/>
          <w:szCs w:val="20"/>
          <w:lang w:val="pt-BR"/>
        </w:rPr>
        <w:t xml:space="preserve">o discriminar as </w:t>
      </w:r>
      <w:r w:rsidR="00C92762" w:rsidRPr="0038442F">
        <w:rPr>
          <w:rFonts w:ascii="Verdana" w:hAnsi="Verdana"/>
          <w:sz w:val="20"/>
          <w:szCs w:val="20"/>
          <w:lang w:val="pt-BR"/>
        </w:rPr>
        <w:t>mulheres</w:t>
      </w:r>
      <w:r w:rsidR="00407242" w:rsidRPr="0038442F">
        <w:rPr>
          <w:rFonts w:ascii="Verdana" w:hAnsi="Verdana"/>
          <w:sz w:val="20"/>
          <w:szCs w:val="20"/>
          <w:lang w:val="pt-BR"/>
        </w:rPr>
        <w:t xml:space="preserve"> </w:t>
      </w:r>
      <w:r w:rsidR="006F25D0" w:rsidRPr="0038442F">
        <w:rPr>
          <w:rFonts w:ascii="Verdana" w:hAnsi="Verdana"/>
          <w:sz w:val="20"/>
          <w:szCs w:val="20"/>
          <w:lang w:val="pt-BR"/>
        </w:rPr>
        <w:t>e</w:t>
      </w:r>
      <w:r w:rsidR="00846188" w:rsidRPr="0038442F">
        <w:rPr>
          <w:rFonts w:ascii="Verdana" w:hAnsi="Verdana"/>
          <w:sz w:val="20"/>
          <w:szCs w:val="20"/>
          <w:lang w:val="pt-BR"/>
        </w:rPr>
        <w:t>m</w:t>
      </w:r>
      <w:r w:rsidR="006F25D0" w:rsidRPr="0038442F">
        <w:rPr>
          <w:rFonts w:ascii="Verdana" w:hAnsi="Verdana"/>
          <w:sz w:val="20"/>
          <w:szCs w:val="20"/>
          <w:lang w:val="pt-BR"/>
        </w:rPr>
        <w:t xml:space="preserve"> condi</w:t>
      </w:r>
      <w:r w:rsidR="000A1AA8" w:rsidRPr="0038442F">
        <w:rPr>
          <w:rFonts w:ascii="Verdana" w:hAnsi="Verdana"/>
          <w:sz w:val="20"/>
          <w:szCs w:val="20"/>
          <w:lang w:val="pt-BR"/>
        </w:rPr>
        <w:t>ções</w:t>
      </w:r>
      <w:r w:rsidR="006F25D0" w:rsidRPr="0038442F">
        <w:rPr>
          <w:rFonts w:ascii="Verdana" w:hAnsi="Verdana"/>
          <w:sz w:val="20"/>
          <w:szCs w:val="20"/>
          <w:lang w:val="pt-BR"/>
        </w:rPr>
        <w:t xml:space="preserve"> de </w:t>
      </w:r>
      <w:r w:rsidR="00781273" w:rsidRPr="0038442F">
        <w:rPr>
          <w:rFonts w:ascii="Verdana" w:hAnsi="Verdana"/>
          <w:sz w:val="20"/>
          <w:szCs w:val="20"/>
          <w:lang w:val="pt-BR"/>
        </w:rPr>
        <w:t>deten</w:t>
      </w:r>
      <w:r w:rsidR="000A1AA8" w:rsidRPr="0038442F">
        <w:rPr>
          <w:rFonts w:ascii="Verdana" w:hAnsi="Verdana"/>
          <w:sz w:val="20"/>
          <w:szCs w:val="20"/>
          <w:lang w:val="pt-BR"/>
        </w:rPr>
        <w:t>ção</w:t>
      </w:r>
      <w:r w:rsidR="00B9378C" w:rsidRPr="0038442F">
        <w:rPr>
          <w:rFonts w:ascii="Verdana" w:hAnsi="Verdana"/>
          <w:sz w:val="20"/>
          <w:szCs w:val="20"/>
          <w:lang w:val="pt-BR"/>
        </w:rPr>
        <w:t xml:space="preserve"> e</w:t>
      </w:r>
      <w:r w:rsidR="006F25D0" w:rsidRPr="0038442F">
        <w:rPr>
          <w:rFonts w:ascii="Verdana" w:hAnsi="Verdana"/>
          <w:sz w:val="20"/>
          <w:szCs w:val="20"/>
          <w:lang w:val="pt-BR"/>
        </w:rPr>
        <w:t xml:space="preserve"> que a viol</w:t>
      </w:r>
      <w:r w:rsidR="00846188" w:rsidRPr="0038442F">
        <w:rPr>
          <w:rFonts w:ascii="Verdana" w:hAnsi="Verdana"/>
          <w:sz w:val="20"/>
          <w:szCs w:val="20"/>
          <w:lang w:val="pt-BR"/>
        </w:rPr>
        <w:t xml:space="preserve">ência </w:t>
      </w:r>
      <w:r w:rsidR="006F25D0" w:rsidRPr="0038442F">
        <w:rPr>
          <w:rFonts w:ascii="Verdana" w:hAnsi="Verdana"/>
          <w:sz w:val="20"/>
          <w:szCs w:val="20"/>
          <w:lang w:val="pt-BR"/>
        </w:rPr>
        <w:t xml:space="preserve">sexual </w:t>
      </w:r>
      <w:r w:rsidR="00846188" w:rsidRPr="0038442F">
        <w:rPr>
          <w:rFonts w:ascii="Verdana" w:hAnsi="Verdana"/>
          <w:sz w:val="20"/>
          <w:szCs w:val="20"/>
          <w:lang w:val="pt-BR"/>
        </w:rPr>
        <w:t xml:space="preserve">é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6F25D0" w:rsidRPr="0038442F">
        <w:rPr>
          <w:rFonts w:ascii="Verdana" w:hAnsi="Verdana"/>
          <w:sz w:val="20"/>
          <w:szCs w:val="20"/>
          <w:lang w:val="pt-BR"/>
        </w:rPr>
        <w:t xml:space="preserve">forma de </w:t>
      </w:r>
      <w:r w:rsidR="00781273" w:rsidRPr="0038442F">
        <w:rPr>
          <w:rFonts w:ascii="Verdana" w:hAnsi="Verdana"/>
          <w:sz w:val="20"/>
          <w:szCs w:val="20"/>
          <w:lang w:val="pt-BR"/>
        </w:rPr>
        <w:t>discrimina</w:t>
      </w:r>
      <w:r w:rsidR="00846188" w:rsidRPr="0038442F">
        <w:rPr>
          <w:rFonts w:ascii="Verdana" w:hAnsi="Verdana"/>
          <w:sz w:val="20"/>
          <w:szCs w:val="20"/>
          <w:lang w:val="pt-BR"/>
        </w:rPr>
        <w:t xml:space="preserve">ção, e reconheceu a </w:t>
      </w:r>
      <w:r w:rsidR="00246A73" w:rsidRPr="0038442F">
        <w:rPr>
          <w:rFonts w:ascii="Verdana" w:hAnsi="Verdana"/>
          <w:sz w:val="20"/>
          <w:szCs w:val="20"/>
          <w:lang w:val="pt-BR"/>
        </w:rPr>
        <w:t>existência</w:t>
      </w:r>
      <w:r w:rsidR="00407242" w:rsidRPr="0038442F">
        <w:rPr>
          <w:rFonts w:ascii="Verdana" w:hAnsi="Verdana"/>
          <w:sz w:val="20"/>
          <w:szCs w:val="20"/>
          <w:lang w:val="pt-BR"/>
        </w:rPr>
        <w:t xml:space="preserve"> </w:t>
      </w:r>
      <w:r w:rsidR="006F25D0" w:rsidRPr="0038442F">
        <w:rPr>
          <w:rFonts w:ascii="Verdana" w:hAnsi="Verdana"/>
          <w:sz w:val="20"/>
          <w:szCs w:val="20"/>
          <w:lang w:val="pt-BR"/>
        </w:rPr>
        <w:t>de situa</w:t>
      </w:r>
      <w:r w:rsidR="000A1AA8" w:rsidRPr="0038442F">
        <w:rPr>
          <w:rFonts w:ascii="Verdana" w:hAnsi="Verdana"/>
          <w:sz w:val="20"/>
          <w:szCs w:val="20"/>
          <w:lang w:val="pt-BR"/>
        </w:rPr>
        <w:t>ções</w:t>
      </w:r>
      <w:r w:rsidR="006F25D0" w:rsidRPr="0038442F">
        <w:rPr>
          <w:rFonts w:ascii="Verdana" w:hAnsi="Verdana"/>
          <w:sz w:val="20"/>
          <w:szCs w:val="20"/>
          <w:lang w:val="pt-BR"/>
        </w:rPr>
        <w:t xml:space="preserve"> de viol</w:t>
      </w:r>
      <w:r w:rsidR="00846188" w:rsidRPr="0038442F">
        <w:rPr>
          <w:rFonts w:ascii="Verdana" w:hAnsi="Verdana"/>
          <w:sz w:val="20"/>
          <w:szCs w:val="20"/>
          <w:lang w:val="pt-BR"/>
        </w:rPr>
        <w:t>ê</w:t>
      </w:r>
      <w:r w:rsidR="006F25D0" w:rsidRPr="0038442F">
        <w:rPr>
          <w:rFonts w:ascii="Verdana" w:hAnsi="Verdana"/>
          <w:sz w:val="20"/>
          <w:szCs w:val="20"/>
          <w:lang w:val="pt-BR"/>
        </w:rPr>
        <w:t xml:space="preserve">ncia sexual dentro </w:t>
      </w:r>
      <w:r w:rsidR="00846188" w:rsidRPr="0038442F">
        <w:rPr>
          <w:rFonts w:ascii="Verdana" w:hAnsi="Verdana"/>
          <w:sz w:val="20"/>
          <w:szCs w:val="20"/>
          <w:lang w:val="pt-BR"/>
        </w:rPr>
        <w:t xml:space="preserve">do presídio, </w:t>
      </w:r>
      <w:r w:rsidR="00781273" w:rsidRPr="0038442F">
        <w:rPr>
          <w:rFonts w:ascii="Verdana" w:hAnsi="Verdana"/>
          <w:sz w:val="20"/>
          <w:szCs w:val="20"/>
          <w:lang w:val="pt-BR"/>
        </w:rPr>
        <w:t>d</w:t>
      </w:r>
      <w:r w:rsidR="006F25D0" w:rsidRPr="0038442F">
        <w:rPr>
          <w:rFonts w:ascii="Verdana" w:hAnsi="Verdana"/>
          <w:sz w:val="20"/>
          <w:szCs w:val="20"/>
          <w:lang w:val="pt-BR"/>
        </w:rPr>
        <w:t xml:space="preserve">e tal modo que se </w:t>
      </w:r>
      <w:r w:rsidR="00846188" w:rsidRPr="0038442F">
        <w:rPr>
          <w:rFonts w:ascii="Verdana" w:hAnsi="Verdana"/>
          <w:sz w:val="20"/>
          <w:szCs w:val="20"/>
          <w:lang w:val="pt-BR"/>
        </w:rPr>
        <w:t xml:space="preserve">declarou a </w:t>
      </w:r>
      <w:r w:rsidR="00B86998" w:rsidRPr="0038442F">
        <w:rPr>
          <w:rFonts w:ascii="Verdana" w:hAnsi="Verdana"/>
          <w:sz w:val="20"/>
          <w:szCs w:val="20"/>
          <w:lang w:val="pt-BR"/>
        </w:rPr>
        <w:t>violação</w:t>
      </w:r>
      <w:r w:rsidR="006F25D0"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CA30C5" w:rsidRPr="0038442F">
        <w:rPr>
          <w:rFonts w:ascii="Verdana" w:hAnsi="Verdana"/>
          <w:sz w:val="20"/>
          <w:szCs w:val="20"/>
          <w:lang w:val="pt-BR"/>
        </w:rPr>
        <w:t>artigo</w:t>
      </w:r>
      <w:r w:rsidR="00846188" w:rsidRPr="0038442F">
        <w:rPr>
          <w:rFonts w:ascii="Verdana" w:hAnsi="Verdana"/>
          <w:sz w:val="20"/>
          <w:szCs w:val="20"/>
          <w:lang w:val="pt-BR"/>
        </w:rPr>
        <w:t>s</w:t>
      </w:r>
      <w:r w:rsidR="00407242" w:rsidRPr="0038442F">
        <w:rPr>
          <w:rFonts w:ascii="Verdana" w:hAnsi="Verdana"/>
          <w:sz w:val="20"/>
          <w:szCs w:val="20"/>
          <w:lang w:val="pt-BR"/>
        </w:rPr>
        <w:t xml:space="preserve"> </w:t>
      </w:r>
      <w:r w:rsidR="006F25D0" w:rsidRPr="0038442F">
        <w:rPr>
          <w:rFonts w:ascii="Verdana" w:hAnsi="Verdana"/>
          <w:sz w:val="20"/>
          <w:szCs w:val="20"/>
          <w:lang w:val="pt-BR"/>
        </w:rPr>
        <w:t xml:space="preserve">7.b </w:t>
      </w:r>
      <w:r w:rsidR="00C92762" w:rsidRPr="0038442F">
        <w:rPr>
          <w:rFonts w:ascii="Verdana" w:hAnsi="Verdana"/>
          <w:sz w:val="20"/>
          <w:szCs w:val="20"/>
          <w:lang w:val="pt-BR"/>
        </w:rPr>
        <w:t xml:space="preserve">da </w:t>
      </w:r>
      <w:r w:rsidR="00E83F78" w:rsidRPr="0038442F">
        <w:rPr>
          <w:rFonts w:ascii="Verdana" w:hAnsi="Verdana"/>
          <w:sz w:val="20"/>
          <w:szCs w:val="20"/>
          <w:lang w:val="pt-BR"/>
        </w:rPr>
        <w:t>Conven</w:t>
      </w:r>
      <w:r w:rsidR="000A1AA8" w:rsidRPr="0038442F">
        <w:rPr>
          <w:rFonts w:ascii="Verdana" w:hAnsi="Verdana"/>
          <w:sz w:val="20"/>
          <w:szCs w:val="20"/>
          <w:lang w:val="pt-BR"/>
        </w:rPr>
        <w:t>ção</w:t>
      </w:r>
      <w:r w:rsidR="00E83F78" w:rsidRPr="0038442F">
        <w:rPr>
          <w:rFonts w:ascii="Verdana" w:hAnsi="Verdana"/>
          <w:sz w:val="20"/>
          <w:szCs w:val="20"/>
          <w:lang w:val="pt-BR"/>
        </w:rPr>
        <w:t xml:space="preserve"> </w:t>
      </w:r>
      <w:r w:rsidR="00846188" w:rsidRPr="0038442F">
        <w:rPr>
          <w:rFonts w:ascii="Verdana" w:hAnsi="Verdana"/>
          <w:sz w:val="20"/>
          <w:szCs w:val="20"/>
          <w:lang w:val="pt-BR"/>
        </w:rPr>
        <w:t xml:space="preserve">de </w:t>
      </w:r>
      <w:r w:rsidR="00E83F78" w:rsidRPr="0038442F">
        <w:rPr>
          <w:rFonts w:ascii="Verdana" w:hAnsi="Verdana"/>
          <w:sz w:val="20"/>
          <w:szCs w:val="20"/>
          <w:lang w:val="pt-BR"/>
        </w:rPr>
        <w:t xml:space="preserve">Belém do Pará </w:t>
      </w:r>
      <w:r w:rsidR="00846188" w:rsidRPr="0038442F">
        <w:rPr>
          <w:rFonts w:ascii="Verdana" w:hAnsi="Verdana"/>
          <w:sz w:val="20"/>
          <w:szCs w:val="20"/>
          <w:lang w:val="pt-BR"/>
        </w:rPr>
        <w:t>e</w:t>
      </w:r>
      <w:r w:rsidR="006F25D0" w:rsidRPr="0038442F">
        <w:rPr>
          <w:rFonts w:ascii="Verdana" w:hAnsi="Verdana"/>
          <w:sz w:val="20"/>
          <w:szCs w:val="20"/>
          <w:lang w:val="pt-BR"/>
        </w:rPr>
        <w:t xml:space="preserve"> 5.1 </w:t>
      </w:r>
      <w:r w:rsidR="00C92762" w:rsidRPr="0038442F">
        <w:rPr>
          <w:rFonts w:ascii="Verdana" w:hAnsi="Verdana"/>
          <w:sz w:val="20"/>
          <w:szCs w:val="20"/>
          <w:lang w:val="pt-BR"/>
        </w:rPr>
        <w:t xml:space="preserve">da </w:t>
      </w:r>
      <w:r w:rsidR="00E83F78" w:rsidRPr="0038442F">
        <w:rPr>
          <w:rFonts w:ascii="Verdana" w:hAnsi="Verdana"/>
          <w:sz w:val="20"/>
          <w:szCs w:val="20"/>
          <w:lang w:val="pt-BR"/>
        </w:rPr>
        <w:t>Conven</w:t>
      </w:r>
      <w:r w:rsidR="000A1AA8" w:rsidRPr="0038442F">
        <w:rPr>
          <w:rFonts w:ascii="Verdana" w:hAnsi="Verdana"/>
          <w:sz w:val="20"/>
          <w:szCs w:val="20"/>
          <w:lang w:val="pt-BR"/>
        </w:rPr>
        <w:t>ção</w:t>
      </w:r>
      <w:r w:rsidR="00E83F78" w:rsidRPr="0038442F">
        <w:rPr>
          <w:rFonts w:ascii="Verdana" w:hAnsi="Verdana"/>
          <w:sz w:val="20"/>
          <w:szCs w:val="20"/>
          <w:lang w:val="pt-BR"/>
        </w:rPr>
        <w:t xml:space="preserve"> Americana</w:t>
      </w:r>
      <w:r w:rsidR="00846188" w:rsidRPr="0038442F">
        <w:rPr>
          <w:rFonts w:ascii="Verdana" w:hAnsi="Verdana"/>
          <w:sz w:val="20"/>
          <w:szCs w:val="20"/>
          <w:lang w:val="pt-BR"/>
        </w:rPr>
        <w:t>;</w:t>
      </w:r>
      <w:r w:rsidR="00E83F78" w:rsidRPr="0038442F">
        <w:rPr>
          <w:rStyle w:val="Refdenotaalpie"/>
          <w:rFonts w:ascii="Verdana" w:hAnsi="Verdana"/>
          <w:sz w:val="20"/>
          <w:szCs w:val="20"/>
          <w:lang w:val="pt-BR"/>
        </w:rPr>
        <w:footnoteReference w:id="151"/>
      </w:r>
      <w:r w:rsidR="00E83F78" w:rsidRPr="0038442F">
        <w:rPr>
          <w:rFonts w:ascii="Verdana" w:hAnsi="Verdana"/>
          <w:sz w:val="20"/>
          <w:szCs w:val="20"/>
          <w:lang w:val="pt-BR"/>
        </w:rPr>
        <w:t xml:space="preserve"> </w:t>
      </w:r>
      <w:r w:rsidR="00846188" w:rsidRPr="0038442F">
        <w:rPr>
          <w:rFonts w:ascii="Verdana" w:hAnsi="Verdana"/>
          <w:sz w:val="20"/>
          <w:szCs w:val="20"/>
          <w:lang w:val="pt-BR"/>
        </w:rPr>
        <w:t>no entanto</w:t>
      </w:r>
      <w:r w:rsidRPr="0038442F">
        <w:rPr>
          <w:rFonts w:ascii="Verdana" w:hAnsi="Verdana"/>
          <w:sz w:val="20"/>
          <w:szCs w:val="20"/>
          <w:lang w:val="pt-BR"/>
        </w:rPr>
        <w:t>,</w:t>
      </w:r>
      <w:r w:rsidR="00781273" w:rsidRPr="0038442F">
        <w:rPr>
          <w:rFonts w:ascii="Verdana" w:hAnsi="Verdana"/>
          <w:sz w:val="20"/>
          <w:szCs w:val="20"/>
          <w:lang w:val="pt-BR"/>
        </w:rPr>
        <w:t xml:space="preserve"> </w:t>
      </w:r>
      <w:r w:rsidR="00846188" w:rsidRPr="0038442F">
        <w:rPr>
          <w:rFonts w:ascii="Verdana" w:hAnsi="Verdana"/>
          <w:sz w:val="20"/>
          <w:szCs w:val="20"/>
          <w:lang w:val="pt-BR"/>
        </w:rPr>
        <w:t xml:space="preserve">não determinou que esses danos à </w:t>
      </w:r>
      <w:r w:rsidR="008806F8" w:rsidRPr="0038442F">
        <w:rPr>
          <w:rFonts w:ascii="Verdana" w:hAnsi="Verdana"/>
          <w:sz w:val="20"/>
          <w:szCs w:val="20"/>
          <w:lang w:val="pt-BR"/>
        </w:rPr>
        <w:t>integridade</w:t>
      </w:r>
      <w:r w:rsidR="00407242" w:rsidRPr="0038442F">
        <w:rPr>
          <w:rFonts w:ascii="Verdana" w:hAnsi="Verdana"/>
          <w:sz w:val="20"/>
          <w:szCs w:val="20"/>
          <w:lang w:val="pt-BR"/>
        </w:rPr>
        <w:t xml:space="preserve"> </w:t>
      </w:r>
      <w:r w:rsidR="00B9378C" w:rsidRPr="0038442F">
        <w:rPr>
          <w:rFonts w:ascii="Verdana" w:hAnsi="Verdana"/>
          <w:sz w:val="20"/>
          <w:szCs w:val="20"/>
          <w:lang w:val="pt-BR"/>
        </w:rPr>
        <w:t>fossem</w:t>
      </w:r>
      <w:r w:rsidR="00846188" w:rsidRPr="0038442F">
        <w:rPr>
          <w:rFonts w:ascii="Verdana" w:hAnsi="Verdana"/>
          <w:sz w:val="20"/>
          <w:szCs w:val="20"/>
          <w:lang w:val="pt-BR"/>
        </w:rPr>
        <w:t xml:space="preserve">, ao mesmo tempo, </w:t>
      </w:r>
      <w:r w:rsidR="00E83F78" w:rsidRPr="0038442F">
        <w:rPr>
          <w:rFonts w:ascii="Verdana" w:hAnsi="Verdana"/>
          <w:sz w:val="20"/>
          <w:szCs w:val="20"/>
          <w:lang w:val="pt-BR"/>
        </w:rPr>
        <w:t>viola</w:t>
      </w:r>
      <w:r w:rsidR="000A1AA8" w:rsidRPr="0038442F">
        <w:rPr>
          <w:rFonts w:ascii="Verdana" w:hAnsi="Verdana"/>
          <w:sz w:val="20"/>
          <w:szCs w:val="20"/>
          <w:lang w:val="pt-BR"/>
        </w:rPr>
        <w:t>ções</w:t>
      </w:r>
      <w:r w:rsidR="00E83F78" w:rsidRPr="0038442F">
        <w:rPr>
          <w:rFonts w:ascii="Verdana" w:hAnsi="Verdana"/>
          <w:sz w:val="20"/>
          <w:szCs w:val="20"/>
          <w:lang w:val="pt-BR"/>
        </w:rPr>
        <w:t xml:space="preserve"> </w:t>
      </w:r>
      <w:r w:rsidR="00C92762" w:rsidRPr="0038442F">
        <w:rPr>
          <w:rFonts w:ascii="Verdana" w:hAnsi="Verdana"/>
          <w:sz w:val="20"/>
          <w:szCs w:val="20"/>
          <w:lang w:val="pt-BR"/>
        </w:rPr>
        <w:t>da obrigação</w:t>
      </w:r>
      <w:r w:rsidR="00407242" w:rsidRPr="0038442F">
        <w:rPr>
          <w:rFonts w:ascii="Verdana" w:hAnsi="Verdana"/>
          <w:sz w:val="20"/>
          <w:szCs w:val="20"/>
          <w:lang w:val="pt-BR"/>
        </w:rPr>
        <w:t xml:space="preserve"> </w:t>
      </w:r>
      <w:r w:rsidR="00E83F78" w:rsidRPr="0038442F">
        <w:rPr>
          <w:rFonts w:ascii="Verdana" w:hAnsi="Verdana"/>
          <w:sz w:val="20"/>
          <w:szCs w:val="20"/>
          <w:lang w:val="pt-BR"/>
        </w:rPr>
        <w:t>de n</w:t>
      </w:r>
      <w:r w:rsidR="00846188" w:rsidRPr="0038442F">
        <w:rPr>
          <w:rFonts w:ascii="Verdana" w:hAnsi="Verdana"/>
          <w:sz w:val="20"/>
          <w:szCs w:val="20"/>
          <w:lang w:val="pt-BR"/>
        </w:rPr>
        <w:t>ã</w:t>
      </w:r>
      <w:r w:rsidR="00E83F78" w:rsidRPr="0038442F">
        <w:rPr>
          <w:rFonts w:ascii="Verdana" w:hAnsi="Verdana"/>
          <w:sz w:val="20"/>
          <w:szCs w:val="20"/>
          <w:lang w:val="pt-BR"/>
        </w:rPr>
        <w:t xml:space="preserve">o discriminar </w:t>
      </w:r>
      <w:r w:rsidR="00846188" w:rsidRPr="0038442F">
        <w:rPr>
          <w:rFonts w:ascii="Verdana" w:hAnsi="Verdana"/>
          <w:sz w:val="20"/>
          <w:szCs w:val="20"/>
          <w:lang w:val="pt-BR"/>
        </w:rPr>
        <w:t xml:space="preserve">em razão </w:t>
      </w:r>
      <w:r w:rsidR="00E83F78" w:rsidRPr="0038442F">
        <w:rPr>
          <w:rFonts w:ascii="Verdana" w:hAnsi="Verdana"/>
          <w:sz w:val="20"/>
          <w:szCs w:val="20"/>
          <w:lang w:val="pt-BR"/>
        </w:rPr>
        <w:t>de sexo</w:t>
      </w:r>
      <w:r w:rsidR="00781273" w:rsidRPr="0038442F">
        <w:rPr>
          <w:rFonts w:ascii="Verdana" w:hAnsi="Verdana"/>
          <w:sz w:val="20"/>
          <w:szCs w:val="20"/>
          <w:lang w:val="pt-BR"/>
        </w:rPr>
        <w:t>/</w:t>
      </w:r>
      <w:r w:rsidR="005907B2" w:rsidRPr="0038442F">
        <w:rPr>
          <w:rFonts w:ascii="Verdana" w:hAnsi="Verdana"/>
          <w:sz w:val="20"/>
          <w:szCs w:val="20"/>
          <w:lang w:val="pt-BR"/>
        </w:rPr>
        <w:t>gênero</w:t>
      </w:r>
      <w:r w:rsidR="00407242" w:rsidRPr="0038442F">
        <w:rPr>
          <w:rFonts w:ascii="Verdana" w:hAnsi="Verdana"/>
          <w:sz w:val="20"/>
          <w:szCs w:val="20"/>
          <w:lang w:val="pt-BR"/>
        </w:rPr>
        <w:t xml:space="preserve"> </w:t>
      </w:r>
      <w:r w:rsidR="00E83F78" w:rsidRPr="0038442F">
        <w:rPr>
          <w:rFonts w:ascii="Verdana" w:hAnsi="Verdana"/>
          <w:sz w:val="20"/>
          <w:szCs w:val="20"/>
          <w:lang w:val="pt-BR"/>
        </w:rPr>
        <w:t xml:space="preserve">contemplada </w:t>
      </w:r>
      <w:r w:rsidR="00751189" w:rsidRPr="0038442F">
        <w:rPr>
          <w:rFonts w:ascii="Verdana" w:hAnsi="Verdana"/>
          <w:sz w:val="20"/>
          <w:szCs w:val="20"/>
          <w:lang w:val="pt-BR"/>
        </w:rPr>
        <w:t xml:space="preserve">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E83F78" w:rsidRPr="0038442F">
        <w:rPr>
          <w:rFonts w:ascii="Verdana" w:hAnsi="Verdana"/>
          <w:sz w:val="20"/>
          <w:szCs w:val="20"/>
          <w:lang w:val="pt-BR"/>
        </w:rPr>
        <w:t xml:space="preserve">1.1. </w:t>
      </w:r>
    </w:p>
    <w:p w14:paraId="15A4D35F" w14:textId="77777777" w:rsidR="00E83F78" w:rsidRPr="0038442F" w:rsidRDefault="00E83F78" w:rsidP="00A857CB">
      <w:pPr>
        <w:pStyle w:val="Prrafodelista"/>
        <w:spacing w:line="240" w:lineRule="auto"/>
        <w:rPr>
          <w:rFonts w:ascii="Verdana" w:hAnsi="Verdana"/>
          <w:i/>
          <w:iCs/>
          <w:sz w:val="20"/>
          <w:szCs w:val="20"/>
          <w:lang w:val="pt-BR"/>
        </w:rPr>
      </w:pPr>
    </w:p>
    <w:p w14:paraId="6F4DAFF0" w14:textId="59EEDE2C" w:rsidR="00223C29" w:rsidRPr="0038442F" w:rsidRDefault="008663E4" w:rsidP="008663E4">
      <w:pPr>
        <w:pStyle w:val="Prrafodelista"/>
        <w:spacing w:line="240" w:lineRule="auto"/>
        <w:ind w:left="0"/>
        <w:jc w:val="both"/>
        <w:rPr>
          <w:rFonts w:ascii="Verdana" w:hAnsi="Verdana"/>
          <w:i/>
          <w:iCs/>
          <w:sz w:val="20"/>
          <w:szCs w:val="20"/>
          <w:lang w:val="pt-BR"/>
        </w:rPr>
      </w:pPr>
      <w:r w:rsidRPr="0038442F">
        <w:rPr>
          <w:rFonts w:ascii="Verdana" w:hAnsi="Verdana"/>
          <w:sz w:val="20"/>
          <w:szCs w:val="20"/>
          <w:lang w:val="pt-BR"/>
        </w:rPr>
        <w:t xml:space="preserve">91. </w:t>
      </w:r>
      <w:r w:rsidRPr="0038442F">
        <w:rPr>
          <w:rFonts w:ascii="Verdana" w:hAnsi="Verdana"/>
          <w:sz w:val="20"/>
          <w:szCs w:val="20"/>
          <w:lang w:val="pt-BR"/>
        </w:rPr>
        <w:tab/>
      </w:r>
      <w:r w:rsidR="00E83F78" w:rsidRPr="0038442F">
        <w:rPr>
          <w:rFonts w:ascii="Verdana" w:hAnsi="Verdana"/>
          <w:sz w:val="20"/>
          <w:szCs w:val="20"/>
          <w:lang w:val="pt-BR"/>
        </w:rPr>
        <w:t>Finalmente, como pre</w:t>
      </w:r>
      <w:r w:rsidR="00846188" w:rsidRPr="0038442F">
        <w:rPr>
          <w:rFonts w:ascii="Verdana" w:hAnsi="Verdana"/>
          <w:sz w:val="20"/>
          <w:szCs w:val="20"/>
          <w:lang w:val="pt-BR"/>
        </w:rPr>
        <w:t>â</w:t>
      </w:r>
      <w:r w:rsidR="00E83F78" w:rsidRPr="0038442F">
        <w:rPr>
          <w:rFonts w:ascii="Verdana" w:hAnsi="Verdana"/>
          <w:sz w:val="20"/>
          <w:szCs w:val="20"/>
          <w:lang w:val="pt-BR"/>
        </w:rPr>
        <w:t xml:space="preserve">mbulo </w:t>
      </w:r>
      <w:r w:rsidR="00C92762" w:rsidRPr="0038442F">
        <w:rPr>
          <w:rFonts w:ascii="Verdana" w:hAnsi="Verdana"/>
          <w:sz w:val="20"/>
          <w:szCs w:val="20"/>
          <w:lang w:val="pt-BR"/>
        </w:rPr>
        <w:t xml:space="preserve">da </w:t>
      </w:r>
      <w:r w:rsidR="00E83F78" w:rsidRPr="0038442F">
        <w:rPr>
          <w:rFonts w:ascii="Verdana" w:hAnsi="Verdana"/>
          <w:sz w:val="20"/>
          <w:szCs w:val="20"/>
          <w:lang w:val="pt-BR"/>
        </w:rPr>
        <w:t>consolida</w:t>
      </w:r>
      <w:r w:rsidR="000A1AA8" w:rsidRPr="0038442F">
        <w:rPr>
          <w:rFonts w:ascii="Verdana" w:hAnsi="Verdana"/>
          <w:sz w:val="20"/>
          <w:szCs w:val="20"/>
          <w:lang w:val="pt-BR"/>
        </w:rPr>
        <w:t>ção</w:t>
      </w:r>
      <w:r w:rsidR="00E83F78"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E83F78" w:rsidRPr="0038442F">
        <w:rPr>
          <w:rFonts w:ascii="Verdana" w:hAnsi="Verdana"/>
          <w:sz w:val="20"/>
          <w:szCs w:val="20"/>
          <w:lang w:val="pt-BR"/>
        </w:rPr>
        <w:t>distin</w:t>
      </w:r>
      <w:r w:rsidR="000A1AA8" w:rsidRPr="0038442F">
        <w:rPr>
          <w:rFonts w:ascii="Verdana" w:hAnsi="Verdana"/>
          <w:sz w:val="20"/>
          <w:szCs w:val="20"/>
          <w:lang w:val="pt-BR"/>
        </w:rPr>
        <w:t>ção</w:t>
      </w:r>
      <w:r w:rsidR="00E83F78" w:rsidRPr="0038442F">
        <w:rPr>
          <w:rFonts w:ascii="Verdana" w:hAnsi="Verdana"/>
          <w:sz w:val="20"/>
          <w:szCs w:val="20"/>
          <w:lang w:val="pt-BR"/>
        </w:rPr>
        <w:t xml:space="preserve"> que</w:t>
      </w:r>
      <w:r w:rsidR="00904766" w:rsidRPr="0038442F">
        <w:rPr>
          <w:rFonts w:ascii="Verdana" w:hAnsi="Verdana"/>
          <w:sz w:val="20"/>
          <w:szCs w:val="20"/>
          <w:lang w:val="pt-BR"/>
        </w:rPr>
        <w:t xml:space="preserve"> existi</w:t>
      </w:r>
      <w:r w:rsidR="00846188" w:rsidRPr="0038442F">
        <w:rPr>
          <w:rFonts w:ascii="Verdana" w:hAnsi="Verdana"/>
          <w:sz w:val="20"/>
          <w:szCs w:val="20"/>
          <w:lang w:val="pt-BR"/>
        </w:rPr>
        <w:t xml:space="preserve">u </w:t>
      </w:r>
      <w:r w:rsidR="00E83F78" w:rsidRPr="0038442F">
        <w:rPr>
          <w:rFonts w:ascii="Verdana" w:hAnsi="Verdana"/>
          <w:sz w:val="20"/>
          <w:szCs w:val="20"/>
          <w:lang w:val="pt-BR"/>
        </w:rPr>
        <w:t xml:space="preserve">entre </w:t>
      </w:r>
      <w:r w:rsidR="006A12FD" w:rsidRPr="0038442F">
        <w:rPr>
          <w:rFonts w:ascii="Verdana" w:hAnsi="Verdana"/>
          <w:sz w:val="20"/>
          <w:szCs w:val="20"/>
          <w:lang w:val="pt-BR"/>
        </w:rPr>
        <w:t xml:space="preserve">os artigos </w:t>
      </w:r>
      <w:r w:rsidR="00E83F78" w:rsidRPr="0038442F">
        <w:rPr>
          <w:rFonts w:ascii="Verdana" w:hAnsi="Verdana"/>
          <w:sz w:val="20"/>
          <w:szCs w:val="20"/>
          <w:lang w:val="pt-BR"/>
        </w:rPr>
        <w:t xml:space="preserve">1.1 </w:t>
      </w:r>
      <w:r w:rsidR="00846188" w:rsidRPr="0038442F">
        <w:rPr>
          <w:rFonts w:ascii="Verdana" w:hAnsi="Verdana"/>
          <w:sz w:val="20"/>
          <w:szCs w:val="20"/>
          <w:lang w:val="pt-BR"/>
        </w:rPr>
        <w:t>e</w:t>
      </w:r>
      <w:r w:rsidR="00E83F78" w:rsidRPr="0038442F">
        <w:rPr>
          <w:rFonts w:ascii="Verdana" w:hAnsi="Verdana"/>
          <w:sz w:val="20"/>
          <w:szCs w:val="20"/>
          <w:lang w:val="pt-BR"/>
        </w:rPr>
        <w:t xml:space="preserve"> 24, </w:t>
      </w:r>
      <w:r w:rsidR="00846188" w:rsidRPr="0038442F">
        <w:rPr>
          <w:rFonts w:ascii="Verdana" w:hAnsi="Verdana"/>
          <w:sz w:val="20"/>
          <w:szCs w:val="20"/>
          <w:lang w:val="pt-BR"/>
        </w:rPr>
        <w:t xml:space="preserve">em </w:t>
      </w:r>
      <w:r w:rsidR="00E83F78" w:rsidRPr="0038442F">
        <w:rPr>
          <w:rFonts w:ascii="Verdana" w:hAnsi="Verdana"/>
          <w:sz w:val="20"/>
          <w:szCs w:val="20"/>
          <w:lang w:val="pt-BR"/>
        </w:rPr>
        <w:t xml:space="preserve">2007, </w:t>
      </w:r>
      <w:r w:rsidR="008806F8" w:rsidRPr="0038442F">
        <w:rPr>
          <w:rFonts w:ascii="Verdana" w:hAnsi="Verdana"/>
          <w:sz w:val="20"/>
          <w:szCs w:val="20"/>
          <w:lang w:val="pt-BR"/>
        </w:rPr>
        <w:t xml:space="preserve">a Corte </w:t>
      </w:r>
      <w:r w:rsidR="00E83F78" w:rsidRPr="0038442F">
        <w:rPr>
          <w:rFonts w:ascii="Verdana" w:hAnsi="Verdana"/>
          <w:sz w:val="20"/>
          <w:szCs w:val="20"/>
          <w:lang w:val="pt-BR"/>
        </w:rPr>
        <w:t xml:space="preserve">IDH </w:t>
      </w:r>
      <w:r w:rsidR="00846188" w:rsidRPr="0038442F">
        <w:rPr>
          <w:rFonts w:ascii="Verdana" w:hAnsi="Verdana"/>
          <w:sz w:val="20"/>
          <w:szCs w:val="20"/>
          <w:lang w:val="pt-BR"/>
        </w:rPr>
        <w:t xml:space="preserve">decidiu o </w:t>
      </w:r>
      <w:r w:rsidR="00846188" w:rsidRPr="0038442F">
        <w:rPr>
          <w:rFonts w:ascii="Verdana" w:hAnsi="Verdana"/>
          <w:i/>
          <w:sz w:val="20"/>
          <w:szCs w:val="20"/>
          <w:lang w:val="pt-BR"/>
        </w:rPr>
        <w:t xml:space="preserve">Caso do </w:t>
      </w:r>
      <w:r w:rsidR="00E83F78" w:rsidRPr="0038442F">
        <w:rPr>
          <w:rFonts w:ascii="Verdana" w:hAnsi="Verdana"/>
          <w:i/>
          <w:iCs/>
          <w:sz w:val="20"/>
          <w:szCs w:val="20"/>
          <w:lang w:val="pt-BR"/>
        </w:rPr>
        <w:t>P</w:t>
      </w:r>
      <w:r w:rsidR="00846188" w:rsidRPr="0038442F">
        <w:rPr>
          <w:rFonts w:ascii="Verdana" w:hAnsi="Verdana"/>
          <w:i/>
          <w:iCs/>
          <w:sz w:val="20"/>
          <w:szCs w:val="20"/>
          <w:lang w:val="pt-BR"/>
        </w:rPr>
        <w:t xml:space="preserve">ovo </w:t>
      </w:r>
      <w:r w:rsidR="00E83F78" w:rsidRPr="0038442F">
        <w:rPr>
          <w:rFonts w:ascii="Verdana" w:hAnsi="Verdana"/>
          <w:i/>
          <w:iCs/>
          <w:sz w:val="20"/>
          <w:szCs w:val="20"/>
          <w:lang w:val="pt-BR"/>
        </w:rPr>
        <w:t>Saramaka Vs. Surinam</w:t>
      </w:r>
      <w:r w:rsidR="00846188" w:rsidRPr="0038442F">
        <w:rPr>
          <w:rFonts w:ascii="Verdana" w:hAnsi="Verdana"/>
          <w:i/>
          <w:iCs/>
          <w:sz w:val="20"/>
          <w:szCs w:val="20"/>
          <w:lang w:val="pt-BR"/>
        </w:rPr>
        <w:t>e</w:t>
      </w:r>
      <w:r w:rsidR="00E83F78" w:rsidRPr="0038442F">
        <w:rPr>
          <w:rFonts w:ascii="Verdana" w:hAnsi="Verdana"/>
          <w:sz w:val="20"/>
          <w:szCs w:val="20"/>
          <w:lang w:val="pt-BR"/>
        </w:rPr>
        <w:t xml:space="preserve">. </w:t>
      </w:r>
      <w:r w:rsidR="00846188" w:rsidRPr="0038442F">
        <w:rPr>
          <w:rFonts w:ascii="Verdana" w:hAnsi="Verdana"/>
          <w:sz w:val="20"/>
          <w:szCs w:val="20"/>
          <w:lang w:val="pt-BR"/>
        </w:rPr>
        <w:t xml:space="preserve">Embora, nesse </w:t>
      </w:r>
      <w:r w:rsidR="00E83F78" w:rsidRPr="0038442F">
        <w:rPr>
          <w:rFonts w:ascii="Verdana" w:hAnsi="Verdana"/>
          <w:sz w:val="20"/>
          <w:szCs w:val="20"/>
          <w:lang w:val="pt-BR"/>
        </w:rPr>
        <w:t xml:space="preserve">caso, </w:t>
      </w:r>
      <w:r w:rsidR="008806F8" w:rsidRPr="0038442F">
        <w:rPr>
          <w:rFonts w:ascii="Verdana" w:hAnsi="Verdana"/>
          <w:sz w:val="20"/>
          <w:szCs w:val="20"/>
          <w:lang w:val="pt-BR"/>
        </w:rPr>
        <w:t xml:space="preserve">a Corte </w:t>
      </w:r>
      <w:r w:rsidR="00E83F78" w:rsidRPr="0038442F">
        <w:rPr>
          <w:rFonts w:ascii="Verdana" w:hAnsi="Verdana"/>
          <w:sz w:val="20"/>
          <w:szCs w:val="20"/>
          <w:lang w:val="pt-BR"/>
        </w:rPr>
        <w:t xml:space="preserve">IDH </w:t>
      </w:r>
      <w:r w:rsidR="00846188" w:rsidRPr="0038442F">
        <w:rPr>
          <w:rFonts w:ascii="Verdana" w:hAnsi="Verdana"/>
          <w:sz w:val="20"/>
          <w:szCs w:val="20"/>
          <w:lang w:val="pt-BR"/>
        </w:rPr>
        <w:t xml:space="preserve">não tenha abordado o </w:t>
      </w:r>
      <w:r w:rsidR="00E83F78" w:rsidRPr="0038442F">
        <w:rPr>
          <w:rFonts w:ascii="Verdana" w:hAnsi="Verdana"/>
          <w:sz w:val="20"/>
          <w:szCs w:val="20"/>
          <w:lang w:val="pt-BR"/>
        </w:rPr>
        <w:t xml:space="preserve">art. 24, </w:t>
      </w:r>
      <w:r w:rsidR="00846188" w:rsidRPr="0038442F">
        <w:rPr>
          <w:rFonts w:ascii="Verdana" w:hAnsi="Verdana"/>
          <w:sz w:val="20"/>
          <w:szCs w:val="20"/>
          <w:lang w:val="pt-BR"/>
        </w:rPr>
        <w:t>faz uma aproximação</w:t>
      </w:r>
      <w:r w:rsidR="00B9378C" w:rsidRPr="0038442F">
        <w:rPr>
          <w:rFonts w:ascii="Verdana" w:hAnsi="Verdana"/>
          <w:sz w:val="20"/>
          <w:szCs w:val="20"/>
          <w:lang w:val="pt-BR"/>
        </w:rPr>
        <w:t>, da perspectiva</w:t>
      </w:r>
      <w:r w:rsidR="00846188" w:rsidRPr="0038442F">
        <w:rPr>
          <w:rFonts w:ascii="Verdana" w:hAnsi="Verdana"/>
          <w:sz w:val="20"/>
          <w:szCs w:val="20"/>
          <w:lang w:val="pt-BR"/>
        </w:rPr>
        <w:t xml:space="preserve"> da </w:t>
      </w:r>
      <w:r w:rsidR="005B55A8" w:rsidRPr="0038442F">
        <w:rPr>
          <w:rFonts w:ascii="Verdana" w:hAnsi="Verdana"/>
          <w:sz w:val="20"/>
          <w:szCs w:val="20"/>
          <w:lang w:val="pt-BR"/>
        </w:rPr>
        <w:t>não discriminação</w:t>
      </w:r>
      <w:r w:rsidR="00B9378C" w:rsidRPr="0038442F">
        <w:rPr>
          <w:rFonts w:ascii="Verdana" w:hAnsi="Verdana"/>
          <w:sz w:val="20"/>
          <w:szCs w:val="20"/>
          <w:lang w:val="pt-BR"/>
        </w:rPr>
        <w:t>,</w:t>
      </w:r>
      <w:r w:rsidR="005B55A8" w:rsidRPr="0038442F">
        <w:rPr>
          <w:rFonts w:ascii="Verdana" w:hAnsi="Verdana"/>
          <w:sz w:val="20"/>
          <w:szCs w:val="20"/>
          <w:lang w:val="pt-BR"/>
        </w:rPr>
        <w:t xml:space="preserve"> </w:t>
      </w:r>
      <w:r w:rsidR="00E83F78" w:rsidRPr="0038442F">
        <w:rPr>
          <w:rFonts w:ascii="Verdana" w:hAnsi="Verdana"/>
          <w:sz w:val="20"/>
          <w:szCs w:val="20"/>
          <w:lang w:val="pt-BR"/>
        </w:rPr>
        <w:t>por categor</w:t>
      </w:r>
      <w:r w:rsidR="00846188" w:rsidRPr="0038442F">
        <w:rPr>
          <w:rFonts w:ascii="Verdana" w:hAnsi="Verdana"/>
          <w:sz w:val="20"/>
          <w:szCs w:val="20"/>
          <w:lang w:val="pt-BR"/>
        </w:rPr>
        <w:t>i</w:t>
      </w:r>
      <w:r w:rsidR="00E83F78" w:rsidRPr="0038442F">
        <w:rPr>
          <w:rFonts w:ascii="Verdana" w:hAnsi="Verdana"/>
          <w:sz w:val="20"/>
          <w:szCs w:val="20"/>
          <w:lang w:val="pt-BR"/>
        </w:rPr>
        <w:t>as estab</w:t>
      </w:r>
      <w:r w:rsidR="00846188" w:rsidRPr="0038442F">
        <w:rPr>
          <w:rFonts w:ascii="Verdana" w:hAnsi="Verdana"/>
          <w:sz w:val="20"/>
          <w:szCs w:val="20"/>
          <w:lang w:val="pt-BR"/>
        </w:rPr>
        <w:t>e</w:t>
      </w:r>
      <w:r w:rsidR="00E83F78" w:rsidRPr="0038442F">
        <w:rPr>
          <w:rFonts w:ascii="Verdana" w:hAnsi="Verdana"/>
          <w:sz w:val="20"/>
          <w:szCs w:val="20"/>
          <w:lang w:val="pt-BR"/>
        </w:rPr>
        <w:t>lecida</w:t>
      </w:r>
      <w:r w:rsidR="00781273" w:rsidRPr="0038442F">
        <w:rPr>
          <w:rFonts w:ascii="Verdana" w:hAnsi="Verdana"/>
          <w:sz w:val="20"/>
          <w:szCs w:val="20"/>
          <w:lang w:val="pt-BR"/>
        </w:rPr>
        <w:t xml:space="preserve">s </w:t>
      </w:r>
      <w:r w:rsidR="00751189" w:rsidRPr="0038442F">
        <w:rPr>
          <w:rFonts w:ascii="Verdana" w:hAnsi="Verdana"/>
          <w:sz w:val="20"/>
          <w:szCs w:val="20"/>
          <w:lang w:val="pt-BR"/>
        </w:rPr>
        <w:t xml:space="preserve">no </w:t>
      </w:r>
      <w:r w:rsidR="00CA30C5" w:rsidRPr="0038442F">
        <w:rPr>
          <w:rFonts w:ascii="Verdana" w:hAnsi="Verdana"/>
          <w:sz w:val="20"/>
          <w:szCs w:val="20"/>
          <w:lang w:val="pt-BR"/>
        </w:rPr>
        <w:t>artigo</w:t>
      </w:r>
      <w:r w:rsidR="00407242" w:rsidRPr="0038442F">
        <w:rPr>
          <w:rFonts w:ascii="Verdana" w:hAnsi="Verdana"/>
          <w:sz w:val="20"/>
          <w:szCs w:val="20"/>
          <w:lang w:val="pt-BR"/>
        </w:rPr>
        <w:t xml:space="preserve"> </w:t>
      </w:r>
      <w:r w:rsidR="00E83F78" w:rsidRPr="0038442F">
        <w:rPr>
          <w:rFonts w:ascii="Verdana" w:hAnsi="Verdana"/>
          <w:sz w:val="20"/>
          <w:szCs w:val="20"/>
          <w:lang w:val="pt-BR"/>
        </w:rPr>
        <w:t>1.1</w:t>
      </w:r>
      <w:r w:rsidR="00B86998" w:rsidRPr="0038442F">
        <w:rPr>
          <w:rFonts w:ascii="Verdana" w:hAnsi="Verdana"/>
          <w:sz w:val="20"/>
          <w:szCs w:val="20"/>
          <w:lang w:val="pt-BR"/>
        </w:rPr>
        <w:t>,</w:t>
      </w:r>
      <w:r w:rsidR="00E83F78" w:rsidRPr="0038442F">
        <w:rPr>
          <w:rFonts w:ascii="Verdana" w:hAnsi="Verdana"/>
          <w:sz w:val="20"/>
          <w:szCs w:val="20"/>
          <w:lang w:val="pt-BR"/>
        </w:rPr>
        <w:t xml:space="preserve"> </w:t>
      </w:r>
      <w:r w:rsidR="00781273" w:rsidRPr="0038442F">
        <w:rPr>
          <w:rFonts w:ascii="Verdana" w:hAnsi="Verdana"/>
          <w:sz w:val="20"/>
          <w:szCs w:val="20"/>
          <w:lang w:val="pt-BR"/>
        </w:rPr>
        <w:t>sobre</w:t>
      </w:r>
      <w:r w:rsidR="00E83F78" w:rsidRPr="0038442F">
        <w:rPr>
          <w:rFonts w:ascii="Verdana" w:hAnsi="Verdana"/>
          <w:sz w:val="20"/>
          <w:szCs w:val="20"/>
          <w:lang w:val="pt-BR"/>
        </w:rPr>
        <w:t xml:space="preserve"> as medidas especi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846188" w:rsidRPr="0038442F">
        <w:rPr>
          <w:rFonts w:ascii="Verdana" w:hAnsi="Verdana"/>
          <w:sz w:val="20"/>
          <w:szCs w:val="20"/>
          <w:lang w:val="pt-BR"/>
        </w:rPr>
        <w:t xml:space="preserve">em </w:t>
      </w:r>
      <w:r w:rsidR="00E83F78" w:rsidRPr="0038442F">
        <w:rPr>
          <w:rFonts w:ascii="Verdana" w:hAnsi="Verdana"/>
          <w:sz w:val="20"/>
          <w:szCs w:val="20"/>
          <w:lang w:val="pt-BR"/>
        </w:rPr>
        <w:t xml:space="preserve">favor </w:t>
      </w:r>
      <w:r w:rsidR="00C92762" w:rsidRPr="0038442F">
        <w:rPr>
          <w:rFonts w:ascii="Verdana" w:hAnsi="Verdana"/>
          <w:sz w:val="20"/>
          <w:szCs w:val="20"/>
          <w:lang w:val="pt-BR"/>
        </w:rPr>
        <w:t xml:space="preserve">dos </w:t>
      </w:r>
      <w:r w:rsidR="00C76C5C" w:rsidRPr="0038442F">
        <w:rPr>
          <w:rFonts w:ascii="Verdana" w:hAnsi="Verdana"/>
          <w:sz w:val="20"/>
          <w:szCs w:val="20"/>
          <w:lang w:val="pt-BR"/>
        </w:rPr>
        <w:t>povos</w:t>
      </w:r>
      <w:r w:rsidR="00407242" w:rsidRPr="0038442F">
        <w:rPr>
          <w:rFonts w:ascii="Verdana" w:hAnsi="Verdana"/>
          <w:sz w:val="20"/>
          <w:szCs w:val="20"/>
          <w:lang w:val="pt-BR"/>
        </w:rPr>
        <w:t xml:space="preserve"> </w:t>
      </w:r>
      <w:r w:rsidR="00E83F78" w:rsidRPr="0038442F">
        <w:rPr>
          <w:rFonts w:ascii="Verdana" w:hAnsi="Verdana"/>
          <w:sz w:val="20"/>
          <w:szCs w:val="20"/>
          <w:lang w:val="pt-BR"/>
        </w:rPr>
        <w:t xml:space="preserve">indígenas. </w:t>
      </w:r>
      <w:r w:rsidR="00846188" w:rsidRPr="0038442F">
        <w:rPr>
          <w:rFonts w:ascii="Verdana" w:hAnsi="Verdana"/>
          <w:sz w:val="20"/>
          <w:szCs w:val="20"/>
          <w:lang w:val="pt-BR"/>
        </w:rPr>
        <w:t xml:space="preserve">Considera-se </w:t>
      </w:r>
      <w:r w:rsidR="005236DE" w:rsidRPr="0038442F">
        <w:rPr>
          <w:rFonts w:ascii="Verdana" w:hAnsi="Verdana"/>
          <w:sz w:val="20"/>
          <w:szCs w:val="20"/>
          <w:lang w:val="pt-BR"/>
        </w:rPr>
        <w:t>que</w:t>
      </w:r>
      <w:r w:rsidR="00070F8C" w:rsidRPr="0038442F">
        <w:rPr>
          <w:rFonts w:ascii="Verdana" w:hAnsi="Verdana"/>
          <w:sz w:val="20"/>
          <w:szCs w:val="20"/>
          <w:lang w:val="pt-BR"/>
        </w:rPr>
        <w:t>,</w:t>
      </w:r>
      <w:r w:rsidR="00E83F78"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E83F78" w:rsidRPr="0038442F">
        <w:rPr>
          <w:rFonts w:ascii="Verdana" w:hAnsi="Verdana"/>
          <w:sz w:val="20"/>
          <w:szCs w:val="20"/>
          <w:lang w:val="pt-BR"/>
        </w:rPr>
        <w:t xml:space="preserve">medida </w:t>
      </w:r>
      <w:r w:rsidR="00DD665E" w:rsidRPr="0038442F">
        <w:rPr>
          <w:rFonts w:ascii="Verdana" w:hAnsi="Verdana"/>
          <w:sz w:val="20"/>
          <w:szCs w:val="20"/>
          <w:lang w:val="pt-BR"/>
        </w:rPr>
        <w:t xml:space="preserve">em que não se adotem </w:t>
      </w:r>
      <w:r w:rsidR="00E83F78" w:rsidRPr="0038442F">
        <w:rPr>
          <w:rFonts w:ascii="Verdana" w:hAnsi="Verdana"/>
          <w:sz w:val="20"/>
          <w:szCs w:val="20"/>
          <w:lang w:val="pt-BR"/>
        </w:rPr>
        <w:t>medidas legislativas o</w:t>
      </w:r>
      <w:r w:rsidR="00DD665E" w:rsidRPr="0038442F">
        <w:rPr>
          <w:rFonts w:ascii="Verdana" w:hAnsi="Verdana"/>
          <w:sz w:val="20"/>
          <w:szCs w:val="20"/>
          <w:lang w:val="pt-BR"/>
        </w:rPr>
        <w:t>u</w:t>
      </w:r>
      <w:r w:rsidR="00E83F78" w:rsidRPr="0038442F">
        <w:rPr>
          <w:rFonts w:ascii="Verdana" w:hAnsi="Verdana"/>
          <w:sz w:val="20"/>
          <w:szCs w:val="20"/>
          <w:lang w:val="pt-BR"/>
        </w:rPr>
        <w:t xml:space="preserve"> de </w:t>
      </w:r>
      <w:r w:rsidR="00B86998" w:rsidRPr="0038442F">
        <w:rPr>
          <w:rFonts w:ascii="Verdana" w:hAnsi="Verdana"/>
          <w:sz w:val="20"/>
          <w:szCs w:val="20"/>
          <w:lang w:val="pt-BR"/>
        </w:rPr>
        <w:t xml:space="preserve">outra </w:t>
      </w:r>
      <w:r w:rsidR="00DD665E" w:rsidRPr="0038442F">
        <w:rPr>
          <w:rFonts w:ascii="Verdana" w:hAnsi="Verdana"/>
          <w:sz w:val="20"/>
          <w:szCs w:val="20"/>
          <w:lang w:val="pt-BR"/>
        </w:rPr>
        <w:t xml:space="preserve">natureza que sejam </w:t>
      </w:r>
      <w:r w:rsidR="00C92762" w:rsidRPr="0038442F">
        <w:rPr>
          <w:rFonts w:ascii="Verdana" w:hAnsi="Verdana"/>
          <w:sz w:val="20"/>
          <w:szCs w:val="20"/>
          <w:lang w:val="pt-BR"/>
        </w:rPr>
        <w:t>necessárias</w:t>
      </w:r>
      <w:r w:rsidR="00407242" w:rsidRPr="0038442F">
        <w:rPr>
          <w:rFonts w:ascii="Verdana" w:hAnsi="Verdana"/>
          <w:sz w:val="20"/>
          <w:szCs w:val="20"/>
          <w:lang w:val="pt-BR"/>
        </w:rPr>
        <w:t xml:space="preserve"> </w:t>
      </w:r>
      <w:r w:rsidR="00E83F78" w:rsidRPr="0038442F">
        <w:rPr>
          <w:rFonts w:ascii="Verdana" w:hAnsi="Verdana"/>
          <w:sz w:val="20"/>
          <w:szCs w:val="20"/>
          <w:lang w:val="pt-BR"/>
        </w:rPr>
        <w:t xml:space="preserve">para </w:t>
      </w:r>
      <w:r w:rsidR="00DD665E" w:rsidRPr="0038442F">
        <w:rPr>
          <w:rFonts w:ascii="Verdana" w:hAnsi="Verdana"/>
          <w:sz w:val="20"/>
          <w:szCs w:val="20"/>
          <w:lang w:val="pt-BR"/>
        </w:rPr>
        <w:t xml:space="preserve">tornar efetivos os </w:t>
      </w:r>
      <w:r w:rsidR="00C92762" w:rsidRPr="0038442F">
        <w:rPr>
          <w:rFonts w:ascii="Verdana" w:hAnsi="Verdana"/>
          <w:sz w:val="20"/>
          <w:szCs w:val="20"/>
          <w:lang w:val="pt-BR"/>
        </w:rPr>
        <w:t xml:space="preserve">direitos da </w:t>
      </w:r>
      <w:r w:rsidR="00E83F78" w:rsidRPr="0038442F">
        <w:rPr>
          <w:rFonts w:ascii="Verdana" w:hAnsi="Verdana"/>
          <w:sz w:val="20"/>
          <w:szCs w:val="20"/>
          <w:lang w:val="pt-BR"/>
        </w:rPr>
        <w:t>Conven</w:t>
      </w:r>
      <w:r w:rsidR="000A1AA8" w:rsidRPr="0038442F">
        <w:rPr>
          <w:rFonts w:ascii="Verdana" w:hAnsi="Verdana"/>
          <w:sz w:val="20"/>
          <w:szCs w:val="20"/>
          <w:lang w:val="pt-BR"/>
        </w:rPr>
        <w:t>ção</w:t>
      </w:r>
      <w:r w:rsidR="00E83F78" w:rsidRPr="0038442F">
        <w:rPr>
          <w:rFonts w:ascii="Verdana" w:hAnsi="Verdana"/>
          <w:sz w:val="20"/>
          <w:szCs w:val="20"/>
          <w:lang w:val="pt-BR"/>
        </w:rPr>
        <w:t xml:space="preserve">, </w:t>
      </w:r>
      <w:r w:rsidR="00DD665E" w:rsidRPr="0038442F">
        <w:rPr>
          <w:rFonts w:ascii="Verdana" w:hAnsi="Verdana"/>
          <w:sz w:val="20"/>
          <w:szCs w:val="20"/>
          <w:lang w:val="pt-BR"/>
        </w:rPr>
        <w:t xml:space="preserve">estes não serão garantidos e </w:t>
      </w:r>
      <w:r w:rsidR="00B9378C" w:rsidRPr="0038442F">
        <w:rPr>
          <w:rFonts w:ascii="Verdana" w:hAnsi="Verdana"/>
          <w:sz w:val="20"/>
          <w:szCs w:val="20"/>
          <w:lang w:val="pt-BR"/>
        </w:rPr>
        <w:t>respeitados</w:t>
      </w:r>
      <w:r w:rsidR="00DD665E" w:rsidRPr="0038442F">
        <w:rPr>
          <w:rFonts w:ascii="Verdana" w:hAnsi="Verdana"/>
          <w:sz w:val="20"/>
          <w:szCs w:val="20"/>
          <w:lang w:val="pt-BR"/>
        </w:rPr>
        <w:t xml:space="preserve"> sem </w:t>
      </w:r>
      <w:r w:rsidR="00E83F78" w:rsidRPr="0038442F">
        <w:rPr>
          <w:rFonts w:ascii="Verdana" w:hAnsi="Verdana"/>
          <w:sz w:val="20"/>
          <w:szCs w:val="20"/>
          <w:lang w:val="pt-BR"/>
        </w:rPr>
        <w:t>discrimina</w:t>
      </w:r>
      <w:r w:rsidR="000A1AA8" w:rsidRPr="0038442F">
        <w:rPr>
          <w:rFonts w:ascii="Verdana" w:hAnsi="Verdana"/>
          <w:sz w:val="20"/>
          <w:szCs w:val="20"/>
          <w:lang w:val="pt-BR"/>
        </w:rPr>
        <w:t>ção</w:t>
      </w:r>
      <w:r w:rsidR="00DD665E" w:rsidRPr="0038442F">
        <w:rPr>
          <w:rFonts w:ascii="Verdana" w:hAnsi="Verdana"/>
          <w:sz w:val="20"/>
          <w:szCs w:val="20"/>
          <w:lang w:val="pt-BR"/>
        </w:rPr>
        <w:t>.</w:t>
      </w:r>
      <w:r w:rsidR="00E83F78" w:rsidRPr="0038442F">
        <w:rPr>
          <w:rStyle w:val="Refdenotaalpie"/>
          <w:rFonts w:ascii="Verdana" w:hAnsi="Verdana"/>
          <w:sz w:val="20"/>
          <w:szCs w:val="20"/>
          <w:lang w:val="pt-BR"/>
        </w:rPr>
        <w:footnoteReference w:id="152"/>
      </w:r>
      <w:r w:rsidR="00E83F78" w:rsidRPr="0038442F">
        <w:rPr>
          <w:rFonts w:ascii="Verdana" w:hAnsi="Verdana"/>
          <w:sz w:val="20"/>
          <w:szCs w:val="20"/>
          <w:lang w:val="pt-BR"/>
        </w:rPr>
        <w:t xml:space="preserve"> As</w:t>
      </w:r>
      <w:r w:rsidR="00DD665E" w:rsidRPr="0038442F">
        <w:rPr>
          <w:rFonts w:ascii="Verdana" w:hAnsi="Verdana"/>
          <w:sz w:val="20"/>
          <w:szCs w:val="20"/>
          <w:lang w:val="pt-BR"/>
        </w:rPr>
        <w:t>sim</w:t>
      </w:r>
      <w:r w:rsidR="00E83F78" w:rsidRPr="0038442F">
        <w:rPr>
          <w:rFonts w:ascii="Verdana" w:hAnsi="Verdana"/>
          <w:sz w:val="20"/>
          <w:szCs w:val="20"/>
          <w:lang w:val="pt-BR"/>
        </w:rPr>
        <w:t>, es</w:t>
      </w:r>
      <w:r w:rsidR="00B9378C" w:rsidRPr="0038442F">
        <w:rPr>
          <w:rFonts w:ascii="Verdana" w:hAnsi="Verdana"/>
          <w:sz w:val="20"/>
          <w:szCs w:val="20"/>
          <w:lang w:val="pt-BR"/>
        </w:rPr>
        <w:t>s</w:t>
      </w:r>
      <w:r w:rsidR="00E83F78" w:rsidRPr="0038442F">
        <w:rPr>
          <w:rFonts w:ascii="Verdana" w:hAnsi="Verdana"/>
          <w:sz w:val="20"/>
          <w:szCs w:val="20"/>
          <w:lang w:val="pt-BR"/>
        </w:rPr>
        <w:t xml:space="preserve">e precedente reafirma o </w:t>
      </w:r>
      <w:r w:rsidR="00B9378C" w:rsidRPr="0038442F">
        <w:rPr>
          <w:rFonts w:ascii="Verdana" w:hAnsi="Verdana"/>
          <w:sz w:val="20"/>
          <w:szCs w:val="20"/>
          <w:lang w:val="pt-BR"/>
        </w:rPr>
        <w:t>exposto</w:t>
      </w:r>
      <w:r w:rsidR="00E83F78" w:rsidRPr="0038442F">
        <w:rPr>
          <w:rFonts w:ascii="Verdana" w:hAnsi="Verdana"/>
          <w:sz w:val="20"/>
          <w:szCs w:val="20"/>
          <w:lang w:val="pt-BR"/>
        </w:rPr>
        <w:t xml:space="preserve"> </w:t>
      </w:r>
      <w:r w:rsidR="000A1AA8" w:rsidRPr="0038442F">
        <w:rPr>
          <w:rFonts w:ascii="Verdana" w:hAnsi="Verdana"/>
          <w:sz w:val="20"/>
          <w:szCs w:val="20"/>
          <w:lang w:val="pt-BR"/>
        </w:rPr>
        <w:t>pel</w:t>
      </w:r>
      <w:r w:rsidR="00DD665E" w:rsidRPr="0038442F">
        <w:rPr>
          <w:rFonts w:ascii="Verdana" w:hAnsi="Verdana"/>
          <w:sz w:val="20"/>
          <w:szCs w:val="20"/>
          <w:lang w:val="pt-BR"/>
        </w:rPr>
        <w:t>o</w:t>
      </w:r>
      <w:r w:rsidR="000A1AA8" w:rsidRPr="0038442F">
        <w:rPr>
          <w:rFonts w:ascii="Verdana" w:hAnsi="Verdana"/>
          <w:sz w:val="20"/>
          <w:szCs w:val="20"/>
          <w:lang w:val="pt-BR"/>
        </w:rPr>
        <w:t xml:space="preserve"> </w:t>
      </w:r>
      <w:r w:rsidR="00E83F78" w:rsidRPr="0038442F">
        <w:rPr>
          <w:rFonts w:ascii="Verdana" w:hAnsi="Verdana"/>
          <w:sz w:val="20"/>
          <w:szCs w:val="20"/>
          <w:lang w:val="pt-BR"/>
        </w:rPr>
        <w:t>OC-4</w:t>
      </w:r>
      <w:r w:rsidR="00DD665E" w:rsidRPr="0038442F">
        <w:rPr>
          <w:rFonts w:ascii="Verdana" w:hAnsi="Verdana"/>
          <w:sz w:val="20"/>
          <w:szCs w:val="20"/>
          <w:lang w:val="pt-BR"/>
        </w:rPr>
        <w:t>,</w:t>
      </w:r>
      <w:r w:rsidR="00E83F78" w:rsidRPr="0038442F">
        <w:rPr>
          <w:rFonts w:ascii="Verdana" w:hAnsi="Verdana"/>
          <w:sz w:val="20"/>
          <w:szCs w:val="20"/>
          <w:lang w:val="pt-BR"/>
        </w:rPr>
        <w:t xml:space="preserve"> </w:t>
      </w:r>
      <w:r w:rsidR="005236DE" w:rsidRPr="0038442F">
        <w:rPr>
          <w:rFonts w:ascii="Verdana" w:hAnsi="Verdana"/>
          <w:sz w:val="20"/>
          <w:szCs w:val="20"/>
          <w:lang w:val="pt-BR"/>
        </w:rPr>
        <w:t>de</w:t>
      </w:r>
      <w:r w:rsidR="00E83F78" w:rsidRPr="0038442F">
        <w:rPr>
          <w:rFonts w:ascii="Verdana" w:hAnsi="Verdana"/>
          <w:sz w:val="20"/>
          <w:szCs w:val="20"/>
          <w:lang w:val="pt-BR"/>
        </w:rPr>
        <w:t xml:space="preserve"> 1984. </w:t>
      </w:r>
    </w:p>
    <w:p w14:paraId="12636E85" w14:textId="77777777" w:rsidR="002227C4" w:rsidRPr="0038442F" w:rsidRDefault="002227C4" w:rsidP="00A857CB">
      <w:pPr>
        <w:pStyle w:val="Prrafodelista"/>
        <w:spacing w:line="240" w:lineRule="auto"/>
        <w:rPr>
          <w:rFonts w:ascii="Verdana" w:hAnsi="Verdana"/>
          <w:i/>
          <w:iCs/>
          <w:sz w:val="20"/>
          <w:szCs w:val="20"/>
          <w:lang w:val="pt-BR"/>
        </w:rPr>
      </w:pPr>
    </w:p>
    <w:p w14:paraId="0B93A030" w14:textId="616A5635" w:rsidR="002227C4" w:rsidRPr="0038442F" w:rsidRDefault="008663E4" w:rsidP="008663E4">
      <w:pPr>
        <w:pStyle w:val="Prrafodelista"/>
        <w:spacing w:line="240" w:lineRule="auto"/>
        <w:ind w:left="0"/>
        <w:jc w:val="both"/>
        <w:rPr>
          <w:rFonts w:ascii="Verdana" w:hAnsi="Verdana"/>
          <w:sz w:val="20"/>
          <w:szCs w:val="20"/>
          <w:lang w:val="pt-BR"/>
        </w:rPr>
      </w:pPr>
      <w:r w:rsidRPr="0038442F">
        <w:rPr>
          <w:rFonts w:ascii="Verdana" w:hAnsi="Verdana"/>
          <w:sz w:val="20"/>
          <w:szCs w:val="20"/>
          <w:lang w:val="pt-BR"/>
        </w:rPr>
        <w:t xml:space="preserve">92. </w:t>
      </w:r>
      <w:r w:rsidRPr="0038442F">
        <w:rPr>
          <w:rFonts w:ascii="Verdana" w:hAnsi="Verdana"/>
          <w:sz w:val="20"/>
          <w:szCs w:val="20"/>
          <w:lang w:val="pt-BR"/>
        </w:rPr>
        <w:tab/>
      </w:r>
      <w:r w:rsidR="002227C4" w:rsidRPr="0038442F">
        <w:rPr>
          <w:rFonts w:ascii="Verdana" w:hAnsi="Verdana"/>
          <w:sz w:val="20"/>
          <w:szCs w:val="20"/>
          <w:lang w:val="pt-BR"/>
        </w:rPr>
        <w:t xml:space="preserve">Como podemos </w:t>
      </w:r>
      <w:r w:rsidR="00624205" w:rsidRPr="0038442F">
        <w:rPr>
          <w:rFonts w:ascii="Verdana" w:hAnsi="Verdana"/>
          <w:sz w:val="20"/>
          <w:szCs w:val="20"/>
          <w:lang w:val="pt-BR"/>
        </w:rPr>
        <w:t>observar</w:t>
      </w:r>
      <w:r w:rsidR="002227C4" w:rsidRPr="0038442F">
        <w:rPr>
          <w:rFonts w:ascii="Verdana" w:hAnsi="Verdana"/>
          <w:sz w:val="20"/>
          <w:szCs w:val="20"/>
          <w:lang w:val="pt-BR"/>
        </w:rPr>
        <w:t>, durante es</w:t>
      </w:r>
      <w:r w:rsidR="00624205" w:rsidRPr="0038442F">
        <w:rPr>
          <w:rFonts w:ascii="Verdana" w:hAnsi="Verdana"/>
          <w:sz w:val="20"/>
          <w:szCs w:val="20"/>
          <w:lang w:val="pt-BR"/>
        </w:rPr>
        <w:t>se</w:t>
      </w:r>
      <w:r w:rsidR="002227C4" w:rsidRPr="0038442F">
        <w:rPr>
          <w:rFonts w:ascii="Verdana" w:hAnsi="Verdana"/>
          <w:sz w:val="20"/>
          <w:szCs w:val="20"/>
          <w:lang w:val="pt-BR"/>
        </w:rPr>
        <w:t xml:space="preserve"> tempo, </w:t>
      </w:r>
      <w:r w:rsidR="008806F8" w:rsidRPr="0038442F">
        <w:rPr>
          <w:rFonts w:ascii="Verdana" w:hAnsi="Verdana"/>
          <w:sz w:val="20"/>
          <w:szCs w:val="20"/>
          <w:lang w:val="pt-BR"/>
        </w:rPr>
        <w:t xml:space="preserve">a Corte </w:t>
      </w:r>
      <w:r w:rsidRPr="0038442F">
        <w:rPr>
          <w:rFonts w:ascii="Verdana" w:hAnsi="Verdana"/>
          <w:sz w:val="20"/>
          <w:szCs w:val="20"/>
          <w:lang w:val="pt-BR"/>
        </w:rPr>
        <w:t xml:space="preserve">IDH </w:t>
      </w:r>
      <w:r w:rsidR="00624205" w:rsidRPr="0038442F">
        <w:rPr>
          <w:rFonts w:ascii="Verdana" w:hAnsi="Verdana"/>
          <w:sz w:val="20"/>
          <w:szCs w:val="20"/>
          <w:lang w:val="pt-BR"/>
        </w:rPr>
        <w:t xml:space="preserve">não tinha </w:t>
      </w:r>
      <w:r w:rsidR="002227C4" w:rsidRPr="0038442F">
        <w:rPr>
          <w:rFonts w:ascii="Verdana" w:hAnsi="Verdana"/>
          <w:sz w:val="20"/>
          <w:szCs w:val="20"/>
          <w:lang w:val="pt-BR"/>
        </w:rPr>
        <w:t>uniformidad</w:t>
      </w:r>
      <w:r w:rsidR="00624205" w:rsidRPr="0038442F">
        <w:rPr>
          <w:rFonts w:ascii="Verdana" w:hAnsi="Verdana"/>
          <w:sz w:val="20"/>
          <w:szCs w:val="20"/>
          <w:lang w:val="pt-BR"/>
        </w:rPr>
        <w:t>e</w:t>
      </w:r>
      <w:r w:rsidR="002227C4" w:rsidRPr="0038442F">
        <w:rPr>
          <w:rFonts w:ascii="Verdana" w:hAnsi="Verdana"/>
          <w:sz w:val="20"/>
          <w:szCs w:val="20"/>
          <w:lang w:val="pt-BR"/>
        </w:rPr>
        <w:t xml:space="preserve"> </w:t>
      </w:r>
      <w:r w:rsidR="00624205" w:rsidRPr="0038442F">
        <w:rPr>
          <w:rFonts w:ascii="Verdana" w:hAnsi="Verdana"/>
          <w:sz w:val="20"/>
          <w:szCs w:val="20"/>
          <w:lang w:val="pt-BR"/>
        </w:rPr>
        <w:t>com relação a</w:t>
      </w:r>
      <w:r w:rsidR="004105C4" w:rsidRPr="0038442F">
        <w:rPr>
          <w:rFonts w:ascii="Verdana" w:hAnsi="Verdana"/>
          <w:sz w:val="20"/>
          <w:szCs w:val="20"/>
          <w:lang w:val="pt-BR"/>
        </w:rPr>
        <w:t xml:space="preserve">o entendimento do </w:t>
      </w:r>
      <w:r w:rsidR="00624205" w:rsidRPr="0038442F">
        <w:rPr>
          <w:rFonts w:ascii="Verdana" w:hAnsi="Verdana"/>
          <w:sz w:val="20"/>
          <w:szCs w:val="20"/>
          <w:lang w:val="pt-BR"/>
        </w:rPr>
        <w:t xml:space="preserve">conteúdo do </w:t>
      </w:r>
      <w:r w:rsidR="004105C4" w:rsidRPr="0038442F">
        <w:rPr>
          <w:rFonts w:ascii="Verdana" w:hAnsi="Verdana"/>
          <w:sz w:val="20"/>
          <w:szCs w:val="20"/>
          <w:lang w:val="pt-BR"/>
        </w:rPr>
        <w:t xml:space="preserve">disposto no </w:t>
      </w:r>
      <w:r w:rsidR="003B374E" w:rsidRPr="0038442F">
        <w:rPr>
          <w:rFonts w:ascii="Verdana" w:hAnsi="Verdana"/>
          <w:sz w:val="20"/>
          <w:szCs w:val="20"/>
          <w:lang w:val="pt-BR"/>
        </w:rPr>
        <w:t xml:space="preserve">artigo </w:t>
      </w:r>
      <w:r w:rsidR="002227C4" w:rsidRPr="0038442F">
        <w:rPr>
          <w:rFonts w:ascii="Verdana" w:hAnsi="Verdana"/>
          <w:sz w:val="20"/>
          <w:szCs w:val="20"/>
          <w:lang w:val="pt-BR"/>
        </w:rPr>
        <w:t>24 (</w:t>
      </w:r>
      <w:r w:rsidR="00624205" w:rsidRPr="0038442F">
        <w:rPr>
          <w:rFonts w:ascii="Verdana" w:hAnsi="Verdana"/>
          <w:sz w:val="20"/>
          <w:szCs w:val="20"/>
          <w:lang w:val="pt-BR"/>
        </w:rPr>
        <w:t xml:space="preserve">e, por conseguinte, quando seria procedente </w:t>
      </w:r>
      <w:r w:rsidR="00984A83" w:rsidRPr="0038442F">
        <w:rPr>
          <w:rFonts w:ascii="Verdana" w:hAnsi="Verdana"/>
          <w:sz w:val="20"/>
          <w:szCs w:val="20"/>
          <w:lang w:val="pt-BR"/>
        </w:rPr>
        <w:t>analisar</w:t>
      </w:r>
      <w:r w:rsidR="00407242" w:rsidRPr="0038442F">
        <w:rPr>
          <w:rFonts w:ascii="Verdana" w:hAnsi="Verdana"/>
          <w:sz w:val="20"/>
          <w:szCs w:val="20"/>
          <w:lang w:val="pt-BR"/>
        </w:rPr>
        <w:t xml:space="preserve"> </w:t>
      </w:r>
      <w:r w:rsidR="002227C4" w:rsidRPr="0038442F">
        <w:rPr>
          <w:rFonts w:ascii="Verdana" w:hAnsi="Verdana"/>
          <w:sz w:val="20"/>
          <w:szCs w:val="20"/>
          <w:lang w:val="pt-BR"/>
        </w:rPr>
        <w:t>es</w:t>
      </w:r>
      <w:r w:rsidR="00624205" w:rsidRPr="0038442F">
        <w:rPr>
          <w:rFonts w:ascii="Verdana" w:hAnsi="Verdana"/>
          <w:sz w:val="20"/>
          <w:szCs w:val="20"/>
          <w:lang w:val="pt-BR"/>
        </w:rPr>
        <w:t>s</w:t>
      </w:r>
      <w:r w:rsidR="002227C4" w:rsidRPr="0038442F">
        <w:rPr>
          <w:rFonts w:ascii="Verdana" w:hAnsi="Verdana"/>
          <w:sz w:val="20"/>
          <w:szCs w:val="20"/>
          <w:lang w:val="pt-BR"/>
        </w:rPr>
        <w:t>a disposi</w:t>
      </w:r>
      <w:r w:rsidR="000A1AA8" w:rsidRPr="0038442F">
        <w:rPr>
          <w:rFonts w:ascii="Verdana" w:hAnsi="Verdana"/>
          <w:sz w:val="20"/>
          <w:szCs w:val="20"/>
          <w:lang w:val="pt-BR"/>
        </w:rPr>
        <w:t>ção</w:t>
      </w:r>
      <w:r w:rsidR="002227C4" w:rsidRPr="0038442F">
        <w:rPr>
          <w:rFonts w:ascii="Verdana" w:hAnsi="Verdana"/>
          <w:sz w:val="20"/>
          <w:szCs w:val="20"/>
          <w:lang w:val="pt-BR"/>
        </w:rPr>
        <w:t xml:space="preserve">), </w:t>
      </w:r>
      <w:r w:rsidR="00A21345" w:rsidRPr="0038442F">
        <w:rPr>
          <w:rFonts w:ascii="Verdana" w:hAnsi="Verdana"/>
          <w:sz w:val="20"/>
          <w:szCs w:val="20"/>
          <w:lang w:val="pt-BR"/>
        </w:rPr>
        <w:t xml:space="preserve">ou </w:t>
      </w:r>
      <w:r w:rsidR="00BC6FC3" w:rsidRPr="0038442F">
        <w:rPr>
          <w:rFonts w:ascii="Verdana" w:hAnsi="Verdana"/>
          <w:sz w:val="20"/>
          <w:szCs w:val="20"/>
          <w:lang w:val="pt-BR"/>
        </w:rPr>
        <w:t xml:space="preserve">do </w:t>
      </w:r>
      <w:r w:rsidR="002227C4" w:rsidRPr="0038442F">
        <w:rPr>
          <w:rFonts w:ascii="Verdana" w:hAnsi="Verdana"/>
          <w:sz w:val="20"/>
          <w:szCs w:val="20"/>
          <w:lang w:val="pt-BR"/>
        </w:rPr>
        <w:t>que estab</w:t>
      </w:r>
      <w:r w:rsidR="00624205" w:rsidRPr="0038442F">
        <w:rPr>
          <w:rFonts w:ascii="Verdana" w:hAnsi="Verdana"/>
          <w:sz w:val="20"/>
          <w:szCs w:val="20"/>
          <w:lang w:val="pt-BR"/>
        </w:rPr>
        <w:t>e</w:t>
      </w:r>
      <w:r w:rsidR="002227C4" w:rsidRPr="0038442F">
        <w:rPr>
          <w:rFonts w:ascii="Verdana" w:hAnsi="Verdana"/>
          <w:sz w:val="20"/>
          <w:szCs w:val="20"/>
          <w:lang w:val="pt-BR"/>
        </w:rPr>
        <w:t>lec</w:t>
      </w:r>
      <w:r w:rsidR="00624205" w:rsidRPr="0038442F">
        <w:rPr>
          <w:rFonts w:ascii="Verdana" w:hAnsi="Verdana"/>
          <w:sz w:val="20"/>
          <w:szCs w:val="20"/>
          <w:lang w:val="pt-BR"/>
        </w:rPr>
        <w:t>i</w:t>
      </w:r>
      <w:r w:rsidR="002227C4" w:rsidRPr="0038442F">
        <w:rPr>
          <w:rFonts w:ascii="Verdana" w:hAnsi="Verdana"/>
          <w:sz w:val="20"/>
          <w:szCs w:val="20"/>
          <w:lang w:val="pt-BR"/>
        </w:rPr>
        <w:t xml:space="preserve">a </w:t>
      </w:r>
      <w:r w:rsidR="003B374E" w:rsidRPr="0038442F">
        <w:rPr>
          <w:rFonts w:ascii="Verdana" w:hAnsi="Verdana"/>
          <w:sz w:val="20"/>
          <w:szCs w:val="20"/>
          <w:lang w:val="pt-BR"/>
        </w:rPr>
        <w:t xml:space="preserve">o artigo </w:t>
      </w:r>
      <w:r w:rsidR="002227C4" w:rsidRPr="0038442F">
        <w:rPr>
          <w:rFonts w:ascii="Verdana" w:hAnsi="Verdana"/>
          <w:sz w:val="20"/>
          <w:szCs w:val="20"/>
          <w:lang w:val="pt-BR"/>
        </w:rPr>
        <w:t>1.1, que estar</w:t>
      </w:r>
      <w:r w:rsidR="00624205" w:rsidRPr="0038442F">
        <w:rPr>
          <w:rFonts w:ascii="Verdana" w:hAnsi="Verdana"/>
          <w:sz w:val="20"/>
          <w:szCs w:val="20"/>
          <w:lang w:val="pt-BR"/>
        </w:rPr>
        <w:t>i</w:t>
      </w:r>
      <w:r w:rsidR="002227C4" w:rsidRPr="0038442F">
        <w:rPr>
          <w:rFonts w:ascii="Verdana" w:hAnsi="Verdana"/>
          <w:sz w:val="20"/>
          <w:szCs w:val="20"/>
          <w:lang w:val="pt-BR"/>
        </w:rPr>
        <w:t xml:space="preserve">a relacionado </w:t>
      </w:r>
      <w:r w:rsidR="00624205" w:rsidRPr="0038442F">
        <w:rPr>
          <w:rFonts w:ascii="Verdana" w:hAnsi="Verdana"/>
          <w:sz w:val="20"/>
          <w:szCs w:val="20"/>
          <w:lang w:val="pt-BR"/>
        </w:rPr>
        <w:t xml:space="preserve">à </w:t>
      </w:r>
      <w:r w:rsidR="006A12FD" w:rsidRPr="0038442F">
        <w:rPr>
          <w:rFonts w:ascii="Verdana" w:hAnsi="Verdana"/>
          <w:sz w:val="20"/>
          <w:szCs w:val="20"/>
          <w:lang w:val="pt-BR"/>
        </w:rPr>
        <w:t>presença</w:t>
      </w:r>
      <w:r w:rsidR="00407242" w:rsidRPr="0038442F">
        <w:rPr>
          <w:rFonts w:ascii="Verdana" w:hAnsi="Verdana"/>
          <w:sz w:val="20"/>
          <w:szCs w:val="20"/>
          <w:lang w:val="pt-BR"/>
        </w:rPr>
        <w:t xml:space="preserve"> </w:t>
      </w:r>
      <w:r w:rsidR="002227C4" w:rsidRPr="0038442F">
        <w:rPr>
          <w:rFonts w:ascii="Verdana" w:hAnsi="Verdana"/>
          <w:sz w:val="20"/>
          <w:szCs w:val="20"/>
          <w:lang w:val="pt-BR"/>
        </w:rPr>
        <w:t xml:space="preserve">de </w:t>
      </w:r>
      <w:r w:rsidR="00624205" w:rsidRPr="0038442F">
        <w:rPr>
          <w:rFonts w:ascii="Verdana" w:hAnsi="Verdana"/>
          <w:sz w:val="20"/>
          <w:szCs w:val="20"/>
          <w:lang w:val="pt-BR"/>
        </w:rPr>
        <w:t>categorias</w:t>
      </w:r>
      <w:r w:rsidR="00407242" w:rsidRPr="0038442F">
        <w:rPr>
          <w:rFonts w:ascii="Verdana" w:hAnsi="Verdana"/>
          <w:sz w:val="20"/>
          <w:szCs w:val="20"/>
          <w:lang w:val="pt-BR"/>
        </w:rPr>
        <w:t xml:space="preserve"> </w:t>
      </w:r>
      <w:r w:rsidR="00624205" w:rsidRPr="0038442F">
        <w:rPr>
          <w:rFonts w:ascii="Verdana" w:hAnsi="Verdana"/>
          <w:sz w:val="20"/>
          <w:szCs w:val="20"/>
          <w:lang w:val="pt-BR"/>
        </w:rPr>
        <w:t xml:space="preserve">suspeitas ou critérios </w:t>
      </w:r>
      <w:r w:rsidR="002227C4" w:rsidRPr="0038442F">
        <w:rPr>
          <w:rFonts w:ascii="Verdana" w:hAnsi="Verdana"/>
          <w:sz w:val="20"/>
          <w:szCs w:val="20"/>
          <w:lang w:val="pt-BR"/>
        </w:rPr>
        <w:t xml:space="preserve">que, </w:t>
      </w:r>
      <w:r w:rsidR="002227C4" w:rsidRPr="0038442F">
        <w:rPr>
          <w:rFonts w:ascii="Verdana" w:hAnsi="Verdana"/>
          <w:i/>
          <w:iCs/>
          <w:sz w:val="20"/>
          <w:szCs w:val="20"/>
          <w:lang w:val="pt-BR"/>
        </w:rPr>
        <w:t xml:space="preserve">prima facie, </w:t>
      </w:r>
      <w:r w:rsidR="002227C4" w:rsidRPr="0038442F">
        <w:rPr>
          <w:rFonts w:ascii="Verdana" w:hAnsi="Verdana"/>
          <w:sz w:val="20"/>
          <w:szCs w:val="20"/>
          <w:lang w:val="pt-BR"/>
        </w:rPr>
        <w:t>permitir</w:t>
      </w:r>
      <w:r w:rsidR="00624205" w:rsidRPr="0038442F">
        <w:rPr>
          <w:rFonts w:ascii="Verdana" w:hAnsi="Verdana"/>
          <w:sz w:val="20"/>
          <w:szCs w:val="20"/>
          <w:lang w:val="pt-BR"/>
        </w:rPr>
        <w:t xml:space="preserve">ão chegar a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2227C4" w:rsidRPr="0038442F">
        <w:rPr>
          <w:rFonts w:ascii="Verdana" w:hAnsi="Verdana"/>
          <w:sz w:val="20"/>
          <w:szCs w:val="20"/>
          <w:lang w:val="pt-BR"/>
        </w:rPr>
        <w:t>presun</w:t>
      </w:r>
      <w:r w:rsidR="000A1AA8" w:rsidRPr="0038442F">
        <w:rPr>
          <w:rFonts w:ascii="Verdana" w:hAnsi="Verdana"/>
          <w:sz w:val="20"/>
          <w:szCs w:val="20"/>
          <w:lang w:val="pt-BR"/>
        </w:rPr>
        <w:t>ção</w:t>
      </w:r>
      <w:r w:rsidR="002227C4" w:rsidRPr="0038442F">
        <w:rPr>
          <w:rFonts w:ascii="Verdana" w:hAnsi="Verdana"/>
          <w:sz w:val="20"/>
          <w:szCs w:val="20"/>
          <w:lang w:val="pt-BR"/>
        </w:rPr>
        <w:t xml:space="preserve"> de trat</w:t>
      </w:r>
      <w:r w:rsidR="00624205" w:rsidRPr="0038442F">
        <w:rPr>
          <w:rFonts w:ascii="Verdana" w:hAnsi="Verdana"/>
          <w:sz w:val="20"/>
          <w:szCs w:val="20"/>
          <w:lang w:val="pt-BR"/>
        </w:rPr>
        <w:t>ament</w:t>
      </w:r>
      <w:r w:rsidR="002227C4" w:rsidRPr="0038442F">
        <w:rPr>
          <w:rFonts w:ascii="Verdana" w:hAnsi="Verdana"/>
          <w:sz w:val="20"/>
          <w:szCs w:val="20"/>
          <w:lang w:val="pt-BR"/>
        </w:rPr>
        <w:t xml:space="preserve">o </w:t>
      </w:r>
      <w:r w:rsidR="005B55A8" w:rsidRPr="0038442F">
        <w:rPr>
          <w:rFonts w:ascii="Verdana" w:hAnsi="Verdana"/>
          <w:sz w:val="20"/>
          <w:szCs w:val="20"/>
          <w:lang w:val="pt-BR"/>
        </w:rPr>
        <w:t>discriminatório</w:t>
      </w:r>
      <w:r w:rsidR="002227C4" w:rsidRPr="0038442F">
        <w:rPr>
          <w:rFonts w:ascii="Verdana" w:hAnsi="Verdana"/>
          <w:sz w:val="20"/>
          <w:szCs w:val="20"/>
          <w:lang w:val="pt-BR"/>
        </w:rPr>
        <w:t xml:space="preserve">. </w:t>
      </w:r>
    </w:p>
    <w:p w14:paraId="02401AC7" w14:textId="77777777" w:rsidR="000777E8" w:rsidRPr="0038442F" w:rsidRDefault="000777E8" w:rsidP="008663E4">
      <w:pPr>
        <w:pStyle w:val="Prrafodelista"/>
        <w:spacing w:line="240" w:lineRule="auto"/>
        <w:ind w:left="0"/>
        <w:jc w:val="both"/>
        <w:rPr>
          <w:rFonts w:ascii="Verdana" w:hAnsi="Verdana"/>
          <w:i/>
          <w:iCs/>
          <w:sz w:val="20"/>
          <w:szCs w:val="20"/>
          <w:lang w:val="pt-BR"/>
        </w:rPr>
      </w:pPr>
    </w:p>
    <w:p w14:paraId="397509EF" w14:textId="4CB1857F" w:rsidR="00C30C92" w:rsidRPr="0038442F" w:rsidRDefault="008D19D5" w:rsidP="00A857CB">
      <w:pPr>
        <w:ind w:firstLine="708"/>
        <w:jc w:val="both"/>
        <w:rPr>
          <w:rFonts w:ascii="Verdana" w:hAnsi="Verdana"/>
          <w:b/>
          <w:bCs/>
          <w:iCs/>
          <w:sz w:val="20"/>
          <w:szCs w:val="20"/>
          <w:lang w:val="pt-BR"/>
        </w:rPr>
      </w:pPr>
      <w:r w:rsidRPr="0038442F">
        <w:rPr>
          <w:rFonts w:ascii="Verdana" w:hAnsi="Verdana"/>
          <w:b/>
          <w:bCs/>
          <w:iCs/>
          <w:sz w:val="20"/>
          <w:szCs w:val="20"/>
          <w:lang w:val="pt-BR"/>
        </w:rPr>
        <w:t>B</w:t>
      </w:r>
      <w:r w:rsidR="00F83D8F" w:rsidRPr="0038442F">
        <w:rPr>
          <w:rFonts w:ascii="Verdana" w:hAnsi="Verdana"/>
          <w:b/>
          <w:bCs/>
          <w:iCs/>
          <w:sz w:val="20"/>
          <w:szCs w:val="20"/>
          <w:lang w:val="pt-BR"/>
        </w:rPr>
        <w:t>.1.</w:t>
      </w:r>
      <w:r w:rsidR="00C30C92" w:rsidRPr="0038442F">
        <w:rPr>
          <w:rFonts w:ascii="Verdana" w:hAnsi="Verdana"/>
          <w:b/>
          <w:bCs/>
          <w:iCs/>
          <w:sz w:val="20"/>
          <w:szCs w:val="20"/>
          <w:lang w:val="pt-BR"/>
        </w:rPr>
        <w:t xml:space="preserve">ii) </w:t>
      </w:r>
      <w:r w:rsidR="00B9378C" w:rsidRPr="0038442F">
        <w:rPr>
          <w:rFonts w:ascii="Verdana" w:hAnsi="Verdana"/>
          <w:b/>
          <w:bCs/>
          <w:iCs/>
          <w:sz w:val="20"/>
          <w:szCs w:val="20"/>
          <w:lang w:val="pt-BR"/>
        </w:rPr>
        <w:t>A</w:t>
      </w:r>
      <w:r w:rsidR="00C30C92" w:rsidRPr="0038442F">
        <w:rPr>
          <w:rFonts w:ascii="Verdana" w:hAnsi="Verdana"/>
          <w:b/>
          <w:bCs/>
          <w:iCs/>
          <w:sz w:val="20"/>
          <w:szCs w:val="20"/>
          <w:lang w:val="pt-BR"/>
        </w:rPr>
        <w:t xml:space="preserve"> partir de 2008 </w:t>
      </w:r>
      <w:r w:rsidR="00624205" w:rsidRPr="0038442F">
        <w:rPr>
          <w:rFonts w:ascii="Verdana" w:hAnsi="Verdana"/>
          <w:b/>
          <w:bCs/>
          <w:iCs/>
          <w:sz w:val="20"/>
          <w:szCs w:val="20"/>
          <w:lang w:val="pt-BR"/>
        </w:rPr>
        <w:t xml:space="preserve">com o </w:t>
      </w:r>
      <w:r w:rsidR="00624205" w:rsidRPr="0038442F">
        <w:rPr>
          <w:rFonts w:ascii="Verdana" w:hAnsi="Verdana"/>
          <w:b/>
          <w:bCs/>
          <w:i/>
          <w:iCs/>
          <w:sz w:val="20"/>
          <w:szCs w:val="20"/>
          <w:lang w:val="pt-BR"/>
        </w:rPr>
        <w:t xml:space="preserve">Caso </w:t>
      </w:r>
      <w:r w:rsidR="00C30C92" w:rsidRPr="0038442F">
        <w:rPr>
          <w:rFonts w:ascii="Verdana" w:hAnsi="Verdana"/>
          <w:b/>
          <w:bCs/>
          <w:i/>
          <w:iCs/>
          <w:sz w:val="20"/>
          <w:szCs w:val="20"/>
          <w:lang w:val="pt-BR"/>
        </w:rPr>
        <w:t>Apitz Barbera</w:t>
      </w:r>
      <w:r w:rsidR="00C30C92" w:rsidRPr="0038442F">
        <w:rPr>
          <w:rFonts w:ascii="Verdana" w:hAnsi="Verdana"/>
          <w:b/>
          <w:bCs/>
          <w:iCs/>
          <w:sz w:val="20"/>
          <w:szCs w:val="20"/>
          <w:lang w:val="pt-BR"/>
        </w:rPr>
        <w:t xml:space="preserve"> </w:t>
      </w:r>
    </w:p>
    <w:p w14:paraId="5A0AEE03" w14:textId="77777777" w:rsidR="00C30C92" w:rsidRPr="0038442F" w:rsidRDefault="00C30C92" w:rsidP="00A857CB">
      <w:pPr>
        <w:jc w:val="both"/>
        <w:rPr>
          <w:rFonts w:ascii="Verdana" w:hAnsi="Verdana"/>
          <w:sz w:val="20"/>
          <w:szCs w:val="20"/>
          <w:lang w:val="pt-BR"/>
        </w:rPr>
      </w:pPr>
    </w:p>
    <w:p w14:paraId="7059E146" w14:textId="2B6C0D4A" w:rsidR="00F60718" w:rsidRPr="0038442F" w:rsidRDefault="008663E4" w:rsidP="008663E4">
      <w:pPr>
        <w:pStyle w:val="Prrafodelista"/>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 xml:space="preserve">93. </w:t>
      </w:r>
      <w:r w:rsidRPr="0038442F">
        <w:rPr>
          <w:rFonts w:ascii="Verdana" w:hAnsi="Verdana" w:cs="Times New Roman"/>
          <w:sz w:val="20"/>
          <w:szCs w:val="20"/>
          <w:lang w:val="pt-BR"/>
        </w:rPr>
        <w:tab/>
      </w:r>
      <w:r w:rsidR="00624205" w:rsidRPr="0038442F">
        <w:rPr>
          <w:rFonts w:ascii="Verdana" w:hAnsi="Verdana" w:cs="Times New Roman"/>
          <w:sz w:val="20"/>
          <w:szCs w:val="20"/>
          <w:lang w:val="pt-BR"/>
        </w:rPr>
        <w:t>A</w:t>
      </w:r>
      <w:r w:rsidR="002227C4" w:rsidRPr="0038442F">
        <w:rPr>
          <w:rFonts w:ascii="Verdana" w:hAnsi="Verdana" w:cs="Times New Roman"/>
          <w:sz w:val="20"/>
          <w:szCs w:val="20"/>
          <w:lang w:val="pt-BR"/>
        </w:rPr>
        <w:t xml:space="preserve"> situa</w:t>
      </w:r>
      <w:r w:rsidR="000A1AA8" w:rsidRPr="0038442F">
        <w:rPr>
          <w:rFonts w:ascii="Verdana" w:hAnsi="Verdana" w:cs="Times New Roman"/>
          <w:sz w:val="20"/>
          <w:szCs w:val="20"/>
          <w:lang w:val="pt-BR"/>
        </w:rPr>
        <w:t>ção</w:t>
      </w:r>
      <w:r w:rsidR="002227C4" w:rsidRPr="0038442F">
        <w:rPr>
          <w:rFonts w:ascii="Verdana" w:hAnsi="Verdana" w:cs="Times New Roman"/>
          <w:sz w:val="20"/>
          <w:szCs w:val="20"/>
          <w:lang w:val="pt-BR"/>
        </w:rPr>
        <w:t xml:space="preserve"> </w:t>
      </w:r>
      <w:r w:rsidR="00624205" w:rsidRPr="0038442F">
        <w:rPr>
          <w:rFonts w:ascii="Verdana" w:hAnsi="Verdana" w:cs="Times New Roman"/>
          <w:sz w:val="20"/>
          <w:szCs w:val="20"/>
          <w:lang w:val="pt-BR"/>
        </w:rPr>
        <w:t xml:space="preserve">acima </w:t>
      </w:r>
      <w:r w:rsidR="002227C4" w:rsidRPr="0038442F">
        <w:rPr>
          <w:rFonts w:ascii="Verdana" w:hAnsi="Verdana" w:cs="Times New Roman"/>
          <w:sz w:val="20"/>
          <w:szCs w:val="20"/>
          <w:lang w:val="pt-BR"/>
        </w:rPr>
        <w:t xml:space="preserve">descrita </w:t>
      </w:r>
      <w:r w:rsidR="00624205" w:rsidRPr="0038442F">
        <w:rPr>
          <w:rFonts w:ascii="Verdana" w:hAnsi="Verdana" w:cs="Times New Roman"/>
          <w:sz w:val="20"/>
          <w:szCs w:val="20"/>
          <w:lang w:val="pt-BR"/>
        </w:rPr>
        <w:t xml:space="preserve">mudou </w:t>
      </w:r>
      <w:r w:rsidR="002227C4" w:rsidRPr="0038442F">
        <w:rPr>
          <w:rFonts w:ascii="Verdana" w:hAnsi="Verdana" w:cs="Times New Roman"/>
          <w:sz w:val="20"/>
          <w:szCs w:val="20"/>
          <w:lang w:val="pt-BR"/>
        </w:rPr>
        <w:t>su</w:t>
      </w:r>
      <w:r w:rsidR="00624205" w:rsidRPr="0038442F">
        <w:rPr>
          <w:rFonts w:ascii="Verdana" w:hAnsi="Verdana" w:cs="Times New Roman"/>
          <w:sz w:val="20"/>
          <w:szCs w:val="20"/>
          <w:lang w:val="pt-BR"/>
        </w:rPr>
        <w:t>b</w:t>
      </w:r>
      <w:r w:rsidR="002227C4" w:rsidRPr="0038442F">
        <w:rPr>
          <w:rFonts w:ascii="Verdana" w:hAnsi="Verdana" w:cs="Times New Roman"/>
          <w:sz w:val="20"/>
          <w:szCs w:val="20"/>
          <w:lang w:val="pt-BR"/>
        </w:rPr>
        <w:t xml:space="preserve">stancialmente a partir de 2008. </w:t>
      </w:r>
      <w:r w:rsidR="002227C4" w:rsidRPr="0038442F">
        <w:rPr>
          <w:rFonts w:ascii="Verdana" w:hAnsi="Verdana"/>
          <w:sz w:val="20"/>
          <w:szCs w:val="20"/>
          <w:lang w:val="pt-BR"/>
        </w:rPr>
        <w:t>A partir d</w:t>
      </w:r>
      <w:r w:rsidR="00624205" w:rsidRPr="0038442F">
        <w:rPr>
          <w:rFonts w:ascii="Verdana" w:hAnsi="Verdana"/>
          <w:sz w:val="20"/>
          <w:szCs w:val="20"/>
          <w:lang w:val="pt-BR"/>
        </w:rPr>
        <w:t xml:space="preserve">o </w:t>
      </w:r>
      <w:r w:rsidR="00624205" w:rsidRPr="0038442F">
        <w:rPr>
          <w:rFonts w:ascii="Verdana" w:hAnsi="Verdana"/>
          <w:i/>
          <w:sz w:val="20"/>
          <w:szCs w:val="20"/>
          <w:lang w:val="pt-BR"/>
        </w:rPr>
        <w:t xml:space="preserve">Caso </w:t>
      </w:r>
      <w:r w:rsidR="002227C4" w:rsidRPr="0038442F">
        <w:rPr>
          <w:rFonts w:ascii="Verdana" w:hAnsi="Verdana"/>
          <w:i/>
          <w:sz w:val="20"/>
          <w:szCs w:val="20"/>
          <w:lang w:val="pt-BR"/>
        </w:rPr>
        <w:t xml:space="preserve">Apitz Barbera </w:t>
      </w:r>
      <w:r w:rsidR="00624205" w:rsidRPr="0038442F">
        <w:rPr>
          <w:rFonts w:ascii="Verdana" w:hAnsi="Verdana"/>
          <w:i/>
          <w:sz w:val="20"/>
          <w:szCs w:val="20"/>
          <w:lang w:val="pt-BR"/>
        </w:rPr>
        <w:t>e</w:t>
      </w:r>
      <w:r w:rsidR="002227C4" w:rsidRPr="0038442F">
        <w:rPr>
          <w:rFonts w:ascii="Verdana" w:hAnsi="Verdana"/>
          <w:i/>
          <w:sz w:val="20"/>
          <w:szCs w:val="20"/>
          <w:lang w:val="pt-BR"/>
        </w:rPr>
        <w:t xml:space="preserve"> </w:t>
      </w:r>
      <w:r w:rsidR="00BC6FC3" w:rsidRPr="0038442F">
        <w:rPr>
          <w:rFonts w:ascii="Verdana" w:hAnsi="Verdana"/>
          <w:i/>
          <w:sz w:val="20"/>
          <w:szCs w:val="20"/>
          <w:lang w:val="pt-BR"/>
        </w:rPr>
        <w:t>outros</w:t>
      </w:r>
      <w:r w:rsidR="00407242" w:rsidRPr="0038442F">
        <w:rPr>
          <w:rFonts w:ascii="Verdana" w:hAnsi="Verdana"/>
          <w:i/>
          <w:sz w:val="20"/>
          <w:szCs w:val="20"/>
          <w:lang w:val="pt-BR"/>
        </w:rPr>
        <w:t xml:space="preserve"> </w:t>
      </w:r>
      <w:r w:rsidR="002227C4" w:rsidRPr="0038442F">
        <w:rPr>
          <w:rFonts w:ascii="Verdana" w:hAnsi="Verdana"/>
          <w:i/>
          <w:sz w:val="20"/>
          <w:szCs w:val="20"/>
          <w:lang w:val="pt-BR"/>
        </w:rPr>
        <w:t xml:space="preserve">(“Corte Primera </w:t>
      </w:r>
      <w:r w:rsidR="00C92762" w:rsidRPr="0038442F">
        <w:rPr>
          <w:rFonts w:ascii="Verdana" w:hAnsi="Verdana"/>
          <w:i/>
          <w:sz w:val="20"/>
          <w:szCs w:val="20"/>
          <w:lang w:val="pt-BR"/>
        </w:rPr>
        <w:t>d</w:t>
      </w:r>
      <w:r w:rsidR="00624205" w:rsidRPr="0038442F">
        <w:rPr>
          <w:rFonts w:ascii="Verdana" w:hAnsi="Verdana"/>
          <w:i/>
          <w:sz w:val="20"/>
          <w:szCs w:val="20"/>
          <w:lang w:val="pt-BR"/>
        </w:rPr>
        <w:t xml:space="preserve">e lo </w:t>
      </w:r>
      <w:r w:rsidR="002227C4" w:rsidRPr="0038442F">
        <w:rPr>
          <w:rFonts w:ascii="Verdana" w:hAnsi="Verdana"/>
          <w:i/>
          <w:sz w:val="20"/>
          <w:szCs w:val="20"/>
          <w:lang w:val="pt-BR"/>
        </w:rPr>
        <w:t>Contencioso Administrativo”) Vs. Venezuela</w:t>
      </w:r>
      <w:r w:rsidR="002227C4"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002227C4" w:rsidRPr="0038442F">
        <w:rPr>
          <w:rFonts w:ascii="Verdana" w:hAnsi="Verdana"/>
          <w:sz w:val="20"/>
          <w:szCs w:val="20"/>
          <w:lang w:val="pt-BR"/>
        </w:rPr>
        <w:t xml:space="preserve">IDH </w:t>
      </w:r>
      <w:r w:rsidR="006A12FD" w:rsidRPr="0038442F">
        <w:rPr>
          <w:rFonts w:ascii="Verdana" w:hAnsi="Verdana"/>
          <w:sz w:val="20"/>
          <w:szCs w:val="20"/>
          <w:lang w:val="pt-BR"/>
        </w:rPr>
        <w:t>considerou</w:t>
      </w:r>
      <w:r w:rsidR="00407242" w:rsidRPr="0038442F">
        <w:rPr>
          <w:rFonts w:ascii="Verdana" w:hAnsi="Verdana"/>
          <w:sz w:val="20"/>
          <w:szCs w:val="20"/>
          <w:lang w:val="pt-BR"/>
        </w:rPr>
        <w:t xml:space="preserve"> </w:t>
      </w:r>
      <w:r w:rsidR="002227C4" w:rsidRPr="0038442F">
        <w:rPr>
          <w:rFonts w:ascii="Verdana" w:hAnsi="Verdana"/>
          <w:sz w:val="20"/>
          <w:szCs w:val="20"/>
          <w:lang w:val="pt-BR"/>
        </w:rPr>
        <w:t xml:space="preserve">de </w:t>
      </w:r>
      <w:r w:rsidR="006A12FD" w:rsidRPr="0038442F">
        <w:rPr>
          <w:rFonts w:ascii="Verdana" w:hAnsi="Verdana"/>
          <w:sz w:val="20"/>
          <w:szCs w:val="20"/>
          <w:lang w:val="pt-BR"/>
        </w:rPr>
        <w:t>maneira</w:t>
      </w:r>
      <w:r w:rsidR="00407242" w:rsidRPr="0038442F">
        <w:rPr>
          <w:rFonts w:ascii="Verdana" w:hAnsi="Verdana"/>
          <w:sz w:val="20"/>
          <w:szCs w:val="20"/>
          <w:lang w:val="pt-BR"/>
        </w:rPr>
        <w:t xml:space="preserve"> </w:t>
      </w:r>
      <w:r w:rsidR="002227C4" w:rsidRPr="0038442F">
        <w:rPr>
          <w:rFonts w:ascii="Verdana" w:hAnsi="Verdana"/>
          <w:sz w:val="20"/>
          <w:szCs w:val="20"/>
          <w:lang w:val="pt-BR"/>
        </w:rPr>
        <w:t xml:space="preserve">clara </w:t>
      </w:r>
      <w:r w:rsidR="00624205" w:rsidRPr="0038442F">
        <w:rPr>
          <w:rFonts w:ascii="Verdana" w:hAnsi="Verdana"/>
          <w:sz w:val="20"/>
          <w:szCs w:val="20"/>
          <w:lang w:val="pt-BR"/>
        </w:rPr>
        <w:t>e</w:t>
      </w:r>
      <w:r w:rsidR="002227C4" w:rsidRPr="0038442F">
        <w:rPr>
          <w:rFonts w:ascii="Verdana" w:hAnsi="Verdana"/>
          <w:sz w:val="20"/>
          <w:szCs w:val="20"/>
          <w:lang w:val="pt-BR"/>
        </w:rPr>
        <w:t xml:space="preserve"> contundente que a diferen</w:t>
      </w:r>
      <w:r w:rsidR="00624205" w:rsidRPr="0038442F">
        <w:rPr>
          <w:rFonts w:ascii="Verdana" w:hAnsi="Verdana"/>
          <w:sz w:val="20"/>
          <w:szCs w:val="20"/>
          <w:lang w:val="pt-BR"/>
        </w:rPr>
        <w:t>ç</w:t>
      </w:r>
      <w:r w:rsidR="002227C4" w:rsidRPr="0038442F">
        <w:rPr>
          <w:rFonts w:ascii="Verdana" w:hAnsi="Verdana"/>
          <w:sz w:val="20"/>
          <w:szCs w:val="20"/>
          <w:lang w:val="pt-BR"/>
        </w:rPr>
        <w:t xml:space="preserve">a entre </w:t>
      </w:r>
      <w:r w:rsidR="003B374E" w:rsidRPr="0038442F">
        <w:rPr>
          <w:rFonts w:ascii="Verdana" w:hAnsi="Verdana"/>
          <w:sz w:val="20"/>
          <w:szCs w:val="20"/>
          <w:lang w:val="pt-BR"/>
        </w:rPr>
        <w:t xml:space="preserve">o artigo </w:t>
      </w:r>
      <w:r w:rsidR="002227C4" w:rsidRPr="0038442F">
        <w:rPr>
          <w:rFonts w:ascii="Verdana" w:hAnsi="Verdana"/>
          <w:sz w:val="20"/>
          <w:szCs w:val="20"/>
          <w:lang w:val="pt-BR"/>
        </w:rPr>
        <w:t xml:space="preserve">1.1 </w:t>
      </w:r>
      <w:r w:rsidR="00624205" w:rsidRPr="0038442F">
        <w:rPr>
          <w:rFonts w:ascii="Verdana" w:hAnsi="Verdana"/>
          <w:sz w:val="20"/>
          <w:szCs w:val="20"/>
          <w:lang w:val="pt-BR"/>
        </w:rPr>
        <w:t>e</w:t>
      </w:r>
      <w:r w:rsidR="002227C4" w:rsidRPr="0038442F">
        <w:rPr>
          <w:rFonts w:ascii="Verdana" w:hAnsi="Verdana"/>
          <w:sz w:val="20"/>
          <w:szCs w:val="20"/>
          <w:lang w:val="pt-BR"/>
        </w:rPr>
        <w:t xml:space="preserve"> </w:t>
      </w:r>
      <w:r w:rsidR="003B374E" w:rsidRPr="0038442F">
        <w:rPr>
          <w:rFonts w:ascii="Verdana" w:hAnsi="Verdana"/>
          <w:sz w:val="20"/>
          <w:szCs w:val="20"/>
          <w:lang w:val="pt-BR"/>
        </w:rPr>
        <w:t xml:space="preserve">o artigo </w:t>
      </w:r>
      <w:r w:rsidR="002227C4" w:rsidRPr="0038442F">
        <w:rPr>
          <w:rFonts w:ascii="Verdana" w:hAnsi="Verdana"/>
          <w:sz w:val="20"/>
          <w:szCs w:val="20"/>
          <w:lang w:val="pt-BR"/>
        </w:rPr>
        <w:t>24 d</w:t>
      </w:r>
      <w:r w:rsidR="00624205" w:rsidRPr="0038442F">
        <w:rPr>
          <w:rFonts w:ascii="Verdana" w:hAnsi="Verdana"/>
          <w:sz w:val="20"/>
          <w:szCs w:val="20"/>
          <w:lang w:val="pt-BR"/>
        </w:rPr>
        <w:t xml:space="preserve">o </w:t>
      </w:r>
      <w:r w:rsidR="002227C4" w:rsidRPr="0038442F">
        <w:rPr>
          <w:rFonts w:ascii="Verdana" w:hAnsi="Verdana"/>
          <w:sz w:val="20"/>
          <w:szCs w:val="20"/>
          <w:lang w:val="pt-BR"/>
        </w:rPr>
        <w:t xml:space="preserve">Pacto de San José </w:t>
      </w:r>
      <w:r w:rsidR="00624205" w:rsidRPr="0038442F">
        <w:rPr>
          <w:rFonts w:ascii="Verdana" w:hAnsi="Verdana"/>
          <w:sz w:val="20"/>
          <w:szCs w:val="20"/>
          <w:lang w:val="pt-BR"/>
        </w:rPr>
        <w:t xml:space="preserve">reside em </w:t>
      </w:r>
      <w:r w:rsidR="002227C4" w:rsidRPr="0038442F">
        <w:rPr>
          <w:rFonts w:ascii="Verdana" w:hAnsi="Verdana"/>
          <w:sz w:val="20"/>
          <w:szCs w:val="20"/>
          <w:lang w:val="pt-BR"/>
        </w:rPr>
        <w:t xml:space="preserve">que: </w:t>
      </w:r>
    </w:p>
    <w:p w14:paraId="432421C2" w14:textId="73F3D02E" w:rsidR="002227C4" w:rsidRPr="0038442F" w:rsidRDefault="002227C4" w:rsidP="00A857CB">
      <w:pPr>
        <w:pStyle w:val="NormalWeb"/>
        <w:ind w:left="708" w:right="757"/>
        <w:jc w:val="both"/>
        <w:rPr>
          <w:rFonts w:ascii="Verdana" w:hAnsi="Verdana"/>
          <w:sz w:val="16"/>
          <w:szCs w:val="16"/>
          <w:lang w:val="pt-BR"/>
        </w:rPr>
      </w:pPr>
      <w:r w:rsidRPr="0038442F">
        <w:rPr>
          <w:rFonts w:ascii="Verdana" w:hAnsi="Verdana"/>
          <w:i/>
          <w:sz w:val="16"/>
          <w:szCs w:val="16"/>
          <w:lang w:val="pt-BR"/>
        </w:rPr>
        <w:t xml:space="preserve">209. </w:t>
      </w:r>
      <w:r w:rsidR="00247F19" w:rsidRPr="0038442F">
        <w:rPr>
          <w:rFonts w:ascii="Verdana" w:hAnsi="Verdana"/>
          <w:i/>
          <w:sz w:val="16"/>
          <w:szCs w:val="16"/>
          <w:lang w:val="pt-BR"/>
        </w:rPr>
        <w:t xml:space="preserve">[…] </w:t>
      </w:r>
      <w:r w:rsidR="00247F19" w:rsidRPr="0038442F">
        <w:rPr>
          <w:rFonts w:ascii="Verdana" w:hAnsi="Verdana"/>
          <w:sz w:val="16"/>
          <w:szCs w:val="16"/>
          <w:lang w:val="pt-BR"/>
        </w:rPr>
        <w:t>A diferença entre os dois artigos reside em que a obrigação geral do artigo 1.1 se refere ao dever do Estado de respeitar e garantir “sem discriminação” os direitos constantes da Convenção Americana, ao passo que o artigo 24 protege o direito à “igual proteção da lei”.</w:t>
      </w:r>
      <w:r w:rsidR="008A7508" w:rsidRPr="0038442F">
        <w:rPr>
          <w:rFonts w:ascii="Verdana" w:hAnsi="Verdana"/>
          <w:sz w:val="16"/>
          <w:szCs w:val="16"/>
          <w:lang w:val="pt-BR"/>
        </w:rPr>
        <w:t xml:space="preserve"> </w:t>
      </w:r>
      <w:r w:rsidR="00624205" w:rsidRPr="0038442F">
        <w:rPr>
          <w:rFonts w:ascii="Verdana" w:hAnsi="Verdana"/>
          <w:sz w:val="16"/>
          <w:szCs w:val="16"/>
          <w:lang w:val="pt-BR"/>
        </w:rPr>
        <w:t xml:space="preserve">Em </w:t>
      </w:r>
      <w:r w:rsidR="006A12FD" w:rsidRPr="0038442F">
        <w:rPr>
          <w:rFonts w:ascii="Verdana" w:hAnsi="Verdana"/>
          <w:sz w:val="16"/>
          <w:szCs w:val="16"/>
          <w:lang w:val="pt-BR"/>
        </w:rPr>
        <w:t>outras</w:t>
      </w:r>
      <w:r w:rsidR="00407242" w:rsidRPr="0038442F">
        <w:rPr>
          <w:rFonts w:ascii="Verdana" w:hAnsi="Verdana"/>
          <w:sz w:val="16"/>
          <w:szCs w:val="16"/>
          <w:lang w:val="pt-BR"/>
        </w:rPr>
        <w:t xml:space="preserve"> </w:t>
      </w:r>
      <w:r w:rsidR="008A7508" w:rsidRPr="0038442F">
        <w:rPr>
          <w:rFonts w:ascii="Verdana" w:hAnsi="Verdana"/>
          <w:sz w:val="16"/>
          <w:szCs w:val="16"/>
          <w:lang w:val="pt-BR"/>
        </w:rPr>
        <w:t>pala</w:t>
      </w:r>
      <w:r w:rsidR="00624205" w:rsidRPr="0038442F">
        <w:rPr>
          <w:rFonts w:ascii="Verdana" w:hAnsi="Verdana"/>
          <w:sz w:val="16"/>
          <w:szCs w:val="16"/>
          <w:lang w:val="pt-BR"/>
        </w:rPr>
        <w:t>v</w:t>
      </w:r>
      <w:r w:rsidR="008A7508" w:rsidRPr="0038442F">
        <w:rPr>
          <w:rFonts w:ascii="Verdana" w:hAnsi="Verdana"/>
          <w:sz w:val="16"/>
          <w:szCs w:val="16"/>
          <w:lang w:val="pt-BR"/>
        </w:rPr>
        <w:t xml:space="preserve">ras, </w:t>
      </w:r>
      <w:r w:rsidR="00624205" w:rsidRPr="0038442F">
        <w:rPr>
          <w:rFonts w:ascii="Verdana" w:hAnsi="Verdana"/>
          <w:sz w:val="16"/>
          <w:szCs w:val="16"/>
          <w:lang w:val="pt-BR"/>
        </w:rPr>
        <w:t xml:space="preserve">caso um </w:t>
      </w:r>
      <w:r w:rsidR="008A7508" w:rsidRPr="0038442F">
        <w:rPr>
          <w:rFonts w:ascii="Verdana" w:hAnsi="Verdana"/>
          <w:sz w:val="16"/>
          <w:szCs w:val="16"/>
          <w:lang w:val="pt-BR"/>
        </w:rPr>
        <w:t xml:space="preserve">Estado </w:t>
      </w:r>
      <w:r w:rsidR="00624205" w:rsidRPr="0038442F">
        <w:rPr>
          <w:rFonts w:ascii="Verdana" w:hAnsi="Verdana"/>
          <w:sz w:val="16"/>
          <w:szCs w:val="16"/>
          <w:lang w:val="pt-BR"/>
        </w:rPr>
        <w:t>discrimin</w:t>
      </w:r>
      <w:r w:rsidR="003C278F" w:rsidRPr="0038442F">
        <w:rPr>
          <w:rFonts w:ascii="Verdana" w:hAnsi="Verdana"/>
          <w:sz w:val="16"/>
          <w:szCs w:val="16"/>
          <w:lang w:val="pt-BR"/>
        </w:rPr>
        <w:t>ass</w:t>
      </w:r>
      <w:r w:rsidR="00624205" w:rsidRPr="0038442F">
        <w:rPr>
          <w:rFonts w:ascii="Verdana" w:hAnsi="Verdana"/>
          <w:sz w:val="16"/>
          <w:szCs w:val="16"/>
          <w:lang w:val="pt-BR"/>
        </w:rPr>
        <w:t>e no respeito</w:t>
      </w:r>
      <w:r w:rsidR="00407242" w:rsidRPr="0038442F">
        <w:rPr>
          <w:rFonts w:ascii="Verdana" w:hAnsi="Verdana"/>
          <w:sz w:val="16"/>
          <w:szCs w:val="16"/>
          <w:lang w:val="pt-BR"/>
        </w:rPr>
        <w:t xml:space="preserve"> </w:t>
      </w:r>
      <w:r w:rsidR="008A7508" w:rsidRPr="0038442F">
        <w:rPr>
          <w:rFonts w:ascii="Verdana" w:hAnsi="Verdana"/>
          <w:sz w:val="16"/>
          <w:szCs w:val="16"/>
          <w:lang w:val="pt-BR"/>
        </w:rPr>
        <w:t>o</w:t>
      </w:r>
      <w:r w:rsidR="00624205" w:rsidRPr="0038442F">
        <w:rPr>
          <w:rFonts w:ascii="Verdana" w:hAnsi="Verdana"/>
          <w:sz w:val="16"/>
          <w:szCs w:val="16"/>
          <w:lang w:val="pt-BR"/>
        </w:rPr>
        <w:t>u</w:t>
      </w:r>
      <w:r w:rsidR="008A7508" w:rsidRPr="0038442F">
        <w:rPr>
          <w:rFonts w:ascii="Verdana" w:hAnsi="Verdana"/>
          <w:sz w:val="16"/>
          <w:szCs w:val="16"/>
          <w:lang w:val="pt-BR"/>
        </w:rPr>
        <w:t xml:space="preserve"> </w:t>
      </w:r>
      <w:r w:rsidR="00624205" w:rsidRPr="0038442F">
        <w:rPr>
          <w:rFonts w:ascii="Verdana" w:hAnsi="Verdana"/>
          <w:sz w:val="16"/>
          <w:szCs w:val="16"/>
          <w:lang w:val="pt-BR"/>
        </w:rPr>
        <w:t>garantia</w:t>
      </w:r>
      <w:r w:rsidR="00407242" w:rsidRPr="0038442F">
        <w:rPr>
          <w:rFonts w:ascii="Verdana" w:hAnsi="Verdana"/>
          <w:sz w:val="16"/>
          <w:szCs w:val="16"/>
          <w:lang w:val="pt-BR"/>
        </w:rPr>
        <w:t xml:space="preserve"> </w:t>
      </w:r>
      <w:r w:rsidR="008A7508" w:rsidRPr="0038442F">
        <w:rPr>
          <w:rFonts w:ascii="Verdana" w:hAnsi="Verdana"/>
          <w:sz w:val="16"/>
          <w:szCs w:val="16"/>
          <w:lang w:val="pt-BR"/>
        </w:rPr>
        <w:t>de u</w:t>
      </w:r>
      <w:r w:rsidR="00624205" w:rsidRPr="0038442F">
        <w:rPr>
          <w:rFonts w:ascii="Verdana" w:hAnsi="Verdana"/>
          <w:sz w:val="16"/>
          <w:szCs w:val="16"/>
          <w:lang w:val="pt-BR"/>
        </w:rPr>
        <w:t>m</w:t>
      </w:r>
      <w:r w:rsidR="008A7508" w:rsidRPr="0038442F">
        <w:rPr>
          <w:rFonts w:ascii="Verdana" w:hAnsi="Verdana"/>
          <w:sz w:val="16"/>
          <w:szCs w:val="16"/>
          <w:lang w:val="pt-BR"/>
        </w:rPr>
        <w:t xml:space="preserve"> </w:t>
      </w:r>
      <w:r w:rsidR="00CA30C5" w:rsidRPr="0038442F">
        <w:rPr>
          <w:rFonts w:ascii="Verdana" w:hAnsi="Verdana"/>
          <w:sz w:val="16"/>
          <w:szCs w:val="16"/>
          <w:lang w:val="pt-BR"/>
        </w:rPr>
        <w:t>direito</w:t>
      </w:r>
      <w:r w:rsidR="00407242" w:rsidRPr="0038442F">
        <w:rPr>
          <w:rFonts w:ascii="Verdana" w:hAnsi="Verdana"/>
          <w:sz w:val="16"/>
          <w:szCs w:val="16"/>
          <w:lang w:val="pt-BR"/>
        </w:rPr>
        <w:t xml:space="preserve"> </w:t>
      </w:r>
      <w:r w:rsidR="008A7508" w:rsidRPr="0038442F">
        <w:rPr>
          <w:rFonts w:ascii="Verdana" w:hAnsi="Verdana"/>
          <w:sz w:val="16"/>
          <w:szCs w:val="16"/>
          <w:lang w:val="pt-BR"/>
        </w:rPr>
        <w:t>convencional, violar</w:t>
      </w:r>
      <w:r w:rsidR="003C278F" w:rsidRPr="0038442F">
        <w:rPr>
          <w:rFonts w:ascii="Verdana" w:hAnsi="Verdana"/>
          <w:sz w:val="16"/>
          <w:szCs w:val="16"/>
          <w:lang w:val="pt-BR"/>
        </w:rPr>
        <w:t>i</w:t>
      </w:r>
      <w:r w:rsidR="008A7508" w:rsidRPr="0038442F">
        <w:rPr>
          <w:rFonts w:ascii="Verdana" w:hAnsi="Verdana"/>
          <w:sz w:val="16"/>
          <w:szCs w:val="16"/>
          <w:lang w:val="pt-BR"/>
        </w:rPr>
        <w:t xml:space="preserve">a </w:t>
      </w:r>
      <w:r w:rsidR="00624205" w:rsidRPr="0038442F">
        <w:rPr>
          <w:rFonts w:ascii="Verdana" w:hAnsi="Verdana"/>
          <w:sz w:val="16"/>
          <w:szCs w:val="16"/>
          <w:lang w:val="pt-BR"/>
        </w:rPr>
        <w:t xml:space="preserve">o </w:t>
      </w:r>
      <w:r w:rsidR="00934300" w:rsidRPr="0038442F">
        <w:rPr>
          <w:rFonts w:ascii="Verdana" w:hAnsi="Verdana"/>
          <w:sz w:val="16"/>
          <w:szCs w:val="16"/>
          <w:lang w:val="pt-BR"/>
        </w:rPr>
        <w:t>artigo</w:t>
      </w:r>
      <w:r w:rsidR="00407242" w:rsidRPr="0038442F">
        <w:rPr>
          <w:rFonts w:ascii="Verdana" w:hAnsi="Verdana"/>
          <w:sz w:val="16"/>
          <w:szCs w:val="16"/>
          <w:lang w:val="pt-BR"/>
        </w:rPr>
        <w:t xml:space="preserve"> </w:t>
      </w:r>
      <w:r w:rsidR="008A7508" w:rsidRPr="0038442F">
        <w:rPr>
          <w:rFonts w:ascii="Verdana" w:hAnsi="Verdana"/>
          <w:sz w:val="16"/>
          <w:szCs w:val="16"/>
          <w:lang w:val="pt-BR"/>
        </w:rPr>
        <w:t xml:space="preserve">1.1 </w:t>
      </w:r>
      <w:r w:rsidR="00624205" w:rsidRPr="0038442F">
        <w:rPr>
          <w:rFonts w:ascii="Verdana" w:hAnsi="Verdana"/>
          <w:sz w:val="16"/>
          <w:szCs w:val="16"/>
          <w:lang w:val="pt-BR"/>
        </w:rPr>
        <w:t>e</w:t>
      </w:r>
      <w:r w:rsidR="008A7508" w:rsidRPr="0038442F">
        <w:rPr>
          <w:rFonts w:ascii="Verdana" w:hAnsi="Verdana"/>
          <w:sz w:val="16"/>
          <w:szCs w:val="16"/>
          <w:lang w:val="pt-BR"/>
        </w:rPr>
        <w:t xml:space="preserve"> </w:t>
      </w:r>
      <w:r w:rsidR="00624205" w:rsidRPr="0038442F">
        <w:rPr>
          <w:rFonts w:ascii="Verdana" w:hAnsi="Verdana"/>
          <w:sz w:val="16"/>
          <w:szCs w:val="16"/>
          <w:lang w:val="pt-BR"/>
        </w:rPr>
        <w:t xml:space="preserve">o </w:t>
      </w:r>
      <w:r w:rsidR="00CA30C5" w:rsidRPr="0038442F">
        <w:rPr>
          <w:rFonts w:ascii="Verdana" w:hAnsi="Verdana"/>
          <w:sz w:val="16"/>
          <w:szCs w:val="16"/>
          <w:lang w:val="pt-BR"/>
        </w:rPr>
        <w:t>direito</w:t>
      </w:r>
      <w:r w:rsidR="00407242" w:rsidRPr="0038442F">
        <w:rPr>
          <w:rFonts w:ascii="Verdana" w:hAnsi="Verdana"/>
          <w:sz w:val="16"/>
          <w:szCs w:val="16"/>
          <w:lang w:val="pt-BR"/>
        </w:rPr>
        <w:t xml:space="preserve"> </w:t>
      </w:r>
      <w:r w:rsidR="00247F19" w:rsidRPr="0038442F">
        <w:rPr>
          <w:rFonts w:ascii="Verdana" w:hAnsi="Verdana"/>
          <w:sz w:val="16"/>
          <w:szCs w:val="16"/>
          <w:lang w:val="pt-BR"/>
        </w:rPr>
        <w:t>substantivo</w:t>
      </w:r>
      <w:r w:rsidR="008A7508" w:rsidRPr="0038442F">
        <w:rPr>
          <w:rFonts w:ascii="Verdana" w:hAnsi="Verdana"/>
          <w:sz w:val="16"/>
          <w:szCs w:val="16"/>
          <w:lang w:val="pt-BR"/>
        </w:rPr>
        <w:t xml:space="preserve"> e</w:t>
      </w:r>
      <w:r w:rsidR="00624205" w:rsidRPr="0038442F">
        <w:rPr>
          <w:rFonts w:ascii="Verdana" w:hAnsi="Verdana"/>
          <w:sz w:val="16"/>
          <w:szCs w:val="16"/>
          <w:lang w:val="pt-BR"/>
        </w:rPr>
        <w:t>m questão</w:t>
      </w:r>
      <w:r w:rsidR="008A7508" w:rsidRPr="0038442F">
        <w:rPr>
          <w:rFonts w:ascii="Verdana" w:hAnsi="Verdana"/>
          <w:sz w:val="16"/>
          <w:szCs w:val="16"/>
          <w:lang w:val="pt-BR"/>
        </w:rPr>
        <w:t xml:space="preserve">. </w:t>
      </w:r>
      <w:r w:rsidR="00624205" w:rsidRPr="0038442F">
        <w:rPr>
          <w:rFonts w:ascii="Verdana" w:hAnsi="Verdana"/>
          <w:sz w:val="16"/>
          <w:szCs w:val="16"/>
          <w:lang w:val="pt-BR"/>
        </w:rPr>
        <w:t xml:space="preserve">Caso, pelo contrário, a </w:t>
      </w:r>
      <w:r w:rsidR="008A7508" w:rsidRPr="0038442F">
        <w:rPr>
          <w:rFonts w:ascii="Verdana" w:hAnsi="Verdana"/>
          <w:sz w:val="16"/>
          <w:szCs w:val="16"/>
          <w:lang w:val="pt-BR"/>
        </w:rPr>
        <w:t>discrimina</w:t>
      </w:r>
      <w:r w:rsidR="00934300" w:rsidRPr="0038442F">
        <w:rPr>
          <w:rFonts w:ascii="Verdana" w:hAnsi="Verdana"/>
          <w:sz w:val="16"/>
          <w:szCs w:val="16"/>
          <w:lang w:val="pt-BR"/>
        </w:rPr>
        <w:t>ção</w:t>
      </w:r>
      <w:r w:rsidR="008A7508" w:rsidRPr="0038442F">
        <w:rPr>
          <w:rFonts w:ascii="Verdana" w:hAnsi="Verdana"/>
          <w:sz w:val="16"/>
          <w:szCs w:val="16"/>
          <w:lang w:val="pt-BR"/>
        </w:rPr>
        <w:t xml:space="preserve"> se </w:t>
      </w:r>
      <w:r w:rsidR="00624205" w:rsidRPr="0038442F">
        <w:rPr>
          <w:rFonts w:ascii="Verdana" w:hAnsi="Verdana"/>
          <w:sz w:val="16"/>
          <w:szCs w:val="16"/>
          <w:lang w:val="pt-BR"/>
        </w:rPr>
        <w:t>ref</w:t>
      </w:r>
      <w:r w:rsidR="003C278F" w:rsidRPr="0038442F">
        <w:rPr>
          <w:rFonts w:ascii="Verdana" w:hAnsi="Verdana"/>
          <w:sz w:val="16"/>
          <w:szCs w:val="16"/>
          <w:lang w:val="pt-BR"/>
        </w:rPr>
        <w:t xml:space="preserve">erisse </w:t>
      </w:r>
      <w:r w:rsidR="008A7508" w:rsidRPr="0038442F">
        <w:rPr>
          <w:rFonts w:ascii="Verdana" w:hAnsi="Verdana"/>
          <w:sz w:val="16"/>
          <w:szCs w:val="16"/>
          <w:lang w:val="pt-BR"/>
        </w:rPr>
        <w:t xml:space="preserve">a </w:t>
      </w:r>
      <w:r w:rsidR="00C92762" w:rsidRPr="0038442F">
        <w:rPr>
          <w:rFonts w:ascii="Verdana" w:hAnsi="Verdana"/>
          <w:sz w:val="16"/>
          <w:szCs w:val="16"/>
          <w:lang w:val="pt-BR"/>
        </w:rPr>
        <w:t>uma</w:t>
      </w:r>
      <w:r w:rsidR="00407242" w:rsidRPr="0038442F">
        <w:rPr>
          <w:rFonts w:ascii="Verdana" w:hAnsi="Verdana"/>
          <w:sz w:val="16"/>
          <w:szCs w:val="16"/>
          <w:lang w:val="pt-BR"/>
        </w:rPr>
        <w:t xml:space="preserve"> </w:t>
      </w:r>
      <w:r w:rsidR="008A7508" w:rsidRPr="0038442F">
        <w:rPr>
          <w:rFonts w:ascii="Verdana" w:hAnsi="Verdana"/>
          <w:sz w:val="16"/>
          <w:szCs w:val="16"/>
          <w:lang w:val="pt-BR"/>
        </w:rPr>
        <w:t>prote</w:t>
      </w:r>
      <w:r w:rsidR="00934300" w:rsidRPr="0038442F">
        <w:rPr>
          <w:rFonts w:ascii="Verdana" w:hAnsi="Verdana"/>
          <w:sz w:val="16"/>
          <w:szCs w:val="16"/>
          <w:lang w:val="pt-BR"/>
        </w:rPr>
        <w:t>ção</w:t>
      </w:r>
      <w:r w:rsidR="008A7508" w:rsidRPr="0038442F">
        <w:rPr>
          <w:rFonts w:ascii="Verdana" w:hAnsi="Verdana"/>
          <w:sz w:val="16"/>
          <w:szCs w:val="16"/>
          <w:lang w:val="pt-BR"/>
        </w:rPr>
        <w:t xml:space="preserve"> desigual </w:t>
      </w:r>
      <w:r w:rsidR="00C92762" w:rsidRPr="0038442F">
        <w:rPr>
          <w:rFonts w:ascii="Verdana" w:hAnsi="Verdana"/>
          <w:sz w:val="16"/>
          <w:szCs w:val="16"/>
          <w:lang w:val="pt-BR"/>
        </w:rPr>
        <w:t xml:space="preserve">da </w:t>
      </w:r>
      <w:r w:rsidR="00751189" w:rsidRPr="0038442F">
        <w:rPr>
          <w:rFonts w:ascii="Verdana" w:hAnsi="Verdana"/>
          <w:sz w:val="16"/>
          <w:szCs w:val="16"/>
          <w:lang w:val="pt-BR"/>
        </w:rPr>
        <w:t>lei</w:t>
      </w:r>
      <w:r w:rsidR="00407242" w:rsidRPr="0038442F">
        <w:rPr>
          <w:rFonts w:ascii="Verdana" w:hAnsi="Verdana"/>
          <w:sz w:val="16"/>
          <w:szCs w:val="16"/>
          <w:lang w:val="pt-BR"/>
        </w:rPr>
        <w:t xml:space="preserve"> </w:t>
      </w:r>
      <w:r w:rsidR="008A7508" w:rsidRPr="0038442F">
        <w:rPr>
          <w:rFonts w:ascii="Verdana" w:hAnsi="Verdana"/>
          <w:sz w:val="16"/>
          <w:szCs w:val="16"/>
          <w:lang w:val="pt-BR"/>
        </w:rPr>
        <w:t>interna, violar</w:t>
      </w:r>
      <w:r w:rsidR="00624205" w:rsidRPr="0038442F">
        <w:rPr>
          <w:rFonts w:ascii="Verdana" w:hAnsi="Verdana"/>
          <w:sz w:val="16"/>
          <w:szCs w:val="16"/>
          <w:lang w:val="pt-BR"/>
        </w:rPr>
        <w:t>i</w:t>
      </w:r>
      <w:r w:rsidR="008A7508" w:rsidRPr="0038442F">
        <w:rPr>
          <w:rFonts w:ascii="Verdana" w:hAnsi="Verdana"/>
          <w:sz w:val="16"/>
          <w:szCs w:val="16"/>
          <w:lang w:val="pt-BR"/>
        </w:rPr>
        <w:t xml:space="preserve">a </w:t>
      </w:r>
      <w:r w:rsidR="00624205" w:rsidRPr="0038442F">
        <w:rPr>
          <w:rFonts w:ascii="Verdana" w:hAnsi="Verdana"/>
          <w:sz w:val="16"/>
          <w:szCs w:val="16"/>
          <w:lang w:val="pt-BR"/>
        </w:rPr>
        <w:t xml:space="preserve">o artigo </w:t>
      </w:r>
      <w:r w:rsidR="008A7508" w:rsidRPr="0038442F">
        <w:rPr>
          <w:rFonts w:ascii="Verdana" w:hAnsi="Verdana"/>
          <w:sz w:val="16"/>
          <w:szCs w:val="16"/>
          <w:lang w:val="pt-BR"/>
        </w:rPr>
        <w:t>24</w:t>
      </w:r>
      <w:r w:rsidR="00624205" w:rsidRPr="0038442F">
        <w:rPr>
          <w:rFonts w:ascii="Verdana" w:hAnsi="Verdana"/>
          <w:sz w:val="16"/>
          <w:szCs w:val="16"/>
          <w:lang w:val="pt-BR"/>
        </w:rPr>
        <w:t>.</w:t>
      </w:r>
      <w:r w:rsidRPr="0038442F">
        <w:rPr>
          <w:rStyle w:val="Refdenotaalpie"/>
          <w:rFonts w:ascii="Verdana" w:hAnsi="Verdana"/>
          <w:iCs/>
          <w:sz w:val="16"/>
          <w:szCs w:val="16"/>
          <w:lang w:val="pt-BR"/>
        </w:rPr>
        <w:footnoteReference w:id="153"/>
      </w:r>
      <w:r w:rsidRPr="0038442F">
        <w:rPr>
          <w:rFonts w:ascii="Verdana" w:hAnsi="Verdana"/>
          <w:i/>
          <w:sz w:val="16"/>
          <w:szCs w:val="16"/>
          <w:lang w:val="pt-BR"/>
        </w:rPr>
        <w:t xml:space="preserve"> </w:t>
      </w:r>
    </w:p>
    <w:p w14:paraId="5C2FD588" w14:textId="1D76E589" w:rsidR="008A7508" w:rsidRPr="0038442F" w:rsidRDefault="00176870" w:rsidP="00176870">
      <w:pPr>
        <w:pStyle w:val="PrrafodeSentencia"/>
        <w:numPr>
          <w:ilvl w:val="0"/>
          <w:numId w:val="0"/>
        </w:numPr>
        <w:tabs>
          <w:tab w:val="clear" w:pos="567"/>
          <w:tab w:val="left" w:pos="709"/>
        </w:tabs>
        <w:autoSpaceDE w:val="0"/>
        <w:autoSpaceDN w:val="0"/>
        <w:adjustRightInd w:val="0"/>
        <w:rPr>
          <w:lang w:val="pt-BR"/>
        </w:rPr>
      </w:pPr>
      <w:r w:rsidRPr="0038442F">
        <w:rPr>
          <w:szCs w:val="20"/>
          <w:lang w:val="pt-BR"/>
        </w:rPr>
        <w:t>94.</w:t>
      </w:r>
      <w:r w:rsidRPr="0038442F">
        <w:rPr>
          <w:szCs w:val="20"/>
          <w:lang w:val="pt-BR"/>
        </w:rPr>
        <w:tab/>
      </w:r>
      <w:r w:rsidR="00624205" w:rsidRPr="0038442F">
        <w:rPr>
          <w:szCs w:val="20"/>
          <w:lang w:val="pt-BR"/>
        </w:rPr>
        <w:t>Assim</w:t>
      </w:r>
      <w:r w:rsidR="002227C4" w:rsidRPr="0038442F">
        <w:rPr>
          <w:szCs w:val="20"/>
          <w:lang w:val="pt-BR"/>
        </w:rPr>
        <w:t xml:space="preserve">, a partir de </w:t>
      </w:r>
      <w:r w:rsidR="00624205" w:rsidRPr="0038442F">
        <w:rPr>
          <w:szCs w:val="20"/>
          <w:lang w:val="pt-BR"/>
        </w:rPr>
        <w:t>então</w:t>
      </w:r>
      <w:r w:rsidR="002227C4" w:rsidRPr="0038442F">
        <w:rPr>
          <w:szCs w:val="20"/>
          <w:lang w:val="pt-BR"/>
        </w:rPr>
        <w:t xml:space="preserve">, </w:t>
      </w:r>
      <w:r w:rsidR="008806F8" w:rsidRPr="0038442F">
        <w:rPr>
          <w:szCs w:val="20"/>
          <w:lang w:val="pt-BR"/>
        </w:rPr>
        <w:t xml:space="preserve">a Corte </w:t>
      </w:r>
      <w:r w:rsidRPr="0038442F">
        <w:rPr>
          <w:szCs w:val="20"/>
          <w:lang w:val="pt-BR"/>
        </w:rPr>
        <w:t xml:space="preserve">IDH </w:t>
      </w:r>
      <w:r w:rsidR="00637DF1">
        <w:rPr>
          <w:szCs w:val="20"/>
          <w:lang w:val="pt-BR"/>
        </w:rPr>
        <w:t>vem considerando</w:t>
      </w:r>
      <w:r w:rsidR="00637DF1" w:rsidRPr="0038442F">
        <w:rPr>
          <w:szCs w:val="20"/>
          <w:lang w:val="pt-BR"/>
        </w:rPr>
        <w:t xml:space="preserve"> </w:t>
      </w:r>
      <w:r w:rsidR="00C30C92" w:rsidRPr="0038442F">
        <w:rPr>
          <w:szCs w:val="20"/>
          <w:lang w:val="pt-BR"/>
        </w:rPr>
        <w:t xml:space="preserve">de </w:t>
      </w:r>
      <w:r w:rsidR="00637DF1">
        <w:rPr>
          <w:szCs w:val="20"/>
          <w:lang w:val="pt-BR"/>
        </w:rPr>
        <w:t>forma</w:t>
      </w:r>
      <w:r w:rsidR="00637DF1" w:rsidRPr="0038442F">
        <w:rPr>
          <w:szCs w:val="20"/>
          <w:lang w:val="pt-BR"/>
        </w:rPr>
        <w:t xml:space="preserve"> </w:t>
      </w:r>
      <w:r w:rsidR="00C30C92" w:rsidRPr="0038442F">
        <w:rPr>
          <w:szCs w:val="20"/>
          <w:lang w:val="pt-BR"/>
        </w:rPr>
        <w:t>constante</w:t>
      </w:r>
      <w:r w:rsidR="00AF3721" w:rsidRPr="0038442F">
        <w:rPr>
          <w:szCs w:val="20"/>
          <w:lang w:val="pt-BR"/>
        </w:rPr>
        <w:t xml:space="preserve"> </w:t>
      </w:r>
      <w:r w:rsidR="008A7508" w:rsidRPr="0038442F">
        <w:rPr>
          <w:szCs w:val="20"/>
          <w:lang w:val="pt-BR"/>
        </w:rPr>
        <w:t>que</w:t>
      </w:r>
      <w:r w:rsidR="00C30C92" w:rsidRPr="0038442F">
        <w:rPr>
          <w:szCs w:val="20"/>
          <w:lang w:val="pt-BR"/>
        </w:rPr>
        <w:t xml:space="preserve"> </w:t>
      </w:r>
      <w:r w:rsidR="003B374E" w:rsidRPr="0038442F">
        <w:rPr>
          <w:lang w:val="pt-BR"/>
        </w:rPr>
        <w:t xml:space="preserve">o artigo </w:t>
      </w:r>
      <w:r w:rsidR="008A7508" w:rsidRPr="0038442F">
        <w:rPr>
          <w:lang w:val="pt-BR"/>
        </w:rPr>
        <w:t xml:space="preserve">24 </w:t>
      </w:r>
      <w:r w:rsidR="00C92762" w:rsidRPr="0038442F">
        <w:rPr>
          <w:lang w:val="pt-BR"/>
        </w:rPr>
        <w:t xml:space="preserve">da </w:t>
      </w:r>
      <w:r w:rsidR="008A7508" w:rsidRPr="0038442F">
        <w:rPr>
          <w:lang w:val="pt-BR"/>
        </w:rPr>
        <w:t>Conven</w:t>
      </w:r>
      <w:r w:rsidR="000A1AA8" w:rsidRPr="0038442F">
        <w:rPr>
          <w:lang w:val="pt-BR"/>
        </w:rPr>
        <w:t>ção</w:t>
      </w:r>
      <w:r w:rsidR="008A7508" w:rsidRPr="0038442F">
        <w:rPr>
          <w:lang w:val="pt-BR"/>
        </w:rPr>
        <w:t xml:space="preserve"> Americana proíbe a discrimina</w:t>
      </w:r>
      <w:r w:rsidR="000A1AA8" w:rsidRPr="0038442F">
        <w:rPr>
          <w:lang w:val="pt-BR"/>
        </w:rPr>
        <w:t>ção</w:t>
      </w:r>
      <w:r w:rsidR="008A7508" w:rsidRPr="0038442F">
        <w:rPr>
          <w:lang w:val="pt-BR"/>
        </w:rPr>
        <w:t xml:space="preserve"> de </w:t>
      </w:r>
      <w:r w:rsidR="00CA30C5" w:rsidRPr="0038442F">
        <w:rPr>
          <w:lang w:val="pt-BR"/>
        </w:rPr>
        <w:t>direito</w:t>
      </w:r>
      <w:r w:rsidR="008A7508" w:rsidRPr="0038442F">
        <w:rPr>
          <w:lang w:val="pt-BR"/>
        </w:rPr>
        <w:t xml:space="preserve">, </w:t>
      </w:r>
      <w:r w:rsidR="005135E5" w:rsidRPr="0038442F">
        <w:rPr>
          <w:lang w:val="pt-BR"/>
        </w:rPr>
        <w:t xml:space="preserve">não só </w:t>
      </w:r>
      <w:r w:rsidR="001D5761" w:rsidRPr="0038442F">
        <w:rPr>
          <w:lang w:val="pt-BR"/>
        </w:rPr>
        <w:t xml:space="preserve">quanto aos </w:t>
      </w:r>
      <w:r w:rsidR="00C92762" w:rsidRPr="0038442F">
        <w:rPr>
          <w:lang w:val="pt-BR"/>
        </w:rPr>
        <w:t xml:space="preserve">direitos </w:t>
      </w:r>
      <w:r w:rsidR="001D5761" w:rsidRPr="0038442F">
        <w:rPr>
          <w:lang w:val="pt-BR"/>
        </w:rPr>
        <w:t xml:space="preserve">constantes desse </w:t>
      </w:r>
      <w:r w:rsidR="008A7508" w:rsidRPr="0038442F">
        <w:rPr>
          <w:lang w:val="pt-BR"/>
        </w:rPr>
        <w:t xml:space="preserve">tratado, </w:t>
      </w:r>
      <w:r w:rsidR="001D5761" w:rsidRPr="0038442F">
        <w:rPr>
          <w:lang w:val="pt-BR"/>
        </w:rPr>
        <w:t xml:space="preserve">mas no que se refere a </w:t>
      </w:r>
      <w:r w:rsidR="008A7508" w:rsidRPr="0038442F">
        <w:rPr>
          <w:lang w:val="pt-BR"/>
        </w:rPr>
        <w:t xml:space="preserve">todas as </w:t>
      </w:r>
      <w:r w:rsidR="00A97590" w:rsidRPr="0038442F">
        <w:rPr>
          <w:lang w:val="pt-BR"/>
        </w:rPr>
        <w:t>leis</w:t>
      </w:r>
      <w:r w:rsidR="00407242" w:rsidRPr="0038442F">
        <w:rPr>
          <w:lang w:val="pt-BR"/>
        </w:rPr>
        <w:t xml:space="preserve"> </w:t>
      </w:r>
      <w:r w:rsidR="008A7508" w:rsidRPr="0038442F">
        <w:rPr>
          <w:lang w:val="pt-BR"/>
        </w:rPr>
        <w:t xml:space="preserve">que </w:t>
      </w:r>
      <w:r w:rsidR="001D5761" w:rsidRPr="0038442F">
        <w:rPr>
          <w:lang w:val="pt-BR"/>
        </w:rPr>
        <w:t xml:space="preserve">o Estado aprove e a sua </w:t>
      </w:r>
      <w:r w:rsidR="008A7508" w:rsidRPr="0038442F">
        <w:rPr>
          <w:lang w:val="pt-BR"/>
        </w:rPr>
        <w:t>aplica</w:t>
      </w:r>
      <w:r w:rsidR="000A1AA8" w:rsidRPr="0038442F">
        <w:rPr>
          <w:lang w:val="pt-BR"/>
        </w:rPr>
        <w:t>ção</w:t>
      </w:r>
      <w:r w:rsidR="001D5761" w:rsidRPr="0038442F">
        <w:rPr>
          <w:lang w:val="pt-BR"/>
        </w:rPr>
        <w:t>.</w:t>
      </w:r>
      <w:r w:rsidR="008A7508" w:rsidRPr="0038442F">
        <w:rPr>
          <w:rStyle w:val="Refdenotaalpie"/>
          <w:szCs w:val="20"/>
          <w:lang w:val="pt-BR"/>
        </w:rPr>
        <w:footnoteReference w:id="154"/>
      </w:r>
      <w:r w:rsidR="008A7508" w:rsidRPr="0038442F">
        <w:rPr>
          <w:lang w:val="pt-BR"/>
        </w:rPr>
        <w:t xml:space="preserve"> </w:t>
      </w:r>
    </w:p>
    <w:p w14:paraId="321FBC3E" w14:textId="658FCCA5" w:rsidR="00772D6C" w:rsidRPr="0038442F" w:rsidRDefault="008D19D5" w:rsidP="00A857CB">
      <w:pPr>
        <w:spacing w:before="100" w:beforeAutospacing="1" w:after="100" w:afterAutospacing="1"/>
        <w:ind w:firstLine="708"/>
        <w:jc w:val="both"/>
        <w:rPr>
          <w:rFonts w:ascii="Verdana" w:hAnsi="Verdana"/>
          <w:b/>
          <w:bCs/>
          <w:iCs/>
          <w:sz w:val="20"/>
          <w:szCs w:val="20"/>
          <w:lang w:val="pt-BR"/>
        </w:rPr>
      </w:pPr>
      <w:r w:rsidRPr="0038442F">
        <w:rPr>
          <w:rFonts w:ascii="Verdana" w:hAnsi="Verdana"/>
          <w:b/>
          <w:bCs/>
          <w:iCs/>
          <w:sz w:val="20"/>
          <w:szCs w:val="20"/>
          <w:lang w:val="pt-BR"/>
        </w:rPr>
        <w:t>B</w:t>
      </w:r>
      <w:r w:rsidR="00F83D8F" w:rsidRPr="0038442F">
        <w:rPr>
          <w:rFonts w:ascii="Verdana" w:hAnsi="Verdana"/>
          <w:b/>
          <w:bCs/>
          <w:iCs/>
          <w:sz w:val="20"/>
          <w:szCs w:val="20"/>
          <w:lang w:val="pt-BR"/>
        </w:rPr>
        <w:t>.1.</w:t>
      </w:r>
      <w:r w:rsidR="00772D6C" w:rsidRPr="0038442F">
        <w:rPr>
          <w:rFonts w:ascii="Verdana" w:hAnsi="Verdana"/>
          <w:b/>
          <w:bCs/>
          <w:iCs/>
          <w:sz w:val="20"/>
          <w:szCs w:val="20"/>
          <w:lang w:val="pt-BR"/>
        </w:rPr>
        <w:t xml:space="preserve">iii) </w:t>
      </w:r>
      <w:r w:rsidR="00AC11E4" w:rsidRPr="0038442F">
        <w:rPr>
          <w:rFonts w:ascii="Verdana" w:hAnsi="Verdana"/>
          <w:b/>
          <w:bCs/>
          <w:iCs/>
          <w:sz w:val="20"/>
          <w:szCs w:val="20"/>
          <w:lang w:val="pt-BR"/>
        </w:rPr>
        <w:t>A</w:t>
      </w:r>
      <w:r w:rsidR="00772D6C" w:rsidRPr="0038442F">
        <w:rPr>
          <w:rFonts w:ascii="Verdana" w:hAnsi="Verdana"/>
          <w:b/>
          <w:bCs/>
          <w:iCs/>
          <w:sz w:val="20"/>
          <w:szCs w:val="20"/>
          <w:lang w:val="pt-BR"/>
        </w:rPr>
        <w:t xml:space="preserve"> conjun</w:t>
      </w:r>
      <w:r w:rsidR="000A1AA8" w:rsidRPr="0038442F">
        <w:rPr>
          <w:rFonts w:ascii="Verdana" w:hAnsi="Verdana"/>
          <w:b/>
          <w:bCs/>
          <w:iCs/>
          <w:sz w:val="20"/>
          <w:szCs w:val="20"/>
          <w:lang w:val="pt-BR"/>
        </w:rPr>
        <w:t>ção</w:t>
      </w:r>
      <w:r w:rsidR="00772D6C" w:rsidRPr="0038442F">
        <w:rPr>
          <w:rFonts w:ascii="Verdana" w:hAnsi="Verdana"/>
          <w:b/>
          <w:bCs/>
          <w:iCs/>
          <w:sz w:val="20"/>
          <w:szCs w:val="20"/>
          <w:lang w:val="pt-BR"/>
        </w:rPr>
        <w:t xml:space="preserve"> </w:t>
      </w:r>
      <w:r w:rsidR="00C92762" w:rsidRPr="0038442F">
        <w:rPr>
          <w:rFonts w:ascii="Verdana" w:hAnsi="Verdana"/>
          <w:b/>
          <w:bCs/>
          <w:iCs/>
          <w:sz w:val="20"/>
          <w:szCs w:val="20"/>
          <w:lang w:val="pt-BR"/>
        </w:rPr>
        <w:t xml:space="preserve">dos </w:t>
      </w:r>
      <w:r w:rsidR="00BC6FC3" w:rsidRPr="0038442F">
        <w:rPr>
          <w:rFonts w:ascii="Verdana" w:hAnsi="Verdana"/>
          <w:b/>
          <w:bCs/>
          <w:iCs/>
          <w:sz w:val="20"/>
          <w:szCs w:val="20"/>
          <w:lang w:val="pt-BR"/>
        </w:rPr>
        <w:t>artigos</w:t>
      </w:r>
      <w:r w:rsidR="00407242" w:rsidRPr="0038442F">
        <w:rPr>
          <w:rFonts w:ascii="Verdana" w:hAnsi="Verdana"/>
          <w:b/>
          <w:bCs/>
          <w:iCs/>
          <w:sz w:val="20"/>
          <w:szCs w:val="20"/>
          <w:lang w:val="pt-BR"/>
        </w:rPr>
        <w:t xml:space="preserve"> </w:t>
      </w:r>
      <w:r w:rsidR="00772D6C" w:rsidRPr="0038442F">
        <w:rPr>
          <w:rFonts w:ascii="Verdana" w:hAnsi="Verdana"/>
          <w:b/>
          <w:bCs/>
          <w:iCs/>
          <w:sz w:val="20"/>
          <w:szCs w:val="20"/>
          <w:lang w:val="pt-BR"/>
        </w:rPr>
        <w:t xml:space="preserve">1.1 </w:t>
      </w:r>
      <w:r w:rsidR="00AC11E4" w:rsidRPr="0038442F">
        <w:rPr>
          <w:rFonts w:ascii="Verdana" w:hAnsi="Verdana"/>
          <w:b/>
          <w:bCs/>
          <w:iCs/>
          <w:sz w:val="20"/>
          <w:szCs w:val="20"/>
          <w:lang w:val="pt-BR"/>
        </w:rPr>
        <w:t>e</w:t>
      </w:r>
      <w:r w:rsidR="00772D6C" w:rsidRPr="0038442F">
        <w:rPr>
          <w:rFonts w:ascii="Verdana" w:hAnsi="Verdana"/>
          <w:b/>
          <w:bCs/>
          <w:iCs/>
          <w:sz w:val="20"/>
          <w:szCs w:val="20"/>
          <w:lang w:val="pt-BR"/>
        </w:rPr>
        <w:t xml:space="preserve"> 24</w:t>
      </w:r>
      <w:r w:rsidR="00223C29" w:rsidRPr="0038442F">
        <w:rPr>
          <w:rFonts w:ascii="Verdana" w:hAnsi="Verdana"/>
          <w:b/>
          <w:bCs/>
          <w:iCs/>
          <w:sz w:val="20"/>
          <w:szCs w:val="20"/>
          <w:lang w:val="pt-BR"/>
        </w:rPr>
        <w:t xml:space="preserve"> </w:t>
      </w:r>
      <w:r w:rsidR="00C92762" w:rsidRPr="0038442F">
        <w:rPr>
          <w:rFonts w:ascii="Verdana" w:hAnsi="Verdana"/>
          <w:b/>
          <w:bCs/>
          <w:iCs/>
          <w:sz w:val="20"/>
          <w:szCs w:val="20"/>
          <w:lang w:val="pt-BR"/>
        </w:rPr>
        <w:t xml:space="preserve">da </w:t>
      </w:r>
      <w:r w:rsidR="000558CA" w:rsidRPr="0038442F">
        <w:rPr>
          <w:rFonts w:ascii="Verdana" w:hAnsi="Verdana"/>
          <w:b/>
          <w:bCs/>
          <w:iCs/>
          <w:sz w:val="20"/>
          <w:szCs w:val="20"/>
          <w:lang w:val="pt-BR"/>
        </w:rPr>
        <w:t>Conven</w:t>
      </w:r>
      <w:r w:rsidR="000A1AA8" w:rsidRPr="0038442F">
        <w:rPr>
          <w:rFonts w:ascii="Verdana" w:hAnsi="Verdana"/>
          <w:b/>
          <w:bCs/>
          <w:iCs/>
          <w:sz w:val="20"/>
          <w:szCs w:val="20"/>
          <w:lang w:val="pt-BR"/>
        </w:rPr>
        <w:t>ção</w:t>
      </w:r>
      <w:r w:rsidR="000558CA" w:rsidRPr="0038442F">
        <w:rPr>
          <w:rFonts w:ascii="Verdana" w:hAnsi="Verdana"/>
          <w:b/>
          <w:bCs/>
          <w:iCs/>
          <w:sz w:val="20"/>
          <w:szCs w:val="20"/>
          <w:lang w:val="pt-BR"/>
        </w:rPr>
        <w:t xml:space="preserve"> Americana</w:t>
      </w:r>
    </w:p>
    <w:p w14:paraId="06855757" w14:textId="47DD89E6" w:rsidR="00981CF8" w:rsidRPr="0038442F" w:rsidRDefault="00176870" w:rsidP="00176870">
      <w:pPr>
        <w:pStyle w:val="Prrafodelista"/>
        <w:tabs>
          <w:tab w:val="left" w:pos="709"/>
        </w:tabs>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95.</w:t>
      </w:r>
      <w:r w:rsidRPr="0038442F">
        <w:rPr>
          <w:rFonts w:ascii="Verdana" w:hAnsi="Verdana" w:cs="Times New Roman"/>
          <w:sz w:val="20"/>
          <w:szCs w:val="20"/>
          <w:lang w:val="pt-BR"/>
        </w:rPr>
        <w:tab/>
      </w:r>
      <w:r w:rsidR="00AC11E4" w:rsidRPr="0038442F">
        <w:rPr>
          <w:rFonts w:ascii="Verdana" w:hAnsi="Verdana" w:cs="Times New Roman"/>
          <w:sz w:val="20"/>
          <w:szCs w:val="20"/>
          <w:lang w:val="pt-BR"/>
        </w:rPr>
        <w:t xml:space="preserve">Embora a </w:t>
      </w:r>
      <w:r w:rsidR="00981CF8" w:rsidRPr="0038442F">
        <w:rPr>
          <w:rFonts w:ascii="Verdana" w:hAnsi="Verdana" w:cs="Times New Roman"/>
          <w:sz w:val="20"/>
          <w:szCs w:val="20"/>
          <w:lang w:val="pt-BR"/>
        </w:rPr>
        <w:t xml:space="preserve">Corte </w:t>
      </w:r>
      <w:r w:rsidRPr="0038442F">
        <w:rPr>
          <w:rFonts w:ascii="Verdana" w:hAnsi="Verdana" w:cs="Times New Roman"/>
          <w:sz w:val="20"/>
          <w:szCs w:val="20"/>
          <w:lang w:val="pt-BR"/>
        </w:rPr>
        <w:t xml:space="preserve">IDH </w:t>
      </w:r>
      <w:r w:rsidR="00AC11E4" w:rsidRPr="0038442F">
        <w:rPr>
          <w:rFonts w:ascii="Verdana" w:hAnsi="Verdana" w:cs="Times New Roman"/>
          <w:sz w:val="20"/>
          <w:szCs w:val="20"/>
          <w:lang w:val="pt-BR"/>
        </w:rPr>
        <w:t xml:space="preserve">tenha </w:t>
      </w:r>
      <w:r w:rsidR="00981CF8" w:rsidRPr="0038442F">
        <w:rPr>
          <w:rFonts w:ascii="Verdana" w:hAnsi="Verdana" w:cs="Times New Roman"/>
          <w:sz w:val="20"/>
          <w:szCs w:val="20"/>
          <w:lang w:val="pt-BR"/>
        </w:rPr>
        <w:t>expre</w:t>
      </w:r>
      <w:r w:rsidR="00AC11E4" w:rsidRPr="0038442F">
        <w:rPr>
          <w:rFonts w:ascii="Verdana" w:hAnsi="Verdana" w:cs="Times New Roman"/>
          <w:sz w:val="20"/>
          <w:szCs w:val="20"/>
          <w:lang w:val="pt-BR"/>
        </w:rPr>
        <w:t>s</w:t>
      </w:r>
      <w:r w:rsidR="00981CF8" w:rsidRPr="0038442F">
        <w:rPr>
          <w:rFonts w:ascii="Verdana" w:hAnsi="Verdana" w:cs="Times New Roman"/>
          <w:sz w:val="20"/>
          <w:szCs w:val="20"/>
          <w:lang w:val="pt-BR"/>
        </w:rPr>
        <w:t xml:space="preserve">sado que existe, </w:t>
      </w:r>
      <w:r w:rsidR="00981CF8" w:rsidRPr="0038442F">
        <w:rPr>
          <w:rFonts w:ascii="Verdana" w:hAnsi="Verdana" w:cs="Times New Roman"/>
          <w:i/>
          <w:sz w:val="20"/>
          <w:szCs w:val="20"/>
          <w:lang w:val="pt-BR"/>
        </w:rPr>
        <w:t xml:space="preserve">prima facie, </w:t>
      </w:r>
      <w:r w:rsidR="00981CF8" w:rsidRPr="0038442F">
        <w:rPr>
          <w:rFonts w:ascii="Verdana" w:hAnsi="Verdana" w:cs="Times New Roman"/>
          <w:sz w:val="20"/>
          <w:szCs w:val="20"/>
          <w:lang w:val="pt-BR"/>
        </w:rPr>
        <w:t>es</w:t>
      </w:r>
      <w:r w:rsidR="00AC11E4" w:rsidRPr="0038442F">
        <w:rPr>
          <w:rFonts w:ascii="Verdana" w:hAnsi="Verdana" w:cs="Times New Roman"/>
          <w:sz w:val="20"/>
          <w:szCs w:val="20"/>
          <w:lang w:val="pt-BR"/>
        </w:rPr>
        <w:t>s</w:t>
      </w:r>
      <w:r w:rsidR="00981CF8" w:rsidRPr="0038442F">
        <w:rPr>
          <w:rFonts w:ascii="Verdana" w:hAnsi="Verdana" w:cs="Times New Roman"/>
          <w:sz w:val="20"/>
          <w:szCs w:val="20"/>
          <w:lang w:val="pt-BR"/>
        </w:rPr>
        <w:t>a distin</w:t>
      </w:r>
      <w:r w:rsidR="000A1AA8" w:rsidRPr="0038442F">
        <w:rPr>
          <w:rFonts w:ascii="Verdana" w:hAnsi="Verdana" w:cs="Times New Roman"/>
          <w:sz w:val="20"/>
          <w:szCs w:val="20"/>
          <w:lang w:val="pt-BR"/>
        </w:rPr>
        <w:t>ção</w:t>
      </w:r>
      <w:r w:rsidR="00981CF8" w:rsidRPr="0038442F">
        <w:rPr>
          <w:rFonts w:ascii="Verdana" w:hAnsi="Verdana" w:cs="Times New Roman"/>
          <w:sz w:val="20"/>
          <w:szCs w:val="20"/>
          <w:lang w:val="pt-BR"/>
        </w:rPr>
        <w:t xml:space="preserve"> entre ambas </w:t>
      </w:r>
      <w:r w:rsidR="00AC11E4" w:rsidRPr="0038442F">
        <w:rPr>
          <w:rFonts w:ascii="Verdana" w:hAnsi="Verdana" w:cs="Times New Roman"/>
          <w:sz w:val="20"/>
          <w:szCs w:val="20"/>
          <w:lang w:val="pt-BR"/>
        </w:rPr>
        <w:t xml:space="preserve">as </w:t>
      </w:r>
      <w:r w:rsidR="00981CF8" w:rsidRPr="0038442F">
        <w:rPr>
          <w:rFonts w:ascii="Verdana" w:hAnsi="Verdana" w:cs="Times New Roman"/>
          <w:sz w:val="20"/>
          <w:szCs w:val="20"/>
          <w:lang w:val="pt-BR"/>
        </w:rPr>
        <w:t>disposi</w:t>
      </w:r>
      <w:r w:rsidR="000A1AA8" w:rsidRPr="0038442F">
        <w:rPr>
          <w:rFonts w:ascii="Verdana" w:hAnsi="Verdana" w:cs="Times New Roman"/>
          <w:sz w:val="20"/>
          <w:szCs w:val="20"/>
          <w:lang w:val="pt-BR"/>
        </w:rPr>
        <w:t>ções</w:t>
      </w:r>
      <w:r w:rsidR="00981CF8" w:rsidRPr="0038442F">
        <w:rPr>
          <w:rFonts w:ascii="Verdana" w:hAnsi="Verdana" w:cs="Times New Roman"/>
          <w:sz w:val="20"/>
          <w:szCs w:val="20"/>
          <w:lang w:val="pt-BR"/>
        </w:rPr>
        <w:t xml:space="preserve">, </w:t>
      </w:r>
      <w:r w:rsidR="005135E5" w:rsidRPr="0038442F">
        <w:rPr>
          <w:rFonts w:ascii="Verdana" w:hAnsi="Verdana" w:cs="Times New Roman"/>
          <w:sz w:val="20"/>
          <w:szCs w:val="20"/>
          <w:lang w:val="pt-BR"/>
        </w:rPr>
        <w:t>também</w:t>
      </w:r>
      <w:r w:rsidR="00407242"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 xml:space="preserve">reconheceu que, em </w:t>
      </w:r>
      <w:r w:rsidR="00C92762" w:rsidRPr="0038442F">
        <w:rPr>
          <w:rFonts w:ascii="Verdana" w:hAnsi="Verdana" w:cs="Times New Roman"/>
          <w:sz w:val="20"/>
          <w:szCs w:val="20"/>
          <w:lang w:val="pt-BR"/>
        </w:rPr>
        <w:t>algumas</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situa</w:t>
      </w:r>
      <w:r w:rsidR="000A1AA8" w:rsidRPr="0038442F">
        <w:rPr>
          <w:rFonts w:ascii="Verdana" w:hAnsi="Verdana" w:cs="Times New Roman"/>
          <w:sz w:val="20"/>
          <w:szCs w:val="20"/>
          <w:lang w:val="pt-BR"/>
        </w:rPr>
        <w:t>ções</w:t>
      </w:r>
      <w:r w:rsidR="00AC11E4"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w:t>
      </w:r>
      <w:r w:rsidR="008806F8" w:rsidRPr="0038442F">
        <w:rPr>
          <w:rFonts w:ascii="Verdana" w:hAnsi="Verdana" w:cs="Times New Roman"/>
          <w:sz w:val="20"/>
          <w:szCs w:val="20"/>
          <w:lang w:val="pt-BR"/>
        </w:rPr>
        <w:t xml:space="preserve">as violações </w:t>
      </w:r>
      <w:r w:rsidR="00981CF8" w:rsidRPr="0038442F">
        <w:rPr>
          <w:rFonts w:ascii="Verdana" w:hAnsi="Verdana" w:cs="Times New Roman"/>
          <w:sz w:val="20"/>
          <w:szCs w:val="20"/>
          <w:lang w:val="pt-BR"/>
        </w:rPr>
        <w:t>suscitadas compre</w:t>
      </w:r>
      <w:r w:rsidR="00AC11E4" w:rsidRPr="0038442F">
        <w:rPr>
          <w:rFonts w:ascii="Verdana" w:hAnsi="Verdana" w:cs="Times New Roman"/>
          <w:sz w:val="20"/>
          <w:szCs w:val="20"/>
          <w:lang w:val="pt-BR"/>
        </w:rPr>
        <w:t xml:space="preserve">endem </w:t>
      </w:r>
      <w:r w:rsidR="00981CF8" w:rsidRPr="0038442F">
        <w:rPr>
          <w:rFonts w:ascii="Verdana" w:hAnsi="Verdana" w:cs="Times New Roman"/>
          <w:sz w:val="20"/>
          <w:szCs w:val="20"/>
          <w:lang w:val="pt-BR"/>
        </w:rPr>
        <w:t xml:space="preserve">ambas </w:t>
      </w:r>
      <w:r w:rsidR="00AC11E4" w:rsidRPr="0038442F">
        <w:rPr>
          <w:rFonts w:ascii="Verdana" w:hAnsi="Verdana" w:cs="Times New Roman"/>
          <w:sz w:val="20"/>
          <w:szCs w:val="20"/>
          <w:lang w:val="pt-BR"/>
        </w:rPr>
        <w:t xml:space="preserve">as </w:t>
      </w:r>
      <w:r w:rsidR="00981CF8" w:rsidRPr="0038442F">
        <w:rPr>
          <w:rFonts w:ascii="Verdana" w:hAnsi="Verdana" w:cs="Times New Roman"/>
          <w:sz w:val="20"/>
          <w:szCs w:val="20"/>
          <w:lang w:val="pt-BR"/>
        </w:rPr>
        <w:t>modalidades de discrimina</w:t>
      </w:r>
      <w:r w:rsidR="000A1AA8" w:rsidRPr="0038442F">
        <w:rPr>
          <w:rFonts w:ascii="Verdana" w:hAnsi="Verdana" w:cs="Times New Roman"/>
          <w:sz w:val="20"/>
          <w:szCs w:val="20"/>
          <w:lang w:val="pt-BR"/>
        </w:rPr>
        <w:t>ção</w:t>
      </w:r>
      <w:r w:rsidR="00981CF8"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e</w:t>
      </w:r>
      <w:r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portanto</w:t>
      </w:r>
      <w:r w:rsidR="005236DE"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n</w:t>
      </w:r>
      <w:r w:rsidR="00AC11E4" w:rsidRPr="0038442F">
        <w:rPr>
          <w:rFonts w:ascii="Verdana" w:hAnsi="Verdana" w:cs="Times New Roman"/>
          <w:sz w:val="20"/>
          <w:szCs w:val="20"/>
          <w:lang w:val="pt-BR"/>
        </w:rPr>
        <w:t>ã</w:t>
      </w:r>
      <w:r w:rsidR="00981CF8" w:rsidRPr="0038442F">
        <w:rPr>
          <w:rFonts w:ascii="Verdana" w:hAnsi="Verdana" w:cs="Times New Roman"/>
          <w:sz w:val="20"/>
          <w:szCs w:val="20"/>
          <w:lang w:val="pt-BR"/>
        </w:rPr>
        <w:t xml:space="preserve">o se </w:t>
      </w:r>
      <w:r w:rsidR="00AC11E4" w:rsidRPr="0038442F">
        <w:rPr>
          <w:rFonts w:ascii="Verdana" w:hAnsi="Verdana" w:cs="Times New Roman"/>
          <w:sz w:val="20"/>
          <w:szCs w:val="20"/>
          <w:lang w:val="pt-BR"/>
        </w:rPr>
        <w:t xml:space="preserve">faz </w:t>
      </w:r>
      <w:r w:rsidR="002226C1" w:rsidRPr="0038442F">
        <w:rPr>
          <w:rFonts w:ascii="Verdana" w:hAnsi="Verdana" w:cs="Times New Roman"/>
          <w:sz w:val="20"/>
          <w:szCs w:val="20"/>
          <w:lang w:val="pt-BR"/>
        </w:rPr>
        <w:t xml:space="preserve">necessário </w:t>
      </w:r>
      <w:r w:rsidR="00981CF8" w:rsidRPr="0038442F">
        <w:rPr>
          <w:rFonts w:ascii="Verdana" w:hAnsi="Verdana" w:cs="Times New Roman"/>
          <w:sz w:val="20"/>
          <w:szCs w:val="20"/>
          <w:lang w:val="pt-BR"/>
        </w:rPr>
        <w:t xml:space="preserve">realizar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distin</w:t>
      </w:r>
      <w:r w:rsidR="000A1AA8" w:rsidRPr="0038442F">
        <w:rPr>
          <w:rFonts w:ascii="Verdana" w:hAnsi="Verdana" w:cs="Times New Roman"/>
          <w:sz w:val="20"/>
          <w:szCs w:val="20"/>
          <w:lang w:val="pt-BR"/>
        </w:rPr>
        <w:t>ção</w:t>
      </w:r>
      <w:r w:rsidR="00981CF8" w:rsidRPr="0038442F">
        <w:rPr>
          <w:rFonts w:ascii="Verdana" w:hAnsi="Verdana" w:cs="Times New Roman"/>
          <w:sz w:val="20"/>
          <w:szCs w:val="20"/>
          <w:lang w:val="pt-BR"/>
        </w:rPr>
        <w:t xml:space="preserve"> entre </w:t>
      </w:r>
      <w:r w:rsidR="00645EFC">
        <w:rPr>
          <w:rFonts w:ascii="Verdana" w:hAnsi="Verdana" w:cs="Times New Roman"/>
          <w:sz w:val="20"/>
          <w:szCs w:val="20"/>
          <w:lang w:val="pt-BR"/>
        </w:rPr>
        <w:t>o</w:t>
      </w:r>
      <w:r w:rsidR="003C278F" w:rsidRPr="0038442F">
        <w:rPr>
          <w:rFonts w:ascii="Verdana" w:hAnsi="Verdana" w:cs="Times New Roman"/>
          <w:sz w:val="20"/>
          <w:szCs w:val="20"/>
          <w:lang w:val="pt-BR"/>
        </w:rPr>
        <w:t>s d</w:t>
      </w:r>
      <w:r w:rsidR="00645EFC">
        <w:rPr>
          <w:rFonts w:ascii="Verdana" w:hAnsi="Verdana" w:cs="Times New Roman"/>
          <w:sz w:val="20"/>
          <w:szCs w:val="20"/>
          <w:lang w:val="pt-BR"/>
        </w:rPr>
        <w:t>ois</w:t>
      </w:r>
      <w:r w:rsidR="00AC11E4"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disposi</w:t>
      </w:r>
      <w:r w:rsidR="00645EFC">
        <w:rPr>
          <w:rFonts w:ascii="Verdana" w:hAnsi="Verdana" w:cs="Times New Roman"/>
          <w:sz w:val="20"/>
          <w:szCs w:val="20"/>
          <w:lang w:val="pt-BR"/>
        </w:rPr>
        <w:t>tivos</w:t>
      </w:r>
      <w:r w:rsidR="00AC11E4" w:rsidRPr="0038442F">
        <w:rPr>
          <w:rFonts w:ascii="Verdana" w:hAnsi="Verdana" w:cs="Times New Roman"/>
          <w:sz w:val="20"/>
          <w:szCs w:val="20"/>
          <w:lang w:val="pt-BR"/>
        </w:rPr>
        <w:t>.</w:t>
      </w:r>
      <w:r w:rsidR="00981CF8" w:rsidRPr="0038442F">
        <w:rPr>
          <w:rStyle w:val="Refdenotaalpie"/>
          <w:rFonts w:ascii="Verdana" w:hAnsi="Verdana"/>
          <w:sz w:val="20"/>
          <w:szCs w:val="20"/>
          <w:lang w:val="pt-BR"/>
        </w:rPr>
        <w:footnoteReference w:id="155"/>
      </w:r>
      <w:r w:rsidR="00981CF8"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 xml:space="preserve">Nesse </w:t>
      </w:r>
      <w:r w:rsidR="00981CF8" w:rsidRPr="0038442F">
        <w:rPr>
          <w:rFonts w:ascii="Verdana" w:hAnsi="Verdana" w:cs="Times New Roman"/>
          <w:sz w:val="20"/>
          <w:szCs w:val="20"/>
          <w:lang w:val="pt-BR"/>
        </w:rPr>
        <w:t xml:space="preserve">sentido, </w:t>
      </w:r>
      <w:r w:rsidR="00602FF9" w:rsidRPr="0038442F">
        <w:rPr>
          <w:rFonts w:ascii="Verdana" w:hAnsi="Verdana" w:cs="Times New Roman"/>
          <w:sz w:val="20"/>
          <w:szCs w:val="20"/>
          <w:lang w:val="pt-BR"/>
        </w:rPr>
        <w:t xml:space="preserve">nos </w:t>
      </w:r>
      <w:r w:rsidR="00981CF8" w:rsidRPr="0038442F">
        <w:rPr>
          <w:rFonts w:ascii="Verdana" w:hAnsi="Verdana" w:cs="Times New Roman"/>
          <w:sz w:val="20"/>
          <w:szCs w:val="20"/>
          <w:lang w:val="pt-BR"/>
        </w:rPr>
        <w:t xml:space="preserve">casos </w:t>
      </w:r>
      <w:r w:rsidR="00981CF8" w:rsidRPr="0038442F">
        <w:rPr>
          <w:rFonts w:ascii="Verdana" w:hAnsi="Verdana" w:cs="Times New Roman"/>
          <w:i/>
          <w:sz w:val="20"/>
          <w:szCs w:val="20"/>
          <w:lang w:val="pt-BR"/>
        </w:rPr>
        <w:t>Véliz Franco</w:t>
      </w:r>
      <w:r w:rsidR="00981CF8"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e</w:t>
      </w:r>
      <w:r w:rsidR="00981CF8" w:rsidRPr="0038442F">
        <w:rPr>
          <w:rFonts w:ascii="Verdana" w:hAnsi="Verdana" w:cs="Times New Roman"/>
          <w:sz w:val="20"/>
          <w:szCs w:val="20"/>
          <w:lang w:val="pt-BR"/>
        </w:rPr>
        <w:t xml:space="preserve"> </w:t>
      </w:r>
      <w:r w:rsidR="00981CF8" w:rsidRPr="0038442F">
        <w:rPr>
          <w:rFonts w:ascii="Verdana" w:hAnsi="Verdana" w:cs="Times New Roman"/>
          <w:i/>
          <w:sz w:val="20"/>
          <w:szCs w:val="20"/>
          <w:lang w:val="pt-BR"/>
        </w:rPr>
        <w:t>Velásquez Paiz</w:t>
      </w:r>
      <w:r w:rsidR="00981CF8" w:rsidRPr="0038442F">
        <w:rPr>
          <w:rFonts w:ascii="Verdana" w:hAnsi="Verdana" w:cs="Times New Roman"/>
          <w:sz w:val="20"/>
          <w:szCs w:val="20"/>
          <w:lang w:val="pt-BR"/>
        </w:rPr>
        <w:t xml:space="preserve">, ambos contra </w:t>
      </w:r>
      <w:r w:rsidR="000A1AA8" w:rsidRPr="0038442F">
        <w:rPr>
          <w:rFonts w:ascii="Verdana" w:hAnsi="Verdana" w:cs="Times New Roman"/>
          <w:sz w:val="20"/>
          <w:szCs w:val="20"/>
          <w:lang w:val="pt-BR"/>
        </w:rPr>
        <w:t xml:space="preserve">o Estado </w:t>
      </w:r>
      <w:r w:rsidR="00981CF8" w:rsidRPr="0038442F">
        <w:rPr>
          <w:rFonts w:ascii="Verdana" w:hAnsi="Verdana" w:cs="Times New Roman"/>
          <w:sz w:val="20"/>
          <w:szCs w:val="20"/>
          <w:lang w:val="pt-BR"/>
        </w:rPr>
        <w:t xml:space="preserve">guatemalteco, </w:t>
      </w:r>
      <w:r w:rsidR="00AC11E4" w:rsidRPr="0038442F">
        <w:rPr>
          <w:rFonts w:ascii="Verdana" w:hAnsi="Verdana" w:cs="Times New Roman"/>
          <w:sz w:val="20"/>
          <w:szCs w:val="20"/>
          <w:lang w:val="pt-BR"/>
        </w:rPr>
        <w:t xml:space="preserve">o </w:t>
      </w:r>
      <w:r w:rsidR="00981CF8" w:rsidRPr="0038442F">
        <w:rPr>
          <w:rFonts w:ascii="Verdana" w:hAnsi="Verdana" w:cs="Times New Roman"/>
          <w:sz w:val="20"/>
          <w:szCs w:val="20"/>
          <w:lang w:val="pt-BR"/>
        </w:rPr>
        <w:t xml:space="preserve">Tribunal Interamericano </w:t>
      </w:r>
      <w:r w:rsidR="006A12FD" w:rsidRPr="0038442F">
        <w:rPr>
          <w:rFonts w:ascii="Verdana" w:hAnsi="Verdana" w:cs="Times New Roman"/>
          <w:sz w:val="20"/>
          <w:szCs w:val="20"/>
          <w:lang w:val="pt-BR"/>
        </w:rPr>
        <w:t>considerou</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 xml:space="preserve">que a </w:t>
      </w:r>
      <w:r w:rsidR="00AC11E4" w:rsidRPr="0038442F">
        <w:rPr>
          <w:rFonts w:ascii="Verdana" w:hAnsi="Verdana" w:cs="Times New Roman"/>
          <w:sz w:val="20"/>
          <w:szCs w:val="20"/>
          <w:lang w:val="pt-BR"/>
        </w:rPr>
        <w:t xml:space="preserve">ineficácia </w:t>
      </w:r>
      <w:r w:rsidR="00C92762" w:rsidRPr="0038442F">
        <w:rPr>
          <w:rFonts w:ascii="Verdana" w:hAnsi="Verdana" w:cs="Times New Roman"/>
          <w:sz w:val="20"/>
          <w:szCs w:val="20"/>
          <w:lang w:val="pt-BR"/>
        </w:rPr>
        <w:t xml:space="preserve">das </w:t>
      </w:r>
      <w:r w:rsidR="00981CF8" w:rsidRPr="0038442F">
        <w:rPr>
          <w:rFonts w:ascii="Verdana" w:hAnsi="Verdana" w:cs="Times New Roman"/>
          <w:sz w:val="20"/>
          <w:szCs w:val="20"/>
          <w:lang w:val="pt-BR"/>
        </w:rPr>
        <w:t>a</w:t>
      </w:r>
      <w:r w:rsidR="000A1AA8" w:rsidRPr="0038442F">
        <w:rPr>
          <w:rFonts w:ascii="Verdana" w:hAnsi="Verdana" w:cs="Times New Roman"/>
          <w:sz w:val="20"/>
          <w:szCs w:val="20"/>
          <w:lang w:val="pt-BR"/>
        </w:rPr>
        <w:t>ções</w:t>
      </w:r>
      <w:r w:rsidR="00981CF8"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das </w:t>
      </w:r>
      <w:r w:rsidR="00981CF8" w:rsidRPr="0038442F">
        <w:rPr>
          <w:rFonts w:ascii="Verdana" w:hAnsi="Verdana" w:cs="Times New Roman"/>
          <w:sz w:val="20"/>
          <w:szCs w:val="20"/>
          <w:lang w:val="pt-BR"/>
        </w:rPr>
        <w:t>autoridades</w:t>
      </w:r>
      <w:r w:rsidR="00AC11E4"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o</w:t>
      </w:r>
      <w:r w:rsidR="00AC11E4" w:rsidRPr="0038442F">
        <w:rPr>
          <w:rFonts w:ascii="Verdana" w:hAnsi="Verdana" w:cs="Times New Roman"/>
          <w:sz w:val="20"/>
          <w:szCs w:val="20"/>
          <w:lang w:val="pt-BR"/>
        </w:rPr>
        <w:t>u</w:t>
      </w:r>
      <w:r w:rsidR="00981CF8"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 xml:space="preserve">a </w:t>
      </w:r>
      <w:r w:rsidR="00981CF8" w:rsidRPr="0038442F">
        <w:rPr>
          <w:rFonts w:ascii="Verdana" w:hAnsi="Verdana" w:cs="Times New Roman"/>
          <w:sz w:val="20"/>
          <w:szCs w:val="20"/>
          <w:lang w:val="pt-BR"/>
        </w:rPr>
        <w:t>indiferen</w:t>
      </w:r>
      <w:r w:rsidR="00AC11E4" w:rsidRPr="0038442F">
        <w:rPr>
          <w:rFonts w:ascii="Verdana" w:hAnsi="Verdana" w:cs="Times New Roman"/>
          <w:sz w:val="20"/>
          <w:szCs w:val="20"/>
          <w:lang w:val="pt-BR"/>
        </w:rPr>
        <w:t>ç</w:t>
      </w:r>
      <w:r w:rsidR="00981CF8" w:rsidRPr="0038442F">
        <w:rPr>
          <w:rFonts w:ascii="Verdana" w:hAnsi="Verdana" w:cs="Times New Roman"/>
          <w:sz w:val="20"/>
          <w:szCs w:val="20"/>
          <w:lang w:val="pt-BR"/>
        </w:rPr>
        <w:t>a</w:t>
      </w:r>
      <w:r w:rsidR="00AC11E4" w:rsidRPr="0038442F">
        <w:rPr>
          <w:rFonts w:ascii="Verdana" w:hAnsi="Verdana" w:cs="Times New Roman"/>
          <w:sz w:val="20"/>
          <w:szCs w:val="20"/>
          <w:lang w:val="pt-BR"/>
        </w:rPr>
        <w:t>,</w:t>
      </w:r>
      <w:r w:rsidR="00981CF8" w:rsidRPr="0038442F">
        <w:rPr>
          <w:rFonts w:ascii="Verdana" w:hAnsi="Verdana" w:cs="Times New Roman"/>
          <w:sz w:val="20"/>
          <w:szCs w:val="20"/>
          <w:lang w:val="pt-BR"/>
        </w:rPr>
        <w:t xml:space="preserve"> constituía e</w:t>
      </w:r>
      <w:r w:rsidR="00AC11E4" w:rsidRPr="0038442F">
        <w:rPr>
          <w:rFonts w:ascii="Verdana" w:hAnsi="Verdana" w:cs="Times New Roman"/>
          <w:sz w:val="20"/>
          <w:szCs w:val="20"/>
          <w:lang w:val="pt-BR"/>
        </w:rPr>
        <w:t xml:space="preserve">m si </w:t>
      </w:r>
      <w:r w:rsidR="008806F8" w:rsidRPr="0038442F">
        <w:rPr>
          <w:rFonts w:ascii="Verdana" w:hAnsi="Verdana" w:cs="Times New Roman"/>
          <w:sz w:val="20"/>
          <w:szCs w:val="20"/>
          <w:lang w:val="pt-BR"/>
        </w:rPr>
        <w:t>mesma</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981CF8" w:rsidRPr="0038442F">
        <w:rPr>
          <w:rFonts w:ascii="Verdana" w:hAnsi="Verdana" w:cs="Times New Roman"/>
          <w:sz w:val="20"/>
          <w:szCs w:val="20"/>
          <w:lang w:val="pt-BR"/>
        </w:rPr>
        <w:t>forma de discrimina</w:t>
      </w:r>
      <w:r w:rsidR="000A1AA8" w:rsidRPr="0038442F">
        <w:rPr>
          <w:rFonts w:ascii="Verdana" w:hAnsi="Verdana" w:cs="Times New Roman"/>
          <w:sz w:val="20"/>
          <w:szCs w:val="20"/>
          <w:lang w:val="pt-BR"/>
        </w:rPr>
        <w:t>ção</w:t>
      </w:r>
      <w:r w:rsidR="00981CF8" w:rsidRPr="0038442F">
        <w:rPr>
          <w:rFonts w:ascii="Verdana" w:hAnsi="Verdana" w:cs="Times New Roman"/>
          <w:sz w:val="20"/>
          <w:szCs w:val="20"/>
          <w:lang w:val="pt-BR"/>
        </w:rPr>
        <w:t xml:space="preserve"> </w:t>
      </w:r>
      <w:r w:rsidR="00751189" w:rsidRPr="0038442F">
        <w:rPr>
          <w:rFonts w:ascii="Verdana" w:hAnsi="Verdana" w:cs="Times New Roman"/>
          <w:sz w:val="20"/>
          <w:szCs w:val="20"/>
          <w:lang w:val="pt-BR"/>
        </w:rPr>
        <w:t xml:space="preserve">no </w:t>
      </w:r>
      <w:r w:rsidR="00BB665E" w:rsidRPr="0038442F">
        <w:rPr>
          <w:rFonts w:ascii="Verdana" w:hAnsi="Verdana" w:cs="Times New Roman"/>
          <w:sz w:val="20"/>
          <w:szCs w:val="20"/>
          <w:lang w:val="pt-BR"/>
        </w:rPr>
        <w:t>acesso</w:t>
      </w:r>
      <w:r w:rsidR="00407242"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 xml:space="preserve">à </w:t>
      </w:r>
      <w:r w:rsidR="006D3B60" w:rsidRPr="0038442F">
        <w:rPr>
          <w:rFonts w:ascii="Verdana" w:hAnsi="Verdana" w:cs="Times New Roman"/>
          <w:sz w:val="20"/>
          <w:szCs w:val="20"/>
          <w:lang w:val="pt-BR"/>
        </w:rPr>
        <w:t>justiça</w:t>
      </w:r>
      <w:r w:rsidR="00827814"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razão por que</w:t>
      </w:r>
      <w:r w:rsidR="007B67EE" w:rsidRPr="0038442F">
        <w:rPr>
          <w:rFonts w:ascii="Verdana" w:hAnsi="Verdana" w:cs="Times New Roman"/>
          <w:sz w:val="20"/>
          <w:szCs w:val="20"/>
          <w:lang w:val="pt-BR"/>
        </w:rPr>
        <w:t>,</w:t>
      </w:r>
      <w:r w:rsidR="00827814" w:rsidRPr="0038442F">
        <w:rPr>
          <w:rFonts w:ascii="Verdana" w:hAnsi="Verdana" w:cs="Times New Roman"/>
          <w:sz w:val="20"/>
          <w:szCs w:val="20"/>
          <w:lang w:val="pt-BR"/>
        </w:rPr>
        <w:t xml:space="preserve"> </w:t>
      </w:r>
      <w:r w:rsidR="00AC11E4" w:rsidRPr="0038442F">
        <w:rPr>
          <w:rFonts w:ascii="Verdana" w:hAnsi="Verdana" w:cs="Times New Roman"/>
          <w:sz w:val="20"/>
          <w:szCs w:val="20"/>
          <w:lang w:val="pt-BR"/>
        </w:rPr>
        <w:t xml:space="preserve">quanto à </w:t>
      </w:r>
      <w:r w:rsidR="00984A83" w:rsidRPr="0038442F">
        <w:rPr>
          <w:rFonts w:ascii="Verdana" w:hAnsi="Verdana" w:cs="Times New Roman"/>
          <w:sz w:val="20"/>
          <w:szCs w:val="20"/>
          <w:lang w:val="pt-BR"/>
        </w:rPr>
        <w:t xml:space="preserve">violação </w:t>
      </w:r>
      <w:r w:rsidR="00827814" w:rsidRPr="0038442F">
        <w:rPr>
          <w:rFonts w:ascii="Verdana" w:hAnsi="Verdana" w:cs="Times New Roman"/>
          <w:sz w:val="20"/>
          <w:szCs w:val="20"/>
          <w:lang w:val="pt-BR"/>
        </w:rPr>
        <w:t>do</w:t>
      </w:r>
      <w:r w:rsidR="00AC11E4" w:rsidRPr="0038442F">
        <w:rPr>
          <w:rFonts w:ascii="Verdana" w:hAnsi="Verdana" w:cs="Times New Roman"/>
          <w:sz w:val="20"/>
          <w:szCs w:val="20"/>
          <w:lang w:val="pt-BR"/>
        </w:rPr>
        <w:t>s</w:t>
      </w:r>
      <w:r w:rsidR="00827814" w:rsidRPr="0038442F">
        <w:rPr>
          <w:rFonts w:ascii="Verdana" w:hAnsi="Verdana" w:cs="Times New Roman"/>
          <w:sz w:val="20"/>
          <w:szCs w:val="20"/>
          <w:lang w:val="pt-BR"/>
        </w:rPr>
        <w:t xml:space="preserve"> </w:t>
      </w:r>
      <w:r w:rsidR="00BC6FC3" w:rsidRPr="0038442F">
        <w:rPr>
          <w:rFonts w:ascii="Verdana" w:hAnsi="Verdana" w:cs="Times New Roman"/>
          <w:sz w:val="20"/>
          <w:szCs w:val="20"/>
          <w:lang w:val="pt-BR"/>
        </w:rPr>
        <w:t>artigos</w:t>
      </w:r>
      <w:r w:rsidR="00407242" w:rsidRPr="0038442F">
        <w:rPr>
          <w:rFonts w:ascii="Verdana" w:hAnsi="Verdana" w:cs="Times New Roman"/>
          <w:sz w:val="20"/>
          <w:szCs w:val="20"/>
          <w:lang w:val="pt-BR"/>
        </w:rPr>
        <w:t xml:space="preserve"> </w:t>
      </w:r>
      <w:r w:rsidR="00827814" w:rsidRPr="0038442F">
        <w:rPr>
          <w:rFonts w:ascii="Verdana" w:hAnsi="Verdana" w:cs="Times New Roman"/>
          <w:sz w:val="20"/>
          <w:szCs w:val="20"/>
          <w:lang w:val="pt-BR"/>
        </w:rPr>
        <w:t xml:space="preserve">1.1 </w:t>
      </w:r>
      <w:r w:rsidR="00AC11E4" w:rsidRPr="0038442F">
        <w:rPr>
          <w:rFonts w:ascii="Verdana" w:hAnsi="Verdana" w:cs="Times New Roman"/>
          <w:sz w:val="20"/>
          <w:szCs w:val="20"/>
          <w:lang w:val="pt-BR"/>
        </w:rPr>
        <w:t>e</w:t>
      </w:r>
      <w:r w:rsidR="00827814" w:rsidRPr="0038442F">
        <w:rPr>
          <w:rFonts w:ascii="Verdana" w:hAnsi="Verdana" w:cs="Times New Roman"/>
          <w:sz w:val="20"/>
          <w:szCs w:val="20"/>
          <w:lang w:val="pt-BR"/>
        </w:rPr>
        <w:t xml:space="preserve"> 24</w:t>
      </w:r>
      <w:r w:rsidR="007B67EE" w:rsidRPr="0038442F">
        <w:rPr>
          <w:rFonts w:ascii="Verdana" w:hAnsi="Verdana" w:cs="Times New Roman"/>
          <w:sz w:val="20"/>
          <w:szCs w:val="20"/>
          <w:lang w:val="pt-BR"/>
        </w:rPr>
        <w:t>,</w:t>
      </w:r>
      <w:r w:rsidR="00827814" w:rsidRPr="0038442F">
        <w:rPr>
          <w:rFonts w:ascii="Verdana" w:hAnsi="Verdana" w:cs="Times New Roman"/>
          <w:sz w:val="20"/>
          <w:szCs w:val="20"/>
          <w:lang w:val="pt-BR"/>
        </w:rPr>
        <w:t xml:space="preserve"> n</w:t>
      </w:r>
      <w:r w:rsidR="00AC11E4" w:rsidRPr="0038442F">
        <w:rPr>
          <w:rFonts w:ascii="Verdana" w:hAnsi="Verdana" w:cs="Times New Roman"/>
          <w:sz w:val="20"/>
          <w:szCs w:val="20"/>
          <w:lang w:val="pt-BR"/>
        </w:rPr>
        <w:t>ã</w:t>
      </w:r>
      <w:r w:rsidR="00827814" w:rsidRPr="0038442F">
        <w:rPr>
          <w:rFonts w:ascii="Verdana" w:hAnsi="Verdana" w:cs="Times New Roman"/>
          <w:sz w:val="20"/>
          <w:szCs w:val="20"/>
          <w:lang w:val="pt-BR"/>
        </w:rPr>
        <w:t xml:space="preserve">o era </w:t>
      </w:r>
      <w:r w:rsidR="002226C1" w:rsidRPr="0038442F">
        <w:rPr>
          <w:rFonts w:ascii="Verdana" w:hAnsi="Verdana" w:cs="Times New Roman"/>
          <w:sz w:val="20"/>
          <w:szCs w:val="20"/>
          <w:lang w:val="pt-BR"/>
        </w:rPr>
        <w:t>necessário</w:t>
      </w:r>
      <w:r w:rsidR="00407242" w:rsidRPr="0038442F">
        <w:rPr>
          <w:rFonts w:ascii="Verdana" w:hAnsi="Verdana" w:cs="Times New Roman"/>
          <w:sz w:val="20"/>
          <w:szCs w:val="20"/>
          <w:lang w:val="pt-BR"/>
        </w:rPr>
        <w:t xml:space="preserve"> </w:t>
      </w:r>
      <w:r w:rsidR="00017D62" w:rsidRPr="0038442F">
        <w:rPr>
          <w:rFonts w:ascii="Verdana" w:hAnsi="Verdana" w:cs="Times New Roman"/>
          <w:sz w:val="20"/>
          <w:szCs w:val="20"/>
          <w:lang w:val="pt-BR"/>
        </w:rPr>
        <w:t>estabelecer</w:t>
      </w:r>
      <w:r w:rsidR="00407242"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uma</w:t>
      </w:r>
      <w:r w:rsidR="00407242" w:rsidRPr="0038442F">
        <w:rPr>
          <w:rFonts w:ascii="Verdana" w:hAnsi="Verdana" w:cs="Times New Roman"/>
          <w:sz w:val="20"/>
          <w:szCs w:val="20"/>
          <w:lang w:val="pt-BR"/>
        </w:rPr>
        <w:t xml:space="preserve"> </w:t>
      </w:r>
      <w:r w:rsidR="00827814" w:rsidRPr="0038442F">
        <w:rPr>
          <w:rFonts w:ascii="Verdana" w:hAnsi="Verdana" w:cs="Times New Roman"/>
          <w:sz w:val="20"/>
          <w:szCs w:val="20"/>
          <w:lang w:val="pt-BR"/>
        </w:rPr>
        <w:t>diferen</w:t>
      </w:r>
      <w:r w:rsidR="00AC11E4" w:rsidRPr="0038442F">
        <w:rPr>
          <w:rFonts w:ascii="Verdana" w:hAnsi="Verdana" w:cs="Times New Roman"/>
          <w:sz w:val="20"/>
          <w:szCs w:val="20"/>
          <w:lang w:val="pt-BR"/>
        </w:rPr>
        <w:t>ç</w:t>
      </w:r>
      <w:r w:rsidR="00827814" w:rsidRPr="0038442F">
        <w:rPr>
          <w:rFonts w:ascii="Verdana" w:hAnsi="Verdana" w:cs="Times New Roman"/>
          <w:sz w:val="20"/>
          <w:szCs w:val="20"/>
          <w:lang w:val="pt-BR"/>
        </w:rPr>
        <w:t>a</w:t>
      </w:r>
      <w:r w:rsidR="00AC11E4" w:rsidRPr="0038442F">
        <w:rPr>
          <w:rFonts w:ascii="Verdana" w:hAnsi="Verdana" w:cs="Times New Roman"/>
          <w:sz w:val="20"/>
          <w:szCs w:val="20"/>
          <w:lang w:val="pt-BR"/>
        </w:rPr>
        <w:t>,</w:t>
      </w:r>
      <w:r w:rsidR="00981CF8" w:rsidRPr="0038442F">
        <w:rPr>
          <w:rStyle w:val="Refdenotaalpie"/>
          <w:rFonts w:ascii="Verdana" w:hAnsi="Verdana"/>
          <w:sz w:val="20"/>
          <w:szCs w:val="20"/>
          <w:lang w:val="pt-BR"/>
        </w:rPr>
        <w:footnoteReference w:id="156"/>
      </w:r>
      <w:r w:rsidR="00827814" w:rsidRPr="0038442F">
        <w:rPr>
          <w:rFonts w:ascii="Verdana" w:hAnsi="Verdana" w:cs="Times New Roman"/>
          <w:sz w:val="20"/>
          <w:szCs w:val="20"/>
          <w:lang w:val="pt-BR"/>
        </w:rPr>
        <w:t xml:space="preserve"> </w:t>
      </w:r>
      <w:r w:rsidR="00751189" w:rsidRPr="0038442F">
        <w:rPr>
          <w:rFonts w:ascii="Verdana" w:hAnsi="Verdana" w:cs="Times New Roman"/>
          <w:sz w:val="20"/>
          <w:szCs w:val="20"/>
          <w:lang w:val="pt-BR"/>
        </w:rPr>
        <w:t xml:space="preserve">no </w:t>
      </w:r>
      <w:r w:rsidR="00827814" w:rsidRPr="0038442F">
        <w:rPr>
          <w:rFonts w:ascii="Verdana" w:hAnsi="Verdana" w:cs="Times New Roman"/>
          <w:sz w:val="20"/>
          <w:szCs w:val="20"/>
          <w:lang w:val="pt-BR"/>
        </w:rPr>
        <w:t xml:space="preserve">sentido </w:t>
      </w:r>
      <w:r w:rsidR="00BC6FC3" w:rsidRPr="0038442F">
        <w:rPr>
          <w:rFonts w:ascii="Verdana" w:hAnsi="Verdana" w:cs="Times New Roman"/>
          <w:sz w:val="20"/>
          <w:szCs w:val="20"/>
          <w:lang w:val="pt-BR"/>
        </w:rPr>
        <w:t xml:space="preserve">do </w:t>
      </w:r>
      <w:r w:rsidR="00117E8D" w:rsidRPr="0038442F">
        <w:rPr>
          <w:rFonts w:ascii="Verdana" w:hAnsi="Verdana" w:cs="Times New Roman"/>
          <w:sz w:val="20"/>
          <w:szCs w:val="20"/>
          <w:lang w:val="pt-BR"/>
        </w:rPr>
        <w:t>estabelecido</w:t>
      </w:r>
      <w:r w:rsidR="00827814" w:rsidRPr="0038442F">
        <w:rPr>
          <w:rFonts w:ascii="Verdana" w:hAnsi="Verdana" w:cs="Times New Roman"/>
          <w:sz w:val="20"/>
          <w:szCs w:val="20"/>
          <w:lang w:val="pt-BR"/>
        </w:rPr>
        <w:t xml:space="preserve"> a partir d</w:t>
      </w:r>
      <w:r w:rsidR="00AC11E4" w:rsidRPr="0038442F">
        <w:rPr>
          <w:rFonts w:ascii="Verdana" w:hAnsi="Verdana" w:cs="Times New Roman"/>
          <w:sz w:val="20"/>
          <w:szCs w:val="20"/>
          <w:lang w:val="pt-BR"/>
        </w:rPr>
        <w:t xml:space="preserve">o </w:t>
      </w:r>
      <w:r w:rsidR="00AC11E4" w:rsidRPr="0038442F">
        <w:rPr>
          <w:rFonts w:ascii="Verdana" w:hAnsi="Verdana" w:cs="Times New Roman"/>
          <w:i/>
          <w:sz w:val="20"/>
          <w:szCs w:val="20"/>
          <w:lang w:val="pt-BR"/>
        </w:rPr>
        <w:t xml:space="preserve">Caso </w:t>
      </w:r>
      <w:r w:rsidR="00827814" w:rsidRPr="0038442F">
        <w:rPr>
          <w:rFonts w:ascii="Verdana" w:hAnsi="Verdana" w:cs="Times New Roman"/>
          <w:i/>
          <w:iCs/>
          <w:sz w:val="20"/>
          <w:szCs w:val="20"/>
          <w:lang w:val="pt-BR"/>
        </w:rPr>
        <w:t xml:space="preserve">Apitz Barbera </w:t>
      </w:r>
      <w:r w:rsidR="00AC11E4" w:rsidRPr="0038442F">
        <w:rPr>
          <w:rFonts w:ascii="Verdana" w:hAnsi="Verdana" w:cs="Times New Roman"/>
          <w:i/>
          <w:iCs/>
          <w:sz w:val="20"/>
          <w:szCs w:val="20"/>
          <w:lang w:val="pt-BR"/>
        </w:rPr>
        <w:t>e</w:t>
      </w:r>
      <w:r w:rsidR="00827814" w:rsidRPr="0038442F">
        <w:rPr>
          <w:rFonts w:ascii="Verdana" w:hAnsi="Verdana" w:cs="Times New Roman"/>
          <w:i/>
          <w:iCs/>
          <w:sz w:val="20"/>
          <w:szCs w:val="20"/>
          <w:lang w:val="pt-BR"/>
        </w:rPr>
        <w:t xml:space="preserve"> </w:t>
      </w:r>
      <w:r w:rsidR="00BC6FC3" w:rsidRPr="0038442F">
        <w:rPr>
          <w:rFonts w:ascii="Verdana" w:hAnsi="Verdana" w:cs="Times New Roman"/>
          <w:i/>
          <w:iCs/>
          <w:sz w:val="20"/>
          <w:szCs w:val="20"/>
          <w:lang w:val="pt-BR"/>
        </w:rPr>
        <w:t>outros</w:t>
      </w:r>
      <w:r w:rsidR="00981CF8" w:rsidRPr="0038442F">
        <w:rPr>
          <w:rFonts w:ascii="Verdana" w:hAnsi="Verdana" w:cs="Times New Roman"/>
          <w:sz w:val="20"/>
          <w:szCs w:val="20"/>
          <w:lang w:val="pt-BR"/>
        </w:rPr>
        <w:t>.</w:t>
      </w:r>
      <w:r w:rsidR="00827814" w:rsidRPr="0038442F">
        <w:rPr>
          <w:rFonts w:ascii="Verdana" w:hAnsi="Verdana" w:cs="Times New Roman"/>
          <w:sz w:val="20"/>
          <w:szCs w:val="20"/>
          <w:lang w:val="pt-BR"/>
        </w:rPr>
        <w:t xml:space="preserve"> </w:t>
      </w:r>
    </w:p>
    <w:p w14:paraId="44745CA7" w14:textId="77777777" w:rsidR="00F83D8F" w:rsidRPr="0038442F" w:rsidRDefault="00F83D8F" w:rsidP="00A857CB">
      <w:pPr>
        <w:pStyle w:val="Prrafodelista"/>
        <w:tabs>
          <w:tab w:val="left" w:pos="709"/>
        </w:tabs>
        <w:spacing w:after="0" w:line="240" w:lineRule="auto"/>
        <w:ind w:left="0"/>
        <w:jc w:val="both"/>
        <w:rPr>
          <w:rFonts w:ascii="Verdana" w:hAnsi="Verdana" w:cs="Times New Roman"/>
          <w:sz w:val="20"/>
          <w:szCs w:val="20"/>
          <w:lang w:val="pt-BR"/>
        </w:rPr>
      </w:pPr>
    </w:p>
    <w:p w14:paraId="3F13476A" w14:textId="45CFF967" w:rsidR="00A8241E" w:rsidRPr="0038442F" w:rsidRDefault="00B33067" w:rsidP="00B33067">
      <w:pPr>
        <w:pStyle w:val="Prrafodelista"/>
        <w:tabs>
          <w:tab w:val="left" w:pos="709"/>
        </w:tabs>
        <w:spacing w:after="0" w:line="240" w:lineRule="auto"/>
        <w:ind w:left="0"/>
        <w:jc w:val="both"/>
        <w:rPr>
          <w:rFonts w:ascii="Verdana" w:hAnsi="Verdana" w:cs="Times New Roman"/>
          <w:sz w:val="20"/>
          <w:szCs w:val="20"/>
          <w:lang w:val="pt-BR"/>
        </w:rPr>
      </w:pPr>
      <w:r w:rsidRPr="0038442F">
        <w:rPr>
          <w:rFonts w:ascii="Verdana" w:hAnsi="Verdana" w:cs="Times New Roman"/>
          <w:sz w:val="20"/>
          <w:szCs w:val="20"/>
          <w:lang w:val="pt-BR"/>
        </w:rPr>
        <w:t>96.</w:t>
      </w:r>
      <w:r w:rsidRPr="0038442F">
        <w:rPr>
          <w:rFonts w:ascii="Verdana" w:hAnsi="Verdana" w:cs="Times New Roman"/>
          <w:sz w:val="20"/>
          <w:szCs w:val="20"/>
          <w:lang w:val="pt-BR"/>
        </w:rPr>
        <w:tab/>
      </w:r>
      <w:r w:rsidR="000F47F1" w:rsidRPr="0038442F">
        <w:rPr>
          <w:rFonts w:ascii="Verdana" w:hAnsi="Verdana" w:cs="Times New Roman"/>
          <w:sz w:val="20"/>
          <w:szCs w:val="20"/>
          <w:lang w:val="pt-BR"/>
        </w:rPr>
        <w:t xml:space="preserve">Posteriormente, </w:t>
      </w:r>
      <w:r w:rsidR="00751189" w:rsidRPr="0038442F">
        <w:rPr>
          <w:rFonts w:ascii="Verdana" w:hAnsi="Verdana" w:cs="Times New Roman"/>
          <w:sz w:val="20"/>
          <w:szCs w:val="20"/>
          <w:lang w:val="pt-BR"/>
        </w:rPr>
        <w:t xml:space="preserve">no </w:t>
      </w:r>
      <w:r w:rsidR="000F47F1" w:rsidRPr="0038442F">
        <w:rPr>
          <w:rFonts w:ascii="Verdana" w:hAnsi="Verdana" w:cs="Times New Roman"/>
          <w:i/>
          <w:sz w:val="20"/>
          <w:szCs w:val="20"/>
          <w:lang w:val="pt-BR"/>
        </w:rPr>
        <w:t xml:space="preserve">Caso </w:t>
      </w:r>
      <w:r w:rsidR="00827814" w:rsidRPr="0038442F">
        <w:rPr>
          <w:rFonts w:ascii="Verdana" w:hAnsi="Verdana" w:cs="Times New Roman"/>
          <w:i/>
          <w:iCs/>
          <w:sz w:val="20"/>
          <w:szCs w:val="20"/>
          <w:lang w:val="pt-BR"/>
        </w:rPr>
        <w:t xml:space="preserve">V.R.P., V.C.P. </w:t>
      </w:r>
      <w:r w:rsidR="000F47F1" w:rsidRPr="0038442F">
        <w:rPr>
          <w:rFonts w:ascii="Verdana" w:hAnsi="Verdana" w:cs="Times New Roman"/>
          <w:i/>
          <w:iCs/>
          <w:sz w:val="20"/>
          <w:szCs w:val="20"/>
          <w:lang w:val="pt-BR"/>
        </w:rPr>
        <w:t>e</w:t>
      </w:r>
      <w:r w:rsidR="00827814" w:rsidRPr="0038442F">
        <w:rPr>
          <w:rFonts w:ascii="Verdana" w:hAnsi="Verdana" w:cs="Times New Roman"/>
          <w:i/>
          <w:iCs/>
          <w:sz w:val="20"/>
          <w:szCs w:val="20"/>
          <w:lang w:val="pt-BR"/>
        </w:rPr>
        <w:t xml:space="preserve"> </w:t>
      </w:r>
      <w:r w:rsidR="00BC6FC3" w:rsidRPr="0038442F">
        <w:rPr>
          <w:rFonts w:ascii="Verdana" w:hAnsi="Verdana" w:cs="Times New Roman"/>
          <w:i/>
          <w:iCs/>
          <w:sz w:val="20"/>
          <w:szCs w:val="20"/>
          <w:lang w:val="pt-BR"/>
        </w:rPr>
        <w:t>outros</w:t>
      </w:r>
      <w:r w:rsidR="00407242" w:rsidRPr="0038442F">
        <w:rPr>
          <w:rFonts w:ascii="Verdana" w:hAnsi="Verdana" w:cs="Times New Roman"/>
          <w:i/>
          <w:iCs/>
          <w:sz w:val="20"/>
          <w:szCs w:val="20"/>
          <w:lang w:val="pt-BR"/>
        </w:rPr>
        <w:t xml:space="preserve"> </w:t>
      </w:r>
      <w:r w:rsidR="00827814" w:rsidRPr="0038442F">
        <w:rPr>
          <w:rFonts w:ascii="Verdana" w:hAnsi="Verdana" w:cs="Times New Roman"/>
          <w:i/>
          <w:iCs/>
          <w:sz w:val="20"/>
          <w:szCs w:val="20"/>
          <w:lang w:val="pt-BR"/>
        </w:rPr>
        <w:t>Vs. Nicar</w:t>
      </w:r>
      <w:r w:rsidR="000F47F1" w:rsidRPr="0038442F">
        <w:rPr>
          <w:rFonts w:ascii="Verdana" w:hAnsi="Verdana" w:cs="Times New Roman"/>
          <w:i/>
          <w:iCs/>
          <w:sz w:val="20"/>
          <w:szCs w:val="20"/>
          <w:lang w:val="pt-BR"/>
        </w:rPr>
        <w:t>á</w:t>
      </w:r>
      <w:r w:rsidR="00827814" w:rsidRPr="0038442F">
        <w:rPr>
          <w:rFonts w:ascii="Verdana" w:hAnsi="Verdana" w:cs="Times New Roman"/>
          <w:i/>
          <w:iCs/>
          <w:sz w:val="20"/>
          <w:szCs w:val="20"/>
          <w:lang w:val="pt-BR"/>
        </w:rPr>
        <w:t>gua</w:t>
      </w:r>
      <w:r w:rsidR="00827814" w:rsidRPr="0038442F">
        <w:rPr>
          <w:rFonts w:ascii="Verdana" w:hAnsi="Verdana" w:cs="Times New Roman"/>
          <w:sz w:val="20"/>
          <w:szCs w:val="20"/>
          <w:lang w:val="pt-BR"/>
        </w:rPr>
        <w:t xml:space="preserve">, </w:t>
      </w:r>
      <w:r w:rsidR="008806F8" w:rsidRPr="0038442F">
        <w:rPr>
          <w:rFonts w:ascii="Verdana" w:hAnsi="Verdana" w:cs="Times New Roman"/>
          <w:sz w:val="20"/>
          <w:szCs w:val="20"/>
          <w:lang w:val="pt-BR"/>
        </w:rPr>
        <w:t xml:space="preserve">a Corte </w:t>
      </w:r>
      <w:r w:rsidRPr="0038442F">
        <w:rPr>
          <w:rFonts w:ascii="Verdana" w:hAnsi="Verdana" w:cs="Times New Roman"/>
          <w:sz w:val="20"/>
          <w:szCs w:val="20"/>
          <w:lang w:val="pt-BR"/>
        </w:rPr>
        <w:t xml:space="preserve">IDH </w:t>
      </w:r>
      <w:r w:rsidR="000F47F1" w:rsidRPr="0038442F">
        <w:rPr>
          <w:rFonts w:ascii="Verdana" w:hAnsi="Verdana" w:cs="Times New Roman"/>
          <w:sz w:val="20"/>
          <w:szCs w:val="20"/>
          <w:lang w:val="pt-BR"/>
        </w:rPr>
        <w:t xml:space="preserve">ressaltou que, </w:t>
      </w:r>
      <w:r w:rsidR="00827814" w:rsidRPr="0038442F">
        <w:rPr>
          <w:rFonts w:ascii="Verdana" w:hAnsi="Verdana" w:cs="Times New Roman"/>
          <w:sz w:val="20"/>
          <w:szCs w:val="20"/>
          <w:lang w:val="pt-BR"/>
        </w:rPr>
        <w:t xml:space="preserve">conforme </w:t>
      </w:r>
      <w:r w:rsidR="000F47F1" w:rsidRPr="0038442F">
        <w:rPr>
          <w:rFonts w:ascii="Verdana" w:hAnsi="Verdana" w:cs="Times New Roman"/>
          <w:sz w:val="20"/>
          <w:szCs w:val="20"/>
          <w:lang w:val="pt-BR"/>
        </w:rPr>
        <w:t xml:space="preserve">o </w:t>
      </w:r>
      <w:r w:rsidR="00CA30C5" w:rsidRPr="0038442F">
        <w:rPr>
          <w:rFonts w:ascii="Verdana" w:hAnsi="Verdana" w:cs="Times New Roman"/>
          <w:sz w:val="20"/>
          <w:szCs w:val="20"/>
          <w:lang w:val="pt-BR"/>
        </w:rPr>
        <w:t>artigo</w:t>
      </w:r>
      <w:r w:rsidR="00407242" w:rsidRPr="0038442F">
        <w:rPr>
          <w:rFonts w:ascii="Verdana" w:hAnsi="Verdana" w:cs="Times New Roman"/>
          <w:sz w:val="20"/>
          <w:szCs w:val="20"/>
          <w:lang w:val="pt-BR"/>
        </w:rPr>
        <w:t xml:space="preserve"> </w:t>
      </w:r>
      <w:r w:rsidR="00827814" w:rsidRPr="0038442F">
        <w:rPr>
          <w:rFonts w:ascii="Verdana" w:hAnsi="Verdana" w:cs="Times New Roman"/>
          <w:sz w:val="20"/>
          <w:szCs w:val="20"/>
          <w:lang w:val="pt-BR"/>
        </w:rPr>
        <w:t>24</w:t>
      </w:r>
      <w:r w:rsidRPr="0038442F">
        <w:rPr>
          <w:rFonts w:ascii="Verdana" w:hAnsi="Verdana" w:cs="Times New Roman"/>
          <w:sz w:val="20"/>
          <w:szCs w:val="20"/>
          <w:lang w:val="pt-BR"/>
        </w:rPr>
        <w:t xml:space="preserve"> </w:t>
      </w:r>
      <w:r w:rsidR="00C92762" w:rsidRPr="0038442F">
        <w:rPr>
          <w:rFonts w:ascii="Verdana" w:hAnsi="Verdana" w:cs="Times New Roman"/>
          <w:sz w:val="20"/>
          <w:szCs w:val="20"/>
          <w:lang w:val="pt-BR"/>
        </w:rPr>
        <w:t xml:space="preserve">da </w:t>
      </w:r>
      <w:r w:rsidR="005A3DEF" w:rsidRPr="0038442F">
        <w:rPr>
          <w:rFonts w:ascii="Verdana" w:hAnsi="Verdana" w:cs="Times New Roman"/>
          <w:sz w:val="20"/>
          <w:szCs w:val="20"/>
          <w:lang w:val="pt-BR"/>
        </w:rPr>
        <w:t>Conven</w:t>
      </w:r>
      <w:r w:rsidR="000A1AA8" w:rsidRPr="0038442F">
        <w:rPr>
          <w:rFonts w:ascii="Verdana" w:hAnsi="Verdana" w:cs="Times New Roman"/>
          <w:sz w:val="20"/>
          <w:szCs w:val="20"/>
          <w:lang w:val="pt-BR"/>
        </w:rPr>
        <w:t>ção</w:t>
      </w:r>
      <w:r w:rsidR="00827814" w:rsidRPr="0038442F">
        <w:rPr>
          <w:rFonts w:ascii="Verdana" w:hAnsi="Verdana" w:cs="Times New Roman"/>
          <w:sz w:val="20"/>
          <w:szCs w:val="20"/>
          <w:lang w:val="pt-BR"/>
        </w:rPr>
        <w:t xml:space="preserve">, </w:t>
      </w:r>
      <w:r w:rsidR="000F47F1" w:rsidRPr="0038442F">
        <w:rPr>
          <w:rFonts w:ascii="Verdana" w:hAnsi="Verdana" w:cs="Times New Roman"/>
          <w:sz w:val="20"/>
          <w:szCs w:val="20"/>
          <w:lang w:val="pt-BR"/>
        </w:rPr>
        <w:t>cabe a</w:t>
      </w:r>
      <w:r w:rsidR="005135E5" w:rsidRPr="0038442F">
        <w:rPr>
          <w:rFonts w:ascii="Verdana" w:hAnsi="Verdana"/>
          <w:sz w:val="20"/>
          <w:szCs w:val="20"/>
          <w:lang w:val="pt-BR"/>
        </w:rPr>
        <w:t xml:space="preserve">os Estados </w:t>
      </w:r>
      <w:r w:rsidR="00BF7A10" w:rsidRPr="0038442F">
        <w:rPr>
          <w:rFonts w:ascii="Verdana" w:hAnsi="Verdana"/>
          <w:sz w:val="20"/>
          <w:szCs w:val="20"/>
          <w:lang w:val="pt-BR"/>
        </w:rPr>
        <w:t xml:space="preserve">a </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00827814" w:rsidRPr="0038442F">
        <w:rPr>
          <w:rFonts w:ascii="Verdana" w:hAnsi="Verdana"/>
          <w:sz w:val="20"/>
          <w:szCs w:val="20"/>
          <w:lang w:val="pt-BR"/>
        </w:rPr>
        <w:t>de n</w:t>
      </w:r>
      <w:r w:rsidR="000F47F1" w:rsidRPr="0038442F">
        <w:rPr>
          <w:rFonts w:ascii="Verdana" w:hAnsi="Verdana"/>
          <w:sz w:val="20"/>
          <w:szCs w:val="20"/>
          <w:lang w:val="pt-BR"/>
        </w:rPr>
        <w:t>ã</w:t>
      </w:r>
      <w:r w:rsidR="00827814" w:rsidRPr="0038442F">
        <w:rPr>
          <w:rFonts w:ascii="Verdana" w:hAnsi="Verdana"/>
          <w:sz w:val="20"/>
          <w:szCs w:val="20"/>
          <w:lang w:val="pt-BR"/>
        </w:rPr>
        <w:t>o introdu</w:t>
      </w:r>
      <w:r w:rsidR="000F47F1" w:rsidRPr="0038442F">
        <w:rPr>
          <w:rFonts w:ascii="Verdana" w:hAnsi="Verdana"/>
          <w:sz w:val="20"/>
          <w:szCs w:val="20"/>
          <w:lang w:val="pt-BR"/>
        </w:rPr>
        <w:t>z</w:t>
      </w:r>
      <w:r w:rsidR="00827814" w:rsidRPr="0038442F">
        <w:rPr>
          <w:rFonts w:ascii="Verdana" w:hAnsi="Verdana"/>
          <w:sz w:val="20"/>
          <w:szCs w:val="20"/>
          <w:lang w:val="pt-BR"/>
        </w:rPr>
        <w:t>ir e</w:t>
      </w:r>
      <w:r w:rsidR="000F47F1" w:rsidRPr="0038442F">
        <w:rPr>
          <w:rFonts w:ascii="Verdana" w:hAnsi="Verdana"/>
          <w:sz w:val="20"/>
          <w:szCs w:val="20"/>
          <w:lang w:val="pt-BR"/>
        </w:rPr>
        <w:t xml:space="preserve">m seu </w:t>
      </w:r>
      <w:r w:rsidR="00827814" w:rsidRPr="0038442F">
        <w:rPr>
          <w:rFonts w:ascii="Verdana" w:hAnsi="Verdana"/>
          <w:sz w:val="20"/>
          <w:szCs w:val="20"/>
          <w:lang w:val="pt-BR"/>
        </w:rPr>
        <w:t xml:space="preserve">ordenamento </w:t>
      </w:r>
      <w:r w:rsidR="00781273" w:rsidRPr="0038442F">
        <w:rPr>
          <w:rFonts w:ascii="Verdana" w:hAnsi="Verdana"/>
          <w:sz w:val="20"/>
          <w:szCs w:val="20"/>
          <w:lang w:val="pt-BR"/>
        </w:rPr>
        <w:t>jurídico</w:t>
      </w:r>
      <w:r w:rsidR="00827814" w:rsidRPr="0038442F">
        <w:rPr>
          <w:rFonts w:ascii="Verdana" w:hAnsi="Verdana"/>
          <w:sz w:val="20"/>
          <w:szCs w:val="20"/>
          <w:lang w:val="pt-BR"/>
        </w:rPr>
        <w:t xml:space="preserve"> regula</w:t>
      </w:r>
      <w:r w:rsidR="000F47F1" w:rsidRPr="0038442F">
        <w:rPr>
          <w:rFonts w:ascii="Verdana" w:hAnsi="Verdana"/>
          <w:sz w:val="20"/>
          <w:szCs w:val="20"/>
          <w:lang w:val="pt-BR"/>
        </w:rPr>
        <w:t>menta</w:t>
      </w:r>
      <w:r w:rsidR="000A1AA8" w:rsidRPr="0038442F">
        <w:rPr>
          <w:rFonts w:ascii="Verdana" w:hAnsi="Verdana"/>
          <w:sz w:val="20"/>
          <w:szCs w:val="20"/>
          <w:lang w:val="pt-BR"/>
        </w:rPr>
        <w:t>ções</w:t>
      </w:r>
      <w:r w:rsidR="00827814" w:rsidRPr="0038442F">
        <w:rPr>
          <w:rFonts w:ascii="Verdana" w:hAnsi="Verdana"/>
          <w:sz w:val="20"/>
          <w:szCs w:val="20"/>
          <w:lang w:val="pt-BR"/>
        </w:rPr>
        <w:t xml:space="preserve"> discriminat</w:t>
      </w:r>
      <w:r w:rsidR="000F47F1" w:rsidRPr="0038442F">
        <w:rPr>
          <w:rFonts w:ascii="Verdana" w:hAnsi="Verdana"/>
          <w:sz w:val="20"/>
          <w:szCs w:val="20"/>
          <w:lang w:val="pt-BR"/>
        </w:rPr>
        <w:t>ó</w:t>
      </w:r>
      <w:r w:rsidR="00827814" w:rsidRPr="0038442F">
        <w:rPr>
          <w:rFonts w:ascii="Verdana" w:hAnsi="Verdana"/>
          <w:sz w:val="20"/>
          <w:szCs w:val="20"/>
          <w:lang w:val="pt-BR"/>
        </w:rPr>
        <w:t>rias,</w:t>
      </w:r>
      <w:r w:rsidR="00827814" w:rsidRPr="0038442F">
        <w:rPr>
          <w:rFonts w:ascii="Verdana" w:hAnsi="Verdana"/>
          <w:i/>
          <w:iCs/>
          <w:sz w:val="20"/>
          <w:szCs w:val="20"/>
          <w:lang w:val="pt-BR"/>
        </w:rPr>
        <w:t xml:space="preserve"> eliminar as regula</w:t>
      </w:r>
      <w:r w:rsidR="000F47F1" w:rsidRPr="0038442F">
        <w:rPr>
          <w:rFonts w:ascii="Verdana" w:hAnsi="Verdana"/>
          <w:i/>
          <w:iCs/>
          <w:sz w:val="20"/>
          <w:szCs w:val="20"/>
          <w:lang w:val="pt-BR"/>
        </w:rPr>
        <w:t>menta</w:t>
      </w:r>
      <w:r w:rsidR="000A1AA8" w:rsidRPr="0038442F">
        <w:rPr>
          <w:rFonts w:ascii="Verdana" w:hAnsi="Verdana"/>
          <w:i/>
          <w:iCs/>
          <w:sz w:val="20"/>
          <w:szCs w:val="20"/>
          <w:lang w:val="pt-BR"/>
        </w:rPr>
        <w:t>ções</w:t>
      </w:r>
      <w:r w:rsidR="00827814" w:rsidRPr="0038442F">
        <w:rPr>
          <w:rFonts w:ascii="Verdana" w:hAnsi="Verdana"/>
          <w:i/>
          <w:iCs/>
          <w:sz w:val="20"/>
          <w:szCs w:val="20"/>
          <w:lang w:val="pt-BR"/>
        </w:rPr>
        <w:t xml:space="preserve"> de </w:t>
      </w:r>
      <w:r w:rsidR="00984A83" w:rsidRPr="0038442F">
        <w:rPr>
          <w:rFonts w:ascii="Verdana" w:hAnsi="Verdana"/>
          <w:i/>
          <w:iCs/>
          <w:sz w:val="20"/>
          <w:szCs w:val="20"/>
          <w:lang w:val="pt-BR"/>
        </w:rPr>
        <w:t>caráter</w:t>
      </w:r>
      <w:r w:rsidR="00407242" w:rsidRPr="0038442F">
        <w:rPr>
          <w:rFonts w:ascii="Verdana" w:hAnsi="Verdana"/>
          <w:i/>
          <w:iCs/>
          <w:sz w:val="20"/>
          <w:szCs w:val="20"/>
          <w:lang w:val="pt-BR"/>
        </w:rPr>
        <w:t xml:space="preserve"> </w:t>
      </w:r>
      <w:r w:rsidR="005B55A8" w:rsidRPr="0038442F">
        <w:rPr>
          <w:rFonts w:ascii="Verdana" w:hAnsi="Verdana"/>
          <w:i/>
          <w:iCs/>
          <w:sz w:val="20"/>
          <w:szCs w:val="20"/>
          <w:lang w:val="pt-BR"/>
        </w:rPr>
        <w:t>discriminatório</w:t>
      </w:r>
      <w:r w:rsidR="00827814" w:rsidRPr="0038442F">
        <w:rPr>
          <w:rFonts w:ascii="Verdana" w:hAnsi="Verdana"/>
          <w:i/>
          <w:iCs/>
          <w:sz w:val="20"/>
          <w:szCs w:val="20"/>
          <w:lang w:val="pt-BR"/>
        </w:rPr>
        <w:t>,</w:t>
      </w:r>
      <w:r w:rsidR="00827814" w:rsidRPr="0038442F">
        <w:rPr>
          <w:rFonts w:ascii="Verdana" w:hAnsi="Verdana"/>
          <w:sz w:val="20"/>
          <w:szCs w:val="20"/>
          <w:lang w:val="pt-BR"/>
        </w:rPr>
        <w:t xml:space="preserve"> </w:t>
      </w:r>
      <w:r w:rsidR="00827814" w:rsidRPr="0038442F">
        <w:rPr>
          <w:rFonts w:ascii="Verdana" w:hAnsi="Verdana"/>
          <w:i/>
          <w:iCs/>
          <w:sz w:val="20"/>
          <w:szCs w:val="20"/>
          <w:lang w:val="pt-BR"/>
        </w:rPr>
        <w:t>combat</w:t>
      </w:r>
      <w:r w:rsidR="000F47F1" w:rsidRPr="0038442F">
        <w:rPr>
          <w:rFonts w:ascii="Verdana" w:hAnsi="Verdana"/>
          <w:i/>
          <w:iCs/>
          <w:sz w:val="20"/>
          <w:szCs w:val="20"/>
          <w:lang w:val="pt-BR"/>
        </w:rPr>
        <w:t>e</w:t>
      </w:r>
      <w:r w:rsidR="00827814" w:rsidRPr="0038442F">
        <w:rPr>
          <w:rFonts w:ascii="Verdana" w:hAnsi="Verdana"/>
          <w:i/>
          <w:iCs/>
          <w:sz w:val="20"/>
          <w:szCs w:val="20"/>
          <w:lang w:val="pt-BR"/>
        </w:rPr>
        <w:t xml:space="preserve">r as </w:t>
      </w:r>
      <w:r w:rsidR="000450DD" w:rsidRPr="0038442F">
        <w:rPr>
          <w:rFonts w:ascii="Verdana" w:hAnsi="Verdana"/>
          <w:i/>
          <w:iCs/>
          <w:sz w:val="20"/>
          <w:szCs w:val="20"/>
          <w:lang w:val="pt-BR"/>
        </w:rPr>
        <w:t>práticas</w:t>
      </w:r>
      <w:r w:rsidR="00407242" w:rsidRPr="0038442F">
        <w:rPr>
          <w:rFonts w:ascii="Verdana" w:hAnsi="Verdana"/>
          <w:i/>
          <w:iCs/>
          <w:sz w:val="20"/>
          <w:szCs w:val="20"/>
          <w:lang w:val="pt-BR"/>
        </w:rPr>
        <w:t xml:space="preserve"> </w:t>
      </w:r>
      <w:r w:rsidR="00827814" w:rsidRPr="0038442F">
        <w:rPr>
          <w:rFonts w:ascii="Verdana" w:hAnsi="Verdana"/>
          <w:i/>
          <w:iCs/>
          <w:sz w:val="20"/>
          <w:szCs w:val="20"/>
          <w:lang w:val="pt-BR"/>
        </w:rPr>
        <w:t>de</w:t>
      </w:r>
      <w:r w:rsidR="000F47F1" w:rsidRPr="0038442F">
        <w:rPr>
          <w:rFonts w:ascii="Verdana" w:hAnsi="Verdana"/>
          <w:i/>
          <w:iCs/>
          <w:sz w:val="20"/>
          <w:szCs w:val="20"/>
          <w:lang w:val="pt-BR"/>
        </w:rPr>
        <w:t xml:space="preserve">ssa natureza e </w:t>
      </w:r>
      <w:r w:rsidR="00017D62" w:rsidRPr="0038442F">
        <w:rPr>
          <w:rFonts w:ascii="Verdana" w:hAnsi="Verdana"/>
          <w:i/>
          <w:iCs/>
          <w:sz w:val="20"/>
          <w:szCs w:val="20"/>
          <w:lang w:val="pt-BR"/>
        </w:rPr>
        <w:t>estabelecer</w:t>
      </w:r>
      <w:r w:rsidR="00407242" w:rsidRPr="0038442F">
        <w:rPr>
          <w:rFonts w:ascii="Verdana" w:hAnsi="Verdana"/>
          <w:i/>
          <w:iCs/>
          <w:sz w:val="20"/>
          <w:szCs w:val="20"/>
          <w:lang w:val="pt-BR"/>
        </w:rPr>
        <w:t xml:space="preserve"> </w:t>
      </w:r>
      <w:r w:rsidR="00827814" w:rsidRPr="0038442F">
        <w:rPr>
          <w:rFonts w:ascii="Verdana" w:hAnsi="Verdana"/>
          <w:i/>
          <w:iCs/>
          <w:sz w:val="20"/>
          <w:szCs w:val="20"/>
          <w:lang w:val="pt-BR"/>
        </w:rPr>
        <w:t xml:space="preserve">normas </w:t>
      </w:r>
      <w:r w:rsidR="000F47F1" w:rsidRPr="0038442F">
        <w:rPr>
          <w:rFonts w:ascii="Verdana" w:hAnsi="Verdana"/>
          <w:i/>
          <w:iCs/>
          <w:sz w:val="20"/>
          <w:szCs w:val="20"/>
          <w:lang w:val="pt-BR"/>
        </w:rPr>
        <w:t>e</w:t>
      </w:r>
      <w:r w:rsidR="00827814" w:rsidRPr="0038442F">
        <w:rPr>
          <w:rFonts w:ascii="Verdana" w:hAnsi="Verdana"/>
          <w:i/>
          <w:iCs/>
          <w:sz w:val="20"/>
          <w:szCs w:val="20"/>
          <w:lang w:val="pt-BR"/>
        </w:rPr>
        <w:t xml:space="preserve"> </w:t>
      </w:r>
      <w:r w:rsidR="006A12FD" w:rsidRPr="0038442F">
        <w:rPr>
          <w:rFonts w:ascii="Verdana" w:hAnsi="Verdana"/>
          <w:i/>
          <w:iCs/>
          <w:sz w:val="20"/>
          <w:szCs w:val="20"/>
          <w:lang w:val="pt-BR"/>
        </w:rPr>
        <w:t>outras</w:t>
      </w:r>
      <w:r w:rsidR="00407242" w:rsidRPr="0038442F">
        <w:rPr>
          <w:rFonts w:ascii="Verdana" w:hAnsi="Verdana"/>
          <w:i/>
          <w:iCs/>
          <w:sz w:val="20"/>
          <w:szCs w:val="20"/>
          <w:lang w:val="pt-BR"/>
        </w:rPr>
        <w:t xml:space="preserve"> </w:t>
      </w:r>
      <w:r w:rsidR="00827814" w:rsidRPr="0038442F">
        <w:rPr>
          <w:rFonts w:ascii="Verdana" w:hAnsi="Verdana"/>
          <w:i/>
          <w:iCs/>
          <w:sz w:val="20"/>
          <w:szCs w:val="20"/>
          <w:lang w:val="pt-BR"/>
        </w:rPr>
        <w:t xml:space="preserve">medidas que </w:t>
      </w:r>
      <w:r w:rsidR="000F47F1" w:rsidRPr="0038442F">
        <w:rPr>
          <w:rFonts w:ascii="Verdana" w:hAnsi="Verdana"/>
          <w:i/>
          <w:iCs/>
          <w:sz w:val="20"/>
          <w:szCs w:val="20"/>
          <w:lang w:val="pt-BR"/>
        </w:rPr>
        <w:t xml:space="preserve">reconheçam e assegurem a </w:t>
      </w:r>
      <w:r w:rsidR="009612FB" w:rsidRPr="0038442F">
        <w:rPr>
          <w:rFonts w:ascii="Verdana" w:hAnsi="Verdana"/>
          <w:i/>
          <w:iCs/>
          <w:sz w:val="20"/>
          <w:szCs w:val="20"/>
          <w:lang w:val="pt-BR"/>
        </w:rPr>
        <w:t>efetiva</w:t>
      </w:r>
      <w:r w:rsidR="00407242" w:rsidRPr="0038442F">
        <w:rPr>
          <w:rFonts w:ascii="Verdana" w:hAnsi="Verdana"/>
          <w:i/>
          <w:iCs/>
          <w:sz w:val="20"/>
          <w:szCs w:val="20"/>
          <w:lang w:val="pt-BR"/>
        </w:rPr>
        <w:t xml:space="preserve"> </w:t>
      </w:r>
      <w:r w:rsidR="009612FB" w:rsidRPr="0038442F">
        <w:rPr>
          <w:rFonts w:ascii="Verdana" w:hAnsi="Verdana"/>
          <w:i/>
          <w:iCs/>
          <w:sz w:val="20"/>
          <w:szCs w:val="20"/>
          <w:lang w:val="pt-BR"/>
        </w:rPr>
        <w:t>igualdade</w:t>
      </w:r>
      <w:r w:rsidR="00407242" w:rsidRPr="0038442F">
        <w:rPr>
          <w:rFonts w:ascii="Verdana" w:hAnsi="Verdana"/>
          <w:i/>
          <w:iCs/>
          <w:sz w:val="20"/>
          <w:szCs w:val="20"/>
          <w:lang w:val="pt-BR"/>
        </w:rPr>
        <w:t xml:space="preserve"> </w:t>
      </w:r>
      <w:r w:rsidR="005B55A8" w:rsidRPr="0038442F">
        <w:rPr>
          <w:rFonts w:ascii="Verdana" w:hAnsi="Verdana"/>
          <w:i/>
          <w:iCs/>
          <w:sz w:val="20"/>
          <w:szCs w:val="20"/>
          <w:lang w:val="pt-BR"/>
        </w:rPr>
        <w:t>perante a lei</w:t>
      </w:r>
      <w:r w:rsidR="00407242" w:rsidRPr="0038442F">
        <w:rPr>
          <w:rFonts w:ascii="Verdana" w:hAnsi="Verdana"/>
          <w:i/>
          <w:iCs/>
          <w:sz w:val="20"/>
          <w:szCs w:val="20"/>
          <w:lang w:val="pt-BR"/>
        </w:rPr>
        <w:t xml:space="preserve"> </w:t>
      </w:r>
      <w:r w:rsidR="00827814" w:rsidRPr="0038442F">
        <w:rPr>
          <w:rFonts w:ascii="Verdana" w:hAnsi="Verdana"/>
          <w:i/>
          <w:iCs/>
          <w:sz w:val="20"/>
          <w:szCs w:val="20"/>
          <w:lang w:val="pt-BR"/>
        </w:rPr>
        <w:t xml:space="preserve">de todas as </w:t>
      </w:r>
      <w:r w:rsidR="00C92762" w:rsidRPr="0038442F">
        <w:rPr>
          <w:rFonts w:ascii="Verdana" w:hAnsi="Verdana"/>
          <w:i/>
          <w:iCs/>
          <w:sz w:val="20"/>
          <w:szCs w:val="20"/>
          <w:lang w:val="pt-BR"/>
        </w:rPr>
        <w:t>pessoas</w:t>
      </w:r>
      <w:r w:rsidR="000F47F1" w:rsidRPr="0038442F">
        <w:rPr>
          <w:rFonts w:ascii="Verdana" w:hAnsi="Verdana"/>
          <w:i/>
          <w:iCs/>
          <w:sz w:val="20"/>
          <w:szCs w:val="20"/>
          <w:lang w:val="pt-BR"/>
        </w:rPr>
        <w:t>;</w:t>
      </w:r>
      <w:r w:rsidR="0033447C" w:rsidRPr="0038442F">
        <w:rPr>
          <w:rStyle w:val="Refdenotaalpie"/>
          <w:rFonts w:ascii="Verdana" w:hAnsi="Verdana"/>
          <w:sz w:val="20"/>
          <w:szCs w:val="20"/>
          <w:lang w:val="pt-BR"/>
        </w:rPr>
        <w:footnoteReference w:id="157"/>
      </w:r>
      <w:r w:rsidR="00533D16" w:rsidRPr="0038442F">
        <w:rPr>
          <w:rFonts w:ascii="Verdana" w:hAnsi="Verdana"/>
          <w:sz w:val="20"/>
          <w:szCs w:val="20"/>
          <w:lang w:val="pt-BR"/>
        </w:rPr>
        <w:t xml:space="preserve"> o </w:t>
      </w:r>
      <w:r w:rsidR="003B374E" w:rsidRPr="0038442F">
        <w:rPr>
          <w:rFonts w:ascii="Verdana" w:hAnsi="Verdana"/>
          <w:sz w:val="20"/>
          <w:szCs w:val="20"/>
          <w:lang w:val="pt-BR"/>
        </w:rPr>
        <w:t>qu</w:t>
      </w:r>
      <w:r w:rsidR="000F47F1" w:rsidRPr="0038442F">
        <w:rPr>
          <w:rFonts w:ascii="Verdana" w:hAnsi="Verdana"/>
          <w:sz w:val="20"/>
          <w:szCs w:val="20"/>
          <w:lang w:val="pt-BR"/>
        </w:rPr>
        <w:t>e</w:t>
      </w:r>
      <w:r w:rsidR="00533D16" w:rsidRPr="0038442F">
        <w:rPr>
          <w:rFonts w:ascii="Verdana" w:hAnsi="Verdana"/>
          <w:sz w:val="20"/>
          <w:szCs w:val="20"/>
          <w:lang w:val="pt-BR"/>
        </w:rPr>
        <w:t xml:space="preserve">, </w:t>
      </w:r>
      <w:r w:rsidR="000F47F1" w:rsidRPr="0038442F">
        <w:rPr>
          <w:rFonts w:ascii="Verdana" w:hAnsi="Verdana"/>
          <w:sz w:val="20"/>
          <w:szCs w:val="20"/>
          <w:lang w:val="pt-BR"/>
        </w:rPr>
        <w:t xml:space="preserve">nesse caso, </w:t>
      </w:r>
      <w:r w:rsidR="00117E8D" w:rsidRPr="0038442F">
        <w:rPr>
          <w:rFonts w:ascii="Verdana" w:hAnsi="Verdana"/>
          <w:sz w:val="20"/>
          <w:szCs w:val="20"/>
          <w:lang w:val="pt-BR"/>
        </w:rPr>
        <w:t>produzia</w:t>
      </w:r>
      <w:r w:rsidR="000F47F1" w:rsidRPr="0038442F">
        <w:rPr>
          <w:rFonts w:ascii="Verdana" w:hAnsi="Verdana"/>
          <w:sz w:val="20"/>
          <w:szCs w:val="20"/>
          <w:lang w:val="pt-BR"/>
        </w:rPr>
        <w:t xml:space="preserve"> uma </w:t>
      </w:r>
      <w:r w:rsidR="00781273" w:rsidRPr="0038442F">
        <w:rPr>
          <w:rFonts w:ascii="Verdana" w:hAnsi="Verdana"/>
          <w:sz w:val="20"/>
          <w:szCs w:val="20"/>
          <w:lang w:val="pt-BR"/>
        </w:rPr>
        <w:t>anális</w:t>
      </w:r>
      <w:r w:rsidR="000F47F1" w:rsidRPr="0038442F">
        <w:rPr>
          <w:rFonts w:ascii="Verdana" w:hAnsi="Verdana"/>
          <w:sz w:val="20"/>
          <w:szCs w:val="20"/>
          <w:lang w:val="pt-BR"/>
        </w:rPr>
        <w:t>e</w:t>
      </w:r>
      <w:r w:rsidR="00533D16" w:rsidRPr="0038442F">
        <w:rPr>
          <w:rFonts w:ascii="Verdana" w:hAnsi="Verdana"/>
          <w:sz w:val="20"/>
          <w:szCs w:val="20"/>
          <w:lang w:val="pt-BR"/>
        </w:rPr>
        <w:t xml:space="preserve"> conjunt</w:t>
      </w:r>
      <w:r w:rsidR="000F47F1" w:rsidRPr="0038442F">
        <w:rPr>
          <w:rFonts w:ascii="Verdana" w:hAnsi="Verdana"/>
          <w:sz w:val="20"/>
          <w:szCs w:val="20"/>
          <w:lang w:val="pt-BR"/>
        </w:rPr>
        <w:t>a</w:t>
      </w:r>
      <w:r w:rsidR="00533D16"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BC6FC3" w:rsidRPr="0038442F">
        <w:rPr>
          <w:rFonts w:ascii="Verdana" w:hAnsi="Verdana"/>
          <w:sz w:val="20"/>
          <w:szCs w:val="20"/>
          <w:lang w:val="pt-BR"/>
        </w:rPr>
        <w:t>artigos</w:t>
      </w:r>
      <w:r w:rsidR="00407242" w:rsidRPr="0038442F">
        <w:rPr>
          <w:rFonts w:ascii="Verdana" w:hAnsi="Verdana"/>
          <w:sz w:val="20"/>
          <w:szCs w:val="20"/>
          <w:lang w:val="pt-BR"/>
        </w:rPr>
        <w:t xml:space="preserve"> </w:t>
      </w:r>
      <w:r w:rsidR="00533D16" w:rsidRPr="0038442F">
        <w:rPr>
          <w:rFonts w:ascii="Verdana" w:hAnsi="Verdana"/>
          <w:sz w:val="20"/>
          <w:szCs w:val="20"/>
          <w:lang w:val="pt-BR"/>
        </w:rPr>
        <w:t xml:space="preserve">1.1 </w:t>
      </w:r>
      <w:r w:rsidR="000F47F1" w:rsidRPr="0038442F">
        <w:rPr>
          <w:rFonts w:ascii="Verdana" w:hAnsi="Verdana"/>
          <w:sz w:val="20"/>
          <w:szCs w:val="20"/>
          <w:lang w:val="pt-BR"/>
        </w:rPr>
        <w:t>e</w:t>
      </w:r>
      <w:r w:rsidR="00533D16" w:rsidRPr="0038442F">
        <w:rPr>
          <w:rFonts w:ascii="Verdana" w:hAnsi="Verdana"/>
          <w:sz w:val="20"/>
          <w:szCs w:val="20"/>
          <w:lang w:val="pt-BR"/>
        </w:rPr>
        <w:t xml:space="preserve"> 24 d</w:t>
      </w:r>
      <w:r w:rsidR="000F47F1" w:rsidRPr="0038442F">
        <w:rPr>
          <w:rFonts w:ascii="Verdana" w:hAnsi="Verdana"/>
          <w:sz w:val="20"/>
          <w:szCs w:val="20"/>
          <w:lang w:val="pt-BR"/>
        </w:rPr>
        <w:t>o</w:t>
      </w:r>
      <w:r w:rsidR="00533D16" w:rsidRPr="0038442F">
        <w:rPr>
          <w:rFonts w:ascii="Verdana" w:hAnsi="Verdana"/>
          <w:sz w:val="20"/>
          <w:szCs w:val="20"/>
          <w:lang w:val="pt-BR"/>
        </w:rPr>
        <w:t xml:space="preserve"> Pacto de San </w:t>
      </w:r>
      <w:r w:rsidR="00781273" w:rsidRPr="0038442F">
        <w:rPr>
          <w:rFonts w:ascii="Verdana" w:hAnsi="Verdana"/>
          <w:sz w:val="20"/>
          <w:szCs w:val="20"/>
          <w:lang w:val="pt-BR"/>
        </w:rPr>
        <w:t>José</w:t>
      </w:r>
      <w:r w:rsidR="00533D16" w:rsidRPr="0038442F">
        <w:rPr>
          <w:rFonts w:ascii="Verdana" w:hAnsi="Verdana"/>
          <w:sz w:val="20"/>
          <w:szCs w:val="20"/>
          <w:lang w:val="pt-BR"/>
        </w:rPr>
        <w:t xml:space="preserve">. </w:t>
      </w:r>
      <w:r w:rsidR="0033447C" w:rsidRPr="0038442F">
        <w:rPr>
          <w:rFonts w:ascii="Verdana" w:hAnsi="Verdana"/>
          <w:sz w:val="20"/>
          <w:szCs w:val="20"/>
          <w:lang w:val="pt-BR"/>
        </w:rPr>
        <w:t>De</w:t>
      </w:r>
      <w:r w:rsidR="000F47F1" w:rsidRPr="0038442F">
        <w:rPr>
          <w:rFonts w:ascii="Verdana" w:hAnsi="Verdana"/>
          <w:sz w:val="20"/>
          <w:szCs w:val="20"/>
          <w:lang w:val="pt-BR"/>
        </w:rPr>
        <w:t>sse</w:t>
      </w:r>
      <w:r w:rsidR="0033447C" w:rsidRPr="0038442F">
        <w:rPr>
          <w:rFonts w:ascii="Verdana" w:hAnsi="Verdana"/>
          <w:sz w:val="20"/>
          <w:szCs w:val="20"/>
          <w:lang w:val="pt-BR"/>
        </w:rPr>
        <w:t xml:space="preserve"> modo, </w:t>
      </w:r>
      <w:r w:rsidR="000F47F1" w:rsidRPr="0038442F">
        <w:rPr>
          <w:rFonts w:ascii="Verdana" w:hAnsi="Verdana"/>
          <w:sz w:val="20"/>
          <w:szCs w:val="20"/>
          <w:lang w:val="pt-BR"/>
        </w:rPr>
        <w:t xml:space="preserve">o </w:t>
      </w:r>
      <w:r w:rsidR="00781273" w:rsidRPr="0038442F">
        <w:rPr>
          <w:rFonts w:ascii="Verdana" w:hAnsi="Verdana"/>
          <w:sz w:val="20"/>
          <w:szCs w:val="20"/>
          <w:lang w:val="pt-BR"/>
        </w:rPr>
        <w:t>pronunciamento</w:t>
      </w:r>
      <w:r w:rsidR="0033447C" w:rsidRPr="0038442F">
        <w:rPr>
          <w:rFonts w:ascii="Verdana" w:hAnsi="Verdana"/>
          <w:sz w:val="20"/>
          <w:szCs w:val="20"/>
          <w:lang w:val="pt-BR"/>
        </w:rPr>
        <w:t xml:space="preserve"> </w:t>
      </w:r>
      <w:r w:rsidR="000F47F1" w:rsidRPr="0038442F">
        <w:rPr>
          <w:rFonts w:ascii="Verdana" w:hAnsi="Verdana"/>
          <w:sz w:val="20"/>
          <w:szCs w:val="20"/>
          <w:lang w:val="pt-BR"/>
        </w:rPr>
        <w:t xml:space="preserve">mencionado era </w:t>
      </w:r>
      <w:r w:rsidR="0033447C" w:rsidRPr="0038442F">
        <w:rPr>
          <w:rFonts w:ascii="Verdana" w:hAnsi="Verdana"/>
          <w:sz w:val="20"/>
          <w:szCs w:val="20"/>
          <w:lang w:val="pt-BR"/>
        </w:rPr>
        <w:t>a ante</w:t>
      </w:r>
      <w:r w:rsidR="00781273" w:rsidRPr="0038442F">
        <w:rPr>
          <w:rFonts w:ascii="Verdana" w:hAnsi="Verdana"/>
          <w:sz w:val="20"/>
          <w:szCs w:val="20"/>
          <w:lang w:val="pt-BR"/>
        </w:rPr>
        <w:t>s</w:t>
      </w:r>
      <w:r w:rsidR="000F47F1" w:rsidRPr="0038442F">
        <w:rPr>
          <w:rFonts w:ascii="Verdana" w:hAnsi="Verdana"/>
          <w:sz w:val="20"/>
          <w:szCs w:val="20"/>
          <w:lang w:val="pt-BR"/>
        </w:rPr>
        <w:t>s</w:t>
      </w:r>
      <w:r w:rsidR="00781273" w:rsidRPr="0038442F">
        <w:rPr>
          <w:rFonts w:ascii="Verdana" w:hAnsi="Verdana"/>
          <w:sz w:val="20"/>
          <w:szCs w:val="20"/>
          <w:lang w:val="pt-BR"/>
        </w:rPr>
        <w:t>al</w:t>
      </w:r>
      <w:r w:rsidR="0033447C" w:rsidRPr="0038442F">
        <w:rPr>
          <w:rFonts w:ascii="Verdana" w:hAnsi="Verdana"/>
          <w:sz w:val="20"/>
          <w:szCs w:val="20"/>
          <w:lang w:val="pt-BR"/>
        </w:rPr>
        <w:t xml:space="preserve">a </w:t>
      </w:r>
      <w:r w:rsidR="000F47F1" w:rsidRPr="0038442F">
        <w:rPr>
          <w:rFonts w:ascii="Verdana" w:hAnsi="Verdana"/>
          <w:sz w:val="20"/>
          <w:szCs w:val="20"/>
          <w:lang w:val="pt-BR"/>
        </w:rPr>
        <w:t xml:space="preserve">daquilo que, no </w:t>
      </w:r>
      <w:r w:rsidR="005236DE" w:rsidRPr="0038442F">
        <w:rPr>
          <w:rFonts w:ascii="Verdana" w:hAnsi="Verdana"/>
          <w:sz w:val="20"/>
          <w:szCs w:val="20"/>
          <w:lang w:val="pt-BR"/>
        </w:rPr>
        <w:t>presente caso</w:t>
      </w:r>
      <w:r w:rsidR="000F47F1" w:rsidRPr="0038442F">
        <w:rPr>
          <w:rFonts w:ascii="Verdana" w:hAnsi="Verdana"/>
          <w:sz w:val="20"/>
          <w:szCs w:val="20"/>
          <w:lang w:val="pt-BR"/>
        </w:rPr>
        <w:t>,</w:t>
      </w:r>
      <w:r w:rsidR="005236DE" w:rsidRPr="0038442F">
        <w:rPr>
          <w:rFonts w:ascii="Verdana" w:hAnsi="Verdana"/>
          <w:sz w:val="20"/>
          <w:szCs w:val="20"/>
          <w:lang w:val="pt-BR"/>
        </w:rPr>
        <w:t xml:space="preserve"> </w:t>
      </w:r>
      <w:r w:rsidR="0033447C" w:rsidRPr="0038442F">
        <w:rPr>
          <w:rFonts w:ascii="Verdana" w:hAnsi="Verdana"/>
          <w:sz w:val="20"/>
          <w:szCs w:val="20"/>
          <w:lang w:val="pt-BR"/>
        </w:rPr>
        <w:t xml:space="preserve">se </w:t>
      </w:r>
      <w:r w:rsidR="000F47F1" w:rsidRPr="0038442F">
        <w:rPr>
          <w:rFonts w:ascii="Verdana" w:hAnsi="Verdana"/>
          <w:sz w:val="20"/>
          <w:szCs w:val="20"/>
          <w:lang w:val="pt-BR"/>
        </w:rPr>
        <w:t xml:space="preserve">reconhece </w:t>
      </w:r>
      <w:r w:rsidR="0033447C" w:rsidRPr="0038442F">
        <w:rPr>
          <w:rFonts w:ascii="Verdana" w:hAnsi="Verdana"/>
          <w:sz w:val="20"/>
          <w:szCs w:val="20"/>
          <w:lang w:val="pt-BR"/>
        </w:rPr>
        <w:t xml:space="preserve">“como </w:t>
      </w:r>
      <w:r w:rsidR="000F47F1" w:rsidRPr="0038442F">
        <w:rPr>
          <w:rFonts w:ascii="Verdana" w:hAnsi="Verdana"/>
          <w:sz w:val="20"/>
          <w:szCs w:val="20"/>
          <w:lang w:val="pt-BR"/>
        </w:rPr>
        <w:t xml:space="preserve">o </w:t>
      </w:r>
      <w:r w:rsidR="0033447C" w:rsidRPr="0038442F">
        <w:rPr>
          <w:rFonts w:ascii="Verdana" w:hAnsi="Verdana"/>
          <w:sz w:val="20"/>
          <w:szCs w:val="20"/>
          <w:lang w:val="pt-BR"/>
        </w:rPr>
        <w:t xml:space="preserve">mandato de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33447C" w:rsidRPr="0038442F">
        <w:rPr>
          <w:rFonts w:ascii="Verdana" w:hAnsi="Verdana"/>
          <w:sz w:val="20"/>
          <w:szCs w:val="20"/>
          <w:lang w:val="pt-BR"/>
        </w:rPr>
        <w:t xml:space="preserve">material </w:t>
      </w:r>
      <w:r w:rsidR="00117E8D" w:rsidRPr="0038442F">
        <w:rPr>
          <w:rFonts w:ascii="Verdana" w:hAnsi="Verdana"/>
          <w:sz w:val="20"/>
          <w:szCs w:val="20"/>
          <w:lang w:val="pt-BR"/>
        </w:rPr>
        <w:t>com base n</w:t>
      </w:r>
      <w:r w:rsidR="000F47F1" w:rsidRPr="0038442F">
        <w:rPr>
          <w:rFonts w:ascii="Verdana" w:hAnsi="Verdana"/>
          <w:sz w:val="20"/>
          <w:szCs w:val="20"/>
          <w:lang w:val="pt-BR"/>
        </w:rPr>
        <w:t xml:space="preserve">o </w:t>
      </w:r>
      <w:r w:rsidR="003B374E" w:rsidRPr="0038442F">
        <w:rPr>
          <w:rFonts w:ascii="Verdana" w:hAnsi="Verdana"/>
          <w:sz w:val="20"/>
          <w:szCs w:val="20"/>
          <w:lang w:val="pt-BR"/>
        </w:rPr>
        <w:t xml:space="preserve">artigo </w:t>
      </w:r>
      <w:r w:rsidR="0033447C" w:rsidRPr="0038442F">
        <w:rPr>
          <w:rFonts w:ascii="Verdana" w:hAnsi="Verdana"/>
          <w:sz w:val="20"/>
          <w:szCs w:val="20"/>
          <w:lang w:val="pt-BR"/>
        </w:rPr>
        <w:t>24”</w:t>
      </w:r>
      <w:r w:rsidR="000F47F1" w:rsidRPr="0038442F">
        <w:rPr>
          <w:rFonts w:ascii="Verdana" w:hAnsi="Verdana"/>
          <w:sz w:val="20"/>
          <w:szCs w:val="20"/>
          <w:lang w:val="pt-BR"/>
        </w:rPr>
        <w:t>.</w:t>
      </w:r>
      <w:r w:rsidR="0033447C" w:rsidRPr="0038442F">
        <w:rPr>
          <w:rStyle w:val="Refdenotaalpie"/>
          <w:rFonts w:ascii="Verdana" w:hAnsi="Verdana"/>
          <w:sz w:val="20"/>
          <w:szCs w:val="20"/>
          <w:lang w:val="pt-BR"/>
        </w:rPr>
        <w:footnoteReference w:id="158"/>
      </w:r>
      <w:r w:rsidR="0033447C" w:rsidRPr="0038442F">
        <w:rPr>
          <w:rFonts w:ascii="Verdana" w:hAnsi="Verdana"/>
          <w:sz w:val="20"/>
          <w:szCs w:val="20"/>
          <w:lang w:val="pt-BR"/>
        </w:rPr>
        <w:t xml:space="preserve"> </w:t>
      </w:r>
    </w:p>
    <w:p w14:paraId="61A771B1" w14:textId="77777777" w:rsidR="00A8241E" w:rsidRPr="0038442F" w:rsidRDefault="00A8241E" w:rsidP="00A857CB">
      <w:pPr>
        <w:jc w:val="both"/>
        <w:rPr>
          <w:rFonts w:ascii="Verdana" w:hAnsi="Verdana"/>
          <w:b/>
          <w:bCs/>
          <w:sz w:val="20"/>
          <w:szCs w:val="20"/>
          <w:lang w:val="pt-BR"/>
        </w:rPr>
      </w:pPr>
    </w:p>
    <w:p w14:paraId="6FC17860" w14:textId="122C78A6" w:rsidR="00A85477" w:rsidRPr="0038442F" w:rsidRDefault="00816BB5" w:rsidP="00B979B2">
      <w:pPr>
        <w:snapToGrid w:val="0"/>
        <w:jc w:val="center"/>
        <w:rPr>
          <w:rFonts w:ascii="Verdana" w:hAnsi="Verdana"/>
          <w:b/>
          <w:sz w:val="20"/>
          <w:szCs w:val="20"/>
          <w:lang w:val="pt-BR"/>
        </w:rPr>
      </w:pPr>
      <w:r w:rsidRPr="0038442F">
        <w:rPr>
          <w:rFonts w:ascii="Verdana" w:hAnsi="Verdana"/>
          <w:b/>
          <w:sz w:val="20"/>
          <w:szCs w:val="20"/>
          <w:lang w:val="pt-BR"/>
        </w:rPr>
        <w:t xml:space="preserve">V. </w:t>
      </w:r>
      <w:r w:rsidR="00706529" w:rsidRPr="0038442F">
        <w:rPr>
          <w:rFonts w:ascii="Verdana" w:hAnsi="Verdana"/>
          <w:b/>
          <w:sz w:val="20"/>
          <w:szCs w:val="20"/>
          <w:lang w:val="pt-BR"/>
        </w:rPr>
        <w:t xml:space="preserve">A </w:t>
      </w:r>
      <w:r w:rsidR="00706529" w:rsidRPr="0038442F">
        <w:rPr>
          <w:rFonts w:ascii="Verdana" w:hAnsi="Verdana"/>
          <w:b/>
          <w:i/>
          <w:sz w:val="20"/>
          <w:szCs w:val="20"/>
          <w:lang w:val="pt-BR"/>
        </w:rPr>
        <w:t>IGUALDAD</w:t>
      </w:r>
      <w:r w:rsidR="000F47F1" w:rsidRPr="0038442F">
        <w:rPr>
          <w:rFonts w:ascii="Verdana" w:hAnsi="Verdana"/>
          <w:b/>
          <w:i/>
          <w:sz w:val="20"/>
          <w:szCs w:val="20"/>
          <w:lang w:val="pt-BR"/>
        </w:rPr>
        <w:t>E</w:t>
      </w:r>
      <w:r w:rsidR="00706529" w:rsidRPr="0038442F">
        <w:rPr>
          <w:rFonts w:ascii="Verdana" w:hAnsi="Verdana"/>
          <w:b/>
          <w:i/>
          <w:sz w:val="20"/>
          <w:szCs w:val="20"/>
          <w:lang w:val="pt-BR"/>
        </w:rPr>
        <w:t xml:space="preserve"> MATERIAL</w:t>
      </w:r>
      <w:r w:rsidRPr="0038442F">
        <w:rPr>
          <w:rFonts w:ascii="Verdana" w:hAnsi="Verdana"/>
          <w:b/>
          <w:i/>
          <w:sz w:val="20"/>
          <w:szCs w:val="20"/>
          <w:lang w:val="pt-BR"/>
        </w:rPr>
        <w:t xml:space="preserve"> </w:t>
      </w:r>
      <w:r w:rsidR="00E71E85" w:rsidRPr="0038442F">
        <w:rPr>
          <w:rFonts w:ascii="Verdana" w:hAnsi="Verdana"/>
          <w:b/>
          <w:i/>
          <w:sz w:val="20"/>
          <w:szCs w:val="20"/>
          <w:lang w:val="pt-BR"/>
        </w:rPr>
        <w:t>O</w:t>
      </w:r>
      <w:r w:rsidR="000F47F1" w:rsidRPr="0038442F">
        <w:rPr>
          <w:rFonts w:ascii="Verdana" w:hAnsi="Verdana"/>
          <w:b/>
          <w:i/>
          <w:sz w:val="20"/>
          <w:szCs w:val="20"/>
          <w:lang w:val="pt-BR"/>
        </w:rPr>
        <w:t>U</w:t>
      </w:r>
      <w:r w:rsidR="00E71E85" w:rsidRPr="0038442F">
        <w:rPr>
          <w:rFonts w:ascii="Verdana" w:hAnsi="Verdana"/>
          <w:b/>
          <w:i/>
          <w:sz w:val="20"/>
          <w:szCs w:val="20"/>
          <w:lang w:val="pt-BR"/>
        </w:rPr>
        <w:t xml:space="preserve"> SU</w:t>
      </w:r>
      <w:r w:rsidR="000F47F1" w:rsidRPr="0038442F">
        <w:rPr>
          <w:rFonts w:ascii="Verdana" w:hAnsi="Verdana"/>
          <w:b/>
          <w:i/>
          <w:sz w:val="20"/>
          <w:szCs w:val="20"/>
          <w:lang w:val="pt-BR"/>
        </w:rPr>
        <w:t>B</w:t>
      </w:r>
      <w:r w:rsidR="00E71E85" w:rsidRPr="0038442F">
        <w:rPr>
          <w:rFonts w:ascii="Verdana" w:hAnsi="Verdana"/>
          <w:b/>
          <w:i/>
          <w:sz w:val="20"/>
          <w:szCs w:val="20"/>
          <w:lang w:val="pt-BR"/>
        </w:rPr>
        <w:t>STANCIAL</w:t>
      </w:r>
      <w:r w:rsidR="00E71E85" w:rsidRPr="0038442F">
        <w:rPr>
          <w:rFonts w:ascii="Verdana" w:hAnsi="Verdana"/>
          <w:b/>
          <w:sz w:val="20"/>
          <w:szCs w:val="20"/>
          <w:lang w:val="pt-BR"/>
        </w:rPr>
        <w:t xml:space="preserve"> </w:t>
      </w:r>
      <w:r w:rsidR="00706529" w:rsidRPr="0038442F">
        <w:rPr>
          <w:rFonts w:ascii="Verdana" w:hAnsi="Verdana"/>
          <w:b/>
          <w:sz w:val="20"/>
          <w:szCs w:val="20"/>
          <w:lang w:val="pt-BR"/>
        </w:rPr>
        <w:t>NAS VÍTIMAS</w:t>
      </w:r>
    </w:p>
    <w:p w14:paraId="6C33FC59" w14:textId="1B8E4D6E" w:rsidR="00815F66" w:rsidRPr="0038442F" w:rsidRDefault="00706529" w:rsidP="00B979B2">
      <w:pPr>
        <w:snapToGrid w:val="0"/>
        <w:jc w:val="center"/>
        <w:rPr>
          <w:rFonts w:ascii="Verdana" w:hAnsi="Verdana"/>
          <w:b/>
          <w:sz w:val="20"/>
          <w:szCs w:val="20"/>
          <w:lang w:val="pt-BR"/>
        </w:rPr>
      </w:pPr>
      <w:r w:rsidRPr="0038442F">
        <w:rPr>
          <w:rFonts w:ascii="Verdana" w:hAnsi="Verdana"/>
          <w:b/>
          <w:sz w:val="20"/>
          <w:szCs w:val="20"/>
          <w:lang w:val="pt-BR"/>
        </w:rPr>
        <w:t xml:space="preserve"> D</w:t>
      </w:r>
      <w:r w:rsidR="00A85477" w:rsidRPr="0038442F">
        <w:rPr>
          <w:rFonts w:ascii="Verdana" w:hAnsi="Verdana"/>
          <w:b/>
          <w:sz w:val="20"/>
          <w:szCs w:val="20"/>
          <w:lang w:val="pt-BR"/>
        </w:rPr>
        <w:t xml:space="preserve">A </w:t>
      </w:r>
      <w:r w:rsidRPr="0038442F">
        <w:rPr>
          <w:rFonts w:ascii="Verdana" w:hAnsi="Verdana"/>
          <w:b/>
          <w:sz w:val="20"/>
          <w:szCs w:val="20"/>
          <w:lang w:val="pt-BR"/>
        </w:rPr>
        <w:t>EXPLOS</w:t>
      </w:r>
      <w:r w:rsidR="000F47F1" w:rsidRPr="0038442F">
        <w:rPr>
          <w:rFonts w:ascii="Verdana" w:hAnsi="Verdana"/>
          <w:b/>
          <w:sz w:val="20"/>
          <w:szCs w:val="20"/>
          <w:lang w:val="pt-BR"/>
        </w:rPr>
        <w:t xml:space="preserve">ÃO DA </w:t>
      </w:r>
      <w:r w:rsidR="00816BB5" w:rsidRPr="0038442F">
        <w:rPr>
          <w:rFonts w:ascii="Verdana" w:hAnsi="Verdana"/>
          <w:b/>
          <w:sz w:val="20"/>
          <w:szCs w:val="20"/>
          <w:lang w:val="pt-BR"/>
        </w:rPr>
        <w:t>F</w:t>
      </w:r>
      <w:r w:rsidR="008D19D5" w:rsidRPr="0038442F">
        <w:rPr>
          <w:rFonts w:ascii="Verdana" w:hAnsi="Verdana"/>
          <w:b/>
          <w:sz w:val="20"/>
          <w:szCs w:val="20"/>
          <w:lang w:val="pt-BR"/>
        </w:rPr>
        <w:t>Á</w:t>
      </w:r>
      <w:r w:rsidR="00816BB5" w:rsidRPr="0038442F">
        <w:rPr>
          <w:rFonts w:ascii="Verdana" w:hAnsi="Verdana"/>
          <w:b/>
          <w:sz w:val="20"/>
          <w:szCs w:val="20"/>
          <w:lang w:val="pt-BR"/>
        </w:rPr>
        <w:t>BRICA DE F</w:t>
      </w:r>
      <w:r w:rsidR="000F47F1" w:rsidRPr="0038442F">
        <w:rPr>
          <w:rFonts w:ascii="Verdana" w:hAnsi="Verdana"/>
          <w:b/>
          <w:sz w:val="20"/>
          <w:szCs w:val="20"/>
          <w:lang w:val="pt-BR"/>
        </w:rPr>
        <w:t>O</w:t>
      </w:r>
      <w:r w:rsidR="00816BB5" w:rsidRPr="0038442F">
        <w:rPr>
          <w:rFonts w:ascii="Verdana" w:hAnsi="Verdana"/>
          <w:b/>
          <w:sz w:val="20"/>
          <w:szCs w:val="20"/>
          <w:lang w:val="pt-BR"/>
        </w:rPr>
        <w:t>GOS</w:t>
      </w:r>
    </w:p>
    <w:p w14:paraId="2164DDBE" w14:textId="77777777" w:rsidR="00F60718" w:rsidRPr="0038442F" w:rsidRDefault="00F60718" w:rsidP="00A857CB">
      <w:pPr>
        <w:jc w:val="center"/>
        <w:rPr>
          <w:rFonts w:ascii="Verdana" w:hAnsi="Verdana"/>
          <w:b/>
          <w:bCs/>
          <w:sz w:val="20"/>
          <w:szCs w:val="20"/>
          <w:lang w:val="pt-BR"/>
        </w:rPr>
      </w:pPr>
    </w:p>
    <w:p w14:paraId="359B7BCB" w14:textId="5002E544" w:rsidR="00FE62DE" w:rsidRPr="0038442F" w:rsidRDefault="00B33067" w:rsidP="00B33067">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97. </w:t>
      </w:r>
      <w:r w:rsidRPr="0038442F">
        <w:rPr>
          <w:rFonts w:ascii="Verdana" w:hAnsi="Verdana" w:cs="System Font Regular"/>
          <w:sz w:val="20"/>
          <w:szCs w:val="20"/>
          <w:lang w:val="pt-BR"/>
        </w:rPr>
        <w:tab/>
      </w:r>
      <w:r w:rsidR="004526B4" w:rsidRPr="0038442F">
        <w:rPr>
          <w:rFonts w:ascii="Verdana" w:hAnsi="Verdana" w:cs="System Font Regular"/>
          <w:sz w:val="20"/>
          <w:szCs w:val="20"/>
          <w:lang w:val="pt-BR"/>
        </w:rPr>
        <w:t>As</w:t>
      </w:r>
      <w:r w:rsidR="00FE62DE" w:rsidRPr="0038442F">
        <w:rPr>
          <w:rFonts w:ascii="Verdana" w:hAnsi="Verdana" w:cs="System Font Regular"/>
          <w:sz w:val="20"/>
          <w:szCs w:val="20"/>
          <w:lang w:val="pt-BR"/>
        </w:rPr>
        <w:t xml:space="preserve"> </w:t>
      </w:r>
      <w:r w:rsidR="006A12FD" w:rsidRPr="0038442F">
        <w:rPr>
          <w:rFonts w:ascii="Verdana" w:hAnsi="Verdana" w:cs="System Font Regular"/>
          <w:sz w:val="20"/>
          <w:szCs w:val="20"/>
          <w:lang w:val="pt-BR"/>
        </w:rPr>
        <w:t>ações</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positivas o</w:t>
      </w:r>
      <w:r w:rsidR="004526B4" w:rsidRPr="0038442F">
        <w:rPr>
          <w:rFonts w:ascii="Verdana" w:hAnsi="Verdana" w:cs="System Font Regular"/>
          <w:sz w:val="20"/>
          <w:szCs w:val="20"/>
          <w:lang w:val="pt-BR"/>
        </w:rPr>
        <w:t>u</w:t>
      </w:r>
      <w:r w:rsidR="00FE62DE" w:rsidRPr="0038442F">
        <w:rPr>
          <w:rFonts w:ascii="Verdana" w:hAnsi="Verdana" w:cs="System Font Regular"/>
          <w:sz w:val="20"/>
          <w:szCs w:val="20"/>
          <w:lang w:val="pt-BR"/>
        </w:rPr>
        <w:t xml:space="preserve"> afirmativas a cargo d</w:t>
      </w:r>
      <w:r w:rsidR="000A1AA8" w:rsidRPr="0038442F">
        <w:rPr>
          <w:rFonts w:ascii="Verdana" w:hAnsi="Verdana" w:cs="System Font Regular"/>
          <w:sz w:val="20"/>
          <w:szCs w:val="20"/>
          <w:lang w:val="pt-BR"/>
        </w:rPr>
        <w:t xml:space="preserve">o Estado </w:t>
      </w:r>
      <w:r w:rsidR="00BF7A10" w:rsidRPr="0038442F">
        <w:rPr>
          <w:rFonts w:ascii="Verdana" w:hAnsi="Verdana" w:cs="System Font Regular"/>
          <w:sz w:val="20"/>
          <w:szCs w:val="20"/>
          <w:lang w:val="pt-BR"/>
        </w:rPr>
        <w:t xml:space="preserve">na </w:t>
      </w:r>
      <w:r w:rsidR="00984A83" w:rsidRPr="0038442F">
        <w:rPr>
          <w:rFonts w:ascii="Verdana" w:hAnsi="Verdana" w:cs="System Font Regular"/>
          <w:sz w:val="20"/>
          <w:szCs w:val="20"/>
          <w:lang w:val="pt-BR"/>
        </w:rPr>
        <w:t>jurisprudência</w:t>
      </w:r>
      <w:r w:rsidR="00407242"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 xml:space="preserve">interamericana </w:t>
      </w:r>
      <w:r w:rsidR="00117E8D" w:rsidRPr="0038442F">
        <w:rPr>
          <w:rFonts w:ascii="Verdana" w:hAnsi="Verdana" w:cs="System Font Regular"/>
          <w:sz w:val="20"/>
          <w:szCs w:val="20"/>
          <w:lang w:val="pt-BR"/>
        </w:rPr>
        <w:t xml:space="preserve">haviam sido associadas </w:t>
      </w:r>
      <w:r w:rsidR="004526B4" w:rsidRPr="0038442F">
        <w:rPr>
          <w:rFonts w:ascii="Verdana" w:hAnsi="Verdana" w:cs="System Font Regular"/>
          <w:sz w:val="20"/>
          <w:szCs w:val="20"/>
          <w:lang w:val="pt-BR"/>
        </w:rPr>
        <w:t>u</w:t>
      </w:r>
      <w:r w:rsidR="00FE62DE" w:rsidRPr="0038442F">
        <w:rPr>
          <w:rFonts w:ascii="Verdana" w:hAnsi="Verdana" w:cs="System Font Regular"/>
          <w:sz w:val="20"/>
          <w:szCs w:val="20"/>
          <w:lang w:val="pt-BR"/>
        </w:rPr>
        <w:t xml:space="preserve">nicamente </w:t>
      </w:r>
      <w:r w:rsidR="004526B4" w:rsidRPr="0038442F">
        <w:rPr>
          <w:rFonts w:ascii="Verdana" w:hAnsi="Verdana" w:cs="System Font Regular"/>
          <w:sz w:val="20"/>
          <w:szCs w:val="20"/>
          <w:lang w:val="pt-BR"/>
        </w:rPr>
        <w:t xml:space="preserve">ao conteúdo </w:t>
      </w:r>
      <w:r w:rsidR="00751189" w:rsidRPr="0038442F">
        <w:rPr>
          <w:rFonts w:ascii="Verdana" w:hAnsi="Verdana" w:cs="System Font Regular"/>
          <w:sz w:val="20"/>
          <w:szCs w:val="20"/>
          <w:lang w:val="pt-BR"/>
        </w:rPr>
        <w:t xml:space="preserve">do artigo </w:t>
      </w:r>
      <w:r w:rsidR="00FE62DE" w:rsidRPr="0038442F">
        <w:rPr>
          <w:rFonts w:ascii="Verdana" w:hAnsi="Verdana" w:cs="System Font Regular"/>
          <w:sz w:val="20"/>
          <w:szCs w:val="20"/>
          <w:lang w:val="pt-BR"/>
        </w:rPr>
        <w:t xml:space="preserve">1.1 </w:t>
      </w:r>
      <w:r w:rsidR="00117E8D" w:rsidRPr="0038442F">
        <w:rPr>
          <w:rFonts w:ascii="Verdana" w:hAnsi="Verdana" w:cs="System Font Regular"/>
          <w:sz w:val="20"/>
          <w:szCs w:val="20"/>
          <w:lang w:val="pt-BR"/>
        </w:rPr>
        <w:t>a partir</w:t>
      </w:r>
      <w:r w:rsidR="004526B4" w:rsidRPr="0038442F">
        <w:rPr>
          <w:rFonts w:ascii="Verdana" w:hAnsi="Verdana" w:cs="System Font Regular"/>
          <w:sz w:val="20"/>
          <w:szCs w:val="20"/>
          <w:lang w:val="pt-BR"/>
        </w:rPr>
        <w:t xml:space="preserve"> </w:t>
      </w:r>
      <w:r w:rsidR="00117E8D" w:rsidRPr="0038442F">
        <w:rPr>
          <w:rFonts w:ascii="Verdana" w:hAnsi="Verdana" w:cs="System Font Regular"/>
          <w:sz w:val="20"/>
          <w:szCs w:val="20"/>
          <w:lang w:val="pt-BR"/>
        </w:rPr>
        <w:t>d</w:t>
      </w:r>
      <w:r w:rsidR="00C92762" w:rsidRPr="0038442F">
        <w:rPr>
          <w:rFonts w:ascii="Verdana" w:hAnsi="Verdana" w:cs="System Font Regular"/>
          <w:sz w:val="20"/>
          <w:szCs w:val="20"/>
          <w:lang w:val="pt-BR"/>
        </w:rPr>
        <w:t xml:space="preserve">a </w:t>
      </w:r>
      <w:r w:rsidR="00FE62DE" w:rsidRPr="0038442F">
        <w:rPr>
          <w:rFonts w:ascii="Verdana" w:hAnsi="Verdana" w:cs="System Font Regular"/>
          <w:sz w:val="20"/>
          <w:szCs w:val="20"/>
          <w:lang w:val="pt-BR"/>
        </w:rPr>
        <w:t>“</w:t>
      </w:r>
      <w:r w:rsidR="00C92762" w:rsidRPr="0038442F">
        <w:rPr>
          <w:rFonts w:ascii="Verdana" w:hAnsi="Verdana" w:cs="System Font Regular"/>
          <w:sz w:val="20"/>
          <w:szCs w:val="20"/>
          <w:lang w:val="pt-BR"/>
        </w:rPr>
        <w:t>obrigação</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 xml:space="preserve">de </w:t>
      </w:r>
      <w:r w:rsidR="009612FB" w:rsidRPr="0038442F">
        <w:rPr>
          <w:rFonts w:ascii="Verdana" w:hAnsi="Verdana" w:cs="System Font Regular"/>
          <w:sz w:val="20"/>
          <w:szCs w:val="20"/>
          <w:lang w:val="pt-BR"/>
        </w:rPr>
        <w:t>garantir</w:t>
      </w:r>
      <w:r w:rsidR="00FE62DE" w:rsidRPr="0038442F">
        <w:rPr>
          <w:rFonts w:ascii="Verdana" w:hAnsi="Verdana" w:cs="System Font Regular"/>
          <w:sz w:val="20"/>
          <w:szCs w:val="20"/>
          <w:lang w:val="pt-BR"/>
        </w:rPr>
        <w:t xml:space="preserve">”. </w:t>
      </w:r>
      <w:r w:rsidR="004526B4" w:rsidRPr="0038442F">
        <w:rPr>
          <w:rFonts w:ascii="Verdana" w:hAnsi="Verdana" w:cs="System Font Regular"/>
          <w:sz w:val="20"/>
          <w:szCs w:val="20"/>
          <w:lang w:val="pt-BR"/>
        </w:rPr>
        <w:t>A</w:t>
      </w:r>
      <w:r w:rsidR="00FE62DE" w:rsidRPr="0038442F">
        <w:rPr>
          <w:rFonts w:ascii="Verdana" w:hAnsi="Verdana" w:cs="System Font Regular"/>
          <w:sz w:val="20"/>
          <w:szCs w:val="20"/>
          <w:lang w:val="pt-BR"/>
        </w:rPr>
        <w:t xml:space="preserve"> </w:t>
      </w:r>
      <w:r w:rsidR="00984A83" w:rsidRPr="0038442F">
        <w:rPr>
          <w:rFonts w:ascii="Verdana" w:hAnsi="Verdana" w:cs="System Font Regular"/>
          <w:sz w:val="20"/>
          <w:szCs w:val="20"/>
          <w:lang w:val="pt-BR"/>
        </w:rPr>
        <w:t>jurisprudência</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 xml:space="preserve">constante </w:t>
      </w:r>
      <w:r w:rsidR="00C92762" w:rsidRPr="0038442F">
        <w:rPr>
          <w:rFonts w:ascii="Verdana" w:hAnsi="Verdana" w:cs="System Font Regular"/>
          <w:sz w:val="20"/>
          <w:szCs w:val="20"/>
          <w:lang w:val="pt-BR"/>
        </w:rPr>
        <w:t xml:space="preserve">da </w:t>
      </w:r>
      <w:r w:rsidR="00FE62DE" w:rsidRPr="0038442F">
        <w:rPr>
          <w:rFonts w:ascii="Verdana" w:hAnsi="Verdana" w:cs="System Font Regular"/>
          <w:sz w:val="20"/>
          <w:szCs w:val="20"/>
          <w:lang w:val="pt-BR"/>
        </w:rPr>
        <w:t xml:space="preserve">Corte IDH </w:t>
      </w:r>
      <w:r w:rsidR="004526B4" w:rsidRPr="0038442F">
        <w:rPr>
          <w:rFonts w:ascii="Verdana" w:hAnsi="Verdana" w:cs="System Font Regular"/>
          <w:sz w:val="20"/>
          <w:szCs w:val="20"/>
          <w:lang w:val="pt-BR"/>
        </w:rPr>
        <w:t xml:space="preserve">havia salientado </w:t>
      </w:r>
      <w:r w:rsidR="00FE62DE" w:rsidRPr="0038442F">
        <w:rPr>
          <w:rFonts w:ascii="Verdana" w:hAnsi="Verdana" w:cs="System Font Regular"/>
          <w:sz w:val="20"/>
          <w:szCs w:val="20"/>
          <w:lang w:val="pt-BR"/>
        </w:rPr>
        <w:t>que “</w:t>
      </w:r>
      <w:r w:rsidR="005135E5" w:rsidRPr="0038442F">
        <w:rPr>
          <w:rFonts w:ascii="Verdana" w:hAnsi="Verdana" w:cs="Arial"/>
          <w:sz w:val="20"/>
          <w:szCs w:val="20"/>
          <w:lang w:val="pt-BR"/>
        </w:rPr>
        <w:t xml:space="preserve">os Estados </w:t>
      </w:r>
      <w:r w:rsidR="004526B4" w:rsidRPr="0038442F">
        <w:rPr>
          <w:rFonts w:ascii="Verdana" w:hAnsi="Verdana" w:cs="Arial"/>
          <w:sz w:val="20"/>
          <w:szCs w:val="20"/>
          <w:lang w:val="pt-BR"/>
        </w:rPr>
        <w:t xml:space="preserve">estão obrigados </w:t>
      </w:r>
      <w:r w:rsidR="00FE62DE" w:rsidRPr="0038442F">
        <w:rPr>
          <w:rFonts w:ascii="Verdana" w:hAnsi="Verdana"/>
          <w:sz w:val="20"/>
          <w:szCs w:val="20"/>
          <w:lang w:val="pt-BR" w:eastAsia="es-CR"/>
        </w:rPr>
        <w:t xml:space="preserve">a </w:t>
      </w:r>
      <w:r w:rsidR="00C92762" w:rsidRPr="0038442F">
        <w:rPr>
          <w:rFonts w:ascii="Verdana" w:hAnsi="Verdana"/>
          <w:sz w:val="20"/>
          <w:szCs w:val="20"/>
          <w:lang w:val="pt-BR" w:eastAsia="es-CR"/>
        </w:rPr>
        <w:t>adotar</w:t>
      </w:r>
      <w:r w:rsidR="00407242" w:rsidRPr="0038442F">
        <w:rPr>
          <w:rFonts w:ascii="Verdana" w:hAnsi="Verdana"/>
          <w:sz w:val="20"/>
          <w:szCs w:val="20"/>
          <w:lang w:val="pt-BR" w:eastAsia="es-CR"/>
        </w:rPr>
        <w:t xml:space="preserve"> </w:t>
      </w:r>
      <w:r w:rsidR="00FE62DE" w:rsidRPr="0038442F">
        <w:rPr>
          <w:rFonts w:ascii="Verdana" w:hAnsi="Verdana"/>
          <w:sz w:val="20"/>
          <w:szCs w:val="20"/>
          <w:lang w:val="pt-BR" w:eastAsia="es-CR"/>
        </w:rPr>
        <w:t>medidas positivas para revert</w:t>
      </w:r>
      <w:r w:rsidR="004526B4" w:rsidRPr="0038442F">
        <w:rPr>
          <w:rFonts w:ascii="Verdana" w:hAnsi="Verdana"/>
          <w:sz w:val="20"/>
          <w:szCs w:val="20"/>
          <w:lang w:val="pt-BR" w:eastAsia="es-CR"/>
        </w:rPr>
        <w:t>e</w:t>
      </w:r>
      <w:r w:rsidR="00FE62DE" w:rsidRPr="0038442F">
        <w:rPr>
          <w:rFonts w:ascii="Verdana" w:hAnsi="Verdana"/>
          <w:sz w:val="20"/>
          <w:szCs w:val="20"/>
          <w:lang w:val="pt-BR" w:eastAsia="es-CR"/>
        </w:rPr>
        <w:t>r o</w:t>
      </w:r>
      <w:r w:rsidR="004526B4" w:rsidRPr="0038442F">
        <w:rPr>
          <w:rFonts w:ascii="Verdana" w:hAnsi="Verdana"/>
          <w:sz w:val="20"/>
          <w:szCs w:val="20"/>
          <w:lang w:val="pt-BR" w:eastAsia="es-CR"/>
        </w:rPr>
        <w:t>u</w:t>
      </w:r>
      <w:r w:rsidR="00FE62DE" w:rsidRPr="0038442F">
        <w:rPr>
          <w:rFonts w:ascii="Verdana" w:hAnsi="Verdana"/>
          <w:sz w:val="20"/>
          <w:szCs w:val="20"/>
          <w:lang w:val="pt-BR" w:eastAsia="es-CR"/>
        </w:rPr>
        <w:t xml:space="preserve"> </w:t>
      </w:r>
      <w:r w:rsidR="004526B4" w:rsidRPr="0038442F">
        <w:rPr>
          <w:rFonts w:ascii="Verdana" w:hAnsi="Verdana"/>
          <w:sz w:val="20"/>
          <w:szCs w:val="20"/>
          <w:lang w:val="pt-BR" w:eastAsia="es-CR"/>
        </w:rPr>
        <w:t xml:space="preserve">mudar </w:t>
      </w:r>
      <w:r w:rsidR="00FE62DE" w:rsidRPr="0038442F">
        <w:rPr>
          <w:rFonts w:ascii="Verdana" w:hAnsi="Verdana"/>
          <w:sz w:val="20"/>
          <w:szCs w:val="20"/>
          <w:lang w:val="pt-BR" w:eastAsia="es-CR"/>
        </w:rPr>
        <w:t>situa</w:t>
      </w:r>
      <w:r w:rsidR="000A1AA8" w:rsidRPr="0038442F">
        <w:rPr>
          <w:rFonts w:ascii="Verdana" w:hAnsi="Verdana"/>
          <w:sz w:val="20"/>
          <w:szCs w:val="20"/>
          <w:lang w:val="pt-BR" w:eastAsia="es-CR"/>
        </w:rPr>
        <w:t>ções</w:t>
      </w:r>
      <w:r w:rsidR="00FE62DE" w:rsidRPr="0038442F">
        <w:rPr>
          <w:rFonts w:ascii="Verdana" w:hAnsi="Verdana"/>
          <w:sz w:val="20"/>
          <w:szCs w:val="20"/>
          <w:lang w:val="pt-BR" w:eastAsia="es-CR"/>
        </w:rPr>
        <w:t xml:space="preserve"> discriminat</w:t>
      </w:r>
      <w:r w:rsidR="004526B4" w:rsidRPr="0038442F">
        <w:rPr>
          <w:rFonts w:ascii="Verdana" w:hAnsi="Verdana"/>
          <w:sz w:val="20"/>
          <w:szCs w:val="20"/>
          <w:lang w:val="pt-BR" w:eastAsia="es-CR"/>
        </w:rPr>
        <w:t>ó</w:t>
      </w:r>
      <w:r w:rsidR="00FE62DE" w:rsidRPr="0038442F">
        <w:rPr>
          <w:rFonts w:ascii="Verdana" w:hAnsi="Verdana"/>
          <w:sz w:val="20"/>
          <w:szCs w:val="20"/>
          <w:lang w:val="pt-BR" w:eastAsia="es-CR"/>
        </w:rPr>
        <w:t xml:space="preserve">rias existentes </w:t>
      </w:r>
      <w:r w:rsidR="004526B4" w:rsidRPr="0038442F">
        <w:rPr>
          <w:rFonts w:ascii="Verdana" w:hAnsi="Verdana"/>
          <w:sz w:val="20"/>
          <w:szCs w:val="20"/>
          <w:lang w:val="pt-BR" w:eastAsia="es-CR"/>
        </w:rPr>
        <w:t xml:space="preserve">em suas </w:t>
      </w:r>
      <w:r w:rsidR="00FE62DE" w:rsidRPr="0038442F">
        <w:rPr>
          <w:rFonts w:ascii="Verdana" w:hAnsi="Verdana"/>
          <w:sz w:val="20"/>
          <w:szCs w:val="20"/>
          <w:lang w:val="pt-BR" w:eastAsia="es-CR"/>
        </w:rPr>
        <w:t>sociedades, e</w:t>
      </w:r>
      <w:r w:rsidR="004526B4" w:rsidRPr="0038442F">
        <w:rPr>
          <w:rFonts w:ascii="Verdana" w:hAnsi="Verdana"/>
          <w:sz w:val="20"/>
          <w:szCs w:val="20"/>
          <w:lang w:val="pt-BR" w:eastAsia="es-CR"/>
        </w:rPr>
        <w:t xml:space="preserve">m detrimento </w:t>
      </w:r>
      <w:r w:rsidR="00FE62DE" w:rsidRPr="0038442F">
        <w:rPr>
          <w:rFonts w:ascii="Verdana" w:hAnsi="Verdana"/>
          <w:sz w:val="20"/>
          <w:szCs w:val="20"/>
          <w:lang w:val="pt-BR" w:eastAsia="es-CR"/>
        </w:rPr>
        <w:t xml:space="preserve">de determinado grupo de </w:t>
      </w:r>
      <w:r w:rsidR="00C92762" w:rsidRPr="0038442F">
        <w:rPr>
          <w:rFonts w:ascii="Verdana" w:hAnsi="Verdana"/>
          <w:sz w:val="20"/>
          <w:szCs w:val="20"/>
          <w:lang w:val="pt-BR" w:eastAsia="es-CR"/>
        </w:rPr>
        <w:t>pessoas</w:t>
      </w:r>
      <w:r w:rsidR="00FE62DE" w:rsidRPr="0038442F">
        <w:rPr>
          <w:rFonts w:ascii="Verdana" w:hAnsi="Verdana"/>
          <w:sz w:val="20"/>
          <w:szCs w:val="20"/>
          <w:lang w:val="pt-BR" w:eastAsia="es-CR"/>
        </w:rPr>
        <w:t xml:space="preserve">. </w:t>
      </w:r>
      <w:r w:rsidR="004526B4" w:rsidRPr="0038442F">
        <w:rPr>
          <w:rFonts w:ascii="Verdana" w:hAnsi="Verdana"/>
          <w:sz w:val="20"/>
          <w:szCs w:val="20"/>
          <w:lang w:val="pt-BR" w:eastAsia="es-CR"/>
        </w:rPr>
        <w:t xml:space="preserve">Isso </w:t>
      </w:r>
      <w:r w:rsidR="00FE62DE" w:rsidRPr="0038442F">
        <w:rPr>
          <w:rFonts w:ascii="Verdana" w:hAnsi="Verdana"/>
          <w:sz w:val="20"/>
          <w:szCs w:val="20"/>
          <w:lang w:val="pt-BR" w:eastAsia="es-CR"/>
        </w:rPr>
        <w:t xml:space="preserve">implica </w:t>
      </w:r>
      <w:r w:rsidR="004526B4" w:rsidRPr="0038442F">
        <w:rPr>
          <w:rFonts w:ascii="Verdana" w:hAnsi="Verdana"/>
          <w:sz w:val="20"/>
          <w:szCs w:val="20"/>
          <w:lang w:val="pt-BR" w:eastAsia="es-CR"/>
        </w:rPr>
        <w:t xml:space="preserve">o </w:t>
      </w:r>
      <w:r w:rsidR="00A97590" w:rsidRPr="0038442F">
        <w:rPr>
          <w:rFonts w:ascii="Verdana" w:hAnsi="Verdana"/>
          <w:sz w:val="20"/>
          <w:szCs w:val="20"/>
          <w:lang w:val="pt-BR" w:eastAsia="es-CR"/>
        </w:rPr>
        <w:t>dever</w:t>
      </w:r>
      <w:r w:rsidR="00407242" w:rsidRPr="0038442F">
        <w:rPr>
          <w:rFonts w:ascii="Verdana" w:hAnsi="Verdana"/>
          <w:sz w:val="20"/>
          <w:szCs w:val="20"/>
          <w:lang w:val="pt-BR" w:eastAsia="es-CR"/>
        </w:rPr>
        <w:t xml:space="preserve"> </w:t>
      </w:r>
      <w:r w:rsidR="00FE62DE" w:rsidRPr="0038442F">
        <w:rPr>
          <w:rFonts w:ascii="Verdana" w:hAnsi="Verdana"/>
          <w:sz w:val="20"/>
          <w:szCs w:val="20"/>
          <w:lang w:val="pt-BR" w:eastAsia="es-CR"/>
        </w:rPr>
        <w:t xml:space="preserve">especial de </w:t>
      </w:r>
      <w:r w:rsidR="00751189" w:rsidRPr="0038442F">
        <w:rPr>
          <w:rFonts w:ascii="Verdana" w:hAnsi="Verdana"/>
          <w:sz w:val="20"/>
          <w:szCs w:val="20"/>
          <w:lang w:val="pt-BR" w:eastAsia="es-CR"/>
        </w:rPr>
        <w:t>proteção</w:t>
      </w:r>
      <w:r w:rsidR="00407242" w:rsidRPr="0038442F">
        <w:rPr>
          <w:rFonts w:ascii="Verdana" w:hAnsi="Verdana"/>
          <w:sz w:val="20"/>
          <w:szCs w:val="20"/>
          <w:lang w:val="pt-BR" w:eastAsia="es-CR"/>
        </w:rPr>
        <w:t xml:space="preserve"> </w:t>
      </w:r>
      <w:r w:rsidR="00FE62DE" w:rsidRPr="0038442F">
        <w:rPr>
          <w:rFonts w:ascii="Verdana" w:hAnsi="Verdana"/>
          <w:sz w:val="20"/>
          <w:szCs w:val="20"/>
          <w:lang w:val="pt-BR" w:eastAsia="es-CR"/>
        </w:rPr>
        <w:t xml:space="preserve">que </w:t>
      </w:r>
      <w:r w:rsidR="000A1AA8" w:rsidRPr="0038442F">
        <w:rPr>
          <w:rFonts w:ascii="Verdana" w:hAnsi="Verdana"/>
          <w:sz w:val="20"/>
          <w:szCs w:val="20"/>
          <w:lang w:val="pt-BR" w:eastAsia="es-CR"/>
        </w:rPr>
        <w:t xml:space="preserve">o Estado </w:t>
      </w:r>
      <w:r w:rsidR="000450DD" w:rsidRPr="0038442F">
        <w:rPr>
          <w:rFonts w:ascii="Verdana" w:hAnsi="Verdana"/>
          <w:sz w:val="20"/>
          <w:szCs w:val="20"/>
          <w:lang w:val="pt-BR" w:eastAsia="es-CR"/>
        </w:rPr>
        <w:t>deve</w:t>
      </w:r>
      <w:r w:rsidR="00407242" w:rsidRPr="0038442F">
        <w:rPr>
          <w:rFonts w:ascii="Verdana" w:hAnsi="Verdana"/>
          <w:sz w:val="20"/>
          <w:szCs w:val="20"/>
          <w:lang w:val="pt-BR" w:eastAsia="es-CR"/>
        </w:rPr>
        <w:t xml:space="preserve"> </w:t>
      </w:r>
      <w:r w:rsidR="00FE62DE" w:rsidRPr="0038442F">
        <w:rPr>
          <w:rFonts w:ascii="Verdana" w:hAnsi="Verdana"/>
          <w:sz w:val="20"/>
          <w:szCs w:val="20"/>
          <w:lang w:val="pt-BR" w:eastAsia="es-CR"/>
        </w:rPr>
        <w:t>e</w:t>
      </w:r>
      <w:r w:rsidR="004526B4" w:rsidRPr="0038442F">
        <w:rPr>
          <w:rFonts w:ascii="Verdana" w:hAnsi="Verdana"/>
          <w:sz w:val="20"/>
          <w:szCs w:val="20"/>
          <w:lang w:val="pt-BR" w:eastAsia="es-CR"/>
        </w:rPr>
        <w:t>x</w:t>
      </w:r>
      <w:r w:rsidR="00FE62DE" w:rsidRPr="0038442F">
        <w:rPr>
          <w:rFonts w:ascii="Verdana" w:hAnsi="Verdana"/>
          <w:sz w:val="20"/>
          <w:szCs w:val="20"/>
          <w:lang w:val="pt-BR" w:eastAsia="es-CR"/>
        </w:rPr>
        <w:t xml:space="preserve">ercer </w:t>
      </w:r>
      <w:r w:rsidR="004526B4" w:rsidRPr="0038442F">
        <w:rPr>
          <w:rFonts w:ascii="Verdana" w:hAnsi="Verdana"/>
          <w:sz w:val="20"/>
          <w:szCs w:val="20"/>
          <w:lang w:val="pt-BR" w:eastAsia="es-CR"/>
        </w:rPr>
        <w:t xml:space="preserve">a </w:t>
      </w:r>
      <w:r w:rsidR="009D16DD" w:rsidRPr="0038442F">
        <w:rPr>
          <w:rFonts w:ascii="Verdana" w:hAnsi="Verdana"/>
          <w:sz w:val="20"/>
          <w:szCs w:val="20"/>
          <w:lang w:val="pt-BR" w:eastAsia="es-CR"/>
        </w:rPr>
        <w:t>respeito</w:t>
      </w:r>
      <w:r w:rsidR="00407242" w:rsidRPr="0038442F">
        <w:rPr>
          <w:rFonts w:ascii="Verdana" w:hAnsi="Verdana"/>
          <w:sz w:val="20"/>
          <w:szCs w:val="20"/>
          <w:lang w:val="pt-BR" w:eastAsia="es-CR"/>
        </w:rPr>
        <w:t xml:space="preserve"> </w:t>
      </w:r>
      <w:r w:rsidR="00FE62DE" w:rsidRPr="0038442F">
        <w:rPr>
          <w:rFonts w:ascii="Verdana" w:hAnsi="Verdana"/>
          <w:sz w:val="20"/>
          <w:szCs w:val="20"/>
          <w:lang w:val="pt-BR" w:eastAsia="es-CR"/>
        </w:rPr>
        <w:t>de a</w:t>
      </w:r>
      <w:r w:rsidR="000A1AA8" w:rsidRPr="0038442F">
        <w:rPr>
          <w:rFonts w:ascii="Verdana" w:hAnsi="Verdana"/>
          <w:sz w:val="20"/>
          <w:szCs w:val="20"/>
          <w:lang w:val="pt-BR" w:eastAsia="es-CR"/>
        </w:rPr>
        <w:t>ções</w:t>
      </w:r>
      <w:r w:rsidR="00FE62DE" w:rsidRPr="0038442F">
        <w:rPr>
          <w:rFonts w:ascii="Verdana" w:hAnsi="Verdana"/>
          <w:sz w:val="20"/>
          <w:szCs w:val="20"/>
          <w:lang w:val="pt-BR" w:eastAsia="es-CR"/>
        </w:rPr>
        <w:t xml:space="preserve"> </w:t>
      </w:r>
      <w:r w:rsidR="004526B4" w:rsidRPr="0038442F">
        <w:rPr>
          <w:rFonts w:ascii="Verdana" w:hAnsi="Verdana"/>
          <w:sz w:val="20"/>
          <w:szCs w:val="20"/>
          <w:lang w:val="pt-BR" w:eastAsia="es-CR"/>
        </w:rPr>
        <w:t>e</w:t>
      </w:r>
      <w:r w:rsidR="00FE62DE" w:rsidRPr="0038442F">
        <w:rPr>
          <w:rFonts w:ascii="Verdana" w:hAnsi="Verdana"/>
          <w:sz w:val="20"/>
          <w:szCs w:val="20"/>
          <w:lang w:val="pt-BR" w:eastAsia="es-CR"/>
        </w:rPr>
        <w:t xml:space="preserve"> </w:t>
      </w:r>
      <w:r w:rsidR="000450DD" w:rsidRPr="0038442F">
        <w:rPr>
          <w:rFonts w:ascii="Verdana" w:hAnsi="Verdana"/>
          <w:sz w:val="20"/>
          <w:szCs w:val="20"/>
          <w:lang w:val="pt-BR" w:eastAsia="es-CR"/>
        </w:rPr>
        <w:t>práticas</w:t>
      </w:r>
      <w:r w:rsidR="00407242" w:rsidRPr="0038442F">
        <w:rPr>
          <w:rFonts w:ascii="Verdana" w:hAnsi="Verdana"/>
          <w:sz w:val="20"/>
          <w:szCs w:val="20"/>
          <w:lang w:val="pt-BR" w:eastAsia="es-CR"/>
        </w:rPr>
        <w:t xml:space="preserve"> </w:t>
      </w:r>
      <w:r w:rsidR="00FE62DE" w:rsidRPr="0038442F">
        <w:rPr>
          <w:rFonts w:ascii="Verdana" w:hAnsi="Verdana"/>
          <w:sz w:val="20"/>
          <w:szCs w:val="20"/>
          <w:lang w:val="pt-BR" w:eastAsia="es-CR"/>
        </w:rPr>
        <w:t xml:space="preserve">de </w:t>
      </w:r>
      <w:r w:rsidR="004526B4" w:rsidRPr="0038442F">
        <w:rPr>
          <w:rFonts w:ascii="Verdana" w:hAnsi="Verdana"/>
          <w:sz w:val="20"/>
          <w:szCs w:val="20"/>
          <w:lang w:val="pt-BR" w:eastAsia="es-CR"/>
        </w:rPr>
        <w:t xml:space="preserve">terceiros que, com sua tolerância ou aquiescência, criem, mantenham ou favoreçam as </w:t>
      </w:r>
      <w:r w:rsidR="00FE62DE" w:rsidRPr="0038442F">
        <w:rPr>
          <w:rFonts w:ascii="Verdana" w:hAnsi="Verdana"/>
          <w:sz w:val="20"/>
          <w:szCs w:val="20"/>
          <w:lang w:val="pt-BR" w:eastAsia="es-CR"/>
        </w:rPr>
        <w:t>situa</w:t>
      </w:r>
      <w:r w:rsidR="000A1AA8" w:rsidRPr="0038442F">
        <w:rPr>
          <w:rFonts w:ascii="Verdana" w:hAnsi="Verdana"/>
          <w:sz w:val="20"/>
          <w:szCs w:val="20"/>
          <w:lang w:val="pt-BR" w:eastAsia="es-CR"/>
        </w:rPr>
        <w:t>ções</w:t>
      </w:r>
      <w:r w:rsidR="00FE62DE" w:rsidRPr="0038442F">
        <w:rPr>
          <w:rFonts w:ascii="Verdana" w:hAnsi="Verdana"/>
          <w:sz w:val="20"/>
          <w:szCs w:val="20"/>
          <w:lang w:val="pt-BR" w:eastAsia="es-CR"/>
        </w:rPr>
        <w:t xml:space="preserve"> discriminat</w:t>
      </w:r>
      <w:r w:rsidR="004526B4" w:rsidRPr="0038442F">
        <w:rPr>
          <w:rFonts w:ascii="Verdana" w:hAnsi="Verdana"/>
          <w:sz w:val="20"/>
          <w:szCs w:val="20"/>
          <w:lang w:val="pt-BR" w:eastAsia="es-CR"/>
        </w:rPr>
        <w:t>ó</w:t>
      </w:r>
      <w:r w:rsidR="00FE62DE" w:rsidRPr="0038442F">
        <w:rPr>
          <w:rFonts w:ascii="Verdana" w:hAnsi="Verdana"/>
          <w:sz w:val="20"/>
          <w:szCs w:val="20"/>
          <w:lang w:val="pt-BR" w:eastAsia="es-CR"/>
        </w:rPr>
        <w:t>rias”</w:t>
      </w:r>
      <w:r w:rsidR="004526B4" w:rsidRPr="0038442F">
        <w:rPr>
          <w:rFonts w:ascii="Verdana" w:hAnsi="Verdana"/>
          <w:sz w:val="20"/>
          <w:szCs w:val="20"/>
          <w:lang w:val="pt-BR" w:eastAsia="es-CR"/>
        </w:rPr>
        <w:t>.</w:t>
      </w:r>
      <w:r w:rsidR="00FE62DE" w:rsidRPr="0038442F">
        <w:rPr>
          <w:rFonts w:ascii="Verdana" w:hAnsi="Verdana"/>
          <w:vertAlign w:val="superscript"/>
          <w:lang w:val="pt-BR" w:eastAsia="es-CR"/>
        </w:rPr>
        <w:footnoteReference w:id="159"/>
      </w:r>
    </w:p>
    <w:p w14:paraId="28E8F64F" w14:textId="77777777" w:rsidR="00FE62DE" w:rsidRPr="0038442F" w:rsidRDefault="00FE62DE" w:rsidP="00A857CB">
      <w:pPr>
        <w:pStyle w:val="Prrafodelista"/>
        <w:spacing w:after="0" w:line="240" w:lineRule="auto"/>
        <w:ind w:left="0"/>
        <w:jc w:val="both"/>
        <w:rPr>
          <w:rFonts w:ascii="Verdana" w:hAnsi="Verdana" w:cs="System Font Regular"/>
          <w:sz w:val="20"/>
          <w:szCs w:val="20"/>
          <w:lang w:val="pt-BR"/>
        </w:rPr>
      </w:pPr>
    </w:p>
    <w:p w14:paraId="0C3E0D31" w14:textId="1A2237F3" w:rsidR="00FE62DE" w:rsidRPr="0038442F" w:rsidRDefault="00B33067" w:rsidP="00B33067">
      <w:pPr>
        <w:pStyle w:val="Prrafodelista"/>
        <w:spacing w:after="0" w:line="240" w:lineRule="auto"/>
        <w:ind w:left="0"/>
        <w:jc w:val="both"/>
        <w:rPr>
          <w:rFonts w:ascii="Verdana" w:hAnsi="Verdana" w:cs="System Font Regular"/>
          <w:sz w:val="20"/>
          <w:szCs w:val="20"/>
          <w:lang w:val="pt-BR"/>
        </w:rPr>
      </w:pPr>
      <w:r w:rsidRPr="0038442F">
        <w:rPr>
          <w:rFonts w:ascii="Verdana" w:hAnsi="Verdana"/>
          <w:sz w:val="20"/>
          <w:szCs w:val="20"/>
          <w:lang w:val="pt-BR"/>
        </w:rPr>
        <w:t xml:space="preserve">98. </w:t>
      </w:r>
      <w:r w:rsidRPr="0038442F">
        <w:rPr>
          <w:rFonts w:ascii="Verdana" w:hAnsi="Verdana"/>
          <w:sz w:val="20"/>
          <w:szCs w:val="20"/>
          <w:lang w:val="pt-BR"/>
        </w:rPr>
        <w:tab/>
      </w:r>
      <w:r w:rsidR="004526B4" w:rsidRPr="0038442F">
        <w:rPr>
          <w:rFonts w:ascii="Verdana" w:hAnsi="Verdana"/>
          <w:sz w:val="20"/>
          <w:szCs w:val="20"/>
          <w:lang w:val="pt-BR"/>
        </w:rPr>
        <w:t xml:space="preserve">Na </w:t>
      </w:r>
      <w:r w:rsidR="00BF7A10" w:rsidRPr="0038442F">
        <w:rPr>
          <w:rFonts w:ascii="Verdana" w:hAnsi="Verdana"/>
          <w:sz w:val="20"/>
          <w:szCs w:val="20"/>
          <w:lang w:val="pt-BR"/>
        </w:rPr>
        <w:t>sentença</w:t>
      </w:r>
      <w:r w:rsidR="00117E8D" w:rsidRPr="0038442F">
        <w:rPr>
          <w:rFonts w:ascii="Verdana" w:hAnsi="Verdana"/>
          <w:sz w:val="20"/>
          <w:szCs w:val="20"/>
          <w:lang w:val="pt-BR"/>
        </w:rPr>
        <w:t>,</w:t>
      </w:r>
      <w:r w:rsidR="00BF7A10" w:rsidRPr="0038442F">
        <w:rPr>
          <w:rFonts w:ascii="Verdana" w:hAnsi="Verdana"/>
          <w:sz w:val="20"/>
          <w:szCs w:val="20"/>
          <w:lang w:val="pt-BR"/>
        </w:rPr>
        <w:t xml:space="preserve"> </w:t>
      </w:r>
      <w:r w:rsidR="008806F8" w:rsidRPr="0038442F">
        <w:rPr>
          <w:rFonts w:ascii="Verdana" w:hAnsi="Verdana"/>
          <w:sz w:val="20"/>
          <w:szCs w:val="20"/>
          <w:lang w:val="pt-BR"/>
        </w:rPr>
        <w:t xml:space="preserve">a Corte </w:t>
      </w:r>
      <w:r w:rsidRPr="0038442F">
        <w:rPr>
          <w:rFonts w:ascii="Verdana" w:hAnsi="Verdana"/>
          <w:sz w:val="20"/>
          <w:szCs w:val="20"/>
          <w:lang w:val="pt-BR"/>
        </w:rPr>
        <w:t xml:space="preserve">IDH </w:t>
      </w:r>
      <w:r w:rsidR="004526B4" w:rsidRPr="0038442F">
        <w:rPr>
          <w:rFonts w:ascii="Verdana" w:hAnsi="Verdana"/>
          <w:sz w:val="20"/>
          <w:szCs w:val="20"/>
          <w:lang w:val="pt-BR"/>
        </w:rPr>
        <w:t xml:space="preserve">destacou que analisaria </w:t>
      </w:r>
      <w:r w:rsidR="003B374E" w:rsidRPr="0038442F">
        <w:rPr>
          <w:rFonts w:ascii="Verdana" w:hAnsi="Verdana"/>
          <w:sz w:val="20"/>
          <w:szCs w:val="20"/>
          <w:lang w:val="pt-BR"/>
        </w:rPr>
        <w:t xml:space="preserve">o artigo </w:t>
      </w:r>
      <w:r w:rsidR="00FE62DE" w:rsidRPr="0038442F">
        <w:rPr>
          <w:rFonts w:ascii="Verdana" w:hAnsi="Verdana"/>
          <w:sz w:val="20"/>
          <w:szCs w:val="20"/>
          <w:lang w:val="pt-BR"/>
        </w:rPr>
        <w:t>24 de</w:t>
      </w:r>
      <w:r w:rsidR="004526B4" w:rsidRPr="0038442F">
        <w:rPr>
          <w:rFonts w:ascii="Verdana" w:hAnsi="Verdana"/>
          <w:sz w:val="20"/>
          <w:szCs w:val="20"/>
          <w:lang w:val="pt-BR"/>
        </w:rPr>
        <w:t>v</w:t>
      </w:r>
      <w:r w:rsidR="00FE62DE" w:rsidRPr="0038442F">
        <w:rPr>
          <w:rFonts w:ascii="Verdana" w:hAnsi="Verdana"/>
          <w:sz w:val="20"/>
          <w:szCs w:val="20"/>
          <w:lang w:val="pt-BR"/>
        </w:rPr>
        <w:t>ido a que:</w:t>
      </w:r>
    </w:p>
    <w:p w14:paraId="438CD822" w14:textId="77777777" w:rsidR="00FE62DE" w:rsidRPr="0038442F" w:rsidRDefault="00FE62DE" w:rsidP="00A857CB">
      <w:pPr>
        <w:pStyle w:val="Prrafodelista"/>
        <w:spacing w:line="240" w:lineRule="auto"/>
        <w:ind w:right="899"/>
        <w:rPr>
          <w:rFonts w:ascii="Verdana" w:hAnsi="Verdana"/>
          <w:sz w:val="16"/>
          <w:szCs w:val="16"/>
          <w:lang w:val="pt-BR"/>
        </w:rPr>
      </w:pPr>
    </w:p>
    <w:p w14:paraId="0D4C6732" w14:textId="1900253B" w:rsidR="00FE62DE" w:rsidRPr="0038442F" w:rsidRDefault="00FE62DE" w:rsidP="00A857CB">
      <w:pPr>
        <w:pStyle w:val="Prrafodelista"/>
        <w:spacing w:after="0" w:line="240" w:lineRule="auto"/>
        <w:ind w:left="708" w:right="899"/>
        <w:jc w:val="both"/>
        <w:rPr>
          <w:rFonts w:ascii="Verdana" w:hAnsi="Verdana" w:cs="System Font Regular"/>
          <w:sz w:val="16"/>
          <w:szCs w:val="16"/>
          <w:lang w:val="pt-BR"/>
        </w:rPr>
      </w:pPr>
      <w:r w:rsidRPr="0038442F">
        <w:rPr>
          <w:rFonts w:ascii="Verdana" w:hAnsi="Verdana"/>
          <w:sz w:val="16"/>
          <w:szCs w:val="16"/>
          <w:lang w:val="pt-BR"/>
        </w:rPr>
        <w:t>[</w:t>
      </w:r>
      <w:r w:rsidR="004526B4" w:rsidRPr="0038442F">
        <w:rPr>
          <w:rFonts w:ascii="Verdana" w:hAnsi="Verdana"/>
          <w:sz w:val="16"/>
          <w:szCs w:val="16"/>
          <w:lang w:val="pt-BR"/>
        </w:rPr>
        <w:t>p</w:t>
      </w:r>
      <w:r w:rsidRPr="0038442F">
        <w:rPr>
          <w:rFonts w:ascii="Verdana" w:hAnsi="Verdana"/>
          <w:sz w:val="16"/>
          <w:szCs w:val="16"/>
          <w:lang w:val="pt-BR"/>
        </w:rPr>
        <w:t>]o</w:t>
      </w:r>
      <w:r w:rsidR="004526B4" w:rsidRPr="0038442F">
        <w:rPr>
          <w:rFonts w:ascii="Verdana" w:hAnsi="Verdana"/>
          <w:sz w:val="16"/>
          <w:szCs w:val="16"/>
          <w:lang w:val="pt-BR"/>
        </w:rPr>
        <w:t>r conseguinte</w:t>
      </w:r>
      <w:r w:rsidRPr="0038442F">
        <w:rPr>
          <w:rFonts w:ascii="Verdana" w:hAnsi="Verdana"/>
          <w:sz w:val="16"/>
          <w:szCs w:val="16"/>
          <w:lang w:val="pt-BR"/>
        </w:rPr>
        <w:t>, neste caso</w:t>
      </w:r>
      <w:r w:rsidR="004526B4" w:rsidRPr="0038442F">
        <w:rPr>
          <w:rFonts w:ascii="Verdana" w:hAnsi="Verdana"/>
          <w:sz w:val="16"/>
          <w:szCs w:val="16"/>
          <w:lang w:val="pt-BR"/>
        </w:rPr>
        <w:t>,</w:t>
      </w:r>
      <w:r w:rsidRPr="0038442F">
        <w:rPr>
          <w:rFonts w:ascii="Verdana" w:hAnsi="Verdana"/>
          <w:sz w:val="16"/>
          <w:szCs w:val="16"/>
          <w:lang w:val="pt-BR"/>
        </w:rPr>
        <w:t xml:space="preserve"> </w:t>
      </w:r>
      <w:r w:rsidR="008806F8" w:rsidRPr="0038442F">
        <w:rPr>
          <w:rFonts w:ascii="Verdana" w:hAnsi="Verdana"/>
          <w:sz w:val="16"/>
          <w:szCs w:val="16"/>
          <w:lang w:val="pt-BR"/>
        </w:rPr>
        <w:t xml:space="preserve">a Corte </w:t>
      </w:r>
      <w:r w:rsidRPr="0038442F">
        <w:rPr>
          <w:rFonts w:ascii="Verdana" w:hAnsi="Verdana"/>
          <w:sz w:val="16"/>
          <w:szCs w:val="16"/>
          <w:lang w:val="pt-BR"/>
        </w:rPr>
        <w:t>anali</w:t>
      </w:r>
      <w:r w:rsidR="004526B4" w:rsidRPr="0038442F">
        <w:rPr>
          <w:rFonts w:ascii="Verdana" w:hAnsi="Verdana"/>
          <w:sz w:val="16"/>
          <w:szCs w:val="16"/>
          <w:lang w:val="pt-BR"/>
        </w:rPr>
        <w:t>s</w:t>
      </w:r>
      <w:r w:rsidRPr="0038442F">
        <w:rPr>
          <w:rFonts w:ascii="Verdana" w:hAnsi="Verdana"/>
          <w:sz w:val="16"/>
          <w:szCs w:val="16"/>
          <w:lang w:val="pt-BR"/>
        </w:rPr>
        <w:t xml:space="preserve">ará </w:t>
      </w:r>
      <w:r w:rsidR="008806F8" w:rsidRPr="0038442F">
        <w:rPr>
          <w:rFonts w:ascii="Verdana" w:hAnsi="Verdana"/>
          <w:sz w:val="16"/>
          <w:szCs w:val="16"/>
          <w:lang w:val="pt-BR"/>
        </w:rPr>
        <w:t xml:space="preserve">as violações </w:t>
      </w:r>
      <w:r w:rsidRPr="0038442F">
        <w:rPr>
          <w:rFonts w:ascii="Verdana" w:hAnsi="Verdana"/>
          <w:sz w:val="16"/>
          <w:szCs w:val="16"/>
          <w:lang w:val="pt-BR"/>
        </w:rPr>
        <w:t xml:space="preserve">alegadas </w:t>
      </w:r>
      <w:r w:rsidR="004526B4" w:rsidRPr="0038442F">
        <w:rPr>
          <w:rFonts w:ascii="Verdana" w:hAnsi="Verdana"/>
          <w:sz w:val="16"/>
          <w:szCs w:val="16"/>
          <w:lang w:val="pt-BR"/>
        </w:rPr>
        <w:t xml:space="preserve">à </w:t>
      </w:r>
      <w:r w:rsidRPr="0038442F">
        <w:rPr>
          <w:rFonts w:ascii="Verdana" w:hAnsi="Verdana"/>
          <w:sz w:val="16"/>
          <w:szCs w:val="16"/>
          <w:lang w:val="pt-BR"/>
        </w:rPr>
        <w:t xml:space="preserve">luz </w:t>
      </w:r>
      <w:r w:rsidR="00C92762" w:rsidRPr="0038442F">
        <w:rPr>
          <w:rFonts w:ascii="Verdana" w:hAnsi="Verdana"/>
          <w:sz w:val="16"/>
          <w:szCs w:val="16"/>
          <w:lang w:val="pt-BR"/>
        </w:rPr>
        <w:t xml:space="preserve">dos </w:t>
      </w:r>
      <w:r w:rsidR="00BC6FC3" w:rsidRPr="0038442F">
        <w:rPr>
          <w:rFonts w:ascii="Verdana" w:hAnsi="Verdana"/>
          <w:sz w:val="16"/>
          <w:szCs w:val="16"/>
          <w:lang w:val="pt-BR"/>
        </w:rPr>
        <w:t>artigos</w:t>
      </w:r>
      <w:r w:rsidR="00407242" w:rsidRPr="0038442F">
        <w:rPr>
          <w:rFonts w:ascii="Verdana" w:hAnsi="Verdana"/>
          <w:sz w:val="16"/>
          <w:szCs w:val="16"/>
          <w:lang w:val="pt-BR"/>
        </w:rPr>
        <w:t xml:space="preserve"> </w:t>
      </w:r>
      <w:r w:rsidRPr="0038442F">
        <w:rPr>
          <w:rFonts w:ascii="Verdana" w:hAnsi="Verdana"/>
          <w:sz w:val="16"/>
          <w:szCs w:val="16"/>
          <w:lang w:val="pt-BR"/>
        </w:rPr>
        <w:t xml:space="preserve">1.1 </w:t>
      </w:r>
      <w:r w:rsidR="004526B4" w:rsidRPr="0038442F">
        <w:rPr>
          <w:rFonts w:ascii="Verdana" w:hAnsi="Verdana"/>
          <w:sz w:val="16"/>
          <w:szCs w:val="16"/>
          <w:lang w:val="pt-BR"/>
        </w:rPr>
        <w:t>e</w:t>
      </w:r>
      <w:r w:rsidRPr="0038442F">
        <w:rPr>
          <w:rFonts w:ascii="Verdana" w:hAnsi="Verdana"/>
          <w:sz w:val="16"/>
          <w:szCs w:val="16"/>
          <w:lang w:val="pt-BR"/>
        </w:rPr>
        <w:t xml:space="preserve"> 24, </w:t>
      </w:r>
      <w:r w:rsidR="004526B4" w:rsidRPr="0038442F">
        <w:rPr>
          <w:rFonts w:ascii="Verdana" w:hAnsi="Verdana"/>
          <w:sz w:val="16"/>
          <w:szCs w:val="16"/>
          <w:lang w:val="pt-BR"/>
        </w:rPr>
        <w:t xml:space="preserve">uma </w:t>
      </w:r>
      <w:r w:rsidRPr="0038442F">
        <w:rPr>
          <w:rFonts w:ascii="Verdana" w:hAnsi="Verdana"/>
          <w:sz w:val="16"/>
          <w:szCs w:val="16"/>
          <w:lang w:val="pt-BR"/>
        </w:rPr>
        <w:t xml:space="preserve">vez que os argumentos </w:t>
      </w:r>
      <w:r w:rsidR="00C92762" w:rsidRPr="0038442F">
        <w:rPr>
          <w:rFonts w:ascii="Verdana" w:hAnsi="Verdana"/>
          <w:sz w:val="16"/>
          <w:szCs w:val="16"/>
          <w:lang w:val="pt-BR"/>
        </w:rPr>
        <w:t xml:space="preserve">da </w:t>
      </w:r>
      <w:r w:rsidR="0023007F" w:rsidRPr="0038442F">
        <w:rPr>
          <w:rFonts w:ascii="Verdana" w:hAnsi="Verdana"/>
          <w:sz w:val="16"/>
          <w:szCs w:val="16"/>
          <w:lang w:val="pt-BR"/>
        </w:rPr>
        <w:t>Comissão</w:t>
      </w:r>
      <w:r w:rsidR="00407242" w:rsidRPr="0038442F">
        <w:rPr>
          <w:rFonts w:ascii="Verdana" w:hAnsi="Verdana"/>
          <w:sz w:val="16"/>
          <w:szCs w:val="16"/>
          <w:lang w:val="pt-BR"/>
        </w:rPr>
        <w:t xml:space="preserve"> </w:t>
      </w:r>
      <w:r w:rsidR="004526B4" w:rsidRPr="0038442F">
        <w:rPr>
          <w:rFonts w:ascii="Verdana" w:hAnsi="Verdana"/>
          <w:sz w:val="16"/>
          <w:szCs w:val="16"/>
          <w:lang w:val="pt-BR"/>
        </w:rPr>
        <w:t xml:space="preserve">e dos </w:t>
      </w:r>
      <w:r w:rsidRPr="0038442F">
        <w:rPr>
          <w:rFonts w:ascii="Verdana" w:hAnsi="Verdana"/>
          <w:sz w:val="16"/>
          <w:szCs w:val="16"/>
          <w:lang w:val="pt-BR"/>
        </w:rPr>
        <w:t>representantes se centra</w:t>
      </w:r>
      <w:r w:rsidR="004526B4" w:rsidRPr="0038442F">
        <w:rPr>
          <w:rFonts w:ascii="Verdana" w:hAnsi="Verdana"/>
          <w:sz w:val="16"/>
          <w:szCs w:val="16"/>
          <w:lang w:val="pt-BR"/>
        </w:rPr>
        <w:t>m</w:t>
      </w:r>
      <w:r w:rsidRPr="0038442F">
        <w:rPr>
          <w:rFonts w:ascii="Verdana" w:hAnsi="Verdana"/>
          <w:sz w:val="16"/>
          <w:szCs w:val="16"/>
          <w:lang w:val="pt-BR"/>
        </w:rPr>
        <w:t xml:space="preserve"> tanto </w:t>
      </w:r>
      <w:r w:rsidR="00BF7A10" w:rsidRPr="0038442F">
        <w:rPr>
          <w:rFonts w:ascii="Verdana" w:hAnsi="Verdana"/>
          <w:sz w:val="16"/>
          <w:szCs w:val="16"/>
          <w:lang w:val="pt-BR"/>
        </w:rPr>
        <w:t xml:space="preserve">na </w:t>
      </w:r>
      <w:r w:rsidRPr="0038442F">
        <w:rPr>
          <w:rFonts w:ascii="Verdana" w:hAnsi="Verdana"/>
          <w:sz w:val="16"/>
          <w:szCs w:val="16"/>
          <w:lang w:val="pt-BR"/>
        </w:rPr>
        <w:t>alegada discrimina</w:t>
      </w:r>
      <w:r w:rsidR="000A1AA8" w:rsidRPr="0038442F">
        <w:rPr>
          <w:rFonts w:ascii="Verdana" w:hAnsi="Verdana"/>
          <w:sz w:val="16"/>
          <w:szCs w:val="16"/>
          <w:lang w:val="pt-BR"/>
        </w:rPr>
        <w:t>ção</w:t>
      </w:r>
      <w:r w:rsidRPr="0038442F">
        <w:rPr>
          <w:rFonts w:ascii="Verdana" w:hAnsi="Verdana"/>
          <w:sz w:val="16"/>
          <w:szCs w:val="16"/>
          <w:lang w:val="pt-BR"/>
        </w:rPr>
        <w:t xml:space="preserve"> s</w:t>
      </w:r>
      <w:r w:rsidR="004526B4" w:rsidRPr="0038442F">
        <w:rPr>
          <w:rFonts w:ascii="Verdana" w:hAnsi="Verdana"/>
          <w:sz w:val="16"/>
          <w:szCs w:val="16"/>
          <w:lang w:val="pt-BR"/>
        </w:rPr>
        <w:t>o</w:t>
      </w:r>
      <w:r w:rsidRPr="0038442F">
        <w:rPr>
          <w:rFonts w:ascii="Verdana" w:hAnsi="Verdana"/>
          <w:sz w:val="16"/>
          <w:szCs w:val="16"/>
          <w:lang w:val="pt-BR"/>
        </w:rPr>
        <w:t xml:space="preserve">frida </w:t>
      </w:r>
      <w:r w:rsidR="006A12FD" w:rsidRPr="0038442F">
        <w:rPr>
          <w:rFonts w:ascii="Verdana" w:hAnsi="Verdana"/>
          <w:sz w:val="16"/>
          <w:szCs w:val="16"/>
          <w:lang w:val="pt-BR"/>
        </w:rPr>
        <w:t xml:space="preserve">pelas </w:t>
      </w:r>
      <w:r w:rsidR="004526B4" w:rsidRPr="0038442F">
        <w:rPr>
          <w:rFonts w:ascii="Verdana" w:hAnsi="Verdana"/>
          <w:sz w:val="16"/>
          <w:szCs w:val="16"/>
          <w:lang w:val="pt-BR"/>
        </w:rPr>
        <w:t xml:space="preserve">supostas </w:t>
      </w:r>
      <w:r w:rsidR="00C92762" w:rsidRPr="0038442F">
        <w:rPr>
          <w:rFonts w:ascii="Verdana" w:hAnsi="Verdana"/>
          <w:sz w:val="16"/>
          <w:szCs w:val="16"/>
          <w:lang w:val="pt-BR"/>
        </w:rPr>
        <w:t>vítimas</w:t>
      </w:r>
      <w:r w:rsidR="004526B4" w:rsidRPr="0038442F">
        <w:rPr>
          <w:rFonts w:ascii="Verdana" w:hAnsi="Verdana"/>
          <w:sz w:val="16"/>
          <w:szCs w:val="16"/>
          <w:lang w:val="pt-BR"/>
        </w:rPr>
        <w:t>,</w:t>
      </w:r>
      <w:r w:rsidR="00407242" w:rsidRPr="0038442F">
        <w:rPr>
          <w:rFonts w:ascii="Verdana" w:hAnsi="Verdana"/>
          <w:sz w:val="16"/>
          <w:szCs w:val="16"/>
          <w:lang w:val="pt-BR"/>
        </w:rPr>
        <w:t xml:space="preserve"> </w:t>
      </w:r>
      <w:r w:rsidRPr="0038442F">
        <w:rPr>
          <w:rFonts w:ascii="Verdana" w:hAnsi="Verdana"/>
          <w:sz w:val="16"/>
          <w:szCs w:val="16"/>
          <w:lang w:val="pt-BR"/>
        </w:rPr>
        <w:t>por su</w:t>
      </w:r>
      <w:r w:rsidR="004526B4" w:rsidRPr="0038442F">
        <w:rPr>
          <w:rFonts w:ascii="Verdana" w:hAnsi="Verdana"/>
          <w:sz w:val="16"/>
          <w:szCs w:val="16"/>
          <w:lang w:val="pt-BR"/>
        </w:rPr>
        <w:t>a</w:t>
      </w:r>
      <w:r w:rsidRPr="0038442F">
        <w:rPr>
          <w:rFonts w:ascii="Verdana" w:hAnsi="Verdana"/>
          <w:sz w:val="16"/>
          <w:szCs w:val="16"/>
          <w:lang w:val="pt-BR"/>
        </w:rPr>
        <w:t xml:space="preserve"> condi</w:t>
      </w:r>
      <w:r w:rsidR="000A1AA8" w:rsidRPr="0038442F">
        <w:rPr>
          <w:rFonts w:ascii="Verdana" w:hAnsi="Verdana"/>
          <w:sz w:val="16"/>
          <w:szCs w:val="16"/>
          <w:lang w:val="pt-BR"/>
        </w:rPr>
        <w:t>ção</w:t>
      </w:r>
      <w:r w:rsidRPr="0038442F">
        <w:rPr>
          <w:rFonts w:ascii="Verdana" w:hAnsi="Verdana"/>
          <w:sz w:val="16"/>
          <w:szCs w:val="16"/>
          <w:lang w:val="pt-BR"/>
        </w:rPr>
        <w:t xml:space="preserve"> de </w:t>
      </w:r>
      <w:r w:rsidR="00C92762" w:rsidRPr="0038442F">
        <w:rPr>
          <w:rFonts w:ascii="Verdana" w:hAnsi="Verdana"/>
          <w:sz w:val="16"/>
          <w:szCs w:val="16"/>
          <w:lang w:val="pt-BR"/>
        </w:rPr>
        <w:t xml:space="preserve">mulheres </w:t>
      </w:r>
      <w:r w:rsidR="004526B4" w:rsidRPr="0038442F">
        <w:rPr>
          <w:rFonts w:ascii="Verdana" w:hAnsi="Verdana"/>
          <w:sz w:val="16"/>
          <w:szCs w:val="16"/>
          <w:lang w:val="pt-BR"/>
        </w:rPr>
        <w:t xml:space="preserve">e </w:t>
      </w:r>
      <w:r w:rsidRPr="0038442F">
        <w:rPr>
          <w:rFonts w:ascii="Verdana" w:hAnsi="Verdana"/>
          <w:sz w:val="16"/>
          <w:szCs w:val="16"/>
          <w:lang w:val="pt-BR"/>
        </w:rPr>
        <w:t>afrodescendentes</w:t>
      </w:r>
      <w:r w:rsidR="004526B4" w:rsidRPr="0038442F">
        <w:rPr>
          <w:rFonts w:ascii="Verdana" w:hAnsi="Verdana"/>
          <w:sz w:val="16"/>
          <w:szCs w:val="16"/>
          <w:lang w:val="pt-BR"/>
        </w:rPr>
        <w:t xml:space="preserve">, quanto por sua </w:t>
      </w:r>
      <w:r w:rsidRPr="0038442F">
        <w:rPr>
          <w:rFonts w:ascii="Verdana" w:hAnsi="Verdana"/>
          <w:sz w:val="16"/>
          <w:szCs w:val="16"/>
          <w:lang w:val="pt-BR"/>
        </w:rPr>
        <w:t>situa</w:t>
      </w:r>
      <w:r w:rsidR="000A1AA8" w:rsidRPr="0038442F">
        <w:rPr>
          <w:rFonts w:ascii="Verdana" w:hAnsi="Verdana"/>
          <w:sz w:val="16"/>
          <w:szCs w:val="16"/>
          <w:lang w:val="pt-BR"/>
        </w:rPr>
        <w:t>ção</w:t>
      </w:r>
      <w:r w:rsidRPr="0038442F">
        <w:rPr>
          <w:rFonts w:ascii="Verdana" w:hAnsi="Verdana"/>
          <w:sz w:val="16"/>
          <w:szCs w:val="16"/>
          <w:lang w:val="pt-BR"/>
        </w:rPr>
        <w:t xml:space="preserve"> de pobreza</w:t>
      </w:r>
      <w:r w:rsidR="00117148">
        <w:rPr>
          <w:rFonts w:ascii="Verdana" w:hAnsi="Verdana"/>
          <w:sz w:val="16"/>
          <w:szCs w:val="16"/>
          <w:lang w:val="pt-BR"/>
        </w:rPr>
        <w:t>,</w:t>
      </w:r>
      <w:r w:rsidRPr="0038442F">
        <w:rPr>
          <w:rFonts w:ascii="Verdana" w:hAnsi="Verdana"/>
          <w:sz w:val="16"/>
          <w:szCs w:val="16"/>
          <w:lang w:val="pt-BR"/>
        </w:rPr>
        <w:t xml:space="preserve"> </w:t>
      </w:r>
      <w:r w:rsidR="004526B4" w:rsidRPr="0038442F">
        <w:rPr>
          <w:rFonts w:ascii="Verdana" w:hAnsi="Verdana"/>
          <w:sz w:val="16"/>
          <w:szCs w:val="16"/>
          <w:u w:val="single"/>
          <w:lang w:val="pt-BR"/>
        </w:rPr>
        <w:t xml:space="preserve">bem como pela falta de adoção </w:t>
      </w:r>
      <w:r w:rsidRPr="0038442F">
        <w:rPr>
          <w:rFonts w:ascii="Verdana" w:hAnsi="Verdana"/>
          <w:sz w:val="16"/>
          <w:szCs w:val="16"/>
          <w:u w:val="single"/>
          <w:lang w:val="pt-BR"/>
        </w:rPr>
        <w:t>de medidas de a</w:t>
      </w:r>
      <w:r w:rsidR="000A1AA8" w:rsidRPr="0038442F">
        <w:rPr>
          <w:rFonts w:ascii="Verdana" w:hAnsi="Verdana"/>
          <w:sz w:val="16"/>
          <w:szCs w:val="16"/>
          <w:u w:val="single"/>
          <w:lang w:val="pt-BR"/>
        </w:rPr>
        <w:t>ção</w:t>
      </w:r>
      <w:r w:rsidRPr="0038442F">
        <w:rPr>
          <w:rFonts w:ascii="Verdana" w:hAnsi="Verdana"/>
          <w:sz w:val="16"/>
          <w:szCs w:val="16"/>
          <w:u w:val="single"/>
          <w:lang w:val="pt-BR"/>
        </w:rPr>
        <w:t xml:space="preserve"> positiva para </w:t>
      </w:r>
      <w:r w:rsidR="009612FB" w:rsidRPr="0038442F">
        <w:rPr>
          <w:rFonts w:ascii="Verdana" w:hAnsi="Verdana"/>
          <w:sz w:val="16"/>
          <w:szCs w:val="16"/>
          <w:u w:val="single"/>
          <w:lang w:val="pt-BR"/>
        </w:rPr>
        <w:t>garantir</w:t>
      </w:r>
      <w:r w:rsidR="00407242" w:rsidRPr="0038442F">
        <w:rPr>
          <w:rFonts w:ascii="Verdana" w:hAnsi="Verdana"/>
          <w:sz w:val="16"/>
          <w:szCs w:val="16"/>
          <w:u w:val="single"/>
          <w:lang w:val="pt-BR"/>
        </w:rPr>
        <w:t xml:space="preserve"> </w:t>
      </w:r>
      <w:r w:rsidRPr="0038442F">
        <w:rPr>
          <w:rFonts w:ascii="Verdana" w:hAnsi="Verdana"/>
          <w:sz w:val="16"/>
          <w:szCs w:val="16"/>
          <w:u w:val="single"/>
          <w:lang w:val="pt-BR"/>
        </w:rPr>
        <w:t>s</w:t>
      </w:r>
      <w:r w:rsidR="004526B4" w:rsidRPr="0038442F">
        <w:rPr>
          <w:rFonts w:ascii="Verdana" w:hAnsi="Verdana"/>
          <w:sz w:val="16"/>
          <w:szCs w:val="16"/>
          <w:u w:val="single"/>
          <w:lang w:val="pt-BR"/>
        </w:rPr>
        <w:t>e</w:t>
      </w:r>
      <w:r w:rsidRPr="0038442F">
        <w:rPr>
          <w:rFonts w:ascii="Verdana" w:hAnsi="Verdana"/>
          <w:sz w:val="16"/>
          <w:szCs w:val="16"/>
          <w:u w:val="single"/>
          <w:lang w:val="pt-BR"/>
        </w:rPr>
        <w:t xml:space="preserve">us </w:t>
      </w:r>
      <w:r w:rsidR="000A1AA8" w:rsidRPr="0038442F">
        <w:rPr>
          <w:rFonts w:ascii="Verdana" w:hAnsi="Verdana"/>
          <w:sz w:val="16"/>
          <w:szCs w:val="16"/>
          <w:u w:val="single"/>
          <w:lang w:val="pt-BR"/>
        </w:rPr>
        <w:t>direitos</w:t>
      </w:r>
      <w:r w:rsidR="00407242" w:rsidRPr="0038442F">
        <w:rPr>
          <w:rFonts w:ascii="Verdana" w:hAnsi="Verdana"/>
          <w:sz w:val="16"/>
          <w:szCs w:val="16"/>
          <w:u w:val="single"/>
          <w:lang w:val="pt-BR"/>
        </w:rPr>
        <w:t xml:space="preserve"> </w:t>
      </w:r>
      <w:r w:rsidRPr="0038442F">
        <w:rPr>
          <w:rFonts w:ascii="Verdana" w:hAnsi="Verdana"/>
          <w:sz w:val="16"/>
          <w:szCs w:val="16"/>
          <w:u w:val="single"/>
          <w:lang w:val="pt-BR"/>
        </w:rPr>
        <w:t>convencion</w:t>
      </w:r>
      <w:r w:rsidR="00C92762" w:rsidRPr="0038442F">
        <w:rPr>
          <w:rFonts w:ascii="Verdana" w:hAnsi="Verdana"/>
          <w:sz w:val="16"/>
          <w:szCs w:val="16"/>
          <w:u w:val="single"/>
          <w:lang w:val="pt-BR"/>
        </w:rPr>
        <w:t>ais</w:t>
      </w:r>
      <w:r w:rsidRPr="0038442F">
        <w:rPr>
          <w:rFonts w:ascii="Verdana" w:hAnsi="Verdana"/>
          <w:sz w:val="16"/>
          <w:szCs w:val="16"/>
          <w:lang w:val="pt-BR"/>
        </w:rPr>
        <w:t>”</w:t>
      </w:r>
      <w:r w:rsidR="00C3070E" w:rsidRPr="0038442F">
        <w:rPr>
          <w:rFonts w:ascii="Verdana" w:hAnsi="Verdana"/>
          <w:sz w:val="16"/>
          <w:szCs w:val="16"/>
          <w:lang w:val="pt-BR"/>
        </w:rPr>
        <w:t xml:space="preserve"> (</w:t>
      </w:r>
      <w:r w:rsidR="004526B4" w:rsidRPr="0038442F">
        <w:rPr>
          <w:rFonts w:ascii="Verdana" w:hAnsi="Verdana"/>
          <w:sz w:val="16"/>
          <w:szCs w:val="16"/>
          <w:lang w:val="pt-BR"/>
        </w:rPr>
        <w:t>grifo nosso</w:t>
      </w:r>
      <w:r w:rsidR="00C3070E" w:rsidRPr="0038442F">
        <w:rPr>
          <w:rFonts w:ascii="Verdana" w:hAnsi="Verdana"/>
          <w:sz w:val="16"/>
          <w:szCs w:val="16"/>
          <w:lang w:val="pt-BR"/>
        </w:rPr>
        <w:t>)</w:t>
      </w:r>
      <w:r w:rsidR="00C84FB2" w:rsidRPr="0038442F">
        <w:rPr>
          <w:rFonts w:ascii="Verdana" w:hAnsi="Verdana"/>
          <w:sz w:val="16"/>
          <w:szCs w:val="16"/>
          <w:lang w:val="pt-BR"/>
        </w:rPr>
        <w:t>.</w:t>
      </w:r>
      <w:r w:rsidRPr="0038442F">
        <w:rPr>
          <w:rStyle w:val="Refdenotaalpie"/>
          <w:rFonts w:ascii="Verdana" w:hAnsi="Verdana"/>
          <w:sz w:val="16"/>
          <w:szCs w:val="16"/>
          <w:lang w:val="pt-BR"/>
        </w:rPr>
        <w:footnoteReference w:id="160"/>
      </w:r>
    </w:p>
    <w:p w14:paraId="471FB0A5" w14:textId="77777777" w:rsidR="00FE62DE" w:rsidRPr="0038442F" w:rsidRDefault="00FE62DE" w:rsidP="00A857CB">
      <w:pPr>
        <w:pStyle w:val="Prrafodelista"/>
        <w:spacing w:after="0" w:line="240" w:lineRule="auto"/>
        <w:ind w:left="0"/>
        <w:jc w:val="both"/>
        <w:rPr>
          <w:rFonts w:ascii="Verdana" w:hAnsi="Verdana" w:cs="System Font Regular"/>
          <w:sz w:val="20"/>
          <w:szCs w:val="20"/>
          <w:lang w:val="pt-BR"/>
        </w:rPr>
      </w:pPr>
    </w:p>
    <w:p w14:paraId="25C88EB9" w14:textId="334381FA" w:rsidR="00FE62DE" w:rsidRPr="0038442F" w:rsidRDefault="00B33067" w:rsidP="00B33067">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99. </w:t>
      </w:r>
      <w:r w:rsidRPr="0038442F">
        <w:rPr>
          <w:rFonts w:ascii="Verdana" w:hAnsi="Verdana" w:cs="System Font Regular"/>
          <w:sz w:val="20"/>
          <w:szCs w:val="20"/>
          <w:lang w:val="pt-BR"/>
        </w:rPr>
        <w:tab/>
      </w:r>
      <w:r w:rsidR="004526B4" w:rsidRPr="0038442F">
        <w:rPr>
          <w:rFonts w:ascii="Verdana" w:hAnsi="Verdana" w:cs="System Font Regular"/>
          <w:sz w:val="20"/>
          <w:szCs w:val="20"/>
          <w:lang w:val="pt-BR"/>
        </w:rPr>
        <w:t xml:space="preserve">A afirmação acima exposta </w:t>
      </w:r>
      <w:r w:rsidR="00BF7A10" w:rsidRPr="0038442F">
        <w:rPr>
          <w:rFonts w:ascii="Verdana" w:hAnsi="Verdana" w:cs="System Font Regular"/>
          <w:sz w:val="20"/>
          <w:szCs w:val="20"/>
          <w:lang w:val="pt-BR"/>
        </w:rPr>
        <w:t xml:space="preserve">na sentença </w:t>
      </w:r>
      <w:r w:rsidR="00FE62DE" w:rsidRPr="0038442F">
        <w:rPr>
          <w:rFonts w:ascii="Verdana" w:hAnsi="Verdana" w:cs="System Font Regular"/>
          <w:sz w:val="20"/>
          <w:szCs w:val="20"/>
          <w:lang w:val="pt-BR"/>
        </w:rPr>
        <w:t>t</w:t>
      </w:r>
      <w:r w:rsidR="004526B4" w:rsidRPr="0038442F">
        <w:rPr>
          <w:rFonts w:ascii="Verdana" w:hAnsi="Verdana" w:cs="System Font Regular"/>
          <w:sz w:val="20"/>
          <w:szCs w:val="20"/>
          <w:lang w:val="pt-BR"/>
        </w:rPr>
        <w:t xml:space="preserve">em </w:t>
      </w:r>
      <w:r w:rsidR="00FE62DE" w:rsidRPr="0038442F">
        <w:rPr>
          <w:rFonts w:ascii="Verdana" w:hAnsi="Verdana" w:cs="System Font Regular"/>
          <w:sz w:val="20"/>
          <w:szCs w:val="20"/>
          <w:lang w:val="pt-BR"/>
        </w:rPr>
        <w:t>importantes conse</w:t>
      </w:r>
      <w:r w:rsidR="004526B4" w:rsidRPr="0038442F">
        <w:rPr>
          <w:rFonts w:ascii="Verdana" w:hAnsi="Verdana" w:cs="System Font Regular"/>
          <w:sz w:val="20"/>
          <w:szCs w:val="20"/>
          <w:lang w:val="pt-BR"/>
        </w:rPr>
        <w:t xml:space="preserve">quências </w:t>
      </w:r>
      <w:r w:rsidR="00751189" w:rsidRPr="0038442F">
        <w:rPr>
          <w:rFonts w:ascii="Verdana" w:hAnsi="Verdana" w:cs="System Font Regular"/>
          <w:sz w:val="20"/>
          <w:szCs w:val="20"/>
          <w:lang w:val="pt-BR"/>
        </w:rPr>
        <w:t xml:space="preserve">no </w:t>
      </w:r>
      <w:r w:rsidR="00C23682" w:rsidRPr="0038442F">
        <w:rPr>
          <w:rFonts w:ascii="Verdana" w:hAnsi="Verdana" w:cs="System Font Regular"/>
          <w:sz w:val="20"/>
          <w:szCs w:val="20"/>
          <w:lang w:val="pt-BR"/>
        </w:rPr>
        <w:t>entendimento</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5B55A8" w:rsidRPr="0038442F">
        <w:rPr>
          <w:rFonts w:ascii="Verdana" w:hAnsi="Verdana" w:cs="System Font Regular"/>
          <w:sz w:val="20"/>
          <w:szCs w:val="20"/>
          <w:lang w:val="pt-BR"/>
        </w:rPr>
        <w:t>e não discriminação</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como pilares fundament</w:t>
      </w:r>
      <w:r w:rsidR="00C92762" w:rsidRPr="0038442F">
        <w:rPr>
          <w:rFonts w:ascii="Verdana" w:hAnsi="Verdana" w:cs="System Font Regular"/>
          <w:sz w:val="20"/>
          <w:szCs w:val="20"/>
          <w:lang w:val="pt-BR"/>
        </w:rPr>
        <w:t>ais</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FE62DE"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00FE62DE" w:rsidRPr="0038442F">
        <w:rPr>
          <w:rFonts w:ascii="Verdana" w:hAnsi="Verdana" w:cs="System Font Regular"/>
          <w:sz w:val="20"/>
          <w:szCs w:val="20"/>
          <w:lang w:val="pt-BR"/>
        </w:rPr>
        <w:t xml:space="preserve"> Americana</w:t>
      </w:r>
      <w:r w:rsidR="003203E9" w:rsidRPr="0038442F">
        <w:rPr>
          <w:rFonts w:ascii="Verdana" w:hAnsi="Verdana" w:cs="System Font Regular"/>
          <w:sz w:val="20"/>
          <w:szCs w:val="20"/>
          <w:lang w:val="pt-BR"/>
        </w:rPr>
        <w:t xml:space="preserve">, porquanto atende </w:t>
      </w:r>
      <w:r w:rsidR="00FE62DE" w:rsidRPr="0038442F">
        <w:rPr>
          <w:rFonts w:ascii="Verdana" w:hAnsi="Verdana" w:cs="System Font Regular"/>
          <w:sz w:val="20"/>
          <w:szCs w:val="20"/>
          <w:lang w:val="pt-BR"/>
        </w:rPr>
        <w:t xml:space="preserve">a </w:t>
      </w:r>
      <w:r w:rsidR="00C92762" w:rsidRPr="0038442F">
        <w:rPr>
          <w:rFonts w:ascii="Verdana" w:hAnsi="Verdana" w:cs="System Font Regular"/>
          <w:sz w:val="20"/>
          <w:szCs w:val="20"/>
          <w:lang w:val="pt-BR"/>
        </w:rPr>
        <w:t>adotar</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medidas</w:t>
      </w:r>
      <w:r w:rsidR="003203E9" w:rsidRPr="0038442F">
        <w:rPr>
          <w:rFonts w:ascii="Verdana" w:hAnsi="Verdana" w:cs="System Font Regular"/>
          <w:sz w:val="20"/>
          <w:szCs w:val="20"/>
          <w:lang w:val="pt-BR"/>
        </w:rPr>
        <w:t>,</w:t>
      </w:r>
      <w:r w:rsidR="00FE62DE" w:rsidRPr="0038442F">
        <w:rPr>
          <w:rFonts w:ascii="Verdana" w:hAnsi="Verdana" w:cs="System Font Regular"/>
          <w:sz w:val="20"/>
          <w:szCs w:val="20"/>
          <w:lang w:val="pt-BR"/>
        </w:rPr>
        <w:t xml:space="preserve"> </w:t>
      </w:r>
      <w:r w:rsidR="005A106B" w:rsidRPr="0038442F">
        <w:rPr>
          <w:rFonts w:ascii="Verdana" w:hAnsi="Verdana" w:cs="System Font Regular"/>
          <w:sz w:val="20"/>
          <w:szCs w:val="20"/>
          <w:lang w:val="pt-BR"/>
        </w:rPr>
        <w:t xml:space="preserve">tanto </w:t>
      </w:r>
      <w:r w:rsidR="004526B4" w:rsidRPr="0038442F">
        <w:rPr>
          <w:rFonts w:ascii="Verdana" w:hAnsi="Verdana" w:cs="System Font Regular"/>
          <w:sz w:val="20"/>
          <w:szCs w:val="20"/>
          <w:lang w:val="pt-BR"/>
        </w:rPr>
        <w:t>a partir da</w:t>
      </w:r>
      <w:r w:rsidR="00FE62DE" w:rsidRPr="0038442F">
        <w:rPr>
          <w:rFonts w:ascii="Verdana" w:hAnsi="Verdana" w:cs="System Font Regular"/>
          <w:sz w:val="20"/>
          <w:szCs w:val="20"/>
          <w:lang w:val="pt-BR"/>
        </w:rPr>
        <w:t xml:space="preserve"> </w:t>
      </w:r>
      <w:r w:rsidR="007E33FB" w:rsidRPr="0038442F">
        <w:rPr>
          <w:rFonts w:ascii="Verdana" w:hAnsi="Verdana" w:cs="System Font Regular"/>
          <w:sz w:val="20"/>
          <w:szCs w:val="20"/>
          <w:lang w:val="pt-BR"/>
        </w:rPr>
        <w:t>“</w:t>
      </w:r>
      <w:r w:rsidR="005B55A8" w:rsidRPr="0038442F">
        <w:rPr>
          <w:rFonts w:ascii="Verdana" w:hAnsi="Verdana" w:cs="System Font Regular"/>
          <w:sz w:val="20"/>
          <w:szCs w:val="20"/>
          <w:lang w:val="pt-BR"/>
        </w:rPr>
        <w:t xml:space="preserve">obrigação </w:t>
      </w:r>
      <w:r w:rsidR="007E33FB" w:rsidRPr="0038442F">
        <w:rPr>
          <w:rFonts w:ascii="Verdana" w:hAnsi="Verdana" w:cs="System Font Regular"/>
          <w:sz w:val="20"/>
          <w:szCs w:val="20"/>
          <w:lang w:val="pt-BR"/>
        </w:rPr>
        <w:t xml:space="preserve">de </w:t>
      </w:r>
      <w:r w:rsidR="009612FB" w:rsidRPr="0038442F">
        <w:rPr>
          <w:rFonts w:ascii="Verdana" w:hAnsi="Verdana" w:cs="System Font Regular"/>
          <w:sz w:val="20"/>
          <w:szCs w:val="20"/>
          <w:lang w:val="pt-BR"/>
        </w:rPr>
        <w:t>garantir</w:t>
      </w:r>
      <w:r w:rsidR="007E33FB" w:rsidRPr="0038442F">
        <w:rPr>
          <w:rFonts w:ascii="Verdana" w:hAnsi="Verdana" w:cs="System Font Regular"/>
          <w:sz w:val="20"/>
          <w:szCs w:val="20"/>
          <w:lang w:val="pt-BR"/>
        </w:rPr>
        <w:t>”</w:t>
      </w:r>
      <w:r w:rsidR="005A106B" w:rsidRPr="0038442F">
        <w:rPr>
          <w:rFonts w:ascii="Verdana" w:hAnsi="Verdana" w:cs="System Font Regular"/>
          <w:sz w:val="20"/>
          <w:szCs w:val="20"/>
          <w:lang w:val="pt-BR"/>
        </w:rPr>
        <w:t>,</w:t>
      </w:r>
      <w:r w:rsidR="007E33FB" w:rsidRPr="0038442F">
        <w:rPr>
          <w:rFonts w:ascii="Verdana" w:hAnsi="Verdana" w:cs="System Font Regular"/>
          <w:sz w:val="20"/>
          <w:szCs w:val="20"/>
          <w:lang w:val="pt-BR"/>
        </w:rPr>
        <w:t xml:space="preserve"> </w:t>
      </w:r>
      <w:r w:rsidR="00D45B15" w:rsidRPr="0038442F">
        <w:rPr>
          <w:rFonts w:ascii="Verdana" w:hAnsi="Verdana" w:cs="System Font Regular"/>
          <w:sz w:val="20"/>
          <w:szCs w:val="20"/>
          <w:lang w:val="pt-BR"/>
        </w:rPr>
        <w:t xml:space="preserve">pelo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7E33FB" w:rsidRPr="0038442F">
        <w:rPr>
          <w:rFonts w:ascii="Verdana" w:hAnsi="Verdana" w:cs="System Font Regular"/>
          <w:sz w:val="20"/>
          <w:szCs w:val="20"/>
          <w:lang w:val="pt-BR"/>
        </w:rPr>
        <w:t>1.1</w:t>
      </w:r>
      <w:r w:rsidR="003203E9" w:rsidRPr="0038442F">
        <w:rPr>
          <w:rFonts w:ascii="Verdana" w:hAnsi="Verdana" w:cs="System Font Regular"/>
          <w:sz w:val="20"/>
          <w:szCs w:val="20"/>
          <w:lang w:val="pt-BR"/>
        </w:rPr>
        <w:t>,</w:t>
      </w:r>
      <w:r w:rsidR="007E33FB" w:rsidRPr="0038442F">
        <w:rPr>
          <w:rFonts w:ascii="Verdana" w:hAnsi="Verdana" w:cs="System Font Regular"/>
          <w:sz w:val="20"/>
          <w:szCs w:val="20"/>
          <w:lang w:val="pt-BR"/>
        </w:rPr>
        <w:t xml:space="preserve"> </w:t>
      </w:r>
      <w:r w:rsidR="003203E9" w:rsidRPr="0038442F">
        <w:rPr>
          <w:rFonts w:ascii="Verdana" w:hAnsi="Verdana" w:cs="System Font Regular"/>
          <w:sz w:val="20"/>
          <w:szCs w:val="20"/>
          <w:lang w:val="pt-BR"/>
        </w:rPr>
        <w:t xml:space="preserve">quanto </w:t>
      </w:r>
      <w:r w:rsidR="004526B4" w:rsidRPr="0038442F">
        <w:rPr>
          <w:rFonts w:ascii="Verdana" w:hAnsi="Verdana" w:cs="System Font Regular"/>
          <w:sz w:val="20"/>
          <w:szCs w:val="20"/>
          <w:lang w:val="pt-BR"/>
        </w:rPr>
        <w:t xml:space="preserve">a partir da </w:t>
      </w:r>
      <w:r w:rsidR="00FE62DE" w:rsidRPr="0038442F">
        <w:rPr>
          <w:rFonts w:ascii="Verdana" w:hAnsi="Verdana" w:cs="System Font Regular"/>
          <w:sz w:val="20"/>
          <w:szCs w:val="20"/>
          <w:lang w:val="pt-BR"/>
        </w:rPr>
        <w:t>concep</w:t>
      </w:r>
      <w:r w:rsidR="000A1AA8" w:rsidRPr="0038442F">
        <w:rPr>
          <w:rFonts w:ascii="Verdana" w:hAnsi="Verdana" w:cs="System Font Regular"/>
          <w:sz w:val="20"/>
          <w:szCs w:val="20"/>
          <w:lang w:val="pt-BR"/>
        </w:rPr>
        <w:t>ção</w:t>
      </w:r>
      <w:r w:rsidR="00FE62DE"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 xml:space="preserve">como </w:t>
      </w:r>
      <w:r w:rsidR="005B55A8" w:rsidRPr="0038442F">
        <w:rPr>
          <w:rFonts w:ascii="Verdana" w:hAnsi="Verdana" w:cs="System Font Regular"/>
          <w:sz w:val="20"/>
          <w:szCs w:val="20"/>
          <w:lang w:val="pt-BR"/>
        </w:rPr>
        <w:t xml:space="preserve">não discriminação </w:t>
      </w:r>
      <w:r w:rsidR="00FE62DE" w:rsidRPr="0038442F">
        <w:rPr>
          <w:rFonts w:ascii="Verdana" w:hAnsi="Verdana" w:cs="System Font Regular"/>
          <w:sz w:val="20"/>
          <w:szCs w:val="20"/>
          <w:lang w:val="pt-BR"/>
        </w:rPr>
        <w:t>o</w:t>
      </w:r>
      <w:r w:rsidR="004526B4" w:rsidRPr="0038442F">
        <w:rPr>
          <w:rFonts w:ascii="Verdana" w:hAnsi="Verdana" w:cs="System Font Regular"/>
          <w:sz w:val="20"/>
          <w:szCs w:val="20"/>
          <w:lang w:val="pt-BR"/>
        </w:rPr>
        <w:t>u</w:t>
      </w:r>
      <w:r w:rsidR="00FE62DE" w:rsidRPr="0038442F">
        <w:rPr>
          <w:rFonts w:ascii="Verdana" w:hAnsi="Verdana" w:cs="System Font Regular"/>
          <w:sz w:val="20"/>
          <w:szCs w:val="20"/>
          <w:lang w:val="pt-BR"/>
        </w:rPr>
        <w:t xml:space="preserve"> </w:t>
      </w:r>
      <w:r w:rsidR="009612FB" w:rsidRPr="0038442F">
        <w:rPr>
          <w:rFonts w:ascii="Verdana" w:hAnsi="Verdana" w:cs="System Font Regular"/>
          <w:i/>
          <w:sz w:val="20"/>
          <w:szCs w:val="20"/>
          <w:lang w:val="pt-BR"/>
        </w:rPr>
        <w:t>igualdade</w:t>
      </w:r>
      <w:r w:rsidR="00407242" w:rsidRPr="0038442F">
        <w:rPr>
          <w:rFonts w:ascii="Verdana" w:hAnsi="Verdana" w:cs="System Font Regular"/>
          <w:i/>
          <w:sz w:val="20"/>
          <w:szCs w:val="20"/>
          <w:lang w:val="pt-BR"/>
        </w:rPr>
        <w:t xml:space="preserve"> </w:t>
      </w:r>
      <w:r w:rsidR="00FE62DE" w:rsidRPr="0038442F">
        <w:rPr>
          <w:rFonts w:ascii="Verdana" w:hAnsi="Verdana" w:cs="System Font Regular"/>
          <w:i/>
          <w:sz w:val="20"/>
          <w:szCs w:val="20"/>
          <w:lang w:val="pt-BR"/>
        </w:rPr>
        <w:t>material</w:t>
      </w:r>
      <w:r w:rsidR="005A106B" w:rsidRPr="0038442F">
        <w:rPr>
          <w:rFonts w:ascii="Verdana" w:hAnsi="Verdana" w:cs="System Font Regular"/>
          <w:sz w:val="20"/>
          <w:szCs w:val="20"/>
          <w:lang w:val="pt-BR"/>
        </w:rPr>
        <w:t>,</w:t>
      </w:r>
      <w:r w:rsidR="00C61238"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no </w:t>
      </w:r>
      <w:r w:rsidR="00246A73" w:rsidRPr="0038442F">
        <w:rPr>
          <w:rFonts w:ascii="Verdana" w:hAnsi="Verdana" w:cs="System Font Regular"/>
          <w:sz w:val="20"/>
          <w:szCs w:val="20"/>
          <w:lang w:val="pt-BR"/>
        </w:rPr>
        <w:t>âmbito</w:t>
      </w:r>
      <w:r w:rsidR="00407242"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do artigo </w:t>
      </w:r>
      <w:r w:rsidR="00C61238" w:rsidRPr="0038442F">
        <w:rPr>
          <w:rFonts w:ascii="Verdana" w:hAnsi="Verdana" w:cs="System Font Regular"/>
          <w:sz w:val="20"/>
          <w:szCs w:val="20"/>
          <w:lang w:val="pt-BR"/>
        </w:rPr>
        <w:t>24</w:t>
      </w:r>
      <w:r w:rsidR="00FE62DE" w:rsidRPr="0038442F">
        <w:rPr>
          <w:rFonts w:ascii="Verdana" w:hAnsi="Verdana" w:cs="System Font Regular"/>
          <w:sz w:val="20"/>
          <w:szCs w:val="20"/>
          <w:lang w:val="pt-BR"/>
        </w:rPr>
        <w:t xml:space="preserve">. </w:t>
      </w:r>
    </w:p>
    <w:p w14:paraId="1A180E73" w14:textId="77777777" w:rsidR="00FE62DE" w:rsidRPr="0038442F" w:rsidRDefault="00FE62DE" w:rsidP="00A857CB">
      <w:pPr>
        <w:pStyle w:val="Prrafodelista"/>
        <w:spacing w:after="0" w:line="240" w:lineRule="auto"/>
        <w:ind w:left="0"/>
        <w:jc w:val="both"/>
        <w:rPr>
          <w:rFonts w:ascii="Verdana" w:hAnsi="Verdana" w:cs="System Font Regular"/>
          <w:sz w:val="20"/>
          <w:szCs w:val="20"/>
          <w:lang w:val="pt-BR"/>
        </w:rPr>
      </w:pPr>
    </w:p>
    <w:p w14:paraId="27EF10F2" w14:textId="47EC90B0" w:rsidR="0034303F" w:rsidRPr="0038442F" w:rsidRDefault="00B33067" w:rsidP="00B33067">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100. </w:t>
      </w:r>
      <w:r w:rsidRPr="0038442F">
        <w:rPr>
          <w:rFonts w:ascii="Verdana" w:hAnsi="Verdana" w:cs="System Font Regular"/>
          <w:sz w:val="20"/>
          <w:szCs w:val="20"/>
          <w:lang w:val="pt-BR"/>
        </w:rPr>
        <w:tab/>
      </w:r>
      <w:r w:rsidR="00341D42" w:rsidRPr="0038442F">
        <w:rPr>
          <w:rFonts w:ascii="Verdana" w:hAnsi="Verdana" w:cs="System Font Regular"/>
          <w:sz w:val="20"/>
          <w:szCs w:val="20"/>
          <w:lang w:val="pt-BR"/>
        </w:rPr>
        <w:t>N</w:t>
      </w:r>
      <w:r w:rsidR="004526B4" w:rsidRPr="0038442F">
        <w:rPr>
          <w:rFonts w:ascii="Verdana" w:hAnsi="Verdana" w:cs="System Font Regular"/>
          <w:sz w:val="20"/>
          <w:szCs w:val="20"/>
          <w:lang w:val="pt-BR"/>
        </w:rPr>
        <w:t>ã</w:t>
      </w:r>
      <w:r w:rsidR="00341D42" w:rsidRPr="0038442F">
        <w:rPr>
          <w:rFonts w:ascii="Verdana" w:hAnsi="Verdana" w:cs="System Font Regular"/>
          <w:sz w:val="20"/>
          <w:szCs w:val="20"/>
          <w:lang w:val="pt-BR"/>
        </w:rPr>
        <w:t xml:space="preserve">o </w:t>
      </w:r>
      <w:r w:rsidR="004526B4" w:rsidRPr="0038442F">
        <w:rPr>
          <w:rFonts w:ascii="Verdana" w:hAnsi="Verdana" w:cs="System Font Regular"/>
          <w:sz w:val="20"/>
          <w:szCs w:val="20"/>
          <w:lang w:val="pt-BR"/>
        </w:rPr>
        <w:t xml:space="preserve">é a </w:t>
      </w:r>
      <w:r w:rsidR="00CA30C5" w:rsidRPr="0038442F">
        <w:rPr>
          <w:rFonts w:ascii="Verdana" w:hAnsi="Verdana" w:cs="System Font Regular"/>
          <w:sz w:val="20"/>
          <w:szCs w:val="20"/>
          <w:lang w:val="pt-BR"/>
        </w:rPr>
        <w:t>primeira</w:t>
      </w:r>
      <w:r w:rsidR="00407242" w:rsidRPr="0038442F">
        <w:rPr>
          <w:rFonts w:ascii="Verdana" w:hAnsi="Verdana" w:cs="System Font Regular"/>
          <w:sz w:val="20"/>
          <w:szCs w:val="20"/>
          <w:lang w:val="pt-BR"/>
        </w:rPr>
        <w:t xml:space="preserve"> </w:t>
      </w:r>
      <w:r w:rsidR="00FC5589" w:rsidRPr="0038442F">
        <w:rPr>
          <w:rFonts w:ascii="Verdana" w:hAnsi="Verdana" w:cs="System Font Regular"/>
          <w:sz w:val="20"/>
          <w:szCs w:val="20"/>
          <w:lang w:val="pt-BR"/>
        </w:rPr>
        <w:t>vez</w:t>
      </w:r>
      <w:r w:rsidR="00407242" w:rsidRPr="0038442F">
        <w:rPr>
          <w:rFonts w:ascii="Verdana" w:hAnsi="Verdana" w:cs="System Font Regular"/>
          <w:sz w:val="20"/>
          <w:szCs w:val="20"/>
          <w:lang w:val="pt-BR"/>
        </w:rPr>
        <w:t xml:space="preserve"> </w:t>
      </w:r>
      <w:r w:rsidR="00341D42" w:rsidRPr="0038442F">
        <w:rPr>
          <w:rFonts w:ascii="Verdana" w:hAnsi="Verdana" w:cs="System Font Regular"/>
          <w:sz w:val="20"/>
          <w:szCs w:val="20"/>
          <w:lang w:val="pt-BR"/>
        </w:rPr>
        <w:t xml:space="preserve">que </w:t>
      </w:r>
      <w:r w:rsidR="00751189" w:rsidRPr="0038442F">
        <w:rPr>
          <w:rFonts w:ascii="Verdana" w:hAnsi="Verdana" w:cs="System Font Regular"/>
          <w:sz w:val="20"/>
          <w:szCs w:val="20"/>
          <w:lang w:val="pt-BR"/>
        </w:rPr>
        <w:t xml:space="preserve">no </w:t>
      </w:r>
      <w:r w:rsidR="00341D42" w:rsidRPr="0038442F">
        <w:rPr>
          <w:rFonts w:ascii="Verdana" w:hAnsi="Verdana" w:cs="System Font Regular"/>
          <w:sz w:val="20"/>
          <w:szCs w:val="20"/>
          <w:lang w:val="pt-BR"/>
        </w:rPr>
        <w:t xml:space="preserve">Sistema Interamericano </w:t>
      </w:r>
      <w:r w:rsidR="00F60718" w:rsidRPr="0038442F">
        <w:rPr>
          <w:rFonts w:ascii="Verdana" w:hAnsi="Verdana" w:cs="System Font Regular"/>
          <w:sz w:val="20"/>
          <w:szCs w:val="20"/>
          <w:lang w:val="pt-BR"/>
        </w:rPr>
        <w:t>se afirma que</w:t>
      </w:r>
      <w:r w:rsidR="003203E9" w:rsidRPr="0038442F">
        <w:rPr>
          <w:rFonts w:ascii="Verdana" w:hAnsi="Verdana" w:cs="System Font Regular"/>
          <w:sz w:val="20"/>
          <w:szCs w:val="20"/>
          <w:lang w:val="pt-BR"/>
        </w:rPr>
        <w:t xml:space="preserve">, em seu âmbito, </w:t>
      </w:r>
      <w:r w:rsidR="00FC5589" w:rsidRPr="0038442F">
        <w:rPr>
          <w:rFonts w:ascii="Verdana" w:hAnsi="Verdana" w:cs="System Font Regular"/>
          <w:sz w:val="20"/>
          <w:szCs w:val="20"/>
          <w:lang w:val="pt-BR"/>
        </w:rPr>
        <w:t xml:space="preserve">não </w:t>
      </w:r>
      <w:r w:rsidR="00F60718" w:rsidRPr="0038442F">
        <w:rPr>
          <w:rFonts w:ascii="Verdana" w:hAnsi="Verdana" w:cs="System Font Regular"/>
          <w:sz w:val="20"/>
          <w:szCs w:val="20"/>
          <w:lang w:val="pt-BR"/>
        </w:rPr>
        <w:t xml:space="preserve">existe </w:t>
      </w:r>
      <w:r w:rsidR="005A106B" w:rsidRPr="0038442F">
        <w:rPr>
          <w:rFonts w:ascii="Verdana" w:hAnsi="Verdana" w:cs="System Font Regular"/>
          <w:sz w:val="20"/>
          <w:szCs w:val="20"/>
          <w:lang w:val="pt-BR"/>
        </w:rPr>
        <w:t xml:space="preserve">somente </w:t>
      </w:r>
      <w:r w:rsidR="00F60718" w:rsidRPr="0038442F">
        <w:rPr>
          <w:rFonts w:ascii="Verdana" w:hAnsi="Verdana" w:cs="System Font Regular"/>
          <w:sz w:val="20"/>
          <w:szCs w:val="20"/>
          <w:lang w:val="pt-BR"/>
        </w:rPr>
        <w:t xml:space="preserve">a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F60718" w:rsidRPr="0038442F">
        <w:rPr>
          <w:rFonts w:ascii="Verdana" w:hAnsi="Verdana" w:cs="System Font Regular"/>
          <w:sz w:val="20"/>
          <w:szCs w:val="20"/>
          <w:lang w:val="pt-BR"/>
        </w:rPr>
        <w:t>formal</w:t>
      </w:r>
      <w:r w:rsidR="00986AA2" w:rsidRPr="0038442F">
        <w:rPr>
          <w:rFonts w:ascii="Verdana" w:hAnsi="Verdana" w:cs="System Font Regular"/>
          <w:sz w:val="20"/>
          <w:szCs w:val="20"/>
          <w:lang w:val="pt-BR"/>
        </w:rPr>
        <w:t xml:space="preserve"> o</w:t>
      </w:r>
      <w:r w:rsidR="00FC5589" w:rsidRPr="0038442F">
        <w:rPr>
          <w:rFonts w:ascii="Verdana" w:hAnsi="Verdana" w:cs="System Font Regular"/>
          <w:sz w:val="20"/>
          <w:szCs w:val="20"/>
          <w:lang w:val="pt-BR"/>
        </w:rPr>
        <w:t>u</w:t>
      </w:r>
      <w:r w:rsidR="00986AA2" w:rsidRPr="0038442F">
        <w:rPr>
          <w:rFonts w:ascii="Verdana" w:hAnsi="Verdana" w:cs="System Font Regular"/>
          <w:sz w:val="20"/>
          <w:szCs w:val="20"/>
          <w:lang w:val="pt-BR"/>
        </w:rPr>
        <w:t xml:space="preserve"> de </w:t>
      </w:r>
      <w:r w:rsidR="00FC5589" w:rsidRPr="0038442F">
        <w:rPr>
          <w:rFonts w:ascii="Verdana" w:hAnsi="Verdana" w:cs="System Font Regular"/>
          <w:sz w:val="20"/>
          <w:szCs w:val="20"/>
          <w:lang w:val="pt-BR"/>
        </w:rPr>
        <w:t>tratamento</w:t>
      </w:r>
      <w:r w:rsidR="00407242" w:rsidRPr="0038442F">
        <w:rPr>
          <w:rFonts w:ascii="Verdana" w:hAnsi="Verdana" w:cs="System Font Regular"/>
          <w:sz w:val="20"/>
          <w:szCs w:val="20"/>
          <w:lang w:val="pt-BR"/>
        </w:rPr>
        <w:t xml:space="preserve"> </w:t>
      </w:r>
      <w:r w:rsidR="00986AA2" w:rsidRPr="0038442F">
        <w:rPr>
          <w:rFonts w:ascii="Verdana" w:hAnsi="Verdana" w:cs="System Font Regular"/>
          <w:sz w:val="20"/>
          <w:szCs w:val="20"/>
          <w:lang w:val="pt-BR"/>
        </w:rPr>
        <w:t>n</w:t>
      </w:r>
      <w:r w:rsidR="00FC5589" w:rsidRPr="0038442F">
        <w:rPr>
          <w:rFonts w:ascii="Verdana" w:hAnsi="Verdana" w:cs="System Font Regular"/>
          <w:sz w:val="20"/>
          <w:szCs w:val="20"/>
          <w:lang w:val="pt-BR"/>
        </w:rPr>
        <w:t>ã</w:t>
      </w:r>
      <w:r w:rsidR="00986AA2" w:rsidRPr="0038442F">
        <w:rPr>
          <w:rFonts w:ascii="Verdana" w:hAnsi="Verdana" w:cs="System Font Regular"/>
          <w:sz w:val="20"/>
          <w:szCs w:val="20"/>
          <w:lang w:val="pt-BR"/>
        </w:rPr>
        <w:t xml:space="preserve">o </w:t>
      </w:r>
      <w:r w:rsidR="00FC5589" w:rsidRPr="0038442F">
        <w:rPr>
          <w:rFonts w:ascii="Verdana" w:hAnsi="Verdana" w:cs="System Font Regular"/>
          <w:sz w:val="20"/>
          <w:szCs w:val="20"/>
          <w:lang w:val="pt-BR"/>
        </w:rPr>
        <w:t>arbitrário</w:t>
      </w:r>
      <w:r w:rsidR="00F60718" w:rsidRPr="0038442F">
        <w:rPr>
          <w:rFonts w:ascii="Verdana" w:hAnsi="Verdana" w:cs="System Font Regular"/>
          <w:sz w:val="20"/>
          <w:szCs w:val="20"/>
          <w:lang w:val="pt-BR"/>
        </w:rPr>
        <w:t xml:space="preserve">, </w:t>
      </w:r>
      <w:r w:rsidR="003203E9" w:rsidRPr="0038442F">
        <w:rPr>
          <w:rFonts w:ascii="Verdana" w:hAnsi="Verdana" w:cs="System Font Regular"/>
          <w:sz w:val="20"/>
          <w:szCs w:val="20"/>
          <w:lang w:val="pt-BR"/>
        </w:rPr>
        <w:t xml:space="preserve">mas </w:t>
      </w:r>
      <w:r w:rsidR="005135E5" w:rsidRPr="0038442F">
        <w:rPr>
          <w:rFonts w:ascii="Verdana" w:hAnsi="Verdana" w:cs="System Font Regular"/>
          <w:sz w:val="20"/>
          <w:szCs w:val="20"/>
          <w:lang w:val="pt-BR"/>
        </w:rPr>
        <w:t>também</w:t>
      </w:r>
      <w:r w:rsidR="00407242" w:rsidRPr="0038442F">
        <w:rPr>
          <w:rFonts w:ascii="Verdana" w:hAnsi="Verdana" w:cs="System Font Regular"/>
          <w:sz w:val="20"/>
          <w:szCs w:val="20"/>
          <w:lang w:val="pt-BR"/>
        </w:rPr>
        <w:t xml:space="preserve"> </w:t>
      </w:r>
      <w:r w:rsidR="00F60718" w:rsidRPr="0038442F">
        <w:rPr>
          <w:rFonts w:ascii="Verdana" w:hAnsi="Verdana" w:cs="System Font Regular"/>
          <w:sz w:val="20"/>
          <w:szCs w:val="20"/>
          <w:lang w:val="pt-BR"/>
        </w:rPr>
        <w:t>se entende que se protege u</w:t>
      </w:r>
      <w:r w:rsidR="00FC5589" w:rsidRPr="0038442F">
        <w:rPr>
          <w:rFonts w:ascii="Verdana" w:hAnsi="Verdana" w:cs="System Font Regular"/>
          <w:sz w:val="20"/>
          <w:szCs w:val="20"/>
          <w:lang w:val="pt-BR"/>
        </w:rPr>
        <w:t>m</w:t>
      </w:r>
      <w:r w:rsidR="00F60718" w:rsidRPr="0038442F">
        <w:rPr>
          <w:rFonts w:ascii="Verdana" w:hAnsi="Verdana" w:cs="System Font Regular"/>
          <w:sz w:val="20"/>
          <w:szCs w:val="20"/>
          <w:lang w:val="pt-BR"/>
        </w:rPr>
        <w:t xml:space="preserve"> aspecto material, </w:t>
      </w:r>
      <w:r w:rsidR="00751189" w:rsidRPr="0038442F">
        <w:rPr>
          <w:rFonts w:ascii="Verdana" w:hAnsi="Verdana" w:cs="System Font Regular"/>
          <w:sz w:val="20"/>
          <w:szCs w:val="20"/>
          <w:lang w:val="pt-BR"/>
        </w:rPr>
        <w:t>substancial</w:t>
      </w:r>
      <w:r w:rsidR="00F60718" w:rsidRPr="0038442F">
        <w:rPr>
          <w:rFonts w:ascii="Verdana" w:hAnsi="Verdana" w:cs="System Font Regular"/>
          <w:sz w:val="20"/>
          <w:szCs w:val="20"/>
          <w:lang w:val="pt-BR"/>
        </w:rPr>
        <w:t xml:space="preserve">, de oportunidades </w:t>
      </w:r>
      <w:r w:rsidR="00986AA2" w:rsidRPr="0038442F">
        <w:rPr>
          <w:rFonts w:ascii="Verdana" w:hAnsi="Verdana" w:cs="System Font Regular"/>
          <w:sz w:val="20"/>
          <w:szCs w:val="20"/>
          <w:lang w:val="pt-BR"/>
        </w:rPr>
        <w:t>o</w:t>
      </w:r>
      <w:r w:rsidR="00FC5589" w:rsidRPr="0038442F">
        <w:rPr>
          <w:rFonts w:ascii="Verdana" w:hAnsi="Verdana" w:cs="System Font Regular"/>
          <w:sz w:val="20"/>
          <w:szCs w:val="20"/>
          <w:lang w:val="pt-BR"/>
        </w:rPr>
        <w:t>u</w:t>
      </w:r>
      <w:r w:rsidR="00986AA2" w:rsidRPr="0038442F">
        <w:rPr>
          <w:rFonts w:ascii="Verdana" w:hAnsi="Verdana" w:cs="System Font Regular"/>
          <w:sz w:val="20"/>
          <w:szCs w:val="20"/>
          <w:lang w:val="pt-BR"/>
        </w:rPr>
        <w:t xml:space="preserve"> real. As</w:t>
      </w:r>
      <w:r w:rsidR="00FC5589" w:rsidRPr="0038442F">
        <w:rPr>
          <w:rFonts w:ascii="Verdana" w:hAnsi="Verdana" w:cs="System Font Regular"/>
          <w:sz w:val="20"/>
          <w:szCs w:val="20"/>
          <w:lang w:val="pt-BR"/>
        </w:rPr>
        <w:t>sim</w:t>
      </w:r>
      <w:r w:rsidR="00986AA2" w:rsidRPr="0038442F">
        <w:rPr>
          <w:rFonts w:ascii="Verdana" w:hAnsi="Verdana" w:cs="System Font Regular"/>
          <w:sz w:val="20"/>
          <w:szCs w:val="20"/>
          <w:lang w:val="pt-BR"/>
        </w:rPr>
        <w:t xml:space="preserve">, </w:t>
      </w:r>
      <w:r w:rsidR="009C265B" w:rsidRPr="0038442F">
        <w:rPr>
          <w:rFonts w:ascii="Verdana" w:hAnsi="Verdana" w:cs="System Font Regular"/>
          <w:sz w:val="20"/>
          <w:szCs w:val="20"/>
          <w:lang w:val="pt-BR"/>
        </w:rPr>
        <w:t xml:space="preserve">a Comissão </w:t>
      </w:r>
      <w:r w:rsidR="00D22B73" w:rsidRPr="0038442F">
        <w:rPr>
          <w:rFonts w:ascii="Verdana" w:hAnsi="Verdana" w:cs="System Font Regular"/>
          <w:sz w:val="20"/>
          <w:szCs w:val="20"/>
          <w:lang w:val="pt-BR"/>
        </w:rPr>
        <w:t xml:space="preserve">Interamericana </w:t>
      </w:r>
      <w:r w:rsidR="00FC5589" w:rsidRPr="0038442F">
        <w:rPr>
          <w:rFonts w:ascii="Verdana" w:hAnsi="Verdana" w:cs="System Font Regular"/>
          <w:sz w:val="20"/>
          <w:szCs w:val="20"/>
          <w:lang w:val="pt-BR"/>
        </w:rPr>
        <w:t xml:space="preserve">declarou, no ano de </w:t>
      </w:r>
      <w:r w:rsidR="0034303F" w:rsidRPr="0038442F">
        <w:rPr>
          <w:rFonts w:ascii="Verdana" w:hAnsi="Verdana" w:cs="System Font Regular"/>
          <w:sz w:val="20"/>
          <w:szCs w:val="20"/>
          <w:lang w:val="pt-BR"/>
        </w:rPr>
        <w:t>2007</w:t>
      </w:r>
      <w:r w:rsidR="00FC5589" w:rsidRPr="0038442F">
        <w:rPr>
          <w:rFonts w:ascii="Verdana" w:hAnsi="Verdana" w:cs="System Font Regular"/>
          <w:sz w:val="20"/>
          <w:szCs w:val="20"/>
          <w:lang w:val="pt-BR"/>
        </w:rPr>
        <w:t>,</w:t>
      </w:r>
      <w:r w:rsidR="00FE62DE" w:rsidRPr="0038442F">
        <w:rPr>
          <w:rFonts w:ascii="Verdana" w:hAnsi="Verdana" w:cs="System Font Regular"/>
          <w:sz w:val="20"/>
          <w:szCs w:val="20"/>
          <w:lang w:val="pt-BR"/>
        </w:rPr>
        <w:t xml:space="preserve"> </w:t>
      </w:r>
      <w:r w:rsidR="00986AA2" w:rsidRPr="0038442F">
        <w:rPr>
          <w:rFonts w:ascii="Verdana" w:hAnsi="Verdana" w:cs="System Font Regular"/>
          <w:sz w:val="20"/>
          <w:szCs w:val="20"/>
          <w:lang w:val="pt-BR"/>
        </w:rPr>
        <w:t xml:space="preserve">que: </w:t>
      </w:r>
    </w:p>
    <w:p w14:paraId="1969CC1D" w14:textId="77777777" w:rsidR="0034303F" w:rsidRPr="0038442F" w:rsidRDefault="0034303F" w:rsidP="00A857CB">
      <w:pPr>
        <w:pStyle w:val="Prrafodelista"/>
        <w:spacing w:after="0" w:line="240" w:lineRule="auto"/>
        <w:ind w:left="0"/>
        <w:jc w:val="both"/>
        <w:rPr>
          <w:rFonts w:ascii="Verdana" w:hAnsi="Verdana" w:cs="System Font Regular"/>
          <w:sz w:val="20"/>
          <w:szCs w:val="20"/>
          <w:lang w:val="pt-BR"/>
        </w:rPr>
      </w:pPr>
    </w:p>
    <w:p w14:paraId="0AC830DB" w14:textId="109279E0" w:rsidR="0034303F" w:rsidRPr="0038442F" w:rsidRDefault="0034303F" w:rsidP="00A857CB">
      <w:pPr>
        <w:ind w:left="708" w:right="615"/>
        <w:jc w:val="both"/>
        <w:rPr>
          <w:rFonts w:ascii="Verdana" w:hAnsi="Verdana"/>
          <w:sz w:val="16"/>
          <w:szCs w:val="16"/>
          <w:lang w:val="pt-BR"/>
        </w:rPr>
      </w:pPr>
      <w:r w:rsidRPr="0038442F">
        <w:rPr>
          <w:rFonts w:ascii="Verdana" w:hAnsi="Verdana"/>
          <w:sz w:val="16"/>
          <w:szCs w:val="16"/>
          <w:lang w:val="pt-BR"/>
        </w:rPr>
        <w:t>99.</w:t>
      </w:r>
      <w:r w:rsidR="00407242" w:rsidRPr="0038442F">
        <w:rPr>
          <w:rFonts w:ascii="Verdana" w:hAnsi="Verdana"/>
          <w:sz w:val="16"/>
          <w:szCs w:val="16"/>
          <w:lang w:val="pt-BR"/>
        </w:rPr>
        <w:t xml:space="preserve"> </w:t>
      </w:r>
      <w:r w:rsidR="00FC5589" w:rsidRPr="0038442F">
        <w:rPr>
          <w:rFonts w:ascii="Verdana" w:hAnsi="Verdana"/>
          <w:sz w:val="16"/>
          <w:szCs w:val="16"/>
          <w:lang w:val="pt-BR"/>
        </w:rPr>
        <w:t>O</w:t>
      </w:r>
      <w:r w:rsidRPr="0038442F">
        <w:rPr>
          <w:rFonts w:ascii="Verdana" w:hAnsi="Verdana"/>
          <w:sz w:val="16"/>
          <w:szCs w:val="16"/>
          <w:lang w:val="pt-BR"/>
        </w:rPr>
        <w:t xml:space="preserve"> </w:t>
      </w:r>
      <w:r w:rsidR="00FC5589" w:rsidRPr="0038442F">
        <w:rPr>
          <w:rFonts w:ascii="Verdana" w:hAnsi="Verdana"/>
          <w:sz w:val="16"/>
          <w:szCs w:val="16"/>
          <w:lang w:val="pt-BR"/>
        </w:rPr>
        <w:t>S</w:t>
      </w:r>
      <w:r w:rsidRPr="0038442F">
        <w:rPr>
          <w:rFonts w:ascii="Verdana" w:hAnsi="Verdana"/>
          <w:sz w:val="16"/>
          <w:szCs w:val="16"/>
          <w:lang w:val="pt-BR"/>
        </w:rPr>
        <w:t xml:space="preserve">istema </w:t>
      </w:r>
      <w:r w:rsidR="00FC5589" w:rsidRPr="0038442F">
        <w:rPr>
          <w:rFonts w:ascii="Verdana" w:hAnsi="Verdana"/>
          <w:sz w:val="16"/>
          <w:szCs w:val="16"/>
          <w:lang w:val="pt-BR"/>
        </w:rPr>
        <w:t>I</w:t>
      </w:r>
      <w:r w:rsidRPr="0038442F">
        <w:rPr>
          <w:rFonts w:ascii="Verdana" w:hAnsi="Verdana"/>
          <w:sz w:val="16"/>
          <w:szCs w:val="16"/>
          <w:lang w:val="pt-BR"/>
        </w:rPr>
        <w:t xml:space="preserve">nteramericano </w:t>
      </w:r>
      <w:r w:rsidR="00FC5589" w:rsidRPr="0038442F">
        <w:rPr>
          <w:rFonts w:ascii="Verdana" w:hAnsi="Verdana"/>
          <w:sz w:val="16"/>
          <w:szCs w:val="16"/>
          <w:lang w:val="pt-BR"/>
        </w:rPr>
        <w:t xml:space="preserve">não só congrega </w:t>
      </w:r>
      <w:r w:rsidR="00C92762" w:rsidRPr="0038442F">
        <w:rPr>
          <w:rFonts w:ascii="Verdana" w:hAnsi="Verdana"/>
          <w:sz w:val="16"/>
          <w:szCs w:val="16"/>
          <w:lang w:val="pt-BR"/>
        </w:rPr>
        <w:t>uma</w:t>
      </w:r>
      <w:r w:rsidR="00407242" w:rsidRPr="0038442F">
        <w:rPr>
          <w:rFonts w:ascii="Verdana" w:hAnsi="Verdana"/>
          <w:sz w:val="16"/>
          <w:szCs w:val="16"/>
          <w:lang w:val="pt-BR"/>
        </w:rPr>
        <w:t xml:space="preserve"> </w:t>
      </w:r>
      <w:r w:rsidRPr="0038442F">
        <w:rPr>
          <w:rFonts w:ascii="Verdana" w:hAnsi="Verdana"/>
          <w:sz w:val="16"/>
          <w:szCs w:val="16"/>
          <w:lang w:val="pt-BR"/>
        </w:rPr>
        <w:t>no</w:t>
      </w:r>
      <w:r w:rsidR="000A1AA8" w:rsidRPr="0038442F">
        <w:rPr>
          <w:rFonts w:ascii="Verdana" w:hAnsi="Verdana"/>
          <w:sz w:val="16"/>
          <w:szCs w:val="16"/>
          <w:lang w:val="pt-BR"/>
        </w:rPr>
        <w:t>ção</w:t>
      </w:r>
      <w:r w:rsidRPr="0038442F">
        <w:rPr>
          <w:rFonts w:ascii="Verdana" w:hAnsi="Verdana"/>
          <w:sz w:val="16"/>
          <w:szCs w:val="16"/>
          <w:lang w:val="pt-BR"/>
        </w:rPr>
        <w:t xml:space="preserve"> formal de </w:t>
      </w:r>
      <w:r w:rsidR="009612FB" w:rsidRPr="0038442F">
        <w:rPr>
          <w:rFonts w:ascii="Verdana" w:hAnsi="Verdana"/>
          <w:sz w:val="16"/>
          <w:szCs w:val="16"/>
          <w:lang w:val="pt-BR"/>
        </w:rPr>
        <w:t>igualdade</w:t>
      </w:r>
      <w:r w:rsidRPr="0038442F">
        <w:rPr>
          <w:rFonts w:ascii="Verdana" w:hAnsi="Verdana"/>
          <w:sz w:val="16"/>
          <w:szCs w:val="16"/>
          <w:lang w:val="pt-BR"/>
        </w:rPr>
        <w:t xml:space="preserve">, limitada a exigir </w:t>
      </w:r>
      <w:r w:rsidR="00FC5589" w:rsidRPr="0038442F">
        <w:rPr>
          <w:rFonts w:ascii="Verdana" w:hAnsi="Verdana"/>
          <w:sz w:val="16"/>
          <w:szCs w:val="16"/>
          <w:lang w:val="pt-BR"/>
        </w:rPr>
        <w:t>critérios</w:t>
      </w:r>
      <w:r w:rsidR="00407242" w:rsidRPr="0038442F">
        <w:rPr>
          <w:rFonts w:ascii="Verdana" w:hAnsi="Verdana"/>
          <w:sz w:val="16"/>
          <w:szCs w:val="16"/>
          <w:lang w:val="pt-BR"/>
        </w:rPr>
        <w:t xml:space="preserve"> </w:t>
      </w:r>
      <w:r w:rsidRPr="0038442F">
        <w:rPr>
          <w:rFonts w:ascii="Verdana" w:hAnsi="Verdana"/>
          <w:sz w:val="16"/>
          <w:szCs w:val="16"/>
          <w:lang w:val="pt-BR"/>
        </w:rPr>
        <w:t>de distin</w:t>
      </w:r>
      <w:r w:rsidR="000A1AA8" w:rsidRPr="0038442F">
        <w:rPr>
          <w:rFonts w:ascii="Verdana" w:hAnsi="Verdana"/>
          <w:sz w:val="16"/>
          <w:szCs w:val="16"/>
          <w:lang w:val="pt-BR"/>
        </w:rPr>
        <w:t>ção</w:t>
      </w:r>
      <w:r w:rsidRPr="0038442F">
        <w:rPr>
          <w:rFonts w:ascii="Verdana" w:hAnsi="Verdana"/>
          <w:sz w:val="16"/>
          <w:szCs w:val="16"/>
          <w:lang w:val="pt-BR"/>
        </w:rPr>
        <w:t xml:space="preserve"> objetivos </w:t>
      </w:r>
      <w:r w:rsidR="00FC5589" w:rsidRPr="0038442F">
        <w:rPr>
          <w:rFonts w:ascii="Verdana" w:hAnsi="Verdana"/>
          <w:sz w:val="16"/>
          <w:szCs w:val="16"/>
          <w:lang w:val="pt-BR"/>
        </w:rPr>
        <w:t>e</w:t>
      </w:r>
      <w:r w:rsidRPr="0038442F">
        <w:rPr>
          <w:rFonts w:ascii="Verdana" w:hAnsi="Verdana"/>
          <w:sz w:val="16"/>
          <w:szCs w:val="16"/>
          <w:lang w:val="pt-BR"/>
        </w:rPr>
        <w:t xml:space="preserve"> razo</w:t>
      </w:r>
      <w:r w:rsidR="00FC5589" w:rsidRPr="0038442F">
        <w:rPr>
          <w:rFonts w:ascii="Verdana" w:hAnsi="Verdana"/>
          <w:sz w:val="16"/>
          <w:szCs w:val="16"/>
          <w:lang w:val="pt-BR"/>
        </w:rPr>
        <w:t xml:space="preserve">áveis e, </w:t>
      </w:r>
      <w:r w:rsidRPr="0038442F">
        <w:rPr>
          <w:rFonts w:ascii="Verdana" w:hAnsi="Verdana"/>
          <w:sz w:val="16"/>
          <w:szCs w:val="16"/>
          <w:lang w:val="pt-BR"/>
        </w:rPr>
        <w:t>portanto, a proibir diferen</w:t>
      </w:r>
      <w:r w:rsidR="00FC5589" w:rsidRPr="0038442F">
        <w:rPr>
          <w:rFonts w:ascii="Verdana" w:hAnsi="Verdana"/>
          <w:sz w:val="16"/>
          <w:szCs w:val="16"/>
          <w:lang w:val="pt-BR"/>
        </w:rPr>
        <w:t>ç</w:t>
      </w:r>
      <w:r w:rsidRPr="0038442F">
        <w:rPr>
          <w:rFonts w:ascii="Verdana" w:hAnsi="Verdana"/>
          <w:sz w:val="16"/>
          <w:szCs w:val="16"/>
          <w:lang w:val="pt-BR"/>
        </w:rPr>
        <w:t xml:space="preserve">as de </w:t>
      </w:r>
      <w:r w:rsidR="00FC5589" w:rsidRPr="0038442F">
        <w:rPr>
          <w:rFonts w:ascii="Verdana" w:hAnsi="Verdana"/>
          <w:sz w:val="16"/>
          <w:szCs w:val="16"/>
          <w:lang w:val="pt-BR"/>
        </w:rPr>
        <w:t>tratamento</w:t>
      </w:r>
      <w:r w:rsidR="00407242" w:rsidRPr="0038442F">
        <w:rPr>
          <w:rFonts w:ascii="Verdana" w:hAnsi="Verdana"/>
          <w:sz w:val="16"/>
          <w:szCs w:val="16"/>
          <w:lang w:val="pt-BR"/>
        </w:rPr>
        <w:t xml:space="preserve"> </w:t>
      </w:r>
      <w:r w:rsidRPr="0038442F">
        <w:rPr>
          <w:rFonts w:ascii="Verdana" w:hAnsi="Verdana"/>
          <w:sz w:val="16"/>
          <w:szCs w:val="16"/>
          <w:lang w:val="pt-BR"/>
        </w:rPr>
        <w:t>irrazo</w:t>
      </w:r>
      <w:r w:rsidR="00FC5589" w:rsidRPr="0038442F">
        <w:rPr>
          <w:rFonts w:ascii="Verdana" w:hAnsi="Verdana"/>
          <w:sz w:val="16"/>
          <w:szCs w:val="16"/>
          <w:lang w:val="pt-BR"/>
        </w:rPr>
        <w:t>áveis</w:t>
      </w:r>
      <w:r w:rsidRPr="0038442F">
        <w:rPr>
          <w:rFonts w:ascii="Verdana" w:hAnsi="Verdana"/>
          <w:sz w:val="16"/>
          <w:szCs w:val="16"/>
          <w:lang w:val="pt-BR"/>
        </w:rPr>
        <w:t xml:space="preserve">, </w:t>
      </w:r>
      <w:r w:rsidR="00FC5589" w:rsidRPr="0038442F">
        <w:rPr>
          <w:rFonts w:ascii="Verdana" w:hAnsi="Verdana"/>
          <w:sz w:val="16"/>
          <w:szCs w:val="16"/>
          <w:lang w:val="pt-BR"/>
        </w:rPr>
        <w:t>inconstantes</w:t>
      </w:r>
      <w:r w:rsidRPr="0038442F">
        <w:rPr>
          <w:rFonts w:ascii="Verdana" w:hAnsi="Verdana"/>
          <w:sz w:val="16"/>
          <w:szCs w:val="16"/>
          <w:lang w:val="pt-BR"/>
        </w:rPr>
        <w:t xml:space="preserve"> o</w:t>
      </w:r>
      <w:r w:rsidR="00FC5589" w:rsidRPr="0038442F">
        <w:rPr>
          <w:rFonts w:ascii="Verdana" w:hAnsi="Verdana"/>
          <w:sz w:val="16"/>
          <w:szCs w:val="16"/>
          <w:lang w:val="pt-BR"/>
        </w:rPr>
        <w:t>u</w:t>
      </w:r>
      <w:r w:rsidRPr="0038442F">
        <w:rPr>
          <w:rFonts w:ascii="Verdana" w:hAnsi="Verdana"/>
          <w:sz w:val="16"/>
          <w:szCs w:val="16"/>
          <w:lang w:val="pt-BR"/>
        </w:rPr>
        <w:t xml:space="preserve"> arbitr</w:t>
      </w:r>
      <w:r w:rsidR="00FC5589" w:rsidRPr="0038442F">
        <w:rPr>
          <w:rFonts w:ascii="Verdana" w:hAnsi="Verdana"/>
          <w:sz w:val="16"/>
          <w:szCs w:val="16"/>
          <w:lang w:val="pt-BR"/>
        </w:rPr>
        <w:t>á</w:t>
      </w:r>
      <w:r w:rsidRPr="0038442F">
        <w:rPr>
          <w:rFonts w:ascii="Verdana" w:hAnsi="Verdana"/>
          <w:sz w:val="16"/>
          <w:szCs w:val="16"/>
          <w:lang w:val="pt-BR"/>
        </w:rPr>
        <w:t xml:space="preserve">rias, </w:t>
      </w:r>
      <w:r w:rsidR="00FC5589" w:rsidRPr="0038442F">
        <w:rPr>
          <w:rFonts w:ascii="Verdana" w:hAnsi="Verdana"/>
          <w:sz w:val="16"/>
          <w:szCs w:val="16"/>
          <w:lang w:val="pt-BR"/>
        </w:rPr>
        <w:t xml:space="preserve">mas avança para um conceito </w:t>
      </w:r>
      <w:r w:rsidRPr="0038442F">
        <w:rPr>
          <w:rFonts w:ascii="Verdana" w:hAnsi="Verdana"/>
          <w:sz w:val="16"/>
          <w:szCs w:val="16"/>
          <w:lang w:val="pt-BR"/>
        </w:rPr>
        <w:t xml:space="preserve">de </w:t>
      </w:r>
      <w:r w:rsidR="009612FB" w:rsidRPr="0038442F">
        <w:rPr>
          <w:rFonts w:ascii="Verdana" w:hAnsi="Verdana"/>
          <w:sz w:val="16"/>
          <w:szCs w:val="16"/>
          <w:lang w:val="pt-BR"/>
        </w:rPr>
        <w:t>igualdade</w:t>
      </w:r>
      <w:r w:rsidR="00407242" w:rsidRPr="0038442F">
        <w:rPr>
          <w:rFonts w:ascii="Verdana" w:hAnsi="Verdana"/>
          <w:sz w:val="16"/>
          <w:szCs w:val="16"/>
          <w:lang w:val="pt-BR"/>
        </w:rPr>
        <w:t xml:space="preserve"> </w:t>
      </w:r>
      <w:r w:rsidRPr="0038442F">
        <w:rPr>
          <w:rFonts w:ascii="Verdana" w:hAnsi="Verdana"/>
          <w:sz w:val="16"/>
          <w:szCs w:val="16"/>
          <w:lang w:val="pt-BR"/>
        </w:rPr>
        <w:t>material o</w:t>
      </w:r>
      <w:r w:rsidR="00FC5589" w:rsidRPr="0038442F">
        <w:rPr>
          <w:rFonts w:ascii="Verdana" w:hAnsi="Verdana"/>
          <w:sz w:val="16"/>
          <w:szCs w:val="16"/>
          <w:lang w:val="pt-BR"/>
        </w:rPr>
        <w:t>u</w:t>
      </w:r>
      <w:r w:rsidRPr="0038442F">
        <w:rPr>
          <w:rFonts w:ascii="Verdana" w:hAnsi="Verdana"/>
          <w:sz w:val="16"/>
          <w:szCs w:val="16"/>
          <w:lang w:val="pt-BR"/>
        </w:rPr>
        <w:t xml:space="preserve"> </w:t>
      </w:r>
      <w:r w:rsidR="006445EE" w:rsidRPr="0038442F">
        <w:rPr>
          <w:rFonts w:ascii="Verdana" w:hAnsi="Verdana"/>
          <w:sz w:val="16"/>
          <w:szCs w:val="16"/>
          <w:lang w:val="pt-BR"/>
        </w:rPr>
        <w:t xml:space="preserve">estrutural </w:t>
      </w:r>
      <w:r w:rsidRPr="0038442F">
        <w:rPr>
          <w:rFonts w:ascii="Verdana" w:hAnsi="Verdana"/>
          <w:sz w:val="16"/>
          <w:szCs w:val="16"/>
          <w:lang w:val="pt-BR"/>
        </w:rPr>
        <w:t>que parte d</w:t>
      </w:r>
      <w:r w:rsidR="00FC5589" w:rsidRPr="0038442F">
        <w:rPr>
          <w:rFonts w:ascii="Verdana" w:hAnsi="Verdana"/>
          <w:sz w:val="16"/>
          <w:szCs w:val="16"/>
          <w:lang w:val="pt-BR"/>
        </w:rPr>
        <w:t xml:space="preserve">o </w:t>
      </w:r>
      <w:r w:rsidR="006D3B60" w:rsidRPr="0038442F">
        <w:rPr>
          <w:rFonts w:ascii="Verdana" w:hAnsi="Verdana"/>
          <w:sz w:val="16"/>
          <w:szCs w:val="16"/>
          <w:lang w:val="pt-BR"/>
        </w:rPr>
        <w:t>reconhecimento</w:t>
      </w:r>
      <w:r w:rsidR="00407242" w:rsidRPr="0038442F">
        <w:rPr>
          <w:rFonts w:ascii="Verdana" w:hAnsi="Verdana"/>
          <w:sz w:val="16"/>
          <w:szCs w:val="16"/>
          <w:lang w:val="pt-BR"/>
        </w:rPr>
        <w:t xml:space="preserve"> </w:t>
      </w:r>
      <w:r w:rsidRPr="0038442F">
        <w:rPr>
          <w:rFonts w:ascii="Verdana" w:hAnsi="Verdana"/>
          <w:sz w:val="16"/>
          <w:szCs w:val="16"/>
          <w:lang w:val="pt-BR"/>
        </w:rPr>
        <w:t xml:space="preserve">de que certos setores </w:t>
      </w:r>
      <w:r w:rsidR="00C92762" w:rsidRPr="0038442F">
        <w:rPr>
          <w:rFonts w:ascii="Verdana" w:hAnsi="Verdana"/>
          <w:sz w:val="16"/>
          <w:szCs w:val="16"/>
          <w:lang w:val="pt-BR"/>
        </w:rPr>
        <w:t xml:space="preserve">da </w:t>
      </w:r>
      <w:r w:rsidR="00C76C5C" w:rsidRPr="0038442F">
        <w:rPr>
          <w:rFonts w:ascii="Verdana" w:hAnsi="Verdana"/>
          <w:sz w:val="16"/>
          <w:szCs w:val="16"/>
          <w:lang w:val="pt-BR"/>
        </w:rPr>
        <w:t>população</w:t>
      </w:r>
      <w:r w:rsidR="00407242" w:rsidRPr="0038442F">
        <w:rPr>
          <w:rFonts w:ascii="Verdana" w:hAnsi="Verdana"/>
          <w:sz w:val="16"/>
          <w:szCs w:val="16"/>
          <w:lang w:val="pt-BR"/>
        </w:rPr>
        <w:t xml:space="preserve"> </w:t>
      </w:r>
      <w:r w:rsidR="00FC5589" w:rsidRPr="0038442F">
        <w:rPr>
          <w:rFonts w:ascii="Verdana" w:hAnsi="Verdana"/>
          <w:sz w:val="16"/>
          <w:szCs w:val="16"/>
          <w:lang w:val="pt-BR"/>
        </w:rPr>
        <w:t xml:space="preserve">necessitam da </w:t>
      </w:r>
      <w:r w:rsidR="00826F7D" w:rsidRPr="0038442F">
        <w:rPr>
          <w:rFonts w:ascii="Verdana" w:hAnsi="Verdana"/>
          <w:sz w:val="16"/>
          <w:szCs w:val="16"/>
          <w:lang w:val="pt-BR"/>
        </w:rPr>
        <w:t>adoção</w:t>
      </w:r>
      <w:r w:rsidR="00407242" w:rsidRPr="0038442F">
        <w:rPr>
          <w:rFonts w:ascii="Verdana" w:hAnsi="Verdana"/>
          <w:sz w:val="16"/>
          <w:szCs w:val="16"/>
          <w:lang w:val="pt-BR"/>
        </w:rPr>
        <w:t xml:space="preserve"> </w:t>
      </w:r>
      <w:r w:rsidRPr="0038442F">
        <w:rPr>
          <w:rFonts w:ascii="Verdana" w:hAnsi="Verdana"/>
          <w:sz w:val="16"/>
          <w:szCs w:val="16"/>
          <w:lang w:val="pt-BR"/>
        </w:rPr>
        <w:t>de medidas especi</w:t>
      </w:r>
      <w:r w:rsidR="00C92762" w:rsidRPr="0038442F">
        <w:rPr>
          <w:rFonts w:ascii="Verdana" w:hAnsi="Verdana"/>
          <w:sz w:val="16"/>
          <w:szCs w:val="16"/>
          <w:lang w:val="pt-BR"/>
        </w:rPr>
        <w:t>ais</w:t>
      </w:r>
      <w:r w:rsidR="00407242" w:rsidRPr="0038442F">
        <w:rPr>
          <w:rFonts w:ascii="Verdana" w:hAnsi="Verdana"/>
          <w:sz w:val="16"/>
          <w:szCs w:val="16"/>
          <w:lang w:val="pt-BR"/>
        </w:rPr>
        <w:t xml:space="preserve"> </w:t>
      </w:r>
      <w:r w:rsidRPr="0038442F">
        <w:rPr>
          <w:rFonts w:ascii="Verdana" w:hAnsi="Verdana"/>
          <w:sz w:val="16"/>
          <w:szCs w:val="16"/>
          <w:lang w:val="pt-BR"/>
        </w:rPr>
        <w:t>de equipara</w:t>
      </w:r>
      <w:r w:rsidR="000A1AA8" w:rsidRPr="0038442F">
        <w:rPr>
          <w:rFonts w:ascii="Verdana" w:hAnsi="Verdana"/>
          <w:sz w:val="16"/>
          <w:szCs w:val="16"/>
          <w:lang w:val="pt-BR"/>
        </w:rPr>
        <w:t>ção</w:t>
      </w:r>
      <w:r w:rsidRPr="0038442F">
        <w:rPr>
          <w:rFonts w:ascii="Verdana" w:hAnsi="Verdana"/>
          <w:sz w:val="16"/>
          <w:szCs w:val="16"/>
          <w:lang w:val="pt-BR"/>
        </w:rPr>
        <w:t xml:space="preserve">. </w:t>
      </w:r>
      <w:r w:rsidR="00FC5589" w:rsidRPr="0038442F">
        <w:rPr>
          <w:rFonts w:ascii="Verdana" w:hAnsi="Verdana"/>
          <w:sz w:val="16"/>
          <w:szCs w:val="16"/>
          <w:lang w:val="pt-BR"/>
        </w:rPr>
        <w:t xml:space="preserve">Isso </w:t>
      </w:r>
      <w:r w:rsidRPr="0038442F">
        <w:rPr>
          <w:rFonts w:ascii="Verdana" w:hAnsi="Verdana"/>
          <w:sz w:val="16"/>
          <w:szCs w:val="16"/>
          <w:lang w:val="pt-BR"/>
        </w:rPr>
        <w:t xml:space="preserve">implica a </w:t>
      </w:r>
      <w:r w:rsidR="00751189" w:rsidRPr="0038442F">
        <w:rPr>
          <w:rFonts w:ascii="Verdana" w:hAnsi="Verdana"/>
          <w:sz w:val="16"/>
          <w:szCs w:val="16"/>
          <w:lang w:val="pt-BR"/>
        </w:rPr>
        <w:t>necessidade</w:t>
      </w:r>
      <w:r w:rsidR="00407242" w:rsidRPr="0038442F">
        <w:rPr>
          <w:rFonts w:ascii="Verdana" w:hAnsi="Verdana"/>
          <w:sz w:val="16"/>
          <w:szCs w:val="16"/>
          <w:lang w:val="pt-BR"/>
        </w:rPr>
        <w:t xml:space="preserve"> </w:t>
      </w:r>
      <w:r w:rsidRPr="0038442F">
        <w:rPr>
          <w:rFonts w:ascii="Verdana" w:hAnsi="Verdana"/>
          <w:sz w:val="16"/>
          <w:szCs w:val="16"/>
          <w:lang w:val="pt-BR"/>
        </w:rPr>
        <w:t xml:space="preserve">de </w:t>
      </w:r>
      <w:r w:rsidR="00FC5589" w:rsidRPr="0038442F">
        <w:rPr>
          <w:rFonts w:ascii="Verdana" w:hAnsi="Verdana"/>
          <w:sz w:val="16"/>
          <w:szCs w:val="16"/>
          <w:lang w:val="pt-BR"/>
        </w:rPr>
        <w:t>tratamento</w:t>
      </w:r>
      <w:r w:rsidR="00407242" w:rsidRPr="0038442F">
        <w:rPr>
          <w:rFonts w:ascii="Verdana" w:hAnsi="Verdana"/>
          <w:sz w:val="16"/>
          <w:szCs w:val="16"/>
          <w:lang w:val="pt-BR"/>
        </w:rPr>
        <w:t xml:space="preserve"> </w:t>
      </w:r>
      <w:r w:rsidRPr="0038442F">
        <w:rPr>
          <w:rFonts w:ascii="Verdana" w:hAnsi="Verdana"/>
          <w:sz w:val="16"/>
          <w:szCs w:val="16"/>
          <w:lang w:val="pt-BR"/>
        </w:rPr>
        <w:t xml:space="preserve">diferenciado </w:t>
      </w:r>
      <w:r w:rsidR="00FC5589" w:rsidRPr="0038442F">
        <w:rPr>
          <w:rFonts w:ascii="Verdana" w:hAnsi="Verdana"/>
          <w:sz w:val="16"/>
          <w:szCs w:val="16"/>
          <w:lang w:val="pt-BR"/>
        </w:rPr>
        <w:t>q</w:t>
      </w:r>
      <w:r w:rsidRPr="0038442F">
        <w:rPr>
          <w:rFonts w:ascii="Verdana" w:hAnsi="Verdana"/>
          <w:sz w:val="16"/>
          <w:szCs w:val="16"/>
          <w:lang w:val="pt-BR"/>
        </w:rPr>
        <w:t xml:space="preserve">uando, </w:t>
      </w:r>
      <w:r w:rsidR="00FC5589" w:rsidRPr="0038442F">
        <w:rPr>
          <w:rFonts w:ascii="Verdana" w:hAnsi="Verdana"/>
          <w:sz w:val="16"/>
          <w:szCs w:val="16"/>
          <w:lang w:val="pt-BR"/>
        </w:rPr>
        <w:t xml:space="preserve">devido às </w:t>
      </w:r>
      <w:r w:rsidR="00984A83" w:rsidRPr="0038442F">
        <w:rPr>
          <w:rFonts w:ascii="Verdana" w:hAnsi="Verdana"/>
          <w:sz w:val="16"/>
          <w:szCs w:val="16"/>
          <w:lang w:val="pt-BR"/>
        </w:rPr>
        <w:t>circunstâncias</w:t>
      </w:r>
      <w:r w:rsidR="00407242" w:rsidRPr="0038442F">
        <w:rPr>
          <w:rFonts w:ascii="Verdana" w:hAnsi="Verdana"/>
          <w:sz w:val="16"/>
          <w:szCs w:val="16"/>
          <w:lang w:val="pt-BR"/>
        </w:rPr>
        <w:t xml:space="preserve"> </w:t>
      </w:r>
      <w:r w:rsidRPr="0038442F">
        <w:rPr>
          <w:rFonts w:ascii="Verdana" w:hAnsi="Verdana"/>
          <w:sz w:val="16"/>
          <w:szCs w:val="16"/>
          <w:lang w:val="pt-BR"/>
        </w:rPr>
        <w:t xml:space="preserve">que </w:t>
      </w:r>
      <w:r w:rsidR="00FC5589" w:rsidRPr="0038442F">
        <w:rPr>
          <w:rFonts w:ascii="Verdana" w:hAnsi="Verdana"/>
          <w:sz w:val="16"/>
          <w:szCs w:val="16"/>
          <w:lang w:val="pt-BR"/>
        </w:rPr>
        <w:t xml:space="preserve">afetam um </w:t>
      </w:r>
      <w:r w:rsidRPr="0038442F">
        <w:rPr>
          <w:rFonts w:ascii="Verdana" w:hAnsi="Verdana"/>
          <w:sz w:val="16"/>
          <w:szCs w:val="16"/>
          <w:lang w:val="pt-BR"/>
        </w:rPr>
        <w:t xml:space="preserve">grupo </w:t>
      </w:r>
      <w:r w:rsidR="00F07133" w:rsidRPr="0038442F">
        <w:rPr>
          <w:rFonts w:ascii="Verdana" w:hAnsi="Verdana"/>
          <w:sz w:val="16"/>
          <w:szCs w:val="16"/>
          <w:lang w:val="pt-BR"/>
        </w:rPr>
        <w:t>em desvantagem</w:t>
      </w:r>
      <w:r w:rsidRPr="0038442F">
        <w:rPr>
          <w:rFonts w:ascii="Verdana" w:hAnsi="Verdana"/>
          <w:sz w:val="16"/>
          <w:szCs w:val="16"/>
          <w:lang w:val="pt-BR"/>
        </w:rPr>
        <w:t xml:space="preserve">, a </w:t>
      </w:r>
      <w:r w:rsidR="009612FB" w:rsidRPr="0038442F">
        <w:rPr>
          <w:rFonts w:ascii="Verdana" w:hAnsi="Verdana"/>
          <w:sz w:val="16"/>
          <w:szCs w:val="16"/>
          <w:lang w:val="pt-BR"/>
        </w:rPr>
        <w:t>igualdade</w:t>
      </w:r>
      <w:r w:rsidR="00407242" w:rsidRPr="0038442F">
        <w:rPr>
          <w:rFonts w:ascii="Verdana" w:hAnsi="Verdana"/>
          <w:sz w:val="16"/>
          <w:szCs w:val="16"/>
          <w:lang w:val="pt-BR"/>
        </w:rPr>
        <w:t xml:space="preserve"> </w:t>
      </w:r>
      <w:r w:rsidRPr="0038442F">
        <w:rPr>
          <w:rFonts w:ascii="Verdana" w:hAnsi="Verdana"/>
          <w:sz w:val="16"/>
          <w:szCs w:val="16"/>
          <w:lang w:val="pt-BR"/>
        </w:rPr>
        <w:t xml:space="preserve">de </w:t>
      </w:r>
      <w:r w:rsidR="00FC5589" w:rsidRPr="0038442F">
        <w:rPr>
          <w:rFonts w:ascii="Verdana" w:hAnsi="Verdana"/>
          <w:sz w:val="16"/>
          <w:szCs w:val="16"/>
          <w:lang w:val="pt-BR"/>
        </w:rPr>
        <w:t>tratamento</w:t>
      </w:r>
      <w:r w:rsidR="00407242" w:rsidRPr="0038442F">
        <w:rPr>
          <w:rFonts w:ascii="Verdana" w:hAnsi="Verdana"/>
          <w:sz w:val="16"/>
          <w:szCs w:val="16"/>
          <w:lang w:val="pt-BR"/>
        </w:rPr>
        <w:t xml:space="preserve"> </w:t>
      </w:r>
      <w:r w:rsidRPr="0038442F">
        <w:rPr>
          <w:rFonts w:ascii="Verdana" w:hAnsi="Verdana"/>
          <w:sz w:val="16"/>
          <w:szCs w:val="16"/>
          <w:lang w:val="pt-BR"/>
        </w:rPr>
        <w:t>supon</w:t>
      </w:r>
      <w:r w:rsidR="00F07133" w:rsidRPr="0038442F">
        <w:rPr>
          <w:rFonts w:ascii="Verdana" w:hAnsi="Verdana"/>
          <w:sz w:val="16"/>
          <w:szCs w:val="16"/>
          <w:lang w:val="pt-BR"/>
        </w:rPr>
        <w:t>h</w:t>
      </w:r>
      <w:r w:rsidRPr="0038442F">
        <w:rPr>
          <w:rFonts w:ascii="Verdana" w:hAnsi="Verdana"/>
          <w:sz w:val="16"/>
          <w:szCs w:val="16"/>
          <w:lang w:val="pt-BR"/>
        </w:rPr>
        <w:t xml:space="preserve">a </w:t>
      </w:r>
      <w:r w:rsidR="00F07133" w:rsidRPr="0038442F">
        <w:rPr>
          <w:rFonts w:ascii="Verdana" w:hAnsi="Verdana"/>
          <w:sz w:val="16"/>
          <w:szCs w:val="16"/>
          <w:lang w:val="pt-BR"/>
        </w:rPr>
        <w:t xml:space="preserve">limitar ou piorar o </w:t>
      </w:r>
      <w:r w:rsidR="00BB665E" w:rsidRPr="0038442F">
        <w:rPr>
          <w:rFonts w:ascii="Verdana" w:hAnsi="Verdana"/>
          <w:sz w:val="16"/>
          <w:szCs w:val="16"/>
          <w:lang w:val="pt-BR"/>
        </w:rPr>
        <w:t>acesso</w:t>
      </w:r>
      <w:r w:rsidR="00407242" w:rsidRPr="0038442F">
        <w:rPr>
          <w:rFonts w:ascii="Verdana" w:hAnsi="Verdana"/>
          <w:sz w:val="16"/>
          <w:szCs w:val="16"/>
          <w:lang w:val="pt-BR"/>
        </w:rPr>
        <w:t xml:space="preserve"> </w:t>
      </w:r>
      <w:r w:rsidRPr="0038442F">
        <w:rPr>
          <w:rFonts w:ascii="Verdana" w:hAnsi="Verdana"/>
          <w:sz w:val="16"/>
          <w:szCs w:val="16"/>
          <w:lang w:val="pt-BR"/>
        </w:rPr>
        <w:t>a u</w:t>
      </w:r>
      <w:r w:rsidR="00F07133" w:rsidRPr="0038442F">
        <w:rPr>
          <w:rFonts w:ascii="Verdana" w:hAnsi="Verdana"/>
          <w:sz w:val="16"/>
          <w:szCs w:val="16"/>
          <w:lang w:val="pt-BR"/>
        </w:rPr>
        <w:t>m</w:t>
      </w:r>
      <w:r w:rsidRPr="0038442F">
        <w:rPr>
          <w:rFonts w:ascii="Verdana" w:hAnsi="Verdana"/>
          <w:sz w:val="16"/>
          <w:szCs w:val="16"/>
          <w:lang w:val="pt-BR"/>
        </w:rPr>
        <w:t xml:space="preserve"> servi</w:t>
      </w:r>
      <w:r w:rsidR="00F07133" w:rsidRPr="0038442F">
        <w:rPr>
          <w:rFonts w:ascii="Verdana" w:hAnsi="Verdana"/>
          <w:sz w:val="16"/>
          <w:szCs w:val="16"/>
          <w:lang w:val="pt-BR"/>
        </w:rPr>
        <w:t>ç</w:t>
      </w:r>
      <w:r w:rsidRPr="0038442F">
        <w:rPr>
          <w:rFonts w:ascii="Verdana" w:hAnsi="Verdana"/>
          <w:sz w:val="16"/>
          <w:szCs w:val="16"/>
          <w:lang w:val="pt-BR"/>
        </w:rPr>
        <w:t>o</w:t>
      </w:r>
      <w:r w:rsidR="00F07133" w:rsidRPr="0038442F">
        <w:rPr>
          <w:rFonts w:ascii="Verdana" w:hAnsi="Verdana"/>
          <w:sz w:val="16"/>
          <w:szCs w:val="16"/>
          <w:lang w:val="pt-BR"/>
        </w:rPr>
        <w:t xml:space="preserve"> ou bem, ou o </w:t>
      </w:r>
      <w:r w:rsidR="00602FF9" w:rsidRPr="0038442F">
        <w:rPr>
          <w:rFonts w:ascii="Verdana" w:hAnsi="Verdana"/>
          <w:sz w:val="16"/>
          <w:szCs w:val="16"/>
          <w:lang w:val="pt-BR"/>
        </w:rPr>
        <w:t>exercício</w:t>
      </w:r>
      <w:r w:rsidR="00407242" w:rsidRPr="0038442F">
        <w:rPr>
          <w:rFonts w:ascii="Verdana" w:hAnsi="Verdana"/>
          <w:sz w:val="16"/>
          <w:szCs w:val="16"/>
          <w:lang w:val="pt-BR"/>
        </w:rPr>
        <w:t xml:space="preserve"> </w:t>
      </w:r>
      <w:r w:rsidRPr="0038442F">
        <w:rPr>
          <w:rFonts w:ascii="Verdana" w:hAnsi="Verdana"/>
          <w:sz w:val="16"/>
          <w:szCs w:val="16"/>
          <w:lang w:val="pt-BR"/>
        </w:rPr>
        <w:t>de u</w:t>
      </w:r>
      <w:r w:rsidR="00F07133" w:rsidRPr="0038442F">
        <w:rPr>
          <w:rFonts w:ascii="Verdana" w:hAnsi="Verdana"/>
          <w:sz w:val="16"/>
          <w:szCs w:val="16"/>
          <w:lang w:val="pt-BR"/>
        </w:rPr>
        <w:t>m</w:t>
      </w:r>
      <w:r w:rsidRPr="0038442F">
        <w:rPr>
          <w:rFonts w:ascii="Verdana" w:hAnsi="Verdana"/>
          <w:sz w:val="16"/>
          <w:szCs w:val="16"/>
          <w:lang w:val="pt-BR"/>
        </w:rPr>
        <w:t xml:space="preserve"> </w:t>
      </w:r>
      <w:r w:rsidR="00CA30C5" w:rsidRPr="0038442F">
        <w:rPr>
          <w:rFonts w:ascii="Verdana" w:hAnsi="Verdana"/>
          <w:sz w:val="16"/>
          <w:szCs w:val="16"/>
          <w:lang w:val="pt-BR"/>
        </w:rPr>
        <w:t>direito</w:t>
      </w:r>
      <w:r w:rsidR="00F07133" w:rsidRPr="0038442F">
        <w:rPr>
          <w:rFonts w:ascii="Verdana" w:hAnsi="Verdana"/>
          <w:sz w:val="16"/>
          <w:szCs w:val="16"/>
          <w:lang w:val="pt-BR"/>
        </w:rPr>
        <w:t>.</w:t>
      </w:r>
      <w:r w:rsidRPr="0038442F">
        <w:rPr>
          <w:rStyle w:val="Refdenotaalpie"/>
          <w:rFonts w:ascii="Verdana" w:hAnsi="Verdana"/>
          <w:sz w:val="16"/>
          <w:szCs w:val="16"/>
          <w:lang w:val="pt-BR"/>
        </w:rPr>
        <w:footnoteReference w:id="161"/>
      </w:r>
      <w:r w:rsidRPr="0038442F">
        <w:rPr>
          <w:rFonts w:ascii="Verdana" w:hAnsi="Verdana"/>
          <w:sz w:val="16"/>
          <w:szCs w:val="16"/>
          <w:lang w:val="pt-BR"/>
        </w:rPr>
        <w:t xml:space="preserve"> </w:t>
      </w:r>
    </w:p>
    <w:p w14:paraId="3D06FD80" w14:textId="77777777" w:rsidR="0034303F" w:rsidRPr="0038442F" w:rsidRDefault="0034303F" w:rsidP="00A857CB">
      <w:pPr>
        <w:jc w:val="both"/>
        <w:rPr>
          <w:rFonts w:ascii="Verdana" w:hAnsi="Verdana" w:cs="System Font Regular"/>
          <w:sz w:val="20"/>
          <w:szCs w:val="20"/>
          <w:lang w:val="pt-BR"/>
        </w:rPr>
      </w:pPr>
    </w:p>
    <w:p w14:paraId="5037FD54" w14:textId="242E9AC9" w:rsidR="006666B6" w:rsidRPr="0038442F" w:rsidRDefault="00B33067" w:rsidP="00B33067">
      <w:pPr>
        <w:jc w:val="both"/>
        <w:rPr>
          <w:rFonts w:ascii="Verdana" w:hAnsi="Verdana"/>
          <w:sz w:val="20"/>
          <w:szCs w:val="20"/>
          <w:lang w:val="pt-BR"/>
        </w:rPr>
      </w:pPr>
      <w:r w:rsidRPr="0038442F">
        <w:rPr>
          <w:rFonts w:ascii="Verdana" w:hAnsi="Verdana"/>
          <w:sz w:val="20"/>
          <w:szCs w:val="20"/>
          <w:lang w:val="pt-BR"/>
        </w:rPr>
        <w:t xml:space="preserve">101. </w:t>
      </w:r>
      <w:r w:rsidRPr="0038442F">
        <w:rPr>
          <w:rFonts w:ascii="Verdana" w:hAnsi="Verdana"/>
          <w:sz w:val="20"/>
          <w:szCs w:val="20"/>
          <w:lang w:val="pt-BR"/>
        </w:rPr>
        <w:tab/>
      </w:r>
      <w:r w:rsidR="006666B6" w:rsidRPr="0038442F">
        <w:rPr>
          <w:rFonts w:ascii="Verdana" w:hAnsi="Verdana"/>
          <w:sz w:val="20"/>
          <w:szCs w:val="20"/>
          <w:lang w:val="pt-BR"/>
        </w:rPr>
        <w:t>A</w:t>
      </w:r>
      <w:r w:rsidR="00F07133" w:rsidRPr="0038442F">
        <w:rPr>
          <w:rFonts w:ascii="Verdana" w:hAnsi="Verdana"/>
          <w:sz w:val="20"/>
          <w:szCs w:val="20"/>
          <w:lang w:val="pt-BR"/>
        </w:rPr>
        <w:t>lém disso</w:t>
      </w:r>
      <w:r w:rsidR="006666B6" w:rsidRPr="0038442F">
        <w:rPr>
          <w:rFonts w:ascii="Verdana" w:hAnsi="Verdana"/>
          <w:sz w:val="20"/>
          <w:szCs w:val="20"/>
          <w:lang w:val="pt-BR"/>
        </w:rPr>
        <w:t xml:space="preserve">, </w:t>
      </w:r>
      <w:r w:rsidR="009C265B" w:rsidRPr="0038442F">
        <w:rPr>
          <w:rFonts w:ascii="Verdana" w:hAnsi="Verdana"/>
          <w:sz w:val="20"/>
          <w:szCs w:val="20"/>
          <w:lang w:val="pt-BR"/>
        </w:rPr>
        <w:t xml:space="preserve">a Comissão </w:t>
      </w:r>
      <w:r w:rsidR="007E33FB" w:rsidRPr="0038442F">
        <w:rPr>
          <w:rFonts w:ascii="Verdana" w:hAnsi="Verdana"/>
          <w:sz w:val="20"/>
          <w:szCs w:val="20"/>
          <w:lang w:val="pt-BR"/>
        </w:rPr>
        <w:t>Interamericana</w:t>
      </w:r>
      <w:r w:rsidR="006666B6" w:rsidRPr="0038442F">
        <w:rPr>
          <w:rFonts w:ascii="Verdana" w:hAnsi="Verdana"/>
          <w:sz w:val="20"/>
          <w:szCs w:val="20"/>
          <w:lang w:val="pt-BR"/>
        </w:rPr>
        <w:t xml:space="preserve"> anali</w:t>
      </w:r>
      <w:r w:rsidR="00F07133" w:rsidRPr="0038442F">
        <w:rPr>
          <w:rFonts w:ascii="Verdana" w:hAnsi="Verdana"/>
          <w:sz w:val="20"/>
          <w:szCs w:val="20"/>
          <w:lang w:val="pt-BR"/>
        </w:rPr>
        <w:t xml:space="preserve">sou </w:t>
      </w:r>
      <w:r w:rsidR="006666B6" w:rsidRPr="0038442F">
        <w:rPr>
          <w:rFonts w:ascii="Verdana" w:hAnsi="Verdana"/>
          <w:sz w:val="20"/>
          <w:szCs w:val="20"/>
          <w:lang w:val="pt-BR"/>
        </w:rPr>
        <w:t>situa</w:t>
      </w:r>
      <w:r w:rsidR="000A1AA8" w:rsidRPr="0038442F">
        <w:rPr>
          <w:rFonts w:ascii="Verdana" w:hAnsi="Verdana"/>
          <w:sz w:val="20"/>
          <w:szCs w:val="20"/>
          <w:lang w:val="pt-BR"/>
        </w:rPr>
        <w:t>ções</w:t>
      </w:r>
      <w:r w:rsidR="006666B6" w:rsidRPr="0038442F">
        <w:rPr>
          <w:rFonts w:ascii="Verdana" w:hAnsi="Verdana"/>
          <w:sz w:val="20"/>
          <w:szCs w:val="20"/>
          <w:lang w:val="pt-BR"/>
        </w:rPr>
        <w:t xml:space="preserve"> de </w:t>
      </w:r>
      <w:r w:rsidR="007E33FB" w:rsidRPr="0038442F">
        <w:rPr>
          <w:rFonts w:ascii="Verdana" w:hAnsi="Verdana"/>
          <w:sz w:val="20"/>
          <w:szCs w:val="20"/>
          <w:lang w:val="pt-BR"/>
        </w:rPr>
        <w:t>discrimina</w:t>
      </w:r>
      <w:r w:rsidR="000A1AA8" w:rsidRPr="0038442F">
        <w:rPr>
          <w:rFonts w:ascii="Verdana" w:hAnsi="Verdana"/>
          <w:sz w:val="20"/>
          <w:szCs w:val="20"/>
          <w:lang w:val="pt-BR"/>
        </w:rPr>
        <w:t>ção</w:t>
      </w:r>
      <w:r w:rsidR="006666B6" w:rsidRPr="0038442F">
        <w:rPr>
          <w:rFonts w:ascii="Verdana" w:hAnsi="Verdana"/>
          <w:sz w:val="20"/>
          <w:szCs w:val="20"/>
          <w:lang w:val="pt-BR"/>
        </w:rPr>
        <w:t xml:space="preserve"> </w:t>
      </w:r>
      <w:r w:rsidR="006445EE" w:rsidRPr="0038442F">
        <w:rPr>
          <w:rFonts w:ascii="Verdana" w:hAnsi="Verdana"/>
          <w:sz w:val="20"/>
          <w:szCs w:val="20"/>
          <w:lang w:val="pt-BR"/>
        </w:rPr>
        <w:t>estrutural</w:t>
      </w:r>
      <w:r w:rsidR="00407242" w:rsidRPr="0038442F">
        <w:rPr>
          <w:rFonts w:ascii="Verdana" w:hAnsi="Verdana"/>
          <w:sz w:val="20"/>
          <w:szCs w:val="20"/>
          <w:lang w:val="pt-BR"/>
        </w:rPr>
        <w:t xml:space="preserve"> </w:t>
      </w:r>
      <w:r w:rsidR="00F07133" w:rsidRPr="0038442F">
        <w:rPr>
          <w:rFonts w:ascii="Verdana" w:hAnsi="Verdana"/>
          <w:sz w:val="20"/>
          <w:szCs w:val="20"/>
          <w:lang w:val="pt-BR"/>
        </w:rPr>
        <w:t xml:space="preserve">e salientou </w:t>
      </w:r>
      <w:r w:rsidR="006666B6" w:rsidRPr="0038442F">
        <w:rPr>
          <w:rFonts w:ascii="Verdana" w:hAnsi="Verdana"/>
          <w:sz w:val="20"/>
          <w:szCs w:val="20"/>
          <w:lang w:val="pt-BR"/>
        </w:rPr>
        <w:t>que “</w:t>
      </w:r>
      <w:r w:rsidR="007E33FB" w:rsidRPr="0038442F">
        <w:rPr>
          <w:rFonts w:ascii="Verdana" w:hAnsi="Verdana"/>
          <w:sz w:val="20"/>
          <w:szCs w:val="20"/>
          <w:lang w:val="pt-BR"/>
        </w:rPr>
        <w:t>`</w:t>
      </w:r>
      <w:r w:rsidR="006666B6" w:rsidRPr="0038442F">
        <w:rPr>
          <w:rFonts w:ascii="Verdana" w:hAnsi="Verdana"/>
          <w:sz w:val="20"/>
          <w:szCs w:val="20"/>
          <w:lang w:val="pt-BR"/>
        </w:rPr>
        <w:t xml:space="preserve">os </w:t>
      </w:r>
      <w:r w:rsidR="008806F8" w:rsidRPr="0038442F">
        <w:rPr>
          <w:rFonts w:ascii="Verdana" w:hAnsi="Verdana"/>
          <w:sz w:val="20"/>
          <w:szCs w:val="20"/>
          <w:lang w:val="pt-BR"/>
        </w:rPr>
        <w:t>princípios</w:t>
      </w:r>
      <w:r w:rsidR="00407242" w:rsidRPr="0038442F">
        <w:rPr>
          <w:rFonts w:ascii="Verdana" w:hAnsi="Verdana"/>
          <w:sz w:val="20"/>
          <w:szCs w:val="20"/>
          <w:lang w:val="pt-BR"/>
        </w:rPr>
        <w:t xml:space="preserve"> </w:t>
      </w:r>
      <w:r w:rsidR="006666B6" w:rsidRPr="0038442F">
        <w:rPr>
          <w:rFonts w:ascii="Verdana" w:hAnsi="Verdana"/>
          <w:sz w:val="20"/>
          <w:szCs w:val="20"/>
          <w:lang w:val="pt-BR"/>
        </w:rPr>
        <w:t>ger</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6666B6" w:rsidRPr="0038442F">
        <w:rPr>
          <w:rFonts w:ascii="Verdana" w:hAnsi="Verdana"/>
          <w:sz w:val="20"/>
          <w:szCs w:val="20"/>
          <w:lang w:val="pt-BR"/>
        </w:rPr>
        <w:t xml:space="preserve">de </w:t>
      </w:r>
      <w:r w:rsidR="005B55A8" w:rsidRPr="0038442F">
        <w:rPr>
          <w:rFonts w:ascii="Verdana" w:hAnsi="Verdana"/>
          <w:sz w:val="20"/>
          <w:szCs w:val="20"/>
          <w:lang w:val="pt-BR"/>
        </w:rPr>
        <w:t xml:space="preserve">não discriminação </w:t>
      </w:r>
      <w:r w:rsidR="006666B6" w:rsidRPr="0038442F">
        <w:rPr>
          <w:rFonts w:ascii="Verdana" w:hAnsi="Verdana"/>
          <w:sz w:val="20"/>
          <w:szCs w:val="20"/>
          <w:lang w:val="pt-BR"/>
        </w:rPr>
        <w:t xml:space="preserve">e </w:t>
      </w:r>
      <w:r w:rsidR="009612FB" w:rsidRPr="0038442F">
        <w:rPr>
          <w:rFonts w:ascii="Verdana" w:hAnsi="Verdana"/>
          <w:sz w:val="20"/>
          <w:szCs w:val="20"/>
          <w:lang w:val="pt-BR"/>
        </w:rPr>
        <w:t>igualdade</w:t>
      </w:r>
      <w:r w:rsidR="007E33FB" w:rsidRPr="0038442F">
        <w:rPr>
          <w:rFonts w:ascii="Verdana" w:hAnsi="Verdana"/>
          <w:sz w:val="20"/>
          <w:szCs w:val="20"/>
          <w:lang w:val="pt-BR"/>
        </w:rPr>
        <w:t>´</w:t>
      </w:r>
      <w:r w:rsidR="006666B6" w:rsidRPr="0038442F">
        <w:rPr>
          <w:rFonts w:ascii="Verdana" w:hAnsi="Verdana"/>
          <w:sz w:val="20"/>
          <w:szCs w:val="20"/>
          <w:lang w:val="pt-BR"/>
        </w:rPr>
        <w:t xml:space="preserve"> refle</w:t>
      </w:r>
      <w:r w:rsidR="00F07133" w:rsidRPr="0038442F">
        <w:rPr>
          <w:rFonts w:ascii="Verdana" w:hAnsi="Verdana"/>
          <w:sz w:val="20"/>
          <w:szCs w:val="20"/>
          <w:lang w:val="pt-BR"/>
        </w:rPr>
        <w:t xml:space="preserve">tidos nos </w:t>
      </w:r>
      <w:r w:rsidR="006A12FD" w:rsidRPr="0038442F">
        <w:rPr>
          <w:rFonts w:ascii="Verdana" w:hAnsi="Verdana"/>
          <w:sz w:val="20"/>
          <w:szCs w:val="20"/>
          <w:lang w:val="pt-BR"/>
        </w:rPr>
        <w:t xml:space="preserve">artigos </w:t>
      </w:r>
      <w:r w:rsidR="006666B6" w:rsidRPr="0038442F">
        <w:rPr>
          <w:rFonts w:ascii="Verdana" w:hAnsi="Verdana"/>
          <w:sz w:val="20"/>
          <w:szCs w:val="20"/>
          <w:lang w:val="pt-BR"/>
        </w:rPr>
        <w:t xml:space="preserve">1 </w:t>
      </w:r>
      <w:r w:rsidR="00F07133" w:rsidRPr="0038442F">
        <w:rPr>
          <w:rFonts w:ascii="Verdana" w:hAnsi="Verdana"/>
          <w:sz w:val="20"/>
          <w:szCs w:val="20"/>
          <w:lang w:val="pt-BR"/>
        </w:rPr>
        <w:t>e</w:t>
      </w:r>
      <w:r w:rsidR="006666B6" w:rsidRPr="0038442F">
        <w:rPr>
          <w:rFonts w:ascii="Verdana" w:hAnsi="Verdana"/>
          <w:sz w:val="20"/>
          <w:szCs w:val="20"/>
          <w:lang w:val="pt-BR"/>
        </w:rPr>
        <w:t xml:space="preserve"> 24 </w:t>
      </w:r>
      <w:r w:rsidR="00C92762" w:rsidRPr="0038442F">
        <w:rPr>
          <w:rFonts w:ascii="Verdana" w:hAnsi="Verdana"/>
          <w:sz w:val="20"/>
          <w:szCs w:val="20"/>
          <w:lang w:val="pt-BR"/>
        </w:rPr>
        <w:t xml:space="preserve">da </w:t>
      </w:r>
      <w:r w:rsidR="007E33FB" w:rsidRPr="0038442F">
        <w:rPr>
          <w:rFonts w:ascii="Verdana" w:hAnsi="Verdana"/>
          <w:sz w:val="20"/>
          <w:szCs w:val="20"/>
          <w:lang w:val="pt-BR"/>
        </w:rPr>
        <w:t>Conven</w:t>
      </w:r>
      <w:r w:rsidR="000A1AA8" w:rsidRPr="0038442F">
        <w:rPr>
          <w:rFonts w:ascii="Verdana" w:hAnsi="Verdana"/>
          <w:sz w:val="20"/>
          <w:szCs w:val="20"/>
          <w:lang w:val="pt-BR"/>
        </w:rPr>
        <w:t>ção</w:t>
      </w:r>
      <w:r w:rsidR="006666B6" w:rsidRPr="0038442F">
        <w:rPr>
          <w:rFonts w:ascii="Verdana" w:hAnsi="Verdana"/>
          <w:sz w:val="20"/>
          <w:szCs w:val="20"/>
          <w:lang w:val="pt-BR"/>
        </w:rPr>
        <w:t xml:space="preserve"> Americana </w:t>
      </w:r>
      <w:r w:rsidR="00F07133" w:rsidRPr="0038442F">
        <w:rPr>
          <w:rFonts w:ascii="Verdana" w:hAnsi="Verdana"/>
          <w:sz w:val="20"/>
          <w:szCs w:val="20"/>
          <w:lang w:val="pt-BR"/>
        </w:rPr>
        <w:t xml:space="preserve">exigem a </w:t>
      </w:r>
      <w:r w:rsidR="007E33FB" w:rsidRPr="0038442F">
        <w:rPr>
          <w:rFonts w:ascii="Verdana" w:hAnsi="Verdana"/>
          <w:sz w:val="20"/>
          <w:szCs w:val="20"/>
          <w:lang w:val="pt-BR"/>
        </w:rPr>
        <w:t>`</w:t>
      </w:r>
      <w:r w:rsidR="00826F7D" w:rsidRPr="0038442F">
        <w:rPr>
          <w:rFonts w:ascii="Verdana" w:hAnsi="Verdana"/>
          <w:sz w:val="20"/>
          <w:szCs w:val="20"/>
          <w:lang w:val="pt-BR"/>
        </w:rPr>
        <w:t>adoção</w:t>
      </w:r>
      <w:r w:rsidR="00407242" w:rsidRPr="0038442F">
        <w:rPr>
          <w:rFonts w:ascii="Verdana" w:hAnsi="Verdana"/>
          <w:sz w:val="20"/>
          <w:szCs w:val="20"/>
          <w:lang w:val="pt-BR"/>
        </w:rPr>
        <w:t xml:space="preserve"> </w:t>
      </w:r>
      <w:r w:rsidR="006666B6" w:rsidRPr="0038442F">
        <w:rPr>
          <w:rFonts w:ascii="Verdana" w:hAnsi="Verdana"/>
          <w:sz w:val="20"/>
          <w:szCs w:val="20"/>
          <w:lang w:val="pt-BR"/>
        </w:rPr>
        <w:t xml:space="preserve">de medidas destinadas a superar as desigualdades </w:t>
      </w:r>
      <w:r w:rsidR="00BF7A10" w:rsidRPr="0038442F">
        <w:rPr>
          <w:rFonts w:ascii="Verdana" w:hAnsi="Verdana"/>
          <w:sz w:val="20"/>
          <w:szCs w:val="20"/>
          <w:lang w:val="pt-BR"/>
        </w:rPr>
        <w:t xml:space="preserve">na </w:t>
      </w:r>
      <w:r w:rsidR="007E33FB" w:rsidRPr="0038442F">
        <w:rPr>
          <w:rFonts w:ascii="Verdana" w:hAnsi="Verdana"/>
          <w:sz w:val="20"/>
          <w:szCs w:val="20"/>
          <w:lang w:val="pt-BR"/>
        </w:rPr>
        <w:t>distribu</w:t>
      </w:r>
      <w:r w:rsidR="00F07133" w:rsidRPr="0038442F">
        <w:rPr>
          <w:rFonts w:ascii="Verdana" w:hAnsi="Verdana"/>
          <w:sz w:val="20"/>
          <w:szCs w:val="20"/>
          <w:lang w:val="pt-BR"/>
        </w:rPr>
        <w:t>i</w:t>
      </w:r>
      <w:r w:rsidR="000A1AA8" w:rsidRPr="0038442F">
        <w:rPr>
          <w:rFonts w:ascii="Verdana" w:hAnsi="Verdana"/>
          <w:sz w:val="20"/>
          <w:szCs w:val="20"/>
          <w:lang w:val="pt-BR"/>
        </w:rPr>
        <w:t>ção</w:t>
      </w:r>
      <w:r w:rsidR="006666B6" w:rsidRPr="0038442F">
        <w:rPr>
          <w:rFonts w:ascii="Verdana" w:hAnsi="Verdana"/>
          <w:sz w:val="20"/>
          <w:szCs w:val="20"/>
          <w:lang w:val="pt-BR"/>
        </w:rPr>
        <w:t xml:space="preserve"> interna </w:t>
      </w:r>
      <w:r w:rsidR="00F07133" w:rsidRPr="0038442F">
        <w:rPr>
          <w:rFonts w:ascii="Verdana" w:hAnsi="Verdana"/>
          <w:sz w:val="20"/>
          <w:szCs w:val="20"/>
          <w:lang w:val="pt-BR"/>
        </w:rPr>
        <w:t>e n</w:t>
      </w:r>
      <w:r w:rsidR="006666B6" w:rsidRPr="0038442F">
        <w:rPr>
          <w:rFonts w:ascii="Verdana" w:hAnsi="Verdana"/>
          <w:sz w:val="20"/>
          <w:szCs w:val="20"/>
          <w:lang w:val="pt-BR"/>
        </w:rPr>
        <w:t>as oportunidades</w:t>
      </w:r>
      <w:r w:rsidR="007E33FB" w:rsidRPr="0038442F">
        <w:rPr>
          <w:rFonts w:ascii="Verdana" w:hAnsi="Verdana"/>
          <w:sz w:val="20"/>
          <w:szCs w:val="20"/>
          <w:lang w:val="pt-BR"/>
        </w:rPr>
        <w:t>´”</w:t>
      </w:r>
      <w:r w:rsidR="00F07133" w:rsidRPr="0038442F">
        <w:rPr>
          <w:rFonts w:ascii="Verdana" w:hAnsi="Verdana"/>
          <w:sz w:val="20"/>
          <w:szCs w:val="20"/>
          <w:lang w:val="pt-BR"/>
        </w:rPr>
        <w:t>.</w:t>
      </w:r>
      <w:r w:rsidR="006666B6" w:rsidRPr="0038442F">
        <w:rPr>
          <w:rStyle w:val="Refdenotaalpie"/>
          <w:rFonts w:ascii="Verdana" w:hAnsi="Verdana"/>
          <w:sz w:val="20"/>
          <w:szCs w:val="20"/>
          <w:lang w:val="pt-BR"/>
        </w:rPr>
        <w:footnoteReference w:id="162"/>
      </w:r>
      <w:r w:rsidR="006666B6" w:rsidRPr="0038442F">
        <w:rPr>
          <w:rFonts w:ascii="Verdana" w:hAnsi="Verdana"/>
          <w:sz w:val="20"/>
          <w:szCs w:val="20"/>
          <w:lang w:val="pt-BR"/>
        </w:rPr>
        <w:t xml:space="preserve"> </w:t>
      </w:r>
    </w:p>
    <w:p w14:paraId="0EFE5397" w14:textId="77777777" w:rsidR="006666B6" w:rsidRPr="0038442F" w:rsidRDefault="006666B6" w:rsidP="00A857CB">
      <w:pPr>
        <w:jc w:val="both"/>
        <w:rPr>
          <w:rFonts w:ascii="Verdana" w:hAnsi="Verdana"/>
          <w:sz w:val="20"/>
          <w:szCs w:val="20"/>
          <w:lang w:val="pt-BR"/>
        </w:rPr>
      </w:pPr>
    </w:p>
    <w:p w14:paraId="4DD973B0" w14:textId="35A118C2" w:rsidR="00826AB8" w:rsidRPr="0038442F" w:rsidRDefault="00B33067" w:rsidP="00B33067">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102. </w:t>
      </w:r>
      <w:r w:rsidRPr="0038442F">
        <w:rPr>
          <w:rFonts w:ascii="Verdana" w:hAnsi="Verdana" w:cs="System Font Regular"/>
          <w:sz w:val="20"/>
          <w:szCs w:val="20"/>
          <w:lang w:val="pt-BR"/>
        </w:rPr>
        <w:tab/>
      </w:r>
      <w:r w:rsidR="00F07133" w:rsidRPr="0038442F">
        <w:rPr>
          <w:rFonts w:ascii="Verdana" w:hAnsi="Verdana" w:cs="System Font Regular"/>
          <w:sz w:val="20"/>
          <w:szCs w:val="20"/>
          <w:lang w:val="pt-BR"/>
        </w:rPr>
        <w:t xml:space="preserve">A doutrina havia sido </w:t>
      </w:r>
      <w:r w:rsidR="00826AB8" w:rsidRPr="0038442F">
        <w:rPr>
          <w:rFonts w:ascii="Verdana" w:hAnsi="Verdana" w:cs="System Font Regular"/>
          <w:sz w:val="20"/>
          <w:szCs w:val="20"/>
          <w:lang w:val="pt-BR"/>
        </w:rPr>
        <w:t xml:space="preserve">enfática </w:t>
      </w:r>
      <w:r w:rsidR="00F07133" w:rsidRPr="0038442F">
        <w:rPr>
          <w:rFonts w:ascii="Verdana" w:hAnsi="Verdana" w:cs="System Font Regular"/>
          <w:sz w:val="20"/>
          <w:szCs w:val="20"/>
          <w:lang w:val="pt-BR"/>
        </w:rPr>
        <w:t>ao ressaltar que, pelo menos no D</w:t>
      </w:r>
      <w:r w:rsidR="00CA30C5" w:rsidRPr="0038442F">
        <w:rPr>
          <w:rFonts w:ascii="Verdana" w:hAnsi="Verdana" w:cs="System Font Regular"/>
          <w:sz w:val="20"/>
          <w:szCs w:val="20"/>
          <w:lang w:val="pt-BR"/>
        </w:rPr>
        <w:t>ireito</w:t>
      </w:r>
      <w:r w:rsidR="00407242" w:rsidRPr="0038442F">
        <w:rPr>
          <w:rFonts w:ascii="Verdana" w:hAnsi="Verdana" w:cs="System Font Regular"/>
          <w:sz w:val="20"/>
          <w:szCs w:val="20"/>
          <w:lang w:val="pt-BR"/>
        </w:rPr>
        <w:t xml:space="preserve"> </w:t>
      </w:r>
      <w:r w:rsidR="00F07133" w:rsidRPr="0038442F">
        <w:rPr>
          <w:rFonts w:ascii="Verdana" w:hAnsi="Verdana" w:cs="System Font Regular"/>
          <w:sz w:val="20"/>
          <w:szCs w:val="20"/>
          <w:lang w:val="pt-BR"/>
        </w:rPr>
        <w:t>I</w:t>
      </w:r>
      <w:r w:rsidR="00826AB8" w:rsidRPr="0038442F">
        <w:rPr>
          <w:rFonts w:ascii="Verdana" w:hAnsi="Verdana" w:cs="System Font Regular"/>
          <w:sz w:val="20"/>
          <w:szCs w:val="20"/>
          <w:lang w:val="pt-BR"/>
        </w:rPr>
        <w:t>nternacional</w:t>
      </w:r>
      <w:r w:rsidR="00F07133"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existe</w:t>
      </w:r>
      <w:r w:rsidR="00F07133" w:rsidRPr="0038442F">
        <w:rPr>
          <w:rFonts w:ascii="Verdana" w:hAnsi="Verdana" w:cs="System Font Regular"/>
          <w:sz w:val="20"/>
          <w:szCs w:val="20"/>
          <w:lang w:val="pt-BR"/>
        </w:rPr>
        <w:t xml:space="preserve">m duas </w:t>
      </w:r>
      <w:r w:rsidR="00826AB8" w:rsidRPr="0038442F">
        <w:rPr>
          <w:rFonts w:ascii="Verdana" w:hAnsi="Verdana" w:cs="System Font Regular"/>
          <w:sz w:val="20"/>
          <w:szCs w:val="20"/>
          <w:lang w:val="pt-BR"/>
        </w:rPr>
        <w:t>no</w:t>
      </w:r>
      <w:r w:rsidR="000A1AA8" w:rsidRPr="0038442F">
        <w:rPr>
          <w:rFonts w:ascii="Verdana" w:hAnsi="Verdana" w:cs="System Font Regular"/>
          <w:sz w:val="20"/>
          <w:szCs w:val="20"/>
          <w:lang w:val="pt-BR"/>
        </w:rPr>
        <w:t>ções</w:t>
      </w:r>
      <w:r w:rsidR="00826AB8" w:rsidRPr="0038442F">
        <w:rPr>
          <w:rFonts w:ascii="Verdana" w:hAnsi="Verdana" w:cs="System Font Regular"/>
          <w:sz w:val="20"/>
          <w:szCs w:val="20"/>
          <w:lang w:val="pt-BR"/>
        </w:rPr>
        <w:t xml:space="preserve"> de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F07133" w:rsidRPr="0038442F">
        <w:rPr>
          <w:rFonts w:ascii="Verdana" w:hAnsi="Verdana" w:cs="System Font Regular"/>
          <w:sz w:val="20"/>
          <w:szCs w:val="20"/>
          <w:lang w:val="pt-BR"/>
        </w:rPr>
        <w:t xml:space="preserve">e que foram expressas em </w:t>
      </w:r>
      <w:r w:rsidR="00826AB8" w:rsidRPr="0038442F">
        <w:rPr>
          <w:rFonts w:ascii="Verdana" w:hAnsi="Verdana" w:cs="System Font Regular"/>
          <w:sz w:val="20"/>
          <w:szCs w:val="20"/>
          <w:lang w:val="pt-BR"/>
        </w:rPr>
        <w:t>instrumentos internacion</w:t>
      </w:r>
      <w:r w:rsidR="00C92762" w:rsidRPr="0038442F">
        <w:rPr>
          <w:rFonts w:ascii="Verdana" w:hAnsi="Verdana" w:cs="System Font Regular"/>
          <w:sz w:val="20"/>
          <w:szCs w:val="20"/>
          <w:lang w:val="pt-BR"/>
        </w:rPr>
        <w:t>ais</w:t>
      </w:r>
      <w:r w:rsidR="00826AB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(i)</w:t>
      </w:r>
      <w:r w:rsidR="00826AB8" w:rsidRPr="0038442F">
        <w:rPr>
          <w:rFonts w:ascii="Verdana" w:hAnsi="Verdana" w:cs="System Font Regular"/>
          <w:sz w:val="20"/>
          <w:szCs w:val="20"/>
          <w:lang w:val="pt-BR"/>
        </w:rPr>
        <w:t xml:space="preserve"> a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como “proibi</w:t>
      </w:r>
      <w:r w:rsidR="000A1AA8" w:rsidRPr="0038442F">
        <w:rPr>
          <w:rFonts w:ascii="Verdana" w:hAnsi="Verdana" w:cs="System Font Regular"/>
          <w:sz w:val="20"/>
          <w:szCs w:val="20"/>
          <w:lang w:val="pt-BR"/>
        </w:rPr>
        <w:t>ção</w:t>
      </w:r>
      <w:r w:rsidR="00826AB8" w:rsidRPr="0038442F">
        <w:rPr>
          <w:rFonts w:ascii="Verdana" w:hAnsi="Verdana" w:cs="System Font Regular"/>
          <w:sz w:val="20"/>
          <w:szCs w:val="20"/>
          <w:lang w:val="pt-BR"/>
        </w:rPr>
        <w:t xml:space="preserve"> de </w:t>
      </w:r>
      <w:r w:rsidR="00FC5589" w:rsidRPr="0038442F">
        <w:rPr>
          <w:rFonts w:ascii="Verdana" w:hAnsi="Verdana" w:cs="System Font Regular"/>
          <w:sz w:val="20"/>
          <w:szCs w:val="20"/>
          <w:lang w:val="pt-BR"/>
        </w:rPr>
        <w:t>tratamento</w:t>
      </w:r>
      <w:r w:rsidR="00407242" w:rsidRPr="0038442F">
        <w:rPr>
          <w:rFonts w:ascii="Verdana" w:hAnsi="Verdana" w:cs="System Font Regular"/>
          <w:sz w:val="20"/>
          <w:szCs w:val="20"/>
          <w:lang w:val="pt-BR"/>
        </w:rPr>
        <w:t xml:space="preserve"> </w:t>
      </w:r>
      <w:r w:rsidR="00FC5589" w:rsidRPr="0038442F">
        <w:rPr>
          <w:rFonts w:ascii="Verdana" w:hAnsi="Verdana" w:cs="System Font Regular"/>
          <w:sz w:val="20"/>
          <w:szCs w:val="20"/>
          <w:lang w:val="pt-BR"/>
        </w:rPr>
        <w:t>arbitrário</w:t>
      </w:r>
      <w:r w:rsidR="00826AB8" w:rsidRPr="0038442F">
        <w:rPr>
          <w:rFonts w:ascii="Verdana" w:hAnsi="Verdana" w:cs="System Font Regular"/>
          <w:sz w:val="20"/>
          <w:szCs w:val="20"/>
          <w:lang w:val="pt-BR"/>
        </w:rPr>
        <w:t>” o</w:t>
      </w:r>
      <w:r w:rsidR="00F07133" w:rsidRPr="0038442F">
        <w:rPr>
          <w:rFonts w:ascii="Verdana" w:hAnsi="Verdana" w:cs="System Font Regular"/>
          <w:sz w:val="20"/>
          <w:szCs w:val="20"/>
          <w:lang w:val="pt-BR"/>
        </w:rPr>
        <w:t>u</w:t>
      </w:r>
      <w:r w:rsidR="00826AB8" w:rsidRPr="0038442F">
        <w:rPr>
          <w:rFonts w:ascii="Verdana" w:hAnsi="Verdana" w:cs="System Font Regular"/>
          <w:sz w:val="20"/>
          <w:szCs w:val="20"/>
          <w:lang w:val="pt-BR"/>
        </w:rPr>
        <w:t xml:space="preserve"> </w:t>
      </w:r>
      <w:r w:rsidR="000C00B5" w:rsidRPr="0038442F">
        <w:rPr>
          <w:rFonts w:ascii="Verdana" w:hAnsi="Verdana" w:cs="System Font Regular"/>
          <w:sz w:val="20"/>
          <w:szCs w:val="20"/>
          <w:lang w:val="pt-BR"/>
        </w:rPr>
        <w:t>“</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formal”</w:t>
      </w:r>
      <w:r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w:t>
      </w:r>
      <w:r w:rsidR="00F07133" w:rsidRPr="0038442F">
        <w:rPr>
          <w:rFonts w:ascii="Verdana" w:hAnsi="Verdana" w:cs="System Font Regular"/>
          <w:sz w:val="20"/>
          <w:szCs w:val="20"/>
          <w:lang w:val="pt-BR"/>
        </w:rPr>
        <w:t>e</w:t>
      </w:r>
      <w:r w:rsidR="00826AB8" w:rsidRPr="0038442F">
        <w:rPr>
          <w:rFonts w:ascii="Verdana" w:hAnsi="Verdana" w:cs="System Font Regular"/>
          <w:sz w:val="20"/>
          <w:szCs w:val="20"/>
          <w:lang w:val="pt-BR"/>
        </w:rPr>
        <w:t xml:space="preserve"> </w:t>
      </w:r>
      <w:r w:rsidRPr="0038442F">
        <w:rPr>
          <w:rFonts w:ascii="Verdana" w:hAnsi="Verdana" w:cs="System Font Regular"/>
          <w:sz w:val="20"/>
          <w:szCs w:val="20"/>
          <w:lang w:val="pt-BR"/>
        </w:rPr>
        <w:t>(ii)</w:t>
      </w:r>
      <w:r w:rsidR="00826AB8" w:rsidRPr="0038442F">
        <w:rPr>
          <w:rFonts w:ascii="Verdana" w:hAnsi="Verdana" w:cs="System Font Regular"/>
          <w:sz w:val="20"/>
          <w:szCs w:val="20"/>
          <w:lang w:val="pt-BR"/>
        </w:rPr>
        <w:t xml:space="preserve"> a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 xml:space="preserve">“como </w:t>
      </w:r>
      <w:r w:rsidR="005B55A8" w:rsidRPr="0038442F">
        <w:rPr>
          <w:rFonts w:ascii="Verdana" w:hAnsi="Verdana" w:cs="System Font Regular"/>
          <w:sz w:val="20"/>
          <w:szCs w:val="20"/>
          <w:lang w:val="pt-BR"/>
        </w:rPr>
        <w:t>não discriminação</w:t>
      </w:r>
      <w:r w:rsidR="00826AB8" w:rsidRPr="0038442F">
        <w:rPr>
          <w:rFonts w:ascii="Verdana" w:hAnsi="Verdana" w:cs="System Font Regular"/>
          <w:sz w:val="20"/>
          <w:szCs w:val="20"/>
          <w:lang w:val="pt-BR"/>
        </w:rPr>
        <w:t xml:space="preserve">”, </w:t>
      </w:r>
      <w:r w:rsidR="008D38C2" w:rsidRPr="0038442F">
        <w:rPr>
          <w:rFonts w:ascii="Verdana" w:hAnsi="Verdana" w:cs="System Font Regular"/>
          <w:sz w:val="20"/>
          <w:szCs w:val="20"/>
          <w:lang w:val="pt-BR"/>
        </w:rPr>
        <w:t xml:space="preserve">a </w:t>
      </w:r>
      <w:r w:rsidR="00826AB8" w:rsidRPr="0038442F">
        <w:rPr>
          <w:rFonts w:ascii="Verdana" w:hAnsi="Verdana" w:cs="System Font Regular"/>
          <w:sz w:val="20"/>
          <w:szCs w:val="20"/>
          <w:lang w:val="pt-BR"/>
        </w:rPr>
        <w:t>“</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como n</w:t>
      </w:r>
      <w:r w:rsidR="00F07133" w:rsidRPr="0038442F">
        <w:rPr>
          <w:rFonts w:ascii="Verdana" w:hAnsi="Verdana" w:cs="System Font Regular"/>
          <w:sz w:val="20"/>
          <w:szCs w:val="20"/>
          <w:lang w:val="pt-BR"/>
        </w:rPr>
        <w:t>ão submissão</w:t>
      </w:r>
      <w:r w:rsidR="00826AB8" w:rsidRPr="0038442F">
        <w:rPr>
          <w:rFonts w:ascii="Verdana" w:hAnsi="Verdana" w:cs="System Font Regular"/>
          <w:sz w:val="20"/>
          <w:szCs w:val="20"/>
          <w:lang w:val="pt-BR"/>
        </w:rPr>
        <w:t>” o</w:t>
      </w:r>
      <w:r w:rsidR="00F07133" w:rsidRPr="0038442F">
        <w:rPr>
          <w:rFonts w:ascii="Verdana" w:hAnsi="Verdana" w:cs="System Font Regular"/>
          <w:sz w:val="20"/>
          <w:szCs w:val="20"/>
          <w:lang w:val="pt-BR"/>
        </w:rPr>
        <w:t>u</w:t>
      </w:r>
      <w:r w:rsidR="00826AB8" w:rsidRPr="0038442F">
        <w:rPr>
          <w:rFonts w:ascii="Verdana" w:hAnsi="Verdana" w:cs="System Font Regular"/>
          <w:sz w:val="20"/>
          <w:szCs w:val="20"/>
          <w:lang w:val="pt-BR"/>
        </w:rPr>
        <w:t xml:space="preserve"> </w:t>
      </w:r>
      <w:r w:rsidR="008D38C2" w:rsidRPr="0038442F">
        <w:rPr>
          <w:rFonts w:ascii="Verdana" w:hAnsi="Verdana" w:cs="System Font Regular"/>
          <w:sz w:val="20"/>
          <w:szCs w:val="20"/>
          <w:lang w:val="pt-BR"/>
        </w:rPr>
        <w:t xml:space="preserve">a </w:t>
      </w:r>
      <w:r w:rsidR="00826AB8" w:rsidRPr="0038442F">
        <w:rPr>
          <w:rFonts w:ascii="Verdana" w:hAnsi="Verdana" w:cs="System Font Regular"/>
          <w:sz w:val="20"/>
          <w:szCs w:val="20"/>
          <w:lang w:val="pt-BR"/>
        </w:rPr>
        <w:t>“</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material”.</w:t>
      </w:r>
      <w:r w:rsidR="00407242" w:rsidRPr="0038442F">
        <w:rPr>
          <w:rFonts w:ascii="Verdana" w:hAnsi="Verdana" w:cs="System Font Regular"/>
          <w:sz w:val="20"/>
          <w:szCs w:val="20"/>
          <w:lang w:val="pt-BR"/>
        </w:rPr>
        <w:t xml:space="preserve"> </w:t>
      </w:r>
      <w:r w:rsidR="00F07133" w:rsidRPr="0038442F">
        <w:rPr>
          <w:rFonts w:ascii="Verdana" w:hAnsi="Verdana" w:cs="Times New Roman"/>
          <w:sz w:val="20"/>
          <w:szCs w:val="20"/>
          <w:lang w:val="pt-BR"/>
        </w:rPr>
        <w:t>Isso posto</w:t>
      </w:r>
      <w:r w:rsidR="00826AB8" w:rsidRPr="0038442F">
        <w:rPr>
          <w:rFonts w:ascii="Verdana" w:hAnsi="Verdana" w:cs="Times New Roman"/>
          <w:sz w:val="20"/>
          <w:szCs w:val="20"/>
          <w:lang w:val="pt-BR"/>
        </w:rPr>
        <w:t xml:space="preserve">, </w:t>
      </w:r>
      <w:r w:rsidR="00F07133" w:rsidRPr="0038442F">
        <w:rPr>
          <w:rFonts w:ascii="Verdana" w:hAnsi="Verdana" w:cs="Times New Roman"/>
          <w:sz w:val="20"/>
          <w:szCs w:val="20"/>
          <w:lang w:val="pt-BR"/>
        </w:rPr>
        <w:t xml:space="preserve">a </w:t>
      </w:r>
      <w:r w:rsidR="009D16DD" w:rsidRPr="0038442F">
        <w:rPr>
          <w:rFonts w:ascii="Verdana" w:hAnsi="Verdana" w:cs="Times New Roman"/>
          <w:sz w:val="20"/>
          <w:szCs w:val="20"/>
          <w:lang w:val="pt-BR"/>
        </w:rPr>
        <w:t>respeito</w:t>
      </w:r>
      <w:r w:rsidR="00407242" w:rsidRPr="0038442F">
        <w:rPr>
          <w:rFonts w:ascii="Verdana" w:hAnsi="Verdana" w:cs="Times New Roman"/>
          <w:sz w:val="20"/>
          <w:szCs w:val="20"/>
          <w:lang w:val="pt-BR"/>
        </w:rPr>
        <w:t xml:space="preserve"> </w:t>
      </w:r>
      <w:r w:rsidR="00751189" w:rsidRPr="0038442F">
        <w:rPr>
          <w:rFonts w:ascii="Verdana" w:hAnsi="Verdana" w:cs="Times New Roman"/>
          <w:sz w:val="20"/>
          <w:szCs w:val="20"/>
          <w:lang w:val="pt-BR"/>
        </w:rPr>
        <w:t xml:space="preserve">do artigo </w:t>
      </w:r>
      <w:r w:rsidR="00826AB8" w:rsidRPr="0038442F">
        <w:rPr>
          <w:rFonts w:ascii="Verdana" w:hAnsi="Verdana" w:cs="Times New Roman"/>
          <w:sz w:val="20"/>
          <w:szCs w:val="20"/>
          <w:lang w:val="pt-BR"/>
        </w:rPr>
        <w:t xml:space="preserve">24, </w:t>
      </w:r>
      <w:r w:rsidR="008D38C2" w:rsidRPr="0038442F">
        <w:rPr>
          <w:rFonts w:ascii="Verdana" w:hAnsi="Verdana" w:cs="Times New Roman"/>
          <w:sz w:val="20"/>
          <w:szCs w:val="20"/>
          <w:lang w:val="pt-BR"/>
        </w:rPr>
        <w:t>reconhecia</w:t>
      </w:r>
      <w:r w:rsidR="00117148">
        <w:rPr>
          <w:rFonts w:ascii="Verdana" w:hAnsi="Verdana" w:cs="Times New Roman"/>
          <w:sz w:val="20"/>
          <w:szCs w:val="20"/>
          <w:lang w:val="pt-BR"/>
        </w:rPr>
        <w:t>-se</w:t>
      </w:r>
      <w:r w:rsidR="00826AB8" w:rsidRPr="0038442F">
        <w:rPr>
          <w:rFonts w:ascii="Verdana" w:hAnsi="Verdana" w:cs="Times New Roman"/>
          <w:sz w:val="20"/>
          <w:szCs w:val="20"/>
          <w:lang w:val="pt-BR"/>
        </w:rPr>
        <w:t xml:space="preserve"> que</w:t>
      </w:r>
      <w:r w:rsidR="00F07133" w:rsidRPr="0038442F">
        <w:rPr>
          <w:rFonts w:ascii="Verdana" w:hAnsi="Verdana" w:cs="Times New Roman"/>
          <w:sz w:val="20"/>
          <w:szCs w:val="20"/>
          <w:lang w:val="pt-BR"/>
        </w:rPr>
        <w:t>, enquanto a p</w:t>
      </w:r>
      <w:r w:rsidR="00CA30C5" w:rsidRPr="0038442F">
        <w:rPr>
          <w:rFonts w:ascii="Verdana" w:hAnsi="Verdana" w:cs="Times New Roman"/>
          <w:sz w:val="20"/>
          <w:szCs w:val="20"/>
          <w:lang w:val="pt-BR"/>
        </w:rPr>
        <w:t>rimeira</w:t>
      </w:r>
      <w:r w:rsidR="00407242" w:rsidRPr="0038442F">
        <w:rPr>
          <w:rFonts w:ascii="Verdana" w:hAnsi="Verdana" w:cs="Times New Roman"/>
          <w:sz w:val="20"/>
          <w:szCs w:val="20"/>
          <w:lang w:val="pt-BR"/>
        </w:rPr>
        <w:t xml:space="preserve"> </w:t>
      </w:r>
      <w:r w:rsidR="00826AB8" w:rsidRPr="0038442F">
        <w:rPr>
          <w:rFonts w:ascii="Verdana" w:hAnsi="Verdana" w:cs="Times New Roman"/>
          <w:sz w:val="20"/>
          <w:szCs w:val="20"/>
          <w:lang w:val="pt-BR"/>
        </w:rPr>
        <w:t xml:space="preserve">parte </w:t>
      </w:r>
      <w:r w:rsidR="00751189" w:rsidRPr="0038442F">
        <w:rPr>
          <w:rFonts w:ascii="Verdana" w:hAnsi="Verdana" w:cs="Times New Roman"/>
          <w:sz w:val="20"/>
          <w:szCs w:val="20"/>
          <w:lang w:val="pt-BR"/>
        </w:rPr>
        <w:t>do artigo</w:t>
      </w:r>
      <w:r w:rsidR="00F07133" w:rsidRPr="0038442F">
        <w:rPr>
          <w:rFonts w:ascii="Verdana" w:hAnsi="Verdana" w:cs="Times New Roman"/>
          <w:sz w:val="20"/>
          <w:szCs w:val="20"/>
          <w:lang w:val="pt-BR"/>
        </w:rPr>
        <w:t>,</w:t>
      </w:r>
      <w:r w:rsidR="00751189" w:rsidRPr="0038442F">
        <w:rPr>
          <w:rFonts w:ascii="Verdana" w:hAnsi="Verdana" w:cs="Times New Roman"/>
          <w:sz w:val="20"/>
          <w:szCs w:val="20"/>
          <w:lang w:val="pt-BR"/>
        </w:rPr>
        <w:t xml:space="preserve"> </w:t>
      </w:r>
      <w:r w:rsidR="00826AB8" w:rsidRPr="0038442F">
        <w:rPr>
          <w:rFonts w:ascii="Verdana" w:hAnsi="Verdana" w:cs="Times New Roman"/>
          <w:sz w:val="20"/>
          <w:szCs w:val="20"/>
          <w:lang w:val="pt-BR"/>
        </w:rPr>
        <w:t xml:space="preserve">“todas </w:t>
      </w:r>
      <w:r w:rsidR="00BF7A10" w:rsidRPr="0038442F">
        <w:rPr>
          <w:rFonts w:ascii="Verdana" w:hAnsi="Verdana" w:cs="Times New Roman"/>
          <w:sz w:val="20"/>
          <w:szCs w:val="20"/>
          <w:lang w:val="pt-BR"/>
        </w:rPr>
        <w:t xml:space="preserve">as pessoas </w:t>
      </w:r>
      <w:r w:rsidR="005B55A8" w:rsidRPr="0038442F">
        <w:rPr>
          <w:rFonts w:ascii="Verdana" w:hAnsi="Verdana" w:cs="Times New Roman"/>
          <w:sz w:val="20"/>
          <w:szCs w:val="20"/>
          <w:lang w:val="pt-BR"/>
        </w:rPr>
        <w:t>são</w:t>
      </w:r>
      <w:r w:rsidR="00407242" w:rsidRPr="0038442F">
        <w:rPr>
          <w:rFonts w:ascii="Verdana" w:hAnsi="Verdana" w:cs="Times New Roman"/>
          <w:sz w:val="20"/>
          <w:szCs w:val="20"/>
          <w:lang w:val="pt-BR"/>
        </w:rPr>
        <w:t xml:space="preserve"> </w:t>
      </w:r>
      <w:r w:rsidR="00826AB8" w:rsidRPr="0038442F">
        <w:rPr>
          <w:rFonts w:ascii="Verdana" w:hAnsi="Verdana" w:cs="Times New Roman"/>
          <w:sz w:val="20"/>
          <w:szCs w:val="20"/>
          <w:lang w:val="pt-BR"/>
        </w:rPr>
        <w:t>igu</w:t>
      </w:r>
      <w:r w:rsidR="00C92762" w:rsidRPr="0038442F">
        <w:rPr>
          <w:rFonts w:ascii="Verdana" w:hAnsi="Verdana" w:cs="Times New Roman"/>
          <w:sz w:val="20"/>
          <w:szCs w:val="20"/>
          <w:lang w:val="pt-BR"/>
        </w:rPr>
        <w:t>ais</w:t>
      </w:r>
      <w:r w:rsidR="00407242" w:rsidRPr="0038442F">
        <w:rPr>
          <w:rFonts w:ascii="Verdana" w:hAnsi="Verdana" w:cs="Times New Roman"/>
          <w:sz w:val="20"/>
          <w:szCs w:val="20"/>
          <w:lang w:val="pt-BR"/>
        </w:rPr>
        <w:t xml:space="preserve"> </w:t>
      </w:r>
      <w:r w:rsidR="005B55A8" w:rsidRPr="0038442F">
        <w:rPr>
          <w:rFonts w:ascii="Verdana" w:hAnsi="Verdana" w:cs="Times New Roman"/>
          <w:sz w:val="20"/>
          <w:szCs w:val="20"/>
          <w:lang w:val="pt-BR"/>
        </w:rPr>
        <w:t>perante a lei</w:t>
      </w:r>
      <w:r w:rsidR="00826AB8" w:rsidRPr="0038442F">
        <w:rPr>
          <w:rFonts w:ascii="Verdana" w:hAnsi="Verdana" w:cs="Times New Roman"/>
          <w:sz w:val="20"/>
          <w:szCs w:val="20"/>
          <w:lang w:val="pt-BR"/>
        </w:rPr>
        <w:t>”</w:t>
      </w:r>
      <w:r w:rsidR="00F07133" w:rsidRPr="0038442F">
        <w:rPr>
          <w:rFonts w:ascii="Verdana" w:hAnsi="Verdana" w:cs="Times New Roman"/>
          <w:sz w:val="20"/>
          <w:szCs w:val="20"/>
          <w:lang w:val="pt-BR"/>
        </w:rPr>
        <w:t xml:space="preserve">, fazia </w:t>
      </w:r>
      <w:r w:rsidR="006D3B60" w:rsidRPr="0038442F">
        <w:rPr>
          <w:rFonts w:ascii="Verdana" w:hAnsi="Verdana" w:cs="Times New Roman"/>
          <w:sz w:val="20"/>
          <w:szCs w:val="20"/>
          <w:lang w:val="pt-BR"/>
        </w:rPr>
        <w:t>referência</w:t>
      </w:r>
      <w:r w:rsidR="00407242" w:rsidRPr="0038442F">
        <w:rPr>
          <w:rFonts w:ascii="Verdana" w:hAnsi="Verdana" w:cs="Times New Roman"/>
          <w:sz w:val="20"/>
          <w:szCs w:val="20"/>
          <w:lang w:val="pt-BR"/>
        </w:rPr>
        <w:t xml:space="preserve"> </w:t>
      </w:r>
      <w:r w:rsidR="00F07133" w:rsidRPr="0038442F">
        <w:rPr>
          <w:rFonts w:ascii="Verdana" w:hAnsi="Verdana" w:cs="Times New Roman"/>
          <w:sz w:val="20"/>
          <w:szCs w:val="20"/>
          <w:lang w:val="pt-BR"/>
        </w:rPr>
        <w:t xml:space="preserve">àquela que se denominou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826AB8" w:rsidRPr="0038442F">
        <w:rPr>
          <w:rFonts w:ascii="Verdana" w:hAnsi="Verdana"/>
          <w:sz w:val="20"/>
          <w:szCs w:val="20"/>
          <w:lang w:val="pt-BR"/>
        </w:rPr>
        <w:t xml:space="preserve">como </w:t>
      </w:r>
      <w:r w:rsidR="00C61238" w:rsidRPr="0038442F">
        <w:rPr>
          <w:rFonts w:ascii="Verdana" w:hAnsi="Verdana"/>
          <w:sz w:val="20"/>
          <w:szCs w:val="20"/>
          <w:lang w:val="pt-BR"/>
        </w:rPr>
        <w:t>proibi</w:t>
      </w:r>
      <w:r w:rsidR="000A1AA8" w:rsidRPr="0038442F">
        <w:rPr>
          <w:rFonts w:ascii="Verdana" w:hAnsi="Verdana"/>
          <w:sz w:val="20"/>
          <w:szCs w:val="20"/>
          <w:lang w:val="pt-BR"/>
        </w:rPr>
        <w:t>ção</w:t>
      </w:r>
      <w:r w:rsidR="00826AB8" w:rsidRPr="0038442F">
        <w:rPr>
          <w:rFonts w:ascii="Verdana" w:hAnsi="Verdana"/>
          <w:sz w:val="20"/>
          <w:szCs w:val="20"/>
          <w:lang w:val="pt-BR"/>
        </w:rPr>
        <w:t xml:space="preserve"> d</w:t>
      </w:r>
      <w:r w:rsidR="00F07133" w:rsidRPr="0038442F">
        <w:rPr>
          <w:rFonts w:ascii="Verdana" w:hAnsi="Verdana"/>
          <w:sz w:val="20"/>
          <w:szCs w:val="20"/>
          <w:lang w:val="pt-BR"/>
        </w:rPr>
        <w:t xml:space="preserve">o </w:t>
      </w:r>
      <w:r w:rsidR="00FC5589" w:rsidRPr="0038442F">
        <w:rPr>
          <w:rFonts w:ascii="Verdana" w:hAnsi="Verdana"/>
          <w:sz w:val="20"/>
          <w:szCs w:val="20"/>
          <w:lang w:val="pt-BR"/>
        </w:rPr>
        <w:t>tratamento</w:t>
      </w:r>
      <w:r w:rsidR="00407242" w:rsidRPr="0038442F">
        <w:rPr>
          <w:rFonts w:ascii="Verdana" w:hAnsi="Verdana"/>
          <w:sz w:val="20"/>
          <w:szCs w:val="20"/>
          <w:lang w:val="pt-BR"/>
        </w:rPr>
        <w:t xml:space="preserve"> </w:t>
      </w:r>
      <w:r w:rsidR="00FC5589" w:rsidRPr="0038442F">
        <w:rPr>
          <w:rFonts w:ascii="Verdana" w:hAnsi="Verdana"/>
          <w:sz w:val="20"/>
          <w:szCs w:val="20"/>
          <w:lang w:val="pt-BR"/>
        </w:rPr>
        <w:t>arbitrário</w:t>
      </w:r>
      <w:r w:rsidR="00407242" w:rsidRPr="0038442F">
        <w:rPr>
          <w:rFonts w:ascii="Verdana" w:hAnsi="Verdana"/>
          <w:sz w:val="20"/>
          <w:szCs w:val="20"/>
          <w:lang w:val="pt-BR"/>
        </w:rPr>
        <w:t xml:space="preserve"> </w:t>
      </w:r>
      <w:r w:rsidR="00826AB8" w:rsidRPr="0038442F">
        <w:rPr>
          <w:rFonts w:ascii="Verdana" w:hAnsi="Verdana"/>
          <w:sz w:val="20"/>
          <w:szCs w:val="20"/>
          <w:lang w:val="pt-BR"/>
        </w:rPr>
        <w:t>o</w:t>
      </w:r>
      <w:r w:rsidR="00F07133" w:rsidRPr="0038442F">
        <w:rPr>
          <w:rFonts w:ascii="Verdana" w:hAnsi="Verdana"/>
          <w:sz w:val="20"/>
          <w:szCs w:val="20"/>
          <w:lang w:val="pt-BR"/>
        </w:rPr>
        <w:t>u</w:t>
      </w:r>
      <w:r w:rsidR="00826AB8" w:rsidRPr="0038442F">
        <w:rPr>
          <w:rFonts w:ascii="Verdana" w:hAnsi="Verdana"/>
          <w:sz w:val="20"/>
          <w:szCs w:val="20"/>
          <w:lang w:val="pt-BR"/>
        </w:rPr>
        <w:t xml:space="preserve">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826AB8" w:rsidRPr="0038442F">
        <w:rPr>
          <w:rFonts w:ascii="Verdana" w:hAnsi="Verdana"/>
          <w:sz w:val="20"/>
          <w:szCs w:val="20"/>
          <w:lang w:val="pt-BR"/>
        </w:rPr>
        <w:t>formal</w:t>
      </w:r>
      <w:r w:rsidR="00F07133" w:rsidRPr="0038442F">
        <w:rPr>
          <w:rFonts w:ascii="Verdana" w:hAnsi="Verdana"/>
          <w:sz w:val="20"/>
          <w:szCs w:val="20"/>
          <w:lang w:val="pt-BR"/>
        </w:rPr>
        <w:t xml:space="preserve">, a </w:t>
      </w:r>
      <w:r w:rsidR="00826AB8" w:rsidRPr="0038442F">
        <w:rPr>
          <w:rFonts w:ascii="Verdana" w:hAnsi="Verdana"/>
          <w:sz w:val="20"/>
          <w:szCs w:val="20"/>
          <w:lang w:val="pt-BR"/>
        </w:rPr>
        <w:t>segunda parte</w:t>
      </w:r>
      <w:r w:rsidR="00F07133" w:rsidRPr="0038442F">
        <w:rPr>
          <w:rFonts w:ascii="Verdana" w:hAnsi="Verdana"/>
          <w:sz w:val="20"/>
          <w:szCs w:val="20"/>
          <w:lang w:val="pt-BR"/>
        </w:rPr>
        <w:t>,</w:t>
      </w:r>
      <w:r w:rsidR="00826AB8" w:rsidRPr="0038442F">
        <w:rPr>
          <w:rFonts w:ascii="Verdana" w:hAnsi="Verdana"/>
          <w:sz w:val="20"/>
          <w:szCs w:val="20"/>
          <w:lang w:val="pt-BR"/>
        </w:rPr>
        <w:t xml:space="preserve"> “</w:t>
      </w:r>
      <w:r w:rsidR="00751189" w:rsidRPr="0038442F">
        <w:rPr>
          <w:rFonts w:ascii="Verdana" w:hAnsi="Verdana"/>
          <w:sz w:val="20"/>
          <w:szCs w:val="20"/>
          <w:lang w:val="pt-BR"/>
        </w:rPr>
        <w:t>sem</w:t>
      </w:r>
      <w:r w:rsidR="00407242" w:rsidRPr="0038442F">
        <w:rPr>
          <w:rFonts w:ascii="Verdana" w:hAnsi="Verdana"/>
          <w:sz w:val="20"/>
          <w:szCs w:val="20"/>
          <w:lang w:val="pt-BR"/>
        </w:rPr>
        <w:t xml:space="preserve"> </w:t>
      </w:r>
      <w:r w:rsidR="00C61238" w:rsidRPr="0038442F">
        <w:rPr>
          <w:rFonts w:ascii="Verdana" w:hAnsi="Verdana"/>
          <w:sz w:val="20"/>
          <w:szCs w:val="20"/>
          <w:lang w:val="pt-BR"/>
        </w:rPr>
        <w:t>discrimina</w:t>
      </w:r>
      <w:r w:rsidR="000A1AA8" w:rsidRPr="0038442F">
        <w:rPr>
          <w:rFonts w:ascii="Verdana" w:hAnsi="Verdana"/>
          <w:sz w:val="20"/>
          <w:szCs w:val="20"/>
          <w:lang w:val="pt-BR"/>
        </w:rPr>
        <w:t>ção</w:t>
      </w:r>
      <w:r w:rsidR="00826AB8" w:rsidRPr="0038442F">
        <w:rPr>
          <w:rFonts w:ascii="Verdana" w:hAnsi="Verdana"/>
          <w:sz w:val="20"/>
          <w:szCs w:val="20"/>
          <w:lang w:val="pt-BR"/>
        </w:rPr>
        <w:t xml:space="preserve">, a igual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751189" w:rsidRPr="0038442F">
        <w:rPr>
          <w:rFonts w:ascii="Verdana" w:hAnsi="Verdana"/>
          <w:sz w:val="20"/>
          <w:szCs w:val="20"/>
          <w:lang w:val="pt-BR"/>
        </w:rPr>
        <w:t>lei</w:t>
      </w:r>
      <w:r w:rsidR="00826AB8" w:rsidRPr="0038442F">
        <w:rPr>
          <w:rFonts w:ascii="Verdana" w:hAnsi="Verdana"/>
          <w:sz w:val="20"/>
          <w:szCs w:val="20"/>
          <w:lang w:val="pt-BR"/>
        </w:rPr>
        <w:t xml:space="preserve">”, se </w:t>
      </w:r>
      <w:r w:rsidR="00F07133" w:rsidRPr="0038442F">
        <w:rPr>
          <w:rFonts w:ascii="Verdana" w:hAnsi="Verdana"/>
          <w:sz w:val="20"/>
          <w:szCs w:val="20"/>
          <w:lang w:val="pt-BR"/>
        </w:rPr>
        <w:t xml:space="preserve">referiria à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826AB8" w:rsidRPr="0038442F">
        <w:rPr>
          <w:rFonts w:ascii="Verdana" w:hAnsi="Verdana"/>
          <w:sz w:val="20"/>
          <w:szCs w:val="20"/>
          <w:lang w:val="pt-BR"/>
        </w:rPr>
        <w:t>como proibi</w:t>
      </w:r>
      <w:r w:rsidR="000A1AA8" w:rsidRPr="0038442F">
        <w:rPr>
          <w:rFonts w:ascii="Verdana" w:hAnsi="Verdana"/>
          <w:sz w:val="20"/>
          <w:szCs w:val="20"/>
          <w:lang w:val="pt-BR"/>
        </w:rPr>
        <w:t>ção</w:t>
      </w:r>
      <w:r w:rsidR="00826AB8" w:rsidRPr="0038442F">
        <w:rPr>
          <w:rFonts w:ascii="Verdana" w:hAnsi="Verdana"/>
          <w:sz w:val="20"/>
          <w:szCs w:val="20"/>
          <w:lang w:val="pt-BR"/>
        </w:rPr>
        <w:t xml:space="preserve"> de discrimina</w:t>
      </w:r>
      <w:r w:rsidR="000A1AA8" w:rsidRPr="0038442F">
        <w:rPr>
          <w:rFonts w:ascii="Verdana" w:hAnsi="Verdana"/>
          <w:sz w:val="20"/>
          <w:szCs w:val="20"/>
          <w:lang w:val="pt-BR"/>
        </w:rPr>
        <w:t>ção</w:t>
      </w:r>
      <w:r w:rsidR="00826AB8" w:rsidRPr="0038442F">
        <w:rPr>
          <w:rFonts w:ascii="Verdana" w:hAnsi="Verdana"/>
          <w:sz w:val="20"/>
          <w:szCs w:val="20"/>
          <w:lang w:val="pt-BR"/>
        </w:rPr>
        <w:t xml:space="preserve"> o</w:t>
      </w:r>
      <w:r w:rsidR="00F07133" w:rsidRPr="0038442F">
        <w:rPr>
          <w:rFonts w:ascii="Verdana" w:hAnsi="Verdana"/>
          <w:sz w:val="20"/>
          <w:szCs w:val="20"/>
          <w:lang w:val="pt-BR"/>
        </w:rPr>
        <w:t>u</w:t>
      </w:r>
      <w:r w:rsidR="00826AB8" w:rsidRPr="0038442F">
        <w:rPr>
          <w:rFonts w:ascii="Verdana" w:hAnsi="Verdana"/>
          <w:sz w:val="20"/>
          <w:szCs w:val="20"/>
          <w:lang w:val="pt-BR"/>
        </w:rPr>
        <w:t xml:space="preserve"> n</w:t>
      </w:r>
      <w:r w:rsidR="00F07133" w:rsidRPr="0038442F">
        <w:rPr>
          <w:rFonts w:ascii="Verdana" w:hAnsi="Verdana"/>
          <w:sz w:val="20"/>
          <w:szCs w:val="20"/>
          <w:lang w:val="pt-BR"/>
        </w:rPr>
        <w:t>ã</w:t>
      </w:r>
      <w:r w:rsidR="00826AB8" w:rsidRPr="0038442F">
        <w:rPr>
          <w:rFonts w:ascii="Verdana" w:hAnsi="Verdana"/>
          <w:sz w:val="20"/>
          <w:szCs w:val="20"/>
          <w:lang w:val="pt-BR"/>
        </w:rPr>
        <w:t xml:space="preserve">o </w:t>
      </w:r>
      <w:r w:rsidR="00F07133" w:rsidRPr="0038442F">
        <w:rPr>
          <w:rFonts w:ascii="Verdana" w:hAnsi="Verdana"/>
          <w:sz w:val="20"/>
          <w:szCs w:val="20"/>
          <w:lang w:val="pt-BR"/>
        </w:rPr>
        <w:t xml:space="preserve">sujeição, o que se complementaria com o disposto no </w:t>
      </w:r>
      <w:r w:rsidR="00826AB8" w:rsidRPr="0038442F">
        <w:rPr>
          <w:rFonts w:ascii="Verdana" w:hAnsi="Verdana"/>
          <w:sz w:val="20"/>
          <w:szCs w:val="20"/>
          <w:lang w:val="pt-BR"/>
        </w:rPr>
        <w:t>art. 1.1</w:t>
      </w:r>
      <w:r w:rsidR="00F07133" w:rsidRPr="0038442F">
        <w:rPr>
          <w:rFonts w:ascii="Verdana" w:hAnsi="Verdana"/>
          <w:sz w:val="20"/>
          <w:szCs w:val="20"/>
          <w:lang w:val="pt-BR"/>
        </w:rPr>
        <w:t>.</w:t>
      </w:r>
      <w:r w:rsidR="00826AB8" w:rsidRPr="0038442F">
        <w:rPr>
          <w:rStyle w:val="Refdenotaalpie"/>
          <w:rFonts w:ascii="Verdana" w:hAnsi="Verdana"/>
          <w:sz w:val="20"/>
          <w:szCs w:val="20"/>
          <w:lang w:val="pt-BR"/>
        </w:rPr>
        <w:footnoteReference w:id="163"/>
      </w:r>
    </w:p>
    <w:p w14:paraId="2A380ABE" w14:textId="77777777" w:rsidR="00826AB8" w:rsidRPr="0038442F" w:rsidRDefault="00826AB8" w:rsidP="00A857CB">
      <w:pPr>
        <w:pStyle w:val="Prrafodelista"/>
        <w:spacing w:line="240" w:lineRule="auto"/>
        <w:rPr>
          <w:rFonts w:ascii="Verdana" w:hAnsi="Verdana" w:cs="System Font Regular"/>
          <w:sz w:val="20"/>
          <w:szCs w:val="20"/>
          <w:lang w:val="pt-BR"/>
        </w:rPr>
      </w:pPr>
    </w:p>
    <w:p w14:paraId="4300F2C4" w14:textId="003F9988" w:rsidR="00826AB8" w:rsidRPr="0038442F" w:rsidRDefault="00B33067" w:rsidP="00B33067">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103. </w:t>
      </w:r>
      <w:r w:rsidRPr="0038442F">
        <w:rPr>
          <w:rFonts w:ascii="Verdana" w:hAnsi="Verdana" w:cs="System Font Regular"/>
          <w:sz w:val="20"/>
          <w:szCs w:val="20"/>
          <w:lang w:val="pt-BR"/>
        </w:rPr>
        <w:tab/>
      </w:r>
      <w:r w:rsidR="00F07133" w:rsidRPr="0038442F">
        <w:rPr>
          <w:rFonts w:ascii="Verdana" w:hAnsi="Verdana" w:cs="System Font Regular"/>
          <w:sz w:val="20"/>
          <w:szCs w:val="20"/>
          <w:lang w:val="pt-BR"/>
        </w:rPr>
        <w:t>Isso posto</w:t>
      </w:r>
      <w:r w:rsidR="00826AB8" w:rsidRPr="0038442F">
        <w:rPr>
          <w:rFonts w:ascii="Verdana" w:hAnsi="Verdana" w:cs="System Font Regular"/>
          <w:sz w:val="20"/>
          <w:szCs w:val="20"/>
          <w:lang w:val="pt-BR"/>
        </w:rPr>
        <w:t>, e</w:t>
      </w:r>
      <w:r w:rsidR="00827109" w:rsidRPr="0038442F">
        <w:rPr>
          <w:rFonts w:ascii="Verdana" w:hAnsi="Verdana" w:cs="System Font Regular"/>
          <w:sz w:val="20"/>
          <w:szCs w:val="20"/>
          <w:lang w:val="pt-BR"/>
        </w:rPr>
        <w:t>s</w:t>
      </w:r>
      <w:r w:rsidR="00826AB8" w:rsidRPr="0038442F">
        <w:rPr>
          <w:rFonts w:ascii="Verdana" w:hAnsi="Verdana" w:cs="System Font Regular"/>
          <w:sz w:val="20"/>
          <w:szCs w:val="20"/>
          <w:lang w:val="pt-BR"/>
        </w:rPr>
        <w:t>sa no</w:t>
      </w:r>
      <w:r w:rsidR="000A1AA8" w:rsidRPr="0038442F">
        <w:rPr>
          <w:rFonts w:ascii="Verdana" w:hAnsi="Verdana" w:cs="System Font Regular"/>
          <w:sz w:val="20"/>
          <w:szCs w:val="20"/>
          <w:lang w:val="pt-BR"/>
        </w:rPr>
        <w:t>ção</w:t>
      </w:r>
      <w:r w:rsidR="00826AB8" w:rsidRPr="0038442F">
        <w:rPr>
          <w:rFonts w:ascii="Verdana" w:hAnsi="Verdana" w:cs="System Font Regular"/>
          <w:sz w:val="20"/>
          <w:szCs w:val="20"/>
          <w:lang w:val="pt-BR"/>
        </w:rPr>
        <w:t xml:space="preserve"> de “</w:t>
      </w:r>
      <w:r w:rsidR="009612FB" w:rsidRPr="0038442F">
        <w:rPr>
          <w:rFonts w:ascii="Verdana" w:hAnsi="Verdana" w:cs="System Font Regular"/>
          <w:sz w:val="20"/>
          <w:szCs w:val="20"/>
          <w:lang w:val="pt-BR"/>
        </w:rPr>
        <w:t>igualdade</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como proibi</w:t>
      </w:r>
      <w:r w:rsidR="000A1AA8" w:rsidRPr="0038442F">
        <w:rPr>
          <w:rFonts w:ascii="Verdana" w:hAnsi="Verdana" w:cs="System Font Regular"/>
          <w:sz w:val="20"/>
          <w:szCs w:val="20"/>
          <w:lang w:val="pt-BR"/>
        </w:rPr>
        <w:t>ção</w:t>
      </w:r>
      <w:r w:rsidR="00826AB8" w:rsidRPr="0038442F">
        <w:rPr>
          <w:rFonts w:ascii="Verdana" w:hAnsi="Verdana" w:cs="System Font Regular"/>
          <w:sz w:val="20"/>
          <w:szCs w:val="20"/>
          <w:lang w:val="pt-BR"/>
        </w:rPr>
        <w:t xml:space="preserve"> de discrimina</w:t>
      </w:r>
      <w:r w:rsidR="000A1AA8" w:rsidRPr="0038442F">
        <w:rPr>
          <w:rFonts w:ascii="Verdana" w:hAnsi="Verdana" w:cs="System Font Regular"/>
          <w:sz w:val="20"/>
          <w:szCs w:val="20"/>
          <w:lang w:val="pt-BR"/>
        </w:rPr>
        <w:t>ção</w:t>
      </w:r>
      <w:r w:rsidR="00826AB8" w:rsidRPr="0038442F">
        <w:rPr>
          <w:rFonts w:ascii="Verdana" w:hAnsi="Verdana" w:cs="System Font Regular"/>
          <w:sz w:val="20"/>
          <w:szCs w:val="20"/>
          <w:lang w:val="pt-BR"/>
        </w:rPr>
        <w:t>” o</w:t>
      </w:r>
      <w:r w:rsidR="00827109" w:rsidRPr="0038442F">
        <w:rPr>
          <w:rFonts w:ascii="Verdana" w:hAnsi="Verdana" w:cs="System Font Regular"/>
          <w:sz w:val="20"/>
          <w:szCs w:val="20"/>
          <w:lang w:val="pt-BR"/>
        </w:rPr>
        <w:t>u</w:t>
      </w:r>
      <w:r w:rsidR="00826AB8" w:rsidRPr="0038442F">
        <w:rPr>
          <w:rFonts w:ascii="Verdana" w:hAnsi="Verdana" w:cs="System Font Regular"/>
          <w:sz w:val="20"/>
          <w:szCs w:val="20"/>
          <w:lang w:val="pt-BR"/>
        </w:rPr>
        <w:t xml:space="preserve"> “n</w:t>
      </w:r>
      <w:r w:rsidR="00827109" w:rsidRPr="0038442F">
        <w:rPr>
          <w:rFonts w:ascii="Verdana" w:hAnsi="Verdana" w:cs="System Font Regular"/>
          <w:sz w:val="20"/>
          <w:szCs w:val="20"/>
          <w:lang w:val="pt-BR"/>
        </w:rPr>
        <w:t>ã</w:t>
      </w:r>
      <w:r w:rsidR="00826AB8" w:rsidRPr="0038442F">
        <w:rPr>
          <w:rFonts w:ascii="Verdana" w:hAnsi="Verdana" w:cs="System Font Regular"/>
          <w:sz w:val="20"/>
          <w:szCs w:val="20"/>
          <w:lang w:val="pt-BR"/>
        </w:rPr>
        <w:t xml:space="preserve">o </w:t>
      </w:r>
      <w:r w:rsidR="00827109" w:rsidRPr="0038442F">
        <w:rPr>
          <w:rFonts w:ascii="Verdana" w:hAnsi="Verdana" w:cs="System Font Regular"/>
          <w:sz w:val="20"/>
          <w:szCs w:val="20"/>
          <w:lang w:val="pt-BR"/>
        </w:rPr>
        <w:t>sujeição</w:t>
      </w:r>
      <w:r w:rsidR="00826AB8" w:rsidRPr="0038442F">
        <w:rPr>
          <w:rFonts w:ascii="Verdana" w:hAnsi="Verdana" w:cs="System Font Regular"/>
          <w:sz w:val="20"/>
          <w:szCs w:val="20"/>
          <w:lang w:val="pt-BR"/>
        </w:rPr>
        <w:t>” se bas</w:t>
      </w:r>
      <w:r w:rsidR="00827109" w:rsidRPr="0038442F">
        <w:rPr>
          <w:rFonts w:ascii="Verdana" w:hAnsi="Verdana" w:cs="System Font Regular"/>
          <w:sz w:val="20"/>
          <w:szCs w:val="20"/>
          <w:lang w:val="pt-BR"/>
        </w:rPr>
        <w:t>ei</w:t>
      </w:r>
      <w:r w:rsidR="00826AB8" w:rsidRPr="0038442F">
        <w:rPr>
          <w:rFonts w:ascii="Verdana" w:hAnsi="Verdana" w:cs="System Font Regular"/>
          <w:sz w:val="20"/>
          <w:szCs w:val="20"/>
          <w:lang w:val="pt-BR"/>
        </w:rPr>
        <w:t xml:space="preserve">a </w:t>
      </w:r>
      <w:r w:rsidR="00BF7A10" w:rsidRPr="0038442F">
        <w:rPr>
          <w:rFonts w:ascii="Verdana" w:hAnsi="Verdana" w:cs="System Font Regular"/>
          <w:sz w:val="20"/>
          <w:szCs w:val="20"/>
          <w:lang w:val="pt-BR"/>
        </w:rPr>
        <w:t xml:space="preserve">na </w:t>
      </w:r>
      <w:r w:rsidR="00826AB8" w:rsidRPr="0038442F">
        <w:rPr>
          <w:rFonts w:ascii="Verdana" w:hAnsi="Verdana" w:cs="System Font Regular"/>
          <w:sz w:val="20"/>
          <w:szCs w:val="20"/>
          <w:lang w:val="pt-BR"/>
        </w:rPr>
        <w:t>ide</w:t>
      </w:r>
      <w:r w:rsidR="00827109" w:rsidRPr="0038442F">
        <w:rPr>
          <w:rFonts w:ascii="Verdana" w:hAnsi="Verdana" w:cs="System Font Regular"/>
          <w:sz w:val="20"/>
          <w:szCs w:val="20"/>
          <w:lang w:val="pt-BR"/>
        </w:rPr>
        <w:t>i</w:t>
      </w:r>
      <w:r w:rsidR="00826AB8" w:rsidRPr="0038442F">
        <w:rPr>
          <w:rFonts w:ascii="Verdana" w:hAnsi="Verdana" w:cs="System Font Regular"/>
          <w:sz w:val="20"/>
          <w:szCs w:val="20"/>
          <w:lang w:val="pt-BR"/>
        </w:rPr>
        <w:t>a de que existe</w:t>
      </w:r>
      <w:r w:rsidR="00827109" w:rsidRPr="0038442F">
        <w:rPr>
          <w:rFonts w:ascii="Verdana" w:hAnsi="Verdana" w:cs="System Font Regular"/>
          <w:sz w:val="20"/>
          <w:szCs w:val="20"/>
          <w:lang w:val="pt-BR"/>
        </w:rPr>
        <w:t>m setore</w:t>
      </w:r>
      <w:r w:rsidR="003203E9" w:rsidRPr="0038442F">
        <w:rPr>
          <w:rFonts w:ascii="Verdana" w:hAnsi="Verdana" w:cs="System Font Regular"/>
          <w:sz w:val="20"/>
          <w:szCs w:val="20"/>
          <w:lang w:val="pt-BR"/>
        </w:rPr>
        <w:t>s</w:t>
      </w:r>
      <w:r w:rsidR="00827109" w:rsidRPr="0038442F">
        <w:rPr>
          <w:rFonts w:ascii="Verdana" w:hAnsi="Verdana" w:cs="System Font Regular"/>
          <w:sz w:val="20"/>
          <w:szCs w:val="20"/>
          <w:lang w:val="pt-BR"/>
        </w:rPr>
        <w:t xml:space="preserve"> que foram </w:t>
      </w:r>
      <w:r w:rsidR="00542BE0" w:rsidRPr="0038442F">
        <w:rPr>
          <w:rFonts w:ascii="Verdana" w:hAnsi="Verdana" w:cs="System Font Regular"/>
          <w:sz w:val="20"/>
          <w:szCs w:val="20"/>
          <w:lang w:val="pt-BR"/>
        </w:rPr>
        <w:t>sistemática o</w:t>
      </w:r>
      <w:r w:rsidR="00827109" w:rsidRPr="0038442F">
        <w:rPr>
          <w:rFonts w:ascii="Verdana" w:hAnsi="Verdana" w:cs="System Font Regular"/>
          <w:sz w:val="20"/>
          <w:szCs w:val="20"/>
          <w:lang w:val="pt-BR"/>
        </w:rPr>
        <w:t>u</w:t>
      </w:r>
      <w:r w:rsidR="00542BE0" w:rsidRPr="0038442F">
        <w:rPr>
          <w:rFonts w:ascii="Verdana" w:hAnsi="Verdana" w:cs="System Font Regular"/>
          <w:sz w:val="20"/>
          <w:szCs w:val="20"/>
          <w:lang w:val="pt-BR"/>
        </w:rPr>
        <w:t xml:space="preserve"> hist</w:t>
      </w:r>
      <w:r w:rsidR="00827109" w:rsidRPr="0038442F">
        <w:rPr>
          <w:rFonts w:ascii="Verdana" w:hAnsi="Verdana" w:cs="System Font Regular"/>
          <w:sz w:val="20"/>
          <w:szCs w:val="20"/>
          <w:lang w:val="pt-BR"/>
        </w:rPr>
        <w:t>o</w:t>
      </w:r>
      <w:r w:rsidR="00542BE0" w:rsidRPr="0038442F">
        <w:rPr>
          <w:rFonts w:ascii="Verdana" w:hAnsi="Verdana" w:cs="System Font Regular"/>
          <w:sz w:val="20"/>
          <w:szCs w:val="20"/>
          <w:lang w:val="pt-BR"/>
        </w:rPr>
        <w:t>ricamente</w:t>
      </w:r>
      <w:r w:rsidR="00826AB8" w:rsidRPr="0038442F">
        <w:rPr>
          <w:rFonts w:ascii="Verdana" w:hAnsi="Verdana" w:cs="System Font Regular"/>
          <w:sz w:val="20"/>
          <w:szCs w:val="20"/>
          <w:lang w:val="pt-BR"/>
        </w:rPr>
        <w:t xml:space="preserve"> subordinados, s</w:t>
      </w:r>
      <w:r w:rsidR="00827109" w:rsidRPr="0038442F">
        <w:rPr>
          <w:rFonts w:ascii="Verdana" w:hAnsi="Verdana" w:cs="System Font Regular"/>
          <w:sz w:val="20"/>
          <w:szCs w:val="20"/>
          <w:lang w:val="pt-BR"/>
        </w:rPr>
        <w:t>ub</w:t>
      </w:r>
      <w:r w:rsidR="00826AB8" w:rsidRPr="0038442F">
        <w:rPr>
          <w:rFonts w:ascii="Verdana" w:hAnsi="Verdana" w:cs="System Font Regular"/>
          <w:sz w:val="20"/>
          <w:szCs w:val="20"/>
          <w:lang w:val="pt-BR"/>
        </w:rPr>
        <w:t>jugados, exclu</w:t>
      </w:r>
      <w:r w:rsidR="00827109" w:rsidRPr="0038442F">
        <w:rPr>
          <w:rFonts w:ascii="Verdana" w:hAnsi="Verdana" w:cs="System Font Regular"/>
          <w:sz w:val="20"/>
          <w:szCs w:val="20"/>
          <w:lang w:val="pt-BR"/>
        </w:rPr>
        <w:t xml:space="preserve">ídos ou marginalizados, motivo </w:t>
      </w:r>
      <w:r w:rsidR="00117148">
        <w:rPr>
          <w:rFonts w:ascii="Verdana" w:hAnsi="Verdana" w:cs="System Font Regular"/>
          <w:sz w:val="20"/>
          <w:szCs w:val="20"/>
          <w:lang w:val="pt-BR"/>
        </w:rPr>
        <w:t>pelo qual</w:t>
      </w:r>
      <w:r w:rsidR="00827109"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 xml:space="preserve">existe </w:t>
      </w:r>
      <w:r w:rsidR="007E33FB" w:rsidRPr="0038442F">
        <w:rPr>
          <w:rFonts w:ascii="Verdana" w:hAnsi="Verdana" w:cs="System Font Regular"/>
          <w:sz w:val="20"/>
          <w:szCs w:val="20"/>
          <w:lang w:val="pt-BR"/>
        </w:rPr>
        <w:t xml:space="preserve">a </w:t>
      </w:r>
      <w:r w:rsidR="00751189" w:rsidRPr="0038442F">
        <w:rPr>
          <w:rFonts w:ascii="Verdana" w:hAnsi="Verdana"/>
          <w:sz w:val="20"/>
          <w:szCs w:val="20"/>
          <w:lang w:val="pt-BR"/>
        </w:rPr>
        <w:t>necessidade</w:t>
      </w:r>
      <w:r w:rsidR="00407242" w:rsidRPr="0038442F">
        <w:rPr>
          <w:rFonts w:ascii="Verdana" w:hAnsi="Verdana"/>
          <w:sz w:val="20"/>
          <w:szCs w:val="20"/>
          <w:lang w:val="pt-BR"/>
        </w:rPr>
        <w:t xml:space="preserve"> </w:t>
      </w:r>
      <w:r w:rsidR="00826AB8" w:rsidRPr="0038442F">
        <w:rPr>
          <w:rFonts w:ascii="Verdana" w:hAnsi="Verdana"/>
          <w:sz w:val="20"/>
          <w:szCs w:val="20"/>
          <w:lang w:val="pt-BR"/>
        </w:rPr>
        <w:t xml:space="preserve">de que </w:t>
      </w:r>
      <w:r w:rsidR="005135E5" w:rsidRPr="0038442F">
        <w:rPr>
          <w:rFonts w:ascii="Verdana" w:hAnsi="Verdana"/>
          <w:sz w:val="20"/>
          <w:szCs w:val="20"/>
          <w:lang w:val="pt-BR"/>
        </w:rPr>
        <w:t xml:space="preserve">os Estados </w:t>
      </w:r>
      <w:r w:rsidR="00827109" w:rsidRPr="0038442F">
        <w:rPr>
          <w:rFonts w:ascii="Verdana" w:hAnsi="Verdana"/>
          <w:sz w:val="20"/>
          <w:szCs w:val="20"/>
          <w:lang w:val="pt-BR"/>
        </w:rPr>
        <w:t>adotem</w:t>
      </w:r>
      <w:r w:rsidR="00407242" w:rsidRPr="0038442F">
        <w:rPr>
          <w:rFonts w:ascii="Verdana" w:hAnsi="Verdana"/>
          <w:sz w:val="20"/>
          <w:szCs w:val="20"/>
          <w:lang w:val="pt-BR"/>
        </w:rPr>
        <w:t xml:space="preserve"> </w:t>
      </w:r>
      <w:r w:rsidR="00826AB8" w:rsidRPr="0038442F">
        <w:rPr>
          <w:rFonts w:ascii="Verdana" w:hAnsi="Verdana"/>
          <w:sz w:val="20"/>
          <w:szCs w:val="20"/>
          <w:lang w:val="pt-BR"/>
        </w:rPr>
        <w:t xml:space="preserve">medidas para </w:t>
      </w:r>
      <w:r w:rsidR="00827109" w:rsidRPr="0038442F">
        <w:rPr>
          <w:rFonts w:ascii="Verdana" w:hAnsi="Verdana"/>
          <w:sz w:val="20"/>
          <w:szCs w:val="20"/>
          <w:lang w:val="pt-BR"/>
        </w:rPr>
        <w:t>melhorar</w:t>
      </w:r>
      <w:r w:rsidR="00826AB8" w:rsidRPr="0038442F">
        <w:rPr>
          <w:rFonts w:ascii="Verdana" w:hAnsi="Verdana"/>
          <w:sz w:val="20"/>
          <w:szCs w:val="20"/>
          <w:lang w:val="pt-BR"/>
        </w:rPr>
        <w:t xml:space="preserve"> a </w:t>
      </w:r>
      <w:r w:rsidR="00C61238" w:rsidRPr="0038442F">
        <w:rPr>
          <w:rFonts w:ascii="Verdana" w:hAnsi="Verdana"/>
          <w:sz w:val="20"/>
          <w:szCs w:val="20"/>
          <w:lang w:val="pt-BR"/>
        </w:rPr>
        <w:t>condi</w:t>
      </w:r>
      <w:r w:rsidR="000A1AA8" w:rsidRPr="0038442F">
        <w:rPr>
          <w:rFonts w:ascii="Verdana" w:hAnsi="Verdana"/>
          <w:sz w:val="20"/>
          <w:szCs w:val="20"/>
          <w:lang w:val="pt-BR"/>
        </w:rPr>
        <w:t>ção</w:t>
      </w:r>
      <w:r w:rsidR="00826AB8" w:rsidRPr="0038442F">
        <w:rPr>
          <w:rFonts w:ascii="Verdana" w:hAnsi="Verdana"/>
          <w:sz w:val="20"/>
          <w:szCs w:val="20"/>
          <w:lang w:val="pt-BR"/>
        </w:rPr>
        <w:t xml:space="preserve"> de</w:t>
      </w:r>
      <w:r w:rsidR="00827109" w:rsidRPr="0038442F">
        <w:rPr>
          <w:rFonts w:ascii="Verdana" w:hAnsi="Verdana"/>
          <w:sz w:val="20"/>
          <w:szCs w:val="20"/>
          <w:lang w:val="pt-BR"/>
        </w:rPr>
        <w:t>sses</w:t>
      </w:r>
      <w:r w:rsidR="00826AB8" w:rsidRPr="0038442F">
        <w:rPr>
          <w:rFonts w:ascii="Verdana" w:hAnsi="Verdana"/>
          <w:sz w:val="20"/>
          <w:szCs w:val="20"/>
          <w:lang w:val="pt-BR"/>
        </w:rPr>
        <w:t xml:space="preserve"> </w:t>
      </w:r>
      <w:r w:rsidR="007E33FB" w:rsidRPr="0038442F">
        <w:rPr>
          <w:rFonts w:ascii="Verdana" w:hAnsi="Verdana"/>
          <w:sz w:val="20"/>
          <w:szCs w:val="20"/>
          <w:lang w:val="pt-BR"/>
        </w:rPr>
        <w:t>grupos, co</w:t>
      </w:r>
      <w:r w:rsidR="00827109" w:rsidRPr="0038442F">
        <w:rPr>
          <w:rFonts w:ascii="Verdana" w:hAnsi="Verdana"/>
          <w:sz w:val="20"/>
          <w:szCs w:val="20"/>
          <w:lang w:val="pt-BR"/>
        </w:rPr>
        <w:t xml:space="preserve">m o objetivo </w:t>
      </w:r>
      <w:r w:rsidR="00826AB8" w:rsidRPr="0038442F">
        <w:rPr>
          <w:rFonts w:ascii="Verdana" w:hAnsi="Verdana"/>
          <w:sz w:val="20"/>
          <w:szCs w:val="20"/>
          <w:lang w:val="pt-BR"/>
        </w:rPr>
        <w:t xml:space="preserve">de permitir que </w:t>
      </w:r>
      <w:r w:rsidR="00827109" w:rsidRPr="0038442F">
        <w:rPr>
          <w:rFonts w:ascii="Verdana" w:hAnsi="Verdana"/>
          <w:sz w:val="20"/>
          <w:szCs w:val="20"/>
          <w:lang w:val="pt-BR"/>
        </w:rPr>
        <w:t xml:space="preserve">saiam da </w:t>
      </w:r>
      <w:r w:rsidR="007E33FB" w:rsidRPr="0038442F">
        <w:rPr>
          <w:rFonts w:ascii="Verdana" w:hAnsi="Verdana"/>
          <w:sz w:val="20"/>
          <w:szCs w:val="20"/>
          <w:lang w:val="pt-BR"/>
        </w:rPr>
        <w:t>situa</w:t>
      </w:r>
      <w:r w:rsidR="000A1AA8" w:rsidRPr="0038442F">
        <w:rPr>
          <w:rFonts w:ascii="Verdana" w:hAnsi="Verdana"/>
          <w:sz w:val="20"/>
          <w:szCs w:val="20"/>
          <w:lang w:val="pt-BR"/>
        </w:rPr>
        <w:t>ção</w:t>
      </w:r>
      <w:r w:rsidR="00826AB8" w:rsidRPr="0038442F">
        <w:rPr>
          <w:rFonts w:ascii="Verdana" w:hAnsi="Verdana"/>
          <w:sz w:val="20"/>
          <w:szCs w:val="20"/>
          <w:lang w:val="pt-BR"/>
        </w:rPr>
        <w:t xml:space="preserve"> de </w:t>
      </w:r>
      <w:r w:rsidR="00C76C5C" w:rsidRPr="0038442F">
        <w:rPr>
          <w:rFonts w:ascii="Verdana" w:hAnsi="Verdana"/>
          <w:sz w:val="20"/>
          <w:szCs w:val="20"/>
          <w:lang w:val="pt-BR"/>
        </w:rPr>
        <w:t>marginalização</w:t>
      </w:r>
      <w:r w:rsidR="00D71E3C" w:rsidRPr="0038442F">
        <w:rPr>
          <w:rFonts w:ascii="Verdana" w:hAnsi="Verdana"/>
          <w:sz w:val="20"/>
          <w:szCs w:val="20"/>
          <w:lang w:val="pt-BR"/>
        </w:rPr>
        <w:t>.</w:t>
      </w:r>
      <w:r w:rsidR="00826AB8" w:rsidRPr="0038442F">
        <w:rPr>
          <w:rFonts w:ascii="Verdana" w:hAnsi="Verdana"/>
          <w:sz w:val="20"/>
          <w:szCs w:val="20"/>
          <w:lang w:val="pt-BR"/>
        </w:rPr>
        <w:t xml:space="preserve"> </w:t>
      </w:r>
      <w:r w:rsidR="00827109" w:rsidRPr="0038442F">
        <w:rPr>
          <w:rFonts w:ascii="Verdana" w:hAnsi="Verdana"/>
          <w:sz w:val="20"/>
          <w:szCs w:val="20"/>
          <w:lang w:val="pt-BR"/>
        </w:rPr>
        <w:t xml:space="preserve">Essa </w:t>
      </w:r>
      <w:r w:rsidR="007E33FB" w:rsidRPr="0038442F">
        <w:rPr>
          <w:rFonts w:ascii="Verdana" w:hAnsi="Verdana"/>
          <w:sz w:val="20"/>
          <w:szCs w:val="20"/>
          <w:lang w:val="pt-BR"/>
        </w:rPr>
        <w:t>concep</w:t>
      </w:r>
      <w:r w:rsidR="000A1AA8" w:rsidRPr="0038442F">
        <w:rPr>
          <w:rFonts w:ascii="Verdana" w:hAnsi="Verdana"/>
          <w:sz w:val="20"/>
          <w:szCs w:val="20"/>
          <w:lang w:val="pt-BR"/>
        </w:rPr>
        <w:t>ção</w:t>
      </w:r>
      <w:r w:rsidR="00826AB8"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826AB8" w:rsidRPr="0038442F">
        <w:rPr>
          <w:rFonts w:ascii="Verdana" w:hAnsi="Verdana"/>
          <w:sz w:val="20"/>
          <w:szCs w:val="20"/>
          <w:lang w:val="pt-BR"/>
        </w:rPr>
        <w:t>demanda d</w:t>
      </w:r>
      <w:r w:rsidR="000A1AA8" w:rsidRPr="0038442F">
        <w:rPr>
          <w:rFonts w:ascii="Verdana" w:hAnsi="Verdana"/>
          <w:sz w:val="20"/>
          <w:szCs w:val="20"/>
          <w:lang w:val="pt-BR"/>
        </w:rPr>
        <w:t xml:space="preserve">o Estado </w:t>
      </w:r>
      <w:r w:rsidR="00826AB8" w:rsidRPr="0038442F">
        <w:rPr>
          <w:rFonts w:ascii="Verdana" w:hAnsi="Verdana"/>
          <w:sz w:val="20"/>
          <w:szCs w:val="20"/>
          <w:lang w:val="pt-BR"/>
        </w:rPr>
        <w:t>n</w:t>
      </w:r>
      <w:r w:rsidR="00827109" w:rsidRPr="0038442F">
        <w:rPr>
          <w:rFonts w:ascii="Verdana" w:hAnsi="Verdana"/>
          <w:sz w:val="20"/>
          <w:szCs w:val="20"/>
          <w:lang w:val="pt-BR"/>
        </w:rPr>
        <w:t>ã</w:t>
      </w:r>
      <w:r w:rsidR="00826AB8" w:rsidRPr="0038442F">
        <w:rPr>
          <w:rFonts w:ascii="Verdana" w:hAnsi="Verdana"/>
          <w:sz w:val="20"/>
          <w:szCs w:val="20"/>
          <w:lang w:val="pt-BR"/>
        </w:rPr>
        <w:t xml:space="preserve">o somente </w:t>
      </w:r>
      <w:r w:rsidR="00827109" w:rsidRPr="0038442F">
        <w:rPr>
          <w:rFonts w:ascii="Verdana" w:hAnsi="Verdana"/>
          <w:sz w:val="20"/>
          <w:szCs w:val="20"/>
          <w:lang w:val="pt-BR"/>
        </w:rPr>
        <w:t xml:space="preserve">que ele se abstenha </w:t>
      </w:r>
      <w:r w:rsidR="00826AB8" w:rsidRPr="0038442F">
        <w:rPr>
          <w:rFonts w:ascii="Verdana" w:hAnsi="Verdana"/>
          <w:sz w:val="20"/>
          <w:szCs w:val="20"/>
          <w:lang w:val="pt-BR"/>
        </w:rPr>
        <w:t xml:space="preserve">de realizar </w:t>
      </w:r>
      <w:r w:rsidR="006A12FD" w:rsidRPr="0038442F">
        <w:rPr>
          <w:rFonts w:ascii="Verdana" w:hAnsi="Verdana"/>
          <w:sz w:val="20"/>
          <w:szCs w:val="20"/>
          <w:lang w:val="pt-BR"/>
        </w:rPr>
        <w:t>ações</w:t>
      </w:r>
      <w:r w:rsidR="00407242" w:rsidRPr="0038442F">
        <w:rPr>
          <w:rFonts w:ascii="Verdana" w:hAnsi="Verdana"/>
          <w:sz w:val="20"/>
          <w:szCs w:val="20"/>
          <w:lang w:val="pt-BR"/>
        </w:rPr>
        <w:t xml:space="preserve"> </w:t>
      </w:r>
      <w:r w:rsidR="00826AB8" w:rsidRPr="0038442F">
        <w:rPr>
          <w:rFonts w:ascii="Verdana" w:hAnsi="Verdana"/>
          <w:sz w:val="20"/>
          <w:szCs w:val="20"/>
          <w:lang w:val="pt-BR"/>
        </w:rPr>
        <w:t xml:space="preserve">que </w:t>
      </w:r>
      <w:r w:rsidR="00827109" w:rsidRPr="0038442F">
        <w:rPr>
          <w:rFonts w:ascii="Verdana" w:hAnsi="Verdana"/>
          <w:sz w:val="20"/>
          <w:szCs w:val="20"/>
          <w:lang w:val="pt-BR"/>
        </w:rPr>
        <w:t xml:space="preserve">aprofundem a </w:t>
      </w:r>
      <w:r w:rsidR="00C76C5C" w:rsidRPr="0038442F">
        <w:rPr>
          <w:rFonts w:ascii="Verdana" w:hAnsi="Verdana"/>
          <w:sz w:val="20"/>
          <w:szCs w:val="20"/>
          <w:lang w:val="pt-BR"/>
        </w:rPr>
        <w:t>marginalização</w:t>
      </w:r>
      <w:r w:rsidR="00407242" w:rsidRPr="0038442F">
        <w:rPr>
          <w:rFonts w:ascii="Verdana" w:hAnsi="Verdana"/>
          <w:sz w:val="20"/>
          <w:szCs w:val="20"/>
          <w:lang w:val="pt-BR"/>
        </w:rPr>
        <w:t xml:space="preserve"> </w:t>
      </w:r>
      <w:r w:rsidR="00826AB8" w:rsidRPr="0038442F">
        <w:rPr>
          <w:rFonts w:ascii="Verdana" w:hAnsi="Verdana"/>
          <w:sz w:val="20"/>
          <w:szCs w:val="20"/>
          <w:lang w:val="pt-BR"/>
        </w:rPr>
        <w:t>de</w:t>
      </w:r>
      <w:r w:rsidR="00827109" w:rsidRPr="0038442F">
        <w:rPr>
          <w:rFonts w:ascii="Verdana" w:hAnsi="Verdana"/>
          <w:sz w:val="20"/>
          <w:szCs w:val="20"/>
          <w:lang w:val="pt-BR"/>
        </w:rPr>
        <w:t>sses</w:t>
      </w:r>
      <w:r w:rsidR="00826AB8" w:rsidRPr="0038442F">
        <w:rPr>
          <w:rFonts w:ascii="Verdana" w:hAnsi="Verdana"/>
          <w:sz w:val="20"/>
          <w:szCs w:val="20"/>
          <w:lang w:val="pt-BR"/>
        </w:rPr>
        <w:t xml:space="preserve"> grupos, </w:t>
      </w:r>
      <w:r w:rsidR="00827109" w:rsidRPr="0038442F">
        <w:rPr>
          <w:rFonts w:ascii="Verdana" w:hAnsi="Verdana"/>
          <w:sz w:val="20"/>
          <w:szCs w:val="20"/>
          <w:lang w:val="pt-BR"/>
        </w:rPr>
        <w:t xml:space="preserve">mas que revise </w:t>
      </w:r>
      <w:r w:rsidR="00826AB8" w:rsidRPr="0038442F">
        <w:rPr>
          <w:rFonts w:ascii="Verdana" w:hAnsi="Verdana"/>
          <w:sz w:val="20"/>
          <w:szCs w:val="20"/>
          <w:lang w:val="pt-BR"/>
        </w:rPr>
        <w:t xml:space="preserve">normas que </w:t>
      </w:r>
      <w:r w:rsidR="005B55A8" w:rsidRPr="0038442F">
        <w:rPr>
          <w:rFonts w:ascii="Verdana" w:hAnsi="Verdana"/>
          <w:sz w:val="20"/>
          <w:szCs w:val="20"/>
          <w:lang w:val="pt-BR"/>
        </w:rPr>
        <w:t>são</w:t>
      </w:r>
      <w:r w:rsidR="00407242" w:rsidRPr="0038442F">
        <w:rPr>
          <w:rFonts w:ascii="Verdana" w:hAnsi="Verdana"/>
          <w:sz w:val="20"/>
          <w:szCs w:val="20"/>
          <w:lang w:val="pt-BR"/>
        </w:rPr>
        <w:t xml:space="preserve"> </w:t>
      </w:r>
      <w:r w:rsidR="00827109" w:rsidRPr="0038442F">
        <w:rPr>
          <w:rFonts w:ascii="Verdana" w:hAnsi="Verdana"/>
          <w:sz w:val="20"/>
          <w:szCs w:val="20"/>
          <w:lang w:val="pt-BR"/>
        </w:rPr>
        <w:t xml:space="preserve">aparentemente neutras, mas que têm </w:t>
      </w:r>
      <w:r w:rsidR="00826AB8" w:rsidRPr="0038442F">
        <w:rPr>
          <w:rFonts w:ascii="Verdana" w:hAnsi="Verdana"/>
          <w:sz w:val="20"/>
          <w:szCs w:val="20"/>
          <w:lang w:val="pt-BR"/>
        </w:rPr>
        <w:t xml:space="preserve">impacto </w:t>
      </w:r>
      <w:r w:rsidR="005B55A8" w:rsidRPr="0038442F">
        <w:rPr>
          <w:rFonts w:ascii="Verdana" w:hAnsi="Verdana"/>
          <w:sz w:val="20"/>
          <w:szCs w:val="20"/>
          <w:lang w:val="pt-BR"/>
        </w:rPr>
        <w:t>discriminatório</w:t>
      </w:r>
      <w:r w:rsidR="00407242" w:rsidRPr="0038442F">
        <w:rPr>
          <w:rFonts w:ascii="Verdana" w:hAnsi="Verdana"/>
          <w:sz w:val="20"/>
          <w:szCs w:val="20"/>
          <w:lang w:val="pt-BR"/>
        </w:rPr>
        <w:t xml:space="preserve"> </w:t>
      </w:r>
      <w:r w:rsidR="00826AB8" w:rsidRPr="0038442F">
        <w:rPr>
          <w:rFonts w:ascii="Verdana" w:hAnsi="Verdana"/>
          <w:sz w:val="20"/>
          <w:szCs w:val="20"/>
          <w:lang w:val="pt-BR"/>
        </w:rPr>
        <w:t>sobre os grupos e</w:t>
      </w:r>
      <w:r w:rsidR="00827109" w:rsidRPr="0038442F">
        <w:rPr>
          <w:rFonts w:ascii="Verdana" w:hAnsi="Verdana"/>
          <w:sz w:val="20"/>
          <w:szCs w:val="20"/>
          <w:lang w:val="pt-BR"/>
        </w:rPr>
        <w:t>m</w:t>
      </w:r>
      <w:r w:rsidR="00826AB8" w:rsidRPr="0038442F">
        <w:rPr>
          <w:rFonts w:ascii="Verdana" w:hAnsi="Verdana"/>
          <w:sz w:val="20"/>
          <w:szCs w:val="20"/>
          <w:lang w:val="pt-BR"/>
        </w:rPr>
        <w:t xml:space="preserve"> </w:t>
      </w:r>
      <w:r w:rsidR="007E33FB" w:rsidRPr="0038442F">
        <w:rPr>
          <w:rFonts w:ascii="Verdana" w:hAnsi="Verdana"/>
          <w:sz w:val="20"/>
          <w:szCs w:val="20"/>
          <w:lang w:val="pt-BR"/>
        </w:rPr>
        <w:t>situa</w:t>
      </w:r>
      <w:r w:rsidR="000A1AA8" w:rsidRPr="0038442F">
        <w:rPr>
          <w:rFonts w:ascii="Verdana" w:hAnsi="Verdana"/>
          <w:sz w:val="20"/>
          <w:szCs w:val="20"/>
          <w:lang w:val="pt-BR"/>
        </w:rPr>
        <w:t>ção</w:t>
      </w:r>
      <w:r w:rsidR="00826AB8" w:rsidRPr="0038442F">
        <w:rPr>
          <w:rFonts w:ascii="Verdana" w:hAnsi="Verdana"/>
          <w:sz w:val="20"/>
          <w:szCs w:val="20"/>
          <w:lang w:val="pt-BR"/>
        </w:rPr>
        <w:t xml:space="preserve"> de </w:t>
      </w:r>
      <w:r w:rsidR="00BF7A10" w:rsidRPr="0038442F">
        <w:rPr>
          <w:rFonts w:ascii="Verdana" w:hAnsi="Verdana"/>
          <w:sz w:val="20"/>
          <w:szCs w:val="20"/>
          <w:lang w:val="pt-BR"/>
        </w:rPr>
        <w:t>exclusão</w:t>
      </w:r>
      <w:r w:rsidR="00826AB8" w:rsidRPr="0038442F">
        <w:rPr>
          <w:rFonts w:ascii="Verdana" w:hAnsi="Verdana"/>
          <w:sz w:val="20"/>
          <w:szCs w:val="20"/>
          <w:lang w:val="pt-BR"/>
        </w:rPr>
        <w:t xml:space="preserve">, </w:t>
      </w:r>
      <w:r w:rsidR="00827109" w:rsidRPr="0038442F">
        <w:rPr>
          <w:rFonts w:ascii="Verdana" w:hAnsi="Verdana"/>
          <w:sz w:val="20"/>
          <w:szCs w:val="20"/>
          <w:lang w:val="pt-BR"/>
        </w:rPr>
        <w:t xml:space="preserve">e, além disso, </w:t>
      </w:r>
      <w:r w:rsidR="00C92762" w:rsidRPr="0038442F">
        <w:rPr>
          <w:rFonts w:ascii="Verdana" w:hAnsi="Verdana"/>
          <w:sz w:val="20"/>
          <w:szCs w:val="20"/>
          <w:lang w:val="pt-BR"/>
        </w:rPr>
        <w:t>adotar</w:t>
      </w:r>
      <w:r w:rsidR="00407242" w:rsidRPr="0038442F">
        <w:rPr>
          <w:rFonts w:ascii="Verdana" w:hAnsi="Verdana"/>
          <w:sz w:val="20"/>
          <w:szCs w:val="20"/>
          <w:lang w:val="pt-BR"/>
        </w:rPr>
        <w:t xml:space="preserve"> </w:t>
      </w:r>
      <w:r w:rsidR="00826AB8" w:rsidRPr="0038442F">
        <w:rPr>
          <w:rFonts w:ascii="Verdana" w:hAnsi="Verdana"/>
          <w:sz w:val="20"/>
          <w:szCs w:val="20"/>
          <w:lang w:val="pt-BR"/>
        </w:rPr>
        <w:t>medidas positivas para favorecer su</w:t>
      </w:r>
      <w:r w:rsidR="00827109" w:rsidRPr="0038442F">
        <w:rPr>
          <w:rFonts w:ascii="Verdana" w:hAnsi="Verdana"/>
          <w:sz w:val="20"/>
          <w:szCs w:val="20"/>
          <w:lang w:val="pt-BR"/>
        </w:rPr>
        <w:t>a</w:t>
      </w:r>
      <w:r w:rsidR="00826AB8" w:rsidRPr="0038442F">
        <w:rPr>
          <w:rFonts w:ascii="Verdana" w:hAnsi="Verdana"/>
          <w:sz w:val="20"/>
          <w:szCs w:val="20"/>
          <w:lang w:val="pt-BR"/>
        </w:rPr>
        <w:t xml:space="preserve"> </w:t>
      </w:r>
      <w:r w:rsidR="007E33FB" w:rsidRPr="0038442F">
        <w:rPr>
          <w:rFonts w:ascii="Verdana" w:hAnsi="Verdana"/>
          <w:sz w:val="20"/>
          <w:szCs w:val="20"/>
          <w:lang w:val="pt-BR"/>
        </w:rPr>
        <w:t>integra</w:t>
      </w:r>
      <w:r w:rsidR="000A1AA8" w:rsidRPr="0038442F">
        <w:rPr>
          <w:rFonts w:ascii="Verdana" w:hAnsi="Verdana"/>
          <w:sz w:val="20"/>
          <w:szCs w:val="20"/>
          <w:lang w:val="pt-BR"/>
        </w:rPr>
        <w:t>ção</w:t>
      </w:r>
      <w:r w:rsidR="00826AB8" w:rsidRPr="0038442F">
        <w:rPr>
          <w:rFonts w:ascii="Verdana" w:hAnsi="Verdana"/>
          <w:sz w:val="20"/>
          <w:szCs w:val="20"/>
          <w:lang w:val="pt-BR"/>
        </w:rPr>
        <w:t xml:space="preserve"> </w:t>
      </w:r>
      <w:r w:rsidR="00827109" w:rsidRPr="0038442F">
        <w:rPr>
          <w:rFonts w:ascii="Verdana" w:hAnsi="Verdana"/>
          <w:sz w:val="20"/>
          <w:szCs w:val="20"/>
          <w:lang w:val="pt-BR"/>
        </w:rPr>
        <w:t xml:space="preserve">à </w:t>
      </w:r>
      <w:r w:rsidR="006445EE" w:rsidRPr="0038442F">
        <w:rPr>
          <w:rFonts w:ascii="Verdana" w:hAnsi="Verdana"/>
          <w:sz w:val="20"/>
          <w:szCs w:val="20"/>
          <w:lang w:val="pt-BR"/>
        </w:rPr>
        <w:t>sociedade</w:t>
      </w:r>
      <w:r w:rsidR="00407242" w:rsidRPr="0038442F">
        <w:rPr>
          <w:rFonts w:ascii="Verdana" w:hAnsi="Verdana"/>
          <w:sz w:val="20"/>
          <w:szCs w:val="20"/>
          <w:lang w:val="pt-BR"/>
        </w:rPr>
        <w:t xml:space="preserve"> </w:t>
      </w:r>
      <w:r w:rsidR="00827109" w:rsidRPr="0038442F">
        <w:rPr>
          <w:rFonts w:ascii="Verdana" w:hAnsi="Verdana"/>
          <w:sz w:val="20"/>
          <w:szCs w:val="20"/>
          <w:lang w:val="pt-BR"/>
        </w:rPr>
        <w:t xml:space="preserve">e seu </w:t>
      </w:r>
      <w:r w:rsidR="00BB665E" w:rsidRPr="0038442F">
        <w:rPr>
          <w:rFonts w:ascii="Verdana" w:hAnsi="Verdana"/>
          <w:sz w:val="20"/>
          <w:szCs w:val="20"/>
          <w:lang w:val="pt-BR"/>
        </w:rPr>
        <w:t>acesso</w:t>
      </w:r>
      <w:r w:rsidR="00407242" w:rsidRPr="0038442F">
        <w:rPr>
          <w:rFonts w:ascii="Verdana" w:hAnsi="Verdana"/>
          <w:sz w:val="20"/>
          <w:szCs w:val="20"/>
          <w:lang w:val="pt-BR"/>
        </w:rPr>
        <w:t xml:space="preserve"> </w:t>
      </w:r>
      <w:r w:rsidR="00826AB8" w:rsidRPr="0038442F">
        <w:rPr>
          <w:rFonts w:ascii="Verdana" w:hAnsi="Verdana"/>
          <w:sz w:val="20"/>
          <w:szCs w:val="20"/>
          <w:lang w:val="pt-BR"/>
        </w:rPr>
        <w:t>a bens soci</w:t>
      </w:r>
      <w:r w:rsidR="00C92762" w:rsidRPr="0038442F">
        <w:rPr>
          <w:rFonts w:ascii="Verdana" w:hAnsi="Verdana"/>
          <w:sz w:val="20"/>
          <w:szCs w:val="20"/>
          <w:lang w:val="pt-BR"/>
        </w:rPr>
        <w:t>ais</w:t>
      </w:r>
      <w:r w:rsidR="00827109" w:rsidRPr="0038442F">
        <w:rPr>
          <w:rFonts w:ascii="Verdana" w:hAnsi="Verdana"/>
          <w:sz w:val="20"/>
          <w:szCs w:val="20"/>
          <w:lang w:val="pt-BR"/>
        </w:rPr>
        <w:t>.</w:t>
      </w:r>
      <w:r w:rsidR="00826AB8" w:rsidRPr="0038442F">
        <w:rPr>
          <w:rStyle w:val="Refdenotaalpie"/>
          <w:rFonts w:ascii="Verdana" w:hAnsi="Verdana"/>
          <w:sz w:val="20"/>
          <w:szCs w:val="20"/>
          <w:lang w:val="pt-BR"/>
        </w:rPr>
        <w:footnoteReference w:id="164"/>
      </w:r>
      <w:r w:rsidR="00826AB8" w:rsidRPr="0038442F">
        <w:rPr>
          <w:rFonts w:ascii="Verdana" w:hAnsi="Verdana"/>
          <w:sz w:val="20"/>
          <w:szCs w:val="20"/>
          <w:lang w:val="pt-BR"/>
        </w:rPr>
        <w:t xml:space="preserve"> </w:t>
      </w:r>
      <w:r w:rsidR="00827109" w:rsidRPr="0038442F">
        <w:rPr>
          <w:rFonts w:ascii="Verdana" w:hAnsi="Verdana"/>
          <w:sz w:val="20"/>
          <w:szCs w:val="20"/>
          <w:lang w:val="pt-BR"/>
        </w:rPr>
        <w:t xml:space="preserve">A ação do </w:t>
      </w:r>
      <w:r w:rsidR="00BB665E" w:rsidRPr="0038442F">
        <w:rPr>
          <w:rFonts w:ascii="Verdana" w:hAnsi="Verdana"/>
          <w:sz w:val="20"/>
          <w:szCs w:val="20"/>
          <w:lang w:val="pt-BR"/>
        </w:rPr>
        <w:t>Estado</w:t>
      </w:r>
      <w:r w:rsidR="00826AB8" w:rsidRPr="0038442F">
        <w:rPr>
          <w:rFonts w:ascii="Verdana" w:hAnsi="Verdana"/>
          <w:sz w:val="20"/>
          <w:szCs w:val="20"/>
          <w:lang w:val="pt-BR"/>
        </w:rPr>
        <w:t xml:space="preserve">, </w:t>
      </w:r>
      <w:r w:rsidR="00827109" w:rsidRPr="0038442F">
        <w:rPr>
          <w:rFonts w:ascii="Verdana" w:hAnsi="Verdana"/>
          <w:sz w:val="20"/>
          <w:szCs w:val="20"/>
          <w:lang w:val="pt-BR"/>
        </w:rPr>
        <w:t xml:space="preserve">então, estaria destinada a reverter as </w:t>
      </w:r>
      <w:r w:rsidR="00C61238" w:rsidRPr="0038442F">
        <w:rPr>
          <w:rFonts w:ascii="Verdana" w:hAnsi="Verdana"/>
          <w:sz w:val="20"/>
          <w:szCs w:val="20"/>
          <w:lang w:val="pt-BR"/>
        </w:rPr>
        <w:t>situa</w:t>
      </w:r>
      <w:r w:rsidR="000A1AA8" w:rsidRPr="0038442F">
        <w:rPr>
          <w:rFonts w:ascii="Verdana" w:hAnsi="Verdana"/>
          <w:sz w:val="20"/>
          <w:szCs w:val="20"/>
          <w:lang w:val="pt-BR"/>
        </w:rPr>
        <w:t>ções</w:t>
      </w:r>
      <w:r w:rsidR="00826AB8" w:rsidRPr="0038442F">
        <w:rPr>
          <w:rFonts w:ascii="Verdana" w:hAnsi="Verdana"/>
          <w:sz w:val="20"/>
          <w:szCs w:val="20"/>
          <w:lang w:val="pt-BR"/>
        </w:rPr>
        <w:t xml:space="preserve"> de desiguald</w:t>
      </w:r>
      <w:r w:rsidR="007E33FB" w:rsidRPr="0038442F">
        <w:rPr>
          <w:rFonts w:ascii="Verdana" w:hAnsi="Verdana"/>
          <w:sz w:val="20"/>
          <w:szCs w:val="20"/>
          <w:lang w:val="pt-BR"/>
        </w:rPr>
        <w:t>ad</w:t>
      </w:r>
      <w:r w:rsidR="00827109" w:rsidRPr="0038442F">
        <w:rPr>
          <w:rFonts w:ascii="Verdana" w:hAnsi="Verdana"/>
          <w:sz w:val="20"/>
          <w:szCs w:val="20"/>
          <w:lang w:val="pt-BR"/>
        </w:rPr>
        <w:t>e</w:t>
      </w:r>
      <w:r w:rsidR="00826AB8" w:rsidRPr="0038442F">
        <w:rPr>
          <w:rFonts w:ascii="Verdana" w:hAnsi="Verdana"/>
          <w:sz w:val="20"/>
          <w:szCs w:val="20"/>
          <w:lang w:val="pt-BR"/>
        </w:rPr>
        <w:t xml:space="preserve"> social </w:t>
      </w:r>
      <w:r w:rsidR="00C92762" w:rsidRPr="0038442F">
        <w:rPr>
          <w:rFonts w:ascii="Verdana" w:hAnsi="Verdana"/>
          <w:sz w:val="20"/>
          <w:szCs w:val="20"/>
          <w:lang w:val="pt-BR"/>
        </w:rPr>
        <w:t>das pessoas</w:t>
      </w:r>
      <w:r w:rsidR="00407242" w:rsidRPr="0038442F">
        <w:rPr>
          <w:rFonts w:ascii="Verdana" w:hAnsi="Verdana"/>
          <w:sz w:val="20"/>
          <w:szCs w:val="20"/>
          <w:lang w:val="pt-BR"/>
        </w:rPr>
        <w:t xml:space="preserve"> </w:t>
      </w:r>
      <w:r w:rsidR="00826AB8" w:rsidRPr="0038442F">
        <w:rPr>
          <w:rFonts w:ascii="Verdana" w:hAnsi="Verdana"/>
          <w:sz w:val="20"/>
          <w:szCs w:val="20"/>
          <w:lang w:val="pt-BR"/>
        </w:rPr>
        <w:t>o</w:t>
      </w:r>
      <w:r w:rsidR="00827109" w:rsidRPr="0038442F">
        <w:rPr>
          <w:rFonts w:ascii="Verdana" w:hAnsi="Verdana"/>
          <w:sz w:val="20"/>
          <w:szCs w:val="20"/>
          <w:lang w:val="pt-BR"/>
        </w:rPr>
        <w:t>u de</w:t>
      </w:r>
      <w:r w:rsidR="00407242" w:rsidRPr="0038442F">
        <w:rPr>
          <w:rFonts w:ascii="Verdana" w:hAnsi="Verdana"/>
          <w:sz w:val="20"/>
          <w:szCs w:val="20"/>
          <w:lang w:val="pt-BR"/>
        </w:rPr>
        <w:t xml:space="preserve"> </w:t>
      </w:r>
      <w:r w:rsidR="00BF7A10" w:rsidRPr="0038442F">
        <w:rPr>
          <w:rFonts w:ascii="Verdana" w:hAnsi="Verdana"/>
          <w:sz w:val="20"/>
          <w:szCs w:val="20"/>
          <w:lang w:val="pt-BR"/>
        </w:rPr>
        <w:t>alguns</w:t>
      </w:r>
      <w:r w:rsidR="00407242" w:rsidRPr="0038442F">
        <w:rPr>
          <w:rFonts w:ascii="Verdana" w:hAnsi="Verdana"/>
          <w:sz w:val="20"/>
          <w:szCs w:val="20"/>
          <w:lang w:val="pt-BR"/>
        </w:rPr>
        <w:t xml:space="preserve"> </w:t>
      </w:r>
      <w:r w:rsidR="00826AB8" w:rsidRPr="0038442F">
        <w:rPr>
          <w:rFonts w:ascii="Verdana" w:hAnsi="Verdana"/>
          <w:sz w:val="20"/>
          <w:szCs w:val="20"/>
          <w:lang w:val="pt-BR"/>
        </w:rPr>
        <w:t xml:space="preserve">grupos de </w:t>
      </w:r>
      <w:r w:rsidR="00C92762" w:rsidRPr="0038442F">
        <w:rPr>
          <w:rFonts w:ascii="Verdana" w:hAnsi="Verdana"/>
          <w:sz w:val="20"/>
          <w:szCs w:val="20"/>
          <w:lang w:val="pt-BR"/>
        </w:rPr>
        <w:t>pessoas</w:t>
      </w:r>
      <w:r w:rsidR="00826AB8" w:rsidRPr="0038442F">
        <w:rPr>
          <w:rFonts w:ascii="Verdana" w:hAnsi="Verdana"/>
          <w:sz w:val="20"/>
          <w:szCs w:val="20"/>
          <w:lang w:val="pt-BR"/>
        </w:rPr>
        <w:t xml:space="preserve">. </w:t>
      </w:r>
    </w:p>
    <w:p w14:paraId="166E1795" w14:textId="77777777" w:rsidR="00826AB8" w:rsidRPr="0038442F" w:rsidRDefault="00826AB8" w:rsidP="00A857CB">
      <w:pPr>
        <w:pStyle w:val="Prrafodelista"/>
        <w:spacing w:line="240" w:lineRule="auto"/>
        <w:rPr>
          <w:rFonts w:ascii="Verdana" w:hAnsi="Verdana" w:cs="System Font Regular"/>
          <w:sz w:val="20"/>
          <w:szCs w:val="20"/>
          <w:lang w:val="pt-BR"/>
        </w:rPr>
      </w:pPr>
    </w:p>
    <w:p w14:paraId="188B6275" w14:textId="1ECD3784" w:rsidR="00CF2A14" w:rsidRPr="0038442F" w:rsidRDefault="00D71E3C" w:rsidP="00D71E3C">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104. </w:t>
      </w:r>
      <w:r w:rsidRPr="0038442F">
        <w:rPr>
          <w:rFonts w:ascii="Verdana" w:hAnsi="Verdana" w:cs="System Font Regular"/>
          <w:sz w:val="20"/>
          <w:szCs w:val="20"/>
          <w:lang w:val="pt-BR"/>
        </w:rPr>
        <w:tab/>
      </w:r>
      <w:r w:rsidR="00292EED" w:rsidRPr="0038442F">
        <w:rPr>
          <w:rFonts w:ascii="Verdana" w:hAnsi="Verdana" w:cs="System Font Regular"/>
          <w:sz w:val="20"/>
          <w:szCs w:val="20"/>
          <w:lang w:val="pt-BR"/>
        </w:rPr>
        <w:t>O exposto pela</w:t>
      </w:r>
      <w:r w:rsidR="00407242" w:rsidRPr="0038442F">
        <w:rPr>
          <w:rFonts w:ascii="Verdana" w:hAnsi="Verdana" w:cs="System Font Regular"/>
          <w:sz w:val="20"/>
          <w:szCs w:val="20"/>
          <w:lang w:val="pt-BR"/>
        </w:rPr>
        <w:t xml:space="preserve"> </w:t>
      </w:r>
      <w:r w:rsidR="009C265B" w:rsidRPr="0038442F">
        <w:rPr>
          <w:rFonts w:ascii="Verdana" w:hAnsi="Verdana" w:cs="System Font Regular"/>
          <w:sz w:val="20"/>
          <w:szCs w:val="20"/>
          <w:lang w:val="pt-BR"/>
        </w:rPr>
        <w:t xml:space="preserve">Comissão </w:t>
      </w:r>
      <w:r w:rsidR="006666B6" w:rsidRPr="0038442F">
        <w:rPr>
          <w:rFonts w:ascii="Verdana" w:hAnsi="Verdana" w:cs="System Font Regular"/>
          <w:sz w:val="20"/>
          <w:szCs w:val="20"/>
          <w:lang w:val="pt-BR"/>
        </w:rPr>
        <w:t>Interamericana</w:t>
      </w:r>
      <w:r w:rsidR="00826AB8" w:rsidRPr="0038442F">
        <w:rPr>
          <w:rFonts w:ascii="Verdana" w:hAnsi="Verdana" w:cs="System Font Regular"/>
          <w:sz w:val="20"/>
          <w:szCs w:val="20"/>
          <w:lang w:val="pt-BR"/>
        </w:rPr>
        <w:t xml:space="preserve"> </w:t>
      </w:r>
      <w:r w:rsidR="00292EED" w:rsidRPr="0038442F">
        <w:rPr>
          <w:rFonts w:ascii="Verdana" w:hAnsi="Verdana" w:cs="System Font Regular"/>
          <w:sz w:val="20"/>
          <w:szCs w:val="20"/>
          <w:lang w:val="pt-BR"/>
        </w:rPr>
        <w:t xml:space="preserve">e pela doutrina </w:t>
      </w:r>
      <w:r w:rsidR="006666B6" w:rsidRPr="0038442F">
        <w:rPr>
          <w:rFonts w:ascii="Verdana" w:hAnsi="Verdana" w:cs="System Font Regular"/>
          <w:sz w:val="20"/>
          <w:szCs w:val="20"/>
          <w:lang w:val="pt-BR"/>
        </w:rPr>
        <w:t>coincide su</w:t>
      </w:r>
      <w:r w:rsidR="00292EED" w:rsidRPr="0038442F">
        <w:rPr>
          <w:rFonts w:ascii="Verdana" w:hAnsi="Verdana" w:cs="System Font Regular"/>
          <w:sz w:val="20"/>
          <w:szCs w:val="20"/>
          <w:lang w:val="pt-BR"/>
        </w:rPr>
        <w:t>b</w:t>
      </w:r>
      <w:r w:rsidR="006666B6" w:rsidRPr="0038442F">
        <w:rPr>
          <w:rFonts w:ascii="Verdana" w:hAnsi="Verdana" w:cs="System Font Regular"/>
          <w:sz w:val="20"/>
          <w:szCs w:val="20"/>
          <w:lang w:val="pt-BR"/>
        </w:rPr>
        <w:t>stancialmente co</w:t>
      </w:r>
      <w:r w:rsidR="00292EED" w:rsidRPr="0038442F">
        <w:rPr>
          <w:rFonts w:ascii="Verdana" w:hAnsi="Verdana" w:cs="System Font Regular"/>
          <w:sz w:val="20"/>
          <w:szCs w:val="20"/>
          <w:lang w:val="pt-BR"/>
        </w:rPr>
        <w:t xml:space="preserve">m os </w:t>
      </w:r>
      <w:r w:rsidR="00247F19" w:rsidRPr="0038442F">
        <w:rPr>
          <w:rFonts w:ascii="Verdana" w:hAnsi="Verdana" w:cs="System Font Regular"/>
          <w:sz w:val="20"/>
          <w:szCs w:val="20"/>
          <w:lang w:val="pt-BR"/>
        </w:rPr>
        <w:t>primeiros</w:t>
      </w:r>
      <w:r w:rsidR="006666B6" w:rsidRPr="0038442F">
        <w:rPr>
          <w:rFonts w:ascii="Verdana" w:hAnsi="Verdana" w:cs="System Font Regular"/>
          <w:sz w:val="20"/>
          <w:szCs w:val="20"/>
          <w:lang w:val="pt-BR"/>
        </w:rPr>
        <w:t xml:space="preserve"> des</w:t>
      </w:r>
      <w:r w:rsidR="00292EED" w:rsidRPr="0038442F">
        <w:rPr>
          <w:rFonts w:ascii="Verdana" w:hAnsi="Verdana" w:cs="System Font Regular"/>
          <w:sz w:val="20"/>
          <w:szCs w:val="20"/>
          <w:lang w:val="pt-BR"/>
        </w:rPr>
        <w:t xml:space="preserve">envolvimentos </w:t>
      </w:r>
      <w:r w:rsidR="006666B6" w:rsidRPr="0038442F">
        <w:rPr>
          <w:rFonts w:ascii="Verdana" w:hAnsi="Verdana" w:cs="System Font Regular"/>
          <w:sz w:val="20"/>
          <w:szCs w:val="20"/>
          <w:lang w:val="pt-BR"/>
        </w:rPr>
        <w:t>jurisprudenci</w:t>
      </w:r>
      <w:r w:rsidR="00C92762" w:rsidRPr="0038442F">
        <w:rPr>
          <w:rFonts w:ascii="Verdana" w:hAnsi="Verdana" w:cs="System Font Regular"/>
          <w:sz w:val="20"/>
          <w:szCs w:val="20"/>
          <w:lang w:val="pt-BR"/>
        </w:rPr>
        <w:t>ais</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6666B6" w:rsidRPr="0038442F">
        <w:rPr>
          <w:rFonts w:ascii="Verdana" w:hAnsi="Verdana" w:cs="System Font Regular"/>
          <w:sz w:val="20"/>
          <w:szCs w:val="20"/>
          <w:lang w:val="pt-BR"/>
        </w:rPr>
        <w:t>Corte I</w:t>
      </w:r>
      <w:r w:rsidRPr="0038442F">
        <w:rPr>
          <w:rFonts w:ascii="Verdana" w:hAnsi="Verdana" w:cs="System Font Regular"/>
          <w:sz w:val="20"/>
          <w:szCs w:val="20"/>
          <w:lang w:val="pt-BR"/>
        </w:rPr>
        <w:t>DH</w:t>
      </w:r>
      <w:r w:rsidR="006666B6" w:rsidRPr="0038442F">
        <w:rPr>
          <w:rFonts w:ascii="Verdana" w:hAnsi="Verdana" w:cs="System Font Regular"/>
          <w:sz w:val="20"/>
          <w:szCs w:val="20"/>
          <w:lang w:val="pt-BR"/>
        </w:rPr>
        <w:t xml:space="preserve">. </w:t>
      </w:r>
      <w:r w:rsidR="00292EED" w:rsidRPr="0038442F">
        <w:rPr>
          <w:rFonts w:ascii="Verdana" w:hAnsi="Verdana" w:cs="System Font Regular"/>
          <w:sz w:val="20"/>
          <w:szCs w:val="20"/>
          <w:lang w:val="pt-BR"/>
        </w:rPr>
        <w:t xml:space="preserve">No </w:t>
      </w:r>
      <w:r w:rsidR="00292EED" w:rsidRPr="0038442F">
        <w:rPr>
          <w:rFonts w:ascii="Verdana" w:hAnsi="Verdana" w:cs="System Font Regular"/>
          <w:i/>
          <w:sz w:val="20"/>
          <w:szCs w:val="20"/>
          <w:lang w:val="pt-BR"/>
        </w:rPr>
        <w:t xml:space="preserve">Caso </w:t>
      </w:r>
      <w:r w:rsidR="00FE62DE" w:rsidRPr="0038442F">
        <w:rPr>
          <w:rFonts w:ascii="Verdana" w:hAnsi="Verdana" w:cs="System Font Regular"/>
          <w:i/>
          <w:iCs/>
          <w:sz w:val="20"/>
          <w:szCs w:val="20"/>
          <w:lang w:val="pt-BR"/>
        </w:rPr>
        <w:t xml:space="preserve">Furlan </w:t>
      </w:r>
      <w:r w:rsidR="00292EED" w:rsidRPr="0038442F">
        <w:rPr>
          <w:rFonts w:ascii="Verdana" w:hAnsi="Verdana" w:cs="System Font Regular"/>
          <w:i/>
          <w:iCs/>
          <w:sz w:val="20"/>
          <w:szCs w:val="20"/>
          <w:lang w:val="pt-BR"/>
        </w:rPr>
        <w:t>e</w:t>
      </w:r>
      <w:r w:rsidR="00FE62DE" w:rsidRPr="0038442F">
        <w:rPr>
          <w:rFonts w:ascii="Verdana" w:hAnsi="Verdana" w:cs="System Font Regular"/>
          <w:i/>
          <w:iCs/>
          <w:sz w:val="20"/>
          <w:szCs w:val="20"/>
          <w:lang w:val="pt-BR"/>
        </w:rPr>
        <w:t xml:space="preserve"> </w:t>
      </w:r>
      <w:r w:rsidR="00BC6FC3" w:rsidRPr="0038442F">
        <w:rPr>
          <w:rFonts w:ascii="Verdana" w:hAnsi="Verdana" w:cs="System Font Regular"/>
          <w:i/>
          <w:iCs/>
          <w:sz w:val="20"/>
          <w:szCs w:val="20"/>
          <w:lang w:val="pt-BR"/>
        </w:rPr>
        <w:t>outros</w:t>
      </w:r>
      <w:r w:rsidR="00407242" w:rsidRPr="0038442F">
        <w:rPr>
          <w:rFonts w:ascii="Verdana" w:hAnsi="Verdana" w:cs="System Font Regular"/>
          <w:i/>
          <w:iCs/>
          <w:sz w:val="20"/>
          <w:szCs w:val="20"/>
          <w:lang w:val="pt-BR"/>
        </w:rPr>
        <w:t xml:space="preserve"> </w:t>
      </w:r>
      <w:r w:rsidR="00FE62DE" w:rsidRPr="0038442F">
        <w:rPr>
          <w:rFonts w:ascii="Verdana" w:hAnsi="Verdana" w:cs="System Font Regular"/>
          <w:i/>
          <w:iCs/>
          <w:sz w:val="20"/>
          <w:szCs w:val="20"/>
          <w:lang w:val="pt-BR"/>
        </w:rPr>
        <w:t>Vs. Argentina</w:t>
      </w:r>
      <w:r w:rsidR="007E04E5" w:rsidRPr="0038442F">
        <w:rPr>
          <w:rFonts w:ascii="Verdana" w:hAnsi="Verdana" w:cs="System Font Regular"/>
          <w:sz w:val="20"/>
          <w:szCs w:val="20"/>
          <w:lang w:val="pt-BR"/>
        </w:rPr>
        <w:t xml:space="preserve">, </w:t>
      </w:r>
      <w:r w:rsidR="00292EED" w:rsidRPr="0038442F">
        <w:rPr>
          <w:rFonts w:ascii="Verdana" w:hAnsi="Verdana" w:cs="System Font Regular"/>
          <w:sz w:val="20"/>
          <w:szCs w:val="20"/>
          <w:lang w:val="pt-BR"/>
        </w:rPr>
        <w:t>reconheceu</w:t>
      </w:r>
      <w:r w:rsidR="00407242" w:rsidRPr="0038442F">
        <w:rPr>
          <w:rFonts w:ascii="Verdana" w:hAnsi="Verdana" w:cs="System Font Regular"/>
          <w:sz w:val="20"/>
          <w:szCs w:val="20"/>
          <w:lang w:val="pt-BR"/>
        </w:rPr>
        <w:t xml:space="preserve"> </w:t>
      </w:r>
      <w:r w:rsidR="00FE62DE" w:rsidRPr="0038442F">
        <w:rPr>
          <w:rFonts w:ascii="Verdana" w:hAnsi="Verdana" w:cs="System Font Regular"/>
          <w:sz w:val="20"/>
          <w:szCs w:val="20"/>
          <w:lang w:val="pt-BR"/>
        </w:rPr>
        <w:t xml:space="preserve">que </w:t>
      </w:r>
      <w:r w:rsidR="00292EED" w:rsidRPr="0038442F">
        <w:rPr>
          <w:rFonts w:ascii="Verdana" w:hAnsi="Verdana" w:cs="System Font Regular"/>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292EED" w:rsidRPr="0038442F">
        <w:rPr>
          <w:rFonts w:ascii="Verdana" w:hAnsi="Verdana"/>
          <w:sz w:val="20"/>
          <w:szCs w:val="20"/>
          <w:lang w:val="pt-BR"/>
        </w:rPr>
        <w:t xml:space="preserve">à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5B55A8" w:rsidRPr="0038442F">
        <w:rPr>
          <w:rFonts w:ascii="Verdana" w:hAnsi="Verdana"/>
          <w:sz w:val="20"/>
          <w:szCs w:val="20"/>
          <w:lang w:val="pt-BR"/>
        </w:rPr>
        <w:t>e não discriminação</w:t>
      </w:r>
      <w:r w:rsidR="00407242" w:rsidRPr="0038442F">
        <w:rPr>
          <w:rFonts w:ascii="Verdana" w:hAnsi="Verdana"/>
          <w:sz w:val="20"/>
          <w:szCs w:val="20"/>
          <w:lang w:val="pt-BR"/>
        </w:rPr>
        <w:t xml:space="preserve"> </w:t>
      </w:r>
      <w:r w:rsidR="00292EED" w:rsidRPr="0038442F">
        <w:rPr>
          <w:rFonts w:ascii="Verdana" w:hAnsi="Verdana"/>
          <w:sz w:val="20"/>
          <w:szCs w:val="20"/>
          <w:lang w:val="pt-BR"/>
        </w:rPr>
        <w:t xml:space="preserve">abrange duas </w:t>
      </w:r>
      <w:r w:rsidR="00FE62DE" w:rsidRPr="0038442F">
        <w:rPr>
          <w:rFonts w:ascii="Verdana" w:hAnsi="Verdana"/>
          <w:sz w:val="20"/>
          <w:szCs w:val="20"/>
          <w:lang w:val="pt-BR"/>
        </w:rPr>
        <w:t>concep</w:t>
      </w:r>
      <w:r w:rsidR="000A1AA8" w:rsidRPr="0038442F">
        <w:rPr>
          <w:rFonts w:ascii="Verdana" w:hAnsi="Verdana"/>
          <w:sz w:val="20"/>
          <w:szCs w:val="20"/>
          <w:lang w:val="pt-BR"/>
        </w:rPr>
        <w:t>ções</w:t>
      </w:r>
      <w:r w:rsidR="00FE62DE" w:rsidRPr="0038442F">
        <w:rPr>
          <w:rFonts w:ascii="Verdana" w:hAnsi="Verdana"/>
          <w:sz w:val="20"/>
          <w:szCs w:val="20"/>
          <w:lang w:val="pt-BR"/>
        </w:rPr>
        <w:t xml:space="preserv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7E33FB" w:rsidRPr="0038442F">
        <w:rPr>
          <w:rFonts w:ascii="Verdana" w:hAnsi="Verdana"/>
          <w:sz w:val="20"/>
          <w:szCs w:val="20"/>
          <w:lang w:val="pt-BR"/>
        </w:rPr>
        <w:t>concep</w:t>
      </w:r>
      <w:r w:rsidR="000A1AA8" w:rsidRPr="0038442F">
        <w:rPr>
          <w:rFonts w:ascii="Verdana" w:hAnsi="Verdana"/>
          <w:sz w:val="20"/>
          <w:szCs w:val="20"/>
          <w:lang w:val="pt-BR"/>
        </w:rPr>
        <w:t>ção</w:t>
      </w:r>
      <w:r w:rsidR="00FE62DE" w:rsidRPr="0038442F">
        <w:rPr>
          <w:rFonts w:ascii="Verdana" w:hAnsi="Verdana"/>
          <w:sz w:val="20"/>
          <w:szCs w:val="20"/>
          <w:lang w:val="pt-BR"/>
        </w:rPr>
        <w:t xml:space="preserve"> negativa</w:t>
      </w:r>
      <w:r w:rsidR="005859C7" w:rsidRPr="0038442F">
        <w:rPr>
          <w:rFonts w:ascii="Verdana" w:hAnsi="Verdana"/>
          <w:sz w:val="20"/>
          <w:szCs w:val="20"/>
          <w:lang w:val="pt-BR"/>
        </w:rPr>
        <w:t>,</w:t>
      </w:r>
      <w:r w:rsidR="00FE62DE" w:rsidRPr="0038442F">
        <w:rPr>
          <w:rFonts w:ascii="Verdana" w:hAnsi="Verdana"/>
          <w:sz w:val="20"/>
          <w:szCs w:val="20"/>
          <w:lang w:val="pt-BR"/>
        </w:rPr>
        <w:t xml:space="preserve"> relacionada </w:t>
      </w:r>
      <w:r w:rsidR="00292EED" w:rsidRPr="0038442F">
        <w:rPr>
          <w:rFonts w:ascii="Verdana" w:hAnsi="Verdana"/>
          <w:sz w:val="20"/>
          <w:szCs w:val="20"/>
          <w:lang w:val="pt-BR"/>
        </w:rPr>
        <w:t xml:space="preserve">à </w:t>
      </w:r>
      <w:r w:rsidR="007E33FB" w:rsidRPr="0038442F">
        <w:rPr>
          <w:rFonts w:ascii="Verdana" w:hAnsi="Verdana"/>
          <w:sz w:val="20"/>
          <w:szCs w:val="20"/>
          <w:lang w:val="pt-BR"/>
        </w:rPr>
        <w:t>proibi</w:t>
      </w:r>
      <w:r w:rsidR="000A1AA8" w:rsidRPr="0038442F">
        <w:rPr>
          <w:rFonts w:ascii="Verdana" w:hAnsi="Verdana"/>
          <w:sz w:val="20"/>
          <w:szCs w:val="20"/>
          <w:lang w:val="pt-BR"/>
        </w:rPr>
        <w:t>ção</w:t>
      </w:r>
      <w:r w:rsidR="00FE62DE" w:rsidRPr="0038442F">
        <w:rPr>
          <w:rFonts w:ascii="Verdana" w:hAnsi="Verdana"/>
          <w:sz w:val="20"/>
          <w:szCs w:val="20"/>
          <w:lang w:val="pt-BR"/>
        </w:rPr>
        <w:t xml:space="preserve"> de diferen</w:t>
      </w:r>
      <w:r w:rsidR="00292EED" w:rsidRPr="0038442F">
        <w:rPr>
          <w:rFonts w:ascii="Verdana" w:hAnsi="Verdana"/>
          <w:sz w:val="20"/>
          <w:szCs w:val="20"/>
          <w:lang w:val="pt-BR"/>
        </w:rPr>
        <w:t>ç</w:t>
      </w:r>
      <w:r w:rsidR="00FE62DE" w:rsidRPr="0038442F">
        <w:rPr>
          <w:rFonts w:ascii="Verdana" w:hAnsi="Verdana"/>
          <w:sz w:val="20"/>
          <w:szCs w:val="20"/>
          <w:lang w:val="pt-BR"/>
        </w:rPr>
        <w:t xml:space="preserve">as de </w:t>
      </w:r>
      <w:r w:rsidR="00FC5589" w:rsidRPr="0038442F">
        <w:rPr>
          <w:rFonts w:ascii="Verdana" w:hAnsi="Verdana"/>
          <w:sz w:val="20"/>
          <w:szCs w:val="20"/>
          <w:lang w:val="pt-BR"/>
        </w:rPr>
        <w:t>tratamento</w:t>
      </w:r>
      <w:r w:rsidR="00407242" w:rsidRPr="0038442F">
        <w:rPr>
          <w:rFonts w:ascii="Verdana" w:hAnsi="Verdana"/>
          <w:sz w:val="20"/>
          <w:szCs w:val="20"/>
          <w:lang w:val="pt-BR"/>
        </w:rPr>
        <w:t xml:space="preserve"> </w:t>
      </w:r>
      <w:r w:rsidR="00292EED" w:rsidRPr="0038442F">
        <w:rPr>
          <w:rFonts w:ascii="Verdana" w:hAnsi="Verdana"/>
          <w:sz w:val="20"/>
          <w:szCs w:val="20"/>
          <w:lang w:val="pt-BR"/>
        </w:rPr>
        <w:t>arbitrárias</w:t>
      </w:r>
      <w:r w:rsidR="00FE62DE" w:rsidRPr="0038442F">
        <w:rPr>
          <w:rFonts w:ascii="Verdana" w:hAnsi="Verdana"/>
          <w:sz w:val="20"/>
          <w:szCs w:val="20"/>
          <w:lang w:val="pt-BR"/>
        </w:rPr>
        <w:t xml:space="preserve">, </w:t>
      </w:r>
      <w:r w:rsidR="00292EED" w:rsidRPr="0038442F">
        <w:rPr>
          <w:rFonts w:ascii="Verdana" w:hAnsi="Verdana"/>
          <w:sz w:val="20"/>
          <w:szCs w:val="20"/>
          <w:lang w:val="pt-BR"/>
        </w:rPr>
        <w:t>e</w:t>
      </w:r>
      <w:r w:rsidR="00FE62DE" w:rsidRPr="0038442F">
        <w:rPr>
          <w:rFonts w:ascii="Verdana" w:hAnsi="Verdana"/>
          <w:sz w:val="20"/>
          <w:szCs w:val="20"/>
          <w:lang w:val="pt-BR"/>
        </w:rPr>
        <w:t xml:space="preserv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C61238" w:rsidRPr="0038442F">
        <w:rPr>
          <w:rFonts w:ascii="Verdana" w:hAnsi="Verdana"/>
          <w:sz w:val="20"/>
          <w:szCs w:val="20"/>
          <w:lang w:val="pt-BR"/>
        </w:rPr>
        <w:t>concep</w:t>
      </w:r>
      <w:r w:rsidR="000A1AA8" w:rsidRPr="0038442F">
        <w:rPr>
          <w:rFonts w:ascii="Verdana" w:hAnsi="Verdana"/>
          <w:sz w:val="20"/>
          <w:szCs w:val="20"/>
          <w:lang w:val="pt-BR"/>
        </w:rPr>
        <w:t>ção</w:t>
      </w:r>
      <w:r w:rsidR="00FE62DE" w:rsidRPr="0038442F">
        <w:rPr>
          <w:rFonts w:ascii="Verdana" w:hAnsi="Verdana"/>
          <w:sz w:val="20"/>
          <w:szCs w:val="20"/>
          <w:lang w:val="pt-BR"/>
        </w:rPr>
        <w:t xml:space="preserve"> positiva</w:t>
      </w:r>
      <w:r w:rsidR="005859C7" w:rsidRPr="0038442F">
        <w:rPr>
          <w:rFonts w:ascii="Verdana" w:hAnsi="Verdana"/>
          <w:sz w:val="20"/>
          <w:szCs w:val="20"/>
          <w:lang w:val="pt-BR"/>
        </w:rPr>
        <w:t>,</w:t>
      </w:r>
      <w:r w:rsidR="00FE62DE" w:rsidRPr="0038442F">
        <w:rPr>
          <w:rFonts w:ascii="Verdana" w:hAnsi="Verdana"/>
          <w:sz w:val="20"/>
          <w:szCs w:val="20"/>
          <w:lang w:val="pt-BR"/>
        </w:rPr>
        <w:t xml:space="preserve"> relacionada </w:t>
      </w:r>
      <w:r w:rsidR="00292EED" w:rsidRPr="0038442F">
        <w:rPr>
          <w:rFonts w:ascii="Verdana" w:hAnsi="Verdana"/>
          <w:sz w:val="20"/>
          <w:szCs w:val="20"/>
          <w:lang w:val="pt-BR"/>
        </w:rPr>
        <w:t xml:space="preserve">à </w:t>
      </w:r>
      <w:r w:rsidR="005B55A8" w:rsidRPr="0038442F">
        <w:rPr>
          <w:rFonts w:ascii="Verdana" w:hAnsi="Verdana"/>
          <w:sz w:val="20"/>
          <w:szCs w:val="20"/>
          <w:lang w:val="pt-BR"/>
        </w:rPr>
        <w:t xml:space="preserve">obrigação </w:t>
      </w:r>
      <w:r w:rsidR="00C92762" w:rsidRPr="0038442F">
        <w:rPr>
          <w:rFonts w:ascii="Verdana" w:hAnsi="Verdana"/>
          <w:sz w:val="20"/>
          <w:szCs w:val="20"/>
          <w:lang w:val="pt-BR"/>
        </w:rPr>
        <w:t xml:space="preserve">dos </w:t>
      </w:r>
      <w:r w:rsidR="00FE62DE" w:rsidRPr="0038442F">
        <w:rPr>
          <w:rFonts w:ascii="Verdana" w:hAnsi="Verdana"/>
          <w:sz w:val="20"/>
          <w:szCs w:val="20"/>
          <w:lang w:val="pt-BR"/>
        </w:rPr>
        <w:t xml:space="preserve">Estados de </w:t>
      </w:r>
      <w:r w:rsidR="00292EED" w:rsidRPr="0038442F">
        <w:rPr>
          <w:rFonts w:ascii="Verdana" w:hAnsi="Verdana"/>
          <w:sz w:val="20"/>
          <w:szCs w:val="20"/>
          <w:lang w:val="pt-BR"/>
        </w:rPr>
        <w:t xml:space="preserve">criar </w:t>
      </w:r>
      <w:r w:rsidR="00FE62DE" w:rsidRPr="0038442F">
        <w:rPr>
          <w:rFonts w:ascii="Verdana" w:hAnsi="Verdana"/>
          <w:sz w:val="20"/>
          <w:szCs w:val="20"/>
          <w:lang w:val="pt-BR"/>
        </w:rPr>
        <w:t>condi</w:t>
      </w:r>
      <w:r w:rsidR="000A1AA8" w:rsidRPr="0038442F">
        <w:rPr>
          <w:rFonts w:ascii="Verdana" w:hAnsi="Verdana"/>
          <w:sz w:val="20"/>
          <w:szCs w:val="20"/>
          <w:lang w:val="pt-BR"/>
        </w:rPr>
        <w:t>ções</w:t>
      </w:r>
      <w:r w:rsidR="00FE62DE" w:rsidRPr="0038442F">
        <w:rPr>
          <w:rFonts w:ascii="Verdana" w:hAnsi="Verdana"/>
          <w:sz w:val="20"/>
          <w:szCs w:val="20"/>
          <w:lang w:val="pt-BR"/>
        </w:rPr>
        <w:t xml:space="preserve"> de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FE62DE" w:rsidRPr="0038442F">
        <w:rPr>
          <w:rFonts w:ascii="Verdana" w:hAnsi="Verdana"/>
          <w:sz w:val="20"/>
          <w:szCs w:val="20"/>
          <w:lang w:val="pt-BR"/>
        </w:rPr>
        <w:t xml:space="preserve">real frente a grupos que </w:t>
      </w:r>
      <w:r w:rsidR="00292EED" w:rsidRPr="0038442F">
        <w:rPr>
          <w:rFonts w:ascii="Verdana" w:hAnsi="Verdana"/>
          <w:sz w:val="20"/>
          <w:szCs w:val="20"/>
          <w:lang w:val="pt-BR"/>
        </w:rPr>
        <w:t xml:space="preserve">foram </w:t>
      </w:r>
      <w:r w:rsidR="007E33FB" w:rsidRPr="0038442F">
        <w:rPr>
          <w:rFonts w:ascii="Verdana" w:hAnsi="Verdana"/>
          <w:sz w:val="20"/>
          <w:szCs w:val="20"/>
          <w:lang w:val="pt-BR"/>
        </w:rPr>
        <w:t>hist</w:t>
      </w:r>
      <w:r w:rsidR="00292EED" w:rsidRPr="0038442F">
        <w:rPr>
          <w:rFonts w:ascii="Verdana" w:hAnsi="Verdana"/>
          <w:sz w:val="20"/>
          <w:szCs w:val="20"/>
          <w:lang w:val="pt-BR"/>
        </w:rPr>
        <w:t>o</w:t>
      </w:r>
      <w:r w:rsidR="007E33FB" w:rsidRPr="0038442F">
        <w:rPr>
          <w:rFonts w:ascii="Verdana" w:hAnsi="Verdana"/>
          <w:sz w:val="20"/>
          <w:szCs w:val="20"/>
          <w:lang w:val="pt-BR"/>
        </w:rPr>
        <w:t>ricamente</w:t>
      </w:r>
      <w:r w:rsidR="00FE62DE" w:rsidRPr="0038442F">
        <w:rPr>
          <w:rFonts w:ascii="Verdana" w:hAnsi="Verdana"/>
          <w:sz w:val="20"/>
          <w:szCs w:val="20"/>
          <w:lang w:val="pt-BR"/>
        </w:rPr>
        <w:t xml:space="preserve"> </w:t>
      </w:r>
      <w:r w:rsidR="00292EED" w:rsidRPr="0038442F">
        <w:rPr>
          <w:rFonts w:ascii="Verdana" w:hAnsi="Verdana"/>
          <w:sz w:val="20"/>
          <w:szCs w:val="20"/>
          <w:lang w:val="pt-BR"/>
        </w:rPr>
        <w:t>excluídos</w:t>
      </w:r>
      <w:r w:rsidR="00407242" w:rsidRPr="0038442F">
        <w:rPr>
          <w:rFonts w:ascii="Verdana" w:hAnsi="Verdana"/>
          <w:sz w:val="20"/>
          <w:szCs w:val="20"/>
          <w:lang w:val="pt-BR"/>
        </w:rPr>
        <w:t xml:space="preserve"> </w:t>
      </w:r>
      <w:r w:rsidR="00FE62DE" w:rsidRPr="0038442F">
        <w:rPr>
          <w:rFonts w:ascii="Verdana" w:hAnsi="Verdana"/>
          <w:sz w:val="20"/>
          <w:szCs w:val="20"/>
          <w:lang w:val="pt-BR"/>
        </w:rPr>
        <w:t>o</w:t>
      </w:r>
      <w:r w:rsidR="00292EED" w:rsidRPr="0038442F">
        <w:rPr>
          <w:rFonts w:ascii="Verdana" w:hAnsi="Verdana"/>
          <w:sz w:val="20"/>
          <w:szCs w:val="20"/>
          <w:lang w:val="pt-BR"/>
        </w:rPr>
        <w:t>u</w:t>
      </w:r>
      <w:r w:rsidR="00FE62DE" w:rsidRPr="0038442F">
        <w:rPr>
          <w:rFonts w:ascii="Verdana" w:hAnsi="Verdana"/>
          <w:sz w:val="20"/>
          <w:szCs w:val="20"/>
          <w:lang w:val="pt-BR"/>
        </w:rPr>
        <w:t xml:space="preserve"> que se </w:t>
      </w:r>
      <w:r w:rsidR="00BF7A10" w:rsidRPr="0038442F">
        <w:rPr>
          <w:rFonts w:ascii="Verdana" w:hAnsi="Verdana"/>
          <w:sz w:val="20"/>
          <w:szCs w:val="20"/>
          <w:lang w:val="pt-BR"/>
        </w:rPr>
        <w:t>encontram</w:t>
      </w:r>
      <w:r w:rsidR="00407242" w:rsidRPr="0038442F">
        <w:rPr>
          <w:rFonts w:ascii="Verdana" w:hAnsi="Verdana"/>
          <w:sz w:val="20"/>
          <w:szCs w:val="20"/>
          <w:lang w:val="pt-BR"/>
        </w:rPr>
        <w:t xml:space="preserve"> </w:t>
      </w:r>
      <w:r w:rsidR="00292EED" w:rsidRPr="0038442F">
        <w:rPr>
          <w:rFonts w:ascii="Verdana" w:hAnsi="Verdana"/>
          <w:sz w:val="20"/>
          <w:szCs w:val="20"/>
          <w:lang w:val="pt-BR"/>
        </w:rPr>
        <w:t xml:space="preserve">em maior </w:t>
      </w:r>
      <w:r w:rsidR="00BC6FC3" w:rsidRPr="0038442F">
        <w:rPr>
          <w:rFonts w:ascii="Verdana" w:hAnsi="Verdana"/>
          <w:sz w:val="20"/>
          <w:szCs w:val="20"/>
          <w:lang w:val="pt-BR"/>
        </w:rPr>
        <w:t>risco</w:t>
      </w:r>
      <w:r w:rsidR="00407242" w:rsidRPr="0038442F">
        <w:rPr>
          <w:rFonts w:ascii="Verdana" w:hAnsi="Verdana"/>
          <w:sz w:val="20"/>
          <w:szCs w:val="20"/>
          <w:lang w:val="pt-BR"/>
        </w:rPr>
        <w:t xml:space="preserve"> </w:t>
      </w:r>
      <w:r w:rsidR="00FE62DE" w:rsidRPr="0038442F">
        <w:rPr>
          <w:rFonts w:ascii="Verdana" w:hAnsi="Verdana"/>
          <w:sz w:val="20"/>
          <w:szCs w:val="20"/>
          <w:lang w:val="pt-BR"/>
        </w:rPr>
        <w:t>de ser discriminados</w:t>
      </w:r>
      <w:r w:rsidR="00292EED" w:rsidRPr="0038442F">
        <w:rPr>
          <w:rFonts w:ascii="Verdana" w:hAnsi="Verdana"/>
          <w:sz w:val="20"/>
          <w:szCs w:val="20"/>
          <w:lang w:val="pt-BR"/>
        </w:rPr>
        <w:t>.</w:t>
      </w:r>
      <w:r w:rsidR="00FE62DE" w:rsidRPr="0038442F">
        <w:rPr>
          <w:rStyle w:val="Refdenotaalpie"/>
          <w:rFonts w:ascii="Verdana" w:hAnsi="Verdana"/>
          <w:sz w:val="20"/>
          <w:szCs w:val="20"/>
          <w:lang w:val="pt-BR"/>
        </w:rPr>
        <w:footnoteReference w:id="165"/>
      </w:r>
      <w:r w:rsidR="00FE62DE" w:rsidRPr="0038442F">
        <w:rPr>
          <w:rFonts w:ascii="Verdana" w:hAnsi="Verdana"/>
          <w:sz w:val="20"/>
          <w:szCs w:val="20"/>
          <w:lang w:val="pt-BR"/>
        </w:rPr>
        <w:t xml:space="preserve"> </w:t>
      </w:r>
      <w:r w:rsidR="00292EED" w:rsidRPr="0038442F">
        <w:rPr>
          <w:rFonts w:ascii="Verdana" w:hAnsi="Verdana"/>
          <w:sz w:val="20"/>
          <w:szCs w:val="20"/>
          <w:lang w:val="pt-BR"/>
        </w:rPr>
        <w:t xml:space="preserve">No </w:t>
      </w:r>
      <w:r w:rsidR="00292EED" w:rsidRPr="0038442F">
        <w:rPr>
          <w:rFonts w:ascii="Verdana" w:hAnsi="Verdana"/>
          <w:i/>
          <w:sz w:val="20"/>
          <w:szCs w:val="20"/>
          <w:lang w:val="pt-BR"/>
        </w:rPr>
        <w:t xml:space="preserve">Caso </w:t>
      </w:r>
      <w:r w:rsidR="006666B6" w:rsidRPr="0038442F">
        <w:rPr>
          <w:rFonts w:ascii="Verdana" w:hAnsi="Verdana" w:cs="System Font Regular"/>
          <w:i/>
          <w:iCs/>
          <w:sz w:val="20"/>
          <w:szCs w:val="20"/>
          <w:lang w:val="pt-BR"/>
        </w:rPr>
        <w:t xml:space="preserve">YATAMA Vs. </w:t>
      </w:r>
      <w:r w:rsidR="00292EED" w:rsidRPr="0038442F">
        <w:rPr>
          <w:rFonts w:ascii="Verdana" w:hAnsi="Verdana" w:cs="System Font Regular"/>
          <w:i/>
          <w:iCs/>
          <w:sz w:val="20"/>
          <w:szCs w:val="20"/>
          <w:lang w:val="pt-BR"/>
        </w:rPr>
        <w:t>Nicarágua</w:t>
      </w:r>
      <w:r w:rsidR="006666B6" w:rsidRPr="0038442F">
        <w:rPr>
          <w:rFonts w:ascii="Verdana" w:hAnsi="Verdana" w:cs="System Font Regular"/>
          <w:sz w:val="20"/>
          <w:szCs w:val="20"/>
          <w:lang w:val="pt-BR"/>
        </w:rPr>
        <w:t xml:space="preserve">, </w:t>
      </w:r>
      <w:r w:rsidR="008806F8" w:rsidRPr="0038442F">
        <w:rPr>
          <w:rFonts w:ascii="Verdana" w:hAnsi="Verdana" w:cs="System Font Regular"/>
          <w:sz w:val="20"/>
          <w:szCs w:val="20"/>
          <w:lang w:val="pt-BR"/>
        </w:rPr>
        <w:t xml:space="preserve">a Corte </w:t>
      </w:r>
      <w:r w:rsidR="006666B6" w:rsidRPr="0038442F">
        <w:rPr>
          <w:rFonts w:ascii="Verdana" w:hAnsi="Verdana" w:cs="System Font Regular"/>
          <w:sz w:val="20"/>
          <w:szCs w:val="20"/>
          <w:lang w:val="pt-BR"/>
        </w:rPr>
        <w:t xml:space="preserve">IDH </w:t>
      </w:r>
      <w:r w:rsidR="00292EED" w:rsidRPr="0038442F">
        <w:rPr>
          <w:rFonts w:ascii="Verdana" w:hAnsi="Verdana" w:cs="System Font Regular"/>
          <w:sz w:val="20"/>
          <w:szCs w:val="20"/>
          <w:lang w:val="pt-BR"/>
        </w:rPr>
        <w:t xml:space="preserve">já havia salientado </w:t>
      </w:r>
      <w:r w:rsidR="006666B6" w:rsidRPr="0038442F">
        <w:rPr>
          <w:rFonts w:ascii="Verdana" w:hAnsi="Verdana" w:cs="System Font Regular"/>
          <w:sz w:val="20"/>
          <w:szCs w:val="20"/>
          <w:lang w:val="pt-BR"/>
        </w:rPr>
        <w:t xml:space="preserve">que, </w:t>
      </w:r>
      <w:r w:rsidR="00DE0E5E" w:rsidRPr="0038442F">
        <w:rPr>
          <w:rFonts w:ascii="Verdana" w:hAnsi="Verdana" w:cs="System Font Regular"/>
          <w:sz w:val="20"/>
          <w:szCs w:val="20"/>
          <w:lang w:val="pt-BR"/>
        </w:rPr>
        <w:t>“</w:t>
      </w:r>
      <w:r w:rsidR="003B374E" w:rsidRPr="0038442F">
        <w:rPr>
          <w:rFonts w:ascii="Verdana" w:hAnsi="Verdana"/>
          <w:sz w:val="20"/>
          <w:szCs w:val="20"/>
          <w:lang w:val="pt-BR"/>
        </w:rPr>
        <w:t xml:space="preserve">o artigo </w:t>
      </w:r>
      <w:r w:rsidR="006666B6" w:rsidRPr="0038442F">
        <w:rPr>
          <w:rFonts w:ascii="Verdana" w:hAnsi="Verdana"/>
          <w:sz w:val="20"/>
          <w:szCs w:val="20"/>
          <w:lang w:val="pt-BR"/>
        </w:rPr>
        <w:t xml:space="preserve">24 </w:t>
      </w:r>
      <w:r w:rsidR="00C92762" w:rsidRPr="0038442F">
        <w:rPr>
          <w:rFonts w:ascii="Verdana" w:hAnsi="Verdana"/>
          <w:sz w:val="20"/>
          <w:szCs w:val="20"/>
          <w:lang w:val="pt-BR"/>
        </w:rPr>
        <w:t xml:space="preserve">da </w:t>
      </w:r>
      <w:r w:rsidR="006666B6" w:rsidRPr="0038442F">
        <w:rPr>
          <w:rFonts w:ascii="Verdana" w:hAnsi="Verdana"/>
          <w:sz w:val="20"/>
          <w:szCs w:val="20"/>
          <w:lang w:val="pt-BR"/>
        </w:rPr>
        <w:t>Conven</w:t>
      </w:r>
      <w:r w:rsidR="000A1AA8" w:rsidRPr="0038442F">
        <w:rPr>
          <w:rFonts w:ascii="Verdana" w:hAnsi="Verdana"/>
          <w:sz w:val="20"/>
          <w:szCs w:val="20"/>
          <w:lang w:val="pt-BR"/>
        </w:rPr>
        <w:t>ção</w:t>
      </w:r>
      <w:r w:rsidR="006666B6" w:rsidRPr="0038442F">
        <w:rPr>
          <w:rFonts w:ascii="Verdana" w:hAnsi="Verdana"/>
          <w:sz w:val="20"/>
          <w:szCs w:val="20"/>
          <w:lang w:val="pt-BR"/>
        </w:rPr>
        <w:t xml:space="preserve"> Americana proíbe a discrimina</w:t>
      </w:r>
      <w:r w:rsidR="000A1AA8" w:rsidRPr="0038442F">
        <w:rPr>
          <w:rFonts w:ascii="Verdana" w:hAnsi="Verdana"/>
          <w:sz w:val="20"/>
          <w:szCs w:val="20"/>
          <w:lang w:val="pt-BR"/>
        </w:rPr>
        <w:t>ção</w:t>
      </w:r>
      <w:r w:rsidR="006666B6" w:rsidRPr="0038442F">
        <w:rPr>
          <w:rFonts w:ascii="Verdana" w:hAnsi="Verdana"/>
          <w:sz w:val="20"/>
          <w:szCs w:val="20"/>
          <w:lang w:val="pt-BR"/>
        </w:rPr>
        <w:t xml:space="preserve"> de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292EED" w:rsidRPr="0038442F">
        <w:rPr>
          <w:rFonts w:ascii="Verdana" w:hAnsi="Verdana"/>
          <w:sz w:val="20"/>
          <w:szCs w:val="20"/>
          <w:lang w:val="pt-BR"/>
        </w:rPr>
        <w:t>e</w:t>
      </w:r>
      <w:r w:rsidR="006666B6" w:rsidRPr="0038442F">
        <w:rPr>
          <w:rFonts w:ascii="Verdana" w:hAnsi="Verdana"/>
          <w:i/>
          <w:iCs/>
          <w:sz w:val="20"/>
          <w:szCs w:val="20"/>
          <w:lang w:val="pt-BR"/>
        </w:rPr>
        <w:t xml:space="preserve"> de </w:t>
      </w:r>
      <w:r w:rsidR="00F96746" w:rsidRPr="0038442F">
        <w:rPr>
          <w:rFonts w:ascii="Verdana" w:hAnsi="Verdana"/>
          <w:i/>
          <w:iCs/>
          <w:sz w:val="20"/>
          <w:szCs w:val="20"/>
          <w:lang w:val="pt-BR"/>
        </w:rPr>
        <w:t>fato</w:t>
      </w:r>
      <w:r w:rsidR="006666B6" w:rsidRPr="0038442F">
        <w:rPr>
          <w:rFonts w:ascii="Verdana" w:hAnsi="Verdana"/>
          <w:sz w:val="20"/>
          <w:szCs w:val="20"/>
          <w:lang w:val="pt-BR"/>
        </w:rPr>
        <w:t xml:space="preserve">, </w:t>
      </w:r>
      <w:r w:rsidR="00292EED" w:rsidRPr="0038442F">
        <w:rPr>
          <w:rFonts w:ascii="Verdana" w:hAnsi="Verdana"/>
          <w:sz w:val="20"/>
          <w:szCs w:val="20"/>
          <w:lang w:val="pt-BR"/>
        </w:rPr>
        <w:t xml:space="preserve">não só quanto aos </w:t>
      </w:r>
      <w:r w:rsidR="00C92762" w:rsidRPr="0038442F">
        <w:rPr>
          <w:rFonts w:ascii="Verdana" w:hAnsi="Verdana"/>
          <w:sz w:val="20"/>
          <w:szCs w:val="20"/>
          <w:lang w:val="pt-BR"/>
        </w:rPr>
        <w:t xml:space="preserve">direitos </w:t>
      </w:r>
      <w:r w:rsidR="00292EED" w:rsidRPr="0038442F">
        <w:rPr>
          <w:rFonts w:ascii="Verdana" w:hAnsi="Verdana"/>
          <w:sz w:val="20"/>
          <w:szCs w:val="20"/>
          <w:lang w:val="pt-BR"/>
        </w:rPr>
        <w:t xml:space="preserve">constantes desse </w:t>
      </w:r>
      <w:r w:rsidR="006666B6" w:rsidRPr="0038442F">
        <w:rPr>
          <w:rFonts w:ascii="Verdana" w:hAnsi="Verdana"/>
          <w:sz w:val="20"/>
          <w:szCs w:val="20"/>
          <w:lang w:val="pt-BR"/>
        </w:rPr>
        <w:t xml:space="preserve">tratado, </w:t>
      </w:r>
      <w:r w:rsidR="00292EED" w:rsidRPr="0038442F">
        <w:rPr>
          <w:rFonts w:ascii="Verdana" w:hAnsi="Verdana"/>
          <w:sz w:val="20"/>
          <w:szCs w:val="20"/>
          <w:lang w:val="pt-BR"/>
        </w:rPr>
        <w:t xml:space="preserve">mas no que diz respeito </w:t>
      </w:r>
      <w:r w:rsidR="006666B6" w:rsidRPr="0038442F">
        <w:rPr>
          <w:rFonts w:ascii="Verdana" w:hAnsi="Verdana"/>
          <w:sz w:val="20"/>
          <w:szCs w:val="20"/>
          <w:lang w:val="pt-BR"/>
        </w:rPr>
        <w:t xml:space="preserve">a todas as </w:t>
      </w:r>
      <w:r w:rsidR="00A97590" w:rsidRPr="0038442F">
        <w:rPr>
          <w:rFonts w:ascii="Verdana" w:hAnsi="Verdana"/>
          <w:sz w:val="20"/>
          <w:szCs w:val="20"/>
          <w:lang w:val="pt-BR"/>
        </w:rPr>
        <w:t>leis</w:t>
      </w:r>
      <w:r w:rsidR="00407242" w:rsidRPr="0038442F">
        <w:rPr>
          <w:rFonts w:ascii="Verdana" w:hAnsi="Verdana"/>
          <w:sz w:val="20"/>
          <w:szCs w:val="20"/>
          <w:lang w:val="pt-BR"/>
        </w:rPr>
        <w:t xml:space="preserve"> </w:t>
      </w:r>
      <w:r w:rsidR="006666B6" w:rsidRPr="0038442F">
        <w:rPr>
          <w:rFonts w:ascii="Verdana" w:hAnsi="Verdana"/>
          <w:sz w:val="20"/>
          <w:szCs w:val="20"/>
          <w:lang w:val="pt-BR"/>
        </w:rPr>
        <w:t xml:space="preserve">que </w:t>
      </w:r>
      <w:r w:rsidR="000A1AA8" w:rsidRPr="0038442F">
        <w:rPr>
          <w:rFonts w:ascii="Verdana" w:hAnsi="Verdana"/>
          <w:sz w:val="20"/>
          <w:szCs w:val="20"/>
          <w:lang w:val="pt-BR"/>
        </w:rPr>
        <w:t xml:space="preserve">o Estado </w:t>
      </w:r>
      <w:r w:rsidR="00292EED" w:rsidRPr="0038442F">
        <w:rPr>
          <w:rFonts w:ascii="Verdana" w:hAnsi="Verdana"/>
          <w:sz w:val="20"/>
          <w:szCs w:val="20"/>
          <w:lang w:val="pt-BR"/>
        </w:rPr>
        <w:t xml:space="preserve">aprove e a sua </w:t>
      </w:r>
      <w:r w:rsidR="006666B6" w:rsidRPr="0038442F">
        <w:rPr>
          <w:rFonts w:ascii="Verdana" w:hAnsi="Verdana"/>
          <w:sz w:val="20"/>
          <w:szCs w:val="20"/>
          <w:lang w:val="pt-BR"/>
        </w:rPr>
        <w:t>aplica</w:t>
      </w:r>
      <w:r w:rsidR="000A1AA8" w:rsidRPr="0038442F">
        <w:rPr>
          <w:rFonts w:ascii="Verdana" w:hAnsi="Verdana"/>
          <w:sz w:val="20"/>
          <w:szCs w:val="20"/>
          <w:lang w:val="pt-BR"/>
        </w:rPr>
        <w:t>ção</w:t>
      </w:r>
      <w:r w:rsidR="00292EED" w:rsidRPr="0038442F">
        <w:rPr>
          <w:rFonts w:ascii="Verdana" w:hAnsi="Verdana"/>
          <w:sz w:val="20"/>
          <w:szCs w:val="20"/>
          <w:lang w:val="pt-BR"/>
        </w:rPr>
        <w:t>.</w:t>
      </w:r>
      <w:r w:rsidR="006666B6" w:rsidRPr="0038442F">
        <w:rPr>
          <w:rFonts w:ascii="Verdana" w:eastAsia="Calibri" w:hAnsi="Verdana"/>
          <w:spacing w:val="-2"/>
          <w:vertAlign w:val="superscript"/>
          <w:lang w:val="pt-BR"/>
        </w:rPr>
        <w:footnoteReference w:id="166"/>
      </w:r>
      <w:r w:rsidR="006666B6" w:rsidRPr="0038442F">
        <w:rPr>
          <w:rFonts w:ascii="Verdana" w:hAnsi="Verdana"/>
          <w:sz w:val="20"/>
          <w:szCs w:val="20"/>
          <w:lang w:val="pt-BR"/>
        </w:rPr>
        <w:t xml:space="preserve"> </w:t>
      </w:r>
    </w:p>
    <w:p w14:paraId="364CE63D" w14:textId="77777777" w:rsidR="00342ACD" w:rsidRPr="0038442F" w:rsidRDefault="00342ACD" w:rsidP="00A857CB">
      <w:pPr>
        <w:rPr>
          <w:rFonts w:ascii="Verdana" w:hAnsi="Verdana" w:cs="System Font Regular"/>
          <w:sz w:val="20"/>
          <w:szCs w:val="20"/>
          <w:lang w:val="pt-BR"/>
        </w:rPr>
      </w:pPr>
    </w:p>
    <w:p w14:paraId="3F2993CB" w14:textId="20BE9E8F" w:rsidR="005B2027" w:rsidRPr="0038442F" w:rsidRDefault="00D71E3C" w:rsidP="00D71E3C">
      <w:pPr>
        <w:pStyle w:val="Prrafodelista"/>
        <w:spacing w:after="0" w:line="240" w:lineRule="auto"/>
        <w:ind w:left="0"/>
        <w:jc w:val="both"/>
        <w:rPr>
          <w:rFonts w:ascii="Verdana" w:hAnsi="Verdana" w:cs="System Font Regular"/>
          <w:sz w:val="20"/>
          <w:szCs w:val="20"/>
          <w:lang w:val="pt-BR"/>
        </w:rPr>
      </w:pPr>
      <w:r w:rsidRPr="0038442F">
        <w:rPr>
          <w:rFonts w:ascii="Verdana" w:hAnsi="Verdana"/>
          <w:sz w:val="20"/>
          <w:szCs w:val="20"/>
          <w:lang w:val="pt-BR" w:eastAsia="es-CR"/>
        </w:rPr>
        <w:t xml:space="preserve">105. </w:t>
      </w:r>
      <w:r w:rsidRPr="0038442F">
        <w:rPr>
          <w:rFonts w:ascii="Verdana" w:hAnsi="Verdana"/>
          <w:sz w:val="20"/>
          <w:szCs w:val="20"/>
          <w:lang w:val="pt-BR" w:eastAsia="es-CR"/>
        </w:rPr>
        <w:tab/>
      </w:r>
      <w:r w:rsidR="00C61238" w:rsidRPr="0038442F">
        <w:rPr>
          <w:rFonts w:ascii="Verdana" w:hAnsi="Verdana"/>
          <w:sz w:val="20"/>
          <w:szCs w:val="20"/>
          <w:lang w:val="pt-BR" w:eastAsia="es-CR"/>
        </w:rPr>
        <w:t>N</w:t>
      </w:r>
      <w:r w:rsidR="00292EED" w:rsidRPr="0038442F">
        <w:rPr>
          <w:rFonts w:ascii="Verdana" w:hAnsi="Verdana"/>
          <w:sz w:val="20"/>
          <w:szCs w:val="20"/>
          <w:lang w:val="pt-BR" w:eastAsia="es-CR"/>
        </w:rPr>
        <w:t>ã</w:t>
      </w:r>
      <w:r w:rsidR="00C61238" w:rsidRPr="0038442F">
        <w:rPr>
          <w:rFonts w:ascii="Verdana" w:hAnsi="Verdana"/>
          <w:sz w:val="20"/>
          <w:szCs w:val="20"/>
          <w:lang w:val="pt-BR" w:eastAsia="es-CR"/>
        </w:rPr>
        <w:t>o obstante</w:t>
      </w:r>
      <w:r w:rsidR="00292EED" w:rsidRPr="0038442F">
        <w:rPr>
          <w:rFonts w:ascii="Verdana" w:hAnsi="Verdana"/>
          <w:sz w:val="20"/>
          <w:szCs w:val="20"/>
          <w:lang w:val="pt-BR" w:eastAsia="es-CR"/>
        </w:rPr>
        <w:t xml:space="preserve"> isso</w:t>
      </w:r>
      <w:r w:rsidR="00342ACD" w:rsidRPr="0038442F">
        <w:rPr>
          <w:rFonts w:ascii="Verdana" w:hAnsi="Verdana"/>
          <w:sz w:val="20"/>
          <w:szCs w:val="20"/>
          <w:lang w:val="pt-BR" w:eastAsia="es-CR"/>
        </w:rPr>
        <w:t xml:space="preserve">, </w:t>
      </w:r>
      <w:r w:rsidR="00292EED" w:rsidRPr="0038442F">
        <w:rPr>
          <w:rFonts w:ascii="Verdana" w:hAnsi="Verdana"/>
          <w:sz w:val="20"/>
          <w:szCs w:val="20"/>
          <w:lang w:val="pt-BR" w:eastAsia="es-CR"/>
        </w:rPr>
        <w:t xml:space="preserve">embora a </w:t>
      </w:r>
      <w:r w:rsidR="00984A83" w:rsidRPr="0038442F">
        <w:rPr>
          <w:rFonts w:ascii="Verdana" w:hAnsi="Verdana"/>
          <w:sz w:val="20"/>
          <w:szCs w:val="20"/>
          <w:lang w:val="pt-BR" w:eastAsia="es-CR"/>
        </w:rPr>
        <w:t>jurisprudência</w:t>
      </w:r>
      <w:r w:rsidR="00407242" w:rsidRPr="0038442F">
        <w:rPr>
          <w:rFonts w:ascii="Verdana" w:hAnsi="Verdana"/>
          <w:sz w:val="20"/>
          <w:szCs w:val="20"/>
          <w:lang w:val="pt-BR" w:eastAsia="es-CR"/>
        </w:rPr>
        <w:t xml:space="preserve"> </w:t>
      </w:r>
      <w:r w:rsidR="00C92762" w:rsidRPr="0038442F">
        <w:rPr>
          <w:rFonts w:ascii="Verdana" w:hAnsi="Verdana"/>
          <w:sz w:val="20"/>
          <w:szCs w:val="20"/>
          <w:lang w:val="pt-BR" w:eastAsia="es-CR"/>
        </w:rPr>
        <w:t xml:space="preserve">da </w:t>
      </w:r>
      <w:r w:rsidR="00342ACD" w:rsidRPr="0038442F">
        <w:rPr>
          <w:rFonts w:ascii="Verdana" w:hAnsi="Verdana"/>
          <w:sz w:val="20"/>
          <w:szCs w:val="20"/>
          <w:lang w:val="pt-BR" w:eastAsia="es-CR"/>
        </w:rPr>
        <w:t>Corte IDH afirma</w:t>
      </w:r>
      <w:r w:rsidR="00292EED" w:rsidRPr="0038442F">
        <w:rPr>
          <w:rFonts w:ascii="Verdana" w:hAnsi="Verdana"/>
          <w:sz w:val="20"/>
          <w:szCs w:val="20"/>
          <w:lang w:val="pt-BR" w:eastAsia="es-CR"/>
        </w:rPr>
        <w:t xml:space="preserve">sse </w:t>
      </w:r>
      <w:r w:rsidR="00342ACD" w:rsidRPr="0038442F">
        <w:rPr>
          <w:rFonts w:ascii="Verdana" w:hAnsi="Verdana"/>
          <w:sz w:val="20"/>
          <w:szCs w:val="20"/>
          <w:lang w:val="pt-BR" w:eastAsia="es-CR"/>
        </w:rPr>
        <w:t xml:space="preserve">que </w:t>
      </w:r>
      <w:r w:rsidR="003B374E" w:rsidRPr="0038442F">
        <w:rPr>
          <w:rFonts w:ascii="Verdana" w:hAnsi="Verdana"/>
          <w:sz w:val="20"/>
          <w:szCs w:val="20"/>
          <w:lang w:val="pt-BR" w:eastAsia="es-CR"/>
        </w:rPr>
        <w:t xml:space="preserve">o artigo </w:t>
      </w:r>
      <w:r w:rsidR="00342ACD" w:rsidRPr="0038442F">
        <w:rPr>
          <w:rFonts w:ascii="Verdana" w:hAnsi="Verdana"/>
          <w:sz w:val="20"/>
          <w:szCs w:val="20"/>
          <w:lang w:val="pt-BR" w:eastAsia="es-CR"/>
        </w:rPr>
        <w:t>24 proteg</w:t>
      </w:r>
      <w:r w:rsidR="00292EED" w:rsidRPr="0038442F">
        <w:rPr>
          <w:rFonts w:ascii="Verdana" w:hAnsi="Verdana"/>
          <w:sz w:val="20"/>
          <w:szCs w:val="20"/>
          <w:lang w:val="pt-BR" w:eastAsia="es-CR"/>
        </w:rPr>
        <w:t>i</w:t>
      </w:r>
      <w:r w:rsidR="00342ACD" w:rsidRPr="0038442F">
        <w:rPr>
          <w:rFonts w:ascii="Verdana" w:hAnsi="Verdana"/>
          <w:sz w:val="20"/>
          <w:szCs w:val="20"/>
          <w:lang w:val="pt-BR" w:eastAsia="es-CR"/>
        </w:rPr>
        <w:t xml:space="preserve">a </w:t>
      </w:r>
      <w:r w:rsidR="005135E5" w:rsidRPr="0038442F">
        <w:rPr>
          <w:rFonts w:ascii="Verdana" w:hAnsi="Verdana"/>
          <w:sz w:val="20"/>
          <w:szCs w:val="20"/>
          <w:lang w:val="pt-BR" w:eastAsia="es-CR"/>
        </w:rPr>
        <w:t>também</w:t>
      </w:r>
      <w:r w:rsidR="00407242" w:rsidRPr="0038442F">
        <w:rPr>
          <w:rFonts w:ascii="Verdana" w:hAnsi="Verdana"/>
          <w:sz w:val="20"/>
          <w:szCs w:val="20"/>
          <w:lang w:val="pt-BR" w:eastAsia="es-CR"/>
        </w:rPr>
        <w:t xml:space="preserve"> </w:t>
      </w:r>
      <w:r w:rsidR="00342ACD" w:rsidRPr="0038442F">
        <w:rPr>
          <w:rFonts w:ascii="Verdana" w:hAnsi="Verdana"/>
          <w:sz w:val="20"/>
          <w:szCs w:val="20"/>
          <w:lang w:val="pt-BR" w:eastAsia="es-CR"/>
        </w:rPr>
        <w:t>a “</w:t>
      </w:r>
      <w:r w:rsidR="009612FB" w:rsidRPr="0038442F">
        <w:rPr>
          <w:rFonts w:ascii="Verdana" w:hAnsi="Verdana"/>
          <w:sz w:val="20"/>
          <w:szCs w:val="20"/>
          <w:lang w:val="pt-BR" w:eastAsia="es-CR"/>
        </w:rPr>
        <w:t>igualdade</w:t>
      </w:r>
      <w:r w:rsidR="00407242" w:rsidRPr="0038442F">
        <w:rPr>
          <w:rFonts w:ascii="Verdana" w:hAnsi="Verdana"/>
          <w:sz w:val="20"/>
          <w:szCs w:val="20"/>
          <w:lang w:val="pt-BR" w:eastAsia="es-CR"/>
        </w:rPr>
        <w:t xml:space="preserve"> </w:t>
      </w:r>
      <w:r w:rsidR="00342ACD" w:rsidRPr="0038442F">
        <w:rPr>
          <w:rFonts w:ascii="Verdana" w:hAnsi="Verdana"/>
          <w:sz w:val="20"/>
          <w:szCs w:val="20"/>
          <w:lang w:val="pt-BR" w:eastAsia="es-CR"/>
        </w:rPr>
        <w:t xml:space="preserve">de </w:t>
      </w:r>
      <w:r w:rsidR="00292EED" w:rsidRPr="0038442F">
        <w:rPr>
          <w:rFonts w:ascii="Verdana" w:hAnsi="Verdana"/>
          <w:sz w:val="20"/>
          <w:szCs w:val="20"/>
          <w:lang w:val="pt-BR" w:eastAsia="es-CR"/>
        </w:rPr>
        <w:t>fato</w:t>
      </w:r>
      <w:r w:rsidR="00342ACD" w:rsidRPr="0038442F">
        <w:rPr>
          <w:rFonts w:ascii="Verdana" w:hAnsi="Verdana"/>
          <w:sz w:val="20"/>
          <w:szCs w:val="20"/>
          <w:lang w:val="pt-BR" w:eastAsia="es-CR"/>
        </w:rPr>
        <w:t>”</w:t>
      </w:r>
      <w:r w:rsidR="003F248B" w:rsidRPr="0038442F">
        <w:rPr>
          <w:rFonts w:ascii="Verdana" w:hAnsi="Verdana"/>
          <w:sz w:val="20"/>
          <w:szCs w:val="20"/>
          <w:lang w:val="pt-BR" w:eastAsia="es-CR"/>
        </w:rPr>
        <w:t>,</w:t>
      </w:r>
      <w:r w:rsidR="00342ACD" w:rsidRPr="0038442F">
        <w:rPr>
          <w:rFonts w:ascii="Verdana" w:hAnsi="Verdana"/>
          <w:sz w:val="20"/>
          <w:szCs w:val="20"/>
          <w:lang w:val="pt-BR" w:eastAsia="es-CR"/>
        </w:rPr>
        <w:t xml:space="preserve"> </w:t>
      </w:r>
      <w:r w:rsidR="000A1AA8" w:rsidRPr="0038442F">
        <w:rPr>
          <w:rFonts w:ascii="Verdana" w:hAnsi="Verdana"/>
          <w:sz w:val="20"/>
          <w:szCs w:val="20"/>
          <w:lang w:val="pt-BR" w:eastAsia="es-CR"/>
        </w:rPr>
        <w:t xml:space="preserve">pela </w:t>
      </w:r>
      <w:r w:rsidR="00342ACD" w:rsidRPr="0038442F">
        <w:rPr>
          <w:rFonts w:ascii="Verdana" w:hAnsi="Verdana"/>
          <w:sz w:val="20"/>
          <w:szCs w:val="20"/>
          <w:lang w:val="pt-BR" w:eastAsia="es-CR"/>
        </w:rPr>
        <w:t xml:space="preserve">igual </w:t>
      </w:r>
      <w:r w:rsidR="00751189" w:rsidRPr="0038442F">
        <w:rPr>
          <w:rFonts w:ascii="Verdana" w:hAnsi="Verdana"/>
          <w:sz w:val="20"/>
          <w:szCs w:val="20"/>
          <w:lang w:val="pt-BR" w:eastAsia="es-CR"/>
        </w:rPr>
        <w:t>proteção</w:t>
      </w:r>
      <w:r w:rsidR="00407242" w:rsidRPr="0038442F">
        <w:rPr>
          <w:rFonts w:ascii="Verdana" w:hAnsi="Verdana"/>
          <w:sz w:val="20"/>
          <w:szCs w:val="20"/>
          <w:lang w:val="pt-BR" w:eastAsia="es-CR"/>
        </w:rPr>
        <w:t xml:space="preserve"> </w:t>
      </w:r>
      <w:r w:rsidR="00C92762" w:rsidRPr="0038442F">
        <w:rPr>
          <w:rFonts w:ascii="Verdana" w:hAnsi="Verdana"/>
          <w:sz w:val="20"/>
          <w:szCs w:val="20"/>
          <w:lang w:val="pt-BR" w:eastAsia="es-CR"/>
        </w:rPr>
        <w:t xml:space="preserve">da </w:t>
      </w:r>
      <w:r w:rsidR="00751189" w:rsidRPr="0038442F">
        <w:rPr>
          <w:rFonts w:ascii="Verdana" w:hAnsi="Verdana"/>
          <w:sz w:val="20"/>
          <w:szCs w:val="20"/>
          <w:lang w:val="pt-BR" w:eastAsia="es-CR"/>
        </w:rPr>
        <w:t>lei</w:t>
      </w:r>
      <w:r w:rsidR="00342ACD" w:rsidRPr="0038442F">
        <w:rPr>
          <w:rFonts w:ascii="Verdana" w:hAnsi="Verdana"/>
          <w:sz w:val="20"/>
          <w:szCs w:val="20"/>
          <w:lang w:val="pt-BR" w:eastAsia="es-CR"/>
        </w:rPr>
        <w:t>, es</w:t>
      </w:r>
      <w:r w:rsidR="00292EED" w:rsidRPr="0038442F">
        <w:rPr>
          <w:rFonts w:ascii="Verdana" w:hAnsi="Verdana"/>
          <w:sz w:val="20"/>
          <w:szCs w:val="20"/>
          <w:lang w:val="pt-BR" w:eastAsia="es-CR"/>
        </w:rPr>
        <w:t>s</w:t>
      </w:r>
      <w:r w:rsidR="00342ACD" w:rsidRPr="0038442F">
        <w:rPr>
          <w:rFonts w:ascii="Verdana" w:hAnsi="Verdana"/>
          <w:sz w:val="20"/>
          <w:szCs w:val="20"/>
          <w:lang w:val="pt-BR" w:eastAsia="es-CR"/>
        </w:rPr>
        <w:t xml:space="preserve">e </w:t>
      </w:r>
      <w:r w:rsidR="00292EED" w:rsidRPr="0038442F">
        <w:rPr>
          <w:rFonts w:ascii="Verdana" w:hAnsi="Verdana"/>
          <w:sz w:val="20"/>
          <w:szCs w:val="20"/>
          <w:lang w:val="pt-BR" w:eastAsia="es-CR"/>
        </w:rPr>
        <w:t xml:space="preserve">conteúdo </w:t>
      </w:r>
      <w:r w:rsidR="00602FF9" w:rsidRPr="0038442F">
        <w:rPr>
          <w:rFonts w:ascii="Verdana" w:hAnsi="Verdana"/>
          <w:sz w:val="20"/>
          <w:szCs w:val="20"/>
          <w:lang w:val="pt-BR" w:eastAsia="es-CR"/>
        </w:rPr>
        <w:t>n</w:t>
      </w:r>
      <w:r w:rsidR="00292EED" w:rsidRPr="0038442F">
        <w:rPr>
          <w:rFonts w:ascii="Verdana" w:hAnsi="Verdana"/>
          <w:sz w:val="20"/>
          <w:szCs w:val="20"/>
          <w:lang w:val="pt-BR" w:eastAsia="es-CR"/>
        </w:rPr>
        <w:t>a</w:t>
      </w:r>
      <w:r w:rsidR="00602FF9" w:rsidRPr="0038442F">
        <w:rPr>
          <w:rFonts w:ascii="Verdana" w:hAnsi="Verdana"/>
          <w:sz w:val="20"/>
          <w:szCs w:val="20"/>
          <w:lang w:val="pt-BR" w:eastAsia="es-CR"/>
        </w:rPr>
        <w:t xml:space="preserve">s </w:t>
      </w:r>
      <w:r w:rsidR="00342ACD" w:rsidRPr="0038442F">
        <w:rPr>
          <w:rFonts w:ascii="Verdana" w:hAnsi="Verdana"/>
          <w:sz w:val="20"/>
          <w:szCs w:val="20"/>
          <w:lang w:val="pt-BR" w:eastAsia="es-CR"/>
        </w:rPr>
        <w:t>anális</w:t>
      </w:r>
      <w:r w:rsidR="00292EED" w:rsidRPr="0038442F">
        <w:rPr>
          <w:rFonts w:ascii="Verdana" w:hAnsi="Verdana"/>
          <w:sz w:val="20"/>
          <w:szCs w:val="20"/>
          <w:lang w:val="pt-BR" w:eastAsia="es-CR"/>
        </w:rPr>
        <w:t>e</w:t>
      </w:r>
      <w:r w:rsidR="00342ACD" w:rsidRPr="0038442F">
        <w:rPr>
          <w:rFonts w:ascii="Verdana" w:hAnsi="Verdana"/>
          <w:sz w:val="20"/>
          <w:szCs w:val="20"/>
          <w:lang w:val="pt-BR" w:eastAsia="es-CR"/>
        </w:rPr>
        <w:t>s concret</w:t>
      </w:r>
      <w:r w:rsidR="00292EED" w:rsidRPr="0038442F">
        <w:rPr>
          <w:rFonts w:ascii="Verdana" w:hAnsi="Verdana"/>
          <w:sz w:val="20"/>
          <w:szCs w:val="20"/>
          <w:lang w:val="pt-BR" w:eastAsia="es-CR"/>
        </w:rPr>
        <w:t>a</w:t>
      </w:r>
      <w:r w:rsidR="00342ACD" w:rsidRPr="0038442F">
        <w:rPr>
          <w:rFonts w:ascii="Verdana" w:hAnsi="Verdana"/>
          <w:sz w:val="20"/>
          <w:szCs w:val="20"/>
          <w:lang w:val="pt-BR" w:eastAsia="es-CR"/>
        </w:rPr>
        <w:t xml:space="preserve">s era </w:t>
      </w:r>
      <w:r w:rsidR="00C61238" w:rsidRPr="0038442F">
        <w:rPr>
          <w:rFonts w:ascii="Verdana" w:hAnsi="Verdana"/>
          <w:sz w:val="20"/>
          <w:szCs w:val="20"/>
          <w:lang w:val="pt-BR" w:eastAsia="es-CR"/>
        </w:rPr>
        <w:t>redirecionad</w:t>
      </w:r>
      <w:r w:rsidR="002B0F5D" w:rsidRPr="0038442F">
        <w:rPr>
          <w:rFonts w:ascii="Verdana" w:hAnsi="Verdana"/>
          <w:sz w:val="20"/>
          <w:szCs w:val="20"/>
          <w:lang w:val="pt-BR" w:eastAsia="es-CR"/>
        </w:rPr>
        <w:t>o</w:t>
      </w:r>
      <w:r w:rsidR="00342ACD" w:rsidRPr="0038442F">
        <w:rPr>
          <w:rFonts w:ascii="Verdana" w:hAnsi="Verdana"/>
          <w:sz w:val="20"/>
          <w:szCs w:val="20"/>
          <w:lang w:val="pt-BR" w:eastAsia="es-CR"/>
        </w:rPr>
        <w:t xml:space="preserve"> </w:t>
      </w:r>
      <w:r w:rsidR="00292EED" w:rsidRPr="0038442F">
        <w:rPr>
          <w:rFonts w:ascii="Verdana" w:hAnsi="Verdana"/>
          <w:sz w:val="20"/>
          <w:szCs w:val="20"/>
          <w:lang w:val="pt-BR" w:eastAsia="es-CR"/>
        </w:rPr>
        <w:t xml:space="preserve">para o conteúdo </w:t>
      </w:r>
      <w:r w:rsidR="00751189" w:rsidRPr="0038442F">
        <w:rPr>
          <w:rFonts w:ascii="Verdana" w:hAnsi="Verdana"/>
          <w:sz w:val="20"/>
          <w:szCs w:val="20"/>
          <w:lang w:val="pt-BR" w:eastAsia="es-CR"/>
        </w:rPr>
        <w:t xml:space="preserve">do artigo </w:t>
      </w:r>
      <w:r w:rsidR="00342ACD" w:rsidRPr="0038442F">
        <w:rPr>
          <w:rFonts w:ascii="Verdana" w:hAnsi="Verdana"/>
          <w:sz w:val="20"/>
          <w:szCs w:val="20"/>
          <w:lang w:val="pt-BR" w:eastAsia="es-CR"/>
        </w:rPr>
        <w:t>1.1</w:t>
      </w:r>
      <w:r w:rsidR="00292EED" w:rsidRPr="0038442F">
        <w:rPr>
          <w:rFonts w:ascii="Verdana" w:hAnsi="Verdana"/>
          <w:sz w:val="20"/>
          <w:szCs w:val="20"/>
          <w:lang w:val="pt-BR" w:eastAsia="es-CR"/>
        </w:rPr>
        <w:t>, ou seja,</w:t>
      </w:r>
      <w:r w:rsidR="00407242" w:rsidRPr="0038442F">
        <w:rPr>
          <w:rFonts w:ascii="Verdana" w:hAnsi="Verdana"/>
          <w:sz w:val="20"/>
          <w:szCs w:val="20"/>
          <w:lang w:val="pt-BR" w:eastAsia="es-CR"/>
        </w:rPr>
        <w:t xml:space="preserve"> </w:t>
      </w:r>
      <w:r w:rsidR="00F96746" w:rsidRPr="0038442F">
        <w:rPr>
          <w:rFonts w:ascii="Verdana" w:hAnsi="Verdana"/>
          <w:sz w:val="20"/>
          <w:szCs w:val="20"/>
          <w:lang w:val="pt-BR" w:eastAsia="es-CR"/>
        </w:rPr>
        <w:t xml:space="preserve">para </w:t>
      </w:r>
      <w:r w:rsidR="00292EED" w:rsidRPr="0038442F">
        <w:rPr>
          <w:rFonts w:ascii="Verdana" w:hAnsi="Verdana"/>
          <w:sz w:val="20"/>
          <w:szCs w:val="20"/>
          <w:lang w:val="pt-BR" w:eastAsia="es-CR"/>
        </w:rPr>
        <w:t xml:space="preserve">a </w:t>
      </w:r>
      <w:r w:rsidR="00342ACD" w:rsidRPr="0038442F">
        <w:rPr>
          <w:rFonts w:ascii="Verdana" w:hAnsi="Verdana"/>
          <w:sz w:val="20"/>
          <w:szCs w:val="20"/>
          <w:lang w:val="pt-BR" w:eastAsia="es-CR"/>
        </w:rPr>
        <w:t>“</w:t>
      </w:r>
      <w:r w:rsidR="00C92762" w:rsidRPr="0038442F">
        <w:rPr>
          <w:rFonts w:ascii="Verdana" w:hAnsi="Verdana"/>
          <w:sz w:val="20"/>
          <w:szCs w:val="20"/>
          <w:lang w:val="pt-BR"/>
        </w:rPr>
        <w:t>obrigação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342ACD" w:rsidRPr="0038442F">
        <w:rPr>
          <w:rFonts w:ascii="Verdana" w:hAnsi="Verdana"/>
          <w:sz w:val="20"/>
          <w:szCs w:val="20"/>
          <w:lang w:val="pt-BR"/>
        </w:rPr>
        <w:t xml:space="preserve">Estados de </w:t>
      </w:r>
      <w:r w:rsidR="005135E5" w:rsidRPr="0038442F">
        <w:rPr>
          <w:rFonts w:ascii="Verdana" w:hAnsi="Verdana"/>
          <w:sz w:val="20"/>
          <w:szCs w:val="20"/>
          <w:lang w:val="pt-BR"/>
        </w:rPr>
        <w:t>respeitar</w:t>
      </w:r>
      <w:r w:rsidR="00407242" w:rsidRPr="0038442F">
        <w:rPr>
          <w:rFonts w:ascii="Verdana" w:hAnsi="Verdana"/>
          <w:sz w:val="20"/>
          <w:szCs w:val="20"/>
          <w:lang w:val="pt-BR"/>
        </w:rPr>
        <w:t xml:space="preserve"> </w:t>
      </w:r>
      <w:r w:rsidR="00292EED" w:rsidRPr="0038442F">
        <w:rPr>
          <w:rFonts w:ascii="Verdana" w:hAnsi="Verdana"/>
          <w:sz w:val="20"/>
          <w:szCs w:val="20"/>
          <w:lang w:val="pt-BR"/>
        </w:rPr>
        <w:t>e</w:t>
      </w:r>
      <w:r w:rsidR="00342ACD" w:rsidRPr="0038442F">
        <w:rPr>
          <w:rFonts w:ascii="Verdana" w:hAnsi="Verdana"/>
          <w:sz w:val="20"/>
          <w:szCs w:val="20"/>
          <w:lang w:val="pt-BR"/>
        </w:rPr>
        <w:t xml:space="preserve"> </w:t>
      </w:r>
      <w:r w:rsidR="009612FB" w:rsidRPr="0038442F">
        <w:rPr>
          <w:rFonts w:ascii="Verdana" w:hAnsi="Verdana"/>
          <w:sz w:val="20"/>
          <w:szCs w:val="20"/>
          <w:lang w:val="pt-BR"/>
        </w:rPr>
        <w:t>garantir</w:t>
      </w:r>
      <w:r w:rsidR="00342ACD" w:rsidRPr="0038442F">
        <w:rPr>
          <w:rFonts w:ascii="Verdana" w:hAnsi="Verdana"/>
          <w:sz w:val="20"/>
          <w:szCs w:val="20"/>
          <w:lang w:val="pt-BR"/>
        </w:rPr>
        <w:t xml:space="preserve">, </w:t>
      </w:r>
      <w:r w:rsidR="00751189" w:rsidRPr="0038442F">
        <w:rPr>
          <w:rFonts w:ascii="Verdana" w:hAnsi="Verdana"/>
          <w:sz w:val="20"/>
          <w:szCs w:val="20"/>
          <w:lang w:val="pt-BR"/>
        </w:rPr>
        <w:t>sem</w:t>
      </w:r>
      <w:r w:rsidR="00407242" w:rsidRPr="0038442F">
        <w:rPr>
          <w:rFonts w:ascii="Verdana" w:hAnsi="Verdana"/>
          <w:sz w:val="20"/>
          <w:szCs w:val="20"/>
          <w:lang w:val="pt-BR"/>
        </w:rPr>
        <w:t xml:space="preserve"> </w:t>
      </w:r>
      <w:r w:rsidR="00C61238" w:rsidRPr="0038442F">
        <w:rPr>
          <w:rFonts w:ascii="Verdana" w:hAnsi="Verdana"/>
          <w:sz w:val="20"/>
          <w:szCs w:val="20"/>
          <w:lang w:val="pt-BR"/>
        </w:rPr>
        <w:t>discrimina</w:t>
      </w:r>
      <w:r w:rsidR="000A1AA8" w:rsidRPr="0038442F">
        <w:rPr>
          <w:rFonts w:ascii="Verdana" w:hAnsi="Verdana"/>
          <w:sz w:val="20"/>
          <w:szCs w:val="20"/>
          <w:lang w:val="pt-BR"/>
        </w:rPr>
        <w:t>ção</w:t>
      </w:r>
      <w:r w:rsidR="00342ACD" w:rsidRPr="0038442F">
        <w:rPr>
          <w:rFonts w:ascii="Verdana" w:hAnsi="Verdana"/>
          <w:sz w:val="20"/>
          <w:szCs w:val="20"/>
          <w:lang w:val="pt-BR"/>
        </w:rPr>
        <w:t xml:space="preserve">, </w:t>
      </w:r>
      <w:r w:rsidR="00C92762" w:rsidRPr="0038442F">
        <w:rPr>
          <w:rFonts w:ascii="Verdana" w:hAnsi="Verdana"/>
          <w:sz w:val="20"/>
          <w:szCs w:val="20"/>
          <w:lang w:val="pt-BR"/>
        </w:rPr>
        <w:t xml:space="preserve">os direitos </w:t>
      </w:r>
      <w:r w:rsidR="005135E5" w:rsidRPr="0038442F">
        <w:rPr>
          <w:rFonts w:ascii="Verdana" w:hAnsi="Verdana"/>
          <w:sz w:val="20"/>
          <w:szCs w:val="20"/>
          <w:lang w:val="pt-BR"/>
        </w:rPr>
        <w:t>reconhecidos</w:t>
      </w:r>
      <w:r w:rsidR="00407242" w:rsidRPr="0038442F">
        <w:rPr>
          <w:rFonts w:ascii="Verdana" w:hAnsi="Verdana"/>
          <w:sz w:val="20"/>
          <w:szCs w:val="20"/>
          <w:lang w:val="pt-BR"/>
        </w:rPr>
        <w:t xml:space="preserve"> </w:t>
      </w:r>
      <w:r w:rsidR="00292EED" w:rsidRPr="0038442F">
        <w:rPr>
          <w:rFonts w:ascii="Verdana" w:hAnsi="Verdana"/>
          <w:sz w:val="20"/>
          <w:szCs w:val="20"/>
          <w:lang w:val="pt-BR"/>
        </w:rPr>
        <w:t xml:space="preserve">nesse </w:t>
      </w:r>
      <w:r w:rsidR="00342ACD" w:rsidRPr="0038442F">
        <w:rPr>
          <w:rFonts w:ascii="Verdana" w:hAnsi="Verdana"/>
          <w:sz w:val="20"/>
          <w:szCs w:val="20"/>
          <w:lang w:val="pt-BR"/>
        </w:rPr>
        <w:t xml:space="preserve">tratado”. </w:t>
      </w:r>
    </w:p>
    <w:p w14:paraId="3917A039" w14:textId="77777777" w:rsidR="00342ACD" w:rsidRPr="0038442F" w:rsidRDefault="00342ACD" w:rsidP="00A857CB">
      <w:pPr>
        <w:rPr>
          <w:rFonts w:ascii="Verdana" w:hAnsi="Verdana" w:cs="System Font Regular"/>
          <w:sz w:val="20"/>
          <w:szCs w:val="20"/>
          <w:lang w:val="pt-BR"/>
        </w:rPr>
      </w:pPr>
    </w:p>
    <w:p w14:paraId="5A6A7D80" w14:textId="29EFCD38" w:rsidR="00342ACD" w:rsidRPr="0038442F" w:rsidRDefault="00D71E3C" w:rsidP="00D71E3C">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106. </w:t>
      </w:r>
      <w:r w:rsidRPr="0038442F">
        <w:rPr>
          <w:rFonts w:ascii="Verdana" w:hAnsi="Verdana" w:cs="System Font Regular"/>
          <w:sz w:val="20"/>
          <w:szCs w:val="20"/>
          <w:lang w:val="pt-BR"/>
        </w:rPr>
        <w:tab/>
      </w:r>
      <w:r w:rsidR="00292EED" w:rsidRPr="0038442F">
        <w:rPr>
          <w:rFonts w:ascii="Verdana" w:hAnsi="Verdana" w:cs="System Font Regular"/>
          <w:sz w:val="20"/>
          <w:szCs w:val="20"/>
          <w:lang w:val="pt-BR"/>
        </w:rPr>
        <w:t>A</w:t>
      </w:r>
      <w:r w:rsidR="00342ACD" w:rsidRPr="0038442F">
        <w:rPr>
          <w:rFonts w:ascii="Verdana" w:hAnsi="Verdana" w:cs="System Font Regular"/>
          <w:sz w:val="20"/>
          <w:szCs w:val="20"/>
          <w:lang w:val="pt-BR"/>
        </w:rPr>
        <w:t xml:space="preserve"> </w:t>
      </w:r>
      <w:r w:rsidR="00984A83" w:rsidRPr="0038442F">
        <w:rPr>
          <w:rFonts w:ascii="Verdana" w:hAnsi="Verdana" w:cs="System Font Regular"/>
          <w:sz w:val="20"/>
          <w:szCs w:val="20"/>
          <w:lang w:val="pt-BR"/>
        </w:rPr>
        <w:t>jurisprudência</w:t>
      </w:r>
      <w:r w:rsidR="00292EED" w:rsidRPr="0038442F">
        <w:rPr>
          <w:rFonts w:ascii="Verdana" w:hAnsi="Verdana" w:cs="System Font Regular"/>
          <w:sz w:val="20"/>
          <w:szCs w:val="20"/>
          <w:lang w:val="pt-BR"/>
        </w:rPr>
        <w:t xml:space="preserve">, posteriormente a </w:t>
      </w:r>
      <w:r w:rsidR="00342ACD" w:rsidRPr="0038442F">
        <w:rPr>
          <w:rFonts w:ascii="Verdana" w:hAnsi="Verdana" w:cs="System Font Regular"/>
          <w:i/>
          <w:iCs/>
          <w:sz w:val="20"/>
          <w:szCs w:val="20"/>
          <w:lang w:val="pt-BR"/>
        </w:rPr>
        <w:t>Apitz</w:t>
      </w:r>
      <w:r w:rsidR="00F96746" w:rsidRPr="0038442F">
        <w:rPr>
          <w:rFonts w:ascii="Verdana" w:hAnsi="Verdana" w:cs="System Font Regular"/>
          <w:iCs/>
          <w:sz w:val="20"/>
          <w:szCs w:val="20"/>
          <w:lang w:val="pt-BR"/>
        </w:rPr>
        <w:t>,</w:t>
      </w:r>
      <w:r w:rsidR="00342ACD" w:rsidRPr="0038442F">
        <w:rPr>
          <w:rFonts w:ascii="Verdana" w:hAnsi="Verdana" w:cs="System Font Regular"/>
          <w:sz w:val="20"/>
          <w:szCs w:val="20"/>
          <w:lang w:val="pt-BR"/>
        </w:rPr>
        <w:t xml:space="preserve"> </w:t>
      </w:r>
      <w:r w:rsidR="00292EED" w:rsidRPr="0038442F">
        <w:rPr>
          <w:rFonts w:ascii="Verdana" w:hAnsi="Verdana" w:cs="System Font Regular"/>
          <w:sz w:val="20"/>
          <w:szCs w:val="20"/>
          <w:lang w:val="pt-BR"/>
        </w:rPr>
        <w:t xml:space="preserve">se referia ao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 xml:space="preserve">24 </w:t>
      </w:r>
      <w:r w:rsidR="00C92762" w:rsidRPr="0038442F">
        <w:rPr>
          <w:rFonts w:ascii="Verdana" w:hAnsi="Verdana" w:cs="System Font Regular"/>
          <w:sz w:val="20"/>
          <w:szCs w:val="20"/>
          <w:lang w:val="pt-BR"/>
        </w:rPr>
        <w:t xml:space="preserve">da </w:t>
      </w:r>
      <w:r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00292EED" w:rsidRPr="0038442F">
        <w:rPr>
          <w:rFonts w:ascii="Verdana" w:hAnsi="Verdana" w:cs="System Font Regular"/>
          <w:sz w:val="20"/>
          <w:szCs w:val="20"/>
          <w:lang w:val="pt-BR"/>
        </w:rPr>
        <w:t>,</w:t>
      </w:r>
      <w:r w:rsidRPr="0038442F">
        <w:rPr>
          <w:rFonts w:ascii="Verdana" w:hAnsi="Verdana" w:cs="System Font Regular"/>
          <w:sz w:val="20"/>
          <w:szCs w:val="20"/>
          <w:lang w:val="pt-BR"/>
        </w:rPr>
        <w:t xml:space="preserve"> </w:t>
      </w:r>
      <w:r w:rsidR="00BF7A10" w:rsidRPr="0038442F">
        <w:rPr>
          <w:rFonts w:ascii="Verdana" w:hAnsi="Verdana" w:cs="System Font Regular"/>
          <w:sz w:val="20"/>
          <w:szCs w:val="20"/>
          <w:lang w:val="pt-BR"/>
        </w:rPr>
        <w:t xml:space="preserve">na </w:t>
      </w:r>
      <w:r w:rsidR="00342ACD" w:rsidRPr="0038442F">
        <w:rPr>
          <w:rFonts w:ascii="Verdana" w:hAnsi="Verdana" w:cs="System Font Regular"/>
          <w:sz w:val="20"/>
          <w:szCs w:val="20"/>
          <w:lang w:val="pt-BR"/>
        </w:rPr>
        <w:t xml:space="preserve">medida </w:t>
      </w:r>
      <w:r w:rsidR="00292EED" w:rsidRPr="0038442F">
        <w:rPr>
          <w:rFonts w:ascii="Verdana" w:hAnsi="Verdana" w:cs="System Font Regular"/>
          <w:sz w:val="20"/>
          <w:szCs w:val="20"/>
          <w:lang w:val="pt-BR"/>
        </w:rPr>
        <w:t xml:space="preserve">em </w:t>
      </w:r>
      <w:r w:rsidR="00342ACD" w:rsidRPr="0038442F">
        <w:rPr>
          <w:rFonts w:ascii="Verdana" w:hAnsi="Verdana" w:cs="System Font Regular"/>
          <w:sz w:val="20"/>
          <w:szCs w:val="20"/>
          <w:lang w:val="pt-BR"/>
        </w:rPr>
        <w:t>que</w:t>
      </w:r>
      <w:r w:rsidR="005859C7" w:rsidRPr="0038442F">
        <w:rPr>
          <w:rFonts w:ascii="Verdana" w:hAnsi="Verdana" w:cs="System Font Regular"/>
          <w:sz w:val="20"/>
          <w:szCs w:val="20"/>
          <w:lang w:val="pt-BR"/>
        </w:rPr>
        <w:t>,</w:t>
      </w:r>
      <w:r w:rsidR="00342ACD"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no </w:t>
      </w:r>
      <w:r w:rsidR="00342ACD" w:rsidRPr="0038442F">
        <w:rPr>
          <w:rFonts w:ascii="Verdana" w:hAnsi="Verdana" w:cs="System Font Regular"/>
          <w:sz w:val="20"/>
          <w:szCs w:val="20"/>
          <w:lang w:val="pt-BR"/>
        </w:rPr>
        <w:t>caso concreto</w:t>
      </w:r>
      <w:r w:rsidR="005859C7" w:rsidRPr="0038442F">
        <w:rPr>
          <w:rFonts w:ascii="Verdana" w:hAnsi="Verdana" w:cs="System Font Regular"/>
          <w:sz w:val="20"/>
          <w:szCs w:val="20"/>
          <w:lang w:val="pt-BR"/>
        </w:rPr>
        <w:t>,</w:t>
      </w:r>
      <w:r w:rsidR="00342ACD"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uma</w:t>
      </w:r>
      <w:r w:rsidR="00407242"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norma f</w:t>
      </w:r>
      <w:r w:rsidR="00292EED" w:rsidRPr="0038442F">
        <w:rPr>
          <w:rFonts w:ascii="Verdana" w:hAnsi="Verdana" w:cs="System Font Regular"/>
          <w:sz w:val="20"/>
          <w:szCs w:val="20"/>
          <w:lang w:val="pt-BR"/>
        </w:rPr>
        <w:t xml:space="preserve">osse </w:t>
      </w:r>
      <w:r w:rsidR="00342ACD" w:rsidRPr="0038442F">
        <w:rPr>
          <w:rFonts w:ascii="Verdana" w:hAnsi="Verdana" w:cs="System Font Regular"/>
          <w:sz w:val="20"/>
          <w:szCs w:val="20"/>
          <w:lang w:val="pt-BR"/>
        </w:rPr>
        <w:t>aplica</w:t>
      </w:r>
      <w:r w:rsidRPr="0038442F">
        <w:rPr>
          <w:rFonts w:ascii="Verdana" w:hAnsi="Verdana" w:cs="System Font Regular"/>
          <w:sz w:val="20"/>
          <w:szCs w:val="20"/>
          <w:lang w:val="pt-BR"/>
        </w:rPr>
        <w:t>d</w:t>
      </w:r>
      <w:r w:rsidR="00342ACD" w:rsidRPr="0038442F">
        <w:rPr>
          <w:rFonts w:ascii="Verdana" w:hAnsi="Verdana" w:cs="System Font Regular"/>
          <w:sz w:val="20"/>
          <w:szCs w:val="20"/>
          <w:lang w:val="pt-BR"/>
        </w:rPr>
        <w:t xml:space="preserve">a de </w:t>
      </w:r>
      <w:r w:rsidR="00F67B20">
        <w:rPr>
          <w:rFonts w:ascii="Verdana" w:hAnsi="Verdana" w:cs="System Font Regular"/>
          <w:sz w:val="20"/>
          <w:szCs w:val="20"/>
          <w:lang w:val="pt-BR"/>
        </w:rPr>
        <w:t>forma</w:t>
      </w:r>
      <w:r w:rsidR="00F67B20"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arbitr</w:t>
      </w:r>
      <w:r w:rsidR="00292EED" w:rsidRPr="0038442F">
        <w:rPr>
          <w:rFonts w:ascii="Verdana" w:hAnsi="Verdana" w:cs="System Font Regular"/>
          <w:sz w:val="20"/>
          <w:szCs w:val="20"/>
          <w:lang w:val="pt-BR"/>
        </w:rPr>
        <w:t>á</w:t>
      </w:r>
      <w:r w:rsidR="00342ACD" w:rsidRPr="0038442F">
        <w:rPr>
          <w:rFonts w:ascii="Verdana" w:hAnsi="Verdana" w:cs="System Font Regular"/>
          <w:sz w:val="20"/>
          <w:szCs w:val="20"/>
          <w:lang w:val="pt-BR"/>
        </w:rPr>
        <w:t xml:space="preserve">ria, </w:t>
      </w:r>
      <w:r w:rsidR="00292EED" w:rsidRPr="0038442F">
        <w:rPr>
          <w:rFonts w:ascii="Verdana" w:hAnsi="Verdana" w:cs="System Font Regular"/>
          <w:sz w:val="20"/>
          <w:szCs w:val="20"/>
          <w:lang w:val="pt-BR"/>
        </w:rPr>
        <w:t xml:space="preserve">mas não abordava como a </w:t>
      </w:r>
      <w:r w:rsidR="00342ACD" w:rsidRPr="0038442F">
        <w:rPr>
          <w:rFonts w:ascii="Verdana" w:hAnsi="Verdana" w:cs="System Font Regular"/>
          <w:sz w:val="20"/>
          <w:szCs w:val="20"/>
          <w:lang w:val="pt-BR"/>
        </w:rPr>
        <w:t xml:space="preserve">falta de normas </w:t>
      </w:r>
      <w:r w:rsidR="00292EED" w:rsidRPr="0038442F">
        <w:rPr>
          <w:rFonts w:ascii="Verdana" w:hAnsi="Verdana" w:cs="System Font Regular"/>
          <w:sz w:val="20"/>
          <w:szCs w:val="20"/>
          <w:lang w:val="pt-BR"/>
        </w:rPr>
        <w:t>– o</w:t>
      </w:r>
      <w:r w:rsidR="00F96746" w:rsidRPr="0038442F">
        <w:rPr>
          <w:rFonts w:ascii="Verdana" w:hAnsi="Verdana" w:cs="System Font Regular"/>
          <w:sz w:val="20"/>
          <w:szCs w:val="20"/>
          <w:lang w:val="pt-BR"/>
        </w:rPr>
        <w:t>u</w:t>
      </w:r>
      <w:r w:rsidR="00292EED" w:rsidRPr="0038442F">
        <w:rPr>
          <w:rFonts w:ascii="Verdana" w:hAnsi="Verdana" w:cs="System Font Regular"/>
          <w:sz w:val="20"/>
          <w:szCs w:val="20"/>
          <w:lang w:val="pt-BR"/>
        </w:rPr>
        <w:t xml:space="preserve"> seja, o fato de que </w:t>
      </w:r>
      <w:r w:rsidR="003F248B" w:rsidRPr="0038442F">
        <w:rPr>
          <w:rFonts w:ascii="Verdana" w:hAnsi="Verdana" w:cs="System Font Regular"/>
          <w:sz w:val="20"/>
          <w:szCs w:val="20"/>
          <w:lang w:val="pt-BR"/>
        </w:rPr>
        <w:t>fosse</w:t>
      </w:r>
      <w:r w:rsidR="00292EED" w:rsidRPr="0038442F">
        <w:rPr>
          <w:rFonts w:ascii="Verdana" w:hAnsi="Verdana" w:cs="System Font Regular"/>
          <w:sz w:val="20"/>
          <w:szCs w:val="20"/>
          <w:lang w:val="pt-BR"/>
        </w:rPr>
        <w:t xml:space="preserve"> desejável </w:t>
      </w:r>
      <w:r w:rsidR="00342ACD" w:rsidRPr="0038442F">
        <w:rPr>
          <w:rFonts w:ascii="Verdana" w:hAnsi="Verdana" w:cs="System Font Regular"/>
          <w:sz w:val="20"/>
          <w:szCs w:val="20"/>
          <w:lang w:val="pt-BR"/>
        </w:rPr>
        <w:t xml:space="preserve">que </w:t>
      </w:r>
      <w:r w:rsidR="000A1AA8" w:rsidRPr="0038442F">
        <w:rPr>
          <w:rFonts w:ascii="Verdana" w:hAnsi="Verdana" w:cs="System Font Regular"/>
          <w:sz w:val="20"/>
          <w:szCs w:val="20"/>
          <w:lang w:val="pt-BR"/>
        </w:rPr>
        <w:t xml:space="preserve">o Estado </w:t>
      </w:r>
      <w:r w:rsidR="00342ACD" w:rsidRPr="0038442F">
        <w:rPr>
          <w:rFonts w:ascii="Verdana" w:hAnsi="Verdana" w:cs="System Font Regular"/>
          <w:sz w:val="20"/>
          <w:szCs w:val="20"/>
          <w:lang w:val="pt-BR"/>
        </w:rPr>
        <w:t>adota</w:t>
      </w:r>
      <w:r w:rsidR="00292EED" w:rsidRPr="0038442F">
        <w:rPr>
          <w:rFonts w:ascii="Verdana" w:hAnsi="Verdana" w:cs="System Font Regular"/>
          <w:sz w:val="20"/>
          <w:szCs w:val="20"/>
          <w:lang w:val="pt-BR"/>
        </w:rPr>
        <w:t xml:space="preserve">sse </w:t>
      </w:r>
      <w:r w:rsidR="006A12FD" w:rsidRPr="0038442F">
        <w:rPr>
          <w:rFonts w:ascii="Verdana" w:hAnsi="Verdana" w:cs="System Font Regular"/>
          <w:sz w:val="20"/>
          <w:szCs w:val="20"/>
          <w:lang w:val="pt-BR"/>
        </w:rPr>
        <w:t>ações</w:t>
      </w:r>
      <w:r w:rsidR="00407242"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o</w:t>
      </w:r>
      <w:r w:rsidR="00292EED" w:rsidRPr="0038442F">
        <w:rPr>
          <w:rFonts w:ascii="Verdana" w:hAnsi="Verdana" w:cs="System Font Regular"/>
          <w:sz w:val="20"/>
          <w:szCs w:val="20"/>
          <w:lang w:val="pt-BR"/>
        </w:rPr>
        <w:t>u</w:t>
      </w:r>
      <w:r w:rsidR="00342ACD" w:rsidRPr="0038442F">
        <w:rPr>
          <w:rFonts w:ascii="Verdana" w:hAnsi="Verdana" w:cs="System Font Regular"/>
          <w:sz w:val="20"/>
          <w:szCs w:val="20"/>
          <w:lang w:val="pt-BR"/>
        </w:rPr>
        <w:t xml:space="preserve"> normas para </w:t>
      </w:r>
      <w:r w:rsidR="009612FB" w:rsidRPr="0038442F">
        <w:rPr>
          <w:rFonts w:ascii="Verdana" w:hAnsi="Verdana" w:cs="System Font Regular"/>
          <w:sz w:val="20"/>
          <w:szCs w:val="20"/>
          <w:lang w:val="pt-BR"/>
        </w:rPr>
        <w:t>garantir</w:t>
      </w:r>
      <w:r w:rsidR="00407242" w:rsidRPr="0038442F">
        <w:rPr>
          <w:rFonts w:ascii="Verdana" w:hAnsi="Verdana" w:cs="System Font Regular"/>
          <w:sz w:val="20"/>
          <w:szCs w:val="20"/>
          <w:lang w:val="pt-BR"/>
        </w:rPr>
        <w:t xml:space="preserve"> </w:t>
      </w:r>
      <w:r w:rsidR="000A1AA8" w:rsidRPr="0038442F">
        <w:rPr>
          <w:rFonts w:ascii="Verdana" w:hAnsi="Verdana" w:cs="System Font Regular"/>
          <w:sz w:val="20"/>
          <w:szCs w:val="20"/>
          <w:lang w:val="pt-BR"/>
        </w:rPr>
        <w:t xml:space="preserve">direitos </w:t>
      </w:r>
      <w:r w:rsidR="00292EED"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o</w:t>
      </w:r>
      <w:r w:rsidR="00292EED" w:rsidRPr="0038442F">
        <w:rPr>
          <w:rFonts w:ascii="Verdana" w:hAnsi="Verdana" w:cs="System Font Regular"/>
          <w:sz w:val="20"/>
          <w:szCs w:val="20"/>
          <w:lang w:val="pt-BR"/>
        </w:rPr>
        <w:t>u</w:t>
      </w:r>
      <w:r w:rsidR="00826AB8" w:rsidRPr="0038442F">
        <w:rPr>
          <w:rFonts w:ascii="Verdana" w:hAnsi="Verdana" w:cs="System Font Regular"/>
          <w:sz w:val="20"/>
          <w:szCs w:val="20"/>
          <w:lang w:val="pt-BR"/>
        </w:rPr>
        <w:t xml:space="preserve"> </w:t>
      </w:r>
      <w:r w:rsidR="00F96746" w:rsidRPr="0038442F">
        <w:rPr>
          <w:rFonts w:ascii="Verdana" w:hAnsi="Verdana" w:cs="System Font Regular"/>
          <w:sz w:val="20"/>
          <w:szCs w:val="20"/>
          <w:lang w:val="pt-BR"/>
        </w:rPr>
        <w:t>su</w:t>
      </w:r>
      <w:r w:rsidR="00826AB8" w:rsidRPr="0038442F">
        <w:rPr>
          <w:rFonts w:ascii="Verdana" w:hAnsi="Verdana" w:cs="System Font Regular"/>
          <w:sz w:val="20"/>
          <w:szCs w:val="20"/>
          <w:lang w:val="pt-BR"/>
        </w:rPr>
        <w:t>a insufici</w:t>
      </w:r>
      <w:r w:rsidR="00292EED" w:rsidRPr="0038442F">
        <w:rPr>
          <w:rFonts w:ascii="Verdana" w:hAnsi="Verdana" w:cs="System Font Regular"/>
          <w:sz w:val="20"/>
          <w:szCs w:val="20"/>
          <w:lang w:val="pt-BR"/>
        </w:rPr>
        <w:t>ê</w:t>
      </w:r>
      <w:r w:rsidR="00826AB8" w:rsidRPr="0038442F">
        <w:rPr>
          <w:rFonts w:ascii="Verdana" w:hAnsi="Verdana" w:cs="System Font Regular"/>
          <w:sz w:val="20"/>
          <w:szCs w:val="20"/>
          <w:lang w:val="pt-BR"/>
        </w:rPr>
        <w:t>ncia/inefic</w:t>
      </w:r>
      <w:r w:rsidR="00292EED" w:rsidRPr="0038442F">
        <w:rPr>
          <w:rFonts w:ascii="Verdana" w:hAnsi="Verdana" w:cs="System Font Regular"/>
          <w:sz w:val="20"/>
          <w:szCs w:val="20"/>
          <w:lang w:val="pt-BR"/>
        </w:rPr>
        <w:t>á</w:t>
      </w:r>
      <w:r w:rsidR="00826AB8" w:rsidRPr="0038442F">
        <w:rPr>
          <w:rFonts w:ascii="Verdana" w:hAnsi="Verdana" w:cs="System Font Regular"/>
          <w:sz w:val="20"/>
          <w:szCs w:val="20"/>
          <w:lang w:val="pt-BR"/>
        </w:rPr>
        <w:t xml:space="preserve">cia </w:t>
      </w:r>
      <w:r w:rsidRPr="0038442F">
        <w:rPr>
          <w:rFonts w:ascii="Verdana" w:hAnsi="Verdana" w:cs="System Font Regular"/>
          <w:sz w:val="20"/>
          <w:szCs w:val="20"/>
          <w:lang w:val="pt-BR"/>
        </w:rPr>
        <w:t>(</w:t>
      </w:r>
      <w:r w:rsidR="003654E3" w:rsidRPr="0038442F">
        <w:rPr>
          <w:rFonts w:ascii="Verdana" w:hAnsi="Verdana" w:cs="System Font Regular"/>
          <w:sz w:val="20"/>
          <w:szCs w:val="20"/>
          <w:lang w:val="pt-BR"/>
        </w:rPr>
        <w:t xml:space="preserve">independentemente de terem sido aplicadas </w:t>
      </w:r>
      <w:r w:rsidR="00751189" w:rsidRPr="0038442F">
        <w:rPr>
          <w:rFonts w:ascii="Verdana" w:hAnsi="Verdana" w:cs="System Font Regular"/>
          <w:sz w:val="20"/>
          <w:szCs w:val="20"/>
          <w:lang w:val="pt-BR"/>
        </w:rPr>
        <w:t xml:space="preserve">no </w:t>
      </w:r>
      <w:r w:rsidR="00826AB8" w:rsidRPr="0038442F">
        <w:rPr>
          <w:rFonts w:ascii="Verdana" w:hAnsi="Verdana" w:cs="System Font Regular"/>
          <w:sz w:val="20"/>
          <w:szCs w:val="20"/>
          <w:lang w:val="pt-BR"/>
        </w:rPr>
        <w:t>caso concreto</w:t>
      </w:r>
      <w:r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impacta</w:t>
      </w:r>
      <w:r w:rsidR="00F96746" w:rsidRPr="0038442F">
        <w:rPr>
          <w:rFonts w:ascii="Verdana" w:hAnsi="Verdana" w:cs="System Font Regular"/>
          <w:sz w:val="20"/>
          <w:szCs w:val="20"/>
          <w:lang w:val="pt-BR"/>
        </w:rPr>
        <w:t>v</w:t>
      </w:r>
      <w:r w:rsidR="00342ACD" w:rsidRPr="0038442F">
        <w:rPr>
          <w:rFonts w:ascii="Verdana" w:hAnsi="Verdana" w:cs="System Font Regular"/>
          <w:sz w:val="20"/>
          <w:szCs w:val="20"/>
          <w:lang w:val="pt-BR"/>
        </w:rPr>
        <w:t xml:space="preserve">a </w:t>
      </w:r>
      <w:r w:rsidR="00BF7A10" w:rsidRPr="0038442F">
        <w:rPr>
          <w:rFonts w:ascii="Verdana" w:hAnsi="Verdana" w:cs="System Font Regular"/>
          <w:sz w:val="20"/>
          <w:szCs w:val="20"/>
          <w:lang w:val="pt-BR"/>
        </w:rPr>
        <w:t xml:space="preserve">na </w:t>
      </w:r>
      <w:r w:rsidR="00342ACD" w:rsidRPr="0038442F">
        <w:rPr>
          <w:rFonts w:ascii="Verdana" w:hAnsi="Verdana" w:cs="System Font Regular"/>
          <w:sz w:val="20"/>
          <w:szCs w:val="20"/>
          <w:lang w:val="pt-BR"/>
        </w:rPr>
        <w:t xml:space="preserve">“igual </w:t>
      </w:r>
      <w:r w:rsidR="00751189" w:rsidRPr="0038442F">
        <w:rPr>
          <w:rFonts w:ascii="Verdana" w:hAnsi="Verdana" w:cs="System Font Regular"/>
          <w:sz w:val="20"/>
          <w:szCs w:val="20"/>
          <w:lang w:val="pt-BR"/>
        </w:rPr>
        <w:t>proteção</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751189" w:rsidRPr="0038442F">
        <w:rPr>
          <w:rFonts w:ascii="Verdana" w:hAnsi="Verdana" w:cs="System Font Regular"/>
          <w:sz w:val="20"/>
          <w:szCs w:val="20"/>
          <w:lang w:val="pt-BR"/>
        </w:rPr>
        <w:t>lei</w:t>
      </w:r>
      <w:r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w:t>
      </w:r>
      <w:r w:rsidR="00751189" w:rsidRPr="0038442F">
        <w:rPr>
          <w:rFonts w:ascii="Verdana" w:hAnsi="Verdana" w:cs="System Font Regular"/>
          <w:sz w:val="20"/>
          <w:szCs w:val="20"/>
          <w:lang w:val="pt-BR"/>
        </w:rPr>
        <w:t>sem</w:t>
      </w:r>
      <w:r w:rsidR="00407242"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discrimina</w:t>
      </w:r>
      <w:r w:rsidR="000A1AA8" w:rsidRPr="0038442F">
        <w:rPr>
          <w:rFonts w:ascii="Verdana" w:hAnsi="Verdana" w:cs="System Font Regular"/>
          <w:sz w:val="20"/>
          <w:szCs w:val="20"/>
          <w:lang w:val="pt-BR"/>
        </w:rPr>
        <w:t>ção</w:t>
      </w:r>
      <w:r w:rsidR="00342ACD" w:rsidRPr="0038442F">
        <w:rPr>
          <w:rFonts w:ascii="Verdana" w:hAnsi="Verdana" w:cs="System Font Regular"/>
          <w:sz w:val="20"/>
          <w:szCs w:val="20"/>
          <w:lang w:val="pt-BR"/>
        </w:rPr>
        <w:t>]”</w:t>
      </w:r>
      <w:r w:rsidR="00826AB8" w:rsidRPr="0038442F">
        <w:rPr>
          <w:rFonts w:ascii="Verdana" w:hAnsi="Verdana" w:cs="System Font Regular"/>
          <w:sz w:val="20"/>
          <w:szCs w:val="20"/>
          <w:lang w:val="pt-BR"/>
        </w:rPr>
        <w:t>.</w:t>
      </w:r>
      <w:r w:rsidR="00407242" w:rsidRPr="0038442F">
        <w:rPr>
          <w:rFonts w:ascii="Verdana" w:hAnsi="Verdana" w:cs="System Font Regular"/>
          <w:sz w:val="20"/>
          <w:szCs w:val="20"/>
          <w:lang w:val="pt-BR"/>
        </w:rPr>
        <w:t xml:space="preserve"> </w:t>
      </w:r>
    </w:p>
    <w:p w14:paraId="425D8CB0" w14:textId="77777777" w:rsidR="00C61238" w:rsidRPr="0038442F" w:rsidRDefault="00C61238" w:rsidP="00DA7255">
      <w:pPr>
        <w:pStyle w:val="Prrafodelista"/>
        <w:spacing w:after="0" w:line="240" w:lineRule="auto"/>
        <w:ind w:left="0"/>
        <w:jc w:val="both"/>
        <w:rPr>
          <w:rFonts w:ascii="Verdana" w:hAnsi="Verdana" w:cs="System Font Regular"/>
          <w:sz w:val="20"/>
          <w:szCs w:val="20"/>
          <w:lang w:val="pt-BR"/>
        </w:rPr>
      </w:pPr>
    </w:p>
    <w:p w14:paraId="19EB1913" w14:textId="6E188A72" w:rsidR="00B43AD1" w:rsidRPr="0038442F" w:rsidRDefault="00D71E3C" w:rsidP="00D71E3C">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107. </w:t>
      </w:r>
      <w:r w:rsidRPr="0038442F">
        <w:rPr>
          <w:rFonts w:ascii="Verdana" w:hAnsi="Verdana" w:cs="System Font Regular"/>
          <w:sz w:val="20"/>
          <w:szCs w:val="20"/>
          <w:lang w:val="pt-BR"/>
        </w:rPr>
        <w:tab/>
      </w:r>
      <w:r w:rsidR="00C61238" w:rsidRPr="0038442F">
        <w:rPr>
          <w:rFonts w:ascii="Verdana" w:hAnsi="Verdana" w:cs="System Font Regular"/>
          <w:sz w:val="20"/>
          <w:szCs w:val="20"/>
          <w:lang w:val="pt-BR"/>
        </w:rPr>
        <w:t>U</w:t>
      </w:r>
      <w:r w:rsidR="00CD5721" w:rsidRPr="0038442F">
        <w:rPr>
          <w:rFonts w:ascii="Verdana" w:hAnsi="Verdana" w:cs="System Font Regular"/>
          <w:sz w:val="20"/>
          <w:szCs w:val="20"/>
          <w:lang w:val="pt-BR"/>
        </w:rPr>
        <w:t>m</w:t>
      </w:r>
      <w:r w:rsidR="005B2027" w:rsidRPr="0038442F">
        <w:rPr>
          <w:rFonts w:ascii="Verdana" w:hAnsi="Verdana" w:cs="System Font Regular"/>
          <w:sz w:val="20"/>
          <w:szCs w:val="20"/>
          <w:lang w:val="pt-BR"/>
        </w:rPr>
        <w:t xml:space="preserve">a </w:t>
      </w:r>
      <w:r w:rsidR="00C92762" w:rsidRPr="0038442F">
        <w:rPr>
          <w:rFonts w:ascii="Verdana" w:hAnsi="Verdana" w:cs="System Font Regular"/>
          <w:sz w:val="20"/>
          <w:szCs w:val="20"/>
          <w:lang w:val="pt-BR"/>
        </w:rPr>
        <w:t xml:space="preserve">das </w:t>
      </w:r>
      <w:r w:rsidR="00CD5721" w:rsidRPr="0038442F">
        <w:rPr>
          <w:rFonts w:ascii="Verdana" w:hAnsi="Verdana" w:cs="System Font Regular"/>
          <w:sz w:val="20"/>
          <w:szCs w:val="20"/>
          <w:lang w:val="pt-BR"/>
        </w:rPr>
        <w:t xml:space="preserve">dúvidas era se </w:t>
      </w:r>
      <w:r w:rsidR="005B2027" w:rsidRPr="0038442F">
        <w:rPr>
          <w:rFonts w:ascii="Verdana" w:hAnsi="Verdana" w:cs="System Font Regular"/>
          <w:sz w:val="20"/>
          <w:szCs w:val="20"/>
          <w:lang w:val="pt-BR"/>
        </w:rPr>
        <w:t xml:space="preserve">“a </w:t>
      </w:r>
      <w:r w:rsidR="00C32361" w:rsidRPr="0038442F">
        <w:rPr>
          <w:rFonts w:ascii="Verdana" w:hAnsi="Verdana" w:cs="System Font Regular"/>
          <w:sz w:val="20"/>
          <w:szCs w:val="20"/>
          <w:lang w:val="pt-BR"/>
        </w:rPr>
        <w:t xml:space="preserve">não </w:t>
      </w:r>
      <w:r w:rsidR="005B2027" w:rsidRPr="0038442F">
        <w:rPr>
          <w:rFonts w:ascii="Verdana" w:hAnsi="Verdana" w:cs="System Font Regular"/>
          <w:sz w:val="20"/>
          <w:szCs w:val="20"/>
          <w:lang w:val="pt-BR"/>
        </w:rPr>
        <w:t>aplica</w:t>
      </w:r>
      <w:r w:rsidR="000A1AA8" w:rsidRPr="0038442F">
        <w:rPr>
          <w:rFonts w:ascii="Verdana" w:hAnsi="Verdana" w:cs="System Font Regular"/>
          <w:sz w:val="20"/>
          <w:szCs w:val="20"/>
          <w:lang w:val="pt-BR"/>
        </w:rPr>
        <w:t>ção</w:t>
      </w:r>
      <w:r w:rsidR="005B2027" w:rsidRPr="0038442F">
        <w:rPr>
          <w:rFonts w:ascii="Verdana" w:hAnsi="Verdana" w:cs="System Font Regular"/>
          <w:sz w:val="20"/>
          <w:szCs w:val="20"/>
          <w:lang w:val="pt-BR"/>
        </w:rPr>
        <w:t xml:space="preserve"> de normas</w:t>
      </w:r>
      <w:r w:rsidR="00342ACD" w:rsidRPr="0038442F">
        <w:rPr>
          <w:rFonts w:ascii="Verdana" w:hAnsi="Verdana" w:cs="System Font Regular"/>
          <w:sz w:val="20"/>
          <w:szCs w:val="20"/>
          <w:lang w:val="pt-BR"/>
        </w:rPr>
        <w:t>/</w:t>
      </w:r>
      <w:r w:rsidR="006A12FD" w:rsidRPr="0038442F">
        <w:rPr>
          <w:rFonts w:ascii="Verdana" w:hAnsi="Verdana" w:cs="System Font Regular"/>
          <w:sz w:val="20"/>
          <w:szCs w:val="20"/>
          <w:lang w:val="pt-BR"/>
        </w:rPr>
        <w:t>ações</w:t>
      </w:r>
      <w:r w:rsidR="00342ACD" w:rsidRPr="0038442F">
        <w:rPr>
          <w:rFonts w:ascii="Verdana" w:hAnsi="Verdana" w:cs="System Font Regular"/>
          <w:sz w:val="20"/>
          <w:szCs w:val="20"/>
          <w:lang w:val="pt-BR"/>
        </w:rPr>
        <w:t>” o</w:t>
      </w:r>
      <w:r w:rsidR="00C32361" w:rsidRPr="0038442F">
        <w:rPr>
          <w:rFonts w:ascii="Verdana" w:hAnsi="Verdana" w:cs="System Font Regular"/>
          <w:sz w:val="20"/>
          <w:szCs w:val="20"/>
          <w:lang w:val="pt-BR"/>
        </w:rPr>
        <w:t>u</w:t>
      </w:r>
      <w:r w:rsidR="00342ACD" w:rsidRPr="0038442F">
        <w:rPr>
          <w:rFonts w:ascii="Verdana" w:hAnsi="Verdana" w:cs="System Font Regular"/>
          <w:sz w:val="20"/>
          <w:szCs w:val="20"/>
          <w:lang w:val="pt-BR"/>
        </w:rPr>
        <w:t xml:space="preserve"> “a falta de </w:t>
      </w:r>
      <w:r w:rsidR="00826F7D" w:rsidRPr="0038442F">
        <w:rPr>
          <w:rFonts w:ascii="Verdana" w:hAnsi="Verdana" w:cs="System Font Regular"/>
          <w:sz w:val="20"/>
          <w:szCs w:val="20"/>
          <w:lang w:val="pt-BR"/>
        </w:rPr>
        <w:t>adoção</w:t>
      </w:r>
      <w:r w:rsidR="00407242" w:rsidRPr="0038442F">
        <w:rPr>
          <w:rFonts w:ascii="Verdana" w:hAnsi="Verdana" w:cs="System Font Regular"/>
          <w:sz w:val="20"/>
          <w:szCs w:val="20"/>
          <w:lang w:val="pt-BR"/>
        </w:rPr>
        <w:t xml:space="preserve"> </w:t>
      </w:r>
      <w:r w:rsidR="00342ACD" w:rsidRPr="0038442F">
        <w:rPr>
          <w:rFonts w:ascii="Verdana" w:hAnsi="Verdana" w:cs="System Font Regular"/>
          <w:sz w:val="20"/>
          <w:szCs w:val="20"/>
          <w:lang w:val="pt-BR"/>
        </w:rPr>
        <w:t>de normas/</w:t>
      </w:r>
      <w:r w:rsidR="006A12FD" w:rsidRPr="0038442F">
        <w:rPr>
          <w:rFonts w:ascii="Verdana" w:hAnsi="Verdana" w:cs="System Font Regular"/>
          <w:sz w:val="20"/>
          <w:szCs w:val="20"/>
          <w:lang w:val="pt-BR"/>
        </w:rPr>
        <w:t>ações</w:t>
      </w:r>
      <w:r w:rsidR="00342ACD" w:rsidRPr="0038442F">
        <w:rPr>
          <w:rFonts w:ascii="Verdana" w:hAnsi="Verdana" w:cs="System Font Regular"/>
          <w:sz w:val="20"/>
          <w:szCs w:val="20"/>
          <w:lang w:val="pt-BR"/>
        </w:rPr>
        <w:t>”</w:t>
      </w:r>
      <w:r w:rsidR="005B2027" w:rsidRPr="0038442F">
        <w:rPr>
          <w:rFonts w:ascii="Verdana" w:hAnsi="Verdana" w:cs="System Font Regular"/>
          <w:sz w:val="20"/>
          <w:szCs w:val="20"/>
          <w:lang w:val="pt-BR"/>
        </w:rPr>
        <w:t xml:space="preserve"> </w:t>
      </w:r>
      <w:r w:rsidR="00C32361" w:rsidRPr="0038442F">
        <w:rPr>
          <w:rFonts w:ascii="Verdana" w:hAnsi="Verdana" w:cs="System Font Regular"/>
          <w:sz w:val="20"/>
          <w:szCs w:val="20"/>
          <w:lang w:val="pt-BR"/>
        </w:rPr>
        <w:t xml:space="preserve">provocava um </w:t>
      </w:r>
      <w:r w:rsidR="005B2027" w:rsidRPr="0038442F">
        <w:rPr>
          <w:rFonts w:ascii="Verdana" w:hAnsi="Verdana" w:cs="System Font Regular"/>
          <w:sz w:val="20"/>
          <w:szCs w:val="20"/>
          <w:lang w:val="pt-BR"/>
        </w:rPr>
        <w:t xml:space="preserve">impacto </w:t>
      </w:r>
      <w:r w:rsidR="00C32361" w:rsidRPr="0038442F">
        <w:rPr>
          <w:rFonts w:ascii="Verdana" w:hAnsi="Verdana" w:cs="System Font Regular"/>
          <w:sz w:val="20"/>
          <w:szCs w:val="20"/>
          <w:lang w:val="pt-BR"/>
        </w:rPr>
        <w:t>desproporcional e</w:t>
      </w:r>
      <w:r w:rsidR="00826AB8" w:rsidRPr="0038442F">
        <w:rPr>
          <w:rFonts w:ascii="Verdana" w:hAnsi="Verdana" w:cs="System Font Regular"/>
          <w:sz w:val="20"/>
          <w:szCs w:val="20"/>
          <w:lang w:val="pt-BR"/>
        </w:rPr>
        <w:t xml:space="preserve">, </w:t>
      </w:r>
      <w:r w:rsidR="00C32361" w:rsidRPr="0038442F">
        <w:rPr>
          <w:rFonts w:ascii="Verdana" w:hAnsi="Verdana" w:cs="System Font Regular"/>
          <w:sz w:val="20"/>
          <w:szCs w:val="20"/>
          <w:lang w:val="pt-BR"/>
        </w:rPr>
        <w:t>por conseguinte</w:t>
      </w:r>
      <w:r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w:t>
      </w:r>
      <w:r w:rsidR="005B55A8" w:rsidRPr="0038442F">
        <w:rPr>
          <w:rFonts w:ascii="Verdana" w:hAnsi="Verdana" w:cs="System Font Regular"/>
          <w:sz w:val="20"/>
          <w:szCs w:val="20"/>
          <w:lang w:val="pt-BR"/>
        </w:rPr>
        <w:t>discriminatório</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w:t>
      </w:r>
      <w:r w:rsidR="000A1AA8" w:rsidRPr="0038442F">
        <w:rPr>
          <w:rFonts w:ascii="Verdana" w:hAnsi="Verdana" w:cs="System Font Regular"/>
          <w:sz w:val="20"/>
          <w:szCs w:val="20"/>
          <w:lang w:val="pt-BR"/>
        </w:rPr>
        <w:t xml:space="preserve">pela </w:t>
      </w:r>
      <w:r w:rsidR="00BF7A10" w:rsidRPr="0038442F">
        <w:rPr>
          <w:rFonts w:ascii="Verdana" w:hAnsi="Verdana" w:cs="System Font Regular"/>
          <w:sz w:val="20"/>
          <w:szCs w:val="20"/>
          <w:lang w:val="pt-BR"/>
        </w:rPr>
        <w:t>exclusão</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 xml:space="preserve">que </w:t>
      </w:r>
      <w:r w:rsidR="00F96746" w:rsidRPr="0038442F">
        <w:rPr>
          <w:rFonts w:ascii="Verdana" w:hAnsi="Verdana" w:cs="System Font Regular"/>
          <w:sz w:val="20"/>
          <w:szCs w:val="20"/>
          <w:lang w:val="pt-BR"/>
        </w:rPr>
        <w:t>gera</w:t>
      </w:r>
      <w:r w:rsidR="00C32361" w:rsidRPr="0038442F">
        <w:rPr>
          <w:rFonts w:ascii="Verdana" w:hAnsi="Verdana" w:cs="System Font Regular"/>
          <w:sz w:val="20"/>
          <w:szCs w:val="20"/>
          <w:lang w:val="pt-BR"/>
        </w:rPr>
        <w:t xml:space="preserve"> no desfrute de um </w:t>
      </w:r>
      <w:r w:rsidR="00CA30C5" w:rsidRPr="0038442F">
        <w:rPr>
          <w:rFonts w:ascii="Verdana" w:hAnsi="Verdana" w:cs="System Font Regular"/>
          <w:sz w:val="20"/>
          <w:szCs w:val="20"/>
          <w:lang w:val="pt-BR"/>
        </w:rPr>
        <w:t>direito</w:t>
      </w:r>
      <w:r w:rsidR="00826AB8" w:rsidRPr="0038442F">
        <w:rPr>
          <w:rFonts w:ascii="Verdana" w:hAnsi="Verdana" w:cs="System Font Regular"/>
          <w:sz w:val="20"/>
          <w:szCs w:val="20"/>
          <w:lang w:val="pt-BR"/>
        </w:rPr>
        <w:t>)</w:t>
      </w:r>
      <w:r w:rsidR="00342ACD" w:rsidRPr="0038442F">
        <w:rPr>
          <w:rFonts w:ascii="Verdana" w:hAnsi="Verdana" w:cs="System Font Regular"/>
          <w:sz w:val="20"/>
          <w:szCs w:val="20"/>
          <w:lang w:val="pt-BR"/>
        </w:rPr>
        <w:t xml:space="preserve">, </w:t>
      </w:r>
      <w:r w:rsidR="005B2027" w:rsidRPr="0038442F">
        <w:rPr>
          <w:rFonts w:ascii="Verdana" w:hAnsi="Verdana" w:cs="System Font Regular"/>
          <w:sz w:val="20"/>
          <w:szCs w:val="20"/>
          <w:lang w:val="pt-BR"/>
        </w:rPr>
        <w:t>d</w:t>
      </w:r>
      <w:r w:rsidR="00C32361" w:rsidRPr="0038442F">
        <w:rPr>
          <w:rFonts w:ascii="Verdana" w:hAnsi="Verdana" w:cs="System Font Regular"/>
          <w:sz w:val="20"/>
          <w:szCs w:val="20"/>
          <w:lang w:val="pt-BR"/>
        </w:rPr>
        <w:t xml:space="preserve">o ponto de </w:t>
      </w:r>
      <w:r w:rsidR="005B2027" w:rsidRPr="0038442F">
        <w:rPr>
          <w:rFonts w:ascii="Verdana" w:hAnsi="Verdana" w:cs="System Font Regular"/>
          <w:sz w:val="20"/>
          <w:szCs w:val="20"/>
          <w:lang w:val="pt-BR"/>
        </w:rPr>
        <w:t>vista d</w:t>
      </w:r>
      <w:r w:rsidR="00C32361" w:rsidRPr="0038442F">
        <w:rPr>
          <w:rFonts w:ascii="Verdana" w:hAnsi="Verdana" w:cs="System Font Regular"/>
          <w:sz w:val="20"/>
          <w:szCs w:val="20"/>
          <w:lang w:val="pt-BR"/>
        </w:rPr>
        <w:t>a</w:t>
      </w:r>
      <w:r w:rsidR="005B2027" w:rsidRPr="0038442F">
        <w:rPr>
          <w:rFonts w:ascii="Verdana" w:hAnsi="Verdana" w:cs="System Font Regular"/>
          <w:sz w:val="20"/>
          <w:szCs w:val="20"/>
          <w:lang w:val="pt-BR"/>
        </w:rPr>
        <w:t xml:space="preserve"> “</w:t>
      </w:r>
      <w:r w:rsidR="005B2027" w:rsidRPr="0038442F">
        <w:rPr>
          <w:rFonts w:ascii="Verdana" w:hAnsi="Verdana"/>
          <w:sz w:val="20"/>
          <w:szCs w:val="20"/>
          <w:lang w:val="pt-BR"/>
        </w:rPr>
        <w:t xml:space="preserve">igual </w:t>
      </w:r>
      <w:r w:rsidR="00751189" w:rsidRPr="0038442F">
        <w:rPr>
          <w:rFonts w:ascii="Verdana" w:hAnsi="Verdana"/>
          <w:sz w:val="20"/>
          <w:szCs w:val="20"/>
          <w:lang w:val="pt-BR"/>
        </w:rPr>
        <w:t>proteção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751189" w:rsidRPr="0038442F">
        <w:rPr>
          <w:rFonts w:ascii="Verdana" w:hAnsi="Verdana"/>
          <w:sz w:val="20"/>
          <w:szCs w:val="20"/>
          <w:lang w:val="pt-BR"/>
        </w:rPr>
        <w:t>lei</w:t>
      </w:r>
      <w:r w:rsidR="005B2027" w:rsidRPr="0038442F">
        <w:rPr>
          <w:rFonts w:ascii="Verdana" w:hAnsi="Verdana"/>
          <w:sz w:val="20"/>
          <w:szCs w:val="20"/>
          <w:lang w:val="pt-BR"/>
        </w:rPr>
        <w:t>”, e</w:t>
      </w:r>
      <w:r w:rsidR="00C32361" w:rsidRPr="0038442F">
        <w:rPr>
          <w:rFonts w:ascii="Verdana" w:hAnsi="Verdana"/>
          <w:sz w:val="20"/>
          <w:szCs w:val="20"/>
          <w:lang w:val="pt-BR"/>
        </w:rPr>
        <w:t>m</w:t>
      </w:r>
      <w:r w:rsidR="005B2027" w:rsidRPr="0038442F">
        <w:rPr>
          <w:rFonts w:ascii="Verdana" w:hAnsi="Verdana"/>
          <w:sz w:val="20"/>
          <w:szCs w:val="20"/>
          <w:lang w:val="pt-BR"/>
        </w:rPr>
        <w:t xml:space="preserve"> especial </w:t>
      </w:r>
      <w:r w:rsidR="00C32361" w:rsidRPr="0038442F">
        <w:rPr>
          <w:rFonts w:ascii="Verdana" w:hAnsi="Verdana"/>
          <w:sz w:val="20"/>
          <w:szCs w:val="20"/>
          <w:lang w:val="pt-BR"/>
        </w:rPr>
        <w:t>q</w:t>
      </w:r>
      <w:r w:rsidR="005B2027" w:rsidRPr="0038442F">
        <w:rPr>
          <w:rFonts w:ascii="Verdana" w:hAnsi="Verdana"/>
          <w:sz w:val="20"/>
          <w:szCs w:val="20"/>
          <w:lang w:val="pt-BR"/>
        </w:rPr>
        <w:t xml:space="preserve">uando se </w:t>
      </w:r>
      <w:r w:rsidR="00C32361" w:rsidRPr="0038442F">
        <w:rPr>
          <w:rFonts w:ascii="Verdana" w:hAnsi="Verdana"/>
          <w:sz w:val="20"/>
          <w:szCs w:val="20"/>
          <w:lang w:val="pt-BR"/>
        </w:rPr>
        <w:t xml:space="preserve">havia demonstrado </w:t>
      </w:r>
      <w:r w:rsidR="008E44AB" w:rsidRPr="0038442F">
        <w:rPr>
          <w:rFonts w:ascii="Verdana" w:hAnsi="Verdana"/>
          <w:sz w:val="20"/>
          <w:szCs w:val="20"/>
          <w:lang w:val="pt-BR"/>
        </w:rPr>
        <w:t xml:space="preserve">a </w:t>
      </w:r>
      <w:r w:rsidR="00246A73" w:rsidRPr="0038442F">
        <w:rPr>
          <w:rFonts w:ascii="Verdana" w:hAnsi="Verdana"/>
          <w:sz w:val="20"/>
          <w:szCs w:val="20"/>
          <w:lang w:val="pt-BR"/>
        </w:rPr>
        <w:t>existência</w:t>
      </w:r>
      <w:r w:rsidR="00407242" w:rsidRPr="0038442F">
        <w:rPr>
          <w:rFonts w:ascii="Verdana" w:hAnsi="Verdana"/>
          <w:sz w:val="20"/>
          <w:szCs w:val="20"/>
          <w:lang w:val="pt-BR"/>
        </w:rPr>
        <w:t xml:space="preserve"> </w:t>
      </w:r>
      <w:r w:rsidR="008E44AB" w:rsidRPr="0038442F">
        <w:rPr>
          <w:rFonts w:ascii="Verdana" w:hAnsi="Verdana"/>
          <w:sz w:val="20"/>
          <w:szCs w:val="20"/>
          <w:lang w:val="pt-BR"/>
        </w:rPr>
        <w:t>de discrimina</w:t>
      </w:r>
      <w:r w:rsidR="000A1AA8" w:rsidRPr="0038442F">
        <w:rPr>
          <w:rFonts w:ascii="Verdana" w:hAnsi="Verdana"/>
          <w:sz w:val="20"/>
          <w:szCs w:val="20"/>
          <w:lang w:val="pt-BR"/>
        </w:rPr>
        <w:t>ção</w:t>
      </w:r>
      <w:r w:rsidR="008E44AB" w:rsidRPr="0038442F">
        <w:rPr>
          <w:rFonts w:ascii="Verdana" w:hAnsi="Verdana"/>
          <w:sz w:val="20"/>
          <w:szCs w:val="20"/>
          <w:lang w:val="pt-BR"/>
        </w:rPr>
        <w:t xml:space="preserve"> indireta </w:t>
      </w:r>
      <w:r w:rsidR="00C32361" w:rsidRPr="0038442F">
        <w:rPr>
          <w:rFonts w:ascii="Verdana" w:hAnsi="Verdana"/>
          <w:sz w:val="20"/>
          <w:szCs w:val="20"/>
          <w:lang w:val="pt-BR"/>
        </w:rPr>
        <w:t>e</w:t>
      </w:r>
      <w:r w:rsidR="00C0142F" w:rsidRPr="0038442F">
        <w:rPr>
          <w:rFonts w:ascii="Verdana" w:hAnsi="Verdana"/>
          <w:sz w:val="20"/>
          <w:szCs w:val="20"/>
          <w:lang w:val="pt-BR"/>
        </w:rPr>
        <w:t xml:space="preserve"> </w:t>
      </w:r>
      <w:r w:rsidR="00C32361" w:rsidRPr="0038442F">
        <w:rPr>
          <w:rFonts w:ascii="Verdana" w:hAnsi="Verdana"/>
          <w:sz w:val="20"/>
          <w:szCs w:val="20"/>
          <w:lang w:val="pt-BR"/>
        </w:rPr>
        <w:t xml:space="preserve">padrões </w:t>
      </w:r>
      <w:r w:rsidR="00C0142F" w:rsidRPr="0038442F">
        <w:rPr>
          <w:rFonts w:ascii="Verdana" w:hAnsi="Verdana"/>
          <w:sz w:val="20"/>
          <w:szCs w:val="20"/>
          <w:lang w:val="pt-BR"/>
        </w:rPr>
        <w:t>de discrimina</w:t>
      </w:r>
      <w:r w:rsidR="000A1AA8" w:rsidRPr="0038442F">
        <w:rPr>
          <w:rFonts w:ascii="Verdana" w:hAnsi="Verdana"/>
          <w:sz w:val="20"/>
          <w:szCs w:val="20"/>
          <w:lang w:val="pt-BR"/>
        </w:rPr>
        <w:t>ção</w:t>
      </w:r>
      <w:r w:rsidR="008E44AB" w:rsidRPr="0038442F">
        <w:rPr>
          <w:rFonts w:ascii="Verdana" w:hAnsi="Verdana"/>
          <w:sz w:val="20"/>
          <w:szCs w:val="20"/>
          <w:lang w:val="pt-BR"/>
        </w:rPr>
        <w:t xml:space="preserve"> </w:t>
      </w:r>
      <w:r w:rsidR="006445EE" w:rsidRPr="0038442F">
        <w:rPr>
          <w:rFonts w:ascii="Verdana" w:hAnsi="Verdana"/>
          <w:sz w:val="20"/>
          <w:szCs w:val="20"/>
          <w:lang w:val="pt-BR"/>
        </w:rPr>
        <w:t>estrutural</w:t>
      </w:r>
      <w:r w:rsidR="00407242" w:rsidRPr="0038442F">
        <w:rPr>
          <w:rFonts w:ascii="Verdana" w:hAnsi="Verdana"/>
          <w:sz w:val="20"/>
          <w:szCs w:val="20"/>
          <w:lang w:val="pt-BR"/>
        </w:rPr>
        <w:t xml:space="preserve"> </w:t>
      </w:r>
      <w:r w:rsidR="00C0142F" w:rsidRPr="0038442F">
        <w:rPr>
          <w:rFonts w:ascii="Verdana" w:hAnsi="Verdana"/>
          <w:sz w:val="20"/>
          <w:szCs w:val="20"/>
          <w:lang w:val="pt-BR"/>
        </w:rPr>
        <w:t xml:space="preserve">contra grupos </w:t>
      </w:r>
      <w:r w:rsidR="00C61238" w:rsidRPr="0038442F">
        <w:rPr>
          <w:rFonts w:ascii="Verdana" w:hAnsi="Verdana"/>
          <w:sz w:val="20"/>
          <w:szCs w:val="20"/>
          <w:lang w:val="pt-BR"/>
        </w:rPr>
        <w:t>sistem</w:t>
      </w:r>
      <w:r w:rsidR="00C32361" w:rsidRPr="0038442F">
        <w:rPr>
          <w:rFonts w:ascii="Verdana" w:hAnsi="Verdana"/>
          <w:sz w:val="20"/>
          <w:szCs w:val="20"/>
          <w:lang w:val="pt-BR"/>
        </w:rPr>
        <w:t>a</w:t>
      </w:r>
      <w:r w:rsidR="00C61238" w:rsidRPr="0038442F">
        <w:rPr>
          <w:rFonts w:ascii="Verdana" w:hAnsi="Verdana"/>
          <w:sz w:val="20"/>
          <w:szCs w:val="20"/>
          <w:lang w:val="pt-BR"/>
        </w:rPr>
        <w:t>ticamente</w:t>
      </w:r>
      <w:r w:rsidR="00C0142F" w:rsidRPr="0038442F">
        <w:rPr>
          <w:rFonts w:ascii="Verdana" w:hAnsi="Verdana"/>
          <w:sz w:val="20"/>
          <w:szCs w:val="20"/>
          <w:lang w:val="pt-BR"/>
        </w:rPr>
        <w:t xml:space="preserve"> discriminados</w:t>
      </w:r>
      <w:r w:rsidR="00C32361" w:rsidRPr="0038442F">
        <w:rPr>
          <w:rFonts w:ascii="Verdana" w:hAnsi="Verdana"/>
          <w:sz w:val="20"/>
          <w:szCs w:val="20"/>
          <w:lang w:val="pt-BR"/>
        </w:rPr>
        <w:t>.</w:t>
      </w:r>
      <w:r w:rsidR="005B2027" w:rsidRPr="0038442F">
        <w:rPr>
          <w:rStyle w:val="Refdenotaalpie"/>
          <w:rFonts w:ascii="Verdana" w:hAnsi="Verdana"/>
          <w:sz w:val="20"/>
          <w:szCs w:val="20"/>
          <w:lang w:val="pt-BR"/>
        </w:rPr>
        <w:footnoteReference w:id="167"/>
      </w:r>
      <w:r w:rsidR="005B2027" w:rsidRPr="0038442F">
        <w:rPr>
          <w:rFonts w:ascii="Verdana" w:hAnsi="Verdana"/>
          <w:sz w:val="20"/>
          <w:szCs w:val="20"/>
          <w:lang w:val="pt-BR"/>
        </w:rPr>
        <w:t xml:space="preserve"> </w:t>
      </w:r>
    </w:p>
    <w:p w14:paraId="6B2DBF46" w14:textId="77777777" w:rsidR="00826AB8" w:rsidRPr="0038442F" w:rsidRDefault="00826AB8" w:rsidP="00A857CB">
      <w:pPr>
        <w:pStyle w:val="Prrafodelista"/>
        <w:spacing w:after="0" w:line="240" w:lineRule="auto"/>
        <w:ind w:left="0"/>
        <w:jc w:val="both"/>
        <w:rPr>
          <w:rFonts w:ascii="Verdana" w:hAnsi="Verdana"/>
          <w:sz w:val="20"/>
          <w:szCs w:val="20"/>
          <w:lang w:val="pt-BR"/>
        </w:rPr>
      </w:pPr>
    </w:p>
    <w:p w14:paraId="550FC44F" w14:textId="4A850800" w:rsidR="00826AB8" w:rsidRPr="0038442F" w:rsidRDefault="00D71E3C" w:rsidP="00D71E3C">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108. </w:t>
      </w:r>
      <w:r w:rsidRPr="0038442F">
        <w:rPr>
          <w:rFonts w:ascii="Verdana" w:hAnsi="Verdana" w:cs="System Font Regular"/>
          <w:sz w:val="20"/>
          <w:szCs w:val="20"/>
          <w:lang w:val="pt-BR"/>
        </w:rPr>
        <w:tab/>
      </w:r>
      <w:r w:rsidR="00826AB8" w:rsidRPr="0038442F">
        <w:rPr>
          <w:rFonts w:ascii="Verdana" w:hAnsi="Verdana" w:cs="System Font Regular"/>
          <w:sz w:val="20"/>
          <w:szCs w:val="20"/>
          <w:lang w:val="pt-BR"/>
        </w:rPr>
        <w:t>As</w:t>
      </w:r>
      <w:r w:rsidR="00C32361" w:rsidRPr="0038442F">
        <w:rPr>
          <w:rFonts w:ascii="Verdana" w:hAnsi="Verdana" w:cs="System Font Regular"/>
          <w:sz w:val="20"/>
          <w:szCs w:val="20"/>
          <w:lang w:val="pt-BR"/>
        </w:rPr>
        <w:t>sim</w:t>
      </w:r>
      <w:r w:rsidR="00826AB8" w:rsidRPr="0038442F">
        <w:rPr>
          <w:rFonts w:ascii="Verdana" w:hAnsi="Verdana" w:cs="System Font Regular"/>
          <w:sz w:val="20"/>
          <w:szCs w:val="20"/>
          <w:lang w:val="pt-BR"/>
        </w:rPr>
        <w:t xml:space="preserve">, </w:t>
      </w:r>
      <w:r w:rsidR="00BF7A10" w:rsidRPr="0038442F">
        <w:rPr>
          <w:rFonts w:ascii="Verdana" w:hAnsi="Verdana" w:cs="System Font Regular"/>
          <w:sz w:val="20"/>
          <w:szCs w:val="20"/>
          <w:lang w:val="pt-BR"/>
        </w:rPr>
        <w:t>na sentença</w:t>
      </w:r>
      <w:r w:rsidR="00C32361" w:rsidRPr="0038442F">
        <w:rPr>
          <w:rFonts w:ascii="Verdana" w:hAnsi="Verdana" w:cs="System Font Regular"/>
          <w:sz w:val="20"/>
          <w:szCs w:val="20"/>
          <w:lang w:val="pt-BR"/>
        </w:rPr>
        <w:t>,</w:t>
      </w:r>
      <w:r w:rsidR="00407242" w:rsidRPr="0038442F">
        <w:rPr>
          <w:rFonts w:ascii="Verdana" w:hAnsi="Verdana" w:cs="System Font Regular"/>
          <w:sz w:val="20"/>
          <w:szCs w:val="20"/>
          <w:lang w:val="pt-BR"/>
        </w:rPr>
        <w:t xml:space="preserve"> </w:t>
      </w:r>
      <w:r w:rsidR="008806F8" w:rsidRPr="0038442F">
        <w:rPr>
          <w:rFonts w:ascii="Verdana" w:hAnsi="Verdana" w:cs="System Font Regular"/>
          <w:sz w:val="20"/>
          <w:szCs w:val="20"/>
          <w:lang w:val="pt-BR"/>
        </w:rPr>
        <w:t xml:space="preserve">a Corte </w:t>
      </w:r>
      <w:r w:rsidRPr="0038442F">
        <w:rPr>
          <w:rFonts w:ascii="Verdana" w:hAnsi="Verdana" w:cs="System Font Regular"/>
          <w:sz w:val="20"/>
          <w:szCs w:val="20"/>
          <w:lang w:val="pt-BR"/>
        </w:rPr>
        <w:t xml:space="preserve">IDH </w:t>
      </w:r>
      <w:r w:rsidR="00C32361" w:rsidRPr="0038442F">
        <w:rPr>
          <w:rFonts w:ascii="Verdana" w:hAnsi="Verdana" w:cs="System Font Regular"/>
          <w:sz w:val="20"/>
          <w:szCs w:val="20"/>
          <w:lang w:val="pt-BR"/>
        </w:rPr>
        <w:t xml:space="preserve">reconhece, pela </w:t>
      </w:r>
      <w:r w:rsidR="00CA30C5" w:rsidRPr="0038442F">
        <w:rPr>
          <w:rFonts w:ascii="Verdana" w:hAnsi="Verdana" w:cs="System Font Regular"/>
          <w:sz w:val="20"/>
          <w:szCs w:val="20"/>
          <w:lang w:val="pt-BR"/>
        </w:rPr>
        <w:t>primeira</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vez</w:t>
      </w:r>
      <w:r w:rsidR="00C32361"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de </w:t>
      </w:r>
      <w:r w:rsidR="006A12FD" w:rsidRPr="0038442F">
        <w:rPr>
          <w:rFonts w:ascii="Verdana" w:hAnsi="Verdana" w:cs="System Font Regular"/>
          <w:sz w:val="20"/>
          <w:szCs w:val="20"/>
          <w:lang w:val="pt-BR"/>
        </w:rPr>
        <w:t>maneira</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 xml:space="preserve">explícita que: </w:t>
      </w:r>
    </w:p>
    <w:p w14:paraId="58EAE97B" w14:textId="77777777" w:rsidR="00826AB8" w:rsidRPr="0038442F" w:rsidRDefault="00826AB8" w:rsidP="00A857CB">
      <w:pPr>
        <w:pStyle w:val="Prrafodelista"/>
        <w:spacing w:line="240" w:lineRule="auto"/>
        <w:rPr>
          <w:rFonts w:ascii="Verdana" w:hAnsi="Verdana" w:cs="System Font Regular"/>
          <w:sz w:val="20"/>
          <w:szCs w:val="20"/>
          <w:lang w:val="pt-BR"/>
        </w:rPr>
      </w:pPr>
    </w:p>
    <w:p w14:paraId="470C0B45" w14:textId="667C7306" w:rsidR="00826AB8" w:rsidRPr="0038442F" w:rsidRDefault="00C61238" w:rsidP="00A857CB">
      <w:pPr>
        <w:pStyle w:val="Prrafodelista"/>
        <w:spacing w:after="0" w:line="240" w:lineRule="auto"/>
        <w:ind w:left="708" w:right="757"/>
        <w:jc w:val="both"/>
        <w:rPr>
          <w:rFonts w:ascii="Verdana" w:hAnsi="Verdana" w:cs="System Font Regular"/>
          <w:sz w:val="18"/>
          <w:szCs w:val="18"/>
          <w:lang w:val="pt-BR"/>
        </w:rPr>
      </w:pPr>
      <w:r w:rsidRPr="0038442F">
        <w:rPr>
          <w:rFonts w:ascii="Verdana" w:hAnsi="Verdana"/>
          <w:sz w:val="18"/>
          <w:szCs w:val="18"/>
          <w:lang w:val="pt-BR"/>
        </w:rPr>
        <w:t xml:space="preserve">199. </w:t>
      </w:r>
      <w:r w:rsidR="00C32361" w:rsidRPr="0038442F">
        <w:rPr>
          <w:rFonts w:ascii="Verdana" w:hAnsi="Verdana"/>
          <w:iCs/>
          <w:sz w:val="18"/>
          <w:szCs w:val="18"/>
          <w:lang w:val="pt-BR"/>
        </w:rPr>
        <w:t>Por outro lado, a Corte conclui que, do artigo 24 da Convenção, decorre um mandato destinado a garantir a igualdade material, o que não ocorreu no presente caso. Nesse sentido, o direito à igualdade, garantido pelo artigo 24 da Convenção, apresenta duas dimensões, a primeira</w:t>
      </w:r>
      <w:r w:rsidR="00C32361" w:rsidRPr="0038442F">
        <w:rPr>
          <w:rFonts w:ascii="Verdana" w:hAnsi="Verdana"/>
          <w:iCs/>
          <w:lang w:val="pt-BR"/>
        </w:rPr>
        <w:t xml:space="preserve"> </w:t>
      </w:r>
      <w:r w:rsidR="00C92762" w:rsidRPr="0038442F">
        <w:rPr>
          <w:rFonts w:ascii="Verdana" w:hAnsi="Verdana"/>
          <w:i/>
          <w:iCs/>
          <w:sz w:val="18"/>
          <w:szCs w:val="18"/>
          <w:lang w:val="pt-BR"/>
        </w:rPr>
        <w:t>uma</w:t>
      </w:r>
      <w:r w:rsidR="00407242" w:rsidRPr="0038442F">
        <w:rPr>
          <w:rFonts w:ascii="Verdana" w:hAnsi="Verdana"/>
          <w:i/>
          <w:iCs/>
          <w:sz w:val="18"/>
          <w:szCs w:val="18"/>
          <w:lang w:val="pt-BR"/>
        </w:rPr>
        <w:t xml:space="preserve"> </w:t>
      </w:r>
      <w:r w:rsidR="00826AB8" w:rsidRPr="0038442F">
        <w:rPr>
          <w:rFonts w:ascii="Verdana" w:hAnsi="Verdana"/>
          <w:i/>
          <w:iCs/>
          <w:sz w:val="18"/>
          <w:szCs w:val="18"/>
          <w:lang w:val="pt-BR"/>
        </w:rPr>
        <w:t>dimens</w:t>
      </w:r>
      <w:r w:rsidR="00C32361" w:rsidRPr="0038442F">
        <w:rPr>
          <w:rFonts w:ascii="Verdana" w:hAnsi="Verdana"/>
          <w:i/>
          <w:iCs/>
          <w:sz w:val="18"/>
          <w:szCs w:val="18"/>
          <w:lang w:val="pt-BR"/>
        </w:rPr>
        <w:t>ão</w:t>
      </w:r>
      <w:r w:rsidR="00826AB8" w:rsidRPr="0038442F">
        <w:rPr>
          <w:rFonts w:ascii="Verdana" w:hAnsi="Verdana"/>
          <w:i/>
          <w:iCs/>
          <w:sz w:val="18"/>
          <w:szCs w:val="18"/>
          <w:lang w:val="pt-BR"/>
        </w:rPr>
        <w:t xml:space="preserve"> formal</w:t>
      </w:r>
      <w:r w:rsidR="00826AB8" w:rsidRPr="0038442F">
        <w:rPr>
          <w:rFonts w:ascii="Verdana" w:hAnsi="Verdana"/>
          <w:iCs/>
          <w:sz w:val="18"/>
          <w:szCs w:val="18"/>
          <w:lang w:val="pt-BR"/>
        </w:rPr>
        <w:t xml:space="preserve">, que </w:t>
      </w:r>
      <w:r w:rsidR="004E50C1" w:rsidRPr="0038442F">
        <w:rPr>
          <w:rFonts w:ascii="Verdana" w:hAnsi="Verdana"/>
          <w:iCs/>
          <w:sz w:val="18"/>
          <w:szCs w:val="18"/>
          <w:lang w:val="pt-BR"/>
        </w:rPr>
        <w:t>estabelece</w:t>
      </w:r>
      <w:r w:rsidR="00407242" w:rsidRPr="0038442F">
        <w:rPr>
          <w:rFonts w:ascii="Verdana" w:hAnsi="Verdana"/>
          <w:iCs/>
          <w:sz w:val="18"/>
          <w:szCs w:val="18"/>
          <w:lang w:val="pt-BR"/>
        </w:rPr>
        <w:t xml:space="preserve"> </w:t>
      </w:r>
      <w:r w:rsidR="00826AB8" w:rsidRPr="0038442F">
        <w:rPr>
          <w:rFonts w:ascii="Verdana" w:hAnsi="Verdana"/>
          <w:iCs/>
          <w:sz w:val="18"/>
          <w:szCs w:val="18"/>
          <w:lang w:val="pt-BR"/>
        </w:rPr>
        <w:t xml:space="preserve">a </w:t>
      </w:r>
      <w:r w:rsidR="009612FB" w:rsidRPr="0038442F">
        <w:rPr>
          <w:rFonts w:ascii="Verdana" w:hAnsi="Verdana"/>
          <w:iCs/>
          <w:sz w:val="18"/>
          <w:szCs w:val="18"/>
          <w:lang w:val="pt-BR"/>
        </w:rPr>
        <w:t>igualdade</w:t>
      </w:r>
      <w:r w:rsidR="00407242" w:rsidRPr="0038442F">
        <w:rPr>
          <w:rFonts w:ascii="Verdana" w:hAnsi="Verdana"/>
          <w:iCs/>
          <w:sz w:val="18"/>
          <w:szCs w:val="18"/>
          <w:lang w:val="pt-BR"/>
        </w:rPr>
        <w:t xml:space="preserve"> </w:t>
      </w:r>
      <w:r w:rsidR="005B55A8" w:rsidRPr="0038442F">
        <w:rPr>
          <w:rFonts w:ascii="Verdana" w:hAnsi="Verdana"/>
          <w:iCs/>
          <w:sz w:val="18"/>
          <w:szCs w:val="18"/>
          <w:lang w:val="pt-BR"/>
        </w:rPr>
        <w:t>perante a lei</w:t>
      </w:r>
      <w:r w:rsidR="00826AB8" w:rsidRPr="0038442F">
        <w:rPr>
          <w:rFonts w:ascii="Verdana" w:hAnsi="Verdana"/>
          <w:iCs/>
          <w:sz w:val="18"/>
          <w:szCs w:val="18"/>
          <w:lang w:val="pt-BR"/>
        </w:rPr>
        <w:t xml:space="preserve">. </w:t>
      </w:r>
      <w:r w:rsidR="00C32361" w:rsidRPr="0038442F">
        <w:rPr>
          <w:rFonts w:ascii="Verdana" w:hAnsi="Verdana"/>
          <w:iCs/>
          <w:sz w:val="18"/>
          <w:szCs w:val="18"/>
          <w:lang w:val="pt-BR"/>
        </w:rPr>
        <w:t>A</w:t>
      </w:r>
      <w:r w:rsidR="00826AB8" w:rsidRPr="0038442F">
        <w:rPr>
          <w:rFonts w:ascii="Verdana" w:hAnsi="Verdana"/>
          <w:iCs/>
          <w:sz w:val="18"/>
          <w:szCs w:val="18"/>
          <w:lang w:val="pt-BR"/>
        </w:rPr>
        <w:t xml:space="preserve"> segunda, </w:t>
      </w:r>
      <w:r w:rsidR="00C92762" w:rsidRPr="0038442F">
        <w:rPr>
          <w:rFonts w:ascii="Verdana" w:hAnsi="Verdana"/>
          <w:i/>
          <w:iCs/>
          <w:sz w:val="18"/>
          <w:szCs w:val="18"/>
          <w:lang w:val="pt-BR"/>
        </w:rPr>
        <w:t>uma</w:t>
      </w:r>
      <w:r w:rsidR="00407242" w:rsidRPr="0038442F">
        <w:rPr>
          <w:rFonts w:ascii="Verdana" w:hAnsi="Verdana"/>
          <w:i/>
          <w:iCs/>
          <w:sz w:val="18"/>
          <w:szCs w:val="18"/>
          <w:lang w:val="pt-BR"/>
        </w:rPr>
        <w:t xml:space="preserve"> </w:t>
      </w:r>
      <w:r w:rsidR="00826AB8" w:rsidRPr="0038442F">
        <w:rPr>
          <w:rFonts w:ascii="Verdana" w:hAnsi="Verdana"/>
          <w:i/>
          <w:iCs/>
          <w:sz w:val="18"/>
          <w:szCs w:val="18"/>
          <w:lang w:val="pt-BR"/>
        </w:rPr>
        <w:t>dimens</w:t>
      </w:r>
      <w:r w:rsidR="00C32361" w:rsidRPr="0038442F">
        <w:rPr>
          <w:rFonts w:ascii="Verdana" w:hAnsi="Verdana"/>
          <w:i/>
          <w:iCs/>
          <w:sz w:val="18"/>
          <w:szCs w:val="18"/>
          <w:lang w:val="pt-BR"/>
        </w:rPr>
        <w:t xml:space="preserve">ão </w:t>
      </w:r>
      <w:r w:rsidR="00826AB8" w:rsidRPr="0038442F">
        <w:rPr>
          <w:rFonts w:ascii="Verdana" w:hAnsi="Verdana"/>
          <w:i/>
          <w:iCs/>
          <w:sz w:val="18"/>
          <w:szCs w:val="18"/>
          <w:lang w:val="pt-BR"/>
        </w:rPr>
        <w:t>material o</w:t>
      </w:r>
      <w:r w:rsidR="00C32361" w:rsidRPr="0038442F">
        <w:rPr>
          <w:rFonts w:ascii="Verdana" w:hAnsi="Verdana"/>
          <w:i/>
          <w:iCs/>
          <w:sz w:val="18"/>
          <w:szCs w:val="18"/>
          <w:lang w:val="pt-BR"/>
        </w:rPr>
        <w:t>u</w:t>
      </w:r>
      <w:r w:rsidR="00826AB8" w:rsidRPr="0038442F">
        <w:rPr>
          <w:rFonts w:ascii="Verdana" w:hAnsi="Verdana"/>
          <w:i/>
          <w:iCs/>
          <w:sz w:val="18"/>
          <w:szCs w:val="18"/>
          <w:lang w:val="pt-BR"/>
        </w:rPr>
        <w:t xml:space="preserve"> </w:t>
      </w:r>
      <w:r w:rsidR="00751189" w:rsidRPr="0038442F">
        <w:rPr>
          <w:rFonts w:ascii="Verdana" w:hAnsi="Verdana"/>
          <w:i/>
          <w:iCs/>
          <w:sz w:val="18"/>
          <w:szCs w:val="18"/>
          <w:lang w:val="pt-BR"/>
        </w:rPr>
        <w:t>substancial</w:t>
      </w:r>
      <w:r w:rsidR="00C32361" w:rsidRPr="0038442F">
        <w:rPr>
          <w:rFonts w:ascii="Verdana" w:hAnsi="Verdana"/>
          <w:iCs/>
          <w:sz w:val="18"/>
          <w:szCs w:val="18"/>
          <w:lang w:val="pt-BR"/>
        </w:rPr>
        <w:t xml:space="preserve">, que ordena </w:t>
      </w:r>
      <w:r w:rsidR="00826AB8" w:rsidRPr="0038442F">
        <w:rPr>
          <w:rFonts w:ascii="Verdana" w:hAnsi="Verdana"/>
          <w:iCs/>
          <w:sz w:val="18"/>
          <w:szCs w:val="18"/>
          <w:lang w:val="pt-BR"/>
        </w:rPr>
        <w:t xml:space="preserve">a </w:t>
      </w:r>
      <w:r w:rsidR="00826F7D" w:rsidRPr="0038442F">
        <w:rPr>
          <w:rFonts w:ascii="Verdana" w:hAnsi="Verdana"/>
          <w:iCs/>
          <w:sz w:val="18"/>
          <w:szCs w:val="18"/>
          <w:lang w:val="pt-BR"/>
        </w:rPr>
        <w:t>adoção</w:t>
      </w:r>
      <w:r w:rsidR="00407242" w:rsidRPr="0038442F">
        <w:rPr>
          <w:rFonts w:ascii="Verdana" w:hAnsi="Verdana"/>
          <w:iCs/>
          <w:sz w:val="18"/>
          <w:szCs w:val="18"/>
          <w:lang w:val="pt-BR"/>
        </w:rPr>
        <w:t xml:space="preserve"> </w:t>
      </w:r>
      <w:r w:rsidR="00826AB8" w:rsidRPr="0038442F">
        <w:rPr>
          <w:rFonts w:ascii="Verdana" w:hAnsi="Verdana"/>
          <w:iCs/>
          <w:sz w:val="18"/>
          <w:szCs w:val="18"/>
          <w:lang w:val="pt-BR"/>
        </w:rPr>
        <w:t xml:space="preserve">de </w:t>
      </w:r>
      <w:r w:rsidR="00826AB8" w:rsidRPr="0038442F">
        <w:rPr>
          <w:rFonts w:ascii="Verdana" w:hAnsi="Verdana"/>
          <w:i/>
          <w:iCs/>
          <w:sz w:val="18"/>
          <w:szCs w:val="18"/>
          <w:lang w:val="pt-BR"/>
        </w:rPr>
        <w:t>medidas positivas</w:t>
      </w:r>
      <w:r w:rsidR="00826AB8" w:rsidRPr="0038442F">
        <w:rPr>
          <w:rFonts w:ascii="Verdana" w:hAnsi="Verdana"/>
          <w:iCs/>
          <w:sz w:val="18"/>
          <w:szCs w:val="18"/>
          <w:lang w:val="pt-BR"/>
        </w:rPr>
        <w:t xml:space="preserve"> de promo</w:t>
      </w:r>
      <w:r w:rsidR="000A1AA8" w:rsidRPr="0038442F">
        <w:rPr>
          <w:rFonts w:ascii="Verdana" w:hAnsi="Verdana"/>
          <w:iCs/>
          <w:sz w:val="18"/>
          <w:szCs w:val="18"/>
          <w:lang w:val="pt-BR"/>
        </w:rPr>
        <w:t>ção</w:t>
      </w:r>
      <w:r w:rsidR="00826AB8" w:rsidRPr="0038442F">
        <w:rPr>
          <w:rFonts w:ascii="Verdana" w:hAnsi="Verdana"/>
          <w:iCs/>
          <w:sz w:val="18"/>
          <w:szCs w:val="18"/>
          <w:lang w:val="pt-BR"/>
        </w:rPr>
        <w:t xml:space="preserve"> </w:t>
      </w:r>
      <w:r w:rsidR="00C32361" w:rsidRPr="0038442F">
        <w:rPr>
          <w:rFonts w:ascii="Verdana" w:hAnsi="Verdana"/>
          <w:iCs/>
          <w:sz w:val="18"/>
          <w:szCs w:val="18"/>
          <w:lang w:val="pt-BR"/>
        </w:rPr>
        <w:t>em</w:t>
      </w:r>
      <w:r w:rsidR="00826AB8" w:rsidRPr="0038442F">
        <w:rPr>
          <w:rFonts w:ascii="Verdana" w:hAnsi="Verdana"/>
          <w:iCs/>
          <w:sz w:val="18"/>
          <w:szCs w:val="18"/>
          <w:lang w:val="pt-BR"/>
        </w:rPr>
        <w:t xml:space="preserve"> favor de grupos hist</w:t>
      </w:r>
      <w:r w:rsidR="00C32361" w:rsidRPr="0038442F">
        <w:rPr>
          <w:rFonts w:ascii="Verdana" w:hAnsi="Verdana"/>
          <w:iCs/>
          <w:sz w:val="18"/>
          <w:szCs w:val="18"/>
          <w:lang w:val="pt-BR"/>
        </w:rPr>
        <w:t>o</w:t>
      </w:r>
      <w:r w:rsidR="00826AB8" w:rsidRPr="0038442F">
        <w:rPr>
          <w:rFonts w:ascii="Verdana" w:hAnsi="Verdana"/>
          <w:iCs/>
          <w:sz w:val="18"/>
          <w:szCs w:val="18"/>
          <w:lang w:val="pt-BR"/>
        </w:rPr>
        <w:t>ricamente discriminados o</w:t>
      </w:r>
      <w:r w:rsidR="00C32361" w:rsidRPr="0038442F">
        <w:rPr>
          <w:rFonts w:ascii="Verdana" w:hAnsi="Verdana"/>
          <w:iCs/>
          <w:sz w:val="18"/>
          <w:szCs w:val="18"/>
          <w:lang w:val="pt-BR"/>
        </w:rPr>
        <w:t>u</w:t>
      </w:r>
      <w:r w:rsidR="00826AB8" w:rsidRPr="0038442F">
        <w:rPr>
          <w:rFonts w:ascii="Verdana" w:hAnsi="Verdana"/>
          <w:iCs/>
          <w:sz w:val="18"/>
          <w:szCs w:val="18"/>
          <w:lang w:val="pt-BR"/>
        </w:rPr>
        <w:t xml:space="preserve"> margina</w:t>
      </w:r>
      <w:r w:rsidR="00C32361" w:rsidRPr="0038442F">
        <w:rPr>
          <w:rFonts w:ascii="Verdana" w:hAnsi="Verdana"/>
          <w:iCs/>
          <w:sz w:val="18"/>
          <w:szCs w:val="18"/>
          <w:lang w:val="pt-BR"/>
        </w:rPr>
        <w:t>liza</w:t>
      </w:r>
      <w:r w:rsidR="00826AB8" w:rsidRPr="0038442F">
        <w:rPr>
          <w:rFonts w:ascii="Verdana" w:hAnsi="Verdana"/>
          <w:iCs/>
          <w:sz w:val="18"/>
          <w:szCs w:val="18"/>
          <w:lang w:val="pt-BR"/>
        </w:rPr>
        <w:t>dos e</w:t>
      </w:r>
      <w:r w:rsidR="00C32361" w:rsidRPr="0038442F">
        <w:rPr>
          <w:rFonts w:ascii="Verdana" w:hAnsi="Verdana"/>
          <w:iCs/>
          <w:sz w:val="18"/>
          <w:szCs w:val="18"/>
          <w:lang w:val="pt-BR"/>
        </w:rPr>
        <w:t xml:space="preserve">m razão </w:t>
      </w:r>
      <w:r w:rsidR="00C92762" w:rsidRPr="0038442F">
        <w:rPr>
          <w:rFonts w:ascii="Verdana" w:hAnsi="Verdana"/>
          <w:iCs/>
          <w:sz w:val="18"/>
          <w:szCs w:val="18"/>
          <w:lang w:val="pt-BR"/>
        </w:rPr>
        <w:t xml:space="preserve">dos </w:t>
      </w:r>
      <w:r w:rsidR="00CA30C5" w:rsidRPr="0038442F">
        <w:rPr>
          <w:rFonts w:ascii="Verdana" w:hAnsi="Verdana"/>
          <w:iCs/>
          <w:sz w:val="18"/>
          <w:szCs w:val="18"/>
          <w:lang w:val="pt-BR"/>
        </w:rPr>
        <w:t>fatores</w:t>
      </w:r>
      <w:r w:rsidR="00407242" w:rsidRPr="0038442F">
        <w:rPr>
          <w:rFonts w:ascii="Verdana" w:hAnsi="Verdana"/>
          <w:iCs/>
          <w:sz w:val="18"/>
          <w:szCs w:val="18"/>
          <w:lang w:val="pt-BR"/>
        </w:rPr>
        <w:t xml:space="preserve"> </w:t>
      </w:r>
      <w:r w:rsidR="00826AB8" w:rsidRPr="0038442F">
        <w:rPr>
          <w:rFonts w:ascii="Verdana" w:hAnsi="Verdana"/>
          <w:iCs/>
          <w:sz w:val="18"/>
          <w:szCs w:val="18"/>
          <w:lang w:val="pt-BR"/>
        </w:rPr>
        <w:t>de discrimina</w:t>
      </w:r>
      <w:r w:rsidR="000A1AA8" w:rsidRPr="0038442F">
        <w:rPr>
          <w:rFonts w:ascii="Verdana" w:hAnsi="Verdana"/>
          <w:iCs/>
          <w:sz w:val="18"/>
          <w:szCs w:val="18"/>
          <w:lang w:val="pt-BR"/>
        </w:rPr>
        <w:t>ção</w:t>
      </w:r>
      <w:r w:rsidR="00826AB8" w:rsidRPr="0038442F">
        <w:rPr>
          <w:rFonts w:ascii="Verdana" w:hAnsi="Verdana"/>
          <w:iCs/>
          <w:sz w:val="18"/>
          <w:szCs w:val="18"/>
          <w:lang w:val="pt-BR"/>
        </w:rPr>
        <w:t xml:space="preserve"> a que </w:t>
      </w:r>
      <w:r w:rsidR="00C32361" w:rsidRPr="0038442F">
        <w:rPr>
          <w:rFonts w:ascii="Verdana" w:hAnsi="Verdana"/>
          <w:iCs/>
          <w:sz w:val="18"/>
          <w:szCs w:val="18"/>
          <w:lang w:val="pt-BR"/>
        </w:rPr>
        <w:t xml:space="preserve">faz </w:t>
      </w:r>
      <w:r w:rsidR="006D3B60" w:rsidRPr="0038442F">
        <w:rPr>
          <w:rFonts w:ascii="Verdana" w:hAnsi="Verdana"/>
          <w:iCs/>
          <w:sz w:val="18"/>
          <w:szCs w:val="18"/>
          <w:lang w:val="pt-BR"/>
        </w:rPr>
        <w:t>referência</w:t>
      </w:r>
      <w:r w:rsidR="00407242" w:rsidRPr="0038442F">
        <w:rPr>
          <w:rFonts w:ascii="Verdana" w:hAnsi="Verdana"/>
          <w:iCs/>
          <w:sz w:val="18"/>
          <w:szCs w:val="18"/>
          <w:lang w:val="pt-BR"/>
        </w:rPr>
        <w:t xml:space="preserve"> </w:t>
      </w:r>
      <w:r w:rsidR="003B374E" w:rsidRPr="0038442F">
        <w:rPr>
          <w:rFonts w:ascii="Verdana" w:hAnsi="Verdana"/>
          <w:iCs/>
          <w:sz w:val="18"/>
          <w:szCs w:val="18"/>
          <w:lang w:val="pt-BR"/>
        </w:rPr>
        <w:t xml:space="preserve">o artigo </w:t>
      </w:r>
      <w:r w:rsidR="00826AB8" w:rsidRPr="0038442F">
        <w:rPr>
          <w:rFonts w:ascii="Verdana" w:hAnsi="Verdana"/>
          <w:iCs/>
          <w:sz w:val="18"/>
          <w:szCs w:val="18"/>
          <w:lang w:val="pt-BR"/>
        </w:rPr>
        <w:t xml:space="preserve">1.1 </w:t>
      </w:r>
      <w:r w:rsidR="00C92762" w:rsidRPr="0038442F">
        <w:rPr>
          <w:rFonts w:ascii="Verdana" w:hAnsi="Verdana"/>
          <w:iCs/>
          <w:sz w:val="18"/>
          <w:szCs w:val="18"/>
          <w:lang w:val="pt-BR"/>
        </w:rPr>
        <w:t xml:space="preserve">da </w:t>
      </w:r>
      <w:r w:rsidR="00826AB8" w:rsidRPr="0038442F">
        <w:rPr>
          <w:rFonts w:ascii="Verdana" w:hAnsi="Verdana"/>
          <w:iCs/>
          <w:sz w:val="18"/>
          <w:szCs w:val="18"/>
          <w:lang w:val="pt-BR"/>
        </w:rPr>
        <w:t>Conven</w:t>
      </w:r>
      <w:r w:rsidR="000A1AA8" w:rsidRPr="0038442F">
        <w:rPr>
          <w:rFonts w:ascii="Verdana" w:hAnsi="Verdana"/>
          <w:iCs/>
          <w:sz w:val="18"/>
          <w:szCs w:val="18"/>
          <w:lang w:val="pt-BR"/>
        </w:rPr>
        <w:t>ção</w:t>
      </w:r>
      <w:r w:rsidR="00826AB8" w:rsidRPr="0038442F">
        <w:rPr>
          <w:rFonts w:ascii="Verdana" w:hAnsi="Verdana"/>
          <w:iCs/>
          <w:sz w:val="18"/>
          <w:szCs w:val="18"/>
          <w:lang w:val="pt-BR"/>
        </w:rPr>
        <w:t xml:space="preserve"> Americana</w:t>
      </w:r>
      <w:r w:rsidR="00826AB8" w:rsidRPr="0038442F">
        <w:rPr>
          <w:rFonts w:ascii="Verdana" w:hAnsi="Verdana"/>
          <w:sz w:val="18"/>
          <w:szCs w:val="18"/>
          <w:lang w:val="pt-BR"/>
        </w:rPr>
        <w:t xml:space="preserve">. </w:t>
      </w:r>
      <w:r w:rsidR="00C32361" w:rsidRPr="0038442F">
        <w:rPr>
          <w:rFonts w:ascii="Verdana" w:hAnsi="Verdana"/>
          <w:sz w:val="18"/>
          <w:szCs w:val="18"/>
          <w:lang w:val="pt-BR"/>
        </w:rPr>
        <w:t xml:space="preserve">Isso significa que o </w:t>
      </w:r>
      <w:r w:rsidR="00CA30C5" w:rsidRPr="0038442F">
        <w:rPr>
          <w:rFonts w:ascii="Verdana" w:hAnsi="Verdana"/>
          <w:sz w:val="18"/>
          <w:szCs w:val="18"/>
          <w:lang w:val="pt-BR"/>
        </w:rPr>
        <w:t>direito</w:t>
      </w:r>
      <w:r w:rsidR="00407242" w:rsidRPr="0038442F">
        <w:rPr>
          <w:rFonts w:ascii="Verdana" w:hAnsi="Verdana"/>
          <w:sz w:val="18"/>
          <w:szCs w:val="18"/>
          <w:lang w:val="pt-BR"/>
        </w:rPr>
        <w:t xml:space="preserve"> </w:t>
      </w:r>
      <w:r w:rsidR="00C32361" w:rsidRPr="0038442F">
        <w:rPr>
          <w:rFonts w:ascii="Verdana" w:hAnsi="Verdana"/>
          <w:sz w:val="18"/>
          <w:szCs w:val="18"/>
          <w:lang w:val="pt-BR"/>
        </w:rPr>
        <w:t xml:space="preserve">à </w:t>
      </w:r>
      <w:r w:rsidR="009612FB" w:rsidRPr="0038442F">
        <w:rPr>
          <w:rFonts w:ascii="Verdana" w:hAnsi="Verdana"/>
          <w:sz w:val="18"/>
          <w:szCs w:val="18"/>
          <w:lang w:val="pt-BR"/>
        </w:rPr>
        <w:t>igualdade</w:t>
      </w:r>
      <w:r w:rsidR="00407242" w:rsidRPr="0038442F">
        <w:rPr>
          <w:rFonts w:ascii="Verdana" w:hAnsi="Verdana"/>
          <w:sz w:val="18"/>
          <w:szCs w:val="18"/>
          <w:lang w:val="pt-BR"/>
        </w:rPr>
        <w:t xml:space="preserve"> </w:t>
      </w:r>
      <w:r w:rsidR="00826AB8" w:rsidRPr="0038442F">
        <w:rPr>
          <w:rFonts w:ascii="Verdana" w:hAnsi="Verdana"/>
          <w:sz w:val="18"/>
          <w:szCs w:val="18"/>
          <w:lang w:val="pt-BR"/>
        </w:rPr>
        <w:t xml:space="preserve">implica </w:t>
      </w:r>
      <w:r w:rsidR="005B55A8" w:rsidRPr="0038442F">
        <w:rPr>
          <w:rFonts w:ascii="Verdana" w:hAnsi="Verdana"/>
          <w:sz w:val="18"/>
          <w:szCs w:val="18"/>
          <w:lang w:val="pt-BR"/>
        </w:rPr>
        <w:t xml:space="preserve">a obrigação </w:t>
      </w:r>
      <w:r w:rsidR="00826AB8" w:rsidRPr="0038442F">
        <w:rPr>
          <w:rFonts w:ascii="Verdana" w:hAnsi="Verdana"/>
          <w:sz w:val="18"/>
          <w:szCs w:val="18"/>
          <w:lang w:val="pt-BR"/>
        </w:rPr>
        <w:t xml:space="preserve">de </w:t>
      </w:r>
      <w:r w:rsidR="00C92762" w:rsidRPr="0038442F">
        <w:rPr>
          <w:rFonts w:ascii="Verdana" w:hAnsi="Verdana"/>
          <w:sz w:val="18"/>
          <w:szCs w:val="18"/>
          <w:lang w:val="pt-BR"/>
        </w:rPr>
        <w:t>adotar</w:t>
      </w:r>
      <w:r w:rsidR="00407242" w:rsidRPr="0038442F">
        <w:rPr>
          <w:rFonts w:ascii="Verdana" w:hAnsi="Verdana"/>
          <w:sz w:val="18"/>
          <w:szCs w:val="18"/>
          <w:lang w:val="pt-BR"/>
        </w:rPr>
        <w:t xml:space="preserve"> </w:t>
      </w:r>
      <w:r w:rsidR="00826AB8" w:rsidRPr="0038442F">
        <w:rPr>
          <w:rFonts w:ascii="Verdana" w:hAnsi="Verdana"/>
          <w:sz w:val="18"/>
          <w:szCs w:val="18"/>
          <w:lang w:val="pt-BR"/>
        </w:rPr>
        <w:t xml:space="preserve">medidas para </w:t>
      </w:r>
      <w:r w:rsidR="009612FB" w:rsidRPr="0038442F">
        <w:rPr>
          <w:rFonts w:ascii="Verdana" w:hAnsi="Verdana"/>
          <w:sz w:val="18"/>
          <w:szCs w:val="18"/>
          <w:lang w:val="pt-BR"/>
        </w:rPr>
        <w:t>garantir</w:t>
      </w:r>
      <w:r w:rsidR="00407242" w:rsidRPr="0038442F">
        <w:rPr>
          <w:rFonts w:ascii="Verdana" w:hAnsi="Verdana"/>
          <w:sz w:val="18"/>
          <w:szCs w:val="18"/>
          <w:lang w:val="pt-BR"/>
        </w:rPr>
        <w:t xml:space="preserve"> </w:t>
      </w:r>
      <w:r w:rsidR="00826AB8" w:rsidRPr="0038442F">
        <w:rPr>
          <w:rFonts w:ascii="Verdana" w:hAnsi="Verdana"/>
          <w:sz w:val="18"/>
          <w:szCs w:val="18"/>
          <w:lang w:val="pt-BR"/>
        </w:rPr>
        <w:t xml:space="preserve">que </w:t>
      </w:r>
      <w:r w:rsidR="00C32361" w:rsidRPr="0038442F">
        <w:rPr>
          <w:rFonts w:ascii="Verdana" w:hAnsi="Verdana"/>
          <w:sz w:val="18"/>
          <w:szCs w:val="18"/>
          <w:lang w:val="pt-BR"/>
        </w:rPr>
        <w:t>ess</w:t>
      </w:r>
      <w:r w:rsidR="00826AB8" w:rsidRPr="0038442F">
        <w:rPr>
          <w:rFonts w:ascii="Verdana" w:hAnsi="Verdana"/>
          <w:sz w:val="18"/>
          <w:szCs w:val="18"/>
          <w:lang w:val="pt-BR"/>
        </w:rPr>
        <w:t xml:space="preserve">a </w:t>
      </w:r>
      <w:r w:rsidR="009612FB" w:rsidRPr="0038442F">
        <w:rPr>
          <w:rFonts w:ascii="Verdana" w:hAnsi="Verdana"/>
          <w:sz w:val="18"/>
          <w:szCs w:val="18"/>
          <w:lang w:val="pt-BR"/>
        </w:rPr>
        <w:t>igualdade</w:t>
      </w:r>
      <w:r w:rsidR="00407242" w:rsidRPr="0038442F">
        <w:rPr>
          <w:rFonts w:ascii="Verdana" w:hAnsi="Verdana"/>
          <w:sz w:val="18"/>
          <w:szCs w:val="18"/>
          <w:lang w:val="pt-BR"/>
        </w:rPr>
        <w:t xml:space="preserve"> </w:t>
      </w:r>
      <w:r w:rsidR="00C32361" w:rsidRPr="0038442F">
        <w:rPr>
          <w:rFonts w:ascii="Verdana" w:hAnsi="Verdana"/>
          <w:sz w:val="18"/>
          <w:szCs w:val="18"/>
          <w:lang w:val="pt-BR"/>
        </w:rPr>
        <w:t xml:space="preserve">seja </w:t>
      </w:r>
      <w:r w:rsidR="00826AB8" w:rsidRPr="0038442F">
        <w:rPr>
          <w:rFonts w:ascii="Verdana" w:hAnsi="Verdana"/>
          <w:i/>
          <w:sz w:val="18"/>
          <w:szCs w:val="18"/>
          <w:lang w:val="pt-BR"/>
        </w:rPr>
        <w:t xml:space="preserve">real </w:t>
      </w:r>
      <w:r w:rsidR="00C32361" w:rsidRPr="0038442F">
        <w:rPr>
          <w:rFonts w:ascii="Verdana" w:hAnsi="Verdana"/>
          <w:i/>
          <w:sz w:val="18"/>
          <w:szCs w:val="18"/>
          <w:lang w:val="pt-BR"/>
        </w:rPr>
        <w:t xml:space="preserve">e </w:t>
      </w:r>
      <w:r w:rsidR="009612FB" w:rsidRPr="0038442F">
        <w:rPr>
          <w:rFonts w:ascii="Verdana" w:hAnsi="Verdana"/>
          <w:i/>
          <w:sz w:val="18"/>
          <w:szCs w:val="18"/>
          <w:lang w:val="pt-BR"/>
        </w:rPr>
        <w:t>efetiva</w:t>
      </w:r>
      <w:r w:rsidR="00826AB8" w:rsidRPr="0038442F">
        <w:rPr>
          <w:rFonts w:ascii="Verdana" w:hAnsi="Verdana"/>
          <w:sz w:val="18"/>
          <w:szCs w:val="18"/>
          <w:lang w:val="pt-BR"/>
        </w:rPr>
        <w:t xml:space="preserve">, </w:t>
      </w:r>
      <w:r w:rsidR="00C32361" w:rsidRPr="0038442F">
        <w:rPr>
          <w:rFonts w:ascii="Verdana" w:hAnsi="Verdana"/>
          <w:sz w:val="18"/>
          <w:szCs w:val="18"/>
          <w:lang w:val="pt-BR"/>
        </w:rPr>
        <w:t xml:space="preserve">ou seja, de corrigir as </w:t>
      </w:r>
      <w:r w:rsidR="00826AB8" w:rsidRPr="0038442F">
        <w:rPr>
          <w:rFonts w:ascii="Verdana" w:hAnsi="Verdana"/>
          <w:sz w:val="18"/>
          <w:szCs w:val="18"/>
          <w:lang w:val="pt-BR"/>
        </w:rPr>
        <w:t xml:space="preserve">desigualdades existentes, promover a </w:t>
      </w:r>
      <w:r w:rsidR="009612FB" w:rsidRPr="0038442F">
        <w:rPr>
          <w:rFonts w:ascii="Verdana" w:hAnsi="Verdana"/>
          <w:sz w:val="18"/>
          <w:szCs w:val="18"/>
          <w:lang w:val="pt-BR"/>
        </w:rPr>
        <w:t>inclusão</w:t>
      </w:r>
      <w:r w:rsidR="00407242" w:rsidRPr="0038442F">
        <w:rPr>
          <w:rFonts w:ascii="Verdana" w:hAnsi="Verdana"/>
          <w:sz w:val="18"/>
          <w:szCs w:val="18"/>
          <w:lang w:val="pt-BR"/>
        </w:rPr>
        <w:t xml:space="preserve"> </w:t>
      </w:r>
      <w:r w:rsidR="00C32361" w:rsidRPr="0038442F">
        <w:rPr>
          <w:rFonts w:ascii="Verdana" w:hAnsi="Verdana"/>
          <w:sz w:val="18"/>
          <w:szCs w:val="18"/>
          <w:lang w:val="pt-BR"/>
        </w:rPr>
        <w:t xml:space="preserve">e </w:t>
      </w:r>
      <w:r w:rsidR="00826AB8" w:rsidRPr="0038442F">
        <w:rPr>
          <w:rFonts w:ascii="Verdana" w:hAnsi="Verdana"/>
          <w:sz w:val="18"/>
          <w:szCs w:val="18"/>
          <w:lang w:val="pt-BR"/>
        </w:rPr>
        <w:t>a participa</w:t>
      </w:r>
      <w:r w:rsidR="000A1AA8" w:rsidRPr="0038442F">
        <w:rPr>
          <w:rFonts w:ascii="Verdana" w:hAnsi="Verdana"/>
          <w:sz w:val="18"/>
          <w:szCs w:val="18"/>
          <w:lang w:val="pt-BR"/>
        </w:rPr>
        <w:t>ção</w:t>
      </w:r>
      <w:r w:rsidR="00826AB8" w:rsidRPr="0038442F">
        <w:rPr>
          <w:rFonts w:ascii="Verdana" w:hAnsi="Verdana"/>
          <w:sz w:val="18"/>
          <w:szCs w:val="18"/>
          <w:lang w:val="pt-BR"/>
        </w:rPr>
        <w:t xml:space="preserve"> </w:t>
      </w:r>
      <w:r w:rsidR="00C92762" w:rsidRPr="0038442F">
        <w:rPr>
          <w:rFonts w:ascii="Verdana" w:hAnsi="Verdana"/>
          <w:sz w:val="18"/>
          <w:szCs w:val="18"/>
          <w:lang w:val="pt-BR"/>
        </w:rPr>
        <w:t xml:space="preserve">dos </w:t>
      </w:r>
      <w:r w:rsidR="00826AB8" w:rsidRPr="0038442F">
        <w:rPr>
          <w:rFonts w:ascii="Verdana" w:hAnsi="Verdana"/>
          <w:sz w:val="18"/>
          <w:szCs w:val="18"/>
          <w:lang w:val="pt-BR"/>
        </w:rPr>
        <w:t>grupos hist</w:t>
      </w:r>
      <w:r w:rsidR="00C32361" w:rsidRPr="0038442F">
        <w:rPr>
          <w:rFonts w:ascii="Verdana" w:hAnsi="Verdana"/>
          <w:sz w:val="18"/>
          <w:szCs w:val="18"/>
          <w:lang w:val="pt-BR"/>
        </w:rPr>
        <w:t>o</w:t>
      </w:r>
      <w:r w:rsidR="00826AB8" w:rsidRPr="0038442F">
        <w:rPr>
          <w:rFonts w:ascii="Verdana" w:hAnsi="Verdana"/>
          <w:sz w:val="18"/>
          <w:szCs w:val="18"/>
          <w:lang w:val="pt-BR"/>
        </w:rPr>
        <w:t>ricamente margina</w:t>
      </w:r>
      <w:r w:rsidR="00C32361" w:rsidRPr="0038442F">
        <w:rPr>
          <w:rFonts w:ascii="Verdana" w:hAnsi="Verdana"/>
          <w:sz w:val="18"/>
          <w:szCs w:val="18"/>
          <w:lang w:val="pt-BR"/>
        </w:rPr>
        <w:t>liza</w:t>
      </w:r>
      <w:r w:rsidR="00826AB8" w:rsidRPr="0038442F">
        <w:rPr>
          <w:rFonts w:ascii="Verdana" w:hAnsi="Verdana"/>
          <w:sz w:val="18"/>
          <w:szCs w:val="18"/>
          <w:lang w:val="pt-BR"/>
        </w:rPr>
        <w:t>dos</w:t>
      </w:r>
      <w:r w:rsidR="00E00B32" w:rsidRPr="0038442F">
        <w:rPr>
          <w:rFonts w:ascii="Verdana" w:hAnsi="Verdana"/>
          <w:sz w:val="18"/>
          <w:szCs w:val="18"/>
          <w:lang w:val="pt-BR"/>
        </w:rPr>
        <w:t xml:space="preserve"> e</w:t>
      </w:r>
      <w:r w:rsidR="00826AB8" w:rsidRPr="0038442F">
        <w:rPr>
          <w:rFonts w:ascii="Verdana" w:hAnsi="Verdana"/>
          <w:sz w:val="18"/>
          <w:szCs w:val="18"/>
          <w:lang w:val="pt-BR"/>
        </w:rPr>
        <w:t xml:space="preserve"> </w:t>
      </w:r>
      <w:r w:rsidR="009612FB" w:rsidRPr="0038442F">
        <w:rPr>
          <w:rFonts w:ascii="Verdana" w:hAnsi="Verdana"/>
          <w:sz w:val="18"/>
          <w:szCs w:val="18"/>
          <w:lang w:val="pt-BR"/>
        </w:rPr>
        <w:t xml:space="preserve">garantir </w:t>
      </w:r>
      <w:r w:rsidR="00E00B32" w:rsidRPr="0038442F">
        <w:rPr>
          <w:rFonts w:ascii="Verdana" w:hAnsi="Verdana"/>
          <w:sz w:val="18"/>
          <w:szCs w:val="18"/>
          <w:lang w:val="pt-BR"/>
        </w:rPr>
        <w:t xml:space="preserve">às </w:t>
      </w:r>
      <w:r w:rsidR="00BF7A10" w:rsidRPr="0038442F">
        <w:rPr>
          <w:rFonts w:ascii="Verdana" w:hAnsi="Verdana"/>
          <w:sz w:val="18"/>
          <w:szCs w:val="18"/>
          <w:lang w:val="pt-BR"/>
        </w:rPr>
        <w:t xml:space="preserve">pessoas </w:t>
      </w:r>
      <w:r w:rsidR="00826AB8" w:rsidRPr="0038442F">
        <w:rPr>
          <w:rFonts w:ascii="Verdana" w:hAnsi="Verdana"/>
          <w:sz w:val="18"/>
          <w:szCs w:val="18"/>
          <w:lang w:val="pt-BR"/>
        </w:rPr>
        <w:t>o</w:t>
      </w:r>
      <w:r w:rsidR="00E00B32" w:rsidRPr="0038442F">
        <w:rPr>
          <w:rFonts w:ascii="Verdana" w:hAnsi="Verdana"/>
          <w:sz w:val="18"/>
          <w:szCs w:val="18"/>
          <w:lang w:val="pt-BR"/>
        </w:rPr>
        <w:t>u</w:t>
      </w:r>
      <w:r w:rsidR="00826AB8" w:rsidRPr="0038442F">
        <w:rPr>
          <w:rFonts w:ascii="Verdana" w:hAnsi="Verdana"/>
          <w:sz w:val="18"/>
          <w:szCs w:val="18"/>
          <w:lang w:val="pt-BR"/>
        </w:rPr>
        <w:t xml:space="preserve"> grupos e</w:t>
      </w:r>
      <w:r w:rsidR="00E00B32" w:rsidRPr="0038442F">
        <w:rPr>
          <w:rFonts w:ascii="Verdana" w:hAnsi="Verdana"/>
          <w:sz w:val="18"/>
          <w:szCs w:val="18"/>
          <w:lang w:val="pt-BR"/>
        </w:rPr>
        <w:t xml:space="preserve">m desvantagem o </w:t>
      </w:r>
      <w:r w:rsidR="00BB701F" w:rsidRPr="0038442F">
        <w:rPr>
          <w:rFonts w:ascii="Verdana" w:hAnsi="Verdana"/>
          <w:sz w:val="18"/>
          <w:szCs w:val="18"/>
          <w:lang w:val="pt-BR"/>
        </w:rPr>
        <w:t>gozo</w:t>
      </w:r>
      <w:r w:rsidR="00407242" w:rsidRPr="0038442F">
        <w:rPr>
          <w:rFonts w:ascii="Verdana" w:hAnsi="Verdana"/>
          <w:sz w:val="18"/>
          <w:szCs w:val="18"/>
          <w:lang w:val="pt-BR"/>
        </w:rPr>
        <w:t xml:space="preserve"> </w:t>
      </w:r>
      <w:r w:rsidR="00826AB8" w:rsidRPr="0038442F">
        <w:rPr>
          <w:rFonts w:ascii="Verdana" w:hAnsi="Verdana"/>
          <w:sz w:val="18"/>
          <w:szCs w:val="18"/>
          <w:lang w:val="pt-BR"/>
        </w:rPr>
        <w:t>efetivo de s</w:t>
      </w:r>
      <w:r w:rsidR="00E00B32" w:rsidRPr="0038442F">
        <w:rPr>
          <w:rFonts w:ascii="Verdana" w:hAnsi="Verdana"/>
          <w:sz w:val="18"/>
          <w:szCs w:val="18"/>
          <w:lang w:val="pt-BR"/>
        </w:rPr>
        <w:t>e</w:t>
      </w:r>
      <w:r w:rsidR="00826AB8" w:rsidRPr="0038442F">
        <w:rPr>
          <w:rFonts w:ascii="Verdana" w:hAnsi="Verdana"/>
          <w:sz w:val="18"/>
          <w:szCs w:val="18"/>
          <w:lang w:val="pt-BR"/>
        </w:rPr>
        <w:t xml:space="preserve">us </w:t>
      </w:r>
      <w:r w:rsidR="000A1AA8" w:rsidRPr="0038442F">
        <w:rPr>
          <w:rFonts w:ascii="Verdana" w:hAnsi="Verdana"/>
          <w:sz w:val="18"/>
          <w:szCs w:val="18"/>
          <w:lang w:val="pt-BR"/>
        </w:rPr>
        <w:t>direitos</w:t>
      </w:r>
      <w:r w:rsidR="00E00B32" w:rsidRPr="0038442F">
        <w:rPr>
          <w:rFonts w:ascii="Verdana" w:hAnsi="Verdana"/>
          <w:sz w:val="18"/>
          <w:szCs w:val="18"/>
          <w:lang w:val="pt-BR"/>
        </w:rPr>
        <w:t>; em suma</w:t>
      </w:r>
      <w:r w:rsidR="00826AB8" w:rsidRPr="0038442F">
        <w:rPr>
          <w:rFonts w:ascii="Verdana" w:hAnsi="Verdana"/>
          <w:sz w:val="18"/>
          <w:szCs w:val="18"/>
          <w:lang w:val="pt-BR"/>
        </w:rPr>
        <w:t xml:space="preserve">, </w:t>
      </w:r>
      <w:r w:rsidR="00E00B32" w:rsidRPr="0038442F">
        <w:rPr>
          <w:rFonts w:ascii="Verdana" w:hAnsi="Verdana"/>
          <w:sz w:val="18"/>
          <w:szCs w:val="18"/>
          <w:lang w:val="pt-BR"/>
        </w:rPr>
        <w:t xml:space="preserve">oferecer às </w:t>
      </w:r>
      <w:r w:rsidR="00BF7A10" w:rsidRPr="0038442F">
        <w:rPr>
          <w:rFonts w:ascii="Verdana" w:hAnsi="Verdana"/>
          <w:sz w:val="18"/>
          <w:szCs w:val="18"/>
          <w:lang w:val="pt-BR"/>
        </w:rPr>
        <w:t xml:space="preserve">pessoas </w:t>
      </w:r>
      <w:r w:rsidR="009612FB" w:rsidRPr="0038442F">
        <w:rPr>
          <w:rFonts w:ascii="Verdana" w:hAnsi="Verdana"/>
          <w:sz w:val="18"/>
          <w:szCs w:val="18"/>
          <w:lang w:val="pt-BR"/>
        </w:rPr>
        <w:t>possibilidades</w:t>
      </w:r>
      <w:r w:rsidR="00407242" w:rsidRPr="0038442F">
        <w:rPr>
          <w:rFonts w:ascii="Verdana" w:hAnsi="Verdana"/>
          <w:sz w:val="18"/>
          <w:szCs w:val="18"/>
          <w:lang w:val="pt-BR"/>
        </w:rPr>
        <w:t xml:space="preserve"> </w:t>
      </w:r>
      <w:r w:rsidR="00826AB8" w:rsidRPr="0038442F">
        <w:rPr>
          <w:rFonts w:ascii="Verdana" w:hAnsi="Verdana"/>
          <w:sz w:val="18"/>
          <w:szCs w:val="18"/>
          <w:lang w:val="pt-BR"/>
        </w:rPr>
        <w:t>concretas de ver realizada, e</w:t>
      </w:r>
      <w:r w:rsidR="00E00B32" w:rsidRPr="0038442F">
        <w:rPr>
          <w:rFonts w:ascii="Verdana" w:hAnsi="Verdana"/>
          <w:sz w:val="18"/>
          <w:szCs w:val="18"/>
          <w:lang w:val="pt-BR"/>
        </w:rPr>
        <w:t xml:space="preserve">m seus </w:t>
      </w:r>
      <w:r w:rsidR="009612FB" w:rsidRPr="0038442F">
        <w:rPr>
          <w:rFonts w:ascii="Verdana" w:hAnsi="Verdana"/>
          <w:sz w:val="18"/>
          <w:szCs w:val="18"/>
          <w:lang w:val="pt-BR"/>
        </w:rPr>
        <w:t>próprios</w:t>
      </w:r>
      <w:r w:rsidR="00407242" w:rsidRPr="0038442F">
        <w:rPr>
          <w:rFonts w:ascii="Verdana" w:hAnsi="Verdana"/>
          <w:sz w:val="18"/>
          <w:szCs w:val="18"/>
          <w:lang w:val="pt-BR"/>
        </w:rPr>
        <w:t xml:space="preserve"> </w:t>
      </w:r>
      <w:r w:rsidR="00826AB8" w:rsidRPr="0038442F">
        <w:rPr>
          <w:rFonts w:ascii="Verdana" w:hAnsi="Verdana"/>
          <w:sz w:val="18"/>
          <w:szCs w:val="18"/>
          <w:lang w:val="pt-BR"/>
        </w:rPr>
        <w:t xml:space="preserve">casos, a </w:t>
      </w:r>
      <w:r w:rsidR="009612FB" w:rsidRPr="0038442F">
        <w:rPr>
          <w:rFonts w:ascii="Verdana" w:hAnsi="Verdana"/>
          <w:sz w:val="18"/>
          <w:szCs w:val="18"/>
          <w:lang w:val="pt-BR"/>
        </w:rPr>
        <w:t>igualdade</w:t>
      </w:r>
      <w:r w:rsidR="00407242" w:rsidRPr="0038442F">
        <w:rPr>
          <w:rFonts w:ascii="Verdana" w:hAnsi="Verdana"/>
          <w:sz w:val="18"/>
          <w:szCs w:val="18"/>
          <w:lang w:val="pt-BR"/>
        </w:rPr>
        <w:t xml:space="preserve"> </w:t>
      </w:r>
      <w:r w:rsidR="00826AB8" w:rsidRPr="0038442F">
        <w:rPr>
          <w:rFonts w:ascii="Verdana" w:hAnsi="Verdana"/>
          <w:sz w:val="18"/>
          <w:szCs w:val="18"/>
          <w:lang w:val="pt-BR"/>
        </w:rPr>
        <w:t xml:space="preserve">material. Para </w:t>
      </w:r>
      <w:r w:rsidR="00E00B32" w:rsidRPr="0038442F">
        <w:rPr>
          <w:rFonts w:ascii="Verdana" w:hAnsi="Verdana"/>
          <w:sz w:val="18"/>
          <w:szCs w:val="18"/>
          <w:lang w:val="pt-BR"/>
        </w:rPr>
        <w:t>isso</w:t>
      </w:r>
      <w:r w:rsidR="00826AB8" w:rsidRPr="0038442F">
        <w:rPr>
          <w:rFonts w:ascii="Verdana" w:hAnsi="Verdana"/>
          <w:sz w:val="18"/>
          <w:szCs w:val="18"/>
          <w:lang w:val="pt-BR"/>
        </w:rPr>
        <w:t xml:space="preserve">, </w:t>
      </w:r>
      <w:r w:rsidR="005135E5" w:rsidRPr="0038442F">
        <w:rPr>
          <w:rFonts w:ascii="Verdana" w:hAnsi="Verdana"/>
          <w:sz w:val="18"/>
          <w:szCs w:val="18"/>
          <w:lang w:val="pt-BR"/>
        </w:rPr>
        <w:t xml:space="preserve">os Estados </w:t>
      </w:r>
      <w:r w:rsidR="009612FB" w:rsidRPr="0038442F">
        <w:rPr>
          <w:rFonts w:ascii="Verdana" w:hAnsi="Verdana"/>
          <w:sz w:val="18"/>
          <w:szCs w:val="18"/>
          <w:lang w:val="pt-BR"/>
        </w:rPr>
        <w:t xml:space="preserve">devem </w:t>
      </w:r>
      <w:r w:rsidR="00826AB8" w:rsidRPr="0038442F">
        <w:rPr>
          <w:rFonts w:ascii="Verdana" w:hAnsi="Verdana"/>
          <w:sz w:val="18"/>
          <w:szCs w:val="18"/>
          <w:lang w:val="pt-BR"/>
        </w:rPr>
        <w:t xml:space="preserve">enfrentar </w:t>
      </w:r>
      <w:r w:rsidR="00E00B32" w:rsidRPr="0038442F">
        <w:rPr>
          <w:rFonts w:ascii="Verdana" w:hAnsi="Verdana"/>
          <w:sz w:val="18"/>
          <w:szCs w:val="18"/>
          <w:lang w:val="pt-BR"/>
        </w:rPr>
        <w:t xml:space="preserve">energicamente </w:t>
      </w:r>
      <w:r w:rsidR="00826AB8" w:rsidRPr="0038442F">
        <w:rPr>
          <w:rFonts w:ascii="Verdana" w:hAnsi="Verdana"/>
          <w:sz w:val="18"/>
          <w:szCs w:val="18"/>
          <w:lang w:val="pt-BR"/>
        </w:rPr>
        <w:t>situa</w:t>
      </w:r>
      <w:r w:rsidR="000A1AA8" w:rsidRPr="0038442F">
        <w:rPr>
          <w:rFonts w:ascii="Verdana" w:hAnsi="Verdana"/>
          <w:sz w:val="18"/>
          <w:szCs w:val="18"/>
          <w:lang w:val="pt-BR"/>
        </w:rPr>
        <w:t>ções</w:t>
      </w:r>
      <w:r w:rsidR="00826AB8" w:rsidRPr="0038442F">
        <w:rPr>
          <w:rFonts w:ascii="Verdana" w:hAnsi="Verdana"/>
          <w:sz w:val="18"/>
          <w:szCs w:val="18"/>
          <w:lang w:val="pt-BR"/>
        </w:rPr>
        <w:t xml:space="preserve"> de </w:t>
      </w:r>
      <w:r w:rsidR="00BF7A10" w:rsidRPr="0038442F">
        <w:rPr>
          <w:rFonts w:ascii="Verdana" w:hAnsi="Verdana"/>
          <w:sz w:val="18"/>
          <w:szCs w:val="18"/>
          <w:lang w:val="pt-BR"/>
        </w:rPr>
        <w:t>exclusão</w:t>
      </w:r>
      <w:r w:rsidR="00407242" w:rsidRPr="0038442F">
        <w:rPr>
          <w:rFonts w:ascii="Verdana" w:hAnsi="Verdana"/>
          <w:sz w:val="18"/>
          <w:szCs w:val="18"/>
          <w:lang w:val="pt-BR"/>
        </w:rPr>
        <w:t xml:space="preserve"> </w:t>
      </w:r>
      <w:r w:rsidR="00E00B32" w:rsidRPr="0038442F">
        <w:rPr>
          <w:rFonts w:ascii="Verdana" w:hAnsi="Verdana"/>
          <w:sz w:val="18"/>
          <w:szCs w:val="18"/>
          <w:lang w:val="pt-BR"/>
        </w:rPr>
        <w:t>e</w:t>
      </w:r>
      <w:r w:rsidR="00826AB8" w:rsidRPr="0038442F">
        <w:rPr>
          <w:rFonts w:ascii="Verdana" w:hAnsi="Verdana"/>
          <w:sz w:val="18"/>
          <w:szCs w:val="18"/>
          <w:lang w:val="pt-BR"/>
        </w:rPr>
        <w:t xml:space="preserve"> </w:t>
      </w:r>
      <w:r w:rsidR="00C76C5C" w:rsidRPr="0038442F">
        <w:rPr>
          <w:rFonts w:ascii="Verdana" w:hAnsi="Verdana"/>
          <w:sz w:val="18"/>
          <w:szCs w:val="18"/>
          <w:lang w:val="pt-BR"/>
        </w:rPr>
        <w:t>marginalização</w:t>
      </w:r>
      <w:r w:rsidR="00826AB8" w:rsidRPr="0038442F">
        <w:rPr>
          <w:rStyle w:val="Refdenotaalpie"/>
          <w:rFonts w:ascii="Verdana" w:hAnsi="Verdana"/>
          <w:sz w:val="18"/>
          <w:szCs w:val="18"/>
          <w:lang w:val="pt-BR"/>
        </w:rPr>
        <w:footnoteReference w:id="168"/>
      </w:r>
      <w:r w:rsidR="00A87AF5" w:rsidRPr="0038442F">
        <w:rPr>
          <w:rFonts w:ascii="Verdana" w:hAnsi="Verdana"/>
          <w:sz w:val="18"/>
          <w:szCs w:val="18"/>
          <w:lang w:val="pt-BR"/>
        </w:rPr>
        <w:t xml:space="preserve"> (</w:t>
      </w:r>
      <w:r w:rsidR="00E00B32" w:rsidRPr="0038442F">
        <w:rPr>
          <w:rFonts w:ascii="Verdana" w:hAnsi="Verdana"/>
          <w:sz w:val="18"/>
          <w:szCs w:val="18"/>
          <w:lang w:val="pt-BR"/>
        </w:rPr>
        <w:t>grifo nosso</w:t>
      </w:r>
      <w:r w:rsidR="00A87AF5" w:rsidRPr="0038442F">
        <w:rPr>
          <w:rFonts w:ascii="Verdana" w:hAnsi="Verdana"/>
          <w:sz w:val="18"/>
          <w:szCs w:val="18"/>
          <w:lang w:val="pt-BR"/>
        </w:rPr>
        <w:t>)</w:t>
      </w:r>
      <w:r w:rsidR="00826AB8" w:rsidRPr="0038442F">
        <w:rPr>
          <w:rFonts w:ascii="Verdana" w:hAnsi="Verdana"/>
          <w:sz w:val="18"/>
          <w:szCs w:val="18"/>
          <w:lang w:val="pt-BR"/>
        </w:rPr>
        <w:t>.</w:t>
      </w:r>
    </w:p>
    <w:p w14:paraId="34192C03" w14:textId="77777777" w:rsidR="00FE62DE" w:rsidRPr="0038442F" w:rsidRDefault="00FE62DE" w:rsidP="00A857CB">
      <w:pPr>
        <w:pStyle w:val="Prrafodelista"/>
        <w:spacing w:after="0" w:line="240" w:lineRule="auto"/>
        <w:ind w:left="0"/>
        <w:jc w:val="both"/>
        <w:rPr>
          <w:rFonts w:ascii="Verdana" w:hAnsi="Verdana" w:cs="System Font Regular"/>
          <w:sz w:val="20"/>
          <w:szCs w:val="20"/>
          <w:lang w:val="pt-BR"/>
        </w:rPr>
      </w:pPr>
    </w:p>
    <w:p w14:paraId="44BA2FAE" w14:textId="2A7CC427" w:rsidR="00C61238" w:rsidRPr="0038442F" w:rsidRDefault="00160AA7" w:rsidP="00160AA7">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109. </w:t>
      </w:r>
      <w:r w:rsidRPr="0038442F">
        <w:rPr>
          <w:rFonts w:ascii="Verdana" w:hAnsi="Verdana" w:cs="System Font Regular"/>
          <w:sz w:val="20"/>
          <w:szCs w:val="20"/>
          <w:lang w:val="pt-BR"/>
        </w:rPr>
        <w:tab/>
      </w:r>
      <w:r w:rsidR="00B43AD1" w:rsidRPr="0038442F">
        <w:rPr>
          <w:rFonts w:ascii="Verdana" w:hAnsi="Verdana" w:cs="System Font Regular"/>
          <w:sz w:val="20"/>
          <w:szCs w:val="20"/>
          <w:lang w:val="pt-BR"/>
        </w:rPr>
        <w:t xml:space="preserve">Do </w:t>
      </w:r>
      <w:r w:rsidR="0021692B" w:rsidRPr="0038442F">
        <w:rPr>
          <w:rFonts w:ascii="Verdana" w:hAnsi="Verdana" w:cs="System Font Regular"/>
          <w:sz w:val="20"/>
          <w:szCs w:val="20"/>
          <w:lang w:val="pt-BR"/>
        </w:rPr>
        <w:t xml:space="preserve">acima exposto </w:t>
      </w:r>
      <w:r w:rsidRPr="0038442F">
        <w:rPr>
          <w:rFonts w:ascii="Verdana" w:hAnsi="Verdana" w:cs="System Font Regular"/>
          <w:sz w:val="20"/>
          <w:szCs w:val="20"/>
          <w:lang w:val="pt-BR"/>
        </w:rPr>
        <w:t xml:space="preserve">se </w:t>
      </w:r>
      <w:r w:rsidR="0021692B" w:rsidRPr="0038442F">
        <w:rPr>
          <w:rFonts w:ascii="Verdana" w:hAnsi="Verdana" w:cs="System Font Regular"/>
          <w:sz w:val="20"/>
          <w:szCs w:val="20"/>
          <w:lang w:val="pt-BR"/>
        </w:rPr>
        <w:t xml:space="preserve">observa que, </w:t>
      </w:r>
      <w:r w:rsidR="00BF7A10" w:rsidRPr="0038442F">
        <w:rPr>
          <w:rFonts w:ascii="Verdana" w:hAnsi="Verdana" w:cs="System Font Regular"/>
          <w:sz w:val="20"/>
          <w:szCs w:val="20"/>
          <w:lang w:val="pt-BR"/>
        </w:rPr>
        <w:t xml:space="preserve">na </w:t>
      </w:r>
      <w:r w:rsidR="00B43AD1" w:rsidRPr="0038442F">
        <w:rPr>
          <w:rFonts w:ascii="Verdana" w:hAnsi="Verdana" w:cs="System Font Regular"/>
          <w:sz w:val="20"/>
          <w:szCs w:val="20"/>
          <w:lang w:val="pt-BR"/>
        </w:rPr>
        <w:t xml:space="preserve">medida </w:t>
      </w:r>
      <w:r w:rsidRPr="0038442F">
        <w:rPr>
          <w:rFonts w:ascii="Verdana" w:hAnsi="Verdana" w:cs="System Font Regular"/>
          <w:sz w:val="20"/>
          <w:szCs w:val="20"/>
          <w:lang w:val="pt-BR"/>
        </w:rPr>
        <w:t>e</w:t>
      </w:r>
      <w:r w:rsidR="0021692B" w:rsidRPr="0038442F">
        <w:rPr>
          <w:rFonts w:ascii="Verdana" w:hAnsi="Verdana" w:cs="System Font Regular"/>
          <w:sz w:val="20"/>
          <w:szCs w:val="20"/>
          <w:lang w:val="pt-BR"/>
        </w:rPr>
        <w:t>m</w:t>
      </w:r>
      <w:r w:rsidRPr="0038442F">
        <w:rPr>
          <w:rFonts w:ascii="Verdana" w:hAnsi="Verdana" w:cs="System Font Regular"/>
          <w:sz w:val="20"/>
          <w:szCs w:val="20"/>
          <w:lang w:val="pt-BR"/>
        </w:rPr>
        <w:t xml:space="preserve"> que </w:t>
      </w:r>
      <w:r w:rsidR="00B43AD1" w:rsidRPr="0038442F">
        <w:rPr>
          <w:rFonts w:ascii="Verdana" w:hAnsi="Verdana" w:cs="System Font Regular"/>
          <w:sz w:val="20"/>
          <w:szCs w:val="20"/>
          <w:lang w:val="pt-BR"/>
        </w:rPr>
        <w:t>exista u</w:t>
      </w:r>
      <w:r w:rsidR="0021692B" w:rsidRPr="0038442F">
        <w:rPr>
          <w:rFonts w:ascii="Verdana" w:hAnsi="Verdana" w:cs="System Font Regular"/>
          <w:sz w:val="20"/>
          <w:szCs w:val="20"/>
          <w:lang w:val="pt-BR"/>
        </w:rPr>
        <w:t>m</w:t>
      </w:r>
      <w:r w:rsidR="00B43AD1" w:rsidRPr="0038442F">
        <w:rPr>
          <w:rFonts w:ascii="Verdana" w:hAnsi="Verdana" w:cs="System Font Regular"/>
          <w:sz w:val="20"/>
          <w:szCs w:val="20"/>
          <w:lang w:val="pt-BR"/>
        </w:rPr>
        <w:t xml:space="preserve"> contexto de discrimina</w:t>
      </w:r>
      <w:r w:rsidR="000A1AA8" w:rsidRPr="0038442F">
        <w:rPr>
          <w:rFonts w:ascii="Verdana" w:hAnsi="Verdana" w:cs="System Font Regular"/>
          <w:sz w:val="20"/>
          <w:szCs w:val="20"/>
          <w:lang w:val="pt-BR"/>
        </w:rPr>
        <w:t>ção</w:t>
      </w:r>
      <w:r w:rsidR="00B43AD1" w:rsidRPr="0038442F">
        <w:rPr>
          <w:rFonts w:ascii="Verdana" w:hAnsi="Verdana" w:cs="System Font Regular"/>
          <w:sz w:val="20"/>
          <w:szCs w:val="20"/>
          <w:lang w:val="pt-BR"/>
        </w:rPr>
        <w:t xml:space="preserve"> </w:t>
      </w:r>
      <w:r w:rsidR="006445EE" w:rsidRPr="0038442F">
        <w:rPr>
          <w:rFonts w:ascii="Verdana" w:hAnsi="Verdana" w:cs="System Font Regular"/>
          <w:sz w:val="20"/>
          <w:szCs w:val="20"/>
          <w:lang w:val="pt-BR"/>
        </w:rPr>
        <w:t>estrutural</w:t>
      </w:r>
      <w:r w:rsidR="00B43AD1" w:rsidRPr="0038442F">
        <w:rPr>
          <w:rFonts w:ascii="Verdana" w:hAnsi="Verdana" w:cs="System Font Regular"/>
          <w:sz w:val="20"/>
          <w:szCs w:val="20"/>
          <w:lang w:val="pt-BR"/>
        </w:rPr>
        <w:t xml:space="preserve">, </w:t>
      </w:r>
      <w:r w:rsidR="00D10D9A" w:rsidRPr="0038442F">
        <w:rPr>
          <w:rFonts w:ascii="Verdana" w:hAnsi="Verdana" w:cs="System Font Regular"/>
          <w:sz w:val="20"/>
          <w:szCs w:val="20"/>
          <w:lang w:val="pt-BR"/>
        </w:rPr>
        <w:t xml:space="preserve">deve-se ler </w:t>
      </w:r>
      <w:r w:rsidR="00B43AD1" w:rsidRPr="0038442F">
        <w:rPr>
          <w:rFonts w:ascii="Verdana" w:hAnsi="Verdana" w:cs="System Font Regular"/>
          <w:sz w:val="20"/>
          <w:szCs w:val="20"/>
          <w:lang w:val="pt-BR"/>
        </w:rPr>
        <w:t>a expres</w:t>
      </w:r>
      <w:r w:rsidR="0021692B" w:rsidRPr="0038442F">
        <w:rPr>
          <w:rFonts w:ascii="Verdana" w:hAnsi="Verdana" w:cs="System Font Regular"/>
          <w:sz w:val="20"/>
          <w:szCs w:val="20"/>
          <w:lang w:val="pt-BR"/>
        </w:rPr>
        <w:t xml:space="preserve">são </w:t>
      </w:r>
      <w:r w:rsidR="00B43AD1" w:rsidRPr="0038442F">
        <w:rPr>
          <w:rFonts w:ascii="Verdana" w:hAnsi="Verdana" w:cs="System Font Regular"/>
          <w:sz w:val="20"/>
          <w:szCs w:val="20"/>
          <w:lang w:val="pt-BR"/>
        </w:rPr>
        <w:t>“</w:t>
      </w:r>
      <w:r w:rsidR="00751189" w:rsidRPr="0038442F">
        <w:rPr>
          <w:rFonts w:ascii="Verdana" w:hAnsi="Verdana" w:cs="System Font Regular"/>
          <w:sz w:val="20"/>
          <w:szCs w:val="20"/>
          <w:lang w:val="pt-BR"/>
        </w:rPr>
        <w:t>sem</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discrimina</w:t>
      </w:r>
      <w:r w:rsidR="000A1AA8" w:rsidRPr="0038442F">
        <w:rPr>
          <w:rFonts w:ascii="Verdana" w:hAnsi="Verdana" w:cs="System Font Regular"/>
          <w:sz w:val="20"/>
          <w:szCs w:val="20"/>
          <w:lang w:val="pt-BR"/>
        </w:rPr>
        <w:t>ção</w:t>
      </w:r>
      <w:r w:rsidR="00B43AD1" w:rsidRPr="0038442F">
        <w:rPr>
          <w:rFonts w:ascii="Verdana" w:hAnsi="Verdana" w:cs="System Font Regular"/>
          <w:sz w:val="20"/>
          <w:szCs w:val="20"/>
          <w:lang w:val="pt-BR"/>
        </w:rPr>
        <w:t>”</w:t>
      </w:r>
      <w:r w:rsidR="0021692B" w:rsidRPr="0038442F">
        <w:rPr>
          <w:rFonts w:ascii="Verdana" w:hAnsi="Verdana" w:cs="System Font Regular"/>
          <w:sz w:val="20"/>
          <w:szCs w:val="20"/>
          <w:lang w:val="pt-BR"/>
        </w:rPr>
        <w:t>,</w:t>
      </w:r>
      <w:r w:rsidR="00B43AD1"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no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24</w:t>
      </w:r>
      <w:r w:rsidR="0021692B" w:rsidRPr="0038442F">
        <w:rPr>
          <w:rFonts w:ascii="Verdana" w:hAnsi="Verdana" w:cs="System Font Regular"/>
          <w:sz w:val="20"/>
          <w:szCs w:val="20"/>
          <w:lang w:val="pt-BR"/>
        </w:rPr>
        <w:t xml:space="preserve">, em consonância com o </w:t>
      </w:r>
      <w:r w:rsidR="000E331D" w:rsidRPr="0038442F">
        <w:rPr>
          <w:rFonts w:ascii="Verdana" w:hAnsi="Verdana" w:cs="System Font Regular"/>
          <w:sz w:val="20"/>
          <w:szCs w:val="20"/>
          <w:lang w:val="pt-BR"/>
        </w:rPr>
        <w:t>mesmo</w:t>
      </w:r>
      <w:r w:rsidR="00407242" w:rsidRPr="0038442F">
        <w:rPr>
          <w:rFonts w:ascii="Verdana" w:hAnsi="Verdana" w:cs="System Font Regular"/>
          <w:sz w:val="20"/>
          <w:szCs w:val="20"/>
          <w:lang w:val="pt-BR"/>
        </w:rPr>
        <w:t xml:space="preserve"> </w:t>
      </w:r>
      <w:r w:rsidR="00EE354E" w:rsidRPr="0038442F">
        <w:rPr>
          <w:rFonts w:ascii="Verdana" w:hAnsi="Verdana" w:cs="System Font Regular"/>
          <w:sz w:val="20"/>
          <w:szCs w:val="20"/>
          <w:lang w:val="pt-BR"/>
        </w:rPr>
        <w:t xml:space="preserve">enunciado </w:t>
      </w:r>
      <w:r w:rsidR="0021692B" w:rsidRPr="0038442F">
        <w:rPr>
          <w:rFonts w:ascii="Verdana" w:hAnsi="Verdana" w:cs="System Font Regular"/>
          <w:sz w:val="20"/>
          <w:szCs w:val="20"/>
          <w:lang w:val="pt-BR"/>
        </w:rPr>
        <w:t xml:space="preserve">constante do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1.1</w:t>
      </w:r>
      <w:r w:rsidRPr="0038442F">
        <w:rPr>
          <w:rFonts w:ascii="Verdana" w:hAnsi="Verdana" w:cs="System Font Regular"/>
          <w:sz w:val="20"/>
          <w:szCs w:val="20"/>
          <w:lang w:val="pt-BR"/>
        </w:rPr>
        <w:t>;</w:t>
      </w:r>
      <w:r w:rsidR="00B43AD1" w:rsidRPr="0038442F">
        <w:rPr>
          <w:rFonts w:ascii="Verdana" w:hAnsi="Verdana" w:cs="System Font Regular"/>
          <w:sz w:val="20"/>
          <w:szCs w:val="20"/>
          <w:lang w:val="pt-BR"/>
        </w:rPr>
        <w:t xml:space="preserve"> </w:t>
      </w:r>
      <w:r w:rsidR="0021692B" w:rsidRPr="0038442F">
        <w:rPr>
          <w:rFonts w:ascii="Verdana" w:hAnsi="Verdana" w:cs="System Font Regular"/>
          <w:sz w:val="20"/>
          <w:szCs w:val="20"/>
          <w:lang w:val="pt-BR"/>
        </w:rPr>
        <w:t>e</w:t>
      </w:r>
      <w:r w:rsidR="00B43AD1" w:rsidRPr="0038442F">
        <w:rPr>
          <w:rFonts w:ascii="Verdana" w:hAnsi="Verdana" w:cs="System Font Regular"/>
          <w:sz w:val="20"/>
          <w:szCs w:val="20"/>
          <w:lang w:val="pt-BR"/>
        </w:rPr>
        <w:t xml:space="preserve">, por </w:t>
      </w:r>
      <w:r w:rsidR="0021692B" w:rsidRPr="0038442F">
        <w:rPr>
          <w:rFonts w:ascii="Verdana" w:hAnsi="Verdana" w:cs="System Font Regular"/>
          <w:sz w:val="20"/>
          <w:szCs w:val="20"/>
          <w:lang w:val="pt-BR"/>
        </w:rPr>
        <w:t>conseguinte</w:t>
      </w:r>
      <w:r w:rsidR="00B43AD1"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compre</w:t>
      </w:r>
      <w:r w:rsidR="0021692B" w:rsidRPr="0038442F">
        <w:rPr>
          <w:rFonts w:ascii="Verdana" w:hAnsi="Verdana" w:cs="System Font Regular"/>
          <w:sz w:val="20"/>
          <w:szCs w:val="20"/>
          <w:lang w:val="pt-BR"/>
        </w:rPr>
        <w:t>e</w:t>
      </w:r>
      <w:r w:rsidR="00C61238" w:rsidRPr="0038442F">
        <w:rPr>
          <w:rFonts w:ascii="Verdana" w:hAnsi="Verdana" w:cs="System Font Regular"/>
          <w:sz w:val="20"/>
          <w:szCs w:val="20"/>
          <w:lang w:val="pt-BR"/>
        </w:rPr>
        <w:t xml:space="preserve">nder </w:t>
      </w:r>
      <w:r w:rsidR="00B43AD1" w:rsidRPr="0038442F">
        <w:rPr>
          <w:rFonts w:ascii="Verdana" w:hAnsi="Verdana" w:cs="System Font Regular"/>
          <w:sz w:val="20"/>
          <w:szCs w:val="20"/>
          <w:lang w:val="pt-BR"/>
        </w:rPr>
        <w:t>que</w:t>
      </w:r>
      <w:r w:rsidR="00862829" w:rsidRPr="0038442F">
        <w:rPr>
          <w:rFonts w:ascii="Verdana" w:hAnsi="Verdana" w:cs="System Font Regular"/>
          <w:sz w:val="20"/>
          <w:szCs w:val="20"/>
          <w:lang w:val="pt-BR"/>
        </w:rPr>
        <w:t>,</w:t>
      </w:r>
      <w:r w:rsidR="00B43AD1" w:rsidRPr="0038442F">
        <w:rPr>
          <w:rFonts w:ascii="Verdana" w:hAnsi="Verdana" w:cs="System Font Regular"/>
          <w:sz w:val="20"/>
          <w:szCs w:val="20"/>
          <w:lang w:val="pt-BR"/>
        </w:rPr>
        <w:t xml:space="preserve"> </w:t>
      </w:r>
      <w:r w:rsidR="00F96746" w:rsidRPr="0038442F">
        <w:rPr>
          <w:rFonts w:ascii="Verdana" w:hAnsi="Verdana" w:cs="System Font Regular"/>
          <w:sz w:val="20"/>
          <w:szCs w:val="20"/>
          <w:lang w:val="pt-BR"/>
        </w:rPr>
        <w:t xml:space="preserve">a partir do </w:t>
      </w:r>
      <w:r w:rsidR="003B374E" w:rsidRPr="0038442F">
        <w:rPr>
          <w:rFonts w:ascii="Verdana" w:hAnsi="Verdana" w:cs="System Font Regular"/>
          <w:sz w:val="20"/>
          <w:szCs w:val="20"/>
          <w:lang w:val="pt-BR"/>
        </w:rPr>
        <w:t xml:space="preserve">artigo </w:t>
      </w:r>
      <w:r w:rsidR="00B43AD1" w:rsidRPr="0038442F">
        <w:rPr>
          <w:rFonts w:ascii="Verdana" w:hAnsi="Verdana" w:cs="System Font Regular"/>
          <w:sz w:val="20"/>
          <w:szCs w:val="20"/>
          <w:lang w:val="pt-BR"/>
        </w:rPr>
        <w:t xml:space="preserve">24 </w:t>
      </w:r>
      <w:r w:rsidR="00C92762" w:rsidRPr="0038442F">
        <w:rPr>
          <w:rFonts w:ascii="Verdana" w:hAnsi="Verdana" w:cs="System Font Regular"/>
          <w:sz w:val="20"/>
          <w:szCs w:val="20"/>
          <w:lang w:val="pt-BR"/>
        </w:rPr>
        <w:t xml:space="preserve">da </w:t>
      </w:r>
      <w:r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00862829" w:rsidRPr="0038442F">
        <w:rPr>
          <w:rFonts w:ascii="Verdana" w:hAnsi="Verdana" w:cs="System Font Regular"/>
          <w:sz w:val="20"/>
          <w:szCs w:val="20"/>
          <w:lang w:val="pt-BR"/>
        </w:rPr>
        <w:t>,</w:t>
      </w:r>
      <w:r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existe</w:t>
      </w:r>
      <w:r w:rsidR="0021692B" w:rsidRPr="0038442F">
        <w:rPr>
          <w:rFonts w:ascii="Verdana" w:hAnsi="Verdana" w:cs="System Font Regular"/>
          <w:sz w:val="20"/>
          <w:szCs w:val="20"/>
          <w:lang w:val="pt-BR"/>
        </w:rPr>
        <w:t>m</w:t>
      </w:r>
      <w:r w:rsidR="00B43AD1" w:rsidRPr="0038442F">
        <w:rPr>
          <w:rFonts w:ascii="Verdana" w:hAnsi="Verdana" w:cs="System Font Regular"/>
          <w:sz w:val="20"/>
          <w:szCs w:val="20"/>
          <w:lang w:val="pt-BR"/>
        </w:rPr>
        <w:t xml:space="preserve">, para </w:t>
      </w:r>
      <w:r w:rsidR="009612FB" w:rsidRPr="0038442F">
        <w:rPr>
          <w:rFonts w:ascii="Verdana" w:hAnsi="Verdana" w:cs="System Font Regular"/>
          <w:sz w:val="20"/>
          <w:szCs w:val="20"/>
          <w:lang w:val="pt-BR"/>
        </w:rPr>
        <w:t xml:space="preserve">garantir </w:t>
      </w:r>
      <w:r w:rsidR="005135E5" w:rsidRPr="0038442F">
        <w:rPr>
          <w:rFonts w:ascii="Verdana" w:hAnsi="Verdana" w:cs="System Font Regular"/>
          <w:sz w:val="20"/>
          <w:szCs w:val="20"/>
          <w:lang w:val="pt-BR"/>
        </w:rPr>
        <w:t>os direitos</w:t>
      </w:r>
      <w:r w:rsidR="00B43AD1" w:rsidRPr="0038442F">
        <w:rPr>
          <w:rFonts w:ascii="Verdana" w:hAnsi="Verdana" w:cs="System Font Regular"/>
          <w:sz w:val="20"/>
          <w:szCs w:val="20"/>
          <w:lang w:val="pt-BR"/>
        </w:rPr>
        <w:t xml:space="preserve">, </w:t>
      </w:r>
      <w:r w:rsidR="00984A83" w:rsidRPr="0038442F">
        <w:rPr>
          <w:rFonts w:ascii="Verdana" w:hAnsi="Verdana" w:cs="System Font Regular"/>
          <w:sz w:val="20"/>
          <w:szCs w:val="20"/>
          <w:lang w:val="pt-BR"/>
        </w:rPr>
        <w:t>obrigações</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positivas. Es</w:t>
      </w:r>
      <w:r w:rsidR="0021692B" w:rsidRPr="0038442F">
        <w:rPr>
          <w:rFonts w:ascii="Verdana" w:hAnsi="Verdana" w:cs="System Font Regular"/>
          <w:sz w:val="20"/>
          <w:szCs w:val="20"/>
          <w:lang w:val="pt-BR"/>
        </w:rPr>
        <w:t>s</w:t>
      </w:r>
      <w:r w:rsidR="00B43AD1" w:rsidRPr="0038442F">
        <w:rPr>
          <w:rFonts w:ascii="Verdana" w:hAnsi="Verdana" w:cs="System Font Regular"/>
          <w:sz w:val="20"/>
          <w:szCs w:val="20"/>
          <w:lang w:val="pt-BR"/>
        </w:rPr>
        <w:t xml:space="preserve">as </w:t>
      </w:r>
      <w:r w:rsidR="00984A83" w:rsidRPr="0038442F">
        <w:rPr>
          <w:rFonts w:ascii="Verdana" w:hAnsi="Verdana" w:cs="System Font Regular"/>
          <w:sz w:val="20"/>
          <w:szCs w:val="20"/>
          <w:lang w:val="pt-BR"/>
        </w:rPr>
        <w:t>obrigações</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 xml:space="preserve">positivas se </w:t>
      </w:r>
      <w:r w:rsidR="009612FB" w:rsidRPr="0038442F">
        <w:rPr>
          <w:rFonts w:ascii="Verdana" w:hAnsi="Verdana" w:cs="System Font Regular"/>
          <w:sz w:val="20"/>
          <w:szCs w:val="20"/>
          <w:lang w:val="pt-BR"/>
        </w:rPr>
        <w:t>devem</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tradu</w:t>
      </w:r>
      <w:r w:rsidR="0021692B" w:rsidRPr="0038442F">
        <w:rPr>
          <w:rFonts w:ascii="Verdana" w:hAnsi="Verdana" w:cs="System Font Regular"/>
          <w:sz w:val="20"/>
          <w:szCs w:val="20"/>
          <w:lang w:val="pt-BR"/>
        </w:rPr>
        <w:t>z</w:t>
      </w:r>
      <w:r w:rsidR="00B43AD1" w:rsidRPr="0038442F">
        <w:rPr>
          <w:rFonts w:ascii="Verdana" w:hAnsi="Verdana" w:cs="System Font Regular"/>
          <w:sz w:val="20"/>
          <w:szCs w:val="20"/>
          <w:lang w:val="pt-BR"/>
        </w:rPr>
        <w:t xml:space="preserve">ir, por </w:t>
      </w:r>
      <w:r w:rsidR="00D45B15" w:rsidRPr="0038442F">
        <w:rPr>
          <w:rFonts w:ascii="Verdana" w:hAnsi="Verdana" w:cs="System Font Regular"/>
          <w:sz w:val="20"/>
          <w:szCs w:val="20"/>
          <w:lang w:val="pt-BR"/>
        </w:rPr>
        <w:t>exemplo</w:t>
      </w:r>
      <w:r w:rsidRPr="0038442F">
        <w:rPr>
          <w:rFonts w:ascii="Verdana" w:hAnsi="Verdana" w:cs="System Font Regular"/>
          <w:sz w:val="20"/>
          <w:szCs w:val="20"/>
          <w:lang w:val="pt-BR"/>
        </w:rPr>
        <w:t>, na</w:t>
      </w:r>
      <w:r w:rsidR="00B43AD1" w:rsidRPr="0038442F">
        <w:rPr>
          <w:rFonts w:ascii="Verdana" w:hAnsi="Verdana" w:cs="System Font Regular"/>
          <w:sz w:val="20"/>
          <w:szCs w:val="20"/>
          <w:lang w:val="pt-BR"/>
        </w:rPr>
        <w:t>: i) elimina</w:t>
      </w:r>
      <w:r w:rsidR="000A1AA8" w:rsidRPr="0038442F">
        <w:rPr>
          <w:rFonts w:ascii="Verdana" w:hAnsi="Verdana" w:cs="System Font Regular"/>
          <w:sz w:val="20"/>
          <w:szCs w:val="20"/>
          <w:lang w:val="pt-BR"/>
        </w:rPr>
        <w:t>ção</w:t>
      </w:r>
      <w:r w:rsidR="00B43AD1" w:rsidRPr="0038442F">
        <w:rPr>
          <w:rFonts w:ascii="Verdana" w:hAnsi="Verdana" w:cs="System Font Regular"/>
          <w:sz w:val="20"/>
          <w:szCs w:val="20"/>
          <w:lang w:val="pt-BR"/>
        </w:rPr>
        <w:t xml:space="preserve"> de </w:t>
      </w:r>
      <w:r w:rsidR="0021692B" w:rsidRPr="0038442F">
        <w:rPr>
          <w:rFonts w:ascii="Verdana" w:hAnsi="Verdana" w:cs="System Font Regular"/>
          <w:sz w:val="20"/>
          <w:szCs w:val="20"/>
          <w:lang w:val="pt-BR"/>
        </w:rPr>
        <w:t xml:space="preserve">legislação que possa </w:t>
      </w:r>
      <w:r w:rsidR="00B43AD1" w:rsidRPr="0038442F">
        <w:rPr>
          <w:rFonts w:ascii="Verdana" w:hAnsi="Verdana" w:cs="System Font Regular"/>
          <w:sz w:val="20"/>
          <w:szCs w:val="20"/>
          <w:lang w:val="pt-BR"/>
        </w:rPr>
        <w:t>ser aparentemente neutra</w:t>
      </w:r>
      <w:r w:rsidR="0021692B" w:rsidRPr="0038442F">
        <w:rPr>
          <w:rFonts w:ascii="Verdana" w:hAnsi="Verdana" w:cs="System Font Regular"/>
          <w:sz w:val="20"/>
          <w:szCs w:val="20"/>
          <w:lang w:val="pt-BR"/>
        </w:rPr>
        <w:t xml:space="preserve">, mas que provoque </w:t>
      </w:r>
      <w:r w:rsidR="00B43AD1" w:rsidRPr="0038442F">
        <w:rPr>
          <w:rFonts w:ascii="Verdana" w:hAnsi="Verdana" w:cs="System Font Regular"/>
          <w:sz w:val="20"/>
          <w:szCs w:val="20"/>
          <w:lang w:val="pt-BR"/>
        </w:rPr>
        <w:t>impacto indireto e</w:t>
      </w:r>
      <w:r w:rsidR="0021692B" w:rsidRPr="0038442F">
        <w:rPr>
          <w:rFonts w:ascii="Verdana" w:hAnsi="Verdana" w:cs="System Font Regular"/>
          <w:sz w:val="20"/>
          <w:szCs w:val="20"/>
          <w:lang w:val="pt-BR"/>
        </w:rPr>
        <w:t>m</w:t>
      </w:r>
      <w:r w:rsidR="00B43AD1" w:rsidRPr="0038442F">
        <w:rPr>
          <w:rFonts w:ascii="Verdana" w:hAnsi="Verdana" w:cs="System Font Regular"/>
          <w:sz w:val="20"/>
          <w:szCs w:val="20"/>
          <w:lang w:val="pt-BR"/>
        </w:rPr>
        <w:t xml:space="preserve"> determinados grupos, ii) </w:t>
      </w:r>
      <w:r w:rsidR="00C92762" w:rsidRPr="0038442F">
        <w:rPr>
          <w:rFonts w:ascii="Verdana" w:hAnsi="Verdana" w:cs="System Font Regular"/>
          <w:sz w:val="20"/>
          <w:szCs w:val="20"/>
          <w:lang w:val="pt-BR"/>
        </w:rPr>
        <w:t>ado</w:t>
      </w:r>
      <w:r w:rsidR="00F96746" w:rsidRPr="0038442F">
        <w:rPr>
          <w:rFonts w:ascii="Verdana" w:hAnsi="Verdana" w:cs="System Font Regular"/>
          <w:sz w:val="20"/>
          <w:szCs w:val="20"/>
          <w:lang w:val="pt-BR"/>
        </w:rPr>
        <w:t xml:space="preserve">ção de </w:t>
      </w:r>
      <w:r w:rsidR="0021692B" w:rsidRPr="0038442F">
        <w:rPr>
          <w:rFonts w:ascii="Verdana" w:hAnsi="Verdana" w:cs="System Font Regular"/>
          <w:sz w:val="20"/>
          <w:szCs w:val="20"/>
          <w:lang w:val="pt-BR"/>
        </w:rPr>
        <w:t xml:space="preserve">legislação que atenda às </w:t>
      </w:r>
      <w:r w:rsidR="00B43AD1" w:rsidRPr="0038442F">
        <w:rPr>
          <w:rFonts w:ascii="Verdana" w:hAnsi="Verdana" w:cs="System Font Regular"/>
          <w:sz w:val="20"/>
          <w:szCs w:val="20"/>
          <w:lang w:val="pt-BR"/>
        </w:rPr>
        <w:t>situa</w:t>
      </w:r>
      <w:r w:rsidR="000A1AA8" w:rsidRPr="0038442F">
        <w:rPr>
          <w:rFonts w:ascii="Verdana" w:hAnsi="Verdana" w:cs="System Font Regular"/>
          <w:sz w:val="20"/>
          <w:szCs w:val="20"/>
          <w:lang w:val="pt-BR"/>
        </w:rPr>
        <w:t>ções</w:t>
      </w:r>
      <w:r w:rsidR="00B43AD1" w:rsidRPr="0038442F">
        <w:rPr>
          <w:rFonts w:ascii="Verdana" w:hAnsi="Verdana" w:cs="System Font Regular"/>
          <w:sz w:val="20"/>
          <w:szCs w:val="20"/>
          <w:lang w:val="pt-BR"/>
        </w:rPr>
        <w:t xml:space="preserve"> particulares de </w:t>
      </w:r>
      <w:r w:rsidR="0021692B" w:rsidRPr="0038442F">
        <w:rPr>
          <w:rFonts w:ascii="Verdana" w:hAnsi="Verdana" w:cs="System Font Regular"/>
          <w:sz w:val="20"/>
          <w:szCs w:val="20"/>
          <w:lang w:val="pt-BR"/>
        </w:rPr>
        <w:t xml:space="preserve">fato </w:t>
      </w:r>
      <w:r w:rsidR="00B43AD1" w:rsidRPr="0038442F">
        <w:rPr>
          <w:rFonts w:ascii="Verdana" w:hAnsi="Verdana" w:cs="System Font Regular"/>
          <w:sz w:val="20"/>
          <w:szCs w:val="20"/>
          <w:lang w:val="pt-BR"/>
        </w:rPr>
        <w:t xml:space="preserve">de grupos </w:t>
      </w:r>
      <w:r w:rsidR="00292EED" w:rsidRPr="0038442F">
        <w:rPr>
          <w:rFonts w:ascii="Verdana" w:hAnsi="Verdana" w:cs="System Font Regular"/>
          <w:sz w:val="20"/>
          <w:szCs w:val="20"/>
          <w:lang w:val="pt-BR"/>
        </w:rPr>
        <w:t>excluídos</w:t>
      </w:r>
      <w:r w:rsidR="00407242" w:rsidRPr="0038442F">
        <w:rPr>
          <w:rFonts w:ascii="Verdana" w:hAnsi="Verdana" w:cs="System Font Regular"/>
          <w:sz w:val="20"/>
          <w:szCs w:val="20"/>
          <w:lang w:val="pt-BR"/>
        </w:rPr>
        <w:t xml:space="preserve"> </w:t>
      </w:r>
      <w:r w:rsidR="00B43AD1" w:rsidRPr="0038442F">
        <w:rPr>
          <w:rFonts w:ascii="Verdana" w:hAnsi="Verdana" w:cs="System Font Regular"/>
          <w:sz w:val="20"/>
          <w:szCs w:val="20"/>
          <w:lang w:val="pt-BR"/>
        </w:rPr>
        <w:t>sistem</w:t>
      </w:r>
      <w:r w:rsidR="0021692B" w:rsidRPr="0038442F">
        <w:rPr>
          <w:rFonts w:ascii="Verdana" w:hAnsi="Verdana" w:cs="System Font Regular"/>
          <w:sz w:val="20"/>
          <w:szCs w:val="20"/>
          <w:lang w:val="pt-BR"/>
        </w:rPr>
        <w:t>a</w:t>
      </w:r>
      <w:r w:rsidR="00B43AD1" w:rsidRPr="0038442F">
        <w:rPr>
          <w:rFonts w:ascii="Verdana" w:hAnsi="Verdana" w:cs="System Font Regular"/>
          <w:sz w:val="20"/>
          <w:szCs w:val="20"/>
          <w:lang w:val="pt-BR"/>
        </w:rPr>
        <w:t>ticamente</w:t>
      </w:r>
      <w:r w:rsidR="00F96746" w:rsidRPr="0038442F">
        <w:rPr>
          <w:rFonts w:ascii="Verdana" w:hAnsi="Verdana" w:cs="System Font Regular"/>
          <w:sz w:val="20"/>
          <w:szCs w:val="20"/>
          <w:lang w:val="pt-BR"/>
        </w:rPr>
        <w:t>;</w:t>
      </w:r>
      <w:r w:rsidR="00B43AD1" w:rsidRPr="0038442F">
        <w:rPr>
          <w:rFonts w:ascii="Verdana" w:hAnsi="Verdana" w:cs="System Font Regular"/>
          <w:sz w:val="20"/>
          <w:szCs w:val="20"/>
          <w:lang w:val="pt-BR"/>
        </w:rPr>
        <w:t xml:space="preserve"> o</w:t>
      </w:r>
      <w:r w:rsidR="0021692B" w:rsidRPr="0038442F">
        <w:rPr>
          <w:rFonts w:ascii="Verdana" w:hAnsi="Verdana" w:cs="System Font Regular"/>
          <w:sz w:val="20"/>
          <w:szCs w:val="20"/>
          <w:lang w:val="pt-BR"/>
        </w:rPr>
        <w:t>u</w:t>
      </w:r>
      <w:r w:rsidR="00B43AD1" w:rsidRPr="0038442F">
        <w:rPr>
          <w:rFonts w:ascii="Verdana" w:hAnsi="Verdana" w:cs="System Font Regular"/>
          <w:sz w:val="20"/>
          <w:szCs w:val="20"/>
          <w:lang w:val="pt-BR"/>
        </w:rPr>
        <w:t xml:space="preserve"> iii) </w:t>
      </w:r>
      <w:r w:rsidR="00F96746" w:rsidRPr="0038442F">
        <w:rPr>
          <w:rFonts w:ascii="Verdana" w:hAnsi="Verdana" w:cs="System Font Regular"/>
          <w:sz w:val="20"/>
          <w:szCs w:val="20"/>
          <w:lang w:val="pt-BR"/>
        </w:rPr>
        <w:t xml:space="preserve">adoção de </w:t>
      </w:r>
      <w:r w:rsidR="00B43AD1" w:rsidRPr="0038442F">
        <w:rPr>
          <w:rFonts w:ascii="Verdana" w:hAnsi="Verdana" w:cs="System Font Regular"/>
          <w:sz w:val="20"/>
          <w:szCs w:val="20"/>
          <w:lang w:val="pt-BR"/>
        </w:rPr>
        <w:t>medidas de compensa</w:t>
      </w:r>
      <w:r w:rsidR="000A1AA8" w:rsidRPr="0038442F">
        <w:rPr>
          <w:rFonts w:ascii="Verdana" w:hAnsi="Verdana" w:cs="System Font Regular"/>
          <w:sz w:val="20"/>
          <w:szCs w:val="20"/>
          <w:lang w:val="pt-BR"/>
        </w:rPr>
        <w:t>ção</w:t>
      </w:r>
      <w:r w:rsidR="00B43AD1" w:rsidRPr="0038442F">
        <w:rPr>
          <w:rFonts w:ascii="Verdana" w:hAnsi="Verdana" w:cs="System Font Regular"/>
          <w:sz w:val="20"/>
          <w:szCs w:val="20"/>
          <w:lang w:val="pt-BR"/>
        </w:rPr>
        <w:t xml:space="preserve"> para que a </w:t>
      </w:r>
      <w:r w:rsidR="0021692B" w:rsidRPr="0038442F">
        <w:rPr>
          <w:rFonts w:ascii="Verdana" w:hAnsi="Verdana" w:cs="System Font Regular"/>
          <w:sz w:val="20"/>
          <w:szCs w:val="20"/>
          <w:lang w:val="pt-BR"/>
        </w:rPr>
        <w:t xml:space="preserve">legislação </w:t>
      </w:r>
      <w:r w:rsidR="00B43AD1" w:rsidRPr="0038442F">
        <w:rPr>
          <w:rFonts w:ascii="Verdana" w:hAnsi="Verdana" w:cs="System Font Regular"/>
          <w:sz w:val="20"/>
          <w:szCs w:val="20"/>
          <w:lang w:val="pt-BR"/>
        </w:rPr>
        <w:t xml:space="preserve">existente </w:t>
      </w:r>
      <w:r w:rsidR="00BB665E" w:rsidRPr="0038442F">
        <w:rPr>
          <w:rFonts w:ascii="Verdana" w:hAnsi="Verdana" w:cs="System Font Regular"/>
          <w:sz w:val="20"/>
          <w:szCs w:val="20"/>
          <w:lang w:val="pt-BR"/>
        </w:rPr>
        <w:t>p</w:t>
      </w:r>
      <w:r w:rsidR="0021692B" w:rsidRPr="0038442F">
        <w:rPr>
          <w:rFonts w:ascii="Verdana" w:hAnsi="Verdana" w:cs="System Font Regular"/>
          <w:sz w:val="20"/>
          <w:szCs w:val="20"/>
          <w:lang w:val="pt-BR"/>
        </w:rPr>
        <w:t xml:space="preserve">ossa ser aplicável </w:t>
      </w:r>
      <w:r w:rsidR="00F96746" w:rsidRPr="0038442F">
        <w:rPr>
          <w:rFonts w:ascii="Verdana" w:hAnsi="Verdana" w:cs="System Font Regular"/>
          <w:sz w:val="20"/>
          <w:szCs w:val="20"/>
          <w:lang w:val="pt-BR"/>
        </w:rPr>
        <w:t>à</w:t>
      </w:r>
      <w:r w:rsidR="0021692B" w:rsidRPr="0038442F">
        <w:rPr>
          <w:rFonts w:ascii="Verdana" w:hAnsi="Verdana" w:cs="System Font Regular"/>
          <w:sz w:val="20"/>
          <w:szCs w:val="20"/>
          <w:lang w:val="pt-BR"/>
        </w:rPr>
        <w:t xml:space="preserve"> realidade e não </w:t>
      </w:r>
      <w:r w:rsidR="00B43AD1" w:rsidRPr="0038442F">
        <w:rPr>
          <w:rFonts w:ascii="Verdana" w:hAnsi="Verdana" w:cs="System Font Regular"/>
          <w:sz w:val="20"/>
          <w:szCs w:val="20"/>
          <w:lang w:val="pt-BR"/>
        </w:rPr>
        <w:t>result</w:t>
      </w:r>
      <w:r w:rsidR="00F96746" w:rsidRPr="0038442F">
        <w:rPr>
          <w:rFonts w:ascii="Verdana" w:hAnsi="Verdana" w:cs="System Font Regular"/>
          <w:sz w:val="20"/>
          <w:szCs w:val="20"/>
          <w:lang w:val="pt-BR"/>
        </w:rPr>
        <w:t>e</w:t>
      </w:r>
      <w:r w:rsidR="00B43AD1" w:rsidRPr="0038442F">
        <w:rPr>
          <w:rFonts w:ascii="Verdana" w:hAnsi="Verdana" w:cs="System Font Regular"/>
          <w:sz w:val="20"/>
          <w:szCs w:val="20"/>
          <w:lang w:val="pt-BR"/>
        </w:rPr>
        <w:t xml:space="preserve"> </w:t>
      </w:r>
      <w:r w:rsidR="00F96746" w:rsidRPr="0038442F">
        <w:rPr>
          <w:rFonts w:ascii="Verdana" w:hAnsi="Verdana" w:cs="System Font Regular"/>
          <w:sz w:val="20"/>
          <w:szCs w:val="20"/>
          <w:lang w:val="pt-BR"/>
        </w:rPr>
        <w:t xml:space="preserve">em </w:t>
      </w:r>
      <w:r w:rsidR="00B43AD1" w:rsidRPr="0038442F">
        <w:rPr>
          <w:rFonts w:ascii="Verdana" w:hAnsi="Verdana" w:cs="System Font Regular"/>
          <w:sz w:val="20"/>
          <w:szCs w:val="20"/>
          <w:lang w:val="pt-BR"/>
        </w:rPr>
        <w:t>inefic</w:t>
      </w:r>
      <w:r w:rsidR="0021692B" w:rsidRPr="0038442F">
        <w:rPr>
          <w:rFonts w:ascii="Verdana" w:hAnsi="Verdana" w:cs="System Font Regular"/>
          <w:sz w:val="20"/>
          <w:szCs w:val="20"/>
          <w:lang w:val="pt-BR"/>
        </w:rPr>
        <w:t>á</w:t>
      </w:r>
      <w:r w:rsidR="00B43AD1" w:rsidRPr="0038442F">
        <w:rPr>
          <w:rFonts w:ascii="Verdana" w:hAnsi="Verdana" w:cs="System Font Regular"/>
          <w:sz w:val="20"/>
          <w:szCs w:val="20"/>
          <w:lang w:val="pt-BR"/>
        </w:rPr>
        <w:t>cia.</w:t>
      </w:r>
      <w:r w:rsidR="00407242" w:rsidRPr="0038442F">
        <w:rPr>
          <w:rFonts w:ascii="Verdana" w:hAnsi="Verdana" w:cs="System Font Regular"/>
          <w:sz w:val="20"/>
          <w:szCs w:val="20"/>
          <w:lang w:val="pt-BR"/>
        </w:rPr>
        <w:t xml:space="preserve"> </w:t>
      </w:r>
    </w:p>
    <w:p w14:paraId="35C3EFB7" w14:textId="77777777" w:rsidR="00C61238" w:rsidRPr="0038442F" w:rsidRDefault="00C61238" w:rsidP="00DA7255">
      <w:pPr>
        <w:pStyle w:val="Prrafodelista"/>
        <w:spacing w:after="0" w:line="240" w:lineRule="auto"/>
        <w:ind w:left="0"/>
        <w:jc w:val="both"/>
        <w:rPr>
          <w:rFonts w:ascii="Verdana" w:hAnsi="Verdana" w:cs="System Font Regular"/>
          <w:sz w:val="20"/>
          <w:szCs w:val="20"/>
          <w:lang w:val="pt-BR"/>
        </w:rPr>
      </w:pPr>
    </w:p>
    <w:p w14:paraId="38D02097" w14:textId="0F7DD2AE" w:rsidR="00E5082D" w:rsidRPr="0038442F" w:rsidRDefault="00160AA7" w:rsidP="00E5082D">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110. </w:t>
      </w:r>
      <w:r w:rsidRPr="0038442F">
        <w:rPr>
          <w:rFonts w:ascii="Verdana" w:hAnsi="Verdana" w:cs="System Font Regular"/>
          <w:sz w:val="20"/>
          <w:szCs w:val="20"/>
          <w:lang w:val="pt-BR"/>
        </w:rPr>
        <w:tab/>
      </w:r>
      <w:r w:rsidR="0021692B" w:rsidRPr="0038442F">
        <w:rPr>
          <w:rFonts w:ascii="Verdana" w:hAnsi="Verdana" w:cs="System Font Regular"/>
          <w:sz w:val="20"/>
          <w:szCs w:val="20"/>
          <w:lang w:val="pt-BR"/>
        </w:rPr>
        <w:t xml:space="preserve">O </w:t>
      </w:r>
      <w:r w:rsidR="00C23682" w:rsidRPr="0038442F">
        <w:rPr>
          <w:rFonts w:ascii="Verdana" w:hAnsi="Verdana" w:cs="System Font Regular"/>
          <w:sz w:val="20"/>
          <w:szCs w:val="20"/>
          <w:lang w:val="pt-BR"/>
        </w:rPr>
        <w:t>entendimento</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21692B" w:rsidRPr="0038442F">
        <w:rPr>
          <w:rFonts w:ascii="Verdana" w:hAnsi="Verdana" w:cs="System Font Regular"/>
          <w:sz w:val="20"/>
          <w:szCs w:val="20"/>
          <w:lang w:val="pt-BR"/>
        </w:rPr>
        <w:t>expressão</w:t>
      </w:r>
      <w:r w:rsidR="00407242" w:rsidRPr="0038442F">
        <w:rPr>
          <w:rFonts w:ascii="Verdana" w:hAnsi="Verdana" w:cs="System Font Regular"/>
          <w:sz w:val="20"/>
          <w:szCs w:val="20"/>
          <w:lang w:val="pt-BR"/>
        </w:rPr>
        <w:t xml:space="preserve"> </w:t>
      </w:r>
      <w:r w:rsidR="000C00B5" w:rsidRPr="0038442F">
        <w:rPr>
          <w:rFonts w:ascii="Verdana" w:hAnsi="Verdana" w:cs="System Font Regular"/>
          <w:sz w:val="20"/>
          <w:szCs w:val="20"/>
          <w:lang w:val="pt-BR"/>
        </w:rPr>
        <w:t>“</w:t>
      </w:r>
      <w:r w:rsidR="00751189" w:rsidRPr="0038442F">
        <w:rPr>
          <w:rFonts w:ascii="Verdana" w:hAnsi="Verdana" w:cs="System Font Regular"/>
          <w:sz w:val="20"/>
          <w:szCs w:val="20"/>
          <w:lang w:val="pt-BR"/>
        </w:rPr>
        <w:t>sem</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discrimina</w:t>
      </w:r>
      <w:r w:rsidR="000A1AA8" w:rsidRPr="0038442F">
        <w:rPr>
          <w:rFonts w:ascii="Verdana" w:hAnsi="Verdana" w:cs="System Font Regular"/>
          <w:sz w:val="20"/>
          <w:szCs w:val="20"/>
          <w:lang w:val="pt-BR"/>
        </w:rPr>
        <w:t>ção</w:t>
      </w:r>
      <w:r w:rsidR="000C00B5" w:rsidRPr="0038442F">
        <w:rPr>
          <w:rFonts w:ascii="Verdana" w:hAnsi="Verdana" w:cs="System Font Regular"/>
          <w:sz w:val="20"/>
          <w:szCs w:val="20"/>
          <w:lang w:val="pt-BR"/>
        </w:rPr>
        <w:t>”</w:t>
      </w:r>
      <w:r w:rsidR="00C61238"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no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24</w:t>
      </w:r>
      <w:r w:rsidR="0021692B" w:rsidRPr="0038442F">
        <w:rPr>
          <w:rFonts w:ascii="Verdana" w:hAnsi="Verdana" w:cs="System Font Regular"/>
          <w:sz w:val="20"/>
          <w:szCs w:val="20"/>
          <w:lang w:val="pt-BR"/>
        </w:rPr>
        <w:t xml:space="preserve">, à </w:t>
      </w:r>
      <w:r w:rsidR="00C61238" w:rsidRPr="0038442F">
        <w:rPr>
          <w:rFonts w:ascii="Verdana" w:hAnsi="Verdana" w:cs="System Font Regular"/>
          <w:sz w:val="20"/>
          <w:szCs w:val="20"/>
          <w:lang w:val="pt-BR"/>
        </w:rPr>
        <w:t xml:space="preserve">luz </w:t>
      </w:r>
      <w:r w:rsidR="00751189" w:rsidRPr="0038442F">
        <w:rPr>
          <w:rFonts w:ascii="Verdana" w:hAnsi="Verdana" w:cs="System Font Regular"/>
          <w:sz w:val="20"/>
          <w:szCs w:val="20"/>
          <w:lang w:val="pt-BR"/>
        </w:rPr>
        <w:t xml:space="preserve">do artigo </w:t>
      </w:r>
      <w:r w:rsidR="00C61238" w:rsidRPr="0038442F">
        <w:rPr>
          <w:rFonts w:ascii="Verdana" w:hAnsi="Verdana" w:cs="System Font Regular"/>
          <w:sz w:val="20"/>
          <w:szCs w:val="20"/>
          <w:lang w:val="pt-BR"/>
        </w:rPr>
        <w:t>1.1</w:t>
      </w:r>
      <w:r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00C61238" w:rsidRPr="0038442F">
        <w:rPr>
          <w:rFonts w:ascii="Verdana" w:hAnsi="Verdana" w:cs="System Font Regular"/>
          <w:sz w:val="20"/>
          <w:szCs w:val="20"/>
          <w:lang w:val="pt-BR"/>
        </w:rPr>
        <w:t xml:space="preserve">, </w:t>
      </w:r>
      <w:r w:rsidR="0021692B" w:rsidRPr="0038442F">
        <w:rPr>
          <w:rFonts w:ascii="Verdana" w:hAnsi="Verdana" w:cs="System Font Regular"/>
          <w:sz w:val="20"/>
          <w:szCs w:val="20"/>
          <w:lang w:val="pt-BR"/>
        </w:rPr>
        <w:t xml:space="preserve">concorda com o </w:t>
      </w:r>
      <w:r w:rsidR="00C61238" w:rsidRPr="0038442F">
        <w:rPr>
          <w:rFonts w:ascii="Verdana" w:hAnsi="Verdana" w:cs="System Font Regular"/>
          <w:sz w:val="20"/>
          <w:szCs w:val="20"/>
          <w:lang w:val="pt-BR"/>
        </w:rPr>
        <w:t>espírit</w:t>
      </w:r>
      <w:r w:rsidR="0021692B" w:rsidRPr="0038442F">
        <w:rPr>
          <w:rFonts w:ascii="Verdana" w:hAnsi="Verdana" w:cs="System Font Regular"/>
          <w:sz w:val="20"/>
          <w:szCs w:val="20"/>
          <w:lang w:val="pt-BR"/>
        </w:rPr>
        <w:t>o</w:t>
      </w:r>
      <w:r w:rsidR="00C61238" w:rsidRPr="0038442F">
        <w:rPr>
          <w:rFonts w:ascii="Verdana" w:hAnsi="Verdana" w:cs="System Font Regular"/>
          <w:sz w:val="20"/>
          <w:szCs w:val="20"/>
          <w:lang w:val="pt-BR"/>
        </w:rPr>
        <w:t xml:space="preserve"> que motiv</w:t>
      </w:r>
      <w:r w:rsidR="0021692B" w:rsidRPr="0038442F">
        <w:rPr>
          <w:rFonts w:ascii="Verdana" w:hAnsi="Verdana" w:cs="System Font Regular"/>
          <w:sz w:val="20"/>
          <w:szCs w:val="20"/>
          <w:lang w:val="pt-BR"/>
        </w:rPr>
        <w:t xml:space="preserve">ou a criação do </w:t>
      </w:r>
      <w:r w:rsidR="00C61238" w:rsidRPr="0038442F">
        <w:rPr>
          <w:rFonts w:ascii="Verdana" w:hAnsi="Verdana" w:cs="System Font Regular"/>
          <w:sz w:val="20"/>
          <w:szCs w:val="20"/>
          <w:lang w:val="pt-BR"/>
        </w:rPr>
        <w:t xml:space="preserve">Protocolo 12 </w:t>
      </w:r>
      <w:r w:rsidR="00751189" w:rsidRPr="0038442F">
        <w:rPr>
          <w:rFonts w:ascii="Verdana" w:hAnsi="Verdana" w:cs="System Font Regular"/>
          <w:sz w:val="20"/>
          <w:szCs w:val="20"/>
          <w:lang w:val="pt-BR"/>
        </w:rPr>
        <w:t xml:space="preserve">no </w:t>
      </w:r>
      <w:r w:rsidR="00C61238" w:rsidRPr="0038442F">
        <w:rPr>
          <w:rFonts w:ascii="Verdana" w:hAnsi="Verdana" w:cs="System Font Regular"/>
          <w:sz w:val="20"/>
          <w:szCs w:val="20"/>
          <w:lang w:val="pt-BR"/>
        </w:rPr>
        <w:t xml:space="preserve">Sistema </w:t>
      </w:r>
      <w:r w:rsidR="00DA73B1" w:rsidRPr="0038442F">
        <w:rPr>
          <w:rFonts w:ascii="Verdana" w:hAnsi="Verdana" w:cs="System Font Regular"/>
          <w:sz w:val="20"/>
          <w:szCs w:val="20"/>
          <w:lang w:val="pt-BR"/>
        </w:rPr>
        <w:t>Europeu</w:t>
      </w:r>
      <w:r w:rsidR="00C61238" w:rsidRPr="0038442F">
        <w:rPr>
          <w:rFonts w:ascii="Verdana" w:hAnsi="Verdana" w:cs="System Font Regular"/>
          <w:sz w:val="20"/>
          <w:szCs w:val="20"/>
          <w:lang w:val="pt-BR"/>
        </w:rPr>
        <w:t>. A</w:t>
      </w:r>
      <w:r w:rsidR="0021692B" w:rsidRPr="0038442F">
        <w:rPr>
          <w:rFonts w:ascii="Verdana" w:hAnsi="Verdana" w:cs="System Font Regular"/>
          <w:sz w:val="20"/>
          <w:szCs w:val="20"/>
          <w:lang w:val="pt-BR"/>
        </w:rPr>
        <w:t>lém disso</w:t>
      </w:r>
      <w:r w:rsidR="00C61238" w:rsidRPr="0038442F">
        <w:rPr>
          <w:rFonts w:ascii="Verdana" w:hAnsi="Verdana" w:cs="System Font Regular"/>
          <w:sz w:val="20"/>
          <w:szCs w:val="20"/>
          <w:lang w:val="pt-BR"/>
        </w:rPr>
        <w:t xml:space="preserve">, o </w:t>
      </w:r>
      <w:r w:rsidR="0021692B" w:rsidRPr="0038442F">
        <w:rPr>
          <w:rFonts w:ascii="Verdana" w:hAnsi="Verdana" w:cs="System Font Regular"/>
          <w:sz w:val="20"/>
          <w:szCs w:val="20"/>
          <w:lang w:val="pt-BR"/>
        </w:rPr>
        <w:t xml:space="preserve">exposto </w:t>
      </w:r>
      <w:r w:rsidR="00751189" w:rsidRPr="0038442F">
        <w:rPr>
          <w:rFonts w:ascii="Verdana" w:hAnsi="Verdana" w:cs="System Font Regular"/>
          <w:sz w:val="20"/>
          <w:szCs w:val="20"/>
          <w:lang w:val="pt-BR"/>
        </w:rPr>
        <w:t xml:space="preserve">no </w:t>
      </w:r>
      <w:r w:rsidR="0021692B" w:rsidRPr="0038442F">
        <w:rPr>
          <w:rFonts w:ascii="Verdana" w:hAnsi="Verdana" w:cs="System Font Regular"/>
          <w:sz w:val="20"/>
          <w:szCs w:val="20"/>
          <w:lang w:val="pt-BR"/>
        </w:rPr>
        <w:t xml:space="preserve">parágrafo </w:t>
      </w:r>
      <w:r w:rsidR="00C61238" w:rsidRPr="0038442F">
        <w:rPr>
          <w:rFonts w:ascii="Verdana" w:hAnsi="Verdana" w:cs="System Font Regular"/>
          <w:sz w:val="20"/>
          <w:szCs w:val="20"/>
          <w:lang w:val="pt-BR"/>
        </w:rPr>
        <w:t xml:space="preserve">199 </w:t>
      </w:r>
      <w:r w:rsidR="00C92762" w:rsidRPr="0038442F">
        <w:rPr>
          <w:rFonts w:ascii="Verdana" w:hAnsi="Verdana" w:cs="System Font Regular"/>
          <w:sz w:val="20"/>
          <w:szCs w:val="20"/>
          <w:lang w:val="pt-BR"/>
        </w:rPr>
        <w:t xml:space="preserve">da </w:t>
      </w:r>
      <w:r w:rsidR="00BF7A10" w:rsidRPr="0038442F">
        <w:rPr>
          <w:rFonts w:ascii="Verdana" w:hAnsi="Verdana" w:cs="System Font Regular"/>
          <w:sz w:val="20"/>
          <w:szCs w:val="20"/>
          <w:lang w:val="pt-BR"/>
        </w:rPr>
        <w:t>sentença</w:t>
      </w:r>
      <w:r w:rsidR="00C61238" w:rsidRPr="0038442F">
        <w:rPr>
          <w:rFonts w:ascii="Verdana" w:hAnsi="Verdana" w:cs="System Font Regular"/>
          <w:sz w:val="20"/>
          <w:szCs w:val="20"/>
          <w:lang w:val="pt-BR"/>
        </w:rPr>
        <w:t xml:space="preserve">, sobre o que implica “a igual </w:t>
      </w:r>
      <w:r w:rsidR="00751189" w:rsidRPr="0038442F">
        <w:rPr>
          <w:rFonts w:ascii="Verdana" w:hAnsi="Verdana" w:cs="System Font Regular"/>
          <w:sz w:val="20"/>
          <w:szCs w:val="20"/>
          <w:lang w:val="pt-BR"/>
        </w:rPr>
        <w:t xml:space="preserve">proteção </w:t>
      </w:r>
      <w:r w:rsidR="00C92762" w:rsidRPr="0038442F">
        <w:rPr>
          <w:rFonts w:ascii="Verdana" w:hAnsi="Verdana" w:cs="System Font Regular"/>
          <w:sz w:val="20"/>
          <w:szCs w:val="20"/>
          <w:lang w:val="pt-BR"/>
        </w:rPr>
        <w:t xml:space="preserve">da </w:t>
      </w:r>
      <w:r w:rsidR="00751189" w:rsidRPr="0038442F">
        <w:rPr>
          <w:rFonts w:ascii="Verdana" w:hAnsi="Verdana" w:cs="System Font Regular"/>
          <w:sz w:val="20"/>
          <w:szCs w:val="20"/>
          <w:lang w:val="pt-BR"/>
        </w:rPr>
        <w:t>lei</w:t>
      </w:r>
      <w:r w:rsidR="00C61238" w:rsidRPr="0038442F">
        <w:rPr>
          <w:rFonts w:ascii="Verdana" w:hAnsi="Verdana" w:cs="System Font Regular"/>
          <w:sz w:val="20"/>
          <w:szCs w:val="20"/>
          <w:lang w:val="pt-BR"/>
        </w:rPr>
        <w:t xml:space="preserve">”, </w:t>
      </w:r>
      <w:r w:rsidR="0021692B" w:rsidRPr="0038442F">
        <w:rPr>
          <w:rFonts w:ascii="Verdana" w:hAnsi="Verdana" w:cs="System Font Regular"/>
          <w:sz w:val="20"/>
          <w:szCs w:val="20"/>
          <w:lang w:val="pt-BR"/>
        </w:rPr>
        <w:t xml:space="preserve">concorda com o determinado </w:t>
      </w:r>
      <w:r w:rsidR="00946788" w:rsidRPr="0038442F">
        <w:rPr>
          <w:rFonts w:ascii="Verdana" w:hAnsi="Verdana" w:cs="System Font Regular"/>
          <w:sz w:val="20"/>
          <w:szCs w:val="20"/>
          <w:lang w:val="pt-BR"/>
        </w:rPr>
        <w:t xml:space="preserve">sobre </w:t>
      </w:r>
      <w:r w:rsidR="009612FB" w:rsidRPr="0038442F">
        <w:rPr>
          <w:rFonts w:ascii="Verdana" w:hAnsi="Verdana" w:cs="System Font Regular"/>
          <w:i/>
          <w:sz w:val="20"/>
          <w:szCs w:val="20"/>
          <w:lang w:val="pt-BR"/>
        </w:rPr>
        <w:t>igualdade</w:t>
      </w:r>
      <w:r w:rsidR="00407242" w:rsidRPr="0038442F">
        <w:rPr>
          <w:rFonts w:ascii="Verdana" w:hAnsi="Verdana" w:cs="System Font Regular"/>
          <w:i/>
          <w:sz w:val="20"/>
          <w:szCs w:val="20"/>
          <w:lang w:val="pt-BR"/>
        </w:rPr>
        <w:t xml:space="preserve"> </w:t>
      </w:r>
      <w:r w:rsidR="00C61238" w:rsidRPr="0038442F">
        <w:rPr>
          <w:rFonts w:ascii="Verdana" w:hAnsi="Verdana" w:cs="System Font Regular"/>
          <w:i/>
          <w:sz w:val="20"/>
          <w:szCs w:val="20"/>
          <w:lang w:val="pt-BR"/>
        </w:rPr>
        <w:t>material</w:t>
      </w:r>
      <w:r w:rsidR="00946788" w:rsidRPr="0038442F">
        <w:rPr>
          <w:rFonts w:ascii="Verdana" w:hAnsi="Verdana" w:cs="System Font Regular"/>
          <w:sz w:val="20"/>
          <w:szCs w:val="20"/>
          <w:lang w:val="pt-BR"/>
        </w:rPr>
        <w:t>,</w:t>
      </w:r>
      <w:r w:rsidR="00C61238" w:rsidRPr="0038442F">
        <w:rPr>
          <w:rFonts w:ascii="Verdana" w:hAnsi="Verdana" w:cs="System Font Regular"/>
          <w:sz w:val="20"/>
          <w:szCs w:val="20"/>
          <w:lang w:val="pt-BR"/>
        </w:rPr>
        <w:t xml:space="preserve"> </w:t>
      </w:r>
      <w:r w:rsidR="0021692B" w:rsidRPr="0038442F">
        <w:rPr>
          <w:rFonts w:ascii="Verdana" w:hAnsi="Verdana" w:cs="System Font Regular"/>
          <w:sz w:val="20"/>
          <w:szCs w:val="20"/>
          <w:lang w:val="pt-BR"/>
        </w:rPr>
        <w:t xml:space="preserve">constante do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5 </w:t>
      </w:r>
      <w:r w:rsidR="00C92762" w:rsidRPr="0038442F">
        <w:rPr>
          <w:rFonts w:ascii="Verdana" w:hAnsi="Verdana" w:cs="System Font Regular"/>
          <w:sz w:val="20"/>
          <w:szCs w:val="20"/>
          <w:lang w:val="pt-BR"/>
        </w:rPr>
        <w:t xml:space="preserve">da </w:t>
      </w:r>
      <w:r w:rsidR="00C61238"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00C61238"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das </w:t>
      </w:r>
      <w:r w:rsidR="00C61238" w:rsidRPr="0038442F">
        <w:rPr>
          <w:rFonts w:ascii="Verdana" w:hAnsi="Verdana" w:cs="System Font Regular"/>
          <w:sz w:val="20"/>
          <w:szCs w:val="20"/>
          <w:lang w:val="pt-BR"/>
        </w:rPr>
        <w:t>Pe</w:t>
      </w:r>
      <w:r w:rsidR="0021692B" w:rsidRPr="0038442F">
        <w:rPr>
          <w:rFonts w:ascii="Verdana" w:hAnsi="Verdana" w:cs="System Font Regular"/>
          <w:sz w:val="20"/>
          <w:szCs w:val="20"/>
          <w:lang w:val="pt-BR"/>
        </w:rPr>
        <w:t>s</w:t>
      </w:r>
      <w:r w:rsidR="00C61238" w:rsidRPr="0038442F">
        <w:rPr>
          <w:rFonts w:ascii="Verdana" w:hAnsi="Verdana" w:cs="System Font Regular"/>
          <w:sz w:val="20"/>
          <w:szCs w:val="20"/>
          <w:lang w:val="pt-BR"/>
        </w:rPr>
        <w:t xml:space="preserve">soas </w:t>
      </w:r>
      <w:r w:rsidR="0021692B" w:rsidRPr="0038442F">
        <w:rPr>
          <w:rFonts w:ascii="Verdana" w:hAnsi="Verdana" w:cs="System Font Regular"/>
          <w:sz w:val="20"/>
          <w:szCs w:val="20"/>
          <w:lang w:val="pt-BR"/>
        </w:rPr>
        <w:t>com Deficiência</w:t>
      </w:r>
      <w:r w:rsidR="00D10D9A" w:rsidRPr="0038442F">
        <w:rPr>
          <w:rFonts w:ascii="Verdana" w:hAnsi="Verdana" w:cs="System Font Regular"/>
          <w:sz w:val="20"/>
          <w:szCs w:val="20"/>
          <w:lang w:val="pt-BR"/>
        </w:rPr>
        <w:t>,</w:t>
      </w:r>
      <w:r w:rsidR="0021692B" w:rsidRPr="0038442F">
        <w:rPr>
          <w:rFonts w:ascii="Verdana" w:hAnsi="Verdana" w:cs="System Font Regular"/>
          <w:sz w:val="20"/>
          <w:szCs w:val="20"/>
          <w:lang w:val="pt-BR"/>
        </w:rPr>
        <w:t xml:space="preserve"> e a </w:t>
      </w:r>
      <w:r w:rsidR="00C61238" w:rsidRPr="0038442F">
        <w:rPr>
          <w:rFonts w:ascii="Verdana" w:hAnsi="Verdana" w:cs="System Font Regular"/>
          <w:sz w:val="20"/>
          <w:szCs w:val="20"/>
          <w:lang w:val="pt-BR"/>
        </w:rPr>
        <w:t>interpreta</w:t>
      </w:r>
      <w:r w:rsidR="000A1AA8" w:rsidRPr="0038442F">
        <w:rPr>
          <w:rFonts w:ascii="Verdana" w:hAnsi="Verdana" w:cs="System Font Regular"/>
          <w:sz w:val="20"/>
          <w:szCs w:val="20"/>
          <w:lang w:val="pt-BR"/>
        </w:rPr>
        <w:t>ção</w:t>
      </w:r>
      <w:r w:rsidR="00C61238" w:rsidRPr="0038442F">
        <w:rPr>
          <w:rFonts w:ascii="Verdana" w:hAnsi="Verdana" w:cs="System Font Regular"/>
          <w:sz w:val="20"/>
          <w:szCs w:val="20"/>
          <w:lang w:val="pt-BR"/>
        </w:rPr>
        <w:t xml:space="preserve"> </w:t>
      </w:r>
      <w:r w:rsidR="0021692B" w:rsidRPr="0038442F">
        <w:rPr>
          <w:rFonts w:ascii="Verdana" w:hAnsi="Verdana" w:cs="System Font Regular"/>
          <w:sz w:val="20"/>
          <w:szCs w:val="20"/>
          <w:lang w:val="pt-BR"/>
        </w:rPr>
        <w:t xml:space="preserve">oferecida pelo </w:t>
      </w:r>
      <w:r w:rsidR="00360928" w:rsidRPr="0038442F">
        <w:rPr>
          <w:rFonts w:ascii="Verdana" w:hAnsi="Verdana" w:cs="System Font Regular"/>
          <w:sz w:val="20"/>
          <w:szCs w:val="20"/>
          <w:lang w:val="pt-BR"/>
        </w:rPr>
        <w:t>Comitê</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de </w:t>
      </w:r>
      <w:r w:rsidR="00C92762" w:rsidRPr="0038442F">
        <w:rPr>
          <w:rFonts w:ascii="Verdana" w:hAnsi="Verdana" w:cs="System Font Regular"/>
          <w:sz w:val="20"/>
          <w:szCs w:val="20"/>
          <w:lang w:val="pt-BR"/>
        </w:rPr>
        <w:t>Direitos</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das </w:t>
      </w:r>
      <w:r w:rsidR="0021692B" w:rsidRPr="0038442F">
        <w:rPr>
          <w:rFonts w:ascii="Verdana" w:hAnsi="Verdana" w:cs="System Font Regular"/>
          <w:sz w:val="20"/>
          <w:szCs w:val="20"/>
          <w:lang w:val="pt-BR"/>
        </w:rPr>
        <w:t>Pessoas com Deficiência</w:t>
      </w:r>
      <w:r w:rsidR="00C61238" w:rsidRPr="0038442F">
        <w:rPr>
          <w:rFonts w:ascii="Verdana" w:hAnsi="Verdana" w:cs="System Font Regular"/>
          <w:sz w:val="20"/>
          <w:szCs w:val="20"/>
          <w:lang w:val="pt-BR"/>
        </w:rPr>
        <w:t>. Adem</w:t>
      </w:r>
      <w:r w:rsidR="0021692B" w:rsidRPr="0038442F">
        <w:rPr>
          <w:rFonts w:ascii="Verdana" w:hAnsi="Verdana" w:cs="System Font Regular"/>
          <w:sz w:val="20"/>
          <w:szCs w:val="20"/>
          <w:lang w:val="pt-BR"/>
        </w:rPr>
        <w:t>ais</w:t>
      </w:r>
      <w:r w:rsidR="00C61238" w:rsidRPr="0038442F">
        <w:rPr>
          <w:rFonts w:ascii="Verdana" w:hAnsi="Verdana" w:cs="System Font Regular"/>
          <w:sz w:val="20"/>
          <w:szCs w:val="20"/>
          <w:lang w:val="pt-BR"/>
        </w:rPr>
        <w:t xml:space="preserve">, como se </w:t>
      </w:r>
      <w:r w:rsidR="0021692B" w:rsidRPr="0038442F">
        <w:rPr>
          <w:rFonts w:ascii="Verdana" w:hAnsi="Verdana" w:cs="System Font Regular"/>
          <w:sz w:val="20"/>
          <w:szCs w:val="20"/>
          <w:lang w:val="pt-BR"/>
        </w:rPr>
        <w:t xml:space="preserve">mencionou, pelo menos, o </w:t>
      </w:r>
      <w:r w:rsidR="00360928" w:rsidRPr="0038442F">
        <w:rPr>
          <w:rFonts w:ascii="Verdana" w:hAnsi="Verdana" w:cs="System Font Regular"/>
          <w:sz w:val="20"/>
          <w:szCs w:val="20"/>
          <w:lang w:val="pt-BR"/>
        </w:rPr>
        <w:t>Comitê</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de </w:t>
      </w:r>
      <w:r w:rsidR="00C92762" w:rsidRPr="0038442F">
        <w:rPr>
          <w:rFonts w:ascii="Verdana" w:hAnsi="Verdana" w:cs="System Font Regular"/>
          <w:sz w:val="20"/>
          <w:szCs w:val="20"/>
          <w:lang w:val="pt-BR"/>
        </w:rPr>
        <w:t>Direitos</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Humanos entende que</w:t>
      </w:r>
      <w:r w:rsidR="00DD0192" w:rsidRPr="0038442F">
        <w:rPr>
          <w:rFonts w:ascii="Verdana" w:hAnsi="Verdana" w:cs="System Font Regular"/>
          <w:sz w:val="20"/>
          <w:szCs w:val="20"/>
          <w:lang w:val="pt-BR"/>
        </w:rPr>
        <w:t>,</w:t>
      </w:r>
      <w:r w:rsidR="00C61238" w:rsidRPr="0038442F">
        <w:rPr>
          <w:rFonts w:ascii="Verdana" w:hAnsi="Verdana" w:cs="System Font Regular"/>
          <w:sz w:val="20"/>
          <w:szCs w:val="20"/>
          <w:lang w:val="pt-BR"/>
        </w:rPr>
        <w:t xml:space="preserve"> </w:t>
      </w:r>
      <w:r w:rsidR="00946788" w:rsidRPr="0038442F">
        <w:rPr>
          <w:rFonts w:ascii="Verdana" w:hAnsi="Verdana" w:cs="System Font Regular"/>
          <w:sz w:val="20"/>
          <w:szCs w:val="20"/>
          <w:lang w:val="pt-BR"/>
        </w:rPr>
        <w:t>a partir d</w:t>
      </w:r>
      <w:r w:rsidR="003B374E" w:rsidRPr="0038442F">
        <w:rPr>
          <w:rFonts w:ascii="Verdana" w:hAnsi="Verdana" w:cs="System Font Regular"/>
          <w:sz w:val="20"/>
          <w:szCs w:val="20"/>
          <w:lang w:val="pt-BR"/>
        </w:rPr>
        <w:t xml:space="preserve">o artigo </w:t>
      </w:r>
      <w:r w:rsidR="00C61238" w:rsidRPr="0038442F">
        <w:rPr>
          <w:rFonts w:ascii="Verdana" w:hAnsi="Verdana" w:cs="System Font Regular"/>
          <w:sz w:val="20"/>
          <w:szCs w:val="20"/>
          <w:lang w:val="pt-BR"/>
        </w:rPr>
        <w:t xml:space="preserve">26 (equivalente </w:t>
      </w:r>
      <w:r w:rsidR="0021692B" w:rsidRPr="0038442F">
        <w:rPr>
          <w:rFonts w:ascii="Verdana" w:hAnsi="Verdana" w:cs="System Font Regular"/>
          <w:sz w:val="20"/>
          <w:szCs w:val="20"/>
          <w:lang w:val="pt-BR"/>
        </w:rPr>
        <w:t xml:space="preserve">ao </w:t>
      </w:r>
      <w:r w:rsidR="00CA30C5" w:rsidRPr="0038442F">
        <w:rPr>
          <w:rFonts w:ascii="Verdana" w:hAnsi="Verdana" w:cs="System Font Regular"/>
          <w:sz w:val="20"/>
          <w:szCs w:val="20"/>
          <w:lang w:val="pt-BR"/>
        </w:rPr>
        <w:t>artigo</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24 </w:t>
      </w:r>
      <w:r w:rsidR="00C92762" w:rsidRPr="0038442F">
        <w:rPr>
          <w:rFonts w:ascii="Verdana" w:hAnsi="Verdana" w:cs="System Font Regular"/>
          <w:sz w:val="20"/>
          <w:szCs w:val="20"/>
          <w:lang w:val="pt-BR"/>
        </w:rPr>
        <w:t xml:space="preserve">da </w:t>
      </w:r>
      <w:r w:rsidR="00C61238" w:rsidRPr="0038442F">
        <w:rPr>
          <w:rFonts w:ascii="Verdana" w:hAnsi="Verdana" w:cs="System Font Regular"/>
          <w:sz w:val="20"/>
          <w:szCs w:val="20"/>
          <w:lang w:val="pt-BR"/>
        </w:rPr>
        <w:t>C</w:t>
      </w:r>
      <w:r w:rsidRPr="0038442F">
        <w:rPr>
          <w:rFonts w:ascii="Verdana" w:hAnsi="Verdana" w:cs="System Font Regular"/>
          <w:sz w:val="20"/>
          <w:szCs w:val="20"/>
          <w:lang w:val="pt-BR"/>
        </w:rPr>
        <w:t>onven</w:t>
      </w:r>
      <w:r w:rsidR="000A1AA8" w:rsidRPr="0038442F">
        <w:rPr>
          <w:rFonts w:ascii="Verdana" w:hAnsi="Verdana" w:cs="System Font Regular"/>
          <w:sz w:val="20"/>
          <w:szCs w:val="20"/>
          <w:lang w:val="pt-BR"/>
        </w:rPr>
        <w:t>ção</w:t>
      </w:r>
      <w:r w:rsidRPr="0038442F">
        <w:rPr>
          <w:rFonts w:ascii="Verdana" w:hAnsi="Verdana" w:cs="System Font Regular"/>
          <w:sz w:val="20"/>
          <w:szCs w:val="20"/>
          <w:lang w:val="pt-BR"/>
        </w:rPr>
        <w:t xml:space="preserve"> Americana</w:t>
      </w:r>
      <w:r w:rsidR="00C61238" w:rsidRPr="0038442F">
        <w:rPr>
          <w:rFonts w:ascii="Verdana" w:hAnsi="Verdana" w:cs="System Font Regular"/>
          <w:sz w:val="20"/>
          <w:szCs w:val="20"/>
          <w:lang w:val="pt-BR"/>
        </w:rPr>
        <w:t>)</w:t>
      </w:r>
      <w:r w:rsidR="00DD0192" w:rsidRPr="0038442F">
        <w:rPr>
          <w:rFonts w:ascii="Verdana" w:hAnsi="Verdana" w:cs="System Font Regular"/>
          <w:sz w:val="20"/>
          <w:szCs w:val="20"/>
          <w:lang w:val="pt-BR"/>
        </w:rPr>
        <w:t>,</w:t>
      </w:r>
      <w:r w:rsidR="00C61238" w:rsidRPr="0038442F">
        <w:rPr>
          <w:rFonts w:ascii="Verdana" w:hAnsi="Verdana" w:cs="System Font Regular"/>
          <w:sz w:val="20"/>
          <w:szCs w:val="20"/>
          <w:lang w:val="pt-BR"/>
        </w:rPr>
        <w:t xml:space="preserve"> </w:t>
      </w:r>
      <w:r w:rsidR="005135E5" w:rsidRPr="0038442F">
        <w:rPr>
          <w:rFonts w:ascii="Verdana" w:hAnsi="Verdana" w:cs="System Font Regular"/>
          <w:sz w:val="20"/>
          <w:szCs w:val="20"/>
          <w:lang w:val="pt-BR"/>
        </w:rPr>
        <w:t>também</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se estar</w:t>
      </w:r>
      <w:r w:rsidR="0021692B" w:rsidRPr="0038442F">
        <w:rPr>
          <w:rFonts w:ascii="Verdana" w:hAnsi="Verdana" w:cs="System Font Regular"/>
          <w:sz w:val="20"/>
          <w:szCs w:val="20"/>
          <w:lang w:val="pt-BR"/>
        </w:rPr>
        <w:t>i</w:t>
      </w:r>
      <w:r w:rsidR="00C61238" w:rsidRPr="0038442F">
        <w:rPr>
          <w:rFonts w:ascii="Verdana" w:hAnsi="Verdana" w:cs="System Font Regular"/>
          <w:sz w:val="20"/>
          <w:szCs w:val="20"/>
          <w:lang w:val="pt-BR"/>
        </w:rPr>
        <w:t xml:space="preserve">a </w:t>
      </w:r>
      <w:r w:rsidR="0021692B" w:rsidRPr="0038442F">
        <w:rPr>
          <w:rFonts w:ascii="Verdana" w:hAnsi="Verdana" w:cs="System Font Regular"/>
          <w:sz w:val="20"/>
          <w:szCs w:val="20"/>
          <w:lang w:val="pt-BR"/>
        </w:rPr>
        <w:t>di</w:t>
      </w:r>
      <w:r w:rsidR="00C61238" w:rsidRPr="0038442F">
        <w:rPr>
          <w:rFonts w:ascii="Verdana" w:hAnsi="Verdana" w:cs="System Font Regular"/>
          <w:sz w:val="20"/>
          <w:szCs w:val="20"/>
          <w:lang w:val="pt-BR"/>
        </w:rPr>
        <w:t xml:space="preserve">ante </w:t>
      </w:r>
      <w:r w:rsidR="0021692B" w:rsidRPr="0038442F">
        <w:rPr>
          <w:rFonts w:ascii="Verdana" w:hAnsi="Verdana" w:cs="System Font Regular"/>
          <w:sz w:val="20"/>
          <w:szCs w:val="20"/>
          <w:lang w:val="pt-BR"/>
        </w:rPr>
        <w:t xml:space="preserve">de </w:t>
      </w:r>
      <w:r w:rsidR="00C92762" w:rsidRPr="0038442F">
        <w:rPr>
          <w:rFonts w:ascii="Verdana" w:hAnsi="Verdana" w:cs="System Font Regular"/>
          <w:sz w:val="20"/>
          <w:szCs w:val="20"/>
          <w:lang w:val="pt-BR"/>
        </w:rPr>
        <w:t>uma</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obrigação</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de </w:t>
      </w:r>
      <w:r w:rsidR="00C92762" w:rsidRPr="0038442F">
        <w:rPr>
          <w:rFonts w:ascii="Verdana" w:hAnsi="Verdana" w:cs="System Font Regular"/>
          <w:sz w:val="20"/>
          <w:szCs w:val="20"/>
          <w:lang w:val="pt-BR"/>
        </w:rPr>
        <w:t>adotar</w:t>
      </w:r>
      <w:r w:rsidR="00407242"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medidas positivas. </w:t>
      </w:r>
    </w:p>
    <w:p w14:paraId="237F03EB" w14:textId="77777777" w:rsidR="00826AB8" w:rsidRPr="0038442F" w:rsidRDefault="00C61238" w:rsidP="00E5082D">
      <w:pPr>
        <w:pStyle w:val="Prrafodelista"/>
        <w:spacing w:after="0" w:line="240" w:lineRule="auto"/>
        <w:ind w:left="0"/>
        <w:jc w:val="both"/>
        <w:rPr>
          <w:rFonts w:ascii="Verdana" w:hAnsi="Verdana" w:cs="System Font Regular"/>
          <w:sz w:val="20"/>
          <w:szCs w:val="20"/>
          <w:lang w:val="pt-BR"/>
        </w:rPr>
      </w:pPr>
      <w:r w:rsidRPr="0038442F">
        <w:rPr>
          <w:rFonts w:ascii="Verdana" w:hAnsi="Verdana" w:cs="System Font Regular"/>
          <w:sz w:val="20"/>
          <w:szCs w:val="20"/>
          <w:lang w:val="pt-BR"/>
        </w:rPr>
        <w:t xml:space="preserve"> </w:t>
      </w:r>
    </w:p>
    <w:p w14:paraId="5AC617A6" w14:textId="097BF951" w:rsidR="00D66104" w:rsidRPr="0038442F" w:rsidRDefault="00160AA7" w:rsidP="00160AA7">
      <w:pPr>
        <w:pStyle w:val="Prrafodelista"/>
        <w:spacing w:after="0" w:line="240" w:lineRule="auto"/>
        <w:ind w:left="0"/>
        <w:jc w:val="both"/>
        <w:rPr>
          <w:rFonts w:ascii="Verdana" w:hAnsi="Verdana"/>
          <w:sz w:val="20"/>
          <w:szCs w:val="20"/>
          <w:highlight w:val="green"/>
          <w:lang w:val="pt-BR"/>
        </w:rPr>
      </w:pPr>
      <w:r w:rsidRPr="0038442F">
        <w:rPr>
          <w:rFonts w:ascii="Verdana" w:hAnsi="Verdana" w:cs="System Font Regular"/>
          <w:sz w:val="20"/>
          <w:szCs w:val="20"/>
          <w:lang w:val="pt-BR"/>
        </w:rPr>
        <w:t xml:space="preserve">111. </w:t>
      </w:r>
      <w:r w:rsidRPr="0038442F">
        <w:rPr>
          <w:rFonts w:ascii="Verdana" w:hAnsi="Verdana" w:cs="System Font Regular"/>
          <w:sz w:val="20"/>
          <w:szCs w:val="20"/>
          <w:lang w:val="pt-BR"/>
        </w:rPr>
        <w:tab/>
      </w:r>
      <w:r w:rsidR="00C61238" w:rsidRPr="0038442F">
        <w:rPr>
          <w:rFonts w:ascii="Verdana" w:hAnsi="Verdana" w:cs="System Font Regular"/>
          <w:sz w:val="20"/>
          <w:szCs w:val="20"/>
          <w:lang w:val="pt-BR"/>
        </w:rPr>
        <w:t xml:space="preserve">Portanto, </w:t>
      </w:r>
      <w:r w:rsidR="0083268A" w:rsidRPr="0038442F">
        <w:rPr>
          <w:rFonts w:ascii="Verdana" w:hAnsi="Verdana" w:cs="System Font Regular"/>
          <w:sz w:val="20"/>
          <w:szCs w:val="20"/>
          <w:lang w:val="pt-BR"/>
        </w:rPr>
        <w:t>o</w:t>
      </w:r>
      <w:r w:rsidR="00826AB8" w:rsidRPr="0038442F">
        <w:rPr>
          <w:rFonts w:ascii="Verdana" w:hAnsi="Verdana" w:cs="System Font Regular"/>
          <w:sz w:val="20"/>
          <w:szCs w:val="20"/>
          <w:lang w:val="pt-BR"/>
        </w:rPr>
        <w:t xml:space="preserve"> mandato </w:t>
      </w:r>
      <w:r w:rsidR="0083268A" w:rsidRPr="0038442F">
        <w:rPr>
          <w:rFonts w:ascii="Verdana" w:hAnsi="Verdana" w:cs="System Font Regular"/>
          <w:sz w:val="20"/>
          <w:szCs w:val="20"/>
          <w:lang w:val="pt-BR"/>
        </w:rPr>
        <w:t>com base n</w:t>
      </w:r>
      <w:r w:rsidR="003B374E" w:rsidRPr="0038442F">
        <w:rPr>
          <w:rFonts w:ascii="Verdana" w:hAnsi="Verdana" w:cs="System Font Regular"/>
          <w:sz w:val="20"/>
          <w:szCs w:val="20"/>
          <w:lang w:val="pt-BR"/>
        </w:rPr>
        <w:t xml:space="preserve">o artigo </w:t>
      </w:r>
      <w:r w:rsidR="00826AB8" w:rsidRPr="0038442F">
        <w:rPr>
          <w:rFonts w:ascii="Verdana" w:hAnsi="Verdana" w:cs="System Font Regular"/>
          <w:sz w:val="20"/>
          <w:szCs w:val="20"/>
          <w:lang w:val="pt-BR"/>
        </w:rPr>
        <w:t xml:space="preserve">24 </w:t>
      </w:r>
      <w:r w:rsidR="00C92762" w:rsidRPr="0038442F">
        <w:rPr>
          <w:rFonts w:ascii="Verdana" w:hAnsi="Verdana" w:cs="System Font Regular"/>
          <w:sz w:val="20"/>
          <w:szCs w:val="20"/>
          <w:lang w:val="pt-BR"/>
        </w:rPr>
        <w:t xml:space="preserve">da </w:t>
      </w:r>
      <w:r w:rsidRPr="0038442F">
        <w:rPr>
          <w:rFonts w:ascii="Verdana" w:hAnsi="Verdana" w:cs="System Font Regular"/>
          <w:sz w:val="20"/>
          <w:szCs w:val="20"/>
          <w:lang w:val="pt-BR"/>
        </w:rPr>
        <w:t>Conven</w:t>
      </w:r>
      <w:r w:rsidR="000A1AA8" w:rsidRPr="0038442F">
        <w:rPr>
          <w:rFonts w:ascii="Verdana" w:hAnsi="Verdana" w:cs="System Font Regular"/>
          <w:sz w:val="20"/>
          <w:szCs w:val="20"/>
          <w:lang w:val="pt-BR"/>
        </w:rPr>
        <w:t>ção</w:t>
      </w:r>
      <w:r w:rsidRPr="0038442F">
        <w:rPr>
          <w:rFonts w:ascii="Verdana" w:hAnsi="Verdana" w:cs="System Font Regular"/>
          <w:sz w:val="20"/>
          <w:szCs w:val="20"/>
          <w:lang w:val="pt-BR"/>
        </w:rPr>
        <w:t xml:space="preserve"> </w:t>
      </w:r>
      <w:r w:rsidR="005135E5" w:rsidRPr="0038442F">
        <w:rPr>
          <w:rFonts w:ascii="Verdana" w:hAnsi="Verdana" w:cs="System Font Regular"/>
          <w:sz w:val="20"/>
          <w:szCs w:val="20"/>
          <w:lang w:val="pt-BR"/>
        </w:rPr>
        <w:t xml:space="preserve">não só </w:t>
      </w:r>
      <w:r w:rsidR="0083268A" w:rsidRPr="0038442F">
        <w:rPr>
          <w:rFonts w:ascii="Verdana" w:hAnsi="Verdana" w:cs="System Font Regular"/>
          <w:sz w:val="20"/>
          <w:szCs w:val="20"/>
          <w:lang w:val="pt-BR"/>
        </w:rPr>
        <w:t>abrange</w:t>
      </w:r>
      <w:r w:rsidR="00826AB8" w:rsidRPr="0038442F">
        <w:rPr>
          <w:rFonts w:ascii="Verdana" w:hAnsi="Verdana" w:cs="System Font Regular"/>
          <w:sz w:val="20"/>
          <w:szCs w:val="20"/>
          <w:lang w:val="pt-BR"/>
        </w:rPr>
        <w:t xml:space="preserve"> </w:t>
      </w:r>
      <w:r w:rsidR="00826AB8" w:rsidRPr="0038442F">
        <w:rPr>
          <w:rFonts w:ascii="Verdana" w:hAnsi="Verdana" w:cs="System Font Regular"/>
          <w:i/>
          <w:iCs/>
          <w:sz w:val="20"/>
          <w:szCs w:val="20"/>
          <w:lang w:val="pt-BR"/>
        </w:rPr>
        <w:t>abster</w:t>
      </w:r>
      <w:r w:rsidR="003D2BB2" w:rsidRPr="0038442F">
        <w:rPr>
          <w:rFonts w:ascii="Verdana" w:hAnsi="Verdana" w:cs="System Font Regular"/>
          <w:i/>
          <w:iCs/>
          <w:sz w:val="20"/>
          <w:szCs w:val="20"/>
          <w:lang w:val="pt-BR"/>
        </w:rPr>
        <w:t>-</w:t>
      </w:r>
      <w:r w:rsidR="00826AB8" w:rsidRPr="0038442F">
        <w:rPr>
          <w:rFonts w:ascii="Verdana" w:hAnsi="Verdana" w:cs="System Font Regular"/>
          <w:i/>
          <w:iCs/>
          <w:sz w:val="20"/>
          <w:szCs w:val="20"/>
          <w:lang w:val="pt-BR"/>
        </w:rPr>
        <w:t xml:space="preserve">se </w:t>
      </w:r>
      <w:r w:rsidR="00826AB8" w:rsidRPr="0038442F">
        <w:rPr>
          <w:rFonts w:ascii="Verdana" w:hAnsi="Verdana" w:cs="System Font Regular"/>
          <w:sz w:val="20"/>
          <w:szCs w:val="20"/>
          <w:lang w:val="pt-BR"/>
        </w:rPr>
        <w:t>de</w:t>
      </w:r>
      <w:r w:rsidR="00C61238" w:rsidRPr="0038442F">
        <w:rPr>
          <w:rFonts w:ascii="Verdana" w:hAnsi="Verdana" w:cs="System Font Regular"/>
          <w:sz w:val="20"/>
          <w:szCs w:val="20"/>
          <w:lang w:val="pt-BR"/>
        </w:rPr>
        <w:t xml:space="preserve"> a)</w:t>
      </w:r>
      <w:r w:rsidR="00826AB8" w:rsidRPr="0038442F">
        <w:rPr>
          <w:rFonts w:ascii="Verdana" w:hAnsi="Verdana" w:cs="System Font Regular"/>
          <w:sz w:val="20"/>
          <w:szCs w:val="20"/>
          <w:lang w:val="pt-BR"/>
        </w:rPr>
        <w:t xml:space="preserve"> emitir normas que cr</w:t>
      </w:r>
      <w:r w:rsidR="003D2BB2" w:rsidRPr="0038442F">
        <w:rPr>
          <w:rFonts w:ascii="Verdana" w:hAnsi="Verdana" w:cs="System Font Regular"/>
          <w:sz w:val="20"/>
          <w:szCs w:val="20"/>
          <w:lang w:val="pt-BR"/>
        </w:rPr>
        <w:t xml:space="preserve">iem </w:t>
      </w:r>
      <w:r w:rsidR="00826AB8" w:rsidRPr="0038442F">
        <w:rPr>
          <w:rFonts w:ascii="Verdana" w:hAnsi="Verdana" w:cs="System Font Regular"/>
          <w:sz w:val="20"/>
          <w:szCs w:val="20"/>
          <w:lang w:val="pt-BR"/>
        </w:rPr>
        <w:t>u</w:t>
      </w:r>
      <w:r w:rsidR="003D2BB2" w:rsidRPr="0038442F">
        <w:rPr>
          <w:rFonts w:ascii="Verdana" w:hAnsi="Verdana" w:cs="System Font Regular"/>
          <w:sz w:val="20"/>
          <w:szCs w:val="20"/>
          <w:lang w:val="pt-BR"/>
        </w:rPr>
        <w:t>m</w:t>
      </w:r>
      <w:r w:rsidR="00826AB8" w:rsidRPr="0038442F">
        <w:rPr>
          <w:rFonts w:ascii="Verdana" w:hAnsi="Verdana" w:cs="System Font Regular"/>
          <w:sz w:val="20"/>
          <w:szCs w:val="20"/>
          <w:lang w:val="pt-BR"/>
        </w:rPr>
        <w:t xml:space="preserve"> </w:t>
      </w:r>
      <w:r w:rsidR="00FC5589" w:rsidRPr="0038442F">
        <w:rPr>
          <w:rFonts w:ascii="Verdana" w:hAnsi="Verdana" w:cs="System Font Regular"/>
          <w:sz w:val="20"/>
          <w:szCs w:val="20"/>
          <w:lang w:val="pt-BR"/>
        </w:rPr>
        <w:t>tratamento</w:t>
      </w:r>
      <w:r w:rsidR="00407242" w:rsidRPr="0038442F">
        <w:rPr>
          <w:rFonts w:ascii="Verdana" w:hAnsi="Verdana" w:cs="System Font Regular"/>
          <w:sz w:val="20"/>
          <w:szCs w:val="20"/>
          <w:lang w:val="pt-BR"/>
        </w:rPr>
        <w:t xml:space="preserve"> </w:t>
      </w:r>
      <w:r w:rsidR="00FC5589" w:rsidRPr="0038442F">
        <w:rPr>
          <w:rFonts w:ascii="Verdana" w:hAnsi="Verdana" w:cs="System Font Regular"/>
          <w:sz w:val="20"/>
          <w:szCs w:val="20"/>
          <w:lang w:val="pt-BR"/>
        </w:rPr>
        <w:t>arbitrário</w:t>
      </w:r>
      <w:r w:rsidR="00193832"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o</w:t>
      </w:r>
      <w:r w:rsidR="0083268A" w:rsidRPr="0038442F">
        <w:rPr>
          <w:rFonts w:ascii="Verdana" w:hAnsi="Verdana" w:cs="System Font Regular"/>
          <w:sz w:val="20"/>
          <w:szCs w:val="20"/>
          <w:lang w:val="pt-BR"/>
        </w:rPr>
        <w:t>u</w:t>
      </w:r>
      <w:r w:rsidR="00826AB8" w:rsidRPr="0038442F">
        <w:rPr>
          <w:rFonts w:ascii="Verdana" w:hAnsi="Verdana" w:cs="System Font Regular"/>
          <w:sz w:val="20"/>
          <w:szCs w:val="20"/>
          <w:lang w:val="pt-BR"/>
        </w:rPr>
        <w:t xml:space="preserve"> </w:t>
      </w:r>
      <w:r w:rsidR="00C61238" w:rsidRPr="0038442F">
        <w:rPr>
          <w:rFonts w:ascii="Verdana" w:hAnsi="Verdana" w:cs="System Font Regular"/>
          <w:sz w:val="20"/>
          <w:szCs w:val="20"/>
          <w:lang w:val="pt-BR"/>
        </w:rPr>
        <w:t xml:space="preserve">b) </w:t>
      </w:r>
      <w:r w:rsidR="00C458E7" w:rsidRPr="0038442F">
        <w:rPr>
          <w:rFonts w:ascii="Verdana" w:hAnsi="Verdana" w:cs="System Font Regular"/>
          <w:sz w:val="20"/>
          <w:szCs w:val="20"/>
          <w:lang w:val="pt-BR"/>
        </w:rPr>
        <w:t>aplicar</w:t>
      </w:r>
      <w:r w:rsidR="00826AB8" w:rsidRPr="0038442F">
        <w:rPr>
          <w:rFonts w:ascii="Verdana" w:hAnsi="Verdana" w:cs="System Font Regular"/>
          <w:sz w:val="20"/>
          <w:szCs w:val="20"/>
          <w:lang w:val="pt-BR"/>
        </w:rPr>
        <w:t xml:space="preserve"> as normas </w:t>
      </w:r>
      <w:r w:rsidR="00193832" w:rsidRPr="0038442F">
        <w:rPr>
          <w:rFonts w:ascii="Verdana" w:hAnsi="Verdana" w:cs="System Font Regular"/>
          <w:sz w:val="20"/>
          <w:szCs w:val="20"/>
          <w:lang w:val="pt-BR"/>
        </w:rPr>
        <w:t xml:space="preserve">já </w:t>
      </w:r>
      <w:r w:rsidR="00826AB8" w:rsidRPr="0038442F">
        <w:rPr>
          <w:rFonts w:ascii="Verdana" w:hAnsi="Verdana" w:cs="System Font Regular"/>
          <w:sz w:val="20"/>
          <w:szCs w:val="20"/>
          <w:lang w:val="pt-BR"/>
        </w:rPr>
        <w:t>existentes de forma arbitr</w:t>
      </w:r>
      <w:r w:rsidR="00193832" w:rsidRPr="0038442F">
        <w:rPr>
          <w:rFonts w:ascii="Verdana" w:hAnsi="Verdana" w:cs="System Font Regular"/>
          <w:sz w:val="20"/>
          <w:szCs w:val="20"/>
          <w:lang w:val="pt-BR"/>
        </w:rPr>
        <w:t>á</w:t>
      </w:r>
      <w:r w:rsidR="00826AB8" w:rsidRPr="0038442F">
        <w:rPr>
          <w:rFonts w:ascii="Verdana" w:hAnsi="Verdana" w:cs="System Font Regular"/>
          <w:sz w:val="20"/>
          <w:szCs w:val="20"/>
          <w:lang w:val="pt-BR"/>
        </w:rPr>
        <w:t>ria (</w:t>
      </w:r>
      <w:r w:rsidR="00984A83" w:rsidRPr="0038442F">
        <w:rPr>
          <w:rFonts w:ascii="Verdana" w:hAnsi="Verdana" w:cs="System Font Regular"/>
          <w:sz w:val="20"/>
          <w:szCs w:val="20"/>
          <w:lang w:val="pt-BR"/>
        </w:rPr>
        <w:t xml:space="preserve">obrigações </w:t>
      </w:r>
      <w:r w:rsidR="00826AB8" w:rsidRPr="0038442F">
        <w:rPr>
          <w:rFonts w:ascii="Verdana" w:hAnsi="Verdana" w:cs="System Font Regular"/>
          <w:sz w:val="20"/>
          <w:szCs w:val="20"/>
          <w:lang w:val="pt-BR"/>
        </w:rPr>
        <w:t xml:space="preserve">de </w:t>
      </w:r>
      <w:r w:rsidR="00624205" w:rsidRPr="0038442F">
        <w:rPr>
          <w:rFonts w:ascii="Verdana" w:hAnsi="Verdana" w:cs="System Font Regular"/>
          <w:sz w:val="20"/>
          <w:szCs w:val="20"/>
          <w:lang w:val="pt-BR"/>
        </w:rPr>
        <w:t>respeito</w:t>
      </w:r>
      <w:r w:rsidR="00826AB8" w:rsidRPr="0038442F">
        <w:rPr>
          <w:rFonts w:ascii="Verdana" w:hAnsi="Verdana" w:cs="System Font Regular"/>
          <w:sz w:val="20"/>
          <w:szCs w:val="20"/>
          <w:lang w:val="pt-BR"/>
        </w:rPr>
        <w:t xml:space="preserve">), </w:t>
      </w:r>
      <w:r w:rsidR="00193832" w:rsidRPr="0038442F">
        <w:rPr>
          <w:rFonts w:ascii="Verdana" w:hAnsi="Verdana" w:cs="System Font Regular"/>
          <w:sz w:val="20"/>
          <w:szCs w:val="20"/>
          <w:lang w:val="pt-BR"/>
        </w:rPr>
        <w:t xml:space="preserve">mas </w:t>
      </w:r>
      <w:r w:rsidR="005135E5" w:rsidRPr="0038442F">
        <w:rPr>
          <w:rFonts w:ascii="Verdana" w:hAnsi="Verdana" w:cs="System Font Regular"/>
          <w:sz w:val="20"/>
          <w:szCs w:val="20"/>
          <w:lang w:val="pt-BR"/>
        </w:rPr>
        <w:t>também</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 xml:space="preserve">implica que </w:t>
      </w:r>
      <w:r w:rsidR="00C458E7" w:rsidRPr="0038442F">
        <w:rPr>
          <w:rFonts w:ascii="Verdana" w:hAnsi="Verdana" w:cs="System Font Regular"/>
          <w:sz w:val="20"/>
          <w:szCs w:val="20"/>
          <w:lang w:val="pt-BR"/>
        </w:rPr>
        <w:t>cabe a</w:t>
      </w:r>
      <w:r w:rsidR="000A1AA8" w:rsidRPr="0038442F">
        <w:rPr>
          <w:rFonts w:ascii="Verdana" w:hAnsi="Verdana" w:cs="System Font Regular"/>
          <w:sz w:val="20"/>
          <w:szCs w:val="20"/>
          <w:lang w:val="pt-BR"/>
        </w:rPr>
        <w:t xml:space="preserve">o Estado </w:t>
      </w:r>
      <w:r w:rsidR="00C92762" w:rsidRPr="0038442F">
        <w:rPr>
          <w:rFonts w:ascii="Verdana" w:hAnsi="Verdana" w:cs="System Font Regular"/>
          <w:sz w:val="20"/>
          <w:szCs w:val="20"/>
          <w:lang w:val="pt-BR"/>
        </w:rPr>
        <w:t xml:space="preserve">adotar </w:t>
      </w:r>
      <w:r w:rsidR="00826AB8" w:rsidRPr="0038442F">
        <w:rPr>
          <w:rFonts w:ascii="Verdana" w:hAnsi="Verdana" w:cs="System Font Regular"/>
          <w:sz w:val="20"/>
          <w:szCs w:val="20"/>
          <w:lang w:val="pt-BR"/>
        </w:rPr>
        <w:t>normas para superar as situa</w:t>
      </w:r>
      <w:r w:rsidR="000A1AA8" w:rsidRPr="0038442F">
        <w:rPr>
          <w:rFonts w:ascii="Verdana" w:hAnsi="Verdana" w:cs="System Font Regular"/>
          <w:sz w:val="20"/>
          <w:szCs w:val="20"/>
          <w:lang w:val="pt-BR"/>
        </w:rPr>
        <w:t>ções</w:t>
      </w:r>
      <w:r w:rsidR="00826AB8" w:rsidRPr="0038442F">
        <w:rPr>
          <w:rFonts w:ascii="Verdana" w:hAnsi="Verdana" w:cs="System Font Regular"/>
          <w:sz w:val="20"/>
          <w:szCs w:val="20"/>
          <w:lang w:val="pt-BR"/>
        </w:rPr>
        <w:t xml:space="preserve"> de desigualdad</w:t>
      </w:r>
      <w:r w:rsidR="00D17400" w:rsidRPr="0038442F">
        <w:rPr>
          <w:rFonts w:ascii="Verdana" w:hAnsi="Verdana" w:cs="System Font Regular"/>
          <w:sz w:val="20"/>
          <w:szCs w:val="20"/>
          <w:lang w:val="pt-BR"/>
        </w:rPr>
        <w:t>e</w:t>
      </w:r>
      <w:r w:rsidR="00826AB8" w:rsidRPr="0038442F">
        <w:rPr>
          <w:rFonts w:ascii="Verdana" w:hAnsi="Verdana" w:cs="System Font Regular"/>
          <w:sz w:val="20"/>
          <w:szCs w:val="20"/>
          <w:lang w:val="pt-BR"/>
        </w:rPr>
        <w:t xml:space="preserve"> </w:t>
      </w:r>
      <w:r w:rsidR="00193832" w:rsidRPr="0038442F">
        <w:rPr>
          <w:rFonts w:ascii="Verdana" w:hAnsi="Verdana" w:cs="System Font Regular"/>
          <w:sz w:val="20"/>
          <w:szCs w:val="20"/>
          <w:lang w:val="pt-BR"/>
        </w:rPr>
        <w:t xml:space="preserve">ou, na sua ausência, </w:t>
      </w:r>
      <w:r w:rsidR="00826AB8" w:rsidRPr="0038442F">
        <w:rPr>
          <w:rFonts w:ascii="Verdana" w:hAnsi="Verdana" w:cs="System Font Regular"/>
          <w:sz w:val="20"/>
          <w:szCs w:val="20"/>
          <w:lang w:val="pt-BR"/>
        </w:rPr>
        <w:t>eliminar as normas o</w:t>
      </w:r>
      <w:r w:rsidR="00193832" w:rsidRPr="0038442F">
        <w:rPr>
          <w:rFonts w:ascii="Verdana" w:hAnsi="Verdana" w:cs="System Font Regular"/>
          <w:sz w:val="20"/>
          <w:szCs w:val="20"/>
          <w:lang w:val="pt-BR"/>
        </w:rPr>
        <w:t>u</w:t>
      </w:r>
      <w:r w:rsidR="00826AB8" w:rsidRPr="0038442F">
        <w:rPr>
          <w:rFonts w:ascii="Verdana" w:hAnsi="Verdana" w:cs="System Font Regular"/>
          <w:sz w:val="20"/>
          <w:szCs w:val="20"/>
          <w:lang w:val="pt-BR"/>
        </w:rPr>
        <w:t xml:space="preserve"> </w:t>
      </w:r>
      <w:r w:rsidR="000450DD" w:rsidRPr="0038442F">
        <w:rPr>
          <w:rFonts w:ascii="Verdana" w:hAnsi="Verdana" w:cs="System Font Regular"/>
          <w:sz w:val="20"/>
          <w:szCs w:val="20"/>
          <w:lang w:val="pt-BR"/>
        </w:rPr>
        <w:t>práticas</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que perpet</w:t>
      </w:r>
      <w:r w:rsidR="00193832" w:rsidRPr="0038442F">
        <w:rPr>
          <w:rFonts w:ascii="Verdana" w:hAnsi="Verdana" w:cs="System Font Regular"/>
          <w:sz w:val="20"/>
          <w:szCs w:val="20"/>
          <w:lang w:val="pt-BR"/>
        </w:rPr>
        <w:t xml:space="preserve">uem essa </w:t>
      </w:r>
      <w:r w:rsidR="00826AB8" w:rsidRPr="0038442F">
        <w:rPr>
          <w:rFonts w:ascii="Verdana" w:hAnsi="Verdana" w:cs="System Font Regular"/>
          <w:sz w:val="20"/>
          <w:szCs w:val="20"/>
          <w:lang w:val="pt-BR"/>
        </w:rPr>
        <w:t>desigualdad</w:t>
      </w:r>
      <w:r w:rsidR="00193832" w:rsidRPr="0038442F">
        <w:rPr>
          <w:rFonts w:ascii="Verdana" w:hAnsi="Verdana" w:cs="System Font Regular"/>
          <w:sz w:val="20"/>
          <w:szCs w:val="20"/>
          <w:lang w:val="pt-BR"/>
        </w:rPr>
        <w:t>e</w:t>
      </w:r>
      <w:r w:rsidR="00826AB8" w:rsidRPr="0038442F">
        <w:rPr>
          <w:rFonts w:ascii="Verdana" w:hAnsi="Verdana" w:cs="System Font Regular"/>
          <w:sz w:val="20"/>
          <w:szCs w:val="20"/>
          <w:lang w:val="pt-BR"/>
        </w:rPr>
        <w:t xml:space="preserve"> (</w:t>
      </w:r>
      <w:r w:rsidR="00984A83" w:rsidRPr="0038442F">
        <w:rPr>
          <w:rFonts w:ascii="Verdana" w:hAnsi="Verdana" w:cs="System Font Regular"/>
          <w:sz w:val="20"/>
          <w:szCs w:val="20"/>
          <w:lang w:val="pt-BR"/>
        </w:rPr>
        <w:t>obrigações</w:t>
      </w:r>
      <w:r w:rsidR="00407242" w:rsidRPr="0038442F">
        <w:rPr>
          <w:rFonts w:ascii="Verdana" w:hAnsi="Verdana" w:cs="System Font Regular"/>
          <w:sz w:val="20"/>
          <w:szCs w:val="20"/>
          <w:lang w:val="pt-BR"/>
        </w:rPr>
        <w:t xml:space="preserve"> </w:t>
      </w:r>
      <w:r w:rsidR="00826AB8" w:rsidRPr="0038442F">
        <w:rPr>
          <w:rFonts w:ascii="Verdana" w:hAnsi="Verdana" w:cs="System Font Regular"/>
          <w:sz w:val="20"/>
          <w:szCs w:val="20"/>
          <w:lang w:val="pt-BR"/>
        </w:rPr>
        <w:t>positivas)</w:t>
      </w:r>
      <w:r w:rsidR="00921AF6" w:rsidRPr="0038442F">
        <w:rPr>
          <w:rFonts w:ascii="Verdana" w:hAnsi="Verdana" w:cs="System Font Regular"/>
          <w:sz w:val="20"/>
          <w:szCs w:val="20"/>
          <w:lang w:val="pt-BR"/>
        </w:rPr>
        <w:t>, porquanto</w:t>
      </w:r>
      <w:r w:rsidR="00677177"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w:t>
      </w:r>
      <w:r w:rsidR="00BF7A10" w:rsidRPr="0038442F">
        <w:rPr>
          <w:rFonts w:ascii="Verdana" w:hAnsi="Verdana" w:cs="System Font Regular"/>
          <w:sz w:val="20"/>
          <w:szCs w:val="20"/>
          <w:lang w:val="pt-BR"/>
        </w:rPr>
        <w:t xml:space="preserve">na </w:t>
      </w:r>
      <w:r w:rsidR="00826AB8" w:rsidRPr="0038442F">
        <w:rPr>
          <w:rFonts w:ascii="Verdana" w:hAnsi="Verdana" w:cs="System Font Regular"/>
          <w:sz w:val="20"/>
          <w:szCs w:val="20"/>
          <w:lang w:val="pt-BR"/>
        </w:rPr>
        <w:t xml:space="preserve">medida </w:t>
      </w:r>
      <w:r w:rsidR="00193832" w:rsidRPr="0038442F">
        <w:rPr>
          <w:rFonts w:ascii="Verdana" w:hAnsi="Verdana" w:cs="System Font Regular"/>
          <w:sz w:val="20"/>
          <w:szCs w:val="20"/>
          <w:lang w:val="pt-BR"/>
        </w:rPr>
        <w:t xml:space="preserve">em que não se </w:t>
      </w:r>
      <w:r w:rsidR="00C458E7" w:rsidRPr="0038442F">
        <w:rPr>
          <w:rFonts w:ascii="Verdana" w:hAnsi="Verdana" w:cs="System Font Regular"/>
          <w:sz w:val="20"/>
          <w:szCs w:val="20"/>
          <w:lang w:val="pt-BR"/>
        </w:rPr>
        <w:t xml:space="preserve">faça isso </w:t>
      </w:r>
      <w:r w:rsidR="00826AB8" w:rsidRPr="0038442F">
        <w:rPr>
          <w:rFonts w:ascii="Verdana" w:hAnsi="Verdana" w:cs="System Font Regular"/>
          <w:sz w:val="20"/>
          <w:szCs w:val="20"/>
          <w:lang w:val="pt-BR"/>
        </w:rPr>
        <w:t>co</w:t>
      </w:r>
      <w:r w:rsidR="00193832" w:rsidRPr="0038442F">
        <w:rPr>
          <w:rFonts w:ascii="Verdana" w:hAnsi="Verdana" w:cs="System Font Regular"/>
          <w:sz w:val="20"/>
          <w:szCs w:val="20"/>
          <w:lang w:val="pt-BR"/>
        </w:rPr>
        <w:t>m</w:t>
      </w:r>
      <w:r w:rsidR="00826AB8" w:rsidRPr="0038442F">
        <w:rPr>
          <w:rFonts w:ascii="Verdana" w:hAnsi="Verdana" w:cs="System Font Regular"/>
          <w:sz w:val="20"/>
          <w:szCs w:val="20"/>
          <w:lang w:val="pt-BR"/>
        </w:rPr>
        <w:t xml:space="preserve"> a </w:t>
      </w:r>
      <w:r w:rsidR="00193832" w:rsidRPr="0038442F">
        <w:rPr>
          <w:rFonts w:ascii="Verdana" w:hAnsi="Verdana" w:cs="System Font Regular"/>
          <w:sz w:val="20"/>
          <w:szCs w:val="20"/>
          <w:lang w:val="pt-BR"/>
        </w:rPr>
        <w:t xml:space="preserve">legislação </w:t>
      </w:r>
      <w:r w:rsidR="00826AB8" w:rsidRPr="0038442F">
        <w:rPr>
          <w:rFonts w:ascii="Verdana" w:hAnsi="Verdana" w:cs="System Font Regular"/>
          <w:sz w:val="20"/>
          <w:szCs w:val="20"/>
          <w:lang w:val="pt-BR"/>
        </w:rPr>
        <w:t>interna</w:t>
      </w:r>
      <w:r w:rsidR="00677177" w:rsidRPr="0038442F">
        <w:rPr>
          <w:rFonts w:ascii="Verdana" w:hAnsi="Verdana" w:cs="System Font Regular"/>
          <w:sz w:val="20"/>
          <w:szCs w:val="20"/>
          <w:lang w:val="pt-BR"/>
        </w:rPr>
        <w:t>,</w:t>
      </w:r>
      <w:r w:rsidR="00826AB8" w:rsidRPr="0038442F">
        <w:rPr>
          <w:rFonts w:ascii="Verdana" w:hAnsi="Verdana" w:cs="System Font Regular"/>
          <w:sz w:val="20"/>
          <w:szCs w:val="20"/>
          <w:lang w:val="pt-BR"/>
        </w:rPr>
        <w:t xml:space="preserve"> n</w:t>
      </w:r>
      <w:r w:rsidR="00193832" w:rsidRPr="0038442F">
        <w:rPr>
          <w:rFonts w:ascii="Verdana" w:hAnsi="Verdana" w:cs="System Font Regular"/>
          <w:sz w:val="20"/>
          <w:szCs w:val="20"/>
          <w:lang w:val="pt-BR"/>
        </w:rPr>
        <w:t>ã</w:t>
      </w:r>
      <w:r w:rsidR="00826AB8" w:rsidRPr="0038442F">
        <w:rPr>
          <w:rFonts w:ascii="Verdana" w:hAnsi="Verdana" w:cs="System Font Regular"/>
          <w:sz w:val="20"/>
          <w:szCs w:val="20"/>
          <w:lang w:val="pt-BR"/>
        </w:rPr>
        <w:t>o se estar</w:t>
      </w:r>
      <w:r w:rsidR="00193832" w:rsidRPr="0038442F">
        <w:rPr>
          <w:rFonts w:ascii="Verdana" w:hAnsi="Verdana" w:cs="System Font Regular"/>
          <w:sz w:val="20"/>
          <w:szCs w:val="20"/>
          <w:lang w:val="pt-BR"/>
        </w:rPr>
        <w:t>i</w:t>
      </w:r>
      <w:r w:rsidR="00826AB8" w:rsidRPr="0038442F">
        <w:rPr>
          <w:rFonts w:ascii="Verdana" w:hAnsi="Verdana" w:cs="System Font Regular"/>
          <w:sz w:val="20"/>
          <w:szCs w:val="20"/>
          <w:lang w:val="pt-BR"/>
        </w:rPr>
        <w:t xml:space="preserve">a ante “a igual </w:t>
      </w:r>
      <w:r w:rsidR="00751189" w:rsidRPr="0038442F">
        <w:rPr>
          <w:rFonts w:ascii="Verdana" w:hAnsi="Verdana" w:cs="System Font Regular"/>
          <w:sz w:val="20"/>
          <w:szCs w:val="20"/>
          <w:lang w:val="pt-BR"/>
        </w:rPr>
        <w:t xml:space="preserve">proteção </w:t>
      </w:r>
      <w:r w:rsidR="00C92762" w:rsidRPr="0038442F">
        <w:rPr>
          <w:rFonts w:ascii="Verdana" w:hAnsi="Verdana" w:cs="System Font Regular"/>
          <w:sz w:val="20"/>
          <w:szCs w:val="20"/>
          <w:lang w:val="pt-BR"/>
        </w:rPr>
        <w:t xml:space="preserve">da </w:t>
      </w:r>
      <w:r w:rsidR="00751189" w:rsidRPr="0038442F">
        <w:rPr>
          <w:rFonts w:ascii="Verdana" w:hAnsi="Verdana" w:cs="System Font Regular"/>
          <w:sz w:val="20"/>
          <w:szCs w:val="20"/>
          <w:lang w:val="pt-BR"/>
        </w:rPr>
        <w:t>lei</w:t>
      </w:r>
      <w:r w:rsidR="00826AB8" w:rsidRPr="0038442F">
        <w:rPr>
          <w:rFonts w:ascii="Verdana" w:hAnsi="Verdana" w:cs="System Font Regular"/>
          <w:sz w:val="20"/>
          <w:szCs w:val="20"/>
          <w:lang w:val="pt-BR"/>
        </w:rPr>
        <w:t>”</w:t>
      </w:r>
      <w:r w:rsidR="00193832" w:rsidRPr="0038442F">
        <w:rPr>
          <w:rFonts w:ascii="Verdana" w:hAnsi="Verdana" w:cs="System Font Regular"/>
          <w:sz w:val="20"/>
          <w:szCs w:val="20"/>
          <w:lang w:val="pt-BR"/>
        </w:rPr>
        <w:t>.</w:t>
      </w:r>
      <w:r w:rsidR="008B426F" w:rsidRPr="0038442F">
        <w:rPr>
          <w:rStyle w:val="Refdenotaalpie"/>
          <w:rFonts w:ascii="Verdana" w:hAnsi="Verdana"/>
          <w:sz w:val="20"/>
          <w:szCs w:val="20"/>
          <w:lang w:val="pt-BR"/>
        </w:rPr>
        <w:footnoteReference w:id="169"/>
      </w:r>
      <w:r w:rsidR="00826AB8" w:rsidRPr="0038442F">
        <w:rPr>
          <w:rFonts w:ascii="Verdana" w:hAnsi="Verdana"/>
          <w:sz w:val="20"/>
          <w:szCs w:val="20"/>
          <w:lang w:val="pt-BR"/>
        </w:rPr>
        <w:t xml:space="preserve"> </w:t>
      </w:r>
    </w:p>
    <w:p w14:paraId="7C862DDE" w14:textId="77777777" w:rsidR="00D66104" w:rsidRPr="0038442F" w:rsidRDefault="00D66104" w:rsidP="00A857CB">
      <w:pPr>
        <w:pStyle w:val="Prrafodelista"/>
        <w:spacing w:after="0" w:line="240" w:lineRule="auto"/>
        <w:ind w:left="0"/>
        <w:jc w:val="both"/>
        <w:rPr>
          <w:rFonts w:ascii="Verdana" w:hAnsi="Verdana" w:cs="System Font Regular"/>
          <w:sz w:val="20"/>
          <w:szCs w:val="20"/>
          <w:lang w:val="pt-BR"/>
        </w:rPr>
      </w:pPr>
    </w:p>
    <w:p w14:paraId="429A9370" w14:textId="6FA0AA5E" w:rsidR="007309B3" w:rsidRPr="0038442F" w:rsidRDefault="00160AA7" w:rsidP="00160AA7">
      <w:pPr>
        <w:jc w:val="both"/>
        <w:rPr>
          <w:rFonts w:ascii="Verdana" w:hAnsi="Verdana"/>
          <w:sz w:val="20"/>
          <w:szCs w:val="20"/>
          <w:lang w:val="pt-BR"/>
        </w:rPr>
      </w:pPr>
      <w:r w:rsidRPr="0038442F">
        <w:rPr>
          <w:rFonts w:ascii="Verdana" w:hAnsi="Verdana" w:cs="System Font Regular"/>
          <w:sz w:val="20"/>
          <w:szCs w:val="20"/>
          <w:lang w:val="pt-BR"/>
        </w:rPr>
        <w:t xml:space="preserve">112. </w:t>
      </w:r>
      <w:r w:rsidRPr="0038442F">
        <w:rPr>
          <w:rFonts w:ascii="Verdana" w:hAnsi="Verdana" w:cs="System Font Regular"/>
          <w:sz w:val="20"/>
          <w:szCs w:val="20"/>
          <w:lang w:val="pt-BR"/>
        </w:rPr>
        <w:tab/>
      </w:r>
      <w:r w:rsidR="008F463C" w:rsidRPr="0038442F">
        <w:rPr>
          <w:rFonts w:ascii="Verdana" w:hAnsi="Verdana" w:cs="System Font Regular"/>
          <w:sz w:val="20"/>
          <w:szCs w:val="20"/>
          <w:lang w:val="pt-BR"/>
        </w:rPr>
        <w:t xml:space="preserve">No </w:t>
      </w:r>
      <w:r w:rsidR="00D66104" w:rsidRPr="0038442F">
        <w:rPr>
          <w:rFonts w:ascii="Verdana" w:hAnsi="Verdana" w:cs="System Font Regular"/>
          <w:sz w:val="20"/>
          <w:szCs w:val="20"/>
          <w:lang w:val="pt-BR"/>
        </w:rPr>
        <w:t xml:space="preserve">caso, a </w:t>
      </w:r>
      <w:r w:rsidR="00C92762" w:rsidRPr="0038442F">
        <w:rPr>
          <w:rFonts w:ascii="Verdana" w:hAnsi="Verdana" w:cs="System Font Regular"/>
          <w:sz w:val="20"/>
          <w:szCs w:val="20"/>
          <w:lang w:val="pt-BR"/>
        </w:rPr>
        <w:t>responsabilidade</w:t>
      </w:r>
      <w:r w:rsidR="00407242" w:rsidRPr="0038442F">
        <w:rPr>
          <w:rFonts w:ascii="Verdana" w:hAnsi="Verdana" w:cs="System Font Regular"/>
          <w:sz w:val="20"/>
          <w:szCs w:val="20"/>
          <w:lang w:val="pt-BR"/>
        </w:rPr>
        <w:t xml:space="preserve"> </w:t>
      </w:r>
      <w:r w:rsidR="00D66104" w:rsidRPr="0038442F">
        <w:rPr>
          <w:rFonts w:ascii="Verdana" w:hAnsi="Verdana" w:cs="System Font Regular"/>
          <w:sz w:val="20"/>
          <w:szCs w:val="20"/>
          <w:lang w:val="pt-BR"/>
        </w:rPr>
        <w:t xml:space="preserve">internacional </w:t>
      </w:r>
      <w:r w:rsidR="005871F1" w:rsidRPr="0038442F">
        <w:rPr>
          <w:rFonts w:ascii="Verdana" w:hAnsi="Verdana" w:cs="System Font Regular"/>
          <w:sz w:val="20"/>
          <w:szCs w:val="20"/>
          <w:lang w:val="pt-BR"/>
        </w:rPr>
        <w:t xml:space="preserve">surge </w:t>
      </w:r>
      <w:r w:rsidR="000A1AA8" w:rsidRPr="0038442F">
        <w:rPr>
          <w:rFonts w:ascii="Verdana" w:hAnsi="Verdana" w:cs="System Font Regular"/>
          <w:sz w:val="20"/>
          <w:szCs w:val="20"/>
          <w:lang w:val="pt-BR"/>
        </w:rPr>
        <w:t xml:space="preserve">pela </w:t>
      </w:r>
      <w:r w:rsidR="00D66104" w:rsidRPr="0038442F">
        <w:rPr>
          <w:rFonts w:ascii="Verdana" w:hAnsi="Verdana" w:cs="System Font Regular"/>
          <w:sz w:val="20"/>
          <w:szCs w:val="20"/>
          <w:lang w:val="pt-BR"/>
        </w:rPr>
        <w:t xml:space="preserve">falta de </w:t>
      </w:r>
      <w:r w:rsidR="00751189" w:rsidRPr="0038442F">
        <w:rPr>
          <w:rFonts w:ascii="Verdana" w:hAnsi="Verdana" w:cs="System Font Regular"/>
          <w:sz w:val="20"/>
          <w:szCs w:val="20"/>
          <w:lang w:val="pt-BR"/>
        </w:rPr>
        <w:t>proteção</w:t>
      </w:r>
      <w:r w:rsidR="00407242" w:rsidRPr="0038442F">
        <w:rPr>
          <w:rFonts w:ascii="Verdana" w:hAnsi="Verdana" w:cs="System Font Regular"/>
          <w:sz w:val="20"/>
          <w:szCs w:val="20"/>
          <w:lang w:val="pt-BR"/>
        </w:rPr>
        <w:t xml:space="preserve"> </w:t>
      </w:r>
      <w:r w:rsidR="00C92762" w:rsidRPr="0038442F">
        <w:rPr>
          <w:rFonts w:ascii="Verdana" w:hAnsi="Verdana" w:cs="System Font Regular"/>
          <w:sz w:val="20"/>
          <w:szCs w:val="20"/>
          <w:lang w:val="pt-BR"/>
        </w:rPr>
        <w:t xml:space="preserve">da </w:t>
      </w:r>
      <w:r w:rsidR="00751189" w:rsidRPr="0038442F">
        <w:rPr>
          <w:rFonts w:ascii="Verdana" w:hAnsi="Verdana" w:cs="System Font Regular"/>
          <w:sz w:val="20"/>
          <w:szCs w:val="20"/>
          <w:lang w:val="pt-BR"/>
        </w:rPr>
        <w:t>lei</w:t>
      </w:r>
      <w:r w:rsidR="008F463C" w:rsidRPr="0038442F">
        <w:rPr>
          <w:rFonts w:ascii="Verdana" w:hAnsi="Verdana" w:cs="System Font Regular"/>
          <w:sz w:val="20"/>
          <w:szCs w:val="20"/>
          <w:lang w:val="pt-BR"/>
        </w:rPr>
        <w:t>,</w:t>
      </w:r>
      <w:r w:rsidR="00407242" w:rsidRPr="0038442F">
        <w:rPr>
          <w:rFonts w:ascii="Verdana" w:hAnsi="Verdana" w:cs="System Font Regular"/>
          <w:sz w:val="20"/>
          <w:szCs w:val="20"/>
          <w:lang w:val="pt-BR"/>
        </w:rPr>
        <w:t xml:space="preserve"> </w:t>
      </w:r>
      <w:r w:rsidR="00751189" w:rsidRPr="0038442F">
        <w:rPr>
          <w:rFonts w:ascii="Verdana" w:hAnsi="Verdana" w:cs="System Font Regular"/>
          <w:sz w:val="20"/>
          <w:szCs w:val="20"/>
          <w:lang w:val="pt-BR"/>
        </w:rPr>
        <w:t xml:space="preserve">no </w:t>
      </w:r>
      <w:r w:rsidR="005871F1" w:rsidRPr="0038442F">
        <w:rPr>
          <w:rFonts w:ascii="Verdana" w:hAnsi="Verdana" w:cs="System Font Regular"/>
          <w:sz w:val="20"/>
          <w:szCs w:val="20"/>
          <w:lang w:val="pt-BR"/>
        </w:rPr>
        <w:t>sentido</w:t>
      </w:r>
      <w:r w:rsidR="00D66104" w:rsidRPr="0038442F">
        <w:rPr>
          <w:rFonts w:ascii="Verdana" w:hAnsi="Verdana" w:cs="System Font Regular"/>
          <w:sz w:val="20"/>
          <w:szCs w:val="20"/>
          <w:lang w:val="pt-BR"/>
        </w:rPr>
        <w:t xml:space="preserve"> de que </w:t>
      </w:r>
      <w:r w:rsidR="000A1AA8" w:rsidRPr="0038442F">
        <w:rPr>
          <w:rFonts w:ascii="Verdana" w:hAnsi="Verdana" w:cs="System Font Regular"/>
          <w:sz w:val="20"/>
          <w:szCs w:val="20"/>
          <w:lang w:val="pt-BR"/>
        </w:rPr>
        <w:t xml:space="preserve">o Estado </w:t>
      </w:r>
      <w:r w:rsidR="008F463C" w:rsidRPr="0038442F">
        <w:rPr>
          <w:rFonts w:ascii="Verdana" w:hAnsi="Verdana" w:cs="System Font Regular"/>
          <w:sz w:val="20"/>
          <w:szCs w:val="20"/>
          <w:lang w:val="pt-BR"/>
        </w:rPr>
        <w:t xml:space="preserve">não havia adotado </w:t>
      </w:r>
      <w:r w:rsidR="00D66104" w:rsidRPr="0038442F">
        <w:rPr>
          <w:rFonts w:ascii="Verdana" w:hAnsi="Verdana"/>
          <w:sz w:val="20"/>
          <w:szCs w:val="20"/>
          <w:lang w:val="pt-BR"/>
        </w:rPr>
        <w:t xml:space="preserve">medida </w:t>
      </w:r>
      <w:r w:rsidR="008F463C" w:rsidRPr="0038442F">
        <w:rPr>
          <w:rFonts w:ascii="Verdana" w:hAnsi="Verdana"/>
          <w:sz w:val="20"/>
          <w:szCs w:val="20"/>
          <w:lang w:val="pt-BR"/>
        </w:rPr>
        <w:t xml:space="preserve">alguma que pudesse ser avaliada </w:t>
      </w:r>
      <w:r w:rsidR="00A97590" w:rsidRPr="0038442F">
        <w:rPr>
          <w:rFonts w:ascii="Verdana" w:hAnsi="Verdana"/>
          <w:sz w:val="20"/>
          <w:szCs w:val="20"/>
          <w:lang w:val="pt-BR"/>
        </w:rPr>
        <w:t>pela</w:t>
      </w:r>
      <w:r w:rsidR="00407242" w:rsidRPr="0038442F">
        <w:rPr>
          <w:rFonts w:ascii="Verdana" w:hAnsi="Verdana"/>
          <w:sz w:val="20"/>
          <w:szCs w:val="20"/>
          <w:lang w:val="pt-BR"/>
        </w:rPr>
        <w:t xml:space="preserve"> </w:t>
      </w:r>
      <w:r w:rsidR="008806F8" w:rsidRPr="0038442F">
        <w:rPr>
          <w:rFonts w:ascii="Verdana" w:hAnsi="Verdana"/>
          <w:sz w:val="20"/>
          <w:szCs w:val="20"/>
          <w:lang w:val="pt-BR"/>
        </w:rPr>
        <w:t xml:space="preserve">Corte </w:t>
      </w:r>
      <w:r w:rsidR="005871F1" w:rsidRPr="0038442F">
        <w:rPr>
          <w:rFonts w:ascii="Verdana" w:hAnsi="Verdana"/>
          <w:sz w:val="20"/>
          <w:szCs w:val="20"/>
          <w:lang w:val="pt-BR"/>
        </w:rPr>
        <w:t xml:space="preserve">IDH </w:t>
      </w:r>
      <w:r w:rsidR="00D66104" w:rsidRPr="0038442F">
        <w:rPr>
          <w:rFonts w:ascii="Verdana" w:hAnsi="Verdana"/>
          <w:sz w:val="20"/>
          <w:szCs w:val="20"/>
          <w:lang w:val="pt-BR"/>
        </w:rPr>
        <w:t>como forma de enfrentar o</w:t>
      </w:r>
      <w:r w:rsidR="008F463C" w:rsidRPr="0038442F">
        <w:rPr>
          <w:rFonts w:ascii="Verdana" w:hAnsi="Verdana"/>
          <w:sz w:val="20"/>
          <w:szCs w:val="20"/>
          <w:lang w:val="pt-BR"/>
        </w:rPr>
        <w:t>u</w:t>
      </w:r>
      <w:r w:rsidR="00D66104" w:rsidRPr="0038442F">
        <w:rPr>
          <w:rFonts w:ascii="Verdana" w:hAnsi="Verdana"/>
          <w:sz w:val="20"/>
          <w:szCs w:val="20"/>
          <w:lang w:val="pt-BR"/>
        </w:rPr>
        <w:t xml:space="preserve"> de buscar revert</w:t>
      </w:r>
      <w:r w:rsidR="008F463C" w:rsidRPr="0038442F">
        <w:rPr>
          <w:rFonts w:ascii="Verdana" w:hAnsi="Verdana"/>
          <w:sz w:val="20"/>
          <w:szCs w:val="20"/>
          <w:lang w:val="pt-BR"/>
        </w:rPr>
        <w:t>e</w:t>
      </w:r>
      <w:r w:rsidR="00D66104" w:rsidRPr="0038442F">
        <w:rPr>
          <w:rFonts w:ascii="Verdana" w:hAnsi="Verdana"/>
          <w:sz w:val="20"/>
          <w:szCs w:val="20"/>
          <w:lang w:val="pt-BR"/>
        </w:rPr>
        <w:t>r a situa</w:t>
      </w:r>
      <w:r w:rsidR="000A1AA8" w:rsidRPr="0038442F">
        <w:rPr>
          <w:rFonts w:ascii="Verdana" w:hAnsi="Verdana"/>
          <w:sz w:val="20"/>
          <w:szCs w:val="20"/>
          <w:lang w:val="pt-BR"/>
        </w:rPr>
        <w:t>ção</w:t>
      </w:r>
      <w:r w:rsidR="00D66104" w:rsidRPr="0038442F">
        <w:rPr>
          <w:rFonts w:ascii="Verdana" w:hAnsi="Verdana"/>
          <w:sz w:val="20"/>
          <w:szCs w:val="20"/>
          <w:lang w:val="pt-BR"/>
        </w:rPr>
        <w:t xml:space="preserve"> de pobreza </w:t>
      </w:r>
      <w:r w:rsidR="008F463C" w:rsidRPr="0038442F">
        <w:rPr>
          <w:rFonts w:ascii="Verdana" w:hAnsi="Verdana"/>
          <w:sz w:val="20"/>
          <w:szCs w:val="20"/>
          <w:lang w:val="pt-BR"/>
        </w:rPr>
        <w:t>e</w:t>
      </w:r>
      <w:r w:rsidR="00D66104" w:rsidRPr="0038442F">
        <w:rPr>
          <w:rFonts w:ascii="Verdana" w:hAnsi="Verdana"/>
          <w:sz w:val="20"/>
          <w:szCs w:val="20"/>
          <w:lang w:val="pt-BR"/>
        </w:rPr>
        <w:t xml:space="preserve"> </w:t>
      </w:r>
      <w:r w:rsidR="00C76C5C" w:rsidRPr="0038442F">
        <w:rPr>
          <w:rFonts w:ascii="Verdana" w:hAnsi="Verdana"/>
          <w:sz w:val="20"/>
          <w:szCs w:val="20"/>
          <w:lang w:val="pt-BR"/>
        </w:rPr>
        <w:t>marginalização</w:t>
      </w:r>
      <w:r w:rsidR="00407242" w:rsidRPr="0038442F">
        <w:rPr>
          <w:rFonts w:ascii="Verdana" w:hAnsi="Verdana"/>
          <w:sz w:val="20"/>
          <w:szCs w:val="20"/>
          <w:lang w:val="pt-BR"/>
        </w:rPr>
        <w:t xml:space="preserve"> </w:t>
      </w:r>
      <w:r w:rsidR="006445EE" w:rsidRPr="0038442F">
        <w:rPr>
          <w:rFonts w:ascii="Verdana" w:hAnsi="Verdana"/>
          <w:sz w:val="20"/>
          <w:szCs w:val="20"/>
          <w:lang w:val="pt-BR"/>
        </w:rPr>
        <w:t>estrutural</w:t>
      </w:r>
      <w:r w:rsidR="00407242" w:rsidRPr="0038442F">
        <w:rPr>
          <w:rFonts w:ascii="Verdana" w:hAnsi="Verdana"/>
          <w:sz w:val="20"/>
          <w:szCs w:val="20"/>
          <w:lang w:val="pt-BR"/>
        </w:rPr>
        <w:t xml:space="preserve"> </w:t>
      </w:r>
      <w:r w:rsidR="00C92762" w:rsidRPr="0038442F">
        <w:rPr>
          <w:rFonts w:ascii="Verdana" w:hAnsi="Verdana"/>
          <w:sz w:val="20"/>
          <w:szCs w:val="20"/>
          <w:lang w:val="pt-BR"/>
        </w:rPr>
        <w:t>das trabalhadoras</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D66104" w:rsidRPr="0038442F">
        <w:rPr>
          <w:rFonts w:ascii="Verdana" w:hAnsi="Verdana"/>
          <w:sz w:val="20"/>
          <w:szCs w:val="20"/>
          <w:lang w:val="pt-BR"/>
        </w:rPr>
        <w:t xml:space="preserve">fábrica de </w:t>
      </w:r>
      <w:r w:rsidR="008806F8" w:rsidRPr="0038442F">
        <w:rPr>
          <w:rFonts w:ascii="Verdana" w:hAnsi="Verdana"/>
          <w:sz w:val="20"/>
          <w:szCs w:val="20"/>
          <w:lang w:val="pt-BR"/>
        </w:rPr>
        <w:t>fogos</w:t>
      </w:r>
      <w:r w:rsidR="00D66104" w:rsidRPr="0038442F">
        <w:rPr>
          <w:rFonts w:ascii="Verdana" w:hAnsi="Verdana"/>
          <w:sz w:val="20"/>
          <w:szCs w:val="20"/>
          <w:lang w:val="pt-BR"/>
        </w:rPr>
        <w:t>, co</w:t>
      </w:r>
      <w:r w:rsidR="008F463C" w:rsidRPr="0038442F">
        <w:rPr>
          <w:rFonts w:ascii="Verdana" w:hAnsi="Verdana"/>
          <w:sz w:val="20"/>
          <w:szCs w:val="20"/>
          <w:lang w:val="pt-BR"/>
        </w:rPr>
        <w:t>m</w:t>
      </w:r>
      <w:r w:rsidR="005871F1" w:rsidRPr="0038442F">
        <w:rPr>
          <w:rFonts w:ascii="Verdana" w:hAnsi="Verdana"/>
          <w:sz w:val="20"/>
          <w:szCs w:val="20"/>
          <w:lang w:val="pt-BR"/>
        </w:rPr>
        <w:t xml:space="preserve"> especial</w:t>
      </w:r>
      <w:r w:rsidR="00D66104" w:rsidRPr="0038442F">
        <w:rPr>
          <w:rFonts w:ascii="Verdana" w:hAnsi="Verdana"/>
          <w:sz w:val="20"/>
          <w:szCs w:val="20"/>
          <w:lang w:val="pt-BR"/>
        </w:rPr>
        <w:t xml:space="preserve"> aten</w:t>
      </w:r>
      <w:r w:rsidR="000A1AA8" w:rsidRPr="0038442F">
        <w:rPr>
          <w:rFonts w:ascii="Verdana" w:hAnsi="Verdana"/>
          <w:sz w:val="20"/>
          <w:szCs w:val="20"/>
          <w:lang w:val="pt-BR"/>
        </w:rPr>
        <w:t>ção</w:t>
      </w:r>
      <w:r w:rsidR="00D66104" w:rsidRPr="0038442F">
        <w:rPr>
          <w:rFonts w:ascii="Verdana" w:hAnsi="Verdana"/>
          <w:sz w:val="20"/>
          <w:szCs w:val="20"/>
          <w:lang w:val="pt-BR"/>
        </w:rPr>
        <w:t xml:space="preserve"> a</w:t>
      </w:r>
      <w:r w:rsidR="008F463C" w:rsidRPr="0038442F">
        <w:rPr>
          <w:rFonts w:ascii="Verdana" w:hAnsi="Verdana"/>
          <w:sz w:val="20"/>
          <w:szCs w:val="20"/>
          <w:lang w:val="pt-BR"/>
        </w:rPr>
        <w:t>os</w:t>
      </w:r>
      <w:r w:rsidR="00D66104" w:rsidRPr="0038442F">
        <w:rPr>
          <w:rFonts w:ascii="Verdana" w:hAnsi="Verdana"/>
          <w:sz w:val="20"/>
          <w:szCs w:val="20"/>
          <w:lang w:val="pt-BR"/>
        </w:rPr>
        <w:t xml:space="preserve"> </w:t>
      </w:r>
      <w:r w:rsidR="00CA30C5" w:rsidRPr="0038442F">
        <w:rPr>
          <w:rFonts w:ascii="Verdana" w:hAnsi="Verdana"/>
          <w:sz w:val="20"/>
          <w:szCs w:val="20"/>
          <w:lang w:val="pt-BR"/>
        </w:rPr>
        <w:t>fatores</w:t>
      </w:r>
      <w:r w:rsidR="00407242" w:rsidRPr="0038442F">
        <w:rPr>
          <w:rFonts w:ascii="Verdana" w:hAnsi="Verdana"/>
          <w:sz w:val="20"/>
          <w:szCs w:val="20"/>
          <w:lang w:val="pt-BR"/>
        </w:rPr>
        <w:t xml:space="preserve"> </w:t>
      </w:r>
      <w:r w:rsidR="00D66104" w:rsidRPr="0038442F">
        <w:rPr>
          <w:rFonts w:ascii="Verdana" w:hAnsi="Verdana"/>
          <w:sz w:val="20"/>
          <w:szCs w:val="20"/>
          <w:lang w:val="pt-BR"/>
        </w:rPr>
        <w:t>de discrimina</w:t>
      </w:r>
      <w:r w:rsidR="000A1AA8" w:rsidRPr="0038442F">
        <w:rPr>
          <w:rFonts w:ascii="Verdana" w:hAnsi="Verdana"/>
          <w:sz w:val="20"/>
          <w:szCs w:val="20"/>
          <w:lang w:val="pt-BR"/>
        </w:rPr>
        <w:t>ção</w:t>
      </w:r>
      <w:r w:rsidR="00D66104" w:rsidRPr="0038442F">
        <w:rPr>
          <w:rFonts w:ascii="Verdana" w:hAnsi="Verdana"/>
          <w:sz w:val="20"/>
          <w:szCs w:val="20"/>
          <w:lang w:val="pt-BR"/>
        </w:rPr>
        <w:t xml:space="preserve"> que confluía</w:t>
      </w:r>
      <w:r w:rsidR="008F463C" w:rsidRPr="0038442F">
        <w:rPr>
          <w:rFonts w:ascii="Verdana" w:hAnsi="Verdana"/>
          <w:sz w:val="20"/>
          <w:szCs w:val="20"/>
          <w:lang w:val="pt-BR"/>
        </w:rPr>
        <w:t xml:space="preserve">m em </w:t>
      </w:r>
      <w:r w:rsidR="005871F1" w:rsidRPr="0038442F">
        <w:rPr>
          <w:rFonts w:ascii="Verdana" w:hAnsi="Verdana"/>
          <w:sz w:val="20"/>
          <w:szCs w:val="20"/>
          <w:lang w:val="pt-BR"/>
        </w:rPr>
        <w:t xml:space="preserve">cada </w:t>
      </w:r>
      <w:r w:rsidR="00D66104" w:rsidRPr="0038442F">
        <w:rPr>
          <w:rFonts w:ascii="Verdana" w:hAnsi="Verdana"/>
          <w:sz w:val="20"/>
          <w:szCs w:val="20"/>
          <w:lang w:val="pt-BR"/>
        </w:rPr>
        <w:t>caso concreto. A</w:t>
      </w:r>
      <w:r w:rsidR="00E14DD3">
        <w:rPr>
          <w:rFonts w:ascii="Verdana" w:hAnsi="Verdana"/>
          <w:sz w:val="20"/>
          <w:szCs w:val="20"/>
          <w:lang w:val="pt-BR"/>
        </w:rPr>
        <w:t>demais</w:t>
      </w:r>
      <w:r w:rsidR="008F463C" w:rsidRPr="0038442F">
        <w:rPr>
          <w:rFonts w:ascii="Verdana" w:hAnsi="Verdana"/>
          <w:sz w:val="20"/>
          <w:szCs w:val="20"/>
          <w:lang w:val="pt-BR"/>
        </w:rPr>
        <w:t xml:space="preserve">, em que pese a alegação </w:t>
      </w:r>
      <w:r w:rsidR="00C92762" w:rsidRPr="0038442F">
        <w:rPr>
          <w:rFonts w:ascii="Verdana" w:hAnsi="Verdana"/>
          <w:sz w:val="20"/>
          <w:szCs w:val="20"/>
          <w:lang w:val="pt-BR"/>
        </w:rPr>
        <w:t xml:space="preserve">da </w:t>
      </w:r>
      <w:r w:rsidR="00246A73" w:rsidRPr="0038442F">
        <w:rPr>
          <w:rFonts w:ascii="Verdana" w:hAnsi="Verdana"/>
          <w:sz w:val="20"/>
          <w:szCs w:val="20"/>
          <w:lang w:val="pt-BR"/>
        </w:rPr>
        <w:t>existência</w:t>
      </w:r>
      <w:r w:rsidR="00407242" w:rsidRPr="0038442F">
        <w:rPr>
          <w:rFonts w:ascii="Verdana" w:hAnsi="Verdana"/>
          <w:sz w:val="20"/>
          <w:szCs w:val="20"/>
          <w:lang w:val="pt-BR"/>
        </w:rPr>
        <w:t xml:space="preserve"> </w:t>
      </w:r>
      <w:r w:rsidR="00D66104" w:rsidRPr="0038442F">
        <w:rPr>
          <w:rFonts w:ascii="Verdana" w:hAnsi="Verdana"/>
          <w:sz w:val="20"/>
          <w:szCs w:val="20"/>
          <w:lang w:val="pt-BR"/>
        </w:rPr>
        <w:t xml:space="preserve">de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D66104" w:rsidRPr="0038442F">
        <w:rPr>
          <w:rFonts w:ascii="Verdana" w:hAnsi="Verdana"/>
          <w:sz w:val="20"/>
          <w:szCs w:val="20"/>
          <w:lang w:val="pt-BR"/>
        </w:rPr>
        <w:t xml:space="preserve">estrutura </w:t>
      </w:r>
      <w:r w:rsidR="008F463C" w:rsidRPr="0038442F">
        <w:rPr>
          <w:rFonts w:ascii="Verdana" w:hAnsi="Verdana"/>
          <w:sz w:val="20"/>
          <w:szCs w:val="20"/>
          <w:lang w:val="pt-BR"/>
        </w:rPr>
        <w:t xml:space="preserve">jurídica </w:t>
      </w:r>
      <w:r w:rsidR="009612FB" w:rsidRPr="0038442F">
        <w:rPr>
          <w:rFonts w:ascii="Verdana" w:hAnsi="Verdana"/>
          <w:sz w:val="20"/>
          <w:szCs w:val="20"/>
          <w:lang w:val="pt-BR"/>
        </w:rPr>
        <w:t>efetiva</w:t>
      </w:r>
      <w:r w:rsidR="00407242" w:rsidRPr="0038442F">
        <w:rPr>
          <w:rFonts w:ascii="Verdana" w:hAnsi="Verdana"/>
          <w:sz w:val="20"/>
          <w:szCs w:val="20"/>
          <w:lang w:val="pt-BR"/>
        </w:rPr>
        <w:t xml:space="preserve"> </w:t>
      </w:r>
      <w:r w:rsidR="00D66104" w:rsidRPr="0038442F">
        <w:rPr>
          <w:rFonts w:ascii="Verdana" w:hAnsi="Verdana"/>
          <w:sz w:val="20"/>
          <w:szCs w:val="20"/>
          <w:lang w:val="pt-BR"/>
        </w:rPr>
        <w:t>para a redu</w:t>
      </w:r>
      <w:r w:rsidR="000A1AA8" w:rsidRPr="0038442F">
        <w:rPr>
          <w:rFonts w:ascii="Verdana" w:hAnsi="Verdana"/>
          <w:sz w:val="20"/>
          <w:szCs w:val="20"/>
          <w:lang w:val="pt-BR"/>
        </w:rPr>
        <w:t>ção</w:t>
      </w:r>
      <w:r w:rsidR="00D66104"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D66104" w:rsidRPr="0038442F">
        <w:rPr>
          <w:rFonts w:ascii="Verdana" w:hAnsi="Verdana"/>
          <w:sz w:val="20"/>
          <w:szCs w:val="20"/>
          <w:lang w:val="pt-BR"/>
        </w:rPr>
        <w:t>desigualdades</w:t>
      </w:r>
      <w:r w:rsidR="00921AF6" w:rsidRPr="0038442F">
        <w:rPr>
          <w:rFonts w:ascii="Verdana" w:hAnsi="Verdana"/>
          <w:sz w:val="20"/>
          <w:szCs w:val="20"/>
          <w:lang w:val="pt-BR"/>
        </w:rPr>
        <w:t>,</w:t>
      </w:r>
      <w:r w:rsidR="00D66104" w:rsidRPr="0038442F">
        <w:rPr>
          <w:rFonts w:ascii="Verdana" w:hAnsi="Verdana"/>
          <w:sz w:val="20"/>
          <w:szCs w:val="20"/>
          <w:lang w:val="pt-BR"/>
        </w:rPr>
        <w:t xml:space="preserve"> </w:t>
      </w:r>
      <w:r w:rsidR="008F463C" w:rsidRPr="0038442F">
        <w:rPr>
          <w:rFonts w:ascii="Verdana" w:hAnsi="Verdana"/>
          <w:sz w:val="20"/>
          <w:szCs w:val="20"/>
          <w:lang w:val="pt-BR"/>
        </w:rPr>
        <w:t xml:space="preserve">e que havia executado </w:t>
      </w:r>
      <w:r w:rsidR="00D66104" w:rsidRPr="0038442F">
        <w:rPr>
          <w:rFonts w:ascii="Verdana" w:hAnsi="Verdana"/>
          <w:sz w:val="20"/>
          <w:szCs w:val="20"/>
          <w:lang w:val="pt-BR"/>
        </w:rPr>
        <w:t xml:space="preserve">diversas políticas públicas </w:t>
      </w:r>
      <w:r w:rsidR="008F463C" w:rsidRPr="0038442F">
        <w:rPr>
          <w:rFonts w:ascii="Verdana" w:hAnsi="Verdana"/>
          <w:sz w:val="20"/>
          <w:szCs w:val="20"/>
          <w:lang w:val="pt-BR"/>
        </w:rPr>
        <w:t xml:space="preserve">com esse </w:t>
      </w:r>
      <w:r w:rsidR="000E331D" w:rsidRPr="0038442F">
        <w:rPr>
          <w:rFonts w:ascii="Verdana" w:hAnsi="Verdana"/>
          <w:sz w:val="20"/>
          <w:szCs w:val="20"/>
          <w:lang w:val="pt-BR"/>
        </w:rPr>
        <w:t>mesmo</w:t>
      </w:r>
      <w:r w:rsidR="00407242" w:rsidRPr="0038442F">
        <w:rPr>
          <w:rFonts w:ascii="Verdana" w:hAnsi="Verdana"/>
          <w:sz w:val="20"/>
          <w:szCs w:val="20"/>
          <w:lang w:val="pt-BR"/>
        </w:rPr>
        <w:t xml:space="preserve"> </w:t>
      </w:r>
      <w:r w:rsidR="00D66104" w:rsidRPr="0038442F">
        <w:rPr>
          <w:rFonts w:ascii="Verdana" w:hAnsi="Verdana"/>
          <w:sz w:val="20"/>
          <w:szCs w:val="20"/>
          <w:lang w:val="pt-BR"/>
        </w:rPr>
        <w:t xml:space="preserve">objetivo </w:t>
      </w:r>
      <w:r w:rsidR="00751189" w:rsidRPr="0038442F">
        <w:rPr>
          <w:rFonts w:ascii="Verdana" w:hAnsi="Verdana"/>
          <w:sz w:val="20"/>
          <w:szCs w:val="20"/>
          <w:lang w:val="pt-BR"/>
        </w:rPr>
        <w:t xml:space="preserve">no </w:t>
      </w:r>
      <w:r w:rsidR="008F463C" w:rsidRPr="0038442F">
        <w:rPr>
          <w:rFonts w:ascii="Verdana" w:hAnsi="Verdana"/>
          <w:sz w:val="20"/>
          <w:szCs w:val="20"/>
          <w:lang w:val="pt-BR"/>
        </w:rPr>
        <w:t>M</w:t>
      </w:r>
      <w:r w:rsidR="00D66104" w:rsidRPr="0038442F">
        <w:rPr>
          <w:rFonts w:ascii="Verdana" w:hAnsi="Verdana"/>
          <w:sz w:val="20"/>
          <w:szCs w:val="20"/>
          <w:lang w:val="pt-BR"/>
        </w:rPr>
        <w:t>unic</w:t>
      </w:r>
      <w:r w:rsidR="008F463C" w:rsidRPr="0038442F">
        <w:rPr>
          <w:rFonts w:ascii="Verdana" w:hAnsi="Verdana"/>
          <w:sz w:val="20"/>
          <w:szCs w:val="20"/>
          <w:lang w:val="pt-BR"/>
        </w:rPr>
        <w:t>í</w:t>
      </w:r>
      <w:r w:rsidR="00D66104" w:rsidRPr="0038442F">
        <w:rPr>
          <w:rFonts w:ascii="Verdana" w:hAnsi="Verdana"/>
          <w:sz w:val="20"/>
          <w:szCs w:val="20"/>
          <w:lang w:val="pt-BR"/>
        </w:rPr>
        <w:t xml:space="preserve">pio de Santo Antônio de Jesus, </w:t>
      </w:r>
      <w:r w:rsidR="000A1AA8" w:rsidRPr="0038442F">
        <w:rPr>
          <w:rFonts w:ascii="Verdana" w:hAnsi="Verdana"/>
          <w:sz w:val="20"/>
          <w:szCs w:val="20"/>
          <w:lang w:val="pt-BR"/>
        </w:rPr>
        <w:t xml:space="preserve">o Estado </w:t>
      </w:r>
      <w:r w:rsidR="008F463C" w:rsidRPr="0038442F">
        <w:rPr>
          <w:rFonts w:ascii="Verdana" w:hAnsi="Verdana"/>
          <w:sz w:val="20"/>
          <w:szCs w:val="20"/>
          <w:lang w:val="pt-BR"/>
        </w:rPr>
        <w:t xml:space="preserve">não havia </w:t>
      </w:r>
      <w:r w:rsidR="00D66104" w:rsidRPr="0038442F">
        <w:rPr>
          <w:rFonts w:ascii="Verdana" w:hAnsi="Verdana"/>
          <w:sz w:val="20"/>
          <w:szCs w:val="20"/>
          <w:lang w:val="pt-BR"/>
        </w:rPr>
        <w:t>demo</w:t>
      </w:r>
      <w:r w:rsidR="008F463C" w:rsidRPr="0038442F">
        <w:rPr>
          <w:rFonts w:ascii="Verdana" w:hAnsi="Verdana"/>
          <w:sz w:val="20"/>
          <w:szCs w:val="20"/>
          <w:lang w:val="pt-BR"/>
        </w:rPr>
        <w:t>n</w:t>
      </w:r>
      <w:r w:rsidR="00D66104" w:rsidRPr="0038442F">
        <w:rPr>
          <w:rFonts w:ascii="Verdana" w:hAnsi="Verdana"/>
          <w:sz w:val="20"/>
          <w:szCs w:val="20"/>
          <w:lang w:val="pt-BR"/>
        </w:rPr>
        <w:t xml:space="preserve">strado </w:t>
      </w:r>
      <w:r w:rsidR="005871F1" w:rsidRPr="0038442F">
        <w:rPr>
          <w:rFonts w:ascii="Verdana" w:hAnsi="Verdana"/>
          <w:sz w:val="20"/>
          <w:szCs w:val="20"/>
          <w:lang w:val="pt-BR"/>
        </w:rPr>
        <w:t xml:space="preserve">que </w:t>
      </w:r>
      <w:r w:rsidR="00D66104" w:rsidRPr="0038442F">
        <w:rPr>
          <w:rFonts w:ascii="Verdana" w:hAnsi="Verdana"/>
          <w:sz w:val="20"/>
          <w:szCs w:val="20"/>
          <w:lang w:val="pt-BR"/>
        </w:rPr>
        <w:t>a situa</w:t>
      </w:r>
      <w:r w:rsidR="000A1AA8" w:rsidRPr="0038442F">
        <w:rPr>
          <w:rFonts w:ascii="Verdana" w:hAnsi="Verdana"/>
          <w:sz w:val="20"/>
          <w:szCs w:val="20"/>
          <w:lang w:val="pt-BR"/>
        </w:rPr>
        <w:t>ção</w:t>
      </w:r>
      <w:r w:rsidR="00D66104" w:rsidRPr="0038442F">
        <w:rPr>
          <w:rFonts w:ascii="Verdana" w:hAnsi="Verdana"/>
          <w:sz w:val="20"/>
          <w:szCs w:val="20"/>
          <w:lang w:val="pt-BR"/>
        </w:rPr>
        <w:t xml:space="preserve"> de discrimina</w:t>
      </w:r>
      <w:r w:rsidR="000A1AA8" w:rsidRPr="0038442F">
        <w:rPr>
          <w:rFonts w:ascii="Verdana" w:hAnsi="Verdana"/>
          <w:sz w:val="20"/>
          <w:szCs w:val="20"/>
          <w:lang w:val="pt-BR"/>
        </w:rPr>
        <w:t>ção</w:t>
      </w:r>
      <w:r w:rsidR="00D66104" w:rsidRPr="0038442F">
        <w:rPr>
          <w:rFonts w:ascii="Verdana" w:hAnsi="Verdana"/>
          <w:sz w:val="20"/>
          <w:szCs w:val="20"/>
          <w:lang w:val="pt-BR"/>
        </w:rPr>
        <w:t xml:space="preserve"> </w:t>
      </w:r>
      <w:r w:rsidR="006445EE" w:rsidRPr="0038442F">
        <w:rPr>
          <w:rFonts w:ascii="Verdana" w:hAnsi="Verdana"/>
          <w:sz w:val="20"/>
          <w:szCs w:val="20"/>
          <w:lang w:val="pt-BR"/>
        </w:rPr>
        <w:t xml:space="preserve">estrutural </w:t>
      </w:r>
      <w:r w:rsidR="008F463C" w:rsidRPr="0038442F">
        <w:rPr>
          <w:rFonts w:ascii="Verdana" w:hAnsi="Verdana"/>
          <w:sz w:val="20"/>
          <w:szCs w:val="20"/>
          <w:lang w:val="pt-BR"/>
        </w:rPr>
        <w:t xml:space="preserve">sofrida </w:t>
      </w:r>
      <w:r w:rsidR="006A12FD" w:rsidRPr="0038442F">
        <w:rPr>
          <w:rFonts w:ascii="Verdana" w:hAnsi="Verdana"/>
          <w:sz w:val="20"/>
          <w:szCs w:val="20"/>
          <w:lang w:val="pt-BR"/>
        </w:rPr>
        <w:t xml:space="preserve">pelas </w:t>
      </w:r>
      <w:r w:rsidR="00C92762" w:rsidRPr="0038442F">
        <w:rPr>
          <w:rFonts w:ascii="Verdana" w:hAnsi="Verdana"/>
          <w:sz w:val="20"/>
          <w:szCs w:val="20"/>
          <w:lang w:val="pt-BR"/>
        </w:rPr>
        <w:t>mulheres</w:t>
      </w:r>
      <w:r w:rsidR="00407242" w:rsidRPr="0038442F">
        <w:rPr>
          <w:rFonts w:ascii="Verdana" w:hAnsi="Verdana"/>
          <w:sz w:val="20"/>
          <w:szCs w:val="20"/>
          <w:lang w:val="pt-BR"/>
        </w:rPr>
        <w:t xml:space="preserve"> </w:t>
      </w:r>
      <w:r w:rsidR="00D66104" w:rsidRPr="0038442F">
        <w:rPr>
          <w:rFonts w:ascii="Verdana" w:hAnsi="Verdana"/>
          <w:sz w:val="20"/>
          <w:szCs w:val="20"/>
          <w:lang w:val="pt-BR"/>
        </w:rPr>
        <w:t>que se dedica</w:t>
      </w:r>
      <w:r w:rsidR="008F463C" w:rsidRPr="0038442F">
        <w:rPr>
          <w:rFonts w:ascii="Verdana" w:hAnsi="Verdana"/>
          <w:sz w:val="20"/>
          <w:szCs w:val="20"/>
          <w:lang w:val="pt-BR"/>
        </w:rPr>
        <w:t xml:space="preserve">m à </w:t>
      </w:r>
      <w:r w:rsidR="00D66104" w:rsidRPr="0038442F">
        <w:rPr>
          <w:rFonts w:ascii="Verdana" w:hAnsi="Verdana"/>
          <w:sz w:val="20"/>
          <w:szCs w:val="20"/>
          <w:lang w:val="pt-BR"/>
        </w:rPr>
        <w:t>fabrica</w:t>
      </w:r>
      <w:r w:rsidR="000A1AA8" w:rsidRPr="0038442F">
        <w:rPr>
          <w:rFonts w:ascii="Verdana" w:hAnsi="Verdana"/>
          <w:sz w:val="20"/>
          <w:szCs w:val="20"/>
          <w:lang w:val="pt-BR"/>
        </w:rPr>
        <w:t>ção</w:t>
      </w:r>
      <w:r w:rsidR="00D66104" w:rsidRPr="0038442F">
        <w:rPr>
          <w:rFonts w:ascii="Verdana" w:hAnsi="Verdana"/>
          <w:sz w:val="20"/>
          <w:szCs w:val="20"/>
          <w:lang w:val="pt-BR"/>
        </w:rPr>
        <w:t xml:space="preserve"> de </w:t>
      </w:r>
      <w:r w:rsidR="00C92762" w:rsidRPr="0038442F">
        <w:rPr>
          <w:rFonts w:ascii="Verdana" w:hAnsi="Verdana"/>
          <w:sz w:val="20"/>
          <w:szCs w:val="20"/>
          <w:lang w:val="pt-BR"/>
        </w:rPr>
        <w:t>fogos de artifício</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tenha mudado, ou seja, não havia </w:t>
      </w:r>
      <w:r w:rsidR="00D66104" w:rsidRPr="0038442F">
        <w:rPr>
          <w:rFonts w:ascii="Verdana" w:hAnsi="Verdana"/>
          <w:sz w:val="20"/>
          <w:szCs w:val="20"/>
          <w:lang w:val="pt-BR"/>
        </w:rPr>
        <w:t>demo</w:t>
      </w:r>
      <w:r w:rsidR="008F463C" w:rsidRPr="0038442F">
        <w:rPr>
          <w:rFonts w:ascii="Verdana" w:hAnsi="Verdana"/>
          <w:sz w:val="20"/>
          <w:szCs w:val="20"/>
          <w:lang w:val="pt-BR"/>
        </w:rPr>
        <w:t>n</w:t>
      </w:r>
      <w:r w:rsidR="00D66104" w:rsidRPr="0038442F">
        <w:rPr>
          <w:rFonts w:ascii="Verdana" w:hAnsi="Verdana"/>
          <w:sz w:val="20"/>
          <w:szCs w:val="20"/>
          <w:lang w:val="pt-BR"/>
        </w:rPr>
        <w:t xml:space="preserve">strado que </w:t>
      </w:r>
      <w:r w:rsidR="00C458E7" w:rsidRPr="0038442F">
        <w:rPr>
          <w:rFonts w:ascii="Verdana" w:hAnsi="Verdana"/>
          <w:sz w:val="20"/>
          <w:szCs w:val="20"/>
          <w:lang w:val="pt-BR"/>
        </w:rPr>
        <w:t>tivessem sido</w:t>
      </w:r>
      <w:r w:rsidR="008F463C" w:rsidRPr="0038442F">
        <w:rPr>
          <w:rFonts w:ascii="Verdana" w:hAnsi="Verdana"/>
          <w:sz w:val="20"/>
          <w:szCs w:val="20"/>
          <w:lang w:val="pt-BR"/>
        </w:rPr>
        <w:t xml:space="preserve"> </w:t>
      </w:r>
      <w:r w:rsidR="00D66104" w:rsidRPr="0038442F">
        <w:rPr>
          <w:rFonts w:ascii="Verdana" w:hAnsi="Verdana"/>
          <w:sz w:val="20"/>
          <w:szCs w:val="20"/>
          <w:lang w:val="pt-BR"/>
        </w:rPr>
        <w:t>efetivas</w:t>
      </w:r>
      <w:r w:rsidR="008F463C" w:rsidRPr="0038442F">
        <w:rPr>
          <w:rFonts w:ascii="Verdana" w:hAnsi="Verdana"/>
          <w:sz w:val="20"/>
          <w:szCs w:val="20"/>
          <w:lang w:val="pt-BR"/>
        </w:rPr>
        <w:t>.</w:t>
      </w:r>
      <w:r w:rsidR="00D66104" w:rsidRPr="0038442F">
        <w:rPr>
          <w:rStyle w:val="Refdenotaalpie"/>
          <w:rFonts w:ascii="Verdana" w:hAnsi="Verdana"/>
          <w:sz w:val="20"/>
          <w:szCs w:val="20"/>
          <w:lang w:val="pt-BR"/>
        </w:rPr>
        <w:footnoteReference w:id="170"/>
      </w:r>
      <w:r w:rsidR="00D66104" w:rsidRPr="0038442F">
        <w:rPr>
          <w:rFonts w:ascii="Verdana" w:hAnsi="Verdana"/>
          <w:sz w:val="20"/>
          <w:szCs w:val="20"/>
          <w:lang w:val="pt-BR"/>
        </w:rPr>
        <w:t xml:space="preserve"> </w:t>
      </w:r>
    </w:p>
    <w:p w14:paraId="3F16F7D8" w14:textId="77777777" w:rsidR="007309B3" w:rsidRPr="0038442F" w:rsidRDefault="007309B3" w:rsidP="00A857CB">
      <w:pPr>
        <w:rPr>
          <w:rFonts w:ascii="Verdana" w:hAnsi="Verdana"/>
          <w:sz w:val="20"/>
          <w:szCs w:val="20"/>
          <w:lang w:val="pt-BR"/>
        </w:rPr>
      </w:pPr>
    </w:p>
    <w:p w14:paraId="6F2EF03C" w14:textId="6D4C8F39" w:rsidR="00014DA1" w:rsidRPr="0038442F" w:rsidRDefault="00160AA7" w:rsidP="00160AA7">
      <w:pPr>
        <w:jc w:val="both"/>
        <w:rPr>
          <w:rFonts w:ascii="Verdana" w:hAnsi="Verdana"/>
          <w:sz w:val="20"/>
          <w:szCs w:val="20"/>
          <w:lang w:val="pt-BR"/>
        </w:rPr>
      </w:pPr>
      <w:r w:rsidRPr="0038442F">
        <w:rPr>
          <w:rFonts w:ascii="Verdana" w:hAnsi="Verdana"/>
          <w:sz w:val="20"/>
          <w:szCs w:val="20"/>
          <w:lang w:val="pt-BR"/>
        </w:rPr>
        <w:t xml:space="preserve">113. </w:t>
      </w:r>
      <w:r w:rsidRPr="0038442F">
        <w:rPr>
          <w:rFonts w:ascii="Verdana" w:hAnsi="Verdana"/>
          <w:sz w:val="20"/>
          <w:szCs w:val="20"/>
          <w:lang w:val="pt-BR"/>
        </w:rPr>
        <w:tab/>
      </w:r>
      <w:r w:rsidR="005871F1" w:rsidRPr="0038442F">
        <w:rPr>
          <w:rFonts w:ascii="Verdana" w:hAnsi="Verdana"/>
          <w:sz w:val="20"/>
          <w:szCs w:val="20"/>
          <w:lang w:val="pt-BR"/>
        </w:rPr>
        <w:t xml:space="preserve">Ante </w:t>
      </w:r>
      <w:r w:rsidR="00014DA1" w:rsidRPr="0038442F">
        <w:rPr>
          <w:rFonts w:ascii="Verdana" w:hAnsi="Verdana"/>
          <w:sz w:val="20"/>
          <w:szCs w:val="20"/>
          <w:lang w:val="pt-BR"/>
        </w:rPr>
        <w:t xml:space="preserve">a falta </w:t>
      </w:r>
      <w:r w:rsidRPr="0038442F">
        <w:rPr>
          <w:rFonts w:ascii="Verdana" w:hAnsi="Verdana"/>
          <w:sz w:val="20"/>
          <w:szCs w:val="20"/>
          <w:lang w:val="pt-BR"/>
        </w:rPr>
        <w:t>de</w:t>
      </w:r>
      <w:r w:rsidR="00014DA1" w:rsidRPr="0038442F">
        <w:rPr>
          <w:rFonts w:ascii="Verdana" w:hAnsi="Verdana"/>
          <w:sz w:val="20"/>
          <w:szCs w:val="20"/>
          <w:lang w:val="pt-BR"/>
        </w:rPr>
        <w:t xml:space="preserve"> fiscaliza</w:t>
      </w:r>
      <w:r w:rsidR="000A1AA8" w:rsidRPr="0038442F">
        <w:rPr>
          <w:rFonts w:ascii="Verdana" w:hAnsi="Verdana"/>
          <w:sz w:val="20"/>
          <w:szCs w:val="20"/>
          <w:lang w:val="pt-BR"/>
        </w:rPr>
        <w:t>ção</w:t>
      </w:r>
      <w:r w:rsidR="00014DA1"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5871F1" w:rsidRPr="0038442F">
        <w:rPr>
          <w:rFonts w:ascii="Verdana" w:hAnsi="Verdana"/>
          <w:sz w:val="20"/>
          <w:szCs w:val="20"/>
          <w:lang w:val="pt-BR"/>
        </w:rPr>
        <w:t>condi</w:t>
      </w:r>
      <w:r w:rsidR="000A1AA8" w:rsidRPr="0038442F">
        <w:rPr>
          <w:rFonts w:ascii="Verdana" w:hAnsi="Verdana"/>
          <w:sz w:val="20"/>
          <w:szCs w:val="20"/>
          <w:lang w:val="pt-BR"/>
        </w:rPr>
        <w:t>ções</w:t>
      </w:r>
      <w:r w:rsidR="005871F1" w:rsidRPr="0038442F">
        <w:rPr>
          <w:rFonts w:ascii="Verdana" w:hAnsi="Verdana"/>
          <w:sz w:val="20"/>
          <w:szCs w:val="20"/>
          <w:lang w:val="pt-BR"/>
        </w:rPr>
        <w:t xml:space="preserve"> de higiene, </w:t>
      </w:r>
      <w:r w:rsidR="00751189" w:rsidRPr="0038442F">
        <w:rPr>
          <w:rFonts w:ascii="Verdana" w:hAnsi="Verdana"/>
          <w:sz w:val="20"/>
          <w:szCs w:val="20"/>
          <w:lang w:val="pt-BR"/>
        </w:rPr>
        <w:t>saúde</w:t>
      </w:r>
      <w:r w:rsidR="00407242" w:rsidRPr="0038442F">
        <w:rPr>
          <w:rFonts w:ascii="Verdana" w:hAnsi="Verdana"/>
          <w:sz w:val="20"/>
          <w:szCs w:val="20"/>
          <w:lang w:val="pt-BR"/>
        </w:rPr>
        <w:t xml:space="preserve"> </w:t>
      </w:r>
      <w:r w:rsidR="008F463C" w:rsidRPr="0038442F">
        <w:rPr>
          <w:rFonts w:ascii="Verdana" w:hAnsi="Verdana"/>
          <w:sz w:val="20"/>
          <w:szCs w:val="20"/>
          <w:lang w:val="pt-BR"/>
        </w:rPr>
        <w:t>e</w:t>
      </w:r>
      <w:r w:rsidR="005871F1" w:rsidRPr="0038442F">
        <w:rPr>
          <w:rFonts w:ascii="Verdana" w:hAnsi="Verdana"/>
          <w:sz w:val="20"/>
          <w:szCs w:val="20"/>
          <w:lang w:val="pt-BR"/>
        </w:rPr>
        <w:t xml:space="preserve"> </w:t>
      </w:r>
      <w:r w:rsidR="008806F8" w:rsidRPr="0038442F">
        <w:rPr>
          <w:rFonts w:ascii="Verdana" w:hAnsi="Verdana"/>
          <w:sz w:val="20"/>
          <w:szCs w:val="20"/>
          <w:lang w:val="pt-BR"/>
        </w:rPr>
        <w:t>segurança</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do trabalho </w:t>
      </w:r>
      <w:r w:rsidR="00BF7A10" w:rsidRPr="0038442F">
        <w:rPr>
          <w:rFonts w:ascii="Verdana" w:hAnsi="Verdana"/>
          <w:sz w:val="20"/>
          <w:szCs w:val="20"/>
          <w:lang w:val="pt-BR"/>
        </w:rPr>
        <w:t xml:space="preserve">na </w:t>
      </w:r>
      <w:r w:rsidR="005871F1" w:rsidRPr="0038442F">
        <w:rPr>
          <w:rFonts w:ascii="Verdana" w:hAnsi="Verdana"/>
          <w:sz w:val="20"/>
          <w:szCs w:val="20"/>
          <w:lang w:val="pt-BR"/>
        </w:rPr>
        <w:t>fabrica</w:t>
      </w:r>
      <w:r w:rsidR="000A1AA8" w:rsidRPr="0038442F">
        <w:rPr>
          <w:rFonts w:ascii="Verdana" w:hAnsi="Verdana"/>
          <w:sz w:val="20"/>
          <w:szCs w:val="20"/>
          <w:lang w:val="pt-BR"/>
        </w:rPr>
        <w:t>ção</w:t>
      </w:r>
      <w:r w:rsidR="005871F1" w:rsidRPr="0038442F">
        <w:rPr>
          <w:rFonts w:ascii="Verdana" w:hAnsi="Verdana"/>
          <w:sz w:val="20"/>
          <w:szCs w:val="20"/>
          <w:lang w:val="pt-BR"/>
        </w:rPr>
        <w:t xml:space="preserve"> de </w:t>
      </w:r>
      <w:r w:rsidR="00C92762" w:rsidRPr="0038442F">
        <w:rPr>
          <w:rFonts w:ascii="Verdana" w:hAnsi="Verdana"/>
          <w:sz w:val="20"/>
          <w:szCs w:val="20"/>
          <w:lang w:val="pt-BR"/>
        </w:rPr>
        <w:t>fogos de artifício</w:t>
      </w:r>
      <w:r w:rsidR="00407242" w:rsidRPr="0038442F">
        <w:rPr>
          <w:rFonts w:ascii="Verdana" w:hAnsi="Verdana"/>
          <w:sz w:val="20"/>
          <w:szCs w:val="20"/>
          <w:lang w:val="pt-BR"/>
        </w:rPr>
        <w:t xml:space="preserve"> </w:t>
      </w:r>
      <w:r w:rsidR="005871F1" w:rsidRPr="0038442F">
        <w:rPr>
          <w:rFonts w:ascii="Verdana" w:hAnsi="Verdana"/>
          <w:sz w:val="20"/>
          <w:szCs w:val="20"/>
          <w:lang w:val="pt-BR"/>
        </w:rPr>
        <w:t xml:space="preserve">para, especialmente, evitar </w:t>
      </w:r>
      <w:r w:rsidR="003B374E" w:rsidRPr="0038442F">
        <w:rPr>
          <w:rFonts w:ascii="Verdana" w:hAnsi="Verdana"/>
          <w:sz w:val="20"/>
          <w:szCs w:val="20"/>
          <w:lang w:val="pt-BR"/>
        </w:rPr>
        <w:t>acidentes</w:t>
      </w:r>
      <w:r w:rsidR="00407242" w:rsidRPr="0038442F">
        <w:rPr>
          <w:rFonts w:ascii="Verdana" w:hAnsi="Verdana"/>
          <w:sz w:val="20"/>
          <w:szCs w:val="20"/>
          <w:lang w:val="pt-BR"/>
        </w:rPr>
        <w:t xml:space="preserve"> </w:t>
      </w:r>
      <w:r w:rsidR="005871F1" w:rsidRPr="0038442F">
        <w:rPr>
          <w:rFonts w:ascii="Verdana" w:hAnsi="Verdana"/>
          <w:sz w:val="20"/>
          <w:szCs w:val="20"/>
          <w:lang w:val="pt-BR"/>
        </w:rPr>
        <w:t xml:space="preserve">de </w:t>
      </w:r>
      <w:r w:rsidR="00C92762" w:rsidRPr="0038442F">
        <w:rPr>
          <w:rFonts w:ascii="Verdana" w:hAnsi="Verdana"/>
          <w:sz w:val="20"/>
          <w:szCs w:val="20"/>
          <w:lang w:val="pt-BR"/>
        </w:rPr>
        <w:t xml:space="preserve">trabalho </w:t>
      </w:r>
      <w:r w:rsidR="00014DA1" w:rsidRPr="0038442F">
        <w:rPr>
          <w:rFonts w:ascii="Verdana" w:hAnsi="Verdana"/>
          <w:sz w:val="20"/>
          <w:szCs w:val="20"/>
          <w:lang w:val="pt-BR"/>
        </w:rPr>
        <w:t>(</w:t>
      </w:r>
      <w:r w:rsidR="008F463C" w:rsidRPr="0038442F">
        <w:rPr>
          <w:rFonts w:ascii="Verdana" w:hAnsi="Verdana"/>
          <w:sz w:val="20"/>
          <w:szCs w:val="20"/>
          <w:lang w:val="pt-BR"/>
        </w:rPr>
        <w:t xml:space="preserve">em que pese a </w:t>
      </w:r>
      <w:r w:rsidR="00616DF9" w:rsidRPr="00B546D2">
        <w:rPr>
          <w:rFonts w:ascii="Verdana" w:hAnsi="Verdana"/>
          <w:sz w:val="20"/>
          <w:szCs w:val="20"/>
          <w:lang w:val="pt-BR"/>
        </w:rPr>
        <w:t>exigência</w:t>
      </w:r>
      <w:r w:rsidR="00407242" w:rsidRPr="0038442F">
        <w:rPr>
          <w:rFonts w:ascii="Verdana" w:hAnsi="Verdana"/>
          <w:sz w:val="20"/>
          <w:szCs w:val="20"/>
          <w:lang w:val="pt-BR"/>
        </w:rPr>
        <w:t xml:space="preserve"> </w:t>
      </w:r>
      <w:r w:rsidR="00014DA1" w:rsidRPr="0038442F">
        <w:rPr>
          <w:rFonts w:ascii="Verdana" w:hAnsi="Verdana"/>
          <w:sz w:val="20"/>
          <w:szCs w:val="20"/>
          <w:lang w:val="pt-BR"/>
        </w:rPr>
        <w:t xml:space="preserve">legal de realizar </w:t>
      </w:r>
      <w:r w:rsidR="008F463C" w:rsidRPr="0038442F">
        <w:rPr>
          <w:rFonts w:ascii="Verdana" w:hAnsi="Verdana"/>
          <w:sz w:val="20"/>
          <w:szCs w:val="20"/>
          <w:lang w:val="pt-BR"/>
        </w:rPr>
        <w:t xml:space="preserve">essa </w:t>
      </w:r>
      <w:r w:rsidR="00014DA1" w:rsidRPr="0038442F">
        <w:rPr>
          <w:rFonts w:ascii="Verdana" w:hAnsi="Verdana"/>
          <w:sz w:val="20"/>
          <w:szCs w:val="20"/>
          <w:lang w:val="pt-BR"/>
        </w:rPr>
        <w:t>a</w:t>
      </w:r>
      <w:r w:rsidR="000A1AA8" w:rsidRPr="0038442F">
        <w:rPr>
          <w:rFonts w:ascii="Verdana" w:hAnsi="Verdana"/>
          <w:sz w:val="20"/>
          <w:szCs w:val="20"/>
          <w:lang w:val="pt-BR"/>
        </w:rPr>
        <w:t>ção</w:t>
      </w:r>
      <w:r w:rsidR="00014DA1" w:rsidRPr="0038442F">
        <w:rPr>
          <w:rFonts w:ascii="Verdana" w:hAnsi="Verdana"/>
          <w:sz w:val="20"/>
          <w:szCs w:val="20"/>
          <w:lang w:val="pt-BR"/>
        </w:rPr>
        <w:t>)</w:t>
      </w:r>
      <w:r w:rsidR="005871F1" w:rsidRPr="0038442F">
        <w:rPr>
          <w:rFonts w:ascii="Verdana" w:hAnsi="Verdana"/>
          <w:sz w:val="20"/>
          <w:szCs w:val="20"/>
          <w:lang w:val="pt-BR"/>
        </w:rPr>
        <w:t xml:space="preserve">, </w:t>
      </w:r>
      <w:r w:rsidR="000A1AA8" w:rsidRPr="0038442F">
        <w:rPr>
          <w:rFonts w:ascii="Verdana" w:hAnsi="Verdana"/>
          <w:sz w:val="20"/>
          <w:szCs w:val="20"/>
          <w:lang w:val="pt-BR"/>
        </w:rPr>
        <w:t xml:space="preserve">o Estado </w:t>
      </w:r>
      <w:r w:rsidR="005135E5" w:rsidRPr="0038442F">
        <w:rPr>
          <w:rFonts w:ascii="Verdana" w:hAnsi="Verdana"/>
          <w:sz w:val="20"/>
          <w:szCs w:val="20"/>
          <w:lang w:val="pt-BR"/>
        </w:rPr>
        <w:t xml:space="preserve">não só </w:t>
      </w:r>
      <w:r w:rsidR="008F463C" w:rsidRPr="0038442F">
        <w:rPr>
          <w:rFonts w:ascii="Verdana" w:hAnsi="Verdana"/>
          <w:sz w:val="20"/>
          <w:szCs w:val="20"/>
          <w:lang w:val="pt-BR"/>
        </w:rPr>
        <w:t xml:space="preserve">deixou </w:t>
      </w:r>
      <w:r w:rsidR="00014DA1" w:rsidRPr="0038442F">
        <w:rPr>
          <w:rFonts w:ascii="Verdana" w:hAnsi="Verdana"/>
          <w:sz w:val="20"/>
          <w:szCs w:val="20"/>
          <w:lang w:val="pt-BR"/>
        </w:rPr>
        <w:t xml:space="preserve">de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014DA1" w:rsidRPr="0038442F">
        <w:rPr>
          <w:rFonts w:ascii="Verdana" w:hAnsi="Verdana"/>
          <w:sz w:val="20"/>
          <w:szCs w:val="20"/>
          <w:lang w:val="pt-BR"/>
        </w:rPr>
        <w:t>a condi</w:t>
      </w:r>
      <w:r w:rsidR="000A1AA8" w:rsidRPr="0038442F">
        <w:rPr>
          <w:rFonts w:ascii="Verdana" w:hAnsi="Verdana"/>
          <w:sz w:val="20"/>
          <w:szCs w:val="20"/>
          <w:lang w:val="pt-BR"/>
        </w:rPr>
        <w:t>ções</w:t>
      </w:r>
      <w:r w:rsidR="00014DA1" w:rsidRPr="0038442F">
        <w:rPr>
          <w:rFonts w:ascii="Verdana" w:hAnsi="Verdana"/>
          <w:sz w:val="20"/>
          <w:szCs w:val="20"/>
          <w:lang w:val="pt-BR"/>
        </w:rPr>
        <w:t xml:space="preserve"> equitativas </w:t>
      </w:r>
      <w:r w:rsidR="008F463C" w:rsidRPr="0038442F">
        <w:rPr>
          <w:rFonts w:ascii="Verdana" w:hAnsi="Verdana"/>
          <w:sz w:val="20"/>
          <w:szCs w:val="20"/>
          <w:lang w:val="pt-BR"/>
        </w:rPr>
        <w:t>e</w:t>
      </w:r>
      <w:r w:rsidR="00014DA1" w:rsidRPr="0038442F">
        <w:rPr>
          <w:rFonts w:ascii="Verdana" w:hAnsi="Verdana"/>
          <w:sz w:val="20"/>
          <w:szCs w:val="20"/>
          <w:lang w:val="pt-BR"/>
        </w:rPr>
        <w:t xml:space="preserve"> </w:t>
      </w:r>
      <w:r w:rsidR="00751189" w:rsidRPr="0038442F">
        <w:rPr>
          <w:rFonts w:ascii="Verdana" w:hAnsi="Verdana"/>
          <w:sz w:val="20"/>
          <w:szCs w:val="20"/>
          <w:lang w:val="pt-BR"/>
        </w:rPr>
        <w:t>satisfatórias</w:t>
      </w:r>
      <w:r w:rsidR="00407242" w:rsidRPr="0038442F">
        <w:rPr>
          <w:rFonts w:ascii="Verdana" w:hAnsi="Verdana"/>
          <w:sz w:val="20"/>
          <w:szCs w:val="20"/>
          <w:lang w:val="pt-BR"/>
        </w:rPr>
        <w:t xml:space="preserve"> </w:t>
      </w:r>
      <w:r w:rsidR="00014DA1" w:rsidRPr="0038442F">
        <w:rPr>
          <w:rFonts w:ascii="Verdana" w:hAnsi="Verdana"/>
          <w:sz w:val="20"/>
          <w:szCs w:val="20"/>
          <w:lang w:val="pt-BR"/>
        </w:rPr>
        <w:t xml:space="preserve">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8F463C" w:rsidRPr="0038442F">
        <w:rPr>
          <w:rFonts w:ascii="Verdana" w:hAnsi="Verdana"/>
          <w:sz w:val="20"/>
          <w:szCs w:val="20"/>
          <w:lang w:val="pt-BR"/>
        </w:rPr>
        <w:t xml:space="preserve">supostas </w:t>
      </w:r>
      <w:r w:rsidR="00C92762" w:rsidRPr="0038442F">
        <w:rPr>
          <w:rFonts w:ascii="Verdana" w:hAnsi="Verdana"/>
          <w:sz w:val="20"/>
          <w:szCs w:val="20"/>
          <w:lang w:val="pt-BR"/>
        </w:rPr>
        <w:t>vítimas</w:t>
      </w:r>
      <w:r w:rsidR="00014DA1" w:rsidRPr="0038442F">
        <w:rPr>
          <w:rFonts w:ascii="Verdana" w:hAnsi="Verdana"/>
          <w:sz w:val="20"/>
          <w:szCs w:val="20"/>
          <w:lang w:val="pt-BR"/>
        </w:rPr>
        <w:t xml:space="preserve">, </w:t>
      </w:r>
      <w:r w:rsidR="008F463C" w:rsidRPr="0038442F">
        <w:rPr>
          <w:rFonts w:ascii="Verdana" w:hAnsi="Verdana"/>
          <w:sz w:val="20"/>
          <w:szCs w:val="20"/>
          <w:lang w:val="pt-BR"/>
        </w:rPr>
        <w:t xml:space="preserve">mas </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contribuiu </w:t>
      </w:r>
      <w:r w:rsidR="00014DA1" w:rsidRPr="0038442F">
        <w:rPr>
          <w:rFonts w:ascii="Verdana" w:hAnsi="Verdana"/>
          <w:sz w:val="20"/>
          <w:szCs w:val="20"/>
          <w:lang w:val="pt-BR"/>
        </w:rPr>
        <w:t>para agravar as condi</w:t>
      </w:r>
      <w:r w:rsidR="000A1AA8" w:rsidRPr="0038442F">
        <w:rPr>
          <w:rFonts w:ascii="Verdana" w:hAnsi="Verdana"/>
          <w:sz w:val="20"/>
          <w:szCs w:val="20"/>
          <w:lang w:val="pt-BR"/>
        </w:rPr>
        <w:t>ções</w:t>
      </w:r>
      <w:r w:rsidR="00014DA1" w:rsidRPr="0038442F">
        <w:rPr>
          <w:rFonts w:ascii="Verdana" w:hAnsi="Verdana"/>
          <w:sz w:val="20"/>
          <w:szCs w:val="20"/>
          <w:lang w:val="pt-BR"/>
        </w:rPr>
        <w:t xml:space="preserve"> de discrimina</w:t>
      </w:r>
      <w:r w:rsidR="000A1AA8" w:rsidRPr="0038442F">
        <w:rPr>
          <w:rFonts w:ascii="Verdana" w:hAnsi="Verdana"/>
          <w:sz w:val="20"/>
          <w:szCs w:val="20"/>
          <w:lang w:val="pt-BR"/>
        </w:rPr>
        <w:t>ção</w:t>
      </w:r>
      <w:r w:rsidR="00014DA1" w:rsidRPr="0038442F">
        <w:rPr>
          <w:rFonts w:ascii="Verdana" w:hAnsi="Verdana"/>
          <w:sz w:val="20"/>
          <w:szCs w:val="20"/>
          <w:lang w:val="pt-BR"/>
        </w:rPr>
        <w:t xml:space="preserve"> </w:t>
      </w:r>
      <w:r w:rsidR="006445EE" w:rsidRPr="0038442F">
        <w:rPr>
          <w:rFonts w:ascii="Verdana" w:hAnsi="Verdana"/>
          <w:sz w:val="20"/>
          <w:szCs w:val="20"/>
          <w:lang w:val="pt-BR"/>
        </w:rPr>
        <w:t>estrutural</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em </w:t>
      </w:r>
      <w:r w:rsidR="00014DA1" w:rsidRPr="0038442F">
        <w:rPr>
          <w:rFonts w:ascii="Verdana" w:hAnsi="Verdana"/>
          <w:sz w:val="20"/>
          <w:szCs w:val="20"/>
          <w:lang w:val="pt-BR"/>
        </w:rPr>
        <w:t xml:space="preserve">que se </w:t>
      </w:r>
      <w:r w:rsidR="00BF7A10" w:rsidRPr="0038442F">
        <w:rPr>
          <w:rFonts w:ascii="Verdana" w:hAnsi="Verdana"/>
          <w:sz w:val="20"/>
          <w:szCs w:val="20"/>
          <w:lang w:val="pt-BR"/>
        </w:rPr>
        <w:t>encontravam</w:t>
      </w:r>
      <w:r w:rsidR="00014DA1" w:rsidRPr="0038442F">
        <w:rPr>
          <w:rFonts w:ascii="Verdana" w:hAnsi="Verdana"/>
          <w:sz w:val="20"/>
          <w:szCs w:val="20"/>
          <w:lang w:val="pt-BR"/>
        </w:rPr>
        <w:t xml:space="preserve">. </w:t>
      </w:r>
      <w:r w:rsidR="00921AF6" w:rsidRPr="0038442F">
        <w:rPr>
          <w:rFonts w:ascii="Verdana" w:hAnsi="Verdana"/>
          <w:sz w:val="20"/>
          <w:szCs w:val="20"/>
          <w:lang w:val="pt-BR"/>
        </w:rPr>
        <w:t>Some-se a isso, p</w:t>
      </w:r>
      <w:r w:rsidR="00014DA1" w:rsidRPr="0038442F">
        <w:rPr>
          <w:rFonts w:ascii="Verdana" w:hAnsi="Verdana"/>
          <w:sz w:val="20"/>
          <w:szCs w:val="20"/>
          <w:lang w:val="pt-BR"/>
        </w:rPr>
        <w:t xml:space="preserve">or </w:t>
      </w:r>
      <w:r w:rsidR="00984A83" w:rsidRPr="0038442F">
        <w:rPr>
          <w:rFonts w:ascii="Verdana" w:hAnsi="Verdana"/>
          <w:sz w:val="20"/>
          <w:szCs w:val="20"/>
          <w:lang w:val="pt-BR"/>
        </w:rPr>
        <w:t>outro</w:t>
      </w:r>
      <w:r w:rsidR="00407242" w:rsidRPr="0038442F">
        <w:rPr>
          <w:rFonts w:ascii="Verdana" w:hAnsi="Verdana"/>
          <w:sz w:val="20"/>
          <w:szCs w:val="20"/>
          <w:lang w:val="pt-BR"/>
        </w:rPr>
        <w:t xml:space="preserve"> </w:t>
      </w:r>
      <w:r w:rsidR="00014DA1" w:rsidRPr="0038442F">
        <w:rPr>
          <w:rFonts w:ascii="Verdana" w:hAnsi="Verdana"/>
          <w:sz w:val="20"/>
          <w:szCs w:val="20"/>
          <w:lang w:val="pt-BR"/>
        </w:rPr>
        <w:t>lado, a aus</w:t>
      </w:r>
      <w:r w:rsidR="008F463C" w:rsidRPr="0038442F">
        <w:rPr>
          <w:rFonts w:ascii="Verdana" w:hAnsi="Verdana"/>
          <w:sz w:val="20"/>
          <w:szCs w:val="20"/>
          <w:lang w:val="pt-BR"/>
        </w:rPr>
        <w:t>ê</w:t>
      </w:r>
      <w:r w:rsidR="00014DA1" w:rsidRPr="0038442F">
        <w:rPr>
          <w:rFonts w:ascii="Verdana" w:hAnsi="Verdana"/>
          <w:sz w:val="20"/>
          <w:szCs w:val="20"/>
          <w:lang w:val="pt-BR"/>
        </w:rPr>
        <w:t xml:space="preserve">ncia de </w:t>
      </w:r>
      <w:r w:rsidR="00826F7D" w:rsidRPr="0038442F">
        <w:rPr>
          <w:rFonts w:ascii="Verdana" w:hAnsi="Verdana"/>
          <w:sz w:val="20"/>
          <w:szCs w:val="20"/>
          <w:lang w:val="pt-BR"/>
        </w:rPr>
        <w:t>adoção</w:t>
      </w:r>
      <w:r w:rsidR="00407242" w:rsidRPr="0038442F">
        <w:rPr>
          <w:rFonts w:ascii="Verdana" w:hAnsi="Verdana"/>
          <w:sz w:val="20"/>
          <w:szCs w:val="20"/>
          <w:lang w:val="pt-BR"/>
        </w:rPr>
        <w:t xml:space="preserve"> </w:t>
      </w:r>
      <w:r w:rsidR="00014DA1" w:rsidRPr="0038442F">
        <w:rPr>
          <w:rFonts w:ascii="Verdana" w:hAnsi="Verdana"/>
          <w:sz w:val="20"/>
          <w:szCs w:val="20"/>
          <w:lang w:val="pt-BR"/>
        </w:rPr>
        <w:t xml:space="preserve">de medidas que </w:t>
      </w:r>
      <w:r w:rsidR="008F463C" w:rsidRPr="0038442F">
        <w:rPr>
          <w:rFonts w:ascii="Verdana" w:hAnsi="Verdana"/>
          <w:sz w:val="20"/>
          <w:szCs w:val="20"/>
          <w:lang w:val="pt-BR"/>
        </w:rPr>
        <w:t xml:space="preserve">tivessem </w:t>
      </w:r>
      <w:r w:rsidR="00014DA1" w:rsidRPr="0038442F">
        <w:rPr>
          <w:rFonts w:ascii="Verdana" w:hAnsi="Verdana"/>
          <w:sz w:val="20"/>
          <w:szCs w:val="20"/>
          <w:lang w:val="pt-BR"/>
        </w:rPr>
        <w:t>permitido d</w:t>
      </w:r>
      <w:r w:rsidR="008F463C" w:rsidRPr="0038442F">
        <w:rPr>
          <w:rFonts w:ascii="Verdana" w:hAnsi="Verdana"/>
          <w:sz w:val="20"/>
          <w:szCs w:val="20"/>
          <w:lang w:val="pt-BR"/>
        </w:rPr>
        <w:t>e</w:t>
      </w:r>
      <w:r w:rsidR="00014DA1" w:rsidRPr="0038442F">
        <w:rPr>
          <w:rFonts w:ascii="Verdana" w:hAnsi="Verdana"/>
          <w:sz w:val="20"/>
          <w:szCs w:val="20"/>
          <w:lang w:val="pt-BR"/>
        </w:rPr>
        <w:t xml:space="preserve">sfrutar </w:t>
      </w:r>
      <w:r w:rsidR="00716963" w:rsidRPr="0038442F">
        <w:rPr>
          <w:rFonts w:ascii="Verdana" w:hAnsi="Verdana"/>
          <w:sz w:val="20"/>
          <w:szCs w:val="20"/>
          <w:lang w:val="pt-BR"/>
        </w:rPr>
        <w:t>d</w:t>
      </w:r>
      <w:r w:rsidR="008F463C" w:rsidRPr="0038442F">
        <w:rPr>
          <w:rFonts w:ascii="Verdana" w:hAnsi="Verdana"/>
          <w:sz w:val="20"/>
          <w:szCs w:val="20"/>
          <w:lang w:val="pt-BR"/>
        </w:rPr>
        <w:t xml:space="preserve">o </w:t>
      </w:r>
      <w:r w:rsidR="00014DA1" w:rsidRPr="0038442F">
        <w:rPr>
          <w:rFonts w:ascii="Verdana" w:hAnsi="Verdana"/>
          <w:sz w:val="20"/>
          <w:szCs w:val="20"/>
          <w:lang w:val="pt-BR"/>
        </w:rPr>
        <w:t>verdade</w:t>
      </w:r>
      <w:r w:rsidR="008F463C" w:rsidRPr="0038442F">
        <w:rPr>
          <w:rFonts w:ascii="Verdana" w:hAnsi="Verdana"/>
          <w:sz w:val="20"/>
          <w:szCs w:val="20"/>
          <w:lang w:val="pt-BR"/>
        </w:rPr>
        <w:t>i</w:t>
      </w:r>
      <w:r w:rsidR="00014DA1" w:rsidRPr="0038442F">
        <w:rPr>
          <w:rFonts w:ascii="Verdana" w:hAnsi="Verdana"/>
          <w:sz w:val="20"/>
          <w:szCs w:val="20"/>
          <w:lang w:val="pt-BR"/>
        </w:rPr>
        <w:t xml:space="preserve">ro </w:t>
      </w:r>
      <w:r w:rsidR="008F463C" w:rsidRPr="0038442F">
        <w:rPr>
          <w:rFonts w:ascii="Verdana" w:hAnsi="Verdana"/>
          <w:sz w:val="20"/>
          <w:szCs w:val="20"/>
          <w:lang w:val="pt-BR"/>
        </w:rPr>
        <w:t xml:space="preserve">conteúdo desse </w:t>
      </w:r>
      <w:r w:rsidR="00CA30C5" w:rsidRPr="0038442F">
        <w:rPr>
          <w:rFonts w:ascii="Verdana" w:hAnsi="Verdana"/>
          <w:sz w:val="20"/>
          <w:szCs w:val="20"/>
          <w:lang w:val="pt-BR"/>
        </w:rPr>
        <w:t>direito</w:t>
      </w:r>
      <w:r w:rsidR="00014DA1" w:rsidRPr="0038442F">
        <w:rPr>
          <w:rFonts w:ascii="Verdana" w:hAnsi="Verdana"/>
          <w:sz w:val="20"/>
          <w:szCs w:val="20"/>
          <w:lang w:val="pt-BR"/>
        </w:rPr>
        <w:t xml:space="preserve">, </w:t>
      </w:r>
      <w:r w:rsidR="00716963" w:rsidRPr="0038442F">
        <w:rPr>
          <w:rFonts w:ascii="Verdana" w:hAnsi="Verdana"/>
          <w:sz w:val="20"/>
          <w:szCs w:val="20"/>
          <w:lang w:val="pt-BR"/>
        </w:rPr>
        <w:t xml:space="preserve">qual seja, </w:t>
      </w:r>
      <w:r w:rsidR="00014DA1" w:rsidRPr="0038442F">
        <w:rPr>
          <w:rFonts w:ascii="Verdana" w:hAnsi="Verdana"/>
          <w:sz w:val="20"/>
          <w:szCs w:val="20"/>
          <w:lang w:val="pt-BR"/>
        </w:rPr>
        <w:t xml:space="preserve">incentivar </w:t>
      </w:r>
      <w:r w:rsidR="003B374E" w:rsidRPr="0038442F">
        <w:rPr>
          <w:rFonts w:ascii="Verdana" w:hAnsi="Verdana"/>
          <w:sz w:val="20"/>
          <w:szCs w:val="20"/>
          <w:lang w:val="pt-BR"/>
        </w:rPr>
        <w:t>o trabalho</w:t>
      </w:r>
      <w:r w:rsidR="00407242" w:rsidRPr="0038442F">
        <w:rPr>
          <w:rFonts w:ascii="Verdana" w:hAnsi="Verdana"/>
          <w:sz w:val="20"/>
          <w:szCs w:val="20"/>
          <w:lang w:val="pt-BR"/>
        </w:rPr>
        <w:t xml:space="preserve"> </w:t>
      </w:r>
      <w:r w:rsidR="00014DA1" w:rsidRPr="0038442F">
        <w:rPr>
          <w:rFonts w:ascii="Verdana" w:hAnsi="Verdana"/>
          <w:sz w:val="20"/>
          <w:szCs w:val="20"/>
          <w:lang w:val="pt-BR"/>
        </w:rPr>
        <w:t xml:space="preserve">formal </w:t>
      </w:r>
      <w:r w:rsidR="00BF7A10" w:rsidRPr="0038442F">
        <w:rPr>
          <w:rFonts w:ascii="Verdana" w:hAnsi="Verdana"/>
          <w:sz w:val="20"/>
          <w:szCs w:val="20"/>
          <w:lang w:val="pt-BR"/>
        </w:rPr>
        <w:t xml:space="preserve">na </w:t>
      </w:r>
      <w:r w:rsidR="008F463C" w:rsidRPr="0038442F">
        <w:rPr>
          <w:rFonts w:ascii="Verdana" w:hAnsi="Verdana"/>
          <w:sz w:val="20"/>
          <w:szCs w:val="20"/>
          <w:lang w:val="pt-BR"/>
        </w:rPr>
        <w:t>área.</w:t>
      </w:r>
      <w:r w:rsidR="00014DA1" w:rsidRPr="0038442F">
        <w:rPr>
          <w:rStyle w:val="Refdenotaalpie"/>
          <w:rFonts w:ascii="Verdana" w:hAnsi="Verdana"/>
          <w:sz w:val="20"/>
          <w:szCs w:val="20"/>
          <w:lang w:val="pt-BR"/>
        </w:rPr>
        <w:footnoteReference w:id="171"/>
      </w:r>
      <w:r w:rsidR="00014DA1" w:rsidRPr="0038442F">
        <w:rPr>
          <w:rFonts w:ascii="Verdana" w:hAnsi="Verdana"/>
          <w:sz w:val="20"/>
          <w:szCs w:val="20"/>
          <w:lang w:val="pt-BR"/>
        </w:rPr>
        <w:t xml:space="preserve"> </w:t>
      </w:r>
    </w:p>
    <w:p w14:paraId="76C314AC" w14:textId="77777777" w:rsidR="00014DA1" w:rsidRPr="0038442F" w:rsidRDefault="00014DA1" w:rsidP="00A857CB">
      <w:pPr>
        <w:rPr>
          <w:rFonts w:ascii="Verdana" w:hAnsi="Verdana"/>
          <w:sz w:val="20"/>
          <w:szCs w:val="20"/>
          <w:lang w:val="pt-BR"/>
        </w:rPr>
      </w:pPr>
    </w:p>
    <w:p w14:paraId="34FCF376" w14:textId="104A588D" w:rsidR="00425198" w:rsidRPr="0038442F" w:rsidRDefault="00160AA7" w:rsidP="00160AA7">
      <w:pPr>
        <w:jc w:val="both"/>
        <w:rPr>
          <w:rFonts w:ascii="Verdana" w:hAnsi="Verdana"/>
          <w:sz w:val="20"/>
          <w:szCs w:val="20"/>
          <w:lang w:val="pt-BR"/>
        </w:rPr>
      </w:pPr>
      <w:r w:rsidRPr="0038442F">
        <w:rPr>
          <w:rFonts w:ascii="Verdana" w:hAnsi="Verdana"/>
          <w:sz w:val="20"/>
          <w:szCs w:val="20"/>
          <w:lang w:val="pt-BR"/>
        </w:rPr>
        <w:t xml:space="preserve">114. </w:t>
      </w:r>
      <w:r w:rsidRPr="0038442F">
        <w:rPr>
          <w:rFonts w:ascii="Verdana" w:hAnsi="Verdana"/>
          <w:sz w:val="20"/>
          <w:szCs w:val="20"/>
          <w:lang w:val="pt-BR"/>
        </w:rPr>
        <w:tab/>
      </w:r>
      <w:r w:rsidR="00D66104" w:rsidRPr="0038442F">
        <w:rPr>
          <w:rFonts w:ascii="Verdana" w:hAnsi="Verdana"/>
          <w:sz w:val="20"/>
          <w:szCs w:val="20"/>
          <w:lang w:val="pt-BR"/>
        </w:rPr>
        <w:t>E</w:t>
      </w:r>
      <w:r w:rsidR="008F463C" w:rsidRPr="0038442F">
        <w:rPr>
          <w:rFonts w:ascii="Verdana" w:hAnsi="Verdana"/>
          <w:sz w:val="20"/>
          <w:szCs w:val="20"/>
          <w:lang w:val="pt-BR"/>
        </w:rPr>
        <w:t xml:space="preserve">m conclusão, a </w:t>
      </w:r>
      <w:r w:rsidR="00BF7A10" w:rsidRPr="0038442F">
        <w:rPr>
          <w:rFonts w:ascii="Verdana" w:hAnsi="Verdana"/>
          <w:sz w:val="20"/>
          <w:szCs w:val="20"/>
          <w:lang w:val="pt-BR"/>
        </w:rPr>
        <w:t>sentença</w:t>
      </w:r>
      <w:r w:rsidR="00407242" w:rsidRPr="0038442F">
        <w:rPr>
          <w:rFonts w:ascii="Verdana" w:hAnsi="Verdana"/>
          <w:sz w:val="20"/>
          <w:szCs w:val="20"/>
          <w:lang w:val="pt-BR"/>
        </w:rPr>
        <w:t xml:space="preserve"> </w:t>
      </w:r>
      <w:r w:rsidR="00826AB8" w:rsidRPr="0038442F">
        <w:rPr>
          <w:rFonts w:ascii="Verdana" w:hAnsi="Verdana"/>
          <w:sz w:val="20"/>
          <w:szCs w:val="20"/>
          <w:lang w:val="pt-BR"/>
        </w:rPr>
        <w:t>considera</w:t>
      </w:r>
      <w:r w:rsidR="00F83D8F" w:rsidRPr="0038442F">
        <w:rPr>
          <w:rFonts w:ascii="Verdana" w:hAnsi="Verdana"/>
          <w:sz w:val="20"/>
          <w:szCs w:val="20"/>
          <w:lang w:val="pt-BR"/>
        </w:rPr>
        <w:t xml:space="preserve"> que, </w:t>
      </w:r>
      <w:r w:rsidR="008F463C" w:rsidRPr="0038442F">
        <w:rPr>
          <w:rFonts w:ascii="Verdana" w:hAnsi="Verdana"/>
          <w:sz w:val="20"/>
          <w:szCs w:val="20"/>
          <w:lang w:val="pt-BR"/>
        </w:rPr>
        <w:t xml:space="preserve">em </w:t>
      </w:r>
      <w:r w:rsidR="00F83D8F" w:rsidRPr="0038442F">
        <w:rPr>
          <w:rFonts w:ascii="Verdana" w:hAnsi="Verdana"/>
          <w:sz w:val="20"/>
          <w:szCs w:val="20"/>
          <w:lang w:val="pt-BR"/>
        </w:rPr>
        <w:t xml:space="preserve">determinados contextos, </w:t>
      </w:r>
      <w:r w:rsidR="003B374E" w:rsidRPr="0038442F">
        <w:rPr>
          <w:rFonts w:ascii="Verdana" w:hAnsi="Verdana"/>
          <w:sz w:val="20"/>
          <w:szCs w:val="20"/>
          <w:lang w:val="pt-BR"/>
        </w:rPr>
        <w:t xml:space="preserve">o artigo </w:t>
      </w:r>
      <w:r w:rsidR="00F83D8F" w:rsidRPr="0038442F">
        <w:rPr>
          <w:rFonts w:ascii="Verdana" w:hAnsi="Verdana"/>
          <w:sz w:val="20"/>
          <w:szCs w:val="20"/>
          <w:lang w:val="pt-BR"/>
        </w:rPr>
        <w:t xml:space="preserve">1.1 </w:t>
      </w:r>
      <w:r w:rsidR="008F463C" w:rsidRPr="0038442F">
        <w:rPr>
          <w:rFonts w:ascii="Verdana" w:hAnsi="Verdana"/>
          <w:sz w:val="20"/>
          <w:szCs w:val="20"/>
          <w:lang w:val="pt-BR"/>
        </w:rPr>
        <w:t>e</w:t>
      </w:r>
      <w:r w:rsidR="00F83D8F" w:rsidRPr="0038442F">
        <w:rPr>
          <w:rFonts w:ascii="Verdana" w:hAnsi="Verdana"/>
          <w:sz w:val="20"/>
          <w:szCs w:val="20"/>
          <w:lang w:val="pt-BR"/>
        </w:rPr>
        <w:t xml:space="preserve"> </w:t>
      </w:r>
      <w:r w:rsidR="003B374E" w:rsidRPr="0038442F">
        <w:rPr>
          <w:rFonts w:ascii="Verdana" w:hAnsi="Verdana"/>
          <w:sz w:val="20"/>
          <w:szCs w:val="20"/>
          <w:lang w:val="pt-BR"/>
        </w:rPr>
        <w:t xml:space="preserve">o artigo </w:t>
      </w:r>
      <w:r w:rsidR="00F83D8F" w:rsidRPr="0038442F">
        <w:rPr>
          <w:rFonts w:ascii="Verdana" w:hAnsi="Verdana"/>
          <w:sz w:val="20"/>
          <w:szCs w:val="20"/>
          <w:lang w:val="pt-BR"/>
        </w:rPr>
        <w:t xml:space="preserve">24 </w:t>
      </w:r>
      <w:r w:rsidR="00C92762" w:rsidRPr="0038442F">
        <w:rPr>
          <w:rFonts w:ascii="Verdana" w:hAnsi="Verdana"/>
          <w:sz w:val="20"/>
          <w:szCs w:val="20"/>
          <w:lang w:val="pt-BR"/>
        </w:rPr>
        <w:t xml:space="preserve">da </w:t>
      </w:r>
      <w:r w:rsidR="00F83D8F" w:rsidRPr="0038442F">
        <w:rPr>
          <w:rFonts w:ascii="Verdana" w:hAnsi="Verdana"/>
          <w:sz w:val="20"/>
          <w:szCs w:val="20"/>
          <w:lang w:val="pt-BR"/>
        </w:rPr>
        <w:t>Conven</w:t>
      </w:r>
      <w:r w:rsidR="000A1AA8" w:rsidRPr="0038442F">
        <w:rPr>
          <w:rFonts w:ascii="Verdana" w:hAnsi="Verdana"/>
          <w:sz w:val="20"/>
          <w:szCs w:val="20"/>
          <w:lang w:val="pt-BR"/>
        </w:rPr>
        <w:t>ção</w:t>
      </w:r>
      <w:r w:rsidR="00F83D8F" w:rsidRPr="0038442F">
        <w:rPr>
          <w:rFonts w:ascii="Verdana" w:hAnsi="Verdana"/>
          <w:sz w:val="20"/>
          <w:szCs w:val="20"/>
          <w:lang w:val="pt-BR"/>
        </w:rPr>
        <w:t xml:space="preserve"> Americana </w:t>
      </w:r>
      <w:r w:rsidR="000450DD" w:rsidRPr="0038442F">
        <w:rPr>
          <w:rFonts w:ascii="Verdana" w:hAnsi="Verdana"/>
          <w:sz w:val="20"/>
          <w:szCs w:val="20"/>
          <w:lang w:val="pt-BR"/>
        </w:rPr>
        <w:t>podem</w:t>
      </w:r>
      <w:r w:rsidR="00407242" w:rsidRPr="0038442F">
        <w:rPr>
          <w:rFonts w:ascii="Verdana" w:hAnsi="Verdana"/>
          <w:sz w:val="20"/>
          <w:szCs w:val="20"/>
          <w:lang w:val="pt-BR"/>
        </w:rPr>
        <w:t xml:space="preserve"> </w:t>
      </w:r>
      <w:r w:rsidR="00F83D8F" w:rsidRPr="0038442F">
        <w:rPr>
          <w:rFonts w:ascii="Verdana" w:hAnsi="Verdana"/>
          <w:sz w:val="20"/>
          <w:szCs w:val="20"/>
          <w:lang w:val="pt-BR"/>
        </w:rPr>
        <w:t xml:space="preserve">ser </w:t>
      </w:r>
      <w:r w:rsidR="008F463C" w:rsidRPr="0038442F">
        <w:rPr>
          <w:rFonts w:ascii="Verdana" w:hAnsi="Verdana"/>
          <w:sz w:val="20"/>
          <w:szCs w:val="20"/>
          <w:lang w:val="pt-BR"/>
        </w:rPr>
        <w:t xml:space="preserve">violados pelos </w:t>
      </w:r>
      <w:r w:rsidR="005135E5" w:rsidRPr="0038442F">
        <w:rPr>
          <w:rFonts w:ascii="Verdana" w:hAnsi="Verdana"/>
          <w:sz w:val="20"/>
          <w:szCs w:val="20"/>
          <w:lang w:val="pt-BR"/>
        </w:rPr>
        <w:t>Estados</w:t>
      </w:r>
      <w:r w:rsidR="00921AF6" w:rsidRPr="0038442F">
        <w:rPr>
          <w:rFonts w:ascii="Verdana" w:hAnsi="Verdana"/>
          <w:sz w:val="20"/>
          <w:szCs w:val="20"/>
          <w:lang w:val="pt-BR"/>
        </w:rPr>
        <w:t>,</w:t>
      </w:r>
      <w:r w:rsidR="005135E5" w:rsidRPr="0038442F">
        <w:rPr>
          <w:rFonts w:ascii="Verdana" w:hAnsi="Verdana"/>
          <w:sz w:val="20"/>
          <w:szCs w:val="20"/>
          <w:lang w:val="pt-BR"/>
        </w:rPr>
        <w:t xml:space="preserve"> </w:t>
      </w:r>
      <w:r w:rsidR="008F463C" w:rsidRPr="0038442F">
        <w:rPr>
          <w:rFonts w:ascii="Verdana" w:hAnsi="Verdana"/>
          <w:sz w:val="20"/>
          <w:szCs w:val="20"/>
          <w:lang w:val="pt-BR"/>
        </w:rPr>
        <w:t>q</w:t>
      </w:r>
      <w:r w:rsidR="00F83D8F" w:rsidRPr="0038442F">
        <w:rPr>
          <w:rFonts w:ascii="Verdana" w:hAnsi="Verdana"/>
          <w:sz w:val="20"/>
          <w:szCs w:val="20"/>
          <w:lang w:val="pt-BR"/>
        </w:rPr>
        <w:t xml:space="preserve">uando se </w:t>
      </w:r>
      <w:r w:rsidR="008F463C" w:rsidRPr="0038442F">
        <w:rPr>
          <w:rFonts w:ascii="Verdana" w:hAnsi="Verdana"/>
          <w:sz w:val="20"/>
          <w:szCs w:val="20"/>
          <w:lang w:val="pt-BR"/>
        </w:rPr>
        <w:t xml:space="preserve">demonstra </w:t>
      </w:r>
      <w:r w:rsidR="00F83D8F" w:rsidRPr="0038442F">
        <w:rPr>
          <w:rFonts w:ascii="Verdana" w:hAnsi="Verdana"/>
          <w:sz w:val="20"/>
          <w:szCs w:val="20"/>
          <w:lang w:val="pt-BR"/>
        </w:rPr>
        <w:t>que</w:t>
      </w:r>
      <w:r w:rsidR="005871F1" w:rsidRPr="0038442F">
        <w:rPr>
          <w:rFonts w:ascii="Verdana" w:hAnsi="Verdana"/>
          <w:sz w:val="20"/>
          <w:szCs w:val="20"/>
          <w:lang w:val="pt-BR"/>
        </w:rPr>
        <w:t>, por u</w:t>
      </w:r>
      <w:r w:rsidR="008F463C" w:rsidRPr="0038442F">
        <w:rPr>
          <w:rFonts w:ascii="Verdana" w:hAnsi="Verdana"/>
          <w:sz w:val="20"/>
          <w:szCs w:val="20"/>
          <w:lang w:val="pt-BR"/>
        </w:rPr>
        <w:t>m</w:t>
      </w:r>
      <w:r w:rsidR="005871F1" w:rsidRPr="0038442F">
        <w:rPr>
          <w:rFonts w:ascii="Verdana" w:hAnsi="Verdana"/>
          <w:sz w:val="20"/>
          <w:szCs w:val="20"/>
          <w:lang w:val="pt-BR"/>
        </w:rPr>
        <w:t xml:space="preserve"> lado, as</w:t>
      </w:r>
      <w:r w:rsidR="00F83D8F" w:rsidRPr="0038442F">
        <w:rPr>
          <w:rFonts w:ascii="Verdana" w:hAnsi="Verdana"/>
          <w:sz w:val="20"/>
          <w:szCs w:val="20"/>
          <w:lang w:val="pt-BR"/>
        </w:rPr>
        <w:t xml:space="preserve"> medidas adotadas </w:t>
      </w:r>
      <w:r w:rsidR="008F463C" w:rsidRPr="0038442F">
        <w:rPr>
          <w:rFonts w:ascii="Verdana" w:hAnsi="Verdana"/>
          <w:sz w:val="20"/>
          <w:szCs w:val="20"/>
          <w:lang w:val="pt-BR"/>
        </w:rPr>
        <w:t xml:space="preserve">foram </w:t>
      </w:r>
      <w:r w:rsidR="00014DA1" w:rsidRPr="0038442F">
        <w:rPr>
          <w:rFonts w:ascii="Verdana" w:hAnsi="Verdana"/>
          <w:sz w:val="20"/>
          <w:szCs w:val="20"/>
          <w:lang w:val="pt-BR"/>
        </w:rPr>
        <w:t>inefica</w:t>
      </w:r>
      <w:r w:rsidR="008F463C" w:rsidRPr="0038442F">
        <w:rPr>
          <w:rFonts w:ascii="Verdana" w:hAnsi="Verdana"/>
          <w:sz w:val="20"/>
          <w:szCs w:val="20"/>
          <w:lang w:val="pt-BR"/>
        </w:rPr>
        <w:t>z</w:t>
      </w:r>
      <w:r w:rsidR="00014DA1" w:rsidRPr="0038442F">
        <w:rPr>
          <w:rFonts w:ascii="Verdana" w:hAnsi="Verdana"/>
          <w:sz w:val="20"/>
          <w:szCs w:val="20"/>
          <w:lang w:val="pt-BR"/>
        </w:rPr>
        <w:t xml:space="preserve">es </w:t>
      </w:r>
      <w:r w:rsidR="008F463C" w:rsidRPr="0038442F">
        <w:rPr>
          <w:rFonts w:ascii="Verdana" w:hAnsi="Verdana"/>
          <w:sz w:val="20"/>
          <w:szCs w:val="20"/>
          <w:lang w:val="pt-BR"/>
        </w:rPr>
        <w:t>e</w:t>
      </w:r>
      <w:r w:rsidR="005871F1" w:rsidRPr="0038442F">
        <w:rPr>
          <w:rFonts w:ascii="Verdana" w:hAnsi="Verdana"/>
          <w:sz w:val="20"/>
          <w:szCs w:val="20"/>
          <w:lang w:val="pt-BR"/>
        </w:rPr>
        <w:t xml:space="preserve">, </w:t>
      </w:r>
      <w:r w:rsidR="00D45B15" w:rsidRPr="0038442F">
        <w:rPr>
          <w:rFonts w:ascii="Verdana" w:hAnsi="Verdana"/>
          <w:sz w:val="20"/>
          <w:szCs w:val="20"/>
          <w:lang w:val="pt-BR"/>
        </w:rPr>
        <w:t xml:space="preserve">pelo </w:t>
      </w:r>
      <w:r w:rsidR="00984A83" w:rsidRPr="0038442F">
        <w:rPr>
          <w:rFonts w:ascii="Verdana" w:hAnsi="Verdana"/>
          <w:sz w:val="20"/>
          <w:szCs w:val="20"/>
          <w:lang w:val="pt-BR"/>
        </w:rPr>
        <w:t>outro</w:t>
      </w:r>
      <w:r w:rsidR="005871F1" w:rsidRPr="0038442F">
        <w:rPr>
          <w:rFonts w:ascii="Verdana" w:hAnsi="Verdana"/>
          <w:sz w:val="20"/>
          <w:szCs w:val="20"/>
          <w:lang w:val="pt-BR"/>
        </w:rPr>
        <w:t>,</w:t>
      </w:r>
      <w:r w:rsidR="00823648" w:rsidRPr="0038442F">
        <w:rPr>
          <w:rFonts w:ascii="Verdana" w:hAnsi="Verdana"/>
          <w:sz w:val="20"/>
          <w:szCs w:val="20"/>
          <w:lang w:val="pt-BR"/>
        </w:rPr>
        <w:t xml:space="preserve"> </w:t>
      </w:r>
      <w:r w:rsidR="00716963" w:rsidRPr="0038442F">
        <w:rPr>
          <w:rFonts w:ascii="Verdana" w:hAnsi="Verdana"/>
          <w:sz w:val="20"/>
          <w:szCs w:val="20"/>
          <w:lang w:val="pt-BR"/>
        </w:rPr>
        <w:t xml:space="preserve">que </w:t>
      </w:r>
      <w:r w:rsidR="00014DA1" w:rsidRPr="0038442F">
        <w:rPr>
          <w:rFonts w:ascii="Verdana" w:hAnsi="Verdana"/>
          <w:sz w:val="20"/>
          <w:szCs w:val="20"/>
          <w:lang w:val="pt-BR"/>
        </w:rPr>
        <w:t>tampo</w:t>
      </w:r>
      <w:r w:rsidR="008F463C" w:rsidRPr="0038442F">
        <w:rPr>
          <w:rFonts w:ascii="Verdana" w:hAnsi="Verdana"/>
          <w:sz w:val="20"/>
          <w:szCs w:val="20"/>
          <w:lang w:val="pt-BR"/>
        </w:rPr>
        <w:t>u</w:t>
      </w:r>
      <w:r w:rsidR="00014DA1" w:rsidRPr="0038442F">
        <w:rPr>
          <w:rFonts w:ascii="Verdana" w:hAnsi="Verdana"/>
          <w:sz w:val="20"/>
          <w:szCs w:val="20"/>
          <w:lang w:val="pt-BR"/>
        </w:rPr>
        <w:t xml:space="preserve">co </w:t>
      </w:r>
      <w:r w:rsidR="00716963" w:rsidRPr="0038442F">
        <w:rPr>
          <w:rFonts w:ascii="Verdana" w:hAnsi="Verdana"/>
          <w:sz w:val="20"/>
          <w:szCs w:val="20"/>
          <w:lang w:val="pt-BR"/>
        </w:rPr>
        <w:t xml:space="preserve">foram adotadas </w:t>
      </w:r>
      <w:r w:rsidR="00014DA1" w:rsidRPr="0038442F">
        <w:rPr>
          <w:rFonts w:ascii="Verdana" w:hAnsi="Verdana"/>
          <w:sz w:val="20"/>
          <w:szCs w:val="20"/>
          <w:lang w:val="pt-BR"/>
        </w:rPr>
        <w:t xml:space="preserve">medidas que </w:t>
      </w:r>
      <w:r w:rsidR="008F463C" w:rsidRPr="0038442F">
        <w:rPr>
          <w:rFonts w:ascii="Verdana" w:hAnsi="Verdana"/>
          <w:sz w:val="20"/>
          <w:szCs w:val="20"/>
          <w:lang w:val="pt-BR"/>
        </w:rPr>
        <w:t xml:space="preserve">tivessem </w:t>
      </w:r>
      <w:r w:rsidR="00014DA1" w:rsidRPr="0038442F">
        <w:rPr>
          <w:rFonts w:ascii="Verdana" w:hAnsi="Verdana"/>
          <w:sz w:val="20"/>
          <w:szCs w:val="20"/>
          <w:lang w:val="pt-BR"/>
        </w:rPr>
        <w:t>compensado situa</w:t>
      </w:r>
      <w:r w:rsidR="000A1AA8" w:rsidRPr="0038442F">
        <w:rPr>
          <w:rFonts w:ascii="Verdana" w:hAnsi="Verdana"/>
          <w:sz w:val="20"/>
          <w:szCs w:val="20"/>
          <w:lang w:val="pt-BR"/>
        </w:rPr>
        <w:t>ções</w:t>
      </w:r>
      <w:r w:rsidR="00014DA1" w:rsidRPr="0038442F">
        <w:rPr>
          <w:rFonts w:ascii="Verdana" w:hAnsi="Verdana"/>
          <w:sz w:val="20"/>
          <w:szCs w:val="20"/>
          <w:lang w:val="pt-BR"/>
        </w:rPr>
        <w:t xml:space="preserve"> de desigualdad</w:t>
      </w:r>
      <w:r w:rsidR="008F463C" w:rsidRPr="0038442F">
        <w:rPr>
          <w:rFonts w:ascii="Verdana" w:hAnsi="Verdana"/>
          <w:sz w:val="20"/>
          <w:szCs w:val="20"/>
          <w:lang w:val="pt-BR"/>
        </w:rPr>
        <w:t>e</w:t>
      </w:r>
      <w:r w:rsidR="00014DA1" w:rsidRPr="0038442F">
        <w:rPr>
          <w:rFonts w:ascii="Verdana" w:hAnsi="Verdana"/>
          <w:sz w:val="20"/>
          <w:szCs w:val="20"/>
          <w:lang w:val="pt-BR"/>
        </w:rPr>
        <w:t xml:space="preserve">. </w:t>
      </w:r>
      <w:r w:rsidR="005871F1" w:rsidRPr="0038442F">
        <w:rPr>
          <w:rFonts w:ascii="Verdana" w:hAnsi="Verdana"/>
          <w:sz w:val="20"/>
          <w:szCs w:val="20"/>
          <w:lang w:val="pt-BR"/>
        </w:rPr>
        <w:t>De</w:t>
      </w:r>
      <w:r w:rsidR="00F66DF9">
        <w:rPr>
          <w:rFonts w:ascii="Verdana" w:hAnsi="Verdana"/>
          <w:sz w:val="20"/>
          <w:szCs w:val="20"/>
          <w:lang w:val="pt-BR"/>
        </w:rPr>
        <w:t>sse modo,</w:t>
      </w:r>
      <w:r w:rsidR="008F463C" w:rsidRPr="0038442F">
        <w:rPr>
          <w:rFonts w:ascii="Verdana" w:hAnsi="Verdana"/>
          <w:sz w:val="20"/>
          <w:szCs w:val="20"/>
          <w:lang w:val="pt-BR"/>
        </w:rPr>
        <w:t xml:space="preserve"> o </w:t>
      </w:r>
      <w:r w:rsidR="00C23682" w:rsidRPr="0038442F">
        <w:rPr>
          <w:rFonts w:ascii="Verdana" w:hAnsi="Verdana"/>
          <w:sz w:val="20"/>
          <w:szCs w:val="20"/>
          <w:lang w:val="pt-BR"/>
        </w:rPr>
        <w:t>entendimento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5871F1" w:rsidRPr="0038442F">
        <w:rPr>
          <w:rFonts w:ascii="Verdana" w:hAnsi="Verdana"/>
          <w:sz w:val="20"/>
          <w:szCs w:val="20"/>
          <w:lang w:val="pt-BR"/>
        </w:rPr>
        <w:t>inefic</w:t>
      </w:r>
      <w:r w:rsidR="008F463C" w:rsidRPr="0038442F">
        <w:rPr>
          <w:rFonts w:ascii="Verdana" w:hAnsi="Verdana"/>
          <w:sz w:val="20"/>
          <w:szCs w:val="20"/>
          <w:lang w:val="pt-BR"/>
        </w:rPr>
        <w:t xml:space="preserve">ácia, insuficiência ou ausência </w:t>
      </w:r>
      <w:r w:rsidR="00921AF6" w:rsidRPr="0038442F">
        <w:rPr>
          <w:rFonts w:ascii="Verdana" w:hAnsi="Verdana"/>
          <w:sz w:val="20"/>
          <w:szCs w:val="20"/>
          <w:lang w:val="pt-BR"/>
        </w:rPr>
        <w:t xml:space="preserve">de </w:t>
      </w:r>
      <w:r w:rsidR="005871F1" w:rsidRPr="0038442F">
        <w:rPr>
          <w:rFonts w:ascii="Verdana" w:hAnsi="Verdana"/>
          <w:sz w:val="20"/>
          <w:szCs w:val="20"/>
          <w:lang w:val="pt-BR"/>
        </w:rPr>
        <w:t xml:space="preserve">medidas, normas, </w:t>
      </w:r>
      <w:r w:rsidR="006A12FD" w:rsidRPr="0038442F">
        <w:rPr>
          <w:rFonts w:ascii="Verdana" w:hAnsi="Verdana"/>
          <w:sz w:val="20"/>
          <w:szCs w:val="20"/>
          <w:lang w:val="pt-BR"/>
        </w:rPr>
        <w:t>ações</w:t>
      </w:r>
      <w:r w:rsidR="00407242" w:rsidRPr="0038442F">
        <w:rPr>
          <w:rFonts w:ascii="Verdana" w:hAnsi="Verdana"/>
          <w:sz w:val="20"/>
          <w:szCs w:val="20"/>
          <w:lang w:val="pt-BR"/>
        </w:rPr>
        <w:t xml:space="preserve"> </w:t>
      </w:r>
      <w:r w:rsidR="005871F1" w:rsidRPr="0038442F">
        <w:rPr>
          <w:rFonts w:ascii="Verdana" w:hAnsi="Verdana"/>
          <w:sz w:val="20"/>
          <w:szCs w:val="20"/>
          <w:lang w:val="pt-BR"/>
        </w:rPr>
        <w:t>o</w:t>
      </w:r>
      <w:r w:rsidR="008F463C" w:rsidRPr="0038442F">
        <w:rPr>
          <w:rFonts w:ascii="Verdana" w:hAnsi="Verdana"/>
          <w:sz w:val="20"/>
          <w:szCs w:val="20"/>
          <w:lang w:val="pt-BR"/>
        </w:rPr>
        <w:t>u</w:t>
      </w:r>
      <w:r w:rsidR="005871F1" w:rsidRPr="0038442F">
        <w:rPr>
          <w:rFonts w:ascii="Verdana" w:hAnsi="Verdana"/>
          <w:sz w:val="20"/>
          <w:szCs w:val="20"/>
          <w:lang w:val="pt-BR"/>
        </w:rPr>
        <w:t xml:space="preserve"> políticas, </w:t>
      </w:r>
      <w:r w:rsidR="008F463C" w:rsidRPr="0038442F">
        <w:rPr>
          <w:rFonts w:ascii="Verdana" w:hAnsi="Verdana"/>
          <w:sz w:val="20"/>
          <w:szCs w:val="20"/>
          <w:lang w:val="pt-BR"/>
        </w:rPr>
        <w:t xml:space="preserve">em </w:t>
      </w:r>
      <w:r w:rsidR="005871F1" w:rsidRPr="0038442F">
        <w:rPr>
          <w:rFonts w:ascii="Verdana" w:hAnsi="Verdana"/>
          <w:sz w:val="20"/>
          <w:szCs w:val="20"/>
          <w:lang w:val="pt-BR"/>
        </w:rPr>
        <w:t>favor de grupos estruturalmente margina</w:t>
      </w:r>
      <w:r w:rsidR="008F463C" w:rsidRPr="0038442F">
        <w:rPr>
          <w:rFonts w:ascii="Verdana" w:hAnsi="Verdana"/>
          <w:sz w:val="20"/>
          <w:szCs w:val="20"/>
          <w:lang w:val="pt-BR"/>
        </w:rPr>
        <w:t>liza</w:t>
      </w:r>
      <w:r w:rsidR="005871F1" w:rsidRPr="0038442F">
        <w:rPr>
          <w:rFonts w:ascii="Verdana" w:hAnsi="Verdana"/>
          <w:sz w:val="20"/>
          <w:szCs w:val="20"/>
          <w:lang w:val="pt-BR"/>
        </w:rPr>
        <w:t xml:space="preserve">dos, </w:t>
      </w:r>
      <w:r w:rsidR="005135E5" w:rsidRPr="0038442F">
        <w:rPr>
          <w:rFonts w:ascii="Verdana" w:hAnsi="Verdana"/>
          <w:sz w:val="20"/>
          <w:szCs w:val="20"/>
          <w:lang w:val="pt-BR"/>
        </w:rPr>
        <w:t xml:space="preserve">não só </w:t>
      </w:r>
      <w:r w:rsidR="005871F1" w:rsidRPr="0038442F">
        <w:rPr>
          <w:rFonts w:ascii="Verdana" w:hAnsi="Verdana"/>
          <w:sz w:val="20"/>
          <w:szCs w:val="20"/>
          <w:lang w:val="pt-BR"/>
        </w:rPr>
        <w:t xml:space="preserve">se </w:t>
      </w:r>
      <w:r w:rsidR="00C92762" w:rsidRPr="0038442F">
        <w:rPr>
          <w:rFonts w:ascii="Verdana" w:hAnsi="Verdana"/>
          <w:sz w:val="20"/>
          <w:szCs w:val="20"/>
          <w:lang w:val="pt-BR"/>
        </w:rPr>
        <w:t>analisa</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com base no </w:t>
      </w:r>
      <w:r w:rsidR="003B374E" w:rsidRPr="0038442F">
        <w:rPr>
          <w:rFonts w:ascii="Verdana" w:hAnsi="Verdana"/>
          <w:sz w:val="20"/>
          <w:szCs w:val="20"/>
          <w:lang w:val="pt-BR"/>
        </w:rPr>
        <w:t xml:space="preserve">artigo </w:t>
      </w:r>
      <w:r w:rsidR="005871F1" w:rsidRPr="0038442F">
        <w:rPr>
          <w:rFonts w:ascii="Verdana" w:hAnsi="Verdana"/>
          <w:sz w:val="20"/>
          <w:szCs w:val="20"/>
          <w:lang w:val="pt-BR"/>
        </w:rPr>
        <w:t xml:space="preserve">1.1, </w:t>
      </w:r>
      <w:r w:rsidR="008F463C" w:rsidRPr="0038442F">
        <w:rPr>
          <w:rFonts w:ascii="Verdana" w:hAnsi="Verdana"/>
          <w:sz w:val="20"/>
          <w:szCs w:val="20"/>
          <w:lang w:val="pt-BR"/>
        </w:rPr>
        <w:t xml:space="preserve">mas </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com base no </w:t>
      </w:r>
      <w:r w:rsidR="003B374E" w:rsidRPr="0038442F">
        <w:rPr>
          <w:rFonts w:ascii="Verdana" w:hAnsi="Verdana"/>
          <w:sz w:val="20"/>
          <w:szCs w:val="20"/>
          <w:lang w:val="pt-BR"/>
        </w:rPr>
        <w:t xml:space="preserve">artigo </w:t>
      </w:r>
      <w:r w:rsidR="005871F1" w:rsidRPr="0038442F">
        <w:rPr>
          <w:rFonts w:ascii="Verdana" w:hAnsi="Verdana"/>
          <w:sz w:val="20"/>
          <w:szCs w:val="20"/>
          <w:lang w:val="pt-BR"/>
        </w:rPr>
        <w:t>24</w:t>
      </w:r>
      <w:r w:rsidR="00823648" w:rsidRPr="0038442F">
        <w:rPr>
          <w:rFonts w:ascii="Verdana" w:hAnsi="Verdana"/>
          <w:sz w:val="20"/>
          <w:szCs w:val="20"/>
          <w:lang w:val="pt-BR"/>
        </w:rPr>
        <w:t xml:space="preserve"> d</w:t>
      </w:r>
      <w:r w:rsidR="008F463C" w:rsidRPr="0038442F">
        <w:rPr>
          <w:rFonts w:ascii="Verdana" w:hAnsi="Verdana"/>
          <w:sz w:val="20"/>
          <w:szCs w:val="20"/>
          <w:lang w:val="pt-BR"/>
        </w:rPr>
        <w:t>o</w:t>
      </w:r>
      <w:r w:rsidR="00823648" w:rsidRPr="0038442F">
        <w:rPr>
          <w:rFonts w:ascii="Verdana" w:hAnsi="Verdana"/>
          <w:sz w:val="20"/>
          <w:szCs w:val="20"/>
          <w:lang w:val="pt-BR"/>
        </w:rPr>
        <w:t xml:space="preserve"> Pacto de San José</w:t>
      </w:r>
      <w:r w:rsidR="005871F1" w:rsidRPr="0038442F">
        <w:rPr>
          <w:rFonts w:ascii="Verdana" w:hAnsi="Verdana"/>
          <w:sz w:val="20"/>
          <w:szCs w:val="20"/>
          <w:lang w:val="pt-BR"/>
        </w:rPr>
        <w:t xml:space="preserve">. </w:t>
      </w:r>
    </w:p>
    <w:p w14:paraId="6714BBC6" w14:textId="75E59964" w:rsidR="00425198" w:rsidRPr="0038442F" w:rsidRDefault="00425198" w:rsidP="00A857CB">
      <w:pPr>
        <w:jc w:val="both"/>
        <w:rPr>
          <w:rFonts w:ascii="Verdana" w:hAnsi="Verdana"/>
          <w:b/>
          <w:bCs/>
          <w:sz w:val="20"/>
          <w:szCs w:val="20"/>
          <w:lang w:val="pt-BR"/>
        </w:rPr>
      </w:pPr>
    </w:p>
    <w:p w14:paraId="043A7B0E" w14:textId="77777777" w:rsidR="00B7384F" w:rsidRPr="0038442F" w:rsidRDefault="00B7384F" w:rsidP="00A857CB">
      <w:pPr>
        <w:jc w:val="both"/>
        <w:rPr>
          <w:rFonts w:ascii="Verdana" w:hAnsi="Verdana"/>
          <w:b/>
          <w:bCs/>
          <w:sz w:val="20"/>
          <w:szCs w:val="20"/>
          <w:lang w:val="pt-BR"/>
        </w:rPr>
      </w:pPr>
    </w:p>
    <w:p w14:paraId="217486D4" w14:textId="15005FBF" w:rsidR="00816BB5" w:rsidRPr="0038442F" w:rsidRDefault="00816BB5" w:rsidP="00B340AE">
      <w:pPr>
        <w:tabs>
          <w:tab w:val="center" w:pos="4702"/>
          <w:tab w:val="left" w:pos="6270"/>
        </w:tabs>
        <w:jc w:val="center"/>
        <w:rPr>
          <w:rFonts w:ascii="Verdana" w:hAnsi="Verdana"/>
          <w:b/>
          <w:sz w:val="20"/>
          <w:szCs w:val="20"/>
          <w:lang w:val="pt-BR"/>
        </w:rPr>
      </w:pPr>
      <w:r w:rsidRPr="0038442F">
        <w:rPr>
          <w:rFonts w:ascii="Verdana" w:hAnsi="Verdana"/>
          <w:b/>
          <w:sz w:val="20"/>
          <w:szCs w:val="20"/>
          <w:lang w:val="pt-BR"/>
        </w:rPr>
        <w:t>VI. CONCLUS</w:t>
      </w:r>
      <w:r w:rsidR="008F463C" w:rsidRPr="0038442F">
        <w:rPr>
          <w:rFonts w:ascii="Verdana" w:hAnsi="Verdana"/>
          <w:b/>
          <w:sz w:val="20"/>
          <w:szCs w:val="20"/>
          <w:lang w:val="pt-BR"/>
        </w:rPr>
        <w:t>ÕES</w:t>
      </w:r>
    </w:p>
    <w:p w14:paraId="0E653C13" w14:textId="77777777" w:rsidR="00014DA1" w:rsidRPr="0038442F" w:rsidRDefault="00014DA1" w:rsidP="00A857CB">
      <w:pPr>
        <w:tabs>
          <w:tab w:val="center" w:pos="4702"/>
          <w:tab w:val="left" w:pos="6270"/>
        </w:tabs>
        <w:rPr>
          <w:rFonts w:ascii="Verdana" w:hAnsi="Verdana"/>
          <w:b/>
          <w:sz w:val="20"/>
          <w:szCs w:val="20"/>
          <w:lang w:val="pt-BR"/>
        </w:rPr>
      </w:pPr>
    </w:p>
    <w:p w14:paraId="5CBE5C33" w14:textId="00A33916" w:rsidR="00014DA1" w:rsidRPr="0038442F" w:rsidRDefault="00823648" w:rsidP="00823648">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115. </w:t>
      </w:r>
      <w:r w:rsidRPr="0038442F">
        <w:rPr>
          <w:rFonts w:ascii="Verdana" w:hAnsi="Verdana"/>
          <w:sz w:val="20"/>
          <w:szCs w:val="20"/>
          <w:lang w:val="pt-BR"/>
        </w:rPr>
        <w:tab/>
      </w:r>
      <w:r w:rsidRPr="0038442F">
        <w:rPr>
          <w:rFonts w:ascii="Verdana" w:hAnsi="Verdana"/>
          <w:sz w:val="20"/>
          <w:szCs w:val="20"/>
          <w:lang w:val="pt-BR"/>
        </w:rPr>
        <w:tab/>
      </w:r>
      <w:r w:rsidR="008F463C" w:rsidRPr="0038442F">
        <w:rPr>
          <w:rFonts w:ascii="Verdana" w:hAnsi="Verdana"/>
          <w:sz w:val="20"/>
          <w:szCs w:val="20"/>
          <w:lang w:val="pt-BR"/>
        </w:rPr>
        <w:t>As</w:t>
      </w:r>
      <w:r w:rsidR="00014DA1" w:rsidRPr="0038442F">
        <w:rPr>
          <w:rFonts w:ascii="Verdana" w:hAnsi="Verdana"/>
          <w:sz w:val="20"/>
          <w:szCs w:val="20"/>
          <w:lang w:val="pt-BR"/>
        </w:rPr>
        <w:t xml:space="preserve"> </w:t>
      </w:r>
      <w:r w:rsidR="008F463C" w:rsidRPr="0038442F">
        <w:rPr>
          <w:rFonts w:ascii="Verdana" w:hAnsi="Verdana"/>
          <w:sz w:val="20"/>
          <w:szCs w:val="20"/>
          <w:lang w:val="pt-BR"/>
        </w:rPr>
        <w:t xml:space="preserve">explosões em locais </w:t>
      </w:r>
      <w:r w:rsidR="00716963" w:rsidRPr="0038442F">
        <w:rPr>
          <w:rFonts w:ascii="Verdana" w:hAnsi="Verdana"/>
          <w:sz w:val="20"/>
          <w:szCs w:val="20"/>
          <w:lang w:val="pt-BR"/>
        </w:rPr>
        <w:t xml:space="preserve">de armazenamento de </w:t>
      </w:r>
      <w:r w:rsidR="00014DA1" w:rsidRPr="0038442F">
        <w:rPr>
          <w:rFonts w:ascii="Verdana" w:hAnsi="Verdana"/>
          <w:sz w:val="20"/>
          <w:szCs w:val="20"/>
          <w:lang w:val="pt-BR"/>
        </w:rPr>
        <w:t>materi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C92762" w:rsidRPr="0038442F">
        <w:rPr>
          <w:rFonts w:ascii="Verdana" w:hAnsi="Verdana"/>
          <w:sz w:val="20"/>
          <w:szCs w:val="20"/>
          <w:lang w:val="pt-BR"/>
        </w:rPr>
        <w:t>perigosos</w:t>
      </w:r>
      <w:r w:rsidR="00407242" w:rsidRPr="0038442F">
        <w:rPr>
          <w:rFonts w:ascii="Verdana" w:hAnsi="Verdana"/>
          <w:sz w:val="20"/>
          <w:szCs w:val="20"/>
          <w:lang w:val="pt-BR"/>
        </w:rPr>
        <w:t xml:space="preserve"> </w:t>
      </w:r>
      <w:r w:rsidR="00A97590" w:rsidRPr="0038442F">
        <w:rPr>
          <w:rFonts w:ascii="Verdana" w:hAnsi="Verdana"/>
          <w:sz w:val="20"/>
          <w:szCs w:val="20"/>
          <w:lang w:val="pt-BR"/>
        </w:rPr>
        <w:t>não são</w:t>
      </w:r>
      <w:r w:rsidR="00407242" w:rsidRPr="0038442F">
        <w:rPr>
          <w:rFonts w:ascii="Verdana" w:hAnsi="Verdana"/>
          <w:sz w:val="20"/>
          <w:szCs w:val="20"/>
          <w:lang w:val="pt-BR"/>
        </w:rPr>
        <w:t xml:space="preserve"> </w:t>
      </w:r>
      <w:r w:rsidR="00014DA1" w:rsidRPr="0038442F">
        <w:rPr>
          <w:rFonts w:ascii="Verdana" w:hAnsi="Verdana"/>
          <w:sz w:val="20"/>
          <w:szCs w:val="20"/>
          <w:lang w:val="pt-BR"/>
        </w:rPr>
        <w:t>u</w:t>
      </w:r>
      <w:r w:rsidR="008F463C" w:rsidRPr="0038442F">
        <w:rPr>
          <w:rFonts w:ascii="Verdana" w:hAnsi="Verdana"/>
          <w:sz w:val="20"/>
          <w:szCs w:val="20"/>
          <w:lang w:val="pt-BR"/>
        </w:rPr>
        <w:t>m</w:t>
      </w:r>
      <w:r w:rsidR="00014DA1" w:rsidRPr="0038442F">
        <w:rPr>
          <w:rFonts w:ascii="Verdana" w:hAnsi="Verdana"/>
          <w:sz w:val="20"/>
          <w:szCs w:val="20"/>
          <w:lang w:val="pt-BR"/>
        </w:rPr>
        <w:t xml:space="preserve"> fen</w:t>
      </w:r>
      <w:r w:rsidR="008F463C" w:rsidRPr="0038442F">
        <w:rPr>
          <w:rFonts w:ascii="Verdana" w:hAnsi="Verdana"/>
          <w:sz w:val="20"/>
          <w:szCs w:val="20"/>
          <w:lang w:val="pt-BR"/>
        </w:rPr>
        <w:t>ô</w:t>
      </w:r>
      <w:r w:rsidR="00014DA1" w:rsidRPr="0038442F">
        <w:rPr>
          <w:rFonts w:ascii="Verdana" w:hAnsi="Verdana"/>
          <w:sz w:val="20"/>
          <w:szCs w:val="20"/>
          <w:lang w:val="pt-BR"/>
        </w:rPr>
        <w:t>meno n</w:t>
      </w:r>
      <w:r w:rsidR="008F463C" w:rsidRPr="0038442F">
        <w:rPr>
          <w:rFonts w:ascii="Verdana" w:hAnsi="Verdana"/>
          <w:sz w:val="20"/>
          <w:szCs w:val="20"/>
          <w:lang w:val="pt-BR"/>
        </w:rPr>
        <w:t>ovo, nem</w:t>
      </w:r>
      <w:r w:rsidR="00716963" w:rsidRPr="0038442F">
        <w:rPr>
          <w:rFonts w:ascii="Verdana" w:hAnsi="Verdana"/>
          <w:sz w:val="20"/>
          <w:szCs w:val="20"/>
          <w:lang w:val="pt-BR"/>
        </w:rPr>
        <w:t xml:space="preserve"> </w:t>
      </w:r>
      <w:r w:rsidR="008F463C" w:rsidRPr="0038442F">
        <w:rPr>
          <w:rFonts w:ascii="Verdana" w:hAnsi="Verdana"/>
          <w:sz w:val="20"/>
          <w:szCs w:val="20"/>
          <w:lang w:val="pt-BR"/>
        </w:rPr>
        <w:t xml:space="preserve">em nosso </w:t>
      </w:r>
      <w:r w:rsidR="00014DA1" w:rsidRPr="0038442F">
        <w:rPr>
          <w:rFonts w:ascii="Verdana" w:hAnsi="Verdana"/>
          <w:sz w:val="20"/>
          <w:szCs w:val="20"/>
          <w:lang w:val="pt-BR"/>
        </w:rPr>
        <w:t>continente</w:t>
      </w:r>
      <w:r w:rsidR="008F463C" w:rsidRPr="0038442F">
        <w:rPr>
          <w:rFonts w:ascii="Verdana" w:hAnsi="Verdana"/>
          <w:sz w:val="20"/>
          <w:szCs w:val="20"/>
          <w:lang w:val="pt-BR"/>
        </w:rPr>
        <w:t xml:space="preserve">, nem </w:t>
      </w:r>
      <w:r w:rsidR="00751189" w:rsidRPr="0038442F">
        <w:rPr>
          <w:rFonts w:ascii="Verdana" w:hAnsi="Verdana"/>
          <w:sz w:val="20"/>
          <w:szCs w:val="20"/>
          <w:lang w:val="pt-BR"/>
        </w:rPr>
        <w:t xml:space="preserve">no </w:t>
      </w:r>
      <w:r w:rsidR="00014DA1" w:rsidRPr="0038442F">
        <w:rPr>
          <w:rFonts w:ascii="Verdana" w:hAnsi="Verdana"/>
          <w:sz w:val="20"/>
          <w:szCs w:val="20"/>
          <w:lang w:val="pt-BR"/>
        </w:rPr>
        <w:t xml:space="preserve">mundo. </w:t>
      </w:r>
      <w:r w:rsidR="00C5538C" w:rsidRPr="0038442F">
        <w:rPr>
          <w:rFonts w:ascii="Verdana" w:hAnsi="Verdana"/>
          <w:sz w:val="20"/>
          <w:szCs w:val="20"/>
          <w:lang w:val="pt-BR"/>
        </w:rPr>
        <w:t>Lamenta</w:t>
      </w:r>
      <w:r w:rsidR="008F463C" w:rsidRPr="0038442F">
        <w:rPr>
          <w:rFonts w:ascii="Verdana" w:hAnsi="Verdana"/>
          <w:sz w:val="20"/>
          <w:szCs w:val="20"/>
          <w:lang w:val="pt-BR"/>
        </w:rPr>
        <w:t>vel</w:t>
      </w:r>
      <w:r w:rsidR="00C5538C" w:rsidRPr="0038442F">
        <w:rPr>
          <w:rFonts w:ascii="Verdana" w:hAnsi="Verdana"/>
          <w:sz w:val="20"/>
          <w:szCs w:val="20"/>
          <w:lang w:val="pt-BR"/>
        </w:rPr>
        <w:t>mente</w:t>
      </w:r>
      <w:r w:rsidR="00C670B9" w:rsidRPr="0038442F">
        <w:rPr>
          <w:rFonts w:ascii="Verdana" w:hAnsi="Verdana"/>
          <w:sz w:val="20"/>
          <w:szCs w:val="20"/>
          <w:lang w:val="pt-BR"/>
        </w:rPr>
        <w:t>,</w:t>
      </w:r>
      <w:r w:rsidR="00C5538C" w:rsidRPr="0038442F">
        <w:rPr>
          <w:rFonts w:ascii="Verdana" w:hAnsi="Verdana"/>
          <w:sz w:val="20"/>
          <w:szCs w:val="20"/>
          <w:lang w:val="pt-BR"/>
        </w:rPr>
        <w:t xml:space="preserve"> </w:t>
      </w:r>
      <w:r w:rsidR="008F463C" w:rsidRPr="0038442F">
        <w:rPr>
          <w:rFonts w:ascii="Verdana" w:hAnsi="Verdana"/>
          <w:sz w:val="20"/>
          <w:szCs w:val="20"/>
          <w:lang w:val="pt-BR"/>
        </w:rPr>
        <w:t xml:space="preserve">continuam surgindo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C5538C" w:rsidRPr="0038442F">
        <w:rPr>
          <w:rFonts w:ascii="Verdana" w:hAnsi="Verdana"/>
          <w:sz w:val="20"/>
          <w:szCs w:val="20"/>
          <w:lang w:val="pt-BR"/>
        </w:rPr>
        <w:t>mort</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8F463C" w:rsidRPr="0038442F">
        <w:rPr>
          <w:rFonts w:ascii="Verdana" w:hAnsi="Verdana"/>
          <w:sz w:val="20"/>
          <w:szCs w:val="20"/>
          <w:lang w:val="pt-BR"/>
        </w:rPr>
        <w:t>e</w:t>
      </w:r>
      <w:r w:rsidR="00C5538C" w:rsidRPr="0038442F">
        <w:rPr>
          <w:rFonts w:ascii="Verdana" w:hAnsi="Verdana"/>
          <w:sz w:val="20"/>
          <w:szCs w:val="20"/>
          <w:lang w:val="pt-BR"/>
        </w:rPr>
        <w:t xml:space="preserve"> sobreviventes co</w:t>
      </w:r>
      <w:r w:rsidR="008F463C" w:rsidRPr="0038442F">
        <w:rPr>
          <w:rFonts w:ascii="Verdana" w:hAnsi="Verdana"/>
          <w:sz w:val="20"/>
          <w:szCs w:val="20"/>
          <w:lang w:val="pt-BR"/>
        </w:rPr>
        <w:t>m</w:t>
      </w:r>
      <w:r w:rsidR="00C5538C" w:rsidRPr="0038442F">
        <w:rPr>
          <w:rFonts w:ascii="Verdana" w:hAnsi="Verdana"/>
          <w:sz w:val="20"/>
          <w:szCs w:val="20"/>
          <w:lang w:val="pt-BR"/>
        </w:rPr>
        <w:t xml:space="preserve"> graves </w:t>
      </w:r>
      <w:r w:rsidR="008F463C" w:rsidRPr="0038442F">
        <w:rPr>
          <w:rFonts w:ascii="Verdana" w:hAnsi="Verdana"/>
          <w:sz w:val="20"/>
          <w:szCs w:val="20"/>
          <w:lang w:val="pt-BR"/>
        </w:rPr>
        <w:t xml:space="preserve">danos à </w:t>
      </w:r>
      <w:r w:rsidR="008806F8" w:rsidRPr="0038442F">
        <w:rPr>
          <w:rFonts w:ascii="Verdana" w:hAnsi="Verdana"/>
          <w:sz w:val="20"/>
          <w:szCs w:val="20"/>
          <w:lang w:val="pt-BR"/>
        </w:rPr>
        <w:t>integridade</w:t>
      </w:r>
      <w:r w:rsidR="00407242" w:rsidRPr="0038442F">
        <w:rPr>
          <w:rFonts w:ascii="Verdana" w:hAnsi="Verdana"/>
          <w:sz w:val="20"/>
          <w:szCs w:val="20"/>
          <w:lang w:val="pt-BR"/>
        </w:rPr>
        <w:t xml:space="preserve"> </w:t>
      </w:r>
      <w:r w:rsidR="0007531C" w:rsidRPr="0038442F">
        <w:rPr>
          <w:rFonts w:ascii="Verdana" w:hAnsi="Verdana"/>
          <w:sz w:val="20"/>
          <w:szCs w:val="20"/>
          <w:lang w:val="pt-BR"/>
        </w:rPr>
        <w:t xml:space="preserve">física </w:t>
      </w:r>
      <w:r w:rsidR="008F463C" w:rsidRPr="0038442F">
        <w:rPr>
          <w:rFonts w:ascii="Verdana" w:hAnsi="Verdana"/>
          <w:sz w:val="20"/>
          <w:szCs w:val="20"/>
          <w:lang w:val="pt-BR"/>
        </w:rPr>
        <w:t>e</w:t>
      </w:r>
      <w:r w:rsidR="0007531C" w:rsidRPr="0038442F">
        <w:rPr>
          <w:rFonts w:ascii="Verdana" w:hAnsi="Verdana"/>
          <w:sz w:val="20"/>
          <w:szCs w:val="20"/>
          <w:lang w:val="pt-BR"/>
        </w:rPr>
        <w:t xml:space="preserve"> psíquica</w:t>
      </w:r>
      <w:r w:rsidR="00C5538C" w:rsidRPr="0038442F">
        <w:rPr>
          <w:rFonts w:ascii="Verdana" w:hAnsi="Verdana"/>
          <w:sz w:val="20"/>
          <w:szCs w:val="20"/>
          <w:lang w:val="pt-BR"/>
        </w:rPr>
        <w:t xml:space="preserve">, </w:t>
      </w:r>
      <w:r w:rsidR="008F463C" w:rsidRPr="0038442F">
        <w:rPr>
          <w:rFonts w:ascii="Verdana" w:hAnsi="Verdana"/>
          <w:sz w:val="20"/>
          <w:szCs w:val="20"/>
          <w:lang w:val="pt-BR"/>
        </w:rPr>
        <w:t xml:space="preserve">em razão de explosões </w:t>
      </w:r>
      <w:r w:rsidR="009855FC" w:rsidRPr="0038442F">
        <w:rPr>
          <w:rFonts w:ascii="Verdana" w:hAnsi="Verdana"/>
          <w:sz w:val="20"/>
          <w:szCs w:val="20"/>
          <w:lang w:val="pt-BR"/>
        </w:rPr>
        <w:t xml:space="preserve">de </w:t>
      </w:r>
      <w:r w:rsidR="00C92762" w:rsidRPr="0038442F">
        <w:rPr>
          <w:rFonts w:ascii="Verdana" w:hAnsi="Verdana"/>
          <w:sz w:val="20"/>
          <w:szCs w:val="20"/>
          <w:lang w:val="pt-BR"/>
        </w:rPr>
        <w:t>fogos de artifício</w:t>
      </w:r>
      <w:r w:rsidR="00407242" w:rsidRPr="0038442F">
        <w:rPr>
          <w:rFonts w:ascii="Verdana" w:hAnsi="Verdana"/>
          <w:sz w:val="20"/>
          <w:szCs w:val="20"/>
          <w:lang w:val="pt-BR"/>
        </w:rPr>
        <w:t xml:space="preserve"> </w:t>
      </w:r>
      <w:r w:rsidR="00C5538C" w:rsidRPr="0038442F">
        <w:rPr>
          <w:rFonts w:ascii="Verdana" w:hAnsi="Verdana"/>
          <w:sz w:val="20"/>
          <w:szCs w:val="20"/>
          <w:lang w:val="pt-BR"/>
        </w:rPr>
        <w:t>como as oc</w:t>
      </w:r>
      <w:r w:rsidR="008F463C" w:rsidRPr="0038442F">
        <w:rPr>
          <w:rFonts w:ascii="Verdana" w:hAnsi="Verdana"/>
          <w:sz w:val="20"/>
          <w:szCs w:val="20"/>
          <w:lang w:val="pt-BR"/>
        </w:rPr>
        <w:t>o</w:t>
      </w:r>
      <w:r w:rsidR="00C5538C" w:rsidRPr="0038442F">
        <w:rPr>
          <w:rFonts w:ascii="Verdana" w:hAnsi="Verdana"/>
          <w:sz w:val="20"/>
          <w:szCs w:val="20"/>
          <w:lang w:val="pt-BR"/>
        </w:rPr>
        <w:t xml:space="preserve">rridas </w:t>
      </w:r>
      <w:r w:rsidR="00751189" w:rsidRPr="0038442F">
        <w:rPr>
          <w:rFonts w:ascii="Verdana" w:hAnsi="Verdana"/>
          <w:sz w:val="20"/>
          <w:szCs w:val="20"/>
          <w:lang w:val="pt-BR"/>
        </w:rPr>
        <w:t xml:space="preserve">no </w:t>
      </w:r>
      <w:r w:rsidR="00C5538C" w:rsidRPr="0038442F">
        <w:rPr>
          <w:rFonts w:ascii="Verdana" w:hAnsi="Verdana"/>
          <w:sz w:val="20"/>
          <w:szCs w:val="20"/>
          <w:lang w:val="pt-BR"/>
        </w:rPr>
        <w:t xml:space="preserve">presente caso. </w:t>
      </w:r>
      <w:r w:rsidR="008F463C" w:rsidRPr="0038442F">
        <w:rPr>
          <w:rFonts w:ascii="Verdana" w:hAnsi="Verdana"/>
          <w:sz w:val="20"/>
          <w:szCs w:val="20"/>
          <w:lang w:val="pt-BR"/>
        </w:rPr>
        <w:t>A</w:t>
      </w:r>
      <w:r w:rsidR="00014DA1" w:rsidRPr="0038442F">
        <w:rPr>
          <w:rFonts w:ascii="Verdana" w:hAnsi="Verdana"/>
          <w:sz w:val="20"/>
          <w:szCs w:val="20"/>
          <w:lang w:val="pt-BR"/>
        </w:rPr>
        <w:t xml:space="preserve"> </w:t>
      </w:r>
      <w:r w:rsidR="00246A73" w:rsidRPr="0038442F">
        <w:rPr>
          <w:rFonts w:ascii="Verdana" w:hAnsi="Verdana"/>
          <w:sz w:val="20"/>
          <w:szCs w:val="20"/>
          <w:lang w:val="pt-BR"/>
        </w:rPr>
        <w:t>importância</w:t>
      </w:r>
      <w:r w:rsidR="00407242" w:rsidRPr="0038442F">
        <w:rPr>
          <w:rFonts w:ascii="Verdana" w:hAnsi="Verdana"/>
          <w:sz w:val="20"/>
          <w:szCs w:val="20"/>
          <w:lang w:val="pt-BR"/>
        </w:rPr>
        <w:t xml:space="preserve"> </w:t>
      </w:r>
      <w:r w:rsidR="00014DA1" w:rsidRPr="0038442F">
        <w:rPr>
          <w:rFonts w:ascii="Verdana" w:hAnsi="Verdana"/>
          <w:sz w:val="20"/>
          <w:szCs w:val="20"/>
          <w:lang w:val="pt-BR"/>
        </w:rPr>
        <w:t xml:space="preserve">desta </w:t>
      </w:r>
      <w:r w:rsidR="00BF7A10" w:rsidRPr="0038442F">
        <w:rPr>
          <w:rFonts w:ascii="Verdana" w:hAnsi="Verdana"/>
          <w:sz w:val="20"/>
          <w:szCs w:val="20"/>
          <w:lang w:val="pt-BR"/>
        </w:rPr>
        <w:t>sentença</w:t>
      </w:r>
      <w:r w:rsidR="00407242" w:rsidRPr="0038442F">
        <w:rPr>
          <w:rFonts w:ascii="Verdana" w:hAnsi="Verdana"/>
          <w:sz w:val="20"/>
          <w:szCs w:val="20"/>
          <w:lang w:val="pt-BR"/>
        </w:rPr>
        <w:t xml:space="preserve"> </w:t>
      </w:r>
      <w:r w:rsidR="008F463C" w:rsidRPr="0038442F">
        <w:rPr>
          <w:rFonts w:ascii="Verdana" w:hAnsi="Verdana"/>
          <w:sz w:val="20"/>
          <w:szCs w:val="20"/>
          <w:lang w:val="pt-BR"/>
        </w:rPr>
        <w:t xml:space="preserve">reside em </w:t>
      </w:r>
      <w:r w:rsidR="00014DA1" w:rsidRPr="0038442F">
        <w:rPr>
          <w:rFonts w:ascii="Verdana" w:hAnsi="Verdana"/>
          <w:sz w:val="20"/>
          <w:szCs w:val="20"/>
          <w:lang w:val="pt-BR"/>
        </w:rPr>
        <w:t>visibilizar c</w:t>
      </w:r>
      <w:r w:rsidR="008F463C" w:rsidRPr="0038442F">
        <w:rPr>
          <w:rFonts w:ascii="Verdana" w:hAnsi="Verdana"/>
          <w:sz w:val="20"/>
          <w:szCs w:val="20"/>
          <w:lang w:val="pt-BR"/>
        </w:rPr>
        <w:t>o</w:t>
      </w:r>
      <w:r w:rsidR="00014DA1" w:rsidRPr="0038442F">
        <w:rPr>
          <w:rFonts w:ascii="Verdana" w:hAnsi="Verdana"/>
          <w:sz w:val="20"/>
          <w:szCs w:val="20"/>
          <w:lang w:val="pt-BR"/>
        </w:rPr>
        <w:t>mo</w:t>
      </w:r>
      <w:r w:rsidR="008F463C" w:rsidRPr="0038442F">
        <w:rPr>
          <w:rFonts w:ascii="Verdana" w:hAnsi="Verdana"/>
          <w:sz w:val="20"/>
          <w:szCs w:val="20"/>
          <w:lang w:val="pt-BR"/>
        </w:rPr>
        <w:t xml:space="preserve">, além das </w:t>
      </w:r>
      <w:r w:rsidR="00014DA1" w:rsidRPr="0038442F">
        <w:rPr>
          <w:rFonts w:ascii="Verdana" w:hAnsi="Verdana"/>
          <w:sz w:val="20"/>
          <w:szCs w:val="20"/>
          <w:lang w:val="pt-BR"/>
        </w:rPr>
        <w:t>regula</w:t>
      </w:r>
      <w:r w:rsidR="008F463C" w:rsidRPr="0038442F">
        <w:rPr>
          <w:rFonts w:ascii="Verdana" w:hAnsi="Verdana"/>
          <w:sz w:val="20"/>
          <w:szCs w:val="20"/>
          <w:lang w:val="pt-BR"/>
        </w:rPr>
        <w:t>menta</w:t>
      </w:r>
      <w:r w:rsidR="000A1AA8" w:rsidRPr="0038442F">
        <w:rPr>
          <w:rFonts w:ascii="Verdana" w:hAnsi="Verdana"/>
          <w:sz w:val="20"/>
          <w:szCs w:val="20"/>
          <w:lang w:val="pt-BR"/>
        </w:rPr>
        <w:t>ções</w:t>
      </w:r>
      <w:r w:rsidR="00014DA1" w:rsidRPr="0038442F">
        <w:rPr>
          <w:rFonts w:ascii="Verdana" w:hAnsi="Verdana"/>
          <w:sz w:val="20"/>
          <w:szCs w:val="20"/>
          <w:lang w:val="pt-BR"/>
        </w:rPr>
        <w:t xml:space="preserve"> existentes </w:t>
      </w:r>
      <w:r w:rsidR="00BF7A10" w:rsidRPr="0038442F">
        <w:rPr>
          <w:rFonts w:ascii="Verdana" w:hAnsi="Verdana"/>
          <w:sz w:val="20"/>
          <w:szCs w:val="20"/>
          <w:lang w:val="pt-BR"/>
        </w:rPr>
        <w:t xml:space="preserve">na </w:t>
      </w:r>
      <w:r w:rsidR="00014DA1" w:rsidRPr="0038442F">
        <w:rPr>
          <w:rFonts w:ascii="Verdana" w:hAnsi="Verdana"/>
          <w:sz w:val="20"/>
          <w:szCs w:val="20"/>
          <w:lang w:val="pt-BR"/>
        </w:rPr>
        <w:t>mat</w:t>
      </w:r>
      <w:r w:rsidR="008F463C" w:rsidRPr="0038442F">
        <w:rPr>
          <w:rFonts w:ascii="Verdana" w:hAnsi="Verdana"/>
          <w:sz w:val="20"/>
          <w:szCs w:val="20"/>
          <w:lang w:val="pt-BR"/>
        </w:rPr>
        <w:t>é</w:t>
      </w:r>
      <w:r w:rsidR="00014DA1" w:rsidRPr="0038442F">
        <w:rPr>
          <w:rFonts w:ascii="Verdana" w:hAnsi="Verdana"/>
          <w:sz w:val="20"/>
          <w:szCs w:val="20"/>
          <w:lang w:val="pt-BR"/>
        </w:rPr>
        <w:t xml:space="preserve">ria </w:t>
      </w:r>
      <w:r w:rsidR="008F463C" w:rsidRPr="0038442F">
        <w:rPr>
          <w:rFonts w:ascii="Verdana" w:hAnsi="Verdana"/>
          <w:sz w:val="20"/>
          <w:szCs w:val="20"/>
          <w:lang w:val="pt-BR"/>
        </w:rPr>
        <w:t xml:space="preserve">– que, em muitos </w:t>
      </w:r>
      <w:r w:rsidR="00D34B43" w:rsidRPr="0038442F">
        <w:rPr>
          <w:rFonts w:ascii="Verdana" w:hAnsi="Verdana"/>
          <w:sz w:val="20"/>
          <w:szCs w:val="20"/>
          <w:lang w:val="pt-BR"/>
        </w:rPr>
        <w:t>casos</w:t>
      </w:r>
      <w:r w:rsidR="00014DA1" w:rsidRPr="0038442F">
        <w:rPr>
          <w:rFonts w:ascii="Verdana" w:hAnsi="Verdana"/>
          <w:sz w:val="20"/>
          <w:szCs w:val="20"/>
          <w:lang w:val="pt-BR"/>
        </w:rPr>
        <w:t xml:space="preserve"> </w:t>
      </w:r>
      <w:r w:rsidR="000450DD" w:rsidRPr="0038442F">
        <w:rPr>
          <w:rFonts w:ascii="Verdana" w:hAnsi="Verdana"/>
          <w:sz w:val="20"/>
          <w:szCs w:val="20"/>
          <w:lang w:val="pt-BR"/>
        </w:rPr>
        <w:t>podem</w:t>
      </w:r>
      <w:r w:rsidR="00407242" w:rsidRPr="0038442F">
        <w:rPr>
          <w:rFonts w:ascii="Verdana" w:hAnsi="Verdana"/>
          <w:sz w:val="20"/>
          <w:szCs w:val="20"/>
          <w:lang w:val="pt-BR"/>
        </w:rPr>
        <w:t xml:space="preserve"> </w:t>
      </w:r>
      <w:r w:rsidR="00014DA1" w:rsidRPr="0038442F">
        <w:rPr>
          <w:rFonts w:ascii="Verdana" w:hAnsi="Verdana"/>
          <w:sz w:val="20"/>
          <w:szCs w:val="20"/>
          <w:lang w:val="pt-BR"/>
        </w:rPr>
        <w:t>ser robustas</w:t>
      </w:r>
      <w:r w:rsidR="008F463C" w:rsidRPr="0038442F">
        <w:rPr>
          <w:rFonts w:ascii="Verdana" w:hAnsi="Verdana"/>
          <w:sz w:val="20"/>
          <w:szCs w:val="20"/>
          <w:lang w:val="pt-BR"/>
        </w:rPr>
        <w:t xml:space="preserve"> –</w:t>
      </w:r>
      <w:r w:rsidR="00F21CB2"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014DA1" w:rsidRPr="0038442F">
        <w:rPr>
          <w:rFonts w:ascii="Verdana" w:hAnsi="Verdana"/>
          <w:sz w:val="20"/>
          <w:szCs w:val="20"/>
          <w:lang w:val="pt-BR"/>
        </w:rPr>
        <w:t xml:space="preserve">medida </w:t>
      </w:r>
      <w:r w:rsidR="00F21CB2" w:rsidRPr="0038442F">
        <w:rPr>
          <w:rFonts w:ascii="Verdana" w:hAnsi="Verdana"/>
          <w:sz w:val="20"/>
          <w:szCs w:val="20"/>
          <w:lang w:val="pt-BR"/>
        </w:rPr>
        <w:t xml:space="preserve">em </w:t>
      </w:r>
      <w:r w:rsidR="00014DA1" w:rsidRPr="0038442F">
        <w:rPr>
          <w:rFonts w:ascii="Verdana" w:hAnsi="Verdana"/>
          <w:sz w:val="20"/>
          <w:szCs w:val="20"/>
          <w:lang w:val="pt-BR"/>
        </w:rPr>
        <w:t xml:space="preserve">que </w:t>
      </w:r>
      <w:r w:rsidR="00BF7A10" w:rsidRPr="0038442F">
        <w:rPr>
          <w:rFonts w:ascii="Verdana" w:hAnsi="Verdana"/>
          <w:sz w:val="20"/>
          <w:szCs w:val="20"/>
          <w:lang w:val="pt-BR"/>
        </w:rPr>
        <w:t xml:space="preserve">na </w:t>
      </w:r>
      <w:r w:rsidR="0059451E" w:rsidRPr="0038442F">
        <w:rPr>
          <w:rFonts w:ascii="Verdana" w:hAnsi="Verdana"/>
          <w:sz w:val="20"/>
          <w:szCs w:val="20"/>
          <w:lang w:val="pt-BR"/>
        </w:rPr>
        <w:t>prática</w:t>
      </w:r>
      <w:r w:rsidR="00407242" w:rsidRPr="0038442F">
        <w:rPr>
          <w:rFonts w:ascii="Verdana" w:hAnsi="Verdana"/>
          <w:sz w:val="20"/>
          <w:szCs w:val="20"/>
          <w:lang w:val="pt-BR"/>
        </w:rPr>
        <w:t xml:space="preserve"> </w:t>
      </w:r>
      <w:r w:rsidR="00F21CB2" w:rsidRPr="0038442F">
        <w:rPr>
          <w:rFonts w:ascii="Verdana" w:hAnsi="Verdana"/>
          <w:sz w:val="20"/>
          <w:szCs w:val="20"/>
          <w:lang w:val="pt-BR"/>
        </w:rPr>
        <w:t>e</w:t>
      </w:r>
      <w:r w:rsidR="00014DA1"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014DA1" w:rsidRPr="0038442F">
        <w:rPr>
          <w:rFonts w:ascii="Verdana" w:hAnsi="Verdana"/>
          <w:sz w:val="20"/>
          <w:szCs w:val="20"/>
          <w:lang w:val="pt-BR"/>
        </w:rPr>
        <w:t>realidad</w:t>
      </w:r>
      <w:r w:rsidR="00F21CB2" w:rsidRPr="0038442F">
        <w:rPr>
          <w:rFonts w:ascii="Verdana" w:hAnsi="Verdana"/>
          <w:sz w:val="20"/>
          <w:szCs w:val="20"/>
          <w:lang w:val="pt-BR"/>
        </w:rPr>
        <w:t>e</w:t>
      </w:r>
      <w:r w:rsidR="00014DA1" w:rsidRPr="0038442F">
        <w:rPr>
          <w:rFonts w:ascii="Verdana" w:hAnsi="Verdana"/>
          <w:sz w:val="20"/>
          <w:szCs w:val="20"/>
          <w:lang w:val="pt-BR"/>
        </w:rPr>
        <w:t xml:space="preserve"> n</w:t>
      </w:r>
      <w:r w:rsidR="00F21CB2" w:rsidRPr="0038442F">
        <w:rPr>
          <w:rFonts w:ascii="Verdana" w:hAnsi="Verdana"/>
          <w:sz w:val="20"/>
          <w:szCs w:val="20"/>
          <w:lang w:val="pt-BR"/>
        </w:rPr>
        <w:t>ã</w:t>
      </w:r>
      <w:r w:rsidR="00014DA1" w:rsidRPr="0038442F">
        <w:rPr>
          <w:rFonts w:ascii="Verdana" w:hAnsi="Verdana"/>
          <w:sz w:val="20"/>
          <w:szCs w:val="20"/>
          <w:lang w:val="pt-BR"/>
        </w:rPr>
        <w:t>o se materiali</w:t>
      </w:r>
      <w:r w:rsidR="00F21CB2" w:rsidRPr="0038442F">
        <w:rPr>
          <w:rFonts w:ascii="Verdana" w:hAnsi="Verdana"/>
          <w:sz w:val="20"/>
          <w:szCs w:val="20"/>
          <w:lang w:val="pt-BR"/>
        </w:rPr>
        <w:t>z</w:t>
      </w:r>
      <w:r w:rsidR="00014DA1" w:rsidRPr="0038442F">
        <w:rPr>
          <w:rFonts w:ascii="Verdana" w:hAnsi="Verdana"/>
          <w:sz w:val="20"/>
          <w:szCs w:val="20"/>
          <w:lang w:val="pt-BR"/>
        </w:rPr>
        <w:t>e o que a norma ordena, será inefetiv</w:t>
      </w:r>
      <w:r w:rsidR="00F21CB2" w:rsidRPr="0038442F">
        <w:rPr>
          <w:rFonts w:ascii="Verdana" w:hAnsi="Verdana"/>
          <w:sz w:val="20"/>
          <w:szCs w:val="20"/>
          <w:lang w:val="pt-BR"/>
        </w:rPr>
        <w:t>a a</w:t>
      </w:r>
      <w:r w:rsidR="00602FF9" w:rsidRPr="0038442F">
        <w:rPr>
          <w:rFonts w:ascii="Verdana" w:hAnsi="Verdana"/>
          <w:sz w:val="20"/>
          <w:szCs w:val="20"/>
          <w:lang w:val="pt-BR"/>
        </w:rPr>
        <w:t xml:space="preserve"> proteção </w:t>
      </w:r>
      <w:r w:rsidR="009855FC" w:rsidRPr="0038442F">
        <w:rPr>
          <w:rFonts w:ascii="Verdana" w:hAnsi="Verdana"/>
          <w:sz w:val="20"/>
          <w:szCs w:val="20"/>
          <w:lang w:val="pt-BR"/>
        </w:rPr>
        <w:t xml:space="preserve">que </w:t>
      </w:r>
      <w:r w:rsidR="00716963" w:rsidRPr="0038442F">
        <w:rPr>
          <w:rFonts w:ascii="Verdana" w:hAnsi="Verdana"/>
          <w:sz w:val="20"/>
          <w:szCs w:val="20"/>
          <w:lang w:val="pt-BR"/>
        </w:rPr>
        <w:t xml:space="preserve">se </w:t>
      </w:r>
      <w:r w:rsidR="009855FC" w:rsidRPr="0038442F">
        <w:rPr>
          <w:rFonts w:ascii="Verdana" w:hAnsi="Verdana"/>
          <w:sz w:val="20"/>
          <w:szCs w:val="20"/>
          <w:lang w:val="pt-BR"/>
        </w:rPr>
        <w:t>pretende</w:t>
      </w:r>
      <w:r w:rsidR="00014DA1" w:rsidRPr="0038442F">
        <w:rPr>
          <w:rFonts w:ascii="Verdana" w:hAnsi="Verdana"/>
          <w:sz w:val="20"/>
          <w:szCs w:val="20"/>
          <w:lang w:val="pt-BR"/>
        </w:rPr>
        <w:t xml:space="preserve">. </w:t>
      </w:r>
    </w:p>
    <w:p w14:paraId="0DE3EC51" w14:textId="77777777" w:rsidR="00014DA1" w:rsidRPr="0038442F" w:rsidRDefault="00014DA1" w:rsidP="00A857CB">
      <w:pPr>
        <w:pStyle w:val="Prrafodelista"/>
        <w:tabs>
          <w:tab w:val="left" w:pos="567"/>
          <w:tab w:val="center" w:pos="4702"/>
          <w:tab w:val="left" w:pos="6270"/>
        </w:tabs>
        <w:spacing w:line="240" w:lineRule="auto"/>
        <w:ind w:left="0"/>
        <w:jc w:val="both"/>
        <w:rPr>
          <w:rFonts w:ascii="Verdana" w:hAnsi="Verdana"/>
          <w:sz w:val="20"/>
          <w:szCs w:val="20"/>
          <w:lang w:val="pt-BR"/>
        </w:rPr>
      </w:pPr>
    </w:p>
    <w:p w14:paraId="7BEDA674" w14:textId="4313915E" w:rsidR="00014DA1" w:rsidRPr="0038442F" w:rsidRDefault="00823648" w:rsidP="00823648">
      <w:pPr>
        <w:pStyle w:val="Prrafodelista"/>
        <w:tabs>
          <w:tab w:val="left" w:pos="567"/>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116. </w:t>
      </w:r>
      <w:r w:rsidRPr="0038442F">
        <w:rPr>
          <w:rFonts w:ascii="Verdana" w:hAnsi="Verdana"/>
          <w:sz w:val="20"/>
          <w:szCs w:val="20"/>
          <w:lang w:val="pt-BR"/>
        </w:rPr>
        <w:tab/>
      </w:r>
      <w:r w:rsidRPr="0038442F">
        <w:rPr>
          <w:rFonts w:ascii="Verdana" w:hAnsi="Verdana"/>
          <w:sz w:val="20"/>
          <w:szCs w:val="20"/>
          <w:lang w:val="pt-BR"/>
        </w:rPr>
        <w:tab/>
      </w:r>
      <w:r w:rsidR="00014DA1" w:rsidRPr="0038442F">
        <w:rPr>
          <w:rFonts w:ascii="Verdana" w:hAnsi="Verdana"/>
          <w:sz w:val="20"/>
          <w:szCs w:val="20"/>
          <w:lang w:val="pt-BR"/>
        </w:rPr>
        <w:t>A</w:t>
      </w:r>
      <w:r w:rsidR="00F21CB2" w:rsidRPr="0038442F">
        <w:rPr>
          <w:rFonts w:ascii="Verdana" w:hAnsi="Verdana"/>
          <w:sz w:val="20"/>
          <w:szCs w:val="20"/>
          <w:lang w:val="pt-BR"/>
        </w:rPr>
        <w:t>lém disso</w:t>
      </w:r>
      <w:r w:rsidR="00014DA1" w:rsidRPr="0038442F">
        <w:rPr>
          <w:rFonts w:ascii="Verdana" w:hAnsi="Verdana"/>
          <w:sz w:val="20"/>
          <w:szCs w:val="20"/>
          <w:lang w:val="pt-BR"/>
        </w:rPr>
        <w:t xml:space="preserve">, a </w:t>
      </w:r>
      <w:r w:rsidR="00BF7A10" w:rsidRPr="0038442F">
        <w:rPr>
          <w:rFonts w:ascii="Verdana" w:hAnsi="Verdana"/>
          <w:sz w:val="20"/>
          <w:szCs w:val="20"/>
          <w:lang w:val="pt-BR"/>
        </w:rPr>
        <w:t>sentença</w:t>
      </w:r>
      <w:r w:rsidR="00407242" w:rsidRPr="0038442F">
        <w:rPr>
          <w:rFonts w:ascii="Verdana" w:hAnsi="Verdana"/>
          <w:sz w:val="20"/>
          <w:szCs w:val="20"/>
          <w:lang w:val="pt-BR"/>
        </w:rPr>
        <w:t xml:space="preserve"> </w:t>
      </w:r>
      <w:r w:rsidR="00F21CB2" w:rsidRPr="0038442F">
        <w:rPr>
          <w:rFonts w:ascii="Verdana" w:hAnsi="Verdana"/>
          <w:sz w:val="20"/>
          <w:szCs w:val="20"/>
          <w:lang w:val="pt-BR"/>
        </w:rPr>
        <w:t xml:space="preserve">referenda as </w:t>
      </w:r>
      <w:r w:rsidR="00BB665E" w:rsidRPr="0038442F">
        <w:rPr>
          <w:rFonts w:ascii="Verdana" w:hAnsi="Verdana"/>
          <w:sz w:val="20"/>
          <w:szCs w:val="20"/>
          <w:lang w:val="pt-BR"/>
        </w:rPr>
        <w:t xml:space="preserve">obrigações </w:t>
      </w:r>
      <w:r w:rsidR="00014DA1" w:rsidRPr="0038442F">
        <w:rPr>
          <w:rFonts w:ascii="Verdana" w:hAnsi="Verdana"/>
          <w:sz w:val="20"/>
          <w:szCs w:val="20"/>
          <w:lang w:val="pt-BR"/>
        </w:rPr>
        <w:t>que t</w:t>
      </w:r>
      <w:r w:rsidR="00F21CB2" w:rsidRPr="0038442F">
        <w:rPr>
          <w:rFonts w:ascii="Verdana" w:hAnsi="Verdana"/>
          <w:sz w:val="20"/>
          <w:szCs w:val="20"/>
          <w:lang w:val="pt-BR"/>
        </w:rPr>
        <w:t xml:space="preserve">êm os </w:t>
      </w:r>
      <w:r w:rsidR="005135E5" w:rsidRPr="0038442F">
        <w:rPr>
          <w:rFonts w:ascii="Verdana" w:hAnsi="Verdana"/>
          <w:sz w:val="20"/>
          <w:szCs w:val="20"/>
          <w:lang w:val="pt-BR"/>
        </w:rPr>
        <w:t xml:space="preserve">Estados </w:t>
      </w:r>
      <w:r w:rsidR="00014DA1" w:rsidRPr="0038442F">
        <w:rPr>
          <w:rFonts w:ascii="Verdana" w:hAnsi="Verdana"/>
          <w:sz w:val="20"/>
          <w:szCs w:val="20"/>
          <w:lang w:val="pt-BR"/>
        </w:rPr>
        <w:t xml:space="preserve">frente </w:t>
      </w:r>
      <w:r w:rsidR="00F21CB2" w:rsidRPr="0038442F">
        <w:rPr>
          <w:rFonts w:ascii="Verdana" w:hAnsi="Verdana"/>
          <w:sz w:val="20"/>
          <w:szCs w:val="20"/>
          <w:lang w:val="pt-BR"/>
        </w:rPr>
        <w:t xml:space="preserve">à ação </w:t>
      </w:r>
      <w:r w:rsidR="00C92762" w:rsidRPr="0038442F">
        <w:rPr>
          <w:rFonts w:ascii="Verdana" w:hAnsi="Verdana"/>
          <w:sz w:val="20"/>
          <w:szCs w:val="20"/>
          <w:lang w:val="pt-BR"/>
        </w:rPr>
        <w:t xml:space="preserve">dos </w:t>
      </w:r>
      <w:r w:rsidR="00014DA1" w:rsidRPr="0038442F">
        <w:rPr>
          <w:rFonts w:ascii="Verdana" w:hAnsi="Verdana"/>
          <w:sz w:val="20"/>
          <w:szCs w:val="20"/>
          <w:lang w:val="pt-BR"/>
        </w:rPr>
        <w:t xml:space="preserve">particulares </w:t>
      </w:r>
      <w:r w:rsidR="00602FF9" w:rsidRPr="0038442F">
        <w:rPr>
          <w:rFonts w:ascii="Verdana" w:hAnsi="Verdana"/>
          <w:sz w:val="20"/>
          <w:szCs w:val="20"/>
          <w:lang w:val="pt-BR"/>
        </w:rPr>
        <w:t xml:space="preserve">nos </w:t>
      </w:r>
      <w:r w:rsidRPr="0038442F">
        <w:rPr>
          <w:rFonts w:ascii="Verdana" w:hAnsi="Verdana"/>
          <w:sz w:val="20"/>
          <w:szCs w:val="20"/>
          <w:lang w:val="pt-BR"/>
        </w:rPr>
        <w:t>contextos labor</w:t>
      </w:r>
      <w:r w:rsidR="00C92762" w:rsidRPr="0038442F">
        <w:rPr>
          <w:rFonts w:ascii="Verdana" w:hAnsi="Verdana"/>
          <w:sz w:val="20"/>
          <w:szCs w:val="20"/>
          <w:lang w:val="pt-BR"/>
        </w:rPr>
        <w:t>ais</w:t>
      </w:r>
      <w:r w:rsidR="000A2A39"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0A2A39" w:rsidRPr="0038442F">
        <w:rPr>
          <w:rFonts w:ascii="Verdana" w:hAnsi="Verdana"/>
          <w:sz w:val="20"/>
          <w:szCs w:val="20"/>
          <w:lang w:val="pt-BR"/>
        </w:rPr>
        <w:t>caso</w:t>
      </w:r>
      <w:r w:rsidR="00014DA1" w:rsidRPr="0038442F">
        <w:rPr>
          <w:rFonts w:ascii="Verdana" w:hAnsi="Verdana"/>
          <w:sz w:val="20"/>
          <w:szCs w:val="20"/>
          <w:lang w:val="pt-BR"/>
        </w:rPr>
        <w:t xml:space="preserv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EF1E48" w:rsidRPr="0038442F">
        <w:rPr>
          <w:rFonts w:ascii="Verdana" w:hAnsi="Verdana"/>
          <w:sz w:val="20"/>
          <w:szCs w:val="20"/>
          <w:lang w:val="pt-BR"/>
        </w:rPr>
        <w:t xml:space="preserve">empresa privada </w:t>
      </w:r>
      <w:r w:rsidR="000A2A39" w:rsidRPr="0038442F">
        <w:rPr>
          <w:rFonts w:ascii="Verdana" w:hAnsi="Verdana"/>
          <w:sz w:val="20"/>
          <w:szCs w:val="20"/>
          <w:lang w:val="pt-BR"/>
        </w:rPr>
        <w:t xml:space="preserve">que </w:t>
      </w:r>
      <w:r w:rsidR="00F21CB2" w:rsidRPr="0038442F">
        <w:rPr>
          <w:rFonts w:ascii="Verdana" w:hAnsi="Verdana"/>
          <w:sz w:val="20"/>
          <w:szCs w:val="20"/>
          <w:lang w:val="pt-BR"/>
        </w:rPr>
        <w:t xml:space="preserve">manipula e </w:t>
      </w:r>
      <w:r w:rsidR="00014DA1" w:rsidRPr="0038442F">
        <w:rPr>
          <w:rFonts w:ascii="Verdana" w:hAnsi="Verdana"/>
          <w:sz w:val="20"/>
          <w:szCs w:val="20"/>
          <w:lang w:val="pt-BR"/>
        </w:rPr>
        <w:t>a</w:t>
      </w:r>
      <w:r w:rsidR="00F21CB2" w:rsidRPr="0038442F">
        <w:rPr>
          <w:rFonts w:ascii="Verdana" w:hAnsi="Verdana"/>
          <w:sz w:val="20"/>
          <w:szCs w:val="20"/>
          <w:lang w:val="pt-BR"/>
        </w:rPr>
        <w:t xml:space="preserve">rmazena </w:t>
      </w:r>
      <w:r w:rsidR="00014DA1" w:rsidRPr="0038442F">
        <w:rPr>
          <w:rFonts w:ascii="Verdana" w:hAnsi="Verdana"/>
          <w:sz w:val="20"/>
          <w:szCs w:val="20"/>
          <w:lang w:val="pt-BR"/>
        </w:rPr>
        <w:t>materi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C92762" w:rsidRPr="0038442F">
        <w:rPr>
          <w:rFonts w:ascii="Verdana" w:hAnsi="Verdana"/>
          <w:sz w:val="20"/>
          <w:szCs w:val="20"/>
          <w:lang w:val="pt-BR"/>
        </w:rPr>
        <w:t>perigosos</w:t>
      </w:r>
      <w:r w:rsidR="00014DA1" w:rsidRPr="0038442F">
        <w:rPr>
          <w:rFonts w:ascii="Verdana" w:hAnsi="Verdana"/>
          <w:sz w:val="20"/>
          <w:szCs w:val="20"/>
          <w:lang w:val="pt-BR"/>
        </w:rPr>
        <w:t xml:space="preserve">. </w:t>
      </w:r>
      <w:r w:rsidR="007B10D1" w:rsidRPr="0038442F">
        <w:rPr>
          <w:rFonts w:ascii="Verdana" w:hAnsi="Verdana"/>
          <w:sz w:val="20"/>
          <w:szCs w:val="20"/>
          <w:lang w:val="pt-BR"/>
        </w:rPr>
        <w:t>Especificamente</w:t>
      </w:r>
      <w:r w:rsidR="00014DA1" w:rsidRPr="0038442F">
        <w:rPr>
          <w:rFonts w:ascii="Verdana" w:hAnsi="Verdana"/>
          <w:sz w:val="20"/>
          <w:szCs w:val="20"/>
          <w:lang w:val="pt-BR"/>
        </w:rPr>
        <w:t xml:space="preserve">, </w:t>
      </w:r>
      <w:r w:rsidR="00921AF6" w:rsidRPr="0038442F">
        <w:rPr>
          <w:rFonts w:ascii="Verdana" w:hAnsi="Verdana"/>
          <w:sz w:val="20"/>
          <w:szCs w:val="20"/>
          <w:lang w:val="pt-BR"/>
        </w:rPr>
        <w:t>trata-se d</w:t>
      </w:r>
      <w:r w:rsidR="00F21CB2" w:rsidRPr="0038442F">
        <w:rPr>
          <w:rFonts w:ascii="Verdana" w:hAnsi="Verdana"/>
          <w:sz w:val="20"/>
          <w:szCs w:val="20"/>
          <w:lang w:val="pt-BR"/>
        </w:rPr>
        <w:t xml:space="preserve">o primeiro cenário </w:t>
      </w:r>
      <w:r w:rsidR="00921AF6" w:rsidRPr="0038442F">
        <w:rPr>
          <w:rFonts w:ascii="Verdana" w:hAnsi="Verdana"/>
          <w:sz w:val="20"/>
          <w:szCs w:val="20"/>
          <w:lang w:val="pt-BR"/>
        </w:rPr>
        <w:t xml:space="preserve">m que </w:t>
      </w:r>
      <w:r w:rsidR="00716963" w:rsidRPr="0038442F">
        <w:rPr>
          <w:rFonts w:ascii="Verdana" w:hAnsi="Verdana"/>
          <w:sz w:val="20"/>
          <w:szCs w:val="20"/>
          <w:lang w:val="pt-BR"/>
        </w:rPr>
        <w:t xml:space="preserve">é possível </w:t>
      </w:r>
      <w:r w:rsidR="00014DA1" w:rsidRPr="0038442F">
        <w:rPr>
          <w:rFonts w:ascii="Verdana" w:hAnsi="Verdana"/>
          <w:sz w:val="20"/>
          <w:szCs w:val="20"/>
          <w:lang w:val="pt-BR"/>
        </w:rPr>
        <w:t>interpretar as disposi</w:t>
      </w:r>
      <w:r w:rsidR="000A1AA8" w:rsidRPr="0038442F">
        <w:rPr>
          <w:rFonts w:ascii="Verdana" w:hAnsi="Verdana"/>
          <w:sz w:val="20"/>
          <w:szCs w:val="20"/>
          <w:lang w:val="pt-BR"/>
        </w:rPr>
        <w:t>ções</w:t>
      </w:r>
      <w:r w:rsidR="00014DA1"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014DA1" w:rsidRPr="0038442F">
        <w:rPr>
          <w:rFonts w:ascii="Verdana" w:hAnsi="Verdana"/>
          <w:sz w:val="20"/>
          <w:szCs w:val="20"/>
          <w:lang w:val="pt-BR"/>
        </w:rPr>
        <w:t>Conven</w:t>
      </w:r>
      <w:r w:rsidR="000A1AA8" w:rsidRPr="0038442F">
        <w:rPr>
          <w:rFonts w:ascii="Verdana" w:hAnsi="Verdana"/>
          <w:sz w:val="20"/>
          <w:szCs w:val="20"/>
          <w:lang w:val="pt-BR"/>
        </w:rPr>
        <w:t>ção</w:t>
      </w:r>
      <w:r w:rsidR="00014DA1" w:rsidRPr="0038442F">
        <w:rPr>
          <w:rFonts w:ascii="Verdana" w:hAnsi="Verdana"/>
          <w:sz w:val="20"/>
          <w:szCs w:val="20"/>
          <w:lang w:val="pt-BR"/>
        </w:rPr>
        <w:t xml:space="preserve"> Americana (</w:t>
      </w:r>
      <w:r w:rsidR="00BB665E" w:rsidRPr="0038442F">
        <w:rPr>
          <w:rFonts w:ascii="Verdana" w:hAnsi="Verdana"/>
          <w:sz w:val="20"/>
          <w:szCs w:val="20"/>
          <w:lang w:val="pt-BR"/>
        </w:rPr>
        <w:t xml:space="preserve">art. </w:t>
      </w:r>
      <w:r w:rsidR="00014DA1" w:rsidRPr="0038442F">
        <w:rPr>
          <w:rFonts w:ascii="Verdana" w:hAnsi="Verdana"/>
          <w:sz w:val="20"/>
          <w:szCs w:val="20"/>
          <w:lang w:val="pt-BR"/>
        </w:rPr>
        <w:t xml:space="preserve">1.1 </w:t>
      </w:r>
      <w:r w:rsidR="007B10D1" w:rsidRPr="0038442F">
        <w:rPr>
          <w:rFonts w:ascii="Verdana" w:hAnsi="Verdana"/>
          <w:sz w:val="20"/>
          <w:szCs w:val="20"/>
          <w:lang w:val="pt-BR"/>
        </w:rPr>
        <w:t>e</w:t>
      </w:r>
      <w:r w:rsidR="00014DA1" w:rsidRPr="0038442F">
        <w:rPr>
          <w:rFonts w:ascii="Verdana" w:hAnsi="Verdana"/>
          <w:sz w:val="20"/>
          <w:szCs w:val="20"/>
          <w:lang w:val="pt-BR"/>
        </w:rPr>
        <w:t xml:space="preserve"> 2)</w:t>
      </w:r>
      <w:r w:rsidR="00716963" w:rsidRPr="0038442F">
        <w:rPr>
          <w:rFonts w:ascii="Verdana" w:hAnsi="Verdana"/>
          <w:sz w:val="20"/>
          <w:szCs w:val="20"/>
          <w:lang w:val="pt-BR"/>
        </w:rPr>
        <w:t>,</w:t>
      </w:r>
      <w:r w:rsidR="00014DA1" w:rsidRPr="0038442F">
        <w:rPr>
          <w:rFonts w:ascii="Verdana" w:hAnsi="Verdana"/>
          <w:sz w:val="20"/>
          <w:szCs w:val="20"/>
          <w:lang w:val="pt-BR"/>
        </w:rPr>
        <w:t xml:space="preserve"> </w:t>
      </w:r>
      <w:r w:rsidR="007B10D1" w:rsidRPr="0038442F">
        <w:rPr>
          <w:rFonts w:ascii="Verdana" w:hAnsi="Verdana"/>
          <w:sz w:val="20"/>
          <w:szCs w:val="20"/>
          <w:lang w:val="pt-BR"/>
        </w:rPr>
        <w:t xml:space="preserve">com base nos desdobramentos verificados no âmbito </w:t>
      </w:r>
      <w:r w:rsidR="00C92762" w:rsidRPr="0038442F">
        <w:rPr>
          <w:rFonts w:ascii="Verdana" w:hAnsi="Verdana"/>
          <w:sz w:val="20"/>
          <w:szCs w:val="20"/>
          <w:lang w:val="pt-BR"/>
        </w:rPr>
        <w:t xml:space="preserve">das </w:t>
      </w:r>
      <w:r w:rsidR="00014DA1" w:rsidRPr="0038442F">
        <w:rPr>
          <w:rFonts w:ascii="Verdana" w:hAnsi="Verdana"/>
          <w:sz w:val="20"/>
          <w:szCs w:val="20"/>
          <w:lang w:val="pt-BR"/>
        </w:rPr>
        <w:t xml:space="preserve">empresas </w:t>
      </w:r>
      <w:r w:rsidR="007B10D1" w:rsidRPr="0038442F">
        <w:rPr>
          <w:rFonts w:ascii="Verdana" w:hAnsi="Verdana"/>
          <w:sz w:val="20"/>
          <w:szCs w:val="20"/>
          <w:lang w:val="pt-BR"/>
        </w:rPr>
        <w:t>e</w:t>
      </w:r>
      <w:r w:rsidR="00014DA1" w:rsidRPr="0038442F">
        <w:rPr>
          <w:rFonts w:ascii="Verdana" w:hAnsi="Verdana"/>
          <w:sz w:val="20"/>
          <w:szCs w:val="20"/>
          <w:lang w:val="pt-BR"/>
        </w:rPr>
        <w:t xml:space="preserve"> </w:t>
      </w:r>
      <w:r w:rsidR="007B10D1" w:rsidRPr="0038442F">
        <w:rPr>
          <w:rFonts w:ascii="Verdana" w:hAnsi="Verdana"/>
          <w:sz w:val="20"/>
          <w:szCs w:val="20"/>
          <w:lang w:val="pt-BR"/>
        </w:rPr>
        <w:t>d</w:t>
      </w:r>
      <w:r w:rsidR="00C92762" w:rsidRPr="0038442F">
        <w:rPr>
          <w:rFonts w:ascii="Verdana" w:hAnsi="Verdana"/>
          <w:sz w:val="20"/>
          <w:szCs w:val="20"/>
          <w:lang w:val="pt-BR"/>
        </w:rPr>
        <w:t xml:space="preserve">os direitos </w:t>
      </w:r>
      <w:r w:rsidR="00014DA1" w:rsidRPr="0038442F">
        <w:rPr>
          <w:rFonts w:ascii="Verdana" w:hAnsi="Verdana"/>
          <w:sz w:val="20"/>
          <w:szCs w:val="20"/>
          <w:lang w:val="pt-BR"/>
        </w:rPr>
        <w:t xml:space="preserve">humanos, </w:t>
      </w:r>
      <w:r w:rsidR="00716963" w:rsidRPr="0038442F">
        <w:rPr>
          <w:rFonts w:ascii="Verdana" w:hAnsi="Verdana"/>
          <w:sz w:val="20"/>
          <w:szCs w:val="20"/>
          <w:lang w:val="pt-BR"/>
        </w:rPr>
        <w:t xml:space="preserve">especialmente </w:t>
      </w:r>
      <w:r w:rsidR="007B10D1" w:rsidRPr="0038442F">
        <w:rPr>
          <w:rFonts w:ascii="Verdana" w:hAnsi="Verdana"/>
          <w:sz w:val="20"/>
          <w:szCs w:val="20"/>
          <w:lang w:val="pt-BR"/>
        </w:rPr>
        <w:t xml:space="preserve">de acordo com a </w:t>
      </w:r>
      <w:r w:rsidR="005B55A8" w:rsidRPr="0038442F">
        <w:rPr>
          <w:rFonts w:ascii="Verdana" w:hAnsi="Verdana"/>
          <w:sz w:val="20"/>
          <w:szCs w:val="20"/>
          <w:lang w:val="pt-BR"/>
        </w:rPr>
        <w:t xml:space="preserve">obrigação </w:t>
      </w:r>
      <w:r w:rsidR="00014DA1" w:rsidRPr="0038442F">
        <w:rPr>
          <w:rFonts w:ascii="Verdana" w:hAnsi="Verdana"/>
          <w:sz w:val="20"/>
          <w:szCs w:val="20"/>
          <w:lang w:val="pt-BR"/>
        </w:rPr>
        <w:t>de “</w:t>
      </w:r>
      <w:r w:rsidR="00751189" w:rsidRPr="0038442F">
        <w:rPr>
          <w:rFonts w:ascii="Verdana" w:hAnsi="Verdana"/>
          <w:sz w:val="20"/>
          <w:szCs w:val="20"/>
          <w:lang w:val="pt-BR"/>
        </w:rPr>
        <w:t>proteção</w:t>
      </w:r>
      <w:r w:rsidR="00014DA1" w:rsidRPr="0038442F">
        <w:rPr>
          <w:rFonts w:ascii="Verdana" w:hAnsi="Verdana"/>
          <w:sz w:val="20"/>
          <w:szCs w:val="20"/>
          <w:lang w:val="pt-BR"/>
        </w:rPr>
        <w:t>”</w:t>
      </w:r>
      <w:r w:rsidR="00716963" w:rsidRPr="0038442F">
        <w:rPr>
          <w:rFonts w:ascii="Verdana" w:hAnsi="Verdana"/>
          <w:sz w:val="20"/>
          <w:szCs w:val="20"/>
          <w:lang w:val="pt-BR"/>
        </w:rPr>
        <w:t>,</w:t>
      </w:r>
      <w:r w:rsidR="00014DA1" w:rsidRPr="0038442F">
        <w:rPr>
          <w:rFonts w:ascii="Verdana" w:hAnsi="Verdana"/>
          <w:sz w:val="20"/>
          <w:szCs w:val="20"/>
          <w:lang w:val="pt-BR"/>
        </w:rPr>
        <w:t xml:space="preserve"> que </w:t>
      </w:r>
      <w:r w:rsidR="007B10D1" w:rsidRPr="0038442F">
        <w:rPr>
          <w:rFonts w:ascii="Verdana" w:hAnsi="Verdana"/>
          <w:sz w:val="20"/>
          <w:szCs w:val="20"/>
          <w:lang w:val="pt-BR"/>
        </w:rPr>
        <w:t xml:space="preserve">coincide com o que </w:t>
      </w:r>
      <w:r w:rsidR="00014DA1" w:rsidRPr="0038442F">
        <w:rPr>
          <w:rFonts w:ascii="Verdana" w:hAnsi="Verdana"/>
          <w:sz w:val="20"/>
          <w:szCs w:val="20"/>
          <w:lang w:val="pt-BR"/>
        </w:rPr>
        <w:t xml:space="preserve">jurisprudencialmente </w:t>
      </w:r>
      <w:r w:rsidR="007B10D1" w:rsidRPr="0038442F">
        <w:rPr>
          <w:rFonts w:ascii="Verdana" w:hAnsi="Verdana"/>
          <w:sz w:val="20"/>
          <w:szCs w:val="20"/>
          <w:lang w:val="pt-BR"/>
        </w:rPr>
        <w:t xml:space="preserve">foi </w:t>
      </w:r>
      <w:r w:rsidR="00014DA1" w:rsidRPr="0038442F">
        <w:rPr>
          <w:rFonts w:ascii="Verdana" w:hAnsi="Verdana"/>
          <w:sz w:val="20"/>
          <w:szCs w:val="20"/>
          <w:lang w:val="pt-BR"/>
        </w:rPr>
        <w:t xml:space="preserve">interpretado </w:t>
      </w:r>
      <w:r w:rsidR="00716963" w:rsidRPr="0038442F">
        <w:rPr>
          <w:rFonts w:ascii="Verdana" w:hAnsi="Verdana"/>
          <w:sz w:val="20"/>
          <w:szCs w:val="20"/>
          <w:lang w:val="pt-BR"/>
        </w:rPr>
        <w:t>no âmbito</w:t>
      </w:r>
      <w:r w:rsidR="00014DA1" w:rsidRPr="0038442F">
        <w:rPr>
          <w:rFonts w:ascii="Verdana" w:hAnsi="Verdana"/>
          <w:sz w:val="20"/>
          <w:szCs w:val="20"/>
          <w:lang w:val="pt-BR"/>
        </w:rPr>
        <w:t xml:space="preserve"> </w:t>
      </w:r>
      <w:r w:rsidR="00C92762" w:rsidRPr="0038442F">
        <w:rPr>
          <w:rFonts w:ascii="Verdana" w:hAnsi="Verdana"/>
          <w:sz w:val="20"/>
          <w:szCs w:val="20"/>
          <w:lang w:val="pt-BR"/>
        </w:rPr>
        <w:t>da obrigação</w:t>
      </w:r>
      <w:r w:rsidR="00407242" w:rsidRPr="0038442F">
        <w:rPr>
          <w:rFonts w:ascii="Verdana" w:hAnsi="Verdana"/>
          <w:sz w:val="20"/>
          <w:szCs w:val="20"/>
          <w:lang w:val="pt-BR"/>
        </w:rPr>
        <w:t xml:space="preserve"> </w:t>
      </w:r>
      <w:r w:rsidR="00014DA1" w:rsidRPr="0038442F">
        <w:rPr>
          <w:rFonts w:ascii="Verdana" w:hAnsi="Verdana"/>
          <w:sz w:val="20"/>
          <w:szCs w:val="20"/>
          <w:lang w:val="pt-BR"/>
        </w:rPr>
        <w:t xml:space="preserve">de </w:t>
      </w:r>
      <w:r w:rsidR="00C92762" w:rsidRPr="0038442F">
        <w:rPr>
          <w:rFonts w:ascii="Verdana" w:hAnsi="Verdana"/>
          <w:sz w:val="20"/>
          <w:szCs w:val="20"/>
          <w:lang w:val="pt-BR"/>
        </w:rPr>
        <w:t>garantia</w:t>
      </w:r>
      <w:r w:rsidR="00407242" w:rsidRPr="0038442F">
        <w:rPr>
          <w:rFonts w:ascii="Verdana" w:hAnsi="Verdana"/>
          <w:sz w:val="20"/>
          <w:szCs w:val="20"/>
          <w:lang w:val="pt-BR"/>
        </w:rPr>
        <w:t xml:space="preserve"> </w:t>
      </w:r>
      <w:r w:rsidR="007B10D1" w:rsidRPr="0038442F">
        <w:rPr>
          <w:rFonts w:ascii="Verdana" w:hAnsi="Verdana"/>
          <w:sz w:val="20"/>
          <w:szCs w:val="20"/>
          <w:lang w:val="pt-BR"/>
        </w:rPr>
        <w:t>e</w:t>
      </w:r>
      <w:r w:rsidR="00014DA1" w:rsidRPr="0038442F">
        <w:rPr>
          <w:rFonts w:ascii="Verdana" w:hAnsi="Verdana"/>
          <w:sz w:val="20"/>
          <w:szCs w:val="20"/>
          <w:lang w:val="pt-BR"/>
        </w:rPr>
        <w:t xml:space="preserve"> </w:t>
      </w:r>
      <w:r w:rsidR="007B10D1" w:rsidRPr="0038442F">
        <w:rPr>
          <w:rFonts w:ascii="Verdana" w:hAnsi="Verdana"/>
          <w:sz w:val="20"/>
          <w:szCs w:val="20"/>
          <w:lang w:val="pt-BR"/>
        </w:rPr>
        <w:t xml:space="preserve">do </w:t>
      </w:r>
      <w:r w:rsidR="00A97590" w:rsidRPr="0038442F">
        <w:rPr>
          <w:rFonts w:ascii="Verdana" w:hAnsi="Verdana"/>
          <w:sz w:val="20"/>
          <w:szCs w:val="20"/>
          <w:lang w:val="pt-BR"/>
        </w:rPr>
        <w:t>dever</w:t>
      </w:r>
      <w:r w:rsidR="00407242" w:rsidRPr="0038442F">
        <w:rPr>
          <w:rFonts w:ascii="Verdana" w:hAnsi="Verdana"/>
          <w:sz w:val="20"/>
          <w:szCs w:val="20"/>
          <w:lang w:val="pt-BR"/>
        </w:rPr>
        <w:t xml:space="preserve"> </w:t>
      </w:r>
      <w:r w:rsidR="00014DA1" w:rsidRPr="0038442F">
        <w:rPr>
          <w:rFonts w:ascii="Verdana" w:hAnsi="Verdana"/>
          <w:sz w:val="20"/>
          <w:szCs w:val="20"/>
          <w:lang w:val="pt-BR"/>
        </w:rPr>
        <w:t>de preven</w:t>
      </w:r>
      <w:r w:rsidR="000A1AA8" w:rsidRPr="0038442F">
        <w:rPr>
          <w:rFonts w:ascii="Verdana" w:hAnsi="Verdana"/>
          <w:sz w:val="20"/>
          <w:szCs w:val="20"/>
          <w:lang w:val="pt-BR"/>
        </w:rPr>
        <w:t>ção</w:t>
      </w:r>
      <w:r w:rsidR="00014DA1" w:rsidRPr="0038442F">
        <w:rPr>
          <w:rFonts w:ascii="Verdana" w:hAnsi="Verdana"/>
          <w:sz w:val="20"/>
          <w:szCs w:val="20"/>
          <w:lang w:val="pt-BR"/>
        </w:rPr>
        <w:t xml:space="preserve">. </w:t>
      </w:r>
    </w:p>
    <w:p w14:paraId="6717B7D5" w14:textId="77777777" w:rsidR="00102093" w:rsidRPr="0038442F" w:rsidRDefault="00102093" w:rsidP="00A857CB">
      <w:pPr>
        <w:pStyle w:val="Prrafodelista"/>
        <w:spacing w:line="240" w:lineRule="auto"/>
        <w:rPr>
          <w:rFonts w:ascii="Verdana" w:hAnsi="Verdana"/>
          <w:sz w:val="20"/>
          <w:szCs w:val="20"/>
          <w:lang w:val="pt-BR"/>
        </w:rPr>
      </w:pPr>
    </w:p>
    <w:p w14:paraId="13F464C9" w14:textId="30DEBC8B" w:rsidR="00102093" w:rsidRPr="0038442F" w:rsidRDefault="00823648" w:rsidP="00823648">
      <w:pPr>
        <w:pStyle w:val="Prrafodelista"/>
        <w:tabs>
          <w:tab w:val="left" w:pos="567"/>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117. </w:t>
      </w:r>
      <w:r w:rsidRPr="0038442F">
        <w:rPr>
          <w:rFonts w:ascii="Verdana" w:hAnsi="Verdana"/>
          <w:sz w:val="20"/>
          <w:szCs w:val="20"/>
          <w:lang w:val="pt-BR"/>
        </w:rPr>
        <w:tab/>
      </w:r>
      <w:r w:rsidRPr="0038442F">
        <w:rPr>
          <w:rFonts w:ascii="Verdana" w:hAnsi="Verdana"/>
          <w:sz w:val="20"/>
          <w:szCs w:val="20"/>
          <w:lang w:val="pt-BR"/>
        </w:rPr>
        <w:tab/>
      </w:r>
      <w:r w:rsidR="00EF1E48" w:rsidRPr="0038442F">
        <w:rPr>
          <w:rFonts w:ascii="Verdana" w:hAnsi="Verdana"/>
          <w:sz w:val="20"/>
          <w:szCs w:val="20"/>
          <w:lang w:val="pt-BR"/>
        </w:rPr>
        <w:t>T</w:t>
      </w:r>
      <w:r w:rsidR="00102093" w:rsidRPr="0038442F">
        <w:rPr>
          <w:rFonts w:ascii="Verdana" w:hAnsi="Verdana"/>
          <w:sz w:val="20"/>
          <w:szCs w:val="20"/>
          <w:lang w:val="pt-BR"/>
        </w:rPr>
        <w:t>ambé</w:t>
      </w:r>
      <w:r w:rsidR="007B10D1" w:rsidRPr="0038442F">
        <w:rPr>
          <w:rFonts w:ascii="Verdana" w:hAnsi="Verdana"/>
          <w:sz w:val="20"/>
          <w:szCs w:val="20"/>
          <w:lang w:val="pt-BR"/>
        </w:rPr>
        <w:t>m</w:t>
      </w:r>
      <w:r w:rsidR="00102093" w:rsidRPr="0038442F">
        <w:rPr>
          <w:rFonts w:ascii="Verdana" w:hAnsi="Verdana"/>
          <w:sz w:val="20"/>
          <w:szCs w:val="20"/>
          <w:lang w:val="pt-BR"/>
        </w:rPr>
        <w:t xml:space="preserve"> a </w:t>
      </w:r>
      <w:r w:rsidR="00BF7A10" w:rsidRPr="0038442F">
        <w:rPr>
          <w:rFonts w:ascii="Verdana" w:hAnsi="Verdana"/>
          <w:sz w:val="20"/>
          <w:szCs w:val="20"/>
          <w:lang w:val="pt-BR"/>
        </w:rPr>
        <w:t>sentença</w:t>
      </w:r>
      <w:r w:rsidR="00407242" w:rsidRPr="0038442F">
        <w:rPr>
          <w:rFonts w:ascii="Verdana" w:hAnsi="Verdana"/>
          <w:sz w:val="20"/>
          <w:szCs w:val="20"/>
          <w:lang w:val="pt-BR"/>
        </w:rPr>
        <w:t xml:space="preserve"> </w:t>
      </w:r>
      <w:r w:rsidR="00102093" w:rsidRPr="0038442F">
        <w:rPr>
          <w:rFonts w:ascii="Verdana" w:hAnsi="Verdana"/>
          <w:sz w:val="20"/>
          <w:szCs w:val="20"/>
          <w:lang w:val="pt-BR"/>
        </w:rPr>
        <w:t xml:space="preserve">destaca a </w:t>
      </w:r>
      <w:r w:rsidR="00246A73" w:rsidRPr="0038442F">
        <w:rPr>
          <w:rFonts w:ascii="Verdana" w:hAnsi="Verdana"/>
          <w:sz w:val="20"/>
          <w:szCs w:val="20"/>
          <w:lang w:val="pt-BR"/>
        </w:rPr>
        <w:t>existência</w:t>
      </w:r>
      <w:r w:rsidR="00407242" w:rsidRPr="0038442F">
        <w:rPr>
          <w:rFonts w:ascii="Verdana" w:hAnsi="Verdana"/>
          <w:sz w:val="20"/>
          <w:szCs w:val="20"/>
          <w:lang w:val="pt-BR"/>
        </w:rPr>
        <w:t xml:space="preserve"> </w:t>
      </w:r>
      <w:r w:rsidR="00102093" w:rsidRPr="0038442F">
        <w:rPr>
          <w:rFonts w:ascii="Verdana" w:hAnsi="Verdana"/>
          <w:sz w:val="20"/>
          <w:szCs w:val="20"/>
          <w:lang w:val="pt-BR"/>
        </w:rPr>
        <w:t xml:space="preserve">de </w:t>
      </w:r>
      <w:r w:rsidR="007B10D1" w:rsidRPr="0038442F">
        <w:rPr>
          <w:rFonts w:ascii="Verdana" w:hAnsi="Verdana"/>
          <w:sz w:val="20"/>
          <w:szCs w:val="20"/>
          <w:lang w:val="pt-BR"/>
        </w:rPr>
        <w:t xml:space="preserve">sujeição </w:t>
      </w:r>
      <w:r w:rsidR="00102093" w:rsidRPr="0038442F">
        <w:rPr>
          <w:rFonts w:ascii="Verdana" w:hAnsi="Verdana"/>
          <w:sz w:val="20"/>
          <w:szCs w:val="20"/>
          <w:lang w:val="pt-BR"/>
        </w:rPr>
        <w:t xml:space="preserve">de grupos de </w:t>
      </w:r>
      <w:r w:rsidR="00C92762" w:rsidRPr="0038442F">
        <w:rPr>
          <w:rFonts w:ascii="Verdana" w:hAnsi="Verdana"/>
          <w:sz w:val="20"/>
          <w:szCs w:val="20"/>
          <w:lang w:val="pt-BR"/>
        </w:rPr>
        <w:t>pessoas</w:t>
      </w:r>
      <w:r w:rsidR="00CA6573" w:rsidRPr="0038442F">
        <w:rPr>
          <w:rFonts w:ascii="Verdana" w:hAnsi="Verdana"/>
          <w:sz w:val="20"/>
          <w:szCs w:val="20"/>
          <w:lang w:val="pt-BR"/>
        </w:rPr>
        <w:t>,</w:t>
      </w:r>
      <w:r w:rsidR="00102093" w:rsidRPr="0038442F">
        <w:rPr>
          <w:rFonts w:ascii="Verdana" w:hAnsi="Verdana"/>
          <w:sz w:val="20"/>
          <w:szCs w:val="20"/>
          <w:lang w:val="pt-BR"/>
        </w:rPr>
        <w:t xml:space="preserve"> </w:t>
      </w:r>
      <w:r w:rsidR="005871F1" w:rsidRPr="0038442F">
        <w:rPr>
          <w:rFonts w:ascii="Verdana" w:hAnsi="Verdana"/>
          <w:sz w:val="20"/>
          <w:szCs w:val="20"/>
          <w:lang w:val="pt-BR"/>
        </w:rPr>
        <w:t>que</w:t>
      </w:r>
      <w:r w:rsidR="00452D4F" w:rsidRPr="0038442F">
        <w:rPr>
          <w:rFonts w:ascii="Verdana" w:hAnsi="Verdana"/>
          <w:sz w:val="20"/>
          <w:szCs w:val="20"/>
          <w:lang w:val="pt-BR"/>
        </w:rPr>
        <w:t>,</w:t>
      </w:r>
      <w:r w:rsidR="00DA2C6D" w:rsidRPr="0038442F">
        <w:rPr>
          <w:rFonts w:ascii="Verdana" w:hAnsi="Verdana"/>
          <w:sz w:val="20"/>
          <w:szCs w:val="20"/>
          <w:lang w:val="pt-BR"/>
        </w:rPr>
        <w:t xml:space="preserve"> </w:t>
      </w:r>
      <w:r w:rsidR="00102093" w:rsidRPr="0038442F">
        <w:rPr>
          <w:rFonts w:ascii="Verdana" w:hAnsi="Verdana"/>
          <w:sz w:val="20"/>
          <w:szCs w:val="20"/>
          <w:lang w:val="pt-BR"/>
        </w:rPr>
        <w:t>dada</w:t>
      </w:r>
      <w:r w:rsidR="00DA2C6D" w:rsidRPr="0038442F">
        <w:rPr>
          <w:rFonts w:ascii="Verdana" w:hAnsi="Verdana"/>
          <w:sz w:val="20"/>
          <w:szCs w:val="20"/>
          <w:lang w:val="pt-BR"/>
        </w:rPr>
        <w:t>s</w:t>
      </w:r>
      <w:r w:rsidR="00102093" w:rsidRPr="0038442F">
        <w:rPr>
          <w:rFonts w:ascii="Verdana" w:hAnsi="Verdana"/>
          <w:sz w:val="20"/>
          <w:szCs w:val="20"/>
          <w:lang w:val="pt-BR"/>
        </w:rPr>
        <w:t xml:space="preserve"> su</w:t>
      </w:r>
      <w:r w:rsidR="007B10D1" w:rsidRPr="0038442F">
        <w:rPr>
          <w:rFonts w:ascii="Verdana" w:hAnsi="Verdana"/>
          <w:sz w:val="20"/>
          <w:szCs w:val="20"/>
          <w:lang w:val="pt-BR"/>
        </w:rPr>
        <w:t>a</w:t>
      </w:r>
      <w:r w:rsidR="00DA2C6D" w:rsidRPr="0038442F">
        <w:rPr>
          <w:rFonts w:ascii="Verdana" w:hAnsi="Verdana"/>
          <w:sz w:val="20"/>
          <w:szCs w:val="20"/>
          <w:lang w:val="pt-BR"/>
        </w:rPr>
        <w:t>s</w:t>
      </w:r>
      <w:r w:rsidR="00102093" w:rsidRPr="0038442F">
        <w:rPr>
          <w:rFonts w:ascii="Verdana" w:hAnsi="Verdana"/>
          <w:sz w:val="20"/>
          <w:szCs w:val="20"/>
          <w:lang w:val="pt-BR"/>
        </w:rPr>
        <w:t xml:space="preserve"> condi</w:t>
      </w:r>
      <w:r w:rsidR="000A1AA8" w:rsidRPr="0038442F">
        <w:rPr>
          <w:rFonts w:ascii="Verdana" w:hAnsi="Verdana"/>
          <w:sz w:val="20"/>
          <w:szCs w:val="20"/>
          <w:lang w:val="pt-BR"/>
        </w:rPr>
        <w:t>ções</w:t>
      </w:r>
      <w:r w:rsidR="00102093" w:rsidRPr="0038442F">
        <w:rPr>
          <w:rFonts w:ascii="Verdana" w:hAnsi="Verdana"/>
          <w:sz w:val="20"/>
          <w:szCs w:val="20"/>
          <w:lang w:val="pt-BR"/>
        </w:rPr>
        <w:t xml:space="preserve"> soci</w:t>
      </w:r>
      <w:r w:rsidR="00C92762" w:rsidRPr="0038442F">
        <w:rPr>
          <w:rFonts w:ascii="Verdana" w:hAnsi="Verdana"/>
          <w:sz w:val="20"/>
          <w:szCs w:val="20"/>
          <w:lang w:val="pt-BR"/>
        </w:rPr>
        <w:t>ais</w:t>
      </w:r>
      <w:r w:rsidR="00102093" w:rsidRPr="0038442F">
        <w:rPr>
          <w:rFonts w:ascii="Verdana" w:hAnsi="Verdana"/>
          <w:sz w:val="20"/>
          <w:szCs w:val="20"/>
          <w:lang w:val="pt-BR"/>
        </w:rPr>
        <w:t xml:space="preserve">, </w:t>
      </w:r>
      <w:r w:rsidR="0059451E" w:rsidRPr="0038442F">
        <w:rPr>
          <w:rFonts w:ascii="Verdana" w:hAnsi="Verdana"/>
          <w:sz w:val="20"/>
          <w:szCs w:val="20"/>
          <w:lang w:val="pt-BR"/>
        </w:rPr>
        <w:t>econômicas</w:t>
      </w:r>
      <w:r w:rsidR="00407242" w:rsidRPr="0038442F">
        <w:rPr>
          <w:rFonts w:ascii="Verdana" w:hAnsi="Verdana"/>
          <w:sz w:val="20"/>
          <w:szCs w:val="20"/>
          <w:lang w:val="pt-BR"/>
        </w:rPr>
        <w:t xml:space="preserve"> </w:t>
      </w:r>
      <w:r w:rsidR="007B10D1" w:rsidRPr="0038442F">
        <w:rPr>
          <w:rFonts w:ascii="Verdana" w:hAnsi="Verdana"/>
          <w:sz w:val="20"/>
          <w:szCs w:val="20"/>
          <w:lang w:val="pt-BR"/>
        </w:rPr>
        <w:t>e</w:t>
      </w:r>
      <w:r w:rsidR="00102093" w:rsidRPr="0038442F">
        <w:rPr>
          <w:rFonts w:ascii="Verdana" w:hAnsi="Verdana"/>
          <w:sz w:val="20"/>
          <w:szCs w:val="20"/>
          <w:lang w:val="pt-BR"/>
        </w:rPr>
        <w:t xml:space="preserve"> </w:t>
      </w:r>
      <w:r w:rsidR="007B10D1" w:rsidRPr="0038442F">
        <w:rPr>
          <w:rFonts w:ascii="Verdana" w:hAnsi="Verdana"/>
          <w:sz w:val="20"/>
          <w:szCs w:val="20"/>
          <w:lang w:val="pt-BR"/>
        </w:rPr>
        <w:t>pessoais, se v</w:t>
      </w:r>
      <w:r w:rsidR="00716963" w:rsidRPr="0038442F">
        <w:rPr>
          <w:rFonts w:ascii="Verdana" w:hAnsi="Verdana"/>
          <w:sz w:val="20"/>
          <w:szCs w:val="20"/>
          <w:lang w:val="pt-BR"/>
        </w:rPr>
        <w:t>eem</w:t>
      </w:r>
      <w:r w:rsidR="007B10D1" w:rsidRPr="0038442F">
        <w:rPr>
          <w:rFonts w:ascii="Verdana" w:hAnsi="Verdana"/>
          <w:sz w:val="20"/>
          <w:szCs w:val="20"/>
          <w:lang w:val="pt-BR"/>
        </w:rPr>
        <w:t xml:space="preserve"> obrigadas </w:t>
      </w:r>
      <w:r w:rsidR="00102093" w:rsidRPr="0038442F">
        <w:rPr>
          <w:rFonts w:ascii="Verdana" w:hAnsi="Verdana"/>
          <w:sz w:val="20"/>
          <w:szCs w:val="20"/>
          <w:lang w:val="pt-BR"/>
        </w:rPr>
        <w:t>a ace</w:t>
      </w:r>
      <w:r w:rsidR="007B10D1" w:rsidRPr="0038442F">
        <w:rPr>
          <w:rFonts w:ascii="Verdana" w:hAnsi="Verdana"/>
          <w:sz w:val="20"/>
          <w:szCs w:val="20"/>
          <w:lang w:val="pt-BR"/>
        </w:rPr>
        <w:t>i</w:t>
      </w:r>
      <w:r w:rsidR="00102093" w:rsidRPr="0038442F">
        <w:rPr>
          <w:rFonts w:ascii="Verdana" w:hAnsi="Verdana"/>
          <w:sz w:val="20"/>
          <w:szCs w:val="20"/>
          <w:lang w:val="pt-BR"/>
        </w:rPr>
        <w:t xml:space="preserve">tar </w:t>
      </w:r>
      <w:r w:rsidR="00C92762" w:rsidRPr="0038442F">
        <w:rPr>
          <w:rFonts w:ascii="Verdana" w:hAnsi="Verdana"/>
          <w:sz w:val="20"/>
          <w:szCs w:val="20"/>
          <w:lang w:val="pt-BR"/>
        </w:rPr>
        <w:t xml:space="preserve">trabalhos </w:t>
      </w:r>
      <w:r w:rsidR="00102093" w:rsidRPr="0038442F">
        <w:rPr>
          <w:rFonts w:ascii="Verdana" w:hAnsi="Verdana"/>
          <w:sz w:val="20"/>
          <w:szCs w:val="20"/>
          <w:lang w:val="pt-BR"/>
        </w:rPr>
        <w:t xml:space="preserve">que </w:t>
      </w:r>
      <w:r w:rsidR="007B10D1" w:rsidRPr="0038442F">
        <w:rPr>
          <w:rFonts w:ascii="Verdana" w:hAnsi="Verdana"/>
          <w:sz w:val="20"/>
          <w:szCs w:val="20"/>
          <w:lang w:val="pt-BR"/>
        </w:rPr>
        <w:t xml:space="preserve">não </w:t>
      </w:r>
      <w:r w:rsidR="00921AF6" w:rsidRPr="0038442F">
        <w:rPr>
          <w:rFonts w:ascii="Verdana" w:hAnsi="Verdana"/>
          <w:sz w:val="20"/>
          <w:szCs w:val="20"/>
          <w:lang w:val="pt-BR"/>
        </w:rPr>
        <w:t>atendem ao</w:t>
      </w:r>
      <w:r w:rsidR="007B10D1" w:rsidRPr="0038442F">
        <w:rPr>
          <w:rFonts w:ascii="Verdana" w:hAnsi="Verdana"/>
          <w:sz w:val="20"/>
          <w:szCs w:val="20"/>
          <w:lang w:val="pt-BR"/>
        </w:rPr>
        <w:t xml:space="preserve"> conteúdo </w:t>
      </w:r>
      <w:r w:rsidR="00102093" w:rsidRPr="0038442F">
        <w:rPr>
          <w:rFonts w:ascii="Verdana" w:hAnsi="Verdana"/>
          <w:sz w:val="20"/>
          <w:szCs w:val="20"/>
          <w:lang w:val="pt-BR"/>
        </w:rPr>
        <w:t xml:space="preserve">mínimo </w:t>
      </w:r>
      <w:r w:rsidR="00C92762" w:rsidRPr="0038442F">
        <w:rPr>
          <w:rFonts w:ascii="Verdana" w:hAnsi="Verdana"/>
          <w:sz w:val="20"/>
          <w:szCs w:val="20"/>
          <w:lang w:val="pt-BR"/>
        </w:rPr>
        <w:t xml:space="preserve">das </w:t>
      </w:r>
      <w:r w:rsidR="00102093" w:rsidRPr="0038442F">
        <w:rPr>
          <w:rFonts w:ascii="Verdana" w:hAnsi="Verdana"/>
          <w:sz w:val="20"/>
          <w:szCs w:val="20"/>
          <w:lang w:val="pt-BR"/>
        </w:rPr>
        <w:t>normas internas e internacion</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EF1E48" w:rsidRPr="0038442F">
        <w:rPr>
          <w:rFonts w:ascii="Verdana" w:hAnsi="Verdana"/>
          <w:sz w:val="20"/>
          <w:szCs w:val="20"/>
          <w:lang w:val="pt-BR"/>
        </w:rPr>
        <w:t>(</w:t>
      </w:r>
      <w:r w:rsidR="00102093" w:rsidRPr="0038442F">
        <w:rPr>
          <w:rFonts w:ascii="Verdana" w:hAnsi="Verdana"/>
          <w:sz w:val="20"/>
          <w:szCs w:val="20"/>
          <w:lang w:val="pt-BR"/>
        </w:rPr>
        <w:t>d</w:t>
      </w:r>
      <w:r w:rsidR="007B10D1" w:rsidRPr="0038442F">
        <w:rPr>
          <w:rFonts w:ascii="Verdana" w:hAnsi="Verdana"/>
          <w:sz w:val="20"/>
          <w:szCs w:val="20"/>
          <w:lang w:val="pt-BR"/>
        </w:rPr>
        <w:t>a</w:t>
      </w:r>
      <w:r w:rsidR="00EF1E48" w:rsidRPr="0038442F">
        <w:rPr>
          <w:rFonts w:ascii="Verdana" w:hAnsi="Verdana"/>
          <w:sz w:val="20"/>
          <w:szCs w:val="20"/>
          <w:lang w:val="pt-BR"/>
        </w:rPr>
        <w:t>í</w:t>
      </w:r>
      <w:r w:rsidR="00102093" w:rsidRPr="0038442F">
        <w:rPr>
          <w:rFonts w:ascii="Verdana" w:hAnsi="Verdana"/>
          <w:sz w:val="20"/>
          <w:szCs w:val="20"/>
          <w:lang w:val="pt-BR"/>
        </w:rPr>
        <w:t xml:space="preserve"> a </w:t>
      </w:r>
      <w:r w:rsidR="00246A73" w:rsidRPr="0038442F">
        <w:rPr>
          <w:rFonts w:ascii="Verdana" w:hAnsi="Verdana"/>
          <w:sz w:val="20"/>
          <w:szCs w:val="20"/>
          <w:lang w:val="pt-BR"/>
        </w:rPr>
        <w:t>importância</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102093" w:rsidRPr="0038442F">
        <w:rPr>
          <w:rFonts w:ascii="Verdana" w:hAnsi="Verdana"/>
          <w:i/>
          <w:sz w:val="20"/>
          <w:szCs w:val="20"/>
          <w:lang w:val="pt-BR"/>
        </w:rPr>
        <w:t>fiscaliza</w:t>
      </w:r>
      <w:r w:rsidR="000A1AA8" w:rsidRPr="0038442F">
        <w:rPr>
          <w:rFonts w:ascii="Verdana" w:hAnsi="Verdana"/>
          <w:i/>
          <w:sz w:val="20"/>
          <w:szCs w:val="20"/>
          <w:lang w:val="pt-BR"/>
        </w:rPr>
        <w:t>ção</w:t>
      </w:r>
      <w:r w:rsidR="00102093" w:rsidRPr="0038442F">
        <w:rPr>
          <w:rFonts w:ascii="Verdana" w:hAnsi="Verdana"/>
          <w:i/>
          <w:sz w:val="20"/>
          <w:szCs w:val="20"/>
          <w:lang w:val="pt-BR"/>
        </w:rPr>
        <w:t xml:space="preserve"> </w:t>
      </w:r>
      <w:r w:rsidR="00233F35" w:rsidRPr="0038442F">
        <w:rPr>
          <w:rFonts w:ascii="Verdana" w:hAnsi="Verdana"/>
          <w:i/>
          <w:sz w:val="20"/>
          <w:szCs w:val="20"/>
          <w:lang w:val="pt-BR"/>
        </w:rPr>
        <w:t>o</w:t>
      </w:r>
      <w:r w:rsidR="007B10D1" w:rsidRPr="0038442F">
        <w:rPr>
          <w:rFonts w:ascii="Verdana" w:hAnsi="Verdana"/>
          <w:i/>
          <w:sz w:val="20"/>
          <w:szCs w:val="20"/>
          <w:lang w:val="pt-BR"/>
        </w:rPr>
        <w:t>u</w:t>
      </w:r>
      <w:r w:rsidR="00102093" w:rsidRPr="0038442F">
        <w:rPr>
          <w:rFonts w:ascii="Verdana" w:hAnsi="Verdana"/>
          <w:i/>
          <w:sz w:val="20"/>
          <w:szCs w:val="20"/>
          <w:lang w:val="pt-BR"/>
        </w:rPr>
        <w:t xml:space="preserve"> </w:t>
      </w:r>
      <w:r w:rsidR="000E331D" w:rsidRPr="0038442F">
        <w:rPr>
          <w:rFonts w:ascii="Verdana" w:hAnsi="Verdana"/>
          <w:i/>
          <w:sz w:val="20"/>
          <w:szCs w:val="20"/>
          <w:lang w:val="pt-BR"/>
        </w:rPr>
        <w:t>inspeção</w:t>
      </w:r>
      <w:r w:rsidR="00407242" w:rsidRPr="0038442F">
        <w:rPr>
          <w:rFonts w:ascii="Verdana" w:hAnsi="Verdana"/>
          <w:i/>
          <w:sz w:val="20"/>
          <w:szCs w:val="20"/>
          <w:lang w:val="pt-BR"/>
        </w:rPr>
        <w:t xml:space="preserve"> </w:t>
      </w:r>
      <w:r w:rsidR="00102093" w:rsidRPr="0038442F">
        <w:rPr>
          <w:rFonts w:ascii="Verdana" w:hAnsi="Verdana"/>
          <w:sz w:val="20"/>
          <w:szCs w:val="20"/>
          <w:lang w:val="pt-BR"/>
        </w:rPr>
        <w:t xml:space="preserve">como </w:t>
      </w:r>
      <w:r w:rsidR="009D16DD" w:rsidRPr="0038442F">
        <w:rPr>
          <w:rFonts w:ascii="Verdana" w:hAnsi="Verdana"/>
          <w:sz w:val="20"/>
          <w:szCs w:val="20"/>
          <w:lang w:val="pt-BR"/>
        </w:rPr>
        <w:t>meio</w:t>
      </w:r>
      <w:r w:rsidR="00407242" w:rsidRPr="0038442F">
        <w:rPr>
          <w:rFonts w:ascii="Verdana" w:hAnsi="Verdana"/>
          <w:sz w:val="20"/>
          <w:szCs w:val="20"/>
          <w:lang w:val="pt-BR"/>
        </w:rPr>
        <w:t xml:space="preserve"> </w:t>
      </w:r>
      <w:r w:rsidR="00102093" w:rsidRPr="0038442F">
        <w:rPr>
          <w:rFonts w:ascii="Verdana" w:hAnsi="Verdana"/>
          <w:sz w:val="20"/>
          <w:szCs w:val="20"/>
          <w:lang w:val="pt-BR"/>
        </w:rPr>
        <w:t>de preven</w:t>
      </w:r>
      <w:r w:rsidR="000A1AA8" w:rsidRPr="0038442F">
        <w:rPr>
          <w:rFonts w:ascii="Verdana" w:hAnsi="Verdana"/>
          <w:sz w:val="20"/>
          <w:szCs w:val="20"/>
          <w:lang w:val="pt-BR"/>
        </w:rPr>
        <w:t>ção</w:t>
      </w:r>
      <w:r w:rsidR="00102093" w:rsidRPr="0038442F">
        <w:rPr>
          <w:rFonts w:ascii="Verdana" w:hAnsi="Verdana"/>
          <w:sz w:val="20"/>
          <w:szCs w:val="20"/>
          <w:lang w:val="pt-BR"/>
        </w:rPr>
        <w:t xml:space="preserve"> de viola</w:t>
      </w:r>
      <w:r w:rsidR="000A1AA8" w:rsidRPr="0038442F">
        <w:rPr>
          <w:rFonts w:ascii="Verdana" w:hAnsi="Verdana"/>
          <w:sz w:val="20"/>
          <w:szCs w:val="20"/>
          <w:lang w:val="pt-BR"/>
        </w:rPr>
        <w:t>ções</w:t>
      </w:r>
      <w:r w:rsidR="00E03ABF" w:rsidRPr="0038442F">
        <w:rPr>
          <w:rFonts w:ascii="Verdana" w:hAnsi="Verdana"/>
          <w:sz w:val="20"/>
          <w:szCs w:val="20"/>
          <w:lang w:val="pt-BR"/>
        </w:rPr>
        <w:t>)</w:t>
      </w:r>
      <w:r w:rsidR="00102093" w:rsidRPr="0038442F">
        <w:rPr>
          <w:rFonts w:ascii="Verdana" w:hAnsi="Verdana"/>
          <w:sz w:val="20"/>
          <w:szCs w:val="20"/>
          <w:lang w:val="pt-BR"/>
        </w:rPr>
        <w:t>. E</w:t>
      </w:r>
      <w:r w:rsidR="007B10D1" w:rsidRPr="0038442F">
        <w:rPr>
          <w:rFonts w:ascii="Verdana" w:hAnsi="Verdana"/>
          <w:sz w:val="20"/>
          <w:szCs w:val="20"/>
          <w:lang w:val="pt-BR"/>
        </w:rPr>
        <w:t xml:space="preserve">m muitos </w:t>
      </w:r>
      <w:r w:rsidR="00102093" w:rsidRPr="0038442F">
        <w:rPr>
          <w:rFonts w:ascii="Verdana" w:hAnsi="Verdana"/>
          <w:sz w:val="20"/>
          <w:szCs w:val="20"/>
          <w:lang w:val="pt-BR"/>
        </w:rPr>
        <w:t>casos</w:t>
      </w:r>
      <w:r w:rsidR="00452D4F" w:rsidRPr="0038442F">
        <w:rPr>
          <w:rFonts w:ascii="Verdana" w:hAnsi="Verdana"/>
          <w:sz w:val="20"/>
          <w:szCs w:val="20"/>
          <w:lang w:val="pt-BR"/>
        </w:rPr>
        <w:t>,</w:t>
      </w:r>
      <w:r w:rsidR="00102093" w:rsidRPr="0038442F">
        <w:rPr>
          <w:rFonts w:ascii="Verdana" w:hAnsi="Verdana"/>
          <w:sz w:val="20"/>
          <w:szCs w:val="20"/>
          <w:lang w:val="pt-BR"/>
        </w:rPr>
        <w:t xml:space="preserve"> existe u</w:t>
      </w:r>
      <w:r w:rsidR="007B10D1" w:rsidRPr="0038442F">
        <w:rPr>
          <w:rFonts w:ascii="Verdana" w:hAnsi="Verdana"/>
          <w:sz w:val="20"/>
          <w:szCs w:val="20"/>
          <w:lang w:val="pt-BR"/>
        </w:rPr>
        <w:t>m</w:t>
      </w:r>
      <w:r w:rsidR="00102093" w:rsidRPr="0038442F">
        <w:rPr>
          <w:rFonts w:ascii="Verdana" w:hAnsi="Verdana"/>
          <w:sz w:val="20"/>
          <w:szCs w:val="20"/>
          <w:lang w:val="pt-BR"/>
        </w:rPr>
        <w:t xml:space="preserve"> v</w:t>
      </w:r>
      <w:r w:rsidRPr="0038442F">
        <w:rPr>
          <w:rFonts w:ascii="Verdana" w:hAnsi="Verdana"/>
          <w:sz w:val="20"/>
          <w:szCs w:val="20"/>
          <w:lang w:val="pt-BR"/>
        </w:rPr>
        <w:t>í</w:t>
      </w:r>
      <w:r w:rsidR="00102093" w:rsidRPr="0038442F">
        <w:rPr>
          <w:rFonts w:ascii="Verdana" w:hAnsi="Verdana"/>
          <w:sz w:val="20"/>
          <w:szCs w:val="20"/>
          <w:lang w:val="pt-BR"/>
        </w:rPr>
        <w:t>nculo entre a ace</w:t>
      </w:r>
      <w:r w:rsidR="007B10D1" w:rsidRPr="0038442F">
        <w:rPr>
          <w:rFonts w:ascii="Verdana" w:hAnsi="Verdana"/>
          <w:sz w:val="20"/>
          <w:szCs w:val="20"/>
          <w:lang w:val="pt-BR"/>
        </w:rPr>
        <w:t>i</w:t>
      </w:r>
      <w:r w:rsidR="00102093" w:rsidRPr="0038442F">
        <w:rPr>
          <w:rFonts w:ascii="Verdana" w:hAnsi="Verdana"/>
          <w:sz w:val="20"/>
          <w:szCs w:val="20"/>
          <w:lang w:val="pt-BR"/>
        </w:rPr>
        <w:t>ta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de </w:t>
      </w:r>
      <w:r w:rsidR="00C92762" w:rsidRPr="0038442F">
        <w:rPr>
          <w:rFonts w:ascii="Verdana" w:hAnsi="Verdana"/>
          <w:sz w:val="20"/>
          <w:szCs w:val="20"/>
          <w:lang w:val="pt-BR"/>
        </w:rPr>
        <w:t>trabalhos perigosos</w:t>
      </w:r>
      <w:r w:rsidR="00407242" w:rsidRPr="0038442F">
        <w:rPr>
          <w:rFonts w:ascii="Verdana" w:hAnsi="Verdana"/>
          <w:sz w:val="20"/>
          <w:szCs w:val="20"/>
          <w:lang w:val="pt-BR"/>
        </w:rPr>
        <w:t xml:space="preserve"> </w:t>
      </w:r>
      <w:r w:rsidR="007B10D1" w:rsidRPr="0038442F">
        <w:rPr>
          <w:rFonts w:ascii="Verdana" w:hAnsi="Verdana"/>
          <w:sz w:val="20"/>
          <w:szCs w:val="20"/>
          <w:lang w:val="pt-BR"/>
        </w:rPr>
        <w:t xml:space="preserve">e a </w:t>
      </w:r>
      <w:r w:rsidR="00102093" w:rsidRPr="0038442F">
        <w:rPr>
          <w:rFonts w:ascii="Verdana" w:hAnsi="Verdana"/>
          <w:sz w:val="20"/>
          <w:szCs w:val="20"/>
          <w:lang w:val="pt-BR"/>
        </w:rPr>
        <w:t>situa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w:t>
      </w:r>
      <w:r w:rsidR="006445EE" w:rsidRPr="0038442F">
        <w:rPr>
          <w:rFonts w:ascii="Verdana" w:hAnsi="Verdana"/>
          <w:sz w:val="20"/>
          <w:szCs w:val="20"/>
          <w:lang w:val="pt-BR"/>
        </w:rPr>
        <w:t>econômica</w:t>
      </w:r>
      <w:r w:rsidR="00407242" w:rsidRPr="0038442F">
        <w:rPr>
          <w:rFonts w:ascii="Verdana" w:hAnsi="Verdana"/>
          <w:sz w:val="20"/>
          <w:szCs w:val="20"/>
          <w:lang w:val="pt-BR"/>
        </w:rPr>
        <w:t xml:space="preserve"> </w:t>
      </w:r>
      <w:r w:rsidR="00C92762" w:rsidRPr="0038442F">
        <w:rPr>
          <w:rFonts w:ascii="Verdana" w:hAnsi="Verdana"/>
          <w:sz w:val="20"/>
          <w:szCs w:val="20"/>
          <w:lang w:val="pt-BR"/>
        </w:rPr>
        <w:t>das vítimas</w:t>
      </w:r>
      <w:r w:rsidR="00102093" w:rsidRPr="0038442F">
        <w:rPr>
          <w:rFonts w:ascii="Verdana" w:hAnsi="Verdana"/>
          <w:sz w:val="20"/>
          <w:szCs w:val="20"/>
          <w:lang w:val="pt-BR"/>
        </w:rPr>
        <w:t xml:space="preserve">. </w:t>
      </w:r>
    </w:p>
    <w:p w14:paraId="21CB36E8" w14:textId="77777777" w:rsidR="00102093" w:rsidRPr="0038442F" w:rsidRDefault="00102093" w:rsidP="00A857CB">
      <w:pPr>
        <w:pStyle w:val="Prrafodelista"/>
        <w:tabs>
          <w:tab w:val="left" w:pos="567"/>
          <w:tab w:val="center" w:pos="4702"/>
          <w:tab w:val="left" w:pos="6270"/>
        </w:tabs>
        <w:spacing w:line="240" w:lineRule="auto"/>
        <w:ind w:left="0"/>
        <w:jc w:val="both"/>
        <w:rPr>
          <w:rFonts w:ascii="Verdana" w:hAnsi="Verdana"/>
          <w:sz w:val="20"/>
          <w:szCs w:val="20"/>
          <w:lang w:val="pt-BR"/>
        </w:rPr>
      </w:pPr>
    </w:p>
    <w:p w14:paraId="0C062B7D" w14:textId="07E35D6C" w:rsidR="00102093" w:rsidRPr="0038442F" w:rsidRDefault="00823648" w:rsidP="00823648">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118. </w:t>
      </w:r>
      <w:r w:rsidRPr="0038442F">
        <w:rPr>
          <w:rFonts w:ascii="Verdana" w:hAnsi="Verdana"/>
          <w:sz w:val="20"/>
          <w:szCs w:val="20"/>
          <w:lang w:val="pt-BR"/>
        </w:rPr>
        <w:tab/>
      </w:r>
      <w:r w:rsidRPr="0038442F">
        <w:rPr>
          <w:rFonts w:ascii="Verdana" w:hAnsi="Verdana"/>
          <w:sz w:val="20"/>
          <w:szCs w:val="20"/>
          <w:lang w:val="pt-BR"/>
        </w:rPr>
        <w:tab/>
      </w:r>
      <w:r w:rsidR="007B10D1" w:rsidRPr="0038442F">
        <w:rPr>
          <w:rFonts w:ascii="Verdana" w:hAnsi="Verdana"/>
          <w:sz w:val="20"/>
          <w:szCs w:val="20"/>
          <w:lang w:val="pt-BR"/>
        </w:rPr>
        <w:t xml:space="preserve">Nesse contexto, </w:t>
      </w:r>
      <w:r w:rsidR="00102093" w:rsidRPr="0038442F">
        <w:rPr>
          <w:rFonts w:ascii="Verdana" w:hAnsi="Verdana"/>
          <w:sz w:val="20"/>
          <w:szCs w:val="20"/>
          <w:lang w:val="pt-BR"/>
        </w:rPr>
        <w:t>tanto a regula</w:t>
      </w:r>
      <w:r w:rsidR="007B10D1" w:rsidRPr="0038442F">
        <w:rPr>
          <w:rFonts w:ascii="Verdana" w:hAnsi="Verdana"/>
          <w:sz w:val="20"/>
          <w:szCs w:val="20"/>
          <w:lang w:val="pt-BR"/>
        </w:rPr>
        <w:t>menta</w:t>
      </w:r>
      <w:r w:rsidR="000A1AA8" w:rsidRPr="0038442F">
        <w:rPr>
          <w:rFonts w:ascii="Verdana" w:hAnsi="Verdana"/>
          <w:sz w:val="20"/>
          <w:szCs w:val="20"/>
          <w:lang w:val="pt-BR"/>
        </w:rPr>
        <w:t>ção</w:t>
      </w:r>
      <w:r w:rsidRPr="0038442F">
        <w:rPr>
          <w:rFonts w:ascii="Verdana" w:hAnsi="Verdana"/>
          <w:sz w:val="20"/>
          <w:szCs w:val="20"/>
          <w:lang w:val="pt-BR"/>
        </w:rPr>
        <w:t xml:space="preserve"> </w:t>
      </w:r>
      <w:r w:rsidR="007B10D1" w:rsidRPr="0038442F">
        <w:rPr>
          <w:rFonts w:ascii="Verdana" w:hAnsi="Verdana"/>
          <w:sz w:val="20"/>
          <w:szCs w:val="20"/>
          <w:lang w:val="pt-BR"/>
        </w:rPr>
        <w:t>– q</w:t>
      </w:r>
      <w:r w:rsidR="003624F7" w:rsidRPr="0038442F">
        <w:rPr>
          <w:rFonts w:ascii="Verdana" w:hAnsi="Verdana"/>
          <w:sz w:val="20"/>
          <w:szCs w:val="20"/>
          <w:lang w:val="pt-BR"/>
        </w:rPr>
        <w:t xml:space="preserve">ue, como foi mencionado, costuma </w:t>
      </w:r>
      <w:r w:rsidR="007B10D1" w:rsidRPr="0038442F">
        <w:rPr>
          <w:rFonts w:ascii="Verdana" w:hAnsi="Verdana"/>
          <w:sz w:val="20"/>
          <w:szCs w:val="20"/>
          <w:lang w:val="pt-BR"/>
        </w:rPr>
        <w:t xml:space="preserve">existir – </w:t>
      </w:r>
      <w:r w:rsidR="003624F7" w:rsidRPr="0038442F">
        <w:rPr>
          <w:rFonts w:ascii="Verdana" w:hAnsi="Verdana"/>
          <w:sz w:val="20"/>
          <w:szCs w:val="20"/>
          <w:lang w:val="pt-BR"/>
        </w:rPr>
        <w:t>quanto</w:t>
      </w:r>
      <w:r w:rsidR="007B10D1" w:rsidRPr="0038442F">
        <w:rPr>
          <w:rFonts w:ascii="Verdana" w:hAnsi="Verdana"/>
          <w:sz w:val="20"/>
          <w:szCs w:val="20"/>
          <w:lang w:val="pt-BR"/>
        </w:rPr>
        <w:t xml:space="preserve"> </w:t>
      </w:r>
      <w:r w:rsidR="00102093" w:rsidRPr="0038442F">
        <w:rPr>
          <w:rFonts w:ascii="Verdana" w:hAnsi="Verdana"/>
          <w:sz w:val="20"/>
          <w:szCs w:val="20"/>
          <w:lang w:val="pt-BR"/>
        </w:rPr>
        <w:t>a fiscaliza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(o</w:t>
      </w:r>
      <w:r w:rsidR="007B10D1" w:rsidRPr="0038442F">
        <w:rPr>
          <w:rFonts w:ascii="Verdana" w:hAnsi="Verdana"/>
          <w:sz w:val="20"/>
          <w:szCs w:val="20"/>
          <w:lang w:val="pt-BR"/>
        </w:rPr>
        <w:t>u</w:t>
      </w:r>
      <w:r w:rsidR="00102093" w:rsidRPr="0038442F">
        <w:rPr>
          <w:rFonts w:ascii="Verdana" w:hAnsi="Verdana"/>
          <w:sz w:val="20"/>
          <w:szCs w:val="20"/>
          <w:lang w:val="pt-BR"/>
        </w:rPr>
        <w:t xml:space="preserve"> </w:t>
      </w:r>
      <w:r w:rsidR="000E331D" w:rsidRPr="0038442F">
        <w:rPr>
          <w:rFonts w:ascii="Verdana" w:hAnsi="Verdana"/>
          <w:sz w:val="20"/>
          <w:szCs w:val="20"/>
          <w:lang w:val="pt-BR"/>
        </w:rPr>
        <w:t>inspeção</w:t>
      </w:r>
      <w:r w:rsidR="00102093" w:rsidRPr="0038442F">
        <w:rPr>
          <w:rFonts w:ascii="Verdana" w:hAnsi="Verdana"/>
          <w:sz w:val="20"/>
          <w:szCs w:val="20"/>
          <w:lang w:val="pt-BR"/>
        </w:rPr>
        <w:t>)</w:t>
      </w:r>
      <w:r w:rsidR="00452D4F" w:rsidRPr="0038442F">
        <w:rPr>
          <w:rFonts w:ascii="Verdana" w:hAnsi="Verdana"/>
          <w:sz w:val="20"/>
          <w:szCs w:val="20"/>
          <w:lang w:val="pt-BR"/>
        </w:rPr>
        <w:t>,</w:t>
      </w:r>
      <w:r w:rsidR="00102093" w:rsidRPr="0038442F">
        <w:rPr>
          <w:rFonts w:ascii="Verdana" w:hAnsi="Verdana"/>
          <w:sz w:val="20"/>
          <w:szCs w:val="20"/>
          <w:lang w:val="pt-BR"/>
        </w:rPr>
        <w:t xml:space="preserve"> como </w:t>
      </w:r>
      <w:r w:rsidR="009D16DD" w:rsidRPr="0038442F">
        <w:rPr>
          <w:rFonts w:ascii="Verdana" w:hAnsi="Verdana"/>
          <w:sz w:val="20"/>
          <w:szCs w:val="20"/>
          <w:lang w:val="pt-BR"/>
        </w:rPr>
        <w:t>meio</w:t>
      </w:r>
      <w:r w:rsidR="00407242" w:rsidRPr="0038442F">
        <w:rPr>
          <w:rFonts w:ascii="Verdana" w:hAnsi="Verdana"/>
          <w:sz w:val="20"/>
          <w:szCs w:val="20"/>
          <w:lang w:val="pt-BR"/>
        </w:rPr>
        <w:t xml:space="preserve"> </w:t>
      </w:r>
      <w:r w:rsidR="00102093" w:rsidRPr="0038442F">
        <w:rPr>
          <w:rFonts w:ascii="Verdana" w:hAnsi="Verdana"/>
          <w:sz w:val="20"/>
          <w:szCs w:val="20"/>
          <w:lang w:val="pt-BR"/>
        </w:rPr>
        <w:t>de materializa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para </w:t>
      </w:r>
      <w:r w:rsidR="007B10D1" w:rsidRPr="0038442F">
        <w:rPr>
          <w:rFonts w:ascii="Verdana" w:hAnsi="Verdana"/>
          <w:sz w:val="20"/>
          <w:szCs w:val="20"/>
          <w:lang w:val="pt-BR"/>
        </w:rPr>
        <w:t xml:space="preserve">supervisionar o </w:t>
      </w:r>
      <w:r w:rsidR="00D45B15" w:rsidRPr="0038442F">
        <w:rPr>
          <w:rFonts w:ascii="Verdana" w:hAnsi="Verdana"/>
          <w:sz w:val="20"/>
          <w:szCs w:val="20"/>
          <w:lang w:val="pt-BR"/>
        </w:rPr>
        <w:t>cumprimento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102093" w:rsidRPr="0038442F">
        <w:rPr>
          <w:rFonts w:ascii="Verdana" w:hAnsi="Verdana"/>
          <w:sz w:val="20"/>
          <w:szCs w:val="20"/>
          <w:lang w:val="pt-BR"/>
        </w:rPr>
        <w:t xml:space="preserve">norma, </w:t>
      </w:r>
      <w:r w:rsidR="007B10D1" w:rsidRPr="0038442F">
        <w:rPr>
          <w:rFonts w:ascii="Verdana" w:hAnsi="Verdana"/>
          <w:sz w:val="20"/>
          <w:szCs w:val="20"/>
          <w:lang w:val="pt-BR"/>
        </w:rPr>
        <w:t xml:space="preserve">assumem </w:t>
      </w:r>
      <w:r w:rsidR="00102093" w:rsidRPr="0038442F">
        <w:rPr>
          <w:rFonts w:ascii="Verdana" w:hAnsi="Verdana"/>
          <w:sz w:val="20"/>
          <w:szCs w:val="20"/>
          <w:lang w:val="pt-BR"/>
        </w:rPr>
        <w:t xml:space="preserve">especial </w:t>
      </w:r>
      <w:r w:rsidR="00360928" w:rsidRPr="0038442F">
        <w:rPr>
          <w:rFonts w:ascii="Verdana" w:hAnsi="Verdana"/>
          <w:sz w:val="20"/>
          <w:szCs w:val="20"/>
          <w:lang w:val="pt-BR"/>
        </w:rPr>
        <w:t>relevância</w:t>
      </w:r>
      <w:r w:rsidR="00407242" w:rsidRPr="0038442F">
        <w:rPr>
          <w:rFonts w:ascii="Verdana" w:hAnsi="Verdana"/>
          <w:sz w:val="20"/>
          <w:szCs w:val="20"/>
          <w:lang w:val="pt-BR"/>
        </w:rPr>
        <w:t xml:space="preserve"> </w:t>
      </w:r>
      <w:r w:rsidR="00602FF9" w:rsidRPr="0038442F">
        <w:rPr>
          <w:rFonts w:ascii="Verdana" w:hAnsi="Verdana"/>
          <w:sz w:val="20"/>
          <w:szCs w:val="20"/>
          <w:lang w:val="pt-BR"/>
        </w:rPr>
        <w:t xml:space="preserve">nos </w:t>
      </w:r>
      <w:r w:rsidR="00102093" w:rsidRPr="0038442F">
        <w:rPr>
          <w:rFonts w:ascii="Verdana" w:hAnsi="Verdana"/>
          <w:sz w:val="20"/>
          <w:szCs w:val="20"/>
          <w:lang w:val="pt-BR"/>
        </w:rPr>
        <w:t xml:space="preserve">contextos </w:t>
      </w:r>
      <w:r w:rsidR="007B10D1" w:rsidRPr="0038442F">
        <w:rPr>
          <w:rFonts w:ascii="Verdana" w:hAnsi="Verdana"/>
          <w:sz w:val="20"/>
          <w:szCs w:val="20"/>
          <w:lang w:val="pt-BR"/>
        </w:rPr>
        <w:t xml:space="preserve">em que </w:t>
      </w:r>
      <w:r w:rsidR="005135E5" w:rsidRPr="0038442F">
        <w:rPr>
          <w:rFonts w:ascii="Verdana" w:hAnsi="Verdana"/>
          <w:sz w:val="20"/>
          <w:szCs w:val="20"/>
          <w:lang w:val="pt-BR"/>
        </w:rPr>
        <w:t xml:space="preserve">não só </w:t>
      </w:r>
      <w:r w:rsidR="00102093" w:rsidRPr="0038442F">
        <w:rPr>
          <w:rFonts w:ascii="Verdana" w:hAnsi="Verdana"/>
          <w:sz w:val="20"/>
          <w:szCs w:val="20"/>
          <w:lang w:val="pt-BR"/>
        </w:rPr>
        <w:t xml:space="preserve">se </w:t>
      </w:r>
      <w:r w:rsidR="007B10D1" w:rsidRPr="0038442F">
        <w:rPr>
          <w:rFonts w:ascii="Verdana" w:hAnsi="Verdana"/>
          <w:sz w:val="20"/>
          <w:szCs w:val="20"/>
          <w:lang w:val="pt-BR"/>
        </w:rPr>
        <w:t xml:space="preserve">armazenam substâncias ou </w:t>
      </w:r>
      <w:r w:rsidR="00EF1E48" w:rsidRPr="0038442F">
        <w:rPr>
          <w:rFonts w:ascii="Verdana" w:hAnsi="Verdana"/>
          <w:sz w:val="20"/>
          <w:szCs w:val="20"/>
          <w:lang w:val="pt-BR"/>
        </w:rPr>
        <w:t>materi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C92762" w:rsidRPr="0038442F">
        <w:rPr>
          <w:rFonts w:ascii="Verdana" w:hAnsi="Verdana"/>
          <w:sz w:val="20"/>
          <w:szCs w:val="20"/>
          <w:lang w:val="pt-BR"/>
        </w:rPr>
        <w:t>perigosos</w:t>
      </w:r>
      <w:r w:rsidR="00102093" w:rsidRPr="0038442F">
        <w:rPr>
          <w:rFonts w:ascii="Verdana" w:hAnsi="Verdana"/>
          <w:sz w:val="20"/>
          <w:szCs w:val="20"/>
          <w:lang w:val="pt-BR"/>
        </w:rPr>
        <w:t xml:space="preserve">, </w:t>
      </w:r>
      <w:r w:rsidR="007B10D1" w:rsidRPr="0038442F">
        <w:rPr>
          <w:rFonts w:ascii="Verdana" w:hAnsi="Verdana"/>
          <w:sz w:val="20"/>
          <w:szCs w:val="20"/>
          <w:lang w:val="pt-BR"/>
        </w:rPr>
        <w:t xml:space="preserve">mas onde trabalham </w:t>
      </w:r>
      <w:r w:rsidR="00C92762" w:rsidRPr="0038442F">
        <w:rPr>
          <w:rFonts w:ascii="Verdana" w:hAnsi="Verdana"/>
          <w:sz w:val="20"/>
          <w:szCs w:val="20"/>
          <w:lang w:val="pt-BR"/>
        </w:rPr>
        <w:t>pessoas</w:t>
      </w:r>
      <w:r w:rsidR="00102093" w:rsidRPr="0038442F">
        <w:rPr>
          <w:rFonts w:ascii="Verdana" w:hAnsi="Verdana"/>
          <w:sz w:val="20"/>
          <w:szCs w:val="20"/>
          <w:lang w:val="pt-BR"/>
        </w:rPr>
        <w:t xml:space="preserve">. </w:t>
      </w:r>
      <w:r w:rsidR="007B10D1" w:rsidRPr="0038442F">
        <w:rPr>
          <w:rFonts w:ascii="Verdana" w:hAnsi="Verdana"/>
          <w:sz w:val="20"/>
          <w:szCs w:val="20"/>
          <w:lang w:val="pt-BR"/>
        </w:rPr>
        <w:t>Isso posto</w:t>
      </w:r>
      <w:r w:rsidRPr="0038442F">
        <w:rPr>
          <w:rFonts w:ascii="Verdana" w:hAnsi="Verdana"/>
          <w:sz w:val="20"/>
          <w:szCs w:val="20"/>
          <w:lang w:val="pt-BR"/>
        </w:rPr>
        <w:t>,</w:t>
      </w:r>
      <w:r w:rsidR="00102093" w:rsidRPr="0038442F">
        <w:rPr>
          <w:rFonts w:ascii="Verdana" w:hAnsi="Verdana"/>
          <w:sz w:val="20"/>
          <w:szCs w:val="20"/>
          <w:lang w:val="pt-BR"/>
        </w:rPr>
        <w:t xml:space="preserve"> a fiscaliza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o</w:t>
      </w:r>
      <w:r w:rsidR="007B10D1" w:rsidRPr="0038442F">
        <w:rPr>
          <w:rFonts w:ascii="Verdana" w:hAnsi="Verdana"/>
          <w:sz w:val="20"/>
          <w:szCs w:val="20"/>
          <w:lang w:val="pt-BR"/>
        </w:rPr>
        <w:t>u</w:t>
      </w:r>
      <w:r w:rsidR="00102093" w:rsidRPr="0038442F">
        <w:rPr>
          <w:rFonts w:ascii="Verdana" w:hAnsi="Verdana"/>
          <w:sz w:val="20"/>
          <w:szCs w:val="20"/>
          <w:lang w:val="pt-BR"/>
        </w:rPr>
        <w:t xml:space="preserve"> </w:t>
      </w:r>
      <w:r w:rsidR="000E331D" w:rsidRPr="0038442F">
        <w:rPr>
          <w:rFonts w:ascii="Verdana" w:hAnsi="Verdana"/>
          <w:sz w:val="20"/>
          <w:szCs w:val="20"/>
          <w:lang w:val="pt-BR"/>
        </w:rPr>
        <w:t xml:space="preserve">inspeção </w:t>
      </w:r>
      <w:r w:rsidR="00102093" w:rsidRPr="0038442F">
        <w:rPr>
          <w:rFonts w:ascii="Verdana" w:hAnsi="Verdana"/>
          <w:sz w:val="20"/>
          <w:szCs w:val="20"/>
          <w:lang w:val="pt-BR"/>
        </w:rPr>
        <w:t xml:space="preserve">se posiciona como requisito </w:t>
      </w:r>
      <w:r w:rsidR="00102093" w:rsidRPr="0038442F">
        <w:rPr>
          <w:rFonts w:ascii="Verdana" w:hAnsi="Verdana"/>
          <w:i/>
          <w:iCs/>
          <w:sz w:val="20"/>
          <w:szCs w:val="20"/>
          <w:lang w:val="pt-BR"/>
        </w:rPr>
        <w:t xml:space="preserve">sine qua non </w:t>
      </w:r>
      <w:r w:rsidR="00102093" w:rsidRPr="0038442F">
        <w:rPr>
          <w:rFonts w:ascii="Verdana" w:hAnsi="Verdana"/>
          <w:sz w:val="20"/>
          <w:szCs w:val="20"/>
          <w:lang w:val="pt-BR"/>
        </w:rPr>
        <w:t>d</w:t>
      </w:r>
      <w:r w:rsidR="007B10D1"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7B10D1" w:rsidRPr="0038442F">
        <w:rPr>
          <w:rFonts w:ascii="Verdana" w:hAnsi="Verdana"/>
          <w:sz w:val="20"/>
          <w:szCs w:val="20"/>
          <w:lang w:val="pt-BR"/>
        </w:rPr>
        <w:t xml:space="preserve">às </w:t>
      </w:r>
      <w:r w:rsidR="00102093" w:rsidRPr="0038442F">
        <w:rPr>
          <w:rFonts w:ascii="Verdana" w:hAnsi="Verdana"/>
          <w:sz w:val="20"/>
          <w:szCs w:val="20"/>
          <w:lang w:val="pt-BR"/>
        </w:rPr>
        <w:t>condi</w:t>
      </w:r>
      <w:r w:rsidR="000A1AA8" w:rsidRPr="0038442F">
        <w:rPr>
          <w:rFonts w:ascii="Verdana" w:hAnsi="Verdana"/>
          <w:sz w:val="20"/>
          <w:szCs w:val="20"/>
          <w:lang w:val="pt-BR"/>
        </w:rPr>
        <w:t>ções</w:t>
      </w:r>
      <w:r w:rsidR="00102093" w:rsidRPr="0038442F">
        <w:rPr>
          <w:rFonts w:ascii="Verdana" w:hAnsi="Verdana"/>
          <w:sz w:val="20"/>
          <w:szCs w:val="20"/>
          <w:lang w:val="pt-BR"/>
        </w:rPr>
        <w:t xml:space="preserve"> de </w:t>
      </w:r>
      <w:r w:rsidR="00C92762" w:rsidRPr="0038442F">
        <w:rPr>
          <w:rFonts w:ascii="Verdana" w:hAnsi="Verdana"/>
          <w:sz w:val="20"/>
          <w:szCs w:val="20"/>
          <w:lang w:val="pt-BR"/>
        </w:rPr>
        <w:t>trabalho</w:t>
      </w:r>
      <w:r w:rsidR="00407242" w:rsidRPr="0038442F">
        <w:rPr>
          <w:rFonts w:ascii="Verdana" w:hAnsi="Verdana"/>
          <w:sz w:val="20"/>
          <w:szCs w:val="20"/>
          <w:lang w:val="pt-BR"/>
        </w:rPr>
        <w:t xml:space="preserve"> </w:t>
      </w:r>
      <w:r w:rsidR="00102093" w:rsidRPr="0038442F">
        <w:rPr>
          <w:rFonts w:ascii="Verdana" w:hAnsi="Verdana"/>
          <w:sz w:val="20"/>
          <w:szCs w:val="20"/>
          <w:lang w:val="pt-BR"/>
        </w:rPr>
        <w:t>segur</w:t>
      </w:r>
      <w:r w:rsidR="005871F1" w:rsidRPr="0038442F">
        <w:rPr>
          <w:rFonts w:ascii="Verdana" w:hAnsi="Verdana"/>
          <w:sz w:val="20"/>
          <w:szCs w:val="20"/>
          <w:lang w:val="pt-BR"/>
        </w:rPr>
        <w:t>as</w:t>
      </w:r>
      <w:r w:rsidR="00102093" w:rsidRPr="0038442F">
        <w:rPr>
          <w:rFonts w:ascii="Verdana" w:hAnsi="Verdana"/>
          <w:sz w:val="20"/>
          <w:szCs w:val="20"/>
          <w:lang w:val="pt-BR"/>
        </w:rPr>
        <w:t xml:space="preserve">, salubres </w:t>
      </w:r>
      <w:r w:rsidR="007B10D1" w:rsidRPr="0038442F">
        <w:rPr>
          <w:rFonts w:ascii="Verdana" w:hAnsi="Verdana"/>
          <w:sz w:val="20"/>
          <w:szCs w:val="20"/>
          <w:lang w:val="pt-BR"/>
        </w:rPr>
        <w:t>e</w:t>
      </w:r>
      <w:r w:rsidR="00102093" w:rsidRPr="0038442F">
        <w:rPr>
          <w:rFonts w:ascii="Verdana" w:hAnsi="Verdana"/>
          <w:sz w:val="20"/>
          <w:szCs w:val="20"/>
          <w:lang w:val="pt-BR"/>
        </w:rPr>
        <w:t xml:space="preserve"> equitativas</w:t>
      </w:r>
      <w:r w:rsidR="005871F1" w:rsidRPr="0038442F">
        <w:rPr>
          <w:rFonts w:ascii="Verdana" w:hAnsi="Verdana"/>
          <w:sz w:val="20"/>
          <w:szCs w:val="20"/>
          <w:lang w:val="pt-BR"/>
        </w:rPr>
        <w:t>,</w:t>
      </w:r>
      <w:r w:rsidR="00102093" w:rsidRPr="0038442F">
        <w:rPr>
          <w:rFonts w:ascii="Verdana" w:hAnsi="Verdana"/>
          <w:sz w:val="20"/>
          <w:szCs w:val="20"/>
          <w:lang w:val="pt-BR"/>
        </w:rPr>
        <w:t xml:space="preserve"> </w:t>
      </w:r>
      <w:r w:rsidR="003624F7" w:rsidRPr="0038442F">
        <w:rPr>
          <w:rFonts w:ascii="Verdana" w:hAnsi="Verdana"/>
          <w:sz w:val="20"/>
          <w:szCs w:val="20"/>
          <w:lang w:val="pt-BR"/>
        </w:rPr>
        <w:t>pois, do contrário</w:t>
      </w:r>
      <w:r w:rsidR="007B10D1" w:rsidRPr="0038442F">
        <w:rPr>
          <w:rFonts w:ascii="Verdana" w:hAnsi="Verdana"/>
          <w:sz w:val="20"/>
          <w:szCs w:val="20"/>
          <w:lang w:val="pt-BR"/>
        </w:rPr>
        <w:t xml:space="preserve">, não se tornaria </w:t>
      </w:r>
      <w:r w:rsidR="00102093" w:rsidRPr="0038442F">
        <w:rPr>
          <w:rFonts w:ascii="Verdana" w:hAnsi="Verdana"/>
          <w:sz w:val="20"/>
          <w:szCs w:val="20"/>
          <w:lang w:val="pt-BR"/>
        </w:rPr>
        <w:t xml:space="preserve">efetivo </w:t>
      </w:r>
      <w:r w:rsidR="007B10D1" w:rsidRPr="0038442F">
        <w:rPr>
          <w:rFonts w:ascii="Verdana" w:hAnsi="Verdana"/>
          <w:sz w:val="20"/>
          <w:szCs w:val="20"/>
          <w:lang w:val="pt-BR"/>
        </w:rPr>
        <w:t xml:space="preserve">o conteúdo desse </w:t>
      </w:r>
      <w:r w:rsidR="00CA30C5" w:rsidRPr="0038442F">
        <w:rPr>
          <w:rFonts w:ascii="Verdana" w:hAnsi="Verdana"/>
          <w:sz w:val="20"/>
          <w:szCs w:val="20"/>
          <w:lang w:val="pt-BR"/>
        </w:rPr>
        <w:t>direito</w:t>
      </w:r>
      <w:r w:rsidR="00102093" w:rsidRPr="0038442F">
        <w:rPr>
          <w:rFonts w:ascii="Verdana" w:hAnsi="Verdana"/>
          <w:sz w:val="20"/>
          <w:szCs w:val="20"/>
          <w:lang w:val="pt-BR"/>
        </w:rPr>
        <w:t xml:space="preserve">, </w:t>
      </w:r>
      <w:r w:rsidR="007B10D1" w:rsidRPr="0038442F">
        <w:rPr>
          <w:rFonts w:ascii="Verdana" w:hAnsi="Verdana"/>
          <w:sz w:val="20"/>
          <w:szCs w:val="20"/>
          <w:lang w:val="pt-BR"/>
        </w:rPr>
        <w:t>e</w:t>
      </w:r>
      <w:r w:rsidR="00EF1E48" w:rsidRPr="0038442F">
        <w:rPr>
          <w:rFonts w:ascii="Verdana" w:hAnsi="Verdana"/>
          <w:sz w:val="20"/>
          <w:szCs w:val="20"/>
          <w:lang w:val="pt-BR"/>
        </w:rPr>
        <w:t xml:space="preserve"> </w:t>
      </w:r>
      <w:r w:rsidR="00921AF6" w:rsidRPr="0038442F">
        <w:rPr>
          <w:rFonts w:ascii="Verdana" w:hAnsi="Verdana"/>
          <w:sz w:val="20"/>
          <w:szCs w:val="20"/>
          <w:lang w:val="pt-BR"/>
        </w:rPr>
        <w:t>especialmente</w:t>
      </w:r>
      <w:r w:rsidR="00EF1E48" w:rsidRPr="0038442F">
        <w:rPr>
          <w:rFonts w:ascii="Verdana" w:hAnsi="Verdana"/>
          <w:sz w:val="20"/>
          <w:szCs w:val="20"/>
          <w:lang w:val="pt-BR"/>
        </w:rPr>
        <w:t xml:space="preserve"> </w:t>
      </w:r>
      <w:r w:rsidR="007B10D1" w:rsidRPr="0038442F">
        <w:rPr>
          <w:rFonts w:ascii="Verdana" w:hAnsi="Verdana"/>
          <w:sz w:val="20"/>
          <w:szCs w:val="20"/>
          <w:lang w:val="pt-BR"/>
        </w:rPr>
        <w:t>q</w:t>
      </w:r>
      <w:r w:rsidR="00102093" w:rsidRPr="0038442F">
        <w:rPr>
          <w:rFonts w:ascii="Verdana" w:hAnsi="Verdana"/>
          <w:sz w:val="20"/>
          <w:szCs w:val="20"/>
          <w:lang w:val="pt-BR"/>
        </w:rPr>
        <w:t xml:space="preserve">uando se trata de </w:t>
      </w:r>
      <w:r w:rsidR="000A1AA8" w:rsidRPr="0038442F">
        <w:rPr>
          <w:rFonts w:ascii="Verdana" w:hAnsi="Verdana"/>
          <w:sz w:val="20"/>
          <w:szCs w:val="20"/>
          <w:lang w:val="pt-BR"/>
        </w:rPr>
        <w:t>atos</w:t>
      </w:r>
      <w:r w:rsidR="00407242" w:rsidRPr="0038442F">
        <w:rPr>
          <w:rFonts w:ascii="Verdana" w:hAnsi="Verdana"/>
          <w:sz w:val="20"/>
          <w:szCs w:val="20"/>
          <w:lang w:val="pt-BR"/>
        </w:rPr>
        <w:t xml:space="preserve"> </w:t>
      </w:r>
      <w:r w:rsidR="00102093" w:rsidRPr="0038442F">
        <w:rPr>
          <w:rFonts w:ascii="Verdana" w:hAnsi="Verdana"/>
          <w:sz w:val="20"/>
          <w:szCs w:val="20"/>
          <w:lang w:val="pt-BR"/>
        </w:rPr>
        <w:t xml:space="preserve">de particulares </w:t>
      </w:r>
      <w:r w:rsidR="003624F7" w:rsidRPr="0038442F">
        <w:rPr>
          <w:rFonts w:ascii="Verdana" w:hAnsi="Verdana"/>
          <w:sz w:val="20"/>
          <w:szCs w:val="20"/>
          <w:lang w:val="pt-BR"/>
        </w:rPr>
        <w:t xml:space="preserve">sobre os quais </w:t>
      </w:r>
      <w:r w:rsidR="007B10D1" w:rsidRPr="0038442F">
        <w:rPr>
          <w:rFonts w:ascii="Verdana" w:hAnsi="Verdana"/>
          <w:sz w:val="20"/>
          <w:szCs w:val="20"/>
          <w:lang w:val="pt-BR"/>
        </w:rPr>
        <w:t xml:space="preserve">a </w:t>
      </w:r>
      <w:r w:rsidR="00221D30" w:rsidRPr="0038442F">
        <w:rPr>
          <w:rFonts w:ascii="Verdana" w:hAnsi="Verdana"/>
          <w:sz w:val="20"/>
          <w:szCs w:val="20"/>
          <w:lang w:val="pt-BR"/>
        </w:rPr>
        <w:t>própria</w:t>
      </w:r>
      <w:r w:rsidR="00407242" w:rsidRPr="0038442F">
        <w:rPr>
          <w:rFonts w:ascii="Verdana" w:hAnsi="Verdana"/>
          <w:sz w:val="20"/>
          <w:szCs w:val="20"/>
          <w:lang w:val="pt-BR"/>
        </w:rPr>
        <w:t xml:space="preserve"> </w:t>
      </w:r>
      <w:r w:rsidR="00102093" w:rsidRPr="0038442F">
        <w:rPr>
          <w:rFonts w:ascii="Verdana" w:hAnsi="Verdana"/>
          <w:sz w:val="20"/>
          <w:szCs w:val="20"/>
          <w:lang w:val="pt-BR"/>
        </w:rPr>
        <w:t>legisla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ordena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9855FC" w:rsidRPr="0038442F">
        <w:rPr>
          <w:rFonts w:ascii="Verdana" w:hAnsi="Verdana"/>
          <w:sz w:val="20"/>
          <w:szCs w:val="20"/>
          <w:lang w:val="pt-BR"/>
        </w:rPr>
        <w:t xml:space="preserve">estrita </w:t>
      </w:r>
      <w:r w:rsidR="00102093" w:rsidRPr="0038442F">
        <w:rPr>
          <w:rFonts w:ascii="Verdana" w:hAnsi="Verdana"/>
          <w:sz w:val="20"/>
          <w:szCs w:val="20"/>
          <w:lang w:val="pt-BR"/>
        </w:rPr>
        <w:t>vigil</w:t>
      </w:r>
      <w:r w:rsidR="007B10D1" w:rsidRPr="0038442F">
        <w:rPr>
          <w:rFonts w:ascii="Verdana" w:hAnsi="Verdana"/>
          <w:sz w:val="20"/>
          <w:szCs w:val="20"/>
          <w:lang w:val="pt-BR"/>
        </w:rPr>
        <w:t>â</w:t>
      </w:r>
      <w:r w:rsidR="00102093" w:rsidRPr="0038442F">
        <w:rPr>
          <w:rFonts w:ascii="Verdana" w:hAnsi="Verdana"/>
          <w:sz w:val="20"/>
          <w:szCs w:val="20"/>
          <w:lang w:val="pt-BR"/>
        </w:rPr>
        <w:t xml:space="preserve">ncia. </w:t>
      </w:r>
      <w:r w:rsidR="007B10D1" w:rsidRPr="0038442F">
        <w:rPr>
          <w:rFonts w:ascii="Verdana" w:hAnsi="Verdana"/>
          <w:sz w:val="20"/>
          <w:szCs w:val="20"/>
          <w:lang w:val="pt-BR"/>
        </w:rPr>
        <w:t xml:space="preserve">A </w:t>
      </w:r>
      <w:r w:rsidRPr="0038442F">
        <w:rPr>
          <w:rFonts w:ascii="Verdana" w:hAnsi="Verdana"/>
          <w:sz w:val="20"/>
          <w:szCs w:val="20"/>
          <w:lang w:val="pt-BR"/>
        </w:rPr>
        <w:t xml:space="preserve">falta </w:t>
      </w:r>
      <w:r w:rsidR="00A97590" w:rsidRPr="0038442F">
        <w:rPr>
          <w:rFonts w:ascii="Verdana" w:hAnsi="Verdana"/>
          <w:sz w:val="20"/>
          <w:szCs w:val="20"/>
          <w:lang w:val="pt-BR"/>
        </w:rPr>
        <w:t>adequada</w:t>
      </w:r>
      <w:r w:rsidR="00407242" w:rsidRPr="0038442F">
        <w:rPr>
          <w:rFonts w:ascii="Verdana" w:hAnsi="Verdana"/>
          <w:sz w:val="20"/>
          <w:szCs w:val="20"/>
          <w:lang w:val="pt-BR"/>
        </w:rPr>
        <w:t xml:space="preserve"> </w:t>
      </w:r>
      <w:r w:rsidRPr="0038442F">
        <w:rPr>
          <w:rFonts w:ascii="Verdana" w:hAnsi="Verdana"/>
          <w:sz w:val="20"/>
          <w:szCs w:val="20"/>
          <w:lang w:val="pt-BR"/>
        </w:rPr>
        <w:t>d</w:t>
      </w:r>
      <w:r w:rsidR="007B10D1" w:rsidRPr="0038442F">
        <w:rPr>
          <w:rFonts w:ascii="Verdana" w:hAnsi="Verdana"/>
          <w:sz w:val="20"/>
          <w:szCs w:val="20"/>
          <w:lang w:val="pt-BR"/>
        </w:rPr>
        <w:t xml:space="preserve">o </w:t>
      </w:r>
      <w:r w:rsidR="00D45B15" w:rsidRPr="0038442F">
        <w:rPr>
          <w:rFonts w:ascii="Verdana" w:hAnsi="Verdana"/>
          <w:sz w:val="20"/>
          <w:szCs w:val="20"/>
          <w:lang w:val="pt-BR"/>
        </w:rPr>
        <w:t>cumprimento</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102093" w:rsidRPr="0038442F">
        <w:rPr>
          <w:rFonts w:ascii="Verdana" w:hAnsi="Verdana"/>
          <w:sz w:val="20"/>
          <w:szCs w:val="20"/>
          <w:lang w:val="pt-BR"/>
        </w:rPr>
        <w:t>regula</w:t>
      </w:r>
      <w:r w:rsidR="007B10D1" w:rsidRPr="0038442F">
        <w:rPr>
          <w:rFonts w:ascii="Verdana" w:hAnsi="Verdana"/>
          <w:sz w:val="20"/>
          <w:szCs w:val="20"/>
          <w:lang w:val="pt-BR"/>
        </w:rPr>
        <w:t>menta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w:t>
      </w:r>
      <w:r w:rsidR="007B10D1" w:rsidRPr="0038442F">
        <w:rPr>
          <w:rFonts w:ascii="Verdana" w:hAnsi="Verdana"/>
          <w:sz w:val="20"/>
          <w:szCs w:val="20"/>
          <w:lang w:val="pt-BR"/>
        </w:rPr>
        <w:t>e</w:t>
      </w:r>
      <w:r w:rsidR="00102093"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102093" w:rsidRPr="0038442F">
        <w:rPr>
          <w:rFonts w:ascii="Verdana" w:hAnsi="Verdana"/>
          <w:sz w:val="20"/>
          <w:szCs w:val="20"/>
          <w:lang w:val="pt-BR"/>
        </w:rPr>
        <w:t>fiscaliza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w:t>
      </w:r>
      <w:r w:rsidR="007B10D1" w:rsidRPr="0038442F">
        <w:rPr>
          <w:rFonts w:ascii="Verdana" w:hAnsi="Verdana"/>
          <w:sz w:val="20"/>
          <w:szCs w:val="20"/>
          <w:lang w:val="pt-BR"/>
        </w:rPr>
        <w:t xml:space="preserve">não previne a </w:t>
      </w:r>
      <w:r w:rsidR="00984A83" w:rsidRPr="0038442F">
        <w:rPr>
          <w:rFonts w:ascii="Verdana" w:hAnsi="Verdana"/>
          <w:sz w:val="20"/>
          <w:szCs w:val="20"/>
          <w:lang w:val="pt-BR"/>
        </w:rPr>
        <w:t xml:space="preserve">violação </w:t>
      </w:r>
      <w:r w:rsidR="00102093" w:rsidRPr="0038442F">
        <w:rPr>
          <w:rFonts w:ascii="Verdana" w:hAnsi="Verdana"/>
          <w:sz w:val="20"/>
          <w:szCs w:val="20"/>
          <w:lang w:val="pt-BR"/>
        </w:rPr>
        <w:t xml:space="preserve">de </w:t>
      </w:r>
      <w:r w:rsidR="000A1AA8" w:rsidRPr="0038442F">
        <w:rPr>
          <w:rFonts w:ascii="Verdana" w:hAnsi="Verdana"/>
          <w:sz w:val="20"/>
          <w:szCs w:val="20"/>
          <w:lang w:val="pt-BR"/>
        </w:rPr>
        <w:t>direitos</w:t>
      </w:r>
      <w:r w:rsidR="00407242" w:rsidRPr="0038442F">
        <w:rPr>
          <w:rFonts w:ascii="Verdana" w:hAnsi="Verdana"/>
          <w:sz w:val="20"/>
          <w:szCs w:val="20"/>
          <w:lang w:val="pt-BR"/>
        </w:rPr>
        <w:t xml:space="preserve"> </w:t>
      </w:r>
      <w:r w:rsidR="00102093" w:rsidRPr="0038442F">
        <w:rPr>
          <w:rFonts w:ascii="Verdana" w:hAnsi="Verdana"/>
          <w:sz w:val="20"/>
          <w:szCs w:val="20"/>
          <w:lang w:val="pt-BR"/>
        </w:rPr>
        <w:t xml:space="preserve">humanos, como </w:t>
      </w:r>
      <w:r w:rsidR="00A15666" w:rsidRPr="0038442F">
        <w:rPr>
          <w:rFonts w:ascii="Verdana" w:hAnsi="Verdana"/>
          <w:sz w:val="20"/>
          <w:szCs w:val="20"/>
          <w:lang w:val="pt-BR"/>
        </w:rPr>
        <w:t xml:space="preserve">ocorreu neste </w:t>
      </w:r>
      <w:r w:rsidR="00102093" w:rsidRPr="0038442F">
        <w:rPr>
          <w:rFonts w:ascii="Verdana" w:hAnsi="Verdana"/>
          <w:sz w:val="20"/>
          <w:szCs w:val="20"/>
          <w:lang w:val="pt-BR"/>
        </w:rPr>
        <w:t xml:space="preserve">caso, </w:t>
      </w:r>
      <w:r w:rsidR="00A15666" w:rsidRPr="0038442F">
        <w:rPr>
          <w:rFonts w:ascii="Verdana" w:hAnsi="Verdana"/>
          <w:sz w:val="20"/>
          <w:szCs w:val="20"/>
          <w:lang w:val="pt-BR"/>
        </w:rPr>
        <w:t xml:space="preserve">em que </w:t>
      </w:r>
      <w:r w:rsidR="00102093" w:rsidRPr="0038442F">
        <w:rPr>
          <w:rFonts w:ascii="Verdana" w:hAnsi="Verdana"/>
          <w:sz w:val="20"/>
          <w:szCs w:val="20"/>
          <w:lang w:val="pt-BR"/>
        </w:rPr>
        <w:t xml:space="preserve">60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A15666" w:rsidRPr="0038442F">
        <w:rPr>
          <w:rFonts w:ascii="Verdana" w:hAnsi="Verdana"/>
          <w:sz w:val="20"/>
          <w:szCs w:val="20"/>
          <w:lang w:val="pt-BR"/>
        </w:rPr>
        <w:t>p</w:t>
      </w:r>
      <w:r w:rsidR="003624F7" w:rsidRPr="0038442F">
        <w:rPr>
          <w:rFonts w:ascii="Verdana" w:hAnsi="Verdana"/>
          <w:sz w:val="20"/>
          <w:szCs w:val="20"/>
          <w:lang w:val="pt-BR"/>
        </w:rPr>
        <w:t>e</w:t>
      </w:r>
      <w:r w:rsidR="00A15666" w:rsidRPr="0038442F">
        <w:rPr>
          <w:rFonts w:ascii="Verdana" w:hAnsi="Verdana"/>
          <w:sz w:val="20"/>
          <w:szCs w:val="20"/>
          <w:lang w:val="pt-BR"/>
        </w:rPr>
        <w:t xml:space="preserve">rderam a vida e seis sofreram danos físicos e </w:t>
      </w:r>
      <w:r w:rsidR="00102093" w:rsidRPr="0038442F">
        <w:rPr>
          <w:rFonts w:ascii="Verdana" w:hAnsi="Verdana"/>
          <w:sz w:val="20"/>
          <w:szCs w:val="20"/>
          <w:lang w:val="pt-BR"/>
        </w:rPr>
        <w:t>emocion</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EF1E48" w:rsidRPr="0038442F">
        <w:rPr>
          <w:rFonts w:ascii="Verdana" w:hAnsi="Verdana"/>
          <w:sz w:val="20"/>
          <w:szCs w:val="20"/>
          <w:lang w:val="pt-BR"/>
        </w:rPr>
        <w:t>graves</w:t>
      </w:r>
      <w:r w:rsidR="00102093" w:rsidRPr="0038442F">
        <w:rPr>
          <w:rFonts w:ascii="Verdana" w:hAnsi="Verdana"/>
          <w:sz w:val="20"/>
          <w:szCs w:val="20"/>
          <w:lang w:val="pt-BR"/>
        </w:rPr>
        <w:t xml:space="preserve">. </w:t>
      </w:r>
    </w:p>
    <w:p w14:paraId="63BF1FA4" w14:textId="77777777" w:rsidR="00102093" w:rsidRPr="0038442F" w:rsidRDefault="00102093" w:rsidP="00A857CB">
      <w:pPr>
        <w:pStyle w:val="Prrafodelista"/>
        <w:tabs>
          <w:tab w:val="left" w:pos="567"/>
          <w:tab w:val="center" w:pos="4702"/>
          <w:tab w:val="left" w:pos="6270"/>
        </w:tabs>
        <w:spacing w:line="240" w:lineRule="auto"/>
        <w:ind w:left="0"/>
        <w:jc w:val="both"/>
        <w:rPr>
          <w:rFonts w:ascii="Verdana" w:hAnsi="Verdana"/>
          <w:sz w:val="20"/>
          <w:szCs w:val="20"/>
          <w:lang w:val="pt-BR"/>
        </w:rPr>
      </w:pPr>
    </w:p>
    <w:p w14:paraId="362DD07D" w14:textId="216E47DE" w:rsidR="00102093" w:rsidRPr="0038442F" w:rsidRDefault="00823648" w:rsidP="00823648">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119. </w:t>
      </w:r>
      <w:r w:rsidRPr="0038442F">
        <w:rPr>
          <w:rFonts w:ascii="Verdana" w:hAnsi="Verdana"/>
          <w:sz w:val="20"/>
          <w:szCs w:val="20"/>
          <w:lang w:val="pt-BR"/>
        </w:rPr>
        <w:tab/>
      </w:r>
      <w:r w:rsidR="00102093" w:rsidRPr="0038442F">
        <w:rPr>
          <w:rFonts w:ascii="Verdana" w:hAnsi="Verdana"/>
          <w:sz w:val="20"/>
          <w:szCs w:val="20"/>
          <w:lang w:val="pt-BR"/>
        </w:rPr>
        <w:t xml:space="preserve">Todo o </w:t>
      </w:r>
      <w:r w:rsidR="00A15666" w:rsidRPr="0038442F">
        <w:rPr>
          <w:rFonts w:ascii="Verdana" w:hAnsi="Verdana"/>
          <w:sz w:val="20"/>
          <w:szCs w:val="20"/>
          <w:lang w:val="pt-BR"/>
        </w:rPr>
        <w:t xml:space="preserve">exposto se </w:t>
      </w:r>
      <w:r w:rsidR="003624F7" w:rsidRPr="0038442F">
        <w:rPr>
          <w:rFonts w:ascii="Verdana" w:hAnsi="Verdana"/>
          <w:sz w:val="20"/>
          <w:szCs w:val="20"/>
          <w:lang w:val="pt-BR"/>
        </w:rPr>
        <w:t>enquadra na</w:t>
      </w:r>
      <w:r w:rsidR="00A15666" w:rsidRPr="0038442F">
        <w:rPr>
          <w:rFonts w:ascii="Verdana" w:hAnsi="Verdana"/>
          <w:sz w:val="20"/>
          <w:szCs w:val="20"/>
          <w:lang w:val="pt-BR"/>
        </w:rPr>
        <w:t xml:space="preserve"> reflexão sobre o que fez </w:t>
      </w:r>
      <w:r w:rsidR="003624F7" w:rsidRPr="0038442F">
        <w:rPr>
          <w:rFonts w:ascii="Verdana" w:hAnsi="Verdana"/>
          <w:sz w:val="20"/>
          <w:szCs w:val="20"/>
          <w:lang w:val="pt-BR"/>
        </w:rPr>
        <w:t xml:space="preserve">com </w:t>
      </w:r>
      <w:r w:rsidR="00A15666" w:rsidRPr="0038442F">
        <w:rPr>
          <w:rFonts w:ascii="Verdana" w:hAnsi="Verdana"/>
          <w:sz w:val="20"/>
          <w:szCs w:val="20"/>
          <w:lang w:val="pt-BR"/>
        </w:rPr>
        <w:t xml:space="preserve">que essas </w:t>
      </w:r>
      <w:r w:rsidR="00C92762" w:rsidRPr="0038442F">
        <w:rPr>
          <w:rFonts w:ascii="Verdana" w:hAnsi="Verdana"/>
          <w:sz w:val="20"/>
          <w:szCs w:val="20"/>
          <w:lang w:val="pt-BR"/>
        </w:rPr>
        <w:t>pessoas</w:t>
      </w:r>
      <w:r w:rsidR="00407242" w:rsidRPr="0038442F">
        <w:rPr>
          <w:rFonts w:ascii="Verdana" w:hAnsi="Verdana"/>
          <w:sz w:val="20"/>
          <w:szCs w:val="20"/>
          <w:lang w:val="pt-BR"/>
        </w:rPr>
        <w:t xml:space="preserve">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dos </w:t>
      </w:r>
      <w:r w:rsidR="00A15666" w:rsidRPr="0038442F">
        <w:rPr>
          <w:rFonts w:ascii="Verdana" w:hAnsi="Verdana"/>
          <w:sz w:val="20"/>
          <w:szCs w:val="20"/>
          <w:lang w:val="pt-BR"/>
        </w:rPr>
        <w:t xml:space="preserve">fatos não tivessem </w:t>
      </w:r>
      <w:r w:rsidR="00102093" w:rsidRPr="0038442F">
        <w:rPr>
          <w:rFonts w:ascii="Verdana" w:hAnsi="Verdana"/>
          <w:sz w:val="20"/>
          <w:szCs w:val="20"/>
          <w:lang w:val="pt-BR"/>
        </w:rPr>
        <w:t>a op</w:t>
      </w:r>
      <w:r w:rsidR="000A1AA8" w:rsidRPr="0038442F">
        <w:rPr>
          <w:rFonts w:ascii="Verdana" w:hAnsi="Verdana"/>
          <w:sz w:val="20"/>
          <w:szCs w:val="20"/>
          <w:lang w:val="pt-BR"/>
        </w:rPr>
        <w:t>ção</w:t>
      </w:r>
      <w:r w:rsidR="00102093" w:rsidRPr="0038442F">
        <w:rPr>
          <w:rFonts w:ascii="Verdana" w:hAnsi="Verdana"/>
          <w:sz w:val="20"/>
          <w:szCs w:val="20"/>
          <w:lang w:val="pt-BR"/>
        </w:rPr>
        <w:t xml:space="preserve"> de </w:t>
      </w:r>
      <w:r w:rsidR="006A12FD" w:rsidRPr="0038442F">
        <w:rPr>
          <w:rFonts w:ascii="Verdana" w:hAnsi="Verdana"/>
          <w:sz w:val="20"/>
          <w:szCs w:val="20"/>
          <w:lang w:val="pt-BR"/>
        </w:rPr>
        <w:t>outras</w:t>
      </w:r>
      <w:r w:rsidR="00407242" w:rsidRPr="0038442F">
        <w:rPr>
          <w:rFonts w:ascii="Verdana" w:hAnsi="Verdana"/>
          <w:sz w:val="20"/>
          <w:szCs w:val="20"/>
          <w:lang w:val="pt-BR"/>
        </w:rPr>
        <w:t xml:space="preserve"> </w:t>
      </w:r>
      <w:r w:rsidR="00102093" w:rsidRPr="0038442F">
        <w:rPr>
          <w:rFonts w:ascii="Verdana" w:hAnsi="Verdana"/>
          <w:sz w:val="20"/>
          <w:szCs w:val="20"/>
          <w:lang w:val="pt-BR"/>
        </w:rPr>
        <w:t>f</w:t>
      </w:r>
      <w:r w:rsidR="00A15666" w:rsidRPr="0038442F">
        <w:rPr>
          <w:rFonts w:ascii="Verdana" w:hAnsi="Verdana"/>
          <w:sz w:val="20"/>
          <w:szCs w:val="20"/>
          <w:lang w:val="pt-BR"/>
        </w:rPr>
        <w:t>o</w:t>
      </w:r>
      <w:r w:rsidR="00102093" w:rsidRPr="0038442F">
        <w:rPr>
          <w:rFonts w:ascii="Verdana" w:hAnsi="Verdana"/>
          <w:sz w:val="20"/>
          <w:szCs w:val="20"/>
          <w:lang w:val="pt-BR"/>
        </w:rPr>
        <w:t xml:space="preserve">ntes de </w:t>
      </w:r>
      <w:r w:rsidR="006A12FD" w:rsidRPr="0038442F">
        <w:rPr>
          <w:rFonts w:ascii="Verdana" w:hAnsi="Verdana"/>
          <w:sz w:val="20"/>
          <w:szCs w:val="20"/>
          <w:lang w:val="pt-BR"/>
        </w:rPr>
        <w:t>emprego</w:t>
      </w:r>
      <w:r w:rsidR="00102093" w:rsidRPr="0038442F">
        <w:rPr>
          <w:rFonts w:ascii="Verdana" w:hAnsi="Verdana"/>
          <w:sz w:val="20"/>
          <w:szCs w:val="20"/>
          <w:lang w:val="pt-BR"/>
        </w:rPr>
        <w:t>. As</w:t>
      </w:r>
      <w:r w:rsidR="00A15666" w:rsidRPr="0038442F">
        <w:rPr>
          <w:rFonts w:ascii="Verdana" w:hAnsi="Verdana"/>
          <w:sz w:val="20"/>
          <w:szCs w:val="20"/>
          <w:lang w:val="pt-BR"/>
        </w:rPr>
        <w:t xml:space="preserve">sim, na </w:t>
      </w:r>
      <w:r w:rsidR="00102093" w:rsidRPr="0038442F">
        <w:rPr>
          <w:rFonts w:ascii="Verdana" w:hAnsi="Verdana"/>
          <w:sz w:val="20"/>
          <w:szCs w:val="20"/>
          <w:lang w:val="pt-BR"/>
        </w:rPr>
        <w:t>aborda</w:t>
      </w:r>
      <w:r w:rsidR="00A15666" w:rsidRPr="0038442F">
        <w:rPr>
          <w:rFonts w:ascii="Verdana" w:hAnsi="Verdana"/>
          <w:sz w:val="20"/>
          <w:szCs w:val="20"/>
          <w:lang w:val="pt-BR"/>
        </w:rPr>
        <w:t xml:space="preserve">gem </w:t>
      </w:r>
      <w:r w:rsidR="00C92762" w:rsidRPr="0038442F">
        <w:rPr>
          <w:rFonts w:ascii="Verdana" w:hAnsi="Verdana"/>
          <w:sz w:val="20"/>
          <w:szCs w:val="20"/>
          <w:lang w:val="pt-BR"/>
        </w:rPr>
        <w:t xml:space="preserve">da </w:t>
      </w:r>
      <w:r w:rsidR="00102093" w:rsidRPr="0038442F">
        <w:rPr>
          <w:rFonts w:ascii="Verdana" w:hAnsi="Verdana"/>
          <w:sz w:val="20"/>
          <w:szCs w:val="20"/>
          <w:lang w:val="pt-BR"/>
        </w:rPr>
        <w:t>discrimina</w:t>
      </w:r>
      <w:r w:rsidR="000A1AA8" w:rsidRPr="0038442F">
        <w:rPr>
          <w:rFonts w:ascii="Verdana" w:hAnsi="Verdana"/>
          <w:sz w:val="20"/>
          <w:szCs w:val="20"/>
          <w:lang w:val="pt-BR"/>
        </w:rPr>
        <w:t>ção</w:t>
      </w:r>
      <w:r w:rsidR="00102093" w:rsidRPr="0038442F">
        <w:rPr>
          <w:rFonts w:ascii="Verdana" w:hAnsi="Verdana"/>
          <w:sz w:val="20"/>
          <w:szCs w:val="20"/>
          <w:lang w:val="pt-BR"/>
        </w:rPr>
        <w:t xml:space="preserve"> </w:t>
      </w:r>
      <w:r w:rsidR="00751189" w:rsidRPr="0038442F">
        <w:rPr>
          <w:rFonts w:ascii="Verdana" w:hAnsi="Verdana"/>
          <w:sz w:val="20"/>
          <w:szCs w:val="20"/>
          <w:lang w:val="pt-BR"/>
        </w:rPr>
        <w:t xml:space="preserve">no </w:t>
      </w:r>
      <w:r w:rsidR="00102093" w:rsidRPr="0038442F">
        <w:rPr>
          <w:rFonts w:ascii="Verdana" w:hAnsi="Verdana"/>
          <w:sz w:val="20"/>
          <w:szCs w:val="20"/>
          <w:lang w:val="pt-BR"/>
        </w:rPr>
        <w:t xml:space="preserve">presente caso, </w:t>
      </w:r>
      <w:r w:rsidR="00A15666" w:rsidRPr="0038442F">
        <w:rPr>
          <w:rFonts w:ascii="Verdana" w:hAnsi="Verdana"/>
          <w:sz w:val="20"/>
          <w:szCs w:val="20"/>
          <w:lang w:val="pt-BR"/>
        </w:rPr>
        <w:t xml:space="preserve">ajuda </w:t>
      </w:r>
      <w:r w:rsidR="00102093" w:rsidRPr="0038442F">
        <w:rPr>
          <w:rFonts w:ascii="Verdana" w:hAnsi="Verdana"/>
          <w:sz w:val="20"/>
          <w:szCs w:val="20"/>
          <w:lang w:val="pt-BR"/>
        </w:rPr>
        <w:t xml:space="preserve">a entender que </w:t>
      </w:r>
      <w:r w:rsidR="003624F7" w:rsidRPr="0038442F">
        <w:rPr>
          <w:rFonts w:ascii="Verdana" w:hAnsi="Verdana"/>
          <w:sz w:val="20"/>
          <w:szCs w:val="20"/>
          <w:lang w:val="pt-BR"/>
        </w:rPr>
        <w:t xml:space="preserve">diversos fatores tornavam </w:t>
      </w:r>
      <w:r w:rsidR="00102093" w:rsidRPr="0038442F">
        <w:rPr>
          <w:rFonts w:ascii="Verdana" w:hAnsi="Verdana"/>
          <w:sz w:val="20"/>
          <w:szCs w:val="20"/>
          <w:lang w:val="pt-BR"/>
        </w:rPr>
        <w:t xml:space="preserve">as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102093" w:rsidRPr="0038442F">
        <w:rPr>
          <w:rFonts w:ascii="Verdana" w:hAnsi="Verdana"/>
          <w:sz w:val="20"/>
          <w:szCs w:val="20"/>
          <w:lang w:val="pt-BR"/>
        </w:rPr>
        <w:t xml:space="preserve">exponencialmente </w:t>
      </w:r>
      <w:r w:rsidR="00A15666" w:rsidRPr="0038442F">
        <w:rPr>
          <w:rFonts w:ascii="Verdana" w:hAnsi="Verdana"/>
          <w:sz w:val="20"/>
          <w:szCs w:val="20"/>
          <w:lang w:val="pt-BR"/>
        </w:rPr>
        <w:t>vulneráveis</w:t>
      </w:r>
      <w:r w:rsidR="003A4355" w:rsidRPr="0038442F">
        <w:rPr>
          <w:rFonts w:ascii="Verdana" w:hAnsi="Verdana"/>
          <w:sz w:val="20"/>
          <w:szCs w:val="20"/>
          <w:lang w:val="pt-BR"/>
        </w:rPr>
        <w:t xml:space="preserve">. </w:t>
      </w:r>
      <w:r w:rsidR="00A15666" w:rsidRPr="0038442F">
        <w:rPr>
          <w:rFonts w:ascii="Verdana" w:hAnsi="Verdana"/>
          <w:sz w:val="20"/>
          <w:szCs w:val="20"/>
          <w:lang w:val="pt-BR"/>
        </w:rPr>
        <w:t xml:space="preserve">Cumpre acrescentar ao exposto que, embora existissem </w:t>
      </w:r>
      <w:r w:rsidR="003A4355" w:rsidRPr="0038442F">
        <w:rPr>
          <w:rFonts w:ascii="Verdana" w:hAnsi="Verdana"/>
          <w:sz w:val="20"/>
          <w:szCs w:val="20"/>
          <w:lang w:val="pt-BR"/>
        </w:rPr>
        <w:t>normas que regula</w:t>
      </w:r>
      <w:r w:rsidR="00A15666" w:rsidRPr="0038442F">
        <w:rPr>
          <w:rFonts w:ascii="Verdana" w:hAnsi="Verdana"/>
          <w:sz w:val="20"/>
          <w:szCs w:val="20"/>
          <w:lang w:val="pt-BR"/>
        </w:rPr>
        <w:t xml:space="preserve">mentavam as </w:t>
      </w:r>
      <w:r w:rsidR="009F06E2" w:rsidRPr="0038442F">
        <w:rPr>
          <w:rFonts w:ascii="Verdana" w:hAnsi="Verdana"/>
          <w:sz w:val="20"/>
          <w:szCs w:val="20"/>
          <w:lang w:val="pt-BR"/>
        </w:rPr>
        <w:t>atividades</w:t>
      </w:r>
      <w:r w:rsidR="00407242" w:rsidRPr="0038442F">
        <w:rPr>
          <w:rFonts w:ascii="Verdana" w:hAnsi="Verdana"/>
          <w:sz w:val="20"/>
          <w:szCs w:val="20"/>
          <w:lang w:val="pt-BR"/>
        </w:rPr>
        <w:t xml:space="preserve"> </w:t>
      </w:r>
      <w:r w:rsidR="00360928" w:rsidRPr="0038442F">
        <w:rPr>
          <w:rFonts w:ascii="Verdana" w:hAnsi="Verdana"/>
          <w:sz w:val="20"/>
          <w:szCs w:val="20"/>
          <w:lang w:val="pt-BR"/>
        </w:rPr>
        <w:t>perigosas</w:t>
      </w:r>
      <w:r w:rsidR="003A4355" w:rsidRPr="0038442F">
        <w:rPr>
          <w:rFonts w:ascii="Verdana" w:hAnsi="Verdana"/>
          <w:sz w:val="20"/>
          <w:szCs w:val="20"/>
          <w:lang w:val="pt-BR"/>
        </w:rPr>
        <w:t>, a n</w:t>
      </w:r>
      <w:r w:rsidR="00A15666" w:rsidRPr="0038442F">
        <w:rPr>
          <w:rFonts w:ascii="Verdana" w:hAnsi="Verdana"/>
          <w:sz w:val="20"/>
          <w:szCs w:val="20"/>
          <w:lang w:val="pt-BR"/>
        </w:rPr>
        <w:t>ã</w:t>
      </w:r>
      <w:r w:rsidR="003A4355" w:rsidRPr="0038442F">
        <w:rPr>
          <w:rFonts w:ascii="Verdana" w:hAnsi="Verdana"/>
          <w:sz w:val="20"/>
          <w:szCs w:val="20"/>
          <w:lang w:val="pt-BR"/>
        </w:rPr>
        <w:t>o concre</w:t>
      </w:r>
      <w:r w:rsidR="00A15666" w:rsidRPr="0038442F">
        <w:rPr>
          <w:rFonts w:ascii="Verdana" w:hAnsi="Verdana"/>
          <w:sz w:val="20"/>
          <w:szCs w:val="20"/>
          <w:lang w:val="pt-BR"/>
        </w:rPr>
        <w:t>tiza</w:t>
      </w:r>
      <w:r w:rsidR="000A1AA8" w:rsidRPr="0038442F">
        <w:rPr>
          <w:rFonts w:ascii="Verdana" w:hAnsi="Verdana"/>
          <w:sz w:val="20"/>
          <w:szCs w:val="20"/>
          <w:lang w:val="pt-BR"/>
        </w:rPr>
        <w:t>ção</w:t>
      </w:r>
      <w:r w:rsidR="003A4355" w:rsidRPr="0038442F">
        <w:rPr>
          <w:rFonts w:ascii="Verdana" w:hAnsi="Verdana"/>
          <w:sz w:val="20"/>
          <w:szCs w:val="20"/>
          <w:lang w:val="pt-BR"/>
        </w:rPr>
        <w:t xml:space="preserve"> </w:t>
      </w:r>
      <w:r w:rsidR="00C92762" w:rsidRPr="0038442F">
        <w:rPr>
          <w:rFonts w:ascii="Verdana" w:hAnsi="Verdana"/>
          <w:sz w:val="20"/>
          <w:szCs w:val="20"/>
          <w:lang w:val="pt-BR"/>
        </w:rPr>
        <w:t xml:space="preserve">das </w:t>
      </w:r>
      <w:r w:rsidR="003A4355" w:rsidRPr="0038442F">
        <w:rPr>
          <w:rFonts w:ascii="Verdana" w:hAnsi="Verdana"/>
          <w:sz w:val="20"/>
          <w:szCs w:val="20"/>
          <w:lang w:val="pt-BR"/>
        </w:rPr>
        <w:t>medidas de fiscaliza</w:t>
      </w:r>
      <w:r w:rsidR="000A1AA8" w:rsidRPr="0038442F">
        <w:rPr>
          <w:rFonts w:ascii="Verdana" w:hAnsi="Verdana"/>
          <w:sz w:val="20"/>
          <w:szCs w:val="20"/>
          <w:lang w:val="pt-BR"/>
        </w:rPr>
        <w:t>ção</w:t>
      </w:r>
      <w:r w:rsidR="003A4355"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3A4355" w:rsidRPr="0038442F">
        <w:rPr>
          <w:rFonts w:ascii="Verdana" w:hAnsi="Verdana"/>
          <w:sz w:val="20"/>
          <w:szCs w:val="20"/>
          <w:lang w:val="pt-BR"/>
        </w:rPr>
        <w:t>realidad</w:t>
      </w:r>
      <w:r w:rsidR="00A15666" w:rsidRPr="0038442F">
        <w:rPr>
          <w:rFonts w:ascii="Verdana" w:hAnsi="Verdana"/>
          <w:sz w:val="20"/>
          <w:szCs w:val="20"/>
          <w:lang w:val="pt-BR"/>
        </w:rPr>
        <w:t>e,</w:t>
      </w:r>
      <w:r w:rsidR="003A4355" w:rsidRPr="0038442F">
        <w:rPr>
          <w:rFonts w:ascii="Verdana" w:hAnsi="Verdana"/>
          <w:sz w:val="20"/>
          <w:szCs w:val="20"/>
          <w:lang w:val="pt-BR"/>
        </w:rPr>
        <w:t xml:space="preserve"> torna</w:t>
      </w:r>
      <w:r w:rsidR="00A15666" w:rsidRPr="0038442F">
        <w:rPr>
          <w:rFonts w:ascii="Verdana" w:hAnsi="Verdana"/>
          <w:sz w:val="20"/>
          <w:szCs w:val="20"/>
          <w:lang w:val="pt-BR"/>
        </w:rPr>
        <w:t xml:space="preserve">vam </w:t>
      </w:r>
      <w:r w:rsidR="003A4355" w:rsidRPr="0038442F">
        <w:rPr>
          <w:rFonts w:ascii="Verdana" w:hAnsi="Verdana"/>
          <w:sz w:val="20"/>
          <w:szCs w:val="20"/>
          <w:lang w:val="pt-BR"/>
        </w:rPr>
        <w:t>inefica</w:t>
      </w:r>
      <w:r w:rsidR="00A15666" w:rsidRPr="0038442F">
        <w:rPr>
          <w:rFonts w:ascii="Verdana" w:hAnsi="Verdana"/>
          <w:sz w:val="20"/>
          <w:szCs w:val="20"/>
          <w:lang w:val="pt-BR"/>
        </w:rPr>
        <w:t>z</w:t>
      </w:r>
      <w:r w:rsidR="003A4355" w:rsidRPr="0038442F">
        <w:rPr>
          <w:rFonts w:ascii="Verdana" w:hAnsi="Verdana"/>
          <w:sz w:val="20"/>
          <w:szCs w:val="20"/>
          <w:lang w:val="pt-BR"/>
        </w:rPr>
        <w:t>es e</w:t>
      </w:r>
      <w:r w:rsidR="00A15666" w:rsidRPr="0038442F">
        <w:rPr>
          <w:rFonts w:ascii="Verdana" w:hAnsi="Verdana"/>
          <w:sz w:val="20"/>
          <w:szCs w:val="20"/>
          <w:lang w:val="pt-BR"/>
        </w:rPr>
        <w:t>s</w:t>
      </w:r>
      <w:r w:rsidR="003A4355" w:rsidRPr="0038442F">
        <w:rPr>
          <w:rFonts w:ascii="Verdana" w:hAnsi="Verdana"/>
          <w:sz w:val="20"/>
          <w:szCs w:val="20"/>
          <w:lang w:val="pt-BR"/>
        </w:rPr>
        <w:t>sas normas. As</w:t>
      </w:r>
      <w:r w:rsidR="00A15666" w:rsidRPr="0038442F">
        <w:rPr>
          <w:rFonts w:ascii="Verdana" w:hAnsi="Verdana"/>
          <w:sz w:val="20"/>
          <w:szCs w:val="20"/>
          <w:lang w:val="pt-BR"/>
        </w:rPr>
        <w:t>sim</w:t>
      </w:r>
      <w:r w:rsidR="003A4355" w:rsidRPr="0038442F">
        <w:rPr>
          <w:rFonts w:ascii="Verdana" w:hAnsi="Verdana"/>
          <w:sz w:val="20"/>
          <w:szCs w:val="20"/>
          <w:lang w:val="pt-BR"/>
        </w:rPr>
        <w:t xml:space="preserve">, </w:t>
      </w:r>
      <w:r w:rsidR="003624F7" w:rsidRPr="0038442F">
        <w:rPr>
          <w:rFonts w:ascii="Verdana" w:hAnsi="Verdana"/>
          <w:sz w:val="20"/>
          <w:szCs w:val="20"/>
          <w:lang w:val="pt-BR"/>
        </w:rPr>
        <w:t>embora o Estado</w:t>
      </w:r>
      <w:r w:rsidR="00A15666" w:rsidRPr="0038442F">
        <w:rPr>
          <w:rFonts w:ascii="Verdana" w:hAnsi="Verdana"/>
          <w:sz w:val="20"/>
          <w:szCs w:val="20"/>
          <w:lang w:val="pt-BR"/>
        </w:rPr>
        <w:t>,</w:t>
      </w:r>
      <w:r w:rsidR="00EF1E48" w:rsidRPr="0038442F">
        <w:rPr>
          <w:rFonts w:ascii="Verdana" w:hAnsi="Verdana"/>
          <w:sz w:val="20"/>
          <w:szCs w:val="20"/>
          <w:lang w:val="pt-BR"/>
        </w:rPr>
        <w:t xml:space="preserve"> conforme as disposi</w:t>
      </w:r>
      <w:r w:rsidR="000A1AA8" w:rsidRPr="0038442F">
        <w:rPr>
          <w:rFonts w:ascii="Verdana" w:hAnsi="Verdana"/>
          <w:sz w:val="20"/>
          <w:szCs w:val="20"/>
          <w:lang w:val="pt-BR"/>
        </w:rPr>
        <w:t>ções</w:t>
      </w:r>
      <w:r w:rsidR="00EF1E48" w:rsidRPr="0038442F">
        <w:rPr>
          <w:rFonts w:ascii="Verdana" w:hAnsi="Verdana"/>
          <w:sz w:val="20"/>
          <w:szCs w:val="20"/>
          <w:lang w:val="pt-BR"/>
        </w:rPr>
        <w:t xml:space="preserve"> nacion</w:t>
      </w:r>
      <w:r w:rsidR="00C92762" w:rsidRPr="0038442F">
        <w:rPr>
          <w:rFonts w:ascii="Verdana" w:hAnsi="Verdana"/>
          <w:sz w:val="20"/>
          <w:szCs w:val="20"/>
          <w:lang w:val="pt-BR"/>
        </w:rPr>
        <w:t>ais</w:t>
      </w:r>
      <w:r w:rsidR="00A15666" w:rsidRPr="0038442F">
        <w:rPr>
          <w:rFonts w:ascii="Verdana" w:hAnsi="Verdana"/>
          <w:sz w:val="20"/>
          <w:szCs w:val="20"/>
          <w:lang w:val="pt-BR"/>
        </w:rPr>
        <w:t>,</w:t>
      </w:r>
      <w:r w:rsidR="00407242" w:rsidRPr="0038442F">
        <w:rPr>
          <w:rFonts w:ascii="Verdana" w:hAnsi="Verdana"/>
          <w:sz w:val="20"/>
          <w:szCs w:val="20"/>
          <w:lang w:val="pt-BR"/>
        </w:rPr>
        <w:t xml:space="preserve"> </w:t>
      </w:r>
      <w:r w:rsidR="00A15666" w:rsidRPr="0038442F">
        <w:rPr>
          <w:rFonts w:ascii="Verdana" w:hAnsi="Verdana"/>
          <w:sz w:val="20"/>
          <w:szCs w:val="20"/>
          <w:lang w:val="pt-BR"/>
        </w:rPr>
        <w:t xml:space="preserve">estivesse </w:t>
      </w:r>
      <w:r w:rsidR="003A4355" w:rsidRPr="0038442F">
        <w:rPr>
          <w:rFonts w:ascii="Verdana" w:hAnsi="Verdana"/>
          <w:sz w:val="20"/>
          <w:szCs w:val="20"/>
          <w:lang w:val="pt-BR"/>
        </w:rPr>
        <w:t>ob</w:t>
      </w:r>
      <w:r w:rsidR="003624F7" w:rsidRPr="0038442F">
        <w:rPr>
          <w:rFonts w:ascii="Verdana" w:hAnsi="Verdana"/>
          <w:sz w:val="20"/>
          <w:szCs w:val="20"/>
          <w:lang w:val="pt-BR"/>
        </w:rPr>
        <w:t>r</w:t>
      </w:r>
      <w:r w:rsidR="003A4355" w:rsidRPr="0038442F">
        <w:rPr>
          <w:rFonts w:ascii="Verdana" w:hAnsi="Verdana"/>
          <w:sz w:val="20"/>
          <w:szCs w:val="20"/>
          <w:lang w:val="pt-BR"/>
        </w:rPr>
        <w:t xml:space="preserve">igado a </w:t>
      </w:r>
      <w:r w:rsidR="003624F7" w:rsidRPr="0038442F">
        <w:rPr>
          <w:rFonts w:ascii="Verdana" w:hAnsi="Verdana"/>
          <w:sz w:val="20"/>
          <w:szCs w:val="20"/>
          <w:lang w:val="pt-BR"/>
        </w:rPr>
        <w:t>exercer fiscalização</w:t>
      </w:r>
      <w:r w:rsidR="003A4355" w:rsidRPr="0038442F">
        <w:rPr>
          <w:rFonts w:ascii="Verdana" w:hAnsi="Verdana"/>
          <w:sz w:val="20"/>
          <w:szCs w:val="20"/>
          <w:lang w:val="pt-BR"/>
        </w:rPr>
        <w:t xml:space="preserve">, </w:t>
      </w:r>
      <w:r w:rsidR="00602FF9" w:rsidRPr="0038442F">
        <w:rPr>
          <w:rFonts w:ascii="Verdana" w:hAnsi="Verdana"/>
          <w:sz w:val="20"/>
          <w:szCs w:val="20"/>
          <w:lang w:val="pt-BR"/>
        </w:rPr>
        <w:t xml:space="preserve">nos </w:t>
      </w:r>
      <w:r w:rsidR="00A15666" w:rsidRPr="0038442F">
        <w:rPr>
          <w:rFonts w:ascii="Verdana" w:hAnsi="Verdana"/>
          <w:sz w:val="20"/>
          <w:szCs w:val="20"/>
          <w:lang w:val="pt-BR"/>
        </w:rPr>
        <w:t xml:space="preserve">fatos do </w:t>
      </w:r>
      <w:r w:rsidR="003A4355" w:rsidRPr="0038442F">
        <w:rPr>
          <w:rFonts w:ascii="Verdana" w:hAnsi="Verdana"/>
          <w:sz w:val="20"/>
          <w:szCs w:val="20"/>
          <w:lang w:val="pt-BR"/>
        </w:rPr>
        <w:t>caso, e</w:t>
      </w:r>
      <w:r w:rsidR="00A15666" w:rsidRPr="0038442F">
        <w:rPr>
          <w:rFonts w:ascii="Verdana" w:hAnsi="Verdana"/>
          <w:sz w:val="20"/>
          <w:szCs w:val="20"/>
          <w:lang w:val="pt-BR"/>
        </w:rPr>
        <w:t xml:space="preserve">m uma </w:t>
      </w:r>
      <w:r w:rsidR="003A4355" w:rsidRPr="0038442F">
        <w:rPr>
          <w:rFonts w:ascii="Verdana" w:hAnsi="Verdana"/>
          <w:sz w:val="20"/>
          <w:szCs w:val="20"/>
          <w:lang w:val="pt-BR"/>
        </w:rPr>
        <w:t xml:space="preserve">área </w:t>
      </w:r>
      <w:r w:rsidR="00EF1E48" w:rsidRPr="0038442F">
        <w:rPr>
          <w:rFonts w:ascii="Verdana" w:hAnsi="Verdana"/>
          <w:sz w:val="20"/>
          <w:szCs w:val="20"/>
          <w:lang w:val="pt-BR"/>
        </w:rPr>
        <w:t xml:space="preserve">geográfica </w:t>
      </w:r>
      <w:r w:rsidR="00A15666" w:rsidRPr="0038442F">
        <w:rPr>
          <w:rFonts w:ascii="Verdana" w:hAnsi="Verdana"/>
          <w:sz w:val="20"/>
          <w:szCs w:val="20"/>
          <w:lang w:val="pt-BR"/>
        </w:rPr>
        <w:t xml:space="preserve">em que existiam </w:t>
      </w:r>
      <w:r w:rsidR="003A4355" w:rsidRPr="0038442F">
        <w:rPr>
          <w:rFonts w:ascii="Verdana" w:hAnsi="Verdana"/>
          <w:sz w:val="20"/>
          <w:szCs w:val="20"/>
          <w:lang w:val="pt-BR"/>
        </w:rPr>
        <w:t>altos índices de pobreza</w:t>
      </w:r>
      <w:r w:rsidR="00A15666" w:rsidRPr="0038442F">
        <w:rPr>
          <w:rFonts w:ascii="Verdana" w:hAnsi="Verdana"/>
          <w:sz w:val="20"/>
          <w:szCs w:val="20"/>
          <w:lang w:val="pt-BR"/>
        </w:rPr>
        <w:t xml:space="preserve">, e </w:t>
      </w:r>
      <w:r w:rsidR="003624F7" w:rsidRPr="0038442F">
        <w:rPr>
          <w:rFonts w:ascii="Verdana" w:hAnsi="Verdana"/>
          <w:sz w:val="20"/>
          <w:szCs w:val="20"/>
          <w:lang w:val="pt-BR"/>
        </w:rPr>
        <w:t xml:space="preserve">em que se realizavam trabalhos perigosos dos quais </w:t>
      </w:r>
      <w:r w:rsidR="00A15666" w:rsidRPr="0038442F">
        <w:rPr>
          <w:rFonts w:ascii="Verdana" w:hAnsi="Verdana"/>
          <w:sz w:val="20"/>
          <w:szCs w:val="20"/>
          <w:lang w:val="pt-BR"/>
        </w:rPr>
        <w:t>se tinha conhecimento</w:t>
      </w:r>
      <w:r w:rsidR="003A4355" w:rsidRPr="0038442F">
        <w:rPr>
          <w:rFonts w:ascii="Verdana" w:hAnsi="Verdana"/>
          <w:sz w:val="20"/>
          <w:szCs w:val="20"/>
          <w:lang w:val="pt-BR"/>
        </w:rPr>
        <w:t xml:space="preserve">, </w:t>
      </w:r>
      <w:r w:rsidR="00A15666" w:rsidRPr="0038442F">
        <w:rPr>
          <w:rFonts w:ascii="Verdana" w:hAnsi="Verdana"/>
          <w:sz w:val="20"/>
          <w:szCs w:val="20"/>
          <w:lang w:val="pt-BR"/>
        </w:rPr>
        <w:t xml:space="preserve">essa </w:t>
      </w:r>
      <w:r w:rsidR="003A4355" w:rsidRPr="0038442F">
        <w:rPr>
          <w:rFonts w:ascii="Verdana" w:hAnsi="Verdana"/>
          <w:sz w:val="20"/>
          <w:szCs w:val="20"/>
          <w:lang w:val="pt-BR"/>
        </w:rPr>
        <w:t>fiscaliza</w:t>
      </w:r>
      <w:r w:rsidR="000A1AA8" w:rsidRPr="0038442F">
        <w:rPr>
          <w:rFonts w:ascii="Verdana" w:hAnsi="Verdana"/>
          <w:sz w:val="20"/>
          <w:szCs w:val="20"/>
          <w:lang w:val="pt-BR"/>
        </w:rPr>
        <w:t>ção</w:t>
      </w:r>
      <w:r w:rsidR="003A4355" w:rsidRPr="0038442F">
        <w:rPr>
          <w:rFonts w:ascii="Verdana" w:hAnsi="Verdana"/>
          <w:sz w:val="20"/>
          <w:szCs w:val="20"/>
          <w:lang w:val="pt-BR"/>
        </w:rPr>
        <w:t xml:space="preserve"> </w:t>
      </w:r>
      <w:r w:rsidR="00A15666" w:rsidRPr="0038442F">
        <w:rPr>
          <w:rFonts w:ascii="Verdana" w:hAnsi="Verdana"/>
          <w:sz w:val="20"/>
          <w:szCs w:val="20"/>
          <w:lang w:val="pt-BR"/>
        </w:rPr>
        <w:t>não aconteceu</w:t>
      </w:r>
      <w:r w:rsidR="00466BBD" w:rsidRPr="0038442F">
        <w:rPr>
          <w:rFonts w:ascii="Verdana" w:hAnsi="Verdana"/>
          <w:sz w:val="20"/>
          <w:szCs w:val="20"/>
          <w:lang w:val="pt-BR"/>
        </w:rPr>
        <w:t>.</w:t>
      </w:r>
    </w:p>
    <w:p w14:paraId="16A41332" w14:textId="77777777" w:rsidR="003A4355" w:rsidRPr="0038442F" w:rsidRDefault="003A4355" w:rsidP="00A857CB">
      <w:pPr>
        <w:pStyle w:val="Prrafodelista"/>
        <w:spacing w:line="240" w:lineRule="auto"/>
        <w:rPr>
          <w:rFonts w:ascii="Verdana" w:hAnsi="Verdana"/>
          <w:sz w:val="20"/>
          <w:szCs w:val="20"/>
          <w:lang w:val="pt-BR"/>
        </w:rPr>
      </w:pPr>
    </w:p>
    <w:p w14:paraId="2F811917" w14:textId="6FFBF0E2" w:rsidR="003A4355" w:rsidRPr="0038442F" w:rsidRDefault="00823648" w:rsidP="00823648">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120. </w:t>
      </w:r>
      <w:r w:rsidRPr="0038442F">
        <w:rPr>
          <w:rFonts w:ascii="Verdana" w:hAnsi="Verdana"/>
          <w:sz w:val="20"/>
          <w:szCs w:val="20"/>
          <w:lang w:val="pt-BR"/>
        </w:rPr>
        <w:tab/>
      </w:r>
      <w:r w:rsidR="003A4355" w:rsidRPr="0038442F">
        <w:rPr>
          <w:rFonts w:ascii="Verdana" w:hAnsi="Verdana"/>
          <w:sz w:val="20"/>
          <w:szCs w:val="20"/>
          <w:lang w:val="pt-BR"/>
        </w:rPr>
        <w:t xml:space="preserve">Por </w:t>
      </w:r>
      <w:r w:rsidR="00984A83" w:rsidRPr="0038442F">
        <w:rPr>
          <w:rFonts w:ascii="Verdana" w:hAnsi="Verdana"/>
          <w:sz w:val="20"/>
          <w:szCs w:val="20"/>
          <w:lang w:val="pt-BR"/>
        </w:rPr>
        <w:t>outro</w:t>
      </w:r>
      <w:r w:rsidR="00407242" w:rsidRPr="0038442F">
        <w:rPr>
          <w:rFonts w:ascii="Verdana" w:hAnsi="Verdana"/>
          <w:sz w:val="20"/>
          <w:szCs w:val="20"/>
          <w:lang w:val="pt-BR"/>
        </w:rPr>
        <w:t xml:space="preserve"> </w:t>
      </w:r>
      <w:r w:rsidR="003A4355" w:rsidRPr="0038442F">
        <w:rPr>
          <w:rFonts w:ascii="Verdana" w:hAnsi="Verdana"/>
          <w:sz w:val="20"/>
          <w:szCs w:val="20"/>
          <w:lang w:val="pt-BR"/>
        </w:rPr>
        <w:t>lado, tampo</w:t>
      </w:r>
      <w:r w:rsidR="00A15666" w:rsidRPr="0038442F">
        <w:rPr>
          <w:rFonts w:ascii="Verdana" w:hAnsi="Verdana"/>
          <w:sz w:val="20"/>
          <w:szCs w:val="20"/>
          <w:lang w:val="pt-BR"/>
        </w:rPr>
        <w:t>u</w:t>
      </w:r>
      <w:r w:rsidR="003A4355" w:rsidRPr="0038442F">
        <w:rPr>
          <w:rFonts w:ascii="Verdana" w:hAnsi="Verdana"/>
          <w:sz w:val="20"/>
          <w:szCs w:val="20"/>
          <w:lang w:val="pt-BR"/>
        </w:rPr>
        <w:t xml:space="preserve">co </w:t>
      </w:r>
      <w:r w:rsidR="00A15666" w:rsidRPr="0038442F">
        <w:rPr>
          <w:rFonts w:ascii="Verdana" w:hAnsi="Verdana"/>
          <w:sz w:val="20"/>
          <w:szCs w:val="20"/>
          <w:lang w:val="pt-BR"/>
        </w:rPr>
        <w:t xml:space="preserve">foram adotadas </w:t>
      </w:r>
      <w:r w:rsidR="003A4355" w:rsidRPr="0038442F">
        <w:rPr>
          <w:rFonts w:ascii="Verdana" w:hAnsi="Verdana"/>
          <w:sz w:val="20"/>
          <w:szCs w:val="20"/>
          <w:lang w:val="pt-BR"/>
        </w:rPr>
        <w:t xml:space="preserve">medidas </w:t>
      </w:r>
      <w:r w:rsidR="00A15666" w:rsidRPr="0038442F">
        <w:rPr>
          <w:rFonts w:ascii="Verdana" w:hAnsi="Verdana"/>
          <w:sz w:val="20"/>
          <w:szCs w:val="20"/>
          <w:lang w:val="pt-BR"/>
        </w:rPr>
        <w:t xml:space="preserve">no </w:t>
      </w:r>
      <w:r w:rsidR="003A4355" w:rsidRPr="0038442F">
        <w:rPr>
          <w:rFonts w:ascii="Verdana" w:hAnsi="Verdana"/>
          <w:sz w:val="20"/>
          <w:szCs w:val="20"/>
          <w:lang w:val="pt-BR"/>
        </w:rPr>
        <w:t xml:space="preserve">momento </w:t>
      </w:r>
      <w:r w:rsidR="00C92762" w:rsidRPr="0038442F">
        <w:rPr>
          <w:rFonts w:ascii="Verdana" w:hAnsi="Verdana"/>
          <w:sz w:val="20"/>
          <w:szCs w:val="20"/>
          <w:lang w:val="pt-BR"/>
        </w:rPr>
        <w:t xml:space="preserve">dos </w:t>
      </w:r>
      <w:r w:rsidR="00A15666" w:rsidRPr="0038442F">
        <w:rPr>
          <w:rFonts w:ascii="Verdana" w:hAnsi="Verdana"/>
          <w:sz w:val="20"/>
          <w:szCs w:val="20"/>
          <w:lang w:val="pt-BR"/>
        </w:rPr>
        <w:t xml:space="preserve">fatos </w:t>
      </w:r>
      <w:r w:rsidR="003A4355" w:rsidRPr="0038442F">
        <w:rPr>
          <w:rFonts w:ascii="Verdana" w:hAnsi="Verdana"/>
          <w:sz w:val="20"/>
          <w:szCs w:val="20"/>
          <w:lang w:val="pt-BR"/>
        </w:rPr>
        <w:t>que permiti</w:t>
      </w:r>
      <w:r w:rsidR="00A15666" w:rsidRPr="0038442F">
        <w:rPr>
          <w:rFonts w:ascii="Verdana" w:hAnsi="Verdana"/>
          <w:sz w:val="20"/>
          <w:szCs w:val="20"/>
          <w:lang w:val="pt-BR"/>
        </w:rPr>
        <w:t xml:space="preserve">ssem que as </w:t>
      </w:r>
      <w:r w:rsidR="00C92762" w:rsidRPr="0038442F">
        <w:rPr>
          <w:rFonts w:ascii="Verdana" w:hAnsi="Verdana"/>
          <w:sz w:val="20"/>
          <w:szCs w:val="20"/>
          <w:lang w:val="pt-BR"/>
        </w:rPr>
        <w:t>vítimas</w:t>
      </w:r>
      <w:r w:rsidR="00407242" w:rsidRPr="0038442F">
        <w:rPr>
          <w:rFonts w:ascii="Verdana" w:hAnsi="Verdana"/>
          <w:sz w:val="20"/>
          <w:szCs w:val="20"/>
          <w:lang w:val="pt-BR"/>
        </w:rPr>
        <w:t xml:space="preserve"> </w:t>
      </w:r>
      <w:r w:rsidR="003A4355" w:rsidRPr="0038442F">
        <w:rPr>
          <w:rFonts w:ascii="Verdana" w:hAnsi="Verdana"/>
          <w:sz w:val="20"/>
          <w:szCs w:val="20"/>
          <w:lang w:val="pt-BR"/>
        </w:rPr>
        <w:t>t</w:t>
      </w:r>
      <w:r w:rsidR="00A15666" w:rsidRPr="0038442F">
        <w:rPr>
          <w:rFonts w:ascii="Verdana" w:hAnsi="Verdana"/>
          <w:sz w:val="20"/>
          <w:szCs w:val="20"/>
          <w:lang w:val="pt-BR"/>
        </w:rPr>
        <w:t xml:space="preserve">ivessem </w:t>
      </w:r>
      <w:r w:rsidR="006A12FD" w:rsidRPr="0038442F">
        <w:rPr>
          <w:rFonts w:ascii="Verdana" w:hAnsi="Verdana"/>
          <w:sz w:val="20"/>
          <w:szCs w:val="20"/>
          <w:lang w:val="pt-BR"/>
        </w:rPr>
        <w:t>outras</w:t>
      </w:r>
      <w:r w:rsidR="00407242" w:rsidRPr="0038442F">
        <w:rPr>
          <w:rFonts w:ascii="Verdana" w:hAnsi="Verdana"/>
          <w:sz w:val="20"/>
          <w:szCs w:val="20"/>
          <w:lang w:val="pt-BR"/>
        </w:rPr>
        <w:t xml:space="preserve"> </w:t>
      </w:r>
      <w:r w:rsidR="003A4355" w:rsidRPr="0038442F">
        <w:rPr>
          <w:rFonts w:ascii="Verdana" w:hAnsi="Verdana"/>
          <w:sz w:val="20"/>
          <w:szCs w:val="20"/>
          <w:lang w:val="pt-BR"/>
        </w:rPr>
        <w:t>op</w:t>
      </w:r>
      <w:r w:rsidR="000A1AA8" w:rsidRPr="0038442F">
        <w:rPr>
          <w:rFonts w:ascii="Verdana" w:hAnsi="Verdana"/>
          <w:sz w:val="20"/>
          <w:szCs w:val="20"/>
          <w:lang w:val="pt-BR"/>
        </w:rPr>
        <w:t>ções</w:t>
      </w:r>
      <w:r w:rsidR="003A4355" w:rsidRPr="0038442F">
        <w:rPr>
          <w:rFonts w:ascii="Verdana" w:hAnsi="Verdana"/>
          <w:sz w:val="20"/>
          <w:szCs w:val="20"/>
          <w:lang w:val="pt-BR"/>
        </w:rPr>
        <w:t xml:space="preserve"> de </w:t>
      </w:r>
      <w:r w:rsidR="006A12FD" w:rsidRPr="0038442F">
        <w:rPr>
          <w:rFonts w:ascii="Verdana" w:hAnsi="Verdana"/>
          <w:sz w:val="20"/>
          <w:szCs w:val="20"/>
          <w:lang w:val="pt-BR"/>
        </w:rPr>
        <w:t>emprego</w:t>
      </w:r>
      <w:r w:rsidR="00A15666" w:rsidRPr="0038442F">
        <w:rPr>
          <w:rFonts w:ascii="Verdana" w:hAnsi="Verdana"/>
          <w:sz w:val="20"/>
          <w:szCs w:val="20"/>
          <w:lang w:val="pt-BR"/>
        </w:rPr>
        <w:t xml:space="preserve">, ou seja, não se demonstrou que existissem </w:t>
      </w:r>
      <w:r w:rsidR="00A97590" w:rsidRPr="0038442F">
        <w:rPr>
          <w:rFonts w:ascii="Verdana" w:hAnsi="Verdana"/>
          <w:sz w:val="20"/>
          <w:szCs w:val="20"/>
          <w:lang w:val="pt-BR"/>
        </w:rPr>
        <w:t>leis</w:t>
      </w:r>
      <w:r w:rsidR="003A4355" w:rsidRPr="0038442F">
        <w:rPr>
          <w:rFonts w:ascii="Verdana" w:hAnsi="Verdana"/>
          <w:sz w:val="20"/>
          <w:szCs w:val="20"/>
          <w:lang w:val="pt-BR"/>
        </w:rPr>
        <w:t>, normas, políticas o</w:t>
      </w:r>
      <w:r w:rsidR="00A15666" w:rsidRPr="0038442F">
        <w:rPr>
          <w:rFonts w:ascii="Verdana" w:hAnsi="Verdana"/>
          <w:sz w:val="20"/>
          <w:szCs w:val="20"/>
          <w:lang w:val="pt-BR"/>
        </w:rPr>
        <w:t>u</w:t>
      </w:r>
      <w:r w:rsidR="003A4355" w:rsidRPr="0038442F">
        <w:rPr>
          <w:rFonts w:ascii="Verdana" w:hAnsi="Verdana"/>
          <w:sz w:val="20"/>
          <w:szCs w:val="20"/>
          <w:lang w:val="pt-BR"/>
        </w:rPr>
        <w:t xml:space="preserve"> </w:t>
      </w:r>
      <w:r w:rsidR="000450DD" w:rsidRPr="0038442F">
        <w:rPr>
          <w:rFonts w:ascii="Verdana" w:hAnsi="Verdana"/>
          <w:sz w:val="20"/>
          <w:szCs w:val="20"/>
          <w:lang w:val="pt-BR"/>
        </w:rPr>
        <w:t xml:space="preserve">práticas </w:t>
      </w:r>
      <w:r w:rsidR="00A15666" w:rsidRPr="0038442F">
        <w:rPr>
          <w:rFonts w:ascii="Verdana" w:hAnsi="Verdana"/>
          <w:sz w:val="20"/>
          <w:szCs w:val="20"/>
          <w:lang w:val="pt-BR"/>
        </w:rPr>
        <w:t>cuja orientação determina</w:t>
      </w:r>
      <w:r w:rsidR="00B23457" w:rsidRPr="0038442F">
        <w:rPr>
          <w:rFonts w:ascii="Verdana" w:hAnsi="Verdana"/>
          <w:sz w:val="20"/>
          <w:szCs w:val="20"/>
          <w:lang w:val="pt-BR"/>
        </w:rPr>
        <w:t>sse</w:t>
      </w:r>
      <w:r w:rsidR="00A15666" w:rsidRPr="0038442F">
        <w:rPr>
          <w:rFonts w:ascii="Verdana" w:hAnsi="Verdana"/>
          <w:sz w:val="20"/>
          <w:szCs w:val="20"/>
          <w:lang w:val="pt-BR"/>
        </w:rPr>
        <w:t xml:space="preserve"> que levassem em </w:t>
      </w:r>
      <w:r w:rsidR="005907B2" w:rsidRPr="0038442F">
        <w:rPr>
          <w:rFonts w:ascii="Verdana" w:hAnsi="Verdana"/>
          <w:sz w:val="20"/>
          <w:szCs w:val="20"/>
          <w:lang w:val="pt-BR"/>
        </w:rPr>
        <w:t>consideração</w:t>
      </w:r>
      <w:r w:rsidR="00407242" w:rsidRPr="0038442F">
        <w:rPr>
          <w:rFonts w:ascii="Verdana" w:hAnsi="Verdana"/>
          <w:sz w:val="20"/>
          <w:szCs w:val="20"/>
          <w:lang w:val="pt-BR"/>
        </w:rPr>
        <w:t xml:space="preserve"> </w:t>
      </w:r>
      <w:r w:rsidR="003A4355" w:rsidRPr="0038442F">
        <w:rPr>
          <w:rFonts w:ascii="Verdana" w:hAnsi="Verdana"/>
          <w:sz w:val="20"/>
          <w:szCs w:val="20"/>
          <w:lang w:val="pt-BR"/>
        </w:rPr>
        <w:t>a situa</w:t>
      </w:r>
      <w:r w:rsidR="000A1AA8" w:rsidRPr="0038442F">
        <w:rPr>
          <w:rFonts w:ascii="Verdana" w:hAnsi="Verdana"/>
          <w:sz w:val="20"/>
          <w:szCs w:val="20"/>
          <w:lang w:val="pt-BR"/>
        </w:rPr>
        <w:t>ção</w:t>
      </w:r>
      <w:r w:rsidR="003A4355" w:rsidRPr="0038442F">
        <w:rPr>
          <w:rFonts w:ascii="Verdana" w:hAnsi="Verdana"/>
          <w:sz w:val="20"/>
          <w:szCs w:val="20"/>
          <w:lang w:val="pt-BR"/>
        </w:rPr>
        <w:t xml:space="preserve"> de pobreza </w:t>
      </w:r>
      <w:r w:rsidR="00C92762" w:rsidRPr="0038442F">
        <w:rPr>
          <w:rFonts w:ascii="Verdana" w:hAnsi="Verdana"/>
          <w:sz w:val="20"/>
          <w:szCs w:val="20"/>
          <w:lang w:val="pt-BR"/>
        </w:rPr>
        <w:t>das pessoas</w:t>
      </w:r>
      <w:r w:rsidR="00407242" w:rsidRPr="0038442F">
        <w:rPr>
          <w:rFonts w:ascii="Verdana" w:hAnsi="Verdana"/>
          <w:sz w:val="20"/>
          <w:szCs w:val="20"/>
          <w:lang w:val="pt-BR"/>
        </w:rPr>
        <w:t xml:space="preserve"> </w:t>
      </w:r>
      <w:r w:rsidR="003A4355" w:rsidRPr="0038442F">
        <w:rPr>
          <w:rFonts w:ascii="Verdana" w:hAnsi="Verdana"/>
          <w:sz w:val="20"/>
          <w:szCs w:val="20"/>
          <w:lang w:val="pt-BR"/>
        </w:rPr>
        <w:t>que viv</w:t>
      </w:r>
      <w:r w:rsidR="00A15666" w:rsidRPr="0038442F">
        <w:rPr>
          <w:rFonts w:ascii="Verdana" w:hAnsi="Verdana"/>
          <w:sz w:val="20"/>
          <w:szCs w:val="20"/>
          <w:lang w:val="pt-BR"/>
        </w:rPr>
        <w:t xml:space="preserve">iam </w:t>
      </w:r>
      <w:r w:rsidR="00751189" w:rsidRPr="0038442F">
        <w:rPr>
          <w:rFonts w:ascii="Verdana" w:hAnsi="Verdana"/>
          <w:sz w:val="20"/>
          <w:szCs w:val="20"/>
          <w:lang w:val="pt-BR"/>
        </w:rPr>
        <w:t xml:space="preserve">no </w:t>
      </w:r>
      <w:r w:rsidR="00BF7A10" w:rsidRPr="0038442F">
        <w:rPr>
          <w:rFonts w:ascii="Verdana" w:hAnsi="Verdana"/>
          <w:sz w:val="20"/>
          <w:szCs w:val="20"/>
          <w:lang w:val="pt-BR"/>
        </w:rPr>
        <w:t>Município</w:t>
      </w:r>
      <w:r w:rsidR="00407242" w:rsidRPr="0038442F">
        <w:rPr>
          <w:rFonts w:ascii="Verdana" w:hAnsi="Verdana"/>
          <w:sz w:val="20"/>
          <w:szCs w:val="20"/>
          <w:lang w:val="pt-BR"/>
        </w:rPr>
        <w:t xml:space="preserve"> </w:t>
      </w:r>
      <w:r w:rsidR="003A4355" w:rsidRPr="0038442F">
        <w:rPr>
          <w:rFonts w:ascii="Verdana" w:hAnsi="Verdana"/>
          <w:sz w:val="20"/>
          <w:szCs w:val="20"/>
          <w:lang w:val="pt-BR"/>
        </w:rPr>
        <w:t>para revert</w:t>
      </w:r>
      <w:r w:rsidR="00A15666" w:rsidRPr="0038442F">
        <w:rPr>
          <w:rFonts w:ascii="Verdana" w:hAnsi="Verdana"/>
          <w:sz w:val="20"/>
          <w:szCs w:val="20"/>
          <w:lang w:val="pt-BR"/>
        </w:rPr>
        <w:t>e</w:t>
      </w:r>
      <w:r w:rsidR="003A4355" w:rsidRPr="0038442F">
        <w:rPr>
          <w:rFonts w:ascii="Verdana" w:hAnsi="Verdana"/>
          <w:sz w:val="20"/>
          <w:szCs w:val="20"/>
          <w:lang w:val="pt-BR"/>
        </w:rPr>
        <w:t xml:space="preserve">r </w:t>
      </w:r>
      <w:r w:rsidR="0059451E" w:rsidRPr="0038442F">
        <w:rPr>
          <w:rFonts w:ascii="Verdana" w:hAnsi="Verdana"/>
          <w:sz w:val="20"/>
          <w:szCs w:val="20"/>
          <w:lang w:val="pt-BR"/>
        </w:rPr>
        <w:t>efetivamente</w:t>
      </w:r>
      <w:r w:rsidR="00407242" w:rsidRPr="0038442F">
        <w:rPr>
          <w:rFonts w:ascii="Verdana" w:hAnsi="Verdana"/>
          <w:sz w:val="20"/>
          <w:szCs w:val="20"/>
          <w:lang w:val="pt-BR"/>
        </w:rPr>
        <w:t xml:space="preserve"> </w:t>
      </w:r>
      <w:r w:rsidR="003A4355" w:rsidRPr="0038442F">
        <w:rPr>
          <w:rFonts w:ascii="Verdana" w:hAnsi="Verdana"/>
          <w:sz w:val="20"/>
          <w:szCs w:val="20"/>
          <w:lang w:val="pt-BR"/>
        </w:rPr>
        <w:t>a situa</w:t>
      </w:r>
      <w:r w:rsidR="000A1AA8" w:rsidRPr="0038442F">
        <w:rPr>
          <w:rFonts w:ascii="Verdana" w:hAnsi="Verdana"/>
          <w:sz w:val="20"/>
          <w:szCs w:val="20"/>
          <w:lang w:val="pt-BR"/>
        </w:rPr>
        <w:t>ção</w:t>
      </w:r>
      <w:r w:rsidR="003A4355" w:rsidRPr="0038442F">
        <w:rPr>
          <w:rFonts w:ascii="Verdana" w:hAnsi="Verdana"/>
          <w:sz w:val="20"/>
          <w:szCs w:val="20"/>
          <w:lang w:val="pt-BR"/>
        </w:rPr>
        <w:t xml:space="preserve"> de desigualdad</w:t>
      </w:r>
      <w:r w:rsidR="00A15666" w:rsidRPr="0038442F">
        <w:rPr>
          <w:rFonts w:ascii="Verdana" w:hAnsi="Verdana"/>
          <w:sz w:val="20"/>
          <w:szCs w:val="20"/>
          <w:lang w:val="pt-BR"/>
        </w:rPr>
        <w:t>e</w:t>
      </w:r>
      <w:r w:rsidR="003A4355" w:rsidRPr="0038442F">
        <w:rPr>
          <w:rFonts w:ascii="Verdana" w:hAnsi="Verdana"/>
          <w:sz w:val="20"/>
          <w:szCs w:val="20"/>
          <w:lang w:val="pt-BR"/>
        </w:rPr>
        <w:t xml:space="preserve"> </w:t>
      </w:r>
      <w:r w:rsidR="00A15666" w:rsidRPr="0038442F">
        <w:rPr>
          <w:rFonts w:ascii="Verdana" w:hAnsi="Verdana"/>
          <w:sz w:val="20"/>
          <w:szCs w:val="20"/>
          <w:lang w:val="pt-BR"/>
        </w:rPr>
        <w:t xml:space="preserve">a que estavam submetidas </w:t>
      </w:r>
      <w:r w:rsidR="003A4355" w:rsidRPr="0038442F">
        <w:rPr>
          <w:rFonts w:ascii="Verdana" w:hAnsi="Verdana"/>
          <w:sz w:val="20"/>
          <w:szCs w:val="20"/>
          <w:lang w:val="pt-BR"/>
        </w:rPr>
        <w:t xml:space="preserve">as </w:t>
      </w:r>
      <w:r w:rsidR="00C92762" w:rsidRPr="0038442F">
        <w:rPr>
          <w:rFonts w:ascii="Verdana" w:hAnsi="Verdana"/>
          <w:sz w:val="20"/>
          <w:szCs w:val="20"/>
          <w:lang w:val="pt-BR"/>
        </w:rPr>
        <w:t>vítimas</w:t>
      </w:r>
      <w:r w:rsidR="005871F1" w:rsidRPr="0038442F">
        <w:rPr>
          <w:rFonts w:ascii="Verdana" w:hAnsi="Verdana"/>
          <w:sz w:val="20"/>
          <w:szCs w:val="20"/>
          <w:lang w:val="pt-BR"/>
        </w:rPr>
        <w:t xml:space="preserve">. </w:t>
      </w:r>
    </w:p>
    <w:p w14:paraId="06AC5C7A" w14:textId="77777777" w:rsidR="003A4355" w:rsidRPr="0038442F" w:rsidRDefault="003A4355" w:rsidP="00A857CB">
      <w:pPr>
        <w:pStyle w:val="Prrafodelista"/>
        <w:spacing w:line="240" w:lineRule="auto"/>
        <w:rPr>
          <w:rFonts w:ascii="Verdana" w:hAnsi="Verdana"/>
          <w:sz w:val="20"/>
          <w:szCs w:val="20"/>
          <w:lang w:val="pt-BR"/>
        </w:rPr>
      </w:pPr>
    </w:p>
    <w:p w14:paraId="1D6474FC" w14:textId="0F39F135" w:rsidR="004E0856" w:rsidRPr="0038442F" w:rsidRDefault="0027735D" w:rsidP="0027735D">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121. </w:t>
      </w:r>
      <w:r w:rsidRPr="0038442F">
        <w:rPr>
          <w:rFonts w:ascii="Verdana" w:hAnsi="Verdana"/>
          <w:sz w:val="20"/>
          <w:szCs w:val="20"/>
          <w:lang w:val="pt-BR"/>
        </w:rPr>
        <w:tab/>
      </w:r>
      <w:r w:rsidR="004036A9" w:rsidRPr="0038442F">
        <w:rPr>
          <w:rFonts w:ascii="Verdana" w:hAnsi="Verdana"/>
          <w:sz w:val="20"/>
          <w:szCs w:val="20"/>
          <w:lang w:val="pt-BR"/>
        </w:rPr>
        <w:t>N</w:t>
      </w:r>
      <w:r w:rsidRPr="0038442F">
        <w:rPr>
          <w:rFonts w:ascii="Verdana" w:hAnsi="Verdana"/>
          <w:sz w:val="20"/>
          <w:szCs w:val="20"/>
          <w:lang w:val="pt-BR"/>
        </w:rPr>
        <w:t>es</w:t>
      </w:r>
      <w:r w:rsidR="00B23457" w:rsidRPr="0038442F">
        <w:rPr>
          <w:rFonts w:ascii="Verdana" w:hAnsi="Verdana"/>
          <w:sz w:val="20"/>
          <w:szCs w:val="20"/>
          <w:lang w:val="pt-BR"/>
        </w:rPr>
        <w:t>s</w:t>
      </w:r>
      <w:r w:rsidRPr="0038442F">
        <w:rPr>
          <w:rFonts w:ascii="Verdana" w:hAnsi="Verdana"/>
          <w:sz w:val="20"/>
          <w:szCs w:val="20"/>
          <w:lang w:val="pt-BR"/>
        </w:rPr>
        <w:t>as considera</w:t>
      </w:r>
      <w:r w:rsidR="000A1AA8" w:rsidRPr="0038442F">
        <w:rPr>
          <w:rFonts w:ascii="Verdana" w:hAnsi="Verdana"/>
          <w:sz w:val="20"/>
          <w:szCs w:val="20"/>
          <w:lang w:val="pt-BR"/>
        </w:rPr>
        <w:t>ções</w:t>
      </w:r>
      <w:r w:rsidRPr="0038442F">
        <w:rPr>
          <w:rFonts w:ascii="Verdana" w:hAnsi="Verdana"/>
          <w:sz w:val="20"/>
          <w:szCs w:val="20"/>
          <w:lang w:val="pt-BR"/>
        </w:rPr>
        <w:t xml:space="preserve">, </w:t>
      </w:r>
      <w:r w:rsidR="004036A9" w:rsidRPr="0038442F">
        <w:rPr>
          <w:rFonts w:ascii="Verdana" w:hAnsi="Verdana"/>
          <w:sz w:val="20"/>
          <w:szCs w:val="20"/>
          <w:lang w:val="pt-BR"/>
        </w:rPr>
        <w:t xml:space="preserve">o </w:t>
      </w:r>
      <w:r w:rsidR="00C23682" w:rsidRPr="0038442F">
        <w:rPr>
          <w:rFonts w:ascii="Verdana" w:hAnsi="Verdana"/>
          <w:sz w:val="20"/>
          <w:szCs w:val="20"/>
          <w:lang w:val="pt-BR"/>
        </w:rPr>
        <w:t xml:space="preserve">entendimento </w:t>
      </w:r>
      <w:r w:rsidRPr="0038442F">
        <w:rPr>
          <w:rFonts w:ascii="Verdana" w:hAnsi="Verdana"/>
          <w:sz w:val="20"/>
          <w:szCs w:val="20"/>
          <w:lang w:val="pt-BR"/>
        </w:rPr>
        <w:t>conjunto d</w:t>
      </w:r>
      <w:r w:rsidR="005B55A8" w:rsidRPr="0038442F">
        <w:rPr>
          <w:rFonts w:ascii="Verdana" w:hAnsi="Verdana"/>
          <w:sz w:val="20"/>
          <w:szCs w:val="20"/>
          <w:lang w:val="pt-BR"/>
        </w:rPr>
        <w:t xml:space="preserve">o princípio </w:t>
      </w:r>
      <w:r w:rsidRPr="0038442F">
        <w:rPr>
          <w:rFonts w:ascii="Verdana" w:hAnsi="Verdana"/>
          <w:sz w:val="20"/>
          <w:szCs w:val="20"/>
          <w:lang w:val="pt-BR"/>
        </w:rPr>
        <w:t xml:space="preserve">de </w:t>
      </w:r>
      <w:r w:rsidR="009612FB" w:rsidRPr="0038442F">
        <w:rPr>
          <w:rFonts w:ascii="Verdana" w:hAnsi="Verdana"/>
          <w:sz w:val="20"/>
          <w:szCs w:val="20"/>
          <w:lang w:val="pt-BR"/>
        </w:rPr>
        <w:t xml:space="preserve">igualdade </w:t>
      </w:r>
      <w:r w:rsidR="005B55A8" w:rsidRPr="0038442F">
        <w:rPr>
          <w:rFonts w:ascii="Verdana" w:hAnsi="Verdana"/>
          <w:sz w:val="20"/>
          <w:szCs w:val="20"/>
          <w:lang w:val="pt-BR"/>
        </w:rPr>
        <w:t>e não discriminação</w:t>
      </w:r>
      <w:r w:rsidRPr="0038442F">
        <w:rPr>
          <w:rFonts w:ascii="Verdana" w:hAnsi="Verdana"/>
          <w:sz w:val="20"/>
          <w:szCs w:val="20"/>
          <w:lang w:val="pt-BR"/>
        </w:rPr>
        <w:t>, e</w:t>
      </w:r>
      <w:r w:rsidR="004F3D03" w:rsidRPr="0038442F">
        <w:rPr>
          <w:rFonts w:ascii="Verdana" w:hAnsi="Verdana"/>
          <w:sz w:val="20"/>
          <w:szCs w:val="20"/>
          <w:lang w:val="pt-BR"/>
        </w:rPr>
        <w:t>m</w:t>
      </w:r>
      <w:r w:rsidRPr="0038442F">
        <w:rPr>
          <w:rFonts w:ascii="Verdana" w:hAnsi="Verdana"/>
          <w:sz w:val="20"/>
          <w:szCs w:val="20"/>
          <w:lang w:val="pt-BR"/>
        </w:rPr>
        <w:t xml:space="preserve"> especial </w:t>
      </w:r>
      <w:r w:rsidR="00B23457" w:rsidRPr="0038442F">
        <w:rPr>
          <w:rFonts w:ascii="Verdana" w:hAnsi="Verdana"/>
          <w:sz w:val="20"/>
          <w:szCs w:val="20"/>
          <w:lang w:val="pt-BR"/>
        </w:rPr>
        <w:t xml:space="preserve">com </w:t>
      </w:r>
      <w:r w:rsidR="004F3D03" w:rsidRPr="0038442F">
        <w:rPr>
          <w:rFonts w:ascii="Verdana" w:hAnsi="Verdana"/>
          <w:sz w:val="20"/>
          <w:szCs w:val="20"/>
          <w:lang w:val="pt-BR"/>
        </w:rPr>
        <w:t xml:space="preserve">base no </w:t>
      </w:r>
      <w:r w:rsidR="003B374E" w:rsidRPr="0038442F">
        <w:rPr>
          <w:rFonts w:ascii="Verdana" w:hAnsi="Verdana"/>
          <w:sz w:val="20"/>
          <w:szCs w:val="20"/>
          <w:lang w:val="pt-BR"/>
        </w:rPr>
        <w:t xml:space="preserve">artigo </w:t>
      </w:r>
      <w:r w:rsidRPr="0038442F">
        <w:rPr>
          <w:rFonts w:ascii="Verdana" w:hAnsi="Verdana"/>
          <w:sz w:val="20"/>
          <w:szCs w:val="20"/>
          <w:lang w:val="pt-BR"/>
        </w:rPr>
        <w:t xml:space="preserve">24 </w:t>
      </w:r>
      <w:r w:rsidR="00C92762" w:rsidRPr="0038442F">
        <w:rPr>
          <w:rFonts w:ascii="Verdana" w:hAnsi="Verdana"/>
          <w:sz w:val="20"/>
          <w:szCs w:val="20"/>
          <w:lang w:val="pt-BR"/>
        </w:rPr>
        <w:t xml:space="preserve">da </w:t>
      </w:r>
      <w:r w:rsidRPr="0038442F">
        <w:rPr>
          <w:rFonts w:ascii="Verdana" w:hAnsi="Verdana"/>
          <w:sz w:val="20"/>
          <w:szCs w:val="20"/>
          <w:lang w:val="pt-BR"/>
        </w:rPr>
        <w:t>Conven</w:t>
      </w:r>
      <w:r w:rsidR="000A1AA8" w:rsidRPr="0038442F">
        <w:rPr>
          <w:rFonts w:ascii="Verdana" w:hAnsi="Verdana"/>
          <w:sz w:val="20"/>
          <w:szCs w:val="20"/>
          <w:lang w:val="pt-BR"/>
        </w:rPr>
        <w:t>ção</w:t>
      </w:r>
      <w:r w:rsidRPr="0038442F">
        <w:rPr>
          <w:rFonts w:ascii="Verdana" w:hAnsi="Verdana"/>
          <w:sz w:val="20"/>
          <w:szCs w:val="20"/>
          <w:lang w:val="pt-BR"/>
        </w:rPr>
        <w:t xml:space="preserve"> Americana, co</w:t>
      </w:r>
      <w:r w:rsidR="004F3D03" w:rsidRPr="0038442F">
        <w:rPr>
          <w:rFonts w:ascii="Verdana" w:hAnsi="Verdana"/>
          <w:sz w:val="20"/>
          <w:szCs w:val="20"/>
          <w:lang w:val="pt-BR"/>
        </w:rPr>
        <w:t xml:space="preserve">m um </w:t>
      </w:r>
      <w:r w:rsidRPr="0038442F">
        <w:rPr>
          <w:rFonts w:ascii="Verdana" w:hAnsi="Verdana"/>
          <w:sz w:val="20"/>
          <w:szCs w:val="20"/>
          <w:lang w:val="pt-BR"/>
        </w:rPr>
        <w:t xml:space="preserve">mandato de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Pr="0038442F">
        <w:rPr>
          <w:rFonts w:ascii="Verdana" w:hAnsi="Verdana"/>
          <w:i/>
          <w:sz w:val="20"/>
          <w:szCs w:val="20"/>
          <w:lang w:val="pt-BR"/>
        </w:rPr>
        <w:t>material</w:t>
      </w:r>
      <w:r w:rsidRPr="0038442F">
        <w:rPr>
          <w:rFonts w:ascii="Verdana" w:hAnsi="Verdana"/>
          <w:sz w:val="20"/>
          <w:szCs w:val="20"/>
          <w:lang w:val="pt-BR"/>
        </w:rPr>
        <w:t xml:space="preserve">, </w:t>
      </w:r>
      <w:r w:rsidR="004F3D03" w:rsidRPr="0038442F">
        <w:rPr>
          <w:rFonts w:ascii="Verdana" w:hAnsi="Verdana"/>
          <w:sz w:val="20"/>
          <w:szCs w:val="20"/>
          <w:lang w:val="pt-BR"/>
        </w:rPr>
        <w:t>respalda, em</w:t>
      </w:r>
      <w:r w:rsidRPr="0038442F">
        <w:rPr>
          <w:rFonts w:ascii="Verdana" w:hAnsi="Verdana"/>
          <w:sz w:val="20"/>
          <w:szCs w:val="20"/>
          <w:lang w:val="pt-BR"/>
        </w:rPr>
        <w:t xml:space="preserve"> gran</w:t>
      </w:r>
      <w:r w:rsidR="004F3D03" w:rsidRPr="0038442F">
        <w:rPr>
          <w:rFonts w:ascii="Verdana" w:hAnsi="Verdana"/>
          <w:sz w:val="20"/>
          <w:szCs w:val="20"/>
          <w:lang w:val="pt-BR"/>
        </w:rPr>
        <w:t>de</w:t>
      </w:r>
      <w:r w:rsidRPr="0038442F">
        <w:rPr>
          <w:rFonts w:ascii="Verdana" w:hAnsi="Verdana"/>
          <w:sz w:val="20"/>
          <w:szCs w:val="20"/>
          <w:lang w:val="pt-BR"/>
        </w:rPr>
        <w:t xml:space="preserve"> medida</w:t>
      </w:r>
      <w:r w:rsidR="004F3D03" w:rsidRPr="0038442F">
        <w:rPr>
          <w:rFonts w:ascii="Verdana" w:hAnsi="Verdana"/>
          <w:sz w:val="20"/>
          <w:szCs w:val="20"/>
          <w:lang w:val="pt-BR"/>
        </w:rPr>
        <w:t xml:space="preserve">, o redimensionamento do </w:t>
      </w:r>
      <w:r w:rsidRPr="0038442F">
        <w:rPr>
          <w:rFonts w:ascii="Verdana" w:hAnsi="Verdana"/>
          <w:sz w:val="20"/>
          <w:szCs w:val="20"/>
          <w:lang w:val="pt-BR"/>
        </w:rPr>
        <w:t xml:space="preserve">alcance </w:t>
      </w:r>
      <w:r w:rsidR="004F3D03" w:rsidRPr="0038442F">
        <w:rPr>
          <w:rFonts w:ascii="Verdana" w:hAnsi="Verdana"/>
          <w:sz w:val="20"/>
          <w:szCs w:val="20"/>
          <w:lang w:val="pt-BR"/>
        </w:rPr>
        <w:t>d</w:t>
      </w:r>
      <w:r w:rsidRPr="0038442F">
        <w:rPr>
          <w:rFonts w:ascii="Verdana" w:hAnsi="Verdana"/>
          <w:sz w:val="20"/>
          <w:szCs w:val="20"/>
          <w:lang w:val="pt-BR"/>
        </w:rPr>
        <w:t xml:space="preserve">a </w:t>
      </w:r>
      <w:r w:rsidRPr="0038442F">
        <w:rPr>
          <w:rFonts w:ascii="Verdana" w:hAnsi="Verdana"/>
          <w:i/>
          <w:sz w:val="20"/>
          <w:szCs w:val="20"/>
          <w:lang w:val="pt-BR"/>
        </w:rPr>
        <w:t>discrimina</w:t>
      </w:r>
      <w:r w:rsidR="000A1AA8" w:rsidRPr="0038442F">
        <w:rPr>
          <w:rFonts w:ascii="Verdana" w:hAnsi="Verdana"/>
          <w:i/>
          <w:sz w:val="20"/>
          <w:szCs w:val="20"/>
          <w:lang w:val="pt-BR"/>
        </w:rPr>
        <w:t>ção</w:t>
      </w:r>
      <w:r w:rsidRPr="0038442F">
        <w:rPr>
          <w:rFonts w:ascii="Verdana" w:hAnsi="Verdana"/>
          <w:i/>
          <w:sz w:val="20"/>
          <w:szCs w:val="20"/>
          <w:lang w:val="pt-BR"/>
        </w:rPr>
        <w:t xml:space="preserve"> </w:t>
      </w:r>
      <w:r w:rsidR="006445EE" w:rsidRPr="0038442F">
        <w:rPr>
          <w:rFonts w:ascii="Verdana" w:hAnsi="Verdana"/>
          <w:i/>
          <w:sz w:val="20"/>
          <w:szCs w:val="20"/>
          <w:lang w:val="pt-BR"/>
        </w:rPr>
        <w:t>estrutural</w:t>
      </w:r>
      <w:r w:rsidR="00407242" w:rsidRPr="0038442F">
        <w:rPr>
          <w:rFonts w:ascii="Verdana" w:hAnsi="Verdana"/>
          <w:i/>
          <w:sz w:val="20"/>
          <w:szCs w:val="20"/>
          <w:lang w:val="pt-BR"/>
        </w:rPr>
        <w:t xml:space="preserve"> </w:t>
      </w:r>
      <w:r w:rsidRPr="0038442F">
        <w:rPr>
          <w:rFonts w:ascii="Verdana" w:hAnsi="Verdana"/>
          <w:sz w:val="20"/>
          <w:szCs w:val="20"/>
          <w:lang w:val="pt-BR"/>
        </w:rPr>
        <w:t xml:space="preserve">(agravada </w:t>
      </w:r>
      <w:r w:rsidR="004F3D03" w:rsidRPr="0038442F">
        <w:rPr>
          <w:rFonts w:ascii="Verdana" w:hAnsi="Verdana"/>
          <w:sz w:val="20"/>
          <w:szCs w:val="20"/>
          <w:lang w:val="pt-BR"/>
        </w:rPr>
        <w:t>q</w:t>
      </w:r>
      <w:r w:rsidRPr="0038442F">
        <w:rPr>
          <w:rFonts w:ascii="Verdana" w:hAnsi="Verdana"/>
          <w:sz w:val="20"/>
          <w:szCs w:val="20"/>
          <w:lang w:val="pt-BR"/>
        </w:rPr>
        <w:t xml:space="preserve">uando </w:t>
      </w:r>
      <w:r w:rsidR="004F3D03" w:rsidRPr="0038442F">
        <w:rPr>
          <w:rFonts w:ascii="Verdana" w:hAnsi="Verdana"/>
          <w:sz w:val="20"/>
          <w:szCs w:val="20"/>
          <w:lang w:val="pt-BR"/>
        </w:rPr>
        <w:t xml:space="preserve">confluem </w:t>
      </w:r>
      <w:r w:rsidR="00BC6FC3" w:rsidRPr="0038442F">
        <w:rPr>
          <w:rFonts w:ascii="Verdana" w:hAnsi="Verdana"/>
          <w:sz w:val="20"/>
          <w:szCs w:val="20"/>
          <w:lang w:val="pt-BR"/>
        </w:rPr>
        <w:t>outros</w:t>
      </w:r>
      <w:r w:rsidR="00407242" w:rsidRPr="0038442F">
        <w:rPr>
          <w:rFonts w:ascii="Verdana" w:hAnsi="Verdana"/>
          <w:sz w:val="20"/>
          <w:szCs w:val="20"/>
          <w:lang w:val="pt-BR"/>
        </w:rPr>
        <w:t xml:space="preserve"> </w:t>
      </w:r>
      <w:r w:rsidR="00CA30C5" w:rsidRPr="0038442F">
        <w:rPr>
          <w:rFonts w:ascii="Verdana" w:hAnsi="Verdana"/>
          <w:sz w:val="20"/>
          <w:szCs w:val="20"/>
          <w:lang w:val="pt-BR"/>
        </w:rPr>
        <w:t>fatores</w:t>
      </w:r>
      <w:r w:rsidRPr="0038442F">
        <w:rPr>
          <w:rFonts w:ascii="Verdana" w:hAnsi="Verdana"/>
          <w:sz w:val="20"/>
          <w:szCs w:val="20"/>
          <w:lang w:val="pt-BR"/>
        </w:rPr>
        <w:t xml:space="preserve">). </w:t>
      </w:r>
      <w:r w:rsidR="004F3D03" w:rsidRPr="0038442F">
        <w:rPr>
          <w:rFonts w:ascii="Verdana" w:hAnsi="Verdana"/>
          <w:sz w:val="20"/>
          <w:szCs w:val="20"/>
          <w:lang w:val="pt-BR"/>
        </w:rPr>
        <w:t>A</w:t>
      </w:r>
      <w:r w:rsidR="00F11311" w:rsidRPr="0038442F">
        <w:rPr>
          <w:rFonts w:ascii="Verdana" w:hAnsi="Verdana"/>
          <w:sz w:val="20"/>
          <w:szCs w:val="20"/>
          <w:lang w:val="pt-BR"/>
        </w:rPr>
        <w:t xml:space="preserve"> no</w:t>
      </w:r>
      <w:r w:rsidR="000A1AA8" w:rsidRPr="0038442F">
        <w:rPr>
          <w:rFonts w:ascii="Verdana" w:hAnsi="Verdana"/>
          <w:sz w:val="20"/>
          <w:szCs w:val="20"/>
          <w:lang w:val="pt-BR"/>
        </w:rPr>
        <w:t>ção</w:t>
      </w:r>
      <w:r w:rsidR="00F11311" w:rsidRPr="0038442F">
        <w:rPr>
          <w:rFonts w:ascii="Verdana" w:hAnsi="Verdana"/>
          <w:sz w:val="20"/>
          <w:szCs w:val="20"/>
          <w:lang w:val="pt-BR"/>
        </w:rPr>
        <w:t xml:space="preserve"> de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00F11311" w:rsidRPr="0038442F">
        <w:rPr>
          <w:rFonts w:ascii="Verdana" w:hAnsi="Verdana"/>
          <w:i/>
          <w:sz w:val="20"/>
          <w:szCs w:val="20"/>
          <w:lang w:val="pt-BR"/>
        </w:rPr>
        <w:t>su</w:t>
      </w:r>
      <w:r w:rsidR="004F3D03" w:rsidRPr="0038442F">
        <w:rPr>
          <w:rFonts w:ascii="Verdana" w:hAnsi="Verdana"/>
          <w:i/>
          <w:sz w:val="20"/>
          <w:szCs w:val="20"/>
          <w:lang w:val="pt-BR"/>
        </w:rPr>
        <w:t>b</w:t>
      </w:r>
      <w:r w:rsidR="00F11311" w:rsidRPr="0038442F">
        <w:rPr>
          <w:rFonts w:ascii="Verdana" w:hAnsi="Verdana"/>
          <w:i/>
          <w:sz w:val="20"/>
          <w:szCs w:val="20"/>
          <w:lang w:val="pt-BR"/>
        </w:rPr>
        <w:t>stantiva</w:t>
      </w:r>
      <w:r w:rsidRPr="0038442F">
        <w:rPr>
          <w:rFonts w:ascii="Verdana" w:hAnsi="Verdana"/>
          <w:sz w:val="20"/>
          <w:szCs w:val="20"/>
          <w:lang w:val="pt-BR"/>
        </w:rPr>
        <w:t xml:space="preserve"> </w:t>
      </w:r>
      <w:r w:rsidR="004F3D03" w:rsidRPr="0038442F">
        <w:rPr>
          <w:rFonts w:ascii="Verdana" w:hAnsi="Verdana"/>
          <w:sz w:val="20"/>
          <w:szCs w:val="20"/>
          <w:lang w:val="pt-BR"/>
        </w:rPr>
        <w:t xml:space="preserve">é coerente com o </w:t>
      </w:r>
      <w:r w:rsidRPr="0038442F">
        <w:rPr>
          <w:rFonts w:ascii="Verdana" w:hAnsi="Verdana"/>
          <w:sz w:val="20"/>
          <w:szCs w:val="20"/>
          <w:lang w:val="pt-BR"/>
        </w:rPr>
        <w:t xml:space="preserve">paulatino </w:t>
      </w:r>
      <w:r w:rsidR="00F4306D" w:rsidRPr="0038442F">
        <w:rPr>
          <w:rFonts w:ascii="Verdana" w:hAnsi="Verdana"/>
          <w:sz w:val="20"/>
          <w:szCs w:val="20"/>
          <w:lang w:val="pt-BR"/>
        </w:rPr>
        <w:t>desenvolvimento</w:t>
      </w:r>
      <w:r w:rsidR="00407242" w:rsidRPr="0038442F">
        <w:rPr>
          <w:rFonts w:ascii="Verdana" w:hAnsi="Verdana"/>
          <w:sz w:val="20"/>
          <w:szCs w:val="20"/>
          <w:lang w:val="pt-BR"/>
        </w:rPr>
        <w:t xml:space="preserve"> </w:t>
      </w:r>
      <w:r w:rsidRPr="0038442F">
        <w:rPr>
          <w:rFonts w:ascii="Verdana" w:hAnsi="Verdana"/>
          <w:sz w:val="20"/>
          <w:szCs w:val="20"/>
          <w:lang w:val="pt-BR"/>
        </w:rPr>
        <w:t>d</w:t>
      </w:r>
      <w:r w:rsidR="004F3D03" w:rsidRPr="0038442F">
        <w:rPr>
          <w:rFonts w:ascii="Verdana" w:hAnsi="Verdana"/>
          <w:sz w:val="20"/>
          <w:szCs w:val="20"/>
          <w:lang w:val="pt-BR"/>
        </w:rPr>
        <w:t>o D</w:t>
      </w:r>
      <w:r w:rsidR="00CA30C5" w:rsidRPr="0038442F">
        <w:rPr>
          <w:rFonts w:ascii="Verdana" w:hAnsi="Verdana"/>
          <w:sz w:val="20"/>
          <w:szCs w:val="20"/>
          <w:lang w:val="pt-BR"/>
        </w:rPr>
        <w:t>ireito</w:t>
      </w:r>
      <w:r w:rsidR="00407242" w:rsidRPr="0038442F">
        <w:rPr>
          <w:rFonts w:ascii="Verdana" w:hAnsi="Verdana"/>
          <w:sz w:val="20"/>
          <w:szCs w:val="20"/>
          <w:lang w:val="pt-BR"/>
        </w:rPr>
        <w:t xml:space="preserve"> </w:t>
      </w:r>
      <w:r w:rsidR="004F3D03" w:rsidRPr="0038442F">
        <w:rPr>
          <w:rFonts w:ascii="Verdana" w:hAnsi="Verdana"/>
          <w:sz w:val="20"/>
          <w:szCs w:val="20"/>
          <w:lang w:val="pt-BR"/>
        </w:rPr>
        <w:t>I</w:t>
      </w:r>
      <w:r w:rsidRPr="0038442F">
        <w:rPr>
          <w:rFonts w:ascii="Verdana" w:hAnsi="Verdana"/>
          <w:sz w:val="20"/>
          <w:szCs w:val="20"/>
          <w:lang w:val="pt-BR"/>
        </w:rPr>
        <w:t xml:space="preserve">nternacional, </w:t>
      </w:r>
      <w:r w:rsidR="004F3D03" w:rsidRPr="0038442F">
        <w:rPr>
          <w:rFonts w:ascii="Verdana" w:hAnsi="Verdana"/>
          <w:sz w:val="20"/>
          <w:szCs w:val="20"/>
          <w:lang w:val="pt-BR"/>
        </w:rPr>
        <w:t xml:space="preserve">mas </w:t>
      </w:r>
      <w:r w:rsidR="005135E5" w:rsidRPr="0038442F">
        <w:rPr>
          <w:rFonts w:ascii="Verdana" w:hAnsi="Verdana"/>
          <w:sz w:val="20"/>
          <w:szCs w:val="20"/>
          <w:lang w:val="pt-BR"/>
        </w:rPr>
        <w:t>também</w:t>
      </w:r>
      <w:r w:rsidR="00407242" w:rsidRPr="0038442F">
        <w:rPr>
          <w:rFonts w:ascii="Verdana" w:hAnsi="Verdana"/>
          <w:sz w:val="20"/>
          <w:szCs w:val="20"/>
          <w:lang w:val="pt-BR"/>
        </w:rPr>
        <w:t xml:space="preserve"> </w:t>
      </w:r>
      <w:r w:rsidR="00A1280A" w:rsidRPr="0038442F">
        <w:rPr>
          <w:rFonts w:ascii="Verdana" w:hAnsi="Verdana"/>
          <w:sz w:val="20"/>
          <w:szCs w:val="20"/>
          <w:lang w:val="pt-BR"/>
        </w:rPr>
        <w:t>d</w:t>
      </w:r>
      <w:r w:rsidR="004F3D03" w:rsidRPr="0038442F">
        <w:rPr>
          <w:rFonts w:ascii="Verdana" w:hAnsi="Verdana"/>
          <w:sz w:val="20"/>
          <w:szCs w:val="20"/>
          <w:lang w:val="pt-BR"/>
        </w:rPr>
        <w:t>o</w:t>
      </w:r>
      <w:r w:rsidRPr="0038442F">
        <w:rPr>
          <w:rFonts w:ascii="Verdana" w:hAnsi="Verdana"/>
          <w:sz w:val="20"/>
          <w:szCs w:val="20"/>
          <w:lang w:val="pt-BR"/>
        </w:rPr>
        <w:t xml:space="preserve">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Pr="0038442F">
        <w:rPr>
          <w:rFonts w:ascii="Verdana" w:hAnsi="Verdana"/>
          <w:sz w:val="20"/>
          <w:szCs w:val="20"/>
          <w:lang w:val="pt-BR"/>
        </w:rPr>
        <w:t xml:space="preserve">constitucional </w:t>
      </w:r>
      <w:r w:rsidR="00C92762" w:rsidRPr="0038442F">
        <w:rPr>
          <w:rFonts w:ascii="Verdana" w:hAnsi="Verdana"/>
          <w:sz w:val="20"/>
          <w:szCs w:val="20"/>
          <w:lang w:val="pt-BR"/>
        </w:rPr>
        <w:t xml:space="preserve">da </w:t>
      </w:r>
      <w:r w:rsidR="00BF7A10" w:rsidRPr="0038442F">
        <w:rPr>
          <w:rFonts w:ascii="Verdana" w:hAnsi="Verdana"/>
          <w:sz w:val="20"/>
          <w:szCs w:val="20"/>
          <w:lang w:val="pt-BR"/>
        </w:rPr>
        <w:t>região</w:t>
      </w:r>
      <w:r w:rsidR="00A1280A" w:rsidRPr="0038442F">
        <w:rPr>
          <w:rFonts w:ascii="Verdana" w:hAnsi="Verdana"/>
          <w:sz w:val="20"/>
          <w:szCs w:val="20"/>
          <w:lang w:val="pt-BR"/>
        </w:rPr>
        <w:t>, se</w:t>
      </w:r>
      <w:r w:rsidR="004036A9" w:rsidRPr="0038442F">
        <w:rPr>
          <w:rFonts w:ascii="Verdana" w:hAnsi="Verdana"/>
          <w:sz w:val="20"/>
          <w:szCs w:val="20"/>
          <w:lang w:val="pt-BR"/>
        </w:rPr>
        <w:t>j</w:t>
      </w:r>
      <w:r w:rsidR="00A1280A" w:rsidRPr="0038442F">
        <w:rPr>
          <w:rFonts w:ascii="Verdana" w:hAnsi="Verdana"/>
          <w:sz w:val="20"/>
          <w:szCs w:val="20"/>
          <w:lang w:val="pt-BR"/>
        </w:rPr>
        <w:t xml:space="preserve">a por </w:t>
      </w:r>
      <w:r w:rsidR="004036A9" w:rsidRPr="0038442F">
        <w:rPr>
          <w:rFonts w:ascii="Verdana" w:hAnsi="Verdana"/>
          <w:sz w:val="20"/>
          <w:szCs w:val="20"/>
          <w:lang w:val="pt-BR"/>
        </w:rPr>
        <w:t xml:space="preserve">se </w:t>
      </w:r>
      <w:r w:rsidR="00FB11EC" w:rsidRPr="0038442F">
        <w:rPr>
          <w:rFonts w:ascii="Verdana" w:hAnsi="Verdana"/>
          <w:sz w:val="20"/>
          <w:szCs w:val="20"/>
          <w:lang w:val="pt-BR"/>
        </w:rPr>
        <w:t xml:space="preserve">consagrar </w:t>
      </w:r>
      <w:r w:rsidR="00CA30C5" w:rsidRPr="0038442F">
        <w:rPr>
          <w:rFonts w:ascii="Verdana" w:hAnsi="Verdana"/>
          <w:sz w:val="20"/>
          <w:szCs w:val="20"/>
          <w:lang w:val="pt-BR"/>
        </w:rPr>
        <w:t xml:space="preserve">nas </w:t>
      </w:r>
      <w:r w:rsidR="00F11311" w:rsidRPr="0038442F">
        <w:rPr>
          <w:rFonts w:ascii="Verdana" w:hAnsi="Verdana"/>
          <w:sz w:val="20"/>
          <w:szCs w:val="20"/>
          <w:lang w:val="pt-BR"/>
        </w:rPr>
        <w:t>constitu</w:t>
      </w:r>
      <w:r w:rsidR="004036A9" w:rsidRPr="0038442F">
        <w:rPr>
          <w:rFonts w:ascii="Verdana" w:hAnsi="Verdana"/>
          <w:sz w:val="20"/>
          <w:szCs w:val="20"/>
          <w:lang w:val="pt-BR"/>
        </w:rPr>
        <w:t>i</w:t>
      </w:r>
      <w:r w:rsidR="000A1AA8" w:rsidRPr="0038442F">
        <w:rPr>
          <w:rFonts w:ascii="Verdana" w:hAnsi="Verdana"/>
          <w:sz w:val="20"/>
          <w:szCs w:val="20"/>
          <w:lang w:val="pt-BR"/>
        </w:rPr>
        <w:t>ções</w:t>
      </w:r>
      <w:r w:rsidR="004F3D03" w:rsidRPr="0038442F">
        <w:rPr>
          <w:rFonts w:ascii="Verdana" w:hAnsi="Verdana"/>
          <w:sz w:val="20"/>
          <w:szCs w:val="20"/>
          <w:lang w:val="pt-BR"/>
        </w:rPr>
        <w:t>,</w:t>
      </w:r>
      <w:r w:rsidR="004E0856" w:rsidRPr="0038442F">
        <w:rPr>
          <w:rStyle w:val="Refdenotaalpie"/>
          <w:rFonts w:ascii="Verdana" w:hAnsi="Verdana"/>
          <w:sz w:val="20"/>
          <w:szCs w:val="20"/>
          <w:lang w:val="pt-BR"/>
        </w:rPr>
        <w:footnoteReference w:id="172"/>
      </w:r>
      <w:r w:rsidR="004E0856" w:rsidRPr="0038442F">
        <w:rPr>
          <w:rFonts w:ascii="Verdana" w:hAnsi="Verdana"/>
          <w:sz w:val="20"/>
          <w:szCs w:val="20"/>
          <w:lang w:val="pt-BR"/>
        </w:rPr>
        <w:t xml:space="preserve"> </w:t>
      </w:r>
      <w:r w:rsidR="004F3D03" w:rsidRPr="0038442F">
        <w:rPr>
          <w:rFonts w:ascii="Verdana" w:hAnsi="Verdana"/>
          <w:sz w:val="20"/>
          <w:szCs w:val="20"/>
          <w:lang w:val="pt-BR"/>
        </w:rPr>
        <w:t xml:space="preserve">seja </w:t>
      </w:r>
      <w:r w:rsidR="000A1AA8" w:rsidRPr="0038442F">
        <w:rPr>
          <w:rFonts w:ascii="Verdana" w:hAnsi="Verdana"/>
          <w:sz w:val="20"/>
          <w:szCs w:val="20"/>
          <w:lang w:val="pt-BR"/>
        </w:rPr>
        <w:t xml:space="preserve">pela </w:t>
      </w:r>
      <w:r w:rsidR="004E0856" w:rsidRPr="0038442F">
        <w:rPr>
          <w:rFonts w:ascii="Verdana" w:hAnsi="Verdana"/>
          <w:sz w:val="20"/>
          <w:szCs w:val="20"/>
          <w:lang w:val="pt-BR"/>
        </w:rPr>
        <w:t>v</w:t>
      </w:r>
      <w:r w:rsidR="004036A9" w:rsidRPr="0038442F">
        <w:rPr>
          <w:rFonts w:ascii="Verdana" w:hAnsi="Verdana"/>
          <w:sz w:val="20"/>
          <w:szCs w:val="20"/>
          <w:lang w:val="pt-BR"/>
        </w:rPr>
        <w:t>i</w:t>
      </w:r>
      <w:r w:rsidR="004E0856" w:rsidRPr="0038442F">
        <w:rPr>
          <w:rFonts w:ascii="Verdana" w:hAnsi="Verdana"/>
          <w:sz w:val="20"/>
          <w:szCs w:val="20"/>
          <w:lang w:val="pt-BR"/>
        </w:rPr>
        <w:t>a jurisprudencial</w:t>
      </w:r>
      <w:r w:rsidR="004036A9" w:rsidRPr="0038442F">
        <w:rPr>
          <w:rFonts w:ascii="Verdana" w:hAnsi="Verdana"/>
          <w:sz w:val="20"/>
          <w:szCs w:val="20"/>
          <w:lang w:val="pt-BR"/>
        </w:rPr>
        <w:t>.</w:t>
      </w:r>
      <w:r w:rsidR="004E0856" w:rsidRPr="0038442F">
        <w:rPr>
          <w:rStyle w:val="Refdenotaalpie"/>
          <w:rFonts w:ascii="Verdana" w:hAnsi="Verdana"/>
          <w:sz w:val="20"/>
          <w:szCs w:val="20"/>
          <w:lang w:val="pt-BR"/>
        </w:rPr>
        <w:footnoteReference w:id="173"/>
      </w:r>
    </w:p>
    <w:p w14:paraId="31E8B805" w14:textId="77777777" w:rsidR="0027735D" w:rsidRPr="0038442F" w:rsidRDefault="00604077" w:rsidP="0027735D">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 </w:t>
      </w:r>
    </w:p>
    <w:p w14:paraId="47E874CD" w14:textId="1287C9BA" w:rsidR="00D66104" w:rsidRPr="0038442F" w:rsidRDefault="005266CB" w:rsidP="005266CB">
      <w:pPr>
        <w:pStyle w:val="Prrafodelista"/>
        <w:tabs>
          <w:tab w:val="left" w:pos="709"/>
          <w:tab w:val="center" w:pos="4702"/>
          <w:tab w:val="left" w:pos="6270"/>
        </w:tabs>
        <w:spacing w:line="240" w:lineRule="auto"/>
        <w:ind w:left="0"/>
        <w:jc w:val="both"/>
        <w:rPr>
          <w:rFonts w:ascii="Verdana" w:hAnsi="Verdana"/>
          <w:sz w:val="20"/>
          <w:szCs w:val="20"/>
          <w:lang w:val="pt-BR"/>
        </w:rPr>
      </w:pPr>
      <w:r w:rsidRPr="0038442F">
        <w:rPr>
          <w:rFonts w:ascii="Verdana" w:hAnsi="Verdana"/>
          <w:sz w:val="20"/>
          <w:szCs w:val="20"/>
          <w:lang w:val="pt-BR"/>
        </w:rPr>
        <w:t xml:space="preserve">122. </w:t>
      </w:r>
      <w:r w:rsidRPr="0038442F">
        <w:rPr>
          <w:rFonts w:ascii="Verdana" w:hAnsi="Verdana"/>
          <w:sz w:val="20"/>
          <w:szCs w:val="20"/>
          <w:lang w:val="pt-BR"/>
        </w:rPr>
        <w:tab/>
      </w:r>
      <w:r w:rsidR="00FC7EA7" w:rsidRPr="0038442F">
        <w:rPr>
          <w:rFonts w:ascii="Verdana" w:hAnsi="Verdana"/>
          <w:sz w:val="20"/>
          <w:szCs w:val="20"/>
          <w:lang w:val="pt-BR"/>
        </w:rPr>
        <w:t>Es</w:t>
      </w:r>
      <w:r w:rsidR="00412C7D" w:rsidRPr="0038442F">
        <w:rPr>
          <w:rFonts w:ascii="Verdana" w:hAnsi="Verdana"/>
          <w:sz w:val="20"/>
          <w:szCs w:val="20"/>
          <w:lang w:val="pt-BR"/>
        </w:rPr>
        <w:t>s</w:t>
      </w:r>
      <w:r w:rsidR="00FC7EA7" w:rsidRPr="0038442F">
        <w:rPr>
          <w:rFonts w:ascii="Verdana" w:hAnsi="Verdana"/>
          <w:sz w:val="20"/>
          <w:szCs w:val="20"/>
          <w:lang w:val="pt-BR"/>
        </w:rPr>
        <w:t>e cen</w:t>
      </w:r>
      <w:r w:rsidR="00412C7D" w:rsidRPr="0038442F">
        <w:rPr>
          <w:rFonts w:ascii="Verdana" w:hAnsi="Verdana"/>
          <w:sz w:val="20"/>
          <w:szCs w:val="20"/>
          <w:lang w:val="pt-BR"/>
        </w:rPr>
        <w:t>á</w:t>
      </w:r>
      <w:r w:rsidR="00FC7EA7" w:rsidRPr="0038442F">
        <w:rPr>
          <w:rFonts w:ascii="Verdana" w:hAnsi="Verdana"/>
          <w:sz w:val="20"/>
          <w:szCs w:val="20"/>
          <w:lang w:val="pt-BR"/>
        </w:rPr>
        <w:t xml:space="preserve">rio </w:t>
      </w:r>
      <w:r w:rsidR="00412C7D" w:rsidRPr="0038442F">
        <w:rPr>
          <w:rFonts w:ascii="Verdana" w:hAnsi="Verdana"/>
          <w:sz w:val="20"/>
          <w:szCs w:val="20"/>
          <w:lang w:val="pt-BR"/>
        </w:rPr>
        <w:t xml:space="preserve">é </w:t>
      </w:r>
      <w:r w:rsidR="00FC7EA7" w:rsidRPr="0038442F">
        <w:rPr>
          <w:rFonts w:ascii="Verdana" w:hAnsi="Verdana"/>
          <w:sz w:val="20"/>
          <w:szCs w:val="20"/>
          <w:lang w:val="pt-BR"/>
        </w:rPr>
        <w:t xml:space="preserve">especialmente importante ante a </w:t>
      </w:r>
      <w:r w:rsidR="00412C7D" w:rsidRPr="0038442F">
        <w:rPr>
          <w:rFonts w:ascii="Verdana" w:hAnsi="Verdana"/>
          <w:sz w:val="20"/>
          <w:szCs w:val="20"/>
          <w:lang w:val="pt-BR"/>
        </w:rPr>
        <w:t xml:space="preserve">ineficácia </w:t>
      </w:r>
      <w:r w:rsidR="00C92762" w:rsidRPr="0038442F">
        <w:rPr>
          <w:rFonts w:ascii="Verdana" w:hAnsi="Verdana"/>
          <w:sz w:val="20"/>
          <w:szCs w:val="20"/>
          <w:lang w:val="pt-BR"/>
        </w:rPr>
        <w:t xml:space="preserve">das </w:t>
      </w:r>
      <w:r w:rsidR="003A4355" w:rsidRPr="0038442F">
        <w:rPr>
          <w:rFonts w:ascii="Verdana" w:hAnsi="Verdana"/>
          <w:sz w:val="20"/>
          <w:szCs w:val="20"/>
          <w:lang w:val="pt-BR"/>
        </w:rPr>
        <w:t xml:space="preserve">normas atinentes a </w:t>
      </w:r>
      <w:r w:rsidR="009612FB" w:rsidRPr="0038442F">
        <w:rPr>
          <w:rFonts w:ascii="Verdana" w:hAnsi="Verdana"/>
          <w:sz w:val="20"/>
          <w:szCs w:val="20"/>
          <w:lang w:val="pt-BR"/>
        </w:rPr>
        <w:t>garantir</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os direitos </w:t>
      </w:r>
      <w:r w:rsidR="00AC11E4" w:rsidRPr="0038442F">
        <w:rPr>
          <w:rFonts w:ascii="Verdana" w:hAnsi="Verdana"/>
          <w:sz w:val="20"/>
          <w:szCs w:val="20"/>
          <w:lang w:val="pt-BR"/>
        </w:rPr>
        <w:t xml:space="preserve">ou </w:t>
      </w:r>
      <w:r w:rsidR="00056008" w:rsidRPr="0038442F">
        <w:rPr>
          <w:rFonts w:ascii="Verdana" w:hAnsi="Verdana"/>
          <w:sz w:val="20"/>
          <w:szCs w:val="20"/>
          <w:lang w:val="pt-BR"/>
        </w:rPr>
        <w:t xml:space="preserve">ante a constatação de que </w:t>
      </w:r>
      <w:r w:rsidR="003A4355" w:rsidRPr="0038442F">
        <w:rPr>
          <w:rFonts w:ascii="Verdana" w:hAnsi="Verdana"/>
          <w:sz w:val="20"/>
          <w:szCs w:val="20"/>
          <w:lang w:val="pt-BR"/>
        </w:rPr>
        <w:t xml:space="preserve">as </w:t>
      </w:r>
      <w:r w:rsidR="006A12FD" w:rsidRPr="0038442F">
        <w:rPr>
          <w:rFonts w:ascii="Verdana" w:hAnsi="Verdana"/>
          <w:sz w:val="20"/>
          <w:szCs w:val="20"/>
          <w:lang w:val="pt-BR"/>
        </w:rPr>
        <w:t>ações</w:t>
      </w:r>
      <w:r w:rsidR="00407242" w:rsidRPr="0038442F">
        <w:rPr>
          <w:rFonts w:ascii="Verdana" w:hAnsi="Verdana"/>
          <w:sz w:val="20"/>
          <w:szCs w:val="20"/>
          <w:lang w:val="pt-BR"/>
        </w:rPr>
        <w:t xml:space="preserve"> </w:t>
      </w:r>
      <w:r w:rsidR="003A4355" w:rsidRPr="0038442F">
        <w:rPr>
          <w:rFonts w:ascii="Verdana" w:hAnsi="Verdana"/>
          <w:sz w:val="20"/>
          <w:szCs w:val="20"/>
          <w:lang w:val="pt-BR"/>
        </w:rPr>
        <w:t>adotadas o</w:t>
      </w:r>
      <w:r w:rsidR="00AC11E4" w:rsidRPr="0038442F">
        <w:rPr>
          <w:rFonts w:ascii="Verdana" w:hAnsi="Verdana"/>
          <w:sz w:val="20"/>
          <w:szCs w:val="20"/>
          <w:lang w:val="pt-BR"/>
        </w:rPr>
        <w:t>u</w:t>
      </w:r>
      <w:r w:rsidR="003A4355" w:rsidRPr="0038442F">
        <w:rPr>
          <w:rFonts w:ascii="Verdana" w:hAnsi="Verdana"/>
          <w:sz w:val="20"/>
          <w:szCs w:val="20"/>
          <w:lang w:val="pt-BR"/>
        </w:rPr>
        <w:t xml:space="preserve"> a falta de </w:t>
      </w:r>
      <w:r w:rsidR="00826F7D" w:rsidRPr="0038442F">
        <w:rPr>
          <w:rFonts w:ascii="Verdana" w:hAnsi="Verdana"/>
          <w:sz w:val="20"/>
          <w:szCs w:val="20"/>
          <w:lang w:val="pt-BR"/>
        </w:rPr>
        <w:t>adoção</w:t>
      </w:r>
      <w:r w:rsidR="00407242" w:rsidRPr="0038442F">
        <w:rPr>
          <w:rFonts w:ascii="Verdana" w:hAnsi="Verdana"/>
          <w:sz w:val="20"/>
          <w:szCs w:val="20"/>
          <w:lang w:val="pt-BR"/>
        </w:rPr>
        <w:t xml:space="preserve"> </w:t>
      </w:r>
      <w:r w:rsidR="00AC11E4" w:rsidRPr="0038442F">
        <w:rPr>
          <w:rFonts w:ascii="Verdana" w:hAnsi="Verdana"/>
          <w:sz w:val="20"/>
          <w:szCs w:val="20"/>
          <w:lang w:val="pt-BR"/>
        </w:rPr>
        <w:t xml:space="preserve">dessas ações </w:t>
      </w:r>
      <w:r w:rsidR="003A4355" w:rsidRPr="0038442F">
        <w:rPr>
          <w:rFonts w:ascii="Verdana" w:hAnsi="Verdana"/>
          <w:sz w:val="20"/>
          <w:szCs w:val="20"/>
          <w:lang w:val="pt-BR"/>
        </w:rPr>
        <w:t>“exclu</w:t>
      </w:r>
      <w:r w:rsidR="00AC11E4" w:rsidRPr="0038442F">
        <w:rPr>
          <w:rFonts w:ascii="Verdana" w:hAnsi="Verdana"/>
          <w:sz w:val="20"/>
          <w:szCs w:val="20"/>
          <w:lang w:val="pt-BR"/>
        </w:rPr>
        <w:t>íram</w:t>
      </w:r>
      <w:r w:rsidR="003A4355" w:rsidRPr="0038442F">
        <w:rPr>
          <w:rFonts w:ascii="Verdana" w:hAnsi="Verdana"/>
          <w:sz w:val="20"/>
          <w:szCs w:val="20"/>
          <w:lang w:val="pt-BR"/>
        </w:rPr>
        <w:t>” o</w:t>
      </w:r>
      <w:r w:rsidR="00AC11E4" w:rsidRPr="0038442F">
        <w:rPr>
          <w:rFonts w:ascii="Verdana" w:hAnsi="Verdana"/>
          <w:sz w:val="20"/>
          <w:szCs w:val="20"/>
          <w:lang w:val="pt-BR"/>
        </w:rPr>
        <w:t>u</w:t>
      </w:r>
      <w:r w:rsidR="003A4355" w:rsidRPr="0038442F">
        <w:rPr>
          <w:rFonts w:ascii="Verdana" w:hAnsi="Verdana"/>
          <w:sz w:val="20"/>
          <w:szCs w:val="20"/>
          <w:lang w:val="pt-BR"/>
        </w:rPr>
        <w:t xml:space="preserve"> “margina</w:t>
      </w:r>
      <w:r w:rsidR="00AC11E4" w:rsidRPr="0038442F">
        <w:rPr>
          <w:rFonts w:ascii="Verdana" w:hAnsi="Verdana"/>
          <w:sz w:val="20"/>
          <w:szCs w:val="20"/>
          <w:lang w:val="pt-BR"/>
        </w:rPr>
        <w:t>lizaram</w:t>
      </w:r>
      <w:r w:rsidR="003A4355" w:rsidRPr="0038442F">
        <w:rPr>
          <w:rFonts w:ascii="Verdana" w:hAnsi="Verdana"/>
          <w:sz w:val="20"/>
          <w:szCs w:val="20"/>
          <w:lang w:val="pt-BR"/>
        </w:rPr>
        <w:t>” grupo</w:t>
      </w:r>
      <w:r w:rsidR="007F12FB" w:rsidRPr="0038442F">
        <w:rPr>
          <w:rFonts w:ascii="Verdana" w:hAnsi="Verdana"/>
          <w:sz w:val="20"/>
          <w:szCs w:val="20"/>
          <w:lang w:val="pt-BR"/>
        </w:rPr>
        <w:t>s</w:t>
      </w:r>
      <w:r w:rsidR="003A4355" w:rsidRPr="0038442F">
        <w:rPr>
          <w:rFonts w:ascii="Verdana" w:hAnsi="Verdana"/>
          <w:sz w:val="20"/>
          <w:szCs w:val="20"/>
          <w:lang w:val="pt-BR"/>
        </w:rPr>
        <w:t xml:space="preserve"> espec</w:t>
      </w:r>
      <w:r w:rsidR="009855FC" w:rsidRPr="0038442F">
        <w:rPr>
          <w:rFonts w:ascii="Verdana" w:hAnsi="Verdana"/>
          <w:sz w:val="20"/>
          <w:szCs w:val="20"/>
          <w:lang w:val="pt-BR"/>
        </w:rPr>
        <w:t>í</w:t>
      </w:r>
      <w:r w:rsidR="003A4355" w:rsidRPr="0038442F">
        <w:rPr>
          <w:rFonts w:ascii="Verdana" w:hAnsi="Verdana"/>
          <w:sz w:val="20"/>
          <w:szCs w:val="20"/>
          <w:lang w:val="pt-BR"/>
        </w:rPr>
        <w:t>fico</w:t>
      </w:r>
      <w:r w:rsidR="007F12FB" w:rsidRPr="0038442F">
        <w:rPr>
          <w:rFonts w:ascii="Verdana" w:hAnsi="Verdana"/>
          <w:sz w:val="20"/>
          <w:szCs w:val="20"/>
          <w:lang w:val="pt-BR"/>
        </w:rPr>
        <w:t>s</w:t>
      </w:r>
      <w:r w:rsidR="003A4355"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C76C5C" w:rsidRPr="0038442F">
        <w:rPr>
          <w:rFonts w:ascii="Verdana" w:hAnsi="Verdana"/>
          <w:sz w:val="20"/>
          <w:szCs w:val="20"/>
          <w:lang w:val="pt-BR"/>
        </w:rPr>
        <w:t>população</w:t>
      </w:r>
      <w:r w:rsidR="00AC11E4" w:rsidRPr="0038442F">
        <w:rPr>
          <w:rFonts w:ascii="Verdana" w:hAnsi="Verdana"/>
          <w:sz w:val="20"/>
          <w:szCs w:val="20"/>
          <w:lang w:val="pt-BR"/>
        </w:rPr>
        <w:t xml:space="preserve">, o que </w:t>
      </w:r>
      <w:r w:rsidR="00984A83" w:rsidRPr="0038442F">
        <w:rPr>
          <w:rFonts w:ascii="Verdana" w:hAnsi="Verdana"/>
          <w:sz w:val="20"/>
          <w:szCs w:val="20"/>
          <w:lang w:val="pt-BR"/>
        </w:rPr>
        <w:t xml:space="preserve">não implica </w:t>
      </w:r>
      <w:r w:rsidR="00D66104" w:rsidRPr="0038442F">
        <w:rPr>
          <w:rFonts w:ascii="Verdana" w:hAnsi="Verdana"/>
          <w:sz w:val="20"/>
          <w:szCs w:val="20"/>
          <w:lang w:val="pt-BR"/>
        </w:rPr>
        <w:t>que</w:t>
      </w:r>
      <w:r w:rsidR="003234A3" w:rsidRPr="0038442F">
        <w:rPr>
          <w:rFonts w:ascii="Verdana" w:hAnsi="Verdana"/>
          <w:sz w:val="20"/>
          <w:szCs w:val="20"/>
          <w:lang w:val="pt-BR"/>
        </w:rPr>
        <w:t>,</w:t>
      </w:r>
      <w:r w:rsidR="00D66104" w:rsidRPr="0038442F">
        <w:rPr>
          <w:rFonts w:ascii="Verdana" w:hAnsi="Verdana"/>
          <w:sz w:val="20"/>
          <w:szCs w:val="20"/>
          <w:lang w:val="pt-BR"/>
        </w:rPr>
        <w:t xml:space="preserve"> </w:t>
      </w:r>
      <w:r w:rsidR="00BF7A10" w:rsidRPr="0038442F">
        <w:rPr>
          <w:rFonts w:ascii="Verdana" w:hAnsi="Verdana"/>
          <w:sz w:val="20"/>
          <w:szCs w:val="20"/>
          <w:lang w:val="pt-BR"/>
        </w:rPr>
        <w:t xml:space="preserve">na </w:t>
      </w:r>
      <w:r w:rsidR="00393CEA" w:rsidRPr="0038442F">
        <w:rPr>
          <w:rFonts w:ascii="Verdana" w:hAnsi="Verdana"/>
          <w:sz w:val="20"/>
          <w:szCs w:val="20"/>
          <w:lang w:val="pt-BR"/>
        </w:rPr>
        <w:t>interpreta</w:t>
      </w:r>
      <w:r w:rsidR="000A1AA8" w:rsidRPr="0038442F">
        <w:rPr>
          <w:rFonts w:ascii="Verdana" w:hAnsi="Verdana"/>
          <w:sz w:val="20"/>
          <w:szCs w:val="20"/>
          <w:lang w:val="pt-BR"/>
        </w:rPr>
        <w:t>ção</w:t>
      </w:r>
      <w:r w:rsidR="00D66104" w:rsidRPr="0038442F">
        <w:rPr>
          <w:rFonts w:ascii="Verdana" w:hAnsi="Verdana"/>
          <w:sz w:val="20"/>
          <w:szCs w:val="20"/>
          <w:lang w:val="pt-BR"/>
        </w:rPr>
        <w:t xml:space="preserve"> </w:t>
      </w:r>
      <w:r w:rsidR="00C92762" w:rsidRPr="0038442F">
        <w:rPr>
          <w:rFonts w:ascii="Verdana" w:hAnsi="Verdana"/>
          <w:sz w:val="20"/>
          <w:szCs w:val="20"/>
          <w:lang w:val="pt-BR"/>
        </w:rPr>
        <w:t xml:space="preserve">da </w:t>
      </w:r>
      <w:r w:rsidR="00D66104" w:rsidRPr="0038442F">
        <w:rPr>
          <w:rFonts w:ascii="Verdana" w:hAnsi="Verdana"/>
          <w:sz w:val="20"/>
          <w:szCs w:val="20"/>
          <w:lang w:val="pt-BR"/>
        </w:rPr>
        <w:t>Conven</w:t>
      </w:r>
      <w:r w:rsidR="000A1AA8" w:rsidRPr="0038442F">
        <w:rPr>
          <w:rFonts w:ascii="Verdana" w:hAnsi="Verdana"/>
          <w:sz w:val="20"/>
          <w:szCs w:val="20"/>
          <w:lang w:val="pt-BR"/>
        </w:rPr>
        <w:t>ção</w:t>
      </w:r>
      <w:r w:rsidR="00D66104" w:rsidRPr="0038442F">
        <w:rPr>
          <w:rFonts w:ascii="Verdana" w:hAnsi="Verdana"/>
          <w:sz w:val="20"/>
          <w:szCs w:val="20"/>
          <w:lang w:val="pt-BR"/>
        </w:rPr>
        <w:t xml:space="preserve"> Americana</w:t>
      </w:r>
      <w:r w:rsidR="003234A3" w:rsidRPr="0038442F">
        <w:rPr>
          <w:rFonts w:ascii="Verdana" w:hAnsi="Verdana"/>
          <w:sz w:val="20"/>
          <w:szCs w:val="20"/>
          <w:lang w:val="pt-BR"/>
        </w:rPr>
        <w:t>,</w:t>
      </w:r>
      <w:r w:rsidR="00D66104" w:rsidRPr="0038442F">
        <w:rPr>
          <w:rFonts w:ascii="Verdana" w:hAnsi="Verdana"/>
          <w:sz w:val="20"/>
          <w:szCs w:val="20"/>
          <w:lang w:val="pt-BR"/>
        </w:rPr>
        <w:t xml:space="preserve"> </w:t>
      </w:r>
      <w:r w:rsidR="00AC11E4" w:rsidRPr="0038442F">
        <w:rPr>
          <w:rFonts w:ascii="Verdana" w:hAnsi="Verdana"/>
          <w:sz w:val="20"/>
          <w:szCs w:val="20"/>
          <w:lang w:val="pt-BR"/>
        </w:rPr>
        <w:t xml:space="preserve">se deva </w:t>
      </w:r>
      <w:r w:rsidR="00D66104" w:rsidRPr="0038442F">
        <w:rPr>
          <w:rFonts w:ascii="Verdana" w:hAnsi="Verdana"/>
          <w:sz w:val="20"/>
          <w:szCs w:val="20"/>
          <w:lang w:val="pt-BR"/>
        </w:rPr>
        <w:t>eliminar</w:t>
      </w:r>
      <w:r w:rsidR="00393CEA" w:rsidRPr="0038442F">
        <w:rPr>
          <w:rFonts w:ascii="Verdana" w:hAnsi="Verdana"/>
          <w:sz w:val="20"/>
          <w:szCs w:val="20"/>
          <w:lang w:val="pt-BR"/>
        </w:rPr>
        <w:t xml:space="preserve"> a no</w:t>
      </w:r>
      <w:r w:rsidR="000A1AA8" w:rsidRPr="0038442F">
        <w:rPr>
          <w:rFonts w:ascii="Verdana" w:hAnsi="Verdana"/>
          <w:sz w:val="20"/>
          <w:szCs w:val="20"/>
          <w:lang w:val="pt-BR"/>
        </w:rPr>
        <w:t>ção</w:t>
      </w:r>
      <w:r w:rsidR="00393CEA" w:rsidRPr="0038442F">
        <w:rPr>
          <w:rFonts w:ascii="Verdana" w:hAnsi="Verdana"/>
          <w:sz w:val="20"/>
          <w:szCs w:val="20"/>
          <w:lang w:val="pt-BR"/>
        </w:rPr>
        <w:t xml:space="preserve"> de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00393CEA" w:rsidRPr="0038442F">
        <w:rPr>
          <w:rFonts w:ascii="Verdana" w:hAnsi="Verdana"/>
          <w:i/>
          <w:sz w:val="20"/>
          <w:szCs w:val="20"/>
          <w:lang w:val="pt-BR"/>
        </w:rPr>
        <w:t>formal</w:t>
      </w:r>
      <w:r w:rsidR="00393CEA" w:rsidRPr="0038442F">
        <w:rPr>
          <w:rFonts w:ascii="Verdana" w:hAnsi="Verdana"/>
          <w:sz w:val="20"/>
          <w:szCs w:val="20"/>
          <w:lang w:val="pt-BR"/>
        </w:rPr>
        <w:t xml:space="preserve"> o</w:t>
      </w:r>
      <w:r w:rsidR="00AC11E4" w:rsidRPr="0038442F">
        <w:rPr>
          <w:rFonts w:ascii="Verdana" w:hAnsi="Verdana"/>
          <w:sz w:val="20"/>
          <w:szCs w:val="20"/>
          <w:lang w:val="pt-BR"/>
        </w:rPr>
        <w:t>u</w:t>
      </w:r>
      <w:r w:rsidR="00393CEA" w:rsidRPr="0038442F">
        <w:rPr>
          <w:rFonts w:ascii="Verdana" w:hAnsi="Verdana"/>
          <w:sz w:val="20"/>
          <w:szCs w:val="20"/>
          <w:lang w:val="pt-BR"/>
        </w:rPr>
        <w:t xml:space="preserve"> </w:t>
      </w:r>
      <w:r w:rsidR="00AC11E4" w:rsidRPr="0038442F">
        <w:rPr>
          <w:rFonts w:ascii="Verdana" w:hAnsi="Verdana"/>
          <w:sz w:val="20"/>
          <w:szCs w:val="20"/>
          <w:lang w:val="pt-BR"/>
        </w:rPr>
        <w:t xml:space="preserve">deva </w:t>
      </w:r>
      <w:r w:rsidR="00404991" w:rsidRPr="0038442F">
        <w:rPr>
          <w:rFonts w:ascii="Verdana" w:hAnsi="Verdana"/>
          <w:sz w:val="20"/>
          <w:szCs w:val="20"/>
          <w:lang w:val="pt-BR"/>
        </w:rPr>
        <w:t xml:space="preserve">predominar </w:t>
      </w:r>
      <w:r w:rsidR="00393CEA" w:rsidRPr="0038442F">
        <w:rPr>
          <w:rFonts w:ascii="Verdana" w:hAnsi="Verdana"/>
          <w:sz w:val="20"/>
          <w:szCs w:val="20"/>
          <w:lang w:val="pt-BR"/>
        </w:rPr>
        <w:t xml:space="preserve">a </w:t>
      </w:r>
      <w:r w:rsidR="009612FB" w:rsidRPr="0038442F">
        <w:rPr>
          <w:rFonts w:ascii="Verdana" w:hAnsi="Verdana"/>
          <w:i/>
          <w:sz w:val="20"/>
          <w:szCs w:val="20"/>
          <w:lang w:val="pt-BR"/>
        </w:rPr>
        <w:t>igualdade</w:t>
      </w:r>
      <w:r w:rsidR="00407242" w:rsidRPr="0038442F">
        <w:rPr>
          <w:rFonts w:ascii="Verdana" w:hAnsi="Verdana"/>
          <w:i/>
          <w:sz w:val="20"/>
          <w:szCs w:val="20"/>
          <w:lang w:val="pt-BR"/>
        </w:rPr>
        <w:t xml:space="preserve"> </w:t>
      </w:r>
      <w:r w:rsidR="00393CEA" w:rsidRPr="0038442F">
        <w:rPr>
          <w:rFonts w:ascii="Verdana" w:hAnsi="Verdana"/>
          <w:i/>
          <w:sz w:val="20"/>
          <w:szCs w:val="20"/>
          <w:lang w:val="pt-BR"/>
        </w:rPr>
        <w:t>material</w:t>
      </w:r>
      <w:r w:rsidR="00393CEA" w:rsidRPr="0038442F">
        <w:rPr>
          <w:rFonts w:ascii="Verdana" w:hAnsi="Verdana"/>
          <w:sz w:val="20"/>
          <w:szCs w:val="20"/>
          <w:lang w:val="pt-BR"/>
        </w:rPr>
        <w:t xml:space="preserve">. </w:t>
      </w:r>
      <w:r w:rsidR="00AC11E4" w:rsidRPr="0038442F">
        <w:rPr>
          <w:rFonts w:ascii="Verdana" w:hAnsi="Verdana"/>
          <w:sz w:val="20"/>
          <w:szCs w:val="20"/>
          <w:lang w:val="pt-BR"/>
        </w:rPr>
        <w:t xml:space="preserve">Deve-se ter </w:t>
      </w:r>
      <w:r w:rsidR="00393CEA" w:rsidRPr="0038442F">
        <w:rPr>
          <w:rFonts w:ascii="Verdana" w:hAnsi="Verdana"/>
          <w:sz w:val="20"/>
          <w:szCs w:val="20"/>
          <w:lang w:val="pt-BR"/>
        </w:rPr>
        <w:t xml:space="preserve">presente </w:t>
      </w:r>
      <w:r w:rsidR="00D66104" w:rsidRPr="0038442F">
        <w:rPr>
          <w:rFonts w:ascii="Verdana" w:hAnsi="Verdana"/>
          <w:sz w:val="20"/>
          <w:szCs w:val="20"/>
          <w:lang w:val="pt-BR"/>
        </w:rPr>
        <w:t xml:space="preserve">que as </w:t>
      </w:r>
      <w:r w:rsidR="00AC11E4" w:rsidRPr="0038442F">
        <w:rPr>
          <w:rFonts w:ascii="Verdana" w:hAnsi="Verdana"/>
          <w:sz w:val="20"/>
          <w:szCs w:val="20"/>
          <w:lang w:val="pt-BR"/>
        </w:rPr>
        <w:t xml:space="preserve">duas </w:t>
      </w:r>
      <w:r w:rsidR="00D66104" w:rsidRPr="0038442F">
        <w:rPr>
          <w:rFonts w:ascii="Verdana" w:hAnsi="Verdana"/>
          <w:sz w:val="20"/>
          <w:szCs w:val="20"/>
          <w:lang w:val="pt-BR"/>
        </w:rPr>
        <w:t>concep</w:t>
      </w:r>
      <w:r w:rsidR="000A1AA8" w:rsidRPr="0038442F">
        <w:rPr>
          <w:rFonts w:ascii="Verdana" w:hAnsi="Verdana"/>
          <w:sz w:val="20"/>
          <w:szCs w:val="20"/>
          <w:lang w:val="pt-BR"/>
        </w:rPr>
        <w:t>ções</w:t>
      </w:r>
      <w:r w:rsidR="00D66104" w:rsidRPr="0038442F">
        <w:rPr>
          <w:rFonts w:ascii="Verdana" w:hAnsi="Verdana"/>
          <w:sz w:val="20"/>
          <w:szCs w:val="20"/>
          <w:lang w:val="pt-BR"/>
        </w:rPr>
        <w:t xml:space="preserve"> e </w:t>
      </w:r>
      <w:r w:rsidR="00393CEA" w:rsidRPr="0038442F">
        <w:rPr>
          <w:rFonts w:ascii="Verdana" w:hAnsi="Verdana"/>
          <w:sz w:val="20"/>
          <w:szCs w:val="20"/>
          <w:lang w:val="pt-BR"/>
        </w:rPr>
        <w:t>interpreta</w:t>
      </w:r>
      <w:r w:rsidR="000A1AA8" w:rsidRPr="0038442F">
        <w:rPr>
          <w:rFonts w:ascii="Verdana" w:hAnsi="Verdana"/>
          <w:sz w:val="20"/>
          <w:szCs w:val="20"/>
          <w:lang w:val="pt-BR"/>
        </w:rPr>
        <w:t>ções</w:t>
      </w:r>
      <w:r w:rsidR="00D66104" w:rsidRPr="0038442F">
        <w:rPr>
          <w:rFonts w:ascii="Verdana" w:hAnsi="Verdana"/>
          <w:sz w:val="20"/>
          <w:szCs w:val="20"/>
          <w:lang w:val="pt-BR"/>
        </w:rPr>
        <w:t xml:space="preserve"> coexiste</w:t>
      </w:r>
      <w:r w:rsidR="00AC11E4" w:rsidRPr="0038442F">
        <w:rPr>
          <w:rFonts w:ascii="Verdana" w:hAnsi="Verdana"/>
          <w:sz w:val="20"/>
          <w:szCs w:val="20"/>
          <w:lang w:val="pt-BR"/>
        </w:rPr>
        <w:t>m</w:t>
      </w:r>
      <w:r w:rsidR="00D66104" w:rsidRPr="0038442F">
        <w:rPr>
          <w:rFonts w:ascii="Verdana" w:hAnsi="Verdana"/>
          <w:sz w:val="20"/>
          <w:szCs w:val="20"/>
          <w:lang w:val="pt-BR"/>
        </w:rPr>
        <w:t xml:space="preserve">, </w:t>
      </w:r>
      <w:r w:rsidR="00393CEA" w:rsidRPr="0038442F">
        <w:rPr>
          <w:rFonts w:ascii="Verdana" w:hAnsi="Verdana"/>
          <w:sz w:val="20"/>
          <w:szCs w:val="20"/>
          <w:lang w:val="pt-BR"/>
        </w:rPr>
        <w:t>complement</w:t>
      </w:r>
      <w:r w:rsidR="00AC11E4" w:rsidRPr="0038442F">
        <w:rPr>
          <w:rFonts w:ascii="Verdana" w:hAnsi="Verdana"/>
          <w:sz w:val="20"/>
          <w:szCs w:val="20"/>
          <w:lang w:val="pt-BR"/>
        </w:rPr>
        <w:t>a</w:t>
      </w:r>
      <w:r w:rsidR="00393CEA" w:rsidRPr="0038442F">
        <w:rPr>
          <w:rFonts w:ascii="Verdana" w:hAnsi="Verdana"/>
          <w:sz w:val="20"/>
          <w:szCs w:val="20"/>
          <w:lang w:val="pt-BR"/>
        </w:rPr>
        <w:t>ndo</w:t>
      </w:r>
      <w:r w:rsidR="00AC11E4" w:rsidRPr="0038442F">
        <w:rPr>
          <w:rFonts w:ascii="Verdana" w:hAnsi="Verdana"/>
          <w:sz w:val="20"/>
          <w:szCs w:val="20"/>
          <w:lang w:val="pt-BR"/>
        </w:rPr>
        <w:t>-</w:t>
      </w:r>
      <w:r w:rsidR="00393CEA" w:rsidRPr="0038442F">
        <w:rPr>
          <w:rFonts w:ascii="Verdana" w:hAnsi="Verdana"/>
          <w:sz w:val="20"/>
          <w:szCs w:val="20"/>
          <w:lang w:val="pt-BR"/>
        </w:rPr>
        <w:t>se</w:t>
      </w:r>
      <w:r w:rsidR="00D66104" w:rsidRPr="0038442F">
        <w:rPr>
          <w:rFonts w:ascii="Verdana" w:hAnsi="Verdana"/>
          <w:sz w:val="20"/>
          <w:szCs w:val="20"/>
          <w:lang w:val="pt-BR"/>
        </w:rPr>
        <w:t xml:space="preserve"> </w:t>
      </w:r>
      <w:r w:rsidR="00602FF9" w:rsidRPr="0038442F">
        <w:rPr>
          <w:rFonts w:ascii="Verdana" w:hAnsi="Verdana"/>
          <w:sz w:val="20"/>
          <w:szCs w:val="20"/>
          <w:lang w:val="pt-BR"/>
        </w:rPr>
        <w:t xml:space="preserve">nos </w:t>
      </w:r>
      <w:r w:rsidR="00D66104" w:rsidRPr="0038442F">
        <w:rPr>
          <w:rFonts w:ascii="Verdana" w:hAnsi="Verdana"/>
          <w:sz w:val="20"/>
          <w:szCs w:val="20"/>
          <w:lang w:val="pt-BR"/>
        </w:rPr>
        <w:t xml:space="preserve">aspectos </w:t>
      </w:r>
      <w:r w:rsidR="00AC11E4" w:rsidRPr="0038442F">
        <w:rPr>
          <w:rFonts w:ascii="Verdana" w:hAnsi="Verdana"/>
          <w:sz w:val="20"/>
          <w:szCs w:val="20"/>
          <w:lang w:val="pt-BR"/>
        </w:rPr>
        <w:t xml:space="preserve">em </w:t>
      </w:r>
      <w:r w:rsidR="00D66104" w:rsidRPr="0038442F">
        <w:rPr>
          <w:rFonts w:ascii="Verdana" w:hAnsi="Verdana"/>
          <w:sz w:val="20"/>
          <w:szCs w:val="20"/>
          <w:lang w:val="pt-BR"/>
        </w:rPr>
        <w:t xml:space="preserve">que </w:t>
      </w:r>
      <w:r w:rsidR="00C92762" w:rsidRPr="0038442F">
        <w:rPr>
          <w:rFonts w:ascii="Verdana" w:hAnsi="Verdana"/>
          <w:sz w:val="20"/>
          <w:szCs w:val="20"/>
          <w:lang w:val="pt-BR"/>
        </w:rPr>
        <w:t>uma</w:t>
      </w:r>
      <w:r w:rsidR="00407242" w:rsidRPr="0038442F">
        <w:rPr>
          <w:rFonts w:ascii="Verdana" w:hAnsi="Verdana"/>
          <w:sz w:val="20"/>
          <w:szCs w:val="20"/>
          <w:lang w:val="pt-BR"/>
        </w:rPr>
        <w:t xml:space="preserve"> </w:t>
      </w:r>
      <w:r w:rsidR="00D66104" w:rsidRPr="0038442F">
        <w:rPr>
          <w:rFonts w:ascii="Verdana" w:hAnsi="Verdana"/>
          <w:sz w:val="20"/>
          <w:szCs w:val="20"/>
          <w:lang w:val="pt-BR"/>
        </w:rPr>
        <w:t>de</w:t>
      </w:r>
      <w:r w:rsidR="00C92762" w:rsidRPr="0038442F">
        <w:rPr>
          <w:rFonts w:ascii="Verdana" w:hAnsi="Verdana"/>
          <w:sz w:val="20"/>
          <w:szCs w:val="20"/>
          <w:lang w:val="pt-BR"/>
        </w:rPr>
        <w:t>las</w:t>
      </w:r>
      <w:r w:rsidR="00407242" w:rsidRPr="0038442F">
        <w:rPr>
          <w:rFonts w:ascii="Verdana" w:hAnsi="Verdana"/>
          <w:sz w:val="20"/>
          <w:szCs w:val="20"/>
          <w:lang w:val="pt-BR"/>
        </w:rPr>
        <w:t xml:space="preserve"> </w:t>
      </w:r>
      <w:r w:rsidR="00AC11E4" w:rsidRPr="0038442F">
        <w:rPr>
          <w:rFonts w:ascii="Verdana" w:hAnsi="Verdana"/>
          <w:sz w:val="20"/>
          <w:szCs w:val="20"/>
          <w:lang w:val="pt-BR"/>
        </w:rPr>
        <w:t xml:space="preserve">seja </w:t>
      </w:r>
      <w:r w:rsidR="00D66104" w:rsidRPr="0038442F">
        <w:rPr>
          <w:rFonts w:ascii="Verdana" w:hAnsi="Verdana"/>
          <w:sz w:val="20"/>
          <w:szCs w:val="20"/>
          <w:lang w:val="pt-BR"/>
        </w:rPr>
        <w:t>insuficiente.</w:t>
      </w:r>
      <w:r w:rsidR="00407242" w:rsidRPr="0038442F">
        <w:rPr>
          <w:rFonts w:ascii="Verdana" w:hAnsi="Verdana"/>
          <w:sz w:val="20"/>
          <w:szCs w:val="20"/>
          <w:lang w:val="pt-BR"/>
        </w:rPr>
        <w:t xml:space="preserve"> </w:t>
      </w:r>
    </w:p>
    <w:p w14:paraId="3BD5C646" w14:textId="77777777" w:rsidR="006D3D04" w:rsidRPr="0038442F" w:rsidRDefault="006D3D04" w:rsidP="00A857CB">
      <w:pPr>
        <w:pStyle w:val="Prrafodelista"/>
        <w:spacing w:line="240" w:lineRule="auto"/>
        <w:rPr>
          <w:rFonts w:ascii="Verdana" w:hAnsi="Verdana"/>
          <w:sz w:val="20"/>
          <w:szCs w:val="20"/>
          <w:lang w:val="pt-BR"/>
        </w:rPr>
      </w:pPr>
    </w:p>
    <w:p w14:paraId="13243131" w14:textId="527469DD" w:rsidR="006D3D04" w:rsidRPr="0038442F" w:rsidRDefault="005266CB" w:rsidP="005266CB">
      <w:pPr>
        <w:pStyle w:val="Prrafodelista"/>
        <w:tabs>
          <w:tab w:val="left" w:pos="709"/>
          <w:tab w:val="center" w:pos="4702"/>
          <w:tab w:val="left" w:pos="6270"/>
        </w:tabs>
        <w:spacing w:line="240" w:lineRule="auto"/>
        <w:ind w:left="0"/>
        <w:jc w:val="both"/>
        <w:rPr>
          <w:rFonts w:ascii="Verdana" w:hAnsi="Verdana"/>
          <w:sz w:val="24"/>
          <w:szCs w:val="24"/>
          <w:lang w:val="pt-BR"/>
        </w:rPr>
      </w:pPr>
      <w:r w:rsidRPr="0038442F">
        <w:rPr>
          <w:rFonts w:ascii="Verdana" w:hAnsi="Verdana"/>
          <w:sz w:val="20"/>
          <w:szCs w:val="20"/>
          <w:lang w:val="pt-BR"/>
        </w:rPr>
        <w:t>123.</w:t>
      </w:r>
      <w:r w:rsidR="00407242" w:rsidRPr="0038442F">
        <w:rPr>
          <w:rFonts w:ascii="Verdana" w:hAnsi="Verdana"/>
          <w:sz w:val="20"/>
          <w:szCs w:val="20"/>
          <w:lang w:val="pt-BR"/>
        </w:rPr>
        <w:t xml:space="preserve"> </w:t>
      </w:r>
      <w:r w:rsidR="000A5FE6" w:rsidRPr="0038442F">
        <w:rPr>
          <w:rFonts w:ascii="Verdana" w:hAnsi="Verdana"/>
          <w:sz w:val="20"/>
          <w:szCs w:val="20"/>
          <w:lang w:val="pt-BR"/>
        </w:rPr>
        <w:t>A</w:t>
      </w:r>
      <w:r w:rsidR="006D3D04" w:rsidRPr="0038442F">
        <w:rPr>
          <w:rFonts w:ascii="Verdana" w:hAnsi="Verdana"/>
          <w:sz w:val="20"/>
          <w:szCs w:val="20"/>
          <w:lang w:val="pt-BR"/>
        </w:rPr>
        <w:t xml:space="preserve"> </w:t>
      </w:r>
      <w:r w:rsidR="009612FB" w:rsidRPr="0038442F">
        <w:rPr>
          <w:rFonts w:ascii="Verdana" w:hAnsi="Verdana"/>
          <w:sz w:val="20"/>
          <w:szCs w:val="20"/>
          <w:lang w:val="pt-BR"/>
        </w:rPr>
        <w:t>igualdade</w:t>
      </w:r>
      <w:r w:rsidR="00407242" w:rsidRPr="0038442F">
        <w:rPr>
          <w:rFonts w:ascii="Verdana" w:hAnsi="Verdana"/>
          <w:sz w:val="20"/>
          <w:szCs w:val="20"/>
          <w:lang w:val="pt-BR"/>
        </w:rPr>
        <w:t xml:space="preserve"> </w:t>
      </w:r>
      <w:r w:rsidR="000A5FE6" w:rsidRPr="0038442F">
        <w:rPr>
          <w:rFonts w:ascii="Verdana" w:hAnsi="Verdana"/>
          <w:sz w:val="20"/>
          <w:szCs w:val="20"/>
          <w:lang w:val="pt-BR"/>
        </w:rPr>
        <w:t xml:space="preserve">e </w:t>
      </w:r>
      <w:r w:rsidR="006D3D04" w:rsidRPr="0038442F">
        <w:rPr>
          <w:rFonts w:ascii="Verdana" w:hAnsi="Verdana"/>
          <w:sz w:val="20"/>
          <w:szCs w:val="20"/>
          <w:lang w:val="pt-BR"/>
        </w:rPr>
        <w:t xml:space="preserve">a </w:t>
      </w:r>
      <w:r w:rsidR="005B55A8" w:rsidRPr="0038442F">
        <w:rPr>
          <w:rFonts w:ascii="Verdana" w:hAnsi="Verdana"/>
          <w:sz w:val="20"/>
          <w:szCs w:val="20"/>
          <w:lang w:val="pt-BR"/>
        </w:rPr>
        <w:t>não discriminação são</w:t>
      </w:r>
      <w:r w:rsidR="00407242" w:rsidRPr="0038442F">
        <w:rPr>
          <w:rFonts w:ascii="Verdana" w:hAnsi="Verdana"/>
          <w:sz w:val="20"/>
          <w:szCs w:val="20"/>
          <w:lang w:val="pt-BR"/>
        </w:rPr>
        <w:t xml:space="preserve"> </w:t>
      </w:r>
      <w:r w:rsidR="006D3D04" w:rsidRPr="0038442F">
        <w:rPr>
          <w:rFonts w:ascii="Verdana" w:hAnsi="Verdana"/>
          <w:sz w:val="20"/>
          <w:szCs w:val="20"/>
          <w:lang w:val="pt-BR"/>
        </w:rPr>
        <w:t>do</w:t>
      </w:r>
      <w:r w:rsidR="000A5FE6" w:rsidRPr="0038442F">
        <w:rPr>
          <w:rFonts w:ascii="Verdana" w:hAnsi="Verdana"/>
          <w:sz w:val="20"/>
          <w:szCs w:val="20"/>
          <w:lang w:val="pt-BR"/>
        </w:rPr>
        <w:t>i</w:t>
      </w:r>
      <w:r w:rsidR="006D3D04" w:rsidRPr="0038442F">
        <w:rPr>
          <w:rFonts w:ascii="Verdana" w:hAnsi="Verdana"/>
          <w:sz w:val="20"/>
          <w:szCs w:val="20"/>
          <w:lang w:val="pt-BR"/>
        </w:rPr>
        <w:t xml:space="preserve">s </w:t>
      </w:r>
      <w:r w:rsidR="00C92762" w:rsidRPr="0038442F">
        <w:rPr>
          <w:rFonts w:ascii="Verdana" w:hAnsi="Verdana"/>
          <w:sz w:val="20"/>
          <w:szCs w:val="20"/>
          <w:lang w:val="pt-BR"/>
        </w:rPr>
        <w:t xml:space="preserve">dos </w:t>
      </w:r>
      <w:r w:rsidR="008806F8" w:rsidRPr="0038442F">
        <w:rPr>
          <w:rFonts w:ascii="Verdana" w:hAnsi="Verdana"/>
          <w:sz w:val="20"/>
          <w:szCs w:val="20"/>
          <w:lang w:val="pt-BR"/>
        </w:rPr>
        <w:t>princípios</w:t>
      </w:r>
      <w:r w:rsidR="00407242" w:rsidRPr="0038442F">
        <w:rPr>
          <w:rFonts w:ascii="Verdana" w:hAnsi="Verdana"/>
          <w:sz w:val="20"/>
          <w:szCs w:val="20"/>
          <w:lang w:val="pt-BR"/>
        </w:rPr>
        <w:t xml:space="preserve"> </w:t>
      </w:r>
      <w:r w:rsidR="00751189" w:rsidRPr="0038442F">
        <w:rPr>
          <w:rFonts w:ascii="Verdana" w:hAnsi="Verdana"/>
          <w:sz w:val="20"/>
          <w:szCs w:val="20"/>
          <w:lang w:val="pt-BR"/>
        </w:rPr>
        <w:t xml:space="preserve">e direitos </w:t>
      </w:r>
      <w:r w:rsidR="000A5FE6" w:rsidRPr="0038442F">
        <w:rPr>
          <w:rFonts w:ascii="Verdana" w:hAnsi="Verdana"/>
          <w:sz w:val="20"/>
          <w:szCs w:val="20"/>
          <w:lang w:val="pt-BR"/>
        </w:rPr>
        <w:t xml:space="preserve">mais </w:t>
      </w:r>
      <w:r w:rsidR="006D3D04" w:rsidRPr="0038442F">
        <w:rPr>
          <w:rFonts w:ascii="Verdana" w:hAnsi="Verdana"/>
          <w:sz w:val="20"/>
          <w:szCs w:val="20"/>
          <w:lang w:val="pt-BR"/>
        </w:rPr>
        <w:t>fundament</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6D3D04" w:rsidRPr="0038442F">
        <w:rPr>
          <w:rFonts w:ascii="Verdana" w:hAnsi="Verdana"/>
          <w:sz w:val="20"/>
          <w:szCs w:val="20"/>
          <w:lang w:val="pt-BR"/>
        </w:rPr>
        <w:t>d</w:t>
      </w:r>
      <w:r w:rsidR="000A5FE6" w:rsidRPr="0038442F">
        <w:rPr>
          <w:rFonts w:ascii="Verdana" w:hAnsi="Verdana"/>
          <w:sz w:val="20"/>
          <w:szCs w:val="20"/>
          <w:lang w:val="pt-BR"/>
        </w:rPr>
        <w:t xml:space="preserve">o </w:t>
      </w:r>
      <w:r w:rsidR="00CA30C5" w:rsidRPr="0038442F">
        <w:rPr>
          <w:rFonts w:ascii="Verdana" w:hAnsi="Verdana"/>
          <w:sz w:val="20"/>
          <w:szCs w:val="20"/>
          <w:lang w:val="pt-BR"/>
        </w:rPr>
        <w:t>direito</w:t>
      </w:r>
      <w:r w:rsidR="00407242" w:rsidRPr="0038442F">
        <w:rPr>
          <w:rFonts w:ascii="Verdana" w:hAnsi="Verdana"/>
          <w:sz w:val="20"/>
          <w:szCs w:val="20"/>
          <w:lang w:val="pt-BR"/>
        </w:rPr>
        <w:t xml:space="preserve"> </w:t>
      </w:r>
      <w:r w:rsidR="006D3D04" w:rsidRPr="0038442F">
        <w:rPr>
          <w:rFonts w:ascii="Verdana" w:hAnsi="Verdana"/>
          <w:sz w:val="20"/>
          <w:szCs w:val="20"/>
          <w:lang w:val="pt-BR"/>
        </w:rPr>
        <w:t xml:space="preserve">internacional </w:t>
      </w:r>
      <w:r w:rsidR="00C92762" w:rsidRPr="0038442F">
        <w:rPr>
          <w:rFonts w:ascii="Verdana" w:hAnsi="Verdana"/>
          <w:sz w:val="20"/>
          <w:szCs w:val="20"/>
          <w:lang w:val="pt-BR"/>
        </w:rPr>
        <w:t xml:space="preserve">dos direitos </w:t>
      </w:r>
      <w:r w:rsidR="006D3D04" w:rsidRPr="0038442F">
        <w:rPr>
          <w:rFonts w:ascii="Verdana" w:hAnsi="Verdana"/>
          <w:sz w:val="20"/>
          <w:szCs w:val="20"/>
          <w:lang w:val="pt-BR"/>
        </w:rPr>
        <w:t xml:space="preserve">humanos, </w:t>
      </w:r>
      <w:r w:rsidR="000A5FE6" w:rsidRPr="0038442F">
        <w:rPr>
          <w:rFonts w:ascii="Verdana" w:hAnsi="Verdana"/>
          <w:sz w:val="20"/>
          <w:szCs w:val="20"/>
          <w:lang w:val="pt-BR"/>
        </w:rPr>
        <w:t xml:space="preserve">constituindo </w:t>
      </w:r>
      <w:r w:rsidR="00501A05" w:rsidRPr="0038442F">
        <w:rPr>
          <w:rFonts w:ascii="Verdana" w:hAnsi="Verdana"/>
          <w:sz w:val="20"/>
          <w:szCs w:val="20"/>
          <w:lang w:val="pt-BR"/>
        </w:rPr>
        <w:t>componentes es</w:t>
      </w:r>
      <w:r w:rsidR="000A5FE6" w:rsidRPr="0038442F">
        <w:rPr>
          <w:rFonts w:ascii="Verdana" w:hAnsi="Verdana"/>
          <w:sz w:val="20"/>
          <w:szCs w:val="20"/>
          <w:lang w:val="pt-BR"/>
        </w:rPr>
        <w:t>s</w:t>
      </w:r>
      <w:r w:rsidR="00501A05" w:rsidRPr="0038442F">
        <w:rPr>
          <w:rFonts w:ascii="Verdana" w:hAnsi="Verdana"/>
          <w:sz w:val="20"/>
          <w:szCs w:val="20"/>
          <w:lang w:val="pt-BR"/>
        </w:rPr>
        <w:t>enci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C92762" w:rsidRPr="0038442F">
        <w:rPr>
          <w:rFonts w:ascii="Verdana" w:hAnsi="Verdana"/>
          <w:sz w:val="20"/>
          <w:szCs w:val="20"/>
          <w:lang w:val="pt-BR"/>
        </w:rPr>
        <w:t xml:space="preserve">em uma </w:t>
      </w:r>
      <w:r w:rsidR="007E1CB4" w:rsidRPr="0038442F">
        <w:rPr>
          <w:rFonts w:ascii="Verdana" w:hAnsi="Verdana"/>
          <w:sz w:val="20"/>
          <w:szCs w:val="20"/>
          <w:lang w:val="pt-BR"/>
        </w:rPr>
        <w:t xml:space="preserve">democracia constitucional. Por </w:t>
      </w:r>
      <w:r w:rsidR="000A5FE6" w:rsidRPr="0038442F">
        <w:rPr>
          <w:rFonts w:ascii="Verdana" w:hAnsi="Verdana"/>
          <w:sz w:val="20"/>
          <w:szCs w:val="20"/>
          <w:lang w:val="pt-BR"/>
        </w:rPr>
        <w:t xml:space="preserve">esse motivo, cumpre compreender seu alcance </w:t>
      </w:r>
      <w:r w:rsidR="006D3D04" w:rsidRPr="0038442F">
        <w:rPr>
          <w:rFonts w:ascii="Verdana" w:hAnsi="Verdana"/>
          <w:sz w:val="20"/>
          <w:szCs w:val="20"/>
          <w:lang w:val="pt-BR"/>
        </w:rPr>
        <w:t xml:space="preserve">de </w:t>
      </w:r>
      <w:r w:rsidR="00CC7E48">
        <w:rPr>
          <w:rFonts w:ascii="Verdana" w:hAnsi="Verdana"/>
          <w:sz w:val="20"/>
          <w:szCs w:val="20"/>
          <w:lang w:val="pt-BR"/>
        </w:rPr>
        <w:t>forma</w:t>
      </w:r>
      <w:r w:rsidR="00CC7E48" w:rsidRPr="0038442F">
        <w:rPr>
          <w:rFonts w:ascii="Verdana" w:hAnsi="Verdana"/>
          <w:sz w:val="20"/>
          <w:szCs w:val="20"/>
          <w:lang w:val="pt-BR"/>
        </w:rPr>
        <w:t xml:space="preserve"> </w:t>
      </w:r>
      <w:r w:rsidR="006D3D04" w:rsidRPr="0038442F">
        <w:rPr>
          <w:rFonts w:ascii="Verdana" w:hAnsi="Verdana"/>
          <w:sz w:val="20"/>
          <w:szCs w:val="20"/>
          <w:lang w:val="pt-BR"/>
        </w:rPr>
        <w:t>conjunta e</w:t>
      </w:r>
      <w:r w:rsidR="000A5FE6" w:rsidRPr="0038442F">
        <w:rPr>
          <w:rFonts w:ascii="Verdana" w:hAnsi="Verdana"/>
          <w:sz w:val="20"/>
          <w:szCs w:val="20"/>
          <w:lang w:val="pt-BR"/>
        </w:rPr>
        <w:t>m</w:t>
      </w:r>
      <w:r w:rsidR="006D3D04" w:rsidRPr="0038442F">
        <w:rPr>
          <w:rFonts w:ascii="Verdana" w:hAnsi="Verdana"/>
          <w:sz w:val="20"/>
          <w:szCs w:val="20"/>
          <w:lang w:val="pt-BR"/>
        </w:rPr>
        <w:t xml:space="preserve"> contextos de clara situa</w:t>
      </w:r>
      <w:r w:rsidR="000A1AA8" w:rsidRPr="0038442F">
        <w:rPr>
          <w:rFonts w:ascii="Verdana" w:hAnsi="Verdana"/>
          <w:sz w:val="20"/>
          <w:szCs w:val="20"/>
          <w:lang w:val="pt-BR"/>
        </w:rPr>
        <w:t>ção</w:t>
      </w:r>
      <w:r w:rsidR="006D3D04" w:rsidRPr="0038442F">
        <w:rPr>
          <w:rFonts w:ascii="Verdana" w:hAnsi="Verdana"/>
          <w:sz w:val="20"/>
          <w:szCs w:val="20"/>
          <w:lang w:val="pt-BR"/>
        </w:rPr>
        <w:t xml:space="preserve"> de </w:t>
      </w:r>
      <w:r w:rsidR="00247F19" w:rsidRPr="0038442F">
        <w:rPr>
          <w:rFonts w:ascii="Verdana" w:hAnsi="Verdana"/>
          <w:sz w:val="20"/>
          <w:szCs w:val="20"/>
          <w:lang w:val="pt-BR"/>
        </w:rPr>
        <w:t>desvantagem</w:t>
      </w:r>
      <w:r w:rsidR="006D3D04" w:rsidRPr="0038442F">
        <w:rPr>
          <w:rFonts w:ascii="Verdana" w:hAnsi="Verdana"/>
          <w:sz w:val="20"/>
          <w:szCs w:val="20"/>
          <w:lang w:val="pt-BR"/>
        </w:rPr>
        <w:t>, desigualdad</w:t>
      </w:r>
      <w:r w:rsidR="000A5FE6" w:rsidRPr="0038442F">
        <w:rPr>
          <w:rFonts w:ascii="Verdana" w:hAnsi="Verdana"/>
          <w:sz w:val="20"/>
          <w:szCs w:val="20"/>
          <w:lang w:val="pt-BR"/>
        </w:rPr>
        <w:t>e</w:t>
      </w:r>
      <w:r w:rsidR="006D3D04" w:rsidRPr="0038442F">
        <w:rPr>
          <w:rFonts w:ascii="Verdana" w:hAnsi="Verdana"/>
          <w:sz w:val="20"/>
          <w:szCs w:val="20"/>
          <w:lang w:val="pt-BR"/>
        </w:rPr>
        <w:t xml:space="preserve"> </w:t>
      </w:r>
      <w:r w:rsidR="000A5FE6" w:rsidRPr="0038442F">
        <w:rPr>
          <w:rFonts w:ascii="Verdana" w:hAnsi="Verdana"/>
          <w:sz w:val="20"/>
          <w:szCs w:val="20"/>
          <w:lang w:val="pt-BR"/>
        </w:rPr>
        <w:t>e</w:t>
      </w:r>
      <w:r w:rsidR="006D3D04" w:rsidRPr="0038442F">
        <w:rPr>
          <w:rFonts w:ascii="Verdana" w:hAnsi="Verdana"/>
          <w:sz w:val="20"/>
          <w:szCs w:val="20"/>
          <w:lang w:val="pt-BR"/>
        </w:rPr>
        <w:t xml:space="preserve"> </w:t>
      </w:r>
      <w:r w:rsidR="00BF7A10" w:rsidRPr="0038442F">
        <w:rPr>
          <w:rFonts w:ascii="Verdana" w:hAnsi="Verdana"/>
          <w:sz w:val="20"/>
          <w:szCs w:val="20"/>
          <w:lang w:val="pt-BR"/>
        </w:rPr>
        <w:t>exclusão</w:t>
      </w:r>
      <w:r w:rsidR="006D3D04" w:rsidRPr="0038442F">
        <w:rPr>
          <w:rFonts w:ascii="Verdana" w:hAnsi="Verdana"/>
          <w:sz w:val="20"/>
          <w:szCs w:val="20"/>
          <w:lang w:val="pt-BR"/>
        </w:rPr>
        <w:t>. Situa</w:t>
      </w:r>
      <w:r w:rsidR="000A1AA8" w:rsidRPr="0038442F">
        <w:rPr>
          <w:rFonts w:ascii="Verdana" w:hAnsi="Verdana"/>
          <w:sz w:val="20"/>
          <w:szCs w:val="20"/>
          <w:lang w:val="pt-BR"/>
        </w:rPr>
        <w:t>ções</w:t>
      </w:r>
      <w:r w:rsidR="006D3D04" w:rsidRPr="0038442F">
        <w:rPr>
          <w:rFonts w:ascii="Verdana" w:hAnsi="Verdana"/>
          <w:sz w:val="20"/>
          <w:szCs w:val="20"/>
          <w:lang w:val="pt-BR"/>
        </w:rPr>
        <w:t xml:space="preserve"> que sempre agrava</w:t>
      </w:r>
      <w:r w:rsidR="000A5FE6" w:rsidRPr="0038442F">
        <w:rPr>
          <w:rFonts w:ascii="Verdana" w:hAnsi="Verdana"/>
          <w:sz w:val="20"/>
          <w:szCs w:val="20"/>
          <w:lang w:val="pt-BR"/>
        </w:rPr>
        <w:t>m</w:t>
      </w:r>
      <w:r w:rsidR="006D3D04" w:rsidRPr="0038442F">
        <w:rPr>
          <w:rFonts w:ascii="Verdana" w:hAnsi="Verdana"/>
          <w:sz w:val="20"/>
          <w:szCs w:val="20"/>
          <w:lang w:val="pt-BR"/>
        </w:rPr>
        <w:t xml:space="preserve"> </w:t>
      </w:r>
      <w:r w:rsidR="008806F8" w:rsidRPr="0038442F">
        <w:rPr>
          <w:rFonts w:ascii="Verdana" w:hAnsi="Verdana"/>
          <w:sz w:val="20"/>
          <w:szCs w:val="20"/>
          <w:lang w:val="pt-BR"/>
        </w:rPr>
        <w:t xml:space="preserve">as violações </w:t>
      </w:r>
      <w:r w:rsidR="006D3D04" w:rsidRPr="0038442F">
        <w:rPr>
          <w:rFonts w:ascii="Verdana" w:hAnsi="Verdana"/>
          <w:sz w:val="20"/>
          <w:szCs w:val="20"/>
          <w:lang w:val="pt-BR"/>
        </w:rPr>
        <w:t xml:space="preserve">de </w:t>
      </w:r>
      <w:r w:rsidR="000A1AA8" w:rsidRPr="0038442F">
        <w:rPr>
          <w:rFonts w:ascii="Verdana" w:hAnsi="Verdana"/>
          <w:sz w:val="20"/>
          <w:szCs w:val="20"/>
          <w:lang w:val="pt-BR"/>
        </w:rPr>
        <w:t xml:space="preserve">direitos </w:t>
      </w:r>
      <w:r w:rsidR="006D3D04" w:rsidRPr="0038442F">
        <w:rPr>
          <w:rFonts w:ascii="Verdana" w:hAnsi="Verdana"/>
          <w:sz w:val="20"/>
          <w:szCs w:val="20"/>
          <w:lang w:val="pt-BR"/>
        </w:rPr>
        <w:t xml:space="preserve">humanos protegidos </w:t>
      </w:r>
      <w:r w:rsidR="000A1AA8" w:rsidRPr="0038442F">
        <w:rPr>
          <w:rFonts w:ascii="Verdana" w:hAnsi="Verdana"/>
          <w:sz w:val="20"/>
          <w:szCs w:val="20"/>
          <w:lang w:val="pt-BR"/>
        </w:rPr>
        <w:t xml:space="preserve">pela </w:t>
      </w:r>
      <w:r w:rsidR="006D3D04" w:rsidRPr="0038442F">
        <w:rPr>
          <w:rFonts w:ascii="Verdana" w:hAnsi="Verdana"/>
          <w:sz w:val="20"/>
          <w:szCs w:val="20"/>
          <w:lang w:val="pt-BR"/>
        </w:rPr>
        <w:t>Conven</w:t>
      </w:r>
      <w:r w:rsidR="000A1AA8" w:rsidRPr="0038442F">
        <w:rPr>
          <w:rFonts w:ascii="Verdana" w:hAnsi="Verdana"/>
          <w:sz w:val="20"/>
          <w:szCs w:val="20"/>
          <w:lang w:val="pt-BR"/>
        </w:rPr>
        <w:t>ção</w:t>
      </w:r>
      <w:r w:rsidR="006D3D04" w:rsidRPr="0038442F">
        <w:rPr>
          <w:rFonts w:ascii="Verdana" w:hAnsi="Verdana"/>
          <w:sz w:val="20"/>
          <w:szCs w:val="20"/>
          <w:lang w:val="pt-BR"/>
        </w:rPr>
        <w:t xml:space="preserve"> Americana</w:t>
      </w:r>
      <w:r w:rsidR="007F12FB" w:rsidRPr="0038442F">
        <w:rPr>
          <w:rFonts w:ascii="Verdana" w:hAnsi="Verdana"/>
          <w:sz w:val="20"/>
          <w:szCs w:val="20"/>
          <w:lang w:val="pt-BR"/>
        </w:rPr>
        <w:t>,</w:t>
      </w:r>
      <w:r w:rsidR="00FC7EA7" w:rsidRPr="0038442F">
        <w:rPr>
          <w:rFonts w:ascii="Verdana" w:hAnsi="Verdana"/>
          <w:sz w:val="20"/>
          <w:szCs w:val="20"/>
          <w:lang w:val="pt-BR"/>
        </w:rPr>
        <w:t xml:space="preserve"> </w:t>
      </w:r>
      <w:r w:rsidR="00602FF9" w:rsidRPr="0038442F">
        <w:rPr>
          <w:rFonts w:ascii="Verdana" w:hAnsi="Verdana"/>
          <w:sz w:val="20"/>
          <w:szCs w:val="20"/>
          <w:lang w:val="pt-BR"/>
        </w:rPr>
        <w:t>cujo</w:t>
      </w:r>
      <w:r w:rsidR="00407242" w:rsidRPr="0038442F">
        <w:rPr>
          <w:rFonts w:ascii="Verdana" w:hAnsi="Verdana"/>
          <w:sz w:val="20"/>
          <w:szCs w:val="20"/>
          <w:lang w:val="pt-BR"/>
        </w:rPr>
        <w:t xml:space="preserve"> </w:t>
      </w:r>
      <w:r w:rsidR="00FC7EA7" w:rsidRPr="0038442F">
        <w:rPr>
          <w:rFonts w:ascii="Verdana" w:hAnsi="Verdana"/>
          <w:sz w:val="20"/>
          <w:szCs w:val="20"/>
          <w:lang w:val="pt-BR"/>
        </w:rPr>
        <w:t>“mandato transformador”</w:t>
      </w:r>
      <w:r w:rsidR="009855FC" w:rsidRPr="0038442F">
        <w:rPr>
          <w:rStyle w:val="Refdenotaalpie"/>
          <w:rFonts w:ascii="Verdana" w:hAnsi="Verdana"/>
          <w:sz w:val="20"/>
          <w:szCs w:val="20"/>
          <w:lang w:val="pt-BR"/>
        </w:rPr>
        <w:footnoteReference w:id="174"/>
      </w:r>
      <w:r w:rsidR="00FC7EA7" w:rsidRPr="0038442F">
        <w:rPr>
          <w:rFonts w:ascii="Verdana" w:hAnsi="Verdana"/>
          <w:sz w:val="20"/>
          <w:szCs w:val="20"/>
          <w:lang w:val="pt-BR"/>
        </w:rPr>
        <w:t xml:space="preserve"> </w:t>
      </w:r>
      <w:r w:rsidR="000A5FE6" w:rsidRPr="0038442F">
        <w:rPr>
          <w:rFonts w:ascii="Verdana" w:hAnsi="Verdana"/>
          <w:sz w:val="20"/>
          <w:szCs w:val="20"/>
          <w:lang w:val="pt-BR"/>
        </w:rPr>
        <w:t xml:space="preserve">é </w:t>
      </w:r>
      <w:r w:rsidR="00FC7EA7" w:rsidRPr="0038442F">
        <w:rPr>
          <w:rFonts w:ascii="Verdana" w:hAnsi="Verdana"/>
          <w:sz w:val="20"/>
          <w:szCs w:val="20"/>
          <w:lang w:val="pt-BR"/>
        </w:rPr>
        <w:t xml:space="preserve">crucial </w:t>
      </w:r>
      <w:r w:rsidR="00BF7A10" w:rsidRPr="0038442F">
        <w:rPr>
          <w:rFonts w:ascii="Verdana" w:hAnsi="Verdana"/>
          <w:sz w:val="20"/>
          <w:szCs w:val="20"/>
          <w:lang w:val="pt-BR"/>
        </w:rPr>
        <w:t>na região</w:t>
      </w:r>
      <w:r w:rsidR="00407242" w:rsidRPr="0038442F">
        <w:rPr>
          <w:rFonts w:ascii="Verdana" w:hAnsi="Verdana"/>
          <w:sz w:val="20"/>
          <w:szCs w:val="20"/>
          <w:lang w:val="pt-BR"/>
        </w:rPr>
        <w:t xml:space="preserve"> </w:t>
      </w:r>
      <w:r w:rsidR="000A5FE6" w:rsidRPr="0038442F">
        <w:rPr>
          <w:rFonts w:ascii="Verdana" w:hAnsi="Verdana"/>
          <w:sz w:val="20"/>
          <w:szCs w:val="20"/>
          <w:lang w:val="pt-BR"/>
        </w:rPr>
        <w:t xml:space="preserve">mais </w:t>
      </w:r>
      <w:r w:rsidR="00FC7EA7" w:rsidRPr="0038442F">
        <w:rPr>
          <w:rFonts w:ascii="Verdana" w:hAnsi="Verdana"/>
          <w:sz w:val="20"/>
          <w:szCs w:val="20"/>
          <w:lang w:val="pt-BR"/>
        </w:rPr>
        <w:t>desigual d</w:t>
      </w:r>
      <w:r w:rsidR="000A5FE6" w:rsidRPr="0038442F">
        <w:rPr>
          <w:rFonts w:ascii="Verdana" w:hAnsi="Verdana"/>
          <w:sz w:val="20"/>
          <w:szCs w:val="20"/>
          <w:lang w:val="pt-BR"/>
        </w:rPr>
        <w:t>o</w:t>
      </w:r>
      <w:r w:rsidR="00FC7EA7" w:rsidRPr="0038442F">
        <w:rPr>
          <w:rFonts w:ascii="Verdana" w:hAnsi="Verdana"/>
          <w:sz w:val="20"/>
          <w:szCs w:val="20"/>
          <w:lang w:val="pt-BR"/>
        </w:rPr>
        <w:t xml:space="preserve"> mundo</w:t>
      </w:r>
      <w:r w:rsidR="009855FC" w:rsidRPr="0038442F">
        <w:rPr>
          <w:rFonts w:ascii="Verdana" w:hAnsi="Verdana"/>
          <w:sz w:val="20"/>
          <w:szCs w:val="20"/>
          <w:lang w:val="pt-BR"/>
        </w:rPr>
        <w:t xml:space="preserve">, </w:t>
      </w:r>
      <w:r w:rsidR="00FC7EA7" w:rsidRPr="0038442F">
        <w:rPr>
          <w:rFonts w:ascii="Verdana" w:hAnsi="Verdana"/>
          <w:sz w:val="20"/>
          <w:szCs w:val="20"/>
          <w:lang w:val="pt-BR"/>
        </w:rPr>
        <w:t>c</w:t>
      </w:r>
      <w:r w:rsidR="000A5FE6" w:rsidRPr="0038442F">
        <w:rPr>
          <w:rFonts w:ascii="Verdana" w:hAnsi="Verdana"/>
          <w:sz w:val="20"/>
          <w:szCs w:val="20"/>
          <w:lang w:val="pt-BR"/>
        </w:rPr>
        <w:t xml:space="preserve">om </w:t>
      </w:r>
      <w:r w:rsidR="00FC7EA7" w:rsidRPr="0038442F">
        <w:rPr>
          <w:rFonts w:ascii="Verdana" w:hAnsi="Verdana"/>
          <w:sz w:val="20"/>
          <w:szCs w:val="20"/>
          <w:lang w:val="pt-BR"/>
        </w:rPr>
        <w:t xml:space="preserve">importantes </w:t>
      </w:r>
      <w:r w:rsidR="00537B9D" w:rsidRPr="0038442F">
        <w:rPr>
          <w:rFonts w:ascii="Verdana" w:hAnsi="Verdana"/>
          <w:sz w:val="20"/>
          <w:szCs w:val="20"/>
          <w:lang w:val="pt-BR"/>
        </w:rPr>
        <w:t>níveis</w:t>
      </w:r>
      <w:r w:rsidR="00407242" w:rsidRPr="0038442F">
        <w:rPr>
          <w:rFonts w:ascii="Verdana" w:hAnsi="Verdana"/>
          <w:sz w:val="20"/>
          <w:szCs w:val="20"/>
          <w:lang w:val="pt-BR"/>
        </w:rPr>
        <w:t xml:space="preserve"> </w:t>
      </w:r>
      <w:r w:rsidR="00FC7EA7" w:rsidRPr="0038442F">
        <w:rPr>
          <w:rFonts w:ascii="Verdana" w:hAnsi="Verdana"/>
          <w:sz w:val="20"/>
          <w:szCs w:val="20"/>
          <w:lang w:val="pt-BR"/>
        </w:rPr>
        <w:t>de pobreza</w:t>
      </w:r>
      <w:r w:rsidR="009855FC" w:rsidRPr="0038442F">
        <w:rPr>
          <w:rFonts w:ascii="Verdana" w:hAnsi="Verdana"/>
          <w:sz w:val="20"/>
          <w:szCs w:val="20"/>
          <w:lang w:val="pt-BR"/>
        </w:rPr>
        <w:t xml:space="preserve"> </w:t>
      </w:r>
      <w:r w:rsidR="000A5FE6" w:rsidRPr="0038442F">
        <w:rPr>
          <w:rFonts w:ascii="Verdana" w:hAnsi="Verdana"/>
          <w:sz w:val="20"/>
          <w:szCs w:val="20"/>
          <w:lang w:val="pt-BR"/>
        </w:rPr>
        <w:t xml:space="preserve">e com </w:t>
      </w:r>
      <w:r w:rsidR="00CE4A77" w:rsidRPr="0038442F">
        <w:rPr>
          <w:rFonts w:ascii="Verdana" w:hAnsi="Verdana"/>
          <w:sz w:val="20"/>
          <w:szCs w:val="20"/>
          <w:lang w:val="pt-BR"/>
        </w:rPr>
        <w:t>enormes desaf</w:t>
      </w:r>
      <w:r w:rsidR="000A5FE6" w:rsidRPr="0038442F">
        <w:rPr>
          <w:rFonts w:ascii="Verdana" w:hAnsi="Verdana"/>
          <w:sz w:val="20"/>
          <w:szCs w:val="20"/>
          <w:lang w:val="pt-BR"/>
        </w:rPr>
        <w:t>i</w:t>
      </w:r>
      <w:r w:rsidR="00CE4A77" w:rsidRPr="0038442F">
        <w:rPr>
          <w:rFonts w:ascii="Verdana" w:hAnsi="Verdana"/>
          <w:sz w:val="20"/>
          <w:szCs w:val="20"/>
          <w:lang w:val="pt-BR"/>
        </w:rPr>
        <w:t>os soci</w:t>
      </w:r>
      <w:r w:rsidR="00C92762" w:rsidRPr="0038442F">
        <w:rPr>
          <w:rFonts w:ascii="Verdana" w:hAnsi="Verdana"/>
          <w:sz w:val="20"/>
          <w:szCs w:val="20"/>
          <w:lang w:val="pt-BR"/>
        </w:rPr>
        <w:t>ais</w:t>
      </w:r>
      <w:r w:rsidR="00407242" w:rsidRPr="0038442F">
        <w:rPr>
          <w:rFonts w:ascii="Verdana" w:hAnsi="Verdana"/>
          <w:sz w:val="20"/>
          <w:szCs w:val="20"/>
          <w:lang w:val="pt-BR"/>
        </w:rPr>
        <w:t xml:space="preserve"> </w:t>
      </w:r>
      <w:r w:rsidR="000A5FE6" w:rsidRPr="0038442F">
        <w:rPr>
          <w:rFonts w:ascii="Verdana" w:hAnsi="Verdana"/>
          <w:sz w:val="20"/>
          <w:szCs w:val="20"/>
          <w:lang w:val="pt-BR"/>
        </w:rPr>
        <w:t>e</w:t>
      </w:r>
      <w:r w:rsidR="007F12FB" w:rsidRPr="0038442F">
        <w:rPr>
          <w:rFonts w:ascii="Verdana" w:hAnsi="Verdana"/>
          <w:sz w:val="20"/>
          <w:szCs w:val="20"/>
          <w:lang w:val="pt-BR"/>
        </w:rPr>
        <w:t xml:space="preserve"> </w:t>
      </w:r>
      <w:r w:rsidR="006A12FD" w:rsidRPr="0038442F">
        <w:rPr>
          <w:rFonts w:ascii="Verdana" w:hAnsi="Verdana"/>
          <w:sz w:val="20"/>
          <w:szCs w:val="20"/>
          <w:lang w:val="pt-BR"/>
        </w:rPr>
        <w:t>econômicas</w:t>
      </w:r>
      <w:r w:rsidR="000A5FE6" w:rsidRPr="0038442F">
        <w:rPr>
          <w:rFonts w:ascii="Verdana" w:hAnsi="Verdana"/>
          <w:sz w:val="20"/>
          <w:szCs w:val="20"/>
          <w:lang w:val="pt-BR"/>
        </w:rPr>
        <w:t>,</w:t>
      </w:r>
      <w:r w:rsidR="00F255AC" w:rsidRPr="0038442F">
        <w:rPr>
          <w:rStyle w:val="Refdenotaalpie"/>
          <w:rFonts w:ascii="Verdana" w:hAnsi="Verdana"/>
          <w:sz w:val="20"/>
          <w:szCs w:val="20"/>
          <w:lang w:val="pt-BR"/>
        </w:rPr>
        <w:footnoteReference w:id="175"/>
      </w:r>
      <w:r w:rsidR="00CC447E" w:rsidRPr="0038442F">
        <w:rPr>
          <w:rFonts w:ascii="Verdana" w:hAnsi="Verdana"/>
          <w:sz w:val="20"/>
          <w:szCs w:val="20"/>
          <w:lang w:val="pt-BR"/>
        </w:rPr>
        <w:t xml:space="preserve"> que </w:t>
      </w:r>
      <w:r w:rsidR="007E5DAB" w:rsidRPr="0038442F">
        <w:rPr>
          <w:rFonts w:ascii="Verdana" w:hAnsi="Verdana"/>
          <w:sz w:val="20"/>
          <w:szCs w:val="20"/>
          <w:lang w:val="pt-BR"/>
        </w:rPr>
        <w:t>lamenta</w:t>
      </w:r>
      <w:r w:rsidR="000A5FE6" w:rsidRPr="0038442F">
        <w:rPr>
          <w:rFonts w:ascii="Verdana" w:hAnsi="Verdana"/>
          <w:sz w:val="20"/>
          <w:szCs w:val="20"/>
          <w:lang w:val="pt-BR"/>
        </w:rPr>
        <w:t>vel</w:t>
      </w:r>
      <w:r w:rsidR="007E5DAB" w:rsidRPr="0038442F">
        <w:rPr>
          <w:rFonts w:ascii="Verdana" w:hAnsi="Verdana"/>
          <w:sz w:val="20"/>
          <w:szCs w:val="20"/>
          <w:lang w:val="pt-BR"/>
        </w:rPr>
        <w:t xml:space="preserve">mente </w:t>
      </w:r>
      <w:r w:rsidR="00CC447E" w:rsidRPr="0038442F">
        <w:rPr>
          <w:rFonts w:ascii="Verdana" w:hAnsi="Verdana"/>
          <w:sz w:val="20"/>
          <w:szCs w:val="20"/>
          <w:lang w:val="pt-BR"/>
        </w:rPr>
        <w:t>parece</w:t>
      </w:r>
      <w:r w:rsidR="000A5FE6" w:rsidRPr="0038442F">
        <w:rPr>
          <w:rFonts w:ascii="Verdana" w:hAnsi="Verdana"/>
          <w:sz w:val="20"/>
          <w:szCs w:val="20"/>
          <w:lang w:val="pt-BR"/>
        </w:rPr>
        <w:t>m</w:t>
      </w:r>
      <w:r w:rsidR="00CC447E" w:rsidRPr="0038442F">
        <w:rPr>
          <w:rFonts w:ascii="Verdana" w:hAnsi="Verdana"/>
          <w:sz w:val="20"/>
          <w:szCs w:val="20"/>
          <w:lang w:val="pt-BR"/>
        </w:rPr>
        <w:t xml:space="preserve"> </w:t>
      </w:r>
      <w:r w:rsidR="000A5FE6" w:rsidRPr="0038442F">
        <w:rPr>
          <w:rFonts w:ascii="Verdana" w:hAnsi="Verdana"/>
          <w:sz w:val="20"/>
          <w:szCs w:val="20"/>
          <w:lang w:val="pt-BR"/>
        </w:rPr>
        <w:t xml:space="preserve">aumentar, e que se tornaram visíveis em virtude da </w:t>
      </w:r>
      <w:r w:rsidR="007F12FB" w:rsidRPr="0038442F">
        <w:rPr>
          <w:rFonts w:ascii="Verdana" w:hAnsi="Verdana"/>
          <w:sz w:val="20"/>
          <w:szCs w:val="20"/>
          <w:lang w:val="pt-BR"/>
        </w:rPr>
        <w:t>cris</w:t>
      </w:r>
      <w:r w:rsidR="000A5FE6" w:rsidRPr="0038442F">
        <w:rPr>
          <w:rFonts w:ascii="Verdana" w:hAnsi="Verdana"/>
          <w:sz w:val="20"/>
          <w:szCs w:val="20"/>
          <w:lang w:val="pt-BR"/>
        </w:rPr>
        <w:t>e</w:t>
      </w:r>
      <w:r w:rsidR="007F12FB" w:rsidRPr="0038442F">
        <w:rPr>
          <w:rFonts w:ascii="Verdana" w:hAnsi="Verdana"/>
          <w:sz w:val="20"/>
          <w:szCs w:val="20"/>
          <w:lang w:val="pt-BR"/>
        </w:rPr>
        <w:t xml:space="preserve"> </w:t>
      </w:r>
      <w:r w:rsidR="00233F35" w:rsidRPr="0038442F">
        <w:rPr>
          <w:rFonts w:ascii="Verdana" w:hAnsi="Verdana"/>
          <w:sz w:val="20"/>
          <w:szCs w:val="20"/>
          <w:lang w:val="pt-BR"/>
        </w:rPr>
        <w:t xml:space="preserve">que </w:t>
      </w:r>
      <w:r w:rsidR="000A5FE6" w:rsidRPr="0038442F">
        <w:rPr>
          <w:rFonts w:ascii="Verdana" w:hAnsi="Verdana"/>
          <w:sz w:val="20"/>
          <w:szCs w:val="20"/>
          <w:lang w:val="pt-BR"/>
        </w:rPr>
        <w:t>vivemos</w:t>
      </w:r>
      <w:r w:rsidR="00404991" w:rsidRPr="0038442F">
        <w:rPr>
          <w:rFonts w:ascii="Verdana" w:hAnsi="Verdana"/>
          <w:sz w:val="20"/>
          <w:szCs w:val="20"/>
          <w:lang w:val="pt-BR"/>
        </w:rPr>
        <w:t>,</w:t>
      </w:r>
      <w:r w:rsidR="000A5FE6" w:rsidRPr="0038442F">
        <w:rPr>
          <w:rFonts w:ascii="Verdana" w:hAnsi="Verdana"/>
          <w:sz w:val="20"/>
          <w:szCs w:val="20"/>
          <w:lang w:val="pt-BR"/>
        </w:rPr>
        <w:t xml:space="preserve"> em decorrência </w:t>
      </w:r>
      <w:r w:rsidR="00C92762" w:rsidRPr="0038442F">
        <w:rPr>
          <w:rFonts w:ascii="Verdana" w:hAnsi="Verdana"/>
          <w:sz w:val="20"/>
          <w:szCs w:val="20"/>
          <w:lang w:val="pt-BR"/>
        </w:rPr>
        <w:t xml:space="preserve">da </w:t>
      </w:r>
      <w:r w:rsidR="001B7B6D" w:rsidRPr="0038442F">
        <w:rPr>
          <w:rFonts w:ascii="Verdana" w:hAnsi="Verdana"/>
          <w:sz w:val="20"/>
          <w:szCs w:val="20"/>
          <w:lang w:val="pt-BR"/>
        </w:rPr>
        <w:t>pandemia</w:t>
      </w:r>
      <w:r w:rsidR="00CC447E" w:rsidRPr="0038442F">
        <w:rPr>
          <w:rFonts w:ascii="Verdana" w:hAnsi="Verdana"/>
          <w:sz w:val="20"/>
          <w:szCs w:val="20"/>
          <w:lang w:val="pt-BR"/>
        </w:rPr>
        <w:t xml:space="preserve"> </w:t>
      </w:r>
      <w:r w:rsidR="000A5FE6" w:rsidRPr="0038442F">
        <w:rPr>
          <w:rFonts w:ascii="Verdana" w:hAnsi="Verdana"/>
          <w:sz w:val="20"/>
          <w:szCs w:val="20"/>
          <w:lang w:val="pt-BR"/>
        </w:rPr>
        <w:t>e seus efeitos.</w:t>
      </w:r>
      <w:r w:rsidR="00270CEA" w:rsidRPr="0038442F">
        <w:rPr>
          <w:rStyle w:val="Refdenotaalpie"/>
          <w:rFonts w:ascii="Verdana" w:hAnsi="Verdana"/>
          <w:sz w:val="24"/>
          <w:szCs w:val="24"/>
          <w:lang w:val="pt-BR"/>
        </w:rPr>
        <w:footnoteReference w:id="176"/>
      </w:r>
      <w:r w:rsidR="006D3D04" w:rsidRPr="0038442F">
        <w:rPr>
          <w:rFonts w:ascii="Verdana" w:hAnsi="Verdana"/>
          <w:sz w:val="20"/>
          <w:szCs w:val="20"/>
          <w:lang w:val="pt-BR"/>
        </w:rPr>
        <w:t xml:space="preserve"> </w:t>
      </w:r>
    </w:p>
    <w:p w14:paraId="6E7FDC65" w14:textId="5D78F7C7" w:rsidR="00D66104" w:rsidRPr="0038442F" w:rsidRDefault="00D66104" w:rsidP="00A857CB">
      <w:pPr>
        <w:jc w:val="both"/>
        <w:rPr>
          <w:rFonts w:ascii="Verdana" w:hAnsi="Verdana"/>
          <w:b/>
          <w:bCs/>
          <w:sz w:val="20"/>
          <w:szCs w:val="20"/>
          <w:lang w:val="pt-BR"/>
        </w:rPr>
      </w:pPr>
    </w:p>
    <w:p w14:paraId="04C66C62" w14:textId="77777777" w:rsidR="00381D94" w:rsidRPr="0038442F" w:rsidRDefault="00381D94" w:rsidP="00A857CB">
      <w:pPr>
        <w:jc w:val="both"/>
        <w:rPr>
          <w:rFonts w:ascii="Verdana" w:hAnsi="Verdana"/>
          <w:b/>
          <w:bCs/>
          <w:sz w:val="20"/>
          <w:szCs w:val="20"/>
          <w:lang w:val="pt-BR"/>
        </w:rPr>
      </w:pPr>
    </w:p>
    <w:p w14:paraId="3A37065A" w14:textId="77777777" w:rsidR="003A1C1F" w:rsidRPr="0038442F" w:rsidRDefault="003A1C1F" w:rsidP="00A857CB">
      <w:pPr>
        <w:jc w:val="both"/>
        <w:rPr>
          <w:rFonts w:ascii="Verdana" w:hAnsi="Verdana"/>
          <w:b/>
          <w:bCs/>
          <w:sz w:val="20"/>
          <w:szCs w:val="20"/>
          <w:lang w:val="pt-BR"/>
        </w:rPr>
      </w:pPr>
    </w:p>
    <w:p w14:paraId="6BFB87AE" w14:textId="77777777" w:rsidR="003A1C1F" w:rsidRPr="0038442F" w:rsidRDefault="003A1C1F" w:rsidP="00A857CB">
      <w:pPr>
        <w:jc w:val="both"/>
        <w:rPr>
          <w:rFonts w:ascii="Verdana" w:hAnsi="Verdana"/>
          <w:b/>
          <w:bCs/>
          <w:sz w:val="20"/>
          <w:szCs w:val="20"/>
          <w:lang w:val="pt-BR"/>
        </w:rPr>
      </w:pPr>
    </w:p>
    <w:p w14:paraId="2B910803" w14:textId="77777777" w:rsidR="002247E5" w:rsidRPr="0038442F" w:rsidRDefault="002247E5" w:rsidP="00A857CB">
      <w:pPr>
        <w:tabs>
          <w:tab w:val="left" w:pos="709"/>
        </w:tabs>
        <w:jc w:val="both"/>
        <w:rPr>
          <w:rFonts w:ascii="Verdana" w:hAnsi="Verdana"/>
          <w:b/>
          <w:bCs/>
          <w:sz w:val="20"/>
          <w:szCs w:val="20"/>
          <w:lang w:val="pt-BR"/>
        </w:rPr>
      </w:pPr>
    </w:p>
    <w:p w14:paraId="75ED20D8" w14:textId="77777777" w:rsidR="00E03ABF" w:rsidRPr="0038442F" w:rsidRDefault="00E03ABF" w:rsidP="00E03ABF">
      <w:pPr>
        <w:pStyle w:val="Prrafodelista"/>
        <w:widowControl w:val="0"/>
        <w:tabs>
          <w:tab w:val="left" w:pos="0"/>
          <w:tab w:val="left" w:pos="709"/>
        </w:tabs>
        <w:autoSpaceDE w:val="0"/>
        <w:autoSpaceDN w:val="0"/>
        <w:adjustRightInd w:val="0"/>
        <w:spacing w:after="0" w:line="240" w:lineRule="auto"/>
        <w:ind w:left="0"/>
        <w:contextualSpacing w:val="0"/>
        <w:jc w:val="right"/>
        <w:rPr>
          <w:rFonts w:ascii="Verdana" w:hAnsi="Verdana"/>
          <w:sz w:val="20"/>
          <w:szCs w:val="20"/>
          <w:lang w:val="pt-BR"/>
        </w:rPr>
      </w:pPr>
      <w:r w:rsidRPr="0038442F">
        <w:rPr>
          <w:rFonts w:ascii="Verdana" w:hAnsi="Verdana"/>
          <w:sz w:val="20"/>
          <w:szCs w:val="20"/>
          <w:lang w:val="pt-BR"/>
        </w:rPr>
        <w:t>Eduardo Ferrer Mac-Gregor Poisot</w:t>
      </w:r>
    </w:p>
    <w:p w14:paraId="251202CB" w14:textId="03D88B4C" w:rsidR="00E03ABF" w:rsidRPr="0038442F" w:rsidRDefault="00407242" w:rsidP="00E03ABF">
      <w:pPr>
        <w:pStyle w:val="Prrafodelista"/>
        <w:widowControl w:val="0"/>
        <w:tabs>
          <w:tab w:val="left" w:pos="0"/>
          <w:tab w:val="left" w:pos="709"/>
        </w:tabs>
        <w:autoSpaceDE w:val="0"/>
        <w:autoSpaceDN w:val="0"/>
        <w:adjustRightInd w:val="0"/>
        <w:spacing w:after="0" w:line="240" w:lineRule="auto"/>
        <w:ind w:left="0"/>
        <w:contextualSpacing w:val="0"/>
        <w:rPr>
          <w:rFonts w:ascii="Verdana" w:hAnsi="Verdana"/>
          <w:sz w:val="20"/>
          <w:szCs w:val="20"/>
          <w:lang w:val="pt-BR"/>
        </w:rPr>
      </w:pPr>
      <w:r w:rsidRPr="0038442F">
        <w:rPr>
          <w:rFonts w:ascii="Verdana" w:hAnsi="Verdana"/>
          <w:sz w:val="20"/>
          <w:szCs w:val="20"/>
          <w:lang w:val="pt-BR"/>
        </w:rPr>
        <w:t xml:space="preserve"> </w:t>
      </w:r>
      <w:r w:rsidR="00E03ABF"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00404991" w:rsidRPr="0038442F">
        <w:rPr>
          <w:rFonts w:ascii="Verdana" w:hAnsi="Verdana"/>
          <w:sz w:val="20"/>
          <w:szCs w:val="20"/>
          <w:lang w:val="pt-BR"/>
        </w:rPr>
        <w:tab/>
      </w:r>
      <w:r w:rsidRPr="0038442F">
        <w:rPr>
          <w:rFonts w:ascii="Verdana" w:hAnsi="Verdana"/>
          <w:sz w:val="20"/>
          <w:szCs w:val="20"/>
          <w:lang w:val="pt-BR"/>
        </w:rPr>
        <w:t xml:space="preserve"> </w:t>
      </w:r>
      <w:r w:rsidR="00E03ABF" w:rsidRPr="0038442F">
        <w:rPr>
          <w:rFonts w:ascii="Verdana" w:hAnsi="Verdana"/>
          <w:sz w:val="20"/>
          <w:szCs w:val="20"/>
          <w:lang w:val="pt-BR"/>
        </w:rPr>
        <w:t>Ju</w:t>
      </w:r>
      <w:r w:rsidR="000A5FE6" w:rsidRPr="0038442F">
        <w:rPr>
          <w:rFonts w:ascii="Verdana" w:hAnsi="Verdana"/>
          <w:sz w:val="20"/>
          <w:szCs w:val="20"/>
          <w:lang w:val="pt-BR"/>
        </w:rPr>
        <w:t>i</w:t>
      </w:r>
      <w:r w:rsidR="00E03ABF" w:rsidRPr="0038442F">
        <w:rPr>
          <w:rFonts w:ascii="Verdana" w:hAnsi="Verdana"/>
          <w:sz w:val="20"/>
          <w:szCs w:val="20"/>
          <w:lang w:val="pt-BR"/>
        </w:rPr>
        <w:t>z</w:t>
      </w:r>
      <w:r w:rsidRPr="0038442F">
        <w:rPr>
          <w:rFonts w:ascii="Verdana" w:hAnsi="Verdana"/>
          <w:sz w:val="20"/>
          <w:szCs w:val="20"/>
          <w:lang w:val="pt-BR"/>
        </w:rPr>
        <w:t xml:space="preserve"> </w:t>
      </w:r>
    </w:p>
    <w:p w14:paraId="3F01F732" w14:textId="77777777" w:rsidR="00E03ABF" w:rsidRPr="0038442F" w:rsidRDefault="00E03ABF" w:rsidP="00E03ABF">
      <w:pPr>
        <w:pStyle w:val="Prrafodelista"/>
        <w:widowControl w:val="0"/>
        <w:tabs>
          <w:tab w:val="left" w:pos="0"/>
          <w:tab w:val="left" w:pos="709"/>
        </w:tabs>
        <w:autoSpaceDE w:val="0"/>
        <w:autoSpaceDN w:val="0"/>
        <w:adjustRightInd w:val="0"/>
        <w:spacing w:line="240" w:lineRule="auto"/>
        <w:ind w:left="0"/>
        <w:contextualSpacing w:val="0"/>
        <w:rPr>
          <w:rFonts w:ascii="Verdana" w:hAnsi="Verdana"/>
          <w:sz w:val="20"/>
          <w:szCs w:val="20"/>
          <w:lang w:val="pt-BR"/>
        </w:rPr>
      </w:pPr>
    </w:p>
    <w:p w14:paraId="4974FDA6" w14:textId="77777777" w:rsidR="003A1C1F" w:rsidRPr="0038442F" w:rsidRDefault="003A1C1F" w:rsidP="00E03ABF">
      <w:pPr>
        <w:pStyle w:val="Prrafodelista"/>
        <w:widowControl w:val="0"/>
        <w:tabs>
          <w:tab w:val="left" w:pos="0"/>
          <w:tab w:val="left" w:pos="709"/>
        </w:tabs>
        <w:autoSpaceDE w:val="0"/>
        <w:autoSpaceDN w:val="0"/>
        <w:adjustRightInd w:val="0"/>
        <w:spacing w:line="240" w:lineRule="auto"/>
        <w:ind w:left="0"/>
        <w:contextualSpacing w:val="0"/>
        <w:rPr>
          <w:rFonts w:ascii="Verdana" w:hAnsi="Verdana"/>
          <w:sz w:val="20"/>
          <w:szCs w:val="20"/>
          <w:lang w:val="pt-BR"/>
        </w:rPr>
      </w:pPr>
    </w:p>
    <w:p w14:paraId="2833A3E5" w14:textId="77777777" w:rsidR="003A1C1F" w:rsidRPr="0038442F" w:rsidRDefault="003A1C1F" w:rsidP="00E03ABF">
      <w:pPr>
        <w:pStyle w:val="Prrafodelista"/>
        <w:widowControl w:val="0"/>
        <w:tabs>
          <w:tab w:val="left" w:pos="0"/>
          <w:tab w:val="left" w:pos="709"/>
        </w:tabs>
        <w:autoSpaceDE w:val="0"/>
        <w:autoSpaceDN w:val="0"/>
        <w:adjustRightInd w:val="0"/>
        <w:spacing w:line="240" w:lineRule="auto"/>
        <w:ind w:left="0"/>
        <w:contextualSpacing w:val="0"/>
        <w:rPr>
          <w:rFonts w:ascii="Verdana" w:hAnsi="Verdana"/>
          <w:sz w:val="20"/>
          <w:szCs w:val="20"/>
          <w:lang w:val="pt-BR"/>
        </w:rPr>
      </w:pPr>
    </w:p>
    <w:p w14:paraId="602352D1" w14:textId="77777777" w:rsidR="00E03ABF" w:rsidRPr="0038442F" w:rsidRDefault="00E03ABF" w:rsidP="00E03ABF">
      <w:pPr>
        <w:pStyle w:val="Prrafodelista"/>
        <w:widowControl w:val="0"/>
        <w:tabs>
          <w:tab w:val="left" w:pos="0"/>
          <w:tab w:val="left" w:pos="709"/>
        </w:tabs>
        <w:autoSpaceDE w:val="0"/>
        <w:autoSpaceDN w:val="0"/>
        <w:adjustRightInd w:val="0"/>
        <w:spacing w:after="0" w:line="240" w:lineRule="auto"/>
        <w:ind w:left="0"/>
        <w:contextualSpacing w:val="0"/>
        <w:rPr>
          <w:rFonts w:ascii="Verdana" w:hAnsi="Verdana"/>
          <w:sz w:val="20"/>
          <w:szCs w:val="20"/>
          <w:lang w:val="pt-BR"/>
        </w:rPr>
      </w:pPr>
      <w:r w:rsidRPr="0038442F">
        <w:rPr>
          <w:rFonts w:ascii="Verdana" w:hAnsi="Verdana"/>
          <w:sz w:val="20"/>
          <w:szCs w:val="20"/>
          <w:lang w:val="pt-BR"/>
        </w:rPr>
        <w:t>Pablo Saavedra Alessandri</w:t>
      </w:r>
    </w:p>
    <w:p w14:paraId="462D18D5" w14:textId="1B5FCC20" w:rsidR="002247E5" w:rsidRPr="0038442F" w:rsidRDefault="00407242" w:rsidP="00A857CB">
      <w:pPr>
        <w:tabs>
          <w:tab w:val="left" w:pos="709"/>
        </w:tabs>
        <w:jc w:val="both"/>
        <w:rPr>
          <w:rFonts w:ascii="Verdana" w:hAnsi="Verdana"/>
          <w:sz w:val="20"/>
          <w:szCs w:val="20"/>
          <w:lang w:val="pt-BR"/>
        </w:rPr>
      </w:pPr>
      <w:r w:rsidRPr="0038442F">
        <w:rPr>
          <w:rFonts w:ascii="Verdana" w:hAnsi="Verdana"/>
          <w:sz w:val="20"/>
          <w:szCs w:val="20"/>
          <w:lang w:val="pt-BR"/>
        </w:rPr>
        <w:t xml:space="preserve"> </w:t>
      </w:r>
      <w:r w:rsidR="00E03ABF" w:rsidRPr="0038442F">
        <w:rPr>
          <w:rFonts w:ascii="Verdana" w:hAnsi="Verdana"/>
          <w:sz w:val="20"/>
          <w:szCs w:val="20"/>
          <w:lang w:val="pt-BR"/>
        </w:rPr>
        <w:t>Secret</w:t>
      </w:r>
      <w:r w:rsidR="001D5761" w:rsidRPr="0038442F">
        <w:rPr>
          <w:rFonts w:ascii="Verdana" w:hAnsi="Verdana"/>
          <w:sz w:val="20"/>
          <w:szCs w:val="20"/>
          <w:lang w:val="pt-BR"/>
        </w:rPr>
        <w:t>á</w:t>
      </w:r>
      <w:r w:rsidR="00E03ABF" w:rsidRPr="0038442F">
        <w:rPr>
          <w:rFonts w:ascii="Verdana" w:hAnsi="Verdana"/>
          <w:sz w:val="20"/>
          <w:szCs w:val="20"/>
          <w:lang w:val="pt-BR"/>
        </w:rPr>
        <w:t>rio</w:t>
      </w:r>
    </w:p>
    <w:p w14:paraId="776066E5" w14:textId="77777777" w:rsidR="004F3D03" w:rsidRPr="0038442F" w:rsidRDefault="004F3D03" w:rsidP="00A857CB">
      <w:pPr>
        <w:tabs>
          <w:tab w:val="left" w:pos="709"/>
        </w:tabs>
        <w:jc w:val="both"/>
        <w:rPr>
          <w:rFonts w:ascii="Verdana" w:hAnsi="Verdana"/>
          <w:sz w:val="20"/>
          <w:szCs w:val="20"/>
          <w:lang w:val="pt-BR"/>
        </w:rPr>
      </w:pPr>
    </w:p>
    <w:p w14:paraId="485852BB" w14:textId="77777777" w:rsidR="004F3D03" w:rsidRPr="0038442F" w:rsidRDefault="004F3D03" w:rsidP="00A857CB">
      <w:pPr>
        <w:tabs>
          <w:tab w:val="left" w:pos="709"/>
        </w:tabs>
        <w:jc w:val="both"/>
        <w:rPr>
          <w:rFonts w:ascii="Verdana" w:hAnsi="Verdana"/>
          <w:sz w:val="20"/>
          <w:szCs w:val="20"/>
          <w:lang w:val="pt-BR"/>
        </w:rPr>
      </w:pPr>
    </w:p>
    <w:p w14:paraId="7F6AAD5E" w14:textId="77777777" w:rsidR="004F3D03" w:rsidRPr="0038442F" w:rsidRDefault="004F3D03" w:rsidP="00A857CB">
      <w:pPr>
        <w:tabs>
          <w:tab w:val="left" w:pos="709"/>
        </w:tabs>
        <w:jc w:val="both"/>
        <w:rPr>
          <w:rFonts w:ascii="Verdana" w:hAnsi="Verdana"/>
          <w:sz w:val="20"/>
          <w:szCs w:val="20"/>
          <w:lang w:val="pt-BR"/>
        </w:rPr>
      </w:pPr>
    </w:p>
    <w:p w14:paraId="3A89DC65" w14:textId="77777777" w:rsidR="004F3D03" w:rsidRPr="0038442F" w:rsidRDefault="004F3D03" w:rsidP="00A857CB">
      <w:pPr>
        <w:tabs>
          <w:tab w:val="left" w:pos="709"/>
        </w:tabs>
        <w:jc w:val="both"/>
        <w:rPr>
          <w:rFonts w:ascii="Verdana" w:hAnsi="Verdana"/>
          <w:sz w:val="20"/>
          <w:szCs w:val="20"/>
          <w:lang w:val="pt-BR"/>
        </w:rPr>
      </w:pPr>
    </w:p>
    <w:p w14:paraId="55D8E23C" w14:textId="77777777" w:rsidR="004F3D03" w:rsidRPr="0038442F" w:rsidRDefault="004F3D03" w:rsidP="00A857CB">
      <w:pPr>
        <w:tabs>
          <w:tab w:val="left" w:pos="709"/>
        </w:tabs>
        <w:jc w:val="both"/>
        <w:rPr>
          <w:rFonts w:ascii="Verdana" w:hAnsi="Verdana"/>
          <w:sz w:val="20"/>
          <w:szCs w:val="20"/>
          <w:lang w:val="pt-BR"/>
        </w:rPr>
      </w:pPr>
    </w:p>
    <w:p w14:paraId="7C6C05F0" w14:textId="77777777" w:rsidR="004F3D03" w:rsidRPr="0038442F" w:rsidRDefault="004F3D03" w:rsidP="00A857CB">
      <w:pPr>
        <w:tabs>
          <w:tab w:val="left" w:pos="709"/>
        </w:tabs>
        <w:jc w:val="both"/>
        <w:rPr>
          <w:rFonts w:ascii="Verdana" w:hAnsi="Verdana"/>
          <w:sz w:val="20"/>
          <w:szCs w:val="20"/>
          <w:lang w:val="pt-BR"/>
        </w:rPr>
      </w:pPr>
    </w:p>
    <w:p w14:paraId="572CC8D7" w14:textId="77777777" w:rsidR="004F3D03" w:rsidRPr="0038442F" w:rsidRDefault="004F3D03" w:rsidP="00A857CB">
      <w:pPr>
        <w:tabs>
          <w:tab w:val="left" w:pos="709"/>
        </w:tabs>
        <w:jc w:val="both"/>
        <w:rPr>
          <w:rFonts w:ascii="Verdana" w:hAnsi="Verdana"/>
          <w:sz w:val="20"/>
          <w:szCs w:val="20"/>
          <w:lang w:val="pt-BR"/>
        </w:rPr>
      </w:pPr>
    </w:p>
    <w:p w14:paraId="6C21B54C" w14:textId="77777777" w:rsidR="004F3D03" w:rsidRPr="0038442F" w:rsidRDefault="004F3D03" w:rsidP="00A857CB">
      <w:pPr>
        <w:tabs>
          <w:tab w:val="left" w:pos="709"/>
        </w:tabs>
        <w:jc w:val="both"/>
        <w:rPr>
          <w:rFonts w:ascii="Verdana" w:hAnsi="Verdana"/>
          <w:sz w:val="20"/>
          <w:szCs w:val="20"/>
          <w:lang w:val="pt-BR"/>
        </w:rPr>
      </w:pPr>
    </w:p>
    <w:p w14:paraId="6435129A" w14:textId="77777777" w:rsidR="004F3D03" w:rsidRPr="0038442F" w:rsidRDefault="004F3D03" w:rsidP="00A857CB">
      <w:pPr>
        <w:tabs>
          <w:tab w:val="left" w:pos="709"/>
        </w:tabs>
        <w:jc w:val="both"/>
        <w:rPr>
          <w:rFonts w:ascii="Verdana" w:hAnsi="Verdana"/>
          <w:sz w:val="20"/>
          <w:szCs w:val="20"/>
          <w:lang w:val="pt-BR"/>
        </w:rPr>
      </w:pPr>
    </w:p>
    <w:p w14:paraId="631790A9" w14:textId="77777777" w:rsidR="004F3D03" w:rsidRPr="0038442F" w:rsidRDefault="004F3D03" w:rsidP="00A857CB">
      <w:pPr>
        <w:tabs>
          <w:tab w:val="left" w:pos="709"/>
        </w:tabs>
        <w:jc w:val="both"/>
        <w:rPr>
          <w:rFonts w:ascii="Verdana" w:hAnsi="Verdana"/>
          <w:sz w:val="20"/>
          <w:szCs w:val="20"/>
          <w:lang w:val="pt-BR"/>
        </w:rPr>
      </w:pPr>
    </w:p>
    <w:p w14:paraId="1A1580C2" w14:textId="7E52A6F4" w:rsidR="004F3D03" w:rsidRPr="0038442F" w:rsidRDefault="004F3D03" w:rsidP="00A857CB">
      <w:pPr>
        <w:tabs>
          <w:tab w:val="left" w:pos="709"/>
        </w:tabs>
        <w:jc w:val="both"/>
        <w:rPr>
          <w:rFonts w:ascii="Verdana" w:hAnsi="Verdana"/>
          <w:sz w:val="10"/>
          <w:szCs w:val="20"/>
          <w:lang w:val="pt-BR"/>
        </w:rPr>
      </w:pPr>
      <w:r w:rsidRPr="0038442F">
        <w:rPr>
          <w:rFonts w:ascii="Verdana" w:hAnsi="Verdana"/>
          <w:sz w:val="10"/>
          <w:szCs w:val="20"/>
          <w:lang w:val="pt-BR"/>
        </w:rPr>
        <w:t>.</w:t>
      </w:r>
      <w:r w:rsidR="00975A42" w:rsidRPr="0038442F">
        <w:rPr>
          <w:rFonts w:ascii="Verdana" w:hAnsi="Verdana"/>
          <w:sz w:val="10"/>
          <w:szCs w:val="20"/>
          <w:lang w:val="pt-BR"/>
        </w:rPr>
        <w:t>.</w:t>
      </w:r>
      <w:r w:rsidR="00B22D76" w:rsidRPr="0038442F">
        <w:rPr>
          <w:rFonts w:ascii="Verdana" w:hAnsi="Verdana"/>
          <w:sz w:val="10"/>
          <w:szCs w:val="20"/>
          <w:lang w:val="pt-BR"/>
        </w:rPr>
        <w:t>.</w:t>
      </w:r>
      <w:r w:rsidR="00056008" w:rsidRPr="0038442F">
        <w:rPr>
          <w:rFonts w:ascii="Verdana" w:hAnsi="Verdana"/>
          <w:sz w:val="10"/>
          <w:szCs w:val="20"/>
          <w:lang w:val="pt-BR"/>
        </w:rPr>
        <w:t>.</w:t>
      </w:r>
    </w:p>
    <w:sectPr w:rsidR="004F3D03" w:rsidRPr="0038442F" w:rsidSect="0095494C">
      <w:footerReference w:type="even" r:id="rId8"/>
      <w:footerReference w:type="default" r:id="rId9"/>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0B485" w14:textId="77777777" w:rsidR="00F24579" w:rsidRDefault="00F24579" w:rsidP="00DF2DFE">
      <w:r>
        <w:separator/>
      </w:r>
    </w:p>
  </w:endnote>
  <w:endnote w:type="continuationSeparator" w:id="0">
    <w:p w14:paraId="1D2D7859" w14:textId="77777777" w:rsidR="00F24579" w:rsidRDefault="00F24579" w:rsidP="00DF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uerpo en alfa">
    <w:panose1 w:val="00000000000000000000"/>
    <w:charset w:val="00"/>
    <w:family w:val="roman"/>
    <w:notTrueType/>
    <w:pitch w:val="default"/>
  </w:font>
  <w:font w:name="System Font Regular">
    <w:charset w:val="00"/>
    <w:family w:val="auto"/>
    <w:pitch w:val="variable"/>
    <w:sig w:usb0="2000028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12425293"/>
      <w:docPartObj>
        <w:docPartGallery w:val="Page Numbers (Bottom of Page)"/>
        <w:docPartUnique/>
      </w:docPartObj>
    </w:sdtPr>
    <w:sdtEndPr>
      <w:rPr>
        <w:rStyle w:val="Nmerodepgina"/>
      </w:rPr>
    </w:sdtEndPr>
    <w:sdtContent>
      <w:p w14:paraId="034E8C34" w14:textId="77777777" w:rsidR="00252907" w:rsidRDefault="00252907" w:rsidP="004E261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655AE3" w14:textId="77777777" w:rsidR="00252907" w:rsidRDefault="002529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09059629"/>
      <w:docPartObj>
        <w:docPartGallery w:val="Page Numbers (Bottom of Page)"/>
        <w:docPartUnique/>
      </w:docPartObj>
    </w:sdtPr>
    <w:sdtEndPr>
      <w:rPr>
        <w:rStyle w:val="Nmerodepgina"/>
      </w:rPr>
    </w:sdtEndPr>
    <w:sdtContent>
      <w:p w14:paraId="2E2EE2EB" w14:textId="77777777" w:rsidR="00252907" w:rsidRDefault="00252907" w:rsidP="004E261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30</w:t>
        </w:r>
        <w:r>
          <w:rPr>
            <w:rStyle w:val="Nmerodepgina"/>
          </w:rPr>
          <w:fldChar w:fldCharType="end"/>
        </w:r>
      </w:p>
    </w:sdtContent>
  </w:sdt>
  <w:p w14:paraId="57C41927" w14:textId="77777777" w:rsidR="00252907" w:rsidRDefault="00252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40CC6" w14:textId="77777777" w:rsidR="00F24579" w:rsidRDefault="00F24579" w:rsidP="00DF2DFE">
      <w:r>
        <w:separator/>
      </w:r>
    </w:p>
  </w:footnote>
  <w:footnote w:type="continuationSeparator" w:id="0">
    <w:p w14:paraId="70CA24D9" w14:textId="77777777" w:rsidR="00F24579" w:rsidRDefault="00F24579" w:rsidP="00DF2DFE">
      <w:r>
        <w:continuationSeparator/>
      </w:r>
    </w:p>
  </w:footnote>
  <w:footnote w:id="1">
    <w:p w14:paraId="09338FDC" w14:textId="74ABEC84"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Os </w:t>
      </w:r>
      <w:r w:rsidRPr="0038442F">
        <w:rPr>
          <w:rFonts w:ascii="Verdana" w:hAnsi="Verdana"/>
          <w:i/>
          <w:sz w:val="16"/>
          <w:szCs w:val="16"/>
          <w:lang w:val="pt-BR"/>
        </w:rPr>
        <w:t>amici curiae</w:t>
      </w:r>
      <w:r w:rsidRPr="0038442F">
        <w:rPr>
          <w:rFonts w:ascii="Verdana" w:hAnsi="Verdana"/>
          <w:sz w:val="16"/>
          <w:szCs w:val="16"/>
          <w:lang w:val="pt-BR"/>
        </w:rPr>
        <w:t xml:space="preserve"> foram apresentados: </w:t>
      </w:r>
      <w:r w:rsidRPr="0038442F">
        <w:rPr>
          <w:rStyle w:val="None"/>
          <w:rFonts w:ascii="Verdana" w:hAnsi="Verdana"/>
          <w:sz w:val="16"/>
          <w:szCs w:val="16"/>
          <w:lang w:val="pt-BR"/>
        </w:rPr>
        <w:t>1) pela Iniciativa para os Direitos Econômicos, Sociais, Culturais e Ambientais (iDESCA), do Laboratório de Direitos Humanos e Justiça Global (LabDH), e pelo Instituto Brasileiro de Direitos Humanos (IBDH)</w:t>
      </w:r>
      <w:r w:rsidRPr="0038442F">
        <w:rPr>
          <w:rStyle w:val="None"/>
          <w:rFonts w:ascii="Verdana" w:hAnsi="Verdana"/>
          <w:bCs/>
          <w:sz w:val="16"/>
          <w:szCs w:val="16"/>
          <w:lang w:val="pt-BR"/>
        </w:rPr>
        <w:t>;</w:t>
      </w:r>
      <w:r w:rsidRPr="0038442F">
        <w:rPr>
          <w:rStyle w:val="None"/>
          <w:rFonts w:ascii="Verdana" w:hAnsi="Verdana"/>
          <w:sz w:val="16"/>
          <w:szCs w:val="16"/>
          <w:lang w:val="pt-BR"/>
        </w:rPr>
        <w:t xml:space="preserve"> 2) pelo Ministério Público do Trabalho do Brasil</w:t>
      </w:r>
      <w:r w:rsidRPr="0038442F">
        <w:rPr>
          <w:rFonts w:ascii="Verdana" w:hAnsi="Verdana"/>
          <w:sz w:val="16"/>
          <w:szCs w:val="16"/>
          <w:lang w:val="pt-BR"/>
        </w:rPr>
        <w:t>;</w:t>
      </w:r>
      <w:r w:rsidRPr="0038442F">
        <w:rPr>
          <w:rStyle w:val="None"/>
          <w:rFonts w:ascii="Verdana" w:hAnsi="Verdana"/>
          <w:sz w:val="16"/>
          <w:szCs w:val="16"/>
          <w:lang w:val="pt-BR"/>
        </w:rPr>
        <w:t xml:space="preserve"> 3) pela Clínica de Defesa de Políticas Públicas na América Latina da Universidade de Nova York</w:t>
      </w:r>
      <w:r w:rsidRPr="0038442F">
        <w:rPr>
          <w:rFonts w:ascii="Verdana" w:hAnsi="Verdana"/>
          <w:sz w:val="16"/>
          <w:szCs w:val="16"/>
          <w:lang w:val="pt-BR"/>
        </w:rPr>
        <w:t>;</w:t>
      </w:r>
      <w:r w:rsidRPr="0038442F">
        <w:rPr>
          <w:rStyle w:val="None"/>
          <w:rFonts w:ascii="Verdana" w:hAnsi="Verdana"/>
          <w:sz w:val="16"/>
          <w:szCs w:val="16"/>
          <w:lang w:val="pt-BR"/>
        </w:rPr>
        <w:t xml:space="preserve"> 4) pela Clínica de Direitos Humanos da Universidade Federal da Bahia; 5) pela Clínica de Direitos Humanos da Escola de Direito do Instituto </w:t>
      </w:r>
      <w:r w:rsidRPr="00B546D2">
        <w:rPr>
          <w:rStyle w:val="None"/>
          <w:rFonts w:ascii="Verdana" w:hAnsi="Verdana"/>
          <w:sz w:val="16"/>
          <w:szCs w:val="16"/>
          <w:lang w:val="pt-BR"/>
        </w:rPr>
        <w:t xml:space="preserve">Brasiliense </w:t>
      </w:r>
      <w:r w:rsidRPr="0038442F">
        <w:rPr>
          <w:rStyle w:val="None"/>
          <w:rFonts w:ascii="Verdana" w:hAnsi="Verdana"/>
          <w:sz w:val="16"/>
          <w:szCs w:val="16"/>
          <w:lang w:val="pt-BR"/>
        </w:rPr>
        <w:t>de Direito Público (CDH-IDP); 6) pela Clínica de Direitos Humanos e Direito Ambiental da Universidade do Estado do Amazonas; e 7) por alunos do Mestrado em Direito Internacional da Universidade de La Sabana</w:t>
      </w:r>
      <w:r w:rsidRPr="0038442F">
        <w:rPr>
          <w:rStyle w:val="None"/>
          <w:rFonts w:ascii="Verdana" w:hAnsi="Verdana"/>
          <w:bCs/>
          <w:sz w:val="16"/>
          <w:szCs w:val="16"/>
          <w:lang w:val="pt-BR"/>
        </w:rPr>
        <w:t>.</w:t>
      </w:r>
    </w:p>
  </w:footnote>
  <w:footnote w:id="2">
    <w:p w14:paraId="1A22A18C" w14:textId="570E2703"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 xml:space="preserve">Caso Empregados da Fábrica de Fogos de Santo Antônio de Jesus e seus familiares Vs. Brasil. Exceções Preliminares, Mérito, Reparações e Custas. </w:t>
      </w:r>
      <w:r w:rsidRPr="0038442F">
        <w:rPr>
          <w:rFonts w:ascii="Verdana" w:hAnsi="Verdana"/>
          <w:bCs/>
          <w:sz w:val="16"/>
          <w:szCs w:val="16"/>
          <w:lang w:val="pt-BR"/>
        </w:rPr>
        <w:t>Sentença de 15 de julho de 2020. Série C N</w:t>
      </w:r>
      <w:r w:rsidRPr="0038442F">
        <w:rPr>
          <w:rFonts w:ascii="Verdana" w:hAnsi="Verdana"/>
          <w:bCs/>
          <w:sz w:val="16"/>
          <w:szCs w:val="16"/>
          <w:vertAlign w:val="superscript"/>
          <w:lang w:val="pt-BR"/>
        </w:rPr>
        <w:t>o.</w:t>
      </w:r>
      <w:r w:rsidRPr="0038442F">
        <w:rPr>
          <w:rFonts w:ascii="Verdana" w:hAnsi="Verdana"/>
          <w:bCs/>
          <w:sz w:val="16"/>
          <w:szCs w:val="16"/>
          <w:lang w:val="pt-BR"/>
        </w:rPr>
        <w:t xml:space="preserve"> 407, par. 189. </w:t>
      </w:r>
    </w:p>
  </w:footnote>
  <w:footnote w:id="3">
    <w:p w14:paraId="3D9C3B4C" w14:textId="54FB953A"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As vítimas no presente caso “compartilham fatores específicos de discriminação que atingem as pessoas em situação de pobreza, as mulheres e os afrodescendentes, mas, ademais, enfrentam uma forma específica de discriminação por conta da confluência de todos esses fatores e, em alguns casos, por estar grávidas, por ser meninas ou por ser meninas e estar grávidas”. </w:t>
      </w:r>
      <w:r w:rsidRPr="0038442F">
        <w:rPr>
          <w:rFonts w:ascii="Verdana" w:hAnsi="Verdana"/>
          <w:i/>
          <w:sz w:val="16"/>
          <w:szCs w:val="16"/>
          <w:lang w:val="pt-BR"/>
        </w:rPr>
        <w:t xml:space="preserve">Cf. </w:t>
      </w:r>
      <w:r w:rsidRPr="0038442F">
        <w:rPr>
          <w:rFonts w:ascii="Verdana" w:hAnsi="Verdana"/>
          <w:bCs/>
          <w:i/>
          <w:iCs/>
          <w:sz w:val="16"/>
          <w:szCs w:val="16"/>
          <w:lang w:val="pt-BR"/>
        </w:rPr>
        <w:t xml:space="preserve">Caso Empregados da Fábrica de Fogos de Santo Antônio de Jesus e seus familiares Vs. Brasil, supra, </w:t>
      </w:r>
      <w:r w:rsidRPr="0038442F">
        <w:rPr>
          <w:rFonts w:ascii="Verdana" w:hAnsi="Verdana"/>
          <w:bCs/>
          <w:sz w:val="16"/>
          <w:szCs w:val="16"/>
          <w:lang w:val="pt-BR"/>
        </w:rPr>
        <w:t xml:space="preserve">par. 191. </w:t>
      </w:r>
    </w:p>
  </w:footnote>
  <w:footnote w:id="4">
    <w:p w14:paraId="2D9B985E" w14:textId="5298A491"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bCs/>
          <w:i/>
          <w:iCs/>
          <w:sz w:val="16"/>
          <w:szCs w:val="16"/>
          <w:lang w:val="pt-BR"/>
        </w:rPr>
        <w:t xml:space="preserve">Caso Empregados da Fábrica de Fogos de Santo Antônio de Jesus e seus familiares Vs. Brasil, supra, </w:t>
      </w:r>
      <w:r w:rsidRPr="0038442F">
        <w:rPr>
          <w:rFonts w:ascii="Verdana" w:hAnsi="Verdana"/>
          <w:bCs/>
          <w:sz w:val="16"/>
          <w:szCs w:val="16"/>
          <w:lang w:val="pt-BR"/>
        </w:rPr>
        <w:t xml:space="preserve">par. 199. </w:t>
      </w:r>
    </w:p>
  </w:footnote>
  <w:footnote w:id="5">
    <w:p w14:paraId="45312C1C" w14:textId="15F01CF5" w:rsidR="00252907" w:rsidRPr="0038442F" w:rsidRDefault="00252907" w:rsidP="000777E8">
      <w:pPr>
        <w:snapToGrid w:val="0"/>
        <w:jc w:val="both"/>
        <w:rPr>
          <w:rFonts w:ascii="Verdana" w:hAnsi="Verdana" w:cstheme="minorHAnsi"/>
          <w:sz w:val="16"/>
          <w:szCs w:val="16"/>
          <w:lang w:val="pt-BR"/>
        </w:rPr>
      </w:pPr>
      <w:r w:rsidRPr="0038442F">
        <w:rPr>
          <w:rStyle w:val="Refdenotaalpie"/>
          <w:rFonts w:ascii="Verdana" w:eastAsiaTheme="majorEastAsia" w:hAnsi="Verdana" w:cstheme="minorHAnsi"/>
          <w:sz w:val="16"/>
          <w:szCs w:val="16"/>
          <w:lang w:val="pt-BR"/>
        </w:rPr>
        <w:footnoteRef/>
      </w:r>
      <w:r w:rsidRPr="0038442F">
        <w:rPr>
          <w:rFonts w:ascii="Verdana" w:hAnsi="Verdana" w:cstheme="minorHAnsi"/>
          <w:sz w:val="16"/>
          <w:szCs w:val="16"/>
          <w:lang w:val="pt-BR"/>
        </w:rPr>
        <w:t xml:space="preserve"> </w:t>
      </w:r>
      <w:r w:rsidRPr="0038442F">
        <w:rPr>
          <w:rFonts w:ascii="Verdana" w:hAnsi="Verdana" w:cstheme="minorHAnsi"/>
          <w:sz w:val="16"/>
          <w:szCs w:val="16"/>
          <w:lang w:val="pt-BR"/>
        </w:rPr>
        <w:tab/>
      </w:r>
      <w:r w:rsidRPr="0038442F">
        <w:rPr>
          <w:rFonts w:ascii="Verdana" w:hAnsi="Verdana" w:cstheme="minorHAnsi"/>
          <w:i/>
          <w:sz w:val="16"/>
          <w:szCs w:val="16"/>
          <w:lang w:val="pt-BR"/>
        </w:rPr>
        <w:t xml:space="preserve">Cf. </w:t>
      </w:r>
      <w:r w:rsidRPr="0038442F">
        <w:rPr>
          <w:rFonts w:ascii="Verdana" w:hAnsi="Verdana" w:cs="Arial"/>
          <w:i/>
          <w:iCs/>
          <w:sz w:val="16"/>
          <w:szCs w:val="16"/>
          <w:shd w:val="clear" w:color="auto" w:fill="FFFFFF"/>
          <w:lang w:val="pt-BR"/>
        </w:rPr>
        <w:t>Caso do Massacre de Pueblo Bello Vs. Colômbia</w:t>
      </w:r>
      <w:r w:rsidRPr="0038442F">
        <w:rPr>
          <w:rFonts w:ascii="Verdana" w:hAnsi="Verdana" w:cs="Arial"/>
          <w:sz w:val="16"/>
          <w:szCs w:val="16"/>
          <w:shd w:val="clear" w:color="auto" w:fill="FFFFFF"/>
          <w:lang w:val="pt-BR"/>
        </w:rPr>
        <w:t>. Sentença de 31 de janeiro de 2006.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140,</w:t>
      </w:r>
      <w:r w:rsidRPr="0038442F">
        <w:rPr>
          <w:rStyle w:val="apple-converted-space"/>
          <w:rFonts w:ascii="Verdana" w:hAnsi="Verdana" w:cs="Arial"/>
          <w:sz w:val="16"/>
          <w:szCs w:val="16"/>
          <w:shd w:val="clear" w:color="auto" w:fill="FFFFFF"/>
          <w:lang w:val="pt-BR"/>
        </w:rPr>
        <w:t> </w:t>
      </w:r>
      <w:r w:rsidRPr="0038442F">
        <w:rPr>
          <w:rFonts w:ascii="Verdana" w:hAnsi="Verdana" w:cstheme="minorHAnsi"/>
          <w:sz w:val="16"/>
          <w:szCs w:val="16"/>
          <w:lang w:val="pt-BR"/>
        </w:rPr>
        <w:t xml:space="preserve">par. 123; e </w:t>
      </w:r>
      <w:r w:rsidRPr="0038442F">
        <w:rPr>
          <w:rFonts w:ascii="Verdana" w:hAnsi="Verdana" w:cstheme="minorHAnsi"/>
          <w:i/>
          <w:iCs/>
          <w:sz w:val="16"/>
          <w:szCs w:val="16"/>
          <w:lang w:val="pt-BR"/>
        </w:rPr>
        <w:t>Caso Gómez Virula e outros Vs. Guatemala. Exceção Preliminar, Mérito, Reparações e Custas</w:t>
      </w:r>
      <w:r w:rsidRPr="0038442F">
        <w:rPr>
          <w:rFonts w:ascii="Verdana" w:hAnsi="Verdana" w:cstheme="minorHAnsi"/>
          <w:sz w:val="16"/>
          <w:szCs w:val="16"/>
          <w:lang w:val="pt-BR"/>
        </w:rPr>
        <w:t>. Sentença de 21 de novembro de 2019. Série C N</w:t>
      </w:r>
      <w:r w:rsidRPr="0038442F">
        <w:rPr>
          <w:rFonts w:ascii="Verdana" w:hAnsi="Verdana" w:cstheme="minorHAnsi"/>
          <w:sz w:val="16"/>
          <w:szCs w:val="16"/>
          <w:vertAlign w:val="superscript"/>
          <w:lang w:val="pt-BR"/>
        </w:rPr>
        <w:t>o.</w:t>
      </w:r>
      <w:r w:rsidRPr="0038442F">
        <w:rPr>
          <w:rFonts w:ascii="Verdana" w:hAnsi="Verdana" w:cstheme="minorHAnsi"/>
          <w:sz w:val="16"/>
          <w:szCs w:val="16"/>
          <w:lang w:val="pt-BR"/>
        </w:rPr>
        <w:t xml:space="preserve"> 393, par. 56.</w:t>
      </w:r>
    </w:p>
  </w:footnote>
  <w:footnote w:id="6">
    <w:p w14:paraId="0A75FF79" w14:textId="56BF6612"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Style w:val="Textoennegrita"/>
          <w:rFonts w:ascii="Verdana" w:hAnsi="Verdana"/>
          <w:b w:val="0"/>
          <w:bCs w:val="0"/>
          <w:i/>
          <w:iCs/>
          <w:sz w:val="16"/>
          <w:szCs w:val="16"/>
          <w:shd w:val="clear" w:color="auto" w:fill="FFFFFF"/>
          <w:lang w:val="pt-BR"/>
        </w:rPr>
        <w:t>Caso Ximenes Lopes Vs. Brasil.</w:t>
      </w:r>
      <w:r w:rsidRPr="0038442F">
        <w:rPr>
          <w:rStyle w:val="Textoennegrita"/>
          <w:rFonts w:ascii="Verdana" w:hAnsi="Verdana"/>
          <w:b w:val="0"/>
          <w:bCs w:val="0"/>
          <w:sz w:val="16"/>
          <w:szCs w:val="16"/>
          <w:shd w:val="clear" w:color="auto" w:fill="FFFFFF"/>
          <w:lang w:val="pt-BR"/>
        </w:rPr>
        <w:t xml:space="preserve"> Sentença de 4 de julho de 2006. Série C N</w:t>
      </w:r>
      <w:r w:rsidRPr="0038442F">
        <w:rPr>
          <w:rStyle w:val="Textoennegrita"/>
          <w:rFonts w:ascii="Verdana" w:hAnsi="Verdana"/>
          <w:b w:val="0"/>
          <w:bCs w:val="0"/>
          <w:sz w:val="16"/>
          <w:szCs w:val="16"/>
          <w:shd w:val="clear" w:color="auto" w:fill="FFFFFF"/>
          <w:vertAlign w:val="superscript"/>
          <w:lang w:val="pt-BR"/>
        </w:rPr>
        <w:t>o.</w:t>
      </w:r>
      <w:r w:rsidRPr="0038442F">
        <w:rPr>
          <w:rStyle w:val="Textoennegrita"/>
          <w:rFonts w:ascii="Verdana" w:hAnsi="Verdana"/>
          <w:b w:val="0"/>
          <w:bCs w:val="0"/>
          <w:sz w:val="16"/>
          <w:szCs w:val="16"/>
          <w:shd w:val="clear" w:color="auto" w:fill="FFFFFF"/>
          <w:lang w:val="pt-BR"/>
        </w:rPr>
        <w:t xml:space="preserve"> 149, par. 99 e 125;</w:t>
      </w:r>
      <w:r w:rsidRPr="0038442F">
        <w:rPr>
          <w:rFonts w:ascii="Verdana" w:hAnsi="Verdana"/>
          <w:sz w:val="16"/>
          <w:szCs w:val="16"/>
          <w:lang w:val="pt-BR"/>
        </w:rPr>
        <w:t xml:space="preserve"> e </w:t>
      </w:r>
      <w:r w:rsidRPr="0038442F">
        <w:rPr>
          <w:rFonts w:ascii="Verdana" w:hAnsi="Verdana"/>
          <w:i/>
          <w:iCs/>
          <w:sz w:val="16"/>
          <w:szCs w:val="16"/>
          <w:lang w:val="pt-BR"/>
        </w:rPr>
        <w:t>Caso Gonzales Lluy e outros Vs. Equador. Exceções Preliminares, Mérito, Reparações e Custas.</w:t>
      </w:r>
      <w:r w:rsidRPr="0038442F">
        <w:rPr>
          <w:rFonts w:ascii="Verdana" w:hAnsi="Verdana"/>
          <w:sz w:val="16"/>
          <w:szCs w:val="16"/>
          <w:lang w:val="pt-BR"/>
        </w:rPr>
        <w:t xml:space="preserve"> Sentença de 1</w:t>
      </w:r>
      <w:r w:rsidRPr="0038442F">
        <w:rPr>
          <w:rFonts w:ascii="Verdana" w:hAnsi="Verdana"/>
          <w:sz w:val="16"/>
          <w:szCs w:val="16"/>
          <w:vertAlign w:val="superscript"/>
          <w:lang w:val="pt-BR"/>
        </w:rPr>
        <w:t>o</w:t>
      </w:r>
      <w:r w:rsidRPr="0038442F">
        <w:rPr>
          <w:rFonts w:ascii="Verdana" w:hAnsi="Verdana"/>
          <w:sz w:val="16"/>
          <w:szCs w:val="16"/>
          <w:lang w:val="pt-BR"/>
        </w:rPr>
        <w:t xml:space="preserve"> de setembro de 2015.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298, par. 170.</w:t>
      </w:r>
    </w:p>
  </w:footnote>
  <w:footnote w:id="7">
    <w:p w14:paraId="6BD67B81" w14:textId="764789E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Fonts w:ascii="Verdana" w:hAnsi="Verdana"/>
          <w:i/>
          <w:iCs/>
          <w:sz w:val="16"/>
          <w:szCs w:val="16"/>
          <w:lang w:val="pt-BR"/>
        </w:rPr>
        <w:t>Caso Velásquez Rodríguez</w:t>
      </w:r>
      <w:r w:rsidRPr="0038442F">
        <w:rPr>
          <w:rFonts w:ascii="Verdana" w:eastAsia="Calibri" w:hAnsi="Verdana"/>
          <w:i/>
          <w:iCs/>
          <w:sz w:val="16"/>
          <w:szCs w:val="16"/>
          <w:lang w:val="pt-BR"/>
        </w:rPr>
        <w:t xml:space="preserve"> </w:t>
      </w:r>
      <w:r w:rsidRPr="0038442F">
        <w:rPr>
          <w:rFonts w:ascii="Verdana" w:hAnsi="Verdana"/>
          <w:i/>
          <w:iCs/>
          <w:sz w:val="16"/>
          <w:szCs w:val="16"/>
          <w:lang w:val="pt-BR"/>
        </w:rPr>
        <w:t xml:space="preserve">Vs. Honduras. Mérito. Sentença </w:t>
      </w:r>
      <w:r w:rsidRPr="0038442F">
        <w:rPr>
          <w:rFonts w:ascii="Verdana" w:hAnsi="Verdana" w:cs="Arial"/>
          <w:sz w:val="16"/>
          <w:szCs w:val="16"/>
          <w:shd w:val="clear" w:color="auto" w:fill="FFFFFF"/>
          <w:lang w:val="pt-BR"/>
        </w:rPr>
        <w:t>de 29 de julho de 1988.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4.</w:t>
      </w:r>
      <w:r w:rsidRPr="0038442F">
        <w:rPr>
          <w:rStyle w:val="apple-converted-space"/>
          <w:rFonts w:ascii="Verdana" w:hAnsi="Verdana" w:cs="Arial"/>
          <w:sz w:val="16"/>
          <w:szCs w:val="16"/>
          <w:shd w:val="clear" w:color="auto" w:fill="FFFFFF"/>
          <w:lang w:val="pt-BR"/>
        </w:rPr>
        <w:t> </w:t>
      </w:r>
      <w:r w:rsidRPr="0038442F">
        <w:rPr>
          <w:rFonts w:ascii="Verdana" w:hAnsi="Verdana"/>
          <w:sz w:val="16"/>
          <w:szCs w:val="16"/>
          <w:lang w:val="pt-BR"/>
        </w:rPr>
        <w:t>par. 164; e Caso Díaz Loreto e outros Vs. Venezuela. Exceções Preliminares, Mérito, Reparações e Custas. Sentença de 19 de novembro de 2019.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392, par. 69.</w:t>
      </w:r>
    </w:p>
  </w:footnote>
  <w:footnote w:id="8">
    <w:p w14:paraId="1E4CE6B2" w14:textId="151C27DB" w:rsidR="00252907" w:rsidRPr="0038442F" w:rsidRDefault="00252907" w:rsidP="000777E8">
      <w:pPr>
        <w:snapToGrid w:val="0"/>
        <w:jc w:val="both"/>
        <w:rPr>
          <w:rFonts w:ascii="Verdana" w:hAnsi="Verdana"/>
          <w:sz w:val="16"/>
          <w:szCs w:val="16"/>
          <w:lang w:val="pt-BR"/>
        </w:rPr>
      </w:pPr>
      <w:r w:rsidRPr="0038442F">
        <w:rPr>
          <w:rStyle w:val="Refdenotaalpie"/>
          <w:rFonts w:ascii="Verdana" w:eastAsiaTheme="majorEastAsi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Fonts w:ascii="Verdana" w:hAnsi="Verdana"/>
          <w:i/>
          <w:iCs/>
          <w:sz w:val="16"/>
          <w:szCs w:val="16"/>
          <w:lang w:val="pt-BR"/>
        </w:rPr>
        <w:t>Caso</w:t>
      </w:r>
      <w:r w:rsidRPr="0038442F">
        <w:rPr>
          <w:rStyle w:val="Textoennegrita"/>
          <w:rFonts w:ascii="Verdana" w:hAnsi="Verdana"/>
          <w:b w:val="0"/>
          <w:bCs w:val="0"/>
          <w:i/>
          <w:iCs/>
          <w:sz w:val="16"/>
          <w:szCs w:val="16"/>
          <w:shd w:val="clear" w:color="auto" w:fill="FFFFFF"/>
          <w:lang w:val="pt-BR"/>
        </w:rPr>
        <w:t xml:space="preserve"> V</w:t>
      </w:r>
      <w:r w:rsidRPr="0038442F">
        <w:rPr>
          <w:rStyle w:val="Textoennegrita"/>
          <w:rFonts w:ascii="Verdana" w:hAnsi="Verdana"/>
          <w:b w:val="0"/>
          <w:bCs w:val="0"/>
          <w:i/>
          <w:sz w:val="16"/>
          <w:szCs w:val="16"/>
          <w:shd w:val="clear" w:color="auto" w:fill="FFFFFF"/>
          <w:lang w:val="pt-BR"/>
        </w:rPr>
        <w:t xml:space="preserve">elásquez Rodríguez Vs. Honduras. Mérito, supra, </w:t>
      </w:r>
      <w:r w:rsidRPr="0038442F">
        <w:rPr>
          <w:rFonts w:ascii="Verdana" w:hAnsi="Verdana"/>
          <w:sz w:val="16"/>
          <w:szCs w:val="16"/>
          <w:lang w:val="pt-BR"/>
        </w:rPr>
        <w:t xml:space="preserve">par. 165 e 166; e Caso </w:t>
      </w:r>
      <w:r w:rsidRPr="0038442F">
        <w:rPr>
          <w:rFonts w:ascii="Verdana" w:hAnsi="Verdana" w:cs="Arial"/>
          <w:i/>
          <w:iCs/>
          <w:sz w:val="16"/>
          <w:szCs w:val="16"/>
          <w:shd w:val="clear" w:color="auto" w:fill="FFFFFF"/>
          <w:lang w:val="pt-BR"/>
        </w:rPr>
        <w:t>Noguera e outra Vs. Paraguai. Mérito, Reparações e Custas</w:t>
      </w:r>
      <w:r w:rsidRPr="0038442F">
        <w:rPr>
          <w:rFonts w:ascii="Verdana" w:hAnsi="Verdana" w:cs="Arial"/>
          <w:sz w:val="16"/>
          <w:szCs w:val="16"/>
          <w:shd w:val="clear" w:color="auto" w:fill="FFFFFF"/>
          <w:lang w:val="pt-BR"/>
        </w:rPr>
        <w:t>. Sentença de 9 de março de 2020.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401</w:t>
      </w:r>
      <w:r w:rsidRPr="0038442F">
        <w:rPr>
          <w:rFonts w:ascii="Verdana" w:hAnsi="Verdana"/>
          <w:sz w:val="16"/>
          <w:szCs w:val="16"/>
          <w:lang w:val="pt-BR"/>
        </w:rPr>
        <w:t xml:space="preserve">, par. 65. </w:t>
      </w:r>
    </w:p>
  </w:footnote>
  <w:footnote w:id="9">
    <w:p w14:paraId="073B049F" w14:textId="711DFED3" w:rsidR="00252907" w:rsidRPr="0038442F" w:rsidRDefault="00252907" w:rsidP="000777E8">
      <w:pPr>
        <w:snapToGrid w:val="0"/>
        <w:jc w:val="both"/>
        <w:rPr>
          <w:rFonts w:ascii="Verdana" w:hAnsi="Verdana"/>
          <w:sz w:val="16"/>
          <w:szCs w:val="16"/>
          <w:lang w:val="pt-BR"/>
        </w:rPr>
      </w:pPr>
      <w:r w:rsidRPr="0038442F">
        <w:rPr>
          <w:rStyle w:val="Refdenotaalpie"/>
          <w:rFonts w:ascii="Verdana" w:eastAsiaTheme="majorEastAsi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Fonts w:ascii="Verdana" w:hAnsi="Verdana"/>
          <w:i/>
          <w:iCs/>
          <w:sz w:val="16"/>
          <w:szCs w:val="16"/>
          <w:lang w:val="pt-BR"/>
        </w:rPr>
        <w:t>Caso do Massacre de Pueblo Bello Vs. Colômbia, supra</w:t>
      </w:r>
      <w:r w:rsidRPr="0038442F">
        <w:rPr>
          <w:rFonts w:ascii="Verdana" w:hAnsi="Verdana"/>
          <w:sz w:val="16"/>
          <w:szCs w:val="16"/>
          <w:lang w:val="pt-BR"/>
        </w:rPr>
        <w:t xml:space="preserve">, par. 111; e Caso </w:t>
      </w:r>
      <w:r w:rsidRPr="0038442F">
        <w:rPr>
          <w:rFonts w:ascii="Verdana" w:hAnsi="Verdana" w:cs="Arial"/>
          <w:i/>
          <w:iCs/>
          <w:sz w:val="16"/>
          <w:szCs w:val="16"/>
          <w:shd w:val="clear" w:color="auto" w:fill="FFFFFF"/>
          <w:lang w:val="pt-BR"/>
        </w:rPr>
        <w:t>Vereda La Esperanza Vs. Colômbia. Exceções Preliminares, Mérito, Reparações e Custas</w:t>
      </w:r>
      <w:r w:rsidRPr="0038442F">
        <w:rPr>
          <w:rFonts w:ascii="Verdana" w:hAnsi="Verdana" w:cs="Arial"/>
          <w:sz w:val="16"/>
          <w:szCs w:val="16"/>
          <w:shd w:val="clear" w:color="auto" w:fill="FFFFFF"/>
          <w:lang w:val="pt-BR"/>
        </w:rPr>
        <w:t>. Sentença de 31 de agosto de 2017.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341, </w:t>
      </w:r>
      <w:r w:rsidRPr="0038442F">
        <w:rPr>
          <w:rFonts w:ascii="Verdana" w:hAnsi="Verdana"/>
          <w:sz w:val="16"/>
          <w:szCs w:val="16"/>
          <w:lang w:val="pt-BR"/>
        </w:rPr>
        <w:t>par. 82.</w:t>
      </w:r>
    </w:p>
  </w:footnote>
  <w:footnote w:id="10">
    <w:p w14:paraId="7E2D05F3" w14:textId="44EE27FE"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 xml:space="preserve">Caso Empregados da Fábrica de Fogos de Santo Antônio de Jesus e seus familiares Vs. Brasil, supra, </w:t>
      </w:r>
      <w:r w:rsidRPr="0038442F">
        <w:rPr>
          <w:rFonts w:ascii="Verdana" w:hAnsi="Verdana"/>
          <w:bCs/>
          <w:sz w:val="16"/>
          <w:szCs w:val="16"/>
          <w:lang w:val="pt-BR"/>
        </w:rPr>
        <w:t xml:space="preserve">par. </w:t>
      </w:r>
      <w:r w:rsidRPr="0038442F">
        <w:rPr>
          <w:rFonts w:ascii="Verdana" w:hAnsi="Verdana"/>
          <w:sz w:val="16"/>
          <w:szCs w:val="16"/>
          <w:lang w:val="pt-BR"/>
        </w:rPr>
        <w:t xml:space="preserve">139. </w:t>
      </w:r>
    </w:p>
  </w:footnote>
  <w:footnote w:id="11">
    <w:p w14:paraId="204A3257" w14:textId="7F81028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 xml:space="preserve">Caso Empregados da Fábrica de Fogos de Santo Antônio de Jesus e seus familiares Vs. Brasil, supra, </w:t>
      </w:r>
      <w:r w:rsidRPr="0038442F">
        <w:rPr>
          <w:rFonts w:ascii="Verdana" w:hAnsi="Verdana"/>
          <w:bCs/>
          <w:sz w:val="16"/>
          <w:szCs w:val="16"/>
          <w:lang w:val="pt-BR"/>
        </w:rPr>
        <w:t xml:space="preserve">par. </w:t>
      </w:r>
      <w:r w:rsidRPr="0038442F">
        <w:rPr>
          <w:rFonts w:ascii="Verdana" w:hAnsi="Verdana"/>
          <w:sz w:val="16"/>
          <w:szCs w:val="16"/>
          <w:lang w:val="pt-BR"/>
        </w:rPr>
        <w:t>138 e 203.</w:t>
      </w:r>
    </w:p>
  </w:footnote>
  <w:footnote w:id="12">
    <w:p w14:paraId="5979FF35" w14:textId="134AEB48"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Quanto ao direito à vida e à integridade pessoal, e aos direitos das crianças, a Corte IDH estabeleceu a responsabilidade internacional pelas “omissões” constatadas. No caso do direito às condições de trabalho equitativas e satisfatórias, a responsabilidade internacional foi determinada pela ocorrência dos fatos, sem que o Estado “exercesse”, “ou empreendesse alguma ação”. Sobre a violação da proibição do trabalho infantil, a Corte IDH ressaltou que a responsabilidade internacional teve início “ao não adotar as medidas”. </w:t>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w:t>
      </w:r>
      <w:r w:rsidRPr="0038442F">
        <w:rPr>
          <w:rFonts w:ascii="Verdana" w:hAnsi="Verdana"/>
          <w:sz w:val="16"/>
          <w:szCs w:val="16"/>
          <w:lang w:val="pt-BR"/>
        </w:rPr>
        <w:t xml:space="preserve">par. 150, 175, 176 e 181. </w:t>
      </w:r>
    </w:p>
  </w:footnote>
  <w:footnote w:id="13">
    <w:p w14:paraId="384078A9" w14:textId="1CC451A7"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Style w:val="apple-converted-space"/>
          <w:rFonts w:ascii="Verdana" w:hAnsi="Verdana" w:cs="Arial"/>
          <w:i/>
          <w:iCs/>
          <w:sz w:val="16"/>
          <w:szCs w:val="16"/>
          <w:shd w:val="clear" w:color="auto" w:fill="FFFFFF"/>
          <w:lang w:val="pt-BR"/>
        </w:rPr>
        <w:t xml:space="preserve">Cf. </w:t>
      </w:r>
      <w:r w:rsidRPr="0038442F">
        <w:rPr>
          <w:rFonts w:ascii="Verdana" w:hAnsi="Verdana" w:cs="Arial"/>
          <w:i/>
          <w:iCs/>
          <w:sz w:val="16"/>
          <w:szCs w:val="16"/>
          <w:shd w:val="clear" w:color="auto" w:fill="FFFFFF"/>
          <w:lang w:val="pt-BR"/>
        </w:rPr>
        <w:t>Caso Povos Kaliña e Lokono Vs. Suriname. Mérito, Reparações e Custas</w:t>
      </w:r>
      <w:r w:rsidRPr="0038442F">
        <w:rPr>
          <w:rFonts w:ascii="Verdana" w:hAnsi="Verdana" w:cs="Arial"/>
          <w:sz w:val="16"/>
          <w:szCs w:val="16"/>
          <w:shd w:val="clear" w:color="auto" w:fill="FFFFFF"/>
          <w:lang w:val="pt-BR"/>
        </w:rPr>
        <w:t>. Sentença de 25 de novembro de 2015.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309, par. 224. </w:t>
      </w:r>
      <w:r w:rsidRPr="0038442F">
        <w:rPr>
          <w:rFonts w:ascii="Verdana" w:hAnsi="Verdana"/>
          <w:i/>
          <w:sz w:val="16"/>
          <w:szCs w:val="16"/>
          <w:lang w:val="pt-BR"/>
        </w:rPr>
        <w:t xml:space="preserve">Cf. </w:t>
      </w:r>
      <w:r w:rsidRPr="0038442F">
        <w:rPr>
          <w:rFonts w:ascii="Verdana" w:hAnsi="Verdana"/>
          <w:sz w:val="16"/>
          <w:szCs w:val="16"/>
          <w:lang w:val="pt-BR"/>
        </w:rPr>
        <w:t>ONU, Princípios Orientadores sobre Empresas e Direitos Humanos: implementação no âmbito das Nações Unidas para “proteger, respeitar e remediar”. Relatório do Representante Especial do Secretário-Geral para a Questão dos Direitos Humanos e das Empresas Transnacionais e Outras Empresas, John Ruggie. Apresentado no 17</w:t>
      </w:r>
      <w:r w:rsidRPr="0038442F">
        <w:rPr>
          <w:rFonts w:ascii="Verdana" w:hAnsi="Verdana"/>
          <w:sz w:val="16"/>
          <w:szCs w:val="16"/>
          <w:vertAlign w:val="superscript"/>
          <w:lang w:val="pt-BR"/>
        </w:rPr>
        <w:t>o</w:t>
      </w:r>
      <w:r w:rsidRPr="0038442F">
        <w:rPr>
          <w:rFonts w:ascii="Verdana" w:hAnsi="Verdana"/>
          <w:sz w:val="16"/>
          <w:szCs w:val="16"/>
          <w:lang w:val="pt-BR"/>
        </w:rPr>
        <w:t xml:space="preserve"> Período de Sessões do Conselho de Direitos Humanos das Nações Unidas, A/HRC/17/31, 21 de março de 2011. O Conselho de Direitos Humanos avaliou esses princípios e criou um comitê para promover sua implementação. </w:t>
      </w:r>
      <w:r w:rsidRPr="0038442F">
        <w:rPr>
          <w:rFonts w:ascii="Verdana" w:hAnsi="Verdana"/>
          <w:i/>
          <w:sz w:val="16"/>
          <w:szCs w:val="16"/>
          <w:lang w:val="pt-BR"/>
        </w:rPr>
        <w:t xml:space="preserve">Cf. </w:t>
      </w:r>
      <w:r w:rsidRPr="0038442F">
        <w:rPr>
          <w:rFonts w:ascii="Verdana" w:hAnsi="Verdana"/>
          <w:sz w:val="16"/>
          <w:szCs w:val="16"/>
          <w:lang w:val="pt-BR"/>
        </w:rPr>
        <w:t xml:space="preserve">Conselho de Direitos Humanos, Resolução 17/4, UN Doc. A/HRC/17/4, 6 de julho de 2011. Ver também </w:t>
      </w:r>
      <w:r w:rsidRPr="0038442F">
        <w:rPr>
          <w:rFonts w:ascii="Verdana" w:hAnsi="Verdana"/>
          <w:i/>
          <w:sz w:val="16"/>
          <w:szCs w:val="16"/>
          <w:lang w:val="pt-BR"/>
        </w:rPr>
        <w:t>A Responsabilidade das Empresas de Respeitar os Direitos Humanos: Guia para a interpretação</w:t>
      </w:r>
      <w:r w:rsidRPr="0038442F">
        <w:rPr>
          <w:rFonts w:ascii="Verdana" w:hAnsi="Verdana"/>
          <w:sz w:val="16"/>
          <w:szCs w:val="16"/>
          <w:lang w:val="pt-BR"/>
        </w:rPr>
        <w:t xml:space="preserve">. </w:t>
      </w:r>
    </w:p>
  </w:footnote>
  <w:footnote w:id="14">
    <w:p w14:paraId="1C61AE28" w14:textId="3C30F4E9"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Laudo pericial apresentado à Corte IDH por Christian Courtis. </w:t>
      </w:r>
      <w:r w:rsidRPr="0038442F">
        <w:rPr>
          <w:rFonts w:ascii="Verdana" w:hAnsi="Verdana"/>
          <w:i/>
          <w:iCs/>
          <w:sz w:val="16"/>
          <w:szCs w:val="16"/>
          <w:lang w:val="pt-BR"/>
        </w:rPr>
        <w:t xml:space="preserve">Cf. </w:t>
      </w:r>
      <w:r w:rsidRPr="0038442F">
        <w:rPr>
          <w:rFonts w:ascii="Verdana" w:hAnsi="Verdana"/>
          <w:bCs/>
          <w:i/>
          <w:iCs/>
          <w:sz w:val="16"/>
          <w:szCs w:val="16"/>
          <w:lang w:val="pt-BR"/>
        </w:rPr>
        <w:t xml:space="preserve">Caso Empregados da Fábrica de Fogos de Santo Antônio de Jesus e seus familiares Vs. Brasil. Exceções Preliminares, Mérito, Reparações e Custas. </w:t>
      </w:r>
      <w:r w:rsidRPr="0038442F">
        <w:rPr>
          <w:rFonts w:ascii="Verdana" w:hAnsi="Verdana"/>
          <w:bCs/>
          <w:sz w:val="16"/>
          <w:szCs w:val="16"/>
          <w:lang w:val="pt-BR"/>
        </w:rPr>
        <w:t>Sentença de 15 de julho de 2020. Série C N</w:t>
      </w:r>
      <w:r w:rsidRPr="0038442F">
        <w:rPr>
          <w:rFonts w:ascii="Verdana" w:hAnsi="Verdana"/>
          <w:bCs/>
          <w:sz w:val="16"/>
          <w:szCs w:val="16"/>
          <w:vertAlign w:val="superscript"/>
          <w:lang w:val="pt-BR"/>
        </w:rPr>
        <w:t>o.</w:t>
      </w:r>
      <w:r w:rsidRPr="0038442F">
        <w:rPr>
          <w:rFonts w:ascii="Verdana" w:hAnsi="Verdana"/>
          <w:bCs/>
          <w:sz w:val="16"/>
          <w:szCs w:val="16"/>
          <w:lang w:val="pt-BR"/>
        </w:rPr>
        <w:t xml:space="preserve"> 407, par. 164 e 165. </w:t>
      </w:r>
    </w:p>
  </w:footnote>
  <w:footnote w:id="15">
    <w:p w14:paraId="6A63084C" w14:textId="0A9C62D2"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Princípios Orientadores sobre Empresas e Direitos Humanos, Princípios: 11 a 24 y 25 a 31. </w:t>
      </w:r>
    </w:p>
  </w:footnote>
  <w:footnote w:id="16">
    <w:p w14:paraId="74424EA8" w14:textId="2FC7533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Princípios Orientadores sobre Empresas e Direitos Humanos, princípio 1. </w:t>
      </w:r>
    </w:p>
  </w:footnote>
  <w:footnote w:id="17">
    <w:p w14:paraId="2ED07752" w14:textId="27CB20B8"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Princípios Orientadores sobre Empresas e Direitos Humanos, princípio 3, a). </w:t>
      </w:r>
    </w:p>
  </w:footnote>
  <w:footnote w:id="18">
    <w:p w14:paraId="0E7E5B09" w14:textId="0B066943"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Princípios Orientadores sobre Empresas e Direitos Humanos, princípio 5. </w:t>
      </w:r>
    </w:p>
  </w:footnote>
  <w:footnote w:id="19">
    <w:p w14:paraId="20771E5F" w14:textId="2B527AA0"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e REDESCA, </w:t>
      </w:r>
      <w:r w:rsidRPr="0038442F">
        <w:rPr>
          <w:rFonts w:ascii="Verdana" w:hAnsi="Verdana"/>
          <w:i/>
          <w:iCs/>
          <w:sz w:val="16"/>
          <w:szCs w:val="16"/>
          <w:lang w:val="pt-BR"/>
        </w:rPr>
        <w:t>Relatório sobre Empresas e Direitos Humanos: Normas Interamericanas</w:t>
      </w:r>
      <w:r w:rsidRPr="0038442F">
        <w:rPr>
          <w:rFonts w:ascii="Verdana" w:hAnsi="Verdana"/>
          <w:sz w:val="16"/>
          <w:szCs w:val="16"/>
          <w:lang w:val="pt-BR"/>
        </w:rPr>
        <w:t>, OEA/Ser.L/V/II CIDH/REDESCA/INF.1/19, 1</w:t>
      </w:r>
      <w:r w:rsidRPr="0038442F">
        <w:rPr>
          <w:rFonts w:ascii="Verdana" w:hAnsi="Verdana"/>
          <w:sz w:val="16"/>
          <w:szCs w:val="16"/>
          <w:vertAlign w:val="superscript"/>
          <w:lang w:val="pt-BR"/>
        </w:rPr>
        <w:t>o</w:t>
      </w:r>
      <w:r w:rsidRPr="0038442F">
        <w:rPr>
          <w:rFonts w:ascii="Verdana" w:hAnsi="Verdana"/>
          <w:sz w:val="16"/>
          <w:szCs w:val="16"/>
          <w:lang w:val="pt-BR"/>
        </w:rPr>
        <w:t xml:space="preserve"> de novembro de 2019, par. 86. </w:t>
      </w:r>
    </w:p>
  </w:footnote>
  <w:footnote w:id="20">
    <w:p w14:paraId="14D4DB89" w14:textId="3B4A404C"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segunda obrigação dos Estados Partes é a de "garantir" o livre e pleno exercício dos direitos reconhecidos na Convenção a toda pessoa sujeita a sua jurisdição. Essa obrigação implica o dever dos Estados Partes de organizar todo o aparato governamental e, em geral, todas as estruturas mediante as quais se manifesta o exercício do poder público, de maneira tal que sejam capazes de assegurar juridicamente o livre e pleno exercício dos direitos humanos. Como consequência dessa obrigação, os Estados devem prevenir, investigar e punir toda violação dos direitos reconhecidos pela Convenção e procurar, ademais, o restabelecimento, caso seja possível, do direito violado e, na hipótese de que seja pertinente, a reparação dos danos causados pela violação dos direitos humanos”. </w:t>
      </w:r>
      <w:r w:rsidRPr="0038442F">
        <w:rPr>
          <w:rFonts w:ascii="Verdana" w:hAnsi="Verdana"/>
          <w:i/>
          <w:iCs/>
          <w:sz w:val="16"/>
          <w:szCs w:val="16"/>
          <w:lang w:val="pt-BR"/>
        </w:rPr>
        <w:t>C</w:t>
      </w:r>
      <w:r w:rsidRPr="0038442F">
        <w:rPr>
          <w:rFonts w:ascii="Verdana" w:hAnsi="Verdana" w:cs="Arial"/>
          <w:i/>
          <w:iCs/>
          <w:sz w:val="16"/>
          <w:szCs w:val="16"/>
          <w:shd w:val="clear" w:color="auto" w:fill="FFFFFF"/>
          <w:lang w:val="pt-BR"/>
        </w:rPr>
        <w:t xml:space="preserve">aso Velásquez Rodríguez Vs. Honduras. Mérito, supra, </w:t>
      </w:r>
      <w:r w:rsidRPr="0038442F">
        <w:rPr>
          <w:rFonts w:ascii="Verdana" w:hAnsi="Verdana" w:cs="Arial"/>
          <w:sz w:val="16"/>
          <w:szCs w:val="16"/>
          <w:shd w:val="clear" w:color="auto" w:fill="FFFFFF"/>
          <w:lang w:val="pt-BR"/>
        </w:rPr>
        <w:t>par. 166.</w:t>
      </w:r>
    </w:p>
  </w:footnote>
  <w:footnote w:id="21">
    <w:p w14:paraId="44F6D303" w14:textId="2C4A95AC"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Cf. C</w:t>
      </w:r>
      <w:r w:rsidRPr="0038442F">
        <w:rPr>
          <w:rFonts w:ascii="Verdana" w:hAnsi="Verdana" w:cs="Arial"/>
          <w:i/>
          <w:iCs/>
          <w:sz w:val="16"/>
          <w:szCs w:val="16"/>
          <w:shd w:val="clear" w:color="auto" w:fill="FFFFFF"/>
          <w:lang w:val="pt-BR"/>
        </w:rPr>
        <w:t xml:space="preserve">aso Velásquez Rodríguez Vs. Honduras. Mérito, supra, </w:t>
      </w:r>
      <w:r w:rsidRPr="0038442F">
        <w:rPr>
          <w:rFonts w:ascii="Verdana" w:hAnsi="Verdana" w:cs="Arial"/>
          <w:sz w:val="16"/>
          <w:szCs w:val="16"/>
          <w:shd w:val="clear" w:color="auto" w:fill="FFFFFF"/>
          <w:lang w:val="pt-BR"/>
        </w:rPr>
        <w:t xml:space="preserve">par. 166; e Caso </w:t>
      </w:r>
      <w:r w:rsidRPr="0038442F">
        <w:rPr>
          <w:rFonts w:ascii="Verdana" w:hAnsi="Verdana" w:cs="Arial"/>
          <w:i/>
          <w:iCs/>
          <w:sz w:val="16"/>
          <w:szCs w:val="16"/>
          <w:shd w:val="clear" w:color="auto" w:fill="FFFFFF"/>
          <w:lang w:val="pt-BR"/>
        </w:rPr>
        <w:t>Comunidades Indígenas Membros da Associação Lhaka Honhat (Nossa Terra) Vs. Argentina. Mérito, Reparações e Custas</w:t>
      </w:r>
      <w:r w:rsidRPr="0038442F">
        <w:rPr>
          <w:rFonts w:ascii="Verdana" w:hAnsi="Verdana" w:cs="Arial"/>
          <w:sz w:val="16"/>
          <w:szCs w:val="16"/>
          <w:shd w:val="clear" w:color="auto" w:fill="FFFFFF"/>
          <w:lang w:val="pt-BR"/>
        </w:rPr>
        <w:t>. Sentença de 6 de fevereiro de 2020.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400</w:t>
      </w:r>
      <w:r w:rsidRPr="0038442F">
        <w:rPr>
          <w:rFonts w:ascii="Verdana" w:hAnsi="Verdana"/>
          <w:sz w:val="16"/>
          <w:szCs w:val="16"/>
          <w:lang w:val="pt-BR"/>
        </w:rPr>
        <w:t xml:space="preserve">, par. 208. </w:t>
      </w:r>
    </w:p>
  </w:footnote>
  <w:footnote w:id="22">
    <w:p w14:paraId="4C09F56D" w14:textId="3ED94E32"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Mutatis mutandi, </w:t>
      </w:r>
      <w:r w:rsidRPr="0038442F">
        <w:rPr>
          <w:rFonts w:ascii="Verdana" w:hAnsi="Verdana" w:cs="Arial"/>
          <w:i/>
          <w:iCs/>
          <w:sz w:val="16"/>
          <w:szCs w:val="16"/>
          <w:shd w:val="clear" w:color="auto" w:fill="FFFFFF"/>
          <w:lang w:val="pt-BR"/>
        </w:rPr>
        <w:t>Caso Trabalhadores da Fazenda Brasil Verde Vs. Brasil. Exceções Preliminares, Mérito, Reparações e Custas</w:t>
      </w:r>
      <w:r w:rsidRPr="0038442F">
        <w:rPr>
          <w:rFonts w:ascii="Verdana" w:hAnsi="Verdana" w:cs="Arial"/>
          <w:sz w:val="16"/>
          <w:szCs w:val="16"/>
          <w:shd w:val="clear" w:color="auto" w:fill="FFFFFF"/>
          <w:lang w:val="pt-BR"/>
        </w:rPr>
        <w:t>. Sentença de 20 de outubro de 2016.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318, par. 320.</w:t>
      </w:r>
      <w:r w:rsidRPr="0038442F">
        <w:rPr>
          <w:rFonts w:ascii="Verdana" w:hAnsi="Verdana"/>
          <w:sz w:val="16"/>
          <w:szCs w:val="16"/>
          <w:lang w:val="pt-BR"/>
        </w:rPr>
        <w:t xml:space="preserve"> </w:t>
      </w:r>
    </w:p>
  </w:footnote>
  <w:footnote w:id="23">
    <w:p w14:paraId="3519408C" w14:textId="084AC47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w:t>
      </w:r>
      <w:r w:rsidRPr="0038442F">
        <w:rPr>
          <w:rFonts w:ascii="Verdana" w:hAnsi="Verdana"/>
          <w:i/>
          <w:iCs/>
          <w:sz w:val="16"/>
          <w:szCs w:val="16"/>
          <w:lang w:val="pt-BR"/>
        </w:rPr>
        <w:t>inter alia</w:t>
      </w:r>
      <w:r w:rsidRPr="0038442F">
        <w:rPr>
          <w:rFonts w:ascii="Verdana" w:hAnsi="Verdana"/>
          <w:sz w:val="16"/>
          <w:szCs w:val="16"/>
          <w:lang w:val="pt-BR"/>
        </w:rPr>
        <w:t xml:space="preserve">, </w:t>
      </w:r>
      <w:r w:rsidRPr="0038442F">
        <w:rPr>
          <w:rFonts w:ascii="Verdana" w:hAnsi="Verdana" w:cs="Arial"/>
          <w:i/>
          <w:iCs/>
          <w:sz w:val="16"/>
          <w:szCs w:val="16"/>
          <w:shd w:val="clear" w:color="auto" w:fill="FFFFFF"/>
          <w:lang w:val="pt-BR"/>
        </w:rPr>
        <w:t>Direitos e garantias de crianças no contexto da migração e/ou em necessidade de proteção internacional.</w:t>
      </w:r>
      <w:r w:rsidRPr="0038442F">
        <w:rPr>
          <w:rFonts w:ascii="Verdana" w:hAnsi="Verdana" w:cs="Arial"/>
          <w:sz w:val="16"/>
          <w:szCs w:val="16"/>
          <w:shd w:val="clear" w:color="auto" w:fill="FFFFFF"/>
          <w:lang w:val="pt-BR"/>
        </w:rPr>
        <w:t xml:space="preserve"> Parecer Consultivo OC-21/14, de 19 de agosto de 2014. Série A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21, </w:t>
      </w:r>
      <w:r w:rsidRPr="0038442F">
        <w:rPr>
          <w:rFonts w:ascii="Verdana" w:hAnsi="Verdana"/>
          <w:sz w:val="16"/>
          <w:szCs w:val="16"/>
          <w:lang w:val="pt-BR"/>
        </w:rPr>
        <w:t>par. 65.</w:t>
      </w:r>
    </w:p>
  </w:footnote>
  <w:footnote w:id="24">
    <w:p w14:paraId="24CE0E8E" w14:textId="6D1C915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e REDESCA, </w:t>
      </w:r>
      <w:r w:rsidRPr="0038442F">
        <w:rPr>
          <w:rFonts w:ascii="Verdana" w:hAnsi="Verdana"/>
          <w:i/>
          <w:iCs/>
          <w:sz w:val="16"/>
          <w:szCs w:val="16"/>
          <w:lang w:val="pt-BR"/>
        </w:rPr>
        <w:t>Relatório sobre Empresas e Direitos Humanos: Normas Interamericanas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par. 105. </w:t>
      </w:r>
    </w:p>
  </w:footnote>
  <w:footnote w:id="25">
    <w:p w14:paraId="1011334F" w14:textId="26246441"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jurisprudência da Corte IDH não fez distinção entre ambas as acepções, motivo por que devem ser entendidas como sinônimos. </w:t>
      </w:r>
    </w:p>
  </w:footnote>
  <w:footnote w:id="26">
    <w:p w14:paraId="7EEA0961" w14:textId="2A05A4AB"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w:t>
      </w:r>
      <w:r w:rsidRPr="0038442F">
        <w:rPr>
          <w:rFonts w:ascii="Verdana" w:hAnsi="Verdana"/>
          <w:i/>
          <w:iCs/>
          <w:sz w:val="16"/>
          <w:szCs w:val="16"/>
          <w:lang w:val="pt-BR"/>
        </w:rPr>
        <w:t>Situação dos Direitos Humanos em Honduras</w:t>
      </w:r>
      <w:r w:rsidRPr="0038442F">
        <w:rPr>
          <w:rFonts w:ascii="Verdana" w:hAnsi="Verdana"/>
          <w:sz w:val="16"/>
          <w:szCs w:val="16"/>
          <w:lang w:val="pt-BR"/>
        </w:rPr>
        <w:t xml:space="preserve">, OEA/Ser.L/V/II. Doc. 42/15, 31 de dezembro de 2015, par. 405-415. </w:t>
      </w:r>
    </w:p>
  </w:footnote>
  <w:footnote w:id="27">
    <w:p w14:paraId="7376CA77" w14:textId="17BC442E"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w:t>
      </w:r>
      <w:r w:rsidRPr="0038442F">
        <w:rPr>
          <w:rFonts w:ascii="Verdana" w:hAnsi="Verdana"/>
          <w:i/>
          <w:iCs/>
          <w:sz w:val="16"/>
          <w:szCs w:val="16"/>
          <w:lang w:val="pt-BR"/>
        </w:rPr>
        <w:t>Situação dos Direitos Humanos em Honduras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par. 427-435.</w:t>
      </w:r>
    </w:p>
  </w:footnote>
  <w:footnote w:id="28">
    <w:p w14:paraId="2F423DBA" w14:textId="393A42EB"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w:t>
      </w:r>
      <w:r w:rsidRPr="0038442F">
        <w:rPr>
          <w:rFonts w:ascii="Verdana" w:hAnsi="Verdana"/>
          <w:i/>
          <w:iCs/>
          <w:sz w:val="16"/>
          <w:szCs w:val="16"/>
          <w:lang w:val="pt-BR"/>
        </w:rPr>
        <w:t>Situação dos Direitos Humanos em Honduras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par. 427-435.</w:t>
      </w:r>
    </w:p>
  </w:footnote>
  <w:footnote w:id="29">
    <w:p w14:paraId="1B46E436" w14:textId="5D26CBFB"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w:t>
      </w:r>
      <w:r w:rsidRPr="0038442F">
        <w:rPr>
          <w:rFonts w:ascii="Verdana" w:hAnsi="Verdana"/>
          <w:i/>
          <w:iCs/>
          <w:sz w:val="16"/>
          <w:szCs w:val="16"/>
          <w:lang w:val="pt-BR"/>
        </w:rPr>
        <w:t>Situação dos Direitos Humanos em Honduras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par. 427-435; e </w:t>
      </w:r>
      <w:r w:rsidRPr="0038442F">
        <w:rPr>
          <w:rFonts w:ascii="Verdana" w:hAnsi="Verdana"/>
          <w:i/>
          <w:iCs/>
          <w:sz w:val="16"/>
          <w:szCs w:val="16"/>
          <w:lang w:val="pt-BR"/>
        </w:rPr>
        <w:t>Situação dos Direitos Humanos na República Dominicana</w:t>
      </w:r>
      <w:r w:rsidRPr="0038442F">
        <w:rPr>
          <w:rFonts w:ascii="Verdana" w:hAnsi="Verdana"/>
          <w:sz w:val="16"/>
          <w:szCs w:val="16"/>
          <w:lang w:val="pt-BR"/>
        </w:rPr>
        <w:t xml:space="preserve">, OEA/Ser.L/V/II. Doc. 45/15, 31 de dezembro de 2015, par. 565-574 e 653.14. </w:t>
      </w:r>
    </w:p>
  </w:footnote>
  <w:footnote w:id="30">
    <w:p w14:paraId="09ADA4B7" w14:textId="6577596A"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 xml:space="preserve">Caso Trabalhadores da Fazenda Brasil Verde Vs. Brasil, supra, </w:t>
      </w:r>
      <w:r w:rsidRPr="0038442F">
        <w:rPr>
          <w:rFonts w:ascii="Verdana" w:hAnsi="Verdana" w:cs="Arial"/>
          <w:sz w:val="16"/>
          <w:szCs w:val="16"/>
          <w:shd w:val="clear" w:color="auto" w:fill="FFFFFF"/>
          <w:lang w:val="pt-BR"/>
        </w:rPr>
        <w:t xml:space="preserve">par. </w:t>
      </w:r>
      <w:r w:rsidRPr="0038442F">
        <w:rPr>
          <w:rFonts w:ascii="Verdana" w:hAnsi="Verdana"/>
          <w:sz w:val="16"/>
          <w:szCs w:val="16"/>
          <w:lang w:val="pt-BR"/>
        </w:rPr>
        <w:t>319.</w:t>
      </w:r>
    </w:p>
  </w:footnote>
  <w:footnote w:id="31">
    <w:p w14:paraId="1D65DD23" w14:textId="7777777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e REDESCA, </w:t>
      </w:r>
      <w:r w:rsidRPr="0038442F">
        <w:rPr>
          <w:rFonts w:ascii="Verdana" w:hAnsi="Verdana"/>
          <w:i/>
          <w:iCs/>
          <w:sz w:val="16"/>
          <w:szCs w:val="16"/>
          <w:lang w:val="pt-BR"/>
        </w:rPr>
        <w:t>Relatório sobre Empresas e Direitos Humanos: Normas Interamericanas</w:t>
      </w:r>
      <w:r w:rsidRPr="0038442F">
        <w:rPr>
          <w:rFonts w:ascii="Verdana" w:hAnsi="Verdana"/>
          <w:sz w:val="16"/>
          <w:szCs w:val="16"/>
          <w:lang w:val="pt-BR"/>
        </w:rPr>
        <w:t xml:space="preserve">, </w:t>
      </w:r>
      <w:r w:rsidRPr="0038442F">
        <w:rPr>
          <w:rFonts w:ascii="Verdana" w:hAnsi="Verdana"/>
          <w:i/>
          <w:sz w:val="16"/>
          <w:szCs w:val="16"/>
          <w:lang w:val="pt-BR"/>
        </w:rPr>
        <w:t xml:space="preserve">supra, </w:t>
      </w:r>
      <w:r w:rsidRPr="0038442F">
        <w:rPr>
          <w:rFonts w:ascii="Verdana" w:hAnsi="Verdana"/>
          <w:sz w:val="16"/>
          <w:szCs w:val="16"/>
          <w:lang w:val="pt-BR"/>
        </w:rPr>
        <w:t xml:space="preserve">par. 96. </w:t>
      </w:r>
    </w:p>
  </w:footnote>
  <w:footnote w:id="32">
    <w:p w14:paraId="17243485" w14:textId="031166A6"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Cf. Caso Lagos del Campo Vs. Peru. Exceções Preliminares, Mérito, Reparações e Custas</w:t>
      </w:r>
      <w:r w:rsidRPr="0038442F">
        <w:rPr>
          <w:rFonts w:ascii="Verdana" w:hAnsi="Verdana"/>
          <w:sz w:val="16"/>
          <w:szCs w:val="16"/>
          <w:lang w:val="pt-BR"/>
        </w:rPr>
        <w:t>. Sentença de 31 de agosto de 2017.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340, par. 153 e 154. Nesse sentido, no </w:t>
      </w:r>
      <w:r w:rsidRPr="0038442F">
        <w:rPr>
          <w:rFonts w:ascii="Verdana" w:hAnsi="Verdana"/>
          <w:i/>
          <w:sz w:val="16"/>
          <w:szCs w:val="16"/>
          <w:lang w:val="pt-BR"/>
        </w:rPr>
        <w:t xml:space="preserve">Caso </w:t>
      </w:r>
      <w:r w:rsidRPr="0038442F">
        <w:rPr>
          <w:rFonts w:ascii="Verdana" w:hAnsi="Verdana"/>
          <w:i/>
          <w:iCs/>
          <w:sz w:val="16"/>
          <w:szCs w:val="16"/>
          <w:lang w:val="pt-BR"/>
        </w:rPr>
        <w:t xml:space="preserve">San Miguel Sosa e outras, </w:t>
      </w:r>
      <w:r w:rsidRPr="0038442F">
        <w:rPr>
          <w:rFonts w:ascii="Verdana" w:hAnsi="Verdana"/>
          <w:sz w:val="16"/>
          <w:szCs w:val="16"/>
          <w:lang w:val="pt-BR"/>
        </w:rPr>
        <w:t xml:space="preserve">salientei que “[o] caso </w:t>
      </w:r>
      <w:r w:rsidRPr="0038442F">
        <w:rPr>
          <w:rFonts w:ascii="Verdana" w:hAnsi="Verdana"/>
          <w:i/>
          <w:sz w:val="16"/>
          <w:szCs w:val="16"/>
          <w:lang w:val="pt-BR"/>
        </w:rPr>
        <w:t>San Miguel Sosa e outras Vs. Venezuela</w:t>
      </w:r>
      <w:r w:rsidRPr="0038442F">
        <w:rPr>
          <w:rFonts w:ascii="Verdana" w:hAnsi="Verdana"/>
          <w:sz w:val="16"/>
          <w:szCs w:val="16"/>
          <w:lang w:val="pt-BR"/>
        </w:rPr>
        <w:t xml:space="preserve"> complementa a visão que de maneira rápida o Tribunal Interamericano teve sobre os direitos sociais e sua exigibilidade direta ante essa instância judicial. Nesse sentido, a tríade de casos laborais, </w:t>
      </w:r>
      <w:r w:rsidRPr="0038442F">
        <w:rPr>
          <w:rFonts w:ascii="Verdana" w:hAnsi="Verdana"/>
          <w:i/>
          <w:sz w:val="16"/>
          <w:szCs w:val="16"/>
          <w:lang w:val="pt-BR"/>
        </w:rPr>
        <w:t xml:space="preserve">Lagos del Campo, Trabalhadores Demitidos da Petroperu e outros </w:t>
      </w:r>
      <w:r w:rsidRPr="0038442F">
        <w:rPr>
          <w:rFonts w:ascii="Verdana" w:hAnsi="Verdana"/>
          <w:sz w:val="16"/>
          <w:szCs w:val="16"/>
          <w:lang w:val="pt-BR"/>
        </w:rPr>
        <w:t>e, agora, o</w:t>
      </w:r>
      <w:r w:rsidRPr="0038442F">
        <w:rPr>
          <w:rFonts w:ascii="Verdana" w:hAnsi="Verdana"/>
          <w:i/>
          <w:sz w:val="16"/>
          <w:szCs w:val="16"/>
          <w:lang w:val="pt-BR"/>
        </w:rPr>
        <w:t xml:space="preserve"> Caso San Miguel Sosa e outras, </w:t>
      </w:r>
      <w:r w:rsidRPr="0038442F">
        <w:rPr>
          <w:rFonts w:ascii="Verdana" w:hAnsi="Verdana"/>
          <w:sz w:val="16"/>
          <w:szCs w:val="16"/>
          <w:lang w:val="pt-BR"/>
        </w:rPr>
        <w:t xml:space="preserve">permitem esboçar uma série de normas que devem ser levadas em consideração nos exercícios de controle de convencionalidade em sede interna e estendidas ao diálogo jurisprudencial existente entre o âmbito internacional interamericano e a </w:t>
      </w:r>
      <w:r w:rsidR="005209E2">
        <w:rPr>
          <w:rFonts w:ascii="Verdana" w:hAnsi="Verdana"/>
          <w:sz w:val="16"/>
          <w:szCs w:val="16"/>
          <w:lang w:val="pt-BR"/>
        </w:rPr>
        <w:t>esfera</w:t>
      </w:r>
      <w:r w:rsidR="005209E2" w:rsidRPr="0038442F">
        <w:rPr>
          <w:rFonts w:ascii="Verdana" w:hAnsi="Verdana"/>
          <w:sz w:val="16"/>
          <w:szCs w:val="16"/>
          <w:lang w:val="pt-BR"/>
        </w:rPr>
        <w:t xml:space="preserve"> </w:t>
      </w:r>
      <w:r w:rsidRPr="0038442F">
        <w:rPr>
          <w:rFonts w:ascii="Verdana" w:hAnsi="Verdana"/>
          <w:sz w:val="16"/>
          <w:szCs w:val="16"/>
          <w:lang w:val="pt-BR"/>
        </w:rPr>
        <w:t xml:space="preserve">nacional dos Estados Partes na Convenção Americana. </w:t>
      </w:r>
      <w:r w:rsidRPr="0038442F">
        <w:rPr>
          <w:rFonts w:ascii="Verdana" w:hAnsi="Verdana"/>
          <w:i/>
          <w:iCs/>
          <w:sz w:val="16"/>
          <w:szCs w:val="16"/>
          <w:lang w:val="pt-BR"/>
        </w:rPr>
        <w:t xml:space="preserve">Cf. Voto </w:t>
      </w:r>
      <w:r w:rsidR="005209E2">
        <w:rPr>
          <w:rFonts w:ascii="Verdana" w:hAnsi="Verdana"/>
          <w:i/>
          <w:iCs/>
          <w:sz w:val="16"/>
          <w:szCs w:val="16"/>
          <w:lang w:val="pt-BR"/>
        </w:rPr>
        <w:t>concordante</w:t>
      </w:r>
      <w:r w:rsidR="005209E2" w:rsidRPr="0038442F">
        <w:rPr>
          <w:rFonts w:ascii="Verdana" w:hAnsi="Verdana"/>
          <w:i/>
          <w:iCs/>
          <w:sz w:val="16"/>
          <w:szCs w:val="16"/>
          <w:lang w:val="pt-BR"/>
        </w:rPr>
        <w:t xml:space="preserve"> </w:t>
      </w:r>
      <w:r w:rsidRPr="0038442F">
        <w:rPr>
          <w:rFonts w:ascii="Verdana" w:hAnsi="Verdana"/>
          <w:i/>
          <w:iCs/>
          <w:sz w:val="16"/>
          <w:szCs w:val="16"/>
          <w:lang w:val="pt-BR"/>
        </w:rPr>
        <w:t>e parcialmente dissidente sobre o Caso San Miguel Sosa e outras Vs. Venezuela. Mérito, Reparações e Custas</w:t>
      </w:r>
      <w:r w:rsidRPr="0038442F">
        <w:rPr>
          <w:rFonts w:ascii="Verdana" w:hAnsi="Verdana"/>
          <w:sz w:val="16"/>
          <w:szCs w:val="16"/>
          <w:lang w:val="pt-BR"/>
        </w:rPr>
        <w:t>. Sentença de 8 de fevereiro de 2018.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348, par. 27. Ver a matéria no voto emitido no </w:t>
      </w:r>
      <w:r w:rsidRPr="0038442F">
        <w:rPr>
          <w:rFonts w:ascii="Verdana" w:hAnsi="Verdana"/>
          <w:i/>
          <w:sz w:val="16"/>
          <w:szCs w:val="16"/>
          <w:lang w:val="pt-BR"/>
        </w:rPr>
        <w:t xml:space="preserve">Caso </w:t>
      </w:r>
      <w:r w:rsidRPr="0038442F">
        <w:rPr>
          <w:rFonts w:ascii="Verdana" w:hAnsi="Verdana"/>
          <w:i/>
          <w:iCs/>
          <w:sz w:val="16"/>
          <w:szCs w:val="16"/>
          <w:lang w:val="pt-BR"/>
        </w:rPr>
        <w:t>Spoltore Vs. Argentina</w:t>
      </w:r>
      <w:r w:rsidRPr="0038442F">
        <w:rPr>
          <w:rFonts w:ascii="Verdana" w:hAnsi="Verdana"/>
          <w:sz w:val="16"/>
          <w:szCs w:val="16"/>
          <w:lang w:val="pt-BR"/>
        </w:rPr>
        <w:t>.</w:t>
      </w:r>
    </w:p>
  </w:footnote>
  <w:footnote w:id="33">
    <w:p w14:paraId="62FF9646" w14:textId="05CE5933"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O Tribunal Interamericano concluiu que “o Estado é responsável pela violação dos artigos 16.1 e 26 em relação aos artigos 1.1, 13 e 8 da Convenção Americana, em prejuízo do senhor Lagos del Campo”. </w:t>
      </w:r>
      <w:r w:rsidRPr="0038442F">
        <w:rPr>
          <w:rFonts w:ascii="Verdana" w:hAnsi="Verdana"/>
          <w:i/>
          <w:iCs/>
          <w:sz w:val="16"/>
          <w:szCs w:val="16"/>
          <w:lang w:val="pt-BR"/>
        </w:rPr>
        <w:t xml:space="preserve">Cf. Caso Lagos del Campo Vs. Peru. Exceções Preliminares, Mérito, Reparações e Custas, supra, </w:t>
      </w:r>
      <w:r w:rsidRPr="0038442F">
        <w:rPr>
          <w:rFonts w:ascii="Verdana" w:hAnsi="Verdana"/>
          <w:sz w:val="16"/>
          <w:szCs w:val="16"/>
          <w:lang w:val="pt-BR"/>
        </w:rPr>
        <w:t xml:space="preserve">par. 158, 163 e Ponto resolutivo 6. </w:t>
      </w:r>
    </w:p>
  </w:footnote>
  <w:footnote w:id="34">
    <w:p w14:paraId="0234F1F8" w14:textId="46CC136B"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Caso Spoltore Vs. Argentina. Exceção Preliminar, Mérito, Reparações e Custas. </w:t>
      </w:r>
      <w:r w:rsidRPr="0038442F">
        <w:rPr>
          <w:rFonts w:ascii="Verdana" w:hAnsi="Verdana"/>
          <w:sz w:val="16"/>
          <w:szCs w:val="16"/>
          <w:lang w:val="pt-BR"/>
        </w:rPr>
        <w:t>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404, par. 83. </w:t>
      </w:r>
    </w:p>
  </w:footnote>
  <w:footnote w:id="35">
    <w:p w14:paraId="44337835" w14:textId="00A578D8"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Cf. Caso Spoltore Vs. Argentina, supra</w:t>
      </w:r>
      <w:r w:rsidRPr="0038442F">
        <w:rPr>
          <w:rFonts w:ascii="Verdana" w:hAnsi="Verdana"/>
          <w:sz w:val="16"/>
          <w:szCs w:val="16"/>
          <w:lang w:val="pt-BR"/>
        </w:rPr>
        <w:t xml:space="preserve">, par. 84. </w:t>
      </w:r>
    </w:p>
  </w:footnote>
  <w:footnote w:id="36">
    <w:p w14:paraId="05975D2E" w14:textId="7A494408"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Arial"/>
          <w:i/>
          <w:sz w:val="16"/>
          <w:szCs w:val="16"/>
          <w:lang w:val="pt-BR"/>
        </w:rPr>
        <w:t xml:space="preserve">Cf. </w:t>
      </w:r>
      <w:r w:rsidRPr="0038442F">
        <w:rPr>
          <w:rStyle w:val="Textoennegrita"/>
          <w:rFonts w:ascii="Verdana" w:hAnsi="Verdana" w:cs="Arial"/>
          <w:b w:val="0"/>
          <w:bCs w:val="0"/>
          <w:i/>
          <w:sz w:val="16"/>
          <w:szCs w:val="16"/>
          <w:lang w:val="pt-BR"/>
        </w:rPr>
        <w:t>Caso Lagos del Campo Vs. Peru, supra</w:t>
      </w:r>
      <w:r w:rsidRPr="0038442F">
        <w:rPr>
          <w:rStyle w:val="Textoennegrita"/>
          <w:rFonts w:ascii="Verdana" w:hAnsi="Verdana" w:cs="Arial"/>
          <w:b w:val="0"/>
          <w:bCs w:val="0"/>
          <w:sz w:val="16"/>
          <w:szCs w:val="16"/>
          <w:lang w:val="pt-BR"/>
        </w:rPr>
        <w:t xml:space="preserve">; </w:t>
      </w:r>
      <w:r w:rsidRPr="0038442F">
        <w:rPr>
          <w:rStyle w:val="Textoennegrita"/>
          <w:rFonts w:ascii="Verdana" w:hAnsi="Verdana" w:cs="Arial"/>
          <w:b w:val="0"/>
          <w:bCs w:val="0"/>
          <w:i/>
          <w:sz w:val="16"/>
          <w:szCs w:val="16"/>
          <w:lang w:val="pt-BR"/>
        </w:rPr>
        <w:t>Parecer Consultivo OC-23/17,</w:t>
      </w:r>
      <w:r w:rsidRPr="0038442F">
        <w:rPr>
          <w:rStyle w:val="Textoennegrita"/>
          <w:rFonts w:ascii="Verdana" w:hAnsi="Verdana" w:cs="Arial"/>
          <w:b w:val="0"/>
          <w:bCs w:val="0"/>
          <w:sz w:val="16"/>
          <w:szCs w:val="16"/>
          <w:lang w:val="pt-BR"/>
        </w:rPr>
        <w:t xml:space="preserve"> de 15 de novembro de 2017. </w:t>
      </w:r>
      <w:r w:rsidRPr="0038442F">
        <w:rPr>
          <w:rStyle w:val="Textoennegrita"/>
          <w:rFonts w:ascii="Verdana" w:hAnsi="Verdana" w:cs="Arial"/>
          <w:b w:val="0"/>
          <w:bCs w:val="0"/>
          <w:i/>
          <w:sz w:val="16"/>
          <w:szCs w:val="16"/>
          <w:lang w:val="pt-BR"/>
        </w:rPr>
        <w:t>Meio ambiente e direitos humanos (Obrigações estatais em relação ao meio ambiente no âmbito da proteção e garantia dos direitos à vida e à integridade pessoal - interpretação e alcance dos artigos 4.1 e 5.1, em relação aos artigos 1.1 e 2 da Convenção Americana sobre Direitos Humanos).</w:t>
      </w:r>
      <w:r w:rsidRPr="0038442F">
        <w:rPr>
          <w:rStyle w:val="Textoennegrita"/>
          <w:rFonts w:ascii="Verdana" w:hAnsi="Verdana" w:cs="Arial"/>
          <w:b w:val="0"/>
          <w:bCs w:val="0"/>
          <w:sz w:val="16"/>
          <w:szCs w:val="16"/>
          <w:lang w:val="pt-BR"/>
        </w:rPr>
        <w:t xml:space="preserve"> Série A N</w:t>
      </w:r>
      <w:r w:rsidRPr="0038442F">
        <w:rPr>
          <w:rStyle w:val="Textoennegrita"/>
          <w:rFonts w:ascii="Verdana" w:hAnsi="Verdana" w:cs="Arial"/>
          <w:b w:val="0"/>
          <w:bCs w:val="0"/>
          <w:sz w:val="16"/>
          <w:szCs w:val="16"/>
          <w:vertAlign w:val="superscript"/>
          <w:lang w:val="pt-BR"/>
        </w:rPr>
        <w:t>o.</w:t>
      </w:r>
      <w:r w:rsidRPr="0038442F">
        <w:rPr>
          <w:rStyle w:val="Textoennegrita"/>
          <w:rFonts w:ascii="Verdana" w:hAnsi="Verdana" w:cs="Arial"/>
          <w:b w:val="0"/>
          <w:bCs w:val="0"/>
          <w:sz w:val="16"/>
          <w:szCs w:val="16"/>
          <w:lang w:val="pt-BR"/>
        </w:rPr>
        <w:t xml:space="preserve"> 23; </w:t>
      </w:r>
      <w:r w:rsidRPr="0038442F">
        <w:rPr>
          <w:rFonts w:ascii="Verdana" w:hAnsi="Verdana" w:cs="Arial"/>
          <w:i/>
          <w:sz w:val="16"/>
          <w:szCs w:val="16"/>
          <w:lang w:val="pt-BR"/>
        </w:rPr>
        <w:t xml:space="preserve">Caso dos Trabalhadores Demitidos da Petroperu e outros Vs. Peru. Exceções Preliminares, Mérito, Reparações e Custas. </w:t>
      </w:r>
      <w:r w:rsidRPr="0038442F">
        <w:rPr>
          <w:rFonts w:ascii="Verdana" w:hAnsi="Verdana" w:cs="Arial"/>
          <w:sz w:val="16"/>
          <w:szCs w:val="16"/>
          <w:lang w:val="pt-BR"/>
        </w:rPr>
        <w:t>Sentença de 23 de novembro de 2017. Série C N</w:t>
      </w:r>
      <w:r w:rsidRPr="0038442F">
        <w:rPr>
          <w:rFonts w:ascii="Verdana" w:hAnsi="Verdana" w:cs="Arial"/>
          <w:sz w:val="16"/>
          <w:szCs w:val="16"/>
          <w:vertAlign w:val="superscript"/>
          <w:lang w:val="pt-BR"/>
        </w:rPr>
        <w:t>o.</w:t>
      </w:r>
      <w:r w:rsidRPr="0038442F">
        <w:rPr>
          <w:rFonts w:ascii="Verdana" w:hAnsi="Verdana" w:cs="Arial"/>
          <w:sz w:val="16"/>
          <w:szCs w:val="16"/>
          <w:lang w:val="pt-BR"/>
        </w:rPr>
        <w:t xml:space="preserve"> 344; </w:t>
      </w:r>
      <w:r w:rsidRPr="0038442F">
        <w:rPr>
          <w:rStyle w:val="Textoennegrita"/>
          <w:rFonts w:ascii="Verdana" w:hAnsi="Verdana" w:cs="Arial"/>
          <w:b w:val="0"/>
          <w:bCs w:val="0"/>
          <w:i/>
          <w:sz w:val="16"/>
          <w:szCs w:val="16"/>
          <w:lang w:val="pt-BR"/>
        </w:rPr>
        <w:t>Caso</w:t>
      </w:r>
      <w:r w:rsidRPr="0038442F">
        <w:rPr>
          <w:rStyle w:val="Textoennegrita"/>
          <w:rFonts w:ascii="Verdana" w:hAnsi="Verdana" w:cs="Arial"/>
          <w:b w:val="0"/>
          <w:bCs w:val="0"/>
          <w:sz w:val="16"/>
          <w:szCs w:val="16"/>
          <w:lang w:val="pt-BR"/>
        </w:rPr>
        <w:t xml:space="preserve"> </w:t>
      </w:r>
      <w:r w:rsidRPr="0038442F">
        <w:rPr>
          <w:rStyle w:val="Textoennegrita"/>
          <w:rFonts w:ascii="Verdana" w:hAnsi="Verdana" w:cs="Arial"/>
          <w:b w:val="0"/>
          <w:bCs w:val="0"/>
          <w:i/>
          <w:sz w:val="16"/>
          <w:szCs w:val="16"/>
          <w:lang w:val="pt-BR"/>
        </w:rPr>
        <w:t>San Miguel Sosa e outras Vs. Venezuela. Mérito, Reparações e Custas</w:t>
      </w:r>
      <w:r w:rsidRPr="0038442F">
        <w:rPr>
          <w:rStyle w:val="Textoennegrita"/>
          <w:rFonts w:ascii="Verdana" w:hAnsi="Verdana" w:cs="Arial"/>
          <w:b w:val="0"/>
          <w:bCs w:val="0"/>
          <w:sz w:val="16"/>
          <w:szCs w:val="16"/>
          <w:lang w:val="pt-BR"/>
        </w:rPr>
        <w:t>. Sentença de 8 de fevereiro de 2018. Série C N</w:t>
      </w:r>
      <w:r w:rsidRPr="0038442F">
        <w:rPr>
          <w:rStyle w:val="Textoennegrita"/>
          <w:rFonts w:ascii="Verdana" w:hAnsi="Verdana" w:cs="Arial"/>
          <w:b w:val="0"/>
          <w:bCs w:val="0"/>
          <w:sz w:val="16"/>
          <w:szCs w:val="16"/>
          <w:vertAlign w:val="superscript"/>
          <w:lang w:val="pt-BR"/>
        </w:rPr>
        <w:t>o.</w:t>
      </w:r>
      <w:r w:rsidRPr="0038442F">
        <w:rPr>
          <w:rStyle w:val="Textoennegrita"/>
          <w:rFonts w:ascii="Verdana" w:hAnsi="Verdana" w:cs="Arial"/>
          <w:b w:val="0"/>
          <w:bCs w:val="0"/>
          <w:sz w:val="16"/>
          <w:szCs w:val="16"/>
          <w:lang w:val="pt-BR"/>
        </w:rPr>
        <w:t xml:space="preserve"> 348; </w:t>
      </w:r>
      <w:r w:rsidRPr="0038442F">
        <w:rPr>
          <w:rStyle w:val="Textoennegrita"/>
          <w:rFonts w:ascii="Verdana" w:hAnsi="Verdana" w:cs="Arial"/>
          <w:b w:val="0"/>
          <w:bCs w:val="0"/>
          <w:i/>
          <w:sz w:val="16"/>
          <w:szCs w:val="16"/>
          <w:lang w:val="pt-BR"/>
        </w:rPr>
        <w:t>Caso Poblete Vilches e outros Vs. Chile. Mérito, Reparações e Custas.</w:t>
      </w:r>
      <w:r w:rsidRPr="0038442F">
        <w:rPr>
          <w:rStyle w:val="Textoennegrita"/>
          <w:rFonts w:ascii="Verdana" w:hAnsi="Verdana" w:cs="Arial"/>
          <w:b w:val="0"/>
          <w:bCs w:val="0"/>
          <w:sz w:val="16"/>
          <w:szCs w:val="16"/>
          <w:lang w:val="pt-BR"/>
        </w:rPr>
        <w:t xml:space="preserve"> Sentença de 8 de março de 2018. Série C N</w:t>
      </w:r>
      <w:r w:rsidRPr="0038442F">
        <w:rPr>
          <w:rStyle w:val="Textoennegrita"/>
          <w:rFonts w:ascii="Verdana" w:hAnsi="Verdana" w:cs="Arial"/>
          <w:b w:val="0"/>
          <w:bCs w:val="0"/>
          <w:sz w:val="16"/>
          <w:szCs w:val="16"/>
          <w:vertAlign w:val="superscript"/>
          <w:lang w:val="pt-BR"/>
        </w:rPr>
        <w:t>o.</w:t>
      </w:r>
      <w:r w:rsidRPr="0038442F">
        <w:rPr>
          <w:rStyle w:val="Textoennegrita"/>
          <w:rFonts w:ascii="Verdana" w:hAnsi="Verdana" w:cs="Arial"/>
          <w:b w:val="0"/>
          <w:bCs w:val="0"/>
          <w:sz w:val="16"/>
          <w:szCs w:val="16"/>
          <w:lang w:val="pt-BR"/>
        </w:rPr>
        <w:t xml:space="preserve"> 349; </w:t>
      </w:r>
      <w:r w:rsidRPr="0038442F">
        <w:rPr>
          <w:rStyle w:val="Textoennegrita"/>
          <w:rFonts w:ascii="Verdana" w:hAnsi="Verdana" w:cs="Arial"/>
          <w:b w:val="0"/>
          <w:bCs w:val="0"/>
          <w:i/>
          <w:sz w:val="16"/>
          <w:szCs w:val="16"/>
          <w:lang w:val="pt-BR"/>
        </w:rPr>
        <w:t xml:space="preserve">Caso Cuscul Pivaral e outros Vs. Guatemala. Exceção Preliminar, Mérito, Reparações e Custas. </w:t>
      </w:r>
      <w:r w:rsidRPr="0038442F">
        <w:rPr>
          <w:rStyle w:val="Textoennegrita"/>
          <w:rFonts w:ascii="Verdana" w:hAnsi="Verdana" w:cs="Arial"/>
          <w:b w:val="0"/>
          <w:bCs w:val="0"/>
          <w:sz w:val="16"/>
          <w:szCs w:val="16"/>
          <w:lang w:val="pt-BR"/>
        </w:rPr>
        <w:t>Sentença de 23 de agosto de 2018. Série C N</w:t>
      </w:r>
      <w:r w:rsidRPr="0038442F">
        <w:rPr>
          <w:rStyle w:val="Textoennegrita"/>
          <w:rFonts w:ascii="Verdana" w:hAnsi="Verdana" w:cs="Arial"/>
          <w:b w:val="0"/>
          <w:bCs w:val="0"/>
          <w:sz w:val="16"/>
          <w:szCs w:val="16"/>
          <w:vertAlign w:val="superscript"/>
          <w:lang w:val="pt-BR"/>
        </w:rPr>
        <w:t>o.</w:t>
      </w:r>
      <w:r w:rsidRPr="0038442F">
        <w:rPr>
          <w:rStyle w:val="Textoennegrita"/>
          <w:rFonts w:ascii="Verdana" w:hAnsi="Verdana" w:cs="Arial"/>
          <w:b w:val="0"/>
          <w:bCs w:val="0"/>
          <w:sz w:val="16"/>
          <w:szCs w:val="16"/>
          <w:lang w:val="pt-BR"/>
        </w:rPr>
        <w:t xml:space="preserve"> 359; </w:t>
      </w:r>
      <w:r w:rsidRPr="0038442F">
        <w:rPr>
          <w:rStyle w:val="Textoennegrita"/>
          <w:rFonts w:ascii="Verdana" w:hAnsi="Verdana" w:cs="Arial"/>
          <w:b w:val="0"/>
          <w:bCs w:val="0"/>
          <w:i/>
          <w:sz w:val="16"/>
          <w:szCs w:val="16"/>
          <w:lang w:val="pt-BR"/>
        </w:rPr>
        <w:t>Caso Muelle Flores Vs. Peru. Exceções Preliminares, Mérito, Reparações e Custas.</w:t>
      </w:r>
      <w:r w:rsidRPr="0038442F">
        <w:rPr>
          <w:rStyle w:val="Textoennegrita"/>
          <w:rFonts w:ascii="Verdana" w:hAnsi="Verdana" w:cs="Arial"/>
          <w:b w:val="0"/>
          <w:bCs w:val="0"/>
          <w:sz w:val="16"/>
          <w:szCs w:val="16"/>
          <w:lang w:val="pt-BR"/>
        </w:rPr>
        <w:t xml:space="preserve"> Sentença de 6 de março de 2019. Série C N</w:t>
      </w:r>
      <w:r w:rsidRPr="0038442F">
        <w:rPr>
          <w:rStyle w:val="Textoennegrita"/>
          <w:rFonts w:ascii="Verdana" w:hAnsi="Verdana" w:cs="Arial"/>
          <w:b w:val="0"/>
          <w:bCs w:val="0"/>
          <w:sz w:val="16"/>
          <w:szCs w:val="16"/>
          <w:vertAlign w:val="superscript"/>
          <w:lang w:val="pt-BR"/>
        </w:rPr>
        <w:t>o.</w:t>
      </w:r>
      <w:r w:rsidRPr="0038442F">
        <w:rPr>
          <w:rStyle w:val="Textoennegrita"/>
          <w:rFonts w:ascii="Verdana" w:hAnsi="Verdana" w:cs="Arial"/>
          <w:b w:val="0"/>
          <w:bCs w:val="0"/>
          <w:sz w:val="16"/>
          <w:szCs w:val="16"/>
          <w:lang w:val="pt-BR"/>
        </w:rPr>
        <w:t xml:space="preserve"> 375; </w:t>
      </w:r>
      <w:r w:rsidRPr="0038442F">
        <w:rPr>
          <w:rFonts w:ascii="Verdana" w:hAnsi="Verdana" w:cs="Arial"/>
          <w:i/>
          <w:sz w:val="16"/>
          <w:szCs w:val="16"/>
          <w:lang w:val="pt-BR"/>
        </w:rPr>
        <w:t>Caso da Associação Nacional de Demitidos e Aposentados da Superintendência Nacional de Administração Tributária (ANCEJUB-SUNAT) Vs. Peru</w:t>
      </w:r>
      <w:r w:rsidRPr="0038442F">
        <w:rPr>
          <w:rFonts w:ascii="Verdana" w:hAnsi="Verdana" w:cs="Arial"/>
          <w:sz w:val="16"/>
          <w:szCs w:val="16"/>
          <w:lang w:val="pt-BR"/>
        </w:rPr>
        <w:t xml:space="preserve">. </w:t>
      </w:r>
      <w:r w:rsidRPr="0038442F">
        <w:rPr>
          <w:rFonts w:ascii="Verdana" w:hAnsi="Verdana" w:cs="Arial"/>
          <w:i/>
          <w:sz w:val="16"/>
          <w:szCs w:val="16"/>
          <w:lang w:val="pt-BR"/>
        </w:rPr>
        <w:t>Exceções Preliminares, Mérito, Reparações e Custas</w:t>
      </w:r>
      <w:r w:rsidRPr="0038442F">
        <w:rPr>
          <w:rFonts w:ascii="Verdana" w:hAnsi="Verdana" w:cs="Arial"/>
          <w:sz w:val="16"/>
          <w:szCs w:val="16"/>
          <w:lang w:val="pt-BR"/>
        </w:rPr>
        <w:t xml:space="preserve">. Sentença de 21 de novembro de 2019. </w:t>
      </w:r>
      <w:r w:rsidRPr="0038442F">
        <w:rPr>
          <w:rStyle w:val="Textoennegrita"/>
          <w:rFonts w:ascii="Verdana" w:hAnsi="Verdana" w:cs="Arial"/>
          <w:b w:val="0"/>
          <w:bCs w:val="0"/>
          <w:sz w:val="16"/>
          <w:szCs w:val="16"/>
          <w:lang w:val="pt-BR"/>
        </w:rPr>
        <w:t>Série C N</w:t>
      </w:r>
      <w:r w:rsidRPr="0038442F">
        <w:rPr>
          <w:rStyle w:val="Textoennegrita"/>
          <w:rFonts w:ascii="Verdana" w:hAnsi="Verdana" w:cs="Arial"/>
          <w:b w:val="0"/>
          <w:bCs w:val="0"/>
          <w:sz w:val="16"/>
          <w:szCs w:val="16"/>
          <w:vertAlign w:val="superscript"/>
          <w:lang w:val="pt-BR"/>
        </w:rPr>
        <w:t>o.</w:t>
      </w:r>
      <w:r w:rsidRPr="0038442F">
        <w:rPr>
          <w:rStyle w:val="Textoennegrita"/>
          <w:rFonts w:ascii="Verdana" w:hAnsi="Verdana" w:cs="Arial"/>
          <w:b w:val="0"/>
          <w:bCs w:val="0"/>
          <w:sz w:val="16"/>
          <w:szCs w:val="16"/>
          <w:lang w:val="pt-BR"/>
        </w:rPr>
        <w:t xml:space="preserve"> 394; </w:t>
      </w:r>
      <w:r w:rsidRPr="0038442F">
        <w:rPr>
          <w:rFonts w:ascii="Verdana" w:hAnsi="Verdana"/>
          <w:i/>
          <w:iCs/>
          <w:sz w:val="16"/>
          <w:szCs w:val="16"/>
          <w:lang w:val="pt-BR"/>
        </w:rPr>
        <w:t>Caso Hernández Vs. Argentina. Exceção Preliminar, Mérito, Reparações e Custas.</w:t>
      </w:r>
      <w:r w:rsidRPr="0038442F">
        <w:rPr>
          <w:rFonts w:ascii="Verdana" w:hAnsi="Verdana"/>
          <w:sz w:val="16"/>
          <w:szCs w:val="16"/>
          <w:lang w:val="pt-BR"/>
        </w:rPr>
        <w:t xml:space="preserve"> Sentença de 22 de novembro de 2019.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395; e Caso </w:t>
      </w:r>
      <w:r w:rsidRPr="0038442F">
        <w:rPr>
          <w:rFonts w:ascii="Verdana" w:hAnsi="Verdana"/>
          <w:i/>
          <w:iCs/>
          <w:sz w:val="16"/>
          <w:szCs w:val="16"/>
          <w:lang w:val="pt-BR"/>
        </w:rPr>
        <w:t>Comunidades Indígenas Membros da Associação Lhaka Honhat (Nossa Terra) Vs. Argentina, supra</w:t>
      </w:r>
      <w:r w:rsidRPr="0038442F">
        <w:rPr>
          <w:rFonts w:ascii="Verdana" w:hAnsi="Verdana"/>
          <w:sz w:val="16"/>
          <w:szCs w:val="16"/>
          <w:lang w:val="pt-BR"/>
        </w:rPr>
        <w:t>.</w:t>
      </w:r>
    </w:p>
  </w:footnote>
  <w:footnote w:id="37">
    <w:p w14:paraId="1ADE629D" w14:textId="55EC3FEC"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Caso Spoltore Vs. Argentina, supra, </w:t>
      </w:r>
      <w:r w:rsidRPr="0038442F">
        <w:rPr>
          <w:rFonts w:ascii="Verdana" w:hAnsi="Verdana"/>
          <w:sz w:val="16"/>
          <w:szCs w:val="16"/>
          <w:lang w:val="pt-BR"/>
        </w:rPr>
        <w:t xml:space="preserve">par. 84 a 87. </w:t>
      </w:r>
    </w:p>
  </w:footnote>
  <w:footnote w:id="38">
    <w:p w14:paraId="7E65BE18" w14:textId="65CE3083" w:rsidR="00252907" w:rsidRPr="0038442F" w:rsidRDefault="00252907" w:rsidP="007F7F32">
      <w:pPr>
        <w:pStyle w:val="Textonotapie"/>
        <w:snapToGrid w:val="0"/>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w:t>
      </w:r>
      <w:r w:rsidRPr="0038442F" w:rsidDel="00A41E0A">
        <w:rPr>
          <w:rFonts w:ascii="Verdana" w:hAnsi="Verdana"/>
          <w:bCs/>
          <w:i/>
          <w:iCs/>
          <w:sz w:val="16"/>
          <w:szCs w:val="16"/>
          <w:lang w:val="pt-BR"/>
        </w:rPr>
        <w:t xml:space="preserve"> </w:t>
      </w:r>
      <w:r w:rsidRPr="0038442F">
        <w:rPr>
          <w:rFonts w:ascii="Verdana" w:hAnsi="Verdana"/>
          <w:bCs/>
          <w:i/>
          <w:iCs/>
          <w:sz w:val="16"/>
          <w:szCs w:val="16"/>
          <w:lang w:val="pt-BR"/>
        </w:rPr>
        <w:t>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174. </w:t>
      </w:r>
    </w:p>
    <w:p w14:paraId="1CA69C02" w14:textId="4298E3BE" w:rsidR="00252907" w:rsidRPr="0038442F" w:rsidRDefault="00252907">
      <w:pPr>
        <w:pStyle w:val="Textonotapie"/>
        <w:rPr>
          <w:rFonts w:ascii="Verdana" w:hAnsi="Verdana"/>
          <w:sz w:val="16"/>
          <w:szCs w:val="16"/>
          <w:lang w:val="pt-BR"/>
        </w:rPr>
      </w:pPr>
    </w:p>
  </w:footnote>
  <w:footnote w:id="39">
    <w:p w14:paraId="3E39277C" w14:textId="1B957071"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Corte IDH se referiu aos “riscos significativos” no contexto do direito ao meio ambiente e dos direitos humanos: “135. A Corte Internacional de Justiça salientou que a obrigação de prevenção surge quando há risco de um dano significativo. De acordo com esse tribunal, o caráter significativo de um risco pode ser determinado levando em conta a natureza e a dimensão do projeto e o contexto em que será realizado”; e “136. Do mesmo modo, os artigos sobre a Prevenção do Dano Transfronteiriço Resultante de Atividades Perigosas, da Comissão de Direito Internacional, só abrangem as atividades que possam implicar um dano significativo, padrões fáticos e objetivos. Por outro lado, a Comissão de Direito Internacional salientou que o Estado de origem não é responsável por prevenir riscos que não sejam previsíveis. Não obstante isso, observou que, de forma paralela, os Estados têm a obrigação de continuamente identificar as atividades que impliquem esse tipo de risco significativo”. </w:t>
      </w:r>
      <w:r w:rsidRPr="0038442F">
        <w:rPr>
          <w:rFonts w:ascii="Verdana" w:hAnsi="Verdana" w:cs="Arial"/>
          <w:i/>
          <w:iCs/>
          <w:sz w:val="16"/>
          <w:szCs w:val="16"/>
          <w:shd w:val="clear" w:color="auto" w:fill="FFFFFF"/>
          <w:lang w:val="pt-BR"/>
        </w:rPr>
        <w:t xml:space="preserve">Meio ambiente e direitos humanos (Obrigações estatais em relação ao meio ambiente no âmbito da proteção e garantia dos direitos à vida e à integridade pessoal - interpretação e alcance dos artigos 4.1 e 5.1, em relação aos artigos 1.1 e 2 da Convenção Americana sobre Direitos Humanos), supra. </w:t>
      </w:r>
    </w:p>
  </w:footnote>
  <w:footnote w:id="40">
    <w:p w14:paraId="31AC9564" w14:textId="3227F3AC"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164 a 171. </w:t>
      </w:r>
    </w:p>
  </w:footnote>
  <w:footnote w:id="41">
    <w:p w14:paraId="44EBF2E5" w14:textId="41BBDE68"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164 a 168 e 170 e 171. </w:t>
      </w:r>
    </w:p>
  </w:footnote>
  <w:footnote w:id="42">
    <w:p w14:paraId="2AD225AB" w14:textId="5F501C36"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175 e 176. </w:t>
      </w:r>
    </w:p>
  </w:footnote>
  <w:footnote w:id="43">
    <w:p w14:paraId="5AFBC8DE" w14:textId="7E809720"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Lagos del Campo Vs. Peru, supra</w:t>
      </w:r>
      <w:r w:rsidRPr="0038442F">
        <w:rPr>
          <w:rFonts w:ascii="Verdana" w:hAnsi="Verdana" w:cs="Arial"/>
          <w:sz w:val="16"/>
          <w:szCs w:val="16"/>
          <w:shd w:val="clear" w:color="auto" w:fill="FFFFFF"/>
          <w:lang w:val="pt-BR"/>
        </w:rPr>
        <w:t xml:space="preserve">, par. </w:t>
      </w:r>
      <w:r w:rsidRPr="0038442F">
        <w:rPr>
          <w:rFonts w:ascii="Verdana" w:hAnsi="Verdana"/>
          <w:sz w:val="16"/>
          <w:szCs w:val="16"/>
          <w:lang w:val="pt-BR"/>
        </w:rPr>
        <w:t xml:space="preserve">149. </w:t>
      </w:r>
    </w:p>
  </w:footnote>
  <w:footnote w:id="44">
    <w:p w14:paraId="31ED6352" w14:textId="77777777"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Em sentido </w:t>
      </w:r>
      <w:r w:rsidRPr="0038442F">
        <w:rPr>
          <w:rStyle w:val="sb8d990e2"/>
          <w:rFonts w:ascii="Verdana" w:hAnsi="Verdana" w:cs="Arial"/>
          <w:sz w:val="16"/>
          <w:szCs w:val="16"/>
          <w:lang w:val="pt-BR"/>
        </w:rPr>
        <w:t>similar, o Comitê de Direitos Humanos se manifestou na Observação Geral N</w:t>
      </w:r>
      <w:r w:rsidRPr="0038442F">
        <w:rPr>
          <w:rStyle w:val="sb8d990e2"/>
          <w:rFonts w:ascii="Verdana" w:hAnsi="Verdana" w:cs="Arial"/>
          <w:sz w:val="16"/>
          <w:szCs w:val="16"/>
          <w:vertAlign w:val="superscript"/>
          <w:lang w:val="pt-BR"/>
        </w:rPr>
        <w:t>o.</w:t>
      </w:r>
      <w:r w:rsidRPr="0038442F">
        <w:rPr>
          <w:rStyle w:val="sb8d990e2"/>
          <w:rFonts w:ascii="Verdana" w:hAnsi="Verdana" w:cs="Arial"/>
          <w:sz w:val="16"/>
          <w:szCs w:val="16"/>
          <w:lang w:val="pt-BR"/>
        </w:rPr>
        <w:t xml:space="preserve"> 36 sobre o direito à vida, ao ressaltar que a obrigação dos Estados Partes de respeitar e garantir o direito à vida é extensível às hipóteses razoavelmente previsíveis de ameaças e situações de risco à vida, que possam ocasionar mortes. </w:t>
      </w:r>
      <w:r w:rsidRPr="0038442F">
        <w:rPr>
          <w:rStyle w:val="sb8d990e2"/>
          <w:rFonts w:ascii="Verdana" w:hAnsi="Verdana" w:cs="Arial"/>
          <w:i/>
          <w:iCs/>
          <w:sz w:val="16"/>
          <w:szCs w:val="16"/>
          <w:lang w:val="pt-BR"/>
        </w:rPr>
        <w:t xml:space="preserve">Cf. </w:t>
      </w:r>
      <w:r w:rsidRPr="0038442F">
        <w:rPr>
          <w:rStyle w:val="sb8d990e2"/>
          <w:rFonts w:ascii="Verdana" w:hAnsi="Verdana" w:cs="Arial"/>
          <w:sz w:val="16"/>
          <w:szCs w:val="16"/>
          <w:lang w:val="pt-BR"/>
        </w:rPr>
        <w:t xml:space="preserve">Comitê de Direitos Humanos, </w:t>
      </w:r>
      <w:r w:rsidRPr="0038442F">
        <w:rPr>
          <w:rStyle w:val="sb8d990e2"/>
          <w:rFonts w:ascii="Verdana" w:hAnsi="Verdana" w:cs="Arial"/>
          <w:i/>
          <w:iCs/>
          <w:sz w:val="16"/>
          <w:szCs w:val="16"/>
          <w:lang w:val="pt-BR"/>
        </w:rPr>
        <w:t>Observação Geral N</w:t>
      </w:r>
      <w:r w:rsidRPr="0038442F">
        <w:rPr>
          <w:rStyle w:val="sb8d990e2"/>
          <w:rFonts w:ascii="Verdana" w:hAnsi="Verdana" w:cs="Arial"/>
          <w:i/>
          <w:iCs/>
          <w:sz w:val="16"/>
          <w:szCs w:val="16"/>
          <w:vertAlign w:val="superscript"/>
          <w:lang w:val="pt-BR"/>
        </w:rPr>
        <w:t>o.</w:t>
      </w:r>
      <w:r w:rsidRPr="0038442F">
        <w:rPr>
          <w:rStyle w:val="sb8d990e2"/>
          <w:rFonts w:ascii="Verdana" w:hAnsi="Verdana" w:cs="Arial"/>
          <w:i/>
          <w:iCs/>
          <w:sz w:val="16"/>
          <w:szCs w:val="16"/>
          <w:lang w:val="pt-BR"/>
        </w:rPr>
        <w:t xml:space="preserve"> 36, Direito à vida</w:t>
      </w:r>
      <w:r w:rsidRPr="0038442F">
        <w:rPr>
          <w:rStyle w:val="sb8d990e2"/>
          <w:rFonts w:ascii="Verdana" w:hAnsi="Verdana" w:cs="Arial"/>
          <w:sz w:val="16"/>
          <w:szCs w:val="16"/>
          <w:lang w:val="pt-BR"/>
        </w:rPr>
        <w:t>, CCPR//C/GC/36, 3 de setembro de 2019, par. 7. Até o momento, o referido Comitê analisou essa situação em um caso sobre meio ambiente e danos à vida, em virtude do uso de agroquímicos que, a critério do Comitê, constituíam</w:t>
      </w:r>
      <w:r w:rsidRPr="0038442F">
        <w:rPr>
          <w:rFonts w:ascii="Verdana" w:hAnsi="Verdana"/>
          <w:sz w:val="16"/>
          <w:szCs w:val="16"/>
          <w:lang w:val="pt-BR"/>
        </w:rPr>
        <w:t xml:space="preserve"> “ameaças à vida dos autores que eram razoavelmente previsíveis pelo Estado Parte”. </w:t>
      </w:r>
      <w:r w:rsidRPr="0038442F">
        <w:rPr>
          <w:rFonts w:ascii="Verdana" w:hAnsi="Verdana"/>
          <w:i/>
          <w:iCs/>
          <w:sz w:val="16"/>
          <w:szCs w:val="16"/>
          <w:lang w:val="pt-BR"/>
        </w:rPr>
        <w:t xml:space="preserve">Cf. </w:t>
      </w:r>
      <w:r w:rsidRPr="0038442F">
        <w:rPr>
          <w:rFonts w:ascii="Verdana" w:hAnsi="Verdana"/>
          <w:sz w:val="16"/>
          <w:szCs w:val="16"/>
          <w:lang w:val="pt-BR"/>
        </w:rPr>
        <w:t xml:space="preserve">Comitê de Direitos Humanos, </w:t>
      </w:r>
      <w:r w:rsidRPr="0038442F">
        <w:rPr>
          <w:rFonts w:ascii="Verdana" w:hAnsi="Verdana"/>
          <w:i/>
          <w:iCs/>
          <w:sz w:val="16"/>
          <w:szCs w:val="16"/>
          <w:lang w:val="pt-BR"/>
        </w:rPr>
        <w:t>Norma Portillo López Vs. Paraguai</w:t>
      </w:r>
      <w:r w:rsidRPr="0038442F">
        <w:rPr>
          <w:rFonts w:ascii="Verdana" w:hAnsi="Verdana"/>
          <w:sz w:val="16"/>
          <w:szCs w:val="16"/>
          <w:lang w:val="pt-BR"/>
        </w:rPr>
        <w:t xml:space="preserve">, CCPR/C/126/D/2751/2016, 25 de julho de 2019, par. 7.3 e 7.5. </w:t>
      </w:r>
    </w:p>
  </w:footnote>
  <w:footnote w:id="45">
    <w:p w14:paraId="7B08196D" w14:textId="7777777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Brincat e outros Vs. Malta, </w:t>
      </w:r>
      <w:r w:rsidRPr="0038442F">
        <w:rPr>
          <w:rStyle w:val="s6b621b36"/>
          <w:rFonts w:ascii="Verdana" w:hAnsi="Verdana" w:cs="Arial"/>
          <w:sz w:val="16"/>
          <w:szCs w:val="16"/>
          <w:lang w:val="pt-BR"/>
        </w:rPr>
        <w:t xml:space="preserve">sentença de 24 de julho de 2014, par. 79. </w:t>
      </w:r>
    </w:p>
  </w:footnote>
  <w:footnote w:id="46">
    <w:p w14:paraId="00C4663C" w14:textId="33129611"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Style w:val="sb8d990e2"/>
          <w:rFonts w:ascii="Verdana" w:hAnsi="Verdana" w:cs="Arial"/>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Öneryıldız Vs. Turquia, </w:t>
      </w:r>
      <w:r w:rsidRPr="0038442F">
        <w:rPr>
          <w:rStyle w:val="s6b621b36"/>
          <w:rFonts w:ascii="Verdana" w:hAnsi="Verdana" w:cs="Arial"/>
          <w:sz w:val="16"/>
          <w:szCs w:val="16"/>
          <w:lang w:val="pt-BR"/>
        </w:rPr>
        <w:t>sentença de 30 de novembro de 2011</w:t>
      </w:r>
      <w:r w:rsidRPr="0038442F">
        <w:rPr>
          <w:rStyle w:val="sb8d990e2"/>
          <w:rFonts w:ascii="Verdana" w:hAnsi="Verdana" w:cs="Arial"/>
          <w:sz w:val="16"/>
          <w:szCs w:val="16"/>
          <w:lang w:val="pt-BR"/>
        </w:rPr>
        <w:t>, par. 71.</w:t>
      </w:r>
    </w:p>
  </w:footnote>
  <w:footnote w:id="47">
    <w:p w14:paraId="0992B430" w14:textId="7777777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Style w:val="sb8d990e2"/>
          <w:rFonts w:ascii="Verdana" w:hAnsi="Verdana" w:cs="Arial"/>
          <w:sz w:val="16"/>
          <w:szCs w:val="16"/>
          <w:lang w:val="pt-BR"/>
        </w:rPr>
        <w:t xml:space="preserve">TEDH, Caso </w:t>
      </w:r>
      <w:r w:rsidRPr="0038442F">
        <w:rPr>
          <w:rStyle w:val="s6b621b36"/>
          <w:rFonts w:ascii="Verdana" w:hAnsi="Verdana" w:cs="Arial"/>
          <w:i/>
          <w:iCs/>
          <w:sz w:val="16"/>
          <w:szCs w:val="16"/>
          <w:lang w:val="pt-BR"/>
        </w:rPr>
        <w:t xml:space="preserve">L.C.B. Vs. Reino Unido, </w:t>
      </w:r>
      <w:r w:rsidRPr="0038442F">
        <w:rPr>
          <w:rStyle w:val="s6b621b36"/>
          <w:rFonts w:ascii="Verdana" w:hAnsi="Verdana" w:cs="Arial"/>
          <w:sz w:val="16"/>
          <w:szCs w:val="16"/>
          <w:lang w:val="pt-BR"/>
        </w:rPr>
        <w:t>sentença de 9 de junho de 1998, par. 36.</w:t>
      </w:r>
    </w:p>
  </w:footnote>
  <w:footnote w:id="48">
    <w:p w14:paraId="5C17453E" w14:textId="77777777" w:rsidR="00252907" w:rsidRPr="0038442F" w:rsidRDefault="00252907" w:rsidP="000777E8">
      <w:pPr>
        <w:pStyle w:val="s30eec3f8"/>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i/>
          <w:iCs/>
          <w:sz w:val="16"/>
          <w:szCs w:val="16"/>
          <w:lang w:val="pt-BR"/>
        </w:rPr>
        <w:tab/>
      </w:r>
      <w:r w:rsidRPr="0038442F">
        <w:rPr>
          <w:rStyle w:val="sb8d990e2"/>
          <w:rFonts w:ascii="Verdana" w:hAnsi="Verdana" w:cs="Arial"/>
          <w:i/>
          <w:iCs/>
          <w:sz w:val="16"/>
          <w:szCs w:val="16"/>
          <w:lang w:val="pt-BR"/>
        </w:rPr>
        <w:t xml:space="preserve">Cf. </w:t>
      </w:r>
      <w:r w:rsidRPr="0038442F">
        <w:rPr>
          <w:rStyle w:val="sb8d990e2"/>
          <w:rFonts w:ascii="Verdana" w:hAnsi="Verdana" w:cs="Arial"/>
          <w:sz w:val="16"/>
          <w:szCs w:val="16"/>
          <w:lang w:val="pt-BR"/>
        </w:rPr>
        <w:t xml:space="preserve">TEDH, </w:t>
      </w:r>
      <w:r w:rsidRPr="0038442F">
        <w:rPr>
          <w:rStyle w:val="sb8d990e2"/>
          <w:rFonts w:ascii="Verdana" w:hAnsi="Verdana" w:cs="Arial"/>
          <w:i/>
          <w:iCs/>
          <w:sz w:val="16"/>
          <w:szCs w:val="16"/>
          <w:lang w:val="pt-BR"/>
        </w:rPr>
        <w:t xml:space="preserve">Caso </w:t>
      </w:r>
      <w:r w:rsidRPr="0038442F">
        <w:rPr>
          <w:rStyle w:val="s6b621b36"/>
          <w:rFonts w:ascii="Verdana" w:hAnsi="Verdana" w:cs="Arial"/>
          <w:i/>
          <w:iCs/>
          <w:sz w:val="16"/>
          <w:szCs w:val="16"/>
          <w:lang w:val="pt-BR"/>
        </w:rPr>
        <w:t xml:space="preserve">Guerra e outros Vs. Itália, </w:t>
      </w:r>
      <w:r w:rsidRPr="0038442F">
        <w:rPr>
          <w:rStyle w:val="s6b621b36"/>
          <w:rFonts w:ascii="Verdana" w:hAnsi="Verdana" w:cs="Arial"/>
          <w:sz w:val="16"/>
          <w:szCs w:val="16"/>
          <w:lang w:val="pt-BR"/>
        </w:rPr>
        <w:t>sentença de</w:t>
      </w:r>
      <w:r w:rsidRPr="0038442F">
        <w:rPr>
          <w:rStyle w:val="sb8d990e2"/>
          <w:rFonts w:ascii="Verdana" w:hAnsi="Verdana" w:cs="Arial"/>
          <w:sz w:val="16"/>
          <w:szCs w:val="16"/>
          <w:lang w:val="pt-BR"/>
        </w:rPr>
        <w:t xml:space="preserve"> 19 de fevereiro de 1998, par. 60 e 62, embora nesse caso o Tribunal tenha considerado que não era necessário examinar a questão, em virtude do artigo 2, já que se havia examinado segundo o artigo 8.</w:t>
      </w:r>
    </w:p>
  </w:footnote>
  <w:footnote w:id="49">
    <w:p w14:paraId="03C83C86" w14:textId="7777777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Brincat e outros Vs. Malta, </w:t>
      </w:r>
      <w:r w:rsidRPr="0038442F">
        <w:rPr>
          <w:rStyle w:val="s6b621b36"/>
          <w:rFonts w:ascii="Verdana" w:hAnsi="Verdana" w:cs="Arial"/>
          <w:sz w:val="16"/>
          <w:szCs w:val="16"/>
          <w:lang w:val="pt-BR"/>
        </w:rPr>
        <w:t>sentença de 24 de julho de 2014, par. 81.</w:t>
      </w:r>
    </w:p>
  </w:footnote>
  <w:footnote w:id="50">
    <w:p w14:paraId="06400594" w14:textId="170D6E5A" w:rsidR="00252907" w:rsidRPr="0038442F" w:rsidRDefault="00252907" w:rsidP="000777E8">
      <w:pPr>
        <w:snapToGrid w:val="0"/>
        <w:jc w:val="both"/>
        <w:rPr>
          <w:rFonts w:ascii="Verdana" w:hAnsi="Verdana" w:cstheme="minorBidi"/>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Os exemplos incluem </w:t>
      </w:r>
      <w:r w:rsidRPr="0038442F">
        <w:rPr>
          <w:rStyle w:val="sb8d990e2"/>
          <w:rFonts w:ascii="Verdana" w:hAnsi="Verdana" w:cs="Arial"/>
          <w:sz w:val="16"/>
          <w:szCs w:val="16"/>
          <w:lang w:val="pt-BR"/>
        </w:rPr>
        <w:t xml:space="preserve">casos em que a integridade física de um solicitante se viu ameaçada pela ação de um terceiro (TEDH, </w:t>
      </w:r>
      <w:r w:rsidRPr="0038442F">
        <w:rPr>
          <w:rStyle w:val="sb8d990e2"/>
          <w:rFonts w:ascii="Verdana" w:hAnsi="Verdana" w:cs="Arial"/>
          <w:i/>
          <w:iCs/>
          <w:sz w:val="16"/>
          <w:szCs w:val="16"/>
          <w:lang w:val="pt-BR"/>
        </w:rPr>
        <w:t>Caso</w:t>
      </w:r>
      <w:r w:rsidRPr="0038442F">
        <w:rPr>
          <w:rStyle w:val="sb8d990e2"/>
          <w:rFonts w:ascii="Verdana" w:hAnsi="Verdana" w:cs="Arial"/>
          <w:sz w:val="16"/>
          <w:szCs w:val="16"/>
          <w:lang w:val="pt-BR"/>
        </w:rPr>
        <w:t xml:space="preserve"> </w:t>
      </w:r>
      <w:r w:rsidRPr="0038442F">
        <w:rPr>
          <w:rStyle w:val="s6b621b36"/>
          <w:rFonts w:ascii="Verdana" w:hAnsi="Verdana" w:cs="Arial"/>
          <w:i/>
          <w:iCs/>
          <w:sz w:val="16"/>
          <w:szCs w:val="16"/>
          <w:lang w:val="pt-BR"/>
        </w:rPr>
        <w:t>Osman Vs. Reino Unido</w:t>
      </w:r>
      <w:r w:rsidRPr="0038442F">
        <w:rPr>
          <w:rStyle w:val="sb8d990e2"/>
          <w:rFonts w:ascii="Verdana" w:hAnsi="Verdana" w:cs="Arial"/>
          <w:sz w:val="16"/>
          <w:szCs w:val="16"/>
          <w:lang w:val="pt-BR"/>
        </w:rPr>
        <w:t xml:space="preserve">, sentença de 28 de outubro de 1998, par. 115-122) ou como resultado de uma catástrofe que não deixou dúvidas sobre a existência de uma ameaça à integridade física dos solicitantes (TEDH, </w:t>
      </w:r>
      <w:r w:rsidRPr="0038442F">
        <w:rPr>
          <w:rStyle w:val="sb8d990e2"/>
          <w:rFonts w:ascii="Verdana" w:hAnsi="Verdana" w:cs="Arial"/>
          <w:i/>
          <w:iCs/>
          <w:sz w:val="16"/>
          <w:szCs w:val="16"/>
          <w:lang w:val="pt-BR"/>
        </w:rPr>
        <w:t>Caso</w:t>
      </w:r>
      <w:r w:rsidRPr="0038442F">
        <w:rPr>
          <w:rStyle w:val="sb8d990e2"/>
          <w:rFonts w:ascii="Verdana" w:hAnsi="Verdana" w:cs="Arial"/>
          <w:sz w:val="16"/>
          <w:szCs w:val="16"/>
          <w:lang w:val="pt-BR"/>
        </w:rPr>
        <w:t xml:space="preserve"> </w:t>
      </w:r>
      <w:r w:rsidRPr="0038442F">
        <w:rPr>
          <w:rStyle w:val="s6b621b36"/>
          <w:rFonts w:ascii="Verdana" w:hAnsi="Verdana" w:cs="Arial"/>
          <w:i/>
          <w:iCs/>
          <w:sz w:val="16"/>
          <w:szCs w:val="16"/>
          <w:lang w:val="pt-BR"/>
        </w:rPr>
        <w:t xml:space="preserve">Budayeva e outros Vs. Rússia, </w:t>
      </w:r>
      <w:r w:rsidRPr="0038442F">
        <w:rPr>
          <w:rStyle w:val="s6b621b36"/>
          <w:rFonts w:ascii="Verdana" w:hAnsi="Verdana" w:cs="Arial"/>
          <w:sz w:val="16"/>
          <w:szCs w:val="16"/>
          <w:lang w:val="pt-BR"/>
        </w:rPr>
        <w:t xml:space="preserve">sentença de 29 de março de 2008, par. </w:t>
      </w:r>
      <w:r w:rsidRPr="0038442F">
        <w:rPr>
          <w:rStyle w:val="sb8d990e2"/>
          <w:rFonts w:ascii="Verdana" w:hAnsi="Verdana" w:cs="Arial"/>
          <w:sz w:val="16"/>
          <w:szCs w:val="16"/>
          <w:lang w:val="pt-BR"/>
        </w:rPr>
        <w:t>146).</w:t>
      </w:r>
    </w:p>
  </w:footnote>
  <w:footnote w:id="51">
    <w:p w14:paraId="6122AB1F" w14:textId="719B879A"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Ver “Artigo 2. Direito a condições de trabalho equitativas. Para garantir o exercício efetivo do direito a condições de trabalho equitativas, as Partes se comprometem: […] 4 a eliminar os riscos inerentes às ocupações perigosas ou insalubres e, nos casos em que não tenha sido possível eliminar ou reduzir suficientemente esses riscos, a assegurar aos trabalhadores empregados nessas ocupações uma redução das horas de trabalho, ou dias de descanso pagos de maneira suplementar […]”.</w:t>
      </w:r>
    </w:p>
  </w:footnote>
  <w:footnote w:id="52">
    <w:p w14:paraId="0A0BB27C" w14:textId="0EB4A029"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“Artigo 3. Direito à segurança e higiene no trabalho. Para garantir o exercício efetivo do direito à segurança e higiene no trabalho, as Partes se comprometem, após consulta com as organizações de empregadores e de trabalhadores: 1. a formular, aplicar e revisar periodicamente uma política nacional coerente sobre segurança e higiene no trabalho e sobre o ambiente de trabalho. Essa política terá como objetivo principal o melhoramento da segurança e da higiene no trabalho e a prevenção de acidentes e de danos à saúde, decorrentes do trabalho, ou com ele relacionados, ou que ocorram durante seu curso, em especial, minimizando as causas dos riscos inerentes ao ambiente de trabalho; 2. a promulgar regulamentos de segurança e higiene; 3. a adotar as medidas precisas para controlar a aplicação de tais regulamentos; 4. a promover o estabelecimento progressivo de serviços de higiene no trabalho para todos os trabalhadores, com funções essencialmente preventivas e de assessoramento”. </w:t>
      </w:r>
    </w:p>
  </w:footnote>
  <w:footnote w:id="53">
    <w:p w14:paraId="7DCAF9F0" w14:textId="2081C178" w:rsidR="00252907" w:rsidRPr="0038442F" w:rsidRDefault="00252907" w:rsidP="000777E8">
      <w:pPr>
        <w:shd w:val="clear" w:color="auto" w:fill="FFFFFF"/>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i/>
          <w:iCs/>
          <w:sz w:val="16"/>
          <w:szCs w:val="16"/>
          <w:lang w:val="pt-BR"/>
        </w:rPr>
        <w:tab/>
        <w:t xml:space="preserve">Cf. </w:t>
      </w:r>
      <w:r w:rsidRPr="0038442F">
        <w:rPr>
          <w:rFonts w:ascii="Verdana" w:hAnsi="Verdana"/>
          <w:sz w:val="16"/>
          <w:szCs w:val="16"/>
          <w:lang w:val="pt-BR"/>
        </w:rPr>
        <w:t xml:space="preserve">CEDS, </w:t>
      </w:r>
      <w:r w:rsidRPr="0038442F">
        <w:rPr>
          <w:rFonts w:ascii="Verdana" w:hAnsi="Verdana"/>
          <w:i/>
          <w:sz w:val="16"/>
          <w:szCs w:val="16"/>
          <w:lang w:val="pt-BR"/>
        </w:rPr>
        <w:t>Caso STTK ry e Tehy ry Vs. Finlândia</w:t>
      </w:r>
      <w:r w:rsidRPr="0038442F">
        <w:rPr>
          <w:rFonts w:ascii="Verdana" w:hAnsi="Verdana"/>
          <w:sz w:val="16"/>
          <w:szCs w:val="16"/>
          <w:lang w:val="pt-BR"/>
        </w:rPr>
        <w:t>, Queixa N</w:t>
      </w:r>
      <w:r w:rsidRPr="0038442F">
        <w:rPr>
          <w:rFonts w:ascii="Verdana" w:hAnsi="Verdana"/>
          <w:sz w:val="16"/>
          <w:szCs w:val="16"/>
          <w:vertAlign w:val="superscript"/>
          <w:lang w:val="pt-BR"/>
        </w:rPr>
        <w:t>o.</w:t>
      </w:r>
      <w:r w:rsidRPr="0038442F">
        <w:rPr>
          <w:rFonts w:ascii="Verdana" w:hAnsi="Verdana"/>
          <w:sz w:val="16"/>
          <w:szCs w:val="16"/>
          <w:lang w:val="pt-BR"/>
        </w:rPr>
        <w:t xml:space="preserve"> 10/2000, decisão de 17 de outubro de 2001, par. 27. </w:t>
      </w:r>
    </w:p>
  </w:footnote>
  <w:footnote w:id="54">
    <w:p w14:paraId="6EE3638C" w14:textId="1D567AD0" w:rsidR="00252907" w:rsidRPr="0038442F" w:rsidRDefault="00252907" w:rsidP="000777E8">
      <w:pPr>
        <w:pStyle w:val="s30eec3f8"/>
        <w:shd w:val="clear" w:color="auto" w:fill="FFFFFF"/>
        <w:snapToGrid w:val="0"/>
        <w:spacing w:before="0" w:beforeAutospacing="0" w:after="0" w:afterAutospacing="0"/>
        <w:jc w:val="both"/>
        <w:rPr>
          <w:rFonts w:ascii="Verdana" w:hAnsi="Verdana" w:cs="Arial"/>
          <w:sz w:val="16"/>
          <w:szCs w:val="16"/>
          <w:highlight w:val="yellow"/>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Brincat e outros Vs. Malta, </w:t>
      </w:r>
      <w:r w:rsidRPr="0038442F">
        <w:rPr>
          <w:rStyle w:val="s6b621b36"/>
          <w:rFonts w:ascii="Verdana" w:hAnsi="Verdana" w:cs="Arial"/>
          <w:sz w:val="16"/>
          <w:szCs w:val="16"/>
          <w:lang w:val="pt-BR"/>
        </w:rPr>
        <w:t xml:space="preserve">sentença de 24 de julho de 2014, par. </w:t>
      </w:r>
      <w:r w:rsidRPr="0038442F">
        <w:rPr>
          <w:rStyle w:val="sb8d990e2"/>
          <w:rFonts w:ascii="Verdana" w:hAnsi="Verdana" w:cs="Arial"/>
          <w:sz w:val="16"/>
          <w:szCs w:val="16"/>
          <w:lang w:val="pt-BR"/>
        </w:rPr>
        <w:t>115. Nesse caso, o Tribunal analisou o argumento estatal segundo o qual aos trabalhadores que haviam estado expostos ao amianto, após ter o governo tomado conhecimento dos riscos dessa substância, foram oferecidas compensações ou um subsídio especial para realizar o trabalho. Não obstante isso, o TEDH rejeitou esse argumento, uma vez que o governo não havia prestado informação sobre se os demandantes desse caso tinham direito à indenização e se a haviam aceitado ou recebido; nem sobre o momento em que se dispôs efetivamente essa compensação. Por isso, a critério do Tribunal, os argumentos do Estado foram apenas uma afirmação abstrata (par. 115).</w:t>
      </w:r>
    </w:p>
  </w:footnote>
  <w:footnote w:id="55">
    <w:p w14:paraId="246ED956" w14:textId="4FBBBE3B" w:rsidR="00252907" w:rsidRPr="0038442F" w:rsidRDefault="00252907" w:rsidP="000777E8">
      <w:pPr>
        <w:pStyle w:val="s32b251d"/>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Style w:val="s38c10080"/>
          <w:rFonts w:ascii="Verdana" w:hAnsi="Verdana" w:cs="Arial"/>
          <w:i/>
          <w:iCs/>
          <w:sz w:val="16"/>
          <w:szCs w:val="16"/>
          <w:lang w:val="pt-BR"/>
        </w:rPr>
        <w:t xml:space="preserve">Confederação Geral Italiana do Trabalho </w:t>
      </w:r>
      <w:r w:rsidRPr="0038442F">
        <w:rPr>
          <w:rStyle w:val="s7d2086b4"/>
          <w:rFonts w:ascii="Verdana" w:hAnsi="Verdana" w:cs="Arial"/>
          <w:i/>
          <w:iCs/>
          <w:sz w:val="16"/>
          <w:szCs w:val="16"/>
          <w:lang w:val="pt-BR"/>
        </w:rPr>
        <w:t>(CGIL) Vs. Itália</w:t>
      </w:r>
      <w:r w:rsidRPr="0038442F">
        <w:rPr>
          <w:rStyle w:val="s7d2086b4"/>
          <w:rFonts w:ascii="Verdana" w:hAnsi="Verdana" w:cs="Arial"/>
          <w:sz w:val="16"/>
          <w:szCs w:val="16"/>
          <w:lang w:val="pt-BR"/>
        </w:rPr>
        <w:t xml:space="preserve">, </w:t>
      </w:r>
      <w:r w:rsidRPr="0038442F">
        <w:rPr>
          <w:rStyle w:val="sb8d990e2"/>
          <w:rFonts w:ascii="Verdana" w:hAnsi="Verdana" w:cs="Arial"/>
          <w:sz w:val="16"/>
          <w:szCs w:val="16"/>
          <w:lang w:val="pt-BR"/>
        </w:rPr>
        <w:t>Queixa N</w:t>
      </w:r>
      <w:r w:rsidRPr="0038442F">
        <w:rPr>
          <w:rStyle w:val="sb8d990e2"/>
          <w:rFonts w:ascii="Verdana" w:hAnsi="Verdana" w:cs="Arial"/>
          <w:sz w:val="16"/>
          <w:szCs w:val="16"/>
          <w:vertAlign w:val="superscript"/>
          <w:lang w:val="pt-BR"/>
        </w:rPr>
        <w:t>o.</w:t>
      </w:r>
      <w:r w:rsidRPr="0038442F">
        <w:rPr>
          <w:rStyle w:val="sb8d990e2"/>
          <w:rFonts w:ascii="Verdana" w:hAnsi="Verdana" w:cs="Arial"/>
          <w:sz w:val="16"/>
          <w:szCs w:val="16"/>
          <w:lang w:val="pt-BR"/>
        </w:rPr>
        <w:t xml:space="preserve"> 91/2013</w:t>
      </w:r>
      <w:r w:rsidRPr="0038442F">
        <w:rPr>
          <w:rFonts w:ascii="Verdana" w:hAnsi="Verdana" w:cs="Arial"/>
          <w:sz w:val="16"/>
          <w:szCs w:val="16"/>
          <w:lang w:val="pt-BR"/>
        </w:rPr>
        <w:t xml:space="preserve">, </w:t>
      </w:r>
      <w:r w:rsidRPr="0038442F">
        <w:rPr>
          <w:rStyle w:val="s7d2086b4"/>
          <w:rFonts w:ascii="Verdana" w:hAnsi="Verdana" w:cs="Arial"/>
          <w:sz w:val="16"/>
          <w:szCs w:val="16"/>
          <w:lang w:val="pt-BR"/>
        </w:rPr>
        <w:t xml:space="preserve">decisão de 12 de outubro de 2005, par. </w:t>
      </w:r>
      <w:r w:rsidRPr="0038442F">
        <w:rPr>
          <w:rFonts w:ascii="Verdana" w:hAnsi="Verdana"/>
          <w:sz w:val="16"/>
          <w:szCs w:val="16"/>
          <w:lang w:val="pt-BR"/>
        </w:rPr>
        <w:t xml:space="preserve">275 e 276. </w:t>
      </w:r>
    </w:p>
  </w:footnote>
  <w:footnote w:id="56">
    <w:p w14:paraId="4B948C3D" w14:textId="2E25CB10" w:rsidR="00252907" w:rsidRPr="0038442F" w:rsidRDefault="00252907" w:rsidP="000777E8">
      <w:pPr>
        <w:pStyle w:val="s1bd70772"/>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Binişan Vs. Romênia, </w:t>
      </w:r>
      <w:r w:rsidRPr="0038442F">
        <w:rPr>
          <w:rStyle w:val="s6b621b36"/>
          <w:rFonts w:ascii="Verdana" w:hAnsi="Verdana" w:cs="Arial"/>
          <w:sz w:val="16"/>
          <w:szCs w:val="16"/>
          <w:lang w:val="pt-BR"/>
        </w:rPr>
        <w:t xml:space="preserve">sentença de 20 de maio de 2014, par. </w:t>
      </w:r>
      <w:r w:rsidRPr="0038442F">
        <w:rPr>
          <w:rStyle w:val="s6b621b36"/>
          <w:rFonts w:ascii="Verdana" w:hAnsi="Verdana" w:cs="Arial"/>
          <w:i/>
          <w:iCs/>
          <w:sz w:val="16"/>
          <w:szCs w:val="16"/>
          <w:lang w:val="pt-BR"/>
        </w:rPr>
        <w:t xml:space="preserve">72; </w:t>
      </w:r>
      <w:r w:rsidRPr="0038442F">
        <w:rPr>
          <w:rFonts w:ascii="Verdana" w:hAnsi="Verdana"/>
          <w:sz w:val="16"/>
          <w:szCs w:val="16"/>
          <w:lang w:val="pt-BR"/>
        </w:rPr>
        <w:t xml:space="preserve">e Caso </w:t>
      </w:r>
      <w:r w:rsidRPr="0038442F">
        <w:rPr>
          <w:rStyle w:val="s6b621b36"/>
          <w:rFonts w:ascii="Verdana" w:hAnsi="Verdana" w:cs="Arial"/>
          <w:i/>
          <w:iCs/>
          <w:sz w:val="16"/>
          <w:szCs w:val="16"/>
          <w:lang w:val="pt-BR"/>
        </w:rPr>
        <w:t>Kalender Vs. Turquia,</w:t>
      </w:r>
      <w:r w:rsidRPr="0038442F">
        <w:rPr>
          <w:rStyle w:val="sb8d990e2"/>
          <w:rFonts w:ascii="Verdana" w:hAnsi="Verdana" w:cs="Arial"/>
          <w:sz w:val="16"/>
          <w:szCs w:val="16"/>
          <w:lang w:val="pt-BR"/>
        </w:rPr>
        <w:t xml:space="preserve"> sentença de 15 de dezembro de 2009, par. 43-47. </w:t>
      </w:r>
    </w:p>
  </w:footnote>
  <w:footnote w:id="57">
    <w:p w14:paraId="1CD4CB64" w14:textId="692FDB07" w:rsidR="00252907" w:rsidRPr="0038442F" w:rsidRDefault="00252907" w:rsidP="000777E8">
      <w:pPr>
        <w:pStyle w:val="s1bd70772"/>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Binişan Vs. Romênia, </w:t>
      </w:r>
      <w:r w:rsidRPr="0038442F">
        <w:rPr>
          <w:rStyle w:val="s6b621b36"/>
          <w:rFonts w:ascii="Verdana" w:hAnsi="Verdana" w:cs="Arial"/>
          <w:sz w:val="16"/>
          <w:szCs w:val="16"/>
          <w:lang w:val="pt-BR"/>
        </w:rPr>
        <w:t xml:space="preserve">sentença de 20 de maio de 2014, par. </w:t>
      </w:r>
      <w:r w:rsidRPr="0038442F">
        <w:rPr>
          <w:rStyle w:val="s6b621b36"/>
          <w:rFonts w:ascii="Verdana" w:hAnsi="Verdana" w:cs="Arial"/>
          <w:i/>
          <w:iCs/>
          <w:sz w:val="16"/>
          <w:szCs w:val="16"/>
          <w:lang w:val="pt-BR"/>
        </w:rPr>
        <w:t>72;</w:t>
      </w:r>
      <w:r w:rsidRPr="0038442F">
        <w:rPr>
          <w:rFonts w:ascii="Verdana" w:hAnsi="Verdana"/>
          <w:sz w:val="16"/>
          <w:szCs w:val="16"/>
          <w:lang w:val="pt-BR"/>
        </w:rPr>
        <w:t xml:space="preserve"> e Caso </w:t>
      </w:r>
      <w:r w:rsidRPr="0038442F">
        <w:rPr>
          <w:rStyle w:val="s6b621b36"/>
          <w:rFonts w:ascii="Verdana" w:hAnsi="Verdana" w:cs="Arial"/>
          <w:i/>
          <w:iCs/>
          <w:sz w:val="16"/>
          <w:szCs w:val="16"/>
          <w:lang w:val="pt-BR"/>
        </w:rPr>
        <w:t>Kalender Vs. Turquia,</w:t>
      </w:r>
      <w:r w:rsidRPr="0038442F">
        <w:rPr>
          <w:rStyle w:val="sb8d990e2"/>
          <w:rFonts w:ascii="Verdana" w:hAnsi="Verdana" w:cs="Arial"/>
          <w:sz w:val="16"/>
          <w:szCs w:val="16"/>
          <w:lang w:val="pt-BR"/>
        </w:rPr>
        <w:t xml:space="preserve"> sentença de 15 de dezembro de 2009, par. 43-47. </w:t>
      </w:r>
    </w:p>
  </w:footnote>
  <w:footnote w:id="58">
    <w:p w14:paraId="2A8B7CE4" w14:textId="486499B4"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Fonts w:ascii="Verdana" w:hAnsi="Verdana" w:cs="Arial"/>
          <w:i/>
          <w:iCs/>
          <w:sz w:val="16"/>
          <w:szCs w:val="16"/>
          <w:shd w:val="clear" w:color="auto" w:fill="FFFFFF"/>
          <w:lang w:val="pt-BR"/>
        </w:rPr>
        <w:t>Fundação Marangopoulos para os Direitos Humanos (MFHR) Vs. Grécia</w:t>
      </w:r>
      <w:r w:rsidRPr="0038442F">
        <w:rPr>
          <w:rFonts w:ascii="Verdana" w:hAnsi="Verdana" w:cs="Arial"/>
          <w:sz w:val="16"/>
          <w:szCs w:val="16"/>
          <w:shd w:val="clear" w:color="auto" w:fill="FFFFFF"/>
          <w:lang w:val="pt-BR"/>
        </w:rPr>
        <w:t>, Queixa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30/2005, decisão de 6 de dezembro de 2006, par. 224.</w:t>
      </w:r>
      <w:r w:rsidRPr="0038442F">
        <w:rPr>
          <w:rFonts w:ascii="Verdana" w:hAnsi="Verdana" w:cs="Arial"/>
          <w:b/>
          <w:bCs/>
          <w:sz w:val="16"/>
          <w:szCs w:val="16"/>
          <w:shd w:val="clear" w:color="auto" w:fill="FFFFFF"/>
          <w:lang w:val="pt-BR"/>
        </w:rPr>
        <w:t xml:space="preserve"> </w:t>
      </w:r>
    </w:p>
  </w:footnote>
  <w:footnote w:id="59">
    <w:p w14:paraId="44430E32" w14:textId="1A8CDEBB"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Brincat e outros Vs. Malta, </w:t>
      </w:r>
      <w:r w:rsidRPr="0038442F">
        <w:rPr>
          <w:rStyle w:val="s6b621b36"/>
          <w:rFonts w:ascii="Verdana" w:hAnsi="Verdana" w:cs="Arial"/>
          <w:sz w:val="16"/>
          <w:szCs w:val="16"/>
          <w:lang w:val="pt-BR"/>
        </w:rPr>
        <w:t xml:space="preserve">sentença de 24 de julho de 2014, par. </w:t>
      </w:r>
      <w:r w:rsidRPr="0038442F">
        <w:rPr>
          <w:rFonts w:ascii="Verdana" w:hAnsi="Verdana"/>
          <w:sz w:val="16"/>
          <w:szCs w:val="16"/>
          <w:lang w:val="pt-BR"/>
        </w:rPr>
        <w:t xml:space="preserve">112: No caso, o TEDH analisou que, durante um lapso de tempo, não se havia legislado sobre a proteção dos efeitos nocivos do amianto. Com esse entendimento, o TEDH observou que aos trabalhadores haviam sido fornecidas máscaras descartáveis, mas que, de acordo com peritos, eram de “qualidade inadequada”. Desse modo, constatou que não haviam sido adotadas medidas adicionais, além da mencionada, e que a situação se agravava, levando em consideração a ausência de regulamentação sobre os riscos, e de ações para remediar esses riscos, em virtude da exposição ao amianto durante um espaço de tempo. Portanto, inclusive, frente a essas ações, a ação estatal era insuficiente. </w:t>
      </w:r>
    </w:p>
  </w:footnote>
  <w:footnote w:id="60">
    <w:p w14:paraId="5B84660F" w14:textId="34E4D015" w:rsidR="00252907" w:rsidRPr="0038442F" w:rsidRDefault="00252907" w:rsidP="000777E8">
      <w:pPr>
        <w:pStyle w:val="s1bd70772"/>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Style w:val="s6b621b36"/>
          <w:rFonts w:ascii="Verdana" w:hAnsi="Verdana" w:cs="Arial"/>
          <w:i/>
          <w:iCs/>
          <w:sz w:val="16"/>
          <w:szCs w:val="16"/>
          <w:lang w:val="pt-BR"/>
        </w:rPr>
        <w:t xml:space="preserve">Binişan Vs. Romênia, </w:t>
      </w:r>
      <w:r w:rsidRPr="0038442F">
        <w:rPr>
          <w:rStyle w:val="s6b621b36"/>
          <w:rFonts w:ascii="Verdana" w:hAnsi="Verdana" w:cs="Arial"/>
          <w:sz w:val="16"/>
          <w:szCs w:val="16"/>
          <w:lang w:val="pt-BR"/>
        </w:rPr>
        <w:t xml:space="preserve">sentença de 20 de maio de 2014, par. </w:t>
      </w:r>
      <w:r w:rsidRPr="0038442F">
        <w:rPr>
          <w:rStyle w:val="s6b621b36"/>
          <w:rFonts w:ascii="Verdana" w:hAnsi="Verdana" w:cs="Arial"/>
          <w:i/>
          <w:iCs/>
          <w:sz w:val="16"/>
          <w:szCs w:val="16"/>
          <w:lang w:val="pt-BR"/>
        </w:rPr>
        <w:t>72;</w:t>
      </w:r>
      <w:r w:rsidRPr="0038442F">
        <w:rPr>
          <w:rFonts w:ascii="Verdana" w:hAnsi="Verdana"/>
          <w:sz w:val="16"/>
          <w:szCs w:val="16"/>
          <w:lang w:val="pt-BR"/>
        </w:rPr>
        <w:t xml:space="preserve"> e Caso </w:t>
      </w:r>
      <w:r w:rsidRPr="0038442F">
        <w:rPr>
          <w:rStyle w:val="s6b621b36"/>
          <w:rFonts w:ascii="Verdana" w:hAnsi="Verdana" w:cs="Arial"/>
          <w:i/>
          <w:iCs/>
          <w:sz w:val="16"/>
          <w:szCs w:val="16"/>
          <w:lang w:val="pt-BR"/>
        </w:rPr>
        <w:t>Kalender Vs. Turquia,</w:t>
      </w:r>
      <w:r w:rsidRPr="0038442F">
        <w:rPr>
          <w:rStyle w:val="sb8d990e2"/>
          <w:rFonts w:ascii="Verdana" w:hAnsi="Verdana" w:cs="Arial"/>
          <w:sz w:val="16"/>
          <w:szCs w:val="16"/>
          <w:lang w:val="pt-BR"/>
        </w:rPr>
        <w:t xml:space="preserve"> sentença de 15 de dezembro de 2009, par. 43-47. </w:t>
      </w:r>
    </w:p>
  </w:footnote>
  <w:footnote w:id="61">
    <w:p w14:paraId="014C3BBF" w14:textId="3C6B6206" w:rsidR="00252907" w:rsidRPr="0038442F" w:rsidRDefault="00252907" w:rsidP="000777E8">
      <w:pPr>
        <w:pStyle w:val="s32b251d"/>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Style w:val="s38c10080"/>
          <w:rFonts w:ascii="Verdana" w:hAnsi="Verdana" w:cs="Arial"/>
          <w:i/>
          <w:iCs/>
          <w:sz w:val="16"/>
          <w:szCs w:val="16"/>
          <w:lang w:val="pt-BR"/>
        </w:rPr>
        <w:t xml:space="preserve">Confederação Geral Italiana do Trabalho </w:t>
      </w:r>
      <w:r w:rsidRPr="0038442F">
        <w:rPr>
          <w:rStyle w:val="s7d2086b4"/>
          <w:rFonts w:ascii="Verdana" w:hAnsi="Verdana" w:cs="Arial"/>
          <w:i/>
          <w:iCs/>
          <w:sz w:val="16"/>
          <w:szCs w:val="16"/>
          <w:lang w:val="pt-BR"/>
        </w:rPr>
        <w:t>(CGIL) Vs. Itália</w:t>
      </w:r>
      <w:r w:rsidRPr="0038442F">
        <w:rPr>
          <w:rStyle w:val="s7d2086b4"/>
          <w:rFonts w:ascii="Verdana" w:hAnsi="Verdana" w:cs="Arial"/>
          <w:sz w:val="16"/>
          <w:szCs w:val="16"/>
          <w:lang w:val="pt-BR"/>
        </w:rPr>
        <w:t xml:space="preserve">, </w:t>
      </w:r>
      <w:r w:rsidRPr="0038442F">
        <w:rPr>
          <w:rStyle w:val="sb8d990e2"/>
          <w:rFonts w:ascii="Verdana" w:hAnsi="Verdana" w:cs="Arial"/>
          <w:sz w:val="16"/>
          <w:szCs w:val="16"/>
          <w:lang w:val="pt-BR"/>
        </w:rPr>
        <w:t>Queixa N</w:t>
      </w:r>
      <w:r w:rsidRPr="0038442F">
        <w:rPr>
          <w:rStyle w:val="sb8d990e2"/>
          <w:rFonts w:ascii="Verdana" w:hAnsi="Verdana" w:cs="Arial"/>
          <w:sz w:val="16"/>
          <w:szCs w:val="16"/>
          <w:vertAlign w:val="superscript"/>
          <w:lang w:val="pt-BR"/>
        </w:rPr>
        <w:t>o.</w:t>
      </w:r>
      <w:r w:rsidRPr="0038442F">
        <w:rPr>
          <w:rStyle w:val="sb8d990e2"/>
          <w:rFonts w:ascii="Verdana" w:hAnsi="Verdana" w:cs="Arial"/>
          <w:sz w:val="16"/>
          <w:szCs w:val="16"/>
          <w:lang w:val="pt-BR"/>
        </w:rPr>
        <w:t xml:space="preserve"> 91/2013</w:t>
      </w:r>
      <w:r w:rsidRPr="0038442F">
        <w:rPr>
          <w:rFonts w:ascii="Verdana" w:hAnsi="Verdana" w:cs="Arial"/>
          <w:sz w:val="16"/>
          <w:szCs w:val="16"/>
          <w:lang w:val="pt-BR"/>
        </w:rPr>
        <w:t xml:space="preserve">, </w:t>
      </w:r>
      <w:r w:rsidRPr="0038442F">
        <w:rPr>
          <w:rStyle w:val="s7d2086b4"/>
          <w:rFonts w:ascii="Verdana" w:hAnsi="Verdana" w:cs="Arial"/>
          <w:sz w:val="16"/>
          <w:szCs w:val="16"/>
          <w:lang w:val="pt-BR"/>
        </w:rPr>
        <w:t xml:space="preserve">decisão de admissibilidade e mérito, de 12 de outubro de 2005, par. 276; e Caso </w:t>
      </w:r>
      <w:r w:rsidRPr="0038442F">
        <w:rPr>
          <w:rFonts w:ascii="Verdana" w:hAnsi="Verdana" w:cs="Arial"/>
          <w:i/>
          <w:iCs/>
          <w:sz w:val="16"/>
          <w:szCs w:val="16"/>
          <w:lang w:val="pt-BR"/>
        </w:rPr>
        <w:t>Comissão Internacional de Juristas Vs. Portugal</w:t>
      </w:r>
      <w:r w:rsidRPr="0038442F">
        <w:rPr>
          <w:rFonts w:ascii="Verdana" w:hAnsi="Verdana" w:cs="Arial"/>
          <w:sz w:val="16"/>
          <w:szCs w:val="16"/>
          <w:lang w:val="pt-BR"/>
        </w:rPr>
        <w:t>, Queixa N</w:t>
      </w:r>
      <w:r w:rsidRPr="0038442F">
        <w:rPr>
          <w:rFonts w:ascii="Verdana" w:hAnsi="Verdana" w:cs="Arial"/>
          <w:sz w:val="16"/>
          <w:szCs w:val="16"/>
          <w:vertAlign w:val="superscript"/>
          <w:lang w:val="pt-BR"/>
        </w:rPr>
        <w:t>o.</w:t>
      </w:r>
      <w:r w:rsidRPr="0038442F">
        <w:rPr>
          <w:rFonts w:ascii="Verdana" w:hAnsi="Verdana" w:cs="Arial"/>
          <w:sz w:val="16"/>
          <w:szCs w:val="16"/>
          <w:lang w:val="pt-BR"/>
        </w:rPr>
        <w:t xml:space="preserve"> 1/1998, decisão de 9 de setembro de 1999, par. 32. </w:t>
      </w:r>
    </w:p>
  </w:footnote>
  <w:footnote w:id="62">
    <w:p w14:paraId="649CD03F" w14:textId="4F97FF1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Fonts w:ascii="Verdana" w:hAnsi="Verdana" w:cs="Arial"/>
          <w:i/>
          <w:iCs/>
          <w:sz w:val="16"/>
          <w:szCs w:val="16"/>
          <w:shd w:val="clear" w:color="auto" w:fill="FFFFFF"/>
          <w:lang w:val="pt-BR"/>
        </w:rPr>
        <w:t>Fundação Marangopoulos para os Direitos Humanos (MFHR) Vs. Grécia</w:t>
      </w:r>
      <w:r w:rsidRPr="0038442F">
        <w:rPr>
          <w:rFonts w:ascii="Verdana" w:hAnsi="Verdana" w:cs="Arial"/>
          <w:sz w:val="16"/>
          <w:szCs w:val="16"/>
          <w:shd w:val="clear" w:color="auto" w:fill="FFFFFF"/>
          <w:lang w:val="pt-BR"/>
        </w:rPr>
        <w:t xml:space="preserve">, </w:t>
      </w:r>
      <w:r w:rsidRPr="0038442F">
        <w:rPr>
          <w:rFonts w:ascii="Verdana" w:hAnsi="Verdana" w:cs="Arial"/>
          <w:i/>
          <w:sz w:val="16"/>
          <w:szCs w:val="16"/>
          <w:shd w:val="clear" w:color="auto" w:fill="FFFFFF"/>
          <w:lang w:val="pt-BR"/>
        </w:rPr>
        <w:t>supra</w:t>
      </w:r>
      <w:r w:rsidRPr="0038442F">
        <w:rPr>
          <w:rFonts w:ascii="Verdana" w:hAnsi="Verdana" w:cs="Arial"/>
          <w:sz w:val="16"/>
          <w:szCs w:val="16"/>
          <w:shd w:val="clear" w:color="auto" w:fill="FFFFFF"/>
          <w:lang w:val="pt-BR"/>
        </w:rPr>
        <w:t xml:space="preserve">, par. </w:t>
      </w:r>
      <w:r w:rsidRPr="0038442F">
        <w:rPr>
          <w:rFonts w:ascii="Verdana" w:hAnsi="Verdana"/>
          <w:sz w:val="16"/>
          <w:szCs w:val="16"/>
          <w:lang w:val="pt-BR"/>
        </w:rPr>
        <w:t xml:space="preserve">228. </w:t>
      </w:r>
    </w:p>
  </w:footnote>
  <w:footnote w:id="63">
    <w:p w14:paraId="6EEDF420" w14:textId="7EEB7823"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 </w:t>
      </w:r>
      <w:r w:rsidRPr="0038442F">
        <w:rPr>
          <w:rFonts w:ascii="Verdana" w:hAnsi="Verdana"/>
          <w:bCs/>
          <w:i/>
          <w:sz w:val="16"/>
          <w:szCs w:val="16"/>
          <w:lang w:val="pt-BR"/>
        </w:rPr>
        <w:t xml:space="preserve">Cf. </w:t>
      </w:r>
      <w:r w:rsidRPr="0038442F">
        <w:rPr>
          <w:rFonts w:ascii="Verdana" w:hAnsi="Verdana"/>
          <w:sz w:val="16"/>
          <w:szCs w:val="16"/>
          <w:lang w:val="pt-BR"/>
        </w:rPr>
        <w:t xml:space="preserve">Comitê de Direitos Econômicos, Sociais e Culturais, </w:t>
      </w:r>
      <w:r w:rsidRPr="0038442F">
        <w:rPr>
          <w:rFonts w:ascii="Verdana" w:hAnsi="Verdana"/>
          <w:i/>
          <w:sz w:val="16"/>
          <w:szCs w:val="16"/>
          <w:lang w:val="pt-BR"/>
        </w:rPr>
        <w:t>Observação Geral N</w:t>
      </w:r>
      <w:r w:rsidRPr="0038442F">
        <w:rPr>
          <w:rFonts w:ascii="Verdana" w:hAnsi="Verdana"/>
          <w:i/>
          <w:sz w:val="16"/>
          <w:szCs w:val="16"/>
          <w:vertAlign w:val="superscript"/>
          <w:lang w:val="pt-BR"/>
        </w:rPr>
        <w:t>o.</w:t>
      </w:r>
      <w:r w:rsidRPr="0038442F">
        <w:rPr>
          <w:rFonts w:ascii="Verdana" w:hAnsi="Verdana"/>
          <w:i/>
          <w:sz w:val="16"/>
          <w:szCs w:val="16"/>
          <w:lang w:val="pt-BR"/>
        </w:rPr>
        <w:t xml:space="preserve"> 23: O direito a condições de trabalho equitativas e satisfatórias,</w:t>
      </w:r>
      <w:r w:rsidRPr="0038442F">
        <w:rPr>
          <w:rFonts w:ascii="Verdana" w:hAnsi="Verdana"/>
          <w:sz w:val="16"/>
          <w:szCs w:val="16"/>
          <w:lang w:val="pt-BR"/>
        </w:rPr>
        <w:t xml:space="preserve"> UN Doc. E/C.12/GC/23, 27 de abril de 2016</w:t>
      </w:r>
      <w:r w:rsidRPr="0038442F">
        <w:rPr>
          <w:rFonts w:ascii="Verdana" w:hAnsi="Verdana"/>
          <w:bCs/>
          <w:sz w:val="16"/>
          <w:szCs w:val="16"/>
          <w:lang w:val="pt-BR"/>
        </w:rPr>
        <w:t xml:space="preserve">, par. </w:t>
      </w:r>
      <w:r w:rsidRPr="0038442F">
        <w:rPr>
          <w:rFonts w:ascii="Verdana" w:hAnsi="Verdana"/>
          <w:sz w:val="16"/>
          <w:szCs w:val="16"/>
          <w:lang w:val="pt-BR"/>
        </w:rPr>
        <w:t xml:space="preserve">59. </w:t>
      </w:r>
    </w:p>
  </w:footnote>
  <w:footnote w:id="64">
    <w:p w14:paraId="39BB62DE" w14:textId="753EFD6B"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Style w:val="TextonotapieCar"/>
          <w:rFonts w:ascii="Verdana" w:hAnsi="Verdana"/>
          <w:sz w:val="16"/>
          <w:szCs w:val="16"/>
          <w:lang w:val="pt-BR"/>
        </w:rPr>
        <w:t xml:space="preserve">Organização Internacional do Trabalho, </w:t>
      </w:r>
      <w:r w:rsidRPr="0038442F">
        <w:rPr>
          <w:rStyle w:val="TextonotapieCar"/>
          <w:rFonts w:ascii="Verdana" w:hAnsi="Verdana"/>
          <w:i/>
          <w:sz w:val="16"/>
          <w:szCs w:val="16"/>
          <w:lang w:val="pt-BR"/>
        </w:rPr>
        <w:t>Convenção N</w:t>
      </w:r>
      <w:r w:rsidRPr="0038442F">
        <w:rPr>
          <w:rStyle w:val="TextonotapieCar"/>
          <w:rFonts w:ascii="Verdana" w:hAnsi="Verdana"/>
          <w:i/>
          <w:sz w:val="16"/>
          <w:szCs w:val="16"/>
          <w:vertAlign w:val="superscript"/>
          <w:lang w:val="pt-BR"/>
        </w:rPr>
        <w:t>o.</w:t>
      </w:r>
      <w:r w:rsidRPr="0038442F">
        <w:rPr>
          <w:rStyle w:val="TextonotapieCar"/>
          <w:rFonts w:ascii="Verdana" w:hAnsi="Verdana"/>
          <w:i/>
          <w:sz w:val="16"/>
          <w:szCs w:val="16"/>
          <w:lang w:val="pt-BR"/>
        </w:rPr>
        <w:t xml:space="preserve"> 81 sobre a Inspeção do Trabalho,</w:t>
      </w:r>
      <w:r w:rsidRPr="0038442F">
        <w:rPr>
          <w:rStyle w:val="TextonotapieCar"/>
          <w:rFonts w:ascii="Verdana" w:hAnsi="Verdana"/>
          <w:sz w:val="16"/>
          <w:szCs w:val="16"/>
          <w:lang w:val="pt-BR"/>
        </w:rPr>
        <w:t xml:space="preserve"> 1947, </w:t>
      </w:r>
      <w:r w:rsidRPr="0038442F">
        <w:rPr>
          <w:rFonts w:ascii="Verdana" w:hAnsi="Verdana"/>
          <w:sz w:val="16"/>
          <w:szCs w:val="16"/>
          <w:lang w:val="pt-BR"/>
        </w:rPr>
        <w:t>artigo 1.</w:t>
      </w:r>
    </w:p>
  </w:footnote>
  <w:footnote w:id="65">
    <w:p w14:paraId="64CCA035" w14:textId="46C07C8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Style w:val="TextonotapieCar"/>
          <w:rFonts w:ascii="Verdana" w:hAnsi="Verdana"/>
          <w:sz w:val="16"/>
          <w:szCs w:val="16"/>
          <w:lang w:val="pt-BR"/>
        </w:rPr>
        <w:t xml:space="preserve">Organização Internacional do Trabalho, </w:t>
      </w:r>
      <w:r w:rsidRPr="0038442F">
        <w:rPr>
          <w:rStyle w:val="TextonotapieCar"/>
          <w:rFonts w:ascii="Verdana" w:hAnsi="Verdana"/>
          <w:i/>
          <w:sz w:val="16"/>
          <w:szCs w:val="16"/>
          <w:lang w:val="pt-BR"/>
        </w:rPr>
        <w:t>Convenção N</w:t>
      </w:r>
      <w:r w:rsidRPr="0038442F">
        <w:rPr>
          <w:rStyle w:val="TextonotapieCar"/>
          <w:rFonts w:ascii="Verdana" w:hAnsi="Verdana"/>
          <w:i/>
          <w:sz w:val="16"/>
          <w:szCs w:val="16"/>
          <w:vertAlign w:val="superscript"/>
          <w:lang w:val="pt-BR"/>
        </w:rPr>
        <w:t>o.</w:t>
      </w:r>
      <w:r w:rsidRPr="0038442F">
        <w:rPr>
          <w:rStyle w:val="TextonotapieCar"/>
          <w:rFonts w:ascii="Verdana" w:hAnsi="Verdana"/>
          <w:i/>
          <w:sz w:val="16"/>
          <w:szCs w:val="16"/>
          <w:lang w:val="pt-BR"/>
        </w:rPr>
        <w:t xml:space="preserve"> 81, supra,</w:t>
      </w:r>
      <w:r w:rsidRPr="0038442F">
        <w:rPr>
          <w:rStyle w:val="TextonotapieCar"/>
          <w:rFonts w:ascii="Verdana" w:hAnsi="Verdana"/>
          <w:sz w:val="16"/>
          <w:szCs w:val="16"/>
          <w:lang w:val="pt-BR"/>
        </w:rPr>
        <w:t xml:space="preserve"> </w:t>
      </w:r>
      <w:r w:rsidRPr="0038442F">
        <w:rPr>
          <w:rFonts w:ascii="Verdana" w:hAnsi="Verdana"/>
          <w:sz w:val="16"/>
          <w:szCs w:val="16"/>
          <w:lang w:val="pt-BR"/>
        </w:rPr>
        <w:t>artigo 2.1.</w:t>
      </w:r>
    </w:p>
  </w:footnote>
  <w:footnote w:id="66">
    <w:p w14:paraId="192B0EFC" w14:textId="1073051B"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Style w:val="TextonotapieCar"/>
          <w:rFonts w:ascii="Verdana" w:hAnsi="Verdana"/>
          <w:sz w:val="16"/>
          <w:szCs w:val="16"/>
          <w:lang w:val="pt-BR"/>
        </w:rPr>
        <w:t xml:space="preserve">Organização Internacional do Trabalho, </w:t>
      </w:r>
      <w:r w:rsidRPr="0038442F">
        <w:rPr>
          <w:rStyle w:val="TextonotapieCar"/>
          <w:rFonts w:ascii="Verdana" w:hAnsi="Verdana"/>
          <w:i/>
          <w:sz w:val="16"/>
          <w:szCs w:val="16"/>
          <w:lang w:val="pt-BR"/>
        </w:rPr>
        <w:t>Convenção N</w:t>
      </w:r>
      <w:r w:rsidRPr="0038442F">
        <w:rPr>
          <w:rStyle w:val="TextonotapieCar"/>
          <w:rFonts w:ascii="Verdana" w:hAnsi="Verdana"/>
          <w:i/>
          <w:sz w:val="16"/>
          <w:szCs w:val="16"/>
          <w:vertAlign w:val="superscript"/>
          <w:lang w:val="pt-BR"/>
        </w:rPr>
        <w:t>o.</w:t>
      </w:r>
      <w:r w:rsidRPr="0038442F">
        <w:rPr>
          <w:rStyle w:val="TextonotapieCar"/>
          <w:rFonts w:ascii="Verdana" w:hAnsi="Verdana"/>
          <w:i/>
          <w:sz w:val="16"/>
          <w:szCs w:val="16"/>
          <w:lang w:val="pt-BR"/>
        </w:rPr>
        <w:t xml:space="preserve"> 81, supra,</w:t>
      </w:r>
      <w:r w:rsidRPr="0038442F">
        <w:rPr>
          <w:rStyle w:val="TextonotapieCar"/>
          <w:rFonts w:ascii="Verdana" w:hAnsi="Verdana"/>
          <w:sz w:val="16"/>
          <w:szCs w:val="16"/>
          <w:lang w:val="pt-BR"/>
        </w:rPr>
        <w:t xml:space="preserve"> </w:t>
      </w:r>
      <w:r w:rsidRPr="0038442F">
        <w:rPr>
          <w:rFonts w:ascii="Verdana" w:hAnsi="Verdana"/>
          <w:sz w:val="16"/>
          <w:szCs w:val="16"/>
          <w:lang w:val="pt-BR"/>
        </w:rPr>
        <w:t>artigo 3.1.a.</w:t>
      </w:r>
    </w:p>
  </w:footnote>
  <w:footnote w:id="67">
    <w:p w14:paraId="23EAAB72" w14:textId="00D3993D" w:rsidR="00252907" w:rsidRPr="0038442F" w:rsidRDefault="00252907" w:rsidP="000777E8">
      <w:pPr>
        <w:snapToGrid w:val="0"/>
        <w:jc w:val="both"/>
        <w:rPr>
          <w:rFonts w:ascii="Verdana" w:hAnsi="Verdana"/>
          <w:sz w:val="16"/>
          <w:szCs w:val="16"/>
          <w:lang w:val="pt-BR"/>
        </w:rPr>
      </w:pPr>
      <w:r w:rsidRPr="0038442F">
        <w:rPr>
          <w:rStyle w:val="Refdenotaalpie"/>
          <w:rFonts w:ascii="Verdana" w:eastAsiaTheme="minorHAnsi"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Style w:val="TextonotapieCar"/>
          <w:rFonts w:ascii="Verdana" w:hAnsi="Verdana"/>
          <w:sz w:val="16"/>
          <w:szCs w:val="16"/>
          <w:lang w:val="pt-BR"/>
        </w:rPr>
        <w:t xml:space="preserve">Organização Internacional do Trabalho, </w:t>
      </w:r>
      <w:r w:rsidRPr="0038442F">
        <w:rPr>
          <w:rStyle w:val="TextonotapieCar"/>
          <w:rFonts w:ascii="Verdana" w:hAnsi="Verdana"/>
          <w:i/>
          <w:sz w:val="16"/>
          <w:szCs w:val="16"/>
          <w:lang w:val="pt-BR"/>
        </w:rPr>
        <w:t>Convenção N</w:t>
      </w:r>
      <w:r w:rsidRPr="0038442F">
        <w:rPr>
          <w:rStyle w:val="TextonotapieCar"/>
          <w:rFonts w:ascii="Verdana" w:hAnsi="Verdana"/>
          <w:i/>
          <w:sz w:val="16"/>
          <w:szCs w:val="16"/>
          <w:vertAlign w:val="superscript"/>
          <w:lang w:val="pt-BR"/>
        </w:rPr>
        <w:t>o.</w:t>
      </w:r>
      <w:r w:rsidRPr="0038442F">
        <w:rPr>
          <w:rStyle w:val="TextonotapieCar"/>
          <w:rFonts w:ascii="Verdana" w:hAnsi="Verdana"/>
          <w:i/>
          <w:sz w:val="16"/>
          <w:szCs w:val="16"/>
          <w:lang w:val="pt-BR"/>
        </w:rPr>
        <w:t xml:space="preserve"> 155 sobre segurança e saúde dos trabalhadores,</w:t>
      </w:r>
      <w:r w:rsidRPr="0038442F">
        <w:rPr>
          <w:rStyle w:val="TextonotapieCar"/>
          <w:rFonts w:ascii="Verdana" w:hAnsi="Verdana"/>
          <w:sz w:val="16"/>
          <w:szCs w:val="16"/>
          <w:lang w:val="pt-BR"/>
        </w:rPr>
        <w:t xml:space="preserve"> 1981, art. 4.</w:t>
      </w:r>
      <w:r w:rsidRPr="0038442F">
        <w:rPr>
          <w:rFonts w:ascii="Verdana" w:hAnsi="Verdana"/>
          <w:sz w:val="16"/>
          <w:szCs w:val="16"/>
          <w:lang w:val="pt-BR"/>
        </w:rPr>
        <w:t xml:space="preserve"> </w:t>
      </w:r>
    </w:p>
  </w:footnote>
  <w:footnote w:id="68">
    <w:p w14:paraId="7CBFFC58" w14:textId="70815017"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Mutatis mutandi</w:t>
      </w:r>
      <w:r w:rsidRPr="0038442F">
        <w:rPr>
          <w:rFonts w:ascii="Verdana" w:hAnsi="Verdana"/>
          <w:sz w:val="16"/>
          <w:szCs w:val="16"/>
          <w:lang w:val="pt-BR"/>
        </w:rPr>
        <w:t xml:space="preserve">, “Nesse sentido, a Corte destaca que as obrigações que o Estado deve assumir para eliminar as piores formas de trabalho infantil têm caráter prioritário e incluem, entre outras, elaborar e colocar em prática programas de ação para assegurar o exercício e o desfrute pleno de seus direitos. </w:t>
      </w:r>
      <w:r w:rsidRPr="0038442F">
        <w:rPr>
          <w:rFonts w:ascii="Verdana" w:hAnsi="Verdana" w:cs="Arial"/>
          <w:i/>
          <w:iCs/>
          <w:sz w:val="16"/>
          <w:szCs w:val="16"/>
          <w:shd w:val="clear" w:color="auto" w:fill="FFFFFF"/>
          <w:lang w:val="pt-BR"/>
        </w:rPr>
        <w:t xml:space="preserve">Caso Trabalhadores da Fazenda Brasil Verde Vs. Brasil, supra, </w:t>
      </w:r>
      <w:r w:rsidRPr="0038442F">
        <w:rPr>
          <w:rFonts w:ascii="Verdana" w:hAnsi="Verdana" w:cs="Arial"/>
          <w:iCs/>
          <w:sz w:val="16"/>
          <w:szCs w:val="16"/>
          <w:shd w:val="clear" w:color="auto" w:fill="FFFFFF"/>
          <w:lang w:val="pt-BR"/>
        </w:rPr>
        <w:t>par. 332;</w:t>
      </w:r>
      <w:r w:rsidRPr="0038442F">
        <w:rPr>
          <w:rFonts w:ascii="Verdana" w:hAnsi="Verdana" w:cs="Arial"/>
          <w:sz w:val="16"/>
          <w:szCs w:val="16"/>
          <w:shd w:val="clear" w:color="auto" w:fill="FFFFFF"/>
          <w:lang w:val="pt-BR"/>
        </w:rPr>
        <w:t xml:space="preserve"> e Caso</w:t>
      </w:r>
      <w:r w:rsidRPr="0038442F">
        <w:rPr>
          <w:rFonts w:ascii="Verdana" w:hAnsi="Verdana"/>
          <w:bCs/>
          <w:i/>
          <w:iCs/>
          <w:sz w:val="16"/>
          <w:szCs w:val="16"/>
          <w:lang w:val="pt-BR"/>
        </w:rPr>
        <w:t xml:space="preserve"> Empregados da Fábrica de Fogos de Santo Antônio de Jesus e seus familiares Vs. Brasil, supra</w:t>
      </w:r>
      <w:r w:rsidRPr="0038442F">
        <w:rPr>
          <w:rFonts w:ascii="Verdana" w:hAnsi="Verdana"/>
          <w:bCs/>
          <w:sz w:val="16"/>
          <w:szCs w:val="16"/>
          <w:lang w:val="pt-BR"/>
        </w:rPr>
        <w:t xml:space="preserve">, </w:t>
      </w:r>
      <w:r w:rsidRPr="0038442F">
        <w:rPr>
          <w:rFonts w:ascii="Verdana" w:hAnsi="Verdana"/>
          <w:sz w:val="16"/>
          <w:szCs w:val="16"/>
          <w:lang w:val="pt-BR"/>
        </w:rPr>
        <w:t xml:space="preserve">par. 137, 138 e 139. </w:t>
      </w:r>
    </w:p>
  </w:footnote>
  <w:footnote w:id="69">
    <w:p w14:paraId="6C40A431" w14:textId="10C010EF"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Ver “Artigo 32. 1. Os Estados Partes reconhecem o direito da criança de ser protegida contra a exploração econômica e contra a realização de qualquer trabalho que possa ser perigoso ou interferir em sua educação, ou que seja prejudicial para sua saúde ou para seu desenvolvimento físico, mental, espiritual, moral ou social. 2. Os Estados Partes devem adotar medidas legislativas, sociais e educacionais para assegurar a aplicação deste artigo. Para tanto, e levando em consideração os dispositivos pertinentes de outros instrumentos internacionais, os Estados Partes devem, em particular: a) estabelecer uma idade mínima ou idades mínimas para a admissão no trabalho; b) estabelecer regulamentação apropriada relativa a horários e condições de trabalho; c) estabelecer penalidades ou outras sanções apropriadas para o cumprimento efetivo deste artigo”.</w:t>
      </w:r>
    </w:p>
  </w:footnote>
  <w:footnote w:id="70">
    <w:p w14:paraId="06E7DF1F" w14:textId="61B36751" w:rsidR="00252907" w:rsidRPr="0038442F" w:rsidRDefault="00252907" w:rsidP="000777E8">
      <w:pPr>
        <w:pStyle w:val="Ttulo5"/>
        <w:pBdr>
          <w:bottom w:val="dotted" w:sz="2" w:space="0" w:color="BBBBBB"/>
        </w:pBdr>
        <w:snapToGrid w:val="0"/>
        <w:spacing w:before="0"/>
        <w:jc w:val="both"/>
        <w:rPr>
          <w:rFonts w:ascii="Verdana" w:hAnsi="Verdana"/>
          <w:i/>
          <w:iCs/>
          <w:color w:val="auto"/>
          <w:sz w:val="16"/>
          <w:szCs w:val="16"/>
          <w:lang w:val="pt-BR"/>
        </w:rPr>
      </w:pPr>
      <w:r w:rsidRPr="0038442F">
        <w:rPr>
          <w:rStyle w:val="Refdenotaalpie"/>
          <w:rFonts w:ascii="Verdana" w:hAnsi="Verdana"/>
          <w:color w:val="auto"/>
          <w:sz w:val="16"/>
          <w:szCs w:val="16"/>
          <w:lang w:val="pt-BR"/>
        </w:rPr>
        <w:footnoteRef/>
      </w:r>
      <w:r w:rsidRPr="0038442F">
        <w:rPr>
          <w:rFonts w:ascii="Verdana" w:hAnsi="Verdana"/>
          <w:color w:val="auto"/>
          <w:sz w:val="16"/>
          <w:szCs w:val="16"/>
          <w:lang w:val="pt-BR"/>
        </w:rPr>
        <w:t xml:space="preserve"> </w:t>
      </w:r>
      <w:r w:rsidRPr="0038442F">
        <w:rPr>
          <w:rFonts w:ascii="Verdana" w:hAnsi="Verdana"/>
          <w:color w:val="auto"/>
          <w:sz w:val="16"/>
          <w:szCs w:val="16"/>
          <w:lang w:val="pt-BR"/>
        </w:rPr>
        <w:tab/>
        <w:t>Ver “Artigo 3</w:t>
      </w:r>
      <w:bookmarkStart w:id="0" w:name="A3P1"/>
      <w:bookmarkEnd w:id="0"/>
      <w:r w:rsidRPr="0038442F">
        <w:rPr>
          <w:rFonts w:ascii="Verdana" w:hAnsi="Verdana"/>
          <w:color w:val="auto"/>
          <w:sz w:val="16"/>
          <w:szCs w:val="16"/>
          <w:lang w:val="pt-BR"/>
        </w:rPr>
        <w:t>.1. Não será inferior a dezoito anos a idade mínima para a admissão a qualquer tipo de emprego ou trabalho que, por sua natureza ou circunstâncias em que for executado, possa prejudicar a saúde, a segurança e a moral do jovem.</w:t>
      </w:r>
      <w:bookmarkStart w:id="1" w:name="A3P2"/>
      <w:bookmarkEnd w:id="1"/>
      <w:r w:rsidRPr="0038442F">
        <w:rPr>
          <w:rFonts w:ascii="Verdana" w:hAnsi="Verdana"/>
          <w:color w:val="auto"/>
          <w:sz w:val="16"/>
          <w:szCs w:val="16"/>
          <w:lang w:val="pt-BR"/>
        </w:rPr>
        <w:t xml:space="preserve"> 2. Serão definidos por lei ou regulamentos nacionais ou pela autoridade competente, após consulta com as organizações de empregadores e de trabalhadores concernentes, se as houver, as categorias de emprego ou trabalho às quais se aplica o parágrafo 1 deste Artigo.</w:t>
      </w:r>
      <w:bookmarkStart w:id="2" w:name="A3P3"/>
      <w:bookmarkEnd w:id="2"/>
      <w:r w:rsidRPr="0038442F">
        <w:rPr>
          <w:rFonts w:ascii="Verdana" w:hAnsi="Verdana"/>
          <w:color w:val="auto"/>
          <w:sz w:val="16"/>
          <w:szCs w:val="16"/>
          <w:lang w:val="pt-BR"/>
        </w:rPr>
        <w:t xml:space="preserve"> 3. Não obstante o disposto no parágrafo 1 deste Artigo, a lei ou regulamentos nacionais ou a autoridade competente poderá, após consultar as organizações de empregadores e de trabalhadores concernentes, se as houver, autorizar emprego ou trabalho a partir da idade de dezesseis anos, desde que estejam plenamente protegidas a saúde, a segurança e a moral dos jovens envolvidos e lhes seja proporcionada instrução ou formação adequada e específica no setor da atividade pertinente”. </w:t>
      </w:r>
    </w:p>
  </w:footnote>
  <w:footnote w:id="71">
    <w:p w14:paraId="08674A5C" w14:textId="2F12172A" w:rsidR="00252907" w:rsidRPr="0038442F" w:rsidRDefault="00252907" w:rsidP="000777E8">
      <w:pPr>
        <w:pStyle w:val="Ttulo5"/>
        <w:pBdr>
          <w:bottom w:val="dotted" w:sz="2" w:space="0" w:color="BBBBBB"/>
        </w:pBdr>
        <w:snapToGrid w:val="0"/>
        <w:spacing w:before="0"/>
        <w:jc w:val="both"/>
        <w:rPr>
          <w:rFonts w:ascii="Verdana" w:hAnsi="Verdana"/>
          <w:i/>
          <w:iCs/>
          <w:color w:val="auto"/>
          <w:sz w:val="16"/>
          <w:szCs w:val="16"/>
          <w:lang w:val="pt-BR"/>
        </w:rPr>
      </w:pPr>
      <w:r w:rsidRPr="0038442F">
        <w:rPr>
          <w:rStyle w:val="Refdenotaalpie"/>
          <w:rFonts w:ascii="Verdana" w:hAnsi="Verdana"/>
          <w:color w:val="auto"/>
          <w:sz w:val="16"/>
          <w:szCs w:val="16"/>
          <w:lang w:val="pt-BR"/>
        </w:rPr>
        <w:footnoteRef/>
      </w:r>
      <w:r w:rsidRPr="0038442F">
        <w:rPr>
          <w:rFonts w:ascii="Verdana" w:hAnsi="Verdana"/>
          <w:color w:val="auto"/>
          <w:sz w:val="16"/>
          <w:szCs w:val="16"/>
          <w:lang w:val="pt-BR"/>
        </w:rPr>
        <w:t xml:space="preserve"> </w:t>
      </w:r>
      <w:r w:rsidRPr="0038442F">
        <w:rPr>
          <w:rFonts w:ascii="Verdana" w:hAnsi="Verdana"/>
          <w:color w:val="auto"/>
          <w:sz w:val="16"/>
          <w:szCs w:val="16"/>
          <w:lang w:val="pt-BR"/>
        </w:rPr>
        <w:tab/>
        <w:t>Ver “Artigo 3.</w:t>
      </w:r>
      <w:r w:rsidRPr="0038442F">
        <w:rPr>
          <w:rFonts w:ascii="Verdana" w:hAnsi="Verdana"/>
          <w:i/>
          <w:iCs/>
          <w:color w:val="auto"/>
          <w:sz w:val="16"/>
          <w:szCs w:val="16"/>
          <w:lang w:val="pt-BR"/>
        </w:rPr>
        <w:t xml:space="preserve"> </w:t>
      </w:r>
      <w:r w:rsidRPr="0038442F">
        <w:rPr>
          <w:rFonts w:ascii="Verdana" w:hAnsi="Verdana"/>
          <w:color w:val="auto"/>
          <w:sz w:val="16"/>
          <w:szCs w:val="16"/>
          <w:lang w:val="pt-BR"/>
        </w:rPr>
        <w:t>Para os fins desta Convenção, a expressão as piores formas de trabalho infantil compreende: […] (d) trabalhos que, por sua natureza ou pelas circunstâncias em que são executados, são suscetíveis de prejudicar a saúde, a segurança e a moral da criança”.</w:t>
      </w:r>
    </w:p>
  </w:footnote>
  <w:footnote w:id="72">
    <w:p w14:paraId="7D9C5155" w14:textId="5AEC6530"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“Artigo 15. Trabalho infantil. Toda criança será protegida contra toda forma de exploração econômica e contra a realização de qualquer trabalho que possa ser perigoso ou interferir em seu desenvolvimento físico, mental, espiritual, moral ou social. Os Estados Partes na presente Carta adotarão todas as medidas legislativas e administrativas apropriadas para assegurar o pleno cumprimento deste artigo, que abrange tanto os setores formais como os informais de demissão, e levando em conta as disposições pertinentes dos instrumentos da Organização Internacional do Trabalho relativas às crianças; em especial, os Estados Partes: - estabelecerão, mediante legislação, idades mínimas de admissão em qualquer emprego; - estabelecerão a regulamentação apropriada relativa a horários e condições de emprego; - estabelecerão as penalidades ou as sanções apropriadas para assegurar o cumprimento efetivo deste artigo;- promoverão a divulgação de informação sobre os riscos do trabalho infantil em todos os setores da comunidade”. </w:t>
      </w:r>
    </w:p>
  </w:footnote>
  <w:footnote w:id="73">
    <w:p w14:paraId="70E926A2" w14:textId="0CBA0CFC"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Ver “</w:t>
      </w:r>
      <w:r w:rsidRPr="0038442F">
        <w:rPr>
          <w:rFonts w:ascii="Verdana" w:hAnsi="Verdana" w:cs="Arial"/>
          <w:sz w:val="16"/>
          <w:szCs w:val="16"/>
          <w:lang w:val="pt-BR"/>
        </w:rPr>
        <w:t xml:space="preserve">Protect children and young persons through the following: […] Measures governing work by children and young persons, within the family, to ensure that such work is not dangerous to them, harmful to their moral or physical well-being or likely to hamper their normal physical, intellectual and psycho-social development”. </w:t>
      </w:r>
      <w:r w:rsidRPr="0038442F">
        <w:rPr>
          <w:rFonts w:ascii="Verdana" w:hAnsi="Verdana" w:cs="Arial"/>
          <w:i/>
          <w:iCs/>
          <w:sz w:val="16"/>
          <w:szCs w:val="16"/>
          <w:lang w:val="pt-BR"/>
        </w:rPr>
        <w:t xml:space="preserve">Cf. </w:t>
      </w:r>
      <w:r w:rsidRPr="0038442F">
        <w:rPr>
          <w:rFonts w:ascii="Verdana" w:hAnsi="Verdana" w:cs="Arial"/>
          <w:i/>
          <w:sz w:val="16"/>
          <w:szCs w:val="16"/>
          <w:lang w:val="pt-BR"/>
        </w:rPr>
        <w:t xml:space="preserve">Princípios </w:t>
      </w:r>
      <w:r w:rsidRPr="0038442F">
        <w:rPr>
          <w:rFonts w:ascii="Verdana" w:hAnsi="Verdana"/>
          <w:i/>
          <w:iCs/>
          <w:sz w:val="16"/>
          <w:szCs w:val="16"/>
          <w:lang w:val="pt-BR"/>
        </w:rPr>
        <w:t>e Diretrizes para a Implementação dos Direitos Econômicos, Sociais e Culturais da Carta Africana de Direitos Humanos e dos Povos</w:t>
      </w:r>
      <w:r w:rsidRPr="0038442F">
        <w:rPr>
          <w:rFonts w:ascii="Verdana" w:hAnsi="Verdana"/>
          <w:sz w:val="16"/>
          <w:szCs w:val="16"/>
          <w:lang w:val="pt-BR"/>
        </w:rPr>
        <w:t xml:space="preserve">, 27 de outubro de 2011, Nairobi, princípio 95, inciso aa), ponto 4. </w:t>
      </w:r>
    </w:p>
  </w:footnote>
  <w:footnote w:id="74">
    <w:p w14:paraId="5C890EBA" w14:textId="2BEA718D"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176 a 181. </w:t>
      </w:r>
    </w:p>
  </w:footnote>
  <w:footnote w:id="75">
    <w:p w14:paraId="1D8A19FC" w14:textId="7777777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Cf. Comitê dos Direitos da Criança, Observação Geral Nº 16, sobre as obrigações do Estado em relação ao impacto do setor empresarial nos direitos da criança</w:t>
      </w:r>
      <w:r w:rsidRPr="0038442F">
        <w:rPr>
          <w:rFonts w:ascii="Verdana" w:hAnsi="Verdana"/>
          <w:sz w:val="16"/>
          <w:szCs w:val="16"/>
          <w:lang w:val="pt-BR"/>
        </w:rPr>
        <w:t xml:space="preserve">, CRC/C/GC/16, 17 de abril de 2013, par. 37. </w:t>
      </w:r>
    </w:p>
  </w:footnote>
  <w:footnote w:id="76">
    <w:p w14:paraId="357D5672" w14:textId="5C12F6FA"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137, 138 e 139. </w:t>
      </w:r>
    </w:p>
  </w:footnote>
  <w:footnote w:id="77">
    <w:p w14:paraId="246A23F7" w14:textId="5E99BCF8"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136. </w:t>
      </w:r>
    </w:p>
  </w:footnote>
  <w:footnote w:id="78">
    <w:p w14:paraId="16F27853" w14:textId="3002A368"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“Artigo A. Obrigações […] 4. Cada Parte disporá́ de um sistema de inspeção do trabalho adequado às condições nacionais”. </w:t>
      </w:r>
    </w:p>
  </w:footnote>
  <w:footnote w:id="79">
    <w:p w14:paraId="6EFEC777" w14:textId="39834716"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Fonts w:ascii="Verdana" w:hAnsi="Verdana" w:cs="Arial"/>
          <w:i/>
          <w:iCs/>
          <w:sz w:val="16"/>
          <w:szCs w:val="16"/>
          <w:shd w:val="clear" w:color="auto" w:fill="FFFFFF"/>
          <w:lang w:val="pt-BR"/>
        </w:rPr>
        <w:t>Fundação Marangopoulos para os Direitos Humanos (MFHR) Vs. Grécia</w:t>
      </w:r>
      <w:r w:rsidRPr="0038442F">
        <w:rPr>
          <w:rFonts w:ascii="Verdana" w:hAnsi="Verdana" w:cs="Arial"/>
          <w:sz w:val="16"/>
          <w:szCs w:val="16"/>
          <w:shd w:val="clear" w:color="auto" w:fill="FFFFFF"/>
          <w:lang w:val="pt-BR"/>
        </w:rPr>
        <w:t xml:space="preserve">, </w:t>
      </w:r>
      <w:r w:rsidRPr="0038442F">
        <w:rPr>
          <w:rFonts w:ascii="Verdana" w:hAnsi="Verdana" w:cs="Arial"/>
          <w:i/>
          <w:sz w:val="16"/>
          <w:szCs w:val="16"/>
          <w:shd w:val="clear" w:color="auto" w:fill="FFFFFF"/>
          <w:lang w:val="pt-BR"/>
        </w:rPr>
        <w:t>supra</w:t>
      </w:r>
      <w:r w:rsidRPr="0038442F">
        <w:rPr>
          <w:rFonts w:ascii="Verdana" w:hAnsi="Verdana" w:cs="Arial"/>
          <w:sz w:val="16"/>
          <w:szCs w:val="16"/>
          <w:shd w:val="clear" w:color="auto" w:fill="FFFFFF"/>
          <w:lang w:val="pt-BR"/>
        </w:rPr>
        <w:t xml:space="preserve">, par. </w:t>
      </w:r>
      <w:r w:rsidRPr="0038442F">
        <w:rPr>
          <w:rFonts w:ascii="Verdana" w:hAnsi="Verdana"/>
          <w:sz w:val="16"/>
          <w:szCs w:val="16"/>
          <w:lang w:val="pt-BR"/>
        </w:rPr>
        <w:t>229.</w:t>
      </w:r>
    </w:p>
  </w:footnote>
  <w:footnote w:id="80">
    <w:p w14:paraId="30312076" w14:textId="7777777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CIDH e REDESCA, </w:t>
      </w:r>
      <w:r w:rsidRPr="0038442F">
        <w:rPr>
          <w:rFonts w:ascii="Verdana" w:hAnsi="Verdana"/>
          <w:i/>
          <w:iCs/>
          <w:sz w:val="16"/>
          <w:szCs w:val="16"/>
          <w:lang w:val="pt-BR"/>
        </w:rPr>
        <w:t>Relatório sobre Empresas e Direitos Humanos: Normas Interamericanas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par. 94. </w:t>
      </w:r>
    </w:p>
  </w:footnote>
  <w:footnote w:id="81">
    <w:p w14:paraId="3DF01602" w14:textId="4AF3625D"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par. 286.</w:t>
      </w:r>
    </w:p>
  </w:footnote>
  <w:footnote w:id="82">
    <w:p w14:paraId="3E892DC8" w14:textId="761175AE"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286. </w:t>
      </w:r>
    </w:p>
  </w:footnote>
  <w:footnote w:id="83">
    <w:p w14:paraId="6FF946F2" w14:textId="16DC83A2"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 </w:t>
      </w:r>
      <w:r w:rsidRPr="0038442F">
        <w:rPr>
          <w:rStyle w:val="s38c10080"/>
          <w:rFonts w:ascii="Verdana" w:eastAsia="Times New Roman" w:hAnsi="Verdana" w:cs="Arial"/>
          <w:i/>
          <w:iCs/>
          <w:sz w:val="16"/>
          <w:szCs w:val="16"/>
          <w:lang w:val="pt-BR" w:eastAsia="es-MX"/>
        </w:rPr>
        <w:t>Para a consecução dessa medida, o Estado poderá recorrer a organizações como a OIT e o UNICEF, a fim de que prestem assessoramento ou assistência que possam ser de utilidade no cumprimento da medida ordenada. O Estado dispõe de um prazo de dois anos, contado a partir da notificação da presente Sentença, para apresentar relatório a este Tribunal sobre o andamento da implementação dessa política</w:t>
      </w:r>
      <w:r w:rsidRPr="0038442F">
        <w:rPr>
          <w:rFonts w:ascii="Verdana" w:hAnsi="Verdana"/>
          <w:sz w:val="16"/>
          <w:szCs w:val="16"/>
          <w:lang w:val="pt-BR"/>
        </w:rPr>
        <w:t xml:space="preserve">”. </w:t>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287. </w:t>
      </w:r>
    </w:p>
  </w:footnote>
  <w:footnote w:id="84">
    <w:p w14:paraId="4923A4A1" w14:textId="77777777" w:rsidR="00252907" w:rsidRPr="0038442F" w:rsidRDefault="00252907" w:rsidP="000777E8">
      <w:pPr>
        <w:pStyle w:val="s32b251d"/>
        <w:shd w:val="clear" w:color="auto" w:fill="FFFFFF"/>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Style w:val="s38c10080"/>
          <w:rFonts w:ascii="Verdana" w:hAnsi="Verdana" w:cs="Arial"/>
          <w:i/>
          <w:iCs/>
          <w:sz w:val="16"/>
          <w:szCs w:val="16"/>
          <w:lang w:val="pt-BR"/>
        </w:rPr>
        <w:t xml:space="preserve">Confederação Geral Italiana do Trabalho </w:t>
      </w:r>
      <w:r w:rsidRPr="0038442F">
        <w:rPr>
          <w:rStyle w:val="s7d2086b4"/>
          <w:rFonts w:ascii="Verdana" w:hAnsi="Verdana" w:cs="Arial"/>
          <w:i/>
          <w:iCs/>
          <w:sz w:val="16"/>
          <w:szCs w:val="16"/>
          <w:lang w:val="pt-BR"/>
        </w:rPr>
        <w:t>(CGIL) Vs. Itália</w:t>
      </w:r>
      <w:r w:rsidRPr="0038442F">
        <w:rPr>
          <w:rStyle w:val="s7d2086b4"/>
          <w:rFonts w:ascii="Verdana" w:hAnsi="Verdana" w:cs="Arial"/>
          <w:sz w:val="16"/>
          <w:szCs w:val="16"/>
          <w:lang w:val="pt-BR"/>
        </w:rPr>
        <w:t xml:space="preserve">, </w:t>
      </w:r>
      <w:r w:rsidRPr="0038442F">
        <w:rPr>
          <w:rStyle w:val="sb8d990e2"/>
          <w:rFonts w:ascii="Verdana" w:hAnsi="Verdana" w:cs="Arial"/>
          <w:sz w:val="16"/>
          <w:szCs w:val="16"/>
          <w:lang w:val="pt-BR"/>
        </w:rPr>
        <w:t>Queixa No. 91/2013</w:t>
      </w:r>
      <w:r w:rsidRPr="0038442F">
        <w:rPr>
          <w:rFonts w:ascii="Verdana" w:hAnsi="Verdana" w:cs="Arial"/>
          <w:sz w:val="16"/>
          <w:szCs w:val="16"/>
          <w:lang w:val="pt-BR"/>
        </w:rPr>
        <w:t xml:space="preserve">, </w:t>
      </w:r>
      <w:r w:rsidRPr="0038442F">
        <w:rPr>
          <w:rStyle w:val="s7d2086b4"/>
          <w:rFonts w:ascii="Verdana" w:hAnsi="Verdana" w:cs="Arial"/>
          <w:sz w:val="16"/>
          <w:szCs w:val="16"/>
          <w:lang w:val="pt-BR"/>
        </w:rPr>
        <w:t xml:space="preserve">decisão de admissibilidade e de mérito, de 12 de outubro de 2005, par. </w:t>
      </w:r>
      <w:r w:rsidRPr="0038442F">
        <w:rPr>
          <w:rFonts w:ascii="Verdana" w:hAnsi="Verdana"/>
          <w:sz w:val="16"/>
          <w:szCs w:val="16"/>
          <w:lang w:val="pt-BR"/>
        </w:rPr>
        <w:t>277</w:t>
      </w:r>
      <w:r w:rsidRPr="0038442F">
        <w:rPr>
          <w:rStyle w:val="s7d2086b4"/>
          <w:rFonts w:ascii="Verdana" w:hAnsi="Verdana" w:cs="Arial"/>
          <w:sz w:val="16"/>
          <w:szCs w:val="16"/>
          <w:lang w:val="pt-BR"/>
        </w:rPr>
        <w:t>.</w:t>
      </w:r>
    </w:p>
  </w:footnote>
  <w:footnote w:id="85">
    <w:p w14:paraId="3899C360" w14:textId="065799D0" w:rsidR="00252907" w:rsidRPr="0038442F" w:rsidRDefault="00252907" w:rsidP="000777E8">
      <w:pPr>
        <w:pStyle w:val="Textonotapie"/>
        <w:tabs>
          <w:tab w:val="left" w:pos="709"/>
        </w:tabs>
        <w:snapToGrid w:val="0"/>
        <w:jc w:val="both"/>
        <w:rPr>
          <w:rFonts w:ascii="Verdana" w:hAnsi="Verdana" w:cs="Time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 Comitê DESC, </w:t>
      </w:r>
      <w:r w:rsidRPr="0038442F">
        <w:rPr>
          <w:rFonts w:ascii="Verdana" w:hAnsi="Verdana"/>
          <w:i/>
          <w:sz w:val="16"/>
          <w:szCs w:val="16"/>
          <w:lang w:val="pt-BR"/>
        </w:rPr>
        <w:t xml:space="preserve">Questões substantivas que surgem da aplicação do Pacto Internacional de Direitos Econômicos, Sociais e Culturais: a pobreza e o Pacto Internacional de Direitos Econômicos, Sociais e Culturais, </w:t>
      </w:r>
      <w:r w:rsidRPr="0038442F">
        <w:rPr>
          <w:rFonts w:ascii="Verdana" w:hAnsi="Verdana"/>
          <w:sz w:val="16"/>
          <w:szCs w:val="16"/>
          <w:lang w:val="pt-BR"/>
        </w:rPr>
        <w:t xml:space="preserve">10 de maio de 2001, </w:t>
      </w:r>
      <w:r w:rsidRPr="0038442F">
        <w:rPr>
          <w:rFonts w:ascii="Verdana" w:hAnsi="Verdana"/>
          <w:i/>
          <w:sz w:val="16"/>
          <w:szCs w:val="16"/>
          <w:lang w:val="pt-BR"/>
        </w:rPr>
        <w:t>E</w:t>
      </w:r>
      <w:r w:rsidRPr="0038442F">
        <w:rPr>
          <w:rFonts w:ascii="Verdana" w:hAnsi="Verdana" w:cs="Times"/>
          <w:sz w:val="16"/>
          <w:szCs w:val="16"/>
          <w:lang w:val="pt-BR"/>
        </w:rPr>
        <w:t xml:space="preserve">/C.12/2001/10, par. 8. Em sentido similar, os </w:t>
      </w:r>
      <w:r w:rsidRPr="0038442F">
        <w:rPr>
          <w:rFonts w:ascii="Verdana" w:hAnsi="Verdana"/>
          <w:i/>
          <w:sz w:val="16"/>
          <w:szCs w:val="16"/>
          <w:lang w:val="pt-BR"/>
        </w:rPr>
        <w:t xml:space="preserve">Princípios Orientadores sobre Extrema Pobreza e Direitos Humanos </w:t>
      </w:r>
      <w:r w:rsidRPr="0038442F">
        <w:rPr>
          <w:rFonts w:ascii="Verdana" w:hAnsi="Verdana"/>
          <w:sz w:val="16"/>
          <w:szCs w:val="16"/>
          <w:lang w:val="pt-BR"/>
        </w:rPr>
        <w:t>(doravante denominados “PREPDH”)</w:t>
      </w:r>
      <w:r w:rsidRPr="0038442F">
        <w:rPr>
          <w:rFonts w:ascii="Verdana" w:hAnsi="Verdana" w:cs="Times"/>
          <w:sz w:val="16"/>
          <w:szCs w:val="16"/>
          <w:lang w:val="pt-BR"/>
        </w:rPr>
        <w:t xml:space="preserve">, definem a “extrema pobreza” como </w:t>
      </w:r>
      <w:r w:rsidRPr="0038442F">
        <w:rPr>
          <w:rFonts w:ascii="Verdana" w:hAnsi="Verdana" w:cs="Times"/>
          <w:i/>
          <w:sz w:val="16"/>
          <w:szCs w:val="16"/>
          <w:lang w:val="pt-BR"/>
        </w:rPr>
        <w:t>“uma combinação de escassez de renda</w:t>
      </w:r>
      <w:r w:rsidRPr="0038442F">
        <w:rPr>
          <w:rFonts w:ascii="Verdana" w:hAnsi="Verdana" w:cs="Times"/>
          <w:sz w:val="16"/>
          <w:szCs w:val="16"/>
          <w:lang w:val="pt-BR"/>
        </w:rPr>
        <w:t xml:space="preserve">, </w:t>
      </w:r>
      <w:r w:rsidRPr="0038442F">
        <w:rPr>
          <w:rFonts w:ascii="Verdana" w:hAnsi="Verdana" w:cs="Times"/>
          <w:i/>
          <w:sz w:val="16"/>
          <w:szCs w:val="16"/>
          <w:lang w:val="pt-BR"/>
        </w:rPr>
        <w:t>falta de desenvolvimento humano e exclusão social</w:t>
      </w:r>
      <w:r w:rsidRPr="0038442F">
        <w:rPr>
          <w:rFonts w:ascii="Verdana" w:hAnsi="Verdana" w:cs="Times"/>
          <w:sz w:val="16"/>
          <w:szCs w:val="16"/>
          <w:lang w:val="pt-BR"/>
        </w:rPr>
        <w:t xml:space="preserve">”. </w:t>
      </w:r>
      <w:r w:rsidRPr="0038442F">
        <w:rPr>
          <w:rFonts w:ascii="Verdana" w:hAnsi="Verdana"/>
          <w:sz w:val="16"/>
          <w:szCs w:val="16"/>
          <w:lang w:val="pt-BR"/>
        </w:rPr>
        <w:t xml:space="preserve">ONU, </w:t>
      </w:r>
      <w:r w:rsidRPr="0038442F">
        <w:rPr>
          <w:rFonts w:ascii="Verdana" w:hAnsi="Verdana"/>
          <w:i/>
          <w:sz w:val="16"/>
          <w:szCs w:val="16"/>
          <w:lang w:val="pt-BR"/>
        </w:rPr>
        <w:t>Princípios Orientadores sobre Extrema Pobreza e Direitos Humanos,</w:t>
      </w:r>
      <w:r w:rsidRPr="0038442F">
        <w:rPr>
          <w:rFonts w:ascii="Verdana" w:hAnsi="Verdana"/>
          <w:sz w:val="16"/>
          <w:szCs w:val="16"/>
          <w:lang w:val="pt-BR"/>
        </w:rPr>
        <w:t xml:space="preserve"> aprovados pelo Conselho de Direitos Humanos, 27 de setembro de 2012, Resolução 21/11, princípio </w:t>
      </w:r>
      <w:r w:rsidRPr="0038442F">
        <w:rPr>
          <w:rFonts w:ascii="Verdana" w:hAnsi="Verdana" w:cs="Times"/>
          <w:sz w:val="16"/>
          <w:szCs w:val="16"/>
          <w:lang w:val="pt-BR"/>
        </w:rPr>
        <w:t>2.</w:t>
      </w:r>
    </w:p>
  </w:footnote>
  <w:footnote w:id="86">
    <w:p w14:paraId="7A5F2BBA" w14:textId="77777777" w:rsidR="00252907" w:rsidRPr="0038442F" w:rsidRDefault="00252907" w:rsidP="000777E8">
      <w:pPr>
        <w:pStyle w:val="Textonotapie"/>
        <w:tabs>
          <w:tab w:val="left" w:pos="709"/>
        </w:tabs>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Princípios Orientadores sobre Extrema Pobreza e Direitos Humanos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princípios 3 e 4.</w:t>
      </w:r>
    </w:p>
  </w:footnote>
  <w:footnote w:id="87">
    <w:p w14:paraId="6DDD70BC" w14:textId="734D2E23" w:rsidR="00252907" w:rsidRPr="0038442F" w:rsidRDefault="00252907" w:rsidP="000777E8">
      <w:pPr>
        <w:pStyle w:val="Prrafodelista"/>
        <w:snapToGrid w:val="0"/>
        <w:spacing w:after="0" w:line="240" w:lineRule="auto"/>
        <w:ind w:left="0"/>
        <w:contextualSpacing w:val="0"/>
        <w:jc w:val="both"/>
        <w:rPr>
          <w:rFonts w:ascii="Verdana" w:hAnsi="Verdana" w:cs="System Font Regular"/>
          <w:i/>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No caso do Sistema Europeu, o </w:t>
      </w:r>
      <w:r w:rsidRPr="0038442F">
        <w:rPr>
          <w:rFonts w:ascii="Verdana" w:hAnsi="Verdana" w:cs="System Font Regular"/>
          <w:sz w:val="16"/>
          <w:szCs w:val="16"/>
          <w:lang w:val="pt-BR"/>
        </w:rPr>
        <w:t xml:space="preserve">artigo 14 da CEDH foi associado de </w:t>
      </w:r>
      <w:r w:rsidR="006820D6">
        <w:rPr>
          <w:rFonts w:ascii="Verdana" w:hAnsi="Verdana" w:cs="System Font Regular"/>
          <w:sz w:val="16"/>
          <w:szCs w:val="16"/>
          <w:lang w:val="pt-BR"/>
        </w:rPr>
        <w:t>forma</w:t>
      </w:r>
      <w:r w:rsidR="006820D6" w:rsidRPr="0038442F">
        <w:rPr>
          <w:rFonts w:ascii="Verdana" w:hAnsi="Verdana" w:cs="System Font Regular"/>
          <w:sz w:val="16"/>
          <w:szCs w:val="16"/>
          <w:lang w:val="pt-BR"/>
        </w:rPr>
        <w:t xml:space="preserve"> </w:t>
      </w:r>
      <w:r w:rsidRPr="0038442F">
        <w:rPr>
          <w:rFonts w:ascii="Verdana" w:hAnsi="Verdana" w:cs="System Font Regular"/>
          <w:sz w:val="16"/>
          <w:szCs w:val="16"/>
          <w:lang w:val="pt-BR"/>
        </w:rPr>
        <w:t xml:space="preserve">implícita, acessória e indireta aos direitos e liberdades protegidos pela CEDH. Desse modo, a proibição de discriminação contemplada na Convenção Europeia foi relacionada ao direito à vida (art. 2 da CEDH), pelas condições de vida ou assistência; à proibição de tratamentos cruéis, desumanos ou degradantes, ou ao respeito à vida privada e familiar (art. 3 e 8 da CEDH), relacionando-o a um nível de vida digno, ou ao </w:t>
      </w:r>
      <w:r w:rsidRPr="0038442F">
        <w:rPr>
          <w:rFonts w:ascii="Verdana" w:hAnsi="Verdana"/>
          <w:sz w:val="16"/>
          <w:szCs w:val="16"/>
          <w:lang w:val="pt-BR"/>
        </w:rPr>
        <w:t>direito à proteção da vida privada e familiar (art. 8 da CEDH), a respeito da privação dos direitos de custódia de crianças e sua colocação em uma instituição estatal, e do direito de propriedade (art. 1 do Protocolo N</w:t>
      </w:r>
      <w:r w:rsidRPr="0038442F">
        <w:rPr>
          <w:rFonts w:ascii="Verdana" w:hAnsi="Verdana"/>
          <w:sz w:val="16"/>
          <w:szCs w:val="16"/>
          <w:vertAlign w:val="superscript"/>
          <w:lang w:val="pt-BR"/>
        </w:rPr>
        <w:t>o.</w:t>
      </w:r>
      <w:r w:rsidRPr="0038442F">
        <w:rPr>
          <w:rFonts w:ascii="Verdana" w:hAnsi="Verdana"/>
          <w:sz w:val="16"/>
          <w:szCs w:val="16"/>
          <w:lang w:val="pt-BR"/>
        </w:rPr>
        <w:t xml:space="preserve"> 1 da CEDH). </w:t>
      </w:r>
      <w:r w:rsidRPr="0038442F">
        <w:rPr>
          <w:rFonts w:ascii="Verdana" w:hAnsi="Verdana" w:cs="System Font Regular"/>
          <w:sz w:val="16"/>
          <w:szCs w:val="16"/>
          <w:lang w:val="pt-BR"/>
        </w:rPr>
        <w:t xml:space="preserve">De igual </w:t>
      </w:r>
      <w:r w:rsidR="006820D6">
        <w:rPr>
          <w:rFonts w:ascii="Verdana" w:hAnsi="Verdana" w:cs="System Font Regular"/>
          <w:sz w:val="16"/>
          <w:szCs w:val="16"/>
          <w:lang w:val="pt-BR"/>
        </w:rPr>
        <w:t>modo</w:t>
      </w:r>
      <w:r w:rsidRPr="0038442F">
        <w:rPr>
          <w:rFonts w:ascii="Verdana" w:hAnsi="Verdana" w:cs="System Font Regular"/>
          <w:sz w:val="16"/>
          <w:szCs w:val="16"/>
          <w:lang w:val="pt-BR"/>
        </w:rPr>
        <w:t xml:space="preserve">, encontramos um dado sobressalente na Carta Social Europeia, </w:t>
      </w:r>
      <w:r w:rsidRPr="0038442F">
        <w:rPr>
          <w:rFonts w:ascii="Verdana" w:hAnsi="Verdana"/>
          <w:sz w:val="16"/>
          <w:szCs w:val="16"/>
          <w:lang w:val="pt-BR"/>
        </w:rPr>
        <w:t xml:space="preserve">no artigo 30, que protege </w:t>
      </w:r>
      <w:r w:rsidRPr="0038442F">
        <w:rPr>
          <w:rFonts w:ascii="Verdana" w:hAnsi="Verdana"/>
          <w:i/>
          <w:sz w:val="16"/>
          <w:szCs w:val="16"/>
          <w:lang w:val="pt-BR"/>
        </w:rPr>
        <w:t xml:space="preserve">as pessoas contra a pobreza e a exclusão social </w:t>
      </w:r>
      <w:r w:rsidRPr="0038442F">
        <w:rPr>
          <w:rFonts w:ascii="Verdana" w:hAnsi="Verdana"/>
          <w:sz w:val="16"/>
          <w:szCs w:val="16"/>
          <w:lang w:val="pt-BR"/>
        </w:rPr>
        <w:t xml:space="preserve">[…]”. No caso do Sistema Africano, não se conta com </w:t>
      </w:r>
      <w:r w:rsidRPr="0038442F">
        <w:rPr>
          <w:rFonts w:ascii="Verdana" w:hAnsi="Verdana" w:cs="System Font Regular"/>
          <w:sz w:val="16"/>
          <w:szCs w:val="16"/>
          <w:lang w:val="pt-BR"/>
        </w:rPr>
        <w:t xml:space="preserve">grandes desenvolvimentos jurisprudenciais sobre as condições de pobreza ou a posição econômica. Ver os </w:t>
      </w:r>
      <w:r w:rsidRPr="0038442F">
        <w:rPr>
          <w:rFonts w:ascii="Verdana" w:hAnsi="Verdana"/>
          <w:sz w:val="16"/>
          <w:szCs w:val="16"/>
          <w:lang w:val="pt-BR"/>
        </w:rPr>
        <w:t xml:space="preserve">par. 11, 12 e 16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 xml:space="preserve">Trabalhadores da Fazenda Brasil Verde Vs. Brasil. </w:t>
      </w:r>
    </w:p>
  </w:footnote>
  <w:footnote w:id="88">
    <w:p w14:paraId="633ABD7A" w14:textId="13E9F629" w:rsidR="00252907" w:rsidRPr="0038442F" w:rsidRDefault="00252907" w:rsidP="000777E8">
      <w:pPr>
        <w:pStyle w:val="Prrafodelista"/>
        <w:snapToGrid w:val="0"/>
        <w:spacing w:after="0" w:line="240" w:lineRule="auto"/>
        <w:ind w:left="0"/>
        <w:contextualSpacing w:val="0"/>
        <w:jc w:val="both"/>
        <w:rPr>
          <w:rFonts w:ascii="Verdana" w:hAnsi="Verdana" w:cs="System Font Regular"/>
          <w:i/>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No âmbito das Nações Unidas, tanto o Pacto Internacional de Direitos Econômicos, Sociais e Culturais como o Pacto Internacional de Direitos Civis e Políticos contemplam a proibição de discriminação por posição econômica. A esse respeito, ressaltei que “Quanto à </w:t>
      </w:r>
      <w:r w:rsidRPr="0038442F">
        <w:rPr>
          <w:rFonts w:ascii="Verdana" w:hAnsi="Verdana" w:cs="Times New Roman"/>
          <w:sz w:val="16"/>
          <w:szCs w:val="16"/>
          <w:lang w:val="pt-BR"/>
        </w:rPr>
        <w:t xml:space="preserve">posição econômica como categoria de especial proteção, o Comitê DESC salientou que, como motivo proibido de discriminação, é um conceito amplo que inclui os bens de raiz e os bens pessoais, ou a carência deles, ou seja, uma das facetas da pobreza”. </w:t>
      </w:r>
      <w:r w:rsidRPr="0038442F">
        <w:rPr>
          <w:rFonts w:ascii="Verdana" w:hAnsi="Verdana" w:cs="System Font Regular"/>
          <w:sz w:val="16"/>
          <w:szCs w:val="16"/>
          <w:lang w:val="pt-BR"/>
        </w:rPr>
        <w:t xml:space="preserve">Ver </w:t>
      </w:r>
      <w:r w:rsidRPr="0038442F">
        <w:rPr>
          <w:rFonts w:ascii="Verdana" w:hAnsi="Verdana"/>
          <w:sz w:val="16"/>
          <w:szCs w:val="16"/>
          <w:lang w:val="pt-BR"/>
        </w:rPr>
        <w:t xml:space="preserve">par. 11, 12 e 16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Trabalhadores da Fazenda Brasil Verde Vs. Brasil.</w:t>
      </w:r>
    </w:p>
  </w:footnote>
  <w:footnote w:id="89">
    <w:p w14:paraId="5F83E1C9" w14:textId="263CB363" w:rsidR="00252907" w:rsidRPr="0038442F" w:rsidRDefault="00252907" w:rsidP="000777E8">
      <w:pPr>
        <w:pStyle w:val="Prrafodelista"/>
        <w:snapToGrid w:val="0"/>
        <w:spacing w:after="0" w:line="240" w:lineRule="auto"/>
        <w:ind w:left="0"/>
        <w:contextualSpacing w:val="0"/>
        <w:jc w:val="both"/>
        <w:rPr>
          <w:rFonts w:ascii="Verdana" w:hAnsi="Verdana" w:cs="System Font Regular"/>
          <w:i/>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System Font Regular"/>
          <w:sz w:val="16"/>
          <w:szCs w:val="16"/>
          <w:lang w:val="pt-BR"/>
        </w:rPr>
        <w:t>Ver o par. 17</w:t>
      </w:r>
      <w:r w:rsidRPr="0038442F">
        <w:rPr>
          <w:rFonts w:ascii="Verdana" w:hAnsi="Verdana"/>
          <w:sz w:val="16"/>
          <w:szCs w:val="16"/>
          <w:lang w:val="pt-BR"/>
        </w:rPr>
        <w:t xml:space="preserve">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Trabalhadores da Fazenda Brasil Verde Vs. Brasil.</w:t>
      </w:r>
    </w:p>
  </w:footnote>
  <w:footnote w:id="90">
    <w:p w14:paraId="070B546E" w14:textId="77777777" w:rsidR="00252907" w:rsidRPr="0038442F" w:rsidRDefault="00252907" w:rsidP="000777E8">
      <w:pPr>
        <w:pStyle w:val="Prrafodelista"/>
        <w:snapToGrid w:val="0"/>
        <w:spacing w:after="0" w:line="240" w:lineRule="auto"/>
        <w:ind w:left="0"/>
        <w:contextualSpacing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System Font Regular"/>
          <w:sz w:val="16"/>
          <w:szCs w:val="16"/>
          <w:lang w:val="pt-BR"/>
        </w:rPr>
        <w:t xml:space="preserve">Ver os </w:t>
      </w:r>
      <w:r w:rsidRPr="0038442F">
        <w:rPr>
          <w:rFonts w:ascii="Verdana" w:hAnsi="Verdana"/>
          <w:sz w:val="16"/>
          <w:szCs w:val="16"/>
          <w:lang w:val="pt-BR"/>
        </w:rPr>
        <w:t xml:space="preserve">par. 25 e 44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 xml:space="preserve">Trabalhadores da Fazenda Brasil Verde Vs. Brasil. </w:t>
      </w:r>
    </w:p>
  </w:footnote>
  <w:footnote w:id="91">
    <w:p w14:paraId="58B2B888" w14:textId="68475321"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Anteriormente, a Corte IDH havia indicado “22. A parte final do artigo 1.1 proíbe ao Estado discriminar por diversas razões, entre elas, a </w:t>
      </w:r>
      <w:r w:rsidRPr="0038442F">
        <w:rPr>
          <w:rFonts w:ascii="Verdana" w:hAnsi="Verdana"/>
          <w:i/>
          <w:iCs/>
          <w:sz w:val="16"/>
          <w:szCs w:val="16"/>
          <w:lang w:val="pt-BR"/>
        </w:rPr>
        <w:t>posição econômica</w:t>
      </w:r>
      <w:r w:rsidRPr="0038442F">
        <w:rPr>
          <w:rFonts w:ascii="Verdana" w:hAnsi="Verdana"/>
          <w:sz w:val="16"/>
          <w:szCs w:val="16"/>
          <w:lang w:val="pt-BR"/>
        </w:rPr>
        <w:t xml:space="preserve">. O sentido do termo </w:t>
      </w:r>
      <w:r w:rsidRPr="0038442F">
        <w:rPr>
          <w:rFonts w:ascii="Verdana" w:hAnsi="Verdana"/>
          <w:i/>
          <w:iCs/>
          <w:sz w:val="16"/>
          <w:szCs w:val="16"/>
          <w:lang w:val="pt-BR"/>
        </w:rPr>
        <w:t xml:space="preserve">discriminação </w:t>
      </w:r>
      <w:r w:rsidRPr="0038442F">
        <w:rPr>
          <w:rFonts w:ascii="Verdana" w:hAnsi="Verdana"/>
          <w:sz w:val="16"/>
          <w:szCs w:val="16"/>
          <w:lang w:val="pt-BR"/>
        </w:rPr>
        <w:t xml:space="preserve">que menciona o artigo 24 deve ser interpretado, então, à luz do que menciona o artigo 1.1. Caso uma pessoa que busque a proteção da lei para fazer valer os direitos que a Convenção lhe garante constate que sua posição econômica (neste caso, sua indigência) o impede de fazê-lo, porque não pode custear a assistência jurídica necessária ou pagar as custas do processo, fica discriminada por motivo de sua posição econômica e colocada em condições de desigualdade perante a lei. </w:t>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Exceções ao esgotamento dos recursos internos (art. 46.1, 46.2.a e 46.2.b, Convenção Americana sobre Direitos Humanos).</w:t>
      </w:r>
      <w:r w:rsidRPr="0038442F">
        <w:rPr>
          <w:rFonts w:ascii="Verdana" w:hAnsi="Verdana" w:cs="Arial"/>
          <w:sz w:val="16"/>
          <w:szCs w:val="16"/>
          <w:shd w:val="clear" w:color="auto" w:fill="FFFFFF"/>
          <w:lang w:val="pt-BR"/>
        </w:rPr>
        <w:t xml:space="preserve"> Parecer Consultivo OC-11/90, de 10 de agosto de 1990. Série A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11.</w:t>
      </w:r>
      <w:r w:rsidRPr="0038442F">
        <w:rPr>
          <w:rFonts w:ascii="Verdana" w:hAnsi="Verdana"/>
          <w:sz w:val="16"/>
          <w:szCs w:val="16"/>
          <w:lang w:val="pt-BR"/>
        </w:rPr>
        <w:t xml:space="preserve"> </w:t>
      </w:r>
    </w:p>
  </w:footnote>
  <w:footnote w:id="92">
    <w:p w14:paraId="5B5E1890" w14:textId="7777777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cs="System Font Regular"/>
          <w:sz w:val="16"/>
          <w:szCs w:val="16"/>
          <w:lang w:val="pt-BR"/>
        </w:rPr>
        <w:t xml:space="preserve">Ver o </w:t>
      </w:r>
      <w:r w:rsidRPr="0038442F">
        <w:rPr>
          <w:rFonts w:ascii="Verdana" w:hAnsi="Verdana"/>
          <w:sz w:val="16"/>
          <w:szCs w:val="16"/>
          <w:lang w:val="pt-BR"/>
        </w:rPr>
        <w:t xml:space="preserve">par. 26 do voto emitido no </w:t>
      </w:r>
      <w:r w:rsidRPr="0038442F">
        <w:rPr>
          <w:rFonts w:ascii="Verdana" w:hAnsi="Verdana"/>
          <w:i/>
          <w:sz w:val="16"/>
          <w:szCs w:val="16"/>
          <w:lang w:val="pt-BR"/>
        </w:rPr>
        <w:t xml:space="preserve">Caso </w:t>
      </w:r>
      <w:r w:rsidRPr="0038442F">
        <w:rPr>
          <w:rFonts w:ascii="Verdana" w:hAnsi="Verdana"/>
          <w:i/>
          <w:iCs/>
          <w:sz w:val="16"/>
          <w:szCs w:val="16"/>
          <w:lang w:val="pt-BR"/>
        </w:rPr>
        <w:t xml:space="preserve">Trabalhadores da Fazenda Brasil Verde Vs. Brasil. </w:t>
      </w:r>
    </w:p>
  </w:footnote>
  <w:footnote w:id="93">
    <w:p w14:paraId="43E14060" w14:textId="77777777" w:rsidR="00252907" w:rsidRPr="0038442F" w:rsidRDefault="00252907" w:rsidP="000777E8">
      <w:pPr>
        <w:pStyle w:val="Textonotapie"/>
        <w:tabs>
          <w:tab w:val="left" w:pos="709"/>
        </w:tabs>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o </w:t>
      </w:r>
      <w:r w:rsidRPr="0038442F">
        <w:rPr>
          <w:rFonts w:ascii="Verdana" w:hAnsi="Verdana" w:cs="Verdana"/>
          <w:i/>
          <w:sz w:val="16"/>
          <w:szCs w:val="16"/>
          <w:lang w:val="pt-BR"/>
        </w:rPr>
        <w:t>Caso Artavia Murillo e outros ("Fecundação in vitro") Vs. Costa Rica. Exceções Preliminares, Mérito, Reparações e Custas.</w:t>
      </w:r>
      <w:r w:rsidRPr="0038442F">
        <w:rPr>
          <w:rFonts w:ascii="Verdana" w:hAnsi="Verdana" w:cs="Verdana"/>
          <w:sz w:val="16"/>
          <w:szCs w:val="16"/>
          <w:lang w:val="pt-BR"/>
        </w:rPr>
        <w:t xml:space="preserve"> Sentença de 28 de novembro de 2012. Série C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257; e Caso </w:t>
      </w:r>
      <w:r w:rsidRPr="0038442F">
        <w:rPr>
          <w:rFonts w:ascii="Verdana" w:hAnsi="Verdana" w:cs="Verdana"/>
          <w:i/>
          <w:sz w:val="16"/>
          <w:szCs w:val="16"/>
          <w:lang w:val="pt-BR"/>
        </w:rPr>
        <w:t>Gonzales Lluy e outros Vs. Equador</w:t>
      </w:r>
      <w:r w:rsidRPr="0038442F">
        <w:rPr>
          <w:rFonts w:ascii="Verdana" w:hAnsi="Verdana" w:cs="Verdana"/>
          <w:sz w:val="16"/>
          <w:szCs w:val="16"/>
          <w:lang w:val="pt-BR"/>
        </w:rPr>
        <w:t xml:space="preserve">, </w:t>
      </w:r>
      <w:r w:rsidRPr="0038442F">
        <w:rPr>
          <w:rFonts w:ascii="Verdana" w:hAnsi="Verdana" w:cs="Verdana"/>
          <w:i/>
          <w:sz w:val="16"/>
          <w:szCs w:val="16"/>
          <w:lang w:val="pt-BR"/>
        </w:rPr>
        <w:t>supra</w:t>
      </w:r>
      <w:r w:rsidRPr="0038442F">
        <w:rPr>
          <w:rFonts w:ascii="Verdana" w:hAnsi="Verdana" w:cs="Verdana"/>
          <w:sz w:val="16"/>
          <w:szCs w:val="16"/>
          <w:lang w:val="pt-BR"/>
        </w:rPr>
        <w:t>.</w:t>
      </w:r>
    </w:p>
  </w:footnote>
  <w:footnote w:id="94">
    <w:p w14:paraId="336F8A94" w14:textId="77777777" w:rsidR="00252907" w:rsidRPr="0038442F" w:rsidRDefault="00252907" w:rsidP="000777E8">
      <w:pPr>
        <w:pStyle w:val="Textonotapie"/>
        <w:tabs>
          <w:tab w:val="left" w:pos="709"/>
        </w:tabs>
        <w:snapToGrid w:val="0"/>
        <w:jc w:val="both"/>
        <w:rPr>
          <w:rFonts w:ascii="Verdana" w:hAnsi="Verdana" w:cs="Times New Roman"/>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w:t>
      </w:r>
      <w:r w:rsidRPr="0038442F">
        <w:rPr>
          <w:rFonts w:ascii="Verdana" w:hAnsi="Verdana" w:cs="Verdana"/>
          <w:i/>
          <w:sz w:val="16"/>
          <w:szCs w:val="16"/>
          <w:lang w:val="pt-BR"/>
        </w:rPr>
        <w:t>Caso Uzcátegui e outros Vs. Venezuela. Mérito e Reparações</w:t>
      </w:r>
      <w:r w:rsidRPr="0038442F">
        <w:rPr>
          <w:rFonts w:ascii="Verdana" w:hAnsi="Verdana" w:cs="Verdana"/>
          <w:sz w:val="16"/>
          <w:szCs w:val="16"/>
          <w:lang w:val="pt-BR"/>
        </w:rPr>
        <w:t>. Sentença de 3 de setembro de 2012. Série C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249. </w:t>
      </w:r>
    </w:p>
  </w:footnote>
  <w:footnote w:id="95">
    <w:p w14:paraId="7F8DBDC3" w14:textId="069F5B17" w:rsidR="00252907" w:rsidRPr="0038442F" w:rsidRDefault="00252907" w:rsidP="000777E8">
      <w:pPr>
        <w:pStyle w:val="Prrafodelista"/>
        <w:snapToGrid w:val="0"/>
        <w:spacing w:after="0" w:line="240" w:lineRule="auto"/>
        <w:ind w:left="0"/>
        <w:contextualSpacing w:val="0"/>
        <w:jc w:val="both"/>
        <w:rPr>
          <w:rFonts w:ascii="Verdana" w:hAnsi="Verdana" w:cs="Times New Roman"/>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Times New Roman"/>
          <w:sz w:val="16"/>
          <w:szCs w:val="16"/>
          <w:lang w:val="pt-BR"/>
        </w:rPr>
        <w:t xml:space="preserve">Como expus anteriormente, embora no caso a Corte IDH tenha analisado a pobreza dentro da categoria de “posição econômica”, isso não impede que no futuro também possa ser analisada dentro de outras categorias, já que “[…] a pobreza, por ser um fenômeno multidimensional, pode ser abordada de diferentes categorias de proteção, à luz do artigo 1.1 da Convenção Americana; como o pode[m] ser […] a origem social ou, antes, mediante outra condição social”. </w:t>
      </w:r>
      <w:r w:rsidRPr="0038442F">
        <w:rPr>
          <w:rFonts w:ascii="Verdana" w:hAnsi="Verdana" w:cs="System Font Regular"/>
          <w:sz w:val="16"/>
          <w:szCs w:val="16"/>
          <w:lang w:val="pt-BR"/>
        </w:rPr>
        <w:t xml:space="preserve">Ver o par. </w:t>
      </w:r>
      <w:r w:rsidRPr="0038442F">
        <w:rPr>
          <w:rFonts w:ascii="Verdana" w:hAnsi="Verdana"/>
          <w:sz w:val="16"/>
          <w:szCs w:val="16"/>
          <w:lang w:val="pt-BR"/>
        </w:rPr>
        <w:t xml:space="preserve">50 do voto emitido no </w:t>
      </w:r>
      <w:r w:rsidRPr="0038442F">
        <w:rPr>
          <w:rFonts w:ascii="Verdana" w:hAnsi="Verdana"/>
          <w:i/>
          <w:sz w:val="16"/>
          <w:szCs w:val="16"/>
          <w:lang w:val="pt-BR"/>
        </w:rPr>
        <w:t xml:space="preserve">Caso </w:t>
      </w:r>
      <w:r w:rsidRPr="0038442F">
        <w:rPr>
          <w:rFonts w:ascii="Verdana" w:hAnsi="Verdana"/>
          <w:i/>
          <w:iCs/>
          <w:sz w:val="16"/>
          <w:szCs w:val="16"/>
          <w:lang w:val="pt-BR"/>
        </w:rPr>
        <w:t xml:space="preserve">Trabalhadores da Fazenda Brasil Verde Vs. Brasil. </w:t>
      </w:r>
      <w:r w:rsidRPr="0038442F">
        <w:rPr>
          <w:rFonts w:ascii="Verdana" w:hAnsi="Verdana" w:cs="Times New Roman"/>
          <w:sz w:val="16"/>
          <w:szCs w:val="16"/>
          <w:lang w:val="pt-BR"/>
        </w:rPr>
        <w:t xml:space="preserve">Nesse sentido, a Relatora Especial sobre a Extrema Pobreza e os Direitos Humanos expressou que </w:t>
      </w:r>
      <w:r w:rsidRPr="0038442F">
        <w:rPr>
          <w:rFonts w:ascii="Verdana" w:hAnsi="Verdana" w:cs="Arial"/>
          <w:i/>
          <w:sz w:val="16"/>
          <w:szCs w:val="16"/>
          <w:lang w:val="pt-BR"/>
        </w:rPr>
        <w:t xml:space="preserve">“Em sua jurisprudência, o Comitê de Direitos Humanos reiterou que a lista de motivos de discriminação não é exaustiva e que a frase “qualquer outra condição social” não está sujeita a uma só interpretação. </w:t>
      </w:r>
      <w:r w:rsidRPr="0038442F">
        <w:rPr>
          <w:rFonts w:ascii="Verdana" w:hAnsi="Verdana" w:cs="Arial"/>
          <w:sz w:val="16"/>
          <w:szCs w:val="16"/>
          <w:lang w:val="pt-BR"/>
        </w:rPr>
        <w:t xml:space="preserve">[Por outro lado,] </w:t>
      </w:r>
      <w:r w:rsidRPr="0038442F">
        <w:rPr>
          <w:rFonts w:ascii="Verdana" w:hAnsi="Verdana" w:cs="Arial"/>
          <w:i/>
          <w:sz w:val="16"/>
          <w:szCs w:val="16"/>
          <w:u w:val="single"/>
          <w:lang w:val="pt-BR"/>
        </w:rPr>
        <w:t>no artigo 1 da Convenção Americana sobre Direitos Humanos se inclui de maneira expressa a [posição] econômica e [origem] social entre os motivos de discriminação. Outros motivos proibidos de discriminação, como “a posição econômica” e inclusive “a origem social”, também podem ser pertinentes ao abordar questões relacionadas à pobreza</w:t>
      </w:r>
      <w:r w:rsidRPr="0038442F">
        <w:rPr>
          <w:rStyle w:val="Refdenotaalpie"/>
          <w:rFonts w:ascii="Verdana" w:hAnsi="Verdana"/>
          <w:i/>
          <w:sz w:val="16"/>
          <w:szCs w:val="16"/>
          <w:lang w:val="pt-BR"/>
        </w:rPr>
        <w:t xml:space="preserve">” </w:t>
      </w:r>
      <w:r w:rsidRPr="0038442F">
        <w:rPr>
          <w:rFonts w:ascii="Verdana" w:hAnsi="Verdana"/>
          <w:sz w:val="16"/>
          <w:szCs w:val="16"/>
          <w:lang w:val="pt-BR"/>
        </w:rPr>
        <w:t xml:space="preserve">(grifo nosso). ONU, </w:t>
      </w:r>
      <w:r w:rsidRPr="0038442F">
        <w:rPr>
          <w:rFonts w:ascii="Verdana" w:hAnsi="Verdana"/>
          <w:i/>
          <w:sz w:val="16"/>
          <w:szCs w:val="16"/>
          <w:lang w:val="pt-BR"/>
        </w:rPr>
        <w:t xml:space="preserve">Relatório da Relatora Especial sobre a Extrema Pobreza e os Direitos Humanos, </w:t>
      </w:r>
      <w:r w:rsidRPr="0038442F">
        <w:rPr>
          <w:rFonts w:ascii="Verdana" w:hAnsi="Verdana"/>
          <w:sz w:val="16"/>
          <w:szCs w:val="16"/>
          <w:lang w:val="pt-BR"/>
        </w:rPr>
        <w:t>Magdalena Sepúlveda Carmona, 4 de agosto de 2011, A/66/265, nota de rodapé n</w:t>
      </w:r>
      <w:r w:rsidRPr="0038442F">
        <w:rPr>
          <w:rFonts w:ascii="Verdana" w:hAnsi="Verdana"/>
          <w:sz w:val="16"/>
          <w:szCs w:val="16"/>
          <w:vertAlign w:val="superscript"/>
          <w:lang w:val="pt-BR"/>
        </w:rPr>
        <w:t>o.</w:t>
      </w:r>
      <w:r w:rsidRPr="0038442F">
        <w:rPr>
          <w:rFonts w:ascii="Verdana" w:hAnsi="Verdana"/>
          <w:sz w:val="16"/>
          <w:szCs w:val="16"/>
          <w:lang w:val="pt-BR"/>
        </w:rPr>
        <w:t xml:space="preserve"> 7. </w:t>
      </w:r>
    </w:p>
  </w:footnote>
  <w:footnote w:id="96">
    <w:p w14:paraId="7BB5E76F" w14:textId="12337B7E" w:rsidR="00252907" w:rsidRPr="0038442F" w:rsidRDefault="00252907" w:rsidP="000777E8">
      <w:pPr>
        <w:pStyle w:val="Textonotapie"/>
        <w:tabs>
          <w:tab w:val="left" w:pos="709"/>
        </w:tabs>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i/>
          <w:sz w:val="16"/>
          <w:szCs w:val="16"/>
          <w:lang w:val="pt-BR"/>
        </w:rPr>
        <w:t>Caso Trabalhadores da Fazenda Brasil Verde Vs. Brasil, supra</w:t>
      </w:r>
      <w:r w:rsidRPr="0038442F">
        <w:rPr>
          <w:rFonts w:ascii="Verdana" w:hAnsi="Verdana"/>
          <w:sz w:val="16"/>
          <w:szCs w:val="16"/>
          <w:lang w:val="pt-BR"/>
        </w:rPr>
        <w:t>, par. 339.</w:t>
      </w:r>
    </w:p>
  </w:footnote>
  <w:footnote w:id="97">
    <w:p w14:paraId="0C7C886F" w14:textId="3915C3D5" w:rsidR="00252907" w:rsidRPr="0038442F" w:rsidRDefault="00252907" w:rsidP="000777E8">
      <w:pPr>
        <w:pStyle w:val="Textonotapie"/>
        <w:tabs>
          <w:tab w:val="left" w:pos="709"/>
        </w:tabs>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i/>
          <w:sz w:val="16"/>
          <w:szCs w:val="16"/>
          <w:lang w:val="pt-BR"/>
        </w:rPr>
        <w:t>Caso Trabalhadores da Fazenda Brasil Verde Vs. Brasil, supra</w:t>
      </w:r>
      <w:r w:rsidRPr="0038442F">
        <w:rPr>
          <w:rFonts w:ascii="Verdana" w:hAnsi="Verdana"/>
          <w:sz w:val="16"/>
          <w:szCs w:val="16"/>
          <w:lang w:val="pt-BR"/>
        </w:rPr>
        <w:t xml:space="preserve">, par. 340. </w:t>
      </w:r>
    </w:p>
  </w:footnote>
  <w:footnote w:id="98">
    <w:p w14:paraId="208ACE96" w14:textId="0E07D86C"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System Font Regular"/>
          <w:sz w:val="16"/>
          <w:szCs w:val="16"/>
          <w:lang w:val="pt-BR"/>
        </w:rPr>
        <w:t xml:space="preserve">Ver o </w:t>
      </w:r>
      <w:r w:rsidRPr="0038442F">
        <w:rPr>
          <w:rFonts w:ascii="Verdana" w:hAnsi="Verdana"/>
          <w:sz w:val="16"/>
          <w:szCs w:val="16"/>
          <w:lang w:val="pt-BR"/>
        </w:rPr>
        <w:t xml:space="preserve">par. 99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 xml:space="preserve">Trabalhadores da Fazenda Brasil Verde Vs. Brasil. </w:t>
      </w:r>
    </w:p>
  </w:footnote>
  <w:footnote w:id="99">
    <w:p w14:paraId="0824162E" w14:textId="383402DD" w:rsidR="00252907" w:rsidRPr="0038442F" w:rsidRDefault="00252907" w:rsidP="000777E8">
      <w:pPr>
        <w:pStyle w:val="Textonotapie"/>
        <w:tabs>
          <w:tab w:val="left" w:pos="709"/>
        </w:tabs>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System Font Regular"/>
          <w:sz w:val="16"/>
          <w:szCs w:val="16"/>
          <w:lang w:val="pt-BR"/>
        </w:rPr>
        <w:t xml:space="preserve">Ver o </w:t>
      </w:r>
      <w:r w:rsidRPr="0038442F">
        <w:rPr>
          <w:rFonts w:ascii="Verdana" w:hAnsi="Verdana"/>
          <w:sz w:val="16"/>
          <w:szCs w:val="16"/>
          <w:lang w:val="pt-BR"/>
        </w:rPr>
        <w:t xml:space="preserve">par. 53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Trabalhadores da Fazenda Brasil Verde Vs. Brasil.</w:t>
      </w:r>
    </w:p>
  </w:footnote>
  <w:footnote w:id="100">
    <w:p w14:paraId="6B739356" w14:textId="7E226AD7" w:rsidR="00252907" w:rsidRPr="0038442F" w:rsidRDefault="00252907" w:rsidP="000777E8">
      <w:pPr>
        <w:pStyle w:val="Prrafodelista"/>
        <w:widowControl w:val="0"/>
        <w:tabs>
          <w:tab w:val="left" w:pos="709"/>
        </w:tabs>
        <w:autoSpaceDE w:val="0"/>
        <w:autoSpaceDN w:val="0"/>
        <w:adjustRightInd w:val="0"/>
        <w:snapToGrid w:val="0"/>
        <w:spacing w:after="0" w:line="240" w:lineRule="auto"/>
        <w:ind w:left="0"/>
        <w:contextualSpacing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Conselho de Direitos Humanos, Relatório da Relatora Especial sobre a Extrema Pobreza e os Direitos Humanos, </w:t>
      </w:r>
      <w:r w:rsidRPr="0038442F">
        <w:rPr>
          <w:rFonts w:ascii="Verdana" w:hAnsi="Verdana" w:cs="Times"/>
          <w:sz w:val="16"/>
          <w:szCs w:val="16"/>
          <w:lang w:val="pt-BR"/>
        </w:rPr>
        <w:t>11 de março de 2013</w:t>
      </w:r>
      <w:r w:rsidRPr="0038442F">
        <w:rPr>
          <w:rFonts w:ascii="Verdana" w:hAnsi="Verdana"/>
          <w:sz w:val="16"/>
          <w:szCs w:val="16"/>
          <w:lang w:val="pt-BR"/>
        </w:rPr>
        <w:t xml:space="preserve">, </w:t>
      </w:r>
      <w:r w:rsidRPr="0038442F">
        <w:rPr>
          <w:rFonts w:ascii="Verdana" w:hAnsi="Verdana" w:cs="Times"/>
          <w:sz w:val="16"/>
          <w:szCs w:val="16"/>
          <w:lang w:val="pt-BR"/>
        </w:rPr>
        <w:t xml:space="preserve">A/HRC/23/36, par. 42. </w:t>
      </w:r>
    </w:p>
  </w:footnote>
  <w:footnote w:id="101">
    <w:p w14:paraId="4BE84606" w14:textId="0C34FD4E"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Embora a Corte IDH, na primeira vez que interseciona a condição econômica, no </w:t>
      </w:r>
      <w:r w:rsidRPr="0038442F">
        <w:rPr>
          <w:rFonts w:ascii="Verdana" w:hAnsi="Verdana"/>
          <w:i/>
          <w:sz w:val="16"/>
          <w:szCs w:val="16"/>
          <w:lang w:val="pt-BR"/>
        </w:rPr>
        <w:t xml:space="preserve">Caso </w:t>
      </w:r>
      <w:r w:rsidRPr="0038442F">
        <w:rPr>
          <w:rFonts w:ascii="Verdana" w:hAnsi="Verdana"/>
          <w:sz w:val="16"/>
          <w:szCs w:val="16"/>
          <w:lang w:val="pt-BR"/>
        </w:rPr>
        <w:t xml:space="preserve">Gonzales Lluy, não tenha destacado que fosse por uma categoria constante do artigo 1.1, seja por posição econômica, seja por situação ou outra condição social. </w:t>
      </w:r>
    </w:p>
  </w:footnote>
  <w:footnote w:id="102">
    <w:p w14:paraId="28D330B8" w14:textId="1F9ED91C"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Comissão ressaltou “91. Para efeitos do presente relatório, a pobreza constitui um problema que se traduz em obstáculos para o gozo e exercício dos direitos humanos em condições de igualdade real por parte das pessoas, grupos e coletividades que vivem nessa situação. A situação de pobreza traz consigo uma exposição acentuada a violações de direitos humanos; vulnerabilidade aumentada pelas restrições decorrentes da situação socioeconômica das pessoas. Do mesmo modo, em determinados casos, a pobreza poderia implicar, ademais, violações de direitos humanos atribuíveis à responsabilidade internacional do Estado”. </w:t>
      </w:r>
      <w:r w:rsidRPr="0038442F">
        <w:rPr>
          <w:rFonts w:ascii="Verdana" w:hAnsi="Verdana"/>
          <w:i/>
          <w:iCs/>
          <w:sz w:val="16"/>
          <w:szCs w:val="16"/>
          <w:lang w:val="pt-BR"/>
        </w:rPr>
        <w:t xml:space="preserve">Cf. </w:t>
      </w:r>
      <w:r w:rsidRPr="0038442F">
        <w:rPr>
          <w:rFonts w:ascii="Verdana" w:hAnsi="Verdana"/>
          <w:sz w:val="16"/>
          <w:szCs w:val="16"/>
          <w:lang w:val="pt-BR"/>
        </w:rPr>
        <w:t>CIDH</w:t>
      </w:r>
      <w:r w:rsidRPr="0038442F">
        <w:rPr>
          <w:rFonts w:ascii="Verdana" w:hAnsi="Verdana"/>
          <w:i/>
          <w:iCs/>
          <w:sz w:val="16"/>
          <w:szCs w:val="16"/>
          <w:lang w:val="pt-BR"/>
        </w:rPr>
        <w:t>, Relatório sobre Pobreza e Direitos Humanos nas Américas</w:t>
      </w:r>
      <w:r w:rsidRPr="0038442F">
        <w:rPr>
          <w:rFonts w:ascii="Verdana" w:hAnsi="Verdana"/>
          <w:sz w:val="16"/>
          <w:szCs w:val="16"/>
          <w:lang w:val="pt-BR"/>
        </w:rPr>
        <w:t xml:space="preserve">, OEA/Ser.L/V/II.164, 7 de setembro de 2017. </w:t>
      </w:r>
    </w:p>
  </w:footnote>
  <w:footnote w:id="103">
    <w:p w14:paraId="4900C2D5" w14:textId="72DB27FC"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CIDH,</w:t>
      </w:r>
      <w:r w:rsidRPr="0038442F">
        <w:rPr>
          <w:rFonts w:ascii="Verdana" w:hAnsi="Verdana"/>
          <w:i/>
          <w:iCs/>
          <w:sz w:val="16"/>
          <w:szCs w:val="16"/>
          <w:lang w:val="pt-BR"/>
        </w:rPr>
        <w:t xml:space="preserve"> Relatório sobre Pobreza e Direitos Humanos nas Américas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par. 147 a 156. </w:t>
      </w:r>
    </w:p>
  </w:footnote>
  <w:footnote w:id="104">
    <w:p w14:paraId="3D3F43DD" w14:textId="147DDAB6"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CIDH,</w:t>
      </w:r>
      <w:r w:rsidRPr="0038442F">
        <w:rPr>
          <w:rFonts w:ascii="Verdana" w:hAnsi="Verdana"/>
          <w:i/>
          <w:iCs/>
          <w:sz w:val="16"/>
          <w:szCs w:val="16"/>
          <w:lang w:val="pt-BR"/>
        </w:rPr>
        <w:t xml:space="preserve"> Relatório sobre Pobreza e Direitos Humanos nas Américas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capítulo 3. </w:t>
      </w:r>
    </w:p>
  </w:footnote>
  <w:footnote w:id="105">
    <w:p w14:paraId="3F1B50FF" w14:textId="0D78625F"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CIDH,</w:t>
      </w:r>
      <w:r w:rsidRPr="0038442F">
        <w:rPr>
          <w:rFonts w:ascii="Verdana" w:hAnsi="Verdana"/>
          <w:i/>
          <w:iCs/>
          <w:sz w:val="16"/>
          <w:szCs w:val="16"/>
          <w:lang w:val="pt-BR"/>
        </w:rPr>
        <w:t xml:space="preserve"> Relatório sobre Pobreza e Direitos Humanos nas Américas</w:t>
      </w:r>
      <w:r w:rsidRPr="0038442F">
        <w:rPr>
          <w:rFonts w:ascii="Verdana" w:hAnsi="Verdana"/>
          <w:sz w:val="16"/>
          <w:szCs w:val="16"/>
          <w:lang w:val="pt-BR"/>
        </w:rPr>
        <w:t xml:space="preserve">, </w:t>
      </w:r>
      <w:r w:rsidRPr="0038442F">
        <w:rPr>
          <w:rFonts w:ascii="Verdana" w:hAnsi="Verdana"/>
          <w:i/>
          <w:sz w:val="16"/>
          <w:szCs w:val="16"/>
          <w:lang w:val="pt-BR"/>
        </w:rPr>
        <w:t>supra</w:t>
      </w:r>
      <w:r w:rsidRPr="0038442F">
        <w:rPr>
          <w:rFonts w:ascii="Verdana" w:hAnsi="Verdana"/>
          <w:sz w:val="16"/>
          <w:szCs w:val="16"/>
          <w:lang w:val="pt-BR"/>
        </w:rPr>
        <w:t xml:space="preserve">, par. 237 a 248 </w:t>
      </w:r>
    </w:p>
  </w:footnote>
  <w:footnote w:id="106">
    <w:p w14:paraId="15FF2D11" w14:textId="655E2B62"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I.V. Vs. Bolívia. Exceções Preliminares, Mérito, Reparações e Custas</w:t>
      </w:r>
      <w:r w:rsidRPr="0038442F">
        <w:rPr>
          <w:rFonts w:ascii="Verdana" w:hAnsi="Verdana" w:cs="Arial"/>
          <w:sz w:val="16"/>
          <w:szCs w:val="16"/>
          <w:shd w:val="clear" w:color="auto" w:fill="FFFFFF"/>
          <w:lang w:val="pt-BR"/>
        </w:rPr>
        <w:t>. Sentença de 30 de novembro de 2016.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329, </w:t>
      </w:r>
      <w:r w:rsidRPr="0038442F">
        <w:rPr>
          <w:rFonts w:ascii="Verdana" w:hAnsi="Verdana"/>
          <w:sz w:val="16"/>
          <w:szCs w:val="16"/>
          <w:lang w:val="pt-BR"/>
        </w:rPr>
        <w:t xml:space="preserve">par. 317 a 323. </w:t>
      </w:r>
    </w:p>
  </w:footnote>
  <w:footnote w:id="107">
    <w:p w14:paraId="7970A443" w14:textId="4946D1DC"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Ramírez Escobar e outros Vs. Guatemala. Mérito, Reparações e Custas</w:t>
      </w:r>
      <w:r w:rsidRPr="0038442F">
        <w:rPr>
          <w:rFonts w:ascii="Verdana" w:hAnsi="Verdana" w:cs="Arial"/>
          <w:sz w:val="16"/>
          <w:szCs w:val="16"/>
          <w:shd w:val="clear" w:color="auto" w:fill="FFFFFF"/>
          <w:lang w:val="pt-BR"/>
        </w:rPr>
        <w:t>. Sentença de 9 de março de 2018.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351, par. </w:t>
      </w:r>
      <w:r w:rsidRPr="0038442F">
        <w:rPr>
          <w:rFonts w:ascii="Verdana" w:hAnsi="Verdana"/>
          <w:sz w:val="16"/>
          <w:szCs w:val="16"/>
          <w:lang w:val="pt-BR"/>
        </w:rPr>
        <w:t xml:space="preserve">288 e 304. </w:t>
      </w:r>
    </w:p>
  </w:footnote>
  <w:footnote w:id="108">
    <w:p w14:paraId="715A9C4B" w14:textId="66D3AF0F"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Corte IDH salientou que “[…] Nesse sentido, por um lado, diferentes relatórios examinaram se a senhora Ramírez Escobar podia ou não assumir seu “papel maternal” ou “papel de mãe”, sem que fique claro que características atribuem a esse papel; analisaram se “aceitava seu papel feminino” e “o modelo sexual” que atribuem a esse papel; basearam suas considerações em depoimentos segundo os quais a senhora Ramírez Escobar era uma mãe irresponsável porque, </w:t>
      </w:r>
      <w:r w:rsidRPr="0038442F">
        <w:rPr>
          <w:rFonts w:ascii="Verdana" w:hAnsi="Verdana"/>
          <w:i/>
          <w:iCs/>
          <w:sz w:val="16"/>
          <w:szCs w:val="16"/>
          <w:lang w:val="pt-BR"/>
        </w:rPr>
        <w:t>inter alia</w:t>
      </w:r>
      <w:r w:rsidRPr="0038442F">
        <w:rPr>
          <w:rFonts w:ascii="Verdana" w:hAnsi="Verdana"/>
          <w:sz w:val="16"/>
          <w:szCs w:val="16"/>
          <w:lang w:val="pt-BR"/>
        </w:rPr>
        <w:t>, “abandona[va] [seus filhos] quando vai trabalhar”, e que por essas razões, entre outras, “observava uma conduta irregular”</w:t>
      </w:r>
      <w:r w:rsidRPr="0038442F">
        <w:rPr>
          <w:rFonts w:ascii="Verdana" w:hAnsi="Verdana"/>
          <w:i/>
          <w:iCs/>
          <w:sz w:val="16"/>
          <w:szCs w:val="16"/>
          <w:lang w:val="pt-BR"/>
        </w:rPr>
        <w:t xml:space="preserve">. Cf. </w:t>
      </w:r>
      <w:r w:rsidRPr="0038442F">
        <w:rPr>
          <w:rFonts w:ascii="Verdana" w:hAnsi="Verdana" w:cs="Arial"/>
          <w:i/>
          <w:iCs/>
          <w:sz w:val="16"/>
          <w:szCs w:val="16"/>
          <w:shd w:val="clear" w:color="auto" w:fill="FFFFFF"/>
          <w:lang w:val="pt-BR"/>
        </w:rPr>
        <w:t>Caso Ramírez Escobar e outros Vs. Guatemala, supra</w:t>
      </w:r>
      <w:r w:rsidRPr="0038442F">
        <w:rPr>
          <w:rFonts w:ascii="Verdana" w:hAnsi="Verdana" w:cs="Arial"/>
          <w:sz w:val="16"/>
          <w:szCs w:val="16"/>
          <w:shd w:val="clear" w:color="auto" w:fill="FFFFFF"/>
          <w:lang w:val="pt-BR"/>
        </w:rPr>
        <w:t xml:space="preserve">, par. 296. </w:t>
      </w:r>
    </w:p>
  </w:footnote>
  <w:footnote w:id="109">
    <w:p w14:paraId="3C2AD020" w14:textId="6E5AD25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Cuscul Pivaral e outros Vs. Guatemala, supra</w:t>
      </w:r>
      <w:r w:rsidRPr="0038442F">
        <w:rPr>
          <w:rFonts w:ascii="Verdana" w:hAnsi="Verdana" w:cs="Arial"/>
          <w:sz w:val="16"/>
          <w:szCs w:val="16"/>
          <w:shd w:val="clear" w:color="auto" w:fill="FFFFFF"/>
          <w:lang w:val="pt-BR"/>
        </w:rPr>
        <w:t xml:space="preserve">, par. </w:t>
      </w:r>
      <w:r w:rsidRPr="0038442F">
        <w:rPr>
          <w:rFonts w:ascii="Verdana" w:hAnsi="Verdana"/>
          <w:sz w:val="16"/>
          <w:szCs w:val="16"/>
          <w:lang w:val="pt-BR"/>
        </w:rPr>
        <w:t xml:space="preserve">125. </w:t>
      </w:r>
    </w:p>
  </w:footnote>
  <w:footnote w:id="110">
    <w:p w14:paraId="517F1E3C" w14:textId="43DD257F"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o par. 80 de nosso voto emitido no </w:t>
      </w:r>
      <w:r w:rsidRPr="0038442F">
        <w:rPr>
          <w:rFonts w:ascii="Verdana" w:hAnsi="Verdana"/>
          <w:i/>
          <w:sz w:val="16"/>
          <w:szCs w:val="16"/>
          <w:lang w:val="pt-BR"/>
        </w:rPr>
        <w:t xml:space="preserve">Caso </w:t>
      </w:r>
      <w:r w:rsidRPr="0038442F">
        <w:rPr>
          <w:rFonts w:ascii="Verdana" w:hAnsi="Verdana"/>
          <w:i/>
          <w:iCs/>
          <w:sz w:val="16"/>
          <w:szCs w:val="16"/>
          <w:lang w:val="pt-BR"/>
        </w:rPr>
        <w:t>Trabalhadores da Fazenda Brasil Verde</w:t>
      </w:r>
      <w:r w:rsidRPr="0038442F">
        <w:rPr>
          <w:rFonts w:ascii="Verdana" w:hAnsi="Verdana"/>
          <w:sz w:val="16"/>
          <w:szCs w:val="16"/>
          <w:lang w:val="pt-BR"/>
        </w:rPr>
        <w:t xml:space="preserve">. Ver: </w:t>
      </w:r>
      <w:r w:rsidRPr="0038442F">
        <w:rPr>
          <w:rFonts w:ascii="Verdana" w:hAnsi="Verdana" w:cs="Verdana"/>
          <w:bCs/>
          <w:i/>
          <w:sz w:val="16"/>
          <w:szCs w:val="16"/>
          <w:lang w:val="pt-BR"/>
        </w:rPr>
        <w:t>Caso Nadege Dorzema e outros Vs. República Dominicana. Mérito, Reparações e Custas</w:t>
      </w:r>
      <w:r w:rsidRPr="0038442F">
        <w:rPr>
          <w:rFonts w:ascii="Verdana" w:hAnsi="Verdana" w:cs="Verdana"/>
          <w:bCs/>
          <w:sz w:val="16"/>
          <w:szCs w:val="16"/>
          <w:lang w:val="pt-BR"/>
        </w:rPr>
        <w:t>. Sentença de 24 de outubro de 2012. Série C N</w:t>
      </w:r>
      <w:r w:rsidRPr="0038442F">
        <w:rPr>
          <w:rFonts w:ascii="Verdana" w:hAnsi="Verdana" w:cs="Verdana"/>
          <w:bCs/>
          <w:sz w:val="16"/>
          <w:szCs w:val="16"/>
          <w:vertAlign w:val="superscript"/>
          <w:lang w:val="pt-BR"/>
        </w:rPr>
        <w:t>o.</w:t>
      </w:r>
      <w:r w:rsidRPr="0038442F">
        <w:rPr>
          <w:rFonts w:ascii="Verdana" w:hAnsi="Verdana" w:cs="Verdana"/>
          <w:bCs/>
          <w:sz w:val="16"/>
          <w:szCs w:val="16"/>
          <w:lang w:val="pt-BR"/>
        </w:rPr>
        <w:t xml:space="preserve"> 251, par. 235</w:t>
      </w:r>
      <w:r w:rsidRPr="0038442F">
        <w:rPr>
          <w:rFonts w:ascii="Verdana" w:hAnsi="Verdana"/>
          <w:sz w:val="16"/>
          <w:szCs w:val="16"/>
          <w:lang w:val="pt-BR"/>
        </w:rPr>
        <w:t xml:space="preserve">, 237 e 238; </w:t>
      </w:r>
      <w:r w:rsidRPr="0038442F">
        <w:rPr>
          <w:rFonts w:ascii="Verdana" w:hAnsi="Verdana" w:cs="Verdana"/>
          <w:bCs/>
          <w:i/>
          <w:sz w:val="16"/>
          <w:szCs w:val="16"/>
          <w:lang w:val="pt-BR"/>
        </w:rPr>
        <w:t>Caso Atala Riffo e crianças Vs. Chile. Mérito, Reparações e Custas</w:t>
      </w:r>
      <w:r w:rsidRPr="0038442F">
        <w:rPr>
          <w:rFonts w:ascii="Verdana" w:hAnsi="Verdana" w:cs="Verdana"/>
          <w:bCs/>
          <w:sz w:val="16"/>
          <w:szCs w:val="16"/>
          <w:lang w:val="pt-BR"/>
        </w:rPr>
        <w:t>. Sentença de 24 de fevereiro de 2012. Série C N</w:t>
      </w:r>
      <w:r w:rsidRPr="0038442F">
        <w:rPr>
          <w:rFonts w:ascii="Verdana" w:hAnsi="Verdana" w:cs="Verdana"/>
          <w:bCs/>
          <w:sz w:val="16"/>
          <w:szCs w:val="16"/>
          <w:vertAlign w:val="superscript"/>
          <w:lang w:val="pt-BR"/>
        </w:rPr>
        <w:t>o.</w:t>
      </w:r>
      <w:r w:rsidRPr="0038442F">
        <w:rPr>
          <w:rFonts w:ascii="Verdana" w:hAnsi="Verdana" w:cs="Verdana"/>
          <w:bCs/>
          <w:sz w:val="16"/>
          <w:szCs w:val="16"/>
          <w:lang w:val="pt-BR"/>
        </w:rPr>
        <w:t xml:space="preserve"> 239, par. 92 e 267; e</w:t>
      </w:r>
      <w:r w:rsidRPr="0038442F">
        <w:rPr>
          <w:rFonts w:ascii="Verdana" w:hAnsi="Verdana"/>
          <w:sz w:val="16"/>
          <w:szCs w:val="16"/>
          <w:lang w:val="pt-BR"/>
        </w:rPr>
        <w:t xml:space="preserve"> </w:t>
      </w:r>
      <w:r w:rsidRPr="0038442F">
        <w:rPr>
          <w:rFonts w:ascii="Verdana" w:hAnsi="Verdana" w:cs="Verdana"/>
          <w:bCs/>
          <w:i/>
          <w:sz w:val="16"/>
          <w:szCs w:val="16"/>
          <w:lang w:val="pt-BR"/>
        </w:rPr>
        <w:t>Xákmok Kásek Vs. Paraguai. Mérito, Reparações e Custas</w:t>
      </w:r>
      <w:r w:rsidRPr="0038442F">
        <w:rPr>
          <w:rFonts w:ascii="Verdana" w:hAnsi="Verdana" w:cs="Verdana"/>
          <w:bCs/>
          <w:sz w:val="16"/>
          <w:szCs w:val="16"/>
          <w:lang w:val="pt-BR"/>
        </w:rPr>
        <w:t>. Sentença de 24 de agosto de 2010. Série C N</w:t>
      </w:r>
      <w:r w:rsidRPr="0038442F">
        <w:rPr>
          <w:rFonts w:ascii="Verdana" w:hAnsi="Verdana" w:cs="Verdana"/>
          <w:bCs/>
          <w:sz w:val="16"/>
          <w:szCs w:val="16"/>
          <w:vertAlign w:val="superscript"/>
          <w:lang w:val="pt-BR"/>
        </w:rPr>
        <w:t>o.</w:t>
      </w:r>
      <w:r w:rsidRPr="0038442F">
        <w:rPr>
          <w:rFonts w:ascii="Verdana" w:hAnsi="Verdana" w:cs="Verdana"/>
          <w:bCs/>
          <w:sz w:val="16"/>
          <w:szCs w:val="16"/>
          <w:lang w:val="pt-BR"/>
        </w:rPr>
        <w:t xml:space="preserve"> 214, par. 273 e 274. </w:t>
      </w:r>
      <w:r w:rsidRPr="0038442F">
        <w:rPr>
          <w:rFonts w:ascii="Verdana" w:hAnsi="Verdana"/>
          <w:sz w:val="16"/>
          <w:szCs w:val="16"/>
          <w:lang w:val="pt-BR"/>
        </w:rPr>
        <w:t xml:space="preserve">Em sentido similar: </w:t>
      </w:r>
      <w:r w:rsidRPr="0038442F">
        <w:rPr>
          <w:rFonts w:ascii="Verdana" w:hAnsi="Verdana" w:cs="Verdana"/>
          <w:bCs/>
          <w:i/>
          <w:sz w:val="16"/>
          <w:szCs w:val="16"/>
          <w:lang w:val="pt-BR"/>
        </w:rPr>
        <w:t>Caso González e outras (“Campo Algodonero”) Vs. México. Exceção Preliminar, Mérito, Reparações e Custas</w:t>
      </w:r>
      <w:r w:rsidRPr="0038442F">
        <w:rPr>
          <w:rFonts w:ascii="Verdana" w:hAnsi="Verdana" w:cs="Verdana"/>
          <w:bCs/>
          <w:sz w:val="16"/>
          <w:szCs w:val="16"/>
          <w:lang w:val="pt-BR"/>
        </w:rPr>
        <w:t>. Sentença de 16 de novembro de 2009. Série C N</w:t>
      </w:r>
      <w:r w:rsidRPr="0038442F">
        <w:rPr>
          <w:rFonts w:ascii="Verdana" w:hAnsi="Verdana" w:cs="Verdana"/>
          <w:bCs/>
          <w:sz w:val="16"/>
          <w:szCs w:val="16"/>
          <w:vertAlign w:val="superscript"/>
          <w:lang w:val="pt-BR"/>
        </w:rPr>
        <w:t>o.</w:t>
      </w:r>
      <w:r w:rsidRPr="0038442F">
        <w:rPr>
          <w:rFonts w:ascii="Verdana" w:hAnsi="Verdana" w:cs="Verdana"/>
          <w:bCs/>
          <w:sz w:val="16"/>
          <w:szCs w:val="16"/>
          <w:lang w:val="pt-BR"/>
        </w:rPr>
        <w:t xml:space="preserve"> 205, par. 450. </w:t>
      </w:r>
    </w:p>
  </w:footnote>
  <w:footnote w:id="111">
    <w:p w14:paraId="6871281D" w14:textId="72EFFCDB"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191. </w:t>
      </w:r>
    </w:p>
  </w:footnote>
  <w:footnote w:id="112">
    <w:p w14:paraId="7823AC1C" w14:textId="7BC45F68"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64. </w:t>
      </w:r>
    </w:p>
  </w:footnote>
  <w:footnote w:id="113">
    <w:p w14:paraId="0B8EA5FC" w14:textId="378D10BE"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56 e 64.</w:t>
      </w:r>
    </w:p>
  </w:footnote>
  <w:footnote w:id="114">
    <w:p w14:paraId="7A82791A" w14:textId="39C81B85"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189. </w:t>
      </w:r>
    </w:p>
  </w:footnote>
  <w:footnote w:id="115">
    <w:p w14:paraId="1D70D341" w14:textId="4CD496A1"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esse respeito, na sentença, a Corte IDH ordenou que </w:t>
      </w:r>
      <w:r w:rsidRPr="0038442F">
        <w:rPr>
          <w:rFonts w:ascii="Verdana" w:hAnsi="Verdana"/>
          <w:sz w:val="16"/>
          <w:szCs w:val="16"/>
          <w:bdr w:val="none" w:sz="0" w:space="0" w:color="auto" w:frame="1"/>
          <w:lang w:val="pt-BR"/>
        </w:rPr>
        <w:t xml:space="preserve">“no prazo máximo de dois anos, a partir da notificação desta Sentença, elabore e execute um programa de desenvolvimento socioeconômico especialmente destinado à população de Santo Antônio de </w:t>
      </w:r>
      <w:r w:rsidRPr="0038442F">
        <w:rPr>
          <w:rFonts w:ascii="Verdana" w:hAnsi="Verdana"/>
          <w:bCs/>
          <w:sz w:val="16"/>
          <w:szCs w:val="16"/>
          <w:bdr w:val="none" w:sz="0" w:space="0" w:color="auto" w:frame="1"/>
          <w:lang w:val="pt-BR"/>
        </w:rPr>
        <w:t xml:space="preserve">Jesus, </w:t>
      </w:r>
      <w:r w:rsidRPr="0038442F">
        <w:rPr>
          <w:rFonts w:ascii="Verdana" w:hAnsi="Verdana"/>
          <w:sz w:val="16"/>
          <w:szCs w:val="16"/>
          <w:lang w:val="pt-BR"/>
        </w:rPr>
        <w:t>em coordenação com as vítimas e seus representantes</w:t>
      </w:r>
      <w:r w:rsidRPr="0038442F">
        <w:rPr>
          <w:rFonts w:ascii="Verdana" w:hAnsi="Verdana"/>
          <w:bCs/>
          <w:sz w:val="16"/>
          <w:szCs w:val="16"/>
          <w:bdr w:val="none" w:sz="0" w:space="0" w:color="auto" w:frame="1"/>
          <w:lang w:val="pt-BR"/>
        </w:rPr>
        <w:t xml:space="preserve">. […] </w:t>
      </w:r>
      <w:r w:rsidRPr="0038442F">
        <w:rPr>
          <w:rFonts w:ascii="Verdana" w:hAnsi="Verdana"/>
          <w:sz w:val="16"/>
          <w:szCs w:val="16"/>
          <w:bdr w:val="none" w:sz="0" w:space="0" w:color="auto" w:frame="1"/>
          <w:lang w:val="pt-BR"/>
        </w:rPr>
        <w:t xml:space="preserve">Esse programa deve fazer frente, necessariamente, à falta de alternativas de trabalho, </w:t>
      </w:r>
      <w:r w:rsidRPr="0038442F">
        <w:rPr>
          <w:rFonts w:ascii="Verdana" w:hAnsi="Verdana"/>
          <w:sz w:val="16"/>
          <w:szCs w:val="16"/>
          <w:u w:val="single"/>
          <w:bdr w:val="none" w:sz="0" w:space="0" w:color="auto" w:frame="1"/>
          <w:lang w:val="pt-BR"/>
        </w:rPr>
        <w:t>especialmente para os jovens maiores de 16 anos e as mulheres afrodescendentes que vivem em condição de pobreza</w:t>
      </w:r>
      <w:r w:rsidRPr="0038442F">
        <w:rPr>
          <w:rFonts w:ascii="Verdana" w:hAnsi="Verdana"/>
          <w:sz w:val="16"/>
          <w:szCs w:val="16"/>
          <w:bdr w:val="none" w:sz="0" w:space="0" w:color="auto" w:frame="1"/>
          <w:lang w:val="pt-BR"/>
        </w:rPr>
        <w:t xml:space="preserve">” (grifo nosso).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289. </w:t>
      </w:r>
    </w:p>
  </w:footnote>
  <w:footnote w:id="116">
    <w:p w14:paraId="10ED21C4" w14:textId="067F6E24"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Embora não haja desenvolvimentos jurisprudenciais na matéria, o artigo 3 da Carta Africana de Direitos Humanos e dos Povos estabelece o direito de toda pessoa à igualdade perante a lei e a gozar de igual proteção da lei. </w:t>
      </w:r>
    </w:p>
  </w:footnote>
  <w:footnote w:id="117">
    <w:p w14:paraId="1EAA4CE6" w14:textId="626B1987" w:rsidR="00252907" w:rsidRPr="0038442F" w:rsidRDefault="00252907" w:rsidP="000777E8">
      <w:pPr>
        <w:pStyle w:val="Prrafodelista"/>
        <w:tabs>
          <w:tab w:val="left" w:pos="709"/>
        </w:tabs>
        <w:snapToGrid w:val="0"/>
        <w:spacing w:after="0" w:line="240" w:lineRule="auto"/>
        <w:ind w:left="0"/>
        <w:contextualSpacing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Ver: “Artigo 2 1. Os Estados Partes do presente pacto comprometem-se a respeitar e garantir a todos os indivíduos que se achem em seu território e que estejam sujeitos a sua jurisdição os direitos reconhecidos no presente Pacto, sem discriminação alguma por motivo de raça, cor, sexo, língua, religião, opinião política ou de outra natureza, origem nacional ou social, situação econômica, nascimento ou qualquer condição”; e “Artigo 26</w:t>
      </w:r>
      <w:r w:rsidRPr="0038442F">
        <w:rPr>
          <w:rStyle w:val="apple-converted-space"/>
          <w:rFonts w:ascii="Verdana" w:hAnsi="Verdana"/>
          <w:sz w:val="16"/>
          <w:szCs w:val="16"/>
          <w:lang w:val="pt-BR"/>
        </w:rPr>
        <w:t>. T</w:t>
      </w:r>
      <w:r w:rsidRPr="0038442F">
        <w:rPr>
          <w:rFonts w:ascii="Verdana" w:hAnsi="Verdana"/>
          <w:sz w:val="16"/>
          <w:szCs w:val="16"/>
          <w:lang w:val="pt-BR"/>
        </w:rPr>
        <w:t>odas as pessoas são iguais perante a lei e têm direito, sem discriminação alguma, a igual proteção da Lei. A este respeito, a lei deverá proibir qualquer forma de discriminação e garantir a todas as pessoas proteção igual e eficaz contra qualquer discriminação por motivo de raça, cor, sexo, língua, religião, opinião política ou de outra natureza, origem nacional ou social, situação econômica, nascimento ou qualquer outra situação”.</w:t>
      </w:r>
    </w:p>
  </w:footnote>
  <w:footnote w:id="118">
    <w:p w14:paraId="0654D725" w14:textId="12A38C1D"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 No momento em que foi emitida a Observação Geral (1989), o Comitê destacou que: “9. Os relatórios de muitos Estados Partes contêm informação tanto sobre medidas legislativas como administrativas e decisões dos tribunais relacionadas à proteção contra a discriminação jurídica, mas costumam não incluir informação que saliente uma discriminação de fato. Ao informar sobre o parágrafo 1 do artigo 2 e os artigos 3 e 26 do Pacto, os Estados Partes, em geral, citam disposi</w:t>
      </w:r>
      <w:r w:rsidR="00870F62">
        <w:rPr>
          <w:rFonts w:ascii="Verdana" w:hAnsi="Verdana"/>
          <w:sz w:val="16"/>
          <w:szCs w:val="16"/>
          <w:lang w:val="pt-BR"/>
        </w:rPr>
        <w:t>tivos</w:t>
      </w:r>
      <w:r w:rsidRPr="0038442F">
        <w:rPr>
          <w:rFonts w:ascii="Verdana" w:hAnsi="Verdana"/>
          <w:sz w:val="16"/>
          <w:szCs w:val="16"/>
          <w:lang w:val="pt-BR"/>
        </w:rPr>
        <w:t xml:space="preserve"> de sua constituição ou de suas leis sobre igualdade de oportunidades, no que diz respeito à igualdade das pessoas. Embora essa informação seja, sem dúvida alguma, útil, o Comitê gostaria de saber se continua existindo algum problema de discriminação de fato, praticada seja pelas autoridades públicas, seja pela comunidade ou por pessoas ou órgãos privados. O Comitê gostaria de ser informado acerca das disposições legais e medidas administrativas destinadas a reduzir ou eliminar essa discriminação”. </w:t>
      </w:r>
      <w:r w:rsidRPr="0038442F">
        <w:rPr>
          <w:rFonts w:ascii="Verdana" w:hAnsi="Verdana"/>
          <w:i/>
          <w:iCs/>
          <w:sz w:val="16"/>
          <w:szCs w:val="16"/>
          <w:lang w:val="pt-BR"/>
        </w:rPr>
        <w:t xml:space="preserve">Cf. </w:t>
      </w:r>
      <w:r w:rsidRPr="0038442F">
        <w:rPr>
          <w:rFonts w:ascii="Verdana" w:hAnsi="Verdana"/>
          <w:sz w:val="16"/>
          <w:szCs w:val="16"/>
          <w:lang w:val="pt-BR"/>
        </w:rPr>
        <w:t>Comitê de Direitos Humanos,</w:t>
      </w:r>
      <w:r w:rsidRPr="0038442F">
        <w:rPr>
          <w:rFonts w:ascii="Verdana" w:hAnsi="Verdana"/>
          <w:i/>
          <w:iCs/>
          <w:sz w:val="16"/>
          <w:szCs w:val="16"/>
          <w:lang w:val="pt-BR"/>
        </w:rPr>
        <w:t xml:space="preserve"> Observação Geral N</w:t>
      </w:r>
      <w:r w:rsidRPr="0038442F">
        <w:rPr>
          <w:rFonts w:ascii="Verdana" w:hAnsi="Verdana"/>
          <w:i/>
          <w:iCs/>
          <w:sz w:val="16"/>
          <w:szCs w:val="16"/>
          <w:vertAlign w:val="superscript"/>
          <w:lang w:val="pt-BR"/>
        </w:rPr>
        <w:t>o.</w:t>
      </w:r>
      <w:r w:rsidRPr="0038442F">
        <w:rPr>
          <w:rFonts w:ascii="Verdana" w:hAnsi="Verdana"/>
          <w:i/>
          <w:iCs/>
          <w:sz w:val="16"/>
          <w:szCs w:val="16"/>
          <w:lang w:val="pt-BR"/>
        </w:rPr>
        <w:t xml:space="preserve"> 18, Não discriminação,</w:t>
      </w:r>
      <w:r w:rsidRPr="0038442F">
        <w:rPr>
          <w:rFonts w:ascii="Verdana" w:hAnsi="Verdana"/>
          <w:sz w:val="16"/>
          <w:szCs w:val="16"/>
          <w:lang w:val="pt-BR"/>
        </w:rPr>
        <w:t xml:space="preserve"> 37</w:t>
      </w:r>
      <w:r w:rsidRPr="0038442F">
        <w:rPr>
          <w:rFonts w:ascii="Verdana" w:hAnsi="Verdana"/>
          <w:sz w:val="16"/>
          <w:szCs w:val="16"/>
          <w:vertAlign w:val="superscript"/>
          <w:lang w:val="pt-BR"/>
        </w:rPr>
        <w:t>o</w:t>
      </w:r>
      <w:r w:rsidRPr="0038442F">
        <w:rPr>
          <w:rFonts w:ascii="Verdana" w:hAnsi="Verdana"/>
          <w:sz w:val="16"/>
          <w:szCs w:val="16"/>
          <w:lang w:val="pt-BR"/>
        </w:rPr>
        <w:t xml:space="preserve"> Período Ordinário de Sessões, 1989, par. 9 e 12.</w:t>
      </w:r>
    </w:p>
  </w:footnote>
  <w:footnote w:id="119">
    <w:p w14:paraId="7FCE53C5" w14:textId="1B97FEFB"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Comitê de Direitos Humanos,</w:t>
      </w:r>
      <w:r w:rsidRPr="0038442F">
        <w:rPr>
          <w:rFonts w:ascii="Verdana" w:hAnsi="Verdana"/>
          <w:i/>
          <w:iCs/>
          <w:sz w:val="16"/>
          <w:szCs w:val="16"/>
          <w:lang w:val="pt-BR"/>
        </w:rPr>
        <w:t xml:space="preserve"> Observação Geral N</w:t>
      </w:r>
      <w:r w:rsidRPr="0038442F">
        <w:rPr>
          <w:rFonts w:ascii="Verdana" w:hAnsi="Verdana"/>
          <w:i/>
          <w:iCs/>
          <w:sz w:val="16"/>
          <w:szCs w:val="16"/>
          <w:vertAlign w:val="superscript"/>
          <w:lang w:val="pt-BR"/>
        </w:rPr>
        <w:t>o.</w:t>
      </w:r>
      <w:r w:rsidRPr="0038442F">
        <w:rPr>
          <w:rFonts w:ascii="Verdana" w:hAnsi="Verdana"/>
          <w:i/>
          <w:iCs/>
          <w:sz w:val="16"/>
          <w:szCs w:val="16"/>
          <w:lang w:val="pt-BR"/>
        </w:rPr>
        <w:t xml:space="preserve"> 18, supra</w:t>
      </w:r>
      <w:r w:rsidRPr="0038442F">
        <w:rPr>
          <w:rFonts w:ascii="Verdana" w:hAnsi="Verdana"/>
          <w:sz w:val="16"/>
          <w:szCs w:val="16"/>
          <w:lang w:val="pt-BR"/>
        </w:rPr>
        <w:t xml:space="preserve">, par. 10. </w:t>
      </w:r>
    </w:p>
  </w:footnote>
  <w:footnote w:id="120">
    <w:p w14:paraId="2970A8A6" w14:textId="47BAA9C6"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“Artigo 5. Igualdade e não discriminação 1. Os Estados Partes reconhecem que todas as pessoas são iguais perante a lei e que fazem jus, sem qualquer discriminação, a igual proteção e igual benefício da lei. 2. Os Estados Partes proibirão qualquer discriminação baseada na deficiência e garantirão às pessoas com deficiência igual e efetiva proteção legal contra a discriminação por qualquer motivo. […]”. Em sentido similar ao artigo 5.2, o artigo 4 dispõe: “1. Os Estados Partes se comprometem a assegurar e promover o pleno exercício de todos os direitos humanos e liberdades fundamentais por todas as pessoas com deficiência, sem qualquer tipo de discriminação por causa de sua deficiência. […]”. </w:t>
      </w:r>
    </w:p>
  </w:footnote>
  <w:footnote w:id="121">
    <w:p w14:paraId="6202BA59" w14:textId="6DC874E0"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Comitê sobre os Direitos das Pessoas com Deficiência,</w:t>
      </w:r>
      <w:r w:rsidRPr="0038442F">
        <w:rPr>
          <w:rFonts w:ascii="Verdana" w:hAnsi="Verdana"/>
          <w:i/>
          <w:iCs/>
          <w:sz w:val="16"/>
          <w:szCs w:val="16"/>
          <w:lang w:val="pt-BR"/>
        </w:rPr>
        <w:t xml:space="preserve"> Observação Geral N</w:t>
      </w:r>
      <w:r w:rsidRPr="0038442F">
        <w:rPr>
          <w:rFonts w:ascii="Verdana" w:hAnsi="Verdana"/>
          <w:i/>
          <w:iCs/>
          <w:sz w:val="16"/>
          <w:szCs w:val="16"/>
          <w:vertAlign w:val="superscript"/>
          <w:lang w:val="pt-BR"/>
        </w:rPr>
        <w:t>o</w:t>
      </w:r>
      <w:r w:rsidRPr="0038442F">
        <w:rPr>
          <w:rFonts w:ascii="Verdana" w:hAnsi="Verdana"/>
          <w:i/>
          <w:iCs/>
          <w:sz w:val="16"/>
          <w:szCs w:val="16"/>
          <w:lang w:val="pt-BR"/>
        </w:rPr>
        <w:t xml:space="preserve"> 6 (2018) sobre a igualdade e a não discriminação</w:t>
      </w:r>
      <w:r w:rsidRPr="0038442F">
        <w:rPr>
          <w:rFonts w:ascii="Verdana" w:hAnsi="Verdana"/>
          <w:sz w:val="16"/>
          <w:szCs w:val="16"/>
          <w:lang w:val="pt-BR"/>
        </w:rPr>
        <w:t xml:space="preserve">, CRPD/C/GC/6, 26 de abril de 2018, par. 10. </w:t>
      </w:r>
    </w:p>
  </w:footnote>
  <w:footnote w:id="122">
    <w:p w14:paraId="1DB3E491" w14:textId="1BFA75CC"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Comitê sobre os Direitos das Pessoas com Deficiência,</w:t>
      </w:r>
      <w:r w:rsidRPr="0038442F">
        <w:rPr>
          <w:rFonts w:ascii="Verdana" w:hAnsi="Verdana"/>
          <w:i/>
          <w:iCs/>
          <w:sz w:val="16"/>
          <w:szCs w:val="16"/>
          <w:lang w:val="pt-BR"/>
        </w:rPr>
        <w:t xml:space="preserve"> Observação Geral N</w:t>
      </w:r>
      <w:r w:rsidRPr="0038442F">
        <w:rPr>
          <w:rFonts w:ascii="Verdana" w:hAnsi="Verdana"/>
          <w:i/>
          <w:iCs/>
          <w:sz w:val="16"/>
          <w:szCs w:val="16"/>
          <w:vertAlign w:val="superscript"/>
          <w:lang w:val="pt-BR"/>
        </w:rPr>
        <w:t>o</w:t>
      </w:r>
      <w:r w:rsidRPr="0038442F">
        <w:rPr>
          <w:rFonts w:ascii="Verdana" w:hAnsi="Verdana"/>
          <w:i/>
          <w:iCs/>
          <w:sz w:val="16"/>
          <w:szCs w:val="16"/>
          <w:lang w:val="pt-BR"/>
        </w:rPr>
        <w:t xml:space="preserve"> 6, supra</w:t>
      </w:r>
      <w:r w:rsidRPr="0038442F">
        <w:rPr>
          <w:rFonts w:ascii="Verdana" w:hAnsi="Verdana"/>
          <w:sz w:val="16"/>
          <w:szCs w:val="16"/>
          <w:lang w:val="pt-BR"/>
        </w:rPr>
        <w:t>, par. 14.</w:t>
      </w:r>
    </w:p>
  </w:footnote>
  <w:footnote w:id="123">
    <w:p w14:paraId="1954484C" w14:textId="1DDCC8CF"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Comitê sobre os Direitos das Pessoas com Deficiência,</w:t>
      </w:r>
      <w:r w:rsidRPr="0038442F">
        <w:rPr>
          <w:rFonts w:ascii="Verdana" w:hAnsi="Verdana"/>
          <w:i/>
          <w:iCs/>
          <w:sz w:val="16"/>
          <w:szCs w:val="16"/>
          <w:lang w:val="pt-BR"/>
        </w:rPr>
        <w:t xml:space="preserve"> Observação Geral N</w:t>
      </w:r>
      <w:r w:rsidRPr="0038442F">
        <w:rPr>
          <w:rFonts w:ascii="Verdana" w:hAnsi="Verdana"/>
          <w:i/>
          <w:iCs/>
          <w:sz w:val="16"/>
          <w:szCs w:val="16"/>
          <w:vertAlign w:val="superscript"/>
          <w:lang w:val="pt-BR"/>
        </w:rPr>
        <w:t xml:space="preserve">o </w:t>
      </w:r>
      <w:r w:rsidRPr="0038442F">
        <w:rPr>
          <w:rFonts w:ascii="Verdana" w:hAnsi="Verdana"/>
          <w:i/>
          <w:iCs/>
          <w:sz w:val="16"/>
          <w:szCs w:val="16"/>
          <w:lang w:val="pt-BR"/>
        </w:rPr>
        <w:t>6, supra</w:t>
      </w:r>
      <w:r w:rsidRPr="0038442F">
        <w:rPr>
          <w:rFonts w:ascii="Verdana" w:hAnsi="Verdana"/>
          <w:sz w:val="16"/>
          <w:szCs w:val="16"/>
          <w:lang w:val="pt-BR"/>
        </w:rPr>
        <w:t xml:space="preserve">, par. 16. </w:t>
      </w:r>
    </w:p>
  </w:footnote>
  <w:footnote w:id="124">
    <w:p w14:paraId="5166593C" w14:textId="2742DE0C"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Ver “Artigo 14 Proibição de discriminação. O gozo dos direitos e liberdades reconhecidos na presente Convenção há de ser assegurado sem distinção alguma, especialmente por razões de sexo, raça, cor, língua, religião, opiniões políticas ou outras, origem nacional ou social, pertencimento a uma minoria nacional, fortuna, nascimento ou qualquer outra situação”. O Protocolo N</w:t>
      </w:r>
      <w:r w:rsidRPr="0038442F">
        <w:rPr>
          <w:rFonts w:ascii="Verdana" w:hAnsi="Verdana"/>
          <w:sz w:val="16"/>
          <w:szCs w:val="16"/>
          <w:vertAlign w:val="superscript"/>
          <w:lang w:val="pt-BR"/>
        </w:rPr>
        <w:t>o.</w:t>
      </w:r>
      <w:r w:rsidRPr="0038442F">
        <w:rPr>
          <w:rFonts w:ascii="Verdana" w:hAnsi="Verdana"/>
          <w:sz w:val="16"/>
          <w:szCs w:val="16"/>
          <w:lang w:val="pt-BR"/>
        </w:rPr>
        <w:t xml:space="preserve"> 12 da Convenção para a Proteção dos Direitos Humanos</w:t>
      </w:r>
      <w:r w:rsidRPr="0038442F">
        <w:rPr>
          <w:rFonts w:ascii="Verdana" w:hAnsi="Verdana"/>
          <w:sz w:val="16"/>
          <w:szCs w:val="16"/>
          <w:lang w:val="pt-BR"/>
        </w:rPr>
        <w:br/>
        <w:t xml:space="preserve">e das Liberdades Fundamentais, Roma, 4.XI.2000, dispõe: “Artigo 1. Proibição geral da discriminação 1. O gozo dos direitos reconhecidos pela lei há de ser assegurado sem discriminação alguma, especialmente por razões de sexo, raça, cor, língua, religião, opiniões políticas ou de outra natureza, origem nacional ou social, pertencimento a uma minoria nacional, fortuna, nascimento ou qualquer outra situação. E 2. Ninguém poderá ser objeto de discriminação por parte de uma autoridade pública, especialmente pelos motivos mencionados no parágrafo 1”. </w:t>
      </w:r>
    </w:p>
  </w:footnote>
  <w:footnote w:id="125">
    <w:p w14:paraId="5E7A3387" w14:textId="36AFA61A" w:rsidR="00252907" w:rsidRPr="0038442F" w:rsidRDefault="00252907" w:rsidP="000777E8">
      <w:pPr>
        <w:snapToGrid w:val="0"/>
        <w:jc w:val="both"/>
        <w:rPr>
          <w:rFonts w:ascii="Verdana" w:hAnsi="Verdana" w:cs="Arial"/>
          <w:sz w:val="16"/>
          <w:szCs w:val="16"/>
          <w:shd w:val="clear" w:color="auto" w:fill="FFFFFF"/>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TEDH, </w:t>
      </w:r>
      <w:r w:rsidRPr="0038442F">
        <w:rPr>
          <w:rFonts w:ascii="Verdana" w:hAnsi="Verdana"/>
          <w:i/>
          <w:iCs/>
          <w:sz w:val="16"/>
          <w:szCs w:val="16"/>
          <w:lang w:val="pt-BR"/>
        </w:rPr>
        <w:t xml:space="preserve">Caso </w:t>
      </w:r>
      <w:r w:rsidRPr="0038442F">
        <w:rPr>
          <w:rFonts w:ascii="Verdana" w:hAnsi="Verdana" w:cs="Arial"/>
          <w:i/>
          <w:iCs/>
          <w:sz w:val="16"/>
          <w:szCs w:val="16"/>
          <w:lang w:val="pt-BR"/>
        </w:rPr>
        <w:t>Sejdić e Finci Vs. Bósnia-Herzegóvina</w:t>
      </w:r>
      <w:r w:rsidRPr="0038442F">
        <w:rPr>
          <w:rFonts w:ascii="Verdana" w:hAnsi="Verdana" w:cs="Arial"/>
          <w:sz w:val="16"/>
          <w:szCs w:val="16"/>
          <w:lang w:val="pt-BR"/>
        </w:rPr>
        <w:t xml:space="preserve">, </w:t>
      </w:r>
      <w:r w:rsidRPr="0038442F">
        <w:rPr>
          <w:rStyle w:val="sb8d990e2"/>
          <w:rFonts w:ascii="Verdana" w:hAnsi="Verdana" w:cs="Arial"/>
          <w:sz w:val="16"/>
          <w:szCs w:val="16"/>
          <w:shd w:val="clear" w:color="auto" w:fill="FFFFFF"/>
          <w:lang w:val="pt-BR"/>
        </w:rPr>
        <w:t xml:space="preserve">22 de dezembro de 2009, par. 53; e Caso </w:t>
      </w:r>
      <w:r w:rsidRPr="0038442F">
        <w:rPr>
          <w:rFonts w:ascii="Verdana" w:hAnsi="Verdana" w:cs="Arial"/>
          <w:sz w:val="16"/>
          <w:szCs w:val="16"/>
          <w:lang w:val="pt-BR"/>
        </w:rPr>
        <w:t xml:space="preserve">Maktouf e </w:t>
      </w:r>
      <w:r w:rsidRPr="0038442F">
        <w:rPr>
          <w:rFonts w:ascii="Verdana" w:hAnsi="Verdana" w:cs="Arial"/>
          <w:i/>
          <w:iCs/>
          <w:sz w:val="16"/>
          <w:szCs w:val="16"/>
          <w:lang w:val="pt-BR"/>
        </w:rPr>
        <w:t>Damjanović Vs. Bósnia-Herzegóvina</w:t>
      </w:r>
      <w:r w:rsidRPr="0038442F">
        <w:rPr>
          <w:rFonts w:ascii="Verdana" w:hAnsi="Verdana" w:cs="Arial"/>
          <w:sz w:val="16"/>
          <w:szCs w:val="16"/>
          <w:shd w:val="clear" w:color="auto" w:fill="FFFFFF"/>
          <w:lang w:val="pt-BR"/>
        </w:rPr>
        <w:t>, 18 de julho de 2013, par. 88.</w:t>
      </w:r>
    </w:p>
  </w:footnote>
  <w:footnote w:id="126">
    <w:p w14:paraId="1117AEFE" w14:textId="4C614D7E" w:rsidR="00252907" w:rsidRPr="0038442F" w:rsidRDefault="00252907" w:rsidP="000777E8">
      <w:pPr>
        <w:pStyle w:val="Textonotapie"/>
        <w:snapToGrid w:val="0"/>
        <w:jc w:val="both"/>
        <w:rPr>
          <w:rFonts w:ascii="Verdana" w:hAnsi="Verdana" w:cs="Arial"/>
          <w:sz w:val="16"/>
          <w:szCs w:val="16"/>
          <w:shd w:val="clear" w:color="auto" w:fill="FFFFFF"/>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Caso </w:t>
      </w:r>
      <w:r w:rsidRPr="0038442F">
        <w:rPr>
          <w:rFonts w:ascii="Verdana" w:hAnsi="Verdana" w:cs="Arial"/>
          <w:i/>
          <w:iCs/>
          <w:sz w:val="16"/>
          <w:szCs w:val="16"/>
          <w:lang w:val="pt-BR"/>
        </w:rPr>
        <w:t>Sejdić e Finci Vs. Bósnia-Herzegóvina</w:t>
      </w:r>
      <w:r w:rsidRPr="0038442F">
        <w:rPr>
          <w:rFonts w:ascii="Verdana" w:hAnsi="Verdana" w:cs="Arial"/>
          <w:sz w:val="16"/>
          <w:szCs w:val="16"/>
          <w:lang w:val="pt-BR"/>
        </w:rPr>
        <w:t>, supra</w:t>
      </w:r>
      <w:r w:rsidRPr="0038442F">
        <w:rPr>
          <w:rStyle w:val="sb8d990e2"/>
          <w:rFonts w:ascii="Verdana" w:hAnsi="Verdana" w:cs="Arial"/>
          <w:sz w:val="16"/>
          <w:szCs w:val="16"/>
          <w:shd w:val="clear" w:color="auto" w:fill="FFFFFF"/>
          <w:lang w:val="pt-BR"/>
        </w:rPr>
        <w:t xml:space="preserve">, par. </w:t>
      </w:r>
      <w:r w:rsidRPr="0038442F">
        <w:rPr>
          <w:rFonts w:ascii="Verdana" w:hAnsi="Verdana" w:cs="Arial"/>
          <w:sz w:val="16"/>
          <w:szCs w:val="16"/>
          <w:shd w:val="clear" w:color="auto" w:fill="FFFFFF"/>
          <w:lang w:val="pt-BR"/>
        </w:rPr>
        <w:t>55 e 53. O conceito de discriminação é objeto de constante interpretação na jurisprudência do Tribunal relativa ao artigo 14 da Convenção. A jurisprudência concluiu que, por «discriminação», se entende um tratamento diferenciado, sem justificação objetiva e razoável, de pessoas que se encontram em situações análogas.</w:t>
      </w:r>
    </w:p>
  </w:footnote>
  <w:footnote w:id="127">
    <w:p w14:paraId="54A0FDCB" w14:textId="4659033A"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Conselho da Europa, </w:t>
      </w:r>
      <w:r w:rsidRPr="0038442F">
        <w:rPr>
          <w:rFonts w:ascii="Verdana" w:hAnsi="Verdana" w:cs="Arial"/>
          <w:i/>
          <w:iCs/>
          <w:sz w:val="16"/>
          <w:szCs w:val="16"/>
          <w:shd w:val="clear" w:color="auto" w:fill="FFFFFF"/>
          <w:lang w:val="pt-BR"/>
        </w:rPr>
        <w:t>Relatório Explicativo do Protocolo 12 da Convenção Europeia</w:t>
      </w:r>
      <w:r w:rsidRPr="0038442F">
        <w:rPr>
          <w:rFonts w:ascii="Verdana" w:hAnsi="Verdana"/>
          <w:sz w:val="16"/>
          <w:szCs w:val="16"/>
          <w:lang w:val="pt-BR"/>
        </w:rPr>
        <w:t xml:space="preserve">, par. 22. </w:t>
      </w:r>
    </w:p>
  </w:footnote>
  <w:footnote w:id="128">
    <w:p w14:paraId="3F354570" w14:textId="0427EA24"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Conselho da Europa, </w:t>
      </w:r>
      <w:r w:rsidRPr="0038442F">
        <w:rPr>
          <w:rFonts w:ascii="Verdana" w:hAnsi="Verdana" w:cs="Arial"/>
          <w:i/>
          <w:iCs/>
          <w:sz w:val="16"/>
          <w:szCs w:val="16"/>
          <w:shd w:val="clear" w:color="auto" w:fill="FFFFFF"/>
          <w:lang w:val="pt-BR"/>
        </w:rPr>
        <w:t>Relatório Explicativo do Protocolo 12 da Convenção Europeia</w:t>
      </w:r>
      <w:r w:rsidRPr="0038442F">
        <w:rPr>
          <w:rFonts w:ascii="Verdana" w:hAnsi="Verdana"/>
          <w:sz w:val="16"/>
          <w:szCs w:val="16"/>
          <w:lang w:val="pt-BR"/>
        </w:rPr>
        <w:t xml:space="preserve">, par. 25. Acrescentou que: “Um Protocolo adicional à Convenção, que, por essência, enuncia direitos individuais justiciáveis formulados de maneira concisa não constituiria um instrumento apropriado para definir os diferentes elementos de uma obrigação tão ampla, de caráter programático. Já foram enunciadas regras específicas e mais detalhadas no âmbito de convenções distintas, exclusivamente dedicadas à eliminação da discriminação pelas razões particulares a que se referem essas convenções (ver, por exemplo, a Convenção sobre a Eliminação de Todas as Formas de Discriminação Racial e a Convenção sobre a Eliminação de Todas as Formas de Discriminação contra a Mulher, ambas elaboradas no âmbito das Nações Unidas). Está claro que não se poderia interpretar este Protocolo como uma restrição ou uma exceção às disposições de direito interno ou de tratados que prevejam uma proteção adicional contra a discriminação”. </w:t>
      </w:r>
    </w:p>
  </w:footnote>
  <w:footnote w:id="129">
    <w:p w14:paraId="79B5BAB7" w14:textId="67768DC7"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Conselho da Europa, </w:t>
      </w:r>
      <w:r w:rsidRPr="0038442F">
        <w:rPr>
          <w:rFonts w:ascii="Verdana" w:hAnsi="Verdana" w:cs="Arial"/>
          <w:i/>
          <w:iCs/>
          <w:sz w:val="16"/>
          <w:szCs w:val="16"/>
          <w:shd w:val="clear" w:color="auto" w:fill="FFFFFF"/>
          <w:lang w:val="pt-BR"/>
        </w:rPr>
        <w:t>Relatório Explicativo do Protocolo 12 da Convenção Europeia</w:t>
      </w:r>
      <w:r w:rsidRPr="0038442F">
        <w:rPr>
          <w:rFonts w:ascii="Verdana" w:hAnsi="Verdana"/>
          <w:sz w:val="16"/>
          <w:szCs w:val="16"/>
          <w:lang w:val="pt-BR"/>
        </w:rPr>
        <w:t xml:space="preserve">, par. 26 e 28. </w:t>
      </w:r>
    </w:p>
  </w:footnote>
  <w:footnote w:id="130">
    <w:p w14:paraId="6DAF15A9" w14:textId="77777777" w:rsidR="00252907" w:rsidRPr="0038442F" w:rsidRDefault="00252907" w:rsidP="000777E8">
      <w:pPr>
        <w:shd w:val="clear" w:color="auto" w:fill="FFFFFF"/>
        <w:snapToGrid w:val="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Arial"/>
          <w:sz w:val="16"/>
          <w:szCs w:val="16"/>
          <w:lang w:val="pt-BR"/>
        </w:rPr>
        <w:t>CEDS</w:t>
      </w:r>
      <w:r w:rsidRPr="0038442F">
        <w:rPr>
          <w:rFonts w:ascii="Verdana" w:hAnsi="Verdana"/>
          <w:sz w:val="16"/>
          <w:szCs w:val="16"/>
          <w:lang w:val="pt-BR"/>
        </w:rPr>
        <w:t xml:space="preserve">, </w:t>
      </w:r>
      <w:r w:rsidRPr="0038442F">
        <w:rPr>
          <w:rFonts w:ascii="Verdana" w:hAnsi="Verdana"/>
          <w:i/>
          <w:iCs/>
          <w:sz w:val="16"/>
          <w:szCs w:val="16"/>
          <w:lang w:val="pt-BR"/>
        </w:rPr>
        <w:t xml:space="preserve">Caso </w:t>
      </w:r>
      <w:r w:rsidRPr="0038442F">
        <w:rPr>
          <w:rFonts w:ascii="Verdana" w:hAnsi="Verdana" w:cs="Arial"/>
          <w:i/>
          <w:iCs/>
          <w:sz w:val="16"/>
          <w:szCs w:val="16"/>
          <w:lang w:val="pt-BR"/>
        </w:rPr>
        <w:t>Federação Internacional de Direitos Humanos (FIDH) Vs. Bélgica</w:t>
      </w:r>
      <w:r w:rsidRPr="0038442F">
        <w:rPr>
          <w:rFonts w:ascii="Verdana" w:hAnsi="Verdana" w:cs="Arial"/>
          <w:sz w:val="16"/>
          <w:szCs w:val="16"/>
          <w:lang w:val="pt-BR"/>
        </w:rPr>
        <w:t>, Queixa N</w:t>
      </w:r>
      <w:r w:rsidRPr="0038442F">
        <w:rPr>
          <w:rFonts w:ascii="Verdana" w:hAnsi="Verdana" w:cs="Arial"/>
          <w:sz w:val="16"/>
          <w:szCs w:val="16"/>
          <w:vertAlign w:val="superscript"/>
          <w:lang w:val="pt-BR"/>
        </w:rPr>
        <w:t>o.</w:t>
      </w:r>
      <w:r w:rsidRPr="0038442F">
        <w:rPr>
          <w:rFonts w:ascii="Verdana" w:hAnsi="Verdana" w:cs="Arial"/>
          <w:sz w:val="16"/>
          <w:szCs w:val="16"/>
          <w:lang w:val="pt-BR"/>
        </w:rPr>
        <w:t xml:space="preserve"> 75/2011, decisão de 75/2011, par. 206.</w:t>
      </w:r>
    </w:p>
  </w:footnote>
  <w:footnote w:id="131">
    <w:p w14:paraId="70DEF09F" w14:textId="77777777" w:rsidR="00252907" w:rsidRPr="0038442F" w:rsidRDefault="00252907" w:rsidP="000777E8">
      <w:pPr>
        <w:snapToGrid w:val="0"/>
        <w:jc w:val="both"/>
        <w:rPr>
          <w:rFonts w:ascii="Verdana" w:hAnsi="Verdana" w:cs="Arial"/>
          <w:sz w:val="16"/>
          <w:szCs w:val="16"/>
          <w:shd w:val="clear" w:color="auto" w:fill="FFFFFF"/>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sz w:val="16"/>
          <w:szCs w:val="16"/>
          <w:lang w:val="pt-BR"/>
        </w:rPr>
        <w:t xml:space="preserve">CEDS, </w:t>
      </w:r>
      <w:r w:rsidRPr="0038442F">
        <w:rPr>
          <w:rFonts w:ascii="Verdana" w:hAnsi="Verdana"/>
          <w:i/>
          <w:iCs/>
          <w:sz w:val="16"/>
          <w:szCs w:val="16"/>
          <w:lang w:val="pt-BR"/>
        </w:rPr>
        <w:t xml:space="preserve">Caso </w:t>
      </w:r>
      <w:r w:rsidRPr="0038442F">
        <w:rPr>
          <w:rFonts w:ascii="Verdana" w:hAnsi="Verdana" w:cs="Arial"/>
          <w:i/>
          <w:iCs/>
          <w:sz w:val="16"/>
          <w:szCs w:val="16"/>
          <w:shd w:val="clear" w:color="auto" w:fill="FFFFFF"/>
          <w:lang w:val="pt-BR"/>
        </w:rPr>
        <w:t>Fórum Europeu de Roma e Viajantes (ERTF) Vs. França</w:t>
      </w:r>
      <w:r w:rsidRPr="0038442F">
        <w:rPr>
          <w:rFonts w:ascii="Verdana" w:hAnsi="Verdana" w:cs="Arial"/>
          <w:sz w:val="16"/>
          <w:szCs w:val="16"/>
          <w:shd w:val="clear" w:color="auto" w:fill="FFFFFF"/>
          <w:lang w:val="pt-BR"/>
        </w:rPr>
        <w:t>, Queixa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119/2015, decisão de 16 de abril de 2018, par. 108</w:t>
      </w:r>
      <w:r w:rsidRPr="0038442F">
        <w:rPr>
          <w:rFonts w:ascii="Verdana" w:hAnsi="Verdana"/>
          <w:sz w:val="16"/>
          <w:szCs w:val="16"/>
          <w:lang w:val="pt-BR"/>
        </w:rPr>
        <w:t xml:space="preserve"> e 109. </w:t>
      </w:r>
    </w:p>
  </w:footnote>
  <w:footnote w:id="132">
    <w:p w14:paraId="33E40872" w14:textId="6EA5C3F7"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Textoennegrita"/>
          <w:rFonts w:ascii="Verdana" w:hAnsi="Verdana"/>
          <w:b w:val="0"/>
          <w:bCs w:val="0"/>
          <w:sz w:val="16"/>
          <w:szCs w:val="16"/>
          <w:vertAlign w:val="superscript"/>
          <w:lang w:val="pt-BR"/>
        </w:rPr>
        <w:footnoteRef/>
      </w:r>
      <w:r w:rsidRPr="0038442F">
        <w:rPr>
          <w:rFonts w:ascii="Verdana" w:hAnsi="Verdana"/>
          <w:sz w:val="16"/>
          <w:szCs w:val="16"/>
          <w:vertAlign w:val="superscript"/>
          <w:lang w:val="pt-BR"/>
        </w:rPr>
        <w:t xml:space="preserve"> </w:t>
      </w:r>
      <w:r w:rsidRPr="0038442F">
        <w:rPr>
          <w:rFonts w:ascii="Verdana" w:hAnsi="Verdana"/>
          <w:sz w:val="16"/>
          <w:szCs w:val="16"/>
          <w:lang w:val="pt-BR"/>
        </w:rPr>
        <w:tab/>
        <w:t>Ver Le Saux, Marianne Gonzáles e Parra Vera, Óscar, “</w:t>
      </w:r>
      <w:r w:rsidRPr="0038442F">
        <w:rPr>
          <w:rStyle w:val="titulo"/>
          <w:rFonts w:ascii="Verdana" w:hAnsi="Verdana" w:cs="Arial"/>
          <w:sz w:val="16"/>
          <w:szCs w:val="16"/>
          <w:bdr w:val="none" w:sz="0" w:space="0" w:color="auto" w:frame="1"/>
          <w:lang w:val="pt-BR"/>
        </w:rPr>
        <w:t>Concepções e claúsulas de igualdade na jurisprudência da Corte Interamericana</w:t>
      </w:r>
      <w:r w:rsidRPr="0038442F">
        <w:rPr>
          <w:rStyle w:val="subtitulo"/>
          <w:rFonts w:ascii="Verdana" w:hAnsi="Verdana" w:cs="Arial"/>
          <w:sz w:val="16"/>
          <w:szCs w:val="16"/>
          <w:bdr w:val="none" w:sz="0" w:space="0" w:color="auto" w:frame="1"/>
          <w:lang w:val="pt-BR"/>
        </w:rPr>
        <w:t xml:space="preserve">: a propósito do Caso Apitz”, em </w:t>
      </w:r>
      <w:r w:rsidRPr="0038442F">
        <w:rPr>
          <w:rStyle w:val="Textoennegrita"/>
          <w:rFonts w:ascii="Verdana" w:hAnsi="Verdana" w:cs="Arial"/>
          <w:b w:val="0"/>
          <w:bCs w:val="0"/>
          <w:i/>
          <w:sz w:val="16"/>
          <w:szCs w:val="16"/>
          <w:bdr w:val="none" w:sz="0" w:space="0" w:color="auto" w:frame="1"/>
          <w:lang w:val="pt-BR"/>
        </w:rPr>
        <w:t>Revista do Instituto Interamericano de Direitos Humanos</w:t>
      </w:r>
      <w:r w:rsidRPr="0038442F">
        <w:rPr>
          <w:rStyle w:val="Textoennegrita"/>
          <w:rFonts w:ascii="Verdana" w:hAnsi="Verdana" w:cs="Arial"/>
          <w:b w:val="0"/>
          <w:bCs w:val="0"/>
          <w:sz w:val="16"/>
          <w:szCs w:val="16"/>
          <w:bdr w:val="none" w:sz="0" w:space="0" w:color="auto" w:frame="1"/>
          <w:lang w:val="pt-BR"/>
        </w:rPr>
        <w:t>, San José, N</w:t>
      </w:r>
      <w:r w:rsidRPr="0038442F">
        <w:rPr>
          <w:rStyle w:val="Textoennegrita"/>
          <w:rFonts w:ascii="Verdana" w:hAnsi="Verdana" w:cs="Arial"/>
          <w:b w:val="0"/>
          <w:bCs w:val="0"/>
          <w:sz w:val="16"/>
          <w:szCs w:val="16"/>
          <w:bdr w:val="none" w:sz="0" w:space="0" w:color="auto" w:frame="1"/>
          <w:vertAlign w:val="superscript"/>
          <w:lang w:val="pt-BR"/>
        </w:rPr>
        <w:t>o.</w:t>
      </w:r>
      <w:r w:rsidRPr="0038442F">
        <w:rPr>
          <w:rStyle w:val="Textoennegrita"/>
          <w:rFonts w:ascii="Verdana" w:hAnsi="Verdana" w:cs="Arial"/>
          <w:b w:val="0"/>
          <w:bCs w:val="0"/>
          <w:sz w:val="16"/>
          <w:szCs w:val="16"/>
          <w:bdr w:val="none" w:sz="0" w:space="0" w:color="auto" w:frame="1"/>
          <w:lang w:val="pt-BR"/>
        </w:rPr>
        <w:t xml:space="preserve"> 47, 2008,</w:t>
      </w:r>
      <w:r w:rsidRPr="0038442F">
        <w:rPr>
          <w:rFonts w:ascii="Verdana" w:hAnsi="Verdana" w:cs="Arial"/>
          <w:sz w:val="16"/>
          <w:szCs w:val="16"/>
          <w:bdr w:val="none" w:sz="0" w:space="0" w:color="auto" w:frame="1"/>
          <w:lang w:val="pt-BR"/>
        </w:rPr>
        <w:t xml:space="preserve"> p.</w:t>
      </w:r>
      <w:r w:rsidRPr="0038442F">
        <w:rPr>
          <w:rStyle w:val="apple-converted-space"/>
          <w:rFonts w:ascii="Verdana" w:hAnsi="Verdana" w:cs="Arial"/>
          <w:sz w:val="16"/>
          <w:szCs w:val="16"/>
          <w:bdr w:val="none" w:sz="0" w:space="0" w:color="auto" w:frame="1"/>
          <w:lang w:val="pt-BR"/>
        </w:rPr>
        <w:t> </w:t>
      </w:r>
      <w:r w:rsidRPr="0038442F">
        <w:rPr>
          <w:rFonts w:ascii="Verdana" w:hAnsi="Verdana" w:cs="Arial"/>
          <w:sz w:val="16"/>
          <w:szCs w:val="16"/>
          <w:bdr w:val="none" w:sz="0" w:space="0" w:color="auto" w:frame="1"/>
          <w:lang w:val="pt-BR"/>
        </w:rPr>
        <w:t xml:space="preserve">127-164; </w:t>
      </w:r>
      <w:r w:rsidRPr="0038442F">
        <w:rPr>
          <w:rFonts w:ascii="Verdana" w:hAnsi="Verdana"/>
          <w:sz w:val="16"/>
          <w:szCs w:val="16"/>
          <w:lang w:val="pt-BR"/>
        </w:rPr>
        <w:t xml:space="preserve">Uprimny Yepes, Rodrigo e Sánchez Duque, Luz María, “Igualdade perante a lei”, em Christian Steiner e Marie-Christine Fucks (ed.) e Patricia Uribe, (coord. acadêmica), </w:t>
      </w:r>
      <w:r w:rsidRPr="0038442F">
        <w:rPr>
          <w:rFonts w:ascii="Verdana" w:hAnsi="Verdana"/>
          <w:i/>
          <w:iCs/>
          <w:sz w:val="16"/>
          <w:szCs w:val="16"/>
          <w:lang w:val="pt-BR"/>
        </w:rPr>
        <w:t>Convenção Americana sobre Direitos Humanos, comentada</w:t>
      </w:r>
      <w:r w:rsidRPr="0038442F">
        <w:rPr>
          <w:rFonts w:ascii="Verdana" w:hAnsi="Verdana"/>
          <w:sz w:val="16"/>
          <w:szCs w:val="16"/>
          <w:lang w:val="pt-BR"/>
        </w:rPr>
        <w:t>, 2 ed., Bogotá, Kon</w:t>
      </w:r>
      <w:r w:rsidRPr="0038442F">
        <w:rPr>
          <w:rFonts w:ascii="Verdana" w:hAnsi="Verdana"/>
          <w:sz w:val="16"/>
          <w:szCs w:val="16"/>
          <w:lang w:val="pt-BR"/>
        </w:rPr>
        <w:softHyphen/>
        <w:t xml:space="preserve">rad </w:t>
      </w:r>
      <w:r w:rsidRPr="0038442F">
        <w:rPr>
          <w:rFonts w:ascii="Verdana" w:hAnsi="Verdana"/>
          <w:sz w:val="16"/>
          <w:szCs w:val="16"/>
          <w:lang w:val="pt-BR"/>
        </w:rPr>
        <w:softHyphen/>
        <w:t xml:space="preserve">Adenauer Stiftung, 2019, p. 708 e ss.; e Pérez, Edwar, </w:t>
      </w:r>
      <w:r w:rsidRPr="0038442F">
        <w:rPr>
          <w:rFonts w:ascii="Verdana" w:hAnsi="Verdana"/>
          <w:i/>
          <w:iCs/>
          <w:sz w:val="16"/>
          <w:szCs w:val="16"/>
          <w:lang w:val="pt-BR"/>
        </w:rPr>
        <w:t>Igualdade e não discriminação no direito interamericano</w:t>
      </w:r>
      <w:r w:rsidRPr="0038442F">
        <w:rPr>
          <w:rFonts w:ascii="Verdana" w:hAnsi="Verdana"/>
          <w:sz w:val="16"/>
          <w:szCs w:val="16"/>
          <w:lang w:val="pt-BR"/>
        </w:rPr>
        <w:t xml:space="preserve">, México, </w:t>
      </w:r>
      <w:r w:rsidRPr="0038442F">
        <w:rPr>
          <w:rFonts w:ascii="Verdana" w:hAnsi="Verdana"/>
          <w:iCs/>
          <w:sz w:val="16"/>
          <w:szCs w:val="16"/>
          <w:lang w:val="pt-BR"/>
        </w:rPr>
        <w:t xml:space="preserve">CNDH, México, 2016, </w:t>
      </w:r>
      <w:r w:rsidRPr="0038442F">
        <w:rPr>
          <w:rFonts w:ascii="Verdana" w:hAnsi="Verdana"/>
          <w:sz w:val="16"/>
          <w:szCs w:val="16"/>
          <w:lang w:val="pt-BR"/>
        </w:rPr>
        <w:t xml:space="preserve">p. 23-24. </w:t>
      </w:r>
    </w:p>
  </w:footnote>
  <w:footnote w:id="133">
    <w:p w14:paraId="4E24C844" w14:textId="4B0CD2C3" w:rsidR="00252907" w:rsidRPr="0038442F" w:rsidRDefault="00252907" w:rsidP="000777E8">
      <w:pPr>
        <w:pStyle w:val="Prrafodelista"/>
        <w:snapToGrid w:val="0"/>
        <w:spacing w:after="0" w:line="240" w:lineRule="auto"/>
        <w:ind w:left="0"/>
        <w:contextualSpacing w:val="0"/>
        <w:jc w:val="both"/>
        <w:rPr>
          <w:rFonts w:ascii="Verdana" w:hAnsi="Verdana" w:cs="Times New Roman"/>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Times New Roman"/>
          <w:sz w:val="16"/>
          <w:szCs w:val="16"/>
          <w:lang w:val="pt-BR"/>
        </w:rPr>
        <w:t xml:space="preserve">A esse respeito, a Corte IDH, no Parecer Consultivo OC-16/99 sobre </w:t>
      </w:r>
      <w:r w:rsidRPr="0038442F">
        <w:rPr>
          <w:rFonts w:ascii="Verdana" w:hAnsi="Verdana" w:cs="Times New Roman"/>
          <w:i/>
          <w:iCs/>
          <w:sz w:val="16"/>
          <w:szCs w:val="16"/>
          <w:lang w:val="pt-BR"/>
        </w:rPr>
        <w:t xml:space="preserve">O direito à informação sobre a assistência consular no âmbito das garantias do devido processo legal, </w:t>
      </w:r>
      <w:r w:rsidRPr="0038442F">
        <w:rPr>
          <w:rFonts w:ascii="Verdana" w:hAnsi="Verdana" w:cs="Times New Roman"/>
          <w:sz w:val="16"/>
          <w:szCs w:val="16"/>
          <w:lang w:val="pt-BR"/>
        </w:rPr>
        <w:t xml:space="preserve">salientou que: “O </w:t>
      </w:r>
      <w:r w:rsidRPr="0038442F">
        <w:rPr>
          <w:rFonts w:ascii="Verdana" w:hAnsi="Verdana" w:cs="Times New Roman"/>
          <w:i/>
          <w:iCs/>
          <w:sz w:val="16"/>
          <w:szCs w:val="16"/>
          <w:lang w:val="pt-BR"/>
        </w:rPr>
        <w:t xml:space="preserve">corpus juris </w:t>
      </w:r>
      <w:r w:rsidRPr="0038442F">
        <w:rPr>
          <w:rFonts w:ascii="Verdana" w:hAnsi="Verdana" w:cs="Times New Roman"/>
          <w:sz w:val="16"/>
          <w:szCs w:val="16"/>
          <w:lang w:val="pt-BR"/>
        </w:rPr>
        <w:t xml:space="preserve">do Direito Internacional dos Direitos Humanos é formado por um conjunto de instrumentos internacionais de conteúdo e efeitos jurídicos variados (tratados, convenções, resoluções e declarações). Sua evolução dinâmica exerceu um impacto positivo no Direito Internacional, no sentido de afirmar e desenvolver a aptidão deste último para regulamentar as relações entre os Estados e os seres humanos sob suas respectivas jurisdições. Portanto, esta Corte deve adotar um critério adequado para considerar a questão sujeita a exame no contexto da evolução dos direitos fundamentais da pessoa humana no Direito Internacional contemporâneo”. </w:t>
      </w:r>
      <w:r w:rsidRPr="0038442F">
        <w:rPr>
          <w:rFonts w:ascii="Verdana" w:hAnsi="Verdana" w:cs="Verdana"/>
          <w:i/>
          <w:sz w:val="16"/>
          <w:szCs w:val="16"/>
          <w:lang w:val="pt-BR"/>
        </w:rPr>
        <w:t>O direito à informação sobre a assistência consular no âmbito das garantias do devido processo legal</w:t>
      </w:r>
      <w:r w:rsidRPr="0038442F">
        <w:rPr>
          <w:rFonts w:ascii="Verdana" w:hAnsi="Verdana" w:cs="Verdana"/>
          <w:sz w:val="16"/>
          <w:szCs w:val="16"/>
          <w:lang w:val="pt-BR"/>
        </w:rPr>
        <w:t>. Parecer Consultivo OC-16/99, de 1</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de outubro de 1999. Série A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16, par. 115. </w:t>
      </w:r>
    </w:p>
  </w:footnote>
  <w:footnote w:id="134">
    <w:p w14:paraId="7423C426" w14:textId="379BE425" w:rsidR="00252907" w:rsidRPr="0038442F" w:rsidRDefault="00252907" w:rsidP="000777E8">
      <w:pPr>
        <w:pStyle w:val="Textonotapie"/>
        <w:snapToGrid w:val="0"/>
        <w:jc w:val="both"/>
        <w:rPr>
          <w:rFonts w:ascii="Verdana" w:hAnsi="Verdana" w:cs="Times New Roman"/>
          <w:sz w:val="16"/>
          <w:szCs w:val="16"/>
          <w:lang w:val="pt-BR"/>
        </w:rPr>
      </w:pPr>
      <w:r w:rsidRPr="0038442F">
        <w:rPr>
          <w:rStyle w:val="Refdenotaalpie"/>
          <w:rFonts w:ascii="Verdana" w:hAnsi="Verdana"/>
          <w:sz w:val="16"/>
          <w:szCs w:val="16"/>
          <w:lang w:val="pt-BR"/>
        </w:rPr>
        <w:footnoteRef/>
      </w:r>
      <w:r w:rsidRPr="0038442F">
        <w:rPr>
          <w:rFonts w:ascii="Verdana" w:hAnsi="Verdana" w:cs="Verdana"/>
          <w:sz w:val="16"/>
          <w:szCs w:val="16"/>
          <w:lang w:val="pt-BR"/>
        </w:rPr>
        <w:tab/>
      </w:r>
      <w:r w:rsidRPr="0038442F">
        <w:rPr>
          <w:rFonts w:ascii="Verdana" w:hAnsi="Verdana" w:cs="Verdana"/>
          <w:i/>
          <w:iCs/>
          <w:sz w:val="16"/>
          <w:szCs w:val="16"/>
          <w:lang w:val="pt-BR"/>
        </w:rPr>
        <w:t xml:space="preserve">Cf. </w:t>
      </w:r>
      <w:r w:rsidRPr="0038442F">
        <w:rPr>
          <w:rFonts w:ascii="Verdana" w:hAnsi="Verdana" w:cs="Verdana"/>
          <w:i/>
          <w:sz w:val="16"/>
          <w:szCs w:val="16"/>
          <w:lang w:val="pt-BR"/>
        </w:rPr>
        <w:t>Condição jurídica e direitos dos migrantes indocumentados</w:t>
      </w:r>
      <w:r w:rsidRPr="0038442F">
        <w:rPr>
          <w:rFonts w:ascii="Verdana" w:hAnsi="Verdana" w:cs="Verdana"/>
          <w:sz w:val="16"/>
          <w:szCs w:val="16"/>
          <w:lang w:val="pt-BR"/>
        </w:rPr>
        <w:t>. Parecer Consultivo OC-18/03, de 17 de setembro de 2003. Série A No. 18, par. 83.</w:t>
      </w:r>
      <w:r w:rsidRPr="0038442F">
        <w:rPr>
          <w:rFonts w:ascii="Verdana" w:hAnsi="Verdana"/>
          <w:sz w:val="16"/>
          <w:szCs w:val="16"/>
          <w:lang w:val="pt-BR"/>
        </w:rPr>
        <w:t xml:space="preserve"> </w:t>
      </w:r>
    </w:p>
  </w:footnote>
  <w:footnote w:id="135">
    <w:p w14:paraId="1B28D1C7" w14:textId="779AF5D9" w:rsidR="00252907" w:rsidRPr="0038442F" w:rsidRDefault="00252907" w:rsidP="000777E8">
      <w:pPr>
        <w:pStyle w:val="Textonotapie"/>
        <w:tabs>
          <w:tab w:val="right" w:pos="0"/>
        </w:tabs>
        <w:snapToGrid w:val="0"/>
        <w:jc w:val="both"/>
        <w:rPr>
          <w:rFonts w:ascii="Verdana" w:hAnsi="Verdana"/>
          <w:i/>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Fonts w:ascii="Verdana" w:hAnsi="Verdana" w:cs="Verdana"/>
          <w:i/>
          <w:sz w:val="16"/>
          <w:szCs w:val="16"/>
          <w:lang w:val="pt-BR"/>
        </w:rPr>
        <w:t>Proposta de modificação à Constituição Política da Costa Rica relacionada com a naturalização</w:t>
      </w:r>
      <w:r w:rsidRPr="0038442F">
        <w:rPr>
          <w:rFonts w:ascii="Verdana" w:hAnsi="Verdana" w:cs="Verdana"/>
          <w:sz w:val="16"/>
          <w:szCs w:val="16"/>
          <w:lang w:val="pt-BR"/>
        </w:rPr>
        <w:t>. Parecer Consultivo OC-4/84, de 19 de janeiro de 1984. Série A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4, par. 53; e Caso </w:t>
      </w:r>
      <w:r w:rsidRPr="0038442F">
        <w:rPr>
          <w:rFonts w:ascii="Verdana" w:hAnsi="Verdana" w:cs="Verdana"/>
          <w:i/>
          <w:sz w:val="16"/>
          <w:szCs w:val="16"/>
          <w:lang w:val="pt-BR"/>
        </w:rPr>
        <w:t>Duque Vs. Colômbia. Exceções Preliminares, Mérito, Reparações e Custas.</w:t>
      </w:r>
      <w:r w:rsidRPr="0038442F">
        <w:rPr>
          <w:rFonts w:ascii="Verdana" w:hAnsi="Verdana" w:cs="Verdana"/>
          <w:sz w:val="16"/>
          <w:szCs w:val="16"/>
          <w:lang w:val="pt-BR"/>
        </w:rPr>
        <w:t xml:space="preserve"> Sentença de 26 de fevereiro de 2016. Série C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310, par. 94.</w:t>
      </w:r>
    </w:p>
  </w:footnote>
  <w:footnote w:id="136">
    <w:p w14:paraId="08048F65" w14:textId="1FA9EC74" w:rsidR="00252907" w:rsidRPr="0038442F" w:rsidRDefault="00252907" w:rsidP="000777E8">
      <w:pPr>
        <w:pStyle w:val="Textonotapie"/>
        <w:tabs>
          <w:tab w:val="right" w:pos="0"/>
        </w:tabs>
        <w:snapToGrid w:val="0"/>
        <w:ind w:right="-174"/>
        <w:jc w:val="both"/>
        <w:rPr>
          <w:rFonts w:ascii="Verdana" w:hAnsi="Verdana" w:cs="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Fonts w:ascii="Verdana" w:hAnsi="Verdana" w:cs="Verdana"/>
          <w:sz w:val="16"/>
          <w:szCs w:val="16"/>
          <w:lang w:val="pt-BR"/>
        </w:rPr>
        <w:t xml:space="preserve">Parecer Consultivo OC-18/03, </w:t>
      </w:r>
      <w:r w:rsidRPr="0038442F">
        <w:rPr>
          <w:rFonts w:ascii="Verdana" w:hAnsi="Verdana" w:cs="Verdana"/>
          <w:i/>
          <w:iCs/>
          <w:sz w:val="16"/>
          <w:szCs w:val="16"/>
          <w:lang w:val="pt-BR"/>
        </w:rPr>
        <w:t>supra</w:t>
      </w:r>
      <w:r w:rsidRPr="0038442F">
        <w:rPr>
          <w:rFonts w:ascii="Verdana" w:hAnsi="Verdana" w:cs="Verdana"/>
          <w:sz w:val="16"/>
          <w:szCs w:val="16"/>
          <w:lang w:val="pt-BR"/>
        </w:rPr>
        <w:t xml:space="preserve">, par. 85; e Caso </w:t>
      </w:r>
      <w:r w:rsidRPr="0038442F">
        <w:rPr>
          <w:rFonts w:ascii="Verdana" w:hAnsi="Verdana" w:cs="Verdana"/>
          <w:i/>
          <w:sz w:val="16"/>
          <w:szCs w:val="16"/>
          <w:lang w:val="pt-BR"/>
        </w:rPr>
        <w:t>Duque Vs. Colômbia, supra</w:t>
      </w:r>
      <w:r w:rsidRPr="0038442F">
        <w:rPr>
          <w:rFonts w:ascii="Verdana" w:hAnsi="Verdana" w:cs="Verdana"/>
          <w:sz w:val="16"/>
          <w:szCs w:val="16"/>
          <w:lang w:val="pt-BR"/>
        </w:rPr>
        <w:t>, par. 94.</w:t>
      </w:r>
    </w:p>
  </w:footnote>
  <w:footnote w:id="137">
    <w:p w14:paraId="31FDCFD6" w14:textId="09652486" w:rsidR="00252907" w:rsidRPr="0038442F" w:rsidRDefault="00252907" w:rsidP="000777E8">
      <w:pPr>
        <w:pStyle w:val="Textonotapie"/>
        <w:tabs>
          <w:tab w:val="right" w:pos="0"/>
        </w:tabs>
        <w:snapToGrid w:val="0"/>
        <w:ind w:right="-174"/>
        <w:jc w:val="both"/>
        <w:rPr>
          <w:rFonts w:ascii="Verdana" w:hAnsi="Verdana" w:cs="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 xml:space="preserve">Cf. </w:t>
      </w:r>
      <w:r w:rsidRPr="0038442F">
        <w:rPr>
          <w:rFonts w:ascii="Verdana" w:hAnsi="Verdana" w:cs="Verdana"/>
          <w:i/>
          <w:sz w:val="16"/>
          <w:szCs w:val="16"/>
          <w:lang w:val="pt-BR"/>
        </w:rPr>
        <w:t>Condição jurídica e direitos dos migrantes indocumentados</w:t>
      </w:r>
      <w:r w:rsidRPr="0038442F">
        <w:rPr>
          <w:rFonts w:ascii="Verdana" w:hAnsi="Verdana" w:cs="Verdana"/>
          <w:sz w:val="16"/>
          <w:szCs w:val="16"/>
          <w:lang w:val="pt-BR"/>
        </w:rPr>
        <w:t xml:space="preserve">. Parecer Consultivo OC-18/03, </w:t>
      </w:r>
      <w:r w:rsidRPr="0038442F">
        <w:rPr>
          <w:rFonts w:ascii="Verdana" w:hAnsi="Verdana" w:cs="Verdana"/>
          <w:i/>
          <w:iCs/>
          <w:sz w:val="16"/>
          <w:szCs w:val="16"/>
          <w:lang w:val="pt-BR"/>
        </w:rPr>
        <w:t>supra</w:t>
      </w:r>
      <w:r w:rsidRPr="0038442F">
        <w:rPr>
          <w:rFonts w:ascii="Verdana" w:hAnsi="Verdana" w:cs="Verdana"/>
          <w:sz w:val="16"/>
          <w:szCs w:val="16"/>
          <w:lang w:val="pt-BR"/>
        </w:rPr>
        <w:t xml:space="preserve">, par. 85; e Caso </w:t>
      </w:r>
      <w:r w:rsidRPr="0038442F">
        <w:rPr>
          <w:rFonts w:ascii="Verdana" w:hAnsi="Verdana" w:cs="Verdana"/>
          <w:i/>
          <w:sz w:val="16"/>
          <w:szCs w:val="16"/>
          <w:lang w:val="pt-BR"/>
        </w:rPr>
        <w:t>Duque Vs. Colômbia, supra</w:t>
      </w:r>
      <w:r w:rsidRPr="0038442F">
        <w:rPr>
          <w:rFonts w:ascii="Verdana" w:hAnsi="Verdana" w:cs="Verdana"/>
          <w:sz w:val="16"/>
          <w:szCs w:val="16"/>
          <w:lang w:val="pt-BR"/>
        </w:rPr>
        <w:t xml:space="preserve">, par. 94. </w:t>
      </w:r>
    </w:p>
  </w:footnote>
  <w:footnote w:id="138">
    <w:p w14:paraId="711B1CC8" w14:textId="149F2B22" w:rsidR="00252907" w:rsidRPr="0038442F" w:rsidRDefault="00252907" w:rsidP="000777E8">
      <w:pPr>
        <w:pStyle w:val="Textonotapie"/>
        <w:snapToGrid w:val="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cs="Arial"/>
          <w:sz w:val="16"/>
          <w:szCs w:val="16"/>
          <w:lang w:val="pt-BR"/>
        </w:rPr>
        <w:tab/>
        <w:t xml:space="preserve">Ver: </w:t>
      </w:r>
      <w:r w:rsidRPr="0038442F">
        <w:rPr>
          <w:rFonts w:ascii="Verdana" w:hAnsi="Verdana" w:cs="Verdana"/>
          <w:i/>
          <w:sz w:val="16"/>
          <w:szCs w:val="16"/>
          <w:lang w:val="pt-BR"/>
        </w:rPr>
        <w:t>Xákmok Kásek Vs. Paraguai, supra</w:t>
      </w:r>
      <w:r w:rsidRPr="0038442F">
        <w:rPr>
          <w:rFonts w:ascii="Verdana" w:hAnsi="Verdana" w:cs="Verdana"/>
          <w:sz w:val="16"/>
          <w:szCs w:val="16"/>
          <w:lang w:val="pt-BR"/>
        </w:rPr>
        <w:t xml:space="preserve">, par. 269; e Caso </w:t>
      </w:r>
      <w:r w:rsidRPr="0038442F">
        <w:rPr>
          <w:rFonts w:ascii="Verdana" w:hAnsi="Verdana" w:cs="Verdana"/>
          <w:i/>
          <w:sz w:val="16"/>
          <w:szCs w:val="16"/>
          <w:lang w:val="pt-BR"/>
        </w:rPr>
        <w:t>Nadege Dorzema e outros Vs. República Dominicana, supra</w:t>
      </w:r>
      <w:r w:rsidRPr="0038442F">
        <w:rPr>
          <w:rFonts w:ascii="Verdana" w:hAnsi="Verdana" w:cs="Verdana"/>
          <w:sz w:val="16"/>
          <w:szCs w:val="16"/>
          <w:lang w:val="pt-BR"/>
        </w:rPr>
        <w:t>, par. 225.</w:t>
      </w:r>
    </w:p>
  </w:footnote>
  <w:footnote w:id="139">
    <w:p w14:paraId="0D44A3A4" w14:textId="11B6DA05" w:rsidR="00252907" w:rsidRPr="0038442F" w:rsidRDefault="00252907" w:rsidP="00CD222E">
      <w:pPr>
        <w:pStyle w:val="Textonotapie"/>
        <w:tabs>
          <w:tab w:val="left" w:pos="709"/>
          <w:tab w:val="left" w:pos="3613"/>
        </w:tabs>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Verdana"/>
          <w:i/>
          <w:sz w:val="16"/>
          <w:szCs w:val="16"/>
          <w:lang w:val="pt-BR"/>
        </w:rPr>
        <w:t>Caso Atala Riffo e crianças Vs. Chile, supra</w:t>
      </w:r>
      <w:r w:rsidRPr="0038442F">
        <w:rPr>
          <w:rFonts w:ascii="Verdana" w:hAnsi="Verdana" w:cs="Verdana"/>
          <w:sz w:val="16"/>
          <w:szCs w:val="16"/>
          <w:lang w:val="pt-BR"/>
        </w:rPr>
        <w:t xml:space="preserve">, par. 79. </w:t>
      </w:r>
    </w:p>
  </w:footnote>
  <w:footnote w:id="140">
    <w:p w14:paraId="1D467763" w14:textId="11CBEB49" w:rsidR="00252907" w:rsidRPr="0038442F" w:rsidRDefault="00252907" w:rsidP="000777E8">
      <w:pPr>
        <w:pStyle w:val="Textonotapie"/>
        <w:tabs>
          <w:tab w:val="right" w:pos="0"/>
        </w:tabs>
        <w:snapToGrid w:val="0"/>
        <w:ind w:right="-174"/>
        <w:jc w:val="both"/>
        <w:rPr>
          <w:rFonts w:ascii="Verdana" w:hAnsi="Verdana" w:cs="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Verdana"/>
          <w:i/>
          <w:sz w:val="16"/>
          <w:szCs w:val="16"/>
          <w:lang w:val="pt-BR"/>
        </w:rPr>
        <w:t>Condição jurídica e direitos dos migrantes indocumentados</w:t>
      </w:r>
      <w:r w:rsidRPr="0038442F">
        <w:rPr>
          <w:rFonts w:ascii="Verdana" w:hAnsi="Verdana" w:cs="Verdana"/>
          <w:sz w:val="16"/>
          <w:szCs w:val="16"/>
          <w:lang w:val="pt-BR"/>
        </w:rPr>
        <w:t xml:space="preserve">. Parecer Consultivo OC-18/03, </w:t>
      </w:r>
      <w:r w:rsidRPr="0038442F">
        <w:rPr>
          <w:rFonts w:ascii="Verdana" w:hAnsi="Verdana" w:cs="Verdana"/>
          <w:i/>
          <w:iCs/>
          <w:sz w:val="16"/>
          <w:szCs w:val="16"/>
          <w:lang w:val="pt-BR"/>
        </w:rPr>
        <w:t>supra</w:t>
      </w:r>
      <w:r w:rsidRPr="0038442F">
        <w:rPr>
          <w:rFonts w:ascii="Verdana" w:hAnsi="Verdana" w:cs="Verdana"/>
          <w:sz w:val="16"/>
          <w:szCs w:val="16"/>
          <w:lang w:val="pt-BR"/>
        </w:rPr>
        <w:t xml:space="preserve">, par. 101; </w:t>
      </w:r>
      <w:r w:rsidRPr="0038442F">
        <w:rPr>
          <w:rFonts w:ascii="Verdana" w:hAnsi="Verdana" w:cs="Verdana"/>
          <w:i/>
          <w:sz w:val="16"/>
          <w:szCs w:val="16"/>
          <w:lang w:val="pt-BR"/>
        </w:rPr>
        <w:t>Caso Nadege Dorzema e outros Vs. República Dominicana, supra</w:t>
      </w:r>
      <w:r w:rsidRPr="0038442F">
        <w:rPr>
          <w:rFonts w:ascii="Verdana" w:hAnsi="Verdana" w:cs="Verdana"/>
          <w:sz w:val="16"/>
          <w:szCs w:val="16"/>
          <w:lang w:val="pt-BR"/>
        </w:rPr>
        <w:t xml:space="preserve">, par. 225; e Caso </w:t>
      </w:r>
      <w:r w:rsidRPr="0038442F">
        <w:rPr>
          <w:rFonts w:ascii="Verdana" w:hAnsi="Verdana" w:cs="Verdana"/>
          <w:i/>
          <w:sz w:val="16"/>
          <w:szCs w:val="16"/>
          <w:lang w:val="pt-BR"/>
        </w:rPr>
        <w:t>Atala Riffo e crianças Vs. Chile, supra</w:t>
      </w:r>
      <w:r w:rsidRPr="0038442F">
        <w:rPr>
          <w:rFonts w:ascii="Verdana" w:hAnsi="Verdana" w:cs="Verdana"/>
          <w:sz w:val="16"/>
          <w:szCs w:val="16"/>
          <w:lang w:val="pt-BR"/>
        </w:rPr>
        <w:t xml:space="preserve">, par. 79. </w:t>
      </w:r>
    </w:p>
  </w:footnote>
  <w:footnote w:id="141">
    <w:p w14:paraId="335EDC45" w14:textId="74C3D107"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Proposta de modificação da Constituição Política da Costa Rica relacionada à naturalização. </w:t>
      </w:r>
      <w:r w:rsidRPr="0038442F">
        <w:rPr>
          <w:rFonts w:ascii="Verdana" w:hAnsi="Verdana"/>
          <w:sz w:val="16"/>
          <w:szCs w:val="16"/>
          <w:lang w:val="pt-BR"/>
        </w:rPr>
        <w:t>Parecer Consultivo OC-4/84, de 19 de janeiro de 1984. Série A N</w:t>
      </w:r>
      <w:r w:rsidRPr="0038442F">
        <w:rPr>
          <w:rFonts w:ascii="Verdana" w:hAnsi="Verdana"/>
          <w:sz w:val="16"/>
          <w:szCs w:val="16"/>
          <w:vertAlign w:val="superscript"/>
          <w:lang w:val="pt-BR"/>
        </w:rPr>
        <w:t>o.</w:t>
      </w:r>
      <w:r w:rsidRPr="0038442F">
        <w:rPr>
          <w:rFonts w:ascii="Verdana" w:hAnsi="Verdana"/>
          <w:sz w:val="16"/>
          <w:szCs w:val="16"/>
          <w:lang w:val="pt-BR"/>
        </w:rPr>
        <w:t xml:space="preserve"> 4, par. 53. </w:t>
      </w:r>
    </w:p>
  </w:footnote>
  <w:footnote w:id="142">
    <w:p w14:paraId="59350B99" w14:textId="66FFA8B5"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Parecer Consultivo OC-4/84, </w:t>
      </w:r>
      <w:r w:rsidRPr="0038442F">
        <w:rPr>
          <w:rFonts w:ascii="Verdana" w:hAnsi="Verdana"/>
          <w:i/>
          <w:iCs/>
          <w:sz w:val="16"/>
          <w:szCs w:val="16"/>
          <w:lang w:val="pt-BR"/>
        </w:rPr>
        <w:t>supra</w:t>
      </w:r>
      <w:r w:rsidRPr="0038442F">
        <w:rPr>
          <w:rFonts w:ascii="Verdana" w:hAnsi="Verdana"/>
          <w:sz w:val="16"/>
          <w:szCs w:val="16"/>
          <w:lang w:val="pt-BR"/>
        </w:rPr>
        <w:t xml:space="preserve">, par. 54. </w:t>
      </w:r>
    </w:p>
  </w:footnote>
  <w:footnote w:id="143">
    <w:p w14:paraId="630ABFD3" w14:textId="350E3B46"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Exceções ao esgotamento dos recursos internos (art. 46.1, 46.2.a e 46.2.b, Convenção Americana sobre Direitos Humanos). </w:t>
      </w:r>
      <w:r w:rsidRPr="0038442F">
        <w:rPr>
          <w:rFonts w:ascii="Verdana" w:hAnsi="Verdana"/>
          <w:sz w:val="16"/>
          <w:szCs w:val="16"/>
          <w:lang w:val="pt-BR"/>
        </w:rPr>
        <w:t>Parecer Consultivo OC-11/90, de 10 de agosto de 1990, Série A N</w:t>
      </w:r>
      <w:r w:rsidRPr="0038442F">
        <w:rPr>
          <w:rFonts w:ascii="Verdana" w:hAnsi="Verdana"/>
          <w:sz w:val="16"/>
          <w:szCs w:val="16"/>
          <w:vertAlign w:val="superscript"/>
          <w:lang w:val="pt-BR"/>
        </w:rPr>
        <w:t>o.</w:t>
      </w:r>
      <w:r w:rsidRPr="0038442F">
        <w:rPr>
          <w:rFonts w:ascii="Verdana" w:hAnsi="Verdana"/>
          <w:sz w:val="16"/>
          <w:szCs w:val="16"/>
          <w:lang w:val="pt-BR"/>
        </w:rPr>
        <w:t xml:space="preserve"> 11, par. 22. </w:t>
      </w:r>
    </w:p>
  </w:footnote>
  <w:footnote w:id="144">
    <w:p w14:paraId="2E6DFA4A" w14:textId="570E094A" w:rsidR="00252907" w:rsidRPr="0038442F" w:rsidRDefault="00252907" w:rsidP="000777E8">
      <w:pPr>
        <w:pStyle w:val="NormalWeb"/>
        <w:snapToGrid w:val="0"/>
        <w:spacing w:before="0" w:beforeAutospacing="0" w:after="0" w:afterAutospacing="0"/>
        <w:jc w:val="both"/>
        <w:rPr>
          <w:rFonts w:ascii="Verdana" w:hAnsi="Verdana"/>
          <w:i/>
          <w:i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Condição jurídica e direitos humanos da criança. </w:t>
      </w:r>
      <w:r w:rsidRPr="0038442F">
        <w:rPr>
          <w:rFonts w:ascii="Verdana" w:hAnsi="Verdana"/>
          <w:sz w:val="16"/>
          <w:szCs w:val="16"/>
          <w:lang w:val="pt-BR"/>
        </w:rPr>
        <w:t>Parecer Consultivo OC-17/02, de 28 de agosto de 2002, Série A N</w:t>
      </w:r>
      <w:r w:rsidRPr="0038442F">
        <w:rPr>
          <w:rFonts w:ascii="Verdana" w:hAnsi="Verdana"/>
          <w:sz w:val="16"/>
          <w:szCs w:val="16"/>
          <w:vertAlign w:val="superscript"/>
          <w:lang w:val="pt-BR"/>
        </w:rPr>
        <w:t>o.</w:t>
      </w:r>
      <w:r w:rsidRPr="0038442F">
        <w:rPr>
          <w:rFonts w:ascii="Verdana" w:hAnsi="Verdana"/>
          <w:sz w:val="16"/>
          <w:szCs w:val="16"/>
          <w:lang w:val="pt-BR"/>
        </w:rPr>
        <w:t xml:space="preserve"> 17, par. 43 e 44. </w:t>
      </w:r>
    </w:p>
  </w:footnote>
  <w:footnote w:id="145">
    <w:p w14:paraId="4C27AD4B" w14:textId="422A6F12"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Parecer Consultivo OC-18/03, </w:t>
      </w:r>
      <w:r w:rsidRPr="0038442F">
        <w:rPr>
          <w:rFonts w:ascii="Verdana" w:hAnsi="Verdana"/>
          <w:i/>
          <w:iCs/>
          <w:sz w:val="16"/>
          <w:szCs w:val="16"/>
          <w:lang w:val="pt-BR"/>
        </w:rPr>
        <w:t>supra</w:t>
      </w:r>
      <w:r w:rsidRPr="0038442F">
        <w:rPr>
          <w:rFonts w:ascii="Verdana" w:hAnsi="Verdana"/>
          <w:sz w:val="16"/>
          <w:szCs w:val="16"/>
          <w:lang w:val="pt-BR"/>
        </w:rPr>
        <w:t xml:space="preserve">, par. 100. </w:t>
      </w:r>
    </w:p>
  </w:footnote>
  <w:footnote w:id="146">
    <w:p w14:paraId="292FE9DE" w14:textId="6F5CB2BA"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Caso da Comunidade e Moiwana vs. Suriname. Exceções Preliminares, Mérito, Reparações e Custas. </w:t>
      </w:r>
      <w:r w:rsidRPr="0038442F">
        <w:rPr>
          <w:rFonts w:ascii="Verdana" w:hAnsi="Verdana"/>
          <w:sz w:val="16"/>
          <w:szCs w:val="16"/>
          <w:lang w:val="pt-BR"/>
        </w:rPr>
        <w:t>Sentença de 15 de junho de 2005,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124, par. 94. </w:t>
      </w:r>
    </w:p>
  </w:footnote>
  <w:footnote w:id="147">
    <w:p w14:paraId="2E2BB866" w14:textId="7D01D39C"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Assim, “consider[ou] oportuno recordar que, em conformidade com os artigos 24 […] e 1.1[...] da Convenção Americana, os Estados devem garantir, em condições de igualdade, o pleno exercício e gozo dos direitos dessas pessoas que estão sujeitas a sua jurisdição. No entanto, cumpre salientar que, para garantir efetivamente esses direitos, ao interpretar e aplicar sua legislação interna, os Estados devem levar em consideração as características próprias que diferenciam os membros dos povos indígenas da população em geral e que constituem sua identidade cultural”. C</w:t>
      </w:r>
      <w:r w:rsidRPr="0038442F">
        <w:rPr>
          <w:rFonts w:ascii="Verdana" w:hAnsi="Verdana"/>
          <w:i/>
          <w:iCs/>
          <w:sz w:val="16"/>
          <w:szCs w:val="16"/>
          <w:lang w:val="pt-BR"/>
        </w:rPr>
        <w:t xml:space="preserve">aso Comunidade Indígena </w:t>
      </w:r>
      <w:bookmarkStart w:id="3" w:name="OLE_LINK1"/>
      <w:bookmarkStart w:id="4" w:name="OLE_LINK2"/>
      <w:r w:rsidRPr="0038442F">
        <w:rPr>
          <w:rFonts w:ascii="Verdana" w:hAnsi="Verdana"/>
          <w:i/>
          <w:iCs/>
          <w:sz w:val="16"/>
          <w:szCs w:val="16"/>
          <w:lang w:val="pt-BR"/>
        </w:rPr>
        <w:t xml:space="preserve">Yakye Axa </w:t>
      </w:r>
      <w:bookmarkEnd w:id="3"/>
      <w:bookmarkEnd w:id="4"/>
      <w:r w:rsidRPr="0038442F">
        <w:rPr>
          <w:rFonts w:ascii="Verdana" w:hAnsi="Verdana"/>
          <w:i/>
          <w:iCs/>
          <w:sz w:val="16"/>
          <w:szCs w:val="16"/>
          <w:lang w:val="pt-BR"/>
        </w:rPr>
        <w:t xml:space="preserve">vs. Paraguai. Mérito, Reparações e Custas. </w:t>
      </w:r>
      <w:r w:rsidRPr="0038442F">
        <w:rPr>
          <w:rFonts w:ascii="Verdana" w:hAnsi="Verdana"/>
          <w:sz w:val="16"/>
          <w:szCs w:val="16"/>
          <w:lang w:val="pt-BR"/>
        </w:rPr>
        <w:t>Sentença de 17 de junho de 2005,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125, par. 51. </w:t>
      </w:r>
    </w:p>
  </w:footnote>
  <w:footnote w:id="148">
    <w:p w14:paraId="5E4DF738" w14:textId="643DFF89"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Caso Yatama vs. Nicarágua. Exceções Preliminares, Mérito, Reparações e Custas. </w:t>
      </w:r>
      <w:r w:rsidRPr="0038442F">
        <w:rPr>
          <w:rFonts w:ascii="Verdana" w:hAnsi="Verdana"/>
          <w:sz w:val="16"/>
          <w:szCs w:val="16"/>
          <w:lang w:val="pt-BR"/>
        </w:rPr>
        <w:t>Sentença de 23 de junho de 2005,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127, par. 186.</w:t>
      </w:r>
    </w:p>
  </w:footnote>
  <w:footnote w:id="149">
    <w:p w14:paraId="70121B33" w14:textId="7B065681"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 Corte entende que, em conformidade com os artigos 23, 24, 1.1 e 2 da Convenção, o Estado tem a obrigação de garantir o gozo dos direitos políticos, o que implica que a regulamentação do exercício desses direitos e sua aplicação sejam acordes com o princípio de igualdade e não discriminação, e deve adotar as medidas necessárias para garantir seu pleno exercício”. </w:t>
      </w:r>
      <w:r w:rsidRPr="0038442F">
        <w:rPr>
          <w:rFonts w:ascii="Verdana" w:hAnsi="Verdana"/>
          <w:i/>
          <w:iCs/>
          <w:sz w:val="16"/>
          <w:szCs w:val="16"/>
          <w:lang w:val="pt-BR"/>
        </w:rPr>
        <w:t>Cf. Caso Yatama Vs. Nicarágua, supra</w:t>
      </w:r>
      <w:r w:rsidRPr="0038442F">
        <w:rPr>
          <w:rFonts w:ascii="Verdana" w:hAnsi="Verdana"/>
          <w:sz w:val="16"/>
          <w:szCs w:val="16"/>
          <w:lang w:val="pt-BR"/>
        </w:rPr>
        <w:t xml:space="preserve">, par. 202. Em situação similar se encontra o </w:t>
      </w:r>
      <w:r w:rsidRPr="0038442F">
        <w:rPr>
          <w:rFonts w:ascii="Verdana" w:hAnsi="Verdana"/>
          <w:i/>
          <w:sz w:val="16"/>
          <w:szCs w:val="16"/>
          <w:lang w:val="pt-BR"/>
        </w:rPr>
        <w:t xml:space="preserve">Caso </w:t>
      </w:r>
      <w:r w:rsidRPr="0038442F">
        <w:rPr>
          <w:rFonts w:ascii="Verdana" w:hAnsi="Verdana"/>
          <w:i/>
          <w:iCs/>
          <w:sz w:val="16"/>
          <w:szCs w:val="16"/>
          <w:lang w:val="pt-BR"/>
        </w:rPr>
        <w:t>Yean e Bosico</w:t>
      </w:r>
      <w:r w:rsidRPr="0038442F">
        <w:rPr>
          <w:rFonts w:ascii="Verdana" w:hAnsi="Verdana"/>
          <w:sz w:val="16"/>
          <w:szCs w:val="16"/>
          <w:lang w:val="pt-BR"/>
        </w:rPr>
        <w:t xml:space="preserve">, em que a Corte IDH estabeleceu “que por razões discriminatórias e contrárias à legislação interna pertinente, o Estado deixou de conceder a nacionalidade às meninas, o que constituiu uma privação arbitrária de sua nacionalidade, e as deixou apátridas por mais de quatro anos e quatro meses, em violação dos artigos 20 e 24 da Convenção Americana, em relação ao artigo 19 do mesmo instrumento, e também em relação ao artigo 1.1 desse instrumento”. </w:t>
      </w:r>
      <w:r w:rsidRPr="0038442F">
        <w:rPr>
          <w:rFonts w:ascii="Verdana" w:hAnsi="Verdana" w:cs="Arial"/>
          <w:i/>
          <w:iCs/>
          <w:sz w:val="16"/>
          <w:szCs w:val="16"/>
          <w:shd w:val="clear" w:color="auto" w:fill="FFFFFF"/>
          <w:lang w:val="pt-BR"/>
        </w:rPr>
        <w:t>Caso das crianças Yean e Bosico Vs. República Dominicana.</w:t>
      </w:r>
      <w:r w:rsidRPr="0038442F">
        <w:rPr>
          <w:rFonts w:ascii="Verdana" w:hAnsi="Verdana" w:cs="Arial"/>
          <w:sz w:val="16"/>
          <w:szCs w:val="16"/>
          <w:shd w:val="clear" w:color="auto" w:fill="FFFFFF"/>
          <w:lang w:val="pt-BR"/>
        </w:rPr>
        <w:t xml:space="preserve"> Sentença de 8 de setembro de 2005.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130,</w:t>
      </w:r>
      <w:r w:rsidRPr="0038442F">
        <w:rPr>
          <w:rStyle w:val="apple-converted-space"/>
          <w:rFonts w:ascii="Verdana" w:hAnsi="Verdana" w:cs="Arial"/>
          <w:sz w:val="16"/>
          <w:szCs w:val="16"/>
          <w:shd w:val="clear" w:color="auto" w:fill="FFFFFF"/>
          <w:lang w:val="pt-BR"/>
        </w:rPr>
        <w:t> </w:t>
      </w:r>
      <w:r w:rsidRPr="0038442F">
        <w:rPr>
          <w:rFonts w:ascii="Verdana" w:hAnsi="Verdana"/>
          <w:sz w:val="16"/>
          <w:szCs w:val="16"/>
          <w:lang w:val="pt-BR"/>
        </w:rPr>
        <w:t>par. 174.</w:t>
      </w:r>
    </w:p>
  </w:footnote>
  <w:footnote w:id="150">
    <w:p w14:paraId="01AA5709" w14:textId="680A6530"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López Álvarez Vs. Honduras. Mérito, Reparações e Custas</w:t>
      </w:r>
      <w:r w:rsidRPr="0038442F">
        <w:rPr>
          <w:rFonts w:ascii="Verdana" w:hAnsi="Verdana" w:cs="Arial"/>
          <w:sz w:val="16"/>
          <w:szCs w:val="16"/>
          <w:shd w:val="clear" w:color="auto" w:fill="FFFFFF"/>
          <w:lang w:val="pt-BR"/>
        </w:rPr>
        <w:t>. Sentença de 1</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de fevereiro de 2006.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141, par. </w:t>
      </w:r>
      <w:r w:rsidRPr="0038442F">
        <w:rPr>
          <w:rFonts w:ascii="Verdana" w:hAnsi="Verdana"/>
          <w:sz w:val="16"/>
          <w:szCs w:val="16"/>
          <w:lang w:val="pt-BR"/>
        </w:rPr>
        <w:t xml:space="preserve">174. </w:t>
      </w:r>
    </w:p>
  </w:footnote>
  <w:footnote w:id="151">
    <w:p w14:paraId="7ED9B022" w14:textId="587737F4"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do Presídio Miguel Castro Castro Vs. Peru. Mérito, Reparações e Custas</w:t>
      </w:r>
      <w:r w:rsidRPr="0038442F">
        <w:rPr>
          <w:rFonts w:ascii="Verdana" w:hAnsi="Verdana" w:cs="Arial"/>
          <w:sz w:val="16"/>
          <w:szCs w:val="16"/>
          <w:shd w:val="clear" w:color="auto" w:fill="FFFFFF"/>
          <w:lang w:val="pt-BR"/>
        </w:rPr>
        <w:t>. Sentença de 25 de novembro de 2006.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160, par. </w:t>
      </w:r>
      <w:r w:rsidRPr="0038442F">
        <w:rPr>
          <w:rFonts w:ascii="Verdana" w:hAnsi="Verdana"/>
          <w:sz w:val="16"/>
          <w:szCs w:val="16"/>
          <w:lang w:val="pt-BR"/>
        </w:rPr>
        <w:t>303, 308 e 312.</w:t>
      </w:r>
    </w:p>
  </w:footnote>
  <w:footnote w:id="152">
    <w:p w14:paraId="00470D94" w14:textId="18540F02"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Arial"/>
          <w:i/>
          <w:iCs/>
          <w:sz w:val="16"/>
          <w:szCs w:val="16"/>
          <w:shd w:val="clear" w:color="auto" w:fill="FFFFFF"/>
          <w:lang w:val="pt-BR"/>
        </w:rPr>
        <w:t>Caso do Povo Saramaka Vs. Suriname. Exceções Preliminares, Mérito, Reparações e Custas.</w:t>
      </w:r>
      <w:r w:rsidRPr="0038442F">
        <w:rPr>
          <w:rFonts w:ascii="Verdana" w:hAnsi="Verdana" w:cs="Arial"/>
          <w:sz w:val="16"/>
          <w:szCs w:val="16"/>
          <w:shd w:val="clear" w:color="auto" w:fill="FFFFFF"/>
          <w:lang w:val="pt-BR"/>
        </w:rPr>
        <w:t xml:space="preserve"> Sentença de 28 de novembro de 2007.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172, par. </w:t>
      </w:r>
      <w:r w:rsidRPr="0038442F">
        <w:rPr>
          <w:rFonts w:ascii="Verdana" w:hAnsi="Verdana"/>
          <w:sz w:val="16"/>
          <w:szCs w:val="16"/>
          <w:lang w:val="pt-BR"/>
        </w:rPr>
        <w:t xml:space="preserve">175. </w:t>
      </w:r>
    </w:p>
  </w:footnote>
  <w:footnote w:id="153">
    <w:p w14:paraId="40E0A422" w14:textId="389B0FA6"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sz w:val="16"/>
          <w:szCs w:val="16"/>
          <w:lang w:val="pt-BR"/>
        </w:rPr>
        <w:t>Caso</w:t>
      </w:r>
      <w:r w:rsidRPr="0038442F">
        <w:rPr>
          <w:rFonts w:ascii="Verdana" w:hAnsi="Verdana"/>
          <w:sz w:val="16"/>
          <w:szCs w:val="16"/>
          <w:lang w:val="pt-BR"/>
        </w:rPr>
        <w:t xml:space="preserve"> </w:t>
      </w:r>
      <w:r w:rsidRPr="0038442F">
        <w:rPr>
          <w:rFonts w:ascii="Verdana" w:hAnsi="Verdana"/>
          <w:i/>
          <w:sz w:val="16"/>
          <w:szCs w:val="16"/>
          <w:lang w:val="pt-BR"/>
        </w:rPr>
        <w:t>Apitz Barbera e outros (“Corte Primera de lo Contencioso Administrativo”) Vs. Venezuela. Exceção Preliminar, Mérito, Reparações e Custas.</w:t>
      </w:r>
      <w:r w:rsidRPr="0038442F">
        <w:rPr>
          <w:rFonts w:ascii="Verdana" w:hAnsi="Verdana"/>
          <w:sz w:val="16"/>
          <w:szCs w:val="16"/>
          <w:lang w:val="pt-BR"/>
        </w:rPr>
        <w:t xml:space="preserve"> Sentença de 5 de agosto de 2008.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182, par. 209. </w:t>
      </w:r>
    </w:p>
  </w:footnote>
  <w:footnote w:id="154">
    <w:p w14:paraId="05057D21" w14:textId="7C426CE5" w:rsidR="00252907" w:rsidRPr="0038442F" w:rsidRDefault="00252907" w:rsidP="000777E8">
      <w:pPr>
        <w:snapToGrid w:val="0"/>
        <w:jc w:val="both"/>
        <w:rPr>
          <w:rFonts w:ascii="Verdana" w:hAnsi="Verdana" w:cs="Arial"/>
          <w:sz w:val="16"/>
          <w:szCs w:val="16"/>
          <w:shd w:val="clear" w:color="auto" w:fill="FFFFFF"/>
          <w:lang w:val="pt-BR"/>
        </w:rPr>
      </w:pPr>
      <w:r w:rsidRPr="0038442F">
        <w:rPr>
          <w:rStyle w:val="Refdenotaalpie"/>
          <w:rFonts w:ascii="Verdana" w:hAnsi="Verdana"/>
          <w:sz w:val="16"/>
          <w:szCs w:val="16"/>
          <w:lang w:val="pt-BR"/>
        </w:rPr>
        <w:footnoteRef/>
      </w:r>
      <w:r w:rsidRPr="0038442F">
        <w:rPr>
          <w:rFonts w:ascii="Verdana" w:hAnsi="Verdana"/>
          <w:i/>
          <w:iCs/>
          <w:sz w:val="16"/>
          <w:szCs w:val="16"/>
          <w:lang w:val="pt-BR"/>
        </w:rPr>
        <w:tab/>
        <w:t xml:space="preserve">Cf. </w:t>
      </w:r>
      <w:r w:rsidRPr="0038442F">
        <w:rPr>
          <w:rFonts w:ascii="Verdana" w:hAnsi="Verdana" w:cs="Arial"/>
          <w:i/>
          <w:iCs/>
          <w:sz w:val="16"/>
          <w:szCs w:val="16"/>
          <w:shd w:val="clear" w:color="auto" w:fill="FFFFFF"/>
          <w:lang w:val="pt-BR"/>
        </w:rPr>
        <w:t>Caso Duque Vs. Colômbia, supra</w:t>
      </w:r>
      <w:r w:rsidRPr="0038442F">
        <w:rPr>
          <w:rFonts w:ascii="Verdana" w:hAnsi="Verdana" w:cs="Arial"/>
          <w:sz w:val="16"/>
          <w:szCs w:val="16"/>
          <w:shd w:val="clear" w:color="auto" w:fill="FFFFFF"/>
          <w:lang w:val="pt-BR"/>
        </w:rPr>
        <w:t xml:space="preserve">, par. 94; </w:t>
      </w:r>
      <w:r w:rsidRPr="0038442F">
        <w:rPr>
          <w:rFonts w:ascii="Verdana" w:hAnsi="Verdana" w:cs="Arial"/>
          <w:i/>
          <w:iCs/>
          <w:sz w:val="16"/>
          <w:szCs w:val="16"/>
          <w:shd w:val="clear" w:color="auto" w:fill="FFFFFF"/>
          <w:lang w:val="pt-BR"/>
        </w:rPr>
        <w:t>Caso Flor Freire Vs. Equador. Exceção Preliminar, Mérito, Reparações e Custas</w:t>
      </w:r>
      <w:r w:rsidRPr="0038442F">
        <w:rPr>
          <w:rFonts w:ascii="Verdana" w:hAnsi="Verdana" w:cs="Arial"/>
          <w:sz w:val="16"/>
          <w:szCs w:val="16"/>
          <w:shd w:val="clear" w:color="auto" w:fill="FFFFFF"/>
          <w:lang w:val="pt-BR"/>
        </w:rPr>
        <w:t>. Sentença de 31 de agosto de 2016.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315, par. 112; e Caso </w:t>
      </w:r>
      <w:r w:rsidRPr="0038442F">
        <w:rPr>
          <w:rFonts w:ascii="Verdana" w:hAnsi="Verdana" w:cs="Arial"/>
          <w:i/>
          <w:iCs/>
          <w:sz w:val="16"/>
          <w:szCs w:val="16"/>
          <w:shd w:val="clear" w:color="auto" w:fill="FFFFFF"/>
          <w:lang w:val="pt-BR"/>
        </w:rPr>
        <w:t>Ramírez Escobar e outros Vs. Guatemala. Mérito, Reparações e Custas</w:t>
      </w:r>
      <w:r w:rsidRPr="0038442F">
        <w:rPr>
          <w:rFonts w:ascii="Verdana" w:hAnsi="Verdana" w:cs="Arial"/>
          <w:sz w:val="16"/>
          <w:szCs w:val="16"/>
          <w:shd w:val="clear" w:color="auto" w:fill="FFFFFF"/>
          <w:lang w:val="pt-BR"/>
        </w:rPr>
        <w:t>. Sentença de 9 de março de 2018.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351, par. 272. Embora a Corte IDH, posteriormente ao </w:t>
      </w:r>
      <w:r w:rsidRPr="0038442F">
        <w:rPr>
          <w:rFonts w:ascii="Verdana" w:hAnsi="Verdana" w:cs="Arial"/>
          <w:i/>
          <w:sz w:val="16"/>
          <w:szCs w:val="16"/>
          <w:shd w:val="clear" w:color="auto" w:fill="FFFFFF"/>
          <w:lang w:val="pt-BR"/>
        </w:rPr>
        <w:t>Caso Apitz,</w:t>
      </w:r>
      <w:r w:rsidRPr="0038442F">
        <w:rPr>
          <w:rFonts w:ascii="Verdana" w:hAnsi="Verdana" w:cs="Arial"/>
          <w:sz w:val="16"/>
          <w:szCs w:val="16"/>
          <w:shd w:val="clear" w:color="auto" w:fill="FFFFFF"/>
          <w:lang w:val="pt-BR"/>
        </w:rPr>
        <w:t xml:space="preserve"> tenha feito referência à jurisprudência que estabeleceu no </w:t>
      </w:r>
      <w:r w:rsidRPr="0038442F">
        <w:rPr>
          <w:rFonts w:ascii="Verdana" w:hAnsi="Verdana" w:cs="Arial"/>
          <w:i/>
          <w:sz w:val="16"/>
          <w:szCs w:val="16"/>
          <w:shd w:val="clear" w:color="auto" w:fill="FFFFFF"/>
          <w:lang w:val="pt-BR"/>
        </w:rPr>
        <w:t xml:space="preserve">Caso </w:t>
      </w:r>
      <w:r w:rsidRPr="0038442F">
        <w:rPr>
          <w:rFonts w:ascii="Verdana" w:hAnsi="Verdana" w:cs="Arial"/>
          <w:sz w:val="16"/>
          <w:szCs w:val="16"/>
          <w:shd w:val="clear" w:color="auto" w:fill="FFFFFF"/>
          <w:lang w:val="pt-BR"/>
        </w:rPr>
        <w:t xml:space="preserve">YATAMA, ou seja, que o artigo 24 proíbe a discriminação de “direito ou de fato”, o entendimento do Tribunal Interamericano a respeito do artigo 24 é que se refere à proibição de discriminação de direito. </w:t>
      </w:r>
    </w:p>
  </w:footnote>
  <w:footnote w:id="155">
    <w:p w14:paraId="3E9E1582" w14:textId="239F4EE6" w:rsidR="00252907" w:rsidRPr="0038442F" w:rsidRDefault="00252907" w:rsidP="000777E8">
      <w:pPr>
        <w:pStyle w:val="Textonotapie"/>
        <w:snapToGrid w:val="0"/>
        <w:jc w:val="both"/>
        <w:rPr>
          <w:rFonts w:ascii="Verdana" w:hAnsi="Verdana" w:cs="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Verdana"/>
          <w:i/>
          <w:sz w:val="16"/>
          <w:szCs w:val="16"/>
          <w:lang w:val="pt-BR"/>
        </w:rPr>
        <w:t>Caso Véliz Franco e outros Vs. Guatemala. Exceções Preliminares, Mérito, Reparações e Custas.</w:t>
      </w:r>
      <w:r w:rsidRPr="0038442F">
        <w:rPr>
          <w:rFonts w:ascii="Verdana" w:hAnsi="Verdana" w:cs="Verdana"/>
          <w:sz w:val="16"/>
          <w:szCs w:val="16"/>
          <w:lang w:val="pt-BR"/>
        </w:rPr>
        <w:t xml:space="preserve"> Sentença de 19 de maio de 2014. Série C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277, par. 215; e Caso </w:t>
      </w:r>
      <w:r w:rsidRPr="0038442F">
        <w:rPr>
          <w:rFonts w:ascii="Verdana" w:hAnsi="Verdana" w:cs="Verdana"/>
          <w:i/>
          <w:sz w:val="16"/>
          <w:szCs w:val="16"/>
          <w:lang w:val="pt-BR"/>
        </w:rPr>
        <w:t>Velásquez Paiz e outros Vs. Guatemala. Exceções Preliminares, Mérito, Reparações e Custas</w:t>
      </w:r>
      <w:r w:rsidRPr="0038442F">
        <w:rPr>
          <w:rFonts w:ascii="Verdana" w:hAnsi="Verdana" w:cs="Verdana"/>
          <w:sz w:val="16"/>
          <w:szCs w:val="16"/>
          <w:lang w:val="pt-BR"/>
        </w:rPr>
        <w:t>. Sentença de 19 de novembro de 2015. Série C N</w:t>
      </w:r>
      <w:r w:rsidRPr="0038442F">
        <w:rPr>
          <w:rFonts w:ascii="Verdana" w:hAnsi="Verdana" w:cs="Verdana"/>
          <w:sz w:val="16"/>
          <w:szCs w:val="16"/>
          <w:vertAlign w:val="superscript"/>
          <w:lang w:val="pt-BR"/>
        </w:rPr>
        <w:t>o.</w:t>
      </w:r>
      <w:r w:rsidRPr="0038442F">
        <w:rPr>
          <w:rFonts w:ascii="Verdana" w:hAnsi="Verdana" w:cs="Verdana"/>
          <w:sz w:val="16"/>
          <w:szCs w:val="16"/>
          <w:lang w:val="pt-BR"/>
        </w:rPr>
        <w:t xml:space="preserve"> 307, par. 199. </w:t>
      </w:r>
    </w:p>
  </w:footnote>
  <w:footnote w:id="156">
    <w:p w14:paraId="51ABF0BF" w14:textId="47BA8256" w:rsidR="00252907" w:rsidRPr="0038442F" w:rsidRDefault="00252907" w:rsidP="000777E8">
      <w:pPr>
        <w:pStyle w:val="Textonotapie"/>
        <w:snapToGrid w:val="0"/>
        <w:jc w:val="both"/>
        <w:rPr>
          <w:rFonts w:ascii="Verdana" w:hAnsi="Verdana" w:cs="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cs="Verdana"/>
          <w:i/>
          <w:sz w:val="16"/>
          <w:szCs w:val="16"/>
          <w:lang w:val="pt-BR"/>
        </w:rPr>
        <w:t>Caso Véliz Franco e outros Vs. Guatemala, supra</w:t>
      </w:r>
      <w:r w:rsidRPr="0038442F">
        <w:rPr>
          <w:rFonts w:ascii="Verdana" w:hAnsi="Verdana" w:cs="Verdana"/>
          <w:sz w:val="16"/>
          <w:szCs w:val="16"/>
          <w:lang w:val="pt-BR"/>
        </w:rPr>
        <w:t xml:space="preserve">, par. 208; e Caso </w:t>
      </w:r>
      <w:r w:rsidRPr="0038442F">
        <w:rPr>
          <w:rFonts w:ascii="Verdana" w:hAnsi="Verdana" w:cs="Verdana"/>
          <w:i/>
          <w:sz w:val="16"/>
          <w:szCs w:val="16"/>
          <w:lang w:val="pt-BR"/>
        </w:rPr>
        <w:t>Velásquez Paiz e outros Vs. Guatemala, supra</w:t>
      </w:r>
      <w:r w:rsidRPr="0038442F">
        <w:rPr>
          <w:rFonts w:ascii="Verdana" w:hAnsi="Verdana" w:cs="Verdana"/>
          <w:sz w:val="16"/>
          <w:szCs w:val="16"/>
          <w:lang w:val="pt-BR"/>
        </w:rPr>
        <w:t xml:space="preserve">, par. 176. </w:t>
      </w:r>
    </w:p>
  </w:footnote>
  <w:footnote w:id="157">
    <w:p w14:paraId="4C3FA508" w14:textId="7F45AA0E"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Arial"/>
          <w:i/>
          <w:iCs/>
          <w:sz w:val="16"/>
          <w:szCs w:val="16"/>
          <w:shd w:val="clear" w:color="auto" w:fill="FFFFFF"/>
          <w:lang w:val="pt-BR"/>
        </w:rPr>
        <w:t>Caso V.R.P., V.P.C. e outros Vs. Nicarágua. Exceções Preliminares, Mérito, Reparações e Custas</w:t>
      </w:r>
      <w:r w:rsidRPr="0038442F">
        <w:rPr>
          <w:rFonts w:ascii="Verdana" w:hAnsi="Verdana" w:cs="Arial"/>
          <w:sz w:val="16"/>
          <w:szCs w:val="16"/>
          <w:shd w:val="clear" w:color="auto" w:fill="FFFFFF"/>
          <w:lang w:val="pt-BR"/>
        </w:rPr>
        <w:t>. Sentença de 8 de março de 2018.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350, par. </w:t>
      </w:r>
      <w:r w:rsidRPr="0038442F">
        <w:rPr>
          <w:rFonts w:ascii="Verdana" w:hAnsi="Verdana"/>
          <w:sz w:val="16"/>
          <w:szCs w:val="16"/>
          <w:lang w:val="pt-BR"/>
        </w:rPr>
        <w:t xml:space="preserve">289. </w:t>
      </w:r>
    </w:p>
  </w:footnote>
  <w:footnote w:id="158">
    <w:p w14:paraId="40AAEEFC" w14:textId="05486F65"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t xml:space="preserve">Não era a primeira vez que o Tribunal o expressava. A mesma análise havia sido externada nos casos YATAMA e Vélez Loor. Nesses casos, no entanto, não se havia feito uma abordagem com as considerações feitas no </w:t>
      </w:r>
      <w:r w:rsidRPr="0038442F">
        <w:rPr>
          <w:rFonts w:ascii="Verdana" w:hAnsi="Verdana"/>
          <w:i/>
          <w:sz w:val="16"/>
          <w:szCs w:val="16"/>
          <w:lang w:val="pt-BR"/>
        </w:rPr>
        <w:t xml:space="preserve">Caso </w:t>
      </w:r>
      <w:r w:rsidRPr="0038442F">
        <w:rPr>
          <w:rFonts w:ascii="Verdana" w:hAnsi="Verdana"/>
          <w:i/>
          <w:iCs/>
          <w:sz w:val="16"/>
          <w:szCs w:val="16"/>
          <w:lang w:val="pt-BR"/>
        </w:rPr>
        <w:t>V.R.P., V.C.P. e outros</w:t>
      </w:r>
      <w:r w:rsidRPr="0038442F">
        <w:rPr>
          <w:rFonts w:ascii="Verdana" w:hAnsi="Verdana"/>
          <w:sz w:val="16"/>
          <w:szCs w:val="16"/>
          <w:lang w:val="pt-BR"/>
        </w:rPr>
        <w:t>.</w:t>
      </w:r>
      <w:r w:rsidRPr="0038442F">
        <w:rPr>
          <w:rFonts w:ascii="Verdana" w:hAnsi="Verdana"/>
          <w:i/>
          <w:iCs/>
          <w:sz w:val="16"/>
          <w:szCs w:val="16"/>
          <w:lang w:val="pt-BR"/>
        </w:rPr>
        <w:t xml:space="preserve"> Cf. Caso Yatama Vs. Nicarágua, supra</w:t>
      </w:r>
      <w:r w:rsidRPr="0038442F">
        <w:rPr>
          <w:rFonts w:ascii="Verdana" w:hAnsi="Verdana"/>
          <w:sz w:val="16"/>
          <w:szCs w:val="16"/>
          <w:lang w:val="pt-BR"/>
        </w:rPr>
        <w:t xml:space="preserve">, par. 185; e </w:t>
      </w:r>
      <w:r w:rsidRPr="0038442F">
        <w:rPr>
          <w:rFonts w:ascii="Verdana" w:hAnsi="Verdana"/>
          <w:i/>
          <w:sz w:val="16"/>
          <w:szCs w:val="16"/>
          <w:lang w:val="pt-BR"/>
        </w:rPr>
        <w:t>Caso</w:t>
      </w:r>
      <w:r w:rsidRPr="0038442F">
        <w:rPr>
          <w:rFonts w:ascii="Verdana" w:hAnsi="Verdana"/>
          <w:sz w:val="16"/>
          <w:szCs w:val="16"/>
          <w:lang w:val="pt-BR"/>
        </w:rPr>
        <w:t xml:space="preserve"> </w:t>
      </w:r>
      <w:r w:rsidRPr="0038442F">
        <w:rPr>
          <w:rFonts w:ascii="Verdana" w:hAnsi="Verdana"/>
          <w:i/>
          <w:iCs/>
          <w:sz w:val="16"/>
          <w:szCs w:val="16"/>
          <w:lang w:val="pt-BR"/>
        </w:rPr>
        <w:t>Vélez Loor Vs. Panamá. Exceções Preliminares, Mérito, Reparações e Custas</w:t>
      </w:r>
      <w:r w:rsidRPr="0038442F">
        <w:rPr>
          <w:rFonts w:ascii="Verdana" w:hAnsi="Verdana"/>
          <w:sz w:val="16"/>
          <w:szCs w:val="16"/>
          <w:lang w:val="pt-BR"/>
        </w:rPr>
        <w:t>. Sentença de 23 de novembro de 2010. Série C N</w:t>
      </w:r>
      <w:r w:rsidRPr="0038442F">
        <w:rPr>
          <w:rFonts w:ascii="Verdana" w:hAnsi="Verdana"/>
          <w:sz w:val="16"/>
          <w:szCs w:val="16"/>
          <w:vertAlign w:val="superscript"/>
          <w:lang w:val="pt-BR"/>
        </w:rPr>
        <w:t>o.</w:t>
      </w:r>
      <w:r w:rsidRPr="0038442F">
        <w:rPr>
          <w:rFonts w:ascii="Verdana" w:hAnsi="Verdana"/>
          <w:sz w:val="16"/>
          <w:szCs w:val="16"/>
          <w:lang w:val="pt-BR"/>
        </w:rPr>
        <w:t xml:space="preserve"> 218, par. 248. </w:t>
      </w:r>
    </w:p>
  </w:footnote>
  <w:footnote w:id="159">
    <w:p w14:paraId="789F1388" w14:textId="0625C3FA" w:rsidR="00252907" w:rsidRPr="0038442F" w:rsidRDefault="00252907" w:rsidP="000777E8">
      <w:pPr>
        <w:snapToGrid w:val="0"/>
        <w:jc w:val="both"/>
        <w:rPr>
          <w:rFonts w:ascii="Verdana" w:hAnsi="Verdana"/>
          <w:sz w:val="16"/>
          <w:szCs w:val="16"/>
          <w:lang w:val="pt-BR"/>
        </w:rPr>
      </w:pPr>
      <w:r w:rsidRPr="0038442F">
        <w:rPr>
          <w:rStyle w:val="Refdenotaalpie"/>
          <w:rFonts w:ascii="Verdana" w:eastAsiaTheme="majorEastAsi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Arial"/>
          <w:sz w:val="16"/>
          <w:szCs w:val="16"/>
          <w:shd w:val="clear" w:color="auto" w:fill="FFFFFF"/>
          <w:lang w:val="pt-BR"/>
        </w:rPr>
        <w:t xml:space="preserve">Parecer Consultivo OC-18/03, </w:t>
      </w:r>
      <w:r w:rsidRPr="0038442F">
        <w:rPr>
          <w:rFonts w:ascii="Verdana" w:hAnsi="Verdana" w:cs="Arial"/>
          <w:i/>
          <w:iCs/>
          <w:sz w:val="16"/>
          <w:szCs w:val="16"/>
          <w:shd w:val="clear" w:color="auto" w:fill="FFFFFF"/>
          <w:lang w:val="pt-BR"/>
        </w:rPr>
        <w:t>supra</w:t>
      </w:r>
      <w:r w:rsidRPr="0038442F">
        <w:rPr>
          <w:rFonts w:ascii="Verdana" w:hAnsi="Verdana" w:cs="Arial"/>
          <w:sz w:val="16"/>
          <w:szCs w:val="16"/>
          <w:shd w:val="clear" w:color="auto" w:fill="FFFFFF"/>
          <w:lang w:val="pt-BR"/>
        </w:rPr>
        <w:t xml:space="preserve">, </w:t>
      </w:r>
      <w:r w:rsidRPr="0038442F">
        <w:rPr>
          <w:rFonts w:ascii="Verdana" w:hAnsi="Verdana"/>
          <w:sz w:val="16"/>
          <w:szCs w:val="16"/>
          <w:lang w:val="pt-BR"/>
        </w:rPr>
        <w:t xml:space="preserve">par. 104; </w:t>
      </w:r>
      <w:r w:rsidRPr="0038442F">
        <w:rPr>
          <w:rFonts w:ascii="Verdana" w:hAnsi="Verdana" w:cs="Arial"/>
          <w:i/>
          <w:iCs/>
          <w:sz w:val="16"/>
          <w:szCs w:val="16"/>
          <w:shd w:val="clear" w:color="auto" w:fill="FFFFFF"/>
          <w:lang w:val="pt-BR"/>
        </w:rPr>
        <w:t>Caso Comunidade Indígena Xákmok Kásek Vs. Paraguai, supra</w:t>
      </w:r>
      <w:r w:rsidRPr="0038442F">
        <w:rPr>
          <w:rFonts w:ascii="Verdana" w:hAnsi="Verdana" w:cs="Arial"/>
          <w:sz w:val="16"/>
          <w:szCs w:val="16"/>
          <w:shd w:val="clear" w:color="auto" w:fill="FFFFFF"/>
          <w:lang w:val="pt-BR"/>
        </w:rPr>
        <w:t xml:space="preserve">, par. 271; </w:t>
      </w:r>
      <w:r w:rsidRPr="0038442F">
        <w:rPr>
          <w:rFonts w:ascii="Verdana" w:hAnsi="Verdana" w:cs="Verdana"/>
          <w:i/>
          <w:sz w:val="16"/>
          <w:szCs w:val="16"/>
          <w:lang w:val="pt-BR"/>
        </w:rPr>
        <w:t>Caso Atala Riffo e crianças Vs. Chile, supra</w:t>
      </w:r>
      <w:r w:rsidRPr="0038442F">
        <w:rPr>
          <w:rFonts w:ascii="Verdana" w:hAnsi="Verdana" w:cs="Verdana"/>
          <w:sz w:val="16"/>
          <w:szCs w:val="16"/>
          <w:lang w:val="pt-BR"/>
        </w:rPr>
        <w:t xml:space="preserve">, par. 80; </w:t>
      </w:r>
      <w:r w:rsidRPr="0038442F">
        <w:rPr>
          <w:rFonts w:ascii="Verdana" w:hAnsi="Verdana" w:cs="Verdana"/>
          <w:i/>
          <w:sz w:val="16"/>
          <w:szCs w:val="16"/>
          <w:lang w:val="pt-BR"/>
        </w:rPr>
        <w:t>Caso Nadege Dorzema e outros Vs. República Dominicana, supra</w:t>
      </w:r>
      <w:r w:rsidRPr="0038442F">
        <w:rPr>
          <w:rFonts w:ascii="Verdana" w:hAnsi="Verdana" w:cs="Verdana"/>
          <w:sz w:val="16"/>
          <w:szCs w:val="16"/>
          <w:lang w:val="pt-BR"/>
        </w:rPr>
        <w:t xml:space="preserve">, par. 236; </w:t>
      </w:r>
      <w:r w:rsidRPr="0038442F">
        <w:rPr>
          <w:rFonts w:ascii="Verdana" w:hAnsi="Verdana" w:cs="Arial"/>
          <w:i/>
          <w:iCs/>
          <w:sz w:val="16"/>
          <w:szCs w:val="16"/>
          <w:shd w:val="clear" w:color="auto" w:fill="FFFFFF"/>
          <w:lang w:val="pt-BR"/>
        </w:rPr>
        <w:t>Caso Norín Catrimán e outros (Dirigentes, Membros e Ativista do Povo Indígena Mapuche) Vs. Chile. Mérito, Reparações e Custas</w:t>
      </w:r>
      <w:r w:rsidRPr="0038442F">
        <w:rPr>
          <w:rFonts w:ascii="Verdana" w:hAnsi="Verdana" w:cs="Arial"/>
          <w:sz w:val="16"/>
          <w:szCs w:val="16"/>
          <w:shd w:val="clear" w:color="auto" w:fill="FFFFFF"/>
          <w:lang w:val="pt-BR"/>
        </w:rPr>
        <w:t>. Sentença de 29 de maio de 2014.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279, par. 201; </w:t>
      </w:r>
      <w:r w:rsidRPr="0038442F">
        <w:rPr>
          <w:rFonts w:ascii="Verdana" w:hAnsi="Verdana" w:cs="Arial"/>
          <w:i/>
          <w:iCs/>
          <w:sz w:val="16"/>
          <w:szCs w:val="16"/>
          <w:shd w:val="clear" w:color="auto" w:fill="FFFFFF"/>
          <w:lang w:val="pt-BR"/>
        </w:rPr>
        <w:t>Caso Espinoza Gonzáles Vs. Peru. Exceções Preliminares, Mérito, Reparações e Custas</w:t>
      </w:r>
      <w:r w:rsidRPr="0038442F">
        <w:rPr>
          <w:rFonts w:ascii="Verdana" w:hAnsi="Verdana" w:cs="Arial"/>
          <w:sz w:val="16"/>
          <w:szCs w:val="16"/>
          <w:shd w:val="clear" w:color="auto" w:fill="FFFFFF"/>
          <w:lang w:val="pt-BR"/>
        </w:rPr>
        <w:t>. Sentença de 20 de novembro de 2014.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289, par. 220; </w:t>
      </w:r>
      <w:r w:rsidRPr="0038442F">
        <w:rPr>
          <w:rFonts w:ascii="Verdana" w:hAnsi="Verdana" w:cs="Arial"/>
          <w:i/>
          <w:iCs/>
          <w:sz w:val="16"/>
          <w:szCs w:val="16"/>
          <w:shd w:val="clear" w:color="auto" w:fill="FFFFFF"/>
          <w:lang w:val="pt-BR"/>
        </w:rPr>
        <w:t>Caso Duque Vs. Colômbia</w:t>
      </w:r>
      <w:r w:rsidRPr="0038442F">
        <w:rPr>
          <w:rFonts w:ascii="Verdana" w:hAnsi="Verdana" w:cs="Arial"/>
          <w:sz w:val="16"/>
          <w:szCs w:val="16"/>
          <w:shd w:val="clear" w:color="auto" w:fill="FFFFFF"/>
          <w:lang w:val="pt-BR"/>
        </w:rPr>
        <w:t xml:space="preserve">, </w:t>
      </w:r>
      <w:r w:rsidRPr="0038442F">
        <w:rPr>
          <w:rFonts w:ascii="Verdana" w:hAnsi="Verdana" w:cs="Arial"/>
          <w:i/>
          <w:iCs/>
          <w:sz w:val="16"/>
          <w:szCs w:val="16"/>
          <w:shd w:val="clear" w:color="auto" w:fill="FFFFFF"/>
          <w:lang w:val="pt-BR"/>
        </w:rPr>
        <w:t>supra</w:t>
      </w:r>
      <w:r w:rsidRPr="0038442F">
        <w:rPr>
          <w:rFonts w:ascii="Verdana" w:hAnsi="Verdana" w:cs="Arial"/>
          <w:sz w:val="16"/>
          <w:szCs w:val="16"/>
          <w:shd w:val="clear" w:color="auto" w:fill="FFFFFF"/>
          <w:lang w:val="pt-BR"/>
        </w:rPr>
        <w:t xml:space="preserve">, par. 92; </w:t>
      </w:r>
      <w:r w:rsidRPr="0038442F">
        <w:rPr>
          <w:rFonts w:ascii="Verdana" w:hAnsi="Verdana"/>
          <w:sz w:val="16"/>
          <w:szCs w:val="16"/>
          <w:lang w:val="pt-BR"/>
        </w:rPr>
        <w:t xml:space="preserve">e Caso </w:t>
      </w:r>
      <w:r w:rsidRPr="0038442F">
        <w:rPr>
          <w:rFonts w:ascii="Verdana" w:hAnsi="Verdana" w:cs="Arial"/>
          <w:i/>
          <w:iCs/>
          <w:sz w:val="16"/>
          <w:szCs w:val="16"/>
          <w:shd w:val="clear" w:color="auto" w:fill="FFFFFF"/>
          <w:lang w:val="pt-BR"/>
        </w:rPr>
        <w:t>Trabalhadores da Fazenda Brasil Verde Vs. Brasil, supra</w:t>
      </w:r>
      <w:r w:rsidRPr="0038442F">
        <w:rPr>
          <w:rFonts w:ascii="Verdana" w:hAnsi="Verdana" w:cs="Arial"/>
          <w:sz w:val="16"/>
          <w:szCs w:val="16"/>
          <w:shd w:val="clear" w:color="auto" w:fill="FFFFFF"/>
          <w:lang w:val="pt-BR"/>
        </w:rPr>
        <w:t xml:space="preserve">, </w:t>
      </w:r>
      <w:r w:rsidRPr="0038442F">
        <w:rPr>
          <w:rFonts w:ascii="Verdana" w:hAnsi="Verdana"/>
          <w:sz w:val="16"/>
          <w:szCs w:val="16"/>
          <w:lang w:val="pt-BR"/>
        </w:rPr>
        <w:t>par. 336.</w:t>
      </w:r>
    </w:p>
  </w:footnote>
  <w:footnote w:id="160">
    <w:p w14:paraId="09BD4E62" w14:textId="4B4D3DF6"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183. </w:t>
      </w:r>
    </w:p>
  </w:footnote>
  <w:footnote w:id="161">
    <w:p w14:paraId="3E74B063" w14:textId="01B53BAA" w:rsidR="00252907" w:rsidRPr="0038442F" w:rsidRDefault="00252907" w:rsidP="000777E8">
      <w:pPr>
        <w:autoSpaceDE w:val="0"/>
        <w:autoSpaceDN w:val="0"/>
        <w:adjustRightInd w:val="0"/>
        <w:snapToGrid w:val="0"/>
        <w:jc w:val="both"/>
        <w:rPr>
          <w:rFonts w:ascii="Verdana" w:eastAsiaTheme="minorHAnsi" w:hAnsi="Verdana"/>
          <w:sz w:val="16"/>
          <w:szCs w:val="16"/>
          <w:lang w:val="pt-BR" w:eastAsia="en-US"/>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eastAsiaTheme="minorHAnsi" w:hAnsi="Verdana"/>
          <w:sz w:val="16"/>
          <w:szCs w:val="16"/>
          <w:lang w:val="pt-BR" w:eastAsia="en-US"/>
        </w:rPr>
        <w:t>CIDH. “Acesso à justiça para as mulheres vítimas de violência nas Américas”. OEA/Ser.L/V/II, Doc. 68, 20 janeiro de 2007, par. 99.</w:t>
      </w:r>
      <w:r w:rsidRPr="0038442F">
        <w:rPr>
          <w:rFonts w:ascii="Verdana" w:hAnsi="Verdana"/>
          <w:sz w:val="16"/>
          <w:szCs w:val="16"/>
          <w:lang w:val="pt-BR"/>
        </w:rPr>
        <w:t xml:space="preserve"> No referido relatório (nota de rodapé, p. 136), a Comissão Interamericana se apoia em Young, Iris Marion,</w:t>
      </w:r>
      <w:r w:rsidRPr="0038442F">
        <w:rPr>
          <w:rStyle w:val="apple-converted-space"/>
          <w:rFonts w:ascii="Verdana" w:hAnsi="Verdana"/>
          <w:sz w:val="16"/>
          <w:szCs w:val="16"/>
          <w:lang w:val="pt-BR"/>
        </w:rPr>
        <w:t> </w:t>
      </w:r>
      <w:r w:rsidRPr="0038442F">
        <w:rPr>
          <w:rFonts w:ascii="Verdana" w:hAnsi="Verdana"/>
          <w:i/>
          <w:iCs/>
          <w:sz w:val="16"/>
          <w:szCs w:val="16"/>
          <w:lang w:val="pt-BR"/>
        </w:rPr>
        <w:t>Justice and the Politics of Difference</w:t>
      </w:r>
      <w:r w:rsidRPr="0038442F">
        <w:rPr>
          <w:rFonts w:ascii="Verdana" w:hAnsi="Verdana"/>
          <w:sz w:val="16"/>
          <w:szCs w:val="16"/>
          <w:lang w:val="pt-BR"/>
        </w:rPr>
        <w:t>, Princeton University Press, 1990; Ferrajoli, Luis,</w:t>
      </w:r>
      <w:r w:rsidRPr="0038442F">
        <w:rPr>
          <w:rStyle w:val="apple-converted-space"/>
          <w:rFonts w:ascii="Verdana" w:hAnsi="Verdana"/>
          <w:sz w:val="16"/>
          <w:szCs w:val="16"/>
          <w:lang w:val="pt-BR"/>
        </w:rPr>
        <w:t> “</w:t>
      </w:r>
      <w:r w:rsidRPr="0038442F">
        <w:rPr>
          <w:rFonts w:ascii="Verdana" w:hAnsi="Verdana"/>
          <w:iCs/>
          <w:sz w:val="16"/>
          <w:szCs w:val="16"/>
          <w:lang w:val="pt-BR"/>
        </w:rPr>
        <w:t>Igualdade e Diferença”</w:t>
      </w:r>
      <w:r w:rsidRPr="0038442F">
        <w:rPr>
          <w:rFonts w:ascii="Verdana" w:hAnsi="Verdana"/>
          <w:sz w:val="16"/>
          <w:szCs w:val="16"/>
          <w:lang w:val="pt-BR"/>
        </w:rPr>
        <w:t>, em</w:t>
      </w:r>
      <w:r w:rsidRPr="0038442F">
        <w:rPr>
          <w:rStyle w:val="apple-converted-space"/>
          <w:rFonts w:ascii="Verdana" w:hAnsi="Verdana"/>
          <w:sz w:val="16"/>
          <w:szCs w:val="16"/>
          <w:lang w:val="pt-BR"/>
        </w:rPr>
        <w:t> </w:t>
      </w:r>
      <w:r w:rsidRPr="0038442F">
        <w:rPr>
          <w:rFonts w:ascii="Verdana" w:hAnsi="Verdana"/>
          <w:i/>
          <w:iCs/>
          <w:sz w:val="16"/>
          <w:szCs w:val="16"/>
          <w:lang w:val="pt-BR"/>
        </w:rPr>
        <w:t>Direitos e Garantias. A lei do mais fraco,</w:t>
      </w:r>
      <w:r w:rsidRPr="0038442F">
        <w:rPr>
          <w:rStyle w:val="apple-converted-space"/>
          <w:rFonts w:ascii="Verdana" w:hAnsi="Verdana"/>
          <w:i/>
          <w:iCs/>
          <w:sz w:val="16"/>
          <w:szCs w:val="16"/>
          <w:lang w:val="pt-BR"/>
        </w:rPr>
        <w:t> </w:t>
      </w:r>
      <w:r w:rsidRPr="0038442F">
        <w:rPr>
          <w:rStyle w:val="apple-converted-space"/>
          <w:rFonts w:ascii="Verdana" w:hAnsi="Verdana"/>
          <w:iCs/>
          <w:sz w:val="16"/>
          <w:szCs w:val="16"/>
          <w:lang w:val="pt-BR"/>
        </w:rPr>
        <w:t xml:space="preserve">Madri, </w:t>
      </w:r>
      <w:r w:rsidRPr="0038442F">
        <w:rPr>
          <w:rFonts w:ascii="Verdana" w:hAnsi="Verdana"/>
          <w:sz w:val="16"/>
          <w:szCs w:val="16"/>
          <w:lang w:val="pt-BR"/>
        </w:rPr>
        <w:t>Editorial Trota, 1999, p. 73-96; Barrere Unzueta, María Ángeles,</w:t>
      </w:r>
      <w:r w:rsidRPr="0038442F">
        <w:rPr>
          <w:rStyle w:val="apple-converted-space"/>
          <w:rFonts w:ascii="Verdana" w:hAnsi="Verdana"/>
          <w:sz w:val="16"/>
          <w:szCs w:val="16"/>
          <w:lang w:val="pt-BR"/>
        </w:rPr>
        <w:t> </w:t>
      </w:r>
      <w:r w:rsidRPr="0038442F">
        <w:rPr>
          <w:rFonts w:ascii="Verdana" w:hAnsi="Verdana"/>
          <w:i/>
          <w:iCs/>
          <w:sz w:val="16"/>
          <w:szCs w:val="16"/>
          <w:lang w:val="pt-BR"/>
        </w:rPr>
        <w:t>Discriminação, direito antidiscriminatório e ação positiva em favor das mulheres</w:t>
      </w:r>
      <w:r w:rsidRPr="0038442F">
        <w:rPr>
          <w:rFonts w:ascii="Verdana" w:hAnsi="Verdana"/>
          <w:sz w:val="16"/>
          <w:szCs w:val="16"/>
          <w:lang w:val="pt-BR"/>
        </w:rPr>
        <w:t xml:space="preserve">, Madri, Civitas, 1997; </w:t>
      </w:r>
      <w:r w:rsidRPr="0038442F">
        <w:rPr>
          <w:rFonts w:ascii="Verdana" w:hAnsi="Verdana"/>
          <w:i/>
          <w:iCs/>
          <w:sz w:val="16"/>
          <w:szCs w:val="16"/>
          <w:lang w:val="pt-BR"/>
        </w:rPr>
        <w:t>Igualdade e discriminação positiva: um esboço de análise conceitual</w:t>
      </w:r>
      <w:r w:rsidRPr="0038442F">
        <w:rPr>
          <w:rFonts w:ascii="Verdana" w:hAnsi="Verdana"/>
          <w:sz w:val="16"/>
          <w:szCs w:val="16"/>
          <w:lang w:val="pt-BR"/>
        </w:rPr>
        <w:t>; Fiss, Owen,</w:t>
      </w:r>
      <w:r w:rsidRPr="0038442F">
        <w:rPr>
          <w:rStyle w:val="apple-converted-space"/>
          <w:rFonts w:ascii="Verdana" w:hAnsi="Verdana"/>
          <w:sz w:val="16"/>
          <w:szCs w:val="16"/>
          <w:lang w:val="pt-BR"/>
        </w:rPr>
        <w:t> “</w:t>
      </w:r>
      <w:r w:rsidRPr="0038442F">
        <w:rPr>
          <w:rFonts w:ascii="Verdana" w:hAnsi="Verdana"/>
          <w:iCs/>
          <w:sz w:val="16"/>
          <w:szCs w:val="16"/>
          <w:lang w:val="pt-BR"/>
        </w:rPr>
        <w:t>Another Equality”</w:t>
      </w:r>
      <w:r w:rsidRPr="0038442F">
        <w:rPr>
          <w:rFonts w:ascii="Verdana" w:hAnsi="Verdana"/>
          <w:sz w:val="16"/>
          <w:szCs w:val="16"/>
          <w:lang w:val="pt-BR"/>
        </w:rPr>
        <w:t>, e</w:t>
      </w:r>
      <w:r w:rsidRPr="0038442F">
        <w:rPr>
          <w:rStyle w:val="apple-converted-space"/>
          <w:rFonts w:ascii="Verdana" w:hAnsi="Verdana"/>
          <w:sz w:val="16"/>
          <w:szCs w:val="16"/>
          <w:lang w:val="pt-BR"/>
        </w:rPr>
        <w:t> “</w:t>
      </w:r>
      <w:r w:rsidRPr="0038442F">
        <w:rPr>
          <w:rFonts w:ascii="Verdana" w:hAnsi="Verdana"/>
          <w:iCs/>
          <w:sz w:val="16"/>
          <w:szCs w:val="16"/>
          <w:lang w:val="pt-BR"/>
        </w:rPr>
        <w:t>Grupos e a cláusula de igual proteção”</w:t>
      </w:r>
      <w:r w:rsidRPr="0038442F">
        <w:rPr>
          <w:rFonts w:ascii="Verdana" w:hAnsi="Verdana"/>
          <w:sz w:val="16"/>
          <w:szCs w:val="16"/>
          <w:lang w:val="pt-BR"/>
        </w:rPr>
        <w:t>, em Gargarella, Roberto (comp),</w:t>
      </w:r>
      <w:r w:rsidRPr="0038442F">
        <w:rPr>
          <w:rStyle w:val="apple-converted-space"/>
          <w:rFonts w:ascii="Verdana" w:hAnsi="Verdana"/>
          <w:sz w:val="16"/>
          <w:szCs w:val="16"/>
          <w:lang w:val="pt-BR"/>
        </w:rPr>
        <w:t> </w:t>
      </w:r>
      <w:r w:rsidRPr="0038442F">
        <w:rPr>
          <w:rFonts w:ascii="Verdana" w:hAnsi="Verdana"/>
          <w:i/>
          <w:iCs/>
          <w:sz w:val="16"/>
          <w:szCs w:val="16"/>
          <w:lang w:val="pt-BR"/>
        </w:rPr>
        <w:t>Direito e grupos em desvantagem</w:t>
      </w:r>
      <w:r w:rsidRPr="0038442F">
        <w:rPr>
          <w:rFonts w:ascii="Verdana" w:hAnsi="Verdana"/>
          <w:sz w:val="16"/>
          <w:szCs w:val="16"/>
          <w:lang w:val="pt-BR"/>
        </w:rPr>
        <w:t>, Gedisa, Barcelona, 1999, p. 137-168.</w:t>
      </w:r>
    </w:p>
  </w:footnote>
  <w:footnote w:id="162">
    <w:p w14:paraId="1D9F94F1" w14:textId="590DAA70" w:rsidR="00252907" w:rsidRPr="0038442F" w:rsidRDefault="00252907" w:rsidP="000777E8">
      <w:pPr>
        <w:pStyle w:val="NormalWeb"/>
        <w:snapToGrid w:val="0"/>
        <w:spacing w:before="0" w:beforeAutospacing="0" w:after="0" w:afterAutospacing="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Calibri"/>
          <w:sz w:val="16"/>
          <w:szCs w:val="16"/>
          <w:lang w:val="pt-BR"/>
        </w:rPr>
        <w:t xml:space="preserve">CIDH, Relatório sobre a </w:t>
      </w:r>
      <w:r w:rsidRPr="0038442F">
        <w:rPr>
          <w:rFonts w:ascii="Verdana" w:hAnsi="Verdana" w:cs="Calibri"/>
          <w:i/>
          <w:iCs/>
          <w:sz w:val="16"/>
          <w:szCs w:val="16"/>
          <w:lang w:val="pt-BR"/>
        </w:rPr>
        <w:t>situação dos direitos humanos no Equador 1997</w:t>
      </w:r>
      <w:r w:rsidRPr="0038442F">
        <w:rPr>
          <w:rFonts w:ascii="Verdana" w:hAnsi="Verdana" w:cs="Calibri"/>
          <w:sz w:val="16"/>
          <w:szCs w:val="16"/>
          <w:lang w:val="pt-BR"/>
        </w:rPr>
        <w:t>, Capítulo II. B, Garantias Jurídicas e Institucionais na República do Equador.</w:t>
      </w:r>
    </w:p>
  </w:footnote>
  <w:footnote w:id="163">
    <w:p w14:paraId="0E21A643" w14:textId="6D4EEAC5"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t>Ver Le Saux, Marianne Gonzáles e Parra Vera, Óscar, “</w:t>
      </w:r>
      <w:r w:rsidRPr="0038442F">
        <w:rPr>
          <w:rStyle w:val="titulo"/>
          <w:rFonts w:ascii="Verdana" w:hAnsi="Verdana" w:cs="Arial"/>
          <w:iCs/>
          <w:sz w:val="16"/>
          <w:szCs w:val="16"/>
          <w:bdr w:val="none" w:sz="0" w:space="0" w:color="auto" w:frame="1"/>
          <w:lang w:val="pt-BR"/>
        </w:rPr>
        <w:t>Concepções e claúsulas de igualdade na jurisprudência da Corte Interamericana</w:t>
      </w:r>
      <w:r w:rsidRPr="0038442F">
        <w:rPr>
          <w:rStyle w:val="subtitulo"/>
          <w:rFonts w:ascii="Verdana" w:hAnsi="Verdana" w:cs="Arial"/>
          <w:iCs/>
          <w:sz w:val="16"/>
          <w:szCs w:val="16"/>
          <w:bdr w:val="none" w:sz="0" w:space="0" w:color="auto" w:frame="1"/>
          <w:lang w:val="pt-BR"/>
        </w:rPr>
        <w:t xml:space="preserve">: a propósito do </w:t>
      </w:r>
      <w:r w:rsidRPr="0038442F">
        <w:rPr>
          <w:rStyle w:val="subtitulo"/>
          <w:rFonts w:ascii="Verdana" w:hAnsi="Verdana" w:cs="Arial"/>
          <w:i/>
          <w:iCs/>
          <w:sz w:val="16"/>
          <w:szCs w:val="16"/>
          <w:bdr w:val="none" w:sz="0" w:space="0" w:color="auto" w:frame="1"/>
          <w:lang w:val="pt-BR"/>
        </w:rPr>
        <w:t xml:space="preserve">Caso </w:t>
      </w:r>
      <w:r w:rsidRPr="0038442F">
        <w:rPr>
          <w:rStyle w:val="subtitulo"/>
          <w:rFonts w:ascii="Verdana" w:hAnsi="Verdana" w:cs="Arial"/>
          <w:iCs/>
          <w:sz w:val="16"/>
          <w:szCs w:val="16"/>
          <w:bdr w:val="none" w:sz="0" w:space="0" w:color="auto" w:frame="1"/>
          <w:lang w:val="pt-BR"/>
        </w:rPr>
        <w:t>Apitz”</w:t>
      </w:r>
      <w:r w:rsidRPr="0038442F">
        <w:rPr>
          <w:rStyle w:val="subtitulo"/>
          <w:rFonts w:ascii="Verdana" w:hAnsi="Verdana" w:cs="Arial"/>
          <w:sz w:val="16"/>
          <w:szCs w:val="16"/>
          <w:bdr w:val="none" w:sz="0" w:space="0" w:color="auto" w:frame="1"/>
          <w:lang w:val="pt-BR"/>
        </w:rPr>
        <w:t xml:space="preserve">, em </w:t>
      </w:r>
      <w:r w:rsidRPr="0038442F">
        <w:rPr>
          <w:rStyle w:val="Textoennegrita"/>
          <w:rFonts w:ascii="Verdana" w:hAnsi="Verdana" w:cs="Arial"/>
          <w:b w:val="0"/>
          <w:bCs w:val="0"/>
          <w:i/>
          <w:sz w:val="16"/>
          <w:szCs w:val="16"/>
          <w:bdr w:val="none" w:sz="0" w:space="0" w:color="auto" w:frame="1"/>
          <w:lang w:val="pt-BR"/>
        </w:rPr>
        <w:t>Revista do Instituto Interamericano de Direitos Humanos</w:t>
      </w:r>
      <w:r w:rsidRPr="0038442F">
        <w:rPr>
          <w:rStyle w:val="Textoennegrita"/>
          <w:rFonts w:ascii="Verdana" w:hAnsi="Verdana" w:cs="Arial"/>
          <w:b w:val="0"/>
          <w:bCs w:val="0"/>
          <w:sz w:val="16"/>
          <w:szCs w:val="16"/>
          <w:bdr w:val="none" w:sz="0" w:space="0" w:color="auto" w:frame="1"/>
          <w:lang w:val="pt-BR"/>
        </w:rPr>
        <w:t>, San José, Instituto Interamericano de Direitos Humanos, N</w:t>
      </w:r>
      <w:r w:rsidRPr="0038442F">
        <w:rPr>
          <w:rStyle w:val="Textoennegrita"/>
          <w:rFonts w:ascii="Verdana" w:hAnsi="Verdana" w:cs="Arial"/>
          <w:b w:val="0"/>
          <w:bCs w:val="0"/>
          <w:sz w:val="16"/>
          <w:szCs w:val="16"/>
          <w:bdr w:val="none" w:sz="0" w:space="0" w:color="auto" w:frame="1"/>
          <w:vertAlign w:val="superscript"/>
          <w:lang w:val="pt-BR"/>
        </w:rPr>
        <w:t>o.</w:t>
      </w:r>
      <w:r w:rsidRPr="0038442F">
        <w:rPr>
          <w:rStyle w:val="Textoennegrita"/>
          <w:rFonts w:ascii="Verdana" w:hAnsi="Verdana" w:cs="Arial"/>
          <w:b w:val="0"/>
          <w:bCs w:val="0"/>
          <w:sz w:val="16"/>
          <w:szCs w:val="16"/>
          <w:bdr w:val="none" w:sz="0" w:space="0" w:color="auto" w:frame="1"/>
          <w:lang w:val="pt-BR"/>
        </w:rPr>
        <w:t xml:space="preserve"> 47, 2008,</w:t>
      </w:r>
      <w:r w:rsidRPr="0038442F">
        <w:rPr>
          <w:rFonts w:ascii="Verdana" w:hAnsi="Verdana" w:cs="Arial"/>
          <w:sz w:val="16"/>
          <w:szCs w:val="16"/>
          <w:bdr w:val="none" w:sz="0" w:space="0" w:color="auto" w:frame="1"/>
          <w:lang w:val="pt-BR"/>
        </w:rPr>
        <w:t xml:space="preserve"> p.</w:t>
      </w:r>
      <w:r w:rsidRPr="0038442F">
        <w:rPr>
          <w:rFonts w:ascii="Verdana" w:hAnsi="Verdana"/>
          <w:sz w:val="16"/>
          <w:szCs w:val="16"/>
          <w:lang w:val="pt-BR"/>
        </w:rPr>
        <w:t xml:space="preserve"> 147. </w:t>
      </w:r>
    </w:p>
  </w:footnote>
  <w:footnote w:id="164">
    <w:p w14:paraId="3BF42178" w14:textId="0F0C1711" w:rsidR="00252907" w:rsidRPr="0038442F" w:rsidRDefault="00252907" w:rsidP="000777E8">
      <w:pPr>
        <w:autoSpaceDE w:val="0"/>
        <w:autoSpaceDN w:val="0"/>
        <w:adjustRightInd w:val="0"/>
        <w:snapToGrid w:val="0"/>
        <w:jc w:val="both"/>
        <w:rPr>
          <w:rFonts w:ascii="Verdana" w:eastAsiaTheme="minorHAnsi" w:hAnsi="Verdana"/>
          <w:sz w:val="16"/>
          <w:szCs w:val="16"/>
          <w:lang w:val="pt-BR" w:eastAsia="en-US"/>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cs="Times"/>
          <w:i/>
          <w:sz w:val="16"/>
          <w:szCs w:val="16"/>
          <w:lang w:val="pt-BR"/>
        </w:rPr>
        <w:t xml:space="preserve">Cf. </w:t>
      </w:r>
      <w:r w:rsidRPr="0038442F">
        <w:rPr>
          <w:rFonts w:ascii="Verdana" w:hAnsi="Verdana" w:cs="Times"/>
          <w:sz w:val="16"/>
          <w:szCs w:val="16"/>
          <w:lang w:val="pt-BR"/>
        </w:rPr>
        <w:t xml:space="preserve">Saba, Roberto, </w:t>
      </w:r>
      <w:r w:rsidRPr="0038442F">
        <w:rPr>
          <w:rFonts w:ascii="Verdana" w:hAnsi="Verdana" w:cs="Times"/>
          <w:i/>
          <w:sz w:val="16"/>
          <w:szCs w:val="16"/>
          <w:lang w:val="pt-BR"/>
        </w:rPr>
        <w:t xml:space="preserve">Pobreza, direitos humanos e desigualdade estrutural, </w:t>
      </w:r>
      <w:r w:rsidRPr="0038442F">
        <w:rPr>
          <w:rFonts w:ascii="Verdana" w:hAnsi="Verdana" w:cs="Times"/>
          <w:sz w:val="16"/>
          <w:szCs w:val="16"/>
          <w:lang w:val="pt-BR"/>
        </w:rPr>
        <w:t xml:space="preserve">México, Suprema Corte de Justiça da Nação-Tribunal Eleitoral do Poder Judiciário da Federação-Instituto Eleitoral do Distrito Federal, 2012, p. 46 e ss.; e </w:t>
      </w:r>
      <w:r w:rsidRPr="0038442F">
        <w:rPr>
          <w:rFonts w:ascii="Verdana" w:hAnsi="Verdana"/>
          <w:sz w:val="16"/>
          <w:szCs w:val="16"/>
          <w:lang w:val="pt-BR"/>
        </w:rPr>
        <w:t>Fiss, Owen,</w:t>
      </w:r>
      <w:r w:rsidRPr="0038442F">
        <w:rPr>
          <w:rStyle w:val="apple-converted-space"/>
          <w:rFonts w:ascii="Verdana" w:hAnsi="Verdana"/>
          <w:sz w:val="16"/>
          <w:szCs w:val="16"/>
          <w:lang w:val="pt-BR"/>
        </w:rPr>
        <w:t xml:space="preserve"> ver diferentes trabalhos referentes a g</w:t>
      </w:r>
      <w:r w:rsidRPr="0038442F">
        <w:rPr>
          <w:rFonts w:ascii="Verdana" w:hAnsi="Verdana"/>
          <w:iCs/>
          <w:sz w:val="16"/>
          <w:szCs w:val="16"/>
          <w:lang w:val="pt-BR"/>
        </w:rPr>
        <w:t>rupos e à cláusula de igual proteção</w:t>
      </w:r>
      <w:r w:rsidRPr="0038442F">
        <w:rPr>
          <w:rFonts w:ascii="Verdana" w:hAnsi="Verdana"/>
          <w:sz w:val="16"/>
          <w:szCs w:val="16"/>
          <w:lang w:val="pt-BR"/>
        </w:rPr>
        <w:t xml:space="preserve">, em </w:t>
      </w:r>
      <w:r w:rsidRPr="0038442F">
        <w:rPr>
          <w:rFonts w:ascii="Verdana" w:hAnsi="Verdana"/>
          <w:i/>
          <w:sz w:val="16"/>
          <w:szCs w:val="16"/>
          <w:lang w:val="pt-BR"/>
        </w:rPr>
        <w:t xml:space="preserve">Gargarella, Roberto </w:t>
      </w:r>
      <w:r w:rsidRPr="0038442F">
        <w:rPr>
          <w:rFonts w:ascii="Verdana" w:hAnsi="Verdana"/>
          <w:sz w:val="16"/>
          <w:szCs w:val="16"/>
          <w:lang w:val="pt-BR"/>
        </w:rPr>
        <w:t>(comp.),</w:t>
      </w:r>
      <w:r w:rsidRPr="0038442F">
        <w:rPr>
          <w:rStyle w:val="apple-converted-space"/>
          <w:rFonts w:ascii="Verdana" w:hAnsi="Verdana"/>
          <w:sz w:val="16"/>
          <w:szCs w:val="16"/>
          <w:lang w:val="pt-BR"/>
        </w:rPr>
        <w:t> </w:t>
      </w:r>
      <w:r w:rsidRPr="0038442F">
        <w:rPr>
          <w:rFonts w:ascii="Verdana" w:hAnsi="Verdana"/>
          <w:i/>
          <w:iCs/>
          <w:sz w:val="16"/>
          <w:szCs w:val="16"/>
          <w:lang w:val="pt-BR"/>
        </w:rPr>
        <w:t>Direito e grupos em desvantagem</w:t>
      </w:r>
      <w:r w:rsidRPr="0038442F">
        <w:rPr>
          <w:rFonts w:ascii="Verdana" w:hAnsi="Verdana"/>
          <w:sz w:val="16"/>
          <w:szCs w:val="16"/>
          <w:lang w:val="pt-BR"/>
        </w:rPr>
        <w:t>, Gedisa, Barcelona, 1999, p. 137-168.</w:t>
      </w:r>
    </w:p>
  </w:footnote>
  <w:footnote w:id="165">
    <w:p w14:paraId="1FB4DD3A" w14:textId="0BA6F32D"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ab/>
      </w:r>
      <w:r w:rsidRPr="0038442F">
        <w:rPr>
          <w:rFonts w:ascii="Verdana" w:hAnsi="Verdana" w:cs="Vrinda"/>
          <w:i/>
          <w:sz w:val="16"/>
          <w:szCs w:val="16"/>
          <w:lang w:val="pt-BR"/>
        </w:rPr>
        <w:t xml:space="preserve">Cf. </w:t>
      </w:r>
      <w:r w:rsidRPr="0038442F">
        <w:rPr>
          <w:rFonts w:ascii="Verdana" w:hAnsi="Verdana" w:cs="Arial"/>
          <w:i/>
          <w:iCs/>
          <w:sz w:val="16"/>
          <w:szCs w:val="16"/>
          <w:shd w:val="clear" w:color="auto" w:fill="FFFFFF"/>
          <w:lang w:val="pt-BR"/>
        </w:rPr>
        <w:t>Caso Furlán e familiares Vs. Argentina. Exceções Preliminares, Mérito, Reparações e Custas</w:t>
      </w:r>
      <w:r w:rsidRPr="0038442F">
        <w:rPr>
          <w:rFonts w:ascii="Verdana" w:hAnsi="Verdana" w:cs="Arial"/>
          <w:sz w:val="16"/>
          <w:szCs w:val="16"/>
          <w:shd w:val="clear" w:color="auto" w:fill="FFFFFF"/>
          <w:lang w:val="pt-BR"/>
        </w:rPr>
        <w:t>. Sentença de 31 de agosto de 2012. Série C N</w:t>
      </w:r>
      <w:r w:rsidRPr="0038442F">
        <w:rPr>
          <w:rFonts w:ascii="Verdana" w:hAnsi="Verdana" w:cs="Arial"/>
          <w:sz w:val="16"/>
          <w:szCs w:val="16"/>
          <w:shd w:val="clear" w:color="auto" w:fill="FFFFFF"/>
          <w:vertAlign w:val="superscript"/>
          <w:lang w:val="pt-BR"/>
        </w:rPr>
        <w:t>o.</w:t>
      </w:r>
      <w:r w:rsidRPr="0038442F">
        <w:rPr>
          <w:rFonts w:ascii="Verdana" w:hAnsi="Verdana" w:cs="Arial"/>
          <w:sz w:val="16"/>
          <w:szCs w:val="16"/>
          <w:shd w:val="clear" w:color="auto" w:fill="FFFFFF"/>
          <w:lang w:val="pt-BR"/>
        </w:rPr>
        <w:t xml:space="preserve"> 246, par. </w:t>
      </w:r>
      <w:r w:rsidRPr="0038442F">
        <w:rPr>
          <w:rFonts w:ascii="Verdana" w:hAnsi="Verdana"/>
          <w:sz w:val="16"/>
          <w:szCs w:val="16"/>
          <w:lang w:val="pt-BR"/>
        </w:rPr>
        <w:t xml:space="preserve">267. </w:t>
      </w:r>
    </w:p>
  </w:footnote>
  <w:footnote w:id="166">
    <w:p w14:paraId="7897AB5F" w14:textId="0F3BC760" w:rsidR="00252907" w:rsidRPr="0038442F" w:rsidRDefault="00252907" w:rsidP="000777E8">
      <w:pPr>
        <w:pStyle w:val="Textonotapie"/>
        <w:tabs>
          <w:tab w:val="right" w:pos="0"/>
        </w:tabs>
        <w:snapToGrid w:val="0"/>
        <w:jc w:val="both"/>
        <w:rPr>
          <w:rFonts w:ascii="Verdana" w:hAnsi="Verdana" w:cs="Vrinda"/>
          <w:sz w:val="16"/>
          <w:szCs w:val="16"/>
          <w:lang w:val="pt-BR"/>
        </w:rPr>
      </w:pPr>
      <w:r w:rsidRPr="0038442F">
        <w:rPr>
          <w:rStyle w:val="Refdenotaalpie"/>
          <w:rFonts w:ascii="Verdana" w:hAnsi="Verdana" w:cs="Vrinda"/>
          <w:sz w:val="16"/>
          <w:szCs w:val="16"/>
          <w:lang w:val="pt-BR"/>
        </w:rPr>
        <w:footnoteRef/>
      </w:r>
      <w:r w:rsidRPr="0038442F">
        <w:rPr>
          <w:rFonts w:ascii="Verdana" w:hAnsi="Verdana" w:cs="Vrinda"/>
          <w:sz w:val="16"/>
          <w:szCs w:val="16"/>
          <w:lang w:val="pt-BR"/>
        </w:rPr>
        <w:tab/>
      </w:r>
      <w:r w:rsidRPr="0038442F">
        <w:rPr>
          <w:rFonts w:ascii="Verdana" w:hAnsi="Verdana" w:cs="Vrinda"/>
          <w:i/>
          <w:sz w:val="16"/>
          <w:szCs w:val="16"/>
          <w:lang w:val="pt-BR"/>
        </w:rPr>
        <w:t xml:space="preserve">Cf. Caso Yatama Vs. </w:t>
      </w:r>
      <w:r w:rsidRPr="0038442F">
        <w:rPr>
          <w:rFonts w:ascii="Verdana" w:hAnsi="Verdana"/>
          <w:i/>
          <w:sz w:val="16"/>
          <w:szCs w:val="16"/>
          <w:lang w:val="pt-BR"/>
        </w:rPr>
        <w:t>Nicarágua</w:t>
      </w:r>
      <w:r w:rsidRPr="0038442F">
        <w:rPr>
          <w:rStyle w:val="Textoennegrita"/>
          <w:rFonts w:ascii="Verdana" w:hAnsi="Verdana" w:cs="Vrinda"/>
          <w:b w:val="0"/>
          <w:bCs w:val="0"/>
          <w:i/>
          <w:sz w:val="16"/>
          <w:szCs w:val="16"/>
          <w:lang w:val="pt-BR"/>
        </w:rPr>
        <w:t>. supra</w:t>
      </w:r>
      <w:r w:rsidRPr="0038442F">
        <w:rPr>
          <w:rFonts w:ascii="Verdana" w:hAnsi="Verdana" w:cs="Vrinda"/>
          <w:sz w:val="16"/>
          <w:szCs w:val="16"/>
          <w:lang w:val="pt-BR"/>
        </w:rPr>
        <w:t>, par. 186.</w:t>
      </w:r>
      <w:r w:rsidRPr="0038442F">
        <w:rPr>
          <w:rStyle w:val="Textoennegrita"/>
          <w:rFonts w:ascii="Verdana" w:hAnsi="Verdana" w:cs="Vrinda"/>
          <w:b w:val="0"/>
          <w:bCs w:val="0"/>
          <w:sz w:val="16"/>
          <w:szCs w:val="16"/>
          <w:lang w:val="pt-BR"/>
        </w:rPr>
        <w:t xml:space="preserve"> </w:t>
      </w:r>
    </w:p>
  </w:footnote>
  <w:footnote w:id="167">
    <w:p w14:paraId="6D964947" w14:textId="1D319FEC"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Ver: </w:t>
      </w:r>
      <w:r w:rsidRPr="0038442F">
        <w:rPr>
          <w:rFonts w:ascii="Verdana" w:hAnsi="Verdana" w:cs="Verdana"/>
          <w:i/>
          <w:sz w:val="16"/>
          <w:szCs w:val="16"/>
          <w:lang w:val="pt-BR"/>
        </w:rPr>
        <w:t>Caso Nadege Dorzema e outros Vs. República Dominicana, supra;</w:t>
      </w:r>
      <w:r w:rsidRPr="0038442F">
        <w:rPr>
          <w:rFonts w:ascii="Verdana" w:hAnsi="Verdana" w:cs="Arial"/>
          <w:sz w:val="16"/>
          <w:szCs w:val="16"/>
          <w:shd w:val="clear" w:color="auto" w:fill="FFFFFF"/>
          <w:lang w:val="pt-BR"/>
        </w:rPr>
        <w:t xml:space="preserve"> </w:t>
      </w:r>
      <w:r w:rsidRPr="0038442F">
        <w:rPr>
          <w:rFonts w:ascii="Verdana" w:hAnsi="Verdana"/>
          <w:sz w:val="16"/>
          <w:szCs w:val="16"/>
          <w:lang w:val="pt-BR"/>
        </w:rPr>
        <w:t xml:space="preserve">e Caso </w:t>
      </w:r>
      <w:r w:rsidRPr="0038442F">
        <w:rPr>
          <w:rFonts w:ascii="Verdana" w:hAnsi="Verdana" w:cs="Arial"/>
          <w:i/>
          <w:iCs/>
          <w:sz w:val="16"/>
          <w:szCs w:val="16"/>
          <w:shd w:val="clear" w:color="auto" w:fill="FFFFFF"/>
          <w:lang w:val="pt-BR"/>
        </w:rPr>
        <w:t>Trabalhadores da Fazenda Brasil Verde Vs. Brasil, supra</w:t>
      </w:r>
      <w:r w:rsidRPr="0038442F">
        <w:rPr>
          <w:rFonts w:ascii="Verdana" w:hAnsi="Verdana" w:cs="Arial"/>
          <w:sz w:val="16"/>
          <w:szCs w:val="16"/>
          <w:shd w:val="clear" w:color="auto" w:fill="FFFFFF"/>
          <w:lang w:val="pt-BR"/>
        </w:rPr>
        <w:t xml:space="preserve">. </w:t>
      </w:r>
    </w:p>
  </w:footnote>
  <w:footnote w:id="168">
    <w:p w14:paraId="39862D0B" w14:textId="079170B2" w:rsidR="00252907" w:rsidRPr="0038442F" w:rsidRDefault="00252907" w:rsidP="000777E8">
      <w:pPr>
        <w:pStyle w:val="Textonotapie"/>
        <w:snapToGrid w:val="0"/>
        <w:jc w:val="both"/>
        <w:rPr>
          <w:rFonts w:ascii="Verdana" w:hAnsi="Verdana"/>
          <w:bCs/>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199. </w:t>
      </w:r>
    </w:p>
  </w:footnote>
  <w:footnote w:id="169">
    <w:p w14:paraId="6B7AC966" w14:textId="23EC243B"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cs="Times New Roman"/>
          <w:sz w:val="16"/>
          <w:szCs w:val="16"/>
          <w:lang w:val="pt-BR"/>
        </w:rPr>
        <w:t xml:space="preserve">O exposto concorda com o enunciado no </w:t>
      </w:r>
      <w:r w:rsidRPr="0038442F">
        <w:rPr>
          <w:rFonts w:ascii="Verdana" w:hAnsi="Verdana" w:cs="Times New Roman"/>
          <w:i/>
          <w:sz w:val="16"/>
          <w:szCs w:val="16"/>
          <w:lang w:val="pt-BR"/>
        </w:rPr>
        <w:t xml:space="preserve">Caso </w:t>
      </w:r>
      <w:r w:rsidRPr="0038442F">
        <w:rPr>
          <w:rFonts w:ascii="Verdana" w:hAnsi="Verdana" w:cs="Times New Roman"/>
          <w:i/>
          <w:iCs/>
          <w:sz w:val="16"/>
          <w:szCs w:val="16"/>
          <w:lang w:val="pt-BR"/>
        </w:rPr>
        <w:t xml:space="preserve">V.R.P, V.C.P. e outros Vs. Nicarágua e, com </w:t>
      </w:r>
      <w:r w:rsidRPr="0038442F">
        <w:rPr>
          <w:rFonts w:ascii="Verdana" w:hAnsi="Verdana"/>
          <w:iCs/>
          <w:sz w:val="16"/>
          <w:szCs w:val="16"/>
          <w:lang w:val="pt-BR"/>
        </w:rPr>
        <w:t xml:space="preserve">menor desenvolvimento, nos </w:t>
      </w:r>
      <w:r w:rsidRPr="0038442F">
        <w:rPr>
          <w:rFonts w:ascii="Verdana" w:hAnsi="Verdana"/>
          <w:i/>
          <w:iCs/>
          <w:sz w:val="16"/>
          <w:szCs w:val="16"/>
          <w:lang w:val="pt-BR"/>
        </w:rPr>
        <w:t>Casos Vélez Loor</w:t>
      </w:r>
      <w:r w:rsidRPr="0038442F">
        <w:rPr>
          <w:rFonts w:ascii="Verdana" w:hAnsi="Verdana"/>
          <w:sz w:val="16"/>
          <w:szCs w:val="16"/>
          <w:lang w:val="pt-BR"/>
        </w:rPr>
        <w:t xml:space="preserve"> e </w:t>
      </w:r>
      <w:r w:rsidRPr="0038442F">
        <w:rPr>
          <w:rFonts w:ascii="Verdana" w:hAnsi="Verdana"/>
          <w:i/>
          <w:iCs/>
          <w:sz w:val="16"/>
          <w:szCs w:val="16"/>
          <w:lang w:val="pt-BR"/>
        </w:rPr>
        <w:t>YATAMA</w:t>
      </w:r>
      <w:r w:rsidRPr="0038442F">
        <w:rPr>
          <w:rFonts w:ascii="Verdana" w:hAnsi="Verdana"/>
          <w:sz w:val="16"/>
          <w:szCs w:val="16"/>
          <w:lang w:val="pt-BR"/>
        </w:rPr>
        <w:t xml:space="preserve">. Ver </w:t>
      </w:r>
      <w:r w:rsidRPr="0038442F">
        <w:rPr>
          <w:rFonts w:ascii="Verdana" w:hAnsi="Verdana"/>
          <w:i/>
          <w:sz w:val="16"/>
          <w:szCs w:val="16"/>
          <w:lang w:val="pt-BR"/>
        </w:rPr>
        <w:t>supra</w:t>
      </w:r>
      <w:r w:rsidRPr="0038442F">
        <w:rPr>
          <w:rFonts w:ascii="Verdana" w:hAnsi="Verdana"/>
          <w:sz w:val="16"/>
          <w:szCs w:val="16"/>
          <w:lang w:val="pt-BR"/>
        </w:rPr>
        <w:t xml:space="preserve">, par. .96 e nota de rodapé 157 do presente voto. </w:t>
      </w:r>
    </w:p>
  </w:footnote>
  <w:footnote w:id="170">
    <w:p w14:paraId="608D360E" w14:textId="719D0A25"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w:t>
      </w:r>
      <w:r w:rsidRPr="0038442F">
        <w:rPr>
          <w:rFonts w:ascii="Verdana" w:hAnsi="Verdana"/>
          <w:sz w:val="16"/>
          <w:szCs w:val="16"/>
          <w:lang w:val="pt-BR"/>
        </w:rPr>
        <w:t xml:space="preserve">200 e 202. </w:t>
      </w:r>
    </w:p>
  </w:footnote>
  <w:footnote w:id="171">
    <w:p w14:paraId="245F956C" w14:textId="309B1119"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Questão que fica compreendida nas reparações. </w:t>
      </w:r>
      <w:r w:rsidRPr="0038442F">
        <w:rPr>
          <w:rFonts w:ascii="Verdana" w:hAnsi="Verdana"/>
          <w:i/>
          <w:iCs/>
          <w:sz w:val="16"/>
          <w:szCs w:val="16"/>
          <w:lang w:val="pt-BR"/>
        </w:rPr>
        <w:t xml:space="preserve">Cf. </w:t>
      </w:r>
      <w:r w:rsidRPr="0038442F">
        <w:rPr>
          <w:rFonts w:ascii="Verdana" w:hAnsi="Verdana"/>
          <w:bCs/>
          <w:i/>
          <w:iCs/>
          <w:sz w:val="16"/>
          <w:szCs w:val="16"/>
          <w:lang w:val="pt-BR"/>
        </w:rPr>
        <w:t>Caso Empregados da Fábrica de Fogos de Santo Antônio de Jesus e seus familiares Vs. Brasil, supra</w:t>
      </w:r>
      <w:r w:rsidRPr="0038442F">
        <w:rPr>
          <w:rFonts w:ascii="Verdana" w:hAnsi="Verdana"/>
          <w:bCs/>
          <w:sz w:val="16"/>
          <w:szCs w:val="16"/>
          <w:lang w:val="pt-BR"/>
        </w:rPr>
        <w:t xml:space="preserve">, par. 289 e 290. </w:t>
      </w:r>
    </w:p>
  </w:footnote>
  <w:footnote w:id="172">
    <w:p w14:paraId="01F41E04" w14:textId="51BF7B5E" w:rsidR="00252907" w:rsidRPr="0038442F" w:rsidRDefault="00252907" w:rsidP="000777E8">
      <w:pPr>
        <w:pStyle w:val="NormalWeb"/>
        <w:snapToGrid w:val="0"/>
        <w:spacing w:before="0" w:beforeAutospacing="0" w:after="0" w:afterAutospacing="0"/>
        <w:jc w:val="both"/>
        <w:rPr>
          <w:rFonts w:ascii="Verdana" w:hAnsi="Verdana" w:cs="Arial"/>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Exemplos claros dessa incorporação são as Leis Fundamentais da Colômbia e do Equador. No caso da Colômbia, o artigo 13, parágrafo 2, salienta que “</w:t>
      </w:r>
      <w:r w:rsidRPr="0038442F">
        <w:rPr>
          <w:rFonts w:ascii="Verdana" w:hAnsi="Verdana" w:cs="Arial"/>
          <w:sz w:val="16"/>
          <w:szCs w:val="16"/>
          <w:lang w:val="pt-BR"/>
        </w:rPr>
        <w:t xml:space="preserve">O Estado promoverá as condições para que </w:t>
      </w:r>
      <w:r w:rsidRPr="0038442F">
        <w:rPr>
          <w:rFonts w:ascii="Verdana" w:hAnsi="Verdana" w:cs="Arial"/>
          <w:i/>
          <w:sz w:val="16"/>
          <w:szCs w:val="16"/>
          <w:lang w:val="pt-BR"/>
        </w:rPr>
        <w:t>a igualdade seja real e efetiva, e adotará medidas em favor de grupos discriminados ou marginalizados”</w:t>
      </w:r>
      <w:r w:rsidRPr="0038442F">
        <w:rPr>
          <w:rFonts w:ascii="Verdana" w:hAnsi="Verdana" w:cs="Arial"/>
          <w:sz w:val="16"/>
          <w:szCs w:val="16"/>
          <w:lang w:val="pt-BR"/>
        </w:rPr>
        <w:t xml:space="preserve">. A Constituição do Equador, artigo 66, parágrafo 4, dispõe o “Direito à igualdade formal, à igualdade material e à não discriminação”. </w:t>
      </w:r>
    </w:p>
    <w:p w14:paraId="0D302166" w14:textId="51DDBE7E" w:rsidR="00252907" w:rsidRPr="0038442F" w:rsidRDefault="00252907" w:rsidP="000777E8">
      <w:pPr>
        <w:pStyle w:val="NormalWeb"/>
        <w:snapToGrid w:val="0"/>
        <w:spacing w:before="0" w:beforeAutospacing="0" w:after="0" w:afterAutospacing="0"/>
        <w:ind w:firstLine="709"/>
        <w:jc w:val="both"/>
        <w:rPr>
          <w:rFonts w:ascii="Verdana" w:hAnsi="Verdana" w:cs="Arial"/>
          <w:sz w:val="16"/>
          <w:szCs w:val="16"/>
          <w:lang w:val="pt-BR"/>
        </w:rPr>
      </w:pPr>
      <w:r w:rsidRPr="0038442F">
        <w:rPr>
          <w:rFonts w:ascii="Verdana" w:hAnsi="Verdana" w:cs="Arial"/>
          <w:sz w:val="16"/>
          <w:szCs w:val="16"/>
          <w:lang w:val="pt-BR"/>
        </w:rPr>
        <w:t xml:space="preserve">Outras Constituições seguem formulações similares: </w:t>
      </w:r>
      <w:r w:rsidRPr="0038442F">
        <w:rPr>
          <w:rFonts w:ascii="Verdana" w:hAnsi="Verdana" w:cs="Arial"/>
          <w:sz w:val="16"/>
          <w:szCs w:val="16"/>
          <w:u w:val="single"/>
          <w:lang w:val="pt-BR"/>
        </w:rPr>
        <w:t>i) Argentina</w:t>
      </w:r>
      <w:r w:rsidRPr="0038442F">
        <w:rPr>
          <w:rFonts w:ascii="Verdana" w:hAnsi="Verdana" w:cs="Arial"/>
          <w:sz w:val="16"/>
          <w:szCs w:val="16"/>
          <w:lang w:val="pt-BR"/>
        </w:rPr>
        <w:t xml:space="preserve">: no artigo 75, alíneas 2 e 23 (atribuições do Congresso) se identificam mandatos de “igualdade de oportunidades” e “igualdade real de oportunidades e de tratamento”; </w:t>
      </w:r>
      <w:r w:rsidRPr="0038442F">
        <w:rPr>
          <w:rFonts w:ascii="Verdana" w:hAnsi="Verdana" w:cs="Arial"/>
          <w:sz w:val="16"/>
          <w:szCs w:val="16"/>
          <w:u w:val="single"/>
          <w:lang w:val="pt-BR"/>
        </w:rPr>
        <w:t>ii) Bolívia</w:t>
      </w:r>
      <w:r w:rsidRPr="0038442F">
        <w:rPr>
          <w:rFonts w:ascii="Verdana" w:hAnsi="Verdana" w:cs="Arial"/>
          <w:sz w:val="16"/>
          <w:szCs w:val="16"/>
          <w:lang w:val="pt-BR"/>
        </w:rPr>
        <w:t xml:space="preserve">: no artigo 8 (Princípios, valores e fins do Estado), Seção II, salienta-se que “O Estado se sustenta nos valores de […] igualdade, […]igualdade de oportunidades […]”; </w:t>
      </w:r>
      <w:r w:rsidRPr="0038442F">
        <w:rPr>
          <w:rFonts w:ascii="Verdana" w:hAnsi="Verdana" w:cs="Arial"/>
          <w:sz w:val="16"/>
          <w:szCs w:val="16"/>
          <w:u w:val="single"/>
          <w:lang w:val="pt-BR"/>
        </w:rPr>
        <w:t>iii) Chile</w:t>
      </w:r>
      <w:r w:rsidRPr="0038442F">
        <w:rPr>
          <w:rFonts w:ascii="Verdana" w:hAnsi="Verdana" w:cs="Arial"/>
          <w:sz w:val="16"/>
          <w:szCs w:val="16"/>
          <w:lang w:val="pt-BR"/>
        </w:rPr>
        <w:t xml:space="preserve">, no artigo 1, parágrafo 5, é possível identificar um mandato de “igualdade de oportunidades”; </w:t>
      </w:r>
      <w:r w:rsidRPr="0038442F">
        <w:rPr>
          <w:rFonts w:ascii="Verdana" w:hAnsi="Verdana" w:cs="Arial"/>
          <w:sz w:val="16"/>
          <w:szCs w:val="16"/>
          <w:u w:val="single"/>
          <w:lang w:val="pt-BR"/>
        </w:rPr>
        <w:t>iv) México</w:t>
      </w:r>
      <w:r w:rsidRPr="0038442F">
        <w:rPr>
          <w:rFonts w:ascii="Verdana" w:hAnsi="Verdana" w:cs="Arial"/>
          <w:sz w:val="16"/>
          <w:szCs w:val="16"/>
          <w:lang w:val="pt-BR"/>
        </w:rPr>
        <w:t>: podemos encontrar mandatos de “igualdade de oportunidades” em favor dos povos indigenas e afromexicanos (art. 2, parágrafo B), e quanto a que o direito à educação “se baseará […] com um enfoque de direitos humanos e</w:t>
      </w:r>
      <w:r w:rsidRPr="0038442F">
        <w:rPr>
          <w:rFonts w:ascii="Verdana" w:hAnsi="Verdana" w:cs="Arial"/>
          <w:i/>
          <w:sz w:val="16"/>
          <w:szCs w:val="16"/>
          <w:lang w:val="pt-BR"/>
        </w:rPr>
        <w:t xml:space="preserve"> de igualdade substantiva</w:t>
      </w:r>
      <w:r w:rsidRPr="0038442F">
        <w:rPr>
          <w:rFonts w:ascii="Verdana" w:hAnsi="Verdana" w:cs="Arial"/>
          <w:sz w:val="16"/>
          <w:szCs w:val="16"/>
          <w:lang w:val="pt-BR"/>
        </w:rPr>
        <w:t xml:space="preserve">” (art. 3, parágrafo quarto); </w:t>
      </w:r>
      <w:r w:rsidRPr="0038442F">
        <w:rPr>
          <w:rFonts w:ascii="Verdana" w:hAnsi="Verdana" w:cs="Arial"/>
          <w:sz w:val="16"/>
          <w:szCs w:val="16"/>
          <w:u w:val="single"/>
          <w:lang w:val="pt-BR"/>
        </w:rPr>
        <w:t>v) Paraguai</w:t>
      </w:r>
      <w:r w:rsidRPr="0038442F">
        <w:rPr>
          <w:rFonts w:ascii="Verdana" w:hAnsi="Verdana" w:cs="Arial"/>
          <w:sz w:val="16"/>
          <w:szCs w:val="16"/>
          <w:lang w:val="pt-BR"/>
        </w:rPr>
        <w:t>: no artigo 47 (Das garantias da igualdade) se ressalta “</w:t>
      </w:r>
      <w:r w:rsidRPr="0038442F">
        <w:rPr>
          <w:rFonts w:ascii="Verdana" w:hAnsi="Verdana"/>
          <w:sz w:val="16"/>
          <w:szCs w:val="16"/>
          <w:lang w:val="pt-BR"/>
        </w:rPr>
        <w:t xml:space="preserve">[o] Estado garantirá a todos os habitantes da República: […] 4) a igualdade de oportunidades na participação dos benefícios da natureza, dos bens materiais e da cultura”, e </w:t>
      </w:r>
      <w:r w:rsidRPr="0038442F">
        <w:rPr>
          <w:rFonts w:ascii="Verdana" w:hAnsi="Verdana"/>
          <w:sz w:val="16"/>
          <w:szCs w:val="16"/>
          <w:u w:val="single"/>
          <w:lang w:val="pt-BR"/>
        </w:rPr>
        <w:t>vi) Peru</w:t>
      </w:r>
      <w:r w:rsidRPr="0038442F">
        <w:rPr>
          <w:rFonts w:ascii="Verdana" w:hAnsi="Verdana"/>
          <w:sz w:val="16"/>
          <w:szCs w:val="16"/>
          <w:lang w:val="pt-BR"/>
        </w:rPr>
        <w:t>: no artigo 26 da Constituição se contempla que “[n]</w:t>
      </w:r>
      <w:r w:rsidRPr="0038442F">
        <w:rPr>
          <w:rFonts w:ascii="Verdana" w:hAnsi="Verdana" w:cs="Arial"/>
          <w:sz w:val="16"/>
          <w:szCs w:val="16"/>
          <w:lang w:val="pt-BR"/>
        </w:rPr>
        <w:t xml:space="preserve">a relação trabalhista são respeitados os seguintes princípios: 1. Igualdade de oportunidades sem discriminação”. </w:t>
      </w:r>
    </w:p>
  </w:footnote>
  <w:footnote w:id="173">
    <w:p w14:paraId="0A7E0467" w14:textId="21F8B747" w:rsidR="00252907" w:rsidRPr="0038442F" w:rsidRDefault="00252907" w:rsidP="000777E8">
      <w:pPr>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Algumas sentenças de Altas Cortes nacionais que abordaram a </w:t>
      </w:r>
      <w:r w:rsidRPr="0038442F">
        <w:rPr>
          <w:rFonts w:ascii="Verdana" w:hAnsi="Verdana"/>
          <w:i/>
          <w:sz w:val="16"/>
          <w:szCs w:val="16"/>
          <w:lang w:val="pt-BR"/>
        </w:rPr>
        <w:t xml:space="preserve">igualdade substantiva </w:t>
      </w:r>
      <w:r w:rsidRPr="0038442F">
        <w:rPr>
          <w:rFonts w:ascii="Verdana" w:hAnsi="Verdana"/>
          <w:sz w:val="16"/>
          <w:szCs w:val="16"/>
          <w:lang w:val="pt-BR"/>
        </w:rPr>
        <w:t xml:space="preserve">são: </w:t>
      </w:r>
      <w:r w:rsidRPr="0038442F">
        <w:rPr>
          <w:rFonts w:ascii="Verdana" w:hAnsi="Verdana"/>
          <w:sz w:val="16"/>
          <w:szCs w:val="16"/>
          <w:u w:val="single"/>
          <w:lang w:val="pt-BR"/>
        </w:rPr>
        <w:t>i) Colômbia</w:t>
      </w:r>
      <w:r w:rsidRPr="0038442F">
        <w:rPr>
          <w:rFonts w:ascii="Verdana" w:hAnsi="Verdana"/>
          <w:sz w:val="16"/>
          <w:szCs w:val="16"/>
          <w:lang w:val="pt-BR"/>
        </w:rPr>
        <w:t>: “</w:t>
      </w:r>
      <w:r w:rsidRPr="0038442F">
        <w:rPr>
          <w:rFonts w:ascii="Verdana" w:hAnsi="Verdana"/>
          <w:sz w:val="16"/>
          <w:szCs w:val="16"/>
          <w:shd w:val="clear" w:color="auto" w:fill="FFFFFF"/>
          <w:lang w:val="pt-BR"/>
        </w:rPr>
        <w:t xml:space="preserve">A igualdade supõe, então, [que] ao passo que aqueles que estão em situação diferente (constitucionalmente relevante) devem ser tratados de forma diferente. Projeta-se também, de uma </w:t>
      </w:r>
      <w:r w:rsidRPr="0038442F">
        <w:rPr>
          <w:rFonts w:ascii="Verdana" w:hAnsi="Verdana"/>
          <w:i/>
          <w:sz w:val="16"/>
          <w:szCs w:val="16"/>
          <w:shd w:val="clear" w:color="auto" w:fill="FFFFFF"/>
          <w:lang w:val="pt-BR"/>
        </w:rPr>
        <w:t>dimensão substantiva ou material</w:t>
      </w:r>
      <w:r w:rsidRPr="0038442F">
        <w:rPr>
          <w:rFonts w:ascii="Verdana" w:hAnsi="Verdana"/>
          <w:sz w:val="16"/>
          <w:szCs w:val="16"/>
          <w:shd w:val="clear" w:color="auto" w:fill="FFFFFF"/>
          <w:lang w:val="pt-BR"/>
        </w:rPr>
        <w:t>, que impõe ao Estado o compromisso ético e jurídico de promover as condições para que a igualdade seja real e efetiva, adotando medidas em favor dos grupos discriminados, marginalizados ou em situação de fragilidade manifesta (ações afirmativas)” (</w:t>
      </w:r>
      <w:r w:rsidRPr="0038442F">
        <w:rPr>
          <w:rFonts w:ascii="Verdana" w:hAnsi="Verdana"/>
          <w:sz w:val="16"/>
          <w:szCs w:val="16"/>
          <w:lang w:val="pt-BR"/>
        </w:rPr>
        <w:t xml:space="preserve">Corte Constitucional da Colômbia, </w:t>
      </w:r>
      <w:r w:rsidRPr="0038442F">
        <w:rPr>
          <w:rFonts w:ascii="Verdana" w:hAnsi="Verdana"/>
          <w:sz w:val="16"/>
          <w:szCs w:val="16"/>
          <w:shd w:val="clear" w:color="auto" w:fill="FFFFFF"/>
          <w:lang w:val="pt-BR"/>
        </w:rPr>
        <w:t xml:space="preserve">Sentença C-657/2015, de 21 de outubro de 2015); </w:t>
      </w:r>
      <w:r w:rsidRPr="0038442F">
        <w:rPr>
          <w:rFonts w:ascii="Verdana" w:hAnsi="Verdana"/>
          <w:sz w:val="16"/>
          <w:szCs w:val="16"/>
          <w:u w:val="single"/>
          <w:shd w:val="clear" w:color="auto" w:fill="FFFFFF"/>
          <w:lang w:val="pt-BR"/>
        </w:rPr>
        <w:t>ii) Equador</w:t>
      </w:r>
      <w:r w:rsidRPr="0038442F">
        <w:rPr>
          <w:rFonts w:ascii="Verdana" w:hAnsi="Verdana"/>
          <w:sz w:val="16"/>
          <w:szCs w:val="16"/>
          <w:shd w:val="clear" w:color="auto" w:fill="FFFFFF"/>
          <w:lang w:val="pt-BR"/>
        </w:rPr>
        <w:t xml:space="preserve">: </w:t>
      </w:r>
      <w:r w:rsidRPr="0038442F">
        <w:rPr>
          <w:rFonts w:ascii="Verdana" w:hAnsi="Verdana"/>
          <w:sz w:val="16"/>
          <w:szCs w:val="16"/>
          <w:lang w:val="pt-BR"/>
        </w:rPr>
        <w:t xml:space="preserve">“é preciso anotar que existe uma diferença entre a denominada </w:t>
      </w:r>
      <w:r w:rsidRPr="0038442F">
        <w:rPr>
          <w:rFonts w:ascii="Verdana" w:hAnsi="Verdana"/>
          <w:i/>
          <w:sz w:val="16"/>
          <w:szCs w:val="16"/>
          <w:lang w:val="pt-BR"/>
        </w:rPr>
        <w:t>igualdade formal ou igualdade perante a lei</w:t>
      </w:r>
      <w:r w:rsidRPr="0038442F">
        <w:rPr>
          <w:rFonts w:ascii="Verdana" w:hAnsi="Verdana"/>
          <w:sz w:val="16"/>
          <w:szCs w:val="16"/>
          <w:lang w:val="pt-BR"/>
        </w:rPr>
        <w:t xml:space="preserve"> e a </w:t>
      </w:r>
      <w:r w:rsidRPr="0038442F">
        <w:rPr>
          <w:rFonts w:ascii="Verdana" w:hAnsi="Verdana"/>
          <w:i/>
          <w:sz w:val="16"/>
          <w:szCs w:val="16"/>
          <w:lang w:val="pt-BR"/>
        </w:rPr>
        <w:t>igualdade material ou igualdade real</w:t>
      </w:r>
      <w:r w:rsidRPr="0038442F">
        <w:rPr>
          <w:rFonts w:ascii="Verdana" w:hAnsi="Verdana"/>
          <w:sz w:val="16"/>
          <w:szCs w:val="16"/>
          <w:lang w:val="pt-BR"/>
        </w:rPr>
        <w:t xml:space="preserve">. Em termos jurídicos, ambos os tipos de igualdade possuem um mesmo núcleo comum, que consiste na comparabilidade de certas características para estabelecer sua aplicação; não obstante isso, divergem em seus efeitos, focalizando o primeiro tipo a restrição da discriminação e o segundo, o respeito à diferença. Desse modo, a </w:t>
      </w:r>
      <w:r w:rsidRPr="0038442F">
        <w:rPr>
          <w:rFonts w:ascii="Verdana" w:hAnsi="Verdana"/>
          <w:i/>
          <w:sz w:val="16"/>
          <w:szCs w:val="16"/>
          <w:lang w:val="pt-BR"/>
        </w:rPr>
        <w:t>igualdade formal</w:t>
      </w:r>
      <w:r w:rsidRPr="0038442F">
        <w:rPr>
          <w:rFonts w:ascii="Verdana" w:hAnsi="Verdana"/>
          <w:sz w:val="16"/>
          <w:szCs w:val="16"/>
          <w:lang w:val="pt-BR"/>
        </w:rPr>
        <w:t xml:space="preserve"> tem relação com a garantia de identidade de tratamento a todos os destinatários de uma norma jurídica, evitando a existência injustificada de privilégios, ao passo que a </w:t>
      </w:r>
      <w:r w:rsidRPr="0038442F">
        <w:rPr>
          <w:rFonts w:ascii="Verdana" w:hAnsi="Verdana"/>
          <w:i/>
          <w:sz w:val="16"/>
          <w:szCs w:val="16"/>
          <w:lang w:val="pt-BR"/>
        </w:rPr>
        <w:t>igualdade material</w:t>
      </w:r>
      <w:r w:rsidRPr="0038442F">
        <w:rPr>
          <w:rFonts w:ascii="Verdana" w:hAnsi="Verdana"/>
          <w:sz w:val="16"/>
          <w:szCs w:val="16"/>
          <w:lang w:val="pt-BR"/>
        </w:rPr>
        <w:t xml:space="preserve"> não tem a ver com questões formais, mas com a real posição social do indivíduo a quem a lei será aplicada, com o objetivo de evitar injustiças” (Corte Constitucional do Equador, Sentença N</w:t>
      </w:r>
      <w:r w:rsidRPr="0038442F">
        <w:rPr>
          <w:rFonts w:ascii="Verdana" w:hAnsi="Verdana"/>
          <w:sz w:val="16"/>
          <w:szCs w:val="16"/>
          <w:vertAlign w:val="superscript"/>
          <w:lang w:val="pt-BR"/>
        </w:rPr>
        <w:t>o.</w:t>
      </w:r>
      <w:r w:rsidRPr="0038442F">
        <w:rPr>
          <w:rFonts w:ascii="Verdana" w:hAnsi="Verdana"/>
          <w:sz w:val="16"/>
          <w:szCs w:val="16"/>
          <w:lang w:val="pt-BR"/>
        </w:rPr>
        <w:t xml:space="preserve"> 002- 14-SIN-CC, 14 de agosto de 2014, p. 44); </w:t>
      </w:r>
      <w:r w:rsidRPr="0038442F">
        <w:rPr>
          <w:rFonts w:ascii="Verdana" w:hAnsi="Verdana"/>
          <w:sz w:val="16"/>
          <w:szCs w:val="16"/>
          <w:u w:val="single"/>
          <w:shd w:val="clear" w:color="auto" w:fill="FFFFFF"/>
          <w:lang w:val="pt-BR"/>
        </w:rPr>
        <w:t>iii) México</w:t>
      </w:r>
      <w:r w:rsidRPr="0038442F">
        <w:rPr>
          <w:rFonts w:ascii="Verdana" w:hAnsi="Verdana"/>
          <w:sz w:val="16"/>
          <w:szCs w:val="16"/>
          <w:shd w:val="clear" w:color="auto" w:fill="FFFFFF"/>
          <w:lang w:val="pt-BR"/>
        </w:rPr>
        <w:t>: “</w:t>
      </w:r>
      <w:r w:rsidRPr="0038442F">
        <w:rPr>
          <w:rFonts w:ascii="Verdana" w:hAnsi="Verdana" w:cs="Calibri"/>
          <w:sz w:val="16"/>
          <w:szCs w:val="16"/>
          <w:lang w:val="pt-BR"/>
        </w:rPr>
        <w:t xml:space="preserve">[…]considere-se que o direito humano à igualdade jurídica não somente apresenta uma faceta ou dimensão formal ou de direito, mas também uma de caráter </w:t>
      </w:r>
      <w:r w:rsidRPr="0038442F">
        <w:rPr>
          <w:rFonts w:ascii="Verdana" w:hAnsi="Verdana" w:cs="Calibri"/>
          <w:i/>
          <w:sz w:val="16"/>
          <w:szCs w:val="16"/>
          <w:lang w:val="pt-BR"/>
        </w:rPr>
        <w:t>substantivo</w:t>
      </w:r>
      <w:r w:rsidRPr="0038442F">
        <w:rPr>
          <w:rFonts w:ascii="Verdana" w:hAnsi="Verdana" w:cs="Calibri"/>
          <w:sz w:val="16"/>
          <w:szCs w:val="16"/>
          <w:lang w:val="pt-BR"/>
        </w:rPr>
        <w:t xml:space="preserve"> </w:t>
      </w:r>
      <w:r w:rsidRPr="0038442F">
        <w:rPr>
          <w:rFonts w:ascii="Verdana" w:hAnsi="Verdana" w:cs="Calibri"/>
          <w:i/>
          <w:sz w:val="16"/>
          <w:szCs w:val="16"/>
          <w:lang w:val="pt-BR"/>
        </w:rPr>
        <w:t>ou de fato</w:t>
      </w:r>
      <w:r w:rsidRPr="0038442F">
        <w:rPr>
          <w:rFonts w:ascii="Verdana" w:hAnsi="Verdana" w:cs="Calibri"/>
          <w:sz w:val="16"/>
          <w:szCs w:val="16"/>
          <w:lang w:val="pt-BR"/>
        </w:rPr>
        <w:t xml:space="preserve">, a qual tem por objetivo remover ou reduzir os obstáculos sociais, políticos, culturais, econômicos ou de qualquer outra natureza que impeçam a determinadas pessoas ou grupos sociais gozar ou exercer de maneira real e efetiva seus direitos humanos em condições de paridade com outro conjunto de pessoas ou grupo social” (Primeira Sala da Suprema Corte de Justiça da Nação, Tese jurisprudencial: 1a./J. 125/2017 (10a.), dezembro de 2017); e </w:t>
      </w:r>
      <w:r w:rsidRPr="0038442F">
        <w:rPr>
          <w:rFonts w:ascii="Verdana" w:hAnsi="Verdana" w:cs="Calibri"/>
          <w:sz w:val="16"/>
          <w:szCs w:val="16"/>
          <w:u w:val="single"/>
          <w:lang w:val="pt-BR"/>
        </w:rPr>
        <w:t xml:space="preserve">iv) </w:t>
      </w:r>
      <w:r w:rsidRPr="0038442F">
        <w:rPr>
          <w:rFonts w:ascii="Verdana" w:hAnsi="Verdana"/>
          <w:sz w:val="16"/>
          <w:szCs w:val="16"/>
          <w:u w:val="single"/>
          <w:shd w:val="clear" w:color="auto" w:fill="FFFFFF"/>
          <w:lang w:val="pt-BR"/>
        </w:rPr>
        <w:t>Peru</w:t>
      </w:r>
      <w:r w:rsidRPr="0038442F">
        <w:rPr>
          <w:rFonts w:ascii="Verdana" w:hAnsi="Verdana"/>
          <w:sz w:val="16"/>
          <w:szCs w:val="16"/>
          <w:shd w:val="clear" w:color="auto" w:fill="FFFFFF"/>
          <w:lang w:val="pt-BR"/>
        </w:rPr>
        <w:t xml:space="preserve">: “[…] o </w:t>
      </w:r>
      <w:r w:rsidRPr="0038442F">
        <w:rPr>
          <w:rFonts w:ascii="Verdana" w:hAnsi="Verdana"/>
          <w:sz w:val="16"/>
          <w:szCs w:val="16"/>
          <w:lang w:val="pt-BR"/>
        </w:rPr>
        <w:t xml:space="preserve">Estado peruano, definido pela Constituição de 1993, apresenta as características básicas de um Estado social e democrático de direito, no qual se exige a configuração de dois aspectos básicos: a existência de condições materiais mínimas para alcançar seus pressupostos, e a identificação do Estado com os fins de seu conteúdo social”, razão pela qual “[e]sse mínimo vital busca garantir a igualdade de oportunidades em todo nível social, bem como neutralizar as situações discriminatórias e violatórias da dignidade do homem; por esse motivo, a concretização dessas condições materiais mínimas de existência deve motivar a intervenção do Estado e da sociedade, de maneira conjunta, para a consecução desse fim” (Tribunal Constitucional do Peru, </w:t>
      </w:r>
      <w:r w:rsidRPr="0038442F">
        <w:rPr>
          <w:rFonts w:ascii="Verdana" w:hAnsi="Verdana"/>
          <w:sz w:val="16"/>
          <w:szCs w:val="16"/>
          <w:shd w:val="clear" w:color="auto" w:fill="FFFFFF"/>
          <w:lang w:val="pt-BR"/>
        </w:rPr>
        <w:t xml:space="preserve">Exp. N° 2945-2003-AA/TC, sentença de 20 de abril de 2004). </w:t>
      </w:r>
    </w:p>
  </w:footnote>
  <w:footnote w:id="174">
    <w:p w14:paraId="61C2F71D" w14:textId="5D9BEF0A" w:rsidR="00252907" w:rsidRPr="0038442F" w:rsidRDefault="00252907" w:rsidP="000777E8">
      <w:pPr>
        <w:pStyle w:val="Textonotapie"/>
        <w:snapToGrid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Ver as intervenções na mesa “Da interpretação de normas à mudança social. Os tratados de direitos humanos como instrumentos vivos à luz da realidade”, na reunião das três cortes regionais de direitos humanos, por ocasião do 40</w:t>
      </w:r>
      <w:r w:rsidRPr="0038442F">
        <w:rPr>
          <w:rFonts w:ascii="Verdana" w:hAnsi="Verdana"/>
          <w:sz w:val="16"/>
          <w:szCs w:val="16"/>
          <w:vertAlign w:val="superscript"/>
          <w:lang w:val="pt-BR"/>
        </w:rPr>
        <w:t>o</w:t>
      </w:r>
      <w:r w:rsidRPr="0038442F">
        <w:rPr>
          <w:rFonts w:ascii="Verdana" w:hAnsi="Verdana"/>
          <w:sz w:val="16"/>
          <w:szCs w:val="16"/>
          <w:lang w:val="pt-BR"/>
        </w:rPr>
        <w:t xml:space="preserve"> aniversário da entrada em vigor da Convenção Americana e da criação da Corte IDH, realizada na sede do Tribunal Interamericano, em 17 de julho de 2018. Sobre esse “mandato transformador” e suas implicações, ver a exposição de Bogdandy von, Armin, “O mandato do Sistema Interamericano. Constitucionalismo transformador por um direito comum de direitos humanos”. </w:t>
      </w:r>
      <w:r w:rsidRPr="0038442F">
        <w:rPr>
          <w:rFonts w:ascii="Verdana" w:hAnsi="Verdana"/>
          <w:i/>
          <w:sz w:val="16"/>
          <w:szCs w:val="16"/>
          <w:lang w:val="pt-BR"/>
        </w:rPr>
        <w:t xml:space="preserve">Cf. Diálogo entre Cortes Regionais de Direitos Humanos, </w:t>
      </w:r>
      <w:r w:rsidRPr="0038442F">
        <w:rPr>
          <w:rFonts w:ascii="Verdana" w:hAnsi="Verdana"/>
          <w:sz w:val="16"/>
          <w:szCs w:val="16"/>
          <w:lang w:val="pt-BR"/>
        </w:rPr>
        <w:t xml:space="preserve">San José, Corte IDH, 2020, p. 61-74, bem como os comentários da juíza Elizabeth Odio Benito (Corte IDH) e dos juízes Ângelo Matusse (Corte Africana) e Branko Lubarda (Tribunal Europeu) sobre essa exposição, além das conclusões da mesa, pela moderadora Mónica Pinto, todas elas nas p. 75-83, 85-108, 109-114 e 115-118, respectivamente. A juíza Odio Benito considera que esse “mandato transformador” funciona com a “interpretação evolutiva”. A obra pode ser consultada em: </w:t>
      </w:r>
      <w:hyperlink r:id="rId1" w:history="1">
        <w:r w:rsidRPr="0038442F">
          <w:rPr>
            <w:rStyle w:val="Hipervnculo"/>
            <w:rFonts w:ascii="Verdana" w:hAnsi="Verdana"/>
            <w:color w:val="auto"/>
            <w:sz w:val="16"/>
            <w:szCs w:val="16"/>
            <w:lang w:val="pt-BR"/>
          </w:rPr>
          <w:t>https://www.corteidh.or.cr/sitios/libros/todos/docs/dialogo-es.pdf</w:t>
        </w:r>
      </w:hyperlink>
      <w:r w:rsidRPr="0038442F">
        <w:rPr>
          <w:rStyle w:val="Hipervnculo"/>
          <w:rFonts w:ascii="Verdana" w:hAnsi="Verdana"/>
          <w:color w:val="auto"/>
          <w:sz w:val="16"/>
          <w:szCs w:val="16"/>
          <w:lang w:val="pt-BR"/>
        </w:rPr>
        <w:t>.</w:t>
      </w:r>
    </w:p>
  </w:footnote>
  <w:footnote w:id="175">
    <w:p w14:paraId="0F8EF7DE" w14:textId="1D3046A9" w:rsidR="00252907" w:rsidRPr="0038442F" w:rsidRDefault="00252907" w:rsidP="000777E8">
      <w:pPr>
        <w:pStyle w:val="Textonotapie"/>
        <w:snapToGrid w:val="0"/>
        <w:jc w:val="both"/>
        <w:rPr>
          <w:rFonts w:ascii="Verdana" w:hAnsi="Verdana" w:cs="Times New Roman"/>
          <w:sz w:val="16"/>
          <w:szCs w:val="16"/>
          <w:lang w:val="pt-BR"/>
        </w:rPr>
      </w:pPr>
      <w:r w:rsidRPr="0038442F">
        <w:rPr>
          <w:rStyle w:val="Refdenotaalpie"/>
          <w:rFonts w:ascii="Verdana" w:hAnsi="Verdana"/>
          <w:sz w:val="16"/>
          <w:szCs w:val="16"/>
          <w:lang w:val="pt-BR"/>
        </w:rPr>
        <w:footnoteRef/>
      </w:r>
      <w:r w:rsidRPr="0038442F">
        <w:rPr>
          <w:rFonts w:ascii="Verdana" w:hAnsi="Verdana"/>
          <w:sz w:val="16"/>
          <w:szCs w:val="16"/>
          <w:lang w:val="pt-BR"/>
        </w:rPr>
        <w:t xml:space="preserve"> </w:t>
      </w:r>
      <w:r w:rsidRPr="0038442F">
        <w:rPr>
          <w:rFonts w:ascii="Verdana" w:hAnsi="Verdana"/>
          <w:sz w:val="16"/>
          <w:szCs w:val="16"/>
          <w:lang w:val="pt-BR"/>
        </w:rPr>
        <w:tab/>
        <w:t xml:space="preserve">Quanto à “persistência da desigualdade”, da “pobreza” e da “exclusão social”, bem como de seu impacto em pessoas ou grupos em situação ou condição de vulnerabilidade, ver </w:t>
      </w:r>
      <w:r w:rsidRPr="0038442F">
        <w:rPr>
          <w:rFonts w:ascii="Verdana" w:hAnsi="Verdana" w:cs="Times New Roman"/>
          <w:sz w:val="16"/>
          <w:szCs w:val="16"/>
          <w:lang w:val="pt-BR"/>
        </w:rPr>
        <w:t xml:space="preserve">Comissão Econômica para a América Latina e o Caribe (CEPAL), </w:t>
      </w:r>
      <w:r w:rsidRPr="0038442F">
        <w:rPr>
          <w:rFonts w:ascii="Verdana" w:hAnsi="Verdana" w:cs="Times New Roman"/>
          <w:i/>
          <w:sz w:val="16"/>
          <w:szCs w:val="16"/>
          <w:lang w:val="pt-BR"/>
        </w:rPr>
        <w:t xml:space="preserve">Panorama Social da América Latina, </w:t>
      </w:r>
      <w:r w:rsidRPr="0038442F">
        <w:rPr>
          <w:rFonts w:ascii="Verdana" w:hAnsi="Verdana" w:cs="Times New Roman"/>
          <w:sz w:val="16"/>
          <w:szCs w:val="16"/>
          <w:lang w:val="pt-BR"/>
        </w:rPr>
        <w:t>Santiago, Chile, Nações Unidas, anos 2017, 2018 e 2019.</w:t>
      </w:r>
    </w:p>
  </w:footnote>
  <w:footnote w:id="176">
    <w:p w14:paraId="7AC7BB70" w14:textId="1F181914" w:rsidR="00252907" w:rsidRPr="0038442F" w:rsidRDefault="00252907" w:rsidP="000777E8">
      <w:pPr>
        <w:pStyle w:val="Prrafodelista"/>
        <w:tabs>
          <w:tab w:val="left" w:pos="709"/>
          <w:tab w:val="center" w:pos="4702"/>
          <w:tab w:val="left" w:pos="6270"/>
        </w:tabs>
        <w:snapToGrid w:val="0"/>
        <w:spacing w:after="0" w:line="240" w:lineRule="auto"/>
        <w:ind w:left="0"/>
        <w:contextualSpacing w:val="0"/>
        <w:jc w:val="both"/>
        <w:rPr>
          <w:rFonts w:ascii="Verdana" w:hAnsi="Verdana"/>
          <w:sz w:val="16"/>
          <w:szCs w:val="16"/>
          <w:lang w:val="pt-BR"/>
        </w:rPr>
      </w:pPr>
      <w:r w:rsidRPr="0038442F">
        <w:rPr>
          <w:rStyle w:val="Refdenotaalpie"/>
          <w:rFonts w:ascii="Verdana" w:hAnsi="Verdana"/>
          <w:sz w:val="16"/>
          <w:szCs w:val="16"/>
          <w:lang w:val="pt-BR"/>
        </w:rPr>
        <w:footnoteRef/>
      </w:r>
      <w:r w:rsidRPr="0038442F">
        <w:rPr>
          <w:rFonts w:ascii="Verdana" w:hAnsi="Verdana" w:cs="Times New Roman"/>
          <w:sz w:val="16"/>
          <w:szCs w:val="16"/>
          <w:lang w:val="pt-BR"/>
        </w:rPr>
        <w:t xml:space="preserve"> </w:t>
      </w:r>
      <w:r w:rsidRPr="0038442F">
        <w:rPr>
          <w:rFonts w:ascii="Verdana" w:hAnsi="Verdana" w:cs="Times New Roman"/>
          <w:sz w:val="16"/>
          <w:szCs w:val="16"/>
          <w:lang w:val="pt-BR"/>
        </w:rPr>
        <w:tab/>
        <w:t xml:space="preserve">Segundo a CEPAL </w:t>
      </w:r>
      <w:r w:rsidRPr="0038442F">
        <w:rPr>
          <w:rFonts w:ascii="Verdana" w:hAnsi="Verdana"/>
          <w:sz w:val="16"/>
          <w:szCs w:val="16"/>
          <w:lang w:val="pt-BR"/>
        </w:rPr>
        <w:t>“a pobreza, a pobreza extrema e a desigualdade aumentarão em todos os países da região”</w:t>
      </w:r>
      <w:r w:rsidRPr="0038442F">
        <w:rPr>
          <w:rFonts w:ascii="Verdana" w:hAnsi="Verdana" w:cs="Times New Roman"/>
          <w:sz w:val="16"/>
          <w:szCs w:val="16"/>
          <w:lang w:val="pt-BR"/>
        </w:rPr>
        <w:t xml:space="preserve">. CEPAL, </w:t>
      </w:r>
      <w:r w:rsidRPr="0038442F">
        <w:rPr>
          <w:rFonts w:ascii="Verdana" w:hAnsi="Verdana" w:cs="Times New Roman"/>
          <w:i/>
          <w:sz w:val="16"/>
          <w:szCs w:val="16"/>
          <w:lang w:val="pt-BR"/>
        </w:rPr>
        <w:t xml:space="preserve">O desafio social em tempos de COVID-19, </w:t>
      </w:r>
      <w:r w:rsidRPr="0038442F">
        <w:rPr>
          <w:rFonts w:ascii="Verdana" w:hAnsi="Verdana" w:cs="Times New Roman"/>
          <w:sz w:val="16"/>
          <w:szCs w:val="16"/>
          <w:lang w:val="pt-BR"/>
        </w:rPr>
        <w:t>Santiago, Chile, Nações Unidas, 2020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24F3BD3"/>
    <w:multiLevelType w:val="hybridMultilevel"/>
    <w:tmpl w:val="86CA752C"/>
    <w:lvl w:ilvl="0" w:tplc="0428F37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5946F0"/>
    <w:multiLevelType w:val="hybridMultilevel"/>
    <w:tmpl w:val="626AD740"/>
    <w:lvl w:ilvl="0" w:tplc="5B7046F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61F0085"/>
    <w:multiLevelType w:val="multilevel"/>
    <w:tmpl w:val="3090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155F"/>
    <w:multiLevelType w:val="multilevel"/>
    <w:tmpl w:val="498E447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056D5"/>
    <w:multiLevelType w:val="multilevel"/>
    <w:tmpl w:val="EFB4791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A0319"/>
    <w:multiLevelType w:val="multilevel"/>
    <w:tmpl w:val="FB6C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24D53"/>
    <w:multiLevelType w:val="multilevel"/>
    <w:tmpl w:val="7780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536CF"/>
    <w:multiLevelType w:val="hybridMultilevel"/>
    <w:tmpl w:val="E9AE602C"/>
    <w:lvl w:ilvl="0" w:tplc="031E1916">
      <w:start w:val="175"/>
      <w:numFmt w:val="decimal"/>
      <w:lvlText w:val="%1."/>
      <w:lvlJc w:val="left"/>
      <w:pPr>
        <w:ind w:left="1129" w:hanging="4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5567E8D"/>
    <w:multiLevelType w:val="multilevel"/>
    <w:tmpl w:val="897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17557"/>
    <w:multiLevelType w:val="hybridMultilevel"/>
    <w:tmpl w:val="231C5656"/>
    <w:lvl w:ilvl="0" w:tplc="B072887A">
      <w:start w:val="96"/>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D3675A"/>
    <w:multiLevelType w:val="multilevel"/>
    <w:tmpl w:val="7C32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E18A6"/>
    <w:multiLevelType w:val="multilevel"/>
    <w:tmpl w:val="BC2A1B9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025FE9"/>
    <w:multiLevelType w:val="multilevel"/>
    <w:tmpl w:val="557A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915AA"/>
    <w:multiLevelType w:val="multilevel"/>
    <w:tmpl w:val="BFBA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EF1600"/>
    <w:multiLevelType w:val="hybridMultilevel"/>
    <w:tmpl w:val="BB543BE4"/>
    <w:lvl w:ilvl="0" w:tplc="9EE06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255B68"/>
    <w:multiLevelType w:val="multilevel"/>
    <w:tmpl w:val="BF20E9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31961DD"/>
    <w:multiLevelType w:val="hybridMultilevel"/>
    <w:tmpl w:val="E962D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B082D"/>
    <w:multiLevelType w:val="hybridMultilevel"/>
    <w:tmpl w:val="52889D60"/>
    <w:lvl w:ilvl="0" w:tplc="1D56AEAA">
      <w:start w:val="1"/>
      <w:numFmt w:val="decimal"/>
      <w:lvlText w:val="%1."/>
      <w:lvlJc w:val="left"/>
      <w:pPr>
        <w:ind w:left="360" w:hanging="360"/>
      </w:pPr>
      <w:rPr>
        <w:rFonts w:ascii="Verdana" w:hAnsi="Verdana" w:hint="default"/>
        <w:b w:val="0"/>
        <w:bCs/>
        <w:i w:val="0"/>
        <w:iCs w:val="0"/>
        <w:strike w:val="0"/>
        <w:sz w:val="20"/>
        <w:szCs w:val="20"/>
        <w:lang w:val="pt-BR"/>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737544"/>
    <w:multiLevelType w:val="hybridMultilevel"/>
    <w:tmpl w:val="BBD8D1CA"/>
    <w:lvl w:ilvl="0" w:tplc="5B622396">
      <w:start w:val="200"/>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B501C9"/>
    <w:multiLevelType w:val="multilevel"/>
    <w:tmpl w:val="542A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0B56DB"/>
    <w:multiLevelType w:val="multilevel"/>
    <w:tmpl w:val="9E9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136731"/>
    <w:multiLevelType w:val="hybridMultilevel"/>
    <w:tmpl w:val="272AEE20"/>
    <w:lvl w:ilvl="0" w:tplc="81C4A21A">
      <w:start w:val="1"/>
      <w:numFmt w:val="lowerLetter"/>
      <w:lvlText w:val="%1)"/>
      <w:lvlJc w:val="left"/>
      <w:pPr>
        <w:ind w:left="1495" w:hanging="360"/>
      </w:pPr>
      <w:rPr>
        <w:rFonts w:hint="default"/>
        <w:i/>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3" w15:restartNumberingAfterBreak="0">
    <w:nsid w:val="4F6A67DF"/>
    <w:multiLevelType w:val="hybridMultilevel"/>
    <w:tmpl w:val="32AC489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1A8603D"/>
    <w:multiLevelType w:val="multilevel"/>
    <w:tmpl w:val="B9AED7F8"/>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A93DAA"/>
    <w:multiLevelType w:val="hybridMultilevel"/>
    <w:tmpl w:val="114C124C"/>
    <w:lvl w:ilvl="0" w:tplc="45264428">
      <w:start w:val="1"/>
      <w:numFmt w:val="upperLetter"/>
      <w:lvlText w:val="%1."/>
      <w:lvlJc w:val="left"/>
      <w:pPr>
        <w:ind w:left="360" w:hanging="360"/>
      </w:pPr>
      <w:rPr>
        <w:rFonts w:hint="default"/>
        <w:b w:val="0"/>
        <w:bCs w:val="0"/>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4712887"/>
    <w:multiLevelType w:val="multilevel"/>
    <w:tmpl w:val="0F4E76F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C93AC8"/>
    <w:multiLevelType w:val="hybridMultilevel"/>
    <w:tmpl w:val="77B029B0"/>
    <w:lvl w:ilvl="0" w:tplc="8FAE94E2">
      <w:start w:val="1"/>
      <w:numFmt w:val="decimal"/>
      <w:lvlText w:val="%1."/>
      <w:lvlJc w:val="left"/>
      <w:pPr>
        <w:ind w:left="5811" w:hanging="708"/>
      </w:pPr>
      <w:rPr>
        <w:rFonts w:ascii="Verdana" w:hAnsi="Verdana" w:hint="default"/>
        <w:b w:val="0"/>
        <w:i w:val="0"/>
        <w:strike w:val="0"/>
        <w:color w:val="auto"/>
        <w:sz w:val="20"/>
        <w:szCs w:val="20"/>
        <w:vertAlign w:val="baseline"/>
      </w:rPr>
    </w:lvl>
    <w:lvl w:ilvl="1" w:tplc="140A0019">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abstractNum w:abstractNumId="28" w15:restartNumberingAfterBreak="0">
    <w:nsid w:val="5698414F"/>
    <w:multiLevelType w:val="multilevel"/>
    <w:tmpl w:val="85E4155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FD7D50"/>
    <w:multiLevelType w:val="multilevel"/>
    <w:tmpl w:val="1104267E"/>
    <w:lvl w:ilvl="0">
      <w:start w:val="1"/>
      <w:numFmt w:val="decimal"/>
      <w:lvlText w:val="%1."/>
      <w:lvlJc w:val="left"/>
      <w:pPr>
        <w:ind w:left="967" w:hanging="825"/>
      </w:pPr>
      <w:rPr>
        <w:b w:val="0"/>
        <w:i w:val="0"/>
        <w:strike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656CCB"/>
    <w:multiLevelType w:val="multilevel"/>
    <w:tmpl w:val="FC90CD8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636F0"/>
    <w:multiLevelType w:val="multilevel"/>
    <w:tmpl w:val="A7504CF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753A80"/>
    <w:multiLevelType w:val="hybridMultilevel"/>
    <w:tmpl w:val="CE009362"/>
    <w:lvl w:ilvl="0" w:tplc="477847BA">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3" w15:restartNumberingAfterBreak="0">
    <w:nsid w:val="784246A6"/>
    <w:multiLevelType w:val="multilevel"/>
    <w:tmpl w:val="0AD292EC"/>
    <w:lvl w:ilvl="0">
      <w:start w:val="5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8F5172C"/>
    <w:multiLevelType w:val="multilevel"/>
    <w:tmpl w:val="366C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25"/>
  </w:num>
  <w:num w:numId="4">
    <w:abstractNumId w:val="10"/>
  </w:num>
  <w:num w:numId="5">
    <w:abstractNumId w:val="8"/>
  </w:num>
  <w:num w:numId="6">
    <w:abstractNumId w:val="22"/>
  </w:num>
  <w:num w:numId="7">
    <w:abstractNumId w:val="6"/>
  </w:num>
  <w:num w:numId="8">
    <w:abstractNumId w:val="7"/>
  </w:num>
  <w:num w:numId="9">
    <w:abstractNumId w:val="11"/>
  </w:num>
  <w:num w:numId="10">
    <w:abstractNumId w:val="3"/>
  </w:num>
  <w:num w:numId="11">
    <w:abstractNumId w:val="13"/>
  </w:num>
  <w:num w:numId="12">
    <w:abstractNumId w:val="21"/>
  </w:num>
  <w:num w:numId="13">
    <w:abstractNumId w:val="17"/>
  </w:num>
  <w:num w:numId="14">
    <w:abstractNumId w:val="4"/>
  </w:num>
  <w:num w:numId="15">
    <w:abstractNumId w:val="5"/>
  </w:num>
  <w:num w:numId="16">
    <w:abstractNumId w:val="33"/>
  </w:num>
  <w:num w:numId="17">
    <w:abstractNumId w:val="30"/>
  </w:num>
  <w:num w:numId="18">
    <w:abstractNumId w:val="31"/>
  </w:num>
  <w:num w:numId="19">
    <w:abstractNumId w:val="12"/>
  </w:num>
  <w:num w:numId="20">
    <w:abstractNumId w:val="28"/>
  </w:num>
  <w:num w:numId="21">
    <w:abstractNumId w:val="26"/>
  </w:num>
  <w:num w:numId="22">
    <w:abstractNumId w:val="27"/>
  </w:num>
  <w:num w:numId="23">
    <w:abstractNumId w:val="32"/>
  </w:num>
  <w:num w:numId="24">
    <w:abstractNumId w:val="23"/>
  </w:num>
  <w:num w:numId="25">
    <w:abstractNumId w:val="24"/>
  </w:num>
  <w:num w:numId="26">
    <w:abstractNumId w:val="29"/>
  </w:num>
  <w:num w:numId="27">
    <w:abstractNumId w:val="19"/>
  </w:num>
  <w:num w:numId="28">
    <w:abstractNumId w:val="15"/>
  </w:num>
  <w:num w:numId="29">
    <w:abstractNumId w:val="2"/>
  </w:num>
  <w:num w:numId="30">
    <w:abstractNumId w:val="9"/>
  </w:num>
  <w:num w:numId="31">
    <w:abstractNumId w:val="34"/>
  </w:num>
  <w:num w:numId="32">
    <w:abstractNumId w:val="16"/>
  </w:num>
  <w:num w:numId="33">
    <w:abstractNumId w:val="20"/>
  </w:num>
  <w:num w:numId="34">
    <w:abstractNumId w:val="14"/>
  </w:num>
  <w:num w:numId="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DFE"/>
    <w:rsid w:val="000001AD"/>
    <w:rsid w:val="00000958"/>
    <w:rsid w:val="00007513"/>
    <w:rsid w:val="000117AD"/>
    <w:rsid w:val="000130BF"/>
    <w:rsid w:val="0001311B"/>
    <w:rsid w:val="000138C4"/>
    <w:rsid w:val="00014DA1"/>
    <w:rsid w:val="00016666"/>
    <w:rsid w:val="00017D62"/>
    <w:rsid w:val="00022900"/>
    <w:rsid w:val="00026756"/>
    <w:rsid w:val="00031597"/>
    <w:rsid w:val="00032DD5"/>
    <w:rsid w:val="00033CB7"/>
    <w:rsid w:val="00035D74"/>
    <w:rsid w:val="00035D88"/>
    <w:rsid w:val="0003705A"/>
    <w:rsid w:val="000435D0"/>
    <w:rsid w:val="000450DD"/>
    <w:rsid w:val="000454AC"/>
    <w:rsid w:val="0005336F"/>
    <w:rsid w:val="000558CA"/>
    <w:rsid w:val="00056008"/>
    <w:rsid w:val="00056564"/>
    <w:rsid w:val="0005748B"/>
    <w:rsid w:val="000615C4"/>
    <w:rsid w:val="000654FC"/>
    <w:rsid w:val="0006769C"/>
    <w:rsid w:val="00070F8C"/>
    <w:rsid w:val="000736C8"/>
    <w:rsid w:val="000743A0"/>
    <w:rsid w:val="0007531C"/>
    <w:rsid w:val="000777E8"/>
    <w:rsid w:val="00077DF7"/>
    <w:rsid w:val="0008009B"/>
    <w:rsid w:val="00080B1B"/>
    <w:rsid w:val="00080E59"/>
    <w:rsid w:val="0008106E"/>
    <w:rsid w:val="00081DB7"/>
    <w:rsid w:val="000836A8"/>
    <w:rsid w:val="00083D63"/>
    <w:rsid w:val="00084CA4"/>
    <w:rsid w:val="000918BA"/>
    <w:rsid w:val="00092CD8"/>
    <w:rsid w:val="000A1217"/>
    <w:rsid w:val="000A1AA8"/>
    <w:rsid w:val="000A2214"/>
    <w:rsid w:val="000A2A39"/>
    <w:rsid w:val="000A2A4B"/>
    <w:rsid w:val="000A2E1E"/>
    <w:rsid w:val="000A37ED"/>
    <w:rsid w:val="000A3F89"/>
    <w:rsid w:val="000A44A7"/>
    <w:rsid w:val="000A5FE6"/>
    <w:rsid w:val="000A7472"/>
    <w:rsid w:val="000B1CE7"/>
    <w:rsid w:val="000B5496"/>
    <w:rsid w:val="000B5B3C"/>
    <w:rsid w:val="000B6AAA"/>
    <w:rsid w:val="000B6B6D"/>
    <w:rsid w:val="000B6FAC"/>
    <w:rsid w:val="000B758A"/>
    <w:rsid w:val="000C00B5"/>
    <w:rsid w:val="000C0CF3"/>
    <w:rsid w:val="000C37B7"/>
    <w:rsid w:val="000C4A5F"/>
    <w:rsid w:val="000D5E1A"/>
    <w:rsid w:val="000D638A"/>
    <w:rsid w:val="000D6FCC"/>
    <w:rsid w:val="000E1005"/>
    <w:rsid w:val="000E331D"/>
    <w:rsid w:val="000F031A"/>
    <w:rsid w:val="000F0525"/>
    <w:rsid w:val="000F257B"/>
    <w:rsid w:val="000F3509"/>
    <w:rsid w:val="000F47F1"/>
    <w:rsid w:val="000F672C"/>
    <w:rsid w:val="000F7451"/>
    <w:rsid w:val="000F7EA3"/>
    <w:rsid w:val="001007C2"/>
    <w:rsid w:val="00102093"/>
    <w:rsid w:val="00103BF5"/>
    <w:rsid w:val="00104794"/>
    <w:rsid w:val="001153BA"/>
    <w:rsid w:val="001158A2"/>
    <w:rsid w:val="00115B58"/>
    <w:rsid w:val="00116B3F"/>
    <w:rsid w:val="00117148"/>
    <w:rsid w:val="00117E8D"/>
    <w:rsid w:val="001210B9"/>
    <w:rsid w:val="00124199"/>
    <w:rsid w:val="00124486"/>
    <w:rsid w:val="00124C8D"/>
    <w:rsid w:val="00125585"/>
    <w:rsid w:val="00126364"/>
    <w:rsid w:val="00127D27"/>
    <w:rsid w:val="00130390"/>
    <w:rsid w:val="00132CD1"/>
    <w:rsid w:val="0013520D"/>
    <w:rsid w:val="00135489"/>
    <w:rsid w:val="00137033"/>
    <w:rsid w:val="00140FFD"/>
    <w:rsid w:val="00141788"/>
    <w:rsid w:val="001523D1"/>
    <w:rsid w:val="0015277E"/>
    <w:rsid w:val="00154674"/>
    <w:rsid w:val="00155F43"/>
    <w:rsid w:val="00160AA7"/>
    <w:rsid w:val="0016131E"/>
    <w:rsid w:val="00166BBC"/>
    <w:rsid w:val="00173E19"/>
    <w:rsid w:val="00175516"/>
    <w:rsid w:val="00176870"/>
    <w:rsid w:val="00177006"/>
    <w:rsid w:val="0018313F"/>
    <w:rsid w:val="001845F6"/>
    <w:rsid w:val="00184622"/>
    <w:rsid w:val="001912D8"/>
    <w:rsid w:val="00193832"/>
    <w:rsid w:val="00197A06"/>
    <w:rsid w:val="00197BBC"/>
    <w:rsid w:val="00197CEA"/>
    <w:rsid w:val="001A13B1"/>
    <w:rsid w:val="001A2E60"/>
    <w:rsid w:val="001A564B"/>
    <w:rsid w:val="001A626D"/>
    <w:rsid w:val="001B0177"/>
    <w:rsid w:val="001B07EC"/>
    <w:rsid w:val="001B0D46"/>
    <w:rsid w:val="001B1887"/>
    <w:rsid w:val="001B4A2A"/>
    <w:rsid w:val="001B5FE8"/>
    <w:rsid w:val="001B7B6D"/>
    <w:rsid w:val="001C089D"/>
    <w:rsid w:val="001C5FED"/>
    <w:rsid w:val="001D0444"/>
    <w:rsid w:val="001D0E90"/>
    <w:rsid w:val="001D1D62"/>
    <w:rsid w:val="001D20EA"/>
    <w:rsid w:val="001D5761"/>
    <w:rsid w:val="001D6143"/>
    <w:rsid w:val="001D6430"/>
    <w:rsid w:val="001D70C2"/>
    <w:rsid w:val="001D7726"/>
    <w:rsid w:val="001E16E4"/>
    <w:rsid w:val="001E1A0A"/>
    <w:rsid w:val="001E1AC7"/>
    <w:rsid w:val="001E23E2"/>
    <w:rsid w:val="001E3635"/>
    <w:rsid w:val="001E4188"/>
    <w:rsid w:val="001F119A"/>
    <w:rsid w:val="001F17D1"/>
    <w:rsid w:val="001F2DFC"/>
    <w:rsid w:val="001F3111"/>
    <w:rsid w:val="001F4355"/>
    <w:rsid w:val="001F6D20"/>
    <w:rsid w:val="001F6E4D"/>
    <w:rsid w:val="001F7635"/>
    <w:rsid w:val="00203978"/>
    <w:rsid w:val="002041AC"/>
    <w:rsid w:val="00204278"/>
    <w:rsid w:val="00205C93"/>
    <w:rsid w:val="00206AD4"/>
    <w:rsid w:val="00214116"/>
    <w:rsid w:val="00215D08"/>
    <w:rsid w:val="0021692B"/>
    <w:rsid w:val="002173DA"/>
    <w:rsid w:val="00220DAC"/>
    <w:rsid w:val="00221D30"/>
    <w:rsid w:val="002226C1"/>
    <w:rsid w:val="002227C4"/>
    <w:rsid w:val="00223C29"/>
    <w:rsid w:val="002246C5"/>
    <w:rsid w:val="002247E5"/>
    <w:rsid w:val="0022579B"/>
    <w:rsid w:val="0023007F"/>
    <w:rsid w:val="002316EF"/>
    <w:rsid w:val="002317DC"/>
    <w:rsid w:val="00233A73"/>
    <w:rsid w:val="00233F35"/>
    <w:rsid w:val="002372BD"/>
    <w:rsid w:val="00242245"/>
    <w:rsid w:val="0024395A"/>
    <w:rsid w:val="00246A73"/>
    <w:rsid w:val="002478C2"/>
    <w:rsid w:val="00247E1C"/>
    <w:rsid w:val="00247F19"/>
    <w:rsid w:val="00251CF9"/>
    <w:rsid w:val="00252907"/>
    <w:rsid w:val="00252E6F"/>
    <w:rsid w:val="002536C5"/>
    <w:rsid w:val="00256357"/>
    <w:rsid w:val="00257691"/>
    <w:rsid w:val="002603ED"/>
    <w:rsid w:val="00260E12"/>
    <w:rsid w:val="00263986"/>
    <w:rsid w:val="00263A35"/>
    <w:rsid w:val="00263DE6"/>
    <w:rsid w:val="0026616D"/>
    <w:rsid w:val="00270CEA"/>
    <w:rsid w:val="002730A1"/>
    <w:rsid w:val="00275243"/>
    <w:rsid w:val="0027735D"/>
    <w:rsid w:val="00283F11"/>
    <w:rsid w:val="00284390"/>
    <w:rsid w:val="00286F2F"/>
    <w:rsid w:val="00292EED"/>
    <w:rsid w:val="002935F1"/>
    <w:rsid w:val="00293EE7"/>
    <w:rsid w:val="00294AA4"/>
    <w:rsid w:val="00295A2D"/>
    <w:rsid w:val="002A7EB0"/>
    <w:rsid w:val="002B04B0"/>
    <w:rsid w:val="002B0F5D"/>
    <w:rsid w:val="002B1BD7"/>
    <w:rsid w:val="002B20E9"/>
    <w:rsid w:val="002B2A06"/>
    <w:rsid w:val="002B34EB"/>
    <w:rsid w:val="002B3BAA"/>
    <w:rsid w:val="002B5454"/>
    <w:rsid w:val="002C0244"/>
    <w:rsid w:val="002C079A"/>
    <w:rsid w:val="002C26B7"/>
    <w:rsid w:val="002C50F7"/>
    <w:rsid w:val="002C789E"/>
    <w:rsid w:val="002D1439"/>
    <w:rsid w:val="002D24B6"/>
    <w:rsid w:val="002D2A74"/>
    <w:rsid w:val="002D3092"/>
    <w:rsid w:val="002D4B10"/>
    <w:rsid w:val="002D7F98"/>
    <w:rsid w:val="002E2440"/>
    <w:rsid w:val="002E453D"/>
    <w:rsid w:val="002E685C"/>
    <w:rsid w:val="002F0C12"/>
    <w:rsid w:val="002F3DAB"/>
    <w:rsid w:val="002F591C"/>
    <w:rsid w:val="002F61BD"/>
    <w:rsid w:val="002F7B35"/>
    <w:rsid w:val="0030752D"/>
    <w:rsid w:val="00311C17"/>
    <w:rsid w:val="00312F4E"/>
    <w:rsid w:val="00315E98"/>
    <w:rsid w:val="00316FAE"/>
    <w:rsid w:val="00317D7A"/>
    <w:rsid w:val="003203E9"/>
    <w:rsid w:val="00321986"/>
    <w:rsid w:val="00322D0A"/>
    <w:rsid w:val="003234A3"/>
    <w:rsid w:val="00325C27"/>
    <w:rsid w:val="0032758A"/>
    <w:rsid w:val="00331EAD"/>
    <w:rsid w:val="00332F07"/>
    <w:rsid w:val="00333E04"/>
    <w:rsid w:val="0033447C"/>
    <w:rsid w:val="00341D42"/>
    <w:rsid w:val="00342ACD"/>
    <w:rsid w:val="0034303F"/>
    <w:rsid w:val="003454B0"/>
    <w:rsid w:val="00350018"/>
    <w:rsid w:val="00352356"/>
    <w:rsid w:val="003549CB"/>
    <w:rsid w:val="0035541B"/>
    <w:rsid w:val="003563D6"/>
    <w:rsid w:val="00356B86"/>
    <w:rsid w:val="00360928"/>
    <w:rsid w:val="00360B1B"/>
    <w:rsid w:val="003624F7"/>
    <w:rsid w:val="00362F5B"/>
    <w:rsid w:val="0036488E"/>
    <w:rsid w:val="003651D9"/>
    <w:rsid w:val="003654E3"/>
    <w:rsid w:val="00372B09"/>
    <w:rsid w:val="0038018A"/>
    <w:rsid w:val="0038051B"/>
    <w:rsid w:val="00380FB1"/>
    <w:rsid w:val="00381D94"/>
    <w:rsid w:val="0038442F"/>
    <w:rsid w:val="0038486A"/>
    <w:rsid w:val="003856EF"/>
    <w:rsid w:val="00385DF6"/>
    <w:rsid w:val="003866E7"/>
    <w:rsid w:val="00387A36"/>
    <w:rsid w:val="00387E49"/>
    <w:rsid w:val="00391661"/>
    <w:rsid w:val="0039256C"/>
    <w:rsid w:val="00392C13"/>
    <w:rsid w:val="00393990"/>
    <w:rsid w:val="00393AED"/>
    <w:rsid w:val="00393CEA"/>
    <w:rsid w:val="00394372"/>
    <w:rsid w:val="00394567"/>
    <w:rsid w:val="00394EE4"/>
    <w:rsid w:val="003A1A69"/>
    <w:rsid w:val="003A1C1F"/>
    <w:rsid w:val="003A4355"/>
    <w:rsid w:val="003A594B"/>
    <w:rsid w:val="003B0018"/>
    <w:rsid w:val="003B1580"/>
    <w:rsid w:val="003B308E"/>
    <w:rsid w:val="003B374E"/>
    <w:rsid w:val="003B53AA"/>
    <w:rsid w:val="003B72EC"/>
    <w:rsid w:val="003B7B75"/>
    <w:rsid w:val="003C0F23"/>
    <w:rsid w:val="003C2178"/>
    <w:rsid w:val="003C278F"/>
    <w:rsid w:val="003C2967"/>
    <w:rsid w:val="003C4599"/>
    <w:rsid w:val="003C6D62"/>
    <w:rsid w:val="003C7354"/>
    <w:rsid w:val="003C740D"/>
    <w:rsid w:val="003D2BB2"/>
    <w:rsid w:val="003D4987"/>
    <w:rsid w:val="003D5380"/>
    <w:rsid w:val="003D5CF2"/>
    <w:rsid w:val="003E7189"/>
    <w:rsid w:val="003F0394"/>
    <w:rsid w:val="003F0E0A"/>
    <w:rsid w:val="003F16EC"/>
    <w:rsid w:val="003F248B"/>
    <w:rsid w:val="003F3526"/>
    <w:rsid w:val="003F496C"/>
    <w:rsid w:val="003F5627"/>
    <w:rsid w:val="0040286B"/>
    <w:rsid w:val="00402F53"/>
    <w:rsid w:val="004036A9"/>
    <w:rsid w:val="00404991"/>
    <w:rsid w:val="00405867"/>
    <w:rsid w:val="00406DFA"/>
    <w:rsid w:val="00407242"/>
    <w:rsid w:val="004105C4"/>
    <w:rsid w:val="00412C7D"/>
    <w:rsid w:val="0041716C"/>
    <w:rsid w:val="004221B8"/>
    <w:rsid w:val="004247E3"/>
    <w:rsid w:val="00425198"/>
    <w:rsid w:val="004278BB"/>
    <w:rsid w:val="00440C38"/>
    <w:rsid w:val="00442854"/>
    <w:rsid w:val="00446815"/>
    <w:rsid w:val="004526B4"/>
    <w:rsid w:val="00452D4F"/>
    <w:rsid w:val="00454D6D"/>
    <w:rsid w:val="00455A1B"/>
    <w:rsid w:val="0045746A"/>
    <w:rsid w:val="004629CF"/>
    <w:rsid w:val="00463A7F"/>
    <w:rsid w:val="00464046"/>
    <w:rsid w:val="004669A1"/>
    <w:rsid w:val="00466AB4"/>
    <w:rsid w:val="00466BBD"/>
    <w:rsid w:val="0047712C"/>
    <w:rsid w:val="004775A2"/>
    <w:rsid w:val="00481B88"/>
    <w:rsid w:val="00482996"/>
    <w:rsid w:val="00483D24"/>
    <w:rsid w:val="00490FFC"/>
    <w:rsid w:val="004938BE"/>
    <w:rsid w:val="004945AE"/>
    <w:rsid w:val="004947B9"/>
    <w:rsid w:val="004961D3"/>
    <w:rsid w:val="004A218C"/>
    <w:rsid w:val="004A3559"/>
    <w:rsid w:val="004A4A0A"/>
    <w:rsid w:val="004A4D91"/>
    <w:rsid w:val="004A5384"/>
    <w:rsid w:val="004A560F"/>
    <w:rsid w:val="004A6300"/>
    <w:rsid w:val="004A77F8"/>
    <w:rsid w:val="004B2810"/>
    <w:rsid w:val="004B6156"/>
    <w:rsid w:val="004B6C60"/>
    <w:rsid w:val="004B746A"/>
    <w:rsid w:val="004C21F3"/>
    <w:rsid w:val="004C26C0"/>
    <w:rsid w:val="004C2FEF"/>
    <w:rsid w:val="004C556C"/>
    <w:rsid w:val="004C6D77"/>
    <w:rsid w:val="004C7D21"/>
    <w:rsid w:val="004D0500"/>
    <w:rsid w:val="004D0B3F"/>
    <w:rsid w:val="004D20BD"/>
    <w:rsid w:val="004D6411"/>
    <w:rsid w:val="004E0856"/>
    <w:rsid w:val="004E261F"/>
    <w:rsid w:val="004E30BE"/>
    <w:rsid w:val="004E39F5"/>
    <w:rsid w:val="004E3C85"/>
    <w:rsid w:val="004E50C1"/>
    <w:rsid w:val="004E6D36"/>
    <w:rsid w:val="004E6E06"/>
    <w:rsid w:val="004E7BBD"/>
    <w:rsid w:val="004F3D03"/>
    <w:rsid w:val="004F5C6F"/>
    <w:rsid w:val="00501A05"/>
    <w:rsid w:val="005135E5"/>
    <w:rsid w:val="005209E2"/>
    <w:rsid w:val="0052100C"/>
    <w:rsid w:val="00521D3D"/>
    <w:rsid w:val="00522906"/>
    <w:rsid w:val="005236DE"/>
    <w:rsid w:val="00523AD5"/>
    <w:rsid w:val="00526535"/>
    <w:rsid w:val="005266CB"/>
    <w:rsid w:val="00530200"/>
    <w:rsid w:val="005327AA"/>
    <w:rsid w:val="00533940"/>
    <w:rsid w:val="00533BCF"/>
    <w:rsid w:val="00533D16"/>
    <w:rsid w:val="00536CB3"/>
    <w:rsid w:val="00536CD8"/>
    <w:rsid w:val="00537B9D"/>
    <w:rsid w:val="0054068D"/>
    <w:rsid w:val="00541BFE"/>
    <w:rsid w:val="00542497"/>
    <w:rsid w:val="00542BE0"/>
    <w:rsid w:val="0054729F"/>
    <w:rsid w:val="00547B18"/>
    <w:rsid w:val="005524B5"/>
    <w:rsid w:val="0055309D"/>
    <w:rsid w:val="005548C8"/>
    <w:rsid w:val="00554D10"/>
    <w:rsid w:val="00556A32"/>
    <w:rsid w:val="00561D31"/>
    <w:rsid w:val="005635E3"/>
    <w:rsid w:val="00565A1E"/>
    <w:rsid w:val="0057093F"/>
    <w:rsid w:val="005761D3"/>
    <w:rsid w:val="005859C7"/>
    <w:rsid w:val="00585D3D"/>
    <w:rsid w:val="005863D8"/>
    <w:rsid w:val="005869F7"/>
    <w:rsid w:val="005871F1"/>
    <w:rsid w:val="005907B2"/>
    <w:rsid w:val="00590BE2"/>
    <w:rsid w:val="00591D26"/>
    <w:rsid w:val="0059451E"/>
    <w:rsid w:val="00596FF9"/>
    <w:rsid w:val="005973EC"/>
    <w:rsid w:val="005A106B"/>
    <w:rsid w:val="005A3072"/>
    <w:rsid w:val="005A3DEF"/>
    <w:rsid w:val="005A6928"/>
    <w:rsid w:val="005B2027"/>
    <w:rsid w:val="005B2F7A"/>
    <w:rsid w:val="005B55A8"/>
    <w:rsid w:val="005B5A0F"/>
    <w:rsid w:val="005B5AC4"/>
    <w:rsid w:val="005B7F5F"/>
    <w:rsid w:val="005C0E46"/>
    <w:rsid w:val="005C7939"/>
    <w:rsid w:val="005C7ABA"/>
    <w:rsid w:val="005D1865"/>
    <w:rsid w:val="005D3FCB"/>
    <w:rsid w:val="005D4C55"/>
    <w:rsid w:val="005E22C1"/>
    <w:rsid w:val="005E618C"/>
    <w:rsid w:val="005E77FD"/>
    <w:rsid w:val="005F0A00"/>
    <w:rsid w:val="005F0BC0"/>
    <w:rsid w:val="005F1589"/>
    <w:rsid w:val="005F52CA"/>
    <w:rsid w:val="005F647D"/>
    <w:rsid w:val="005F6BC4"/>
    <w:rsid w:val="005F6CCC"/>
    <w:rsid w:val="00602FF9"/>
    <w:rsid w:val="0060398F"/>
    <w:rsid w:val="00604077"/>
    <w:rsid w:val="00605643"/>
    <w:rsid w:val="00607020"/>
    <w:rsid w:val="00607563"/>
    <w:rsid w:val="00614CCE"/>
    <w:rsid w:val="00616DF9"/>
    <w:rsid w:val="00617BC1"/>
    <w:rsid w:val="00621D85"/>
    <w:rsid w:val="006234E7"/>
    <w:rsid w:val="006238CE"/>
    <w:rsid w:val="00624205"/>
    <w:rsid w:val="00627864"/>
    <w:rsid w:val="0063373A"/>
    <w:rsid w:val="0063748F"/>
    <w:rsid w:val="006378F9"/>
    <w:rsid w:val="00637DF1"/>
    <w:rsid w:val="00642AF6"/>
    <w:rsid w:val="006435EF"/>
    <w:rsid w:val="006445EE"/>
    <w:rsid w:val="00644B1B"/>
    <w:rsid w:val="00645EFC"/>
    <w:rsid w:val="00647C46"/>
    <w:rsid w:val="00650B6C"/>
    <w:rsid w:val="00651AC3"/>
    <w:rsid w:val="00652434"/>
    <w:rsid w:val="00654CAD"/>
    <w:rsid w:val="00663AA3"/>
    <w:rsid w:val="006666B6"/>
    <w:rsid w:val="00667E8F"/>
    <w:rsid w:val="006705E4"/>
    <w:rsid w:val="0067204A"/>
    <w:rsid w:val="00672219"/>
    <w:rsid w:val="00673DD7"/>
    <w:rsid w:val="00674784"/>
    <w:rsid w:val="00677177"/>
    <w:rsid w:val="006802D3"/>
    <w:rsid w:val="006806B6"/>
    <w:rsid w:val="00680BB9"/>
    <w:rsid w:val="006820D6"/>
    <w:rsid w:val="0068362F"/>
    <w:rsid w:val="006836EC"/>
    <w:rsid w:val="00685AC6"/>
    <w:rsid w:val="00693847"/>
    <w:rsid w:val="006967DC"/>
    <w:rsid w:val="006A05EE"/>
    <w:rsid w:val="006A12FD"/>
    <w:rsid w:val="006A2508"/>
    <w:rsid w:val="006A6347"/>
    <w:rsid w:val="006B3A2B"/>
    <w:rsid w:val="006B4866"/>
    <w:rsid w:val="006B5285"/>
    <w:rsid w:val="006B5959"/>
    <w:rsid w:val="006B60FB"/>
    <w:rsid w:val="006C14E3"/>
    <w:rsid w:val="006C2B4F"/>
    <w:rsid w:val="006C2DA7"/>
    <w:rsid w:val="006C3C43"/>
    <w:rsid w:val="006C5689"/>
    <w:rsid w:val="006C7BF8"/>
    <w:rsid w:val="006D091B"/>
    <w:rsid w:val="006D1646"/>
    <w:rsid w:val="006D3B60"/>
    <w:rsid w:val="006D3D04"/>
    <w:rsid w:val="006D51E1"/>
    <w:rsid w:val="006D574F"/>
    <w:rsid w:val="006F14BC"/>
    <w:rsid w:val="006F1E74"/>
    <w:rsid w:val="006F25D0"/>
    <w:rsid w:val="006F2A88"/>
    <w:rsid w:val="006F4228"/>
    <w:rsid w:val="006F4C59"/>
    <w:rsid w:val="007002F5"/>
    <w:rsid w:val="007005E5"/>
    <w:rsid w:val="00700FC6"/>
    <w:rsid w:val="007039BF"/>
    <w:rsid w:val="0070437F"/>
    <w:rsid w:val="00706529"/>
    <w:rsid w:val="0071328B"/>
    <w:rsid w:val="00713A73"/>
    <w:rsid w:val="007166B5"/>
    <w:rsid w:val="00716963"/>
    <w:rsid w:val="00716E05"/>
    <w:rsid w:val="00717198"/>
    <w:rsid w:val="007221B3"/>
    <w:rsid w:val="0072248F"/>
    <w:rsid w:val="00727719"/>
    <w:rsid w:val="007309B3"/>
    <w:rsid w:val="00730BE7"/>
    <w:rsid w:val="0073278C"/>
    <w:rsid w:val="00732AE7"/>
    <w:rsid w:val="0073451A"/>
    <w:rsid w:val="007346EF"/>
    <w:rsid w:val="00734CA0"/>
    <w:rsid w:val="007351B1"/>
    <w:rsid w:val="00743294"/>
    <w:rsid w:val="00745268"/>
    <w:rsid w:val="00750E0B"/>
    <w:rsid w:val="00751189"/>
    <w:rsid w:val="007524D8"/>
    <w:rsid w:val="0075491F"/>
    <w:rsid w:val="007550CB"/>
    <w:rsid w:val="00755A2E"/>
    <w:rsid w:val="00755D00"/>
    <w:rsid w:val="0076170C"/>
    <w:rsid w:val="00761CDB"/>
    <w:rsid w:val="00763BC3"/>
    <w:rsid w:val="00764215"/>
    <w:rsid w:val="00764A1F"/>
    <w:rsid w:val="0076555C"/>
    <w:rsid w:val="00771AAA"/>
    <w:rsid w:val="00772D6C"/>
    <w:rsid w:val="007750A5"/>
    <w:rsid w:val="007805F7"/>
    <w:rsid w:val="00781273"/>
    <w:rsid w:val="007821EC"/>
    <w:rsid w:val="00784453"/>
    <w:rsid w:val="00787B8D"/>
    <w:rsid w:val="00791C52"/>
    <w:rsid w:val="00791F3E"/>
    <w:rsid w:val="00793CE3"/>
    <w:rsid w:val="00794FFA"/>
    <w:rsid w:val="00795B0F"/>
    <w:rsid w:val="007A0666"/>
    <w:rsid w:val="007A079A"/>
    <w:rsid w:val="007A52EC"/>
    <w:rsid w:val="007B06BD"/>
    <w:rsid w:val="007B10D1"/>
    <w:rsid w:val="007B1F36"/>
    <w:rsid w:val="007B3B16"/>
    <w:rsid w:val="007B3CE0"/>
    <w:rsid w:val="007B634B"/>
    <w:rsid w:val="007B67EE"/>
    <w:rsid w:val="007B78D9"/>
    <w:rsid w:val="007C02CB"/>
    <w:rsid w:val="007C2271"/>
    <w:rsid w:val="007C5DED"/>
    <w:rsid w:val="007D014F"/>
    <w:rsid w:val="007D3B15"/>
    <w:rsid w:val="007D75AF"/>
    <w:rsid w:val="007E036E"/>
    <w:rsid w:val="007E0401"/>
    <w:rsid w:val="007E04E5"/>
    <w:rsid w:val="007E1CB4"/>
    <w:rsid w:val="007E33FB"/>
    <w:rsid w:val="007E4CE7"/>
    <w:rsid w:val="007E51C4"/>
    <w:rsid w:val="007E5B50"/>
    <w:rsid w:val="007E5DAB"/>
    <w:rsid w:val="007F12FB"/>
    <w:rsid w:val="007F1464"/>
    <w:rsid w:val="007F1B29"/>
    <w:rsid w:val="007F363C"/>
    <w:rsid w:val="007F41E9"/>
    <w:rsid w:val="007F7F32"/>
    <w:rsid w:val="008026EC"/>
    <w:rsid w:val="00807738"/>
    <w:rsid w:val="00811C93"/>
    <w:rsid w:val="00811EAF"/>
    <w:rsid w:val="0081208F"/>
    <w:rsid w:val="00812116"/>
    <w:rsid w:val="00815F66"/>
    <w:rsid w:val="00816460"/>
    <w:rsid w:val="00816BB5"/>
    <w:rsid w:val="00817333"/>
    <w:rsid w:val="00820F44"/>
    <w:rsid w:val="0082271F"/>
    <w:rsid w:val="00823648"/>
    <w:rsid w:val="00826187"/>
    <w:rsid w:val="00826AB8"/>
    <w:rsid w:val="00826F7D"/>
    <w:rsid w:val="00827109"/>
    <w:rsid w:val="00827814"/>
    <w:rsid w:val="00830B13"/>
    <w:rsid w:val="00831DC4"/>
    <w:rsid w:val="0083268A"/>
    <w:rsid w:val="00833AA2"/>
    <w:rsid w:val="00833E8B"/>
    <w:rsid w:val="0084092A"/>
    <w:rsid w:val="00845A32"/>
    <w:rsid w:val="00846188"/>
    <w:rsid w:val="00846F68"/>
    <w:rsid w:val="00847838"/>
    <w:rsid w:val="00853700"/>
    <w:rsid w:val="00855947"/>
    <w:rsid w:val="0085707C"/>
    <w:rsid w:val="00857E9C"/>
    <w:rsid w:val="00862829"/>
    <w:rsid w:val="008663E4"/>
    <w:rsid w:val="00870F62"/>
    <w:rsid w:val="008806F8"/>
    <w:rsid w:val="00881C1D"/>
    <w:rsid w:val="00887E80"/>
    <w:rsid w:val="008920FC"/>
    <w:rsid w:val="0089325D"/>
    <w:rsid w:val="00893E9F"/>
    <w:rsid w:val="0089440C"/>
    <w:rsid w:val="00894D8F"/>
    <w:rsid w:val="008A035B"/>
    <w:rsid w:val="008A3AB3"/>
    <w:rsid w:val="008A5AA2"/>
    <w:rsid w:val="008A684B"/>
    <w:rsid w:val="008A7508"/>
    <w:rsid w:val="008B13EF"/>
    <w:rsid w:val="008B426F"/>
    <w:rsid w:val="008B557E"/>
    <w:rsid w:val="008B56A3"/>
    <w:rsid w:val="008B5C1B"/>
    <w:rsid w:val="008C1D13"/>
    <w:rsid w:val="008C3839"/>
    <w:rsid w:val="008D19D5"/>
    <w:rsid w:val="008D1D71"/>
    <w:rsid w:val="008D327E"/>
    <w:rsid w:val="008D38C2"/>
    <w:rsid w:val="008D6FD6"/>
    <w:rsid w:val="008E080F"/>
    <w:rsid w:val="008E351C"/>
    <w:rsid w:val="008E44AB"/>
    <w:rsid w:val="008E460D"/>
    <w:rsid w:val="008E555A"/>
    <w:rsid w:val="008E7279"/>
    <w:rsid w:val="008F4143"/>
    <w:rsid w:val="008F463C"/>
    <w:rsid w:val="009031A1"/>
    <w:rsid w:val="00904766"/>
    <w:rsid w:val="00905D27"/>
    <w:rsid w:val="00914B3E"/>
    <w:rsid w:val="0091537E"/>
    <w:rsid w:val="00920B88"/>
    <w:rsid w:val="00921AF6"/>
    <w:rsid w:val="0092409B"/>
    <w:rsid w:val="0092632B"/>
    <w:rsid w:val="00927EFF"/>
    <w:rsid w:val="0093166D"/>
    <w:rsid w:val="00934300"/>
    <w:rsid w:val="00936783"/>
    <w:rsid w:val="00941F79"/>
    <w:rsid w:val="0094224C"/>
    <w:rsid w:val="00946788"/>
    <w:rsid w:val="00946C67"/>
    <w:rsid w:val="00947DB8"/>
    <w:rsid w:val="0095124A"/>
    <w:rsid w:val="00951C60"/>
    <w:rsid w:val="00953D2E"/>
    <w:rsid w:val="0095490A"/>
    <w:rsid w:val="0095494C"/>
    <w:rsid w:val="00957684"/>
    <w:rsid w:val="009612FB"/>
    <w:rsid w:val="00961B6F"/>
    <w:rsid w:val="00963916"/>
    <w:rsid w:val="00964BEC"/>
    <w:rsid w:val="00965404"/>
    <w:rsid w:val="0097053E"/>
    <w:rsid w:val="00971827"/>
    <w:rsid w:val="00973772"/>
    <w:rsid w:val="0097411A"/>
    <w:rsid w:val="00975300"/>
    <w:rsid w:val="00975A42"/>
    <w:rsid w:val="00976B16"/>
    <w:rsid w:val="0097722A"/>
    <w:rsid w:val="009817E6"/>
    <w:rsid w:val="00981CF8"/>
    <w:rsid w:val="00984918"/>
    <w:rsid w:val="00984A83"/>
    <w:rsid w:val="009855FC"/>
    <w:rsid w:val="00986AA2"/>
    <w:rsid w:val="00987F5E"/>
    <w:rsid w:val="00993E49"/>
    <w:rsid w:val="0099676A"/>
    <w:rsid w:val="00997FB8"/>
    <w:rsid w:val="009A2721"/>
    <w:rsid w:val="009A3C25"/>
    <w:rsid w:val="009A5556"/>
    <w:rsid w:val="009A6CBE"/>
    <w:rsid w:val="009A74AA"/>
    <w:rsid w:val="009B0A54"/>
    <w:rsid w:val="009B0F4E"/>
    <w:rsid w:val="009B2FCE"/>
    <w:rsid w:val="009B7472"/>
    <w:rsid w:val="009C265B"/>
    <w:rsid w:val="009C36C8"/>
    <w:rsid w:val="009C4046"/>
    <w:rsid w:val="009C54D1"/>
    <w:rsid w:val="009C7817"/>
    <w:rsid w:val="009D16DD"/>
    <w:rsid w:val="009E0213"/>
    <w:rsid w:val="009E384B"/>
    <w:rsid w:val="009E388D"/>
    <w:rsid w:val="009E55DD"/>
    <w:rsid w:val="009E6033"/>
    <w:rsid w:val="009E6462"/>
    <w:rsid w:val="009F06E2"/>
    <w:rsid w:val="009F38E9"/>
    <w:rsid w:val="009F61A4"/>
    <w:rsid w:val="009F7B78"/>
    <w:rsid w:val="00A049C7"/>
    <w:rsid w:val="00A05D86"/>
    <w:rsid w:val="00A062D9"/>
    <w:rsid w:val="00A06894"/>
    <w:rsid w:val="00A079AD"/>
    <w:rsid w:val="00A11EDE"/>
    <w:rsid w:val="00A1280A"/>
    <w:rsid w:val="00A12BB5"/>
    <w:rsid w:val="00A15666"/>
    <w:rsid w:val="00A16134"/>
    <w:rsid w:val="00A169E9"/>
    <w:rsid w:val="00A17C1C"/>
    <w:rsid w:val="00A207E4"/>
    <w:rsid w:val="00A21345"/>
    <w:rsid w:val="00A25E58"/>
    <w:rsid w:val="00A2714E"/>
    <w:rsid w:val="00A30C54"/>
    <w:rsid w:val="00A31E29"/>
    <w:rsid w:val="00A327CB"/>
    <w:rsid w:val="00A32B85"/>
    <w:rsid w:val="00A33F55"/>
    <w:rsid w:val="00A34828"/>
    <w:rsid w:val="00A35F8B"/>
    <w:rsid w:val="00A36160"/>
    <w:rsid w:val="00A37AA3"/>
    <w:rsid w:val="00A37C2A"/>
    <w:rsid w:val="00A41565"/>
    <w:rsid w:val="00A44522"/>
    <w:rsid w:val="00A45077"/>
    <w:rsid w:val="00A451E5"/>
    <w:rsid w:val="00A47B5C"/>
    <w:rsid w:val="00A51853"/>
    <w:rsid w:val="00A53895"/>
    <w:rsid w:val="00A545AD"/>
    <w:rsid w:val="00A554A6"/>
    <w:rsid w:val="00A56DEB"/>
    <w:rsid w:val="00A575FB"/>
    <w:rsid w:val="00A621AF"/>
    <w:rsid w:val="00A666DF"/>
    <w:rsid w:val="00A7059A"/>
    <w:rsid w:val="00A72139"/>
    <w:rsid w:val="00A73BB8"/>
    <w:rsid w:val="00A74825"/>
    <w:rsid w:val="00A76AB6"/>
    <w:rsid w:val="00A81144"/>
    <w:rsid w:val="00A81147"/>
    <w:rsid w:val="00A8241E"/>
    <w:rsid w:val="00A82EA2"/>
    <w:rsid w:val="00A85103"/>
    <w:rsid w:val="00A85477"/>
    <w:rsid w:val="00A857CB"/>
    <w:rsid w:val="00A87AF5"/>
    <w:rsid w:val="00A910AC"/>
    <w:rsid w:val="00A91736"/>
    <w:rsid w:val="00A95B22"/>
    <w:rsid w:val="00A96332"/>
    <w:rsid w:val="00A9673B"/>
    <w:rsid w:val="00A97590"/>
    <w:rsid w:val="00A97A64"/>
    <w:rsid w:val="00AA449C"/>
    <w:rsid w:val="00AA4712"/>
    <w:rsid w:val="00AA63C4"/>
    <w:rsid w:val="00AA74E2"/>
    <w:rsid w:val="00AB0CE4"/>
    <w:rsid w:val="00AB1FD7"/>
    <w:rsid w:val="00AB6EEC"/>
    <w:rsid w:val="00AC0919"/>
    <w:rsid w:val="00AC0928"/>
    <w:rsid w:val="00AC11E4"/>
    <w:rsid w:val="00AC4493"/>
    <w:rsid w:val="00AC7791"/>
    <w:rsid w:val="00AD0B4E"/>
    <w:rsid w:val="00AD76EE"/>
    <w:rsid w:val="00AE3833"/>
    <w:rsid w:val="00AE3991"/>
    <w:rsid w:val="00AE3ADC"/>
    <w:rsid w:val="00AE48EC"/>
    <w:rsid w:val="00AE4E6E"/>
    <w:rsid w:val="00AF0633"/>
    <w:rsid w:val="00AF1663"/>
    <w:rsid w:val="00AF26E9"/>
    <w:rsid w:val="00AF3721"/>
    <w:rsid w:val="00AF6C6F"/>
    <w:rsid w:val="00B02C81"/>
    <w:rsid w:val="00B033C9"/>
    <w:rsid w:val="00B05C8F"/>
    <w:rsid w:val="00B12E13"/>
    <w:rsid w:val="00B143E3"/>
    <w:rsid w:val="00B1475B"/>
    <w:rsid w:val="00B14813"/>
    <w:rsid w:val="00B15EEE"/>
    <w:rsid w:val="00B17199"/>
    <w:rsid w:val="00B17F11"/>
    <w:rsid w:val="00B201F8"/>
    <w:rsid w:val="00B20427"/>
    <w:rsid w:val="00B206EF"/>
    <w:rsid w:val="00B20C88"/>
    <w:rsid w:val="00B21FE1"/>
    <w:rsid w:val="00B22A1F"/>
    <w:rsid w:val="00B22D76"/>
    <w:rsid w:val="00B23457"/>
    <w:rsid w:val="00B266DE"/>
    <w:rsid w:val="00B30841"/>
    <w:rsid w:val="00B33067"/>
    <w:rsid w:val="00B33529"/>
    <w:rsid w:val="00B340AE"/>
    <w:rsid w:val="00B34D0A"/>
    <w:rsid w:val="00B35C12"/>
    <w:rsid w:val="00B35C18"/>
    <w:rsid w:val="00B37B11"/>
    <w:rsid w:val="00B42284"/>
    <w:rsid w:val="00B4335D"/>
    <w:rsid w:val="00B43AD1"/>
    <w:rsid w:val="00B46179"/>
    <w:rsid w:val="00B475A6"/>
    <w:rsid w:val="00B51E78"/>
    <w:rsid w:val="00B546D2"/>
    <w:rsid w:val="00B54F29"/>
    <w:rsid w:val="00B56DB7"/>
    <w:rsid w:val="00B57DAC"/>
    <w:rsid w:val="00B57E46"/>
    <w:rsid w:val="00B6548C"/>
    <w:rsid w:val="00B66585"/>
    <w:rsid w:val="00B6694D"/>
    <w:rsid w:val="00B70974"/>
    <w:rsid w:val="00B71171"/>
    <w:rsid w:val="00B72000"/>
    <w:rsid w:val="00B7384F"/>
    <w:rsid w:val="00B769AD"/>
    <w:rsid w:val="00B82870"/>
    <w:rsid w:val="00B837AE"/>
    <w:rsid w:val="00B8465C"/>
    <w:rsid w:val="00B8471B"/>
    <w:rsid w:val="00B84DDA"/>
    <w:rsid w:val="00B86998"/>
    <w:rsid w:val="00B87324"/>
    <w:rsid w:val="00B9378C"/>
    <w:rsid w:val="00B93CBF"/>
    <w:rsid w:val="00B941DF"/>
    <w:rsid w:val="00B966F5"/>
    <w:rsid w:val="00B979B2"/>
    <w:rsid w:val="00BA226A"/>
    <w:rsid w:val="00BA4A48"/>
    <w:rsid w:val="00BB276A"/>
    <w:rsid w:val="00BB2FB7"/>
    <w:rsid w:val="00BB4AD8"/>
    <w:rsid w:val="00BB4C77"/>
    <w:rsid w:val="00BB5B12"/>
    <w:rsid w:val="00BB61DA"/>
    <w:rsid w:val="00BB665E"/>
    <w:rsid w:val="00BB701F"/>
    <w:rsid w:val="00BB7FF4"/>
    <w:rsid w:val="00BC0CC4"/>
    <w:rsid w:val="00BC65F9"/>
    <w:rsid w:val="00BC6FC3"/>
    <w:rsid w:val="00BD06CC"/>
    <w:rsid w:val="00BD3A09"/>
    <w:rsid w:val="00BD4A23"/>
    <w:rsid w:val="00BD5186"/>
    <w:rsid w:val="00BD6592"/>
    <w:rsid w:val="00BE3B28"/>
    <w:rsid w:val="00BF1CDF"/>
    <w:rsid w:val="00BF26D8"/>
    <w:rsid w:val="00BF358B"/>
    <w:rsid w:val="00BF4D27"/>
    <w:rsid w:val="00BF7A10"/>
    <w:rsid w:val="00C013FC"/>
    <w:rsid w:val="00C0142F"/>
    <w:rsid w:val="00C01AE4"/>
    <w:rsid w:val="00C03CE7"/>
    <w:rsid w:val="00C04A6F"/>
    <w:rsid w:val="00C04CF4"/>
    <w:rsid w:val="00C06C96"/>
    <w:rsid w:val="00C06D34"/>
    <w:rsid w:val="00C11890"/>
    <w:rsid w:val="00C16586"/>
    <w:rsid w:val="00C17F65"/>
    <w:rsid w:val="00C23682"/>
    <w:rsid w:val="00C25517"/>
    <w:rsid w:val="00C3070E"/>
    <w:rsid w:val="00C30C92"/>
    <w:rsid w:val="00C318E7"/>
    <w:rsid w:val="00C321C3"/>
    <w:rsid w:val="00C32361"/>
    <w:rsid w:val="00C33CAE"/>
    <w:rsid w:val="00C352F8"/>
    <w:rsid w:val="00C36C89"/>
    <w:rsid w:val="00C377B8"/>
    <w:rsid w:val="00C410FC"/>
    <w:rsid w:val="00C449EF"/>
    <w:rsid w:val="00C44EBE"/>
    <w:rsid w:val="00C458E7"/>
    <w:rsid w:val="00C4628D"/>
    <w:rsid w:val="00C46B13"/>
    <w:rsid w:val="00C4721F"/>
    <w:rsid w:val="00C550E4"/>
    <w:rsid w:val="00C5538C"/>
    <w:rsid w:val="00C55D5B"/>
    <w:rsid w:val="00C57119"/>
    <w:rsid w:val="00C61238"/>
    <w:rsid w:val="00C64067"/>
    <w:rsid w:val="00C641CF"/>
    <w:rsid w:val="00C660C3"/>
    <w:rsid w:val="00C670B9"/>
    <w:rsid w:val="00C708A8"/>
    <w:rsid w:val="00C72E2D"/>
    <w:rsid w:val="00C74D43"/>
    <w:rsid w:val="00C754DF"/>
    <w:rsid w:val="00C76C5C"/>
    <w:rsid w:val="00C818E3"/>
    <w:rsid w:val="00C8199A"/>
    <w:rsid w:val="00C82913"/>
    <w:rsid w:val="00C82DDC"/>
    <w:rsid w:val="00C83729"/>
    <w:rsid w:val="00C84FB2"/>
    <w:rsid w:val="00C864CB"/>
    <w:rsid w:val="00C86FA5"/>
    <w:rsid w:val="00C92762"/>
    <w:rsid w:val="00CA0E96"/>
    <w:rsid w:val="00CA1642"/>
    <w:rsid w:val="00CA30C5"/>
    <w:rsid w:val="00CA35FD"/>
    <w:rsid w:val="00CA6573"/>
    <w:rsid w:val="00CA72ED"/>
    <w:rsid w:val="00CB5962"/>
    <w:rsid w:val="00CB6A17"/>
    <w:rsid w:val="00CC0959"/>
    <w:rsid w:val="00CC447E"/>
    <w:rsid w:val="00CC7E48"/>
    <w:rsid w:val="00CD1014"/>
    <w:rsid w:val="00CD222E"/>
    <w:rsid w:val="00CD2DAF"/>
    <w:rsid w:val="00CD3332"/>
    <w:rsid w:val="00CD350B"/>
    <w:rsid w:val="00CD5721"/>
    <w:rsid w:val="00CE1F80"/>
    <w:rsid w:val="00CE4A77"/>
    <w:rsid w:val="00CE4FF4"/>
    <w:rsid w:val="00CF2A14"/>
    <w:rsid w:val="00D0041D"/>
    <w:rsid w:val="00D00444"/>
    <w:rsid w:val="00D038AB"/>
    <w:rsid w:val="00D071D7"/>
    <w:rsid w:val="00D10D9A"/>
    <w:rsid w:val="00D14D87"/>
    <w:rsid w:val="00D150D3"/>
    <w:rsid w:val="00D17400"/>
    <w:rsid w:val="00D179D2"/>
    <w:rsid w:val="00D20D3D"/>
    <w:rsid w:val="00D219DC"/>
    <w:rsid w:val="00D21B75"/>
    <w:rsid w:val="00D22B73"/>
    <w:rsid w:val="00D24373"/>
    <w:rsid w:val="00D24771"/>
    <w:rsid w:val="00D274C6"/>
    <w:rsid w:val="00D32677"/>
    <w:rsid w:val="00D34B43"/>
    <w:rsid w:val="00D3719D"/>
    <w:rsid w:val="00D40EE4"/>
    <w:rsid w:val="00D423B7"/>
    <w:rsid w:val="00D45B15"/>
    <w:rsid w:val="00D45CF4"/>
    <w:rsid w:val="00D4723C"/>
    <w:rsid w:val="00D54C00"/>
    <w:rsid w:val="00D55099"/>
    <w:rsid w:val="00D554BD"/>
    <w:rsid w:val="00D554EC"/>
    <w:rsid w:val="00D63D3F"/>
    <w:rsid w:val="00D646E9"/>
    <w:rsid w:val="00D66104"/>
    <w:rsid w:val="00D669AE"/>
    <w:rsid w:val="00D71E3C"/>
    <w:rsid w:val="00D72761"/>
    <w:rsid w:val="00D757CE"/>
    <w:rsid w:val="00D77CD5"/>
    <w:rsid w:val="00D82B57"/>
    <w:rsid w:val="00D83EEF"/>
    <w:rsid w:val="00D84163"/>
    <w:rsid w:val="00D85713"/>
    <w:rsid w:val="00D85E7D"/>
    <w:rsid w:val="00D867A0"/>
    <w:rsid w:val="00D867EF"/>
    <w:rsid w:val="00D87A86"/>
    <w:rsid w:val="00D962E1"/>
    <w:rsid w:val="00DA144F"/>
    <w:rsid w:val="00DA14F1"/>
    <w:rsid w:val="00DA2AED"/>
    <w:rsid w:val="00DA2C6D"/>
    <w:rsid w:val="00DA4B1C"/>
    <w:rsid w:val="00DA5BA1"/>
    <w:rsid w:val="00DA71DA"/>
    <w:rsid w:val="00DA7255"/>
    <w:rsid w:val="00DA73B1"/>
    <w:rsid w:val="00DB1C6A"/>
    <w:rsid w:val="00DB264F"/>
    <w:rsid w:val="00DB2F5B"/>
    <w:rsid w:val="00DB41C7"/>
    <w:rsid w:val="00DB7A49"/>
    <w:rsid w:val="00DB7CB8"/>
    <w:rsid w:val="00DC1756"/>
    <w:rsid w:val="00DC353F"/>
    <w:rsid w:val="00DC725C"/>
    <w:rsid w:val="00DC731D"/>
    <w:rsid w:val="00DD0192"/>
    <w:rsid w:val="00DD041B"/>
    <w:rsid w:val="00DD11D2"/>
    <w:rsid w:val="00DD2856"/>
    <w:rsid w:val="00DD4345"/>
    <w:rsid w:val="00DD4F5A"/>
    <w:rsid w:val="00DD6354"/>
    <w:rsid w:val="00DD665E"/>
    <w:rsid w:val="00DD6A37"/>
    <w:rsid w:val="00DD6F74"/>
    <w:rsid w:val="00DE01BC"/>
    <w:rsid w:val="00DE0C29"/>
    <w:rsid w:val="00DE0E5E"/>
    <w:rsid w:val="00DE0E8F"/>
    <w:rsid w:val="00DE2142"/>
    <w:rsid w:val="00DE4A47"/>
    <w:rsid w:val="00DE5450"/>
    <w:rsid w:val="00DE6A37"/>
    <w:rsid w:val="00DF2DFE"/>
    <w:rsid w:val="00DF6830"/>
    <w:rsid w:val="00DF7BDC"/>
    <w:rsid w:val="00E00B32"/>
    <w:rsid w:val="00E00C49"/>
    <w:rsid w:val="00E03ABF"/>
    <w:rsid w:val="00E06552"/>
    <w:rsid w:val="00E106AF"/>
    <w:rsid w:val="00E1133B"/>
    <w:rsid w:val="00E1399E"/>
    <w:rsid w:val="00E14AFC"/>
    <w:rsid w:val="00E14DD3"/>
    <w:rsid w:val="00E14FA9"/>
    <w:rsid w:val="00E17025"/>
    <w:rsid w:val="00E200EB"/>
    <w:rsid w:val="00E2096F"/>
    <w:rsid w:val="00E22318"/>
    <w:rsid w:val="00E2429B"/>
    <w:rsid w:val="00E246C2"/>
    <w:rsid w:val="00E24AEB"/>
    <w:rsid w:val="00E262F2"/>
    <w:rsid w:val="00E33408"/>
    <w:rsid w:val="00E337EC"/>
    <w:rsid w:val="00E34F57"/>
    <w:rsid w:val="00E352B7"/>
    <w:rsid w:val="00E36677"/>
    <w:rsid w:val="00E4073D"/>
    <w:rsid w:val="00E40DE2"/>
    <w:rsid w:val="00E453B1"/>
    <w:rsid w:val="00E46350"/>
    <w:rsid w:val="00E5031B"/>
    <w:rsid w:val="00E5082D"/>
    <w:rsid w:val="00E54D60"/>
    <w:rsid w:val="00E558D8"/>
    <w:rsid w:val="00E576A9"/>
    <w:rsid w:val="00E6152B"/>
    <w:rsid w:val="00E63F0E"/>
    <w:rsid w:val="00E64646"/>
    <w:rsid w:val="00E64683"/>
    <w:rsid w:val="00E65946"/>
    <w:rsid w:val="00E709A6"/>
    <w:rsid w:val="00E71E85"/>
    <w:rsid w:val="00E722EF"/>
    <w:rsid w:val="00E8110C"/>
    <w:rsid w:val="00E817C1"/>
    <w:rsid w:val="00E82EEE"/>
    <w:rsid w:val="00E837A1"/>
    <w:rsid w:val="00E83F78"/>
    <w:rsid w:val="00E85546"/>
    <w:rsid w:val="00E8628C"/>
    <w:rsid w:val="00E86ABE"/>
    <w:rsid w:val="00E91E93"/>
    <w:rsid w:val="00EA1097"/>
    <w:rsid w:val="00EA1693"/>
    <w:rsid w:val="00EA4053"/>
    <w:rsid w:val="00EA7BD9"/>
    <w:rsid w:val="00EB0017"/>
    <w:rsid w:val="00EB008F"/>
    <w:rsid w:val="00EB0CBC"/>
    <w:rsid w:val="00EB2730"/>
    <w:rsid w:val="00EB37B6"/>
    <w:rsid w:val="00EB5B18"/>
    <w:rsid w:val="00EB7E7E"/>
    <w:rsid w:val="00EC27D5"/>
    <w:rsid w:val="00EC3785"/>
    <w:rsid w:val="00EC43EA"/>
    <w:rsid w:val="00ED14C5"/>
    <w:rsid w:val="00ED29D5"/>
    <w:rsid w:val="00ED3761"/>
    <w:rsid w:val="00ED5CD7"/>
    <w:rsid w:val="00EE303C"/>
    <w:rsid w:val="00EE354E"/>
    <w:rsid w:val="00EE422E"/>
    <w:rsid w:val="00EE4EC3"/>
    <w:rsid w:val="00EF1E48"/>
    <w:rsid w:val="00EF3380"/>
    <w:rsid w:val="00EF7B7C"/>
    <w:rsid w:val="00F04005"/>
    <w:rsid w:val="00F07133"/>
    <w:rsid w:val="00F11311"/>
    <w:rsid w:val="00F1166E"/>
    <w:rsid w:val="00F11C01"/>
    <w:rsid w:val="00F12830"/>
    <w:rsid w:val="00F158D8"/>
    <w:rsid w:val="00F1728F"/>
    <w:rsid w:val="00F21CB2"/>
    <w:rsid w:val="00F24579"/>
    <w:rsid w:val="00F24656"/>
    <w:rsid w:val="00F255AC"/>
    <w:rsid w:val="00F30403"/>
    <w:rsid w:val="00F30A59"/>
    <w:rsid w:val="00F323C2"/>
    <w:rsid w:val="00F3410B"/>
    <w:rsid w:val="00F3439B"/>
    <w:rsid w:val="00F34DC7"/>
    <w:rsid w:val="00F35C55"/>
    <w:rsid w:val="00F37149"/>
    <w:rsid w:val="00F37600"/>
    <w:rsid w:val="00F37778"/>
    <w:rsid w:val="00F41C1F"/>
    <w:rsid w:val="00F4289F"/>
    <w:rsid w:val="00F4306D"/>
    <w:rsid w:val="00F44741"/>
    <w:rsid w:val="00F449A6"/>
    <w:rsid w:val="00F44ABB"/>
    <w:rsid w:val="00F45BCD"/>
    <w:rsid w:val="00F46849"/>
    <w:rsid w:val="00F46D82"/>
    <w:rsid w:val="00F471D7"/>
    <w:rsid w:val="00F479B2"/>
    <w:rsid w:val="00F5040C"/>
    <w:rsid w:val="00F53F34"/>
    <w:rsid w:val="00F54775"/>
    <w:rsid w:val="00F56127"/>
    <w:rsid w:val="00F60718"/>
    <w:rsid w:val="00F6336C"/>
    <w:rsid w:val="00F66DF9"/>
    <w:rsid w:val="00F67B20"/>
    <w:rsid w:val="00F7221D"/>
    <w:rsid w:val="00F76182"/>
    <w:rsid w:val="00F7681B"/>
    <w:rsid w:val="00F82249"/>
    <w:rsid w:val="00F83D8F"/>
    <w:rsid w:val="00F846E9"/>
    <w:rsid w:val="00F9041A"/>
    <w:rsid w:val="00F92535"/>
    <w:rsid w:val="00F93DFD"/>
    <w:rsid w:val="00F96746"/>
    <w:rsid w:val="00FA4A05"/>
    <w:rsid w:val="00FB0696"/>
    <w:rsid w:val="00FB11EC"/>
    <w:rsid w:val="00FB1FCB"/>
    <w:rsid w:val="00FB73AE"/>
    <w:rsid w:val="00FC0513"/>
    <w:rsid w:val="00FC5589"/>
    <w:rsid w:val="00FC5CF9"/>
    <w:rsid w:val="00FC7EA7"/>
    <w:rsid w:val="00FD1497"/>
    <w:rsid w:val="00FD2BD2"/>
    <w:rsid w:val="00FD4058"/>
    <w:rsid w:val="00FE4033"/>
    <w:rsid w:val="00FE5B4A"/>
    <w:rsid w:val="00FE62DE"/>
    <w:rsid w:val="00FE6D75"/>
    <w:rsid w:val="00FF05CB"/>
    <w:rsid w:val="00FF232E"/>
    <w:rsid w:val="00FF35A4"/>
    <w:rsid w:val="00FF5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E619A"/>
  <w15:docId w15:val="{4FC4C9BE-F5B5-E649-96A5-8D8450E0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8D"/>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B033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E08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C7ABA"/>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Prrafodelista"/>
    <w:next w:val="Normal"/>
    <w:link w:val="Ttulo4Car"/>
    <w:qFormat/>
    <w:rsid w:val="00D83EEF"/>
    <w:pPr>
      <w:widowControl w:val="0"/>
      <w:pBdr>
        <w:top w:val="nil"/>
        <w:left w:val="nil"/>
        <w:bottom w:val="nil"/>
        <w:right w:val="nil"/>
        <w:between w:val="nil"/>
        <w:bar w:val="nil"/>
      </w:pBdr>
      <w:spacing w:after="0" w:line="276" w:lineRule="auto"/>
      <w:ind w:left="1440" w:hanging="360"/>
      <w:contextualSpacing w:val="0"/>
      <w:jc w:val="both"/>
      <w:outlineLvl w:val="3"/>
    </w:pPr>
    <w:rPr>
      <w:rFonts w:ascii="Verdana" w:eastAsia="Verdana" w:hAnsi="Verdana" w:cs="Verdana"/>
      <w:b/>
      <w:bCs/>
      <w:color w:val="000000"/>
      <w:sz w:val="20"/>
      <w:szCs w:val="20"/>
      <w:u w:color="000000"/>
      <w:bdr w:val="nil"/>
      <w:lang w:val="es-ES_tradnl" w:eastAsia="es-CR"/>
    </w:rPr>
  </w:style>
  <w:style w:type="paragraph" w:styleId="Ttulo5">
    <w:name w:val="heading 5"/>
    <w:basedOn w:val="Normal"/>
    <w:next w:val="Normal"/>
    <w:link w:val="Ttulo5Car"/>
    <w:uiPriority w:val="9"/>
    <w:unhideWhenUsed/>
    <w:qFormat/>
    <w:rsid w:val="00080E5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Párrafo de lista1,List Paragraph1,Colorful List - Accent 11,Lista vistosa - Énfasis 11,Subtle Emphasis1,Footnote1,Footnote"/>
    <w:basedOn w:val="Normal"/>
    <w:link w:val="PrrafodelistaCar"/>
    <w:uiPriority w:val="34"/>
    <w:qFormat/>
    <w:rsid w:val="00DF2DFE"/>
    <w:pPr>
      <w:spacing w:after="160" w:line="259" w:lineRule="auto"/>
      <w:ind w:left="720"/>
      <w:contextualSpacing/>
    </w:pPr>
    <w:rPr>
      <w:rFonts w:asciiTheme="minorHAnsi" w:eastAsiaTheme="minorHAnsi" w:hAnsiTheme="minorHAnsi" w:cstheme="minorBidi"/>
      <w:sz w:val="22"/>
      <w:szCs w:val="22"/>
      <w:lang w:val="es-CR" w:eastAsia="en-US"/>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Car"/>
    <w:basedOn w:val="Normal"/>
    <w:link w:val="TextonotapieCar"/>
    <w:unhideWhenUsed/>
    <w:qFormat/>
    <w:rsid w:val="00DF2DFE"/>
    <w:rPr>
      <w:rFonts w:asciiTheme="minorHAnsi" w:eastAsiaTheme="minorHAnsi" w:hAnsiTheme="minorHAnsi" w:cstheme="minorBidi"/>
      <w:sz w:val="20"/>
      <w:szCs w:val="20"/>
      <w:lang w:val="es-CR" w:eastAsia="en-US"/>
    </w:rPr>
  </w:style>
  <w:style w:type="character" w:customStyle="1" w:styleId="TextonotapieCar">
    <w:name w:val="Texto nota pie Car"/>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qFormat/>
    <w:rsid w:val="00DF2DFE"/>
    <w:rPr>
      <w:sz w:val="20"/>
      <w:szCs w:val="20"/>
      <w:lang w:val="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link w:val="4GChar"/>
    <w:uiPriority w:val="99"/>
    <w:unhideWhenUsed/>
    <w:qFormat/>
    <w:rsid w:val="00DF2DF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F2DFE"/>
    <w:pPr>
      <w:jc w:val="both"/>
    </w:pPr>
    <w:rPr>
      <w:rFonts w:asciiTheme="minorHAnsi" w:eastAsiaTheme="minorHAnsi" w:hAnsiTheme="minorHAnsi" w:cstheme="minorBidi"/>
      <w:vertAlign w:val="superscript"/>
      <w:lang w:eastAsia="en-US"/>
    </w:rPr>
  </w:style>
  <w:style w:type="character" w:customStyle="1" w:styleId="PrrafodelistaCar">
    <w:name w:val="Párrafo de lista Car"/>
    <w:aliases w:val="List Paragraph2 Car,Párrafo de lista1 Car,List Paragraph1 Car,Colorful List - Accent 11 Car,Lista vistosa - Énfasis 11 Car,Subtle Emphasis1 Car,Footnote1 Car,Footnote Car"/>
    <w:link w:val="Prrafodelista"/>
    <w:uiPriority w:val="34"/>
    <w:locked/>
    <w:rsid w:val="00DF2DFE"/>
    <w:rPr>
      <w:sz w:val="22"/>
      <w:szCs w:val="22"/>
      <w:lang w:val="es-CR"/>
    </w:rPr>
  </w:style>
  <w:style w:type="character" w:styleId="Textoennegrita">
    <w:name w:val="Strong"/>
    <w:aliases w:val="Heading 2.1"/>
    <w:uiPriority w:val="22"/>
    <w:qFormat/>
    <w:rsid w:val="00DF2DFE"/>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394372"/>
    <w:pPr>
      <w:spacing w:after="160" w:line="240" w:lineRule="exact"/>
    </w:pPr>
    <w:rPr>
      <w:vertAlign w:val="superscript"/>
    </w:rPr>
  </w:style>
  <w:style w:type="character" w:customStyle="1" w:styleId="apple-converted-space">
    <w:name w:val="apple-converted-space"/>
    <w:basedOn w:val="Fuentedeprrafopredeter"/>
    <w:rsid w:val="00394372"/>
  </w:style>
  <w:style w:type="paragraph" w:styleId="NormalWeb">
    <w:name w:val="Normal (Web)"/>
    <w:basedOn w:val="Normal"/>
    <w:uiPriority w:val="99"/>
    <w:unhideWhenUsed/>
    <w:rsid w:val="00394372"/>
    <w:pPr>
      <w:spacing w:before="100" w:beforeAutospacing="1" w:after="100" w:afterAutospacing="1"/>
    </w:pPr>
  </w:style>
  <w:style w:type="paragraph" w:styleId="Piedepgina">
    <w:name w:val="footer"/>
    <w:basedOn w:val="Normal"/>
    <w:link w:val="PiedepginaCar"/>
    <w:uiPriority w:val="99"/>
    <w:unhideWhenUsed/>
    <w:rsid w:val="00141788"/>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141788"/>
    <w:rPr>
      <w:sz w:val="22"/>
      <w:szCs w:val="22"/>
      <w:lang w:val="es-CR"/>
    </w:rPr>
  </w:style>
  <w:style w:type="character" w:styleId="Nmerodepgina">
    <w:name w:val="page number"/>
    <w:basedOn w:val="Fuentedeprrafopredeter"/>
    <w:uiPriority w:val="99"/>
    <w:semiHidden/>
    <w:unhideWhenUsed/>
    <w:rsid w:val="00141788"/>
  </w:style>
  <w:style w:type="paragraph" w:customStyle="1" w:styleId="PrrafodeSentencia">
    <w:name w:val="*. Párrafo de Sentencia"/>
    <w:basedOn w:val="Normal"/>
    <w:next w:val="Normal"/>
    <w:link w:val="PrrafodeSentenciaChar"/>
    <w:qFormat/>
    <w:rsid w:val="004669A1"/>
    <w:pPr>
      <w:numPr>
        <w:numId w:val="1"/>
      </w:numPr>
      <w:tabs>
        <w:tab w:val="left" w:pos="567"/>
      </w:tabs>
      <w:ind w:left="0" w:firstLine="0"/>
      <w:jc w:val="both"/>
    </w:pPr>
    <w:rPr>
      <w:rFonts w:ascii="Verdana" w:eastAsia="Batang" w:hAnsi="Verdana" w:cstheme="minorBidi"/>
      <w:spacing w:val="-4"/>
      <w:sz w:val="20"/>
      <w:szCs w:val="22"/>
      <w:lang w:val="es-CR"/>
    </w:rPr>
  </w:style>
  <w:style w:type="character" w:customStyle="1" w:styleId="PrrafodeSentenciaChar">
    <w:name w:val="*. Párrafo de Sentencia Char"/>
    <w:link w:val="PrrafodeSentencia"/>
    <w:locked/>
    <w:rsid w:val="004669A1"/>
    <w:rPr>
      <w:rFonts w:ascii="Verdana" w:eastAsia="Batang" w:hAnsi="Verdana"/>
      <w:spacing w:val="-4"/>
      <w:sz w:val="20"/>
      <w:szCs w:val="22"/>
      <w:lang w:val="es-CR" w:eastAsia="es-MX"/>
    </w:rPr>
  </w:style>
  <w:style w:type="character" w:styleId="Hipervnculo">
    <w:name w:val="Hyperlink"/>
    <w:basedOn w:val="Fuentedeprrafopredeter"/>
    <w:uiPriority w:val="99"/>
    <w:unhideWhenUsed/>
    <w:rsid w:val="007346EF"/>
    <w:rPr>
      <w:color w:val="0563C1" w:themeColor="hyperlink"/>
      <w:u w:val="single"/>
    </w:rPr>
  </w:style>
  <w:style w:type="character" w:customStyle="1" w:styleId="UnresolvedMention1">
    <w:name w:val="Unresolved Mention1"/>
    <w:basedOn w:val="Fuentedeprrafopredeter"/>
    <w:uiPriority w:val="99"/>
    <w:semiHidden/>
    <w:unhideWhenUsed/>
    <w:rsid w:val="007346EF"/>
    <w:rPr>
      <w:color w:val="605E5C"/>
      <w:shd w:val="clear" w:color="auto" w:fill="E1DFDD"/>
    </w:rPr>
  </w:style>
  <w:style w:type="character" w:styleId="Hipervnculovisitado">
    <w:name w:val="FollowedHyperlink"/>
    <w:basedOn w:val="Fuentedeprrafopredeter"/>
    <w:uiPriority w:val="99"/>
    <w:semiHidden/>
    <w:unhideWhenUsed/>
    <w:rsid w:val="007346EF"/>
    <w:rPr>
      <w:color w:val="954F72" w:themeColor="followedHyperlink"/>
      <w:u w:val="single"/>
    </w:rPr>
  </w:style>
  <w:style w:type="character" w:styleId="Refdecomentario">
    <w:name w:val="annotation reference"/>
    <w:basedOn w:val="Fuentedeprrafopredeter"/>
    <w:uiPriority w:val="99"/>
    <w:unhideWhenUsed/>
    <w:rsid w:val="00DD2856"/>
    <w:rPr>
      <w:sz w:val="16"/>
      <w:szCs w:val="16"/>
    </w:rPr>
  </w:style>
  <w:style w:type="paragraph" w:styleId="Textocomentario">
    <w:name w:val="annotation text"/>
    <w:basedOn w:val="Normal"/>
    <w:link w:val="TextocomentarioCar"/>
    <w:uiPriority w:val="99"/>
    <w:unhideWhenUsed/>
    <w:rsid w:val="00DD2856"/>
    <w:pPr>
      <w:spacing w:after="16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rsid w:val="00DD2856"/>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DD2856"/>
    <w:rPr>
      <w:b/>
      <w:bCs/>
    </w:rPr>
  </w:style>
  <w:style w:type="character" w:customStyle="1" w:styleId="AsuntodelcomentarioCar">
    <w:name w:val="Asunto del comentario Car"/>
    <w:basedOn w:val="TextocomentarioCar"/>
    <w:link w:val="Asuntodelcomentario"/>
    <w:uiPriority w:val="99"/>
    <w:semiHidden/>
    <w:rsid w:val="00DD2856"/>
    <w:rPr>
      <w:b/>
      <w:bCs/>
      <w:sz w:val="20"/>
      <w:szCs w:val="20"/>
      <w:lang w:val="es-CR"/>
    </w:rPr>
  </w:style>
  <w:style w:type="paragraph" w:styleId="Textodeglobo">
    <w:name w:val="Balloon Text"/>
    <w:basedOn w:val="Normal"/>
    <w:link w:val="TextodegloboCar"/>
    <w:uiPriority w:val="99"/>
    <w:semiHidden/>
    <w:unhideWhenUsed/>
    <w:rsid w:val="00DD2856"/>
    <w:rPr>
      <w:rFonts w:eastAsiaTheme="minorHAnsi"/>
      <w:sz w:val="18"/>
      <w:szCs w:val="18"/>
      <w:lang w:val="es-CR" w:eastAsia="en-US"/>
    </w:rPr>
  </w:style>
  <w:style w:type="character" w:customStyle="1" w:styleId="TextodegloboCar">
    <w:name w:val="Texto de globo Car"/>
    <w:basedOn w:val="Fuentedeprrafopredeter"/>
    <w:link w:val="Textodeglobo"/>
    <w:uiPriority w:val="99"/>
    <w:semiHidden/>
    <w:rsid w:val="00DD2856"/>
    <w:rPr>
      <w:rFonts w:ascii="Times New Roman" w:hAnsi="Times New Roman" w:cs="Times New Roman"/>
      <w:sz w:val="18"/>
      <w:szCs w:val="18"/>
      <w:lang w:val="es-CR"/>
    </w:rPr>
  </w:style>
  <w:style w:type="paragraph" w:customStyle="1" w:styleId="Default">
    <w:name w:val="Default"/>
    <w:rsid w:val="00807738"/>
    <w:pPr>
      <w:autoSpaceDE w:val="0"/>
      <w:autoSpaceDN w:val="0"/>
      <w:adjustRightInd w:val="0"/>
    </w:pPr>
    <w:rPr>
      <w:rFonts w:ascii="Verdana" w:hAnsi="Verdana" w:cs="Verdana"/>
      <w:color w:val="000000"/>
    </w:rPr>
  </w:style>
  <w:style w:type="paragraph" w:styleId="Revisin">
    <w:name w:val="Revision"/>
    <w:hidden/>
    <w:uiPriority w:val="99"/>
    <w:semiHidden/>
    <w:rsid w:val="006C5689"/>
    <w:rPr>
      <w:rFonts w:ascii="Times New Roman" w:eastAsia="Times New Roman" w:hAnsi="Times New Roman" w:cs="Times New Roman"/>
      <w:lang w:eastAsia="es-MX"/>
    </w:rPr>
  </w:style>
  <w:style w:type="character" w:customStyle="1" w:styleId="Ttulo4Car">
    <w:name w:val="Título 4 Car"/>
    <w:basedOn w:val="Fuentedeprrafopredeter"/>
    <w:link w:val="Ttulo4"/>
    <w:rsid w:val="00D83EEF"/>
    <w:rPr>
      <w:rFonts w:ascii="Verdana" w:eastAsia="Verdana" w:hAnsi="Verdana" w:cs="Verdana"/>
      <w:b/>
      <w:bCs/>
      <w:color w:val="000000"/>
      <w:sz w:val="20"/>
      <w:szCs w:val="20"/>
      <w:u w:color="000000"/>
      <w:bdr w:val="nil"/>
      <w:lang w:val="es-ES_tradnl" w:eastAsia="es-CR"/>
    </w:rPr>
  </w:style>
  <w:style w:type="character" w:customStyle="1" w:styleId="sb8d990e2">
    <w:name w:val="sb8d990e2"/>
    <w:basedOn w:val="Fuentedeprrafopredeter"/>
    <w:rsid w:val="00764215"/>
  </w:style>
  <w:style w:type="character" w:customStyle="1" w:styleId="s6b621b36">
    <w:name w:val="s6b621b36"/>
    <w:basedOn w:val="Fuentedeprrafopredeter"/>
    <w:rsid w:val="00764215"/>
  </w:style>
  <w:style w:type="paragraph" w:customStyle="1" w:styleId="s32b251d">
    <w:name w:val="s32b251d"/>
    <w:basedOn w:val="Normal"/>
    <w:rsid w:val="00764215"/>
    <w:pPr>
      <w:spacing w:before="100" w:beforeAutospacing="1" w:after="100" w:afterAutospacing="1"/>
    </w:pPr>
  </w:style>
  <w:style w:type="character" w:customStyle="1" w:styleId="s7d2086b4">
    <w:name w:val="s7d2086b4"/>
    <w:basedOn w:val="Fuentedeprrafopredeter"/>
    <w:rsid w:val="00764215"/>
  </w:style>
  <w:style w:type="character" w:customStyle="1" w:styleId="s52c23de3">
    <w:name w:val="s52c23de3"/>
    <w:basedOn w:val="Fuentedeprrafopredeter"/>
    <w:rsid w:val="000F3509"/>
  </w:style>
  <w:style w:type="paragraph" w:customStyle="1" w:styleId="s1bd70772">
    <w:name w:val="s1bd70772"/>
    <w:basedOn w:val="Normal"/>
    <w:rsid w:val="00A97A64"/>
    <w:pPr>
      <w:spacing w:before="100" w:beforeAutospacing="1" w:after="100" w:afterAutospacing="1"/>
    </w:pPr>
  </w:style>
  <w:style w:type="paragraph" w:customStyle="1" w:styleId="s30eec3f8">
    <w:name w:val="s30eec3f8"/>
    <w:basedOn w:val="Normal"/>
    <w:rsid w:val="00D554BD"/>
    <w:pPr>
      <w:spacing w:before="100" w:beforeAutospacing="1" w:after="100" w:afterAutospacing="1"/>
    </w:pPr>
  </w:style>
  <w:style w:type="character" w:customStyle="1" w:styleId="s38c10080">
    <w:name w:val="s38c10080"/>
    <w:basedOn w:val="Fuentedeprrafopredeter"/>
    <w:rsid w:val="003866E7"/>
  </w:style>
  <w:style w:type="paragraph" w:customStyle="1" w:styleId="s39aa7d5e">
    <w:name w:val="s39aa7d5e"/>
    <w:basedOn w:val="Normal"/>
    <w:rsid w:val="00DB2F5B"/>
    <w:pPr>
      <w:spacing w:before="100" w:beforeAutospacing="1" w:after="100" w:afterAutospacing="1"/>
    </w:pPr>
  </w:style>
  <w:style w:type="character" w:customStyle="1" w:styleId="Ttulo3Car">
    <w:name w:val="Título 3 Car"/>
    <w:basedOn w:val="Fuentedeprrafopredeter"/>
    <w:link w:val="Ttulo3"/>
    <w:uiPriority w:val="9"/>
    <w:rsid w:val="005C7ABA"/>
    <w:rPr>
      <w:rFonts w:asciiTheme="majorHAnsi" w:eastAsiaTheme="majorEastAsia" w:hAnsiTheme="majorHAnsi" w:cstheme="majorBidi"/>
      <w:color w:val="1F3763" w:themeColor="accent1" w:themeShade="7F"/>
      <w:lang w:eastAsia="es-MX"/>
    </w:rPr>
  </w:style>
  <w:style w:type="paragraph" w:customStyle="1" w:styleId="SingleTxtG">
    <w:name w:val="_ Single Txt_G"/>
    <w:basedOn w:val="Normal"/>
    <w:link w:val="SingleTxtGChar"/>
    <w:qFormat/>
    <w:rsid w:val="000B6B6D"/>
    <w:pPr>
      <w:spacing w:after="120" w:line="240" w:lineRule="atLeast"/>
      <w:ind w:left="1134" w:right="1134"/>
      <w:jc w:val="both"/>
    </w:pPr>
    <w:rPr>
      <w:sz w:val="20"/>
      <w:szCs w:val="20"/>
      <w:lang w:val="es-ES" w:eastAsia="es-ES"/>
    </w:rPr>
  </w:style>
  <w:style w:type="character" w:customStyle="1" w:styleId="SingleTxtGChar">
    <w:name w:val="_ Single Txt_G Char"/>
    <w:link w:val="SingleTxtG"/>
    <w:rsid w:val="000B6B6D"/>
    <w:rPr>
      <w:rFonts w:ascii="Times New Roman" w:eastAsia="Times New Roman" w:hAnsi="Times New Roman" w:cs="Times New Roman"/>
      <w:sz w:val="20"/>
      <w:szCs w:val="20"/>
      <w:lang w:val="es-ES" w:eastAsia="es-ES"/>
    </w:rPr>
  </w:style>
  <w:style w:type="character" w:customStyle="1" w:styleId="Ttulo5Car">
    <w:name w:val="Título 5 Car"/>
    <w:basedOn w:val="Fuentedeprrafopredeter"/>
    <w:link w:val="Ttulo5"/>
    <w:uiPriority w:val="9"/>
    <w:rsid w:val="00080E59"/>
    <w:rPr>
      <w:rFonts w:asciiTheme="majorHAnsi" w:eastAsiaTheme="majorEastAsia" w:hAnsiTheme="majorHAnsi" w:cstheme="majorBidi"/>
      <w:color w:val="2F5496" w:themeColor="accent1" w:themeShade="BF"/>
      <w:lang w:eastAsia="es-MX"/>
    </w:rPr>
  </w:style>
  <w:style w:type="character" w:customStyle="1" w:styleId="sea881cdf">
    <w:name w:val="sea881cdf"/>
    <w:basedOn w:val="Fuentedeprrafopredeter"/>
    <w:rsid w:val="00957684"/>
  </w:style>
  <w:style w:type="character" w:customStyle="1" w:styleId="None">
    <w:name w:val="None"/>
    <w:rsid w:val="001D0444"/>
  </w:style>
  <w:style w:type="paragraph" w:styleId="Encabezado">
    <w:name w:val="header"/>
    <w:basedOn w:val="Normal"/>
    <w:link w:val="EncabezadoCar"/>
    <w:uiPriority w:val="99"/>
    <w:unhideWhenUsed/>
    <w:rsid w:val="003A4355"/>
    <w:pPr>
      <w:tabs>
        <w:tab w:val="center" w:pos="4419"/>
        <w:tab w:val="right" w:pos="8838"/>
      </w:tabs>
    </w:pPr>
  </w:style>
  <w:style w:type="character" w:customStyle="1" w:styleId="EncabezadoCar">
    <w:name w:val="Encabezado Car"/>
    <w:basedOn w:val="Fuentedeprrafopredeter"/>
    <w:link w:val="Encabezado"/>
    <w:uiPriority w:val="99"/>
    <w:rsid w:val="003A4355"/>
    <w:rPr>
      <w:rFonts w:ascii="Times New Roman" w:eastAsia="Times New Roman" w:hAnsi="Times New Roman" w:cs="Times New Roman"/>
      <w:lang w:eastAsia="es-MX"/>
    </w:rPr>
  </w:style>
  <w:style w:type="paragraph" w:customStyle="1" w:styleId="HMG">
    <w:name w:val="_ H __M_G"/>
    <w:basedOn w:val="Normal"/>
    <w:next w:val="Normal"/>
    <w:qFormat/>
    <w:rsid w:val="006234E7"/>
    <w:pPr>
      <w:keepNext/>
      <w:keepLines/>
      <w:tabs>
        <w:tab w:val="right" w:pos="851"/>
      </w:tabs>
      <w:suppressAutoHyphens/>
      <w:spacing w:before="240" w:after="240" w:line="360" w:lineRule="exact"/>
      <w:ind w:left="1134" w:right="1134" w:hanging="1134"/>
    </w:pPr>
    <w:rPr>
      <w:b/>
      <w:sz w:val="34"/>
      <w:szCs w:val="20"/>
      <w:lang w:val="es-ES" w:eastAsia="es-ES"/>
    </w:rPr>
  </w:style>
  <w:style w:type="character" w:customStyle="1" w:styleId="Ttulo2Car">
    <w:name w:val="Título 2 Car"/>
    <w:basedOn w:val="Fuentedeprrafopredeter"/>
    <w:link w:val="Ttulo2"/>
    <w:uiPriority w:val="9"/>
    <w:rsid w:val="008E080F"/>
    <w:rPr>
      <w:rFonts w:asciiTheme="majorHAnsi" w:eastAsiaTheme="majorEastAsia" w:hAnsiTheme="majorHAnsi" w:cstheme="majorBidi"/>
      <w:color w:val="2F5496" w:themeColor="accent1" w:themeShade="BF"/>
      <w:sz w:val="26"/>
      <w:szCs w:val="26"/>
      <w:lang w:eastAsia="es-MX"/>
    </w:rPr>
  </w:style>
  <w:style w:type="character" w:customStyle="1" w:styleId="titulo">
    <w:name w:val="titulo"/>
    <w:basedOn w:val="Fuentedeprrafopredeter"/>
    <w:rsid w:val="008E080F"/>
  </w:style>
  <w:style w:type="character" w:customStyle="1" w:styleId="subtitulo">
    <w:name w:val="subtitulo"/>
    <w:basedOn w:val="Fuentedeprrafopredeter"/>
    <w:rsid w:val="008E080F"/>
  </w:style>
  <w:style w:type="character" w:styleId="AcrnimoHTML">
    <w:name w:val="HTML Acronym"/>
    <w:basedOn w:val="Fuentedeprrafopredeter"/>
    <w:uiPriority w:val="99"/>
    <w:semiHidden/>
    <w:unhideWhenUsed/>
    <w:rsid w:val="008E080F"/>
  </w:style>
  <w:style w:type="character" w:customStyle="1" w:styleId="Ttulo1Car">
    <w:name w:val="Título 1 Car"/>
    <w:basedOn w:val="Fuentedeprrafopredeter"/>
    <w:link w:val="Ttulo1"/>
    <w:uiPriority w:val="9"/>
    <w:rsid w:val="00B033C9"/>
    <w:rPr>
      <w:rFonts w:asciiTheme="majorHAnsi" w:eastAsiaTheme="majorEastAsia" w:hAnsiTheme="majorHAnsi" w:cstheme="majorBidi"/>
      <w:color w:val="2F5496" w:themeColor="accent1" w:themeShade="BF"/>
      <w:sz w:val="32"/>
      <w:szCs w:val="32"/>
      <w:lang w:eastAsia="es-MX"/>
    </w:rPr>
  </w:style>
  <w:style w:type="character" w:customStyle="1" w:styleId="red">
    <w:name w:val="red"/>
    <w:basedOn w:val="Fuentedeprrafopredeter"/>
    <w:rsid w:val="00881C1D"/>
  </w:style>
  <w:style w:type="character" w:customStyle="1" w:styleId="lbl-encabezado-negro">
    <w:name w:val="lbl-encabezado-negro"/>
    <w:basedOn w:val="Fuentedeprrafopredeter"/>
    <w:rsid w:val="0088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242">
      <w:bodyDiv w:val="1"/>
      <w:marLeft w:val="0"/>
      <w:marRight w:val="0"/>
      <w:marTop w:val="0"/>
      <w:marBottom w:val="0"/>
      <w:divBdr>
        <w:top w:val="none" w:sz="0" w:space="0" w:color="auto"/>
        <w:left w:val="none" w:sz="0" w:space="0" w:color="auto"/>
        <w:bottom w:val="none" w:sz="0" w:space="0" w:color="auto"/>
        <w:right w:val="none" w:sz="0" w:space="0" w:color="auto"/>
      </w:divBdr>
    </w:div>
    <w:div w:id="7174298">
      <w:bodyDiv w:val="1"/>
      <w:marLeft w:val="0"/>
      <w:marRight w:val="0"/>
      <w:marTop w:val="0"/>
      <w:marBottom w:val="0"/>
      <w:divBdr>
        <w:top w:val="none" w:sz="0" w:space="0" w:color="auto"/>
        <w:left w:val="none" w:sz="0" w:space="0" w:color="auto"/>
        <w:bottom w:val="none" w:sz="0" w:space="0" w:color="auto"/>
        <w:right w:val="none" w:sz="0" w:space="0" w:color="auto"/>
      </w:divBdr>
      <w:divsChild>
        <w:div w:id="2005743356">
          <w:marLeft w:val="0"/>
          <w:marRight w:val="0"/>
          <w:marTop w:val="0"/>
          <w:marBottom w:val="0"/>
          <w:divBdr>
            <w:top w:val="none" w:sz="0" w:space="0" w:color="auto"/>
            <w:left w:val="none" w:sz="0" w:space="0" w:color="auto"/>
            <w:bottom w:val="none" w:sz="0" w:space="0" w:color="auto"/>
            <w:right w:val="none" w:sz="0" w:space="0" w:color="auto"/>
          </w:divBdr>
          <w:divsChild>
            <w:div w:id="20864480">
              <w:marLeft w:val="0"/>
              <w:marRight w:val="0"/>
              <w:marTop w:val="0"/>
              <w:marBottom w:val="0"/>
              <w:divBdr>
                <w:top w:val="none" w:sz="0" w:space="0" w:color="auto"/>
                <w:left w:val="none" w:sz="0" w:space="0" w:color="auto"/>
                <w:bottom w:val="none" w:sz="0" w:space="0" w:color="auto"/>
                <w:right w:val="none" w:sz="0" w:space="0" w:color="auto"/>
              </w:divBdr>
              <w:divsChild>
                <w:div w:id="6254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211">
      <w:bodyDiv w:val="1"/>
      <w:marLeft w:val="0"/>
      <w:marRight w:val="0"/>
      <w:marTop w:val="0"/>
      <w:marBottom w:val="0"/>
      <w:divBdr>
        <w:top w:val="none" w:sz="0" w:space="0" w:color="auto"/>
        <w:left w:val="none" w:sz="0" w:space="0" w:color="auto"/>
        <w:bottom w:val="none" w:sz="0" w:space="0" w:color="auto"/>
        <w:right w:val="none" w:sz="0" w:space="0" w:color="auto"/>
      </w:divBdr>
      <w:divsChild>
        <w:div w:id="499278678">
          <w:marLeft w:val="0"/>
          <w:marRight w:val="0"/>
          <w:marTop w:val="0"/>
          <w:marBottom w:val="0"/>
          <w:divBdr>
            <w:top w:val="none" w:sz="0" w:space="0" w:color="auto"/>
            <w:left w:val="none" w:sz="0" w:space="0" w:color="auto"/>
            <w:bottom w:val="none" w:sz="0" w:space="0" w:color="auto"/>
            <w:right w:val="none" w:sz="0" w:space="0" w:color="auto"/>
          </w:divBdr>
          <w:divsChild>
            <w:div w:id="108934599">
              <w:marLeft w:val="0"/>
              <w:marRight w:val="0"/>
              <w:marTop w:val="0"/>
              <w:marBottom w:val="0"/>
              <w:divBdr>
                <w:top w:val="none" w:sz="0" w:space="0" w:color="auto"/>
                <w:left w:val="none" w:sz="0" w:space="0" w:color="auto"/>
                <w:bottom w:val="none" w:sz="0" w:space="0" w:color="auto"/>
                <w:right w:val="none" w:sz="0" w:space="0" w:color="auto"/>
              </w:divBdr>
              <w:divsChild>
                <w:div w:id="108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77">
      <w:bodyDiv w:val="1"/>
      <w:marLeft w:val="0"/>
      <w:marRight w:val="0"/>
      <w:marTop w:val="0"/>
      <w:marBottom w:val="0"/>
      <w:divBdr>
        <w:top w:val="none" w:sz="0" w:space="0" w:color="auto"/>
        <w:left w:val="none" w:sz="0" w:space="0" w:color="auto"/>
        <w:bottom w:val="none" w:sz="0" w:space="0" w:color="auto"/>
        <w:right w:val="none" w:sz="0" w:space="0" w:color="auto"/>
      </w:divBdr>
      <w:divsChild>
        <w:div w:id="1360428384">
          <w:marLeft w:val="0"/>
          <w:marRight w:val="0"/>
          <w:marTop w:val="0"/>
          <w:marBottom w:val="0"/>
          <w:divBdr>
            <w:top w:val="none" w:sz="0" w:space="0" w:color="auto"/>
            <w:left w:val="none" w:sz="0" w:space="0" w:color="auto"/>
            <w:bottom w:val="none" w:sz="0" w:space="0" w:color="auto"/>
            <w:right w:val="none" w:sz="0" w:space="0" w:color="auto"/>
          </w:divBdr>
          <w:divsChild>
            <w:div w:id="1077674630">
              <w:marLeft w:val="0"/>
              <w:marRight w:val="0"/>
              <w:marTop w:val="0"/>
              <w:marBottom w:val="0"/>
              <w:divBdr>
                <w:top w:val="none" w:sz="0" w:space="0" w:color="auto"/>
                <w:left w:val="none" w:sz="0" w:space="0" w:color="auto"/>
                <w:bottom w:val="none" w:sz="0" w:space="0" w:color="auto"/>
                <w:right w:val="none" w:sz="0" w:space="0" w:color="auto"/>
              </w:divBdr>
              <w:divsChild>
                <w:div w:id="9559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6508">
      <w:bodyDiv w:val="1"/>
      <w:marLeft w:val="0"/>
      <w:marRight w:val="0"/>
      <w:marTop w:val="0"/>
      <w:marBottom w:val="0"/>
      <w:divBdr>
        <w:top w:val="none" w:sz="0" w:space="0" w:color="auto"/>
        <w:left w:val="none" w:sz="0" w:space="0" w:color="auto"/>
        <w:bottom w:val="none" w:sz="0" w:space="0" w:color="auto"/>
        <w:right w:val="none" w:sz="0" w:space="0" w:color="auto"/>
      </w:divBdr>
      <w:divsChild>
        <w:div w:id="1941525270">
          <w:marLeft w:val="0"/>
          <w:marRight w:val="0"/>
          <w:marTop w:val="0"/>
          <w:marBottom w:val="0"/>
          <w:divBdr>
            <w:top w:val="none" w:sz="0" w:space="0" w:color="auto"/>
            <w:left w:val="none" w:sz="0" w:space="0" w:color="auto"/>
            <w:bottom w:val="none" w:sz="0" w:space="0" w:color="auto"/>
            <w:right w:val="none" w:sz="0" w:space="0" w:color="auto"/>
          </w:divBdr>
          <w:divsChild>
            <w:div w:id="181667343">
              <w:marLeft w:val="0"/>
              <w:marRight w:val="0"/>
              <w:marTop w:val="0"/>
              <w:marBottom w:val="0"/>
              <w:divBdr>
                <w:top w:val="none" w:sz="0" w:space="0" w:color="auto"/>
                <w:left w:val="none" w:sz="0" w:space="0" w:color="auto"/>
                <w:bottom w:val="none" w:sz="0" w:space="0" w:color="auto"/>
                <w:right w:val="none" w:sz="0" w:space="0" w:color="auto"/>
              </w:divBdr>
              <w:divsChild>
                <w:div w:id="15333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5872">
      <w:bodyDiv w:val="1"/>
      <w:marLeft w:val="0"/>
      <w:marRight w:val="0"/>
      <w:marTop w:val="0"/>
      <w:marBottom w:val="0"/>
      <w:divBdr>
        <w:top w:val="none" w:sz="0" w:space="0" w:color="auto"/>
        <w:left w:val="none" w:sz="0" w:space="0" w:color="auto"/>
        <w:bottom w:val="none" w:sz="0" w:space="0" w:color="auto"/>
        <w:right w:val="none" w:sz="0" w:space="0" w:color="auto"/>
      </w:divBdr>
      <w:divsChild>
        <w:div w:id="2129470860">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2112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3638">
      <w:bodyDiv w:val="1"/>
      <w:marLeft w:val="0"/>
      <w:marRight w:val="0"/>
      <w:marTop w:val="0"/>
      <w:marBottom w:val="0"/>
      <w:divBdr>
        <w:top w:val="none" w:sz="0" w:space="0" w:color="auto"/>
        <w:left w:val="none" w:sz="0" w:space="0" w:color="auto"/>
        <w:bottom w:val="none" w:sz="0" w:space="0" w:color="auto"/>
        <w:right w:val="none" w:sz="0" w:space="0" w:color="auto"/>
      </w:divBdr>
      <w:divsChild>
        <w:div w:id="445543285">
          <w:marLeft w:val="0"/>
          <w:marRight w:val="0"/>
          <w:marTop w:val="0"/>
          <w:marBottom w:val="0"/>
          <w:divBdr>
            <w:top w:val="none" w:sz="0" w:space="0" w:color="auto"/>
            <w:left w:val="none" w:sz="0" w:space="0" w:color="auto"/>
            <w:bottom w:val="none" w:sz="0" w:space="0" w:color="auto"/>
            <w:right w:val="none" w:sz="0" w:space="0" w:color="auto"/>
          </w:divBdr>
          <w:divsChild>
            <w:div w:id="818620956">
              <w:marLeft w:val="0"/>
              <w:marRight w:val="0"/>
              <w:marTop w:val="0"/>
              <w:marBottom w:val="0"/>
              <w:divBdr>
                <w:top w:val="none" w:sz="0" w:space="0" w:color="auto"/>
                <w:left w:val="none" w:sz="0" w:space="0" w:color="auto"/>
                <w:bottom w:val="none" w:sz="0" w:space="0" w:color="auto"/>
                <w:right w:val="none" w:sz="0" w:space="0" w:color="auto"/>
              </w:divBdr>
              <w:divsChild>
                <w:div w:id="12940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3745">
      <w:bodyDiv w:val="1"/>
      <w:marLeft w:val="0"/>
      <w:marRight w:val="0"/>
      <w:marTop w:val="0"/>
      <w:marBottom w:val="0"/>
      <w:divBdr>
        <w:top w:val="none" w:sz="0" w:space="0" w:color="auto"/>
        <w:left w:val="none" w:sz="0" w:space="0" w:color="auto"/>
        <w:bottom w:val="none" w:sz="0" w:space="0" w:color="auto"/>
        <w:right w:val="none" w:sz="0" w:space="0" w:color="auto"/>
      </w:divBdr>
      <w:divsChild>
        <w:div w:id="1626963156">
          <w:marLeft w:val="0"/>
          <w:marRight w:val="0"/>
          <w:marTop w:val="0"/>
          <w:marBottom w:val="0"/>
          <w:divBdr>
            <w:top w:val="none" w:sz="0" w:space="0" w:color="auto"/>
            <w:left w:val="none" w:sz="0" w:space="0" w:color="auto"/>
            <w:bottom w:val="none" w:sz="0" w:space="0" w:color="auto"/>
            <w:right w:val="none" w:sz="0" w:space="0" w:color="auto"/>
          </w:divBdr>
          <w:divsChild>
            <w:div w:id="1121653590">
              <w:marLeft w:val="0"/>
              <w:marRight w:val="0"/>
              <w:marTop w:val="0"/>
              <w:marBottom w:val="0"/>
              <w:divBdr>
                <w:top w:val="none" w:sz="0" w:space="0" w:color="auto"/>
                <w:left w:val="none" w:sz="0" w:space="0" w:color="auto"/>
                <w:bottom w:val="none" w:sz="0" w:space="0" w:color="auto"/>
                <w:right w:val="none" w:sz="0" w:space="0" w:color="auto"/>
              </w:divBdr>
              <w:divsChild>
                <w:div w:id="17586718">
                  <w:marLeft w:val="0"/>
                  <w:marRight w:val="0"/>
                  <w:marTop w:val="0"/>
                  <w:marBottom w:val="0"/>
                  <w:divBdr>
                    <w:top w:val="none" w:sz="0" w:space="0" w:color="auto"/>
                    <w:left w:val="none" w:sz="0" w:space="0" w:color="auto"/>
                    <w:bottom w:val="none" w:sz="0" w:space="0" w:color="auto"/>
                    <w:right w:val="none" w:sz="0" w:space="0" w:color="auto"/>
                  </w:divBdr>
                  <w:divsChild>
                    <w:div w:id="17155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157">
      <w:bodyDiv w:val="1"/>
      <w:marLeft w:val="0"/>
      <w:marRight w:val="0"/>
      <w:marTop w:val="0"/>
      <w:marBottom w:val="0"/>
      <w:divBdr>
        <w:top w:val="none" w:sz="0" w:space="0" w:color="auto"/>
        <w:left w:val="none" w:sz="0" w:space="0" w:color="auto"/>
        <w:bottom w:val="none" w:sz="0" w:space="0" w:color="auto"/>
        <w:right w:val="none" w:sz="0" w:space="0" w:color="auto"/>
      </w:divBdr>
      <w:divsChild>
        <w:div w:id="1113399075">
          <w:marLeft w:val="0"/>
          <w:marRight w:val="0"/>
          <w:marTop w:val="0"/>
          <w:marBottom w:val="0"/>
          <w:divBdr>
            <w:top w:val="none" w:sz="0" w:space="0" w:color="auto"/>
            <w:left w:val="none" w:sz="0" w:space="0" w:color="auto"/>
            <w:bottom w:val="none" w:sz="0" w:space="0" w:color="auto"/>
            <w:right w:val="none" w:sz="0" w:space="0" w:color="auto"/>
          </w:divBdr>
          <w:divsChild>
            <w:div w:id="33577451">
              <w:marLeft w:val="0"/>
              <w:marRight w:val="0"/>
              <w:marTop w:val="0"/>
              <w:marBottom w:val="0"/>
              <w:divBdr>
                <w:top w:val="none" w:sz="0" w:space="0" w:color="auto"/>
                <w:left w:val="none" w:sz="0" w:space="0" w:color="auto"/>
                <w:bottom w:val="none" w:sz="0" w:space="0" w:color="auto"/>
                <w:right w:val="none" w:sz="0" w:space="0" w:color="auto"/>
              </w:divBdr>
              <w:divsChild>
                <w:div w:id="557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4517">
      <w:bodyDiv w:val="1"/>
      <w:marLeft w:val="0"/>
      <w:marRight w:val="0"/>
      <w:marTop w:val="0"/>
      <w:marBottom w:val="0"/>
      <w:divBdr>
        <w:top w:val="none" w:sz="0" w:space="0" w:color="auto"/>
        <w:left w:val="none" w:sz="0" w:space="0" w:color="auto"/>
        <w:bottom w:val="none" w:sz="0" w:space="0" w:color="auto"/>
        <w:right w:val="none" w:sz="0" w:space="0" w:color="auto"/>
      </w:divBdr>
      <w:divsChild>
        <w:div w:id="544567824">
          <w:marLeft w:val="0"/>
          <w:marRight w:val="0"/>
          <w:marTop w:val="0"/>
          <w:marBottom w:val="0"/>
          <w:divBdr>
            <w:top w:val="none" w:sz="0" w:space="0" w:color="auto"/>
            <w:left w:val="none" w:sz="0" w:space="0" w:color="auto"/>
            <w:bottom w:val="none" w:sz="0" w:space="0" w:color="auto"/>
            <w:right w:val="none" w:sz="0" w:space="0" w:color="auto"/>
          </w:divBdr>
          <w:divsChild>
            <w:div w:id="1856796998">
              <w:marLeft w:val="0"/>
              <w:marRight w:val="0"/>
              <w:marTop w:val="0"/>
              <w:marBottom w:val="0"/>
              <w:divBdr>
                <w:top w:val="none" w:sz="0" w:space="0" w:color="auto"/>
                <w:left w:val="none" w:sz="0" w:space="0" w:color="auto"/>
                <w:bottom w:val="none" w:sz="0" w:space="0" w:color="auto"/>
                <w:right w:val="none" w:sz="0" w:space="0" w:color="auto"/>
              </w:divBdr>
              <w:divsChild>
                <w:div w:id="431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7078">
      <w:bodyDiv w:val="1"/>
      <w:marLeft w:val="0"/>
      <w:marRight w:val="0"/>
      <w:marTop w:val="0"/>
      <w:marBottom w:val="0"/>
      <w:divBdr>
        <w:top w:val="none" w:sz="0" w:space="0" w:color="auto"/>
        <w:left w:val="none" w:sz="0" w:space="0" w:color="auto"/>
        <w:bottom w:val="none" w:sz="0" w:space="0" w:color="auto"/>
        <w:right w:val="none" w:sz="0" w:space="0" w:color="auto"/>
      </w:divBdr>
    </w:div>
    <w:div w:id="107243735">
      <w:bodyDiv w:val="1"/>
      <w:marLeft w:val="0"/>
      <w:marRight w:val="0"/>
      <w:marTop w:val="0"/>
      <w:marBottom w:val="0"/>
      <w:divBdr>
        <w:top w:val="none" w:sz="0" w:space="0" w:color="auto"/>
        <w:left w:val="none" w:sz="0" w:space="0" w:color="auto"/>
        <w:bottom w:val="none" w:sz="0" w:space="0" w:color="auto"/>
        <w:right w:val="none" w:sz="0" w:space="0" w:color="auto"/>
      </w:divBdr>
      <w:divsChild>
        <w:div w:id="301353169">
          <w:marLeft w:val="0"/>
          <w:marRight w:val="0"/>
          <w:marTop w:val="0"/>
          <w:marBottom w:val="0"/>
          <w:divBdr>
            <w:top w:val="none" w:sz="0" w:space="0" w:color="auto"/>
            <w:left w:val="none" w:sz="0" w:space="0" w:color="auto"/>
            <w:bottom w:val="none" w:sz="0" w:space="0" w:color="auto"/>
            <w:right w:val="none" w:sz="0" w:space="0" w:color="auto"/>
          </w:divBdr>
          <w:divsChild>
            <w:div w:id="612908020">
              <w:marLeft w:val="0"/>
              <w:marRight w:val="0"/>
              <w:marTop w:val="0"/>
              <w:marBottom w:val="0"/>
              <w:divBdr>
                <w:top w:val="none" w:sz="0" w:space="0" w:color="auto"/>
                <w:left w:val="none" w:sz="0" w:space="0" w:color="auto"/>
                <w:bottom w:val="none" w:sz="0" w:space="0" w:color="auto"/>
                <w:right w:val="none" w:sz="0" w:space="0" w:color="auto"/>
              </w:divBdr>
              <w:divsChild>
                <w:div w:id="805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5117">
      <w:bodyDiv w:val="1"/>
      <w:marLeft w:val="0"/>
      <w:marRight w:val="0"/>
      <w:marTop w:val="0"/>
      <w:marBottom w:val="0"/>
      <w:divBdr>
        <w:top w:val="none" w:sz="0" w:space="0" w:color="auto"/>
        <w:left w:val="none" w:sz="0" w:space="0" w:color="auto"/>
        <w:bottom w:val="none" w:sz="0" w:space="0" w:color="auto"/>
        <w:right w:val="none" w:sz="0" w:space="0" w:color="auto"/>
      </w:divBdr>
    </w:div>
    <w:div w:id="112984823">
      <w:bodyDiv w:val="1"/>
      <w:marLeft w:val="0"/>
      <w:marRight w:val="0"/>
      <w:marTop w:val="0"/>
      <w:marBottom w:val="0"/>
      <w:divBdr>
        <w:top w:val="none" w:sz="0" w:space="0" w:color="auto"/>
        <w:left w:val="none" w:sz="0" w:space="0" w:color="auto"/>
        <w:bottom w:val="none" w:sz="0" w:space="0" w:color="auto"/>
        <w:right w:val="none" w:sz="0" w:space="0" w:color="auto"/>
      </w:divBdr>
    </w:div>
    <w:div w:id="115177179">
      <w:bodyDiv w:val="1"/>
      <w:marLeft w:val="0"/>
      <w:marRight w:val="0"/>
      <w:marTop w:val="0"/>
      <w:marBottom w:val="0"/>
      <w:divBdr>
        <w:top w:val="none" w:sz="0" w:space="0" w:color="auto"/>
        <w:left w:val="none" w:sz="0" w:space="0" w:color="auto"/>
        <w:bottom w:val="none" w:sz="0" w:space="0" w:color="auto"/>
        <w:right w:val="none" w:sz="0" w:space="0" w:color="auto"/>
      </w:divBdr>
      <w:divsChild>
        <w:div w:id="732971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23641">
      <w:bodyDiv w:val="1"/>
      <w:marLeft w:val="0"/>
      <w:marRight w:val="0"/>
      <w:marTop w:val="0"/>
      <w:marBottom w:val="0"/>
      <w:divBdr>
        <w:top w:val="none" w:sz="0" w:space="0" w:color="auto"/>
        <w:left w:val="none" w:sz="0" w:space="0" w:color="auto"/>
        <w:bottom w:val="none" w:sz="0" w:space="0" w:color="auto"/>
        <w:right w:val="none" w:sz="0" w:space="0" w:color="auto"/>
      </w:divBdr>
      <w:divsChild>
        <w:div w:id="729883337">
          <w:marLeft w:val="0"/>
          <w:marRight w:val="0"/>
          <w:marTop w:val="0"/>
          <w:marBottom w:val="0"/>
          <w:divBdr>
            <w:top w:val="none" w:sz="0" w:space="0" w:color="auto"/>
            <w:left w:val="none" w:sz="0" w:space="0" w:color="auto"/>
            <w:bottom w:val="none" w:sz="0" w:space="0" w:color="auto"/>
            <w:right w:val="none" w:sz="0" w:space="0" w:color="auto"/>
          </w:divBdr>
          <w:divsChild>
            <w:div w:id="2115243834">
              <w:marLeft w:val="0"/>
              <w:marRight w:val="0"/>
              <w:marTop w:val="0"/>
              <w:marBottom w:val="0"/>
              <w:divBdr>
                <w:top w:val="none" w:sz="0" w:space="0" w:color="auto"/>
                <w:left w:val="none" w:sz="0" w:space="0" w:color="auto"/>
                <w:bottom w:val="none" w:sz="0" w:space="0" w:color="auto"/>
                <w:right w:val="none" w:sz="0" w:space="0" w:color="auto"/>
              </w:divBdr>
              <w:divsChild>
                <w:div w:id="962999563">
                  <w:marLeft w:val="0"/>
                  <w:marRight w:val="0"/>
                  <w:marTop w:val="0"/>
                  <w:marBottom w:val="0"/>
                  <w:divBdr>
                    <w:top w:val="none" w:sz="0" w:space="0" w:color="auto"/>
                    <w:left w:val="none" w:sz="0" w:space="0" w:color="auto"/>
                    <w:bottom w:val="none" w:sz="0" w:space="0" w:color="auto"/>
                    <w:right w:val="none" w:sz="0" w:space="0" w:color="auto"/>
                  </w:divBdr>
                  <w:divsChild>
                    <w:div w:id="10253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4139">
      <w:bodyDiv w:val="1"/>
      <w:marLeft w:val="0"/>
      <w:marRight w:val="0"/>
      <w:marTop w:val="0"/>
      <w:marBottom w:val="0"/>
      <w:divBdr>
        <w:top w:val="none" w:sz="0" w:space="0" w:color="auto"/>
        <w:left w:val="none" w:sz="0" w:space="0" w:color="auto"/>
        <w:bottom w:val="none" w:sz="0" w:space="0" w:color="auto"/>
        <w:right w:val="none" w:sz="0" w:space="0" w:color="auto"/>
      </w:divBdr>
      <w:divsChild>
        <w:div w:id="527915264">
          <w:marLeft w:val="0"/>
          <w:marRight w:val="0"/>
          <w:marTop w:val="0"/>
          <w:marBottom w:val="0"/>
          <w:divBdr>
            <w:top w:val="none" w:sz="0" w:space="0" w:color="auto"/>
            <w:left w:val="none" w:sz="0" w:space="0" w:color="auto"/>
            <w:bottom w:val="none" w:sz="0" w:space="0" w:color="auto"/>
            <w:right w:val="none" w:sz="0" w:space="0" w:color="auto"/>
          </w:divBdr>
          <w:divsChild>
            <w:div w:id="1527214169">
              <w:marLeft w:val="0"/>
              <w:marRight w:val="0"/>
              <w:marTop w:val="0"/>
              <w:marBottom w:val="0"/>
              <w:divBdr>
                <w:top w:val="none" w:sz="0" w:space="0" w:color="auto"/>
                <w:left w:val="none" w:sz="0" w:space="0" w:color="auto"/>
                <w:bottom w:val="none" w:sz="0" w:space="0" w:color="auto"/>
                <w:right w:val="none" w:sz="0" w:space="0" w:color="auto"/>
              </w:divBdr>
              <w:divsChild>
                <w:div w:id="862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24">
      <w:bodyDiv w:val="1"/>
      <w:marLeft w:val="0"/>
      <w:marRight w:val="0"/>
      <w:marTop w:val="0"/>
      <w:marBottom w:val="0"/>
      <w:divBdr>
        <w:top w:val="none" w:sz="0" w:space="0" w:color="auto"/>
        <w:left w:val="none" w:sz="0" w:space="0" w:color="auto"/>
        <w:bottom w:val="none" w:sz="0" w:space="0" w:color="auto"/>
        <w:right w:val="none" w:sz="0" w:space="0" w:color="auto"/>
      </w:divBdr>
      <w:divsChild>
        <w:div w:id="657226330">
          <w:marLeft w:val="0"/>
          <w:marRight w:val="0"/>
          <w:marTop w:val="0"/>
          <w:marBottom w:val="0"/>
          <w:divBdr>
            <w:top w:val="none" w:sz="0" w:space="0" w:color="auto"/>
            <w:left w:val="none" w:sz="0" w:space="0" w:color="auto"/>
            <w:bottom w:val="none" w:sz="0" w:space="0" w:color="auto"/>
            <w:right w:val="none" w:sz="0" w:space="0" w:color="auto"/>
          </w:divBdr>
          <w:divsChild>
            <w:div w:id="654143133">
              <w:marLeft w:val="0"/>
              <w:marRight w:val="0"/>
              <w:marTop w:val="0"/>
              <w:marBottom w:val="0"/>
              <w:divBdr>
                <w:top w:val="none" w:sz="0" w:space="0" w:color="auto"/>
                <w:left w:val="none" w:sz="0" w:space="0" w:color="auto"/>
                <w:bottom w:val="none" w:sz="0" w:space="0" w:color="auto"/>
                <w:right w:val="none" w:sz="0" w:space="0" w:color="auto"/>
              </w:divBdr>
              <w:divsChild>
                <w:div w:id="7172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4370">
      <w:bodyDiv w:val="1"/>
      <w:marLeft w:val="0"/>
      <w:marRight w:val="0"/>
      <w:marTop w:val="0"/>
      <w:marBottom w:val="0"/>
      <w:divBdr>
        <w:top w:val="none" w:sz="0" w:space="0" w:color="auto"/>
        <w:left w:val="none" w:sz="0" w:space="0" w:color="auto"/>
        <w:bottom w:val="none" w:sz="0" w:space="0" w:color="auto"/>
        <w:right w:val="none" w:sz="0" w:space="0" w:color="auto"/>
      </w:divBdr>
      <w:divsChild>
        <w:div w:id="2029062288">
          <w:marLeft w:val="0"/>
          <w:marRight w:val="0"/>
          <w:marTop w:val="0"/>
          <w:marBottom w:val="0"/>
          <w:divBdr>
            <w:top w:val="none" w:sz="0" w:space="0" w:color="auto"/>
            <w:left w:val="none" w:sz="0" w:space="0" w:color="auto"/>
            <w:bottom w:val="none" w:sz="0" w:space="0" w:color="auto"/>
            <w:right w:val="none" w:sz="0" w:space="0" w:color="auto"/>
          </w:divBdr>
          <w:divsChild>
            <w:div w:id="1573389449">
              <w:marLeft w:val="0"/>
              <w:marRight w:val="0"/>
              <w:marTop w:val="0"/>
              <w:marBottom w:val="0"/>
              <w:divBdr>
                <w:top w:val="none" w:sz="0" w:space="0" w:color="auto"/>
                <w:left w:val="none" w:sz="0" w:space="0" w:color="auto"/>
                <w:bottom w:val="none" w:sz="0" w:space="0" w:color="auto"/>
                <w:right w:val="none" w:sz="0" w:space="0" w:color="auto"/>
              </w:divBdr>
              <w:divsChild>
                <w:div w:id="4868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1484">
      <w:bodyDiv w:val="1"/>
      <w:marLeft w:val="0"/>
      <w:marRight w:val="0"/>
      <w:marTop w:val="0"/>
      <w:marBottom w:val="0"/>
      <w:divBdr>
        <w:top w:val="none" w:sz="0" w:space="0" w:color="auto"/>
        <w:left w:val="none" w:sz="0" w:space="0" w:color="auto"/>
        <w:bottom w:val="none" w:sz="0" w:space="0" w:color="auto"/>
        <w:right w:val="none" w:sz="0" w:space="0" w:color="auto"/>
      </w:divBdr>
    </w:div>
    <w:div w:id="154957847">
      <w:bodyDiv w:val="1"/>
      <w:marLeft w:val="0"/>
      <w:marRight w:val="0"/>
      <w:marTop w:val="0"/>
      <w:marBottom w:val="0"/>
      <w:divBdr>
        <w:top w:val="none" w:sz="0" w:space="0" w:color="auto"/>
        <w:left w:val="none" w:sz="0" w:space="0" w:color="auto"/>
        <w:bottom w:val="none" w:sz="0" w:space="0" w:color="auto"/>
        <w:right w:val="none" w:sz="0" w:space="0" w:color="auto"/>
      </w:divBdr>
    </w:div>
    <w:div w:id="158159661">
      <w:bodyDiv w:val="1"/>
      <w:marLeft w:val="0"/>
      <w:marRight w:val="0"/>
      <w:marTop w:val="0"/>
      <w:marBottom w:val="0"/>
      <w:divBdr>
        <w:top w:val="none" w:sz="0" w:space="0" w:color="auto"/>
        <w:left w:val="none" w:sz="0" w:space="0" w:color="auto"/>
        <w:bottom w:val="none" w:sz="0" w:space="0" w:color="auto"/>
        <w:right w:val="none" w:sz="0" w:space="0" w:color="auto"/>
      </w:divBdr>
    </w:div>
    <w:div w:id="169417208">
      <w:bodyDiv w:val="1"/>
      <w:marLeft w:val="0"/>
      <w:marRight w:val="0"/>
      <w:marTop w:val="0"/>
      <w:marBottom w:val="0"/>
      <w:divBdr>
        <w:top w:val="none" w:sz="0" w:space="0" w:color="auto"/>
        <w:left w:val="none" w:sz="0" w:space="0" w:color="auto"/>
        <w:bottom w:val="none" w:sz="0" w:space="0" w:color="auto"/>
        <w:right w:val="none" w:sz="0" w:space="0" w:color="auto"/>
      </w:divBdr>
    </w:div>
    <w:div w:id="183523378">
      <w:bodyDiv w:val="1"/>
      <w:marLeft w:val="0"/>
      <w:marRight w:val="0"/>
      <w:marTop w:val="0"/>
      <w:marBottom w:val="0"/>
      <w:divBdr>
        <w:top w:val="none" w:sz="0" w:space="0" w:color="auto"/>
        <w:left w:val="none" w:sz="0" w:space="0" w:color="auto"/>
        <w:bottom w:val="none" w:sz="0" w:space="0" w:color="auto"/>
        <w:right w:val="none" w:sz="0" w:space="0" w:color="auto"/>
      </w:divBdr>
    </w:div>
    <w:div w:id="191579364">
      <w:bodyDiv w:val="1"/>
      <w:marLeft w:val="0"/>
      <w:marRight w:val="0"/>
      <w:marTop w:val="0"/>
      <w:marBottom w:val="0"/>
      <w:divBdr>
        <w:top w:val="none" w:sz="0" w:space="0" w:color="auto"/>
        <w:left w:val="none" w:sz="0" w:space="0" w:color="auto"/>
        <w:bottom w:val="none" w:sz="0" w:space="0" w:color="auto"/>
        <w:right w:val="none" w:sz="0" w:space="0" w:color="auto"/>
      </w:divBdr>
    </w:div>
    <w:div w:id="196160415">
      <w:bodyDiv w:val="1"/>
      <w:marLeft w:val="0"/>
      <w:marRight w:val="0"/>
      <w:marTop w:val="0"/>
      <w:marBottom w:val="0"/>
      <w:divBdr>
        <w:top w:val="none" w:sz="0" w:space="0" w:color="auto"/>
        <w:left w:val="none" w:sz="0" w:space="0" w:color="auto"/>
        <w:bottom w:val="none" w:sz="0" w:space="0" w:color="auto"/>
        <w:right w:val="none" w:sz="0" w:space="0" w:color="auto"/>
      </w:divBdr>
    </w:div>
    <w:div w:id="230193946">
      <w:bodyDiv w:val="1"/>
      <w:marLeft w:val="0"/>
      <w:marRight w:val="0"/>
      <w:marTop w:val="0"/>
      <w:marBottom w:val="0"/>
      <w:divBdr>
        <w:top w:val="none" w:sz="0" w:space="0" w:color="auto"/>
        <w:left w:val="none" w:sz="0" w:space="0" w:color="auto"/>
        <w:bottom w:val="none" w:sz="0" w:space="0" w:color="auto"/>
        <w:right w:val="none" w:sz="0" w:space="0" w:color="auto"/>
      </w:divBdr>
    </w:div>
    <w:div w:id="236522552">
      <w:bodyDiv w:val="1"/>
      <w:marLeft w:val="0"/>
      <w:marRight w:val="0"/>
      <w:marTop w:val="0"/>
      <w:marBottom w:val="0"/>
      <w:divBdr>
        <w:top w:val="none" w:sz="0" w:space="0" w:color="auto"/>
        <w:left w:val="none" w:sz="0" w:space="0" w:color="auto"/>
        <w:bottom w:val="none" w:sz="0" w:space="0" w:color="auto"/>
        <w:right w:val="none" w:sz="0" w:space="0" w:color="auto"/>
      </w:divBdr>
    </w:div>
    <w:div w:id="243148472">
      <w:bodyDiv w:val="1"/>
      <w:marLeft w:val="0"/>
      <w:marRight w:val="0"/>
      <w:marTop w:val="0"/>
      <w:marBottom w:val="0"/>
      <w:divBdr>
        <w:top w:val="none" w:sz="0" w:space="0" w:color="auto"/>
        <w:left w:val="none" w:sz="0" w:space="0" w:color="auto"/>
        <w:bottom w:val="none" w:sz="0" w:space="0" w:color="auto"/>
        <w:right w:val="none" w:sz="0" w:space="0" w:color="auto"/>
      </w:divBdr>
      <w:divsChild>
        <w:div w:id="791478316">
          <w:marLeft w:val="0"/>
          <w:marRight w:val="0"/>
          <w:marTop w:val="0"/>
          <w:marBottom w:val="0"/>
          <w:divBdr>
            <w:top w:val="none" w:sz="0" w:space="0" w:color="auto"/>
            <w:left w:val="none" w:sz="0" w:space="0" w:color="auto"/>
            <w:bottom w:val="none" w:sz="0" w:space="0" w:color="auto"/>
            <w:right w:val="none" w:sz="0" w:space="0" w:color="auto"/>
          </w:divBdr>
          <w:divsChild>
            <w:div w:id="2032023552">
              <w:marLeft w:val="0"/>
              <w:marRight w:val="0"/>
              <w:marTop w:val="0"/>
              <w:marBottom w:val="0"/>
              <w:divBdr>
                <w:top w:val="none" w:sz="0" w:space="0" w:color="auto"/>
                <w:left w:val="none" w:sz="0" w:space="0" w:color="auto"/>
                <w:bottom w:val="none" w:sz="0" w:space="0" w:color="auto"/>
                <w:right w:val="none" w:sz="0" w:space="0" w:color="auto"/>
              </w:divBdr>
              <w:divsChild>
                <w:div w:id="1614824189">
                  <w:marLeft w:val="0"/>
                  <w:marRight w:val="0"/>
                  <w:marTop w:val="0"/>
                  <w:marBottom w:val="0"/>
                  <w:divBdr>
                    <w:top w:val="none" w:sz="0" w:space="0" w:color="auto"/>
                    <w:left w:val="none" w:sz="0" w:space="0" w:color="auto"/>
                    <w:bottom w:val="none" w:sz="0" w:space="0" w:color="auto"/>
                    <w:right w:val="none" w:sz="0" w:space="0" w:color="auto"/>
                  </w:divBdr>
                </w:div>
              </w:divsChild>
            </w:div>
            <w:div w:id="50427827">
              <w:marLeft w:val="0"/>
              <w:marRight w:val="0"/>
              <w:marTop w:val="0"/>
              <w:marBottom w:val="0"/>
              <w:divBdr>
                <w:top w:val="none" w:sz="0" w:space="0" w:color="auto"/>
                <w:left w:val="none" w:sz="0" w:space="0" w:color="auto"/>
                <w:bottom w:val="none" w:sz="0" w:space="0" w:color="auto"/>
                <w:right w:val="none" w:sz="0" w:space="0" w:color="auto"/>
              </w:divBdr>
              <w:divsChild>
                <w:div w:id="1595547970">
                  <w:marLeft w:val="0"/>
                  <w:marRight w:val="0"/>
                  <w:marTop w:val="0"/>
                  <w:marBottom w:val="0"/>
                  <w:divBdr>
                    <w:top w:val="none" w:sz="0" w:space="0" w:color="auto"/>
                    <w:left w:val="none" w:sz="0" w:space="0" w:color="auto"/>
                    <w:bottom w:val="none" w:sz="0" w:space="0" w:color="auto"/>
                    <w:right w:val="none" w:sz="0" w:space="0" w:color="auto"/>
                  </w:divBdr>
                </w:div>
              </w:divsChild>
            </w:div>
            <w:div w:id="1966230596">
              <w:marLeft w:val="0"/>
              <w:marRight w:val="0"/>
              <w:marTop w:val="0"/>
              <w:marBottom w:val="0"/>
              <w:divBdr>
                <w:top w:val="none" w:sz="0" w:space="0" w:color="auto"/>
                <w:left w:val="none" w:sz="0" w:space="0" w:color="auto"/>
                <w:bottom w:val="none" w:sz="0" w:space="0" w:color="auto"/>
                <w:right w:val="none" w:sz="0" w:space="0" w:color="auto"/>
              </w:divBdr>
              <w:divsChild>
                <w:div w:id="1060903017">
                  <w:marLeft w:val="0"/>
                  <w:marRight w:val="0"/>
                  <w:marTop w:val="0"/>
                  <w:marBottom w:val="0"/>
                  <w:divBdr>
                    <w:top w:val="none" w:sz="0" w:space="0" w:color="auto"/>
                    <w:left w:val="none" w:sz="0" w:space="0" w:color="auto"/>
                    <w:bottom w:val="none" w:sz="0" w:space="0" w:color="auto"/>
                    <w:right w:val="none" w:sz="0" w:space="0" w:color="auto"/>
                  </w:divBdr>
                </w:div>
              </w:divsChild>
            </w:div>
            <w:div w:id="399443057">
              <w:marLeft w:val="0"/>
              <w:marRight w:val="0"/>
              <w:marTop w:val="0"/>
              <w:marBottom w:val="0"/>
              <w:divBdr>
                <w:top w:val="none" w:sz="0" w:space="0" w:color="auto"/>
                <w:left w:val="none" w:sz="0" w:space="0" w:color="auto"/>
                <w:bottom w:val="none" w:sz="0" w:space="0" w:color="auto"/>
                <w:right w:val="none" w:sz="0" w:space="0" w:color="auto"/>
              </w:divBdr>
              <w:divsChild>
                <w:div w:id="1876313514">
                  <w:marLeft w:val="0"/>
                  <w:marRight w:val="0"/>
                  <w:marTop w:val="0"/>
                  <w:marBottom w:val="0"/>
                  <w:divBdr>
                    <w:top w:val="none" w:sz="0" w:space="0" w:color="auto"/>
                    <w:left w:val="none" w:sz="0" w:space="0" w:color="auto"/>
                    <w:bottom w:val="none" w:sz="0" w:space="0" w:color="auto"/>
                    <w:right w:val="none" w:sz="0" w:space="0" w:color="auto"/>
                  </w:divBdr>
                </w:div>
              </w:divsChild>
            </w:div>
            <w:div w:id="115683547">
              <w:marLeft w:val="0"/>
              <w:marRight w:val="0"/>
              <w:marTop w:val="0"/>
              <w:marBottom w:val="0"/>
              <w:divBdr>
                <w:top w:val="none" w:sz="0" w:space="0" w:color="auto"/>
                <w:left w:val="none" w:sz="0" w:space="0" w:color="auto"/>
                <w:bottom w:val="none" w:sz="0" w:space="0" w:color="auto"/>
                <w:right w:val="none" w:sz="0" w:space="0" w:color="auto"/>
              </w:divBdr>
              <w:divsChild>
                <w:div w:id="1579247897">
                  <w:marLeft w:val="0"/>
                  <w:marRight w:val="0"/>
                  <w:marTop w:val="0"/>
                  <w:marBottom w:val="0"/>
                  <w:divBdr>
                    <w:top w:val="none" w:sz="0" w:space="0" w:color="auto"/>
                    <w:left w:val="none" w:sz="0" w:space="0" w:color="auto"/>
                    <w:bottom w:val="none" w:sz="0" w:space="0" w:color="auto"/>
                    <w:right w:val="none" w:sz="0" w:space="0" w:color="auto"/>
                  </w:divBdr>
                </w:div>
              </w:divsChild>
            </w:div>
            <w:div w:id="630095849">
              <w:marLeft w:val="0"/>
              <w:marRight w:val="0"/>
              <w:marTop w:val="0"/>
              <w:marBottom w:val="0"/>
              <w:divBdr>
                <w:top w:val="none" w:sz="0" w:space="0" w:color="auto"/>
                <w:left w:val="none" w:sz="0" w:space="0" w:color="auto"/>
                <w:bottom w:val="none" w:sz="0" w:space="0" w:color="auto"/>
                <w:right w:val="none" w:sz="0" w:space="0" w:color="auto"/>
              </w:divBdr>
              <w:divsChild>
                <w:div w:id="12594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072">
      <w:bodyDiv w:val="1"/>
      <w:marLeft w:val="0"/>
      <w:marRight w:val="0"/>
      <w:marTop w:val="0"/>
      <w:marBottom w:val="0"/>
      <w:divBdr>
        <w:top w:val="none" w:sz="0" w:space="0" w:color="auto"/>
        <w:left w:val="none" w:sz="0" w:space="0" w:color="auto"/>
        <w:bottom w:val="none" w:sz="0" w:space="0" w:color="auto"/>
        <w:right w:val="none" w:sz="0" w:space="0" w:color="auto"/>
      </w:divBdr>
    </w:div>
    <w:div w:id="277642731">
      <w:bodyDiv w:val="1"/>
      <w:marLeft w:val="0"/>
      <w:marRight w:val="0"/>
      <w:marTop w:val="0"/>
      <w:marBottom w:val="0"/>
      <w:divBdr>
        <w:top w:val="none" w:sz="0" w:space="0" w:color="auto"/>
        <w:left w:val="none" w:sz="0" w:space="0" w:color="auto"/>
        <w:bottom w:val="none" w:sz="0" w:space="0" w:color="auto"/>
        <w:right w:val="none" w:sz="0" w:space="0" w:color="auto"/>
      </w:divBdr>
    </w:div>
    <w:div w:id="286398058">
      <w:bodyDiv w:val="1"/>
      <w:marLeft w:val="0"/>
      <w:marRight w:val="0"/>
      <w:marTop w:val="0"/>
      <w:marBottom w:val="0"/>
      <w:divBdr>
        <w:top w:val="none" w:sz="0" w:space="0" w:color="auto"/>
        <w:left w:val="none" w:sz="0" w:space="0" w:color="auto"/>
        <w:bottom w:val="none" w:sz="0" w:space="0" w:color="auto"/>
        <w:right w:val="none" w:sz="0" w:space="0" w:color="auto"/>
      </w:divBdr>
    </w:div>
    <w:div w:id="291331661">
      <w:bodyDiv w:val="1"/>
      <w:marLeft w:val="0"/>
      <w:marRight w:val="0"/>
      <w:marTop w:val="0"/>
      <w:marBottom w:val="0"/>
      <w:divBdr>
        <w:top w:val="none" w:sz="0" w:space="0" w:color="auto"/>
        <w:left w:val="none" w:sz="0" w:space="0" w:color="auto"/>
        <w:bottom w:val="none" w:sz="0" w:space="0" w:color="auto"/>
        <w:right w:val="none" w:sz="0" w:space="0" w:color="auto"/>
      </w:divBdr>
    </w:div>
    <w:div w:id="296181180">
      <w:bodyDiv w:val="1"/>
      <w:marLeft w:val="0"/>
      <w:marRight w:val="0"/>
      <w:marTop w:val="0"/>
      <w:marBottom w:val="0"/>
      <w:divBdr>
        <w:top w:val="none" w:sz="0" w:space="0" w:color="auto"/>
        <w:left w:val="none" w:sz="0" w:space="0" w:color="auto"/>
        <w:bottom w:val="none" w:sz="0" w:space="0" w:color="auto"/>
        <w:right w:val="none" w:sz="0" w:space="0" w:color="auto"/>
      </w:divBdr>
    </w:div>
    <w:div w:id="302544771">
      <w:bodyDiv w:val="1"/>
      <w:marLeft w:val="0"/>
      <w:marRight w:val="0"/>
      <w:marTop w:val="0"/>
      <w:marBottom w:val="0"/>
      <w:divBdr>
        <w:top w:val="none" w:sz="0" w:space="0" w:color="auto"/>
        <w:left w:val="none" w:sz="0" w:space="0" w:color="auto"/>
        <w:bottom w:val="none" w:sz="0" w:space="0" w:color="auto"/>
        <w:right w:val="none" w:sz="0" w:space="0" w:color="auto"/>
      </w:divBdr>
      <w:divsChild>
        <w:div w:id="769394065">
          <w:marLeft w:val="0"/>
          <w:marRight w:val="0"/>
          <w:marTop w:val="0"/>
          <w:marBottom w:val="0"/>
          <w:divBdr>
            <w:top w:val="none" w:sz="0" w:space="0" w:color="auto"/>
            <w:left w:val="none" w:sz="0" w:space="0" w:color="auto"/>
            <w:bottom w:val="none" w:sz="0" w:space="0" w:color="auto"/>
            <w:right w:val="none" w:sz="0" w:space="0" w:color="auto"/>
          </w:divBdr>
          <w:divsChild>
            <w:div w:id="1586765080">
              <w:marLeft w:val="0"/>
              <w:marRight w:val="0"/>
              <w:marTop w:val="0"/>
              <w:marBottom w:val="0"/>
              <w:divBdr>
                <w:top w:val="none" w:sz="0" w:space="0" w:color="auto"/>
                <w:left w:val="none" w:sz="0" w:space="0" w:color="auto"/>
                <w:bottom w:val="none" w:sz="0" w:space="0" w:color="auto"/>
                <w:right w:val="none" w:sz="0" w:space="0" w:color="auto"/>
              </w:divBdr>
              <w:divsChild>
                <w:div w:id="16363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933">
      <w:bodyDiv w:val="1"/>
      <w:marLeft w:val="0"/>
      <w:marRight w:val="0"/>
      <w:marTop w:val="0"/>
      <w:marBottom w:val="0"/>
      <w:divBdr>
        <w:top w:val="none" w:sz="0" w:space="0" w:color="auto"/>
        <w:left w:val="none" w:sz="0" w:space="0" w:color="auto"/>
        <w:bottom w:val="none" w:sz="0" w:space="0" w:color="auto"/>
        <w:right w:val="none" w:sz="0" w:space="0" w:color="auto"/>
      </w:divBdr>
      <w:divsChild>
        <w:div w:id="1015301152">
          <w:marLeft w:val="0"/>
          <w:marRight w:val="0"/>
          <w:marTop w:val="0"/>
          <w:marBottom w:val="0"/>
          <w:divBdr>
            <w:top w:val="none" w:sz="0" w:space="0" w:color="auto"/>
            <w:left w:val="none" w:sz="0" w:space="0" w:color="auto"/>
            <w:bottom w:val="none" w:sz="0" w:space="0" w:color="auto"/>
            <w:right w:val="none" w:sz="0" w:space="0" w:color="auto"/>
          </w:divBdr>
          <w:divsChild>
            <w:div w:id="2112512152">
              <w:marLeft w:val="0"/>
              <w:marRight w:val="0"/>
              <w:marTop w:val="0"/>
              <w:marBottom w:val="0"/>
              <w:divBdr>
                <w:top w:val="none" w:sz="0" w:space="0" w:color="auto"/>
                <w:left w:val="none" w:sz="0" w:space="0" w:color="auto"/>
                <w:bottom w:val="none" w:sz="0" w:space="0" w:color="auto"/>
                <w:right w:val="none" w:sz="0" w:space="0" w:color="auto"/>
              </w:divBdr>
              <w:divsChild>
                <w:div w:id="1123038979">
                  <w:marLeft w:val="0"/>
                  <w:marRight w:val="0"/>
                  <w:marTop w:val="0"/>
                  <w:marBottom w:val="0"/>
                  <w:divBdr>
                    <w:top w:val="none" w:sz="0" w:space="0" w:color="auto"/>
                    <w:left w:val="none" w:sz="0" w:space="0" w:color="auto"/>
                    <w:bottom w:val="none" w:sz="0" w:space="0" w:color="auto"/>
                    <w:right w:val="none" w:sz="0" w:space="0" w:color="auto"/>
                  </w:divBdr>
                  <w:divsChild>
                    <w:div w:id="11449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7747">
      <w:bodyDiv w:val="1"/>
      <w:marLeft w:val="0"/>
      <w:marRight w:val="0"/>
      <w:marTop w:val="0"/>
      <w:marBottom w:val="0"/>
      <w:divBdr>
        <w:top w:val="none" w:sz="0" w:space="0" w:color="auto"/>
        <w:left w:val="none" w:sz="0" w:space="0" w:color="auto"/>
        <w:bottom w:val="none" w:sz="0" w:space="0" w:color="auto"/>
        <w:right w:val="none" w:sz="0" w:space="0" w:color="auto"/>
      </w:divBdr>
      <w:divsChild>
        <w:div w:id="421219747">
          <w:marLeft w:val="0"/>
          <w:marRight w:val="0"/>
          <w:marTop w:val="0"/>
          <w:marBottom w:val="0"/>
          <w:divBdr>
            <w:top w:val="none" w:sz="0" w:space="0" w:color="auto"/>
            <w:left w:val="none" w:sz="0" w:space="0" w:color="auto"/>
            <w:bottom w:val="none" w:sz="0" w:space="0" w:color="auto"/>
            <w:right w:val="none" w:sz="0" w:space="0" w:color="auto"/>
          </w:divBdr>
          <w:divsChild>
            <w:div w:id="768434273">
              <w:marLeft w:val="0"/>
              <w:marRight w:val="0"/>
              <w:marTop w:val="0"/>
              <w:marBottom w:val="0"/>
              <w:divBdr>
                <w:top w:val="none" w:sz="0" w:space="0" w:color="auto"/>
                <w:left w:val="none" w:sz="0" w:space="0" w:color="auto"/>
                <w:bottom w:val="none" w:sz="0" w:space="0" w:color="auto"/>
                <w:right w:val="none" w:sz="0" w:space="0" w:color="auto"/>
              </w:divBdr>
              <w:divsChild>
                <w:div w:id="74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2116">
      <w:bodyDiv w:val="1"/>
      <w:marLeft w:val="0"/>
      <w:marRight w:val="0"/>
      <w:marTop w:val="0"/>
      <w:marBottom w:val="0"/>
      <w:divBdr>
        <w:top w:val="none" w:sz="0" w:space="0" w:color="auto"/>
        <w:left w:val="none" w:sz="0" w:space="0" w:color="auto"/>
        <w:bottom w:val="none" w:sz="0" w:space="0" w:color="auto"/>
        <w:right w:val="none" w:sz="0" w:space="0" w:color="auto"/>
      </w:divBdr>
    </w:div>
    <w:div w:id="335501904">
      <w:bodyDiv w:val="1"/>
      <w:marLeft w:val="0"/>
      <w:marRight w:val="0"/>
      <w:marTop w:val="0"/>
      <w:marBottom w:val="0"/>
      <w:divBdr>
        <w:top w:val="none" w:sz="0" w:space="0" w:color="auto"/>
        <w:left w:val="none" w:sz="0" w:space="0" w:color="auto"/>
        <w:bottom w:val="none" w:sz="0" w:space="0" w:color="auto"/>
        <w:right w:val="none" w:sz="0" w:space="0" w:color="auto"/>
      </w:divBdr>
    </w:div>
    <w:div w:id="339237351">
      <w:bodyDiv w:val="1"/>
      <w:marLeft w:val="0"/>
      <w:marRight w:val="0"/>
      <w:marTop w:val="0"/>
      <w:marBottom w:val="0"/>
      <w:divBdr>
        <w:top w:val="none" w:sz="0" w:space="0" w:color="auto"/>
        <w:left w:val="none" w:sz="0" w:space="0" w:color="auto"/>
        <w:bottom w:val="none" w:sz="0" w:space="0" w:color="auto"/>
        <w:right w:val="none" w:sz="0" w:space="0" w:color="auto"/>
      </w:divBdr>
      <w:divsChild>
        <w:div w:id="688142881">
          <w:marLeft w:val="0"/>
          <w:marRight w:val="0"/>
          <w:marTop w:val="0"/>
          <w:marBottom w:val="0"/>
          <w:divBdr>
            <w:top w:val="none" w:sz="0" w:space="0" w:color="auto"/>
            <w:left w:val="none" w:sz="0" w:space="0" w:color="auto"/>
            <w:bottom w:val="none" w:sz="0" w:space="0" w:color="auto"/>
            <w:right w:val="none" w:sz="0" w:space="0" w:color="auto"/>
          </w:divBdr>
          <w:divsChild>
            <w:div w:id="123275622">
              <w:marLeft w:val="0"/>
              <w:marRight w:val="0"/>
              <w:marTop w:val="0"/>
              <w:marBottom w:val="0"/>
              <w:divBdr>
                <w:top w:val="none" w:sz="0" w:space="0" w:color="auto"/>
                <w:left w:val="none" w:sz="0" w:space="0" w:color="auto"/>
                <w:bottom w:val="none" w:sz="0" w:space="0" w:color="auto"/>
                <w:right w:val="none" w:sz="0" w:space="0" w:color="auto"/>
              </w:divBdr>
              <w:divsChild>
                <w:div w:id="957297834">
                  <w:marLeft w:val="0"/>
                  <w:marRight w:val="0"/>
                  <w:marTop w:val="0"/>
                  <w:marBottom w:val="0"/>
                  <w:divBdr>
                    <w:top w:val="none" w:sz="0" w:space="0" w:color="auto"/>
                    <w:left w:val="none" w:sz="0" w:space="0" w:color="auto"/>
                    <w:bottom w:val="none" w:sz="0" w:space="0" w:color="auto"/>
                    <w:right w:val="none" w:sz="0" w:space="0" w:color="auto"/>
                  </w:divBdr>
                  <w:divsChild>
                    <w:div w:id="3432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4761">
      <w:bodyDiv w:val="1"/>
      <w:marLeft w:val="0"/>
      <w:marRight w:val="0"/>
      <w:marTop w:val="0"/>
      <w:marBottom w:val="0"/>
      <w:divBdr>
        <w:top w:val="none" w:sz="0" w:space="0" w:color="auto"/>
        <w:left w:val="none" w:sz="0" w:space="0" w:color="auto"/>
        <w:bottom w:val="none" w:sz="0" w:space="0" w:color="auto"/>
        <w:right w:val="none" w:sz="0" w:space="0" w:color="auto"/>
      </w:divBdr>
      <w:divsChild>
        <w:div w:id="364988225">
          <w:marLeft w:val="0"/>
          <w:marRight w:val="0"/>
          <w:marTop w:val="0"/>
          <w:marBottom w:val="0"/>
          <w:divBdr>
            <w:top w:val="none" w:sz="0" w:space="0" w:color="auto"/>
            <w:left w:val="none" w:sz="0" w:space="0" w:color="auto"/>
            <w:bottom w:val="none" w:sz="0" w:space="0" w:color="auto"/>
            <w:right w:val="none" w:sz="0" w:space="0" w:color="auto"/>
          </w:divBdr>
          <w:divsChild>
            <w:div w:id="2089380985">
              <w:marLeft w:val="0"/>
              <w:marRight w:val="0"/>
              <w:marTop w:val="0"/>
              <w:marBottom w:val="0"/>
              <w:divBdr>
                <w:top w:val="none" w:sz="0" w:space="0" w:color="auto"/>
                <w:left w:val="none" w:sz="0" w:space="0" w:color="auto"/>
                <w:bottom w:val="none" w:sz="0" w:space="0" w:color="auto"/>
                <w:right w:val="none" w:sz="0" w:space="0" w:color="auto"/>
              </w:divBdr>
              <w:divsChild>
                <w:div w:id="646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4856">
      <w:bodyDiv w:val="1"/>
      <w:marLeft w:val="0"/>
      <w:marRight w:val="0"/>
      <w:marTop w:val="0"/>
      <w:marBottom w:val="0"/>
      <w:divBdr>
        <w:top w:val="none" w:sz="0" w:space="0" w:color="auto"/>
        <w:left w:val="none" w:sz="0" w:space="0" w:color="auto"/>
        <w:bottom w:val="none" w:sz="0" w:space="0" w:color="auto"/>
        <w:right w:val="none" w:sz="0" w:space="0" w:color="auto"/>
      </w:divBdr>
      <w:divsChild>
        <w:div w:id="1015498187">
          <w:marLeft w:val="0"/>
          <w:marRight w:val="0"/>
          <w:marTop w:val="0"/>
          <w:marBottom w:val="0"/>
          <w:divBdr>
            <w:top w:val="none" w:sz="0" w:space="0" w:color="auto"/>
            <w:left w:val="none" w:sz="0" w:space="0" w:color="auto"/>
            <w:bottom w:val="none" w:sz="0" w:space="0" w:color="auto"/>
            <w:right w:val="none" w:sz="0" w:space="0" w:color="auto"/>
          </w:divBdr>
          <w:divsChild>
            <w:div w:id="478228628">
              <w:marLeft w:val="0"/>
              <w:marRight w:val="0"/>
              <w:marTop w:val="0"/>
              <w:marBottom w:val="0"/>
              <w:divBdr>
                <w:top w:val="none" w:sz="0" w:space="0" w:color="auto"/>
                <w:left w:val="none" w:sz="0" w:space="0" w:color="auto"/>
                <w:bottom w:val="none" w:sz="0" w:space="0" w:color="auto"/>
                <w:right w:val="none" w:sz="0" w:space="0" w:color="auto"/>
              </w:divBdr>
              <w:divsChild>
                <w:div w:id="19789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4379">
      <w:bodyDiv w:val="1"/>
      <w:marLeft w:val="0"/>
      <w:marRight w:val="0"/>
      <w:marTop w:val="0"/>
      <w:marBottom w:val="0"/>
      <w:divBdr>
        <w:top w:val="none" w:sz="0" w:space="0" w:color="auto"/>
        <w:left w:val="none" w:sz="0" w:space="0" w:color="auto"/>
        <w:bottom w:val="none" w:sz="0" w:space="0" w:color="auto"/>
        <w:right w:val="none" w:sz="0" w:space="0" w:color="auto"/>
      </w:divBdr>
      <w:divsChild>
        <w:div w:id="612900606">
          <w:marLeft w:val="0"/>
          <w:marRight w:val="0"/>
          <w:marTop w:val="0"/>
          <w:marBottom w:val="0"/>
          <w:divBdr>
            <w:top w:val="none" w:sz="0" w:space="0" w:color="auto"/>
            <w:left w:val="none" w:sz="0" w:space="0" w:color="auto"/>
            <w:bottom w:val="none" w:sz="0" w:space="0" w:color="auto"/>
            <w:right w:val="none" w:sz="0" w:space="0" w:color="auto"/>
          </w:divBdr>
          <w:divsChild>
            <w:div w:id="1431003971">
              <w:marLeft w:val="0"/>
              <w:marRight w:val="0"/>
              <w:marTop w:val="0"/>
              <w:marBottom w:val="0"/>
              <w:divBdr>
                <w:top w:val="none" w:sz="0" w:space="0" w:color="auto"/>
                <w:left w:val="none" w:sz="0" w:space="0" w:color="auto"/>
                <w:bottom w:val="none" w:sz="0" w:space="0" w:color="auto"/>
                <w:right w:val="none" w:sz="0" w:space="0" w:color="auto"/>
              </w:divBdr>
              <w:divsChild>
                <w:div w:id="1604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7531">
      <w:bodyDiv w:val="1"/>
      <w:marLeft w:val="0"/>
      <w:marRight w:val="0"/>
      <w:marTop w:val="0"/>
      <w:marBottom w:val="0"/>
      <w:divBdr>
        <w:top w:val="none" w:sz="0" w:space="0" w:color="auto"/>
        <w:left w:val="none" w:sz="0" w:space="0" w:color="auto"/>
        <w:bottom w:val="none" w:sz="0" w:space="0" w:color="auto"/>
        <w:right w:val="none" w:sz="0" w:space="0" w:color="auto"/>
      </w:divBdr>
      <w:divsChild>
        <w:div w:id="1626887141">
          <w:marLeft w:val="0"/>
          <w:marRight w:val="0"/>
          <w:marTop w:val="0"/>
          <w:marBottom w:val="0"/>
          <w:divBdr>
            <w:top w:val="none" w:sz="0" w:space="0" w:color="auto"/>
            <w:left w:val="none" w:sz="0" w:space="0" w:color="auto"/>
            <w:bottom w:val="none" w:sz="0" w:space="0" w:color="auto"/>
            <w:right w:val="none" w:sz="0" w:space="0" w:color="auto"/>
          </w:divBdr>
          <w:divsChild>
            <w:div w:id="703555100">
              <w:marLeft w:val="0"/>
              <w:marRight w:val="0"/>
              <w:marTop w:val="0"/>
              <w:marBottom w:val="0"/>
              <w:divBdr>
                <w:top w:val="none" w:sz="0" w:space="0" w:color="auto"/>
                <w:left w:val="none" w:sz="0" w:space="0" w:color="auto"/>
                <w:bottom w:val="none" w:sz="0" w:space="0" w:color="auto"/>
                <w:right w:val="none" w:sz="0" w:space="0" w:color="auto"/>
              </w:divBdr>
              <w:divsChild>
                <w:div w:id="185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5813">
      <w:bodyDiv w:val="1"/>
      <w:marLeft w:val="0"/>
      <w:marRight w:val="0"/>
      <w:marTop w:val="0"/>
      <w:marBottom w:val="0"/>
      <w:divBdr>
        <w:top w:val="none" w:sz="0" w:space="0" w:color="auto"/>
        <w:left w:val="none" w:sz="0" w:space="0" w:color="auto"/>
        <w:bottom w:val="none" w:sz="0" w:space="0" w:color="auto"/>
        <w:right w:val="none" w:sz="0" w:space="0" w:color="auto"/>
      </w:divBdr>
    </w:div>
    <w:div w:id="376706629">
      <w:bodyDiv w:val="1"/>
      <w:marLeft w:val="0"/>
      <w:marRight w:val="0"/>
      <w:marTop w:val="0"/>
      <w:marBottom w:val="0"/>
      <w:divBdr>
        <w:top w:val="none" w:sz="0" w:space="0" w:color="auto"/>
        <w:left w:val="none" w:sz="0" w:space="0" w:color="auto"/>
        <w:bottom w:val="none" w:sz="0" w:space="0" w:color="auto"/>
        <w:right w:val="none" w:sz="0" w:space="0" w:color="auto"/>
      </w:divBdr>
      <w:divsChild>
        <w:div w:id="1779376214">
          <w:marLeft w:val="0"/>
          <w:marRight w:val="0"/>
          <w:marTop w:val="0"/>
          <w:marBottom w:val="0"/>
          <w:divBdr>
            <w:top w:val="none" w:sz="0" w:space="0" w:color="auto"/>
            <w:left w:val="none" w:sz="0" w:space="0" w:color="auto"/>
            <w:bottom w:val="none" w:sz="0" w:space="0" w:color="auto"/>
            <w:right w:val="none" w:sz="0" w:space="0" w:color="auto"/>
          </w:divBdr>
          <w:divsChild>
            <w:div w:id="2130780595">
              <w:marLeft w:val="0"/>
              <w:marRight w:val="0"/>
              <w:marTop w:val="0"/>
              <w:marBottom w:val="0"/>
              <w:divBdr>
                <w:top w:val="none" w:sz="0" w:space="0" w:color="auto"/>
                <w:left w:val="none" w:sz="0" w:space="0" w:color="auto"/>
                <w:bottom w:val="none" w:sz="0" w:space="0" w:color="auto"/>
                <w:right w:val="none" w:sz="0" w:space="0" w:color="auto"/>
              </w:divBdr>
              <w:divsChild>
                <w:div w:id="11832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3794">
      <w:bodyDiv w:val="1"/>
      <w:marLeft w:val="0"/>
      <w:marRight w:val="0"/>
      <w:marTop w:val="0"/>
      <w:marBottom w:val="0"/>
      <w:divBdr>
        <w:top w:val="none" w:sz="0" w:space="0" w:color="auto"/>
        <w:left w:val="none" w:sz="0" w:space="0" w:color="auto"/>
        <w:bottom w:val="none" w:sz="0" w:space="0" w:color="auto"/>
        <w:right w:val="none" w:sz="0" w:space="0" w:color="auto"/>
      </w:divBdr>
      <w:divsChild>
        <w:div w:id="259412424">
          <w:marLeft w:val="0"/>
          <w:marRight w:val="0"/>
          <w:marTop w:val="0"/>
          <w:marBottom w:val="0"/>
          <w:divBdr>
            <w:top w:val="none" w:sz="0" w:space="0" w:color="auto"/>
            <w:left w:val="none" w:sz="0" w:space="0" w:color="auto"/>
            <w:bottom w:val="none" w:sz="0" w:space="0" w:color="auto"/>
            <w:right w:val="none" w:sz="0" w:space="0" w:color="auto"/>
          </w:divBdr>
          <w:divsChild>
            <w:div w:id="1244223027">
              <w:marLeft w:val="0"/>
              <w:marRight w:val="0"/>
              <w:marTop w:val="0"/>
              <w:marBottom w:val="0"/>
              <w:divBdr>
                <w:top w:val="none" w:sz="0" w:space="0" w:color="auto"/>
                <w:left w:val="none" w:sz="0" w:space="0" w:color="auto"/>
                <w:bottom w:val="none" w:sz="0" w:space="0" w:color="auto"/>
                <w:right w:val="none" w:sz="0" w:space="0" w:color="auto"/>
              </w:divBdr>
              <w:divsChild>
                <w:div w:id="20813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96036">
          <w:marLeft w:val="0"/>
          <w:marRight w:val="0"/>
          <w:marTop w:val="0"/>
          <w:marBottom w:val="0"/>
          <w:divBdr>
            <w:top w:val="none" w:sz="0" w:space="0" w:color="auto"/>
            <w:left w:val="none" w:sz="0" w:space="0" w:color="auto"/>
            <w:bottom w:val="none" w:sz="0" w:space="0" w:color="auto"/>
            <w:right w:val="none" w:sz="0" w:space="0" w:color="auto"/>
          </w:divBdr>
          <w:divsChild>
            <w:div w:id="972638917">
              <w:marLeft w:val="0"/>
              <w:marRight w:val="0"/>
              <w:marTop w:val="0"/>
              <w:marBottom w:val="0"/>
              <w:divBdr>
                <w:top w:val="none" w:sz="0" w:space="0" w:color="auto"/>
                <w:left w:val="none" w:sz="0" w:space="0" w:color="auto"/>
                <w:bottom w:val="none" w:sz="0" w:space="0" w:color="auto"/>
                <w:right w:val="none" w:sz="0" w:space="0" w:color="auto"/>
              </w:divBdr>
              <w:divsChild>
                <w:div w:id="2446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0286">
      <w:bodyDiv w:val="1"/>
      <w:marLeft w:val="0"/>
      <w:marRight w:val="0"/>
      <w:marTop w:val="0"/>
      <w:marBottom w:val="0"/>
      <w:divBdr>
        <w:top w:val="none" w:sz="0" w:space="0" w:color="auto"/>
        <w:left w:val="none" w:sz="0" w:space="0" w:color="auto"/>
        <w:bottom w:val="none" w:sz="0" w:space="0" w:color="auto"/>
        <w:right w:val="none" w:sz="0" w:space="0" w:color="auto"/>
      </w:divBdr>
    </w:div>
    <w:div w:id="404844114">
      <w:bodyDiv w:val="1"/>
      <w:marLeft w:val="0"/>
      <w:marRight w:val="0"/>
      <w:marTop w:val="0"/>
      <w:marBottom w:val="0"/>
      <w:divBdr>
        <w:top w:val="none" w:sz="0" w:space="0" w:color="auto"/>
        <w:left w:val="none" w:sz="0" w:space="0" w:color="auto"/>
        <w:bottom w:val="none" w:sz="0" w:space="0" w:color="auto"/>
        <w:right w:val="none" w:sz="0" w:space="0" w:color="auto"/>
      </w:divBdr>
      <w:divsChild>
        <w:div w:id="873932239">
          <w:marLeft w:val="0"/>
          <w:marRight w:val="0"/>
          <w:marTop w:val="0"/>
          <w:marBottom w:val="0"/>
          <w:divBdr>
            <w:top w:val="none" w:sz="0" w:space="0" w:color="auto"/>
            <w:left w:val="none" w:sz="0" w:space="0" w:color="auto"/>
            <w:bottom w:val="none" w:sz="0" w:space="0" w:color="auto"/>
            <w:right w:val="none" w:sz="0" w:space="0" w:color="auto"/>
          </w:divBdr>
          <w:divsChild>
            <w:div w:id="468860106">
              <w:marLeft w:val="0"/>
              <w:marRight w:val="0"/>
              <w:marTop w:val="0"/>
              <w:marBottom w:val="0"/>
              <w:divBdr>
                <w:top w:val="none" w:sz="0" w:space="0" w:color="auto"/>
                <w:left w:val="none" w:sz="0" w:space="0" w:color="auto"/>
                <w:bottom w:val="none" w:sz="0" w:space="0" w:color="auto"/>
                <w:right w:val="none" w:sz="0" w:space="0" w:color="auto"/>
              </w:divBdr>
              <w:divsChild>
                <w:div w:id="878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6411">
      <w:bodyDiv w:val="1"/>
      <w:marLeft w:val="0"/>
      <w:marRight w:val="0"/>
      <w:marTop w:val="0"/>
      <w:marBottom w:val="0"/>
      <w:divBdr>
        <w:top w:val="none" w:sz="0" w:space="0" w:color="auto"/>
        <w:left w:val="none" w:sz="0" w:space="0" w:color="auto"/>
        <w:bottom w:val="none" w:sz="0" w:space="0" w:color="auto"/>
        <w:right w:val="none" w:sz="0" w:space="0" w:color="auto"/>
      </w:divBdr>
      <w:divsChild>
        <w:div w:id="1084569134">
          <w:marLeft w:val="0"/>
          <w:marRight w:val="0"/>
          <w:marTop w:val="0"/>
          <w:marBottom w:val="0"/>
          <w:divBdr>
            <w:top w:val="none" w:sz="0" w:space="0" w:color="auto"/>
            <w:left w:val="none" w:sz="0" w:space="0" w:color="auto"/>
            <w:bottom w:val="none" w:sz="0" w:space="0" w:color="auto"/>
            <w:right w:val="none" w:sz="0" w:space="0" w:color="auto"/>
          </w:divBdr>
          <w:divsChild>
            <w:div w:id="1326470826">
              <w:marLeft w:val="0"/>
              <w:marRight w:val="0"/>
              <w:marTop w:val="0"/>
              <w:marBottom w:val="0"/>
              <w:divBdr>
                <w:top w:val="none" w:sz="0" w:space="0" w:color="auto"/>
                <w:left w:val="none" w:sz="0" w:space="0" w:color="auto"/>
                <w:bottom w:val="none" w:sz="0" w:space="0" w:color="auto"/>
                <w:right w:val="none" w:sz="0" w:space="0" w:color="auto"/>
              </w:divBdr>
              <w:divsChild>
                <w:div w:id="635984961">
                  <w:marLeft w:val="0"/>
                  <w:marRight w:val="0"/>
                  <w:marTop w:val="0"/>
                  <w:marBottom w:val="0"/>
                  <w:divBdr>
                    <w:top w:val="none" w:sz="0" w:space="0" w:color="auto"/>
                    <w:left w:val="none" w:sz="0" w:space="0" w:color="auto"/>
                    <w:bottom w:val="none" w:sz="0" w:space="0" w:color="auto"/>
                    <w:right w:val="none" w:sz="0" w:space="0" w:color="auto"/>
                  </w:divBdr>
                </w:div>
              </w:divsChild>
            </w:div>
            <w:div w:id="1792481694">
              <w:marLeft w:val="0"/>
              <w:marRight w:val="0"/>
              <w:marTop w:val="0"/>
              <w:marBottom w:val="0"/>
              <w:divBdr>
                <w:top w:val="none" w:sz="0" w:space="0" w:color="auto"/>
                <w:left w:val="none" w:sz="0" w:space="0" w:color="auto"/>
                <w:bottom w:val="none" w:sz="0" w:space="0" w:color="auto"/>
                <w:right w:val="none" w:sz="0" w:space="0" w:color="auto"/>
              </w:divBdr>
              <w:divsChild>
                <w:div w:id="1757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3216">
      <w:bodyDiv w:val="1"/>
      <w:marLeft w:val="0"/>
      <w:marRight w:val="0"/>
      <w:marTop w:val="0"/>
      <w:marBottom w:val="0"/>
      <w:divBdr>
        <w:top w:val="none" w:sz="0" w:space="0" w:color="auto"/>
        <w:left w:val="none" w:sz="0" w:space="0" w:color="auto"/>
        <w:bottom w:val="none" w:sz="0" w:space="0" w:color="auto"/>
        <w:right w:val="none" w:sz="0" w:space="0" w:color="auto"/>
      </w:divBdr>
      <w:divsChild>
        <w:div w:id="42141790">
          <w:marLeft w:val="0"/>
          <w:marRight w:val="0"/>
          <w:marTop w:val="0"/>
          <w:marBottom w:val="0"/>
          <w:divBdr>
            <w:top w:val="none" w:sz="0" w:space="0" w:color="auto"/>
            <w:left w:val="none" w:sz="0" w:space="0" w:color="auto"/>
            <w:bottom w:val="none" w:sz="0" w:space="0" w:color="auto"/>
            <w:right w:val="none" w:sz="0" w:space="0" w:color="auto"/>
          </w:divBdr>
          <w:divsChild>
            <w:div w:id="78187047">
              <w:marLeft w:val="0"/>
              <w:marRight w:val="0"/>
              <w:marTop w:val="0"/>
              <w:marBottom w:val="0"/>
              <w:divBdr>
                <w:top w:val="none" w:sz="0" w:space="0" w:color="auto"/>
                <w:left w:val="none" w:sz="0" w:space="0" w:color="auto"/>
                <w:bottom w:val="none" w:sz="0" w:space="0" w:color="auto"/>
                <w:right w:val="none" w:sz="0" w:space="0" w:color="auto"/>
              </w:divBdr>
              <w:divsChild>
                <w:div w:id="12140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4934">
      <w:bodyDiv w:val="1"/>
      <w:marLeft w:val="0"/>
      <w:marRight w:val="0"/>
      <w:marTop w:val="0"/>
      <w:marBottom w:val="0"/>
      <w:divBdr>
        <w:top w:val="none" w:sz="0" w:space="0" w:color="auto"/>
        <w:left w:val="none" w:sz="0" w:space="0" w:color="auto"/>
        <w:bottom w:val="none" w:sz="0" w:space="0" w:color="auto"/>
        <w:right w:val="none" w:sz="0" w:space="0" w:color="auto"/>
      </w:divBdr>
    </w:div>
    <w:div w:id="462846274">
      <w:bodyDiv w:val="1"/>
      <w:marLeft w:val="0"/>
      <w:marRight w:val="0"/>
      <w:marTop w:val="0"/>
      <w:marBottom w:val="0"/>
      <w:divBdr>
        <w:top w:val="none" w:sz="0" w:space="0" w:color="auto"/>
        <w:left w:val="none" w:sz="0" w:space="0" w:color="auto"/>
        <w:bottom w:val="none" w:sz="0" w:space="0" w:color="auto"/>
        <w:right w:val="none" w:sz="0" w:space="0" w:color="auto"/>
      </w:divBdr>
    </w:div>
    <w:div w:id="469637477">
      <w:bodyDiv w:val="1"/>
      <w:marLeft w:val="0"/>
      <w:marRight w:val="0"/>
      <w:marTop w:val="0"/>
      <w:marBottom w:val="0"/>
      <w:divBdr>
        <w:top w:val="none" w:sz="0" w:space="0" w:color="auto"/>
        <w:left w:val="none" w:sz="0" w:space="0" w:color="auto"/>
        <w:bottom w:val="none" w:sz="0" w:space="0" w:color="auto"/>
        <w:right w:val="none" w:sz="0" w:space="0" w:color="auto"/>
      </w:divBdr>
    </w:div>
    <w:div w:id="507598352">
      <w:bodyDiv w:val="1"/>
      <w:marLeft w:val="0"/>
      <w:marRight w:val="0"/>
      <w:marTop w:val="0"/>
      <w:marBottom w:val="0"/>
      <w:divBdr>
        <w:top w:val="none" w:sz="0" w:space="0" w:color="auto"/>
        <w:left w:val="none" w:sz="0" w:space="0" w:color="auto"/>
        <w:bottom w:val="none" w:sz="0" w:space="0" w:color="auto"/>
        <w:right w:val="none" w:sz="0" w:space="0" w:color="auto"/>
      </w:divBdr>
      <w:divsChild>
        <w:div w:id="1477330663">
          <w:marLeft w:val="0"/>
          <w:marRight w:val="0"/>
          <w:marTop w:val="0"/>
          <w:marBottom w:val="0"/>
          <w:divBdr>
            <w:top w:val="none" w:sz="0" w:space="0" w:color="auto"/>
            <w:left w:val="none" w:sz="0" w:space="0" w:color="auto"/>
            <w:bottom w:val="none" w:sz="0" w:space="0" w:color="auto"/>
            <w:right w:val="none" w:sz="0" w:space="0" w:color="auto"/>
          </w:divBdr>
          <w:divsChild>
            <w:div w:id="1855269349">
              <w:marLeft w:val="0"/>
              <w:marRight w:val="0"/>
              <w:marTop w:val="0"/>
              <w:marBottom w:val="0"/>
              <w:divBdr>
                <w:top w:val="none" w:sz="0" w:space="0" w:color="auto"/>
                <w:left w:val="none" w:sz="0" w:space="0" w:color="auto"/>
                <w:bottom w:val="none" w:sz="0" w:space="0" w:color="auto"/>
                <w:right w:val="none" w:sz="0" w:space="0" w:color="auto"/>
              </w:divBdr>
              <w:divsChild>
                <w:div w:id="12175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3440">
      <w:bodyDiv w:val="1"/>
      <w:marLeft w:val="0"/>
      <w:marRight w:val="0"/>
      <w:marTop w:val="0"/>
      <w:marBottom w:val="0"/>
      <w:divBdr>
        <w:top w:val="none" w:sz="0" w:space="0" w:color="auto"/>
        <w:left w:val="none" w:sz="0" w:space="0" w:color="auto"/>
        <w:bottom w:val="none" w:sz="0" w:space="0" w:color="auto"/>
        <w:right w:val="none" w:sz="0" w:space="0" w:color="auto"/>
      </w:divBdr>
    </w:div>
    <w:div w:id="531267010">
      <w:bodyDiv w:val="1"/>
      <w:marLeft w:val="0"/>
      <w:marRight w:val="0"/>
      <w:marTop w:val="0"/>
      <w:marBottom w:val="0"/>
      <w:divBdr>
        <w:top w:val="none" w:sz="0" w:space="0" w:color="auto"/>
        <w:left w:val="none" w:sz="0" w:space="0" w:color="auto"/>
        <w:bottom w:val="none" w:sz="0" w:space="0" w:color="auto"/>
        <w:right w:val="none" w:sz="0" w:space="0" w:color="auto"/>
      </w:divBdr>
    </w:div>
    <w:div w:id="543712868">
      <w:bodyDiv w:val="1"/>
      <w:marLeft w:val="0"/>
      <w:marRight w:val="0"/>
      <w:marTop w:val="0"/>
      <w:marBottom w:val="0"/>
      <w:divBdr>
        <w:top w:val="none" w:sz="0" w:space="0" w:color="auto"/>
        <w:left w:val="none" w:sz="0" w:space="0" w:color="auto"/>
        <w:bottom w:val="none" w:sz="0" w:space="0" w:color="auto"/>
        <w:right w:val="none" w:sz="0" w:space="0" w:color="auto"/>
      </w:divBdr>
      <w:divsChild>
        <w:div w:id="721562481">
          <w:marLeft w:val="0"/>
          <w:marRight w:val="0"/>
          <w:marTop w:val="0"/>
          <w:marBottom w:val="0"/>
          <w:divBdr>
            <w:top w:val="none" w:sz="0" w:space="0" w:color="auto"/>
            <w:left w:val="none" w:sz="0" w:space="0" w:color="auto"/>
            <w:bottom w:val="none" w:sz="0" w:space="0" w:color="auto"/>
            <w:right w:val="none" w:sz="0" w:space="0" w:color="auto"/>
          </w:divBdr>
          <w:divsChild>
            <w:div w:id="1308050057">
              <w:marLeft w:val="0"/>
              <w:marRight w:val="0"/>
              <w:marTop w:val="0"/>
              <w:marBottom w:val="0"/>
              <w:divBdr>
                <w:top w:val="none" w:sz="0" w:space="0" w:color="auto"/>
                <w:left w:val="none" w:sz="0" w:space="0" w:color="auto"/>
                <w:bottom w:val="none" w:sz="0" w:space="0" w:color="auto"/>
                <w:right w:val="none" w:sz="0" w:space="0" w:color="auto"/>
              </w:divBdr>
              <w:divsChild>
                <w:div w:id="1911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93871">
      <w:bodyDiv w:val="1"/>
      <w:marLeft w:val="0"/>
      <w:marRight w:val="0"/>
      <w:marTop w:val="0"/>
      <w:marBottom w:val="0"/>
      <w:divBdr>
        <w:top w:val="none" w:sz="0" w:space="0" w:color="auto"/>
        <w:left w:val="none" w:sz="0" w:space="0" w:color="auto"/>
        <w:bottom w:val="none" w:sz="0" w:space="0" w:color="auto"/>
        <w:right w:val="none" w:sz="0" w:space="0" w:color="auto"/>
      </w:divBdr>
      <w:divsChild>
        <w:div w:id="168836912">
          <w:marLeft w:val="0"/>
          <w:marRight w:val="0"/>
          <w:marTop w:val="0"/>
          <w:marBottom w:val="0"/>
          <w:divBdr>
            <w:top w:val="none" w:sz="0" w:space="0" w:color="auto"/>
            <w:left w:val="none" w:sz="0" w:space="0" w:color="auto"/>
            <w:bottom w:val="none" w:sz="0" w:space="0" w:color="auto"/>
            <w:right w:val="none" w:sz="0" w:space="0" w:color="auto"/>
          </w:divBdr>
          <w:divsChild>
            <w:div w:id="313150126">
              <w:marLeft w:val="0"/>
              <w:marRight w:val="0"/>
              <w:marTop w:val="0"/>
              <w:marBottom w:val="0"/>
              <w:divBdr>
                <w:top w:val="none" w:sz="0" w:space="0" w:color="auto"/>
                <w:left w:val="none" w:sz="0" w:space="0" w:color="auto"/>
                <w:bottom w:val="none" w:sz="0" w:space="0" w:color="auto"/>
                <w:right w:val="none" w:sz="0" w:space="0" w:color="auto"/>
              </w:divBdr>
              <w:divsChild>
                <w:div w:id="1269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0515">
      <w:bodyDiv w:val="1"/>
      <w:marLeft w:val="0"/>
      <w:marRight w:val="0"/>
      <w:marTop w:val="0"/>
      <w:marBottom w:val="0"/>
      <w:divBdr>
        <w:top w:val="none" w:sz="0" w:space="0" w:color="auto"/>
        <w:left w:val="none" w:sz="0" w:space="0" w:color="auto"/>
        <w:bottom w:val="none" w:sz="0" w:space="0" w:color="auto"/>
        <w:right w:val="none" w:sz="0" w:space="0" w:color="auto"/>
      </w:divBdr>
      <w:divsChild>
        <w:div w:id="1672248316">
          <w:marLeft w:val="0"/>
          <w:marRight w:val="0"/>
          <w:marTop w:val="0"/>
          <w:marBottom w:val="0"/>
          <w:divBdr>
            <w:top w:val="none" w:sz="0" w:space="0" w:color="auto"/>
            <w:left w:val="none" w:sz="0" w:space="0" w:color="auto"/>
            <w:bottom w:val="none" w:sz="0" w:space="0" w:color="auto"/>
            <w:right w:val="none" w:sz="0" w:space="0" w:color="auto"/>
          </w:divBdr>
          <w:divsChild>
            <w:div w:id="1080368353">
              <w:marLeft w:val="0"/>
              <w:marRight w:val="0"/>
              <w:marTop w:val="0"/>
              <w:marBottom w:val="0"/>
              <w:divBdr>
                <w:top w:val="none" w:sz="0" w:space="0" w:color="auto"/>
                <w:left w:val="none" w:sz="0" w:space="0" w:color="auto"/>
                <w:bottom w:val="none" w:sz="0" w:space="0" w:color="auto"/>
                <w:right w:val="none" w:sz="0" w:space="0" w:color="auto"/>
              </w:divBdr>
              <w:divsChild>
                <w:div w:id="18302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2138">
      <w:bodyDiv w:val="1"/>
      <w:marLeft w:val="0"/>
      <w:marRight w:val="0"/>
      <w:marTop w:val="0"/>
      <w:marBottom w:val="0"/>
      <w:divBdr>
        <w:top w:val="none" w:sz="0" w:space="0" w:color="auto"/>
        <w:left w:val="none" w:sz="0" w:space="0" w:color="auto"/>
        <w:bottom w:val="none" w:sz="0" w:space="0" w:color="auto"/>
        <w:right w:val="none" w:sz="0" w:space="0" w:color="auto"/>
      </w:divBdr>
    </w:div>
    <w:div w:id="574970946">
      <w:bodyDiv w:val="1"/>
      <w:marLeft w:val="0"/>
      <w:marRight w:val="0"/>
      <w:marTop w:val="0"/>
      <w:marBottom w:val="0"/>
      <w:divBdr>
        <w:top w:val="none" w:sz="0" w:space="0" w:color="auto"/>
        <w:left w:val="none" w:sz="0" w:space="0" w:color="auto"/>
        <w:bottom w:val="none" w:sz="0" w:space="0" w:color="auto"/>
        <w:right w:val="none" w:sz="0" w:space="0" w:color="auto"/>
      </w:divBdr>
    </w:div>
    <w:div w:id="579875893">
      <w:bodyDiv w:val="1"/>
      <w:marLeft w:val="0"/>
      <w:marRight w:val="0"/>
      <w:marTop w:val="0"/>
      <w:marBottom w:val="0"/>
      <w:divBdr>
        <w:top w:val="none" w:sz="0" w:space="0" w:color="auto"/>
        <w:left w:val="none" w:sz="0" w:space="0" w:color="auto"/>
        <w:bottom w:val="none" w:sz="0" w:space="0" w:color="auto"/>
        <w:right w:val="none" w:sz="0" w:space="0" w:color="auto"/>
      </w:divBdr>
    </w:div>
    <w:div w:id="582110825">
      <w:bodyDiv w:val="1"/>
      <w:marLeft w:val="0"/>
      <w:marRight w:val="0"/>
      <w:marTop w:val="0"/>
      <w:marBottom w:val="0"/>
      <w:divBdr>
        <w:top w:val="none" w:sz="0" w:space="0" w:color="auto"/>
        <w:left w:val="none" w:sz="0" w:space="0" w:color="auto"/>
        <w:bottom w:val="none" w:sz="0" w:space="0" w:color="auto"/>
        <w:right w:val="none" w:sz="0" w:space="0" w:color="auto"/>
      </w:divBdr>
    </w:div>
    <w:div w:id="584875957">
      <w:bodyDiv w:val="1"/>
      <w:marLeft w:val="0"/>
      <w:marRight w:val="0"/>
      <w:marTop w:val="0"/>
      <w:marBottom w:val="0"/>
      <w:divBdr>
        <w:top w:val="none" w:sz="0" w:space="0" w:color="auto"/>
        <w:left w:val="none" w:sz="0" w:space="0" w:color="auto"/>
        <w:bottom w:val="none" w:sz="0" w:space="0" w:color="auto"/>
        <w:right w:val="none" w:sz="0" w:space="0" w:color="auto"/>
      </w:divBdr>
      <w:divsChild>
        <w:div w:id="995373821">
          <w:marLeft w:val="0"/>
          <w:marRight w:val="0"/>
          <w:marTop w:val="0"/>
          <w:marBottom w:val="0"/>
          <w:divBdr>
            <w:top w:val="none" w:sz="0" w:space="0" w:color="auto"/>
            <w:left w:val="none" w:sz="0" w:space="0" w:color="auto"/>
            <w:bottom w:val="none" w:sz="0" w:space="0" w:color="auto"/>
            <w:right w:val="none" w:sz="0" w:space="0" w:color="auto"/>
          </w:divBdr>
          <w:divsChild>
            <w:div w:id="1993944405">
              <w:marLeft w:val="0"/>
              <w:marRight w:val="0"/>
              <w:marTop w:val="0"/>
              <w:marBottom w:val="0"/>
              <w:divBdr>
                <w:top w:val="none" w:sz="0" w:space="0" w:color="auto"/>
                <w:left w:val="none" w:sz="0" w:space="0" w:color="auto"/>
                <w:bottom w:val="none" w:sz="0" w:space="0" w:color="auto"/>
                <w:right w:val="none" w:sz="0" w:space="0" w:color="auto"/>
              </w:divBdr>
              <w:divsChild>
                <w:div w:id="304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840">
      <w:bodyDiv w:val="1"/>
      <w:marLeft w:val="0"/>
      <w:marRight w:val="0"/>
      <w:marTop w:val="0"/>
      <w:marBottom w:val="0"/>
      <w:divBdr>
        <w:top w:val="none" w:sz="0" w:space="0" w:color="auto"/>
        <w:left w:val="none" w:sz="0" w:space="0" w:color="auto"/>
        <w:bottom w:val="none" w:sz="0" w:space="0" w:color="auto"/>
        <w:right w:val="none" w:sz="0" w:space="0" w:color="auto"/>
      </w:divBdr>
      <w:divsChild>
        <w:div w:id="1381974795">
          <w:marLeft w:val="0"/>
          <w:marRight w:val="0"/>
          <w:marTop w:val="0"/>
          <w:marBottom w:val="0"/>
          <w:divBdr>
            <w:top w:val="none" w:sz="0" w:space="0" w:color="auto"/>
            <w:left w:val="none" w:sz="0" w:space="0" w:color="auto"/>
            <w:bottom w:val="none" w:sz="0" w:space="0" w:color="auto"/>
            <w:right w:val="none" w:sz="0" w:space="0" w:color="auto"/>
          </w:divBdr>
          <w:divsChild>
            <w:div w:id="1939436347">
              <w:marLeft w:val="0"/>
              <w:marRight w:val="0"/>
              <w:marTop w:val="0"/>
              <w:marBottom w:val="0"/>
              <w:divBdr>
                <w:top w:val="none" w:sz="0" w:space="0" w:color="auto"/>
                <w:left w:val="none" w:sz="0" w:space="0" w:color="auto"/>
                <w:bottom w:val="none" w:sz="0" w:space="0" w:color="auto"/>
                <w:right w:val="none" w:sz="0" w:space="0" w:color="auto"/>
              </w:divBdr>
              <w:divsChild>
                <w:div w:id="11774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6138">
      <w:bodyDiv w:val="1"/>
      <w:marLeft w:val="0"/>
      <w:marRight w:val="0"/>
      <w:marTop w:val="0"/>
      <w:marBottom w:val="0"/>
      <w:divBdr>
        <w:top w:val="none" w:sz="0" w:space="0" w:color="auto"/>
        <w:left w:val="none" w:sz="0" w:space="0" w:color="auto"/>
        <w:bottom w:val="none" w:sz="0" w:space="0" w:color="auto"/>
        <w:right w:val="none" w:sz="0" w:space="0" w:color="auto"/>
      </w:divBdr>
    </w:div>
    <w:div w:id="609171076">
      <w:bodyDiv w:val="1"/>
      <w:marLeft w:val="0"/>
      <w:marRight w:val="0"/>
      <w:marTop w:val="0"/>
      <w:marBottom w:val="0"/>
      <w:divBdr>
        <w:top w:val="none" w:sz="0" w:space="0" w:color="auto"/>
        <w:left w:val="none" w:sz="0" w:space="0" w:color="auto"/>
        <w:bottom w:val="none" w:sz="0" w:space="0" w:color="auto"/>
        <w:right w:val="none" w:sz="0" w:space="0" w:color="auto"/>
      </w:divBdr>
    </w:div>
    <w:div w:id="614600369">
      <w:bodyDiv w:val="1"/>
      <w:marLeft w:val="0"/>
      <w:marRight w:val="0"/>
      <w:marTop w:val="0"/>
      <w:marBottom w:val="0"/>
      <w:divBdr>
        <w:top w:val="none" w:sz="0" w:space="0" w:color="auto"/>
        <w:left w:val="none" w:sz="0" w:space="0" w:color="auto"/>
        <w:bottom w:val="none" w:sz="0" w:space="0" w:color="auto"/>
        <w:right w:val="none" w:sz="0" w:space="0" w:color="auto"/>
      </w:divBdr>
      <w:divsChild>
        <w:div w:id="1395859302">
          <w:marLeft w:val="0"/>
          <w:marRight w:val="0"/>
          <w:marTop w:val="0"/>
          <w:marBottom w:val="0"/>
          <w:divBdr>
            <w:top w:val="none" w:sz="0" w:space="0" w:color="auto"/>
            <w:left w:val="none" w:sz="0" w:space="0" w:color="auto"/>
            <w:bottom w:val="none" w:sz="0" w:space="0" w:color="auto"/>
            <w:right w:val="none" w:sz="0" w:space="0" w:color="auto"/>
          </w:divBdr>
          <w:divsChild>
            <w:div w:id="237135351">
              <w:marLeft w:val="0"/>
              <w:marRight w:val="0"/>
              <w:marTop w:val="0"/>
              <w:marBottom w:val="0"/>
              <w:divBdr>
                <w:top w:val="none" w:sz="0" w:space="0" w:color="auto"/>
                <w:left w:val="none" w:sz="0" w:space="0" w:color="auto"/>
                <w:bottom w:val="none" w:sz="0" w:space="0" w:color="auto"/>
                <w:right w:val="none" w:sz="0" w:space="0" w:color="auto"/>
              </w:divBdr>
              <w:divsChild>
                <w:div w:id="8045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7112">
      <w:bodyDiv w:val="1"/>
      <w:marLeft w:val="0"/>
      <w:marRight w:val="0"/>
      <w:marTop w:val="0"/>
      <w:marBottom w:val="0"/>
      <w:divBdr>
        <w:top w:val="none" w:sz="0" w:space="0" w:color="auto"/>
        <w:left w:val="none" w:sz="0" w:space="0" w:color="auto"/>
        <w:bottom w:val="none" w:sz="0" w:space="0" w:color="auto"/>
        <w:right w:val="none" w:sz="0" w:space="0" w:color="auto"/>
      </w:divBdr>
      <w:divsChild>
        <w:div w:id="2026393843">
          <w:marLeft w:val="0"/>
          <w:marRight w:val="0"/>
          <w:marTop w:val="0"/>
          <w:marBottom w:val="0"/>
          <w:divBdr>
            <w:top w:val="none" w:sz="0" w:space="0" w:color="auto"/>
            <w:left w:val="none" w:sz="0" w:space="0" w:color="auto"/>
            <w:bottom w:val="none" w:sz="0" w:space="0" w:color="auto"/>
            <w:right w:val="none" w:sz="0" w:space="0" w:color="auto"/>
          </w:divBdr>
          <w:divsChild>
            <w:div w:id="1573196020">
              <w:marLeft w:val="0"/>
              <w:marRight w:val="0"/>
              <w:marTop w:val="0"/>
              <w:marBottom w:val="0"/>
              <w:divBdr>
                <w:top w:val="none" w:sz="0" w:space="0" w:color="auto"/>
                <w:left w:val="none" w:sz="0" w:space="0" w:color="auto"/>
                <w:bottom w:val="none" w:sz="0" w:space="0" w:color="auto"/>
                <w:right w:val="none" w:sz="0" w:space="0" w:color="auto"/>
              </w:divBdr>
              <w:divsChild>
                <w:div w:id="488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4237">
      <w:bodyDiv w:val="1"/>
      <w:marLeft w:val="0"/>
      <w:marRight w:val="0"/>
      <w:marTop w:val="0"/>
      <w:marBottom w:val="0"/>
      <w:divBdr>
        <w:top w:val="none" w:sz="0" w:space="0" w:color="auto"/>
        <w:left w:val="none" w:sz="0" w:space="0" w:color="auto"/>
        <w:bottom w:val="none" w:sz="0" w:space="0" w:color="auto"/>
        <w:right w:val="none" w:sz="0" w:space="0" w:color="auto"/>
      </w:divBdr>
      <w:divsChild>
        <w:div w:id="408580208">
          <w:marLeft w:val="0"/>
          <w:marRight w:val="0"/>
          <w:marTop w:val="0"/>
          <w:marBottom w:val="0"/>
          <w:divBdr>
            <w:top w:val="none" w:sz="0" w:space="0" w:color="auto"/>
            <w:left w:val="none" w:sz="0" w:space="0" w:color="auto"/>
            <w:bottom w:val="none" w:sz="0" w:space="0" w:color="auto"/>
            <w:right w:val="none" w:sz="0" w:space="0" w:color="auto"/>
          </w:divBdr>
          <w:divsChild>
            <w:div w:id="621889822">
              <w:marLeft w:val="0"/>
              <w:marRight w:val="0"/>
              <w:marTop w:val="0"/>
              <w:marBottom w:val="0"/>
              <w:divBdr>
                <w:top w:val="none" w:sz="0" w:space="0" w:color="auto"/>
                <w:left w:val="none" w:sz="0" w:space="0" w:color="auto"/>
                <w:bottom w:val="none" w:sz="0" w:space="0" w:color="auto"/>
                <w:right w:val="none" w:sz="0" w:space="0" w:color="auto"/>
              </w:divBdr>
              <w:divsChild>
                <w:div w:id="1220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9208">
      <w:bodyDiv w:val="1"/>
      <w:marLeft w:val="0"/>
      <w:marRight w:val="0"/>
      <w:marTop w:val="0"/>
      <w:marBottom w:val="0"/>
      <w:divBdr>
        <w:top w:val="none" w:sz="0" w:space="0" w:color="auto"/>
        <w:left w:val="none" w:sz="0" w:space="0" w:color="auto"/>
        <w:bottom w:val="none" w:sz="0" w:space="0" w:color="auto"/>
        <w:right w:val="none" w:sz="0" w:space="0" w:color="auto"/>
      </w:divBdr>
      <w:divsChild>
        <w:div w:id="222452063">
          <w:marLeft w:val="0"/>
          <w:marRight w:val="0"/>
          <w:marTop w:val="0"/>
          <w:marBottom w:val="0"/>
          <w:divBdr>
            <w:top w:val="none" w:sz="0" w:space="0" w:color="auto"/>
            <w:left w:val="none" w:sz="0" w:space="0" w:color="auto"/>
            <w:bottom w:val="none" w:sz="0" w:space="0" w:color="auto"/>
            <w:right w:val="none" w:sz="0" w:space="0" w:color="auto"/>
          </w:divBdr>
          <w:divsChild>
            <w:div w:id="162548995">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00110">
      <w:bodyDiv w:val="1"/>
      <w:marLeft w:val="0"/>
      <w:marRight w:val="0"/>
      <w:marTop w:val="0"/>
      <w:marBottom w:val="0"/>
      <w:divBdr>
        <w:top w:val="none" w:sz="0" w:space="0" w:color="auto"/>
        <w:left w:val="none" w:sz="0" w:space="0" w:color="auto"/>
        <w:bottom w:val="none" w:sz="0" w:space="0" w:color="auto"/>
        <w:right w:val="none" w:sz="0" w:space="0" w:color="auto"/>
      </w:divBdr>
      <w:divsChild>
        <w:div w:id="415173630">
          <w:marLeft w:val="0"/>
          <w:marRight w:val="0"/>
          <w:marTop w:val="0"/>
          <w:marBottom w:val="0"/>
          <w:divBdr>
            <w:top w:val="none" w:sz="0" w:space="0" w:color="auto"/>
            <w:left w:val="none" w:sz="0" w:space="0" w:color="auto"/>
            <w:bottom w:val="none" w:sz="0" w:space="0" w:color="auto"/>
            <w:right w:val="none" w:sz="0" w:space="0" w:color="auto"/>
          </w:divBdr>
          <w:divsChild>
            <w:div w:id="314644839">
              <w:marLeft w:val="0"/>
              <w:marRight w:val="0"/>
              <w:marTop w:val="0"/>
              <w:marBottom w:val="0"/>
              <w:divBdr>
                <w:top w:val="none" w:sz="0" w:space="0" w:color="auto"/>
                <w:left w:val="none" w:sz="0" w:space="0" w:color="auto"/>
                <w:bottom w:val="none" w:sz="0" w:space="0" w:color="auto"/>
                <w:right w:val="none" w:sz="0" w:space="0" w:color="auto"/>
              </w:divBdr>
              <w:divsChild>
                <w:div w:id="1121847427">
                  <w:marLeft w:val="0"/>
                  <w:marRight w:val="0"/>
                  <w:marTop w:val="0"/>
                  <w:marBottom w:val="0"/>
                  <w:divBdr>
                    <w:top w:val="none" w:sz="0" w:space="0" w:color="auto"/>
                    <w:left w:val="none" w:sz="0" w:space="0" w:color="auto"/>
                    <w:bottom w:val="none" w:sz="0" w:space="0" w:color="auto"/>
                    <w:right w:val="none" w:sz="0" w:space="0" w:color="auto"/>
                  </w:divBdr>
                  <w:divsChild>
                    <w:div w:id="19206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27834">
      <w:bodyDiv w:val="1"/>
      <w:marLeft w:val="0"/>
      <w:marRight w:val="0"/>
      <w:marTop w:val="0"/>
      <w:marBottom w:val="0"/>
      <w:divBdr>
        <w:top w:val="none" w:sz="0" w:space="0" w:color="auto"/>
        <w:left w:val="none" w:sz="0" w:space="0" w:color="auto"/>
        <w:bottom w:val="none" w:sz="0" w:space="0" w:color="auto"/>
        <w:right w:val="none" w:sz="0" w:space="0" w:color="auto"/>
      </w:divBdr>
      <w:divsChild>
        <w:div w:id="625966130">
          <w:marLeft w:val="0"/>
          <w:marRight w:val="0"/>
          <w:marTop w:val="0"/>
          <w:marBottom w:val="0"/>
          <w:divBdr>
            <w:top w:val="none" w:sz="0" w:space="0" w:color="auto"/>
            <w:left w:val="none" w:sz="0" w:space="0" w:color="auto"/>
            <w:bottom w:val="none" w:sz="0" w:space="0" w:color="auto"/>
            <w:right w:val="none" w:sz="0" w:space="0" w:color="auto"/>
          </w:divBdr>
          <w:divsChild>
            <w:div w:id="1349212287">
              <w:marLeft w:val="0"/>
              <w:marRight w:val="0"/>
              <w:marTop w:val="0"/>
              <w:marBottom w:val="0"/>
              <w:divBdr>
                <w:top w:val="none" w:sz="0" w:space="0" w:color="auto"/>
                <w:left w:val="none" w:sz="0" w:space="0" w:color="auto"/>
                <w:bottom w:val="none" w:sz="0" w:space="0" w:color="auto"/>
                <w:right w:val="none" w:sz="0" w:space="0" w:color="auto"/>
              </w:divBdr>
              <w:divsChild>
                <w:div w:id="93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283">
      <w:bodyDiv w:val="1"/>
      <w:marLeft w:val="0"/>
      <w:marRight w:val="0"/>
      <w:marTop w:val="0"/>
      <w:marBottom w:val="0"/>
      <w:divBdr>
        <w:top w:val="none" w:sz="0" w:space="0" w:color="auto"/>
        <w:left w:val="none" w:sz="0" w:space="0" w:color="auto"/>
        <w:bottom w:val="none" w:sz="0" w:space="0" w:color="auto"/>
        <w:right w:val="none" w:sz="0" w:space="0" w:color="auto"/>
      </w:divBdr>
    </w:div>
    <w:div w:id="653484868">
      <w:bodyDiv w:val="1"/>
      <w:marLeft w:val="0"/>
      <w:marRight w:val="0"/>
      <w:marTop w:val="0"/>
      <w:marBottom w:val="0"/>
      <w:divBdr>
        <w:top w:val="none" w:sz="0" w:space="0" w:color="auto"/>
        <w:left w:val="none" w:sz="0" w:space="0" w:color="auto"/>
        <w:bottom w:val="none" w:sz="0" w:space="0" w:color="auto"/>
        <w:right w:val="none" w:sz="0" w:space="0" w:color="auto"/>
      </w:divBdr>
      <w:divsChild>
        <w:div w:id="2010519711">
          <w:marLeft w:val="0"/>
          <w:marRight w:val="0"/>
          <w:marTop w:val="0"/>
          <w:marBottom w:val="0"/>
          <w:divBdr>
            <w:top w:val="none" w:sz="0" w:space="0" w:color="auto"/>
            <w:left w:val="none" w:sz="0" w:space="0" w:color="auto"/>
            <w:bottom w:val="none" w:sz="0" w:space="0" w:color="auto"/>
            <w:right w:val="none" w:sz="0" w:space="0" w:color="auto"/>
          </w:divBdr>
          <w:divsChild>
            <w:div w:id="1261990469">
              <w:marLeft w:val="0"/>
              <w:marRight w:val="0"/>
              <w:marTop w:val="0"/>
              <w:marBottom w:val="0"/>
              <w:divBdr>
                <w:top w:val="none" w:sz="0" w:space="0" w:color="auto"/>
                <w:left w:val="none" w:sz="0" w:space="0" w:color="auto"/>
                <w:bottom w:val="none" w:sz="0" w:space="0" w:color="auto"/>
                <w:right w:val="none" w:sz="0" w:space="0" w:color="auto"/>
              </w:divBdr>
              <w:divsChild>
                <w:div w:id="124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9448">
      <w:bodyDiv w:val="1"/>
      <w:marLeft w:val="0"/>
      <w:marRight w:val="0"/>
      <w:marTop w:val="0"/>
      <w:marBottom w:val="0"/>
      <w:divBdr>
        <w:top w:val="none" w:sz="0" w:space="0" w:color="auto"/>
        <w:left w:val="none" w:sz="0" w:space="0" w:color="auto"/>
        <w:bottom w:val="none" w:sz="0" w:space="0" w:color="auto"/>
        <w:right w:val="none" w:sz="0" w:space="0" w:color="auto"/>
      </w:divBdr>
      <w:divsChild>
        <w:div w:id="1767076029">
          <w:marLeft w:val="0"/>
          <w:marRight w:val="0"/>
          <w:marTop w:val="0"/>
          <w:marBottom w:val="0"/>
          <w:divBdr>
            <w:top w:val="none" w:sz="0" w:space="0" w:color="auto"/>
            <w:left w:val="none" w:sz="0" w:space="0" w:color="auto"/>
            <w:bottom w:val="none" w:sz="0" w:space="0" w:color="auto"/>
            <w:right w:val="none" w:sz="0" w:space="0" w:color="auto"/>
          </w:divBdr>
          <w:divsChild>
            <w:div w:id="2092698317">
              <w:marLeft w:val="0"/>
              <w:marRight w:val="0"/>
              <w:marTop w:val="0"/>
              <w:marBottom w:val="0"/>
              <w:divBdr>
                <w:top w:val="none" w:sz="0" w:space="0" w:color="auto"/>
                <w:left w:val="none" w:sz="0" w:space="0" w:color="auto"/>
                <w:bottom w:val="none" w:sz="0" w:space="0" w:color="auto"/>
                <w:right w:val="none" w:sz="0" w:space="0" w:color="auto"/>
              </w:divBdr>
              <w:divsChild>
                <w:div w:id="12712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3095">
      <w:bodyDiv w:val="1"/>
      <w:marLeft w:val="0"/>
      <w:marRight w:val="0"/>
      <w:marTop w:val="0"/>
      <w:marBottom w:val="0"/>
      <w:divBdr>
        <w:top w:val="none" w:sz="0" w:space="0" w:color="auto"/>
        <w:left w:val="none" w:sz="0" w:space="0" w:color="auto"/>
        <w:bottom w:val="none" w:sz="0" w:space="0" w:color="auto"/>
        <w:right w:val="none" w:sz="0" w:space="0" w:color="auto"/>
      </w:divBdr>
    </w:div>
    <w:div w:id="662977566">
      <w:bodyDiv w:val="1"/>
      <w:marLeft w:val="0"/>
      <w:marRight w:val="0"/>
      <w:marTop w:val="0"/>
      <w:marBottom w:val="0"/>
      <w:divBdr>
        <w:top w:val="none" w:sz="0" w:space="0" w:color="auto"/>
        <w:left w:val="none" w:sz="0" w:space="0" w:color="auto"/>
        <w:bottom w:val="none" w:sz="0" w:space="0" w:color="auto"/>
        <w:right w:val="none" w:sz="0" w:space="0" w:color="auto"/>
      </w:divBdr>
      <w:divsChild>
        <w:div w:id="112021067">
          <w:marLeft w:val="0"/>
          <w:marRight w:val="0"/>
          <w:marTop w:val="0"/>
          <w:marBottom w:val="0"/>
          <w:divBdr>
            <w:top w:val="none" w:sz="0" w:space="0" w:color="auto"/>
            <w:left w:val="none" w:sz="0" w:space="0" w:color="auto"/>
            <w:bottom w:val="none" w:sz="0" w:space="0" w:color="auto"/>
            <w:right w:val="none" w:sz="0" w:space="0" w:color="auto"/>
          </w:divBdr>
          <w:divsChild>
            <w:div w:id="1963341501">
              <w:marLeft w:val="0"/>
              <w:marRight w:val="0"/>
              <w:marTop w:val="0"/>
              <w:marBottom w:val="0"/>
              <w:divBdr>
                <w:top w:val="none" w:sz="0" w:space="0" w:color="auto"/>
                <w:left w:val="none" w:sz="0" w:space="0" w:color="auto"/>
                <w:bottom w:val="none" w:sz="0" w:space="0" w:color="auto"/>
                <w:right w:val="none" w:sz="0" w:space="0" w:color="auto"/>
              </w:divBdr>
              <w:divsChild>
                <w:div w:id="1836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2952">
      <w:bodyDiv w:val="1"/>
      <w:marLeft w:val="0"/>
      <w:marRight w:val="0"/>
      <w:marTop w:val="0"/>
      <w:marBottom w:val="0"/>
      <w:divBdr>
        <w:top w:val="none" w:sz="0" w:space="0" w:color="auto"/>
        <w:left w:val="none" w:sz="0" w:space="0" w:color="auto"/>
        <w:bottom w:val="none" w:sz="0" w:space="0" w:color="auto"/>
        <w:right w:val="none" w:sz="0" w:space="0" w:color="auto"/>
      </w:divBdr>
      <w:divsChild>
        <w:div w:id="540477118">
          <w:marLeft w:val="0"/>
          <w:marRight w:val="0"/>
          <w:marTop w:val="0"/>
          <w:marBottom w:val="0"/>
          <w:divBdr>
            <w:top w:val="none" w:sz="0" w:space="0" w:color="auto"/>
            <w:left w:val="none" w:sz="0" w:space="0" w:color="auto"/>
            <w:bottom w:val="none" w:sz="0" w:space="0" w:color="auto"/>
            <w:right w:val="none" w:sz="0" w:space="0" w:color="auto"/>
          </w:divBdr>
          <w:divsChild>
            <w:div w:id="946280070">
              <w:marLeft w:val="0"/>
              <w:marRight w:val="0"/>
              <w:marTop w:val="0"/>
              <w:marBottom w:val="0"/>
              <w:divBdr>
                <w:top w:val="none" w:sz="0" w:space="0" w:color="auto"/>
                <w:left w:val="none" w:sz="0" w:space="0" w:color="auto"/>
                <w:bottom w:val="none" w:sz="0" w:space="0" w:color="auto"/>
                <w:right w:val="none" w:sz="0" w:space="0" w:color="auto"/>
              </w:divBdr>
              <w:divsChild>
                <w:div w:id="713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5328">
      <w:bodyDiv w:val="1"/>
      <w:marLeft w:val="0"/>
      <w:marRight w:val="0"/>
      <w:marTop w:val="0"/>
      <w:marBottom w:val="0"/>
      <w:divBdr>
        <w:top w:val="none" w:sz="0" w:space="0" w:color="auto"/>
        <w:left w:val="none" w:sz="0" w:space="0" w:color="auto"/>
        <w:bottom w:val="none" w:sz="0" w:space="0" w:color="auto"/>
        <w:right w:val="none" w:sz="0" w:space="0" w:color="auto"/>
      </w:divBdr>
      <w:divsChild>
        <w:div w:id="85656547">
          <w:marLeft w:val="0"/>
          <w:marRight w:val="0"/>
          <w:marTop w:val="0"/>
          <w:marBottom w:val="0"/>
          <w:divBdr>
            <w:top w:val="none" w:sz="0" w:space="0" w:color="auto"/>
            <w:left w:val="none" w:sz="0" w:space="0" w:color="auto"/>
            <w:bottom w:val="none" w:sz="0" w:space="0" w:color="auto"/>
            <w:right w:val="none" w:sz="0" w:space="0" w:color="auto"/>
          </w:divBdr>
          <w:divsChild>
            <w:div w:id="2050912611">
              <w:marLeft w:val="0"/>
              <w:marRight w:val="0"/>
              <w:marTop w:val="0"/>
              <w:marBottom w:val="0"/>
              <w:divBdr>
                <w:top w:val="none" w:sz="0" w:space="0" w:color="auto"/>
                <w:left w:val="none" w:sz="0" w:space="0" w:color="auto"/>
                <w:bottom w:val="none" w:sz="0" w:space="0" w:color="auto"/>
                <w:right w:val="none" w:sz="0" w:space="0" w:color="auto"/>
              </w:divBdr>
              <w:divsChild>
                <w:div w:id="14023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3490">
      <w:bodyDiv w:val="1"/>
      <w:marLeft w:val="0"/>
      <w:marRight w:val="0"/>
      <w:marTop w:val="0"/>
      <w:marBottom w:val="0"/>
      <w:divBdr>
        <w:top w:val="none" w:sz="0" w:space="0" w:color="auto"/>
        <w:left w:val="none" w:sz="0" w:space="0" w:color="auto"/>
        <w:bottom w:val="none" w:sz="0" w:space="0" w:color="auto"/>
        <w:right w:val="none" w:sz="0" w:space="0" w:color="auto"/>
      </w:divBdr>
    </w:div>
    <w:div w:id="698244389">
      <w:bodyDiv w:val="1"/>
      <w:marLeft w:val="0"/>
      <w:marRight w:val="0"/>
      <w:marTop w:val="0"/>
      <w:marBottom w:val="0"/>
      <w:divBdr>
        <w:top w:val="none" w:sz="0" w:space="0" w:color="auto"/>
        <w:left w:val="none" w:sz="0" w:space="0" w:color="auto"/>
        <w:bottom w:val="none" w:sz="0" w:space="0" w:color="auto"/>
        <w:right w:val="none" w:sz="0" w:space="0" w:color="auto"/>
      </w:divBdr>
    </w:div>
    <w:div w:id="700015008">
      <w:bodyDiv w:val="1"/>
      <w:marLeft w:val="0"/>
      <w:marRight w:val="0"/>
      <w:marTop w:val="0"/>
      <w:marBottom w:val="0"/>
      <w:divBdr>
        <w:top w:val="none" w:sz="0" w:space="0" w:color="auto"/>
        <w:left w:val="none" w:sz="0" w:space="0" w:color="auto"/>
        <w:bottom w:val="none" w:sz="0" w:space="0" w:color="auto"/>
        <w:right w:val="none" w:sz="0" w:space="0" w:color="auto"/>
      </w:divBdr>
      <w:divsChild>
        <w:div w:id="185946078">
          <w:marLeft w:val="0"/>
          <w:marRight w:val="0"/>
          <w:marTop w:val="0"/>
          <w:marBottom w:val="0"/>
          <w:divBdr>
            <w:top w:val="none" w:sz="0" w:space="0" w:color="auto"/>
            <w:left w:val="none" w:sz="0" w:space="0" w:color="auto"/>
            <w:bottom w:val="none" w:sz="0" w:space="0" w:color="auto"/>
            <w:right w:val="none" w:sz="0" w:space="0" w:color="auto"/>
          </w:divBdr>
          <w:divsChild>
            <w:div w:id="1672826949">
              <w:marLeft w:val="0"/>
              <w:marRight w:val="0"/>
              <w:marTop w:val="0"/>
              <w:marBottom w:val="0"/>
              <w:divBdr>
                <w:top w:val="none" w:sz="0" w:space="0" w:color="auto"/>
                <w:left w:val="none" w:sz="0" w:space="0" w:color="auto"/>
                <w:bottom w:val="none" w:sz="0" w:space="0" w:color="auto"/>
                <w:right w:val="none" w:sz="0" w:space="0" w:color="auto"/>
              </w:divBdr>
              <w:divsChild>
                <w:div w:id="15642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3222">
      <w:bodyDiv w:val="1"/>
      <w:marLeft w:val="0"/>
      <w:marRight w:val="0"/>
      <w:marTop w:val="0"/>
      <w:marBottom w:val="0"/>
      <w:divBdr>
        <w:top w:val="none" w:sz="0" w:space="0" w:color="auto"/>
        <w:left w:val="none" w:sz="0" w:space="0" w:color="auto"/>
        <w:bottom w:val="none" w:sz="0" w:space="0" w:color="auto"/>
        <w:right w:val="none" w:sz="0" w:space="0" w:color="auto"/>
      </w:divBdr>
      <w:divsChild>
        <w:div w:id="959074781">
          <w:marLeft w:val="0"/>
          <w:marRight w:val="0"/>
          <w:marTop w:val="0"/>
          <w:marBottom w:val="0"/>
          <w:divBdr>
            <w:top w:val="none" w:sz="0" w:space="0" w:color="auto"/>
            <w:left w:val="none" w:sz="0" w:space="0" w:color="auto"/>
            <w:bottom w:val="none" w:sz="0" w:space="0" w:color="auto"/>
            <w:right w:val="none" w:sz="0" w:space="0" w:color="auto"/>
          </w:divBdr>
          <w:divsChild>
            <w:div w:id="1450314434">
              <w:marLeft w:val="0"/>
              <w:marRight w:val="0"/>
              <w:marTop w:val="0"/>
              <w:marBottom w:val="0"/>
              <w:divBdr>
                <w:top w:val="none" w:sz="0" w:space="0" w:color="auto"/>
                <w:left w:val="none" w:sz="0" w:space="0" w:color="auto"/>
                <w:bottom w:val="none" w:sz="0" w:space="0" w:color="auto"/>
                <w:right w:val="none" w:sz="0" w:space="0" w:color="auto"/>
              </w:divBdr>
              <w:divsChild>
                <w:div w:id="19279824">
                  <w:marLeft w:val="0"/>
                  <w:marRight w:val="0"/>
                  <w:marTop w:val="0"/>
                  <w:marBottom w:val="0"/>
                  <w:divBdr>
                    <w:top w:val="none" w:sz="0" w:space="0" w:color="auto"/>
                    <w:left w:val="none" w:sz="0" w:space="0" w:color="auto"/>
                    <w:bottom w:val="none" w:sz="0" w:space="0" w:color="auto"/>
                    <w:right w:val="none" w:sz="0" w:space="0" w:color="auto"/>
                  </w:divBdr>
                  <w:divsChild>
                    <w:div w:id="1660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6734">
      <w:bodyDiv w:val="1"/>
      <w:marLeft w:val="0"/>
      <w:marRight w:val="0"/>
      <w:marTop w:val="0"/>
      <w:marBottom w:val="0"/>
      <w:divBdr>
        <w:top w:val="none" w:sz="0" w:space="0" w:color="auto"/>
        <w:left w:val="none" w:sz="0" w:space="0" w:color="auto"/>
        <w:bottom w:val="none" w:sz="0" w:space="0" w:color="auto"/>
        <w:right w:val="none" w:sz="0" w:space="0" w:color="auto"/>
      </w:divBdr>
      <w:divsChild>
        <w:div w:id="1712609197">
          <w:marLeft w:val="0"/>
          <w:marRight w:val="0"/>
          <w:marTop w:val="0"/>
          <w:marBottom w:val="0"/>
          <w:divBdr>
            <w:top w:val="none" w:sz="0" w:space="0" w:color="auto"/>
            <w:left w:val="none" w:sz="0" w:space="0" w:color="auto"/>
            <w:bottom w:val="none" w:sz="0" w:space="0" w:color="auto"/>
            <w:right w:val="none" w:sz="0" w:space="0" w:color="auto"/>
          </w:divBdr>
          <w:divsChild>
            <w:div w:id="1434087054">
              <w:marLeft w:val="0"/>
              <w:marRight w:val="0"/>
              <w:marTop w:val="0"/>
              <w:marBottom w:val="0"/>
              <w:divBdr>
                <w:top w:val="none" w:sz="0" w:space="0" w:color="auto"/>
                <w:left w:val="none" w:sz="0" w:space="0" w:color="auto"/>
                <w:bottom w:val="none" w:sz="0" w:space="0" w:color="auto"/>
                <w:right w:val="none" w:sz="0" w:space="0" w:color="auto"/>
              </w:divBdr>
              <w:divsChild>
                <w:div w:id="3576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69268">
      <w:bodyDiv w:val="1"/>
      <w:marLeft w:val="0"/>
      <w:marRight w:val="0"/>
      <w:marTop w:val="0"/>
      <w:marBottom w:val="0"/>
      <w:divBdr>
        <w:top w:val="none" w:sz="0" w:space="0" w:color="auto"/>
        <w:left w:val="none" w:sz="0" w:space="0" w:color="auto"/>
        <w:bottom w:val="none" w:sz="0" w:space="0" w:color="auto"/>
        <w:right w:val="none" w:sz="0" w:space="0" w:color="auto"/>
      </w:divBdr>
    </w:div>
    <w:div w:id="730076500">
      <w:bodyDiv w:val="1"/>
      <w:marLeft w:val="0"/>
      <w:marRight w:val="0"/>
      <w:marTop w:val="0"/>
      <w:marBottom w:val="0"/>
      <w:divBdr>
        <w:top w:val="none" w:sz="0" w:space="0" w:color="auto"/>
        <w:left w:val="none" w:sz="0" w:space="0" w:color="auto"/>
        <w:bottom w:val="none" w:sz="0" w:space="0" w:color="auto"/>
        <w:right w:val="none" w:sz="0" w:space="0" w:color="auto"/>
      </w:divBdr>
    </w:div>
    <w:div w:id="736249691">
      <w:bodyDiv w:val="1"/>
      <w:marLeft w:val="0"/>
      <w:marRight w:val="0"/>
      <w:marTop w:val="0"/>
      <w:marBottom w:val="0"/>
      <w:divBdr>
        <w:top w:val="none" w:sz="0" w:space="0" w:color="auto"/>
        <w:left w:val="none" w:sz="0" w:space="0" w:color="auto"/>
        <w:bottom w:val="none" w:sz="0" w:space="0" w:color="auto"/>
        <w:right w:val="none" w:sz="0" w:space="0" w:color="auto"/>
      </w:divBdr>
      <w:divsChild>
        <w:div w:id="988630873">
          <w:marLeft w:val="0"/>
          <w:marRight w:val="0"/>
          <w:marTop w:val="0"/>
          <w:marBottom w:val="0"/>
          <w:divBdr>
            <w:top w:val="none" w:sz="0" w:space="0" w:color="auto"/>
            <w:left w:val="none" w:sz="0" w:space="0" w:color="auto"/>
            <w:bottom w:val="none" w:sz="0" w:space="0" w:color="auto"/>
            <w:right w:val="none" w:sz="0" w:space="0" w:color="auto"/>
          </w:divBdr>
          <w:divsChild>
            <w:div w:id="279921063">
              <w:marLeft w:val="0"/>
              <w:marRight w:val="0"/>
              <w:marTop w:val="0"/>
              <w:marBottom w:val="0"/>
              <w:divBdr>
                <w:top w:val="none" w:sz="0" w:space="0" w:color="auto"/>
                <w:left w:val="none" w:sz="0" w:space="0" w:color="auto"/>
                <w:bottom w:val="none" w:sz="0" w:space="0" w:color="auto"/>
                <w:right w:val="none" w:sz="0" w:space="0" w:color="auto"/>
              </w:divBdr>
              <w:divsChild>
                <w:div w:id="9852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440">
      <w:bodyDiv w:val="1"/>
      <w:marLeft w:val="0"/>
      <w:marRight w:val="0"/>
      <w:marTop w:val="0"/>
      <w:marBottom w:val="0"/>
      <w:divBdr>
        <w:top w:val="none" w:sz="0" w:space="0" w:color="auto"/>
        <w:left w:val="none" w:sz="0" w:space="0" w:color="auto"/>
        <w:bottom w:val="none" w:sz="0" w:space="0" w:color="auto"/>
        <w:right w:val="none" w:sz="0" w:space="0" w:color="auto"/>
      </w:divBdr>
      <w:divsChild>
        <w:div w:id="226651525">
          <w:marLeft w:val="0"/>
          <w:marRight w:val="0"/>
          <w:marTop w:val="0"/>
          <w:marBottom w:val="0"/>
          <w:divBdr>
            <w:top w:val="none" w:sz="0" w:space="0" w:color="auto"/>
            <w:left w:val="none" w:sz="0" w:space="0" w:color="auto"/>
            <w:bottom w:val="none" w:sz="0" w:space="0" w:color="auto"/>
            <w:right w:val="none" w:sz="0" w:space="0" w:color="auto"/>
          </w:divBdr>
          <w:divsChild>
            <w:div w:id="564880068">
              <w:marLeft w:val="0"/>
              <w:marRight w:val="0"/>
              <w:marTop w:val="0"/>
              <w:marBottom w:val="0"/>
              <w:divBdr>
                <w:top w:val="none" w:sz="0" w:space="0" w:color="auto"/>
                <w:left w:val="none" w:sz="0" w:space="0" w:color="auto"/>
                <w:bottom w:val="none" w:sz="0" w:space="0" w:color="auto"/>
                <w:right w:val="none" w:sz="0" w:space="0" w:color="auto"/>
              </w:divBdr>
              <w:divsChild>
                <w:div w:id="18977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5897">
      <w:bodyDiv w:val="1"/>
      <w:marLeft w:val="0"/>
      <w:marRight w:val="0"/>
      <w:marTop w:val="0"/>
      <w:marBottom w:val="0"/>
      <w:divBdr>
        <w:top w:val="none" w:sz="0" w:space="0" w:color="auto"/>
        <w:left w:val="none" w:sz="0" w:space="0" w:color="auto"/>
        <w:bottom w:val="none" w:sz="0" w:space="0" w:color="auto"/>
        <w:right w:val="none" w:sz="0" w:space="0" w:color="auto"/>
      </w:divBdr>
      <w:divsChild>
        <w:div w:id="1547453202">
          <w:marLeft w:val="0"/>
          <w:marRight w:val="0"/>
          <w:marTop w:val="0"/>
          <w:marBottom w:val="0"/>
          <w:divBdr>
            <w:top w:val="none" w:sz="0" w:space="0" w:color="auto"/>
            <w:left w:val="none" w:sz="0" w:space="0" w:color="auto"/>
            <w:bottom w:val="none" w:sz="0" w:space="0" w:color="auto"/>
            <w:right w:val="none" w:sz="0" w:space="0" w:color="auto"/>
          </w:divBdr>
          <w:divsChild>
            <w:div w:id="336423482">
              <w:marLeft w:val="0"/>
              <w:marRight w:val="0"/>
              <w:marTop w:val="0"/>
              <w:marBottom w:val="0"/>
              <w:divBdr>
                <w:top w:val="none" w:sz="0" w:space="0" w:color="auto"/>
                <w:left w:val="none" w:sz="0" w:space="0" w:color="auto"/>
                <w:bottom w:val="none" w:sz="0" w:space="0" w:color="auto"/>
                <w:right w:val="none" w:sz="0" w:space="0" w:color="auto"/>
              </w:divBdr>
              <w:divsChild>
                <w:div w:id="5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9422">
      <w:bodyDiv w:val="1"/>
      <w:marLeft w:val="0"/>
      <w:marRight w:val="0"/>
      <w:marTop w:val="0"/>
      <w:marBottom w:val="0"/>
      <w:divBdr>
        <w:top w:val="none" w:sz="0" w:space="0" w:color="auto"/>
        <w:left w:val="none" w:sz="0" w:space="0" w:color="auto"/>
        <w:bottom w:val="none" w:sz="0" w:space="0" w:color="auto"/>
        <w:right w:val="none" w:sz="0" w:space="0" w:color="auto"/>
      </w:divBdr>
      <w:divsChild>
        <w:div w:id="750347949">
          <w:marLeft w:val="0"/>
          <w:marRight w:val="0"/>
          <w:marTop w:val="0"/>
          <w:marBottom w:val="0"/>
          <w:divBdr>
            <w:top w:val="none" w:sz="0" w:space="0" w:color="auto"/>
            <w:left w:val="none" w:sz="0" w:space="0" w:color="auto"/>
            <w:bottom w:val="none" w:sz="0" w:space="0" w:color="auto"/>
            <w:right w:val="none" w:sz="0" w:space="0" w:color="auto"/>
          </w:divBdr>
          <w:divsChild>
            <w:div w:id="280460384">
              <w:marLeft w:val="0"/>
              <w:marRight w:val="0"/>
              <w:marTop w:val="0"/>
              <w:marBottom w:val="0"/>
              <w:divBdr>
                <w:top w:val="none" w:sz="0" w:space="0" w:color="auto"/>
                <w:left w:val="none" w:sz="0" w:space="0" w:color="auto"/>
                <w:bottom w:val="none" w:sz="0" w:space="0" w:color="auto"/>
                <w:right w:val="none" w:sz="0" w:space="0" w:color="auto"/>
              </w:divBdr>
              <w:divsChild>
                <w:div w:id="189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3120">
      <w:bodyDiv w:val="1"/>
      <w:marLeft w:val="0"/>
      <w:marRight w:val="0"/>
      <w:marTop w:val="0"/>
      <w:marBottom w:val="0"/>
      <w:divBdr>
        <w:top w:val="none" w:sz="0" w:space="0" w:color="auto"/>
        <w:left w:val="none" w:sz="0" w:space="0" w:color="auto"/>
        <w:bottom w:val="none" w:sz="0" w:space="0" w:color="auto"/>
        <w:right w:val="none" w:sz="0" w:space="0" w:color="auto"/>
      </w:divBdr>
      <w:divsChild>
        <w:div w:id="1076173417">
          <w:marLeft w:val="0"/>
          <w:marRight w:val="0"/>
          <w:marTop w:val="0"/>
          <w:marBottom w:val="0"/>
          <w:divBdr>
            <w:top w:val="none" w:sz="0" w:space="0" w:color="auto"/>
            <w:left w:val="none" w:sz="0" w:space="0" w:color="auto"/>
            <w:bottom w:val="none" w:sz="0" w:space="0" w:color="auto"/>
            <w:right w:val="none" w:sz="0" w:space="0" w:color="auto"/>
          </w:divBdr>
          <w:divsChild>
            <w:div w:id="273249974">
              <w:marLeft w:val="0"/>
              <w:marRight w:val="0"/>
              <w:marTop w:val="0"/>
              <w:marBottom w:val="0"/>
              <w:divBdr>
                <w:top w:val="none" w:sz="0" w:space="0" w:color="auto"/>
                <w:left w:val="none" w:sz="0" w:space="0" w:color="auto"/>
                <w:bottom w:val="none" w:sz="0" w:space="0" w:color="auto"/>
                <w:right w:val="none" w:sz="0" w:space="0" w:color="auto"/>
              </w:divBdr>
              <w:divsChild>
                <w:div w:id="12665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3621">
      <w:bodyDiv w:val="1"/>
      <w:marLeft w:val="0"/>
      <w:marRight w:val="0"/>
      <w:marTop w:val="0"/>
      <w:marBottom w:val="0"/>
      <w:divBdr>
        <w:top w:val="none" w:sz="0" w:space="0" w:color="auto"/>
        <w:left w:val="none" w:sz="0" w:space="0" w:color="auto"/>
        <w:bottom w:val="none" w:sz="0" w:space="0" w:color="auto"/>
        <w:right w:val="none" w:sz="0" w:space="0" w:color="auto"/>
      </w:divBdr>
    </w:div>
    <w:div w:id="873077895">
      <w:bodyDiv w:val="1"/>
      <w:marLeft w:val="0"/>
      <w:marRight w:val="0"/>
      <w:marTop w:val="0"/>
      <w:marBottom w:val="0"/>
      <w:divBdr>
        <w:top w:val="none" w:sz="0" w:space="0" w:color="auto"/>
        <w:left w:val="none" w:sz="0" w:space="0" w:color="auto"/>
        <w:bottom w:val="none" w:sz="0" w:space="0" w:color="auto"/>
        <w:right w:val="none" w:sz="0" w:space="0" w:color="auto"/>
      </w:divBdr>
      <w:divsChild>
        <w:div w:id="1376344739">
          <w:marLeft w:val="0"/>
          <w:marRight w:val="0"/>
          <w:marTop w:val="0"/>
          <w:marBottom w:val="0"/>
          <w:divBdr>
            <w:top w:val="none" w:sz="0" w:space="0" w:color="auto"/>
            <w:left w:val="none" w:sz="0" w:space="0" w:color="auto"/>
            <w:bottom w:val="none" w:sz="0" w:space="0" w:color="auto"/>
            <w:right w:val="none" w:sz="0" w:space="0" w:color="auto"/>
          </w:divBdr>
          <w:divsChild>
            <w:div w:id="2057704291">
              <w:marLeft w:val="0"/>
              <w:marRight w:val="0"/>
              <w:marTop w:val="0"/>
              <w:marBottom w:val="0"/>
              <w:divBdr>
                <w:top w:val="none" w:sz="0" w:space="0" w:color="auto"/>
                <w:left w:val="none" w:sz="0" w:space="0" w:color="auto"/>
                <w:bottom w:val="none" w:sz="0" w:space="0" w:color="auto"/>
                <w:right w:val="none" w:sz="0" w:space="0" w:color="auto"/>
              </w:divBdr>
              <w:divsChild>
                <w:div w:id="21128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1340">
      <w:bodyDiv w:val="1"/>
      <w:marLeft w:val="0"/>
      <w:marRight w:val="0"/>
      <w:marTop w:val="0"/>
      <w:marBottom w:val="0"/>
      <w:divBdr>
        <w:top w:val="none" w:sz="0" w:space="0" w:color="auto"/>
        <w:left w:val="none" w:sz="0" w:space="0" w:color="auto"/>
        <w:bottom w:val="none" w:sz="0" w:space="0" w:color="auto"/>
        <w:right w:val="none" w:sz="0" w:space="0" w:color="auto"/>
      </w:divBdr>
      <w:divsChild>
        <w:div w:id="1820271399">
          <w:marLeft w:val="0"/>
          <w:marRight w:val="0"/>
          <w:marTop w:val="0"/>
          <w:marBottom w:val="0"/>
          <w:divBdr>
            <w:top w:val="none" w:sz="0" w:space="0" w:color="auto"/>
            <w:left w:val="none" w:sz="0" w:space="0" w:color="auto"/>
            <w:bottom w:val="none" w:sz="0" w:space="0" w:color="auto"/>
            <w:right w:val="none" w:sz="0" w:space="0" w:color="auto"/>
          </w:divBdr>
          <w:divsChild>
            <w:div w:id="1276794372">
              <w:marLeft w:val="0"/>
              <w:marRight w:val="0"/>
              <w:marTop w:val="0"/>
              <w:marBottom w:val="0"/>
              <w:divBdr>
                <w:top w:val="none" w:sz="0" w:space="0" w:color="auto"/>
                <w:left w:val="none" w:sz="0" w:space="0" w:color="auto"/>
                <w:bottom w:val="none" w:sz="0" w:space="0" w:color="auto"/>
                <w:right w:val="none" w:sz="0" w:space="0" w:color="auto"/>
              </w:divBdr>
              <w:divsChild>
                <w:div w:id="1221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9580">
      <w:bodyDiv w:val="1"/>
      <w:marLeft w:val="0"/>
      <w:marRight w:val="0"/>
      <w:marTop w:val="0"/>
      <w:marBottom w:val="0"/>
      <w:divBdr>
        <w:top w:val="none" w:sz="0" w:space="0" w:color="auto"/>
        <w:left w:val="none" w:sz="0" w:space="0" w:color="auto"/>
        <w:bottom w:val="none" w:sz="0" w:space="0" w:color="auto"/>
        <w:right w:val="none" w:sz="0" w:space="0" w:color="auto"/>
      </w:divBdr>
      <w:divsChild>
        <w:div w:id="1157070301">
          <w:marLeft w:val="0"/>
          <w:marRight w:val="0"/>
          <w:marTop w:val="0"/>
          <w:marBottom w:val="0"/>
          <w:divBdr>
            <w:top w:val="none" w:sz="0" w:space="0" w:color="auto"/>
            <w:left w:val="none" w:sz="0" w:space="0" w:color="auto"/>
            <w:bottom w:val="none" w:sz="0" w:space="0" w:color="auto"/>
            <w:right w:val="none" w:sz="0" w:space="0" w:color="auto"/>
          </w:divBdr>
          <w:divsChild>
            <w:div w:id="61224842">
              <w:marLeft w:val="0"/>
              <w:marRight w:val="0"/>
              <w:marTop w:val="0"/>
              <w:marBottom w:val="0"/>
              <w:divBdr>
                <w:top w:val="none" w:sz="0" w:space="0" w:color="auto"/>
                <w:left w:val="none" w:sz="0" w:space="0" w:color="auto"/>
                <w:bottom w:val="none" w:sz="0" w:space="0" w:color="auto"/>
                <w:right w:val="none" w:sz="0" w:space="0" w:color="auto"/>
              </w:divBdr>
              <w:divsChild>
                <w:div w:id="13529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7718">
      <w:bodyDiv w:val="1"/>
      <w:marLeft w:val="0"/>
      <w:marRight w:val="0"/>
      <w:marTop w:val="0"/>
      <w:marBottom w:val="0"/>
      <w:divBdr>
        <w:top w:val="none" w:sz="0" w:space="0" w:color="auto"/>
        <w:left w:val="none" w:sz="0" w:space="0" w:color="auto"/>
        <w:bottom w:val="none" w:sz="0" w:space="0" w:color="auto"/>
        <w:right w:val="none" w:sz="0" w:space="0" w:color="auto"/>
      </w:divBdr>
      <w:divsChild>
        <w:div w:id="663092">
          <w:marLeft w:val="0"/>
          <w:marRight w:val="0"/>
          <w:marTop w:val="0"/>
          <w:marBottom w:val="0"/>
          <w:divBdr>
            <w:top w:val="none" w:sz="0" w:space="0" w:color="auto"/>
            <w:left w:val="none" w:sz="0" w:space="0" w:color="auto"/>
            <w:bottom w:val="none" w:sz="0" w:space="0" w:color="auto"/>
            <w:right w:val="none" w:sz="0" w:space="0" w:color="auto"/>
          </w:divBdr>
          <w:divsChild>
            <w:div w:id="2138990829">
              <w:marLeft w:val="0"/>
              <w:marRight w:val="0"/>
              <w:marTop w:val="0"/>
              <w:marBottom w:val="0"/>
              <w:divBdr>
                <w:top w:val="none" w:sz="0" w:space="0" w:color="auto"/>
                <w:left w:val="none" w:sz="0" w:space="0" w:color="auto"/>
                <w:bottom w:val="none" w:sz="0" w:space="0" w:color="auto"/>
                <w:right w:val="none" w:sz="0" w:space="0" w:color="auto"/>
              </w:divBdr>
              <w:divsChild>
                <w:div w:id="35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7928">
      <w:bodyDiv w:val="1"/>
      <w:marLeft w:val="0"/>
      <w:marRight w:val="0"/>
      <w:marTop w:val="0"/>
      <w:marBottom w:val="0"/>
      <w:divBdr>
        <w:top w:val="none" w:sz="0" w:space="0" w:color="auto"/>
        <w:left w:val="none" w:sz="0" w:space="0" w:color="auto"/>
        <w:bottom w:val="none" w:sz="0" w:space="0" w:color="auto"/>
        <w:right w:val="none" w:sz="0" w:space="0" w:color="auto"/>
      </w:divBdr>
    </w:div>
    <w:div w:id="904071680">
      <w:bodyDiv w:val="1"/>
      <w:marLeft w:val="0"/>
      <w:marRight w:val="0"/>
      <w:marTop w:val="0"/>
      <w:marBottom w:val="0"/>
      <w:divBdr>
        <w:top w:val="none" w:sz="0" w:space="0" w:color="auto"/>
        <w:left w:val="none" w:sz="0" w:space="0" w:color="auto"/>
        <w:bottom w:val="none" w:sz="0" w:space="0" w:color="auto"/>
        <w:right w:val="none" w:sz="0" w:space="0" w:color="auto"/>
      </w:divBdr>
      <w:divsChild>
        <w:div w:id="1648047302">
          <w:marLeft w:val="0"/>
          <w:marRight w:val="0"/>
          <w:marTop w:val="0"/>
          <w:marBottom w:val="0"/>
          <w:divBdr>
            <w:top w:val="none" w:sz="0" w:space="0" w:color="auto"/>
            <w:left w:val="none" w:sz="0" w:space="0" w:color="auto"/>
            <w:bottom w:val="none" w:sz="0" w:space="0" w:color="auto"/>
            <w:right w:val="none" w:sz="0" w:space="0" w:color="auto"/>
          </w:divBdr>
          <w:divsChild>
            <w:div w:id="1395156124">
              <w:marLeft w:val="0"/>
              <w:marRight w:val="0"/>
              <w:marTop w:val="0"/>
              <w:marBottom w:val="0"/>
              <w:divBdr>
                <w:top w:val="none" w:sz="0" w:space="0" w:color="auto"/>
                <w:left w:val="none" w:sz="0" w:space="0" w:color="auto"/>
                <w:bottom w:val="none" w:sz="0" w:space="0" w:color="auto"/>
                <w:right w:val="none" w:sz="0" w:space="0" w:color="auto"/>
              </w:divBdr>
              <w:divsChild>
                <w:div w:id="2009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5192">
      <w:bodyDiv w:val="1"/>
      <w:marLeft w:val="0"/>
      <w:marRight w:val="0"/>
      <w:marTop w:val="0"/>
      <w:marBottom w:val="0"/>
      <w:divBdr>
        <w:top w:val="none" w:sz="0" w:space="0" w:color="auto"/>
        <w:left w:val="none" w:sz="0" w:space="0" w:color="auto"/>
        <w:bottom w:val="none" w:sz="0" w:space="0" w:color="auto"/>
        <w:right w:val="none" w:sz="0" w:space="0" w:color="auto"/>
      </w:divBdr>
    </w:div>
    <w:div w:id="912665330">
      <w:bodyDiv w:val="1"/>
      <w:marLeft w:val="0"/>
      <w:marRight w:val="0"/>
      <w:marTop w:val="0"/>
      <w:marBottom w:val="0"/>
      <w:divBdr>
        <w:top w:val="none" w:sz="0" w:space="0" w:color="auto"/>
        <w:left w:val="none" w:sz="0" w:space="0" w:color="auto"/>
        <w:bottom w:val="none" w:sz="0" w:space="0" w:color="auto"/>
        <w:right w:val="none" w:sz="0" w:space="0" w:color="auto"/>
      </w:divBdr>
    </w:div>
    <w:div w:id="922642081">
      <w:bodyDiv w:val="1"/>
      <w:marLeft w:val="0"/>
      <w:marRight w:val="0"/>
      <w:marTop w:val="0"/>
      <w:marBottom w:val="0"/>
      <w:divBdr>
        <w:top w:val="none" w:sz="0" w:space="0" w:color="auto"/>
        <w:left w:val="none" w:sz="0" w:space="0" w:color="auto"/>
        <w:bottom w:val="none" w:sz="0" w:space="0" w:color="auto"/>
        <w:right w:val="none" w:sz="0" w:space="0" w:color="auto"/>
      </w:divBdr>
    </w:div>
    <w:div w:id="932930806">
      <w:bodyDiv w:val="1"/>
      <w:marLeft w:val="0"/>
      <w:marRight w:val="0"/>
      <w:marTop w:val="0"/>
      <w:marBottom w:val="0"/>
      <w:divBdr>
        <w:top w:val="none" w:sz="0" w:space="0" w:color="auto"/>
        <w:left w:val="none" w:sz="0" w:space="0" w:color="auto"/>
        <w:bottom w:val="none" w:sz="0" w:space="0" w:color="auto"/>
        <w:right w:val="none" w:sz="0" w:space="0" w:color="auto"/>
      </w:divBdr>
    </w:div>
    <w:div w:id="953750823">
      <w:bodyDiv w:val="1"/>
      <w:marLeft w:val="0"/>
      <w:marRight w:val="0"/>
      <w:marTop w:val="0"/>
      <w:marBottom w:val="0"/>
      <w:divBdr>
        <w:top w:val="none" w:sz="0" w:space="0" w:color="auto"/>
        <w:left w:val="none" w:sz="0" w:space="0" w:color="auto"/>
        <w:bottom w:val="none" w:sz="0" w:space="0" w:color="auto"/>
        <w:right w:val="none" w:sz="0" w:space="0" w:color="auto"/>
      </w:divBdr>
      <w:divsChild>
        <w:div w:id="1821842779">
          <w:marLeft w:val="0"/>
          <w:marRight w:val="0"/>
          <w:marTop w:val="0"/>
          <w:marBottom w:val="0"/>
          <w:divBdr>
            <w:top w:val="none" w:sz="0" w:space="0" w:color="auto"/>
            <w:left w:val="none" w:sz="0" w:space="0" w:color="auto"/>
            <w:bottom w:val="none" w:sz="0" w:space="0" w:color="auto"/>
            <w:right w:val="none" w:sz="0" w:space="0" w:color="auto"/>
          </w:divBdr>
          <w:divsChild>
            <w:div w:id="820926153">
              <w:marLeft w:val="0"/>
              <w:marRight w:val="0"/>
              <w:marTop w:val="0"/>
              <w:marBottom w:val="0"/>
              <w:divBdr>
                <w:top w:val="none" w:sz="0" w:space="0" w:color="auto"/>
                <w:left w:val="none" w:sz="0" w:space="0" w:color="auto"/>
                <w:bottom w:val="none" w:sz="0" w:space="0" w:color="auto"/>
                <w:right w:val="none" w:sz="0" w:space="0" w:color="auto"/>
              </w:divBdr>
              <w:divsChild>
                <w:div w:id="12094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8670">
      <w:bodyDiv w:val="1"/>
      <w:marLeft w:val="0"/>
      <w:marRight w:val="0"/>
      <w:marTop w:val="0"/>
      <w:marBottom w:val="0"/>
      <w:divBdr>
        <w:top w:val="none" w:sz="0" w:space="0" w:color="auto"/>
        <w:left w:val="none" w:sz="0" w:space="0" w:color="auto"/>
        <w:bottom w:val="none" w:sz="0" w:space="0" w:color="auto"/>
        <w:right w:val="none" w:sz="0" w:space="0" w:color="auto"/>
      </w:divBdr>
    </w:div>
    <w:div w:id="972061652">
      <w:bodyDiv w:val="1"/>
      <w:marLeft w:val="0"/>
      <w:marRight w:val="0"/>
      <w:marTop w:val="0"/>
      <w:marBottom w:val="0"/>
      <w:divBdr>
        <w:top w:val="none" w:sz="0" w:space="0" w:color="auto"/>
        <w:left w:val="none" w:sz="0" w:space="0" w:color="auto"/>
        <w:bottom w:val="none" w:sz="0" w:space="0" w:color="auto"/>
        <w:right w:val="none" w:sz="0" w:space="0" w:color="auto"/>
      </w:divBdr>
      <w:divsChild>
        <w:div w:id="1089303498">
          <w:marLeft w:val="0"/>
          <w:marRight w:val="0"/>
          <w:marTop w:val="0"/>
          <w:marBottom w:val="0"/>
          <w:divBdr>
            <w:top w:val="none" w:sz="0" w:space="0" w:color="auto"/>
            <w:left w:val="none" w:sz="0" w:space="0" w:color="auto"/>
            <w:bottom w:val="none" w:sz="0" w:space="0" w:color="auto"/>
            <w:right w:val="none" w:sz="0" w:space="0" w:color="auto"/>
          </w:divBdr>
          <w:divsChild>
            <w:div w:id="1643274155">
              <w:marLeft w:val="0"/>
              <w:marRight w:val="0"/>
              <w:marTop w:val="0"/>
              <w:marBottom w:val="0"/>
              <w:divBdr>
                <w:top w:val="none" w:sz="0" w:space="0" w:color="auto"/>
                <w:left w:val="none" w:sz="0" w:space="0" w:color="auto"/>
                <w:bottom w:val="none" w:sz="0" w:space="0" w:color="auto"/>
                <w:right w:val="none" w:sz="0" w:space="0" w:color="auto"/>
              </w:divBdr>
              <w:divsChild>
                <w:div w:id="1624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6613">
      <w:bodyDiv w:val="1"/>
      <w:marLeft w:val="0"/>
      <w:marRight w:val="0"/>
      <w:marTop w:val="0"/>
      <w:marBottom w:val="0"/>
      <w:divBdr>
        <w:top w:val="none" w:sz="0" w:space="0" w:color="auto"/>
        <w:left w:val="none" w:sz="0" w:space="0" w:color="auto"/>
        <w:bottom w:val="none" w:sz="0" w:space="0" w:color="auto"/>
        <w:right w:val="none" w:sz="0" w:space="0" w:color="auto"/>
      </w:divBdr>
    </w:div>
    <w:div w:id="993266591">
      <w:bodyDiv w:val="1"/>
      <w:marLeft w:val="0"/>
      <w:marRight w:val="0"/>
      <w:marTop w:val="0"/>
      <w:marBottom w:val="0"/>
      <w:divBdr>
        <w:top w:val="none" w:sz="0" w:space="0" w:color="auto"/>
        <w:left w:val="none" w:sz="0" w:space="0" w:color="auto"/>
        <w:bottom w:val="none" w:sz="0" w:space="0" w:color="auto"/>
        <w:right w:val="none" w:sz="0" w:space="0" w:color="auto"/>
      </w:divBdr>
      <w:divsChild>
        <w:div w:id="1026635227">
          <w:marLeft w:val="0"/>
          <w:marRight w:val="0"/>
          <w:marTop w:val="0"/>
          <w:marBottom w:val="0"/>
          <w:divBdr>
            <w:top w:val="none" w:sz="0" w:space="0" w:color="auto"/>
            <w:left w:val="none" w:sz="0" w:space="0" w:color="auto"/>
            <w:bottom w:val="none" w:sz="0" w:space="0" w:color="auto"/>
            <w:right w:val="none" w:sz="0" w:space="0" w:color="auto"/>
          </w:divBdr>
          <w:divsChild>
            <w:div w:id="140780438">
              <w:marLeft w:val="0"/>
              <w:marRight w:val="0"/>
              <w:marTop w:val="0"/>
              <w:marBottom w:val="0"/>
              <w:divBdr>
                <w:top w:val="none" w:sz="0" w:space="0" w:color="auto"/>
                <w:left w:val="none" w:sz="0" w:space="0" w:color="auto"/>
                <w:bottom w:val="none" w:sz="0" w:space="0" w:color="auto"/>
                <w:right w:val="none" w:sz="0" w:space="0" w:color="auto"/>
              </w:divBdr>
              <w:divsChild>
                <w:div w:id="10753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418">
      <w:bodyDiv w:val="1"/>
      <w:marLeft w:val="0"/>
      <w:marRight w:val="0"/>
      <w:marTop w:val="0"/>
      <w:marBottom w:val="0"/>
      <w:divBdr>
        <w:top w:val="none" w:sz="0" w:space="0" w:color="auto"/>
        <w:left w:val="none" w:sz="0" w:space="0" w:color="auto"/>
        <w:bottom w:val="none" w:sz="0" w:space="0" w:color="auto"/>
        <w:right w:val="none" w:sz="0" w:space="0" w:color="auto"/>
      </w:divBdr>
    </w:div>
    <w:div w:id="1000932351">
      <w:bodyDiv w:val="1"/>
      <w:marLeft w:val="0"/>
      <w:marRight w:val="0"/>
      <w:marTop w:val="0"/>
      <w:marBottom w:val="0"/>
      <w:divBdr>
        <w:top w:val="none" w:sz="0" w:space="0" w:color="auto"/>
        <w:left w:val="none" w:sz="0" w:space="0" w:color="auto"/>
        <w:bottom w:val="none" w:sz="0" w:space="0" w:color="auto"/>
        <w:right w:val="none" w:sz="0" w:space="0" w:color="auto"/>
      </w:divBdr>
      <w:divsChild>
        <w:div w:id="362558296">
          <w:marLeft w:val="0"/>
          <w:marRight w:val="0"/>
          <w:marTop w:val="0"/>
          <w:marBottom w:val="0"/>
          <w:divBdr>
            <w:top w:val="none" w:sz="0" w:space="0" w:color="auto"/>
            <w:left w:val="none" w:sz="0" w:space="0" w:color="auto"/>
            <w:bottom w:val="none" w:sz="0" w:space="0" w:color="auto"/>
            <w:right w:val="none" w:sz="0" w:space="0" w:color="auto"/>
          </w:divBdr>
          <w:divsChild>
            <w:div w:id="553590380">
              <w:marLeft w:val="0"/>
              <w:marRight w:val="0"/>
              <w:marTop w:val="0"/>
              <w:marBottom w:val="0"/>
              <w:divBdr>
                <w:top w:val="none" w:sz="0" w:space="0" w:color="auto"/>
                <w:left w:val="none" w:sz="0" w:space="0" w:color="auto"/>
                <w:bottom w:val="none" w:sz="0" w:space="0" w:color="auto"/>
                <w:right w:val="none" w:sz="0" w:space="0" w:color="auto"/>
              </w:divBdr>
              <w:divsChild>
                <w:div w:id="243343850">
                  <w:marLeft w:val="0"/>
                  <w:marRight w:val="0"/>
                  <w:marTop w:val="0"/>
                  <w:marBottom w:val="0"/>
                  <w:divBdr>
                    <w:top w:val="none" w:sz="0" w:space="0" w:color="auto"/>
                    <w:left w:val="none" w:sz="0" w:space="0" w:color="auto"/>
                    <w:bottom w:val="none" w:sz="0" w:space="0" w:color="auto"/>
                    <w:right w:val="none" w:sz="0" w:space="0" w:color="auto"/>
                  </w:divBdr>
                  <w:divsChild>
                    <w:div w:id="2567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3212">
      <w:bodyDiv w:val="1"/>
      <w:marLeft w:val="0"/>
      <w:marRight w:val="0"/>
      <w:marTop w:val="0"/>
      <w:marBottom w:val="0"/>
      <w:divBdr>
        <w:top w:val="none" w:sz="0" w:space="0" w:color="auto"/>
        <w:left w:val="none" w:sz="0" w:space="0" w:color="auto"/>
        <w:bottom w:val="none" w:sz="0" w:space="0" w:color="auto"/>
        <w:right w:val="none" w:sz="0" w:space="0" w:color="auto"/>
      </w:divBdr>
      <w:divsChild>
        <w:div w:id="1581211596">
          <w:marLeft w:val="0"/>
          <w:marRight w:val="0"/>
          <w:marTop w:val="0"/>
          <w:marBottom w:val="0"/>
          <w:divBdr>
            <w:top w:val="none" w:sz="0" w:space="0" w:color="auto"/>
            <w:left w:val="none" w:sz="0" w:space="0" w:color="auto"/>
            <w:bottom w:val="none" w:sz="0" w:space="0" w:color="auto"/>
            <w:right w:val="none" w:sz="0" w:space="0" w:color="auto"/>
          </w:divBdr>
          <w:divsChild>
            <w:div w:id="831722890">
              <w:marLeft w:val="0"/>
              <w:marRight w:val="0"/>
              <w:marTop w:val="0"/>
              <w:marBottom w:val="0"/>
              <w:divBdr>
                <w:top w:val="none" w:sz="0" w:space="0" w:color="auto"/>
                <w:left w:val="none" w:sz="0" w:space="0" w:color="auto"/>
                <w:bottom w:val="none" w:sz="0" w:space="0" w:color="auto"/>
                <w:right w:val="none" w:sz="0" w:space="0" w:color="auto"/>
              </w:divBdr>
              <w:divsChild>
                <w:div w:id="1017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5027">
      <w:bodyDiv w:val="1"/>
      <w:marLeft w:val="0"/>
      <w:marRight w:val="0"/>
      <w:marTop w:val="0"/>
      <w:marBottom w:val="0"/>
      <w:divBdr>
        <w:top w:val="none" w:sz="0" w:space="0" w:color="auto"/>
        <w:left w:val="none" w:sz="0" w:space="0" w:color="auto"/>
        <w:bottom w:val="none" w:sz="0" w:space="0" w:color="auto"/>
        <w:right w:val="none" w:sz="0" w:space="0" w:color="auto"/>
      </w:divBdr>
      <w:divsChild>
        <w:div w:id="1720469917">
          <w:marLeft w:val="0"/>
          <w:marRight w:val="0"/>
          <w:marTop w:val="0"/>
          <w:marBottom w:val="0"/>
          <w:divBdr>
            <w:top w:val="none" w:sz="0" w:space="0" w:color="auto"/>
            <w:left w:val="none" w:sz="0" w:space="0" w:color="auto"/>
            <w:bottom w:val="none" w:sz="0" w:space="0" w:color="auto"/>
            <w:right w:val="none" w:sz="0" w:space="0" w:color="auto"/>
          </w:divBdr>
          <w:divsChild>
            <w:div w:id="1640499417">
              <w:marLeft w:val="0"/>
              <w:marRight w:val="0"/>
              <w:marTop w:val="0"/>
              <w:marBottom w:val="0"/>
              <w:divBdr>
                <w:top w:val="none" w:sz="0" w:space="0" w:color="auto"/>
                <w:left w:val="none" w:sz="0" w:space="0" w:color="auto"/>
                <w:bottom w:val="none" w:sz="0" w:space="0" w:color="auto"/>
                <w:right w:val="none" w:sz="0" w:space="0" w:color="auto"/>
              </w:divBdr>
              <w:divsChild>
                <w:div w:id="4472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1668">
      <w:bodyDiv w:val="1"/>
      <w:marLeft w:val="0"/>
      <w:marRight w:val="0"/>
      <w:marTop w:val="0"/>
      <w:marBottom w:val="0"/>
      <w:divBdr>
        <w:top w:val="none" w:sz="0" w:space="0" w:color="auto"/>
        <w:left w:val="none" w:sz="0" w:space="0" w:color="auto"/>
        <w:bottom w:val="none" w:sz="0" w:space="0" w:color="auto"/>
        <w:right w:val="none" w:sz="0" w:space="0" w:color="auto"/>
      </w:divBdr>
      <w:divsChild>
        <w:div w:id="1248727703">
          <w:marLeft w:val="0"/>
          <w:marRight w:val="0"/>
          <w:marTop w:val="0"/>
          <w:marBottom w:val="0"/>
          <w:divBdr>
            <w:top w:val="none" w:sz="0" w:space="0" w:color="auto"/>
            <w:left w:val="none" w:sz="0" w:space="0" w:color="auto"/>
            <w:bottom w:val="none" w:sz="0" w:space="0" w:color="auto"/>
            <w:right w:val="none" w:sz="0" w:space="0" w:color="auto"/>
          </w:divBdr>
          <w:divsChild>
            <w:div w:id="762608951">
              <w:marLeft w:val="0"/>
              <w:marRight w:val="0"/>
              <w:marTop w:val="0"/>
              <w:marBottom w:val="0"/>
              <w:divBdr>
                <w:top w:val="none" w:sz="0" w:space="0" w:color="auto"/>
                <w:left w:val="none" w:sz="0" w:space="0" w:color="auto"/>
                <w:bottom w:val="none" w:sz="0" w:space="0" w:color="auto"/>
                <w:right w:val="none" w:sz="0" w:space="0" w:color="auto"/>
              </w:divBdr>
              <w:divsChild>
                <w:div w:id="14661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5870">
      <w:bodyDiv w:val="1"/>
      <w:marLeft w:val="0"/>
      <w:marRight w:val="0"/>
      <w:marTop w:val="0"/>
      <w:marBottom w:val="0"/>
      <w:divBdr>
        <w:top w:val="none" w:sz="0" w:space="0" w:color="auto"/>
        <w:left w:val="none" w:sz="0" w:space="0" w:color="auto"/>
        <w:bottom w:val="none" w:sz="0" w:space="0" w:color="auto"/>
        <w:right w:val="none" w:sz="0" w:space="0" w:color="auto"/>
      </w:divBdr>
    </w:div>
    <w:div w:id="1064527030">
      <w:bodyDiv w:val="1"/>
      <w:marLeft w:val="0"/>
      <w:marRight w:val="0"/>
      <w:marTop w:val="0"/>
      <w:marBottom w:val="0"/>
      <w:divBdr>
        <w:top w:val="none" w:sz="0" w:space="0" w:color="auto"/>
        <w:left w:val="none" w:sz="0" w:space="0" w:color="auto"/>
        <w:bottom w:val="none" w:sz="0" w:space="0" w:color="auto"/>
        <w:right w:val="none" w:sz="0" w:space="0" w:color="auto"/>
      </w:divBdr>
      <w:divsChild>
        <w:div w:id="1034766192">
          <w:marLeft w:val="0"/>
          <w:marRight w:val="0"/>
          <w:marTop w:val="0"/>
          <w:marBottom w:val="0"/>
          <w:divBdr>
            <w:top w:val="none" w:sz="0" w:space="0" w:color="auto"/>
            <w:left w:val="none" w:sz="0" w:space="0" w:color="auto"/>
            <w:bottom w:val="none" w:sz="0" w:space="0" w:color="auto"/>
            <w:right w:val="none" w:sz="0" w:space="0" w:color="auto"/>
          </w:divBdr>
          <w:divsChild>
            <w:div w:id="1355107328">
              <w:marLeft w:val="0"/>
              <w:marRight w:val="0"/>
              <w:marTop w:val="0"/>
              <w:marBottom w:val="0"/>
              <w:divBdr>
                <w:top w:val="none" w:sz="0" w:space="0" w:color="auto"/>
                <w:left w:val="none" w:sz="0" w:space="0" w:color="auto"/>
                <w:bottom w:val="none" w:sz="0" w:space="0" w:color="auto"/>
                <w:right w:val="none" w:sz="0" w:space="0" w:color="auto"/>
              </w:divBdr>
              <w:divsChild>
                <w:div w:id="2754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7507">
      <w:bodyDiv w:val="1"/>
      <w:marLeft w:val="0"/>
      <w:marRight w:val="0"/>
      <w:marTop w:val="0"/>
      <w:marBottom w:val="0"/>
      <w:divBdr>
        <w:top w:val="none" w:sz="0" w:space="0" w:color="auto"/>
        <w:left w:val="none" w:sz="0" w:space="0" w:color="auto"/>
        <w:bottom w:val="none" w:sz="0" w:space="0" w:color="auto"/>
        <w:right w:val="none" w:sz="0" w:space="0" w:color="auto"/>
      </w:divBdr>
    </w:div>
    <w:div w:id="1079981809">
      <w:bodyDiv w:val="1"/>
      <w:marLeft w:val="0"/>
      <w:marRight w:val="0"/>
      <w:marTop w:val="0"/>
      <w:marBottom w:val="0"/>
      <w:divBdr>
        <w:top w:val="none" w:sz="0" w:space="0" w:color="auto"/>
        <w:left w:val="none" w:sz="0" w:space="0" w:color="auto"/>
        <w:bottom w:val="none" w:sz="0" w:space="0" w:color="auto"/>
        <w:right w:val="none" w:sz="0" w:space="0" w:color="auto"/>
      </w:divBdr>
      <w:divsChild>
        <w:div w:id="2067292355">
          <w:marLeft w:val="0"/>
          <w:marRight w:val="0"/>
          <w:marTop w:val="0"/>
          <w:marBottom w:val="0"/>
          <w:divBdr>
            <w:top w:val="none" w:sz="0" w:space="0" w:color="auto"/>
            <w:left w:val="none" w:sz="0" w:space="0" w:color="auto"/>
            <w:bottom w:val="none" w:sz="0" w:space="0" w:color="auto"/>
            <w:right w:val="none" w:sz="0" w:space="0" w:color="auto"/>
          </w:divBdr>
          <w:divsChild>
            <w:div w:id="60060390">
              <w:marLeft w:val="0"/>
              <w:marRight w:val="0"/>
              <w:marTop w:val="0"/>
              <w:marBottom w:val="0"/>
              <w:divBdr>
                <w:top w:val="none" w:sz="0" w:space="0" w:color="auto"/>
                <w:left w:val="none" w:sz="0" w:space="0" w:color="auto"/>
                <w:bottom w:val="none" w:sz="0" w:space="0" w:color="auto"/>
                <w:right w:val="none" w:sz="0" w:space="0" w:color="auto"/>
              </w:divBdr>
              <w:divsChild>
                <w:div w:id="18147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0521">
      <w:bodyDiv w:val="1"/>
      <w:marLeft w:val="0"/>
      <w:marRight w:val="0"/>
      <w:marTop w:val="0"/>
      <w:marBottom w:val="0"/>
      <w:divBdr>
        <w:top w:val="none" w:sz="0" w:space="0" w:color="auto"/>
        <w:left w:val="none" w:sz="0" w:space="0" w:color="auto"/>
        <w:bottom w:val="none" w:sz="0" w:space="0" w:color="auto"/>
        <w:right w:val="none" w:sz="0" w:space="0" w:color="auto"/>
      </w:divBdr>
    </w:div>
    <w:div w:id="1103762650">
      <w:bodyDiv w:val="1"/>
      <w:marLeft w:val="0"/>
      <w:marRight w:val="0"/>
      <w:marTop w:val="0"/>
      <w:marBottom w:val="0"/>
      <w:divBdr>
        <w:top w:val="none" w:sz="0" w:space="0" w:color="auto"/>
        <w:left w:val="none" w:sz="0" w:space="0" w:color="auto"/>
        <w:bottom w:val="none" w:sz="0" w:space="0" w:color="auto"/>
        <w:right w:val="none" w:sz="0" w:space="0" w:color="auto"/>
      </w:divBdr>
      <w:divsChild>
        <w:div w:id="1298144093">
          <w:marLeft w:val="0"/>
          <w:marRight w:val="0"/>
          <w:marTop w:val="0"/>
          <w:marBottom w:val="0"/>
          <w:divBdr>
            <w:top w:val="none" w:sz="0" w:space="0" w:color="auto"/>
            <w:left w:val="none" w:sz="0" w:space="0" w:color="auto"/>
            <w:bottom w:val="none" w:sz="0" w:space="0" w:color="auto"/>
            <w:right w:val="none" w:sz="0" w:space="0" w:color="auto"/>
          </w:divBdr>
          <w:divsChild>
            <w:div w:id="733355259">
              <w:marLeft w:val="0"/>
              <w:marRight w:val="0"/>
              <w:marTop w:val="0"/>
              <w:marBottom w:val="0"/>
              <w:divBdr>
                <w:top w:val="none" w:sz="0" w:space="0" w:color="auto"/>
                <w:left w:val="none" w:sz="0" w:space="0" w:color="auto"/>
                <w:bottom w:val="none" w:sz="0" w:space="0" w:color="auto"/>
                <w:right w:val="none" w:sz="0" w:space="0" w:color="auto"/>
              </w:divBdr>
              <w:divsChild>
                <w:div w:id="1704943000">
                  <w:marLeft w:val="0"/>
                  <w:marRight w:val="0"/>
                  <w:marTop w:val="0"/>
                  <w:marBottom w:val="0"/>
                  <w:divBdr>
                    <w:top w:val="none" w:sz="0" w:space="0" w:color="auto"/>
                    <w:left w:val="none" w:sz="0" w:space="0" w:color="auto"/>
                    <w:bottom w:val="none" w:sz="0" w:space="0" w:color="auto"/>
                    <w:right w:val="none" w:sz="0" w:space="0" w:color="auto"/>
                  </w:divBdr>
                  <w:divsChild>
                    <w:div w:id="1319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4727">
      <w:bodyDiv w:val="1"/>
      <w:marLeft w:val="0"/>
      <w:marRight w:val="0"/>
      <w:marTop w:val="0"/>
      <w:marBottom w:val="0"/>
      <w:divBdr>
        <w:top w:val="none" w:sz="0" w:space="0" w:color="auto"/>
        <w:left w:val="none" w:sz="0" w:space="0" w:color="auto"/>
        <w:bottom w:val="none" w:sz="0" w:space="0" w:color="auto"/>
        <w:right w:val="none" w:sz="0" w:space="0" w:color="auto"/>
      </w:divBdr>
    </w:div>
    <w:div w:id="1114135516">
      <w:bodyDiv w:val="1"/>
      <w:marLeft w:val="0"/>
      <w:marRight w:val="0"/>
      <w:marTop w:val="0"/>
      <w:marBottom w:val="0"/>
      <w:divBdr>
        <w:top w:val="none" w:sz="0" w:space="0" w:color="auto"/>
        <w:left w:val="none" w:sz="0" w:space="0" w:color="auto"/>
        <w:bottom w:val="none" w:sz="0" w:space="0" w:color="auto"/>
        <w:right w:val="none" w:sz="0" w:space="0" w:color="auto"/>
      </w:divBdr>
    </w:div>
    <w:div w:id="1114638825">
      <w:bodyDiv w:val="1"/>
      <w:marLeft w:val="0"/>
      <w:marRight w:val="0"/>
      <w:marTop w:val="0"/>
      <w:marBottom w:val="0"/>
      <w:divBdr>
        <w:top w:val="none" w:sz="0" w:space="0" w:color="auto"/>
        <w:left w:val="none" w:sz="0" w:space="0" w:color="auto"/>
        <w:bottom w:val="none" w:sz="0" w:space="0" w:color="auto"/>
        <w:right w:val="none" w:sz="0" w:space="0" w:color="auto"/>
      </w:divBdr>
      <w:divsChild>
        <w:div w:id="952399201">
          <w:marLeft w:val="0"/>
          <w:marRight w:val="0"/>
          <w:marTop w:val="0"/>
          <w:marBottom w:val="0"/>
          <w:divBdr>
            <w:top w:val="none" w:sz="0" w:space="0" w:color="auto"/>
            <w:left w:val="none" w:sz="0" w:space="0" w:color="auto"/>
            <w:bottom w:val="none" w:sz="0" w:space="0" w:color="auto"/>
            <w:right w:val="none" w:sz="0" w:space="0" w:color="auto"/>
          </w:divBdr>
          <w:divsChild>
            <w:div w:id="153187678">
              <w:marLeft w:val="0"/>
              <w:marRight w:val="0"/>
              <w:marTop w:val="0"/>
              <w:marBottom w:val="0"/>
              <w:divBdr>
                <w:top w:val="none" w:sz="0" w:space="0" w:color="auto"/>
                <w:left w:val="none" w:sz="0" w:space="0" w:color="auto"/>
                <w:bottom w:val="none" w:sz="0" w:space="0" w:color="auto"/>
                <w:right w:val="none" w:sz="0" w:space="0" w:color="auto"/>
              </w:divBdr>
              <w:divsChild>
                <w:div w:id="6197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0169">
      <w:bodyDiv w:val="1"/>
      <w:marLeft w:val="0"/>
      <w:marRight w:val="0"/>
      <w:marTop w:val="0"/>
      <w:marBottom w:val="0"/>
      <w:divBdr>
        <w:top w:val="none" w:sz="0" w:space="0" w:color="auto"/>
        <w:left w:val="none" w:sz="0" w:space="0" w:color="auto"/>
        <w:bottom w:val="none" w:sz="0" w:space="0" w:color="auto"/>
        <w:right w:val="none" w:sz="0" w:space="0" w:color="auto"/>
      </w:divBdr>
    </w:div>
    <w:div w:id="1148518671">
      <w:bodyDiv w:val="1"/>
      <w:marLeft w:val="0"/>
      <w:marRight w:val="0"/>
      <w:marTop w:val="0"/>
      <w:marBottom w:val="0"/>
      <w:divBdr>
        <w:top w:val="none" w:sz="0" w:space="0" w:color="auto"/>
        <w:left w:val="none" w:sz="0" w:space="0" w:color="auto"/>
        <w:bottom w:val="none" w:sz="0" w:space="0" w:color="auto"/>
        <w:right w:val="none" w:sz="0" w:space="0" w:color="auto"/>
      </w:divBdr>
      <w:divsChild>
        <w:div w:id="2090348262">
          <w:marLeft w:val="0"/>
          <w:marRight w:val="0"/>
          <w:marTop w:val="0"/>
          <w:marBottom w:val="0"/>
          <w:divBdr>
            <w:top w:val="none" w:sz="0" w:space="0" w:color="auto"/>
            <w:left w:val="none" w:sz="0" w:space="0" w:color="auto"/>
            <w:bottom w:val="none" w:sz="0" w:space="0" w:color="auto"/>
            <w:right w:val="none" w:sz="0" w:space="0" w:color="auto"/>
          </w:divBdr>
          <w:divsChild>
            <w:div w:id="348988035">
              <w:marLeft w:val="0"/>
              <w:marRight w:val="0"/>
              <w:marTop w:val="0"/>
              <w:marBottom w:val="0"/>
              <w:divBdr>
                <w:top w:val="none" w:sz="0" w:space="0" w:color="auto"/>
                <w:left w:val="none" w:sz="0" w:space="0" w:color="auto"/>
                <w:bottom w:val="none" w:sz="0" w:space="0" w:color="auto"/>
                <w:right w:val="none" w:sz="0" w:space="0" w:color="auto"/>
              </w:divBdr>
              <w:divsChild>
                <w:div w:id="10530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1359">
      <w:bodyDiv w:val="1"/>
      <w:marLeft w:val="0"/>
      <w:marRight w:val="0"/>
      <w:marTop w:val="0"/>
      <w:marBottom w:val="0"/>
      <w:divBdr>
        <w:top w:val="none" w:sz="0" w:space="0" w:color="auto"/>
        <w:left w:val="none" w:sz="0" w:space="0" w:color="auto"/>
        <w:bottom w:val="none" w:sz="0" w:space="0" w:color="auto"/>
        <w:right w:val="none" w:sz="0" w:space="0" w:color="auto"/>
      </w:divBdr>
    </w:div>
    <w:div w:id="1150514790">
      <w:bodyDiv w:val="1"/>
      <w:marLeft w:val="0"/>
      <w:marRight w:val="0"/>
      <w:marTop w:val="0"/>
      <w:marBottom w:val="0"/>
      <w:divBdr>
        <w:top w:val="none" w:sz="0" w:space="0" w:color="auto"/>
        <w:left w:val="none" w:sz="0" w:space="0" w:color="auto"/>
        <w:bottom w:val="none" w:sz="0" w:space="0" w:color="auto"/>
        <w:right w:val="none" w:sz="0" w:space="0" w:color="auto"/>
      </w:divBdr>
      <w:divsChild>
        <w:div w:id="885222289">
          <w:marLeft w:val="0"/>
          <w:marRight w:val="0"/>
          <w:marTop w:val="0"/>
          <w:marBottom w:val="0"/>
          <w:divBdr>
            <w:top w:val="none" w:sz="0" w:space="0" w:color="auto"/>
            <w:left w:val="none" w:sz="0" w:space="0" w:color="auto"/>
            <w:bottom w:val="none" w:sz="0" w:space="0" w:color="auto"/>
            <w:right w:val="none" w:sz="0" w:space="0" w:color="auto"/>
          </w:divBdr>
          <w:divsChild>
            <w:div w:id="2126924710">
              <w:marLeft w:val="0"/>
              <w:marRight w:val="0"/>
              <w:marTop w:val="0"/>
              <w:marBottom w:val="0"/>
              <w:divBdr>
                <w:top w:val="none" w:sz="0" w:space="0" w:color="auto"/>
                <w:left w:val="none" w:sz="0" w:space="0" w:color="auto"/>
                <w:bottom w:val="none" w:sz="0" w:space="0" w:color="auto"/>
                <w:right w:val="none" w:sz="0" w:space="0" w:color="auto"/>
              </w:divBdr>
              <w:divsChild>
                <w:div w:id="2129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9950">
      <w:bodyDiv w:val="1"/>
      <w:marLeft w:val="0"/>
      <w:marRight w:val="0"/>
      <w:marTop w:val="0"/>
      <w:marBottom w:val="0"/>
      <w:divBdr>
        <w:top w:val="none" w:sz="0" w:space="0" w:color="auto"/>
        <w:left w:val="none" w:sz="0" w:space="0" w:color="auto"/>
        <w:bottom w:val="none" w:sz="0" w:space="0" w:color="auto"/>
        <w:right w:val="none" w:sz="0" w:space="0" w:color="auto"/>
      </w:divBdr>
      <w:divsChild>
        <w:div w:id="1148857849">
          <w:marLeft w:val="0"/>
          <w:marRight w:val="0"/>
          <w:marTop w:val="0"/>
          <w:marBottom w:val="0"/>
          <w:divBdr>
            <w:top w:val="none" w:sz="0" w:space="0" w:color="auto"/>
            <w:left w:val="none" w:sz="0" w:space="0" w:color="auto"/>
            <w:bottom w:val="none" w:sz="0" w:space="0" w:color="auto"/>
            <w:right w:val="none" w:sz="0" w:space="0" w:color="auto"/>
          </w:divBdr>
          <w:divsChild>
            <w:div w:id="39987008">
              <w:marLeft w:val="0"/>
              <w:marRight w:val="0"/>
              <w:marTop w:val="0"/>
              <w:marBottom w:val="0"/>
              <w:divBdr>
                <w:top w:val="none" w:sz="0" w:space="0" w:color="auto"/>
                <w:left w:val="none" w:sz="0" w:space="0" w:color="auto"/>
                <w:bottom w:val="none" w:sz="0" w:space="0" w:color="auto"/>
                <w:right w:val="none" w:sz="0" w:space="0" w:color="auto"/>
              </w:divBdr>
              <w:divsChild>
                <w:div w:id="9748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3861">
      <w:bodyDiv w:val="1"/>
      <w:marLeft w:val="0"/>
      <w:marRight w:val="0"/>
      <w:marTop w:val="0"/>
      <w:marBottom w:val="0"/>
      <w:divBdr>
        <w:top w:val="none" w:sz="0" w:space="0" w:color="auto"/>
        <w:left w:val="none" w:sz="0" w:space="0" w:color="auto"/>
        <w:bottom w:val="none" w:sz="0" w:space="0" w:color="auto"/>
        <w:right w:val="none" w:sz="0" w:space="0" w:color="auto"/>
      </w:divBdr>
    </w:div>
    <w:div w:id="1161432026">
      <w:bodyDiv w:val="1"/>
      <w:marLeft w:val="0"/>
      <w:marRight w:val="0"/>
      <w:marTop w:val="0"/>
      <w:marBottom w:val="0"/>
      <w:divBdr>
        <w:top w:val="none" w:sz="0" w:space="0" w:color="auto"/>
        <w:left w:val="none" w:sz="0" w:space="0" w:color="auto"/>
        <w:bottom w:val="none" w:sz="0" w:space="0" w:color="auto"/>
        <w:right w:val="none" w:sz="0" w:space="0" w:color="auto"/>
      </w:divBdr>
      <w:divsChild>
        <w:div w:id="526144337">
          <w:marLeft w:val="0"/>
          <w:marRight w:val="0"/>
          <w:marTop w:val="0"/>
          <w:marBottom w:val="0"/>
          <w:divBdr>
            <w:top w:val="none" w:sz="0" w:space="0" w:color="auto"/>
            <w:left w:val="none" w:sz="0" w:space="0" w:color="auto"/>
            <w:bottom w:val="none" w:sz="0" w:space="0" w:color="auto"/>
            <w:right w:val="none" w:sz="0" w:space="0" w:color="auto"/>
          </w:divBdr>
        </w:div>
        <w:div w:id="1820803341">
          <w:marLeft w:val="0"/>
          <w:marRight w:val="0"/>
          <w:marTop w:val="0"/>
          <w:marBottom w:val="0"/>
          <w:divBdr>
            <w:top w:val="none" w:sz="0" w:space="0" w:color="auto"/>
            <w:left w:val="none" w:sz="0" w:space="0" w:color="auto"/>
            <w:bottom w:val="none" w:sz="0" w:space="0" w:color="auto"/>
            <w:right w:val="none" w:sz="0" w:space="0" w:color="auto"/>
          </w:divBdr>
        </w:div>
        <w:div w:id="848645093">
          <w:marLeft w:val="0"/>
          <w:marRight w:val="0"/>
          <w:marTop w:val="0"/>
          <w:marBottom w:val="0"/>
          <w:divBdr>
            <w:top w:val="none" w:sz="0" w:space="0" w:color="auto"/>
            <w:left w:val="none" w:sz="0" w:space="0" w:color="auto"/>
            <w:bottom w:val="none" w:sz="0" w:space="0" w:color="auto"/>
            <w:right w:val="none" w:sz="0" w:space="0" w:color="auto"/>
          </w:divBdr>
        </w:div>
        <w:div w:id="607393043">
          <w:marLeft w:val="0"/>
          <w:marRight w:val="0"/>
          <w:marTop w:val="0"/>
          <w:marBottom w:val="0"/>
          <w:divBdr>
            <w:top w:val="none" w:sz="0" w:space="0" w:color="auto"/>
            <w:left w:val="none" w:sz="0" w:space="0" w:color="auto"/>
            <w:bottom w:val="none" w:sz="0" w:space="0" w:color="auto"/>
            <w:right w:val="none" w:sz="0" w:space="0" w:color="auto"/>
          </w:divBdr>
        </w:div>
        <w:div w:id="438839291">
          <w:marLeft w:val="0"/>
          <w:marRight w:val="0"/>
          <w:marTop w:val="0"/>
          <w:marBottom w:val="0"/>
          <w:divBdr>
            <w:top w:val="none" w:sz="0" w:space="0" w:color="auto"/>
            <w:left w:val="none" w:sz="0" w:space="0" w:color="auto"/>
            <w:bottom w:val="none" w:sz="0" w:space="0" w:color="auto"/>
            <w:right w:val="none" w:sz="0" w:space="0" w:color="auto"/>
          </w:divBdr>
        </w:div>
        <w:div w:id="1381323354">
          <w:marLeft w:val="0"/>
          <w:marRight w:val="0"/>
          <w:marTop w:val="0"/>
          <w:marBottom w:val="0"/>
          <w:divBdr>
            <w:top w:val="none" w:sz="0" w:space="0" w:color="auto"/>
            <w:left w:val="none" w:sz="0" w:space="0" w:color="auto"/>
            <w:bottom w:val="none" w:sz="0" w:space="0" w:color="auto"/>
            <w:right w:val="none" w:sz="0" w:space="0" w:color="auto"/>
          </w:divBdr>
        </w:div>
        <w:div w:id="1521506266">
          <w:marLeft w:val="0"/>
          <w:marRight w:val="0"/>
          <w:marTop w:val="0"/>
          <w:marBottom w:val="0"/>
          <w:divBdr>
            <w:top w:val="none" w:sz="0" w:space="0" w:color="auto"/>
            <w:left w:val="none" w:sz="0" w:space="0" w:color="auto"/>
            <w:bottom w:val="none" w:sz="0" w:space="0" w:color="auto"/>
            <w:right w:val="none" w:sz="0" w:space="0" w:color="auto"/>
          </w:divBdr>
        </w:div>
        <w:div w:id="1829664694">
          <w:marLeft w:val="0"/>
          <w:marRight w:val="0"/>
          <w:marTop w:val="0"/>
          <w:marBottom w:val="0"/>
          <w:divBdr>
            <w:top w:val="none" w:sz="0" w:space="0" w:color="auto"/>
            <w:left w:val="none" w:sz="0" w:space="0" w:color="auto"/>
            <w:bottom w:val="none" w:sz="0" w:space="0" w:color="auto"/>
            <w:right w:val="none" w:sz="0" w:space="0" w:color="auto"/>
          </w:divBdr>
        </w:div>
        <w:div w:id="803044222">
          <w:marLeft w:val="0"/>
          <w:marRight w:val="0"/>
          <w:marTop w:val="0"/>
          <w:marBottom w:val="0"/>
          <w:divBdr>
            <w:top w:val="none" w:sz="0" w:space="0" w:color="auto"/>
            <w:left w:val="none" w:sz="0" w:space="0" w:color="auto"/>
            <w:bottom w:val="none" w:sz="0" w:space="0" w:color="auto"/>
            <w:right w:val="none" w:sz="0" w:space="0" w:color="auto"/>
          </w:divBdr>
        </w:div>
        <w:div w:id="750157327">
          <w:marLeft w:val="0"/>
          <w:marRight w:val="0"/>
          <w:marTop w:val="0"/>
          <w:marBottom w:val="0"/>
          <w:divBdr>
            <w:top w:val="none" w:sz="0" w:space="0" w:color="auto"/>
            <w:left w:val="none" w:sz="0" w:space="0" w:color="auto"/>
            <w:bottom w:val="none" w:sz="0" w:space="0" w:color="auto"/>
            <w:right w:val="none" w:sz="0" w:space="0" w:color="auto"/>
          </w:divBdr>
        </w:div>
        <w:div w:id="839778890">
          <w:marLeft w:val="0"/>
          <w:marRight w:val="0"/>
          <w:marTop w:val="0"/>
          <w:marBottom w:val="0"/>
          <w:divBdr>
            <w:top w:val="none" w:sz="0" w:space="0" w:color="auto"/>
            <w:left w:val="none" w:sz="0" w:space="0" w:color="auto"/>
            <w:bottom w:val="none" w:sz="0" w:space="0" w:color="auto"/>
            <w:right w:val="none" w:sz="0" w:space="0" w:color="auto"/>
          </w:divBdr>
        </w:div>
        <w:div w:id="1803689312">
          <w:marLeft w:val="0"/>
          <w:marRight w:val="0"/>
          <w:marTop w:val="0"/>
          <w:marBottom w:val="0"/>
          <w:divBdr>
            <w:top w:val="none" w:sz="0" w:space="0" w:color="auto"/>
            <w:left w:val="none" w:sz="0" w:space="0" w:color="auto"/>
            <w:bottom w:val="none" w:sz="0" w:space="0" w:color="auto"/>
            <w:right w:val="none" w:sz="0" w:space="0" w:color="auto"/>
          </w:divBdr>
        </w:div>
        <w:div w:id="159542848">
          <w:marLeft w:val="0"/>
          <w:marRight w:val="0"/>
          <w:marTop w:val="0"/>
          <w:marBottom w:val="0"/>
          <w:divBdr>
            <w:top w:val="none" w:sz="0" w:space="0" w:color="auto"/>
            <w:left w:val="none" w:sz="0" w:space="0" w:color="auto"/>
            <w:bottom w:val="none" w:sz="0" w:space="0" w:color="auto"/>
            <w:right w:val="none" w:sz="0" w:space="0" w:color="auto"/>
          </w:divBdr>
        </w:div>
        <w:div w:id="918292734">
          <w:marLeft w:val="0"/>
          <w:marRight w:val="0"/>
          <w:marTop w:val="0"/>
          <w:marBottom w:val="0"/>
          <w:divBdr>
            <w:top w:val="none" w:sz="0" w:space="0" w:color="auto"/>
            <w:left w:val="none" w:sz="0" w:space="0" w:color="auto"/>
            <w:bottom w:val="none" w:sz="0" w:space="0" w:color="auto"/>
            <w:right w:val="none" w:sz="0" w:space="0" w:color="auto"/>
          </w:divBdr>
        </w:div>
        <w:div w:id="135530628">
          <w:marLeft w:val="0"/>
          <w:marRight w:val="0"/>
          <w:marTop w:val="0"/>
          <w:marBottom w:val="0"/>
          <w:divBdr>
            <w:top w:val="none" w:sz="0" w:space="0" w:color="auto"/>
            <w:left w:val="none" w:sz="0" w:space="0" w:color="auto"/>
            <w:bottom w:val="none" w:sz="0" w:space="0" w:color="auto"/>
            <w:right w:val="none" w:sz="0" w:space="0" w:color="auto"/>
          </w:divBdr>
        </w:div>
      </w:divsChild>
    </w:div>
    <w:div w:id="1161890838">
      <w:bodyDiv w:val="1"/>
      <w:marLeft w:val="0"/>
      <w:marRight w:val="0"/>
      <w:marTop w:val="0"/>
      <w:marBottom w:val="0"/>
      <w:divBdr>
        <w:top w:val="none" w:sz="0" w:space="0" w:color="auto"/>
        <w:left w:val="none" w:sz="0" w:space="0" w:color="auto"/>
        <w:bottom w:val="none" w:sz="0" w:space="0" w:color="auto"/>
        <w:right w:val="none" w:sz="0" w:space="0" w:color="auto"/>
      </w:divBdr>
    </w:div>
    <w:div w:id="1170565003">
      <w:bodyDiv w:val="1"/>
      <w:marLeft w:val="0"/>
      <w:marRight w:val="0"/>
      <w:marTop w:val="0"/>
      <w:marBottom w:val="0"/>
      <w:divBdr>
        <w:top w:val="none" w:sz="0" w:space="0" w:color="auto"/>
        <w:left w:val="none" w:sz="0" w:space="0" w:color="auto"/>
        <w:bottom w:val="none" w:sz="0" w:space="0" w:color="auto"/>
        <w:right w:val="none" w:sz="0" w:space="0" w:color="auto"/>
      </w:divBdr>
      <w:divsChild>
        <w:div w:id="1378511985">
          <w:marLeft w:val="0"/>
          <w:marRight w:val="0"/>
          <w:marTop w:val="0"/>
          <w:marBottom w:val="0"/>
          <w:divBdr>
            <w:top w:val="none" w:sz="0" w:space="0" w:color="auto"/>
            <w:left w:val="none" w:sz="0" w:space="0" w:color="auto"/>
            <w:bottom w:val="none" w:sz="0" w:space="0" w:color="auto"/>
            <w:right w:val="none" w:sz="0" w:space="0" w:color="auto"/>
          </w:divBdr>
          <w:divsChild>
            <w:div w:id="1281303316">
              <w:marLeft w:val="0"/>
              <w:marRight w:val="0"/>
              <w:marTop w:val="0"/>
              <w:marBottom w:val="0"/>
              <w:divBdr>
                <w:top w:val="none" w:sz="0" w:space="0" w:color="auto"/>
                <w:left w:val="none" w:sz="0" w:space="0" w:color="auto"/>
                <w:bottom w:val="none" w:sz="0" w:space="0" w:color="auto"/>
                <w:right w:val="none" w:sz="0" w:space="0" w:color="auto"/>
              </w:divBdr>
              <w:divsChild>
                <w:div w:id="11727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37685">
      <w:bodyDiv w:val="1"/>
      <w:marLeft w:val="0"/>
      <w:marRight w:val="0"/>
      <w:marTop w:val="0"/>
      <w:marBottom w:val="0"/>
      <w:divBdr>
        <w:top w:val="none" w:sz="0" w:space="0" w:color="auto"/>
        <w:left w:val="none" w:sz="0" w:space="0" w:color="auto"/>
        <w:bottom w:val="none" w:sz="0" w:space="0" w:color="auto"/>
        <w:right w:val="none" w:sz="0" w:space="0" w:color="auto"/>
      </w:divBdr>
      <w:divsChild>
        <w:div w:id="491802675">
          <w:marLeft w:val="0"/>
          <w:marRight w:val="0"/>
          <w:marTop w:val="0"/>
          <w:marBottom w:val="0"/>
          <w:divBdr>
            <w:top w:val="none" w:sz="0" w:space="0" w:color="auto"/>
            <w:left w:val="none" w:sz="0" w:space="0" w:color="auto"/>
            <w:bottom w:val="none" w:sz="0" w:space="0" w:color="auto"/>
            <w:right w:val="none" w:sz="0" w:space="0" w:color="auto"/>
          </w:divBdr>
          <w:divsChild>
            <w:div w:id="1192451973">
              <w:marLeft w:val="0"/>
              <w:marRight w:val="0"/>
              <w:marTop w:val="0"/>
              <w:marBottom w:val="0"/>
              <w:divBdr>
                <w:top w:val="none" w:sz="0" w:space="0" w:color="auto"/>
                <w:left w:val="none" w:sz="0" w:space="0" w:color="auto"/>
                <w:bottom w:val="none" w:sz="0" w:space="0" w:color="auto"/>
                <w:right w:val="none" w:sz="0" w:space="0" w:color="auto"/>
              </w:divBdr>
              <w:divsChild>
                <w:div w:id="948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8695">
      <w:bodyDiv w:val="1"/>
      <w:marLeft w:val="0"/>
      <w:marRight w:val="0"/>
      <w:marTop w:val="0"/>
      <w:marBottom w:val="0"/>
      <w:divBdr>
        <w:top w:val="none" w:sz="0" w:space="0" w:color="auto"/>
        <w:left w:val="none" w:sz="0" w:space="0" w:color="auto"/>
        <w:bottom w:val="none" w:sz="0" w:space="0" w:color="auto"/>
        <w:right w:val="none" w:sz="0" w:space="0" w:color="auto"/>
      </w:divBdr>
      <w:divsChild>
        <w:div w:id="819617814">
          <w:marLeft w:val="0"/>
          <w:marRight w:val="0"/>
          <w:marTop w:val="0"/>
          <w:marBottom w:val="0"/>
          <w:divBdr>
            <w:top w:val="none" w:sz="0" w:space="0" w:color="auto"/>
            <w:left w:val="none" w:sz="0" w:space="0" w:color="auto"/>
            <w:bottom w:val="none" w:sz="0" w:space="0" w:color="auto"/>
            <w:right w:val="none" w:sz="0" w:space="0" w:color="auto"/>
          </w:divBdr>
          <w:divsChild>
            <w:div w:id="925966866">
              <w:marLeft w:val="0"/>
              <w:marRight w:val="0"/>
              <w:marTop w:val="0"/>
              <w:marBottom w:val="0"/>
              <w:divBdr>
                <w:top w:val="none" w:sz="0" w:space="0" w:color="auto"/>
                <w:left w:val="none" w:sz="0" w:space="0" w:color="auto"/>
                <w:bottom w:val="none" w:sz="0" w:space="0" w:color="auto"/>
                <w:right w:val="none" w:sz="0" w:space="0" w:color="auto"/>
              </w:divBdr>
              <w:divsChild>
                <w:div w:id="10566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6011">
      <w:bodyDiv w:val="1"/>
      <w:marLeft w:val="0"/>
      <w:marRight w:val="0"/>
      <w:marTop w:val="0"/>
      <w:marBottom w:val="0"/>
      <w:divBdr>
        <w:top w:val="none" w:sz="0" w:space="0" w:color="auto"/>
        <w:left w:val="none" w:sz="0" w:space="0" w:color="auto"/>
        <w:bottom w:val="none" w:sz="0" w:space="0" w:color="auto"/>
        <w:right w:val="none" w:sz="0" w:space="0" w:color="auto"/>
      </w:divBdr>
    </w:div>
    <w:div w:id="1221483547">
      <w:bodyDiv w:val="1"/>
      <w:marLeft w:val="0"/>
      <w:marRight w:val="0"/>
      <w:marTop w:val="0"/>
      <w:marBottom w:val="0"/>
      <w:divBdr>
        <w:top w:val="none" w:sz="0" w:space="0" w:color="auto"/>
        <w:left w:val="none" w:sz="0" w:space="0" w:color="auto"/>
        <w:bottom w:val="none" w:sz="0" w:space="0" w:color="auto"/>
        <w:right w:val="none" w:sz="0" w:space="0" w:color="auto"/>
      </w:divBdr>
    </w:div>
    <w:div w:id="1221556582">
      <w:bodyDiv w:val="1"/>
      <w:marLeft w:val="0"/>
      <w:marRight w:val="0"/>
      <w:marTop w:val="0"/>
      <w:marBottom w:val="0"/>
      <w:divBdr>
        <w:top w:val="none" w:sz="0" w:space="0" w:color="auto"/>
        <w:left w:val="none" w:sz="0" w:space="0" w:color="auto"/>
        <w:bottom w:val="none" w:sz="0" w:space="0" w:color="auto"/>
        <w:right w:val="none" w:sz="0" w:space="0" w:color="auto"/>
      </w:divBdr>
    </w:div>
    <w:div w:id="1224214187">
      <w:bodyDiv w:val="1"/>
      <w:marLeft w:val="0"/>
      <w:marRight w:val="0"/>
      <w:marTop w:val="0"/>
      <w:marBottom w:val="0"/>
      <w:divBdr>
        <w:top w:val="none" w:sz="0" w:space="0" w:color="auto"/>
        <w:left w:val="none" w:sz="0" w:space="0" w:color="auto"/>
        <w:bottom w:val="none" w:sz="0" w:space="0" w:color="auto"/>
        <w:right w:val="none" w:sz="0" w:space="0" w:color="auto"/>
      </w:divBdr>
    </w:div>
    <w:div w:id="1226644281">
      <w:bodyDiv w:val="1"/>
      <w:marLeft w:val="0"/>
      <w:marRight w:val="0"/>
      <w:marTop w:val="0"/>
      <w:marBottom w:val="0"/>
      <w:divBdr>
        <w:top w:val="none" w:sz="0" w:space="0" w:color="auto"/>
        <w:left w:val="none" w:sz="0" w:space="0" w:color="auto"/>
        <w:bottom w:val="none" w:sz="0" w:space="0" w:color="auto"/>
        <w:right w:val="none" w:sz="0" w:space="0" w:color="auto"/>
      </w:divBdr>
      <w:divsChild>
        <w:div w:id="1802770552">
          <w:marLeft w:val="0"/>
          <w:marRight w:val="0"/>
          <w:marTop w:val="0"/>
          <w:marBottom w:val="0"/>
          <w:divBdr>
            <w:top w:val="none" w:sz="0" w:space="0" w:color="auto"/>
            <w:left w:val="none" w:sz="0" w:space="0" w:color="auto"/>
            <w:bottom w:val="none" w:sz="0" w:space="0" w:color="auto"/>
            <w:right w:val="none" w:sz="0" w:space="0" w:color="auto"/>
          </w:divBdr>
          <w:divsChild>
            <w:div w:id="869609671">
              <w:marLeft w:val="0"/>
              <w:marRight w:val="0"/>
              <w:marTop w:val="0"/>
              <w:marBottom w:val="0"/>
              <w:divBdr>
                <w:top w:val="none" w:sz="0" w:space="0" w:color="auto"/>
                <w:left w:val="none" w:sz="0" w:space="0" w:color="auto"/>
                <w:bottom w:val="none" w:sz="0" w:space="0" w:color="auto"/>
                <w:right w:val="none" w:sz="0" w:space="0" w:color="auto"/>
              </w:divBdr>
              <w:divsChild>
                <w:div w:id="1149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5224">
      <w:bodyDiv w:val="1"/>
      <w:marLeft w:val="0"/>
      <w:marRight w:val="0"/>
      <w:marTop w:val="0"/>
      <w:marBottom w:val="0"/>
      <w:divBdr>
        <w:top w:val="none" w:sz="0" w:space="0" w:color="auto"/>
        <w:left w:val="none" w:sz="0" w:space="0" w:color="auto"/>
        <w:bottom w:val="none" w:sz="0" w:space="0" w:color="auto"/>
        <w:right w:val="none" w:sz="0" w:space="0" w:color="auto"/>
      </w:divBdr>
    </w:div>
    <w:div w:id="1238133570">
      <w:bodyDiv w:val="1"/>
      <w:marLeft w:val="0"/>
      <w:marRight w:val="0"/>
      <w:marTop w:val="0"/>
      <w:marBottom w:val="0"/>
      <w:divBdr>
        <w:top w:val="none" w:sz="0" w:space="0" w:color="auto"/>
        <w:left w:val="none" w:sz="0" w:space="0" w:color="auto"/>
        <w:bottom w:val="none" w:sz="0" w:space="0" w:color="auto"/>
        <w:right w:val="none" w:sz="0" w:space="0" w:color="auto"/>
      </w:divBdr>
    </w:div>
    <w:div w:id="1239752111">
      <w:bodyDiv w:val="1"/>
      <w:marLeft w:val="0"/>
      <w:marRight w:val="0"/>
      <w:marTop w:val="0"/>
      <w:marBottom w:val="0"/>
      <w:divBdr>
        <w:top w:val="none" w:sz="0" w:space="0" w:color="auto"/>
        <w:left w:val="none" w:sz="0" w:space="0" w:color="auto"/>
        <w:bottom w:val="none" w:sz="0" w:space="0" w:color="auto"/>
        <w:right w:val="none" w:sz="0" w:space="0" w:color="auto"/>
      </w:divBdr>
    </w:div>
    <w:div w:id="1257441449">
      <w:bodyDiv w:val="1"/>
      <w:marLeft w:val="0"/>
      <w:marRight w:val="0"/>
      <w:marTop w:val="0"/>
      <w:marBottom w:val="0"/>
      <w:divBdr>
        <w:top w:val="none" w:sz="0" w:space="0" w:color="auto"/>
        <w:left w:val="none" w:sz="0" w:space="0" w:color="auto"/>
        <w:bottom w:val="none" w:sz="0" w:space="0" w:color="auto"/>
        <w:right w:val="none" w:sz="0" w:space="0" w:color="auto"/>
      </w:divBdr>
      <w:divsChild>
        <w:div w:id="1749156673">
          <w:marLeft w:val="0"/>
          <w:marRight w:val="0"/>
          <w:marTop w:val="0"/>
          <w:marBottom w:val="0"/>
          <w:divBdr>
            <w:top w:val="none" w:sz="0" w:space="0" w:color="auto"/>
            <w:left w:val="none" w:sz="0" w:space="0" w:color="auto"/>
            <w:bottom w:val="none" w:sz="0" w:space="0" w:color="auto"/>
            <w:right w:val="none" w:sz="0" w:space="0" w:color="auto"/>
          </w:divBdr>
          <w:divsChild>
            <w:div w:id="283777325">
              <w:marLeft w:val="0"/>
              <w:marRight w:val="0"/>
              <w:marTop w:val="0"/>
              <w:marBottom w:val="0"/>
              <w:divBdr>
                <w:top w:val="none" w:sz="0" w:space="0" w:color="auto"/>
                <w:left w:val="none" w:sz="0" w:space="0" w:color="auto"/>
                <w:bottom w:val="none" w:sz="0" w:space="0" w:color="auto"/>
                <w:right w:val="none" w:sz="0" w:space="0" w:color="auto"/>
              </w:divBdr>
              <w:divsChild>
                <w:div w:id="10753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5675">
      <w:bodyDiv w:val="1"/>
      <w:marLeft w:val="0"/>
      <w:marRight w:val="0"/>
      <w:marTop w:val="0"/>
      <w:marBottom w:val="0"/>
      <w:divBdr>
        <w:top w:val="none" w:sz="0" w:space="0" w:color="auto"/>
        <w:left w:val="none" w:sz="0" w:space="0" w:color="auto"/>
        <w:bottom w:val="none" w:sz="0" w:space="0" w:color="auto"/>
        <w:right w:val="none" w:sz="0" w:space="0" w:color="auto"/>
      </w:divBdr>
      <w:divsChild>
        <w:div w:id="513807540">
          <w:marLeft w:val="0"/>
          <w:marRight w:val="0"/>
          <w:marTop w:val="0"/>
          <w:marBottom w:val="0"/>
          <w:divBdr>
            <w:top w:val="none" w:sz="0" w:space="0" w:color="auto"/>
            <w:left w:val="none" w:sz="0" w:space="0" w:color="auto"/>
            <w:bottom w:val="none" w:sz="0" w:space="0" w:color="auto"/>
            <w:right w:val="none" w:sz="0" w:space="0" w:color="auto"/>
          </w:divBdr>
          <w:divsChild>
            <w:div w:id="1563980655">
              <w:marLeft w:val="0"/>
              <w:marRight w:val="0"/>
              <w:marTop w:val="0"/>
              <w:marBottom w:val="0"/>
              <w:divBdr>
                <w:top w:val="none" w:sz="0" w:space="0" w:color="auto"/>
                <w:left w:val="none" w:sz="0" w:space="0" w:color="auto"/>
                <w:bottom w:val="none" w:sz="0" w:space="0" w:color="auto"/>
                <w:right w:val="none" w:sz="0" w:space="0" w:color="auto"/>
              </w:divBdr>
              <w:divsChild>
                <w:div w:id="10305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35242">
      <w:bodyDiv w:val="1"/>
      <w:marLeft w:val="0"/>
      <w:marRight w:val="0"/>
      <w:marTop w:val="0"/>
      <w:marBottom w:val="0"/>
      <w:divBdr>
        <w:top w:val="none" w:sz="0" w:space="0" w:color="auto"/>
        <w:left w:val="none" w:sz="0" w:space="0" w:color="auto"/>
        <w:bottom w:val="none" w:sz="0" w:space="0" w:color="auto"/>
        <w:right w:val="none" w:sz="0" w:space="0" w:color="auto"/>
      </w:divBdr>
      <w:divsChild>
        <w:div w:id="1866359260">
          <w:marLeft w:val="0"/>
          <w:marRight w:val="0"/>
          <w:marTop w:val="0"/>
          <w:marBottom w:val="0"/>
          <w:divBdr>
            <w:top w:val="none" w:sz="0" w:space="0" w:color="auto"/>
            <w:left w:val="none" w:sz="0" w:space="0" w:color="auto"/>
            <w:bottom w:val="none" w:sz="0" w:space="0" w:color="auto"/>
            <w:right w:val="none" w:sz="0" w:space="0" w:color="auto"/>
          </w:divBdr>
          <w:divsChild>
            <w:div w:id="1973829185">
              <w:marLeft w:val="0"/>
              <w:marRight w:val="0"/>
              <w:marTop w:val="0"/>
              <w:marBottom w:val="0"/>
              <w:divBdr>
                <w:top w:val="none" w:sz="0" w:space="0" w:color="auto"/>
                <w:left w:val="none" w:sz="0" w:space="0" w:color="auto"/>
                <w:bottom w:val="none" w:sz="0" w:space="0" w:color="auto"/>
                <w:right w:val="none" w:sz="0" w:space="0" w:color="auto"/>
              </w:divBdr>
              <w:divsChild>
                <w:div w:id="10953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236">
      <w:bodyDiv w:val="1"/>
      <w:marLeft w:val="0"/>
      <w:marRight w:val="0"/>
      <w:marTop w:val="0"/>
      <w:marBottom w:val="0"/>
      <w:divBdr>
        <w:top w:val="none" w:sz="0" w:space="0" w:color="auto"/>
        <w:left w:val="none" w:sz="0" w:space="0" w:color="auto"/>
        <w:bottom w:val="none" w:sz="0" w:space="0" w:color="auto"/>
        <w:right w:val="none" w:sz="0" w:space="0" w:color="auto"/>
      </w:divBdr>
      <w:divsChild>
        <w:div w:id="1844854123">
          <w:marLeft w:val="0"/>
          <w:marRight w:val="0"/>
          <w:marTop w:val="0"/>
          <w:marBottom w:val="0"/>
          <w:divBdr>
            <w:top w:val="none" w:sz="0" w:space="0" w:color="auto"/>
            <w:left w:val="none" w:sz="0" w:space="0" w:color="auto"/>
            <w:bottom w:val="none" w:sz="0" w:space="0" w:color="auto"/>
            <w:right w:val="none" w:sz="0" w:space="0" w:color="auto"/>
          </w:divBdr>
          <w:divsChild>
            <w:div w:id="469909314">
              <w:marLeft w:val="0"/>
              <w:marRight w:val="0"/>
              <w:marTop w:val="0"/>
              <w:marBottom w:val="0"/>
              <w:divBdr>
                <w:top w:val="none" w:sz="0" w:space="0" w:color="auto"/>
                <w:left w:val="none" w:sz="0" w:space="0" w:color="auto"/>
                <w:bottom w:val="none" w:sz="0" w:space="0" w:color="auto"/>
                <w:right w:val="none" w:sz="0" w:space="0" w:color="auto"/>
              </w:divBdr>
              <w:divsChild>
                <w:div w:id="1060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35">
      <w:bodyDiv w:val="1"/>
      <w:marLeft w:val="0"/>
      <w:marRight w:val="0"/>
      <w:marTop w:val="0"/>
      <w:marBottom w:val="0"/>
      <w:divBdr>
        <w:top w:val="none" w:sz="0" w:space="0" w:color="auto"/>
        <w:left w:val="none" w:sz="0" w:space="0" w:color="auto"/>
        <w:bottom w:val="none" w:sz="0" w:space="0" w:color="auto"/>
        <w:right w:val="none" w:sz="0" w:space="0" w:color="auto"/>
      </w:divBdr>
      <w:divsChild>
        <w:div w:id="630986011">
          <w:marLeft w:val="0"/>
          <w:marRight w:val="0"/>
          <w:marTop w:val="0"/>
          <w:marBottom w:val="0"/>
          <w:divBdr>
            <w:top w:val="none" w:sz="0" w:space="0" w:color="auto"/>
            <w:left w:val="none" w:sz="0" w:space="0" w:color="auto"/>
            <w:bottom w:val="none" w:sz="0" w:space="0" w:color="auto"/>
            <w:right w:val="none" w:sz="0" w:space="0" w:color="auto"/>
          </w:divBdr>
          <w:divsChild>
            <w:div w:id="896742381">
              <w:marLeft w:val="0"/>
              <w:marRight w:val="0"/>
              <w:marTop w:val="0"/>
              <w:marBottom w:val="0"/>
              <w:divBdr>
                <w:top w:val="none" w:sz="0" w:space="0" w:color="auto"/>
                <w:left w:val="none" w:sz="0" w:space="0" w:color="auto"/>
                <w:bottom w:val="none" w:sz="0" w:space="0" w:color="auto"/>
                <w:right w:val="none" w:sz="0" w:space="0" w:color="auto"/>
              </w:divBdr>
              <w:divsChild>
                <w:div w:id="12782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0917">
      <w:bodyDiv w:val="1"/>
      <w:marLeft w:val="0"/>
      <w:marRight w:val="0"/>
      <w:marTop w:val="0"/>
      <w:marBottom w:val="0"/>
      <w:divBdr>
        <w:top w:val="none" w:sz="0" w:space="0" w:color="auto"/>
        <w:left w:val="none" w:sz="0" w:space="0" w:color="auto"/>
        <w:bottom w:val="none" w:sz="0" w:space="0" w:color="auto"/>
        <w:right w:val="none" w:sz="0" w:space="0" w:color="auto"/>
      </w:divBdr>
      <w:divsChild>
        <w:div w:id="1794981801">
          <w:marLeft w:val="0"/>
          <w:marRight w:val="0"/>
          <w:marTop w:val="0"/>
          <w:marBottom w:val="0"/>
          <w:divBdr>
            <w:top w:val="none" w:sz="0" w:space="0" w:color="auto"/>
            <w:left w:val="none" w:sz="0" w:space="0" w:color="auto"/>
            <w:bottom w:val="none" w:sz="0" w:space="0" w:color="auto"/>
            <w:right w:val="none" w:sz="0" w:space="0" w:color="auto"/>
          </w:divBdr>
          <w:divsChild>
            <w:div w:id="998383124">
              <w:marLeft w:val="0"/>
              <w:marRight w:val="0"/>
              <w:marTop w:val="0"/>
              <w:marBottom w:val="0"/>
              <w:divBdr>
                <w:top w:val="none" w:sz="0" w:space="0" w:color="auto"/>
                <w:left w:val="none" w:sz="0" w:space="0" w:color="auto"/>
                <w:bottom w:val="none" w:sz="0" w:space="0" w:color="auto"/>
                <w:right w:val="none" w:sz="0" w:space="0" w:color="auto"/>
              </w:divBdr>
              <w:divsChild>
                <w:div w:id="54672156">
                  <w:marLeft w:val="0"/>
                  <w:marRight w:val="0"/>
                  <w:marTop w:val="0"/>
                  <w:marBottom w:val="0"/>
                  <w:divBdr>
                    <w:top w:val="none" w:sz="0" w:space="0" w:color="auto"/>
                    <w:left w:val="none" w:sz="0" w:space="0" w:color="auto"/>
                    <w:bottom w:val="none" w:sz="0" w:space="0" w:color="auto"/>
                    <w:right w:val="none" w:sz="0" w:space="0" w:color="auto"/>
                  </w:divBdr>
                  <w:divsChild>
                    <w:div w:id="14245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01397">
      <w:bodyDiv w:val="1"/>
      <w:marLeft w:val="0"/>
      <w:marRight w:val="0"/>
      <w:marTop w:val="0"/>
      <w:marBottom w:val="0"/>
      <w:divBdr>
        <w:top w:val="none" w:sz="0" w:space="0" w:color="auto"/>
        <w:left w:val="none" w:sz="0" w:space="0" w:color="auto"/>
        <w:bottom w:val="none" w:sz="0" w:space="0" w:color="auto"/>
        <w:right w:val="none" w:sz="0" w:space="0" w:color="auto"/>
      </w:divBdr>
    </w:div>
    <w:div w:id="1310356072">
      <w:bodyDiv w:val="1"/>
      <w:marLeft w:val="0"/>
      <w:marRight w:val="0"/>
      <w:marTop w:val="0"/>
      <w:marBottom w:val="0"/>
      <w:divBdr>
        <w:top w:val="none" w:sz="0" w:space="0" w:color="auto"/>
        <w:left w:val="none" w:sz="0" w:space="0" w:color="auto"/>
        <w:bottom w:val="none" w:sz="0" w:space="0" w:color="auto"/>
        <w:right w:val="none" w:sz="0" w:space="0" w:color="auto"/>
      </w:divBdr>
      <w:divsChild>
        <w:div w:id="2110351232">
          <w:marLeft w:val="0"/>
          <w:marRight w:val="0"/>
          <w:marTop w:val="0"/>
          <w:marBottom w:val="0"/>
          <w:divBdr>
            <w:top w:val="none" w:sz="0" w:space="0" w:color="auto"/>
            <w:left w:val="none" w:sz="0" w:space="0" w:color="auto"/>
            <w:bottom w:val="none" w:sz="0" w:space="0" w:color="auto"/>
            <w:right w:val="none" w:sz="0" w:space="0" w:color="auto"/>
          </w:divBdr>
          <w:divsChild>
            <w:div w:id="304315858">
              <w:marLeft w:val="0"/>
              <w:marRight w:val="0"/>
              <w:marTop w:val="0"/>
              <w:marBottom w:val="0"/>
              <w:divBdr>
                <w:top w:val="none" w:sz="0" w:space="0" w:color="auto"/>
                <w:left w:val="none" w:sz="0" w:space="0" w:color="auto"/>
                <w:bottom w:val="none" w:sz="0" w:space="0" w:color="auto"/>
                <w:right w:val="none" w:sz="0" w:space="0" w:color="auto"/>
              </w:divBdr>
              <w:divsChild>
                <w:div w:id="7110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4336">
      <w:bodyDiv w:val="1"/>
      <w:marLeft w:val="0"/>
      <w:marRight w:val="0"/>
      <w:marTop w:val="0"/>
      <w:marBottom w:val="0"/>
      <w:divBdr>
        <w:top w:val="none" w:sz="0" w:space="0" w:color="auto"/>
        <w:left w:val="none" w:sz="0" w:space="0" w:color="auto"/>
        <w:bottom w:val="none" w:sz="0" w:space="0" w:color="auto"/>
        <w:right w:val="none" w:sz="0" w:space="0" w:color="auto"/>
      </w:divBdr>
      <w:divsChild>
        <w:div w:id="1836649391">
          <w:marLeft w:val="0"/>
          <w:marRight w:val="0"/>
          <w:marTop w:val="0"/>
          <w:marBottom w:val="0"/>
          <w:divBdr>
            <w:top w:val="none" w:sz="0" w:space="0" w:color="auto"/>
            <w:left w:val="none" w:sz="0" w:space="0" w:color="auto"/>
            <w:bottom w:val="none" w:sz="0" w:space="0" w:color="auto"/>
            <w:right w:val="none" w:sz="0" w:space="0" w:color="auto"/>
          </w:divBdr>
          <w:divsChild>
            <w:div w:id="507407253">
              <w:marLeft w:val="0"/>
              <w:marRight w:val="0"/>
              <w:marTop w:val="0"/>
              <w:marBottom w:val="0"/>
              <w:divBdr>
                <w:top w:val="none" w:sz="0" w:space="0" w:color="auto"/>
                <w:left w:val="none" w:sz="0" w:space="0" w:color="auto"/>
                <w:bottom w:val="none" w:sz="0" w:space="0" w:color="auto"/>
                <w:right w:val="none" w:sz="0" w:space="0" w:color="auto"/>
              </w:divBdr>
              <w:divsChild>
                <w:div w:id="19934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7719">
      <w:bodyDiv w:val="1"/>
      <w:marLeft w:val="0"/>
      <w:marRight w:val="0"/>
      <w:marTop w:val="0"/>
      <w:marBottom w:val="0"/>
      <w:divBdr>
        <w:top w:val="none" w:sz="0" w:space="0" w:color="auto"/>
        <w:left w:val="none" w:sz="0" w:space="0" w:color="auto"/>
        <w:bottom w:val="none" w:sz="0" w:space="0" w:color="auto"/>
        <w:right w:val="none" w:sz="0" w:space="0" w:color="auto"/>
      </w:divBdr>
    </w:div>
    <w:div w:id="1350251033">
      <w:bodyDiv w:val="1"/>
      <w:marLeft w:val="0"/>
      <w:marRight w:val="0"/>
      <w:marTop w:val="0"/>
      <w:marBottom w:val="0"/>
      <w:divBdr>
        <w:top w:val="none" w:sz="0" w:space="0" w:color="auto"/>
        <w:left w:val="none" w:sz="0" w:space="0" w:color="auto"/>
        <w:bottom w:val="none" w:sz="0" w:space="0" w:color="auto"/>
        <w:right w:val="none" w:sz="0" w:space="0" w:color="auto"/>
      </w:divBdr>
      <w:divsChild>
        <w:div w:id="1355695825">
          <w:marLeft w:val="0"/>
          <w:marRight w:val="0"/>
          <w:marTop w:val="0"/>
          <w:marBottom w:val="0"/>
          <w:divBdr>
            <w:top w:val="none" w:sz="0" w:space="0" w:color="auto"/>
            <w:left w:val="none" w:sz="0" w:space="0" w:color="auto"/>
            <w:bottom w:val="none" w:sz="0" w:space="0" w:color="auto"/>
            <w:right w:val="none" w:sz="0" w:space="0" w:color="auto"/>
          </w:divBdr>
          <w:divsChild>
            <w:div w:id="1375352267">
              <w:marLeft w:val="0"/>
              <w:marRight w:val="0"/>
              <w:marTop w:val="0"/>
              <w:marBottom w:val="0"/>
              <w:divBdr>
                <w:top w:val="none" w:sz="0" w:space="0" w:color="auto"/>
                <w:left w:val="none" w:sz="0" w:space="0" w:color="auto"/>
                <w:bottom w:val="none" w:sz="0" w:space="0" w:color="auto"/>
                <w:right w:val="none" w:sz="0" w:space="0" w:color="auto"/>
              </w:divBdr>
              <w:divsChild>
                <w:div w:id="7671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2792">
      <w:bodyDiv w:val="1"/>
      <w:marLeft w:val="0"/>
      <w:marRight w:val="0"/>
      <w:marTop w:val="0"/>
      <w:marBottom w:val="0"/>
      <w:divBdr>
        <w:top w:val="none" w:sz="0" w:space="0" w:color="auto"/>
        <w:left w:val="none" w:sz="0" w:space="0" w:color="auto"/>
        <w:bottom w:val="none" w:sz="0" w:space="0" w:color="auto"/>
        <w:right w:val="none" w:sz="0" w:space="0" w:color="auto"/>
      </w:divBdr>
      <w:divsChild>
        <w:div w:id="771172540">
          <w:marLeft w:val="0"/>
          <w:marRight w:val="0"/>
          <w:marTop w:val="0"/>
          <w:marBottom w:val="0"/>
          <w:divBdr>
            <w:top w:val="none" w:sz="0" w:space="0" w:color="auto"/>
            <w:left w:val="none" w:sz="0" w:space="0" w:color="auto"/>
            <w:bottom w:val="none" w:sz="0" w:space="0" w:color="auto"/>
            <w:right w:val="none" w:sz="0" w:space="0" w:color="auto"/>
          </w:divBdr>
          <w:divsChild>
            <w:div w:id="1726030011">
              <w:marLeft w:val="0"/>
              <w:marRight w:val="0"/>
              <w:marTop w:val="0"/>
              <w:marBottom w:val="0"/>
              <w:divBdr>
                <w:top w:val="none" w:sz="0" w:space="0" w:color="auto"/>
                <w:left w:val="none" w:sz="0" w:space="0" w:color="auto"/>
                <w:bottom w:val="none" w:sz="0" w:space="0" w:color="auto"/>
                <w:right w:val="none" w:sz="0" w:space="0" w:color="auto"/>
              </w:divBdr>
              <w:divsChild>
                <w:div w:id="19930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595">
      <w:bodyDiv w:val="1"/>
      <w:marLeft w:val="0"/>
      <w:marRight w:val="0"/>
      <w:marTop w:val="0"/>
      <w:marBottom w:val="0"/>
      <w:divBdr>
        <w:top w:val="none" w:sz="0" w:space="0" w:color="auto"/>
        <w:left w:val="none" w:sz="0" w:space="0" w:color="auto"/>
        <w:bottom w:val="none" w:sz="0" w:space="0" w:color="auto"/>
        <w:right w:val="none" w:sz="0" w:space="0" w:color="auto"/>
      </w:divBdr>
    </w:div>
    <w:div w:id="1354652284">
      <w:bodyDiv w:val="1"/>
      <w:marLeft w:val="0"/>
      <w:marRight w:val="0"/>
      <w:marTop w:val="0"/>
      <w:marBottom w:val="0"/>
      <w:divBdr>
        <w:top w:val="none" w:sz="0" w:space="0" w:color="auto"/>
        <w:left w:val="none" w:sz="0" w:space="0" w:color="auto"/>
        <w:bottom w:val="none" w:sz="0" w:space="0" w:color="auto"/>
        <w:right w:val="none" w:sz="0" w:space="0" w:color="auto"/>
      </w:divBdr>
      <w:divsChild>
        <w:div w:id="1991128480">
          <w:marLeft w:val="0"/>
          <w:marRight w:val="0"/>
          <w:marTop w:val="0"/>
          <w:marBottom w:val="0"/>
          <w:divBdr>
            <w:top w:val="none" w:sz="0" w:space="0" w:color="auto"/>
            <w:left w:val="none" w:sz="0" w:space="0" w:color="auto"/>
            <w:bottom w:val="none" w:sz="0" w:space="0" w:color="auto"/>
            <w:right w:val="none" w:sz="0" w:space="0" w:color="auto"/>
          </w:divBdr>
          <w:divsChild>
            <w:div w:id="1529828524">
              <w:marLeft w:val="0"/>
              <w:marRight w:val="0"/>
              <w:marTop w:val="0"/>
              <w:marBottom w:val="0"/>
              <w:divBdr>
                <w:top w:val="none" w:sz="0" w:space="0" w:color="auto"/>
                <w:left w:val="none" w:sz="0" w:space="0" w:color="auto"/>
                <w:bottom w:val="none" w:sz="0" w:space="0" w:color="auto"/>
                <w:right w:val="none" w:sz="0" w:space="0" w:color="auto"/>
              </w:divBdr>
              <w:divsChild>
                <w:div w:id="8402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4307">
      <w:bodyDiv w:val="1"/>
      <w:marLeft w:val="0"/>
      <w:marRight w:val="0"/>
      <w:marTop w:val="0"/>
      <w:marBottom w:val="0"/>
      <w:divBdr>
        <w:top w:val="none" w:sz="0" w:space="0" w:color="auto"/>
        <w:left w:val="none" w:sz="0" w:space="0" w:color="auto"/>
        <w:bottom w:val="none" w:sz="0" w:space="0" w:color="auto"/>
        <w:right w:val="none" w:sz="0" w:space="0" w:color="auto"/>
      </w:divBdr>
      <w:divsChild>
        <w:div w:id="454564124">
          <w:marLeft w:val="0"/>
          <w:marRight w:val="0"/>
          <w:marTop w:val="0"/>
          <w:marBottom w:val="0"/>
          <w:divBdr>
            <w:top w:val="none" w:sz="0" w:space="0" w:color="auto"/>
            <w:left w:val="none" w:sz="0" w:space="0" w:color="auto"/>
            <w:bottom w:val="none" w:sz="0" w:space="0" w:color="auto"/>
            <w:right w:val="none" w:sz="0" w:space="0" w:color="auto"/>
          </w:divBdr>
          <w:divsChild>
            <w:div w:id="332029642">
              <w:marLeft w:val="0"/>
              <w:marRight w:val="0"/>
              <w:marTop w:val="0"/>
              <w:marBottom w:val="0"/>
              <w:divBdr>
                <w:top w:val="none" w:sz="0" w:space="0" w:color="auto"/>
                <w:left w:val="none" w:sz="0" w:space="0" w:color="auto"/>
                <w:bottom w:val="none" w:sz="0" w:space="0" w:color="auto"/>
                <w:right w:val="none" w:sz="0" w:space="0" w:color="auto"/>
              </w:divBdr>
              <w:divsChild>
                <w:div w:id="19893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7846">
      <w:bodyDiv w:val="1"/>
      <w:marLeft w:val="0"/>
      <w:marRight w:val="0"/>
      <w:marTop w:val="0"/>
      <w:marBottom w:val="0"/>
      <w:divBdr>
        <w:top w:val="none" w:sz="0" w:space="0" w:color="auto"/>
        <w:left w:val="none" w:sz="0" w:space="0" w:color="auto"/>
        <w:bottom w:val="none" w:sz="0" w:space="0" w:color="auto"/>
        <w:right w:val="none" w:sz="0" w:space="0" w:color="auto"/>
      </w:divBdr>
    </w:div>
    <w:div w:id="1404332021">
      <w:bodyDiv w:val="1"/>
      <w:marLeft w:val="0"/>
      <w:marRight w:val="0"/>
      <w:marTop w:val="0"/>
      <w:marBottom w:val="0"/>
      <w:divBdr>
        <w:top w:val="none" w:sz="0" w:space="0" w:color="auto"/>
        <w:left w:val="none" w:sz="0" w:space="0" w:color="auto"/>
        <w:bottom w:val="none" w:sz="0" w:space="0" w:color="auto"/>
        <w:right w:val="none" w:sz="0" w:space="0" w:color="auto"/>
      </w:divBdr>
    </w:div>
    <w:div w:id="1405840231">
      <w:bodyDiv w:val="1"/>
      <w:marLeft w:val="0"/>
      <w:marRight w:val="0"/>
      <w:marTop w:val="0"/>
      <w:marBottom w:val="0"/>
      <w:divBdr>
        <w:top w:val="none" w:sz="0" w:space="0" w:color="auto"/>
        <w:left w:val="none" w:sz="0" w:space="0" w:color="auto"/>
        <w:bottom w:val="none" w:sz="0" w:space="0" w:color="auto"/>
        <w:right w:val="none" w:sz="0" w:space="0" w:color="auto"/>
      </w:divBdr>
    </w:div>
    <w:div w:id="1413310061">
      <w:bodyDiv w:val="1"/>
      <w:marLeft w:val="0"/>
      <w:marRight w:val="0"/>
      <w:marTop w:val="0"/>
      <w:marBottom w:val="0"/>
      <w:divBdr>
        <w:top w:val="none" w:sz="0" w:space="0" w:color="auto"/>
        <w:left w:val="none" w:sz="0" w:space="0" w:color="auto"/>
        <w:bottom w:val="none" w:sz="0" w:space="0" w:color="auto"/>
        <w:right w:val="none" w:sz="0" w:space="0" w:color="auto"/>
      </w:divBdr>
      <w:divsChild>
        <w:div w:id="2076201475">
          <w:marLeft w:val="0"/>
          <w:marRight w:val="0"/>
          <w:marTop w:val="0"/>
          <w:marBottom w:val="0"/>
          <w:divBdr>
            <w:top w:val="none" w:sz="0" w:space="0" w:color="auto"/>
            <w:left w:val="none" w:sz="0" w:space="0" w:color="auto"/>
            <w:bottom w:val="none" w:sz="0" w:space="0" w:color="auto"/>
            <w:right w:val="none" w:sz="0" w:space="0" w:color="auto"/>
          </w:divBdr>
          <w:divsChild>
            <w:div w:id="565529942">
              <w:marLeft w:val="0"/>
              <w:marRight w:val="0"/>
              <w:marTop w:val="0"/>
              <w:marBottom w:val="0"/>
              <w:divBdr>
                <w:top w:val="none" w:sz="0" w:space="0" w:color="auto"/>
                <w:left w:val="none" w:sz="0" w:space="0" w:color="auto"/>
                <w:bottom w:val="none" w:sz="0" w:space="0" w:color="auto"/>
                <w:right w:val="none" w:sz="0" w:space="0" w:color="auto"/>
              </w:divBdr>
              <w:divsChild>
                <w:div w:id="12547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9926">
      <w:bodyDiv w:val="1"/>
      <w:marLeft w:val="0"/>
      <w:marRight w:val="0"/>
      <w:marTop w:val="0"/>
      <w:marBottom w:val="0"/>
      <w:divBdr>
        <w:top w:val="none" w:sz="0" w:space="0" w:color="auto"/>
        <w:left w:val="none" w:sz="0" w:space="0" w:color="auto"/>
        <w:bottom w:val="none" w:sz="0" w:space="0" w:color="auto"/>
        <w:right w:val="none" w:sz="0" w:space="0" w:color="auto"/>
      </w:divBdr>
      <w:divsChild>
        <w:div w:id="2042507596">
          <w:marLeft w:val="0"/>
          <w:marRight w:val="0"/>
          <w:marTop w:val="0"/>
          <w:marBottom w:val="0"/>
          <w:divBdr>
            <w:top w:val="none" w:sz="0" w:space="0" w:color="auto"/>
            <w:left w:val="none" w:sz="0" w:space="0" w:color="auto"/>
            <w:bottom w:val="none" w:sz="0" w:space="0" w:color="auto"/>
            <w:right w:val="none" w:sz="0" w:space="0" w:color="auto"/>
          </w:divBdr>
          <w:divsChild>
            <w:div w:id="95562144">
              <w:marLeft w:val="0"/>
              <w:marRight w:val="0"/>
              <w:marTop w:val="0"/>
              <w:marBottom w:val="0"/>
              <w:divBdr>
                <w:top w:val="none" w:sz="0" w:space="0" w:color="auto"/>
                <w:left w:val="none" w:sz="0" w:space="0" w:color="auto"/>
                <w:bottom w:val="none" w:sz="0" w:space="0" w:color="auto"/>
                <w:right w:val="none" w:sz="0" w:space="0" w:color="auto"/>
              </w:divBdr>
              <w:divsChild>
                <w:div w:id="15703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6391">
      <w:bodyDiv w:val="1"/>
      <w:marLeft w:val="0"/>
      <w:marRight w:val="0"/>
      <w:marTop w:val="0"/>
      <w:marBottom w:val="0"/>
      <w:divBdr>
        <w:top w:val="none" w:sz="0" w:space="0" w:color="auto"/>
        <w:left w:val="none" w:sz="0" w:space="0" w:color="auto"/>
        <w:bottom w:val="none" w:sz="0" w:space="0" w:color="auto"/>
        <w:right w:val="none" w:sz="0" w:space="0" w:color="auto"/>
      </w:divBdr>
      <w:divsChild>
        <w:div w:id="2102406943">
          <w:marLeft w:val="0"/>
          <w:marRight w:val="0"/>
          <w:marTop w:val="0"/>
          <w:marBottom w:val="0"/>
          <w:divBdr>
            <w:top w:val="none" w:sz="0" w:space="0" w:color="auto"/>
            <w:left w:val="none" w:sz="0" w:space="0" w:color="auto"/>
            <w:bottom w:val="none" w:sz="0" w:space="0" w:color="auto"/>
            <w:right w:val="none" w:sz="0" w:space="0" w:color="auto"/>
          </w:divBdr>
          <w:divsChild>
            <w:div w:id="903218763">
              <w:marLeft w:val="0"/>
              <w:marRight w:val="0"/>
              <w:marTop w:val="0"/>
              <w:marBottom w:val="0"/>
              <w:divBdr>
                <w:top w:val="none" w:sz="0" w:space="0" w:color="auto"/>
                <w:left w:val="none" w:sz="0" w:space="0" w:color="auto"/>
                <w:bottom w:val="none" w:sz="0" w:space="0" w:color="auto"/>
                <w:right w:val="none" w:sz="0" w:space="0" w:color="auto"/>
              </w:divBdr>
              <w:divsChild>
                <w:div w:id="111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7469">
      <w:bodyDiv w:val="1"/>
      <w:marLeft w:val="0"/>
      <w:marRight w:val="0"/>
      <w:marTop w:val="0"/>
      <w:marBottom w:val="0"/>
      <w:divBdr>
        <w:top w:val="none" w:sz="0" w:space="0" w:color="auto"/>
        <w:left w:val="none" w:sz="0" w:space="0" w:color="auto"/>
        <w:bottom w:val="none" w:sz="0" w:space="0" w:color="auto"/>
        <w:right w:val="none" w:sz="0" w:space="0" w:color="auto"/>
      </w:divBdr>
    </w:div>
    <w:div w:id="1458601867">
      <w:bodyDiv w:val="1"/>
      <w:marLeft w:val="0"/>
      <w:marRight w:val="0"/>
      <w:marTop w:val="0"/>
      <w:marBottom w:val="0"/>
      <w:divBdr>
        <w:top w:val="none" w:sz="0" w:space="0" w:color="auto"/>
        <w:left w:val="none" w:sz="0" w:space="0" w:color="auto"/>
        <w:bottom w:val="none" w:sz="0" w:space="0" w:color="auto"/>
        <w:right w:val="none" w:sz="0" w:space="0" w:color="auto"/>
      </w:divBdr>
      <w:divsChild>
        <w:div w:id="491142974">
          <w:marLeft w:val="0"/>
          <w:marRight w:val="0"/>
          <w:marTop w:val="0"/>
          <w:marBottom w:val="0"/>
          <w:divBdr>
            <w:top w:val="none" w:sz="0" w:space="0" w:color="auto"/>
            <w:left w:val="none" w:sz="0" w:space="0" w:color="auto"/>
            <w:bottom w:val="none" w:sz="0" w:space="0" w:color="auto"/>
            <w:right w:val="none" w:sz="0" w:space="0" w:color="auto"/>
          </w:divBdr>
          <w:divsChild>
            <w:div w:id="2023822825">
              <w:marLeft w:val="0"/>
              <w:marRight w:val="0"/>
              <w:marTop w:val="0"/>
              <w:marBottom w:val="0"/>
              <w:divBdr>
                <w:top w:val="none" w:sz="0" w:space="0" w:color="auto"/>
                <w:left w:val="none" w:sz="0" w:space="0" w:color="auto"/>
                <w:bottom w:val="none" w:sz="0" w:space="0" w:color="auto"/>
                <w:right w:val="none" w:sz="0" w:space="0" w:color="auto"/>
              </w:divBdr>
              <w:divsChild>
                <w:div w:id="19441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25857">
      <w:bodyDiv w:val="1"/>
      <w:marLeft w:val="0"/>
      <w:marRight w:val="0"/>
      <w:marTop w:val="0"/>
      <w:marBottom w:val="0"/>
      <w:divBdr>
        <w:top w:val="none" w:sz="0" w:space="0" w:color="auto"/>
        <w:left w:val="none" w:sz="0" w:space="0" w:color="auto"/>
        <w:bottom w:val="none" w:sz="0" w:space="0" w:color="auto"/>
        <w:right w:val="none" w:sz="0" w:space="0" w:color="auto"/>
      </w:divBdr>
      <w:divsChild>
        <w:div w:id="899484765">
          <w:marLeft w:val="0"/>
          <w:marRight w:val="0"/>
          <w:marTop w:val="0"/>
          <w:marBottom w:val="0"/>
          <w:divBdr>
            <w:top w:val="none" w:sz="0" w:space="0" w:color="auto"/>
            <w:left w:val="none" w:sz="0" w:space="0" w:color="auto"/>
            <w:bottom w:val="none" w:sz="0" w:space="0" w:color="auto"/>
            <w:right w:val="none" w:sz="0" w:space="0" w:color="auto"/>
          </w:divBdr>
          <w:divsChild>
            <w:div w:id="1250457179">
              <w:marLeft w:val="0"/>
              <w:marRight w:val="0"/>
              <w:marTop w:val="0"/>
              <w:marBottom w:val="0"/>
              <w:divBdr>
                <w:top w:val="none" w:sz="0" w:space="0" w:color="auto"/>
                <w:left w:val="none" w:sz="0" w:space="0" w:color="auto"/>
                <w:bottom w:val="none" w:sz="0" w:space="0" w:color="auto"/>
                <w:right w:val="none" w:sz="0" w:space="0" w:color="auto"/>
              </w:divBdr>
              <w:divsChild>
                <w:div w:id="3845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074">
      <w:bodyDiv w:val="1"/>
      <w:marLeft w:val="0"/>
      <w:marRight w:val="0"/>
      <w:marTop w:val="0"/>
      <w:marBottom w:val="0"/>
      <w:divBdr>
        <w:top w:val="none" w:sz="0" w:space="0" w:color="auto"/>
        <w:left w:val="none" w:sz="0" w:space="0" w:color="auto"/>
        <w:bottom w:val="none" w:sz="0" w:space="0" w:color="auto"/>
        <w:right w:val="none" w:sz="0" w:space="0" w:color="auto"/>
      </w:divBdr>
    </w:div>
    <w:div w:id="1477407030">
      <w:bodyDiv w:val="1"/>
      <w:marLeft w:val="0"/>
      <w:marRight w:val="0"/>
      <w:marTop w:val="0"/>
      <w:marBottom w:val="0"/>
      <w:divBdr>
        <w:top w:val="none" w:sz="0" w:space="0" w:color="auto"/>
        <w:left w:val="none" w:sz="0" w:space="0" w:color="auto"/>
        <w:bottom w:val="none" w:sz="0" w:space="0" w:color="auto"/>
        <w:right w:val="none" w:sz="0" w:space="0" w:color="auto"/>
      </w:divBdr>
    </w:div>
    <w:div w:id="1481077892">
      <w:bodyDiv w:val="1"/>
      <w:marLeft w:val="0"/>
      <w:marRight w:val="0"/>
      <w:marTop w:val="0"/>
      <w:marBottom w:val="0"/>
      <w:divBdr>
        <w:top w:val="none" w:sz="0" w:space="0" w:color="auto"/>
        <w:left w:val="none" w:sz="0" w:space="0" w:color="auto"/>
        <w:bottom w:val="none" w:sz="0" w:space="0" w:color="auto"/>
        <w:right w:val="none" w:sz="0" w:space="0" w:color="auto"/>
      </w:divBdr>
      <w:divsChild>
        <w:div w:id="274218207">
          <w:marLeft w:val="0"/>
          <w:marRight w:val="0"/>
          <w:marTop w:val="0"/>
          <w:marBottom w:val="0"/>
          <w:divBdr>
            <w:top w:val="none" w:sz="0" w:space="0" w:color="auto"/>
            <w:left w:val="none" w:sz="0" w:space="0" w:color="auto"/>
            <w:bottom w:val="none" w:sz="0" w:space="0" w:color="auto"/>
            <w:right w:val="none" w:sz="0" w:space="0" w:color="auto"/>
          </w:divBdr>
          <w:divsChild>
            <w:div w:id="882182418">
              <w:marLeft w:val="0"/>
              <w:marRight w:val="0"/>
              <w:marTop w:val="0"/>
              <w:marBottom w:val="0"/>
              <w:divBdr>
                <w:top w:val="none" w:sz="0" w:space="0" w:color="auto"/>
                <w:left w:val="none" w:sz="0" w:space="0" w:color="auto"/>
                <w:bottom w:val="none" w:sz="0" w:space="0" w:color="auto"/>
                <w:right w:val="none" w:sz="0" w:space="0" w:color="auto"/>
              </w:divBdr>
              <w:divsChild>
                <w:div w:id="6480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0490">
      <w:bodyDiv w:val="1"/>
      <w:marLeft w:val="0"/>
      <w:marRight w:val="0"/>
      <w:marTop w:val="0"/>
      <w:marBottom w:val="0"/>
      <w:divBdr>
        <w:top w:val="none" w:sz="0" w:space="0" w:color="auto"/>
        <w:left w:val="none" w:sz="0" w:space="0" w:color="auto"/>
        <w:bottom w:val="none" w:sz="0" w:space="0" w:color="auto"/>
        <w:right w:val="none" w:sz="0" w:space="0" w:color="auto"/>
      </w:divBdr>
      <w:divsChild>
        <w:div w:id="708182452">
          <w:marLeft w:val="0"/>
          <w:marRight w:val="0"/>
          <w:marTop w:val="0"/>
          <w:marBottom w:val="0"/>
          <w:divBdr>
            <w:top w:val="none" w:sz="0" w:space="0" w:color="auto"/>
            <w:left w:val="none" w:sz="0" w:space="0" w:color="auto"/>
            <w:bottom w:val="none" w:sz="0" w:space="0" w:color="auto"/>
            <w:right w:val="none" w:sz="0" w:space="0" w:color="auto"/>
          </w:divBdr>
          <w:divsChild>
            <w:div w:id="2055427970">
              <w:marLeft w:val="0"/>
              <w:marRight w:val="0"/>
              <w:marTop w:val="0"/>
              <w:marBottom w:val="0"/>
              <w:divBdr>
                <w:top w:val="none" w:sz="0" w:space="0" w:color="auto"/>
                <w:left w:val="none" w:sz="0" w:space="0" w:color="auto"/>
                <w:bottom w:val="none" w:sz="0" w:space="0" w:color="auto"/>
                <w:right w:val="none" w:sz="0" w:space="0" w:color="auto"/>
              </w:divBdr>
              <w:divsChild>
                <w:div w:id="19908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4395">
      <w:bodyDiv w:val="1"/>
      <w:marLeft w:val="0"/>
      <w:marRight w:val="0"/>
      <w:marTop w:val="0"/>
      <w:marBottom w:val="0"/>
      <w:divBdr>
        <w:top w:val="none" w:sz="0" w:space="0" w:color="auto"/>
        <w:left w:val="none" w:sz="0" w:space="0" w:color="auto"/>
        <w:bottom w:val="none" w:sz="0" w:space="0" w:color="auto"/>
        <w:right w:val="none" w:sz="0" w:space="0" w:color="auto"/>
      </w:divBdr>
      <w:divsChild>
        <w:div w:id="1538539997">
          <w:marLeft w:val="0"/>
          <w:marRight w:val="0"/>
          <w:marTop w:val="0"/>
          <w:marBottom w:val="0"/>
          <w:divBdr>
            <w:top w:val="none" w:sz="0" w:space="0" w:color="auto"/>
            <w:left w:val="none" w:sz="0" w:space="0" w:color="auto"/>
            <w:bottom w:val="none" w:sz="0" w:space="0" w:color="auto"/>
            <w:right w:val="none" w:sz="0" w:space="0" w:color="auto"/>
          </w:divBdr>
          <w:divsChild>
            <w:div w:id="721248765">
              <w:marLeft w:val="0"/>
              <w:marRight w:val="0"/>
              <w:marTop w:val="0"/>
              <w:marBottom w:val="0"/>
              <w:divBdr>
                <w:top w:val="none" w:sz="0" w:space="0" w:color="auto"/>
                <w:left w:val="none" w:sz="0" w:space="0" w:color="auto"/>
                <w:bottom w:val="none" w:sz="0" w:space="0" w:color="auto"/>
                <w:right w:val="none" w:sz="0" w:space="0" w:color="auto"/>
              </w:divBdr>
              <w:divsChild>
                <w:div w:id="2968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7760">
      <w:bodyDiv w:val="1"/>
      <w:marLeft w:val="0"/>
      <w:marRight w:val="0"/>
      <w:marTop w:val="0"/>
      <w:marBottom w:val="0"/>
      <w:divBdr>
        <w:top w:val="none" w:sz="0" w:space="0" w:color="auto"/>
        <w:left w:val="none" w:sz="0" w:space="0" w:color="auto"/>
        <w:bottom w:val="none" w:sz="0" w:space="0" w:color="auto"/>
        <w:right w:val="none" w:sz="0" w:space="0" w:color="auto"/>
      </w:divBdr>
      <w:divsChild>
        <w:div w:id="115492474">
          <w:marLeft w:val="0"/>
          <w:marRight w:val="0"/>
          <w:marTop w:val="0"/>
          <w:marBottom w:val="0"/>
          <w:divBdr>
            <w:top w:val="none" w:sz="0" w:space="0" w:color="auto"/>
            <w:left w:val="none" w:sz="0" w:space="0" w:color="auto"/>
            <w:bottom w:val="none" w:sz="0" w:space="0" w:color="auto"/>
            <w:right w:val="none" w:sz="0" w:space="0" w:color="auto"/>
          </w:divBdr>
          <w:divsChild>
            <w:div w:id="207182424">
              <w:marLeft w:val="0"/>
              <w:marRight w:val="0"/>
              <w:marTop w:val="0"/>
              <w:marBottom w:val="0"/>
              <w:divBdr>
                <w:top w:val="none" w:sz="0" w:space="0" w:color="auto"/>
                <w:left w:val="none" w:sz="0" w:space="0" w:color="auto"/>
                <w:bottom w:val="none" w:sz="0" w:space="0" w:color="auto"/>
                <w:right w:val="none" w:sz="0" w:space="0" w:color="auto"/>
              </w:divBdr>
              <w:divsChild>
                <w:div w:id="36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0605">
      <w:bodyDiv w:val="1"/>
      <w:marLeft w:val="0"/>
      <w:marRight w:val="0"/>
      <w:marTop w:val="0"/>
      <w:marBottom w:val="0"/>
      <w:divBdr>
        <w:top w:val="none" w:sz="0" w:space="0" w:color="auto"/>
        <w:left w:val="none" w:sz="0" w:space="0" w:color="auto"/>
        <w:bottom w:val="none" w:sz="0" w:space="0" w:color="auto"/>
        <w:right w:val="none" w:sz="0" w:space="0" w:color="auto"/>
      </w:divBdr>
    </w:div>
    <w:div w:id="1497646662">
      <w:bodyDiv w:val="1"/>
      <w:marLeft w:val="0"/>
      <w:marRight w:val="0"/>
      <w:marTop w:val="0"/>
      <w:marBottom w:val="0"/>
      <w:divBdr>
        <w:top w:val="none" w:sz="0" w:space="0" w:color="auto"/>
        <w:left w:val="none" w:sz="0" w:space="0" w:color="auto"/>
        <w:bottom w:val="none" w:sz="0" w:space="0" w:color="auto"/>
        <w:right w:val="none" w:sz="0" w:space="0" w:color="auto"/>
      </w:divBdr>
      <w:divsChild>
        <w:div w:id="777019938">
          <w:marLeft w:val="0"/>
          <w:marRight w:val="0"/>
          <w:marTop w:val="0"/>
          <w:marBottom w:val="0"/>
          <w:divBdr>
            <w:top w:val="none" w:sz="0" w:space="0" w:color="auto"/>
            <w:left w:val="none" w:sz="0" w:space="0" w:color="auto"/>
            <w:bottom w:val="none" w:sz="0" w:space="0" w:color="auto"/>
            <w:right w:val="none" w:sz="0" w:space="0" w:color="auto"/>
          </w:divBdr>
          <w:divsChild>
            <w:div w:id="372774955">
              <w:marLeft w:val="0"/>
              <w:marRight w:val="0"/>
              <w:marTop w:val="0"/>
              <w:marBottom w:val="0"/>
              <w:divBdr>
                <w:top w:val="none" w:sz="0" w:space="0" w:color="auto"/>
                <w:left w:val="none" w:sz="0" w:space="0" w:color="auto"/>
                <w:bottom w:val="none" w:sz="0" w:space="0" w:color="auto"/>
                <w:right w:val="none" w:sz="0" w:space="0" w:color="auto"/>
              </w:divBdr>
              <w:divsChild>
                <w:div w:id="10930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4229">
      <w:bodyDiv w:val="1"/>
      <w:marLeft w:val="0"/>
      <w:marRight w:val="0"/>
      <w:marTop w:val="0"/>
      <w:marBottom w:val="0"/>
      <w:divBdr>
        <w:top w:val="none" w:sz="0" w:space="0" w:color="auto"/>
        <w:left w:val="none" w:sz="0" w:space="0" w:color="auto"/>
        <w:bottom w:val="none" w:sz="0" w:space="0" w:color="auto"/>
        <w:right w:val="none" w:sz="0" w:space="0" w:color="auto"/>
      </w:divBdr>
    </w:div>
    <w:div w:id="1514108507">
      <w:bodyDiv w:val="1"/>
      <w:marLeft w:val="0"/>
      <w:marRight w:val="0"/>
      <w:marTop w:val="0"/>
      <w:marBottom w:val="0"/>
      <w:divBdr>
        <w:top w:val="none" w:sz="0" w:space="0" w:color="auto"/>
        <w:left w:val="none" w:sz="0" w:space="0" w:color="auto"/>
        <w:bottom w:val="none" w:sz="0" w:space="0" w:color="auto"/>
        <w:right w:val="none" w:sz="0" w:space="0" w:color="auto"/>
      </w:divBdr>
      <w:divsChild>
        <w:div w:id="266081681">
          <w:marLeft w:val="0"/>
          <w:marRight w:val="0"/>
          <w:marTop w:val="0"/>
          <w:marBottom w:val="0"/>
          <w:divBdr>
            <w:top w:val="none" w:sz="0" w:space="0" w:color="auto"/>
            <w:left w:val="none" w:sz="0" w:space="0" w:color="auto"/>
            <w:bottom w:val="none" w:sz="0" w:space="0" w:color="auto"/>
            <w:right w:val="none" w:sz="0" w:space="0" w:color="auto"/>
          </w:divBdr>
          <w:divsChild>
            <w:div w:id="823202351">
              <w:marLeft w:val="0"/>
              <w:marRight w:val="0"/>
              <w:marTop w:val="0"/>
              <w:marBottom w:val="0"/>
              <w:divBdr>
                <w:top w:val="none" w:sz="0" w:space="0" w:color="auto"/>
                <w:left w:val="none" w:sz="0" w:space="0" w:color="auto"/>
                <w:bottom w:val="none" w:sz="0" w:space="0" w:color="auto"/>
                <w:right w:val="none" w:sz="0" w:space="0" w:color="auto"/>
              </w:divBdr>
              <w:divsChild>
                <w:div w:id="17248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7765">
      <w:bodyDiv w:val="1"/>
      <w:marLeft w:val="0"/>
      <w:marRight w:val="0"/>
      <w:marTop w:val="0"/>
      <w:marBottom w:val="0"/>
      <w:divBdr>
        <w:top w:val="none" w:sz="0" w:space="0" w:color="auto"/>
        <w:left w:val="none" w:sz="0" w:space="0" w:color="auto"/>
        <w:bottom w:val="none" w:sz="0" w:space="0" w:color="auto"/>
        <w:right w:val="none" w:sz="0" w:space="0" w:color="auto"/>
      </w:divBdr>
      <w:divsChild>
        <w:div w:id="462499352">
          <w:marLeft w:val="0"/>
          <w:marRight w:val="0"/>
          <w:marTop w:val="0"/>
          <w:marBottom w:val="0"/>
          <w:divBdr>
            <w:top w:val="none" w:sz="0" w:space="0" w:color="auto"/>
            <w:left w:val="none" w:sz="0" w:space="0" w:color="auto"/>
            <w:bottom w:val="none" w:sz="0" w:space="0" w:color="auto"/>
            <w:right w:val="none" w:sz="0" w:space="0" w:color="auto"/>
          </w:divBdr>
          <w:divsChild>
            <w:div w:id="1149439915">
              <w:marLeft w:val="0"/>
              <w:marRight w:val="0"/>
              <w:marTop w:val="0"/>
              <w:marBottom w:val="0"/>
              <w:divBdr>
                <w:top w:val="none" w:sz="0" w:space="0" w:color="auto"/>
                <w:left w:val="none" w:sz="0" w:space="0" w:color="auto"/>
                <w:bottom w:val="none" w:sz="0" w:space="0" w:color="auto"/>
                <w:right w:val="none" w:sz="0" w:space="0" w:color="auto"/>
              </w:divBdr>
              <w:divsChild>
                <w:div w:id="262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6600">
      <w:bodyDiv w:val="1"/>
      <w:marLeft w:val="0"/>
      <w:marRight w:val="0"/>
      <w:marTop w:val="0"/>
      <w:marBottom w:val="0"/>
      <w:divBdr>
        <w:top w:val="none" w:sz="0" w:space="0" w:color="auto"/>
        <w:left w:val="none" w:sz="0" w:space="0" w:color="auto"/>
        <w:bottom w:val="none" w:sz="0" w:space="0" w:color="auto"/>
        <w:right w:val="none" w:sz="0" w:space="0" w:color="auto"/>
      </w:divBdr>
      <w:divsChild>
        <w:div w:id="506528537">
          <w:marLeft w:val="0"/>
          <w:marRight w:val="0"/>
          <w:marTop w:val="0"/>
          <w:marBottom w:val="0"/>
          <w:divBdr>
            <w:top w:val="none" w:sz="0" w:space="0" w:color="auto"/>
            <w:left w:val="none" w:sz="0" w:space="0" w:color="auto"/>
            <w:bottom w:val="none" w:sz="0" w:space="0" w:color="auto"/>
            <w:right w:val="none" w:sz="0" w:space="0" w:color="auto"/>
          </w:divBdr>
          <w:divsChild>
            <w:div w:id="1071806493">
              <w:marLeft w:val="0"/>
              <w:marRight w:val="0"/>
              <w:marTop w:val="0"/>
              <w:marBottom w:val="0"/>
              <w:divBdr>
                <w:top w:val="none" w:sz="0" w:space="0" w:color="auto"/>
                <w:left w:val="none" w:sz="0" w:space="0" w:color="auto"/>
                <w:bottom w:val="none" w:sz="0" w:space="0" w:color="auto"/>
                <w:right w:val="none" w:sz="0" w:space="0" w:color="auto"/>
              </w:divBdr>
              <w:divsChild>
                <w:div w:id="525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1850">
      <w:bodyDiv w:val="1"/>
      <w:marLeft w:val="0"/>
      <w:marRight w:val="0"/>
      <w:marTop w:val="0"/>
      <w:marBottom w:val="0"/>
      <w:divBdr>
        <w:top w:val="none" w:sz="0" w:space="0" w:color="auto"/>
        <w:left w:val="none" w:sz="0" w:space="0" w:color="auto"/>
        <w:bottom w:val="none" w:sz="0" w:space="0" w:color="auto"/>
        <w:right w:val="none" w:sz="0" w:space="0" w:color="auto"/>
      </w:divBdr>
    </w:div>
    <w:div w:id="1548570091">
      <w:bodyDiv w:val="1"/>
      <w:marLeft w:val="0"/>
      <w:marRight w:val="0"/>
      <w:marTop w:val="0"/>
      <w:marBottom w:val="0"/>
      <w:divBdr>
        <w:top w:val="none" w:sz="0" w:space="0" w:color="auto"/>
        <w:left w:val="none" w:sz="0" w:space="0" w:color="auto"/>
        <w:bottom w:val="none" w:sz="0" w:space="0" w:color="auto"/>
        <w:right w:val="none" w:sz="0" w:space="0" w:color="auto"/>
      </w:divBdr>
    </w:div>
    <w:div w:id="1549223946">
      <w:bodyDiv w:val="1"/>
      <w:marLeft w:val="0"/>
      <w:marRight w:val="0"/>
      <w:marTop w:val="0"/>
      <w:marBottom w:val="0"/>
      <w:divBdr>
        <w:top w:val="none" w:sz="0" w:space="0" w:color="auto"/>
        <w:left w:val="none" w:sz="0" w:space="0" w:color="auto"/>
        <w:bottom w:val="none" w:sz="0" w:space="0" w:color="auto"/>
        <w:right w:val="none" w:sz="0" w:space="0" w:color="auto"/>
      </w:divBdr>
    </w:div>
    <w:div w:id="1556962223">
      <w:bodyDiv w:val="1"/>
      <w:marLeft w:val="0"/>
      <w:marRight w:val="0"/>
      <w:marTop w:val="0"/>
      <w:marBottom w:val="0"/>
      <w:divBdr>
        <w:top w:val="none" w:sz="0" w:space="0" w:color="auto"/>
        <w:left w:val="none" w:sz="0" w:space="0" w:color="auto"/>
        <w:bottom w:val="none" w:sz="0" w:space="0" w:color="auto"/>
        <w:right w:val="none" w:sz="0" w:space="0" w:color="auto"/>
      </w:divBdr>
    </w:div>
    <w:div w:id="15681036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628">
          <w:marLeft w:val="0"/>
          <w:marRight w:val="0"/>
          <w:marTop w:val="0"/>
          <w:marBottom w:val="0"/>
          <w:divBdr>
            <w:top w:val="none" w:sz="0" w:space="0" w:color="auto"/>
            <w:left w:val="none" w:sz="0" w:space="0" w:color="auto"/>
            <w:bottom w:val="none" w:sz="0" w:space="0" w:color="auto"/>
            <w:right w:val="none" w:sz="0" w:space="0" w:color="auto"/>
          </w:divBdr>
          <w:divsChild>
            <w:div w:id="50615104">
              <w:marLeft w:val="0"/>
              <w:marRight w:val="0"/>
              <w:marTop w:val="0"/>
              <w:marBottom w:val="0"/>
              <w:divBdr>
                <w:top w:val="none" w:sz="0" w:space="0" w:color="auto"/>
                <w:left w:val="none" w:sz="0" w:space="0" w:color="auto"/>
                <w:bottom w:val="none" w:sz="0" w:space="0" w:color="auto"/>
                <w:right w:val="none" w:sz="0" w:space="0" w:color="auto"/>
              </w:divBdr>
              <w:divsChild>
                <w:div w:id="18386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7249">
      <w:bodyDiv w:val="1"/>
      <w:marLeft w:val="0"/>
      <w:marRight w:val="0"/>
      <w:marTop w:val="0"/>
      <w:marBottom w:val="0"/>
      <w:divBdr>
        <w:top w:val="none" w:sz="0" w:space="0" w:color="auto"/>
        <w:left w:val="none" w:sz="0" w:space="0" w:color="auto"/>
        <w:bottom w:val="none" w:sz="0" w:space="0" w:color="auto"/>
        <w:right w:val="none" w:sz="0" w:space="0" w:color="auto"/>
      </w:divBdr>
      <w:divsChild>
        <w:div w:id="829752970">
          <w:marLeft w:val="0"/>
          <w:marRight w:val="0"/>
          <w:marTop w:val="0"/>
          <w:marBottom w:val="0"/>
          <w:divBdr>
            <w:top w:val="none" w:sz="0" w:space="0" w:color="auto"/>
            <w:left w:val="none" w:sz="0" w:space="0" w:color="auto"/>
            <w:bottom w:val="none" w:sz="0" w:space="0" w:color="auto"/>
            <w:right w:val="none" w:sz="0" w:space="0" w:color="auto"/>
          </w:divBdr>
          <w:divsChild>
            <w:div w:id="282032264">
              <w:marLeft w:val="0"/>
              <w:marRight w:val="0"/>
              <w:marTop w:val="0"/>
              <w:marBottom w:val="0"/>
              <w:divBdr>
                <w:top w:val="none" w:sz="0" w:space="0" w:color="auto"/>
                <w:left w:val="none" w:sz="0" w:space="0" w:color="auto"/>
                <w:bottom w:val="none" w:sz="0" w:space="0" w:color="auto"/>
                <w:right w:val="none" w:sz="0" w:space="0" w:color="auto"/>
              </w:divBdr>
              <w:divsChild>
                <w:div w:id="12696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4984">
      <w:bodyDiv w:val="1"/>
      <w:marLeft w:val="0"/>
      <w:marRight w:val="0"/>
      <w:marTop w:val="0"/>
      <w:marBottom w:val="0"/>
      <w:divBdr>
        <w:top w:val="none" w:sz="0" w:space="0" w:color="auto"/>
        <w:left w:val="none" w:sz="0" w:space="0" w:color="auto"/>
        <w:bottom w:val="none" w:sz="0" w:space="0" w:color="auto"/>
        <w:right w:val="none" w:sz="0" w:space="0" w:color="auto"/>
      </w:divBdr>
      <w:divsChild>
        <w:div w:id="1061639303">
          <w:marLeft w:val="0"/>
          <w:marRight w:val="0"/>
          <w:marTop w:val="0"/>
          <w:marBottom w:val="0"/>
          <w:divBdr>
            <w:top w:val="none" w:sz="0" w:space="0" w:color="auto"/>
            <w:left w:val="none" w:sz="0" w:space="0" w:color="auto"/>
            <w:bottom w:val="none" w:sz="0" w:space="0" w:color="auto"/>
            <w:right w:val="none" w:sz="0" w:space="0" w:color="auto"/>
          </w:divBdr>
          <w:divsChild>
            <w:div w:id="1371346590">
              <w:marLeft w:val="0"/>
              <w:marRight w:val="0"/>
              <w:marTop w:val="0"/>
              <w:marBottom w:val="0"/>
              <w:divBdr>
                <w:top w:val="none" w:sz="0" w:space="0" w:color="auto"/>
                <w:left w:val="none" w:sz="0" w:space="0" w:color="auto"/>
                <w:bottom w:val="none" w:sz="0" w:space="0" w:color="auto"/>
                <w:right w:val="none" w:sz="0" w:space="0" w:color="auto"/>
              </w:divBdr>
              <w:divsChild>
                <w:div w:id="12572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6758">
      <w:bodyDiv w:val="1"/>
      <w:marLeft w:val="0"/>
      <w:marRight w:val="0"/>
      <w:marTop w:val="0"/>
      <w:marBottom w:val="0"/>
      <w:divBdr>
        <w:top w:val="none" w:sz="0" w:space="0" w:color="auto"/>
        <w:left w:val="none" w:sz="0" w:space="0" w:color="auto"/>
        <w:bottom w:val="none" w:sz="0" w:space="0" w:color="auto"/>
        <w:right w:val="none" w:sz="0" w:space="0" w:color="auto"/>
      </w:divBdr>
      <w:divsChild>
        <w:div w:id="1089085064">
          <w:marLeft w:val="0"/>
          <w:marRight w:val="0"/>
          <w:marTop w:val="0"/>
          <w:marBottom w:val="0"/>
          <w:divBdr>
            <w:top w:val="none" w:sz="0" w:space="0" w:color="auto"/>
            <w:left w:val="none" w:sz="0" w:space="0" w:color="auto"/>
            <w:bottom w:val="none" w:sz="0" w:space="0" w:color="auto"/>
            <w:right w:val="none" w:sz="0" w:space="0" w:color="auto"/>
          </w:divBdr>
          <w:divsChild>
            <w:div w:id="944925875">
              <w:marLeft w:val="0"/>
              <w:marRight w:val="0"/>
              <w:marTop w:val="0"/>
              <w:marBottom w:val="0"/>
              <w:divBdr>
                <w:top w:val="none" w:sz="0" w:space="0" w:color="auto"/>
                <w:left w:val="none" w:sz="0" w:space="0" w:color="auto"/>
                <w:bottom w:val="none" w:sz="0" w:space="0" w:color="auto"/>
                <w:right w:val="none" w:sz="0" w:space="0" w:color="auto"/>
              </w:divBdr>
              <w:divsChild>
                <w:div w:id="1943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9176">
      <w:bodyDiv w:val="1"/>
      <w:marLeft w:val="0"/>
      <w:marRight w:val="0"/>
      <w:marTop w:val="0"/>
      <w:marBottom w:val="0"/>
      <w:divBdr>
        <w:top w:val="none" w:sz="0" w:space="0" w:color="auto"/>
        <w:left w:val="none" w:sz="0" w:space="0" w:color="auto"/>
        <w:bottom w:val="none" w:sz="0" w:space="0" w:color="auto"/>
        <w:right w:val="none" w:sz="0" w:space="0" w:color="auto"/>
      </w:divBdr>
      <w:divsChild>
        <w:div w:id="1847942830">
          <w:marLeft w:val="0"/>
          <w:marRight w:val="0"/>
          <w:marTop w:val="0"/>
          <w:marBottom w:val="0"/>
          <w:divBdr>
            <w:top w:val="none" w:sz="0" w:space="0" w:color="auto"/>
            <w:left w:val="none" w:sz="0" w:space="0" w:color="auto"/>
            <w:bottom w:val="none" w:sz="0" w:space="0" w:color="auto"/>
            <w:right w:val="none" w:sz="0" w:space="0" w:color="auto"/>
          </w:divBdr>
          <w:divsChild>
            <w:div w:id="733546843">
              <w:marLeft w:val="0"/>
              <w:marRight w:val="0"/>
              <w:marTop w:val="0"/>
              <w:marBottom w:val="0"/>
              <w:divBdr>
                <w:top w:val="none" w:sz="0" w:space="0" w:color="auto"/>
                <w:left w:val="none" w:sz="0" w:space="0" w:color="auto"/>
                <w:bottom w:val="none" w:sz="0" w:space="0" w:color="auto"/>
                <w:right w:val="none" w:sz="0" w:space="0" w:color="auto"/>
              </w:divBdr>
              <w:divsChild>
                <w:div w:id="731003646">
                  <w:marLeft w:val="0"/>
                  <w:marRight w:val="0"/>
                  <w:marTop w:val="0"/>
                  <w:marBottom w:val="0"/>
                  <w:divBdr>
                    <w:top w:val="none" w:sz="0" w:space="0" w:color="auto"/>
                    <w:left w:val="none" w:sz="0" w:space="0" w:color="auto"/>
                    <w:bottom w:val="none" w:sz="0" w:space="0" w:color="auto"/>
                    <w:right w:val="none" w:sz="0" w:space="0" w:color="auto"/>
                  </w:divBdr>
                  <w:divsChild>
                    <w:div w:id="1267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05000">
      <w:bodyDiv w:val="1"/>
      <w:marLeft w:val="0"/>
      <w:marRight w:val="0"/>
      <w:marTop w:val="0"/>
      <w:marBottom w:val="0"/>
      <w:divBdr>
        <w:top w:val="none" w:sz="0" w:space="0" w:color="auto"/>
        <w:left w:val="none" w:sz="0" w:space="0" w:color="auto"/>
        <w:bottom w:val="none" w:sz="0" w:space="0" w:color="auto"/>
        <w:right w:val="none" w:sz="0" w:space="0" w:color="auto"/>
      </w:divBdr>
      <w:divsChild>
        <w:div w:id="1881091798">
          <w:marLeft w:val="0"/>
          <w:marRight w:val="0"/>
          <w:marTop w:val="0"/>
          <w:marBottom w:val="0"/>
          <w:divBdr>
            <w:top w:val="none" w:sz="0" w:space="0" w:color="auto"/>
            <w:left w:val="none" w:sz="0" w:space="0" w:color="auto"/>
            <w:bottom w:val="none" w:sz="0" w:space="0" w:color="auto"/>
            <w:right w:val="none" w:sz="0" w:space="0" w:color="auto"/>
          </w:divBdr>
          <w:divsChild>
            <w:div w:id="281961909">
              <w:marLeft w:val="0"/>
              <w:marRight w:val="0"/>
              <w:marTop w:val="0"/>
              <w:marBottom w:val="0"/>
              <w:divBdr>
                <w:top w:val="none" w:sz="0" w:space="0" w:color="auto"/>
                <w:left w:val="none" w:sz="0" w:space="0" w:color="auto"/>
                <w:bottom w:val="none" w:sz="0" w:space="0" w:color="auto"/>
                <w:right w:val="none" w:sz="0" w:space="0" w:color="auto"/>
              </w:divBdr>
              <w:divsChild>
                <w:div w:id="14951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6534">
      <w:bodyDiv w:val="1"/>
      <w:marLeft w:val="0"/>
      <w:marRight w:val="0"/>
      <w:marTop w:val="0"/>
      <w:marBottom w:val="0"/>
      <w:divBdr>
        <w:top w:val="none" w:sz="0" w:space="0" w:color="auto"/>
        <w:left w:val="none" w:sz="0" w:space="0" w:color="auto"/>
        <w:bottom w:val="none" w:sz="0" w:space="0" w:color="auto"/>
        <w:right w:val="none" w:sz="0" w:space="0" w:color="auto"/>
      </w:divBdr>
    </w:div>
    <w:div w:id="1635671586">
      <w:bodyDiv w:val="1"/>
      <w:marLeft w:val="0"/>
      <w:marRight w:val="0"/>
      <w:marTop w:val="0"/>
      <w:marBottom w:val="0"/>
      <w:divBdr>
        <w:top w:val="none" w:sz="0" w:space="0" w:color="auto"/>
        <w:left w:val="none" w:sz="0" w:space="0" w:color="auto"/>
        <w:bottom w:val="none" w:sz="0" w:space="0" w:color="auto"/>
        <w:right w:val="none" w:sz="0" w:space="0" w:color="auto"/>
      </w:divBdr>
      <w:divsChild>
        <w:div w:id="953512930">
          <w:marLeft w:val="0"/>
          <w:marRight w:val="0"/>
          <w:marTop w:val="0"/>
          <w:marBottom w:val="0"/>
          <w:divBdr>
            <w:top w:val="none" w:sz="0" w:space="0" w:color="auto"/>
            <w:left w:val="none" w:sz="0" w:space="0" w:color="auto"/>
            <w:bottom w:val="none" w:sz="0" w:space="0" w:color="auto"/>
            <w:right w:val="none" w:sz="0" w:space="0" w:color="auto"/>
          </w:divBdr>
          <w:divsChild>
            <w:div w:id="1415084269">
              <w:marLeft w:val="0"/>
              <w:marRight w:val="0"/>
              <w:marTop w:val="0"/>
              <w:marBottom w:val="0"/>
              <w:divBdr>
                <w:top w:val="none" w:sz="0" w:space="0" w:color="auto"/>
                <w:left w:val="none" w:sz="0" w:space="0" w:color="auto"/>
                <w:bottom w:val="none" w:sz="0" w:space="0" w:color="auto"/>
                <w:right w:val="none" w:sz="0" w:space="0" w:color="auto"/>
              </w:divBdr>
              <w:divsChild>
                <w:div w:id="7991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0669">
      <w:bodyDiv w:val="1"/>
      <w:marLeft w:val="0"/>
      <w:marRight w:val="0"/>
      <w:marTop w:val="0"/>
      <w:marBottom w:val="0"/>
      <w:divBdr>
        <w:top w:val="none" w:sz="0" w:space="0" w:color="auto"/>
        <w:left w:val="none" w:sz="0" w:space="0" w:color="auto"/>
        <w:bottom w:val="none" w:sz="0" w:space="0" w:color="auto"/>
        <w:right w:val="none" w:sz="0" w:space="0" w:color="auto"/>
      </w:divBdr>
      <w:divsChild>
        <w:div w:id="1678848653">
          <w:marLeft w:val="0"/>
          <w:marRight w:val="0"/>
          <w:marTop w:val="0"/>
          <w:marBottom w:val="0"/>
          <w:divBdr>
            <w:top w:val="none" w:sz="0" w:space="0" w:color="auto"/>
            <w:left w:val="none" w:sz="0" w:space="0" w:color="auto"/>
            <w:bottom w:val="none" w:sz="0" w:space="0" w:color="auto"/>
            <w:right w:val="none" w:sz="0" w:space="0" w:color="auto"/>
          </w:divBdr>
          <w:divsChild>
            <w:div w:id="1890679812">
              <w:marLeft w:val="0"/>
              <w:marRight w:val="0"/>
              <w:marTop w:val="0"/>
              <w:marBottom w:val="0"/>
              <w:divBdr>
                <w:top w:val="none" w:sz="0" w:space="0" w:color="auto"/>
                <w:left w:val="none" w:sz="0" w:space="0" w:color="auto"/>
                <w:bottom w:val="none" w:sz="0" w:space="0" w:color="auto"/>
                <w:right w:val="none" w:sz="0" w:space="0" w:color="auto"/>
              </w:divBdr>
              <w:divsChild>
                <w:div w:id="16604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6631">
      <w:bodyDiv w:val="1"/>
      <w:marLeft w:val="0"/>
      <w:marRight w:val="0"/>
      <w:marTop w:val="0"/>
      <w:marBottom w:val="0"/>
      <w:divBdr>
        <w:top w:val="none" w:sz="0" w:space="0" w:color="auto"/>
        <w:left w:val="none" w:sz="0" w:space="0" w:color="auto"/>
        <w:bottom w:val="none" w:sz="0" w:space="0" w:color="auto"/>
        <w:right w:val="none" w:sz="0" w:space="0" w:color="auto"/>
      </w:divBdr>
    </w:div>
    <w:div w:id="1662540965">
      <w:bodyDiv w:val="1"/>
      <w:marLeft w:val="0"/>
      <w:marRight w:val="0"/>
      <w:marTop w:val="0"/>
      <w:marBottom w:val="0"/>
      <w:divBdr>
        <w:top w:val="none" w:sz="0" w:space="0" w:color="auto"/>
        <w:left w:val="none" w:sz="0" w:space="0" w:color="auto"/>
        <w:bottom w:val="none" w:sz="0" w:space="0" w:color="auto"/>
        <w:right w:val="none" w:sz="0" w:space="0" w:color="auto"/>
      </w:divBdr>
      <w:divsChild>
        <w:div w:id="427851257">
          <w:marLeft w:val="0"/>
          <w:marRight w:val="0"/>
          <w:marTop w:val="0"/>
          <w:marBottom w:val="0"/>
          <w:divBdr>
            <w:top w:val="none" w:sz="0" w:space="0" w:color="auto"/>
            <w:left w:val="none" w:sz="0" w:space="0" w:color="auto"/>
            <w:bottom w:val="none" w:sz="0" w:space="0" w:color="auto"/>
            <w:right w:val="none" w:sz="0" w:space="0" w:color="auto"/>
          </w:divBdr>
          <w:divsChild>
            <w:div w:id="1029453221">
              <w:marLeft w:val="0"/>
              <w:marRight w:val="0"/>
              <w:marTop w:val="0"/>
              <w:marBottom w:val="0"/>
              <w:divBdr>
                <w:top w:val="none" w:sz="0" w:space="0" w:color="auto"/>
                <w:left w:val="none" w:sz="0" w:space="0" w:color="auto"/>
                <w:bottom w:val="none" w:sz="0" w:space="0" w:color="auto"/>
                <w:right w:val="none" w:sz="0" w:space="0" w:color="auto"/>
              </w:divBdr>
              <w:divsChild>
                <w:div w:id="17915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9087">
      <w:bodyDiv w:val="1"/>
      <w:marLeft w:val="0"/>
      <w:marRight w:val="0"/>
      <w:marTop w:val="0"/>
      <w:marBottom w:val="0"/>
      <w:divBdr>
        <w:top w:val="none" w:sz="0" w:space="0" w:color="auto"/>
        <w:left w:val="none" w:sz="0" w:space="0" w:color="auto"/>
        <w:bottom w:val="none" w:sz="0" w:space="0" w:color="auto"/>
        <w:right w:val="none" w:sz="0" w:space="0" w:color="auto"/>
      </w:divBdr>
      <w:divsChild>
        <w:div w:id="1319842589">
          <w:marLeft w:val="0"/>
          <w:marRight w:val="0"/>
          <w:marTop w:val="0"/>
          <w:marBottom w:val="0"/>
          <w:divBdr>
            <w:top w:val="none" w:sz="0" w:space="0" w:color="auto"/>
            <w:left w:val="none" w:sz="0" w:space="0" w:color="auto"/>
            <w:bottom w:val="none" w:sz="0" w:space="0" w:color="auto"/>
            <w:right w:val="none" w:sz="0" w:space="0" w:color="auto"/>
          </w:divBdr>
          <w:divsChild>
            <w:div w:id="1797793853">
              <w:marLeft w:val="0"/>
              <w:marRight w:val="0"/>
              <w:marTop w:val="0"/>
              <w:marBottom w:val="0"/>
              <w:divBdr>
                <w:top w:val="none" w:sz="0" w:space="0" w:color="auto"/>
                <w:left w:val="none" w:sz="0" w:space="0" w:color="auto"/>
                <w:bottom w:val="none" w:sz="0" w:space="0" w:color="auto"/>
                <w:right w:val="none" w:sz="0" w:space="0" w:color="auto"/>
              </w:divBdr>
              <w:divsChild>
                <w:div w:id="9978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7138">
      <w:bodyDiv w:val="1"/>
      <w:marLeft w:val="0"/>
      <w:marRight w:val="0"/>
      <w:marTop w:val="0"/>
      <w:marBottom w:val="0"/>
      <w:divBdr>
        <w:top w:val="none" w:sz="0" w:space="0" w:color="auto"/>
        <w:left w:val="none" w:sz="0" w:space="0" w:color="auto"/>
        <w:bottom w:val="none" w:sz="0" w:space="0" w:color="auto"/>
        <w:right w:val="none" w:sz="0" w:space="0" w:color="auto"/>
      </w:divBdr>
    </w:div>
    <w:div w:id="1698046450">
      <w:bodyDiv w:val="1"/>
      <w:marLeft w:val="0"/>
      <w:marRight w:val="0"/>
      <w:marTop w:val="0"/>
      <w:marBottom w:val="0"/>
      <w:divBdr>
        <w:top w:val="none" w:sz="0" w:space="0" w:color="auto"/>
        <w:left w:val="none" w:sz="0" w:space="0" w:color="auto"/>
        <w:bottom w:val="none" w:sz="0" w:space="0" w:color="auto"/>
        <w:right w:val="none" w:sz="0" w:space="0" w:color="auto"/>
      </w:divBdr>
      <w:divsChild>
        <w:div w:id="159394608">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4654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872">
      <w:bodyDiv w:val="1"/>
      <w:marLeft w:val="0"/>
      <w:marRight w:val="0"/>
      <w:marTop w:val="0"/>
      <w:marBottom w:val="0"/>
      <w:divBdr>
        <w:top w:val="none" w:sz="0" w:space="0" w:color="auto"/>
        <w:left w:val="none" w:sz="0" w:space="0" w:color="auto"/>
        <w:bottom w:val="none" w:sz="0" w:space="0" w:color="auto"/>
        <w:right w:val="none" w:sz="0" w:space="0" w:color="auto"/>
      </w:divBdr>
    </w:div>
    <w:div w:id="1711566655">
      <w:bodyDiv w:val="1"/>
      <w:marLeft w:val="0"/>
      <w:marRight w:val="0"/>
      <w:marTop w:val="0"/>
      <w:marBottom w:val="0"/>
      <w:divBdr>
        <w:top w:val="none" w:sz="0" w:space="0" w:color="auto"/>
        <w:left w:val="none" w:sz="0" w:space="0" w:color="auto"/>
        <w:bottom w:val="none" w:sz="0" w:space="0" w:color="auto"/>
        <w:right w:val="none" w:sz="0" w:space="0" w:color="auto"/>
      </w:divBdr>
      <w:divsChild>
        <w:div w:id="615646057">
          <w:marLeft w:val="0"/>
          <w:marRight w:val="0"/>
          <w:marTop w:val="0"/>
          <w:marBottom w:val="0"/>
          <w:divBdr>
            <w:top w:val="none" w:sz="0" w:space="0" w:color="auto"/>
            <w:left w:val="none" w:sz="0" w:space="0" w:color="auto"/>
            <w:bottom w:val="none" w:sz="0" w:space="0" w:color="auto"/>
            <w:right w:val="none" w:sz="0" w:space="0" w:color="auto"/>
          </w:divBdr>
          <w:divsChild>
            <w:div w:id="325398002">
              <w:marLeft w:val="0"/>
              <w:marRight w:val="0"/>
              <w:marTop w:val="0"/>
              <w:marBottom w:val="0"/>
              <w:divBdr>
                <w:top w:val="none" w:sz="0" w:space="0" w:color="auto"/>
                <w:left w:val="none" w:sz="0" w:space="0" w:color="auto"/>
                <w:bottom w:val="none" w:sz="0" w:space="0" w:color="auto"/>
                <w:right w:val="none" w:sz="0" w:space="0" w:color="auto"/>
              </w:divBdr>
              <w:divsChild>
                <w:div w:id="16702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360">
      <w:bodyDiv w:val="1"/>
      <w:marLeft w:val="0"/>
      <w:marRight w:val="0"/>
      <w:marTop w:val="0"/>
      <w:marBottom w:val="0"/>
      <w:divBdr>
        <w:top w:val="none" w:sz="0" w:space="0" w:color="auto"/>
        <w:left w:val="none" w:sz="0" w:space="0" w:color="auto"/>
        <w:bottom w:val="none" w:sz="0" w:space="0" w:color="auto"/>
        <w:right w:val="none" w:sz="0" w:space="0" w:color="auto"/>
      </w:divBdr>
      <w:divsChild>
        <w:div w:id="2132437122">
          <w:marLeft w:val="0"/>
          <w:marRight w:val="0"/>
          <w:marTop w:val="0"/>
          <w:marBottom w:val="0"/>
          <w:divBdr>
            <w:top w:val="none" w:sz="0" w:space="0" w:color="auto"/>
            <w:left w:val="none" w:sz="0" w:space="0" w:color="auto"/>
            <w:bottom w:val="none" w:sz="0" w:space="0" w:color="auto"/>
            <w:right w:val="none" w:sz="0" w:space="0" w:color="auto"/>
          </w:divBdr>
          <w:divsChild>
            <w:div w:id="327750394">
              <w:marLeft w:val="0"/>
              <w:marRight w:val="0"/>
              <w:marTop w:val="0"/>
              <w:marBottom w:val="0"/>
              <w:divBdr>
                <w:top w:val="none" w:sz="0" w:space="0" w:color="auto"/>
                <w:left w:val="none" w:sz="0" w:space="0" w:color="auto"/>
                <w:bottom w:val="none" w:sz="0" w:space="0" w:color="auto"/>
                <w:right w:val="none" w:sz="0" w:space="0" w:color="auto"/>
              </w:divBdr>
              <w:divsChild>
                <w:div w:id="4697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3815">
      <w:bodyDiv w:val="1"/>
      <w:marLeft w:val="0"/>
      <w:marRight w:val="0"/>
      <w:marTop w:val="0"/>
      <w:marBottom w:val="0"/>
      <w:divBdr>
        <w:top w:val="none" w:sz="0" w:space="0" w:color="auto"/>
        <w:left w:val="none" w:sz="0" w:space="0" w:color="auto"/>
        <w:bottom w:val="none" w:sz="0" w:space="0" w:color="auto"/>
        <w:right w:val="none" w:sz="0" w:space="0" w:color="auto"/>
      </w:divBdr>
      <w:divsChild>
        <w:div w:id="1587112666">
          <w:marLeft w:val="0"/>
          <w:marRight w:val="0"/>
          <w:marTop w:val="0"/>
          <w:marBottom w:val="0"/>
          <w:divBdr>
            <w:top w:val="none" w:sz="0" w:space="0" w:color="auto"/>
            <w:left w:val="none" w:sz="0" w:space="0" w:color="auto"/>
            <w:bottom w:val="none" w:sz="0" w:space="0" w:color="auto"/>
            <w:right w:val="none" w:sz="0" w:space="0" w:color="auto"/>
          </w:divBdr>
          <w:divsChild>
            <w:div w:id="256140634">
              <w:marLeft w:val="0"/>
              <w:marRight w:val="0"/>
              <w:marTop w:val="0"/>
              <w:marBottom w:val="0"/>
              <w:divBdr>
                <w:top w:val="none" w:sz="0" w:space="0" w:color="auto"/>
                <w:left w:val="none" w:sz="0" w:space="0" w:color="auto"/>
                <w:bottom w:val="none" w:sz="0" w:space="0" w:color="auto"/>
                <w:right w:val="none" w:sz="0" w:space="0" w:color="auto"/>
              </w:divBdr>
              <w:divsChild>
                <w:div w:id="1730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2914">
      <w:bodyDiv w:val="1"/>
      <w:marLeft w:val="0"/>
      <w:marRight w:val="0"/>
      <w:marTop w:val="0"/>
      <w:marBottom w:val="0"/>
      <w:divBdr>
        <w:top w:val="none" w:sz="0" w:space="0" w:color="auto"/>
        <w:left w:val="none" w:sz="0" w:space="0" w:color="auto"/>
        <w:bottom w:val="none" w:sz="0" w:space="0" w:color="auto"/>
        <w:right w:val="none" w:sz="0" w:space="0" w:color="auto"/>
      </w:divBdr>
      <w:divsChild>
        <w:div w:id="874003796">
          <w:marLeft w:val="0"/>
          <w:marRight w:val="0"/>
          <w:marTop w:val="0"/>
          <w:marBottom w:val="0"/>
          <w:divBdr>
            <w:top w:val="none" w:sz="0" w:space="0" w:color="auto"/>
            <w:left w:val="none" w:sz="0" w:space="0" w:color="auto"/>
            <w:bottom w:val="none" w:sz="0" w:space="0" w:color="auto"/>
            <w:right w:val="none" w:sz="0" w:space="0" w:color="auto"/>
          </w:divBdr>
          <w:divsChild>
            <w:div w:id="791097455">
              <w:marLeft w:val="0"/>
              <w:marRight w:val="0"/>
              <w:marTop w:val="0"/>
              <w:marBottom w:val="0"/>
              <w:divBdr>
                <w:top w:val="none" w:sz="0" w:space="0" w:color="auto"/>
                <w:left w:val="none" w:sz="0" w:space="0" w:color="auto"/>
                <w:bottom w:val="none" w:sz="0" w:space="0" w:color="auto"/>
                <w:right w:val="none" w:sz="0" w:space="0" w:color="auto"/>
              </w:divBdr>
              <w:divsChild>
                <w:div w:id="16162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3530">
      <w:bodyDiv w:val="1"/>
      <w:marLeft w:val="0"/>
      <w:marRight w:val="0"/>
      <w:marTop w:val="0"/>
      <w:marBottom w:val="0"/>
      <w:divBdr>
        <w:top w:val="none" w:sz="0" w:space="0" w:color="auto"/>
        <w:left w:val="none" w:sz="0" w:space="0" w:color="auto"/>
        <w:bottom w:val="none" w:sz="0" w:space="0" w:color="auto"/>
        <w:right w:val="none" w:sz="0" w:space="0" w:color="auto"/>
      </w:divBdr>
    </w:div>
    <w:div w:id="1741293107">
      <w:bodyDiv w:val="1"/>
      <w:marLeft w:val="0"/>
      <w:marRight w:val="0"/>
      <w:marTop w:val="0"/>
      <w:marBottom w:val="0"/>
      <w:divBdr>
        <w:top w:val="none" w:sz="0" w:space="0" w:color="auto"/>
        <w:left w:val="none" w:sz="0" w:space="0" w:color="auto"/>
        <w:bottom w:val="none" w:sz="0" w:space="0" w:color="auto"/>
        <w:right w:val="none" w:sz="0" w:space="0" w:color="auto"/>
      </w:divBdr>
      <w:divsChild>
        <w:div w:id="1796293709">
          <w:marLeft w:val="0"/>
          <w:marRight w:val="0"/>
          <w:marTop w:val="0"/>
          <w:marBottom w:val="0"/>
          <w:divBdr>
            <w:top w:val="none" w:sz="0" w:space="0" w:color="auto"/>
            <w:left w:val="none" w:sz="0" w:space="0" w:color="auto"/>
            <w:bottom w:val="none" w:sz="0" w:space="0" w:color="auto"/>
            <w:right w:val="none" w:sz="0" w:space="0" w:color="auto"/>
          </w:divBdr>
          <w:divsChild>
            <w:div w:id="1168907382">
              <w:marLeft w:val="0"/>
              <w:marRight w:val="0"/>
              <w:marTop w:val="0"/>
              <w:marBottom w:val="0"/>
              <w:divBdr>
                <w:top w:val="none" w:sz="0" w:space="0" w:color="auto"/>
                <w:left w:val="none" w:sz="0" w:space="0" w:color="auto"/>
                <w:bottom w:val="none" w:sz="0" w:space="0" w:color="auto"/>
                <w:right w:val="none" w:sz="0" w:space="0" w:color="auto"/>
              </w:divBdr>
              <w:divsChild>
                <w:div w:id="15021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8386">
      <w:bodyDiv w:val="1"/>
      <w:marLeft w:val="0"/>
      <w:marRight w:val="0"/>
      <w:marTop w:val="0"/>
      <w:marBottom w:val="0"/>
      <w:divBdr>
        <w:top w:val="none" w:sz="0" w:space="0" w:color="auto"/>
        <w:left w:val="none" w:sz="0" w:space="0" w:color="auto"/>
        <w:bottom w:val="none" w:sz="0" w:space="0" w:color="auto"/>
        <w:right w:val="none" w:sz="0" w:space="0" w:color="auto"/>
      </w:divBdr>
      <w:divsChild>
        <w:div w:id="54595171">
          <w:marLeft w:val="0"/>
          <w:marRight w:val="0"/>
          <w:marTop w:val="0"/>
          <w:marBottom w:val="0"/>
          <w:divBdr>
            <w:top w:val="none" w:sz="0" w:space="0" w:color="auto"/>
            <w:left w:val="none" w:sz="0" w:space="0" w:color="auto"/>
            <w:bottom w:val="none" w:sz="0" w:space="0" w:color="auto"/>
            <w:right w:val="none" w:sz="0" w:space="0" w:color="auto"/>
          </w:divBdr>
          <w:divsChild>
            <w:div w:id="1224756069">
              <w:marLeft w:val="0"/>
              <w:marRight w:val="0"/>
              <w:marTop w:val="0"/>
              <w:marBottom w:val="0"/>
              <w:divBdr>
                <w:top w:val="none" w:sz="0" w:space="0" w:color="auto"/>
                <w:left w:val="none" w:sz="0" w:space="0" w:color="auto"/>
                <w:bottom w:val="none" w:sz="0" w:space="0" w:color="auto"/>
                <w:right w:val="none" w:sz="0" w:space="0" w:color="auto"/>
              </w:divBdr>
              <w:divsChild>
                <w:div w:id="12945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443">
      <w:bodyDiv w:val="1"/>
      <w:marLeft w:val="0"/>
      <w:marRight w:val="0"/>
      <w:marTop w:val="0"/>
      <w:marBottom w:val="0"/>
      <w:divBdr>
        <w:top w:val="none" w:sz="0" w:space="0" w:color="auto"/>
        <w:left w:val="none" w:sz="0" w:space="0" w:color="auto"/>
        <w:bottom w:val="none" w:sz="0" w:space="0" w:color="auto"/>
        <w:right w:val="none" w:sz="0" w:space="0" w:color="auto"/>
      </w:divBdr>
      <w:divsChild>
        <w:div w:id="969281116">
          <w:marLeft w:val="0"/>
          <w:marRight w:val="0"/>
          <w:marTop w:val="0"/>
          <w:marBottom w:val="0"/>
          <w:divBdr>
            <w:top w:val="none" w:sz="0" w:space="0" w:color="auto"/>
            <w:left w:val="none" w:sz="0" w:space="0" w:color="auto"/>
            <w:bottom w:val="none" w:sz="0" w:space="0" w:color="auto"/>
            <w:right w:val="none" w:sz="0" w:space="0" w:color="auto"/>
          </w:divBdr>
          <w:divsChild>
            <w:div w:id="2079478808">
              <w:marLeft w:val="0"/>
              <w:marRight w:val="0"/>
              <w:marTop w:val="0"/>
              <w:marBottom w:val="0"/>
              <w:divBdr>
                <w:top w:val="none" w:sz="0" w:space="0" w:color="auto"/>
                <w:left w:val="none" w:sz="0" w:space="0" w:color="auto"/>
                <w:bottom w:val="none" w:sz="0" w:space="0" w:color="auto"/>
                <w:right w:val="none" w:sz="0" w:space="0" w:color="auto"/>
              </w:divBdr>
              <w:divsChild>
                <w:div w:id="7720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4252">
      <w:bodyDiv w:val="1"/>
      <w:marLeft w:val="0"/>
      <w:marRight w:val="0"/>
      <w:marTop w:val="0"/>
      <w:marBottom w:val="0"/>
      <w:divBdr>
        <w:top w:val="none" w:sz="0" w:space="0" w:color="auto"/>
        <w:left w:val="none" w:sz="0" w:space="0" w:color="auto"/>
        <w:bottom w:val="none" w:sz="0" w:space="0" w:color="auto"/>
        <w:right w:val="none" w:sz="0" w:space="0" w:color="auto"/>
      </w:divBdr>
    </w:div>
    <w:div w:id="1823614208">
      <w:bodyDiv w:val="1"/>
      <w:marLeft w:val="0"/>
      <w:marRight w:val="0"/>
      <w:marTop w:val="0"/>
      <w:marBottom w:val="0"/>
      <w:divBdr>
        <w:top w:val="none" w:sz="0" w:space="0" w:color="auto"/>
        <w:left w:val="none" w:sz="0" w:space="0" w:color="auto"/>
        <w:bottom w:val="none" w:sz="0" w:space="0" w:color="auto"/>
        <w:right w:val="none" w:sz="0" w:space="0" w:color="auto"/>
      </w:divBdr>
      <w:divsChild>
        <w:div w:id="519708243">
          <w:marLeft w:val="0"/>
          <w:marRight w:val="0"/>
          <w:marTop w:val="0"/>
          <w:marBottom w:val="0"/>
          <w:divBdr>
            <w:top w:val="none" w:sz="0" w:space="0" w:color="auto"/>
            <w:left w:val="none" w:sz="0" w:space="0" w:color="auto"/>
            <w:bottom w:val="none" w:sz="0" w:space="0" w:color="auto"/>
            <w:right w:val="none" w:sz="0" w:space="0" w:color="auto"/>
          </w:divBdr>
          <w:divsChild>
            <w:div w:id="328559037">
              <w:marLeft w:val="0"/>
              <w:marRight w:val="0"/>
              <w:marTop w:val="0"/>
              <w:marBottom w:val="0"/>
              <w:divBdr>
                <w:top w:val="none" w:sz="0" w:space="0" w:color="auto"/>
                <w:left w:val="none" w:sz="0" w:space="0" w:color="auto"/>
                <w:bottom w:val="none" w:sz="0" w:space="0" w:color="auto"/>
                <w:right w:val="none" w:sz="0" w:space="0" w:color="auto"/>
              </w:divBdr>
              <w:divsChild>
                <w:div w:id="13768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19496">
      <w:bodyDiv w:val="1"/>
      <w:marLeft w:val="0"/>
      <w:marRight w:val="0"/>
      <w:marTop w:val="0"/>
      <w:marBottom w:val="0"/>
      <w:divBdr>
        <w:top w:val="none" w:sz="0" w:space="0" w:color="auto"/>
        <w:left w:val="none" w:sz="0" w:space="0" w:color="auto"/>
        <w:bottom w:val="none" w:sz="0" w:space="0" w:color="auto"/>
        <w:right w:val="none" w:sz="0" w:space="0" w:color="auto"/>
      </w:divBdr>
      <w:divsChild>
        <w:div w:id="1393196033">
          <w:marLeft w:val="0"/>
          <w:marRight w:val="0"/>
          <w:marTop w:val="0"/>
          <w:marBottom w:val="0"/>
          <w:divBdr>
            <w:top w:val="none" w:sz="0" w:space="0" w:color="auto"/>
            <w:left w:val="none" w:sz="0" w:space="0" w:color="auto"/>
            <w:bottom w:val="none" w:sz="0" w:space="0" w:color="auto"/>
            <w:right w:val="none" w:sz="0" w:space="0" w:color="auto"/>
          </w:divBdr>
          <w:divsChild>
            <w:div w:id="1779252894">
              <w:marLeft w:val="0"/>
              <w:marRight w:val="0"/>
              <w:marTop w:val="0"/>
              <w:marBottom w:val="0"/>
              <w:divBdr>
                <w:top w:val="none" w:sz="0" w:space="0" w:color="auto"/>
                <w:left w:val="none" w:sz="0" w:space="0" w:color="auto"/>
                <w:bottom w:val="none" w:sz="0" w:space="0" w:color="auto"/>
                <w:right w:val="none" w:sz="0" w:space="0" w:color="auto"/>
              </w:divBdr>
              <w:divsChild>
                <w:div w:id="12371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0514">
      <w:bodyDiv w:val="1"/>
      <w:marLeft w:val="0"/>
      <w:marRight w:val="0"/>
      <w:marTop w:val="0"/>
      <w:marBottom w:val="0"/>
      <w:divBdr>
        <w:top w:val="none" w:sz="0" w:space="0" w:color="auto"/>
        <w:left w:val="none" w:sz="0" w:space="0" w:color="auto"/>
        <w:bottom w:val="none" w:sz="0" w:space="0" w:color="auto"/>
        <w:right w:val="none" w:sz="0" w:space="0" w:color="auto"/>
      </w:divBdr>
      <w:divsChild>
        <w:div w:id="2109812492">
          <w:marLeft w:val="0"/>
          <w:marRight w:val="0"/>
          <w:marTop w:val="0"/>
          <w:marBottom w:val="0"/>
          <w:divBdr>
            <w:top w:val="none" w:sz="0" w:space="0" w:color="auto"/>
            <w:left w:val="none" w:sz="0" w:space="0" w:color="auto"/>
            <w:bottom w:val="none" w:sz="0" w:space="0" w:color="auto"/>
            <w:right w:val="none" w:sz="0" w:space="0" w:color="auto"/>
          </w:divBdr>
          <w:divsChild>
            <w:div w:id="1249267944">
              <w:marLeft w:val="0"/>
              <w:marRight w:val="0"/>
              <w:marTop w:val="0"/>
              <w:marBottom w:val="0"/>
              <w:divBdr>
                <w:top w:val="none" w:sz="0" w:space="0" w:color="auto"/>
                <w:left w:val="none" w:sz="0" w:space="0" w:color="auto"/>
                <w:bottom w:val="none" w:sz="0" w:space="0" w:color="auto"/>
                <w:right w:val="none" w:sz="0" w:space="0" w:color="auto"/>
              </w:divBdr>
              <w:divsChild>
                <w:div w:id="2038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338">
      <w:bodyDiv w:val="1"/>
      <w:marLeft w:val="0"/>
      <w:marRight w:val="0"/>
      <w:marTop w:val="0"/>
      <w:marBottom w:val="0"/>
      <w:divBdr>
        <w:top w:val="none" w:sz="0" w:space="0" w:color="auto"/>
        <w:left w:val="none" w:sz="0" w:space="0" w:color="auto"/>
        <w:bottom w:val="none" w:sz="0" w:space="0" w:color="auto"/>
        <w:right w:val="none" w:sz="0" w:space="0" w:color="auto"/>
      </w:divBdr>
      <w:divsChild>
        <w:div w:id="983237558">
          <w:marLeft w:val="0"/>
          <w:marRight w:val="0"/>
          <w:marTop w:val="0"/>
          <w:marBottom w:val="0"/>
          <w:divBdr>
            <w:top w:val="none" w:sz="0" w:space="0" w:color="auto"/>
            <w:left w:val="none" w:sz="0" w:space="0" w:color="auto"/>
            <w:bottom w:val="none" w:sz="0" w:space="0" w:color="auto"/>
            <w:right w:val="none" w:sz="0" w:space="0" w:color="auto"/>
          </w:divBdr>
          <w:divsChild>
            <w:div w:id="2112553058">
              <w:marLeft w:val="0"/>
              <w:marRight w:val="0"/>
              <w:marTop w:val="0"/>
              <w:marBottom w:val="0"/>
              <w:divBdr>
                <w:top w:val="none" w:sz="0" w:space="0" w:color="auto"/>
                <w:left w:val="none" w:sz="0" w:space="0" w:color="auto"/>
                <w:bottom w:val="none" w:sz="0" w:space="0" w:color="auto"/>
                <w:right w:val="none" w:sz="0" w:space="0" w:color="auto"/>
              </w:divBdr>
              <w:divsChild>
                <w:div w:id="21069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7332">
      <w:bodyDiv w:val="1"/>
      <w:marLeft w:val="0"/>
      <w:marRight w:val="0"/>
      <w:marTop w:val="0"/>
      <w:marBottom w:val="0"/>
      <w:divBdr>
        <w:top w:val="none" w:sz="0" w:space="0" w:color="auto"/>
        <w:left w:val="none" w:sz="0" w:space="0" w:color="auto"/>
        <w:bottom w:val="none" w:sz="0" w:space="0" w:color="auto"/>
        <w:right w:val="none" w:sz="0" w:space="0" w:color="auto"/>
      </w:divBdr>
    </w:div>
    <w:div w:id="1865171541">
      <w:bodyDiv w:val="1"/>
      <w:marLeft w:val="0"/>
      <w:marRight w:val="0"/>
      <w:marTop w:val="0"/>
      <w:marBottom w:val="0"/>
      <w:divBdr>
        <w:top w:val="none" w:sz="0" w:space="0" w:color="auto"/>
        <w:left w:val="none" w:sz="0" w:space="0" w:color="auto"/>
        <w:bottom w:val="none" w:sz="0" w:space="0" w:color="auto"/>
        <w:right w:val="none" w:sz="0" w:space="0" w:color="auto"/>
      </w:divBdr>
    </w:div>
    <w:div w:id="1869640702">
      <w:bodyDiv w:val="1"/>
      <w:marLeft w:val="0"/>
      <w:marRight w:val="0"/>
      <w:marTop w:val="0"/>
      <w:marBottom w:val="0"/>
      <w:divBdr>
        <w:top w:val="none" w:sz="0" w:space="0" w:color="auto"/>
        <w:left w:val="none" w:sz="0" w:space="0" w:color="auto"/>
        <w:bottom w:val="none" w:sz="0" w:space="0" w:color="auto"/>
        <w:right w:val="none" w:sz="0" w:space="0" w:color="auto"/>
      </w:divBdr>
      <w:divsChild>
        <w:div w:id="1066219994">
          <w:marLeft w:val="0"/>
          <w:marRight w:val="0"/>
          <w:marTop w:val="0"/>
          <w:marBottom w:val="0"/>
          <w:divBdr>
            <w:top w:val="none" w:sz="0" w:space="0" w:color="auto"/>
            <w:left w:val="none" w:sz="0" w:space="0" w:color="auto"/>
            <w:bottom w:val="none" w:sz="0" w:space="0" w:color="auto"/>
            <w:right w:val="none" w:sz="0" w:space="0" w:color="auto"/>
          </w:divBdr>
          <w:divsChild>
            <w:div w:id="1677076564">
              <w:marLeft w:val="0"/>
              <w:marRight w:val="0"/>
              <w:marTop w:val="0"/>
              <w:marBottom w:val="0"/>
              <w:divBdr>
                <w:top w:val="none" w:sz="0" w:space="0" w:color="auto"/>
                <w:left w:val="none" w:sz="0" w:space="0" w:color="auto"/>
                <w:bottom w:val="none" w:sz="0" w:space="0" w:color="auto"/>
                <w:right w:val="none" w:sz="0" w:space="0" w:color="auto"/>
              </w:divBdr>
              <w:divsChild>
                <w:div w:id="1776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0466">
      <w:bodyDiv w:val="1"/>
      <w:marLeft w:val="0"/>
      <w:marRight w:val="0"/>
      <w:marTop w:val="0"/>
      <w:marBottom w:val="0"/>
      <w:divBdr>
        <w:top w:val="none" w:sz="0" w:space="0" w:color="auto"/>
        <w:left w:val="none" w:sz="0" w:space="0" w:color="auto"/>
        <w:bottom w:val="none" w:sz="0" w:space="0" w:color="auto"/>
        <w:right w:val="none" w:sz="0" w:space="0" w:color="auto"/>
      </w:divBdr>
      <w:divsChild>
        <w:div w:id="996760278">
          <w:marLeft w:val="0"/>
          <w:marRight w:val="0"/>
          <w:marTop w:val="0"/>
          <w:marBottom w:val="0"/>
          <w:divBdr>
            <w:top w:val="none" w:sz="0" w:space="0" w:color="auto"/>
            <w:left w:val="none" w:sz="0" w:space="0" w:color="auto"/>
            <w:bottom w:val="none" w:sz="0" w:space="0" w:color="auto"/>
            <w:right w:val="none" w:sz="0" w:space="0" w:color="auto"/>
          </w:divBdr>
          <w:divsChild>
            <w:div w:id="155734757">
              <w:marLeft w:val="0"/>
              <w:marRight w:val="0"/>
              <w:marTop w:val="0"/>
              <w:marBottom w:val="0"/>
              <w:divBdr>
                <w:top w:val="none" w:sz="0" w:space="0" w:color="auto"/>
                <w:left w:val="none" w:sz="0" w:space="0" w:color="auto"/>
                <w:bottom w:val="none" w:sz="0" w:space="0" w:color="auto"/>
                <w:right w:val="none" w:sz="0" w:space="0" w:color="auto"/>
              </w:divBdr>
              <w:divsChild>
                <w:div w:id="78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7343">
      <w:bodyDiv w:val="1"/>
      <w:marLeft w:val="0"/>
      <w:marRight w:val="0"/>
      <w:marTop w:val="0"/>
      <w:marBottom w:val="0"/>
      <w:divBdr>
        <w:top w:val="none" w:sz="0" w:space="0" w:color="auto"/>
        <w:left w:val="none" w:sz="0" w:space="0" w:color="auto"/>
        <w:bottom w:val="none" w:sz="0" w:space="0" w:color="auto"/>
        <w:right w:val="none" w:sz="0" w:space="0" w:color="auto"/>
      </w:divBdr>
    </w:div>
    <w:div w:id="1922907489">
      <w:bodyDiv w:val="1"/>
      <w:marLeft w:val="0"/>
      <w:marRight w:val="0"/>
      <w:marTop w:val="0"/>
      <w:marBottom w:val="0"/>
      <w:divBdr>
        <w:top w:val="none" w:sz="0" w:space="0" w:color="auto"/>
        <w:left w:val="none" w:sz="0" w:space="0" w:color="auto"/>
        <w:bottom w:val="none" w:sz="0" w:space="0" w:color="auto"/>
        <w:right w:val="none" w:sz="0" w:space="0" w:color="auto"/>
      </w:divBdr>
      <w:divsChild>
        <w:div w:id="1483741319">
          <w:marLeft w:val="0"/>
          <w:marRight w:val="0"/>
          <w:marTop w:val="0"/>
          <w:marBottom w:val="0"/>
          <w:divBdr>
            <w:top w:val="none" w:sz="0" w:space="0" w:color="auto"/>
            <w:left w:val="none" w:sz="0" w:space="0" w:color="auto"/>
            <w:bottom w:val="none" w:sz="0" w:space="0" w:color="auto"/>
            <w:right w:val="none" w:sz="0" w:space="0" w:color="auto"/>
          </w:divBdr>
          <w:divsChild>
            <w:div w:id="1383093513">
              <w:marLeft w:val="0"/>
              <w:marRight w:val="0"/>
              <w:marTop w:val="0"/>
              <w:marBottom w:val="0"/>
              <w:divBdr>
                <w:top w:val="none" w:sz="0" w:space="0" w:color="auto"/>
                <w:left w:val="none" w:sz="0" w:space="0" w:color="auto"/>
                <w:bottom w:val="none" w:sz="0" w:space="0" w:color="auto"/>
                <w:right w:val="none" w:sz="0" w:space="0" w:color="auto"/>
              </w:divBdr>
              <w:divsChild>
                <w:div w:id="1966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3559">
      <w:bodyDiv w:val="1"/>
      <w:marLeft w:val="0"/>
      <w:marRight w:val="0"/>
      <w:marTop w:val="0"/>
      <w:marBottom w:val="0"/>
      <w:divBdr>
        <w:top w:val="none" w:sz="0" w:space="0" w:color="auto"/>
        <w:left w:val="none" w:sz="0" w:space="0" w:color="auto"/>
        <w:bottom w:val="none" w:sz="0" w:space="0" w:color="auto"/>
        <w:right w:val="none" w:sz="0" w:space="0" w:color="auto"/>
      </w:divBdr>
      <w:divsChild>
        <w:div w:id="789472840">
          <w:marLeft w:val="0"/>
          <w:marRight w:val="0"/>
          <w:marTop w:val="0"/>
          <w:marBottom w:val="0"/>
          <w:divBdr>
            <w:top w:val="none" w:sz="0" w:space="0" w:color="auto"/>
            <w:left w:val="none" w:sz="0" w:space="0" w:color="auto"/>
            <w:bottom w:val="none" w:sz="0" w:space="0" w:color="auto"/>
            <w:right w:val="none" w:sz="0" w:space="0" w:color="auto"/>
          </w:divBdr>
          <w:divsChild>
            <w:div w:id="908345173">
              <w:marLeft w:val="0"/>
              <w:marRight w:val="0"/>
              <w:marTop w:val="0"/>
              <w:marBottom w:val="0"/>
              <w:divBdr>
                <w:top w:val="none" w:sz="0" w:space="0" w:color="auto"/>
                <w:left w:val="none" w:sz="0" w:space="0" w:color="auto"/>
                <w:bottom w:val="none" w:sz="0" w:space="0" w:color="auto"/>
                <w:right w:val="none" w:sz="0" w:space="0" w:color="auto"/>
              </w:divBdr>
              <w:divsChild>
                <w:div w:id="1030763962">
                  <w:marLeft w:val="0"/>
                  <w:marRight w:val="0"/>
                  <w:marTop w:val="0"/>
                  <w:marBottom w:val="0"/>
                  <w:divBdr>
                    <w:top w:val="none" w:sz="0" w:space="0" w:color="auto"/>
                    <w:left w:val="none" w:sz="0" w:space="0" w:color="auto"/>
                    <w:bottom w:val="none" w:sz="0" w:space="0" w:color="auto"/>
                    <w:right w:val="none" w:sz="0" w:space="0" w:color="auto"/>
                  </w:divBdr>
                  <w:divsChild>
                    <w:div w:id="3675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6067">
      <w:bodyDiv w:val="1"/>
      <w:marLeft w:val="0"/>
      <w:marRight w:val="0"/>
      <w:marTop w:val="0"/>
      <w:marBottom w:val="0"/>
      <w:divBdr>
        <w:top w:val="none" w:sz="0" w:space="0" w:color="auto"/>
        <w:left w:val="none" w:sz="0" w:space="0" w:color="auto"/>
        <w:bottom w:val="none" w:sz="0" w:space="0" w:color="auto"/>
        <w:right w:val="none" w:sz="0" w:space="0" w:color="auto"/>
      </w:divBdr>
      <w:divsChild>
        <w:div w:id="1815946532">
          <w:marLeft w:val="0"/>
          <w:marRight w:val="0"/>
          <w:marTop w:val="0"/>
          <w:marBottom w:val="0"/>
          <w:divBdr>
            <w:top w:val="none" w:sz="0" w:space="0" w:color="auto"/>
            <w:left w:val="none" w:sz="0" w:space="0" w:color="auto"/>
            <w:bottom w:val="none" w:sz="0" w:space="0" w:color="auto"/>
            <w:right w:val="none" w:sz="0" w:space="0" w:color="auto"/>
          </w:divBdr>
          <w:divsChild>
            <w:div w:id="862477778">
              <w:marLeft w:val="0"/>
              <w:marRight w:val="0"/>
              <w:marTop w:val="0"/>
              <w:marBottom w:val="0"/>
              <w:divBdr>
                <w:top w:val="none" w:sz="0" w:space="0" w:color="auto"/>
                <w:left w:val="none" w:sz="0" w:space="0" w:color="auto"/>
                <w:bottom w:val="none" w:sz="0" w:space="0" w:color="auto"/>
                <w:right w:val="none" w:sz="0" w:space="0" w:color="auto"/>
              </w:divBdr>
              <w:divsChild>
                <w:div w:id="979460724">
                  <w:marLeft w:val="0"/>
                  <w:marRight w:val="0"/>
                  <w:marTop w:val="0"/>
                  <w:marBottom w:val="0"/>
                  <w:divBdr>
                    <w:top w:val="none" w:sz="0" w:space="0" w:color="auto"/>
                    <w:left w:val="none" w:sz="0" w:space="0" w:color="auto"/>
                    <w:bottom w:val="none" w:sz="0" w:space="0" w:color="auto"/>
                    <w:right w:val="none" w:sz="0" w:space="0" w:color="auto"/>
                  </w:divBdr>
                  <w:divsChild>
                    <w:div w:id="7671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sChild>
        <w:div w:id="2146970523">
          <w:marLeft w:val="0"/>
          <w:marRight w:val="0"/>
          <w:marTop w:val="0"/>
          <w:marBottom w:val="0"/>
          <w:divBdr>
            <w:top w:val="none" w:sz="0" w:space="0" w:color="auto"/>
            <w:left w:val="none" w:sz="0" w:space="0" w:color="auto"/>
            <w:bottom w:val="none" w:sz="0" w:space="0" w:color="auto"/>
            <w:right w:val="none" w:sz="0" w:space="0" w:color="auto"/>
          </w:divBdr>
          <w:divsChild>
            <w:div w:id="333185714">
              <w:marLeft w:val="0"/>
              <w:marRight w:val="0"/>
              <w:marTop w:val="0"/>
              <w:marBottom w:val="0"/>
              <w:divBdr>
                <w:top w:val="none" w:sz="0" w:space="0" w:color="auto"/>
                <w:left w:val="none" w:sz="0" w:space="0" w:color="auto"/>
                <w:bottom w:val="none" w:sz="0" w:space="0" w:color="auto"/>
                <w:right w:val="none" w:sz="0" w:space="0" w:color="auto"/>
              </w:divBdr>
              <w:divsChild>
                <w:div w:id="20176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8898">
      <w:bodyDiv w:val="1"/>
      <w:marLeft w:val="0"/>
      <w:marRight w:val="0"/>
      <w:marTop w:val="0"/>
      <w:marBottom w:val="0"/>
      <w:divBdr>
        <w:top w:val="none" w:sz="0" w:space="0" w:color="auto"/>
        <w:left w:val="none" w:sz="0" w:space="0" w:color="auto"/>
        <w:bottom w:val="none" w:sz="0" w:space="0" w:color="auto"/>
        <w:right w:val="none" w:sz="0" w:space="0" w:color="auto"/>
      </w:divBdr>
    </w:div>
    <w:div w:id="1944993862">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8">
          <w:marLeft w:val="0"/>
          <w:marRight w:val="0"/>
          <w:marTop w:val="0"/>
          <w:marBottom w:val="0"/>
          <w:divBdr>
            <w:top w:val="none" w:sz="0" w:space="0" w:color="auto"/>
            <w:left w:val="none" w:sz="0" w:space="0" w:color="auto"/>
            <w:bottom w:val="none" w:sz="0" w:space="0" w:color="auto"/>
            <w:right w:val="none" w:sz="0" w:space="0" w:color="auto"/>
          </w:divBdr>
          <w:divsChild>
            <w:div w:id="784157270">
              <w:marLeft w:val="0"/>
              <w:marRight w:val="0"/>
              <w:marTop w:val="0"/>
              <w:marBottom w:val="0"/>
              <w:divBdr>
                <w:top w:val="none" w:sz="0" w:space="0" w:color="auto"/>
                <w:left w:val="none" w:sz="0" w:space="0" w:color="auto"/>
                <w:bottom w:val="none" w:sz="0" w:space="0" w:color="auto"/>
                <w:right w:val="none" w:sz="0" w:space="0" w:color="auto"/>
              </w:divBdr>
              <w:divsChild>
                <w:div w:id="17272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0889">
      <w:bodyDiv w:val="1"/>
      <w:marLeft w:val="0"/>
      <w:marRight w:val="0"/>
      <w:marTop w:val="0"/>
      <w:marBottom w:val="0"/>
      <w:divBdr>
        <w:top w:val="none" w:sz="0" w:space="0" w:color="auto"/>
        <w:left w:val="none" w:sz="0" w:space="0" w:color="auto"/>
        <w:bottom w:val="none" w:sz="0" w:space="0" w:color="auto"/>
        <w:right w:val="none" w:sz="0" w:space="0" w:color="auto"/>
      </w:divBdr>
      <w:divsChild>
        <w:div w:id="1963608399">
          <w:marLeft w:val="0"/>
          <w:marRight w:val="0"/>
          <w:marTop w:val="0"/>
          <w:marBottom w:val="0"/>
          <w:divBdr>
            <w:top w:val="none" w:sz="0" w:space="0" w:color="auto"/>
            <w:left w:val="none" w:sz="0" w:space="0" w:color="auto"/>
            <w:bottom w:val="none" w:sz="0" w:space="0" w:color="auto"/>
            <w:right w:val="none" w:sz="0" w:space="0" w:color="auto"/>
          </w:divBdr>
          <w:divsChild>
            <w:div w:id="1764909409">
              <w:marLeft w:val="0"/>
              <w:marRight w:val="0"/>
              <w:marTop w:val="0"/>
              <w:marBottom w:val="0"/>
              <w:divBdr>
                <w:top w:val="none" w:sz="0" w:space="0" w:color="auto"/>
                <w:left w:val="none" w:sz="0" w:space="0" w:color="auto"/>
                <w:bottom w:val="none" w:sz="0" w:space="0" w:color="auto"/>
                <w:right w:val="none" w:sz="0" w:space="0" w:color="auto"/>
              </w:divBdr>
              <w:divsChild>
                <w:div w:id="10534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8853">
      <w:bodyDiv w:val="1"/>
      <w:marLeft w:val="0"/>
      <w:marRight w:val="0"/>
      <w:marTop w:val="0"/>
      <w:marBottom w:val="0"/>
      <w:divBdr>
        <w:top w:val="none" w:sz="0" w:space="0" w:color="auto"/>
        <w:left w:val="none" w:sz="0" w:space="0" w:color="auto"/>
        <w:bottom w:val="none" w:sz="0" w:space="0" w:color="auto"/>
        <w:right w:val="none" w:sz="0" w:space="0" w:color="auto"/>
      </w:divBdr>
      <w:divsChild>
        <w:div w:id="306666365">
          <w:marLeft w:val="0"/>
          <w:marRight w:val="0"/>
          <w:marTop w:val="0"/>
          <w:marBottom w:val="0"/>
          <w:divBdr>
            <w:top w:val="none" w:sz="0" w:space="0" w:color="auto"/>
            <w:left w:val="none" w:sz="0" w:space="0" w:color="auto"/>
            <w:bottom w:val="none" w:sz="0" w:space="0" w:color="auto"/>
            <w:right w:val="none" w:sz="0" w:space="0" w:color="auto"/>
          </w:divBdr>
          <w:divsChild>
            <w:div w:id="1978224673">
              <w:marLeft w:val="0"/>
              <w:marRight w:val="0"/>
              <w:marTop w:val="0"/>
              <w:marBottom w:val="0"/>
              <w:divBdr>
                <w:top w:val="none" w:sz="0" w:space="0" w:color="auto"/>
                <w:left w:val="none" w:sz="0" w:space="0" w:color="auto"/>
                <w:bottom w:val="none" w:sz="0" w:space="0" w:color="auto"/>
                <w:right w:val="none" w:sz="0" w:space="0" w:color="auto"/>
              </w:divBdr>
              <w:divsChild>
                <w:div w:id="18532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1463">
      <w:bodyDiv w:val="1"/>
      <w:marLeft w:val="0"/>
      <w:marRight w:val="0"/>
      <w:marTop w:val="0"/>
      <w:marBottom w:val="0"/>
      <w:divBdr>
        <w:top w:val="none" w:sz="0" w:space="0" w:color="auto"/>
        <w:left w:val="none" w:sz="0" w:space="0" w:color="auto"/>
        <w:bottom w:val="none" w:sz="0" w:space="0" w:color="auto"/>
        <w:right w:val="none" w:sz="0" w:space="0" w:color="auto"/>
      </w:divBdr>
    </w:div>
    <w:div w:id="1974015283">
      <w:bodyDiv w:val="1"/>
      <w:marLeft w:val="0"/>
      <w:marRight w:val="0"/>
      <w:marTop w:val="0"/>
      <w:marBottom w:val="0"/>
      <w:divBdr>
        <w:top w:val="none" w:sz="0" w:space="0" w:color="auto"/>
        <w:left w:val="none" w:sz="0" w:space="0" w:color="auto"/>
        <w:bottom w:val="none" w:sz="0" w:space="0" w:color="auto"/>
        <w:right w:val="none" w:sz="0" w:space="0" w:color="auto"/>
      </w:divBdr>
      <w:divsChild>
        <w:div w:id="1794668208">
          <w:marLeft w:val="0"/>
          <w:marRight w:val="0"/>
          <w:marTop w:val="0"/>
          <w:marBottom w:val="0"/>
          <w:divBdr>
            <w:top w:val="none" w:sz="0" w:space="0" w:color="auto"/>
            <w:left w:val="none" w:sz="0" w:space="0" w:color="auto"/>
            <w:bottom w:val="none" w:sz="0" w:space="0" w:color="auto"/>
            <w:right w:val="none" w:sz="0" w:space="0" w:color="auto"/>
          </w:divBdr>
          <w:divsChild>
            <w:div w:id="1438257519">
              <w:marLeft w:val="0"/>
              <w:marRight w:val="0"/>
              <w:marTop w:val="0"/>
              <w:marBottom w:val="0"/>
              <w:divBdr>
                <w:top w:val="none" w:sz="0" w:space="0" w:color="auto"/>
                <w:left w:val="none" w:sz="0" w:space="0" w:color="auto"/>
                <w:bottom w:val="none" w:sz="0" w:space="0" w:color="auto"/>
                <w:right w:val="none" w:sz="0" w:space="0" w:color="auto"/>
              </w:divBdr>
              <w:divsChild>
                <w:div w:id="20061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670">
      <w:bodyDiv w:val="1"/>
      <w:marLeft w:val="0"/>
      <w:marRight w:val="0"/>
      <w:marTop w:val="0"/>
      <w:marBottom w:val="0"/>
      <w:divBdr>
        <w:top w:val="none" w:sz="0" w:space="0" w:color="auto"/>
        <w:left w:val="none" w:sz="0" w:space="0" w:color="auto"/>
        <w:bottom w:val="none" w:sz="0" w:space="0" w:color="auto"/>
        <w:right w:val="none" w:sz="0" w:space="0" w:color="auto"/>
      </w:divBdr>
      <w:divsChild>
        <w:div w:id="1644239640">
          <w:marLeft w:val="0"/>
          <w:marRight w:val="0"/>
          <w:marTop w:val="0"/>
          <w:marBottom w:val="0"/>
          <w:divBdr>
            <w:top w:val="none" w:sz="0" w:space="0" w:color="auto"/>
            <w:left w:val="none" w:sz="0" w:space="0" w:color="auto"/>
            <w:bottom w:val="none" w:sz="0" w:space="0" w:color="auto"/>
            <w:right w:val="none" w:sz="0" w:space="0" w:color="auto"/>
          </w:divBdr>
          <w:divsChild>
            <w:div w:id="1391804853">
              <w:marLeft w:val="0"/>
              <w:marRight w:val="0"/>
              <w:marTop w:val="0"/>
              <w:marBottom w:val="0"/>
              <w:divBdr>
                <w:top w:val="none" w:sz="0" w:space="0" w:color="auto"/>
                <w:left w:val="none" w:sz="0" w:space="0" w:color="auto"/>
                <w:bottom w:val="none" w:sz="0" w:space="0" w:color="auto"/>
                <w:right w:val="none" w:sz="0" w:space="0" w:color="auto"/>
              </w:divBdr>
              <w:divsChild>
                <w:div w:id="4668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76047">
      <w:bodyDiv w:val="1"/>
      <w:marLeft w:val="0"/>
      <w:marRight w:val="0"/>
      <w:marTop w:val="0"/>
      <w:marBottom w:val="0"/>
      <w:divBdr>
        <w:top w:val="none" w:sz="0" w:space="0" w:color="auto"/>
        <w:left w:val="none" w:sz="0" w:space="0" w:color="auto"/>
        <w:bottom w:val="none" w:sz="0" w:space="0" w:color="auto"/>
        <w:right w:val="none" w:sz="0" w:space="0" w:color="auto"/>
      </w:divBdr>
      <w:divsChild>
        <w:div w:id="581259506">
          <w:marLeft w:val="0"/>
          <w:marRight w:val="0"/>
          <w:marTop w:val="0"/>
          <w:marBottom w:val="0"/>
          <w:divBdr>
            <w:top w:val="none" w:sz="0" w:space="0" w:color="auto"/>
            <w:left w:val="none" w:sz="0" w:space="0" w:color="auto"/>
            <w:bottom w:val="none" w:sz="0" w:space="0" w:color="auto"/>
            <w:right w:val="none" w:sz="0" w:space="0" w:color="auto"/>
          </w:divBdr>
          <w:divsChild>
            <w:div w:id="2145585504">
              <w:marLeft w:val="0"/>
              <w:marRight w:val="0"/>
              <w:marTop w:val="0"/>
              <w:marBottom w:val="0"/>
              <w:divBdr>
                <w:top w:val="none" w:sz="0" w:space="0" w:color="auto"/>
                <w:left w:val="none" w:sz="0" w:space="0" w:color="auto"/>
                <w:bottom w:val="none" w:sz="0" w:space="0" w:color="auto"/>
                <w:right w:val="none" w:sz="0" w:space="0" w:color="auto"/>
              </w:divBdr>
              <w:divsChild>
                <w:div w:id="5862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5337">
      <w:bodyDiv w:val="1"/>
      <w:marLeft w:val="0"/>
      <w:marRight w:val="0"/>
      <w:marTop w:val="0"/>
      <w:marBottom w:val="0"/>
      <w:divBdr>
        <w:top w:val="none" w:sz="0" w:space="0" w:color="auto"/>
        <w:left w:val="none" w:sz="0" w:space="0" w:color="auto"/>
        <w:bottom w:val="none" w:sz="0" w:space="0" w:color="auto"/>
        <w:right w:val="none" w:sz="0" w:space="0" w:color="auto"/>
      </w:divBdr>
      <w:divsChild>
        <w:div w:id="1957759026">
          <w:marLeft w:val="0"/>
          <w:marRight w:val="0"/>
          <w:marTop w:val="0"/>
          <w:marBottom w:val="0"/>
          <w:divBdr>
            <w:top w:val="none" w:sz="0" w:space="0" w:color="auto"/>
            <w:left w:val="none" w:sz="0" w:space="0" w:color="auto"/>
            <w:bottom w:val="none" w:sz="0" w:space="0" w:color="auto"/>
            <w:right w:val="none" w:sz="0" w:space="0" w:color="auto"/>
          </w:divBdr>
          <w:divsChild>
            <w:div w:id="1080832904">
              <w:marLeft w:val="0"/>
              <w:marRight w:val="0"/>
              <w:marTop w:val="0"/>
              <w:marBottom w:val="0"/>
              <w:divBdr>
                <w:top w:val="none" w:sz="0" w:space="0" w:color="auto"/>
                <w:left w:val="none" w:sz="0" w:space="0" w:color="auto"/>
                <w:bottom w:val="none" w:sz="0" w:space="0" w:color="auto"/>
                <w:right w:val="none" w:sz="0" w:space="0" w:color="auto"/>
              </w:divBdr>
              <w:divsChild>
                <w:div w:id="13369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808">
      <w:bodyDiv w:val="1"/>
      <w:marLeft w:val="0"/>
      <w:marRight w:val="0"/>
      <w:marTop w:val="0"/>
      <w:marBottom w:val="0"/>
      <w:divBdr>
        <w:top w:val="none" w:sz="0" w:space="0" w:color="auto"/>
        <w:left w:val="none" w:sz="0" w:space="0" w:color="auto"/>
        <w:bottom w:val="none" w:sz="0" w:space="0" w:color="auto"/>
        <w:right w:val="none" w:sz="0" w:space="0" w:color="auto"/>
      </w:divBdr>
      <w:divsChild>
        <w:div w:id="234247674">
          <w:marLeft w:val="0"/>
          <w:marRight w:val="0"/>
          <w:marTop w:val="0"/>
          <w:marBottom w:val="0"/>
          <w:divBdr>
            <w:top w:val="none" w:sz="0" w:space="0" w:color="auto"/>
            <w:left w:val="none" w:sz="0" w:space="0" w:color="auto"/>
            <w:bottom w:val="none" w:sz="0" w:space="0" w:color="auto"/>
            <w:right w:val="none" w:sz="0" w:space="0" w:color="auto"/>
          </w:divBdr>
          <w:divsChild>
            <w:div w:id="1138373799">
              <w:marLeft w:val="0"/>
              <w:marRight w:val="0"/>
              <w:marTop w:val="0"/>
              <w:marBottom w:val="0"/>
              <w:divBdr>
                <w:top w:val="none" w:sz="0" w:space="0" w:color="auto"/>
                <w:left w:val="none" w:sz="0" w:space="0" w:color="auto"/>
                <w:bottom w:val="none" w:sz="0" w:space="0" w:color="auto"/>
                <w:right w:val="none" w:sz="0" w:space="0" w:color="auto"/>
              </w:divBdr>
              <w:divsChild>
                <w:div w:id="141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3947">
      <w:bodyDiv w:val="1"/>
      <w:marLeft w:val="0"/>
      <w:marRight w:val="0"/>
      <w:marTop w:val="0"/>
      <w:marBottom w:val="0"/>
      <w:divBdr>
        <w:top w:val="none" w:sz="0" w:space="0" w:color="auto"/>
        <w:left w:val="none" w:sz="0" w:space="0" w:color="auto"/>
        <w:bottom w:val="none" w:sz="0" w:space="0" w:color="auto"/>
        <w:right w:val="none" w:sz="0" w:space="0" w:color="auto"/>
      </w:divBdr>
      <w:divsChild>
        <w:div w:id="672490032">
          <w:marLeft w:val="0"/>
          <w:marRight w:val="0"/>
          <w:marTop w:val="0"/>
          <w:marBottom w:val="0"/>
          <w:divBdr>
            <w:top w:val="none" w:sz="0" w:space="0" w:color="auto"/>
            <w:left w:val="none" w:sz="0" w:space="0" w:color="auto"/>
            <w:bottom w:val="none" w:sz="0" w:space="0" w:color="auto"/>
            <w:right w:val="none" w:sz="0" w:space="0" w:color="auto"/>
          </w:divBdr>
          <w:divsChild>
            <w:div w:id="2005164357">
              <w:marLeft w:val="0"/>
              <w:marRight w:val="0"/>
              <w:marTop w:val="0"/>
              <w:marBottom w:val="0"/>
              <w:divBdr>
                <w:top w:val="none" w:sz="0" w:space="0" w:color="auto"/>
                <w:left w:val="none" w:sz="0" w:space="0" w:color="auto"/>
                <w:bottom w:val="none" w:sz="0" w:space="0" w:color="auto"/>
                <w:right w:val="none" w:sz="0" w:space="0" w:color="auto"/>
              </w:divBdr>
              <w:divsChild>
                <w:div w:id="9587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8828">
      <w:bodyDiv w:val="1"/>
      <w:marLeft w:val="0"/>
      <w:marRight w:val="0"/>
      <w:marTop w:val="0"/>
      <w:marBottom w:val="0"/>
      <w:divBdr>
        <w:top w:val="none" w:sz="0" w:space="0" w:color="auto"/>
        <w:left w:val="none" w:sz="0" w:space="0" w:color="auto"/>
        <w:bottom w:val="none" w:sz="0" w:space="0" w:color="auto"/>
        <w:right w:val="none" w:sz="0" w:space="0" w:color="auto"/>
      </w:divBdr>
      <w:divsChild>
        <w:div w:id="581069438">
          <w:marLeft w:val="0"/>
          <w:marRight w:val="0"/>
          <w:marTop w:val="0"/>
          <w:marBottom w:val="0"/>
          <w:divBdr>
            <w:top w:val="none" w:sz="0" w:space="0" w:color="auto"/>
            <w:left w:val="none" w:sz="0" w:space="0" w:color="auto"/>
            <w:bottom w:val="none" w:sz="0" w:space="0" w:color="auto"/>
            <w:right w:val="none" w:sz="0" w:space="0" w:color="auto"/>
          </w:divBdr>
          <w:divsChild>
            <w:div w:id="374239421">
              <w:marLeft w:val="0"/>
              <w:marRight w:val="0"/>
              <w:marTop w:val="0"/>
              <w:marBottom w:val="0"/>
              <w:divBdr>
                <w:top w:val="none" w:sz="0" w:space="0" w:color="auto"/>
                <w:left w:val="none" w:sz="0" w:space="0" w:color="auto"/>
                <w:bottom w:val="none" w:sz="0" w:space="0" w:color="auto"/>
                <w:right w:val="none" w:sz="0" w:space="0" w:color="auto"/>
              </w:divBdr>
              <w:divsChild>
                <w:div w:id="330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9793">
      <w:bodyDiv w:val="1"/>
      <w:marLeft w:val="0"/>
      <w:marRight w:val="0"/>
      <w:marTop w:val="0"/>
      <w:marBottom w:val="0"/>
      <w:divBdr>
        <w:top w:val="none" w:sz="0" w:space="0" w:color="auto"/>
        <w:left w:val="none" w:sz="0" w:space="0" w:color="auto"/>
        <w:bottom w:val="none" w:sz="0" w:space="0" w:color="auto"/>
        <w:right w:val="none" w:sz="0" w:space="0" w:color="auto"/>
      </w:divBdr>
      <w:divsChild>
        <w:div w:id="1044717460">
          <w:marLeft w:val="0"/>
          <w:marRight w:val="0"/>
          <w:marTop w:val="0"/>
          <w:marBottom w:val="0"/>
          <w:divBdr>
            <w:top w:val="none" w:sz="0" w:space="0" w:color="auto"/>
            <w:left w:val="none" w:sz="0" w:space="0" w:color="auto"/>
            <w:bottom w:val="none" w:sz="0" w:space="0" w:color="auto"/>
            <w:right w:val="none" w:sz="0" w:space="0" w:color="auto"/>
          </w:divBdr>
          <w:divsChild>
            <w:div w:id="634486084">
              <w:marLeft w:val="0"/>
              <w:marRight w:val="0"/>
              <w:marTop w:val="0"/>
              <w:marBottom w:val="0"/>
              <w:divBdr>
                <w:top w:val="none" w:sz="0" w:space="0" w:color="auto"/>
                <w:left w:val="none" w:sz="0" w:space="0" w:color="auto"/>
                <w:bottom w:val="none" w:sz="0" w:space="0" w:color="auto"/>
                <w:right w:val="none" w:sz="0" w:space="0" w:color="auto"/>
              </w:divBdr>
              <w:divsChild>
                <w:div w:id="189728716">
                  <w:marLeft w:val="0"/>
                  <w:marRight w:val="0"/>
                  <w:marTop w:val="0"/>
                  <w:marBottom w:val="0"/>
                  <w:divBdr>
                    <w:top w:val="none" w:sz="0" w:space="0" w:color="auto"/>
                    <w:left w:val="none" w:sz="0" w:space="0" w:color="auto"/>
                    <w:bottom w:val="none" w:sz="0" w:space="0" w:color="auto"/>
                    <w:right w:val="none" w:sz="0" w:space="0" w:color="auto"/>
                  </w:divBdr>
                </w:div>
              </w:divsChild>
            </w:div>
            <w:div w:id="1016614629">
              <w:marLeft w:val="0"/>
              <w:marRight w:val="0"/>
              <w:marTop w:val="0"/>
              <w:marBottom w:val="0"/>
              <w:divBdr>
                <w:top w:val="none" w:sz="0" w:space="0" w:color="auto"/>
                <w:left w:val="none" w:sz="0" w:space="0" w:color="auto"/>
                <w:bottom w:val="none" w:sz="0" w:space="0" w:color="auto"/>
                <w:right w:val="none" w:sz="0" w:space="0" w:color="auto"/>
              </w:divBdr>
              <w:divsChild>
                <w:div w:id="14346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0548">
      <w:bodyDiv w:val="1"/>
      <w:marLeft w:val="0"/>
      <w:marRight w:val="0"/>
      <w:marTop w:val="0"/>
      <w:marBottom w:val="0"/>
      <w:divBdr>
        <w:top w:val="none" w:sz="0" w:space="0" w:color="auto"/>
        <w:left w:val="none" w:sz="0" w:space="0" w:color="auto"/>
        <w:bottom w:val="none" w:sz="0" w:space="0" w:color="auto"/>
        <w:right w:val="none" w:sz="0" w:space="0" w:color="auto"/>
      </w:divBdr>
    </w:div>
    <w:div w:id="2064866884">
      <w:bodyDiv w:val="1"/>
      <w:marLeft w:val="0"/>
      <w:marRight w:val="0"/>
      <w:marTop w:val="0"/>
      <w:marBottom w:val="0"/>
      <w:divBdr>
        <w:top w:val="none" w:sz="0" w:space="0" w:color="auto"/>
        <w:left w:val="none" w:sz="0" w:space="0" w:color="auto"/>
        <w:bottom w:val="none" w:sz="0" w:space="0" w:color="auto"/>
        <w:right w:val="none" w:sz="0" w:space="0" w:color="auto"/>
      </w:divBdr>
    </w:div>
    <w:div w:id="2067606775">
      <w:bodyDiv w:val="1"/>
      <w:marLeft w:val="0"/>
      <w:marRight w:val="0"/>
      <w:marTop w:val="0"/>
      <w:marBottom w:val="0"/>
      <w:divBdr>
        <w:top w:val="none" w:sz="0" w:space="0" w:color="auto"/>
        <w:left w:val="none" w:sz="0" w:space="0" w:color="auto"/>
        <w:bottom w:val="none" w:sz="0" w:space="0" w:color="auto"/>
        <w:right w:val="none" w:sz="0" w:space="0" w:color="auto"/>
      </w:divBdr>
      <w:divsChild>
        <w:div w:id="1535845929">
          <w:marLeft w:val="0"/>
          <w:marRight w:val="0"/>
          <w:marTop w:val="0"/>
          <w:marBottom w:val="0"/>
          <w:divBdr>
            <w:top w:val="none" w:sz="0" w:space="0" w:color="auto"/>
            <w:left w:val="none" w:sz="0" w:space="0" w:color="auto"/>
            <w:bottom w:val="none" w:sz="0" w:space="0" w:color="auto"/>
            <w:right w:val="none" w:sz="0" w:space="0" w:color="auto"/>
          </w:divBdr>
          <w:divsChild>
            <w:div w:id="1376154184">
              <w:marLeft w:val="0"/>
              <w:marRight w:val="0"/>
              <w:marTop w:val="0"/>
              <w:marBottom w:val="0"/>
              <w:divBdr>
                <w:top w:val="none" w:sz="0" w:space="0" w:color="auto"/>
                <w:left w:val="none" w:sz="0" w:space="0" w:color="auto"/>
                <w:bottom w:val="none" w:sz="0" w:space="0" w:color="auto"/>
                <w:right w:val="none" w:sz="0" w:space="0" w:color="auto"/>
              </w:divBdr>
              <w:divsChild>
                <w:div w:id="4912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6595">
      <w:bodyDiv w:val="1"/>
      <w:marLeft w:val="0"/>
      <w:marRight w:val="0"/>
      <w:marTop w:val="0"/>
      <w:marBottom w:val="0"/>
      <w:divBdr>
        <w:top w:val="none" w:sz="0" w:space="0" w:color="auto"/>
        <w:left w:val="none" w:sz="0" w:space="0" w:color="auto"/>
        <w:bottom w:val="none" w:sz="0" w:space="0" w:color="auto"/>
        <w:right w:val="none" w:sz="0" w:space="0" w:color="auto"/>
      </w:divBdr>
      <w:divsChild>
        <w:div w:id="1235701252">
          <w:marLeft w:val="0"/>
          <w:marRight w:val="0"/>
          <w:marTop w:val="0"/>
          <w:marBottom w:val="0"/>
          <w:divBdr>
            <w:top w:val="none" w:sz="0" w:space="0" w:color="auto"/>
            <w:left w:val="none" w:sz="0" w:space="0" w:color="auto"/>
            <w:bottom w:val="none" w:sz="0" w:space="0" w:color="auto"/>
            <w:right w:val="none" w:sz="0" w:space="0" w:color="auto"/>
          </w:divBdr>
          <w:divsChild>
            <w:div w:id="415135037">
              <w:marLeft w:val="0"/>
              <w:marRight w:val="0"/>
              <w:marTop w:val="0"/>
              <w:marBottom w:val="0"/>
              <w:divBdr>
                <w:top w:val="none" w:sz="0" w:space="0" w:color="auto"/>
                <w:left w:val="none" w:sz="0" w:space="0" w:color="auto"/>
                <w:bottom w:val="none" w:sz="0" w:space="0" w:color="auto"/>
                <w:right w:val="none" w:sz="0" w:space="0" w:color="auto"/>
              </w:divBdr>
              <w:divsChild>
                <w:div w:id="1948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0585">
      <w:bodyDiv w:val="1"/>
      <w:marLeft w:val="0"/>
      <w:marRight w:val="0"/>
      <w:marTop w:val="0"/>
      <w:marBottom w:val="0"/>
      <w:divBdr>
        <w:top w:val="none" w:sz="0" w:space="0" w:color="auto"/>
        <w:left w:val="none" w:sz="0" w:space="0" w:color="auto"/>
        <w:bottom w:val="none" w:sz="0" w:space="0" w:color="auto"/>
        <w:right w:val="none" w:sz="0" w:space="0" w:color="auto"/>
      </w:divBdr>
    </w:div>
    <w:div w:id="2080906439">
      <w:bodyDiv w:val="1"/>
      <w:marLeft w:val="0"/>
      <w:marRight w:val="0"/>
      <w:marTop w:val="0"/>
      <w:marBottom w:val="0"/>
      <w:divBdr>
        <w:top w:val="none" w:sz="0" w:space="0" w:color="auto"/>
        <w:left w:val="none" w:sz="0" w:space="0" w:color="auto"/>
        <w:bottom w:val="none" w:sz="0" w:space="0" w:color="auto"/>
        <w:right w:val="none" w:sz="0" w:space="0" w:color="auto"/>
      </w:divBdr>
      <w:divsChild>
        <w:div w:id="1693875419">
          <w:marLeft w:val="0"/>
          <w:marRight w:val="0"/>
          <w:marTop w:val="0"/>
          <w:marBottom w:val="0"/>
          <w:divBdr>
            <w:top w:val="none" w:sz="0" w:space="0" w:color="auto"/>
            <w:left w:val="none" w:sz="0" w:space="0" w:color="auto"/>
            <w:bottom w:val="none" w:sz="0" w:space="0" w:color="auto"/>
            <w:right w:val="none" w:sz="0" w:space="0" w:color="auto"/>
          </w:divBdr>
          <w:divsChild>
            <w:div w:id="41565624">
              <w:marLeft w:val="0"/>
              <w:marRight w:val="0"/>
              <w:marTop w:val="0"/>
              <w:marBottom w:val="0"/>
              <w:divBdr>
                <w:top w:val="none" w:sz="0" w:space="0" w:color="auto"/>
                <w:left w:val="none" w:sz="0" w:space="0" w:color="auto"/>
                <w:bottom w:val="none" w:sz="0" w:space="0" w:color="auto"/>
                <w:right w:val="none" w:sz="0" w:space="0" w:color="auto"/>
              </w:divBdr>
              <w:divsChild>
                <w:div w:id="147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098">
      <w:bodyDiv w:val="1"/>
      <w:marLeft w:val="0"/>
      <w:marRight w:val="0"/>
      <w:marTop w:val="0"/>
      <w:marBottom w:val="0"/>
      <w:divBdr>
        <w:top w:val="none" w:sz="0" w:space="0" w:color="auto"/>
        <w:left w:val="none" w:sz="0" w:space="0" w:color="auto"/>
        <w:bottom w:val="none" w:sz="0" w:space="0" w:color="auto"/>
        <w:right w:val="none" w:sz="0" w:space="0" w:color="auto"/>
      </w:divBdr>
    </w:div>
    <w:div w:id="2101875590">
      <w:bodyDiv w:val="1"/>
      <w:marLeft w:val="0"/>
      <w:marRight w:val="0"/>
      <w:marTop w:val="0"/>
      <w:marBottom w:val="0"/>
      <w:divBdr>
        <w:top w:val="none" w:sz="0" w:space="0" w:color="auto"/>
        <w:left w:val="none" w:sz="0" w:space="0" w:color="auto"/>
        <w:bottom w:val="none" w:sz="0" w:space="0" w:color="auto"/>
        <w:right w:val="none" w:sz="0" w:space="0" w:color="auto"/>
      </w:divBdr>
    </w:div>
    <w:div w:id="2114276350">
      <w:bodyDiv w:val="1"/>
      <w:marLeft w:val="0"/>
      <w:marRight w:val="0"/>
      <w:marTop w:val="0"/>
      <w:marBottom w:val="0"/>
      <w:divBdr>
        <w:top w:val="none" w:sz="0" w:space="0" w:color="auto"/>
        <w:left w:val="none" w:sz="0" w:space="0" w:color="auto"/>
        <w:bottom w:val="none" w:sz="0" w:space="0" w:color="auto"/>
        <w:right w:val="none" w:sz="0" w:space="0" w:color="auto"/>
      </w:divBdr>
    </w:div>
    <w:div w:id="2125298533">
      <w:bodyDiv w:val="1"/>
      <w:marLeft w:val="0"/>
      <w:marRight w:val="0"/>
      <w:marTop w:val="0"/>
      <w:marBottom w:val="0"/>
      <w:divBdr>
        <w:top w:val="none" w:sz="0" w:space="0" w:color="auto"/>
        <w:left w:val="none" w:sz="0" w:space="0" w:color="auto"/>
        <w:bottom w:val="none" w:sz="0" w:space="0" w:color="auto"/>
        <w:right w:val="none" w:sz="0" w:space="0" w:color="auto"/>
      </w:divBdr>
      <w:divsChild>
        <w:div w:id="707216902">
          <w:marLeft w:val="0"/>
          <w:marRight w:val="0"/>
          <w:marTop w:val="0"/>
          <w:marBottom w:val="0"/>
          <w:divBdr>
            <w:top w:val="none" w:sz="0" w:space="0" w:color="auto"/>
            <w:left w:val="none" w:sz="0" w:space="0" w:color="auto"/>
            <w:bottom w:val="none" w:sz="0" w:space="0" w:color="auto"/>
            <w:right w:val="none" w:sz="0" w:space="0" w:color="auto"/>
          </w:divBdr>
          <w:divsChild>
            <w:div w:id="382144228">
              <w:marLeft w:val="0"/>
              <w:marRight w:val="0"/>
              <w:marTop w:val="0"/>
              <w:marBottom w:val="0"/>
              <w:divBdr>
                <w:top w:val="none" w:sz="0" w:space="0" w:color="auto"/>
                <w:left w:val="none" w:sz="0" w:space="0" w:color="auto"/>
                <w:bottom w:val="none" w:sz="0" w:space="0" w:color="auto"/>
                <w:right w:val="none" w:sz="0" w:space="0" w:color="auto"/>
              </w:divBdr>
              <w:divsChild>
                <w:div w:id="1795901656">
                  <w:marLeft w:val="0"/>
                  <w:marRight w:val="0"/>
                  <w:marTop w:val="0"/>
                  <w:marBottom w:val="0"/>
                  <w:divBdr>
                    <w:top w:val="none" w:sz="0" w:space="0" w:color="auto"/>
                    <w:left w:val="none" w:sz="0" w:space="0" w:color="auto"/>
                    <w:bottom w:val="none" w:sz="0" w:space="0" w:color="auto"/>
                    <w:right w:val="none" w:sz="0" w:space="0" w:color="auto"/>
                  </w:divBdr>
                </w:div>
              </w:divsChild>
            </w:div>
            <w:div w:id="507331750">
              <w:marLeft w:val="0"/>
              <w:marRight w:val="0"/>
              <w:marTop w:val="0"/>
              <w:marBottom w:val="0"/>
              <w:divBdr>
                <w:top w:val="none" w:sz="0" w:space="0" w:color="auto"/>
                <w:left w:val="none" w:sz="0" w:space="0" w:color="auto"/>
                <w:bottom w:val="none" w:sz="0" w:space="0" w:color="auto"/>
                <w:right w:val="none" w:sz="0" w:space="0" w:color="auto"/>
              </w:divBdr>
              <w:divsChild>
                <w:div w:id="1220097899">
                  <w:marLeft w:val="0"/>
                  <w:marRight w:val="0"/>
                  <w:marTop w:val="0"/>
                  <w:marBottom w:val="0"/>
                  <w:divBdr>
                    <w:top w:val="none" w:sz="0" w:space="0" w:color="auto"/>
                    <w:left w:val="none" w:sz="0" w:space="0" w:color="auto"/>
                    <w:bottom w:val="none" w:sz="0" w:space="0" w:color="auto"/>
                    <w:right w:val="none" w:sz="0" w:space="0" w:color="auto"/>
                  </w:divBdr>
                </w:div>
              </w:divsChild>
            </w:div>
            <w:div w:id="1902406769">
              <w:marLeft w:val="0"/>
              <w:marRight w:val="0"/>
              <w:marTop w:val="0"/>
              <w:marBottom w:val="0"/>
              <w:divBdr>
                <w:top w:val="none" w:sz="0" w:space="0" w:color="auto"/>
                <w:left w:val="none" w:sz="0" w:space="0" w:color="auto"/>
                <w:bottom w:val="none" w:sz="0" w:space="0" w:color="auto"/>
                <w:right w:val="none" w:sz="0" w:space="0" w:color="auto"/>
              </w:divBdr>
              <w:divsChild>
                <w:div w:id="632096468">
                  <w:marLeft w:val="0"/>
                  <w:marRight w:val="0"/>
                  <w:marTop w:val="0"/>
                  <w:marBottom w:val="0"/>
                  <w:divBdr>
                    <w:top w:val="none" w:sz="0" w:space="0" w:color="auto"/>
                    <w:left w:val="none" w:sz="0" w:space="0" w:color="auto"/>
                    <w:bottom w:val="none" w:sz="0" w:space="0" w:color="auto"/>
                    <w:right w:val="none" w:sz="0" w:space="0" w:color="auto"/>
                  </w:divBdr>
                </w:div>
              </w:divsChild>
            </w:div>
            <w:div w:id="1235240068">
              <w:marLeft w:val="0"/>
              <w:marRight w:val="0"/>
              <w:marTop w:val="0"/>
              <w:marBottom w:val="0"/>
              <w:divBdr>
                <w:top w:val="none" w:sz="0" w:space="0" w:color="auto"/>
                <w:left w:val="none" w:sz="0" w:space="0" w:color="auto"/>
                <w:bottom w:val="none" w:sz="0" w:space="0" w:color="auto"/>
                <w:right w:val="none" w:sz="0" w:space="0" w:color="auto"/>
              </w:divBdr>
              <w:divsChild>
                <w:div w:id="11132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idh.or.cr/sitios/libros/todos/docs/dialogo-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B057-7BD5-4173-BA17-89C4E88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14299</Words>
  <Characters>78645</Characters>
  <Application>Microsoft Office Word</Application>
  <DocSecurity>0</DocSecurity>
  <Lines>655</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dcterms:created xsi:type="dcterms:W3CDTF">2020-10-26T23:45:00Z</dcterms:created>
  <dcterms:modified xsi:type="dcterms:W3CDTF">2020-10-26T23:45:00Z</dcterms:modified>
</cp:coreProperties>
</file>