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4900B" w14:textId="77777777" w:rsidR="00633D5E" w:rsidRDefault="00633D5E" w:rsidP="006D5AED">
      <w:pPr>
        <w:spacing w:after="0" w:line="360" w:lineRule="auto"/>
        <w:jc w:val="center"/>
        <w:rPr>
          <w:rFonts w:ascii="Verdana" w:hAnsi="Verdana"/>
          <w:b/>
          <w:sz w:val="20"/>
          <w:szCs w:val="20"/>
          <w:lang w:val="es-ES"/>
        </w:rPr>
      </w:pPr>
      <w:r>
        <w:rPr>
          <w:rFonts w:ascii="Verdana" w:hAnsi="Verdana"/>
          <w:b/>
          <w:sz w:val="20"/>
          <w:szCs w:val="20"/>
          <w:lang w:val="es-ES"/>
        </w:rPr>
        <w:t xml:space="preserve">VOTO CONCURRENTE </w:t>
      </w:r>
      <w:r w:rsidR="007906F4" w:rsidRPr="00F37E3A">
        <w:rPr>
          <w:rFonts w:ascii="Verdana" w:hAnsi="Verdana"/>
          <w:b/>
          <w:sz w:val="20"/>
          <w:szCs w:val="20"/>
          <w:lang w:val="es-ES"/>
        </w:rPr>
        <w:t xml:space="preserve">DEL </w:t>
      </w:r>
    </w:p>
    <w:p w14:paraId="07B6B34B" w14:textId="77777777" w:rsidR="00633D5E" w:rsidRDefault="007906F4" w:rsidP="006D5AED">
      <w:pPr>
        <w:spacing w:after="0" w:line="360" w:lineRule="auto"/>
        <w:jc w:val="center"/>
        <w:rPr>
          <w:rFonts w:ascii="Verdana" w:hAnsi="Verdana"/>
          <w:b/>
          <w:sz w:val="20"/>
          <w:szCs w:val="20"/>
          <w:lang w:val="es-ES"/>
        </w:rPr>
      </w:pPr>
      <w:r w:rsidRPr="00F37E3A">
        <w:rPr>
          <w:rFonts w:ascii="Verdana" w:hAnsi="Verdana"/>
          <w:b/>
          <w:sz w:val="20"/>
          <w:szCs w:val="20"/>
          <w:lang w:val="es-ES"/>
        </w:rPr>
        <w:t xml:space="preserve">JUEZ EDUARDO FERRER MAC-GREGOR POISOT </w:t>
      </w:r>
    </w:p>
    <w:p w14:paraId="0708E7B1" w14:textId="77777777" w:rsidR="00B536BB" w:rsidRDefault="00633D5E" w:rsidP="006D5AED">
      <w:pPr>
        <w:spacing w:after="0" w:line="360" w:lineRule="auto"/>
        <w:jc w:val="center"/>
        <w:rPr>
          <w:rFonts w:ascii="Verdana" w:hAnsi="Verdana"/>
          <w:b/>
          <w:sz w:val="20"/>
          <w:szCs w:val="20"/>
          <w:lang w:val="es-ES"/>
        </w:rPr>
      </w:pPr>
      <w:r>
        <w:rPr>
          <w:rFonts w:ascii="Verdana" w:hAnsi="Verdana"/>
          <w:b/>
          <w:sz w:val="20"/>
          <w:szCs w:val="20"/>
          <w:lang w:val="es-ES"/>
        </w:rPr>
        <w:t>Y DE LA JUEZA ELIZABETH ODIO BENITO</w:t>
      </w:r>
    </w:p>
    <w:p w14:paraId="7BAD218D" w14:textId="77777777" w:rsidR="006D5AED" w:rsidRPr="00F37E3A" w:rsidRDefault="006D5AED" w:rsidP="006D5AED">
      <w:pPr>
        <w:spacing w:after="120" w:line="240" w:lineRule="auto"/>
        <w:jc w:val="center"/>
        <w:rPr>
          <w:rFonts w:ascii="Verdana" w:hAnsi="Verdana"/>
          <w:b/>
          <w:sz w:val="20"/>
          <w:szCs w:val="20"/>
          <w:lang w:val="es-ES"/>
        </w:rPr>
      </w:pPr>
    </w:p>
    <w:p w14:paraId="3BED1D87" w14:textId="77777777" w:rsidR="007906F4" w:rsidRPr="00F37E3A" w:rsidRDefault="007906F4" w:rsidP="006D5AED">
      <w:pPr>
        <w:tabs>
          <w:tab w:val="left" w:pos="851"/>
          <w:tab w:val="left" w:pos="1701"/>
          <w:tab w:val="left" w:pos="3544"/>
          <w:tab w:val="left" w:pos="3696"/>
        </w:tabs>
        <w:spacing w:after="120" w:line="240" w:lineRule="auto"/>
        <w:jc w:val="center"/>
        <w:rPr>
          <w:rFonts w:ascii="Verdana" w:hAnsi="Verdana"/>
          <w:b/>
          <w:i/>
          <w:sz w:val="20"/>
          <w:szCs w:val="20"/>
          <w:u w:val="single"/>
          <w:lang w:val="es-MX"/>
        </w:rPr>
      </w:pPr>
      <w:r w:rsidRPr="00F37E3A">
        <w:rPr>
          <w:rFonts w:ascii="Verdana" w:hAnsi="Verdana"/>
          <w:b/>
          <w:i/>
          <w:sz w:val="20"/>
          <w:szCs w:val="20"/>
          <w:u w:val="single"/>
        </w:rPr>
        <w:t>CASO DÍAZ LORETO Y OTROS VS. VENEZUELA</w:t>
      </w:r>
    </w:p>
    <w:p w14:paraId="12928EE6" w14:textId="77777777" w:rsidR="007906F4" w:rsidRPr="00633D5E" w:rsidRDefault="007906F4" w:rsidP="007906F4">
      <w:pPr>
        <w:jc w:val="center"/>
        <w:rPr>
          <w:rFonts w:ascii="Verdana" w:hAnsi="Verdana"/>
          <w:b/>
          <w:sz w:val="18"/>
          <w:szCs w:val="18"/>
        </w:rPr>
      </w:pPr>
    </w:p>
    <w:p w14:paraId="1B80D2A4" w14:textId="77777777" w:rsidR="007906F4" w:rsidRPr="00633D5E" w:rsidRDefault="007906F4" w:rsidP="008C15AE">
      <w:pPr>
        <w:spacing w:after="0"/>
        <w:jc w:val="center"/>
        <w:rPr>
          <w:rFonts w:ascii="Verdana" w:hAnsi="Verdana"/>
          <w:b/>
          <w:sz w:val="18"/>
          <w:szCs w:val="18"/>
        </w:rPr>
      </w:pPr>
      <w:r w:rsidRPr="00633D5E">
        <w:rPr>
          <w:rFonts w:ascii="Verdana" w:hAnsi="Verdana"/>
          <w:b/>
          <w:sz w:val="18"/>
          <w:szCs w:val="18"/>
        </w:rPr>
        <w:t>SENTENCIA DE 19 DE NOVIEMBRE DE 2019</w:t>
      </w:r>
    </w:p>
    <w:p w14:paraId="381DA330" w14:textId="77777777" w:rsidR="007906F4" w:rsidRDefault="007906F4" w:rsidP="008C15AE">
      <w:pPr>
        <w:spacing w:after="0"/>
        <w:jc w:val="center"/>
        <w:rPr>
          <w:rFonts w:ascii="Verdana" w:hAnsi="Verdana"/>
          <w:b/>
          <w:i/>
          <w:sz w:val="18"/>
          <w:szCs w:val="18"/>
        </w:rPr>
      </w:pPr>
      <w:r w:rsidRPr="00633D5E">
        <w:rPr>
          <w:rFonts w:ascii="Verdana" w:hAnsi="Verdana"/>
          <w:b/>
          <w:i/>
          <w:sz w:val="18"/>
          <w:szCs w:val="18"/>
        </w:rPr>
        <w:t>(Excepciones Preliminares, Fondo, Reparaciones y Costas)</w:t>
      </w:r>
    </w:p>
    <w:p w14:paraId="640A3876" w14:textId="77777777" w:rsidR="00633D5E" w:rsidRDefault="00633D5E" w:rsidP="007906F4">
      <w:pPr>
        <w:jc w:val="center"/>
        <w:rPr>
          <w:rFonts w:ascii="Verdana" w:hAnsi="Verdana"/>
          <w:b/>
          <w:i/>
          <w:sz w:val="18"/>
          <w:szCs w:val="18"/>
        </w:rPr>
      </w:pPr>
    </w:p>
    <w:p w14:paraId="7724E067" w14:textId="77777777" w:rsidR="008C15AE" w:rsidRPr="008C15AE" w:rsidRDefault="00CD177B" w:rsidP="008C15AE">
      <w:pPr>
        <w:spacing w:before="240" w:after="240"/>
        <w:jc w:val="center"/>
        <w:outlineLvl w:val="0"/>
        <w:rPr>
          <w:rFonts w:ascii="Verdana" w:hAnsi="Verdana"/>
          <w:b/>
          <w:sz w:val="20"/>
          <w:szCs w:val="20"/>
        </w:rPr>
      </w:pPr>
      <w:r w:rsidRPr="008C15AE">
        <w:rPr>
          <w:rFonts w:ascii="Verdana" w:hAnsi="Verdana"/>
          <w:b/>
          <w:sz w:val="20"/>
          <w:szCs w:val="20"/>
        </w:rPr>
        <w:t>I</w:t>
      </w:r>
      <w:r w:rsidR="006425F8">
        <w:rPr>
          <w:rFonts w:ascii="Verdana" w:hAnsi="Verdana"/>
          <w:b/>
          <w:sz w:val="20"/>
          <w:szCs w:val="20"/>
        </w:rPr>
        <w:t>NTRODUCCIÓN</w:t>
      </w:r>
    </w:p>
    <w:p w14:paraId="5CC1D1F1" w14:textId="77777777" w:rsidR="00326B35" w:rsidRPr="00AD47D0" w:rsidRDefault="00351CE4" w:rsidP="002F1B04">
      <w:pPr>
        <w:pStyle w:val="Prrafodelista"/>
        <w:numPr>
          <w:ilvl w:val="0"/>
          <w:numId w:val="3"/>
        </w:numPr>
        <w:spacing w:before="120" w:after="120"/>
        <w:ind w:left="0" w:firstLine="0"/>
        <w:contextualSpacing w:val="0"/>
        <w:jc w:val="both"/>
        <w:rPr>
          <w:rFonts w:ascii="Verdana" w:hAnsi="Verdana"/>
          <w:sz w:val="20"/>
          <w:szCs w:val="20"/>
        </w:rPr>
      </w:pPr>
      <w:r w:rsidRPr="00AD47D0">
        <w:rPr>
          <w:rFonts w:ascii="Verdana" w:hAnsi="Verdana"/>
          <w:sz w:val="20"/>
          <w:szCs w:val="20"/>
        </w:rPr>
        <w:t xml:space="preserve">Desde su primer caso contencioso, la </w:t>
      </w:r>
      <w:r w:rsidR="001D7D98" w:rsidRPr="00AD47D0">
        <w:rPr>
          <w:rFonts w:ascii="Verdana" w:hAnsi="Verdana"/>
          <w:sz w:val="20"/>
          <w:szCs w:val="20"/>
        </w:rPr>
        <w:t xml:space="preserve">Corte Interamericana de Derechos Humanos </w:t>
      </w:r>
      <w:r w:rsidRPr="00AD47D0">
        <w:rPr>
          <w:rFonts w:ascii="Verdana" w:hAnsi="Verdana"/>
          <w:sz w:val="20"/>
          <w:szCs w:val="20"/>
        </w:rPr>
        <w:t xml:space="preserve">(en adelante “Corte IDH” o “Tribunal Interamericano”) ha utilizado el “contexto” como un elemento fundamental para la valoración de los </w:t>
      </w:r>
      <w:r w:rsidR="00722B79" w:rsidRPr="00AD47D0">
        <w:rPr>
          <w:rFonts w:ascii="Verdana" w:hAnsi="Verdana"/>
          <w:sz w:val="20"/>
          <w:szCs w:val="20"/>
        </w:rPr>
        <w:t>hechos sometidos a su consideración y eventualmente determinar la responsabilidad internacional del Estado</w:t>
      </w:r>
      <w:r w:rsidR="0031775F" w:rsidRPr="00AD47D0">
        <w:rPr>
          <w:rStyle w:val="Refdenotaalpie"/>
          <w:rFonts w:ascii="Verdana" w:hAnsi="Verdana"/>
          <w:sz w:val="20"/>
          <w:szCs w:val="20"/>
        </w:rPr>
        <w:footnoteReference w:id="1"/>
      </w:r>
      <w:r w:rsidR="00722B79" w:rsidRPr="00AD47D0">
        <w:rPr>
          <w:rFonts w:ascii="Verdana" w:hAnsi="Verdana"/>
          <w:sz w:val="20"/>
          <w:szCs w:val="20"/>
        </w:rPr>
        <w:t xml:space="preserve">. </w:t>
      </w:r>
      <w:r w:rsidR="00326B35" w:rsidRPr="00AD47D0">
        <w:rPr>
          <w:rFonts w:ascii="Verdana" w:hAnsi="Verdana"/>
          <w:sz w:val="20"/>
          <w:szCs w:val="20"/>
        </w:rPr>
        <w:t>En el caso concreto, tanto la Comisión Interamericana de Derechos Humanos (en el Informe de Fondo), como los representantes de las víctimas (en el E</w:t>
      </w:r>
      <w:r w:rsidR="005F515B" w:rsidRPr="00AD47D0">
        <w:rPr>
          <w:rFonts w:ascii="Verdana" w:hAnsi="Verdana"/>
          <w:sz w:val="20"/>
          <w:szCs w:val="20"/>
        </w:rPr>
        <w:t xml:space="preserve">scrito de </w:t>
      </w:r>
      <w:r w:rsidR="00326B35" w:rsidRPr="00AD47D0">
        <w:rPr>
          <w:rFonts w:ascii="Verdana" w:hAnsi="Verdana"/>
          <w:sz w:val="20"/>
          <w:szCs w:val="20"/>
        </w:rPr>
        <w:t>S</w:t>
      </w:r>
      <w:r w:rsidR="005F515B" w:rsidRPr="00AD47D0">
        <w:rPr>
          <w:rFonts w:ascii="Verdana" w:hAnsi="Verdana"/>
          <w:sz w:val="20"/>
          <w:szCs w:val="20"/>
        </w:rPr>
        <w:t xml:space="preserve">olicitudes, </w:t>
      </w:r>
      <w:r w:rsidR="00326B35" w:rsidRPr="00AD47D0">
        <w:rPr>
          <w:rFonts w:ascii="Verdana" w:hAnsi="Verdana"/>
          <w:sz w:val="20"/>
          <w:szCs w:val="20"/>
        </w:rPr>
        <w:t>A</w:t>
      </w:r>
      <w:r w:rsidR="005F515B" w:rsidRPr="00AD47D0">
        <w:rPr>
          <w:rFonts w:ascii="Verdana" w:hAnsi="Verdana"/>
          <w:sz w:val="20"/>
          <w:szCs w:val="20"/>
        </w:rPr>
        <w:t xml:space="preserve">rgumentos y </w:t>
      </w:r>
      <w:r w:rsidR="00326B35" w:rsidRPr="00AD47D0">
        <w:rPr>
          <w:rFonts w:ascii="Verdana" w:hAnsi="Verdana"/>
          <w:sz w:val="20"/>
          <w:szCs w:val="20"/>
        </w:rPr>
        <w:t>P</w:t>
      </w:r>
      <w:r w:rsidR="005F515B" w:rsidRPr="00AD47D0">
        <w:rPr>
          <w:rFonts w:ascii="Verdana" w:hAnsi="Verdana"/>
          <w:sz w:val="20"/>
          <w:szCs w:val="20"/>
        </w:rPr>
        <w:t>ruebas</w:t>
      </w:r>
      <w:r w:rsidR="00326B35" w:rsidRPr="00AD47D0">
        <w:rPr>
          <w:rFonts w:ascii="Verdana" w:hAnsi="Verdana"/>
          <w:sz w:val="20"/>
          <w:szCs w:val="20"/>
        </w:rPr>
        <w:t xml:space="preserve">), se refieren de manera amplia a un contexto de </w:t>
      </w:r>
      <w:r w:rsidR="00A72839" w:rsidRPr="00AD47D0">
        <w:rPr>
          <w:rFonts w:ascii="Verdana" w:hAnsi="Verdana"/>
          <w:sz w:val="20"/>
          <w:szCs w:val="20"/>
        </w:rPr>
        <w:t>“</w:t>
      </w:r>
      <w:r w:rsidR="00326B35" w:rsidRPr="00AD47D0">
        <w:rPr>
          <w:rFonts w:ascii="Verdana" w:hAnsi="Verdana"/>
          <w:sz w:val="20"/>
          <w:szCs w:val="20"/>
        </w:rPr>
        <w:t>ejecuciones extrajudiciales</w:t>
      </w:r>
      <w:r w:rsidR="00A72839" w:rsidRPr="00AD47D0">
        <w:rPr>
          <w:rFonts w:ascii="Verdana" w:hAnsi="Verdana"/>
          <w:sz w:val="20"/>
          <w:szCs w:val="20"/>
        </w:rPr>
        <w:t>”</w:t>
      </w:r>
      <w:r w:rsidR="00326B35" w:rsidRPr="00AD47D0">
        <w:rPr>
          <w:rFonts w:ascii="Verdana" w:hAnsi="Verdana"/>
          <w:sz w:val="20"/>
          <w:szCs w:val="20"/>
        </w:rPr>
        <w:t xml:space="preserve"> en Venezuela y</w:t>
      </w:r>
      <w:r w:rsidR="0007162E" w:rsidRPr="00AD47D0">
        <w:rPr>
          <w:rFonts w:ascii="Verdana" w:hAnsi="Verdana"/>
          <w:sz w:val="20"/>
          <w:szCs w:val="20"/>
        </w:rPr>
        <w:t>,</w:t>
      </w:r>
      <w:r w:rsidR="00326B35" w:rsidRPr="00AD47D0">
        <w:rPr>
          <w:rFonts w:ascii="Verdana" w:hAnsi="Verdana"/>
          <w:sz w:val="20"/>
          <w:szCs w:val="20"/>
        </w:rPr>
        <w:t xml:space="preserve"> part</w:t>
      </w:r>
      <w:r w:rsidR="00A72839" w:rsidRPr="00AD47D0">
        <w:rPr>
          <w:rFonts w:ascii="Verdana" w:hAnsi="Verdana"/>
          <w:sz w:val="20"/>
          <w:szCs w:val="20"/>
        </w:rPr>
        <w:t>icularmente</w:t>
      </w:r>
      <w:r w:rsidR="006D0B04" w:rsidRPr="00AD47D0">
        <w:rPr>
          <w:rFonts w:ascii="Verdana" w:hAnsi="Verdana"/>
          <w:sz w:val="20"/>
          <w:szCs w:val="20"/>
        </w:rPr>
        <w:t xml:space="preserve"> en el estado Aragua</w:t>
      </w:r>
      <w:r w:rsidR="00A72839" w:rsidRPr="00AD47D0">
        <w:rPr>
          <w:rFonts w:ascii="Verdana" w:hAnsi="Verdana"/>
          <w:sz w:val="20"/>
          <w:szCs w:val="20"/>
        </w:rPr>
        <w:t>, al momento en que ocurrieron las muertes de las víctimas del presente caso.</w:t>
      </w:r>
      <w:r w:rsidR="000E35E3" w:rsidRPr="00AD47D0">
        <w:rPr>
          <w:rFonts w:ascii="Verdana" w:hAnsi="Verdana"/>
          <w:sz w:val="20"/>
          <w:szCs w:val="20"/>
        </w:rPr>
        <w:t xml:space="preserve"> Dicho contexto</w:t>
      </w:r>
      <w:r w:rsidR="00797EF4" w:rsidRPr="00AD47D0">
        <w:rPr>
          <w:rFonts w:ascii="Verdana" w:hAnsi="Verdana"/>
          <w:sz w:val="20"/>
          <w:szCs w:val="20"/>
        </w:rPr>
        <w:t xml:space="preserve"> no fue objetado por el Estado.</w:t>
      </w:r>
    </w:p>
    <w:p w14:paraId="129FF494" w14:textId="77777777" w:rsidR="000E35E3" w:rsidRPr="00B06809" w:rsidRDefault="00326B35" w:rsidP="006E4B15">
      <w:pPr>
        <w:pStyle w:val="Prrafodelista"/>
        <w:numPr>
          <w:ilvl w:val="0"/>
          <w:numId w:val="3"/>
        </w:numPr>
        <w:spacing w:before="120" w:after="120"/>
        <w:ind w:left="0" w:firstLine="0"/>
        <w:contextualSpacing w:val="0"/>
        <w:jc w:val="both"/>
        <w:rPr>
          <w:rFonts w:ascii="Verdana" w:hAnsi="Verdana"/>
          <w:sz w:val="20"/>
          <w:szCs w:val="20"/>
        </w:rPr>
      </w:pPr>
      <w:r w:rsidRPr="00B06809">
        <w:rPr>
          <w:rFonts w:ascii="Verdana" w:hAnsi="Verdana"/>
          <w:sz w:val="20"/>
          <w:szCs w:val="20"/>
        </w:rPr>
        <w:t xml:space="preserve">En la Sentencia del caso </w:t>
      </w:r>
      <w:r w:rsidRPr="00B06809">
        <w:rPr>
          <w:rFonts w:ascii="Verdana" w:hAnsi="Verdana"/>
          <w:i/>
          <w:sz w:val="20"/>
          <w:szCs w:val="20"/>
        </w:rPr>
        <w:t>D</w:t>
      </w:r>
      <w:r w:rsidR="0007162E" w:rsidRPr="00B06809">
        <w:rPr>
          <w:rFonts w:ascii="Verdana" w:hAnsi="Verdana"/>
          <w:i/>
          <w:sz w:val="20"/>
          <w:szCs w:val="20"/>
        </w:rPr>
        <w:t>íaz Loreto y o</w:t>
      </w:r>
      <w:r w:rsidRPr="00B06809">
        <w:rPr>
          <w:rFonts w:ascii="Verdana" w:hAnsi="Verdana"/>
          <w:i/>
          <w:sz w:val="20"/>
          <w:szCs w:val="20"/>
        </w:rPr>
        <w:t xml:space="preserve">tros Vs. Venezuela </w:t>
      </w:r>
      <w:r w:rsidRPr="00B06809">
        <w:rPr>
          <w:rFonts w:ascii="Verdana" w:hAnsi="Verdana"/>
          <w:sz w:val="20"/>
          <w:szCs w:val="20"/>
        </w:rPr>
        <w:t>(en adelante “la Sentencia”)</w:t>
      </w:r>
      <w:r w:rsidRPr="00B06809">
        <w:rPr>
          <w:rStyle w:val="Refdenotaalpie"/>
          <w:rFonts w:ascii="Verdana" w:hAnsi="Verdana"/>
          <w:sz w:val="20"/>
          <w:szCs w:val="20"/>
        </w:rPr>
        <w:footnoteReference w:id="2"/>
      </w:r>
      <w:r w:rsidRPr="00B06809">
        <w:rPr>
          <w:rFonts w:ascii="Verdana" w:hAnsi="Verdana"/>
          <w:sz w:val="20"/>
          <w:szCs w:val="20"/>
        </w:rPr>
        <w:t xml:space="preserve">, el Tribunal Interamericano aborda </w:t>
      </w:r>
      <w:r w:rsidR="00A72839" w:rsidRPr="00B06809">
        <w:rPr>
          <w:rFonts w:ascii="Verdana" w:hAnsi="Verdana"/>
          <w:sz w:val="20"/>
          <w:szCs w:val="20"/>
        </w:rPr>
        <w:t>dicho</w:t>
      </w:r>
      <w:r w:rsidRPr="00B06809">
        <w:rPr>
          <w:rFonts w:ascii="Verdana" w:hAnsi="Verdana"/>
          <w:sz w:val="20"/>
          <w:szCs w:val="20"/>
        </w:rPr>
        <w:t xml:space="preserve"> “</w:t>
      </w:r>
      <w:r w:rsidR="0007162E" w:rsidRPr="00B06809">
        <w:rPr>
          <w:rFonts w:ascii="Verdana" w:hAnsi="Verdana"/>
          <w:sz w:val="20"/>
          <w:szCs w:val="20"/>
        </w:rPr>
        <w:t>c</w:t>
      </w:r>
      <w:r w:rsidRPr="00B06809">
        <w:rPr>
          <w:rFonts w:ascii="Verdana" w:hAnsi="Verdana"/>
          <w:sz w:val="20"/>
          <w:szCs w:val="20"/>
        </w:rPr>
        <w:t>ontexto” en dos momentos. Prim</w:t>
      </w:r>
      <w:r w:rsidR="002E3700" w:rsidRPr="00B06809">
        <w:rPr>
          <w:rFonts w:ascii="Verdana" w:hAnsi="Verdana"/>
          <w:sz w:val="20"/>
          <w:szCs w:val="20"/>
        </w:rPr>
        <w:t>ero, en el capítulo de “Hechos”</w:t>
      </w:r>
      <w:r w:rsidR="002E3700" w:rsidRPr="00B06809">
        <w:rPr>
          <w:rStyle w:val="Refdenotaalpie"/>
          <w:rFonts w:ascii="Verdana" w:hAnsi="Verdana"/>
          <w:sz w:val="20"/>
          <w:szCs w:val="20"/>
        </w:rPr>
        <w:footnoteReference w:id="3"/>
      </w:r>
      <w:r w:rsidR="002E3700" w:rsidRPr="00B06809">
        <w:rPr>
          <w:rFonts w:ascii="Verdana" w:hAnsi="Verdana"/>
          <w:sz w:val="20"/>
          <w:szCs w:val="20"/>
        </w:rPr>
        <w:t>,</w:t>
      </w:r>
      <w:r w:rsidRPr="00B06809">
        <w:rPr>
          <w:rFonts w:ascii="Verdana" w:hAnsi="Verdana"/>
          <w:sz w:val="20"/>
          <w:szCs w:val="20"/>
        </w:rPr>
        <w:t xml:space="preserve"> y luego en </w:t>
      </w:r>
      <w:r w:rsidR="00A72839" w:rsidRPr="00B06809">
        <w:rPr>
          <w:rFonts w:ascii="Verdana" w:hAnsi="Verdana"/>
          <w:sz w:val="20"/>
          <w:szCs w:val="20"/>
        </w:rPr>
        <w:t xml:space="preserve">un apartado especial al analizar el </w:t>
      </w:r>
      <w:r w:rsidRPr="00B06809">
        <w:rPr>
          <w:rFonts w:ascii="Verdana" w:hAnsi="Verdana"/>
          <w:sz w:val="20"/>
          <w:szCs w:val="20"/>
        </w:rPr>
        <w:t>“Fondo”</w:t>
      </w:r>
      <w:r w:rsidR="00A72839" w:rsidRPr="00B06809">
        <w:rPr>
          <w:rFonts w:ascii="Verdana" w:hAnsi="Verdana"/>
          <w:sz w:val="20"/>
          <w:szCs w:val="20"/>
        </w:rPr>
        <w:t xml:space="preserve"> </w:t>
      </w:r>
      <w:r w:rsidR="00E15B8D" w:rsidRPr="00B06809">
        <w:rPr>
          <w:rFonts w:ascii="Verdana" w:hAnsi="Verdana"/>
          <w:sz w:val="20"/>
          <w:szCs w:val="20"/>
        </w:rPr>
        <w:t>del caso</w:t>
      </w:r>
      <w:r w:rsidR="002E3700" w:rsidRPr="00B06809">
        <w:rPr>
          <w:rStyle w:val="Refdenotaalpie"/>
          <w:rFonts w:ascii="Verdana" w:hAnsi="Verdana"/>
          <w:sz w:val="20"/>
          <w:szCs w:val="20"/>
        </w:rPr>
        <w:footnoteReference w:id="4"/>
      </w:r>
      <w:r w:rsidR="00A72839" w:rsidRPr="00B06809">
        <w:rPr>
          <w:rFonts w:ascii="Verdana" w:hAnsi="Verdana"/>
          <w:sz w:val="20"/>
          <w:szCs w:val="20"/>
        </w:rPr>
        <w:t xml:space="preserve">. </w:t>
      </w:r>
      <w:r w:rsidR="000E35E3" w:rsidRPr="00B06809">
        <w:rPr>
          <w:rFonts w:ascii="Verdana" w:hAnsi="Verdana"/>
          <w:sz w:val="20"/>
          <w:szCs w:val="20"/>
        </w:rPr>
        <w:t xml:space="preserve">La Sentencia concluye, </w:t>
      </w:r>
      <w:r w:rsidR="000E35E3" w:rsidRPr="00B06809">
        <w:rPr>
          <w:rFonts w:ascii="Verdana" w:hAnsi="Verdana"/>
          <w:i/>
          <w:sz w:val="20"/>
          <w:szCs w:val="20"/>
        </w:rPr>
        <w:t xml:space="preserve">inter </w:t>
      </w:r>
      <w:proofErr w:type="spellStart"/>
      <w:r w:rsidR="000E35E3" w:rsidRPr="00B06809">
        <w:rPr>
          <w:rFonts w:ascii="Verdana" w:hAnsi="Verdana"/>
          <w:i/>
          <w:sz w:val="20"/>
          <w:szCs w:val="20"/>
        </w:rPr>
        <w:t>alia</w:t>
      </w:r>
      <w:proofErr w:type="spellEnd"/>
      <w:r w:rsidR="000E35E3" w:rsidRPr="00B06809">
        <w:rPr>
          <w:rFonts w:ascii="Verdana" w:hAnsi="Verdana"/>
          <w:sz w:val="20"/>
          <w:szCs w:val="20"/>
        </w:rPr>
        <w:t>, que “el Estado es re</w:t>
      </w:r>
      <w:r w:rsidR="007A5E27">
        <w:rPr>
          <w:rFonts w:ascii="Verdana" w:hAnsi="Verdana"/>
          <w:sz w:val="20"/>
          <w:szCs w:val="20"/>
        </w:rPr>
        <w:t>s</w:t>
      </w:r>
      <w:r w:rsidR="000E35E3" w:rsidRPr="00B06809">
        <w:rPr>
          <w:rFonts w:ascii="Verdana" w:hAnsi="Verdana"/>
          <w:sz w:val="20"/>
          <w:szCs w:val="20"/>
        </w:rPr>
        <w:t>ponsable por la vulneración al derecho a la vida contenido en el artículo 4 de la Convención Americana en perjuicio de Robert Ignacio Díaz Loreto, David Octavio Díaz Loreto, y Octavio Ignacio Díaz Álvarez”</w:t>
      </w:r>
      <w:r w:rsidR="000E35E3" w:rsidRPr="00B06809">
        <w:rPr>
          <w:rStyle w:val="Refdenotaalpie"/>
          <w:rFonts w:ascii="Verdana" w:hAnsi="Verdana"/>
          <w:sz w:val="20"/>
          <w:szCs w:val="20"/>
        </w:rPr>
        <w:footnoteReference w:id="5"/>
      </w:r>
      <w:r w:rsidR="000E35E3" w:rsidRPr="00B06809">
        <w:rPr>
          <w:rFonts w:ascii="Verdana" w:hAnsi="Verdana"/>
          <w:sz w:val="20"/>
          <w:szCs w:val="20"/>
        </w:rPr>
        <w:t xml:space="preserve">. </w:t>
      </w:r>
    </w:p>
    <w:p w14:paraId="1D768611" w14:textId="77777777" w:rsidR="00797EF4" w:rsidRPr="00AD47D0" w:rsidRDefault="0007162E" w:rsidP="006E4B15">
      <w:pPr>
        <w:pStyle w:val="Prrafodelista"/>
        <w:numPr>
          <w:ilvl w:val="0"/>
          <w:numId w:val="3"/>
        </w:numPr>
        <w:spacing w:before="120" w:after="120"/>
        <w:ind w:left="0" w:firstLine="0"/>
        <w:contextualSpacing w:val="0"/>
        <w:jc w:val="both"/>
        <w:rPr>
          <w:rFonts w:ascii="Verdana" w:hAnsi="Verdana"/>
          <w:sz w:val="20"/>
          <w:szCs w:val="20"/>
        </w:rPr>
      </w:pPr>
      <w:r w:rsidRPr="00AD47D0">
        <w:rPr>
          <w:rFonts w:ascii="Verdana" w:hAnsi="Verdana"/>
          <w:sz w:val="20"/>
          <w:szCs w:val="20"/>
        </w:rPr>
        <w:t>Los que suscribimos el presente voto, c</w:t>
      </w:r>
      <w:r w:rsidR="000E35E3" w:rsidRPr="00AD47D0">
        <w:rPr>
          <w:rFonts w:ascii="Verdana" w:hAnsi="Verdana"/>
          <w:sz w:val="20"/>
          <w:szCs w:val="20"/>
        </w:rPr>
        <w:t>o</w:t>
      </w:r>
      <w:r w:rsidR="007A5E27">
        <w:rPr>
          <w:rFonts w:ascii="Verdana" w:hAnsi="Verdana"/>
          <w:sz w:val="20"/>
          <w:szCs w:val="20"/>
        </w:rPr>
        <w:t>i</w:t>
      </w:r>
      <w:r w:rsidR="000E35E3" w:rsidRPr="00AD47D0">
        <w:rPr>
          <w:rFonts w:ascii="Verdana" w:hAnsi="Verdana"/>
          <w:sz w:val="20"/>
          <w:szCs w:val="20"/>
        </w:rPr>
        <w:t xml:space="preserve">ncidimos plenamente con lo anterior. </w:t>
      </w:r>
      <w:r w:rsidR="00797EF4" w:rsidRPr="00AD47D0">
        <w:rPr>
          <w:rFonts w:ascii="Verdana" w:hAnsi="Verdana"/>
          <w:sz w:val="20"/>
          <w:szCs w:val="20"/>
        </w:rPr>
        <w:t>Sin embargo, consideramos que las muertes de los tres integrantes de la familia D</w:t>
      </w:r>
      <w:r w:rsidR="00D746CB" w:rsidRPr="00AD47D0">
        <w:rPr>
          <w:rFonts w:ascii="Verdana" w:hAnsi="Verdana"/>
          <w:sz w:val="20"/>
          <w:szCs w:val="20"/>
        </w:rPr>
        <w:t>íaz</w:t>
      </w:r>
      <w:r w:rsidR="00797EF4" w:rsidRPr="00AD47D0">
        <w:rPr>
          <w:rFonts w:ascii="Verdana" w:hAnsi="Verdana"/>
          <w:sz w:val="20"/>
          <w:szCs w:val="20"/>
        </w:rPr>
        <w:t xml:space="preserve"> constituyen </w:t>
      </w:r>
      <w:r w:rsidR="00D746CB" w:rsidRPr="00AD47D0">
        <w:rPr>
          <w:rFonts w:ascii="Verdana" w:hAnsi="Verdana"/>
          <w:sz w:val="20"/>
          <w:szCs w:val="20"/>
        </w:rPr>
        <w:t>“</w:t>
      </w:r>
      <w:r w:rsidR="00797EF4" w:rsidRPr="00AD47D0">
        <w:rPr>
          <w:rFonts w:ascii="Verdana" w:hAnsi="Verdana"/>
          <w:sz w:val="20"/>
          <w:szCs w:val="20"/>
        </w:rPr>
        <w:t>ejecuciones extrajudiciales</w:t>
      </w:r>
      <w:r w:rsidR="00D746CB" w:rsidRPr="00AD47D0">
        <w:rPr>
          <w:rFonts w:ascii="Verdana" w:hAnsi="Verdana"/>
          <w:sz w:val="20"/>
          <w:szCs w:val="20"/>
        </w:rPr>
        <w:t>”, por lo que debi</w:t>
      </w:r>
      <w:r w:rsidR="006A5314" w:rsidRPr="00AD47D0">
        <w:rPr>
          <w:rFonts w:ascii="Verdana" w:hAnsi="Verdana"/>
          <w:sz w:val="20"/>
          <w:szCs w:val="20"/>
        </w:rPr>
        <w:t>ó expresamente concluirse</w:t>
      </w:r>
      <w:r w:rsidR="00D746CB" w:rsidRPr="00AD47D0">
        <w:rPr>
          <w:rFonts w:ascii="Verdana" w:hAnsi="Verdana"/>
          <w:sz w:val="20"/>
          <w:szCs w:val="20"/>
        </w:rPr>
        <w:t xml:space="preserve"> </w:t>
      </w:r>
      <w:r w:rsidR="00015A88" w:rsidRPr="00AD47D0">
        <w:rPr>
          <w:rFonts w:ascii="Verdana" w:hAnsi="Verdana"/>
          <w:sz w:val="20"/>
          <w:szCs w:val="20"/>
        </w:rPr>
        <w:t xml:space="preserve">tal situación </w:t>
      </w:r>
      <w:r w:rsidR="00D746CB" w:rsidRPr="00AD47D0">
        <w:rPr>
          <w:rFonts w:ascii="Verdana" w:hAnsi="Verdana"/>
          <w:sz w:val="20"/>
          <w:szCs w:val="20"/>
        </w:rPr>
        <w:t>en la Sentencia.</w:t>
      </w:r>
      <w:r w:rsidR="00797EF4" w:rsidRPr="00AD47D0">
        <w:rPr>
          <w:rFonts w:ascii="Verdana" w:hAnsi="Verdana"/>
          <w:sz w:val="20"/>
          <w:szCs w:val="20"/>
        </w:rPr>
        <w:t xml:space="preserve"> </w:t>
      </w:r>
      <w:r w:rsidRPr="00AD47D0">
        <w:rPr>
          <w:rFonts w:ascii="Verdana" w:hAnsi="Verdana"/>
          <w:sz w:val="20"/>
          <w:szCs w:val="20"/>
        </w:rPr>
        <w:t>Lo anterior</w:t>
      </w:r>
      <w:r w:rsidR="006D0B04" w:rsidRPr="00AD47D0">
        <w:rPr>
          <w:rFonts w:ascii="Verdana" w:hAnsi="Verdana"/>
          <w:sz w:val="20"/>
          <w:szCs w:val="20"/>
        </w:rPr>
        <w:t>,</w:t>
      </w:r>
      <w:r w:rsidRPr="00AD47D0">
        <w:rPr>
          <w:rFonts w:ascii="Verdana" w:hAnsi="Verdana"/>
          <w:sz w:val="20"/>
          <w:szCs w:val="20"/>
        </w:rPr>
        <w:t xml:space="preserve"> debido a que se debe tener especial consideración en que </w:t>
      </w:r>
      <w:r w:rsidR="00797EF4" w:rsidRPr="00AD47D0">
        <w:rPr>
          <w:rFonts w:ascii="Verdana" w:hAnsi="Verdana"/>
          <w:sz w:val="20"/>
          <w:szCs w:val="20"/>
        </w:rPr>
        <w:t>el marco fáctico en</w:t>
      </w:r>
      <w:r w:rsidRPr="00AD47D0">
        <w:rPr>
          <w:rFonts w:ascii="Verdana" w:hAnsi="Verdana"/>
          <w:sz w:val="20"/>
          <w:szCs w:val="20"/>
        </w:rPr>
        <w:t xml:space="preserve"> el</w:t>
      </w:r>
      <w:r w:rsidR="00797EF4" w:rsidRPr="00AD47D0">
        <w:rPr>
          <w:rFonts w:ascii="Verdana" w:hAnsi="Verdana"/>
          <w:sz w:val="20"/>
          <w:szCs w:val="20"/>
        </w:rPr>
        <w:t xml:space="preserve"> que ocurrier</w:t>
      </w:r>
      <w:r w:rsidR="006A5314" w:rsidRPr="00AD47D0">
        <w:rPr>
          <w:rFonts w:ascii="Verdana" w:hAnsi="Verdana"/>
          <w:sz w:val="20"/>
          <w:szCs w:val="20"/>
        </w:rPr>
        <w:t xml:space="preserve">on los hechos del </w:t>
      </w:r>
      <w:r w:rsidRPr="00AD47D0">
        <w:rPr>
          <w:rFonts w:ascii="Verdana" w:hAnsi="Verdana"/>
          <w:sz w:val="20"/>
          <w:szCs w:val="20"/>
        </w:rPr>
        <w:t xml:space="preserve">presente </w:t>
      </w:r>
      <w:r w:rsidR="006A5314" w:rsidRPr="00AD47D0">
        <w:rPr>
          <w:rFonts w:ascii="Verdana" w:hAnsi="Verdana"/>
          <w:sz w:val="20"/>
          <w:szCs w:val="20"/>
        </w:rPr>
        <w:t>caso, coincid</w:t>
      </w:r>
      <w:r w:rsidR="00797EF4" w:rsidRPr="00AD47D0">
        <w:rPr>
          <w:rFonts w:ascii="Verdana" w:hAnsi="Verdana"/>
          <w:sz w:val="20"/>
          <w:szCs w:val="20"/>
        </w:rPr>
        <w:t>en</w:t>
      </w:r>
      <w:r w:rsidR="006A5314" w:rsidRPr="00AD47D0">
        <w:rPr>
          <w:rFonts w:ascii="Verdana" w:hAnsi="Verdana"/>
          <w:sz w:val="20"/>
          <w:szCs w:val="20"/>
        </w:rPr>
        <w:t>,</w:t>
      </w:r>
      <w:r w:rsidR="00797EF4" w:rsidRPr="00AD47D0">
        <w:rPr>
          <w:rFonts w:ascii="Verdana" w:hAnsi="Verdana"/>
          <w:sz w:val="20"/>
          <w:szCs w:val="20"/>
        </w:rPr>
        <w:t xml:space="preserve"> esencialmente</w:t>
      </w:r>
      <w:r w:rsidR="006A5314" w:rsidRPr="00AD47D0">
        <w:rPr>
          <w:rFonts w:ascii="Verdana" w:hAnsi="Verdana"/>
          <w:sz w:val="20"/>
          <w:szCs w:val="20"/>
        </w:rPr>
        <w:t>,</w:t>
      </w:r>
      <w:r w:rsidR="00797EF4" w:rsidRPr="00AD47D0">
        <w:rPr>
          <w:rFonts w:ascii="Verdana" w:hAnsi="Verdana"/>
          <w:sz w:val="20"/>
          <w:szCs w:val="20"/>
        </w:rPr>
        <w:t xml:space="preserve"> con el contexto probado y el </w:t>
      </w:r>
      <w:r w:rsidR="00797EF4" w:rsidRPr="00AD47D0">
        <w:rPr>
          <w:rFonts w:ascii="Verdana" w:hAnsi="Verdana"/>
          <w:i/>
          <w:sz w:val="20"/>
          <w:szCs w:val="20"/>
        </w:rPr>
        <w:t>modus operandi</w:t>
      </w:r>
      <w:r w:rsidR="00797EF4" w:rsidRPr="00AD47D0">
        <w:rPr>
          <w:rFonts w:ascii="Verdana" w:hAnsi="Verdana"/>
          <w:sz w:val="20"/>
          <w:szCs w:val="20"/>
        </w:rPr>
        <w:t xml:space="preserve"> de los agentes estatales, </w:t>
      </w:r>
      <w:r w:rsidR="00797EF4" w:rsidRPr="00AD47D0">
        <w:rPr>
          <w:rFonts w:ascii="Verdana" w:hAnsi="Verdana"/>
          <w:sz w:val="20"/>
          <w:szCs w:val="20"/>
        </w:rPr>
        <w:lastRenderedPageBreak/>
        <w:t xml:space="preserve">lo que </w:t>
      </w:r>
      <w:r w:rsidRPr="00AD47D0">
        <w:rPr>
          <w:rFonts w:ascii="Verdana" w:hAnsi="Verdana"/>
          <w:sz w:val="20"/>
          <w:szCs w:val="20"/>
        </w:rPr>
        <w:t xml:space="preserve">—a nuestro juicio— </w:t>
      </w:r>
      <w:r w:rsidR="00797EF4" w:rsidRPr="00AD47D0">
        <w:rPr>
          <w:rFonts w:ascii="Verdana" w:hAnsi="Verdana"/>
          <w:sz w:val="20"/>
          <w:szCs w:val="20"/>
        </w:rPr>
        <w:t xml:space="preserve">debió </w:t>
      </w:r>
      <w:r w:rsidRPr="00AD47D0">
        <w:rPr>
          <w:rFonts w:ascii="Verdana" w:hAnsi="Verdana"/>
          <w:sz w:val="20"/>
          <w:szCs w:val="20"/>
        </w:rPr>
        <w:t xml:space="preserve">valorarse </w:t>
      </w:r>
      <w:r w:rsidR="00797EF4" w:rsidRPr="00AD47D0">
        <w:rPr>
          <w:rFonts w:ascii="Verdana" w:hAnsi="Verdana"/>
          <w:sz w:val="20"/>
          <w:szCs w:val="20"/>
        </w:rPr>
        <w:t xml:space="preserve">conjuntamente con </w:t>
      </w:r>
      <w:r w:rsidR="00D746CB" w:rsidRPr="00AD47D0">
        <w:rPr>
          <w:rFonts w:ascii="Verdana" w:hAnsi="Verdana"/>
          <w:sz w:val="20"/>
          <w:szCs w:val="20"/>
        </w:rPr>
        <w:t xml:space="preserve">otros </w:t>
      </w:r>
      <w:r w:rsidR="00797EF4" w:rsidRPr="00AD47D0">
        <w:rPr>
          <w:rFonts w:ascii="Verdana" w:hAnsi="Verdana"/>
          <w:sz w:val="20"/>
          <w:szCs w:val="20"/>
        </w:rPr>
        <w:t>in</w:t>
      </w:r>
      <w:r w:rsidR="00D746CB" w:rsidRPr="00AD47D0">
        <w:rPr>
          <w:rFonts w:ascii="Verdana" w:hAnsi="Verdana"/>
          <w:sz w:val="20"/>
          <w:szCs w:val="20"/>
        </w:rPr>
        <w:t>dicios y presunciones</w:t>
      </w:r>
      <w:r w:rsidRPr="00AD47D0">
        <w:rPr>
          <w:rFonts w:ascii="Verdana" w:hAnsi="Verdana"/>
          <w:sz w:val="20"/>
          <w:szCs w:val="20"/>
        </w:rPr>
        <w:t xml:space="preserve"> (véase </w:t>
      </w:r>
      <w:r w:rsidRPr="00AD47D0">
        <w:rPr>
          <w:rFonts w:ascii="Verdana" w:hAnsi="Verdana"/>
          <w:i/>
          <w:sz w:val="20"/>
          <w:szCs w:val="20"/>
        </w:rPr>
        <w:t>infra</w:t>
      </w:r>
      <w:r w:rsidRPr="00AD47D0">
        <w:rPr>
          <w:rFonts w:ascii="Verdana" w:hAnsi="Verdana"/>
          <w:sz w:val="20"/>
          <w:szCs w:val="20"/>
        </w:rPr>
        <w:t>, p</w:t>
      </w:r>
      <w:r w:rsidR="00E15B8D" w:rsidRPr="00AD47D0">
        <w:rPr>
          <w:rFonts w:ascii="Verdana" w:hAnsi="Verdana"/>
          <w:sz w:val="20"/>
          <w:szCs w:val="20"/>
        </w:rPr>
        <w:t>árr. 30</w:t>
      </w:r>
      <w:r w:rsidRPr="00AD47D0">
        <w:rPr>
          <w:rFonts w:ascii="Verdana" w:hAnsi="Verdana"/>
          <w:sz w:val="20"/>
          <w:szCs w:val="20"/>
        </w:rPr>
        <w:t>)</w:t>
      </w:r>
      <w:r w:rsidR="00D746CB" w:rsidRPr="00AD47D0">
        <w:rPr>
          <w:rFonts w:ascii="Verdana" w:hAnsi="Verdana"/>
          <w:sz w:val="20"/>
          <w:szCs w:val="20"/>
        </w:rPr>
        <w:t>, especialmente cuando la versi</w:t>
      </w:r>
      <w:r w:rsidR="006A5314" w:rsidRPr="00AD47D0">
        <w:rPr>
          <w:rFonts w:ascii="Verdana" w:hAnsi="Verdana"/>
          <w:sz w:val="20"/>
          <w:szCs w:val="20"/>
        </w:rPr>
        <w:t>ón del Estado</w:t>
      </w:r>
      <w:r w:rsidR="00D746CB" w:rsidRPr="00AD47D0">
        <w:rPr>
          <w:rFonts w:ascii="Verdana" w:hAnsi="Verdana"/>
          <w:sz w:val="20"/>
          <w:szCs w:val="20"/>
        </w:rPr>
        <w:t xml:space="preserve"> del </w:t>
      </w:r>
      <w:r w:rsidR="006A5314" w:rsidRPr="00AD47D0">
        <w:rPr>
          <w:rFonts w:ascii="Verdana" w:hAnsi="Verdana"/>
          <w:sz w:val="20"/>
          <w:szCs w:val="20"/>
        </w:rPr>
        <w:t>supu</w:t>
      </w:r>
      <w:r w:rsidRPr="00AD47D0">
        <w:rPr>
          <w:rFonts w:ascii="Verdana" w:hAnsi="Verdana"/>
          <w:sz w:val="20"/>
          <w:szCs w:val="20"/>
        </w:rPr>
        <w:t>e</w:t>
      </w:r>
      <w:r w:rsidR="006A5314" w:rsidRPr="00AD47D0">
        <w:rPr>
          <w:rFonts w:ascii="Verdana" w:hAnsi="Verdana"/>
          <w:sz w:val="20"/>
          <w:szCs w:val="20"/>
        </w:rPr>
        <w:t xml:space="preserve">sto </w:t>
      </w:r>
      <w:r w:rsidR="00D746CB" w:rsidRPr="00AD47D0">
        <w:rPr>
          <w:rFonts w:ascii="Verdana" w:hAnsi="Verdana"/>
          <w:sz w:val="20"/>
          <w:szCs w:val="20"/>
        </w:rPr>
        <w:t xml:space="preserve">“enfrentamiento” </w:t>
      </w:r>
      <w:r w:rsidR="006A5314" w:rsidRPr="00AD47D0">
        <w:rPr>
          <w:rFonts w:ascii="Verdana" w:hAnsi="Verdana"/>
          <w:sz w:val="20"/>
          <w:szCs w:val="20"/>
        </w:rPr>
        <w:t xml:space="preserve">de las víctimas con los agentes estatales, </w:t>
      </w:r>
      <w:r w:rsidR="00D746CB" w:rsidRPr="00AD47D0">
        <w:rPr>
          <w:rFonts w:ascii="Verdana" w:hAnsi="Verdana"/>
          <w:sz w:val="20"/>
          <w:szCs w:val="20"/>
        </w:rPr>
        <w:t xml:space="preserve">contiene una “serie de contradicciones e inconsistencias”, como </w:t>
      </w:r>
      <w:r w:rsidRPr="00AD47D0">
        <w:rPr>
          <w:rFonts w:ascii="Verdana" w:hAnsi="Verdana"/>
          <w:sz w:val="20"/>
          <w:szCs w:val="20"/>
        </w:rPr>
        <w:t>es enfatizado</w:t>
      </w:r>
      <w:r w:rsidR="00D746CB" w:rsidRPr="00AD47D0">
        <w:rPr>
          <w:rFonts w:ascii="Verdana" w:hAnsi="Verdana"/>
          <w:sz w:val="20"/>
          <w:szCs w:val="20"/>
        </w:rPr>
        <w:t xml:space="preserve"> </w:t>
      </w:r>
      <w:r w:rsidR="006A5314" w:rsidRPr="00AD47D0">
        <w:rPr>
          <w:rFonts w:ascii="Verdana" w:hAnsi="Verdana"/>
          <w:sz w:val="20"/>
          <w:szCs w:val="20"/>
        </w:rPr>
        <w:t xml:space="preserve">ampliamente </w:t>
      </w:r>
      <w:r w:rsidR="00D746CB" w:rsidRPr="00AD47D0">
        <w:rPr>
          <w:rFonts w:ascii="Verdana" w:hAnsi="Verdana"/>
          <w:sz w:val="20"/>
          <w:szCs w:val="20"/>
        </w:rPr>
        <w:t>en la Sentencia</w:t>
      </w:r>
      <w:r w:rsidR="0031775F" w:rsidRPr="00AD47D0">
        <w:rPr>
          <w:rStyle w:val="Refdenotaalpie"/>
          <w:rFonts w:ascii="Verdana" w:hAnsi="Verdana"/>
          <w:sz w:val="20"/>
          <w:szCs w:val="20"/>
        </w:rPr>
        <w:footnoteReference w:id="6"/>
      </w:r>
      <w:r w:rsidR="00D746CB" w:rsidRPr="00AD47D0">
        <w:rPr>
          <w:rFonts w:ascii="Verdana" w:hAnsi="Verdana"/>
          <w:sz w:val="20"/>
          <w:szCs w:val="20"/>
        </w:rPr>
        <w:t>.</w:t>
      </w:r>
    </w:p>
    <w:p w14:paraId="67020BC5" w14:textId="77777777" w:rsidR="00797EF4" w:rsidRPr="00D746CB" w:rsidRDefault="00D746CB" w:rsidP="00D746CB">
      <w:pPr>
        <w:spacing w:before="120" w:after="120"/>
        <w:jc w:val="both"/>
        <w:rPr>
          <w:rFonts w:ascii="Verdana" w:hAnsi="Verdana"/>
          <w:sz w:val="20"/>
          <w:szCs w:val="20"/>
        </w:rPr>
      </w:pPr>
      <w:r w:rsidRPr="00D746CB">
        <w:rPr>
          <w:rFonts w:ascii="Verdana" w:hAnsi="Verdana"/>
          <w:sz w:val="20"/>
          <w:szCs w:val="20"/>
        </w:rPr>
        <w:t xml:space="preserve">4. </w:t>
      </w:r>
      <w:r w:rsidRPr="00D746CB">
        <w:rPr>
          <w:rFonts w:ascii="Verdana" w:hAnsi="Verdana"/>
          <w:sz w:val="20"/>
          <w:szCs w:val="20"/>
        </w:rPr>
        <w:tab/>
      </w:r>
      <w:r w:rsidR="0007162E">
        <w:rPr>
          <w:rFonts w:ascii="Verdana" w:hAnsi="Verdana"/>
          <w:sz w:val="20"/>
          <w:szCs w:val="20"/>
        </w:rPr>
        <w:t>De este modo, l</w:t>
      </w:r>
      <w:r w:rsidR="00797EF4" w:rsidRPr="00D746CB">
        <w:rPr>
          <w:rFonts w:ascii="Verdana" w:hAnsi="Verdana"/>
          <w:sz w:val="20"/>
          <w:szCs w:val="20"/>
        </w:rPr>
        <w:t xml:space="preserve">o anterior no resulta contradictorio con lo concluido por la Corte </w:t>
      </w:r>
      <w:r w:rsidR="00EC253C">
        <w:rPr>
          <w:rFonts w:ascii="Verdana" w:hAnsi="Verdana"/>
          <w:sz w:val="20"/>
          <w:szCs w:val="20"/>
        </w:rPr>
        <w:t xml:space="preserve">IDH, </w:t>
      </w:r>
      <w:r w:rsidR="00797EF4" w:rsidRPr="00D746CB">
        <w:rPr>
          <w:rFonts w:ascii="Verdana" w:hAnsi="Verdana"/>
          <w:sz w:val="20"/>
          <w:szCs w:val="20"/>
        </w:rPr>
        <w:t>puesto que en la Sentencia se declara que el Estado vulneró el derecho a la vida de esas tres personas y se describen las circunstancias fácticas en las cuales se produjeron. A su vez</w:t>
      </w:r>
      <w:r w:rsidR="00EC253C">
        <w:rPr>
          <w:rFonts w:ascii="Verdana" w:hAnsi="Verdana"/>
          <w:sz w:val="20"/>
          <w:szCs w:val="20"/>
        </w:rPr>
        <w:t>,</w:t>
      </w:r>
      <w:r w:rsidR="00797EF4" w:rsidRPr="00D746CB">
        <w:rPr>
          <w:rFonts w:ascii="Verdana" w:hAnsi="Verdana"/>
          <w:sz w:val="20"/>
          <w:szCs w:val="20"/>
        </w:rPr>
        <w:t xml:space="preserve"> el Tribunal </w:t>
      </w:r>
      <w:r>
        <w:rPr>
          <w:rFonts w:ascii="Verdana" w:hAnsi="Verdana"/>
          <w:sz w:val="20"/>
          <w:szCs w:val="20"/>
        </w:rPr>
        <w:t xml:space="preserve">Interamericano </w:t>
      </w:r>
      <w:r w:rsidR="00797EF4" w:rsidRPr="00D746CB">
        <w:rPr>
          <w:rFonts w:ascii="Verdana" w:hAnsi="Verdana"/>
          <w:sz w:val="20"/>
          <w:szCs w:val="20"/>
        </w:rPr>
        <w:t xml:space="preserve">expresa sus dudas </w:t>
      </w:r>
      <w:r w:rsidR="00EC253C">
        <w:rPr>
          <w:rFonts w:ascii="Verdana" w:hAnsi="Verdana"/>
          <w:sz w:val="20"/>
          <w:szCs w:val="20"/>
        </w:rPr>
        <w:t xml:space="preserve">en relación con </w:t>
      </w:r>
      <w:r w:rsidR="00797EF4" w:rsidRPr="00D746CB">
        <w:rPr>
          <w:rFonts w:ascii="Verdana" w:hAnsi="Verdana"/>
          <w:sz w:val="20"/>
          <w:szCs w:val="20"/>
        </w:rPr>
        <w:t xml:space="preserve">la versión del </w:t>
      </w:r>
      <w:r w:rsidR="00EC253C">
        <w:rPr>
          <w:rFonts w:ascii="Verdana" w:hAnsi="Verdana"/>
          <w:sz w:val="20"/>
          <w:szCs w:val="20"/>
        </w:rPr>
        <w:t>supuesto “</w:t>
      </w:r>
      <w:r w:rsidR="00797EF4" w:rsidRPr="00D746CB">
        <w:rPr>
          <w:rFonts w:ascii="Verdana" w:hAnsi="Verdana"/>
          <w:sz w:val="20"/>
          <w:szCs w:val="20"/>
        </w:rPr>
        <w:t>enfrentamiento</w:t>
      </w:r>
      <w:r w:rsidR="00EC253C">
        <w:rPr>
          <w:rFonts w:ascii="Verdana" w:hAnsi="Verdana"/>
          <w:sz w:val="20"/>
          <w:szCs w:val="20"/>
        </w:rPr>
        <w:t>”</w:t>
      </w:r>
      <w:r w:rsidR="00797EF4" w:rsidRPr="00D746CB">
        <w:rPr>
          <w:rFonts w:ascii="Verdana" w:hAnsi="Verdana"/>
          <w:sz w:val="20"/>
          <w:szCs w:val="20"/>
        </w:rPr>
        <w:t xml:space="preserve"> que es retomada por las instancias jurisdiccionales a nivel interno. En ese sentido, la Corte </w:t>
      </w:r>
      <w:r>
        <w:rPr>
          <w:rFonts w:ascii="Verdana" w:hAnsi="Verdana"/>
          <w:sz w:val="20"/>
          <w:szCs w:val="20"/>
        </w:rPr>
        <w:t xml:space="preserve">IDH </w:t>
      </w:r>
      <w:r w:rsidR="00797EF4" w:rsidRPr="00D746CB">
        <w:rPr>
          <w:rFonts w:ascii="Verdana" w:hAnsi="Verdana"/>
          <w:sz w:val="20"/>
          <w:szCs w:val="20"/>
        </w:rPr>
        <w:t>no descartó que esa vulneración al derecho a la vida se produjera como consecuencia de una ejecución extrajudicial</w:t>
      </w:r>
      <w:r>
        <w:rPr>
          <w:rFonts w:ascii="Verdana" w:hAnsi="Verdana"/>
          <w:sz w:val="20"/>
          <w:szCs w:val="20"/>
        </w:rPr>
        <w:t>.</w:t>
      </w:r>
    </w:p>
    <w:p w14:paraId="548A7D5A" w14:textId="77777777" w:rsidR="00797EF4" w:rsidRPr="00D746CB" w:rsidRDefault="00D746CB" w:rsidP="00D746CB">
      <w:pPr>
        <w:spacing w:before="120" w:after="120"/>
        <w:jc w:val="both"/>
        <w:rPr>
          <w:rFonts w:ascii="Verdana" w:hAnsi="Verdana"/>
          <w:sz w:val="20"/>
          <w:szCs w:val="20"/>
        </w:rPr>
      </w:pPr>
      <w:r w:rsidRPr="00D746CB">
        <w:rPr>
          <w:rFonts w:ascii="Verdana" w:hAnsi="Verdana"/>
          <w:sz w:val="20"/>
          <w:szCs w:val="20"/>
        </w:rPr>
        <w:t xml:space="preserve">5. </w:t>
      </w:r>
      <w:r w:rsidRPr="00D746CB">
        <w:rPr>
          <w:rFonts w:ascii="Verdana" w:hAnsi="Verdana"/>
          <w:sz w:val="20"/>
          <w:szCs w:val="20"/>
        </w:rPr>
        <w:tab/>
      </w:r>
      <w:r w:rsidR="00797EF4" w:rsidRPr="00D746CB">
        <w:rPr>
          <w:rFonts w:ascii="Verdana" w:hAnsi="Verdana"/>
          <w:sz w:val="20"/>
          <w:szCs w:val="20"/>
        </w:rPr>
        <w:t xml:space="preserve">Lo </w:t>
      </w:r>
      <w:r w:rsidR="00AC0EED">
        <w:rPr>
          <w:rFonts w:ascii="Verdana" w:hAnsi="Verdana"/>
          <w:sz w:val="20"/>
          <w:szCs w:val="20"/>
        </w:rPr>
        <w:t xml:space="preserve">último </w:t>
      </w:r>
      <w:r w:rsidR="00797EF4" w:rsidRPr="00D746CB">
        <w:rPr>
          <w:rFonts w:ascii="Verdana" w:hAnsi="Verdana"/>
          <w:sz w:val="20"/>
          <w:szCs w:val="20"/>
        </w:rPr>
        <w:t xml:space="preserve">se encuentra reforzado por el hecho que el Tribunal </w:t>
      </w:r>
      <w:r>
        <w:rPr>
          <w:rFonts w:ascii="Verdana" w:hAnsi="Verdana"/>
          <w:sz w:val="20"/>
          <w:szCs w:val="20"/>
        </w:rPr>
        <w:t xml:space="preserve">Interamericano </w:t>
      </w:r>
      <w:r w:rsidR="00797EF4" w:rsidRPr="00D746CB">
        <w:rPr>
          <w:rFonts w:ascii="Verdana" w:hAnsi="Verdana"/>
          <w:sz w:val="20"/>
          <w:szCs w:val="20"/>
        </w:rPr>
        <w:t xml:space="preserve">hizo claramente referencia al </w:t>
      </w:r>
      <w:r w:rsidR="0007162E">
        <w:rPr>
          <w:rFonts w:ascii="Verdana" w:hAnsi="Verdana"/>
          <w:sz w:val="20"/>
          <w:szCs w:val="20"/>
        </w:rPr>
        <w:t>“</w:t>
      </w:r>
      <w:r w:rsidR="00797EF4" w:rsidRPr="00D746CB">
        <w:rPr>
          <w:rFonts w:ascii="Verdana" w:hAnsi="Verdana"/>
          <w:sz w:val="20"/>
          <w:szCs w:val="20"/>
        </w:rPr>
        <w:t>contexto</w:t>
      </w:r>
      <w:r w:rsidR="0007162E">
        <w:rPr>
          <w:rFonts w:ascii="Verdana" w:hAnsi="Verdana"/>
          <w:sz w:val="20"/>
          <w:szCs w:val="20"/>
        </w:rPr>
        <w:t>”</w:t>
      </w:r>
      <w:r w:rsidR="00797EF4" w:rsidRPr="00D746CB">
        <w:rPr>
          <w:rFonts w:ascii="Verdana" w:hAnsi="Verdana"/>
          <w:sz w:val="20"/>
          <w:szCs w:val="20"/>
        </w:rPr>
        <w:t xml:space="preserve"> de ejecuciones extrajudiciales que tenían lugar en Venezuela al momento de las muertes de esas tres personas </w:t>
      </w:r>
      <w:r w:rsidR="00AC0EED">
        <w:rPr>
          <w:rFonts w:ascii="Verdana" w:hAnsi="Verdana"/>
          <w:sz w:val="20"/>
          <w:szCs w:val="20"/>
        </w:rPr>
        <w:t>por parte</w:t>
      </w:r>
      <w:r w:rsidR="00797EF4" w:rsidRPr="00D746CB">
        <w:rPr>
          <w:rFonts w:ascii="Verdana" w:hAnsi="Verdana"/>
          <w:sz w:val="20"/>
          <w:szCs w:val="20"/>
        </w:rPr>
        <w:t xml:space="preserve"> de funcionarios de las fuerzas de seguridad del Estado. Tal referencia al </w:t>
      </w:r>
      <w:r w:rsidR="006A5314">
        <w:rPr>
          <w:rFonts w:ascii="Verdana" w:hAnsi="Verdana"/>
          <w:sz w:val="20"/>
          <w:szCs w:val="20"/>
        </w:rPr>
        <w:t>“</w:t>
      </w:r>
      <w:r w:rsidR="00797EF4" w:rsidRPr="00D746CB">
        <w:rPr>
          <w:rFonts w:ascii="Verdana" w:hAnsi="Verdana"/>
          <w:sz w:val="20"/>
          <w:szCs w:val="20"/>
        </w:rPr>
        <w:t>contexto</w:t>
      </w:r>
      <w:r w:rsidR="006A5314">
        <w:rPr>
          <w:rFonts w:ascii="Verdana" w:hAnsi="Verdana"/>
          <w:sz w:val="20"/>
          <w:szCs w:val="20"/>
        </w:rPr>
        <w:t>”</w:t>
      </w:r>
      <w:r w:rsidR="00797EF4" w:rsidRPr="00D746CB">
        <w:rPr>
          <w:rFonts w:ascii="Verdana" w:hAnsi="Verdana"/>
          <w:sz w:val="20"/>
          <w:szCs w:val="20"/>
        </w:rPr>
        <w:t>, la cual tiene lugar tanto en el Capítulo de Hechos como en el Capítulo de Fondo,</w:t>
      </w:r>
      <w:r w:rsidR="006A5314">
        <w:rPr>
          <w:rFonts w:ascii="Verdana" w:hAnsi="Verdana"/>
          <w:sz w:val="20"/>
          <w:szCs w:val="20"/>
        </w:rPr>
        <w:t xml:space="preserve"> no tendría sentido si la Corte IDH</w:t>
      </w:r>
      <w:r w:rsidR="00797EF4" w:rsidRPr="00D746CB">
        <w:rPr>
          <w:rFonts w:ascii="Verdana" w:hAnsi="Verdana"/>
          <w:sz w:val="20"/>
          <w:szCs w:val="20"/>
        </w:rPr>
        <w:t xml:space="preserve"> no considerara que este hecho</w:t>
      </w:r>
      <w:r w:rsidR="00576CBF">
        <w:rPr>
          <w:rFonts w:ascii="Verdana" w:hAnsi="Verdana"/>
          <w:sz w:val="20"/>
          <w:szCs w:val="20"/>
        </w:rPr>
        <w:t xml:space="preserve"> se encuadra en un</w:t>
      </w:r>
      <w:r w:rsidR="00797EF4" w:rsidRPr="00D746CB">
        <w:rPr>
          <w:rFonts w:ascii="Verdana" w:hAnsi="Verdana"/>
          <w:sz w:val="20"/>
          <w:szCs w:val="20"/>
        </w:rPr>
        <w:t xml:space="preserve"> esquema de ejecución extrajudicial.</w:t>
      </w:r>
      <w:r w:rsidR="00EC253C">
        <w:rPr>
          <w:rFonts w:ascii="Verdana" w:hAnsi="Verdana"/>
          <w:sz w:val="20"/>
          <w:szCs w:val="20"/>
        </w:rPr>
        <w:t xml:space="preserve"> Y precisamente ante ello, analizando conjuntamente los demás indicios y presunciones, la Corte IDH debió pronunciarse concluyendo que en el caso </w:t>
      </w:r>
      <w:r w:rsidR="0007162E">
        <w:rPr>
          <w:rFonts w:ascii="Verdana" w:hAnsi="Verdana"/>
          <w:sz w:val="20"/>
          <w:szCs w:val="20"/>
        </w:rPr>
        <w:t>la violación al derecho a la vida fue motivada por la</w:t>
      </w:r>
      <w:r w:rsidR="00EC253C">
        <w:rPr>
          <w:rFonts w:ascii="Verdana" w:hAnsi="Verdana"/>
          <w:sz w:val="20"/>
          <w:szCs w:val="20"/>
        </w:rPr>
        <w:t xml:space="preserve"> ejecución extrajudicial de las tres víctimas.</w:t>
      </w:r>
    </w:p>
    <w:p w14:paraId="5FF7B80A" w14:textId="77777777" w:rsidR="00015A88" w:rsidRDefault="00D746CB" w:rsidP="006E4B15">
      <w:pPr>
        <w:pStyle w:val="Prrafodelista"/>
        <w:spacing w:before="120" w:after="120"/>
        <w:ind w:left="0"/>
        <w:contextualSpacing w:val="0"/>
        <w:jc w:val="both"/>
        <w:rPr>
          <w:rFonts w:ascii="Verdana" w:hAnsi="Verdana"/>
          <w:sz w:val="20"/>
          <w:szCs w:val="20"/>
        </w:rPr>
      </w:pPr>
      <w:r>
        <w:rPr>
          <w:rFonts w:ascii="Verdana" w:hAnsi="Verdana"/>
          <w:sz w:val="20"/>
          <w:szCs w:val="20"/>
        </w:rPr>
        <w:t xml:space="preserve">6. </w:t>
      </w:r>
      <w:r>
        <w:rPr>
          <w:rFonts w:ascii="Verdana" w:hAnsi="Verdana"/>
          <w:sz w:val="20"/>
          <w:szCs w:val="20"/>
        </w:rPr>
        <w:tab/>
        <w:t xml:space="preserve">Por lo tanto, en el presente voto </w:t>
      </w:r>
      <w:r w:rsidR="00015A88">
        <w:rPr>
          <w:rFonts w:ascii="Verdana" w:hAnsi="Verdana"/>
          <w:sz w:val="20"/>
          <w:szCs w:val="20"/>
        </w:rPr>
        <w:t xml:space="preserve">concurrente </w:t>
      </w:r>
      <w:r>
        <w:rPr>
          <w:rFonts w:ascii="Verdana" w:hAnsi="Verdana"/>
          <w:sz w:val="20"/>
          <w:szCs w:val="20"/>
        </w:rPr>
        <w:t>explicaremos</w:t>
      </w:r>
      <w:r w:rsidRPr="00F37E3A">
        <w:rPr>
          <w:rFonts w:ascii="Verdana" w:hAnsi="Verdana"/>
          <w:sz w:val="20"/>
          <w:szCs w:val="20"/>
        </w:rPr>
        <w:t xml:space="preserve"> </w:t>
      </w:r>
      <w:r w:rsidR="00015A88">
        <w:rPr>
          <w:rFonts w:ascii="Verdana" w:hAnsi="Verdana"/>
          <w:sz w:val="20"/>
          <w:szCs w:val="20"/>
        </w:rPr>
        <w:t>los motivos por los cuá</w:t>
      </w:r>
      <w:r w:rsidR="006A5314">
        <w:rPr>
          <w:rFonts w:ascii="Verdana" w:hAnsi="Verdana"/>
          <w:sz w:val="20"/>
          <w:szCs w:val="20"/>
        </w:rPr>
        <w:t xml:space="preserve">les </w:t>
      </w:r>
      <w:r w:rsidR="0007162E">
        <w:rPr>
          <w:rFonts w:ascii="Verdana" w:hAnsi="Verdana"/>
          <w:sz w:val="20"/>
          <w:szCs w:val="20"/>
        </w:rPr>
        <w:t>consideramos</w:t>
      </w:r>
      <w:r w:rsidR="006A5314">
        <w:rPr>
          <w:rFonts w:ascii="Verdana" w:hAnsi="Verdana"/>
          <w:sz w:val="20"/>
          <w:szCs w:val="20"/>
        </w:rPr>
        <w:t xml:space="preserve"> que </w:t>
      </w:r>
      <w:r>
        <w:rPr>
          <w:rFonts w:ascii="Verdana" w:hAnsi="Verdana"/>
          <w:sz w:val="20"/>
          <w:szCs w:val="20"/>
        </w:rPr>
        <w:t xml:space="preserve">la Corte </w:t>
      </w:r>
      <w:r w:rsidR="006A5314">
        <w:rPr>
          <w:rFonts w:ascii="Verdana" w:hAnsi="Verdana"/>
          <w:sz w:val="20"/>
          <w:szCs w:val="20"/>
        </w:rPr>
        <w:t>IDH tendría que haber concluido</w:t>
      </w:r>
      <w:r>
        <w:rPr>
          <w:rFonts w:ascii="Verdana" w:hAnsi="Verdana"/>
          <w:sz w:val="20"/>
          <w:szCs w:val="20"/>
        </w:rPr>
        <w:t xml:space="preserve"> que la vulne</w:t>
      </w:r>
      <w:r w:rsidR="00576CBF">
        <w:rPr>
          <w:rFonts w:ascii="Verdana" w:hAnsi="Verdana"/>
          <w:sz w:val="20"/>
          <w:szCs w:val="20"/>
        </w:rPr>
        <w:t>ración al derecho a la vida de los tres integrantes de la familia Díaz</w:t>
      </w:r>
      <w:r w:rsidR="006A5314">
        <w:rPr>
          <w:rFonts w:ascii="Verdana" w:hAnsi="Verdana"/>
          <w:sz w:val="20"/>
          <w:szCs w:val="20"/>
        </w:rPr>
        <w:t>,</w:t>
      </w:r>
      <w:r>
        <w:rPr>
          <w:rFonts w:ascii="Verdana" w:hAnsi="Verdana"/>
          <w:sz w:val="20"/>
          <w:szCs w:val="20"/>
        </w:rPr>
        <w:t xml:space="preserve"> constituye</w:t>
      </w:r>
      <w:r w:rsidR="006A5314">
        <w:rPr>
          <w:rFonts w:ascii="Verdana" w:hAnsi="Verdana"/>
          <w:sz w:val="20"/>
          <w:szCs w:val="20"/>
        </w:rPr>
        <w:t>n</w:t>
      </w:r>
      <w:r>
        <w:rPr>
          <w:rFonts w:ascii="Verdana" w:hAnsi="Verdana"/>
          <w:sz w:val="20"/>
          <w:szCs w:val="20"/>
        </w:rPr>
        <w:t xml:space="preserve"> una </w:t>
      </w:r>
      <w:r w:rsidR="006A5314">
        <w:rPr>
          <w:rFonts w:ascii="Verdana" w:hAnsi="Verdana"/>
          <w:sz w:val="20"/>
          <w:szCs w:val="20"/>
        </w:rPr>
        <w:t>“</w:t>
      </w:r>
      <w:r>
        <w:rPr>
          <w:rFonts w:ascii="Verdana" w:hAnsi="Verdana"/>
          <w:sz w:val="20"/>
          <w:szCs w:val="20"/>
        </w:rPr>
        <w:t>ejecución extrajudicial</w:t>
      </w:r>
      <w:r w:rsidR="006A5314">
        <w:rPr>
          <w:rFonts w:ascii="Verdana" w:hAnsi="Verdana"/>
          <w:sz w:val="20"/>
          <w:szCs w:val="20"/>
        </w:rPr>
        <w:t>”,</w:t>
      </w:r>
      <w:r w:rsidR="006D0B04">
        <w:rPr>
          <w:rFonts w:ascii="Verdana" w:hAnsi="Verdana"/>
          <w:sz w:val="20"/>
          <w:szCs w:val="20"/>
        </w:rPr>
        <w:t xml:space="preserve"> la cual se enmarca en un</w:t>
      </w:r>
      <w:r>
        <w:rPr>
          <w:rFonts w:ascii="Verdana" w:hAnsi="Verdana"/>
          <w:sz w:val="20"/>
          <w:szCs w:val="20"/>
        </w:rPr>
        <w:t xml:space="preserve"> contexto nacional </w:t>
      </w:r>
      <w:r w:rsidR="006A5314">
        <w:rPr>
          <w:rFonts w:ascii="Verdana" w:hAnsi="Verdana"/>
          <w:sz w:val="20"/>
          <w:szCs w:val="20"/>
        </w:rPr>
        <w:t xml:space="preserve">(Venezuela) </w:t>
      </w:r>
      <w:r>
        <w:rPr>
          <w:rFonts w:ascii="Verdana" w:hAnsi="Verdana"/>
          <w:sz w:val="20"/>
          <w:szCs w:val="20"/>
        </w:rPr>
        <w:t>y regional</w:t>
      </w:r>
      <w:r w:rsidR="006A5314">
        <w:rPr>
          <w:rFonts w:ascii="Verdana" w:hAnsi="Verdana"/>
          <w:sz w:val="20"/>
          <w:szCs w:val="20"/>
        </w:rPr>
        <w:t xml:space="preserve"> (</w:t>
      </w:r>
      <w:r w:rsidR="006D0B04">
        <w:rPr>
          <w:rFonts w:ascii="Verdana" w:hAnsi="Verdana"/>
          <w:sz w:val="20"/>
          <w:szCs w:val="20"/>
        </w:rPr>
        <w:t>estado Aragua</w:t>
      </w:r>
      <w:r w:rsidR="006A5314">
        <w:rPr>
          <w:rFonts w:ascii="Verdana" w:hAnsi="Verdana"/>
          <w:sz w:val="20"/>
          <w:szCs w:val="20"/>
        </w:rPr>
        <w:t>)</w:t>
      </w:r>
      <w:r>
        <w:rPr>
          <w:rFonts w:ascii="Verdana" w:hAnsi="Verdana"/>
          <w:sz w:val="20"/>
          <w:szCs w:val="20"/>
        </w:rPr>
        <w:t xml:space="preserve"> que </w:t>
      </w:r>
      <w:r w:rsidR="00015A88">
        <w:rPr>
          <w:rFonts w:ascii="Verdana" w:hAnsi="Verdana"/>
          <w:sz w:val="20"/>
          <w:szCs w:val="20"/>
        </w:rPr>
        <w:t xml:space="preserve">existía en el </w:t>
      </w:r>
      <w:r>
        <w:rPr>
          <w:rFonts w:ascii="Verdana" w:hAnsi="Verdana"/>
          <w:sz w:val="20"/>
          <w:szCs w:val="20"/>
        </w:rPr>
        <w:t>lugar al momento de los hechos del presente caso</w:t>
      </w:r>
      <w:r w:rsidR="0007162E">
        <w:rPr>
          <w:rFonts w:ascii="Verdana" w:hAnsi="Verdana"/>
          <w:sz w:val="20"/>
          <w:szCs w:val="20"/>
        </w:rPr>
        <w:t>; cabe señalar que el “</w:t>
      </w:r>
      <w:r w:rsidR="00EC253C">
        <w:rPr>
          <w:rFonts w:ascii="Verdana" w:hAnsi="Verdana"/>
          <w:sz w:val="20"/>
          <w:szCs w:val="20"/>
        </w:rPr>
        <w:t>contexto</w:t>
      </w:r>
      <w:r w:rsidR="0007162E">
        <w:rPr>
          <w:rFonts w:ascii="Verdana" w:hAnsi="Verdana"/>
          <w:sz w:val="20"/>
          <w:szCs w:val="20"/>
        </w:rPr>
        <w:t>”</w:t>
      </w:r>
      <w:r w:rsidR="00EC253C">
        <w:rPr>
          <w:rFonts w:ascii="Verdana" w:hAnsi="Verdana"/>
          <w:sz w:val="20"/>
          <w:szCs w:val="20"/>
        </w:rPr>
        <w:t xml:space="preserve"> </w:t>
      </w:r>
      <w:r w:rsidR="00AA41A8">
        <w:rPr>
          <w:rFonts w:ascii="Verdana" w:hAnsi="Verdana"/>
          <w:sz w:val="20"/>
          <w:szCs w:val="20"/>
        </w:rPr>
        <w:t xml:space="preserve">y zona geográfica </w:t>
      </w:r>
      <w:r w:rsidR="006425F8">
        <w:rPr>
          <w:rFonts w:ascii="Verdana" w:hAnsi="Verdana"/>
          <w:sz w:val="20"/>
          <w:szCs w:val="20"/>
        </w:rPr>
        <w:t>que fueron abor</w:t>
      </w:r>
      <w:r w:rsidR="0007162E">
        <w:rPr>
          <w:rFonts w:ascii="Verdana" w:hAnsi="Verdana"/>
          <w:sz w:val="20"/>
          <w:szCs w:val="20"/>
        </w:rPr>
        <w:t>dadas en la Sentencia</w:t>
      </w:r>
      <w:r w:rsidR="002F1B04">
        <w:rPr>
          <w:rFonts w:ascii="Verdana" w:hAnsi="Verdana"/>
          <w:sz w:val="20"/>
          <w:szCs w:val="20"/>
        </w:rPr>
        <w:t>,</w:t>
      </w:r>
      <w:r w:rsidR="0007162E">
        <w:rPr>
          <w:rFonts w:ascii="Verdana" w:hAnsi="Verdana"/>
          <w:sz w:val="20"/>
          <w:szCs w:val="20"/>
        </w:rPr>
        <w:t xml:space="preserve"> ya han sido</w:t>
      </w:r>
      <w:r w:rsidR="006D0B04">
        <w:rPr>
          <w:rFonts w:ascii="Verdana" w:hAnsi="Verdana"/>
          <w:sz w:val="20"/>
          <w:szCs w:val="20"/>
        </w:rPr>
        <w:t xml:space="preserve"> objeto de pronunciamientos en S</w:t>
      </w:r>
      <w:r w:rsidR="0007162E">
        <w:rPr>
          <w:rFonts w:ascii="Verdana" w:hAnsi="Verdana"/>
          <w:sz w:val="20"/>
          <w:szCs w:val="20"/>
        </w:rPr>
        <w:t xml:space="preserve">entencias anteriores de este Tribunal Interamericano, </w:t>
      </w:r>
      <w:r w:rsidR="00576CBF">
        <w:rPr>
          <w:rFonts w:ascii="Verdana" w:hAnsi="Verdana"/>
          <w:sz w:val="20"/>
          <w:szCs w:val="20"/>
        </w:rPr>
        <w:t>donde se estableció la responsabilidad estatal</w:t>
      </w:r>
      <w:r w:rsidR="00576CBF" w:rsidRPr="003535F7">
        <w:rPr>
          <w:rStyle w:val="Refdenotaalpie"/>
          <w:rFonts w:ascii="Verdana" w:hAnsi="Verdana"/>
        </w:rPr>
        <w:footnoteReference w:id="7"/>
      </w:r>
      <w:r>
        <w:rPr>
          <w:rFonts w:ascii="Verdana" w:hAnsi="Verdana"/>
          <w:sz w:val="20"/>
          <w:szCs w:val="20"/>
        </w:rPr>
        <w:t>.</w:t>
      </w:r>
      <w:r w:rsidR="006A5314">
        <w:rPr>
          <w:rFonts w:ascii="Verdana" w:hAnsi="Verdana"/>
          <w:sz w:val="20"/>
          <w:szCs w:val="20"/>
        </w:rPr>
        <w:t xml:space="preserve"> </w:t>
      </w:r>
    </w:p>
    <w:p w14:paraId="3D5C4960" w14:textId="77777777" w:rsidR="009E7996" w:rsidRPr="009E7996" w:rsidRDefault="00015A88" w:rsidP="00015A88">
      <w:pPr>
        <w:pStyle w:val="Prrafodelista"/>
        <w:spacing w:before="120" w:after="120"/>
        <w:ind w:left="0"/>
        <w:contextualSpacing w:val="0"/>
        <w:jc w:val="both"/>
        <w:rPr>
          <w:rFonts w:ascii="Verdana" w:hAnsi="Verdana"/>
          <w:sz w:val="20"/>
          <w:szCs w:val="20"/>
        </w:rPr>
      </w:pPr>
      <w:r>
        <w:rPr>
          <w:rFonts w:ascii="Verdana" w:hAnsi="Verdana"/>
          <w:sz w:val="20"/>
          <w:szCs w:val="20"/>
        </w:rPr>
        <w:t xml:space="preserve">7. </w:t>
      </w:r>
      <w:r>
        <w:rPr>
          <w:rFonts w:ascii="Verdana" w:hAnsi="Verdana"/>
          <w:sz w:val="20"/>
          <w:szCs w:val="20"/>
        </w:rPr>
        <w:tab/>
      </w:r>
      <w:r w:rsidR="006D0B04">
        <w:rPr>
          <w:rFonts w:ascii="Verdana" w:hAnsi="Verdana"/>
          <w:sz w:val="20"/>
          <w:szCs w:val="20"/>
        </w:rPr>
        <w:t>Para ello, abor</w:t>
      </w:r>
      <w:r w:rsidR="006A5314">
        <w:rPr>
          <w:rFonts w:ascii="Verdana" w:hAnsi="Verdana"/>
          <w:sz w:val="20"/>
          <w:szCs w:val="20"/>
        </w:rPr>
        <w:t xml:space="preserve">daremos </w:t>
      </w:r>
      <w:r w:rsidR="006425F8">
        <w:rPr>
          <w:rFonts w:ascii="Verdana" w:hAnsi="Verdana"/>
          <w:sz w:val="20"/>
          <w:szCs w:val="20"/>
        </w:rPr>
        <w:t xml:space="preserve">en el presente voto </w:t>
      </w:r>
      <w:r w:rsidR="006A5314">
        <w:rPr>
          <w:rFonts w:ascii="Verdana" w:hAnsi="Verdana"/>
          <w:sz w:val="20"/>
          <w:szCs w:val="20"/>
        </w:rPr>
        <w:t xml:space="preserve">los siguientes apartados: </w:t>
      </w:r>
      <w:r w:rsidR="006A5314" w:rsidRPr="009A1733">
        <w:rPr>
          <w:rFonts w:ascii="Verdana" w:hAnsi="Verdana"/>
          <w:sz w:val="20"/>
          <w:szCs w:val="20"/>
        </w:rPr>
        <w:t>I.</w:t>
      </w:r>
      <w:r w:rsidR="006A5314">
        <w:rPr>
          <w:rFonts w:ascii="Verdana" w:hAnsi="Verdana"/>
          <w:sz w:val="20"/>
          <w:szCs w:val="20"/>
        </w:rPr>
        <w:t xml:space="preserve"> </w:t>
      </w:r>
      <w:r w:rsidR="00EC253C" w:rsidRPr="009A1733">
        <w:rPr>
          <w:rFonts w:ascii="Verdana" w:hAnsi="Verdana"/>
          <w:sz w:val="20"/>
          <w:szCs w:val="20"/>
        </w:rPr>
        <w:t xml:space="preserve">El contexto probado </w:t>
      </w:r>
      <w:r w:rsidR="006A5314" w:rsidRPr="009A1733">
        <w:rPr>
          <w:rFonts w:ascii="Verdana" w:hAnsi="Verdana"/>
          <w:sz w:val="20"/>
          <w:szCs w:val="20"/>
        </w:rPr>
        <w:t xml:space="preserve">en Venezuela y en el </w:t>
      </w:r>
      <w:r w:rsidR="006D0B04">
        <w:rPr>
          <w:rFonts w:ascii="Verdana" w:hAnsi="Verdana"/>
          <w:sz w:val="20"/>
          <w:szCs w:val="20"/>
        </w:rPr>
        <w:t>estado Aragua</w:t>
      </w:r>
      <w:r w:rsidR="006A5314" w:rsidRPr="009A1733">
        <w:rPr>
          <w:rFonts w:ascii="Verdana" w:hAnsi="Verdana"/>
          <w:sz w:val="20"/>
          <w:szCs w:val="20"/>
        </w:rPr>
        <w:t xml:space="preserve"> sobre ejecuciones extrajudiciales para la época de los hechos del </w:t>
      </w:r>
      <w:r w:rsidR="002014AE">
        <w:rPr>
          <w:rFonts w:ascii="Verdana" w:hAnsi="Verdana"/>
          <w:sz w:val="20"/>
          <w:szCs w:val="20"/>
        </w:rPr>
        <w:t xml:space="preserve">presente </w:t>
      </w:r>
      <w:r w:rsidR="006A5314" w:rsidRPr="009A1733">
        <w:rPr>
          <w:rFonts w:ascii="Verdana" w:hAnsi="Verdana"/>
          <w:sz w:val="20"/>
          <w:szCs w:val="20"/>
        </w:rPr>
        <w:t>caso</w:t>
      </w:r>
      <w:r w:rsidR="006A5314">
        <w:rPr>
          <w:rFonts w:ascii="Verdana" w:hAnsi="Verdana"/>
          <w:sz w:val="20"/>
          <w:szCs w:val="20"/>
        </w:rPr>
        <w:t xml:space="preserve"> (</w:t>
      </w:r>
      <w:proofErr w:type="spellStart"/>
      <w:r w:rsidR="006A5314" w:rsidRPr="002F1B04">
        <w:rPr>
          <w:rFonts w:ascii="Verdana" w:hAnsi="Verdana"/>
          <w:sz w:val="20"/>
          <w:szCs w:val="20"/>
          <w:u w:val="single"/>
        </w:rPr>
        <w:t>p</w:t>
      </w:r>
      <w:r w:rsidR="00576CBF" w:rsidRPr="002F1B04">
        <w:rPr>
          <w:rFonts w:ascii="Verdana" w:hAnsi="Verdana"/>
          <w:sz w:val="20"/>
          <w:szCs w:val="20"/>
          <w:u w:val="single"/>
        </w:rPr>
        <w:t>árrs</w:t>
      </w:r>
      <w:proofErr w:type="spellEnd"/>
      <w:r w:rsidR="00576CBF" w:rsidRPr="002F1B04">
        <w:rPr>
          <w:rFonts w:ascii="Verdana" w:hAnsi="Verdana"/>
          <w:sz w:val="20"/>
          <w:szCs w:val="20"/>
          <w:u w:val="single"/>
        </w:rPr>
        <w:t>. 8</w:t>
      </w:r>
      <w:r w:rsidR="006A5314" w:rsidRPr="002F1B04">
        <w:rPr>
          <w:rFonts w:ascii="Verdana" w:hAnsi="Verdana"/>
          <w:sz w:val="20"/>
          <w:szCs w:val="20"/>
          <w:u w:val="single"/>
        </w:rPr>
        <w:t>-</w:t>
      </w:r>
      <w:r w:rsidR="003E415D" w:rsidRPr="002F1B04">
        <w:rPr>
          <w:rFonts w:ascii="Verdana" w:hAnsi="Verdana"/>
          <w:sz w:val="20"/>
          <w:szCs w:val="20"/>
          <w:u w:val="single"/>
        </w:rPr>
        <w:t>16</w:t>
      </w:r>
      <w:r w:rsidR="006A5314">
        <w:rPr>
          <w:rFonts w:ascii="Verdana" w:hAnsi="Verdana"/>
          <w:sz w:val="20"/>
          <w:szCs w:val="20"/>
        </w:rPr>
        <w:t>)</w:t>
      </w:r>
      <w:r w:rsidR="00EC253C">
        <w:rPr>
          <w:rFonts w:ascii="Verdana" w:hAnsi="Verdana"/>
          <w:sz w:val="20"/>
          <w:szCs w:val="20"/>
        </w:rPr>
        <w:t>;</w:t>
      </w:r>
      <w:r w:rsidR="006A5314">
        <w:rPr>
          <w:rFonts w:ascii="Verdana" w:hAnsi="Verdana"/>
          <w:sz w:val="20"/>
          <w:szCs w:val="20"/>
        </w:rPr>
        <w:t xml:space="preserve"> </w:t>
      </w:r>
      <w:r w:rsidR="006A5314" w:rsidRPr="009A1733">
        <w:rPr>
          <w:rFonts w:ascii="Verdana" w:hAnsi="Verdana"/>
          <w:sz w:val="20"/>
          <w:szCs w:val="20"/>
        </w:rPr>
        <w:t>II.</w:t>
      </w:r>
      <w:r w:rsidR="006A5314">
        <w:rPr>
          <w:rFonts w:ascii="Verdana" w:hAnsi="Verdana"/>
          <w:sz w:val="20"/>
          <w:szCs w:val="20"/>
        </w:rPr>
        <w:t xml:space="preserve"> </w:t>
      </w:r>
      <w:r w:rsidR="002014AE">
        <w:rPr>
          <w:rFonts w:ascii="Verdana" w:hAnsi="Verdana"/>
          <w:sz w:val="20"/>
          <w:szCs w:val="20"/>
        </w:rPr>
        <w:t>C</w:t>
      </w:r>
      <w:r w:rsidR="006A5314" w:rsidRPr="006425F8">
        <w:rPr>
          <w:rFonts w:ascii="Verdana" w:hAnsi="Verdana"/>
          <w:sz w:val="20"/>
          <w:szCs w:val="20"/>
        </w:rPr>
        <w:t>onclusiones de la Sentencia sobre las tres muertes de las víctimas del caso</w:t>
      </w:r>
      <w:r w:rsidR="006A5314">
        <w:rPr>
          <w:rFonts w:ascii="Verdana" w:hAnsi="Verdana"/>
          <w:sz w:val="20"/>
          <w:szCs w:val="20"/>
        </w:rPr>
        <w:t xml:space="preserve"> (</w:t>
      </w:r>
      <w:proofErr w:type="spellStart"/>
      <w:r w:rsidR="006A5314" w:rsidRPr="002F1B04">
        <w:rPr>
          <w:rFonts w:ascii="Verdana" w:hAnsi="Verdana"/>
          <w:sz w:val="20"/>
          <w:szCs w:val="20"/>
          <w:u w:val="single"/>
        </w:rPr>
        <w:t>p</w:t>
      </w:r>
      <w:r w:rsidR="003E415D" w:rsidRPr="002F1B04">
        <w:rPr>
          <w:rFonts w:ascii="Verdana" w:hAnsi="Verdana"/>
          <w:sz w:val="20"/>
          <w:szCs w:val="20"/>
          <w:u w:val="single"/>
        </w:rPr>
        <w:t>árrs</w:t>
      </w:r>
      <w:proofErr w:type="spellEnd"/>
      <w:r w:rsidR="003E415D" w:rsidRPr="002F1B04">
        <w:rPr>
          <w:rFonts w:ascii="Verdana" w:hAnsi="Verdana"/>
          <w:sz w:val="20"/>
          <w:szCs w:val="20"/>
          <w:u w:val="single"/>
        </w:rPr>
        <w:t>. 17</w:t>
      </w:r>
      <w:r w:rsidR="006A5314" w:rsidRPr="002F1B04">
        <w:rPr>
          <w:rFonts w:ascii="Verdana" w:hAnsi="Verdana"/>
          <w:sz w:val="20"/>
          <w:szCs w:val="20"/>
          <w:u w:val="single"/>
        </w:rPr>
        <w:t>-</w:t>
      </w:r>
      <w:r w:rsidR="003E415D" w:rsidRPr="002F1B04">
        <w:rPr>
          <w:rFonts w:ascii="Verdana" w:hAnsi="Verdana"/>
          <w:sz w:val="20"/>
          <w:szCs w:val="20"/>
          <w:u w:val="single"/>
        </w:rPr>
        <w:t>2</w:t>
      </w:r>
      <w:r w:rsidR="00E15B8D" w:rsidRPr="002F1B04">
        <w:rPr>
          <w:rFonts w:ascii="Verdana" w:hAnsi="Verdana"/>
          <w:sz w:val="20"/>
          <w:szCs w:val="20"/>
          <w:u w:val="single"/>
        </w:rPr>
        <w:t>1</w:t>
      </w:r>
      <w:r w:rsidR="006A5314">
        <w:rPr>
          <w:rFonts w:ascii="Verdana" w:hAnsi="Verdana"/>
          <w:sz w:val="20"/>
          <w:szCs w:val="20"/>
        </w:rPr>
        <w:t>)</w:t>
      </w:r>
      <w:r w:rsidR="00EC253C">
        <w:rPr>
          <w:rFonts w:ascii="Verdana" w:hAnsi="Verdana"/>
          <w:sz w:val="20"/>
          <w:szCs w:val="20"/>
        </w:rPr>
        <w:t>;</w:t>
      </w:r>
      <w:r w:rsidR="006A5314">
        <w:rPr>
          <w:rFonts w:ascii="Verdana" w:hAnsi="Verdana"/>
          <w:sz w:val="20"/>
          <w:szCs w:val="20"/>
        </w:rPr>
        <w:t xml:space="preserve"> III. </w:t>
      </w:r>
      <w:r w:rsidR="00EC253C" w:rsidRPr="006425F8">
        <w:rPr>
          <w:rFonts w:ascii="Verdana" w:hAnsi="Verdana"/>
          <w:sz w:val="20"/>
          <w:szCs w:val="20"/>
        </w:rPr>
        <w:t>L</w:t>
      </w:r>
      <w:r w:rsidR="006A5314" w:rsidRPr="006425F8">
        <w:rPr>
          <w:rFonts w:ascii="Verdana" w:hAnsi="Verdana"/>
          <w:sz w:val="20"/>
          <w:szCs w:val="20"/>
        </w:rPr>
        <w:t>os hechos del caso constituyen “ejecuciones extrajudiciales”</w:t>
      </w:r>
      <w:r w:rsidR="00EC253C">
        <w:rPr>
          <w:rFonts w:ascii="Verdana" w:hAnsi="Verdana"/>
          <w:i/>
          <w:sz w:val="20"/>
          <w:szCs w:val="20"/>
        </w:rPr>
        <w:t xml:space="preserve"> </w:t>
      </w:r>
      <w:r w:rsidR="00EC253C">
        <w:rPr>
          <w:rFonts w:ascii="Verdana" w:hAnsi="Verdana"/>
          <w:sz w:val="20"/>
          <w:szCs w:val="20"/>
        </w:rPr>
        <w:t>(</w:t>
      </w:r>
      <w:proofErr w:type="spellStart"/>
      <w:r w:rsidR="00EC253C" w:rsidRPr="002F1B04">
        <w:rPr>
          <w:rFonts w:ascii="Verdana" w:hAnsi="Verdana"/>
          <w:sz w:val="20"/>
          <w:szCs w:val="20"/>
          <w:u w:val="single"/>
        </w:rPr>
        <w:t>p</w:t>
      </w:r>
      <w:r w:rsidR="00E15B8D" w:rsidRPr="002F1B04">
        <w:rPr>
          <w:rFonts w:ascii="Verdana" w:hAnsi="Verdana"/>
          <w:sz w:val="20"/>
          <w:szCs w:val="20"/>
          <w:u w:val="single"/>
        </w:rPr>
        <w:t>árrs</w:t>
      </w:r>
      <w:proofErr w:type="spellEnd"/>
      <w:r w:rsidR="00E15B8D" w:rsidRPr="002F1B04">
        <w:rPr>
          <w:rFonts w:ascii="Verdana" w:hAnsi="Verdana"/>
          <w:sz w:val="20"/>
          <w:szCs w:val="20"/>
          <w:u w:val="single"/>
        </w:rPr>
        <w:t>. 22</w:t>
      </w:r>
      <w:r w:rsidR="00EC253C" w:rsidRPr="002F1B04">
        <w:rPr>
          <w:rFonts w:ascii="Verdana" w:hAnsi="Verdana"/>
          <w:sz w:val="20"/>
          <w:szCs w:val="20"/>
          <w:u w:val="single"/>
        </w:rPr>
        <w:t>-</w:t>
      </w:r>
      <w:r w:rsidR="003E415D" w:rsidRPr="002F1B04">
        <w:rPr>
          <w:rFonts w:ascii="Verdana" w:hAnsi="Verdana"/>
          <w:sz w:val="20"/>
          <w:szCs w:val="20"/>
          <w:u w:val="single"/>
        </w:rPr>
        <w:t>38</w:t>
      </w:r>
      <w:r w:rsidR="00EC253C">
        <w:rPr>
          <w:rFonts w:ascii="Verdana" w:hAnsi="Verdana"/>
          <w:sz w:val="20"/>
          <w:szCs w:val="20"/>
        </w:rPr>
        <w:t>)</w:t>
      </w:r>
      <w:r w:rsidR="006A5314" w:rsidRPr="00015A88">
        <w:rPr>
          <w:rFonts w:ascii="Verdana" w:hAnsi="Verdana"/>
          <w:i/>
          <w:sz w:val="20"/>
          <w:szCs w:val="20"/>
        </w:rPr>
        <w:t>;</w:t>
      </w:r>
      <w:r w:rsidR="006A5314">
        <w:rPr>
          <w:rFonts w:ascii="Verdana" w:hAnsi="Verdana"/>
          <w:sz w:val="20"/>
          <w:szCs w:val="20"/>
        </w:rPr>
        <w:t xml:space="preserve"> y IV. </w:t>
      </w:r>
      <w:r w:rsidR="006A5314" w:rsidRPr="006425F8">
        <w:rPr>
          <w:rFonts w:ascii="Verdana" w:hAnsi="Verdana"/>
          <w:sz w:val="20"/>
          <w:szCs w:val="20"/>
        </w:rPr>
        <w:t>Conclusión</w:t>
      </w:r>
      <w:r w:rsidR="006A5314">
        <w:rPr>
          <w:rFonts w:ascii="Verdana" w:hAnsi="Verdana"/>
          <w:sz w:val="20"/>
          <w:szCs w:val="20"/>
        </w:rPr>
        <w:t xml:space="preserve"> (</w:t>
      </w:r>
      <w:proofErr w:type="spellStart"/>
      <w:r w:rsidR="006A5314" w:rsidRPr="002F1B04">
        <w:rPr>
          <w:rFonts w:ascii="Verdana" w:hAnsi="Verdana"/>
          <w:sz w:val="20"/>
          <w:szCs w:val="20"/>
          <w:u w:val="single"/>
        </w:rPr>
        <w:t>p</w:t>
      </w:r>
      <w:r w:rsidR="003E415D" w:rsidRPr="002F1B04">
        <w:rPr>
          <w:rFonts w:ascii="Verdana" w:hAnsi="Verdana"/>
          <w:sz w:val="20"/>
          <w:szCs w:val="20"/>
          <w:u w:val="single"/>
        </w:rPr>
        <w:t>árrs</w:t>
      </w:r>
      <w:proofErr w:type="spellEnd"/>
      <w:r w:rsidR="003E415D" w:rsidRPr="002F1B04">
        <w:rPr>
          <w:rFonts w:ascii="Verdana" w:hAnsi="Verdana"/>
          <w:sz w:val="20"/>
          <w:szCs w:val="20"/>
          <w:u w:val="single"/>
        </w:rPr>
        <w:t>. 39</w:t>
      </w:r>
      <w:r w:rsidR="006A5314" w:rsidRPr="002F1B04">
        <w:rPr>
          <w:rFonts w:ascii="Verdana" w:hAnsi="Verdana"/>
          <w:sz w:val="20"/>
          <w:szCs w:val="20"/>
          <w:u w:val="single"/>
        </w:rPr>
        <w:t>-</w:t>
      </w:r>
      <w:r w:rsidR="003E415D" w:rsidRPr="002F1B04">
        <w:rPr>
          <w:rFonts w:ascii="Verdana" w:hAnsi="Verdana"/>
          <w:sz w:val="20"/>
          <w:szCs w:val="20"/>
          <w:u w:val="single"/>
        </w:rPr>
        <w:t>40</w:t>
      </w:r>
      <w:r w:rsidR="006A5314">
        <w:rPr>
          <w:rFonts w:ascii="Verdana" w:hAnsi="Verdana"/>
          <w:sz w:val="20"/>
          <w:szCs w:val="20"/>
        </w:rPr>
        <w:t>).</w:t>
      </w:r>
    </w:p>
    <w:p w14:paraId="1877B760" w14:textId="77777777" w:rsidR="00CD177B" w:rsidRPr="00DE6ED6" w:rsidRDefault="00DE6ED6" w:rsidP="00DE6ED6">
      <w:pPr>
        <w:pStyle w:val="Prrafodelista"/>
        <w:spacing w:before="240" w:after="240"/>
        <w:ind w:left="714"/>
        <w:contextualSpacing w:val="0"/>
        <w:jc w:val="both"/>
        <w:outlineLvl w:val="0"/>
        <w:rPr>
          <w:rFonts w:ascii="Verdana" w:hAnsi="Verdana"/>
          <w:b/>
          <w:sz w:val="20"/>
          <w:szCs w:val="20"/>
          <w:highlight w:val="green"/>
        </w:rPr>
      </w:pPr>
      <w:r w:rsidRPr="00DE6ED6">
        <w:rPr>
          <w:rFonts w:ascii="Verdana" w:hAnsi="Verdana"/>
          <w:b/>
          <w:sz w:val="20"/>
          <w:szCs w:val="20"/>
        </w:rPr>
        <w:lastRenderedPageBreak/>
        <w:t xml:space="preserve">I. </w:t>
      </w:r>
      <w:r w:rsidR="006425F8">
        <w:rPr>
          <w:rFonts w:ascii="Verdana" w:hAnsi="Verdana"/>
          <w:b/>
          <w:sz w:val="20"/>
          <w:szCs w:val="20"/>
        </w:rPr>
        <w:tab/>
      </w:r>
      <w:r w:rsidR="00CD177B" w:rsidRPr="006425F8">
        <w:rPr>
          <w:rFonts w:ascii="Verdana" w:hAnsi="Verdana"/>
          <w:b/>
          <w:sz w:val="20"/>
          <w:szCs w:val="20"/>
        </w:rPr>
        <w:t>E</w:t>
      </w:r>
      <w:r w:rsidR="006425F8">
        <w:rPr>
          <w:rFonts w:ascii="Verdana" w:hAnsi="Verdana"/>
          <w:b/>
          <w:sz w:val="20"/>
          <w:szCs w:val="20"/>
        </w:rPr>
        <w:t>L CONTEXTO PROBAD</w:t>
      </w:r>
      <w:r w:rsidR="00E772E5">
        <w:rPr>
          <w:rFonts w:ascii="Verdana" w:hAnsi="Verdana"/>
          <w:b/>
          <w:sz w:val="20"/>
          <w:szCs w:val="20"/>
        </w:rPr>
        <w:t xml:space="preserve">O EN VENEZUELA Y EN EL </w:t>
      </w:r>
      <w:r w:rsidR="006D0B04">
        <w:rPr>
          <w:rFonts w:ascii="Verdana" w:hAnsi="Verdana"/>
          <w:b/>
          <w:sz w:val="20"/>
          <w:szCs w:val="20"/>
        </w:rPr>
        <w:t>ESTADO ARAGUA</w:t>
      </w:r>
      <w:r w:rsidR="006425F8">
        <w:rPr>
          <w:rFonts w:ascii="Verdana" w:hAnsi="Verdana"/>
          <w:b/>
          <w:sz w:val="20"/>
          <w:szCs w:val="20"/>
        </w:rPr>
        <w:t xml:space="preserve"> SOBRE EJECUCIONES EXTRAJUDICIALES PARA LA ÉPOCA DE LOS HECHOS DEL </w:t>
      </w:r>
      <w:r w:rsidR="002014AE">
        <w:rPr>
          <w:rFonts w:ascii="Verdana" w:hAnsi="Verdana"/>
          <w:b/>
          <w:sz w:val="20"/>
          <w:szCs w:val="20"/>
        </w:rPr>
        <w:t xml:space="preserve">PRESENTE </w:t>
      </w:r>
      <w:r w:rsidR="006425F8">
        <w:rPr>
          <w:rFonts w:ascii="Verdana" w:hAnsi="Verdana"/>
          <w:b/>
          <w:sz w:val="20"/>
          <w:szCs w:val="20"/>
        </w:rPr>
        <w:t>CASO</w:t>
      </w:r>
    </w:p>
    <w:p w14:paraId="43C2AD00" w14:textId="77777777" w:rsidR="00785E3B" w:rsidRDefault="00785E3B" w:rsidP="00785E3B">
      <w:pPr>
        <w:spacing w:before="120" w:after="120"/>
        <w:jc w:val="both"/>
        <w:rPr>
          <w:rFonts w:ascii="Verdana" w:hAnsi="Verdana"/>
          <w:sz w:val="20"/>
          <w:szCs w:val="20"/>
        </w:rPr>
      </w:pPr>
      <w:r w:rsidRPr="00785E3B">
        <w:rPr>
          <w:rFonts w:ascii="Verdana" w:hAnsi="Verdana"/>
          <w:sz w:val="20"/>
          <w:szCs w:val="20"/>
        </w:rPr>
        <w:t xml:space="preserve">8. </w:t>
      </w:r>
      <w:r w:rsidRPr="00785E3B">
        <w:rPr>
          <w:rFonts w:ascii="Verdana" w:hAnsi="Verdana"/>
          <w:sz w:val="20"/>
          <w:szCs w:val="20"/>
        </w:rPr>
        <w:tab/>
      </w:r>
      <w:r w:rsidR="006425F8">
        <w:rPr>
          <w:rFonts w:ascii="Verdana" w:hAnsi="Verdana"/>
          <w:sz w:val="20"/>
          <w:szCs w:val="20"/>
        </w:rPr>
        <w:t>L</w:t>
      </w:r>
      <w:r w:rsidR="00A26657" w:rsidRPr="00785E3B">
        <w:rPr>
          <w:rFonts w:ascii="Verdana" w:hAnsi="Verdana"/>
          <w:sz w:val="20"/>
          <w:szCs w:val="20"/>
        </w:rPr>
        <w:t xml:space="preserve">a Corte </w:t>
      </w:r>
      <w:r w:rsidR="00015A88" w:rsidRPr="00785E3B">
        <w:rPr>
          <w:rFonts w:ascii="Verdana" w:hAnsi="Verdana"/>
          <w:sz w:val="20"/>
          <w:szCs w:val="20"/>
        </w:rPr>
        <w:t xml:space="preserve">IDH </w:t>
      </w:r>
      <w:r w:rsidR="00A26657" w:rsidRPr="00785E3B">
        <w:rPr>
          <w:rFonts w:ascii="Verdana" w:hAnsi="Verdana"/>
          <w:sz w:val="20"/>
          <w:szCs w:val="20"/>
        </w:rPr>
        <w:t xml:space="preserve">constató que para la época de los hechos relacionados con las muertes de </w:t>
      </w:r>
      <w:r w:rsidR="001D16F7" w:rsidRPr="00785E3B">
        <w:rPr>
          <w:rFonts w:ascii="Verdana" w:hAnsi="Verdana"/>
          <w:sz w:val="20"/>
          <w:szCs w:val="20"/>
        </w:rPr>
        <w:t xml:space="preserve">los </w:t>
      </w:r>
      <w:r w:rsidR="00A26657" w:rsidRPr="00785E3B">
        <w:rPr>
          <w:rFonts w:ascii="Verdana" w:hAnsi="Verdana"/>
          <w:sz w:val="20"/>
          <w:szCs w:val="20"/>
        </w:rPr>
        <w:t xml:space="preserve">tres miembros de la </w:t>
      </w:r>
      <w:r w:rsidR="00593D20" w:rsidRPr="00785E3B">
        <w:rPr>
          <w:rFonts w:ascii="Verdana" w:hAnsi="Verdana"/>
          <w:sz w:val="20"/>
          <w:szCs w:val="20"/>
        </w:rPr>
        <w:t>Familia Dí</w:t>
      </w:r>
      <w:r w:rsidR="00A26657" w:rsidRPr="00785E3B">
        <w:rPr>
          <w:rFonts w:ascii="Verdana" w:hAnsi="Verdana"/>
          <w:sz w:val="20"/>
          <w:szCs w:val="20"/>
        </w:rPr>
        <w:t xml:space="preserve">az, </w:t>
      </w:r>
      <w:r w:rsidR="001D16F7" w:rsidRPr="00785E3B">
        <w:rPr>
          <w:rFonts w:ascii="Verdana" w:hAnsi="Verdana"/>
          <w:sz w:val="20"/>
          <w:szCs w:val="20"/>
        </w:rPr>
        <w:t xml:space="preserve">víctimas del presente caso, </w:t>
      </w:r>
      <w:r w:rsidR="00A26657" w:rsidRPr="00785E3B">
        <w:rPr>
          <w:rFonts w:ascii="Verdana" w:hAnsi="Verdana"/>
          <w:sz w:val="20"/>
          <w:szCs w:val="20"/>
        </w:rPr>
        <w:t>existía un contexto de ejecuciones e</w:t>
      </w:r>
      <w:r w:rsidR="002F4ECB" w:rsidRPr="00785E3B">
        <w:rPr>
          <w:rFonts w:ascii="Verdana" w:hAnsi="Verdana"/>
          <w:sz w:val="20"/>
          <w:szCs w:val="20"/>
        </w:rPr>
        <w:t xml:space="preserve">xtrajudiciales </w:t>
      </w:r>
      <w:r w:rsidR="00952185" w:rsidRPr="00785E3B">
        <w:rPr>
          <w:rFonts w:ascii="Verdana" w:hAnsi="Verdana"/>
          <w:sz w:val="20"/>
          <w:szCs w:val="20"/>
        </w:rPr>
        <w:t xml:space="preserve">por parte de funcionarios policiales </w:t>
      </w:r>
      <w:r w:rsidR="002F4ECB" w:rsidRPr="00785E3B">
        <w:rPr>
          <w:rFonts w:ascii="Verdana" w:hAnsi="Verdana"/>
          <w:sz w:val="20"/>
          <w:szCs w:val="20"/>
        </w:rPr>
        <w:t>en V</w:t>
      </w:r>
      <w:r w:rsidR="005E460F" w:rsidRPr="00785E3B">
        <w:rPr>
          <w:rFonts w:ascii="Verdana" w:hAnsi="Verdana"/>
          <w:sz w:val="20"/>
          <w:szCs w:val="20"/>
        </w:rPr>
        <w:t>enezuela y en particular en e</w:t>
      </w:r>
      <w:r w:rsidR="00015A88" w:rsidRPr="00785E3B">
        <w:rPr>
          <w:rFonts w:ascii="Verdana" w:hAnsi="Verdana"/>
          <w:sz w:val="20"/>
          <w:szCs w:val="20"/>
        </w:rPr>
        <w:t xml:space="preserve">l </w:t>
      </w:r>
      <w:r w:rsidR="006D0B04">
        <w:rPr>
          <w:rFonts w:ascii="Verdana" w:hAnsi="Verdana"/>
          <w:sz w:val="20"/>
          <w:szCs w:val="20"/>
        </w:rPr>
        <w:t>estado Aragua</w:t>
      </w:r>
      <w:r w:rsidR="00234007">
        <w:rPr>
          <w:rFonts w:ascii="Verdana" w:hAnsi="Verdana"/>
          <w:sz w:val="20"/>
          <w:szCs w:val="20"/>
        </w:rPr>
        <w:t>, lugar donde ocurrieron los hechos del presente caso</w:t>
      </w:r>
      <w:r w:rsidR="002F4ECB" w:rsidRPr="00785E3B">
        <w:rPr>
          <w:rFonts w:ascii="Verdana" w:hAnsi="Verdana"/>
          <w:sz w:val="20"/>
          <w:szCs w:val="20"/>
        </w:rPr>
        <w:t xml:space="preserve">. </w:t>
      </w:r>
    </w:p>
    <w:p w14:paraId="1E73ABA6" w14:textId="77777777" w:rsidR="007F458D" w:rsidRDefault="00785E3B" w:rsidP="00785E3B">
      <w:pPr>
        <w:spacing w:before="120" w:after="120"/>
        <w:jc w:val="both"/>
        <w:rPr>
          <w:rFonts w:ascii="Verdana" w:hAnsi="Verdana"/>
          <w:sz w:val="20"/>
          <w:szCs w:val="20"/>
        </w:rPr>
      </w:pPr>
      <w:r>
        <w:rPr>
          <w:rFonts w:ascii="Verdana" w:hAnsi="Verdana"/>
          <w:sz w:val="20"/>
          <w:szCs w:val="20"/>
        </w:rPr>
        <w:t xml:space="preserve">9. </w:t>
      </w:r>
      <w:r>
        <w:rPr>
          <w:rFonts w:ascii="Verdana" w:hAnsi="Verdana"/>
          <w:sz w:val="20"/>
          <w:szCs w:val="20"/>
        </w:rPr>
        <w:tab/>
      </w:r>
      <w:r w:rsidR="006425F8">
        <w:rPr>
          <w:rFonts w:ascii="Verdana" w:hAnsi="Verdana"/>
          <w:sz w:val="20"/>
          <w:szCs w:val="20"/>
        </w:rPr>
        <w:t>En la Sentencia, el Tribunal Interamericano</w:t>
      </w:r>
      <w:r w:rsidR="000E35E3">
        <w:rPr>
          <w:rFonts w:ascii="Verdana" w:hAnsi="Verdana"/>
          <w:sz w:val="20"/>
          <w:szCs w:val="20"/>
        </w:rPr>
        <w:t xml:space="preserve"> advierte que la Defensoría del Pueblo identifica</w:t>
      </w:r>
      <w:r w:rsidR="00952185" w:rsidRPr="00F37E3A">
        <w:rPr>
          <w:rFonts w:ascii="Verdana" w:hAnsi="Verdana"/>
          <w:sz w:val="20"/>
          <w:szCs w:val="20"/>
        </w:rPr>
        <w:t xml:space="preserve"> “ciertos patrones de conducta policial”</w:t>
      </w:r>
      <w:r w:rsidR="00507FBF">
        <w:rPr>
          <w:rFonts w:ascii="Verdana" w:hAnsi="Verdana"/>
          <w:sz w:val="20"/>
          <w:szCs w:val="20"/>
        </w:rPr>
        <w:t>,</w:t>
      </w:r>
      <w:r w:rsidR="00952185" w:rsidRPr="00F37E3A">
        <w:rPr>
          <w:rFonts w:ascii="Verdana" w:hAnsi="Verdana"/>
          <w:sz w:val="20"/>
          <w:szCs w:val="20"/>
        </w:rPr>
        <w:t xml:space="preserve"> que presentan las siguientes características</w:t>
      </w:r>
      <w:r w:rsidR="003924B6" w:rsidRPr="00F37E3A">
        <w:rPr>
          <w:rStyle w:val="Refdenotaalpie"/>
          <w:rFonts w:ascii="Verdana" w:hAnsi="Verdana"/>
          <w:sz w:val="20"/>
          <w:szCs w:val="20"/>
        </w:rPr>
        <w:footnoteReference w:id="8"/>
      </w:r>
      <w:r w:rsidR="00952185" w:rsidRPr="00F37E3A">
        <w:rPr>
          <w:rFonts w:ascii="Verdana" w:hAnsi="Verdana"/>
          <w:sz w:val="20"/>
          <w:szCs w:val="20"/>
        </w:rPr>
        <w:t xml:space="preserve">: </w:t>
      </w:r>
    </w:p>
    <w:p w14:paraId="568CC031" w14:textId="77777777" w:rsidR="007F458D" w:rsidRDefault="00952185" w:rsidP="007F458D">
      <w:pPr>
        <w:pStyle w:val="Prrafodelista"/>
        <w:spacing w:before="120" w:after="120"/>
        <w:ind w:left="0" w:firstLine="708"/>
        <w:contextualSpacing w:val="0"/>
        <w:jc w:val="both"/>
        <w:rPr>
          <w:rFonts w:ascii="Verdana" w:hAnsi="Verdana"/>
          <w:sz w:val="20"/>
          <w:szCs w:val="20"/>
        </w:rPr>
      </w:pPr>
      <w:r w:rsidRPr="00F37E3A">
        <w:rPr>
          <w:rFonts w:ascii="Verdana" w:hAnsi="Verdana"/>
          <w:sz w:val="20"/>
          <w:szCs w:val="20"/>
        </w:rPr>
        <w:t xml:space="preserve">a) la versión oficial de los cuerpos policiales generalmente refiere </w:t>
      </w:r>
      <w:r w:rsidR="006D0B04">
        <w:rPr>
          <w:rFonts w:ascii="Verdana" w:hAnsi="Verdana"/>
          <w:sz w:val="20"/>
          <w:szCs w:val="20"/>
        </w:rPr>
        <w:t xml:space="preserve">a </w:t>
      </w:r>
      <w:r w:rsidRPr="00F37E3A">
        <w:rPr>
          <w:rFonts w:ascii="Verdana" w:hAnsi="Verdana"/>
          <w:sz w:val="20"/>
          <w:szCs w:val="20"/>
        </w:rPr>
        <w:t>muerte</w:t>
      </w:r>
      <w:r w:rsidR="006D0B04">
        <w:rPr>
          <w:rFonts w:ascii="Verdana" w:hAnsi="Verdana"/>
          <w:sz w:val="20"/>
          <w:szCs w:val="20"/>
        </w:rPr>
        <w:t>s</w:t>
      </w:r>
      <w:r w:rsidRPr="00F37E3A">
        <w:rPr>
          <w:rFonts w:ascii="Verdana" w:hAnsi="Verdana"/>
          <w:sz w:val="20"/>
          <w:szCs w:val="20"/>
        </w:rPr>
        <w:t xml:space="preserve"> de las víctimas en presunto enfrentamiento; </w:t>
      </w:r>
    </w:p>
    <w:p w14:paraId="70B5FD2D" w14:textId="77777777" w:rsidR="007F458D" w:rsidRDefault="00952185" w:rsidP="007F458D">
      <w:pPr>
        <w:pStyle w:val="Prrafodelista"/>
        <w:spacing w:before="120" w:after="120"/>
        <w:ind w:left="0" w:firstLine="708"/>
        <w:contextualSpacing w:val="0"/>
        <w:jc w:val="both"/>
        <w:rPr>
          <w:rFonts w:ascii="Verdana" w:hAnsi="Verdana"/>
          <w:sz w:val="20"/>
          <w:szCs w:val="20"/>
        </w:rPr>
      </w:pPr>
      <w:r w:rsidRPr="00F37E3A">
        <w:rPr>
          <w:rFonts w:ascii="Verdana" w:hAnsi="Verdana"/>
          <w:sz w:val="20"/>
          <w:szCs w:val="20"/>
        </w:rPr>
        <w:t xml:space="preserve">b) por lo general, las víctimas son interceptadas y asesinadas cerca o dentro de su lugar de residencia, o en el transcurso de operativos o redadas policiales; </w:t>
      </w:r>
    </w:p>
    <w:p w14:paraId="10BE9E56" w14:textId="77777777" w:rsidR="007F458D" w:rsidRDefault="00952185" w:rsidP="007F458D">
      <w:pPr>
        <w:pStyle w:val="Prrafodelista"/>
        <w:spacing w:before="120" w:after="120"/>
        <w:ind w:left="0" w:firstLine="708"/>
        <w:contextualSpacing w:val="0"/>
        <w:jc w:val="both"/>
        <w:rPr>
          <w:rFonts w:ascii="Verdana" w:hAnsi="Verdana"/>
          <w:sz w:val="20"/>
          <w:szCs w:val="20"/>
        </w:rPr>
      </w:pPr>
      <w:r w:rsidRPr="00F37E3A">
        <w:rPr>
          <w:rFonts w:ascii="Verdana" w:hAnsi="Verdana"/>
          <w:sz w:val="20"/>
          <w:szCs w:val="20"/>
        </w:rPr>
        <w:t xml:space="preserve">c) el hecho ocurre en presencia de testigos, quienes relatan que a la víctima la detuvieron con vida; </w:t>
      </w:r>
    </w:p>
    <w:p w14:paraId="7BCD0DCC" w14:textId="77777777" w:rsidR="007F458D" w:rsidRDefault="00952185" w:rsidP="007F458D">
      <w:pPr>
        <w:pStyle w:val="Prrafodelista"/>
        <w:spacing w:before="120" w:after="120"/>
        <w:ind w:left="0" w:firstLine="708"/>
        <w:contextualSpacing w:val="0"/>
        <w:jc w:val="both"/>
        <w:rPr>
          <w:rFonts w:ascii="Verdana" w:hAnsi="Verdana"/>
          <w:sz w:val="20"/>
          <w:szCs w:val="20"/>
        </w:rPr>
      </w:pPr>
      <w:r w:rsidRPr="00F37E3A">
        <w:rPr>
          <w:rFonts w:ascii="Verdana" w:hAnsi="Verdana"/>
          <w:sz w:val="20"/>
          <w:szCs w:val="20"/>
        </w:rPr>
        <w:t>d) en gran cantidad de casos, las víctimas son montadas</w:t>
      </w:r>
      <w:r w:rsidR="00C057E4" w:rsidRPr="00F37E3A">
        <w:rPr>
          <w:rFonts w:ascii="Verdana" w:hAnsi="Verdana"/>
          <w:sz w:val="20"/>
          <w:szCs w:val="20"/>
        </w:rPr>
        <w:t xml:space="preserve"> en vehículos</w:t>
      </w:r>
      <w:r w:rsidR="003532E3">
        <w:rPr>
          <w:rFonts w:ascii="Verdana" w:hAnsi="Verdana"/>
          <w:sz w:val="20"/>
          <w:szCs w:val="20"/>
        </w:rPr>
        <w:t>, presentando heridas o no,</w:t>
      </w:r>
      <w:r w:rsidRPr="00F37E3A">
        <w:rPr>
          <w:rFonts w:ascii="Verdana" w:hAnsi="Verdana"/>
          <w:sz w:val="20"/>
          <w:szCs w:val="20"/>
        </w:rPr>
        <w:t xml:space="preserve"> </w:t>
      </w:r>
      <w:r w:rsidR="003532E3" w:rsidRPr="00F37E3A">
        <w:rPr>
          <w:rFonts w:ascii="Verdana" w:hAnsi="Verdana"/>
          <w:sz w:val="20"/>
          <w:szCs w:val="20"/>
        </w:rPr>
        <w:t>apareciendo posteriormente muertas en el hospital o la morgue</w:t>
      </w:r>
      <w:r w:rsidR="003532E3">
        <w:rPr>
          <w:rFonts w:ascii="Verdana" w:hAnsi="Verdana"/>
          <w:sz w:val="20"/>
          <w:szCs w:val="20"/>
        </w:rPr>
        <w:t>;</w:t>
      </w:r>
    </w:p>
    <w:p w14:paraId="04975309" w14:textId="77777777" w:rsidR="007F458D" w:rsidRDefault="00952185" w:rsidP="007F458D">
      <w:pPr>
        <w:pStyle w:val="Prrafodelista"/>
        <w:spacing w:before="120" w:after="120"/>
        <w:ind w:left="0" w:firstLine="708"/>
        <w:contextualSpacing w:val="0"/>
        <w:jc w:val="both"/>
        <w:rPr>
          <w:rFonts w:ascii="Verdana" w:hAnsi="Verdana"/>
          <w:sz w:val="20"/>
          <w:szCs w:val="20"/>
        </w:rPr>
      </w:pPr>
      <w:r w:rsidRPr="00F37E3A">
        <w:rPr>
          <w:rFonts w:ascii="Verdana" w:hAnsi="Verdana"/>
          <w:sz w:val="20"/>
          <w:szCs w:val="20"/>
        </w:rPr>
        <w:t xml:space="preserve">e) en muchos casos, se altera la escena donde ocurre el ajusticiamiento: se traslada la víctima hacia un lugar diferente a donde ocurrieron los hechos; se colocan armas y sustancias psicotrópicas; entre otras; </w:t>
      </w:r>
    </w:p>
    <w:p w14:paraId="3C592090" w14:textId="77777777" w:rsidR="007F458D" w:rsidRDefault="00952185" w:rsidP="007F458D">
      <w:pPr>
        <w:pStyle w:val="Prrafodelista"/>
        <w:spacing w:before="120" w:after="120"/>
        <w:ind w:left="0" w:firstLine="708"/>
        <w:contextualSpacing w:val="0"/>
        <w:jc w:val="both"/>
        <w:rPr>
          <w:rFonts w:ascii="Verdana" w:hAnsi="Verdana"/>
          <w:sz w:val="20"/>
          <w:szCs w:val="20"/>
        </w:rPr>
      </w:pPr>
      <w:r w:rsidRPr="00F37E3A">
        <w:rPr>
          <w:rFonts w:ascii="Verdana" w:hAnsi="Verdana"/>
          <w:sz w:val="20"/>
          <w:szCs w:val="20"/>
        </w:rPr>
        <w:t>f) el uso de pasamontañas para ocultar la identidad del funcionario, así como el empleo en algunos casos de vehículos sin placas</w:t>
      </w:r>
      <w:r w:rsidR="003532E3">
        <w:rPr>
          <w:rFonts w:ascii="Verdana" w:hAnsi="Verdana"/>
          <w:sz w:val="20"/>
          <w:szCs w:val="20"/>
        </w:rPr>
        <w:t>, taxis o en patrullas oficiales</w:t>
      </w:r>
      <w:r w:rsidRPr="00F37E3A">
        <w:rPr>
          <w:rFonts w:ascii="Verdana" w:hAnsi="Verdana"/>
          <w:sz w:val="20"/>
          <w:szCs w:val="20"/>
        </w:rPr>
        <w:t xml:space="preserve">; </w:t>
      </w:r>
    </w:p>
    <w:p w14:paraId="4243192B" w14:textId="77777777" w:rsidR="007F458D" w:rsidRDefault="00952185" w:rsidP="007F458D">
      <w:pPr>
        <w:pStyle w:val="Prrafodelista"/>
        <w:spacing w:before="120" w:after="120"/>
        <w:ind w:left="0" w:firstLine="708"/>
        <w:contextualSpacing w:val="0"/>
        <w:jc w:val="both"/>
        <w:rPr>
          <w:rFonts w:ascii="Verdana" w:hAnsi="Verdana"/>
          <w:sz w:val="20"/>
          <w:szCs w:val="20"/>
        </w:rPr>
      </w:pPr>
      <w:r w:rsidRPr="00F37E3A">
        <w:rPr>
          <w:rFonts w:ascii="Verdana" w:hAnsi="Verdana"/>
          <w:sz w:val="20"/>
          <w:szCs w:val="20"/>
        </w:rPr>
        <w:t>g) la mayoría de los casos, las víctimas presentan numerosos impa</w:t>
      </w:r>
      <w:r w:rsidR="003532E3">
        <w:rPr>
          <w:rFonts w:ascii="Verdana" w:hAnsi="Verdana"/>
          <w:sz w:val="20"/>
          <w:szCs w:val="20"/>
        </w:rPr>
        <w:t>ctos de bala y, en algunas oportunidades</w:t>
      </w:r>
      <w:r w:rsidRPr="00F37E3A">
        <w:rPr>
          <w:rFonts w:ascii="Verdana" w:hAnsi="Verdana"/>
          <w:sz w:val="20"/>
          <w:szCs w:val="20"/>
        </w:rPr>
        <w:t xml:space="preserve">, signos evidentes de tortura, y </w:t>
      </w:r>
    </w:p>
    <w:p w14:paraId="23294CD5" w14:textId="77777777" w:rsidR="00785E3B" w:rsidRDefault="003532E3" w:rsidP="00785E3B">
      <w:pPr>
        <w:pStyle w:val="Prrafodelista"/>
        <w:spacing w:before="120" w:after="120"/>
        <w:ind w:left="0" w:firstLine="708"/>
        <w:contextualSpacing w:val="0"/>
        <w:jc w:val="both"/>
        <w:rPr>
          <w:rFonts w:ascii="Verdana" w:hAnsi="Verdana"/>
          <w:sz w:val="20"/>
          <w:szCs w:val="20"/>
        </w:rPr>
      </w:pPr>
      <w:r>
        <w:rPr>
          <w:rFonts w:ascii="Verdana" w:hAnsi="Verdana"/>
          <w:sz w:val="20"/>
          <w:szCs w:val="20"/>
        </w:rPr>
        <w:t>h) l</w:t>
      </w:r>
      <w:r w:rsidR="00952185" w:rsidRPr="00F37E3A">
        <w:rPr>
          <w:rFonts w:ascii="Verdana" w:hAnsi="Verdana"/>
          <w:sz w:val="20"/>
          <w:szCs w:val="20"/>
        </w:rPr>
        <w:t>os familiares y testigos por lo general son amenazados y hostigados por efectivos policiales, luego de denunciar los hechos.</w:t>
      </w:r>
      <w:r w:rsidR="002F4ECB" w:rsidRPr="00F37E3A">
        <w:rPr>
          <w:rFonts w:ascii="Verdana" w:hAnsi="Verdana"/>
          <w:sz w:val="20"/>
          <w:szCs w:val="20"/>
        </w:rPr>
        <w:t xml:space="preserve"> </w:t>
      </w:r>
    </w:p>
    <w:p w14:paraId="0275426D" w14:textId="77777777" w:rsidR="00593D20" w:rsidRDefault="00E15B8D" w:rsidP="00785E3B">
      <w:pPr>
        <w:pStyle w:val="Prrafodelista"/>
        <w:spacing w:before="120" w:after="120"/>
        <w:ind w:left="0"/>
        <w:contextualSpacing w:val="0"/>
        <w:jc w:val="both"/>
        <w:rPr>
          <w:rFonts w:ascii="Verdana" w:hAnsi="Verdana"/>
          <w:sz w:val="20"/>
          <w:szCs w:val="20"/>
        </w:rPr>
      </w:pPr>
      <w:r>
        <w:rPr>
          <w:rFonts w:ascii="Verdana" w:hAnsi="Verdana"/>
          <w:sz w:val="20"/>
          <w:szCs w:val="20"/>
        </w:rPr>
        <w:t>10</w:t>
      </w:r>
      <w:r w:rsidR="00F313CD">
        <w:rPr>
          <w:rFonts w:ascii="Verdana" w:hAnsi="Verdana"/>
          <w:sz w:val="20"/>
          <w:szCs w:val="20"/>
        </w:rPr>
        <w:t>.</w:t>
      </w:r>
      <w:r w:rsidR="00F313CD">
        <w:rPr>
          <w:rFonts w:ascii="Verdana" w:hAnsi="Verdana"/>
          <w:sz w:val="20"/>
          <w:szCs w:val="20"/>
        </w:rPr>
        <w:tab/>
      </w:r>
      <w:r w:rsidR="007F458D" w:rsidRPr="007F458D">
        <w:rPr>
          <w:rFonts w:ascii="Verdana" w:hAnsi="Verdana"/>
          <w:sz w:val="20"/>
          <w:szCs w:val="20"/>
        </w:rPr>
        <w:t xml:space="preserve">En efecto, tal y como se enfatiza en la Sentencia, </w:t>
      </w:r>
      <w:r w:rsidR="00593D20">
        <w:rPr>
          <w:rFonts w:ascii="Verdana" w:hAnsi="Verdana"/>
          <w:sz w:val="20"/>
          <w:szCs w:val="20"/>
        </w:rPr>
        <w:t xml:space="preserve">dicha Defensoría </w:t>
      </w:r>
      <w:r w:rsidR="00F313CD">
        <w:rPr>
          <w:rFonts w:ascii="Verdana" w:hAnsi="Verdana"/>
          <w:sz w:val="20"/>
          <w:szCs w:val="20"/>
        </w:rPr>
        <w:t xml:space="preserve">del Pueblo, </w:t>
      </w:r>
      <w:r w:rsidR="00593D20">
        <w:rPr>
          <w:rFonts w:ascii="Verdana" w:hAnsi="Verdana"/>
          <w:sz w:val="20"/>
          <w:szCs w:val="20"/>
        </w:rPr>
        <w:t>desde el año 2001</w:t>
      </w:r>
      <w:r w:rsidR="00593D20" w:rsidRPr="00F37E3A">
        <w:rPr>
          <w:rStyle w:val="Refdenotaalpie"/>
          <w:rFonts w:ascii="Verdana" w:hAnsi="Verdana"/>
          <w:sz w:val="20"/>
          <w:szCs w:val="20"/>
        </w:rPr>
        <w:footnoteReference w:id="9"/>
      </w:r>
      <w:r w:rsidR="00593D20">
        <w:rPr>
          <w:rFonts w:ascii="Verdana" w:hAnsi="Verdana"/>
          <w:sz w:val="20"/>
          <w:szCs w:val="20"/>
        </w:rPr>
        <w:t>:</w:t>
      </w:r>
    </w:p>
    <w:p w14:paraId="6782082B" w14:textId="77777777" w:rsidR="007F458D" w:rsidRDefault="007F458D" w:rsidP="00593D20">
      <w:pPr>
        <w:pStyle w:val="Prrafodelista"/>
        <w:spacing w:before="120" w:after="120"/>
        <w:ind w:left="567"/>
        <w:contextualSpacing w:val="0"/>
        <w:jc w:val="both"/>
        <w:rPr>
          <w:rFonts w:ascii="Verdana" w:hAnsi="Verdana"/>
          <w:sz w:val="18"/>
          <w:szCs w:val="18"/>
        </w:rPr>
      </w:pPr>
      <w:r w:rsidRPr="00593D20">
        <w:rPr>
          <w:rFonts w:ascii="Verdana" w:hAnsi="Verdana"/>
          <w:sz w:val="18"/>
          <w:szCs w:val="18"/>
        </w:rPr>
        <w:t xml:space="preserve">“denunció la </w:t>
      </w:r>
      <w:r w:rsidR="00593D20" w:rsidRPr="00593D20">
        <w:rPr>
          <w:rFonts w:ascii="Verdana" w:hAnsi="Verdana"/>
          <w:sz w:val="18"/>
          <w:szCs w:val="18"/>
        </w:rPr>
        <w:t>‘existencia permanente de prácticas policiales ilegales’ a través del fenómeno de las ejecuciones extrajudiciales. Asi</w:t>
      </w:r>
      <w:r w:rsidR="00593D20">
        <w:rPr>
          <w:rFonts w:ascii="Verdana" w:hAnsi="Verdana"/>
          <w:sz w:val="18"/>
          <w:szCs w:val="18"/>
        </w:rPr>
        <w:t>mismo, en su informe del año 2002 la Defensoría advi</w:t>
      </w:r>
      <w:r w:rsidR="00F313CD">
        <w:rPr>
          <w:rFonts w:ascii="Verdana" w:hAnsi="Verdana"/>
          <w:sz w:val="18"/>
          <w:szCs w:val="18"/>
        </w:rPr>
        <w:t>rtió que las ejecu</w:t>
      </w:r>
      <w:r w:rsidR="00593D20">
        <w:rPr>
          <w:rFonts w:ascii="Verdana" w:hAnsi="Verdana"/>
          <w:sz w:val="18"/>
          <w:szCs w:val="18"/>
        </w:rPr>
        <w:t>ciones extrajudiciales se habían ‘convertido en una violencia de carácter endémico’, llevadas a cabo por agentes estatales que pretenden justificar sus acciones bajo la premisa de que es imposible conseguir justicia a través de las vías ordinarias”</w:t>
      </w:r>
      <w:r w:rsidR="001D16F7" w:rsidRPr="001D16F7">
        <w:rPr>
          <w:rStyle w:val="Refdenotaalpie"/>
          <w:rFonts w:ascii="Verdana" w:hAnsi="Verdana"/>
          <w:sz w:val="20"/>
          <w:szCs w:val="20"/>
        </w:rPr>
        <w:t xml:space="preserve"> </w:t>
      </w:r>
      <w:r w:rsidR="001D16F7" w:rsidRPr="00F37E3A">
        <w:rPr>
          <w:rStyle w:val="Refdenotaalpie"/>
          <w:rFonts w:ascii="Verdana" w:hAnsi="Verdana"/>
          <w:sz w:val="20"/>
          <w:szCs w:val="20"/>
        </w:rPr>
        <w:footnoteReference w:id="10"/>
      </w:r>
      <w:r w:rsidR="00593D20">
        <w:rPr>
          <w:rFonts w:ascii="Verdana" w:hAnsi="Verdana"/>
          <w:sz w:val="18"/>
          <w:szCs w:val="18"/>
        </w:rPr>
        <w:t>.</w:t>
      </w:r>
    </w:p>
    <w:p w14:paraId="028038C9" w14:textId="77777777" w:rsidR="00F313CD" w:rsidRDefault="00E15B8D" w:rsidP="00F313CD">
      <w:pPr>
        <w:pStyle w:val="Prrafodelista"/>
        <w:spacing w:before="120" w:after="120"/>
        <w:ind w:left="0"/>
        <w:contextualSpacing w:val="0"/>
        <w:jc w:val="both"/>
        <w:rPr>
          <w:rFonts w:ascii="Verdana" w:hAnsi="Verdana"/>
          <w:sz w:val="20"/>
          <w:szCs w:val="20"/>
        </w:rPr>
      </w:pPr>
      <w:r>
        <w:rPr>
          <w:rFonts w:ascii="Verdana" w:hAnsi="Verdana"/>
          <w:sz w:val="20"/>
          <w:szCs w:val="20"/>
        </w:rPr>
        <w:lastRenderedPageBreak/>
        <w:t>11</w:t>
      </w:r>
      <w:r w:rsidR="00785E3B">
        <w:rPr>
          <w:rFonts w:ascii="Verdana" w:hAnsi="Verdana"/>
          <w:sz w:val="20"/>
          <w:szCs w:val="20"/>
        </w:rPr>
        <w:t xml:space="preserve">. </w:t>
      </w:r>
      <w:r w:rsidR="00785E3B">
        <w:rPr>
          <w:rFonts w:ascii="Verdana" w:hAnsi="Verdana"/>
          <w:sz w:val="20"/>
          <w:szCs w:val="20"/>
        </w:rPr>
        <w:tab/>
      </w:r>
      <w:r w:rsidR="00F313CD" w:rsidRPr="007F458D">
        <w:rPr>
          <w:rFonts w:ascii="Verdana" w:hAnsi="Verdana"/>
          <w:sz w:val="20"/>
          <w:szCs w:val="20"/>
        </w:rPr>
        <w:t xml:space="preserve">Por otra parte, la Corte </w:t>
      </w:r>
      <w:r w:rsidR="00F313CD">
        <w:rPr>
          <w:rFonts w:ascii="Verdana" w:hAnsi="Verdana"/>
          <w:sz w:val="20"/>
          <w:szCs w:val="20"/>
        </w:rPr>
        <w:t xml:space="preserve">IDH precisó </w:t>
      </w:r>
      <w:r w:rsidR="00F313CD" w:rsidRPr="007F458D">
        <w:rPr>
          <w:rFonts w:ascii="Verdana" w:hAnsi="Verdana"/>
          <w:sz w:val="20"/>
          <w:szCs w:val="20"/>
        </w:rPr>
        <w:t xml:space="preserve">que ese </w:t>
      </w:r>
      <w:r w:rsidR="00F313CD">
        <w:rPr>
          <w:rFonts w:ascii="Verdana" w:hAnsi="Verdana"/>
          <w:sz w:val="20"/>
          <w:szCs w:val="20"/>
        </w:rPr>
        <w:t>“</w:t>
      </w:r>
      <w:r w:rsidR="00F313CD" w:rsidRPr="007F458D">
        <w:rPr>
          <w:rFonts w:ascii="Verdana" w:hAnsi="Verdana"/>
          <w:sz w:val="20"/>
          <w:szCs w:val="20"/>
        </w:rPr>
        <w:t>contexto</w:t>
      </w:r>
      <w:r w:rsidR="00F313CD">
        <w:rPr>
          <w:rFonts w:ascii="Verdana" w:hAnsi="Verdana"/>
          <w:sz w:val="20"/>
          <w:szCs w:val="20"/>
        </w:rPr>
        <w:t>”</w:t>
      </w:r>
      <w:r w:rsidR="00F313CD" w:rsidRPr="007F458D">
        <w:rPr>
          <w:rFonts w:ascii="Verdana" w:hAnsi="Verdana"/>
          <w:sz w:val="20"/>
          <w:szCs w:val="20"/>
        </w:rPr>
        <w:t xml:space="preserve"> no había sido controvertido, y que por el contrario</w:t>
      </w:r>
      <w:r w:rsidR="00F313CD">
        <w:rPr>
          <w:rFonts w:ascii="Verdana" w:hAnsi="Verdana"/>
          <w:sz w:val="20"/>
          <w:szCs w:val="20"/>
        </w:rPr>
        <w:t>,</w:t>
      </w:r>
      <w:r w:rsidR="00F313CD" w:rsidRPr="007F458D">
        <w:rPr>
          <w:rFonts w:ascii="Verdana" w:hAnsi="Verdana"/>
          <w:sz w:val="20"/>
          <w:szCs w:val="20"/>
        </w:rPr>
        <w:t xml:space="preserve"> fue reconocido por el </w:t>
      </w:r>
      <w:r w:rsidR="00F313CD">
        <w:rPr>
          <w:rFonts w:ascii="Verdana" w:hAnsi="Verdana"/>
          <w:sz w:val="20"/>
          <w:szCs w:val="20"/>
        </w:rPr>
        <w:t xml:space="preserve">propio </w:t>
      </w:r>
      <w:r w:rsidR="00F313CD" w:rsidRPr="007F458D">
        <w:rPr>
          <w:rFonts w:ascii="Verdana" w:hAnsi="Verdana"/>
          <w:sz w:val="20"/>
          <w:szCs w:val="20"/>
        </w:rPr>
        <w:t>Estado</w:t>
      </w:r>
      <w:r w:rsidR="00F313CD">
        <w:rPr>
          <w:rFonts w:ascii="Verdana" w:hAnsi="Verdana"/>
          <w:sz w:val="20"/>
          <w:szCs w:val="20"/>
        </w:rPr>
        <w:t xml:space="preserve"> en el presente litigio internacional</w:t>
      </w:r>
      <w:r w:rsidR="003C10E4" w:rsidRPr="00F37E3A">
        <w:rPr>
          <w:rStyle w:val="Refdenotaalpie"/>
          <w:rFonts w:ascii="Verdana" w:hAnsi="Verdana"/>
          <w:sz w:val="20"/>
          <w:szCs w:val="20"/>
        </w:rPr>
        <w:footnoteReference w:id="11"/>
      </w:r>
      <w:r w:rsidR="00F313CD">
        <w:rPr>
          <w:rFonts w:ascii="Verdana" w:hAnsi="Verdana"/>
          <w:sz w:val="20"/>
          <w:szCs w:val="20"/>
        </w:rPr>
        <w:t xml:space="preserve">. </w:t>
      </w:r>
    </w:p>
    <w:p w14:paraId="0C0F355D" w14:textId="77777777" w:rsidR="00C77D49" w:rsidRDefault="00E15B8D" w:rsidP="00C77D49">
      <w:pPr>
        <w:spacing w:before="120" w:after="120"/>
        <w:jc w:val="both"/>
        <w:rPr>
          <w:rFonts w:ascii="Verdana" w:hAnsi="Verdana"/>
          <w:sz w:val="20"/>
          <w:szCs w:val="20"/>
        </w:rPr>
      </w:pPr>
      <w:r>
        <w:rPr>
          <w:rFonts w:ascii="Verdana" w:hAnsi="Verdana"/>
          <w:sz w:val="20"/>
          <w:szCs w:val="20"/>
        </w:rPr>
        <w:t>12</w:t>
      </w:r>
      <w:r w:rsidR="00F313CD">
        <w:rPr>
          <w:rFonts w:ascii="Verdana" w:hAnsi="Verdana"/>
          <w:sz w:val="20"/>
          <w:szCs w:val="20"/>
        </w:rPr>
        <w:t xml:space="preserve">. </w:t>
      </w:r>
      <w:r w:rsidR="00F313CD">
        <w:rPr>
          <w:rFonts w:ascii="Verdana" w:hAnsi="Verdana"/>
          <w:sz w:val="20"/>
          <w:szCs w:val="20"/>
        </w:rPr>
        <w:tab/>
        <w:t xml:space="preserve">Ese reconocimiento de un patrón de ejecuciones extrajudiciales, también fue reconocido por </w:t>
      </w:r>
      <w:r w:rsidR="001D16F7" w:rsidRPr="00C77D49">
        <w:rPr>
          <w:rFonts w:ascii="Verdana" w:hAnsi="Verdana"/>
          <w:sz w:val="20"/>
          <w:szCs w:val="20"/>
        </w:rPr>
        <w:t xml:space="preserve">el Fiscal General </w:t>
      </w:r>
      <w:r w:rsidR="008A7241">
        <w:rPr>
          <w:rFonts w:ascii="Verdana" w:hAnsi="Verdana"/>
          <w:sz w:val="20"/>
          <w:szCs w:val="20"/>
        </w:rPr>
        <w:t>de la República</w:t>
      </w:r>
      <w:r w:rsidR="0066431D">
        <w:rPr>
          <w:rFonts w:ascii="Verdana" w:hAnsi="Verdana"/>
          <w:sz w:val="20"/>
          <w:szCs w:val="20"/>
        </w:rPr>
        <w:t xml:space="preserve"> en el año 2007. En efecto, dicho Fiscal</w:t>
      </w:r>
      <w:r w:rsidR="001D16F7" w:rsidRPr="00C77D49">
        <w:rPr>
          <w:rFonts w:ascii="Verdana" w:hAnsi="Verdana"/>
          <w:sz w:val="20"/>
          <w:szCs w:val="20"/>
        </w:rPr>
        <w:t xml:space="preserve"> “declaró que entre el año 2000 y febrero de 2007, el Ministerio Público registró en el país 6,405 casos de los llamados ‘enfrentamientos o ajusticiamientos’ entre civiles y cuerpos de seguridad</w:t>
      </w:r>
      <w:r w:rsidR="00C77D49" w:rsidRPr="00C77D49">
        <w:rPr>
          <w:rFonts w:ascii="Verdana" w:hAnsi="Verdana"/>
          <w:sz w:val="20"/>
          <w:szCs w:val="20"/>
        </w:rPr>
        <w:t>”</w:t>
      </w:r>
      <w:r w:rsidR="00C77D49" w:rsidRPr="00F37E3A">
        <w:rPr>
          <w:rStyle w:val="Refdenotaalpie"/>
          <w:rFonts w:ascii="Verdana" w:hAnsi="Verdana"/>
          <w:sz w:val="20"/>
          <w:szCs w:val="20"/>
        </w:rPr>
        <w:footnoteReference w:id="12"/>
      </w:r>
      <w:r w:rsidR="00C77D49">
        <w:rPr>
          <w:rFonts w:ascii="Verdana" w:hAnsi="Verdana"/>
          <w:sz w:val="20"/>
          <w:szCs w:val="20"/>
        </w:rPr>
        <w:t>.</w:t>
      </w:r>
    </w:p>
    <w:p w14:paraId="3E7EE90F" w14:textId="77777777" w:rsidR="00C77D49" w:rsidRPr="00F37E3A" w:rsidRDefault="00785E3B" w:rsidP="00C77D49">
      <w:pPr>
        <w:spacing w:before="120" w:after="120"/>
        <w:jc w:val="both"/>
        <w:rPr>
          <w:rFonts w:ascii="Verdana" w:hAnsi="Verdana"/>
          <w:sz w:val="20"/>
          <w:szCs w:val="20"/>
        </w:rPr>
      </w:pPr>
      <w:r>
        <w:rPr>
          <w:rFonts w:ascii="Verdana" w:hAnsi="Verdana"/>
          <w:sz w:val="20"/>
          <w:szCs w:val="20"/>
        </w:rPr>
        <w:t xml:space="preserve">13. </w:t>
      </w:r>
      <w:r>
        <w:rPr>
          <w:rFonts w:ascii="Verdana" w:hAnsi="Verdana"/>
          <w:sz w:val="20"/>
          <w:szCs w:val="20"/>
        </w:rPr>
        <w:tab/>
      </w:r>
      <w:r w:rsidR="00C77D49" w:rsidRPr="00F37E3A">
        <w:rPr>
          <w:rFonts w:ascii="Verdana" w:hAnsi="Verdana"/>
          <w:sz w:val="20"/>
          <w:szCs w:val="20"/>
        </w:rPr>
        <w:t xml:space="preserve">La Sentencia </w:t>
      </w:r>
      <w:r w:rsidR="00C77D49">
        <w:rPr>
          <w:rFonts w:ascii="Verdana" w:hAnsi="Verdana"/>
          <w:sz w:val="20"/>
          <w:szCs w:val="20"/>
        </w:rPr>
        <w:t xml:space="preserve">precisó </w:t>
      </w:r>
      <w:r w:rsidR="00C77D49" w:rsidRPr="00F37E3A">
        <w:rPr>
          <w:rFonts w:ascii="Verdana" w:hAnsi="Verdana"/>
          <w:sz w:val="20"/>
          <w:szCs w:val="20"/>
        </w:rPr>
        <w:t xml:space="preserve">que ese </w:t>
      </w:r>
      <w:r w:rsidR="007A6402">
        <w:rPr>
          <w:rFonts w:ascii="Verdana" w:hAnsi="Verdana"/>
          <w:sz w:val="20"/>
          <w:szCs w:val="20"/>
        </w:rPr>
        <w:t>“</w:t>
      </w:r>
      <w:r w:rsidR="00C77D49" w:rsidRPr="00F37E3A">
        <w:rPr>
          <w:rFonts w:ascii="Verdana" w:hAnsi="Verdana"/>
          <w:sz w:val="20"/>
          <w:szCs w:val="20"/>
        </w:rPr>
        <w:t>contexto</w:t>
      </w:r>
      <w:r w:rsidR="007A6402">
        <w:rPr>
          <w:rFonts w:ascii="Verdana" w:hAnsi="Verdana"/>
          <w:sz w:val="20"/>
          <w:szCs w:val="20"/>
        </w:rPr>
        <w:t>”</w:t>
      </w:r>
      <w:r w:rsidR="00C77D49" w:rsidRPr="00F37E3A">
        <w:rPr>
          <w:rFonts w:ascii="Verdana" w:hAnsi="Verdana"/>
          <w:sz w:val="20"/>
          <w:szCs w:val="20"/>
        </w:rPr>
        <w:t xml:space="preserve"> fue también reconocido por instancias internacionales tales como el </w:t>
      </w:r>
      <w:r w:rsidR="00C77D49" w:rsidRPr="00C77D49">
        <w:rPr>
          <w:rFonts w:ascii="Verdana" w:hAnsi="Verdana"/>
          <w:i/>
          <w:sz w:val="20"/>
          <w:szCs w:val="20"/>
        </w:rPr>
        <w:t>Relator Especial sobre ejecuciones extrajudiciales, sumarias o arbitrarias</w:t>
      </w:r>
      <w:r w:rsidR="008A7241">
        <w:rPr>
          <w:rFonts w:ascii="Verdana" w:hAnsi="Verdana"/>
          <w:i/>
          <w:sz w:val="20"/>
          <w:szCs w:val="20"/>
        </w:rPr>
        <w:t>,</w:t>
      </w:r>
      <w:r w:rsidR="00C77D49" w:rsidRPr="00F37E3A">
        <w:rPr>
          <w:rFonts w:ascii="Verdana" w:hAnsi="Verdana"/>
          <w:sz w:val="20"/>
          <w:szCs w:val="20"/>
        </w:rPr>
        <w:t xml:space="preserve"> y el </w:t>
      </w:r>
      <w:r w:rsidR="00C77D49" w:rsidRPr="00C77D49">
        <w:rPr>
          <w:rFonts w:ascii="Verdana" w:hAnsi="Verdana"/>
          <w:i/>
          <w:sz w:val="20"/>
          <w:szCs w:val="20"/>
        </w:rPr>
        <w:t>Comité de Derechos Humanos de Naciones Unidas</w:t>
      </w:r>
      <w:r w:rsidR="00C77D49" w:rsidRPr="00F37E3A">
        <w:rPr>
          <w:rStyle w:val="Refdenotaalpie"/>
          <w:rFonts w:ascii="Verdana" w:hAnsi="Verdana"/>
          <w:sz w:val="20"/>
          <w:szCs w:val="20"/>
        </w:rPr>
        <w:footnoteReference w:id="13"/>
      </w:r>
      <w:r w:rsidR="008A7241" w:rsidRPr="008A7241">
        <w:rPr>
          <w:rFonts w:ascii="Verdana" w:hAnsi="Verdana"/>
          <w:sz w:val="20"/>
          <w:szCs w:val="20"/>
        </w:rPr>
        <w:t>;</w:t>
      </w:r>
      <w:r w:rsidR="00C77D49" w:rsidRPr="00F37E3A">
        <w:rPr>
          <w:rFonts w:ascii="Verdana" w:hAnsi="Verdana"/>
          <w:sz w:val="20"/>
          <w:szCs w:val="20"/>
        </w:rPr>
        <w:t xml:space="preserve"> que han expresado de forma reiterada su preocupación por la proliferación de denuncias sobre casos de ejecuciones extrajudiciales en Venezuela</w:t>
      </w:r>
      <w:r w:rsidR="00C77D49" w:rsidRPr="00F37E3A">
        <w:rPr>
          <w:rStyle w:val="Refdenotaalpie"/>
          <w:rFonts w:ascii="Verdana" w:hAnsi="Verdana"/>
          <w:sz w:val="20"/>
          <w:szCs w:val="20"/>
        </w:rPr>
        <w:footnoteReference w:id="14"/>
      </w:r>
      <w:r w:rsidR="00C77D49" w:rsidRPr="00F37E3A">
        <w:rPr>
          <w:rFonts w:ascii="Verdana" w:hAnsi="Verdana"/>
          <w:sz w:val="20"/>
          <w:szCs w:val="20"/>
        </w:rPr>
        <w:t>.</w:t>
      </w:r>
    </w:p>
    <w:p w14:paraId="25BFBEBB" w14:textId="77777777" w:rsidR="00282E41" w:rsidRDefault="00785E3B" w:rsidP="007F458D">
      <w:pPr>
        <w:pStyle w:val="Prrafodelista"/>
        <w:spacing w:before="120" w:after="120"/>
        <w:ind w:left="0"/>
        <w:contextualSpacing w:val="0"/>
        <w:jc w:val="both"/>
        <w:rPr>
          <w:rFonts w:ascii="Verdana" w:hAnsi="Verdana"/>
          <w:sz w:val="20"/>
          <w:szCs w:val="20"/>
        </w:rPr>
      </w:pPr>
      <w:r>
        <w:rPr>
          <w:rFonts w:ascii="Verdana" w:hAnsi="Verdana"/>
          <w:sz w:val="20"/>
          <w:szCs w:val="20"/>
        </w:rPr>
        <w:t xml:space="preserve">14. </w:t>
      </w:r>
      <w:r>
        <w:rPr>
          <w:rFonts w:ascii="Verdana" w:hAnsi="Verdana"/>
          <w:sz w:val="20"/>
          <w:szCs w:val="20"/>
        </w:rPr>
        <w:tab/>
      </w:r>
      <w:r w:rsidR="00952185" w:rsidRPr="00F37E3A">
        <w:rPr>
          <w:rFonts w:ascii="Verdana" w:hAnsi="Verdana"/>
          <w:sz w:val="20"/>
          <w:szCs w:val="20"/>
        </w:rPr>
        <w:t xml:space="preserve">Del mismo modo, el Tribunal Interamericano </w:t>
      </w:r>
      <w:r w:rsidR="007A6402">
        <w:rPr>
          <w:rFonts w:ascii="Verdana" w:hAnsi="Verdana"/>
          <w:sz w:val="20"/>
          <w:szCs w:val="20"/>
        </w:rPr>
        <w:t xml:space="preserve">destaca en la Sentencia que </w:t>
      </w:r>
      <w:r w:rsidR="00952185" w:rsidRPr="00F37E3A">
        <w:rPr>
          <w:rFonts w:ascii="Verdana" w:hAnsi="Verdana"/>
          <w:sz w:val="20"/>
          <w:szCs w:val="20"/>
        </w:rPr>
        <w:t xml:space="preserve">ya había identificado la existencia de este </w:t>
      </w:r>
      <w:r w:rsidR="007A6402">
        <w:rPr>
          <w:rFonts w:ascii="Verdana" w:hAnsi="Verdana"/>
          <w:sz w:val="20"/>
          <w:szCs w:val="20"/>
        </w:rPr>
        <w:t>“</w:t>
      </w:r>
      <w:r w:rsidR="00952185" w:rsidRPr="00F37E3A">
        <w:rPr>
          <w:rFonts w:ascii="Verdana" w:hAnsi="Verdana"/>
          <w:sz w:val="20"/>
          <w:szCs w:val="20"/>
        </w:rPr>
        <w:t>contexto</w:t>
      </w:r>
      <w:r w:rsidR="007A6402">
        <w:rPr>
          <w:rFonts w:ascii="Verdana" w:hAnsi="Verdana"/>
          <w:sz w:val="20"/>
          <w:szCs w:val="20"/>
        </w:rPr>
        <w:t>”</w:t>
      </w:r>
      <w:r w:rsidR="00952185" w:rsidRPr="00F37E3A">
        <w:rPr>
          <w:rFonts w:ascii="Verdana" w:hAnsi="Verdana"/>
          <w:sz w:val="20"/>
          <w:szCs w:val="20"/>
        </w:rPr>
        <w:t xml:space="preserve"> en o</w:t>
      </w:r>
      <w:r w:rsidR="00633E38" w:rsidRPr="00F37E3A">
        <w:rPr>
          <w:rFonts w:ascii="Verdana" w:hAnsi="Verdana"/>
          <w:sz w:val="20"/>
          <w:szCs w:val="20"/>
        </w:rPr>
        <w:t>t</w:t>
      </w:r>
      <w:r w:rsidR="00952185" w:rsidRPr="00F37E3A">
        <w:rPr>
          <w:rFonts w:ascii="Verdana" w:hAnsi="Verdana"/>
          <w:sz w:val="20"/>
          <w:szCs w:val="20"/>
        </w:rPr>
        <w:t>ros casos</w:t>
      </w:r>
      <w:r w:rsidR="008A7241">
        <w:rPr>
          <w:rFonts w:ascii="Verdana" w:hAnsi="Verdana"/>
          <w:sz w:val="20"/>
          <w:szCs w:val="20"/>
        </w:rPr>
        <w:t xml:space="preserve"> que ha conocido</w:t>
      </w:r>
      <w:r w:rsidR="00952185" w:rsidRPr="00F37E3A">
        <w:rPr>
          <w:rFonts w:ascii="Verdana" w:hAnsi="Verdana"/>
          <w:sz w:val="20"/>
          <w:szCs w:val="20"/>
        </w:rPr>
        <w:t xml:space="preserve"> sobre ajusticiamientos ocurridos en</w:t>
      </w:r>
      <w:r w:rsidR="00E772E5">
        <w:rPr>
          <w:rFonts w:ascii="Verdana" w:hAnsi="Verdana"/>
          <w:sz w:val="20"/>
          <w:szCs w:val="20"/>
        </w:rPr>
        <w:t xml:space="preserve"> los Estados </w:t>
      </w:r>
      <w:r w:rsidR="00633E38" w:rsidRPr="00F37E3A">
        <w:rPr>
          <w:rFonts w:ascii="Verdana" w:hAnsi="Verdana"/>
          <w:sz w:val="20"/>
          <w:szCs w:val="20"/>
        </w:rPr>
        <w:t>Aragua y Falcó</w:t>
      </w:r>
      <w:r w:rsidR="009A1733">
        <w:rPr>
          <w:rFonts w:ascii="Verdana" w:hAnsi="Verdana"/>
          <w:sz w:val="20"/>
          <w:szCs w:val="20"/>
        </w:rPr>
        <w:t>n</w:t>
      </w:r>
      <w:r w:rsidR="00633E38" w:rsidRPr="00F37E3A">
        <w:rPr>
          <w:rFonts w:ascii="Verdana" w:hAnsi="Verdana"/>
          <w:sz w:val="20"/>
          <w:szCs w:val="20"/>
        </w:rPr>
        <w:t xml:space="preserve"> (casos </w:t>
      </w:r>
      <w:r w:rsidR="00633E38" w:rsidRPr="00F37E3A">
        <w:rPr>
          <w:rFonts w:ascii="Verdana" w:hAnsi="Verdana"/>
          <w:i/>
          <w:sz w:val="20"/>
          <w:szCs w:val="20"/>
        </w:rPr>
        <w:t>Uzcátegui y otros Vs. Venezuela</w:t>
      </w:r>
      <w:r w:rsidR="00633E38" w:rsidRPr="00F37E3A">
        <w:rPr>
          <w:rStyle w:val="Refdenotaalpie"/>
          <w:rFonts w:ascii="Verdana" w:hAnsi="Verdana"/>
          <w:sz w:val="20"/>
          <w:szCs w:val="20"/>
          <w:vertAlign w:val="baseline"/>
        </w:rPr>
        <w:t xml:space="preserve">, </w:t>
      </w:r>
      <w:r w:rsidR="00633E38" w:rsidRPr="00F37E3A">
        <w:rPr>
          <w:rStyle w:val="Refdenotaalpie"/>
          <w:rFonts w:ascii="Verdana" w:hAnsi="Verdana"/>
          <w:i/>
          <w:sz w:val="20"/>
          <w:szCs w:val="20"/>
          <w:vertAlign w:val="baseline"/>
        </w:rPr>
        <w:t xml:space="preserve">Hermanos Landaeta Mejías y otros </w:t>
      </w:r>
      <w:r w:rsidR="00633E38" w:rsidRPr="00F37E3A">
        <w:rPr>
          <w:rFonts w:ascii="Verdana" w:hAnsi="Verdana"/>
          <w:i/>
          <w:sz w:val="20"/>
          <w:szCs w:val="20"/>
        </w:rPr>
        <w:t>V</w:t>
      </w:r>
      <w:r w:rsidR="00633E38" w:rsidRPr="00F37E3A">
        <w:rPr>
          <w:rStyle w:val="Refdenotaalpie"/>
          <w:rFonts w:ascii="Verdana" w:hAnsi="Verdana"/>
          <w:i/>
          <w:sz w:val="20"/>
          <w:szCs w:val="20"/>
          <w:vertAlign w:val="baseline"/>
        </w:rPr>
        <w:t>s. Venezuela</w:t>
      </w:r>
      <w:r w:rsidR="008A7241">
        <w:rPr>
          <w:rFonts w:ascii="Verdana" w:hAnsi="Verdana"/>
          <w:i/>
          <w:sz w:val="20"/>
          <w:szCs w:val="20"/>
        </w:rPr>
        <w:t>,</w:t>
      </w:r>
      <w:r w:rsidR="00633E38" w:rsidRPr="00F37E3A">
        <w:rPr>
          <w:rStyle w:val="Refdenotaalpie"/>
          <w:rFonts w:ascii="Verdana" w:hAnsi="Verdana"/>
          <w:sz w:val="20"/>
          <w:szCs w:val="20"/>
          <w:vertAlign w:val="baseline"/>
        </w:rPr>
        <w:t xml:space="preserve"> </w:t>
      </w:r>
      <w:r w:rsidR="00633E38" w:rsidRPr="00F37E3A">
        <w:rPr>
          <w:rFonts w:ascii="Verdana" w:hAnsi="Verdana"/>
          <w:sz w:val="20"/>
          <w:szCs w:val="20"/>
        </w:rPr>
        <w:t xml:space="preserve">y </w:t>
      </w:r>
      <w:r w:rsidR="00633E38" w:rsidRPr="00F37E3A">
        <w:rPr>
          <w:rFonts w:ascii="Verdana" w:hAnsi="Verdana"/>
          <w:i/>
          <w:sz w:val="20"/>
          <w:szCs w:val="20"/>
          <w:lang w:val="es-US"/>
        </w:rPr>
        <w:t>Familia Barrios vs. Venezuela</w:t>
      </w:r>
      <w:r w:rsidR="00633E38" w:rsidRPr="00F37E3A">
        <w:rPr>
          <w:rFonts w:ascii="Verdana" w:hAnsi="Verdana"/>
          <w:sz w:val="20"/>
          <w:szCs w:val="20"/>
          <w:lang w:val="es-US"/>
        </w:rPr>
        <w:t>)</w:t>
      </w:r>
      <w:r w:rsidR="00633E38" w:rsidRPr="00F37E3A">
        <w:rPr>
          <w:rStyle w:val="Refdenotaalpie"/>
          <w:rFonts w:ascii="Verdana" w:hAnsi="Verdana"/>
          <w:sz w:val="20"/>
          <w:szCs w:val="20"/>
        </w:rPr>
        <w:footnoteReference w:id="15"/>
      </w:r>
      <w:r w:rsidR="00952185" w:rsidRPr="00F37E3A">
        <w:rPr>
          <w:rFonts w:ascii="Verdana" w:hAnsi="Verdana"/>
          <w:sz w:val="20"/>
          <w:szCs w:val="20"/>
        </w:rPr>
        <w:t>.</w:t>
      </w:r>
      <w:r w:rsidR="00271F36">
        <w:rPr>
          <w:rFonts w:ascii="Verdana" w:hAnsi="Verdana"/>
          <w:sz w:val="20"/>
          <w:szCs w:val="20"/>
        </w:rPr>
        <w:t xml:space="preserve"> Cabe resaltar lo expresado por la Corte </w:t>
      </w:r>
      <w:r w:rsidR="005933B8">
        <w:rPr>
          <w:rFonts w:ascii="Verdana" w:hAnsi="Verdana"/>
          <w:sz w:val="20"/>
          <w:szCs w:val="20"/>
        </w:rPr>
        <w:t xml:space="preserve">IDH </w:t>
      </w:r>
      <w:r w:rsidR="00271F36">
        <w:rPr>
          <w:rFonts w:ascii="Verdana" w:hAnsi="Verdana"/>
          <w:sz w:val="20"/>
          <w:szCs w:val="20"/>
        </w:rPr>
        <w:t xml:space="preserve">en </w:t>
      </w:r>
      <w:r w:rsidR="005933B8">
        <w:rPr>
          <w:rFonts w:ascii="Verdana" w:hAnsi="Verdana"/>
          <w:sz w:val="20"/>
          <w:szCs w:val="20"/>
        </w:rPr>
        <w:t>la S</w:t>
      </w:r>
      <w:r w:rsidR="00254D53">
        <w:rPr>
          <w:rFonts w:ascii="Verdana" w:hAnsi="Verdana"/>
          <w:sz w:val="20"/>
          <w:szCs w:val="20"/>
        </w:rPr>
        <w:t>entencia relativa al</w:t>
      </w:r>
      <w:r w:rsidR="00271F36">
        <w:rPr>
          <w:rFonts w:ascii="Verdana" w:hAnsi="Verdana"/>
          <w:sz w:val="20"/>
          <w:szCs w:val="20"/>
        </w:rPr>
        <w:t xml:space="preserve"> caso de la </w:t>
      </w:r>
      <w:r w:rsidR="00271F36" w:rsidRPr="00271F36">
        <w:rPr>
          <w:rFonts w:ascii="Verdana" w:hAnsi="Verdana"/>
          <w:i/>
          <w:sz w:val="20"/>
          <w:szCs w:val="20"/>
        </w:rPr>
        <w:t>Familia Barrios</w:t>
      </w:r>
      <w:r w:rsidR="00271F36">
        <w:rPr>
          <w:rFonts w:ascii="Verdana" w:hAnsi="Verdana"/>
          <w:sz w:val="20"/>
          <w:szCs w:val="20"/>
        </w:rPr>
        <w:t>, precisamente que tiene relación con privaciones arbitrarias a la vida contra integrantes de una mis</w:t>
      </w:r>
      <w:r w:rsidR="00254D53">
        <w:rPr>
          <w:rFonts w:ascii="Verdana" w:hAnsi="Verdana"/>
          <w:sz w:val="20"/>
          <w:szCs w:val="20"/>
        </w:rPr>
        <w:t xml:space="preserve">ma familia en el </w:t>
      </w:r>
      <w:r w:rsidR="006D0B04">
        <w:rPr>
          <w:rFonts w:ascii="Verdana" w:hAnsi="Verdana"/>
          <w:sz w:val="20"/>
          <w:szCs w:val="20"/>
        </w:rPr>
        <w:t>estado Aragua</w:t>
      </w:r>
      <w:r w:rsidR="004C0DAA" w:rsidRPr="00F37E3A">
        <w:rPr>
          <w:rStyle w:val="Refdenotaalpie"/>
          <w:rFonts w:ascii="Verdana" w:hAnsi="Verdana"/>
          <w:sz w:val="20"/>
          <w:szCs w:val="20"/>
        </w:rPr>
        <w:footnoteReference w:id="16"/>
      </w:r>
      <w:r w:rsidR="004C0DAA">
        <w:rPr>
          <w:rFonts w:ascii="Verdana" w:hAnsi="Verdana"/>
          <w:sz w:val="20"/>
          <w:szCs w:val="20"/>
        </w:rPr>
        <w:t>:</w:t>
      </w:r>
    </w:p>
    <w:p w14:paraId="4804D1C4" w14:textId="77777777" w:rsidR="004C0DAA" w:rsidRPr="004C0DAA" w:rsidRDefault="004C0DAA" w:rsidP="004C0DAA">
      <w:pPr>
        <w:pStyle w:val="Prrafodelista"/>
        <w:spacing w:before="120" w:after="120"/>
        <w:ind w:left="567"/>
        <w:contextualSpacing w:val="0"/>
        <w:jc w:val="both"/>
        <w:rPr>
          <w:rFonts w:ascii="Verdana" w:hAnsi="Verdana"/>
          <w:sz w:val="18"/>
          <w:szCs w:val="18"/>
        </w:rPr>
      </w:pPr>
      <w:r w:rsidRPr="004C0DAA">
        <w:rPr>
          <w:rFonts w:ascii="Verdana" w:hAnsi="Verdana"/>
          <w:sz w:val="18"/>
          <w:szCs w:val="18"/>
        </w:rPr>
        <w:t>“… el conjunto de los hechos revela un patrón de encubrimiento que inicia desde la tergiversación de lo sucedido p</w:t>
      </w:r>
      <w:r w:rsidR="00A2395C">
        <w:rPr>
          <w:rFonts w:ascii="Verdana" w:hAnsi="Verdana"/>
          <w:sz w:val="18"/>
          <w:szCs w:val="18"/>
        </w:rPr>
        <w:t>o</w:t>
      </w:r>
      <w:r w:rsidRPr="004C0DAA">
        <w:rPr>
          <w:rFonts w:ascii="Verdana" w:hAnsi="Verdana"/>
          <w:sz w:val="18"/>
          <w:szCs w:val="18"/>
        </w:rPr>
        <w:t>r parte de los perp</w:t>
      </w:r>
      <w:r w:rsidR="00AD47D0">
        <w:rPr>
          <w:rFonts w:ascii="Verdana" w:hAnsi="Verdana"/>
          <w:sz w:val="18"/>
          <w:szCs w:val="18"/>
        </w:rPr>
        <w:t>e</w:t>
      </w:r>
      <w:r w:rsidRPr="004C0DAA">
        <w:rPr>
          <w:rFonts w:ascii="Verdana" w:hAnsi="Verdana"/>
          <w:sz w:val="18"/>
          <w:szCs w:val="18"/>
        </w:rPr>
        <w:t xml:space="preserve">tradores, continúa con la ausencia de esclarecimiento judicial e incluye la activación de diversos </w:t>
      </w:r>
      <w:r w:rsidRPr="0066431D">
        <w:rPr>
          <w:rFonts w:ascii="Verdana" w:hAnsi="Verdana"/>
          <w:sz w:val="18"/>
          <w:szCs w:val="18"/>
        </w:rPr>
        <w:t>m</w:t>
      </w:r>
      <w:r w:rsidR="0066431D" w:rsidRPr="0066431D">
        <w:rPr>
          <w:rFonts w:ascii="Verdana" w:hAnsi="Verdana"/>
          <w:sz w:val="18"/>
          <w:szCs w:val="18"/>
        </w:rPr>
        <w:t>étodos</w:t>
      </w:r>
      <w:r w:rsidRPr="004C0DAA">
        <w:rPr>
          <w:rFonts w:ascii="Verdana" w:hAnsi="Verdana"/>
          <w:sz w:val="18"/>
          <w:szCs w:val="18"/>
        </w:rPr>
        <w:t xml:space="preserve"> </w:t>
      </w:r>
      <w:r w:rsidR="0066431D">
        <w:rPr>
          <w:rFonts w:ascii="Verdana" w:hAnsi="Verdana"/>
          <w:sz w:val="18"/>
          <w:szCs w:val="18"/>
        </w:rPr>
        <w:t>de amenaza y hostigamiento dirigi</w:t>
      </w:r>
      <w:r w:rsidRPr="004C0DAA">
        <w:rPr>
          <w:rFonts w:ascii="Verdana" w:hAnsi="Verdana"/>
          <w:sz w:val="18"/>
          <w:szCs w:val="18"/>
        </w:rPr>
        <w:t>dos a evitar la determinación de la verdad y el es</w:t>
      </w:r>
      <w:r w:rsidR="006425F8">
        <w:rPr>
          <w:rFonts w:ascii="Verdana" w:hAnsi="Verdana"/>
          <w:sz w:val="18"/>
          <w:szCs w:val="18"/>
        </w:rPr>
        <w:t>t</w:t>
      </w:r>
      <w:r w:rsidRPr="004C0DAA">
        <w:rPr>
          <w:rFonts w:ascii="Verdana" w:hAnsi="Verdana"/>
          <w:sz w:val="18"/>
          <w:szCs w:val="18"/>
        </w:rPr>
        <w:t>ablecimiento de responsabilidades”</w:t>
      </w:r>
      <w:r w:rsidR="005933B8" w:rsidRPr="00F37E3A">
        <w:rPr>
          <w:rStyle w:val="Refdenotaalpie"/>
          <w:rFonts w:ascii="Verdana" w:hAnsi="Verdana"/>
          <w:sz w:val="20"/>
          <w:szCs w:val="20"/>
        </w:rPr>
        <w:footnoteReference w:id="17"/>
      </w:r>
      <w:r w:rsidRPr="004C0DAA">
        <w:rPr>
          <w:rFonts w:ascii="Verdana" w:hAnsi="Verdana"/>
          <w:sz w:val="18"/>
          <w:szCs w:val="18"/>
        </w:rPr>
        <w:t>.</w:t>
      </w:r>
    </w:p>
    <w:p w14:paraId="7BF03121" w14:textId="77777777" w:rsidR="00AF76EC" w:rsidRDefault="00785E3B" w:rsidP="007A6402">
      <w:pPr>
        <w:pStyle w:val="Prrafodelista"/>
        <w:spacing w:before="120" w:after="120"/>
        <w:ind w:left="0"/>
        <w:contextualSpacing w:val="0"/>
        <w:jc w:val="both"/>
        <w:rPr>
          <w:rFonts w:ascii="Verdana" w:hAnsi="Verdana"/>
          <w:sz w:val="20"/>
          <w:szCs w:val="20"/>
        </w:rPr>
      </w:pPr>
      <w:r>
        <w:rPr>
          <w:rFonts w:ascii="Verdana" w:hAnsi="Verdana"/>
          <w:sz w:val="20"/>
          <w:szCs w:val="20"/>
        </w:rPr>
        <w:t xml:space="preserve">15. </w:t>
      </w:r>
      <w:r>
        <w:rPr>
          <w:rFonts w:ascii="Verdana" w:hAnsi="Verdana"/>
          <w:sz w:val="20"/>
          <w:szCs w:val="20"/>
        </w:rPr>
        <w:tab/>
      </w:r>
      <w:r w:rsidR="007A6402">
        <w:rPr>
          <w:rFonts w:ascii="Verdana" w:hAnsi="Verdana"/>
          <w:sz w:val="20"/>
          <w:szCs w:val="20"/>
        </w:rPr>
        <w:t xml:space="preserve">Todos los elementos </w:t>
      </w:r>
      <w:r w:rsidR="00AF76EC">
        <w:rPr>
          <w:rFonts w:ascii="Verdana" w:hAnsi="Verdana"/>
          <w:sz w:val="20"/>
          <w:szCs w:val="20"/>
        </w:rPr>
        <w:t xml:space="preserve">anteriores </w:t>
      </w:r>
      <w:r w:rsidR="00DA421F">
        <w:rPr>
          <w:rFonts w:ascii="Verdana" w:hAnsi="Verdana"/>
          <w:sz w:val="20"/>
          <w:szCs w:val="20"/>
        </w:rPr>
        <w:t>explícitamente</w:t>
      </w:r>
      <w:r w:rsidR="00AF76EC">
        <w:rPr>
          <w:rFonts w:ascii="Verdana" w:hAnsi="Verdana"/>
          <w:sz w:val="20"/>
          <w:szCs w:val="20"/>
        </w:rPr>
        <w:t xml:space="preserve"> señalados en la Sentencia, </w:t>
      </w:r>
      <w:r w:rsidR="00282E41">
        <w:rPr>
          <w:rFonts w:ascii="Verdana" w:hAnsi="Verdana"/>
          <w:sz w:val="20"/>
          <w:szCs w:val="20"/>
        </w:rPr>
        <w:t xml:space="preserve">relativos a un contexto de </w:t>
      </w:r>
      <w:r w:rsidR="00BE6C36">
        <w:rPr>
          <w:rFonts w:ascii="Verdana" w:hAnsi="Verdana"/>
          <w:sz w:val="20"/>
          <w:szCs w:val="20"/>
        </w:rPr>
        <w:t>ejecuciones</w:t>
      </w:r>
      <w:r w:rsidR="00282E41">
        <w:rPr>
          <w:rFonts w:ascii="Verdana" w:hAnsi="Verdana"/>
          <w:sz w:val="20"/>
          <w:szCs w:val="20"/>
        </w:rPr>
        <w:t xml:space="preserve"> extrajudiciales por parte de funcionarios policiales en Venezuela, particularmente en el </w:t>
      </w:r>
      <w:r w:rsidR="006D0B04">
        <w:rPr>
          <w:rFonts w:ascii="Verdana" w:hAnsi="Verdana"/>
          <w:sz w:val="20"/>
          <w:szCs w:val="20"/>
        </w:rPr>
        <w:t>estado Aragua</w:t>
      </w:r>
      <w:r w:rsidR="00282E41">
        <w:rPr>
          <w:rFonts w:ascii="Verdana" w:hAnsi="Verdana"/>
          <w:sz w:val="20"/>
          <w:szCs w:val="20"/>
        </w:rPr>
        <w:t xml:space="preserve">, </w:t>
      </w:r>
      <w:r w:rsidR="00AF76EC">
        <w:rPr>
          <w:rFonts w:ascii="Verdana" w:hAnsi="Verdana"/>
          <w:sz w:val="20"/>
          <w:szCs w:val="20"/>
        </w:rPr>
        <w:t>encuentran</w:t>
      </w:r>
      <w:r w:rsidR="00DA421F">
        <w:rPr>
          <w:rFonts w:ascii="Verdana" w:hAnsi="Verdana"/>
          <w:sz w:val="20"/>
          <w:szCs w:val="20"/>
        </w:rPr>
        <w:t>,</w:t>
      </w:r>
      <w:r w:rsidR="00AF76EC">
        <w:rPr>
          <w:rFonts w:ascii="Verdana" w:hAnsi="Verdana"/>
          <w:sz w:val="20"/>
          <w:szCs w:val="20"/>
        </w:rPr>
        <w:t xml:space="preserve"> además</w:t>
      </w:r>
      <w:r w:rsidR="00DA421F">
        <w:rPr>
          <w:rFonts w:ascii="Verdana" w:hAnsi="Verdana"/>
          <w:sz w:val="20"/>
          <w:szCs w:val="20"/>
        </w:rPr>
        <w:t>,</w:t>
      </w:r>
      <w:r w:rsidR="00AF76EC">
        <w:rPr>
          <w:rFonts w:ascii="Verdana" w:hAnsi="Verdana"/>
          <w:sz w:val="20"/>
          <w:szCs w:val="20"/>
        </w:rPr>
        <w:t xml:space="preserve"> sustento en el Informe de Fondo del caso que presentó la Comisión Interamericana</w:t>
      </w:r>
      <w:r w:rsidR="004C0DAA">
        <w:rPr>
          <w:rFonts w:ascii="Verdana" w:hAnsi="Verdana"/>
          <w:sz w:val="20"/>
          <w:szCs w:val="20"/>
        </w:rPr>
        <w:t xml:space="preserve">. En el marco </w:t>
      </w:r>
      <w:r w:rsidR="004C0DAA">
        <w:rPr>
          <w:rFonts w:ascii="Verdana" w:hAnsi="Verdana"/>
          <w:sz w:val="20"/>
          <w:szCs w:val="20"/>
        </w:rPr>
        <w:lastRenderedPageBreak/>
        <w:t>fáctico del caso, la Comisión</w:t>
      </w:r>
      <w:r w:rsidR="00AF76EC">
        <w:rPr>
          <w:rFonts w:ascii="Verdana" w:hAnsi="Verdana"/>
          <w:sz w:val="20"/>
          <w:szCs w:val="20"/>
        </w:rPr>
        <w:t xml:space="preserve"> señala que desde su visita </w:t>
      </w:r>
      <w:r w:rsidR="00AF76EC" w:rsidRPr="005654DA">
        <w:rPr>
          <w:rFonts w:ascii="Verdana" w:hAnsi="Verdana"/>
          <w:i/>
          <w:sz w:val="20"/>
          <w:szCs w:val="20"/>
        </w:rPr>
        <w:t>in loco</w:t>
      </w:r>
      <w:r w:rsidR="00AF76EC">
        <w:rPr>
          <w:rFonts w:ascii="Verdana" w:hAnsi="Verdana"/>
          <w:sz w:val="20"/>
          <w:szCs w:val="20"/>
        </w:rPr>
        <w:t xml:space="preserve"> realizada a Venezuela en el año 2002, verificó la existencia de una problemática de “ejecuciones extrajudiciales” cometidas por agentes de las policías estaduales, analizando las características de las mismas en su informe de país en 2003, así como en sus Informes Anuales de 2004 y 2005. </w:t>
      </w:r>
      <w:r w:rsidR="003574A1">
        <w:rPr>
          <w:rFonts w:ascii="Verdana" w:hAnsi="Verdana"/>
          <w:sz w:val="20"/>
          <w:szCs w:val="20"/>
        </w:rPr>
        <w:t>En este sentido, l</w:t>
      </w:r>
      <w:r w:rsidR="00AF76EC">
        <w:rPr>
          <w:rFonts w:ascii="Verdana" w:hAnsi="Verdana"/>
          <w:sz w:val="20"/>
          <w:szCs w:val="20"/>
        </w:rPr>
        <w:t>a Comisi</w:t>
      </w:r>
      <w:r w:rsidR="003574A1">
        <w:rPr>
          <w:rFonts w:ascii="Verdana" w:hAnsi="Verdana"/>
          <w:sz w:val="20"/>
          <w:szCs w:val="20"/>
        </w:rPr>
        <w:t>ón Interamericana, en su Informe de Fondo</w:t>
      </w:r>
      <w:r w:rsidR="00DA421F">
        <w:rPr>
          <w:rFonts w:ascii="Verdana" w:hAnsi="Verdana"/>
          <w:sz w:val="20"/>
          <w:szCs w:val="20"/>
        </w:rPr>
        <w:t xml:space="preserve"> del presente caso</w:t>
      </w:r>
      <w:r w:rsidR="003574A1">
        <w:rPr>
          <w:rFonts w:ascii="Verdana" w:hAnsi="Verdana"/>
          <w:sz w:val="20"/>
          <w:szCs w:val="20"/>
        </w:rPr>
        <w:t xml:space="preserve">, </w:t>
      </w:r>
      <w:r w:rsidR="00DA421F">
        <w:rPr>
          <w:rFonts w:ascii="Verdana" w:hAnsi="Verdana"/>
          <w:sz w:val="20"/>
          <w:szCs w:val="20"/>
        </w:rPr>
        <w:t xml:space="preserve">en su </w:t>
      </w:r>
      <w:r w:rsidR="003574A1">
        <w:rPr>
          <w:rFonts w:ascii="Verdana" w:hAnsi="Verdana"/>
          <w:sz w:val="20"/>
          <w:szCs w:val="20"/>
        </w:rPr>
        <w:t xml:space="preserve">capítulo sobre “El contexto de ejecuciones extrajudiciales en Venezuela, </w:t>
      </w:r>
      <w:r w:rsidR="00AF76EC">
        <w:rPr>
          <w:rFonts w:ascii="Verdana" w:hAnsi="Verdana"/>
          <w:sz w:val="20"/>
          <w:szCs w:val="20"/>
        </w:rPr>
        <w:t>señaló que</w:t>
      </w:r>
      <w:r w:rsidR="003574A1" w:rsidRPr="00F37E3A">
        <w:rPr>
          <w:rStyle w:val="Refdenotaalpie"/>
          <w:rFonts w:ascii="Verdana" w:hAnsi="Verdana"/>
          <w:sz w:val="20"/>
          <w:szCs w:val="20"/>
        </w:rPr>
        <w:footnoteReference w:id="18"/>
      </w:r>
      <w:r w:rsidR="00AF76EC">
        <w:rPr>
          <w:rFonts w:ascii="Verdana" w:hAnsi="Verdana"/>
          <w:sz w:val="20"/>
          <w:szCs w:val="20"/>
        </w:rPr>
        <w:t xml:space="preserve">: </w:t>
      </w:r>
    </w:p>
    <w:p w14:paraId="4899B287" w14:textId="77777777" w:rsidR="007A6402" w:rsidRPr="00BE6C36" w:rsidRDefault="00AF76EC" w:rsidP="005654DA">
      <w:pPr>
        <w:pStyle w:val="Prrafodelista"/>
        <w:spacing w:before="120" w:after="120"/>
        <w:ind w:left="567"/>
        <w:contextualSpacing w:val="0"/>
        <w:jc w:val="both"/>
        <w:rPr>
          <w:rFonts w:ascii="Verdana" w:hAnsi="Verdana"/>
          <w:sz w:val="18"/>
          <w:szCs w:val="18"/>
        </w:rPr>
      </w:pPr>
      <w:r w:rsidRPr="00BE6C36">
        <w:rPr>
          <w:rFonts w:ascii="Verdana" w:hAnsi="Verdana"/>
          <w:sz w:val="18"/>
          <w:szCs w:val="18"/>
        </w:rPr>
        <w:t xml:space="preserve">“Sobre el </w:t>
      </w:r>
      <w:r w:rsidRPr="00BE6C36">
        <w:rPr>
          <w:rFonts w:ascii="Verdana" w:hAnsi="Verdana"/>
          <w:i/>
          <w:sz w:val="18"/>
          <w:szCs w:val="18"/>
        </w:rPr>
        <w:t xml:space="preserve">modus operandi, </w:t>
      </w:r>
      <w:r w:rsidRPr="00BE6C36">
        <w:rPr>
          <w:rFonts w:ascii="Verdana" w:hAnsi="Verdana"/>
          <w:sz w:val="18"/>
          <w:szCs w:val="18"/>
        </w:rPr>
        <w:t xml:space="preserve">la CIDH ha identificado que, en algunos </w:t>
      </w:r>
      <w:r w:rsidR="006E6737" w:rsidRPr="00BE6C36">
        <w:rPr>
          <w:rFonts w:ascii="Verdana" w:hAnsi="Verdana"/>
          <w:sz w:val="18"/>
          <w:szCs w:val="18"/>
        </w:rPr>
        <w:t>casos</w:t>
      </w:r>
      <w:r w:rsidRPr="00BE6C36">
        <w:rPr>
          <w:rFonts w:ascii="Verdana" w:hAnsi="Verdana"/>
          <w:sz w:val="18"/>
          <w:szCs w:val="18"/>
        </w:rPr>
        <w:t xml:space="preserve"> se caracteri</w:t>
      </w:r>
      <w:r w:rsidR="00E0397F" w:rsidRPr="00BE6C36">
        <w:rPr>
          <w:rFonts w:ascii="Verdana" w:hAnsi="Verdana"/>
          <w:sz w:val="18"/>
          <w:szCs w:val="18"/>
        </w:rPr>
        <w:t>z</w:t>
      </w:r>
      <w:r w:rsidRPr="00BE6C36">
        <w:rPr>
          <w:rFonts w:ascii="Verdana" w:hAnsi="Verdana"/>
          <w:sz w:val="18"/>
          <w:szCs w:val="18"/>
        </w:rPr>
        <w:t>a por la muerte mediante “</w:t>
      </w:r>
      <w:r w:rsidRPr="00BE6C36">
        <w:rPr>
          <w:rFonts w:ascii="Verdana" w:hAnsi="Verdana"/>
          <w:sz w:val="18"/>
          <w:szCs w:val="18"/>
          <w:u w:val="single"/>
        </w:rPr>
        <w:t>enfrentamientos simulados</w:t>
      </w:r>
      <w:r w:rsidRPr="00BE6C36">
        <w:rPr>
          <w:rFonts w:ascii="Verdana" w:hAnsi="Verdana"/>
          <w:sz w:val="18"/>
          <w:szCs w:val="18"/>
        </w:rPr>
        <w:t>” durante el curso de procedimiento de rutina, ya sea en operativos de detención o allanamiento. En estos casos, la víctima r</w:t>
      </w:r>
      <w:r w:rsidR="00E0397F" w:rsidRPr="00BE6C36">
        <w:rPr>
          <w:rFonts w:ascii="Verdana" w:hAnsi="Verdana"/>
          <w:sz w:val="18"/>
          <w:szCs w:val="18"/>
        </w:rPr>
        <w:t>e</w:t>
      </w:r>
      <w:r w:rsidRPr="00BE6C36">
        <w:rPr>
          <w:rFonts w:ascii="Verdana" w:hAnsi="Verdana"/>
          <w:sz w:val="18"/>
          <w:szCs w:val="18"/>
        </w:rPr>
        <w:t xml:space="preserve">sulta asesinada </w:t>
      </w:r>
      <w:r w:rsidRPr="00BE6C36">
        <w:rPr>
          <w:rFonts w:ascii="Verdana" w:hAnsi="Verdana"/>
          <w:sz w:val="18"/>
          <w:szCs w:val="18"/>
          <w:u w:val="single"/>
        </w:rPr>
        <w:t>en el propio lugar de realización del operativo</w:t>
      </w:r>
      <w:r w:rsidRPr="00BE6C36">
        <w:rPr>
          <w:rFonts w:ascii="Verdana" w:hAnsi="Verdana"/>
          <w:sz w:val="18"/>
          <w:szCs w:val="18"/>
        </w:rPr>
        <w:t xml:space="preserve"> y bajo la alegación del cuerpo policial del acaecimiento de un </w:t>
      </w:r>
      <w:r w:rsidRPr="00BE6C36">
        <w:rPr>
          <w:rFonts w:ascii="Verdana" w:hAnsi="Verdana"/>
          <w:sz w:val="18"/>
          <w:szCs w:val="18"/>
          <w:u w:val="single"/>
        </w:rPr>
        <w:t>enfrentami</w:t>
      </w:r>
      <w:r w:rsidR="00E0397F" w:rsidRPr="00BE6C36">
        <w:rPr>
          <w:rFonts w:ascii="Verdana" w:hAnsi="Verdana"/>
          <w:sz w:val="18"/>
          <w:szCs w:val="18"/>
          <w:u w:val="single"/>
        </w:rPr>
        <w:t>e</w:t>
      </w:r>
      <w:r w:rsidRPr="00BE6C36">
        <w:rPr>
          <w:rFonts w:ascii="Verdana" w:hAnsi="Verdana"/>
          <w:sz w:val="18"/>
          <w:szCs w:val="18"/>
          <w:u w:val="single"/>
        </w:rPr>
        <w:t>nto con el delincuente</w:t>
      </w:r>
      <w:r w:rsidR="003574A1" w:rsidRPr="00BE6C36">
        <w:rPr>
          <w:rStyle w:val="Refdenotaalpie"/>
          <w:rFonts w:ascii="Verdana" w:hAnsi="Verdana"/>
          <w:sz w:val="18"/>
          <w:szCs w:val="18"/>
        </w:rPr>
        <w:footnoteReference w:id="19"/>
      </w:r>
      <w:r w:rsidR="003574A1" w:rsidRPr="00BE6C36">
        <w:rPr>
          <w:rFonts w:ascii="Verdana" w:hAnsi="Verdana"/>
          <w:sz w:val="18"/>
          <w:szCs w:val="18"/>
        </w:rPr>
        <w:t xml:space="preserve">. En otros casos, las ejecuciones </w:t>
      </w:r>
      <w:r w:rsidR="003574A1" w:rsidRPr="00BE6C36">
        <w:rPr>
          <w:rFonts w:ascii="Verdana" w:hAnsi="Verdana"/>
          <w:sz w:val="18"/>
          <w:szCs w:val="18"/>
          <w:u w:val="single"/>
        </w:rPr>
        <w:t>ocurren una vez que las víctimas han sido detenidas ilegal y/o arbitrariamente y se encuentran bajo custodia estatal</w:t>
      </w:r>
      <w:r w:rsidR="003574A1" w:rsidRPr="00BE6C36">
        <w:rPr>
          <w:rFonts w:ascii="Verdana" w:hAnsi="Verdana"/>
          <w:sz w:val="18"/>
          <w:szCs w:val="18"/>
        </w:rPr>
        <w:t>”</w:t>
      </w:r>
      <w:r w:rsidR="005654DA" w:rsidRPr="00BE6C36">
        <w:rPr>
          <w:rFonts w:ascii="Verdana" w:hAnsi="Verdana"/>
          <w:sz w:val="18"/>
          <w:szCs w:val="18"/>
        </w:rPr>
        <w:t>.</w:t>
      </w:r>
      <w:r w:rsidR="005933B8" w:rsidRPr="00BE6C36">
        <w:rPr>
          <w:rFonts w:ascii="Verdana" w:hAnsi="Verdana"/>
          <w:sz w:val="18"/>
          <w:szCs w:val="18"/>
        </w:rPr>
        <w:t xml:space="preserve"> (</w:t>
      </w:r>
      <w:r w:rsidR="006425F8" w:rsidRPr="00BE6C36">
        <w:rPr>
          <w:rFonts w:ascii="Verdana" w:hAnsi="Verdana"/>
          <w:sz w:val="18"/>
          <w:szCs w:val="18"/>
        </w:rPr>
        <w:t>Énfasis añadido</w:t>
      </w:r>
      <w:r w:rsidR="005933B8" w:rsidRPr="00BE6C36">
        <w:rPr>
          <w:rFonts w:ascii="Verdana" w:hAnsi="Verdana"/>
          <w:sz w:val="18"/>
          <w:szCs w:val="18"/>
        </w:rPr>
        <w:t>).</w:t>
      </w:r>
    </w:p>
    <w:p w14:paraId="4B62C27A" w14:textId="77777777" w:rsidR="005654DA" w:rsidRDefault="00785E3B" w:rsidP="007F458D">
      <w:pPr>
        <w:pStyle w:val="Prrafodelista"/>
        <w:spacing w:before="120" w:after="120"/>
        <w:ind w:left="0"/>
        <w:contextualSpacing w:val="0"/>
        <w:jc w:val="both"/>
        <w:rPr>
          <w:rFonts w:ascii="Verdana" w:hAnsi="Verdana"/>
          <w:sz w:val="20"/>
          <w:szCs w:val="20"/>
        </w:rPr>
      </w:pPr>
      <w:r>
        <w:rPr>
          <w:rFonts w:ascii="Verdana" w:hAnsi="Verdana"/>
          <w:sz w:val="20"/>
          <w:szCs w:val="20"/>
        </w:rPr>
        <w:t xml:space="preserve">16. </w:t>
      </w:r>
      <w:r>
        <w:rPr>
          <w:rFonts w:ascii="Verdana" w:hAnsi="Verdana"/>
          <w:sz w:val="20"/>
          <w:szCs w:val="20"/>
        </w:rPr>
        <w:tab/>
      </w:r>
      <w:r w:rsidR="003C10E4">
        <w:rPr>
          <w:rFonts w:ascii="Verdana" w:hAnsi="Verdana"/>
          <w:sz w:val="20"/>
          <w:szCs w:val="20"/>
        </w:rPr>
        <w:t>De todo lo expuesto</w:t>
      </w:r>
      <w:r w:rsidR="00F313CD">
        <w:rPr>
          <w:rFonts w:ascii="Verdana" w:hAnsi="Verdana"/>
          <w:sz w:val="20"/>
          <w:szCs w:val="20"/>
        </w:rPr>
        <w:t xml:space="preserve">, a nuestro modo de ver, </w:t>
      </w:r>
      <w:r w:rsidR="003C10E4">
        <w:rPr>
          <w:rFonts w:ascii="Verdana" w:hAnsi="Verdana"/>
          <w:sz w:val="20"/>
          <w:szCs w:val="20"/>
        </w:rPr>
        <w:t xml:space="preserve">quedó </w:t>
      </w:r>
      <w:r w:rsidR="00F313CD">
        <w:rPr>
          <w:rFonts w:ascii="Verdana" w:hAnsi="Verdana"/>
          <w:sz w:val="20"/>
          <w:szCs w:val="20"/>
        </w:rPr>
        <w:t>plenamente</w:t>
      </w:r>
      <w:r w:rsidR="009E7996">
        <w:rPr>
          <w:rFonts w:ascii="Verdana" w:hAnsi="Verdana"/>
          <w:sz w:val="20"/>
          <w:szCs w:val="20"/>
        </w:rPr>
        <w:t xml:space="preserve"> probado un </w:t>
      </w:r>
      <w:r w:rsidR="000E5B81">
        <w:rPr>
          <w:rFonts w:ascii="Verdana" w:hAnsi="Verdana"/>
          <w:sz w:val="20"/>
          <w:szCs w:val="20"/>
        </w:rPr>
        <w:t>“</w:t>
      </w:r>
      <w:r w:rsidR="009E7996">
        <w:rPr>
          <w:rFonts w:ascii="Verdana" w:hAnsi="Verdana"/>
          <w:sz w:val="20"/>
          <w:szCs w:val="20"/>
        </w:rPr>
        <w:t>contexto de ejecuciones extrajudiciales</w:t>
      </w:r>
      <w:r w:rsidR="000E5B81">
        <w:rPr>
          <w:rFonts w:ascii="Verdana" w:hAnsi="Verdana"/>
          <w:sz w:val="20"/>
          <w:szCs w:val="20"/>
        </w:rPr>
        <w:t xml:space="preserve">” </w:t>
      </w:r>
      <w:r w:rsidR="00186EAD">
        <w:rPr>
          <w:rFonts w:ascii="Verdana" w:hAnsi="Verdana"/>
          <w:sz w:val="20"/>
          <w:szCs w:val="20"/>
        </w:rPr>
        <w:t xml:space="preserve">en Venezuela y particularmente en el </w:t>
      </w:r>
      <w:r w:rsidR="006D0B04">
        <w:rPr>
          <w:rFonts w:ascii="Verdana" w:hAnsi="Verdana"/>
          <w:sz w:val="20"/>
          <w:szCs w:val="20"/>
        </w:rPr>
        <w:t>estado Aragua</w:t>
      </w:r>
      <w:r w:rsidR="0066431D">
        <w:rPr>
          <w:rFonts w:ascii="Verdana" w:hAnsi="Verdana"/>
          <w:sz w:val="20"/>
          <w:szCs w:val="20"/>
        </w:rPr>
        <w:t>,</w:t>
      </w:r>
      <w:r w:rsidR="00186EAD">
        <w:rPr>
          <w:rFonts w:ascii="Verdana" w:hAnsi="Verdana"/>
          <w:sz w:val="20"/>
          <w:szCs w:val="20"/>
        </w:rPr>
        <w:t xml:space="preserve"> </w:t>
      </w:r>
      <w:r w:rsidR="000E5B81">
        <w:rPr>
          <w:rFonts w:ascii="Verdana" w:hAnsi="Verdana"/>
          <w:sz w:val="20"/>
          <w:szCs w:val="20"/>
        </w:rPr>
        <w:t>al momento de los hechos del caso</w:t>
      </w:r>
      <w:r w:rsidR="00186EAD">
        <w:rPr>
          <w:rFonts w:ascii="Verdana" w:hAnsi="Verdana"/>
          <w:sz w:val="20"/>
          <w:szCs w:val="20"/>
        </w:rPr>
        <w:t>. Co</w:t>
      </w:r>
      <w:r w:rsidR="004403B0">
        <w:rPr>
          <w:rFonts w:ascii="Verdana" w:hAnsi="Verdana"/>
          <w:sz w:val="20"/>
          <w:szCs w:val="20"/>
        </w:rPr>
        <w:t>mo veremos más adelante, consi</w:t>
      </w:r>
      <w:r w:rsidR="006425F8">
        <w:rPr>
          <w:rFonts w:ascii="Verdana" w:hAnsi="Verdana"/>
          <w:sz w:val="20"/>
          <w:szCs w:val="20"/>
        </w:rPr>
        <w:t xml:space="preserve">deramos que </w:t>
      </w:r>
      <w:r w:rsidR="00F313CD">
        <w:rPr>
          <w:rFonts w:ascii="Verdana" w:hAnsi="Verdana"/>
          <w:sz w:val="20"/>
          <w:szCs w:val="20"/>
        </w:rPr>
        <w:t xml:space="preserve">el “contexto” descrito </w:t>
      </w:r>
      <w:r w:rsidR="009E7996">
        <w:rPr>
          <w:rFonts w:ascii="Verdana" w:hAnsi="Verdana"/>
          <w:sz w:val="20"/>
          <w:szCs w:val="20"/>
        </w:rPr>
        <w:t>coincide</w:t>
      </w:r>
      <w:r w:rsidR="005933B8">
        <w:rPr>
          <w:rFonts w:ascii="Verdana" w:hAnsi="Verdana"/>
          <w:sz w:val="20"/>
          <w:szCs w:val="20"/>
        </w:rPr>
        <w:t>,</w:t>
      </w:r>
      <w:r w:rsidR="009E7996">
        <w:rPr>
          <w:rFonts w:ascii="Verdana" w:hAnsi="Verdana"/>
          <w:sz w:val="20"/>
          <w:szCs w:val="20"/>
        </w:rPr>
        <w:t xml:space="preserve"> </w:t>
      </w:r>
      <w:r w:rsidR="000E5B81">
        <w:rPr>
          <w:rFonts w:ascii="Verdana" w:hAnsi="Verdana"/>
          <w:sz w:val="20"/>
          <w:szCs w:val="20"/>
        </w:rPr>
        <w:t>esencialmente</w:t>
      </w:r>
      <w:r w:rsidR="005933B8">
        <w:rPr>
          <w:rFonts w:ascii="Verdana" w:hAnsi="Verdana"/>
          <w:sz w:val="20"/>
          <w:szCs w:val="20"/>
        </w:rPr>
        <w:t>,</w:t>
      </w:r>
      <w:r w:rsidR="000E5B81">
        <w:rPr>
          <w:rFonts w:ascii="Verdana" w:hAnsi="Verdana"/>
          <w:sz w:val="20"/>
          <w:szCs w:val="20"/>
        </w:rPr>
        <w:t xml:space="preserve"> </w:t>
      </w:r>
      <w:r w:rsidR="009E7996">
        <w:rPr>
          <w:rFonts w:ascii="Verdana" w:hAnsi="Verdana"/>
          <w:sz w:val="20"/>
          <w:szCs w:val="20"/>
        </w:rPr>
        <w:t xml:space="preserve">con </w:t>
      </w:r>
      <w:r w:rsidR="000E5B81">
        <w:rPr>
          <w:rFonts w:ascii="Verdana" w:hAnsi="Verdana"/>
          <w:sz w:val="20"/>
          <w:szCs w:val="20"/>
        </w:rPr>
        <w:t xml:space="preserve">las circunstancias fácticas </w:t>
      </w:r>
      <w:r w:rsidR="00186EAD">
        <w:rPr>
          <w:rFonts w:ascii="Verdana" w:hAnsi="Verdana"/>
          <w:sz w:val="20"/>
          <w:szCs w:val="20"/>
        </w:rPr>
        <w:t xml:space="preserve">y geográficas </w:t>
      </w:r>
      <w:r w:rsidR="000E5B81">
        <w:rPr>
          <w:rFonts w:ascii="Verdana" w:hAnsi="Verdana"/>
          <w:sz w:val="20"/>
          <w:szCs w:val="20"/>
        </w:rPr>
        <w:t>en que se realizaron las muertes de las víctimas</w:t>
      </w:r>
      <w:r w:rsidR="00186EAD">
        <w:rPr>
          <w:rFonts w:ascii="Verdana" w:hAnsi="Verdana"/>
          <w:sz w:val="20"/>
          <w:szCs w:val="20"/>
        </w:rPr>
        <w:t xml:space="preserve"> del </w:t>
      </w:r>
      <w:r w:rsidR="006425F8">
        <w:rPr>
          <w:rFonts w:ascii="Verdana" w:hAnsi="Verdana"/>
          <w:sz w:val="20"/>
          <w:szCs w:val="20"/>
        </w:rPr>
        <w:t xml:space="preserve">presente </w:t>
      </w:r>
      <w:r w:rsidR="00186EAD">
        <w:rPr>
          <w:rFonts w:ascii="Verdana" w:hAnsi="Verdana"/>
          <w:sz w:val="20"/>
          <w:szCs w:val="20"/>
        </w:rPr>
        <w:t>caso</w:t>
      </w:r>
      <w:r w:rsidR="00F313CD">
        <w:rPr>
          <w:rFonts w:ascii="Verdana" w:hAnsi="Verdana"/>
          <w:sz w:val="20"/>
          <w:szCs w:val="20"/>
        </w:rPr>
        <w:t xml:space="preserve"> </w:t>
      </w:r>
      <w:r w:rsidR="00F313CD" w:rsidRPr="008A7241">
        <w:rPr>
          <w:rFonts w:ascii="Verdana" w:hAnsi="Verdana"/>
          <w:sz w:val="20"/>
          <w:szCs w:val="20"/>
        </w:rPr>
        <w:t xml:space="preserve">(véase </w:t>
      </w:r>
      <w:r w:rsidR="008A7241" w:rsidRPr="008A7241">
        <w:rPr>
          <w:rFonts w:ascii="Verdana" w:hAnsi="Verdana"/>
          <w:i/>
          <w:sz w:val="20"/>
          <w:szCs w:val="20"/>
        </w:rPr>
        <w:t>infra</w:t>
      </w:r>
      <w:r w:rsidR="008A7241" w:rsidRPr="008A7241">
        <w:rPr>
          <w:rFonts w:ascii="Verdana" w:hAnsi="Verdana"/>
          <w:sz w:val="20"/>
          <w:szCs w:val="20"/>
        </w:rPr>
        <w:t xml:space="preserve">, </w:t>
      </w:r>
      <w:proofErr w:type="spellStart"/>
      <w:r w:rsidR="008A7241" w:rsidRPr="008A7241">
        <w:rPr>
          <w:rFonts w:ascii="Verdana" w:hAnsi="Verdana"/>
          <w:sz w:val="20"/>
          <w:szCs w:val="20"/>
        </w:rPr>
        <w:t>párrs</w:t>
      </w:r>
      <w:proofErr w:type="spellEnd"/>
      <w:r w:rsidR="008A7241" w:rsidRPr="008A7241">
        <w:rPr>
          <w:rFonts w:ascii="Verdana" w:hAnsi="Verdana"/>
          <w:sz w:val="20"/>
          <w:szCs w:val="20"/>
        </w:rPr>
        <w:t>. 27</w:t>
      </w:r>
      <w:r w:rsidR="008A7241">
        <w:rPr>
          <w:rFonts w:ascii="Verdana" w:hAnsi="Verdana"/>
          <w:sz w:val="20"/>
          <w:szCs w:val="20"/>
        </w:rPr>
        <w:t xml:space="preserve"> y 28 </w:t>
      </w:r>
      <w:r w:rsidR="00F313CD" w:rsidRPr="008A7241">
        <w:rPr>
          <w:rFonts w:ascii="Verdana" w:hAnsi="Verdana"/>
          <w:sz w:val="20"/>
          <w:szCs w:val="20"/>
        </w:rPr>
        <w:t>del presente voto)</w:t>
      </w:r>
      <w:r w:rsidR="009E7996">
        <w:rPr>
          <w:rFonts w:ascii="Verdana" w:hAnsi="Verdana"/>
          <w:sz w:val="20"/>
          <w:szCs w:val="20"/>
        </w:rPr>
        <w:t xml:space="preserve">. Incluso, lo anterior fue reconocido por la propia testigo </w:t>
      </w:r>
      <w:r w:rsidR="000E5B81">
        <w:rPr>
          <w:rFonts w:ascii="Verdana" w:hAnsi="Verdana"/>
          <w:sz w:val="20"/>
          <w:szCs w:val="20"/>
        </w:rPr>
        <w:t>ofrecida por el Estado, al declarar en la audiencia púb</w:t>
      </w:r>
      <w:r w:rsidR="006425F8">
        <w:rPr>
          <w:rFonts w:ascii="Verdana" w:hAnsi="Verdana"/>
          <w:sz w:val="20"/>
          <w:szCs w:val="20"/>
        </w:rPr>
        <w:t>lica, a pregunta expresa de un Juez de este Tribunal Interamericano,</w:t>
      </w:r>
      <w:r w:rsidR="000E5B81">
        <w:rPr>
          <w:rFonts w:ascii="Verdana" w:hAnsi="Verdana"/>
          <w:sz w:val="20"/>
          <w:szCs w:val="20"/>
        </w:rPr>
        <w:t xml:space="preserve"> que las muertes de los tres integrantes de la familia Díaz </w:t>
      </w:r>
      <w:r w:rsidR="000E5B81" w:rsidRPr="00F37E3A">
        <w:rPr>
          <w:rFonts w:ascii="Verdana" w:eastAsia="Verdana" w:hAnsi="Verdana" w:cs="Verdana"/>
          <w:sz w:val="20"/>
          <w:szCs w:val="20"/>
          <w:lang w:val="es-ES"/>
        </w:rPr>
        <w:t>podría</w:t>
      </w:r>
      <w:r w:rsidR="00E0397F">
        <w:rPr>
          <w:rFonts w:ascii="Verdana" w:eastAsia="Verdana" w:hAnsi="Verdana" w:cs="Verdana"/>
          <w:sz w:val="20"/>
          <w:szCs w:val="20"/>
          <w:lang w:val="es-ES"/>
        </w:rPr>
        <w:t>n</w:t>
      </w:r>
      <w:r w:rsidR="000E5B81" w:rsidRPr="00F37E3A">
        <w:rPr>
          <w:rFonts w:ascii="Verdana" w:eastAsia="Verdana" w:hAnsi="Verdana" w:cs="Verdana"/>
          <w:sz w:val="20"/>
          <w:szCs w:val="20"/>
          <w:lang w:val="es-ES"/>
        </w:rPr>
        <w:t xml:space="preserve"> ubicar</w:t>
      </w:r>
      <w:r w:rsidR="000E5B81">
        <w:rPr>
          <w:rFonts w:ascii="Verdana" w:eastAsia="Verdana" w:hAnsi="Verdana" w:cs="Verdana"/>
          <w:sz w:val="20"/>
          <w:szCs w:val="20"/>
          <w:lang w:val="es-ES"/>
        </w:rPr>
        <w:t>se</w:t>
      </w:r>
      <w:r w:rsidR="000E5B81" w:rsidRPr="00F37E3A">
        <w:rPr>
          <w:rFonts w:ascii="Verdana" w:eastAsia="Verdana" w:hAnsi="Verdana" w:cs="Verdana"/>
          <w:sz w:val="20"/>
          <w:szCs w:val="20"/>
          <w:lang w:val="es-ES"/>
        </w:rPr>
        <w:t xml:space="preserve"> dentro de la problemática general de abusos de la autoridad policial y ejecuciones extrajudiciales</w:t>
      </w:r>
      <w:r w:rsidR="000E5B81" w:rsidRPr="00F37E3A">
        <w:rPr>
          <w:rStyle w:val="Refdenotaalpie"/>
          <w:rFonts w:ascii="Verdana" w:eastAsia="Verdana" w:hAnsi="Verdana"/>
          <w:sz w:val="20"/>
          <w:szCs w:val="20"/>
          <w:lang w:val="es-ES"/>
        </w:rPr>
        <w:footnoteReference w:id="20"/>
      </w:r>
      <w:r w:rsidR="000E5B81" w:rsidRPr="00F37E3A">
        <w:rPr>
          <w:rFonts w:ascii="Verdana" w:eastAsia="Verdana" w:hAnsi="Verdana" w:cs="Verdana"/>
          <w:sz w:val="20"/>
          <w:szCs w:val="20"/>
          <w:lang w:val="es-ES"/>
        </w:rPr>
        <w:t>.</w:t>
      </w:r>
      <w:r w:rsidR="000E5B81">
        <w:rPr>
          <w:rFonts w:ascii="Verdana" w:eastAsia="Verdana" w:hAnsi="Verdana" w:cs="Verdana"/>
          <w:sz w:val="20"/>
          <w:szCs w:val="20"/>
          <w:lang w:val="es-ES"/>
        </w:rPr>
        <w:t xml:space="preserve"> </w:t>
      </w:r>
    </w:p>
    <w:p w14:paraId="26CBAF91" w14:textId="77777777" w:rsidR="00CD177B" w:rsidRPr="00DE6ED6" w:rsidRDefault="00DE6ED6" w:rsidP="00DE6ED6">
      <w:pPr>
        <w:spacing w:before="240" w:after="240"/>
        <w:ind w:left="708"/>
        <w:jc w:val="both"/>
        <w:outlineLvl w:val="1"/>
        <w:rPr>
          <w:rFonts w:ascii="Verdana" w:hAnsi="Verdana"/>
          <w:b/>
          <w:i/>
          <w:sz w:val="20"/>
          <w:szCs w:val="20"/>
        </w:rPr>
      </w:pPr>
      <w:r w:rsidRPr="00DE6ED6">
        <w:rPr>
          <w:rFonts w:ascii="Verdana" w:hAnsi="Verdana"/>
          <w:b/>
          <w:sz w:val="20"/>
          <w:szCs w:val="20"/>
        </w:rPr>
        <w:t xml:space="preserve">II. </w:t>
      </w:r>
      <w:r w:rsidR="002014AE">
        <w:rPr>
          <w:rFonts w:ascii="Verdana" w:hAnsi="Verdana"/>
          <w:b/>
          <w:sz w:val="20"/>
          <w:szCs w:val="20"/>
        </w:rPr>
        <w:tab/>
      </w:r>
      <w:r w:rsidR="006425F8" w:rsidRPr="002014AE">
        <w:rPr>
          <w:rFonts w:ascii="Verdana" w:hAnsi="Verdana"/>
          <w:b/>
          <w:sz w:val="20"/>
          <w:szCs w:val="20"/>
        </w:rPr>
        <w:t>CONCLUSIONES DE LA SENTENCIA SOBRE LAS MUERTES DE LAS TRES VÍCTIMAS DEL CASO</w:t>
      </w:r>
    </w:p>
    <w:p w14:paraId="6F1B2112" w14:textId="77777777" w:rsidR="00316E10" w:rsidRPr="00F37E3A" w:rsidRDefault="00785E3B" w:rsidP="00785E3B">
      <w:pPr>
        <w:pStyle w:val="Prrafodelista"/>
        <w:spacing w:before="120" w:after="120"/>
        <w:ind w:left="0"/>
        <w:contextualSpacing w:val="0"/>
        <w:jc w:val="both"/>
        <w:rPr>
          <w:rFonts w:ascii="Verdana" w:hAnsi="Verdana"/>
          <w:sz w:val="20"/>
          <w:szCs w:val="20"/>
        </w:rPr>
      </w:pPr>
      <w:r>
        <w:rPr>
          <w:rFonts w:ascii="Verdana" w:hAnsi="Verdana"/>
          <w:sz w:val="20"/>
          <w:szCs w:val="20"/>
        </w:rPr>
        <w:t xml:space="preserve">17. </w:t>
      </w:r>
      <w:r>
        <w:rPr>
          <w:rFonts w:ascii="Verdana" w:hAnsi="Verdana"/>
          <w:sz w:val="20"/>
          <w:szCs w:val="20"/>
        </w:rPr>
        <w:tab/>
      </w:r>
      <w:r w:rsidR="003D7EF0" w:rsidRPr="00F37E3A">
        <w:rPr>
          <w:rFonts w:ascii="Verdana" w:hAnsi="Verdana"/>
          <w:sz w:val="20"/>
          <w:szCs w:val="20"/>
        </w:rPr>
        <w:t xml:space="preserve">En lo que respecta </w:t>
      </w:r>
      <w:r w:rsidR="003E415D">
        <w:rPr>
          <w:rFonts w:ascii="Verdana" w:hAnsi="Verdana"/>
          <w:sz w:val="20"/>
          <w:szCs w:val="20"/>
        </w:rPr>
        <w:t xml:space="preserve">a </w:t>
      </w:r>
      <w:r w:rsidR="003D7EF0" w:rsidRPr="00F37E3A">
        <w:rPr>
          <w:rFonts w:ascii="Verdana" w:hAnsi="Verdana"/>
          <w:sz w:val="20"/>
          <w:szCs w:val="20"/>
        </w:rPr>
        <w:t>los</w:t>
      </w:r>
      <w:r w:rsidR="00316E10" w:rsidRPr="00F37E3A">
        <w:rPr>
          <w:rFonts w:ascii="Verdana" w:hAnsi="Verdana"/>
          <w:sz w:val="20"/>
          <w:szCs w:val="20"/>
        </w:rPr>
        <w:t xml:space="preserve"> hechos del presente caso, la Corte </w:t>
      </w:r>
      <w:r w:rsidR="003E415D">
        <w:rPr>
          <w:rFonts w:ascii="Verdana" w:hAnsi="Verdana"/>
          <w:sz w:val="20"/>
          <w:szCs w:val="20"/>
        </w:rPr>
        <w:t>IDH concluyó en relación con</w:t>
      </w:r>
      <w:r w:rsidR="00316E10" w:rsidRPr="00F37E3A">
        <w:rPr>
          <w:rFonts w:ascii="Verdana" w:hAnsi="Verdana"/>
          <w:sz w:val="20"/>
          <w:szCs w:val="20"/>
        </w:rPr>
        <w:t xml:space="preserve"> las muertes de Robert Ignacio Díaz Loreto, </w:t>
      </w:r>
      <w:r w:rsidR="00316E10" w:rsidRPr="00F37E3A">
        <w:rPr>
          <w:rFonts w:ascii="Verdana" w:hAnsi="Verdana"/>
          <w:sz w:val="20"/>
          <w:szCs w:val="20"/>
          <w:lang w:val="es-US"/>
        </w:rPr>
        <w:t>David Octavio Díaz Loreto y Octavio Díaz Álvarez</w:t>
      </w:r>
      <w:r w:rsidR="005933B8">
        <w:rPr>
          <w:rFonts w:ascii="Verdana" w:hAnsi="Verdana"/>
          <w:sz w:val="20"/>
          <w:szCs w:val="20"/>
          <w:lang w:val="es-US"/>
        </w:rPr>
        <w:t>,</w:t>
      </w:r>
      <w:r w:rsidR="00316E10" w:rsidRPr="00F37E3A">
        <w:rPr>
          <w:rFonts w:ascii="Verdana" w:hAnsi="Verdana"/>
          <w:sz w:val="20"/>
          <w:szCs w:val="20"/>
        </w:rPr>
        <w:t xml:space="preserve"> que el Estado era responsable por la vulneración al derecho a la vida contenido en el artículo 4 de la Convención Americana</w:t>
      </w:r>
      <w:r w:rsidR="00316E10" w:rsidRPr="00F37E3A">
        <w:rPr>
          <w:rStyle w:val="Refdenotaalpie"/>
          <w:rFonts w:ascii="Verdana" w:hAnsi="Verdana"/>
          <w:sz w:val="20"/>
          <w:szCs w:val="20"/>
        </w:rPr>
        <w:footnoteReference w:id="21"/>
      </w:r>
      <w:r w:rsidR="00316E10" w:rsidRPr="00F37E3A">
        <w:rPr>
          <w:rFonts w:ascii="Verdana" w:hAnsi="Verdana"/>
          <w:sz w:val="20"/>
          <w:szCs w:val="20"/>
        </w:rPr>
        <w:t xml:space="preserve">. El Tribunal </w:t>
      </w:r>
      <w:r w:rsidR="005933B8">
        <w:rPr>
          <w:rFonts w:ascii="Verdana" w:hAnsi="Verdana"/>
          <w:sz w:val="20"/>
          <w:szCs w:val="20"/>
        </w:rPr>
        <w:t xml:space="preserve">Interamericano </w:t>
      </w:r>
      <w:r w:rsidR="00316E10" w:rsidRPr="00F37E3A">
        <w:rPr>
          <w:rFonts w:ascii="Verdana" w:hAnsi="Verdana"/>
          <w:sz w:val="20"/>
          <w:szCs w:val="20"/>
        </w:rPr>
        <w:t xml:space="preserve">indicó, al igual que lo había hecho en otros casos, que en “todo caso de uso de la fuerza por parte de agentes estatales que hayan producido la muerte o lesiones a una o más </w:t>
      </w:r>
      <w:r w:rsidR="00316E10" w:rsidRPr="00F37E3A">
        <w:rPr>
          <w:rFonts w:ascii="Verdana" w:hAnsi="Verdana"/>
          <w:sz w:val="20"/>
          <w:szCs w:val="20"/>
        </w:rPr>
        <w:lastRenderedPageBreak/>
        <w:t>personas, corresponde al Estado la obligación de proveer una explicación satisfactoria y convincente de lo sucedido y desvirtuar las alegaciones sobre su responsabilidad, mediante elementos probatorios adecuados”</w:t>
      </w:r>
      <w:r w:rsidR="00316E10" w:rsidRPr="00F37E3A">
        <w:rPr>
          <w:rStyle w:val="Refdenotaalpie"/>
          <w:rFonts w:ascii="Verdana" w:hAnsi="Verdana"/>
          <w:sz w:val="20"/>
          <w:szCs w:val="20"/>
        </w:rPr>
        <w:footnoteReference w:id="22"/>
      </w:r>
      <w:r w:rsidR="00316E10" w:rsidRPr="00F37E3A">
        <w:rPr>
          <w:rFonts w:ascii="Verdana" w:hAnsi="Verdana"/>
          <w:sz w:val="20"/>
          <w:szCs w:val="20"/>
        </w:rPr>
        <w:t>. Constató que precisamente en este caso el Estado no ha brindado esa explicación satisfactoria “dadas las contradicciones no esclarecidas y defectos de técnica criminalística señalados”</w:t>
      </w:r>
      <w:r w:rsidR="00316E10" w:rsidRPr="00F37E3A">
        <w:rPr>
          <w:rStyle w:val="Refdenotaalpie"/>
          <w:rFonts w:ascii="Verdana" w:hAnsi="Verdana"/>
          <w:sz w:val="20"/>
          <w:szCs w:val="20"/>
        </w:rPr>
        <w:footnoteReference w:id="23"/>
      </w:r>
      <w:r w:rsidR="00316E10" w:rsidRPr="00F37E3A">
        <w:rPr>
          <w:rFonts w:ascii="Verdana" w:hAnsi="Verdana"/>
          <w:sz w:val="20"/>
          <w:szCs w:val="20"/>
        </w:rPr>
        <w:t>.</w:t>
      </w:r>
    </w:p>
    <w:p w14:paraId="7ED08FBE" w14:textId="77777777" w:rsidR="00211279" w:rsidRPr="00F37E3A" w:rsidRDefault="003E415D" w:rsidP="00785E3B">
      <w:pPr>
        <w:pStyle w:val="Prrafodelista"/>
        <w:spacing w:before="120" w:after="120"/>
        <w:ind w:left="0"/>
        <w:contextualSpacing w:val="0"/>
        <w:jc w:val="both"/>
        <w:rPr>
          <w:rFonts w:ascii="Verdana" w:hAnsi="Verdana"/>
          <w:sz w:val="20"/>
          <w:szCs w:val="20"/>
        </w:rPr>
      </w:pPr>
      <w:r>
        <w:rPr>
          <w:rFonts w:ascii="Verdana" w:hAnsi="Verdana"/>
          <w:sz w:val="20"/>
          <w:szCs w:val="20"/>
        </w:rPr>
        <w:t>18</w:t>
      </w:r>
      <w:r w:rsidR="00785E3B">
        <w:rPr>
          <w:rFonts w:ascii="Verdana" w:hAnsi="Verdana"/>
          <w:sz w:val="20"/>
          <w:szCs w:val="20"/>
        </w:rPr>
        <w:t xml:space="preserve">. </w:t>
      </w:r>
      <w:r w:rsidR="00785E3B">
        <w:rPr>
          <w:rFonts w:ascii="Verdana" w:hAnsi="Verdana"/>
          <w:sz w:val="20"/>
          <w:szCs w:val="20"/>
        </w:rPr>
        <w:tab/>
      </w:r>
      <w:r w:rsidR="00211279" w:rsidRPr="00F37E3A">
        <w:rPr>
          <w:rFonts w:ascii="Verdana" w:hAnsi="Verdana"/>
          <w:sz w:val="20"/>
          <w:szCs w:val="20"/>
        </w:rPr>
        <w:t xml:space="preserve">En cuanto a los hechos del caso, la Corte </w:t>
      </w:r>
      <w:r w:rsidR="00DE6ED6">
        <w:rPr>
          <w:rFonts w:ascii="Verdana" w:hAnsi="Verdana"/>
          <w:sz w:val="20"/>
          <w:szCs w:val="20"/>
        </w:rPr>
        <w:t xml:space="preserve">IDH </w:t>
      </w:r>
      <w:r w:rsidR="00211279" w:rsidRPr="00F37E3A">
        <w:rPr>
          <w:rFonts w:ascii="Verdana" w:hAnsi="Verdana"/>
          <w:sz w:val="20"/>
          <w:szCs w:val="20"/>
        </w:rPr>
        <w:t xml:space="preserve">observó que existían dos versiones de los mismos. Por un lado la versión sostenida por la Comisión </w:t>
      </w:r>
      <w:r w:rsidR="00F84081">
        <w:rPr>
          <w:rFonts w:ascii="Verdana" w:hAnsi="Verdana"/>
          <w:sz w:val="20"/>
          <w:szCs w:val="20"/>
        </w:rPr>
        <w:t>Interamericana y lo</w:t>
      </w:r>
      <w:r w:rsidR="00211279" w:rsidRPr="00F37E3A">
        <w:rPr>
          <w:rFonts w:ascii="Verdana" w:hAnsi="Verdana"/>
          <w:sz w:val="20"/>
          <w:szCs w:val="20"/>
        </w:rPr>
        <w:t>s</w:t>
      </w:r>
      <w:r w:rsidR="00F84081">
        <w:rPr>
          <w:rFonts w:ascii="Verdana" w:hAnsi="Verdana"/>
          <w:sz w:val="20"/>
          <w:szCs w:val="20"/>
        </w:rPr>
        <w:t xml:space="preserve"> represe</w:t>
      </w:r>
      <w:r w:rsidR="00E0397F">
        <w:rPr>
          <w:rFonts w:ascii="Verdana" w:hAnsi="Verdana"/>
          <w:sz w:val="20"/>
          <w:szCs w:val="20"/>
        </w:rPr>
        <w:t>n</w:t>
      </w:r>
      <w:r w:rsidR="00F84081">
        <w:rPr>
          <w:rFonts w:ascii="Verdana" w:hAnsi="Verdana"/>
          <w:sz w:val="20"/>
          <w:szCs w:val="20"/>
        </w:rPr>
        <w:t>tantes de las</w:t>
      </w:r>
      <w:r w:rsidR="00211279" w:rsidRPr="00F37E3A">
        <w:rPr>
          <w:rFonts w:ascii="Verdana" w:hAnsi="Verdana"/>
          <w:sz w:val="20"/>
          <w:szCs w:val="20"/>
        </w:rPr>
        <w:t xml:space="preserve"> víctimas</w:t>
      </w:r>
      <w:r w:rsidR="008A7241">
        <w:rPr>
          <w:rFonts w:ascii="Verdana" w:hAnsi="Verdana"/>
          <w:sz w:val="20"/>
          <w:szCs w:val="20"/>
        </w:rPr>
        <w:t>,</w:t>
      </w:r>
      <w:r w:rsidR="00211279" w:rsidRPr="00F37E3A">
        <w:rPr>
          <w:rFonts w:ascii="Verdana" w:hAnsi="Verdana"/>
          <w:sz w:val="20"/>
          <w:szCs w:val="20"/>
        </w:rPr>
        <w:t xml:space="preserve"> según la cual esas tres personas fuero</w:t>
      </w:r>
      <w:r w:rsidR="00F84081">
        <w:rPr>
          <w:rFonts w:ascii="Verdana" w:hAnsi="Verdana"/>
          <w:sz w:val="20"/>
          <w:szCs w:val="20"/>
        </w:rPr>
        <w:t xml:space="preserve">n ejecutadas extrajudicialmente; </w:t>
      </w:r>
      <w:r w:rsidR="00211279" w:rsidRPr="00F37E3A">
        <w:rPr>
          <w:rFonts w:ascii="Verdana" w:hAnsi="Verdana"/>
          <w:sz w:val="20"/>
          <w:szCs w:val="20"/>
        </w:rPr>
        <w:t xml:space="preserve"> por otro lado</w:t>
      </w:r>
      <w:r w:rsidR="00F84081">
        <w:rPr>
          <w:rFonts w:ascii="Verdana" w:hAnsi="Verdana"/>
          <w:sz w:val="20"/>
          <w:szCs w:val="20"/>
        </w:rPr>
        <w:t>,</w:t>
      </w:r>
      <w:r w:rsidR="00211279" w:rsidRPr="00F37E3A">
        <w:rPr>
          <w:rFonts w:ascii="Verdana" w:hAnsi="Verdana"/>
          <w:sz w:val="20"/>
          <w:szCs w:val="20"/>
        </w:rPr>
        <w:t xml:space="preserve"> la que defendía el Estado según la cual esas person</w:t>
      </w:r>
      <w:r w:rsidR="008A7241">
        <w:rPr>
          <w:rFonts w:ascii="Verdana" w:hAnsi="Verdana"/>
          <w:sz w:val="20"/>
          <w:szCs w:val="20"/>
        </w:rPr>
        <w:t>as fallecieron en el marco de dos</w:t>
      </w:r>
      <w:r w:rsidR="00211279" w:rsidRPr="00F37E3A">
        <w:rPr>
          <w:rFonts w:ascii="Verdana" w:hAnsi="Verdana"/>
          <w:sz w:val="20"/>
          <w:szCs w:val="20"/>
        </w:rPr>
        <w:t xml:space="preserve"> </w:t>
      </w:r>
      <w:r w:rsidR="008A7241">
        <w:rPr>
          <w:rFonts w:ascii="Verdana" w:hAnsi="Verdana"/>
          <w:sz w:val="20"/>
          <w:szCs w:val="20"/>
        </w:rPr>
        <w:t>“</w:t>
      </w:r>
      <w:r w:rsidR="00211279" w:rsidRPr="00F37E3A">
        <w:rPr>
          <w:rFonts w:ascii="Verdana" w:hAnsi="Verdana"/>
          <w:sz w:val="20"/>
          <w:szCs w:val="20"/>
        </w:rPr>
        <w:t>enfrentamiento</w:t>
      </w:r>
      <w:r w:rsidR="008A7241">
        <w:rPr>
          <w:rFonts w:ascii="Verdana" w:hAnsi="Verdana"/>
          <w:sz w:val="20"/>
          <w:szCs w:val="20"/>
        </w:rPr>
        <w:t>s”</w:t>
      </w:r>
      <w:r w:rsidR="00211279" w:rsidRPr="00F37E3A">
        <w:rPr>
          <w:rFonts w:ascii="Verdana" w:hAnsi="Verdana"/>
          <w:sz w:val="20"/>
          <w:szCs w:val="20"/>
        </w:rPr>
        <w:t xml:space="preserve"> con las fuer</w:t>
      </w:r>
      <w:r w:rsidR="00E0397F">
        <w:rPr>
          <w:rFonts w:ascii="Verdana" w:hAnsi="Verdana"/>
          <w:sz w:val="20"/>
          <w:szCs w:val="20"/>
        </w:rPr>
        <w:t>z</w:t>
      </w:r>
      <w:r w:rsidR="00211279" w:rsidRPr="00F37E3A">
        <w:rPr>
          <w:rFonts w:ascii="Verdana" w:hAnsi="Verdana"/>
          <w:sz w:val="20"/>
          <w:szCs w:val="20"/>
        </w:rPr>
        <w:t>as de seguridad del Estado</w:t>
      </w:r>
      <w:r w:rsidR="000E6639" w:rsidRPr="00F37E3A">
        <w:rPr>
          <w:rStyle w:val="Refdenotaalpie"/>
          <w:rFonts w:ascii="Verdana" w:hAnsi="Verdana" w:cs="Verdana"/>
          <w:bCs/>
          <w:sz w:val="20"/>
          <w:szCs w:val="20"/>
        </w:rPr>
        <w:footnoteReference w:id="24"/>
      </w:r>
      <w:r w:rsidR="00211279" w:rsidRPr="00F37E3A">
        <w:rPr>
          <w:rFonts w:ascii="Verdana" w:hAnsi="Verdana"/>
          <w:sz w:val="20"/>
          <w:szCs w:val="20"/>
        </w:rPr>
        <w:t xml:space="preserve">. </w:t>
      </w:r>
      <w:r w:rsidR="00376BE7" w:rsidRPr="00F37E3A">
        <w:rPr>
          <w:rFonts w:ascii="Verdana" w:hAnsi="Verdana"/>
          <w:sz w:val="20"/>
          <w:szCs w:val="20"/>
        </w:rPr>
        <w:t xml:space="preserve">El Tribunal </w:t>
      </w:r>
      <w:r w:rsidR="00F84081">
        <w:rPr>
          <w:rFonts w:ascii="Verdana" w:hAnsi="Verdana"/>
          <w:sz w:val="20"/>
          <w:szCs w:val="20"/>
        </w:rPr>
        <w:t xml:space="preserve">Interamericano </w:t>
      </w:r>
      <w:r w:rsidR="00376BE7" w:rsidRPr="00F37E3A">
        <w:rPr>
          <w:rFonts w:ascii="Verdana" w:hAnsi="Verdana"/>
          <w:sz w:val="20"/>
          <w:szCs w:val="20"/>
        </w:rPr>
        <w:t xml:space="preserve">efectuó un análisis de la prueba relacionada con los hechos del caso y constató que </w:t>
      </w:r>
      <w:r w:rsidR="00376BE7" w:rsidRPr="00F37E3A">
        <w:rPr>
          <w:rFonts w:ascii="Verdana" w:hAnsi="Verdana" w:cs="Verdana"/>
          <w:bCs/>
          <w:sz w:val="20"/>
          <w:szCs w:val="20"/>
        </w:rPr>
        <w:t>existe una serie de contradicciones e inconsistencias en relación con la versión de los hechos v</w:t>
      </w:r>
      <w:r w:rsidR="008A7241">
        <w:rPr>
          <w:rFonts w:ascii="Verdana" w:hAnsi="Verdana" w:cs="Verdana"/>
          <w:bCs/>
          <w:sz w:val="20"/>
          <w:szCs w:val="20"/>
        </w:rPr>
        <w:t>inculada con la existencia de dichos</w:t>
      </w:r>
      <w:r w:rsidR="00376BE7" w:rsidRPr="00F37E3A">
        <w:rPr>
          <w:rFonts w:ascii="Verdana" w:hAnsi="Verdana" w:cs="Verdana"/>
          <w:bCs/>
          <w:sz w:val="20"/>
          <w:szCs w:val="20"/>
        </w:rPr>
        <w:t xml:space="preserve"> enfrentamiento</w:t>
      </w:r>
      <w:r w:rsidR="008A7241">
        <w:rPr>
          <w:rFonts w:ascii="Verdana" w:hAnsi="Verdana" w:cs="Verdana"/>
          <w:bCs/>
          <w:sz w:val="20"/>
          <w:szCs w:val="20"/>
        </w:rPr>
        <w:t>s</w:t>
      </w:r>
      <w:r w:rsidR="00376BE7" w:rsidRPr="00F37E3A">
        <w:rPr>
          <w:rStyle w:val="Refdenotaalpie"/>
          <w:rFonts w:ascii="Verdana" w:hAnsi="Verdana" w:cs="Verdana"/>
          <w:bCs/>
          <w:sz w:val="20"/>
          <w:szCs w:val="20"/>
        </w:rPr>
        <w:footnoteReference w:id="25"/>
      </w:r>
      <w:r w:rsidR="00376BE7" w:rsidRPr="00F37E3A">
        <w:rPr>
          <w:rFonts w:ascii="Verdana" w:hAnsi="Verdana"/>
          <w:sz w:val="20"/>
          <w:szCs w:val="20"/>
        </w:rPr>
        <w:t>.</w:t>
      </w:r>
    </w:p>
    <w:p w14:paraId="222774EB" w14:textId="77777777" w:rsidR="00A4474B" w:rsidRDefault="003E415D" w:rsidP="00785E3B">
      <w:pPr>
        <w:pStyle w:val="Prrafodelista"/>
        <w:spacing w:before="120" w:after="120"/>
        <w:ind w:left="0"/>
        <w:contextualSpacing w:val="0"/>
        <w:jc w:val="both"/>
        <w:rPr>
          <w:rFonts w:ascii="Verdana" w:hAnsi="Verdana"/>
          <w:sz w:val="20"/>
          <w:szCs w:val="20"/>
        </w:rPr>
      </w:pPr>
      <w:r>
        <w:rPr>
          <w:rFonts w:ascii="Verdana" w:hAnsi="Verdana"/>
          <w:sz w:val="20"/>
          <w:szCs w:val="20"/>
        </w:rPr>
        <w:t>19</w:t>
      </w:r>
      <w:r w:rsidR="00785E3B">
        <w:rPr>
          <w:rFonts w:ascii="Verdana" w:hAnsi="Verdana"/>
          <w:sz w:val="20"/>
          <w:szCs w:val="20"/>
        </w:rPr>
        <w:t xml:space="preserve">. </w:t>
      </w:r>
      <w:r w:rsidR="00785E3B">
        <w:rPr>
          <w:rFonts w:ascii="Verdana" w:hAnsi="Verdana"/>
          <w:sz w:val="20"/>
          <w:szCs w:val="20"/>
        </w:rPr>
        <w:tab/>
      </w:r>
      <w:r w:rsidR="002014AE">
        <w:rPr>
          <w:rFonts w:ascii="Verdana" w:hAnsi="Verdana"/>
          <w:sz w:val="20"/>
          <w:szCs w:val="20"/>
        </w:rPr>
        <w:t>Al respecto, so</w:t>
      </w:r>
      <w:r w:rsidR="00E15B8D">
        <w:rPr>
          <w:rFonts w:ascii="Verdana" w:hAnsi="Verdana"/>
          <w:sz w:val="20"/>
          <w:szCs w:val="20"/>
        </w:rPr>
        <w:t>bre las contradicciones e incon</w:t>
      </w:r>
      <w:r w:rsidR="002014AE">
        <w:rPr>
          <w:rFonts w:ascii="Verdana" w:hAnsi="Verdana"/>
          <w:sz w:val="20"/>
          <w:szCs w:val="20"/>
        </w:rPr>
        <w:t>si</w:t>
      </w:r>
      <w:r w:rsidR="007A5E27">
        <w:rPr>
          <w:rFonts w:ascii="Verdana" w:hAnsi="Verdana"/>
          <w:sz w:val="20"/>
          <w:szCs w:val="20"/>
        </w:rPr>
        <w:t>s</w:t>
      </w:r>
      <w:r w:rsidR="002014AE">
        <w:rPr>
          <w:rFonts w:ascii="Verdana" w:hAnsi="Verdana"/>
          <w:sz w:val="20"/>
          <w:szCs w:val="20"/>
        </w:rPr>
        <w:t xml:space="preserve">tencias de la versión del supuesto “enfrentamiento”, </w:t>
      </w:r>
      <w:r w:rsidR="000E6639" w:rsidRPr="00F37E3A">
        <w:rPr>
          <w:rFonts w:ascii="Verdana" w:hAnsi="Verdana"/>
          <w:sz w:val="20"/>
          <w:szCs w:val="20"/>
        </w:rPr>
        <w:t xml:space="preserve">la Corte </w:t>
      </w:r>
      <w:r w:rsidR="00DE6ED6">
        <w:rPr>
          <w:rFonts w:ascii="Verdana" w:hAnsi="Verdana"/>
          <w:sz w:val="20"/>
          <w:szCs w:val="20"/>
        </w:rPr>
        <w:t xml:space="preserve">IDH </w:t>
      </w:r>
      <w:r w:rsidR="000E6639" w:rsidRPr="00F37E3A">
        <w:rPr>
          <w:rFonts w:ascii="Verdana" w:hAnsi="Verdana"/>
          <w:sz w:val="20"/>
          <w:szCs w:val="20"/>
        </w:rPr>
        <w:t xml:space="preserve">indicó que: </w:t>
      </w:r>
    </w:p>
    <w:p w14:paraId="5EBD2FD0" w14:textId="77777777" w:rsidR="00A4474B" w:rsidRDefault="002014AE" w:rsidP="00A4474B">
      <w:pPr>
        <w:pStyle w:val="Prrafodelista"/>
        <w:spacing w:before="120" w:after="120"/>
        <w:ind w:left="0" w:firstLine="708"/>
        <w:contextualSpacing w:val="0"/>
        <w:jc w:val="both"/>
        <w:rPr>
          <w:rFonts w:ascii="Verdana" w:hAnsi="Verdana"/>
          <w:sz w:val="20"/>
          <w:szCs w:val="20"/>
        </w:rPr>
      </w:pPr>
      <w:r>
        <w:rPr>
          <w:rFonts w:ascii="Verdana" w:hAnsi="Verdana"/>
          <w:sz w:val="20"/>
          <w:szCs w:val="20"/>
        </w:rPr>
        <w:t>a) vario</w:t>
      </w:r>
      <w:r w:rsidR="000E6639" w:rsidRPr="00F37E3A">
        <w:rPr>
          <w:rFonts w:ascii="Verdana" w:hAnsi="Verdana"/>
          <w:sz w:val="20"/>
          <w:szCs w:val="20"/>
        </w:rPr>
        <w:t xml:space="preserve">s testimonios de familiares y vecinos controvirtieron la versión del enfrentamiento; </w:t>
      </w:r>
    </w:p>
    <w:p w14:paraId="1AE0339A" w14:textId="77777777" w:rsidR="00A4474B" w:rsidRDefault="000E6639" w:rsidP="00A4474B">
      <w:pPr>
        <w:pStyle w:val="Prrafodelista"/>
        <w:spacing w:before="120" w:after="120"/>
        <w:ind w:left="0" w:firstLine="708"/>
        <w:contextualSpacing w:val="0"/>
        <w:jc w:val="both"/>
        <w:rPr>
          <w:rFonts w:ascii="Verdana" w:hAnsi="Verdana"/>
          <w:sz w:val="20"/>
          <w:szCs w:val="20"/>
        </w:rPr>
      </w:pPr>
      <w:r w:rsidRPr="00F37E3A">
        <w:rPr>
          <w:rFonts w:ascii="Verdana" w:hAnsi="Verdana"/>
          <w:sz w:val="20"/>
          <w:szCs w:val="20"/>
        </w:rPr>
        <w:t xml:space="preserve">b) no se recaudaron casquillos de una de las armas que habría sido utilizada en el enfrentamiento por parte de las tres víctimas; </w:t>
      </w:r>
    </w:p>
    <w:p w14:paraId="26286A25" w14:textId="77777777" w:rsidR="00A4474B" w:rsidRDefault="000E6639" w:rsidP="00A4474B">
      <w:pPr>
        <w:pStyle w:val="Prrafodelista"/>
        <w:spacing w:before="120" w:after="120"/>
        <w:ind w:left="0" w:firstLine="708"/>
        <w:contextualSpacing w:val="0"/>
        <w:jc w:val="both"/>
        <w:rPr>
          <w:rFonts w:ascii="Verdana" w:hAnsi="Verdana"/>
          <w:sz w:val="20"/>
          <w:szCs w:val="20"/>
        </w:rPr>
      </w:pPr>
      <w:r w:rsidRPr="00F37E3A">
        <w:rPr>
          <w:rFonts w:ascii="Verdana" w:hAnsi="Verdana"/>
          <w:sz w:val="20"/>
          <w:szCs w:val="20"/>
        </w:rPr>
        <w:t xml:space="preserve">c) existen inconsistencias en torno al tiempo que habría tardado efectivamente la patrulla de policía en llegar al Seguro Social de </w:t>
      </w:r>
      <w:proofErr w:type="spellStart"/>
      <w:r w:rsidRPr="00F37E3A">
        <w:rPr>
          <w:rFonts w:ascii="Verdana" w:hAnsi="Verdana"/>
          <w:sz w:val="20"/>
          <w:szCs w:val="20"/>
        </w:rPr>
        <w:t>Corinsa</w:t>
      </w:r>
      <w:proofErr w:type="spellEnd"/>
      <w:r w:rsidR="003532E3">
        <w:rPr>
          <w:rFonts w:ascii="Verdana" w:hAnsi="Verdana"/>
          <w:sz w:val="20"/>
          <w:szCs w:val="20"/>
        </w:rPr>
        <w:t xml:space="preserve"> para que Robert Díaz Loreto pu</w:t>
      </w:r>
      <w:r w:rsidRPr="00F37E3A">
        <w:rPr>
          <w:rFonts w:ascii="Verdana" w:hAnsi="Verdana"/>
          <w:sz w:val="20"/>
          <w:szCs w:val="20"/>
        </w:rPr>
        <w:t>d</w:t>
      </w:r>
      <w:r w:rsidR="003532E3">
        <w:rPr>
          <w:rFonts w:ascii="Verdana" w:hAnsi="Verdana"/>
          <w:sz w:val="20"/>
          <w:szCs w:val="20"/>
        </w:rPr>
        <w:t>ier</w:t>
      </w:r>
      <w:r w:rsidRPr="00F37E3A">
        <w:rPr>
          <w:rFonts w:ascii="Verdana" w:hAnsi="Verdana"/>
          <w:sz w:val="20"/>
          <w:szCs w:val="20"/>
        </w:rPr>
        <w:t xml:space="preserve">a ser atendido; </w:t>
      </w:r>
    </w:p>
    <w:p w14:paraId="777CE70D" w14:textId="77777777" w:rsidR="00A4474B" w:rsidRDefault="000E6639" w:rsidP="00A4474B">
      <w:pPr>
        <w:pStyle w:val="Prrafodelista"/>
        <w:spacing w:before="120" w:after="120"/>
        <w:ind w:left="0" w:firstLine="708"/>
        <w:contextualSpacing w:val="0"/>
        <w:jc w:val="both"/>
        <w:rPr>
          <w:rFonts w:ascii="Verdana" w:hAnsi="Verdana" w:cs="Verdana"/>
          <w:bCs/>
          <w:sz w:val="20"/>
          <w:szCs w:val="20"/>
        </w:rPr>
      </w:pPr>
      <w:r w:rsidRPr="00F37E3A">
        <w:rPr>
          <w:rFonts w:ascii="Verdana" w:hAnsi="Verdana"/>
          <w:sz w:val="20"/>
          <w:szCs w:val="20"/>
        </w:rPr>
        <w:t xml:space="preserve">d) </w:t>
      </w:r>
      <w:r w:rsidRPr="00F37E3A">
        <w:rPr>
          <w:rFonts w:ascii="Verdana" w:hAnsi="Verdana" w:cs="Verdana"/>
          <w:bCs/>
          <w:sz w:val="20"/>
          <w:szCs w:val="20"/>
        </w:rPr>
        <w:t xml:space="preserve">las autoridades venezolanas no han investigado ni tampoco desplegado indagaciones relacionadas con los hallazgos de la autopsia sobre el material inorgánico granulado, negro que se encontró en conjuntiva ocular, mucosa oral, vías respiratorias, pulmones y aparato </w:t>
      </w:r>
      <w:r w:rsidRPr="00F37E3A">
        <w:rPr>
          <w:rFonts w:ascii="Verdana" w:hAnsi="Verdana"/>
          <w:sz w:val="20"/>
          <w:szCs w:val="20"/>
        </w:rPr>
        <w:t>digestivo</w:t>
      </w:r>
      <w:r w:rsidRPr="00F37E3A">
        <w:rPr>
          <w:rFonts w:ascii="Verdana" w:hAnsi="Verdana" w:cs="Verdana"/>
          <w:bCs/>
          <w:sz w:val="20"/>
          <w:szCs w:val="20"/>
        </w:rPr>
        <w:t xml:space="preserve"> de Robert Díaz Loreto; </w:t>
      </w:r>
    </w:p>
    <w:p w14:paraId="0DB8E738" w14:textId="77777777" w:rsidR="00A4474B" w:rsidRDefault="000E6639" w:rsidP="00A4474B">
      <w:pPr>
        <w:pStyle w:val="Prrafodelista"/>
        <w:spacing w:before="120" w:after="120"/>
        <w:ind w:left="0" w:firstLine="708"/>
        <w:contextualSpacing w:val="0"/>
        <w:jc w:val="both"/>
        <w:rPr>
          <w:rFonts w:ascii="Verdana" w:hAnsi="Verdana" w:cs="Verdana"/>
          <w:bCs/>
          <w:sz w:val="20"/>
          <w:szCs w:val="20"/>
        </w:rPr>
      </w:pPr>
      <w:r w:rsidRPr="00F37E3A">
        <w:rPr>
          <w:rFonts w:ascii="Verdana" w:hAnsi="Verdana" w:cs="Verdana"/>
          <w:bCs/>
          <w:sz w:val="20"/>
          <w:szCs w:val="20"/>
        </w:rPr>
        <w:t>e) la topogr</w:t>
      </w:r>
      <w:r w:rsidR="002014AE">
        <w:rPr>
          <w:rFonts w:ascii="Verdana" w:hAnsi="Verdana" w:cs="Verdana"/>
          <w:bCs/>
          <w:sz w:val="20"/>
          <w:szCs w:val="20"/>
        </w:rPr>
        <w:t>afía lesional de las víctimas del</w:t>
      </w:r>
      <w:r w:rsidRPr="00F37E3A">
        <w:rPr>
          <w:rFonts w:ascii="Verdana" w:hAnsi="Verdana" w:cs="Verdana"/>
          <w:bCs/>
          <w:sz w:val="20"/>
          <w:szCs w:val="20"/>
        </w:rPr>
        <w:t xml:space="preserve"> caso denota una concentración de disparos en sus tórax o más genéricamente en sus “troncos”</w:t>
      </w:r>
      <w:r w:rsidR="0033599F" w:rsidRPr="00F37E3A">
        <w:rPr>
          <w:rFonts w:ascii="Verdana" w:hAnsi="Verdana" w:cs="Verdana"/>
          <w:bCs/>
          <w:sz w:val="20"/>
          <w:szCs w:val="20"/>
        </w:rPr>
        <w:t xml:space="preserve">; </w:t>
      </w:r>
    </w:p>
    <w:p w14:paraId="098B0ED0" w14:textId="77777777" w:rsidR="00A4474B" w:rsidRDefault="0033599F" w:rsidP="00A4474B">
      <w:pPr>
        <w:pStyle w:val="Prrafodelista"/>
        <w:spacing w:before="120" w:after="120"/>
        <w:ind w:left="0" w:firstLine="708"/>
        <w:contextualSpacing w:val="0"/>
        <w:jc w:val="both"/>
        <w:rPr>
          <w:rFonts w:ascii="Verdana" w:hAnsi="Verdana" w:cs="Verdana"/>
          <w:bCs/>
          <w:sz w:val="20"/>
          <w:szCs w:val="20"/>
        </w:rPr>
      </w:pPr>
      <w:r w:rsidRPr="00F37E3A">
        <w:rPr>
          <w:rFonts w:ascii="Verdana" w:hAnsi="Verdana" w:cs="Verdana"/>
          <w:bCs/>
          <w:sz w:val="20"/>
          <w:szCs w:val="20"/>
        </w:rPr>
        <w:t xml:space="preserve">f) en el transcurso de esos dos alegados enfrentamientos, ningún integrante de las fuerzas policiales resultó lesionado; </w:t>
      </w:r>
    </w:p>
    <w:p w14:paraId="36C3EF45" w14:textId="77777777" w:rsidR="00316E10" w:rsidRPr="00F37E3A" w:rsidRDefault="0033599F" w:rsidP="00A4474B">
      <w:pPr>
        <w:pStyle w:val="Prrafodelista"/>
        <w:spacing w:before="120" w:after="120"/>
        <w:ind w:left="0" w:firstLine="708"/>
        <w:contextualSpacing w:val="0"/>
        <w:jc w:val="both"/>
        <w:rPr>
          <w:rFonts w:ascii="Verdana" w:hAnsi="Verdana"/>
          <w:sz w:val="20"/>
          <w:szCs w:val="20"/>
        </w:rPr>
      </w:pPr>
      <w:r w:rsidRPr="00F37E3A">
        <w:rPr>
          <w:rFonts w:ascii="Verdana" w:hAnsi="Verdana" w:cs="Verdana"/>
          <w:bCs/>
          <w:sz w:val="20"/>
          <w:szCs w:val="20"/>
        </w:rPr>
        <w:t>g) las autoridades no desplegaron diligencias que habrían sido determinantes para confirmar o descartar la línea de i</w:t>
      </w:r>
      <w:r w:rsidR="008A7241">
        <w:rPr>
          <w:rFonts w:ascii="Verdana" w:hAnsi="Verdana" w:cs="Verdana"/>
          <w:bCs/>
          <w:sz w:val="20"/>
          <w:szCs w:val="20"/>
        </w:rPr>
        <w:t>nvestigación del enfrentamiento;</w:t>
      </w:r>
      <w:r w:rsidRPr="00F37E3A">
        <w:rPr>
          <w:rFonts w:ascii="Verdana" w:hAnsi="Verdana" w:cs="Verdana"/>
          <w:bCs/>
          <w:sz w:val="20"/>
          <w:szCs w:val="20"/>
        </w:rPr>
        <w:t xml:space="preserve"> como por ejemplo</w:t>
      </w:r>
      <w:r w:rsidR="008A7241">
        <w:rPr>
          <w:rFonts w:ascii="Verdana" w:hAnsi="Verdana" w:cs="Verdana"/>
          <w:bCs/>
          <w:sz w:val="20"/>
          <w:szCs w:val="20"/>
        </w:rPr>
        <w:t>,</w:t>
      </w:r>
      <w:r w:rsidRPr="00F37E3A">
        <w:rPr>
          <w:rFonts w:ascii="Verdana" w:hAnsi="Verdana" w:cs="Verdana"/>
          <w:bCs/>
          <w:sz w:val="20"/>
          <w:szCs w:val="20"/>
        </w:rPr>
        <w:t xml:space="preserve"> la toma de huellas dactilares en las armas o en los cartuchos o de residuos de </w:t>
      </w:r>
      <w:r w:rsidRPr="00F37E3A">
        <w:rPr>
          <w:rFonts w:ascii="Verdana" w:hAnsi="Verdana" w:cs="Verdana"/>
          <w:bCs/>
          <w:sz w:val="20"/>
          <w:szCs w:val="20"/>
        </w:rPr>
        <w:lastRenderedPageBreak/>
        <w:t>pólvora en las manos para comprobar que las armas disparadas lo fueron efectivamente por las presuntas víctimas directas de este caso</w:t>
      </w:r>
      <w:r w:rsidRPr="00F37E3A">
        <w:rPr>
          <w:rStyle w:val="Refdenotaalpie"/>
          <w:rFonts w:ascii="Verdana" w:hAnsi="Verdana" w:cs="Verdana"/>
          <w:bCs/>
          <w:sz w:val="20"/>
          <w:szCs w:val="20"/>
        </w:rPr>
        <w:footnoteReference w:id="26"/>
      </w:r>
      <w:r w:rsidRPr="00F37E3A">
        <w:rPr>
          <w:rFonts w:ascii="Verdana" w:hAnsi="Verdana" w:cs="Verdana"/>
          <w:bCs/>
          <w:sz w:val="20"/>
          <w:szCs w:val="20"/>
        </w:rPr>
        <w:t>.</w:t>
      </w:r>
    </w:p>
    <w:p w14:paraId="15BEFC44" w14:textId="77777777" w:rsidR="00316E10" w:rsidRDefault="00785E3B" w:rsidP="00785E3B">
      <w:pPr>
        <w:pStyle w:val="Prrafodelista"/>
        <w:spacing w:before="120" w:after="120"/>
        <w:ind w:left="0"/>
        <w:contextualSpacing w:val="0"/>
        <w:jc w:val="both"/>
        <w:rPr>
          <w:rFonts w:ascii="Verdana" w:hAnsi="Verdana"/>
          <w:sz w:val="20"/>
          <w:szCs w:val="20"/>
        </w:rPr>
      </w:pPr>
      <w:r>
        <w:rPr>
          <w:rFonts w:ascii="Verdana" w:hAnsi="Verdana"/>
          <w:sz w:val="20"/>
          <w:szCs w:val="20"/>
        </w:rPr>
        <w:t xml:space="preserve">20. </w:t>
      </w:r>
      <w:r>
        <w:rPr>
          <w:rFonts w:ascii="Verdana" w:hAnsi="Verdana"/>
          <w:sz w:val="20"/>
          <w:szCs w:val="20"/>
        </w:rPr>
        <w:tab/>
      </w:r>
      <w:r w:rsidR="00E21957" w:rsidRPr="00F37E3A">
        <w:rPr>
          <w:rFonts w:ascii="Verdana" w:hAnsi="Verdana"/>
          <w:sz w:val="20"/>
          <w:szCs w:val="20"/>
        </w:rPr>
        <w:t xml:space="preserve">A pesar de lo anterior y </w:t>
      </w:r>
      <w:r w:rsidR="00947ED6" w:rsidRPr="00F37E3A">
        <w:rPr>
          <w:rFonts w:ascii="Verdana" w:hAnsi="Verdana"/>
          <w:sz w:val="20"/>
          <w:szCs w:val="20"/>
        </w:rPr>
        <w:t xml:space="preserve">de esas abundantes referencias </w:t>
      </w:r>
      <w:r w:rsidR="00E21957" w:rsidRPr="00F37E3A">
        <w:rPr>
          <w:rFonts w:ascii="Verdana" w:hAnsi="Verdana"/>
          <w:sz w:val="20"/>
          <w:szCs w:val="20"/>
        </w:rPr>
        <w:t>a un contexto de ejecuciones extrajudiciales</w:t>
      </w:r>
      <w:r w:rsidR="008A7241">
        <w:rPr>
          <w:rFonts w:ascii="Verdana" w:hAnsi="Verdana"/>
          <w:sz w:val="20"/>
          <w:szCs w:val="20"/>
        </w:rPr>
        <w:t>,</w:t>
      </w:r>
      <w:r w:rsidR="00E21957" w:rsidRPr="00F37E3A">
        <w:rPr>
          <w:rFonts w:ascii="Verdana" w:hAnsi="Verdana"/>
          <w:sz w:val="20"/>
          <w:szCs w:val="20"/>
        </w:rPr>
        <w:t xml:space="preserve"> tanto en el capítulo de Hechos como en el capítulo de Fondo</w:t>
      </w:r>
      <w:r w:rsidR="00E21957" w:rsidRPr="00F37E3A">
        <w:rPr>
          <w:rStyle w:val="Refdenotaalpie"/>
          <w:rFonts w:ascii="Verdana" w:hAnsi="Verdana"/>
          <w:sz w:val="20"/>
          <w:szCs w:val="20"/>
        </w:rPr>
        <w:footnoteReference w:id="27"/>
      </w:r>
      <w:r w:rsidR="00E21957" w:rsidRPr="00F37E3A">
        <w:rPr>
          <w:rFonts w:ascii="Verdana" w:hAnsi="Verdana"/>
          <w:sz w:val="20"/>
          <w:szCs w:val="20"/>
        </w:rPr>
        <w:t xml:space="preserve">, la Corte </w:t>
      </w:r>
      <w:r w:rsidR="00F03702">
        <w:rPr>
          <w:rFonts w:ascii="Verdana" w:hAnsi="Verdana"/>
          <w:sz w:val="20"/>
          <w:szCs w:val="20"/>
        </w:rPr>
        <w:t xml:space="preserve">IDH </w:t>
      </w:r>
      <w:r w:rsidR="00E21957" w:rsidRPr="00F37E3A">
        <w:rPr>
          <w:rFonts w:ascii="Verdana" w:hAnsi="Verdana"/>
          <w:sz w:val="20"/>
          <w:szCs w:val="20"/>
        </w:rPr>
        <w:t>señaló que resultaba difícil determinar si se produjo o no un enfrentamiento con los funcionarios policiales</w:t>
      </w:r>
      <w:r w:rsidR="00E21957" w:rsidRPr="00F37E3A">
        <w:rPr>
          <w:rStyle w:val="Refdenotaalpie"/>
          <w:rFonts w:ascii="Verdana" w:hAnsi="Verdana"/>
          <w:sz w:val="20"/>
          <w:szCs w:val="20"/>
        </w:rPr>
        <w:footnoteReference w:id="28"/>
      </w:r>
      <w:r w:rsidR="00E21957" w:rsidRPr="00F37E3A">
        <w:rPr>
          <w:rFonts w:ascii="Verdana" w:hAnsi="Verdana"/>
          <w:sz w:val="20"/>
          <w:szCs w:val="20"/>
        </w:rPr>
        <w:t xml:space="preserve"> y no especificó si en este caso concreto se trató de ejecuciones extrajudiciales.</w:t>
      </w:r>
    </w:p>
    <w:p w14:paraId="5AE07A25" w14:textId="77777777" w:rsidR="008879C3" w:rsidRPr="00F37E3A" w:rsidRDefault="008879C3" w:rsidP="00785E3B">
      <w:pPr>
        <w:pStyle w:val="Prrafodelista"/>
        <w:spacing w:before="120" w:after="120"/>
        <w:ind w:left="0"/>
        <w:contextualSpacing w:val="0"/>
        <w:jc w:val="both"/>
        <w:rPr>
          <w:rFonts w:ascii="Verdana" w:hAnsi="Verdana"/>
          <w:sz w:val="20"/>
          <w:szCs w:val="20"/>
        </w:rPr>
      </w:pPr>
      <w:r>
        <w:rPr>
          <w:rFonts w:ascii="Verdana" w:hAnsi="Verdana"/>
          <w:sz w:val="20"/>
          <w:szCs w:val="20"/>
        </w:rPr>
        <w:t>21.</w:t>
      </w:r>
      <w:r>
        <w:rPr>
          <w:rFonts w:ascii="Verdana" w:hAnsi="Verdana"/>
          <w:sz w:val="20"/>
          <w:szCs w:val="20"/>
        </w:rPr>
        <w:tab/>
      </w:r>
      <w:r w:rsidR="002014AE">
        <w:rPr>
          <w:rFonts w:ascii="Verdana" w:hAnsi="Verdana"/>
          <w:sz w:val="20"/>
          <w:szCs w:val="20"/>
        </w:rPr>
        <w:t>A</w:t>
      </w:r>
      <w:r>
        <w:rPr>
          <w:rFonts w:ascii="Verdana" w:hAnsi="Verdana"/>
          <w:sz w:val="20"/>
          <w:szCs w:val="20"/>
        </w:rPr>
        <w:t xml:space="preserve"> nuestro entender, en el evento de que la Corte IDH hubiese querido analizar con más profundidad la versión estatal en cuanto a que nos encontrábamos en presencia de un “enfrentamiento” entre la policía y las víctimas del presente caso, debió haber realizado un análisis en cuanto al uso legítimo, necesario y proporcionado de la fuerza pública, por parte de los agentes estatales para determinar la responsabilidad del Estado.</w:t>
      </w:r>
    </w:p>
    <w:p w14:paraId="70BAB52E" w14:textId="77777777" w:rsidR="00CD177B" w:rsidRPr="00AF08DE" w:rsidRDefault="00AF08DE" w:rsidP="00AF08DE">
      <w:pPr>
        <w:pStyle w:val="Prrafodelista"/>
        <w:spacing w:before="240" w:after="240"/>
        <w:ind w:left="714"/>
        <w:contextualSpacing w:val="0"/>
        <w:jc w:val="both"/>
        <w:outlineLvl w:val="0"/>
        <w:rPr>
          <w:rFonts w:ascii="Verdana" w:hAnsi="Verdana"/>
          <w:b/>
          <w:sz w:val="20"/>
          <w:szCs w:val="20"/>
        </w:rPr>
      </w:pPr>
      <w:r w:rsidRPr="00AF08DE">
        <w:rPr>
          <w:rFonts w:ascii="Verdana" w:hAnsi="Verdana"/>
          <w:b/>
          <w:sz w:val="20"/>
          <w:szCs w:val="20"/>
        </w:rPr>
        <w:t xml:space="preserve">III. </w:t>
      </w:r>
      <w:r w:rsidR="00CD177B" w:rsidRPr="00AF08DE">
        <w:rPr>
          <w:rFonts w:ascii="Verdana" w:hAnsi="Verdana"/>
          <w:b/>
          <w:sz w:val="20"/>
          <w:szCs w:val="20"/>
        </w:rPr>
        <w:t>L</w:t>
      </w:r>
      <w:r w:rsidR="002014AE">
        <w:rPr>
          <w:rFonts w:ascii="Verdana" w:hAnsi="Verdana"/>
          <w:b/>
          <w:sz w:val="20"/>
          <w:szCs w:val="20"/>
        </w:rPr>
        <w:t>OS HECHOS DEL CASO CONSTITUYEN EJECUCIONES EXTRAJUDICIALES</w:t>
      </w:r>
    </w:p>
    <w:p w14:paraId="45C59A73" w14:textId="77777777" w:rsidR="00947ED6" w:rsidRPr="002014AE" w:rsidRDefault="00AF08DE" w:rsidP="00AF08DE">
      <w:pPr>
        <w:spacing w:before="240" w:after="240"/>
        <w:jc w:val="both"/>
        <w:outlineLvl w:val="1"/>
        <w:rPr>
          <w:rFonts w:ascii="Verdana" w:hAnsi="Verdana"/>
          <w:b/>
          <w:sz w:val="20"/>
          <w:szCs w:val="20"/>
        </w:rPr>
      </w:pPr>
      <w:r w:rsidRPr="002014AE">
        <w:rPr>
          <w:rFonts w:ascii="Verdana" w:hAnsi="Verdana"/>
          <w:b/>
          <w:sz w:val="20"/>
          <w:szCs w:val="20"/>
        </w:rPr>
        <w:t xml:space="preserve">A. </w:t>
      </w:r>
      <w:r w:rsidR="00645EA0" w:rsidRPr="002014AE">
        <w:rPr>
          <w:rFonts w:ascii="Verdana" w:hAnsi="Verdana"/>
          <w:b/>
          <w:sz w:val="20"/>
          <w:szCs w:val="20"/>
        </w:rPr>
        <w:t>Definición</w:t>
      </w:r>
    </w:p>
    <w:p w14:paraId="48C3079E" w14:textId="77777777" w:rsidR="00947ED6" w:rsidRPr="00F37E3A" w:rsidRDefault="00E15B8D" w:rsidP="00785E3B">
      <w:pPr>
        <w:pStyle w:val="Prrafodelista"/>
        <w:spacing w:before="120" w:after="120"/>
        <w:ind w:left="0"/>
        <w:contextualSpacing w:val="0"/>
        <w:jc w:val="both"/>
        <w:rPr>
          <w:rFonts w:ascii="Verdana" w:hAnsi="Verdana"/>
          <w:sz w:val="20"/>
          <w:szCs w:val="20"/>
        </w:rPr>
      </w:pPr>
      <w:r>
        <w:rPr>
          <w:rFonts w:ascii="Verdana" w:hAnsi="Verdana"/>
          <w:sz w:val="20"/>
          <w:szCs w:val="20"/>
        </w:rPr>
        <w:t>22</w:t>
      </w:r>
      <w:r w:rsidR="00785E3B">
        <w:rPr>
          <w:rFonts w:ascii="Verdana" w:hAnsi="Verdana"/>
          <w:sz w:val="20"/>
          <w:szCs w:val="20"/>
        </w:rPr>
        <w:t xml:space="preserve">. </w:t>
      </w:r>
      <w:r w:rsidR="00785E3B">
        <w:rPr>
          <w:rFonts w:ascii="Verdana" w:hAnsi="Verdana"/>
          <w:sz w:val="20"/>
          <w:szCs w:val="20"/>
        </w:rPr>
        <w:tab/>
      </w:r>
      <w:r w:rsidR="00947ED6" w:rsidRPr="00F37E3A">
        <w:rPr>
          <w:rFonts w:ascii="Verdana" w:hAnsi="Verdana"/>
          <w:sz w:val="20"/>
          <w:szCs w:val="20"/>
        </w:rPr>
        <w:t>Antes de seguir con el análisis de los hechos del caso que motivan la elabora</w:t>
      </w:r>
      <w:r w:rsidR="00A4474B">
        <w:rPr>
          <w:rFonts w:ascii="Verdana" w:hAnsi="Verdana"/>
          <w:sz w:val="20"/>
          <w:szCs w:val="20"/>
        </w:rPr>
        <w:t>ción del presente voto, resulta ilustrativo recordar cuá</w:t>
      </w:r>
      <w:r w:rsidR="00947ED6" w:rsidRPr="00F37E3A">
        <w:rPr>
          <w:rFonts w:ascii="Verdana" w:hAnsi="Verdana"/>
          <w:sz w:val="20"/>
          <w:szCs w:val="20"/>
        </w:rPr>
        <w:t>les serían los elementos constitutivos de una ejecución extrajudicial</w:t>
      </w:r>
      <w:r w:rsidR="00010BC5" w:rsidRPr="00F37E3A">
        <w:rPr>
          <w:rFonts w:ascii="Verdana" w:hAnsi="Verdana"/>
          <w:sz w:val="20"/>
          <w:szCs w:val="20"/>
        </w:rPr>
        <w:t xml:space="preserve"> en el contexto del uso de la fuerza por parte de las fuerzas de seguridad del Estado</w:t>
      </w:r>
      <w:r w:rsidR="00947ED6" w:rsidRPr="00F37E3A">
        <w:rPr>
          <w:rFonts w:ascii="Verdana" w:hAnsi="Verdana"/>
          <w:sz w:val="20"/>
          <w:szCs w:val="20"/>
        </w:rPr>
        <w:t xml:space="preserve">. </w:t>
      </w:r>
    </w:p>
    <w:p w14:paraId="7D080A11" w14:textId="77777777" w:rsidR="00C06645" w:rsidRPr="00F37E3A" w:rsidRDefault="00E15B8D" w:rsidP="00785E3B">
      <w:pPr>
        <w:pStyle w:val="Prrafodelista"/>
        <w:spacing w:before="120" w:after="120"/>
        <w:ind w:left="0"/>
        <w:contextualSpacing w:val="0"/>
        <w:jc w:val="both"/>
        <w:rPr>
          <w:rFonts w:ascii="Verdana" w:hAnsi="Verdana"/>
          <w:sz w:val="20"/>
          <w:szCs w:val="20"/>
        </w:rPr>
      </w:pPr>
      <w:r>
        <w:rPr>
          <w:rFonts w:ascii="Verdana" w:hAnsi="Verdana"/>
          <w:sz w:val="20"/>
          <w:szCs w:val="20"/>
        </w:rPr>
        <w:t>23</w:t>
      </w:r>
      <w:r w:rsidR="00785E3B">
        <w:rPr>
          <w:rFonts w:ascii="Verdana" w:hAnsi="Verdana"/>
          <w:sz w:val="20"/>
          <w:szCs w:val="20"/>
        </w:rPr>
        <w:t xml:space="preserve">. </w:t>
      </w:r>
      <w:r w:rsidR="00785E3B">
        <w:rPr>
          <w:rFonts w:ascii="Verdana" w:hAnsi="Verdana"/>
          <w:sz w:val="20"/>
          <w:szCs w:val="20"/>
        </w:rPr>
        <w:tab/>
      </w:r>
      <w:r w:rsidR="00C06645" w:rsidRPr="00F37E3A">
        <w:rPr>
          <w:rFonts w:ascii="Verdana" w:hAnsi="Verdana"/>
          <w:sz w:val="20"/>
          <w:szCs w:val="20"/>
        </w:rPr>
        <w:t>En el Manual de las Naciones Unidas sobre la Prevención e Investigación Eficaces de las Ejecuciones Extralegales, Arbitrarias o Sumarias se indica que en muchos países del orbe hay casos de ejecuciones extralegales, arbitrarias o sumarias que no constan ni se descubren. Entre ellos figuran: a) asesinatos políticos; b) muertes resultantes de torturas o malos tratos infligidos en los centros de prisión o detención; c) muertes debidas a "desapariciones" forzadas; d) muertes ocasionadas por uso excesivo de fuerza por los funcionarios encargados del cumplimiento de la ley; e</w:t>
      </w:r>
      <w:r w:rsidR="003532E3">
        <w:rPr>
          <w:rFonts w:ascii="Verdana" w:hAnsi="Verdana"/>
          <w:sz w:val="20"/>
          <w:szCs w:val="20"/>
        </w:rPr>
        <w:t>) ejecuciones sin previo juicio,</w:t>
      </w:r>
      <w:r w:rsidR="00C06645" w:rsidRPr="00F37E3A">
        <w:rPr>
          <w:rFonts w:ascii="Verdana" w:hAnsi="Verdana"/>
          <w:sz w:val="20"/>
          <w:szCs w:val="20"/>
        </w:rPr>
        <w:t xml:space="preserve"> y f) actos de genocidio</w:t>
      </w:r>
      <w:r w:rsidR="00C06645" w:rsidRPr="00F37E3A">
        <w:rPr>
          <w:rStyle w:val="Refdenotaalpie"/>
          <w:rFonts w:ascii="Verdana" w:hAnsi="Verdana"/>
          <w:sz w:val="20"/>
          <w:szCs w:val="20"/>
        </w:rPr>
        <w:footnoteReference w:id="29"/>
      </w:r>
      <w:r w:rsidR="00C06645" w:rsidRPr="00F37E3A">
        <w:rPr>
          <w:rFonts w:ascii="Verdana" w:hAnsi="Verdana"/>
          <w:sz w:val="20"/>
          <w:szCs w:val="20"/>
        </w:rPr>
        <w:t>.</w:t>
      </w:r>
    </w:p>
    <w:p w14:paraId="38772DEE" w14:textId="77777777" w:rsidR="001B260C" w:rsidRPr="00F37E3A" w:rsidRDefault="00E15B8D" w:rsidP="00785E3B">
      <w:pPr>
        <w:pStyle w:val="Prrafodelista"/>
        <w:spacing w:before="120" w:after="120"/>
        <w:ind w:left="0"/>
        <w:contextualSpacing w:val="0"/>
        <w:jc w:val="both"/>
        <w:rPr>
          <w:rFonts w:ascii="Verdana" w:hAnsi="Verdana"/>
          <w:sz w:val="20"/>
          <w:szCs w:val="20"/>
        </w:rPr>
      </w:pPr>
      <w:r>
        <w:rPr>
          <w:rFonts w:ascii="Verdana" w:hAnsi="Verdana"/>
          <w:sz w:val="20"/>
          <w:szCs w:val="20"/>
        </w:rPr>
        <w:t>24</w:t>
      </w:r>
      <w:r w:rsidR="00785E3B">
        <w:rPr>
          <w:rFonts w:ascii="Verdana" w:hAnsi="Verdana"/>
          <w:sz w:val="20"/>
          <w:szCs w:val="20"/>
        </w:rPr>
        <w:t xml:space="preserve">. </w:t>
      </w:r>
      <w:r w:rsidR="00785E3B">
        <w:rPr>
          <w:rFonts w:ascii="Verdana" w:hAnsi="Verdana"/>
          <w:sz w:val="20"/>
          <w:szCs w:val="20"/>
        </w:rPr>
        <w:tab/>
      </w:r>
      <w:r w:rsidR="003F1F27" w:rsidRPr="00F37E3A">
        <w:rPr>
          <w:rFonts w:ascii="Verdana" w:hAnsi="Verdana"/>
          <w:sz w:val="20"/>
          <w:szCs w:val="20"/>
        </w:rPr>
        <w:t xml:space="preserve">A su vez, </w:t>
      </w:r>
      <w:r w:rsidR="001B260C" w:rsidRPr="00F37E3A">
        <w:rPr>
          <w:rFonts w:ascii="Verdana" w:hAnsi="Verdana"/>
          <w:sz w:val="20"/>
          <w:szCs w:val="20"/>
        </w:rPr>
        <w:t>el Relator Especial de las Naciones Unidas para las Ejecuciones Extrajudiciales, Sumarias y Arbitrarias indicó que se puede considerar que existe una ejecución extrajudicial “cuando individuos cuya actuación compromete la responsabilidad internacional del Estado matan a una persona en acto que presenta los rasgos característicos de una privación ilegítima de la vida. Por lo tanto, para que con rigor pueda hablarse de este crimen internacional la muerte de la víctima ha de ser d</w:t>
      </w:r>
      <w:r w:rsidR="002014AE">
        <w:rPr>
          <w:rFonts w:ascii="Verdana" w:hAnsi="Verdana"/>
          <w:sz w:val="20"/>
          <w:szCs w:val="20"/>
        </w:rPr>
        <w:t>eliberada e injustificada”. El R</w:t>
      </w:r>
      <w:r w:rsidR="001B260C" w:rsidRPr="00F37E3A">
        <w:rPr>
          <w:rFonts w:ascii="Verdana" w:hAnsi="Verdana"/>
          <w:sz w:val="20"/>
          <w:szCs w:val="20"/>
        </w:rPr>
        <w:t xml:space="preserve">elator agregó que la ejecución extrajudicial debe distinguirse de los homicidios cometidos por servidores públicos que mataron: a. por imprudencia, impericia, negligencia o violación del reglamento; b. En legítima defensa; </w:t>
      </w:r>
      <w:r w:rsidR="001B260C" w:rsidRPr="00F37E3A">
        <w:rPr>
          <w:rFonts w:ascii="Verdana" w:hAnsi="Verdana"/>
          <w:sz w:val="20"/>
          <w:szCs w:val="20"/>
        </w:rPr>
        <w:lastRenderedPageBreak/>
        <w:t>c. en combate dentro de un conflicto armado, y d. al hacer uso racional, necesario y proporcionado de la fuerza como encargados de hacer cumplir la ley</w:t>
      </w:r>
      <w:r w:rsidR="001B260C" w:rsidRPr="00F37E3A">
        <w:rPr>
          <w:rStyle w:val="Refdenotaalpie"/>
          <w:rFonts w:ascii="Verdana" w:hAnsi="Verdana"/>
          <w:sz w:val="20"/>
          <w:szCs w:val="20"/>
        </w:rPr>
        <w:footnoteReference w:id="30"/>
      </w:r>
      <w:r w:rsidR="001B260C" w:rsidRPr="00F37E3A">
        <w:rPr>
          <w:rFonts w:ascii="Verdana" w:hAnsi="Verdana"/>
          <w:sz w:val="20"/>
          <w:szCs w:val="20"/>
        </w:rPr>
        <w:t>.</w:t>
      </w:r>
    </w:p>
    <w:p w14:paraId="4F29D1C3" w14:textId="77777777" w:rsidR="00947ED6" w:rsidRPr="00F37E3A" w:rsidRDefault="00785E3B" w:rsidP="00785E3B">
      <w:pPr>
        <w:pStyle w:val="Prrafodelista"/>
        <w:spacing w:before="120" w:after="120"/>
        <w:ind w:left="0"/>
        <w:contextualSpacing w:val="0"/>
        <w:jc w:val="both"/>
        <w:rPr>
          <w:rFonts w:ascii="Verdana" w:hAnsi="Verdana"/>
          <w:sz w:val="20"/>
          <w:szCs w:val="20"/>
        </w:rPr>
      </w:pPr>
      <w:r>
        <w:rPr>
          <w:rFonts w:ascii="Verdana" w:hAnsi="Verdana"/>
          <w:sz w:val="20"/>
          <w:szCs w:val="20"/>
        </w:rPr>
        <w:t>2</w:t>
      </w:r>
      <w:r w:rsidR="00E15B8D">
        <w:rPr>
          <w:rFonts w:ascii="Verdana" w:hAnsi="Verdana"/>
          <w:sz w:val="20"/>
          <w:szCs w:val="20"/>
        </w:rPr>
        <w:t>5</w:t>
      </w:r>
      <w:r>
        <w:rPr>
          <w:rFonts w:ascii="Verdana" w:hAnsi="Verdana"/>
          <w:sz w:val="20"/>
          <w:szCs w:val="20"/>
        </w:rPr>
        <w:t xml:space="preserve">. </w:t>
      </w:r>
      <w:r>
        <w:rPr>
          <w:rFonts w:ascii="Verdana" w:hAnsi="Verdana"/>
          <w:sz w:val="20"/>
          <w:szCs w:val="20"/>
        </w:rPr>
        <w:tab/>
      </w:r>
      <w:r w:rsidR="00A4474B">
        <w:rPr>
          <w:rFonts w:ascii="Verdana" w:hAnsi="Verdana"/>
          <w:sz w:val="20"/>
          <w:szCs w:val="20"/>
        </w:rPr>
        <w:t>Si bien</w:t>
      </w:r>
      <w:r w:rsidR="001B260C" w:rsidRPr="00F37E3A">
        <w:rPr>
          <w:rFonts w:ascii="Verdana" w:hAnsi="Verdana"/>
          <w:sz w:val="20"/>
          <w:szCs w:val="20"/>
        </w:rPr>
        <w:t xml:space="preserve"> l</w:t>
      </w:r>
      <w:r w:rsidR="00947ED6" w:rsidRPr="00F37E3A">
        <w:rPr>
          <w:rFonts w:ascii="Verdana" w:hAnsi="Verdana"/>
          <w:sz w:val="20"/>
          <w:szCs w:val="20"/>
        </w:rPr>
        <w:t>a jurisprud</w:t>
      </w:r>
      <w:r w:rsidR="00F03702">
        <w:rPr>
          <w:rFonts w:ascii="Verdana" w:hAnsi="Verdana"/>
          <w:sz w:val="20"/>
          <w:szCs w:val="20"/>
        </w:rPr>
        <w:t>encia de la Corte IDH</w:t>
      </w:r>
      <w:r w:rsidR="00947ED6" w:rsidRPr="00F37E3A">
        <w:rPr>
          <w:rFonts w:ascii="Verdana" w:hAnsi="Verdana"/>
          <w:sz w:val="20"/>
          <w:szCs w:val="20"/>
        </w:rPr>
        <w:t xml:space="preserve"> </w:t>
      </w:r>
      <w:r w:rsidR="00841589" w:rsidRPr="00F37E3A">
        <w:rPr>
          <w:rFonts w:ascii="Verdana" w:hAnsi="Verdana"/>
          <w:sz w:val="20"/>
          <w:szCs w:val="20"/>
        </w:rPr>
        <w:t>no ha definido claramente el contenido de esta figura</w:t>
      </w:r>
      <w:r w:rsidR="00A4474B">
        <w:rPr>
          <w:rFonts w:ascii="Verdana" w:hAnsi="Verdana"/>
          <w:sz w:val="20"/>
          <w:szCs w:val="20"/>
        </w:rPr>
        <w:t xml:space="preserve">, caso a caso </w:t>
      </w:r>
      <w:r w:rsidR="00841589" w:rsidRPr="00F37E3A">
        <w:rPr>
          <w:rFonts w:ascii="Verdana" w:hAnsi="Verdana"/>
          <w:sz w:val="20"/>
          <w:szCs w:val="20"/>
        </w:rPr>
        <w:t xml:space="preserve">ha </w:t>
      </w:r>
      <w:r w:rsidR="00A4474B">
        <w:rPr>
          <w:rFonts w:ascii="Verdana" w:hAnsi="Verdana"/>
          <w:sz w:val="20"/>
          <w:szCs w:val="20"/>
        </w:rPr>
        <w:t>ido delineando sus características</w:t>
      </w:r>
      <w:r w:rsidR="00EB6B6F">
        <w:rPr>
          <w:rFonts w:ascii="Verdana" w:hAnsi="Verdana"/>
          <w:sz w:val="20"/>
          <w:szCs w:val="20"/>
        </w:rPr>
        <w:t>, declarando</w:t>
      </w:r>
      <w:r w:rsidR="00841589" w:rsidRPr="00F37E3A">
        <w:rPr>
          <w:rFonts w:ascii="Verdana" w:hAnsi="Verdana"/>
          <w:sz w:val="20"/>
          <w:szCs w:val="20"/>
        </w:rPr>
        <w:t xml:space="preserve"> </w:t>
      </w:r>
      <w:r w:rsidR="00A4474B">
        <w:rPr>
          <w:rFonts w:ascii="Verdana" w:hAnsi="Verdana"/>
          <w:sz w:val="20"/>
          <w:szCs w:val="20"/>
        </w:rPr>
        <w:t xml:space="preserve">que </w:t>
      </w:r>
      <w:r w:rsidR="001B260C" w:rsidRPr="00F37E3A">
        <w:rPr>
          <w:rFonts w:ascii="Verdana" w:hAnsi="Verdana"/>
          <w:sz w:val="20"/>
          <w:szCs w:val="20"/>
        </w:rPr>
        <w:t xml:space="preserve">se produjo una </w:t>
      </w:r>
      <w:r w:rsidR="00841589" w:rsidRPr="00F37E3A">
        <w:rPr>
          <w:rFonts w:ascii="Verdana" w:hAnsi="Verdana"/>
          <w:sz w:val="20"/>
          <w:szCs w:val="20"/>
        </w:rPr>
        <w:t>ejecuci</w:t>
      </w:r>
      <w:r w:rsidR="001B260C" w:rsidRPr="00F37E3A">
        <w:rPr>
          <w:rFonts w:ascii="Verdana" w:hAnsi="Verdana"/>
          <w:sz w:val="20"/>
          <w:szCs w:val="20"/>
        </w:rPr>
        <w:t xml:space="preserve">ón </w:t>
      </w:r>
      <w:r w:rsidR="00841589" w:rsidRPr="00F37E3A">
        <w:rPr>
          <w:rFonts w:ascii="Verdana" w:hAnsi="Verdana"/>
          <w:sz w:val="20"/>
          <w:szCs w:val="20"/>
        </w:rPr>
        <w:t>extrajudicial</w:t>
      </w:r>
      <w:r w:rsidR="00841589" w:rsidRPr="00F37E3A">
        <w:rPr>
          <w:rStyle w:val="Refdenotaalpie"/>
          <w:rFonts w:ascii="Verdana" w:hAnsi="Verdana"/>
          <w:sz w:val="20"/>
          <w:szCs w:val="20"/>
        </w:rPr>
        <w:footnoteReference w:id="31"/>
      </w:r>
      <w:r w:rsidR="00841589" w:rsidRPr="00F37E3A">
        <w:rPr>
          <w:rFonts w:ascii="Verdana" w:hAnsi="Verdana"/>
          <w:sz w:val="20"/>
          <w:szCs w:val="20"/>
        </w:rPr>
        <w:t>.</w:t>
      </w:r>
      <w:r w:rsidR="00947ED6" w:rsidRPr="00F37E3A">
        <w:rPr>
          <w:rFonts w:ascii="Verdana" w:hAnsi="Verdana"/>
          <w:sz w:val="20"/>
          <w:szCs w:val="20"/>
        </w:rPr>
        <w:t xml:space="preserve"> </w:t>
      </w:r>
    </w:p>
    <w:p w14:paraId="1260F890" w14:textId="77777777" w:rsidR="00645EA0" w:rsidRPr="00AF08DE" w:rsidRDefault="00B203E9" w:rsidP="00AF08DE">
      <w:pPr>
        <w:spacing w:before="240" w:after="240"/>
        <w:jc w:val="both"/>
        <w:outlineLvl w:val="1"/>
        <w:rPr>
          <w:rFonts w:ascii="Verdana" w:hAnsi="Verdana"/>
          <w:b/>
          <w:sz w:val="20"/>
          <w:szCs w:val="20"/>
        </w:rPr>
      </w:pPr>
      <w:r w:rsidRPr="00AF08DE">
        <w:rPr>
          <w:rFonts w:ascii="Verdana" w:hAnsi="Verdana"/>
          <w:b/>
          <w:sz w:val="20"/>
          <w:szCs w:val="20"/>
        </w:rPr>
        <w:t xml:space="preserve">B. </w:t>
      </w:r>
      <w:r w:rsidR="00645EA0" w:rsidRPr="00AF08DE">
        <w:rPr>
          <w:rFonts w:ascii="Verdana" w:hAnsi="Verdana"/>
          <w:b/>
          <w:sz w:val="20"/>
          <w:szCs w:val="20"/>
        </w:rPr>
        <w:t>Los hechos del caso encuadran en una hipótesis de ejecución extrajudicial</w:t>
      </w:r>
    </w:p>
    <w:p w14:paraId="2D2C742C" w14:textId="77777777" w:rsidR="00CD177B" w:rsidRPr="00F37E3A" w:rsidRDefault="00E15B8D" w:rsidP="00785E3B">
      <w:pPr>
        <w:pStyle w:val="Prrafodelista"/>
        <w:spacing w:before="120" w:after="120"/>
        <w:ind w:left="0"/>
        <w:contextualSpacing w:val="0"/>
        <w:jc w:val="both"/>
        <w:rPr>
          <w:rFonts w:ascii="Verdana" w:hAnsi="Verdana"/>
          <w:sz w:val="20"/>
          <w:szCs w:val="20"/>
        </w:rPr>
      </w:pPr>
      <w:r>
        <w:rPr>
          <w:rFonts w:ascii="Verdana" w:hAnsi="Verdana"/>
          <w:sz w:val="20"/>
          <w:szCs w:val="20"/>
        </w:rPr>
        <w:t>26</w:t>
      </w:r>
      <w:r w:rsidR="00785E3B">
        <w:rPr>
          <w:rFonts w:ascii="Verdana" w:hAnsi="Verdana"/>
          <w:sz w:val="20"/>
          <w:szCs w:val="20"/>
        </w:rPr>
        <w:t xml:space="preserve">. </w:t>
      </w:r>
      <w:r w:rsidR="00785E3B">
        <w:rPr>
          <w:rFonts w:ascii="Verdana" w:hAnsi="Verdana"/>
          <w:sz w:val="20"/>
          <w:szCs w:val="20"/>
        </w:rPr>
        <w:tab/>
      </w:r>
      <w:r w:rsidR="00CD177B" w:rsidRPr="00F37E3A">
        <w:rPr>
          <w:rFonts w:ascii="Verdana" w:hAnsi="Verdana"/>
          <w:sz w:val="20"/>
          <w:szCs w:val="20"/>
        </w:rPr>
        <w:t xml:space="preserve">A pesar de que </w:t>
      </w:r>
      <w:r w:rsidR="00A4474B">
        <w:rPr>
          <w:rFonts w:ascii="Verdana" w:hAnsi="Verdana"/>
          <w:sz w:val="20"/>
          <w:szCs w:val="20"/>
        </w:rPr>
        <w:t xml:space="preserve">en la Sentencia, </w:t>
      </w:r>
      <w:r w:rsidR="00AF08DE">
        <w:rPr>
          <w:rFonts w:ascii="Verdana" w:hAnsi="Verdana"/>
          <w:sz w:val="20"/>
          <w:szCs w:val="20"/>
        </w:rPr>
        <w:t>la C</w:t>
      </w:r>
      <w:r w:rsidR="00CD177B" w:rsidRPr="00F37E3A">
        <w:rPr>
          <w:rFonts w:ascii="Verdana" w:hAnsi="Verdana"/>
          <w:sz w:val="20"/>
          <w:szCs w:val="20"/>
        </w:rPr>
        <w:t xml:space="preserve">orte </w:t>
      </w:r>
      <w:r w:rsidR="00AF08DE">
        <w:rPr>
          <w:rFonts w:ascii="Verdana" w:hAnsi="Verdana"/>
          <w:sz w:val="20"/>
          <w:szCs w:val="20"/>
        </w:rPr>
        <w:t xml:space="preserve">IDH </w:t>
      </w:r>
      <w:r w:rsidR="00CD177B" w:rsidRPr="00F37E3A">
        <w:rPr>
          <w:rFonts w:ascii="Verdana" w:hAnsi="Verdana"/>
          <w:sz w:val="20"/>
          <w:szCs w:val="20"/>
        </w:rPr>
        <w:t xml:space="preserve">no llega a pronunciarse concretamente sobre </w:t>
      </w:r>
      <w:r w:rsidR="00B105DC" w:rsidRPr="00F37E3A">
        <w:rPr>
          <w:rFonts w:ascii="Verdana" w:hAnsi="Verdana"/>
          <w:sz w:val="20"/>
          <w:szCs w:val="20"/>
        </w:rPr>
        <w:t>la existencia de ejecuciones extrajudiciales</w:t>
      </w:r>
      <w:r w:rsidR="00CD177B" w:rsidRPr="00F37E3A">
        <w:rPr>
          <w:rFonts w:ascii="Verdana" w:hAnsi="Verdana"/>
          <w:sz w:val="20"/>
          <w:szCs w:val="20"/>
        </w:rPr>
        <w:t xml:space="preserve">, </w:t>
      </w:r>
      <w:r w:rsidR="002014AE">
        <w:rPr>
          <w:rFonts w:ascii="Verdana" w:hAnsi="Verdana"/>
          <w:sz w:val="20"/>
          <w:szCs w:val="20"/>
        </w:rPr>
        <w:t>estimamos</w:t>
      </w:r>
      <w:r w:rsidR="00A4474B">
        <w:rPr>
          <w:rFonts w:ascii="Verdana" w:hAnsi="Verdana"/>
          <w:sz w:val="20"/>
          <w:szCs w:val="20"/>
        </w:rPr>
        <w:t xml:space="preserve"> que existen </w:t>
      </w:r>
      <w:r w:rsidR="002014AE">
        <w:rPr>
          <w:rFonts w:ascii="Verdana" w:hAnsi="Verdana"/>
          <w:sz w:val="20"/>
          <w:szCs w:val="20"/>
        </w:rPr>
        <w:t xml:space="preserve">suficientes </w:t>
      </w:r>
      <w:r w:rsidR="00A4474B">
        <w:rPr>
          <w:rFonts w:ascii="Verdana" w:hAnsi="Verdana"/>
          <w:sz w:val="20"/>
          <w:szCs w:val="20"/>
        </w:rPr>
        <w:t>elementos</w:t>
      </w:r>
      <w:r w:rsidR="00351A86">
        <w:rPr>
          <w:rFonts w:ascii="Verdana" w:hAnsi="Verdana"/>
          <w:sz w:val="20"/>
          <w:szCs w:val="20"/>
        </w:rPr>
        <w:t xml:space="preserve"> probatorios</w:t>
      </w:r>
      <w:r w:rsidR="00A4474B">
        <w:rPr>
          <w:rFonts w:ascii="Verdana" w:hAnsi="Verdana"/>
          <w:sz w:val="20"/>
          <w:szCs w:val="20"/>
        </w:rPr>
        <w:t xml:space="preserve"> en los que se </w:t>
      </w:r>
      <w:r w:rsidR="00CD177B" w:rsidRPr="00F37E3A">
        <w:rPr>
          <w:rFonts w:ascii="Verdana" w:hAnsi="Verdana"/>
          <w:sz w:val="20"/>
          <w:szCs w:val="20"/>
        </w:rPr>
        <w:t>podría inf</w:t>
      </w:r>
      <w:r w:rsidR="00645EA0" w:rsidRPr="00F37E3A">
        <w:rPr>
          <w:rFonts w:ascii="Verdana" w:hAnsi="Verdana"/>
          <w:sz w:val="20"/>
          <w:szCs w:val="20"/>
        </w:rPr>
        <w:t xml:space="preserve">erir </w:t>
      </w:r>
      <w:r w:rsidR="00A4474B">
        <w:rPr>
          <w:rFonts w:ascii="Verdana" w:hAnsi="Verdana"/>
          <w:sz w:val="20"/>
          <w:szCs w:val="20"/>
        </w:rPr>
        <w:t xml:space="preserve">claramente </w:t>
      </w:r>
      <w:r w:rsidR="00645EA0" w:rsidRPr="00F37E3A">
        <w:rPr>
          <w:rFonts w:ascii="Verdana" w:hAnsi="Verdana"/>
          <w:sz w:val="20"/>
          <w:szCs w:val="20"/>
        </w:rPr>
        <w:t>tal conclusión</w:t>
      </w:r>
      <w:r w:rsidR="00A4474B">
        <w:rPr>
          <w:rFonts w:ascii="Verdana" w:hAnsi="Verdana"/>
          <w:sz w:val="20"/>
          <w:szCs w:val="20"/>
        </w:rPr>
        <w:t>.</w:t>
      </w:r>
    </w:p>
    <w:p w14:paraId="1D7176E1" w14:textId="77777777" w:rsidR="00F84081" w:rsidRDefault="00E15B8D" w:rsidP="00785E3B">
      <w:pPr>
        <w:pStyle w:val="Prrafodelista"/>
        <w:spacing w:before="120" w:after="120"/>
        <w:ind w:left="0"/>
        <w:contextualSpacing w:val="0"/>
        <w:jc w:val="both"/>
        <w:rPr>
          <w:rFonts w:ascii="Verdana" w:hAnsi="Verdana"/>
          <w:sz w:val="20"/>
          <w:szCs w:val="20"/>
        </w:rPr>
      </w:pPr>
      <w:r>
        <w:rPr>
          <w:rFonts w:ascii="Verdana" w:hAnsi="Verdana"/>
          <w:sz w:val="20"/>
          <w:szCs w:val="20"/>
        </w:rPr>
        <w:t>27</w:t>
      </w:r>
      <w:r w:rsidR="00785E3B">
        <w:rPr>
          <w:rFonts w:ascii="Verdana" w:hAnsi="Verdana"/>
          <w:sz w:val="20"/>
          <w:szCs w:val="20"/>
        </w:rPr>
        <w:t xml:space="preserve">. </w:t>
      </w:r>
      <w:r w:rsidR="00785E3B">
        <w:rPr>
          <w:rFonts w:ascii="Verdana" w:hAnsi="Verdana"/>
          <w:sz w:val="20"/>
          <w:szCs w:val="20"/>
        </w:rPr>
        <w:tab/>
      </w:r>
      <w:r w:rsidR="00A4474B">
        <w:rPr>
          <w:rFonts w:ascii="Verdana" w:hAnsi="Verdana"/>
          <w:sz w:val="20"/>
          <w:szCs w:val="20"/>
        </w:rPr>
        <w:t xml:space="preserve">En primer lugar, </w:t>
      </w:r>
      <w:r w:rsidR="00645EA0" w:rsidRPr="00F37E3A">
        <w:rPr>
          <w:rFonts w:ascii="Verdana" w:hAnsi="Verdana"/>
          <w:sz w:val="20"/>
          <w:szCs w:val="20"/>
        </w:rPr>
        <w:t>varios elementos del contexto de ejecuciones extrajudiciales en Venezuela para la época de los hechos</w:t>
      </w:r>
      <w:r w:rsidR="00351A86">
        <w:rPr>
          <w:rFonts w:ascii="Verdana" w:hAnsi="Verdana"/>
          <w:sz w:val="20"/>
          <w:szCs w:val="20"/>
        </w:rPr>
        <w:t>,</w:t>
      </w:r>
      <w:r w:rsidR="00645EA0" w:rsidRPr="00F37E3A">
        <w:rPr>
          <w:rFonts w:ascii="Verdana" w:hAnsi="Verdana"/>
          <w:sz w:val="20"/>
          <w:szCs w:val="20"/>
        </w:rPr>
        <w:t xml:space="preserve"> se configuran en las circunstancias fácticas del presente caso. </w:t>
      </w:r>
      <w:r w:rsidR="00A4474B">
        <w:rPr>
          <w:rFonts w:ascii="Verdana" w:hAnsi="Verdana"/>
          <w:sz w:val="20"/>
          <w:szCs w:val="20"/>
        </w:rPr>
        <w:t>Lo anterior debido a que</w:t>
      </w:r>
      <w:r w:rsidR="00A14C81" w:rsidRPr="00F37E3A">
        <w:rPr>
          <w:rFonts w:ascii="Verdana" w:hAnsi="Verdana"/>
          <w:sz w:val="20"/>
          <w:szCs w:val="20"/>
        </w:rPr>
        <w:t xml:space="preserve">: </w:t>
      </w:r>
    </w:p>
    <w:p w14:paraId="24EA66BD" w14:textId="77777777" w:rsidR="00F84081" w:rsidRDefault="00A14C81" w:rsidP="00F84081">
      <w:pPr>
        <w:pStyle w:val="Prrafodelista"/>
        <w:spacing w:before="120" w:after="120"/>
        <w:ind w:left="0" w:firstLine="708"/>
        <w:contextualSpacing w:val="0"/>
        <w:jc w:val="both"/>
        <w:rPr>
          <w:rFonts w:ascii="Verdana" w:hAnsi="Verdana"/>
          <w:sz w:val="20"/>
          <w:szCs w:val="20"/>
        </w:rPr>
      </w:pPr>
      <w:r w:rsidRPr="00F37E3A">
        <w:rPr>
          <w:rFonts w:ascii="Verdana" w:hAnsi="Verdana"/>
          <w:sz w:val="20"/>
          <w:szCs w:val="20"/>
        </w:rPr>
        <w:t xml:space="preserve">a) la versión oficial de los cuerpos policiales </w:t>
      </w:r>
      <w:r w:rsidR="00C87D9C" w:rsidRPr="00F37E3A">
        <w:rPr>
          <w:rFonts w:ascii="Verdana" w:hAnsi="Verdana"/>
          <w:sz w:val="20"/>
          <w:szCs w:val="20"/>
        </w:rPr>
        <w:t>se refiere a la</w:t>
      </w:r>
      <w:r w:rsidRPr="00F37E3A">
        <w:rPr>
          <w:rFonts w:ascii="Verdana" w:hAnsi="Verdana"/>
          <w:sz w:val="20"/>
          <w:szCs w:val="20"/>
        </w:rPr>
        <w:t xml:space="preserve"> muerte de las víctimas en presunto </w:t>
      </w:r>
      <w:r w:rsidR="00351A86">
        <w:rPr>
          <w:rFonts w:ascii="Verdana" w:hAnsi="Verdana"/>
          <w:sz w:val="20"/>
          <w:szCs w:val="20"/>
        </w:rPr>
        <w:t>“</w:t>
      </w:r>
      <w:r w:rsidRPr="00F37E3A">
        <w:rPr>
          <w:rFonts w:ascii="Verdana" w:hAnsi="Verdana"/>
          <w:sz w:val="20"/>
          <w:szCs w:val="20"/>
        </w:rPr>
        <w:t>enfrentamiento</w:t>
      </w:r>
      <w:r w:rsidR="00351A86">
        <w:rPr>
          <w:rFonts w:ascii="Verdana" w:hAnsi="Verdana"/>
          <w:sz w:val="20"/>
          <w:szCs w:val="20"/>
        </w:rPr>
        <w:t>”</w:t>
      </w:r>
      <w:r w:rsidR="00C87D9C" w:rsidRPr="00F37E3A">
        <w:rPr>
          <w:rStyle w:val="Refdenotaalpie"/>
          <w:rFonts w:ascii="Verdana" w:hAnsi="Verdana"/>
          <w:sz w:val="20"/>
          <w:szCs w:val="20"/>
        </w:rPr>
        <w:footnoteReference w:id="32"/>
      </w:r>
      <w:r w:rsidRPr="00F37E3A">
        <w:rPr>
          <w:rFonts w:ascii="Verdana" w:hAnsi="Verdana"/>
          <w:sz w:val="20"/>
          <w:szCs w:val="20"/>
        </w:rPr>
        <w:t xml:space="preserve">; </w:t>
      </w:r>
    </w:p>
    <w:p w14:paraId="4F7421B3" w14:textId="77777777" w:rsidR="00F84081" w:rsidRDefault="00A14C81" w:rsidP="00F84081">
      <w:pPr>
        <w:pStyle w:val="Prrafodelista"/>
        <w:spacing w:before="120" w:after="120"/>
        <w:ind w:left="0" w:firstLine="708"/>
        <w:contextualSpacing w:val="0"/>
        <w:jc w:val="both"/>
        <w:rPr>
          <w:rFonts w:ascii="Verdana" w:hAnsi="Verdana"/>
          <w:sz w:val="20"/>
          <w:szCs w:val="20"/>
        </w:rPr>
      </w:pPr>
      <w:r w:rsidRPr="00F37E3A">
        <w:rPr>
          <w:rFonts w:ascii="Verdana" w:hAnsi="Verdana"/>
          <w:sz w:val="20"/>
          <w:szCs w:val="20"/>
        </w:rPr>
        <w:t>b) esos hechos ocurrieron cerca del lugar de residencia de uno de ellos, o en el transcurso de operativos o redadas policiales</w:t>
      </w:r>
      <w:r w:rsidR="00C87D9C" w:rsidRPr="00F37E3A">
        <w:rPr>
          <w:rStyle w:val="Refdenotaalpie"/>
          <w:rFonts w:ascii="Verdana" w:hAnsi="Verdana"/>
          <w:sz w:val="20"/>
          <w:szCs w:val="20"/>
        </w:rPr>
        <w:footnoteReference w:id="33"/>
      </w:r>
      <w:r w:rsidRPr="00F37E3A">
        <w:rPr>
          <w:rFonts w:ascii="Verdana" w:hAnsi="Verdana"/>
          <w:sz w:val="20"/>
          <w:szCs w:val="20"/>
        </w:rPr>
        <w:t xml:space="preserve">; </w:t>
      </w:r>
    </w:p>
    <w:p w14:paraId="353D9CFB" w14:textId="77777777" w:rsidR="00F84081" w:rsidRDefault="00A14C81" w:rsidP="00F84081">
      <w:pPr>
        <w:pStyle w:val="Prrafodelista"/>
        <w:spacing w:before="120" w:after="120"/>
        <w:ind w:left="0" w:firstLine="708"/>
        <w:contextualSpacing w:val="0"/>
        <w:jc w:val="both"/>
        <w:rPr>
          <w:rFonts w:ascii="Verdana" w:hAnsi="Verdana"/>
          <w:sz w:val="20"/>
          <w:szCs w:val="20"/>
        </w:rPr>
      </w:pPr>
      <w:r w:rsidRPr="00F37E3A">
        <w:rPr>
          <w:rFonts w:ascii="Verdana" w:hAnsi="Verdana"/>
          <w:sz w:val="20"/>
          <w:szCs w:val="20"/>
        </w:rPr>
        <w:t xml:space="preserve">c) el hecho ocurre en presencia de testigos, quienes relatan que una de las víctimas fue herida y detenida </w:t>
      </w:r>
      <w:r w:rsidR="00C87D9C" w:rsidRPr="00F37E3A">
        <w:rPr>
          <w:rFonts w:ascii="Verdana" w:hAnsi="Verdana"/>
          <w:sz w:val="20"/>
          <w:szCs w:val="20"/>
        </w:rPr>
        <w:t>luego de haber sido impactado en varias oportunidades por un arma de fuego</w:t>
      </w:r>
      <w:r w:rsidR="00C87D9C" w:rsidRPr="00F37E3A">
        <w:rPr>
          <w:rStyle w:val="Refdenotaalpie"/>
          <w:rFonts w:ascii="Verdana" w:hAnsi="Verdana"/>
          <w:sz w:val="20"/>
          <w:szCs w:val="20"/>
        </w:rPr>
        <w:footnoteReference w:id="34"/>
      </w:r>
      <w:r w:rsidRPr="00F37E3A">
        <w:rPr>
          <w:rFonts w:ascii="Verdana" w:hAnsi="Verdana"/>
          <w:sz w:val="20"/>
          <w:szCs w:val="20"/>
        </w:rPr>
        <w:t xml:space="preserve">; </w:t>
      </w:r>
    </w:p>
    <w:p w14:paraId="17BC1191" w14:textId="77777777" w:rsidR="00F84081" w:rsidRDefault="00A14C81" w:rsidP="00F84081">
      <w:pPr>
        <w:pStyle w:val="Prrafodelista"/>
        <w:spacing w:before="120" w:after="120"/>
        <w:ind w:left="0" w:firstLine="708"/>
        <w:contextualSpacing w:val="0"/>
        <w:jc w:val="both"/>
        <w:rPr>
          <w:rFonts w:ascii="Verdana" w:hAnsi="Verdana"/>
          <w:sz w:val="20"/>
          <w:szCs w:val="20"/>
        </w:rPr>
      </w:pPr>
      <w:r w:rsidRPr="00F37E3A">
        <w:rPr>
          <w:rFonts w:ascii="Verdana" w:hAnsi="Verdana"/>
          <w:sz w:val="20"/>
          <w:szCs w:val="20"/>
        </w:rPr>
        <w:t>d) una de las víctimas</w:t>
      </w:r>
      <w:r w:rsidR="00C87D9C" w:rsidRPr="00F37E3A">
        <w:rPr>
          <w:rFonts w:ascii="Verdana" w:hAnsi="Verdana"/>
          <w:sz w:val="20"/>
          <w:szCs w:val="20"/>
        </w:rPr>
        <w:t>, Robert</w:t>
      </w:r>
      <w:r w:rsidRPr="00F37E3A">
        <w:rPr>
          <w:rFonts w:ascii="Verdana" w:hAnsi="Verdana"/>
          <w:sz w:val="20"/>
          <w:szCs w:val="20"/>
        </w:rPr>
        <w:t xml:space="preserve"> </w:t>
      </w:r>
      <w:r w:rsidR="00C87D9C" w:rsidRPr="00F37E3A">
        <w:rPr>
          <w:rFonts w:ascii="Verdana" w:hAnsi="Verdana"/>
          <w:sz w:val="20"/>
          <w:szCs w:val="20"/>
        </w:rPr>
        <w:t xml:space="preserve">Díaz Loreto, </w:t>
      </w:r>
      <w:r w:rsidRPr="00F37E3A">
        <w:rPr>
          <w:rFonts w:ascii="Verdana" w:hAnsi="Verdana"/>
          <w:sz w:val="20"/>
          <w:szCs w:val="20"/>
        </w:rPr>
        <w:t>fue montada en un vehículo de la policía presentando heridas</w:t>
      </w:r>
      <w:r w:rsidR="00C87D9C" w:rsidRPr="00F37E3A">
        <w:rPr>
          <w:rStyle w:val="Refdenotaalpie"/>
          <w:rFonts w:ascii="Verdana" w:hAnsi="Verdana"/>
          <w:sz w:val="20"/>
          <w:szCs w:val="20"/>
        </w:rPr>
        <w:footnoteReference w:id="35"/>
      </w:r>
      <w:r w:rsidRPr="00F37E3A">
        <w:rPr>
          <w:rFonts w:ascii="Verdana" w:hAnsi="Verdana"/>
          <w:sz w:val="20"/>
          <w:szCs w:val="20"/>
        </w:rPr>
        <w:t xml:space="preserve">; </w:t>
      </w:r>
    </w:p>
    <w:p w14:paraId="24FAACFD" w14:textId="77777777" w:rsidR="00F84081" w:rsidRDefault="00A14C81" w:rsidP="00F84081">
      <w:pPr>
        <w:pStyle w:val="Prrafodelista"/>
        <w:spacing w:before="120" w:after="120"/>
        <w:ind w:left="0" w:firstLine="708"/>
        <w:contextualSpacing w:val="0"/>
        <w:jc w:val="both"/>
        <w:rPr>
          <w:rFonts w:ascii="Verdana" w:hAnsi="Verdana"/>
          <w:sz w:val="20"/>
          <w:szCs w:val="20"/>
        </w:rPr>
      </w:pPr>
      <w:r w:rsidRPr="00F37E3A">
        <w:rPr>
          <w:rFonts w:ascii="Verdana" w:hAnsi="Verdana"/>
          <w:sz w:val="20"/>
          <w:szCs w:val="20"/>
        </w:rPr>
        <w:lastRenderedPageBreak/>
        <w:t>e) puede haber ocurrido una alteraci</w:t>
      </w:r>
      <w:r w:rsidR="00A4474B">
        <w:rPr>
          <w:rFonts w:ascii="Verdana" w:hAnsi="Verdana"/>
          <w:sz w:val="20"/>
          <w:szCs w:val="20"/>
        </w:rPr>
        <w:t>ón de la escena de los hechos, —</w:t>
      </w:r>
      <w:r w:rsidRPr="00F37E3A">
        <w:rPr>
          <w:rFonts w:ascii="Verdana" w:hAnsi="Verdana"/>
          <w:sz w:val="20"/>
          <w:szCs w:val="20"/>
        </w:rPr>
        <w:t>se trasladó a la víctima hacia un lugar diferente de donde ocurrieron los hechos, se encontraron armas y casquillos</w:t>
      </w:r>
      <w:r w:rsidR="00C87D9C" w:rsidRPr="00F37E3A">
        <w:rPr>
          <w:rStyle w:val="Refdenotaalpie"/>
          <w:rFonts w:ascii="Verdana" w:hAnsi="Verdana"/>
          <w:sz w:val="20"/>
          <w:szCs w:val="20"/>
        </w:rPr>
        <w:footnoteReference w:id="36"/>
      </w:r>
      <w:r w:rsidR="00A4474B">
        <w:rPr>
          <w:rFonts w:ascii="Verdana" w:hAnsi="Verdana"/>
          <w:sz w:val="20"/>
          <w:szCs w:val="20"/>
        </w:rPr>
        <w:t>—</w:t>
      </w:r>
      <w:r w:rsidRPr="00F37E3A">
        <w:rPr>
          <w:rFonts w:ascii="Verdana" w:hAnsi="Verdana"/>
          <w:sz w:val="20"/>
          <w:szCs w:val="20"/>
        </w:rPr>
        <w:t xml:space="preserve">; </w:t>
      </w:r>
    </w:p>
    <w:p w14:paraId="3FCB1A10" w14:textId="77777777" w:rsidR="00F84081" w:rsidRDefault="00A14C81" w:rsidP="00F84081">
      <w:pPr>
        <w:pStyle w:val="Prrafodelista"/>
        <w:spacing w:before="120" w:after="120"/>
        <w:ind w:left="0" w:firstLine="708"/>
        <w:contextualSpacing w:val="0"/>
        <w:jc w:val="both"/>
        <w:rPr>
          <w:rFonts w:ascii="Verdana" w:hAnsi="Verdana"/>
          <w:sz w:val="20"/>
          <w:szCs w:val="20"/>
        </w:rPr>
      </w:pPr>
      <w:r w:rsidRPr="00F37E3A">
        <w:rPr>
          <w:rFonts w:ascii="Verdana" w:hAnsi="Verdana"/>
          <w:sz w:val="20"/>
          <w:szCs w:val="20"/>
        </w:rPr>
        <w:t>f) las víctimas presentaron numerosos impactos de bala</w:t>
      </w:r>
      <w:r w:rsidR="00C87D9C" w:rsidRPr="00F37E3A">
        <w:rPr>
          <w:rStyle w:val="Refdenotaalpie"/>
          <w:rFonts w:ascii="Verdana" w:hAnsi="Verdana"/>
          <w:sz w:val="20"/>
          <w:szCs w:val="20"/>
        </w:rPr>
        <w:footnoteReference w:id="37"/>
      </w:r>
      <w:r w:rsidRPr="00F37E3A">
        <w:rPr>
          <w:rFonts w:ascii="Verdana" w:hAnsi="Verdana"/>
          <w:sz w:val="20"/>
          <w:szCs w:val="20"/>
        </w:rPr>
        <w:t xml:space="preserve"> </w:t>
      </w:r>
      <w:r w:rsidR="00844A79">
        <w:rPr>
          <w:rFonts w:ascii="Verdana" w:hAnsi="Verdana"/>
          <w:sz w:val="20"/>
          <w:szCs w:val="20"/>
        </w:rPr>
        <w:t>y</w:t>
      </w:r>
      <w:r w:rsidRPr="00F37E3A">
        <w:rPr>
          <w:rFonts w:ascii="Verdana" w:hAnsi="Verdana"/>
          <w:sz w:val="20"/>
          <w:szCs w:val="20"/>
        </w:rPr>
        <w:t xml:space="preserve"> hay signos de que se pudieron producir hechos de tortura contra uno de ellos</w:t>
      </w:r>
      <w:r w:rsidR="00C87D9C" w:rsidRPr="00F37E3A">
        <w:rPr>
          <w:rFonts w:ascii="Verdana" w:hAnsi="Verdana"/>
          <w:sz w:val="20"/>
          <w:szCs w:val="20"/>
        </w:rPr>
        <w:t xml:space="preserve"> (el caso de Robert Díaz Loreto)</w:t>
      </w:r>
      <w:r w:rsidRPr="00F37E3A">
        <w:rPr>
          <w:rFonts w:ascii="Verdana" w:hAnsi="Verdana"/>
          <w:sz w:val="20"/>
          <w:szCs w:val="20"/>
        </w:rPr>
        <w:t xml:space="preserve">, y </w:t>
      </w:r>
    </w:p>
    <w:p w14:paraId="6DB39B78" w14:textId="77777777" w:rsidR="002C2865" w:rsidRDefault="00A14C81" w:rsidP="00F84081">
      <w:pPr>
        <w:pStyle w:val="Prrafodelista"/>
        <w:spacing w:before="120" w:after="120"/>
        <w:ind w:left="0" w:firstLine="708"/>
        <w:contextualSpacing w:val="0"/>
        <w:jc w:val="both"/>
        <w:rPr>
          <w:rFonts w:ascii="Verdana" w:hAnsi="Verdana"/>
          <w:sz w:val="20"/>
          <w:szCs w:val="20"/>
        </w:rPr>
      </w:pPr>
      <w:r w:rsidRPr="00F37E3A">
        <w:rPr>
          <w:rFonts w:ascii="Verdana" w:hAnsi="Verdana"/>
          <w:sz w:val="20"/>
          <w:szCs w:val="20"/>
        </w:rPr>
        <w:t>g) los familiares fueron amenazados y hostigados por efectivos policiales luego de denunciar los hechos</w:t>
      </w:r>
      <w:r w:rsidRPr="00F37E3A">
        <w:rPr>
          <w:rStyle w:val="Refdenotaalpie"/>
          <w:rFonts w:ascii="Verdana" w:hAnsi="Verdana"/>
          <w:sz w:val="20"/>
          <w:szCs w:val="20"/>
        </w:rPr>
        <w:footnoteReference w:id="38"/>
      </w:r>
      <w:r w:rsidRPr="00F37E3A">
        <w:rPr>
          <w:rFonts w:ascii="Verdana" w:hAnsi="Verdana"/>
          <w:sz w:val="20"/>
          <w:szCs w:val="20"/>
        </w:rPr>
        <w:t>.</w:t>
      </w:r>
      <w:r w:rsidR="00A4474B">
        <w:rPr>
          <w:rFonts w:ascii="Verdana" w:hAnsi="Verdana"/>
          <w:sz w:val="20"/>
          <w:szCs w:val="20"/>
        </w:rPr>
        <w:t xml:space="preserve"> </w:t>
      </w:r>
    </w:p>
    <w:p w14:paraId="1E604B9F" w14:textId="77777777" w:rsidR="00A14C81" w:rsidRPr="002C2865" w:rsidRDefault="00E15B8D" w:rsidP="00785E3B">
      <w:pPr>
        <w:pStyle w:val="Prrafodelista"/>
        <w:spacing w:before="120" w:after="120"/>
        <w:ind w:left="0"/>
        <w:contextualSpacing w:val="0"/>
        <w:jc w:val="both"/>
        <w:rPr>
          <w:rFonts w:ascii="Verdana" w:hAnsi="Verdana"/>
          <w:sz w:val="20"/>
          <w:szCs w:val="20"/>
        </w:rPr>
      </w:pPr>
      <w:r>
        <w:rPr>
          <w:rFonts w:ascii="Verdana" w:hAnsi="Verdana"/>
          <w:sz w:val="20"/>
          <w:szCs w:val="20"/>
        </w:rPr>
        <w:t>28</w:t>
      </w:r>
      <w:r w:rsidR="00785E3B">
        <w:rPr>
          <w:rFonts w:ascii="Verdana" w:hAnsi="Verdana"/>
          <w:sz w:val="20"/>
          <w:szCs w:val="20"/>
        </w:rPr>
        <w:t xml:space="preserve">. </w:t>
      </w:r>
      <w:r w:rsidR="00785E3B">
        <w:rPr>
          <w:rFonts w:ascii="Verdana" w:hAnsi="Verdana"/>
          <w:sz w:val="20"/>
          <w:szCs w:val="20"/>
        </w:rPr>
        <w:tab/>
      </w:r>
      <w:r w:rsidR="00A4474B">
        <w:rPr>
          <w:rFonts w:ascii="Verdana" w:hAnsi="Verdana"/>
          <w:sz w:val="20"/>
          <w:szCs w:val="20"/>
        </w:rPr>
        <w:t xml:space="preserve">Todos estos hechos del caso coinciden esencialmente con el patrón sistemático </w:t>
      </w:r>
      <w:r w:rsidR="002014AE">
        <w:rPr>
          <w:rFonts w:ascii="Verdana" w:hAnsi="Verdana"/>
          <w:sz w:val="20"/>
          <w:szCs w:val="20"/>
        </w:rPr>
        <w:t xml:space="preserve">y “el contexto” </w:t>
      </w:r>
      <w:r w:rsidR="00A4474B">
        <w:rPr>
          <w:rFonts w:ascii="Verdana" w:hAnsi="Verdana"/>
          <w:sz w:val="20"/>
          <w:szCs w:val="20"/>
        </w:rPr>
        <w:t>de las ejecuciones extrajudiciales</w:t>
      </w:r>
      <w:r w:rsidR="002C2865">
        <w:rPr>
          <w:rFonts w:ascii="Verdana" w:hAnsi="Verdana"/>
          <w:sz w:val="20"/>
          <w:szCs w:val="20"/>
        </w:rPr>
        <w:t xml:space="preserve"> en Venezuela en el momento en que ocurrieron los hechos de las muertes de las ví</w:t>
      </w:r>
      <w:r w:rsidR="003532E3">
        <w:rPr>
          <w:rFonts w:ascii="Verdana" w:hAnsi="Verdana"/>
          <w:sz w:val="20"/>
          <w:szCs w:val="20"/>
        </w:rPr>
        <w:t>c</w:t>
      </w:r>
      <w:r w:rsidR="002C2865">
        <w:rPr>
          <w:rFonts w:ascii="Verdana" w:hAnsi="Verdana"/>
          <w:sz w:val="20"/>
          <w:szCs w:val="20"/>
        </w:rPr>
        <w:t>timas. R</w:t>
      </w:r>
      <w:r w:rsidR="00C87D9C" w:rsidRPr="002C2865">
        <w:rPr>
          <w:rFonts w:ascii="Verdana" w:hAnsi="Verdana"/>
          <w:sz w:val="20"/>
          <w:szCs w:val="20"/>
        </w:rPr>
        <w:t xml:space="preserve">esulta importante destacar sobre este punto, </w:t>
      </w:r>
      <w:r w:rsidR="00645EA0" w:rsidRPr="002C2865">
        <w:rPr>
          <w:rFonts w:ascii="Verdana" w:hAnsi="Verdana"/>
          <w:sz w:val="20"/>
          <w:szCs w:val="20"/>
        </w:rPr>
        <w:t>como lo hace la Sentencia</w:t>
      </w:r>
      <w:r w:rsidR="00C87D9C" w:rsidRPr="002C2865">
        <w:rPr>
          <w:rFonts w:ascii="Verdana" w:hAnsi="Verdana"/>
          <w:sz w:val="20"/>
          <w:szCs w:val="20"/>
        </w:rPr>
        <w:t>,</w:t>
      </w:r>
      <w:r w:rsidR="00645EA0" w:rsidRPr="002C2865">
        <w:rPr>
          <w:rFonts w:ascii="Verdana" w:hAnsi="Verdana"/>
          <w:sz w:val="20"/>
          <w:szCs w:val="20"/>
        </w:rPr>
        <w:t xml:space="preserve"> que </w:t>
      </w:r>
      <w:r w:rsidR="005F21A2" w:rsidRPr="002C2865">
        <w:rPr>
          <w:rFonts w:ascii="Verdana" w:hAnsi="Verdana"/>
          <w:sz w:val="20"/>
          <w:szCs w:val="20"/>
        </w:rPr>
        <w:t>“tampoco es necesario que exista una correspondencia absoluta entre los distintos elementos de esos contextos y los hechos del caso para que los mismos puedan ser tomados en cuenta al momento de efectuar un análisis de un caso concreto. Se deberá valorar en el caso a caso en qué medida esos patrones o contextos pueden ser utilizados como indicios, presunciones o pruebas circunstanciales en conjunto con el resto del acervo probatorio”</w:t>
      </w:r>
      <w:r w:rsidR="005F21A2" w:rsidRPr="00F37E3A">
        <w:rPr>
          <w:rStyle w:val="Refdenotaalpie"/>
          <w:rFonts w:ascii="Verdana" w:hAnsi="Verdana"/>
          <w:sz w:val="20"/>
          <w:szCs w:val="20"/>
        </w:rPr>
        <w:footnoteReference w:id="39"/>
      </w:r>
      <w:r w:rsidR="005F21A2" w:rsidRPr="002C2865">
        <w:rPr>
          <w:rFonts w:ascii="Verdana" w:hAnsi="Verdana"/>
          <w:sz w:val="20"/>
          <w:szCs w:val="20"/>
        </w:rPr>
        <w:t xml:space="preserve">.  </w:t>
      </w:r>
    </w:p>
    <w:p w14:paraId="6F41E482" w14:textId="77777777" w:rsidR="00FC2C84" w:rsidRPr="00F37E3A" w:rsidRDefault="00E15B8D" w:rsidP="00785E3B">
      <w:pPr>
        <w:pStyle w:val="Prrafodelista"/>
        <w:spacing w:before="120" w:after="120"/>
        <w:ind w:left="0"/>
        <w:contextualSpacing w:val="0"/>
        <w:jc w:val="both"/>
        <w:rPr>
          <w:rFonts w:ascii="Verdana" w:hAnsi="Verdana"/>
          <w:sz w:val="20"/>
          <w:szCs w:val="20"/>
        </w:rPr>
      </w:pPr>
      <w:r>
        <w:rPr>
          <w:rFonts w:ascii="Verdana" w:hAnsi="Verdana"/>
          <w:sz w:val="20"/>
          <w:szCs w:val="20"/>
        </w:rPr>
        <w:t>29</w:t>
      </w:r>
      <w:r w:rsidR="00785E3B">
        <w:rPr>
          <w:rFonts w:ascii="Verdana" w:hAnsi="Verdana"/>
          <w:sz w:val="20"/>
          <w:szCs w:val="20"/>
        </w:rPr>
        <w:t xml:space="preserve">. </w:t>
      </w:r>
      <w:r w:rsidR="00785E3B">
        <w:rPr>
          <w:rFonts w:ascii="Verdana" w:hAnsi="Verdana"/>
          <w:sz w:val="20"/>
          <w:szCs w:val="20"/>
        </w:rPr>
        <w:tab/>
      </w:r>
      <w:r w:rsidR="00C87D9C" w:rsidRPr="00F37E3A">
        <w:rPr>
          <w:rFonts w:ascii="Verdana" w:hAnsi="Verdana"/>
          <w:sz w:val="20"/>
          <w:szCs w:val="20"/>
        </w:rPr>
        <w:t xml:space="preserve">Esa coincidencia entre los hechos del caso y el contexto </w:t>
      </w:r>
      <w:r w:rsidR="00985603">
        <w:rPr>
          <w:rFonts w:ascii="Verdana" w:hAnsi="Verdana"/>
          <w:sz w:val="20"/>
          <w:szCs w:val="20"/>
        </w:rPr>
        <w:t xml:space="preserve">de ejecuciones extrajudiciales en Venezuela, </w:t>
      </w:r>
      <w:r w:rsidR="00C87D9C" w:rsidRPr="00F37E3A">
        <w:rPr>
          <w:rFonts w:ascii="Verdana" w:hAnsi="Verdana"/>
          <w:sz w:val="20"/>
          <w:szCs w:val="20"/>
        </w:rPr>
        <w:t xml:space="preserve">fue reconocido por la propia testigo </w:t>
      </w:r>
      <w:r w:rsidR="00C87D9C" w:rsidRPr="00F37E3A">
        <w:rPr>
          <w:rFonts w:ascii="Verdana" w:eastAsia="Verdana" w:hAnsi="Verdana" w:cs="Verdana"/>
          <w:sz w:val="20"/>
          <w:szCs w:val="20"/>
          <w:lang w:val="es-ES"/>
        </w:rPr>
        <w:t>que fuera ofrecida por el Estado para declarar en audiencia</w:t>
      </w:r>
      <w:r w:rsidR="00985603">
        <w:rPr>
          <w:rFonts w:ascii="Verdana" w:eastAsia="Verdana" w:hAnsi="Verdana" w:cs="Verdana"/>
          <w:sz w:val="20"/>
          <w:szCs w:val="20"/>
          <w:lang w:val="es-ES"/>
        </w:rPr>
        <w:t>,</w:t>
      </w:r>
      <w:r w:rsidR="00C87D9C" w:rsidRPr="00F37E3A">
        <w:rPr>
          <w:rFonts w:ascii="Verdana" w:eastAsia="Verdana" w:hAnsi="Verdana" w:cs="Verdana"/>
          <w:sz w:val="20"/>
          <w:szCs w:val="20"/>
          <w:lang w:val="es-ES"/>
        </w:rPr>
        <w:t xml:space="preserve"> quien reconoció que este caso era uno de aquellos que se podría ubicar dentro de la problemática general de abusos de la autoridad policial y ejecuciones extrajudiciales</w:t>
      </w:r>
      <w:r w:rsidR="00C87D9C" w:rsidRPr="00F37E3A">
        <w:rPr>
          <w:rStyle w:val="Refdenotaalpie"/>
          <w:rFonts w:ascii="Verdana" w:eastAsia="Verdana" w:hAnsi="Verdana"/>
          <w:sz w:val="20"/>
          <w:szCs w:val="20"/>
          <w:lang w:val="es-ES"/>
        </w:rPr>
        <w:footnoteReference w:id="40"/>
      </w:r>
      <w:r w:rsidR="00C87D9C" w:rsidRPr="00F37E3A">
        <w:rPr>
          <w:rFonts w:ascii="Verdana" w:eastAsia="Verdana" w:hAnsi="Verdana" w:cs="Verdana"/>
          <w:sz w:val="20"/>
          <w:szCs w:val="20"/>
          <w:lang w:val="es-ES"/>
        </w:rPr>
        <w:t>.</w:t>
      </w:r>
    </w:p>
    <w:p w14:paraId="4DE82F95" w14:textId="77777777" w:rsidR="00630CF0" w:rsidRPr="00630CF0" w:rsidRDefault="003E415D" w:rsidP="00785E3B">
      <w:pPr>
        <w:pStyle w:val="Prrafodelista"/>
        <w:spacing w:before="120" w:after="120"/>
        <w:ind w:left="0"/>
        <w:contextualSpacing w:val="0"/>
        <w:jc w:val="both"/>
        <w:rPr>
          <w:rFonts w:ascii="Verdana" w:hAnsi="Verdana"/>
          <w:sz w:val="20"/>
          <w:szCs w:val="20"/>
        </w:rPr>
      </w:pPr>
      <w:r>
        <w:rPr>
          <w:rFonts w:ascii="Verdana" w:hAnsi="Verdana" w:cs="Verdana"/>
          <w:bCs/>
          <w:sz w:val="20"/>
          <w:szCs w:val="20"/>
        </w:rPr>
        <w:t>30</w:t>
      </w:r>
      <w:r w:rsidR="00785E3B">
        <w:rPr>
          <w:rFonts w:ascii="Verdana" w:hAnsi="Verdana" w:cs="Verdana"/>
          <w:bCs/>
          <w:sz w:val="20"/>
          <w:szCs w:val="20"/>
        </w:rPr>
        <w:t xml:space="preserve">. </w:t>
      </w:r>
      <w:r w:rsidR="00785E3B">
        <w:rPr>
          <w:rFonts w:ascii="Verdana" w:hAnsi="Verdana" w:cs="Verdana"/>
          <w:bCs/>
          <w:sz w:val="20"/>
          <w:szCs w:val="20"/>
        </w:rPr>
        <w:tab/>
      </w:r>
      <w:r w:rsidR="005C48A3" w:rsidRPr="00F37E3A">
        <w:rPr>
          <w:rFonts w:ascii="Verdana" w:hAnsi="Verdana" w:cs="Verdana"/>
          <w:bCs/>
          <w:sz w:val="20"/>
          <w:szCs w:val="20"/>
        </w:rPr>
        <w:t xml:space="preserve">Por otra parte, la Corte </w:t>
      </w:r>
      <w:r w:rsidR="00563ECD">
        <w:rPr>
          <w:rFonts w:ascii="Verdana" w:hAnsi="Verdana" w:cs="Verdana"/>
          <w:bCs/>
          <w:sz w:val="20"/>
          <w:szCs w:val="20"/>
        </w:rPr>
        <w:t xml:space="preserve">IDH </w:t>
      </w:r>
      <w:r w:rsidR="005C48A3" w:rsidRPr="00F37E3A">
        <w:rPr>
          <w:rFonts w:ascii="Verdana" w:hAnsi="Verdana" w:cs="Verdana"/>
          <w:bCs/>
          <w:sz w:val="20"/>
          <w:szCs w:val="20"/>
        </w:rPr>
        <w:t>se refirió</w:t>
      </w:r>
      <w:r w:rsidR="00844A79">
        <w:rPr>
          <w:rFonts w:ascii="Verdana" w:hAnsi="Verdana" w:cs="Verdana"/>
          <w:bCs/>
          <w:sz w:val="20"/>
          <w:szCs w:val="20"/>
        </w:rPr>
        <w:t>,</w:t>
      </w:r>
      <w:r w:rsidR="005C48A3" w:rsidRPr="00F37E3A">
        <w:rPr>
          <w:rFonts w:ascii="Verdana" w:hAnsi="Verdana" w:cs="Verdana"/>
          <w:bCs/>
          <w:sz w:val="20"/>
          <w:szCs w:val="20"/>
        </w:rPr>
        <w:t xml:space="preserve"> </w:t>
      </w:r>
      <w:r w:rsidR="007A346B">
        <w:rPr>
          <w:rFonts w:ascii="Verdana" w:hAnsi="Verdana" w:cs="Verdana"/>
          <w:bCs/>
          <w:sz w:val="20"/>
          <w:szCs w:val="20"/>
        </w:rPr>
        <w:t>explícitamente</w:t>
      </w:r>
      <w:r w:rsidR="00844A79">
        <w:rPr>
          <w:rFonts w:ascii="Verdana" w:hAnsi="Verdana" w:cs="Verdana"/>
          <w:bCs/>
          <w:sz w:val="20"/>
          <w:szCs w:val="20"/>
        </w:rPr>
        <w:t>,</w:t>
      </w:r>
      <w:r w:rsidR="007A346B">
        <w:rPr>
          <w:rFonts w:ascii="Verdana" w:hAnsi="Verdana" w:cs="Verdana"/>
          <w:bCs/>
          <w:sz w:val="20"/>
          <w:szCs w:val="20"/>
        </w:rPr>
        <w:t xml:space="preserve"> </w:t>
      </w:r>
      <w:r w:rsidR="005C48A3" w:rsidRPr="00F37E3A">
        <w:rPr>
          <w:rFonts w:ascii="Verdana" w:hAnsi="Verdana" w:cs="Verdana"/>
          <w:bCs/>
          <w:sz w:val="20"/>
          <w:szCs w:val="20"/>
        </w:rPr>
        <w:t>a otros indicios y presunciones</w:t>
      </w:r>
      <w:r w:rsidR="007A346B">
        <w:rPr>
          <w:rFonts w:ascii="Verdana" w:hAnsi="Verdana" w:cs="Verdana"/>
          <w:bCs/>
          <w:sz w:val="20"/>
          <w:szCs w:val="20"/>
        </w:rPr>
        <w:t>,</w:t>
      </w:r>
      <w:r w:rsidR="005C48A3" w:rsidRPr="00F37E3A">
        <w:rPr>
          <w:rFonts w:ascii="Verdana" w:hAnsi="Verdana" w:cs="Verdana"/>
          <w:bCs/>
          <w:sz w:val="20"/>
          <w:szCs w:val="20"/>
        </w:rPr>
        <w:t xml:space="preserve"> que </w:t>
      </w:r>
      <w:r w:rsidR="007A346B">
        <w:rPr>
          <w:rFonts w:ascii="Verdana" w:hAnsi="Verdana" w:cs="Verdana"/>
          <w:bCs/>
          <w:sz w:val="20"/>
          <w:szCs w:val="20"/>
        </w:rPr>
        <w:t>a nuestro modo de ver</w:t>
      </w:r>
      <w:r w:rsidR="00850CF7">
        <w:rPr>
          <w:rFonts w:ascii="Verdana" w:hAnsi="Verdana" w:cs="Verdana"/>
          <w:bCs/>
          <w:sz w:val="20"/>
          <w:szCs w:val="20"/>
        </w:rPr>
        <w:t>, analizados conjuntamente con el contexto del caso,</w:t>
      </w:r>
      <w:r w:rsidR="007A346B">
        <w:rPr>
          <w:rFonts w:ascii="Verdana" w:hAnsi="Verdana" w:cs="Verdana"/>
          <w:bCs/>
          <w:sz w:val="20"/>
          <w:szCs w:val="20"/>
        </w:rPr>
        <w:t xml:space="preserve"> claramente se puede inferir que se produjo </w:t>
      </w:r>
      <w:r w:rsidR="005C48A3" w:rsidRPr="00F37E3A">
        <w:rPr>
          <w:rFonts w:ascii="Verdana" w:hAnsi="Verdana" w:cs="Verdana"/>
          <w:bCs/>
          <w:sz w:val="20"/>
          <w:szCs w:val="20"/>
        </w:rPr>
        <w:t>una ejecución extrajudicial</w:t>
      </w:r>
      <w:r w:rsidR="000B5BB5">
        <w:rPr>
          <w:rFonts w:ascii="Verdana" w:hAnsi="Verdana" w:cs="Verdana"/>
          <w:bCs/>
          <w:sz w:val="20"/>
          <w:szCs w:val="20"/>
        </w:rPr>
        <w:t>,</w:t>
      </w:r>
      <w:r w:rsidR="005C48A3" w:rsidRPr="00F37E3A">
        <w:rPr>
          <w:rFonts w:ascii="Verdana" w:hAnsi="Verdana" w:cs="Verdana"/>
          <w:bCs/>
          <w:sz w:val="20"/>
          <w:szCs w:val="20"/>
        </w:rPr>
        <w:t xml:space="preserve"> tales como que</w:t>
      </w:r>
      <w:r w:rsidR="00630CF0">
        <w:rPr>
          <w:rFonts w:ascii="Verdana" w:hAnsi="Verdana" w:cs="Verdana"/>
          <w:bCs/>
          <w:sz w:val="20"/>
          <w:szCs w:val="20"/>
        </w:rPr>
        <w:t>:</w:t>
      </w:r>
    </w:p>
    <w:p w14:paraId="5F7657BF" w14:textId="77777777" w:rsidR="000B5BB5" w:rsidRDefault="005C48A3" w:rsidP="00630CF0">
      <w:pPr>
        <w:pStyle w:val="Prrafodelista"/>
        <w:spacing w:before="120" w:after="120"/>
        <w:ind w:left="0" w:firstLine="708"/>
        <w:contextualSpacing w:val="0"/>
        <w:jc w:val="both"/>
        <w:rPr>
          <w:rFonts w:ascii="Verdana" w:hAnsi="Verdana" w:cs="Verdana"/>
          <w:bCs/>
          <w:sz w:val="20"/>
          <w:szCs w:val="20"/>
        </w:rPr>
      </w:pPr>
      <w:r w:rsidRPr="00F37E3A">
        <w:rPr>
          <w:rFonts w:ascii="Verdana" w:hAnsi="Verdana" w:cs="Verdana"/>
          <w:bCs/>
          <w:sz w:val="20"/>
          <w:szCs w:val="20"/>
        </w:rPr>
        <w:t xml:space="preserve"> a) </w:t>
      </w:r>
      <w:r w:rsidR="000B5BB5">
        <w:rPr>
          <w:rFonts w:ascii="Verdana" w:hAnsi="Verdana" w:cs="Verdana"/>
          <w:bCs/>
          <w:sz w:val="20"/>
          <w:szCs w:val="20"/>
        </w:rPr>
        <w:t>varios testimonios de familiares y vecinos controvirtieron la versión estatal del supuesto “enfrentamiento”</w:t>
      </w:r>
      <w:r w:rsidR="000B5BB5" w:rsidRPr="000B5BB5">
        <w:rPr>
          <w:rStyle w:val="Refdenotaalpie"/>
          <w:rFonts w:ascii="Verdana" w:hAnsi="Verdana" w:cs="Verdana"/>
          <w:bCs/>
          <w:sz w:val="20"/>
          <w:szCs w:val="20"/>
        </w:rPr>
        <w:t xml:space="preserve"> </w:t>
      </w:r>
      <w:r w:rsidR="000B5BB5" w:rsidRPr="00F37E3A">
        <w:rPr>
          <w:rStyle w:val="Refdenotaalpie"/>
          <w:rFonts w:ascii="Verdana" w:hAnsi="Verdana" w:cs="Verdana"/>
          <w:bCs/>
          <w:sz w:val="20"/>
          <w:szCs w:val="20"/>
        </w:rPr>
        <w:footnoteReference w:id="41"/>
      </w:r>
      <w:r w:rsidR="000B5BB5">
        <w:rPr>
          <w:rFonts w:ascii="Verdana" w:hAnsi="Verdana" w:cs="Verdana"/>
          <w:bCs/>
          <w:sz w:val="20"/>
          <w:szCs w:val="20"/>
        </w:rPr>
        <w:t xml:space="preserve">; </w:t>
      </w:r>
    </w:p>
    <w:p w14:paraId="5A111473" w14:textId="77777777" w:rsidR="000B5BB5" w:rsidRDefault="000B5BB5" w:rsidP="00630CF0">
      <w:pPr>
        <w:pStyle w:val="Prrafodelista"/>
        <w:spacing w:before="120" w:after="120"/>
        <w:ind w:left="0" w:firstLine="708"/>
        <w:contextualSpacing w:val="0"/>
        <w:jc w:val="both"/>
        <w:rPr>
          <w:rFonts w:ascii="Verdana" w:hAnsi="Verdana" w:cs="Verdana"/>
          <w:bCs/>
          <w:sz w:val="20"/>
          <w:szCs w:val="20"/>
        </w:rPr>
      </w:pPr>
      <w:r>
        <w:rPr>
          <w:rFonts w:ascii="Verdana" w:hAnsi="Verdana" w:cs="Verdana"/>
          <w:bCs/>
          <w:sz w:val="20"/>
          <w:szCs w:val="20"/>
        </w:rPr>
        <w:t xml:space="preserve">b) </w:t>
      </w:r>
      <w:r w:rsidR="008A3B41">
        <w:rPr>
          <w:rFonts w:ascii="Verdana" w:hAnsi="Verdana" w:cs="Verdana"/>
          <w:bCs/>
          <w:sz w:val="20"/>
          <w:szCs w:val="20"/>
        </w:rPr>
        <w:t>la tardanza inexplicable de la patrulla de policía que trasladó a Robert Díaz Loreto herido, para ser atendido en el centro médico</w:t>
      </w:r>
      <w:r w:rsidR="008A3B41" w:rsidRPr="00F37E3A">
        <w:rPr>
          <w:rStyle w:val="Refdenotaalpie"/>
          <w:rFonts w:ascii="Verdana" w:hAnsi="Verdana" w:cs="Verdana"/>
          <w:bCs/>
          <w:sz w:val="20"/>
          <w:szCs w:val="20"/>
        </w:rPr>
        <w:footnoteReference w:id="42"/>
      </w:r>
      <w:r w:rsidR="008A3B41">
        <w:rPr>
          <w:rFonts w:ascii="Verdana" w:hAnsi="Verdana" w:cs="Verdana"/>
          <w:bCs/>
          <w:sz w:val="20"/>
          <w:szCs w:val="20"/>
        </w:rPr>
        <w:t>;</w:t>
      </w:r>
    </w:p>
    <w:p w14:paraId="5C4A665A" w14:textId="77777777" w:rsidR="007A346B" w:rsidRDefault="007A346B" w:rsidP="00630CF0">
      <w:pPr>
        <w:pStyle w:val="Prrafodelista"/>
        <w:spacing w:before="120" w:after="120"/>
        <w:ind w:left="0" w:firstLine="708"/>
        <w:contextualSpacing w:val="0"/>
        <w:jc w:val="both"/>
        <w:rPr>
          <w:rFonts w:ascii="Verdana" w:hAnsi="Verdana" w:cs="Verdana"/>
          <w:bCs/>
          <w:sz w:val="20"/>
          <w:szCs w:val="20"/>
        </w:rPr>
      </w:pPr>
      <w:r>
        <w:rPr>
          <w:rFonts w:ascii="Verdana" w:hAnsi="Verdana" w:cs="Verdana"/>
          <w:bCs/>
          <w:sz w:val="20"/>
          <w:szCs w:val="20"/>
        </w:rPr>
        <w:lastRenderedPageBreak/>
        <w:t xml:space="preserve">c) </w:t>
      </w:r>
      <w:r w:rsidR="00850CF7">
        <w:rPr>
          <w:rFonts w:ascii="Verdana" w:hAnsi="Verdana" w:cs="Verdana"/>
          <w:bCs/>
          <w:sz w:val="20"/>
          <w:szCs w:val="20"/>
        </w:rPr>
        <w:t>no se explica la presencia de “aguas negras” en el aparato digestivo y respiratorio de Robert Díaz Loreto</w:t>
      </w:r>
      <w:r w:rsidRPr="00F37E3A">
        <w:rPr>
          <w:rStyle w:val="Refdenotaalpie"/>
          <w:rFonts w:ascii="Verdana" w:hAnsi="Verdana" w:cs="Verdana"/>
          <w:bCs/>
          <w:sz w:val="20"/>
          <w:szCs w:val="20"/>
        </w:rPr>
        <w:footnoteReference w:id="43"/>
      </w:r>
      <w:r>
        <w:rPr>
          <w:rFonts w:ascii="Verdana" w:hAnsi="Verdana" w:cs="Verdana"/>
          <w:bCs/>
          <w:sz w:val="20"/>
          <w:szCs w:val="20"/>
        </w:rPr>
        <w:t>;</w:t>
      </w:r>
    </w:p>
    <w:p w14:paraId="2D457E16" w14:textId="77777777" w:rsidR="00630CF0" w:rsidRDefault="00850CF7" w:rsidP="00630CF0">
      <w:pPr>
        <w:pStyle w:val="Prrafodelista"/>
        <w:spacing w:before="120" w:after="120"/>
        <w:ind w:left="0" w:firstLine="708"/>
        <w:contextualSpacing w:val="0"/>
        <w:jc w:val="both"/>
        <w:rPr>
          <w:rFonts w:ascii="Verdana" w:hAnsi="Verdana" w:cs="Verdana"/>
          <w:bCs/>
          <w:sz w:val="20"/>
          <w:szCs w:val="20"/>
        </w:rPr>
      </w:pPr>
      <w:r>
        <w:rPr>
          <w:rFonts w:ascii="Verdana" w:hAnsi="Verdana" w:cs="Verdana"/>
          <w:bCs/>
          <w:sz w:val="20"/>
          <w:szCs w:val="20"/>
        </w:rPr>
        <w:t xml:space="preserve">d) </w:t>
      </w:r>
      <w:r w:rsidR="005C48A3" w:rsidRPr="00F37E3A">
        <w:rPr>
          <w:rFonts w:ascii="Verdana" w:hAnsi="Verdana" w:cs="Verdana"/>
          <w:bCs/>
          <w:sz w:val="20"/>
          <w:szCs w:val="20"/>
        </w:rPr>
        <w:t>no se encontraron casquillos de balas</w:t>
      </w:r>
      <w:r w:rsidR="005E460F">
        <w:rPr>
          <w:rFonts w:ascii="Verdana" w:hAnsi="Verdana" w:cs="Verdana"/>
          <w:bCs/>
          <w:sz w:val="20"/>
          <w:szCs w:val="20"/>
        </w:rPr>
        <w:t>,</w:t>
      </w:r>
      <w:r w:rsidR="005C48A3" w:rsidRPr="00F37E3A">
        <w:rPr>
          <w:rFonts w:ascii="Verdana" w:hAnsi="Verdana" w:cs="Verdana"/>
          <w:bCs/>
          <w:sz w:val="20"/>
          <w:szCs w:val="20"/>
        </w:rPr>
        <w:t xml:space="preserve"> lo cual podría haber permitido comprobar qu</w:t>
      </w:r>
      <w:r w:rsidR="005E460F">
        <w:rPr>
          <w:rFonts w:ascii="Verdana" w:hAnsi="Verdana" w:cs="Verdana"/>
          <w:bCs/>
          <w:sz w:val="20"/>
          <w:szCs w:val="20"/>
        </w:rPr>
        <w:t xml:space="preserve">e todas las víctimas dispararon, como sostiene el Estado, </w:t>
      </w:r>
      <w:r w:rsidR="005C48A3" w:rsidRPr="00F37E3A">
        <w:rPr>
          <w:rFonts w:ascii="Verdana" w:hAnsi="Verdana" w:cs="Verdana"/>
          <w:bCs/>
          <w:sz w:val="20"/>
          <w:szCs w:val="20"/>
        </w:rPr>
        <w:t>en un primer momento contra los efectivos policiales</w:t>
      </w:r>
      <w:r w:rsidR="005C48A3" w:rsidRPr="00F37E3A">
        <w:rPr>
          <w:rStyle w:val="Refdenotaalpie"/>
          <w:rFonts w:ascii="Verdana" w:hAnsi="Verdana" w:cs="Verdana"/>
          <w:bCs/>
          <w:sz w:val="20"/>
          <w:szCs w:val="20"/>
        </w:rPr>
        <w:footnoteReference w:id="44"/>
      </w:r>
      <w:r w:rsidR="00EF3D06" w:rsidRPr="00F37E3A">
        <w:rPr>
          <w:rFonts w:ascii="Verdana" w:hAnsi="Verdana" w:cs="Verdana"/>
          <w:bCs/>
          <w:sz w:val="20"/>
          <w:szCs w:val="20"/>
        </w:rPr>
        <w:t xml:space="preserve">; </w:t>
      </w:r>
    </w:p>
    <w:p w14:paraId="5E02E157" w14:textId="77777777" w:rsidR="00630CF0" w:rsidRDefault="00850CF7" w:rsidP="00630CF0">
      <w:pPr>
        <w:pStyle w:val="Prrafodelista"/>
        <w:spacing w:before="120" w:after="120"/>
        <w:ind w:left="0" w:firstLine="708"/>
        <w:contextualSpacing w:val="0"/>
        <w:jc w:val="both"/>
        <w:rPr>
          <w:rFonts w:ascii="Verdana" w:hAnsi="Verdana" w:cs="Verdana"/>
          <w:bCs/>
          <w:sz w:val="20"/>
          <w:szCs w:val="20"/>
        </w:rPr>
      </w:pPr>
      <w:r>
        <w:rPr>
          <w:rFonts w:ascii="Verdana" w:hAnsi="Verdana" w:cs="Verdana"/>
          <w:bCs/>
          <w:sz w:val="20"/>
          <w:szCs w:val="20"/>
        </w:rPr>
        <w:t>e</w:t>
      </w:r>
      <w:r w:rsidR="00EF3D06" w:rsidRPr="00F37E3A">
        <w:rPr>
          <w:rFonts w:ascii="Verdana" w:hAnsi="Verdana" w:cs="Verdana"/>
          <w:bCs/>
          <w:sz w:val="20"/>
          <w:szCs w:val="20"/>
        </w:rPr>
        <w:t xml:space="preserve">) en el transcurso de esos dos alegados </w:t>
      </w:r>
      <w:r w:rsidR="002C2865">
        <w:rPr>
          <w:rFonts w:ascii="Verdana" w:hAnsi="Verdana" w:cs="Verdana"/>
          <w:bCs/>
          <w:sz w:val="20"/>
          <w:szCs w:val="20"/>
        </w:rPr>
        <w:t>“</w:t>
      </w:r>
      <w:r w:rsidR="00EF3D06" w:rsidRPr="00F37E3A">
        <w:rPr>
          <w:rFonts w:ascii="Verdana" w:hAnsi="Verdana" w:cs="Verdana"/>
          <w:bCs/>
          <w:sz w:val="20"/>
          <w:szCs w:val="20"/>
        </w:rPr>
        <w:t>enfrentamientos</w:t>
      </w:r>
      <w:r w:rsidR="002C2865">
        <w:rPr>
          <w:rFonts w:ascii="Verdana" w:hAnsi="Verdana" w:cs="Verdana"/>
          <w:bCs/>
          <w:sz w:val="20"/>
          <w:szCs w:val="20"/>
        </w:rPr>
        <w:t>”</w:t>
      </w:r>
      <w:r w:rsidR="00EF3D06" w:rsidRPr="00F37E3A">
        <w:rPr>
          <w:rFonts w:ascii="Verdana" w:hAnsi="Verdana" w:cs="Verdana"/>
          <w:bCs/>
          <w:sz w:val="20"/>
          <w:szCs w:val="20"/>
        </w:rPr>
        <w:t>, ningún integrante de las fuerz</w:t>
      </w:r>
      <w:r w:rsidR="00844A79">
        <w:rPr>
          <w:rFonts w:ascii="Verdana" w:hAnsi="Verdana" w:cs="Verdana"/>
          <w:bCs/>
          <w:sz w:val="20"/>
          <w:szCs w:val="20"/>
        </w:rPr>
        <w:t>as policiales resultó lesionado;</w:t>
      </w:r>
      <w:r w:rsidR="00EF3D06" w:rsidRPr="00F37E3A">
        <w:rPr>
          <w:rFonts w:ascii="Verdana" w:hAnsi="Verdana" w:cs="Verdana"/>
          <w:bCs/>
          <w:sz w:val="20"/>
          <w:szCs w:val="20"/>
        </w:rPr>
        <w:t xml:space="preserve"> siendo que, según indica el Estado, </w:t>
      </w:r>
      <w:r w:rsidR="00844A79">
        <w:rPr>
          <w:rFonts w:ascii="Verdana" w:hAnsi="Verdana" w:cs="Verdana"/>
          <w:bCs/>
          <w:sz w:val="20"/>
          <w:szCs w:val="20"/>
        </w:rPr>
        <w:t xml:space="preserve">las tres víctimas fueron los </w:t>
      </w:r>
      <w:r w:rsidR="00EF3D06" w:rsidRPr="00F37E3A">
        <w:rPr>
          <w:rFonts w:ascii="Verdana" w:hAnsi="Verdana" w:cs="Verdana"/>
          <w:bCs/>
          <w:sz w:val="20"/>
          <w:szCs w:val="20"/>
        </w:rPr>
        <w:t xml:space="preserve">que contaron con la ventaja o el elemento sorpresa, </w:t>
      </w:r>
      <w:r w:rsidR="00844A79">
        <w:rPr>
          <w:rFonts w:ascii="Verdana" w:hAnsi="Verdana" w:cs="Verdana"/>
          <w:bCs/>
          <w:sz w:val="20"/>
          <w:szCs w:val="20"/>
        </w:rPr>
        <w:t>al haber</w:t>
      </w:r>
      <w:r w:rsidR="00EF3D06" w:rsidRPr="00F37E3A">
        <w:rPr>
          <w:rFonts w:ascii="Verdana" w:hAnsi="Verdana" w:cs="Verdana"/>
          <w:bCs/>
          <w:sz w:val="20"/>
          <w:szCs w:val="20"/>
        </w:rPr>
        <w:t xml:space="preserve"> primero</w:t>
      </w:r>
      <w:r w:rsidR="00844A79">
        <w:rPr>
          <w:rFonts w:ascii="Verdana" w:hAnsi="Verdana" w:cs="Verdana"/>
          <w:bCs/>
          <w:sz w:val="20"/>
          <w:szCs w:val="20"/>
        </w:rPr>
        <w:t xml:space="preserve"> disparado</w:t>
      </w:r>
      <w:r w:rsidR="00EF3D06" w:rsidRPr="00F37E3A">
        <w:rPr>
          <w:rStyle w:val="Refdenotaalpie"/>
          <w:rFonts w:ascii="Verdana" w:hAnsi="Verdana" w:cs="Verdana"/>
          <w:bCs/>
          <w:sz w:val="20"/>
          <w:szCs w:val="20"/>
        </w:rPr>
        <w:footnoteReference w:id="45"/>
      </w:r>
      <w:r w:rsidR="00EF3D06" w:rsidRPr="00F37E3A">
        <w:rPr>
          <w:rFonts w:ascii="Verdana" w:hAnsi="Verdana" w:cs="Verdana"/>
          <w:bCs/>
          <w:sz w:val="20"/>
          <w:szCs w:val="20"/>
        </w:rPr>
        <w:t xml:space="preserve">, y </w:t>
      </w:r>
    </w:p>
    <w:p w14:paraId="2F8BAE28" w14:textId="77777777" w:rsidR="002C2865" w:rsidRPr="002C2865" w:rsidRDefault="00850CF7" w:rsidP="002C2865">
      <w:pPr>
        <w:pStyle w:val="Prrafodelista"/>
        <w:spacing w:before="120" w:after="120"/>
        <w:ind w:left="0" w:firstLine="708"/>
        <w:contextualSpacing w:val="0"/>
        <w:jc w:val="both"/>
        <w:rPr>
          <w:rFonts w:ascii="Verdana" w:hAnsi="Verdana" w:cs="Verdana"/>
          <w:bCs/>
          <w:sz w:val="20"/>
          <w:szCs w:val="20"/>
        </w:rPr>
      </w:pPr>
      <w:r>
        <w:rPr>
          <w:rFonts w:ascii="Verdana" w:hAnsi="Verdana" w:cs="Verdana"/>
          <w:bCs/>
          <w:sz w:val="20"/>
          <w:szCs w:val="20"/>
        </w:rPr>
        <w:t>f</w:t>
      </w:r>
      <w:r w:rsidR="00EF3D06" w:rsidRPr="00F37E3A">
        <w:rPr>
          <w:rFonts w:ascii="Verdana" w:hAnsi="Verdana" w:cs="Verdana"/>
          <w:bCs/>
          <w:sz w:val="20"/>
          <w:szCs w:val="20"/>
        </w:rPr>
        <w:t xml:space="preserve">) los siete disparos que impactaron los cuerpos de </w:t>
      </w:r>
      <w:r w:rsidR="002014AE">
        <w:rPr>
          <w:rFonts w:ascii="Verdana" w:hAnsi="Verdana" w:cs="Verdana"/>
          <w:bCs/>
          <w:sz w:val="20"/>
          <w:szCs w:val="20"/>
        </w:rPr>
        <w:t>las tres víctimas</w:t>
      </w:r>
      <w:r w:rsidR="00EF3D06" w:rsidRPr="00F37E3A">
        <w:rPr>
          <w:rFonts w:ascii="Verdana" w:hAnsi="Verdana" w:cs="Verdana"/>
          <w:bCs/>
          <w:sz w:val="20"/>
          <w:szCs w:val="20"/>
        </w:rPr>
        <w:t>, se concentraron en sus tórax o más</w:t>
      </w:r>
      <w:r w:rsidR="00844A79">
        <w:rPr>
          <w:rFonts w:ascii="Verdana" w:hAnsi="Verdana" w:cs="Verdana"/>
          <w:bCs/>
          <w:sz w:val="20"/>
          <w:szCs w:val="20"/>
        </w:rPr>
        <w:t xml:space="preserve"> genéricamente en sus “troncos”;</w:t>
      </w:r>
      <w:r w:rsidR="00EF3D06" w:rsidRPr="00F37E3A">
        <w:rPr>
          <w:rFonts w:ascii="Verdana" w:hAnsi="Verdana" w:cs="Verdana"/>
          <w:bCs/>
          <w:sz w:val="20"/>
          <w:szCs w:val="20"/>
        </w:rPr>
        <w:t xml:space="preserve"> y que ninguno de ellos recibió disparos en sus extremidades u otros partes que produzcan resultados menos letales, lo cual resultaría más consistente con la topografía lesional más típica de los </w:t>
      </w:r>
      <w:r w:rsidR="002C2865">
        <w:rPr>
          <w:rFonts w:ascii="Verdana" w:hAnsi="Verdana" w:cs="Verdana"/>
          <w:bCs/>
          <w:sz w:val="20"/>
          <w:szCs w:val="20"/>
        </w:rPr>
        <w:t>“</w:t>
      </w:r>
      <w:r w:rsidR="00EF3D06" w:rsidRPr="00F37E3A">
        <w:rPr>
          <w:rFonts w:ascii="Verdana" w:hAnsi="Verdana" w:cs="Verdana"/>
          <w:bCs/>
          <w:sz w:val="20"/>
          <w:szCs w:val="20"/>
        </w:rPr>
        <w:t>enfrentamientos</w:t>
      </w:r>
      <w:r w:rsidR="002C2865">
        <w:rPr>
          <w:rFonts w:ascii="Verdana" w:hAnsi="Verdana" w:cs="Verdana"/>
          <w:bCs/>
          <w:sz w:val="20"/>
          <w:szCs w:val="20"/>
        </w:rPr>
        <w:t>”</w:t>
      </w:r>
      <w:r w:rsidR="00EF3D06" w:rsidRPr="00F37E3A">
        <w:rPr>
          <w:rFonts w:ascii="Verdana" w:hAnsi="Verdana" w:cs="Verdana"/>
          <w:bCs/>
          <w:sz w:val="20"/>
          <w:szCs w:val="20"/>
        </w:rPr>
        <w:t xml:space="preserve"> en las cuales las heridas se localizan mayoritariamente en las “extremidades del cuerpo”</w:t>
      </w:r>
      <w:r w:rsidR="00EF3D06" w:rsidRPr="00F37E3A">
        <w:rPr>
          <w:rStyle w:val="Refdenotaalpie"/>
          <w:rFonts w:ascii="Verdana" w:hAnsi="Verdana" w:cs="Verdana"/>
          <w:bCs/>
          <w:sz w:val="20"/>
          <w:szCs w:val="20"/>
        </w:rPr>
        <w:footnoteReference w:id="46"/>
      </w:r>
      <w:r w:rsidR="00EF3D06" w:rsidRPr="00F37E3A">
        <w:rPr>
          <w:rFonts w:ascii="Verdana" w:hAnsi="Verdana" w:cs="Verdana"/>
          <w:bCs/>
          <w:sz w:val="20"/>
          <w:szCs w:val="20"/>
        </w:rPr>
        <w:t>.</w:t>
      </w:r>
      <w:r w:rsidR="005C48A3" w:rsidRPr="00F37E3A">
        <w:rPr>
          <w:rFonts w:ascii="Verdana" w:hAnsi="Verdana" w:cs="Verdana"/>
          <w:bCs/>
          <w:sz w:val="20"/>
          <w:szCs w:val="20"/>
        </w:rPr>
        <w:t xml:space="preserve"> </w:t>
      </w:r>
    </w:p>
    <w:p w14:paraId="1CA50F6C" w14:textId="77777777" w:rsidR="002C2865" w:rsidRPr="002C2865" w:rsidRDefault="003E415D" w:rsidP="002C2865">
      <w:pPr>
        <w:spacing w:before="120" w:after="120"/>
        <w:jc w:val="both"/>
        <w:rPr>
          <w:rFonts w:ascii="Verdana" w:hAnsi="Verdana"/>
          <w:sz w:val="20"/>
          <w:szCs w:val="20"/>
        </w:rPr>
      </w:pPr>
      <w:r>
        <w:rPr>
          <w:rFonts w:ascii="Verdana" w:hAnsi="Verdana"/>
          <w:sz w:val="20"/>
          <w:szCs w:val="20"/>
        </w:rPr>
        <w:t>31</w:t>
      </w:r>
      <w:r w:rsidR="00785E3B">
        <w:rPr>
          <w:rFonts w:ascii="Verdana" w:hAnsi="Verdana"/>
          <w:sz w:val="20"/>
          <w:szCs w:val="20"/>
        </w:rPr>
        <w:t xml:space="preserve">. </w:t>
      </w:r>
      <w:r w:rsidR="00785E3B">
        <w:rPr>
          <w:rFonts w:ascii="Verdana" w:hAnsi="Verdana"/>
          <w:sz w:val="20"/>
          <w:szCs w:val="20"/>
        </w:rPr>
        <w:tab/>
      </w:r>
      <w:r w:rsidR="002C2865">
        <w:rPr>
          <w:rFonts w:ascii="Verdana" w:hAnsi="Verdana"/>
          <w:sz w:val="20"/>
          <w:szCs w:val="20"/>
        </w:rPr>
        <w:t>De ahí que e</w:t>
      </w:r>
      <w:r w:rsidR="002C2865" w:rsidRPr="002C2865">
        <w:rPr>
          <w:rFonts w:ascii="Verdana" w:hAnsi="Verdana"/>
          <w:sz w:val="20"/>
          <w:szCs w:val="20"/>
        </w:rPr>
        <w:t xml:space="preserve">l Tribunal </w:t>
      </w:r>
      <w:r w:rsidR="002C2865">
        <w:rPr>
          <w:rFonts w:ascii="Verdana" w:hAnsi="Verdana"/>
          <w:sz w:val="20"/>
          <w:szCs w:val="20"/>
        </w:rPr>
        <w:t>Interamericano al efectuar</w:t>
      </w:r>
      <w:r w:rsidR="005E460F">
        <w:rPr>
          <w:rFonts w:ascii="Verdana" w:hAnsi="Verdana"/>
          <w:sz w:val="20"/>
          <w:szCs w:val="20"/>
        </w:rPr>
        <w:t xml:space="preserve"> el</w:t>
      </w:r>
      <w:r w:rsidR="002C2865" w:rsidRPr="002C2865">
        <w:rPr>
          <w:rFonts w:ascii="Verdana" w:hAnsi="Verdana"/>
          <w:sz w:val="20"/>
          <w:szCs w:val="20"/>
        </w:rPr>
        <w:t xml:space="preserve"> análisis de la prueba relaci</w:t>
      </w:r>
      <w:r w:rsidR="002C2865">
        <w:rPr>
          <w:rFonts w:ascii="Verdana" w:hAnsi="Verdana"/>
          <w:sz w:val="20"/>
          <w:szCs w:val="20"/>
        </w:rPr>
        <w:t xml:space="preserve">onada con los hechos del caso, </w:t>
      </w:r>
      <w:r w:rsidR="002C2865" w:rsidRPr="002C2865">
        <w:rPr>
          <w:rFonts w:ascii="Verdana" w:hAnsi="Verdana"/>
          <w:sz w:val="20"/>
          <w:szCs w:val="20"/>
        </w:rPr>
        <w:t xml:space="preserve">constató que </w:t>
      </w:r>
      <w:r w:rsidR="002C2865" w:rsidRPr="002C2865">
        <w:rPr>
          <w:rFonts w:ascii="Verdana" w:hAnsi="Verdana" w:cs="Verdana"/>
          <w:bCs/>
          <w:sz w:val="20"/>
          <w:szCs w:val="20"/>
        </w:rPr>
        <w:t xml:space="preserve">existe una serie de </w:t>
      </w:r>
      <w:r w:rsidR="00850CF7">
        <w:rPr>
          <w:rFonts w:ascii="Verdana" w:hAnsi="Verdana" w:cs="Verdana"/>
          <w:bCs/>
          <w:sz w:val="20"/>
          <w:szCs w:val="20"/>
        </w:rPr>
        <w:t>“</w:t>
      </w:r>
      <w:r w:rsidR="002C2865" w:rsidRPr="002C2865">
        <w:rPr>
          <w:rFonts w:ascii="Verdana" w:hAnsi="Verdana" w:cs="Verdana"/>
          <w:bCs/>
          <w:sz w:val="20"/>
          <w:szCs w:val="20"/>
        </w:rPr>
        <w:t>contradicciones</w:t>
      </w:r>
      <w:r w:rsidR="00850CF7">
        <w:rPr>
          <w:rFonts w:ascii="Verdana" w:hAnsi="Verdana" w:cs="Verdana"/>
          <w:bCs/>
          <w:sz w:val="20"/>
          <w:szCs w:val="20"/>
        </w:rPr>
        <w:t>”</w:t>
      </w:r>
      <w:r w:rsidR="002C2865" w:rsidRPr="002C2865">
        <w:rPr>
          <w:rFonts w:ascii="Verdana" w:hAnsi="Verdana" w:cs="Verdana"/>
          <w:bCs/>
          <w:sz w:val="20"/>
          <w:szCs w:val="20"/>
        </w:rPr>
        <w:t xml:space="preserve"> e </w:t>
      </w:r>
      <w:r w:rsidR="00850CF7">
        <w:rPr>
          <w:rFonts w:ascii="Verdana" w:hAnsi="Verdana" w:cs="Verdana"/>
          <w:bCs/>
          <w:sz w:val="20"/>
          <w:szCs w:val="20"/>
        </w:rPr>
        <w:t>“</w:t>
      </w:r>
      <w:r w:rsidR="002C2865" w:rsidRPr="002C2865">
        <w:rPr>
          <w:rFonts w:ascii="Verdana" w:hAnsi="Verdana" w:cs="Verdana"/>
          <w:bCs/>
          <w:sz w:val="20"/>
          <w:szCs w:val="20"/>
        </w:rPr>
        <w:t>inconsistencias</w:t>
      </w:r>
      <w:r w:rsidR="00850CF7">
        <w:rPr>
          <w:rFonts w:ascii="Verdana" w:hAnsi="Verdana" w:cs="Verdana"/>
          <w:bCs/>
          <w:sz w:val="20"/>
          <w:szCs w:val="20"/>
        </w:rPr>
        <w:t>”</w:t>
      </w:r>
      <w:r w:rsidR="002C2865" w:rsidRPr="002C2865">
        <w:rPr>
          <w:rFonts w:ascii="Verdana" w:hAnsi="Verdana" w:cs="Verdana"/>
          <w:bCs/>
          <w:sz w:val="20"/>
          <w:szCs w:val="20"/>
        </w:rPr>
        <w:t xml:space="preserve"> en relación con la versión </w:t>
      </w:r>
      <w:r w:rsidR="002C2865">
        <w:rPr>
          <w:rFonts w:ascii="Verdana" w:hAnsi="Verdana" w:cs="Verdana"/>
          <w:bCs/>
          <w:sz w:val="20"/>
          <w:szCs w:val="20"/>
        </w:rPr>
        <w:t>del Estado, relativa a que los</w:t>
      </w:r>
      <w:r w:rsidR="002C2865" w:rsidRPr="002C2865">
        <w:rPr>
          <w:rFonts w:ascii="Verdana" w:hAnsi="Verdana" w:cs="Verdana"/>
          <w:bCs/>
          <w:sz w:val="20"/>
          <w:szCs w:val="20"/>
        </w:rPr>
        <w:t xml:space="preserve"> hechos </w:t>
      </w:r>
      <w:r w:rsidR="002C2865">
        <w:rPr>
          <w:rFonts w:ascii="Verdana" w:hAnsi="Verdana" w:cs="Verdana"/>
          <w:bCs/>
          <w:sz w:val="20"/>
          <w:szCs w:val="20"/>
        </w:rPr>
        <w:t>se relacionan con la existencia de</w:t>
      </w:r>
      <w:r w:rsidR="002C2865" w:rsidRPr="002C2865">
        <w:rPr>
          <w:rFonts w:ascii="Verdana" w:hAnsi="Verdana" w:cs="Verdana"/>
          <w:bCs/>
          <w:sz w:val="20"/>
          <w:szCs w:val="20"/>
        </w:rPr>
        <w:t xml:space="preserve"> </w:t>
      </w:r>
      <w:r w:rsidR="002C2865">
        <w:rPr>
          <w:rFonts w:ascii="Verdana" w:hAnsi="Verdana" w:cs="Verdana"/>
          <w:bCs/>
          <w:sz w:val="20"/>
          <w:szCs w:val="20"/>
        </w:rPr>
        <w:t>“</w:t>
      </w:r>
      <w:r w:rsidR="002C2865" w:rsidRPr="002C2865">
        <w:rPr>
          <w:rFonts w:ascii="Verdana" w:hAnsi="Verdana" w:cs="Verdana"/>
          <w:bCs/>
          <w:sz w:val="20"/>
          <w:szCs w:val="20"/>
        </w:rPr>
        <w:t>enfrentamiento</w:t>
      </w:r>
      <w:r w:rsidR="002C2865">
        <w:rPr>
          <w:rFonts w:ascii="Verdana" w:hAnsi="Verdana" w:cs="Verdana"/>
          <w:bCs/>
          <w:sz w:val="20"/>
          <w:szCs w:val="20"/>
        </w:rPr>
        <w:t>s”</w:t>
      </w:r>
      <w:r w:rsidR="002C2865" w:rsidRPr="00F37E3A">
        <w:rPr>
          <w:rStyle w:val="Refdenotaalpie"/>
          <w:rFonts w:ascii="Verdana" w:hAnsi="Verdana" w:cs="Verdana"/>
          <w:bCs/>
          <w:sz w:val="20"/>
          <w:szCs w:val="20"/>
        </w:rPr>
        <w:footnoteReference w:id="47"/>
      </w:r>
    </w:p>
    <w:p w14:paraId="034D6261" w14:textId="77777777" w:rsidR="00EB6B6F" w:rsidRDefault="003E415D" w:rsidP="00EB6B6F">
      <w:pPr>
        <w:spacing w:before="120" w:after="120"/>
        <w:jc w:val="both"/>
        <w:rPr>
          <w:rFonts w:ascii="Verdana" w:hAnsi="Verdana" w:cs="Verdana"/>
          <w:bCs/>
          <w:sz w:val="20"/>
          <w:szCs w:val="20"/>
        </w:rPr>
      </w:pPr>
      <w:r>
        <w:rPr>
          <w:rFonts w:ascii="Verdana" w:hAnsi="Verdana"/>
          <w:sz w:val="20"/>
          <w:szCs w:val="20"/>
        </w:rPr>
        <w:t>32</w:t>
      </w:r>
      <w:r w:rsidR="00785E3B">
        <w:rPr>
          <w:rFonts w:ascii="Verdana" w:hAnsi="Verdana"/>
          <w:sz w:val="20"/>
          <w:szCs w:val="20"/>
        </w:rPr>
        <w:t xml:space="preserve">. </w:t>
      </w:r>
      <w:r w:rsidR="00785E3B">
        <w:rPr>
          <w:rFonts w:ascii="Verdana" w:hAnsi="Verdana"/>
          <w:sz w:val="20"/>
          <w:szCs w:val="20"/>
        </w:rPr>
        <w:tab/>
      </w:r>
      <w:r w:rsidR="00FE6E8E" w:rsidRPr="002C2865">
        <w:rPr>
          <w:rFonts w:ascii="Verdana" w:hAnsi="Verdana"/>
          <w:sz w:val="20"/>
          <w:szCs w:val="20"/>
        </w:rPr>
        <w:t>Asimismo</w:t>
      </w:r>
      <w:r w:rsidR="002E2D2C" w:rsidRPr="002C2865">
        <w:rPr>
          <w:rFonts w:ascii="Verdana" w:hAnsi="Verdana"/>
          <w:sz w:val="20"/>
          <w:szCs w:val="20"/>
        </w:rPr>
        <w:t xml:space="preserve">, la Corte </w:t>
      </w:r>
      <w:r w:rsidR="00563ECD">
        <w:rPr>
          <w:rFonts w:ascii="Verdana" w:hAnsi="Verdana"/>
          <w:sz w:val="20"/>
          <w:szCs w:val="20"/>
        </w:rPr>
        <w:t xml:space="preserve">IDH </w:t>
      </w:r>
      <w:r w:rsidR="002E2D2C" w:rsidRPr="002C2865">
        <w:rPr>
          <w:rFonts w:ascii="Verdana" w:hAnsi="Verdana"/>
          <w:sz w:val="20"/>
          <w:szCs w:val="20"/>
        </w:rPr>
        <w:t>notó que las autoridades internas no habían analizado ni tampoco investigado plenamente la hipótesis de la ejecución extrajudicial. En particular</w:t>
      </w:r>
      <w:r w:rsidR="00844A79">
        <w:rPr>
          <w:rFonts w:ascii="Verdana" w:hAnsi="Verdana"/>
          <w:sz w:val="20"/>
          <w:szCs w:val="20"/>
        </w:rPr>
        <w:t>,</w:t>
      </w:r>
      <w:r w:rsidR="002E2D2C" w:rsidRPr="002C2865">
        <w:rPr>
          <w:rFonts w:ascii="Verdana" w:hAnsi="Verdana"/>
          <w:sz w:val="20"/>
          <w:szCs w:val="20"/>
        </w:rPr>
        <w:t xml:space="preserve"> el Tribunal </w:t>
      </w:r>
      <w:r w:rsidR="00F03702">
        <w:rPr>
          <w:rFonts w:ascii="Verdana" w:hAnsi="Verdana"/>
          <w:sz w:val="20"/>
          <w:szCs w:val="20"/>
        </w:rPr>
        <w:t xml:space="preserve">Interamericano </w:t>
      </w:r>
      <w:r w:rsidR="002E2D2C" w:rsidRPr="002C2865">
        <w:rPr>
          <w:rFonts w:ascii="Verdana" w:hAnsi="Verdana"/>
          <w:sz w:val="20"/>
          <w:szCs w:val="20"/>
        </w:rPr>
        <w:t xml:space="preserve">señaló que </w:t>
      </w:r>
      <w:r w:rsidR="002E2D2C" w:rsidRPr="002C2865">
        <w:rPr>
          <w:rFonts w:ascii="Verdana" w:hAnsi="Verdana" w:cs="Verdana"/>
          <w:bCs/>
          <w:sz w:val="20"/>
          <w:szCs w:val="20"/>
        </w:rPr>
        <w:t>las autoridades no desplegaron diligencias que habrían sido determinantes para confirmar o descartar la línea de i</w:t>
      </w:r>
      <w:r w:rsidR="00844A79">
        <w:rPr>
          <w:rFonts w:ascii="Verdana" w:hAnsi="Verdana" w:cs="Verdana"/>
          <w:bCs/>
          <w:sz w:val="20"/>
          <w:szCs w:val="20"/>
        </w:rPr>
        <w:t>nvestigación del enfrentamiento;</w:t>
      </w:r>
      <w:r w:rsidR="002E2D2C" w:rsidRPr="002C2865">
        <w:rPr>
          <w:rFonts w:ascii="Verdana" w:hAnsi="Verdana" w:cs="Verdana"/>
          <w:bCs/>
          <w:sz w:val="20"/>
          <w:szCs w:val="20"/>
        </w:rPr>
        <w:t xml:space="preserve"> como por ejemplo</w:t>
      </w:r>
      <w:r w:rsidR="00563ECD">
        <w:rPr>
          <w:rFonts w:ascii="Verdana" w:hAnsi="Verdana" w:cs="Verdana"/>
          <w:bCs/>
          <w:sz w:val="20"/>
          <w:szCs w:val="20"/>
        </w:rPr>
        <w:t>,</w:t>
      </w:r>
      <w:r w:rsidR="002E2D2C" w:rsidRPr="002C2865">
        <w:rPr>
          <w:rFonts w:ascii="Verdana" w:hAnsi="Verdana" w:cs="Verdana"/>
          <w:bCs/>
          <w:sz w:val="20"/>
          <w:szCs w:val="20"/>
        </w:rPr>
        <w:t xml:space="preserve"> la toma de huellas dactilares en las armas o en los cartuchos o de residuos de pólvora en las manos para comprobar que las armas disparadas lo fueron efectivamente por las presuntas víctimas directas de este caso. Tampoco se hicieron experticias balísticas para comprobar que los proyectiles recabados en las patrullas de la policía provenientes de los impactos de bala fueron efectivamente </w:t>
      </w:r>
      <w:r w:rsidR="002E2D2C" w:rsidRPr="002C2865">
        <w:rPr>
          <w:rFonts w:ascii="Verdana" w:hAnsi="Verdana" w:cs="Verdana"/>
          <w:bCs/>
          <w:sz w:val="20"/>
          <w:szCs w:val="20"/>
        </w:rPr>
        <w:lastRenderedPageBreak/>
        <w:t>disparados con las armas incautadas. Cabe agregar que no fue presentado ningún registro sobre la propiedad de las armas de fuego que fueron encontradas en las escenas de los hechos, ni tampoco figura una experticia sobre los proyectiles que recibieron las víctimas</w:t>
      </w:r>
      <w:r w:rsidR="002E2D2C" w:rsidRPr="00F37E3A">
        <w:rPr>
          <w:rStyle w:val="Refdenotaalpie"/>
          <w:rFonts w:ascii="Verdana" w:hAnsi="Verdana" w:cs="Verdana"/>
          <w:bCs/>
          <w:sz w:val="20"/>
          <w:szCs w:val="20"/>
        </w:rPr>
        <w:footnoteReference w:id="48"/>
      </w:r>
      <w:r w:rsidR="002E2D2C" w:rsidRPr="002C2865">
        <w:rPr>
          <w:rFonts w:ascii="Verdana" w:hAnsi="Verdana" w:cs="Verdana"/>
          <w:bCs/>
          <w:sz w:val="20"/>
          <w:szCs w:val="20"/>
        </w:rPr>
        <w:t xml:space="preserve">. </w:t>
      </w:r>
    </w:p>
    <w:p w14:paraId="4AC3C2EF" w14:textId="77777777" w:rsidR="00EB6B6F" w:rsidRDefault="003E415D" w:rsidP="00EB6B6F">
      <w:pPr>
        <w:spacing w:before="120" w:after="120"/>
        <w:jc w:val="both"/>
        <w:rPr>
          <w:rFonts w:ascii="Verdana" w:hAnsi="Verdana" w:cs="Verdana"/>
          <w:bCs/>
          <w:sz w:val="20"/>
          <w:szCs w:val="20"/>
        </w:rPr>
      </w:pPr>
      <w:r>
        <w:rPr>
          <w:rFonts w:ascii="Verdana" w:hAnsi="Verdana" w:cs="Verdana"/>
          <w:bCs/>
          <w:sz w:val="20"/>
          <w:szCs w:val="20"/>
        </w:rPr>
        <w:t>33</w:t>
      </w:r>
      <w:r w:rsidR="00785E3B">
        <w:rPr>
          <w:rFonts w:ascii="Verdana" w:hAnsi="Verdana" w:cs="Verdana"/>
          <w:bCs/>
          <w:sz w:val="20"/>
          <w:szCs w:val="20"/>
        </w:rPr>
        <w:t xml:space="preserve">. </w:t>
      </w:r>
      <w:r w:rsidR="00785E3B">
        <w:rPr>
          <w:rFonts w:ascii="Verdana" w:hAnsi="Verdana" w:cs="Verdana"/>
          <w:bCs/>
          <w:sz w:val="20"/>
          <w:szCs w:val="20"/>
        </w:rPr>
        <w:tab/>
      </w:r>
      <w:r w:rsidR="002E2D2C" w:rsidRPr="00F37E3A">
        <w:rPr>
          <w:rFonts w:ascii="Verdana" w:hAnsi="Verdana" w:cs="Verdana"/>
          <w:bCs/>
          <w:sz w:val="20"/>
          <w:szCs w:val="20"/>
        </w:rPr>
        <w:t xml:space="preserve">El Tribunal </w:t>
      </w:r>
      <w:r w:rsidR="00F03702">
        <w:rPr>
          <w:rFonts w:ascii="Verdana" w:hAnsi="Verdana" w:cs="Verdana"/>
          <w:bCs/>
          <w:sz w:val="20"/>
          <w:szCs w:val="20"/>
        </w:rPr>
        <w:t xml:space="preserve">Interamericano </w:t>
      </w:r>
      <w:r w:rsidR="002E2D2C" w:rsidRPr="00F37E3A">
        <w:rPr>
          <w:rFonts w:ascii="Verdana" w:hAnsi="Verdana" w:cs="Verdana"/>
          <w:bCs/>
          <w:sz w:val="20"/>
          <w:szCs w:val="20"/>
        </w:rPr>
        <w:t>advirtió que estas experticias y elementos de prueba que no se efectuaron o no fueron aportados habrían podido brindar mayores elementos de gran importancia para verificar una u otra de las hipótesis de lo ocurrido</w:t>
      </w:r>
      <w:r w:rsidR="00844A79">
        <w:rPr>
          <w:rFonts w:ascii="Verdana" w:hAnsi="Verdana" w:cs="Verdana"/>
          <w:bCs/>
          <w:sz w:val="20"/>
          <w:szCs w:val="20"/>
        </w:rPr>
        <w:t>;</w:t>
      </w:r>
      <w:r w:rsidR="002E2D2C" w:rsidRPr="00F37E3A">
        <w:rPr>
          <w:rFonts w:ascii="Verdana" w:hAnsi="Verdana" w:cs="Verdana"/>
          <w:bCs/>
          <w:sz w:val="20"/>
          <w:szCs w:val="20"/>
        </w:rPr>
        <w:t xml:space="preserve"> y que</w:t>
      </w:r>
      <w:r w:rsidR="00844A79">
        <w:rPr>
          <w:rFonts w:ascii="Verdana" w:hAnsi="Verdana" w:cs="Verdana"/>
          <w:bCs/>
          <w:sz w:val="20"/>
          <w:szCs w:val="20"/>
        </w:rPr>
        <w:t>,</w:t>
      </w:r>
      <w:r w:rsidR="002E2D2C" w:rsidRPr="00F37E3A">
        <w:rPr>
          <w:rFonts w:ascii="Verdana" w:hAnsi="Verdana" w:cs="Verdana"/>
          <w:bCs/>
          <w:sz w:val="20"/>
          <w:szCs w:val="20"/>
        </w:rPr>
        <w:t xml:space="preserve"> por tanto</w:t>
      </w:r>
      <w:r w:rsidR="00844A79">
        <w:rPr>
          <w:rFonts w:ascii="Verdana" w:hAnsi="Verdana" w:cs="Verdana"/>
          <w:bCs/>
          <w:sz w:val="20"/>
          <w:szCs w:val="20"/>
        </w:rPr>
        <w:t>,</w:t>
      </w:r>
      <w:r w:rsidR="002E2D2C" w:rsidRPr="00F37E3A">
        <w:rPr>
          <w:rFonts w:ascii="Verdana" w:hAnsi="Verdana" w:cs="Verdana"/>
          <w:bCs/>
          <w:sz w:val="20"/>
          <w:szCs w:val="20"/>
        </w:rPr>
        <w:t xml:space="preserve"> no resultaba razonable que la ausencia de diligencias de investigación tan determinantes como esas</w:t>
      </w:r>
      <w:r w:rsidR="00844A79">
        <w:rPr>
          <w:rFonts w:ascii="Verdana" w:hAnsi="Verdana" w:cs="Verdana"/>
          <w:bCs/>
          <w:sz w:val="20"/>
          <w:szCs w:val="20"/>
        </w:rPr>
        <w:t xml:space="preserve"> —</w:t>
      </w:r>
      <w:r w:rsidR="002E2D2C" w:rsidRPr="00F37E3A">
        <w:rPr>
          <w:rFonts w:ascii="Verdana" w:hAnsi="Verdana" w:cs="Verdana"/>
          <w:bCs/>
          <w:sz w:val="20"/>
          <w:szCs w:val="20"/>
        </w:rPr>
        <w:t>diligencias cuya decisión de ser producidas no dependía de la voluntad de las personas fallecidas ni de sus familiares, sino precisamente de las autoridades venezolanas</w:t>
      </w:r>
      <w:r w:rsidR="00844A79">
        <w:rPr>
          <w:rFonts w:ascii="Verdana" w:hAnsi="Verdana" w:cs="Verdana"/>
          <w:bCs/>
          <w:sz w:val="20"/>
          <w:szCs w:val="20"/>
        </w:rPr>
        <w:t>—</w:t>
      </w:r>
      <w:r w:rsidR="002E2D2C" w:rsidRPr="00F37E3A">
        <w:rPr>
          <w:rFonts w:ascii="Verdana" w:hAnsi="Verdana" w:cs="Verdana"/>
          <w:bCs/>
          <w:sz w:val="20"/>
          <w:szCs w:val="20"/>
        </w:rPr>
        <w:t xml:space="preserve">, pueda confortar una hipótesis de los hechos que sea desfavorable </w:t>
      </w:r>
      <w:r w:rsidR="00630CF0">
        <w:rPr>
          <w:rFonts w:ascii="Verdana" w:hAnsi="Verdana" w:cs="Verdana"/>
          <w:bCs/>
          <w:sz w:val="20"/>
          <w:szCs w:val="20"/>
        </w:rPr>
        <w:t>a las víctimas, más aún</w:t>
      </w:r>
      <w:r w:rsidR="002E2D2C" w:rsidRPr="00F37E3A">
        <w:rPr>
          <w:rFonts w:ascii="Verdana" w:hAnsi="Verdana" w:cs="Verdana"/>
          <w:bCs/>
          <w:sz w:val="20"/>
          <w:szCs w:val="20"/>
        </w:rPr>
        <w:t xml:space="preserve"> cuando se trata de pruebas que habrían podido ser decisivas para probar que se produjeron ejecuciones y no un</w:t>
      </w:r>
      <w:r w:rsidR="00630CF0">
        <w:rPr>
          <w:rFonts w:ascii="Verdana" w:hAnsi="Verdana" w:cs="Verdana"/>
          <w:bCs/>
          <w:sz w:val="20"/>
          <w:szCs w:val="20"/>
        </w:rPr>
        <w:t>os</w:t>
      </w:r>
      <w:r w:rsidR="002E2D2C" w:rsidRPr="00F37E3A">
        <w:rPr>
          <w:rFonts w:ascii="Verdana" w:hAnsi="Verdana" w:cs="Verdana"/>
          <w:bCs/>
          <w:sz w:val="20"/>
          <w:szCs w:val="20"/>
        </w:rPr>
        <w:t xml:space="preserve"> enfrentamientos</w:t>
      </w:r>
      <w:r w:rsidR="002E2D2C" w:rsidRPr="00F37E3A">
        <w:rPr>
          <w:rStyle w:val="Refdenotaalpie"/>
          <w:rFonts w:ascii="Verdana" w:hAnsi="Verdana" w:cs="Verdana"/>
          <w:bCs/>
          <w:sz w:val="20"/>
          <w:szCs w:val="20"/>
        </w:rPr>
        <w:footnoteReference w:id="49"/>
      </w:r>
      <w:r w:rsidR="002E2D2C" w:rsidRPr="00F37E3A">
        <w:rPr>
          <w:rFonts w:ascii="Verdana" w:hAnsi="Verdana" w:cs="Verdana"/>
          <w:bCs/>
          <w:sz w:val="20"/>
          <w:szCs w:val="20"/>
        </w:rPr>
        <w:t xml:space="preserve">. </w:t>
      </w:r>
    </w:p>
    <w:p w14:paraId="531A1E4C" w14:textId="77777777" w:rsidR="00EB6B6F" w:rsidRDefault="003E415D" w:rsidP="00EB6B6F">
      <w:pPr>
        <w:spacing w:before="120" w:after="120"/>
        <w:jc w:val="both"/>
        <w:rPr>
          <w:rFonts w:ascii="Verdana" w:hAnsi="Verdana" w:cs="Verdana"/>
          <w:bCs/>
          <w:sz w:val="20"/>
          <w:szCs w:val="20"/>
        </w:rPr>
      </w:pPr>
      <w:r>
        <w:rPr>
          <w:rFonts w:ascii="Verdana" w:hAnsi="Verdana"/>
          <w:sz w:val="20"/>
          <w:szCs w:val="20"/>
        </w:rPr>
        <w:t>34</w:t>
      </w:r>
      <w:r w:rsidR="00785E3B">
        <w:rPr>
          <w:rFonts w:ascii="Verdana" w:hAnsi="Verdana"/>
          <w:sz w:val="20"/>
          <w:szCs w:val="20"/>
        </w:rPr>
        <w:t xml:space="preserve">. </w:t>
      </w:r>
      <w:r w:rsidR="00785E3B">
        <w:rPr>
          <w:rFonts w:ascii="Verdana" w:hAnsi="Verdana"/>
          <w:sz w:val="20"/>
          <w:szCs w:val="20"/>
        </w:rPr>
        <w:tab/>
      </w:r>
      <w:r w:rsidR="00EF3D06" w:rsidRPr="00F37E3A">
        <w:rPr>
          <w:rFonts w:ascii="Verdana" w:hAnsi="Verdana"/>
          <w:sz w:val="20"/>
          <w:szCs w:val="20"/>
        </w:rPr>
        <w:t xml:space="preserve">A la luz de lo señalado, </w:t>
      </w:r>
      <w:r w:rsidR="00630CF0">
        <w:rPr>
          <w:rFonts w:ascii="Verdana" w:hAnsi="Verdana"/>
          <w:sz w:val="20"/>
          <w:szCs w:val="20"/>
        </w:rPr>
        <w:t xml:space="preserve">quienes suscribimos el presente voto, consideramos </w:t>
      </w:r>
      <w:r w:rsidR="00EF3D06" w:rsidRPr="00F37E3A">
        <w:rPr>
          <w:rFonts w:ascii="Verdana" w:hAnsi="Verdana"/>
          <w:sz w:val="20"/>
          <w:szCs w:val="20"/>
        </w:rPr>
        <w:t>que las explicaciones brindadas por el Estado para considerar que este hecho no se enmarca dentro de un contexto de ejecuciones extrajudic</w:t>
      </w:r>
      <w:r w:rsidR="00163076">
        <w:rPr>
          <w:rFonts w:ascii="Verdana" w:hAnsi="Verdana"/>
          <w:sz w:val="20"/>
          <w:szCs w:val="20"/>
        </w:rPr>
        <w:t>iales resulta</w:t>
      </w:r>
      <w:r w:rsidR="00EB6B6F">
        <w:rPr>
          <w:rFonts w:ascii="Verdana" w:hAnsi="Verdana"/>
          <w:sz w:val="20"/>
          <w:szCs w:val="20"/>
        </w:rPr>
        <w:t xml:space="preserve"> poco convincente</w:t>
      </w:r>
      <w:r w:rsidR="00EF3D06" w:rsidRPr="00F37E3A">
        <w:rPr>
          <w:rFonts w:ascii="Verdana" w:hAnsi="Verdana"/>
          <w:sz w:val="20"/>
          <w:szCs w:val="20"/>
        </w:rPr>
        <w:t>. En efecto, el Estado limitó sus alegatos a consideraciones relacionadas con cuestiones relativas a la cuarta instancia</w:t>
      </w:r>
      <w:r w:rsidR="00EF3D06" w:rsidRPr="00F37E3A">
        <w:rPr>
          <w:rStyle w:val="Refdenotaalpie"/>
          <w:rFonts w:ascii="Verdana" w:hAnsi="Verdana"/>
          <w:sz w:val="20"/>
          <w:szCs w:val="20"/>
        </w:rPr>
        <w:footnoteReference w:id="50"/>
      </w:r>
      <w:r w:rsidR="00EF3D06" w:rsidRPr="00F37E3A">
        <w:rPr>
          <w:rFonts w:ascii="Verdana" w:hAnsi="Verdana"/>
          <w:sz w:val="20"/>
          <w:szCs w:val="20"/>
        </w:rPr>
        <w:t>, sostuvo que no todos los elementos del contexto referido estaban presentes en los hechos del presente caso</w:t>
      </w:r>
      <w:r w:rsidR="007C487B" w:rsidRPr="00F37E3A">
        <w:rPr>
          <w:rStyle w:val="Refdenotaalpie"/>
          <w:rFonts w:ascii="Verdana" w:hAnsi="Verdana"/>
          <w:sz w:val="20"/>
          <w:szCs w:val="20"/>
        </w:rPr>
        <w:footnoteReference w:id="51"/>
      </w:r>
      <w:r w:rsidR="00EF3D06" w:rsidRPr="00F37E3A">
        <w:rPr>
          <w:rFonts w:ascii="Verdana" w:hAnsi="Verdana"/>
          <w:sz w:val="20"/>
          <w:szCs w:val="20"/>
        </w:rPr>
        <w:t xml:space="preserve">, e hizo referencia al hecho que el señor Robert Díaz Loreto había estado </w:t>
      </w:r>
      <w:r w:rsidR="00163076">
        <w:rPr>
          <w:rFonts w:ascii="Verdana" w:hAnsi="Verdana"/>
          <w:sz w:val="20"/>
          <w:szCs w:val="20"/>
        </w:rPr>
        <w:t>“</w:t>
      </w:r>
      <w:r w:rsidR="00EF3D06" w:rsidRPr="00F37E3A">
        <w:rPr>
          <w:rFonts w:ascii="Verdana" w:hAnsi="Verdana"/>
          <w:sz w:val="20"/>
          <w:szCs w:val="20"/>
        </w:rPr>
        <w:t>cazando iguanas</w:t>
      </w:r>
      <w:r w:rsidR="00163076">
        <w:rPr>
          <w:rFonts w:ascii="Verdana" w:hAnsi="Verdana"/>
          <w:sz w:val="20"/>
          <w:szCs w:val="20"/>
        </w:rPr>
        <w:t>”</w:t>
      </w:r>
      <w:r w:rsidR="00EF3D06" w:rsidRPr="00F37E3A">
        <w:rPr>
          <w:rFonts w:ascii="Verdana" w:hAnsi="Verdana"/>
          <w:sz w:val="20"/>
          <w:szCs w:val="20"/>
        </w:rPr>
        <w:t xml:space="preserve"> para explicar la presencia de </w:t>
      </w:r>
      <w:r w:rsidR="001A3AD8">
        <w:rPr>
          <w:rFonts w:ascii="Verdana" w:hAnsi="Verdana"/>
          <w:sz w:val="20"/>
          <w:szCs w:val="20"/>
        </w:rPr>
        <w:t>“</w:t>
      </w:r>
      <w:r w:rsidR="00EF3D06" w:rsidRPr="00F37E3A">
        <w:rPr>
          <w:rFonts w:ascii="Verdana" w:hAnsi="Verdana"/>
          <w:sz w:val="20"/>
          <w:szCs w:val="20"/>
        </w:rPr>
        <w:t>aguas negras</w:t>
      </w:r>
      <w:r w:rsidR="001A3AD8">
        <w:rPr>
          <w:rFonts w:ascii="Verdana" w:hAnsi="Verdana"/>
          <w:sz w:val="20"/>
          <w:szCs w:val="20"/>
        </w:rPr>
        <w:t>”</w:t>
      </w:r>
      <w:r w:rsidR="00EF3D06" w:rsidRPr="00F37E3A">
        <w:rPr>
          <w:rFonts w:ascii="Verdana" w:hAnsi="Verdana"/>
          <w:sz w:val="20"/>
          <w:szCs w:val="20"/>
        </w:rPr>
        <w:t xml:space="preserve"> en su aparato digestivo y respiratorio. Sobre ese último punto</w:t>
      </w:r>
      <w:r w:rsidR="00844A79">
        <w:rPr>
          <w:rFonts w:ascii="Verdana" w:hAnsi="Verdana"/>
          <w:sz w:val="20"/>
          <w:szCs w:val="20"/>
        </w:rPr>
        <w:t>,</w:t>
      </w:r>
      <w:r w:rsidR="00EF3D06" w:rsidRPr="00F37E3A">
        <w:rPr>
          <w:rFonts w:ascii="Verdana" w:hAnsi="Verdana"/>
          <w:sz w:val="20"/>
          <w:szCs w:val="20"/>
        </w:rPr>
        <w:t xml:space="preserve"> la Sentencia señala que “</w:t>
      </w:r>
      <w:r w:rsidR="00EF3D06" w:rsidRPr="00F37E3A">
        <w:rPr>
          <w:rFonts w:ascii="Verdana" w:hAnsi="Verdana" w:cs="Verdana"/>
          <w:bCs/>
          <w:sz w:val="20"/>
          <w:szCs w:val="20"/>
        </w:rPr>
        <w:t>no explica los hallazgos concretos de la autopsia o de qué forma podría haber injerido y respirado esa materia inorgánica”</w:t>
      </w:r>
      <w:r w:rsidR="00EF3D06" w:rsidRPr="00F37E3A">
        <w:rPr>
          <w:rStyle w:val="Refdenotaalpie"/>
          <w:rFonts w:ascii="Verdana" w:hAnsi="Verdana" w:cs="Verdana"/>
          <w:bCs/>
          <w:sz w:val="20"/>
          <w:szCs w:val="20"/>
        </w:rPr>
        <w:footnoteReference w:id="52"/>
      </w:r>
      <w:r w:rsidR="00AF08DE">
        <w:rPr>
          <w:rFonts w:ascii="Verdana" w:hAnsi="Verdana" w:cs="Verdana"/>
          <w:bCs/>
          <w:sz w:val="20"/>
          <w:szCs w:val="20"/>
        </w:rPr>
        <w:t xml:space="preserve">; lo que refuerza la hipótesis </w:t>
      </w:r>
      <w:r w:rsidR="00163076">
        <w:rPr>
          <w:rFonts w:ascii="Verdana" w:hAnsi="Verdana" w:cs="Verdana"/>
          <w:bCs/>
          <w:sz w:val="20"/>
          <w:szCs w:val="20"/>
        </w:rPr>
        <w:t xml:space="preserve">de </w:t>
      </w:r>
      <w:r w:rsidR="00AF08DE">
        <w:rPr>
          <w:rFonts w:ascii="Verdana" w:hAnsi="Verdana" w:cs="Verdana"/>
          <w:bCs/>
          <w:sz w:val="20"/>
          <w:szCs w:val="20"/>
        </w:rPr>
        <w:t>los familiares</w:t>
      </w:r>
      <w:r w:rsidR="00163076">
        <w:rPr>
          <w:rFonts w:ascii="Verdana" w:hAnsi="Verdana" w:cs="Verdana"/>
          <w:bCs/>
          <w:sz w:val="20"/>
          <w:szCs w:val="20"/>
        </w:rPr>
        <w:t xml:space="preserve"> y representantes de las víctimas, así como de la Comisión Interamericana, relativa a que Robert Díaz Loreto no fue llevado directamente a</w:t>
      </w:r>
      <w:r w:rsidR="001A3AD8">
        <w:rPr>
          <w:rFonts w:ascii="Verdana" w:hAnsi="Verdana" w:cs="Verdana"/>
          <w:bCs/>
          <w:sz w:val="20"/>
          <w:szCs w:val="20"/>
        </w:rPr>
        <w:t>l Seguro Social de la Cornisa, en la ciudad de Cagua, cuestión que tambi</w:t>
      </w:r>
      <w:r w:rsidR="006973F8">
        <w:rPr>
          <w:rFonts w:ascii="Verdana" w:hAnsi="Verdana" w:cs="Verdana"/>
          <w:bCs/>
          <w:sz w:val="20"/>
          <w:szCs w:val="20"/>
        </w:rPr>
        <w:t xml:space="preserve">én se corrobora por la demora en el traslado de la víctima al centro médico. De esta forma, tal y </w:t>
      </w:r>
      <w:r w:rsidR="00163076">
        <w:rPr>
          <w:rFonts w:ascii="Verdana" w:hAnsi="Verdana" w:cs="Verdana"/>
          <w:bCs/>
          <w:sz w:val="20"/>
          <w:szCs w:val="20"/>
        </w:rPr>
        <w:t xml:space="preserve">como expresa la Sentencia ante las </w:t>
      </w:r>
      <w:r w:rsidR="007A5E27">
        <w:rPr>
          <w:rFonts w:ascii="Verdana" w:hAnsi="Verdana" w:cs="Verdana"/>
          <w:bCs/>
          <w:sz w:val="20"/>
          <w:szCs w:val="20"/>
        </w:rPr>
        <w:t>inconsistencias</w:t>
      </w:r>
      <w:r w:rsidR="00163076">
        <w:rPr>
          <w:rFonts w:ascii="Verdana" w:hAnsi="Verdana" w:cs="Verdana"/>
          <w:bCs/>
          <w:sz w:val="20"/>
          <w:szCs w:val="20"/>
        </w:rPr>
        <w:t xml:space="preserve"> de la versión estatal, “</w:t>
      </w:r>
      <w:r w:rsidR="006973F8">
        <w:rPr>
          <w:rFonts w:ascii="Verdana" w:hAnsi="Verdana" w:cs="Verdana"/>
          <w:bCs/>
          <w:sz w:val="20"/>
          <w:szCs w:val="20"/>
        </w:rPr>
        <w:t>estos h</w:t>
      </w:r>
      <w:r w:rsidR="00163076">
        <w:rPr>
          <w:rFonts w:ascii="Verdana" w:hAnsi="Verdana" w:cs="Verdana"/>
          <w:bCs/>
          <w:sz w:val="20"/>
          <w:szCs w:val="20"/>
        </w:rPr>
        <w:t>allazgos podrían estar indicando que fue sometido eventualmente a una serie de apremios físicos que serían constitutivos de malos tratos o de torturas”</w:t>
      </w:r>
      <w:r w:rsidR="00163076" w:rsidRPr="00163076">
        <w:rPr>
          <w:rStyle w:val="Refdenotaalpie"/>
          <w:rFonts w:ascii="Verdana" w:hAnsi="Verdana"/>
          <w:sz w:val="20"/>
          <w:szCs w:val="20"/>
        </w:rPr>
        <w:t xml:space="preserve"> </w:t>
      </w:r>
      <w:r w:rsidR="00163076" w:rsidRPr="00F37E3A">
        <w:rPr>
          <w:rStyle w:val="Refdenotaalpie"/>
          <w:rFonts w:ascii="Verdana" w:hAnsi="Verdana"/>
          <w:sz w:val="20"/>
          <w:szCs w:val="20"/>
        </w:rPr>
        <w:footnoteReference w:id="53"/>
      </w:r>
      <w:r w:rsidR="00163076">
        <w:rPr>
          <w:rFonts w:ascii="Verdana" w:hAnsi="Verdana" w:cs="Verdana"/>
          <w:bCs/>
          <w:sz w:val="20"/>
          <w:szCs w:val="20"/>
        </w:rPr>
        <w:t>.</w:t>
      </w:r>
    </w:p>
    <w:p w14:paraId="2C09216D" w14:textId="77777777" w:rsidR="00EB6B6F" w:rsidRDefault="003E415D" w:rsidP="00EB6B6F">
      <w:pPr>
        <w:spacing w:before="120" w:after="120"/>
        <w:jc w:val="both"/>
        <w:rPr>
          <w:rFonts w:ascii="Verdana" w:hAnsi="Verdana"/>
          <w:sz w:val="20"/>
          <w:szCs w:val="20"/>
        </w:rPr>
      </w:pPr>
      <w:r>
        <w:rPr>
          <w:rFonts w:ascii="Verdana" w:hAnsi="Verdana" w:cs="Verdana"/>
          <w:bCs/>
          <w:sz w:val="20"/>
          <w:szCs w:val="20"/>
        </w:rPr>
        <w:t>35</w:t>
      </w:r>
      <w:r w:rsidR="00785E3B">
        <w:rPr>
          <w:rFonts w:ascii="Verdana" w:hAnsi="Verdana" w:cs="Verdana"/>
          <w:bCs/>
          <w:sz w:val="20"/>
          <w:szCs w:val="20"/>
        </w:rPr>
        <w:t xml:space="preserve">. </w:t>
      </w:r>
      <w:r w:rsidR="00785E3B">
        <w:rPr>
          <w:rFonts w:ascii="Verdana" w:hAnsi="Verdana" w:cs="Verdana"/>
          <w:bCs/>
          <w:sz w:val="20"/>
          <w:szCs w:val="20"/>
        </w:rPr>
        <w:tab/>
      </w:r>
      <w:r w:rsidR="00EF3D06" w:rsidRPr="00F37E3A">
        <w:rPr>
          <w:rFonts w:ascii="Verdana" w:hAnsi="Verdana"/>
          <w:sz w:val="20"/>
          <w:szCs w:val="20"/>
        </w:rPr>
        <w:t xml:space="preserve">Por lo demás, el Estado no aportó ninguna explicación </w:t>
      </w:r>
      <w:r w:rsidR="009520B8" w:rsidRPr="00F37E3A">
        <w:rPr>
          <w:rFonts w:ascii="Verdana" w:hAnsi="Verdana"/>
          <w:sz w:val="20"/>
          <w:szCs w:val="20"/>
        </w:rPr>
        <w:t>sobre los motivos por los cuales la patrulla de la policía había tardado tanto tiempo en llegar al centro de salud con Robert Díaz Loreto a bordo</w:t>
      </w:r>
      <w:r w:rsidR="009520B8" w:rsidRPr="00F37E3A">
        <w:rPr>
          <w:rStyle w:val="Refdenotaalpie"/>
          <w:rFonts w:ascii="Verdana" w:hAnsi="Verdana"/>
          <w:sz w:val="20"/>
          <w:szCs w:val="20"/>
        </w:rPr>
        <w:footnoteReference w:id="54"/>
      </w:r>
      <w:r w:rsidR="00163076">
        <w:rPr>
          <w:rFonts w:ascii="Verdana" w:hAnsi="Verdana"/>
          <w:sz w:val="20"/>
          <w:szCs w:val="20"/>
        </w:rPr>
        <w:t>;</w:t>
      </w:r>
      <w:r w:rsidR="009520B8" w:rsidRPr="00F37E3A">
        <w:rPr>
          <w:rFonts w:ascii="Verdana" w:hAnsi="Verdana"/>
          <w:sz w:val="20"/>
          <w:szCs w:val="20"/>
        </w:rPr>
        <w:t xml:space="preserve"> tampoco explicó por qué motivo no se habían llevado </w:t>
      </w:r>
      <w:r w:rsidR="009520B8" w:rsidRPr="00F37E3A">
        <w:rPr>
          <w:rFonts w:ascii="Verdana" w:hAnsi="Verdana"/>
          <w:sz w:val="20"/>
          <w:szCs w:val="20"/>
        </w:rPr>
        <w:lastRenderedPageBreak/>
        <w:t>a cabo diligencias de investigación</w:t>
      </w:r>
      <w:r w:rsidR="00844A79">
        <w:rPr>
          <w:rFonts w:ascii="Verdana" w:hAnsi="Verdana"/>
          <w:sz w:val="20"/>
          <w:szCs w:val="20"/>
        </w:rPr>
        <w:t>,</w:t>
      </w:r>
      <w:r w:rsidR="009520B8" w:rsidRPr="00F37E3A">
        <w:rPr>
          <w:rFonts w:ascii="Verdana" w:hAnsi="Verdana"/>
          <w:sz w:val="20"/>
          <w:szCs w:val="20"/>
        </w:rPr>
        <w:t xml:space="preserve"> que resultan determinantes para desentrañar la verdad de lo ocurrido</w:t>
      </w:r>
      <w:r w:rsidR="008A1FFB">
        <w:rPr>
          <w:rFonts w:ascii="Verdana" w:hAnsi="Verdana"/>
          <w:sz w:val="20"/>
          <w:szCs w:val="20"/>
        </w:rPr>
        <w:t>. Tampoco</w:t>
      </w:r>
      <w:r w:rsidR="00844A79">
        <w:rPr>
          <w:rFonts w:ascii="Verdana" w:hAnsi="Verdana"/>
          <w:sz w:val="20"/>
          <w:szCs w:val="20"/>
        </w:rPr>
        <w:t xml:space="preserve"> </w:t>
      </w:r>
      <w:r w:rsidR="009520B8" w:rsidRPr="00F37E3A">
        <w:rPr>
          <w:rFonts w:ascii="Verdana" w:hAnsi="Verdana"/>
          <w:sz w:val="20"/>
          <w:szCs w:val="20"/>
        </w:rPr>
        <w:t>brindó algún elemento de respuesta que permita comprender por qué razón no se tomó en cuenta el contexto de ejecuciones extrajudiciales qu</w:t>
      </w:r>
      <w:r w:rsidR="00AF08DE">
        <w:rPr>
          <w:rFonts w:ascii="Verdana" w:hAnsi="Verdana"/>
          <w:sz w:val="20"/>
          <w:szCs w:val="20"/>
        </w:rPr>
        <w:t xml:space="preserve">e existía en Venezuela y en el </w:t>
      </w:r>
      <w:r w:rsidR="006D0B04">
        <w:rPr>
          <w:rFonts w:ascii="Verdana" w:hAnsi="Verdana"/>
          <w:sz w:val="20"/>
          <w:szCs w:val="20"/>
        </w:rPr>
        <w:t>estado Aragua</w:t>
      </w:r>
      <w:r w:rsidR="009520B8" w:rsidRPr="00F37E3A">
        <w:rPr>
          <w:rFonts w:ascii="Verdana" w:hAnsi="Verdana"/>
          <w:sz w:val="20"/>
          <w:szCs w:val="20"/>
        </w:rPr>
        <w:t xml:space="preserve"> al m</w:t>
      </w:r>
      <w:r w:rsidR="00FE6E8E">
        <w:rPr>
          <w:rFonts w:ascii="Verdana" w:hAnsi="Verdana"/>
          <w:sz w:val="20"/>
          <w:szCs w:val="20"/>
        </w:rPr>
        <w:t>o</w:t>
      </w:r>
      <w:r w:rsidR="009520B8" w:rsidRPr="00F37E3A">
        <w:rPr>
          <w:rFonts w:ascii="Verdana" w:hAnsi="Verdana"/>
          <w:sz w:val="20"/>
          <w:szCs w:val="20"/>
        </w:rPr>
        <w:t>mento de llevar a cabo la investigación por los hechos del presente caso</w:t>
      </w:r>
      <w:r w:rsidR="009520B8" w:rsidRPr="00F37E3A">
        <w:rPr>
          <w:rStyle w:val="Refdenotaalpie"/>
          <w:rFonts w:ascii="Verdana" w:hAnsi="Verdana"/>
          <w:sz w:val="20"/>
          <w:szCs w:val="20"/>
        </w:rPr>
        <w:footnoteReference w:id="55"/>
      </w:r>
      <w:r w:rsidR="009520B8" w:rsidRPr="00F37E3A">
        <w:rPr>
          <w:rFonts w:ascii="Verdana" w:hAnsi="Verdana"/>
          <w:sz w:val="20"/>
          <w:szCs w:val="20"/>
        </w:rPr>
        <w:t>.</w:t>
      </w:r>
    </w:p>
    <w:p w14:paraId="755427F0" w14:textId="77777777" w:rsidR="00EB6B6F" w:rsidRDefault="003E415D" w:rsidP="00EB6B6F">
      <w:pPr>
        <w:spacing w:before="120" w:after="120"/>
        <w:jc w:val="both"/>
        <w:rPr>
          <w:rFonts w:ascii="Verdana" w:hAnsi="Verdana"/>
          <w:spacing w:val="-2"/>
          <w:sz w:val="20"/>
          <w:szCs w:val="20"/>
        </w:rPr>
      </w:pPr>
      <w:r>
        <w:rPr>
          <w:rFonts w:ascii="Verdana" w:hAnsi="Verdana"/>
          <w:sz w:val="20"/>
          <w:szCs w:val="20"/>
        </w:rPr>
        <w:t>36</w:t>
      </w:r>
      <w:r w:rsidR="00785E3B">
        <w:rPr>
          <w:rFonts w:ascii="Verdana" w:hAnsi="Verdana"/>
          <w:sz w:val="20"/>
          <w:szCs w:val="20"/>
        </w:rPr>
        <w:t xml:space="preserve">. </w:t>
      </w:r>
      <w:r w:rsidR="00785E3B">
        <w:rPr>
          <w:rFonts w:ascii="Verdana" w:hAnsi="Verdana"/>
          <w:sz w:val="20"/>
          <w:szCs w:val="20"/>
        </w:rPr>
        <w:tab/>
      </w:r>
      <w:r w:rsidR="009520B8" w:rsidRPr="00F37E3A">
        <w:rPr>
          <w:rFonts w:ascii="Verdana" w:hAnsi="Verdana"/>
          <w:sz w:val="20"/>
          <w:szCs w:val="20"/>
        </w:rPr>
        <w:t xml:space="preserve">Sobre este último punto, la Corte </w:t>
      </w:r>
      <w:r w:rsidR="00AF08DE">
        <w:rPr>
          <w:rFonts w:ascii="Verdana" w:hAnsi="Verdana"/>
          <w:sz w:val="20"/>
          <w:szCs w:val="20"/>
        </w:rPr>
        <w:t xml:space="preserve">IDH </w:t>
      </w:r>
      <w:r w:rsidR="009520B8" w:rsidRPr="00F37E3A">
        <w:rPr>
          <w:rFonts w:ascii="Verdana" w:hAnsi="Verdana"/>
          <w:sz w:val="20"/>
          <w:szCs w:val="20"/>
        </w:rPr>
        <w:t xml:space="preserve">recordó su jurisprudencia constante de acuerdo a la cual </w:t>
      </w:r>
      <w:r w:rsidR="009520B8" w:rsidRPr="00F37E3A">
        <w:rPr>
          <w:rFonts w:ascii="Verdana" w:hAnsi="Verdana" w:cs="Verdana"/>
          <w:bCs/>
          <w:sz w:val="20"/>
          <w:szCs w:val="20"/>
        </w:rPr>
        <w:t>corresponde a las autoridades internas esclarecer los hechos y determinar las responsabilidades individuales. E</w:t>
      </w:r>
      <w:r w:rsidR="009520B8" w:rsidRPr="00F37E3A">
        <w:rPr>
          <w:rFonts w:ascii="Verdana" w:hAnsi="Verdana"/>
          <w:spacing w:val="-2"/>
          <w:sz w:val="20"/>
          <w:szCs w:val="20"/>
        </w:rPr>
        <w:t>n todo caso</w:t>
      </w:r>
      <w:r w:rsidR="00AF08DE">
        <w:rPr>
          <w:rFonts w:ascii="Verdana" w:hAnsi="Verdana"/>
          <w:spacing w:val="-2"/>
          <w:sz w:val="20"/>
          <w:szCs w:val="20"/>
        </w:rPr>
        <w:t>,</w:t>
      </w:r>
      <w:r w:rsidR="008A1FFB">
        <w:rPr>
          <w:rFonts w:ascii="Verdana" w:hAnsi="Verdana"/>
          <w:spacing w:val="-2"/>
          <w:sz w:val="20"/>
          <w:szCs w:val="20"/>
        </w:rPr>
        <w:t xml:space="preserve"> </w:t>
      </w:r>
      <w:r w:rsidR="009520B8" w:rsidRPr="00F37E3A">
        <w:rPr>
          <w:rFonts w:ascii="Verdana" w:hAnsi="Verdana"/>
          <w:spacing w:val="-2"/>
          <w:sz w:val="20"/>
          <w:szCs w:val="20"/>
        </w:rPr>
        <w:t>e</w:t>
      </w:r>
      <w:r w:rsidR="008A1FFB">
        <w:rPr>
          <w:rFonts w:ascii="Verdana" w:hAnsi="Verdana"/>
          <w:spacing w:val="-2"/>
          <w:sz w:val="20"/>
          <w:szCs w:val="20"/>
        </w:rPr>
        <w:t>l</w:t>
      </w:r>
      <w:r w:rsidR="009520B8" w:rsidRPr="00F37E3A">
        <w:rPr>
          <w:rFonts w:ascii="Verdana" w:hAnsi="Verdana"/>
          <w:spacing w:val="-2"/>
          <w:sz w:val="20"/>
          <w:szCs w:val="20"/>
        </w:rPr>
        <w:t xml:space="preserve"> uso de la fuerza por parte de agentes estatales que hayan producido la muerte o lesiones a una o más personas, corresponde al Estado la obligación de proveer una explicación satisfactoria y convincente de lo sucedido y desvirtuar las alegaciones sobre su responsabilidad, mediante </w:t>
      </w:r>
      <w:r w:rsidR="008A1FFB">
        <w:rPr>
          <w:rFonts w:ascii="Verdana" w:hAnsi="Verdana"/>
          <w:spacing w:val="-2"/>
          <w:sz w:val="20"/>
          <w:szCs w:val="20"/>
        </w:rPr>
        <w:t>elementos probatorios adecuados;</w:t>
      </w:r>
      <w:r w:rsidR="009520B8" w:rsidRPr="00F37E3A">
        <w:rPr>
          <w:rFonts w:ascii="Verdana" w:hAnsi="Verdana"/>
          <w:spacing w:val="-2"/>
          <w:sz w:val="20"/>
          <w:szCs w:val="20"/>
        </w:rPr>
        <w:t xml:space="preserve"> lo cual no ha ocurrido en el presente caso, dadas las contradicciones no esclarecidas y defectos de técnica criminalística señalados</w:t>
      </w:r>
      <w:r w:rsidR="009520B8" w:rsidRPr="00F37E3A">
        <w:rPr>
          <w:rStyle w:val="Refdenotaalpie"/>
          <w:rFonts w:ascii="Verdana" w:hAnsi="Verdana"/>
          <w:spacing w:val="-2"/>
          <w:sz w:val="20"/>
          <w:szCs w:val="20"/>
        </w:rPr>
        <w:footnoteReference w:id="56"/>
      </w:r>
      <w:r w:rsidR="009520B8" w:rsidRPr="00F37E3A">
        <w:rPr>
          <w:rFonts w:ascii="Verdana" w:hAnsi="Verdana"/>
          <w:spacing w:val="-2"/>
          <w:sz w:val="20"/>
          <w:szCs w:val="20"/>
        </w:rPr>
        <w:t>.</w:t>
      </w:r>
    </w:p>
    <w:p w14:paraId="388D1E1F" w14:textId="77777777" w:rsidR="00EB6B6F" w:rsidRDefault="003E415D" w:rsidP="00EB6B6F">
      <w:pPr>
        <w:spacing w:before="120" w:after="120"/>
        <w:jc w:val="both"/>
        <w:rPr>
          <w:rFonts w:ascii="Verdana" w:hAnsi="Verdana"/>
          <w:sz w:val="20"/>
          <w:szCs w:val="20"/>
        </w:rPr>
      </w:pPr>
      <w:r>
        <w:rPr>
          <w:rFonts w:ascii="Verdana" w:hAnsi="Verdana"/>
          <w:spacing w:val="-2"/>
          <w:sz w:val="20"/>
          <w:szCs w:val="20"/>
        </w:rPr>
        <w:t>37</w:t>
      </w:r>
      <w:r w:rsidR="00785E3B">
        <w:rPr>
          <w:rFonts w:ascii="Verdana" w:hAnsi="Verdana"/>
          <w:spacing w:val="-2"/>
          <w:sz w:val="20"/>
          <w:szCs w:val="20"/>
        </w:rPr>
        <w:t xml:space="preserve">. </w:t>
      </w:r>
      <w:r w:rsidR="00785E3B">
        <w:rPr>
          <w:rFonts w:ascii="Verdana" w:hAnsi="Verdana"/>
          <w:spacing w:val="-2"/>
          <w:sz w:val="20"/>
          <w:szCs w:val="20"/>
        </w:rPr>
        <w:tab/>
      </w:r>
      <w:r w:rsidR="009520B8" w:rsidRPr="00F37E3A">
        <w:rPr>
          <w:rFonts w:ascii="Verdana" w:hAnsi="Verdana"/>
          <w:sz w:val="20"/>
          <w:szCs w:val="20"/>
        </w:rPr>
        <w:t>En este sentido</w:t>
      </w:r>
      <w:r w:rsidR="00210BBC" w:rsidRPr="00F37E3A">
        <w:rPr>
          <w:rFonts w:ascii="Verdana" w:hAnsi="Verdana"/>
          <w:sz w:val="20"/>
          <w:szCs w:val="20"/>
        </w:rPr>
        <w:t>, ent</w:t>
      </w:r>
      <w:r w:rsidR="00630CF0">
        <w:rPr>
          <w:rFonts w:ascii="Verdana" w:hAnsi="Verdana"/>
          <w:sz w:val="20"/>
          <w:szCs w:val="20"/>
        </w:rPr>
        <w:t>endemos</w:t>
      </w:r>
      <w:r w:rsidR="00210BBC" w:rsidRPr="00F37E3A">
        <w:rPr>
          <w:rFonts w:ascii="Verdana" w:hAnsi="Verdana"/>
          <w:sz w:val="20"/>
          <w:szCs w:val="20"/>
        </w:rPr>
        <w:t xml:space="preserve"> que l</w:t>
      </w:r>
      <w:r w:rsidR="00B105DC" w:rsidRPr="00F37E3A">
        <w:rPr>
          <w:rFonts w:ascii="Verdana" w:hAnsi="Verdana"/>
          <w:sz w:val="20"/>
          <w:szCs w:val="20"/>
        </w:rPr>
        <w:t>a coexistencia de las versiones contradictorias en torno a lo ocurrido</w:t>
      </w:r>
      <w:r w:rsidR="00210BBC" w:rsidRPr="00F37E3A">
        <w:rPr>
          <w:rFonts w:ascii="Verdana" w:hAnsi="Verdana"/>
          <w:sz w:val="20"/>
          <w:szCs w:val="20"/>
        </w:rPr>
        <w:t xml:space="preserve"> en el presente caso,</w:t>
      </w:r>
      <w:r w:rsidR="00B105DC" w:rsidRPr="00F37E3A">
        <w:rPr>
          <w:rFonts w:ascii="Verdana" w:hAnsi="Verdana"/>
          <w:sz w:val="20"/>
          <w:szCs w:val="20"/>
        </w:rPr>
        <w:t xml:space="preserve"> únicamente se sostiene por la </w:t>
      </w:r>
      <w:r w:rsidR="00B105DC" w:rsidRPr="00F37E3A">
        <w:rPr>
          <w:rFonts w:ascii="Verdana" w:hAnsi="Verdana"/>
          <w:spacing w:val="-2"/>
          <w:sz w:val="20"/>
          <w:szCs w:val="20"/>
        </w:rPr>
        <w:t>negligencia</w:t>
      </w:r>
      <w:r w:rsidR="00B105DC" w:rsidRPr="00F37E3A">
        <w:rPr>
          <w:rFonts w:ascii="Verdana" w:hAnsi="Verdana"/>
          <w:sz w:val="20"/>
          <w:szCs w:val="20"/>
        </w:rPr>
        <w:t xml:space="preserve"> de las autoridades a la hora de llevar a cabo ciertas pr</w:t>
      </w:r>
      <w:r w:rsidR="00221C5A" w:rsidRPr="00F37E3A">
        <w:rPr>
          <w:rFonts w:ascii="Verdana" w:hAnsi="Verdana"/>
          <w:sz w:val="20"/>
          <w:szCs w:val="20"/>
        </w:rPr>
        <w:t>uebas forenses elementales</w:t>
      </w:r>
      <w:r w:rsidR="00210BBC" w:rsidRPr="00F37E3A">
        <w:rPr>
          <w:rFonts w:ascii="Verdana" w:hAnsi="Verdana"/>
          <w:sz w:val="20"/>
          <w:szCs w:val="20"/>
        </w:rPr>
        <w:t xml:space="preserve">. En ese </w:t>
      </w:r>
      <w:r w:rsidR="00FE6E8E">
        <w:rPr>
          <w:rFonts w:ascii="Verdana" w:hAnsi="Verdana"/>
          <w:sz w:val="20"/>
          <w:szCs w:val="20"/>
        </w:rPr>
        <w:t>punto</w:t>
      </w:r>
      <w:r w:rsidR="00210BBC" w:rsidRPr="00F37E3A">
        <w:rPr>
          <w:rFonts w:ascii="Verdana" w:hAnsi="Verdana"/>
          <w:sz w:val="20"/>
          <w:szCs w:val="20"/>
        </w:rPr>
        <w:t xml:space="preserve"> y en el mismo sentido de lo que señala la Sentencia, </w:t>
      </w:r>
      <w:r w:rsidR="00B105DC" w:rsidRPr="00F37E3A">
        <w:rPr>
          <w:rFonts w:ascii="Verdana" w:hAnsi="Verdana"/>
          <w:sz w:val="20"/>
          <w:szCs w:val="20"/>
        </w:rPr>
        <w:t xml:space="preserve">no </w:t>
      </w:r>
      <w:r w:rsidR="00210BBC" w:rsidRPr="00F37E3A">
        <w:rPr>
          <w:rFonts w:ascii="Verdana" w:hAnsi="Verdana"/>
          <w:sz w:val="20"/>
          <w:szCs w:val="20"/>
        </w:rPr>
        <w:t>resulta</w:t>
      </w:r>
      <w:r w:rsidR="00B105DC" w:rsidRPr="00F37E3A">
        <w:rPr>
          <w:rFonts w:ascii="Verdana" w:hAnsi="Verdana"/>
          <w:sz w:val="20"/>
          <w:szCs w:val="20"/>
        </w:rPr>
        <w:t xml:space="preserve"> razonable que esas negligencias constituyen elementos que </w:t>
      </w:r>
      <w:r w:rsidR="00210BBC" w:rsidRPr="00F37E3A">
        <w:rPr>
          <w:rFonts w:ascii="Verdana" w:hAnsi="Verdana"/>
          <w:sz w:val="20"/>
          <w:szCs w:val="20"/>
        </w:rPr>
        <w:t xml:space="preserve">sean contrarios a los derechos de </w:t>
      </w:r>
      <w:r w:rsidR="00B105DC" w:rsidRPr="00F37E3A">
        <w:rPr>
          <w:rFonts w:ascii="Verdana" w:hAnsi="Verdana"/>
          <w:sz w:val="20"/>
          <w:szCs w:val="20"/>
        </w:rPr>
        <w:t>las víctimas del caso, en particular si se considera que la decisión de diligenciar esa prueba no dependía de ellas s</w:t>
      </w:r>
      <w:r w:rsidR="00221C5A" w:rsidRPr="00F37E3A">
        <w:rPr>
          <w:rFonts w:ascii="Verdana" w:hAnsi="Verdana"/>
          <w:sz w:val="20"/>
          <w:szCs w:val="20"/>
        </w:rPr>
        <w:t>ino de las autoridades internas</w:t>
      </w:r>
      <w:r w:rsidR="00210BBC" w:rsidRPr="00F37E3A">
        <w:rPr>
          <w:rStyle w:val="Refdenotaalpie"/>
          <w:rFonts w:ascii="Verdana" w:hAnsi="Verdana"/>
          <w:sz w:val="20"/>
          <w:szCs w:val="20"/>
        </w:rPr>
        <w:footnoteReference w:id="57"/>
      </w:r>
      <w:r w:rsidR="00210BBC" w:rsidRPr="00F37E3A">
        <w:rPr>
          <w:rFonts w:ascii="Verdana" w:hAnsi="Verdana"/>
          <w:sz w:val="20"/>
          <w:szCs w:val="20"/>
        </w:rPr>
        <w:t>.</w:t>
      </w:r>
    </w:p>
    <w:p w14:paraId="18C94F86" w14:textId="77777777" w:rsidR="00EB6B6F" w:rsidRDefault="003E415D" w:rsidP="00EB6B6F">
      <w:pPr>
        <w:spacing w:before="120" w:after="120"/>
        <w:jc w:val="both"/>
        <w:rPr>
          <w:rFonts w:ascii="Verdana" w:hAnsi="Verdana"/>
          <w:sz w:val="20"/>
          <w:szCs w:val="20"/>
        </w:rPr>
      </w:pPr>
      <w:r>
        <w:rPr>
          <w:rFonts w:ascii="Verdana" w:hAnsi="Verdana"/>
          <w:sz w:val="20"/>
          <w:szCs w:val="20"/>
        </w:rPr>
        <w:t>38</w:t>
      </w:r>
      <w:r w:rsidR="00785E3B">
        <w:rPr>
          <w:rFonts w:ascii="Verdana" w:hAnsi="Verdana"/>
          <w:sz w:val="20"/>
          <w:szCs w:val="20"/>
        </w:rPr>
        <w:t xml:space="preserve">. </w:t>
      </w:r>
      <w:r w:rsidR="00785E3B">
        <w:rPr>
          <w:rFonts w:ascii="Verdana" w:hAnsi="Verdana"/>
          <w:sz w:val="20"/>
          <w:szCs w:val="20"/>
        </w:rPr>
        <w:tab/>
      </w:r>
      <w:r w:rsidR="00210BBC" w:rsidRPr="00F37E3A">
        <w:rPr>
          <w:rFonts w:ascii="Verdana" w:hAnsi="Verdana"/>
          <w:sz w:val="20"/>
          <w:szCs w:val="20"/>
        </w:rPr>
        <w:t xml:space="preserve">En relación con ello, es legítimo interrogarse sobre </w:t>
      </w:r>
      <w:r w:rsidR="00FE6E8E">
        <w:rPr>
          <w:rFonts w:ascii="Verdana" w:hAnsi="Verdana"/>
          <w:sz w:val="20"/>
          <w:szCs w:val="20"/>
        </w:rPr>
        <w:t>lo</w:t>
      </w:r>
      <w:r w:rsidR="00E0397F">
        <w:rPr>
          <w:rFonts w:ascii="Verdana" w:hAnsi="Verdana"/>
          <w:sz w:val="20"/>
          <w:szCs w:val="20"/>
        </w:rPr>
        <w:t>s</w:t>
      </w:r>
      <w:r w:rsidR="00FE6E8E">
        <w:rPr>
          <w:rFonts w:ascii="Verdana" w:hAnsi="Verdana"/>
          <w:sz w:val="20"/>
          <w:szCs w:val="20"/>
        </w:rPr>
        <w:t xml:space="preserve"> requisitos de prueba que se exigen</w:t>
      </w:r>
      <w:r w:rsidR="007E1ED2">
        <w:rPr>
          <w:rFonts w:ascii="Verdana" w:hAnsi="Verdana"/>
          <w:sz w:val="20"/>
          <w:szCs w:val="20"/>
        </w:rPr>
        <w:t>,</w:t>
      </w:r>
      <w:r w:rsidR="00FE6E8E">
        <w:rPr>
          <w:rFonts w:ascii="Verdana" w:hAnsi="Verdana"/>
          <w:sz w:val="20"/>
          <w:szCs w:val="20"/>
        </w:rPr>
        <w:t xml:space="preserve"> así como </w:t>
      </w:r>
      <w:r w:rsidR="00210BBC" w:rsidRPr="00F37E3A">
        <w:rPr>
          <w:rFonts w:ascii="Verdana" w:hAnsi="Verdana"/>
          <w:sz w:val="20"/>
          <w:szCs w:val="20"/>
        </w:rPr>
        <w:t>el modo en</w:t>
      </w:r>
      <w:r w:rsidR="00985603">
        <w:rPr>
          <w:rFonts w:ascii="Verdana" w:hAnsi="Verdana"/>
          <w:sz w:val="20"/>
          <w:szCs w:val="20"/>
        </w:rPr>
        <w:t xml:space="preserve"> que</w:t>
      </w:r>
      <w:r w:rsidR="00221C5A" w:rsidRPr="00F37E3A">
        <w:rPr>
          <w:rFonts w:ascii="Verdana" w:hAnsi="Verdana"/>
          <w:sz w:val="20"/>
          <w:szCs w:val="20"/>
        </w:rPr>
        <w:t xml:space="preserve"> </w:t>
      </w:r>
      <w:r w:rsidR="00FE6E8E">
        <w:rPr>
          <w:rFonts w:ascii="Verdana" w:hAnsi="Verdana"/>
          <w:sz w:val="20"/>
          <w:szCs w:val="20"/>
        </w:rPr>
        <w:t xml:space="preserve">se </w:t>
      </w:r>
      <w:r w:rsidR="00221C5A" w:rsidRPr="00F37E3A">
        <w:rPr>
          <w:rFonts w:ascii="Verdana" w:hAnsi="Verdana"/>
          <w:sz w:val="20"/>
          <w:szCs w:val="20"/>
        </w:rPr>
        <w:t xml:space="preserve">podría haber probado la ejecución extrajudicial </w:t>
      </w:r>
      <w:r w:rsidR="00210BBC" w:rsidRPr="00F37E3A">
        <w:rPr>
          <w:rFonts w:ascii="Verdana" w:hAnsi="Verdana"/>
          <w:sz w:val="20"/>
          <w:szCs w:val="20"/>
        </w:rPr>
        <w:t>de las tres vícti</w:t>
      </w:r>
      <w:r w:rsidR="00985603">
        <w:rPr>
          <w:rFonts w:ascii="Verdana" w:hAnsi="Verdana"/>
          <w:sz w:val="20"/>
          <w:szCs w:val="20"/>
        </w:rPr>
        <w:t>mas del caso</w:t>
      </w:r>
      <w:r w:rsidR="008A1FFB">
        <w:rPr>
          <w:rFonts w:ascii="Verdana" w:hAnsi="Verdana"/>
          <w:sz w:val="20"/>
          <w:szCs w:val="20"/>
        </w:rPr>
        <w:t>;</w:t>
      </w:r>
      <w:r w:rsidR="00985603">
        <w:rPr>
          <w:rFonts w:ascii="Verdana" w:hAnsi="Verdana"/>
          <w:sz w:val="20"/>
          <w:szCs w:val="20"/>
        </w:rPr>
        <w:t xml:space="preserve"> más aún si se tiene</w:t>
      </w:r>
      <w:r w:rsidR="00210BBC" w:rsidRPr="00F37E3A">
        <w:rPr>
          <w:rFonts w:ascii="Verdana" w:hAnsi="Verdana"/>
          <w:sz w:val="20"/>
          <w:szCs w:val="20"/>
        </w:rPr>
        <w:t xml:space="preserve"> en consideración que </w:t>
      </w:r>
      <w:r w:rsidR="00B21453">
        <w:rPr>
          <w:rFonts w:ascii="Verdana" w:hAnsi="Verdana"/>
          <w:sz w:val="20"/>
          <w:szCs w:val="20"/>
        </w:rPr>
        <w:t>los representantes de las</w:t>
      </w:r>
      <w:r w:rsidR="00221C5A" w:rsidRPr="00F37E3A">
        <w:rPr>
          <w:rFonts w:ascii="Verdana" w:hAnsi="Verdana"/>
          <w:sz w:val="20"/>
          <w:szCs w:val="20"/>
        </w:rPr>
        <w:t xml:space="preserve"> víctimas no podían razonablemente contar con otros elementos de prueba adicionales a los que produjo</w:t>
      </w:r>
      <w:r w:rsidR="00210BBC" w:rsidRPr="00F37E3A">
        <w:rPr>
          <w:rFonts w:ascii="Verdana" w:hAnsi="Verdana"/>
          <w:sz w:val="20"/>
          <w:szCs w:val="20"/>
        </w:rPr>
        <w:t xml:space="preserve"> en el presente caso contencioso</w:t>
      </w:r>
      <w:r w:rsidR="00221C5A" w:rsidRPr="00F37E3A">
        <w:rPr>
          <w:rFonts w:ascii="Verdana" w:hAnsi="Verdana"/>
          <w:sz w:val="20"/>
          <w:szCs w:val="20"/>
        </w:rPr>
        <w:t>.</w:t>
      </w:r>
      <w:r w:rsidR="00210BBC" w:rsidRPr="00F37E3A">
        <w:rPr>
          <w:rFonts w:ascii="Verdana" w:hAnsi="Verdana"/>
          <w:sz w:val="20"/>
          <w:szCs w:val="20"/>
        </w:rPr>
        <w:t xml:space="preserve"> </w:t>
      </w:r>
      <w:r w:rsidR="00221C5A" w:rsidRPr="00F37E3A">
        <w:rPr>
          <w:rFonts w:ascii="Verdana" w:hAnsi="Verdana"/>
          <w:sz w:val="20"/>
          <w:szCs w:val="20"/>
        </w:rPr>
        <w:t xml:space="preserve">Ello equivaldría a exigir una </w:t>
      </w:r>
      <w:r w:rsidR="00EB7448" w:rsidRPr="00F37E3A">
        <w:rPr>
          <w:rFonts w:ascii="Verdana" w:hAnsi="Verdana"/>
          <w:sz w:val="20"/>
          <w:szCs w:val="20"/>
        </w:rPr>
        <w:t xml:space="preserve">evidencia </w:t>
      </w:r>
      <w:r w:rsidR="00221C5A" w:rsidRPr="00F37E3A">
        <w:rPr>
          <w:rFonts w:ascii="Verdana" w:hAnsi="Verdana"/>
          <w:sz w:val="20"/>
          <w:szCs w:val="20"/>
        </w:rPr>
        <w:t>que es imposible de ser producida para probar esos extremos.</w:t>
      </w:r>
      <w:r w:rsidR="00FE6E8E">
        <w:rPr>
          <w:rFonts w:ascii="Verdana" w:hAnsi="Verdana"/>
          <w:sz w:val="20"/>
          <w:szCs w:val="20"/>
        </w:rPr>
        <w:t xml:space="preserve"> </w:t>
      </w:r>
      <w:r w:rsidR="00F84081">
        <w:rPr>
          <w:rFonts w:ascii="Verdana" w:hAnsi="Verdana"/>
          <w:sz w:val="20"/>
          <w:szCs w:val="20"/>
        </w:rPr>
        <w:t>Y de ahí la necesidad de una valoración conjunta del contexto probado, con los indicios y presunciones del material probatorio.</w:t>
      </w:r>
    </w:p>
    <w:p w14:paraId="7DFC8D5C" w14:textId="77777777" w:rsidR="008B63F3" w:rsidRPr="00AF08DE" w:rsidRDefault="00B203E9" w:rsidP="00B203E9">
      <w:pPr>
        <w:spacing w:before="240" w:after="240"/>
        <w:jc w:val="center"/>
        <w:outlineLvl w:val="0"/>
        <w:rPr>
          <w:rFonts w:ascii="Verdana" w:hAnsi="Verdana"/>
          <w:b/>
          <w:sz w:val="20"/>
          <w:szCs w:val="20"/>
        </w:rPr>
      </w:pPr>
      <w:r w:rsidRPr="00AF08DE">
        <w:rPr>
          <w:rFonts w:ascii="Verdana" w:hAnsi="Verdana"/>
          <w:b/>
          <w:sz w:val="20"/>
          <w:szCs w:val="20"/>
        </w:rPr>
        <w:t xml:space="preserve">IV. </w:t>
      </w:r>
      <w:r w:rsidR="008640AC" w:rsidRPr="00AF08DE">
        <w:rPr>
          <w:rFonts w:ascii="Verdana" w:hAnsi="Verdana"/>
          <w:b/>
          <w:sz w:val="20"/>
          <w:szCs w:val="20"/>
        </w:rPr>
        <w:t>CONCLUSIÓN</w:t>
      </w:r>
    </w:p>
    <w:p w14:paraId="5CC7FFC7" w14:textId="77777777" w:rsidR="00EB6B6F" w:rsidRDefault="003E415D" w:rsidP="00EB6B6F">
      <w:pPr>
        <w:spacing w:before="120" w:after="120"/>
        <w:jc w:val="both"/>
        <w:rPr>
          <w:rFonts w:ascii="Verdana" w:hAnsi="Verdana"/>
          <w:sz w:val="20"/>
          <w:szCs w:val="20"/>
        </w:rPr>
      </w:pPr>
      <w:r>
        <w:rPr>
          <w:rFonts w:ascii="Verdana" w:hAnsi="Verdana"/>
          <w:sz w:val="20"/>
          <w:szCs w:val="20"/>
        </w:rPr>
        <w:t>39</w:t>
      </w:r>
      <w:r w:rsidR="00EB6B6F">
        <w:rPr>
          <w:rFonts w:ascii="Verdana" w:hAnsi="Verdana"/>
          <w:sz w:val="20"/>
          <w:szCs w:val="20"/>
        </w:rPr>
        <w:t xml:space="preserve">. </w:t>
      </w:r>
      <w:r w:rsidR="00985603">
        <w:rPr>
          <w:rFonts w:ascii="Verdana" w:hAnsi="Verdana"/>
          <w:sz w:val="20"/>
          <w:szCs w:val="20"/>
        </w:rPr>
        <w:tab/>
      </w:r>
      <w:r w:rsidR="008B63F3">
        <w:rPr>
          <w:rFonts w:ascii="Verdana" w:hAnsi="Verdana"/>
          <w:sz w:val="20"/>
          <w:szCs w:val="20"/>
        </w:rPr>
        <w:t>Por lo expuesto</w:t>
      </w:r>
      <w:r w:rsidR="00B21453">
        <w:rPr>
          <w:rFonts w:ascii="Verdana" w:hAnsi="Verdana"/>
          <w:sz w:val="20"/>
          <w:szCs w:val="20"/>
        </w:rPr>
        <w:t>,</w:t>
      </w:r>
      <w:r w:rsidR="008B63F3">
        <w:rPr>
          <w:rFonts w:ascii="Verdana" w:hAnsi="Verdana"/>
          <w:sz w:val="20"/>
          <w:szCs w:val="20"/>
        </w:rPr>
        <w:t xml:space="preserve"> </w:t>
      </w:r>
      <w:r w:rsidR="00785E3B">
        <w:rPr>
          <w:rFonts w:ascii="Verdana" w:hAnsi="Verdana"/>
          <w:sz w:val="20"/>
          <w:szCs w:val="20"/>
        </w:rPr>
        <w:t xml:space="preserve">en casos como el presente, </w:t>
      </w:r>
      <w:r w:rsidR="00221C5A" w:rsidRPr="00F37E3A">
        <w:rPr>
          <w:rFonts w:ascii="Verdana" w:hAnsi="Verdana"/>
          <w:sz w:val="20"/>
          <w:szCs w:val="20"/>
        </w:rPr>
        <w:t>donde</w:t>
      </w:r>
      <w:r w:rsidR="007E1ED2">
        <w:rPr>
          <w:rFonts w:ascii="Verdana" w:hAnsi="Verdana"/>
          <w:sz w:val="20"/>
          <w:szCs w:val="20"/>
        </w:rPr>
        <w:t>:</w:t>
      </w:r>
      <w:r w:rsidR="00221C5A" w:rsidRPr="00F37E3A">
        <w:rPr>
          <w:rFonts w:ascii="Verdana" w:hAnsi="Verdana"/>
          <w:sz w:val="20"/>
          <w:szCs w:val="20"/>
        </w:rPr>
        <w:t xml:space="preserve"> a) existe un contexto </w:t>
      </w:r>
      <w:r w:rsidR="00563ECD">
        <w:rPr>
          <w:rFonts w:ascii="Verdana" w:hAnsi="Verdana"/>
          <w:sz w:val="20"/>
          <w:szCs w:val="20"/>
        </w:rPr>
        <w:t xml:space="preserve">y </w:t>
      </w:r>
      <w:r w:rsidR="00563ECD" w:rsidRPr="00563ECD">
        <w:rPr>
          <w:rFonts w:ascii="Verdana" w:hAnsi="Verdana"/>
          <w:i/>
          <w:sz w:val="20"/>
          <w:szCs w:val="20"/>
        </w:rPr>
        <w:t>modus operandi</w:t>
      </w:r>
      <w:r w:rsidR="00563ECD">
        <w:rPr>
          <w:rFonts w:ascii="Verdana" w:hAnsi="Verdana"/>
          <w:sz w:val="20"/>
          <w:szCs w:val="20"/>
        </w:rPr>
        <w:t xml:space="preserve"> </w:t>
      </w:r>
      <w:r w:rsidR="008B63F3">
        <w:rPr>
          <w:rFonts w:ascii="Verdana" w:hAnsi="Verdana"/>
          <w:sz w:val="20"/>
          <w:szCs w:val="20"/>
        </w:rPr>
        <w:t xml:space="preserve">plenamente </w:t>
      </w:r>
      <w:r w:rsidR="00EB6B6F">
        <w:rPr>
          <w:rFonts w:ascii="Verdana" w:hAnsi="Verdana"/>
          <w:sz w:val="20"/>
          <w:szCs w:val="20"/>
        </w:rPr>
        <w:t xml:space="preserve">probado </w:t>
      </w:r>
      <w:r w:rsidR="00221C5A" w:rsidRPr="00F37E3A">
        <w:rPr>
          <w:rFonts w:ascii="Verdana" w:hAnsi="Verdana"/>
          <w:sz w:val="20"/>
          <w:szCs w:val="20"/>
        </w:rPr>
        <w:t>de ejecuciones</w:t>
      </w:r>
      <w:r w:rsidR="00EB6B6F">
        <w:rPr>
          <w:rFonts w:ascii="Verdana" w:hAnsi="Verdana"/>
          <w:sz w:val="20"/>
          <w:szCs w:val="20"/>
        </w:rPr>
        <w:t xml:space="preserve"> extrajudiciales por agentes estatales</w:t>
      </w:r>
      <w:r w:rsidR="00AF08DE">
        <w:rPr>
          <w:rFonts w:ascii="Verdana" w:hAnsi="Verdana"/>
          <w:sz w:val="20"/>
          <w:szCs w:val="20"/>
        </w:rPr>
        <w:t xml:space="preserve"> en un país</w:t>
      </w:r>
      <w:r w:rsidR="00EB6B6F">
        <w:rPr>
          <w:rFonts w:ascii="Verdana" w:hAnsi="Verdana"/>
          <w:sz w:val="20"/>
          <w:szCs w:val="20"/>
        </w:rPr>
        <w:t xml:space="preserve">, particularmente en la </w:t>
      </w:r>
      <w:r w:rsidR="008B63F3">
        <w:rPr>
          <w:rFonts w:ascii="Verdana" w:hAnsi="Verdana"/>
          <w:sz w:val="20"/>
          <w:szCs w:val="20"/>
        </w:rPr>
        <w:t xml:space="preserve">misma </w:t>
      </w:r>
      <w:r w:rsidR="00EB6B6F">
        <w:rPr>
          <w:rFonts w:ascii="Verdana" w:hAnsi="Verdana"/>
          <w:sz w:val="20"/>
          <w:szCs w:val="20"/>
        </w:rPr>
        <w:t>zona geográfica donde</w:t>
      </w:r>
      <w:r w:rsidR="008B63F3">
        <w:rPr>
          <w:rFonts w:ascii="Verdana" w:hAnsi="Verdana"/>
          <w:sz w:val="20"/>
          <w:szCs w:val="20"/>
        </w:rPr>
        <w:t xml:space="preserve"> ocurrieron</w:t>
      </w:r>
      <w:r w:rsidR="00EB6B6F">
        <w:rPr>
          <w:rFonts w:ascii="Verdana" w:hAnsi="Verdana"/>
          <w:sz w:val="20"/>
          <w:szCs w:val="20"/>
        </w:rPr>
        <w:t xml:space="preserve"> los hechos del caso; b) dicho contexto ha sido reconocido por el Estado; </w:t>
      </w:r>
      <w:r w:rsidR="008B63F3">
        <w:rPr>
          <w:rFonts w:ascii="Verdana" w:hAnsi="Verdana"/>
          <w:sz w:val="20"/>
          <w:szCs w:val="20"/>
        </w:rPr>
        <w:t xml:space="preserve">c) </w:t>
      </w:r>
      <w:r w:rsidR="00221C5A" w:rsidRPr="00F37E3A">
        <w:rPr>
          <w:rFonts w:ascii="Verdana" w:hAnsi="Verdana"/>
          <w:sz w:val="20"/>
          <w:szCs w:val="20"/>
        </w:rPr>
        <w:t xml:space="preserve">el cual coincide </w:t>
      </w:r>
      <w:r w:rsidR="006973F8">
        <w:rPr>
          <w:rFonts w:ascii="Verdana" w:hAnsi="Verdana"/>
          <w:sz w:val="20"/>
          <w:szCs w:val="20"/>
        </w:rPr>
        <w:t xml:space="preserve">en lo esencial </w:t>
      </w:r>
      <w:r w:rsidR="00221C5A" w:rsidRPr="00F37E3A">
        <w:rPr>
          <w:rFonts w:ascii="Verdana" w:hAnsi="Verdana"/>
          <w:sz w:val="20"/>
          <w:szCs w:val="20"/>
        </w:rPr>
        <w:t>con los hechos concr</w:t>
      </w:r>
      <w:r w:rsidR="00EB6B6F">
        <w:rPr>
          <w:rFonts w:ascii="Verdana" w:hAnsi="Verdana"/>
          <w:sz w:val="20"/>
          <w:szCs w:val="20"/>
        </w:rPr>
        <w:t>etos que deben ser analizados</w:t>
      </w:r>
      <w:r w:rsidR="008B63F3">
        <w:rPr>
          <w:rFonts w:ascii="Verdana" w:hAnsi="Verdana"/>
          <w:sz w:val="20"/>
          <w:szCs w:val="20"/>
        </w:rPr>
        <w:t>;</w:t>
      </w:r>
      <w:r w:rsidR="008B63F3" w:rsidRPr="008B63F3">
        <w:rPr>
          <w:rFonts w:ascii="Verdana" w:hAnsi="Verdana"/>
          <w:sz w:val="20"/>
          <w:szCs w:val="20"/>
        </w:rPr>
        <w:t xml:space="preserve"> </w:t>
      </w:r>
      <w:r w:rsidR="008B63F3">
        <w:rPr>
          <w:rFonts w:ascii="Verdana" w:hAnsi="Verdana"/>
          <w:sz w:val="20"/>
          <w:szCs w:val="20"/>
        </w:rPr>
        <w:t>d</w:t>
      </w:r>
      <w:r w:rsidR="008B63F3" w:rsidRPr="00F37E3A">
        <w:rPr>
          <w:rFonts w:ascii="Verdana" w:hAnsi="Verdana"/>
          <w:sz w:val="20"/>
          <w:szCs w:val="20"/>
        </w:rPr>
        <w:t xml:space="preserve">) </w:t>
      </w:r>
      <w:r w:rsidR="008B63F3">
        <w:rPr>
          <w:rFonts w:ascii="Verdana" w:hAnsi="Verdana"/>
          <w:sz w:val="20"/>
          <w:szCs w:val="20"/>
        </w:rPr>
        <w:t>no existe controversia que fueron agentes del estado quienes privaron de la vida a las víctimas</w:t>
      </w:r>
      <w:r w:rsidR="00EB6B6F">
        <w:rPr>
          <w:rFonts w:ascii="Verdana" w:hAnsi="Verdana"/>
          <w:sz w:val="20"/>
          <w:szCs w:val="20"/>
        </w:rPr>
        <w:t>;</w:t>
      </w:r>
      <w:r w:rsidR="008B63F3">
        <w:rPr>
          <w:rFonts w:ascii="Verdana" w:hAnsi="Verdana"/>
          <w:sz w:val="20"/>
          <w:szCs w:val="20"/>
        </w:rPr>
        <w:t xml:space="preserve"> e</w:t>
      </w:r>
      <w:r w:rsidR="00221C5A" w:rsidRPr="00F37E3A">
        <w:rPr>
          <w:rFonts w:ascii="Verdana" w:hAnsi="Verdana"/>
          <w:sz w:val="20"/>
          <w:szCs w:val="20"/>
        </w:rPr>
        <w:t>) coexisten versiones c</w:t>
      </w:r>
      <w:r w:rsidR="00EB6B6F">
        <w:rPr>
          <w:rFonts w:ascii="Verdana" w:hAnsi="Verdana"/>
          <w:sz w:val="20"/>
          <w:szCs w:val="20"/>
        </w:rPr>
        <w:t>ontradictorias de lo ocurrido</w:t>
      </w:r>
      <w:r w:rsidR="008B63F3">
        <w:rPr>
          <w:rFonts w:ascii="Verdana" w:hAnsi="Verdana"/>
          <w:sz w:val="20"/>
          <w:szCs w:val="20"/>
        </w:rPr>
        <w:t>, afirmando el Estado que los hechos ocurrieron en un supuesto “enfrentamiento”</w:t>
      </w:r>
      <w:r w:rsidR="00EB6B6F">
        <w:rPr>
          <w:rFonts w:ascii="Verdana" w:hAnsi="Verdana"/>
          <w:sz w:val="20"/>
          <w:szCs w:val="20"/>
        </w:rPr>
        <w:t>;</w:t>
      </w:r>
      <w:r w:rsidR="008B63F3">
        <w:rPr>
          <w:rFonts w:ascii="Verdana" w:hAnsi="Verdana"/>
          <w:sz w:val="20"/>
          <w:szCs w:val="20"/>
        </w:rPr>
        <w:t xml:space="preserve"> f</w:t>
      </w:r>
      <w:r w:rsidR="00221C5A" w:rsidRPr="00F37E3A">
        <w:rPr>
          <w:rFonts w:ascii="Verdana" w:hAnsi="Verdana"/>
          <w:sz w:val="20"/>
          <w:szCs w:val="20"/>
        </w:rPr>
        <w:t xml:space="preserve">) no se efectuaron diligencias elementales de investigación que podrían haber confirmado </w:t>
      </w:r>
      <w:r w:rsidR="00EB6B6F">
        <w:rPr>
          <w:rFonts w:ascii="Verdana" w:hAnsi="Verdana"/>
          <w:sz w:val="20"/>
          <w:szCs w:val="20"/>
        </w:rPr>
        <w:t>o des</w:t>
      </w:r>
      <w:r w:rsidR="00847861">
        <w:rPr>
          <w:rFonts w:ascii="Verdana" w:hAnsi="Verdana"/>
          <w:sz w:val="20"/>
          <w:szCs w:val="20"/>
        </w:rPr>
        <w:t>cartado alguna de las versiones;</w:t>
      </w:r>
      <w:r w:rsidR="00EB6B6F">
        <w:rPr>
          <w:rFonts w:ascii="Verdana" w:hAnsi="Verdana"/>
          <w:sz w:val="20"/>
          <w:szCs w:val="20"/>
        </w:rPr>
        <w:t xml:space="preserve"> </w:t>
      </w:r>
      <w:r w:rsidR="008B63F3">
        <w:rPr>
          <w:rFonts w:ascii="Verdana" w:hAnsi="Verdana"/>
          <w:sz w:val="20"/>
          <w:szCs w:val="20"/>
        </w:rPr>
        <w:t>g</w:t>
      </w:r>
      <w:r w:rsidR="00985603">
        <w:rPr>
          <w:rFonts w:ascii="Verdana" w:hAnsi="Verdana"/>
          <w:sz w:val="20"/>
          <w:szCs w:val="20"/>
        </w:rPr>
        <w:t xml:space="preserve">) existen sentencias anteriores de la propia Corte </w:t>
      </w:r>
      <w:r w:rsidR="00AF08DE">
        <w:rPr>
          <w:rFonts w:ascii="Verdana" w:hAnsi="Verdana"/>
          <w:sz w:val="20"/>
          <w:szCs w:val="20"/>
        </w:rPr>
        <w:t xml:space="preserve">IDH </w:t>
      </w:r>
      <w:r w:rsidR="00985603">
        <w:rPr>
          <w:rFonts w:ascii="Verdana" w:hAnsi="Verdana"/>
          <w:sz w:val="20"/>
          <w:szCs w:val="20"/>
        </w:rPr>
        <w:t>sobre el mismo contexto y región geogr</w:t>
      </w:r>
      <w:r w:rsidR="008B63F3">
        <w:rPr>
          <w:rFonts w:ascii="Verdana" w:hAnsi="Verdana"/>
          <w:sz w:val="20"/>
          <w:szCs w:val="20"/>
        </w:rPr>
        <w:t>áfica</w:t>
      </w:r>
      <w:r w:rsidR="00AF08DE">
        <w:rPr>
          <w:rFonts w:ascii="Verdana" w:hAnsi="Verdana"/>
          <w:sz w:val="20"/>
          <w:szCs w:val="20"/>
        </w:rPr>
        <w:t xml:space="preserve"> </w:t>
      </w:r>
      <w:r w:rsidR="00AF08DE">
        <w:rPr>
          <w:rFonts w:ascii="Verdana" w:hAnsi="Verdana"/>
          <w:sz w:val="20"/>
          <w:szCs w:val="20"/>
        </w:rPr>
        <w:lastRenderedPageBreak/>
        <w:t>que llevó a la responsabilidad del Estado</w:t>
      </w:r>
      <w:r w:rsidR="008B63F3">
        <w:rPr>
          <w:rFonts w:ascii="Verdana" w:hAnsi="Verdana"/>
          <w:sz w:val="20"/>
          <w:szCs w:val="20"/>
        </w:rPr>
        <w:t xml:space="preserve">; </w:t>
      </w:r>
      <w:r w:rsidR="00EB6B6F">
        <w:rPr>
          <w:rFonts w:ascii="Verdana" w:hAnsi="Verdana"/>
          <w:sz w:val="20"/>
          <w:szCs w:val="20"/>
        </w:rPr>
        <w:t>y f</w:t>
      </w:r>
      <w:r w:rsidR="00221C5A" w:rsidRPr="00F37E3A">
        <w:rPr>
          <w:rFonts w:ascii="Verdana" w:hAnsi="Verdana"/>
          <w:sz w:val="20"/>
          <w:szCs w:val="20"/>
        </w:rPr>
        <w:t xml:space="preserve">) la versión sostenida por el Estado </w:t>
      </w:r>
      <w:r w:rsidR="003C55F6">
        <w:rPr>
          <w:rFonts w:ascii="Verdana" w:hAnsi="Verdana"/>
          <w:sz w:val="20"/>
          <w:szCs w:val="20"/>
        </w:rPr>
        <w:t>sobre los</w:t>
      </w:r>
      <w:r w:rsidR="00DE6ED6">
        <w:rPr>
          <w:rFonts w:ascii="Verdana" w:hAnsi="Verdana"/>
          <w:sz w:val="20"/>
          <w:szCs w:val="20"/>
        </w:rPr>
        <w:t xml:space="preserve"> supuestos enfrentamientos </w:t>
      </w:r>
      <w:r w:rsidR="00221C5A" w:rsidRPr="00F37E3A">
        <w:rPr>
          <w:rFonts w:ascii="Verdana" w:hAnsi="Verdana"/>
          <w:sz w:val="20"/>
          <w:szCs w:val="20"/>
        </w:rPr>
        <w:t xml:space="preserve">presenta </w:t>
      </w:r>
      <w:r w:rsidR="00985603">
        <w:rPr>
          <w:rFonts w:ascii="Verdana" w:hAnsi="Verdana"/>
          <w:sz w:val="20"/>
          <w:szCs w:val="20"/>
        </w:rPr>
        <w:t xml:space="preserve">serias </w:t>
      </w:r>
      <w:r w:rsidR="00221C5A" w:rsidRPr="00F37E3A">
        <w:rPr>
          <w:rFonts w:ascii="Verdana" w:hAnsi="Verdana"/>
          <w:sz w:val="20"/>
          <w:szCs w:val="20"/>
        </w:rPr>
        <w:t>inconsistencias</w:t>
      </w:r>
      <w:r w:rsidR="000A3DE2">
        <w:rPr>
          <w:rFonts w:ascii="Verdana" w:hAnsi="Verdana"/>
          <w:sz w:val="20"/>
          <w:szCs w:val="20"/>
        </w:rPr>
        <w:t xml:space="preserve"> y no resulta verosímil</w:t>
      </w:r>
      <w:r w:rsidR="00221C5A" w:rsidRPr="00F37E3A">
        <w:rPr>
          <w:rFonts w:ascii="Verdana" w:hAnsi="Verdana"/>
          <w:sz w:val="20"/>
          <w:szCs w:val="20"/>
        </w:rPr>
        <w:t>, la carga de la prueba debería invertirse y presumir la existencia de las ejecuciones extrajudiciales salvo prueba razonable en contrario.</w:t>
      </w:r>
      <w:r w:rsidR="00EB6B6F">
        <w:rPr>
          <w:rFonts w:ascii="Verdana" w:hAnsi="Verdana"/>
          <w:sz w:val="20"/>
          <w:szCs w:val="20"/>
        </w:rPr>
        <w:t xml:space="preserve"> </w:t>
      </w:r>
      <w:r w:rsidR="006973F8">
        <w:rPr>
          <w:rFonts w:ascii="Verdana" w:hAnsi="Verdana"/>
          <w:sz w:val="20"/>
          <w:szCs w:val="20"/>
        </w:rPr>
        <w:t>Lo anterior c</w:t>
      </w:r>
      <w:r w:rsidR="00DE6ED6">
        <w:rPr>
          <w:rFonts w:ascii="Verdana" w:hAnsi="Verdana"/>
          <w:sz w:val="20"/>
          <w:szCs w:val="20"/>
        </w:rPr>
        <w:t xml:space="preserve">onsiderando </w:t>
      </w:r>
      <w:r w:rsidR="00563ECD">
        <w:rPr>
          <w:rFonts w:ascii="Verdana" w:hAnsi="Verdana"/>
          <w:sz w:val="20"/>
          <w:szCs w:val="20"/>
        </w:rPr>
        <w:t>los indicios y presunciones que se advierten en el caso concreto</w:t>
      </w:r>
      <w:r w:rsidR="00F84081">
        <w:rPr>
          <w:rFonts w:ascii="Verdana" w:hAnsi="Verdana"/>
          <w:sz w:val="20"/>
          <w:szCs w:val="20"/>
        </w:rPr>
        <w:t xml:space="preserve"> (véase </w:t>
      </w:r>
      <w:r w:rsidR="00F84081" w:rsidRPr="00563ECD">
        <w:rPr>
          <w:rFonts w:ascii="Verdana" w:hAnsi="Verdana"/>
          <w:i/>
          <w:sz w:val="20"/>
          <w:szCs w:val="20"/>
        </w:rPr>
        <w:t>supra</w:t>
      </w:r>
      <w:r w:rsidR="008A1FFB">
        <w:rPr>
          <w:rFonts w:ascii="Verdana" w:hAnsi="Verdana"/>
          <w:sz w:val="20"/>
          <w:szCs w:val="20"/>
        </w:rPr>
        <w:t xml:space="preserve">, </w:t>
      </w:r>
      <w:proofErr w:type="spellStart"/>
      <w:r w:rsidR="008A1FFB">
        <w:rPr>
          <w:rFonts w:ascii="Verdana" w:hAnsi="Verdana"/>
          <w:sz w:val="20"/>
          <w:szCs w:val="20"/>
        </w:rPr>
        <w:t>párrs</w:t>
      </w:r>
      <w:proofErr w:type="spellEnd"/>
      <w:r w:rsidR="008A1FFB">
        <w:rPr>
          <w:rFonts w:ascii="Verdana" w:hAnsi="Verdana"/>
          <w:sz w:val="20"/>
          <w:szCs w:val="20"/>
        </w:rPr>
        <w:t>. 30 a 38</w:t>
      </w:r>
      <w:r w:rsidR="00847861">
        <w:rPr>
          <w:rFonts w:ascii="Verdana" w:hAnsi="Verdana"/>
          <w:sz w:val="20"/>
          <w:szCs w:val="20"/>
        </w:rPr>
        <w:t xml:space="preserve"> del presente voto),</w:t>
      </w:r>
      <w:r w:rsidR="00F84081">
        <w:rPr>
          <w:rFonts w:ascii="Verdana" w:hAnsi="Verdana"/>
          <w:sz w:val="20"/>
          <w:szCs w:val="20"/>
        </w:rPr>
        <w:t xml:space="preserve"> </w:t>
      </w:r>
      <w:r w:rsidR="00563ECD">
        <w:rPr>
          <w:rFonts w:ascii="Verdana" w:hAnsi="Verdana"/>
          <w:sz w:val="20"/>
          <w:szCs w:val="20"/>
        </w:rPr>
        <w:t xml:space="preserve">que </w:t>
      </w:r>
      <w:r w:rsidR="007A5E27">
        <w:rPr>
          <w:rFonts w:ascii="Verdana" w:hAnsi="Verdana"/>
          <w:sz w:val="20"/>
          <w:szCs w:val="20"/>
        </w:rPr>
        <w:t>analizados conjuntame</w:t>
      </w:r>
      <w:r w:rsidR="005E460F">
        <w:rPr>
          <w:rFonts w:ascii="Verdana" w:hAnsi="Verdana"/>
          <w:sz w:val="20"/>
          <w:szCs w:val="20"/>
        </w:rPr>
        <w:t xml:space="preserve">nte </w:t>
      </w:r>
      <w:r w:rsidR="00F84081">
        <w:rPr>
          <w:rFonts w:ascii="Verdana" w:hAnsi="Verdana"/>
          <w:sz w:val="20"/>
          <w:szCs w:val="20"/>
        </w:rPr>
        <w:t xml:space="preserve">con el </w:t>
      </w:r>
      <w:r w:rsidR="008A1FFB">
        <w:rPr>
          <w:rFonts w:ascii="Verdana" w:hAnsi="Verdana"/>
          <w:sz w:val="20"/>
          <w:szCs w:val="20"/>
        </w:rPr>
        <w:t>“</w:t>
      </w:r>
      <w:r w:rsidR="00F84081">
        <w:rPr>
          <w:rFonts w:ascii="Verdana" w:hAnsi="Verdana"/>
          <w:sz w:val="20"/>
          <w:szCs w:val="20"/>
        </w:rPr>
        <w:t>contexto</w:t>
      </w:r>
      <w:r w:rsidR="008A1FFB">
        <w:rPr>
          <w:rFonts w:ascii="Verdana" w:hAnsi="Verdana"/>
          <w:sz w:val="20"/>
          <w:szCs w:val="20"/>
        </w:rPr>
        <w:t>”</w:t>
      </w:r>
      <w:r w:rsidR="00F84081">
        <w:rPr>
          <w:rFonts w:ascii="Verdana" w:hAnsi="Verdana"/>
          <w:sz w:val="20"/>
          <w:szCs w:val="20"/>
        </w:rPr>
        <w:t xml:space="preserve"> </w:t>
      </w:r>
      <w:r w:rsidR="00847861">
        <w:rPr>
          <w:rFonts w:ascii="Verdana" w:hAnsi="Verdana"/>
          <w:sz w:val="20"/>
          <w:szCs w:val="20"/>
        </w:rPr>
        <w:t xml:space="preserve">(véase </w:t>
      </w:r>
      <w:r w:rsidR="00847861" w:rsidRPr="008A1FFB">
        <w:rPr>
          <w:rFonts w:ascii="Verdana" w:hAnsi="Verdana"/>
          <w:i/>
          <w:sz w:val="20"/>
          <w:szCs w:val="20"/>
        </w:rPr>
        <w:t>supra</w:t>
      </w:r>
      <w:r w:rsidR="00847861">
        <w:rPr>
          <w:rFonts w:ascii="Verdana" w:hAnsi="Verdana"/>
          <w:sz w:val="20"/>
          <w:szCs w:val="20"/>
        </w:rPr>
        <w:t>,</w:t>
      </w:r>
      <w:r w:rsidR="009B6A03">
        <w:rPr>
          <w:rFonts w:ascii="Verdana" w:hAnsi="Verdana"/>
          <w:sz w:val="20"/>
          <w:szCs w:val="20"/>
        </w:rPr>
        <w:t xml:space="preserve"> </w:t>
      </w:r>
      <w:proofErr w:type="spellStart"/>
      <w:r w:rsidR="009B6A03">
        <w:rPr>
          <w:rFonts w:ascii="Verdana" w:hAnsi="Verdana"/>
          <w:sz w:val="20"/>
          <w:szCs w:val="20"/>
        </w:rPr>
        <w:t>párrs</w:t>
      </w:r>
      <w:proofErr w:type="spellEnd"/>
      <w:r w:rsidR="009B6A03">
        <w:rPr>
          <w:rFonts w:ascii="Verdana" w:hAnsi="Verdana"/>
          <w:sz w:val="20"/>
          <w:szCs w:val="20"/>
        </w:rPr>
        <w:t>.</w:t>
      </w:r>
      <w:r w:rsidR="00847861">
        <w:rPr>
          <w:rFonts w:ascii="Verdana" w:hAnsi="Verdana"/>
          <w:sz w:val="20"/>
          <w:szCs w:val="20"/>
        </w:rPr>
        <w:t xml:space="preserve"> </w:t>
      </w:r>
      <w:r w:rsidR="002014AE">
        <w:rPr>
          <w:rFonts w:ascii="Verdana" w:hAnsi="Verdana"/>
          <w:sz w:val="20"/>
          <w:szCs w:val="20"/>
        </w:rPr>
        <w:t>8 a</w:t>
      </w:r>
      <w:r w:rsidR="007E1ED2">
        <w:rPr>
          <w:rFonts w:ascii="Verdana" w:hAnsi="Verdana"/>
          <w:sz w:val="20"/>
          <w:szCs w:val="20"/>
        </w:rPr>
        <w:t xml:space="preserve"> 16</w:t>
      </w:r>
      <w:r w:rsidR="00847861">
        <w:rPr>
          <w:rFonts w:ascii="Verdana" w:hAnsi="Verdana"/>
          <w:sz w:val="20"/>
          <w:szCs w:val="20"/>
        </w:rPr>
        <w:t>)</w:t>
      </w:r>
      <w:r w:rsidR="008A1FFB">
        <w:rPr>
          <w:rFonts w:ascii="Verdana" w:hAnsi="Verdana"/>
          <w:sz w:val="20"/>
          <w:szCs w:val="20"/>
        </w:rPr>
        <w:t xml:space="preserve"> y su encuadramiento en el marco fáctico del caso (véase </w:t>
      </w:r>
      <w:r w:rsidR="008A1FFB" w:rsidRPr="008A1FFB">
        <w:rPr>
          <w:rFonts w:ascii="Verdana" w:hAnsi="Verdana"/>
          <w:i/>
          <w:sz w:val="20"/>
          <w:szCs w:val="20"/>
        </w:rPr>
        <w:t>supra</w:t>
      </w:r>
      <w:r w:rsidR="008A1FFB">
        <w:rPr>
          <w:rFonts w:ascii="Verdana" w:hAnsi="Verdana"/>
          <w:sz w:val="20"/>
          <w:szCs w:val="20"/>
        </w:rPr>
        <w:t xml:space="preserve">, </w:t>
      </w:r>
      <w:proofErr w:type="spellStart"/>
      <w:r w:rsidR="008A1FFB">
        <w:rPr>
          <w:rFonts w:ascii="Verdana" w:hAnsi="Verdana"/>
          <w:sz w:val="20"/>
          <w:szCs w:val="20"/>
        </w:rPr>
        <w:t>párrs</w:t>
      </w:r>
      <w:proofErr w:type="spellEnd"/>
      <w:r w:rsidR="008A1FFB">
        <w:rPr>
          <w:rFonts w:ascii="Verdana" w:hAnsi="Verdana"/>
          <w:sz w:val="20"/>
          <w:szCs w:val="20"/>
        </w:rPr>
        <w:t>. 27 a 29)</w:t>
      </w:r>
      <w:r w:rsidR="00847861">
        <w:rPr>
          <w:rFonts w:ascii="Verdana" w:hAnsi="Verdana"/>
          <w:sz w:val="20"/>
          <w:szCs w:val="20"/>
        </w:rPr>
        <w:t xml:space="preserve">, </w:t>
      </w:r>
      <w:r w:rsidR="00563ECD">
        <w:rPr>
          <w:rFonts w:ascii="Verdana" w:hAnsi="Verdana"/>
          <w:sz w:val="20"/>
          <w:szCs w:val="20"/>
        </w:rPr>
        <w:t xml:space="preserve">confirman </w:t>
      </w:r>
      <w:r w:rsidR="00847861">
        <w:rPr>
          <w:rFonts w:ascii="Verdana" w:hAnsi="Verdana"/>
          <w:sz w:val="20"/>
          <w:szCs w:val="20"/>
        </w:rPr>
        <w:t>que los hechos constituyen hipótesis de ejecuciones extrajudiciales.</w:t>
      </w:r>
    </w:p>
    <w:p w14:paraId="7FAC4AC8" w14:textId="3D280C9C" w:rsidR="004F1D30" w:rsidRPr="00B21453" w:rsidRDefault="003E415D" w:rsidP="00B21453">
      <w:pPr>
        <w:pStyle w:val="Prrafodelista"/>
        <w:spacing w:before="120" w:after="120"/>
        <w:ind w:left="0"/>
        <w:contextualSpacing w:val="0"/>
        <w:jc w:val="both"/>
        <w:rPr>
          <w:rFonts w:ascii="Verdana" w:hAnsi="Verdana"/>
          <w:sz w:val="20"/>
          <w:szCs w:val="20"/>
        </w:rPr>
      </w:pPr>
      <w:r>
        <w:rPr>
          <w:rFonts w:ascii="Verdana" w:hAnsi="Verdana"/>
          <w:sz w:val="20"/>
          <w:szCs w:val="20"/>
        </w:rPr>
        <w:t>40</w:t>
      </w:r>
      <w:r w:rsidR="00EB6B6F">
        <w:rPr>
          <w:rFonts w:ascii="Verdana" w:hAnsi="Verdana"/>
          <w:sz w:val="20"/>
          <w:szCs w:val="20"/>
        </w:rPr>
        <w:t xml:space="preserve">. </w:t>
      </w:r>
      <w:r w:rsidR="00EB6B6F">
        <w:rPr>
          <w:rFonts w:ascii="Verdana" w:hAnsi="Verdana"/>
          <w:sz w:val="20"/>
          <w:szCs w:val="20"/>
        </w:rPr>
        <w:tab/>
      </w:r>
      <w:r w:rsidR="00210BBC" w:rsidRPr="00F37E3A">
        <w:rPr>
          <w:rFonts w:ascii="Verdana" w:hAnsi="Verdana"/>
          <w:sz w:val="20"/>
          <w:szCs w:val="20"/>
        </w:rPr>
        <w:t>Por esos motivos, consider</w:t>
      </w:r>
      <w:r w:rsidR="000A3DE2">
        <w:rPr>
          <w:rFonts w:ascii="Verdana" w:hAnsi="Verdana"/>
          <w:sz w:val="20"/>
          <w:szCs w:val="20"/>
        </w:rPr>
        <w:t>amos</w:t>
      </w:r>
      <w:r w:rsidR="00210BBC" w:rsidRPr="00F37E3A">
        <w:rPr>
          <w:rFonts w:ascii="Verdana" w:hAnsi="Verdana"/>
          <w:sz w:val="20"/>
          <w:szCs w:val="20"/>
        </w:rPr>
        <w:t xml:space="preserve"> que en el presente caso, l</w:t>
      </w:r>
      <w:r w:rsidR="004F1D30" w:rsidRPr="00F37E3A">
        <w:rPr>
          <w:rFonts w:ascii="Verdana" w:hAnsi="Verdana"/>
          <w:sz w:val="20"/>
          <w:szCs w:val="20"/>
        </w:rPr>
        <w:t xml:space="preserve">a Corte </w:t>
      </w:r>
      <w:r w:rsidR="00DE6ED6">
        <w:rPr>
          <w:rFonts w:ascii="Verdana" w:hAnsi="Verdana"/>
          <w:sz w:val="20"/>
          <w:szCs w:val="20"/>
        </w:rPr>
        <w:t xml:space="preserve">IDH </w:t>
      </w:r>
      <w:r w:rsidR="004F1D30" w:rsidRPr="00F37E3A">
        <w:rPr>
          <w:rFonts w:ascii="Verdana" w:hAnsi="Verdana"/>
          <w:sz w:val="20"/>
          <w:szCs w:val="20"/>
        </w:rPr>
        <w:t xml:space="preserve">tendría que haber </w:t>
      </w:r>
      <w:r w:rsidR="00EB6B6F">
        <w:rPr>
          <w:rFonts w:ascii="Verdana" w:hAnsi="Verdana"/>
          <w:sz w:val="20"/>
          <w:szCs w:val="20"/>
        </w:rPr>
        <w:t>concluido</w:t>
      </w:r>
      <w:r w:rsidR="000A3DE2">
        <w:rPr>
          <w:rFonts w:ascii="Verdana" w:hAnsi="Verdana"/>
          <w:sz w:val="20"/>
          <w:szCs w:val="20"/>
        </w:rPr>
        <w:t xml:space="preserve"> </w:t>
      </w:r>
      <w:r w:rsidR="004F1D30" w:rsidRPr="00F37E3A">
        <w:rPr>
          <w:rFonts w:ascii="Verdana" w:hAnsi="Verdana"/>
          <w:sz w:val="20"/>
          <w:szCs w:val="20"/>
        </w:rPr>
        <w:t xml:space="preserve">que </w:t>
      </w:r>
      <w:r w:rsidR="00210BBC" w:rsidRPr="00F37E3A">
        <w:rPr>
          <w:rFonts w:ascii="Verdana" w:hAnsi="Verdana"/>
          <w:sz w:val="20"/>
          <w:szCs w:val="20"/>
        </w:rPr>
        <w:t>la vulneración al derecho a la vida de Robert Ignacio Díaz Loreto, David Octavio Díaz Loreto, y Octavio Ignacio Díaz Álvarez</w:t>
      </w:r>
      <w:r w:rsidR="00EB6B6F">
        <w:rPr>
          <w:rFonts w:ascii="Verdana" w:hAnsi="Verdana"/>
          <w:sz w:val="20"/>
          <w:szCs w:val="20"/>
        </w:rPr>
        <w:t>,</w:t>
      </w:r>
      <w:r w:rsidR="00210BBC" w:rsidRPr="00F37E3A">
        <w:rPr>
          <w:rFonts w:ascii="Verdana" w:hAnsi="Verdana"/>
          <w:sz w:val="20"/>
          <w:szCs w:val="20"/>
        </w:rPr>
        <w:t xml:space="preserve"> se debieron a circunstancias en las cuales estas personas fueron víctimas de </w:t>
      </w:r>
      <w:r w:rsidR="00EB6B6F">
        <w:rPr>
          <w:rFonts w:ascii="Verdana" w:hAnsi="Verdana"/>
          <w:sz w:val="20"/>
          <w:szCs w:val="20"/>
        </w:rPr>
        <w:t>“</w:t>
      </w:r>
      <w:r w:rsidR="004F1D30" w:rsidRPr="00F37E3A">
        <w:rPr>
          <w:rFonts w:ascii="Verdana" w:hAnsi="Verdana"/>
          <w:sz w:val="20"/>
          <w:szCs w:val="20"/>
        </w:rPr>
        <w:t>ejecuciones extrajudiciales</w:t>
      </w:r>
      <w:r w:rsidR="00EB6B6F">
        <w:rPr>
          <w:rFonts w:ascii="Verdana" w:hAnsi="Verdana"/>
          <w:sz w:val="20"/>
          <w:szCs w:val="20"/>
        </w:rPr>
        <w:t>”</w:t>
      </w:r>
      <w:r w:rsidR="00847861">
        <w:rPr>
          <w:rFonts w:ascii="Verdana" w:hAnsi="Verdana"/>
          <w:sz w:val="20"/>
          <w:szCs w:val="20"/>
        </w:rPr>
        <w:t>;</w:t>
      </w:r>
      <w:r w:rsidR="00785E3B">
        <w:rPr>
          <w:rFonts w:ascii="Verdana" w:hAnsi="Verdana"/>
          <w:sz w:val="20"/>
          <w:szCs w:val="20"/>
        </w:rPr>
        <w:t xml:space="preserve"> </w:t>
      </w:r>
      <w:r w:rsidR="00785E3B" w:rsidRPr="00847861">
        <w:rPr>
          <w:rFonts w:ascii="Verdana" w:hAnsi="Verdana"/>
          <w:sz w:val="20"/>
          <w:szCs w:val="20"/>
        </w:rPr>
        <w:t>lo que guardaría mayor sintonía con el</w:t>
      </w:r>
      <w:r w:rsidR="002014AE">
        <w:rPr>
          <w:rFonts w:ascii="Verdana" w:hAnsi="Verdana"/>
          <w:sz w:val="20"/>
          <w:szCs w:val="20"/>
        </w:rPr>
        <w:t xml:space="preserve"> punto r</w:t>
      </w:r>
      <w:r w:rsidR="00785E3B" w:rsidRPr="00847861">
        <w:rPr>
          <w:rFonts w:ascii="Verdana" w:hAnsi="Verdana"/>
          <w:sz w:val="20"/>
          <w:szCs w:val="20"/>
        </w:rPr>
        <w:t>esolutivo</w:t>
      </w:r>
      <w:r w:rsidR="00847861" w:rsidRPr="00847861">
        <w:rPr>
          <w:rFonts w:ascii="Verdana" w:hAnsi="Verdana"/>
          <w:sz w:val="20"/>
          <w:szCs w:val="20"/>
        </w:rPr>
        <w:t xml:space="preserve"> 2</w:t>
      </w:r>
      <w:r w:rsidR="002014AE">
        <w:rPr>
          <w:rFonts w:ascii="Verdana" w:hAnsi="Verdana"/>
          <w:sz w:val="20"/>
          <w:szCs w:val="20"/>
        </w:rPr>
        <w:t xml:space="preserve"> de la S</w:t>
      </w:r>
      <w:r w:rsidR="00785E3B" w:rsidRPr="00847861">
        <w:rPr>
          <w:rFonts w:ascii="Verdana" w:hAnsi="Verdana"/>
          <w:sz w:val="20"/>
          <w:szCs w:val="20"/>
        </w:rPr>
        <w:t>entencia</w:t>
      </w:r>
      <w:r w:rsidR="00A6736D">
        <w:rPr>
          <w:rFonts w:ascii="Verdana" w:hAnsi="Verdana"/>
          <w:sz w:val="20"/>
          <w:szCs w:val="20"/>
        </w:rPr>
        <w:t>,</w:t>
      </w:r>
      <w:r w:rsidR="00785E3B" w:rsidRPr="00847861">
        <w:rPr>
          <w:rFonts w:ascii="Verdana" w:hAnsi="Verdana"/>
          <w:sz w:val="20"/>
          <w:szCs w:val="20"/>
        </w:rPr>
        <w:t xml:space="preserve"> en </w:t>
      </w:r>
      <w:r w:rsidR="00A6736D">
        <w:rPr>
          <w:rFonts w:ascii="Verdana" w:hAnsi="Verdana"/>
          <w:sz w:val="20"/>
          <w:szCs w:val="20"/>
        </w:rPr>
        <w:t xml:space="preserve">el </w:t>
      </w:r>
      <w:r w:rsidR="00785E3B" w:rsidRPr="00847861">
        <w:rPr>
          <w:rFonts w:ascii="Verdana" w:hAnsi="Verdana"/>
          <w:sz w:val="20"/>
          <w:szCs w:val="20"/>
        </w:rPr>
        <w:t>que se especifica que se viola el artículo 4</w:t>
      </w:r>
      <w:r w:rsidR="00847861" w:rsidRPr="00847861">
        <w:rPr>
          <w:rFonts w:ascii="Verdana" w:hAnsi="Verdana"/>
          <w:sz w:val="20"/>
          <w:szCs w:val="20"/>
        </w:rPr>
        <w:t xml:space="preserve"> de la Convención Americana</w:t>
      </w:r>
      <w:r w:rsidR="00785E3B" w:rsidRPr="00847861">
        <w:rPr>
          <w:rFonts w:ascii="Verdana" w:hAnsi="Verdana"/>
          <w:sz w:val="20"/>
          <w:szCs w:val="20"/>
        </w:rPr>
        <w:t>, en relación con las obligaciones estatales de “respeto” y “garantía”</w:t>
      </w:r>
      <w:r w:rsidR="00847861" w:rsidRPr="00847861">
        <w:rPr>
          <w:rFonts w:ascii="Verdana" w:hAnsi="Verdana"/>
          <w:sz w:val="20"/>
          <w:szCs w:val="20"/>
        </w:rPr>
        <w:t xml:space="preserve"> del derecho a la vida</w:t>
      </w:r>
      <w:r w:rsidR="008A1FFB">
        <w:rPr>
          <w:rFonts w:ascii="Verdana" w:hAnsi="Verdana"/>
          <w:sz w:val="20"/>
          <w:szCs w:val="20"/>
        </w:rPr>
        <w:t xml:space="preserve"> de las víctimas</w:t>
      </w:r>
      <w:r w:rsidR="00847861" w:rsidRPr="00847861">
        <w:rPr>
          <w:rFonts w:ascii="Verdana" w:hAnsi="Verdana"/>
          <w:sz w:val="20"/>
          <w:szCs w:val="20"/>
        </w:rPr>
        <w:t>.</w:t>
      </w:r>
    </w:p>
    <w:p w14:paraId="0FBDE487" w14:textId="77777777" w:rsidR="00F37E3A" w:rsidRDefault="00F37E3A" w:rsidP="00F37E3A">
      <w:pPr>
        <w:pStyle w:val="Prrafodelista"/>
        <w:tabs>
          <w:tab w:val="left" w:pos="709"/>
          <w:tab w:val="left" w:pos="1464"/>
        </w:tabs>
        <w:ind w:left="0"/>
        <w:jc w:val="both"/>
        <w:rPr>
          <w:rFonts w:ascii="Verdana" w:hAnsi="Verdana"/>
          <w:sz w:val="20"/>
          <w:szCs w:val="20"/>
        </w:rPr>
      </w:pPr>
    </w:p>
    <w:p w14:paraId="02F4CAEA" w14:textId="44789636" w:rsidR="001D25F3" w:rsidRDefault="001D25F3" w:rsidP="00F37E3A">
      <w:pPr>
        <w:pStyle w:val="Prrafodelista"/>
        <w:tabs>
          <w:tab w:val="left" w:pos="709"/>
          <w:tab w:val="left" w:pos="1464"/>
        </w:tabs>
        <w:ind w:left="0"/>
        <w:jc w:val="both"/>
        <w:rPr>
          <w:rFonts w:ascii="Verdana" w:hAnsi="Verdana"/>
          <w:sz w:val="20"/>
          <w:szCs w:val="20"/>
        </w:rPr>
      </w:pPr>
    </w:p>
    <w:p w14:paraId="04192B82" w14:textId="77777777" w:rsidR="001D25F3" w:rsidRDefault="001D25F3" w:rsidP="00F37E3A">
      <w:pPr>
        <w:pStyle w:val="Prrafodelista"/>
        <w:tabs>
          <w:tab w:val="left" w:pos="709"/>
          <w:tab w:val="left" w:pos="1464"/>
        </w:tabs>
        <w:ind w:left="0"/>
        <w:jc w:val="both"/>
        <w:rPr>
          <w:rFonts w:ascii="Verdana" w:hAnsi="Verdana"/>
          <w:sz w:val="20"/>
          <w:szCs w:val="20"/>
        </w:rPr>
      </w:pPr>
    </w:p>
    <w:p w14:paraId="54A6CC0E" w14:textId="77777777" w:rsidR="001D25F3" w:rsidRDefault="001D25F3" w:rsidP="00F37E3A">
      <w:pPr>
        <w:pStyle w:val="Prrafodelista"/>
        <w:tabs>
          <w:tab w:val="left" w:pos="709"/>
          <w:tab w:val="left" w:pos="1464"/>
        </w:tabs>
        <w:ind w:left="0"/>
        <w:jc w:val="both"/>
        <w:rPr>
          <w:rFonts w:ascii="Verdana" w:hAnsi="Verdana"/>
          <w:sz w:val="20"/>
          <w:szCs w:val="20"/>
        </w:rPr>
      </w:pPr>
    </w:p>
    <w:p w14:paraId="1DEF1DE7" w14:textId="77777777" w:rsidR="001D25F3" w:rsidRDefault="001D25F3" w:rsidP="00F37E3A">
      <w:pPr>
        <w:pStyle w:val="Prrafodelista"/>
        <w:tabs>
          <w:tab w:val="left" w:pos="709"/>
          <w:tab w:val="left" w:pos="1464"/>
        </w:tabs>
        <w:ind w:left="0"/>
        <w:jc w:val="both"/>
        <w:rPr>
          <w:rFonts w:ascii="Verdana" w:hAnsi="Verdana"/>
          <w:sz w:val="20"/>
          <w:szCs w:val="20"/>
        </w:rPr>
      </w:pPr>
    </w:p>
    <w:p w14:paraId="795AF5E4" w14:textId="77777777" w:rsidR="001D25F3" w:rsidRPr="00F37E3A" w:rsidRDefault="001D25F3" w:rsidP="00F37E3A">
      <w:pPr>
        <w:pStyle w:val="Prrafodelista"/>
        <w:tabs>
          <w:tab w:val="left" w:pos="709"/>
          <w:tab w:val="left" w:pos="1464"/>
        </w:tabs>
        <w:ind w:left="0"/>
        <w:jc w:val="both"/>
        <w:rPr>
          <w:rFonts w:ascii="Verdana" w:hAnsi="Verdana"/>
          <w:sz w:val="20"/>
          <w:szCs w:val="20"/>
        </w:rPr>
      </w:pPr>
    </w:p>
    <w:p w14:paraId="319816E7" w14:textId="77777777" w:rsidR="00B21453" w:rsidRDefault="00B21453" w:rsidP="00B21453">
      <w:pPr>
        <w:pStyle w:val="NormalWeb"/>
        <w:tabs>
          <w:tab w:val="left" w:pos="567"/>
        </w:tabs>
        <w:spacing w:after="120"/>
        <w:ind w:right="96"/>
        <w:rPr>
          <w:rFonts w:ascii="Verdana" w:eastAsia="Calibri" w:hAnsi="Verdana" w:cs="Times New Roman"/>
          <w:color w:val="000000"/>
          <w:sz w:val="20"/>
          <w:szCs w:val="20"/>
        </w:rPr>
      </w:pPr>
      <w:r>
        <w:rPr>
          <w:rFonts w:ascii="Verdana" w:eastAsia="Calibri" w:hAnsi="Verdana" w:cs="Times New Roman"/>
          <w:color w:val="000000"/>
          <w:sz w:val="20"/>
          <w:szCs w:val="20"/>
        </w:rPr>
        <w:tab/>
      </w:r>
      <w:r w:rsidR="00F37E3A" w:rsidRPr="00F37E3A">
        <w:rPr>
          <w:rFonts w:ascii="Verdana" w:eastAsia="Calibri" w:hAnsi="Verdana" w:cs="Times New Roman"/>
          <w:color w:val="000000"/>
          <w:sz w:val="20"/>
          <w:szCs w:val="20"/>
        </w:rPr>
        <w:t>Eduardo Ferrer Mac-Gregor Poisot</w:t>
      </w:r>
      <w:r>
        <w:rPr>
          <w:rFonts w:ascii="Verdana" w:eastAsia="Calibri" w:hAnsi="Verdana" w:cs="Times New Roman"/>
          <w:color w:val="000000"/>
          <w:sz w:val="20"/>
          <w:szCs w:val="20"/>
        </w:rPr>
        <w:t xml:space="preserve">                          Elizabeth Odio Benito</w:t>
      </w:r>
    </w:p>
    <w:p w14:paraId="32B36520" w14:textId="77777777" w:rsidR="00F37E3A" w:rsidRPr="00F37E3A" w:rsidRDefault="00B21453" w:rsidP="00B21453">
      <w:pPr>
        <w:pStyle w:val="NormalWeb"/>
        <w:ind w:right="96"/>
        <w:rPr>
          <w:rFonts w:ascii="Verdana" w:eastAsia="Calibri" w:hAnsi="Verdana" w:cs="Times New Roman"/>
          <w:color w:val="000000"/>
          <w:sz w:val="20"/>
          <w:szCs w:val="20"/>
        </w:rPr>
      </w:pPr>
      <w:r>
        <w:rPr>
          <w:rFonts w:ascii="Verdana" w:eastAsia="Calibri" w:hAnsi="Verdana" w:cs="Times New Roman"/>
          <w:color w:val="000000"/>
          <w:sz w:val="20"/>
          <w:szCs w:val="20"/>
        </w:rPr>
        <w:t xml:space="preserve">                            </w:t>
      </w:r>
      <w:r w:rsidR="00F37E3A" w:rsidRPr="00F37E3A">
        <w:rPr>
          <w:rFonts w:ascii="Verdana" w:eastAsia="Calibri" w:hAnsi="Verdana" w:cs="Times New Roman"/>
          <w:color w:val="000000"/>
          <w:sz w:val="20"/>
          <w:szCs w:val="20"/>
        </w:rPr>
        <w:t>Juez</w:t>
      </w:r>
      <w:r>
        <w:rPr>
          <w:rFonts w:ascii="Verdana" w:eastAsia="Calibri" w:hAnsi="Verdana" w:cs="Times New Roman"/>
          <w:color w:val="000000"/>
          <w:sz w:val="20"/>
          <w:szCs w:val="20"/>
        </w:rPr>
        <w:tab/>
        <w:t xml:space="preserve">                                                            Jueza</w:t>
      </w:r>
    </w:p>
    <w:p w14:paraId="273B41DC" w14:textId="612771C7" w:rsidR="00F37E3A" w:rsidRPr="00F37E3A" w:rsidRDefault="00F37E3A" w:rsidP="00F37E3A">
      <w:pPr>
        <w:rPr>
          <w:rFonts w:ascii="Verdana" w:hAnsi="Verdana"/>
          <w:sz w:val="20"/>
          <w:szCs w:val="20"/>
        </w:rPr>
      </w:pPr>
    </w:p>
    <w:p w14:paraId="275A6878" w14:textId="77777777" w:rsidR="00F37E3A" w:rsidRDefault="00F37E3A" w:rsidP="00F37E3A">
      <w:pPr>
        <w:rPr>
          <w:rFonts w:ascii="Verdana" w:hAnsi="Verdana"/>
          <w:sz w:val="20"/>
          <w:szCs w:val="20"/>
        </w:rPr>
      </w:pPr>
    </w:p>
    <w:p w14:paraId="52668B60" w14:textId="77777777" w:rsidR="001D25F3" w:rsidRPr="00F37E3A" w:rsidRDefault="001D25F3" w:rsidP="00F37E3A">
      <w:pPr>
        <w:rPr>
          <w:rFonts w:ascii="Verdana" w:hAnsi="Verdana"/>
          <w:sz w:val="20"/>
          <w:szCs w:val="20"/>
        </w:rPr>
      </w:pPr>
    </w:p>
    <w:p w14:paraId="42FDBC2A" w14:textId="77777777" w:rsidR="00F37E3A" w:rsidRPr="00F37E3A" w:rsidRDefault="00F37E3A" w:rsidP="00F37E3A">
      <w:pPr>
        <w:rPr>
          <w:rFonts w:ascii="Verdana" w:hAnsi="Verdana"/>
          <w:sz w:val="20"/>
          <w:szCs w:val="20"/>
        </w:rPr>
      </w:pPr>
    </w:p>
    <w:p w14:paraId="1B286C61" w14:textId="77777777" w:rsidR="00F37E3A" w:rsidRPr="00F37E3A" w:rsidRDefault="00F37E3A" w:rsidP="00F37E3A">
      <w:pPr>
        <w:rPr>
          <w:rFonts w:ascii="Verdana" w:hAnsi="Verdana"/>
          <w:sz w:val="20"/>
          <w:szCs w:val="20"/>
        </w:rPr>
      </w:pPr>
      <w:bookmarkStart w:id="0" w:name="_GoBack"/>
      <w:bookmarkEnd w:id="0"/>
    </w:p>
    <w:p w14:paraId="78D285E6" w14:textId="77777777" w:rsidR="00F37E3A" w:rsidRPr="00F37E3A" w:rsidRDefault="00F37E3A" w:rsidP="00F37E3A">
      <w:pPr>
        <w:rPr>
          <w:rFonts w:ascii="Verdana" w:hAnsi="Verdana"/>
          <w:sz w:val="20"/>
          <w:szCs w:val="20"/>
        </w:rPr>
      </w:pPr>
      <w:r w:rsidRPr="00F37E3A">
        <w:rPr>
          <w:rFonts w:ascii="Verdana" w:hAnsi="Verdana"/>
          <w:sz w:val="20"/>
          <w:szCs w:val="20"/>
        </w:rPr>
        <w:t xml:space="preserve">   Pablo Saavedra Alessandri</w:t>
      </w:r>
    </w:p>
    <w:p w14:paraId="3F67BF64" w14:textId="77777777" w:rsidR="00F37E3A" w:rsidRPr="00F37E3A" w:rsidRDefault="00F37E3A" w:rsidP="00F37E3A">
      <w:pPr>
        <w:pStyle w:val="Prrafodelista"/>
        <w:ind w:left="0"/>
        <w:jc w:val="both"/>
        <w:rPr>
          <w:rFonts w:ascii="Verdana" w:hAnsi="Verdana"/>
          <w:sz w:val="20"/>
          <w:szCs w:val="20"/>
          <w:lang w:val="es-MX"/>
        </w:rPr>
      </w:pPr>
      <w:r w:rsidRPr="00F37E3A">
        <w:rPr>
          <w:rFonts w:ascii="Verdana" w:hAnsi="Verdana"/>
          <w:sz w:val="20"/>
          <w:szCs w:val="20"/>
        </w:rPr>
        <w:tab/>
        <w:t xml:space="preserve">   Secretario</w:t>
      </w:r>
    </w:p>
    <w:p w14:paraId="0A263C78" w14:textId="77777777" w:rsidR="002910DF" w:rsidRPr="00F37E3A" w:rsidRDefault="002910DF" w:rsidP="002910DF">
      <w:pPr>
        <w:pStyle w:val="Prrafodelista"/>
        <w:ind w:left="2880"/>
        <w:jc w:val="both"/>
        <w:rPr>
          <w:rFonts w:ascii="Verdana" w:hAnsi="Verdana"/>
          <w:sz w:val="20"/>
          <w:szCs w:val="20"/>
        </w:rPr>
      </w:pPr>
    </w:p>
    <w:p w14:paraId="77EA7299" w14:textId="77777777" w:rsidR="002910DF" w:rsidRPr="00F37E3A" w:rsidRDefault="002910DF" w:rsidP="002910DF">
      <w:pPr>
        <w:pStyle w:val="Prrafodelista"/>
        <w:ind w:left="2880"/>
        <w:jc w:val="both"/>
        <w:rPr>
          <w:rFonts w:ascii="Verdana" w:hAnsi="Verdana"/>
          <w:sz w:val="20"/>
          <w:szCs w:val="20"/>
        </w:rPr>
      </w:pPr>
    </w:p>
    <w:p w14:paraId="783B61D2" w14:textId="77777777" w:rsidR="002910DF" w:rsidRPr="00F37E3A" w:rsidRDefault="002910DF" w:rsidP="002910DF">
      <w:pPr>
        <w:pStyle w:val="Prrafodelista"/>
        <w:ind w:left="2880"/>
        <w:jc w:val="both"/>
        <w:rPr>
          <w:rFonts w:ascii="Verdana" w:hAnsi="Verdana"/>
          <w:sz w:val="20"/>
          <w:szCs w:val="20"/>
        </w:rPr>
      </w:pPr>
    </w:p>
    <w:p w14:paraId="1924BA70" w14:textId="77777777" w:rsidR="00221C5A" w:rsidRPr="00F37E3A" w:rsidRDefault="00221C5A" w:rsidP="00221C5A">
      <w:pPr>
        <w:pStyle w:val="Prrafodelista"/>
        <w:ind w:left="2160"/>
        <w:jc w:val="both"/>
        <w:rPr>
          <w:rFonts w:ascii="Verdana" w:hAnsi="Verdana"/>
          <w:sz w:val="20"/>
          <w:szCs w:val="20"/>
        </w:rPr>
      </w:pPr>
    </w:p>
    <w:sectPr w:rsidR="00221C5A" w:rsidRPr="00F37E3A" w:rsidSect="00B536BB">
      <w:footerReference w:type="even" r:id="rId8"/>
      <w:footerReference w:type="default" r:id="rId9"/>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8056E" w14:textId="77777777" w:rsidR="008F2CA7" w:rsidRDefault="008F2CA7" w:rsidP="00952185">
      <w:pPr>
        <w:spacing w:after="0" w:line="240" w:lineRule="auto"/>
      </w:pPr>
      <w:r>
        <w:separator/>
      </w:r>
    </w:p>
  </w:endnote>
  <w:endnote w:type="continuationSeparator" w:id="0">
    <w:p w14:paraId="259BC925" w14:textId="77777777" w:rsidR="008F2CA7" w:rsidRDefault="008F2CA7" w:rsidP="00952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2013025751"/>
      <w:docPartObj>
        <w:docPartGallery w:val="Page Numbers (Bottom of Page)"/>
        <w:docPartUnique/>
      </w:docPartObj>
    </w:sdtPr>
    <w:sdtEndPr>
      <w:rPr>
        <w:rStyle w:val="Nmerodepgina"/>
      </w:rPr>
    </w:sdtEndPr>
    <w:sdtContent>
      <w:p w14:paraId="2AC27D20" w14:textId="77777777" w:rsidR="002F1B04" w:rsidRDefault="002F1B04" w:rsidP="002F1B04">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02470DDE" w14:textId="77777777" w:rsidR="002F1B04" w:rsidRDefault="002F1B0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718436251"/>
      <w:docPartObj>
        <w:docPartGallery w:val="Page Numbers (Bottom of Page)"/>
        <w:docPartUnique/>
      </w:docPartObj>
    </w:sdtPr>
    <w:sdtEndPr>
      <w:rPr>
        <w:rStyle w:val="Nmerodepgina"/>
      </w:rPr>
    </w:sdtEndPr>
    <w:sdtContent>
      <w:p w14:paraId="40E2742F" w14:textId="77777777" w:rsidR="002F1B04" w:rsidRDefault="002F1B04" w:rsidP="002F1B04">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B00310">
          <w:rPr>
            <w:rStyle w:val="Nmerodepgina"/>
            <w:noProof/>
          </w:rPr>
          <w:t>13</w:t>
        </w:r>
        <w:r>
          <w:rPr>
            <w:rStyle w:val="Nmerodepgina"/>
          </w:rPr>
          <w:fldChar w:fldCharType="end"/>
        </w:r>
      </w:p>
    </w:sdtContent>
  </w:sdt>
  <w:p w14:paraId="4A90114E" w14:textId="77777777" w:rsidR="002F1B04" w:rsidRDefault="002F1B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09807" w14:textId="77777777" w:rsidR="008F2CA7" w:rsidRDefault="008F2CA7" w:rsidP="00952185">
      <w:pPr>
        <w:spacing w:after="0" w:line="240" w:lineRule="auto"/>
      </w:pPr>
      <w:r>
        <w:separator/>
      </w:r>
    </w:p>
  </w:footnote>
  <w:footnote w:type="continuationSeparator" w:id="0">
    <w:p w14:paraId="5925A348" w14:textId="77777777" w:rsidR="008F2CA7" w:rsidRDefault="008F2CA7" w:rsidP="00952185">
      <w:pPr>
        <w:spacing w:after="0" w:line="240" w:lineRule="auto"/>
      </w:pPr>
      <w:r>
        <w:continuationSeparator/>
      </w:r>
    </w:p>
  </w:footnote>
  <w:footnote w:id="1">
    <w:p w14:paraId="14354EE2" w14:textId="77777777" w:rsidR="002F1B04" w:rsidRPr="00AD47D0" w:rsidRDefault="002F1B04" w:rsidP="00551E7F">
      <w:pPr>
        <w:pStyle w:val="Prrafodelista"/>
        <w:spacing w:before="120" w:after="120"/>
        <w:ind w:left="0"/>
        <w:contextualSpacing w:val="0"/>
        <w:jc w:val="both"/>
        <w:rPr>
          <w:rFonts w:ascii="Verdana" w:hAnsi="Verdana"/>
          <w:sz w:val="16"/>
          <w:szCs w:val="16"/>
        </w:rPr>
      </w:pPr>
      <w:r w:rsidRPr="00AD47D0">
        <w:rPr>
          <w:rStyle w:val="Refdenotaalpie"/>
          <w:rFonts w:ascii="Verdana" w:hAnsi="Verdana"/>
          <w:sz w:val="16"/>
          <w:szCs w:val="16"/>
        </w:rPr>
        <w:footnoteRef/>
      </w:r>
      <w:r w:rsidRPr="00AD47D0">
        <w:rPr>
          <w:rFonts w:ascii="Verdana" w:hAnsi="Verdana"/>
          <w:sz w:val="16"/>
          <w:szCs w:val="16"/>
        </w:rPr>
        <w:t xml:space="preserve"> </w:t>
      </w:r>
      <w:r w:rsidRPr="00AD47D0">
        <w:rPr>
          <w:rFonts w:ascii="Verdana" w:hAnsi="Verdana"/>
          <w:sz w:val="16"/>
          <w:szCs w:val="16"/>
        </w:rPr>
        <w:tab/>
      </w:r>
      <w:r w:rsidRPr="00AD47D0">
        <w:rPr>
          <w:rFonts w:ascii="Verdana" w:hAnsi="Verdana"/>
          <w:i/>
          <w:sz w:val="16"/>
          <w:szCs w:val="16"/>
        </w:rPr>
        <w:t xml:space="preserve">Cfr. </w:t>
      </w:r>
      <w:r w:rsidRPr="00AD47D0">
        <w:rPr>
          <w:rFonts w:ascii="Verdana" w:hAnsi="Verdana"/>
          <w:bCs/>
          <w:i/>
          <w:sz w:val="16"/>
          <w:szCs w:val="16"/>
        </w:rPr>
        <w:t xml:space="preserve">Caso Velásquez Rodríguez Vs. Honduras. Fondo. </w:t>
      </w:r>
      <w:r w:rsidRPr="00AD47D0">
        <w:rPr>
          <w:rFonts w:ascii="Verdana" w:hAnsi="Verdana"/>
          <w:bCs/>
          <w:sz w:val="16"/>
          <w:szCs w:val="16"/>
        </w:rPr>
        <w:t>Sentencia de 29 de julio de 1988. Serie C No. 4.</w:t>
      </w:r>
    </w:p>
  </w:footnote>
  <w:footnote w:id="2">
    <w:p w14:paraId="5C1FF510" w14:textId="77777777" w:rsidR="002F1B04" w:rsidRPr="00AD47D0" w:rsidRDefault="002F1B04" w:rsidP="00551E7F">
      <w:pPr>
        <w:pStyle w:val="Textonotapie"/>
        <w:spacing w:before="120" w:after="120"/>
        <w:jc w:val="both"/>
        <w:rPr>
          <w:rFonts w:ascii="Verdana" w:hAnsi="Verdana"/>
          <w:sz w:val="16"/>
          <w:szCs w:val="16"/>
        </w:rPr>
      </w:pPr>
      <w:r w:rsidRPr="00AD47D0">
        <w:rPr>
          <w:rStyle w:val="Refdenotaalpie"/>
          <w:rFonts w:ascii="Verdana" w:hAnsi="Verdana"/>
          <w:sz w:val="16"/>
          <w:szCs w:val="16"/>
        </w:rPr>
        <w:footnoteRef/>
      </w:r>
      <w:r w:rsidRPr="00AD47D0">
        <w:rPr>
          <w:rFonts w:ascii="Verdana" w:hAnsi="Verdana"/>
          <w:sz w:val="16"/>
          <w:szCs w:val="16"/>
        </w:rPr>
        <w:t xml:space="preserve"> </w:t>
      </w:r>
      <w:r w:rsidRPr="00AD47D0">
        <w:rPr>
          <w:rFonts w:ascii="Verdana" w:hAnsi="Verdana"/>
          <w:sz w:val="16"/>
          <w:szCs w:val="16"/>
        </w:rPr>
        <w:tab/>
      </w:r>
      <w:r w:rsidRPr="00AD47D0">
        <w:rPr>
          <w:rFonts w:ascii="Verdana" w:hAnsi="Verdana"/>
          <w:i/>
          <w:sz w:val="16"/>
          <w:szCs w:val="16"/>
        </w:rPr>
        <w:t>Cfr. Caso Díaz Loreto y otros Vs. Venezuela</w:t>
      </w:r>
      <w:r w:rsidRPr="00AD47D0">
        <w:rPr>
          <w:rFonts w:ascii="Verdana" w:hAnsi="Verdana"/>
          <w:sz w:val="16"/>
          <w:szCs w:val="16"/>
        </w:rPr>
        <w:t xml:space="preserve">. </w:t>
      </w:r>
      <w:r w:rsidRPr="00AD47D0">
        <w:rPr>
          <w:rFonts w:ascii="Verdana" w:hAnsi="Verdana"/>
          <w:i/>
          <w:sz w:val="16"/>
          <w:szCs w:val="16"/>
        </w:rPr>
        <w:t>Excepciones Preliminares, Fondo, Reparaciones y Costas</w:t>
      </w:r>
      <w:r w:rsidRPr="00AD47D0">
        <w:rPr>
          <w:rFonts w:ascii="Verdana" w:hAnsi="Verdana"/>
          <w:sz w:val="16"/>
          <w:szCs w:val="16"/>
        </w:rPr>
        <w:t>. Sentencia de 19 de noviembre de 2019</w:t>
      </w:r>
      <w:r w:rsidR="003C55A6" w:rsidRPr="00AD47D0">
        <w:rPr>
          <w:rStyle w:val="Textoennegrita"/>
          <w:rFonts w:ascii="Verdana" w:hAnsi="Verdana"/>
          <w:b w:val="0"/>
          <w:color w:val="000000"/>
          <w:sz w:val="16"/>
          <w:szCs w:val="16"/>
        </w:rPr>
        <w:t>. Serie C No. 392</w:t>
      </w:r>
      <w:r w:rsidRPr="00AD47D0">
        <w:rPr>
          <w:rStyle w:val="Textoennegrita"/>
          <w:rFonts w:ascii="Verdana" w:hAnsi="Verdana"/>
          <w:b w:val="0"/>
          <w:color w:val="000000"/>
          <w:sz w:val="16"/>
          <w:szCs w:val="16"/>
        </w:rPr>
        <w:t>.</w:t>
      </w:r>
    </w:p>
  </w:footnote>
  <w:footnote w:id="3">
    <w:p w14:paraId="51095328" w14:textId="77777777" w:rsidR="002E3700" w:rsidRPr="00AD47D0" w:rsidRDefault="002E3700" w:rsidP="00551E7F">
      <w:pPr>
        <w:pStyle w:val="Textonotapie"/>
        <w:spacing w:before="120" w:after="120"/>
        <w:jc w:val="both"/>
        <w:rPr>
          <w:rFonts w:ascii="Verdana" w:hAnsi="Verdana"/>
          <w:sz w:val="16"/>
          <w:szCs w:val="16"/>
        </w:rPr>
      </w:pPr>
      <w:r w:rsidRPr="00AD47D0">
        <w:rPr>
          <w:rStyle w:val="Refdenotaalpie"/>
          <w:rFonts w:ascii="Verdana" w:hAnsi="Verdana"/>
          <w:sz w:val="16"/>
          <w:szCs w:val="16"/>
        </w:rPr>
        <w:footnoteRef/>
      </w:r>
      <w:r w:rsidRPr="00AD47D0">
        <w:rPr>
          <w:rFonts w:ascii="Verdana" w:hAnsi="Verdana"/>
          <w:sz w:val="16"/>
          <w:szCs w:val="16"/>
        </w:rPr>
        <w:t xml:space="preserve"> </w:t>
      </w:r>
      <w:r w:rsidRPr="00AD47D0">
        <w:rPr>
          <w:rFonts w:ascii="Verdana" w:hAnsi="Verdana"/>
          <w:sz w:val="16"/>
          <w:szCs w:val="16"/>
        </w:rPr>
        <w:tab/>
      </w:r>
      <w:proofErr w:type="spellStart"/>
      <w:r w:rsidRPr="00AD47D0">
        <w:rPr>
          <w:rFonts w:ascii="Verdana" w:hAnsi="Verdana"/>
          <w:sz w:val="16"/>
          <w:szCs w:val="16"/>
        </w:rPr>
        <w:t>Párrs</w:t>
      </w:r>
      <w:proofErr w:type="spellEnd"/>
      <w:r w:rsidRPr="00AD47D0">
        <w:rPr>
          <w:rFonts w:ascii="Verdana" w:hAnsi="Verdana"/>
          <w:sz w:val="16"/>
          <w:szCs w:val="16"/>
        </w:rPr>
        <w:t>. 29 a 33 de la Sentencia.</w:t>
      </w:r>
    </w:p>
  </w:footnote>
  <w:footnote w:id="4">
    <w:p w14:paraId="6DC81865" w14:textId="77777777" w:rsidR="002E3700" w:rsidRPr="00AD47D0" w:rsidRDefault="002E3700" w:rsidP="00551E7F">
      <w:pPr>
        <w:pStyle w:val="Textonotapie"/>
        <w:spacing w:before="120" w:after="120"/>
        <w:jc w:val="both"/>
        <w:rPr>
          <w:rFonts w:ascii="Verdana" w:hAnsi="Verdana"/>
          <w:sz w:val="16"/>
          <w:szCs w:val="16"/>
        </w:rPr>
      </w:pPr>
      <w:r w:rsidRPr="00AD47D0">
        <w:rPr>
          <w:rStyle w:val="Refdenotaalpie"/>
          <w:rFonts w:ascii="Verdana" w:hAnsi="Verdana"/>
          <w:sz w:val="16"/>
          <w:szCs w:val="16"/>
        </w:rPr>
        <w:footnoteRef/>
      </w:r>
      <w:r w:rsidRPr="00AD47D0">
        <w:rPr>
          <w:rFonts w:ascii="Verdana" w:hAnsi="Verdana"/>
          <w:sz w:val="16"/>
          <w:szCs w:val="16"/>
        </w:rPr>
        <w:t xml:space="preserve"> </w:t>
      </w:r>
      <w:r w:rsidRPr="00AD47D0">
        <w:rPr>
          <w:rFonts w:ascii="Verdana" w:hAnsi="Verdana"/>
          <w:sz w:val="16"/>
          <w:szCs w:val="16"/>
        </w:rPr>
        <w:tab/>
      </w:r>
      <w:proofErr w:type="spellStart"/>
      <w:r w:rsidRPr="00AD47D0">
        <w:rPr>
          <w:rFonts w:ascii="Verdana" w:hAnsi="Verdana"/>
          <w:sz w:val="16"/>
          <w:szCs w:val="16"/>
        </w:rPr>
        <w:t>Párrs</w:t>
      </w:r>
      <w:proofErr w:type="spellEnd"/>
      <w:r w:rsidRPr="00AD47D0">
        <w:rPr>
          <w:rFonts w:ascii="Verdana" w:hAnsi="Verdana"/>
          <w:sz w:val="16"/>
          <w:szCs w:val="16"/>
        </w:rPr>
        <w:t>. 63 a 65 de la Sentencia.</w:t>
      </w:r>
    </w:p>
  </w:footnote>
  <w:footnote w:id="5">
    <w:p w14:paraId="305CC5FD" w14:textId="77777777" w:rsidR="002F1B04" w:rsidRPr="00AD47D0" w:rsidRDefault="002F1B04" w:rsidP="00551E7F">
      <w:pPr>
        <w:pStyle w:val="Textonotapie"/>
        <w:spacing w:before="120" w:after="120"/>
        <w:jc w:val="both"/>
        <w:rPr>
          <w:rFonts w:ascii="Verdana" w:hAnsi="Verdana"/>
          <w:sz w:val="16"/>
          <w:szCs w:val="16"/>
        </w:rPr>
      </w:pPr>
      <w:r w:rsidRPr="00AD47D0">
        <w:rPr>
          <w:rStyle w:val="Refdenotaalpie"/>
          <w:rFonts w:ascii="Verdana" w:hAnsi="Verdana"/>
          <w:sz w:val="16"/>
          <w:szCs w:val="16"/>
        </w:rPr>
        <w:footnoteRef/>
      </w:r>
      <w:r w:rsidRPr="00AD47D0">
        <w:rPr>
          <w:rFonts w:ascii="Verdana" w:hAnsi="Verdana"/>
          <w:sz w:val="16"/>
          <w:szCs w:val="16"/>
        </w:rPr>
        <w:t xml:space="preserve"> </w:t>
      </w:r>
      <w:r w:rsidRPr="00AD47D0">
        <w:rPr>
          <w:rFonts w:ascii="Verdana" w:hAnsi="Verdana"/>
          <w:sz w:val="16"/>
          <w:szCs w:val="16"/>
        </w:rPr>
        <w:tab/>
      </w:r>
      <w:r w:rsidRPr="00AD47D0">
        <w:rPr>
          <w:rFonts w:ascii="Verdana" w:hAnsi="Verdana"/>
          <w:i/>
          <w:sz w:val="16"/>
          <w:szCs w:val="16"/>
        </w:rPr>
        <w:t>Cfr. Caso Díaz Loreto y otros Vs. Venezuela</w:t>
      </w:r>
      <w:r w:rsidRPr="00AD47D0">
        <w:rPr>
          <w:rFonts w:ascii="Verdana" w:hAnsi="Verdana"/>
          <w:sz w:val="16"/>
          <w:szCs w:val="16"/>
        </w:rPr>
        <w:t xml:space="preserve">. </w:t>
      </w:r>
      <w:r w:rsidRPr="00AD47D0">
        <w:rPr>
          <w:rFonts w:ascii="Verdana" w:hAnsi="Verdana"/>
          <w:i/>
          <w:sz w:val="16"/>
          <w:szCs w:val="16"/>
        </w:rPr>
        <w:t>Excepciones Preliminares, Fondo, Reparaciones y Costas</w:t>
      </w:r>
      <w:r w:rsidRPr="00AD47D0">
        <w:rPr>
          <w:rFonts w:ascii="Verdana" w:hAnsi="Verdana"/>
          <w:sz w:val="16"/>
          <w:szCs w:val="16"/>
        </w:rPr>
        <w:t xml:space="preserve">. Sentencia de 19 de noviembre de 2019, párr. </w:t>
      </w:r>
      <w:r w:rsidR="003C55A6" w:rsidRPr="00AD47D0">
        <w:rPr>
          <w:rFonts w:ascii="Verdana" w:hAnsi="Verdana"/>
          <w:sz w:val="16"/>
          <w:szCs w:val="16"/>
        </w:rPr>
        <w:t>87</w:t>
      </w:r>
      <w:r w:rsidRPr="00AD47D0">
        <w:rPr>
          <w:rFonts w:ascii="Verdana" w:hAnsi="Verdana"/>
          <w:sz w:val="16"/>
          <w:szCs w:val="16"/>
        </w:rPr>
        <w:t xml:space="preserve">. Asimismo, véase el Resolutivo 2 de la Sentencia: “2. El Estado es </w:t>
      </w:r>
      <w:proofErr w:type="spellStart"/>
      <w:r w:rsidRPr="00AD47D0">
        <w:rPr>
          <w:rFonts w:ascii="Verdana" w:hAnsi="Verdana"/>
          <w:sz w:val="16"/>
          <w:szCs w:val="16"/>
        </w:rPr>
        <w:t>responable</w:t>
      </w:r>
      <w:proofErr w:type="spellEnd"/>
      <w:r w:rsidRPr="00AD47D0">
        <w:rPr>
          <w:rFonts w:ascii="Verdana" w:hAnsi="Verdana"/>
          <w:sz w:val="16"/>
          <w:szCs w:val="16"/>
        </w:rPr>
        <w:t xml:space="preserve"> por la violación de la obligación de respeto y garantía del derecho a la vida reconocido en el artículo 4 de la Convención Americana sobre Derechos Humanos […]”.</w:t>
      </w:r>
    </w:p>
  </w:footnote>
  <w:footnote w:id="6">
    <w:p w14:paraId="722458F1" w14:textId="77777777" w:rsidR="002F1B04" w:rsidRPr="00AD47D0" w:rsidRDefault="002F1B04" w:rsidP="00551E7F">
      <w:pPr>
        <w:pStyle w:val="Textonotapie"/>
        <w:spacing w:before="120" w:after="120"/>
        <w:jc w:val="both"/>
        <w:rPr>
          <w:rFonts w:ascii="Verdana" w:hAnsi="Verdana"/>
          <w:sz w:val="16"/>
          <w:szCs w:val="16"/>
        </w:rPr>
      </w:pPr>
      <w:r w:rsidRPr="00AD47D0">
        <w:rPr>
          <w:rStyle w:val="Refdenotaalpie"/>
          <w:rFonts w:ascii="Verdana" w:hAnsi="Verdana"/>
          <w:sz w:val="16"/>
          <w:szCs w:val="16"/>
        </w:rPr>
        <w:footnoteRef/>
      </w:r>
      <w:r w:rsidRPr="00AD47D0">
        <w:rPr>
          <w:rFonts w:ascii="Verdana" w:hAnsi="Verdana"/>
          <w:sz w:val="16"/>
          <w:szCs w:val="16"/>
        </w:rPr>
        <w:t xml:space="preserve"> </w:t>
      </w:r>
      <w:r w:rsidRPr="00AD47D0">
        <w:rPr>
          <w:rFonts w:ascii="Verdana" w:hAnsi="Verdana"/>
          <w:sz w:val="16"/>
          <w:szCs w:val="16"/>
        </w:rPr>
        <w:tab/>
        <w:t xml:space="preserve">Al respecto, puede verse el apartado denominado “El análisis de la prueba relacionada con los presuntos enfrentamientos”, en el cual se realiza múltiples inconsistencias de la versión estatal relativa al supuesto “enfrentamiento”. </w:t>
      </w:r>
      <w:r w:rsidRPr="00AD47D0">
        <w:rPr>
          <w:rFonts w:ascii="Verdana" w:hAnsi="Verdana"/>
          <w:i/>
          <w:sz w:val="16"/>
          <w:szCs w:val="16"/>
        </w:rPr>
        <w:t>Caso Díaz Loreto y otros Vs. Venezuela</w:t>
      </w:r>
      <w:r w:rsidRPr="00AD47D0">
        <w:rPr>
          <w:rFonts w:ascii="Verdana" w:hAnsi="Verdana"/>
          <w:sz w:val="16"/>
          <w:szCs w:val="16"/>
        </w:rPr>
        <w:t xml:space="preserve">. </w:t>
      </w:r>
      <w:r w:rsidRPr="00AD47D0">
        <w:rPr>
          <w:rFonts w:ascii="Verdana" w:hAnsi="Verdana"/>
          <w:i/>
          <w:sz w:val="16"/>
          <w:szCs w:val="16"/>
        </w:rPr>
        <w:t>Excepciones Preliminares, Fondo, Reparaciones y Costas</w:t>
      </w:r>
      <w:r w:rsidRPr="00AD47D0">
        <w:rPr>
          <w:rFonts w:ascii="Verdana" w:hAnsi="Verdana"/>
          <w:sz w:val="16"/>
          <w:szCs w:val="16"/>
        </w:rPr>
        <w:t xml:space="preserve">. Sentencia de 19 de noviembre de 2019, </w:t>
      </w:r>
      <w:proofErr w:type="spellStart"/>
      <w:r w:rsidRPr="00AD47D0">
        <w:rPr>
          <w:rFonts w:ascii="Verdana" w:hAnsi="Verdana"/>
          <w:sz w:val="16"/>
          <w:szCs w:val="16"/>
        </w:rPr>
        <w:t>párr</w:t>
      </w:r>
      <w:r w:rsidR="003C55A6" w:rsidRPr="00AD47D0">
        <w:rPr>
          <w:rFonts w:ascii="Verdana" w:hAnsi="Verdana"/>
          <w:sz w:val="16"/>
          <w:szCs w:val="16"/>
        </w:rPr>
        <w:t>s</w:t>
      </w:r>
      <w:proofErr w:type="spellEnd"/>
      <w:r w:rsidR="003C55A6" w:rsidRPr="00AD47D0">
        <w:rPr>
          <w:rFonts w:ascii="Verdana" w:hAnsi="Verdana"/>
          <w:sz w:val="16"/>
          <w:szCs w:val="16"/>
        </w:rPr>
        <w:t>. 80 a 86</w:t>
      </w:r>
      <w:r w:rsidRPr="00AD47D0">
        <w:rPr>
          <w:rFonts w:ascii="Verdana" w:hAnsi="Verdana"/>
          <w:sz w:val="16"/>
          <w:szCs w:val="16"/>
        </w:rPr>
        <w:t>.</w:t>
      </w:r>
    </w:p>
  </w:footnote>
  <w:footnote w:id="7">
    <w:p w14:paraId="7775142D" w14:textId="77777777" w:rsidR="002F1B04" w:rsidRPr="00AD47D0" w:rsidRDefault="002F1B04" w:rsidP="00551E7F">
      <w:pPr>
        <w:pStyle w:val="Textonotapie"/>
        <w:spacing w:before="120" w:after="120"/>
        <w:jc w:val="both"/>
        <w:rPr>
          <w:rFonts w:ascii="Verdana" w:hAnsi="Verdana"/>
          <w:sz w:val="16"/>
          <w:szCs w:val="16"/>
        </w:rPr>
      </w:pPr>
      <w:r w:rsidRPr="00AD47D0">
        <w:rPr>
          <w:rStyle w:val="Refdenotaalpie"/>
          <w:rFonts w:ascii="Verdana" w:hAnsi="Verdana"/>
          <w:sz w:val="16"/>
          <w:szCs w:val="16"/>
        </w:rPr>
        <w:footnoteRef/>
      </w:r>
      <w:r w:rsidRPr="00AD47D0">
        <w:rPr>
          <w:rFonts w:ascii="Verdana" w:hAnsi="Verdana"/>
          <w:sz w:val="16"/>
          <w:szCs w:val="16"/>
        </w:rPr>
        <w:t xml:space="preserve"> </w:t>
      </w:r>
      <w:r w:rsidRPr="00AD47D0">
        <w:rPr>
          <w:rFonts w:ascii="Verdana" w:hAnsi="Verdana"/>
          <w:sz w:val="16"/>
          <w:szCs w:val="16"/>
        </w:rPr>
        <w:tab/>
      </w:r>
      <w:r w:rsidRPr="00AD47D0">
        <w:rPr>
          <w:rFonts w:ascii="Verdana" w:hAnsi="Verdana"/>
          <w:i/>
          <w:sz w:val="16"/>
          <w:szCs w:val="16"/>
        </w:rPr>
        <w:t xml:space="preserve">Cfr. Caso Hermanos Landaeta Mejías y otros Vs. Venezuela. </w:t>
      </w:r>
      <w:r w:rsidRPr="00AD47D0">
        <w:rPr>
          <w:rFonts w:ascii="Verdana" w:hAnsi="Verdana"/>
          <w:sz w:val="16"/>
          <w:szCs w:val="16"/>
        </w:rPr>
        <w:t xml:space="preserve">Excepciones Preliminares, Fondo, Reparaciones y Costas. Sentencia de 27 de agosto de 2014. Serie C No. 281; </w:t>
      </w:r>
      <w:r w:rsidRPr="00AD47D0">
        <w:rPr>
          <w:rFonts w:ascii="Verdana" w:hAnsi="Verdana"/>
          <w:i/>
          <w:sz w:val="16"/>
          <w:szCs w:val="16"/>
        </w:rPr>
        <w:t xml:space="preserve">Caso Uzcátegui y otros Vs. Venezuela. Fondo y Reparaciones. </w:t>
      </w:r>
      <w:r w:rsidRPr="00AD47D0">
        <w:rPr>
          <w:rFonts w:ascii="Verdana" w:hAnsi="Verdana"/>
          <w:sz w:val="16"/>
          <w:szCs w:val="16"/>
        </w:rPr>
        <w:t xml:space="preserve">Sentencia de 3 de septiembre de 2012. Serie C No. 249; y </w:t>
      </w:r>
      <w:r w:rsidRPr="00AD47D0">
        <w:rPr>
          <w:rFonts w:ascii="Verdana" w:hAnsi="Verdana"/>
          <w:i/>
          <w:sz w:val="16"/>
          <w:szCs w:val="16"/>
        </w:rPr>
        <w:t xml:space="preserve">Caso Familia Barrios Vs. Venezuela. </w:t>
      </w:r>
      <w:r w:rsidRPr="00AD47D0">
        <w:rPr>
          <w:rFonts w:ascii="Verdana" w:hAnsi="Verdana"/>
          <w:sz w:val="16"/>
          <w:szCs w:val="16"/>
        </w:rPr>
        <w:t>Fondo, Reparaciones y Costas. Sentencia de 24 de noviembre de 2011. Serie C No. 237.</w:t>
      </w:r>
    </w:p>
    <w:p w14:paraId="619401A6" w14:textId="77777777" w:rsidR="002F1B04" w:rsidRPr="00AD47D0" w:rsidRDefault="002F1B04" w:rsidP="00551E7F">
      <w:pPr>
        <w:pStyle w:val="Textonotapie"/>
        <w:spacing w:before="120" w:after="120"/>
        <w:jc w:val="both"/>
        <w:rPr>
          <w:rFonts w:ascii="Verdana" w:hAnsi="Verdana"/>
          <w:sz w:val="16"/>
          <w:szCs w:val="16"/>
        </w:rPr>
      </w:pPr>
    </w:p>
  </w:footnote>
  <w:footnote w:id="8">
    <w:p w14:paraId="06102E86" w14:textId="77777777" w:rsidR="002F1B04" w:rsidRPr="00AD47D0" w:rsidRDefault="002F1B04" w:rsidP="00551E7F">
      <w:pPr>
        <w:pStyle w:val="Textonotapie"/>
        <w:spacing w:before="120" w:after="120"/>
        <w:jc w:val="both"/>
        <w:rPr>
          <w:rFonts w:ascii="Verdana" w:hAnsi="Verdana"/>
          <w:sz w:val="16"/>
          <w:szCs w:val="16"/>
        </w:rPr>
      </w:pPr>
      <w:r w:rsidRPr="00AD47D0">
        <w:rPr>
          <w:rStyle w:val="Refdenotaalpie"/>
          <w:rFonts w:ascii="Verdana" w:hAnsi="Verdana"/>
          <w:sz w:val="16"/>
          <w:szCs w:val="16"/>
        </w:rPr>
        <w:footnoteRef/>
      </w:r>
      <w:r w:rsidRPr="00AD47D0">
        <w:rPr>
          <w:rFonts w:ascii="Verdana" w:hAnsi="Verdana"/>
          <w:sz w:val="16"/>
          <w:szCs w:val="16"/>
        </w:rPr>
        <w:t xml:space="preserve"> </w:t>
      </w:r>
      <w:r w:rsidRPr="00AD47D0">
        <w:rPr>
          <w:rFonts w:ascii="Verdana" w:hAnsi="Verdana"/>
          <w:sz w:val="16"/>
          <w:szCs w:val="16"/>
        </w:rPr>
        <w:tab/>
      </w:r>
      <w:r w:rsidRPr="00AD47D0">
        <w:rPr>
          <w:rFonts w:ascii="Verdana" w:hAnsi="Verdana"/>
          <w:i/>
          <w:sz w:val="16"/>
          <w:szCs w:val="16"/>
        </w:rPr>
        <w:t>Cfr.</w:t>
      </w:r>
      <w:r w:rsidRPr="00AD47D0">
        <w:rPr>
          <w:rFonts w:ascii="Verdana" w:hAnsi="Verdana"/>
          <w:sz w:val="16"/>
          <w:szCs w:val="16"/>
        </w:rPr>
        <w:t xml:space="preserve"> </w:t>
      </w:r>
      <w:r w:rsidRPr="00AD47D0">
        <w:rPr>
          <w:rFonts w:ascii="Verdana" w:hAnsi="Verdana"/>
          <w:i/>
          <w:sz w:val="16"/>
          <w:szCs w:val="16"/>
        </w:rPr>
        <w:t>Caso Díaz Loreto y otros Vs. Venezuela</w:t>
      </w:r>
      <w:r w:rsidRPr="00AD47D0">
        <w:rPr>
          <w:rFonts w:ascii="Verdana" w:hAnsi="Verdana"/>
          <w:sz w:val="16"/>
          <w:szCs w:val="16"/>
        </w:rPr>
        <w:t xml:space="preserve">. </w:t>
      </w:r>
      <w:r w:rsidRPr="00AD47D0">
        <w:rPr>
          <w:rFonts w:ascii="Verdana" w:hAnsi="Verdana"/>
          <w:i/>
          <w:sz w:val="16"/>
          <w:szCs w:val="16"/>
        </w:rPr>
        <w:t>Excepciones Preliminares, Fondo, Reparaciones y Costas</w:t>
      </w:r>
      <w:r w:rsidRPr="00AD47D0">
        <w:rPr>
          <w:rFonts w:ascii="Verdana" w:hAnsi="Verdana"/>
          <w:sz w:val="16"/>
          <w:szCs w:val="16"/>
        </w:rPr>
        <w:t xml:space="preserve">. Sentencia de 19 de noviembre de 2019, párr. </w:t>
      </w:r>
      <w:r w:rsidR="003C55A6" w:rsidRPr="00AD47D0">
        <w:rPr>
          <w:rFonts w:ascii="Verdana" w:hAnsi="Verdana"/>
          <w:sz w:val="16"/>
          <w:szCs w:val="16"/>
        </w:rPr>
        <w:t>66</w:t>
      </w:r>
      <w:r w:rsidRPr="00AD47D0">
        <w:rPr>
          <w:rFonts w:ascii="Verdana" w:hAnsi="Verdana"/>
          <w:sz w:val="16"/>
          <w:szCs w:val="16"/>
        </w:rPr>
        <w:t>. La Corte IDH toma en consideración el Informe de la Defensoría del Pueblo de 2003, así como la declaración de perito Lisandro Raúl Cubas durante la audiencia pública del caso.</w:t>
      </w:r>
    </w:p>
  </w:footnote>
  <w:footnote w:id="9">
    <w:p w14:paraId="35D58FC4" w14:textId="77777777" w:rsidR="002F1B04" w:rsidRPr="00AD47D0" w:rsidRDefault="002F1B04" w:rsidP="00551E7F">
      <w:pPr>
        <w:pStyle w:val="Textonotapie"/>
        <w:spacing w:before="120" w:after="120"/>
        <w:jc w:val="both"/>
        <w:rPr>
          <w:rFonts w:ascii="Verdana" w:hAnsi="Verdana"/>
          <w:sz w:val="16"/>
          <w:szCs w:val="16"/>
        </w:rPr>
      </w:pPr>
      <w:r w:rsidRPr="00AD47D0">
        <w:rPr>
          <w:rStyle w:val="Refdenotaalpie"/>
          <w:rFonts w:ascii="Verdana" w:hAnsi="Verdana"/>
          <w:sz w:val="16"/>
          <w:szCs w:val="16"/>
        </w:rPr>
        <w:footnoteRef/>
      </w:r>
      <w:r w:rsidRPr="00AD47D0">
        <w:rPr>
          <w:rFonts w:ascii="Verdana" w:hAnsi="Verdana"/>
          <w:sz w:val="16"/>
          <w:szCs w:val="16"/>
        </w:rPr>
        <w:t xml:space="preserve"> </w:t>
      </w:r>
      <w:r w:rsidRPr="00AD47D0">
        <w:rPr>
          <w:rFonts w:ascii="Verdana" w:hAnsi="Verdana"/>
          <w:sz w:val="16"/>
          <w:szCs w:val="16"/>
        </w:rPr>
        <w:tab/>
      </w:r>
      <w:r w:rsidRPr="00AD47D0">
        <w:rPr>
          <w:rFonts w:ascii="Verdana" w:hAnsi="Verdana"/>
          <w:i/>
          <w:sz w:val="16"/>
          <w:szCs w:val="16"/>
        </w:rPr>
        <w:t>Cfr.</w:t>
      </w:r>
      <w:r w:rsidRPr="00AD47D0">
        <w:rPr>
          <w:rFonts w:ascii="Verdana" w:hAnsi="Verdana"/>
          <w:sz w:val="16"/>
          <w:szCs w:val="16"/>
        </w:rPr>
        <w:t xml:space="preserve"> </w:t>
      </w:r>
      <w:r w:rsidRPr="00AD47D0">
        <w:rPr>
          <w:rFonts w:ascii="Verdana" w:hAnsi="Verdana"/>
          <w:i/>
          <w:sz w:val="16"/>
          <w:szCs w:val="16"/>
        </w:rPr>
        <w:t>Caso Díaz Loreto y otros Vs. Venezuela</w:t>
      </w:r>
      <w:r w:rsidRPr="00AD47D0">
        <w:rPr>
          <w:rFonts w:ascii="Verdana" w:hAnsi="Verdana"/>
          <w:sz w:val="16"/>
          <w:szCs w:val="16"/>
        </w:rPr>
        <w:t xml:space="preserve">. </w:t>
      </w:r>
      <w:r w:rsidRPr="00AD47D0">
        <w:rPr>
          <w:rFonts w:ascii="Verdana" w:hAnsi="Verdana"/>
          <w:i/>
          <w:sz w:val="16"/>
          <w:szCs w:val="16"/>
        </w:rPr>
        <w:t>Excepciones Preliminares, Fondo, Reparaciones y Costas</w:t>
      </w:r>
      <w:r w:rsidRPr="00AD47D0">
        <w:rPr>
          <w:rFonts w:ascii="Verdana" w:hAnsi="Verdana"/>
          <w:sz w:val="16"/>
          <w:szCs w:val="16"/>
        </w:rPr>
        <w:t>. Sentencia de 19 de noviembre de 2019, párr. 32.</w:t>
      </w:r>
    </w:p>
  </w:footnote>
  <w:footnote w:id="10">
    <w:p w14:paraId="5CF917CF" w14:textId="77777777" w:rsidR="002F1B04" w:rsidRPr="00AD47D0" w:rsidRDefault="002F1B04" w:rsidP="00551E7F">
      <w:pPr>
        <w:pStyle w:val="Textonotapie"/>
        <w:spacing w:before="120" w:after="120"/>
        <w:jc w:val="both"/>
        <w:rPr>
          <w:rFonts w:ascii="Verdana" w:hAnsi="Verdana"/>
          <w:sz w:val="16"/>
          <w:szCs w:val="16"/>
        </w:rPr>
      </w:pPr>
      <w:r w:rsidRPr="00AD47D0">
        <w:rPr>
          <w:rStyle w:val="Refdenotaalpie"/>
          <w:rFonts w:ascii="Verdana" w:hAnsi="Verdana"/>
          <w:sz w:val="16"/>
          <w:szCs w:val="16"/>
        </w:rPr>
        <w:footnoteRef/>
      </w:r>
      <w:r w:rsidRPr="00AD47D0">
        <w:rPr>
          <w:rFonts w:ascii="Verdana" w:hAnsi="Verdana"/>
          <w:sz w:val="16"/>
          <w:szCs w:val="16"/>
        </w:rPr>
        <w:t xml:space="preserve"> </w:t>
      </w:r>
      <w:r w:rsidRPr="00AD47D0">
        <w:rPr>
          <w:rFonts w:ascii="Verdana" w:hAnsi="Verdana"/>
          <w:sz w:val="16"/>
          <w:szCs w:val="16"/>
        </w:rPr>
        <w:tab/>
        <w:t>Anexo 2 del Informe de Fondo: Defensoría del Pueblo Venezuela. Anuario 2002, pág. 22.</w:t>
      </w:r>
    </w:p>
  </w:footnote>
  <w:footnote w:id="11">
    <w:p w14:paraId="5B135696" w14:textId="77777777" w:rsidR="002F1B04" w:rsidRPr="00AD47D0" w:rsidRDefault="002F1B04" w:rsidP="00551E7F">
      <w:pPr>
        <w:pStyle w:val="Textonotapie"/>
        <w:spacing w:before="120" w:after="120"/>
        <w:jc w:val="both"/>
        <w:rPr>
          <w:rFonts w:ascii="Verdana" w:hAnsi="Verdana"/>
          <w:sz w:val="16"/>
          <w:szCs w:val="16"/>
        </w:rPr>
      </w:pPr>
      <w:r w:rsidRPr="00AD47D0">
        <w:rPr>
          <w:rStyle w:val="Refdenotaalpie"/>
          <w:rFonts w:ascii="Verdana" w:hAnsi="Verdana"/>
          <w:sz w:val="16"/>
          <w:szCs w:val="16"/>
        </w:rPr>
        <w:footnoteRef/>
      </w:r>
      <w:r w:rsidRPr="00AD47D0">
        <w:rPr>
          <w:rFonts w:ascii="Verdana" w:hAnsi="Verdana"/>
          <w:sz w:val="16"/>
          <w:szCs w:val="16"/>
        </w:rPr>
        <w:t xml:space="preserve"> </w:t>
      </w:r>
      <w:r w:rsidRPr="00AD47D0">
        <w:rPr>
          <w:rFonts w:ascii="Verdana" w:hAnsi="Verdana"/>
          <w:sz w:val="16"/>
          <w:szCs w:val="16"/>
        </w:rPr>
        <w:tab/>
      </w:r>
      <w:r w:rsidRPr="00AD47D0">
        <w:rPr>
          <w:rFonts w:ascii="Verdana" w:hAnsi="Verdana"/>
          <w:i/>
          <w:sz w:val="16"/>
          <w:szCs w:val="16"/>
        </w:rPr>
        <w:t>Cfr.</w:t>
      </w:r>
      <w:r w:rsidRPr="00AD47D0">
        <w:rPr>
          <w:rFonts w:ascii="Verdana" w:hAnsi="Verdana"/>
          <w:sz w:val="16"/>
          <w:szCs w:val="16"/>
        </w:rPr>
        <w:t xml:space="preserve"> </w:t>
      </w:r>
      <w:r w:rsidRPr="00AD47D0">
        <w:rPr>
          <w:rFonts w:ascii="Verdana" w:hAnsi="Verdana"/>
          <w:i/>
          <w:sz w:val="16"/>
          <w:szCs w:val="16"/>
        </w:rPr>
        <w:t>Caso Díaz Loreto y otros Vs. Venezuela</w:t>
      </w:r>
      <w:r w:rsidRPr="00AD47D0">
        <w:rPr>
          <w:rFonts w:ascii="Verdana" w:hAnsi="Verdana"/>
          <w:sz w:val="16"/>
          <w:szCs w:val="16"/>
        </w:rPr>
        <w:t xml:space="preserve">. </w:t>
      </w:r>
      <w:r w:rsidRPr="00AD47D0">
        <w:rPr>
          <w:rFonts w:ascii="Verdana" w:hAnsi="Verdana"/>
          <w:i/>
          <w:sz w:val="16"/>
          <w:szCs w:val="16"/>
        </w:rPr>
        <w:t>Excepciones Preliminares, Fondo, Reparaciones y Costas</w:t>
      </w:r>
      <w:r w:rsidRPr="00AD47D0">
        <w:rPr>
          <w:rFonts w:ascii="Verdana" w:hAnsi="Verdana"/>
          <w:sz w:val="16"/>
          <w:szCs w:val="16"/>
        </w:rPr>
        <w:t xml:space="preserve">. Sentencia de 19 de noviembre de 2019, </w:t>
      </w:r>
      <w:proofErr w:type="spellStart"/>
      <w:r w:rsidRPr="00AD47D0">
        <w:rPr>
          <w:rFonts w:ascii="Verdana" w:hAnsi="Verdana"/>
          <w:sz w:val="16"/>
          <w:szCs w:val="16"/>
        </w:rPr>
        <w:t>párrs</w:t>
      </w:r>
      <w:proofErr w:type="spellEnd"/>
      <w:r w:rsidRPr="00AD47D0">
        <w:rPr>
          <w:rFonts w:ascii="Verdana" w:hAnsi="Verdana"/>
          <w:sz w:val="16"/>
          <w:szCs w:val="16"/>
        </w:rPr>
        <w:t>. 31, 32, 55 y 66.</w:t>
      </w:r>
    </w:p>
  </w:footnote>
  <w:footnote w:id="12">
    <w:p w14:paraId="0FED9209" w14:textId="77777777" w:rsidR="002F1B04" w:rsidRPr="00AD47D0" w:rsidRDefault="002F1B04" w:rsidP="00551E7F">
      <w:pPr>
        <w:pStyle w:val="Textonotapie"/>
        <w:spacing w:before="120" w:after="120"/>
        <w:jc w:val="both"/>
        <w:rPr>
          <w:rFonts w:ascii="Verdana" w:hAnsi="Verdana"/>
          <w:sz w:val="16"/>
          <w:szCs w:val="16"/>
        </w:rPr>
      </w:pPr>
      <w:r w:rsidRPr="00AD47D0">
        <w:rPr>
          <w:rStyle w:val="Refdenotaalpie"/>
          <w:rFonts w:ascii="Verdana" w:hAnsi="Verdana"/>
          <w:sz w:val="16"/>
          <w:szCs w:val="16"/>
        </w:rPr>
        <w:footnoteRef/>
      </w:r>
      <w:r w:rsidRPr="00AD47D0">
        <w:rPr>
          <w:rFonts w:ascii="Verdana" w:hAnsi="Verdana"/>
          <w:sz w:val="16"/>
          <w:szCs w:val="16"/>
        </w:rPr>
        <w:t xml:space="preserve"> </w:t>
      </w:r>
      <w:r w:rsidRPr="00AD47D0">
        <w:rPr>
          <w:rFonts w:ascii="Verdana" w:hAnsi="Verdana"/>
          <w:sz w:val="16"/>
          <w:szCs w:val="16"/>
        </w:rPr>
        <w:tab/>
      </w:r>
      <w:r w:rsidRPr="00AD47D0">
        <w:rPr>
          <w:rFonts w:ascii="Verdana" w:hAnsi="Verdana"/>
          <w:i/>
          <w:sz w:val="16"/>
          <w:szCs w:val="16"/>
        </w:rPr>
        <w:t>Cfr.</w:t>
      </w:r>
      <w:r w:rsidRPr="00AD47D0">
        <w:rPr>
          <w:rFonts w:ascii="Verdana" w:hAnsi="Verdana"/>
          <w:sz w:val="16"/>
          <w:szCs w:val="16"/>
        </w:rPr>
        <w:t xml:space="preserve"> </w:t>
      </w:r>
      <w:r w:rsidRPr="00AD47D0">
        <w:rPr>
          <w:rFonts w:ascii="Verdana" w:hAnsi="Verdana"/>
          <w:i/>
          <w:sz w:val="16"/>
          <w:szCs w:val="16"/>
        </w:rPr>
        <w:t>Caso Díaz Loreto y otros Vs. Venezuela</w:t>
      </w:r>
      <w:r w:rsidRPr="00AD47D0">
        <w:rPr>
          <w:rFonts w:ascii="Verdana" w:hAnsi="Verdana"/>
          <w:sz w:val="16"/>
          <w:szCs w:val="16"/>
        </w:rPr>
        <w:t xml:space="preserve">. </w:t>
      </w:r>
      <w:r w:rsidRPr="00AD47D0">
        <w:rPr>
          <w:rFonts w:ascii="Verdana" w:hAnsi="Verdana"/>
          <w:i/>
          <w:sz w:val="16"/>
          <w:szCs w:val="16"/>
        </w:rPr>
        <w:t>Excepciones Preliminares, Fondo, Reparaciones y Costas</w:t>
      </w:r>
      <w:r w:rsidRPr="00AD47D0">
        <w:rPr>
          <w:rFonts w:ascii="Verdana" w:hAnsi="Verdana"/>
          <w:sz w:val="16"/>
          <w:szCs w:val="16"/>
        </w:rPr>
        <w:t>. Sentencia de 19 de noviembre de 2019, párr. 32, nota al pie 30.</w:t>
      </w:r>
    </w:p>
  </w:footnote>
  <w:footnote w:id="13">
    <w:p w14:paraId="28081912" w14:textId="77777777" w:rsidR="002F1B04" w:rsidRPr="00AD47D0" w:rsidRDefault="002F1B04" w:rsidP="00551E7F">
      <w:pPr>
        <w:pStyle w:val="Textonotapie"/>
        <w:spacing w:before="120" w:after="120"/>
        <w:jc w:val="both"/>
        <w:rPr>
          <w:rFonts w:ascii="Verdana" w:hAnsi="Verdana"/>
          <w:sz w:val="16"/>
          <w:szCs w:val="16"/>
        </w:rPr>
      </w:pPr>
      <w:r w:rsidRPr="00AD47D0">
        <w:rPr>
          <w:rStyle w:val="Refdenotaalpie"/>
          <w:rFonts w:ascii="Verdana" w:hAnsi="Verdana"/>
          <w:sz w:val="16"/>
          <w:szCs w:val="16"/>
        </w:rPr>
        <w:footnoteRef/>
      </w:r>
      <w:r w:rsidRPr="00AD47D0">
        <w:rPr>
          <w:rFonts w:ascii="Verdana" w:hAnsi="Verdana"/>
          <w:sz w:val="16"/>
          <w:szCs w:val="16"/>
        </w:rPr>
        <w:t xml:space="preserve"> </w:t>
      </w:r>
      <w:r w:rsidRPr="00AD47D0">
        <w:rPr>
          <w:rFonts w:ascii="Verdana" w:hAnsi="Verdana"/>
          <w:sz w:val="16"/>
          <w:szCs w:val="16"/>
        </w:rPr>
        <w:tab/>
      </w:r>
      <w:r w:rsidRPr="00AD47D0">
        <w:rPr>
          <w:rFonts w:ascii="Verdana" w:hAnsi="Verdana"/>
          <w:i/>
          <w:sz w:val="16"/>
          <w:szCs w:val="16"/>
        </w:rPr>
        <w:t>Cfr.</w:t>
      </w:r>
      <w:r w:rsidRPr="00AD47D0">
        <w:rPr>
          <w:rFonts w:ascii="Verdana" w:hAnsi="Verdana"/>
          <w:sz w:val="16"/>
          <w:szCs w:val="16"/>
        </w:rPr>
        <w:t xml:space="preserve"> Relator Especial de Naciones Unidas sobre las ejecuciones extrajudiciales, sumarias o arbitrarias. Informes ante la Comisión de Derechos Humanos: E/CN.4/1994/7 (párr. 638); E/CN.4/1998/68/Add.1 (párr. 420), disponible; E/CN.4/1999/39/Add.1 (párr. 258); E/CN.4/2001/9/Add.1 (párr. 420); E/CN.4/2003/3/Add.1, disponible en; E/CN.4/2004/7/Add.1.</w:t>
      </w:r>
    </w:p>
  </w:footnote>
  <w:footnote w:id="14">
    <w:p w14:paraId="59B68B0C" w14:textId="77777777" w:rsidR="002F1B04" w:rsidRPr="00AD47D0" w:rsidRDefault="002F1B04" w:rsidP="00551E7F">
      <w:pPr>
        <w:pStyle w:val="Textonotapie"/>
        <w:spacing w:before="120" w:after="120"/>
        <w:jc w:val="both"/>
        <w:rPr>
          <w:rFonts w:ascii="Verdana" w:hAnsi="Verdana"/>
          <w:sz w:val="16"/>
          <w:szCs w:val="16"/>
        </w:rPr>
      </w:pPr>
      <w:r w:rsidRPr="00AD47D0">
        <w:rPr>
          <w:rStyle w:val="Refdenotaalpie"/>
          <w:rFonts w:ascii="Verdana" w:hAnsi="Verdana"/>
          <w:sz w:val="16"/>
          <w:szCs w:val="16"/>
        </w:rPr>
        <w:footnoteRef/>
      </w:r>
      <w:r w:rsidRPr="00AD47D0">
        <w:rPr>
          <w:rFonts w:ascii="Verdana" w:hAnsi="Verdana"/>
          <w:sz w:val="16"/>
          <w:szCs w:val="16"/>
        </w:rPr>
        <w:t xml:space="preserve"> </w:t>
      </w:r>
      <w:r w:rsidRPr="00AD47D0">
        <w:rPr>
          <w:rFonts w:ascii="Verdana" w:hAnsi="Verdana"/>
          <w:sz w:val="16"/>
          <w:szCs w:val="16"/>
        </w:rPr>
        <w:tab/>
      </w:r>
      <w:r w:rsidRPr="00AD47D0">
        <w:rPr>
          <w:rFonts w:ascii="Verdana" w:hAnsi="Verdana"/>
          <w:i/>
          <w:sz w:val="16"/>
          <w:szCs w:val="16"/>
        </w:rPr>
        <w:t>Cfr.</w:t>
      </w:r>
      <w:r w:rsidRPr="00AD47D0">
        <w:rPr>
          <w:rFonts w:ascii="Verdana" w:hAnsi="Verdana"/>
          <w:sz w:val="16"/>
          <w:szCs w:val="16"/>
        </w:rPr>
        <w:t xml:space="preserve"> </w:t>
      </w:r>
      <w:r w:rsidRPr="00AD47D0">
        <w:rPr>
          <w:rFonts w:ascii="Verdana" w:hAnsi="Verdana"/>
          <w:i/>
          <w:sz w:val="16"/>
          <w:szCs w:val="16"/>
        </w:rPr>
        <w:t>Caso Díaz Loreto y otros Vs. Venezuela</w:t>
      </w:r>
      <w:r w:rsidRPr="00AD47D0">
        <w:rPr>
          <w:rFonts w:ascii="Verdana" w:hAnsi="Verdana"/>
          <w:sz w:val="16"/>
          <w:szCs w:val="16"/>
        </w:rPr>
        <w:t xml:space="preserve">. </w:t>
      </w:r>
      <w:r w:rsidRPr="00AD47D0">
        <w:rPr>
          <w:rFonts w:ascii="Verdana" w:hAnsi="Verdana"/>
          <w:i/>
          <w:sz w:val="16"/>
          <w:szCs w:val="16"/>
        </w:rPr>
        <w:t>Excepciones Preliminares, Fondo, Reparaciones y Costas</w:t>
      </w:r>
      <w:r w:rsidRPr="00AD47D0">
        <w:rPr>
          <w:rFonts w:ascii="Verdana" w:hAnsi="Verdana"/>
          <w:sz w:val="16"/>
          <w:szCs w:val="16"/>
        </w:rPr>
        <w:t>. Sentencia de 19 de noviembre de 2019, párr. 33.</w:t>
      </w:r>
    </w:p>
  </w:footnote>
  <w:footnote w:id="15">
    <w:p w14:paraId="4B013E73" w14:textId="77777777" w:rsidR="002F1B04" w:rsidRPr="00AD47D0" w:rsidRDefault="002F1B04" w:rsidP="00551E7F">
      <w:pPr>
        <w:pStyle w:val="Textonotapie"/>
        <w:spacing w:before="120" w:after="120"/>
        <w:jc w:val="both"/>
        <w:rPr>
          <w:rFonts w:ascii="Verdana" w:hAnsi="Verdana"/>
          <w:sz w:val="16"/>
          <w:szCs w:val="16"/>
        </w:rPr>
      </w:pPr>
      <w:r w:rsidRPr="00AD47D0">
        <w:rPr>
          <w:rStyle w:val="Refdenotaalpie"/>
          <w:rFonts w:ascii="Verdana" w:hAnsi="Verdana"/>
          <w:sz w:val="16"/>
          <w:szCs w:val="16"/>
        </w:rPr>
        <w:footnoteRef/>
      </w:r>
      <w:r w:rsidRPr="00AD47D0">
        <w:rPr>
          <w:rFonts w:ascii="Verdana" w:hAnsi="Verdana"/>
          <w:sz w:val="16"/>
          <w:szCs w:val="16"/>
        </w:rPr>
        <w:t xml:space="preserve"> </w:t>
      </w:r>
      <w:r w:rsidRPr="00AD47D0">
        <w:rPr>
          <w:rFonts w:ascii="Verdana" w:hAnsi="Verdana"/>
          <w:sz w:val="16"/>
          <w:szCs w:val="16"/>
        </w:rPr>
        <w:tab/>
      </w:r>
      <w:r w:rsidRPr="00AD47D0">
        <w:rPr>
          <w:rFonts w:ascii="Verdana" w:hAnsi="Verdana"/>
          <w:i/>
          <w:sz w:val="16"/>
          <w:szCs w:val="16"/>
        </w:rPr>
        <w:t>Cfr.</w:t>
      </w:r>
      <w:r w:rsidRPr="00AD47D0">
        <w:rPr>
          <w:rFonts w:ascii="Verdana" w:hAnsi="Verdana"/>
          <w:sz w:val="16"/>
          <w:szCs w:val="16"/>
        </w:rPr>
        <w:t xml:space="preserve"> </w:t>
      </w:r>
      <w:r w:rsidRPr="00AD47D0">
        <w:rPr>
          <w:rFonts w:ascii="Verdana" w:hAnsi="Verdana"/>
          <w:i/>
          <w:sz w:val="16"/>
          <w:szCs w:val="16"/>
        </w:rPr>
        <w:t xml:space="preserve">Caso Hermanos Landaeta Mejías y otros Vs. Venezuela. </w:t>
      </w:r>
      <w:r w:rsidRPr="00AD47D0">
        <w:rPr>
          <w:rFonts w:ascii="Verdana" w:hAnsi="Verdana"/>
          <w:sz w:val="16"/>
          <w:szCs w:val="16"/>
        </w:rPr>
        <w:t xml:space="preserve">Excepciones Preliminares, Fondo, Reparaciones y Costas. Sentencia de 27 de agosto de 2014. Serie C No. 281; </w:t>
      </w:r>
      <w:r w:rsidRPr="00AD47D0">
        <w:rPr>
          <w:rFonts w:ascii="Verdana" w:hAnsi="Verdana"/>
          <w:i/>
          <w:sz w:val="16"/>
          <w:szCs w:val="16"/>
        </w:rPr>
        <w:t xml:space="preserve">Caso Uzcátegui y otros Vs. Venezuela. Fondo y Reparaciones. </w:t>
      </w:r>
      <w:r w:rsidRPr="00AD47D0">
        <w:rPr>
          <w:rFonts w:ascii="Verdana" w:hAnsi="Verdana"/>
          <w:sz w:val="16"/>
          <w:szCs w:val="16"/>
        </w:rPr>
        <w:t xml:space="preserve">Sentencia de 3 de septiembre de 2012. Serie C No. 249; y </w:t>
      </w:r>
      <w:r w:rsidRPr="00AD47D0">
        <w:rPr>
          <w:rFonts w:ascii="Verdana" w:hAnsi="Verdana"/>
          <w:i/>
          <w:sz w:val="16"/>
          <w:szCs w:val="16"/>
        </w:rPr>
        <w:t xml:space="preserve">Caso Familia Barrios Vs. Venezuela. </w:t>
      </w:r>
      <w:r w:rsidRPr="00AD47D0">
        <w:rPr>
          <w:rFonts w:ascii="Verdana" w:hAnsi="Verdana"/>
          <w:sz w:val="16"/>
          <w:szCs w:val="16"/>
        </w:rPr>
        <w:t>Fondo, Reparaciones y Costas. Sentencia de 24 de noviembre de 2011. Serie C No. 237.</w:t>
      </w:r>
    </w:p>
  </w:footnote>
  <w:footnote w:id="16">
    <w:p w14:paraId="09C59B9F" w14:textId="77777777" w:rsidR="002F1B04" w:rsidRPr="00AD47D0" w:rsidRDefault="002F1B04" w:rsidP="00551E7F">
      <w:pPr>
        <w:pStyle w:val="Textonotapie"/>
        <w:spacing w:before="120" w:after="120"/>
        <w:jc w:val="both"/>
        <w:rPr>
          <w:rFonts w:ascii="Verdana" w:hAnsi="Verdana"/>
          <w:sz w:val="16"/>
          <w:szCs w:val="16"/>
        </w:rPr>
      </w:pPr>
      <w:r w:rsidRPr="00AD47D0">
        <w:rPr>
          <w:rStyle w:val="Refdenotaalpie"/>
          <w:rFonts w:ascii="Verdana" w:hAnsi="Verdana"/>
          <w:sz w:val="16"/>
          <w:szCs w:val="16"/>
        </w:rPr>
        <w:footnoteRef/>
      </w:r>
      <w:r w:rsidRPr="00AD47D0">
        <w:rPr>
          <w:rFonts w:ascii="Verdana" w:hAnsi="Verdana"/>
          <w:sz w:val="16"/>
          <w:szCs w:val="16"/>
        </w:rPr>
        <w:t xml:space="preserve"> </w:t>
      </w:r>
      <w:r w:rsidRPr="00AD47D0">
        <w:rPr>
          <w:rFonts w:ascii="Verdana" w:hAnsi="Verdana"/>
          <w:sz w:val="16"/>
          <w:szCs w:val="16"/>
        </w:rPr>
        <w:tab/>
      </w:r>
      <w:r w:rsidRPr="00AD47D0">
        <w:rPr>
          <w:rFonts w:ascii="Verdana" w:hAnsi="Verdana"/>
          <w:i/>
          <w:sz w:val="16"/>
          <w:szCs w:val="16"/>
        </w:rPr>
        <w:t>Cfr.</w:t>
      </w:r>
      <w:r w:rsidRPr="00AD47D0">
        <w:rPr>
          <w:rFonts w:ascii="Verdana" w:hAnsi="Verdana"/>
          <w:sz w:val="16"/>
          <w:szCs w:val="16"/>
        </w:rPr>
        <w:t xml:space="preserve"> </w:t>
      </w:r>
      <w:r w:rsidRPr="00AD47D0">
        <w:rPr>
          <w:rFonts w:ascii="Verdana" w:hAnsi="Verdana"/>
          <w:i/>
          <w:sz w:val="16"/>
          <w:szCs w:val="16"/>
        </w:rPr>
        <w:t>Caso Díaz Loreto y otros Vs. Venezuela</w:t>
      </w:r>
      <w:r w:rsidRPr="00AD47D0">
        <w:rPr>
          <w:rFonts w:ascii="Verdana" w:hAnsi="Verdana"/>
          <w:sz w:val="16"/>
          <w:szCs w:val="16"/>
        </w:rPr>
        <w:t xml:space="preserve">. </w:t>
      </w:r>
      <w:r w:rsidRPr="00AD47D0">
        <w:rPr>
          <w:rFonts w:ascii="Verdana" w:hAnsi="Verdana"/>
          <w:i/>
          <w:sz w:val="16"/>
          <w:szCs w:val="16"/>
        </w:rPr>
        <w:t>Excepciones Preliminares, Fondo, Reparaciones y Costas</w:t>
      </w:r>
      <w:r w:rsidRPr="00AD47D0">
        <w:rPr>
          <w:rFonts w:ascii="Verdana" w:hAnsi="Verdana"/>
          <w:sz w:val="16"/>
          <w:szCs w:val="16"/>
        </w:rPr>
        <w:t>. Sentencia de 19 de noviembre de 2019, párr. 30.</w:t>
      </w:r>
    </w:p>
  </w:footnote>
  <w:footnote w:id="17">
    <w:p w14:paraId="7CEFCE11" w14:textId="77777777" w:rsidR="002F1B04" w:rsidRPr="00AD47D0" w:rsidRDefault="002F1B04" w:rsidP="00551E7F">
      <w:pPr>
        <w:pStyle w:val="Textonotapie"/>
        <w:spacing w:before="120" w:after="120"/>
        <w:jc w:val="both"/>
        <w:rPr>
          <w:rFonts w:ascii="Verdana" w:hAnsi="Verdana"/>
          <w:sz w:val="16"/>
          <w:szCs w:val="16"/>
        </w:rPr>
      </w:pPr>
      <w:r w:rsidRPr="00AD47D0">
        <w:rPr>
          <w:rStyle w:val="Refdenotaalpie"/>
          <w:rFonts w:ascii="Verdana" w:hAnsi="Verdana"/>
          <w:sz w:val="16"/>
          <w:szCs w:val="16"/>
        </w:rPr>
        <w:footnoteRef/>
      </w:r>
      <w:r w:rsidRPr="00AD47D0">
        <w:rPr>
          <w:rFonts w:ascii="Verdana" w:hAnsi="Verdana"/>
          <w:sz w:val="16"/>
          <w:szCs w:val="16"/>
        </w:rPr>
        <w:t xml:space="preserve"> </w:t>
      </w:r>
      <w:r w:rsidRPr="00AD47D0">
        <w:rPr>
          <w:rFonts w:ascii="Verdana" w:hAnsi="Verdana"/>
          <w:sz w:val="16"/>
          <w:szCs w:val="16"/>
        </w:rPr>
        <w:tab/>
      </w:r>
      <w:r w:rsidRPr="00AD47D0">
        <w:rPr>
          <w:rFonts w:ascii="Verdana" w:hAnsi="Verdana"/>
          <w:i/>
          <w:sz w:val="16"/>
          <w:szCs w:val="16"/>
        </w:rPr>
        <w:t>Cfr.</w:t>
      </w:r>
      <w:r w:rsidRPr="00AD47D0">
        <w:rPr>
          <w:rFonts w:ascii="Verdana" w:hAnsi="Verdana"/>
          <w:sz w:val="16"/>
          <w:szCs w:val="16"/>
        </w:rPr>
        <w:t xml:space="preserve"> </w:t>
      </w:r>
      <w:r w:rsidRPr="00AD47D0">
        <w:rPr>
          <w:rFonts w:ascii="Verdana" w:hAnsi="Verdana"/>
          <w:i/>
          <w:sz w:val="16"/>
          <w:szCs w:val="16"/>
        </w:rPr>
        <w:t xml:space="preserve">Caso Familia Barrios Vs. Venezuela. </w:t>
      </w:r>
      <w:r w:rsidRPr="00AD47D0">
        <w:rPr>
          <w:rFonts w:ascii="Verdana" w:hAnsi="Verdana"/>
          <w:sz w:val="16"/>
          <w:szCs w:val="16"/>
        </w:rPr>
        <w:t>Fondo, Reparaciones y Costas. Sentencia de 24 de noviembre de 2011. Serie C No. 237, párr. 38.</w:t>
      </w:r>
    </w:p>
  </w:footnote>
  <w:footnote w:id="18">
    <w:p w14:paraId="16C161EE" w14:textId="77777777" w:rsidR="002F1B04" w:rsidRPr="00AD47D0" w:rsidRDefault="002F1B04" w:rsidP="00551E7F">
      <w:pPr>
        <w:pStyle w:val="Textonotapie"/>
        <w:spacing w:before="120" w:after="120"/>
        <w:jc w:val="both"/>
        <w:rPr>
          <w:rFonts w:ascii="Verdana" w:hAnsi="Verdana"/>
          <w:sz w:val="16"/>
          <w:szCs w:val="16"/>
        </w:rPr>
      </w:pPr>
      <w:r w:rsidRPr="00AD47D0">
        <w:rPr>
          <w:rStyle w:val="Refdenotaalpie"/>
          <w:rFonts w:ascii="Verdana" w:hAnsi="Verdana"/>
          <w:sz w:val="16"/>
          <w:szCs w:val="16"/>
        </w:rPr>
        <w:footnoteRef/>
      </w:r>
      <w:r w:rsidRPr="00AD47D0">
        <w:rPr>
          <w:rFonts w:ascii="Verdana" w:hAnsi="Verdana"/>
          <w:sz w:val="16"/>
          <w:szCs w:val="16"/>
        </w:rPr>
        <w:t xml:space="preserve"> </w:t>
      </w:r>
      <w:r w:rsidRPr="00AD47D0">
        <w:rPr>
          <w:rFonts w:ascii="Verdana" w:hAnsi="Verdana"/>
          <w:sz w:val="16"/>
          <w:szCs w:val="16"/>
        </w:rPr>
        <w:tab/>
        <w:t xml:space="preserve">CIDH, Informe de Fondo, No. 80/17, Caso 12.662, Robert Ignacio </w:t>
      </w:r>
      <w:proofErr w:type="spellStart"/>
      <w:r w:rsidRPr="00AD47D0">
        <w:rPr>
          <w:rFonts w:ascii="Verdana" w:hAnsi="Verdana"/>
          <w:sz w:val="16"/>
          <w:szCs w:val="16"/>
        </w:rPr>
        <w:t>díaz</w:t>
      </w:r>
      <w:proofErr w:type="spellEnd"/>
      <w:r w:rsidRPr="00AD47D0">
        <w:rPr>
          <w:rFonts w:ascii="Verdana" w:hAnsi="Verdana"/>
          <w:sz w:val="16"/>
          <w:szCs w:val="16"/>
        </w:rPr>
        <w:t xml:space="preserve"> Loreto, David Octavio Díaz Loreto, Octavio Ignacio Díaz Álvarez y familiares. Venezuela, apartado sobre “El contexto de ejecuciones extrajudiciales en Venezuela”, pág. 5, párr. 24. </w:t>
      </w:r>
      <w:r w:rsidRPr="00AD47D0">
        <w:rPr>
          <w:rFonts w:ascii="Verdana" w:hAnsi="Verdana"/>
          <w:i/>
          <w:sz w:val="16"/>
          <w:szCs w:val="16"/>
        </w:rPr>
        <w:t>Cfr.</w:t>
      </w:r>
      <w:r w:rsidRPr="00AD47D0">
        <w:rPr>
          <w:rFonts w:ascii="Verdana" w:hAnsi="Verdana"/>
          <w:sz w:val="16"/>
          <w:szCs w:val="16"/>
        </w:rPr>
        <w:t xml:space="preserve"> </w:t>
      </w:r>
      <w:r w:rsidRPr="00AD47D0">
        <w:rPr>
          <w:rFonts w:ascii="Verdana" w:hAnsi="Verdana"/>
          <w:i/>
          <w:sz w:val="16"/>
          <w:szCs w:val="16"/>
        </w:rPr>
        <w:t>Caso Díaz Loreto y otros Vs. Venezuela</w:t>
      </w:r>
      <w:r w:rsidRPr="00AD47D0">
        <w:rPr>
          <w:rFonts w:ascii="Verdana" w:hAnsi="Verdana"/>
          <w:sz w:val="16"/>
          <w:szCs w:val="16"/>
        </w:rPr>
        <w:t xml:space="preserve">. </w:t>
      </w:r>
      <w:r w:rsidRPr="00AD47D0">
        <w:rPr>
          <w:rFonts w:ascii="Verdana" w:hAnsi="Verdana"/>
          <w:i/>
          <w:sz w:val="16"/>
          <w:szCs w:val="16"/>
        </w:rPr>
        <w:t>Excepciones Preliminares, Fondo, Reparaciones y Costas</w:t>
      </w:r>
      <w:r w:rsidRPr="00AD47D0">
        <w:rPr>
          <w:rFonts w:ascii="Verdana" w:hAnsi="Verdana"/>
          <w:sz w:val="16"/>
          <w:szCs w:val="16"/>
        </w:rPr>
        <w:t>. Sentencia de 19 de noviembre de 2019, párr. 30.</w:t>
      </w:r>
    </w:p>
  </w:footnote>
  <w:footnote w:id="19">
    <w:p w14:paraId="13D6B5C4" w14:textId="77777777" w:rsidR="002F1B04" w:rsidRPr="00AD47D0" w:rsidRDefault="002F1B04" w:rsidP="00551E7F">
      <w:pPr>
        <w:pStyle w:val="Textonotapie"/>
        <w:spacing w:before="120" w:after="120"/>
        <w:jc w:val="both"/>
        <w:rPr>
          <w:rFonts w:ascii="Verdana" w:hAnsi="Verdana"/>
          <w:sz w:val="16"/>
          <w:szCs w:val="16"/>
        </w:rPr>
      </w:pPr>
      <w:r w:rsidRPr="00AD47D0">
        <w:rPr>
          <w:rStyle w:val="Refdenotaalpie"/>
          <w:rFonts w:ascii="Verdana" w:hAnsi="Verdana"/>
          <w:sz w:val="16"/>
          <w:szCs w:val="16"/>
        </w:rPr>
        <w:footnoteRef/>
      </w:r>
      <w:r w:rsidRPr="00AD47D0">
        <w:rPr>
          <w:rFonts w:ascii="Verdana" w:hAnsi="Verdana"/>
          <w:sz w:val="16"/>
          <w:szCs w:val="16"/>
        </w:rPr>
        <w:t xml:space="preserve"> </w:t>
      </w:r>
      <w:r w:rsidRPr="00AD47D0">
        <w:rPr>
          <w:rFonts w:ascii="Verdana" w:hAnsi="Verdana"/>
          <w:sz w:val="16"/>
          <w:szCs w:val="16"/>
        </w:rPr>
        <w:tab/>
        <w:t xml:space="preserve">CIDH, </w:t>
      </w:r>
      <w:r w:rsidRPr="00AD47D0">
        <w:rPr>
          <w:rFonts w:ascii="Verdana" w:hAnsi="Verdana"/>
          <w:i/>
          <w:sz w:val="16"/>
          <w:szCs w:val="16"/>
        </w:rPr>
        <w:t>Informe sobre la situación de derechos humanos en Venezuela</w:t>
      </w:r>
      <w:r w:rsidRPr="00AD47D0">
        <w:rPr>
          <w:rFonts w:ascii="Verdana" w:hAnsi="Verdana"/>
          <w:sz w:val="16"/>
          <w:szCs w:val="16"/>
        </w:rPr>
        <w:t>, 24 de octubre de 2003, párr. 333. Citando: COFAVIC/Venezuela, Democracia y Derechos Humanos, Informe Semestral: Enero-Ag</w:t>
      </w:r>
      <w:r w:rsidR="00E0397F" w:rsidRPr="00AD47D0">
        <w:rPr>
          <w:rFonts w:ascii="Verdana" w:hAnsi="Verdana"/>
          <w:sz w:val="16"/>
          <w:szCs w:val="16"/>
        </w:rPr>
        <w:t>osto 20</w:t>
      </w:r>
      <w:r w:rsidRPr="00AD47D0">
        <w:rPr>
          <w:rFonts w:ascii="Verdana" w:hAnsi="Verdana"/>
          <w:sz w:val="16"/>
          <w:szCs w:val="16"/>
        </w:rPr>
        <w:t xml:space="preserve">02. Ver también: Provea, Informe Anual No. 14, Caracas, Venezuela; COFAVIC/Los grupos parapoliciales en Venezuela, 2005. Pág. 29 a 33: Human </w:t>
      </w:r>
      <w:proofErr w:type="spellStart"/>
      <w:r w:rsidRPr="00AD47D0">
        <w:rPr>
          <w:rFonts w:ascii="Verdana" w:hAnsi="Verdana"/>
          <w:sz w:val="16"/>
          <w:szCs w:val="16"/>
        </w:rPr>
        <w:t>Rights</w:t>
      </w:r>
      <w:proofErr w:type="spellEnd"/>
      <w:r w:rsidRPr="00AD47D0">
        <w:rPr>
          <w:rFonts w:ascii="Verdana" w:hAnsi="Verdana"/>
          <w:sz w:val="16"/>
          <w:szCs w:val="16"/>
        </w:rPr>
        <w:t xml:space="preserve"> </w:t>
      </w:r>
      <w:proofErr w:type="spellStart"/>
      <w:r w:rsidRPr="00AD47D0">
        <w:rPr>
          <w:rFonts w:ascii="Verdana" w:hAnsi="Verdana"/>
          <w:sz w:val="16"/>
          <w:szCs w:val="16"/>
        </w:rPr>
        <w:t>Watch</w:t>
      </w:r>
      <w:proofErr w:type="spellEnd"/>
      <w:r w:rsidRPr="00AD47D0">
        <w:rPr>
          <w:rFonts w:ascii="Verdana" w:hAnsi="Verdana"/>
          <w:sz w:val="16"/>
          <w:szCs w:val="16"/>
        </w:rPr>
        <w:t>, Informes Anuales 1998 y 1999.</w:t>
      </w:r>
    </w:p>
  </w:footnote>
  <w:footnote w:id="20">
    <w:p w14:paraId="2F07CC90" w14:textId="77777777" w:rsidR="002F1B04" w:rsidRPr="00AD47D0" w:rsidRDefault="002F1B04" w:rsidP="00551E7F">
      <w:pPr>
        <w:pStyle w:val="Textonotapie"/>
        <w:spacing w:before="120" w:after="120"/>
        <w:jc w:val="both"/>
        <w:rPr>
          <w:rFonts w:ascii="Verdana" w:hAnsi="Verdana"/>
          <w:sz w:val="16"/>
          <w:szCs w:val="16"/>
        </w:rPr>
      </w:pPr>
      <w:r w:rsidRPr="00AD47D0">
        <w:rPr>
          <w:rStyle w:val="Refdenotaalpie"/>
          <w:rFonts w:ascii="Verdana" w:hAnsi="Verdana"/>
          <w:sz w:val="16"/>
          <w:szCs w:val="16"/>
        </w:rPr>
        <w:footnoteRef/>
      </w:r>
      <w:r w:rsidRPr="00AD47D0">
        <w:rPr>
          <w:rFonts w:ascii="Verdana" w:hAnsi="Verdana"/>
          <w:sz w:val="16"/>
          <w:szCs w:val="16"/>
        </w:rPr>
        <w:t xml:space="preserve"> </w:t>
      </w:r>
      <w:r w:rsidRPr="00AD47D0">
        <w:rPr>
          <w:rFonts w:ascii="Verdana" w:hAnsi="Verdana"/>
          <w:sz w:val="16"/>
          <w:szCs w:val="16"/>
        </w:rPr>
        <w:tab/>
      </w:r>
      <w:r w:rsidRPr="00AD47D0">
        <w:rPr>
          <w:rFonts w:ascii="Verdana" w:hAnsi="Verdana"/>
          <w:i/>
          <w:sz w:val="16"/>
          <w:szCs w:val="16"/>
        </w:rPr>
        <w:t>Cfr.</w:t>
      </w:r>
      <w:r w:rsidRPr="00AD47D0">
        <w:rPr>
          <w:rFonts w:ascii="Verdana" w:hAnsi="Verdana"/>
          <w:sz w:val="16"/>
          <w:szCs w:val="16"/>
        </w:rPr>
        <w:t xml:space="preserve"> Declaración de Sara del Carmen Mier y Terán Ojera durante la audiencia pública del caso. Asimismo, debe destacarse que el perito Lisandro Raúl Cubas, en la misma audiencia pública, expresó que las ejecuciones extrajudiciales en Venezuela “tienen que ver con un problema cultural de </w:t>
      </w:r>
      <w:r w:rsidR="00E0397F" w:rsidRPr="00AD47D0">
        <w:rPr>
          <w:rFonts w:ascii="Verdana" w:hAnsi="Verdana"/>
          <w:sz w:val="16"/>
          <w:szCs w:val="16"/>
        </w:rPr>
        <w:t>vio</w:t>
      </w:r>
      <w:r w:rsidRPr="00AD47D0">
        <w:rPr>
          <w:rFonts w:ascii="Verdana" w:hAnsi="Verdana"/>
          <w:sz w:val="16"/>
          <w:szCs w:val="16"/>
        </w:rPr>
        <w:t xml:space="preserve">lencia en que los cuerpos policiales usan y es evidente, la falta de formación profesional de los mismos, y el tema de impunidad (…) así como la falta de control de los funcionarios policiales”.   </w:t>
      </w:r>
      <w:r w:rsidRPr="00AD47D0">
        <w:rPr>
          <w:rFonts w:ascii="Verdana" w:hAnsi="Verdana"/>
          <w:i/>
          <w:sz w:val="16"/>
          <w:szCs w:val="16"/>
        </w:rPr>
        <w:t>Cfr.</w:t>
      </w:r>
      <w:r w:rsidRPr="00AD47D0">
        <w:rPr>
          <w:rFonts w:ascii="Verdana" w:hAnsi="Verdana"/>
          <w:sz w:val="16"/>
          <w:szCs w:val="16"/>
        </w:rPr>
        <w:t xml:space="preserve"> </w:t>
      </w:r>
      <w:r w:rsidRPr="00AD47D0">
        <w:rPr>
          <w:rFonts w:ascii="Verdana" w:hAnsi="Verdana"/>
          <w:i/>
          <w:sz w:val="16"/>
          <w:szCs w:val="16"/>
        </w:rPr>
        <w:t>Caso Díaz Loreto y otros Vs. Venezuela</w:t>
      </w:r>
      <w:r w:rsidRPr="00AD47D0">
        <w:rPr>
          <w:rFonts w:ascii="Verdana" w:hAnsi="Verdana"/>
          <w:sz w:val="16"/>
          <w:szCs w:val="16"/>
        </w:rPr>
        <w:t xml:space="preserve">. </w:t>
      </w:r>
      <w:r w:rsidRPr="00AD47D0">
        <w:rPr>
          <w:rFonts w:ascii="Verdana" w:hAnsi="Verdana"/>
          <w:i/>
          <w:sz w:val="16"/>
          <w:szCs w:val="16"/>
        </w:rPr>
        <w:t>Excepciones Preliminares, Fondo, Reparaciones y Costas</w:t>
      </w:r>
      <w:r w:rsidRPr="00AD47D0">
        <w:rPr>
          <w:rFonts w:ascii="Verdana" w:hAnsi="Verdana"/>
          <w:sz w:val="16"/>
          <w:szCs w:val="16"/>
        </w:rPr>
        <w:t>. Sentencia de 19 de noviembre de 2019, párr. 32.</w:t>
      </w:r>
    </w:p>
  </w:footnote>
  <w:footnote w:id="21">
    <w:p w14:paraId="593F782B" w14:textId="77777777" w:rsidR="002F1B04" w:rsidRPr="00AD47D0" w:rsidRDefault="002F1B04" w:rsidP="00551E7F">
      <w:pPr>
        <w:pStyle w:val="Textonotapie"/>
        <w:spacing w:before="120" w:after="120"/>
        <w:jc w:val="both"/>
        <w:rPr>
          <w:rFonts w:ascii="Verdana" w:hAnsi="Verdana"/>
          <w:sz w:val="16"/>
          <w:szCs w:val="16"/>
        </w:rPr>
      </w:pPr>
      <w:r w:rsidRPr="00AD47D0">
        <w:rPr>
          <w:rStyle w:val="Refdenotaalpie"/>
          <w:rFonts w:ascii="Verdana" w:hAnsi="Verdana"/>
          <w:sz w:val="16"/>
          <w:szCs w:val="16"/>
        </w:rPr>
        <w:footnoteRef/>
      </w:r>
      <w:r w:rsidRPr="00AD47D0">
        <w:rPr>
          <w:rFonts w:ascii="Verdana" w:hAnsi="Verdana"/>
          <w:sz w:val="16"/>
          <w:szCs w:val="16"/>
        </w:rPr>
        <w:t xml:space="preserve"> </w:t>
      </w:r>
      <w:r w:rsidRPr="00AD47D0">
        <w:rPr>
          <w:rFonts w:ascii="Verdana" w:hAnsi="Verdana"/>
          <w:sz w:val="16"/>
          <w:szCs w:val="16"/>
        </w:rPr>
        <w:tab/>
      </w:r>
      <w:r w:rsidRPr="00AD47D0">
        <w:rPr>
          <w:rFonts w:ascii="Verdana" w:hAnsi="Verdana"/>
          <w:i/>
          <w:sz w:val="16"/>
          <w:szCs w:val="16"/>
        </w:rPr>
        <w:t>Cfr.</w:t>
      </w:r>
      <w:r w:rsidRPr="00AD47D0">
        <w:rPr>
          <w:rFonts w:ascii="Verdana" w:hAnsi="Verdana"/>
          <w:sz w:val="16"/>
          <w:szCs w:val="16"/>
        </w:rPr>
        <w:t xml:space="preserve"> </w:t>
      </w:r>
      <w:r w:rsidRPr="00AD47D0">
        <w:rPr>
          <w:rFonts w:ascii="Verdana" w:hAnsi="Verdana"/>
          <w:i/>
          <w:sz w:val="16"/>
          <w:szCs w:val="16"/>
        </w:rPr>
        <w:t>Caso Díaz Loreto y otros Vs. Venezuela</w:t>
      </w:r>
      <w:r w:rsidRPr="00AD47D0">
        <w:rPr>
          <w:rFonts w:ascii="Verdana" w:hAnsi="Verdana"/>
          <w:sz w:val="16"/>
          <w:szCs w:val="16"/>
        </w:rPr>
        <w:t xml:space="preserve">. </w:t>
      </w:r>
      <w:r w:rsidRPr="00AD47D0">
        <w:rPr>
          <w:rFonts w:ascii="Verdana" w:hAnsi="Verdana"/>
          <w:i/>
          <w:sz w:val="16"/>
          <w:szCs w:val="16"/>
        </w:rPr>
        <w:t>Excepciones Preliminares, Fondo, Reparaciones y Costas</w:t>
      </w:r>
      <w:r w:rsidRPr="00AD47D0">
        <w:rPr>
          <w:rFonts w:ascii="Verdana" w:hAnsi="Verdana"/>
          <w:sz w:val="16"/>
          <w:szCs w:val="16"/>
        </w:rPr>
        <w:t>. Sentencia de 19 de noviembre de 2019, párr. 89.</w:t>
      </w:r>
    </w:p>
  </w:footnote>
  <w:footnote w:id="22">
    <w:p w14:paraId="72F1EAE0" w14:textId="77777777" w:rsidR="002F1B04" w:rsidRPr="00AD47D0" w:rsidRDefault="002F1B04" w:rsidP="00551E7F">
      <w:pPr>
        <w:pStyle w:val="Textonotapie"/>
        <w:spacing w:before="120" w:after="120"/>
        <w:jc w:val="both"/>
        <w:rPr>
          <w:rFonts w:ascii="Verdana" w:hAnsi="Verdana"/>
          <w:sz w:val="16"/>
          <w:szCs w:val="16"/>
        </w:rPr>
      </w:pPr>
      <w:r w:rsidRPr="00AD47D0">
        <w:rPr>
          <w:rStyle w:val="Refdenotaalpie"/>
          <w:rFonts w:ascii="Verdana" w:hAnsi="Verdana"/>
          <w:sz w:val="16"/>
          <w:szCs w:val="16"/>
        </w:rPr>
        <w:footnoteRef/>
      </w:r>
      <w:r w:rsidRPr="00AD47D0">
        <w:rPr>
          <w:rFonts w:ascii="Verdana" w:hAnsi="Verdana"/>
          <w:sz w:val="16"/>
          <w:szCs w:val="16"/>
        </w:rPr>
        <w:t xml:space="preserve"> </w:t>
      </w:r>
      <w:r w:rsidRPr="00AD47D0">
        <w:rPr>
          <w:rFonts w:ascii="Verdana" w:hAnsi="Verdana"/>
          <w:sz w:val="16"/>
          <w:szCs w:val="16"/>
        </w:rPr>
        <w:tab/>
      </w:r>
      <w:r w:rsidRPr="00AD47D0">
        <w:rPr>
          <w:rFonts w:ascii="Verdana" w:hAnsi="Verdana"/>
          <w:i/>
          <w:sz w:val="16"/>
          <w:szCs w:val="16"/>
        </w:rPr>
        <w:t>Caso Díaz Loreto y otros Vs. Venezuela</w:t>
      </w:r>
      <w:r w:rsidRPr="00AD47D0">
        <w:rPr>
          <w:rFonts w:ascii="Verdana" w:hAnsi="Verdana"/>
          <w:sz w:val="16"/>
          <w:szCs w:val="16"/>
        </w:rPr>
        <w:t xml:space="preserve">. </w:t>
      </w:r>
      <w:r w:rsidRPr="00AD47D0">
        <w:rPr>
          <w:rFonts w:ascii="Verdana" w:hAnsi="Verdana"/>
          <w:i/>
          <w:sz w:val="16"/>
          <w:szCs w:val="16"/>
        </w:rPr>
        <w:t>Excepciones Preliminares, Fondo, Reparaciones y Costas</w:t>
      </w:r>
      <w:r w:rsidRPr="00AD47D0">
        <w:rPr>
          <w:rFonts w:ascii="Verdana" w:hAnsi="Verdana"/>
          <w:sz w:val="16"/>
          <w:szCs w:val="16"/>
        </w:rPr>
        <w:t>. Sentencia de 19 de noviembre de 2019, párr. 88.</w:t>
      </w:r>
    </w:p>
  </w:footnote>
  <w:footnote w:id="23">
    <w:p w14:paraId="45CC8ABC" w14:textId="77777777" w:rsidR="002F1B04" w:rsidRPr="00AD47D0" w:rsidRDefault="002F1B04" w:rsidP="00551E7F">
      <w:pPr>
        <w:pStyle w:val="Textonotapie"/>
        <w:spacing w:before="120" w:after="120"/>
        <w:jc w:val="both"/>
        <w:rPr>
          <w:rFonts w:ascii="Verdana" w:hAnsi="Verdana"/>
          <w:sz w:val="16"/>
          <w:szCs w:val="16"/>
        </w:rPr>
      </w:pPr>
      <w:r w:rsidRPr="00AD47D0">
        <w:rPr>
          <w:rStyle w:val="Refdenotaalpie"/>
          <w:rFonts w:ascii="Verdana" w:hAnsi="Verdana"/>
          <w:sz w:val="16"/>
          <w:szCs w:val="16"/>
        </w:rPr>
        <w:footnoteRef/>
      </w:r>
      <w:r w:rsidRPr="00AD47D0">
        <w:rPr>
          <w:rFonts w:ascii="Verdana" w:hAnsi="Verdana"/>
          <w:sz w:val="16"/>
          <w:szCs w:val="16"/>
        </w:rPr>
        <w:t xml:space="preserve"> </w:t>
      </w:r>
      <w:r w:rsidRPr="00AD47D0">
        <w:rPr>
          <w:rFonts w:ascii="Verdana" w:hAnsi="Verdana"/>
          <w:sz w:val="16"/>
          <w:szCs w:val="16"/>
        </w:rPr>
        <w:tab/>
      </w:r>
      <w:r w:rsidRPr="00AD47D0">
        <w:rPr>
          <w:rFonts w:ascii="Verdana" w:hAnsi="Verdana"/>
          <w:i/>
          <w:sz w:val="16"/>
          <w:szCs w:val="16"/>
        </w:rPr>
        <w:t>Caso Díaz Loreto y otros Vs. Venezuela</w:t>
      </w:r>
      <w:r w:rsidRPr="00AD47D0">
        <w:rPr>
          <w:rFonts w:ascii="Verdana" w:hAnsi="Verdana"/>
          <w:sz w:val="16"/>
          <w:szCs w:val="16"/>
        </w:rPr>
        <w:t xml:space="preserve">. </w:t>
      </w:r>
      <w:r w:rsidRPr="00AD47D0">
        <w:rPr>
          <w:rFonts w:ascii="Verdana" w:hAnsi="Verdana"/>
          <w:i/>
          <w:sz w:val="16"/>
          <w:szCs w:val="16"/>
        </w:rPr>
        <w:t>Excepciones Preliminares, Fondo, Reparaciones y Costas</w:t>
      </w:r>
      <w:r w:rsidRPr="00AD47D0">
        <w:rPr>
          <w:rFonts w:ascii="Verdana" w:hAnsi="Verdana"/>
          <w:sz w:val="16"/>
          <w:szCs w:val="16"/>
        </w:rPr>
        <w:t>. Sentencia de 19 de noviembre de 2019, párr. 88.</w:t>
      </w:r>
    </w:p>
  </w:footnote>
  <w:footnote w:id="24">
    <w:p w14:paraId="52F335C6" w14:textId="77777777" w:rsidR="002F1B04" w:rsidRPr="00AD47D0" w:rsidRDefault="002F1B04" w:rsidP="00551E7F">
      <w:pPr>
        <w:pStyle w:val="Textonotapie"/>
        <w:spacing w:before="120" w:after="120"/>
        <w:jc w:val="both"/>
        <w:rPr>
          <w:rFonts w:ascii="Verdana" w:hAnsi="Verdana"/>
          <w:sz w:val="16"/>
          <w:szCs w:val="16"/>
        </w:rPr>
      </w:pPr>
      <w:r w:rsidRPr="00AD47D0">
        <w:rPr>
          <w:rStyle w:val="Refdenotaalpie"/>
          <w:rFonts w:ascii="Verdana" w:hAnsi="Verdana"/>
          <w:sz w:val="16"/>
          <w:szCs w:val="16"/>
        </w:rPr>
        <w:footnoteRef/>
      </w:r>
      <w:r w:rsidRPr="00AD47D0">
        <w:rPr>
          <w:rFonts w:ascii="Verdana" w:hAnsi="Verdana"/>
          <w:sz w:val="16"/>
          <w:szCs w:val="16"/>
        </w:rPr>
        <w:t xml:space="preserve"> </w:t>
      </w:r>
      <w:r w:rsidRPr="00AD47D0">
        <w:rPr>
          <w:rFonts w:ascii="Verdana" w:hAnsi="Verdana"/>
          <w:sz w:val="16"/>
          <w:szCs w:val="16"/>
        </w:rPr>
        <w:tab/>
      </w:r>
      <w:r w:rsidRPr="00AD47D0">
        <w:rPr>
          <w:rFonts w:ascii="Verdana" w:hAnsi="Verdana"/>
          <w:i/>
          <w:sz w:val="16"/>
          <w:szCs w:val="16"/>
        </w:rPr>
        <w:t>Caso Díaz Loreto y otros Vs. Venezuela</w:t>
      </w:r>
      <w:r w:rsidRPr="00AD47D0">
        <w:rPr>
          <w:rFonts w:ascii="Verdana" w:hAnsi="Verdana"/>
          <w:sz w:val="16"/>
          <w:szCs w:val="16"/>
        </w:rPr>
        <w:t xml:space="preserve">. </w:t>
      </w:r>
      <w:r w:rsidRPr="00AD47D0">
        <w:rPr>
          <w:rFonts w:ascii="Verdana" w:hAnsi="Verdana"/>
          <w:i/>
          <w:sz w:val="16"/>
          <w:szCs w:val="16"/>
        </w:rPr>
        <w:t>Excepciones Preliminares, Fondo, Reparaciones y Costas</w:t>
      </w:r>
      <w:r w:rsidRPr="00AD47D0">
        <w:rPr>
          <w:rFonts w:ascii="Verdana" w:hAnsi="Verdana"/>
          <w:sz w:val="16"/>
          <w:szCs w:val="16"/>
        </w:rPr>
        <w:t>. Sentencia de 19 de noviembre de 2019, párr. 80.</w:t>
      </w:r>
    </w:p>
  </w:footnote>
  <w:footnote w:id="25">
    <w:p w14:paraId="5762C0D9" w14:textId="77777777" w:rsidR="002F1B04" w:rsidRPr="00AD47D0" w:rsidRDefault="002F1B04" w:rsidP="00551E7F">
      <w:pPr>
        <w:pStyle w:val="Textonotapie"/>
        <w:spacing w:before="120" w:after="120"/>
        <w:jc w:val="both"/>
        <w:rPr>
          <w:rFonts w:ascii="Verdana" w:hAnsi="Verdana"/>
          <w:sz w:val="16"/>
          <w:szCs w:val="16"/>
        </w:rPr>
      </w:pPr>
      <w:r w:rsidRPr="00AD47D0">
        <w:rPr>
          <w:rStyle w:val="Refdenotaalpie"/>
          <w:rFonts w:ascii="Verdana" w:hAnsi="Verdana"/>
          <w:sz w:val="16"/>
          <w:szCs w:val="16"/>
        </w:rPr>
        <w:footnoteRef/>
      </w:r>
      <w:r w:rsidRPr="00AD47D0">
        <w:rPr>
          <w:rFonts w:ascii="Verdana" w:hAnsi="Verdana"/>
          <w:sz w:val="16"/>
          <w:szCs w:val="16"/>
        </w:rPr>
        <w:t xml:space="preserve"> </w:t>
      </w:r>
      <w:r w:rsidRPr="00AD47D0">
        <w:rPr>
          <w:rFonts w:ascii="Verdana" w:hAnsi="Verdana"/>
          <w:sz w:val="16"/>
          <w:szCs w:val="16"/>
        </w:rPr>
        <w:tab/>
      </w:r>
      <w:r w:rsidRPr="00AD47D0">
        <w:rPr>
          <w:rFonts w:ascii="Verdana" w:hAnsi="Verdana"/>
          <w:i/>
          <w:sz w:val="16"/>
          <w:szCs w:val="16"/>
        </w:rPr>
        <w:t>Caso Díaz Loreto y otros Vs. Venezuela</w:t>
      </w:r>
      <w:r w:rsidRPr="00AD47D0">
        <w:rPr>
          <w:rFonts w:ascii="Verdana" w:hAnsi="Verdana"/>
          <w:sz w:val="16"/>
          <w:szCs w:val="16"/>
        </w:rPr>
        <w:t xml:space="preserve">. </w:t>
      </w:r>
      <w:r w:rsidRPr="00AD47D0">
        <w:rPr>
          <w:rFonts w:ascii="Verdana" w:hAnsi="Verdana"/>
          <w:i/>
          <w:sz w:val="16"/>
          <w:szCs w:val="16"/>
        </w:rPr>
        <w:t>Excepciones Preliminares, Fondo, Reparaciones y Costas</w:t>
      </w:r>
      <w:r w:rsidRPr="00AD47D0">
        <w:rPr>
          <w:rFonts w:ascii="Verdana" w:hAnsi="Verdana"/>
          <w:sz w:val="16"/>
          <w:szCs w:val="16"/>
        </w:rPr>
        <w:t>. Sentencia de 19 de noviembre de 2019, párr. 87.</w:t>
      </w:r>
    </w:p>
  </w:footnote>
  <w:footnote w:id="26">
    <w:p w14:paraId="028D2F76" w14:textId="77777777" w:rsidR="002F1B04" w:rsidRPr="00AD47D0" w:rsidRDefault="002F1B04" w:rsidP="00551E7F">
      <w:pPr>
        <w:pStyle w:val="Textonotapie"/>
        <w:spacing w:before="120" w:after="120"/>
        <w:jc w:val="both"/>
        <w:rPr>
          <w:rFonts w:ascii="Verdana" w:hAnsi="Verdana"/>
          <w:sz w:val="16"/>
          <w:szCs w:val="16"/>
        </w:rPr>
      </w:pPr>
      <w:r w:rsidRPr="00AD47D0">
        <w:rPr>
          <w:rStyle w:val="Refdenotaalpie"/>
          <w:rFonts w:ascii="Verdana" w:hAnsi="Verdana"/>
          <w:sz w:val="16"/>
          <w:szCs w:val="16"/>
        </w:rPr>
        <w:footnoteRef/>
      </w:r>
      <w:r w:rsidRPr="00AD47D0">
        <w:rPr>
          <w:rFonts w:ascii="Verdana" w:hAnsi="Verdana"/>
          <w:sz w:val="16"/>
          <w:szCs w:val="16"/>
        </w:rPr>
        <w:t xml:space="preserve"> </w:t>
      </w:r>
      <w:r w:rsidRPr="00AD47D0">
        <w:rPr>
          <w:rFonts w:ascii="Verdana" w:hAnsi="Verdana"/>
          <w:sz w:val="16"/>
          <w:szCs w:val="16"/>
        </w:rPr>
        <w:tab/>
      </w:r>
      <w:r w:rsidRPr="00AD47D0">
        <w:rPr>
          <w:rFonts w:ascii="Verdana" w:hAnsi="Verdana"/>
          <w:i/>
          <w:sz w:val="16"/>
          <w:szCs w:val="16"/>
        </w:rPr>
        <w:t>Cfr.</w:t>
      </w:r>
      <w:r w:rsidRPr="00AD47D0">
        <w:rPr>
          <w:rFonts w:ascii="Verdana" w:hAnsi="Verdana"/>
          <w:sz w:val="16"/>
          <w:szCs w:val="16"/>
        </w:rPr>
        <w:t xml:space="preserve"> </w:t>
      </w:r>
      <w:r w:rsidRPr="00AD47D0">
        <w:rPr>
          <w:rFonts w:ascii="Verdana" w:hAnsi="Verdana"/>
          <w:i/>
          <w:sz w:val="16"/>
          <w:szCs w:val="16"/>
        </w:rPr>
        <w:t>Caso Díaz Loreto y otros Vs. Venezuela</w:t>
      </w:r>
      <w:r w:rsidRPr="00AD47D0">
        <w:rPr>
          <w:rFonts w:ascii="Verdana" w:hAnsi="Verdana"/>
          <w:sz w:val="16"/>
          <w:szCs w:val="16"/>
        </w:rPr>
        <w:t xml:space="preserve">. </w:t>
      </w:r>
      <w:r w:rsidRPr="00AD47D0">
        <w:rPr>
          <w:rFonts w:ascii="Verdana" w:hAnsi="Verdana"/>
          <w:i/>
          <w:sz w:val="16"/>
          <w:szCs w:val="16"/>
        </w:rPr>
        <w:t>Excepciones Preliminares, Fondo, Reparaciones y Costas</w:t>
      </w:r>
      <w:r w:rsidRPr="00AD47D0">
        <w:rPr>
          <w:rFonts w:ascii="Verdana" w:hAnsi="Verdana"/>
          <w:sz w:val="16"/>
          <w:szCs w:val="16"/>
        </w:rPr>
        <w:t xml:space="preserve">. Sentencia de 19 de noviembre de 2019, </w:t>
      </w:r>
      <w:proofErr w:type="spellStart"/>
      <w:r w:rsidRPr="00AD47D0">
        <w:rPr>
          <w:rFonts w:ascii="Verdana" w:hAnsi="Verdana"/>
          <w:sz w:val="16"/>
          <w:szCs w:val="16"/>
        </w:rPr>
        <w:t>párrs</w:t>
      </w:r>
      <w:proofErr w:type="spellEnd"/>
      <w:r w:rsidRPr="00AD47D0">
        <w:rPr>
          <w:rFonts w:ascii="Verdana" w:hAnsi="Verdana"/>
          <w:sz w:val="16"/>
          <w:szCs w:val="16"/>
        </w:rPr>
        <w:t>. 80 a 86.</w:t>
      </w:r>
    </w:p>
  </w:footnote>
  <w:footnote w:id="27">
    <w:p w14:paraId="7D62612F" w14:textId="77777777" w:rsidR="002F1B04" w:rsidRPr="00AD47D0" w:rsidRDefault="002F1B04" w:rsidP="00551E7F">
      <w:pPr>
        <w:pStyle w:val="Textonotapie"/>
        <w:spacing w:before="120" w:after="120"/>
        <w:jc w:val="both"/>
        <w:rPr>
          <w:rFonts w:ascii="Verdana" w:hAnsi="Verdana"/>
          <w:sz w:val="16"/>
          <w:szCs w:val="16"/>
        </w:rPr>
      </w:pPr>
      <w:r w:rsidRPr="00AD47D0">
        <w:rPr>
          <w:rStyle w:val="Refdenotaalpie"/>
          <w:rFonts w:ascii="Verdana" w:hAnsi="Verdana"/>
          <w:sz w:val="16"/>
          <w:szCs w:val="16"/>
        </w:rPr>
        <w:footnoteRef/>
      </w:r>
      <w:r w:rsidRPr="00AD47D0">
        <w:rPr>
          <w:rFonts w:ascii="Verdana" w:hAnsi="Verdana"/>
          <w:sz w:val="16"/>
          <w:szCs w:val="16"/>
        </w:rPr>
        <w:t xml:space="preserve"> </w:t>
      </w:r>
      <w:r w:rsidRPr="00AD47D0">
        <w:rPr>
          <w:rFonts w:ascii="Verdana" w:hAnsi="Verdana"/>
          <w:sz w:val="16"/>
          <w:szCs w:val="16"/>
        </w:rPr>
        <w:tab/>
      </w:r>
      <w:r w:rsidRPr="00AD47D0">
        <w:rPr>
          <w:rFonts w:ascii="Verdana" w:hAnsi="Verdana"/>
          <w:i/>
          <w:sz w:val="16"/>
          <w:szCs w:val="16"/>
        </w:rPr>
        <w:t>Cfr.</w:t>
      </w:r>
      <w:r w:rsidRPr="00AD47D0">
        <w:rPr>
          <w:rFonts w:ascii="Verdana" w:hAnsi="Verdana"/>
          <w:sz w:val="16"/>
          <w:szCs w:val="16"/>
        </w:rPr>
        <w:t xml:space="preserve"> </w:t>
      </w:r>
      <w:r w:rsidRPr="00AD47D0">
        <w:rPr>
          <w:rFonts w:ascii="Verdana" w:hAnsi="Verdana"/>
          <w:i/>
          <w:sz w:val="16"/>
          <w:szCs w:val="16"/>
        </w:rPr>
        <w:t>Caso Díaz Loreto y otros Vs. Venezuela</w:t>
      </w:r>
      <w:r w:rsidRPr="00AD47D0">
        <w:rPr>
          <w:rFonts w:ascii="Verdana" w:hAnsi="Verdana"/>
          <w:sz w:val="16"/>
          <w:szCs w:val="16"/>
        </w:rPr>
        <w:t xml:space="preserve">. </w:t>
      </w:r>
      <w:r w:rsidRPr="00AD47D0">
        <w:rPr>
          <w:rFonts w:ascii="Verdana" w:hAnsi="Verdana"/>
          <w:i/>
          <w:sz w:val="16"/>
          <w:szCs w:val="16"/>
        </w:rPr>
        <w:t>Excepciones Preliminares, Fondo, Reparaciones y Costas</w:t>
      </w:r>
      <w:r w:rsidRPr="00AD47D0">
        <w:rPr>
          <w:rFonts w:ascii="Verdana" w:hAnsi="Verdana"/>
          <w:sz w:val="16"/>
          <w:szCs w:val="16"/>
        </w:rPr>
        <w:t xml:space="preserve">. Sentencia de 19 de noviembre de 2019, </w:t>
      </w:r>
      <w:proofErr w:type="spellStart"/>
      <w:r w:rsidRPr="00AD47D0">
        <w:rPr>
          <w:rFonts w:ascii="Verdana" w:hAnsi="Verdana"/>
          <w:sz w:val="16"/>
          <w:szCs w:val="16"/>
        </w:rPr>
        <w:t>párrs</w:t>
      </w:r>
      <w:proofErr w:type="spellEnd"/>
      <w:r w:rsidRPr="00AD47D0">
        <w:rPr>
          <w:rFonts w:ascii="Verdana" w:hAnsi="Verdana"/>
          <w:sz w:val="16"/>
          <w:szCs w:val="16"/>
        </w:rPr>
        <w:t>. 29 a 33 y 66.</w:t>
      </w:r>
    </w:p>
  </w:footnote>
  <w:footnote w:id="28">
    <w:p w14:paraId="4237456F" w14:textId="77777777" w:rsidR="002F1B04" w:rsidRPr="00AD47D0" w:rsidRDefault="002F1B04" w:rsidP="00551E7F">
      <w:pPr>
        <w:pStyle w:val="Textonotapie"/>
        <w:spacing w:before="120" w:after="120"/>
        <w:jc w:val="both"/>
        <w:rPr>
          <w:rFonts w:ascii="Verdana" w:hAnsi="Verdana"/>
          <w:sz w:val="16"/>
          <w:szCs w:val="16"/>
        </w:rPr>
      </w:pPr>
      <w:r w:rsidRPr="00AD47D0">
        <w:rPr>
          <w:rStyle w:val="Refdenotaalpie"/>
          <w:rFonts w:ascii="Verdana" w:hAnsi="Verdana"/>
          <w:sz w:val="16"/>
          <w:szCs w:val="16"/>
        </w:rPr>
        <w:footnoteRef/>
      </w:r>
      <w:r w:rsidRPr="00AD47D0">
        <w:rPr>
          <w:rFonts w:ascii="Verdana" w:hAnsi="Verdana"/>
          <w:sz w:val="16"/>
          <w:szCs w:val="16"/>
        </w:rPr>
        <w:t xml:space="preserve"> </w:t>
      </w:r>
      <w:r w:rsidRPr="00AD47D0">
        <w:rPr>
          <w:rFonts w:ascii="Verdana" w:hAnsi="Verdana"/>
          <w:sz w:val="16"/>
          <w:szCs w:val="16"/>
        </w:rPr>
        <w:tab/>
      </w:r>
      <w:r w:rsidRPr="00AD47D0">
        <w:rPr>
          <w:rFonts w:ascii="Verdana" w:hAnsi="Verdana"/>
          <w:i/>
          <w:sz w:val="16"/>
          <w:szCs w:val="16"/>
        </w:rPr>
        <w:t>Cfr.</w:t>
      </w:r>
      <w:r w:rsidRPr="00AD47D0">
        <w:rPr>
          <w:rFonts w:ascii="Verdana" w:hAnsi="Verdana"/>
          <w:sz w:val="16"/>
          <w:szCs w:val="16"/>
        </w:rPr>
        <w:t xml:space="preserve"> </w:t>
      </w:r>
      <w:r w:rsidRPr="00AD47D0">
        <w:rPr>
          <w:rFonts w:ascii="Verdana" w:hAnsi="Verdana"/>
          <w:i/>
          <w:sz w:val="16"/>
          <w:szCs w:val="16"/>
        </w:rPr>
        <w:t>Caso Díaz Loreto y otros Vs. Venezuela</w:t>
      </w:r>
      <w:r w:rsidRPr="00AD47D0">
        <w:rPr>
          <w:rFonts w:ascii="Verdana" w:hAnsi="Verdana"/>
          <w:sz w:val="16"/>
          <w:szCs w:val="16"/>
        </w:rPr>
        <w:t xml:space="preserve">. </w:t>
      </w:r>
      <w:r w:rsidRPr="00AD47D0">
        <w:rPr>
          <w:rFonts w:ascii="Verdana" w:hAnsi="Verdana"/>
          <w:i/>
          <w:sz w:val="16"/>
          <w:szCs w:val="16"/>
        </w:rPr>
        <w:t>Excepciones Preliminares, Fondo, Reparaciones y Costas</w:t>
      </w:r>
      <w:r w:rsidRPr="00AD47D0">
        <w:rPr>
          <w:rFonts w:ascii="Verdana" w:hAnsi="Verdana"/>
          <w:sz w:val="16"/>
          <w:szCs w:val="16"/>
        </w:rPr>
        <w:t>. Sentencia de 19 de noviembre de 2019, párr. 80.</w:t>
      </w:r>
    </w:p>
  </w:footnote>
  <w:footnote w:id="29">
    <w:p w14:paraId="5D6F7961" w14:textId="77777777" w:rsidR="002F1B04" w:rsidRPr="00AD47D0" w:rsidRDefault="002F1B04" w:rsidP="00551E7F">
      <w:pPr>
        <w:pStyle w:val="Textonotapie"/>
        <w:spacing w:before="120" w:after="120"/>
        <w:jc w:val="both"/>
        <w:rPr>
          <w:rFonts w:ascii="Verdana" w:hAnsi="Verdana"/>
          <w:sz w:val="16"/>
          <w:szCs w:val="16"/>
        </w:rPr>
      </w:pPr>
      <w:r w:rsidRPr="00AD47D0">
        <w:rPr>
          <w:rStyle w:val="Refdenotaalpie"/>
          <w:rFonts w:ascii="Verdana" w:hAnsi="Verdana"/>
          <w:sz w:val="16"/>
          <w:szCs w:val="16"/>
        </w:rPr>
        <w:footnoteRef/>
      </w:r>
      <w:r w:rsidRPr="00AD47D0">
        <w:rPr>
          <w:rFonts w:ascii="Verdana" w:hAnsi="Verdana"/>
          <w:sz w:val="16"/>
          <w:szCs w:val="16"/>
        </w:rPr>
        <w:t xml:space="preserve"> </w:t>
      </w:r>
      <w:r w:rsidRPr="00AD47D0">
        <w:rPr>
          <w:rFonts w:ascii="Verdana" w:hAnsi="Verdana"/>
          <w:sz w:val="16"/>
          <w:szCs w:val="16"/>
        </w:rPr>
        <w:tab/>
        <w:t>Naciones Unidas, Manual sobre la Prevención e Investigación Efectiva de Ejecuciones Extrajudiciales, Arbitrarias y Sumarias de Naciones Unidas (“Protocolo de Minnesota”), Doc. E/ST/CSDHA/.12 (1991).</w:t>
      </w:r>
    </w:p>
  </w:footnote>
  <w:footnote w:id="30">
    <w:p w14:paraId="18907813" w14:textId="77777777" w:rsidR="002F1B04" w:rsidRPr="00AD47D0" w:rsidRDefault="002F1B04" w:rsidP="00551E7F">
      <w:pPr>
        <w:pStyle w:val="Textonotapie"/>
        <w:spacing w:before="120" w:after="120"/>
        <w:jc w:val="both"/>
        <w:rPr>
          <w:rFonts w:ascii="Verdana" w:hAnsi="Verdana"/>
          <w:sz w:val="16"/>
          <w:szCs w:val="16"/>
        </w:rPr>
      </w:pPr>
      <w:r w:rsidRPr="00AD47D0">
        <w:rPr>
          <w:rStyle w:val="Refdenotaalpie"/>
          <w:rFonts w:ascii="Verdana" w:hAnsi="Verdana"/>
          <w:sz w:val="16"/>
          <w:szCs w:val="16"/>
        </w:rPr>
        <w:footnoteRef/>
      </w:r>
      <w:r w:rsidRPr="00AD47D0">
        <w:rPr>
          <w:rFonts w:ascii="Verdana" w:hAnsi="Verdana"/>
          <w:sz w:val="16"/>
          <w:szCs w:val="16"/>
        </w:rPr>
        <w:t xml:space="preserve"> </w:t>
      </w:r>
      <w:r w:rsidRPr="00AD47D0">
        <w:rPr>
          <w:rFonts w:ascii="Verdana" w:hAnsi="Verdana"/>
          <w:sz w:val="16"/>
          <w:szCs w:val="16"/>
        </w:rPr>
        <w:tab/>
        <w:t xml:space="preserve">Intervención de la Oficina en Colombia del Alto Comisionado de las Naciones Unidas para los Derechos Humanos en el Conversatorio sobre justicia penal militar organizado por el Comité Institucional de derechos humanos y derecho internacional humanitario de Antioquia. Consideraciones sobre la investigación y el juzgamiento de conductas punibles constitutivas de graves violaciones de los derechos humanos o de crímenes de guerra, 13 de septiembre de 2005. Disponible al 13 de diciembre en </w:t>
      </w:r>
      <w:hyperlink r:id="rId1" w:history="1">
        <w:r w:rsidRPr="00AD47D0">
          <w:rPr>
            <w:rStyle w:val="Hipervnculo"/>
            <w:rFonts w:ascii="Verdana" w:hAnsi="Verdana"/>
            <w:sz w:val="16"/>
            <w:szCs w:val="16"/>
          </w:rPr>
          <w:t>https://www.hchr.org.co/index.php/informacion-publica/pronunciamientos/intervenciones-de-la-direccion/407-ano-2005/294-consideraciones-sobre-la-investigacion-y-el-juzgamiento-de-conductas-punibles-constitutivas-de-graves-violaciones-de-los-derechos-humanos-o-de-crimenes-de-guerra</w:t>
        </w:r>
      </w:hyperlink>
    </w:p>
  </w:footnote>
  <w:footnote w:id="31">
    <w:p w14:paraId="795B31B6" w14:textId="77777777" w:rsidR="002F1B04" w:rsidRPr="00AD47D0" w:rsidRDefault="002F1B04" w:rsidP="00551E7F">
      <w:pPr>
        <w:pStyle w:val="Textonotapie"/>
        <w:spacing w:before="120" w:after="120"/>
        <w:jc w:val="both"/>
        <w:rPr>
          <w:rFonts w:ascii="Verdana" w:hAnsi="Verdana"/>
          <w:sz w:val="16"/>
          <w:szCs w:val="16"/>
        </w:rPr>
      </w:pPr>
      <w:r w:rsidRPr="00AD47D0">
        <w:rPr>
          <w:rStyle w:val="Refdenotaalpie"/>
          <w:rFonts w:ascii="Verdana" w:hAnsi="Verdana"/>
          <w:sz w:val="16"/>
          <w:szCs w:val="16"/>
        </w:rPr>
        <w:footnoteRef/>
      </w:r>
      <w:r w:rsidRPr="00AD47D0">
        <w:rPr>
          <w:rFonts w:ascii="Verdana" w:hAnsi="Verdana"/>
          <w:sz w:val="16"/>
          <w:szCs w:val="16"/>
        </w:rPr>
        <w:t xml:space="preserve"> </w:t>
      </w:r>
      <w:r w:rsidRPr="00AD47D0">
        <w:rPr>
          <w:rFonts w:ascii="Verdana" w:hAnsi="Verdana"/>
          <w:sz w:val="16"/>
          <w:szCs w:val="16"/>
        </w:rPr>
        <w:tab/>
        <w:t xml:space="preserve">Entre otros, véanse: </w:t>
      </w:r>
      <w:r w:rsidRPr="00AD47D0">
        <w:rPr>
          <w:rFonts w:ascii="Verdana" w:hAnsi="Verdana"/>
          <w:i/>
          <w:sz w:val="16"/>
          <w:szCs w:val="16"/>
        </w:rPr>
        <w:t>Caso Valenzuela Ávila Vs. Guatemala. Fondo, Reparaciones y Costas</w:t>
      </w:r>
      <w:r w:rsidRPr="00AD47D0">
        <w:rPr>
          <w:rFonts w:ascii="Verdana" w:hAnsi="Verdana"/>
          <w:sz w:val="16"/>
          <w:szCs w:val="16"/>
        </w:rPr>
        <w:t xml:space="preserve">. Sentencia de 11 de octubre de 2019. Serie C No. 386; </w:t>
      </w:r>
      <w:r w:rsidRPr="00AD47D0">
        <w:rPr>
          <w:rFonts w:ascii="Verdana" w:hAnsi="Verdana"/>
          <w:i/>
          <w:sz w:val="16"/>
          <w:szCs w:val="16"/>
        </w:rPr>
        <w:t xml:space="preserve">Caso </w:t>
      </w:r>
      <w:proofErr w:type="spellStart"/>
      <w:r w:rsidRPr="00AD47D0">
        <w:rPr>
          <w:rFonts w:ascii="Verdana" w:hAnsi="Verdana"/>
          <w:i/>
          <w:sz w:val="16"/>
          <w:szCs w:val="16"/>
        </w:rPr>
        <w:t>Omeara</w:t>
      </w:r>
      <w:proofErr w:type="spellEnd"/>
      <w:r w:rsidRPr="00AD47D0">
        <w:rPr>
          <w:rFonts w:ascii="Verdana" w:hAnsi="Verdana"/>
          <w:i/>
          <w:sz w:val="16"/>
          <w:szCs w:val="16"/>
        </w:rPr>
        <w:t xml:space="preserve"> Carrascal y otros Vs. Colombia. Fondo, Reparaciones y Costas</w:t>
      </w:r>
      <w:r w:rsidRPr="00AD47D0">
        <w:rPr>
          <w:rFonts w:ascii="Verdana" w:hAnsi="Verdana"/>
          <w:sz w:val="16"/>
          <w:szCs w:val="16"/>
        </w:rPr>
        <w:t xml:space="preserve">. Sentencia de 21 de noviembre de 2018. Serie C No. 368; </w:t>
      </w:r>
      <w:r w:rsidRPr="00AD47D0">
        <w:rPr>
          <w:rFonts w:ascii="Verdana" w:hAnsi="Verdana"/>
          <w:i/>
          <w:sz w:val="16"/>
          <w:szCs w:val="16"/>
        </w:rPr>
        <w:t>Caso Villamizar Durán y otros Vs. Colombia. Excepción Preliminar, Fondo, Reparaciones y Costas</w:t>
      </w:r>
      <w:r w:rsidRPr="00AD47D0">
        <w:rPr>
          <w:rFonts w:ascii="Verdana" w:hAnsi="Verdana"/>
          <w:sz w:val="16"/>
          <w:szCs w:val="16"/>
        </w:rPr>
        <w:t xml:space="preserve">. Sentencia de 20 de noviembre de 2018. Serie C No. 364; </w:t>
      </w:r>
      <w:r w:rsidRPr="00AD47D0">
        <w:rPr>
          <w:rFonts w:ascii="Verdana" w:hAnsi="Verdana"/>
          <w:i/>
          <w:sz w:val="16"/>
          <w:szCs w:val="16"/>
        </w:rPr>
        <w:t>Caso Cruz Sánchez y otros Vs. Perú. Excepciones Preliminares, Fondo, Reparaciones y Costas</w:t>
      </w:r>
      <w:r w:rsidRPr="00AD47D0">
        <w:rPr>
          <w:rFonts w:ascii="Verdana" w:hAnsi="Verdana"/>
          <w:sz w:val="16"/>
          <w:szCs w:val="16"/>
        </w:rPr>
        <w:t xml:space="preserve">. Sentencia de 17 de abril de 2015. Serie C No. 292; y </w:t>
      </w:r>
      <w:r w:rsidRPr="00AD47D0">
        <w:rPr>
          <w:rFonts w:ascii="Verdana" w:hAnsi="Verdana"/>
          <w:i/>
          <w:sz w:val="16"/>
          <w:szCs w:val="16"/>
        </w:rPr>
        <w:t>Caso Rodríguez Vera y otros (Desaparecidos del Palacio de Justicia) Vs. Colombia. Excepciones Preliminares, Fondo, Reparaciones y Costas</w:t>
      </w:r>
      <w:r w:rsidRPr="00AD47D0">
        <w:rPr>
          <w:rFonts w:ascii="Verdana" w:hAnsi="Verdana"/>
          <w:sz w:val="16"/>
          <w:szCs w:val="16"/>
        </w:rPr>
        <w:t>. Sentencia de 14 de noviembre de 2014. Serie C No. 287.</w:t>
      </w:r>
    </w:p>
  </w:footnote>
  <w:footnote w:id="32">
    <w:p w14:paraId="3A8F17E4" w14:textId="77777777" w:rsidR="002F1B04" w:rsidRPr="00AD47D0" w:rsidRDefault="002F1B04" w:rsidP="00551E7F">
      <w:pPr>
        <w:pStyle w:val="Textonotapie"/>
        <w:spacing w:before="120" w:after="120"/>
        <w:jc w:val="both"/>
        <w:rPr>
          <w:rFonts w:ascii="Verdana" w:hAnsi="Verdana"/>
          <w:sz w:val="16"/>
          <w:szCs w:val="16"/>
        </w:rPr>
      </w:pPr>
      <w:r w:rsidRPr="00AD47D0">
        <w:rPr>
          <w:rStyle w:val="Refdenotaalpie"/>
          <w:rFonts w:ascii="Verdana" w:hAnsi="Verdana"/>
          <w:sz w:val="16"/>
          <w:szCs w:val="16"/>
        </w:rPr>
        <w:footnoteRef/>
      </w:r>
      <w:r w:rsidRPr="00AD47D0">
        <w:rPr>
          <w:rFonts w:ascii="Verdana" w:hAnsi="Verdana"/>
          <w:sz w:val="16"/>
          <w:szCs w:val="16"/>
        </w:rPr>
        <w:t xml:space="preserve"> </w:t>
      </w:r>
      <w:r w:rsidRPr="00AD47D0">
        <w:rPr>
          <w:rFonts w:ascii="Verdana" w:hAnsi="Verdana"/>
          <w:sz w:val="16"/>
          <w:szCs w:val="16"/>
        </w:rPr>
        <w:tab/>
      </w:r>
      <w:r w:rsidRPr="00AD47D0">
        <w:rPr>
          <w:rFonts w:ascii="Verdana" w:hAnsi="Verdana"/>
          <w:i/>
          <w:sz w:val="16"/>
          <w:szCs w:val="16"/>
        </w:rPr>
        <w:t>Cfr.</w:t>
      </w:r>
      <w:r w:rsidRPr="00AD47D0">
        <w:rPr>
          <w:rFonts w:ascii="Verdana" w:hAnsi="Verdana"/>
          <w:sz w:val="16"/>
          <w:szCs w:val="16"/>
        </w:rPr>
        <w:t xml:space="preserve"> </w:t>
      </w:r>
      <w:r w:rsidRPr="00AD47D0">
        <w:rPr>
          <w:rFonts w:ascii="Verdana" w:hAnsi="Verdana"/>
          <w:i/>
          <w:sz w:val="16"/>
          <w:szCs w:val="16"/>
        </w:rPr>
        <w:t>Caso Díaz Loreto y otros Vs. Venezuela</w:t>
      </w:r>
      <w:r w:rsidRPr="00AD47D0">
        <w:rPr>
          <w:rFonts w:ascii="Verdana" w:hAnsi="Verdana"/>
          <w:sz w:val="16"/>
          <w:szCs w:val="16"/>
        </w:rPr>
        <w:t xml:space="preserve">. </w:t>
      </w:r>
      <w:r w:rsidRPr="00AD47D0">
        <w:rPr>
          <w:rFonts w:ascii="Verdana" w:hAnsi="Verdana"/>
          <w:i/>
          <w:sz w:val="16"/>
          <w:szCs w:val="16"/>
        </w:rPr>
        <w:t>Excepciones Preliminares, Fondo, Reparaciones y Costas</w:t>
      </w:r>
      <w:r w:rsidRPr="00AD47D0">
        <w:rPr>
          <w:rFonts w:ascii="Verdana" w:hAnsi="Verdana"/>
          <w:sz w:val="16"/>
          <w:szCs w:val="16"/>
        </w:rPr>
        <w:t xml:space="preserve">. Sentencia de 19 de noviembre de 2019, </w:t>
      </w:r>
      <w:proofErr w:type="spellStart"/>
      <w:r w:rsidRPr="00AD47D0">
        <w:rPr>
          <w:rFonts w:ascii="Verdana" w:hAnsi="Verdana"/>
          <w:sz w:val="16"/>
          <w:szCs w:val="16"/>
        </w:rPr>
        <w:t>párrs</w:t>
      </w:r>
      <w:proofErr w:type="spellEnd"/>
      <w:r w:rsidRPr="00AD47D0">
        <w:rPr>
          <w:rFonts w:ascii="Verdana" w:hAnsi="Verdana"/>
          <w:sz w:val="16"/>
          <w:szCs w:val="16"/>
        </w:rPr>
        <w:t>. 41 y 42.</w:t>
      </w:r>
    </w:p>
  </w:footnote>
  <w:footnote w:id="33">
    <w:p w14:paraId="1E945A93" w14:textId="77777777" w:rsidR="002F1B04" w:rsidRPr="00AD47D0" w:rsidRDefault="002F1B04" w:rsidP="00551E7F">
      <w:pPr>
        <w:pStyle w:val="Textonotapie"/>
        <w:spacing w:before="120" w:after="120"/>
        <w:jc w:val="both"/>
        <w:rPr>
          <w:rFonts w:ascii="Verdana" w:hAnsi="Verdana"/>
          <w:sz w:val="16"/>
          <w:szCs w:val="16"/>
        </w:rPr>
      </w:pPr>
      <w:r w:rsidRPr="00AD47D0">
        <w:rPr>
          <w:rStyle w:val="Refdenotaalpie"/>
          <w:rFonts w:ascii="Verdana" w:hAnsi="Verdana"/>
          <w:sz w:val="16"/>
          <w:szCs w:val="16"/>
        </w:rPr>
        <w:footnoteRef/>
      </w:r>
      <w:r w:rsidRPr="00AD47D0">
        <w:rPr>
          <w:rFonts w:ascii="Verdana" w:hAnsi="Verdana"/>
          <w:sz w:val="16"/>
          <w:szCs w:val="16"/>
        </w:rPr>
        <w:t xml:space="preserve"> </w:t>
      </w:r>
      <w:r w:rsidRPr="00AD47D0">
        <w:rPr>
          <w:rFonts w:ascii="Verdana" w:hAnsi="Verdana"/>
          <w:sz w:val="16"/>
          <w:szCs w:val="16"/>
        </w:rPr>
        <w:tab/>
      </w:r>
      <w:r w:rsidRPr="00AD47D0">
        <w:rPr>
          <w:rFonts w:ascii="Verdana" w:hAnsi="Verdana"/>
          <w:i/>
          <w:sz w:val="16"/>
          <w:szCs w:val="16"/>
        </w:rPr>
        <w:t>Cfr.</w:t>
      </w:r>
      <w:r w:rsidRPr="00AD47D0">
        <w:rPr>
          <w:rFonts w:ascii="Verdana" w:hAnsi="Verdana"/>
          <w:sz w:val="16"/>
          <w:szCs w:val="16"/>
        </w:rPr>
        <w:t xml:space="preserve"> </w:t>
      </w:r>
      <w:r w:rsidRPr="00AD47D0">
        <w:rPr>
          <w:rFonts w:ascii="Verdana" w:hAnsi="Verdana"/>
          <w:i/>
          <w:sz w:val="16"/>
          <w:szCs w:val="16"/>
        </w:rPr>
        <w:t>Caso Díaz Loreto y otros Vs. Venezuela</w:t>
      </w:r>
      <w:r w:rsidRPr="00AD47D0">
        <w:rPr>
          <w:rFonts w:ascii="Verdana" w:hAnsi="Verdana"/>
          <w:sz w:val="16"/>
          <w:szCs w:val="16"/>
        </w:rPr>
        <w:t xml:space="preserve">. </w:t>
      </w:r>
      <w:r w:rsidRPr="00AD47D0">
        <w:rPr>
          <w:rFonts w:ascii="Verdana" w:hAnsi="Verdana"/>
          <w:i/>
          <w:sz w:val="16"/>
          <w:szCs w:val="16"/>
        </w:rPr>
        <w:t>Excepciones Preliminares, Fondo, Reparaciones y Costas</w:t>
      </w:r>
      <w:r w:rsidRPr="00AD47D0">
        <w:rPr>
          <w:rFonts w:ascii="Verdana" w:hAnsi="Verdana"/>
          <w:sz w:val="16"/>
          <w:szCs w:val="16"/>
        </w:rPr>
        <w:t xml:space="preserve">. Sentencia de 19 de noviembre de 2019, </w:t>
      </w:r>
      <w:proofErr w:type="spellStart"/>
      <w:r w:rsidRPr="00AD47D0">
        <w:rPr>
          <w:rFonts w:ascii="Verdana" w:hAnsi="Verdana"/>
          <w:sz w:val="16"/>
          <w:szCs w:val="16"/>
        </w:rPr>
        <w:t>párrs</w:t>
      </w:r>
      <w:proofErr w:type="spellEnd"/>
      <w:r w:rsidRPr="00AD47D0">
        <w:rPr>
          <w:rFonts w:ascii="Verdana" w:hAnsi="Verdana"/>
          <w:sz w:val="16"/>
          <w:szCs w:val="16"/>
        </w:rPr>
        <w:t>. 36, 39 y 41.</w:t>
      </w:r>
    </w:p>
  </w:footnote>
  <w:footnote w:id="34">
    <w:p w14:paraId="3C637D96" w14:textId="77777777" w:rsidR="002F1B04" w:rsidRPr="00AD47D0" w:rsidRDefault="002F1B04" w:rsidP="00551E7F">
      <w:pPr>
        <w:pStyle w:val="Textonotapie"/>
        <w:spacing w:before="120" w:after="120"/>
        <w:jc w:val="both"/>
        <w:rPr>
          <w:rFonts w:ascii="Verdana" w:hAnsi="Verdana"/>
          <w:sz w:val="16"/>
          <w:szCs w:val="16"/>
        </w:rPr>
      </w:pPr>
      <w:r w:rsidRPr="00AD47D0">
        <w:rPr>
          <w:rStyle w:val="Refdenotaalpie"/>
          <w:rFonts w:ascii="Verdana" w:hAnsi="Verdana"/>
          <w:sz w:val="16"/>
          <w:szCs w:val="16"/>
        </w:rPr>
        <w:footnoteRef/>
      </w:r>
      <w:r w:rsidRPr="00AD47D0">
        <w:rPr>
          <w:rFonts w:ascii="Verdana" w:hAnsi="Verdana"/>
          <w:sz w:val="16"/>
          <w:szCs w:val="16"/>
        </w:rPr>
        <w:t xml:space="preserve"> </w:t>
      </w:r>
      <w:r w:rsidRPr="00AD47D0">
        <w:rPr>
          <w:rFonts w:ascii="Verdana" w:hAnsi="Verdana"/>
          <w:sz w:val="16"/>
          <w:szCs w:val="16"/>
        </w:rPr>
        <w:tab/>
      </w:r>
      <w:r w:rsidRPr="00AD47D0">
        <w:rPr>
          <w:rFonts w:ascii="Verdana" w:hAnsi="Verdana"/>
          <w:i/>
          <w:sz w:val="16"/>
          <w:szCs w:val="16"/>
        </w:rPr>
        <w:t>Cfr.</w:t>
      </w:r>
      <w:r w:rsidRPr="00AD47D0">
        <w:rPr>
          <w:rFonts w:ascii="Verdana" w:hAnsi="Verdana"/>
          <w:sz w:val="16"/>
          <w:szCs w:val="16"/>
        </w:rPr>
        <w:t xml:space="preserve"> </w:t>
      </w:r>
      <w:r w:rsidRPr="00AD47D0">
        <w:rPr>
          <w:rFonts w:ascii="Verdana" w:hAnsi="Verdana"/>
          <w:i/>
          <w:sz w:val="16"/>
          <w:szCs w:val="16"/>
        </w:rPr>
        <w:t>Caso Díaz Loreto y otros Vs. Venezuela</w:t>
      </w:r>
      <w:r w:rsidRPr="00AD47D0">
        <w:rPr>
          <w:rFonts w:ascii="Verdana" w:hAnsi="Verdana"/>
          <w:sz w:val="16"/>
          <w:szCs w:val="16"/>
        </w:rPr>
        <w:t xml:space="preserve">. </w:t>
      </w:r>
      <w:r w:rsidRPr="00AD47D0">
        <w:rPr>
          <w:rFonts w:ascii="Verdana" w:hAnsi="Verdana"/>
          <w:i/>
          <w:sz w:val="16"/>
          <w:szCs w:val="16"/>
        </w:rPr>
        <w:t>Excepciones Preliminares, Fondo, Reparaciones y Costas</w:t>
      </w:r>
      <w:r w:rsidRPr="00AD47D0">
        <w:rPr>
          <w:rFonts w:ascii="Verdana" w:hAnsi="Verdana"/>
          <w:sz w:val="16"/>
          <w:szCs w:val="16"/>
        </w:rPr>
        <w:t>. Sentencia de 19 de noviembre de 2019, párr. 39.</w:t>
      </w:r>
    </w:p>
  </w:footnote>
  <w:footnote w:id="35">
    <w:p w14:paraId="4FD5C892" w14:textId="77777777" w:rsidR="002F1B04" w:rsidRPr="00AD47D0" w:rsidRDefault="002F1B04" w:rsidP="00551E7F">
      <w:pPr>
        <w:pStyle w:val="Textonotapie"/>
        <w:spacing w:before="120" w:after="120"/>
        <w:jc w:val="both"/>
        <w:rPr>
          <w:rFonts w:ascii="Verdana" w:hAnsi="Verdana"/>
          <w:sz w:val="16"/>
          <w:szCs w:val="16"/>
        </w:rPr>
      </w:pPr>
      <w:r w:rsidRPr="00AD47D0">
        <w:rPr>
          <w:rStyle w:val="Refdenotaalpie"/>
          <w:rFonts w:ascii="Verdana" w:hAnsi="Verdana"/>
          <w:sz w:val="16"/>
          <w:szCs w:val="16"/>
        </w:rPr>
        <w:footnoteRef/>
      </w:r>
      <w:r w:rsidRPr="00AD47D0">
        <w:rPr>
          <w:rFonts w:ascii="Verdana" w:hAnsi="Verdana"/>
          <w:sz w:val="16"/>
          <w:szCs w:val="16"/>
        </w:rPr>
        <w:t xml:space="preserve"> </w:t>
      </w:r>
      <w:r w:rsidRPr="00AD47D0">
        <w:rPr>
          <w:rFonts w:ascii="Verdana" w:hAnsi="Verdana"/>
          <w:sz w:val="16"/>
          <w:szCs w:val="16"/>
        </w:rPr>
        <w:tab/>
      </w:r>
      <w:r w:rsidRPr="00AD47D0">
        <w:rPr>
          <w:rFonts w:ascii="Verdana" w:hAnsi="Verdana"/>
          <w:i/>
          <w:sz w:val="16"/>
          <w:szCs w:val="16"/>
        </w:rPr>
        <w:t>Cfr.</w:t>
      </w:r>
      <w:r w:rsidRPr="00AD47D0">
        <w:rPr>
          <w:rFonts w:ascii="Verdana" w:hAnsi="Verdana"/>
          <w:sz w:val="16"/>
          <w:szCs w:val="16"/>
        </w:rPr>
        <w:t xml:space="preserve"> </w:t>
      </w:r>
      <w:r w:rsidRPr="00AD47D0">
        <w:rPr>
          <w:rFonts w:ascii="Verdana" w:hAnsi="Verdana"/>
          <w:i/>
          <w:sz w:val="16"/>
          <w:szCs w:val="16"/>
        </w:rPr>
        <w:t>Caso Díaz Loreto y otros Vs. Venezuela</w:t>
      </w:r>
      <w:r w:rsidRPr="00AD47D0">
        <w:rPr>
          <w:rFonts w:ascii="Verdana" w:hAnsi="Verdana"/>
          <w:sz w:val="16"/>
          <w:szCs w:val="16"/>
        </w:rPr>
        <w:t xml:space="preserve">. </w:t>
      </w:r>
      <w:r w:rsidRPr="00AD47D0">
        <w:rPr>
          <w:rFonts w:ascii="Verdana" w:hAnsi="Verdana"/>
          <w:i/>
          <w:sz w:val="16"/>
          <w:szCs w:val="16"/>
        </w:rPr>
        <w:t>Excepciones Preliminares, Fondo, Reparaciones y Costas</w:t>
      </w:r>
      <w:r w:rsidRPr="00AD47D0">
        <w:rPr>
          <w:rFonts w:ascii="Verdana" w:hAnsi="Verdana"/>
          <w:sz w:val="16"/>
          <w:szCs w:val="16"/>
        </w:rPr>
        <w:t>. Sentencia de 19 de noviembre de 2019, párr. 77.</w:t>
      </w:r>
    </w:p>
  </w:footnote>
  <w:footnote w:id="36">
    <w:p w14:paraId="577C6427" w14:textId="77777777" w:rsidR="002F1B04" w:rsidRPr="00AD47D0" w:rsidRDefault="002F1B04" w:rsidP="00551E7F">
      <w:pPr>
        <w:pStyle w:val="Textonotapie"/>
        <w:spacing w:before="120" w:after="120"/>
        <w:jc w:val="both"/>
        <w:rPr>
          <w:rFonts w:ascii="Verdana" w:hAnsi="Verdana"/>
          <w:sz w:val="16"/>
          <w:szCs w:val="16"/>
        </w:rPr>
      </w:pPr>
      <w:r w:rsidRPr="00AD47D0">
        <w:rPr>
          <w:rStyle w:val="Refdenotaalpie"/>
          <w:rFonts w:ascii="Verdana" w:hAnsi="Verdana"/>
          <w:sz w:val="16"/>
          <w:szCs w:val="16"/>
        </w:rPr>
        <w:footnoteRef/>
      </w:r>
      <w:r w:rsidRPr="00AD47D0">
        <w:rPr>
          <w:rFonts w:ascii="Verdana" w:hAnsi="Verdana"/>
          <w:sz w:val="16"/>
          <w:szCs w:val="16"/>
        </w:rPr>
        <w:t xml:space="preserve"> </w:t>
      </w:r>
      <w:r w:rsidRPr="00AD47D0">
        <w:rPr>
          <w:rFonts w:ascii="Verdana" w:hAnsi="Verdana"/>
          <w:sz w:val="16"/>
          <w:szCs w:val="16"/>
        </w:rPr>
        <w:tab/>
      </w:r>
      <w:r w:rsidRPr="00AD47D0">
        <w:rPr>
          <w:rFonts w:ascii="Verdana" w:hAnsi="Verdana"/>
          <w:i/>
          <w:sz w:val="16"/>
          <w:szCs w:val="16"/>
        </w:rPr>
        <w:t>Cfr.</w:t>
      </w:r>
      <w:r w:rsidRPr="00AD47D0">
        <w:rPr>
          <w:rFonts w:ascii="Verdana" w:hAnsi="Verdana"/>
          <w:sz w:val="16"/>
          <w:szCs w:val="16"/>
        </w:rPr>
        <w:t xml:space="preserve"> </w:t>
      </w:r>
      <w:r w:rsidRPr="00AD47D0">
        <w:rPr>
          <w:rFonts w:ascii="Verdana" w:hAnsi="Verdana"/>
          <w:i/>
          <w:sz w:val="16"/>
          <w:szCs w:val="16"/>
        </w:rPr>
        <w:t>Caso Díaz Loreto y otros Vs. Venezuela</w:t>
      </w:r>
      <w:r w:rsidRPr="00AD47D0">
        <w:rPr>
          <w:rFonts w:ascii="Verdana" w:hAnsi="Verdana"/>
          <w:sz w:val="16"/>
          <w:szCs w:val="16"/>
        </w:rPr>
        <w:t xml:space="preserve">. </w:t>
      </w:r>
      <w:r w:rsidRPr="00AD47D0">
        <w:rPr>
          <w:rFonts w:ascii="Verdana" w:hAnsi="Verdana"/>
          <w:i/>
          <w:sz w:val="16"/>
          <w:szCs w:val="16"/>
        </w:rPr>
        <w:t>Excepciones Preliminares, Fondo, Reparaciones y Costas</w:t>
      </w:r>
      <w:r w:rsidRPr="00AD47D0">
        <w:rPr>
          <w:rFonts w:ascii="Verdana" w:hAnsi="Verdana"/>
          <w:sz w:val="16"/>
          <w:szCs w:val="16"/>
        </w:rPr>
        <w:t xml:space="preserve">. Sentencia de 19 de noviembre de 2019, </w:t>
      </w:r>
      <w:proofErr w:type="spellStart"/>
      <w:r w:rsidRPr="00AD47D0">
        <w:rPr>
          <w:rFonts w:ascii="Verdana" w:hAnsi="Verdana"/>
          <w:sz w:val="16"/>
          <w:szCs w:val="16"/>
        </w:rPr>
        <w:t>párrs</w:t>
      </w:r>
      <w:proofErr w:type="spellEnd"/>
      <w:r w:rsidRPr="00AD47D0">
        <w:rPr>
          <w:rFonts w:ascii="Verdana" w:hAnsi="Verdana"/>
          <w:sz w:val="16"/>
          <w:szCs w:val="16"/>
        </w:rPr>
        <w:t>. 76 y 79.</w:t>
      </w:r>
    </w:p>
  </w:footnote>
  <w:footnote w:id="37">
    <w:p w14:paraId="5A1B0136" w14:textId="77777777" w:rsidR="002F1B04" w:rsidRPr="00AD47D0" w:rsidRDefault="002F1B04" w:rsidP="00551E7F">
      <w:pPr>
        <w:pStyle w:val="Textonotapie"/>
        <w:spacing w:before="120" w:after="120"/>
        <w:jc w:val="both"/>
        <w:rPr>
          <w:rFonts w:ascii="Verdana" w:hAnsi="Verdana"/>
          <w:sz w:val="16"/>
          <w:szCs w:val="16"/>
        </w:rPr>
      </w:pPr>
      <w:r w:rsidRPr="00AD47D0">
        <w:rPr>
          <w:rStyle w:val="Refdenotaalpie"/>
          <w:rFonts w:ascii="Verdana" w:hAnsi="Verdana"/>
          <w:sz w:val="16"/>
          <w:szCs w:val="16"/>
        </w:rPr>
        <w:footnoteRef/>
      </w:r>
      <w:r w:rsidRPr="00AD47D0">
        <w:rPr>
          <w:rFonts w:ascii="Verdana" w:hAnsi="Verdana"/>
          <w:sz w:val="16"/>
          <w:szCs w:val="16"/>
        </w:rPr>
        <w:t xml:space="preserve"> </w:t>
      </w:r>
      <w:r w:rsidRPr="00AD47D0">
        <w:rPr>
          <w:rFonts w:ascii="Verdana" w:hAnsi="Verdana"/>
          <w:sz w:val="16"/>
          <w:szCs w:val="16"/>
        </w:rPr>
        <w:tab/>
      </w:r>
      <w:r w:rsidRPr="00AD47D0">
        <w:rPr>
          <w:rFonts w:ascii="Verdana" w:hAnsi="Verdana"/>
          <w:i/>
          <w:sz w:val="16"/>
          <w:szCs w:val="16"/>
        </w:rPr>
        <w:t>Cfr.</w:t>
      </w:r>
      <w:r w:rsidRPr="00AD47D0">
        <w:rPr>
          <w:rFonts w:ascii="Verdana" w:hAnsi="Verdana"/>
          <w:sz w:val="16"/>
          <w:szCs w:val="16"/>
        </w:rPr>
        <w:t xml:space="preserve"> </w:t>
      </w:r>
      <w:r w:rsidRPr="00AD47D0">
        <w:rPr>
          <w:rFonts w:ascii="Verdana" w:hAnsi="Verdana"/>
          <w:i/>
          <w:sz w:val="16"/>
          <w:szCs w:val="16"/>
        </w:rPr>
        <w:t>Caso Díaz Loreto y otros Vs. Venezuela</w:t>
      </w:r>
      <w:r w:rsidRPr="00AD47D0">
        <w:rPr>
          <w:rFonts w:ascii="Verdana" w:hAnsi="Verdana"/>
          <w:sz w:val="16"/>
          <w:szCs w:val="16"/>
        </w:rPr>
        <w:t xml:space="preserve">. </w:t>
      </w:r>
      <w:r w:rsidRPr="00AD47D0">
        <w:rPr>
          <w:rFonts w:ascii="Verdana" w:hAnsi="Verdana"/>
          <w:i/>
          <w:sz w:val="16"/>
          <w:szCs w:val="16"/>
        </w:rPr>
        <w:t>Excepciones Preliminares, Fondo, Reparaciones y Costas</w:t>
      </w:r>
      <w:r w:rsidRPr="00AD47D0">
        <w:rPr>
          <w:rFonts w:ascii="Verdana" w:hAnsi="Verdana"/>
          <w:sz w:val="16"/>
          <w:szCs w:val="16"/>
        </w:rPr>
        <w:t xml:space="preserve">. Sentencia de 19 de noviembre de 2019, </w:t>
      </w:r>
      <w:proofErr w:type="spellStart"/>
      <w:r w:rsidRPr="00AD47D0">
        <w:rPr>
          <w:rFonts w:ascii="Verdana" w:hAnsi="Verdana"/>
          <w:sz w:val="16"/>
          <w:szCs w:val="16"/>
        </w:rPr>
        <w:t>párrs</w:t>
      </w:r>
      <w:proofErr w:type="spellEnd"/>
      <w:r w:rsidRPr="00AD47D0">
        <w:rPr>
          <w:rFonts w:ascii="Verdana" w:hAnsi="Verdana"/>
          <w:sz w:val="16"/>
          <w:szCs w:val="16"/>
        </w:rPr>
        <w:t>. 76 y 79.</w:t>
      </w:r>
    </w:p>
  </w:footnote>
  <w:footnote w:id="38">
    <w:p w14:paraId="590A54AD" w14:textId="77777777" w:rsidR="002F1B04" w:rsidRPr="00AD47D0" w:rsidRDefault="002F1B04" w:rsidP="00551E7F">
      <w:pPr>
        <w:pStyle w:val="Textonotapie"/>
        <w:spacing w:before="120" w:after="120"/>
        <w:jc w:val="both"/>
        <w:rPr>
          <w:rFonts w:ascii="Verdana" w:hAnsi="Verdana"/>
          <w:sz w:val="16"/>
          <w:szCs w:val="16"/>
        </w:rPr>
      </w:pPr>
      <w:r w:rsidRPr="00AD47D0">
        <w:rPr>
          <w:rStyle w:val="Refdenotaalpie"/>
          <w:rFonts w:ascii="Verdana" w:hAnsi="Verdana"/>
          <w:sz w:val="16"/>
          <w:szCs w:val="16"/>
        </w:rPr>
        <w:footnoteRef/>
      </w:r>
      <w:r w:rsidRPr="00AD47D0">
        <w:rPr>
          <w:rFonts w:ascii="Verdana" w:hAnsi="Verdana"/>
          <w:sz w:val="16"/>
          <w:szCs w:val="16"/>
        </w:rPr>
        <w:t xml:space="preserve"> </w:t>
      </w:r>
      <w:r w:rsidRPr="00AD47D0">
        <w:rPr>
          <w:rFonts w:ascii="Verdana" w:hAnsi="Verdana"/>
          <w:sz w:val="16"/>
          <w:szCs w:val="16"/>
        </w:rPr>
        <w:tab/>
      </w:r>
      <w:r w:rsidRPr="00AD47D0">
        <w:rPr>
          <w:rFonts w:ascii="Verdana" w:hAnsi="Verdana"/>
          <w:i/>
          <w:sz w:val="16"/>
          <w:szCs w:val="16"/>
        </w:rPr>
        <w:t>Cfr.</w:t>
      </w:r>
      <w:r w:rsidRPr="00AD47D0">
        <w:rPr>
          <w:rFonts w:ascii="Verdana" w:hAnsi="Verdana"/>
          <w:sz w:val="16"/>
          <w:szCs w:val="16"/>
        </w:rPr>
        <w:t xml:space="preserve"> </w:t>
      </w:r>
      <w:r w:rsidRPr="00AD47D0">
        <w:rPr>
          <w:rFonts w:ascii="Verdana" w:hAnsi="Verdana"/>
          <w:i/>
          <w:sz w:val="16"/>
          <w:szCs w:val="16"/>
        </w:rPr>
        <w:t>Caso Díaz Loreto y otros Vs. Venezuela</w:t>
      </w:r>
      <w:r w:rsidRPr="00AD47D0">
        <w:rPr>
          <w:rFonts w:ascii="Verdana" w:hAnsi="Verdana"/>
          <w:sz w:val="16"/>
          <w:szCs w:val="16"/>
        </w:rPr>
        <w:t xml:space="preserve">. </w:t>
      </w:r>
      <w:r w:rsidRPr="00AD47D0">
        <w:rPr>
          <w:rFonts w:ascii="Verdana" w:hAnsi="Verdana"/>
          <w:i/>
          <w:sz w:val="16"/>
          <w:szCs w:val="16"/>
        </w:rPr>
        <w:t>Excepciones Preliminares, Fondo, Reparaciones y Costas</w:t>
      </w:r>
      <w:r w:rsidRPr="00AD47D0">
        <w:rPr>
          <w:rFonts w:ascii="Verdana" w:hAnsi="Verdana"/>
          <w:sz w:val="16"/>
          <w:szCs w:val="16"/>
        </w:rPr>
        <w:t xml:space="preserve">. Sentencia de 19 de noviembre de 2019, </w:t>
      </w:r>
      <w:proofErr w:type="spellStart"/>
      <w:r w:rsidRPr="00AD47D0">
        <w:rPr>
          <w:rFonts w:ascii="Verdana" w:hAnsi="Verdana"/>
          <w:sz w:val="16"/>
          <w:szCs w:val="16"/>
        </w:rPr>
        <w:t>párrs</w:t>
      </w:r>
      <w:proofErr w:type="spellEnd"/>
      <w:r w:rsidRPr="00AD47D0">
        <w:rPr>
          <w:rFonts w:ascii="Verdana" w:hAnsi="Verdana"/>
          <w:sz w:val="16"/>
          <w:szCs w:val="16"/>
        </w:rPr>
        <w:t>. 122 a 129.</w:t>
      </w:r>
    </w:p>
  </w:footnote>
  <w:footnote w:id="39">
    <w:p w14:paraId="7C5F4570" w14:textId="77777777" w:rsidR="002F1B04" w:rsidRPr="00AD47D0" w:rsidRDefault="002F1B04" w:rsidP="00551E7F">
      <w:pPr>
        <w:pStyle w:val="Textonotapie"/>
        <w:spacing w:before="120" w:after="120"/>
        <w:jc w:val="both"/>
        <w:rPr>
          <w:rFonts w:ascii="Verdana" w:hAnsi="Verdana"/>
          <w:sz w:val="16"/>
          <w:szCs w:val="16"/>
        </w:rPr>
      </w:pPr>
      <w:r w:rsidRPr="00AD47D0">
        <w:rPr>
          <w:rStyle w:val="Refdenotaalpie"/>
          <w:rFonts w:ascii="Verdana" w:hAnsi="Verdana"/>
          <w:sz w:val="16"/>
          <w:szCs w:val="16"/>
        </w:rPr>
        <w:footnoteRef/>
      </w:r>
      <w:r w:rsidRPr="00AD47D0">
        <w:rPr>
          <w:rFonts w:ascii="Verdana" w:hAnsi="Verdana"/>
          <w:sz w:val="16"/>
          <w:szCs w:val="16"/>
        </w:rPr>
        <w:t xml:space="preserve"> </w:t>
      </w:r>
      <w:r w:rsidRPr="00AD47D0">
        <w:rPr>
          <w:rFonts w:ascii="Verdana" w:hAnsi="Verdana"/>
          <w:sz w:val="16"/>
          <w:szCs w:val="16"/>
        </w:rPr>
        <w:tab/>
      </w:r>
      <w:r w:rsidRPr="00AD47D0">
        <w:rPr>
          <w:rFonts w:ascii="Verdana" w:hAnsi="Verdana"/>
          <w:i/>
          <w:sz w:val="16"/>
          <w:szCs w:val="16"/>
        </w:rPr>
        <w:t>Cfr.</w:t>
      </w:r>
      <w:r w:rsidRPr="00AD47D0">
        <w:rPr>
          <w:rFonts w:ascii="Verdana" w:hAnsi="Verdana"/>
          <w:sz w:val="16"/>
          <w:szCs w:val="16"/>
        </w:rPr>
        <w:t xml:space="preserve"> </w:t>
      </w:r>
      <w:r w:rsidRPr="00AD47D0">
        <w:rPr>
          <w:rFonts w:ascii="Verdana" w:hAnsi="Verdana"/>
          <w:i/>
          <w:sz w:val="16"/>
          <w:szCs w:val="16"/>
        </w:rPr>
        <w:t>Caso Díaz Loreto y otros Vs. Venezuela</w:t>
      </w:r>
      <w:r w:rsidRPr="00AD47D0">
        <w:rPr>
          <w:rFonts w:ascii="Verdana" w:hAnsi="Verdana"/>
          <w:sz w:val="16"/>
          <w:szCs w:val="16"/>
        </w:rPr>
        <w:t xml:space="preserve">. </w:t>
      </w:r>
      <w:r w:rsidRPr="00AD47D0">
        <w:rPr>
          <w:rFonts w:ascii="Verdana" w:hAnsi="Verdana"/>
          <w:i/>
          <w:sz w:val="16"/>
          <w:szCs w:val="16"/>
        </w:rPr>
        <w:t>Excepciones Preliminares, Fondo, Reparaciones y Costas</w:t>
      </w:r>
      <w:r w:rsidRPr="00AD47D0">
        <w:rPr>
          <w:rFonts w:ascii="Verdana" w:hAnsi="Verdana"/>
          <w:sz w:val="16"/>
          <w:szCs w:val="16"/>
        </w:rPr>
        <w:t>. Sentencia de 19 de noviembre de 2019, párr. 68.</w:t>
      </w:r>
    </w:p>
  </w:footnote>
  <w:footnote w:id="40">
    <w:p w14:paraId="6DF7DCA9" w14:textId="77777777" w:rsidR="002F1B04" w:rsidRPr="00AD47D0" w:rsidRDefault="002F1B04" w:rsidP="00551E7F">
      <w:pPr>
        <w:pStyle w:val="Textonotapie"/>
        <w:spacing w:before="120" w:after="120"/>
        <w:jc w:val="both"/>
        <w:rPr>
          <w:rFonts w:ascii="Verdana" w:hAnsi="Verdana"/>
          <w:sz w:val="16"/>
          <w:szCs w:val="16"/>
        </w:rPr>
      </w:pPr>
      <w:r w:rsidRPr="00AD47D0">
        <w:rPr>
          <w:rStyle w:val="Refdenotaalpie"/>
          <w:rFonts w:ascii="Verdana" w:hAnsi="Verdana"/>
          <w:sz w:val="16"/>
          <w:szCs w:val="16"/>
        </w:rPr>
        <w:footnoteRef/>
      </w:r>
      <w:r w:rsidRPr="00AD47D0">
        <w:rPr>
          <w:rFonts w:ascii="Verdana" w:hAnsi="Verdana"/>
          <w:sz w:val="16"/>
          <w:szCs w:val="16"/>
        </w:rPr>
        <w:t xml:space="preserve"> </w:t>
      </w:r>
      <w:r w:rsidRPr="00AD47D0">
        <w:rPr>
          <w:rFonts w:ascii="Verdana" w:hAnsi="Verdana"/>
          <w:sz w:val="16"/>
          <w:szCs w:val="16"/>
        </w:rPr>
        <w:tab/>
      </w:r>
      <w:r w:rsidRPr="00AD47D0">
        <w:rPr>
          <w:rFonts w:ascii="Verdana" w:hAnsi="Verdana"/>
          <w:i/>
          <w:sz w:val="16"/>
          <w:szCs w:val="16"/>
        </w:rPr>
        <w:t>Cfr.</w:t>
      </w:r>
      <w:r w:rsidRPr="00AD47D0">
        <w:rPr>
          <w:rFonts w:ascii="Verdana" w:hAnsi="Verdana"/>
          <w:sz w:val="16"/>
          <w:szCs w:val="16"/>
        </w:rPr>
        <w:t xml:space="preserve"> Declaración de Sara del Carmen Mier y Terán Ojera durante la audiencia pública del caso reconoció ese hecho al ser interrogada por uno de los jueces de esta Corte IDH con respecto a este punto.  </w:t>
      </w:r>
    </w:p>
  </w:footnote>
  <w:footnote w:id="41">
    <w:p w14:paraId="58D92CB7" w14:textId="77777777" w:rsidR="002F1B04" w:rsidRPr="00AD47D0" w:rsidRDefault="002F1B04" w:rsidP="00551E7F">
      <w:pPr>
        <w:pStyle w:val="Textonotapie"/>
        <w:spacing w:before="120" w:after="120"/>
        <w:jc w:val="both"/>
        <w:rPr>
          <w:rFonts w:ascii="Verdana" w:hAnsi="Verdana"/>
          <w:sz w:val="16"/>
          <w:szCs w:val="16"/>
        </w:rPr>
      </w:pPr>
      <w:r w:rsidRPr="00AD47D0">
        <w:rPr>
          <w:rStyle w:val="Refdenotaalpie"/>
          <w:rFonts w:ascii="Verdana" w:hAnsi="Verdana"/>
          <w:sz w:val="16"/>
          <w:szCs w:val="16"/>
        </w:rPr>
        <w:footnoteRef/>
      </w:r>
      <w:r w:rsidRPr="00AD47D0">
        <w:rPr>
          <w:rFonts w:ascii="Verdana" w:hAnsi="Verdana"/>
          <w:sz w:val="16"/>
          <w:szCs w:val="16"/>
        </w:rPr>
        <w:t xml:space="preserve"> </w:t>
      </w:r>
      <w:r w:rsidRPr="00AD47D0">
        <w:rPr>
          <w:rFonts w:ascii="Verdana" w:hAnsi="Verdana"/>
          <w:sz w:val="16"/>
          <w:szCs w:val="16"/>
        </w:rPr>
        <w:tab/>
      </w:r>
      <w:r w:rsidRPr="00AD47D0">
        <w:rPr>
          <w:rFonts w:ascii="Verdana" w:hAnsi="Verdana"/>
          <w:i/>
          <w:sz w:val="16"/>
          <w:szCs w:val="16"/>
        </w:rPr>
        <w:t>Cfr.</w:t>
      </w:r>
      <w:r w:rsidRPr="00AD47D0">
        <w:rPr>
          <w:rFonts w:ascii="Verdana" w:hAnsi="Verdana"/>
          <w:sz w:val="16"/>
          <w:szCs w:val="16"/>
        </w:rPr>
        <w:t xml:space="preserve"> </w:t>
      </w:r>
      <w:r w:rsidRPr="00AD47D0">
        <w:rPr>
          <w:rFonts w:ascii="Verdana" w:hAnsi="Verdana"/>
          <w:i/>
          <w:sz w:val="16"/>
          <w:szCs w:val="16"/>
        </w:rPr>
        <w:t>Caso Díaz Loreto y otros Vs. Venezuela</w:t>
      </w:r>
      <w:r w:rsidRPr="00AD47D0">
        <w:rPr>
          <w:rFonts w:ascii="Verdana" w:hAnsi="Verdana"/>
          <w:sz w:val="16"/>
          <w:szCs w:val="16"/>
        </w:rPr>
        <w:t xml:space="preserve">. </w:t>
      </w:r>
      <w:r w:rsidRPr="00AD47D0">
        <w:rPr>
          <w:rFonts w:ascii="Verdana" w:hAnsi="Verdana"/>
          <w:i/>
          <w:sz w:val="16"/>
          <w:szCs w:val="16"/>
        </w:rPr>
        <w:t>Excepciones Preliminares, Fondo, Reparaciones y Costas</w:t>
      </w:r>
      <w:r w:rsidRPr="00AD47D0">
        <w:rPr>
          <w:rFonts w:ascii="Verdana" w:hAnsi="Verdana"/>
          <w:sz w:val="16"/>
          <w:szCs w:val="16"/>
        </w:rPr>
        <w:t xml:space="preserve">. Sentencia de 19 de noviembre de 2019, </w:t>
      </w:r>
      <w:proofErr w:type="spellStart"/>
      <w:r w:rsidRPr="00AD47D0">
        <w:rPr>
          <w:rFonts w:ascii="Verdana" w:hAnsi="Verdana"/>
          <w:sz w:val="16"/>
          <w:szCs w:val="16"/>
        </w:rPr>
        <w:t>párrs</w:t>
      </w:r>
      <w:proofErr w:type="spellEnd"/>
      <w:r w:rsidRPr="00AD47D0">
        <w:rPr>
          <w:rFonts w:ascii="Verdana" w:hAnsi="Verdana"/>
          <w:sz w:val="16"/>
          <w:szCs w:val="16"/>
        </w:rPr>
        <w:t xml:space="preserve">. </w:t>
      </w:r>
      <w:r w:rsidR="00FE7E7F" w:rsidRPr="00AD47D0">
        <w:rPr>
          <w:rFonts w:ascii="Verdana" w:hAnsi="Verdana"/>
          <w:sz w:val="16"/>
          <w:szCs w:val="16"/>
        </w:rPr>
        <w:t>39, 40</w:t>
      </w:r>
      <w:r w:rsidRPr="00AD47D0">
        <w:rPr>
          <w:rFonts w:ascii="Verdana" w:hAnsi="Verdana"/>
          <w:sz w:val="16"/>
          <w:szCs w:val="16"/>
        </w:rPr>
        <w:t xml:space="preserve"> y 77.</w:t>
      </w:r>
    </w:p>
  </w:footnote>
  <w:footnote w:id="42">
    <w:p w14:paraId="1E9542EC" w14:textId="77777777" w:rsidR="002F1B04" w:rsidRPr="00AD47D0" w:rsidRDefault="002F1B04" w:rsidP="00551E7F">
      <w:pPr>
        <w:pStyle w:val="Textonotapie"/>
        <w:spacing w:before="120" w:after="120"/>
        <w:jc w:val="both"/>
        <w:rPr>
          <w:rFonts w:ascii="Verdana" w:hAnsi="Verdana"/>
          <w:sz w:val="16"/>
          <w:szCs w:val="16"/>
        </w:rPr>
      </w:pPr>
      <w:r w:rsidRPr="00AD47D0">
        <w:rPr>
          <w:rStyle w:val="Refdenotaalpie"/>
          <w:rFonts w:ascii="Verdana" w:hAnsi="Verdana"/>
          <w:sz w:val="16"/>
          <w:szCs w:val="16"/>
        </w:rPr>
        <w:footnoteRef/>
      </w:r>
      <w:r w:rsidRPr="00AD47D0">
        <w:rPr>
          <w:rFonts w:ascii="Verdana" w:hAnsi="Verdana"/>
          <w:sz w:val="16"/>
          <w:szCs w:val="16"/>
        </w:rPr>
        <w:t xml:space="preserve"> </w:t>
      </w:r>
      <w:r w:rsidRPr="00AD47D0">
        <w:rPr>
          <w:rFonts w:ascii="Verdana" w:hAnsi="Verdana"/>
          <w:sz w:val="16"/>
          <w:szCs w:val="16"/>
        </w:rPr>
        <w:tab/>
      </w:r>
      <w:r w:rsidRPr="00AD47D0">
        <w:rPr>
          <w:rFonts w:ascii="Verdana" w:hAnsi="Verdana"/>
          <w:i/>
          <w:sz w:val="16"/>
          <w:szCs w:val="16"/>
        </w:rPr>
        <w:t>Cfr.</w:t>
      </w:r>
      <w:r w:rsidRPr="00AD47D0">
        <w:rPr>
          <w:rFonts w:ascii="Verdana" w:hAnsi="Verdana"/>
          <w:sz w:val="16"/>
          <w:szCs w:val="16"/>
        </w:rPr>
        <w:t xml:space="preserve"> </w:t>
      </w:r>
      <w:r w:rsidRPr="00AD47D0">
        <w:rPr>
          <w:rFonts w:ascii="Verdana" w:hAnsi="Verdana"/>
          <w:i/>
          <w:sz w:val="16"/>
          <w:szCs w:val="16"/>
        </w:rPr>
        <w:t>Caso Díaz Loreto y otros Vs. Venezuela</w:t>
      </w:r>
      <w:r w:rsidRPr="00AD47D0">
        <w:rPr>
          <w:rFonts w:ascii="Verdana" w:hAnsi="Verdana"/>
          <w:sz w:val="16"/>
          <w:szCs w:val="16"/>
        </w:rPr>
        <w:t xml:space="preserve">. </w:t>
      </w:r>
      <w:r w:rsidRPr="00AD47D0">
        <w:rPr>
          <w:rFonts w:ascii="Verdana" w:hAnsi="Verdana"/>
          <w:i/>
          <w:sz w:val="16"/>
          <w:szCs w:val="16"/>
        </w:rPr>
        <w:t>Excepciones Preliminares, Fondo, Reparaciones y Costas</w:t>
      </w:r>
      <w:r w:rsidRPr="00AD47D0">
        <w:rPr>
          <w:rFonts w:ascii="Verdana" w:hAnsi="Verdana"/>
          <w:sz w:val="16"/>
          <w:szCs w:val="16"/>
        </w:rPr>
        <w:t>. Sentencia de 1</w:t>
      </w:r>
      <w:r w:rsidR="00FE7E7F" w:rsidRPr="00AD47D0">
        <w:rPr>
          <w:rFonts w:ascii="Verdana" w:hAnsi="Verdana"/>
          <w:sz w:val="16"/>
          <w:szCs w:val="16"/>
        </w:rPr>
        <w:t xml:space="preserve">9 de noviembre de 2019, párr. </w:t>
      </w:r>
      <w:r w:rsidRPr="00AD47D0">
        <w:rPr>
          <w:rFonts w:ascii="Verdana" w:hAnsi="Verdana"/>
          <w:sz w:val="16"/>
          <w:szCs w:val="16"/>
        </w:rPr>
        <w:t>8</w:t>
      </w:r>
      <w:r w:rsidR="00FE7E7F" w:rsidRPr="00AD47D0">
        <w:rPr>
          <w:rFonts w:ascii="Verdana" w:hAnsi="Verdana"/>
          <w:sz w:val="16"/>
          <w:szCs w:val="16"/>
        </w:rPr>
        <w:t>1</w:t>
      </w:r>
      <w:r w:rsidRPr="00AD47D0">
        <w:rPr>
          <w:rFonts w:ascii="Verdana" w:hAnsi="Verdana"/>
          <w:sz w:val="16"/>
          <w:szCs w:val="16"/>
        </w:rPr>
        <w:t xml:space="preserve">. Sobre este particular, la Corte IDH indicó que </w:t>
      </w:r>
      <w:r w:rsidRPr="00AD47D0">
        <w:rPr>
          <w:rFonts w:ascii="Verdana" w:hAnsi="Verdana" w:cs="Verdana"/>
          <w:bCs/>
          <w:sz w:val="16"/>
          <w:szCs w:val="16"/>
        </w:rPr>
        <w:t xml:space="preserve">no queda claro el tiempo que habría tardado efectivamente la patrulla de policía en llegar al Seguro Social de </w:t>
      </w:r>
      <w:proofErr w:type="spellStart"/>
      <w:r w:rsidRPr="00AD47D0">
        <w:rPr>
          <w:rFonts w:ascii="Verdana" w:hAnsi="Verdana" w:cs="Verdana"/>
          <w:bCs/>
          <w:sz w:val="16"/>
          <w:szCs w:val="16"/>
        </w:rPr>
        <w:t>Corinsa</w:t>
      </w:r>
      <w:proofErr w:type="spellEnd"/>
      <w:r w:rsidRPr="00AD47D0">
        <w:rPr>
          <w:rFonts w:ascii="Verdana" w:hAnsi="Verdana" w:cs="Verdana"/>
          <w:bCs/>
          <w:sz w:val="16"/>
          <w:szCs w:val="16"/>
        </w:rPr>
        <w:t xml:space="preserve"> para atender a la víctima, siendo que el cuerpo de la víctima habría sido dejado a las 7:30 de la tarde en esa institución y éste habría recibido los impactos de bala entre las 6:00 y 6:30 de la tarde en un lugar de la ciudad que a más tardar se encontraba a 15 minutos en automóvil del centro de asistencia. La Corte IDH agregó que de acuerdo a esta línea temporal, el señor Díaz Loreto tendría que haber llegado a más tardar entre las 6:15 y 6:45 de la tarde, más aún si se tiene en cuenta que estaba siendo transportado por una patrulla de la policía que está en condiciones de movilizarse con mayor celeridad que un vehículo civil. Ninguna autoridad interna venezolana analizó estas inconsistencias en los tiempos, tampoco el Estado en el trámite del presente caso ofreció algún tipo de explicación en relación con esa tardanza o esas incongruencias temporales. Por otra parte, cabe recordar que algunas declaraciones de familiares y vecinos se refirieron al hecho que habrían podido percibir la patrulla de la policía dando rondas por el barrio con Robert Díaz Loreto adentro, en lugar de llevarlo directamente a un centro de atención médica</w:t>
      </w:r>
    </w:p>
  </w:footnote>
  <w:footnote w:id="43">
    <w:p w14:paraId="5F35146D" w14:textId="77777777" w:rsidR="002F1B04" w:rsidRPr="00AD47D0" w:rsidRDefault="002F1B04" w:rsidP="00551E7F">
      <w:pPr>
        <w:pStyle w:val="Textonotapie"/>
        <w:spacing w:before="120" w:after="120"/>
        <w:jc w:val="both"/>
        <w:rPr>
          <w:rFonts w:ascii="Verdana" w:hAnsi="Verdana"/>
          <w:sz w:val="16"/>
          <w:szCs w:val="16"/>
        </w:rPr>
      </w:pPr>
      <w:r w:rsidRPr="00AD47D0">
        <w:rPr>
          <w:rStyle w:val="Refdenotaalpie"/>
          <w:rFonts w:ascii="Verdana" w:hAnsi="Verdana"/>
          <w:sz w:val="16"/>
          <w:szCs w:val="16"/>
        </w:rPr>
        <w:footnoteRef/>
      </w:r>
      <w:r w:rsidRPr="00AD47D0">
        <w:rPr>
          <w:rFonts w:ascii="Verdana" w:hAnsi="Verdana"/>
          <w:sz w:val="16"/>
          <w:szCs w:val="16"/>
        </w:rPr>
        <w:t xml:space="preserve"> </w:t>
      </w:r>
      <w:r w:rsidRPr="00AD47D0">
        <w:rPr>
          <w:rFonts w:ascii="Verdana" w:hAnsi="Verdana"/>
          <w:sz w:val="16"/>
          <w:szCs w:val="16"/>
        </w:rPr>
        <w:tab/>
      </w:r>
      <w:r w:rsidRPr="00AD47D0">
        <w:rPr>
          <w:rFonts w:ascii="Verdana" w:hAnsi="Verdana"/>
          <w:i/>
          <w:sz w:val="16"/>
          <w:szCs w:val="16"/>
        </w:rPr>
        <w:t>Cfr.</w:t>
      </w:r>
      <w:r w:rsidRPr="00AD47D0">
        <w:rPr>
          <w:rFonts w:ascii="Verdana" w:hAnsi="Verdana"/>
          <w:sz w:val="16"/>
          <w:szCs w:val="16"/>
        </w:rPr>
        <w:t xml:space="preserve"> </w:t>
      </w:r>
      <w:r w:rsidRPr="00AD47D0">
        <w:rPr>
          <w:rFonts w:ascii="Verdana" w:hAnsi="Verdana"/>
          <w:i/>
          <w:sz w:val="16"/>
          <w:szCs w:val="16"/>
        </w:rPr>
        <w:t>Caso Díaz Loreto y otros Vs. Venezuela</w:t>
      </w:r>
      <w:r w:rsidRPr="00AD47D0">
        <w:rPr>
          <w:rFonts w:ascii="Verdana" w:hAnsi="Verdana"/>
          <w:sz w:val="16"/>
          <w:szCs w:val="16"/>
        </w:rPr>
        <w:t xml:space="preserve">. </w:t>
      </w:r>
      <w:r w:rsidRPr="00AD47D0">
        <w:rPr>
          <w:rFonts w:ascii="Verdana" w:hAnsi="Verdana"/>
          <w:i/>
          <w:sz w:val="16"/>
          <w:szCs w:val="16"/>
        </w:rPr>
        <w:t>Excepciones Preliminares, Fondo, Reparaciones y Costas</w:t>
      </w:r>
      <w:r w:rsidRPr="00AD47D0">
        <w:rPr>
          <w:rFonts w:ascii="Verdana" w:hAnsi="Verdana"/>
          <w:sz w:val="16"/>
          <w:szCs w:val="16"/>
        </w:rPr>
        <w:t>. Sentencia de 1</w:t>
      </w:r>
      <w:r w:rsidR="00FE7E7F" w:rsidRPr="00AD47D0">
        <w:rPr>
          <w:rFonts w:ascii="Verdana" w:hAnsi="Verdana"/>
          <w:sz w:val="16"/>
          <w:szCs w:val="16"/>
        </w:rPr>
        <w:t>9 de noviembre de 2019, párr. 82</w:t>
      </w:r>
      <w:r w:rsidRPr="00AD47D0">
        <w:rPr>
          <w:rFonts w:ascii="Verdana" w:hAnsi="Verdana"/>
          <w:sz w:val="16"/>
          <w:szCs w:val="16"/>
        </w:rPr>
        <w:t>.</w:t>
      </w:r>
    </w:p>
  </w:footnote>
  <w:footnote w:id="44">
    <w:p w14:paraId="125D7863" w14:textId="77777777" w:rsidR="002F1B04" w:rsidRPr="00AD47D0" w:rsidRDefault="002F1B04" w:rsidP="00551E7F">
      <w:pPr>
        <w:pStyle w:val="Textonotapie"/>
        <w:spacing w:before="120" w:after="120"/>
        <w:jc w:val="both"/>
        <w:rPr>
          <w:rFonts w:ascii="Verdana" w:hAnsi="Verdana"/>
          <w:sz w:val="16"/>
          <w:szCs w:val="16"/>
        </w:rPr>
      </w:pPr>
      <w:r w:rsidRPr="00AD47D0">
        <w:rPr>
          <w:rStyle w:val="Refdenotaalpie"/>
          <w:rFonts w:ascii="Verdana" w:hAnsi="Verdana"/>
          <w:sz w:val="16"/>
          <w:szCs w:val="16"/>
        </w:rPr>
        <w:footnoteRef/>
      </w:r>
      <w:r w:rsidRPr="00AD47D0">
        <w:rPr>
          <w:rFonts w:ascii="Verdana" w:hAnsi="Verdana"/>
          <w:sz w:val="16"/>
          <w:szCs w:val="16"/>
        </w:rPr>
        <w:t xml:space="preserve"> </w:t>
      </w:r>
      <w:r w:rsidRPr="00AD47D0">
        <w:rPr>
          <w:rFonts w:ascii="Verdana" w:hAnsi="Verdana"/>
          <w:sz w:val="16"/>
          <w:szCs w:val="16"/>
        </w:rPr>
        <w:tab/>
      </w:r>
      <w:r w:rsidRPr="00AD47D0">
        <w:rPr>
          <w:rFonts w:ascii="Verdana" w:hAnsi="Verdana"/>
          <w:i/>
          <w:sz w:val="16"/>
          <w:szCs w:val="16"/>
        </w:rPr>
        <w:t>Cfr.</w:t>
      </w:r>
      <w:r w:rsidRPr="00AD47D0">
        <w:rPr>
          <w:rFonts w:ascii="Verdana" w:hAnsi="Verdana"/>
          <w:sz w:val="16"/>
          <w:szCs w:val="16"/>
        </w:rPr>
        <w:t xml:space="preserve"> </w:t>
      </w:r>
      <w:r w:rsidRPr="00AD47D0">
        <w:rPr>
          <w:rFonts w:ascii="Verdana" w:hAnsi="Verdana"/>
          <w:i/>
          <w:sz w:val="16"/>
          <w:szCs w:val="16"/>
        </w:rPr>
        <w:t>Caso Díaz Loreto y otros Vs. Venezuela</w:t>
      </w:r>
      <w:r w:rsidRPr="00AD47D0">
        <w:rPr>
          <w:rFonts w:ascii="Verdana" w:hAnsi="Verdana"/>
          <w:sz w:val="16"/>
          <w:szCs w:val="16"/>
        </w:rPr>
        <w:t xml:space="preserve">. </w:t>
      </w:r>
      <w:r w:rsidRPr="00AD47D0">
        <w:rPr>
          <w:rFonts w:ascii="Verdana" w:hAnsi="Verdana"/>
          <w:i/>
          <w:sz w:val="16"/>
          <w:szCs w:val="16"/>
        </w:rPr>
        <w:t>Excepciones Preliminares, Fondo, Reparaciones y Costas</w:t>
      </w:r>
      <w:r w:rsidRPr="00AD47D0">
        <w:rPr>
          <w:rFonts w:ascii="Verdana" w:hAnsi="Verdana"/>
          <w:sz w:val="16"/>
          <w:szCs w:val="16"/>
        </w:rPr>
        <w:t>. Sentencia de 19 de noviembre de 2019, párr. 80.</w:t>
      </w:r>
    </w:p>
  </w:footnote>
  <w:footnote w:id="45">
    <w:p w14:paraId="26E018D3" w14:textId="77777777" w:rsidR="002F1B04" w:rsidRPr="00AD47D0" w:rsidRDefault="002F1B04" w:rsidP="00551E7F">
      <w:pPr>
        <w:pStyle w:val="Textonotapie"/>
        <w:spacing w:before="120" w:after="120"/>
        <w:jc w:val="both"/>
        <w:rPr>
          <w:rFonts w:ascii="Verdana" w:hAnsi="Verdana"/>
          <w:sz w:val="16"/>
          <w:szCs w:val="16"/>
        </w:rPr>
      </w:pPr>
      <w:r w:rsidRPr="00AD47D0">
        <w:rPr>
          <w:rStyle w:val="Refdenotaalpie"/>
          <w:rFonts w:ascii="Verdana" w:hAnsi="Verdana"/>
          <w:sz w:val="16"/>
          <w:szCs w:val="16"/>
        </w:rPr>
        <w:footnoteRef/>
      </w:r>
      <w:r w:rsidRPr="00AD47D0">
        <w:rPr>
          <w:rFonts w:ascii="Verdana" w:hAnsi="Verdana"/>
          <w:sz w:val="16"/>
          <w:szCs w:val="16"/>
        </w:rPr>
        <w:t xml:space="preserve"> </w:t>
      </w:r>
      <w:r w:rsidRPr="00AD47D0">
        <w:rPr>
          <w:rFonts w:ascii="Verdana" w:hAnsi="Verdana"/>
          <w:sz w:val="16"/>
          <w:szCs w:val="16"/>
        </w:rPr>
        <w:tab/>
      </w:r>
      <w:r w:rsidRPr="00AD47D0">
        <w:rPr>
          <w:rFonts w:ascii="Verdana" w:hAnsi="Verdana"/>
          <w:i/>
          <w:sz w:val="16"/>
          <w:szCs w:val="16"/>
        </w:rPr>
        <w:t>Cfr.</w:t>
      </w:r>
      <w:r w:rsidRPr="00AD47D0">
        <w:rPr>
          <w:rFonts w:ascii="Verdana" w:hAnsi="Verdana"/>
          <w:sz w:val="16"/>
          <w:szCs w:val="16"/>
        </w:rPr>
        <w:t xml:space="preserve"> </w:t>
      </w:r>
      <w:r w:rsidRPr="00AD47D0">
        <w:rPr>
          <w:rFonts w:ascii="Verdana" w:hAnsi="Verdana"/>
          <w:i/>
          <w:sz w:val="16"/>
          <w:szCs w:val="16"/>
        </w:rPr>
        <w:t>Caso Díaz Loreto y otros Vs. Venezuela</w:t>
      </w:r>
      <w:r w:rsidRPr="00AD47D0">
        <w:rPr>
          <w:rFonts w:ascii="Verdana" w:hAnsi="Verdana"/>
          <w:sz w:val="16"/>
          <w:szCs w:val="16"/>
        </w:rPr>
        <w:t xml:space="preserve">. </w:t>
      </w:r>
      <w:r w:rsidRPr="00AD47D0">
        <w:rPr>
          <w:rFonts w:ascii="Verdana" w:hAnsi="Verdana"/>
          <w:i/>
          <w:sz w:val="16"/>
          <w:szCs w:val="16"/>
        </w:rPr>
        <w:t>Excepciones Preliminares, Fondo, Reparaciones y Costas</w:t>
      </w:r>
      <w:r w:rsidRPr="00AD47D0">
        <w:rPr>
          <w:rFonts w:ascii="Verdana" w:hAnsi="Verdana"/>
          <w:sz w:val="16"/>
          <w:szCs w:val="16"/>
        </w:rPr>
        <w:t>. Sentencia de 19 de noviembre de 2019, párr. 84.</w:t>
      </w:r>
    </w:p>
  </w:footnote>
  <w:footnote w:id="46">
    <w:p w14:paraId="7E252C97" w14:textId="77777777" w:rsidR="002F1B04" w:rsidRPr="00AD47D0" w:rsidRDefault="002F1B04" w:rsidP="00551E7F">
      <w:pPr>
        <w:pStyle w:val="Textonotapie"/>
        <w:spacing w:before="120" w:after="120"/>
        <w:jc w:val="both"/>
        <w:rPr>
          <w:rFonts w:ascii="Verdana" w:hAnsi="Verdana"/>
          <w:sz w:val="16"/>
          <w:szCs w:val="16"/>
        </w:rPr>
      </w:pPr>
      <w:r w:rsidRPr="00AD47D0">
        <w:rPr>
          <w:rStyle w:val="Refdenotaalpie"/>
          <w:rFonts w:ascii="Verdana" w:hAnsi="Verdana"/>
          <w:sz w:val="16"/>
          <w:szCs w:val="16"/>
        </w:rPr>
        <w:footnoteRef/>
      </w:r>
      <w:r w:rsidRPr="00AD47D0">
        <w:rPr>
          <w:rFonts w:ascii="Verdana" w:hAnsi="Verdana"/>
          <w:sz w:val="16"/>
          <w:szCs w:val="16"/>
        </w:rPr>
        <w:t xml:space="preserve"> </w:t>
      </w:r>
      <w:r w:rsidRPr="00AD47D0">
        <w:rPr>
          <w:rFonts w:ascii="Verdana" w:hAnsi="Verdana"/>
          <w:sz w:val="16"/>
          <w:szCs w:val="16"/>
        </w:rPr>
        <w:tab/>
      </w:r>
      <w:r w:rsidRPr="00AD47D0">
        <w:rPr>
          <w:rFonts w:ascii="Verdana" w:hAnsi="Verdana"/>
          <w:i/>
          <w:sz w:val="16"/>
          <w:szCs w:val="16"/>
        </w:rPr>
        <w:t>Cfr.</w:t>
      </w:r>
      <w:r w:rsidRPr="00AD47D0">
        <w:rPr>
          <w:rFonts w:ascii="Verdana" w:hAnsi="Verdana"/>
          <w:sz w:val="16"/>
          <w:szCs w:val="16"/>
        </w:rPr>
        <w:t xml:space="preserve"> </w:t>
      </w:r>
      <w:r w:rsidRPr="00AD47D0">
        <w:rPr>
          <w:rFonts w:ascii="Verdana" w:hAnsi="Verdana"/>
          <w:i/>
          <w:sz w:val="16"/>
          <w:szCs w:val="16"/>
        </w:rPr>
        <w:t>Caso Díaz Loreto y otros Vs. Venezuela</w:t>
      </w:r>
      <w:r w:rsidRPr="00AD47D0">
        <w:rPr>
          <w:rFonts w:ascii="Verdana" w:hAnsi="Verdana"/>
          <w:sz w:val="16"/>
          <w:szCs w:val="16"/>
        </w:rPr>
        <w:t xml:space="preserve">. </w:t>
      </w:r>
      <w:r w:rsidRPr="00AD47D0">
        <w:rPr>
          <w:rFonts w:ascii="Verdana" w:hAnsi="Verdana"/>
          <w:i/>
          <w:sz w:val="16"/>
          <w:szCs w:val="16"/>
        </w:rPr>
        <w:t>Excepciones Preliminares, Fondo, Reparaciones y Costas</w:t>
      </w:r>
      <w:r w:rsidRPr="00AD47D0">
        <w:rPr>
          <w:rFonts w:ascii="Verdana" w:hAnsi="Verdana"/>
          <w:sz w:val="16"/>
          <w:szCs w:val="16"/>
        </w:rPr>
        <w:t>. Sentencia de 19 de noviembre de 2019, párr. 83.</w:t>
      </w:r>
    </w:p>
  </w:footnote>
  <w:footnote w:id="47">
    <w:p w14:paraId="732CAA2B" w14:textId="77777777" w:rsidR="002F1B04" w:rsidRPr="00AD47D0" w:rsidRDefault="002F1B04" w:rsidP="00551E7F">
      <w:pPr>
        <w:pStyle w:val="Textonotapie"/>
        <w:spacing w:before="120" w:after="120"/>
        <w:jc w:val="both"/>
        <w:rPr>
          <w:rFonts w:ascii="Verdana" w:hAnsi="Verdana"/>
          <w:sz w:val="16"/>
          <w:szCs w:val="16"/>
        </w:rPr>
      </w:pPr>
      <w:r w:rsidRPr="00AD47D0">
        <w:rPr>
          <w:rStyle w:val="Refdenotaalpie"/>
          <w:rFonts w:ascii="Verdana" w:hAnsi="Verdana"/>
          <w:sz w:val="16"/>
          <w:szCs w:val="16"/>
        </w:rPr>
        <w:footnoteRef/>
      </w:r>
      <w:r w:rsidRPr="00AD47D0">
        <w:rPr>
          <w:rFonts w:ascii="Verdana" w:hAnsi="Verdana"/>
          <w:sz w:val="16"/>
          <w:szCs w:val="16"/>
        </w:rPr>
        <w:t xml:space="preserve"> </w:t>
      </w:r>
      <w:r w:rsidRPr="00AD47D0">
        <w:rPr>
          <w:rFonts w:ascii="Verdana" w:hAnsi="Verdana"/>
          <w:sz w:val="16"/>
          <w:szCs w:val="16"/>
        </w:rPr>
        <w:tab/>
      </w:r>
      <w:r w:rsidRPr="00AD47D0">
        <w:rPr>
          <w:rFonts w:ascii="Verdana" w:hAnsi="Verdana"/>
          <w:i/>
          <w:sz w:val="16"/>
          <w:szCs w:val="16"/>
        </w:rPr>
        <w:t>Caso Díaz Loreto y otros Vs. Venezuela</w:t>
      </w:r>
      <w:r w:rsidRPr="00AD47D0">
        <w:rPr>
          <w:rFonts w:ascii="Verdana" w:hAnsi="Verdana"/>
          <w:sz w:val="16"/>
          <w:szCs w:val="16"/>
        </w:rPr>
        <w:t xml:space="preserve">. </w:t>
      </w:r>
      <w:r w:rsidRPr="00AD47D0">
        <w:rPr>
          <w:rFonts w:ascii="Verdana" w:hAnsi="Verdana"/>
          <w:i/>
          <w:sz w:val="16"/>
          <w:szCs w:val="16"/>
        </w:rPr>
        <w:t>Excepciones Preliminares, Fondo, Reparaciones y Costas</w:t>
      </w:r>
      <w:r w:rsidRPr="00AD47D0">
        <w:rPr>
          <w:rFonts w:ascii="Verdana" w:hAnsi="Verdana"/>
          <w:sz w:val="16"/>
          <w:szCs w:val="16"/>
        </w:rPr>
        <w:t>. Sentencia de 19 de noviembre de 2019, párr. 87.</w:t>
      </w:r>
    </w:p>
  </w:footnote>
  <w:footnote w:id="48">
    <w:p w14:paraId="138923A4" w14:textId="77777777" w:rsidR="002F1B04" w:rsidRPr="00AD47D0" w:rsidRDefault="002F1B04" w:rsidP="00551E7F">
      <w:pPr>
        <w:pStyle w:val="Textonotapie"/>
        <w:spacing w:before="120" w:after="120"/>
        <w:jc w:val="both"/>
        <w:rPr>
          <w:rFonts w:ascii="Verdana" w:hAnsi="Verdana"/>
          <w:sz w:val="16"/>
          <w:szCs w:val="16"/>
        </w:rPr>
      </w:pPr>
      <w:r w:rsidRPr="00AD47D0">
        <w:rPr>
          <w:rStyle w:val="Refdenotaalpie"/>
          <w:rFonts w:ascii="Verdana" w:hAnsi="Verdana"/>
          <w:sz w:val="16"/>
          <w:szCs w:val="16"/>
        </w:rPr>
        <w:footnoteRef/>
      </w:r>
      <w:r w:rsidRPr="00AD47D0">
        <w:rPr>
          <w:rFonts w:ascii="Verdana" w:hAnsi="Verdana"/>
          <w:sz w:val="16"/>
          <w:szCs w:val="16"/>
        </w:rPr>
        <w:t xml:space="preserve"> </w:t>
      </w:r>
      <w:r w:rsidRPr="00AD47D0">
        <w:rPr>
          <w:rFonts w:ascii="Verdana" w:hAnsi="Verdana"/>
          <w:sz w:val="16"/>
          <w:szCs w:val="16"/>
        </w:rPr>
        <w:tab/>
      </w:r>
      <w:r w:rsidRPr="00AD47D0">
        <w:rPr>
          <w:rFonts w:ascii="Verdana" w:hAnsi="Verdana"/>
          <w:i/>
          <w:sz w:val="16"/>
          <w:szCs w:val="16"/>
        </w:rPr>
        <w:t>Cfr.</w:t>
      </w:r>
      <w:r w:rsidRPr="00AD47D0">
        <w:rPr>
          <w:rFonts w:ascii="Verdana" w:hAnsi="Verdana"/>
          <w:sz w:val="16"/>
          <w:szCs w:val="16"/>
        </w:rPr>
        <w:t xml:space="preserve"> </w:t>
      </w:r>
      <w:r w:rsidRPr="00AD47D0">
        <w:rPr>
          <w:rFonts w:ascii="Verdana" w:hAnsi="Verdana"/>
          <w:i/>
          <w:sz w:val="16"/>
          <w:szCs w:val="16"/>
        </w:rPr>
        <w:t>Caso Díaz Loreto y otros Vs. Venezuela</w:t>
      </w:r>
      <w:r w:rsidRPr="00AD47D0">
        <w:rPr>
          <w:rFonts w:ascii="Verdana" w:hAnsi="Verdana"/>
          <w:sz w:val="16"/>
          <w:szCs w:val="16"/>
        </w:rPr>
        <w:t xml:space="preserve">. </w:t>
      </w:r>
      <w:r w:rsidRPr="00AD47D0">
        <w:rPr>
          <w:rFonts w:ascii="Verdana" w:hAnsi="Verdana"/>
          <w:i/>
          <w:sz w:val="16"/>
          <w:szCs w:val="16"/>
        </w:rPr>
        <w:t>Excepciones Preliminares, Fondo, Reparaciones y Costas</w:t>
      </w:r>
      <w:r w:rsidRPr="00AD47D0">
        <w:rPr>
          <w:rFonts w:ascii="Verdana" w:hAnsi="Verdana"/>
          <w:sz w:val="16"/>
          <w:szCs w:val="16"/>
        </w:rPr>
        <w:t>. Sentencia de 19 de noviembre de 2019, párr. 86.</w:t>
      </w:r>
    </w:p>
  </w:footnote>
  <w:footnote w:id="49">
    <w:p w14:paraId="0F291356" w14:textId="77777777" w:rsidR="002F1B04" w:rsidRPr="00AD47D0" w:rsidRDefault="002F1B04" w:rsidP="00551E7F">
      <w:pPr>
        <w:pStyle w:val="Textonotapie"/>
        <w:spacing w:before="120" w:after="120"/>
        <w:jc w:val="both"/>
        <w:rPr>
          <w:rFonts w:ascii="Verdana" w:hAnsi="Verdana"/>
          <w:sz w:val="16"/>
          <w:szCs w:val="16"/>
        </w:rPr>
      </w:pPr>
      <w:r w:rsidRPr="00AD47D0">
        <w:rPr>
          <w:rStyle w:val="Refdenotaalpie"/>
          <w:rFonts w:ascii="Verdana" w:hAnsi="Verdana"/>
          <w:sz w:val="16"/>
          <w:szCs w:val="16"/>
        </w:rPr>
        <w:footnoteRef/>
      </w:r>
      <w:r w:rsidRPr="00AD47D0">
        <w:rPr>
          <w:rFonts w:ascii="Verdana" w:hAnsi="Verdana"/>
          <w:sz w:val="16"/>
          <w:szCs w:val="16"/>
        </w:rPr>
        <w:t xml:space="preserve"> </w:t>
      </w:r>
      <w:r w:rsidRPr="00AD47D0">
        <w:rPr>
          <w:rFonts w:ascii="Verdana" w:hAnsi="Verdana"/>
          <w:sz w:val="16"/>
          <w:szCs w:val="16"/>
        </w:rPr>
        <w:tab/>
      </w:r>
      <w:r w:rsidRPr="00AD47D0">
        <w:rPr>
          <w:rFonts w:ascii="Verdana" w:hAnsi="Verdana"/>
          <w:i/>
          <w:sz w:val="16"/>
          <w:szCs w:val="16"/>
        </w:rPr>
        <w:t>Cfr.</w:t>
      </w:r>
      <w:r w:rsidRPr="00AD47D0">
        <w:rPr>
          <w:rFonts w:ascii="Verdana" w:hAnsi="Verdana"/>
          <w:sz w:val="16"/>
          <w:szCs w:val="16"/>
        </w:rPr>
        <w:t xml:space="preserve"> </w:t>
      </w:r>
      <w:r w:rsidRPr="00AD47D0">
        <w:rPr>
          <w:rFonts w:ascii="Verdana" w:hAnsi="Verdana"/>
          <w:i/>
          <w:sz w:val="16"/>
          <w:szCs w:val="16"/>
        </w:rPr>
        <w:t>Caso Díaz Loreto y otros Vs. Venezuela</w:t>
      </w:r>
      <w:r w:rsidRPr="00AD47D0">
        <w:rPr>
          <w:rFonts w:ascii="Verdana" w:hAnsi="Verdana"/>
          <w:sz w:val="16"/>
          <w:szCs w:val="16"/>
        </w:rPr>
        <w:t xml:space="preserve">. </w:t>
      </w:r>
      <w:r w:rsidRPr="00AD47D0">
        <w:rPr>
          <w:rFonts w:ascii="Verdana" w:hAnsi="Verdana"/>
          <w:i/>
          <w:sz w:val="16"/>
          <w:szCs w:val="16"/>
        </w:rPr>
        <w:t>Excepciones Preliminares, Fondo, Reparaciones y Costas</w:t>
      </w:r>
      <w:r w:rsidRPr="00AD47D0">
        <w:rPr>
          <w:rFonts w:ascii="Verdana" w:hAnsi="Verdana"/>
          <w:sz w:val="16"/>
          <w:szCs w:val="16"/>
        </w:rPr>
        <w:t>. Sentencia de 19 de noviembre de 2019, párr. 86.</w:t>
      </w:r>
    </w:p>
  </w:footnote>
  <w:footnote w:id="50">
    <w:p w14:paraId="35D78C08" w14:textId="77777777" w:rsidR="002F1B04" w:rsidRPr="00AD47D0" w:rsidRDefault="002F1B04" w:rsidP="00551E7F">
      <w:pPr>
        <w:pStyle w:val="Textonotapie"/>
        <w:spacing w:before="120" w:after="120"/>
        <w:jc w:val="both"/>
        <w:rPr>
          <w:rFonts w:ascii="Verdana" w:hAnsi="Verdana"/>
          <w:sz w:val="16"/>
          <w:szCs w:val="16"/>
        </w:rPr>
      </w:pPr>
      <w:r w:rsidRPr="00AD47D0">
        <w:rPr>
          <w:rStyle w:val="Refdenotaalpie"/>
          <w:rFonts w:ascii="Verdana" w:hAnsi="Verdana"/>
          <w:sz w:val="16"/>
          <w:szCs w:val="16"/>
        </w:rPr>
        <w:footnoteRef/>
      </w:r>
      <w:r w:rsidRPr="00AD47D0">
        <w:rPr>
          <w:rFonts w:ascii="Verdana" w:hAnsi="Verdana"/>
          <w:sz w:val="16"/>
          <w:szCs w:val="16"/>
        </w:rPr>
        <w:t xml:space="preserve"> </w:t>
      </w:r>
      <w:r w:rsidRPr="00AD47D0">
        <w:rPr>
          <w:rFonts w:ascii="Verdana" w:hAnsi="Verdana"/>
          <w:sz w:val="16"/>
          <w:szCs w:val="16"/>
        </w:rPr>
        <w:tab/>
      </w:r>
      <w:r w:rsidRPr="00AD47D0">
        <w:rPr>
          <w:rFonts w:ascii="Verdana" w:hAnsi="Verdana"/>
          <w:i/>
          <w:sz w:val="16"/>
          <w:szCs w:val="16"/>
        </w:rPr>
        <w:t>Cfr.</w:t>
      </w:r>
      <w:r w:rsidRPr="00AD47D0">
        <w:rPr>
          <w:rFonts w:ascii="Verdana" w:hAnsi="Verdana"/>
          <w:sz w:val="16"/>
          <w:szCs w:val="16"/>
        </w:rPr>
        <w:t xml:space="preserve"> </w:t>
      </w:r>
      <w:r w:rsidRPr="00AD47D0">
        <w:rPr>
          <w:rFonts w:ascii="Verdana" w:hAnsi="Verdana"/>
          <w:i/>
          <w:sz w:val="16"/>
          <w:szCs w:val="16"/>
        </w:rPr>
        <w:t>Caso Díaz Loreto y otros Vs. Venezuela</w:t>
      </w:r>
      <w:r w:rsidRPr="00AD47D0">
        <w:rPr>
          <w:rFonts w:ascii="Verdana" w:hAnsi="Verdana"/>
          <w:sz w:val="16"/>
          <w:szCs w:val="16"/>
        </w:rPr>
        <w:t xml:space="preserve">. </w:t>
      </w:r>
      <w:r w:rsidRPr="00AD47D0">
        <w:rPr>
          <w:rFonts w:ascii="Verdana" w:hAnsi="Verdana"/>
          <w:i/>
          <w:sz w:val="16"/>
          <w:szCs w:val="16"/>
        </w:rPr>
        <w:t>Excepciones Preliminares, Fondo, Reparaciones y Costas</w:t>
      </w:r>
      <w:r w:rsidRPr="00AD47D0">
        <w:rPr>
          <w:rFonts w:ascii="Verdana" w:hAnsi="Verdana"/>
          <w:sz w:val="16"/>
          <w:szCs w:val="16"/>
        </w:rPr>
        <w:t>. Sentencia de 19 de noviembre de 2019, párr. 14.</w:t>
      </w:r>
    </w:p>
  </w:footnote>
  <w:footnote w:id="51">
    <w:p w14:paraId="2923D4D1" w14:textId="77777777" w:rsidR="002F1B04" w:rsidRPr="00AD47D0" w:rsidRDefault="002F1B04" w:rsidP="00551E7F">
      <w:pPr>
        <w:pStyle w:val="Textonotapie"/>
        <w:spacing w:before="120" w:after="120"/>
        <w:jc w:val="both"/>
        <w:rPr>
          <w:rFonts w:ascii="Verdana" w:hAnsi="Verdana"/>
          <w:sz w:val="16"/>
          <w:szCs w:val="16"/>
        </w:rPr>
      </w:pPr>
      <w:r w:rsidRPr="00AD47D0">
        <w:rPr>
          <w:rStyle w:val="Refdenotaalpie"/>
          <w:rFonts w:ascii="Verdana" w:hAnsi="Verdana"/>
          <w:sz w:val="16"/>
          <w:szCs w:val="16"/>
        </w:rPr>
        <w:footnoteRef/>
      </w:r>
      <w:r w:rsidRPr="00AD47D0">
        <w:rPr>
          <w:rFonts w:ascii="Verdana" w:hAnsi="Verdana"/>
          <w:sz w:val="16"/>
          <w:szCs w:val="16"/>
        </w:rPr>
        <w:t xml:space="preserve"> </w:t>
      </w:r>
      <w:r w:rsidRPr="00AD47D0">
        <w:rPr>
          <w:rFonts w:ascii="Verdana" w:hAnsi="Verdana"/>
          <w:sz w:val="16"/>
          <w:szCs w:val="16"/>
        </w:rPr>
        <w:tab/>
      </w:r>
      <w:r w:rsidRPr="00AD47D0">
        <w:rPr>
          <w:rFonts w:ascii="Verdana" w:hAnsi="Verdana"/>
          <w:i/>
          <w:sz w:val="16"/>
          <w:szCs w:val="16"/>
        </w:rPr>
        <w:t>Cfr.</w:t>
      </w:r>
      <w:r w:rsidRPr="00AD47D0">
        <w:rPr>
          <w:rFonts w:ascii="Verdana" w:hAnsi="Verdana"/>
          <w:sz w:val="16"/>
          <w:szCs w:val="16"/>
        </w:rPr>
        <w:t xml:space="preserve"> </w:t>
      </w:r>
      <w:r w:rsidRPr="00AD47D0">
        <w:rPr>
          <w:rFonts w:ascii="Verdana" w:hAnsi="Verdana"/>
          <w:i/>
          <w:sz w:val="16"/>
          <w:szCs w:val="16"/>
        </w:rPr>
        <w:t>Caso Díaz Loreto y otros Vs. Venezuela</w:t>
      </w:r>
      <w:r w:rsidRPr="00AD47D0">
        <w:rPr>
          <w:rFonts w:ascii="Verdana" w:hAnsi="Verdana"/>
          <w:sz w:val="16"/>
          <w:szCs w:val="16"/>
        </w:rPr>
        <w:t xml:space="preserve">. </w:t>
      </w:r>
      <w:r w:rsidRPr="00AD47D0">
        <w:rPr>
          <w:rFonts w:ascii="Verdana" w:hAnsi="Verdana"/>
          <w:i/>
          <w:sz w:val="16"/>
          <w:szCs w:val="16"/>
        </w:rPr>
        <w:t>Excepciones Preliminares, Fondo, Reparaciones y Costas</w:t>
      </w:r>
      <w:r w:rsidRPr="00AD47D0">
        <w:rPr>
          <w:rFonts w:ascii="Verdana" w:hAnsi="Verdana"/>
          <w:sz w:val="16"/>
          <w:szCs w:val="16"/>
        </w:rPr>
        <w:t>. Sentencia de 19 de noviembre de 2019, párr. 55.</w:t>
      </w:r>
    </w:p>
  </w:footnote>
  <w:footnote w:id="52">
    <w:p w14:paraId="5EA81B75" w14:textId="77777777" w:rsidR="002F1B04" w:rsidRPr="00AD47D0" w:rsidRDefault="002F1B04" w:rsidP="00551E7F">
      <w:pPr>
        <w:pStyle w:val="Textonotapie"/>
        <w:spacing w:before="120" w:after="120"/>
        <w:jc w:val="both"/>
        <w:rPr>
          <w:rFonts w:ascii="Verdana" w:hAnsi="Verdana"/>
          <w:sz w:val="16"/>
          <w:szCs w:val="16"/>
        </w:rPr>
      </w:pPr>
      <w:r w:rsidRPr="00AD47D0">
        <w:rPr>
          <w:rStyle w:val="Refdenotaalpie"/>
          <w:rFonts w:ascii="Verdana" w:hAnsi="Verdana"/>
          <w:sz w:val="16"/>
          <w:szCs w:val="16"/>
        </w:rPr>
        <w:footnoteRef/>
      </w:r>
      <w:r w:rsidRPr="00AD47D0">
        <w:rPr>
          <w:rFonts w:ascii="Verdana" w:hAnsi="Verdana"/>
          <w:sz w:val="16"/>
          <w:szCs w:val="16"/>
        </w:rPr>
        <w:t xml:space="preserve"> </w:t>
      </w:r>
      <w:r w:rsidRPr="00AD47D0">
        <w:rPr>
          <w:rFonts w:ascii="Verdana" w:hAnsi="Verdana"/>
          <w:sz w:val="16"/>
          <w:szCs w:val="16"/>
        </w:rPr>
        <w:tab/>
      </w:r>
      <w:r w:rsidRPr="00AD47D0">
        <w:rPr>
          <w:rFonts w:ascii="Verdana" w:hAnsi="Verdana"/>
          <w:i/>
          <w:sz w:val="16"/>
          <w:szCs w:val="16"/>
        </w:rPr>
        <w:t>Cfr.</w:t>
      </w:r>
      <w:r w:rsidRPr="00AD47D0">
        <w:rPr>
          <w:rFonts w:ascii="Verdana" w:hAnsi="Verdana"/>
          <w:sz w:val="16"/>
          <w:szCs w:val="16"/>
        </w:rPr>
        <w:t xml:space="preserve"> </w:t>
      </w:r>
      <w:r w:rsidRPr="00AD47D0">
        <w:rPr>
          <w:rFonts w:ascii="Verdana" w:hAnsi="Verdana"/>
          <w:i/>
          <w:sz w:val="16"/>
          <w:szCs w:val="16"/>
        </w:rPr>
        <w:t>Caso Díaz Loreto y otros Vs. Venezuela</w:t>
      </w:r>
      <w:r w:rsidRPr="00AD47D0">
        <w:rPr>
          <w:rFonts w:ascii="Verdana" w:hAnsi="Verdana"/>
          <w:sz w:val="16"/>
          <w:szCs w:val="16"/>
        </w:rPr>
        <w:t xml:space="preserve">. </w:t>
      </w:r>
      <w:r w:rsidRPr="00AD47D0">
        <w:rPr>
          <w:rFonts w:ascii="Verdana" w:hAnsi="Verdana"/>
          <w:i/>
          <w:sz w:val="16"/>
          <w:szCs w:val="16"/>
        </w:rPr>
        <w:t>Excepciones Preliminares, Fondo, Reparaciones y Costas</w:t>
      </w:r>
      <w:r w:rsidRPr="00AD47D0">
        <w:rPr>
          <w:rFonts w:ascii="Verdana" w:hAnsi="Verdana"/>
          <w:sz w:val="16"/>
          <w:szCs w:val="16"/>
        </w:rPr>
        <w:t>. Sentencia de 19 de noviembre de 2019, párr. 82.</w:t>
      </w:r>
    </w:p>
  </w:footnote>
  <w:footnote w:id="53">
    <w:p w14:paraId="723246EB" w14:textId="77777777" w:rsidR="002F1B04" w:rsidRPr="00AD47D0" w:rsidRDefault="002F1B04" w:rsidP="00551E7F">
      <w:pPr>
        <w:pStyle w:val="Textonotapie"/>
        <w:spacing w:before="120" w:after="120"/>
        <w:jc w:val="both"/>
        <w:rPr>
          <w:rFonts w:ascii="Verdana" w:hAnsi="Verdana"/>
          <w:sz w:val="16"/>
          <w:szCs w:val="16"/>
        </w:rPr>
      </w:pPr>
      <w:r w:rsidRPr="00AD47D0">
        <w:rPr>
          <w:rStyle w:val="Refdenotaalpie"/>
          <w:rFonts w:ascii="Verdana" w:hAnsi="Verdana"/>
          <w:sz w:val="16"/>
          <w:szCs w:val="16"/>
        </w:rPr>
        <w:footnoteRef/>
      </w:r>
      <w:r w:rsidRPr="00AD47D0">
        <w:rPr>
          <w:rFonts w:ascii="Verdana" w:hAnsi="Verdana"/>
          <w:sz w:val="16"/>
          <w:szCs w:val="16"/>
        </w:rPr>
        <w:t xml:space="preserve"> </w:t>
      </w:r>
      <w:r w:rsidRPr="00AD47D0">
        <w:rPr>
          <w:rFonts w:ascii="Verdana" w:hAnsi="Verdana"/>
          <w:sz w:val="16"/>
          <w:szCs w:val="16"/>
        </w:rPr>
        <w:tab/>
      </w:r>
      <w:r w:rsidRPr="00AD47D0">
        <w:rPr>
          <w:rFonts w:ascii="Verdana" w:hAnsi="Verdana"/>
          <w:i/>
          <w:sz w:val="16"/>
          <w:szCs w:val="16"/>
        </w:rPr>
        <w:t>Cfr.</w:t>
      </w:r>
      <w:r w:rsidRPr="00AD47D0">
        <w:rPr>
          <w:rFonts w:ascii="Verdana" w:hAnsi="Verdana"/>
          <w:sz w:val="16"/>
          <w:szCs w:val="16"/>
        </w:rPr>
        <w:t xml:space="preserve"> </w:t>
      </w:r>
      <w:r w:rsidRPr="00AD47D0">
        <w:rPr>
          <w:rFonts w:ascii="Verdana" w:hAnsi="Verdana"/>
          <w:i/>
          <w:sz w:val="16"/>
          <w:szCs w:val="16"/>
        </w:rPr>
        <w:t>Caso Díaz Loreto y otros Vs. Venezuela</w:t>
      </w:r>
      <w:r w:rsidRPr="00AD47D0">
        <w:rPr>
          <w:rFonts w:ascii="Verdana" w:hAnsi="Verdana"/>
          <w:sz w:val="16"/>
          <w:szCs w:val="16"/>
        </w:rPr>
        <w:t xml:space="preserve">. </w:t>
      </w:r>
      <w:r w:rsidRPr="00AD47D0">
        <w:rPr>
          <w:rFonts w:ascii="Verdana" w:hAnsi="Verdana"/>
          <w:i/>
          <w:sz w:val="16"/>
          <w:szCs w:val="16"/>
        </w:rPr>
        <w:t>Excepciones Preliminares, Fondo, Reparaciones y Costas</w:t>
      </w:r>
      <w:r w:rsidRPr="00AD47D0">
        <w:rPr>
          <w:rFonts w:ascii="Verdana" w:hAnsi="Verdana"/>
          <w:sz w:val="16"/>
          <w:szCs w:val="16"/>
        </w:rPr>
        <w:t>. Sentencia de 1</w:t>
      </w:r>
      <w:r w:rsidR="00FE7E7F" w:rsidRPr="00AD47D0">
        <w:rPr>
          <w:rFonts w:ascii="Verdana" w:hAnsi="Verdana"/>
          <w:sz w:val="16"/>
          <w:szCs w:val="16"/>
        </w:rPr>
        <w:t>9 de noviembre de 2019, párr. 82</w:t>
      </w:r>
      <w:r w:rsidRPr="00AD47D0">
        <w:rPr>
          <w:rFonts w:ascii="Verdana" w:hAnsi="Verdana"/>
          <w:sz w:val="16"/>
          <w:szCs w:val="16"/>
        </w:rPr>
        <w:t>.</w:t>
      </w:r>
    </w:p>
  </w:footnote>
  <w:footnote w:id="54">
    <w:p w14:paraId="0DD7A966" w14:textId="77777777" w:rsidR="002F1B04" w:rsidRPr="00AD47D0" w:rsidRDefault="002F1B04" w:rsidP="00551E7F">
      <w:pPr>
        <w:pStyle w:val="Textonotapie"/>
        <w:spacing w:before="120" w:after="120"/>
        <w:jc w:val="both"/>
        <w:rPr>
          <w:rFonts w:ascii="Verdana" w:hAnsi="Verdana"/>
          <w:sz w:val="16"/>
          <w:szCs w:val="16"/>
        </w:rPr>
      </w:pPr>
      <w:r w:rsidRPr="00AD47D0">
        <w:rPr>
          <w:rStyle w:val="Refdenotaalpie"/>
          <w:rFonts w:ascii="Verdana" w:hAnsi="Verdana"/>
          <w:sz w:val="16"/>
          <w:szCs w:val="16"/>
        </w:rPr>
        <w:footnoteRef/>
      </w:r>
      <w:r w:rsidRPr="00AD47D0">
        <w:rPr>
          <w:rFonts w:ascii="Verdana" w:hAnsi="Verdana"/>
          <w:sz w:val="16"/>
          <w:szCs w:val="16"/>
        </w:rPr>
        <w:t xml:space="preserve"> </w:t>
      </w:r>
      <w:r w:rsidRPr="00AD47D0">
        <w:rPr>
          <w:rFonts w:ascii="Verdana" w:hAnsi="Verdana"/>
          <w:sz w:val="16"/>
          <w:szCs w:val="16"/>
        </w:rPr>
        <w:tab/>
      </w:r>
      <w:r w:rsidRPr="00AD47D0">
        <w:rPr>
          <w:rFonts w:ascii="Verdana" w:hAnsi="Verdana"/>
          <w:i/>
          <w:sz w:val="16"/>
          <w:szCs w:val="16"/>
        </w:rPr>
        <w:t>Cfr.</w:t>
      </w:r>
      <w:r w:rsidRPr="00AD47D0">
        <w:rPr>
          <w:rFonts w:ascii="Verdana" w:hAnsi="Verdana"/>
          <w:sz w:val="16"/>
          <w:szCs w:val="16"/>
        </w:rPr>
        <w:t xml:space="preserve"> </w:t>
      </w:r>
      <w:r w:rsidRPr="00AD47D0">
        <w:rPr>
          <w:rFonts w:ascii="Verdana" w:hAnsi="Verdana"/>
          <w:i/>
          <w:sz w:val="16"/>
          <w:szCs w:val="16"/>
        </w:rPr>
        <w:t>Caso Díaz Loreto y otros Vs. Venezuela</w:t>
      </w:r>
      <w:r w:rsidRPr="00AD47D0">
        <w:rPr>
          <w:rFonts w:ascii="Verdana" w:hAnsi="Verdana"/>
          <w:sz w:val="16"/>
          <w:szCs w:val="16"/>
        </w:rPr>
        <w:t xml:space="preserve">. </w:t>
      </w:r>
      <w:r w:rsidRPr="00AD47D0">
        <w:rPr>
          <w:rFonts w:ascii="Verdana" w:hAnsi="Verdana"/>
          <w:i/>
          <w:sz w:val="16"/>
          <w:szCs w:val="16"/>
        </w:rPr>
        <w:t>Excepciones Preliminares, Fondo, Reparaciones y Costas</w:t>
      </w:r>
      <w:r w:rsidRPr="00AD47D0">
        <w:rPr>
          <w:rFonts w:ascii="Verdana" w:hAnsi="Verdana"/>
          <w:sz w:val="16"/>
          <w:szCs w:val="16"/>
        </w:rPr>
        <w:t>. Sentencia de 19 de noviembre de 2019, párr. 81.</w:t>
      </w:r>
    </w:p>
  </w:footnote>
  <w:footnote w:id="55">
    <w:p w14:paraId="258A63A1" w14:textId="77777777" w:rsidR="002F1B04" w:rsidRPr="00AD47D0" w:rsidRDefault="002F1B04" w:rsidP="00551E7F">
      <w:pPr>
        <w:pStyle w:val="Textonotapie"/>
        <w:spacing w:before="120" w:after="120"/>
        <w:jc w:val="both"/>
        <w:rPr>
          <w:rFonts w:ascii="Verdana" w:hAnsi="Verdana"/>
          <w:sz w:val="16"/>
          <w:szCs w:val="16"/>
        </w:rPr>
      </w:pPr>
      <w:r w:rsidRPr="00AD47D0">
        <w:rPr>
          <w:rStyle w:val="Refdenotaalpie"/>
          <w:rFonts w:ascii="Verdana" w:hAnsi="Verdana"/>
          <w:sz w:val="16"/>
          <w:szCs w:val="16"/>
        </w:rPr>
        <w:footnoteRef/>
      </w:r>
      <w:r w:rsidRPr="00AD47D0">
        <w:rPr>
          <w:rFonts w:ascii="Verdana" w:hAnsi="Verdana"/>
          <w:sz w:val="16"/>
          <w:szCs w:val="16"/>
        </w:rPr>
        <w:t xml:space="preserve"> </w:t>
      </w:r>
      <w:r w:rsidRPr="00AD47D0">
        <w:rPr>
          <w:rFonts w:ascii="Verdana" w:hAnsi="Verdana"/>
          <w:sz w:val="16"/>
          <w:szCs w:val="16"/>
        </w:rPr>
        <w:tab/>
      </w:r>
      <w:r w:rsidRPr="00AD47D0">
        <w:rPr>
          <w:rFonts w:ascii="Verdana" w:hAnsi="Verdana"/>
          <w:i/>
          <w:sz w:val="16"/>
          <w:szCs w:val="16"/>
        </w:rPr>
        <w:t>Cfr.</w:t>
      </w:r>
      <w:r w:rsidRPr="00AD47D0">
        <w:rPr>
          <w:rFonts w:ascii="Verdana" w:hAnsi="Verdana"/>
          <w:sz w:val="16"/>
          <w:szCs w:val="16"/>
        </w:rPr>
        <w:t xml:space="preserve"> </w:t>
      </w:r>
      <w:r w:rsidRPr="00AD47D0">
        <w:rPr>
          <w:rFonts w:ascii="Verdana" w:hAnsi="Verdana"/>
          <w:i/>
          <w:sz w:val="16"/>
          <w:szCs w:val="16"/>
        </w:rPr>
        <w:t>Caso Díaz Loreto y otros Vs. Venezuela</w:t>
      </w:r>
      <w:r w:rsidRPr="00AD47D0">
        <w:rPr>
          <w:rFonts w:ascii="Verdana" w:hAnsi="Verdana"/>
          <w:sz w:val="16"/>
          <w:szCs w:val="16"/>
        </w:rPr>
        <w:t xml:space="preserve">. </w:t>
      </w:r>
      <w:r w:rsidRPr="00AD47D0">
        <w:rPr>
          <w:rFonts w:ascii="Verdana" w:hAnsi="Verdana"/>
          <w:i/>
          <w:sz w:val="16"/>
          <w:szCs w:val="16"/>
        </w:rPr>
        <w:t>Excepciones Preliminares, Fondo, Reparaciones y Costas</w:t>
      </w:r>
      <w:r w:rsidRPr="00AD47D0">
        <w:rPr>
          <w:rFonts w:ascii="Verdana" w:hAnsi="Verdana"/>
          <w:sz w:val="16"/>
          <w:szCs w:val="16"/>
        </w:rPr>
        <w:t>. Sentencia de 1</w:t>
      </w:r>
      <w:r w:rsidR="006D0B04" w:rsidRPr="00AD47D0">
        <w:rPr>
          <w:rFonts w:ascii="Verdana" w:hAnsi="Verdana"/>
          <w:sz w:val="16"/>
          <w:szCs w:val="16"/>
        </w:rPr>
        <w:t>9 de noviembre de 2019, párr. 110</w:t>
      </w:r>
      <w:r w:rsidRPr="00AD47D0">
        <w:rPr>
          <w:rFonts w:ascii="Verdana" w:hAnsi="Verdana"/>
          <w:sz w:val="16"/>
          <w:szCs w:val="16"/>
        </w:rPr>
        <w:t>.</w:t>
      </w:r>
    </w:p>
  </w:footnote>
  <w:footnote w:id="56">
    <w:p w14:paraId="491CEC75" w14:textId="77777777" w:rsidR="002F1B04" w:rsidRPr="00AD47D0" w:rsidRDefault="002F1B04" w:rsidP="00551E7F">
      <w:pPr>
        <w:pStyle w:val="Textonotapie"/>
        <w:spacing w:before="120" w:after="120"/>
        <w:jc w:val="both"/>
        <w:rPr>
          <w:rFonts w:ascii="Verdana" w:hAnsi="Verdana"/>
          <w:sz w:val="16"/>
          <w:szCs w:val="16"/>
        </w:rPr>
      </w:pPr>
      <w:r w:rsidRPr="00AD47D0">
        <w:rPr>
          <w:rStyle w:val="Refdenotaalpie"/>
          <w:rFonts w:ascii="Verdana" w:hAnsi="Verdana"/>
          <w:sz w:val="16"/>
          <w:szCs w:val="16"/>
        </w:rPr>
        <w:footnoteRef/>
      </w:r>
      <w:r w:rsidRPr="00AD47D0">
        <w:rPr>
          <w:rFonts w:ascii="Verdana" w:hAnsi="Verdana"/>
          <w:sz w:val="16"/>
          <w:szCs w:val="16"/>
        </w:rPr>
        <w:t xml:space="preserve"> </w:t>
      </w:r>
      <w:r w:rsidRPr="00AD47D0">
        <w:rPr>
          <w:rFonts w:ascii="Verdana" w:hAnsi="Verdana"/>
          <w:sz w:val="16"/>
          <w:szCs w:val="16"/>
        </w:rPr>
        <w:tab/>
      </w:r>
      <w:r w:rsidRPr="00AD47D0">
        <w:rPr>
          <w:rFonts w:ascii="Verdana" w:hAnsi="Verdana"/>
          <w:i/>
          <w:sz w:val="16"/>
          <w:szCs w:val="16"/>
        </w:rPr>
        <w:t>Cfr.</w:t>
      </w:r>
      <w:r w:rsidRPr="00AD47D0">
        <w:rPr>
          <w:rFonts w:ascii="Verdana" w:hAnsi="Verdana"/>
          <w:sz w:val="16"/>
          <w:szCs w:val="16"/>
        </w:rPr>
        <w:t xml:space="preserve"> </w:t>
      </w:r>
      <w:r w:rsidRPr="00AD47D0">
        <w:rPr>
          <w:rFonts w:ascii="Verdana" w:hAnsi="Verdana"/>
          <w:i/>
          <w:sz w:val="16"/>
          <w:szCs w:val="16"/>
        </w:rPr>
        <w:t>Caso Díaz Loreto y otros Vs. Venezuela</w:t>
      </w:r>
      <w:r w:rsidRPr="00AD47D0">
        <w:rPr>
          <w:rFonts w:ascii="Verdana" w:hAnsi="Verdana"/>
          <w:sz w:val="16"/>
          <w:szCs w:val="16"/>
        </w:rPr>
        <w:t xml:space="preserve">. </w:t>
      </w:r>
      <w:r w:rsidRPr="00AD47D0">
        <w:rPr>
          <w:rFonts w:ascii="Verdana" w:hAnsi="Verdana"/>
          <w:i/>
          <w:sz w:val="16"/>
          <w:szCs w:val="16"/>
        </w:rPr>
        <w:t>Excepciones Preliminares, Fondo, Reparaciones y Costas</w:t>
      </w:r>
      <w:r w:rsidRPr="00AD47D0">
        <w:rPr>
          <w:rFonts w:ascii="Verdana" w:hAnsi="Verdana"/>
          <w:sz w:val="16"/>
          <w:szCs w:val="16"/>
        </w:rPr>
        <w:t>. Sentencia de 19 de noviembre de 2019, párr. 88.</w:t>
      </w:r>
    </w:p>
  </w:footnote>
  <w:footnote w:id="57">
    <w:p w14:paraId="75A81D97" w14:textId="77777777" w:rsidR="002F1B04" w:rsidRPr="00AD47D0" w:rsidRDefault="002F1B04" w:rsidP="00551E7F">
      <w:pPr>
        <w:pStyle w:val="Textonotapie"/>
        <w:spacing w:before="120" w:after="120"/>
        <w:jc w:val="both"/>
        <w:rPr>
          <w:rFonts w:ascii="Verdana" w:hAnsi="Verdana"/>
          <w:sz w:val="16"/>
          <w:szCs w:val="16"/>
        </w:rPr>
      </w:pPr>
      <w:r w:rsidRPr="00AD47D0">
        <w:rPr>
          <w:rStyle w:val="Refdenotaalpie"/>
          <w:rFonts w:ascii="Verdana" w:hAnsi="Verdana"/>
          <w:sz w:val="16"/>
          <w:szCs w:val="16"/>
        </w:rPr>
        <w:footnoteRef/>
      </w:r>
      <w:r w:rsidRPr="00AD47D0">
        <w:rPr>
          <w:rFonts w:ascii="Verdana" w:hAnsi="Verdana"/>
          <w:sz w:val="16"/>
          <w:szCs w:val="16"/>
        </w:rPr>
        <w:t xml:space="preserve"> </w:t>
      </w:r>
      <w:r w:rsidRPr="00AD47D0">
        <w:rPr>
          <w:rFonts w:ascii="Verdana" w:hAnsi="Verdana"/>
          <w:sz w:val="16"/>
          <w:szCs w:val="16"/>
        </w:rPr>
        <w:tab/>
      </w:r>
      <w:r w:rsidRPr="00AD47D0">
        <w:rPr>
          <w:rFonts w:ascii="Verdana" w:hAnsi="Verdana"/>
          <w:i/>
          <w:sz w:val="16"/>
          <w:szCs w:val="16"/>
        </w:rPr>
        <w:t>Cfr.</w:t>
      </w:r>
      <w:r w:rsidRPr="00AD47D0">
        <w:rPr>
          <w:rFonts w:ascii="Verdana" w:hAnsi="Verdana"/>
          <w:sz w:val="16"/>
          <w:szCs w:val="16"/>
        </w:rPr>
        <w:t xml:space="preserve"> </w:t>
      </w:r>
      <w:r w:rsidRPr="00AD47D0">
        <w:rPr>
          <w:rFonts w:ascii="Verdana" w:hAnsi="Verdana"/>
          <w:i/>
          <w:sz w:val="16"/>
          <w:szCs w:val="16"/>
        </w:rPr>
        <w:t>Caso Díaz Loreto y otros Vs. Venezuela</w:t>
      </w:r>
      <w:r w:rsidRPr="00AD47D0">
        <w:rPr>
          <w:rFonts w:ascii="Verdana" w:hAnsi="Verdana"/>
          <w:sz w:val="16"/>
          <w:szCs w:val="16"/>
        </w:rPr>
        <w:t xml:space="preserve">. </w:t>
      </w:r>
      <w:r w:rsidRPr="00AD47D0">
        <w:rPr>
          <w:rFonts w:ascii="Verdana" w:hAnsi="Verdana"/>
          <w:i/>
          <w:sz w:val="16"/>
          <w:szCs w:val="16"/>
        </w:rPr>
        <w:t>Excepciones Preliminares, Fondo, Reparaciones y Costas</w:t>
      </w:r>
      <w:r w:rsidRPr="00AD47D0">
        <w:rPr>
          <w:rFonts w:ascii="Verdana" w:hAnsi="Verdana"/>
          <w:sz w:val="16"/>
          <w:szCs w:val="16"/>
        </w:rPr>
        <w:t>. Sentencia de 19 de noviembre de 2019, párr. 86.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60F80"/>
    <w:multiLevelType w:val="hybridMultilevel"/>
    <w:tmpl w:val="14902B12"/>
    <w:lvl w:ilvl="0" w:tplc="1F2423EA">
      <w:start w:val="8"/>
      <w:numFmt w:val="decimal"/>
      <w:lvlText w:val="%1."/>
      <w:lvlJc w:val="left"/>
      <w:pPr>
        <w:ind w:left="3900" w:hanging="360"/>
      </w:pPr>
      <w:rPr>
        <w:rFonts w:hint="default"/>
      </w:rPr>
    </w:lvl>
    <w:lvl w:ilvl="1" w:tplc="040A0019" w:tentative="1">
      <w:start w:val="1"/>
      <w:numFmt w:val="lowerLetter"/>
      <w:lvlText w:val="%2."/>
      <w:lvlJc w:val="left"/>
      <w:pPr>
        <w:ind w:left="4620" w:hanging="360"/>
      </w:pPr>
    </w:lvl>
    <w:lvl w:ilvl="2" w:tplc="040A001B" w:tentative="1">
      <w:start w:val="1"/>
      <w:numFmt w:val="lowerRoman"/>
      <w:lvlText w:val="%3."/>
      <w:lvlJc w:val="right"/>
      <w:pPr>
        <w:ind w:left="5340" w:hanging="180"/>
      </w:pPr>
    </w:lvl>
    <w:lvl w:ilvl="3" w:tplc="040A000F">
      <w:start w:val="1"/>
      <w:numFmt w:val="decimal"/>
      <w:lvlText w:val="%4."/>
      <w:lvlJc w:val="left"/>
      <w:pPr>
        <w:ind w:left="6060" w:hanging="360"/>
      </w:pPr>
    </w:lvl>
    <w:lvl w:ilvl="4" w:tplc="040A0019" w:tentative="1">
      <w:start w:val="1"/>
      <w:numFmt w:val="lowerLetter"/>
      <w:lvlText w:val="%5."/>
      <w:lvlJc w:val="left"/>
      <w:pPr>
        <w:ind w:left="6780" w:hanging="360"/>
      </w:pPr>
    </w:lvl>
    <w:lvl w:ilvl="5" w:tplc="040A001B" w:tentative="1">
      <w:start w:val="1"/>
      <w:numFmt w:val="lowerRoman"/>
      <w:lvlText w:val="%6."/>
      <w:lvlJc w:val="right"/>
      <w:pPr>
        <w:ind w:left="7500" w:hanging="180"/>
      </w:pPr>
    </w:lvl>
    <w:lvl w:ilvl="6" w:tplc="040A000F" w:tentative="1">
      <w:start w:val="1"/>
      <w:numFmt w:val="decimal"/>
      <w:lvlText w:val="%7."/>
      <w:lvlJc w:val="left"/>
      <w:pPr>
        <w:ind w:left="8220" w:hanging="360"/>
      </w:pPr>
    </w:lvl>
    <w:lvl w:ilvl="7" w:tplc="040A0019" w:tentative="1">
      <w:start w:val="1"/>
      <w:numFmt w:val="lowerLetter"/>
      <w:lvlText w:val="%8."/>
      <w:lvlJc w:val="left"/>
      <w:pPr>
        <w:ind w:left="8940" w:hanging="360"/>
      </w:pPr>
    </w:lvl>
    <w:lvl w:ilvl="8" w:tplc="040A001B" w:tentative="1">
      <w:start w:val="1"/>
      <w:numFmt w:val="lowerRoman"/>
      <w:lvlText w:val="%9."/>
      <w:lvlJc w:val="right"/>
      <w:pPr>
        <w:ind w:left="9660" w:hanging="180"/>
      </w:pPr>
    </w:lvl>
  </w:abstractNum>
  <w:abstractNum w:abstractNumId="1" w15:restartNumberingAfterBreak="0">
    <w:nsid w:val="185D574E"/>
    <w:multiLevelType w:val="hybridMultilevel"/>
    <w:tmpl w:val="9A58A0FA"/>
    <w:lvl w:ilvl="0" w:tplc="140A0015">
      <w:start w:val="1"/>
      <w:numFmt w:val="upperLetter"/>
      <w:lvlText w:val="%1."/>
      <w:lvlJc w:val="left"/>
      <w:pPr>
        <w:ind w:left="720" w:hanging="360"/>
      </w:pPr>
      <w:rPr>
        <w:rFonts w:hint="default"/>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256AC822">
      <w:start w:val="2"/>
      <w:numFmt w:val="decimal"/>
      <w:lvlText w:val="%4."/>
      <w:lvlJc w:val="left"/>
      <w:pPr>
        <w:ind w:left="2880" w:hanging="360"/>
      </w:pPr>
      <w:rPr>
        <w:rFonts w:hint="default"/>
      </w:r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313B63D6"/>
    <w:multiLevelType w:val="hybridMultilevel"/>
    <w:tmpl w:val="836A1580"/>
    <w:lvl w:ilvl="0" w:tplc="396E958C">
      <w:start w:val="22"/>
      <w:numFmt w:val="decimal"/>
      <w:lvlText w:val="%1."/>
      <w:lvlJc w:val="left"/>
      <w:pPr>
        <w:ind w:left="1068" w:hanging="360"/>
      </w:pPr>
      <w:rPr>
        <w:rFonts w:cstheme="minorBidi"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3" w15:restartNumberingAfterBreak="0">
    <w:nsid w:val="4EAF44EF"/>
    <w:multiLevelType w:val="hybridMultilevel"/>
    <w:tmpl w:val="3E5CA7A0"/>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256AC822">
      <w:start w:val="2"/>
      <w:numFmt w:val="decimal"/>
      <w:lvlText w:val="%4."/>
      <w:lvlJc w:val="left"/>
      <w:pPr>
        <w:ind w:left="2880" w:hanging="360"/>
      </w:pPr>
      <w:rPr>
        <w:rFonts w:hint="default"/>
      </w:rPr>
    </w:lvl>
    <w:lvl w:ilvl="4" w:tplc="140A0019">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5C5C0D26"/>
    <w:multiLevelType w:val="hybridMultilevel"/>
    <w:tmpl w:val="49E0991C"/>
    <w:lvl w:ilvl="0" w:tplc="140A0019">
      <w:start w:val="1"/>
      <w:numFmt w:val="lowerLetter"/>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5" w15:restartNumberingAfterBreak="0">
    <w:nsid w:val="66F349B2"/>
    <w:multiLevelType w:val="hybridMultilevel"/>
    <w:tmpl w:val="508A2292"/>
    <w:lvl w:ilvl="0" w:tplc="140A000F">
      <w:start w:val="5"/>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3196"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6B073B2F"/>
    <w:multiLevelType w:val="hybridMultilevel"/>
    <w:tmpl w:val="9A58A0FA"/>
    <w:lvl w:ilvl="0" w:tplc="140A0015">
      <w:start w:val="1"/>
      <w:numFmt w:val="upperLetter"/>
      <w:lvlText w:val="%1."/>
      <w:lvlJc w:val="left"/>
      <w:pPr>
        <w:ind w:left="720" w:hanging="360"/>
      </w:pPr>
      <w:rPr>
        <w:rFonts w:hint="default"/>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256AC822">
      <w:start w:val="2"/>
      <w:numFmt w:val="decimal"/>
      <w:lvlText w:val="%4."/>
      <w:lvlJc w:val="left"/>
      <w:pPr>
        <w:ind w:left="2880" w:hanging="360"/>
      </w:pPr>
      <w:rPr>
        <w:rFonts w:hint="default"/>
      </w:r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77B"/>
    <w:rsid w:val="00010BC5"/>
    <w:rsid w:val="00015A88"/>
    <w:rsid w:val="00023FCA"/>
    <w:rsid w:val="00032107"/>
    <w:rsid w:val="00045D2B"/>
    <w:rsid w:val="00057239"/>
    <w:rsid w:val="0007162E"/>
    <w:rsid w:val="00071A82"/>
    <w:rsid w:val="000A3DE2"/>
    <w:rsid w:val="000B5BB5"/>
    <w:rsid w:val="000C5A09"/>
    <w:rsid w:val="000E1904"/>
    <w:rsid w:val="000E35E3"/>
    <w:rsid w:val="000E5B81"/>
    <w:rsid w:val="000E6639"/>
    <w:rsid w:val="000E68E2"/>
    <w:rsid w:val="001252C7"/>
    <w:rsid w:val="001616FF"/>
    <w:rsid w:val="00163076"/>
    <w:rsid w:val="00186EAD"/>
    <w:rsid w:val="00195317"/>
    <w:rsid w:val="001A3AD8"/>
    <w:rsid w:val="001B260C"/>
    <w:rsid w:val="001D0EE9"/>
    <w:rsid w:val="001D16F7"/>
    <w:rsid w:val="001D25F3"/>
    <w:rsid w:val="001D7D98"/>
    <w:rsid w:val="001F4208"/>
    <w:rsid w:val="002014AE"/>
    <w:rsid w:val="00210BBC"/>
    <w:rsid w:val="00211279"/>
    <w:rsid w:val="00221C5A"/>
    <w:rsid w:val="00226784"/>
    <w:rsid w:val="00234007"/>
    <w:rsid w:val="00254D53"/>
    <w:rsid w:val="00271F36"/>
    <w:rsid w:val="00282E41"/>
    <w:rsid w:val="00284839"/>
    <w:rsid w:val="002910DF"/>
    <w:rsid w:val="002C2865"/>
    <w:rsid w:val="002E2D2C"/>
    <w:rsid w:val="002E3700"/>
    <w:rsid w:val="002F1B04"/>
    <w:rsid w:val="002F4ECB"/>
    <w:rsid w:val="00316E10"/>
    <w:rsid w:val="0031775F"/>
    <w:rsid w:val="00326B35"/>
    <w:rsid w:val="0033599F"/>
    <w:rsid w:val="00344B87"/>
    <w:rsid w:val="00351A86"/>
    <w:rsid w:val="00351CE4"/>
    <w:rsid w:val="003532E3"/>
    <w:rsid w:val="00357289"/>
    <w:rsid w:val="003574A1"/>
    <w:rsid w:val="00376BE7"/>
    <w:rsid w:val="003924B6"/>
    <w:rsid w:val="003C10E4"/>
    <w:rsid w:val="003C55A6"/>
    <w:rsid w:val="003C55F6"/>
    <w:rsid w:val="003C58C6"/>
    <w:rsid w:val="003D7EF0"/>
    <w:rsid w:val="003E415D"/>
    <w:rsid w:val="003F1F27"/>
    <w:rsid w:val="004403B0"/>
    <w:rsid w:val="00455387"/>
    <w:rsid w:val="004C0DAA"/>
    <w:rsid w:val="004F1D30"/>
    <w:rsid w:val="00507FBF"/>
    <w:rsid w:val="005375F8"/>
    <w:rsid w:val="00551E7F"/>
    <w:rsid w:val="00563ECD"/>
    <w:rsid w:val="005654DA"/>
    <w:rsid w:val="00576CBF"/>
    <w:rsid w:val="005933B8"/>
    <w:rsid w:val="00593D20"/>
    <w:rsid w:val="005B163A"/>
    <w:rsid w:val="005C48A3"/>
    <w:rsid w:val="005D4896"/>
    <w:rsid w:val="005E460F"/>
    <w:rsid w:val="005F21A2"/>
    <w:rsid w:val="005F45C7"/>
    <w:rsid w:val="005F515B"/>
    <w:rsid w:val="00630CF0"/>
    <w:rsid w:val="00633D5E"/>
    <w:rsid w:val="00633E38"/>
    <w:rsid w:val="006425F8"/>
    <w:rsid w:val="00645EA0"/>
    <w:rsid w:val="0066431D"/>
    <w:rsid w:val="006973F8"/>
    <w:rsid w:val="006A5314"/>
    <w:rsid w:val="006D0B04"/>
    <w:rsid w:val="006D5AED"/>
    <w:rsid w:val="006E4B15"/>
    <w:rsid w:val="006E6737"/>
    <w:rsid w:val="006F2B43"/>
    <w:rsid w:val="00722B79"/>
    <w:rsid w:val="00725DE0"/>
    <w:rsid w:val="007369C5"/>
    <w:rsid w:val="0074187F"/>
    <w:rsid w:val="007627EC"/>
    <w:rsid w:val="007668A0"/>
    <w:rsid w:val="00783598"/>
    <w:rsid w:val="00785E3B"/>
    <w:rsid w:val="007906F4"/>
    <w:rsid w:val="00797EF4"/>
    <w:rsid w:val="007A346B"/>
    <w:rsid w:val="007A5E27"/>
    <w:rsid w:val="007A6402"/>
    <w:rsid w:val="007C487B"/>
    <w:rsid w:val="007E1ED2"/>
    <w:rsid w:val="007F458D"/>
    <w:rsid w:val="008378A8"/>
    <w:rsid w:val="00841589"/>
    <w:rsid w:val="00844A79"/>
    <w:rsid w:val="00847861"/>
    <w:rsid w:val="00850CF7"/>
    <w:rsid w:val="00851085"/>
    <w:rsid w:val="008640AC"/>
    <w:rsid w:val="008879C3"/>
    <w:rsid w:val="008A1FFB"/>
    <w:rsid w:val="008A3B41"/>
    <w:rsid w:val="008A7241"/>
    <w:rsid w:val="008B63F3"/>
    <w:rsid w:val="008C15AE"/>
    <w:rsid w:val="008F2CA7"/>
    <w:rsid w:val="009400C8"/>
    <w:rsid w:val="00947ED6"/>
    <w:rsid w:val="00951A29"/>
    <w:rsid w:val="00951A66"/>
    <w:rsid w:val="009520B8"/>
    <w:rsid w:val="00952185"/>
    <w:rsid w:val="00970D03"/>
    <w:rsid w:val="00985603"/>
    <w:rsid w:val="009A1733"/>
    <w:rsid w:val="009A234A"/>
    <w:rsid w:val="009B6A03"/>
    <w:rsid w:val="009E7996"/>
    <w:rsid w:val="00A14C81"/>
    <w:rsid w:val="00A2395C"/>
    <w:rsid w:val="00A26657"/>
    <w:rsid w:val="00A3282F"/>
    <w:rsid w:val="00A4474B"/>
    <w:rsid w:val="00A6736D"/>
    <w:rsid w:val="00A72839"/>
    <w:rsid w:val="00A95727"/>
    <w:rsid w:val="00AA41A8"/>
    <w:rsid w:val="00AC0EED"/>
    <w:rsid w:val="00AD47D0"/>
    <w:rsid w:val="00AF08DE"/>
    <w:rsid w:val="00AF76EC"/>
    <w:rsid w:val="00B00310"/>
    <w:rsid w:val="00B06809"/>
    <w:rsid w:val="00B105DC"/>
    <w:rsid w:val="00B203E9"/>
    <w:rsid w:val="00B21453"/>
    <w:rsid w:val="00B536BB"/>
    <w:rsid w:val="00BA2012"/>
    <w:rsid w:val="00BE0E09"/>
    <w:rsid w:val="00BE6C36"/>
    <w:rsid w:val="00C057E4"/>
    <w:rsid w:val="00C06645"/>
    <w:rsid w:val="00C77D49"/>
    <w:rsid w:val="00C87D9C"/>
    <w:rsid w:val="00CB706D"/>
    <w:rsid w:val="00CD177B"/>
    <w:rsid w:val="00CF204F"/>
    <w:rsid w:val="00D746CB"/>
    <w:rsid w:val="00D93005"/>
    <w:rsid w:val="00DA421F"/>
    <w:rsid w:val="00DB771D"/>
    <w:rsid w:val="00DE6ED6"/>
    <w:rsid w:val="00E0397F"/>
    <w:rsid w:val="00E15B8D"/>
    <w:rsid w:val="00E21957"/>
    <w:rsid w:val="00E26FB7"/>
    <w:rsid w:val="00E33D1F"/>
    <w:rsid w:val="00E55A76"/>
    <w:rsid w:val="00E772E5"/>
    <w:rsid w:val="00EA2C87"/>
    <w:rsid w:val="00EB09EB"/>
    <w:rsid w:val="00EB6B6F"/>
    <w:rsid w:val="00EB7448"/>
    <w:rsid w:val="00EC253C"/>
    <w:rsid w:val="00EC3D75"/>
    <w:rsid w:val="00EF0318"/>
    <w:rsid w:val="00EF3D06"/>
    <w:rsid w:val="00F03702"/>
    <w:rsid w:val="00F112F8"/>
    <w:rsid w:val="00F216C1"/>
    <w:rsid w:val="00F313CD"/>
    <w:rsid w:val="00F37E3A"/>
    <w:rsid w:val="00F84081"/>
    <w:rsid w:val="00FA3EF8"/>
    <w:rsid w:val="00FB4F12"/>
    <w:rsid w:val="00FC2C84"/>
    <w:rsid w:val="00FE6E8E"/>
    <w:rsid w:val="00FE7E7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7714A"/>
  <w15:docId w15:val="{C7B9A3CC-D905-410D-BE09-680BA255A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 Paragraph2,Párrafo de lista1,List Paragraph1,Colorful List - Accent 11,Lista vistosa - Énfasis 11,Subtle Emphasis1,Footnote1"/>
    <w:basedOn w:val="Normal"/>
    <w:link w:val="PrrafodelistaCar"/>
    <w:qFormat/>
    <w:rsid w:val="00CD177B"/>
    <w:pPr>
      <w:ind w:left="720"/>
      <w:contextualSpacing/>
    </w:pPr>
  </w:style>
  <w:style w:type="character" w:styleId="Refdecomentario">
    <w:name w:val="annotation reference"/>
    <w:basedOn w:val="Fuentedeprrafopredeter"/>
    <w:uiPriority w:val="99"/>
    <w:semiHidden/>
    <w:unhideWhenUsed/>
    <w:rsid w:val="008378A8"/>
    <w:rPr>
      <w:sz w:val="16"/>
      <w:szCs w:val="16"/>
    </w:rPr>
  </w:style>
  <w:style w:type="paragraph" w:styleId="Textocomentario">
    <w:name w:val="annotation text"/>
    <w:basedOn w:val="Normal"/>
    <w:link w:val="TextocomentarioCar"/>
    <w:uiPriority w:val="99"/>
    <w:semiHidden/>
    <w:unhideWhenUsed/>
    <w:rsid w:val="008378A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378A8"/>
    <w:rPr>
      <w:sz w:val="20"/>
      <w:szCs w:val="20"/>
    </w:rPr>
  </w:style>
  <w:style w:type="paragraph" w:styleId="Asuntodelcomentario">
    <w:name w:val="annotation subject"/>
    <w:basedOn w:val="Textocomentario"/>
    <w:next w:val="Textocomentario"/>
    <w:link w:val="AsuntodelcomentarioCar"/>
    <w:uiPriority w:val="99"/>
    <w:semiHidden/>
    <w:unhideWhenUsed/>
    <w:rsid w:val="008378A8"/>
    <w:rPr>
      <w:b/>
      <w:bCs/>
    </w:rPr>
  </w:style>
  <w:style w:type="character" w:customStyle="1" w:styleId="AsuntodelcomentarioCar">
    <w:name w:val="Asunto del comentario Car"/>
    <w:basedOn w:val="TextocomentarioCar"/>
    <w:link w:val="Asuntodelcomentario"/>
    <w:uiPriority w:val="99"/>
    <w:semiHidden/>
    <w:rsid w:val="008378A8"/>
    <w:rPr>
      <w:b/>
      <w:bCs/>
      <w:sz w:val="20"/>
      <w:szCs w:val="20"/>
    </w:rPr>
  </w:style>
  <w:style w:type="paragraph" w:styleId="Textodeglobo">
    <w:name w:val="Balloon Text"/>
    <w:basedOn w:val="Normal"/>
    <w:link w:val="TextodegloboCar"/>
    <w:uiPriority w:val="99"/>
    <w:semiHidden/>
    <w:unhideWhenUsed/>
    <w:rsid w:val="008378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78A8"/>
    <w:rPr>
      <w:rFonts w:ascii="Segoe UI" w:hAnsi="Segoe UI" w:cs="Segoe UI"/>
      <w:sz w:val="18"/>
      <w:szCs w:val="18"/>
    </w:rPr>
  </w:style>
  <w:style w:type="paragraph" w:styleId="Textonotapie">
    <w:name w:val="footnote text"/>
    <w:aliases w:val="2. Footnote Text,Footnote Tesina,FA Fu,Footnote Text Char Char Char Char Char,Footnote Text Char Char Char Char,Footnote reference,Footnote Text Char Char Char,Footnote Text Cha,FA Fußnotentext,FA Fuﬂnotentext,Ca,C,ft,5,footnote text,Car"/>
    <w:basedOn w:val="Normal"/>
    <w:link w:val="TextonotapieCar"/>
    <w:uiPriority w:val="99"/>
    <w:unhideWhenUsed/>
    <w:qFormat/>
    <w:rsid w:val="00952185"/>
    <w:pPr>
      <w:spacing w:after="0" w:line="240" w:lineRule="auto"/>
    </w:pPr>
    <w:rPr>
      <w:sz w:val="20"/>
      <w:szCs w:val="20"/>
    </w:rPr>
  </w:style>
  <w:style w:type="character" w:customStyle="1" w:styleId="TextonotapieCar">
    <w:name w:val="Texto nota pie Car"/>
    <w:aliases w:val="2. Footnote Text Car,Footnote Tesina Car,FA Fu Car,Footnote Text Char Char Char Char Char Car,Footnote Text Char Char Char Char Car,Footnote reference Car,Footnote Text Char Char Char Car,Footnote Text Cha Car,FA Fußnotentext Car"/>
    <w:basedOn w:val="Fuentedeprrafopredeter"/>
    <w:link w:val="Textonotapie"/>
    <w:qFormat/>
    <w:rsid w:val="00952185"/>
    <w:rPr>
      <w:sz w:val="20"/>
      <w:szCs w:val="20"/>
    </w:r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Ref. de nota al"/>
    <w:basedOn w:val="Fuentedeprrafopredeter"/>
    <w:link w:val="4GChar"/>
    <w:uiPriority w:val="99"/>
    <w:unhideWhenUsed/>
    <w:qFormat/>
    <w:rsid w:val="00952185"/>
    <w:rPr>
      <w:vertAlign w:val="superscript"/>
    </w:rPr>
  </w:style>
  <w:style w:type="paragraph" w:styleId="TDC1">
    <w:name w:val="toc 1"/>
    <w:basedOn w:val="Normal"/>
    <w:next w:val="Normal"/>
    <w:autoRedefine/>
    <w:uiPriority w:val="39"/>
    <w:unhideWhenUsed/>
    <w:rsid w:val="00633E38"/>
    <w:pPr>
      <w:tabs>
        <w:tab w:val="left" w:pos="709"/>
        <w:tab w:val="right" w:leader="dot" w:pos="9072"/>
      </w:tabs>
      <w:spacing w:before="60" w:after="60" w:line="240" w:lineRule="auto"/>
      <w:ind w:right="237"/>
      <w:jc w:val="both"/>
    </w:pPr>
    <w:rPr>
      <w:rFonts w:ascii="Verdana" w:eastAsia="Batang" w:hAnsi="Verdana" w:cs="Times"/>
      <w:b/>
      <w:sz w:val="18"/>
      <w:szCs w:val="24"/>
      <w:lang w:val="es-ES_tradnl"/>
    </w:rPr>
  </w:style>
  <w:style w:type="character" w:styleId="Hipervnculo">
    <w:name w:val="Hyperlink"/>
    <w:basedOn w:val="Fuentedeprrafopredeter"/>
    <w:uiPriority w:val="99"/>
    <w:semiHidden/>
    <w:unhideWhenUsed/>
    <w:rsid w:val="001B260C"/>
    <w:rPr>
      <w:color w:val="0000FF"/>
      <w:u w:val="single"/>
    </w:rPr>
  </w:style>
  <w:style w:type="character" w:customStyle="1" w:styleId="FootnoteTextChar1">
    <w:name w:val="Footnote Text Char1"/>
    <w:aliases w:val="2. Footnote Text Char1,Footnote Tesina Char1,FA Fu Char2,Footnote Text Char Char Char Char Char Char2,Footnote Text Char Char Char Char Char3,Footnote reference Char2,Footnote Text Char Char Char Char3,Footnote Text Cha Char2,C Char1"/>
    <w:basedOn w:val="Fuentedeprrafopredeter"/>
    <w:uiPriority w:val="99"/>
    <w:qFormat/>
    <w:rsid w:val="00C87D9C"/>
    <w:rPr>
      <w:rFonts w:ascii="Verdana" w:eastAsia="Batang" w:hAnsi="Verdana" w:cs="Times"/>
      <w:noProof/>
      <w:sz w:val="16"/>
      <w:szCs w:val="20"/>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C87D9C"/>
    <w:pPr>
      <w:spacing w:after="0" w:line="240" w:lineRule="auto"/>
      <w:jc w:val="both"/>
    </w:pPr>
    <w:rPr>
      <w:vertAlign w:val="superscript"/>
    </w:rPr>
  </w:style>
  <w:style w:type="paragraph" w:styleId="NormalWeb">
    <w:name w:val="Normal (Web)"/>
    <w:aliases w:val="Normal (Web) Char1,Normal (Web) Char Char,Normal (Web) Char1 Char,Normal (Web) Char Char Char"/>
    <w:basedOn w:val="Normal"/>
    <w:uiPriority w:val="99"/>
    <w:semiHidden/>
    <w:unhideWhenUsed/>
    <w:rsid w:val="00F37E3A"/>
    <w:pPr>
      <w:tabs>
        <w:tab w:val="center" w:pos="4419"/>
        <w:tab w:val="right" w:pos="8838"/>
      </w:tabs>
      <w:spacing w:after="0" w:line="240" w:lineRule="auto"/>
    </w:pPr>
    <w:rPr>
      <w:sz w:val="24"/>
      <w:szCs w:val="24"/>
      <w:lang w:val="es-MX"/>
    </w:rPr>
  </w:style>
  <w:style w:type="character" w:customStyle="1" w:styleId="PrrafodelistaCar">
    <w:name w:val="Párrafo de lista Car"/>
    <w:aliases w:val="List Paragraph2 Car,Párrafo de lista1 Car,List Paragraph1 Car,Colorful List - Accent 11 Car,Lista vistosa - Énfasis 11 Car,Subtle Emphasis1 Car,Footnote1 Car"/>
    <w:link w:val="Prrafodelista"/>
    <w:locked/>
    <w:rsid w:val="00F37E3A"/>
  </w:style>
  <w:style w:type="character" w:styleId="Textoennegrita">
    <w:name w:val="Strong"/>
    <w:aliases w:val="Heading 2.1"/>
    <w:uiPriority w:val="22"/>
    <w:qFormat/>
    <w:rsid w:val="00326B35"/>
    <w:rPr>
      <w:b/>
      <w:bCs/>
    </w:rPr>
  </w:style>
  <w:style w:type="paragraph" w:styleId="Piedepgina">
    <w:name w:val="footer"/>
    <w:basedOn w:val="Normal"/>
    <w:link w:val="PiedepginaCar"/>
    <w:uiPriority w:val="99"/>
    <w:unhideWhenUsed/>
    <w:rsid w:val="00B536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36BB"/>
  </w:style>
  <w:style w:type="character" w:styleId="Nmerodepgina">
    <w:name w:val="page number"/>
    <w:basedOn w:val="Fuentedeprrafopredeter"/>
    <w:uiPriority w:val="99"/>
    <w:semiHidden/>
    <w:unhideWhenUsed/>
    <w:rsid w:val="00B53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81426">
      <w:bodyDiv w:val="1"/>
      <w:marLeft w:val="0"/>
      <w:marRight w:val="0"/>
      <w:marTop w:val="0"/>
      <w:marBottom w:val="0"/>
      <w:divBdr>
        <w:top w:val="none" w:sz="0" w:space="0" w:color="auto"/>
        <w:left w:val="none" w:sz="0" w:space="0" w:color="auto"/>
        <w:bottom w:val="none" w:sz="0" w:space="0" w:color="auto"/>
        <w:right w:val="none" w:sz="0" w:space="0" w:color="auto"/>
      </w:divBdr>
    </w:div>
    <w:div w:id="304970023">
      <w:bodyDiv w:val="1"/>
      <w:marLeft w:val="0"/>
      <w:marRight w:val="0"/>
      <w:marTop w:val="0"/>
      <w:marBottom w:val="0"/>
      <w:divBdr>
        <w:top w:val="none" w:sz="0" w:space="0" w:color="auto"/>
        <w:left w:val="none" w:sz="0" w:space="0" w:color="auto"/>
        <w:bottom w:val="none" w:sz="0" w:space="0" w:color="auto"/>
        <w:right w:val="none" w:sz="0" w:space="0" w:color="auto"/>
      </w:divBdr>
    </w:div>
    <w:div w:id="564492980">
      <w:bodyDiv w:val="1"/>
      <w:marLeft w:val="0"/>
      <w:marRight w:val="0"/>
      <w:marTop w:val="0"/>
      <w:marBottom w:val="0"/>
      <w:divBdr>
        <w:top w:val="none" w:sz="0" w:space="0" w:color="auto"/>
        <w:left w:val="none" w:sz="0" w:space="0" w:color="auto"/>
        <w:bottom w:val="none" w:sz="0" w:space="0" w:color="auto"/>
        <w:right w:val="none" w:sz="0" w:space="0" w:color="auto"/>
      </w:divBdr>
    </w:div>
    <w:div w:id="690842519">
      <w:bodyDiv w:val="1"/>
      <w:marLeft w:val="0"/>
      <w:marRight w:val="0"/>
      <w:marTop w:val="0"/>
      <w:marBottom w:val="0"/>
      <w:divBdr>
        <w:top w:val="none" w:sz="0" w:space="0" w:color="auto"/>
        <w:left w:val="none" w:sz="0" w:space="0" w:color="auto"/>
        <w:bottom w:val="none" w:sz="0" w:space="0" w:color="auto"/>
        <w:right w:val="none" w:sz="0" w:space="0" w:color="auto"/>
      </w:divBdr>
    </w:div>
    <w:div w:id="95217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hchr.org.co/index.php/informacion-publica/pronunciamientos/intervenciones-de-la-direccion/407-ano-2005/294-consideraciones-sobre-la-investigacion-y-el-juzgamiento-de-conductas-punibles-constitutivas-de-graves-violaciones-de-los-derechos-humanos-o-de-crimenes-de-guerr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8F2FD-B18F-4CEA-B17D-B9791EC00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4650</Words>
  <Characters>25581</Characters>
  <Application>Microsoft Office Word</Application>
  <DocSecurity>0</DocSecurity>
  <Lines>213</Lines>
  <Paragraphs>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Mabel Fernandez</cp:lastModifiedBy>
  <cp:revision>3</cp:revision>
  <cp:lastPrinted>2019-12-19T16:49:00Z</cp:lastPrinted>
  <dcterms:created xsi:type="dcterms:W3CDTF">2019-12-20T21:50:00Z</dcterms:created>
  <dcterms:modified xsi:type="dcterms:W3CDTF">2019-12-20T22:10:00Z</dcterms:modified>
</cp:coreProperties>
</file>