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D5B" w:rsidRDefault="00B93D5B" w:rsidP="00063DB9">
      <w:pPr>
        <w:spacing w:line="240" w:lineRule="auto"/>
        <w:jc w:val="center"/>
        <w:rPr>
          <w:sz w:val="20"/>
          <w:szCs w:val="20"/>
          <w:lang w:val="es-PR"/>
        </w:rPr>
      </w:pPr>
      <w:bookmarkStart w:id="0" w:name="_GoBack"/>
      <w:bookmarkEnd w:id="0"/>
    </w:p>
    <w:p w:rsidR="00B93D5B" w:rsidRDefault="00B93D5B" w:rsidP="00B93D5B">
      <w:pPr>
        <w:spacing w:after="120" w:line="240" w:lineRule="auto"/>
        <w:ind w:firstLine="709"/>
        <w:jc w:val="center"/>
        <w:rPr>
          <w:b/>
          <w:sz w:val="20"/>
          <w:szCs w:val="20"/>
        </w:rPr>
      </w:pPr>
      <w:r w:rsidRPr="00F0734D">
        <w:rPr>
          <w:b/>
          <w:sz w:val="20"/>
          <w:szCs w:val="20"/>
        </w:rPr>
        <w:t>VOTO</w:t>
      </w:r>
      <w:r>
        <w:rPr>
          <w:b/>
          <w:sz w:val="20"/>
          <w:szCs w:val="20"/>
        </w:rPr>
        <w:t xml:space="preserve"> PARCIALMENTE </w:t>
      </w:r>
      <w:r w:rsidRPr="00F0734D">
        <w:rPr>
          <w:b/>
          <w:sz w:val="20"/>
          <w:szCs w:val="20"/>
        </w:rPr>
        <w:t>DISIDENTE</w:t>
      </w:r>
    </w:p>
    <w:p w:rsidR="00B93D5B" w:rsidRDefault="00B93D5B" w:rsidP="00B93D5B">
      <w:pPr>
        <w:spacing w:after="120" w:line="240" w:lineRule="auto"/>
        <w:ind w:firstLine="709"/>
        <w:jc w:val="center"/>
        <w:rPr>
          <w:b/>
          <w:sz w:val="20"/>
          <w:szCs w:val="20"/>
        </w:rPr>
      </w:pPr>
      <w:r w:rsidRPr="00F0734D">
        <w:rPr>
          <w:b/>
          <w:sz w:val="20"/>
          <w:szCs w:val="20"/>
        </w:rPr>
        <w:t>DEL</w:t>
      </w:r>
      <w:r>
        <w:rPr>
          <w:b/>
          <w:sz w:val="20"/>
          <w:szCs w:val="20"/>
        </w:rPr>
        <w:t xml:space="preserve"> </w:t>
      </w:r>
      <w:r w:rsidRPr="00F0734D">
        <w:rPr>
          <w:b/>
          <w:sz w:val="20"/>
          <w:szCs w:val="20"/>
        </w:rPr>
        <w:t xml:space="preserve">JUEZ </w:t>
      </w:r>
      <w:r w:rsidRPr="00B93D5B">
        <w:rPr>
          <w:b/>
          <w:sz w:val="20"/>
          <w:szCs w:val="20"/>
        </w:rPr>
        <w:t xml:space="preserve">ALBERTO PÉREZ </w:t>
      </w:r>
      <w:proofErr w:type="spellStart"/>
      <w:r w:rsidRPr="00B93D5B">
        <w:rPr>
          <w:b/>
          <w:sz w:val="20"/>
          <w:szCs w:val="20"/>
        </w:rPr>
        <w:t>PÉREZ</w:t>
      </w:r>
      <w:proofErr w:type="spellEnd"/>
    </w:p>
    <w:p w:rsidR="00B93D5B" w:rsidRDefault="00B93D5B" w:rsidP="00B93D5B">
      <w:pPr>
        <w:spacing w:line="240" w:lineRule="auto"/>
        <w:jc w:val="center"/>
        <w:rPr>
          <w:b/>
          <w:sz w:val="20"/>
          <w:szCs w:val="20"/>
        </w:rPr>
      </w:pPr>
    </w:p>
    <w:p w:rsidR="00B93D5B" w:rsidRPr="000043A8" w:rsidRDefault="00B93D5B" w:rsidP="00B93D5B">
      <w:pPr>
        <w:spacing w:after="120" w:line="240" w:lineRule="auto"/>
        <w:ind w:firstLine="708"/>
        <w:jc w:val="center"/>
        <w:rPr>
          <w:b/>
          <w:i/>
          <w:sz w:val="20"/>
          <w:szCs w:val="20"/>
        </w:rPr>
      </w:pPr>
      <w:r w:rsidRPr="000043A8">
        <w:rPr>
          <w:b/>
          <w:i/>
          <w:sz w:val="20"/>
          <w:szCs w:val="20"/>
          <w:u w:val="single"/>
        </w:rPr>
        <w:t>CASO GRANIER Y OTROS (RADIO CARACAS TELEVISIÓN) VS. VENEZUELA</w:t>
      </w:r>
    </w:p>
    <w:p w:rsidR="00B93D5B" w:rsidRPr="009825AC" w:rsidRDefault="00B93D5B" w:rsidP="00B93D5B">
      <w:pPr>
        <w:spacing w:after="120" w:line="240" w:lineRule="auto"/>
        <w:ind w:firstLine="708"/>
        <w:jc w:val="center"/>
        <w:rPr>
          <w:b/>
          <w:sz w:val="20"/>
          <w:szCs w:val="20"/>
        </w:rPr>
      </w:pPr>
      <w:r w:rsidRPr="009825AC">
        <w:rPr>
          <w:b/>
          <w:sz w:val="20"/>
          <w:szCs w:val="20"/>
        </w:rPr>
        <w:t>SENTENCIA DE 22 DE JUNIO DE 2015</w:t>
      </w:r>
    </w:p>
    <w:p w:rsidR="00B93D5B" w:rsidRPr="009825AC" w:rsidRDefault="00B93D5B" w:rsidP="00B93D5B">
      <w:pPr>
        <w:spacing w:after="120" w:line="240" w:lineRule="auto"/>
        <w:ind w:firstLine="708"/>
        <w:jc w:val="center"/>
        <w:rPr>
          <w:b/>
          <w:sz w:val="20"/>
          <w:szCs w:val="20"/>
        </w:rPr>
      </w:pPr>
      <w:r w:rsidRPr="009825AC">
        <w:rPr>
          <w:b/>
          <w:sz w:val="20"/>
          <w:szCs w:val="20"/>
        </w:rPr>
        <w:t>(Excepciones Preliminares, Fondo, Reparaciones y Costas)</w:t>
      </w:r>
    </w:p>
    <w:p w:rsidR="000B6E39" w:rsidRPr="00063DB9" w:rsidRDefault="000B6E39" w:rsidP="00063DB9">
      <w:pPr>
        <w:spacing w:line="240" w:lineRule="auto"/>
        <w:jc w:val="center"/>
        <w:rPr>
          <w:rFonts w:eastAsia="Calibri" w:cs="Verdana"/>
          <w:b/>
          <w:bCs/>
          <w:caps/>
          <w:snapToGrid w:val="0"/>
          <w:spacing w:val="-2"/>
          <w:sz w:val="20"/>
          <w:szCs w:val="20"/>
          <w:lang w:eastAsia="es-ES"/>
        </w:rPr>
      </w:pPr>
    </w:p>
    <w:p w:rsidR="000B6E39" w:rsidRDefault="00C07DE4" w:rsidP="00063DB9">
      <w:pPr>
        <w:pStyle w:val="Estilo1"/>
        <w:spacing w:after="0" w:line="240" w:lineRule="auto"/>
        <w:rPr>
          <w:sz w:val="20"/>
          <w:szCs w:val="20"/>
        </w:rPr>
      </w:pPr>
      <w:r w:rsidRPr="00063DB9">
        <w:rPr>
          <w:sz w:val="20"/>
          <w:szCs w:val="20"/>
        </w:rPr>
        <w:t>He votado negativamente los puntos declarativos 3 y 4</w:t>
      </w:r>
      <w:r w:rsidR="0025021F">
        <w:rPr>
          <w:sz w:val="20"/>
          <w:szCs w:val="20"/>
        </w:rPr>
        <w:t>,</w:t>
      </w:r>
      <w:r w:rsidRPr="00063DB9">
        <w:rPr>
          <w:sz w:val="20"/>
          <w:szCs w:val="20"/>
        </w:rPr>
        <w:t xml:space="preserve"> y los puntos dispositivos 15 y 16, por las razones que expongo a continuación.</w:t>
      </w:r>
    </w:p>
    <w:p w:rsidR="00063DB9" w:rsidRPr="00063DB9" w:rsidRDefault="00063DB9" w:rsidP="00063DB9">
      <w:pPr>
        <w:pStyle w:val="Estilo1"/>
        <w:numPr>
          <w:ilvl w:val="0"/>
          <w:numId w:val="0"/>
        </w:numPr>
        <w:spacing w:after="0" w:line="240" w:lineRule="auto"/>
        <w:rPr>
          <w:sz w:val="20"/>
          <w:szCs w:val="20"/>
        </w:rPr>
      </w:pPr>
    </w:p>
    <w:p w:rsidR="00DD1EC1" w:rsidRPr="00FB5B9D" w:rsidRDefault="00DD1EC1" w:rsidP="00063DB9">
      <w:pPr>
        <w:pStyle w:val="Estilo1"/>
        <w:numPr>
          <w:ilvl w:val="0"/>
          <w:numId w:val="7"/>
        </w:numPr>
        <w:spacing w:after="0" w:line="240" w:lineRule="auto"/>
        <w:ind w:left="1077"/>
        <w:jc w:val="center"/>
        <w:rPr>
          <w:b/>
          <w:i/>
          <w:sz w:val="20"/>
          <w:szCs w:val="20"/>
        </w:rPr>
      </w:pPr>
      <w:r w:rsidRPr="00FB5B9D">
        <w:rPr>
          <w:b/>
          <w:i/>
          <w:sz w:val="20"/>
          <w:szCs w:val="20"/>
        </w:rPr>
        <w:t>Libertad de empresa y no libertad de expresión</w:t>
      </w:r>
    </w:p>
    <w:p w:rsidR="00063DB9" w:rsidRPr="00063DB9" w:rsidRDefault="00063DB9" w:rsidP="00063DB9">
      <w:pPr>
        <w:pStyle w:val="Estilo1"/>
        <w:numPr>
          <w:ilvl w:val="0"/>
          <w:numId w:val="0"/>
        </w:numPr>
        <w:spacing w:after="0" w:line="240" w:lineRule="auto"/>
        <w:ind w:left="1077"/>
        <w:rPr>
          <w:i/>
          <w:sz w:val="20"/>
          <w:szCs w:val="20"/>
        </w:rPr>
      </w:pPr>
    </w:p>
    <w:p w:rsidR="00661E31" w:rsidRDefault="00DD1EC1" w:rsidP="00063DB9">
      <w:pPr>
        <w:pStyle w:val="Estilo1"/>
        <w:spacing w:after="0" w:line="240" w:lineRule="auto"/>
        <w:rPr>
          <w:sz w:val="20"/>
          <w:szCs w:val="20"/>
        </w:rPr>
      </w:pPr>
      <w:r w:rsidRPr="00063DB9">
        <w:rPr>
          <w:sz w:val="20"/>
          <w:szCs w:val="20"/>
        </w:rPr>
        <w:t xml:space="preserve">El punto central de discrepancia radica en el punto 3, en el que se declara una violación de “los artículos 13.1 y 13.3 en relación con el artículo 1.1 de la Convención Americana, por cuanto se configuró una restricción indirecta al ejercicio del derecho a la libertad de expresión, en perjuicio de Marcel </w:t>
      </w:r>
      <w:proofErr w:type="spellStart"/>
      <w:r w:rsidRPr="00063DB9">
        <w:rPr>
          <w:sz w:val="20"/>
          <w:szCs w:val="20"/>
        </w:rPr>
        <w:t>Granier</w:t>
      </w:r>
      <w:proofErr w:type="spellEnd"/>
      <w:r w:rsidRPr="00063DB9">
        <w:rPr>
          <w:sz w:val="20"/>
          <w:szCs w:val="20"/>
        </w:rPr>
        <w:t xml:space="preserve">, Peter </w:t>
      </w:r>
      <w:proofErr w:type="spellStart"/>
      <w:r w:rsidRPr="00063DB9">
        <w:rPr>
          <w:sz w:val="20"/>
          <w:szCs w:val="20"/>
        </w:rPr>
        <w:t>Bottome</w:t>
      </w:r>
      <w:proofErr w:type="spellEnd"/>
      <w:r w:rsidRPr="00063DB9">
        <w:rPr>
          <w:sz w:val="20"/>
          <w:szCs w:val="20"/>
        </w:rPr>
        <w:t xml:space="preserve">, Jaime </w:t>
      </w:r>
      <w:proofErr w:type="spellStart"/>
      <w:r w:rsidRPr="00063DB9">
        <w:rPr>
          <w:sz w:val="20"/>
          <w:szCs w:val="20"/>
        </w:rPr>
        <w:t>Nestares</w:t>
      </w:r>
      <w:proofErr w:type="spellEnd"/>
      <w:r w:rsidRPr="00063DB9">
        <w:rPr>
          <w:sz w:val="20"/>
          <w:szCs w:val="20"/>
        </w:rPr>
        <w:t xml:space="preserve">, Inés Bacalao, Eladio </w:t>
      </w:r>
      <w:proofErr w:type="spellStart"/>
      <w:r w:rsidRPr="00063DB9">
        <w:rPr>
          <w:sz w:val="20"/>
          <w:szCs w:val="20"/>
        </w:rPr>
        <w:t>Lárez</w:t>
      </w:r>
      <w:proofErr w:type="spellEnd"/>
      <w:r w:rsidRPr="00063DB9">
        <w:rPr>
          <w:sz w:val="20"/>
          <w:szCs w:val="20"/>
        </w:rPr>
        <w:t xml:space="preserve">, Eduardo </w:t>
      </w:r>
      <w:proofErr w:type="spellStart"/>
      <w:r w:rsidRPr="00063DB9">
        <w:rPr>
          <w:sz w:val="20"/>
          <w:szCs w:val="20"/>
        </w:rPr>
        <w:t>Sapene</w:t>
      </w:r>
      <w:proofErr w:type="spellEnd"/>
      <w:r w:rsidRPr="00063DB9">
        <w:rPr>
          <w:sz w:val="20"/>
          <w:szCs w:val="20"/>
        </w:rPr>
        <w:t xml:space="preserve">, Daniela </w:t>
      </w:r>
      <w:proofErr w:type="spellStart"/>
      <w:r w:rsidRPr="00063DB9">
        <w:rPr>
          <w:sz w:val="20"/>
          <w:szCs w:val="20"/>
        </w:rPr>
        <w:t>Bergami</w:t>
      </w:r>
      <w:proofErr w:type="spellEnd"/>
      <w:r w:rsidRPr="00063DB9">
        <w:rPr>
          <w:sz w:val="20"/>
          <w:szCs w:val="20"/>
        </w:rPr>
        <w:t>, Miguel Ángel Rodríguez, Soraya Castellano, María Arriaga y Larissa Patiño”. A mi juicio los derechos defendidos por las presuntas víctimas no tienen relación con la libertad de expresión, sino con los intereses económicos de quienes a través de una</w:t>
      </w:r>
      <w:r w:rsidR="00661E31" w:rsidRPr="00063DB9">
        <w:rPr>
          <w:sz w:val="20"/>
          <w:szCs w:val="20"/>
        </w:rPr>
        <w:t xml:space="preserve"> complicada</w:t>
      </w:r>
      <w:r w:rsidRPr="00063DB9">
        <w:rPr>
          <w:sz w:val="20"/>
          <w:szCs w:val="20"/>
        </w:rPr>
        <w:t xml:space="preserve"> red de personas jurídicas</w:t>
      </w:r>
      <w:r w:rsidR="0025021F">
        <w:rPr>
          <w:rStyle w:val="FootnoteReference"/>
          <w:sz w:val="20"/>
          <w:szCs w:val="20"/>
        </w:rPr>
        <w:footnoteReference w:id="1"/>
      </w:r>
      <w:r w:rsidRPr="00063DB9">
        <w:rPr>
          <w:sz w:val="20"/>
          <w:szCs w:val="20"/>
        </w:rPr>
        <w:t xml:space="preserve"> </w:t>
      </w:r>
      <w:r w:rsidR="00661E31" w:rsidRPr="00063DB9">
        <w:rPr>
          <w:sz w:val="20"/>
          <w:szCs w:val="20"/>
        </w:rPr>
        <w:t xml:space="preserve"> </w:t>
      </w:r>
      <w:r w:rsidRPr="00063DB9">
        <w:rPr>
          <w:sz w:val="20"/>
          <w:szCs w:val="20"/>
        </w:rPr>
        <w:t>son los propietarios reales de R</w:t>
      </w:r>
      <w:r w:rsidR="00661E31" w:rsidRPr="00063DB9">
        <w:rPr>
          <w:sz w:val="20"/>
          <w:szCs w:val="20"/>
        </w:rPr>
        <w:t>CTV C.A</w:t>
      </w:r>
      <w:r w:rsidR="00172B1E" w:rsidRPr="00063DB9">
        <w:rPr>
          <w:sz w:val="20"/>
          <w:szCs w:val="20"/>
        </w:rPr>
        <w:t>, en calidad de accionistas indirectos</w:t>
      </w:r>
      <w:r w:rsidR="00661E31" w:rsidRPr="00063DB9">
        <w:rPr>
          <w:sz w:val="20"/>
          <w:szCs w:val="20"/>
        </w:rPr>
        <w:t>.</w:t>
      </w:r>
      <w:r w:rsidR="00172B1E" w:rsidRPr="00063DB9">
        <w:rPr>
          <w:sz w:val="20"/>
          <w:szCs w:val="20"/>
        </w:rPr>
        <w:t xml:space="preserve"> (En aras de la brevedad, pero con mengua de la precisión, los designaremos como “accionistas”.)</w:t>
      </w:r>
    </w:p>
    <w:p w:rsidR="00063DB9" w:rsidRPr="00063DB9" w:rsidRDefault="00063DB9" w:rsidP="00063DB9">
      <w:pPr>
        <w:pStyle w:val="Estilo1"/>
        <w:numPr>
          <w:ilvl w:val="0"/>
          <w:numId w:val="0"/>
        </w:numPr>
        <w:spacing w:after="0" w:line="240" w:lineRule="auto"/>
        <w:rPr>
          <w:sz w:val="20"/>
          <w:szCs w:val="20"/>
        </w:rPr>
      </w:pPr>
    </w:p>
    <w:p w:rsidR="00172B1E" w:rsidRPr="00063DB9" w:rsidRDefault="00172B1E" w:rsidP="00063DB9">
      <w:pPr>
        <w:pStyle w:val="Estilo1"/>
        <w:numPr>
          <w:ilvl w:val="0"/>
          <w:numId w:val="0"/>
        </w:numPr>
        <w:spacing w:after="0" w:line="240" w:lineRule="auto"/>
        <w:rPr>
          <w:i/>
          <w:sz w:val="20"/>
          <w:szCs w:val="20"/>
        </w:rPr>
      </w:pPr>
      <w:r w:rsidRPr="00063DB9">
        <w:rPr>
          <w:i/>
          <w:sz w:val="20"/>
          <w:szCs w:val="20"/>
        </w:rPr>
        <w:t>Aspecto subjetivo</w:t>
      </w:r>
    </w:p>
    <w:p w:rsidR="00063DB9" w:rsidRDefault="00063DB9" w:rsidP="00063DB9">
      <w:pPr>
        <w:pStyle w:val="Estilo1"/>
        <w:numPr>
          <w:ilvl w:val="0"/>
          <w:numId w:val="0"/>
        </w:numPr>
        <w:spacing w:after="0" w:line="240" w:lineRule="auto"/>
        <w:rPr>
          <w:sz w:val="20"/>
          <w:szCs w:val="20"/>
        </w:rPr>
      </w:pPr>
    </w:p>
    <w:p w:rsidR="00661E31" w:rsidRDefault="00661E31" w:rsidP="00063DB9">
      <w:pPr>
        <w:pStyle w:val="Estilo1"/>
        <w:spacing w:after="0" w:line="240" w:lineRule="auto"/>
        <w:rPr>
          <w:sz w:val="20"/>
          <w:szCs w:val="20"/>
        </w:rPr>
      </w:pPr>
      <w:r w:rsidRPr="00063DB9">
        <w:rPr>
          <w:sz w:val="20"/>
          <w:szCs w:val="20"/>
        </w:rPr>
        <w:t xml:space="preserve">Inicialmente, los representantes identificaron como presuntas víctimas en su petición inicial ante la Comisión Interamericana de Derechos Humanos (“la Comisión”) a personas físicas que, según su descripción, </w:t>
      </w:r>
      <w:r w:rsidR="00880A92">
        <w:rPr>
          <w:sz w:val="20"/>
          <w:szCs w:val="20"/>
        </w:rPr>
        <w:t>“</w:t>
      </w:r>
      <w:r w:rsidRPr="00063DB9">
        <w:rPr>
          <w:sz w:val="20"/>
          <w:szCs w:val="20"/>
        </w:rPr>
        <w:t>tenían la calidad de directivos, accionistas, periodistas o trabajadores de RCTV”</w:t>
      </w:r>
      <w:r w:rsidR="00880A92">
        <w:rPr>
          <w:rStyle w:val="FootnoteReference"/>
          <w:sz w:val="20"/>
          <w:szCs w:val="20"/>
        </w:rPr>
        <w:footnoteReference w:id="2"/>
      </w:r>
      <w:r w:rsidRPr="00063DB9">
        <w:rPr>
          <w:sz w:val="20"/>
          <w:szCs w:val="20"/>
        </w:rPr>
        <w:t>. Identificaron como “</w:t>
      </w:r>
      <w:r w:rsidRPr="00063DB9">
        <w:rPr>
          <w:i/>
          <w:sz w:val="20"/>
          <w:szCs w:val="20"/>
        </w:rPr>
        <w:t>periodistas</w:t>
      </w:r>
      <w:r w:rsidRPr="00063DB9">
        <w:rPr>
          <w:sz w:val="20"/>
          <w:szCs w:val="20"/>
        </w:rPr>
        <w:t xml:space="preserve">” a las </w:t>
      </w:r>
      <w:r w:rsidR="00E06335" w:rsidRPr="00880A92">
        <w:rPr>
          <w:sz w:val="20"/>
          <w:szCs w:val="20"/>
        </w:rPr>
        <w:t>78</w:t>
      </w:r>
      <w:r w:rsidR="00E06335" w:rsidRPr="00063DB9">
        <w:rPr>
          <w:sz w:val="20"/>
          <w:szCs w:val="20"/>
        </w:rPr>
        <w:t xml:space="preserve"> </w:t>
      </w:r>
      <w:r w:rsidRPr="00063DB9">
        <w:rPr>
          <w:sz w:val="20"/>
          <w:szCs w:val="20"/>
        </w:rPr>
        <w:t>personas que aparecen en la nota de pie de página (en adelante, “nota”)</w:t>
      </w:r>
      <w:r w:rsidR="00954D1A" w:rsidRPr="00063DB9">
        <w:rPr>
          <w:sz w:val="20"/>
          <w:szCs w:val="20"/>
        </w:rPr>
        <w:t xml:space="preserve"> 11</w:t>
      </w:r>
      <w:r w:rsidR="00880A92">
        <w:rPr>
          <w:sz w:val="20"/>
          <w:szCs w:val="20"/>
        </w:rPr>
        <w:t xml:space="preserve"> de la Sentencia</w:t>
      </w:r>
      <w:r w:rsidR="00954D1A" w:rsidRPr="00063DB9">
        <w:rPr>
          <w:sz w:val="20"/>
          <w:szCs w:val="20"/>
        </w:rPr>
        <w:t>; como “</w:t>
      </w:r>
      <w:r w:rsidR="00954D1A" w:rsidRPr="00063DB9">
        <w:rPr>
          <w:i/>
          <w:sz w:val="20"/>
          <w:szCs w:val="20"/>
        </w:rPr>
        <w:t>trabajadores”,</w:t>
      </w:r>
      <w:r w:rsidR="00954D1A" w:rsidRPr="00063DB9">
        <w:rPr>
          <w:sz w:val="20"/>
          <w:szCs w:val="20"/>
        </w:rPr>
        <w:t xml:space="preserve"> a las </w:t>
      </w:r>
      <w:r w:rsidR="000D3597" w:rsidRPr="00880A92">
        <w:rPr>
          <w:sz w:val="20"/>
          <w:szCs w:val="20"/>
        </w:rPr>
        <w:t>89</w:t>
      </w:r>
      <w:r w:rsidR="000D3597" w:rsidRPr="00063DB9">
        <w:rPr>
          <w:sz w:val="20"/>
          <w:szCs w:val="20"/>
        </w:rPr>
        <w:t xml:space="preserve"> </w:t>
      </w:r>
      <w:r w:rsidR="00954D1A" w:rsidRPr="00063DB9">
        <w:rPr>
          <w:sz w:val="20"/>
          <w:szCs w:val="20"/>
        </w:rPr>
        <w:t>personas que aparecen en la nota 12; como “</w:t>
      </w:r>
      <w:r w:rsidR="00954D1A" w:rsidRPr="00063DB9">
        <w:rPr>
          <w:i/>
          <w:sz w:val="20"/>
          <w:szCs w:val="20"/>
        </w:rPr>
        <w:t>directivos”</w:t>
      </w:r>
      <w:r w:rsidR="00954D1A" w:rsidRPr="00063DB9">
        <w:rPr>
          <w:sz w:val="20"/>
          <w:szCs w:val="20"/>
        </w:rPr>
        <w:t xml:space="preserve"> a las </w:t>
      </w:r>
      <w:r w:rsidR="00954D1A" w:rsidRPr="00880A92">
        <w:rPr>
          <w:sz w:val="20"/>
          <w:szCs w:val="20"/>
        </w:rPr>
        <w:t>14</w:t>
      </w:r>
      <w:r w:rsidR="00954D1A" w:rsidRPr="00063DB9">
        <w:rPr>
          <w:sz w:val="20"/>
          <w:szCs w:val="20"/>
        </w:rPr>
        <w:t xml:space="preserve"> personas que aparecen en la nota 9, y como “</w:t>
      </w:r>
      <w:r w:rsidR="00954D1A" w:rsidRPr="00063DB9">
        <w:rPr>
          <w:i/>
          <w:sz w:val="20"/>
          <w:szCs w:val="20"/>
        </w:rPr>
        <w:t>accionistas”</w:t>
      </w:r>
      <w:r w:rsidR="00954D1A" w:rsidRPr="00063DB9">
        <w:rPr>
          <w:sz w:val="20"/>
          <w:szCs w:val="20"/>
        </w:rPr>
        <w:t xml:space="preserve"> a las </w:t>
      </w:r>
      <w:r w:rsidR="00954D1A" w:rsidRPr="00880A92">
        <w:rPr>
          <w:sz w:val="20"/>
          <w:szCs w:val="20"/>
        </w:rPr>
        <w:t>siete</w:t>
      </w:r>
      <w:r w:rsidR="00954D1A" w:rsidRPr="00063DB9">
        <w:rPr>
          <w:sz w:val="20"/>
          <w:szCs w:val="20"/>
        </w:rPr>
        <w:t xml:space="preserve"> personas que aparecen en la nota 10. </w:t>
      </w:r>
      <w:r w:rsidR="000D3597" w:rsidRPr="00063DB9">
        <w:rPr>
          <w:sz w:val="20"/>
          <w:szCs w:val="20"/>
        </w:rPr>
        <w:t xml:space="preserve">En total son 187 personas, porque </w:t>
      </w:r>
      <w:r w:rsidR="00954D1A" w:rsidRPr="00063DB9">
        <w:rPr>
          <w:sz w:val="20"/>
          <w:szCs w:val="20"/>
        </w:rPr>
        <w:t xml:space="preserve">Marcel </w:t>
      </w:r>
      <w:proofErr w:type="spellStart"/>
      <w:r w:rsidR="00954D1A" w:rsidRPr="00063DB9">
        <w:rPr>
          <w:sz w:val="20"/>
          <w:szCs w:val="20"/>
        </w:rPr>
        <w:t>Granier</w:t>
      </w:r>
      <w:proofErr w:type="spellEnd"/>
      <w:r w:rsidR="00954D1A" w:rsidRPr="00063DB9">
        <w:rPr>
          <w:sz w:val="20"/>
          <w:szCs w:val="20"/>
        </w:rPr>
        <w:t xml:space="preserve"> figura en las dos últimas listas</w:t>
      </w:r>
      <w:r w:rsidR="000D3597" w:rsidRPr="00063DB9">
        <w:rPr>
          <w:sz w:val="20"/>
          <w:szCs w:val="20"/>
        </w:rPr>
        <w:t>, como directivo y accionista</w:t>
      </w:r>
      <w:r w:rsidR="00AB106E">
        <w:rPr>
          <w:rStyle w:val="FootnoteReference"/>
          <w:sz w:val="20"/>
          <w:szCs w:val="20"/>
        </w:rPr>
        <w:footnoteReference w:id="3"/>
      </w:r>
      <w:r w:rsidR="00954D1A" w:rsidRPr="00063DB9">
        <w:rPr>
          <w:sz w:val="20"/>
          <w:szCs w:val="20"/>
        </w:rPr>
        <w:t>.</w:t>
      </w:r>
      <w:r w:rsidR="00AB7AD7" w:rsidRPr="00063DB9">
        <w:rPr>
          <w:sz w:val="20"/>
          <w:szCs w:val="20"/>
        </w:rPr>
        <w:t xml:space="preserve"> En el escrito de solicitudes, argumentos y pruebas los “directivos” pasaron a ser “trabajadores” y se añadieron en esta nueva lista cuatro miembros del personal directivo que no figuraban en </w:t>
      </w:r>
      <w:r w:rsidR="00654262" w:rsidRPr="00063DB9">
        <w:rPr>
          <w:sz w:val="20"/>
          <w:szCs w:val="20"/>
        </w:rPr>
        <w:t>ninguna</w:t>
      </w:r>
      <w:r w:rsidR="00AB7AD7" w:rsidRPr="00063DB9">
        <w:rPr>
          <w:sz w:val="20"/>
          <w:szCs w:val="20"/>
        </w:rPr>
        <w:t xml:space="preserve"> de las listas iniciales</w:t>
      </w:r>
      <w:r w:rsidR="00AB106E">
        <w:rPr>
          <w:rStyle w:val="FootnoteReference"/>
          <w:sz w:val="20"/>
          <w:szCs w:val="20"/>
        </w:rPr>
        <w:footnoteReference w:id="4"/>
      </w:r>
      <w:r w:rsidR="00AB7AD7" w:rsidRPr="00063DB9">
        <w:rPr>
          <w:sz w:val="20"/>
          <w:szCs w:val="20"/>
        </w:rPr>
        <w:t xml:space="preserve"> (nota 12, segundo párrafo)</w:t>
      </w:r>
    </w:p>
    <w:p w:rsidR="00063DB9" w:rsidRPr="00063DB9" w:rsidRDefault="00063DB9" w:rsidP="00063DB9">
      <w:pPr>
        <w:pStyle w:val="Estilo1"/>
        <w:numPr>
          <w:ilvl w:val="0"/>
          <w:numId w:val="0"/>
        </w:numPr>
        <w:spacing w:after="0" w:line="240" w:lineRule="auto"/>
        <w:rPr>
          <w:sz w:val="20"/>
          <w:szCs w:val="20"/>
        </w:rPr>
      </w:pPr>
    </w:p>
    <w:p w:rsidR="000D3597" w:rsidRDefault="000D3597" w:rsidP="00063DB9">
      <w:pPr>
        <w:pStyle w:val="Estilo1"/>
        <w:spacing w:after="0" w:line="240" w:lineRule="auto"/>
        <w:rPr>
          <w:sz w:val="20"/>
          <w:szCs w:val="20"/>
        </w:rPr>
      </w:pPr>
      <w:r w:rsidRPr="00063DB9">
        <w:rPr>
          <w:sz w:val="20"/>
          <w:szCs w:val="20"/>
        </w:rPr>
        <w:t xml:space="preserve">Esa lista se reduce drásticamente a sólo </w:t>
      </w:r>
      <w:r w:rsidR="0011338E" w:rsidRPr="00063DB9">
        <w:rPr>
          <w:sz w:val="20"/>
          <w:szCs w:val="20"/>
        </w:rPr>
        <w:t>21 (contando 7 accionistas)</w:t>
      </w:r>
      <w:r w:rsidRPr="00063DB9">
        <w:rPr>
          <w:sz w:val="20"/>
          <w:szCs w:val="20"/>
        </w:rPr>
        <w:t xml:space="preserve"> en el informe de fondo de la Comisión</w:t>
      </w:r>
      <w:r w:rsidR="005243AF">
        <w:rPr>
          <w:rStyle w:val="FootnoteReference"/>
          <w:sz w:val="20"/>
          <w:szCs w:val="20"/>
        </w:rPr>
        <w:footnoteReference w:id="5"/>
      </w:r>
      <w:r w:rsidRPr="00063DB9">
        <w:rPr>
          <w:sz w:val="20"/>
          <w:szCs w:val="20"/>
        </w:rPr>
        <w:t xml:space="preserve"> </w:t>
      </w:r>
      <w:r w:rsidR="0011338E" w:rsidRPr="00063DB9">
        <w:rPr>
          <w:sz w:val="20"/>
          <w:szCs w:val="20"/>
        </w:rPr>
        <w:t>y</w:t>
      </w:r>
      <w:r w:rsidR="00F928AA">
        <w:rPr>
          <w:sz w:val="20"/>
          <w:szCs w:val="20"/>
        </w:rPr>
        <w:t xml:space="preserve">, en relación con la violación de los artículos 13.1 y </w:t>
      </w:r>
      <w:r w:rsidR="00F928AA">
        <w:rPr>
          <w:sz w:val="20"/>
          <w:szCs w:val="20"/>
        </w:rPr>
        <w:lastRenderedPageBreak/>
        <w:t>13.3,</w:t>
      </w:r>
      <w:r w:rsidR="0011338E" w:rsidRPr="00063DB9">
        <w:rPr>
          <w:sz w:val="20"/>
          <w:szCs w:val="20"/>
        </w:rPr>
        <w:t xml:space="preserve"> baja aún más, a 11 (contando 3 accionistas) en la sentencia</w:t>
      </w:r>
      <w:r w:rsidR="00F928AA">
        <w:rPr>
          <w:rStyle w:val="FootnoteReference"/>
          <w:sz w:val="20"/>
          <w:szCs w:val="20"/>
        </w:rPr>
        <w:footnoteReference w:id="6"/>
      </w:r>
      <w:r w:rsidR="0011338E" w:rsidRPr="00063DB9">
        <w:rPr>
          <w:sz w:val="20"/>
          <w:szCs w:val="20"/>
        </w:rPr>
        <w:t xml:space="preserve">. </w:t>
      </w:r>
      <w:r w:rsidR="002D6DCF" w:rsidRPr="00063DB9">
        <w:rPr>
          <w:sz w:val="20"/>
          <w:szCs w:val="20"/>
        </w:rPr>
        <w:t>En realidad, p</w:t>
      </w:r>
      <w:r w:rsidR="0011338E" w:rsidRPr="00063DB9">
        <w:rPr>
          <w:sz w:val="20"/>
          <w:szCs w:val="20"/>
        </w:rPr>
        <w:t>ara la Corte, el criterio de inclusión en la lista de víctimas de la restricción indirecta del derecho a la libertad de expresión es la “</w:t>
      </w:r>
      <w:r w:rsidR="0011338E" w:rsidRPr="00063DB9">
        <w:rPr>
          <w:i/>
          <w:sz w:val="20"/>
          <w:szCs w:val="20"/>
        </w:rPr>
        <w:t>incidencia real en la misión comunicacional de la empresa</w:t>
      </w:r>
      <w:r w:rsidR="0011338E" w:rsidRPr="00063DB9">
        <w:rPr>
          <w:sz w:val="20"/>
          <w:szCs w:val="20"/>
        </w:rPr>
        <w:t>”</w:t>
      </w:r>
      <w:r w:rsidR="005243AF">
        <w:rPr>
          <w:rStyle w:val="FootnoteReference"/>
          <w:sz w:val="20"/>
          <w:szCs w:val="20"/>
        </w:rPr>
        <w:footnoteReference w:id="7"/>
      </w:r>
      <w:r w:rsidR="002D6DCF" w:rsidRPr="00063DB9">
        <w:rPr>
          <w:sz w:val="20"/>
          <w:szCs w:val="20"/>
        </w:rPr>
        <w:t xml:space="preserve">. Tomando el total de violaciones declaradas por la Corte, la lista de víctimas es variable: los 7 accionistas </w:t>
      </w:r>
      <w:r w:rsidR="00172B1E" w:rsidRPr="00063DB9">
        <w:rPr>
          <w:sz w:val="20"/>
          <w:szCs w:val="20"/>
        </w:rPr>
        <w:t xml:space="preserve">indirectos </w:t>
      </w:r>
      <w:r w:rsidR="002D6DCF" w:rsidRPr="00063DB9">
        <w:rPr>
          <w:sz w:val="20"/>
          <w:szCs w:val="20"/>
        </w:rPr>
        <w:t>para el derecho a un debido proceso en los procedimientos de transformación de los títulos y renovación de la concesión</w:t>
      </w:r>
      <w:r w:rsidR="005243AF">
        <w:rPr>
          <w:rStyle w:val="FootnoteReference"/>
          <w:sz w:val="20"/>
          <w:szCs w:val="20"/>
        </w:rPr>
        <w:footnoteReference w:id="8"/>
      </w:r>
      <w:r w:rsidR="002D6DCF" w:rsidRPr="00063DB9">
        <w:rPr>
          <w:sz w:val="20"/>
          <w:szCs w:val="20"/>
        </w:rPr>
        <w:t xml:space="preserve"> y los derechos a ser oído y al plazo razonable en el trámite de la demanda por intereses difusos y colectivos</w:t>
      </w:r>
      <w:r w:rsidR="005243AF">
        <w:rPr>
          <w:rStyle w:val="FootnoteReference"/>
          <w:sz w:val="20"/>
          <w:szCs w:val="20"/>
        </w:rPr>
        <w:footnoteReference w:id="9"/>
      </w:r>
      <w:r w:rsidR="00EB62DF">
        <w:rPr>
          <w:sz w:val="20"/>
          <w:szCs w:val="20"/>
        </w:rPr>
        <w:t>;</w:t>
      </w:r>
      <w:r w:rsidR="002D6DCF" w:rsidRPr="00063DB9">
        <w:rPr>
          <w:sz w:val="20"/>
          <w:szCs w:val="20"/>
        </w:rPr>
        <w:t xml:space="preserve"> 11 en relación con la restricción indirecta </w:t>
      </w:r>
      <w:r w:rsidR="00EB62DF">
        <w:rPr>
          <w:sz w:val="20"/>
          <w:szCs w:val="20"/>
        </w:rPr>
        <w:t xml:space="preserve">al ejercicio </w:t>
      </w:r>
      <w:r w:rsidR="002D6DCF" w:rsidRPr="00063DB9">
        <w:rPr>
          <w:sz w:val="20"/>
          <w:szCs w:val="20"/>
        </w:rPr>
        <w:t>del derecho a la libertad de expresión</w:t>
      </w:r>
      <w:r w:rsidR="005243AF">
        <w:rPr>
          <w:rStyle w:val="FootnoteReference"/>
          <w:sz w:val="20"/>
          <w:szCs w:val="20"/>
        </w:rPr>
        <w:footnoteReference w:id="10"/>
      </w:r>
      <w:r w:rsidR="002D6DCF" w:rsidRPr="00063DB9">
        <w:rPr>
          <w:sz w:val="20"/>
          <w:szCs w:val="20"/>
        </w:rPr>
        <w:t xml:space="preserve"> y el deber de no discriminación</w:t>
      </w:r>
      <w:r w:rsidR="00FB262B">
        <w:rPr>
          <w:rStyle w:val="FootnoteReference"/>
          <w:sz w:val="20"/>
          <w:szCs w:val="20"/>
        </w:rPr>
        <w:footnoteReference w:id="11"/>
      </w:r>
      <w:r w:rsidR="002D6DCF" w:rsidRPr="00063DB9">
        <w:rPr>
          <w:sz w:val="20"/>
          <w:szCs w:val="20"/>
        </w:rPr>
        <w:t xml:space="preserve"> </w:t>
      </w:r>
      <w:r w:rsidR="00EB62DF">
        <w:rPr>
          <w:sz w:val="20"/>
          <w:szCs w:val="20"/>
        </w:rPr>
        <w:t xml:space="preserve">, </w:t>
      </w:r>
      <w:r w:rsidR="00172B1E" w:rsidRPr="00063DB9">
        <w:rPr>
          <w:sz w:val="20"/>
          <w:szCs w:val="20"/>
        </w:rPr>
        <w:t>y</w:t>
      </w:r>
      <w:r w:rsidR="002D6DCF" w:rsidRPr="00063DB9">
        <w:rPr>
          <w:sz w:val="20"/>
          <w:szCs w:val="20"/>
        </w:rPr>
        <w:t xml:space="preserve"> </w:t>
      </w:r>
      <w:r w:rsidR="00056E2E">
        <w:rPr>
          <w:sz w:val="20"/>
          <w:szCs w:val="20"/>
        </w:rPr>
        <w:t>19</w:t>
      </w:r>
      <w:r w:rsidR="00056E2E" w:rsidRPr="00063DB9">
        <w:rPr>
          <w:sz w:val="20"/>
          <w:szCs w:val="20"/>
        </w:rPr>
        <w:t xml:space="preserve"> </w:t>
      </w:r>
      <w:r w:rsidR="002D6DCF" w:rsidRPr="00063DB9">
        <w:rPr>
          <w:sz w:val="20"/>
          <w:szCs w:val="20"/>
        </w:rPr>
        <w:t>respecto del derecho a un plazo razonable</w:t>
      </w:r>
      <w:r w:rsidR="00EB62DF">
        <w:rPr>
          <w:sz w:val="20"/>
          <w:szCs w:val="20"/>
        </w:rPr>
        <w:t xml:space="preserve"> en el proceso contencioso administrativo de nulidad</w:t>
      </w:r>
      <w:r w:rsidR="00EB62DF">
        <w:rPr>
          <w:rStyle w:val="FootnoteReference"/>
          <w:sz w:val="20"/>
          <w:szCs w:val="20"/>
        </w:rPr>
        <w:t xml:space="preserve"> </w:t>
      </w:r>
      <w:r w:rsidR="00FB262B">
        <w:rPr>
          <w:rStyle w:val="FootnoteReference"/>
          <w:sz w:val="20"/>
          <w:szCs w:val="20"/>
        </w:rPr>
        <w:footnoteReference w:id="12"/>
      </w:r>
      <w:r w:rsidR="002D6DCF" w:rsidRPr="00063DB9">
        <w:rPr>
          <w:sz w:val="20"/>
          <w:szCs w:val="20"/>
        </w:rPr>
        <w:t xml:space="preserve"> </w:t>
      </w:r>
      <w:r w:rsidR="00172B1E" w:rsidRPr="00063DB9">
        <w:rPr>
          <w:sz w:val="20"/>
          <w:szCs w:val="20"/>
        </w:rPr>
        <w:t>y el derecho al plazo razonable en el trámite de la medida cautelar innominada</w:t>
      </w:r>
      <w:r w:rsidR="00D17BE6" w:rsidRPr="00D17BE6">
        <w:rPr>
          <w:sz w:val="20"/>
          <w:szCs w:val="20"/>
        </w:rPr>
        <w:t xml:space="preserve"> </w:t>
      </w:r>
      <w:r w:rsidR="00D17BE6" w:rsidRPr="00A15BA7">
        <w:rPr>
          <w:sz w:val="20"/>
          <w:szCs w:val="20"/>
        </w:rPr>
        <w:t xml:space="preserve">en el marco del proceso contencioso administrativo de nulidad </w:t>
      </w:r>
      <w:r w:rsidR="00FB262B">
        <w:rPr>
          <w:rStyle w:val="FootnoteReference"/>
          <w:sz w:val="20"/>
          <w:szCs w:val="20"/>
        </w:rPr>
        <w:footnoteReference w:id="13"/>
      </w:r>
      <w:r w:rsidR="00172B1E" w:rsidRPr="00063DB9">
        <w:rPr>
          <w:sz w:val="20"/>
          <w:szCs w:val="20"/>
        </w:rPr>
        <w:t>.</w:t>
      </w:r>
    </w:p>
    <w:p w:rsidR="00063DB9" w:rsidRPr="00063DB9" w:rsidRDefault="00063DB9" w:rsidP="00063DB9">
      <w:pPr>
        <w:pStyle w:val="Estilo1"/>
        <w:numPr>
          <w:ilvl w:val="0"/>
          <w:numId w:val="0"/>
        </w:numPr>
        <w:spacing w:after="0" w:line="240" w:lineRule="auto"/>
        <w:rPr>
          <w:sz w:val="20"/>
          <w:szCs w:val="20"/>
        </w:rPr>
      </w:pPr>
    </w:p>
    <w:p w:rsidR="00172B1E" w:rsidRDefault="00172B1E" w:rsidP="00063DB9">
      <w:pPr>
        <w:pStyle w:val="Estilo1"/>
        <w:spacing w:after="0" w:line="240" w:lineRule="auto"/>
        <w:rPr>
          <w:sz w:val="20"/>
          <w:szCs w:val="20"/>
        </w:rPr>
      </w:pPr>
      <w:r w:rsidRPr="00063DB9">
        <w:rPr>
          <w:sz w:val="20"/>
          <w:szCs w:val="20"/>
        </w:rPr>
        <w:t>Asimismo, en la parte</w:t>
      </w:r>
      <w:r w:rsidR="00EB575D" w:rsidRPr="00063DB9">
        <w:rPr>
          <w:sz w:val="20"/>
          <w:szCs w:val="20"/>
        </w:rPr>
        <w:t xml:space="preserve"> dispositiva los puntos 15 y 16</w:t>
      </w:r>
      <w:r w:rsidRPr="00063DB9">
        <w:rPr>
          <w:sz w:val="20"/>
          <w:szCs w:val="20"/>
        </w:rPr>
        <w:t>, no relacionados con ninguno de los puntos declarativos en que se declararon violaciones, de hecho consideran víctima a la persona jurídica RCTV, y sustancialmente a sus 7 accionistas indirectos.</w:t>
      </w:r>
    </w:p>
    <w:p w:rsidR="00063DB9" w:rsidRPr="00063DB9" w:rsidRDefault="00063DB9" w:rsidP="00063DB9">
      <w:pPr>
        <w:pStyle w:val="Estilo1"/>
        <w:numPr>
          <w:ilvl w:val="0"/>
          <w:numId w:val="0"/>
        </w:numPr>
        <w:spacing w:after="0" w:line="240" w:lineRule="auto"/>
        <w:rPr>
          <w:sz w:val="20"/>
          <w:szCs w:val="20"/>
        </w:rPr>
      </w:pPr>
    </w:p>
    <w:p w:rsidR="00172B1E" w:rsidRPr="00063DB9" w:rsidRDefault="00AB7AD7" w:rsidP="00063DB9">
      <w:pPr>
        <w:pStyle w:val="Estilo1"/>
        <w:spacing w:after="0" w:line="240" w:lineRule="auto"/>
        <w:rPr>
          <w:sz w:val="20"/>
          <w:szCs w:val="20"/>
        </w:rPr>
      </w:pPr>
      <w:r w:rsidRPr="00063DB9">
        <w:rPr>
          <w:sz w:val="20"/>
          <w:szCs w:val="20"/>
        </w:rPr>
        <w:t>Desde el punto de vista subjetivo, pues, h</w:t>
      </w:r>
      <w:r w:rsidR="00172B1E" w:rsidRPr="00063DB9">
        <w:rPr>
          <w:sz w:val="20"/>
          <w:szCs w:val="20"/>
        </w:rPr>
        <w:t>an quedado fuera de la protección de la sentencia en general 16</w:t>
      </w:r>
      <w:r w:rsidR="00056E2E">
        <w:rPr>
          <w:sz w:val="20"/>
          <w:szCs w:val="20"/>
        </w:rPr>
        <w:t>8</w:t>
      </w:r>
      <w:r w:rsidR="00172B1E" w:rsidRPr="00063DB9">
        <w:rPr>
          <w:sz w:val="20"/>
          <w:szCs w:val="20"/>
        </w:rPr>
        <w:t xml:space="preserve"> periodistas, trabajadores y directivos incluidos en la petición, y de la protección en lo tocante a la libertad de expresión 1</w:t>
      </w:r>
      <w:r w:rsidR="00C00121">
        <w:rPr>
          <w:sz w:val="20"/>
          <w:szCs w:val="20"/>
        </w:rPr>
        <w:t>76</w:t>
      </w:r>
      <w:r w:rsidR="00172B1E" w:rsidRPr="00063DB9">
        <w:rPr>
          <w:sz w:val="20"/>
          <w:szCs w:val="20"/>
        </w:rPr>
        <w:t xml:space="preserve"> de esas personas. Los beneficiarios de las declaraciones y reparaciones en los aspectos más importantes son los 7 accionistas</w:t>
      </w:r>
      <w:r w:rsidRPr="00063DB9">
        <w:rPr>
          <w:sz w:val="20"/>
          <w:szCs w:val="20"/>
        </w:rPr>
        <w:t>. Las otras personas que se han considerado víctimas en algunos puntos, invocando su supuesta calidad de trabajadores, en realidad integraban otra categoría pues eran miembros del personal directivo superior.</w:t>
      </w:r>
    </w:p>
    <w:p w:rsidR="00063DB9" w:rsidRDefault="00063DB9" w:rsidP="00063DB9">
      <w:pPr>
        <w:pStyle w:val="Estilo1"/>
        <w:keepNext/>
        <w:numPr>
          <w:ilvl w:val="0"/>
          <w:numId w:val="0"/>
        </w:numPr>
        <w:spacing w:after="0" w:line="240" w:lineRule="auto"/>
        <w:rPr>
          <w:i/>
          <w:sz w:val="20"/>
          <w:szCs w:val="20"/>
        </w:rPr>
      </w:pPr>
    </w:p>
    <w:p w:rsidR="00AB7AD7" w:rsidRPr="00063DB9" w:rsidRDefault="00AB7AD7" w:rsidP="00063DB9">
      <w:pPr>
        <w:pStyle w:val="Estilo1"/>
        <w:keepNext/>
        <w:numPr>
          <w:ilvl w:val="0"/>
          <w:numId w:val="0"/>
        </w:numPr>
        <w:spacing w:after="0" w:line="240" w:lineRule="auto"/>
        <w:rPr>
          <w:i/>
          <w:sz w:val="20"/>
          <w:szCs w:val="20"/>
        </w:rPr>
      </w:pPr>
      <w:r w:rsidRPr="00063DB9">
        <w:rPr>
          <w:i/>
          <w:sz w:val="20"/>
          <w:szCs w:val="20"/>
        </w:rPr>
        <w:t>Aspecto objetivo</w:t>
      </w:r>
    </w:p>
    <w:p w:rsidR="00063DB9" w:rsidRDefault="00063DB9" w:rsidP="00063DB9">
      <w:pPr>
        <w:pStyle w:val="Estilo1"/>
        <w:numPr>
          <w:ilvl w:val="0"/>
          <w:numId w:val="0"/>
        </w:numPr>
        <w:spacing w:after="0" w:line="240" w:lineRule="auto"/>
        <w:rPr>
          <w:sz w:val="20"/>
          <w:szCs w:val="20"/>
        </w:rPr>
      </w:pPr>
    </w:p>
    <w:p w:rsidR="0011338E" w:rsidRDefault="00C42D64" w:rsidP="00063DB9">
      <w:pPr>
        <w:pStyle w:val="Estilo1"/>
        <w:spacing w:after="0" w:line="240" w:lineRule="auto"/>
        <w:rPr>
          <w:sz w:val="20"/>
          <w:szCs w:val="20"/>
        </w:rPr>
      </w:pPr>
      <w:r w:rsidRPr="00063DB9">
        <w:rPr>
          <w:sz w:val="20"/>
          <w:szCs w:val="20"/>
        </w:rPr>
        <w:t>La reducción de la cantidad de personas que impulsaban el proceso ante la Corte a 7 personas –los accionistas– también explica por qué, desde el punto de vista objetivo, las pretensiones que se hicieron valer y los resultados finalmente obtenidos no se relacionan con los valores individuales y sociales asociados a la libertad de expresión, sino con la empresa RCTV y sus dueños. Varios puntos ilustran esta afirmación.</w:t>
      </w:r>
    </w:p>
    <w:p w:rsidR="00063DB9" w:rsidRPr="00063DB9" w:rsidRDefault="00063DB9" w:rsidP="00063DB9">
      <w:pPr>
        <w:pStyle w:val="Estilo1"/>
        <w:numPr>
          <w:ilvl w:val="0"/>
          <w:numId w:val="0"/>
        </w:numPr>
        <w:spacing w:after="0" w:line="240" w:lineRule="auto"/>
        <w:rPr>
          <w:sz w:val="20"/>
          <w:szCs w:val="20"/>
        </w:rPr>
      </w:pPr>
    </w:p>
    <w:p w:rsidR="00C42D64" w:rsidRDefault="00C42D64" w:rsidP="00063DB9">
      <w:pPr>
        <w:pStyle w:val="Estilo1"/>
        <w:spacing w:after="0" w:line="240" w:lineRule="auto"/>
        <w:rPr>
          <w:sz w:val="20"/>
          <w:szCs w:val="20"/>
        </w:rPr>
      </w:pPr>
      <w:r w:rsidRPr="00063DB9">
        <w:rPr>
          <w:sz w:val="20"/>
          <w:szCs w:val="20"/>
        </w:rPr>
        <w:t>En primer lugar, los accionistas no asignaron carácter prioritario a la eventual concesión de otro canal que les permitiera mantenerse en actividad. En efecto, en el párrafo 209 consta que los representantes señalaron que “existían otras frecuencias libres y disponibles en el espacio radioeléctrico”. Para su argumentación</w:t>
      </w:r>
      <w:r w:rsidR="00AD51DA">
        <w:rPr>
          <w:sz w:val="20"/>
          <w:szCs w:val="20"/>
        </w:rPr>
        <w:t>,</w:t>
      </w:r>
      <w:r w:rsidRPr="00063DB9">
        <w:rPr>
          <w:sz w:val="20"/>
          <w:szCs w:val="20"/>
        </w:rPr>
        <w:t xml:space="preserve"> les interesó más destacar que también existían “frecuencias de otra televisora en las mismas condiciones legales, técnicas y comerciales que RCTV, por lo cual no hay causa que justifique </w:t>
      </w:r>
      <w:proofErr w:type="gramStart"/>
      <w:r w:rsidRPr="00063DB9">
        <w:rPr>
          <w:sz w:val="20"/>
          <w:szCs w:val="20"/>
        </w:rPr>
        <w:t>por[</w:t>
      </w:r>
      <w:proofErr w:type="gramEnd"/>
      <w:r w:rsidRPr="00063DB9">
        <w:rPr>
          <w:sz w:val="20"/>
          <w:szCs w:val="20"/>
        </w:rPr>
        <w:t xml:space="preserve">que] debían ser precisamente las frecuencias de RCTV las que debían ser utilizadas para permitir la alegada democratización de los medios”. Pero si había otras frecuencias “libres y disponibles”, y se quería defender la libertad de expresión, el </w:t>
      </w:r>
      <w:r w:rsidRPr="00063DB9">
        <w:rPr>
          <w:sz w:val="20"/>
          <w:szCs w:val="20"/>
        </w:rPr>
        <w:lastRenderedPageBreak/>
        <w:t>razonamiento más lógico y natural sería que RCTV hubiese pedido alguna de esas frecuencias.</w:t>
      </w:r>
    </w:p>
    <w:p w:rsidR="00063DB9" w:rsidRPr="00063DB9" w:rsidRDefault="00063DB9" w:rsidP="00063DB9">
      <w:pPr>
        <w:pStyle w:val="Estilo1"/>
        <w:numPr>
          <w:ilvl w:val="0"/>
          <w:numId w:val="0"/>
        </w:numPr>
        <w:spacing w:after="0" w:line="240" w:lineRule="auto"/>
        <w:rPr>
          <w:sz w:val="20"/>
          <w:szCs w:val="20"/>
        </w:rPr>
      </w:pPr>
    </w:p>
    <w:p w:rsidR="00C42D64" w:rsidRPr="00063DB9" w:rsidRDefault="00C42D64" w:rsidP="00063DB9">
      <w:pPr>
        <w:pStyle w:val="Estilo1"/>
        <w:spacing w:after="0" w:line="240" w:lineRule="auto"/>
        <w:rPr>
          <w:sz w:val="20"/>
          <w:szCs w:val="20"/>
        </w:rPr>
      </w:pPr>
      <w:r w:rsidRPr="00063DB9">
        <w:rPr>
          <w:sz w:val="20"/>
          <w:szCs w:val="20"/>
        </w:rPr>
        <w:t xml:space="preserve">Por otro lado, en </w:t>
      </w:r>
      <w:r w:rsidR="00E81C60" w:rsidRPr="00063DB9">
        <w:rPr>
          <w:sz w:val="20"/>
          <w:szCs w:val="20"/>
        </w:rPr>
        <w:t xml:space="preserve">la </w:t>
      </w:r>
      <w:r w:rsidR="00673261">
        <w:rPr>
          <w:sz w:val="20"/>
          <w:szCs w:val="20"/>
        </w:rPr>
        <w:t>S</w:t>
      </w:r>
      <w:r w:rsidR="00E81C60" w:rsidRPr="00063DB9">
        <w:rPr>
          <w:sz w:val="20"/>
          <w:szCs w:val="20"/>
        </w:rPr>
        <w:t>entencia consta también la afirmación del Estado (no contradicha por los representantes) de que</w:t>
      </w:r>
      <w:r w:rsidR="008C7D3D" w:rsidRPr="00063DB9">
        <w:rPr>
          <w:sz w:val="20"/>
          <w:szCs w:val="20"/>
        </w:rPr>
        <w:t xml:space="preserve"> </w:t>
      </w:r>
      <w:r w:rsidR="001C48CA">
        <w:rPr>
          <w:sz w:val="20"/>
          <w:szCs w:val="20"/>
        </w:rPr>
        <w:t>“[</w:t>
      </w:r>
      <w:r w:rsidR="008C7D3D" w:rsidRPr="00063DB9">
        <w:rPr>
          <w:sz w:val="20"/>
          <w:szCs w:val="20"/>
        </w:rPr>
        <w:t>r</w:t>
      </w:r>
      <w:r w:rsidR="001C48CA">
        <w:rPr>
          <w:sz w:val="20"/>
          <w:szCs w:val="20"/>
        </w:rPr>
        <w:t>]</w:t>
      </w:r>
      <w:proofErr w:type="spellStart"/>
      <w:r w:rsidR="00E81C60" w:rsidRPr="00063DB9">
        <w:rPr>
          <w:sz w:val="20"/>
          <w:szCs w:val="20"/>
        </w:rPr>
        <w:t>especto</w:t>
      </w:r>
      <w:proofErr w:type="spellEnd"/>
      <w:r w:rsidR="00E81C60" w:rsidRPr="00063DB9">
        <w:rPr>
          <w:sz w:val="20"/>
          <w:szCs w:val="20"/>
        </w:rPr>
        <w:t xml:space="preserve"> de las razones para dar </w:t>
      </w:r>
      <w:r w:rsidR="001C48CA">
        <w:rPr>
          <w:sz w:val="20"/>
          <w:szCs w:val="20"/>
        </w:rPr>
        <w:t>‘</w:t>
      </w:r>
      <w:r w:rsidR="00E81C60" w:rsidRPr="00063DB9">
        <w:rPr>
          <w:sz w:val="20"/>
          <w:szCs w:val="20"/>
        </w:rPr>
        <w:t>la señal de RCTV y no la de otra televisora</w:t>
      </w:r>
      <w:r w:rsidR="001C48CA">
        <w:rPr>
          <w:sz w:val="20"/>
          <w:szCs w:val="20"/>
        </w:rPr>
        <w:t>’</w:t>
      </w:r>
      <w:r w:rsidR="00E81C60" w:rsidRPr="00063DB9">
        <w:rPr>
          <w:sz w:val="20"/>
          <w:szCs w:val="20"/>
        </w:rPr>
        <w:t xml:space="preserve">, refirió que </w:t>
      </w:r>
      <w:r w:rsidR="001C48CA">
        <w:rPr>
          <w:sz w:val="20"/>
          <w:szCs w:val="20"/>
        </w:rPr>
        <w:t>‘</w:t>
      </w:r>
      <w:r w:rsidR="00E81C60" w:rsidRPr="00063DB9">
        <w:rPr>
          <w:sz w:val="20"/>
          <w:szCs w:val="20"/>
        </w:rPr>
        <w:t>[d]e las señales que existen en la frecuencia VHF, la del canal 2 es en particular la que posee mayor alcance por su ubicación en la banda del espectro radioeléctrico, técnicamente hablando esta señal es la que tiene más ventajas, es la primera señal del dial en la franja de ubicación del espectro radioeléctrico, tiene el mayor alcance de propagación, más incluso que una de las señales del Estado como Venezolana de Televisión, y por ello requiere una menor inversión para difundirla</w:t>
      </w:r>
      <w:r w:rsidR="001C48CA">
        <w:rPr>
          <w:sz w:val="20"/>
          <w:szCs w:val="20"/>
        </w:rPr>
        <w:t>’</w:t>
      </w:r>
      <w:r w:rsidR="00E81C60" w:rsidRPr="00063DB9">
        <w:rPr>
          <w:sz w:val="20"/>
          <w:szCs w:val="20"/>
        </w:rPr>
        <w:t xml:space="preserve"> y que </w:t>
      </w:r>
      <w:r w:rsidR="001C48CA">
        <w:rPr>
          <w:sz w:val="20"/>
          <w:szCs w:val="20"/>
        </w:rPr>
        <w:t>‘</w:t>
      </w:r>
      <w:r w:rsidR="00E81C60" w:rsidRPr="00063DB9">
        <w:rPr>
          <w:sz w:val="20"/>
          <w:szCs w:val="20"/>
        </w:rPr>
        <w:t>[h]ay un ahorro considerable en costos técnicos y de infraestructura y un importante alcance de propagación y difusión de la señal en todo el territorio nacional,  además, las antenas, las torres, las ubicaciones de las mismas, lo que se conoce como atributo de la concesión según lo define el artículo 110 de la Ley Orgánica de Telecomunicaciones, son específicas para cada señal, es decir, la infraestructura de RCTV puntualmente sus transmisores sólo está habilitada para el uso de esa señal en particular</w:t>
      </w:r>
      <w:r w:rsidR="001C48CA">
        <w:rPr>
          <w:sz w:val="20"/>
          <w:szCs w:val="20"/>
        </w:rPr>
        <w:t>’</w:t>
      </w:r>
      <w:r w:rsidR="00E81C60" w:rsidRPr="00063DB9">
        <w:rPr>
          <w:sz w:val="20"/>
          <w:szCs w:val="20"/>
        </w:rPr>
        <w:t>”</w:t>
      </w:r>
      <w:r w:rsidR="00FB262B">
        <w:rPr>
          <w:rStyle w:val="FootnoteReference"/>
          <w:sz w:val="20"/>
          <w:szCs w:val="20"/>
        </w:rPr>
        <w:footnoteReference w:id="14"/>
      </w:r>
      <w:r w:rsidR="00E81C60" w:rsidRPr="00063DB9">
        <w:rPr>
          <w:sz w:val="20"/>
          <w:szCs w:val="20"/>
        </w:rPr>
        <w:t xml:space="preserve">. Asimismo afirmó el Estado “que la selección de la cadena de RCTV se debió </w:t>
      </w:r>
      <w:r w:rsidR="001C48CA">
        <w:rPr>
          <w:sz w:val="20"/>
          <w:szCs w:val="20"/>
        </w:rPr>
        <w:t>‘</w:t>
      </w:r>
      <w:r w:rsidR="00E81C60" w:rsidRPr="00063DB9">
        <w:rPr>
          <w:sz w:val="20"/>
          <w:szCs w:val="20"/>
        </w:rPr>
        <w:t>simplemente a razones técnicas</w:t>
      </w:r>
      <w:r w:rsidR="001C48CA">
        <w:rPr>
          <w:sz w:val="20"/>
          <w:szCs w:val="20"/>
        </w:rPr>
        <w:t>’</w:t>
      </w:r>
      <w:r w:rsidR="00E81C60" w:rsidRPr="00063DB9">
        <w:rPr>
          <w:sz w:val="20"/>
          <w:szCs w:val="20"/>
        </w:rPr>
        <w:t xml:space="preserve">, ya que </w:t>
      </w:r>
      <w:r w:rsidR="001C48CA">
        <w:rPr>
          <w:sz w:val="20"/>
          <w:szCs w:val="20"/>
        </w:rPr>
        <w:t>‘</w:t>
      </w:r>
      <w:r w:rsidR="00E81C60" w:rsidRPr="00063DB9">
        <w:rPr>
          <w:sz w:val="20"/>
          <w:szCs w:val="20"/>
        </w:rPr>
        <w:t>las frecuencias tienen canales de exposición</w:t>
      </w:r>
      <w:r w:rsidR="001C48CA">
        <w:rPr>
          <w:sz w:val="20"/>
          <w:szCs w:val="20"/>
        </w:rPr>
        <w:t>’</w:t>
      </w:r>
      <w:r w:rsidR="00E81C60" w:rsidRPr="00063DB9">
        <w:rPr>
          <w:sz w:val="20"/>
          <w:szCs w:val="20"/>
        </w:rPr>
        <w:t xml:space="preserve">, por lo que </w:t>
      </w:r>
      <w:r w:rsidR="001C48CA">
        <w:rPr>
          <w:sz w:val="20"/>
          <w:szCs w:val="20"/>
        </w:rPr>
        <w:t>‘</w:t>
      </w:r>
      <w:r w:rsidR="00E81C60" w:rsidRPr="00063DB9">
        <w:rPr>
          <w:sz w:val="20"/>
          <w:szCs w:val="20"/>
        </w:rPr>
        <w:t>las frecuencias dos y tres que [eran] las que [tenían] RCTV[, son la que están] más cerca de la tierra, entonces tiene[n] más alcance [,] se expande[n] mejor y requiere[n] de equipos muchos más baratos</w:t>
      </w:r>
      <w:r w:rsidR="001C48CA">
        <w:rPr>
          <w:sz w:val="20"/>
          <w:szCs w:val="20"/>
        </w:rPr>
        <w:t>’</w:t>
      </w:r>
      <w:r w:rsidR="00E81C60" w:rsidRPr="00063DB9">
        <w:rPr>
          <w:sz w:val="20"/>
          <w:szCs w:val="20"/>
        </w:rPr>
        <w:t xml:space="preserve">, de modo que </w:t>
      </w:r>
      <w:r w:rsidR="001C48CA">
        <w:rPr>
          <w:sz w:val="20"/>
          <w:szCs w:val="20"/>
        </w:rPr>
        <w:t>‘</w:t>
      </w:r>
      <w:r w:rsidR="00E81C60" w:rsidRPr="00063DB9">
        <w:rPr>
          <w:sz w:val="20"/>
          <w:szCs w:val="20"/>
        </w:rPr>
        <w:t>era el único canal […] que tenía cobertura nacional</w:t>
      </w:r>
      <w:r w:rsidR="001C48CA">
        <w:rPr>
          <w:sz w:val="20"/>
          <w:szCs w:val="20"/>
        </w:rPr>
        <w:t>’</w:t>
      </w:r>
      <w:r w:rsidR="00E81C60" w:rsidRPr="00063DB9">
        <w:rPr>
          <w:sz w:val="20"/>
          <w:szCs w:val="20"/>
        </w:rPr>
        <w:t xml:space="preserve"> </w:t>
      </w:r>
      <w:r w:rsidR="001C48CA">
        <w:rPr>
          <w:sz w:val="20"/>
          <w:szCs w:val="20"/>
        </w:rPr>
        <w:t>[</w:t>
      </w:r>
      <w:r w:rsidR="00E81C60" w:rsidRPr="00063DB9">
        <w:rPr>
          <w:sz w:val="20"/>
          <w:szCs w:val="20"/>
        </w:rPr>
        <w:t>y</w:t>
      </w:r>
      <w:r w:rsidR="001C48CA">
        <w:rPr>
          <w:sz w:val="20"/>
          <w:szCs w:val="20"/>
        </w:rPr>
        <w:t>]</w:t>
      </w:r>
      <w:r w:rsidR="00E81C60" w:rsidRPr="00063DB9">
        <w:rPr>
          <w:sz w:val="20"/>
          <w:szCs w:val="20"/>
        </w:rPr>
        <w:t xml:space="preserve"> que </w:t>
      </w:r>
      <w:r w:rsidR="001C48CA">
        <w:rPr>
          <w:sz w:val="20"/>
          <w:szCs w:val="20"/>
        </w:rPr>
        <w:t>‘</w:t>
      </w:r>
      <w:r w:rsidR="00E81C60" w:rsidRPr="00063DB9">
        <w:rPr>
          <w:sz w:val="20"/>
          <w:szCs w:val="20"/>
        </w:rPr>
        <w:t>[era] una necesidad técnica</w:t>
      </w:r>
      <w:r w:rsidR="001C48CA">
        <w:rPr>
          <w:sz w:val="20"/>
          <w:szCs w:val="20"/>
        </w:rPr>
        <w:t>”</w:t>
      </w:r>
      <w:r w:rsidR="007C2C49">
        <w:rPr>
          <w:rStyle w:val="FootnoteReference"/>
          <w:sz w:val="20"/>
          <w:szCs w:val="20"/>
        </w:rPr>
        <w:footnoteReference w:id="15"/>
      </w:r>
      <w:r w:rsidR="00E81C60" w:rsidRPr="00063DB9">
        <w:rPr>
          <w:sz w:val="20"/>
          <w:szCs w:val="20"/>
        </w:rPr>
        <w:t>.</w:t>
      </w:r>
    </w:p>
    <w:p w:rsidR="00063DB9" w:rsidRPr="00063DB9" w:rsidRDefault="00063DB9" w:rsidP="00063DB9">
      <w:pPr>
        <w:pStyle w:val="Estilo1"/>
        <w:numPr>
          <w:ilvl w:val="0"/>
          <w:numId w:val="0"/>
        </w:numPr>
        <w:spacing w:after="0" w:line="240" w:lineRule="auto"/>
        <w:rPr>
          <w:b/>
          <w:sz w:val="20"/>
          <w:szCs w:val="20"/>
        </w:rPr>
      </w:pPr>
    </w:p>
    <w:p w:rsidR="00E81C60" w:rsidRDefault="00E81C60" w:rsidP="00063DB9">
      <w:pPr>
        <w:pStyle w:val="Estilo1"/>
        <w:spacing w:after="0" w:line="240" w:lineRule="auto"/>
        <w:rPr>
          <w:sz w:val="20"/>
          <w:szCs w:val="20"/>
        </w:rPr>
      </w:pPr>
      <w:r w:rsidRPr="00063DB9">
        <w:rPr>
          <w:sz w:val="20"/>
          <w:szCs w:val="20"/>
        </w:rPr>
        <w:t xml:space="preserve">Parece corroborar esa afirmación </w:t>
      </w:r>
      <w:r w:rsidR="00CD7A19" w:rsidRPr="00063DB9">
        <w:rPr>
          <w:sz w:val="20"/>
          <w:szCs w:val="20"/>
        </w:rPr>
        <w:t>la siguiente información que se encuentra en una simple búsqueda en Internet</w:t>
      </w:r>
      <w:r w:rsidR="001B4AED">
        <w:rPr>
          <w:rStyle w:val="FootnoteReference"/>
          <w:sz w:val="20"/>
          <w:szCs w:val="20"/>
        </w:rPr>
        <w:footnoteReference w:id="16"/>
      </w:r>
      <w:r w:rsidR="00CD7A19" w:rsidRPr="00063DB9">
        <w:rPr>
          <w:sz w:val="20"/>
          <w:szCs w:val="20"/>
        </w:rPr>
        <w:t xml:space="preserve">: En 1953 “se inauguran dos televisoras de carácter privado con fines comerciales, Televisa (sin relación con la actual cadena mexicana) en el canal 4 de la banda de VHF el 01 de junio y </w:t>
      </w:r>
      <w:r w:rsidR="00CD7A19" w:rsidRPr="00063DB9">
        <w:rPr>
          <w:i/>
          <w:sz w:val="20"/>
          <w:szCs w:val="20"/>
        </w:rPr>
        <w:t>Radio Caracas Televisión (RCTV) en los 174-180 MHz el 15 de noviembre. Posteriormente, esta última empresa solicitó el cambio de canal 7 al 2 de la banda de VHF para mejorar su cobertura en Caracas</w:t>
      </w:r>
      <w:r w:rsidR="00CD7A19" w:rsidRPr="00063DB9">
        <w:rPr>
          <w:sz w:val="20"/>
          <w:szCs w:val="20"/>
        </w:rPr>
        <w:t>.” (cursiva añadida)</w:t>
      </w:r>
      <w:r w:rsidR="000C4429" w:rsidRPr="00063DB9">
        <w:rPr>
          <w:sz w:val="20"/>
          <w:szCs w:val="20"/>
        </w:rPr>
        <w:t xml:space="preserve">. </w:t>
      </w:r>
      <w:r w:rsidR="00EB575D" w:rsidRPr="00063DB9">
        <w:rPr>
          <w:sz w:val="20"/>
          <w:szCs w:val="20"/>
        </w:rPr>
        <w:t>L</w:t>
      </w:r>
      <w:r w:rsidR="00B8104C" w:rsidRPr="00063DB9">
        <w:rPr>
          <w:sz w:val="20"/>
          <w:szCs w:val="20"/>
        </w:rPr>
        <w:t>a falta de refutación de este punto por los representantes hace que no resulte</w:t>
      </w:r>
      <w:r w:rsidR="000C4429" w:rsidRPr="00063DB9">
        <w:rPr>
          <w:sz w:val="20"/>
          <w:szCs w:val="20"/>
        </w:rPr>
        <w:t xml:space="preserve"> convincente la argumentación de la sentencia que invoca extensivamente “la inversión de la carga de la prueba que resulta de la aplicación de una categoría prohibida de discriminación contenida en el artículo 1.1 de la Convención”</w:t>
      </w:r>
      <w:r w:rsidR="007C2C49">
        <w:rPr>
          <w:rStyle w:val="FootnoteReference"/>
          <w:sz w:val="20"/>
          <w:szCs w:val="20"/>
        </w:rPr>
        <w:footnoteReference w:id="17"/>
      </w:r>
      <w:r w:rsidR="007C2C49">
        <w:rPr>
          <w:sz w:val="20"/>
          <w:szCs w:val="20"/>
        </w:rPr>
        <w:t>.</w:t>
      </w:r>
    </w:p>
    <w:p w:rsidR="00063DB9" w:rsidRPr="00063DB9" w:rsidRDefault="00063DB9" w:rsidP="00063DB9">
      <w:pPr>
        <w:pStyle w:val="Estilo1"/>
        <w:numPr>
          <w:ilvl w:val="0"/>
          <w:numId w:val="0"/>
        </w:numPr>
        <w:spacing w:after="0" w:line="240" w:lineRule="auto"/>
        <w:rPr>
          <w:sz w:val="20"/>
          <w:szCs w:val="20"/>
        </w:rPr>
      </w:pPr>
    </w:p>
    <w:p w:rsidR="00B8104C" w:rsidRPr="00063DB9" w:rsidRDefault="00B8104C" w:rsidP="00063DB9">
      <w:pPr>
        <w:pStyle w:val="Estilo1"/>
        <w:spacing w:after="0" w:line="240" w:lineRule="auto"/>
        <w:rPr>
          <w:sz w:val="20"/>
          <w:szCs w:val="20"/>
        </w:rPr>
      </w:pPr>
      <w:r w:rsidRPr="00063DB9">
        <w:rPr>
          <w:sz w:val="20"/>
          <w:szCs w:val="20"/>
        </w:rPr>
        <w:t xml:space="preserve">La predominancia dada por los representantes a los intereses materiales y económicos se manifestó también en el pedido de una indemnización exorbitante. En efecto, solicitaron </w:t>
      </w:r>
      <w:r w:rsidR="000C4429" w:rsidRPr="00063DB9">
        <w:rPr>
          <w:sz w:val="20"/>
          <w:szCs w:val="20"/>
        </w:rPr>
        <w:t xml:space="preserve">384.458.356 </w:t>
      </w:r>
      <w:r w:rsidRPr="00063DB9">
        <w:rPr>
          <w:sz w:val="20"/>
          <w:szCs w:val="20"/>
        </w:rPr>
        <w:t>dólares por “</w:t>
      </w:r>
      <w:r w:rsidR="004501B5">
        <w:rPr>
          <w:sz w:val="20"/>
          <w:szCs w:val="20"/>
        </w:rPr>
        <w:t>‘</w:t>
      </w:r>
      <w:r w:rsidRPr="00063DB9">
        <w:rPr>
          <w:sz w:val="20"/>
          <w:szCs w:val="20"/>
        </w:rPr>
        <w:t>el perjuicio económico que la devaluación de [RCTV] le causo</w:t>
      </w:r>
      <w:r w:rsidR="004501B5">
        <w:rPr>
          <w:sz w:val="20"/>
          <w:szCs w:val="20"/>
        </w:rPr>
        <w:t>’</w:t>
      </w:r>
      <w:r w:rsidRPr="00063DB9">
        <w:rPr>
          <w:sz w:val="20"/>
          <w:szCs w:val="20"/>
        </w:rPr>
        <w:t xml:space="preserve"> a los accionistas </w:t>
      </w:r>
      <w:r w:rsidR="004501B5">
        <w:rPr>
          <w:sz w:val="20"/>
          <w:szCs w:val="20"/>
        </w:rPr>
        <w:t>[</w:t>
      </w:r>
      <w:r w:rsidRPr="00063DB9">
        <w:rPr>
          <w:sz w:val="20"/>
          <w:szCs w:val="20"/>
        </w:rPr>
        <w:t>y</w:t>
      </w:r>
      <w:r w:rsidR="004501B5">
        <w:rPr>
          <w:sz w:val="20"/>
          <w:szCs w:val="20"/>
        </w:rPr>
        <w:t>]</w:t>
      </w:r>
      <w:r w:rsidRPr="00063DB9">
        <w:rPr>
          <w:sz w:val="20"/>
          <w:szCs w:val="20"/>
        </w:rPr>
        <w:t xml:space="preserve"> </w:t>
      </w:r>
      <w:r w:rsidR="004501B5">
        <w:rPr>
          <w:sz w:val="20"/>
          <w:szCs w:val="20"/>
        </w:rPr>
        <w:t>‘</w:t>
      </w:r>
      <w:r w:rsidR="000C4429" w:rsidRPr="00063DB9">
        <w:rPr>
          <w:rFonts w:cs="Helvetica"/>
          <w:sz w:val="20"/>
          <w:szCs w:val="20"/>
          <w:lang w:bidi="en-US"/>
        </w:rPr>
        <w:t>33.166.954</w:t>
      </w:r>
      <w:r w:rsidRPr="00063DB9">
        <w:rPr>
          <w:rFonts w:cs="Helvetica"/>
          <w:sz w:val="20"/>
          <w:szCs w:val="20"/>
          <w:lang w:bidi="en-US"/>
        </w:rPr>
        <w:t xml:space="preserve"> dólares por equipos de transmisión fabricados en el extranjero, red de transmisiones en general, terrenos para ubicación de transmisores y demás equipos, así como estudios de señal y cobertura estratégica en el territorio venezolano</w:t>
      </w:r>
      <w:r w:rsidR="004501B5">
        <w:rPr>
          <w:rFonts w:cs="Helvetica"/>
          <w:sz w:val="20"/>
          <w:szCs w:val="20"/>
          <w:lang w:bidi="en-US"/>
        </w:rPr>
        <w:t>’</w:t>
      </w:r>
      <w:r w:rsidRPr="00063DB9">
        <w:rPr>
          <w:rFonts w:cs="Helvetica"/>
          <w:sz w:val="20"/>
          <w:szCs w:val="20"/>
          <w:lang w:bidi="en-US"/>
        </w:rPr>
        <w:t>”</w:t>
      </w:r>
      <w:r w:rsidR="004501B5">
        <w:rPr>
          <w:rStyle w:val="FootnoteReference"/>
          <w:rFonts w:cs="Helvetica"/>
          <w:sz w:val="20"/>
          <w:szCs w:val="20"/>
          <w:lang w:bidi="en-US"/>
        </w:rPr>
        <w:footnoteReference w:id="18"/>
      </w:r>
      <w:r w:rsidRPr="00063DB9">
        <w:rPr>
          <w:rFonts w:cs="Helvetica"/>
          <w:sz w:val="20"/>
          <w:szCs w:val="20"/>
          <w:lang w:bidi="en-US"/>
        </w:rPr>
        <w:t>, lo que suma</w:t>
      </w:r>
      <w:r w:rsidR="000C4429" w:rsidRPr="00063DB9">
        <w:rPr>
          <w:rFonts w:cs="Helvetica"/>
          <w:sz w:val="20"/>
          <w:szCs w:val="20"/>
          <w:lang w:bidi="en-US"/>
        </w:rPr>
        <w:t xml:space="preserve"> </w:t>
      </w:r>
      <w:r w:rsidRPr="00063DB9">
        <w:rPr>
          <w:rFonts w:cs="Helvetica"/>
          <w:sz w:val="20"/>
          <w:szCs w:val="20"/>
          <w:lang w:bidi="en-US"/>
        </w:rPr>
        <w:t xml:space="preserve">un total de </w:t>
      </w:r>
      <w:r w:rsidR="000C4429" w:rsidRPr="00063DB9">
        <w:rPr>
          <w:rFonts w:cs="Helvetica"/>
          <w:sz w:val="20"/>
          <w:szCs w:val="20"/>
          <w:lang w:bidi="en-US"/>
        </w:rPr>
        <w:t>417.625</w:t>
      </w:r>
      <w:r w:rsidRPr="00063DB9">
        <w:rPr>
          <w:rFonts w:cs="Helvetica"/>
          <w:sz w:val="20"/>
          <w:szCs w:val="20"/>
          <w:lang w:bidi="en-US"/>
        </w:rPr>
        <w:t>.</w:t>
      </w:r>
      <w:r w:rsidR="000C4429" w:rsidRPr="00063DB9">
        <w:rPr>
          <w:rFonts w:cs="Helvetica"/>
          <w:sz w:val="20"/>
          <w:szCs w:val="20"/>
          <w:lang w:bidi="en-US"/>
        </w:rPr>
        <w:t>310</w:t>
      </w:r>
      <w:r w:rsidRPr="00063DB9">
        <w:rPr>
          <w:rFonts w:cs="Helvetica"/>
          <w:sz w:val="20"/>
          <w:szCs w:val="20"/>
          <w:lang w:bidi="en-US"/>
        </w:rPr>
        <w:t xml:space="preserve"> dólares.</w:t>
      </w:r>
    </w:p>
    <w:p w:rsidR="00063DB9" w:rsidRPr="00063DB9" w:rsidRDefault="00063DB9" w:rsidP="00063DB9">
      <w:pPr>
        <w:pStyle w:val="Estilo1"/>
        <w:numPr>
          <w:ilvl w:val="0"/>
          <w:numId w:val="0"/>
        </w:numPr>
        <w:spacing w:after="0" w:line="240" w:lineRule="auto"/>
        <w:rPr>
          <w:sz w:val="20"/>
          <w:szCs w:val="20"/>
        </w:rPr>
      </w:pPr>
    </w:p>
    <w:p w:rsidR="00CD7A19" w:rsidRPr="00FB5B9D" w:rsidRDefault="00CD7A19" w:rsidP="00063DB9">
      <w:pPr>
        <w:pStyle w:val="Estilo1"/>
        <w:numPr>
          <w:ilvl w:val="0"/>
          <w:numId w:val="7"/>
        </w:numPr>
        <w:spacing w:after="0" w:line="240" w:lineRule="auto"/>
        <w:jc w:val="center"/>
        <w:rPr>
          <w:b/>
          <w:i/>
          <w:sz w:val="20"/>
          <w:szCs w:val="20"/>
        </w:rPr>
      </w:pPr>
      <w:r w:rsidRPr="00FB5B9D">
        <w:rPr>
          <w:b/>
          <w:i/>
          <w:sz w:val="20"/>
          <w:szCs w:val="20"/>
        </w:rPr>
        <w:t>Improcedencia del restablecimiento de la concesión</w:t>
      </w:r>
    </w:p>
    <w:p w:rsidR="00063DB9" w:rsidRPr="00063DB9" w:rsidRDefault="00063DB9" w:rsidP="00063DB9">
      <w:pPr>
        <w:pStyle w:val="Estilo1"/>
        <w:numPr>
          <w:ilvl w:val="0"/>
          <w:numId w:val="0"/>
        </w:numPr>
        <w:spacing w:after="0" w:line="240" w:lineRule="auto"/>
        <w:ind w:left="1080"/>
        <w:rPr>
          <w:i/>
          <w:sz w:val="20"/>
          <w:szCs w:val="20"/>
        </w:rPr>
      </w:pPr>
    </w:p>
    <w:p w:rsidR="00CD7A19" w:rsidRPr="00063DB9" w:rsidRDefault="00DE66E1" w:rsidP="00063DB9">
      <w:pPr>
        <w:pStyle w:val="Estilo1"/>
        <w:spacing w:after="0" w:line="240" w:lineRule="auto"/>
        <w:rPr>
          <w:sz w:val="20"/>
          <w:szCs w:val="20"/>
        </w:rPr>
      </w:pPr>
      <w:r w:rsidRPr="00063DB9">
        <w:rPr>
          <w:sz w:val="20"/>
          <w:szCs w:val="20"/>
        </w:rPr>
        <w:lastRenderedPageBreak/>
        <w:t>Los puntos dispositivos 15 y 16 resultan absolutamente contradictorios con el razonamiento general de la sentencia, en la que se afirma con toda claridad</w:t>
      </w:r>
      <w:r w:rsidR="00DD79E9" w:rsidRPr="00063DB9">
        <w:rPr>
          <w:sz w:val="20"/>
          <w:szCs w:val="20"/>
        </w:rPr>
        <w:t xml:space="preserve"> que RCTV no tenía derecho a la renovación y que tampoco existía una renovación automática.</w:t>
      </w:r>
    </w:p>
    <w:p w:rsidR="00063DB9" w:rsidRDefault="00063DB9" w:rsidP="00063DB9">
      <w:pPr>
        <w:pStyle w:val="Estilo1"/>
        <w:numPr>
          <w:ilvl w:val="0"/>
          <w:numId w:val="0"/>
        </w:numPr>
        <w:spacing w:after="0" w:line="240" w:lineRule="auto"/>
        <w:jc w:val="left"/>
        <w:rPr>
          <w:i/>
          <w:sz w:val="20"/>
          <w:szCs w:val="20"/>
        </w:rPr>
      </w:pPr>
    </w:p>
    <w:p w:rsidR="00DD79E9" w:rsidRDefault="00C34A21" w:rsidP="00063DB9">
      <w:pPr>
        <w:pStyle w:val="Estilo1"/>
        <w:numPr>
          <w:ilvl w:val="0"/>
          <w:numId w:val="0"/>
        </w:numPr>
        <w:spacing w:after="0" w:line="240" w:lineRule="auto"/>
        <w:jc w:val="left"/>
        <w:rPr>
          <w:i/>
          <w:sz w:val="20"/>
          <w:szCs w:val="20"/>
        </w:rPr>
      </w:pPr>
      <w:r w:rsidRPr="00063DB9">
        <w:rPr>
          <w:i/>
          <w:sz w:val="20"/>
          <w:szCs w:val="20"/>
        </w:rPr>
        <w:t>Inexistencia de derech</w:t>
      </w:r>
      <w:r w:rsidR="00063DB9">
        <w:rPr>
          <w:i/>
          <w:sz w:val="20"/>
          <w:szCs w:val="20"/>
        </w:rPr>
        <w:t xml:space="preserve">o a renovación de la concesión </w:t>
      </w:r>
      <w:r w:rsidRPr="00063DB9">
        <w:rPr>
          <w:i/>
          <w:sz w:val="20"/>
          <w:szCs w:val="20"/>
        </w:rPr>
        <w:t>de un canal de televisión o de renovación automática</w:t>
      </w:r>
    </w:p>
    <w:p w:rsidR="00063DB9" w:rsidRPr="00063DB9" w:rsidRDefault="00063DB9" w:rsidP="00063DB9">
      <w:pPr>
        <w:pStyle w:val="Estilo1"/>
        <w:numPr>
          <w:ilvl w:val="0"/>
          <w:numId w:val="0"/>
        </w:numPr>
        <w:spacing w:after="0" w:line="240" w:lineRule="auto"/>
        <w:jc w:val="left"/>
        <w:rPr>
          <w:sz w:val="20"/>
          <w:szCs w:val="20"/>
        </w:rPr>
      </w:pPr>
    </w:p>
    <w:p w:rsidR="00DD79E9" w:rsidRDefault="00DD79E9" w:rsidP="00063DB9">
      <w:pPr>
        <w:pStyle w:val="Estilo1"/>
        <w:spacing w:after="0" w:line="240" w:lineRule="auto"/>
        <w:rPr>
          <w:sz w:val="20"/>
          <w:szCs w:val="20"/>
        </w:rPr>
      </w:pPr>
      <w:r w:rsidRPr="00063DB9">
        <w:rPr>
          <w:sz w:val="20"/>
          <w:szCs w:val="20"/>
        </w:rPr>
        <w:t xml:space="preserve">El restablecimiento de la concesión sólo se justificaría si la sentencia hubiese admitido la argumentación de la empresa, que, en las palabras de la Corte, presentando “conceptos que son diversos entre sí empleándolos indistintamente, </w:t>
      </w:r>
      <w:r w:rsidR="009C05FD">
        <w:rPr>
          <w:sz w:val="20"/>
          <w:szCs w:val="20"/>
        </w:rPr>
        <w:t>[</w:t>
      </w:r>
      <w:r w:rsidR="009C05FD" w:rsidRPr="00063DB9">
        <w:rPr>
          <w:sz w:val="20"/>
          <w:szCs w:val="20"/>
        </w:rPr>
        <w:t>…</w:t>
      </w:r>
      <w:r w:rsidR="009C05FD">
        <w:rPr>
          <w:sz w:val="20"/>
          <w:szCs w:val="20"/>
        </w:rPr>
        <w:t>]</w:t>
      </w:r>
      <w:r w:rsidR="009C05FD" w:rsidRPr="00063DB9">
        <w:rPr>
          <w:sz w:val="20"/>
          <w:szCs w:val="20"/>
        </w:rPr>
        <w:t xml:space="preserve"> </w:t>
      </w:r>
      <w:r w:rsidRPr="00063DB9">
        <w:rPr>
          <w:sz w:val="20"/>
          <w:szCs w:val="20"/>
        </w:rPr>
        <w:t>han argumentado que RCTV tenía un derecho de preferencia, un derecho a la extensión de la concesión, una razonable expectativa de renovación o a una renovación automática”</w:t>
      </w:r>
      <w:r w:rsidR="00AB106E">
        <w:rPr>
          <w:rStyle w:val="FootnoteReference"/>
          <w:sz w:val="20"/>
          <w:szCs w:val="20"/>
        </w:rPr>
        <w:footnoteReference w:id="19"/>
      </w:r>
      <w:r w:rsidRPr="00063DB9">
        <w:rPr>
          <w:sz w:val="20"/>
          <w:szCs w:val="20"/>
        </w:rPr>
        <w:t>.</w:t>
      </w:r>
    </w:p>
    <w:p w:rsidR="00063DB9" w:rsidRPr="00063DB9" w:rsidRDefault="00063DB9" w:rsidP="00063DB9">
      <w:pPr>
        <w:pStyle w:val="Estilo1"/>
        <w:numPr>
          <w:ilvl w:val="0"/>
          <w:numId w:val="0"/>
        </w:numPr>
        <w:spacing w:after="0" w:line="240" w:lineRule="auto"/>
        <w:rPr>
          <w:sz w:val="20"/>
          <w:szCs w:val="20"/>
        </w:rPr>
      </w:pPr>
    </w:p>
    <w:p w:rsidR="00DD79E9" w:rsidRDefault="00DD79E9" w:rsidP="00063DB9">
      <w:pPr>
        <w:pStyle w:val="Estilo1"/>
        <w:spacing w:after="0" w:line="240" w:lineRule="auto"/>
        <w:rPr>
          <w:sz w:val="20"/>
          <w:szCs w:val="20"/>
        </w:rPr>
      </w:pPr>
      <w:r w:rsidRPr="00063DB9">
        <w:rPr>
          <w:sz w:val="20"/>
          <w:szCs w:val="20"/>
        </w:rPr>
        <w:t>Lejos de ser así, la Corte desestimó –con toda razón– todos y cada uno de esos argumentos:</w:t>
      </w:r>
    </w:p>
    <w:p w:rsidR="00063DB9" w:rsidRPr="00063DB9" w:rsidRDefault="00063DB9" w:rsidP="00063DB9">
      <w:pPr>
        <w:pStyle w:val="Estilo1"/>
        <w:numPr>
          <w:ilvl w:val="0"/>
          <w:numId w:val="0"/>
        </w:numPr>
        <w:spacing w:after="0" w:line="240" w:lineRule="auto"/>
        <w:rPr>
          <w:sz w:val="20"/>
          <w:szCs w:val="20"/>
        </w:rPr>
      </w:pPr>
    </w:p>
    <w:p w:rsidR="00DD79E9" w:rsidRDefault="00DD79E9" w:rsidP="00063DB9">
      <w:pPr>
        <w:pStyle w:val="Estilo2"/>
        <w:spacing w:after="0" w:line="240" w:lineRule="auto"/>
        <w:rPr>
          <w:sz w:val="20"/>
          <w:szCs w:val="20"/>
        </w:rPr>
      </w:pPr>
      <w:r w:rsidRPr="00063DB9">
        <w:rPr>
          <w:sz w:val="20"/>
          <w:szCs w:val="20"/>
        </w:rPr>
        <w:t>“</w:t>
      </w:r>
      <w:r w:rsidR="009C05FD">
        <w:rPr>
          <w:sz w:val="20"/>
          <w:szCs w:val="20"/>
        </w:rPr>
        <w:t>[</w:t>
      </w:r>
      <w:r w:rsidRPr="00063DB9">
        <w:rPr>
          <w:sz w:val="20"/>
          <w:szCs w:val="20"/>
        </w:rPr>
        <w:t>E</w:t>
      </w:r>
      <w:r w:rsidR="009C05FD">
        <w:rPr>
          <w:sz w:val="20"/>
          <w:szCs w:val="20"/>
        </w:rPr>
        <w:t>]</w:t>
      </w:r>
      <w:r w:rsidRPr="00063DB9">
        <w:rPr>
          <w:sz w:val="20"/>
          <w:szCs w:val="20"/>
        </w:rPr>
        <w:t>l Tribunal constata que el espectro radioeléctrico es un bien público cuyo dominio corresponde al Estado y por tanto su titularidad no puede ser reclamada por los particulares. Por ello, no es posible afirmar que RCTV y, en particular, sus accionistas hubieran adquirido algún derecho o titularidad sobre el espectro”</w:t>
      </w:r>
      <w:r w:rsidR="00AB106E">
        <w:rPr>
          <w:rStyle w:val="FootnoteReference"/>
          <w:sz w:val="20"/>
          <w:szCs w:val="20"/>
        </w:rPr>
        <w:footnoteReference w:id="20"/>
      </w:r>
      <w:r w:rsidR="00AB106E">
        <w:rPr>
          <w:sz w:val="20"/>
          <w:szCs w:val="20"/>
        </w:rPr>
        <w:t>.</w:t>
      </w:r>
    </w:p>
    <w:p w:rsidR="00063DB9" w:rsidRPr="00063DB9" w:rsidRDefault="00063DB9" w:rsidP="00063DB9">
      <w:pPr>
        <w:pStyle w:val="Estilo2"/>
        <w:numPr>
          <w:ilvl w:val="0"/>
          <w:numId w:val="0"/>
        </w:numPr>
        <w:spacing w:after="0" w:line="240" w:lineRule="auto"/>
        <w:rPr>
          <w:sz w:val="20"/>
          <w:szCs w:val="20"/>
        </w:rPr>
      </w:pPr>
    </w:p>
    <w:p w:rsidR="00DD79E9" w:rsidRDefault="00DD79E9" w:rsidP="00063DB9">
      <w:pPr>
        <w:pStyle w:val="Estilo2"/>
        <w:spacing w:after="0" w:line="240" w:lineRule="auto"/>
        <w:rPr>
          <w:sz w:val="20"/>
          <w:szCs w:val="20"/>
        </w:rPr>
      </w:pPr>
      <w:r w:rsidRPr="00063DB9">
        <w:rPr>
          <w:sz w:val="20"/>
          <w:szCs w:val="20"/>
        </w:rPr>
        <w:t>“</w:t>
      </w:r>
      <w:r w:rsidR="009C05FD">
        <w:rPr>
          <w:sz w:val="20"/>
          <w:szCs w:val="20"/>
        </w:rPr>
        <w:t>[</w:t>
      </w:r>
      <w:r w:rsidRPr="00063DB9">
        <w:rPr>
          <w:sz w:val="20"/>
          <w:szCs w:val="20"/>
        </w:rPr>
        <w:t>L</w:t>
      </w:r>
      <w:r w:rsidR="009C05FD">
        <w:rPr>
          <w:sz w:val="20"/>
          <w:szCs w:val="20"/>
        </w:rPr>
        <w:t>]</w:t>
      </w:r>
      <w:r w:rsidRPr="00063DB9">
        <w:rPr>
          <w:sz w:val="20"/>
          <w:szCs w:val="20"/>
        </w:rPr>
        <w:t xml:space="preserve">a posibilidad de que el Estado renovara la concesión a RCTV para el uso del espectro radioeléctrico en el año 2007, no puede ser considerada como un bien o derecho adquirido ya incorporado en el patrimonio de la empresa. Dicha posibilidad era una mera expectativa de renovación que estaba condicionada por la facultad del Estado para establecer controles sobre un recurso de su propiedad. En consecuencia, los beneficios económicos que los accionistas pudieren haber recibido como consecuencia de la renovación de la concesión tampoco pueden considerarse como bienes o derechos adquiridos que hicieran parte del patrimonio directo de los socios y pudieran ser protegidos </w:t>
      </w:r>
      <w:r w:rsidR="00486732">
        <w:rPr>
          <w:sz w:val="20"/>
          <w:szCs w:val="20"/>
        </w:rPr>
        <w:t xml:space="preserve">por </w:t>
      </w:r>
      <w:r w:rsidRPr="00063DB9">
        <w:rPr>
          <w:sz w:val="20"/>
          <w:szCs w:val="20"/>
        </w:rPr>
        <w:t>el artículo 21 de la Convención Americana en virtud de su titularidad</w:t>
      </w:r>
      <w:r w:rsidR="00AB106E">
        <w:rPr>
          <w:sz w:val="20"/>
          <w:szCs w:val="20"/>
        </w:rPr>
        <w:t>”</w:t>
      </w:r>
      <w:r w:rsidR="00AB106E">
        <w:rPr>
          <w:rStyle w:val="FootnoteReference"/>
          <w:sz w:val="20"/>
          <w:szCs w:val="20"/>
        </w:rPr>
        <w:footnoteReference w:id="21"/>
      </w:r>
      <w:r w:rsidRPr="00063DB9">
        <w:rPr>
          <w:sz w:val="20"/>
          <w:szCs w:val="20"/>
        </w:rPr>
        <w:t>.</w:t>
      </w:r>
    </w:p>
    <w:p w:rsidR="00063DB9" w:rsidRPr="00063DB9" w:rsidRDefault="00063DB9" w:rsidP="00063DB9">
      <w:pPr>
        <w:pStyle w:val="Estilo2"/>
        <w:numPr>
          <w:ilvl w:val="0"/>
          <w:numId w:val="0"/>
        </w:numPr>
        <w:spacing w:after="0" w:line="240" w:lineRule="auto"/>
        <w:rPr>
          <w:sz w:val="20"/>
          <w:szCs w:val="20"/>
        </w:rPr>
      </w:pPr>
    </w:p>
    <w:p w:rsidR="00DD79E9" w:rsidRDefault="00DD79E9" w:rsidP="00063DB9">
      <w:pPr>
        <w:pStyle w:val="Estilo2"/>
        <w:spacing w:after="0" w:line="240" w:lineRule="auto"/>
        <w:rPr>
          <w:sz w:val="20"/>
          <w:szCs w:val="20"/>
        </w:rPr>
      </w:pPr>
      <w:r w:rsidRPr="00063DB9">
        <w:rPr>
          <w:sz w:val="20"/>
          <w:szCs w:val="20"/>
        </w:rPr>
        <w:t xml:space="preserve">La normativa vigente en Venezuela “no hace mención alguna a que el Estado estuviera obligado a conceder la renovación, ni tampoco establece una prórroga automática a quienes solicitaran la transformación de los títulos. Además de lo anterior, cabe resaltar que el perito </w:t>
      </w:r>
      <w:proofErr w:type="spellStart"/>
      <w:r w:rsidRPr="00063DB9">
        <w:rPr>
          <w:sz w:val="20"/>
          <w:szCs w:val="20"/>
        </w:rPr>
        <w:t>Morles</w:t>
      </w:r>
      <w:proofErr w:type="spellEnd"/>
      <w:r w:rsidRPr="00063DB9">
        <w:rPr>
          <w:sz w:val="20"/>
          <w:szCs w:val="20"/>
        </w:rPr>
        <w:t xml:space="preserve"> Hern</w:t>
      </w:r>
      <w:r w:rsidR="009C05FD">
        <w:rPr>
          <w:sz w:val="20"/>
          <w:szCs w:val="20"/>
        </w:rPr>
        <w:t>á</w:t>
      </w:r>
      <w:r w:rsidRPr="00063DB9">
        <w:rPr>
          <w:sz w:val="20"/>
          <w:szCs w:val="20"/>
        </w:rPr>
        <w:t>ndez indicó que:</w:t>
      </w:r>
    </w:p>
    <w:p w:rsidR="00063DB9" w:rsidRPr="00063DB9" w:rsidRDefault="00063DB9" w:rsidP="00063DB9">
      <w:pPr>
        <w:pStyle w:val="Estilo2"/>
        <w:numPr>
          <w:ilvl w:val="0"/>
          <w:numId w:val="0"/>
        </w:numPr>
        <w:spacing w:after="0" w:line="240" w:lineRule="auto"/>
        <w:rPr>
          <w:sz w:val="20"/>
          <w:szCs w:val="20"/>
        </w:rPr>
      </w:pPr>
    </w:p>
    <w:p w:rsidR="00DD79E9" w:rsidRDefault="00DD79E9" w:rsidP="00063DB9">
      <w:pPr>
        <w:pStyle w:val="Estilo2"/>
        <w:numPr>
          <w:ilvl w:val="0"/>
          <w:numId w:val="0"/>
        </w:numPr>
        <w:spacing w:after="0" w:line="240" w:lineRule="auto"/>
        <w:ind w:left="567"/>
        <w:rPr>
          <w:sz w:val="20"/>
          <w:szCs w:val="20"/>
        </w:rPr>
      </w:pPr>
      <w:r w:rsidRPr="00063DB9">
        <w:rPr>
          <w:sz w:val="20"/>
          <w:szCs w:val="20"/>
        </w:rPr>
        <w:t>[</w:t>
      </w:r>
      <w:proofErr w:type="gramStart"/>
      <w:r w:rsidRPr="00063DB9">
        <w:rPr>
          <w:sz w:val="20"/>
          <w:szCs w:val="20"/>
        </w:rPr>
        <w:t>e]</w:t>
      </w:r>
      <w:proofErr w:type="gramEnd"/>
      <w:r w:rsidRPr="00063DB9">
        <w:rPr>
          <w:sz w:val="20"/>
          <w:szCs w:val="20"/>
        </w:rPr>
        <w:t>n el derecho venezolano no existe una formulación legal expresa que indique que el titular de una concesión tiene derecho a la renovación del contrato administrativo</w:t>
      </w:r>
      <w:r w:rsidR="00AB106E">
        <w:rPr>
          <w:sz w:val="20"/>
          <w:szCs w:val="20"/>
        </w:rPr>
        <w:t>”</w:t>
      </w:r>
      <w:r w:rsidR="00AB106E">
        <w:rPr>
          <w:rStyle w:val="FootnoteReference"/>
          <w:sz w:val="20"/>
          <w:szCs w:val="20"/>
        </w:rPr>
        <w:footnoteReference w:id="22"/>
      </w:r>
      <w:r w:rsidRPr="00063DB9">
        <w:rPr>
          <w:sz w:val="20"/>
          <w:szCs w:val="20"/>
        </w:rPr>
        <w:t>.</w:t>
      </w:r>
    </w:p>
    <w:p w:rsidR="00063DB9" w:rsidRPr="00063DB9" w:rsidRDefault="00063DB9" w:rsidP="00063DB9">
      <w:pPr>
        <w:pStyle w:val="Estilo2"/>
        <w:numPr>
          <w:ilvl w:val="0"/>
          <w:numId w:val="0"/>
        </w:numPr>
        <w:spacing w:after="0" w:line="240" w:lineRule="auto"/>
        <w:ind w:left="567"/>
        <w:rPr>
          <w:sz w:val="20"/>
          <w:szCs w:val="20"/>
        </w:rPr>
      </w:pPr>
    </w:p>
    <w:p w:rsidR="00DD79E9" w:rsidRDefault="00486732" w:rsidP="00063DB9">
      <w:pPr>
        <w:pStyle w:val="Estilo2"/>
        <w:spacing w:after="0" w:line="240" w:lineRule="auto"/>
        <w:rPr>
          <w:sz w:val="20"/>
          <w:szCs w:val="20"/>
        </w:rPr>
      </w:pPr>
      <w:r>
        <w:rPr>
          <w:sz w:val="20"/>
          <w:szCs w:val="20"/>
        </w:rPr>
        <w:t>“</w:t>
      </w:r>
      <w:r w:rsidR="00DD79E9" w:rsidRPr="00063DB9">
        <w:rPr>
          <w:sz w:val="20"/>
          <w:szCs w:val="20"/>
        </w:rPr>
        <w:t xml:space="preserve">Por otra parte, respecto a que existiría en el derecho internacional una obligación de renovar las concesiones de radiodifusión, la Corte concluye que esta obligación no está contemplada en el derecho internacional. De igual manera, en lo relativo a que del derecho comparado se podría desprender un derecho a la renovación de concesiones de frecuencias de radiodifusión, la Corte no tiene evidencia ni se </w:t>
      </w:r>
      <w:r w:rsidR="00DD79E9" w:rsidRPr="00063DB9">
        <w:rPr>
          <w:sz w:val="20"/>
          <w:szCs w:val="20"/>
        </w:rPr>
        <w:lastRenderedPageBreak/>
        <w:t>presentaron alegatos que pudieran sustentar dicha afirmación</w:t>
      </w:r>
      <w:r>
        <w:rPr>
          <w:sz w:val="20"/>
          <w:szCs w:val="20"/>
        </w:rPr>
        <w:t>”</w:t>
      </w:r>
      <w:r>
        <w:rPr>
          <w:rStyle w:val="FootnoteReference"/>
          <w:sz w:val="20"/>
          <w:szCs w:val="20"/>
        </w:rPr>
        <w:footnoteReference w:id="23"/>
      </w:r>
      <w:r w:rsidR="00DD79E9" w:rsidRPr="00063DB9">
        <w:rPr>
          <w:sz w:val="20"/>
          <w:szCs w:val="20"/>
        </w:rPr>
        <w:t>.</w:t>
      </w:r>
    </w:p>
    <w:p w:rsidR="00063DB9" w:rsidRPr="00063DB9" w:rsidRDefault="00063DB9" w:rsidP="00063DB9">
      <w:pPr>
        <w:pStyle w:val="Estilo2"/>
        <w:numPr>
          <w:ilvl w:val="0"/>
          <w:numId w:val="0"/>
        </w:numPr>
        <w:spacing w:after="0" w:line="240" w:lineRule="auto"/>
        <w:ind w:left="567"/>
        <w:rPr>
          <w:sz w:val="20"/>
          <w:szCs w:val="20"/>
        </w:rPr>
      </w:pPr>
    </w:p>
    <w:p w:rsidR="00DD79E9" w:rsidRDefault="00DD79E9" w:rsidP="00063DB9">
      <w:pPr>
        <w:pStyle w:val="Estilo2"/>
        <w:spacing w:after="0" w:line="240" w:lineRule="auto"/>
        <w:rPr>
          <w:sz w:val="20"/>
          <w:szCs w:val="20"/>
        </w:rPr>
      </w:pPr>
      <w:r w:rsidRPr="00063DB9">
        <w:rPr>
          <w:sz w:val="20"/>
          <w:szCs w:val="20"/>
        </w:rPr>
        <w:t xml:space="preserve">A partir de lo anterior, es posible concluir que la alegada restricción en este caso no se deriva de que la concesión que tenía RCTV no fuera renovada </w:t>
      </w:r>
      <w:r w:rsidR="00332AA4">
        <w:rPr>
          <w:sz w:val="20"/>
          <w:szCs w:val="20"/>
        </w:rPr>
        <w:t xml:space="preserve">en forma </w:t>
      </w:r>
      <w:r w:rsidRPr="00063DB9">
        <w:rPr>
          <w:sz w:val="20"/>
          <w:szCs w:val="20"/>
        </w:rPr>
        <w:t>automática, por cuanto de lo anteriormente analizado no se desprende que el Estado estuviera obligado a ello.</w:t>
      </w:r>
    </w:p>
    <w:p w:rsidR="00063DB9" w:rsidRPr="00063DB9" w:rsidRDefault="00063DB9" w:rsidP="00063DB9">
      <w:pPr>
        <w:pStyle w:val="Estilo2"/>
        <w:numPr>
          <w:ilvl w:val="0"/>
          <w:numId w:val="0"/>
        </w:numPr>
        <w:spacing w:after="0" w:line="240" w:lineRule="auto"/>
        <w:ind w:left="567"/>
        <w:rPr>
          <w:sz w:val="20"/>
          <w:szCs w:val="20"/>
        </w:rPr>
      </w:pPr>
    </w:p>
    <w:p w:rsidR="00DD1EC1" w:rsidRDefault="00C34A21" w:rsidP="00063DB9">
      <w:pPr>
        <w:pStyle w:val="Estilo1"/>
        <w:numPr>
          <w:ilvl w:val="0"/>
          <w:numId w:val="0"/>
        </w:numPr>
        <w:spacing w:after="0" w:line="240" w:lineRule="auto"/>
        <w:jc w:val="left"/>
        <w:rPr>
          <w:i/>
          <w:sz w:val="20"/>
          <w:szCs w:val="20"/>
        </w:rPr>
      </w:pPr>
      <w:r w:rsidRPr="00063DB9">
        <w:rPr>
          <w:i/>
          <w:sz w:val="20"/>
          <w:szCs w:val="20"/>
        </w:rPr>
        <w:t>Incongruencia entre los fundamentos j</w:t>
      </w:r>
      <w:r w:rsidR="00063DB9">
        <w:rPr>
          <w:i/>
          <w:sz w:val="20"/>
          <w:szCs w:val="20"/>
        </w:rPr>
        <w:t xml:space="preserve">urídicos aceptados por la Corte </w:t>
      </w:r>
      <w:r w:rsidRPr="00063DB9">
        <w:rPr>
          <w:i/>
          <w:sz w:val="20"/>
          <w:szCs w:val="20"/>
        </w:rPr>
        <w:t>y la decisión final de disponer el restablecimiento de la concesión</w:t>
      </w:r>
    </w:p>
    <w:p w:rsidR="00063DB9" w:rsidRPr="00063DB9" w:rsidRDefault="00063DB9" w:rsidP="00063DB9">
      <w:pPr>
        <w:pStyle w:val="Estilo1"/>
        <w:numPr>
          <w:ilvl w:val="0"/>
          <w:numId w:val="0"/>
        </w:numPr>
        <w:spacing w:after="0" w:line="240" w:lineRule="auto"/>
        <w:jc w:val="left"/>
        <w:rPr>
          <w:i/>
          <w:sz w:val="20"/>
          <w:szCs w:val="20"/>
        </w:rPr>
      </w:pPr>
    </w:p>
    <w:p w:rsidR="00C07DE4" w:rsidRDefault="00C34A21" w:rsidP="00063DB9">
      <w:pPr>
        <w:pStyle w:val="Estilo1"/>
        <w:spacing w:after="0" w:line="240" w:lineRule="auto"/>
        <w:rPr>
          <w:sz w:val="20"/>
          <w:szCs w:val="20"/>
        </w:rPr>
      </w:pPr>
      <w:r w:rsidRPr="00063DB9">
        <w:rPr>
          <w:sz w:val="20"/>
          <w:szCs w:val="20"/>
        </w:rPr>
        <w:t>En consecuencia, la decisión final de disponer el restablecimiento de la concesión del canal de televisión a la empresa RCTV es contraria a la fundamentación jurídica expuesta por la Corte. En otras palabras, es totalmente infundada.</w:t>
      </w:r>
    </w:p>
    <w:p w:rsidR="00B93D5B" w:rsidRDefault="00B93D5B" w:rsidP="00B93D5B">
      <w:pPr>
        <w:pStyle w:val="Estilo1"/>
        <w:numPr>
          <w:ilvl w:val="0"/>
          <w:numId w:val="0"/>
        </w:numPr>
        <w:spacing w:after="0" w:line="240" w:lineRule="auto"/>
        <w:rPr>
          <w:sz w:val="20"/>
          <w:szCs w:val="20"/>
        </w:rPr>
      </w:pPr>
    </w:p>
    <w:p w:rsidR="00B93D5B" w:rsidRDefault="00B93D5B" w:rsidP="00B93D5B">
      <w:pPr>
        <w:pStyle w:val="Estilo1"/>
        <w:numPr>
          <w:ilvl w:val="0"/>
          <w:numId w:val="0"/>
        </w:numPr>
        <w:spacing w:after="0" w:line="240" w:lineRule="auto"/>
        <w:rPr>
          <w:sz w:val="20"/>
          <w:szCs w:val="20"/>
        </w:rPr>
      </w:pPr>
    </w:p>
    <w:p w:rsidR="00B93D5B" w:rsidRDefault="00B93D5B" w:rsidP="00B93D5B">
      <w:pPr>
        <w:pStyle w:val="Estilo1"/>
        <w:numPr>
          <w:ilvl w:val="0"/>
          <w:numId w:val="0"/>
        </w:numPr>
        <w:spacing w:after="0" w:line="240" w:lineRule="auto"/>
        <w:rPr>
          <w:sz w:val="20"/>
          <w:szCs w:val="20"/>
        </w:rPr>
      </w:pPr>
    </w:p>
    <w:p w:rsidR="00B93D5B" w:rsidRPr="00D44BB6" w:rsidRDefault="00B93D5B" w:rsidP="00B93D5B">
      <w:pPr>
        <w:tabs>
          <w:tab w:val="left" w:pos="709"/>
          <w:tab w:val="left" w:pos="851"/>
          <w:tab w:val="left" w:pos="5387"/>
        </w:tabs>
        <w:spacing w:line="240" w:lineRule="auto"/>
        <w:rPr>
          <w:sz w:val="20"/>
          <w:szCs w:val="20"/>
          <w:lang w:val="es-PE"/>
        </w:rPr>
      </w:pPr>
    </w:p>
    <w:p w:rsidR="00B93D5B" w:rsidRDefault="00B93D5B" w:rsidP="00B93D5B">
      <w:pPr>
        <w:spacing w:line="240" w:lineRule="auto"/>
        <w:ind w:left="5041"/>
        <w:jc w:val="center"/>
        <w:rPr>
          <w:spacing w:val="-4"/>
          <w:sz w:val="20"/>
          <w:szCs w:val="20"/>
        </w:rPr>
      </w:pPr>
    </w:p>
    <w:p w:rsidR="00B93D5B" w:rsidRDefault="00B93D5B" w:rsidP="00B93D5B">
      <w:pPr>
        <w:spacing w:line="240" w:lineRule="auto"/>
        <w:ind w:left="5041"/>
        <w:jc w:val="center"/>
        <w:rPr>
          <w:spacing w:val="-4"/>
          <w:sz w:val="20"/>
          <w:szCs w:val="20"/>
        </w:rPr>
      </w:pPr>
      <w:r w:rsidRPr="00B93D5B">
        <w:rPr>
          <w:spacing w:val="-4"/>
          <w:sz w:val="20"/>
          <w:szCs w:val="20"/>
        </w:rPr>
        <w:t xml:space="preserve">Alberto Pérez </w:t>
      </w:r>
      <w:proofErr w:type="spellStart"/>
      <w:r w:rsidRPr="00B93D5B">
        <w:rPr>
          <w:spacing w:val="-4"/>
          <w:sz w:val="20"/>
          <w:szCs w:val="20"/>
        </w:rPr>
        <w:t>Pérez</w:t>
      </w:r>
      <w:proofErr w:type="spellEnd"/>
    </w:p>
    <w:p w:rsidR="00B93D5B" w:rsidRPr="00B93D5B" w:rsidRDefault="00B93D5B" w:rsidP="00B93D5B">
      <w:pPr>
        <w:spacing w:line="240" w:lineRule="auto"/>
        <w:ind w:left="5041"/>
        <w:jc w:val="center"/>
        <w:rPr>
          <w:spacing w:val="-4"/>
          <w:sz w:val="20"/>
          <w:szCs w:val="20"/>
        </w:rPr>
      </w:pPr>
      <w:r w:rsidRPr="00B93D5B">
        <w:rPr>
          <w:spacing w:val="-4"/>
          <w:sz w:val="20"/>
          <w:szCs w:val="20"/>
        </w:rPr>
        <w:t>Juez</w:t>
      </w:r>
    </w:p>
    <w:p w:rsidR="00B93D5B" w:rsidRDefault="00B93D5B" w:rsidP="00B93D5B">
      <w:pPr>
        <w:spacing w:line="240" w:lineRule="auto"/>
        <w:rPr>
          <w:rFonts w:cs="Verdana"/>
          <w:spacing w:val="-4"/>
          <w:sz w:val="20"/>
          <w:szCs w:val="20"/>
        </w:rPr>
      </w:pPr>
    </w:p>
    <w:p w:rsidR="00B93D5B" w:rsidRDefault="00B93D5B" w:rsidP="00B93D5B">
      <w:pPr>
        <w:spacing w:line="240" w:lineRule="auto"/>
        <w:rPr>
          <w:rFonts w:cs="Verdana"/>
          <w:spacing w:val="-4"/>
          <w:sz w:val="20"/>
          <w:szCs w:val="20"/>
        </w:rPr>
      </w:pPr>
    </w:p>
    <w:p w:rsidR="00B93D5B" w:rsidRDefault="00B93D5B" w:rsidP="00B93D5B">
      <w:pPr>
        <w:spacing w:line="240" w:lineRule="auto"/>
        <w:rPr>
          <w:rFonts w:cs="Verdana"/>
          <w:spacing w:val="-4"/>
          <w:sz w:val="20"/>
          <w:szCs w:val="20"/>
        </w:rPr>
      </w:pPr>
    </w:p>
    <w:p w:rsidR="00B93D5B" w:rsidRDefault="00B93D5B" w:rsidP="00B93D5B">
      <w:pPr>
        <w:spacing w:line="240" w:lineRule="auto"/>
        <w:rPr>
          <w:rFonts w:cs="Verdana"/>
          <w:spacing w:val="-4"/>
          <w:sz w:val="20"/>
          <w:szCs w:val="20"/>
        </w:rPr>
      </w:pPr>
    </w:p>
    <w:p w:rsidR="00B93D5B" w:rsidRDefault="00B93D5B" w:rsidP="00B93D5B">
      <w:pPr>
        <w:spacing w:line="240" w:lineRule="auto"/>
        <w:rPr>
          <w:rFonts w:cs="Verdana"/>
          <w:spacing w:val="-4"/>
          <w:sz w:val="20"/>
          <w:szCs w:val="20"/>
        </w:rPr>
      </w:pPr>
    </w:p>
    <w:p w:rsidR="00B93D5B" w:rsidRPr="002F14A2" w:rsidRDefault="00B93D5B" w:rsidP="00B93D5B">
      <w:pPr>
        <w:spacing w:line="240" w:lineRule="auto"/>
        <w:rPr>
          <w:rFonts w:cs="Verdana"/>
          <w:spacing w:val="-4"/>
          <w:sz w:val="20"/>
          <w:szCs w:val="20"/>
        </w:rPr>
      </w:pPr>
      <w:r w:rsidRPr="002F14A2">
        <w:rPr>
          <w:rFonts w:cs="Verdana"/>
          <w:spacing w:val="-4"/>
          <w:sz w:val="20"/>
          <w:szCs w:val="20"/>
        </w:rPr>
        <w:t>Pablo Saavedra Alessandri</w:t>
      </w:r>
    </w:p>
    <w:p w:rsidR="00B93D5B" w:rsidRPr="007E1C8B" w:rsidRDefault="00B93D5B" w:rsidP="00B93D5B">
      <w:pPr>
        <w:spacing w:line="240" w:lineRule="auto"/>
        <w:rPr>
          <w:rFonts w:cs="Verdana"/>
          <w:spacing w:val="-4"/>
          <w:sz w:val="20"/>
          <w:szCs w:val="20"/>
        </w:rPr>
      </w:pPr>
      <w:r w:rsidRPr="002F14A2">
        <w:rPr>
          <w:rFonts w:cs="Verdana"/>
          <w:spacing w:val="-4"/>
          <w:sz w:val="20"/>
          <w:szCs w:val="20"/>
        </w:rPr>
        <w:tab/>
        <w:t>Secretario</w:t>
      </w:r>
    </w:p>
    <w:p w:rsidR="00B93D5B" w:rsidRPr="00063DB9" w:rsidRDefault="00B93D5B" w:rsidP="00B93D5B">
      <w:pPr>
        <w:pStyle w:val="Estilo1"/>
        <w:numPr>
          <w:ilvl w:val="0"/>
          <w:numId w:val="0"/>
        </w:numPr>
        <w:spacing w:after="0" w:line="240" w:lineRule="auto"/>
        <w:rPr>
          <w:sz w:val="20"/>
          <w:szCs w:val="20"/>
        </w:rPr>
      </w:pPr>
    </w:p>
    <w:sectPr w:rsidR="00B93D5B" w:rsidRPr="00063DB9" w:rsidSect="000631EA">
      <w:headerReference w:type="defaul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37D" w:rsidRDefault="0043237D" w:rsidP="00B93D5B">
      <w:pPr>
        <w:spacing w:line="240" w:lineRule="auto"/>
      </w:pPr>
      <w:r>
        <w:separator/>
      </w:r>
    </w:p>
  </w:endnote>
  <w:endnote w:type="continuationSeparator" w:id="0">
    <w:p w:rsidR="0043237D" w:rsidRDefault="0043237D" w:rsidP="00B93D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37D" w:rsidRDefault="0043237D" w:rsidP="00B93D5B">
      <w:pPr>
        <w:spacing w:line="240" w:lineRule="auto"/>
      </w:pPr>
      <w:r>
        <w:separator/>
      </w:r>
    </w:p>
  </w:footnote>
  <w:footnote w:type="continuationSeparator" w:id="0">
    <w:p w:rsidR="0043237D" w:rsidRDefault="0043237D" w:rsidP="00B93D5B">
      <w:pPr>
        <w:spacing w:line="240" w:lineRule="auto"/>
      </w:pPr>
      <w:r>
        <w:continuationSeparator/>
      </w:r>
    </w:p>
  </w:footnote>
  <w:footnote w:id="1">
    <w:p w:rsidR="0025021F" w:rsidRDefault="0025021F">
      <w:pPr>
        <w:pStyle w:val="FootnoteText"/>
      </w:pPr>
      <w:r>
        <w:rPr>
          <w:rStyle w:val="FootnoteReference"/>
        </w:rPr>
        <w:footnoteRef/>
      </w:r>
      <w:r>
        <w:t xml:space="preserve"> </w:t>
      </w:r>
      <w:r>
        <w:tab/>
      </w:r>
      <w:r w:rsidRPr="006F2A55">
        <w:rPr>
          <w:i/>
          <w:sz w:val="16"/>
          <w:szCs w:val="16"/>
          <w:lang w:val="es-ES_tradnl"/>
        </w:rPr>
        <w:t xml:space="preserve">Caso </w:t>
      </w:r>
      <w:proofErr w:type="spellStart"/>
      <w:r w:rsidRPr="006F2A55">
        <w:rPr>
          <w:i/>
          <w:sz w:val="16"/>
          <w:szCs w:val="16"/>
          <w:lang w:val="es-ES_tradnl"/>
        </w:rPr>
        <w:t>Granier</w:t>
      </w:r>
      <w:proofErr w:type="spellEnd"/>
      <w:r w:rsidRPr="006F2A55">
        <w:rPr>
          <w:i/>
          <w:sz w:val="16"/>
          <w:szCs w:val="16"/>
          <w:lang w:val="es-ES_tradnl"/>
        </w:rPr>
        <w:t xml:space="preserve"> y otros (Radio Caracas Televisión) Vs. Venezuela</w:t>
      </w:r>
      <w:r w:rsidRPr="009501B6">
        <w:rPr>
          <w:sz w:val="16"/>
          <w:szCs w:val="16"/>
          <w:lang w:val="es-ES_tradnl"/>
        </w:rPr>
        <w:t>,</w:t>
      </w:r>
      <w:r>
        <w:rPr>
          <w:sz w:val="16"/>
          <w:szCs w:val="16"/>
          <w:lang w:val="es-ES_tradnl"/>
        </w:rPr>
        <w:t xml:space="preserve"> párr. 65.</w:t>
      </w:r>
    </w:p>
  </w:footnote>
  <w:footnote w:id="2">
    <w:p w:rsidR="00880A92" w:rsidRDefault="00880A92">
      <w:pPr>
        <w:pStyle w:val="FootnoteText"/>
      </w:pPr>
      <w:r>
        <w:rPr>
          <w:rStyle w:val="FootnoteReference"/>
        </w:rPr>
        <w:footnoteRef/>
      </w:r>
      <w:r>
        <w:t xml:space="preserve"> </w:t>
      </w:r>
      <w:r>
        <w:tab/>
      </w:r>
      <w:r w:rsidRPr="006F2A55">
        <w:rPr>
          <w:i/>
          <w:sz w:val="16"/>
          <w:szCs w:val="16"/>
          <w:lang w:val="es-ES_tradnl"/>
        </w:rPr>
        <w:t xml:space="preserve">Caso </w:t>
      </w:r>
      <w:proofErr w:type="spellStart"/>
      <w:r w:rsidRPr="006F2A55">
        <w:rPr>
          <w:i/>
          <w:sz w:val="16"/>
          <w:szCs w:val="16"/>
          <w:lang w:val="es-ES_tradnl"/>
        </w:rPr>
        <w:t>Granier</w:t>
      </w:r>
      <w:proofErr w:type="spellEnd"/>
      <w:r w:rsidRPr="006F2A55">
        <w:rPr>
          <w:i/>
          <w:sz w:val="16"/>
          <w:szCs w:val="16"/>
          <w:lang w:val="es-ES_tradnl"/>
        </w:rPr>
        <w:t xml:space="preserve"> y otros (Radio Caracas Televisión) Vs. Venezuela</w:t>
      </w:r>
      <w:r w:rsidRPr="009501B6">
        <w:rPr>
          <w:sz w:val="16"/>
          <w:szCs w:val="16"/>
          <w:lang w:val="es-ES_tradnl"/>
        </w:rPr>
        <w:t>,</w:t>
      </w:r>
      <w:r>
        <w:rPr>
          <w:sz w:val="16"/>
          <w:szCs w:val="16"/>
          <w:lang w:val="es-ES_tradnl"/>
        </w:rPr>
        <w:t xml:space="preserve"> párr. 20.</w:t>
      </w:r>
    </w:p>
  </w:footnote>
  <w:footnote w:id="3">
    <w:p w:rsidR="00AB106E" w:rsidRDefault="00AB106E" w:rsidP="00AB106E">
      <w:pPr>
        <w:pStyle w:val="FootnoteText"/>
      </w:pPr>
      <w:r>
        <w:rPr>
          <w:rStyle w:val="FootnoteReference"/>
        </w:rPr>
        <w:footnoteRef/>
      </w:r>
      <w:r>
        <w:t xml:space="preserve"> </w:t>
      </w:r>
      <w:r>
        <w:tab/>
      </w:r>
      <w:r w:rsidRPr="006F2A55">
        <w:rPr>
          <w:i/>
          <w:sz w:val="16"/>
          <w:szCs w:val="16"/>
          <w:lang w:val="es-ES_tradnl"/>
        </w:rPr>
        <w:t xml:space="preserve">Caso </w:t>
      </w:r>
      <w:proofErr w:type="spellStart"/>
      <w:r w:rsidRPr="006F2A55">
        <w:rPr>
          <w:i/>
          <w:sz w:val="16"/>
          <w:szCs w:val="16"/>
          <w:lang w:val="es-ES_tradnl"/>
        </w:rPr>
        <w:t>Granier</w:t>
      </w:r>
      <w:proofErr w:type="spellEnd"/>
      <w:r w:rsidRPr="006F2A55">
        <w:rPr>
          <w:i/>
          <w:sz w:val="16"/>
          <w:szCs w:val="16"/>
          <w:lang w:val="es-ES_tradnl"/>
        </w:rPr>
        <w:t xml:space="preserve"> y otros (Radio Caracas Televisión) Vs. Venezuela</w:t>
      </w:r>
      <w:r w:rsidRPr="009501B6">
        <w:rPr>
          <w:sz w:val="16"/>
          <w:szCs w:val="16"/>
          <w:lang w:val="es-ES_tradnl"/>
        </w:rPr>
        <w:t>,</w:t>
      </w:r>
      <w:r>
        <w:rPr>
          <w:sz w:val="16"/>
          <w:szCs w:val="16"/>
          <w:lang w:val="es-ES_tradnl"/>
        </w:rPr>
        <w:t xml:space="preserve"> párr. 20.</w:t>
      </w:r>
    </w:p>
  </w:footnote>
  <w:footnote w:id="4">
    <w:p w:rsidR="00AB106E" w:rsidRDefault="00AB106E" w:rsidP="00AB106E">
      <w:pPr>
        <w:pStyle w:val="FootnoteText"/>
      </w:pPr>
      <w:r>
        <w:rPr>
          <w:rStyle w:val="FootnoteReference"/>
        </w:rPr>
        <w:footnoteRef/>
      </w:r>
      <w:r>
        <w:t xml:space="preserve"> </w:t>
      </w:r>
      <w:r>
        <w:tab/>
      </w:r>
      <w:r w:rsidRPr="006F2A55">
        <w:rPr>
          <w:i/>
          <w:sz w:val="16"/>
          <w:szCs w:val="16"/>
          <w:lang w:val="es-ES_tradnl"/>
        </w:rPr>
        <w:t xml:space="preserve">Caso </w:t>
      </w:r>
      <w:proofErr w:type="spellStart"/>
      <w:r w:rsidRPr="006F2A55">
        <w:rPr>
          <w:i/>
          <w:sz w:val="16"/>
          <w:szCs w:val="16"/>
          <w:lang w:val="es-ES_tradnl"/>
        </w:rPr>
        <w:t>Granier</w:t>
      </w:r>
      <w:proofErr w:type="spellEnd"/>
      <w:r w:rsidRPr="006F2A55">
        <w:rPr>
          <w:i/>
          <w:sz w:val="16"/>
          <w:szCs w:val="16"/>
          <w:lang w:val="es-ES_tradnl"/>
        </w:rPr>
        <w:t xml:space="preserve"> y otros (Radio Caracas Televisión) Vs. Venezuela</w:t>
      </w:r>
      <w:r w:rsidRPr="009501B6">
        <w:rPr>
          <w:sz w:val="16"/>
          <w:szCs w:val="16"/>
          <w:lang w:val="es-ES_tradnl"/>
        </w:rPr>
        <w:t>,</w:t>
      </w:r>
      <w:r>
        <w:rPr>
          <w:sz w:val="16"/>
          <w:szCs w:val="16"/>
          <w:lang w:val="es-ES_tradnl"/>
        </w:rPr>
        <w:t xml:space="preserve"> párr. **.</w:t>
      </w:r>
    </w:p>
  </w:footnote>
  <w:footnote w:id="5">
    <w:p w:rsidR="005243AF" w:rsidRDefault="005243AF">
      <w:pPr>
        <w:pStyle w:val="FootnoteText"/>
      </w:pPr>
      <w:r>
        <w:rPr>
          <w:rStyle w:val="FootnoteReference"/>
        </w:rPr>
        <w:footnoteRef/>
      </w:r>
      <w:r>
        <w:t xml:space="preserve"> </w:t>
      </w:r>
      <w:r>
        <w:tab/>
      </w:r>
      <w:r w:rsidRPr="006F2A55">
        <w:rPr>
          <w:i/>
          <w:sz w:val="16"/>
          <w:szCs w:val="16"/>
          <w:lang w:val="es-ES_tradnl"/>
        </w:rPr>
        <w:t xml:space="preserve">Caso </w:t>
      </w:r>
      <w:proofErr w:type="spellStart"/>
      <w:r w:rsidRPr="006F2A55">
        <w:rPr>
          <w:i/>
          <w:sz w:val="16"/>
          <w:szCs w:val="16"/>
          <w:lang w:val="es-ES_tradnl"/>
        </w:rPr>
        <w:t>Granier</w:t>
      </w:r>
      <w:proofErr w:type="spellEnd"/>
      <w:r w:rsidRPr="006F2A55">
        <w:rPr>
          <w:i/>
          <w:sz w:val="16"/>
          <w:szCs w:val="16"/>
          <w:lang w:val="es-ES_tradnl"/>
        </w:rPr>
        <w:t xml:space="preserve"> y otros (Radio Caracas Televisión) Vs. Venezuela</w:t>
      </w:r>
      <w:r w:rsidRPr="009501B6">
        <w:rPr>
          <w:sz w:val="16"/>
          <w:szCs w:val="16"/>
          <w:lang w:val="es-ES_tradnl"/>
        </w:rPr>
        <w:t>,</w:t>
      </w:r>
      <w:r>
        <w:rPr>
          <w:sz w:val="16"/>
          <w:szCs w:val="16"/>
          <w:lang w:val="es-ES_tradnl"/>
        </w:rPr>
        <w:t xml:space="preserve"> párr. 21.</w:t>
      </w:r>
    </w:p>
  </w:footnote>
  <w:footnote w:id="6">
    <w:p w:rsidR="00F928AA" w:rsidRDefault="00F928AA">
      <w:pPr>
        <w:pStyle w:val="FootnoteText"/>
      </w:pPr>
      <w:r>
        <w:rPr>
          <w:rStyle w:val="FootnoteReference"/>
        </w:rPr>
        <w:footnoteRef/>
      </w:r>
      <w:r>
        <w:t xml:space="preserve"> </w:t>
      </w:r>
      <w:r>
        <w:tab/>
      </w:r>
      <w:r w:rsidRPr="006F2A55">
        <w:rPr>
          <w:i/>
          <w:sz w:val="16"/>
          <w:szCs w:val="16"/>
          <w:lang w:val="es-ES_tradnl"/>
        </w:rPr>
        <w:t xml:space="preserve">Caso </w:t>
      </w:r>
      <w:proofErr w:type="spellStart"/>
      <w:r w:rsidRPr="006F2A55">
        <w:rPr>
          <w:i/>
          <w:sz w:val="16"/>
          <w:szCs w:val="16"/>
          <w:lang w:val="es-ES_tradnl"/>
        </w:rPr>
        <w:t>Granier</w:t>
      </w:r>
      <w:proofErr w:type="spellEnd"/>
      <w:r w:rsidRPr="006F2A55">
        <w:rPr>
          <w:i/>
          <w:sz w:val="16"/>
          <w:szCs w:val="16"/>
          <w:lang w:val="es-ES_tradnl"/>
        </w:rPr>
        <w:t xml:space="preserve"> y otros (Radio Caracas Televisión) Vs. Venezuela</w:t>
      </w:r>
      <w:r w:rsidRPr="009501B6">
        <w:rPr>
          <w:sz w:val="16"/>
          <w:szCs w:val="16"/>
          <w:lang w:val="es-ES_tradnl"/>
        </w:rPr>
        <w:t>,</w:t>
      </w:r>
      <w:r>
        <w:rPr>
          <w:sz w:val="16"/>
          <w:szCs w:val="16"/>
          <w:lang w:val="es-ES_tradnl"/>
        </w:rPr>
        <w:t xml:space="preserve"> puntos declarativos 3 y 4.</w:t>
      </w:r>
    </w:p>
  </w:footnote>
  <w:footnote w:id="7">
    <w:p w:rsidR="005243AF" w:rsidRDefault="005243AF">
      <w:pPr>
        <w:pStyle w:val="FootnoteText"/>
      </w:pPr>
      <w:r>
        <w:rPr>
          <w:rStyle w:val="FootnoteReference"/>
        </w:rPr>
        <w:footnoteRef/>
      </w:r>
      <w:r>
        <w:t xml:space="preserve"> </w:t>
      </w:r>
      <w:r>
        <w:tab/>
      </w:r>
      <w:r w:rsidRPr="006F2A55">
        <w:rPr>
          <w:i/>
          <w:sz w:val="16"/>
          <w:szCs w:val="16"/>
          <w:lang w:val="es-ES_tradnl"/>
        </w:rPr>
        <w:t xml:space="preserve">Caso </w:t>
      </w:r>
      <w:proofErr w:type="spellStart"/>
      <w:r w:rsidRPr="006F2A55">
        <w:rPr>
          <w:i/>
          <w:sz w:val="16"/>
          <w:szCs w:val="16"/>
          <w:lang w:val="es-ES_tradnl"/>
        </w:rPr>
        <w:t>Granier</w:t>
      </w:r>
      <w:proofErr w:type="spellEnd"/>
      <w:r w:rsidRPr="006F2A55">
        <w:rPr>
          <w:i/>
          <w:sz w:val="16"/>
          <w:szCs w:val="16"/>
          <w:lang w:val="es-ES_tradnl"/>
        </w:rPr>
        <w:t xml:space="preserve"> y otros (Radio Caracas Televisión) Vs. Venezuela</w:t>
      </w:r>
      <w:r w:rsidRPr="009501B6">
        <w:rPr>
          <w:sz w:val="16"/>
          <w:szCs w:val="16"/>
          <w:lang w:val="es-ES_tradnl"/>
        </w:rPr>
        <w:t>,</w:t>
      </w:r>
      <w:r>
        <w:rPr>
          <w:sz w:val="16"/>
          <w:szCs w:val="16"/>
          <w:lang w:val="es-ES_tradnl"/>
        </w:rPr>
        <w:t xml:space="preserve"> </w:t>
      </w:r>
      <w:proofErr w:type="spellStart"/>
      <w:r>
        <w:rPr>
          <w:sz w:val="16"/>
          <w:szCs w:val="16"/>
          <w:lang w:val="es-ES_tradnl"/>
        </w:rPr>
        <w:t>párrs</w:t>
      </w:r>
      <w:proofErr w:type="spellEnd"/>
      <w:r>
        <w:rPr>
          <w:sz w:val="16"/>
          <w:szCs w:val="16"/>
          <w:lang w:val="es-ES_tradnl"/>
        </w:rPr>
        <w:t xml:space="preserve">. </w:t>
      </w:r>
      <w:r w:rsidRPr="005243AF">
        <w:rPr>
          <w:sz w:val="16"/>
          <w:szCs w:val="16"/>
          <w:lang w:val="es-ES_tradnl"/>
        </w:rPr>
        <w:t>153 y 158 a 160</w:t>
      </w:r>
      <w:r>
        <w:rPr>
          <w:sz w:val="16"/>
          <w:szCs w:val="16"/>
          <w:lang w:val="es-ES_tradnl"/>
        </w:rPr>
        <w:t>.</w:t>
      </w:r>
    </w:p>
  </w:footnote>
  <w:footnote w:id="8">
    <w:p w:rsidR="005243AF" w:rsidRDefault="005243AF">
      <w:pPr>
        <w:pStyle w:val="FootnoteText"/>
      </w:pPr>
      <w:r>
        <w:rPr>
          <w:rStyle w:val="FootnoteReference"/>
        </w:rPr>
        <w:footnoteRef/>
      </w:r>
      <w:r>
        <w:t xml:space="preserve"> </w:t>
      </w:r>
      <w:r>
        <w:tab/>
      </w:r>
      <w:r w:rsidRPr="006F2A55">
        <w:rPr>
          <w:i/>
          <w:sz w:val="16"/>
          <w:szCs w:val="16"/>
          <w:lang w:val="es-ES_tradnl"/>
        </w:rPr>
        <w:t xml:space="preserve">Caso </w:t>
      </w:r>
      <w:proofErr w:type="spellStart"/>
      <w:r w:rsidRPr="006F2A55">
        <w:rPr>
          <w:i/>
          <w:sz w:val="16"/>
          <w:szCs w:val="16"/>
          <w:lang w:val="es-ES_tradnl"/>
        </w:rPr>
        <w:t>Granier</w:t>
      </w:r>
      <w:proofErr w:type="spellEnd"/>
      <w:r w:rsidRPr="006F2A55">
        <w:rPr>
          <w:i/>
          <w:sz w:val="16"/>
          <w:szCs w:val="16"/>
          <w:lang w:val="es-ES_tradnl"/>
        </w:rPr>
        <w:t xml:space="preserve"> y otros (Radio Caracas Televisión) Vs. Venezuela</w:t>
      </w:r>
      <w:r w:rsidRPr="009501B6">
        <w:rPr>
          <w:sz w:val="16"/>
          <w:szCs w:val="16"/>
          <w:lang w:val="es-ES_tradnl"/>
        </w:rPr>
        <w:t>,</w:t>
      </w:r>
      <w:r>
        <w:rPr>
          <w:sz w:val="16"/>
          <w:szCs w:val="16"/>
          <w:lang w:val="es-ES_tradnl"/>
        </w:rPr>
        <w:t xml:space="preserve"> </w:t>
      </w:r>
      <w:r w:rsidRPr="005243AF">
        <w:rPr>
          <w:sz w:val="16"/>
          <w:szCs w:val="16"/>
          <w:lang w:val="es-ES_tradnl"/>
        </w:rPr>
        <w:t>punto declarativo 5</w:t>
      </w:r>
      <w:r>
        <w:rPr>
          <w:sz w:val="16"/>
          <w:szCs w:val="16"/>
          <w:lang w:val="es-ES_tradnl"/>
        </w:rPr>
        <w:t>.</w:t>
      </w:r>
    </w:p>
  </w:footnote>
  <w:footnote w:id="9">
    <w:p w:rsidR="005243AF" w:rsidRDefault="005243AF" w:rsidP="005243AF">
      <w:pPr>
        <w:pStyle w:val="FootnoteText"/>
      </w:pPr>
      <w:r>
        <w:rPr>
          <w:rStyle w:val="FootnoteReference"/>
        </w:rPr>
        <w:footnoteRef/>
      </w:r>
      <w:r>
        <w:t xml:space="preserve"> </w:t>
      </w:r>
      <w:r>
        <w:tab/>
      </w:r>
      <w:r w:rsidRPr="006F2A55">
        <w:rPr>
          <w:i/>
          <w:sz w:val="16"/>
          <w:szCs w:val="16"/>
          <w:lang w:val="es-ES_tradnl"/>
        </w:rPr>
        <w:t xml:space="preserve">Caso </w:t>
      </w:r>
      <w:proofErr w:type="spellStart"/>
      <w:r w:rsidRPr="006F2A55">
        <w:rPr>
          <w:i/>
          <w:sz w:val="16"/>
          <w:szCs w:val="16"/>
          <w:lang w:val="es-ES_tradnl"/>
        </w:rPr>
        <w:t>Granier</w:t>
      </w:r>
      <w:proofErr w:type="spellEnd"/>
      <w:r w:rsidRPr="006F2A55">
        <w:rPr>
          <w:i/>
          <w:sz w:val="16"/>
          <w:szCs w:val="16"/>
          <w:lang w:val="es-ES_tradnl"/>
        </w:rPr>
        <w:t xml:space="preserve"> y otros (Radio Caracas Televisión) Vs. Venezuela</w:t>
      </w:r>
      <w:r w:rsidRPr="009501B6">
        <w:rPr>
          <w:sz w:val="16"/>
          <w:szCs w:val="16"/>
          <w:lang w:val="es-ES_tradnl"/>
        </w:rPr>
        <w:t>,</w:t>
      </w:r>
      <w:r>
        <w:rPr>
          <w:sz w:val="16"/>
          <w:szCs w:val="16"/>
          <w:lang w:val="es-ES_tradnl"/>
        </w:rPr>
        <w:t xml:space="preserve"> </w:t>
      </w:r>
      <w:r w:rsidRPr="005243AF">
        <w:rPr>
          <w:sz w:val="16"/>
          <w:szCs w:val="16"/>
          <w:lang w:val="es-ES_tradnl"/>
        </w:rPr>
        <w:t xml:space="preserve">punto declarativo </w:t>
      </w:r>
      <w:r>
        <w:rPr>
          <w:sz w:val="16"/>
          <w:szCs w:val="16"/>
          <w:lang w:val="es-ES_tradnl"/>
        </w:rPr>
        <w:t>8.</w:t>
      </w:r>
    </w:p>
  </w:footnote>
  <w:footnote w:id="10">
    <w:p w:rsidR="005243AF" w:rsidRDefault="005243AF" w:rsidP="005243AF">
      <w:pPr>
        <w:pStyle w:val="FootnoteText"/>
      </w:pPr>
      <w:r>
        <w:rPr>
          <w:rStyle w:val="FootnoteReference"/>
        </w:rPr>
        <w:footnoteRef/>
      </w:r>
      <w:r>
        <w:t xml:space="preserve"> </w:t>
      </w:r>
      <w:r>
        <w:tab/>
      </w:r>
      <w:r w:rsidRPr="006F2A55">
        <w:rPr>
          <w:i/>
          <w:sz w:val="16"/>
          <w:szCs w:val="16"/>
          <w:lang w:val="es-ES_tradnl"/>
        </w:rPr>
        <w:t xml:space="preserve">Caso </w:t>
      </w:r>
      <w:proofErr w:type="spellStart"/>
      <w:r w:rsidRPr="006F2A55">
        <w:rPr>
          <w:i/>
          <w:sz w:val="16"/>
          <w:szCs w:val="16"/>
          <w:lang w:val="es-ES_tradnl"/>
        </w:rPr>
        <w:t>Granier</w:t>
      </w:r>
      <w:proofErr w:type="spellEnd"/>
      <w:r w:rsidRPr="006F2A55">
        <w:rPr>
          <w:i/>
          <w:sz w:val="16"/>
          <w:szCs w:val="16"/>
          <w:lang w:val="es-ES_tradnl"/>
        </w:rPr>
        <w:t xml:space="preserve"> y otros (Radio Caracas Televisión) Vs. Venezuela</w:t>
      </w:r>
      <w:r w:rsidRPr="009501B6">
        <w:rPr>
          <w:sz w:val="16"/>
          <w:szCs w:val="16"/>
          <w:lang w:val="es-ES_tradnl"/>
        </w:rPr>
        <w:t>,</w:t>
      </w:r>
      <w:r>
        <w:rPr>
          <w:sz w:val="16"/>
          <w:szCs w:val="16"/>
          <w:lang w:val="es-ES_tradnl"/>
        </w:rPr>
        <w:t xml:space="preserve"> </w:t>
      </w:r>
      <w:r w:rsidRPr="005243AF">
        <w:rPr>
          <w:sz w:val="16"/>
          <w:szCs w:val="16"/>
          <w:lang w:val="es-ES_tradnl"/>
        </w:rPr>
        <w:t xml:space="preserve">punto declarativo </w:t>
      </w:r>
      <w:r>
        <w:rPr>
          <w:sz w:val="16"/>
          <w:szCs w:val="16"/>
          <w:lang w:val="es-ES_tradnl"/>
        </w:rPr>
        <w:t>3.</w:t>
      </w:r>
    </w:p>
  </w:footnote>
  <w:footnote w:id="11">
    <w:p w:rsidR="00FB262B" w:rsidRDefault="00FB262B" w:rsidP="00FB262B">
      <w:pPr>
        <w:pStyle w:val="FootnoteText"/>
      </w:pPr>
      <w:r>
        <w:rPr>
          <w:rStyle w:val="FootnoteReference"/>
        </w:rPr>
        <w:footnoteRef/>
      </w:r>
      <w:r>
        <w:t xml:space="preserve"> </w:t>
      </w:r>
      <w:r>
        <w:tab/>
      </w:r>
      <w:r w:rsidRPr="006F2A55">
        <w:rPr>
          <w:i/>
          <w:sz w:val="16"/>
          <w:szCs w:val="16"/>
          <w:lang w:val="es-ES_tradnl"/>
        </w:rPr>
        <w:t xml:space="preserve">Caso </w:t>
      </w:r>
      <w:proofErr w:type="spellStart"/>
      <w:r w:rsidRPr="006F2A55">
        <w:rPr>
          <w:i/>
          <w:sz w:val="16"/>
          <w:szCs w:val="16"/>
          <w:lang w:val="es-ES_tradnl"/>
        </w:rPr>
        <w:t>Granier</w:t>
      </w:r>
      <w:proofErr w:type="spellEnd"/>
      <w:r w:rsidRPr="006F2A55">
        <w:rPr>
          <w:i/>
          <w:sz w:val="16"/>
          <w:szCs w:val="16"/>
          <w:lang w:val="es-ES_tradnl"/>
        </w:rPr>
        <w:t xml:space="preserve"> y otros (Radio Caracas Televisión) Vs. Venezuela</w:t>
      </w:r>
      <w:r w:rsidRPr="009501B6">
        <w:rPr>
          <w:sz w:val="16"/>
          <w:szCs w:val="16"/>
          <w:lang w:val="es-ES_tradnl"/>
        </w:rPr>
        <w:t>,</w:t>
      </w:r>
      <w:r>
        <w:rPr>
          <w:sz w:val="16"/>
          <w:szCs w:val="16"/>
          <w:lang w:val="es-ES_tradnl"/>
        </w:rPr>
        <w:t xml:space="preserve"> </w:t>
      </w:r>
      <w:r w:rsidRPr="005243AF">
        <w:rPr>
          <w:sz w:val="16"/>
          <w:szCs w:val="16"/>
          <w:lang w:val="es-ES_tradnl"/>
        </w:rPr>
        <w:t xml:space="preserve">punto declarativo </w:t>
      </w:r>
      <w:r>
        <w:rPr>
          <w:sz w:val="16"/>
          <w:szCs w:val="16"/>
          <w:lang w:val="es-ES_tradnl"/>
        </w:rPr>
        <w:t>4.</w:t>
      </w:r>
    </w:p>
  </w:footnote>
  <w:footnote w:id="12">
    <w:p w:rsidR="00FB262B" w:rsidRDefault="00FB262B" w:rsidP="00FB262B">
      <w:pPr>
        <w:pStyle w:val="FootnoteText"/>
      </w:pPr>
      <w:r>
        <w:rPr>
          <w:rStyle w:val="FootnoteReference"/>
        </w:rPr>
        <w:footnoteRef/>
      </w:r>
      <w:r>
        <w:t xml:space="preserve"> </w:t>
      </w:r>
      <w:r>
        <w:tab/>
      </w:r>
      <w:r w:rsidRPr="006F2A55">
        <w:rPr>
          <w:i/>
          <w:sz w:val="16"/>
          <w:szCs w:val="16"/>
          <w:lang w:val="es-ES_tradnl"/>
        </w:rPr>
        <w:t xml:space="preserve">Caso </w:t>
      </w:r>
      <w:proofErr w:type="spellStart"/>
      <w:r w:rsidRPr="006F2A55">
        <w:rPr>
          <w:i/>
          <w:sz w:val="16"/>
          <w:szCs w:val="16"/>
          <w:lang w:val="es-ES_tradnl"/>
        </w:rPr>
        <w:t>Granier</w:t>
      </w:r>
      <w:proofErr w:type="spellEnd"/>
      <w:r w:rsidRPr="006F2A55">
        <w:rPr>
          <w:i/>
          <w:sz w:val="16"/>
          <w:szCs w:val="16"/>
          <w:lang w:val="es-ES_tradnl"/>
        </w:rPr>
        <w:t xml:space="preserve"> y otros (Radio Caracas Televisión) Vs. Venezuela</w:t>
      </w:r>
      <w:r w:rsidRPr="009501B6">
        <w:rPr>
          <w:sz w:val="16"/>
          <w:szCs w:val="16"/>
          <w:lang w:val="es-ES_tradnl"/>
        </w:rPr>
        <w:t>,</w:t>
      </w:r>
      <w:r>
        <w:rPr>
          <w:sz w:val="16"/>
          <w:szCs w:val="16"/>
          <w:lang w:val="es-ES_tradnl"/>
        </w:rPr>
        <w:t xml:space="preserve"> </w:t>
      </w:r>
      <w:r w:rsidRPr="005243AF">
        <w:rPr>
          <w:sz w:val="16"/>
          <w:szCs w:val="16"/>
          <w:lang w:val="es-ES_tradnl"/>
        </w:rPr>
        <w:t xml:space="preserve">punto declarativo </w:t>
      </w:r>
      <w:r>
        <w:rPr>
          <w:sz w:val="16"/>
          <w:szCs w:val="16"/>
          <w:lang w:val="es-ES_tradnl"/>
        </w:rPr>
        <w:t>6.</w:t>
      </w:r>
    </w:p>
  </w:footnote>
  <w:footnote w:id="13">
    <w:p w:rsidR="00FB262B" w:rsidRDefault="00FB262B" w:rsidP="00FB262B">
      <w:pPr>
        <w:pStyle w:val="FootnoteText"/>
      </w:pPr>
      <w:r>
        <w:rPr>
          <w:rStyle w:val="FootnoteReference"/>
        </w:rPr>
        <w:footnoteRef/>
      </w:r>
      <w:r>
        <w:t xml:space="preserve"> </w:t>
      </w:r>
      <w:r>
        <w:tab/>
      </w:r>
      <w:r w:rsidRPr="006F2A55">
        <w:rPr>
          <w:i/>
          <w:sz w:val="16"/>
          <w:szCs w:val="16"/>
          <w:lang w:val="es-ES_tradnl"/>
        </w:rPr>
        <w:t xml:space="preserve">Caso </w:t>
      </w:r>
      <w:proofErr w:type="spellStart"/>
      <w:r w:rsidRPr="006F2A55">
        <w:rPr>
          <w:i/>
          <w:sz w:val="16"/>
          <w:szCs w:val="16"/>
          <w:lang w:val="es-ES_tradnl"/>
        </w:rPr>
        <w:t>Granier</w:t>
      </w:r>
      <w:proofErr w:type="spellEnd"/>
      <w:r w:rsidRPr="006F2A55">
        <w:rPr>
          <w:i/>
          <w:sz w:val="16"/>
          <w:szCs w:val="16"/>
          <w:lang w:val="es-ES_tradnl"/>
        </w:rPr>
        <w:t xml:space="preserve"> y otros (Radio Caracas Televisión) Vs. Venezuela</w:t>
      </w:r>
      <w:r w:rsidRPr="009501B6">
        <w:rPr>
          <w:sz w:val="16"/>
          <w:szCs w:val="16"/>
          <w:lang w:val="es-ES_tradnl"/>
        </w:rPr>
        <w:t>,</w:t>
      </w:r>
      <w:r>
        <w:rPr>
          <w:sz w:val="16"/>
          <w:szCs w:val="16"/>
          <w:lang w:val="es-ES_tradnl"/>
        </w:rPr>
        <w:t xml:space="preserve"> </w:t>
      </w:r>
      <w:r w:rsidRPr="005243AF">
        <w:rPr>
          <w:sz w:val="16"/>
          <w:szCs w:val="16"/>
          <w:lang w:val="es-ES_tradnl"/>
        </w:rPr>
        <w:t xml:space="preserve">punto declarativo </w:t>
      </w:r>
      <w:r>
        <w:rPr>
          <w:sz w:val="16"/>
          <w:szCs w:val="16"/>
          <w:lang w:val="es-ES_tradnl"/>
        </w:rPr>
        <w:t>7.</w:t>
      </w:r>
    </w:p>
  </w:footnote>
  <w:footnote w:id="14">
    <w:p w:rsidR="00FB262B" w:rsidRDefault="00FB262B" w:rsidP="00FB262B">
      <w:pPr>
        <w:pStyle w:val="FootnoteText"/>
      </w:pPr>
      <w:r>
        <w:rPr>
          <w:rStyle w:val="FootnoteReference"/>
        </w:rPr>
        <w:footnoteRef/>
      </w:r>
      <w:r>
        <w:t xml:space="preserve"> </w:t>
      </w:r>
      <w:r>
        <w:tab/>
      </w:r>
      <w:r w:rsidRPr="006F2A55">
        <w:rPr>
          <w:i/>
          <w:sz w:val="16"/>
          <w:szCs w:val="16"/>
          <w:lang w:val="es-ES_tradnl"/>
        </w:rPr>
        <w:t xml:space="preserve">Caso </w:t>
      </w:r>
      <w:proofErr w:type="spellStart"/>
      <w:r w:rsidRPr="006F2A55">
        <w:rPr>
          <w:i/>
          <w:sz w:val="16"/>
          <w:szCs w:val="16"/>
          <w:lang w:val="es-ES_tradnl"/>
        </w:rPr>
        <w:t>Granier</w:t>
      </w:r>
      <w:proofErr w:type="spellEnd"/>
      <w:r w:rsidRPr="006F2A55">
        <w:rPr>
          <w:i/>
          <w:sz w:val="16"/>
          <w:szCs w:val="16"/>
          <w:lang w:val="es-ES_tradnl"/>
        </w:rPr>
        <w:t xml:space="preserve"> y otros (Radio Caracas Televisión) Vs. Venezuela</w:t>
      </w:r>
      <w:r w:rsidRPr="009501B6">
        <w:rPr>
          <w:sz w:val="16"/>
          <w:szCs w:val="16"/>
          <w:lang w:val="es-ES_tradnl"/>
        </w:rPr>
        <w:t>,</w:t>
      </w:r>
      <w:r>
        <w:rPr>
          <w:sz w:val="16"/>
          <w:szCs w:val="16"/>
          <w:lang w:val="es-ES_tradnl"/>
        </w:rPr>
        <w:t xml:space="preserve"> párr. 212.</w:t>
      </w:r>
    </w:p>
  </w:footnote>
  <w:footnote w:id="15">
    <w:p w:rsidR="007C2C49" w:rsidRDefault="007C2C49" w:rsidP="007C2C49">
      <w:pPr>
        <w:pStyle w:val="FootnoteText"/>
      </w:pPr>
      <w:r>
        <w:rPr>
          <w:rStyle w:val="FootnoteReference"/>
        </w:rPr>
        <w:footnoteRef/>
      </w:r>
      <w:r>
        <w:t xml:space="preserve"> </w:t>
      </w:r>
      <w:r>
        <w:tab/>
      </w:r>
      <w:r w:rsidRPr="006F2A55">
        <w:rPr>
          <w:i/>
          <w:sz w:val="16"/>
          <w:szCs w:val="16"/>
          <w:lang w:val="es-ES_tradnl"/>
        </w:rPr>
        <w:t xml:space="preserve">Caso </w:t>
      </w:r>
      <w:proofErr w:type="spellStart"/>
      <w:r w:rsidRPr="006F2A55">
        <w:rPr>
          <w:i/>
          <w:sz w:val="16"/>
          <w:szCs w:val="16"/>
          <w:lang w:val="es-ES_tradnl"/>
        </w:rPr>
        <w:t>Granier</w:t>
      </w:r>
      <w:proofErr w:type="spellEnd"/>
      <w:r w:rsidRPr="006F2A55">
        <w:rPr>
          <w:i/>
          <w:sz w:val="16"/>
          <w:szCs w:val="16"/>
          <w:lang w:val="es-ES_tradnl"/>
        </w:rPr>
        <w:t xml:space="preserve"> y otros (Radio Caracas Televisión) Vs. Venezuela</w:t>
      </w:r>
      <w:r w:rsidRPr="009501B6">
        <w:rPr>
          <w:sz w:val="16"/>
          <w:szCs w:val="16"/>
          <w:lang w:val="es-ES_tradnl"/>
        </w:rPr>
        <w:t>,</w:t>
      </w:r>
      <w:r>
        <w:rPr>
          <w:sz w:val="16"/>
          <w:szCs w:val="16"/>
          <w:lang w:val="es-ES_tradnl"/>
        </w:rPr>
        <w:t xml:space="preserve"> párr. 213.</w:t>
      </w:r>
    </w:p>
  </w:footnote>
  <w:footnote w:id="16">
    <w:p w:rsidR="001B4AED" w:rsidRPr="001B4AED" w:rsidRDefault="001B4AED">
      <w:pPr>
        <w:pStyle w:val="FootnoteText"/>
        <w:rPr>
          <w:sz w:val="16"/>
        </w:rPr>
      </w:pPr>
      <w:r w:rsidRPr="001B4AED">
        <w:rPr>
          <w:rStyle w:val="FootnoteReference"/>
          <w:sz w:val="16"/>
        </w:rPr>
        <w:footnoteRef/>
      </w:r>
      <w:r w:rsidRPr="001B4AED">
        <w:rPr>
          <w:sz w:val="16"/>
        </w:rPr>
        <w:t xml:space="preserve"> </w:t>
      </w:r>
      <w:r w:rsidRPr="001B4AED">
        <w:rPr>
          <w:sz w:val="16"/>
        </w:rPr>
        <w:tab/>
        <w:t>“Televisión en Venezuela”</w:t>
      </w:r>
      <w:r w:rsidR="00FB5B9D">
        <w:rPr>
          <w:sz w:val="16"/>
        </w:rPr>
        <w:t>.</w:t>
      </w:r>
    </w:p>
  </w:footnote>
  <w:footnote w:id="17">
    <w:p w:rsidR="007C2C49" w:rsidRDefault="007C2C49" w:rsidP="007C2C49">
      <w:pPr>
        <w:pStyle w:val="FootnoteText"/>
      </w:pPr>
      <w:r>
        <w:rPr>
          <w:rStyle w:val="FootnoteReference"/>
        </w:rPr>
        <w:footnoteRef/>
      </w:r>
      <w:r>
        <w:t xml:space="preserve"> </w:t>
      </w:r>
      <w:r>
        <w:tab/>
      </w:r>
      <w:r w:rsidRPr="006F2A55">
        <w:rPr>
          <w:i/>
          <w:sz w:val="16"/>
          <w:szCs w:val="16"/>
          <w:lang w:val="es-ES_tradnl"/>
        </w:rPr>
        <w:t xml:space="preserve">Caso </w:t>
      </w:r>
      <w:proofErr w:type="spellStart"/>
      <w:r w:rsidRPr="006F2A55">
        <w:rPr>
          <w:i/>
          <w:sz w:val="16"/>
          <w:szCs w:val="16"/>
          <w:lang w:val="es-ES_tradnl"/>
        </w:rPr>
        <w:t>Granier</w:t>
      </w:r>
      <w:proofErr w:type="spellEnd"/>
      <w:r w:rsidRPr="006F2A55">
        <w:rPr>
          <w:i/>
          <w:sz w:val="16"/>
          <w:szCs w:val="16"/>
          <w:lang w:val="es-ES_tradnl"/>
        </w:rPr>
        <w:t xml:space="preserve"> y otros (Radio Caracas Televisión) Vs. Venezuela</w:t>
      </w:r>
      <w:r w:rsidRPr="009501B6">
        <w:rPr>
          <w:sz w:val="16"/>
          <w:szCs w:val="16"/>
          <w:lang w:val="es-ES_tradnl"/>
        </w:rPr>
        <w:t>,</w:t>
      </w:r>
      <w:r>
        <w:rPr>
          <w:sz w:val="16"/>
          <w:szCs w:val="16"/>
          <w:lang w:val="es-ES_tradnl"/>
        </w:rPr>
        <w:t xml:space="preserve"> párr. 230.</w:t>
      </w:r>
    </w:p>
  </w:footnote>
  <w:footnote w:id="18">
    <w:p w:rsidR="004501B5" w:rsidRDefault="004501B5">
      <w:pPr>
        <w:pStyle w:val="FootnoteText"/>
      </w:pPr>
      <w:r>
        <w:rPr>
          <w:rStyle w:val="FootnoteReference"/>
        </w:rPr>
        <w:footnoteRef/>
      </w:r>
      <w:r>
        <w:t xml:space="preserve"> </w:t>
      </w:r>
      <w:r>
        <w:tab/>
      </w:r>
      <w:r w:rsidRPr="006F2A55">
        <w:rPr>
          <w:i/>
          <w:sz w:val="16"/>
          <w:szCs w:val="16"/>
          <w:lang w:val="es-ES_tradnl"/>
        </w:rPr>
        <w:t xml:space="preserve">Caso </w:t>
      </w:r>
      <w:proofErr w:type="spellStart"/>
      <w:r w:rsidRPr="006F2A55">
        <w:rPr>
          <w:i/>
          <w:sz w:val="16"/>
          <w:szCs w:val="16"/>
          <w:lang w:val="es-ES_tradnl"/>
        </w:rPr>
        <w:t>Granier</w:t>
      </w:r>
      <w:proofErr w:type="spellEnd"/>
      <w:r w:rsidRPr="006F2A55">
        <w:rPr>
          <w:i/>
          <w:sz w:val="16"/>
          <w:szCs w:val="16"/>
          <w:lang w:val="es-ES_tradnl"/>
        </w:rPr>
        <w:t xml:space="preserve"> y otros (Radio Caracas Televisión) Vs. Venezuela</w:t>
      </w:r>
      <w:r w:rsidRPr="009501B6">
        <w:rPr>
          <w:sz w:val="16"/>
          <w:szCs w:val="16"/>
          <w:lang w:val="es-ES_tradnl"/>
        </w:rPr>
        <w:t>,</w:t>
      </w:r>
      <w:r>
        <w:rPr>
          <w:sz w:val="16"/>
          <w:szCs w:val="16"/>
          <w:lang w:val="es-ES_tradnl"/>
        </w:rPr>
        <w:t xml:space="preserve"> párr. 398.</w:t>
      </w:r>
    </w:p>
  </w:footnote>
  <w:footnote w:id="19">
    <w:p w:rsidR="00AB106E" w:rsidRDefault="00AB106E" w:rsidP="00AB106E">
      <w:pPr>
        <w:pStyle w:val="FootnoteText"/>
      </w:pPr>
      <w:r>
        <w:rPr>
          <w:rStyle w:val="FootnoteReference"/>
        </w:rPr>
        <w:footnoteRef/>
      </w:r>
      <w:r>
        <w:t xml:space="preserve"> </w:t>
      </w:r>
      <w:r>
        <w:tab/>
      </w:r>
      <w:r w:rsidRPr="006F2A55">
        <w:rPr>
          <w:i/>
          <w:sz w:val="16"/>
          <w:szCs w:val="16"/>
          <w:lang w:val="es-ES_tradnl"/>
        </w:rPr>
        <w:t xml:space="preserve">Caso </w:t>
      </w:r>
      <w:proofErr w:type="spellStart"/>
      <w:r w:rsidRPr="006F2A55">
        <w:rPr>
          <w:i/>
          <w:sz w:val="16"/>
          <w:szCs w:val="16"/>
          <w:lang w:val="es-ES_tradnl"/>
        </w:rPr>
        <w:t>Granier</w:t>
      </w:r>
      <w:proofErr w:type="spellEnd"/>
      <w:r w:rsidRPr="006F2A55">
        <w:rPr>
          <w:i/>
          <w:sz w:val="16"/>
          <w:szCs w:val="16"/>
          <w:lang w:val="es-ES_tradnl"/>
        </w:rPr>
        <w:t xml:space="preserve"> y otros (Radio Caracas Televisión) Vs. Venezuela</w:t>
      </w:r>
      <w:r w:rsidRPr="009501B6">
        <w:rPr>
          <w:sz w:val="16"/>
          <w:szCs w:val="16"/>
          <w:lang w:val="es-ES_tradnl"/>
        </w:rPr>
        <w:t>,</w:t>
      </w:r>
      <w:r>
        <w:rPr>
          <w:sz w:val="16"/>
          <w:szCs w:val="16"/>
          <w:lang w:val="es-ES_tradnl"/>
        </w:rPr>
        <w:t xml:space="preserve"> párr. 172.</w:t>
      </w:r>
    </w:p>
  </w:footnote>
  <w:footnote w:id="20">
    <w:p w:rsidR="00AB106E" w:rsidRDefault="00AB106E" w:rsidP="00AB106E">
      <w:pPr>
        <w:pStyle w:val="FootnoteText"/>
      </w:pPr>
      <w:r>
        <w:rPr>
          <w:rStyle w:val="FootnoteReference"/>
        </w:rPr>
        <w:footnoteRef/>
      </w:r>
      <w:r>
        <w:t xml:space="preserve"> </w:t>
      </w:r>
      <w:r>
        <w:tab/>
      </w:r>
      <w:r w:rsidRPr="006F2A55">
        <w:rPr>
          <w:i/>
          <w:sz w:val="16"/>
          <w:szCs w:val="16"/>
          <w:lang w:val="es-ES_tradnl"/>
        </w:rPr>
        <w:t xml:space="preserve">Caso </w:t>
      </w:r>
      <w:proofErr w:type="spellStart"/>
      <w:r w:rsidRPr="006F2A55">
        <w:rPr>
          <w:i/>
          <w:sz w:val="16"/>
          <w:szCs w:val="16"/>
          <w:lang w:val="es-ES_tradnl"/>
        </w:rPr>
        <w:t>Granier</w:t>
      </w:r>
      <w:proofErr w:type="spellEnd"/>
      <w:r w:rsidRPr="006F2A55">
        <w:rPr>
          <w:i/>
          <w:sz w:val="16"/>
          <w:szCs w:val="16"/>
          <w:lang w:val="es-ES_tradnl"/>
        </w:rPr>
        <w:t xml:space="preserve"> y otros (Radio Caracas Televisión) Vs. Venezuela</w:t>
      </w:r>
      <w:r w:rsidRPr="009501B6">
        <w:rPr>
          <w:sz w:val="16"/>
          <w:szCs w:val="16"/>
          <w:lang w:val="es-ES_tradnl"/>
        </w:rPr>
        <w:t>,</w:t>
      </w:r>
      <w:r>
        <w:rPr>
          <w:sz w:val="16"/>
          <w:szCs w:val="16"/>
          <w:lang w:val="es-ES_tradnl"/>
        </w:rPr>
        <w:t xml:space="preserve"> párr. 342.</w:t>
      </w:r>
    </w:p>
  </w:footnote>
  <w:footnote w:id="21">
    <w:p w:rsidR="00AB106E" w:rsidRDefault="00AB106E" w:rsidP="00AB106E">
      <w:pPr>
        <w:pStyle w:val="FootnoteText"/>
      </w:pPr>
      <w:r>
        <w:rPr>
          <w:rStyle w:val="FootnoteReference"/>
        </w:rPr>
        <w:footnoteRef/>
      </w:r>
      <w:r>
        <w:t xml:space="preserve"> </w:t>
      </w:r>
      <w:r>
        <w:tab/>
      </w:r>
      <w:r w:rsidRPr="006F2A55">
        <w:rPr>
          <w:i/>
          <w:sz w:val="16"/>
          <w:szCs w:val="16"/>
          <w:lang w:val="es-ES_tradnl"/>
        </w:rPr>
        <w:t xml:space="preserve">Caso </w:t>
      </w:r>
      <w:proofErr w:type="spellStart"/>
      <w:r w:rsidRPr="006F2A55">
        <w:rPr>
          <w:i/>
          <w:sz w:val="16"/>
          <w:szCs w:val="16"/>
          <w:lang w:val="es-ES_tradnl"/>
        </w:rPr>
        <w:t>Granier</w:t>
      </w:r>
      <w:proofErr w:type="spellEnd"/>
      <w:r w:rsidRPr="006F2A55">
        <w:rPr>
          <w:i/>
          <w:sz w:val="16"/>
          <w:szCs w:val="16"/>
          <w:lang w:val="es-ES_tradnl"/>
        </w:rPr>
        <w:t xml:space="preserve"> y otros (Radio Caracas Televisión) Vs. Venezuela</w:t>
      </w:r>
      <w:r w:rsidRPr="009501B6">
        <w:rPr>
          <w:sz w:val="16"/>
          <w:szCs w:val="16"/>
          <w:lang w:val="es-ES_tradnl"/>
        </w:rPr>
        <w:t>,</w:t>
      </w:r>
      <w:r>
        <w:rPr>
          <w:sz w:val="16"/>
          <w:szCs w:val="16"/>
          <w:lang w:val="es-ES_tradnl"/>
        </w:rPr>
        <w:t xml:space="preserve"> párr. 343.</w:t>
      </w:r>
    </w:p>
  </w:footnote>
  <w:footnote w:id="22">
    <w:p w:rsidR="00AB106E" w:rsidRDefault="00AB106E" w:rsidP="00AB106E">
      <w:pPr>
        <w:pStyle w:val="FootnoteText"/>
      </w:pPr>
      <w:r>
        <w:rPr>
          <w:rStyle w:val="FootnoteReference"/>
        </w:rPr>
        <w:footnoteRef/>
      </w:r>
      <w:r>
        <w:t xml:space="preserve"> </w:t>
      </w:r>
      <w:r>
        <w:tab/>
      </w:r>
      <w:r w:rsidRPr="006F2A55">
        <w:rPr>
          <w:i/>
          <w:sz w:val="16"/>
          <w:szCs w:val="16"/>
          <w:lang w:val="es-ES_tradnl"/>
        </w:rPr>
        <w:t xml:space="preserve">Caso </w:t>
      </w:r>
      <w:proofErr w:type="spellStart"/>
      <w:r w:rsidRPr="006F2A55">
        <w:rPr>
          <w:i/>
          <w:sz w:val="16"/>
          <w:szCs w:val="16"/>
          <w:lang w:val="es-ES_tradnl"/>
        </w:rPr>
        <w:t>Granier</w:t>
      </w:r>
      <w:proofErr w:type="spellEnd"/>
      <w:r w:rsidRPr="006F2A55">
        <w:rPr>
          <w:i/>
          <w:sz w:val="16"/>
          <w:szCs w:val="16"/>
          <w:lang w:val="es-ES_tradnl"/>
        </w:rPr>
        <w:t xml:space="preserve"> y otros (Radio Caracas Televisión) Vs. Venezuela</w:t>
      </w:r>
      <w:r w:rsidRPr="009501B6">
        <w:rPr>
          <w:sz w:val="16"/>
          <w:szCs w:val="16"/>
          <w:lang w:val="es-ES_tradnl"/>
        </w:rPr>
        <w:t>,</w:t>
      </w:r>
      <w:r>
        <w:rPr>
          <w:sz w:val="16"/>
          <w:szCs w:val="16"/>
          <w:lang w:val="es-ES_tradnl"/>
        </w:rPr>
        <w:t xml:space="preserve"> párr. 178.</w:t>
      </w:r>
    </w:p>
  </w:footnote>
  <w:footnote w:id="23">
    <w:p w:rsidR="00486732" w:rsidRDefault="00486732">
      <w:pPr>
        <w:pStyle w:val="FootnoteText"/>
      </w:pPr>
      <w:r>
        <w:rPr>
          <w:rStyle w:val="FootnoteReference"/>
        </w:rPr>
        <w:footnoteRef/>
      </w:r>
      <w:r>
        <w:t xml:space="preserve"> </w:t>
      </w:r>
      <w:r>
        <w:tab/>
      </w:r>
      <w:r w:rsidRPr="006F2A55">
        <w:rPr>
          <w:i/>
          <w:sz w:val="16"/>
          <w:szCs w:val="16"/>
          <w:lang w:val="es-ES_tradnl"/>
        </w:rPr>
        <w:t xml:space="preserve">Caso </w:t>
      </w:r>
      <w:proofErr w:type="spellStart"/>
      <w:r w:rsidRPr="006F2A55">
        <w:rPr>
          <w:i/>
          <w:sz w:val="16"/>
          <w:szCs w:val="16"/>
          <w:lang w:val="es-ES_tradnl"/>
        </w:rPr>
        <w:t>Granier</w:t>
      </w:r>
      <w:proofErr w:type="spellEnd"/>
      <w:r w:rsidRPr="006F2A55">
        <w:rPr>
          <w:i/>
          <w:sz w:val="16"/>
          <w:szCs w:val="16"/>
          <w:lang w:val="es-ES_tradnl"/>
        </w:rPr>
        <w:t xml:space="preserve"> y otros (Radio Caracas Televisión) Vs. Venezuela</w:t>
      </w:r>
      <w:r w:rsidRPr="009501B6">
        <w:rPr>
          <w:sz w:val="16"/>
          <w:szCs w:val="16"/>
          <w:lang w:val="es-ES_tradnl"/>
        </w:rPr>
        <w:t>,</w:t>
      </w:r>
      <w:r>
        <w:rPr>
          <w:sz w:val="16"/>
          <w:szCs w:val="16"/>
          <w:lang w:val="es-ES_tradnl"/>
        </w:rPr>
        <w:t xml:space="preserve"> párr. 179.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972032"/>
      <w:docPartObj>
        <w:docPartGallery w:val="Page Numbers (Top of Page)"/>
        <w:docPartUnique/>
      </w:docPartObj>
    </w:sdtPr>
    <w:sdtEndPr>
      <w:rPr>
        <w:noProof/>
      </w:rPr>
    </w:sdtEndPr>
    <w:sdtContent>
      <w:p w:rsidR="000631EA" w:rsidRDefault="000631EA">
        <w:pPr>
          <w:pStyle w:val="Header"/>
          <w:jc w:val="center"/>
        </w:pPr>
        <w:r w:rsidRPr="000631EA">
          <w:rPr>
            <w:sz w:val="20"/>
          </w:rPr>
          <w:fldChar w:fldCharType="begin"/>
        </w:r>
        <w:r w:rsidRPr="000631EA">
          <w:rPr>
            <w:sz w:val="20"/>
          </w:rPr>
          <w:instrText xml:space="preserve"> PAGE   \* MERGEFORMAT </w:instrText>
        </w:r>
        <w:r w:rsidRPr="000631EA">
          <w:rPr>
            <w:sz w:val="20"/>
          </w:rPr>
          <w:fldChar w:fldCharType="separate"/>
        </w:r>
        <w:r>
          <w:rPr>
            <w:noProof/>
            <w:sz w:val="20"/>
          </w:rPr>
          <w:t>3</w:t>
        </w:r>
        <w:r w:rsidRPr="000631EA">
          <w:rPr>
            <w:noProof/>
            <w:sz w:val="20"/>
          </w:rPr>
          <w:fldChar w:fldCharType="end"/>
        </w:r>
      </w:p>
    </w:sdtContent>
  </w:sdt>
  <w:p w:rsidR="000631EA" w:rsidRDefault="000631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379B"/>
    <w:multiLevelType w:val="hybridMultilevel"/>
    <w:tmpl w:val="A61E3848"/>
    <w:lvl w:ilvl="0" w:tplc="380A000F">
      <w:start w:val="3"/>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nsid w:val="07515E9E"/>
    <w:multiLevelType w:val="hybridMultilevel"/>
    <w:tmpl w:val="6DD61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5954"/>
    <w:multiLevelType w:val="hybridMultilevel"/>
    <w:tmpl w:val="C504AF5E"/>
    <w:lvl w:ilvl="0" w:tplc="E1C00930">
      <w:start w:val="1"/>
      <w:numFmt w:val="upp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nsid w:val="569B3B33"/>
    <w:multiLevelType w:val="hybridMultilevel"/>
    <w:tmpl w:val="61406F08"/>
    <w:lvl w:ilvl="0" w:tplc="380A000F">
      <w:start w:val="16"/>
      <w:numFmt w:val="decimal"/>
      <w:lvlText w:val="%1."/>
      <w:lvlJc w:val="left"/>
      <w:pPr>
        <w:ind w:left="2160" w:hanging="360"/>
      </w:pPr>
      <w:rPr>
        <w:rFonts w:hint="default"/>
      </w:rPr>
    </w:lvl>
    <w:lvl w:ilvl="1" w:tplc="380A0019" w:tentative="1">
      <w:start w:val="1"/>
      <w:numFmt w:val="lowerLetter"/>
      <w:lvlText w:val="%2."/>
      <w:lvlJc w:val="left"/>
      <w:pPr>
        <w:ind w:left="2880" w:hanging="360"/>
      </w:pPr>
    </w:lvl>
    <w:lvl w:ilvl="2" w:tplc="380A001B" w:tentative="1">
      <w:start w:val="1"/>
      <w:numFmt w:val="lowerRoman"/>
      <w:lvlText w:val="%3."/>
      <w:lvlJc w:val="right"/>
      <w:pPr>
        <w:ind w:left="3600" w:hanging="180"/>
      </w:pPr>
    </w:lvl>
    <w:lvl w:ilvl="3" w:tplc="380A000F" w:tentative="1">
      <w:start w:val="1"/>
      <w:numFmt w:val="decimal"/>
      <w:lvlText w:val="%4."/>
      <w:lvlJc w:val="left"/>
      <w:pPr>
        <w:ind w:left="4320" w:hanging="360"/>
      </w:pPr>
    </w:lvl>
    <w:lvl w:ilvl="4" w:tplc="380A0019" w:tentative="1">
      <w:start w:val="1"/>
      <w:numFmt w:val="lowerLetter"/>
      <w:lvlText w:val="%5."/>
      <w:lvlJc w:val="left"/>
      <w:pPr>
        <w:ind w:left="5040" w:hanging="360"/>
      </w:pPr>
    </w:lvl>
    <w:lvl w:ilvl="5" w:tplc="380A001B" w:tentative="1">
      <w:start w:val="1"/>
      <w:numFmt w:val="lowerRoman"/>
      <w:lvlText w:val="%6."/>
      <w:lvlJc w:val="right"/>
      <w:pPr>
        <w:ind w:left="5760" w:hanging="180"/>
      </w:pPr>
    </w:lvl>
    <w:lvl w:ilvl="6" w:tplc="380A000F" w:tentative="1">
      <w:start w:val="1"/>
      <w:numFmt w:val="decimal"/>
      <w:lvlText w:val="%7."/>
      <w:lvlJc w:val="left"/>
      <w:pPr>
        <w:ind w:left="6480" w:hanging="360"/>
      </w:pPr>
    </w:lvl>
    <w:lvl w:ilvl="7" w:tplc="380A0019" w:tentative="1">
      <w:start w:val="1"/>
      <w:numFmt w:val="lowerLetter"/>
      <w:lvlText w:val="%8."/>
      <w:lvlJc w:val="left"/>
      <w:pPr>
        <w:ind w:left="7200" w:hanging="360"/>
      </w:pPr>
    </w:lvl>
    <w:lvl w:ilvl="8" w:tplc="380A001B" w:tentative="1">
      <w:start w:val="1"/>
      <w:numFmt w:val="lowerRoman"/>
      <w:lvlText w:val="%9."/>
      <w:lvlJc w:val="right"/>
      <w:pPr>
        <w:ind w:left="7920" w:hanging="180"/>
      </w:pPr>
    </w:lvl>
  </w:abstractNum>
  <w:abstractNum w:abstractNumId="4">
    <w:nsid w:val="6EE91F94"/>
    <w:multiLevelType w:val="hybridMultilevel"/>
    <w:tmpl w:val="FC2271AA"/>
    <w:lvl w:ilvl="0" w:tplc="380A000F">
      <w:start w:val="15"/>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nsid w:val="6F94496C"/>
    <w:multiLevelType w:val="hybridMultilevel"/>
    <w:tmpl w:val="52F0407E"/>
    <w:lvl w:ilvl="0" w:tplc="4838008E">
      <w:start w:val="1"/>
      <w:numFmt w:val="decimal"/>
      <w:pStyle w:val="Estilo1"/>
      <w:lvlText w:val="%1."/>
      <w:lvlJc w:val="left"/>
      <w:pPr>
        <w:ind w:left="720" w:hanging="360"/>
      </w:pPr>
    </w:lvl>
    <w:lvl w:ilvl="1" w:tplc="5D223A8A">
      <w:start w:val="1"/>
      <w:numFmt w:val="lowerLetter"/>
      <w:pStyle w:val="Estilo2"/>
      <w:lvlText w:val="%2."/>
      <w:lvlJc w:val="left"/>
      <w:pPr>
        <w:ind w:left="1440" w:hanging="360"/>
      </w:pPr>
    </w:lvl>
    <w:lvl w:ilvl="2" w:tplc="8258E428">
      <w:start w:val="1"/>
      <w:numFmt w:val="lowerRoman"/>
      <w:pStyle w:val="Estilo3"/>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nsid w:val="740A7BDA"/>
    <w:multiLevelType w:val="hybridMultilevel"/>
    <w:tmpl w:val="99340DAC"/>
    <w:lvl w:ilvl="0" w:tplc="380A000F">
      <w:start w:val="15"/>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E39"/>
    <w:rsid w:val="00036AA4"/>
    <w:rsid w:val="00056E2E"/>
    <w:rsid w:val="000631EA"/>
    <w:rsid w:val="00063DB9"/>
    <w:rsid w:val="000B6E39"/>
    <w:rsid w:val="000C4429"/>
    <w:rsid w:val="000D3597"/>
    <w:rsid w:val="0011338E"/>
    <w:rsid w:val="00172B1E"/>
    <w:rsid w:val="001B4AED"/>
    <w:rsid w:val="001C48CA"/>
    <w:rsid w:val="0025021F"/>
    <w:rsid w:val="002D6DCF"/>
    <w:rsid w:val="00313D37"/>
    <w:rsid w:val="00332AA4"/>
    <w:rsid w:val="003B5F8F"/>
    <w:rsid w:val="0043237D"/>
    <w:rsid w:val="004501B5"/>
    <w:rsid w:val="00486732"/>
    <w:rsid w:val="00493CAD"/>
    <w:rsid w:val="005243AF"/>
    <w:rsid w:val="00654262"/>
    <w:rsid w:val="00661E31"/>
    <w:rsid w:val="00673261"/>
    <w:rsid w:val="006F22FE"/>
    <w:rsid w:val="007B05AD"/>
    <w:rsid w:val="007C2C49"/>
    <w:rsid w:val="007E4CC0"/>
    <w:rsid w:val="00880A92"/>
    <w:rsid w:val="008C7D3D"/>
    <w:rsid w:val="00933DB0"/>
    <w:rsid w:val="00954D1A"/>
    <w:rsid w:val="009B2E55"/>
    <w:rsid w:val="009C05FD"/>
    <w:rsid w:val="00A35EE6"/>
    <w:rsid w:val="00AB106E"/>
    <w:rsid w:val="00AB7AD7"/>
    <w:rsid w:val="00AD51DA"/>
    <w:rsid w:val="00B0589B"/>
    <w:rsid w:val="00B8104C"/>
    <w:rsid w:val="00B93D5B"/>
    <w:rsid w:val="00C00121"/>
    <w:rsid w:val="00C07DE4"/>
    <w:rsid w:val="00C34A21"/>
    <w:rsid w:val="00C42D64"/>
    <w:rsid w:val="00CD7A19"/>
    <w:rsid w:val="00D17BE6"/>
    <w:rsid w:val="00D94B6E"/>
    <w:rsid w:val="00DD1EC1"/>
    <w:rsid w:val="00DD79E9"/>
    <w:rsid w:val="00DE66E1"/>
    <w:rsid w:val="00E06335"/>
    <w:rsid w:val="00E81C60"/>
    <w:rsid w:val="00E94142"/>
    <w:rsid w:val="00EB575D"/>
    <w:rsid w:val="00EB62DF"/>
    <w:rsid w:val="00ED5354"/>
    <w:rsid w:val="00F91FCD"/>
    <w:rsid w:val="00F928AA"/>
    <w:rsid w:val="00FB262B"/>
    <w:rsid w:val="00FB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E39"/>
    <w:pPr>
      <w:widowControl w:val="0"/>
      <w:adjustRightInd w:val="0"/>
      <w:spacing w:after="0" w:line="360" w:lineRule="atLeast"/>
      <w:jc w:val="both"/>
      <w:textAlignment w:val="baseline"/>
    </w:pPr>
    <w:rPr>
      <w:rFonts w:ascii="Verdana" w:eastAsia="Times New Roman" w:hAnsi="Verdana" w:cs="Times New Roman"/>
      <w:sz w:val="24"/>
      <w:szCs w:val="24"/>
      <w:lang w:val="es-CR"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6E39"/>
    <w:pPr>
      <w:autoSpaceDE w:val="0"/>
      <w:autoSpaceDN w:val="0"/>
      <w:adjustRightInd w:val="0"/>
      <w:spacing w:after="0" w:line="240" w:lineRule="auto"/>
    </w:pPr>
    <w:rPr>
      <w:rFonts w:ascii="Verdana" w:eastAsia="Calibri" w:hAnsi="Verdana" w:cs="Verdana"/>
      <w:color w:val="000000"/>
      <w:spacing w:val="-4"/>
      <w:sz w:val="24"/>
      <w:szCs w:val="24"/>
      <w:lang w:val="es-CR"/>
    </w:rPr>
  </w:style>
  <w:style w:type="paragraph" w:styleId="ListParagraph">
    <w:name w:val="List Paragraph"/>
    <w:basedOn w:val="Normal"/>
    <w:link w:val="ListParagraphChar"/>
    <w:uiPriority w:val="34"/>
    <w:qFormat/>
    <w:rsid w:val="00C07DE4"/>
    <w:pPr>
      <w:ind w:left="720"/>
      <w:contextualSpacing/>
    </w:pPr>
  </w:style>
  <w:style w:type="paragraph" w:customStyle="1" w:styleId="Estilo1">
    <w:name w:val="Estilo1"/>
    <w:basedOn w:val="ListParagraph"/>
    <w:link w:val="Estilo1Car"/>
    <w:qFormat/>
    <w:rsid w:val="00C07DE4"/>
    <w:pPr>
      <w:numPr>
        <w:numId w:val="2"/>
      </w:numPr>
      <w:spacing w:after="120"/>
      <w:ind w:left="0" w:firstLine="0"/>
      <w:contextualSpacing w:val="0"/>
    </w:pPr>
    <w:rPr>
      <w:lang w:val="es-PR"/>
    </w:rPr>
  </w:style>
  <w:style w:type="paragraph" w:customStyle="1" w:styleId="Estilo2">
    <w:name w:val="Estilo2"/>
    <w:basedOn w:val="ListParagraph"/>
    <w:link w:val="Estilo2Car"/>
    <w:qFormat/>
    <w:rsid w:val="00C07DE4"/>
    <w:pPr>
      <w:numPr>
        <w:ilvl w:val="1"/>
        <w:numId w:val="2"/>
      </w:numPr>
      <w:spacing w:after="120"/>
      <w:ind w:left="0" w:firstLine="567"/>
      <w:contextualSpacing w:val="0"/>
    </w:pPr>
    <w:rPr>
      <w:lang w:val="es-PR"/>
    </w:rPr>
  </w:style>
  <w:style w:type="character" w:customStyle="1" w:styleId="ListParagraphChar">
    <w:name w:val="List Paragraph Char"/>
    <w:basedOn w:val="DefaultParagraphFont"/>
    <w:link w:val="ListParagraph"/>
    <w:uiPriority w:val="34"/>
    <w:rsid w:val="00C07DE4"/>
    <w:rPr>
      <w:rFonts w:ascii="Verdana" w:eastAsia="Times New Roman" w:hAnsi="Verdana" w:cs="Times New Roman"/>
      <w:sz w:val="24"/>
      <w:szCs w:val="24"/>
      <w:lang w:val="es-CR" w:eastAsia="es-CR"/>
    </w:rPr>
  </w:style>
  <w:style w:type="character" w:customStyle="1" w:styleId="Estilo1Car">
    <w:name w:val="Estilo1 Car"/>
    <w:basedOn w:val="ListParagraphChar"/>
    <w:link w:val="Estilo1"/>
    <w:rsid w:val="00C07DE4"/>
    <w:rPr>
      <w:rFonts w:ascii="Verdana" w:eastAsia="Times New Roman" w:hAnsi="Verdana" w:cs="Times New Roman"/>
      <w:sz w:val="24"/>
      <w:szCs w:val="24"/>
      <w:lang w:val="es-PR" w:eastAsia="es-CR"/>
    </w:rPr>
  </w:style>
  <w:style w:type="paragraph" w:customStyle="1" w:styleId="Estilo3">
    <w:name w:val="Estilo3"/>
    <w:basedOn w:val="ListParagraph"/>
    <w:link w:val="Estilo3Car"/>
    <w:qFormat/>
    <w:rsid w:val="00C07DE4"/>
    <w:pPr>
      <w:numPr>
        <w:ilvl w:val="2"/>
        <w:numId w:val="2"/>
      </w:numPr>
      <w:spacing w:after="120"/>
      <w:ind w:left="0" w:firstLine="1559"/>
      <w:contextualSpacing w:val="0"/>
    </w:pPr>
    <w:rPr>
      <w:lang w:val="es-PR"/>
    </w:rPr>
  </w:style>
  <w:style w:type="character" w:customStyle="1" w:styleId="Estilo2Car">
    <w:name w:val="Estilo2 Car"/>
    <w:basedOn w:val="ListParagraphChar"/>
    <w:link w:val="Estilo2"/>
    <w:rsid w:val="00C07DE4"/>
    <w:rPr>
      <w:rFonts w:ascii="Verdana" w:eastAsia="Times New Roman" w:hAnsi="Verdana" w:cs="Times New Roman"/>
      <w:sz w:val="24"/>
      <w:szCs w:val="24"/>
      <w:lang w:val="es-PR" w:eastAsia="es-CR"/>
    </w:rPr>
  </w:style>
  <w:style w:type="character" w:customStyle="1" w:styleId="Estilo3Car">
    <w:name w:val="Estilo3 Car"/>
    <w:basedOn w:val="ListParagraphChar"/>
    <w:link w:val="Estilo3"/>
    <w:rsid w:val="00C07DE4"/>
    <w:rPr>
      <w:rFonts w:ascii="Verdana" w:eastAsia="Times New Roman" w:hAnsi="Verdana" w:cs="Times New Roman"/>
      <w:sz w:val="24"/>
      <w:szCs w:val="24"/>
      <w:lang w:val="es-PR" w:eastAsia="es-CR"/>
    </w:rPr>
  </w:style>
  <w:style w:type="paragraph" w:styleId="FootnoteText">
    <w:name w:val="footnote text"/>
    <w:basedOn w:val="Normal"/>
    <w:link w:val="FootnoteTextChar"/>
    <w:uiPriority w:val="99"/>
    <w:semiHidden/>
    <w:unhideWhenUsed/>
    <w:rsid w:val="00B93D5B"/>
    <w:pPr>
      <w:spacing w:line="240" w:lineRule="auto"/>
    </w:pPr>
    <w:rPr>
      <w:sz w:val="20"/>
      <w:szCs w:val="20"/>
    </w:rPr>
  </w:style>
  <w:style w:type="character" w:customStyle="1" w:styleId="FootnoteTextChar">
    <w:name w:val="Footnote Text Char"/>
    <w:basedOn w:val="DefaultParagraphFont"/>
    <w:link w:val="FootnoteText"/>
    <w:uiPriority w:val="99"/>
    <w:semiHidden/>
    <w:rsid w:val="00B93D5B"/>
    <w:rPr>
      <w:rFonts w:ascii="Verdana" w:eastAsia="Times New Roman" w:hAnsi="Verdana" w:cs="Times New Roman"/>
      <w:sz w:val="20"/>
      <w:szCs w:val="20"/>
      <w:lang w:val="es-CR" w:eastAsia="es-CR"/>
    </w:rPr>
  </w:style>
  <w:style w:type="character" w:styleId="FootnoteReference">
    <w:name w:val="footnote reference"/>
    <w:basedOn w:val="DefaultParagraphFont"/>
    <w:uiPriority w:val="99"/>
    <w:semiHidden/>
    <w:unhideWhenUsed/>
    <w:rsid w:val="00B93D5B"/>
    <w:rPr>
      <w:vertAlign w:val="superscript"/>
    </w:rPr>
  </w:style>
  <w:style w:type="paragraph" w:styleId="BalloonText">
    <w:name w:val="Balloon Text"/>
    <w:basedOn w:val="Normal"/>
    <w:link w:val="BalloonTextChar"/>
    <w:uiPriority w:val="99"/>
    <w:semiHidden/>
    <w:unhideWhenUsed/>
    <w:rsid w:val="00B93D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D5B"/>
    <w:rPr>
      <w:rFonts w:ascii="Tahoma" w:eastAsia="Times New Roman" w:hAnsi="Tahoma" w:cs="Tahoma"/>
      <w:sz w:val="16"/>
      <w:szCs w:val="16"/>
      <w:lang w:val="es-CR" w:eastAsia="es-CR"/>
    </w:rPr>
  </w:style>
  <w:style w:type="character" w:styleId="Hyperlink">
    <w:name w:val="Hyperlink"/>
    <w:basedOn w:val="DefaultParagraphFont"/>
    <w:uiPriority w:val="99"/>
    <w:unhideWhenUsed/>
    <w:rsid w:val="007C2C49"/>
    <w:rPr>
      <w:color w:val="0563C1" w:themeColor="hyperlink"/>
      <w:u w:val="single"/>
    </w:rPr>
  </w:style>
  <w:style w:type="character" w:styleId="CommentReference">
    <w:name w:val="annotation reference"/>
    <w:basedOn w:val="DefaultParagraphFont"/>
    <w:uiPriority w:val="99"/>
    <w:semiHidden/>
    <w:unhideWhenUsed/>
    <w:rsid w:val="00F91FCD"/>
    <w:rPr>
      <w:sz w:val="16"/>
      <w:szCs w:val="16"/>
    </w:rPr>
  </w:style>
  <w:style w:type="paragraph" w:styleId="CommentText">
    <w:name w:val="annotation text"/>
    <w:basedOn w:val="Normal"/>
    <w:link w:val="CommentTextChar"/>
    <w:uiPriority w:val="99"/>
    <w:semiHidden/>
    <w:unhideWhenUsed/>
    <w:rsid w:val="00F91FCD"/>
    <w:pPr>
      <w:spacing w:line="240" w:lineRule="auto"/>
    </w:pPr>
    <w:rPr>
      <w:sz w:val="20"/>
      <w:szCs w:val="20"/>
    </w:rPr>
  </w:style>
  <w:style w:type="character" w:customStyle="1" w:styleId="CommentTextChar">
    <w:name w:val="Comment Text Char"/>
    <w:basedOn w:val="DefaultParagraphFont"/>
    <w:link w:val="CommentText"/>
    <w:uiPriority w:val="99"/>
    <w:semiHidden/>
    <w:rsid w:val="00F91FCD"/>
    <w:rPr>
      <w:rFonts w:ascii="Verdana" w:eastAsia="Times New Roman" w:hAnsi="Verdana" w:cs="Times New Roman"/>
      <w:sz w:val="20"/>
      <w:szCs w:val="20"/>
      <w:lang w:val="es-CR" w:eastAsia="es-CR"/>
    </w:rPr>
  </w:style>
  <w:style w:type="paragraph" w:styleId="CommentSubject">
    <w:name w:val="annotation subject"/>
    <w:basedOn w:val="CommentText"/>
    <w:next w:val="CommentText"/>
    <w:link w:val="CommentSubjectChar"/>
    <w:uiPriority w:val="99"/>
    <w:semiHidden/>
    <w:unhideWhenUsed/>
    <w:rsid w:val="00F91FCD"/>
    <w:rPr>
      <w:b/>
      <w:bCs/>
    </w:rPr>
  </w:style>
  <w:style w:type="character" w:customStyle="1" w:styleId="CommentSubjectChar">
    <w:name w:val="Comment Subject Char"/>
    <w:basedOn w:val="CommentTextChar"/>
    <w:link w:val="CommentSubject"/>
    <w:uiPriority w:val="99"/>
    <w:semiHidden/>
    <w:rsid w:val="00F91FCD"/>
    <w:rPr>
      <w:rFonts w:ascii="Verdana" w:eastAsia="Times New Roman" w:hAnsi="Verdana" w:cs="Times New Roman"/>
      <w:b/>
      <w:bCs/>
      <w:sz w:val="20"/>
      <w:szCs w:val="20"/>
      <w:lang w:val="es-CR" w:eastAsia="es-CR"/>
    </w:rPr>
  </w:style>
  <w:style w:type="character" w:styleId="PlaceholderText">
    <w:name w:val="Placeholder Text"/>
    <w:basedOn w:val="DefaultParagraphFont"/>
    <w:uiPriority w:val="99"/>
    <w:semiHidden/>
    <w:rsid w:val="004501B5"/>
    <w:rPr>
      <w:color w:val="808080"/>
    </w:rPr>
  </w:style>
  <w:style w:type="paragraph" w:styleId="Header">
    <w:name w:val="header"/>
    <w:basedOn w:val="Normal"/>
    <w:link w:val="HeaderChar"/>
    <w:uiPriority w:val="99"/>
    <w:unhideWhenUsed/>
    <w:rsid w:val="000631EA"/>
    <w:pPr>
      <w:tabs>
        <w:tab w:val="center" w:pos="4252"/>
        <w:tab w:val="right" w:pos="8504"/>
      </w:tabs>
      <w:spacing w:line="240" w:lineRule="auto"/>
    </w:pPr>
  </w:style>
  <w:style w:type="character" w:customStyle="1" w:styleId="HeaderChar">
    <w:name w:val="Header Char"/>
    <w:basedOn w:val="DefaultParagraphFont"/>
    <w:link w:val="Header"/>
    <w:uiPriority w:val="99"/>
    <w:rsid w:val="000631EA"/>
    <w:rPr>
      <w:rFonts w:ascii="Verdana" w:eastAsia="Times New Roman" w:hAnsi="Verdana" w:cs="Times New Roman"/>
      <w:sz w:val="24"/>
      <w:szCs w:val="24"/>
      <w:lang w:val="es-CR" w:eastAsia="es-CR"/>
    </w:rPr>
  </w:style>
  <w:style w:type="paragraph" w:styleId="Footer">
    <w:name w:val="footer"/>
    <w:basedOn w:val="Normal"/>
    <w:link w:val="FooterChar"/>
    <w:uiPriority w:val="99"/>
    <w:unhideWhenUsed/>
    <w:rsid w:val="000631EA"/>
    <w:pPr>
      <w:tabs>
        <w:tab w:val="center" w:pos="4252"/>
        <w:tab w:val="right" w:pos="8504"/>
      </w:tabs>
      <w:spacing w:line="240" w:lineRule="auto"/>
    </w:pPr>
  </w:style>
  <w:style w:type="character" w:customStyle="1" w:styleId="FooterChar">
    <w:name w:val="Footer Char"/>
    <w:basedOn w:val="DefaultParagraphFont"/>
    <w:link w:val="Footer"/>
    <w:uiPriority w:val="99"/>
    <w:rsid w:val="000631EA"/>
    <w:rPr>
      <w:rFonts w:ascii="Verdana" w:eastAsia="Times New Roman" w:hAnsi="Verdana" w:cs="Times New Roman"/>
      <w:sz w:val="24"/>
      <w:szCs w:val="24"/>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E39"/>
    <w:pPr>
      <w:widowControl w:val="0"/>
      <w:adjustRightInd w:val="0"/>
      <w:spacing w:after="0" w:line="360" w:lineRule="atLeast"/>
      <w:jc w:val="both"/>
      <w:textAlignment w:val="baseline"/>
    </w:pPr>
    <w:rPr>
      <w:rFonts w:ascii="Verdana" w:eastAsia="Times New Roman" w:hAnsi="Verdana" w:cs="Times New Roman"/>
      <w:sz w:val="24"/>
      <w:szCs w:val="24"/>
      <w:lang w:val="es-CR"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6E39"/>
    <w:pPr>
      <w:autoSpaceDE w:val="0"/>
      <w:autoSpaceDN w:val="0"/>
      <w:adjustRightInd w:val="0"/>
      <w:spacing w:after="0" w:line="240" w:lineRule="auto"/>
    </w:pPr>
    <w:rPr>
      <w:rFonts w:ascii="Verdana" w:eastAsia="Calibri" w:hAnsi="Verdana" w:cs="Verdana"/>
      <w:color w:val="000000"/>
      <w:spacing w:val="-4"/>
      <w:sz w:val="24"/>
      <w:szCs w:val="24"/>
      <w:lang w:val="es-CR"/>
    </w:rPr>
  </w:style>
  <w:style w:type="paragraph" w:styleId="ListParagraph">
    <w:name w:val="List Paragraph"/>
    <w:basedOn w:val="Normal"/>
    <w:link w:val="ListParagraphChar"/>
    <w:uiPriority w:val="34"/>
    <w:qFormat/>
    <w:rsid w:val="00C07DE4"/>
    <w:pPr>
      <w:ind w:left="720"/>
      <w:contextualSpacing/>
    </w:pPr>
  </w:style>
  <w:style w:type="paragraph" w:customStyle="1" w:styleId="Estilo1">
    <w:name w:val="Estilo1"/>
    <w:basedOn w:val="ListParagraph"/>
    <w:link w:val="Estilo1Car"/>
    <w:qFormat/>
    <w:rsid w:val="00C07DE4"/>
    <w:pPr>
      <w:numPr>
        <w:numId w:val="2"/>
      </w:numPr>
      <w:spacing w:after="120"/>
      <w:ind w:left="0" w:firstLine="0"/>
      <w:contextualSpacing w:val="0"/>
    </w:pPr>
    <w:rPr>
      <w:lang w:val="es-PR"/>
    </w:rPr>
  </w:style>
  <w:style w:type="paragraph" w:customStyle="1" w:styleId="Estilo2">
    <w:name w:val="Estilo2"/>
    <w:basedOn w:val="ListParagraph"/>
    <w:link w:val="Estilo2Car"/>
    <w:qFormat/>
    <w:rsid w:val="00C07DE4"/>
    <w:pPr>
      <w:numPr>
        <w:ilvl w:val="1"/>
        <w:numId w:val="2"/>
      </w:numPr>
      <w:spacing w:after="120"/>
      <w:ind w:left="0" w:firstLine="567"/>
      <w:contextualSpacing w:val="0"/>
    </w:pPr>
    <w:rPr>
      <w:lang w:val="es-PR"/>
    </w:rPr>
  </w:style>
  <w:style w:type="character" w:customStyle="1" w:styleId="ListParagraphChar">
    <w:name w:val="List Paragraph Char"/>
    <w:basedOn w:val="DefaultParagraphFont"/>
    <w:link w:val="ListParagraph"/>
    <w:uiPriority w:val="34"/>
    <w:rsid w:val="00C07DE4"/>
    <w:rPr>
      <w:rFonts w:ascii="Verdana" w:eastAsia="Times New Roman" w:hAnsi="Verdana" w:cs="Times New Roman"/>
      <w:sz w:val="24"/>
      <w:szCs w:val="24"/>
      <w:lang w:val="es-CR" w:eastAsia="es-CR"/>
    </w:rPr>
  </w:style>
  <w:style w:type="character" w:customStyle="1" w:styleId="Estilo1Car">
    <w:name w:val="Estilo1 Car"/>
    <w:basedOn w:val="ListParagraphChar"/>
    <w:link w:val="Estilo1"/>
    <w:rsid w:val="00C07DE4"/>
    <w:rPr>
      <w:rFonts w:ascii="Verdana" w:eastAsia="Times New Roman" w:hAnsi="Verdana" w:cs="Times New Roman"/>
      <w:sz w:val="24"/>
      <w:szCs w:val="24"/>
      <w:lang w:val="es-PR" w:eastAsia="es-CR"/>
    </w:rPr>
  </w:style>
  <w:style w:type="paragraph" w:customStyle="1" w:styleId="Estilo3">
    <w:name w:val="Estilo3"/>
    <w:basedOn w:val="ListParagraph"/>
    <w:link w:val="Estilo3Car"/>
    <w:qFormat/>
    <w:rsid w:val="00C07DE4"/>
    <w:pPr>
      <w:numPr>
        <w:ilvl w:val="2"/>
        <w:numId w:val="2"/>
      </w:numPr>
      <w:spacing w:after="120"/>
      <w:ind w:left="0" w:firstLine="1559"/>
      <w:contextualSpacing w:val="0"/>
    </w:pPr>
    <w:rPr>
      <w:lang w:val="es-PR"/>
    </w:rPr>
  </w:style>
  <w:style w:type="character" w:customStyle="1" w:styleId="Estilo2Car">
    <w:name w:val="Estilo2 Car"/>
    <w:basedOn w:val="ListParagraphChar"/>
    <w:link w:val="Estilo2"/>
    <w:rsid w:val="00C07DE4"/>
    <w:rPr>
      <w:rFonts w:ascii="Verdana" w:eastAsia="Times New Roman" w:hAnsi="Verdana" w:cs="Times New Roman"/>
      <w:sz w:val="24"/>
      <w:szCs w:val="24"/>
      <w:lang w:val="es-PR" w:eastAsia="es-CR"/>
    </w:rPr>
  </w:style>
  <w:style w:type="character" w:customStyle="1" w:styleId="Estilo3Car">
    <w:name w:val="Estilo3 Car"/>
    <w:basedOn w:val="ListParagraphChar"/>
    <w:link w:val="Estilo3"/>
    <w:rsid w:val="00C07DE4"/>
    <w:rPr>
      <w:rFonts w:ascii="Verdana" w:eastAsia="Times New Roman" w:hAnsi="Verdana" w:cs="Times New Roman"/>
      <w:sz w:val="24"/>
      <w:szCs w:val="24"/>
      <w:lang w:val="es-PR" w:eastAsia="es-CR"/>
    </w:rPr>
  </w:style>
  <w:style w:type="paragraph" w:styleId="FootnoteText">
    <w:name w:val="footnote text"/>
    <w:basedOn w:val="Normal"/>
    <w:link w:val="FootnoteTextChar"/>
    <w:uiPriority w:val="99"/>
    <w:semiHidden/>
    <w:unhideWhenUsed/>
    <w:rsid w:val="00B93D5B"/>
    <w:pPr>
      <w:spacing w:line="240" w:lineRule="auto"/>
    </w:pPr>
    <w:rPr>
      <w:sz w:val="20"/>
      <w:szCs w:val="20"/>
    </w:rPr>
  </w:style>
  <w:style w:type="character" w:customStyle="1" w:styleId="FootnoteTextChar">
    <w:name w:val="Footnote Text Char"/>
    <w:basedOn w:val="DefaultParagraphFont"/>
    <w:link w:val="FootnoteText"/>
    <w:uiPriority w:val="99"/>
    <w:semiHidden/>
    <w:rsid w:val="00B93D5B"/>
    <w:rPr>
      <w:rFonts w:ascii="Verdana" w:eastAsia="Times New Roman" w:hAnsi="Verdana" w:cs="Times New Roman"/>
      <w:sz w:val="20"/>
      <w:szCs w:val="20"/>
      <w:lang w:val="es-CR" w:eastAsia="es-CR"/>
    </w:rPr>
  </w:style>
  <w:style w:type="character" w:styleId="FootnoteReference">
    <w:name w:val="footnote reference"/>
    <w:basedOn w:val="DefaultParagraphFont"/>
    <w:uiPriority w:val="99"/>
    <w:semiHidden/>
    <w:unhideWhenUsed/>
    <w:rsid w:val="00B93D5B"/>
    <w:rPr>
      <w:vertAlign w:val="superscript"/>
    </w:rPr>
  </w:style>
  <w:style w:type="paragraph" w:styleId="BalloonText">
    <w:name w:val="Balloon Text"/>
    <w:basedOn w:val="Normal"/>
    <w:link w:val="BalloonTextChar"/>
    <w:uiPriority w:val="99"/>
    <w:semiHidden/>
    <w:unhideWhenUsed/>
    <w:rsid w:val="00B93D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D5B"/>
    <w:rPr>
      <w:rFonts w:ascii="Tahoma" w:eastAsia="Times New Roman" w:hAnsi="Tahoma" w:cs="Tahoma"/>
      <w:sz w:val="16"/>
      <w:szCs w:val="16"/>
      <w:lang w:val="es-CR" w:eastAsia="es-CR"/>
    </w:rPr>
  </w:style>
  <w:style w:type="character" w:styleId="Hyperlink">
    <w:name w:val="Hyperlink"/>
    <w:basedOn w:val="DefaultParagraphFont"/>
    <w:uiPriority w:val="99"/>
    <w:unhideWhenUsed/>
    <w:rsid w:val="007C2C49"/>
    <w:rPr>
      <w:color w:val="0563C1" w:themeColor="hyperlink"/>
      <w:u w:val="single"/>
    </w:rPr>
  </w:style>
  <w:style w:type="character" w:styleId="CommentReference">
    <w:name w:val="annotation reference"/>
    <w:basedOn w:val="DefaultParagraphFont"/>
    <w:uiPriority w:val="99"/>
    <w:semiHidden/>
    <w:unhideWhenUsed/>
    <w:rsid w:val="00F91FCD"/>
    <w:rPr>
      <w:sz w:val="16"/>
      <w:szCs w:val="16"/>
    </w:rPr>
  </w:style>
  <w:style w:type="paragraph" w:styleId="CommentText">
    <w:name w:val="annotation text"/>
    <w:basedOn w:val="Normal"/>
    <w:link w:val="CommentTextChar"/>
    <w:uiPriority w:val="99"/>
    <w:semiHidden/>
    <w:unhideWhenUsed/>
    <w:rsid w:val="00F91FCD"/>
    <w:pPr>
      <w:spacing w:line="240" w:lineRule="auto"/>
    </w:pPr>
    <w:rPr>
      <w:sz w:val="20"/>
      <w:szCs w:val="20"/>
    </w:rPr>
  </w:style>
  <w:style w:type="character" w:customStyle="1" w:styleId="CommentTextChar">
    <w:name w:val="Comment Text Char"/>
    <w:basedOn w:val="DefaultParagraphFont"/>
    <w:link w:val="CommentText"/>
    <w:uiPriority w:val="99"/>
    <w:semiHidden/>
    <w:rsid w:val="00F91FCD"/>
    <w:rPr>
      <w:rFonts w:ascii="Verdana" w:eastAsia="Times New Roman" w:hAnsi="Verdana" w:cs="Times New Roman"/>
      <w:sz w:val="20"/>
      <w:szCs w:val="20"/>
      <w:lang w:val="es-CR" w:eastAsia="es-CR"/>
    </w:rPr>
  </w:style>
  <w:style w:type="paragraph" w:styleId="CommentSubject">
    <w:name w:val="annotation subject"/>
    <w:basedOn w:val="CommentText"/>
    <w:next w:val="CommentText"/>
    <w:link w:val="CommentSubjectChar"/>
    <w:uiPriority w:val="99"/>
    <w:semiHidden/>
    <w:unhideWhenUsed/>
    <w:rsid w:val="00F91FCD"/>
    <w:rPr>
      <w:b/>
      <w:bCs/>
    </w:rPr>
  </w:style>
  <w:style w:type="character" w:customStyle="1" w:styleId="CommentSubjectChar">
    <w:name w:val="Comment Subject Char"/>
    <w:basedOn w:val="CommentTextChar"/>
    <w:link w:val="CommentSubject"/>
    <w:uiPriority w:val="99"/>
    <w:semiHidden/>
    <w:rsid w:val="00F91FCD"/>
    <w:rPr>
      <w:rFonts w:ascii="Verdana" w:eastAsia="Times New Roman" w:hAnsi="Verdana" w:cs="Times New Roman"/>
      <w:b/>
      <w:bCs/>
      <w:sz w:val="20"/>
      <w:szCs w:val="20"/>
      <w:lang w:val="es-CR" w:eastAsia="es-CR"/>
    </w:rPr>
  </w:style>
  <w:style w:type="character" w:styleId="PlaceholderText">
    <w:name w:val="Placeholder Text"/>
    <w:basedOn w:val="DefaultParagraphFont"/>
    <w:uiPriority w:val="99"/>
    <w:semiHidden/>
    <w:rsid w:val="004501B5"/>
    <w:rPr>
      <w:color w:val="808080"/>
    </w:rPr>
  </w:style>
  <w:style w:type="paragraph" w:styleId="Header">
    <w:name w:val="header"/>
    <w:basedOn w:val="Normal"/>
    <w:link w:val="HeaderChar"/>
    <w:uiPriority w:val="99"/>
    <w:unhideWhenUsed/>
    <w:rsid w:val="000631EA"/>
    <w:pPr>
      <w:tabs>
        <w:tab w:val="center" w:pos="4252"/>
        <w:tab w:val="right" w:pos="8504"/>
      </w:tabs>
      <w:spacing w:line="240" w:lineRule="auto"/>
    </w:pPr>
  </w:style>
  <w:style w:type="character" w:customStyle="1" w:styleId="HeaderChar">
    <w:name w:val="Header Char"/>
    <w:basedOn w:val="DefaultParagraphFont"/>
    <w:link w:val="Header"/>
    <w:uiPriority w:val="99"/>
    <w:rsid w:val="000631EA"/>
    <w:rPr>
      <w:rFonts w:ascii="Verdana" w:eastAsia="Times New Roman" w:hAnsi="Verdana" w:cs="Times New Roman"/>
      <w:sz w:val="24"/>
      <w:szCs w:val="24"/>
      <w:lang w:val="es-CR" w:eastAsia="es-CR"/>
    </w:rPr>
  </w:style>
  <w:style w:type="paragraph" w:styleId="Footer">
    <w:name w:val="footer"/>
    <w:basedOn w:val="Normal"/>
    <w:link w:val="FooterChar"/>
    <w:uiPriority w:val="99"/>
    <w:unhideWhenUsed/>
    <w:rsid w:val="000631EA"/>
    <w:pPr>
      <w:tabs>
        <w:tab w:val="center" w:pos="4252"/>
        <w:tab w:val="right" w:pos="8504"/>
      </w:tabs>
      <w:spacing w:line="240" w:lineRule="auto"/>
    </w:pPr>
  </w:style>
  <w:style w:type="character" w:customStyle="1" w:styleId="FooterChar">
    <w:name w:val="Footer Char"/>
    <w:basedOn w:val="DefaultParagraphFont"/>
    <w:link w:val="Footer"/>
    <w:uiPriority w:val="99"/>
    <w:rsid w:val="000631EA"/>
    <w:rPr>
      <w:rFonts w:ascii="Verdana" w:eastAsia="Times New Roman" w:hAnsi="Verdana" w:cs="Times New Roman"/>
      <w:sz w:val="24"/>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1898</Words>
  <Characters>10441</Characters>
  <Application>Microsoft Office Word</Application>
  <DocSecurity>0</DocSecurity>
  <Lines>87</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Jairo Guadamuz</cp:lastModifiedBy>
  <cp:revision>3</cp:revision>
  <cp:lastPrinted>2015-09-04T19:59:00Z</cp:lastPrinted>
  <dcterms:created xsi:type="dcterms:W3CDTF">2015-09-07T16:43:00Z</dcterms:created>
  <dcterms:modified xsi:type="dcterms:W3CDTF">2015-09-07T21:22:00Z</dcterms:modified>
</cp:coreProperties>
</file>