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27" w:rsidRDefault="001D7027" w:rsidP="00F218AA">
      <w:pPr>
        <w:spacing w:after="0" w:line="240" w:lineRule="auto"/>
        <w:jc w:val="center"/>
        <w:rPr>
          <w:rFonts w:ascii="Verdana" w:hAnsi="Verdana"/>
          <w:b/>
          <w:sz w:val="20"/>
          <w:szCs w:val="20"/>
          <w:lang w:val="es-ES_tradnl"/>
        </w:rPr>
      </w:pPr>
      <w:bookmarkStart w:id="0" w:name="_GoBack"/>
      <w:bookmarkEnd w:id="0"/>
    </w:p>
    <w:p w:rsidR="001D7027" w:rsidRDefault="001D7027" w:rsidP="00F218AA">
      <w:pPr>
        <w:spacing w:after="0" w:line="240" w:lineRule="auto"/>
        <w:jc w:val="center"/>
        <w:rPr>
          <w:rFonts w:ascii="Verdana" w:hAnsi="Verdana"/>
          <w:b/>
          <w:sz w:val="20"/>
          <w:szCs w:val="20"/>
          <w:lang w:val="es-ES_tradnl"/>
        </w:rPr>
      </w:pPr>
    </w:p>
    <w:p w:rsidR="001D7027" w:rsidRDefault="001D7027" w:rsidP="00F218AA">
      <w:pPr>
        <w:spacing w:after="0" w:line="240" w:lineRule="auto"/>
        <w:jc w:val="center"/>
        <w:rPr>
          <w:rFonts w:ascii="Verdana" w:hAnsi="Verdana"/>
          <w:b/>
          <w:sz w:val="20"/>
          <w:szCs w:val="20"/>
          <w:lang w:val="es-ES_tradnl"/>
        </w:rPr>
      </w:pPr>
    </w:p>
    <w:p w:rsidR="001D7027" w:rsidRDefault="001D7027" w:rsidP="00F218AA">
      <w:pPr>
        <w:spacing w:after="0" w:line="240" w:lineRule="auto"/>
        <w:jc w:val="center"/>
        <w:rPr>
          <w:rFonts w:ascii="Verdana" w:hAnsi="Verdana"/>
          <w:b/>
          <w:sz w:val="20"/>
          <w:szCs w:val="20"/>
          <w:lang w:val="es-ES_tradnl"/>
        </w:rPr>
      </w:pPr>
    </w:p>
    <w:p w:rsidR="001D7027" w:rsidRDefault="001D7027" w:rsidP="00F218AA">
      <w:pPr>
        <w:spacing w:after="0" w:line="240" w:lineRule="auto"/>
        <w:jc w:val="center"/>
        <w:rPr>
          <w:rFonts w:ascii="Verdana" w:hAnsi="Verdana"/>
          <w:b/>
          <w:sz w:val="20"/>
          <w:szCs w:val="20"/>
          <w:lang w:val="es-ES_tradnl"/>
        </w:rPr>
      </w:pPr>
    </w:p>
    <w:p w:rsidR="00AC014F" w:rsidRDefault="00C22160" w:rsidP="00F218AA">
      <w:pPr>
        <w:spacing w:after="0" w:line="240" w:lineRule="auto"/>
        <w:jc w:val="center"/>
        <w:rPr>
          <w:rFonts w:ascii="Verdana" w:hAnsi="Verdana"/>
          <w:b/>
          <w:sz w:val="20"/>
          <w:szCs w:val="20"/>
          <w:lang w:val="es-ES_tradnl"/>
        </w:rPr>
      </w:pPr>
      <w:r w:rsidRPr="00ED0A0F">
        <w:rPr>
          <w:rFonts w:ascii="Verdana" w:hAnsi="Verdana"/>
          <w:b/>
          <w:sz w:val="20"/>
          <w:szCs w:val="20"/>
          <w:lang w:val="es-ES_tradnl"/>
        </w:rPr>
        <w:t xml:space="preserve">VOTO PARCIALMENTE DISIDENTE DEL JUEZ ALBERTO PÉREZ </w:t>
      </w:r>
      <w:proofErr w:type="spellStart"/>
      <w:r w:rsidRPr="00ED0A0F">
        <w:rPr>
          <w:rFonts w:ascii="Verdana" w:hAnsi="Verdana"/>
          <w:b/>
          <w:sz w:val="20"/>
          <w:szCs w:val="20"/>
          <w:lang w:val="es-ES_tradnl"/>
        </w:rPr>
        <w:t>PÉREZ</w:t>
      </w:r>
      <w:proofErr w:type="spellEnd"/>
    </w:p>
    <w:p w:rsidR="0008578C" w:rsidRDefault="0008578C" w:rsidP="00F218AA">
      <w:pPr>
        <w:spacing w:after="0" w:line="240" w:lineRule="auto"/>
        <w:jc w:val="center"/>
        <w:rPr>
          <w:rFonts w:ascii="Verdana" w:hAnsi="Verdana"/>
          <w:b/>
          <w:sz w:val="20"/>
          <w:szCs w:val="20"/>
          <w:lang w:val="es-ES_tradnl"/>
        </w:rPr>
      </w:pPr>
    </w:p>
    <w:p w:rsidR="0008578C" w:rsidRDefault="00AC014F" w:rsidP="00F218AA">
      <w:pPr>
        <w:spacing w:after="0" w:line="240" w:lineRule="auto"/>
        <w:jc w:val="center"/>
        <w:rPr>
          <w:rFonts w:ascii="Verdana" w:hAnsi="Verdana"/>
          <w:b/>
          <w:sz w:val="20"/>
          <w:szCs w:val="20"/>
          <w:lang w:val="es-ES_tradnl"/>
        </w:rPr>
      </w:pPr>
      <w:r>
        <w:rPr>
          <w:rFonts w:ascii="Verdana" w:hAnsi="Verdana"/>
          <w:b/>
          <w:sz w:val="20"/>
          <w:szCs w:val="20"/>
          <w:lang w:val="es-ES_tradnl"/>
        </w:rPr>
        <w:t>CORTE INTERAMERICANA DE DERECHOS HUMANOS</w:t>
      </w:r>
      <w:r w:rsidR="00C22160" w:rsidRPr="00ED0A0F">
        <w:rPr>
          <w:rFonts w:ascii="Verdana" w:hAnsi="Verdana"/>
          <w:b/>
          <w:sz w:val="20"/>
          <w:szCs w:val="20"/>
          <w:lang w:val="es-ES_tradnl"/>
        </w:rPr>
        <w:br/>
      </w:r>
    </w:p>
    <w:p w:rsidR="000A539A" w:rsidRDefault="00C22160" w:rsidP="00F218AA">
      <w:pPr>
        <w:spacing w:after="0" w:line="240" w:lineRule="auto"/>
        <w:jc w:val="center"/>
        <w:rPr>
          <w:rFonts w:ascii="Verdana" w:hAnsi="Verdana"/>
          <w:b/>
          <w:sz w:val="20"/>
          <w:szCs w:val="20"/>
          <w:lang w:val="es-ES_tradnl"/>
        </w:rPr>
      </w:pPr>
      <w:proofErr w:type="gramStart"/>
      <w:r w:rsidRPr="0008578C">
        <w:rPr>
          <w:rFonts w:ascii="Verdana" w:hAnsi="Verdana"/>
          <w:b/>
          <w:sz w:val="20"/>
          <w:szCs w:val="20"/>
          <w:lang w:val="en-US"/>
        </w:rPr>
        <w:t xml:space="preserve">CASO WONG HO </w:t>
      </w:r>
      <w:r w:rsidR="00AC014F" w:rsidRPr="0008578C">
        <w:rPr>
          <w:rFonts w:ascii="Verdana" w:hAnsi="Verdana"/>
          <w:b/>
          <w:sz w:val="20"/>
          <w:szCs w:val="20"/>
          <w:lang w:val="en-US"/>
        </w:rPr>
        <w:t>W</w:t>
      </w:r>
      <w:r w:rsidRPr="0008578C">
        <w:rPr>
          <w:rFonts w:ascii="Verdana" w:hAnsi="Verdana"/>
          <w:b/>
          <w:sz w:val="20"/>
          <w:szCs w:val="20"/>
          <w:lang w:val="en-US"/>
        </w:rPr>
        <w:t xml:space="preserve">ING </w:t>
      </w:r>
      <w:r w:rsidRPr="0008578C">
        <w:rPr>
          <w:rFonts w:ascii="Verdana" w:hAnsi="Verdana"/>
          <w:b/>
          <w:i/>
          <w:sz w:val="20"/>
          <w:szCs w:val="20"/>
          <w:lang w:val="en-US"/>
        </w:rPr>
        <w:t>VS</w:t>
      </w:r>
      <w:r w:rsidRPr="0008578C">
        <w:rPr>
          <w:rFonts w:ascii="Verdana" w:hAnsi="Verdana"/>
          <w:b/>
          <w:sz w:val="20"/>
          <w:szCs w:val="20"/>
          <w:lang w:val="en-US"/>
        </w:rPr>
        <w:t>.</w:t>
      </w:r>
      <w:proofErr w:type="gramEnd"/>
      <w:r w:rsidRPr="0008578C">
        <w:rPr>
          <w:rFonts w:ascii="Verdana" w:hAnsi="Verdana"/>
          <w:b/>
          <w:sz w:val="20"/>
          <w:szCs w:val="20"/>
          <w:lang w:val="en-US"/>
        </w:rPr>
        <w:t xml:space="preserve"> </w:t>
      </w:r>
      <w:r w:rsidRPr="00ED0A0F">
        <w:rPr>
          <w:rFonts w:ascii="Verdana" w:hAnsi="Verdana"/>
          <w:b/>
          <w:sz w:val="20"/>
          <w:szCs w:val="20"/>
          <w:lang w:val="es-ES_tradnl"/>
        </w:rPr>
        <w:t>PERÚ</w:t>
      </w:r>
    </w:p>
    <w:p w:rsidR="0008578C" w:rsidRDefault="0008578C" w:rsidP="00F218AA">
      <w:pPr>
        <w:spacing w:after="0" w:line="240" w:lineRule="auto"/>
        <w:jc w:val="center"/>
        <w:rPr>
          <w:rFonts w:ascii="Verdana" w:hAnsi="Verdana"/>
          <w:b/>
          <w:sz w:val="20"/>
          <w:szCs w:val="20"/>
          <w:lang w:val="es-ES_tradnl"/>
        </w:rPr>
      </w:pPr>
    </w:p>
    <w:p w:rsidR="00AC014F" w:rsidRDefault="00AC014F" w:rsidP="00F218AA">
      <w:pPr>
        <w:spacing w:after="0" w:line="240" w:lineRule="auto"/>
        <w:jc w:val="center"/>
        <w:rPr>
          <w:rFonts w:ascii="Verdana" w:hAnsi="Verdana"/>
          <w:b/>
          <w:sz w:val="20"/>
          <w:szCs w:val="20"/>
          <w:lang w:val="es-ES_tradnl"/>
        </w:rPr>
      </w:pPr>
      <w:r>
        <w:rPr>
          <w:rFonts w:ascii="Verdana" w:hAnsi="Verdana"/>
          <w:b/>
          <w:sz w:val="20"/>
          <w:szCs w:val="20"/>
          <w:lang w:val="es-ES_tradnl"/>
        </w:rPr>
        <w:t>SENTENCIA DE 30 DE JUNIO DE 2015</w:t>
      </w:r>
    </w:p>
    <w:p w:rsidR="0008578C" w:rsidRDefault="0008578C" w:rsidP="00F218AA">
      <w:pPr>
        <w:spacing w:after="0" w:line="240" w:lineRule="auto"/>
        <w:jc w:val="center"/>
        <w:rPr>
          <w:rFonts w:ascii="Verdana" w:hAnsi="Verdana"/>
          <w:b/>
          <w:sz w:val="20"/>
          <w:szCs w:val="20"/>
          <w:lang w:val="es-ES_tradnl"/>
        </w:rPr>
      </w:pPr>
    </w:p>
    <w:p w:rsidR="00AC014F" w:rsidRDefault="00AC014F" w:rsidP="00F218AA">
      <w:pPr>
        <w:spacing w:after="0" w:line="240" w:lineRule="auto"/>
        <w:jc w:val="center"/>
        <w:rPr>
          <w:rFonts w:ascii="Verdana" w:hAnsi="Verdana"/>
          <w:b/>
          <w:sz w:val="20"/>
          <w:szCs w:val="20"/>
          <w:lang w:val="es-ES_tradnl"/>
        </w:rPr>
      </w:pPr>
      <w:r>
        <w:rPr>
          <w:rFonts w:ascii="Verdana" w:hAnsi="Verdana"/>
          <w:b/>
          <w:sz w:val="20"/>
          <w:szCs w:val="20"/>
          <w:lang w:val="es-ES_tradnl"/>
        </w:rPr>
        <w:t>(</w:t>
      </w:r>
      <w:r w:rsidRPr="0008578C">
        <w:rPr>
          <w:rFonts w:ascii="Verdana" w:hAnsi="Verdana"/>
          <w:b/>
          <w:i/>
          <w:sz w:val="20"/>
          <w:szCs w:val="20"/>
          <w:lang w:val="es-ES_tradnl"/>
        </w:rPr>
        <w:t>Excepción Preliminar, Fondo, Reparaciones y Costas</w:t>
      </w:r>
      <w:r>
        <w:rPr>
          <w:rFonts w:ascii="Verdana" w:hAnsi="Verdana"/>
          <w:b/>
          <w:sz w:val="20"/>
          <w:szCs w:val="20"/>
          <w:lang w:val="es-ES_tradnl"/>
        </w:rPr>
        <w:t>)</w:t>
      </w:r>
    </w:p>
    <w:p w:rsidR="00AC014F" w:rsidRPr="00ED0A0F" w:rsidRDefault="00AC014F" w:rsidP="00F218AA">
      <w:pPr>
        <w:spacing w:after="0" w:line="240" w:lineRule="auto"/>
        <w:jc w:val="center"/>
        <w:rPr>
          <w:rFonts w:ascii="Verdana" w:hAnsi="Verdana"/>
          <w:b/>
          <w:sz w:val="20"/>
          <w:szCs w:val="20"/>
          <w:lang w:val="es-ES_tradnl"/>
        </w:rPr>
      </w:pPr>
    </w:p>
    <w:p w:rsidR="003041FB" w:rsidRDefault="003041FB" w:rsidP="00F218AA">
      <w:pPr>
        <w:pStyle w:val="Estilo1"/>
        <w:spacing w:after="0"/>
        <w:rPr>
          <w:rFonts w:ascii="Verdana" w:hAnsi="Verdana"/>
          <w:sz w:val="20"/>
          <w:szCs w:val="20"/>
          <w:lang w:val="es-ES_tradnl"/>
        </w:rPr>
      </w:pPr>
      <w:r w:rsidRPr="00ED0A0F">
        <w:rPr>
          <w:rFonts w:ascii="Verdana" w:hAnsi="Verdana"/>
          <w:sz w:val="20"/>
          <w:szCs w:val="20"/>
          <w:lang w:val="es-ES_tradnl"/>
        </w:rPr>
        <w:t xml:space="preserve">He emitido un voto negativo sobre los siguientes puntos resolutivos de la sentencia en el </w:t>
      </w:r>
      <w:r w:rsidR="00ED0A0F" w:rsidRPr="00A86845">
        <w:rPr>
          <w:rFonts w:ascii="Verdana" w:hAnsi="Verdana"/>
          <w:sz w:val="20"/>
          <w:szCs w:val="20"/>
          <w:lang w:val="es-ES_tradnl"/>
        </w:rPr>
        <w:t>c</w:t>
      </w:r>
      <w:r w:rsidRPr="00A86845">
        <w:rPr>
          <w:rFonts w:ascii="Verdana" w:hAnsi="Verdana"/>
          <w:sz w:val="20"/>
          <w:szCs w:val="20"/>
          <w:lang w:val="es-ES_tradnl"/>
        </w:rPr>
        <w:t xml:space="preserve">aso </w:t>
      </w:r>
      <w:r w:rsidRPr="00ED0A0F">
        <w:rPr>
          <w:rFonts w:ascii="Verdana" w:hAnsi="Verdana"/>
          <w:i/>
          <w:sz w:val="20"/>
          <w:szCs w:val="20"/>
          <w:lang w:val="es-ES_tradnl"/>
        </w:rPr>
        <w:t xml:space="preserve">Wong Ho </w:t>
      </w:r>
      <w:proofErr w:type="spellStart"/>
      <w:r w:rsidRPr="00ED0A0F">
        <w:rPr>
          <w:rFonts w:ascii="Verdana" w:hAnsi="Verdana"/>
          <w:i/>
          <w:sz w:val="20"/>
          <w:szCs w:val="20"/>
          <w:lang w:val="es-ES_tradnl"/>
        </w:rPr>
        <w:t>Wing</w:t>
      </w:r>
      <w:proofErr w:type="spellEnd"/>
      <w:r w:rsidRPr="00ED0A0F">
        <w:rPr>
          <w:rFonts w:ascii="Verdana" w:hAnsi="Verdana"/>
          <w:i/>
          <w:sz w:val="20"/>
          <w:szCs w:val="20"/>
          <w:lang w:val="es-ES_tradnl"/>
        </w:rPr>
        <w:t xml:space="preserve"> vs. Perú</w:t>
      </w:r>
      <w:r w:rsidRPr="00ED0A0F">
        <w:rPr>
          <w:rFonts w:ascii="Verdana" w:hAnsi="Verdana"/>
          <w:sz w:val="20"/>
          <w:szCs w:val="20"/>
          <w:lang w:val="es-ES_tradnl"/>
        </w:rPr>
        <w:t>:</w:t>
      </w:r>
    </w:p>
    <w:p w:rsidR="00AC014F" w:rsidRPr="00A86845" w:rsidRDefault="00AC014F" w:rsidP="00F218AA">
      <w:pPr>
        <w:pStyle w:val="Estilo1"/>
        <w:numPr>
          <w:ilvl w:val="0"/>
          <w:numId w:val="0"/>
        </w:numPr>
        <w:spacing w:after="0"/>
        <w:rPr>
          <w:rFonts w:ascii="Verdana" w:hAnsi="Verdana"/>
          <w:sz w:val="20"/>
          <w:szCs w:val="20"/>
          <w:lang w:val="es-ES_tradnl"/>
        </w:rPr>
      </w:pPr>
    </w:p>
    <w:p w:rsidR="0085020B" w:rsidRDefault="003041FB" w:rsidP="00F218AA">
      <w:pPr>
        <w:spacing w:after="0" w:line="240" w:lineRule="auto"/>
        <w:ind w:left="720"/>
        <w:jc w:val="both"/>
        <w:rPr>
          <w:rFonts w:ascii="Verdana" w:hAnsi="Verdana"/>
          <w:i/>
          <w:sz w:val="20"/>
          <w:szCs w:val="20"/>
          <w:lang w:val="es-ES_tradnl"/>
        </w:rPr>
      </w:pPr>
      <w:r w:rsidRPr="00A86845">
        <w:rPr>
          <w:rFonts w:ascii="Verdana" w:hAnsi="Verdana"/>
          <w:i/>
          <w:sz w:val="20"/>
          <w:szCs w:val="20"/>
          <w:lang w:val="es-ES_tradnl"/>
        </w:rPr>
        <w:t>Punto declarativo</w:t>
      </w:r>
      <w:r w:rsidR="0085020B" w:rsidRPr="00A86845">
        <w:rPr>
          <w:rFonts w:ascii="Verdana" w:hAnsi="Verdana"/>
          <w:i/>
          <w:sz w:val="20"/>
          <w:szCs w:val="20"/>
          <w:lang w:val="es-ES_tradnl"/>
        </w:rPr>
        <w:t xml:space="preserve"> 3</w:t>
      </w:r>
      <w:r w:rsidR="00AC014F">
        <w:rPr>
          <w:rFonts w:ascii="Verdana" w:hAnsi="Verdana"/>
          <w:i/>
          <w:sz w:val="20"/>
          <w:szCs w:val="20"/>
          <w:lang w:val="es-ES_tradnl"/>
        </w:rPr>
        <w:t>:</w:t>
      </w:r>
    </w:p>
    <w:p w:rsidR="008D1033" w:rsidRPr="00A86845" w:rsidRDefault="008D1033" w:rsidP="00F218AA">
      <w:pPr>
        <w:spacing w:after="0" w:line="240" w:lineRule="auto"/>
        <w:ind w:left="720"/>
        <w:jc w:val="both"/>
        <w:rPr>
          <w:rFonts w:ascii="Verdana" w:hAnsi="Verdana"/>
          <w:i/>
          <w:sz w:val="20"/>
          <w:szCs w:val="20"/>
          <w:lang w:val="es-ES_tradnl"/>
        </w:rPr>
      </w:pPr>
    </w:p>
    <w:p w:rsidR="00645EF2" w:rsidRPr="00A86845" w:rsidRDefault="003041FB" w:rsidP="00F218AA">
      <w:pPr>
        <w:spacing w:after="0" w:line="240" w:lineRule="auto"/>
        <w:ind w:left="720"/>
        <w:jc w:val="both"/>
        <w:rPr>
          <w:rFonts w:ascii="Verdana" w:hAnsi="Verdana"/>
          <w:sz w:val="20"/>
          <w:szCs w:val="20"/>
          <w:lang w:val="es-ES_tradnl"/>
        </w:rPr>
      </w:pPr>
      <w:r w:rsidRPr="00A86845">
        <w:rPr>
          <w:rFonts w:ascii="Verdana" w:hAnsi="Verdana"/>
          <w:sz w:val="20"/>
          <w:szCs w:val="20"/>
          <w:lang w:val="es-ES_tradnl"/>
        </w:rPr>
        <w:t>“</w:t>
      </w:r>
      <w:r w:rsidR="0085020B" w:rsidRPr="00A86845">
        <w:rPr>
          <w:rFonts w:ascii="Verdana" w:hAnsi="Verdana"/>
          <w:sz w:val="20"/>
          <w:szCs w:val="20"/>
          <w:lang w:val="es-ES_tradnl"/>
        </w:rPr>
        <w:t xml:space="preserve">El Estado es responsable de la violación de la garantía del plazo razonable, consagrada en el artículo 8.1 de la Convención Americana, en relación con el artículo 1.1 de la misma, en perjuicio del señor Wong Ho </w:t>
      </w:r>
      <w:proofErr w:type="spellStart"/>
      <w:r w:rsidR="0085020B" w:rsidRPr="00A86845">
        <w:rPr>
          <w:rFonts w:ascii="Verdana" w:hAnsi="Verdana"/>
          <w:sz w:val="20"/>
          <w:szCs w:val="20"/>
          <w:lang w:val="es-ES_tradnl"/>
        </w:rPr>
        <w:t>Wing</w:t>
      </w:r>
      <w:proofErr w:type="spellEnd"/>
      <w:r w:rsidR="0085020B" w:rsidRPr="00A86845">
        <w:rPr>
          <w:rFonts w:ascii="Verdana" w:hAnsi="Verdana"/>
          <w:sz w:val="20"/>
          <w:szCs w:val="20"/>
          <w:lang w:val="es-ES_tradnl"/>
        </w:rPr>
        <w:t xml:space="preserve">, de conformidad con lo expuesto en los párrafos </w:t>
      </w:r>
      <w:r w:rsidR="00A86845">
        <w:rPr>
          <w:rFonts w:ascii="Verdana" w:hAnsi="Verdana"/>
          <w:sz w:val="20"/>
          <w:szCs w:val="20"/>
          <w:lang w:val="es-ES_tradnl"/>
        </w:rPr>
        <w:t xml:space="preserve">207 </w:t>
      </w:r>
      <w:r w:rsidR="0085020B" w:rsidRPr="00A86845">
        <w:rPr>
          <w:rFonts w:ascii="Verdana" w:hAnsi="Verdana"/>
          <w:sz w:val="20"/>
          <w:szCs w:val="20"/>
          <w:lang w:val="es-ES_tradnl"/>
        </w:rPr>
        <w:t xml:space="preserve">a </w:t>
      </w:r>
      <w:r w:rsidR="00A86845">
        <w:rPr>
          <w:rFonts w:ascii="Verdana" w:hAnsi="Verdana"/>
          <w:sz w:val="20"/>
          <w:szCs w:val="20"/>
          <w:lang w:val="es-ES_tradnl"/>
        </w:rPr>
        <w:t>223</w:t>
      </w:r>
      <w:r w:rsidRPr="00A86845">
        <w:rPr>
          <w:rFonts w:ascii="Verdana" w:hAnsi="Verdana"/>
          <w:sz w:val="20"/>
          <w:szCs w:val="20"/>
          <w:lang w:val="es-ES_tradnl"/>
        </w:rPr>
        <w:t>”</w:t>
      </w:r>
      <w:r w:rsidR="00AC014F">
        <w:rPr>
          <w:rFonts w:ascii="Verdana" w:hAnsi="Verdana"/>
          <w:sz w:val="20"/>
          <w:szCs w:val="20"/>
          <w:lang w:val="es-ES_tradnl"/>
        </w:rPr>
        <w:t>.</w:t>
      </w:r>
    </w:p>
    <w:p w:rsidR="008D1033" w:rsidRDefault="008D1033" w:rsidP="00F218AA">
      <w:pPr>
        <w:spacing w:after="0" w:line="240" w:lineRule="auto"/>
        <w:ind w:left="720"/>
        <w:jc w:val="both"/>
        <w:rPr>
          <w:rFonts w:ascii="Verdana" w:hAnsi="Verdana"/>
          <w:i/>
          <w:sz w:val="20"/>
          <w:szCs w:val="20"/>
          <w:lang w:val="es-ES_tradnl"/>
        </w:rPr>
      </w:pPr>
    </w:p>
    <w:p w:rsidR="0085020B" w:rsidRDefault="003041FB" w:rsidP="00F218AA">
      <w:pPr>
        <w:spacing w:after="0" w:line="240" w:lineRule="auto"/>
        <w:ind w:left="720"/>
        <w:jc w:val="both"/>
        <w:rPr>
          <w:rFonts w:ascii="Verdana" w:hAnsi="Verdana"/>
          <w:i/>
          <w:sz w:val="20"/>
          <w:szCs w:val="20"/>
          <w:lang w:val="es-ES_tradnl"/>
        </w:rPr>
      </w:pPr>
      <w:r w:rsidRPr="00A86845">
        <w:rPr>
          <w:rFonts w:ascii="Verdana" w:hAnsi="Verdana"/>
          <w:i/>
          <w:sz w:val="20"/>
          <w:szCs w:val="20"/>
          <w:lang w:val="es-ES_tradnl"/>
        </w:rPr>
        <w:t>Punto declarativo</w:t>
      </w:r>
      <w:r w:rsidR="0085020B" w:rsidRPr="00A86845">
        <w:rPr>
          <w:rFonts w:ascii="Verdana" w:hAnsi="Verdana"/>
          <w:i/>
          <w:sz w:val="20"/>
          <w:szCs w:val="20"/>
          <w:lang w:val="es-ES_tradnl"/>
        </w:rPr>
        <w:t xml:space="preserve"> 6</w:t>
      </w:r>
      <w:r w:rsidRPr="00A86845">
        <w:rPr>
          <w:rFonts w:ascii="Verdana" w:hAnsi="Verdana"/>
          <w:i/>
          <w:sz w:val="20"/>
          <w:szCs w:val="20"/>
          <w:lang w:val="es-ES_tradnl"/>
        </w:rPr>
        <w:t>:</w:t>
      </w:r>
    </w:p>
    <w:p w:rsidR="008D1033" w:rsidRPr="00A86845" w:rsidRDefault="008D1033" w:rsidP="00F218AA">
      <w:pPr>
        <w:spacing w:after="0" w:line="240" w:lineRule="auto"/>
        <w:ind w:left="720"/>
        <w:jc w:val="both"/>
        <w:rPr>
          <w:rFonts w:ascii="Verdana" w:hAnsi="Verdana"/>
          <w:i/>
          <w:sz w:val="20"/>
          <w:szCs w:val="20"/>
          <w:lang w:val="es-ES_tradnl"/>
        </w:rPr>
      </w:pPr>
    </w:p>
    <w:p w:rsidR="0085020B" w:rsidRPr="00A86845" w:rsidRDefault="003041FB" w:rsidP="00F218AA">
      <w:pPr>
        <w:spacing w:after="0" w:line="240" w:lineRule="auto"/>
        <w:ind w:left="720"/>
        <w:jc w:val="both"/>
        <w:rPr>
          <w:rFonts w:ascii="Verdana" w:eastAsia="Batang" w:hAnsi="Verdana" w:cs="Times"/>
          <w:sz w:val="20"/>
          <w:szCs w:val="20"/>
          <w:lang w:val="es-ES_tradnl"/>
        </w:rPr>
      </w:pPr>
      <w:r w:rsidRPr="00A86845">
        <w:rPr>
          <w:rFonts w:ascii="Verdana" w:eastAsia="Batang" w:hAnsi="Verdana" w:cs="Verdana"/>
          <w:spacing w:val="-2"/>
          <w:sz w:val="20"/>
          <w:szCs w:val="20"/>
          <w:lang w:val="es-ES_tradnl"/>
        </w:rPr>
        <w:t>“</w:t>
      </w:r>
      <w:r w:rsidR="0085020B" w:rsidRPr="00A86845">
        <w:rPr>
          <w:rFonts w:ascii="Verdana" w:eastAsia="Batang" w:hAnsi="Verdana" w:cs="Verdana"/>
          <w:spacing w:val="-2"/>
          <w:sz w:val="20"/>
          <w:szCs w:val="20"/>
          <w:lang w:val="es-ES_tradnl"/>
        </w:rPr>
        <w:t xml:space="preserve">El Estado no es responsable por la violación del artículo 7.2 de la Convención, en relación con el artículo 1.1 del mismo tratado, en perjuicio del señor Wong Ho Wing, </w:t>
      </w:r>
      <w:r w:rsidR="0085020B" w:rsidRPr="00A86845">
        <w:rPr>
          <w:rFonts w:ascii="Verdana" w:eastAsia="Batang" w:hAnsi="Verdana" w:cs="Times"/>
          <w:sz w:val="20"/>
          <w:szCs w:val="20"/>
          <w:lang w:val="es-ES_tradnl"/>
        </w:rPr>
        <w:t xml:space="preserve">en los términos de los párrafos </w:t>
      </w:r>
      <w:r w:rsidR="00A86845">
        <w:rPr>
          <w:rFonts w:ascii="Verdana" w:hAnsi="Verdana"/>
          <w:sz w:val="20"/>
          <w:szCs w:val="20"/>
          <w:lang w:val="es-ES_tradnl"/>
        </w:rPr>
        <w:t>259</w:t>
      </w:r>
      <w:r w:rsidR="0085020B" w:rsidRPr="00A86845">
        <w:rPr>
          <w:rFonts w:ascii="Verdana" w:eastAsia="Batang" w:hAnsi="Verdana" w:cs="Times"/>
          <w:sz w:val="20"/>
          <w:szCs w:val="20"/>
          <w:lang w:val="es-ES_tradnl"/>
        </w:rPr>
        <w:t xml:space="preserve"> a </w:t>
      </w:r>
      <w:r w:rsidR="00A86845">
        <w:rPr>
          <w:rFonts w:ascii="Verdana" w:hAnsi="Verdana"/>
          <w:sz w:val="20"/>
          <w:szCs w:val="20"/>
          <w:lang w:val="es-ES_tradnl"/>
        </w:rPr>
        <w:t>262</w:t>
      </w:r>
      <w:r w:rsidRPr="00A86845">
        <w:rPr>
          <w:rFonts w:ascii="Verdana" w:eastAsia="Batang" w:hAnsi="Verdana" w:cs="Times"/>
          <w:sz w:val="20"/>
          <w:szCs w:val="20"/>
          <w:lang w:val="es-ES_tradnl"/>
        </w:rPr>
        <w:t>”</w:t>
      </w:r>
      <w:r w:rsidR="00AC014F">
        <w:rPr>
          <w:rFonts w:ascii="Verdana" w:eastAsia="Batang" w:hAnsi="Verdana" w:cs="Times"/>
          <w:sz w:val="20"/>
          <w:szCs w:val="20"/>
          <w:lang w:val="es-ES_tradnl"/>
        </w:rPr>
        <w:t>.</w:t>
      </w:r>
    </w:p>
    <w:p w:rsidR="008D1033" w:rsidRDefault="008D1033" w:rsidP="00F218AA">
      <w:pPr>
        <w:spacing w:after="0" w:line="240" w:lineRule="auto"/>
        <w:ind w:left="720"/>
        <w:jc w:val="both"/>
        <w:rPr>
          <w:rFonts w:ascii="Verdana" w:eastAsia="Batang" w:hAnsi="Verdana" w:cs="Times"/>
          <w:i/>
          <w:sz w:val="20"/>
          <w:szCs w:val="20"/>
          <w:lang w:val="es-ES_tradnl"/>
        </w:rPr>
      </w:pPr>
    </w:p>
    <w:p w:rsidR="0085020B" w:rsidRPr="00A86845" w:rsidRDefault="003041FB" w:rsidP="00F218AA">
      <w:pPr>
        <w:spacing w:after="0" w:line="240" w:lineRule="auto"/>
        <w:ind w:left="720"/>
        <w:jc w:val="both"/>
        <w:rPr>
          <w:rFonts w:ascii="Verdana" w:eastAsia="Batang" w:hAnsi="Verdana" w:cs="Times"/>
          <w:i/>
          <w:sz w:val="20"/>
          <w:szCs w:val="20"/>
          <w:lang w:val="es-ES_tradnl"/>
        </w:rPr>
      </w:pPr>
      <w:r w:rsidRPr="00A86845">
        <w:rPr>
          <w:rFonts w:ascii="Verdana" w:eastAsia="Batang" w:hAnsi="Verdana" w:cs="Times"/>
          <w:i/>
          <w:sz w:val="20"/>
          <w:szCs w:val="20"/>
          <w:lang w:val="es-ES_tradnl"/>
        </w:rPr>
        <w:t>Punto declarativo</w:t>
      </w:r>
      <w:r w:rsidR="0085020B" w:rsidRPr="00A86845">
        <w:rPr>
          <w:rFonts w:ascii="Verdana" w:eastAsia="Batang" w:hAnsi="Verdana" w:cs="Times"/>
          <w:i/>
          <w:sz w:val="20"/>
          <w:szCs w:val="20"/>
          <w:lang w:val="es-ES_tradnl"/>
        </w:rPr>
        <w:t xml:space="preserve"> 9</w:t>
      </w:r>
      <w:r w:rsidRPr="00A86845">
        <w:rPr>
          <w:rFonts w:ascii="Verdana" w:eastAsia="Batang" w:hAnsi="Verdana" w:cs="Times"/>
          <w:i/>
          <w:sz w:val="20"/>
          <w:szCs w:val="20"/>
          <w:lang w:val="es-ES_tradnl"/>
        </w:rPr>
        <w:t>:</w:t>
      </w:r>
    </w:p>
    <w:p w:rsidR="008D1033" w:rsidRDefault="008D1033" w:rsidP="00F218AA">
      <w:pPr>
        <w:spacing w:after="0" w:line="240" w:lineRule="auto"/>
        <w:ind w:left="720"/>
        <w:jc w:val="both"/>
        <w:rPr>
          <w:rFonts w:ascii="Verdana" w:eastAsia="Calibri" w:hAnsi="Verdana"/>
          <w:spacing w:val="-2"/>
          <w:sz w:val="20"/>
          <w:szCs w:val="20"/>
          <w:lang w:val="es-ES_tradnl"/>
        </w:rPr>
      </w:pPr>
    </w:p>
    <w:p w:rsidR="0085020B" w:rsidRPr="00A86845" w:rsidRDefault="003041FB" w:rsidP="00F218AA">
      <w:pPr>
        <w:spacing w:after="0" w:line="240" w:lineRule="auto"/>
        <w:ind w:left="720"/>
        <w:jc w:val="both"/>
        <w:rPr>
          <w:rFonts w:ascii="Verdana" w:eastAsia="Batang" w:hAnsi="Verdana" w:cs="Times"/>
          <w:sz w:val="20"/>
          <w:szCs w:val="20"/>
          <w:lang w:val="es-ES_tradnl"/>
        </w:rPr>
      </w:pPr>
      <w:r w:rsidRPr="00A86845">
        <w:rPr>
          <w:rFonts w:ascii="Verdana" w:eastAsia="Calibri" w:hAnsi="Verdana"/>
          <w:spacing w:val="-2"/>
          <w:sz w:val="20"/>
          <w:szCs w:val="20"/>
          <w:lang w:val="es-ES_tradnl"/>
        </w:rPr>
        <w:t>“</w:t>
      </w:r>
      <w:r w:rsidR="0085020B" w:rsidRPr="00A86845">
        <w:rPr>
          <w:rFonts w:ascii="Verdana" w:eastAsia="Calibri" w:hAnsi="Verdana"/>
          <w:spacing w:val="-2"/>
          <w:sz w:val="20"/>
          <w:szCs w:val="20"/>
          <w:lang w:val="es-ES_tradnl"/>
        </w:rPr>
        <w:t xml:space="preserve">No procede emitir un pronunciamiento sobre el alegado incumplimiento de la obligación de adoptar disposiciones de derecho interno, consagrada en el artículo 2 de la Convención, respecto de la arbitrariedad de la detención del señor Wong Ho Wing, </w:t>
      </w:r>
      <w:r w:rsidR="0085020B" w:rsidRPr="00A86845">
        <w:rPr>
          <w:rFonts w:ascii="Verdana" w:eastAsia="Batang" w:hAnsi="Verdana" w:cs="Times"/>
          <w:sz w:val="20"/>
          <w:szCs w:val="20"/>
          <w:lang w:val="es-ES_tradnl"/>
        </w:rPr>
        <w:t>en los términos del párrafo</w:t>
      </w:r>
      <w:r w:rsidR="0085020B" w:rsidRPr="00A86845">
        <w:rPr>
          <w:rFonts w:ascii="Verdana" w:hAnsi="Verdana"/>
          <w:sz w:val="20"/>
          <w:szCs w:val="20"/>
          <w:lang w:val="es-ES_tradnl"/>
        </w:rPr>
        <w:t xml:space="preserve"> </w:t>
      </w:r>
      <w:r w:rsidR="00A86845">
        <w:rPr>
          <w:rFonts w:ascii="Verdana" w:hAnsi="Verdana"/>
          <w:sz w:val="20"/>
          <w:szCs w:val="20"/>
          <w:lang w:val="es-ES_tradnl"/>
        </w:rPr>
        <w:t>256</w:t>
      </w:r>
      <w:r w:rsidRPr="00A86845">
        <w:rPr>
          <w:rFonts w:ascii="Verdana" w:eastAsia="Batang" w:hAnsi="Verdana" w:cs="Times"/>
          <w:sz w:val="20"/>
          <w:szCs w:val="20"/>
          <w:lang w:val="es-ES_tradnl"/>
        </w:rPr>
        <w:t>”</w:t>
      </w:r>
      <w:r w:rsidR="00AC014F">
        <w:rPr>
          <w:rFonts w:ascii="Verdana" w:eastAsia="Batang" w:hAnsi="Verdana" w:cs="Times"/>
          <w:sz w:val="20"/>
          <w:szCs w:val="20"/>
          <w:lang w:val="es-ES_tradnl"/>
        </w:rPr>
        <w:t>.</w:t>
      </w:r>
    </w:p>
    <w:p w:rsidR="008D1033" w:rsidRDefault="008D1033" w:rsidP="00F218AA">
      <w:pPr>
        <w:spacing w:after="0" w:line="240" w:lineRule="auto"/>
        <w:ind w:left="720"/>
        <w:jc w:val="both"/>
        <w:rPr>
          <w:rFonts w:ascii="Verdana" w:eastAsia="Batang" w:hAnsi="Verdana" w:cs="Times"/>
          <w:i/>
          <w:sz w:val="20"/>
          <w:szCs w:val="20"/>
          <w:lang w:val="es-ES_tradnl"/>
        </w:rPr>
      </w:pPr>
    </w:p>
    <w:p w:rsidR="0085020B" w:rsidRPr="00A86845" w:rsidRDefault="003041FB" w:rsidP="00F218AA">
      <w:pPr>
        <w:spacing w:after="0" w:line="240" w:lineRule="auto"/>
        <w:ind w:left="720"/>
        <w:jc w:val="both"/>
        <w:rPr>
          <w:rFonts w:ascii="Verdana" w:eastAsia="Batang" w:hAnsi="Verdana" w:cs="Times"/>
          <w:i/>
          <w:sz w:val="20"/>
          <w:szCs w:val="20"/>
          <w:lang w:val="es-ES_tradnl"/>
        </w:rPr>
      </w:pPr>
      <w:r w:rsidRPr="00A86845">
        <w:rPr>
          <w:rFonts w:ascii="Verdana" w:eastAsia="Batang" w:hAnsi="Verdana" w:cs="Times"/>
          <w:i/>
          <w:sz w:val="20"/>
          <w:szCs w:val="20"/>
          <w:lang w:val="es-ES_tradnl"/>
        </w:rPr>
        <w:t>Punto dispositivo</w:t>
      </w:r>
      <w:r w:rsidR="0085020B" w:rsidRPr="00A86845">
        <w:rPr>
          <w:rFonts w:ascii="Verdana" w:eastAsia="Batang" w:hAnsi="Verdana" w:cs="Times"/>
          <w:i/>
          <w:sz w:val="20"/>
          <w:szCs w:val="20"/>
          <w:lang w:val="es-ES_tradnl"/>
        </w:rPr>
        <w:t xml:space="preserve"> 13</w:t>
      </w:r>
      <w:r w:rsidRPr="00A86845">
        <w:rPr>
          <w:rFonts w:ascii="Verdana" w:eastAsia="Batang" w:hAnsi="Verdana" w:cs="Times"/>
          <w:i/>
          <w:sz w:val="20"/>
          <w:szCs w:val="20"/>
          <w:lang w:val="es-ES_tradnl"/>
        </w:rPr>
        <w:t>:</w:t>
      </w:r>
    </w:p>
    <w:p w:rsidR="008D1033" w:rsidRDefault="008D1033" w:rsidP="00F218AA">
      <w:pPr>
        <w:spacing w:after="0" w:line="240" w:lineRule="auto"/>
        <w:ind w:left="720"/>
        <w:jc w:val="both"/>
        <w:rPr>
          <w:rFonts w:ascii="Verdana" w:hAnsi="Verdana"/>
          <w:sz w:val="20"/>
          <w:szCs w:val="20"/>
          <w:lang w:val="es-ES_tradnl"/>
        </w:rPr>
      </w:pPr>
    </w:p>
    <w:p w:rsidR="0085020B" w:rsidRDefault="003041FB" w:rsidP="00F218AA">
      <w:pPr>
        <w:spacing w:after="0" w:line="240" w:lineRule="auto"/>
        <w:ind w:left="720"/>
        <w:jc w:val="both"/>
        <w:rPr>
          <w:rFonts w:ascii="Verdana" w:hAnsi="Verdana"/>
          <w:sz w:val="20"/>
          <w:szCs w:val="20"/>
          <w:lang w:val="es-ES_tradnl"/>
        </w:rPr>
      </w:pPr>
      <w:r w:rsidRPr="00A86845">
        <w:rPr>
          <w:rFonts w:ascii="Verdana" w:hAnsi="Verdana"/>
          <w:sz w:val="20"/>
          <w:szCs w:val="20"/>
          <w:lang w:val="es-ES_tradnl"/>
        </w:rPr>
        <w:t>“</w:t>
      </w:r>
      <w:r w:rsidR="0085020B" w:rsidRPr="00A86845">
        <w:rPr>
          <w:rFonts w:ascii="Verdana" w:hAnsi="Verdana"/>
          <w:sz w:val="20"/>
          <w:szCs w:val="20"/>
          <w:lang w:val="es-ES_tradnl"/>
        </w:rPr>
        <w:t xml:space="preserve">El Estado debe revisar inmediatamente la privación de libertad del señor Wong Ho Wing, de conformidad con lo establecido en el párrafo </w:t>
      </w:r>
      <w:r w:rsidR="00A86845">
        <w:rPr>
          <w:rFonts w:ascii="Verdana" w:hAnsi="Verdana"/>
          <w:sz w:val="20"/>
          <w:szCs w:val="20"/>
          <w:lang w:val="es-ES_tradnl"/>
        </w:rPr>
        <w:t>305</w:t>
      </w:r>
      <w:r w:rsidRPr="00A86845">
        <w:rPr>
          <w:rFonts w:ascii="Verdana" w:hAnsi="Verdana"/>
          <w:sz w:val="20"/>
          <w:szCs w:val="20"/>
          <w:lang w:val="es-ES_tradnl"/>
        </w:rPr>
        <w:t>”</w:t>
      </w:r>
      <w:r w:rsidR="00AC014F">
        <w:rPr>
          <w:rFonts w:ascii="Verdana" w:hAnsi="Verdana"/>
          <w:sz w:val="20"/>
          <w:szCs w:val="20"/>
          <w:lang w:val="es-ES_tradnl"/>
        </w:rPr>
        <w:t>.</w:t>
      </w:r>
    </w:p>
    <w:p w:rsidR="00AC014F" w:rsidRPr="00A86845" w:rsidRDefault="00AC014F" w:rsidP="00F218AA">
      <w:pPr>
        <w:spacing w:after="0" w:line="240" w:lineRule="auto"/>
        <w:ind w:left="720"/>
        <w:jc w:val="both"/>
        <w:rPr>
          <w:rFonts w:ascii="Verdana" w:hAnsi="Verdana"/>
          <w:sz w:val="20"/>
          <w:szCs w:val="20"/>
          <w:lang w:val="es-ES_tradnl"/>
        </w:rPr>
      </w:pPr>
    </w:p>
    <w:p w:rsidR="002A2437" w:rsidRDefault="002A2437" w:rsidP="00F218AA">
      <w:pPr>
        <w:pStyle w:val="Estilo1"/>
        <w:spacing w:after="0"/>
        <w:rPr>
          <w:rFonts w:ascii="Verdana" w:hAnsi="Verdana"/>
          <w:sz w:val="20"/>
          <w:szCs w:val="20"/>
          <w:lang w:val="es-ES_tradnl"/>
        </w:rPr>
      </w:pPr>
      <w:r w:rsidRPr="00A86845">
        <w:rPr>
          <w:rFonts w:ascii="Verdana" w:hAnsi="Verdana"/>
          <w:sz w:val="20"/>
          <w:szCs w:val="20"/>
          <w:lang w:val="es-ES_tradnl"/>
        </w:rPr>
        <w:t>A continuación explicaré las razones de esos votos negativos</w:t>
      </w:r>
      <w:r w:rsidR="00CA29D2" w:rsidRPr="00A86845">
        <w:rPr>
          <w:rFonts w:ascii="Verdana" w:hAnsi="Verdana"/>
          <w:sz w:val="20"/>
          <w:szCs w:val="20"/>
          <w:lang w:val="es-ES_tradnl"/>
        </w:rPr>
        <w:t>.</w:t>
      </w:r>
    </w:p>
    <w:p w:rsidR="0008578C" w:rsidRPr="00A86845" w:rsidRDefault="0008578C" w:rsidP="00F218AA">
      <w:pPr>
        <w:pStyle w:val="Estilo1"/>
        <w:numPr>
          <w:ilvl w:val="0"/>
          <w:numId w:val="0"/>
        </w:numPr>
        <w:spacing w:after="0"/>
        <w:rPr>
          <w:rFonts w:ascii="Verdana" w:hAnsi="Verdana"/>
          <w:sz w:val="20"/>
          <w:szCs w:val="20"/>
          <w:lang w:val="es-ES_tradnl"/>
        </w:rPr>
      </w:pPr>
    </w:p>
    <w:p w:rsidR="002A2437" w:rsidRDefault="002A2437" w:rsidP="00F218AA">
      <w:pPr>
        <w:pStyle w:val="Estilo1"/>
        <w:numPr>
          <w:ilvl w:val="0"/>
          <w:numId w:val="0"/>
        </w:numPr>
        <w:spacing w:after="0"/>
        <w:ind w:firstLine="720"/>
        <w:rPr>
          <w:rFonts w:ascii="Verdana" w:hAnsi="Verdana"/>
          <w:i/>
          <w:sz w:val="20"/>
          <w:szCs w:val="20"/>
          <w:lang w:val="es-ES_tradnl"/>
        </w:rPr>
      </w:pPr>
      <w:r w:rsidRPr="00A86845">
        <w:rPr>
          <w:rFonts w:ascii="Verdana" w:hAnsi="Verdana"/>
          <w:i/>
          <w:sz w:val="20"/>
          <w:szCs w:val="20"/>
          <w:lang w:val="es-ES_tradnl"/>
        </w:rPr>
        <w:t>No violación del derecho al plazo razonable</w:t>
      </w:r>
    </w:p>
    <w:p w:rsidR="0008578C" w:rsidRPr="00A86845" w:rsidRDefault="0008578C" w:rsidP="00F218AA">
      <w:pPr>
        <w:pStyle w:val="Estilo1"/>
        <w:numPr>
          <w:ilvl w:val="0"/>
          <w:numId w:val="0"/>
        </w:numPr>
        <w:spacing w:after="0"/>
        <w:ind w:firstLine="720"/>
        <w:rPr>
          <w:rFonts w:ascii="Verdana" w:hAnsi="Verdana"/>
          <w:sz w:val="20"/>
          <w:szCs w:val="20"/>
          <w:lang w:val="es-ES_tradnl"/>
        </w:rPr>
      </w:pPr>
    </w:p>
    <w:p w:rsidR="002A2437" w:rsidRDefault="002A2437" w:rsidP="00F218AA">
      <w:pPr>
        <w:pStyle w:val="Estilo1"/>
        <w:spacing w:after="0"/>
        <w:rPr>
          <w:rFonts w:ascii="Verdana" w:hAnsi="Verdana"/>
          <w:sz w:val="20"/>
          <w:szCs w:val="20"/>
          <w:lang w:val="es-ES_tradnl"/>
        </w:rPr>
      </w:pPr>
      <w:r w:rsidRPr="00A86845">
        <w:rPr>
          <w:rFonts w:ascii="Verdana" w:hAnsi="Verdana"/>
          <w:sz w:val="20"/>
          <w:szCs w:val="20"/>
          <w:lang w:val="es-ES_tradnl"/>
        </w:rPr>
        <w:t xml:space="preserve">Según la </w:t>
      </w:r>
      <w:r w:rsidR="00D660B9">
        <w:rPr>
          <w:rFonts w:ascii="Verdana" w:hAnsi="Verdana"/>
          <w:sz w:val="20"/>
          <w:szCs w:val="20"/>
          <w:lang w:val="es-ES_tradnl"/>
        </w:rPr>
        <w:t>S</w:t>
      </w:r>
      <w:r w:rsidRPr="00A86845">
        <w:rPr>
          <w:rFonts w:ascii="Verdana" w:hAnsi="Verdana"/>
          <w:sz w:val="20"/>
          <w:szCs w:val="20"/>
          <w:lang w:val="es-ES_tradnl"/>
        </w:rPr>
        <w:t>entencia</w:t>
      </w:r>
      <w:r w:rsidR="00BD2F6C" w:rsidRPr="00A86845">
        <w:rPr>
          <w:rFonts w:ascii="Verdana" w:hAnsi="Verdana"/>
          <w:sz w:val="20"/>
          <w:szCs w:val="20"/>
          <w:lang w:val="es-ES_tradnl"/>
        </w:rPr>
        <w:t xml:space="preserve"> (párr. 220, y también párr. 223)</w:t>
      </w:r>
      <w:r w:rsidRPr="00A86845">
        <w:rPr>
          <w:rFonts w:ascii="Verdana" w:hAnsi="Verdana"/>
          <w:sz w:val="20"/>
          <w:szCs w:val="20"/>
          <w:lang w:val="es-ES_tradnl"/>
        </w:rPr>
        <w:t xml:space="preserve">, se habría violado el derecho al plazo razonable (art. 8.1 de la Convención) por la “demora en la resolución definitiva del proceso de extradición, atribuible a la actuación de las autoridades estatales”. Sin embargo, esta misma Corte dispuso </w:t>
      </w:r>
      <w:r w:rsidR="00BD2F6C" w:rsidRPr="00A86845">
        <w:rPr>
          <w:rFonts w:ascii="Verdana" w:hAnsi="Verdana"/>
          <w:sz w:val="20"/>
          <w:szCs w:val="20"/>
          <w:lang w:val="es-ES_tradnl"/>
        </w:rPr>
        <w:t xml:space="preserve">desde mayo de 2010 </w:t>
      </w:r>
      <w:r w:rsidRPr="00A86845">
        <w:rPr>
          <w:rFonts w:ascii="Verdana" w:hAnsi="Verdana"/>
          <w:sz w:val="20"/>
          <w:szCs w:val="20"/>
          <w:lang w:val="es-ES_tradnl"/>
        </w:rPr>
        <w:t>numerosas medidas provisionales</w:t>
      </w:r>
      <w:r w:rsidR="00BD2F6C" w:rsidRPr="00A86845">
        <w:rPr>
          <w:rFonts w:ascii="Verdana" w:hAnsi="Verdana"/>
          <w:sz w:val="20"/>
          <w:szCs w:val="20"/>
          <w:lang w:val="es-ES_tradnl"/>
        </w:rPr>
        <w:t xml:space="preserve"> a favor de </w:t>
      </w:r>
      <w:r w:rsidR="00BD2F6C" w:rsidRPr="00A86845">
        <w:rPr>
          <w:rFonts w:ascii="Verdana" w:hAnsi="Verdana"/>
          <w:sz w:val="20"/>
          <w:szCs w:val="20"/>
          <w:lang w:val="es-ES_tradnl"/>
        </w:rPr>
        <w:lastRenderedPageBreak/>
        <w:t xml:space="preserve">Wong Ho </w:t>
      </w:r>
      <w:proofErr w:type="spellStart"/>
      <w:r w:rsidR="00BD2F6C" w:rsidRPr="00A86845">
        <w:rPr>
          <w:rFonts w:ascii="Verdana" w:hAnsi="Verdana"/>
          <w:sz w:val="20"/>
          <w:szCs w:val="20"/>
          <w:lang w:val="es-ES_tradnl"/>
        </w:rPr>
        <w:t>Wing</w:t>
      </w:r>
      <w:proofErr w:type="spellEnd"/>
      <w:r w:rsidR="00BD2F6C" w:rsidRPr="00A86845">
        <w:rPr>
          <w:rStyle w:val="FootnoteReference"/>
          <w:rFonts w:ascii="Verdana" w:hAnsi="Verdana"/>
          <w:sz w:val="20"/>
          <w:szCs w:val="20"/>
          <w:lang w:val="es-ES_tradnl"/>
        </w:rPr>
        <w:footnoteReference w:id="1"/>
      </w:r>
      <w:r w:rsidRPr="00A86845">
        <w:rPr>
          <w:rFonts w:ascii="Verdana" w:hAnsi="Verdana"/>
          <w:sz w:val="20"/>
          <w:szCs w:val="20"/>
          <w:lang w:val="es-ES_tradnl"/>
        </w:rPr>
        <w:t xml:space="preserve"> en las cuales ordenó al Estado </w:t>
      </w:r>
      <w:r w:rsidR="00BD2F6C" w:rsidRPr="00A86845">
        <w:rPr>
          <w:rFonts w:ascii="Verdana" w:hAnsi="Verdana"/>
          <w:sz w:val="20"/>
          <w:szCs w:val="20"/>
          <w:lang w:val="es-ES_tradnl"/>
        </w:rPr>
        <w:t>que “</w:t>
      </w:r>
      <w:r w:rsidRPr="00A86845">
        <w:rPr>
          <w:rFonts w:ascii="Verdana" w:hAnsi="Verdana"/>
          <w:i/>
          <w:sz w:val="20"/>
          <w:szCs w:val="20"/>
          <w:lang w:val="es-ES_tradnl"/>
        </w:rPr>
        <w:t xml:space="preserve">se abstuviera de extraditar al señor Wong Ho Wing hasta que los órganos del sistema interamericano de derechos humanos examinaran y se pronunciaran sobre el </w:t>
      </w:r>
      <w:r w:rsidR="00D660B9">
        <w:rPr>
          <w:rFonts w:ascii="Verdana" w:hAnsi="Verdana"/>
          <w:i/>
          <w:sz w:val="20"/>
          <w:szCs w:val="20"/>
          <w:lang w:val="es-ES_tradnl"/>
        </w:rPr>
        <w:t>[caso]</w:t>
      </w:r>
      <w:r w:rsidR="00BD2F6C" w:rsidRPr="00A86845">
        <w:rPr>
          <w:rFonts w:ascii="Verdana" w:hAnsi="Verdana"/>
          <w:i/>
          <w:sz w:val="20"/>
          <w:szCs w:val="20"/>
          <w:lang w:val="es-ES_tradnl"/>
        </w:rPr>
        <w:t xml:space="preserve">”. </w:t>
      </w:r>
      <w:r w:rsidR="00BD2F6C" w:rsidRPr="00A86845">
        <w:rPr>
          <w:rFonts w:ascii="Verdana" w:hAnsi="Verdana"/>
          <w:sz w:val="20"/>
          <w:szCs w:val="20"/>
          <w:lang w:val="es-ES_tradnl"/>
        </w:rPr>
        <w:t xml:space="preserve">Ese pronunciamiento se adopta en el día de hoy mediante la presente </w:t>
      </w:r>
      <w:r w:rsidR="00D660B9">
        <w:rPr>
          <w:rFonts w:ascii="Verdana" w:hAnsi="Verdana"/>
          <w:sz w:val="20"/>
          <w:szCs w:val="20"/>
          <w:lang w:val="es-ES_tradnl"/>
        </w:rPr>
        <w:t>S</w:t>
      </w:r>
      <w:r w:rsidR="00BD2F6C" w:rsidRPr="00A86845">
        <w:rPr>
          <w:rFonts w:ascii="Verdana" w:hAnsi="Verdana"/>
          <w:sz w:val="20"/>
          <w:szCs w:val="20"/>
          <w:lang w:val="es-ES_tradnl"/>
        </w:rPr>
        <w:t xml:space="preserve">entencia, de modo que hasta el día de hoy </w:t>
      </w:r>
      <w:r w:rsidR="00BD2F6C" w:rsidRPr="00A86845">
        <w:rPr>
          <w:rFonts w:ascii="Verdana" w:hAnsi="Verdana"/>
          <w:i/>
          <w:sz w:val="20"/>
          <w:szCs w:val="20"/>
          <w:lang w:val="es-ES_tradnl"/>
        </w:rPr>
        <w:t>no ha existido demora alguna</w:t>
      </w:r>
      <w:r w:rsidR="00CA29D2" w:rsidRPr="00A86845">
        <w:rPr>
          <w:rFonts w:ascii="Verdana" w:hAnsi="Verdana"/>
          <w:i/>
          <w:sz w:val="20"/>
          <w:szCs w:val="20"/>
          <w:lang w:val="es-ES_tradnl"/>
        </w:rPr>
        <w:t xml:space="preserve"> en adoptar la decisión definitiva sobre la extradición ni ha empezado a correr el plazo para adoptarla</w:t>
      </w:r>
      <w:r w:rsidR="00BD2F6C" w:rsidRPr="00A86845">
        <w:rPr>
          <w:rFonts w:ascii="Verdana" w:hAnsi="Verdana"/>
          <w:i/>
          <w:sz w:val="20"/>
          <w:szCs w:val="20"/>
          <w:lang w:val="es-ES_tradnl"/>
        </w:rPr>
        <w:t>.</w:t>
      </w:r>
      <w:r w:rsidR="00BD2F6C" w:rsidRPr="00A86845">
        <w:rPr>
          <w:rFonts w:ascii="Verdana" w:hAnsi="Verdana"/>
          <w:sz w:val="20"/>
          <w:szCs w:val="20"/>
          <w:lang w:val="es-ES_tradnl"/>
        </w:rPr>
        <w:t xml:space="preserve"> Son interesantes los razonamientos abstractos sobre demoras en procesos de extradición, sob</w:t>
      </w:r>
      <w:r w:rsidR="00D660B9">
        <w:rPr>
          <w:rFonts w:ascii="Verdana" w:hAnsi="Verdana"/>
          <w:sz w:val="20"/>
          <w:szCs w:val="20"/>
          <w:lang w:val="es-ES_tradnl"/>
        </w:rPr>
        <w:t>r</w:t>
      </w:r>
      <w:r w:rsidR="00BD2F6C" w:rsidRPr="00A86845">
        <w:rPr>
          <w:rFonts w:ascii="Verdana" w:hAnsi="Verdana"/>
          <w:sz w:val="20"/>
          <w:szCs w:val="20"/>
          <w:lang w:val="es-ES_tradnl"/>
        </w:rPr>
        <w:t>e</w:t>
      </w:r>
      <w:r w:rsidR="00D660B9">
        <w:rPr>
          <w:rFonts w:ascii="Verdana" w:hAnsi="Verdana"/>
          <w:sz w:val="20"/>
          <w:szCs w:val="20"/>
          <w:lang w:val="es-ES_tradnl"/>
        </w:rPr>
        <w:t xml:space="preserve"> la</w:t>
      </w:r>
      <w:r w:rsidR="00BD2F6C" w:rsidRPr="00A86845">
        <w:rPr>
          <w:rFonts w:ascii="Verdana" w:hAnsi="Verdana"/>
          <w:sz w:val="20"/>
          <w:szCs w:val="20"/>
          <w:lang w:val="es-ES_tradnl"/>
        </w:rPr>
        <w:t xml:space="preserve"> eventual </w:t>
      </w:r>
      <w:proofErr w:type="spellStart"/>
      <w:r w:rsidR="00BD2F6C" w:rsidRPr="00A86845">
        <w:rPr>
          <w:rFonts w:ascii="Verdana" w:hAnsi="Verdana"/>
          <w:sz w:val="20"/>
          <w:szCs w:val="20"/>
          <w:lang w:val="es-ES_tradnl"/>
        </w:rPr>
        <w:t>atribuibilidad</w:t>
      </w:r>
      <w:proofErr w:type="spellEnd"/>
      <w:r w:rsidR="00BD2F6C" w:rsidRPr="00A86845">
        <w:rPr>
          <w:rFonts w:ascii="Verdana" w:hAnsi="Verdana"/>
          <w:sz w:val="20"/>
          <w:szCs w:val="20"/>
          <w:lang w:val="es-ES_tradnl"/>
        </w:rPr>
        <w:t xml:space="preserve"> al Estado y sobre elementos que pueden hacerlas no razonables, pero resultan totalmente inaplicables al presente caso.</w:t>
      </w:r>
    </w:p>
    <w:p w:rsidR="0008578C" w:rsidRPr="00A86845" w:rsidRDefault="0008578C" w:rsidP="00F218AA">
      <w:pPr>
        <w:pStyle w:val="Estilo1"/>
        <w:numPr>
          <w:ilvl w:val="0"/>
          <w:numId w:val="0"/>
        </w:numPr>
        <w:spacing w:after="0"/>
        <w:rPr>
          <w:rFonts w:ascii="Verdana" w:hAnsi="Verdana"/>
          <w:sz w:val="20"/>
          <w:szCs w:val="20"/>
          <w:lang w:val="es-ES_tradnl"/>
        </w:rPr>
      </w:pPr>
    </w:p>
    <w:p w:rsidR="00BD2F6C" w:rsidRDefault="00BD2F6C" w:rsidP="00F218AA">
      <w:pPr>
        <w:pStyle w:val="Estilo1"/>
        <w:spacing w:after="0"/>
        <w:rPr>
          <w:rFonts w:ascii="Verdana" w:hAnsi="Verdana"/>
          <w:sz w:val="20"/>
          <w:szCs w:val="20"/>
          <w:lang w:val="es-ES_tradnl"/>
        </w:rPr>
      </w:pPr>
      <w:r w:rsidRPr="00A86845">
        <w:rPr>
          <w:rFonts w:ascii="Verdana" w:hAnsi="Verdana"/>
          <w:sz w:val="20"/>
          <w:szCs w:val="20"/>
          <w:lang w:val="es-ES_tradnl"/>
        </w:rPr>
        <w:t>Por otro lado, el análisis del requisito relativo a la complejidad del asunto, que concluye con el mero reconocimiento de que “</w:t>
      </w:r>
      <w:r w:rsidR="006869A3" w:rsidRPr="00A86845">
        <w:rPr>
          <w:rFonts w:ascii="Verdana" w:hAnsi="Verdana"/>
          <w:sz w:val="20"/>
          <w:szCs w:val="20"/>
          <w:lang w:val="es-ES_tradnl"/>
        </w:rPr>
        <w:t xml:space="preserve">el caso es complejo” no se adecua a la extrema complejidad del </w:t>
      </w:r>
      <w:r w:rsidR="00CA29D2" w:rsidRPr="00A86845">
        <w:rPr>
          <w:rFonts w:ascii="Verdana" w:hAnsi="Verdana"/>
          <w:sz w:val="20"/>
          <w:szCs w:val="20"/>
          <w:lang w:val="es-ES_tradnl"/>
        </w:rPr>
        <w:t>caso</w:t>
      </w:r>
      <w:r w:rsidR="006869A3" w:rsidRPr="00A86845">
        <w:rPr>
          <w:rFonts w:ascii="Verdana" w:hAnsi="Verdana"/>
          <w:sz w:val="20"/>
          <w:szCs w:val="20"/>
          <w:lang w:val="es-ES_tradnl"/>
        </w:rPr>
        <w:t xml:space="preserve"> debida a las alternativas de la determinación de si el delito por el que podía concederse la extradición a la República Popular China era o es o no castigado con pena de muerte</w:t>
      </w:r>
      <w:r w:rsidR="00CA29D2" w:rsidRPr="00A86845">
        <w:rPr>
          <w:rFonts w:ascii="Verdana" w:hAnsi="Verdana"/>
          <w:sz w:val="20"/>
          <w:szCs w:val="20"/>
          <w:lang w:val="es-ES_tradnl"/>
        </w:rPr>
        <w:t xml:space="preserve"> y a las dificultades en obtener una traducción fidedigna del idioma chino</w:t>
      </w:r>
      <w:r w:rsidR="006869A3" w:rsidRPr="00A86845">
        <w:rPr>
          <w:rFonts w:ascii="Verdana" w:hAnsi="Verdana"/>
          <w:sz w:val="20"/>
          <w:szCs w:val="20"/>
          <w:lang w:val="es-ES_tradnl"/>
        </w:rPr>
        <w:t xml:space="preserve"> (</w:t>
      </w:r>
      <w:proofErr w:type="spellStart"/>
      <w:r w:rsidR="006869A3" w:rsidRPr="00A86845">
        <w:rPr>
          <w:rFonts w:ascii="Verdana" w:hAnsi="Verdana"/>
          <w:sz w:val="20"/>
          <w:szCs w:val="20"/>
          <w:lang w:val="es-ES_tradnl"/>
        </w:rPr>
        <w:t>párrs</w:t>
      </w:r>
      <w:proofErr w:type="spellEnd"/>
      <w:r w:rsidR="006869A3" w:rsidRPr="00A86845">
        <w:rPr>
          <w:rFonts w:ascii="Verdana" w:hAnsi="Verdana"/>
          <w:sz w:val="20"/>
          <w:szCs w:val="20"/>
          <w:lang w:val="es-ES_tradnl"/>
        </w:rPr>
        <w:t>.</w:t>
      </w:r>
      <w:r w:rsidR="00D660B9">
        <w:rPr>
          <w:rFonts w:ascii="Verdana" w:hAnsi="Verdana"/>
          <w:sz w:val="20"/>
          <w:szCs w:val="20"/>
          <w:lang w:val="es-ES_tradnl"/>
        </w:rPr>
        <w:t xml:space="preserve"> </w:t>
      </w:r>
      <w:r w:rsidR="006869A3" w:rsidRPr="00A86845">
        <w:rPr>
          <w:rFonts w:ascii="Verdana" w:hAnsi="Verdana"/>
          <w:sz w:val="20"/>
          <w:szCs w:val="20"/>
          <w:lang w:val="es-ES_tradnl"/>
        </w:rPr>
        <w:t>60 a 93</w:t>
      </w:r>
      <w:r w:rsidR="00C518BE">
        <w:rPr>
          <w:rFonts w:ascii="Verdana" w:hAnsi="Verdana"/>
          <w:sz w:val="20"/>
          <w:szCs w:val="20"/>
          <w:lang w:val="es-ES_tradnl"/>
        </w:rPr>
        <w:t xml:space="preserve"> de la Sentencia</w:t>
      </w:r>
      <w:r w:rsidR="006869A3" w:rsidRPr="00A86845">
        <w:rPr>
          <w:rFonts w:ascii="Verdana" w:hAnsi="Verdana"/>
          <w:sz w:val="20"/>
          <w:szCs w:val="20"/>
          <w:lang w:val="es-ES_tradnl"/>
        </w:rPr>
        <w:t>).</w:t>
      </w:r>
    </w:p>
    <w:p w:rsidR="0008578C" w:rsidRPr="00A86845" w:rsidRDefault="0008578C" w:rsidP="00F218AA">
      <w:pPr>
        <w:pStyle w:val="Estilo1"/>
        <w:numPr>
          <w:ilvl w:val="0"/>
          <w:numId w:val="0"/>
        </w:numPr>
        <w:spacing w:after="0"/>
        <w:rPr>
          <w:rFonts w:ascii="Verdana" w:hAnsi="Verdana"/>
          <w:sz w:val="20"/>
          <w:szCs w:val="20"/>
          <w:lang w:val="es-ES_tradnl"/>
        </w:rPr>
      </w:pPr>
    </w:p>
    <w:p w:rsidR="002A2437" w:rsidRDefault="002A2437" w:rsidP="00F218AA">
      <w:pPr>
        <w:pStyle w:val="Estilo1"/>
        <w:numPr>
          <w:ilvl w:val="0"/>
          <w:numId w:val="0"/>
        </w:numPr>
        <w:spacing w:after="0"/>
        <w:ind w:firstLine="720"/>
        <w:rPr>
          <w:rFonts w:ascii="Verdana" w:hAnsi="Verdana"/>
          <w:i/>
          <w:sz w:val="20"/>
          <w:szCs w:val="20"/>
          <w:lang w:val="es-ES_tradnl"/>
        </w:rPr>
      </w:pPr>
      <w:r w:rsidRPr="00A86845">
        <w:rPr>
          <w:rFonts w:ascii="Verdana" w:hAnsi="Verdana"/>
          <w:i/>
          <w:sz w:val="20"/>
          <w:szCs w:val="20"/>
          <w:lang w:val="es-ES_tradnl"/>
        </w:rPr>
        <w:t>Violación del art</w:t>
      </w:r>
      <w:r w:rsidR="00602D98">
        <w:rPr>
          <w:rFonts w:ascii="Verdana" w:hAnsi="Verdana"/>
          <w:i/>
          <w:sz w:val="20"/>
          <w:szCs w:val="20"/>
          <w:lang w:val="es-ES_tradnl"/>
        </w:rPr>
        <w:t>ículo</w:t>
      </w:r>
      <w:r w:rsidRPr="00A86845">
        <w:rPr>
          <w:rFonts w:ascii="Verdana" w:hAnsi="Verdana"/>
          <w:i/>
          <w:sz w:val="20"/>
          <w:szCs w:val="20"/>
          <w:lang w:val="es-ES_tradnl"/>
        </w:rPr>
        <w:t xml:space="preserve"> 7.2 de la Convención</w:t>
      </w:r>
    </w:p>
    <w:p w:rsidR="0008578C" w:rsidRPr="00A86845" w:rsidRDefault="0008578C" w:rsidP="00F218AA">
      <w:pPr>
        <w:pStyle w:val="Estilo1"/>
        <w:numPr>
          <w:ilvl w:val="0"/>
          <w:numId w:val="0"/>
        </w:numPr>
        <w:spacing w:after="0"/>
        <w:ind w:firstLine="720"/>
        <w:rPr>
          <w:rFonts w:ascii="Verdana" w:hAnsi="Verdana"/>
          <w:sz w:val="20"/>
          <w:szCs w:val="20"/>
          <w:lang w:val="es-ES_tradnl"/>
        </w:rPr>
      </w:pPr>
    </w:p>
    <w:p w:rsidR="002A2437" w:rsidRDefault="002A2437" w:rsidP="00F218AA">
      <w:pPr>
        <w:pStyle w:val="Estilo1"/>
        <w:spacing w:after="0"/>
        <w:rPr>
          <w:rFonts w:ascii="Verdana" w:hAnsi="Verdana"/>
          <w:sz w:val="20"/>
          <w:szCs w:val="20"/>
          <w:lang w:val="es-ES_tradnl"/>
        </w:rPr>
      </w:pPr>
      <w:r w:rsidRPr="00A86845">
        <w:rPr>
          <w:rFonts w:ascii="Verdana" w:hAnsi="Verdana"/>
          <w:sz w:val="20"/>
          <w:szCs w:val="20"/>
          <w:lang w:val="es-ES_tradnl"/>
        </w:rPr>
        <w:t>D</w:t>
      </w:r>
      <w:r w:rsidR="00F6058A" w:rsidRPr="00A86845">
        <w:rPr>
          <w:rFonts w:ascii="Verdana" w:hAnsi="Verdana"/>
          <w:sz w:val="20"/>
          <w:szCs w:val="20"/>
          <w:lang w:val="es-ES_tradnl"/>
        </w:rPr>
        <w:t xml:space="preserve">e acuerdo con la </w:t>
      </w:r>
      <w:r w:rsidR="00C518BE">
        <w:rPr>
          <w:rFonts w:ascii="Verdana" w:hAnsi="Verdana"/>
          <w:sz w:val="20"/>
          <w:szCs w:val="20"/>
          <w:lang w:val="es-ES_tradnl"/>
        </w:rPr>
        <w:t>S</w:t>
      </w:r>
      <w:r w:rsidR="00F6058A" w:rsidRPr="00A86845">
        <w:rPr>
          <w:rFonts w:ascii="Verdana" w:hAnsi="Verdana"/>
          <w:sz w:val="20"/>
          <w:szCs w:val="20"/>
          <w:lang w:val="es-ES_tradnl"/>
        </w:rPr>
        <w:t>entencia (</w:t>
      </w:r>
      <w:proofErr w:type="spellStart"/>
      <w:r w:rsidR="00F6058A" w:rsidRPr="00A86845">
        <w:rPr>
          <w:rFonts w:ascii="Verdana" w:hAnsi="Verdana"/>
          <w:sz w:val="20"/>
          <w:szCs w:val="20"/>
          <w:lang w:val="es-ES_tradnl"/>
        </w:rPr>
        <w:t>párrs</w:t>
      </w:r>
      <w:proofErr w:type="spellEnd"/>
      <w:r w:rsidR="00F6058A" w:rsidRPr="00A86845">
        <w:rPr>
          <w:rFonts w:ascii="Verdana" w:hAnsi="Verdana"/>
          <w:sz w:val="20"/>
          <w:szCs w:val="20"/>
          <w:lang w:val="es-ES_tradnl"/>
        </w:rPr>
        <w:t>. 259 a 262)</w:t>
      </w:r>
      <w:r w:rsidR="00CA29D2" w:rsidRPr="00A86845">
        <w:rPr>
          <w:rFonts w:ascii="Verdana" w:hAnsi="Verdana"/>
          <w:sz w:val="20"/>
          <w:szCs w:val="20"/>
          <w:lang w:val="es-ES_tradnl"/>
        </w:rPr>
        <w:t xml:space="preserve"> no se habría violado el art. 7.</w:t>
      </w:r>
      <w:r w:rsidR="00F6058A" w:rsidRPr="00A86845">
        <w:rPr>
          <w:rFonts w:ascii="Verdana" w:hAnsi="Verdana"/>
          <w:sz w:val="20"/>
          <w:szCs w:val="20"/>
          <w:lang w:val="es-ES_tradnl"/>
        </w:rPr>
        <w:t>2 de la Convención, que dispone lo siguiente: “Nadie puede ser privado de su libertad física, salvo por las causas y en las condiciones fijadas de ant</w:t>
      </w:r>
      <w:r w:rsidR="009851D0" w:rsidRPr="00A86845">
        <w:rPr>
          <w:rFonts w:ascii="Verdana" w:hAnsi="Verdana"/>
          <w:sz w:val="20"/>
          <w:szCs w:val="20"/>
          <w:lang w:val="es-ES_tradnl"/>
        </w:rPr>
        <w:t xml:space="preserve">emano por las Constituciones </w:t>
      </w:r>
      <w:r w:rsidR="00C518BE">
        <w:rPr>
          <w:rFonts w:ascii="Verdana" w:hAnsi="Verdana"/>
          <w:sz w:val="20"/>
          <w:szCs w:val="20"/>
          <w:lang w:val="es-ES_tradnl"/>
        </w:rPr>
        <w:t>P</w:t>
      </w:r>
      <w:r w:rsidR="009851D0" w:rsidRPr="00A86845">
        <w:rPr>
          <w:rFonts w:ascii="Verdana" w:hAnsi="Verdana"/>
          <w:sz w:val="20"/>
          <w:szCs w:val="20"/>
          <w:lang w:val="es-ES_tradnl"/>
        </w:rPr>
        <w:t>o</w:t>
      </w:r>
      <w:r w:rsidR="00F6058A" w:rsidRPr="00A86845">
        <w:rPr>
          <w:rFonts w:ascii="Verdana" w:hAnsi="Verdana"/>
          <w:sz w:val="20"/>
          <w:szCs w:val="20"/>
          <w:lang w:val="es-ES_tradnl"/>
        </w:rPr>
        <w:t>líticas de los Estados Partes o por las leyes dictadas conforme a ellas”</w:t>
      </w:r>
      <w:r w:rsidR="00C518BE">
        <w:rPr>
          <w:rFonts w:ascii="Verdana" w:hAnsi="Verdana"/>
          <w:sz w:val="20"/>
          <w:szCs w:val="20"/>
          <w:lang w:val="es-ES_tradnl"/>
        </w:rPr>
        <w:t>.</w:t>
      </w:r>
      <w:r w:rsidR="00F6058A" w:rsidRPr="00A86845">
        <w:rPr>
          <w:rFonts w:ascii="Verdana" w:hAnsi="Verdana"/>
          <w:sz w:val="20"/>
          <w:szCs w:val="20"/>
          <w:lang w:val="es-ES_tradnl"/>
        </w:rPr>
        <w:t xml:space="preserve"> En la </w:t>
      </w:r>
      <w:r w:rsidR="00C518BE">
        <w:rPr>
          <w:rFonts w:ascii="Verdana" w:hAnsi="Verdana"/>
          <w:sz w:val="20"/>
          <w:szCs w:val="20"/>
          <w:lang w:val="es-ES_tradnl"/>
        </w:rPr>
        <w:t>S</w:t>
      </w:r>
      <w:r w:rsidR="00F6058A" w:rsidRPr="00A86845">
        <w:rPr>
          <w:rFonts w:ascii="Verdana" w:hAnsi="Verdana"/>
          <w:sz w:val="20"/>
          <w:szCs w:val="20"/>
          <w:lang w:val="es-ES_tradnl"/>
        </w:rPr>
        <w:t>entencia no consta ninguna disposición constitucional ni legal que habilite esta privación de libertad. En primer lugar, el art</w:t>
      </w:r>
      <w:r w:rsidR="00C518BE">
        <w:rPr>
          <w:rFonts w:ascii="Verdana" w:hAnsi="Verdana"/>
          <w:sz w:val="20"/>
          <w:szCs w:val="20"/>
          <w:lang w:val="es-ES_tradnl"/>
        </w:rPr>
        <w:t>ículo</w:t>
      </w:r>
      <w:r w:rsidR="00F6058A" w:rsidRPr="00A86845">
        <w:rPr>
          <w:rFonts w:ascii="Verdana" w:hAnsi="Verdana"/>
          <w:sz w:val="20"/>
          <w:szCs w:val="20"/>
          <w:lang w:val="es-ES_tradnl"/>
        </w:rPr>
        <w:t xml:space="preserve"> 2.24 (f) de la Constitución (citado en el párr. 240 de la </w:t>
      </w:r>
      <w:r w:rsidR="00C518BE">
        <w:rPr>
          <w:rFonts w:ascii="Verdana" w:hAnsi="Verdana"/>
          <w:sz w:val="20"/>
          <w:szCs w:val="20"/>
          <w:lang w:val="es-ES_tradnl"/>
        </w:rPr>
        <w:t>S</w:t>
      </w:r>
      <w:r w:rsidR="00F6058A" w:rsidRPr="00A86845">
        <w:rPr>
          <w:rFonts w:ascii="Verdana" w:hAnsi="Verdana"/>
          <w:sz w:val="20"/>
          <w:szCs w:val="20"/>
          <w:lang w:val="es-ES_tradnl"/>
        </w:rPr>
        <w:t>entencia) no hace</w:t>
      </w:r>
      <w:r w:rsidR="009851D0" w:rsidRPr="00A86845">
        <w:rPr>
          <w:rFonts w:ascii="Verdana" w:hAnsi="Verdana"/>
          <w:sz w:val="20"/>
          <w:szCs w:val="20"/>
          <w:lang w:val="es-ES_tradnl"/>
        </w:rPr>
        <w:t xml:space="preserve"> referencia alguna a la solicitud de extradición como causa legítima de privación de libertad. En segundo lugar, tanto la disposición legal citada en el párr. 241 (art</w:t>
      </w:r>
      <w:r w:rsidR="00C518BE">
        <w:rPr>
          <w:rFonts w:ascii="Verdana" w:hAnsi="Verdana"/>
          <w:sz w:val="20"/>
          <w:szCs w:val="20"/>
          <w:lang w:val="es-ES_tradnl"/>
        </w:rPr>
        <w:t>ículo</w:t>
      </w:r>
      <w:r w:rsidR="00C518BE" w:rsidRPr="00A86845">
        <w:rPr>
          <w:rFonts w:ascii="Verdana" w:hAnsi="Verdana"/>
          <w:sz w:val="20"/>
          <w:szCs w:val="20"/>
          <w:lang w:val="es-ES_tradnl"/>
        </w:rPr>
        <w:t xml:space="preserve"> </w:t>
      </w:r>
      <w:r w:rsidR="009851D0" w:rsidRPr="00A86845">
        <w:rPr>
          <w:rFonts w:ascii="Verdana" w:hAnsi="Verdana"/>
          <w:sz w:val="20"/>
          <w:szCs w:val="20"/>
          <w:lang w:val="es-ES_tradnl"/>
        </w:rPr>
        <w:t>523 del Código P</w:t>
      </w:r>
      <w:r w:rsidR="0095632C">
        <w:rPr>
          <w:rFonts w:ascii="Verdana" w:hAnsi="Verdana"/>
          <w:sz w:val="20"/>
          <w:szCs w:val="20"/>
          <w:lang w:val="es-ES_tradnl"/>
        </w:rPr>
        <w:t>rocesal Penal peruano) como el T</w:t>
      </w:r>
      <w:r w:rsidR="009851D0" w:rsidRPr="00A86845">
        <w:rPr>
          <w:rFonts w:ascii="Verdana" w:hAnsi="Verdana"/>
          <w:sz w:val="20"/>
          <w:szCs w:val="20"/>
          <w:lang w:val="es-ES_tradnl"/>
        </w:rPr>
        <w:t xml:space="preserve">ratado de </w:t>
      </w:r>
      <w:r w:rsidR="0095632C">
        <w:rPr>
          <w:rFonts w:ascii="Verdana" w:hAnsi="Verdana"/>
          <w:sz w:val="20"/>
          <w:szCs w:val="20"/>
          <w:lang w:val="es-ES_tradnl"/>
        </w:rPr>
        <w:t>E</w:t>
      </w:r>
      <w:r w:rsidR="009851D0" w:rsidRPr="00A86845">
        <w:rPr>
          <w:rFonts w:ascii="Verdana" w:hAnsi="Verdana"/>
          <w:sz w:val="20"/>
          <w:szCs w:val="20"/>
          <w:lang w:val="es-ES_tradnl"/>
        </w:rPr>
        <w:t>xtradición entre China y el Perú (art</w:t>
      </w:r>
      <w:r w:rsidR="00C518BE">
        <w:rPr>
          <w:rFonts w:ascii="Verdana" w:hAnsi="Verdana"/>
          <w:sz w:val="20"/>
          <w:szCs w:val="20"/>
          <w:lang w:val="es-ES_tradnl"/>
        </w:rPr>
        <w:t>ículo</w:t>
      </w:r>
      <w:r w:rsidR="009851D0" w:rsidRPr="00A86845">
        <w:rPr>
          <w:rFonts w:ascii="Verdana" w:hAnsi="Verdana"/>
          <w:sz w:val="20"/>
          <w:szCs w:val="20"/>
          <w:lang w:val="es-ES_tradnl"/>
        </w:rPr>
        <w:t xml:space="preserve"> 9, citado en el párr. 239) se refieren a una situación distinta de la del presente caso: a lo que la normativa interna peruana llama </w:t>
      </w:r>
      <w:r w:rsidR="00602D98">
        <w:rPr>
          <w:rFonts w:ascii="Verdana" w:hAnsi="Verdana"/>
          <w:sz w:val="20"/>
          <w:szCs w:val="20"/>
          <w:lang w:val="es-ES_tradnl"/>
        </w:rPr>
        <w:t>“</w:t>
      </w:r>
      <w:r w:rsidR="009851D0" w:rsidRPr="00A86845">
        <w:rPr>
          <w:rFonts w:ascii="Verdana" w:hAnsi="Verdana"/>
          <w:sz w:val="20"/>
          <w:szCs w:val="20"/>
          <w:lang w:val="es-ES_tradnl"/>
        </w:rPr>
        <w:t>arresto provisorio o pre-extradición” y el tratado llama “detención preventiva” solicitada “antes de la presentación de la solicitud de extradición”, que debe cesar si “transcurre el plazo de treinta días para la presentación formal de la demanda de extradición” (art</w:t>
      </w:r>
      <w:r w:rsidR="00602D98">
        <w:rPr>
          <w:rFonts w:ascii="Verdana" w:hAnsi="Verdana"/>
          <w:sz w:val="20"/>
          <w:szCs w:val="20"/>
          <w:lang w:val="es-ES_tradnl"/>
        </w:rPr>
        <w:t>ículo</w:t>
      </w:r>
      <w:r w:rsidR="009851D0" w:rsidRPr="00555E11">
        <w:rPr>
          <w:rFonts w:ascii="Verdana" w:hAnsi="Verdana"/>
          <w:sz w:val="20"/>
          <w:szCs w:val="20"/>
          <w:lang w:val="es-ES_tradnl"/>
        </w:rPr>
        <w:t xml:space="preserve"> 523</w:t>
      </w:r>
      <w:r w:rsidR="00602D98">
        <w:rPr>
          <w:rFonts w:ascii="Verdana" w:hAnsi="Verdana"/>
          <w:sz w:val="20"/>
          <w:szCs w:val="20"/>
          <w:lang w:val="es-ES_tradnl"/>
        </w:rPr>
        <w:t>.6</w:t>
      </w:r>
      <w:r w:rsidR="009851D0" w:rsidRPr="00555E11">
        <w:rPr>
          <w:rFonts w:ascii="Verdana" w:hAnsi="Verdana"/>
          <w:sz w:val="20"/>
          <w:szCs w:val="20"/>
          <w:lang w:val="es-ES_tradnl"/>
        </w:rPr>
        <w:t xml:space="preserve"> </w:t>
      </w:r>
      <w:r w:rsidR="00602D98">
        <w:rPr>
          <w:rFonts w:ascii="Verdana" w:hAnsi="Verdana"/>
          <w:sz w:val="20"/>
          <w:szCs w:val="20"/>
          <w:lang w:val="es-ES_tradnl"/>
        </w:rPr>
        <w:t>del Código Procesal Penal peruano</w:t>
      </w:r>
      <w:r w:rsidR="009851D0" w:rsidRPr="00555E11">
        <w:rPr>
          <w:rFonts w:ascii="Verdana" w:hAnsi="Verdana"/>
          <w:sz w:val="20"/>
          <w:szCs w:val="20"/>
          <w:lang w:val="es-ES_tradnl"/>
        </w:rPr>
        <w:t>) o “si la autoridad competente de la Parte Requerida no hubiese recibido la solicitud formal de extradición dentro de un período de sesenta días después de la detención de la persona reclamada</w:t>
      </w:r>
      <w:r w:rsidR="00CA29D2" w:rsidRPr="00555E11">
        <w:rPr>
          <w:rFonts w:ascii="Verdana" w:hAnsi="Verdana"/>
          <w:sz w:val="20"/>
          <w:szCs w:val="20"/>
          <w:lang w:val="es-ES_tradnl"/>
        </w:rPr>
        <w:t>” que</w:t>
      </w:r>
      <w:r w:rsidR="009851D0" w:rsidRPr="00555E11">
        <w:rPr>
          <w:rFonts w:ascii="Verdana" w:hAnsi="Verdana"/>
          <w:sz w:val="20"/>
          <w:szCs w:val="20"/>
          <w:lang w:val="es-ES_tradnl"/>
        </w:rPr>
        <w:t xml:space="preserve"> </w:t>
      </w:r>
      <w:r w:rsidR="00CA29D2" w:rsidRPr="00555E11">
        <w:rPr>
          <w:rFonts w:ascii="Verdana" w:hAnsi="Verdana"/>
          <w:sz w:val="20"/>
          <w:szCs w:val="20"/>
          <w:lang w:val="es-ES_tradnl"/>
        </w:rPr>
        <w:t>“</w:t>
      </w:r>
      <w:r w:rsidR="009851D0" w:rsidRPr="00555E11">
        <w:rPr>
          <w:rFonts w:ascii="Verdana" w:hAnsi="Verdana"/>
          <w:sz w:val="20"/>
          <w:szCs w:val="20"/>
          <w:lang w:val="es-ES_tradnl"/>
        </w:rPr>
        <w:t>podrá extenderse por treinta días más cuando la Parte Requirente exponga razones justificables” (</w:t>
      </w:r>
      <w:r w:rsidR="00602D98">
        <w:rPr>
          <w:rFonts w:ascii="Verdana" w:hAnsi="Verdana"/>
          <w:sz w:val="20"/>
          <w:szCs w:val="20"/>
          <w:lang w:val="es-ES_tradnl"/>
        </w:rPr>
        <w:t>artículo 9.4 del Tratado de Extradición entre China y el Perú</w:t>
      </w:r>
      <w:r w:rsidR="009851D0" w:rsidRPr="00555E11">
        <w:rPr>
          <w:rFonts w:ascii="Verdana" w:hAnsi="Verdana"/>
          <w:sz w:val="20"/>
          <w:szCs w:val="20"/>
          <w:lang w:val="es-ES_tradnl"/>
        </w:rPr>
        <w:t>).</w:t>
      </w:r>
    </w:p>
    <w:p w:rsidR="0008578C" w:rsidRPr="00555E11" w:rsidRDefault="0008578C" w:rsidP="00F218AA">
      <w:pPr>
        <w:pStyle w:val="Estilo1"/>
        <w:numPr>
          <w:ilvl w:val="0"/>
          <w:numId w:val="0"/>
        </w:numPr>
        <w:spacing w:after="0"/>
        <w:rPr>
          <w:rFonts w:ascii="Verdana" w:hAnsi="Verdana"/>
          <w:sz w:val="20"/>
          <w:szCs w:val="20"/>
          <w:lang w:val="es-ES_tradnl"/>
        </w:rPr>
      </w:pPr>
    </w:p>
    <w:p w:rsidR="009851D0" w:rsidRDefault="009851D0" w:rsidP="00F218AA">
      <w:pPr>
        <w:pStyle w:val="Estilo1"/>
        <w:spacing w:after="0"/>
        <w:rPr>
          <w:rFonts w:ascii="Verdana" w:hAnsi="Verdana"/>
          <w:sz w:val="20"/>
          <w:szCs w:val="20"/>
          <w:lang w:val="es-ES_tradnl"/>
        </w:rPr>
      </w:pPr>
      <w:r w:rsidRPr="00555E11">
        <w:rPr>
          <w:rFonts w:ascii="Verdana" w:hAnsi="Verdana"/>
          <w:sz w:val="20"/>
          <w:szCs w:val="20"/>
          <w:lang w:val="es-ES_tradnl"/>
        </w:rPr>
        <w:t xml:space="preserve">Falta, entonces, el fundamento constitucional o legal para la privación de libertad. </w:t>
      </w:r>
      <w:r w:rsidR="00CA29D2" w:rsidRPr="00555E11">
        <w:rPr>
          <w:rFonts w:ascii="Verdana" w:hAnsi="Verdana"/>
          <w:sz w:val="20"/>
          <w:szCs w:val="20"/>
          <w:lang w:val="es-ES_tradnl"/>
        </w:rPr>
        <w:t>P</w:t>
      </w:r>
      <w:r w:rsidR="000A539A" w:rsidRPr="00555E11">
        <w:rPr>
          <w:rFonts w:ascii="Verdana" w:hAnsi="Verdana"/>
          <w:sz w:val="20"/>
          <w:szCs w:val="20"/>
          <w:lang w:val="es-ES_tradnl"/>
        </w:rPr>
        <w:t>ara que ésta hubiese sido legítima tendría que haber existido un</w:t>
      </w:r>
      <w:r w:rsidR="00CA29D2" w:rsidRPr="00555E11">
        <w:rPr>
          <w:rFonts w:ascii="Verdana" w:hAnsi="Verdana"/>
          <w:sz w:val="20"/>
          <w:szCs w:val="20"/>
          <w:lang w:val="es-ES_tradnl"/>
        </w:rPr>
        <w:t>a norma legislativa que previera</w:t>
      </w:r>
      <w:r w:rsidR="000A539A" w:rsidRPr="00555E11">
        <w:rPr>
          <w:rFonts w:ascii="Verdana" w:hAnsi="Verdana"/>
          <w:sz w:val="20"/>
          <w:szCs w:val="20"/>
          <w:lang w:val="es-ES_tradnl"/>
        </w:rPr>
        <w:t xml:space="preserve"> las condiciones de la privación de libertad en caso de solicitud de extradición. Se ha violado, en consecuencia, el art</w:t>
      </w:r>
      <w:r w:rsidR="00602D98">
        <w:rPr>
          <w:rFonts w:ascii="Verdana" w:hAnsi="Verdana"/>
          <w:sz w:val="20"/>
          <w:szCs w:val="20"/>
          <w:lang w:val="es-ES_tradnl"/>
        </w:rPr>
        <w:t>ículo</w:t>
      </w:r>
      <w:r w:rsidR="000A539A" w:rsidRPr="00555E11">
        <w:rPr>
          <w:rFonts w:ascii="Verdana" w:hAnsi="Verdana"/>
          <w:sz w:val="20"/>
          <w:szCs w:val="20"/>
          <w:lang w:val="es-ES_tradnl"/>
        </w:rPr>
        <w:t xml:space="preserve"> 7.2 de la Convención.</w:t>
      </w:r>
    </w:p>
    <w:p w:rsidR="0008578C" w:rsidRPr="00555E11" w:rsidRDefault="0008578C" w:rsidP="00F218AA">
      <w:pPr>
        <w:pStyle w:val="Estilo1"/>
        <w:numPr>
          <w:ilvl w:val="0"/>
          <w:numId w:val="0"/>
        </w:numPr>
        <w:spacing w:after="0"/>
        <w:rPr>
          <w:rFonts w:ascii="Verdana" w:hAnsi="Verdana"/>
          <w:sz w:val="20"/>
          <w:szCs w:val="20"/>
          <w:lang w:val="es-ES_tradnl"/>
        </w:rPr>
      </w:pPr>
    </w:p>
    <w:p w:rsidR="002A2437" w:rsidRDefault="002A2437" w:rsidP="00F218AA">
      <w:pPr>
        <w:pStyle w:val="Estilo1"/>
        <w:numPr>
          <w:ilvl w:val="0"/>
          <w:numId w:val="0"/>
        </w:numPr>
        <w:spacing w:after="0"/>
        <w:ind w:firstLine="720"/>
        <w:rPr>
          <w:rFonts w:ascii="Verdana" w:hAnsi="Verdana"/>
          <w:i/>
          <w:sz w:val="20"/>
          <w:szCs w:val="20"/>
          <w:lang w:val="es-ES_tradnl"/>
        </w:rPr>
      </w:pPr>
      <w:r w:rsidRPr="00555E11">
        <w:rPr>
          <w:rFonts w:ascii="Verdana" w:hAnsi="Verdana"/>
          <w:i/>
          <w:sz w:val="20"/>
          <w:szCs w:val="20"/>
          <w:lang w:val="es-ES_tradnl"/>
        </w:rPr>
        <w:t>Incumplimiento del art</w:t>
      </w:r>
      <w:r w:rsidR="00602D98">
        <w:rPr>
          <w:rFonts w:ascii="Verdana" w:hAnsi="Verdana"/>
          <w:i/>
          <w:sz w:val="20"/>
          <w:szCs w:val="20"/>
          <w:lang w:val="es-ES_tradnl"/>
        </w:rPr>
        <w:t>ículo</w:t>
      </w:r>
      <w:r w:rsidRPr="00555E11">
        <w:rPr>
          <w:rFonts w:ascii="Verdana" w:hAnsi="Verdana"/>
          <w:i/>
          <w:sz w:val="20"/>
          <w:szCs w:val="20"/>
          <w:lang w:val="es-ES_tradnl"/>
        </w:rPr>
        <w:t xml:space="preserve"> 2 de la Convención</w:t>
      </w:r>
    </w:p>
    <w:p w:rsidR="0008578C" w:rsidRPr="00555E11" w:rsidRDefault="0008578C" w:rsidP="00F218AA">
      <w:pPr>
        <w:pStyle w:val="Estilo1"/>
        <w:numPr>
          <w:ilvl w:val="0"/>
          <w:numId w:val="0"/>
        </w:numPr>
        <w:spacing w:after="0"/>
        <w:ind w:firstLine="720"/>
        <w:rPr>
          <w:rFonts w:ascii="Verdana" w:hAnsi="Verdana"/>
          <w:sz w:val="20"/>
          <w:szCs w:val="20"/>
          <w:lang w:val="es-ES_tradnl"/>
        </w:rPr>
      </w:pPr>
    </w:p>
    <w:p w:rsidR="002A2437" w:rsidRDefault="002A2437" w:rsidP="00F218AA">
      <w:pPr>
        <w:pStyle w:val="Estilo1"/>
        <w:spacing w:after="0"/>
        <w:rPr>
          <w:rFonts w:ascii="Verdana" w:hAnsi="Verdana"/>
          <w:sz w:val="20"/>
          <w:szCs w:val="20"/>
          <w:lang w:val="es-ES_tradnl"/>
        </w:rPr>
      </w:pPr>
      <w:r w:rsidRPr="00555E11">
        <w:rPr>
          <w:rFonts w:ascii="Verdana" w:hAnsi="Verdana"/>
          <w:sz w:val="20"/>
          <w:szCs w:val="20"/>
          <w:lang w:val="es-ES_tradnl"/>
        </w:rPr>
        <w:t>D</w:t>
      </w:r>
      <w:r w:rsidR="000A539A" w:rsidRPr="00555E11">
        <w:rPr>
          <w:rFonts w:ascii="Verdana" w:hAnsi="Verdana"/>
          <w:sz w:val="20"/>
          <w:szCs w:val="20"/>
          <w:lang w:val="es-ES_tradnl"/>
        </w:rPr>
        <w:t xml:space="preserve">e lo dicho en el apartado anterior se desprende que el Estado peruano ha incumplido su deber de adoptar disposiciones de derecho interno, en la medida en que su práctica en materia de extradición comprende la privación de libertad de la persona cuya extradición se solicita, sin </w:t>
      </w:r>
      <w:r w:rsidR="00CA29D2" w:rsidRPr="00555E11">
        <w:rPr>
          <w:rFonts w:ascii="Verdana" w:hAnsi="Verdana"/>
          <w:sz w:val="20"/>
          <w:szCs w:val="20"/>
          <w:lang w:val="es-ES_tradnl"/>
        </w:rPr>
        <w:t>determin</w:t>
      </w:r>
      <w:r w:rsidR="000A539A" w:rsidRPr="00555E11">
        <w:rPr>
          <w:rFonts w:ascii="Verdana" w:hAnsi="Verdana"/>
          <w:sz w:val="20"/>
          <w:szCs w:val="20"/>
          <w:lang w:val="es-ES_tradnl"/>
        </w:rPr>
        <w:t xml:space="preserve">ar las condiciones en que se puede llevar a cabo la detención ni las condiciones en que debe cumplirse la privación de libertad, ni su duración o la posibilidad de lograr el aseguramiento de la persona mediante la utilización de medidas sustitutivas no privativas de la libertad o menos lesivas de ésta (como el arresto domiciliario a que se encuentra actualmente sometido el </w:t>
      </w:r>
      <w:r w:rsidR="00602D98">
        <w:rPr>
          <w:rFonts w:ascii="Verdana" w:hAnsi="Verdana"/>
          <w:sz w:val="20"/>
          <w:szCs w:val="20"/>
          <w:lang w:val="es-ES_tradnl"/>
        </w:rPr>
        <w:t>señor</w:t>
      </w:r>
      <w:r w:rsidR="000A539A" w:rsidRPr="00555E11">
        <w:rPr>
          <w:rFonts w:ascii="Verdana" w:hAnsi="Verdana"/>
          <w:sz w:val="20"/>
          <w:szCs w:val="20"/>
          <w:lang w:val="es-ES_tradnl"/>
        </w:rPr>
        <w:t xml:space="preserve"> Wong Ho </w:t>
      </w:r>
      <w:proofErr w:type="spellStart"/>
      <w:r w:rsidR="000A539A" w:rsidRPr="00555E11">
        <w:rPr>
          <w:rFonts w:ascii="Verdana" w:hAnsi="Verdana"/>
          <w:sz w:val="20"/>
          <w:szCs w:val="20"/>
          <w:lang w:val="es-ES_tradnl"/>
        </w:rPr>
        <w:t>Wing</w:t>
      </w:r>
      <w:proofErr w:type="spellEnd"/>
      <w:r w:rsidR="00602D98">
        <w:rPr>
          <w:rFonts w:ascii="Verdana" w:hAnsi="Verdana"/>
          <w:sz w:val="20"/>
          <w:szCs w:val="20"/>
          <w:lang w:val="es-ES_tradnl"/>
        </w:rPr>
        <w:t>)</w:t>
      </w:r>
      <w:r w:rsidR="000A539A" w:rsidRPr="00A86845">
        <w:rPr>
          <w:rFonts w:ascii="Verdana" w:hAnsi="Verdana"/>
          <w:sz w:val="20"/>
          <w:szCs w:val="20"/>
          <w:lang w:val="es-ES_tradnl"/>
        </w:rPr>
        <w:t>.</w:t>
      </w:r>
    </w:p>
    <w:p w:rsidR="0008578C" w:rsidRPr="00A86845" w:rsidRDefault="0008578C" w:rsidP="00F218AA">
      <w:pPr>
        <w:pStyle w:val="Estilo1"/>
        <w:numPr>
          <w:ilvl w:val="0"/>
          <w:numId w:val="0"/>
        </w:numPr>
        <w:spacing w:after="0"/>
        <w:rPr>
          <w:rFonts w:ascii="Verdana" w:hAnsi="Verdana"/>
          <w:sz w:val="20"/>
          <w:szCs w:val="20"/>
          <w:lang w:val="es-ES_tradnl"/>
        </w:rPr>
      </w:pPr>
    </w:p>
    <w:p w:rsidR="002A2437" w:rsidRDefault="002A2437" w:rsidP="00F218AA">
      <w:pPr>
        <w:pStyle w:val="Estilo1"/>
        <w:numPr>
          <w:ilvl w:val="0"/>
          <w:numId w:val="0"/>
        </w:numPr>
        <w:spacing w:after="0"/>
        <w:ind w:left="720"/>
        <w:rPr>
          <w:rFonts w:ascii="Verdana" w:hAnsi="Verdana"/>
          <w:i/>
          <w:sz w:val="20"/>
          <w:szCs w:val="20"/>
          <w:lang w:val="es-ES_tradnl"/>
        </w:rPr>
      </w:pPr>
      <w:r w:rsidRPr="00A86845">
        <w:rPr>
          <w:rFonts w:ascii="Verdana" w:hAnsi="Verdana"/>
          <w:i/>
          <w:sz w:val="20"/>
          <w:szCs w:val="20"/>
          <w:lang w:val="es-ES_tradnl"/>
        </w:rPr>
        <w:t xml:space="preserve">Inexistencia del deber de revisar inmediatamente la privación de libertad del señor Wong Ho </w:t>
      </w:r>
      <w:proofErr w:type="spellStart"/>
      <w:r w:rsidRPr="00A86845">
        <w:rPr>
          <w:rFonts w:ascii="Verdana" w:hAnsi="Verdana"/>
          <w:i/>
          <w:sz w:val="20"/>
          <w:szCs w:val="20"/>
          <w:lang w:val="es-ES_tradnl"/>
        </w:rPr>
        <w:t>Wing</w:t>
      </w:r>
      <w:proofErr w:type="spellEnd"/>
    </w:p>
    <w:p w:rsidR="0008578C" w:rsidRPr="00A86845" w:rsidRDefault="0008578C" w:rsidP="00F218AA">
      <w:pPr>
        <w:pStyle w:val="Estilo1"/>
        <w:numPr>
          <w:ilvl w:val="0"/>
          <w:numId w:val="0"/>
        </w:numPr>
        <w:spacing w:after="0"/>
        <w:ind w:left="720"/>
        <w:rPr>
          <w:rFonts w:ascii="Verdana" w:hAnsi="Verdana"/>
          <w:i/>
          <w:sz w:val="20"/>
          <w:szCs w:val="20"/>
          <w:lang w:val="es-ES_tradnl"/>
        </w:rPr>
      </w:pPr>
    </w:p>
    <w:p w:rsidR="002A2437" w:rsidRPr="00A86845" w:rsidRDefault="000A539A" w:rsidP="00F218AA">
      <w:pPr>
        <w:pStyle w:val="Estilo1"/>
        <w:spacing w:after="0"/>
        <w:rPr>
          <w:rFonts w:ascii="Verdana" w:hAnsi="Verdana"/>
          <w:sz w:val="20"/>
          <w:szCs w:val="20"/>
          <w:lang w:val="es-ES_tradnl"/>
        </w:rPr>
      </w:pPr>
      <w:r w:rsidRPr="00A86845">
        <w:rPr>
          <w:rFonts w:ascii="Verdana" w:hAnsi="Verdana"/>
          <w:sz w:val="20"/>
          <w:szCs w:val="20"/>
          <w:lang w:val="es-ES_tradnl"/>
        </w:rPr>
        <w:t xml:space="preserve">Por último, entiendo que el deber que tiene el Estado peruano no es el de “revisar inmediatamente la privación de libertad del señor Wong Ho </w:t>
      </w:r>
      <w:proofErr w:type="spellStart"/>
      <w:r w:rsidRPr="00A86845">
        <w:rPr>
          <w:rFonts w:ascii="Verdana" w:hAnsi="Verdana"/>
          <w:sz w:val="20"/>
          <w:szCs w:val="20"/>
          <w:lang w:val="es-ES_tradnl"/>
        </w:rPr>
        <w:t>Wing</w:t>
      </w:r>
      <w:proofErr w:type="spellEnd"/>
      <w:r w:rsidRPr="00A86845">
        <w:rPr>
          <w:rFonts w:ascii="Verdana" w:hAnsi="Verdana"/>
          <w:sz w:val="20"/>
          <w:szCs w:val="20"/>
          <w:lang w:val="es-ES_tradnl"/>
        </w:rPr>
        <w:t>”, sino el de pronunciarse en definitiva y sin demora sobre la solicitud de extradición. En caso de que se deniegue</w:t>
      </w:r>
      <w:r w:rsidR="00CA29D2" w:rsidRPr="00A86845">
        <w:rPr>
          <w:rFonts w:ascii="Verdana" w:hAnsi="Verdana"/>
          <w:sz w:val="20"/>
          <w:szCs w:val="20"/>
          <w:lang w:val="es-ES_tradnl"/>
        </w:rPr>
        <w:t>, e</w:t>
      </w:r>
      <w:r w:rsidRPr="00A86845">
        <w:rPr>
          <w:rFonts w:ascii="Verdana" w:hAnsi="Verdana"/>
          <w:sz w:val="20"/>
          <w:szCs w:val="20"/>
          <w:lang w:val="es-ES_tradnl"/>
        </w:rPr>
        <w:t xml:space="preserve">l </w:t>
      </w:r>
      <w:r w:rsidR="00602D98">
        <w:rPr>
          <w:rFonts w:ascii="Verdana" w:hAnsi="Verdana"/>
          <w:sz w:val="20"/>
          <w:szCs w:val="20"/>
          <w:lang w:val="es-ES_tradnl"/>
        </w:rPr>
        <w:t>señor</w:t>
      </w:r>
      <w:r w:rsidRPr="00A86845">
        <w:rPr>
          <w:rFonts w:ascii="Verdana" w:hAnsi="Verdana"/>
          <w:sz w:val="20"/>
          <w:szCs w:val="20"/>
          <w:lang w:val="es-ES_tradnl"/>
        </w:rPr>
        <w:t xml:space="preserve"> Wong Ho </w:t>
      </w:r>
      <w:proofErr w:type="spellStart"/>
      <w:r w:rsidRPr="00A86845">
        <w:rPr>
          <w:rFonts w:ascii="Verdana" w:hAnsi="Verdana"/>
          <w:sz w:val="20"/>
          <w:szCs w:val="20"/>
          <w:lang w:val="es-ES_tradnl"/>
        </w:rPr>
        <w:t>Wing</w:t>
      </w:r>
      <w:proofErr w:type="spellEnd"/>
      <w:r w:rsidRPr="00A86845">
        <w:rPr>
          <w:rFonts w:ascii="Verdana" w:hAnsi="Verdana"/>
          <w:sz w:val="20"/>
          <w:szCs w:val="20"/>
          <w:lang w:val="es-ES_tradnl"/>
        </w:rPr>
        <w:t xml:space="preserve"> quedará automáticamente en libertad. En caso de que se otorgue, el </w:t>
      </w:r>
      <w:r w:rsidR="00602D98">
        <w:rPr>
          <w:rFonts w:ascii="Verdana" w:hAnsi="Verdana"/>
          <w:sz w:val="20"/>
          <w:szCs w:val="20"/>
          <w:lang w:val="es-ES_tradnl"/>
        </w:rPr>
        <w:t>señor</w:t>
      </w:r>
      <w:r w:rsidRPr="00A86845">
        <w:rPr>
          <w:rFonts w:ascii="Verdana" w:hAnsi="Verdana"/>
          <w:sz w:val="20"/>
          <w:szCs w:val="20"/>
          <w:lang w:val="es-ES_tradnl"/>
        </w:rPr>
        <w:t xml:space="preserve"> Wong Ho </w:t>
      </w:r>
      <w:proofErr w:type="spellStart"/>
      <w:r w:rsidRPr="00A86845">
        <w:rPr>
          <w:rFonts w:ascii="Verdana" w:hAnsi="Verdana"/>
          <w:sz w:val="20"/>
          <w:szCs w:val="20"/>
          <w:lang w:val="es-ES_tradnl"/>
        </w:rPr>
        <w:t>Wing</w:t>
      </w:r>
      <w:proofErr w:type="spellEnd"/>
      <w:r w:rsidRPr="00A86845">
        <w:rPr>
          <w:rFonts w:ascii="Verdana" w:hAnsi="Verdana"/>
          <w:sz w:val="20"/>
          <w:szCs w:val="20"/>
          <w:lang w:val="es-ES_tradnl"/>
        </w:rPr>
        <w:t xml:space="preserve"> deberá ser entregado a las autoridades de China.</w:t>
      </w:r>
    </w:p>
    <w:p w:rsidR="00602D98" w:rsidRDefault="00602D98" w:rsidP="00F218AA">
      <w:pPr>
        <w:pStyle w:val="Estilo1"/>
        <w:numPr>
          <w:ilvl w:val="0"/>
          <w:numId w:val="0"/>
        </w:numPr>
        <w:spacing w:after="0"/>
        <w:rPr>
          <w:rFonts w:ascii="Verdana" w:hAnsi="Verdana"/>
          <w:i/>
          <w:sz w:val="20"/>
          <w:szCs w:val="20"/>
          <w:lang w:val="es-ES_tradnl"/>
        </w:rPr>
      </w:pPr>
    </w:p>
    <w:p w:rsidR="0008578C" w:rsidRDefault="0008578C" w:rsidP="00F218AA">
      <w:pPr>
        <w:pStyle w:val="Estilo1"/>
        <w:numPr>
          <w:ilvl w:val="0"/>
          <w:numId w:val="0"/>
        </w:numPr>
        <w:spacing w:after="0"/>
        <w:rPr>
          <w:rFonts w:ascii="Verdana" w:hAnsi="Verdana"/>
          <w:i/>
          <w:sz w:val="20"/>
          <w:szCs w:val="20"/>
          <w:lang w:val="es-ES_tradnl"/>
        </w:rPr>
      </w:pPr>
    </w:p>
    <w:p w:rsidR="0008578C" w:rsidRDefault="0008578C" w:rsidP="00F218AA">
      <w:pPr>
        <w:pStyle w:val="Estilo1"/>
        <w:numPr>
          <w:ilvl w:val="0"/>
          <w:numId w:val="0"/>
        </w:numPr>
        <w:spacing w:after="0"/>
        <w:rPr>
          <w:rFonts w:ascii="Verdana" w:hAnsi="Verdana"/>
          <w:i/>
          <w:sz w:val="20"/>
          <w:szCs w:val="20"/>
          <w:lang w:val="es-ES_tradnl"/>
        </w:rPr>
      </w:pPr>
    </w:p>
    <w:p w:rsidR="0008578C" w:rsidRDefault="0008578C" w:rsidP="00F218AA">
      <w:pPr>
        <w:pStyle w:val="Estilo1"/>
        <w:numPr>
          <w:ilvl w:val="0"/>
          <w:numId w:val="0"/>
        </w:numPr>
        <w:spacing w:after="0"/>
        <w:rPr>
          <w:rFonts w:ascii="Verdana" w:hAnsi="Verdana"/>
          <w:i/>
          <w:sz w:val="20"/>
          <w:szCs w:val="20"/>
          <w:lang w:val="es-ES_tradnl"/>
        </w:rPr>
      </w:pPr>
    </w:p>
    <w:p w:rsidR="0008578C" w:rsidRDefault="0008578C" w:rsidP="00F218AA">
      <w:pPr>
        <w:pStyle w:val="Estilo1"/>
        <w:numPr>
          <w:ilvl w:val="0"/>
          <w:numId w:val="0"/>
        </w:numPr>
        <w:spacing w:after="0"/>
        <w:rPr>
          <w:rFonts w:ascii="Verdana" w:hAnsi="Verdana"/>
          <w:i/>
          <w:sz w:val="20"/>
          <w:szCs w:val="20"/>
          <w:lang w:val="es-ES_tradnl"/>
        </w:rPr>
      </w:pPr>
    </w:p>
    <w:p w:rsidR="00555E11" w:rsidRPr="00DF1C08" w:rsidRDefault="00555E11" w:rsidP="00F218AA">
      <w:pPr>
        <w:spacing w:after="0" w:line="240" w:lineRule="auto"/>
        <w:jc w:val="both"/>
        <w:rPr>
          <w:rFonts w:ascii="Verdana" w:hAnsi="Verdana" w:cs="Calibri"/>
          <w:sz w:val="20"/>
          <w:szCs w:val="20"/>
        </w:rPr>
      </w:pPr>
    </w:p>
    <w:p w:rsidR="00555E11" w:rsidRPr="00555E11" w:rsidRDefault="00555E11" w:rsidP="00F218AA">
      <w:pPr>
        <w:spacing w:after="0" w:line="240" w:lineRule="auto"/>
        <w:ind w:left="5103"/>
        <w:jc w:val="center"/>
        <w:rPr>
          <w:rFonts w:ascii="Verdana" w:hAnsi="Verdana" w:cs="Calibri"/>
          <w:sz w:val="20"/>
          <w:szCs w:val="20"/>
        </w:rPr>
      </w:pPr>
      <w:r w:rsidRPr="00555E11">
        <w:rPr>
          <w:rFonts w:ascii="Verdana" w:hAnsi="Verdana"/>
          <w:sz w:val="20"/>
          <w:szCs w:val="20"/>
          <w:lang w:val="es-ES_tradnl"/>
        </w:rPr>
        <w:t xml:space="preserve">Alberto Pérez </w:t>
      </w:r>
      <w:proofErr w:type="spellStart"/>
      <w:r w:rsidRPr="00555E11">
        <w:rPr>
          <w:rFonts w:ascii="Verdana" w:hAnsi="Verdana"/>
          <w:sz w:val="20"/>
          <w:szCs w:val="20"/>
          <w:lang w:val="es-ES_tradnl"/>
        </w:rPr>
        <w:t>Pérez</w:t>
      </w:r>
      <w:proofErr w:type="spellEnd"/>
    </w:p>
    <w:p w:rsidR="00555E11" w:rsidRPr="00DF1C08" w:rsidRDefault="00555E11" w:rsidP="00F218AA">
      <w:pPr>
        <w:spacing w:after="0" w:line="240" w:lineRule="auto"/>
        <w:ind w:left="5103"/>
        <w:jc w:val="center"/>
        <w:rPr>
          <w:rFonts w:ascii="Verdana" w:hAnsi="Verdana" w:cs="Calibri"/>
          <w:sz w:val="20"/>
          <w:szCs w:val="20"/>
        </w:rPr>
      </w:pPr>
      <w:r w:rsidRPr="00DF1C08">
        <w:rPr>
          <w:rFonts w:ascii="Verdana" w:hAnsi="Verdana" w:cs="Calibri"/>
          <w:sz w:val="20"/>
          <w:szCs w:val="20"/>
        </w:rPr>
        <w:t>Juez</w:t>
      </w:r>
    </w:p>
    <w:p w:rsidR="00555E11" w:rsidRPr="00DF1C08" w:rsidRDefault="00555E11" w:rsidP="00F218AA">
      <w:pPr>
        <w:spacing w:after="0" w:line="240" w:lineRule="auto"/>
        <w:rPr>
          <w:rFonts w:ascii="Verdana" w:hAnsi="Verdana"/>
          <w:sz w:val="20"/>
          <w:szCs w:val="20"/>
        </w:rPr>
      </w:pPr>
    </w:p>
    <w:p w:rsidR="00555E11" w:rsidRPr="00DF1C08" w:rsidRDefault="00555E11" w:rsidP="00F218AA">
      <w:pPr>
        <w:pStyle w:val="ListParagraph"/>
        <w:spacing w:after="0" w:line="240" w:lineRule="auto"/>
        <w:ind w:left="0"/>
        <w:rPr>
          <w:rFonts w:ascii="Verdana" w:hAnsi="Verdana" w:cs="Verdana"/>
          <w:sz w:val="20"/>
          <w:szCs w:val="20"/>
          <w:lang w:val="es-MX" w:eastAsia="es-MX"/>
        </w:rPr>
      </w:pPr>
    </w:p>
    <w:p w:rsidR="00555E11" w:rsidRPr="00DF1C08" w:rsidRDefault="00555E11" w:rsidP="00F218AA">
      <w:pPr>
        <w:pStyle w:val="ListParagraph"/>
        <w:spacing w:after="0" w:line="240" w:lineRule="auto"/>
        <w:ind w:left="0" w:right="4585"/>
        <w:rPr>
          <w:rFonts w:ascii="Verdana" w:hAnsi="Verdana" w:cs="Verdana"/>
          <w:sz w:val="20"/>
          <w:szCs w:val="20"/>
          <w:lang w:val="es-MX" w:eastAsia="es-MX"/>
        </w:rPr>
      </w:pPr>
      <w:r w:rsidRPr="00DF1C08">
        <w:rPr>
          <w:rFonts w:ascii="Verdana" w:hAnsi="Verdana" w:cs="Verdana"/>
          <w:sz w:val="20"/>
          <w:szCs w:val="20"/>
          <w:lang w:val="es-MX" w:eastAsia="es-MX"/>
        </w:rPr>
        <w:t>Pablo Saavedra Alessandri</w:t>
      </w:r>
    </w:p>
    <w:p w:rsidR="00555E11" w:rsidRPr="006D7767" w:rsidRDefault="00555E11" w:rsidP="00F218AA">
      <w:pPr>
        <w:pStyle w:val="ListParagraph"/>
        <w:spacing w:after="0" w:line="240" w:lineRule="auto"/>
        <w:ind w:left="0" w:right="4585" w:firstLine="720"/>
        <w:rPr>
          <w:rFonts w:ascii="Verdana" w:hAnsi="Verdana" w:cs="Verdana"/>
          <w:sz w:val="20"/>
          <w:szCs w:val="20"/>
          <w:lang w:val="es-MX" w:eastAsia="es-MX"/>
        </w:rPr>
      </w:pPr>
      <w:r w:rsidRPr="00DF1C08">
        <w:rPr>
          <w:rFonts w:ascii="Verdana" w:hAnsi="Verdana" w:cs="Verdana"/>
          <w:sz w:val="20"/>
          <w:szCs w:val="20"/>
          <w:lang w:val="es-MX" w:eastAsia="es-MX"/>
        </w:rPr>
        <w:t>Secretario</w:t>
      </w:r>
    </w:p>
    <w:p w:rsidR="00555E11" w:rsidRDefault="00555E11" w:rsidP="00F218AA">
      <w:pPr>
        <w:pStyle w:val="Estilo1"/>
        <w:numPr>
          <w:ilvl w:val="0"/>
          <w:numId w:val="0"/>
        </w:numPr>
        <w:spacing w:after="0"/>
        <w:rPr>
          <w:rFonts w:ascii="Verdana" w:hAnsi="Verdana"/>
          <w:i/>
          <w:sz w:val="20"/>
          <w:szCs w:val="20"/>
          <w:lang w:val="es-ES_tradnl"/>
        </w:rPr>
      </w:pPr>
    </w:p>
    <w:p w:rsidR="000A539A" w:rsidRPr="00A86845" w:rsidRDefault="000A539A" w:rsidP="00F218AA">
      <w:pPr>
        <w:pStyle w:val="Estilo1"/>
        <w:numPr>
          <w:ilvl w:val="0"/>
          <w:numId w:val="0"/>
        </w:numPr>
        <w:spacing w:after="0"/>
        <w:rPr>
          <w:rFonts w:ascii="Verdana" w:hAnsi="Verdana"/>
          <w:i/>
          <w:sz w:val="20"/>
          <w:szCs w:val="20"/>
          <w:lang w:val="es-ES_tradnl"/>
        </w:rPr>
      </w:pPr>
    </w:p>
    <w:sectPr w:rsidR="000A539A" w:rsidRPr="00A86845" w:rsidSect="0095632C">
      <w:head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E2" w:rsidRDefault="006E5CE2" w:rsidP="00BD2F6C">
      <w:pPr>
        <w:spacing w:after="0" w:line="240" w:lineRule="auto"/>
      </w:pPr>
      <w:r>
        <w:separator/>
      </w:r>
    </w:p>
  </w:endnote>
  <w:endnote w:type="continuationSeparator" w:id="0">
    <w:p w:rsidR="006E5CE2" w:rsidRDefault="006E5CE2" w:rsidP="00BD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E2" w:rsidRDefault="006E5CE2" w:rsidP="00BD2F6C">
      <w:pPr>
        <w:spacing w:after="0" w:line="240" w:lineRule="auto"/>
      </w:pPr>
      <w:r>
        <w:separator/>
      </w:r>
    </w:p>
  </w:footnote>
  <w:footnote w:type="continuationSeparator" w:id="0">
    <w:p w:rsidR="006E5CE2" w:rsidRDefault="006E5CE2" w:rsidP="00BD2F6C">
      <w:pPr>
        <w:spacing w:after="0" w:line="240" w:lineRule="auto"/>
      </w:pPr>
      <w:r>
        <w:continuationSeparator/>
      </w:r>
    </w:p>
  </w:footnote>
  <w:footnote w:id="1">
    <w:p w:rsidR="00BD2F6C" w:rsidRPr="004D1530" w:rsidRDefault="00BD2F6C" w:rsidP="00A86845">
      <w:pPr>
        <w:pStyle w:val="FootnoteText"/>
        <w:jc w:val="both"/>
        <w:rPr>
          <w:rFonts w:ascii="Verdana" w:hAnsi="Verdana"/>
          <w:sz w:val="16"/>
          <w:szCs w:val="16"/>
        </w:rPr>
      </w:pPr>
      <w:r w:rsidRPr="00A86845">
        <w:rPr>
          <w:rStyle w:val="FootnoteReference"/>
          <w:rFonts w:ascii="Verdana" w:hAnsi="Verdana"/>
          <w:sz w:val="16"/>
          <w:szCs w:val="16"/>
        </w:rPr>
        <w:footnoteRef/>
      </w:r>
      <w:r w:rsidRPr="00A86845">
        <w:rPr>
          <w:rFonts w:ascii="Verdana" w:hAnsi="Verdana"/>
          <w:sz w:val="16"/>
          <w:szCs w:val="16"/>
        </w:rPr>
        <w:t xml:space="preserve"> </w:t>
      </w:r>
      <w:r w:rsidR="00D660B9">
        <w:rPr>
          <w:rFonts w:ascii="Verdana" w:hAnsi="Verdana"/>
          <w:sz w:val="16"/>
          <w:szCs w:val="16"/>
        </w:rPr>
        <w:tab/>
      </w:r>
      <w:r w:rsidRPr="00A86845">
        <w:rPr>
          <w:rFonts w:ascii="Verdana" w:hAnsi="Verdana"/>
          <w:sz w:val="16"/>
          <w:szCs w:val="16"/>
        </w:rPr>
        <w:t xml:space="preserve">Párrafo 31 de </w:t>
      </w:r>
      <w:r w:rsidR="00D660B9" w:rsidRPr="00A86845">
        <w:rPr>
          <w:rFonts w:ascii="Verdana" w:hAnsi="Verdana"/>
          <w:sz w:val="16"/>
          <w:szCs w:val="16"/>
        </w:rPr>
        <w:t>est</w:t>
      </w:r>
      <w:r w:rsidR="00D660B9">
        <w:rPr>
          <w:rFonts w:ascii="Verdana" w:hAnsi="Verdana"/>
          <w:sz w:val="16"/>
          <w:szCs w:val="16"/>
        </w:rPr>
        <w:t>a</w:t>
      </w:r>
      <w:r w:rsidR="00D660B9" w:rsidRPr="00A86845">
        <w:rPr>
          <w:rFonts w:ascii="Verdana" w:hAnsi="Verdana"/>
          <w:sz w:val="16"/>
          <w:szCs w:val="16"/>
        </w:rPr>
        <w:t xml:space="preserve"> </w:t>
      </w:r>
      <w:r w:rsidR="00D660B9">
        <w:rPr>
          <w:rFonts w:ascii="Verdana" w:hAnsi="Verdana"/>
          <w:sz w:val="16"/>
          <w:szCs w:val="16"/>
        </w:rPr>
        <w:t>S</w:t>
      </w:r>
      <w:r w:rsidRPr="00A86845">
        <w:rPr>
          <w:rFonts w:ascii="Verdana" w:hAnsi="Verdana"/>
          <w:sz w:val="16"/>
          <w:szCs w:val="16"/>
        </w:rPr>
        <w:t xml:space="preserve">entencia: “El 24 de febrero de 2010 la Comisión Interamericana, en el marco del proceso ante dicho órgano, solicitó a la Corte la adopción de medidas provisionales a favor de Wong Ho </w:t>
      </w:r>
      <w:proofErr w:type="spellStart"/>
      <w:r w:rsidRPr="00A86845">
        <w:rPr>
          <w:rFonts w:ascii="Verdana" w:hAnsi="Verdana"/>
          <w:sz w:val="16"/>
          <w:szCs w:val="16"/>
        </w:rPr>
        <w:t>Wing</w:t>
      </w:r>
      <w:proofErr w:type="spellEnd"/>
      <w:r w:rsidRPr="00A86845">
        <w:rPr>
          <w:rFonts w:ascii="Verdana" w:hAnsi="Verdana"/>
          <w:sz w:val="16"/>
          <w:szCs w:val="16"/>
        </w:rPr>
        <w:t xml:space="preserve">. Las medidas fueron otorgadas por primera vez en mayo de 2010. Luego de resoluciones de 26 de noviembre de 2010, 4 de marzo y 1 de julio de 2011 que extendieron su vigencia, fueron levantadas en octubre de 2011, tras la decisión del Tribunal Constitucional del Perú de 24 de mayo de ese mismo año, donde se ordenó al Poder Ejecutivo abstenerse de extraditar al señor Wong Ho </w:t>
      </w:r>
      <w:proofErr w:type="spellStart"/>
      <w:r w:rsidRPr="00A86845">
        <w:rPr>
          <w:rFonts w:ascii="Verdana" w:hAnsi="Verdana"/>
          <w:sz w:val="16"/>
          <w:szCs w:val="16"/>
        </w:rPr>
        <w:t>Wing</w:t>
      </w:r>
      <w:proofErr w:type="spellEnd"/>
      <w:r w:rsidRPr="00A86845">
        <w:rPr>
          <w:rFonts w:ascii="Verdana" w:hAnsi="Verdana"/>
          <w:sz w:val="16"/>
          <w:szCs w:val="16"/>
        </w:rPr>
        <w:t xml:space="preserve">. No obstante, el 26 de junio de 2012 esta Corte otorgó nuevamente medidas provisionales a favor del señor Wong Ho </w:t>
      </w:r>
      <w:proofErr w:type="spellStart"/>
      <w:r w:rsidRPr="00A86845">
        <w:rPr>
          <w:rFonts w:ascii="Verdana" w:hAnsi="Verdana"/>
          <w:sz w:val="16"/>
          <w:szCs w:val="16"/>
        </w:rPr>
        <w:t>Wing</w:t>
      </w:r>
      <w:proofErr w:type="spellEnd"/>
      <w:r w:rsidRPr="00A86845">
        <w:rPr>
          <w:rFonts w:ascii="Verdana" w:hAnsi="Verdana"/>
          <w:sz w:val="16"/>
          <w:szCs w:val="16"/>
        </w:rPr>
        <w:t xml:space="preserve"> ante la “incertidumbre del Estado” sobre la posibilidad de extraditarlo, con base en presuntos “hechos nuevos”. Dichas medidas se mantuvieron mediante resoluciones de 6 de diciembre de 2012, 13 de febrero, 22 de mayo y 22 de agosto de 2013, 29 de enero y 31 de marzo de 2014. Tanto en mayo de 2010 como en junio de 2012, las medidas provisionales fueron ordenadas </w:t>
      </w:r>
      <w:r w:rsidRPr="00A86845">
        <w:rPr>
          <w:rFonts w:ascii="Verdana" w:hAnsi="Verdana"/>
          <w:i/>
          <w:sz w:val="16"/>
          <w:szCs w:val="16"/>
        </w:rPr>
        <w:t>para permitir que el sistema interamericano examinara y se pronunciara sobre el presente caso, así como para evitar la frustración del cumplimiento de una eventual determinación por parte de sus órganos. Conforme a la resolución de enero de 2014, las medidas se encuentran vigentes</w:t>
      </w:r>
      <w:r w:rsidR="00D660B9">
        <w:rPr>
          <w:rFonts w:ascii="Verdana" w:hAnsi="Verdana"/>
          <w:i/>
          <w:sz w:val="16"/>
          <w:szCs w:val="16"/>
        </w:rPr>
        <w:t>”</w:t>
      </w:r>
      <w:r w:rsidRPr="00A86845">
        <w:rPr>
          <w:rFonts w:ascii="Verdana" w:hAnsi="Verdana"/>
          <w:sz w:val="16"/>
          <w:szCs w:val="16"/>
        </w:rPr>
        <w:t>.</w:t>
      </w:r>
      <w:r w:rsidR="00D660B9">
        <w:rPr>
          <w:rFonts w:ascii="Verdana" w:hAnsi="Verdana"/>
          <w:sz w:val="16"/>
          <w:szCs w:val="16"/>
        </w:rPr>
        <w:t xml:space="preserve"> (</w:t>
      </w:r>
      <w:r w:rsidR="00A86845">
        <w:rPr>
          <w:rFonts w:ascii="Verdana" w:hAnsi="Verdana"/>
          <w:sz w:val="16"/>
          <w:szCs w:val="16"/>
        </w:rPr>
        <w:t>itálicas</w:t>
      </w:r>
      <w:r w:rsidR="00D660B9">
        <w:rPr>
          <w:rFonts w:ascii="Verdana" w:hAnsi="Verdana"/>
          <w:sz w:val="16"/>
          <w:szCs w:val="16"/>
        </w:rPr>
        <w:t xml:space="preserve"> propi</w:t>
      </w:r>
      <w:r w:rsidR="00A86845">
        <w:rPr>
          <w:rFonts w:ascii="Verdana" w:hAnsi="Verdana"/>
          <w:sz w:val="16"/>
          <w:szCs w:val="16"/>
        </w:rPr>
        <w:t>as</w:t>
      </w:r>
      <w:r w:rsidR="00D660B9">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30" w:rsidRDefault="006E5CE2">
    <w:pPr>
      <w:pStyle w:val="Header"/>
      <w:jc w:val="center"/>
    </w:pPr>
    <w:sdt>
      <w:sdtPr>
        <w:id w:val="-169490546"/>
        <w:docPartObj>
          <w:docPartGallery w:val="Page Numbers (Top of Page)"/>
          <w:docPartUnique/>
        </w:docPartObj>
      </w:sdtPr>
      <w:sdtEndPr>
        <w:rPr>
          <w:noProof/>
        </w:rPr>
      </w:sdtEndPr>
      <w:sdtContent>
        <w:r w:rsidR="004D1530">
          <w:t xml:space="preserve">- </w:t>
        </w:r>
        <w:r w:rsidR="004D1530">
          <w:fldChar w:fldCharType="begin"/>
        </w:r>
        <w:r w:rsidR="004D1530">
          <w:instrText xml:space="preserve"> PAGE   \* MERGEFORMAT </w:instrText>
        </w:r>
        <w:r w:rsidR="004D1530">
          <w:fldChar w:fldCharType="separate"/>
        </w:r>
        <w:r w:rsidR="00834599">
          <w:rPr>
            <w:noProof/>
          </w:rPr>
          <w:t>2</w:t>
        </w:r>
        <w:r w:rsidR="004D1530">
          <w:rPr>
            <w:noProof/>
          </w:rPr>
          <w:fldChar w:fldCharType="end"/>
        </w:r>
      </w:sdtContent>
    </w:sdt>
    <w:r w:rsidR="004D1530">
      <w:rPr>
        <w:noProof/>
      </w:rPr>
      <w:t xml:space="preserve"> -</w:t>
    </w:r>
  </w:p>
  <w:p w:rsidR="004D1530" w:rsidRDefault="004D1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BA0"/>
    <w:multiLevelType w:val="hybridMultilevel"/>
    <w:tmpl w:val="FE22F30C"/>
    <w:lvl w:ilvl="0" w:tplc="998C2C5E">
      <w:start w:val="1"/>
      <w:numFmt w:val="decimal"/>
      <w:pStyle w:val="Estilo1"/>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7E751D8B"/>
    <w:multiLevelType w:val="hybridMultilevel"/>
    <w:tmpl w:val="16EA562E"/>
    <w:lvl w:ilvl="0" w:tplc="2A161B0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0B"/>
    <w:rsid w:val="00044D96"/>
    <w:rsid w:val="00084ABE"/>
    <w:rsid w:val="0008578C"/>
    <w:rsid w:val="000A539A"/>
    <w:rsid w:val="0010454E"/>
    <w:rsid w:val="001D7027"/>
    <w:rsid w:val="002A2437"/>
    <w:rsid w:val="003041FB"/>
    <w:rsid w:val="00313D37"/>
    <w:rsid w:val="004B0482"/>
    <w:rsid w:val="004C299A"/>
    <w:rsid w:val="004D0F5D"/>
    <w:rsid w:val="004D1530"/>
    <w:rsid w:val="004D1DF6"/>
    <w:rsid w:val="00555E11"/>
    <w:rsid w:val="00602D98"/>
    <w:rsid w:val="006869A3"/>
    <w:rsid w:val="006E5CE2"/>
    <w:rsid w:val="006F22FE"/>
    <w:rsid w:val="007B05AD"/>
    <w:rsid w:val="00834599"/>
    <w:rsid w:val="0085020B"/>
    <w:rsid w:val="00866126"/>
    <w:rsid w:val="008D1033"/>
    <w:rsid w:val="0095632C"/>
    <w:rsid w:val="00957D8A"/>
    <w:rsid w:val="009851D0"/>
    <w:rsid w:val="009C3CE6"/>
    <w:rsid w:val="009E6CD0"/>
    <w:rsid w:val="00A86845"/>
    <w:rsid w:val="00AC014F"/>
    <w:rsid w:val="00AD53F3"/>
    <w:rsid w:val="00AD7106"/>
    <w:rsid w:val="00BD2F6C"/>
    <w:rsid w:val="00C22160"/>
    <w:rsid w:val="00C518BE"/>
    <w:rsid w:val="00CA29D2"/>
    <w:rsid w:val="00D660B9"/>
    <w:rsid w:val="00D94B6E"/>
    <w:rsid w:val="00ED0A0F"/>
    <w:rsid w:val="00F218AA"/>
    <w:rsid w:val="00F6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Colorful List - Accent 11,Párrafo de lista1"/>
    <w:basedOn w:val="Normal"/>
    <w:link w:val="ListParagraphChar"/>
    <w:uiPriority w:val="34"/>
    <w:qFormat/>
    <w:rsid w:val="003041FB"/>
    <w:pPr>
      <w:ind w:left="720"/>
      <w:contextualSpacing/>
    </w:pPr>
  </w:style>
  <w:style w:type="paragraph" w:customStyle="1" w:styleId="Estilo1">
    <w:name w:val="Estilo1"/>
    <w:basedOn w:val="ListParagraph"/>
    <w:link w:val="Estilo1Car"/>
    <w:qFormat/>
    <w:rsid w:val="002A2437"/>
    <w:pPr>
      <w:numPr>
        <w:numId w:val="2"/>
      </w:numPr>
      <w:spacing w:after="120" w:line="240" w:lineRule="auto"/>
      <w:ind w:left="0" w:firstLine="0"/>
      <w:contextualSpacing w:val="0"/>
      <w:jc w:val="both"/>
    </w:pPr>
  </w:style>
  <w:style w:type="paragraph" w:styleId="FootnoteText">
    <w:name w:val="footnote text"/>
    <w:basedOn w:val="Normal"/>
    <w:link w:val="FootnoteTextChar"/>
    <w:uiPriority w:val="99"/>
    <w:semiHidden/>
    <w:unhideWhenUsed/>
    <w:rsid w:val="00BD2F6C"/>
    <w:pPr>
      <w:spacing w:after="0" w:line="240" w:lineRule="auto"/>
    </w:pPr>
    <w:rPr>
      <w:sz w:val="20"/>
      <w:szCs w:val="20"/>
    </w:rPr>
  </w:style>
  <w:style w:type="character" w:customStyle="1" w:styleId="ListParagraphChar">
    <w:name w:val="List Paragraph Char"/>
    <w:aliases w:val="Footnote Char,Colorful List - Accent 11 Char,Párrafo de lista1 Char"/>
    <w:basedOn w:val="DefaultParagraphFont"/>
    <w:link w:val="ListParagraph"/>
    <w:uiPriority w:val="34"/>
    <w:rsid w:val="002A2437"/>
    <w:rPr>
      <w:lang w:val="es-UY"/>
    </w:rPr>
  </w:style>
  <w:style w:type="character" w:customStyle="1" w:styleId="Estilo1Car">
    <w:name w:val="Estilo1 Car"/>
    <w:basedOn w:val="ListParagraphChar"/>
    <w:link w:val="Estilo1"/>
    <w:rsid w:val="002A2437"/>
    <w:rPr>
      <w:lang w:val="es-UY"/>
    </w:rPr>
  </w:style>
  <w:style w:type="character" w:customStyle="1" w:styleId="FootnoteTextChar">
    <w:name w:val="Footnote Text Char"/>
    <w:basedOn w:val="DefaultParagraphFont"/>
    <w:link w:val="FootnoteText"/>
    <w:uiPriority w:val="99"/>
    <w:semiHidden/>
    <w:rsid w:val="00BD2F6C"/>
    <w:rPr>
      <w:sz w:val="20"/>
      <w:szCs w:val="20"/>
      <w:lang w:val="es-UY"/>
    </w:rPr>
  </w:style>
  <w:style w:type="character" w:styleId="FootnoteReference">
    <w:name w:val="footnote reference"/>
    <w:basedOn w:val="DefaultParagraphFont"/>
    <w:uiPriority w:val="99"/>
    <w:semiHidden/>
    <w:unhideWhenUsed/>
    <w:rsid w:val="00BD2F6C"/>
    <w:rPr>
      <w:vertAlign w:val="superscript"/>
    </w:rPr>
  </w:style>
  <w:style w:type="paragraph" w:styleId="BalloonText">
    <w:name w:val="Balloon Text"/>
    <w:basedOn w:val="Normal"/>
    <w:link w:val="BalloonTextChar"/>
    <w:uiPriority w:val="99"/>
    <w:semiHidden/>
    <w:unhideWhenUsed/>
    <w:rsid w:val="00AC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4F"/>
    <w:rPr>
      <w:rFonts w:ascii="Tahoma" w:hAnsi="Tahoma" w:cs="Tahoma"/>
      <w:sz w:val="16"/>
      <w:szCs w:val="16"/>
      <w:lang w:val="es-UY"/>
    </w:rPr>
  </w:style>
  <w:style w:type="character" w:styleId="CommentReference">
    <w:name w:val="annotation reference"/>
    <w:basedOn w:val="DefaultParagraphFont"/>
    <w:uiPriority w:val="99"/>
    <w:semiHidden/>
    <w:unhideWhenUsed/>
    <w:rsid w:val="00C518BE"/>
    <w:rPr>
      <w:sz w:val="16"/>
      <w:szCs w:val="16"/>
    </w:rPr>
  </w:style>
  <w:style w:type="paragraph" w:styleId="CommentText">
    <w:name w:val="annotation text"/>
    <w:basedOn w:val="Normal"/>
    <w:link w:val="CommentTextChar"/>
    <w:uiPriority w:val="99"/>
    <w:semiHidden/>
    <w:unhideWhenUsed/>
    <w:rsid w:val="00C518BE"/>
    <w:pPr>
      <w:spacing w:line="240" w:lineRule="auto"/>
    </w:pPr>
    <w:rPr>
      <w:sz w:val="20"/>
      <w:szCs w:val="20"/>
    </w:rPr>
  </w:style>
  <w:style w:type="character" w:customStyle="1" w:styleId="CommentTextChar">
    <w:name w:val="Comment Text Char"/>
    <w:basedOn w:val="DefaultParagraphFont"/>
    <w:link w:val="CommentText"/>
    <w:uiPriority w:val="99"/>
    <w:semiHidden/>
    <w:rsid w:val="00C518BE"/>
    <w:rPr>
      <w:sz w:val="20"/>
      <w:szCs w:val="20"/>
      <w:lang w:val="es-UY"/>
    </w:rPr>
  </w:style>
  <w:style w:type="paragraph" w:styleId="CommentSubject">
    <w:name w:val="annotation subject"/>
    <w:basedOn w:val="CommentText"/>
    <w:next w:val="CommentText"/>
    <w:link w:val="CommentSubjectChar"/>
    <w:uiPriority w:val="99"/>
    <w:semiHidden/>
    <w:unhideWhenUsed/>
    <w:rsid w:val="00C518BE"/>
    <w:rPr>
      <w:b/>
      <w:bCs/>
    </w:rPr>
  </w:style>
  <w:style w:type="character" w:customStyle="1" w:styleId="CommentSubjectChar">
    <w:name w:val="Comment Subject Char"/>
    <w:basedOn w:val="CommentTextChar"/>
    <w:link w:val="CommentSubject"/>
    <w:uiPriority w:val="99"/>
    <w:semiHidden/>
    <w:rsid w:val="00C518BE"/>
    <w:rPr>
      <w:b/>
      <w:bCs/>
      <w:sz w:val="20"/>
      <w:szCs w:val="20"/>
      <w:lang w:val="es-UY"/>
    </w:rPr>
  </w:style>
  <w:style w:type="paragraph" w:styleId="Header">
    <w:name w:val="header"/>
    <w:basedOn w:val="Normal"/>
    <w:link w:val="HeaderChar"/>
    <w:uiPriority w:val="99"/>
    <w:unhideWhenUsed/>
    <w:rsid w:val="004D1530"/>
    <w:pPr>
      <w:tabs>
        <w:tab w:val="center" w:pos="4419"/>
        <w:tab w:val="right" w:pos="8838"/>
      </w:tabs>
      <w:spacing w:after="0" w:line="240" w:lineRule="auto"/>
    </w:pPr>
  </w:style>
  <w:style w:type="character" w:customStyle="1" w:styleId="HeaderChar">
    <w:name w:val="Header Char"/>
    <w:basedOn w:val="DefaultParagraphFont"/>
    <w:link w:val="Header"/>
    <w:uiPriority w:val="99"/>
    <w:rsid w:val="004D1530"/>
    <w:rPr>
      <w:lang w:val="es-UY"/>
    </w:rPr>
  </w:style>
  <w:style w:type="paragraph" w:styleId="Footer">
    <w:name w:val="footer"/>
    <w:basedOn w:val="Normal"/>
    <w:link w:val="FooterChar"/>
    <w:uiPriority w:val="99"/>
    <w:unhideWhenUsed/>
    <w:rsid w:val="004D1530"/>
    <w:pPr>
      <w:tabs>
        <w:tab w:val="center" w:pos="4419"/>
        <w:tab w:val="right" w:pos="8838"/>
      </w:tabs>
      <w:spacing w:after="0" w:line="240" w:lineRule="auto"/>
    </w:pPr>
  </w:style>
  <w:style w:type="character" w:customStyle="1" w:styleId="FooterChar">
    <w:name w:val="Footer Char"/>
    <w:basedOn w:val="DefaultParagraphFont"/>
    <w:link w:val="Footer"/>
    <w:uiPriority w:val="99"/>
    <w:rsid w:val="004D1530"/>
    <w:rPr>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Colorful List - Accent 11,Párrafo de lista1"/>
    <w:basedOn w:val="Normal"/>
    <w:link w:val="ListParagraphChar"/>
    <w:uiPriority w:val="34"/>
    <w:qFormat/>
    <w:rsid w:val="003041FB"/>
    <w:pPr>
      <w:ind w:left="720"/>
      <w:contextualSpacing/>
    </w:pPr>
  </w:style>
  <w:style w:type="paragraph" w:customStyle="1" w:styleId="Estilo1">
    <w:name w:val="Estilo1"/>
    <w:basedOn w:val="ListParagraph"/>
    <w:link w:val="Estilo1Car"/>
    <w:qFormat/>
    <w:rsid w:val="002A2437"/>
    <w:pPr>
      <w:numPr>
        <w:numId w:val="2"/>
      </w:numPr>
      <w:spacing w:after="120" w:line="240" w:lineRule="auto"/>
      <w:ind w:left="0" w:firstLine="0"/>
      <w:contextualSpacing w:val="0"/>
      <w:jc w:val="both"/>
    </w:pPr>
  </w:style>
  <w:style w:type="paragraph" w:styleId="FootnoteText">
    <w:name w:val="footnote text"/>
    <w:basedOn w:val="Normal"/>
    <w:link w:val="FootnoteTextChar"/>
    <w:uiPriority w:val="99"/>
    <w:semiHidden/>
    <w:unhideWhenUsed/>
    <w:rsid w:val="00BD2F6C"/>
    <w:pPr>
      <w:spacing w:after="0" w:line="240" w:lineRule="auto"/>
    </w:pPr>
    <w:rPr>
      <w:sz w:val="20"/>
      <w:szCs w:val="20"/>
    </w:rPr>
  </w:style>
  <w:style w:type="character" w:customStyle="1" w:styleId="ListParagraphChar">
    <w:name w:val="List Paragraph Char"/>
    <w:aliases w:val="Footnote Char,Colorful List - Accent 11 Char,Párrafo de lista1 Char"/>
    <w:basedOn w:val="DefaultParagraphFont"/>
    <w:link w:val="ListParagraph"/>
    <w:uiPriority w:val="34"/>
    <w:rsid w:val="002A2437"/>
    <w:rPr>
      <w:lang w:val="es-UY"/>
    </w:rPr>
  </w:style>
  <w:style w:type="character" w:customStyle="1" w:styleId="Estilo1Car">
    <w:name w:val="Estilo1 Car"/>
    <w:basedOn w:val="ListParagraphChar"/>
    <w:link w:val="Estilo1"/>
    <w:rsid w:val="002A2437"/>
    <w:rPr>
      <w:lang w:val="es-UY"/>
    </w:rPr>
  </w:style>
  <w:style w:type="character" w:customStyle="1" w:styleId="FootnoteTextChar">
    <w:name w:val="Footnote Text Char"/>
    <w:basedOn w:val="DefaultParagraphFont"/>
    <w:link w:val="FootnoteText"/>
    <w:uiPriority w:val="99"/>
    <w:semiHidden/>
    <w:rsid w:val="00BD2F6C"/>
    <w:rPr>
      <w:sz w:val="20"/>
      <w:szCs w:val="20"/>
      <w:lang w:val="es-UY"/>
    </w:rPr>
  </w:style>
  <w:style w:type="character" w:styleId="FootnoteReference">
    <w:name w:val="footnote reference"/>
    <w:basedOn w:val="DefaultParagraphFont"/>
    <w:uiPriority w:val="99"/>
    <w:semiHidden/>
    <w:unhideWhenUsed/>
    <w:rsid w:val="00BD2F6C"/>
    <w:rPr>
      <w:vertAlign w:val="superscript"/>
    </w:rPr>
  </w:style>
  <w:style w:type="paragraph" w:styleId="BalloonText">
    <w:name w:val="Balloon Text"/>
    <w:basedOn w:val="Normal"/>
    <w:link w:val="BalloonTextChar"/>
    <w:uiPriority w:val="99"/>
    <w:semiHidden/>
    <w:unhideWhenUsed/>
    <w:rsid w:val="00AC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4F"/>
    <w:rPr>
      <w:rFonts w:ascii="Tahoma" w:hAnsi="Tahoma" w:cs="Tahoma"/>
      <w:sz w:val="16"/>
      <w:szCs w:val="16"/>
      <w:lang w:val="es-UY"/>
    </w:rPr>
  </w:style>
  <w:style w:type="character" w:styleId="CommentReference">
    <w:name w:val="annotation reference"/>
    <w:basedOn w:val="DefaultParagraphFont"/>
    <w:uiPriority w:val="99"/>
    <w:semiHidden/>
    <w:unhideWhenUsed/>
    <w:rsid w:val="00C518BE"/>
    <w:rPr>
      <w:sz w:val="16"/>
      <w:szCs w:val="16"/>
    </w:rPr>
  </w:style>
  <w:style w:type="paragraph" w:styleId="CommentText">
    <w:name w:val="annotation text"/>
    <w:basedOn w:val="Normal"/>
    <w:link w:val="CommentTextChar"/>
    <w:uiPriority w:val="99"/>
    <w:semiHidden/>
    <w:unhideWhenUsed/>
    <w:rsid w:val="00C518BE"/>
    <w:pPr>
      <w:spacing w:line="240" w:lineRule="auto"/>
    </w:pPr>
    <w:rPr>
      <w:sz w:val="20"/>
      <w:szCs w:val="20"/>
    </w:rPr>
  </w:style>
  <w:style w:type="character" w:customStyle="1" w:styleId="CommentTextChar">
    <w:name w:val="Comment Text Char"/>
    <w:basedOn w:val="DefaultParagraphFont"/>
    <w:link w:val="CommentText"/>
    <w:uiPriority w:val="99"/>
    <w:semiHidden/>
    <w:rsid w:val="00C518BE"/>
    <w:rPr>
      <w:sz w:val="20"/>
      <w:szCs w:val="20"/>
      <w:lang w:val="es-UY"/>
    </w:rPr>
  </w:style>
  <w:style w:type="paragraph" w:styleId="CommentSubject">
    <w:name w:val="annotation subject"/>
    <w:basedOn w:val="CommentText"/>
    <w:next w:val="CommentText"/>
    <w:link w:val="CommentSubjectChar"/>
    <w:uiPriority w:val="99"/>
    <w:semiHidden/>
    <w:unhideWhenUsed/>
    <w:rsid w:val="00C518BE"/>
    <w:rPr>
      <w:b/>
      <w:bCs/>
    </w:rPr>
  </w:style>
  <w:style w:type="character" w:customStyle="1" w:styleId="CommentSubjectChar">
    <w:name w:val="Comment Subject Char"/>
    <w:basedOn w:val="CommentTextChar"/>
    <w:link w:val="CommentSubject"/>
    <w:uiPriority w:val="99"/>
    <w:semiHidden/>
    <w:rsid w:val="00C518BE"/>
    <w:rPr>
      <w:b/>
      <w:bCs/>
      <w:sz w:val="20"/>
      <w:szCs w:val="20"/>
      <w:lang w:val="es-UY"/>
    </w:rPr>
  </w:style>
  <w:style w:type="paragraph" w:styleId="Header">
    <w:name w:val="header"/>
    <w:basedOn w:val="Normal"/>
    <w:link w:val="HeaderChar"/>
    <w:uiPriority w:val="99"/>
    <w:unhideWhenUsed/>
    <w:rsid w:val="004D1530"/>
    <w:pPr>
      <w:tabs>
        <w:tab w:val="center" w:pos="4419"/>
        <w:tab w:val="right" w:pos="8838"/>
      </w:tabs>
      <w:spacing w:after="0" w:line="240" w:lineRule="auto"/>
    </w:pPr>
  </w:style>
  <w:style w:type="character" w:customStyle="1" w:styleId="HeaderChar">
    <w:name w:val="Header Char"/>
    <w:basedOn w:val="DefaultParagraphFont"/>
    <w:link w:val="Header"/>
    <w:uiPriority w:val="99"/>
    <w:rsid w:val="004D1530"/>
    <w:rPr>
      <w:lang w:val="es-UY"/>
    </w:rPr>
  </w:style>
  <w:style w:type="paragraph" w:styleId="Footer">
    <w:name w:val="footer"/>
    <w:basedOn w:val="Normal"/>
    <w:link w:val="FooterChar"/>
    <w:uiPriority w:val="99"/>
    <w:unhideWhenUsed/>
    <w:rsid w:val="004D1530"/>
    <w:pPr>
      <w:tabs>
        <w:tab w:val="center" w:pos="4419"/>
        <w:tab w:val="right" w:pos="8838"/>
      </w:tabs>
      <w:spacing w:after="0" w:line="240" w:lineRule="auto"/>
    </w:pPr>
  </w:style>
  <w:style w:type="character" w:customStyle="1" w:styleId="FooterChar">
    <w:name w:val="Footer Char"/>
    <w:basedOn w:val="DefaultParagraphFont"/>
    <w:link w:val="Footer"/>
    <w:uiPriority w:val="99"/>
    <w:rsid w:val="004D1530"/>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3233F-4688-414B-AB5A-38861209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5352</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2015-09-16T17:06:00Z</cp:lastPrinted>
  <dcterms:created xsi:type="dcterms:W3CDTF">2015-09-16T18:14:00Z</dcterms:created>
  <dcterms:modified xsi:type="dcterms:W3CDTF">2015-09-16T18:14:00Z</dcterms:modified>
</cp:coreProperties>
</file>