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FA858" w14:textId="77777777" w:rsidR="00C43249" w:rsidRDefault="00C43249" w:rsidP="007624ED">
      <w:pPr>
        <w:spacing w:after="0" w:line="240" w:lineRule="auto"/>
        <w:jc w:val="center"/>
        <w:rPr>
          <w:rFonts w:ascii="Verdana" w:hAnsi="Verdana" w:cs="Times New Roman"/>
          <w:b/>
          <w:sz w:val="20"/>
          <w:szCs w:val="20"/>
          <w:lang w:val="es-ES_tradnl"/>
        </w:rPr>
      </w:pPr>
      <w:bookmarkStart w:id="0" w:name="_GoBack"/>
      <w:bookmarkEnd w:id="0"/>
    </w:p>
    <w:p w14:paraId="6449FC60" w14:textId="77777777" w:rsidR="00C43249" w:rsidRDefault="00C43249" w:rsidP="007624ED">
      <w:pPr>
        <w:spacing w:after="0" w:line="240" w:lineRule="auto"/>
        <w:jc w:val="center"/>
        <w:rPr>
          <w:rFonts w:ascii="Verdana" w:hAnsi="Verdana" w:cs="Times New Roman"/>
          <w:b/>
          <w:sz w:val="20"/>
          <w:szCs w:val="20"/>
          <w:lang w:val="es-ES_tradnl"/>
        </w:rPr>
      </w:pPr>
    </w:p>
    <w:p w14:paraId="0563E8DD" w14:textId="77777777" w:rsidR="00C43249" w:rsidRDefault="00C43249" w:rsidP="007624ED">
      <w:pPr>
        <w:spacing w:after="0" w:line="240" w:lineRule="auto"/>
        <w:jc w:val="center"/>
        <w:rPr>
          <w:rFonts w:ascii="Verdana" w:hAnsi="Verdana" w:cs="Times New Roman"/>
          <w:b/>
          <w:sz w:val="20"/>
          <w:szCs w:val="20"/>
          <w:lang w:val="es-ES_tradnl"/>
        </w:rPr>
      </w:pPr>
    </w:p>
    <w:p w14:paraId="64E90EAB" w14:textId="77777777" w:rsidR="00C43249" w:rsidRDefault="00C43249" w:rsidP="007624ED">
      <w:pPr>
        <w:spacing w:after="0" w:line="240" w:lineRule="auto"/>
        <w:jc w:val="center"/>
        <w:rPr>
          <w:rFonts w:ascii="Verdana" w:hAnsi="Verdana" w:cs="Times New Roman"/>
          <w:b/>
          <w:sz w:val="20"/>
          <w:szCs w:val="20"/>
          <w:lang w:val="es-ES_tradnl"/>
        </w:rPr>
      </w:pPr>
    </w:p>
    <w:p w14:paraId="5BE4B2A7" w14:textId="77777777" w:rsidR="00C43249" w:rsidRDefault="00C43249" w:rsidP="007624ED">
      <w:pPr>
        <w:spacing w:after="0" w:line="240" w:lineRule="auto"/>
        <w:jc w:val="center"/>
        <w:rPr>
          <w:rFonts w:ascii="Verdana" w:hAnsi="Verdana" w:cs="Times New Roman"/>
          <w:b/>
          <w:sz w:val="20"/>
          <w:szCs w:val="20"/>
          <w:lang w:val="es-ES_tradnl"/>
        </w:rPr>
      </w:pPr>
    </w:p>
    <w:p w14:paraId="6FA68629" w14:textId="77777777" w:rsidR="00C43249" w:rsidRDefault="00C43249" w:rsidP="007624ED">
      <w:pPr>
        <w:spacing w:after="0" w:line="240" w:lineRule="auto"/>
        <w:jc w:val="center"/>
        <w:rPr>
          <w:rFonts w:ascii="Verdana" w:hAnsi="Verdana" w:cs="Times New Roman"/>
          <w:b/>
          <w:sz w:val="20"/>
          <w:szCs w:val="20"/>
          <w:lang w:val="es-ES_tradnl"/>
        </w:rPr>
      </w:pPr>
    </w:p>
    <w:p w14:paraId="6275B666" w14:textId="77777777" w:rsidR="00C43249" w:rsidRDefault="00C43249" w:rsidP="007624ED">
      <w:pPr>
        <w:spacing w:after="0" w:line="240" w:lineRule="auto"/>
        <w:jc w:val="center"/>
        <w:rPr>
          <w:rFonts w:ascii="Verdana" w:hAnsi="Verdana" w:cs="Times New Roman"/>
          <w:b/>
          <w:sz w:val="20"/>
          <w:szCs w:val="20"/>
          <w:lang w:val="es-ES_tradnl"/>
        </w:rPr>
      </w:pPr>
    </w:p>
    <w:p w14:paraId="0A205367" w14:textId="77777777" w:rsidR="007624ED" w:rsidRPr="007624ED" w:rsidRDefault="00560B81" w:rsidP="007624ED">
      <w:pPr>
        <w:spacing w:after="0" w:line="240" w:lineRule="auto"/>
        <w:jc w:val="center"/>
        <w:rPr>
          <w:rFonts w:ascii="Verdana" w:hAnsi="Verdana" w:cs="Times New Roman"/>
          <w:b/>
          <w:sz w:val="20"/>
          <w:szCs w:val="20"/>
          <w:lang w:val="es-ES_tradnl"/>
        </w:rPr>
      </w:pPr>
      <w:r w:rsidRPr="007624ED">
        <w:rPr>
          <w:rFonts w:ascii="Verdana" w:hAnsi="Verdana" w:cs="Times New Roman"/>
          <w:b/>
          <w:sz w:val="20"/>
          <w:szCs w:val="20"/>
          <w:lang w:val="es-ES_tradnl"/>
        </w:rPr>
        <w:t>VOTO PARCIALMENTE DISIDENTE DEL</w:t>
      </w:r>
    </w:p>
    <w:p w14:paraId="46882588" w14:textId="77777777" w:rsidR="007624ED" w:rsidRDefault="00560B81" w:rsidP="007624ED">
      <w:pPr>
        <w:spacing w:after="0" w:line="240" w:lineRule="auto"/>
        <w:jc w:val="center"/>
        <w:rPr>
          <w:rFonts w:ascii="Verdana" w:hAnsi="Verdana" w:cs="Times New Roman"/>
          <w:b/>
          <w:sz w:val="20"/>
          <w:szCs w:val="20"/>
          <w:lang w:val="es-ES_tradnl"/>
        </w:rPr>
      </w:pPr>
      <w:r w:rsidRPr="007624ED">
        <w:rPr>
          <w:rFonts w:ascii="Verdana" w:hAnsi="Verdana" w:cs="Times New Roman"/>
          <w:b/>
          <w:sz w:val="20"/>
          <w:szCs w:val="20"/>
          <w:lang w:val="es-ES_tradnl"/>
        </w:rPr>
        <w:t xml:space="preserve">JUEZ ALBERTO PÉREZ </w:t>
      </w:r>
      <w:proofErr w:type="spellStart"/>
      <w:r w:rsidRPr="007624ED">
        <w:rPr>
          <w:rFonts w:ascii="Verdana" w:hAnsi="Verdana" w:cs="Times New Roman"/>
          <w:b/>
          <w:sz w:val="20"/>
          <w:szCs w:val="20"/>
          <w:lang w:val="es-ES_tradnl"/>
        </w:rPr>
        <w:t>PÉREZ</w:t>
      </w:r>
      <w:proofErr w:type="spellEnd"/>
      <w:r w:rsidRPr="007624ED">
        <w:rPr>
          <w:rFonts w:ascii="Verdana" w:hAnsi="Verdana"/>
          <w:b/>
          <w:sz w:val="20"/>
          <w:szCs w:val="20"/>
          <w:lang w:val="es-ES_tradnl"/>
        </w:rPr>
        <w:br/>
      </w:r>
    </w:p>
    <w:p w14:paraId="1E5B7746" w14:textId="7014AF17" w:rsidR="007624ED" w:rsidRPr="007624ED" w:rsidRDefault="00560B81" w:rsidP="007624ED">
      <w:pPr>
        <w:spacing w:after="0" w:line="240" w:lineRule="auto"/>
        <w:jc w:val="center"/>
        <w:rPr>
          <w:rFonts w:ascii="Verdana" w:hAnsi="Verdana" w:cs="Times New Roman"/>
          <w:b/>
          <w:sz w:val="20"/>
          <w:szCs w:val="20"/>
          <w:lang w:val="es-ES_tradnl"/>
        </w:rPr>
      </w:pPr>
      <w:r w:rsidRPr="007624ED">
        <w:rPr>
          <w:rFonts w:ascii="Verdana" w:hAnsi="Verdana" w:cs="Times New Roman"/>
          <w:b/>
          <w:sz w:val="20"/>
          <w:szCs w:val="20"/>
          <w:lang w:val="es-ES_tradnl"/>
        </w:rPr>
        <w:t>CASO PUEBLOS KALIÑA Y LOKONO VS. SURINAM</w:t>
      </w:r>
    </w:p>
    <w:p w14:paraId="27FD969F" w14:textId="77777777" w:rsidR="007624ED" w:rsidRDefault="007624ED" w:rsidP="007624ED">
      <w:pPr>
        <w:spacing w:after="0" w:line="240" w:lineRule="auto"/>
        <w:jc w:val="center"/>
        <w:rPr>
          <w:rFonts w:ascii="Verdana" w:hAnsi="Verdana" w:cs="Times New Roman"/>
          <w:b/>
          <w:sz w:val="20"/>
          <w:szCs w:val="20"/>
          <w:lang w:val="es-ES_tradnl"/>
        </w:rPr>
      </w:pPr>
    </w:p>
    <w:p w14:paraId="77D98459" w14:textId="50514392" w:rsidR="007624ED" w:rsidRPr="007624ED" w:rsidRDefault="007624ED" w:rsidP="007624ED">
      <w:pPr>
        <w:spacing w:after="0" w:line="240" w:lineRule="auto"/>
        <w:jc w:val="center"/>
        <w:rPr>
          <w:rFonts w:ascii="Verdana" w:hAnsi="Verdana" w:cs="Times New Roman"/>
          <w:b/>
          <w:sz w:val="20"/>
          <w:szCs w:val="20"/>
          <w:lang w:val="es-ES_tradnl"/>
        </w:rPr>
      </w:pPr>
      <w:r w:rsidRPr="007624ED">
        <w:rPr>
          <w:rFonts w:ascii="Verdana" w:hAnsi="Verdana" w:cs="Times New Roman"/>
          <w:b/>
          <w:sz w:val="20"/>
          <w:szCs w:val="20"/>
          <w:lang w:val="es-ES_tradnl"/>
        </w:rPr>
        <w:t>SENTENCIA DE 25 DE NOVIEMBRE DE 2015</w:t>
      </w:r>
    </w:p>
    <w:p w14:paraId="058C924A" w14:textId="1A9D6B25" w:rsidR="007624ED" w:rsidRPr="007624ED" w:rsidRDefault="007624ED" w:rsidP="007624ED">
      <w:pPr>
        <w:spacing w:after="0" w:line="240" w:lineRule="auto"/>
        <w:jc w:val="center"/>
        <w:rPr>
          <w:rFonts w:ascii="Verdana" w:eastAsia="Times New Roman" w:hAnsi="Verdana" w:cs="Times New Roman"/>
          <w:b/>
          <w:i/>
          <w:iCs/>
          <w:spacing w:val="15"/>
          <w:sz w:val="20"/>
          <w:szCs w:val="20"/>
          <w:lang w:val="es-ES_tradnl"/>
        </w:rPr>
      </w:pPr>
      <w:r w:rsidRPr="007624ED">
        <w:rPr>
          <w:rFonts w:ascii="Verdana" w:hAnsi="Verdana" w:cs="Times New Roman"/>
          <w:b/>
          <w:sz w:val="20"/>
          <w:szCs w:val="20"/>
          <w:lang w:val="es-ES_tradnl"/>
        </w:rPr>
        <w:t>(</w:t>
      </w:r>
      <w:r w:rsidRPr="007624ED">
        <w:rPr>
          <w:rFonts w:ascii="Verdana" w:eastAsia="Times New Roman" w:hAnsi="Verdana" w:cs="Times New Roman"/>
          <w:b/>
          <w:i/>
          <w:iCs/>
          <w:spacing w:val="15"/>
          <w:sz w:val="20"/>
          <w:szCs w:val="20"/>
          <w:lang w:val="es-ES_tradnl"/>
        </w:rPr>
        <w:t>Fondo, Reparaciones y Costas)</w:t>
      </w:r>
    </w:p>
    <w:p w14:paraId="3DD1F5FA" w14:textId="35FB793E" w:rsidR="00464D9C" w:rsidRPr="007624ED" w:rsidRDefault="00560B81" w:rsidP="007624ED">
      <w:pPr>
        <w:spacing w:after="0" w:line="240" w:lineRule="auto"/>
        <w:jc w:val="center"/>
        <w:rPr>
          <w:rFonts w:ascii="Verdana" w:hAnsi="Verdana" w:cs="Times New Roman"/>
          <w:sz w:val="20"/>
          <w:szCs w:val="20"/>
          <w:lang w:val="es-ES_tradnl"/>
        </w:rPr>
      </w:pPr>
      <w:r w:rsidRPr="007624ED">
        <w:rPr>
          <w:rFonts w:ascii="Verdana" w:hAnsi="Verdana" w:cs="Times New Roman"/>
          <w:sz w:val="20"/>
          <w:szCs w:val="20"/>
          <w:lang w:val="es-ES_tradnl"/>
        </w:rPr>
        <w:br/>
      </w:r>
    </w:p>
    <w:p w14:paraId="3DD1F5FB" w14:textId="77777777" w:rsidR="00080510" w:rsidRDefault="001239BE"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He disentido con los puntos </w:t>
      </w:r>
      <w:r w:rsidR="00560B81" w:rsidRPr="007624ED">
        <w:rPr>
          <w:rFonts w:ascii="Verdana" w:hAnsi="Verdana"/>
          <w:sz w:val="20"/>
          <w:szCs w:val="20"/>
          <w:lang w:val="es-ES_tradnl"/>
        </w:rPr>
        <w:t>declarativos 1 a 3 en la me</w:t>
      </w:r>
      <w:r w:rsidRPr="007624ED">
        <w:rPr>
          <w:rFonts w:ascii="Verdana" w:hAnsi="Verdana"/>
          <w:sz w:val="20"/>
          <w:szCs w:val="20"/>
          <w:lang w:val="es-ES_tradnl"/>
        </w:rPr>
        <w:t>dida en que en ellos se invocan</w:t>
      </w:r>
      <w:r w:rsidR="00560B81" w:rsidRPr="007624ED">
        <w:rPr>
          <w:rFonts w:ascii="Verdana" w:hAnsi="Verdana"/>
          <w:sz w:val="20"/>
          <w:szCs w:val="20"/>
          <w:lang w:val="es-ES_tradnl"/>
        </w:rPr>
        <w:t xml:space="preserve"> </w:t>
      </w:r>
      <w:r w:rsidRPr="007624ED">
        <w:rPr>
          <w:rFonts w:ascii="Verdana" w:hAnsi="Verdana"/>
          <w:sz w:val="20"/>
          <w:szCs w:val="20"/>
          <w:lang w:val="es-ES_tradnl"/>
        </w:rPr>
        <w:t xml:space="preserve">indebidamente </w:t>
      </w:r>
      <w:r w:rsidR="00560B81" w:rsidRPr="007624ED">
        <w:rPr>
          <w:rFonts w:ascii="Verdana" w:hAnsi="Verdana"/>
          <w:sz w:val="20"/>
          <w:szCs w:val="20"/>
          <w:lang w:val="es-ES_tradnl"/>
        </w:rPr>
        <w:t xml:space="preserve">como </w:t>
      </w:r>
      <w:r w:rsidRPr="007624ED">
        <w:rPr>
          <w:rFonts w:ascii="Verdana" w:hAnsi="Verdana"/>
          <w:sz w:val="20"/>
          <w:szCs w:val="20"/>
          <w:lang w:val="es-ES_tradnl"/>
        </w:rPr>
        <w:t>fundamentos ciertos</w:t>
      </w:r>
      <w:r w:rsidR="00560B81" w:rsidRPr="007624ED">
        <w:rPr>
          <w:rFonts w:ascii="Verdana" w:hAnsi="Verdana"/>
          <w:sz w:val="20"/>
          <w:szCs w:val="20"/>
          <w:lang w:val="es-ES_tradnl"/>
        </w:rPr>
        <w:t xml:space="preserve"> artículos de la Convención Americana sobre Derechos Humanos presuntamente violados: </w:t>
      </w:r>
      <w:r w:rsidRPr="007624ED">
        <w:rPr>
          <w:rFonts w:ascii="Verdana" w:hAnsi="Verdana"/>
          <w:sz w:val="20"/>
          <w:szCs w:val="20"/>
          <w:lang w:val="es-ES_tradnl"/>
        </w:rPr>
        <w:t xml:space="preserve">respectivamente, </w:t>
      </w:r>
      <w:r w:rsidR="00560B81" w:rsidRPr="007624ED">
        <w:rPr>
          <w:rFonts w:ascii="Verdana" w:hAnsi="Verdana"/>
          <w:sz w:val="20"/>
          <w:szCs w:val="20"/>
          <w:lang w:val="es-ES_tradnl"/>
        </w:rPr>
        <w:t>los artículos, 3, 23 y 13.</w:t>
      </w:r>
      <w:r w:rsidR="00080510" w:rsidRPr="007624ED">
        <w:rPr>
          <w:rFonts w:ascii="Verdana" w:hAnsi="Verdana"/>
          <w:sz w:val="20"/>
          <w:szCs w:val="20"/>
          <w:lang w:val="es-ES_tradnl"/>
        </w:rPr>
        <w:t xml:space="preserve"> La aplicación de esos artículos hecha por la Corte en este caso va en contra del sentido claro de dichas disposiciones y la fundamentación que se expone es totalmente insuficiente, y aún en un caso prácticamente inexistente.</w:t>
      </w:r>
    </w:p>
    <w:p w14:paraId="648DF9A4"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5FC" w14:textId="53EE3929" w:rsidR="00080510" w:rsidRDefault="00080510"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Por otro lado, </w:t>
      </w:r>
      <w:r w:rsidR="000C3CEA" w:rsidRPr="007624ED">
        <w:rPr>
          <w:rFonts w:ascii="Verdana" w:hAnsi="Verdana"/>
          <w:sz w:val="20"/>
          <w:szCs w:val="20"/>
          <w:lang w:val="es-ES_tradnl"/>
        </w:rPr>
        <w:t>según se verá, los derechos que se pretende proteger mediante la invocación de los artículos 3, 1</w:t>
      </w:r>
      <w:r w:rsidR="008956EE">
        <w:rPr>
          <w:rFonts w:ascii="Verdana" w:hAnsi="Verdana"/>
          <w:sz w:val="20"/>
          <w:szCs w:val="20"/>
          <w:lang w:val="es-ES_tradnl"/>
        </w:rPr>
        <w:t>3</w:t>
      </w:r>
      <w:r w:rsidR="000C3CEA" w:rsidRPr="007624ED">
        <w:rPr>
          <w:rFonts w:ascii="Verdana" w:hAnsi="Verdana"/>
          <w:sz w:val="20"/>
          <w:szCs w:val="20"/>
          <w:lang w:val="es-ES_tradnl"/>
        </w:rPr>
        <w:t xml:space="preserve"> y 23 se fundamentan adecuadamente en relación con otras normas de la Convención</w:t>
      </w:r>
      <w:r w:rsidR="001239BE" w:rsidRPr="007624ED">
        <w:rPr>
          <w:rFonts w:ascii="Verdana" w:hAnsi="Verdana"/>
          <w:sz w:val="20"/>
          <w:szCs w:val="20"/>
          <w:lang w:val="es-ES_tradnl"/>
        </w:rPr>
        <w:t>, ya contenidas en el texto de la sentencia</w:t>
      </w:r>
      <w:r w:rsidR="000C3CEA" w:rsidRPr="007624ED">
        <w:rPr>
          <w:rFonts w:ascii="Verdana" w:hAnsi="Verdana"/>
          <w:sz w:val="20"/>
          <w:szCs w:val="20"/>
          <w:lang w:val="es-ES_tradnl"/>
        </w:rPr>
        <w:t>.</w:t>
      </w:r>
    </w:p>
    <w:p w14:paraId="35AF052F"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5FD" w14:textId="77777777" w:rsidR="00560B81" w:rsidRDefault="00080510" w:rsidP="007624ED">
      <w:pPr>
        <w:pStyle w:val="ListParagraph"/>
        <w:numPr>
          <w:ilvl w:val="0"/>
          <w:numId w:val="2"/>
        </w:numPr>
        <w:spacing w:after="0" w:line="240" w:lineRule="auto"/>
        <w:ind w:left="0" w:firstLine="0"/>
        <w:jc w:val="center"/>
        <w:rPr>
          <w:rFonts w:ascii="Verdana" w:hAnsi="Verdana" w:cs="Times New Roman"/>
          <w:b/>
          <w:sz w:val="20"/>
          <w:szCs w:val="20"/>
          <w:lang w:val="es-ES_tradnl"/>
        </w:rPr>
      </w:pPr>
      <w:r w:rsidRPr="007624ED">
        <w:rPr>
          <w:rFonts w:ascii="Verdana" w:hAnsi="Verdana" w:cs="Times New Roman"/>
          <w:b/>
          <w:sz w:val="20"/>
          <w:szCs w:val="20"/>
          <w:lang w:val="es-ES_tradnl"/>
        </w:rPr>
        <w:t xml:space="preserve">No se violó el </w:t>
      </w:r>
      <w:r w:rsidR="00A73D0B" w:rsidRPr="007624ED">
        <w:rPr>
          <w:rFonts w:ascii="Verdana" w:hAnsi="Verdana" w:cs="Times New Roman"/>
          <w:b/>
          <w:sz w:val="20"/>
          <w:szCs w:val="20"/>
          <w:lang w:val="es-ES_tradnl"/>
        </w:rPr>
        <w:t>artículo</w:t>
      </w:r>
      <w:r w:rsidRPr="007624ED">
        <w:rPr>
          <w:rFonts w:ascii="Verdana" w:hAnsi="Verdana" w:cs="Times New Roman"/>
          <w:b/>
          <w:sz w:val="20"/>
          <w:szCs w:val="20"/>
          <w:lang w:val="es-ES_tradnl"/>
        </w:rPr>
        <w:t xml:space="preserve"> 3 (</w:t>
      </w:r>
      <w:r w:rsidR="00F52C65" w:rsidRPr="007624ED">
        <w:rPr>
          <w:rFonts w:ascii="Verdana" w:hAnsi="Verdana" w:cs="Times New Roman"/>
          <w:b/>
          <w:sz w:val="20"/>
          <w:szCs w:val="20"/>
          <w:lang w:val="es-ES_tradnl"/>
        </w:rPr>
        <w:t>Derecho al Reconocimiento</w:t>
      </w:r>
      <w:r w:rsidR="00F52C65" w:rsidRPr="007624ED">
        <w:rPr>
          <w:rFonts w:ascii="Verdana" w:hAnsi="Verdana" w:cs="Times New Roman"/>
          <w:b/>
          <w:sz w:val="20"/>
          <w:szCs w:val="20"/>
          <w:lang w:val="es-ES_tradnl"/>
        </w:rPr>
        <w:br/>
        <w:t xml:space="preserve">de la </w:t>
      </w:r>
      <w:r w:rsidRPr="007624ED">
        <w:rPr>
          <w:rFonts w:ascii="Verdana" w:hAnsi="Verdana" w:cs="Times New Roman"/>
          <w:b/>
          <w:sz w:val="20"/>
          <w:szCs w:val="20"/>
          <w:lang w:val="es-ES_tradnl"/>
        </w:rPr>
        <w:t>Personalidad Jurídica)</w:t>
      </w:r>
    </w:p>
    <w:p w14:paraId="7DC23F26" w14:textId="77777777" w:rsidR="007624ED" w:rsidRPr="007624ED" w:rsidRDefault="007624ED" w:rsidP="007624ED">
      <w:pPr>
        <w:pStyle w:val="ListParagraph"/>
        <w:spacing w:after="0" w:line="240" w:lineRule="auto"/>
        <w:ind w:left="0"/>
        <w:rPr>
          <w:rFonts w:ascii="Verdana" w:hAnsi="Verdana" w:cs="Times New Roman"/>
          <w:b/>
          <w:sz w:val="20"/>
          <w:szCs w:val="20"/>
          <w:lang w:val="es-ES_tradnl"/>
        </w:rPr>
      </w:pPr>
    </w:p>
    <w:p w14:paraId="3DD1F5FE" w14:textId="77777777" w:rsidR="00080510" w:rsidRDefault="00955CFC" w:rsidP="007624ED">
      <w:pPr>
        <w:pStyle w:val="Estilo1"/>
        <w:spacing w:after="0"/>
        <w:rPr>
          <w:rFonts w:ascii="Verdana" w:hAnsi="Verdana"/>
          <w:sz w:val="20"/>
          <w:szCs w:val="20"/>
          <w:lang w:val="es-ES_tradnl"/>
        </w:rPr>
      </w:pPr>
      <w:r w:rsidRPr="007624ED">
        <w:rPr>
          <w:rFonts w:ascii="Verdana" w:hAnsi="Verdana"/>
          <w:sz w:val="20"/>
          <w:szCs w:val="20"/>
          <w:lang w:val="es-ES_tradnl"/>
        </w:rPr>
        <w:t>El Art. 3 dispone:</w:t>
      </w:r>
    </w:p>
    <w:p w14:paraId="08F1A6BB" w14:textId="77777777" w:rsidR="006431C8" w:rsidRPr="007624ED" w:rsidRDefault="006431C8" w:rsidP="00120F47">
      <w:pPr>
        <w:pStyle w:val="Estilo1"/>
        <w:numPr>
          <w:ilvl w:val="0"/>
          <w:numId w:val="0"/>
        </w:numPr>
        <w:spacing w:after="0"/>
        <w:rPr>
          <w:rFonts w:ascii="Verdana" w:hAnsi="Verdana"/>
          <w:sz w:val="20"/>
          <w:szCs w:val="20"/>
          <w:lang w:val="es-ES_tradnl"/>
        </w:rPr>
      </w:pPr>
    </w:p>
    <w:p w14:paraId="3DD1F5FF" w14:textId="77777777" w:rsidR="00955CFC" w:rsidRPr="007624ED" w:rsidRDefault="00955CFC" w:rsidP="007624ED">
      <w:pPr>
        <w:pStyle w:val="Estilo2"/>
        <w:spacing w:after="0"/>
        <w:rPr>
          <w:rFonts w:ascii="Verdana" w:hAnsi="Verdana"/>
          <w:sz w:val="20"/>
          <w:szCs w:val="20"/>
          <w:lang w:val="es-ES_tradnl"/>
        </w:rPr>
      </w:pPr>
      <w:r w:rsidRPr="007624ED">
        <w:rPr>
          <w:rFonts w:ascii="Verdana" w:hAnsi="Verdana"/>
          <w:sz w:val="20"/>
          <w:szCs w:val="20"/>
          <w:lang w:val="es-ES_tradnl"/>
        </w:rPr>
        <w:t>Artículo 3.  Derecho al Reconocimiento de la Personalidad Jurídica</w:t>
      </w:r>
    </w:p>
    <w:p w14:paraId="3DD1F600" w14:textId="77777777" w:rsidR="00955CFC" w:rsidRPr="007624ED" w:rsidRDefault="00955CFC" w:rsidP="007624ED">
      <w:pPr>
        <w:pStyle w:val="Estilo2"/>
        <w:spacing w:after="0"/>
        <w:jc w:val="left"/>
        <w:rPr>
          <w:rFonts w:ascii="Verdana" w:hAnsi="Verdana"/>
          <w:sz w:val="20"/>
          <w:szCs w:val="20"/>
          <w:lang w:val="es-ES_tradnl"/>
        </w:rPr>
      </w:pPr>
      <w:r w:rsidRPr="007624ED">
        <w:rPr>
          <w:rFonts w:ascii="Verdana" w:hAnsi="Verdana"/>
          <w:sz w:val="20"/>
          <w:szCs w:val="20"/>
          <w:lang w:val="es-ES_tradnl"/>
        </w:rPr>
        <w:t>Toda persona tiene derecho al reconocimiento de su personalidad jurídica.</w:t>
      </w:r>
    </w:p>
    <w:p w14:paraId="5F9A9044" w14:textId="77777777" w:rsidR="007624ED" w:rsidRDefault="007624ED" w:rsidP="007624ED">
      <w:pPr>
        <w:pStyle w:val="Estilo1"/>
        <w:numPr>
          <w:ilvl w:val="0"/>
          <w:numId w:val="0"/>
        </w:numPr>
        <w:spacing w:after="0"/>
        <w:rPr>
          <w:rFonts w:ascii="Verdana" w:hAnsi="Verdana"/>
          <w:sz w:val="20"/>
          <w:szCs w:val="20"/>
          <w:lang w:val="es-ES_tradnl"/>
        </w:rPr>
      </w:pPr>
    </w:p>
    <w:p w14:paraId="3DD1F601" w14:textId="77777777" w:rsidR="00955CFC" w:rsidRDefault="00955CFC" w:rsidP="007624ED">
      <w:pPr>
        <w:pStyle w:val="Estilo1"/>
        <w:numPr>
          <w:ilvl w:val="0"/>
          <w:numId w:val="0"/>
        </w:numPr>
        <w:spacing w:after="0"/>
        <w:rPr>
          <w:rFonts w:ascii="Verdana" w:hAnsi="Verdana"/>
          <w:sz w:val="20"/>
          <w:szCs w:val="20"/>
          <w:lang w:val="es-ES_tradnl"/>
        </w:rPr>
      </w:pPr>
      <w:r w:rsidRPr="007624ED">
        <w:rPr>
          <w:rFonts w:ascii="Verdana" w:hAnsi="Verdana"/>
          <w:sz w:val="20"/>
          <w:szCs w:val="20"/>
          <w:lang w:val="es-ES_tradnl"/>
        </w:rPr>
        <w:t>Por su parte, el art. 1.2 dispone:</w:t>
      </w:r>
    </w:p>
    <w:p w14:paraId="3995FCB2" w14:textId="77777777" w:rsidR="006431C8" w:rsidRPr="007624ED" w:rsidRDefault="006431C8" w:rsidP="007624ED">
      <w:pPr>
        <w:pStyle w:val="Estilo1"/>
        <w:numPr>
          <w:ilvl w:val="0"/>
          <w:numId w:val="0"/>
        </w:numPr>
        <w:spacing w:after="0"/>
        <w:rPr>
          <w:rFonts w:ascii="Verdana" w:hAnsi="Verdana"/>
          <w:sz w:val="20"/>
          <w:szCs w:val="20"/>
          <w:lang w:val="es-ES_tradnl"/>
        </w:rPr>
      </w:pPr>
    </w:p>
    <w:p w14:paraId="3DD1F602" w14:textId="77777777" w:rsidR="00955CFC" w:rsidRDefault="00955CFC" w:rsidP="007624ED">
      <w:pPr>
        <w:pStyle w:val="Estilo1"/>
        <w:numPr>
          <w:ilvl w:val="0"/>
          <w:numId w:val="0"/>
        </w:numPr>
        <w:spacing w:after="0"/>
        <w:ind w:left="708"/>
        <w:rPr>
          <w:rFonts w:ascii="Verdana" w:hAnsi="Verdana"/>
          <w:i/>
          <w:sz w:val="20"/>
          <w:szCs w:val="20"/>
          <w:lang w:val="es-ES_tradnl"/>
        </w:rPr>
      </w:pPr>
      <w:r w:rsidRPr="007624ED">
        <w:rPr>
          <w:rFonts w:ascii="Verdana" w:hAnsi="Verdana"/>
          <w:i/>
          <w:sz w:val="20"/>
          <w:szCs w:val="20"/>
          <w:lang w:val="es-ES_tradnl"/>
        </w:rPr>
        <w:t>2. Para los efectos de esta Convención, persona es todo ser humano.</w:t>
      </w:r>
    </w:p>
    <w:p w14:paraId="1FFD9DC7" w14:textId="77777777" w:rsidR="007624ED" w:rsidRPr="007624ED" w:rsidRDefault="007624ED" w:rsidP="007624ED">
      <w:pPr>
        <w:pStyle w:val="Estilo1"/>
        <w:numPr>
          <w:ilvl w:val="0"/>
          <w:numId w:val="0"/>
        </w:numPr>
        <w:spacing w:after="0"/>
        <w:rPr>
          <w:rFonts w:ascii="Verdana" w:hAnsi="Verdana"/>
          <w:i/>
          <w:sz w:val="20"/>
          <w:szCs w:val="20"/>
          <w:lang w:val="es-ES_tradnl"/>
        </w:rPr>
      </w:pPr>
    </w:p>
    <w:p w14:paraId="3DD1F603" w14:textId="77777777" w:rsidR="00080510" w:rsidRDefault="00955CFC"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Significativamente, ninguna de esas disposiciones ha sido transcripta en el texto de la sentencia. Quizás la razón para esa injustificable omisión esté en el hecho de </w:t>
      </w:r>
      <w:r w:rsidR="001239BE" w:rsidRPr="007624ED">
        <w:rPr>
          <w:rFonts w:ascii="Verdana" w:hAnsi="Verdana"/>
          <w:sz w:val="20"/>
          <w:szCs w:val="20"/>
          <w:lang w:val="es-ES_tradnl"/>
        </w:rPr>
        <w:t xml:space="preserve">que </w:t>
      </w:r>
      <w:r w:rsidRPr="007624ED">
        <w:rPr>
          <w:rFonts w:ascii="Verdana" w:hAnsi="Verdana"/>
          <w:sz w:val="20"/>
          <w:szCs w:val="20"/>
          <w:lang w:val="es-ES_tradnl"/>
        </w:rPr>
        <w:t xml:space="preserve">basta leer </w:t>
      </w:r>
      <w:r w:rsidR="00467100" w:rsidRPr="007624ED">
        <w:rPr>
          <w:rFonts w:ascii="Verdana" w:hAnsi="Verdana"/>
          <w:sz w:val="20"/>
          <w:szCs w:val="20"/>
          <w:lang w:val="es-ES_tradnl"/>
        </w:rPr>
        <w:t xml:space="preserve">el artículo 3 y el artículo 1.2 para advertir que el derecho al reconocimiento de la personalidad jurídica es </w:t>
      </w:r>
      <w:r w:rsidR="00723A7E" w:rsidRPr="007624ED">
        <w:rPr>
          <w:rFonts w:ascii="Verdana" w:hAnsi="Verdana"/>
          <w:sz w:val="20"/>
          <w:szCs w:val="20"/>
          <w:lang w:val="es-ES_tradnl"/>
        </w:rPr>
        <w:t>uno de los “</w:t>
      </w:r>
      <w:r w:rsidR="00723A7E" w:rsidRPr="007624ED">
        <w:rPr>
          <w:rFonts w:ascii="Verdana" w:eastAsia="Times New Roman" w:hAnsi="Verdana"/>
          <w:color w:val="000000"/>
          <w:sz w:val="20"/>
          <w:szCs w:val="20"/>
          <w:lang w:val="es-ES_tradnl"/>
        </w:rPr>
        <w:t xml:space="preserve">derechos y garantías que son inherentes </w:t>
      </w:r>
      <w:r w:rsidR="00723A7E" w:rsidRPr="007624ED">
        <w:rPr>
          <w:rFonts w:ascii="Verdana" w:eastAsia="Times New Roman" w:hAnsi="Verdana"/>
          <w:i/>
          <w:color w:val="000000"/>
          <w:sz w:val="20"/>
          <w:szCs w:val="20"/>
          <w:lang w:val="es-ES_tradnl"/>
        </w:rPr>
        <w:t>al ser humano</w:t>
      </w:r>
      <w:r w:rsidR="00723A7E" w:rsidRPr="007624ED">
        <w:rPr>
          <w:rFonts w:ascii="Verdana" w:eastAsia="Times New Roman" w:hAnsi="Verdana"/>
          <w:color w:val="000000"/>
          <w:sz w:val="20"/>
          <w:szCs w:val="20"/>
          <w:lang w:val="es-ES_tradnl"/>
        </w:rPr>
        <w:t xml:space="preserve">” (art. 29 c)), </w:t>
      </w:r>
      <w:r w:rsidR="00723A7E" w:rsidRPr="007624ED">
        <w:rPr>
          <w:rFonts w:ascii="Verdana" w:hAnsi="Verdana"/>
          <w:sz w:val="20"/>
          <w:szCs w:val="20"/>
          <w:lang w:val="es-ES_tradnl"/>
        </w:rPr>
        <w:t>que no puede ser suspendido en los casos de emergencia (art. 27.2)</w:t>
      </w:r>
      <w:r w:rsidR="00B3687D" w:rsidRPr="007624ED">
        <w:rPr>
          <w:rFonts w:ascii="Verdana" w:hAnsi="Verdana"/>
          <w:sz w:val="20"/>
          <w:szCs w:val="20"/>
          <w:lang w:val="es-ES_tradnl"/>
        </w:rPr>
        <w:t>.</w:t>
      </w:r>
    </w:p>
    <w:p w14:paraId="479D6AA7"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04" w14:textId="77777777" w:rsidR="00EC5E9A" w:rsidRDefault="00723A7E"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En consecuencia, el artículo 3 no puede servir de fundamento para el otorgamiento o reconocimiento de </w:t>
      </w:r>
      <w:r w:rsidRPr="007624ED">
        <w:rPr>
          <w:rFonts w:ascii="Verdana" w:hAnsi="Verdana"/>
          <w:i/>
          <w:sz w:val="20"/>
          <w:szCs w:val="20"/>
          <w:lang w:val="es-ES_tradnl"/>
        </w:rPr>
        <w:t>personería jurídica</w:t>
      </w:r>
      <w:r w:rsidRPr="007624ED">
        <w:rPr>
          <w:rFonts w:ascii="Verdana" w:hAnsi="Verdana"/>
          <w:sz w:val="20"/>
          <w:szCs w:val="20"/>
          <w:lang w:val="es-ES_tradnl"/>
        </w:rPr>
        <w:t xml:space="preserve"> a grupos o entidades colectivas, sean o no comunidades o pueblos indígenas o tribales. </w:t>
      </w:r>
    </w:p>
    <w:p w14:paraId="7D115C5C"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05" w14:textId="77777777" w:rsidR="00EC5E9A" w:rsidRDefault="00723A7E" w:rsidP="007624ED">
      <w:pPr>
        <w:pStyle w:val="Estilo1"/>
        <w:spacing w:after="0"/>
        <w:rPr>
          <w:rFonts w:ascii="Verdana" w:hAnsi="Verdana"/>
          <w:sz w:val="20"/>
          <w:szCs w:val="20"/>
          <w:lang w:val="es-ES_tradnl"/>
        </w:rPr>
      </w:pPr>
      <w:r w:rsidRPr="007624ED">
        <w:rPr>
          <w:rFonts w:ascii="Verdana" w:hAnsi="Verdana"/>
          <w:sz w:val="20"/>
          <w:szCs w:val="20"/>
          <w:lang w:val="es-ES_tradnl"/>
        </w:rPr>
        <w:t>Distinto es el tema del reconocimiento de la personalidad jurídica de los seres humanos individuales que componen ese pueblo o comunidad, co</w:t>
      </w:r>
      <w:r w:rsidR="000B0F5B" w:rsidRPr="007624ED">
        <w:rPr>
          <w:rFonts w:ascii="Verdana" w:hAnsi="Verdana"/>
          <w:sz w:val="20"/>
          <w:szCs w:val="20"/>
          <w:lang w:val="es-ES_tradnl"/>
        </w:rPr>
        <w:t xml:space="preserve">mo lo hizo la Corte en el caso de la </w:t>
      </w:r>
      <w:r w:rsidR="000B0F5B" w:rsidRPr="007624ED">
        <w:rPr>
          <w:rFonts w:ascii="Verdana" w:hAnsi="Verdana"/>
          <w:i/>
          <w:sz w:val="20"/>
          <w:szCs w:val="20"/>
          <w:lang w:val="es-ES_tradnl"/>
        </w:rPr>
        <w:t>Comunidad Indígena</w:t>
      </w:r>
      <w:r w:rsidR="000B0F5B" w:rsidRPr="007624ED">
        <w:rPr>
          <w:rFonts w:ascii="Verdana" w:hAnsi="Verdana"/>
          <w:sz w:val="20"/>
          <w:szCs w:val="20"/>
          <w:lang w:val="es-ES_tradnl"/>
        </w:rPr>
        <w:t xml:space="preserve"> </w:t>
      </w:r>
      <w:proofErr w:type="spellStart"/>
      <w:r w:rsidR="000B0F5B" w:rsidRPr="007624ED">
        <w:rPr>
          <w:rFonts w:ascii="Verdana" w:hAnsi="Verdana"/>
          <w:i/>
          <w:sz w:val="20"/>
          <w:szCs w:val="20"/>
          <w:lang w:val="es-ES_tradnl"/>
        </w:rPr>
        <w:t>Sawhoyamaxa</w:t>
      </w:r>
      <w:proofErr w:type="spellEnd"/>
      <w:r w:rsidR="001239BE" w:rsidRPr="007624ED">
        <w:rPr>
          <w:rFonts w:ascii="Verdana" w:hAnsi="Verdana"/>
          <w:i/>
          <w:sz w:val="20"/>
          <w:szCs w:val="20"/>
          <w:lang w:val="es-ES_tradnl"/>
        </w:rPr>
        <w:t xml:space="preserve">, </w:t>
      </w:r>
      <w:r w:rsidR="001239BE" w:rsidRPr="007624ED">
        <w:rPr>
          <w:rFonts w:ascii="Verdana" w:hAnsi="Verdana"/>
          <w:sz w:val="20"/>
          <w:szCs w:val="20"/>
          <w:lang w:val="es-ES_tradnl"/>
        </w:rPr>
        <w:t>en el cual</w:t>
      </w:r>
      <w:r w:rsidR="000B0F5B" w:rsidRPr="007624ED">
        <w:rPr>
          <w:rFonts w:ascii="Verdana" w:hAnsi="Verdana"/>
          <w:sz w:val="20"/>
          <w:szCs w:val="20"/>
          <w:lang w:val="es-ES_tradnl"/>
        </w:rPr>
        <w:t xml:space="preserve"> </w:t>
      </w:r>
      <w:r w:rsidR="00EC5E9A" w:rsidRPr="007624ED">
        <w:rPr>
          <w:rFonts w:ascii="Verdana" w:hAnsi="Verdana"/>
          <w:sz w:val="20"/>
          <w:szCs w:val="20"/>
          <w:lang w:val="es-ES_tradnl"/>
        </w:rPr>
        <w:t>declaró violado el artículo 3 en perjuicio de varios miembros individuales de dicha comunidad que “</w:t>
      </w:r>
      <w:r w:rsidR="00EC5E9A" w:rsidRPr="007624ED">
        <w:rPr>
          <w:rFonts w:ascii="Verdana" w:hAnsi="Verdana"/>
          <w:i/>
          <w:sz w:val="20"/>
          <w:szCs w:val="20"/>
          <w:lang w:val="es-ES_tradnl"/>
        </w:rPr>
        <w:t xml:space="preserve">no contaron con registros de su nacimiento y defunción, ni con </w:t>
      </w:r>
      <w:r w:rsidR="00EC5E9A" w:rsidRPr="007624ED">
        <w:rPr>
          <w:rFonts w:ascii="Verdana" w:hAnsi="Verdana"/>
          <w:i/>
          <w:sz w:val="20"/>
          <w:szCs w:val="20"/>
          <w:lang w:val="es-ES_tradnl"/>
        </w:rPr>
        <w:lastRenderedPageBreak/>
        <w:t xml:space="preserve">algún otro documento proveído por el Estado capaz de demostrar su existencia e identidad”. </w:t>
      </w:r>
      <w:r w:rsidR="00EC5E9A" w:rsidRPr="007624ED">
        <w:rPr>
          <w:rFonts w:ascii="Verdana" w:hAnsi="Verdana"/>
          <w:sz w:val="20"/>
          <w:szCs w:val="20"/>
          <w:lang w:val="es-ES_tradnl"/>
        </w:rPr>
        <w:t>Dijo la Corte:</w:t>
      </w:r>
    </w:p>
    <w:p w14:paraId="14A4F3EA"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06" w14:textId="77777777" w:rsidR="00EC5E9A" w:rsidRDefault="00EC5E9A" w:rsidP="007624ED">
      <w:pPr>
        <w:pStyle w:val="Estilo3"/>
        <w:spacing w:after="0"/>
        <w:rPr>
          <w:rFonts w:ascii="Verdana" w:hAnsi="Verdana"/>
          <w:i w:val="0"/>
          <w:sz w:val="20"/>
          <w:szCs w:val="20"/>
          <w:lang w:val="es-ES_tradnl"/>
        </w:rPr>
      </w:pPr>
      <w:r w:rsidRPr="007624ED">
        <w:rPr>
          <w:rFonts w:ascii="Verdana" w:hAnsi="Verdana"/>
          <w:i w:val="0"/>
          <w:sz w:val="20"/>
          <w:szCs w:val="20"/>
          <w:lang w:val="es-ES_tradnl"/>
        </w:rPr>
        <w:t>188. El derecho al reconocimiento de la personalidad jurídica representa un parámetro para determinar si una persona es titular o no de los derechos de que se trate, y si los puede ejercer. La violación de aquel reconocimiento supone desconocer en términos absolutos la posibilidad de ser titular de esos derechos y contraer obligaciones, y hace al individuo vulnerable frente a la no observancia de los mismos por parte del Estado o de particulares.</w:t>
      </w:r>
    </w:p>
    <w:p w14:paraId="5BE30C92" w14:textId="77777777" w:rsidR="007624ED" w:rsidRPr="007624ED" w:rsidRDefault="007624ED" w:rsidP="007624ED">
      <w:pPr>
        <w:pStyle w:val="Estilo3"/>
        <w:spacing w:after="0"/>
        <w:rPr>
          <w:rFonts w:ascii="Verdana" w:hAnsi="Verdana"/>
          <w:i w:val="0"/>
          <w:sz w:val="20"/>
          <w:szCs w:val="20"/>
          <w:lang w:val="es-ES_tradnl"/>
        </w:rPr>
      </w:pPr>
    </w:p>
    <w:p w14:paraId="3DD1F607" w14:textId="77777777" w:rsidR="00EC5E9A" w:rsidRDefault="00EC5E9A" w:rsidP="007624ED">
      <w:pPr>
        <w:pStyle w:val="Estilo3"/>
        <w:spacing w:after="0"/>
        <w:rPr>
          <w:rFonts w:ascii="Verdana" w:hAnsi="Verdana"/>
          <w:i w:val="0"/>
          <w:sz w:val="20"/>
          <w:szCs w:val="20"/>
          <w:lang w:val="es-ES_tradnl"/>
        </w:rPr>
      </w:pPr>
      <w:r w:rsidRPr="007624ED">
        <w:rPr>
          <w:rFonts w:ascii="Verdana" w:hAnsi="Verdana"/>
          <w:i w:val="0"/>
          <w:sz w:val="20"/>
          <w:szCs w:val="20"/>
          <w:lang w:val="es-ES_tradnl"/>
        </w:rPr>
        <w:t>189. Es deber del Estado procurar los medios y condiciones jurídicas en general, para que el derecho al reconocimiento de la personalidad jurídica pueda ser ejercido por sus titulares. En especial, el Estado se encuentra obligado a garantizar a aquellas personas en situación de vulnerabilidad, marginalización y discriminación, las condiciones jurídicas y administrativas que les aseguren el ejercicio de este derecho, en atención al principio de igualdad ante la ley.</w:t>
      </w:r>
    </w:p>
    <w:p w14:paraId="30663108" w14:textId="77777777" w:rsidR="007624ED" w:rsidRPr="007624ED" w:rsidRDefault="007624ED" w:rsidP="007624ED">
      <w:pPr>
        <w:pStyle w:val="Estilo3"/>
        <w:spacing w:after="0"/>
        <w:ind w:left="0"/>
        <w:rPr>
          <w:rFonts w:ascii="Verdana" w:hAnsi="Verdana"/>
          <w:i w:val="0"/>
          <w:sz w:val="20"/>
          <w:szCs w:val="20"/>
          <w:lang w:val="es-ES_tradnl"/>
        </w:rPr>
      </w:pPr>
    </w:p>
    <w:p w14:paraId="3DD1F608" w14:textId="77777777" w:rsidR="00EC5E9A" w:rsidRPr="007624ED" w:rsidRDefault="00EC5E9A" w:rsidP="007624ED">
      <w:pPr>
        <w:pStyle w:val="Estilo3"/>
        <w:spacing w:after="0"/>
        <w:rPr>
          <w:rFonts w:ascii="Verdana" w:hAnsi="Verdana"/>
          <w:i w:val="0"/>
          <w:sz w:val="20"/>
          <w:szCs w:val="20"/>
          <w:lang w:val="es-ES_tradnl"/>
        </w:rPr>
      </w:pPr>
      <w:r w:rsidRPr="007624ED">
        <w:rPr>
          <w:rFonts w:ascii="Verdana" w:hAnsi="Verdana"/>
          <w:i w:val="0"/>
          <w:sz w:val="20"/>
          <w:szCs w:val="20"/>
          <w:lang w:val="es-ES_tradnl"/>
        </w:rPr>
        <w:t xml:space="preserve">190. En el presente caso, la Corte ha tenido por demostrado que 18 de los 19 miembros de la Comunidad </w:t>
      </w:r>
      <w:proofErr w:type="spellStart"/>
      <w:r w:rsidRPr="007624ED">
        <w:rPr>
          <w:rFonts w:ascii="Verdana" w:hAnsi="Verdana"/>
          <w:i w:val="0"/>
          <w:sz w:val="20"/>
          <w:szCs w:val="20"/>
          <w:lang w:val="es-ES_tradnl"/>
        </w:rPr>
        <w:t>Sawhoyamaxa</w:t>
      </w:r>
      <w:proofErr w:type="spellEnd"/>
      <w:r w:rsidRPr="007624ED">
        <w:rPr>
          <w:rFonts w:ascii="Verdana" w:hAnsi="Verdana"/>
          <w:i w:val="0"/>
          <w:sz w:val="20"/>
          <w:szCs w:val="20"/>
          <w:lang w:val="es-ES_tradnl"/>
        </w:rPr>
        <w:t xml:space="preserve"> que fallecieron como consecuencia del incumplimiento por parte del Estado de su deber de prevención de su derecho a la vida (</w:t>
      </w:r>
      <w:r w:rsidRPr="00120F47">
        <w:rPr>
          <w:rFonts w:ascii="Verdana" w:hAnsi="Verdana"/>
          <w:sz w:val="20"/>
          <w:szCs w:val="20"/>
          <w:lang w:val="es-ES_tradnl"/>
        </w:rPr>
        <w:t>supra</w:t>
      </w:r>
      <w:r w:rsidRPr="007624ED">
        <w:rPr>
          <w:rFonts w:ascii="Verdana" w:hAnsi="Verdana"/>
          <w:i w:val="0"/>
          <w:sz w:val="20"/>
          <w:szCs w:val="20"/>
          <w:lang w:val="es-ES_tradnl"/>
        </w:rPr>
        <w:t xml:space="preserve"> párr. 178), no contaron con registros de su nacimiento y defunción, ni con algún otro documento proveído por el Estado capaz de demostrar su existencia e identidad.</w:t>
      </w:r>
    </w:p>
    <w:p w14:paraId="3DD1F609" w14:textId="77777777" w:rsidR="00EC5E9A" w:rsidRDefault="00EC5E9A" w:rsidP="007624ED">
      <w:pPr>
        <w:pStyle w:val="Estilo3"/>
        <w:spacing w:after="0"/>
        <w:rPr>
          <w:rFonts w:ascii="Verdana" w:hAnsi="Verdana"/>
          <w:i w:val="0"/>
          <w:sz w:val="20"/>
          <w:szCs w:val="20"/>
          <w:lang w:val="es-ES_tradnl"/>
        </w:rPr>
      </w:pPr>
      <w:r w:rsidRPr="007624ED">
        <w:rPr>
          <w:rFonts w:ascii="Verdana" w:hAnsi="Verdana"/>
          <w:i w:val="0"/>
          <w:sz w:val="20"/>
          <w:szCs w:val="20"/>
          <w:lang w:val="es-ES_tradnl"/>
        </w:rPr>
        <w:t>(…)</w:t>
      </w:r>
    </w:p>
    <w:p w14:paraId="5B73BA46" w14:textId="77777777" w:rsidR="007624ED" w:rsidRPr="007624ED" w:rsidRDefault="007624ED" w:rsidP="007624ED">
      <w:pPr>
        <w:pStyle w:val="Estilo3"/>
        <w:spacing w:after="0"/>
        <w:rPr>
          <w:rFonts w:ascii="Verdana" w:hAnsi="Verdana"/>
          <w:i w:val="0"/>
          <w:sz w:val="20"/>
          <w:szCs w:val="20"/>
          <w:lang w:val="es-ES_tradnl"/>
        </w:rPr>
      </w:pPr>
    </w:p>
    <w:p w14:paraId="3DD1F60A" w14:textId="77777777" w:rsidR="00EC5E9A" w:rsidRDefault="00EC5E9A" w:rsidP="007624ED">
      <w:pPr>
        <w:pStyle w:val="Estilo3"/>
        <w:spacing w:after="0"/>
        <w:rPr>
          <w:rFonts w:ascii="Verdana" w:hAnsi="Verdana"/>
          <w:sz w:val="20"/>
          <w:szCs w:val="20"/>
          <w:lang w:val="es-ES_tradnl"/>
        </w:rPr>
      </w:pPr>
      <w:r w:rsidRPr="007624ED">
        <w:rPr>
          <w:rFonts w:ascii="Verdana" w:hAnsi="Verdana"/>
          <w:i w:val="0"/>
          <w:sz w:val="20"/>
          <w:szCs w:val="20"/>
          <w:lang w:val="es-ES_tradnl"/>
        </w:rPr>
        <w:t>194.</w:t>
      </w:r>
      <w:r w:rsidRPr="007624ED">
        <w:rPr>
          <w:rFonts w:ascii="Verdana" w:hAnsi="Verdana"/>
          <w:sz w:val="20"/>
          <w:szCs w:val="20"/>
          <w:lang w:val="es-ES_tradnl"/>
        </w:rPr>
        <w:t xml:space="preserve"> Con base en las consideraciones anteriores, y sin perjuicio de que otros miembros de la Comunidad se encuentren en la misma situación, la Corte estima que el Estado violó el derecho al reconocimiento de la personalidad jurídica consagrado en el artículo 3 de la Convención Americana, en perjuicio de NN Galarza, Rosana López, Eduardo Cáceres, Eulalio Cáceres, Esteban González Aponte, NN González Aponte, NN </w:t>
      </w:r>
      <w:proofErr w:type="spellStart"/>
      <w:r w:rsidRPr="007624ED">
        <w:rPr>
          <w:rFonts w:ascii="Verdana" w:hAnsi="Verdana"/>
          <w:sz w:val="20"/>
          <w:szCs w:val="20"/>
          <w:lang w:val="es-ES_tradnl"/>
        </w:rPr>
        <w:t>Yegros</w:t>
      </w:r>
      <w:proofErr w:type="spellEnd"/>
      <w:r w:rsidRPr="007624ED">
        <w:rPr>
          <w:rFonts w:ascii="Verdana" w:hAnsi="Verdana"/>
          <w:sz w:val="20"/>
          <w:szCs w:val="20"/>
          <w:lang w:val="es-ES_tradnl"/>
        </w:rPr>
        <w:t xml:space="preserve">, Jenny Toledo, Guido Ruiz Díaz, NN González, Luis Torres Chávez, Diego Andrés Ayala, Francisca </w:t>
      </w:r>
      <w:proofErr w:type="spellStart"/>
      <w:r w:rsidRPr="007624ED">
        <w:rPr>
          <w:rFonts w:ascii="Verdana" w:hAnsi="Verdana"/>
          <w:sz w:val="20"/>
          <w:szCs w:val="20"/>
          <w:lang w:val="es-ES_tradnl"/>
        </w:rPr>
        <w:t>Britez</w:t>
      </w:r>
      <w:proofErr w:type="spellEnd"/>
      <w:r w:rsidRPr="007624ED">
        <w:rPr>
          <w:rFonts w:ascii="Verdana" w:hAnsi="Verdana"/>
          <w:sz w:val="20"/>
          <w:szCs w:val="20"/>
          <w:lang w:val="es-ES_tradnl"/>
        </w:rPr>
        <w:t xml:space="preserve">, Silvia Adela Chávez, </w:t>
      </w:r>
      <w:proofErr w:type="spellStart"/>
      <w:r w:rsidRPr="007624ED">
        <w:rPr>
          <w:rFonts w:ascii="Verdana" w:hAnsi="Verdana"/>
          <w:sz w:val="20"/>
          <w:szCs w:val="20"/>
          <w:lang w:val="es-ES_tradnl"/>
        </w:rPr>
        <w:t>Derlis</w:t>
      </w:r>
      <w:proofErr w:type="spellEnd"/>
      <w:r w:rsidRPr="007624ED">
        <w:rPr>
          <w:rFonts w:ascii="Verdana" w:hAnsi="Verdana"/>
          <w:sz w:val="20"/>
          <w:szCs w:val="20"/>
          <w:lang w:val="es-ES_tradnl"/>
        </w:rPr>
        <w:t xml:space="preserve"> Armando Torres, Juan Ramón González, Arnaldo Galarza y Fátima Galarza</w:t>
      </w:r>
      <w:r w:rsidRPr="007624ED">
        <w:rPr>
          <w:rStyle w:val="FootnoteReference"/>
          <w:rFonts w:ascii="Verdana" w:hAnsi="Verdana"/>
          <w:i w:val="0"/>
          <w:sz w:val="20"/>
          <w:szCs w:val="20"/>
          <w:lang w:val="es-ES_tradnl"/>
        </w:rPr>
        <w:footnoteReference w:id="1"/>
      </w:r>
      <w:r w:rsidRPr="007624ED">
        <w:rPr>
          <w:rFonts w:ascii="Verdana" w:hAnsi="Verdana"/>
          <w:sz w:val="20"/>
          <w:szCs w:val="20"/>
          <w:lang w:val="es-ES_tradnl"/>
        </w:rPr>
        <w:t>.</w:t>
      </w:r>
    </w:p>
    <w:p w14:paraId="01BDFC61" w14:textId="77777777" w:rsidR="007624ED" w:rsidRPr="007624ED" w:rsidRDefault="007624ED" w:rsidP="007624ED">
      <w:pPr>
        <w:pStyle w:val="Estilo3"/>
        <w:spacing w:after="0"/>
        <w:rPr>
          <w:rFonts w:ascii="Verdana" w:hAnsi="Verdana"/>
          <w:sz w:val="20"/>
          <w:szCs w:val="20"/>
          <w:lang w:val="es-ES_tradnl"/>
        </w:rPr>
      </w:pPr>
    </w:p>
    <w:p w14:paraId="3DD1F60B" w14:textId="66336BE9" w:rsidR="004941AC" w:rsidRDefault="000334AE"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El artículo 3 ha sido </w:t>
      </w:r>
      <w:r w:rsidR="001239BE" w:rsidRPr="007624ED">
        <w:rPr>
          <w:rFonts w:ascii="Verdana" w:hAnsi="Verdana"/>
          <w:sz w:val="20"/>
          <w:szCs w:val="20"/>
          <w:lang w:val="es-ES_tradnl"/>
        </w:rPr>
        <w:t xml:space="preserve">también </w:t>
      </w:r>
      <w:r w:rsidRPr="007624ED">
        <w:rPr>
          <w:rFonts w:ascii="Verdana" w:hAnsi="Verdana"/>
          <w:sz w:val="20"/>
          <w:szCs w:val="20"/>
          <w:lang w:val="es-ES_tradnl"/>
        </w:rPr>
        <w:t>interpr</w:t>
      </w:r>
      <w:r w:rsidR="001239BE" w:rsidRPr="007624ED">
        <w:rPr>
          <w:rFonts w:ascii="Verdana" w:hAnsi="Verdana"/>
          <w:sz w:val="20"/>
          <w:szCs w:val="20"/>
          <w:lang w:val="es-ES_tradnl"/>
        </w:rPr>
        <w:t>etado y aplicado correctamente –</w:t>
      </w:r>
      <w:r w:rsidRPr="007624ED">
        <w:rPr>
          <w:rFonts w:ascii="Verdana" w:hAnsi="Verdana"/>
          <w:sz w:val="20"/>
          <w:szCs w:val="20"/>
          <w:lang w:val="es-ES_tradnl"/>
        </w:rPr>
        <w:t>es decir, como un derecho f</w:t>
      </w:r>
      <w:r w:rsidR="001239BE" w:rsidRPr="007624ED">
        <w:rPr>
          <w:rFonts w:ascii="Verdana" w:hAnsi="Verdana"/>
          <w:sz w:val="20"/>
          <w:szCs w:val="20"/>
          <w:lang w:val="es-ES_tradnl"/>
        </w:rPr>
        <w:t>undamental de los seres humanos–</w:t>
      </w:r>
      <w:r w:rsidRPr="007624ED">
        <w:rPr>
          <w:rFonts w:ascii="Verdana" w:hAnsi="Verdana"/>
          <w:sz w:val="20"/>
          <w:szCs w:val="20"/>
          <w:lang w:val="es-ES_tradnl"/>
        </w:rPr>
        <w:t xml:space="preserve"> en numerosos casos</w:t>
      </w:r>
      <w:r w:rsidR="005C53E0" w:rsidRPr="007624ED">
        <w:rPr>
          <w:rFonts w:ascii="Verdana" w:hAnsi="Verdana"/>
          <w:sz w:val="20"/>
          <w:szCs w:val="20"/>
          <w:lang w:val="es-ES_tradnl"/>
        </w:rPr>
        <w:t xml:space="preserve">. </w:t>
      </w:r>
      <w:r w:rsidRPr="007624ED">
        <w:rPr>
          <w:rFonts w:ascii="Verdana" w:hAnsi="Verdana"/>
          <w:sz w:val="20"/>
          <w:szCs w:val="20"/>
          <w:lang w:val="es-ES_tradnl"/>
        </w:rPr>
        <w:t>Por ejemplo</w:t>
      </w:r>
      <w:r w:rsidR="005C53E0" w:rsidRPr="007624ED">
        <w:rPr>
          <w:rFonts w:ascii="Verdana" w:hAnsi="Verdana"/>
          <w:sz w:val="20"/>
          <w:szCs w:val="20"/>
          <w:lang w:val="es-ES_tradnl"/>
        </w:rPr>
        <w:t xml:space="preserve">, en el </w:t>
      </w:r>
      <w:r w:rsidR="00F61931">
        <w:rPr>
          <w:rFonts w:ascii="Verdana" w:hAnsi="Verdana"/>
          <w:i/>
          <w:sz w:val="20"/>
          <w:szCs w:val="20"/>
          <w:lang w:val="es-ES_tradnl"/>
        </w:rPr>
        <w:t>C</w:t>
      </w:r>
      <w:r w:rsidR="005C53E0" w:rsidRPr="00120F47">
        <w:rPr>
          <w:rFonts w:ascii="Verdana" w:hAnsi="Verdana"/>
          <w:i/>
          <w:sz w:val="20"/>
          <w:szCs w:val="20"/>
          <w:lang w:val="es-ES_tradnl"/>
        </w:rPr>
        <w:t xml:space="preserve">aso </w:t>
      </w:r>
      <w:r w:rsidR="004941AC" w:rsidRPr="00120F47">
        <w:rPr>
          <w:rFonts w:ascii="Verdana" w:hAnsi="Verdana"/>
          <w:i/>
          <w:sz w:val="20"/>
          <w:szCs w:val="20"/>
          <w:lang w:val="es-ES_tradnl"/>
        </w:rPr>
        <w:t xml:space="preserve">de las Niñas </w:t>
      </w:r>
      <w:proofErr w:type="spellStart"/>
      <w:r w:rsidR="004941AC" w:rsidRPr="00120F47">
        <w:rPr>
          <w:rFonts w:ascii="Verdana" w:hAnsi="Verdana"/>
          <w:i/>
          <w:sz w:val="20"/>
          <w:szCs w:val="20"/>
          <w:lang w:val="es-ES_tradnl"/>
        </w:rPr>
        <w:t>Yean</w:t>
      </w:r>
      <w:proofErr w:type="spellEnd"/>
      <w:r w:rsidR="004941AC" w:rsidRPr="00120F47">
        <w:rPr>
          <w:rFonts w:ascii="Verdana" w:hAnsi="Verdana"/>
          <w:i/>
          <w:sz w:val="20"/>
          <w:szCs w:val="20"/>
          <w:lang w:val="es-ES_tradnl"/>
        </w:rPr>
        <w:t xml:space="preserve"> y </w:t>
      </w:r>
      <w:proofErr w:type="spellStart"/>
      <w:r w:rsidR="004941AC" w:rsidRPr="00120F47">
        <w:rPr>
          <w:rFonts w:ascii="Verdana" w:hAnsi="Verdana"/>
          <w:i/>
          <w:sz w:val="20"/>
          <w:szCs w:val="20"/>
          <w:lang w:val="es-ES_tradnl"/>
        </w:rPr>
        <w:t>Bosico</w:t>
      </w:r>
      <w:proofErr w:type="spellEnd"/>
      <w:r w:rsidRPr="00120F47">
        <w:rPr>
          <w:rFonts w:ascii="Verdana" w:hAnsi="Verdana"/>
          <w:i/>
          <w:sz w:val="20"/>
          <w:szCs w:val="20"/>
          <w:lang w:val="es-ES_tradnl"/>
        </w:rPr>
        <w:t xml:space="preserve"> vs. República Dominicana</w:t>
      </w:r>
      <w:r w:rsidR="004941AC" w:rsidRPr="007624ED">
        <w:rPr>
          <w:rFonts w:ascii="Verdana" w:hAnsi="Verdana"/>
          <w:sz w:val="20"/>
          <w:szCs w:val="20"/>
          <w:lang w:val="es-ES_tradnl"/>
        </w:rPr>
        <w:t>, la Corte determinó lo siguiente</w:t>
      </w:r>
      <w:r w:rsidR="001478DE">
        <w:rPr>
          <w:rFonts w:ascii="Verdana" w:hAnsi="Verdana"/>
          <w:sz w:val="20"/>
          <w:szCs w:val="20"/>
          <w:lang w:val="es-ES_tradnl"/>
        </w:rPr>
        <w:t>:</w:t>
      </w:r>
    </w:p>
    <w:p w14:paraId="7087CCC2"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0C" w14:textId="77777777" w:rsidR="004941AC" w:rsidRDefault="004941AC" w:rsidP="007624ED">
      <w:pPr>
        <w:pStyle w:val="Estilo1"/>
        <w:numPr>
          <w:ilvl w:val="0"/>
          <w:numId w:val="0"/>
        </w:numPr>
        <w:spacing w:after="0"/>
        <w:ind w:left="708"/>
        <w:rPr>
          <w:rFonts w:ascii="Verdana" w:hAnsi="Verdana"/>
          <w:sz w:val="20"/>
          <w:szCs w:val="20"/>
          <w:lang w:val="es-ES_tradnl"/>
        </w:rPr>
      </w:pPr>
      <w:r w:rsidRPr="007624ED">
        <w:rPr>
          <w:rFonts w:ascii="Verdana" w:hAnsi="Verdana"/>
          <w:sz w:val="20"/>
          <w:szCs w:val="20"/>
          <w:lang w:val="es-ES_tradnl"/>
        </w:rPr>
        <w:t xml:space="preserve">178. Una persona apátrida, </w:t>
      </w:r>
      <w:r w:rsidRPr="007624ED">
        <w:rPr>
          <w:rFonts w:ascii="Verdana" w:hAnsi="Verdana"/>
          <w:i/>
          <w:sz w:val="20"/>
          <w:szCs w:val="20"/>
          <w:lang w:val="es-ES_tradnl"/>
        </w:rPr>
        <w:t xml:space="preserve">ex </w:t>
      </w:r>
      <w:proofErr w:type="spellStart"/>
      <w:r w:rsidRPr="007624ED">
        <w:rPr>
          <w:rFonts w:ascii="Verdana" w:hAnsi="Verdana"/>
          <w:i/>
          <w:sz w:val="20"/>
          <w:szCs w:val="20"/>
          <w:lang w:val="es-ES_tradnl"/>
        </w:rPr>
        <w:t>definitione</w:t>
      </w:r>
      <w:proofErr w:type="spellEnd"/>
      <w:r w:rsidRPr="007624ED">
        <w:rPr>
          <w:rFonts w:ascii="Verdana" w:hAnsi="Verdana"/>
          <w:sz w:val="20"/>
          <w:szCs w:val="20"/>
          <w:lang w:val="es-ES_tradnl"/>
        </w:rPr>
        <w:t xml:space="preserve">, no tiene personalidad jurídica reconocida, ya que no ha establecido un vínculo jurídico-político con ningún Estado, por lo que la nacionalidad es un prerrequisito del reconocimiento de la personalidad jurídica. </w:t>
      </w:r>
    </w:p>
    <w:p w14:paraId="24C71F2C" w14:textId="77777777" w:rsidR="007624ED" w:rsidRPr="007624ED" w:rsidRDefault="007624ED" w:rsidP="007624ED">
      <w:pPr>
        <w:pStyle w:val="Estilo1"/>
        <w:numPr>
          <w:ilvl w:val="0"/>
          <w:numId w:val="0"/>
        </w:numPr>
        <w:spacing w:after="0"/>
        <w:ind w:left="708"/>
        <w:rPr>
          <w:rFonts w:ascii="Verdana" w:hAnsi="Verdana"/>
          <w:sz w:val="20"/>
          <w:szCs w:val="20"/>
          <w:lang w:val="es-ES_tradnl"/>
        </w:rPr>
      </w:pPr>
    </w:p>
    <w:p w14:paraId="3DD1F60D" w14:textId="77777777" w:rsidR="004941AC" w:rsidRDefault="004941AC" w:rsidP="007624ED">
      <w:pPr>
        <w:pStyle w:val="Estilo1"/>
        <w:numPr>
          <w:ilvl w:val="0"/>
          <w:numId w:val="0"/>
        </w:numPr>
        <w:spacing w:after="0"/>
        <w:ind w:left="708"/>
        <w:rPr>
          <w:rFonts w:ascii="Verdana" w:hAnsi="Verdana"/>
          <w:sz w:val="20"/>
          <w:szCs w:val="20"/>
          <w:lang w:val="es-ES_tradnl"/>
        </w:rPr>
      </w:pPr>
      <w:r w:rsidRPr="007624ED">
        <w:rPr>
          <w:rFonts w:ascii="Verdana" w:hAnsi="Verdana"/>
          <w:sz w:val="20"/>
          <w:szCs w:val="20"/>
          <w:lang w:val="es-ES_tradnl"/>
        </w:rPr>
        <w:t xml:space="preserve">179. La Corte estima que la falta del reconocimiento de la personalidad jurídica lesiona la dignidad humana, ya que niega de forma absoluta su condición de sujeto de derechos y hace al individuo vulnerable frente a la no observancia de sus derechos por el Estado o por particulares. </w:t>
      </w:r>
    </w:p>
    <w:p w14:paraId="0603AC96" w14:textId="77777777" w:rsidR="007624ED" w:rsidRPr="007624ED" w:rsidRDefault="007624ED" w:rsidP="007624ED">
      <w:pPr>
        <w:pStyle w:val="Estilo1"/>
        <w:numPr>
          <w:ilvl w:val="0"/>
          <w:numId w:val="0"/>
        </w:numPr>
        <w:spacing w:after="0"/>
        <w:ind w:left="708"/>
        <w:rPr>
          <w:rFonts w:ascii="Verdana" w:hAnsi="Verdana"/>
          <w:sz w:val="20"/>
          <w:szCs w:val="20"/>
          <w:lang w:val="es-ES_tradnl"/>
        </w:rPr>
      </w:pPr>
    </w:p>
    <w:p w14:paraId="3DD1F60E" w14:textId="77777777" w:rsidR="005C53E0" w:rsidRDefault="004941AC" w:rsidP="007624ED">
      <w:pPr>
        <w:pStyle w:val="Estilo1"/>
        <w:numPr>
          <w:ilvl w:val="0"/>
          <w:numId w:val="0"/>
        </w:numPr>
        <w:spacing w:after="0"/>
        <w:ind w:left="708"/>
        <w:rPr>
          <w:rFonts w:ascii="Verdana" w:hAnsi="Verdana"/>
          <w:sz w:val="20"/>
          <w:szCs w:val="20"/>
          <w:lang w:val="es-ES_tradnl"/>
        </w:rPr>
      </w:pPr>
      <w:r w:rsidRPr="007624ED">
        <w:rPr>
          <w:rFonts w:ascii="Verdana" w:hAnsi="Verdana"/>
          <w:sz w:val="20"/>
          <w:szCs w:val="20"/>
          <w:lang w:val="es-ES_tradnl"/>
        </w:rPr>
        <w:t xml:space="preserve">180. En el caso concreto, el Estado mantuvo a las niñas </w:t>
      </w:r>
      <w:proofErr w:type="spellStart"/>
      <w:r w:rsidRPr="007624ED">
        <w:rPr>
          <w:rFonts w:ascii="Verdana" w:hAnsi="Verdana"/>
          <w:sz w:val="20"/>
          <w:szCs w:val="20"/>
          <w:lang w:val="es-ES_tradnl"/>
        </w:rPr>
        <w:t>Yean</w:t>
      </w:r>
      <w:proofErr w:type="spellEnd"/>
      <w:r w:rsidRPr="007624ED">
        <w:rPr>
          <w:rFonts w:ascii="Verdana" w:hAnsi="Verdana"/>
          <w:sz w:val="20"/>
          <w:szCs w:val="20"/>
          <w:lang w:val="es-ES_tradnl"/>
        </w:rPr>
        <w:t xml:space="preserve"> y </w:t>
      </w:r>
      <w:proofErr w:type="spellStart"/>
      <w:r w:rsidRPr="007624ED">
        <w:rPr>
          <w:rFonts w:ascii="Verdana" w:hAnsi="Verdana"/>
          <w:sz w:val="20"/>
          <w:szCs w:val="20"/>
          <w:lang w:val="es-ES_tradnl"/>
        </w:rPr>
        <w:t>Bosico</w:t>
      </w:r>
      <w:proofErr w:type="spellEnd"/>
      <w:r w:rsidRPr="007624ED">
        <w:rPr>
          <w:rFonts w:ascii="Verdana" w:hAnsi="Verdana"/>
          <w:sz w:val="20"/>
          <w:szCs w:val="20"/>
          <w:lang w:val="es-ES_tradnl"/>
        </w:rPr>
        <w:t xml:space="preserve"> en un limbo legal en que, si bien las niñas existían y se hallaban insertadas en un </w:t>
      </w:r>
      <w:r w:rsidRPr="007624ED">
        <w:rPr>
          <w:rFonts w:ascii="Verdana" w:hAnsi="Verdana"/>
          <w:sz w:val="20"/>
          <w:szCs w:val="20"/>
          <w:lang w:val="es-ES_tradnl"/>
        </w:rPr>
        <w:lastRenderedPageBreak/>
        <w:t xml:space="preserve">determinado contexto social, su existencia misma no estaba jurídicamente reconocida, es decir, </w:t>
      </w:r>
      <w:r w:rsidR="001239BE" w:rsidRPr="007624ED">
        <w:rPr>
          <w:rFonts w:ascii="Verdana" w:hAnsi="Verdana"/>
          <w:sz w:val="20"/>
          <w:szCs w:val="20"/>
          <w:lang w:val="es-ES_tradnl"/>
        </w:rPr>
        <w:t>no tenían personalidad jurídica</w:t>
      </w:r>
      <w:r w:rsidRPr="007624ED">
        <w:rPr>
          <w:rStyle w:val="FootnoteReference"/>
          <w:rFonts w:ascii="Verdana" w:hAnsi="Verdana"/>
          <w:sz w:val="20"/>
          <w:szCs w:val="20"/>
          <w:lang w:val="es-ES_tradnl"/>
        </w:rPr>
        <w:footnoteReference w:id="2"/>
      </w:r>
      <w:r w:rsidR="001239BE" w:rsidRPr="007624ED">
        <w:rPr>
          <w:rFonts w:ascii="Verdana" w:hAnsi="Verdana"/>
          <w:sz w:val="20"/>
          <w:szCs w:val="20"/>
          <w:lang w:val="es-ES_tradnl"/>
        </w:rPr>
        <w:t>.</w:t>
      </w:r>
    </w:p>
    <w:p w14:paraId="5600A28D" w14:textId="77777777" w:rsidR="007624ED" w:rsidRPr="007624ED" w:rsidRDefault="007624ED" w:rsidP="007624ED">
      <w:pPr>
        <w:pStyle w:val="Estilo1"/>
        <w:numPr>
          <w:ilvl w:val="0"/>
          <w:numId w:val="0"/>
        </w:numPr>
        <w:spacing w:after="0"/>
        <w:ind w:left="708"/>
        <w:rPr>
          <w:rFonts w:ascii="Verdana" w:hAnsi="Verdana"/>
          <w:sz w:val="20"/>
          <w:szCs w:val="20"/>
          <w:lang w:val="es-ES_tradnl"/>
        </w:rPr>
      </w:pPr>
    </w:p>
    <w:p w14:paraId="3DD1F60F" w14:textId="77777777" w:rsidR="00B3687D" w:rsidRDefault="000C3CEA" w:rsidP="007624ED">
      <w:pPr>
        <w:pStyle w:val="Estilo1"/>
        <w:spacing w:after="0"/>
        <w:rPr>
          <w:rFonts w:ascii="Verdana" w:hAnsi="Verdana"/>
          <w:sz w:val="20"/>
          <w:szCs w:val="20"/>
          <w:lang w:val="es-ES_tradnl"/>
        </w:rPr>
      </w:pPr>
      <w:r w:rsidRPr="007624ED">
        <w:rPr>
          <w:rFonts w:ascii="Verdana" w:hAnsi="Verdana"/>
          <w:sz w:val="20"/>
          <w:szCs w:val="20"/>
          <w:lang w:val="es-ES_tradnl"/>
        </w:rPr>
        <w:t>La Corte</w:t>
      </w:r>
      <w:r w:rsidR="004941AC" w:rsidRPr="007624ED">
        <w:rPr>
          <w:rFonts w:ascii="Verdana" w:hAnsi="Verdana"/>
          <w:sz w:val="20"/>
          <w:szCs w:val="20"/>
          <w:lang w:val="es-ES_tradnl"/>
        </w:rPr>
        <w:t xml:space="preserve"> también </w:t>
      </w:r>
      <w:r w:rsidRPr="007624ED">
        <w:rPr>
          <w:rFonts w:ascii="Verdana" w:hAnsi="Verdana"/>
          <w:sz w:val="20"/>
          <w:szCs w:val="20"/>
          <w:lang w:val="es-ES_tradnl"/>
        </w:rPr>
        <w:t>ha declarado</w:t>
      </w:r>
      <w:r w:rsidR="004941AC" w:rsidRPr="007624ED">
        <w:rPr>
          <w:rFonts w:ascii="Verdana" w:hAnsi="Verdana"/>
          <w:sz w:val="20"/>
          <w:szCs w:val="20"/>
          <w:lang w:val="es-ES_tradnl"/>
        </w:rPr>
        <w:t>,</w:t>
      </w:r>
      <w:r w:rsidRPr="007624ED">
        <w:rPr>
          <w:rFonts w:ascii="Verdana" w:hAnsi="Verdana"/>
          <w:sz w:val="20"/>
          <w:szCs w:val="20"/>
          <w:lang w:val="es-ES_tradnl"/>
        </w:rPr>
        <w:t xml:space="preserve"> con toda justificación</w:t>
      </w:r>
      <w:r w:rsidR="004941AC" w:rsidRPr="007624ED">
        <w:rPr>
          <w:rFonts w:ascii="Verdana" w:hAnsi="Verdana"/>
          <w:sz w:val="20"/>
          <w:szCs w:val="20"/>
          <w:lang w:val="es-ES_tradnl"/>
        </w:rPr>
        <w:t>,</w:t>
      </w:r>
      <w:r w:rsidRPr="007624ED">
        <w:rPr>
          <w:rFonts w:ascii="Verdana" w:hAnsi="Verdana"/>
          <w:sz w:val="20"/>
          <w:szCs w:val="20"/>
          <w:lang w:val="es-ES_tradnl"/>
        </w:rPr>
        <w:t xml:space="preserve"> la violación del artículo 3 en los c</w:t>
      </w:r>
      <w:r w:rsidR="00B3687D" w:rsidRPr="007624ED">
        <w:rPr>
          <w:rFonts w:ascii="Verdana" w:hAnsi="Verdana"/>
          <w:sz w:val="20"/>
          <w:szCs w:val="20"/>
          <w:lang w:val="es-ES_tradnl"/>
        </w:rPr>
        <w:t>asos de desapariciones forzosas</w:t>
      </w:r>
      <w:r w:rsidRPr="007624ED">
        <w:rPr>
          <w:rFonts w:ascii="Verdana" w:hAnsi="Verdana"/>
          <w:sz w:val="20"/>
          <w:szCs w:val="20"/>
          <w:lang w:val="es-ES_tradnl"/>
        </w:rPr>
        <w:t xml:space="preserve">. En </w:t>
      </w:r>
      <w:r w:rsidR="000334AE" w:rsidRPr="007624ED">
        <w:rPr>
          <w:rFonts w:ascii="Verdana" w:hAnsi="Verdana"/>
          <w:sz w:val="20"/>
          <w:szCs w:val="20"/>
          <w:lang w:val="es-ES_tradnl"/>
        </w:rPr>
        <w:t xml:space="preserve">el caso </w:t>
      </w:r>
      <w:proofErr w:type="spellStart"/>
      <w:r w:rsidR="000334AE" w:rsidRPr="007624ED">
        <w:rPr>
          <w:rFonts w:ascii="Verdana" w:hAnsi="Verdana"/>
          <w:i/>
          <w:sz w:val="20"/>
          <w:szCs w:val="20"/>
          <w:lang w:val="es-ES_tradnl"/>
        </w:rPr>
        <w:t>Anzualdo</w:t>
      </w:r>
      <w:proofErr w:type="spellEnd"/>
      <w:r w:rsidR="000334AE" w:rsidRPr="007624ED">
        <w:rPr>
          <w:rFonts w:ascii="Verdana" w:hAnsi="Verdana"/>
          <w:i/>
          <w:sz w:val="20"/>
          <w:szCs w:val="20"/>
          <w:lang w:val="es-ES_tradnl"/>
        </w:rPr>
        <w:t xml:space="preserve"> Castro vs. Perú</w:t>
      </w:r>
      <w:r w:rsidR="000334AE" w:rsidRPr="007624ED">
        <w:rPr>
          <w:rFonts w:ascii="Verdana" w:hAnsi="Verdana"/>
          <w:sz w:val="20"/>
          <w:szCs w:val="20"/>
          <w:lang w:val="es-ES_tradnl"/>
        </w:rPr>
        <w:t xml:space="preserve">, que fue </w:t>
      </w:r>
      <w:r w:rsidRPr="007624ED">
        <w:rPr>
          <w:rFonts w:ascii="Verdana" w:hAnsi="Verdana"/>
          <w:sz w:val="20"/>
          <w:szCs w:val="20"/>
          <w:lang w:val="es-ES_tradnl"/>
        </w:rPr>
        <w:t>el primer</w:t>
      </w:r>
      <w:r w:rsidR="000334AE" w:rsidRPr="007624ED">
        <w:rPr>
          <w:rFonts w:ascii="Verdana" w:hAnsi="Verdana"/>
          <w:sz w:val="20"/>
          <w:szCs w:val="20"/>
          <w:lang w:val="es-ES_tradnl"/>
        </w:rPr>
        <w:t xml:space="preserve">o en que </w:t>
      </w:r>
      <w:r w:rsidRPr="007624ED">
        <w:rPr>
          <w:rFonts w:ascii="Verdana" w:hAnsi="Verdana"/>
          <w:sz w:val="20"/>
          <w:szCs w:val="20"/>
          <w:lang w:val="es-ES_tradnl"/>
        </w:rPr>
        <w:t>adoptó esa posición</w:t>
      </w:r>
      <w:r w:rsidR="000334AE" w:rsidRPr="007624ED">
        <w:rPr>
          <w:rFonts w:ascii="Verdana" w:hAnsi="Verdana"/>
          <w:sz w:val="20"/>
          <w:szCs w:val="20"/>
          <w:lang w:val="es-ES_tradnl"/>
        </w:rPr>
        <w:t>,</w:t>
      </w:r>
      <w:r w:rsidRPr="007624ED">
        <w:rPr>
          <w:rFonts w:ascii="Verdana" w:hAnsi="Verdana"/>
          <w:sz w:val="20"/>
          <w:szCs w:val="20"/>
          <w:lang w:val="es-ES_tradnl"/>
        </w:rPr>
        <w:t xml:space="preserve"> </w:t>
      </w:r>
      <w:r w:rsidR="000334AE" w:rsidRPr="007624ED">
        <w:rPr>
          <w:rFonts w:ascii="Verdana" w:hAnsi="Verdana"/>
          <w:sz w:val="20"/>
          <w:szCs w:val="20"/>
          <w:lang w:val="es-ES_tradnl"/>
        </w:rPr>
        <w:t xml:space="preserve">la Corte </w:t>
      </w:r>
      <w:r w:rsidRPr="007624ED">
        <w:rPr>
          <w:rFonts w:ascii="Verdana" w:hAnsi="Verdana"/>
          <w:sz w:val="20"/>
          <w:szCs w:val="20"/>
          <w:lang w:val="es-ES_tradnl"/>
        </w:rPr>
        <w:t xml:space="preserve">explicitó el contenido y el fundamento del artículo 3 y </w:t>
      </w:r>
      <w:r w:rsidR="000334AE" w:rsidRPr="007624ED">
        <w:rPr>
          <w:rFonts w:ascii="Verdana" w:hAnsi="Verdana"/>
          <w:sz w:val="20"/>
          <w:szCs w:val="20"/>
          <w:lang w:val="es-ES_tradnl"/>
        </w:rPr>
        <w:t>explicó las razones de</w:t>
      </w:r>
      <w:r w:rsidRPr="007624ED">
        <w:rPr>
          <w:rFonts w:ascii="Verdana" w:hAnsi="Verdana"/>
          <w:sz w:val="20"/>
          <w:szCs w:val="20"/>
          <w:lang w:val="es-ES_tradnl"/>
        </w:rPr>
        <w:t xml:space="preserve"> su aplicación a esos casos:</w:t>
      </w:r>
    </w:p>
    <w:p w14:paraId="7168CD91"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10" w14:textId="7B23C9EA" w:rsidR="00D51029" w:rsidRDefault="00D51029" w:rsidP="007624ED">
      <w:pPr>
        <w:spacing w:after="0" w:line="240" w:lineRule="auto"/>
        <w:ind w:left="708"/>
        <w:jc w:val="both"/>
        <w:rPr>
          <w:rFonts w:ascii="Verdana" w:hAnsi="Verdana" w:cs="Times New Roman"/>
          <w:sz w:val="20"/>
          <w:szCs w:val="20"/>
          <w:lang w:val="es-ES_tradnl"/>
        </w:rPr>
      </w:pPr>
      <w:r w:rsidRPr="007624ED">
        <w:rPr>
          <w:rFonts w:ascii="Verdana" w:hAnsi="Verdana" w:cs="Times New Roman"/>
          <w:sz w:val="20"/>
          <w:szCs w:val="20"/>
          <w:lang w:val="es-ES_tradnl"/>
        </w:rPr>
        <w:t>87. En cuanto a la alegada violación del artículo 3 de la Convención (</w:t>
      </w:r>
      <w:r w:rsidRPr="007624ED">
        <w:rPr>
          <w:rFonts w:ascii="Verdana" w:hAnsi="Verdana" w:cs="Times New Roman"/>
          <w:i/>
          <w:sz w:val="20"/>
          <w:szCs w:val="20"/>
          <w:lang w:val="es-ES_tradnl"/>
        </w:rPr>
        <w:t>supra</w:t>
      </w:r>
      <w:r w:rsidRPr="007624ED">
        <w:rPr>
          <w:rFonts w:ascii="Verdana" w:hAnsi="Verdana" w:cs="Times New Roman"/>
          <w:sz w:val="20"/>
          <w:szCs w:val="20"/>
          <w:lang w:val="es-ES_tradnl"/>
        </w:rPr>
        <w:t xml:space="preserve"> párrs. 56 y 57), la Corte ha considerado que el contenido propio del derecho al reconocimiento de la personalidad jurídica es que se reconozca a la persona en cualquier parte como sujeto de derechos y obligaciones, y a gozar de los derechos civiles fundamentales[, lo cual] implica la capacidad de ser titular de derechos (capacidad y goce) y de deberes; la violación de aquel reconocimiento supone desconocer en términos absolutos la posibilidad de ser titular de [los] derechos y deberes [civiles y fundamentales].</w:t>
      </w:r>
    </w:p>
    <w:p w14:paraId="5CA3256A" w14:textId="77777777" w:rsidR="007624ED" w:rsidRPr="007624ED" w:rsidRDefault="007624ED" w:rsidP="007624ED">
      <w:pPr>
        <w:spacing w:after="0" w:line="240" w:lineRule="auto"/>
        <w:ind w:left="708"/>
        <w:jc w:val="both"/>
        <w:rPr>
          <w:rFonts w:ascii="Verdana" w:hAnsi="Verdana" w:cs="Times New Roman"/>
          <w:sz w:val="20"/>
          <w:szCs w:val="20"/>
          <w:lang w:val="es-ES_tradnl"/>
        </w:rPr>
      </w:pPr>
    </w:p>
    <w:p w14:paraId="3DD1F611" w14:textId="77777777" w:rsidR="00D51029" w:rsidRDefault="00D51029" w:rsidP="007624ED">
      <w:pPr>
        <w:spacing w:after="0" w:line="240" w:lineRule="auto"/>
        <w:ind w:left="708"/>
        <w:jc w:val="both"/>
        <w:rPr>
          <w:rFonts w:ascii="Verdana" w:hAnsi="Verdana" w:cs="Times New Roman"/>
          <w:sz w:val="20"/>
          <w:szCs w:val="20"/>
          <w:lang w:val="es-ES_tradnl"/>
        </w:rPr>
      </w:pPr>
      <w:r w:rsidRPr="007624ED">
        <w:rPr>
          <w:rFonts w:ascii="Verdana" w:hAnsi="Verdana" w:cs="Times New Roman"/>
          <w:sz w:val="20"/>
          <w:szCs w:val="20"/>
          <w:lang w:val="es-ES_tradnl"/>
        </w:rPr>
        <w:t>88. Este derecho representa un parámetro para determinar si una persona es titular o no de los derechos de que se trate, y si los puede ejercer, por lo que desconocer aquel reconocimiento hace al individuo vulnerable frente al Estado o particulares. De este modo, el contenido del derecho al reconocimiento de la personalidad jurídica refiere al correlativo deber general del Estado de procurar los medios y condiciones jurídicas para que ese derecho pueda ser ejercido libre y plenamente por sus titulares.</w:t>
      </w:r>
    </w:p>
    <w:p w14:paraId="79DF495E" w14:textId="77777777" w:rsidR="007624ED" w:rsidRPr="007624ED" w:rsidRDefault="007624ED" w:rsidP="007624ED">
      <w:pPr>
        <w:spacing w:after="0" w:line="240" w:lineRule="auto"/>
        <w:ind w:left="708"/>
        <w:jc w:val="both"/>
        <w:rPr>
          <w:rFonts w:ascii="Verdana" w:hAnsi="Verdana" w:cs="Times New Roman"/>
          <w:sz w:val="20"/>
          <w:szCs w:val="20"/>
          <w:lang w:val="es-ES_tradnl"/>
        </w:rPr>
      </w:pPr>
    </w:p>
    <w:p w14:paraId="3DD1F612" w14:textId="54961973" w:rsidR="00D51029" w:rsidRDefault="00D51029" w:rsidP="007624ED">
      <w:pPr>
        <w:spacing w:after="0" w:line="240" w:lineRule="auto"/>
        <w:ind w:left="708"/>
        <w:jc w:val="both"/>
        <w:rPr>
          <w:rFonts w:ascii="Verdana" w:hAnsi="Verdana" w:cs="Times New Roman"/>
          <w:sz w:val="20"/>
          <w:szCs w:val="20"/>
          <w:lang w:val="es-ES_tradnl"/>
        </w:rPr>
      </w:pPr>
      <w:r w:rsidRPr="007624ED">
        <w:rPr>
          <w:rFonts w:ascii="Verdana" w:hAnsi="Verdana" w:cs="Times New Roman"/>
          <w:sz w:val="20"/>
          <w:szCs w:val="20"/>
          <w:lang w:val="es-ES_tradnl"/>
        </w:rPr>
        <w:t xml:space="preserve">89. Sin embargo, en aplicación del principio de efecto útil y de las necesidades de protección en casos de personas y grupos en situación de vulnerabilidad, este Tribunal ha observado el contenido jurídico más amplio de este derecho, al estimar que el Estado se encuentra especialmente “obligado a garantizar a aquellas personas en situación de vulnerabilidad, marginalización y discriminación, las condiciones jurídicas y administrativas que les aseguren el ejercicio de este derecho, en atención al principio de igualdad ante la ley”. </w:t>
      </w:r>
      <w:r w:rsidR="00967D53">
        <w:rPr>
          <w:rFonts w:ascii="Verdana" w:hAnsi="Verdana" w:cs="Times New Roman"/>
          <w:sz w:val="20"/>
          <w:szCs w:val="20"/>
          <w:lang w:val="es-ES_tradnl"/>
        </w:rPr>
        <w:t>[</w:t>
      </w:r>
      <w:r w:rsidR="00F61931">
        <w:rPr>
          <w:rFonts w:ascii="Verdana" w:hAnsi="Verdana" w:cs="Times New Roman"/>
          <w:sz w:val="20"/>
          <w:szCs w:val="20"/>
          <w:lang w:val="es-ES_tradnl"/>
        </w:rPr>
        <w:t>…</w:t>
      </w:r>
      <w:r w:rsidR="00967D53">
        <w:rPr>
          <w:rFonts w:ascii="Verdana" w:hAnsi="Verdana" w:cs="Times New Roman"/>
          <w:sz w:val="20"/>
          <w:szCs w:val="20"/>
          <w:lang w:val="es-ES_tradnl"/>
        </w:rPr>
        <w:t>]</w:t>
      </w:r>
    </w:p>
    <w:p w14:paraId="060E90A4" w14:textId="77777777" w:rsidR="007624ED" w:rsidRPr="007624ED" w:rsidRDefault="007624ED" w:rsidP="007624ED">
      <w:pPr>
        <w:spacing w:after="0" w:line="240" w:lineRule="auto"/>
        <w:ind w:left="708"/>
        <w:jc w:val="both"/>
        <w:rPr>
          <w:rFonts w:ascii="Verdana" w:hAnsi="Verdana"/>
          <w:i/>
          <w:sz w:val="20"/>
          <w:szCs w:val="20"/>
          <w:lang w:val="es-ES_tradnl"/>
        </w:rPr>
      </w:pPr>
    </w:p>
    <w:p w14:paraId="3DD1F613" w14:textId="27061D41" w:rsidR="00D51029" w:rsidRDefault="00D51029" w:rsidP="007624ED">
      <w:pPr>
        <w:tabs>
          <w:tab w:val="left" w:pos="1418"/>
        </w:tabs>
        <w:spacing w:after="0" w:line="240" w:lineRule="auto"/>
        <w:ind w:left="708"/>
        <w:jc w:val="both"/>
        <w:rPr>
          <w:rFonts w:ascii="Verdana" w:hAnsi="Verdana" w:cs="Times New Roman"/>
          <w:i/>
          <w:sz w:val="20"/>
          <w:szCs w:val="20"/>
          <w:lang w:val="es-ES_tradnl"/>
        </w:rPr>
      </w:pPr>
      <w:r w:rsidRPr="007624ED">
        <w:rPr>
          <w:rFonts w:ascii="Verdana" w:hAnsi="Verdana" w:cs="Times New Roman"/>
          <w:sz w:val="20"/>
          <w:szCs w:val="20"/>
          <w:lang w:val="es-ES_tradnl"/>
        </w:rPr>
        <w:t xml:space="preserve">90. </w:t>
      </w:r>
      <w:r w:rsidR="00F61931">
        <w:rPr>
          <w:rFonts w:ascii="Verdana" w:hAnsi="Verdana" w:cs="Times New Roman"/>
          <w:sz w:val="20"/>
          <w:szCs w:val="20"/>
          <w:lang w:val="es-ES_tradnl"/>
        </w:rPr>
        <w:t>Ciertamente e</w:t>
      </w:r>
      <w:r w:rsidRPr="007624ED">
        <w:rPr>
          <w:rFonts w:ascii="Verdana" w:hAnsi="Verdana" w:cs="Times New Roman"/>
          <w:sz w:val="20"/>
          <w:szCs w:val="20"/>
          <w:lang w:val="es-ES_tradnl"/>
        </w:rPr>
        <w:t xml:space="preserve">l contenido jurídico </w:t>
      </w:r>
      <w:r w:rsidR="00F61931">
        <w:rPr>
          <w:rFonts w:ascii="Verdana" w:hAnsi="Verdana" w:cs="Times New Roman"/>
          <w:sz w:val="20"/>
          <w:szCs w:val="20"/>
          <w:lang w:val="es-ES_tradnl"/>
        </w:rPr>
        <w:t>[</w:t>
      </w:r>
      <w:r w:rsidRPr="007624ED">
        <w:rPr>
          <w:rFonts w:ascii="Verdana" w:hAnsi="Verdana" w:cs="Times New Roman"/>
          <w:sz w:val="20"/>
          <w:szCs w:val="20"/>
          <w:lang w:val="es-ES_tradnl"/>
        </w:rPr>
        <w:t>de</w:t>
      </w:r>
      <w:r w:rsidR="00EC5E9A" w:rsidRPr="007624ED">
        <w:rPr>
          <w:rFonts w:ascii="Verdana" w:hAnsi="Verdana" w:cs="Times New Roman"/>
          <w:sz w:val="20"/>
          <w:szCs w:val="20"/>
          <w:lang w:val="es-ES_tradnl"/>
        </w:rPr>
        <w:t>l derecho al reconocimiento de la personalidad física de cada ser humano</w:t>
      </w:r>
      <w:r w:rsidR="00F61931">
        <w:rPr>
          <w:rFonts w:ascii="Verdana" w:hAnsi="Verdana" w:cs="Times New Roman"/>
          <w:sz w:val="20"/>
          <w:szCs w:val="20"/>
          <w:lang w:val="es-ES_tradnl"/>
        </w:rPr>
        <w:t>]</w:t>
      </w:r>
      <w:r w:rsidRPr="007624ED">
        <w:rPr>
          <w:rFonts w:ascii="Verdana" w:hAnsi="Verdana" w:cs="Times New Roman"/>
          <w:sz w:val="20"/>
          <w:szCs w:val="20"/>
          <w:lang w:val="es-ES_tradnl"/>
        </w:rPr>
        <w:t xml:space="preserve"> ha sido desarrollado en la jurisprudencia en casos que involucran violaciones de derechos humanos de entidad diferente a la desaparición forzada de personas, puesto que en la mayoría de este tipo de casos el Tribunal ha estimado que no correspondía analizar la violación del artículo 3 de la Convención, por no haber hechos que así lo ameritaran. No obstante, </w:t>
      </w:r>
      <w:r w:rsidRPr="007624ED">
        <w:rPr>
          <w:rFonts w:ascii="Verdana" w:hAnsi="Verdana" w:cs="Times New Roman"/>
          <w:i/>
          <w:sz w:val="20"/>
          <w:szCs w:val="20"/>
          <w:lang w:val="es-ES_tradnl"/>
        </w:rPr>
        <w:t>dado el carácter múltiple y complejo de esta grave violación de derechos humanos, el Tribunal reconsidera su posición anterior y estima posible que, en casos de esta naturaleza, la desaparición forzada puede conllevar una violación específica del referido derecho: más allá de que la persona desaparecida no pueda continuar gozando y ejerciendo otros, y eventualmente todos, los derechos de los cuales también es titular, su desaparición busca no sólo una de las más graves formas de sustracción de una persona de todo ámbito del ordenamiento jurídico, sino también negar su existencia misma y dejarla en una suerte de limbo o situación de indeterminación jurídica ante la sociedad, el Estado e inclusive la comunidad internacional.</w:t>
      </w:r>
    </w:p>
    <w:p w14:paraId="77CF8FDC" w14:textId="77777777" w:rsidR="007624ED" w:rsidRPr="007624ED" w:rsidRDefault="007624ED" w:rsidP="007624ED">
      <w:pPr>
        <w:tabs>
          <w:tab w:val="left" w:pos="1418"/>
        </w:tabs>
        <w:spacing w:after="0" w:line="240" w:lineRule="auto"/>
        <w:ind w:left="708"/>
        <w:jc w:val="both"/>
        <w:rPr>
          <w:rFonts w:ascii="Verdana" w:hAnsi="Verdana" w:cs="Times New Roman"/>
          <w:i/>
          <w:sz w:val="20"/>
          <w:szCs w:val="20"/>
          <w:lang w:val="es-ES_tradnl"/>
        </w:rPr>
      </w:pPr>
    </w:p>
    <w:p w14:paraId="3DD1F614" w14:textId="77777777" w:rsidR="00D51029" w:rsidRPr="007624ED" w:rsidRDefault="00D51029" w:rsidP="007624ED">
      <w:pPr>
        <w:tabs>
          <w:tab w:val="left" w:pos="1418"/>
        </w:tabs>
        <w:spacing w:after="0" w:line="240" w:lineRule="auto"/>
        <w:ind w:left="708"/>
        <w:jc w:val="both"/>
        <w:rPr>
          <w:rFonts w:ascii="Verdana" w:hAnsi="Verdana" w:cs="Times New Roman"/>
          <w:sz w:val="20"/>
          <w:szCs w:val="20"/>
          <w:lang w:val="es-ES_tradnl"/>
        </w:rPr>
      </w:pPr>
      <w:r w:rsidRPr="007624ED">
        <w:rPr>
          <w:rFonts w:ascii="Verdana" w:hAnsi="Verdana" w:cs="Times New Roman"/>
          <w:sz w:val="20"/>
          <w:szCs w:val="20"/>
          <w:lang w:val="es-ES_tradnl"/>
        </w:rPr>
        <w:t>91. De este modo, la Corte tiene presente que una de las características de la desaparición forzada, a diferencia de la ejecución extrajudicial, es que conlleva la negativa del Estado de reconocer que la víctima está bajo su control y de proporcionar información al respecto, con el propósito de generar incertidumbre acerca de su paradero, vida o muerte, de provocar intimidación y supresión de derechos (</w:t>
      </w:r>
      <w:r w:rsidRPr="00120F47">
        <w:rPr>
          <w:rFonts w:ascii="Verdana" w:hAnsi="Verdana" w:cs="Times New Roman"/>
          <w:i/>
          <w:sz w:val="20"/>
          <w:szCs w:val="20"/>
          <w:lang w:val="es-ES_tradnl"/>
        </w:rPr>
        <w:t>supra</w:t>
      </w:r>
      <w:r w:rsidRPr="007624ED">
        <w:rPr>
          <w:rFonts w:ascii="Verdana" w:hAnsi="Verdana" w:cs="Times New Roman"/>
          <w:sz w:val="20"/>
          <w:szCs w:val="20"/>
          <w:lang w:val="es-ES_tradnl"/>
        </w:rPr>
        <w:t xml:space="preserve"> párrs. 60 y 80).</w:t>
      </w:r>
    </w:p>
    <w:p w14:paraId="70CED22C" w14:textId="77777777" w:rsidR="007624ED" w:rsidRDefault="007624ED" w:rsidP="007624ED">
      <w:pPr>
        <w:tabs>
          <w:tab w:val="left" w:pos="1418"/>
        </w:tabs>
        <w:spacing w:after="0" w:line="240" w:lineRule="auto"/>
        <w:ind w:left="708"/>
        <w:jc w:val="both"/>
        <w:rPr>
          <w:rFonts w:ascii="Verdana" w:hAnsi="Verdana" w:cs="Times New Roman"/>
          <w:sz w:val="20"/>
          <w:szCs w:val="20"/>
          <w:lang w:val="es-ES_tradnl"/>
        </w:rPr>
      </w:pPr>
    </w:p>
    <w:p w14:paraId="3DD1F615" w14:textId="16299CDE" w:rsidR="00D51029" w:rsidRDefault="00967D53" w:rsidP="007624ED">
      <w:pPr>
        <w:tabs>
          <w:tab w:val="left" w:pos="1418"/>
        </w:tabs>
        <w:spacing w:after="0" w:line="240" w:lineRule="auto"/>
        <w:ind w:left="708"/>
        <w:jc w:val="both"/>
        <w:rPr>
          <w:rFonts w:ascii="Verdana" w:hAnsi="Verdana" w:cs="Times New Roman"/>
          <w:sz w:val="20"/>
          <w:szCs w:val="20"/>
          <w:lang w:val="es-ES_tradnl"/>
        </w:rPr>
      </w:pPr>
      <w:r>
        <w:rPr>
          <w:rFonts w:ascii="Verdana" w:hAnsi="Verdana" w:cs="Times New Roman"/>
          <w:sz w:val="20"/>
          <w:szCs w:val="20"/>
          <w:lang w:val="es-ES_tradnl"/>
        </w:rPr>
        <w:t>[</w:t>
      </w:r>
      <w:r w:rsidR="00D51029" w:rsidRPr="007624ED">
        <w:rPr>
          <w:rFonts w:ascii="Verdana" w:hAnsi="Verdana" w:cs="Times New Roman"/>
          <w:sz w:val="20"/>
          <w:szCs w:val="20"/>
          <w:lang w:val="es-ES_tradnl"/>
        </w:rPr>
        <w:t>…</w:t>
      </w:r>
      <w:r>
        <w:rPr>
          <w:rFonts w:ascii="Verdana" w:hAnsi="Verdana" w:cs="Times New Roman"/>
          <w:sz w:val="20"/>
          <w:szCs w:val="20"/>
          <w:lang w:val="es-ES_tradnl"/>
        </w:rPr>
        <w:t>]</w:t>
      </w:r>
    </w:p>
    <w:p w14:paraId="4961C75D" w14:textId="77777777" w:rsidR="007624ED" w:rsidRPr="007624ED" w:rsidRDefault="007624ED" w:rsidP="007624ED">
      <w:pPr>
        <w:tabs>
          <w:tab w:val="left" w:pos="1418"/>
        </w:tabs>
        <w:spacing w:after="0" w:line="240" w:lineRule="auto"/>
        <w:ind w:left="708"/>
        <w:jc w:val="both"/>
        <w:rPr>
          <w:rFonts w:ascii="Verdana" w:hAnsi="Verdana" w:cs="Times New Roman"/>
          <w:sz w:val="20"/>
          <w:szCs w:val="20"/>
          <w:lang w:val="es-ES_tradnl"/>
        </w:rPr>
      </w:pPr>
    </w:p>
    <w:p w14:paraId="3DD1F616" w14:textId="5573B79B" w:rsidR="000C3CEA" w:rsidRDefault="00D51029" w:rsidP="007624ED">
      <w:pPr>
        <w:pStyle w:val="Estilo3"/>
        <w:tabs>
          <w:tab w:val="left" w:pos="1418"/>
        </w:tabs>
        <w:spacing w:after="0"/>
        <w:rPr>
          <w:rFonts w:ascii="Verdana" w:hAnsi="Verdana"/>
          <w:sz w:val="20"/>
          <w:szCs w:val="20"/>
          <w:lang w:val="es-ES_tradnl"/>
        </w:rPr>
      </w:pPr>
      <w:r w:rsidRPr="007624ED">
        <w:rPr>
          <w:rFonts w:ascii="Verdana" w:hAnsi="Verdana"/>
          <w:sz w:val="20"/>
          <w:szCs w:val="20"/>
          <w:lang w:val="es-ES_tradnl"/>
        </w:rPr>
        <w:t>101</w:t>
      </w:r>
      <w:r w:rsidR="007938B5" w:rsidRPr="007624ED">
        <w:rPr>
          <w:rFonts w:ascii="Verdana" w:hAnsi="Verdana"/>
          <w:sz w:val="20"/>
          <w:szCs w:val="20"/>
          <w:lang w:val="es-ES_tradnl"/>
        </w:rPr>
        <w:t xml:space="preserve">. </w:t>
      </w:r>
      <w:r w:rsidRPr="007624ED">
        <w:rPr>
          <w:rFonts w:ascii="Verdana" w:hAnsi="Verdana"/>
          <w:sz w:val="20"/>
          <w:szCs w:val="20"/>
          <w:lang w:val="es-ES_tradnl"/>
        </w:rPr>
        <w:t xml:space="preserve">En consideración de lo anterior, la Corte estima que en casos de desaparición forzada de personas se deja a la víctima en una situación de indeterminación jurídica que imposibilita, obstaculiza o anula la posibilidad de la persona de ser titular o ejercer en forma efectiva sus derechos en general, en una de las más graves formas de incumplimiento de las obligaciones estatales de respetar y garantizar los derechos humanos. Esto se tradujo en una violación del derecho al reconocimiento de la personalidad jurídica del </w:t>
      </w:r>
      <w:r w:rsidR="00A73D0B" w:rsidRPr="007624ED">
        <w:rPr>
          <w:rFonts w:ascii="Verdana" w:hAnsi="Verdana"/>
          <w:sz w:val="20"/>
          <w:szCs w:val="20"/>
          <w:lang w:val="es-ES_tradnl"/>
        </w:rPr>
        <w:t xml:space="preserve">señor </w:t>
      </w:r>
      <w:proofErr w:type="spellStart"/>
      <w:r w:rsidR="00F61931">
        <w:rPr>
          <w:rFonts w:ascii="Verdana" w:hAnsi="Verdana"/>
          <w:sz w:val="20"/>
          <w:szCs w:val="20"/>
          <w:lang w:val="es-ES_tradnl"/>
        </w:rPr>
        <w:t>Anzualdo</w:t>
      </w:r>
      <w:proofErr w:type="spellEnd"/>
      <w:r w:rsidR="00F61931">
        <w:rPr>
          <w:rFonts w:ascii="Verdana" w:hAnsi="Verdana"/>
          <w:sz w:val="20"/>
          <w:szCs w:val="20"/>
          <w:lang w:val="es-ES_tradnl"/>
        </w:rPr>
        <w:t xml:space="preserve"> </w:t>
      </w:r>
      <w:r w:rsidR="00A73D0B" w:rsidRPr="007624ED">
        <w:rPr>
          <w:rFonts w:ascii="Verdana" w:hAnsi="Verdana"/>
          <w:sz w:val="20"/>
          <w:szCs w:val="20"/>
          <w:lang w:val="es-ES_tradnl"/>
        </w:rPr>
        <w:t>Castro</w:t>
      </w:r>
      <w:r w:rsidR="00763D47">
        <w:rPr>
          <w:rStyle w:val="FootnoteReference"/>
          <w:rFonts w:ascii="Verdana" w:hAnsi="Verdana"/>
          <w:sz w:val="20"/>
          <w:szCs w:val="20"/>
          <w:lang w:val="es-ES_tradnl"/>
        </w:rPr>
        <w:footnoteReference w:id="3"/>
      </w:r>
      <w:r w:rsidR="00A73D0B" w:rsidRPr="007624ED">
        <w:rPr>
          <w:rFonts w:ascii="Verdana" w:hAnsi="Verdana"/>
          <w:sz w:val="20"/>
          <w:szCs w:val="20"/>
          <w:lang w:val="es-ES_tradnl"/>
        </w:rPr>
        <w:t>.</w:t>
      </w:r>
    </w:p>
    <w:p w14:paraId="472A0B7C" w14:textId="77777777" w:rsidR="007624ED" w:rsidRPr="007624ED" w:rsidRDefault="007624ED" w:rsidP="007624ED">
      <w:pPr>
        <w:pStyle w:val="Estilo3"/>
        <w:tabs>
          <w:tab w:val="left" w:pos="1418"/>
        </w:tabs>
        <w:spacing w:after="0"/>
        <w:rPr>
          <w:rFonts w:ascii="Verdana" w:hAnsi="Verdana"/>
          <w:i w:val="0"/>
          <w:sz w:val="20"/>
          <w:szCs w:val="20"/>
          <w:lang w:val="es-ES_tradnl"/>
        </w:rPr>
      </w:pPr>
    </w:p>
    <w:p w14:paraId="3DD1F617" w14:textId="74F412F2" w:rsidR="00955CFC" w:rsidRDefault="001E4DF0" w:rsidP="007624ED">
      <w:pPr>
        <w:pStyle w:val="Estilo1"/>
        <w:spacing w:after="0"/>
        <w:rPr>
          <w:rFonts w:ascii="Verdana" w:hAnsi="Verdana"/>
          <w:sz w:val="20"/>
          <w:szCs w:val="20"/>
          <w:lang w:val="es-ES_tradnl"/>
        </w:rPr>
      </w:pPr>
      <w:r w:rsidRPr="007624ED">
        <w:rPr>
          <w:rFonts w:ascii="Verdana" w:hAnsi="Verdana"/>
          <w:sz w:val="20"/>
          <w:szCs w:val="20"/>
          <w:lang w:val="es-ES_tradnl"/>
        </w:rPr>
        <w:t>E</w:t>
      </w:r>
      <w:r w:rsidR="00723A7E" w:rsidRPr="007624ED">
        <w:rPr>
          <w:rFonts w:ascii="Verdana" w:hAnsi="Verdana"/>
          <w:sz w:val="20"/>
          <w:szCs w:val="20"/>
          <w:lang w:val="es-ES_tradnl"/>
        </w:rPr>
        <w:t xml:space="preserve">l fundamento del reconocimiento de la </w:t>
      </w:r>
      <w:r w:rsidR="00723A7E" w:rsidRPr="007624ED">
        <w:rPr>
          <w:rFonts w:ascii="Verdana" w:hAnsi="Verdana"/>
          <w:i/>
          <w:sz w:val="20"/>
          <w:szCs w:val="20"/>
          <w:lang w:val="es-ES_tradnl"/>
        </w:rPr>
        <w:t>person</w:t>
      </w:r>
      <w:r w:rsidR="007938B5" w:rsidRPr="007624ED">
        <w:rPr>
          <w:rFonts w:ascii="Verdana" w:hAnsi="Verdana"/>
          <w:i/>
          <w:sz w:val="20"/>
          <w:szCs w:val="20"/>
          <w:lang w:val="es-ES_tradnl"/>
        </w:rPr>
        <w:t xml:space="preserve">ería </w:t>
      </w:r>
      <w:r w:rsidR="00723A7E" w:rsidRPr="007624ED">
        <w:rPr>
          <w:rFonts w:ascii="Verdana" w:hAnsi="Verdana"/>
          <w:i/>
          <w:sz w:val="20"/>
          <w:szCs w:val="20"/>
          <w:lang w:val="es-ES_tradnl"/>
        </w:rPr>
        <w:t>jurídica</w:t>
      </w:r>
      <w:r w:rsidR="007938B5" w:rsidRPr="007624ED">
        <w:rPr>
          <w:rStyle w:val="FootnoteReference"/>
          <w:rFonts w:ascii="Verdana" w:hAnsi="Verdana"/>
          <w:i/>
          <w:sz w:val="20"/>
          <w:szCs w:val="20"/>
          <w:lang w:val="es-ES_tradnl"/>
        </w:rPr>
        <w:footnoteReference w:id="4"/>
      </w:r>
      <w:r w:rsidR="00723A7E" w:rsidRPr="007624ED">
        <w:rPr>
          <w:rFonts w:ascii="Verdana" w:hAnsi="Verdana"/>
          <w:sz w:val="20"/>
          <w:szCs w:val="20"/>
          <w:lang w:val="es-ES_tradnl"/>
        </w:rPr>
        <w:t xml:space="preserve"> </w:t>
      </w:r>
      <w:r w:rsidR="007938B5" w:rsidRPr="007624ED">
        <w:rPr>
          <w:rFonts w:ascii="Verdana" w:hAnsi="Verdana"/>
          <w:sz w:val="20"/>
          <w:szCs w:val="20"/>
          <w:lang w:val="es-ES_tradnl"/>
        </w:rPr>
        <w:t>de</w:t>
      </w:r>
      <w:r w:rsidR="00723A7E" w:rsidRPr="007624ED">
        <w:rPr>
          <w:rFonts w:ascii="Verdana" w:hAnsi="Verdana"/>
          <w:sz w:val="20"/>
          <w:szCs w:val="20"/>
          <w:lang w:val="es-ES_tradnl"/>
        </w:rPr>
        <w:t xml:space="preserve"> las comunidades o pueblos indígenas o tribales</w:t>
      </w:r>
      <w:r w:rsidRPr="007624ED">
        <w:rPr>
          <w:rFonts w:ascii="Verdana" w:hAnsi="Verdana"/>
          <w:sz w:val="20"/>
          <w:szCs w:val="20"/>
          <w:lang w:val="es-ES_tradnl"/>
        </w:rPr>
        <w:t xml:space="preserve"> debe buscarse</w:t>
      </w:r>
      <w:r w:rsidR="000B0F5B" w:rsidRPr="007624ED">
        <w:rPr>
          <w:rFonts w:ascii="Verdana" w:hAnsi="Verdana"/>
          <w:sz w:val="20"/>
          <w:szCs w:val="20"/>
          <w:lang w:val="es-ES_tradnl"/>
        </w:rPr>
        <w:t>, entonces</w:t>
      </w:r>
      <w:r w:rsidR="004D0C4F" w:rsidRPr="007624ED">
        <w:rPr>
          <w:rFonts w:ascii="Verdana" w:hAnsi="Verdana"/>
          <w:sz w:val="20"/>
          <w:szCs w:val="20"/>
          <w:lang w:val="es-ES_tradnl"/>
        </w:rPr>
        <w:t>,</w:t>
      </w:r>
      <w:r w:rsidRPr="007624ED">
        <w:rPr>
          <w:rFonts w:ascii="Verdana" w:hAnsi="Verdana"/>
          <w:sz w:val="20"/>
          <w:szCs w:val="20"/>
          <w:lang w:val="es-ES_tradnl"/>
        </w:rPr>
        <w:t xml:space="preserve"> en </w:t>
      </w:r>
      <w:r w:rsidR="00723A7E" w:rsidRPr="007624ED">
        <w:rPr>
          <w:rFonts w:ascii="Verdana" w:hAnsi="Verdana"/>
          <w:sz w:val="20"/>
          <w:szCs w:val="20"/>
          <w:lang w:val="es-ES_tradnl"/>
        </w:rPr>
        <w:t>relación con</w:t>
      </w:r>
      <w:r w:rsidRPr="007624ED">
        <w:rPr>
          <w:rFonts w:ascii="Verdana" w:hAnsi="Verdana"/>
          <w:sz w:val="20"/>
          <w:szCs w:val="20"/>
          <w:lang w:val="es-ES_tradnl"/>
        </w:rPr>
        <w:t xml:space="preserve"> otras disposiciones de la Convención</w:t>
      </w:r>
      <w:r w:rsidR="004D0C4F" w:rsidRPr="007624ED">
        <w:rPr>
          <w:rFonts w:ascii="Verdana" w:hAnsi="Verdana"/>
          <w:sz w:val="20"/>
          <w:szCs w:val="20"/>
          <w:lang w:val="es-ES_tradnl"/>
        </w:rPr>
        <w:t>. Ese fundamento</w:t>
      </w:r>
      <w:r w:rsidR="000B0F5B" w:rsidRPr="007624ED">
        <w:rPr>
          <w:rFonts w:ascii="Verdana" w:hAnsi="Verdana"/>
          <w:sz w:val="20"/>
          <w:szCs w:val="20"/>
          <w:lang w:val="es-ES_tradnl"/>
        </w:rPr>
        <w:t xml:space="preserve"> no es muy difícil de encontrar, pues es la consecuencia jurídica del reconocimiento del derecho a la propiedad privada (en este caso colectiva) consagrado en el artículo 21. No se puede ser titular de un derecho sin que correlativamente exista la consiguiente personería jurídica. Así lo expuso la Corte en</w:t>
      </w:r>
      <w:r w:rsidR="00467100" w:rsidRPr="007624ED">
        <w:rPr>
          <w:rFonts w:ascii="Verdana" w:hAnsi="Verdana"/>
          <w:sz w:val="20"/>
          <w:szCs w:val="20"/>
          <w:lang w:val="es-ES_tradnl"/>
        </w:rPr>
        <w:t xml:space="preserve"> </w:t>
      </w:r>
      <w:r w:rsidR="000B0F5B" w:rsidRPr="007624ED">
        <w:rPr>
          <w:rFonts w:ascii="Verdana" w:hAnsi="Verdana"/>
          <w:sz w:val="20"/>
          <w:szCs w:val="20"/>
          <w:lang w:val="es-ES_tradnl"/>
        </w:rPr>
        <w:t>su</w:t>
      </w:r>
      <w:r w:rsidR="00D66DEE" w:rsidRPr="007624ED">
        <w:rPr>
          <w:rFonts w:ascii="Verdana" w:hAnsi="Verdana"/>
          <w:sz w:val="20"/>
          <w:szCs w:val="20"/>
          <w:lang w:val="es-ES_tradnl"/>
        </w:rPr>
        <w:t xml:space="preserve"> sentencia en e</w:t>
      </w:r>
      <w:r w:rsidR="00467100" w:rsidRPr="007624ED">
        <w:rPr>
          <w:rFonts w:ascii="Verdana" w:hAnsi="Verdana"/>
          <w:sz w:val="20"/>
          <w:szCs w:val="20"/>
          <w:lang w:val="es-ES_tradnl"/>
        </w:rPr>
        <w:t xml:space="preserve">l </w:t>
      </w:r>
      <w:r w:rsidR="00D66DEE" w:rsidRPr="007624ED">
        <w:rPr>
          <w:rFonts w:ascii="Verdana" w:hAnsi="Verdana"/>
          <w:sz w:val="20"/>
          <w:szCs w:val="20"/>
          <w:lang w:val="es-ES_tradnl"/>
        </w:rPr>
        <w:t xml:space="preserve">caso </w:t>
      </w:r>
      <w:r w:rsidR="00F61931">
        <w:rPr>
          <w:rFonts w:ascii="Verdana" w:hAnsi="Verdana"/>
          <w:sz w:val="20"/>
          <w:szCs w:val="20"/>
          <w:lang w:val="es-ES_tradnl"/>
        </w:rPr>
        <w:t xml:space="preserve">del </w:t>
      </w:r>
      <w:r w:rsidR="00F61931" w:rsidRPr="00120F47">
        <w:rPr>
          <w:rFonts w:ascii="Verdana" w:hAnsi="Verdana"/>
          <w:i/>
          <w:sz w:val="20"/>
          <w:szCs w:val="20"/>
          <w:lang w:val="es-ES_tradnl"/>
        </w:rPr>
        <w:t>Pueblo</w:t>
      </w:r>
      <w:r w:rsidR="00F61931">
        <w:rPr>
          <w:rFonts w:ascii="Verdana" w:hAnsi="Verdana"/>
          <w:sz w:val="20"/>
          <w:szCs w:val="20"/>
          <w:lang w:val="es-ES_tradnl"/>
        </w:rPr>
        <w:t xml:space="preserve"> </w:t>
      </w:r>
      <w:proofErr w:type="spellStart"/>
      <w:r w:rsidR="00D66DEE" w:rsidRPr="007624ED">
        <w:rPr>
          <w:rFonts w:ascii="Verdana" w:hAnsi="Verdana"/>
          <w:i/>
          <w:sz w:val="20"/>
          <w:szCs w:val="20"/>
          <w:lang w:val="es-ES_tradnl"/>
        </w:rPr>
        <w:t>Saramaka</w:t>
      </w:r>
      <w:proofErr w:type="spellEnd"/>
      <w:r w:rsidR="00D66DEE" w:rsidRPr="007624ED">
        <w:rPr>
          <w:rFonts w:ascii="Verdana" w:hAnsi="Verdana"/>
          <w:i/>
          <w:sz w:val="20"/>
          <w:szCs w:val="20"/>
          <w:lang w:val="es-ES_tradnl"/>
        </w:rPr>
        <w:t>,</w:t>
      </w:r>
      <w:r w:rsidR="000B0F5B" w:rsidRPr="007624ED">
        <w:rPr>
          <w:rFonts w:ascii="Verdana" w:hAnsi="Verdana"/>
          <w:sz w:val="20"/>
          <w:szCs w:val="20"/>
          <w:lang w:val="es-ES_tradnl"/>
        </w:rPr>
        <w:t xml:space="preserve"> en la</w:t>
      </w:r>
      <w:r w:rsidR="00D66DEE" w:rsidRPr="007624ED">
        <w:rPr>
          <w:rFonts w:ascii="Verdana" w:hAnsi="Verdana"/>
          <w:sz w:val="20"/>
          <w:szCs w:val="20"/>
          <w:lang w:val="es-ES_tradnl"/>
        </w:rPr>
        <w:t xml:space="preserve"> que expuso con total claridad el razonamiento correcto:</w:t>
      </w:r>
    </w:p>
    <w:p w14:paraId="33075F93"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18" w14:textId="53578FAC" w:rsidR="00D66DEE" w:rsidRDefault="00D66DEE" w:rsidP="007624ED">
      <w:pPr>
        <w:pStyle w:val="Estilo3"/>
        <w:spacing w:after="0"/>
        <w:rPr>
          <w:rFonts w:ascii="Verdana" w:hAnsi="Verdana"/>
          <w:i w:val="0"/>
          <w:sz w:val="20"/>
          <w:szCs w:val="20"/>
          <w:lang w:val="es-ES_tradnl"/>
        </w:rPr>
      </w:pPr>
      <w:r w:rsidRPr="007624ED">
        <w:rPr>
          <w:rFonts w:ascii="Verdana" w:hAnsi="Verdana"/>
          <w:i w:val="0"/>
          <w:sz w:val="20"/>
          <w:szCs w:val="20"/>
          <w:lang w:val="es-ES_tradnl"/>
        </w:rPr>
        <w:t xml:space="preserve">171. El reconocimiento de su personalidad jurídica es un modo, aunque no sea el único, de asegurar que la comunidad, en su conjunto, podrá gozar y ejercer plenamente el derecho a la propiedad, de conformidad con su sistema de propiedad comunal, así como el derecho a igual protección judicial contra toda violación de dicho derecho. </w:t>
      </w:r>
    </w:p>
    <w:p w14:paraId="3CEA67D7" w14:textId="77777777" w:rsidR="007624ED" w:rsidRPr="007624ED" w:rsidRDefault="007624ED" w:rsidP="007624ED">
      <w:pPr>
        <w:pStyle w:val="Estilo3"/>
        <w:spacing w:after="0"/>
        <w:ind w:left="0"/>
        <w:rPr>
          <w:rFonts w:ascii="Verdana" w:hAnsi="Verdana"/>
          <w:i w:val="0"/>
          <w:sz w:val="20"/>
          <w:szCs w:val="20"/>
          <w:lang w:val="es-ES_tradnl"/>
        </w:rPr>
      </w:pPr>
    </w:p>
    <w:p w14:paraId="3DD1F619" w14:textId="612F9592" w:rsidR="00D66DEE" w:rsidRDefault="00D66DEE" w:rsidP="007624ED">
      <w:pPr>
        <w:pStyle w:val="Estilo2"/>
        <w:spacing w:after="0"/>
        <w:jc w:val="both"/>
        <w:rPr>
          <w:rFonts w:ascii="Verdana" w:hAnsi="Verdana"/>
          <w:i w:val="0"/>
          <w:sz w:val="20"/>
          <w:szCs w:val="20"/>
          <w:lang w:val="es-ES_tradnl"/>
        </w:rPr>
      </w:pPr>
      <w:r w:rsidRPr="007624ED">
        <w:rPr>
          <w:rFonts w:ascii="Verdana" w:hAnsi="Verdana"/>
          <w:i w:val="0"/>
          <w:sz w:val="20"/>
          <w:szCs w:val="20"/>
          <w:lang w:val="es-ES_tradnl"/>
        </w:rPr>
        <w:t xml:space="preserve">172. La Corte considera que el derecho a que el Estado reconozca su personalidad jurídica es una de las medidas especiales que se debe proporcionar a los grupos indígenas y tribales a fin de garantizar que éstos puedan gozar de sus territorios según sus tradiciones. Ésta es la </w:t>
      </w:r>
      <w:r w:rsidRPr="007624ED">
        <w:rPr>
          <w:rFonts w:ascii="Verdana" w:hAnsi="Verdana"/>
          <w:sz w:val="20"/>
          <w:szCs w:val="20"/>
          <w:lang w:val="es-ES_tradnl"/>
        </w:rPr>
        <w:t>consecuencia natural del reconocimiento del derecho que tienen los miembros de los grupos indígenas y tribales a gozar de ciertos derechos de forma comunitaria</w:t>
      </w:r>
      <w:r w:rsidRPr="00120F47">
        <w:rPr>
          <w:rStyle w:val="FootnoteReference"/>
          <w:rFonts w:ascii="Verdana" w:hAnsi="Verdana"/>
          <w:i w:val="0"/>
          <w:sz w:val="20"/>
          <w:szCs w:val="20"/>
          <w:lang w:val="es-ES_tradnl"/>
        </w:rPr>
        <w:footnoteReference w:id="5"/>
      </w:r>
      <w:r w:rsidRPr="007624ED">
        <w:rPr>
          <w:rFonts w:ascii="Verdana" w:hAnsi="Verdana"/>
          <w:i w:val="0"/>
          <w:sz w:val="20"/>
          <w:szCs w:val="20"/>
          <w:lang w:val="es-ES_tradnl"/>
        </w:rPr>
        <w:t>.</w:t>
      </w:r>
    </w:p>
    <w:p w14:paraId="079E69FE" w14:textId="77777777" w:rsidR="007624ED" w:rsidRPr="007624ED" w:rsidRDefault="007624ED" w:rsidP="007624ED">
      <w:pPr>
        <w:pStyle w:val="Estilo2"/>
        <w:spacing w:after="0"/>
        <w:jc w:val="both"/>
        <w:rPr>
          <w:rFonts w:ascii="Verdana" w:hAnsi="Verdana"/>
          <w:sz w:val="20"/>
          <w:szCs w:val="20"/>
          <w:lang w:val="es-ES_tradnl"/>
        </w:rPr>
      </w:pPr>
    </w:p>
    <w:p w14:paraId="3DD1F61A" w14:textId="77777777" w:rsidR="00D66DEE" w:rsidRDefault="00D66DEE" w:rsidP="007624ED">
      <w:pPr>
        <w:pStyle w:val="Estilo1"/>
        <w:spacing w:after="0"/>
        <w:rPr>
          <w:rFonts w:ascii="Verdana" w:hAnsi="Verdana"/>
          <w:sz w:val="20"/>
          <w:szCs w:val="20"/>
          <w:lang w:val="es-ES_tradnl"/>
        </w:rPr>
      </w:pPr>
      <w:r w:rsidRPr="007624ED">
        <w:rPr>
          <w:rFonts w:ascii="Verdana" w:hAnsi="Verdana"/>
          <w:sz w:val="20"/>
          <w:szCs w:val="20"/>
          <w:lang w:val="es-ES_tradnl"/>
        </w:rPr>
        <w:t>Ese mismo razonamiento debe ser aplicado en el presente caso, de modo que la invocación del artículo 3, y más aún su supuesta violación, no sólo es injustificada, sino además innecesaria</w:t>
      </w:r>
      <w:r w:rsidRPr="007624ED">
        <w:rPr>
          <w:rStyle w:val="FootnoteReference"/>
          <w:rFonts w:ascii="Verdana" w:hAnsi="Verdana"/>
          <w:sz w:val="20"/>
          <w:szCs w:val="20"/>
          <w:lang w:val="es-ES_tradnl"/>
        </w:rPr>
        <w:footnoteReference w:id="6"/>
      </w:r>
      <w:r w:rsidRPr="007624ED">
        <w:rPr>
          <w:rFonts w:ascii="Verdana" w:hAnsi="Verdana"/>
          <w:sz w:val="20"/>
          <w:szCs w:val="20"/>
          <w:lang w:val="es-ES_tradnl"/>
        </w:rPr>
        <w:t>.</w:t>
      </w:r>
    </w:p>
    <w:p w14:paraId="6354E24E"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1B" w14:textId="77777777" w:rsidR="00080510" w:rsidRDefault="00080510" w:rsidP="007624ED">
      <w:pPr>
        <w:pStyle w:val="Estilo1"/>
        <w:numPr>
          <w:ilvl w:val="0"/>
          <w:numId w:val="2"/>
        </w:numPr>
        <w:spacing w:after="0"/>
        <w:jc w:val="center"/>
        <w:rPr>
          <w:rFonts w:ascii="Verdana" w:hAnsi="Verdana"/>
          <w:b/>
          <w:sz w:val="20"/>
          <w:szCs w:val="20"/>
          <w:lang w:val="es-ES_tradnl"/>
        </w:rPr>
      </w:pPr>
      <w:r w:rsidRPr="007624ED">
        <w:rPr>
          <w:rFonts w:ascii="Verdana" w:hAnsi="Verdana"/>
          <w:b/>
          <w:sz w:val="20"/>
          <w:szCs w:val="20"/>
          <w:lang w:val="es-ES_tradnl"/>
        </w:rPr>
        <w:t>No se violó el artículo 13 (Libertad de Pensamiento y de Expresión)</w:t>
      </w:r>
    </w:p>
    <w:p w14:paraId="4A7AAA8B" w14:textId="77777777" w:rsidR="007624ED" w:rsidRPr="007624ED" w:rsidRDefault="007624ED" w:rsidP="007624ED">
      <w:pPr>
        <w:pStyle w:val="Estilo1"/>
        <w:numPr>
          <w:ilvl w:val="0"/>
          <w:numId w:val="0"/>
        </w:numPr>
        <w:spacing w:after="0"/>
        <w:ind w:left="1080"/>
        <w:rPr>
          <w:rFonts w:ascii="Verdana" w:hAnsi="Verdana"/>
          <w:b/>
          <w:sz w:val="20"/>
          <w:szCs w:val="20"/>
          <w:lang w:val="es-ES_tradnl"/>
        </w:rPr>
      </w:pPr>
    </w:p>
    <w:p w14:paraId="3DD1F61C" w14:textId="77777777" w:rsidR="00080510" w:rsidRDefault="00600105" w:rsidP="007624ED">
      <w:pPr>
        <w:pStyle w:val="Estilo1"/>
        <w:spacing w:after="0"/>
        <w:rPr>
          <w:rFonts w:ascii="Verdana" w:hAnsi="Verdana"/>
          <w:sz w:val="20"/>
          <w:szCs w:val="20"/>
          <w:lang w:val="es-ES_tradnl"/>
        </w:rPr>
      </w:pPr>
      <w:r w:rsidRPr="007624ED">
        <w:rPr>
          <w:rFonts w:ascii="Verdana" w:hAnsi="Verdana"/>
          <w:sz w:val="20"/>
          <w:szCs w:val="20"/>
          <w:lang w:val="es-ES_tradnl"/>
        </w:rPr>
        <w:t>El art. 13.1 de la Convención Americana dispone lo siguiente:</w:t>
      </w:r>
    </w:p>
    <w:p w14:paraId="5EED7906"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1D" w14:textId="77777777" w:rsidR="00600105" w:rsidRDefault="00600105" w:rsidP="007624ED">
      <w:pPr>
        <w:pStyle w:val="Estilo2"/>
        <w:spacing w:after="0"/>
        <w:rPr>
          <w:rFonts w:ascii="Verdana" w:hAnsi="Verdana"/>
          <w:sz w:val="20"/>
          <w:szCs w:val="20"/>
          <w:lang w:val="es-ES_tradnl"/>
        </w:rPr>
      </w:pPr>
      <w:r w:rsidRPr="007624ED">
        <w:rPr>
          <w:rFonts w:ascii="Verdana" w:hAnsi="Verdana"/>
          <w:sz w:val="20"/>
          <w:szCs w:val="20"/>
          <w:lang w:val="es-ES_tradnl"/>
        </w:rPr>
        <w:t xml:space="preserve">Artículo 13.  Libertad de Pensamiento y de Expresión </w:t>
      </w:r>
    </w:p>
    <w:p w14:paraId="5748D5E9" w14:textId="77777777" w:rsidR="007624ED" w:rsidRPr="007624ED" w:rsidRDefault="007624ED" w:rsidP="007624ED">
      <w:pPr>
        <w:pStyle w:val="Estilo2"/>
        <w:spacing w:after="0"/>
        <w:rPr>
          <w:rFonts w:ascii="Verdana" w:hAnsi="Verdana"/>
          <w:sz w:val="20"/>
          <w:szCs w:val="20"/>
          <w:lang w:val="es-ES_tradnl"/>
        </w:rPr>
      </w:pPr>
    </w:p>
    <w:p w14:paraId="3DD1F61E" w14:textId="4E09F4CD" w:rsidR="00600105" w:rsidRDefault="00600105" w:rsidP="007624ED">
      <w:pPr>
        <w:pStyle w:val="Estilo2"/>
        <w:numPr>
          <w:ilvl w:val="0"/>
          <w:numId w:val="4"/>
        </w:numPr>
        <w:spacing w:after="0"/>
        <w:jc w:val="both"/>
        <w:rPr>
          <w:rFonts w:ascii="Verdana" w:hAnsi="Verdana"/>
          <w:sz w:val="20"/>
          <w:szCs w:val="20"/>
          <w:lang w:val="es-ES_tradnl"/>
        </w:rPr>
      </w:pPr>
      <w:r w:rsidRPr="007624ED">
        <w:rPr>
          <w:rFonts w:ascii="Verdana" w:hAnsi="Verdana"/>
          <w:sz w:val="20"/>
          <w:szCs w:val="20"/>
          <w:lang w:val="es-ES_tradnl"/>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204339B7" w14:textId="77777777" w:rsidR="007624ED" w:rsidRDefault="007624ED" w:rsidP="00120F47">
      <w:pPr>
        <w:pStyle w:val="Estilo2"/>
        <w:spacing w:after="0"/>
        <w:ind w:left="0"/>
        <w:jc w:val="both"/>
        <w:rPr>
          <w:rFonts w:ascii="Verdana" w:hAnsi="Verdana"/>
          <w:sz w:val="20"/>
          <w:szCs w:val="20"/>
          <w:lang w:val="es-ES_tradnl"/>
        </w:rPr>
      </w:pPr>
    </w:p>
    <w:p w14:paraId="3DD1F61F" w14:textId="77777777" w:rsidR="00080510" w:rsidRPr="00F61931" w:rsidRDefault="00600105" w:rsidP="00120F47">
      <w:pPr>
        <w:pStyle w:val="Estilo1"/>
        <w:spacing w:after="0"/>
        <w:rPr>
          <w:rFonts w:ascii="Verdana" w:hAnsi="Verdana"/>
          <w:sz w:val="20"/>
          <w:szCs w:val="20"/>
          <w:lang w:val="es-ES_tradnl"/>
        </w:rPr>
      </w:pPr>
      <w:r w:rsidRPr="00F61931">
        <w:rPr>
          <w:rFonts w:ascii="Verdana" w:hAnsi="Verdana"/>
          <w:sz w:val="20"/>
          <w:szCs w:val="20"/>
          <w:lang w:val="es-ES_tradnl"/>
        </w:rPr>
        <w:t xml:space="preserve">Una vez más es preciso </w:t>
      </w:r>
      <w:r w:rsidR="00020484" w:rsidRPr="00F61931">
        <w:rPr>
          <w:rFonts w:ascii="Verdana" w:hAnsi="Verdana"/>
          <w:sz w:val="20"/>
          <w:szCs w:val="20"/>
          <w:lang w:val="es-ES_tradnl"/>
        </w:rPr>
        <w:t xml:space="preserve">señalar que esta disposición no ha sido transcripta en el texto de la sentencia. Quizás la razón para esa injustificable omisión esté en el hecho de </w:t>
      </w:r>
      <w:r w:rsidR="00B55A11" w:rsidRPr="00F61931">
        <w:rPr>
          <w:rFonts w:ascii="Verdana" w:hAnsi="Verdana"/>
          <w:sz w:val="20"/>
          <w:szCs w:val="20"/>
          <w:lang w:val="es-ES_tradnl"/>
        </w:rPr>
        <w:t xml:space="preserve">que </w:t>
      </w:r>
      <w:r w:rsidR="00020484" w:rsidRPr="00F61931">
        <w:rPr>
          <w:rFonts w:ascii="Verdana" w:hAnsi="Verdana"/>
          <w:sz w:val="20"/>
          <w:szCs w:val="20"/>
          <w:lang w:val="es-ES_tradnl"/>
        </w:rPr>
        <w:t xml:space="preserve">basta leer </w:t>
      </w:r>
      <w:r w:rsidR="00020484" w:rsidRPr="003A1EBB">
        <w:rPr>
          <w:rFonts w:ascii="Verdana" w:hAnsi="Verdana"/>
          <w:sz w:val="20"/>
          <w:szCs w:val="20"/>
          <w:lang w:val="es-ES_tradnl"/>
        </w:rPr>
        <w:t>el artículo 13 para comprender que la negativa a entregar determinadas informaciones que se consideraban necesarias para ejercer los derechos de participación y consulta</w:t>
      </w:r>
      <w:r w:rsidR="00065836" w:rsidRPr="00F61931">
        <w:rPr>
          <w:rFonts w:ascii="Verdana" w:hAnsi="Verdana"/>
          <w:sz w:val="20"/>
          <w:szCs w:val="20"/>
          <w:lang w:val="es-ES_tradnl"/>
        </w:rPr>
        <w:t xml:space="preserve"> de un pueblo indígena o tribal</w:t>
      </w:r>
      <w:r w:rsidR="00020484" w:rsidRPr="00F61931">
        <w:rPr>
          <w:rFonts w:ascii="Verdana" w:hAnsi="Verdana"/>
          <w:sz w:val="20"/>
          <w:szCs w:val="20"/>
          <w:lang w:val="es-ES_tradnl"/>
        </w:rPr>
        <w:t xml:space="preserve"> no tiene nada que ver con la “libertad de pensamiento y de expresión”, y en particular con la “libertad de buscar, recibir y difundir informaciones e ideas de toda índole”.</w:t>
      </w:r>
    </w:p>
    <w:p w14:paraId="38C9D587"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0" w14:textId="77777777" w:rsidR="00020484" w:rsidRDefault="00020484"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Como se dijo acertadamente en la sentencia sobre el caso </w:t>
      </w:r>
      <w:proofErr w:type="spellStart"/>
      <w:r w:rsidRPr="007624ED">
        <w:rPr>
          <w:rFonts w:ascii="Verdana" w:hAnsi="Verdana"/>
          <w:i/>
          <w:sz w:val="20"/>
          <w:szCs w:val="20"/>
          <w:lang w:val="es-ES_tradnl"/>
        </w:rPr>
        <w:t>Sarayaku</w:t>
      </w:r>
      <w:proofErr w:type="spellEnd"/>
      <w:r w:rsidRPr="007624ED">
        <w:rPr>
          <w:rFonts w:ascii="Verdana" w:hAnsi="Verdana"/>
          <w:sz w:val="20"/>
          <w:szCs w:val="20"/>
          <w:lang w:val="es-ES_tradnl"/>
        </w:rPr>
        <w:t>,</w:t>
      </w:r>
    </w:p>
    <w:p w14:paraId="32117608"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1" w14:textId="3A20E8C3" w:rsidR="00020484" w:rsidRDefault="00020484" w:rsidP="007624ED">
      <w:pPr>
        <w:pStyle w:val="Estilo3"/>
        <w:spacing w:after="0"/>
        <w:rPr>
          <w:rFonts w:ascii="Verdana" w:hAnsi="Verdana"/>
          <w:sz w:val="20"/>
          <w:szCs w:val="20"/>
          <w:lang w:val="es-ES_tradnl"/>
        </w:rPr>
      </w:pPr>
      <w:proofErr w:type="gramStart"/>
      <w:r w:rsidRPr="007624ED">
        <w:rPr>
          <w:rFonts w:ascii="Verdana" w:hAnsi="Verdana"/>
          <w:i w:val="0"/>
          <w:sz w:val="20"/>
          <w:szCs w:val="20"/>
          <w:lang w:val="es-ES_tradnl"/>
        </w:rPr>
        <w:t>sobre</w:t>
      </w:r>
      <w:proofErr w:type="gramEnd"/>
      <w:r w:rsidRPr="007624ED">
        <w:rPr>
          <w:rFonts w:ascii="Verdana" w:hAnsi="Verdana"/>
          <w:i w:val="0"/>
          <w:sz w:val="20"/>
          <w:szCs w:val="20"/>
          <w:lang w:val="es-ES_tradnl"/>
        </w:rPr>
        <w:t xml:space="preserve"> la alegada violación de los artículos 13, 23 y 26 de la Convención, la Corte coincide con la Comisión en cuanto a que, en asuntos como el presente, el acceso a la información es vital para un adecuado ejercicio del control democrático de la gestión estatal respecto de las actividades de exploración y explotación de los recursos naturales en el territorio de las comunidades indígenas, un asunto de evidente interés público. Sin embargo, </w:t>
      </w:r>
      <w:r w:rsidRPr="007624ED">
        <w:rPr>
          <w:rFonts w:ascii="Verdana" w:hAnsi="Verdana"/>
          <w:sz w:val="20"/>
          <w:szCs w:val="20"/>
          <w:lang w:val="es-ES_tradnl"/>
        </w:rPr>
        <w:t xml:space="preserve">la Corte considera que en el presente caso los hechos han sido suficientemente analizados, y las violaciones conceptualizadas, bajo los derechos a la propiedad comunal, a la consulta y a la identidad cultural del Pueblo </w:t>
      </w:r>
      <w:proofErr w:type="spellStart"/>
      <w:r w:rsidRPr="007624ED">
        <w:rPr>
          <w:rFonts w:ascii="Verdana" w:hAnsi="Verdana"/>
          <w:sz w:val="20"/>
          <w:szCs w:val="20"/>
          <w:lang w:val="es-ES_tradnl"/>
        </w:rPr>
        <w:t>Sarayaku</w:t>
      </w:r>
      <w:proofErr w:type="spellEnd"/>
      <w:r w:rsidRPr="007624ED">
        <w:rPr>
          <w:rFonts w:ascii="Verdana" w:hAnsi="Verdana"/>
          <w:sz w:val="20"/>
          <w:szCs w:val="20"/>
          <w:lang w:val="es-ES_tradnl"/>
        </w:rPr>
        <w:t>, en los términos del artículo 21 de la Convención, en relación con los artículos 1.1 y 2 de la misma, por lo que no se pronuncia sobre la alegada violación de aquellas normas</w:t>
      </w:r>
      <w:r w:rsidR="00065836" w:rsidRPr="007624ED">
        <w:rPr>
          <w:rStyle w:val="FootnoteReference"/>
          <w:rFonts w:ascii="Verdana" w:hAnsi="Verdana"/>
          <w:sz w:val="20"/>
          <w:szCs w:val="20"/>
          <w:lang w:val="es-ES_tradnl"/>
        </w:rPr>
        <w:footnoteReference w:id="7"/>
      </w:r>
      <w:r w:rsidR="00065836" w:rsidRPr="007624ED">
        <w:rPr>
          <w:rFonts w:ascii="Verdana" w:hAnsi="Verdana"/>
          <w:sz w:val="20"/>
          <w:szCs w:val="20"/>
          <w:lang w:val="es-ES_tradnl"/>
        </w:rPr>
        <w:t>.</w:t>
      </w:r>
    </w:p>
    <w:p w14:paraId="62E9F083" w14:textId="77777777" w:rsidR="007624ED" w:rsidRPr="007624ED" w:rsidRDefault="007624ED" w:rsidP="007624ED">
      <w:pPr>
        <w:pStyle w:val="Estilo3"/>
        <w:spacing w:after="0"/>
        <w:rPr>
          <w:rFonts w:ascii="Verdana" w:hAnsi="Verdana"/>
          <w:i w:val="0"/>
          <w:sz w:val="20"/>
          <w:szCs w:val="20"/>
          <w:lang w:val="es-ES_tradnl"/>
        </w:rPr>
      </w:pPr>
    </w:p>
    <w:p w14:paraId="3DD1F622" w14:textId="1F751A45" w:rsidR="00B55A11" w:rsidRDefault="00B55A11" w:rsidP="007624ED">
      <w:pPr>
        <w:pStyle w:val="Estilo1"/>
        <w:spacing w:after="0"/>
        <w:rPr>
          <w:rFonts w:ascii="Verdana" w:hAnsi="Verdana"/>
          <w:sz w:val="20"/>
          <w:szCs w:val="20"/>
          <w:lang w:val="es-ES_tradnl"/>
        </w:rPr>
      </w:pPr>
      <w:r w:rsidRPr="007624ED">
        <w:rPr>
          <w:rFonts w:ascii="Verdana" w:hAnsi="Verdana"/>
          <w:sz w:val="20"/>
          <w:szCs w:val="20"/>
          <w:lang w:val="es-ES_tradnl"/>
        </w:rPr>
        <w:t>En el presente caso, la Corte consideró la posible violación del art. 13 de oficio, pues no había sido alegada ni por la Comisión ni por las presuntas víctimas</w:t>
      </w:r>
      <w:r w:rsidRPr="007624ED">
        <w:rPr>
          <w:rStyle w:val="FootnoteReference"/>
          <w:rFonts w:ascii="Verdana" w:hAnsi="Verdana"/>
          <w:sz w:val="20"/>
          <w:szCs w:val="20"/>
          <w:lang w:val="es-ES_tradnl"/>
        </w:rPr>
        <w:footnoteReference w:id="8"/>
      </w:r>
      <w:r w:rsidRPr="007624ED">
        <w:rPr>
          <w:rFonts w:ascii="Verdana" w:hAnsi="Verdana"/>
          <w:sz w:val="20"/>
          <w:szCs w:val="20"/>
          <w:lang w:val="es-ES_tradnl"/>
        </w:rPr>
        <w:t>. De inmediato pasó a examinar la posible violación del art. 13 consistente en “la falta de respuesta por parte del Estado a la solicitud de información acerca de los títulos de propiedad que alegan las víctimas”</w:t>
      </w:r>
      <w:r w:rsidR="00F61931">
        <w:rPr>
          <w:rStyle w:val="FootnoteReference"/>
          <w:rFonts w:ascii="Verdana" w:hAnsi="Verdana"/>
          <w:sz w:val="20"/>
          <w:szCs w:val="20"/>
          <w:lang w:val="es-ES_tradnl"/>
        </w:rPr>
        <w:footnoteReference w:id="9"/>
      </w:r>
      <w:r w:rsidRPr="007624ED">
        <w:rPr>
          <w:rFonts w:ascii="Verdana" w:hAnsi="Verdana"/>
          <w:sz w:val="20"/>
          <w:szCs w:val="20"/>
          <w:lang w:val="es-ES_tradnl"/>
        </w:rPr>
        <w:t xml:space="preserve">. </w:t>
      </w:r>
      <w:r w:rsidR="003E22F4" w:rsidRPr="007624ED">
        <w:rPr>
          <w:rFonts w:ascii="Verdana" w:hAnsi="Verdana"/>
          <w:sz w:val="20"/>
          <w:szCs w:val="20"/>
          <w:lang w:val="es-ES_tradnl"/>
        </w:rPr>
        <w:t xml:space="preserve">Más precisamente, se trató de la solicitud de “clarificar y producir los documentos relevantes que prueben si las personas identificadas anteriormente [los señores H.J. De </w:t>
      </w:r>
      <w:proofErr w:type="spellStart"/>
      <w:r w:rsidR="003E22F4" w:rsidRPr="007624ED">
        <w:rPr>
          <w:rFonts w:ascii="Verdana" w:hAnsi="Verdana"/>
          <w:sz w:val="20"/>
          <w:szCs w:val="20"/>
          <w:lang w:val="es-ES_tradnl"/>
        </w:rPr>
        <w:t>Vries</w:t>
      </w:r>
      <w:proofErr w:type="spellEnd"/>
      <w:r w:rsidR="003E22F4" w:rsidRPr="007624ED">
        <w:rPr>
          <w:rFonts w:ascii="Verdana" w:hAnsi="Verdana"/>
          <w:sz w:val="20"/>
          <w:szCs w:val="20"/>
          <w:lang w:val="es-ES_tradnl"/>
        </w:rPr>
        <w:t xml:space="preserve"> y </w:t>
      </w:r>
      <w:proofErr w:type="spellStart"/>
      <w:r w:rsidR="003E22F4" w:rsidRPr="007624ED">
        <w:rPr>
          <w:rFonts w:ascii="Verdana" w:hAnsi="Verdana"/>
          <w:sz w:val="20"/>
          <w:szCs w:val="20"/>
          <w:lang w:val="es-ES_tradnl"/>
        </w:rPr>
        <w:t>Harrold</w:t>
      </w:r>
      <w:proofErr w:type="spellEnd"/>
      <w:r w:rsidR="003E22F4" w:rsidRPr="007624ED">
        <w:rPr>
          <w:rFonts w:ascii="Verdana" w:hAnsi="Verdana"/>
          <w:sz w:val="20"/>
          <w:szCs w:val="20"/>
          <w:lang w:val="es-ES_tradnl"/>
        </w:rPr>
        <w:t xml:space="preserve"> </w:t>
      </w:r>
      <w:proofErr w:type="spellStart"/>
      <w:r w:rsidR="003E22F4" w:rsidRPr="007624ED">
        <w:rPr>
          <w:rFonts w:ascii="Verdana" w:hAnsi="Verdana"/>
          <w:sz w:val="20"/>
          <w:szCs w:val="20"/>
          <w:lang w:val="es-ES_tradnl"/>
        </w:rPr>
        <w:t>Sijlbing</w:t>
      </w:r>
      <w:proofErr w:type="spellEnd"/>
      <w:r w:rsidR="003E22F4" w:rsidRPr="007624ED">
        <w:rPr>
          <w:rFonts w:ascii="Verdana" w:hAnsi="Verdana"/>
          <w:sz w:val="20"/>
          <w:szCs w:val="20"/>
          <w:lang w:val="es-ES_tradnl"/>
        </w:rPr>
        <w:t xml:space="preserve">] poseen títulos válidos en el Pueblo de </w:t>
      </w:r>
      <w:proofErr w:type="spellStart"/>
      <w:r w:rsidR="003E22F4" w:rsidRPr="007624ED">
        <w:rPr>
          <w:rFonts w:ascii="Verdana" w:hAnsi="Verdana"/>
          <w:sz w:val="20"/>
          <w:szCs w:val="20"/>
          <w:lang w:val="es-ES_tradnl"/>
        </w:rPr>
        <w:t>Pierrekondre</w:t>
      </w:r>
      <w:proofErr w:type="spellEnd"/>
      <w:r w:rsidR="003E22F4" w:rsidRPr="007624ED">
        <w:rPr>
          <w:rFonts w:ascii="Verdana" w:hAnsi="Verdana"/>
          <w:sz w:val="20"/>
          <w:szCs w:val="20"/>
          <w:lang w:val="es-ES_tradnl"/>
        </w:rPr>
        <w:t xml:space="preserve">; y si fuera así, [clarificar] la naturaleza de aquellos títulos y si estas personas tienen permiso para construir casas y/o comercios debido a los mismos. </w:t>
      </w:r>
      <w:proofErr w:type="gramStart"/>
      <w:r w:rsidR="003E22F4" w:rsidRPr="007624ED">
        <w:rPr>
          <w:rFonts w:ascii="Verdana" w:hAnsi="Verdana"/>
          <w:sz w:val="20"/>
          <w:szCs w:val="20"/>
          <w:lang w:val="es-ES_tradnl"/>
        </w:rPr>
        <w:t>Solicita[</w:t>
      </w:r>
      <w:proofErr w:type="gramEnd"/>
      <w:r w:rsidR="003E22F4" w:rsidRPr="007624ED">
        <w:rPr>
          <w:rFonts w:ascii="Verdana" w:hAnsi="Verdana"/>
          <w:sz w:val="20"/>
          <w:szCs w:val="20"/>
          <w:lang w:val="es-ES_tradnl"/>
        </w:rPr>
        <w:t>ron] que esta información sea entregada por escrito y sea discutida con [estos] tan pronto se encuentre disponible”</w:t>
      </w:r>
      <w:r w:rsidR="00065836" w:rsidRPr="007624ED">
        <w:rPr>
          <w:rStyle w:val="FootnoteReference"/>
          <w:rFonts w:ascii="Verdana" w:hAnsi="Verdana"/>
          <w:sz w:val="20"/>
          <w:szCs w:val="20"/>
          <w:lang w:val="es-ES_tradnl"/>
        </w:rPr>
        <w:footnoteReference w:id="10"/>
      </w:r>
      <w:r w:rsidR="003E22F4" w:rsidRPr="007624ED">
        <w:rPr>
          <w:rFonts w:ascii="Verdana" w:hAnsi="Verdana"/>
          <w:sz w:val="20"/>
          <w:szCs w:val="20"/>
          <w:lang w:val="es-ES_tradnl"/>
        </w:rPr>
        <w:t>. Resulta claro</w:t>
      </w:r>
      <w:r w:rsidRPr="007624ED">
        <w:rPr>
          <w:rFonts w:ascii="Verdana" w:hAnsi="Verdana"/>
          <w:sz w:val="20"/>
          <w:szCs w:val="20"/>
          <w:lang w:val="es-ES_tradnl"/>
        </w:rPr>
        <w:t xml:space="preserve"> que esa solicitud de información no tiene que ver </w:t>
      </w:r>
      <w:r w:rsidR="003E22F4" w:rsidRPr="007624ED">
        <w:rPr>
          <w:rFonts w:ascii="Verdana" w:hAnsi="Verdana"/>
          <w:sz w:val="20"/>
          <w:szCs w:val="20"/>
          <w:lang w:val="es-ES_tradnl"/>
        </w:rPr>
        <w:t xml:space="preserve">con “un asunto de evidente interés público”, sino con un tema de interés de los pueblos </w:t>
      </w:r>
      <w:r w:rsidR="003E22F4" w:rsidRPr="007624ED">
        <w:rPr>
          <w:rFonts w:ascii="Verdana" w:hAnsi="Verdana"/>
          <w:sz w:val="20"/>
          <w:szCs w:val="20"/>
          <w:lang w:val="es-ES_tradnl"/>
        </w:rPr>
        <w:lastRenderedPageBreak/>
        <w:t xml:space="preserve">indígenas </w:t>
      </w:r>
      <w:proofErr w:type="spellStart"/>
      <w:r w:rsidR="003E22F4" w:rsidRPr="007624ED">
        <w:rPr>
          <w:rFonts w:ascii="Verdana" w:hAnsi="Verdana"/>
          <w:sz w:val="20"/>
          <w:szCs w:val="20"/>
          <w:lang w:val="es-ES_tradnl"/>
        </w:rPr>
        <w:t>Kaliña</w:t>
      </w:r>
      <w:proofErr w:type="spellEnd"/>
      <w:r w:rsidR="003E22F4" w:rsidRPr="007624ED">
        <w:rPr>
          <w:rFonts w:ascii="Verdana" w:hAnsi="Verdana"/>
          <w:sz w:val="20"/>
          <w:szCs w:val="20"/>
          <w:lang w:val="es-ES_tradnl"/>
        </w:rPr>
        <w:t xml:space="preserve"> y </w:t>
      </w:r>
      <w:proofErr w:type="spellStart"/>
      <w:r w:rsidR="003E22F4" w:rsidRPr="007624ED">
        <w:rPr>
          <w:rFonts w:ascii="Verdana" w:hAnsi="Verdana"/>
          <w:sz w:val="20"/>
          <w:szCs w:val="20"/>
          <w:lang w:val="es-ES_tradnl"/>
        </w:rPr>
        <w:t>Lokono</w:t>
      </w:r>
      <w:proofErr w:type="spellEnd"/>
      <w:r w:rsidR="003E22F4" w:rsidRPr="007624ED">
        <w:rPr>
          <w:rFonts w:ascii="Verdana" w:hAnsi="Verdana"/>
          <w:sz w:val="20"/>
          <w:szCs w:val="20"/>
          <w:lang w:val="es-ES_tradnl"/>
        </w:rPr>
        <w:t xml:space="preserve"> para ejercer su derecho a la protección judicial (art. 25) en relación con sus derechos de propiedad colectiva, participación y consulta.</w:t>
      </w:r>
    </w:p>
    <w:p w14:paraId="43BCC91A"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3" w14:textId="6AC84761" w:rsidR="00600105" w:rsidRDefault="003E22F4"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La libertad de información consagrada en el artículo 13 de la Convención se refiere en cambio (en los ya transcriptos términos de la sentencia en el caso </w:t>
      </w:r>
      <w:proofErr w:type="spellStart"/>
      <w:r w:rsidRPr="007624ED">
        <w:rPr>
          <w:rFonts w:ascii="Verdana" w:hAnsi="Verdana"/>
          <w:sz w:val="20"/>
          <w:szCs w:val="20"/>
          <w:lang w:val="es-ES_tradnl"/>
        </w:rPr>
        <w:t>Sarayaku</w:t>
      </w:r>
      <w:proofErr w:type="spellEnd"/>
      <w:r w:rsidRPr="007624ED">
        <w:rPr>
          <w:rFonts w:ascii="Verdana" w:hAnsi="Verdana"/>
          <w:sz w:val="20"/>
          <w:szCs w:val="20"/>
          <w:lang w:val="es-ES_tradnl"/>
        </w:rPr>
        <w:t>) a “la información [que] es vital para un adecuado ejercicio del control democrático de la gestión estatal respecto de las actividades de exploración y explotación de los recursos naturales en el territorio de las comunidades indígenas”. No se trata</w:t>
      </w:r>
      <w:r w:rsidR="00065836" w:rsidRPr="007624ED">
        <w:rPr>
          <w:rFonts w:ascii="Verdana" w:hAnsi="Verdana"/>
          <w:sz w:val="20"/>
          <w:szCs w:val="20"/>
          <w:lang w:val="es-ES_tradnl"/>
        </w:rPr>
        <w:t xml:space="preserve"> en el presente caso</w:t>
      </w:r>
      <w:r w:rsidRPr="007624ED">
        <w:rPr>
          <w:rFonts w:ascii="Verdana" w:hAnsi="Verdana"/>
          <w:sz w:val="20"/>
          <w:szCs w:val="20"/>
          <w:lang w:val="es-ES_tradnl"/>
        </w:rPr>
        <w:t xml:space="preserve"> del “control democrático de la gestión estatal”</w:t>
      </w:r>
      <w:r w:rsidR="00065836" w:rsidRPr="007624ED">
        <w:rPr>
          <w:rFonts w:ascii="Verdana" w:hAnsi="Verdana"/>
          <w:sz w:val="20"/>
          <w:szCs w:val="20"/>
          <w:lang w:val="es-ES_tradnl"/>
        </w:rPr>
        <w:t>,</w:t>
      </w:r>
      <w:r w:rsidRPr="007624ED">
        <w:rPr>
          <w:rFonts w:ascii="Verdana" w:hAnsi="Verdana"/>
          <w:sz w:val="20"/>
          <w:szCs w:val="20"/>
          <w:lang w:val="es-ES_tradnl"/>
        </w:rPr>
        <w:t xml:space="preserve"> sino del ejercicio de los derechos específicos mencionados al final del párrafo anterior.</w:t>
      </w:r>
      <w:r w:rsidR="00B173B5" w:rsidRPr="007624ED">
        <w:rPr>
          <w:rFonts w:ascii="Verdana" w:hAnsi="Verdana"/>
          <w:sz w:val="20"/>
          <w:szCs w:val="20"/>
          <w:lang w:val="es-ES_tradnl"/>
        </w:rPr>
        <w:t xml:space="preserve"> Como dice la sentencia, “la información solicitada era documentación de importancia para que los Pueblos </w:t>
      </w:r>
      <w:proofErr w:type="spellStart"/>
      <w:r w:rsidR="00B173B5" w:rsidRPr="007624ED">
        <w:rPr>
          <w:rFonts w:ascii="Verdana" w:hAnsi="Verdana"/>
          <w:sz w:val="20"/>
          <w:szCs w:val="20"/>
          <w:lang w:val="es-ES_tradnl"/>
        </w:rPr>
        <w:t>Kaliña</w:t>
      </w:r>
      <w:proofErr w:type="spellEnd"/>
      <w:r w:rsidR="00B173B5" w:rsidRPr="007624ED">
        <w:rPr>
          <w:rFonts w:ascii="Verdana" w:hAnsi="Verdana"/>
          <w:sz w:val="20"/>
          <w:szCs w:val="20"/>
          <w:lang w:val="es-ES_tradnl"/>
        </w:rPr>
        <w:t xml:space="preserve"> y </w:t>
      </w:r>
      <w:proofErr w:type="spellStart"/>
      <w:r w:rsidR="00B173B5" w:rsidRPr="007624ED">
        <w:rPr>
          <w:rFonts w:ascii="Verdana" w:hAnsi="Verdana"/>
          <w:sz w:val="20"/>
          <w:szCs w:val="20"/>
          <w:lang w:val="es-ES_tradnl"/>
        </w:rPr>
        <w:t>Lokono</w:t>
      </w:r>
      <w:proofErr w:type="spellEnd"/>
      <w:r w:rsidR="00B173B5" w:rsidRPr="007624ED">
        <w:rPr>
          <w:rFonts w:ascii="Verdana" w:hAnsi="Verdana"/>
          <w:sz w:val="20"/>
          <w:szCs w:val="20"/>
          <w:lang w:val="es-ES_tradnl"/>
        </w:rPr>
        <w:t xml:space="preserve"> pudieran tener elementos claros de cuántos individuos ajenos a sus comunidades se encontraban en la zona, y cuál era la situación legal de la posesión de ese territorio. En este sentido, aquella información podría haberles otorgado elementos adicionales a efectos de la presentación de sus reclamos en el fuero interno</w:t>
      </w:r>
      <w:r w:rsidR="00F61931">
        <w:rPr>
          <w:rFonts w:ascii="Verdana" w:hAnsi="Verdana"/>
          <w:sz w:val="20"/>
          <w:szCs w:val="20"/>
          <w:lang w:val="es-ES_tradnl"/>
        </w:rPr>
        <w:t>”</w:t>
      </w:r>
      <w:r w:rsidR="005E1711">
        <w:rPr>
          <w:rStyle w:val="FootnoteReference"/>
          <w:rFonts w:ascii="Verdana" w:hAnsi="Verdana"/>
          <w:sz w:val="20"/>
          <w:szCs w:val="20"/>
          <w:lang w:val="es-ES_tradnl"/>
        </w:rPr>
        <w:footnoteReference w:id="11"/>
      </w:r>
      <w:r w:rsidR="00B173B5" w:rsidRPr="007624ED">
        <w:rPr>
          <w:rFonts w:ascii="Verdana" w:hAnsi="Verdana"/>
          <w:sz w:val="20"/>
          <w:szCs w:val="20"/>
          <w:lang w:val="es-ES_tradnl"/>
        </w:rPr>
        <w:t>.</w:t>
      </w:r>
    </w:p>
    <w:p w14:paraId="3C7BB96C"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4" w14:textId="77777777" w:rsidR="00B173B5" w:rsidRDefault="00B173B5" w:rsidP="007624ED">
      <w:pPr>
        <w:pStyle w:val="Estilo1"/>
        <w:spacing w:after="0"/>
        <w:rPr>
          <w:rFonts w:ascii="Verdana" w:hAnsi="Verdana"/>
          <w:sz w:val="20"/>
          <w:szCs w:val="20"/>
          <w:lang w:val="es-ES_tradnl"/>
        </w:rPr>
      </w:pPr>
      <w:r w:rsidRPr="007624ED">
        <w:rPr>
          <w:rFonts w:ascii="Verdana" w:hAnsi="Verdana"/>
          <w:sz w:val="20"/>
          <w:szCs w:val="20"/>
          <w:lang w:val="es-ES_tradnl"/>
        </w:rPr>
        <w:t>Por lo tanto, no corresponde declarar una violación del artículo 13 de la Convención, siendo suficiente declarar la violación del artículo 25 (Derecho a la protección judicial).</w:t>
      </w:r>
    </w:p>
    <w:p w14:paraId="1C80950C"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5" w14:textId="77777777" w:rsidR="00080510" w:rsidRDefault="00080510" w:rsidP="007624ED">
      <w:pPr>
        <w:pStyle w:val="Estilo1"/>
        <w:numPr>
          <w:ilvl w:val="0"/>
          <w:numId w:val="2"/>
        </w:numPr>
        <w:spacing w:after="0"/>
        <w:jc w:val="center"/>
        <w:rPr>
          <w:rFonts w:ascii="Verdana" w:hAnsi="Verdana"/>
          <w:b/>
          <w:sz w:val="20"/>
          <w:szCs w:val="20"/>
          <w:lang w:val="es-ES_tradnl"/>
        </w:rPr>
      </w:pPr>
      <w:r w:rsidRPr="007624ED">
        <w:rPr>
          <w:rFonts w:ascii="Verdana" w:hAnsi="Verdana"/>
          <w:b/>
          <w:sz w:val="20"/>
          <w:szCs w:val="20"/>
          <w:lang w:val="es-ES_tradnl"/>
        </w:rPr>
        <w:t>No se violó el artículo 23 (</w:t>
      </w:r>
      <w:r w:rsidR="00B173B5" w:rsidRPr="007624ED">
        <w:rPr>
          <w:rFonts w:ascii="Verdana" w:hAnsi="Verdana"/>
          <w:b/>
          <w:sz w:val="20"/>
          <w:szCs w:val="20"/>
          <w:lang w:val="es-ES_tradnl"/>
        </w:rPr>
        <w:t>Derechos políticos)</w:t>
      </w:r>
    </w:p>
    <w:p w14:paraId="11DEF0CB" w14:textId="77777777" w:rsidR="007624ED" w:rsidRPr="007624ED" w:rsidRDefault="007624ED" w:rsidP="007624ED">
      <w:pPr>
        <w:pStyle w:val="Estilo1"/>
        <w:numPr>
          <w:ilvl w:val="0"/>
          <w:numId w:val="0"/>
        </w:numPr>
        <w:spacing w:after="0"/>
        <w:ind w:left="1080"/>
        <w:rPr>
          <w:rFonts w:ascii="Verdana" w:hAnsi="Verdana"/>
          <w:b/>
          <w:sz w:val="20"/>
          <w:szCs w:val="20"/>
          <w:lang w:val="es-ES_tradnl"/>
        </w:rPr>
      </w:pPr>
    </w:p>
    <w:p w14:paraId="3DD1F626" w14:textId="66448DED" w:rsidR="00080510" w:rsidRDefault="00D46F07"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El </w:t>
      </w:r>
      <w:r w:rsidR="00F61931">
        <w:rPr>
          <w:rFonts w:ascii="Verdana" w:hAnsi="Verdana"/>
          <w:sz w:val="20"/>
          <w:szCs w:val="20"/>
          <w:lang w:val="es-ES_tradnl"/>
        </w:rPr>
        <w:t>art.</w:t>
      </w:r>
      <w:r w:rsidR="00F61931" w:rsidRPr="007624ED">
        <w:rPr>
          <w:rFonts w:ascii="Verdana" w:hAnsi="Verdana"/>
          <w:sz w:val="20"/>
          <w:szCs w:val="20"/>
          <w:lang w:val="es-ES_tradnl"/>
        </w:rPr>
        <w:t xml:space="preserve"> </w:t>
      </w:r>
      <w:r w:rsidRPr="007624ED">
        <w:rPr>
          <w:rFonts w:ascii="Verdana" w:hAnsi="Verdana"/>
          <w:sz w:val="20"/>
          <w:szCs w:val="20"/>
          <w:lang w:val="es-ES_tradnl"/>
        </w:rPr>
        <w:t xml:space="preserve">23 </w:t>
      </w:r>
      <w:r w:rsidR="00F61931">
        <w:rPr>
          <w:rFonts w:ascii="Verdana" w:hAnsi="Verdana"/>
          <w:sz w:val="20"/>
          <w:szCs w:val="20"/>
          <w:lang w:val="es-ES_tradnl"/>
        </w:rPr>
        <w:t>de la Convención Americana dispone lo siguiente</w:t>
      </w:r>
      <w:r w:rsidRPr="007624ED">
        <w:rPr>
          <w:rFonts w:ascii="Verdana" w:hAnsi="Verdana"/>
          <w:sz w:val="20"/>
          <w:szCs w:val="20"/>
          <w:lang w:val="es-ES_tradnl"/>
        </w:rPr>
        <w:t>:</w:t>
      </w:r>
    </w:p>
    <w:p w14:paraId="30C86327"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7" w14:textId="77777777" w:rsidR="00D46F07" w:rsidRDefault="00D46F07" w:rsidP="007624ED">
      <w:pPr>
        <w:pStyle w:val="Estilo2"/>
        <w:spacing w:after="0"/>
        <w:rPr>
          <w:rFonts w:ascii="Verdana" w:hAnsi="Verdana"/>
          <w:sz w:val="20"/>
          <w:szCs w:val="20"/>
          <w:lang w:val="es-ES_tradnl"/>
        </w:rPr>
      </w:pPr>
      <w:r w:rsidRPr="007624ED">
        <w:rPr>
          <w:rFonts w:ascii="Verdana" w:hAnsi="Verdana"/>
          <w:sz w:val="20"/>
          <w:szCs w:val="20"/>
          <w:lang w:val="es-ES_tradnl"/>
        </w:rPr>
        <w:t xml:space="preserve">Artículo 23.  Derechos Políticos </w:t>
      </w:r>
    </w:p>
    <w:p w14:paraId="1290ACFB" w14:textId="77777777" w:rsidR="007624ED" w:rsidRPr="007624ED" w:rsidRDefault="007624ED" w:rsidP="007624ED">
      <w:pPr>
        <w:pStyle w:val="Estilo2"/>
        <w:spacing w:after="0"/>
        <w:rPr>
          <w:rFonts w:ascii="Verdana" w:hAnsi="Verdana"/>
          <w:sz w:val="20"/>
          <w:szCs w:val="20"/>
          <w:lang w:val="es-ES_tradnl"/>
        </w:rPr>
      </w:pPr>
    </w:p>
    <w:p w14:paraId="3DD1F628" w14:textId="77777777" w:rsidR="00D46F07" w:rsidRPr="007624ED" w:rsidRDefault="00D46F07" w:rsidP="007624ED">
      <w:pPr>
        <w:pStyle w:val="Estilo2"/>
        <w:spacing w:after="0"/>
        <w:jc w:val="both"/>
        <w:rPr>
          <w:rFonts w:ascii="Verdana" w:hAnsi="Verdana"/>
          <w:sz w:val="20"/>
          <w:szCs w:val="20"/>
          <w:lang w:val="es-ES_tradnl"/>
        </w:rPr>
      </w:pPr>
      <w:r w:rsidRPr="007624ED">
        <w:rPr>
          <w:rFonts w:ascii="Verdana" w:hAnsi="Verdana"/>
          <w:sz w:val="20"/>
          <w:szCs w:val="20"/>
          <w:lang w:val="es-ES_tradnl"/>
        </w:rPr>
        <w:t xml:space="preserve"> 1. Todos los ciudadanos deben gozar de los siguientes derechos y oportunidades: </w:t>
      </w:r>
    </w:p>
    <w:p w14:paraId="3DD1F629" w14:textId="77777777" w:rsidR="00D46F07" w:rsidRPr="007624ED" w:rsidRDefault="00D46F07" w:rsidP="007624ED">
      <w:pPr>
        <w:pStyle w:val="Estilo2"/>
        <w:spacing w:after="0"/>
        <w:jc w:val="both"/>
        <w:rPr>
          <w:rFonts w:ascii="Verdana" w:hAnsi="Verdana"/>
          <w:sz w:val="20"/>
          <w:szCs w:val="20"/>
          <w:lang w:val="es-ES_tradnl"/>
        </w:rPr>
      </w:pPr>
      <w:r w:rsidRPr="007624ED">
        <w:rPr>
          <w:rFonts w:ascii="Verdana" w:hAnsi="Verdana"/>
          <w:sz w:val="20"/>
          <w:szCs w:val="20"/>
          <w:lang w:val="es-ES_tradnl"/>
        </w:rPr>
        <w:t xml:space="preserve"> a) de participar en la dirección de los asuntos públicos, directamente o por medio de representantes libremente elegidos; </w:t>
      </w:r>
    </w:p>
    <w:p w14:paraId="3DD1F62A" w14:textId="77777777" w:rsidR="00D46F07" w:rsidRPr="007624ED" w:rsidRDefault="00D46F07" w:rsidP="007624ED">
      <w:pPr>
        <w:pStyle w:val="Estilo2"/>
        <w:spacing w:after="0"/>
        <w:jc w:val="both"/>
        <w:rPr>
          <w:rFonts w:ascii="Verdana" w:hAnsi="Verdana"/>
          <w:sz w:val="20"/>
          <w:szCs w:val="20"/>
          <w:lang w:val="es-ES_tradnl"/>
        </w:rPr>
      </w:pPr>
      <w:r w:rsidRPr="007624ED">
        <w:rPr>
          <w:rFonts w:ascii="Verdana" w:hAnsi="Verdana"/>
          <w:sz w:val="20"/>
          <w:szCs w:val="20"/>
          <w:lang w:val="es-ES_tradnl"/>
        </w:rPr>
        <w:t xml:space="preserve"> b) de votar y ser elegidos en elecciones periódicas auténticas, realizadas por sufragio universal e igual y por voto secreto que garantice la libre expresión de la voluntad de los electores, y </w:t>
      </w:r>
    </w:p>
    <w:p w14:paraId="3DD1F62B" w14:textId="77777777" w:rsidR="00D46F07" w:rsidRDefault="00D46F07" w:rsidP="007624ED">
      <w:pPr>
        <w:pStyle w:val="Estilo2"/>
        <w:spacing w:after="0"/>
        <w:jc w:val="both"/>
        <w:rPr>
          <w:rFonts w:ascii="Verdana" w:hAnsi="Verdana"/>
          <w:sz w:val="20"/>
          <w:szCs w:val="20"/>
          <w:lang w:val="es-ES_tradnl"/>
        </w:rPr>
      </w:pPr>
      <w:r w:rsidRPr="007624ED">
        <w:rPr>
          <w:rFonts w:ascii="Verdana" w:hAnsi="Verdana"/>
          <w:sz w:val="20"/>
          <w:szCs w:val="20"/>
          <w:lang w:val="es-ES_tradnl"/>
        </w:rPr>
        <w:t xml:space="preserve"> c) de tener acceso, en condiciones generales de igualdad, a las funciones públicas de su país. </w:t>
      </w:r>
    </w:p>
    <w:p w14:paraId="5348DC8B" w14:textId="77777777" w:rsidR="007624ED" w:rsidRPr="007624ED" w:rsidRDefault="007624ED" w:rsidP="007624ED">
      <w:pPr>
        <w:pStyle w:val="Estilo2"/>
        <w:spacing w:after="0"/>
        <w:jc w:val="both"/>
        <w:rPr>
          <w:rFonts w:ascii="Verdana" w:hAnsi="Verdana"/>
          <w:sz w:val="20"/>
          <w:szCs w:val="20"/>
          <w:lang w:val="es-ES_tradnl"/>
        </w:rPr>
      </w:pPr>
    </w:p>
    <w:p w14:paraId="3DD1F62C" w14:textId="77777777" w:rsidR="00D46F07" w:rsidRDefault="00D46F07" w:rsidP="007624ED">
      <w:pPr>
        <w:pStyle w:val="Estilo2"/>
        <w:spacing w:after="0"/>
        <w:ind w:left="708"/>
        <w:jc w:val="both"/>
        <w:rPr>
          <w:rFonts w:ascii="Verdana" w:hAnsi="Verdana"/>
          <w:sz w:val="20"/>
          <w:szCs w:val="20"/>
          <w:lang w:val="es-ES_tradnl"/>
        </w:rPr>
      </w:pPr>
      <w:r w:rsidRPr="007624ED">
        <w:rPr>
          <w:rFonts w:ascii="Verdana" w:hAnsi="Verdana"/>
          <w:sz w:val="20"/>
          <w:szCs w:val="20"/>
          <w:lang w:val="es-ES_tradnl"/>
        </w:rPr>
        <w:t xml:space="preserve"> 2. La ley puede reglamentar el ejercicio de los derechos y oportunidades a que se refiere el inciso anterior, exclusivamente por razones de edad, nacionalidad, residencia, idioma, instrucción, capacidad civil o mental, o condena, por juez competente, en proceso penal.</w:t>
      </w:r>
    </w:p>
    <w:p w14:paraId="2D41A5A7" w14:textId="77777777" w:rsidR="007624ED" w:rsidRPr="007624ED" w:rsidRDefault="007624ED" w:rsidP="007624ED">
      <w:pPr>
        <w:pStyle w:val="Estilo2"/>
        <w:spacing w:after="0"/>
        <w:ind w:left="708"/>
        <w:jc w:val="both"/>
        <w:rPr>
          <w:rFonts w:ascii="Verdana" w:hAnsi="Verdana"/>
          <w:sz w:val="20"/>
          <w:szCs w:val="20"/>
          <w:lang w:val="es-ES_tradnl"/>
        </w:rPr>
      </w:pPr>
    </w:p>
    <w:p w14:paraId="3DD1F62D" w14:textId="6F05B02F" w:rsidR="00D46F07" w:rsidRDefault="00D46F07"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En este caso sí se ha hecho una transcripción del art. 23 en el texto de la sentencia. Pero la transcripción es parcial y sesgada. Sólo llega hasta las palabras “asuntos públicos”, y omite tanto el pasaje que dice “directamente o por medio de representantes libremente elegidos” como los apartados b) y c), relativos a los “derechos y oportunidades” de “votar y ser elegidos” y de tener acceso igualitario a “las funciones públicas”. Tanto los elementos omitidos, como la referencia a “asuntos públicos” y el nombre de los derechos de que se trata (“Derechos políticos”) bastaría </w:t>
      </w:r>
      <w:r w:rsidR="007D5769" w:rsidRPr="007624ED">
        <w:rPr>
          <w:rFonts w:ascii="Verdana" w:hAnsi="Verdana"/>
          <w:sz w:val="20"/>
          <w:szCs w:val="20"/>
          <w:lang w:val="es-ES_tradnl"/>
        </w:rPr>
        <w:t xml:space="preserve">para excluir la aplicación de la norma </w:t>
      </w:r>
      <w:proofErr w:type="spellStart"/>
      <w:r w:rsidR="007D5769" w:rsidRPr="007624ED">
        <w:rPr>
          <w:rFonts w:ascii="Verdana" w:hAnsi="Verdana"/>
          <w:sz w:val="20"/>
          <w:szCs w:val="20"/>
          <w:lang w:val="es-ES_tradnl"/>
        </w:rPr>
        <w:t>alegadamente</w:t>
      </w:r>
      <w:proofErr w:type="spellEnd"/>
      <w:r w:rsidR="007D5769" w:rsidRPr="007624ED">
        <w:rPr>
          <w:rFonts w:ascii="Verdana" w:hAnsi="Verdana"/>
          <w:sz w:val="20"/>
          <w:szCs w:val="20"/>
          <w:lang w:val="es-ES_tradnl"/>
        </w:rPr>
        <w:t xml:space="preserve"> violada a un asunto relativo a la propiedad privada (artículo 21) y no “un asunto de evidente interés público” (como se vio en los párrs</w:t>
      </w:r>
      <w:r w:rsidR="00F61931">
        <w:rPr>
          <w:rFonts w:ascii="Verdana" w:hAnsi="Verdana"/>
          <w:sz w:val="20"/>
          <w:szCs w:val="20"/>
          <w:lang w:val="es-ES_tradnl"/>
        </w:rPr>
        <w:t>.</w:t>
      </w:r>
      <w:r w:rsidR="007D5769" w:rsidRPr="007624ED">
        <w:rPr>
          <w:rFonts w:ascii="Verdana" w:hAnsi="Verdana"/>
          <w:sz w:val="20"/>
          <w:szCs w:val="20"/>
          <w:lang w:val="es-ES_tradnl"/>
        </w:rPr>
        <w:t xml:space="preserve"> 13 y 14), sino un tema privado. </w:t>
      </w:r>
    </w:p>
    <w:p w14:paraId="669AF1A0"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E" w14:textId="57CF2E06" w:rsidR="00F52C65" w:rsidRPr="007624ED" w:rsidRDefault="007D5769"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Según </w:t>
      </w:r>
      <w:r w:rsidR="00F1117A" w:rsidRPr="007624ED">
        <w:rPr>
          <w:rFonts w:ascii="Verdana" w:hAnsi="Verdana"/>
          <w:sz w:val="20"/>
          <w:szCs w:val="20"/>
          <w:lang w:val="es-ES_tradnl"/>
        </w:rPr>
        <w:t xml:space="preserve">el párrafo declarativo 2 de </w:t>
      </w:r>
      <w:r w:rsidRPr="007624ED">
        <w:rPr>
          <w:rFonts w:ascii="Verdana" w:hAnsi="Verdana"/>
          <w:sz w:val="20"/>
          <w:szCs w:val="20"/>
          <w:lang w:val="es-ES_tradnl"/>
        </w:rPr>
        <w:t xml:space="preserve">la sentencia, la violación del artículo 23 estaría demostrada “en los términos de los párrafos 122 a 230”. Pero un análisis de </w:t>
      </w:r>
      <w:r w:rsidRPr="007624ED">
        <w:rPr>
          <w:rFonts w:ascii="Verdana" w:hAnsi="Verdana"/>
          <w:sz w:val="20"/>
          <w:szCs w:val="20"/>
          <w:lang w:val="es-ES_tradnl"/>
        </w:rPr>
        <w:lastRenderedPageBreak/>
        <w:t>esos párrafos demuestra que, aun</w:t>
      </w:r>
      <w:r w:rsidR="00377A21" w:rsidRPr="007624ED">
        <w:rPr>
          <w:rFonts w:ascii="Verdana" w:hAnsi="Verdana"/>
          <w:sz w:val="20"/>
          <w:szCs w:val="20"/>
          <w:lang w:val="es-ES_tradnl"/>
        </w:rPr>
        <w:t>q</w:t>
      </w:r>
      <w:r w:rsidRPr="007624ED">
        <w:rPr>
          <w:rFonts w:ascii="Verdana" w:hAnsi="Verdana"/>
          <w:sz w:val="20"/>
          <w:szCs w:val="20"/>
          <w:lang w:val="es-ES_tradnl"/>
        </w:rPr>
        <w:t>ue están insertos en el capítulo VI.2, titulado “</w:t>
      </w:r>
      <w:r w:rsidR="00ED22D4" w:rsidRPr="007624ED">
        <w:rPr>
          <w:rFonts w:ascii="Verdana" w:hAnsi="Verdana"/>
          <w:sz w:val="20"/>
          <w:szCs w:val="20"/>
          <w:lang w:val="es-ES_tradnl"/>
        </w:rPr>
        <w:t>Derecho a la propiedad colectiva (artículo 21) y derechos políticos (artículo 23) en relación con los artículos 1.1 y 2 de la Convención Americana</w:t>
      </w:r>
      <w:r w:rsidRPr="007624ED">
        <w:rPr>
          <w:rFonts w:ascii="Verdana" w:hAnsi="Verdana"/>
          <w:sz w:val="20"/>
          <w:szCs w:val="20"/>
          <w:lang w:val="es-ES_tradnl"/>
        </w:rPr>
        <w:t xml:space="preserve">”, </w:t>
      </w:r>
      <w:r w:rsidR="00377A21" w:rsidRPr="007624ED">
        <w:rPr>
          <w:rFonts w:ascii="Verdana" w:hAnsi="Verdana"/>
          <w:sz w:val="20"/>
          <w:szCs w:val="20"/>
          <w:lang w:val="es-ES_tradnl"/>
        </w:rPr>
        <w:t xml:space="preserve">en ninguno de sus apartados se trata de los derechos políticos presuntamente violados. </w:t>
      </w:r>
      <w:r w:rsidR="00F52C65" w:rsidRPr="007624ED">
        <w:rPr>
          <w:rFonts w:ascii="Verdana" w:hAnsi="Verdana"/>
          <w:sz w:val="20"/>
          <w:szCs w:val="20"/>
          <w:lang w:val="es-ES_tradnl"/>
        </w:rPr>
        <w:t>Las “Consideraciones de la Corte” comprenden los siguientes cuatro apartados, que tampoco contienen esas menciones: “</w:t>
      </w:r>
      <w:bookmarkStart w:id="1" w:name="_Toc438137477"/>
      <w:r w:rsidR="00F52C65" w:rsidRPr="007624ED">
        <w:rPr>
          <w:rFonts w:ascii="Verdana" w:hAnsi="Verdana"/>
          <w:i/>
          <w:sz w:val="20"/>
          <w:szCs w:val="20"/>
          <w:lang w:val="es-ES_tradnl"/>
        </w:rPr>
        <w:t>B.1 Interpretación del derecho a la propiedad colectiva de los pueblos indígenas en el presente caso</w:t>
      </w:r>
      <w:bookmarkEnd w:id="1"/>
      <w:r w:rsidR="00F52C65" w:rsidRPr="007624ED">
        <w:rPr>
          <w:rFonts w:ascii="Verdana" w:hAnsi="Verdana"/>
          <w:i/>
          <w:sz w:val="20"/>
          <w:szCs w:val="20"/>
          <w:lang w:val="es-ES_tradnl"/>
        </w:rPr>
        <w:t xml:space="preserve">”; “B.2 La falta de reconocimiento del derecho a la propiedad colectiva de los pueblos indígenas </w:t>
      </w:r>
      <w:proofErr w:type="spellStart"/>
      <w:r w:rsidR="00F52C65" w:rsidRPr="007624ED">
        <w:rPr>
          <w:rFonts w:ascii="Verdana" w:hAnsi="Verdana"/>
          <w:i/>
          <w:sz w:val="20"/>
          <w:szCs w:val="20"/>
          <w:lang w:val="es-ES_tradnl"/>
        </w:rPr>
        <w:t>Kaliña</w:t>
      </w:r>
      <w:proofErr w:type="spellEnd"/>
      <w:r w:rsidR="00F52C65" w:rsidRPr="007624ED">
        <w:rPr>
          <w:rFonts w:ascii="Verdana" w:hAnsi="Verdana"/>
          <w:i/>
          <w:sz w:val="20"/>
          <w:szCs w:val="20"/>
          <w:lang w:val="es-ES_tradnl"/>
        </w:rPr>
        <w:t xml:space="preserve"> y </w:t>
      </w:r>
      <w:proofErr w:type="spellStart"/>
      <w:r w:rsidR="00F52C65" w:rsidRPr="007624ED">
        <w:rPr>
          <w:rFonts w:ascii="Verdana" w:hAnsi="Verdana"/>
          <w:i/>
          <w:sz w:val="20"/>
          <w:szCs w:val="20"/>
          <w:lang w:val="es-ES_tradnl"/>
        </w:rPr>
        <w:t>Lokono</w:t>
      </w:r>
      <w:proofErr w:type="spellEnd"/>
      <w:r w:rsidR="00F52C65" w:rsidRPr="007624ED">
        <w:rPr>
          <w:rFonts w:ascii="Verdana" w:hAnsi="Verdana"/>
          <w:i/>
          <w:sz w:val="20"/>
          <w:szCs w:val="20"/>
          <w:lang w:val="es-ES_tradnl"/>
        </w:rPr>
        <w:t>”; “</w:t>
      </w:r>
      <w:bookmarkStart w:id="2" w:name="_Toc438137482"/>
      <w:r w:rsidR="00F52C65" w:rsidRPr="007624ED">
        <w:rPr>
          <w:rFonts w:ascii="Verdana" w:hAnsi="Verdana"/>
          <w:i/>
          <w:sz w:val="20"/>
          <w:szCs w:val="20"/>
          <w:lang w:val="es-ES_tradnl"/>
        </w:rPr>
        <w:t>B.3 Reservas Naturales en el territorio tradicional</w:t>
      </w:r>
      <w:bookmarkEnd w:id="2"/>
      <w:r w:rsidR="00F52C65" w:rsidRPr="007624ED">
        <w:rPr>
          <w:rFonts w:ascii="Verdana" w:hAnsi="Verdana"/>
          <w:i/>
          <w:sz w:val="20"/>
          <w:szCs w:val="20"/>
          <w:lang w:val="es-ES_tradnl"/>
        </w:rPr>
        <w:t>”</w:t>
      </w:r>
      <w:r w:rsidR="00D35F31">
        <w:rPr>
          <w:rFonts w:ascii="Verdana" w:hAnsi="Verdana"/>
          <w:i/>
          <w:sz w:val="20"/>
          <w:szCs w:val="20"/>
          <w:lang w:val="es-ES_tradnl"/>
        </w:rPr>
        <w:t>,</w:t>
      </w:r>
      <w:r w:rsidR="00F52C65" w:rsidRPr="007624ED">
        <w:rPr>
          <w:rFonts w:ascii="Verdana" w:hAnsi="Verdana"/>
          <w:i/>
          <w:sz w:val="20"/>
          <w:szCs w:val="20"/>
          <w:lang w:val="es-ES_tradnl"/>
        </w:rPr>
        <w:t xml:space="preserve"> y “B.4 Respecto de las garantías a la propiedad colectiva frente a la concesión minera dentro de la Reserva Natural </w:t>
      </w:r>
      <w:proofErr w:type="spellStart"/>
      <w:r w:rsidR="00F52C65" w:rsidRPr="007624ED">
        <w:rPr>
          <w:rFonts w:ascii="Verdana" w:hAnsi="Verdana"/>
          <w:i/>
          <w:sz w:val="20"/>
          <w:szCs w:val="20"/>
          <w:lang w:val="es-ES_tradnl"/>
        </w:rPr>
        <w:t>Wane</w:t>
      </w:r>
      <w:proofErr w:type="spellEnd"/>
      <w:r w:rsidR="00F52C65" w:rsidRPr="007624ED">
        <w:rPr>
          <w:rFonts w:ascii="Verdana" w:hAnsi="Verdana"/>
          <w:i/>
          <w:sz w:val="20"/>
          <w:szCs w:val="20"/>
          <w:lang w:val="es-ES_tradnl"/>
        </w:rPr>
        <w:t xml:space="preserve"> </w:t>
      </w:r>
      <w:proofErr w:type="spellStart"/>
      <w:r w:rsidR="00F52C65" w:rsidRPr="007624ED">
        <w:rPr>
          <w:rFonts w:ascii="Verdana" w:hAnsi="Verdana"/>
          <w:i/>
          <w:sz w:val="20"/>
          <w:szCs w:val="20"/>
          <w:lang w:val="es-ES_tradnl"/>
        </w:rPr>
        <w:t>Kreek</w:t>
      </w:r>
      <w:proofErr w:type="spellEnd"/>
      <w:r w:rsidR="00F52C65" w:rsidRPr="007624ED">
        <w:rPr>
          <w:rFonts w:ascii="Verdana" w:hAnsi="Verdana"/>
          <w:i/>
          <w:sz w:val="20"/>
          <w:szCs w:val="20"/>
          <w:lang w:val="es-ES_tradnl"/>
        </w:rPr>
        <w:t xml:space="preserve">”. </w:t>
      </w:r>
    </w:p>
    <w:p w14:paraId="6134757E"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2F" w14:textId="350B9E6C" w:rsidR="007D5769" w:rsidRDefault="00250ADF"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Asimismo, </w:t>
      </w:r>
      <w:r w:rsidR="00ED22D4" w:rsidRPr="007624ED">
        <w:rPr>
          <w:rFonts w:ascii="Verdana" w:hAnsi="Verdana"/>
          <w:sz w:val="20"/>
          <w:szCs w:val="20"/>
          <w:lang w:val="es-ES_tradnl"/>
        </w:rPr>
        <w:t>entre las cuatro controversias principales reseñadas en el párr</w:t>
      </w:r>
      <w:r w:rsidR="00D35F31">
        <w:rPr>
          <w:rFonts w:ascii="Verdana" w:hAnsi="Verdana"/>
          <w:sz w:val="20"/>
          <w:szCs w:val="20"/>
          <w:lang w:val="es-ES_tradnl"/>
        </w:rPr>
        <w:t xml:space="preserve">afo </w:t>
      </w:r>
      <w:r w:rsidR="00ED22D4" w:rsidRPr="007624ED">
        <w:rPr>
          <w:rFonts w:ascii="Verdana" w:hAnsi="Verdana"/>
          <w:sz w:val="20"/>
          <w:szCs w:val="20"/>
          <w:lang w:val="es-ES_tradnl"/>
        </w:rPr>
        <w:t>127</w:t>
      </w:r>
      <w:r w:rsidR="00D35F31">
        <w:rPr>
          <w:rFonts w:ascii="Verdana" w:hAnsi="Verdana"/>
          <w:sz w:val="20"/>
          <w:szCs w:val="20"/>
          <w:lang w:val="es-ES_tradnl"/>
        </w:rPr>
        <w:t xml:space="preserve"> de la Sentencia,</w:t>
      </w:r>
      <w:r w:rsidR="00ED22D4" w:rsidRPr="007624ED">
        <w:rPr>
          <w:rFonts w:ascii="Verdana" w:hAnsi="Verdana"/>
          <w:sz w:val="20"/>
          <w:szCs w:val="20"/>
          <w:lang w:val="es-ES_tradnl"/>
        </w:rPr>
        <w:t xml:space="preserve"> no hay mención alguna de los derechos políticos ni del artículo 23</w:t>
      </w:r>
      <w:r w:rsidR="00377A21" w:rsidRPr="007624ED">
        <w:rPr>
          <w:rStyle w:val="FootnoteReference"/>
          <w:rFonts w:ascii="Verdana" w:hAnsi="Verdana"/>
          <w:sz w:val="20"/>
          <w:szCs w:val="20"/>
          <w:lang w:val="es-ES_tradnl"/>
        </w:rPr>
        <w:footnoteReference w:id="12"/>
      </w:r>
      <w:r w:rsidR="00F52C65" w:rsidRPr="007624ED">
        <w:rPr>
          <w:rFonts w:ascii="Verdana" w:hAnsi="Verdana"/>
          <w:sz w:val="20"/>
          <w:szCs w:val="20"/>
          <w:lang w:val="es-ES_tradnl"/>
        </w:rPr>
        <w:t>,</w:t>
      </w:r>
      <w:r w:rsidR="00ED22D4" w:rsidRPr="007624ED">
        <w:rPr>
          <w:rFonts w:ascii="Verdana" w:hAnsi="Verdana"/>
          <w:sz w:val="20"/>
          <w:szCs w:val="20"/>
          <w:lang w:val="es-ES_tradnl"/>
        </w:rPr>
        <w:t xml:space="preserve"> y </w:t>
      </w:r>
      <w:r w:rsidR="00F52C65" w:rsidRPr="007624ED">
        <w:rPr>
          <w:rFonts w:ascii="Verdana" w:hAnsi="Verdana"/>
          <w:sz w:val="20"/>
          <w:szCs w:val="20"/>
          <w:lang w:val="es-ES_tradnl"/>
        </w:rPr>
        <w:t>e</w:t>
      </w:r>
      <w:r w:rsidR="00881F98" w:rsidRPr="007624ED">
        <w:rPr>
          <w:rFonts w:ascii="Verdana" w:hAnsi="Verdana"/>
          <w:sz w:val="20"/>
          <w:szCs w:val="20"/>
          <w:lang w:val="es-ES_tradnl"/>
        </w:rPr>
        <w:t xml:space="preserve">n los 109 párrafos de esos apartados </w:t>
      </w:r>
      <w:r w:rsidR="00377A21" w:rsidRPr="007624ED">
        <w:rPr>
          <w:rFonts w:ascii="Verdana" w:hAnsi="Verdana"/>
          <w:sz w:val="20"/>
          <w:szCs w:val="20"/>
          <w:lang w:val="es-ES_tradnl"/>
        </w:rPr>
        <w:t xml:space="preserve">no hay ninguna </w:t>
      </w:r>
      <w:r w:rsidR="00F1117A" w:rsidRPr="007624ED">
        <w:rPr>
          <w:rFonts w:ascii="Verdana" w:hAnsi="Verdana"/>
          <w:sz w:val="20"/>
          <w:szCs w:val="20"/>
          <w:lang w:val="es-ES_tradnl"/>
        </w:rPr>
        <w:t xml:space="preserve">expresión que procure </w:t>
      </w:r>
      <w:r w:rsidR="00377A21" w:rsidRPr="007624ED">
        <w:rPr>
          <w:rFonts w:ascii="Verdana" w:hAnsi="Verdana"/>
          <w:sz w:val="20"/>
          <w:szCs w:val="20"/>
          <w:lang w:val="es-ES_tradnl"/>
        </w:rPr>
        <w:t>fundamenta</w:t>
      </w:r>
      <w:r w:rsidR="00F1117A" w:rsidRPr="007624ED">
        <w:rPr>
          <w:rFonts w:ascii="Verdana" w:hAnsi="Verdana"/>
          <w:sz w:val="20"/>
          <w:szCs w:val="20"/>
          <w:lang w:val="es-ES_tradnl"/>
        </w:rPr>
        <w:t>r</w:t>
      </w:r>
      <w:r w:rsidR="00377A21" w:rsidRPr="007624ED">
        <w:rPr>
          <w:rFonts w:ascii="Verdana" w:hAnsi="Verdana"/>
          <w:sz w:val="20"/>
          <w:szCs w:val="20"/>
          <w:lang w:val="es-ES_tradnl"/>
        </w:rPr>
        <w:t xml:space="preserve"> la alegada violación del art. 23:</w:t>
      </w:r>
    </w:p>
    <w:p w14:paraId="06315FDA"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0" w14:textId="206740E3" w:rsidR="004E07C7" w:rsidRDefault="004E07C7" w:rsidP="007624ED">
      <w:pPr>
        <w:pStyle w:val="Estilo1"/>
        <w:numPr>
          <w:ilvl w:val="1"/>
          <w:numId w:val="1"/>
        </w:numPr>
        <w:spacing w:after="0"/>
        <w:ind w:left="0" w:firstLine="720"/>
        <w:rPr>
          <w:rFonts w:ascii="Verdana" w:hAnsi="Verdana"/>
          <w:sz w:val="20"/>
          <w:szCs w:val="20"/>
          <w:lang w:val="es-ES_tradnl"/>
        </w:rPr>
      </w:pPr>
      <w:r w:rsidRPr="007624ED">
        <w:rPr>
          <w:rFonts w:ascii="Verdana" w:hAnsi="Verdana"/>
          <w:sz w:val="20"/>
          <w:szCs w:val="20"/>
          <w:lang w:val="es-ES_tradnl"/>
        </w:rPr>
        <w:t xml:space="preserve">Párrafo 126: </w:t>
      </w:r>
      <w:r w:rsidR="00F52C65" w:rsidRPr="007624ED">
        <w:rPr>
          <w:rFonts w:ascii="Verdana" w:hAnsi="Verdana"/>
          <w:sz w:val="20"/>
          <w:szCs w:val="20"/>
          <w:lang w:val="es-ES_tradnl"/>
        </w:rPr>
        <w:t>“</w:t>
      </w:r>
      <w:r w:rsidR="00F61931">
        <w:rPr>
          <w:rFonts w:ascii="Verdana" w:hAnsi="Verdana"/>
          <w:sz w:val="20"/>
          <w:szCs w:val="20"/>
          <w:lang w:val="es-ES_tradnl"/>
        </w:rPr>
        <w:t xml:space="preserve">[…] </w:t>
      </w:r>
      <w:r w:rsidR="00F52C65" w:rsidRPr="007624ED">
        <w:rPr>
          <w:rFonts w:ascii="Verdana" w:hAnsi="Verdana"/>
          <w:sz w:val="20"/>
          <w:szCs w:val="20"/>
          <w:lang w:val="es-ES_tradnl"/>
        </w:rPr>
        <w:t xml:space="preserve">la Corte considera importante resaltar que si bien las partes no han alegado la violación del artículo 23 de la Convención durante el procedimiento ante este Tribunal, estima pertinente aplicar el principio </w:t>
      </w:r>
      <w:proofErr w:type="spellStart"/>
      <w:r w:rsidR="00F52C65" w:rsidRPr="00120F47">
        <w:rPr>
          <w:rFonts w:ascii="Verdana" w:hAnsi="Verdana"/>
          <w:i/>
          <w:sz w:val="20"/>
          <w:szCs w:val="20"/>
          <w:lang w:val="es-ES_tradnl"/>
        </w:rPr>
        <w:t>iura</w:t>
      </w:r>
      <w:proofErr w:type="spellEnd"/>
      <w:r w:rsidR="00F52C65" w:rsidRPr="00120F47">
        <w:rPr>
          <w:rFonts w:ascii="Verdana" w:hAnsi="Verdana"/>
          <w:i/>
          <w:sz w:val="20"/>
          <w:szCs w:val="20"/>
          <w:lang w:val="es-ES_tradnl"/>
        </w:rPr>
        <w:t xml:space="preserve"> </w:t>
      </w:r>
      <w:proofErr w:type="spellStart"/>
      <w:r w:rsidR="00F52C65" w:rsidRPr="00120F47">
        <w:rPr>
          <w:rFonts w:ascii="Verdana" w:hAnsi="Verdana"/>
          <w:i/>
          <w:sz w:val="20"/>
          <w:szCs w:val="20"/>
          <w:lang w:val="es-ES_tradnl"/>
        </w:rPr>
        <w:t>novit</w:t>
      </w:r>
      <w:proofErr w:type="spellEnd"/>
      <w:r w:rsidR="00F52C65" w:rsidRPr="00120F47">
        <w:rPr>
          <w:rFonts w:ascii="Verdana" w:hAnsi="Verdana"/>
          <w:i/>
          <w:sz w:val="20"/>
          <w:szCs w:val="20"/>
          <w:lang w:val="es-ES_tradnl"/>
        </w:rPr>
        <w:t xml:space="preserve"> curia</w:t>
      </w:r>
      <w:r w:rsidR="00F61931">
        <w:rPr>
          <w:rFonts w:ascii="Verdana" w:hAnsi="Verdana"/>
          <w:i/>
          <w:sz w:val="20"/>
          <w:szCs w:val="20"/>
          <w:lang w:val="es-ES_tradnl"/>
        </w:rPr>
        <w:t>”</w:t>
      </w:r>
      <w:r w:rsidRPr="007624ED">
        <w:rPr>
          <w:rFonts w:ascii="Verdana" w:hAnsi="Verdana"/>
          <w:sz w:val="20"/>
          <w:szCs w:val="20"/>
          <w:lang w:val="es-ES_tradnl"/>
        </w:rPr>
        <w:t xml:space="preserve">. Es decir, se registra la decisión de considerar una violación </w:t>
      </w:r>
      <w:r w:rsidR="00880A93">
        <w:rPr>
          <w:rFonts w:ascii="Verdana" w:hAnsi="Verdana"/>
          <w:sz w:val="20"/>
          <w:szCs w:val="20"/>
          <w:lang w:val="es-ES_tradnl"/>
        </w:rPr>
        <w:t xml:space="preserve">no </w:t>
      </w:r>
      <w:r w:rsidRPr="007624ED">
        <w:rPr>
          <w:rFonts w:ascii="Verdana" w:hAnsi="Verdana"/>
          <w:sz w:val="20"/>
          <w:szCs w:val="20"/>
          <w:lang w:val="es-ES_tradnl"/>
        </w:rPr>
        <w:t>alegada por las partes, pero no se explica en qué consiste esa violación.</w:t>
      </w:r>
    </w:p>
    <w:p w14:paraId="2F36EFFC" w14:textId="77777777" w:rsidR="007624ED" w:rsidRPr="007624ED" w:rsidRDefault="007624ED" w:rsidP="007624ED">
      <w:pPr>
        <w:pStyle w:val="Estilo1"/>
        <w:numPr>
          <w:ilvl w:val="0"/>
          <w:numId w:val="0"/>
        </w:numPr>
        <w:spacing w:after="0"/>
        <w:ind w:left="720"/>
        <w:rPr>
          <w:rFonts w:ascii="Verdana" w:hAnsi="Verdana"/>
          <w:sz w:val="20"/>
          <w:szCs w:val="20"/>
          <w:lang w:val="es-ES_tradnl"/>
        </w:rPr>
      </w:pPr>
    </w:p>
    <w:p w14:paraId="3DD1F631" w14:textId="1968A48B" w:rsidR="004E07C7" w:rsidRDefault="004E07C7" w:rsidP="007624ED">
      <w:pPr>
        <w:pStyle w:val="Estilo1"/>
        <w:numPr>
          <w:ilvl w:val="1"/>
          <w:numId w:val="1"/>
        </w:numPr>
        <w:spacing w:after="0"/>
        <w:ind w:left="0" w:firstLine="720"/>
        <w:rPr>
          <w:rFonts w:ascii="Verdana" w:hAnsi="Verdana"/>
          <w:sz w:val="20"/>
          <w:szCs w:val="20"/>
          <w:lang w:val="es-ES_tradnl"/>
        </w:rPr>
      </w:pPr>
      <w:r w:rsidRPr="007624ED">
        <w:rPr>
          <w:rFonts w:ascii="Verdana" w:hAnsi="Verdana"/>
          <w:sz w:val="20"/>
          <w:szCs w:val="20"/>
          <w:lang w:val="es-ES_tradnl"/>
        </w:rPr>
        <w:t>Párrafo 196: “Al respecto, la Corte recuerda que el artículo 23 de la Convención Americana dispone el deber de gozar de los derechos y oportunidades “de participar en la dirección de los asuntos públicos […]”. En este sentido, la participación en la conservación del medio ambiente para las comunidades indígenas resulta no sólo en un asunto de interés público sino parte del ejercicio de su derecho como pueblos indígenas a participar en la adopción de decisiones en las cuestiones que afectan sus derechos, de conformidad con sus propios procedimientos e instituciones (</w:t>
      </w:r>
      <w:r w:rsidRPr="00120F47">
        <w:rPr>
          <w:rFonts w:ascii="Verdana" w:hAnsi="Verdana"/>
          <w:i/>
          <w:sz w:val="20"/>
          <w:szCs w:val="20"/>
          <w:lang w:val="es-ES_tradnl"/>
        </w:rPr>
        <w:t>supra</w:t>
      </w:r>
      <w:r w:rsidRPr="007624ED">
        <w:rPr>
          <w:rFonts w:ascii="Verdana" w:hAnsi="Verdana"/>
          <w:sz w:val="20"/>
          <w:szCs w:val="20"/>
          <w:lang w:val="es-ES_tradnl"/>
        </w:rPr>
        <w:t xml:space="preserve"> párrs. 178 y 180)”. Se pretende identificar el “derecho a participar en la dirección de los asuntos públicos” con el derecho de los pueblos indígenas a participar en la adopción de decisiones en las cuestiones que afectan sus derechos, sin exponer siquiera una mínima fundamentación al respecto.</w:t>
      </w:r>
      <w:r w:rsidR="00F1117A" w:rsidRPr="007624ED">
        <w:rPr>
          <w:rFonts w:ascii="Verdana" w:hAnsi="Verdana"/>
          <w:sz w:val="20"/>
          <w:szCs w:val="20"/>
          <w:lang w:val="es-ES_tradnl"/>
        </w:rPr>
        <w:t xml:space="preserve"> Está claro que son dos cosas diferentes.</w:t>
      </w:r>
    </w:p>
    <w:p w14:paraId="69A15C74"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2" w14:textId="77777777" w:rsidR="00F1117A" w:rsidRDefault="004E07C7" w:rsidP="007624ED">
      <w:pPr>
        <w:pStyle w:val="Estilo1"/>
        <w:numPr>
          <w:ilvl w:val="1"/>
          <w:numId w:val="1"/>
        </w:numPr>
        <w:spacing w:after="0"/>
        <w:ind w:left="0" w:firstLine="720"/>
        <w:rPr>
          <w:rFonts w:ascii="Verdana" w:hAnsi="Verdana"/>
          <w:sz w:val="20"/>
          <w:szCs w:val="20"/>
          <w:lang w:val="es-ES_tradnl"/>
        </w:rPr>
      </w:pPr>
      <w:r w:rsidRPr="007624ED">
        <w:rPr>
          <w:rFonts w:ascii="Verdana" w:hAnsi="Verdana"/>
          <w:sz w:val="20"/>
          <w:szCs w:val="20"/>
          <w:lang w:val="es-ES_tradnl"/>
        </w:rPr>
        <w:t xml:space="preserve">Párrafo 197: “la falta de mecanismos expresos que garanticen el acceso, uso y la participación efectiva de los pueblos indígenas </w:t>
      </w:r>
      <w:proofErr w:type="spellStart"/>
      <w:r w:rsidRPr="007624ED">
        <w:rPr>
          <w:rFonts w:ascii="Verdana" w:hAnsi="Verdana"/>
          <w:sz w:val="20"/>
          <w:szCs w:val="20"/>
          <w:lang w:val="es-ES_tradnl"/>
        </w:rPr>
        <w:t>Kaliña</w:t>
      </w:r>
      <w:proofErr w:type="spellEnd"/>
      <w:r w:rsidRPr="007624ED">
        <w:rPr>
          <w:rFonts w:ascii="Verdana" w:hAnsi="Verdana"/>
          <w:sz w:val="20"/>
          <w:szCs w:val="20"/>
          <w:lang w:val="es-ES_tradnl"/>
        </w:rPr>
        <w:t xml:space="preserve"> y </w:t>
      </w:r>
      <w:proofErr w:type="spellStart"/>
      <w:r w:rsidRPr="007624ED">
        <w:rPr>
          <w:rFonts w:ascii="Verdana" w:hAnsi="Verdana"/>
          <w:sz w:val="20"/>
          <w:szCs w:val="20"/>
          <w:lang w:val="es-ES_tradnl"/>
        </w:rPr>
        <w:t>Lokono</w:t>
      </w:r>
      <w:proofErr w:type="spellEnd"/>
      <w:r w:rsidRPr="007624ED">
        <w:rPr>
          <w:rFonts w:ascii="Verdana" w:hAnsi="Verdana"/>
          <w:sz w:val="20"/>
          <w:szCs w:val="20"/>
          <w:lang w:val="es-ES_tradnl"/>
        </w:rPr>
        <w:t xml:space="preserve"> en la conservación de las referidas reservas y sus beneficios, configura una violación del deber de adoptar las disposiciones que fueren necesarias para hacer efectivas tales medidas, a fin de garantizar el derecho a la propiedad colectiva, a la identidad cultural y a los derechos políticos, en perjuicio de los Pueblos </w:t>
      </w:r>
      <w:proofErr w:type="spellStart"/>
      <w:r w:rsidRPr="007624ED">
        <w:rPr>
          <w:rFonts w:ascii="Verdana" w:hAnsi="Verdana"/>
          <w:sz w:val="20"/>
          <w:szCs w:val="20"/>
          <w:lang w:val="es-ES_tradnl"/>
        </w:rPr>
        <w:t>Kaliña</w:t>
      </w:r>
      <w:proofErr w:type="spellEnd"/>
      <w:r w:rsidRPr="007624ED">
        <w:rPr>
          <w:rFonts w:ascii="Verdana" w:hAnsi="Verdana"/>
          <w:sz w:val="20"/>
          <w:szCs w:val="20"/>
          <w:lang w:val="es-ES_tradnl"/>
        </w:rPr>
        <w:t xml:space="preserve"> y </w:t>
      </w:r>
      <w:proofErr w:type="spellStart"/>
      <w:r w:rsidRPr="007624ED">
        <w:rPr>
          <w:rFonts w:ascii="Verdana" w:hAnsi="Verdana"/>
          <w:sz w:val="20"/>
          <w:szCs w:val="20"/>
          <w:lang w:val="es-ES_tradnl"/>
        </w:rPr>
        <w:t>Lokono</w:t>
      </w:r>
      <w:proofErr w:type="spellEnd"/>
      <w:r w:rsidRPr="007624ED">
        <w:rPr>
          <w:rFonts w:ascii="Verdana" w:hAnsi="Verdana"/>
          <w:sz w:val="20"/>
          <w:szCs w:val="20"/>
          <w:lang w:val="es-ES_tradnl"/>
        </w:rPr>
        <w:t xml:space="preserve">”. Sigue faltando la fundamentación de la </w:t>
      </w:r>
      <w:r w:rsidR="00F1117A" w:rsidRPr="007624ED">
        <w:rPr>
          <w:rFonts w:ascii="Verdana" w:hAnsi="Verdana"/>
          <w:sz w:val="20"/>
          <w:szCs w:val="20"/>
          <w:lang w:val="es-ES_tradnl"/>
        </w:rPr>
        <w:t>supuesta equiparación</w:t>
      </w:r>
      <w:r w:rsidRPr="007624ED">
        <w:rPr>
          <w:rFonts w:ascii="Verdana" w:hAnsi="Verdana"/>
          <w:sz w:val="20"/>
          <w:szCs w:val="20"/>
          <w:lang w:val="es-ES_tradnl"/>
        </w:rPr>
        <w:t xml:space="preserve"> con los derechos políticos.</w:t>
      </w:r>
    </w:p>
    <w:p w14:paraId="2941DAB1"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3" w14:textId="01A105E2" w:rsidR="00B2711B" w:rsidRDefault="00B2711B" w:rsidP="007624ED">
      <w:pPr>
        <w:pStyle w:val="Estilo1"/>
        <w:numPr>
          <w:ilvl w:val="1"/>
          <w:numId w:val="1"/>
        </w:numPr>
        <w:spacing w:after="0"/>
        <w:ind w:left="0" w:firstLine="720"/>
        <w:rPr>
          <w:rFonts w:ascii="Verdana" w:hAnsi="Verdana"/>
          <w:sz w:val="20"/>
          <w:szCs w:val="20"/>
          <w:lang w:val="es-ES_tradnl"/>
        </w:rPr>
      </w:pPr>
      <w:r w:rsidRPr="007624ED">
        <w:rPr>
          <w:rFonts w:ascii="Verdana" w:hAnsi="Verdana"/>
          <w:sz w:val="20"/>
          <w:szCs w:val="20"/>
          <w:lang w:val="es-ES_tradnl"/>
        </w:rPr>
        <w:t xml:space="preserve">En el párrafo 198 (único de la sección </w:t>
      </w:r>
      <w:r w:rsidR="00F1117A" w:rsidRPr="007624ED">
        <w:rPr>
          <w:rFonts w:ascii="Verdana" w:hAnsi="Verdana"/>
          <w:sz w:val="20"/>
          <w:szCs w:val="20"/>
          <w:lang w:val="es-ES_tradnl"/>
        </w:rPr>
        <w:t>titulada “Conclusión de las restricciones en las Reservas</w:t>
      </w:r>
      <w:r w:rsidR="008956EE">
        <w:rPr>
          <w:rFonts w:ascii="Verdana" w:hAnsi="Verdana"/>
          <w:sz w:val="20"/>
          <w:szCs w:val="20"/>
          <w:lang w:val="es-ES_tradnl"/>
        </w:rPr>
        <w:t>”</w:t>
      </w:r>
      <w:r w:rsidRPr="007624ED">
        <w:rPr>
          <w:rFonts w:ascii="Verdana" w:hAnsi="Verdana"/>
          <w:sz w:val="20"/>
          <w:szCs w:val="20"/>
          <w:lang w:val="es-ES_tradnl"/>
        </w:rPr>
        <w:t xml:space="preserve">) nuevamente se incluye a los derechos políticos sin fundamentación alguna: “En suma, este Tribunal estima que el Estado vulneró los </w:t>
      </w:r>
      <w:r w:rsidRPr="007624ED">
        <w:rPr>
          <w:rFonts w:ascii="Verdana" w:hAnsi="Verdana"/>
          <w:sz w:val="20"/>
          <w:szCs w:val="20"/>
          <w:lang w:val="es-ES_tradnl"/>
        </w:rPr>
        <w:lastRenderedPageBreak/>
        <w:t xml:space="preserve">derechos a la propiedad colectiva, identidad cultural y participación en asuntos públicos de las víctimas, principalmente al impedir la participación efectiva y el acceso a parte de su territorio tradicional y recursos naturales en las reservas de </w:t>
      </w:r>
      <w:proofErr w:type="spellStart"/>
      <w:r w:rsidRPr="007624ED">
        <w:rPr>
          <w:rFonts w:ascii="Verdana" w:hAnsi="Verdana"/>
          <w:sz w:val="20"/>
          <w:szCs w:val="20"/>
          <w:lang w:val="es-ES_tradnl"/>
        </w:rPr>
        <w:t>Galibi</w:t>
      </w:r>
      <w:proofErr w:type="spellEnd"/>
      <w:r w:rsidRPr="007624ED">
        <w:rPr>
          <w:rFonts w:ascii="Verdana" w:hAnsi="Verdana"/>
          <w:sz w:val="20"/>
          <w:szCs w:val="20"/>
          <w:lang w:val="es-ES_tradnl"/>
        </w:rPr>
        <w:t xml:space="preserve"> y </w:t>
      </w:r>
      <w:proofErr w:type="spellStart"/>
      <w:r w:rsidRPr="007624ED">
        <w:rPr>
          <w:rFonts w:ascii="Verdana" w:hAnsi="Verdana"/>
          <w:sz w:val="20"/>
          <w:szCs w:val="20"/>
          <w:lang w:val="es-ES_tradnl"/>
        </w:rPr>
        <w:t>Wane</w:t>
      </w:r>
      <w:proofErr w:type="spellEnd"/>
      <w:r w:rsidRPr="007624ED">
        <w:rPr>
          <w:rFonts w:ascii="Verdana" w:hAnsi="Verdana"/>
          <w:sz w:val="20"/>
          <w:szCs w:val="20"/>
          <w:lang w:val="es-ES_tradnl"/>
        </w:rPr>
        <w:t xml:space="preserve"> </w:t>
      </w:r>
      <w:proofErr w:type="spellStart"/>
      <w:r w:rsidRPr="007624ED">
        <w:rPr>
          <w:rFonts w:ascii="Verdana" w:hAnsi="Verdana"/>
          <w:sz w:val="20"/>
          <w:szCs w:val="20"/>
          <w:lang w:val="es-ES_tradnl"/>
        </w:rPr>
        <w:t>Kreek</w:t>
      </w:r>
      <w:proofErr w:type="spellEnd"/>
      <w:r w:rsidRPr="007624ED">
        <w:rPr>
          <w:rFonts w:ascii="Verdana" w:hAnsi="Verdana"/>
          <w:sz w:val="20"/>
          <w:szCs w:val="20"/>
          <w:lang w:val="es-ES_tradnl"/>
        </w:rPr>
        <w:t xml:space="preserve">, así como al no garantizar de manera efectiva el territorio tradicional de las comunidades afectadas por la degradación del medio ambiente dentro de la reserva de </w:t>
      </w:r>
      <w:proofErr w:type="spellStart"/>
      <w:r w:rsidRPr="007624ED">
        <w:rPr>
          <w:rFonts w:ascii="Verdana" w:hAnsi="Verdana"/>
          <w:sz w:val="20"/>
          <w:szCs w:val="20"/>
          <w:lang w:val="es-ES_tradnl"/>
        </w:rPr>
        <w:t>Wane</w:t>
      </w:r>
      <w:proofErr w:type="spellEnd"/>
      <w:r w:rsidRPr="007624ED">
        <w:rPr>
          <w:rFonts w:ascii="Verdana" w:hAnsi="Verdana"/>
          <w:sz w:val="20"/>
          <w:szCs w:val="20"/>
          <w:lang w:val="es-ES_tradnl"/>
        </w:rPr>
        <w:t xml:space="preserve"> </w:t>
      </w:r>
      <w:proofErr w:type="spellStart"/>
      <w:r w:rsidRPr="007624ED">
        <w:rPr>
          <w:rFonts w:ascii="Verdana" w:hAnsi="Verdana"/>
          <w:sz w:val="20"/>
          <w:szCs w:val="20"/>
          <w:lang w:val="es-ES_tradnl"/>
        </w:rPr>
        <w:t>Kreek</w:t>
      </w:r>
      <w:proofErr w:type="spellEnd"/>
      <w:r w:rsidRPr="007624ED">
        <w:rPr>
          <w:rFonts w:ascii="Verdana" w:hAnsi="Verdana"/>
          <w:sz w:val="20"/>
          <w:szCs w:val="20"/>
          <w:lang w:val="es-ES_tradnl"/>
        </w:rPr>
        <w:t xml:space="preserve">, lo cual configuró la violación de los artículo 21, 2 y 23 de la Convención Americana, en relación con el artículo 1.1 de la misma, en perjuicio los Pueblos </w:t>
      </w:r>
      <w:proofErr w:type="spellStart"/>
      <w:r w:rsidRPr="007624ED">
        <w:rPr>
          <w:rFonts w:ascii="Verdana" w:hAnsi="Verdana"/>
          <w:sz w:val="20"/>
          <w:szCs w:val="20"/>
          <w:lang w:val="es-ES_tradnl"/>
        </w:rPr>
        <w:t>Kaliña</w:t>
      </w:r>
      <w:proofErr w:type="spellEnd"/>
      <w:r w:rsidRPr="007624ED">
        <w:rPr>
          <w:rFonts w:ascii="Verdana" w:hAnsi="Verdana"/>
          <w:sz w:val="20"/>
          <w:szCs w:val="20"/>
          <w:lang w:val="es-ES_tradnl"/>
        </w:rPr>
        <w:t xml:space="preserve"> y </w:t>
      </w:r>
      <w:proofErr w:type="spellStart"/>
      <w:r w:rsidRPr="007624ED">
        <w:rPr>
          <w:rFonts w:ascii="Verdana" w:hAnsi="Verdana"/>
          <w:sz w:val="20"/>
          <w:szCs w:val="20"/>
          <w:lang w:val="es-ES_tradnl"/>
        </w:rPr>
        <w:t>Lokono</w:t>
      </w:r>
      <w:proofErr w:type="spellEnd"/>
      <w:r w:rsidRPr="007624ED">
        <w:rPr>
          <w:rFonts w:ascii="Verdana" w:hAnsi="Verdana"/>
          <w:sz w:val="20"/>
          <w:szCs w:val="20"/>
          <w:lang w:val="es-ES_tradnl"/>
        </w:rPr>
        <w:t xml:space="preserve"> y sus miembros”</w:t>
      </w:r>
      <w:r w:rsidR="00F61931">
        <w:rPr>
          <w:rFonts w:ascii="Verdana" w:hAnsi="Verdana"/>
          <w:sz w:val="20"/>
          <w:szCs w:val="20"/>
          <w:lang w:val="es-ES_tradnl"/>
        </w:rPr>
        <w:t>.</w:t>
      </w:r>
    </w:p>
    <w:p w14:paraId="741BFC3D" w14:textId="77777777" w:rsidR="007624ED" w:rsidRPr="007624ED" w:rsidRDefault="007624ED" w:rsidP="007624ED">
      <w:pPr>
        <w:pStyle w:val="Estilo1"/>
        <w:numPr>
          <w:ilvl w:val="0"/>
          <w:numId w:val="0"/>
        </w:numPr>
        <w:spacing w:after="0"/>
        <w:ind w:left="720"/>
        <w:rPr>
          <w:rFonts w:ascii="Verdana" w:hAnsi="Verdana"/>
          <w:sz w:val="20"/>
          <w:szCs w:val="20"/>
          <w:lang w:val="es-ES_tradnl"/>
        </w:rPr>
      </w:pPr>
    </w:p>
    <w:p w14:paraId="3DD1F634" w14:textId="196B54DE" w:rsidR="00B2711B" w:rsidRDefault="00B2711B" w:rsidP="007624ED">
      <w:pPr>
        <w:pStyle w:val="Estilo1"/>
        <w:numPr>
          <w:ilvl w:val="1"/>
          <w:numId w:val="1"/>
        </w:numPr>
        <w:spacing w:after="0"/>
        <w:ind w:left="0" w:firstLine="720"/>
        <w:rPr>
          <w:rFonts w:ascii="Verdana" w:hAnsi="Verdana"/>
          <w:sz w:val="20"/>
          <w:szCs w:val="20"/>
          <w:lang w:val="es-ES_tradnl"/>
        </w:rPr>
      </w:pPr>
      <w:r w:rsidRPr="007624ED">
        <w:rPr>
          <w:rFonts w:ascii="Verdana" w:hAnsi="Verdana"/>
          <w:sz w:val="20"/>
          <w:szCs w:val="20"/>
          <w:lang w:val="es-ES_tradnl"/>
        </w:rPr>
        <w:t>Párrafo 202: “Adicionalmente a lo anterior, la Corte reitera que el artículo 23 de la Convención Americana dispone que “todos los ciudadanos deben gozar de los siguientes derechos y oportunidades: a) […] participar en la dirección de los asuntos públicos […]”. En similar sentido, el artículo 18 de la Declaración de las Naciones Unidas sobre los Derechos de los Pueblos Indígenas establece que “el derecho [de los pueblos indígenas] a participar en la adopción de decisiones en las cuestiones que afecten a sus derechos, por conducto de representantes […]”, y el artículo 32, en lo pertinente, dispone el deber de los Estados de “</w:t>
      </w:r>
      <w:proofErr w:type="spellStart"/>
      <w:r w:rsidRPr="007624ED">
        <w:rPr>
          <w:rFonts w:ascii="Verdana" w:hAnsi="Verdana"/>
          <w:sz w:val="20"/>
          <w:szCs w:val="20"/>
          <w:lang w:val="es-ES_tradnl"/>
        </w:rPr>
        <w:t>celebr</w:t>
      </w:r>
      <w:proofErr w:type="spellEnd"/>
      <w:r w:rsidRPr="007624ED">
        <w:rPr>
          <w:rFonts w:ascii="Verdana" w:hAnsi="Verdana"/>
          <w:sz w:val="20"/>
          <w:szCs w:val="20"/>
          <w:lang w:val="es-ES_tradnl"/>
        </w:rPr>
        <w:t>[</w:t>
      </w:r>
      <w:proofErr w:type="spellStart"/>
      <w:r w:rsidRPr="007624ED">
        <w:rPr>
          <w:rFonts w:ascii="Verdana" w:hAnsi="Verdana"/>
          <w:sz w:val="20"/>
          <w:szCs w:val="20"/>
          <w:lang w:val="es-ES_tradnl"/>
        </w:rPr>
        <w:t>ar</w:t>
      </w:r>
      <w:proofErr w:type="spellEnd"/>
      <w:r w:rsidRPr="007624ED">
        <w:rPr>
          <w:rFonts w:ascii="Verdana" w:hAnsi="Verdana"/>
          <w:sz w:val="20"/>
          <w:szCs w:val="20"/>
          <w:lang w:val="es-ES_tradnl"/>
        </w:rPr>
        <w:t>] consultas y coopera[</w:t>
      </w:r>
      <w:proofErr w:type="spellStart"/>
      <w:r w:rsidRPr="007624ED">
        <w:rPr>
          <w:rFonts w:ascii="Verdana" w:hAnsi="Verdana"/>
          <w:sz w:val="20"/>
          <w:szCs w:val="20"/>
          <w:lang w:val="es-ES_tradnl"/>
        </w:rPr>
        <w:t>ción</w:t>
      </w:r>
      <w:proofErr w:type="spellEnd"/>
      <w:r w:rsidRPr="007624ED">
        <w:rPr>
          <w:rFonts w:ascii="Verdana" w:hAnsi="Verdana"/>
          <w:sz w:val="20"/>
          <w:szCs w:val="20"/>
          <w:lang w:val="es-ES_tradnl"/>
        </w:rPr>
        <w:t xml:space="preserve">] de buena fe […] antes de aprobar cualquier proyecto que afecte sus tierras […], particularmente en relación con […] la utilización o la explotación de recursos minerales […]”. En este caso es patente la confusión entre “participar </w:t>
      </w:r>
      <w:r w:rsidRPr="007624ED">
        <w:rPr>
          <w:rFonts w:ascii="Verdana" w:hAnsi="Verdana"/>
          <w:i/>
          <w:sz w:val="20"/>
          <w:szCs w:val="20"/>
          <w:lang w:val="es-ES_tradnl"/>
        </w:rPr>
        <w:t>en la dirección de los asuntos públicos</w:t>
      </w:r>
      <w:r w:rsidRPr="007624ED">
        <w:rPr>
          <w:rFonts w:ascii="Verdana" w:hAnsi="Verdana"/>
          <w:sz w:val="20"/>
          <w:szCs w:val="20"/>
          <w:lang w:val="es-ES_tradnl"/>
        </w:rPr>
        <w:t xml:space="preserve">” y los artículos 18 y 32 de la Declaración sobre los Derechos de los Pueblos Indígenas, relativos a la participación </w:t>
      </w:r>
      <w:r w:rsidRPr="007624ED">
        <w:rPr>
          <w:rFonts w:ascii="Verdana" w:hAnsi="Verdana"/>
          <w:i/>
          <w:sz w:val="20"/>
          <w:szCs w:val="20"/>
          <w:lang w:val="es-ES_tradnl"/>
        </w:rPr>
        <w:t>en las cuestiones que afecten a sus derechos y al deber de los Estados de “celebrar consultas</w:t>
      </w:r>
      <w:r w:rsidR="00F61931">
        <w:rPr>
          <w:rFonts w:ascii="Verdana" w:hAnsi="Verdana"/>
          <w:i/>
          <w:sz w:val="20"/>
          <w:szCs w:val="20"/>
          <w:lang w:val="es-ES_tradnl"/>
        </w:rPr>
        <w:t xml:space="preserve"> [</w:t>
      </w:r>
      <w:r w:rsidRPr="007624ED">
        <w:rPr>
          <w:rFonts w:ascii="Verdana" w:hAnsi="Verdana"/>
          <w:i/>
          <w:sz w:val="20"/>
          <w:szCs w:val="20"/>
          <w:lang w:val="es-ES_tradnl"/>
        </w:rPr>
        <w:t>…</w:t>
      </w:r>
      <w:r w:rsidR="00F61931">
        <w:rPr>
          <w:rFonts w:ascii="Verdana" w:hAnsi="Verdana"/>
          <w:i/>
          <w:sz w:val="20"/>
          <w:szCs w:val="20"/>
          <w:lang w:val="es-ES_tradnl"/>
        </w:rPr>
        <w:t>]</w:t>
      </w:r>
      <w:r w:rsidRPr="007624ED">
        <w:rPr>
          <w:rFonts w:ascii="Verdana" w:hAnsi="Verdana"/>
          <w:i/>
          <w:sz w:val="20"/>
          <w:szCs w:val="20"/>
          <w:lang w:val="es-ES_tradnl"/>
        </w:rPr>
        <w:t xml:space="preserve"> antes de aprobar cualquier proyecto que afecte sus tierras</w:t>
      </w:r>
      <w:r w:rsidRPr="007624ED">
        <w:rPr>
          <w:rFonts w:ascii="Verdana" w:hAnsi="Verdana"/>
          <w:sz w:val="20"/>
          <w:szCs w:val="20"/>
          <w:lang w:val="es-ES_tradnl"/>
        </w:rPr>
        <w:t>”.</w:t>
      </w:r>
    </w:p>
    <w:p w14:paraId="0F13191C" w14:textId="77777777" w:rsidR="007624ED" w:rsidRPr="007624ED" w:rsidRDefault="007624ED" w:rsidP="007624ED">
      <w:pPr>
        <w:pStyle w:val="Estilo1"/>
        <w:numPr>
          <w:ilvl w:val="0"/>
          <w:numId w:val="0"/>
        </w:numPr>
        <w:spacing w:after="0"/>
        <w:ind w:left="720"/>
        <w:rPr>
          <w:rFonts w:ascii="Verdana" w:hAnsi="Verdana"/>
          <w:sz w:val="20"/>
          <w:szCs w:val="20"/>
          <w:lang w:val="es-ES_tradnl"/>
        </w:rPr>
      </w:pPr>
    </w:p>
    <w:p w14:paraId="3DD1F635" w14:textId="45A3911B" w:rsidR="00B2711B" w:rsidRPr="007624ED" w:rsidRDefault="00B2711B" w:rsidP="007624ED">
      <w:pPr>
        <w:pStyle w:val="Estilo1"/>
        <w:numPr>
          <w:ilvl w:val="1"/>
          <w:numId w:val="1"/>
        </w:numPr>
        <w:spacing w:after="0"/>
        <w:ind w:left="0" w:firstLine="720"/>
        <w:rPr>
          <w:rFonts w:ascii="Verdana" w:hAnsi="Verdana"/>
          <w:sz w:val="20"/>
          <w:szCs w:val="20"/>
          <w:lang w:val="es-ES_tradnl"/>
        </w:rPr>
      </w:pPr>
      <w:r w:rsidRPr="007624ED">
        <w:rPr>
          <w:rFonts w:ascii="Verdana" w:hAnsi="Verdana"/>
          <w:sz w:val="20"/>
          <w:szCs w:val="20"/>
          <w:lang w:val="es-ES_tradnl"/>
        </w:rPr>
        <w:t xml:space="preserve">Párrafo 203: En el párrafo siguiente se enuncia, pero no se fundamenta en modo alguno, la presunta identificación entre el derecho a participación y consulta derivado del derecho de propiedad y el derecho a participar en la dirección de los asuntos públicos Se dice, en efecto, lo siguiente: “En vista de ello, a fin de garantizar el uso y goce del derecho a la propiedad colectiva indígena, reconocida en los artículos 1.1 y 21 de la Convención, frente a la utilización o explotación de recursos naturales en su territorio tradicional, el Estado debe, para efectos del presente caso, contar con mecanismos para la participación efectiva de los pueblos indígenas, a través de procedimientos culturalmente adecuados para la toma de decisiones de dichos pueblos. Lo anterior no solo consiste en un </w:t>
      </w:r>
      <w:r w:rsidRPr="007624ED">
        <w:rPr>
          <w:rFonts w:ascii="Verdana" w:hAnsi="Verdana"/>
          <w:i/>
          <w:sz w:val="20"/>
          <w:szCs w:val="20"/>
          <w:lang w:val="es-ES_tradnl"/>
        </w:rPr>
        <w:t xml:space="preserve">asunto de interés </w:t>
      </w:r>
      <w:r w:rsidRPr="00F61931">
        <w:rPr>
          <w:rFonts w:ascii="Verdana" w:hAnsi="Verdana"/>
          <w:i/>
          <w:sz w:val="20"/>
          <w:szCs w:val="20"/>
          <w:lang w:val="es-ES_tradnl"/>
        </w:rPr>
        <w:t>púb</w:t>
      </w:r>
      <w:r w:rsidRPr="00120F47">
        <w:rPr>
          <w:rFonts w:ascii="Verdana" w:hAnsi="Verdana"/>
          <w:i/>
          <w:sz w:val="20"/>
          <w:szCs w:val="20"/>
          <w:lang w:val="es-ES_tradnl"/>
        </w:rPr>
        <w:t>lico</w:t>
      </w:r>
      <w:r w:rsidRPr="007624ED">
        <w:rPr>
          <w:rFonts w:ascii="Verdana" w:hAnsi="Verdana"/>
          <w:sz w:val="20"/>
          <w:szCs w:val="20"/>
          <w:lang w:val="es-ES_tradnl"/>
        </w:rPr>
        <w:t xml:space="preserve">, sino que también forma parte del ejercicio de su </w:t>
      </w:r>
      <w:r w:rsidRPr="007624ED">
        <w:rPr>
          <w:rFonts w:ascii="Verdana" w:hAnsi="Verdana"/>
          <w:i/>
          <w:sz w:val="20"/>
          <w:szCs w:val="20"/>
          <w:lang w:val="es-ES_tradnl"/>
        </w:rPr>
        <w:t>derecho a participar en la adopción de decisiones en las cuestiones que afectan sus intereses, de conformidad con sus propios procedimientos e instituciones, en relación con el artículo 23 de la Convención Americana</w:t>
      </w:r>
      <w:r w:rsidRPr="007624ED">
        <w:rPr>
          <w:rFonts w:ascii="Verdana" w:hAnsi="Verdana"/>
          <w:sz w:val="20"/>
          <w:szCs w:val="20"/>
          <w:lang w:val="es-ES_tradnl"/>
        </w:rPr>
        <w:t xml:space="preserve"> (</w:t>
      </w:r>
      <w:r w:rsidRPr="00120F47">
        <w:rPr>
          <w:rFonts w:ascii="Verdana" w:hAnsi="Verdana"/>
          <w:i/>
          <w:sz w:val="20"/>
          <w:szCs w:val="20"/>
          <w:lang w:val="es-ES_tradnl"/>
        </w:rPr>
        <w:t>supra</w:t>
      </w:r>
      <w:r w:rsidRPr="007624ED">
        <w:rPr>
          <w:rFonts w:ascii="Verdana" w:hAnsi="Verdana"/>
          <w:sz w:val="20"/>
          <w:szCs w:val="20"/>
          <w:lang w:val="es-ES_tradnl"/>
        </w:rPr>
        <w:t xml:space="preserve"> párr. 196)”</w:t>
      </w:r>
      <w:r w:rsidR="00F61931">
        <w:rPr>
          <w:rFonts w:ascii="Verdana" w:hAnsi="Verdana"/>
          <w:sz w:val="20"/>
          <w:szCs w:val="20"/>
          <w:lang w:val="es-ES_tradnl"/>
        </w:rPr>
        <w:t>.</w:t>
      </w:r>
      <w:r w:rsidRPr="007624ED">
        <w:rPr>
          <w:rFonts w:ascii="Verdana" w:hAnsi="Verdana"/>
          <w:sz w:val="20"/>
          <w:szCs w:val="20"/>
          <w:lang w:val="es-ES_tradnl"/>
        </w:rPr>
        <w:t xml:space="preserve"> </w:t>
      </w:r>
      <w:r w:rsidR="005E08B3" w:rsidRPr="007624ED">
        <w:rPr>
          <w:rFonts w:ascii="Verdana" w:hAnsi="Verdana"/>
          <w:sz w:val="20"/>
          <w:szCs w:val="20"/>
          <w:lang w:val="es-ES_tradnl"/>
        </w:rPr>
        <w:t>No se explica por qué “</w:t>
      </w:r>
      <w:r w:rsidR="005E08B3" w:rsidRPr="007624ED">
        <w:rPr>
          <w:rFonts w:ascii="Verdana" w:hAnsi="Verdana"/>
          <w:i/>
          <w:sz w:val="20"/>
          <w:szCs w:val="20"/>
          <w:lang w:val="es-ES_tradnl"/>
        </w:rPr>
        <w:t>la dirección de los asuntos públicos</w:t>
      </w:r>
      <w:r w:rsidR="005E08B3" w:rsidRPr="007624ED">
        <w:rPr>
          <w:rFonts w:ascii="Verdana" w:hAnsi="Verdana"/>
          <w:sz w:val="20"/>
          <w:szCs w:val="20"/>
          <w:lang w:val="es-ES_tradnl"/>
        </w:rPr>
        <w:t xml:space="preserve">” sería equivalente a la participación </w:t>
      </w:r>
      <w:r w:rsidR="00F1117A" w:rsidRPr="007624ED">
        <w:rPr>
          <w:rFonts w:ascii="Verdana" w:hAnsi="Verdana"/>
          <w:sz w:val="20"/>
          <w:szCs w:val="20"/>
          <w:lang w:val="es-ES_tradnl"/>
        </w:rPr>
        <w:t>en</w:t>
      </w:r>
      <w:r w:rsidR="005E08B3" w:rsidRPr="007624ED">
        <w:rPr>
          <w:rFonts w:ascii="Verdana" w:hAnsi="Verdana"/>
          <w:sz w:val="20"/>
          <w:szCs w:val="20"/>
          <w:lang w:val="es-ES_tradnl"/>
        </w:rPr>
        <w:t xml:space="preserve"> decisiones relativas a la propiedad </w:t>
      </w:r>
      <w:r w:rsidR="005E08B3" w:rsidRPr="007624ED">
        <w:rPr>
          <w:rFonts w:ascii="Verdana" w:hAnsi="Verdana"/>
          <w:i/>
          <w:sz w:val="20"/>
          <w:szCs w:val="20"/>
          <w:lang w:val="es-ES_tradnl"/>
        </w:rPr>
        <w:t xml:space="preserve">privada </w:t>
      </w:r>
      <w:r w:rsidR="005E08B3" w:rsidRPr="007624ED">
        <w:rPr>
          <w:rFonts w:ascii="Verdana" w:hAnsi="Verdana"/>
          <w:sz w:val="20"/>
          <w:szCs w:val="20"/>
          <w:lang w:val="es-ES_tradnl"/>
        </w:rPr>
        <w:t xml:space="preserve">de carácter colectivo. Tampoco se explica por qué lo relativo a la propiedad </w:t>
      </w:r>
      <w:r w:rsidR="005E08B3" w:rsidRPr="007624ED">
        <w:rPr>
          <w:rFonts w:ascii="Verdana" w:hAnsi="Verdana"/>
          <w:i/>
          <w:sz w:val="20"/>
          <w:szCs w:val="20"/>
          <w:lang w:val="es-ES_tradnl"/>
        </w:rPr>
        <w:t>privada</w:t>
      </w:r>
      <w:r w:rsidR="005E08B3" w:rsidRPr="007624ED">
        <w:rPr>
          <w:rFonts w:ascii="Verdana" w:hAnsi="Verdana"/>
          <w:sz w:val="20"/>
          <w:szCs w:val="20"/>
          <w:lang w:val="es-ES_tradnl"/>
        </w:rPr>
        <w:t xml:space="preserve"> o a alguno de sus corolarios sería un “</w:t>
      </w:r>
      <w:r w:rsidR="005E08B3" w:rsidRPr="007624ED">
        <w:rPr>
          <w:rFonts w:ascii="Verdana" w:hAnsi="Verdana"/>
          <w:i/>
          <w:sz w:val="20"/>
          <w:szCs w:val="20"/>
          <w:lang w:val="es-ES_tradnl"/>
        </w:rPr>
        <w:t>asunto de interés público”.</w:t>
      </w:r>
    </w:p>
    <w:p w14:paraId="6AB6FC4B" w14:textId="77777777" w:rsidR="007624ED" w:rsidRPr="007624ED" w:rsidRDefault="007624ED" w:rsidP="007624ED">
      <w:pPr>
        <w:pStyle w:val="Estilo1"/>
        <w:numPr>
          <w:ilvl w:val="0"/>
          <w:numId w:val="0"/>
        </w:numPr>
        <w:spacing w:after="0"/>
        <w:ind w:left="720"/>
        <w:rPr>
          <w:rFonts w:ascii="Verdana" w:hAnsi="Verdana"/>
          <w:sz w:val="20"/>
          <w:szCs w:val="20"/>
          <w:lang w:val="es-ES_tradnl"/>
        </w:rPr>
      </w:pPr>
    </w:p>
    <w:p w14:paraId="3DD1F636" w14:textId="77777777" w:rsidR="00FC75F8" w:rsidRDefault="005E08B3" w:rsidP="007624ED">
      <w:pPr>
        <w:pStyle w:val="Estilo1"/>
        <w:numPr>
          <w:ilvl w:val="1"/>
          <w:numId w:val="1"/>
        </w:numPr>
        <w:spacing w:after="0"/>
        <w:ind w:left="0" w:firstLine="720"/>
        <w:rPr>
          <w:rFonts w:ascii="Verdana" w:hAnsi="Verdana"/>
          <w:sz w:val="20"/>
          <w:szCs w:val="20"/>
          <w:lang w:val="es-ES_tradnl"/>
        </w:rPr>
      </w:pPr>
      <w:r w:rsidRPr="007624ED">
        <w:rPr>
          <w:rFonts w:ascii="Verdana" w:hAnsi="Verdana"/>
          <w:sz w:val="20"/>
          <w:szCs w:val="20"/>
          <w:lang w:val="es-ES_tradnl"/>
        </w:rPr>
        <w:t xml:space="preserve">En el párrafo en que se formula la conclusión final a este respecto </w:t>
      </w:r>
      <w:r w:rsidR="00F1117A" w:rsidRPr="007624ED">
        <w:rPr>
          <w:rFonts w:ascii="Verdana" w:hAnsi="Verdana"/>
          <w:sz w:val="20"/>
          <w:szCs w:val="20"/>
          <w:lang w:val="es-ES_tradnl"/>
        </w:rPr>
        <w:t>(</w:t>
      </w:r>
      <w:r w:rsidRPr="007624ED">
        <w:rPr>
          <w:rFonts w:ascii="Verdana" w:hAnsi="Verdana"/>
          <w:sz w:val="20"/>
          <w:szCs w:val="20"/>
          <w:lang w:val="es-ES_tradnl"/>
        </w:rPr>
        <w:t>párr. 230) se menciona la presunta violación del art. 23, pero los únicos fundamentos expuestos se refieren al artículo 21, relativo a la propiedad privada, y no al derecho a participar en la conducción de los asuntos públicos consagrado en el artículo 23, que tiene un sentido y un contenido muy diferentes.</w:t>
      </w:r>
    </w:p>
    <w:p w14:paraId="08F9C123"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7" w14:textId="77777777" w:rsidR="005E08B3" w:rsidRDefault="005E08B3" w:rsidP="007624ED">
      <w:pPr>
        <w:pStyle w:val="Estilo1"/>
        <w:spacing w:after="0"/>
        <w:rPr>
          <w:rFonts w:ascii="Verdana" w:hAnsi="Verdana"/>
          <w:sz w:val="20"/>
          <w:szCs w:val="20"/>
          <w:lang w:val="es-ES_tradnl"/>
        </w:rPr>
      </w:pPr>
      <w:r w:rsidRPr="007624ED">
        <w:rPr>
          <w:rFonts w:ascii="Verdana" w:hAnsi="Verdana"/>
          <w:sz w:val="20"/>
          <w:szCs w:val="20"/>
          <w:lang w:val="es-ES_tradnl"/>
        </w:rPr>
        <w:t>Las restantes menciones al artículo 23 están contenidas en el capítulo de reparaciones (VII) y obviamente se remiten a lo dicho en el capítulo de fondo (VI) sin añadir fundamentos al respecto (párrs. 278, 295, 304).</w:t>
      </w:r>
      <w:r w:rsidR="00FC75F8" w:rsidRPr="007624ED">
        <w:rPr>
          <w:rFonts w:ascii="Verdana" w:hAnsi="Verdana"/>
          <w:sz w:val="20"/>
          <w:szCs w:val="20"/>
          <w:lang w:val="es-ES_tradnl"/>
        </w:rPr>
        <w:t xml:space="preserve"> Al contrario, cuando se explicitan los fundamentos de las alegadas violaciones sólo se alude a “la falta de participación efectiva frente a proyectos de explotación en el área de la reserva” </w:t>
      </w:r>
      <w:r w:rsidR="00250ADF" w:rsidRPr="007624ED">
        <w:rPr>
          <w:rFonts w:ascii="Verdana" w:hAnsi="Verdana"/>
          <w:sz w:val="20"/>
          <w:szCs w:val="20"/>
          <w:lang w:val="es-ES_tradnl"/>
        </w:rPr>
        <w:t>(párr.</w:t>
      </w:r>
      <w:r w:rsidR="00FC75F8" w:rsidRPr="007624ED">
        <w:rPr>
          <w:rFonts w:ascii="Verdana" w:hAnsi="Verdana"/>
          <w:sz w:val="20"/>
          <w:szCs w:val="20"/>
          <w:lang w:val="es-ES_tradnl"/>
        </w:rPr>
        <w:t xml:space="preserve"> 278-c) o a “la falta de mecanismos que garanticen la participación efectiva, a través de un proceso de consulta” (párr. 304-d).</w:t>
      </w:r>
    </w:p>
    <w:p w14:paraId="06F2B54F"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8" w14:textId="2F029097" w:rsidR="00FC75F8" w:rsidRDefault="00FC75F8" w:rsidP="007624ED">
      <w:pPr>
        <w:pStyle w:val="Estilo1"/>
        <w:spacing w:after="0"/>
        <w:rPr>
          <w:rFonts w:ascii="Verdana" w:hAnsi="Verdana"/>
          <w:sz w:val="20"/>
          <w:szCs w:val="20"/>
          <w:lang w:val="es-ES_tradnl"/>
        </w:rPr>
      </w:pPr>
      <w:r w:rsidRPr="007624ED">
        <w:rPr>
          <w:rFonts w:ascii="Verdana" w:hAnsi="Verdana"/>
          <w:sz w:val="20"/>
          <w:szCs w:val="20"/>
          <w:lang w:val="es-ES_tradnl"/>
        </w:rPr>
        <w:t>De lo dicho se desprende que es aplicable también en este aspecto la conclusión ya transcripta (</w:t>
      </w:r>
      <w:r w:rsidRPr="007624ED">
        <w:rPr>
          <w:rFonts w:ascii="Verdana" w:hAnsi="Verdana"/>
          <w:i/>
          <w:sz w:val="20"/>
          <w:szCs w:val="20"/>
          <w:lang w:val="es-ES_tradnl"/>
        </w:rPr>
        <w:t>supra,</w:t>
      </w:r>
      <w:r w:rsidRPr="007624ED">
        <w:rPr>
          <w:rFonts w:ascii="Verdana" w:hAnsi="Verdana"/>
          <w:sz w:val="20"/>
          <w:szCs w:val="20"/>
          <w:lang w:val="es-ES_tradnl"/>
        </w:rPr>
        <w:t xml:space="preserve"> párr. 1</w:t>
      </w:r>
      <w:r w:rsidR="00F61931">
        <w:rPr>
          <w:rFonts w:ascii="Verdana" w:hAnsi="Verdana"/>
          <w:sz w:val="20"/>
          <w:szCs w:val="20"/>
          <w:lang w:val="es-ES_tradnl"/>
        </w:rPr>
        <w:t>3</w:t>
      </w:r>
      <w:r w:rsidRPr="007624ED">
        <w:rPr>
          <w:rFonts w:ascii="Verdana" w:hAnsi="Verdana"/>
          <w:sz w:val="20"/>
          <w:szCs w:val="20"/>
          <w:lang w:val="es-ES_tradnl"/>
        </w:rPr>
        <w:t xml:space="preserve">) a que se llegó en el caso </w:t>
      </w:r>
      <w:proofErr w:type="spellStart"/>
      <w:r w:rsidRPr="007624ED">
        <w:rPr>
          <w:rFonts w:ascii="Verdana" w:hAnsi="Verdana"/>
          <w:sz w:val="20"/>
          <w:szCs w:val="20"/>
          <w:lang w:val="es-ES_tradnl"/>
        </w:rPr>
        <w:t>Sarayaku</w:t>
      </w:r>
      <w:proofErr w:type="spellEnd"/>
      <w:r w:rsidRPr="007624ED">
        <w:rPr>
          <w:rFonts w:ascii="Verdana" w:hAnsi="Verdana"/>
          <w:sz w:val="20"/>
          <w:szCs w:val="20"/>
          <w:lang w:val="es-ES_tradnl"/>
        </w:rPr>
        <w:t xml:space="preserve"> respecto de la presunta violación de los artículos 13 y 23: “</w:t>
      </w:r>
      <w:r w:rsidRPr="007624ED">
        <w:rPr>
          <w:rFonts w:ascii="Verdana" w:hAnsi="Verdana"/>
          <w:i/>
          <w:sz w:val="20"/>
          <w:szCs w:val="20"/>
          <w:lang w:val="es-ES_tradnl"/>
        </w:rPr>
        <w:t xml:space="preserve">la Corte considera que en el presente caso los hechos han sido suficientemente analizados, y las violaciones conceptualizadas, bajo los derechos a la propiedad comunal, a la consulta y a la identidad cultural del Pueblo </w:t>
      </w:r>
      <w:proofErr w:type="spellStart"/>
      <w:r w:rsidRPr="007624ED">
        <w:rPr>
          <w:rFonts w:ascii="Verdana" w:hAnsi="Verdana"/>
          <w:i/>
          <w:sz w:val="20"/>
          <w:szCs w:val="20"/>
          <w:lang w:val="es-ES_tradnl"/>
        </w:rPr>
        <w:t>Sarayaku</w:t>
      </w:r>
      <w:proofErr w:type="spellEnd"/>
      <w:r w:rsidRPr="007624ED">
        <w:rPr>
          <w:rFonts w:ascii="Verdana" w:hAnsi="Verdana"/>
          <w:i/>
          <w:sz w:val="20"/>
          <w:szCs w:val="20"/>
          <w:lang w:val="es-ES_tradnl"/>
        </w:rPr>
        <w:t>, en los términos del artículo 21 de la Convención, en relación con los artículos 1.1 y 2 de la misma, por lo que no se pronuncia sobre la alegada violación de aquellas normas</w:t>
      </w:r>
      <w:r w:rsidRPr="007624ED">
        <w:rPr>
          <w:rFonts w:ascii="Verdana" w:hAnsi="Verdana"/>
          <w:sz w:val="20"/>
          <w:szCs w:val="20"/>
          <w:lang w:val="es-ES_tradnl"/>
        </w:rPr>
        <w:t>”.</w:t>
      </w:r>
    </w:p>
    <w:p w14:paraId="28223C57"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9" w14:textId="77777777" w:rsidR="00FC75F8" w:rsidRDefault="00FC75F8" w:rsidP="007624ED">
      <w:pPr>
        <w:pStyle w:val="Estilo1"/>
        <w:spacing w:after="0"/>
        <w:rPr>
          <w:rFonts w:ascii="Verdana" w:hAnsi="Verdana"/>
          <w:sz w:val="20"/>
          <w:szCs w:val="20"/>
          <w:lang w:val="es-ES_tradnl"/>
        </w:rPr>
      </w:pPr>
      <w:r w:rsidRPr="007624ED">
        <w:rPr>
          <w:rFonts w:ascii="Verdana" w:hAnsi="Verdana"/>
          <w:sz w:val="20"/>
          <w:szCs w:val="20"/>
          <w:lang w:val="es-ES_tradnl"/>
        </w:rPr>
        <w:t xml:space="preserve">En consecuencia, </w:t>
      </w:r>
      <w:r w:rsidR="00A53D6C" w:rsidRPr="007624ED">
        <w:rPr>
          <w:rFonts w:ascii="Verdana" w:hAnsi="Verdana"/>
          <w:sz w:val="20"/>
          <w:szCs w:val="20"/>
          <w:lang w:val="es-ES_tradnl"/>
        </w:rPr>
        <w:t>no corresponde declarar una violación del artículo 23 de la Convención, siendo suficiente declarar la violación del artículo 21 (Derecho a la propiedad privada).</w:t>
      </w:r>
    </w:p>
    <w:p w14:paraId="575EE5DA"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A" w14:textId="77777777" w:rsidR="00F1117A" w:rsidRPr="002652B0" w:rsidRDefault="00F1117A" w:rsidP="007624ED">
      <w:pPr>
        <w:pStyle w:val="Estilo2"/>
        <w:numPr>
          <w:ilvl w:val="0"/>
          <w:numId w:val="2"/>
        </w:numPr>
        <w:spacing w:after="0"/>
        <w:ind w:left="0" w:firstLine="0"/>
        <w:rPr>
          <w:rFonts w:ascii="Verdana" w:hAnsi="Verdana"/>
          <w:b/>
          <w:i w:val="0"/>
          <w:sz w:val="20"/>
          <w:szCs w:val="20"/>
          <w:lang w:val="es-ES_tradnl"/>
        </w:rPr>
      </w:pPr>
      <w:r w:rsidRPr="002652B0">
        <w:rPr>
          <w:rFonts w:ascii="Verdana" w:hAnsi="Verdana"/>
          <w:b/>
          <w:i w:val="0"/>
          <w:sz w:val="20"/>
          <w:szCs w:val="20"/>
          <w:lang w:val="es-ES_tradnl"/>
        </w:rPr>
        <w:t>Conclusiones</w:t>
      </w:r>
    </w:p>
    <w:p w14:paraId="444C3660" w14:textId="77777777" w:rsidR="007624ED" w:rsidRPr="007624ED" w:rsidRDefault="007624ED" w:rsidP="007624ED">
      <w:pPr>
        <w:pStyle w:val="Estilo2"/>
        <w:spacing w:after="0"/>
        <w:ind w:left="0"/>
        <w:jc w:val="left"/>
        <w:rPr>
          <w:rFonts w:ascii="Verdana" w:hAnsi="Verdana"/>
          <w:sz w:val="20"/>
          <w:szCs w:val="20"/>
          <w:lang w:val="es-ES_tradnl"/>
        </w:rPr>
      </w:pPr>
    </w:p>
    <w:p w14:paraId="3DD1F63B" w14:textId="77777777" w:rsidR="00F1117A" w:rsidRDefault="00F1117A" w:rsidP="007624ED">
      <w:pPr>
        <w:pStyle w:val="Estilo1"/>
        <w:spacing w:after="0"/>
        <w:rPr>
          <w:rFonts w:ascii="Verdana" w:hAnsi="Verdana"/>
          <w:sz w:val="20"/>
          <w:szCs w:val="20"/>
          <w:lang w:val="es-ES_tradnl"/>
        </w:rPr>
      </w:pPr>
      <w:r w:rsidRPr="007624ED">
        <w:rPr>
          <w:rFonts w:ascii="Verdana" w:hAnsi="Verdana"/>
          <w:sz w:val="20"/>
          <w:szCs w:val="20"/>
          <w:lang w:val="es-ES_tradnl"/>
        </w:rPr>
        <w:t>En conclusión:</w:t>
      </w:r>
    </w:p>
    <w:p w14:paraId="3ACEDA44" w14:textId="77777777" w:rsidR="007624ED" w:rsidRPr="007624ED" w:rsidRDefault="007624ED" w:rsidP="007624ED">
      <w:pPr>
        <w:pStyle w:val="Estilo1"/>
        <w:numPr>
          <w:ilvl w:val="0"/>
          <w:numId w:val="0"/>
        </w:numPr>
        <w:spacing w:after="0"/>
        <w:rPr>
          <w:rFonts w:ascii="Verdana" w:hAnsi="Verdana"/>
          <w:sz w:val="20"/>
          <w:szCs w:val="20"/>
          <w:lang w:val="es-ES_tradnl"/>
        </w:rPr>
      </w:pPr>
    </w:p>
    <w:p w14:paraId="3DD1F63C" w14:textId="77777777" w:rsidR="00A73D0B" w:rsidRPr="007624ED" w:rsidRDefault="00A73D0B" w:rsidP="007624ED">
      <w:pPr>
        <w:pStyle w:val="Estilo1"/>
        <w:numPr>
          <w:ilvl w:val="1"/>
          <w:numId w:val="1"/>
        </w:numPr>
        <w:spacing w:after="0"/>
        <w:ind w:left="1134" w:hanging="731"/>
        <w:rPr>
          <w:rFonts w:ascii="Verdana" w:hAnsi="Verdana"/>
          <w:sz w:val="20"/>
          <w:szCs w:val="20"/>
          <w:lang w:val="es-ES_tradnl"/>
        </w:rPr>
      </w:pPr>
      <w:r w:rsidRPr="007624ED">
        <w:rPr>
          <w:rFonts w:ascii="Verdana" w:hAnsi="Verdana"/>
          <w:sz w:val="20"/>
          <w:szCs w:val="20"/>
          <w:lang w:val="es-ES_tradnl"/>
        </w:rPr>
        <w:t>No corresponde declarar que se han violado los artículos 3, 13 y 23 de la Convención Americana;</w:t>
      </w:r>
    </w:p>
    <w:p w14:paraId="3DD1F63D" w14:textId="1B8FDD36" w:rsidR="00A73D0B" w:rsidRDefault="00A73D0B" w:rsidP="007624ED">
      <w:pPr>
        <w:pStyle w:val="Estilo1"/>
        <w:numPr>
          <w:ilvl w:val="1"/>
          <w:numId w:val="1"/>
        </w:numPr>
        <w:spacing w:after="0"/>
        <w:ind w:left="1134" w:hanging="731"/>
        <w:rPr>
          <w:rFonts w:ascii="Verdana" w:hAnsi="Verdana"/>
          <w:sz w:val="20"/>
          <w:szCs w:val="20"/>
          <w:lang w:val="es-ES_tradnl"/>
        </w:rPr>
      </w:pPr>
      <w:r w:rsidRPr="007624ED">
        <w:rPr>
          <w:rFonts w:ascii="Verdana" w:hAnsi="Verdana"/>
          <w:sz w:val="20"/>
          <w:szCs w:val="20"/>
          <w:lang w:val="es-ES_tradnl"/>
        </w:rPr>
        <w:t>Basta con declarar que se han violado los artículos 21 (derecho a la propiedad privada comunal</w:t>
      </w:r>
      <w:r w:rsidR="00F61931">
        <w:rPr>
          <w:rFonts w:ascii="Verdana" w:hAnsi="Verdana"/>
          <w:sz w:val="20"/>
          <w:szCs w:val="20"/>
          <w:lang w:val="es-ES_tradnl"/>
        </w:rPr>
        <w:t>)</w:t>
      </w:r>
      <w:r w:rsidRPr="007624ED">
        <w:rPr>
          <w:rFonts w:ascii="Verdana" w:hAnsi="Verdana"/>
          <w:sz w:val="20"/>
          <w:szCs w:val="20"/>
          <w:lang w:val="es-ES_tradnl"/>
        </w:rPr>
        <w:t>, con los consiguientes derechos al reconocimiento de la personería jurídica y a la consulta y a la identidad cultural y 25 (derecho a la protección judicial) de la Convención Americana.</w:t>
      </w:r>
    </w:p>
    <w:p w14:paraId="3A27EE0A" w14:textId="46D9D445" w:rsidR="007624ED" w:rsidRPr="008F095C" w:rsidRDefault="007624ED" w:rsidP="007624ED">
      <w:pPr>
        <w:pStyle w:val="Estilo1"/>
        <w:numPr>
          <w:ilvl w:val="0"/>
          <w:numId w:val="0"/>
        </w:numPr>
        <w:rPr>
          <w:lang w:val="es-ES_tradnl"/>
        </w:rPr>
      </w:pPr>
    </w:p>
    <w:p w14:paraId="7F67AF5B" w14:textId="77777777" w:rsidR="007624ED" w:rsidRDefault="007624ED" w:rsidP="007624ED">
      <w:pPr>
        <w:pStyle w:val="Estilo1"/>
        <w:numPr>
          <w:ilvl w:val="0"/>
          <w:numId w:val="0"/>
        </w:numPr>
        <w:rPr>
          <w:lang w:val="es-ES_tradnl"/>
        </w:rPr>
      </w:pPr>
    </w:p>
    <w:p w14:paraId="0C218AA5" w14:textId="77777777" w:rsidR="007624ED" w:rsidRDefault="007624ED" w:rsidP="007624ED">
      <w:pPr>
        <w:pStyle w:val="Estilo1"/>
        <w:numPr>
          <w:ilvl w:val="0"/>
          <w:numId w:val="0"/>
        </w:numPr>
        <w:rPr>
          <w:lang w:val="es-ES_tradnl"/>
        </w:rPr>
      </w:pPr>
    </w:p>
    <w:p w14:paraId="2C9830EE" w14:textId="44473F86" w:rsidR="007624ED" w:rsidRPr="007624ED" w:rsidRDefault="007624ED" w:rsidP="007624ED">
      <w:pPr>
        <w:pStyle w:val="Estilo1"/>
        <w:numPr>
          <w:ilvl w:val="0"/>
          <w:numId w:val="0"/>
        </w:numPr>
        <w:spacing w:after="0"/>
        <w:ind w:left="1134"/>
        <w:rPr>
          <w:rFonts w:ascii="Verdana" w:hAnsi="Verdana"/>
          <w:sz w:val="20"/>
          <w:szCs w:val="20"/>
          <w:lang w:val="es-ES_tradnl"/>
        </w:rPr>
      </w:pPr>
    </w:p>
    <w:p w14:paraId="16A10E46" w14:textId="23F3463A" w:rsidR="007624ED" w:rsidRDefault="007624ED" w:rsidP="007624ED">
      <w:pPr>
        <w:widowControl w:val="0"/>
        <w:adjustRightInd w:val="0"/>
        <w:spacing w:after="0" w:line="240" w:lineRule="auto"/>
        <w:ind w:left="5041"/>
        <w:jc w:val="center"/>
        <w:rPr>
          <w:rFonts w:ascii="Verdana" w:eastAsia="Times New Roman" w:hAnsi="Verdana" w:cs="Times New Roman"/>
          <w:spacing w:val="-4"/>
          <w:sz w:val="20"/>
          <w:szCs w:val="20"/>
          <w:lang w:val="es-CR" w:eastAsia="es-CR"/>
        </w:rPr>
      </w:pPr>
      <w:r>
        <w:rPr>
          <w:rFonts w:ascii="Verdana" w:eastAsia="Times New Roman" w:hAnsi="Verdana" w:cs="Times New Roman"/>
          <w:spacing w:val="-4"/>
          <w:sz w:val="20"/>
          <w:szCs w:val="20"/>
          <w:lang w:val="es-CR" w:eastAsia="es-CR"/>
        </w:rPr>
        <w:t xml:space="preserve">Alberto Pérez </w:t>
      </w:r>
      <w:proofErr w:type="spellStart"/>
      <w:r>
        <w:rPr>
          <w:rFonts w:ascii="Verdana" w:eastAsia="Times New Roman" w:hAnsi="Verdana" w:cs="Times New Roman"/>
          <w:spacing w:val="-4"/>
          <w:sz w:val="20"/>
          <w:szCs w:val="20"/>
          <w:lang w:val="es-CR" w:eastAsia="es-CR"/>
        </w:rPr>
        <w:t>Pérez</w:t>
      </w:r>
      <w:proofErr w:type="spellEnd"/>
    </w:p>
    <w:p w14:paraId="3BAD3ED0" w14:textId="77777777" w:rsidR="007624ED" w:rsidRDefault="007624ED" w:rsidP="007624ED">
      <w:pPr>
        <w:widowControl w:val="0"/>
        <w:adjustRightInd w:val="0"/>
        <w:spacing w:after="0" w:line="240" w:lineRule="auto"/>
        <w:ind w:left="5041"/>
        <w:jc w:val="center"/>
        <w:rPr>
          <w:rFonts w:ascii="Verdana" w:eastAsia="Times New Roman" w:hAnsi="Verdana" w:cs="Times New Roman"/>
          <w:spacing w:val="-4"/>
          <w:sz w:val="20"/>
          <w:szCs w:val="20"/>
          <w:lang w:val="es-CR" w:eastAsia="es-CR"/>
        </w:rPr>
      </w:pPr>
      <w:r>
        <w:rPr>
          <w:rFonts w:ascii="Verdana" w:eastAsia="Times New Roman" w:hAnsi="Verdana" w:cs="Times New Roman"/>
          <w:spacing w:val="-4"/>
          <w:sz w:val="20"/>
          <w:szCs w:val="20"/>
          <w:lang w:val="es-CR" w:eastAsia="es-CR"/>
        </w:rPr>
        <w:t>Juez</w:t>
      </w:r>
    </w:p>
    <w:p w14:paraId="004F91ED" w14:textId="77777777" w:rsidR="007624ED" w:rsidRDefault="007624ED" w:rsidP="007624ED">
      <w:pPr>
        <w:pStyle w:val="Estilo4"/>
        <w:numPr>
          <w:ilvl w:val="0"/>
          <w:numId w:val="0"/>
        </w:numPr>
        <w:jc w:val="both"/>
        <w:rPr>
          <w:rFonts w:ascii="Verdana" w:hAnsi="Verdana"/>
          <w:i/>
          <w:sz w:val="20"/>
          <w:szCs w:val="20"/>
          <w:lang w:val="es-ES_tradnl"/>
        </w:rPr>
      </w:pPr>
    </w:p>
    <w:p w14:paraId="1675DA52" w14:textId="77777777" w:rsidR="00CC7B13" w:rsidRDefault="00CC7B13" w:rsidP="007624ED">
      <w:pPr>
        <w:pStyle w:val="Estilo4"/>
        <w:numPr>
          <w:ilvl w:val="0"/>
          <w:numId w:val="0"/>
        </w:numPr>
        <w:jc w:val="both"/>
        <w:rPr>
          <w:rFonts w:ascii="Verdana" w:hAnsi="Verdana"/>
          <w:i/>
          <w:sz w:val="20"/>
          <w:szCs w:val="20"/>
          <w:lang w:val="es-ES_tradnl"/>
        </w:rPr>
      </w:pPr>
    </w:p>
    <w:p w14:paraId="424545F8" w14:textId="77777777" w:rsidR="00CC7B13" w:rsidRDefault="00CC7B13" w:rsidP="007624ED">
      <w:pPr>
        <w:pStyle w:val="Estilo4"/>
        <w:numPr>
          <w:ilvl w:val="0"/>
          <w:numId w:val="0"/>
        </w:numPr>
        <w:jc w:val="both"/>
        <w:rPr>
          <w:rFonts w:ascii="Verdana" w:hAnsi="Verdana"/>
          <w:i/>
          <w:sz w:val="20"/>
          <w:szCs w:val="20"/>
          <w:lang w:val="es-ES_tradnl"/>
        </w:rPr>
      </w:pPr>
    </w:p>
    <w:p w14:paraId="079DD4D8" w14:textId="77777777" w:rsidR="007624ED" w:rsidRDefault="007624ED" w:rsidP="007624ED">
      <w:pPr>
        <w:pStyle w:val="Estilo4"/>
        <w:numPr>
          <w:ilvl w:val="0"/>
          <w:numId w:val="0"/>
        </w:numPr>
        <w:jc w:val="both"/>
        <w:rPr>
          <w:rFonts w:ascii="Verdana" w:hAnsi="Verdana"/>
          <w:i/>
          <w:sz w:val="20"/>
          <w:szCs w:val="20"/>
          <w:lang w:val="es-ES_tradnl"/>
        </w:rPr>
      </w:pPr>
    </w:p>
    <w:p w14:paraId="4CFB083C" w14:textId="46DF54B0" w:rsidR="007624ED" w:rsidRDefault="007624ED" w:rsidP="007624ED">
      <w:pPr>
        <w:pStyle w:val="Estilo4"/>
        <w:numPr>
          <w:ilvl w:val="0"/>
          <w:numId w:val="0"/>
        </w:numPr>
        <w:jc w:val="both"/>
        <w:rPr>
          <w:rFonts w:ascii="Verdana" w:hAnsi="Verdana"/>
          <w:i/>
          <w:sz w:val="20"/>
          <w:szCs w:val="20"/>
          <w:lang w:val="es-ES_tradnl"/>
        </w:rPr>
      </w:pPr>
    </w:p>
    <w:p w14:paraId="5577BCA1" w14:textId="77777777" w:rsidR="007624ED" w:rsidRDefault="007624ED" w:rsidP="00CC7B13">
      <w:pPr>
        <w:widowControl w:val="0"/>
        <w:adjustRightInd w:val="0"/>
        <w:spacing w:after="0" w:line="240" w:lineRule="auto"/>
        <w:ind w:firstLine="708"/>
        <w:jc w:val="both"/>
        <w:rPr>
          <w:rFonts w:ascii="Verdana" w:eastAsia="Times New Roman" w:hAnsi="Verdana" w:cs="Verdana"/>
          <w:spacing w:val="-4"/>
          <w:sz w:val="20"/>
          <w:szCs w:val="20"/>
          <w:lang w:val="es-CR" w:eastAsia="es-CR"/>
        </w:rPr>
      </w:pPr>
      <w:r>
        <w:rPr>
          <w:rFonts w:ascii="Verdana" w:eastAsia="Times New Roman" w:hAnsi="Verdana" w:cs="Verdana"/>
          <w:spacing w:val="-4"/>
          <w:sz w:val="20"/>
          <w:szCs w:val="20"/>
          <w:lang w:val="es-CR" w:eastAsia="es-CR"/>
        </w:rPr>
        <w:t>Pablo Saavedra Alessandri</w:t>
      </w:r>
    </w:p>
    <w:p w14:paraId="6D8C4B0C" w14:textId="61B1D307" w:rsidR="007624ED" w:rsidRDefault="007624ED" w:rsidP="007624ED">
      <w:pPr>
        <w:widowControl w:val="0"/>
        <w:adjustRightInd w:val="0"/>
        <w:spacing w:after="0" w:line="240" w:lineRule="auto"/>
        <w:jc w:val="both"/>
        <w:rPr>
          <w:rFonts w:ascii="Verdana" w:eastAsia="Times New Roman" w:hAnsi="Verdana" w:cs="Verdana"/>
          <w:spacing w:val="-4"/>
          <w:sz w:val="20"/>
          <w:szCs w:val="20"/>
          <w:lang w:val="es-CR" w:eastAsia="es-CR"/>
        </w:rPr>
      </w:pPr>
      <w:r>
        <w:rPr>
          <w:rFonts w:ascii="Verdana" w:eastAsia="Times New Roman" w:hAnsi="Verdana" w:cs="Verdana"/>
          <w:spacing w:val="-4"/>
          <w:sz w:val="20"/>
          <w:szCs w:val="20"/>
          <w:lang w:val="es-CR" w:eastAsia="es-CR"/>
        </w:rPr>
        <w:tab/>
      </w:r>
      <w:r w:rsidR="00CC7B13">
        <w:rPr>
          <w:rFonts w:ascii="Verdana" w:eastAsia="Times New Roman" w:hAnsi="Verdana" w:cs="Verdana"/>
          <w:spacing w:val="-4"/>
          <w:sz w:val="20"/>
          <w:szCs w:val="20"/>
          <w:lang w:val="es-CR" w:eastAsia="es-CR"/>
        </w:rPr>
        <w:tab/>
        <w:t xml:space="preserve">  </w:t>
      </w:r>
      <w:r>
        <w:rPr>
          <w:rFonts w:ascii="Verdana" w:eastAsia="Times New Roman" w:hAnsi="Verdana" w:cs="Verdana"/>
          <w:spacing w:val="-4"/>
          <w:sz w:val="20"/>
          <w:szCs w:val="20"/>
          <w:lang w:val="es-CR" w:eastAsia="es-CR"/>
        </w:rPr>
        <w:t>Secretario</w:t>
      </w:r>
    </w:p>
    <w:p w14:paraId="3DD1F63E" w14:textId="17F11436" w:rsidR="00A73D0B" w:rsidRPr="007624ED" w:rsidRDefault="00A73D0B" w:rsidP="007624ED">
      <w:pPr>
        <w:pStyle w:val="Estilo1"/>
        <w:numPr>
          <w:ilvl w:val="0"/>
          <w:numId w:val="0"/>
        </w:numPr>
        <w:spacing w:after="0"/>
        <w:jc w:val="center"/>
        <w:rPr>
          <w:rFonts w:ascii="Verdana" w:hAnsi="Verdana"/>
          <w:i/>
          <w:sz w:val="20"/>
          <w:szCs w:val="20"/>
          <w:lang w:val="es-ES_tradnl"/>
        </w:rPr>
      </w:pPr>
    </w:p>
    <w:sectPr w:rsidR="00A73D0B" w:rsidRPr="007624ED" w:rsidSect="001213BE">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79CA" w14:textId="77777777" w:rsidR="00B02173" w:rsidRDefault="00B02173" w:rsidP="00D66DEE">
      <w:pPr>
        <w:spacing w:after="0" w:line="240" w:lineRule="auto"/>
      </w:pPr>
      <w:r>
        <w:separator/>
      </w:r>
    </w:p>
  </w:endnote>
  <w:endnote w:type="continuationSeparator" w:id="0">
    <w:p w14:paraId="0AD872EF" w14:textId="77777777" w:rsidR="00B02173" w:rsidRDefault="00B02173" w:rsidP="00D6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7755"/>
      <w:docPartObj>
        <w:docPartGallery w:val="Page Numbers (Bottom of Page)"/>
        <w:docPartUnique/>
      </w:docPartObj>
    </w:sdtPr>
    <w:sdtEndPr>
      <w:rPr>
        <w:rFonts w:ascii="Verdana" w:hAnsi="Verdana"/>
        <w:sz w:val="20"/>
        <w:szCs w:val="20"/>
      </w:rPr>
    </w:sdtEndPr>
    <w:sdtContent>
      <w:p w14:paraId="50C2B06A" w14:textId="2E63D6D0" w:rsidR="00D35F31" w:rsidRPr="00A6224C" w:rsidRDefault="00D35F31">
        <w:pPr>
          <w:pStyle w:val="Footer"/>
          <w:jc w:val="center"/>
          <w:rPr>
            <w:rFonts w:ascii="Verdana" w:hAnsi="Verdana"/>
            <w:sz w:val="20"/>
            <w:szCs w:val="20"/>
          </w:rPr>
        </w:pPr>
        <w:r w:rsidRPr="00A6224C">
          <w:rPr>
            <w:rFonts w:ascii="Verdana" w:hAnsi="Verdana"/>
            <w:sz w:val="20"/>
            <w:szCs w:val="20"/>
          </w:rPr>
          <w:fldChar w:fldCharType="begin"/>
        </w:r>
        <w:r w:rsidRPr="00A6224C">
          <w:rPr>
            <w:rFonts w:ascii="Verdana" w:hAnsi="Verdana"/>
            <w:sz w:val="20"/>
            <w:szCs w:val="20"/>
          </w:rPr>
          <w:instrText>PAGE   \* MERGEFORMAT</w:instrText>
        </w:r>
        <w:r w:rsidRPr="00A6224C">
          <w:rPr>
            <w:rFonts w:ascii="Verdana" w:hAnsi="Verdana"/>
            <w:sz w:val="20"/>
            <w:szCs w:val="20"/>
          </w:rPr>
          <w:fldChar w:fldCharType="separate"/>
        </w:r>
        <w:r w:rsidR="002D0056" w:rsidRPr="002D0056">
          <w:rPr>
            <w:rFonts w:ascii="Verdana" w:hAnsi="Verdana"/>
            <w:noProof/>
            <w:sz w:val="20"/>
            <w:szCs w:val="20"/>
            <w:lang w:val="es-ES"/>
          </w:rPr>
          <w:t>9</w:t>
        </w:r>
        <w:r w:rsidRPr="00A6224C">
          <w:rPr>
            <w:rFonts w:ascii="Verdana" w:hAnsi="Verdana"/>
            <w:sz w:val="20"/>
            <w:szCs w:val="20"/>
          </w:rPr>
          <w:fldChar w:fldCharType="end"/>
        </w:r>
      </w:p>
    </w:sdtContent>
  </w:sdt>
  <w:p w14:paraId="5489CE70" w14:textId="77777777" w:rsidR="00D35F31" w:rsidRDefault="00D3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F398" w14:textId="77777777" w:rsidR="00B02173" w:rsidRDefault="00B02173" w:rsidP="00D66DEE">
      <w:pPr>
        <w:spacing w:after="0" w:line="240" w:lineRule="auto"/>
      </w:pPr>
      <w:r>
        <w:separator/>
      </w:r>
    </w:p>
  </w:footnote>
  <w:footnote w:type="continuationSeparator" w:id="0">
    <w:p w14:paraId="553EDBC3" w14:textId="77777777" w:rsidR="00B02173" w:rsidRDefault="00B02173" w:rsidP="00D66DEE">
      <w:pPr>
        <w:spacing w:after="0" w:line="240" w:lineRule="auto"/>
      </w:pPr>
      <w:r>
        <w:continuationSeparator/>
      </w:r>
    </w:p>
  </w:footnote>
  <w:footnote w:id="1">
    <w:p w14:paraId="3DD1F643" w14:textId="1071AF93" w:rsidR="005E1711" w:rsidRPr="00120F47" w:rsidRDefault="005E1711" w:rsidP="00120F47">
      <w:pPr>
        <w:spacing w:after="0" w:line="240" w:lineRule="auto"/>
        <w:jc w:val="both"/>
        <w:rPr>
          <w:rFonts w:ascii="Verdana" w:hAnsi="Verdana"/>
          <w:bCs/>
          <w:color w:val="000000"/>
          <w:sz w:val="16"/>
          <w:szCs w:val="16"/>
          <w:shd w:val="clear" w:color="auto" w:fill="FFFFFF"/>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r>
      <w:r w:rsidRPr="006431C8">
        <w:rPr>
          <w:rStyle w:val="Strong"/>
          <w:rFonts w:ascii="Verdana" w:hAnsi="Verdana"/>
          <w:b w:val="0"/>
          <w:i/>
          <w:color w:val="000000"/>
          <w:sz w:val="16"/>
          <w:szCs w:val="16"/>
          <w:shd w:val="clear" w:color="auto" w:fill="FFFFFF"/>
        </w:rPr>
        <w:t xml:space="preserve">Caso Comunidad Indígena </w:t>
      </w:r>
      <w:proofErr w:type="spellStart"/>
      <w:r w:rsidRPr="006431C8">
        <w:rPr>
          <w:rStyle w:val="Strong"/>
          <w:rFonts w:ascii="Verdana" w:hAnsi="Verdana"/>
          <w:b w:val="0"/>
          <w:i/>
          <w:color w:val="000000"/>
          <w:sz w:val="16"/>
          <w:szCs w:val="16"/>
          <w:shd w:val="clear" w:color="auto" w:fill="FFFFFF"/>
        </w:rPr>
        <w:t>Sawhoyamaxa</w:t>
      </w:r>
      <w:proofErr w:type="spellEnd"/>
      <w:r w:rsidRPr="006431C8">
        <w:rPr>
          <w:rStyle w:val="Strong"/>
          <w:rFonts w:ascii="Verdana" w:hAnsi="Verdana"/>
          <w:b w:val="0"/>
          <w:i/>
          <w:color w:val="000000"/>
          <w:sz w:val="16"/>
          <w:szCs w:val="16"/>
          <w:shd w:val="clear" w:color="auto" w:fill="FFFFFF"/>
        </w:rPr>
        <w:t xml:space="preserve"> Vs. Paraguay. Fondo, Reparaciones y Costas.</w:t>
      </w:r>
      <w:r w:rsidRPr="006431C8">
        <w:rPr>
          <w:rStyle w:val="Strong"/>
          <w:rFonts w:ascii="Verdana" w:hAnsi="Verdana"/>
          <w:b w:val="0"/>
          <w:color w:val="000000"/>
          <w:sz w:val="16"/>
          <w:szCs w:val="16"/>
          <w:shd w:val="clear" w:color="auto" w:fill="FFFFFF"/>
        </w:rPr>
        <w:t xml:space="preserve"> Sentencia de 29 de marzo de 2006. Serie C No. 146, párrs. 188 a 190 y 194.</w:t>
      </w:r>
    </w:p>
  </w:footnote>
  <w:footnote w:id="2">
    <w:p w14:paraId="3DD1F644" w14:textId="5A0F0BEB" w:rsidR="005E1711" w:rsidRPr="00120F47" w:rsidRDefault="005E1711" w:rsidP="00120F47">
      <w:pPr>
        <w:spacing w:after="0" w:line="240" w:lineRule="auto"/>
        <w:jc w:val="both"/>
        <w:rPr>
          <w:rFonts w:ascii="Verdana" w:hAnsi="Verdana"/>
          <w:bCs/>
          <w:color w:val="000000"/>
          <w:sz w:val="16"/>
          <w:szCs w:val="16"/>
          <w:shd w:val="clear" w:color="auto" w:fill="FFFFFF"/>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r>
      <w:r w:rsidRPr="006431C8">
        <w:rPr>
          <w:rStyle w:val="Strong"/>
          <w:rFonts w:ascii="Verdana" w:hAnsi="Verdana"/>
          <w:b w:val="0"/>
          <w:i/>
          <w:color w:val="000000"/>
          <w:sz w:val="16"/>
          <w:szCs w:val="16"/>
          <w:shd w:val="clear" w:color="auto" w:fill="FFFFFF"/>
        </w:rPr>
        <w:t xml:space="preserve">Caso de las Niñas </w:t>
      </w:r>
      <w:proofErr w:type="spellStart"/>
      <w:r w:rsidRPr="006431C8">
        <w:rPr>
          <w:rStyle w:val="Strong"/>
          <w:rFonts w:ascii="Verdana" w:hAnsi="Verdana"/>
          <w:b w:val="0"/>
          <w:i/>
          <w:color w:val="000000"/>
          <w:sz w:val="16"/>
          <w:szCs w:val="16"/>
          <w:shd w:val="clear" w:color="auto" w:fill="FFFFFF"/>
        </w:rPr>
        <w:t>Yean</w:t>
      </w:r>
      <w:proofErr w:type="spellEnd"/>
      <w:r w:rsidRPr="006431C8">
        <w:rPr>
          <w:rStyle w:val="Strong"/>
          <w:rFonts w:ascii="Verdana" w:hAnsi="Verdana"/>
          <w:b w:val="0"/>
          <w:i/>
          <w:color w:val="000000"/>
          <w:sz w:val="16"/>
          <w:szCs w:val="16"/>
          <w:shd w:val="clear" w:color="auto" w:fill="FFFFFF"/>
        </w:rPr>
        <w:t xml:space="preserve"> y </w:t>
      </w:r>
      <w:proofErr w:type="spellStart"/>
      <w:r w:rsidRPr="006431C8">
        <w:rPr>
          <w:rStyle w:val="Strong"/>
          <w:rFonts w:ascii="Verdana" w:hAnsi="Verdana"/>
          <w:b w:val="0"/>
          <w:i/>
          <w:color w:val="000000"/>
          <w:sz w:val="16"/>
          <w:szCs w:val="16"/>
          <w:shd w:val="clear" w:color="auto" w:fill="FFFFFF"/>
        </w:rPr>
        <w:t>Bosico</w:t>
      </w:r>
      <w:proofErr w:type="spellEnd"/>
      <w:r w:rsidRPr="006431C8">
        <w:rPr>
          <w:rStyle w:val="Strong"/>
          <w:rFonts w:ascii="Verdana" w:hAnsi="Verdana"/>
          <w:b w:val="0"/>
          <w:i/>
          <w:color w:val="000000"/>
          <w:sz w:val="16"/>
          <w:szCs w:val="16"/>
          <w:shd w:val="clear" w:color="auto" w:fill="FFFFFF"/>
        </w:rPr>
        <w:t xml:space="preserve"> Vs. República Dominicana. Excepciones Preliminares, Fondo, Reparaciones y Costas</w:t>
      </w:r>
      <w:r w:rsidRPr="006431C8">
        <w:rPr>
          <w:rStyle w:val="Strong"/>
          <w:rFonts w:ascii="Verdana" w:hAnsi="Verdana"/>
          <w:b w:val="0"/>
          <w:color w:val="000000"/>
          <w:sz w:val="16"/>
          <w:szCs w:val="16"/>
          <w:shd w:val="clear" w:color="auto" w:fill="FFFFFF"/>
        </w:rPr>
        <w:t xml:space="preserve">. Sentencia de 8 de septiembre de 2005. Serie C No. 130, párrs. 178 a 180, y </w:t>
      </w:r>
      <w:r w:rsidRPr="006431C8">
        <w:rPr>
          <w:rStyle w:val="Strong"/>
          <w:rFonts w:ascii="Verdana" w:hAnsi="Verdana"/>
          <w:b w:val="0"/>
          <w:i/>
          <w:color w:val="000000"/>
          <w:sz w:val="16"/>
          <w:szCs w:val="16"/>
          <w:shd w:val="clear" w:color="auto" w:fill="FFFFFF"/>
        </w:rPr>
        <w:t>Caso de personas dominicanas y haitianas expulsadas Vs. República Dominicana. Excepciones Preliminares, Fondo, Reparaciones y Costas.</w:t>
      </w:r>
      <w:r w:rsidRPr="006431C8">
        <w:rPr>
          <w:rStyle w:val="Strong"/>
          <w:rFonts w:ascii="Verdana" w:hAnsi="Verdana"/>
          <w:b w:val="0"/>
          <w:color w:val="000000"/>
          <w:sz w:val="16"/>
          <w:szCs w:val="16"/>
          <w:shd w:val="clear" w:color="auto" w:fill="FFFFFF"/>
        </w:rPr>
        <w:t xml:space="preserve"> Sentencia de 28 de agosto de 2014. Serie C No. 282, párrs. 265 a 268.</w:t>
      </w:r>
    </w:p>
  </w:footnote>
  <w:footnote w:id="3">
    <w:p w14:paraId="01AF315E" w14:textId="2490F994" w:rsidR="005E1711" w:rsidRPr="00120F47" w:rsidRDefault="005E1711" w:rsidP="00120F47">
      <w:pPr>
        <w:pStyle w:val="FootnoteText"/>
        <w:jc w:val="both"/>
        <w:rPr>
          <w:lang w:val="es-CR"/>
        </w:rPr>
      </w:pPr>
      <w:r>
        <w:rPr>
          <w:rStyle w:val="FootnoteReference"/>
        </w:rPr>
        <w:footnoteRef/>
      </w:r>
      <w:r>
        <w:t xml:space="preserve"> </w:t>
      </w:r>
      <w:r>
        <w:rPr>
          <w:lang w:val="es-CR"/>
        </w:rPr>
        <w:tab/>
      </w:r>
      <w:r w:rsidRPr="00120F47">
        <w:rPr>
          <w:rStyle w:val="Strong"/>
          <w:rFonts w:ascii="Verdana" w:hAnsi="Verdana"/>
          <w:b w:val="0"/>
          <w:i/>
          <w:color w:val="000000"/>
          <w:sz w:val="16"/>
          <w:szCs w:val="16"/>
          <w:shd w:val="clear" w:color="auto" w:fill="FFFFFF"/>
        </w:rPr>
        <w:t xml:space="preserve">Caso </w:t>
      </w:r>
      <w:proofErr w:type="spellStart"/>
      <w:r w:rsidRPr="00120F47">
        <w:rPr>
          <w:rStyle w:val="Strong"/>
          <w:rFonts w:ascii="Verdana" w:hAnsi="Verdana"/>
          <w:b w:val="0"/>
          <w:i/>
          <w:color w:val="000000"/>
          <w:sz w:val="16"/>
          <w:szCs w:val="16"/>
          <w:shd w:val="clear" w:color="auto" w:fill="FFFFFF"/>
        </w:rPr>
        <w:t>Anzualdo</w:t>
      </w:r>
      <w:proofErr w:type="spellEnd"/>
      <w:r w:rsidRPr="00120F47">
        <w:rPr>
          <w:rStyle w:val="Strong"/>
          <w:rFonts w:ascii="Verdana" w:hAnsi="Verdana"/>
          <w:b w:val="0"/>
          <w:i/>
          <w:color w:val="000000"/>
          <w:sz w:val="16"/>
          <w:szCs w:val="16"/>
          <w:shd w:val="clear" w:color="auto" w:fill="FFFFFF"/>
        </w:rPr>
        <w:t xml:space="preserve"> Castro Vs. Perú. Excepción Preliminar, Fondo, Reparaciones y Costas. </w:t>
      </w:r>
      <w:r w:rsidRPr="00120F47">
        <w:rPr>
          <w:rStyle w:val="Strong"/>
          <w:rFonts w:ascii="Verdana" w:hAnsi="Verdana"/>
          <w:b w:val="0"/>
          <w:color w:val="000000"/>
          <w:sz w:val="16"/>
          <w:szCs w:val="16"/>
          <w:shd w:val="clear" w:color="auto" w:fill="FFFFFF"/>
        </w:rPr>
        <w:t>Sentencia de 22 de Septiembre de 2009. Serie C No. 202, párrs. 87 a 91, y 101.</w:t>
      </w:r>
    </w:p>
  </w:footnote>
  <w:footnote w:id="4">
    <w:p w14:paraId="3DD1F645" w14:textId="1DDB2E89" w:rsidR="005E1711" w:rsidRPr="006431C8" w:rsidRDefault="005E1711">
      <w:pPr>
        <w:pStyle w:val="FootnoteText"/>
        <w:jc w:val="both"/>
        <w:rPr>
          <w:rFonts w:ascii="Verdana" w:hAnsi="Verdana" w:cs="Times New Roman"/>
          <w:sz w:val="16"/>
          <w:szCs w:val="16"/>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t>Considero preferible reservar el uso de la expresión “</w:t>
      </w:r>
      <w:r w:rsidRPr="006431C8">
        <w:rPr>
          <w:rFonts w:ascii="Verdana" w:hAnsi="Verdana" w:cs="Times New Roman"/>
          <w:i/>
          <w:sz w:val="16"/>
          <w:szCs w:val="16"/>
        </w:rPr>
        <w:t>personalidad</w:t>
      </w:r>
      <w:r w:rsidRPr="006431C8">
        <w:rPr>
          <w:rFonts w:ascii="Verdana" w:hAnsi="Verdana" w:cs="Times New Roman"/>
          <w:sz w:val="16"/>
          <w:szCs w:val="16"/>
        </w:rPr>
        <w:t xml:space="preserve"> jurídica” para las situaciones abarcadas por el artículo 3 de la Convención (derecho de todo ser humano al reconocimiento de su personalidad jurídica), y en cambio hablar de “</w:t>
      </w:r>
      <w:r w:rsidRPr="006431C8">
        <w:rPr>
          <w:rFonts w:ascii="Verdana" w:hAnsi="Verdana" w:cs="Times New Roman"/>
          <w:i/>
          <w:sz w:val="16"/>
          <w:szCs w:val="16"/>
        </w:rPr>
        <w:t>personería</w:t>
      </w:r>
      <w:r w:rsidRPr="006431C8">
        <w:rPr>
          <w:rFonts w:ascii="Verdana" w:hAnsi="Verdana" w:cs="Times New Roman"/>
          <w:sz w:val="16"/>
          <w:szCs w:val="16"/>
        </w:rPr>
        <w:t xml:space="preserve"> jurídica” para los casos en que se atribuye la calidad de sujeto de derechos y obligaciones a un grupo, comunidad o pueblo.</w:t>
      </w:r>
    </w:p>
  </w:footnote>
  <w:footnote w:id="5">
    <w:p w14:paraId="3DD1F646" w14:textId="581E9E06" w:rsidR="005E1711" w:rsidRPr="00120F47" w:rsidRDefault="005E1711" w:rsidP="00120F47">
      <w:pPr>
        <w:spacing w:after="0" w:line="240" w:lineRule="auto"/>
        <w:jc w:val="both"/>
        <w:rPr>
          <w:rFonts w:ascii="Verdana" w:hAnsi="Verdana"/>
          <w:bCs/>
          <w:color w:val="000000"/>
          <w:sz w:val="16"/>
          <w:szCs w:val="16"/>
          <w:shd w:val="clear" w:color="auto" w:fill="FFFFFF"/>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r>
      <w:r w:rsidRPr="006431C8">
        <w:rPr>
          <w:rStyle w:val="Strong"/>
          <w:rFonts w:ascii="Verdana" w:hAnsi="Verdana"/>
          <w:b w:val="0"/>
          <w:i/>
          <w:color w:val="000000"/>
          <w:sz w:val="16"/>
          <w:szCs w:val="16"/>
          <w:shd w:val="clear" w:color="auto" w:fill="FFFFFF"/>
        </w:rPr>
        <w:t xml:space="preserve">Caso del Pueblo </w:t>
      </w:r>
      <w:proofErr w:type="spellStart"/>
      <w:r w:rsidRPr="006431C8">
        <w:rPr>
          <w:rStyle w:val="Strong"/>
          <w:rFonts w:ascii="Verdana" w:hAnsi="Verdana"/>
          <w:b w:val="0"/>
          <w:i/>
          <w:color w:val="000000"/>
          <w:sz w:val="16"/>
          <w:szCs w:val="16"/>
          <w:shd w:val="clear" w:color="auto" w:fill="FFFFFF"/>
        </w:rPr>
        <w:t>Saramaka</w:t>
      </w:r>
      <w:proofErr w:type="spellEnd"/>
      <w:r w:rsidRPr="006431C8">
        <w:rPr>
          <w:rStyle w:val="Strong"/>
          <w:rFonts w:ascii="Verdana" w:hAnsi="Verdana"/>
          <w:b w:val="0"/>
          <w:i/>
          <w:color w:val="000000"/>
          <w:sz w:val="16"/>
          <w:szCs w:val="16"/>
          <w:shd w:val="clear" w:color="auto" w:fill="FFFFFF"/>
        </w:rPr>
        <w:t>. Vs. Surinam. Excepciones Preliminares, Fondo, Reparaciones y Costas.</w:t>
      </w:r>
      <w:r w:rsidRPr="006431C8">
        <w:rPr>
          <w:rStyle w:val="Strong"/>
          <w:rFonts w:ascii="Verdana" w:hAnsi="Verdana"/>
          <w:b w:val="0"/>
          <w:color w:val="000000"/>
          <w:sz w:val="16"/>
          <w:szCs w:val="16"/>
          <w:shd w:val="clear" w:color="auto" w:fill="FFFFFF"/>
        </w:rPr>
        <w:t xml:space="preserve"> Sentencia de 28 de noviembre de 2007. Serie C No. 172, párrs. 171 y 172.</w:t>
      </w:r>
    </w:p>
  </w:footnote>
  <w:footnote w:id="6">
    <w:p w14:paraId="3DD1F647" w14:textId="29A12ABE" w:rsidR="005E1711" w:rsidRPr="006431C8" w:rsidRDefault="005E1711">
      <w:pPr>
        <w:pStyle w:val="FootnoteText"/>
        <w:jc w:val="both"/>
        <w:rPr>
          <w:rFonts w:ascii="Verdana" w:hAnsi="Verdana" w:cs="Times New Roman"/>
          <w:sz w:val="16"/>
          <w:szCs w:val="16"/>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t xml:space="preserve">En el caso del Pueblo </w:t>
      </w:r>
      <w:proofErr w:type="spellStart"/>
      <w:r w:rsidRPr="006431C8">
        <w:rPr>
          <w:rFonts w:ascii="Verdana" w:hAnsi="Verdana" w:cs="Times New Roman"/>
          <w:sz w:val="16"/>
          <w:szCs w:val="16"/>
        </w:rPr>
        <w:t>Saramaka</w:t>
      </w:r>
      <w:proofErr w:type="spellEnd"/>
      <w:r w:rsidRPr="006431C8">
        <w:rPr>
          <w:rFonts w:ascii="Verdana" w:hAnsi="Verdana" w:cs="Times New Roman"/>
          <w:sz w:val="16"/>
          <w:szCs w:val="16"/>
        </w:rPr>
        <w:t xml:space="preserve">, incongruentemente, se terminó declarando “la violación del derecho de los miembros del pueblo </w:t>
      </w:r>
      <w:proofErr w:type="spellStart"/>
      <w:r w:rsidRPr="006431C8">
        <w:rPr>
          <w:rFonts w:ascii="Verdana" w:hAnsi="Verdana" w:cs="Times New Roman"/>
          <w:sz w:val="16"/>
          <w:szCs w:val="16"/>
        </w:rPr>
        <w:t>Saramaka</w:t>
      </w:r>
      <w:proofErr w:type="spellEnd"/>
      <w:r w:rsidRPr="006431C8">
        <w:rPr>
          <w:rFonts w:ascii="Verdana" w:hAnsi="Verdana" w:cs="Times New Roman"/>
          <w:sz w:val="16"/>
          <w:szCs w:val="16"/>
        </w:rPr>
        <w:t xml:space="preserve"> al reconocimiento de su personalidad jurídica conforme al artículo 3 de la Convención en relación con su derecho a la propiedad de acuerdo con el artículo 21 de dicho instrumento y el derecho a la protección judicial conforme al artículo 25 del mismo cuerpo legal, así como respecto de la obligación general de los Estados de adoptar las medidas legislativas o de otra índole que sean necesarias para hacer efectivo esos derechos y respetar y asegurar su libre y pleno ejercicio sin discriminación, de conformidad con los artículos 2 y 1.1 de la Convención, respectivamente”. Fue una clara inconsecuencia en la que no debe volver a incurrir la Corte.</w:t>
      </w:r>
    </w:p>
  </w:footnote>
  <w:footnote w:id="7">
    <w:p w14:paraId="3DD1F648" w14:textId="26F17758" w:rsidR="005E1711" w:rsidRPr="00120F47" w:rsidRDefault="005E1711" w:rsidP="00120F47">
      <w:pPr>
        <w:spacing w:after="0" w:line="240" w:lineRule="auto"/>
        <w:jc w:val="both"/>
        <w:rPr>
          <w:rFonts w:ascii="Verdana" w:hAnsi="Verdana"/>
          <w:bCs/>
          <w:color w:val="000000"/>
          <w:sz w:val="16"/>
          <w:szCs w:val="16"/>
          <w:shd w:val="clear" w:color="auto" w:fill="FFFFFF"/>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r>
      <w:r w:rsidRPr="006431C8">
        <w:rPr>
          <w:rStyle w:val="Strong"/>
          <w:rFonts w:ascii="Verdana" w:hAnsi="Verdana"/>
          <w:b w:val="0"/>
          <w:i/>
          <w:color w:val="000000"/>
          <w:sz w:val="16"/>
          <w:szCs w:val="16"/>
          <w:shd w:val="clear" w:color="auto" w:fill="FFFFFF"/>
        </w:rPr>
        <w:t xml:space="preserve">Caso Pueblo Indígena </w:t>
      </w:r>
      <w:proofErr w:type="spellStart"/>
      <w:r w:rsidRPr="006431C8">
        <w:rPr>
          <w:rStyle w:val="Strong"/>
          <w:rFonts w:ascii="Verdana" w:hAnsi="Verdana"/>
          <w:b w:val="0"/>
          <w:i/>
          <w:color w:val="000000"/>
          <w:sz w:val="16"/>
          <w:szCs w:val="16"/>
          <w:shd w:val="clear" w:color="auto" w:fill="FFFFFF"/>
        </w:rPr>
        <w:t>Kichwa</w:t>
      </w:r>
      <w:proofErr w:type="spellEnd"/>
      <w:r w:rsidRPr="006431C8">
        <w:rPr>
          <w:rStyle w:val="Strong"/>
          <w:rFonts w:ascii="Verdana" w:hAnsi="Verdana"/>
          <w:b w:val="0"/>
          <w:i/>
          <w:color w:val="000000"/>
          <w:sz w:val="16"/>
          <w:szCs w:val="16"/>
          <w:shd w:val="clear" w:color="auto" w:fill="FFFFFF"/>
        </w:rPr>
        <w:t xml:space="preserve"> de </w:t>
      </w:r>
      <w:proofErr w:type="spellStart"/>
      <w:r w:rsidRPr="006431C8">
        <w:rPr>
          <w:rStyle w:val="Strong"/>
          <w:rFonts w:ascii="Verdana" w:hAnsi="Verdana"/>
          <w:b w:val="0"/>
          <w:i/>
          <w:color w:val="000000"/>
          <w:sz w:val="16"/>
          <w:szCs w:val="16"/>
          <w:shd w:val="clear" w:color="auto" w:fill="FFFFFF"/>
        </w:rPr>
        <w:t>Sarayaku</w:t>
      </w:r>
      <w:proofErr w:type="spellEnd"/>
      <w:r w:rsidRPr="006431C8">
        <w:rPr>
          <w:rStyle w:val="Strong"/>
          <w:rFonts w:ascii="Verdana" w:hAnsi="Verdana"/>
          <w:b w:val="0"/>
          <w:i/>
          <w:color w:val="000000"/>
          <w:sz w:val="16"/>
          <w:szCs w:val="16"/>
          <w:shd w:val="clear" w:color="auto" w:fill="FFFFFF"/>
        </w:rPr>
        <w:t xml:space="preserve"> Vs. Ecuador. Fondo y Reparaciones.</w:t>
      </w:r>
      <w:r w:rsidRPr="006431C8">
        <w:rPr>
          <w:rStyle w:val="Strong"/>
          <w:rFonts w:ascii="Verdana" w:hAnsi="Verdana"/>
          <w:b w:val="0"/>
          <w:color w:val="000000"/>
          <w:sz w:val="16"/>
          <w:szCs w:val="16"/>
          <w:shd w:val="clear" w:color="auto" w:fill="FFFFFF"/>
        </w:rPr>
        <w:t xml:space="preserve"> Sentencia de 27 de junio de 2012. Serie C No. 245, párr. 230.</w:t>
      </w:r>
    </w:p>
  </w:footnote>
  <w:footnote w:id="8">
    <w:p w14:paraId="3DD1F649" w14:textId="1610D58C" w:rsidR="005E1711" w:rsidRPr="006431C8" w:rsidRDefault="005E1711" w:rsidP="00120F47">
      <w:pPr>
        <w:spacing w:after="0" w:line="240" w:lineRule="auto"/>
        <w:jc w:val="both"/>
        <w:rPr>
          <w:rFonts w:ascii="Verdana" w:hAnsi="Verdana"/>
          <w:sz w:val="16"/>
          <w:szCs w:val="16"/>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r>
      <w:r w:rsidRPr="006431C8">
        <w:rPr>
          <w:rStyle w:val="Strong"/>
          <w:rFonts w:ascii="Verdana" w:hAnsi="Verdana"/>
          <w:b w:val="0"/>
          <w:i/>
          <w:color w:val="000000"/>
          <w:sz w:val="16"/>
          <w:szCs w:val="16"/>
          <w:shd w:val="clear" w:color="auto" w:fill="FFFFFF"/>
        </w:rPr>
        <w:t xml:space="preserve">Caso Pueblos </w:t>
      </w:r>
      <w:proofErr w:type="spellStart"/>
      <w:r w:rsidRPr="006431C8">
        <w:rPr>
          <w:rStyle w:val="Strong"/>
          <w:rFonts w:ascii="Verdana" w:hAnsi="Verdana"/>
          <w:b w:val="0"/>
          <w:i/>
          <w:color w:val="000000"/>
          <w:sz w:val="16"/>
          <w:szCs w:val="16"/>
          <w:shd w:val="clear" w:color="auto" w:fill="FFFFFF"/>
        </w:rPr>
        <w:t>Kaliña</w:t>
      </w:r>
      <w:proofErr w:type="spellEnd"/>
      <w:r w:rsidRPr="006431C8">
        <w:rPr>
          <w:rStyle w:val="Strong"/>
          <w:rFonts w:ascii="Verdana" w:hAnsi="Verdana"/>
          <w:b w:val="0"/>
          <w:i/>
          <w:color w:val="000000"/>
          <w:sz w:val="16"/>
          <w:szCs w:val="16"/>
          <w:shd w:val="clear" w:color="auto" w:fill="FFFFFF"/>
        </w:rPr>
        <w:t xml:space="preserve"> y </w:t>
      </w:r>
      <w:proofErr w:type="spellStart"/>
      <w:r w:rsidRPr="006431C8">
        <w:rPr>
          <w:rStyle w:val="Strong"/>
          <w:rFonts w:ascii="Verdana" w:hAnsi="Verdana"/>
          <w:b w:val="0"/>
          <w:i/>
          <w:color w:val="000000"/>
          <w:sz w:val="16"/>
          <w:szCs w:val="16"/>
          <w:shd w:val="clear" w:color="auto" w:fill="FFFFFF"/>
        </w:rPr>
        <w:t>Lokono</w:t>
      </w:r>
      <w:proofErr w:type="spellEnd"/>
      <w:r w:rsidRPr="006431C8">
        <w:rPr>
          <w:rStyle w:val="Strong"/>
          <w:rFonts w:ascii="Verdana" w:hAnsi="Verdana"/>
          <w:b w:val="0"/>
          <w:i/>
          <w:color w:val="000000"/>
          <w:sz w:val="16"/>
          <w:szCs w:val="16"/>
          <w:shd w:val="clear" w:color="auto" w:fill="FFFFFF"/>
        </w:rPr>
        <w:t xml:space="preserve"> Vs. Suriname. Fondo, Reparaciones y Costas.</w:t>
      </w:r>
      <w:r w:rsidRPr="006431C8">
        <w:rPr>
          <w:rStyle w:val="Strong"/>
          <w:rFonts w:ascii="Verdana" w:hAnsi="Verdana"/>
          <w:b w:val="0"/>
          <w:color w:val="000000"/>
          <w:sz w:val="16"/>
          <w:szCs w:val="16"/>
          <w:shd w:val="clear" w:color="auto" w:fill="FFFFFF"/>
        </w:rPr>
        <w:t xml:space="preserve"> Sentencia de 25 de noviembre de 2015</w:t>
      </w:r>
      <w:r w:rsidR="00D35F31">
        <w:rPr>
          <w:rStyle w:val="Strong"/>
          <w:rFonts w:ascii="Verdana" w:hAnsi="Verdana"/>
          <w:b w:val="0"/>
          <w:color w:val="000000"/>
          <w:sz w:val="16"/>
          <w:szCs w:val="16"/>
          <w:shd w:val="clear" w:color="auto" w:fill="FFFFFF"/>
        </w:rPr>
        <w:t>,</w:t>
      </w:r>
      <w:r w:rsidRPr="006431C8">
        <w:rPr>
          <w:rStyle w:val="Strong"/>
          <w:rFonts w:ascii="Verdana" w:hAnsi="Verdana"/>
          <w:b w:val="0"/>
          <w:color w:val="000000"/>
          <w:sz w:val="16"/>
          <w:szCs w:val="16"/>
          <w:shd w:val="clear" w:color="auto" w:fill="FFFFFF"/>
        </w:rPr>
        <w:t xml:space="preserve"> párr. 259.</w:t>
      </w:r>
    </w:p>
  </w:footnote>
  <w:footnote w:id="9">
    <w:p w14:paraId="6A7D8B00" w14:textId="6AC1AE9F" w:rsidR="005E1711" w:rsidRPr="00120F47" w:rsidRDefault="005E1711" w:rsidP="00120F47">
      <w:pPr>
        <w:pStyle w:val="FootnoteText"/>
        <w:jc w:val="both"/>
        <w:rPr>
          <w:rFonts w:ascii="Verdana" w:hAnsi="Verdana"/>
          <w:sz w:val="16"/>
          <w:szCs w:val="16"/>
        </w:rPr>
      </w:pPr>
      <w:r w:rsidRPr="00120F47">
        <w:rPr>
          <w:rStyle w:val="FootnoteReference"/>
          <w:rFonts w:ascii="Verdana" w:hAnsi="Verdana"/>
          <w:sz w:val="16"/>
          <w:szCs w:val="16"/>
        </w:rPr>
        <w:footnoteRef/>
      </w:r>
      <w:r w:rsidRPr="00120F47">
        <w:rPr>
          <w:rFonts w:ascii="Verdana" w:hAnsi="Verdana"/>
          <w:sz w:val="16"/>
          <w:szCs w:val="16"/>
        </w:rPr>
        <w:t xml:space="preserve"> </w:t>
      </w:r>
      <w:r w:rsidRPr="00120F47">
        <w:rPr>
          <w:rFonts w:ascii="Verdana" w:hAnsi="Verdana"/>
          <w:sz w:val="16"/>
          <w:szCs w:val="16"/>
        </w:rPr>
        <w:tab/>
      </w:r>
      <w:r w:rsidRPr="006431C8">
        <w:rPr>
          <w:rStyle w:val="Strong"/>
          <w:rFonts w:ascii="Verdana" w:hAnsi="Verdana"/>
          <w:b w:val="0"/>
          <w:i/>
          <w:color w:val="000000"/>
          <w:sz w:val="16"/>
          <w:szCs w:val="16"/>
          <w:shd w:val="clear" w:color="auto" w:fill="FFFFFF"/>
        </w:rPr>
        <w:t xml:space="preserve">Caso Pueblos </w:t>
      </w:r>
      <w:proofErr w:type="spellStart"/>
      <w:r w:rsidRPr="006431C8">
        <w:rPr>
          <w:rStyle w:val="Strong"/>
          <w:rFonts w:ascii="Verdana" w:hAnsi="Verdana"/>
          <w:b w:val="0"/>
          <w:i/>
          <w:color w:val="000000"/>
          <w:sz w:val="16"/>
          <w:szCs w:val="16"/>
          <w:shd w:val="clear" w:color="auto" w:fill="FFFFFF"/>
        </w:rPr>
        <w:t>Kaliña</w:t>
      </w:r>
      <w:proofErr w:type="spellEnd"/>
      <w:r w:rsidRPr="006431C8">
        <w:rPr>
          <w:rStyle w:val="Strong"/>
          <w:rFonts w:ascii="Verdana" w:hAnsi="Verdana"/>
          <w:b w:val="0"/>
          <w:i/>
          <w:color w:val="000000"/>
          <w:sz w:val="16"/>
          <w:szCs w:val="16"/>
          <w:shd w:val="clear" w:color="auto" w:fill="FFFFFF"/>
        </w:rPr>
        <w:t xml:space="preserve"> y </w:t>
      </w:r>
      <w:proofErr w:type="spellStart"/>
      <w:r w:rsidRPr="006431C8">
        <w:rPr>
          <w:rStyle w:val="Strong"/>
          <w:rFonts w:ascii="Verdana" w:hAnsi="Verdana"/>
          <w:b w:val="0"/>
          <w:i/>
          <w:color w:val="000000"/>
          <w:sz w:val="16"/>
          <w:szCs w:val="16"/>
          <w:shd w:val="clear" w:color="auto" w:fill="FFFFFF"/>
        </w:rPr>
        <w:t>Lokono</w:t>
      </w:r>
      <w:proofErr w:type="spellEnd"/>
      <w:r w:rsidRPr="006431C8">
        <w:rPr>
          <w:rStyle w:val="Strong"/>
          <w:rFonts w:ascii="Verdana" w:hAnsi="Verdana"/>
          <w:b w:val="0"/>
          <w:i/>
          <w:color w:val="000000"/>
          <w:sz w:val="16"/>
          <w:szCs w:val="16"/>
          <w:shd w:val="clear" w:color="auto" w:fill="FFFFFF"/>
        </w:rPr>
        <w:t xml:space="preserve"> Vs. Suriname, supra</w:t>
      </w:r>
      <w:r w:rsidRPr="00120F47">
        <w:rPr>
          <w:rStyle w:val="Strong"/>
          <w:rFonts w:ascii="Verdana" w:hAnsi="Verdana"/>
          <w:b w:val="0"/>
          <w:color w:val="000000"/>
          <w:sz w:val="16"/>
          <w:szCs w:val="16"/>
          <w:shd w:val="clear" w:color="auto" w:fill="FFFFFF"/>
        </w:rPr>
        <w:t>, párr. 260.</w:t>
      </w:r>
    </w:p>
  </w:footnote>
  <w:footnote w:id="10">
    <w:p w14:paraId="3DD1F64A" w14:textId="32281877" w:rsidR="005E1711" w:rsidRPr="00120F47" w:rsidRDefault="005E1711" w:rsidP="006431C8">
      <w:pPr>
        <w:pStyle w:val="FootnoteText"/>
        <w:jc w:val="both"/>
        <w:rPr>
          <w:rFonts w:ascii="Verdana" w:hAnsi="Verdana" w:cs="Times New Roman"/>
          <w:sz w:val="16"/>
          <w:szCs w:val="16"/>
          <w:lang w:val="es-CR"/>
        </w:rPr>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r>
      <w:r w:rsidRPr="006431C8">
        <w:rPr>
          <w:rStyle w:val="Strong"/>
          <w:rFonts w:ascii="Verdana" w:hAnsi="Verdana"/>
          <w:b w:val="0"/>
          <w:i/>
          <w:color w:val="000000"/>
          <w:sz w:val="16"/>
          <w:szCs w:val="16"/>
          <w:shd w:val="clear" w:color="auto" w:fill="FFFFFF"/>
        </w:rPr>
        <w:t xml:space="preserve">Caso Pueblos </w:t>
      </w:r>
      <w:proofErr w:type="spellStart"/>
      <w:r w:rsidRPr="006431C8">
        <w:rPr>
          <w:rStyle w:val="Strong"/>
          <w:rFonts w:ascii="Verdana" w:hAnsi="Verdana"/>
          <w:b w:val="0"/>
          <w:i/>
          <w:color w:val="000000"/>
          <w:sz w:val="16"/>
          <w:szCs w:val="16"/>
          <w:shd w:val="clear" w:color="auto" w:fill="FFFFFF"/>
        </w:rPr>
        <w:t>Kaliña</w:t>
      </w:r>
      <w:proofErr w:type="spellEnd"/>
      <w:r w:rsidRPr="006431C8">
        <w:rPr>
          <w:rStyle w:val="Strong"/>
          <w:rFonts w:ascii="Verdana" w:hAnsi="Verdana"/>
          <w:b w:val="0"/>
          <w:i/>
          <w:color w:val="000000"/>
          <w:sz w:val="16"/>
          <w:szCs w:val="16"/>
          <w:shd w:val="clear" w:color="auto" w:fill="FFFFFF"/>
        </w:rPr>
        <w:t xml:space="preserve"> y </w:t>
      </w:r>
      <w:proofErr w:type="spellStart"/>
      <w:r w:rsidRPr="006431C8">
        <w:rPr>
          <w:rStyle w:val="Strong"/>
          <w:rFonts w:ascii="Verdana" w:hAnsi="Verdana"/>
          <w:b w:val="0"/>
          <w:i/>
          <w:color w:val="000000"/>
          <w:sz w:val="16"/>
          <w:szCs w:val="16"/>
          <w:shd w:val="clear" w:color="auto" w:fill="FFFFFF"/>
        </w:rPr>
        <w:t>Lokono</w:t>
      </w:r>
      <w:proofErr w:type="spellEnd"/>
      <w:r w:rsidRPr="006431C8">
        <w:rPr>
          <w:rStyle w:val="Strong"/>
          <w:rFonts w:ascii="Verdana" w:hAnsi="Verdana"/>
          <w:b w:val="0"/>
          <w:i/>
          <w:color w:val="000000"/>
          <w:sz w:val="16"/>
          <w:szCs w:val="16"/>
          <w:shd w:val="clear" w:color="auto" w:fill="FFFFFF"/>
        </w:rPr>
        <w:t xml:space="preserve"> Vs. </w:t>
      </w:r>
      <w:r w:rsidRPr="00120F47">
        <w:rPr>
          <w:rStyle w:val="Strong"/>
          <w:rFonts w:ascii="Verdana" w:hAnsi="Verdana"/>
          <w:b w:val="0"/>
          <w:i/>
          <w:color w:val="000000"/>
          <w:sz w:val="16"/>
          <w:szCs w:val="16"/>
          <w:shd w:val="clear" w:color="auto" w:fill="FFFFFF"/>
          <w:lang w:val="es-CR"/>
        </w:rPr>
        <w:t>Suriname, supra</w:t>
      </w:r>
      <w:r w:rsidRPr="00120F47">
        <w:rPr>
          <w:rStyle w:val="Strong"/>
          <w:rFonts w:ascii="Verdana" w:hAnsi="Verdana"/>
          <w:b w:val="0"/>
          <w:color w:val="000000"/>
          <w:sz w:val="16"/>
          <w:szCs w:val="16"/>
          <w:shd w:val="clear" w:color="auto" w:fill="FFFFFF"/>
          <w:lang w:val="es-CR"/>
        </w:rPr>
        <w:t>, párr. 263.</w:t>
      </w:r>
    </w:p>
  </w:footnote>
  <w:footnote w:id="11">
    <w:p w14:paraId="5A053970" w14:textId="1334C723" w:rsidR="005E1711" w:rsidRPr="00880A93" w:rsidRDefault="005E1711" w:rsidP="00880A93">
      <w:pPr>
        <w:pStyle w:val="FootnoteText"/>
        <w:jc w:val="both"/>
        <w:rPr>
          <w:rFonts w:ascii="Verdana" w:hAnsi="Verdana" w:cs="Times New Roman"/>
          <w:sz w:val="16"/>
          <w:szCs w:val="16"/>
        </w:rPr>
      </w:pPr>
      <w:r>
        <w:rPr>
          <w:rStyle w:val="FootnoteReference"/>
        </w:rPr>
        <w:footnoteRef/>
      </w:r>
      <w:r>
        <w:t xml:space="preserve"> </w:t>
      </w:r>
      <w:r w:rsidR="00880A93">
        <w:tab/>
      </w:r>
      <w:r w:rsidR="00880A93" w:rsidRPr="006431C8">
        <w:rPr>
          <w:rStyle w:val="Strong"/>
          <w:rFonts w:ascii="Verdana" w:hAnsi="Verdana"/>
          <w:b w:val="0"/>
          <w:i/>
          <w:color w:val="000000"/>
          <w:sz w:val="16"/>
          <w:szCs w:val="16"/>
          <w:shd w:val="clear" w:color="auto" w:fill="FFFFFF"/>
        </w:rPr>
        <w:t xml:space="preserve">Caso Pueblos </w:t>
      </w:r>
      <w:proofErr w:type="spellStart"/>
      <w:r w:rsidR="00880A93" w:rsidRPr="006431C8">
        <w:rPr>
          <w:rStyle w:val="Strong"/>
          <w:rFonts w:ascii="Verdana" w:hAnsi="Verdana"/>
          <w:b w:val="0"/>
          <w:i/>
          <w:color w:val="000000"/>
          <w:sz w:val="16"/>
          <w:szCs w:val="16"/>
          <w:shd w:val="clear" w:color="auto" w:fill="FFFFFF"/>
        </w:rPr>
        <w:t>Kaliña</w:t>
      </w:r>
      <w:proofErr w:type="spellEnd"/>
      <w:r w:rsidR="00880A93" w:rsidRPr="006431C8">
        <w:rPr>
          <w:rStyle w:val="Strong"/>
          <w:rFonts w:ascii="Verdana" w:hAnsi="Verdana"/>
          <w:b w:val="0"/>
          <w:i/>
          <w:color w:val="000000"/>
          <w:sz w:val="16"/>
          <w:szCs w:val="16"/>
          <w:shd w:val="clear" w:color="auto" w:fill="FFFFFF"/>
        </w:rPr>
        <w:t xml:space="preserve"> y </w:t>
      </w:r>
      <w:proofErr w:type="spellStart"/>
      <w:r w:rsidR="00880A93" w:rsidRPr="006431C8">
        <w:rPr>
          <w:rStyle w:val="Strong"/>
          <w:rFonts w:ascii="Verdana" w:hAnsi="Verdana"/>
          <w:b w:val="0"/>
          <w:i/>
          <w:color w:val="000000"/>
          <w:sz w:val="16"/>
          <w:szCs w:val="16"/>
          <w:shd w:val="clear" w:color="auto" w:fill="FFFFFF"/>
        </w:rPr>
        <w:t>Lokono</w:t>
      </w:r>
      <w:proofErr w:type="spellEnd"/>
      <w:r w:rsidR="00880A93" w:rsidRPr="006431C8">
        <w:rPr>
          <w:rStyle w:val="Strong"/>
          <w:rFonts w:ascii="Verdana" w:hAnsi="Verdana"/>
          <w:b w:val="0"/>
          <w:i/>
          <w:color w:val="000000"/>
          <w:sz w:val="16"/>
          <w:szCs w:val="16"/>
          <w:shd w:val="clear" w:color="auto" w:fill="FFFFFF"/>
        </w:rPr>
        <w:t xml:space="preserve"> Vs. </w:t>
      </w:r>
      <w:r w:rsidR="00880A93" w:rsidRPr="00120F47">
        <w:rPr>
          <w:rStyle w:val="Strong"/>
          <w:rFonts w:ascii="Verdana" w:hAnsi="Verdana"/>
          <w:b w:val="0"/>
          <w:i/>
          <w:color w:val="000000"/>
          <w:sz w:val="16"/>
          <w:szCs w:val="16"/>
          <w:shd w:val="clear" w:color="auto" w:fill="FFFFFF"/>
          <w:lang w:val="es-CR"/>
        </w:rPr>
        <w:t>Suriname, supra</w:t>
      </w:r>
      <w:r w:rsidR="00880A93" w:rsidRPr="00120F47">
        <w:rPr>
          <w:rStyle w:val="Strong"/>
          <w:rFonts w:ascii="Verdana" w:hAnsi="Verdana"/>
          <w:b w:val="0"/>
          <w:color w:val="000000"/>
          <w:sz w:val="16"/>
          <w:szCs w:val="16"/>
          <w:shd w:val="clear" w:color="auto" w:fill="FFFFFF"/>
          <w:lang w:val="es-CR"/>
        </w:rPr>
        <w:t>, párr.</w:t>
      </w:r>
      <w:r w:rsidR="00880A93" w:rsidRPr="006431C8">
        <w:rPr>
          <w:rFonts w:ascii="Verdana" w:hAnsi="Verdana" w:cs="Times New Roman"/>
          <w:sz w:val="16"/>
          <w:szCs w:val="16"/>
          <w:lang w:val="es-CR"/>
        </w:rPr>
        <w:t xml:space="preserve"> </w:t>
      </w:r>
      <w:r w:rsidR="00880A93" w:rsidRPr="006431C8">
        <w:rPr>
          <w:rFonts w:ascii="Verdana" w:hAnsi="Verdana" w:cs="Times New Roman"/>
          <w:sz w:val="16"/>
          <w:szCs w:val="16"/>
        </w:rPr>
        <w:t>267.</w:t>
      </w:r>
    </w:p>
  </w:footnote>
  <w:footnote w:id="12">
    <w:p w14:paraId="3DD1F64E" w14:textId="12D7B4AF" w:rsidR="005E1711" w:rsidRDefault="005E1711">
      <w:pPr>
        <w:pStyle w:val="FootnoteText"/>
        <w:jc w:val="both"/>
      </w:pPr>
      <w:r w:rsidRPr="006431C8">
        <w:rPr>
          <w:rStyle w:val="FootnoteReference"/>
          <w:rFonts w:ascii="Verdana" w:hAnsi="Verdana" w:cs="Times New Roman"/>
          <w:sz w:val="16"/>
          <w:szCs w:val="16"/>
        </w:rPr>
        <w:footnoteRef/>
      </w:r>
      <w:r w:rsidRPr="006431C8">
        <w:rPr>
          <w:rFonts w:ascii="Verdana" w:hAnsi="Verdana" w:cs="Times New Roman"/>
          <w:sz w:val="16"/>
          <w:szCs w:val="16"/>
        </w:rPr>
        <w:t xml:space="preserve"> </w:t>
      </w:r>
      <w:r w:rsidRPr="006431C8">
        <w:rPr>
          <w:rFonts w:ascii="Verdana" w:hAnsi="Verdana" w:cs="Times New Roman"/>
          <w:sz w:val="16"/>
          <w:szCs w:val="16"/>
        </w:rPr>
        <w:tab/>
        <w:t xml:space="preserve">“En vista de lo anterior, a la luz de los alegatos de las partes, la Corte constata que las violaciones alegadas se relacionan con cuatro controversias principales: a) la falta de reconocimiento del derecho a la propiedad colectiva y la ausencia de delimitación, demarcación y titulación de las tierras ancestrales de los pueblos indígenas </w:t>
      </w:r>
      <w:proofErr w:type="spellStart"/>
      <w:r w:rsidRPr="006431C8">
        <w:rPr>
          <w:rFonts w:ascii="Verdana" w:hAnsi="Verdana" w:cs="Times New Roman"/>
          <w:sz w:val="16"/>
          <w:szCs w:val="16"/>
        </w:rPr>
        <w:t>Kaliña</w:t>
      </w:r>
      <w:proofErr w:type="spellEnd"/>
      <w:r w:rsidRPr="006431C8">
        <w:rPr>
          <w:rFonts w:ascii="Verdana" w:hAnsi="Verdana" w:cs="Times New Roman"/>
          <w:sz w:val="16"/>
          <w:szCs w:val="16"/>
        </w:rPr>
        <w:t xml:space="preserve"> y </w:t>
      </w:r>
      <w:proofErr w:type="spellStart"/>
      <w:r w:rsidRPr="006431C8">
        <w:rPr>
          <w:rFonts w:ascii="Verdana" w:hAnsi="Verdana" w:cs="Times New Roman"/>
          <w:sz w:val="16"/>
          <w:szCs w:val="16"/>
        </w:rPr>
        <w:t>Lokono</w:t>
      </w:r>
      <w:proofErr w:type="spellEnd"/>
      <w:r w:rsidRPr="006431C8">
        <w:rPr>
          <w:rFonts w:ascii="Verdana" w:hAnsi="Verdana" w:cs="Times New Roman"/>
          <w:sz w:val="16"/>
          <w:szCs w:val="16"/>
        </w:rPr>
        <w:t xml:space="preserve">; b) el otorgamiento de títulos de propiedad y de otra naturaleza a personas no indígenas dentro del territorio reclamado por los Pueblos </w:t>
      </w:r>
      <w:proofErr w:type="spellStart"/>
      <w:r w:rsidRPr="006431C8">
        <w:rPr>
          <w:rFonts w:ascii="Verdana" w:hAnsi="Verdana" w:cs="Times New Roman"/>
          <w:sz w:val="16"/>
          <w:szCs w:val="16"/>
        </w:rPr>
        <w:t>Kaliña</w:t>
      </w:r>
      <w:proofErr w:type="spellEnd"/>
      <w:r w:rsidRPr="006431C8">
        <w:rPr>
          <w:rFonts w:ascii="Verdana" w:hAnsi="Verdana" w:cs="Times New Roman"/>
          <w:sz w:val="16"/>
          <w:szCs w:val="16"/>
        </w:rPr>
        <w:t xml:space="preserve"> y </w:t>
      </w:r>
      <w:proofErr w:type="spellStart"/>
      <w:r w:rsidRPr="006431C8">
        <w:rPr>
          <w:rFonts w:ascii="Verdana" w:hAnsi="Verdana" w:cs="Times New Roman"/>
          <w:sz w:val="16"/>
          <w:szCs w:val="16"/>
        </w:rPr>
        <w:t>Lokono</w:t>
      </w:r>
      <w:proofErr w:type="spellEnd"/>
      <w:r w:rsidRPr="006431C8">
        <w:rPr>
          <w:rFonts w:ascii="Verdana" w:hAnsi="Verdana" w:cs="Times New Roman"/>
          <w:sz w:val="16"/>
          <w:szCs w:val="16"/>
        </w:rPr>
        <w:t xml:space="preserve">; c) las afectaciones en el uso y goce de las áreas de las reservas naturales dentro de los alegados territorios tradicionales, y d) la falta de participación efectiva, a través de un proceso de consulta frente a las concesiones mineras dentro de una de las reservas naturales en el territorio ancestral”. </w:t>
      </w:r>
      <w:r w:rsidRPr="006431C8">
        <w:rPr>
          <w:rStyle w:val="Strong"/>
          <w:rFonts w:ascii="Verdana" w:hAnsi="Verdana"/>
          <w:b w:val="0"/>
          <w:i/>
          <w:color w:val="000000"/>
          <w:sz w:val="16"/>
          <w:szCs w:val="16"/>
          <w:shd w:val="clear" w:color="auto" w:fill="FFFFFF"/>
        </w:rPr>
        <w:t xml:space="preserve">Caso Pueblos </w:t>
      </w:r>
      <w:proofErr w:type="spellStart"/>
      <w:r w:rsidRPr="006431C8">
        <w:rPr>
          <w:rStyle w:val="Strong"/>
          <w:rFonts w:ascii="Verdana" w:hAnsi="Verdana"/>
          <w:b w:val="0"/>
          <w:i/>
          <w:color w:val="000000"/>
          <w:sz w:val="16"/>
          <w:szCs w:val="16"/>
          <w:shd w:val="clear" w:color="auto" w:fill="FFFFFF"/>
        </w:rPr>
        <w:t>Kaliña</w:t>
      </w:r>
      <w:proofErr w:type="spellEnd"/>
      <w:r w:rsidRPr="006431C8">
        <w:rPr>
          <w:rStyle w:val="Strong"/>
          <w:rFonts w:ascii="Verdana" w:hAnsi="Verdana"/>
          <w:b w:val="0"/>
          <w:i/>
          <w:color w:val="000000"/>
          <w:sz w:val="16"/>
          <w:szCs w:val="16"/>
          <w:shd w:val="clear" w:color="auto" w:fill="FFFFFF"/>
        </w:rPr>
        <w:t xml:space="preserve"> y </w:t>
      </w:r>
      <w:proofErr w:type="spellStart"/>
      <w:r w:rsidRPr="006431C8">
        <w:rPr>
          <w:rStyle w:val="Strong"/>
          <w:rFonts w:ascii="Verdana" w:hAnsi="Verdana"/>
          <w:b w:val="0"/>
          <w:i/>
          <w:color w:val="000000"/>
          <w:sz w:val="16"/>
          <w:szCs w:val="16"/>
          <w:shd w:val="clear" w:color="auto" w:fill="FFFFFF"/>
        </w:rPr>
        <w:t>Lokono</w:t>
      </w:r>
      <w:proofErr w:type="spellEnd"/>
      <w:r w:rsidRPr="006431C8">
        <w:rPr>
          <w:rStyle w:val="Strong"/>
          <w:rFonts w:ascii="Verdana" w:hAnsi="Verdana"/>
          <w:b w:val="0"/>
          <w:i/>
          <w:color w:val="000000"/>
          <w:sz w:val="16"/>
          <w:szCs w:val="16"/>
          <w:shd w:val="clear" w:color="auto" w:fill="FFFFFF"/>
        </w:rPr>
        <w:t xml:space="preserve"> Vs. Suriname, supra</w:t>
      </w:r>
      <w:r w:rsidRPr="006431C8">
        <w:rPr>
          <w:rStyle w:val="Strong"/>
          <w:rFonts w:ascii="Verdana" w:hAnsi="Verdana"/>
          <w:b w:val="0"/>
          <w:color w:val="000000"/>
          <w:sz w:val="16"/>
          <w:szCs w:val="16"/>
          <w:shd w:val="clear" w:color="auto" w:fill="FFFFFF"/>
        </w:rPr>
        <w:t>, párr.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86E"/>
    <w:multiLevelType w:val="hybridMultilevel"/>
    <w:tmpl w:val="3704E16C"/>
    <w:lvl w:ilvl="0" w:tplc="F0A69672">
      <w:start w:val="1"/>
      <w:numFmt w:val="decimal"/>
      <w:pStyle w:val="Estilo1"/>
      <w:lvlText w:val="%1."/>
      <w:lvlJc w:val="left"/>
      <w:pPr>
        <w:ind w:left="720" w:hanging="360"/>
      </w:pPr>
      <w:rPr>
        <w:rFonts w:hint="default"/>
      </w:rPr>
    </w:lvl>
    <w:lvl w:ilvl="1" w:tplc="870EC26C">
      <w:start w:val="1"/>
      <w:numFmt w:val="lowerLetter"/>
      <w:lvlText w:val="%2)"/>
      <w:lvlJc w:val="left"/>
      <w:pPr>
        <w:ind w:left="1440" w:hanging="360"/>
      </w:pPr>
      <w:rPr>
        <w:rFonts w:ascii="Times New Roman" w:hAnsi="Times New Roman" w:cs="Times New Roman" w:hint="default"/>
        <w:b w:val="0"/>
        <w:i/>
        <w:sz w:val="24"/>
        <w:szCs w:val="24"/>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36F2E83"/>
    <w:multiLevelType w:val="hybridMultilevel"/>
    <w:tmpl w:val="30467760"/>
    <w:lvl w:ilvl="0" w:tplc="FEAE2600">
      <w:start w:val="1"/>
      <w:numFmt w:val="decimal"/>
      <w:pStyle w:val="Estilo4"/>
      <w:lvlText w:val="%1."/>
      <w:lvlJc w:val="left"/>
      <w:pPr>
        <w:ind w:left="3763" w:hanging="360"/>
      </w:pPr>
      <w:rPr>
        <w:sz w:val="2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nsid w:val="61B36A3B"/>
    <w:multiLevelType w:val="hybridMultilevel"/>
    <w:tmpl w:val="989AF976"/>
    <w:lvl w:ilvl="0" w:tplc="E924A7B0">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F001C76"/>
    <w:multiLevelType w:val="hybridMultilevel"/>
    <w:tmpl w:val="3BF8E89C"/>
    <w:lvl w:ilvl="0" w:tplc="F448F914">
      <w:start w:val="1"/>
      <w:numFmt w:val="decimal"/>
      <w:lvlText w:val="%1."/>
      <w:lvlJc w:val="left"/>
      <w:pPr>
        <w:ind w:left="1144" w:hanging="360"/>
      </w:pPr>
      <w:rPr>
        <w:rFonts w:hint="default"/>
      </w:rPr>
    </w:lvl>
    <w:lvl w:ilvl="1" w:tplc="140A0019" w:tentative="1">
      <w:start w:val="1"/>
      <w:numFmt w:val="lowerLetter"/>
      <w:lvlText w:val="%2."/>
      <w:lvlJc w:val="left"/>
      <w:pPr>
        <w:ind w:left="1864" w:hanging="360"/>
      </w:pPr>
    </w:lvl>
    <w:lvl w:ilvl="2" w:tplc="140A001B" w:tentative="1">
      <w:start w:val="1"/>
      <w:numFmt w:val="lowerRoman"/>
      <w:lvlText w:val="%3."/>
      <w:lvlJc w:val="right"/>
      <w:pPr>
        <w:ind w:left="2584" w:hanging="180"/>
      </w:pPr>
    </w:lvl>
    <w:lvl w:ilvl="3" w:tplc="140A000F" w:tentative="1">
      <w:start w:val="1"/>
      <w:numFmt w:val="decimal"/>
      <w:lvlText w:val="%4."/>
      <w:lvlJc w:val="left"/>
      <w:pPr>
        <w:ind w:left="3304" w:hanging="360"/>
      </w:pPr>
    </w:lvl>
    <w:lvl w:ilvl="4" w:tplc="140A0019" w:tentative="1">
      <w:start w:val="1"/>
      <w:numFmt w:val="lowerLetter"/>
      <w:lvlText w:val="%5."/>
      <w:lvlJc w:val="left"/>
      <w:pPr>
        <w:ind w:left="4024" w:hanging="360"/>
      </w:pPr>
    </w:lvl>
    <w:lvl w:ilvl="5" w:tplc="140A001B" w:tentative="1">
      <w:start w:val="1"/>
      <w:numFmt w:val="lowerRoman"/>
      <w:lvlText w:val="%6."/>
      <w:lvlJc w:val="right"/>
      <w:pPr>
        <w:ind w:left="4744" w:hanging="180"/>
      </w:pPr>
    </w:lvl>
    <w:lvl w:ilvl="6" w:tplc="140A000F" w:tentative="1">
      <w:start w:val="1"/>
      <w:numFmt w:val="decimal"/>
      <w:lvlText w:val="%7."/>
      <w:lvlJc w:val="left"/>
      <w:pPr>
        <w:ind w:left="5464" w:hanging="360"/>
      </w:pPr>
    </w:lvl>
    <w:lvl w:ilvl="7" w:tplc="140A0019" w:tentative="1">
      <w:start w:val="1"/>
      <w:numFmt w:val="lowerLetter"/>
      <w:lvlText w:val="%8."/>
      <w:lvlJc w:val="left"/>
      <w:pPr>
        <w:ind w:left="6184" w:hanging="360"/>
      </w:pPr>
    </w:lvl>
    <w:lvl w:ilvl="8" w:tplc="140A001B" w:tentative="1">
      <w:start w:val="1"/>
      <w:numFmt w:val="lowerRoman"/>
      <w:lvlText w:val="%9."/>
      <w:lvlJc w:val="right"/>
      <w:pPr>
        <w:ind w:left="6904" w:hanging="180"/>
      </w:pPr>
    </w:lvl>
  </w:abstractNum>
  <w:num w:numId="1">
    <w:abstractNumId w:val="0"/>
  </w:num>
  <w:num w:numId="2">
    <w:abstractNumId w:val="2"/>
  </w:num>
  <w:num w:numId="3">
    <w:abstractNumId w:val="0"/>
    <w:lvlOverride w:ilvl="0">
      <w:startOverride w:val="178"/>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42"/>
    <w:rsid w:val="00020484"/>
    <w:rsid w:val="000334AE"/>
    <w:rsid w:val="00065836"/>
    <w:rsid w:val="00080510"/>
    <w:rsid w:val="000B0F5B"/>
    <w:rsid w:val="000C3CEA"/>
    <w:rsid w:val="00120F47"/>
    <w:rsid w:val="001213BE"/>
    <w:rsid w:val="001239BE"/>
    <w:rsid w:val="001478DE"/>
    <w:rsid w:val="001E4DF0"/>
    <w:rsid w:val="00250ADF"/>
    <w:rsid w:val="002652B0"/>
    <w:rsid w:val="002D0056"/>
    <w:rsid w:val="00377A21"/>
    <w:rsid w:val="003A1EBB"/>
    <w:rsid w:val="003C3E9B"/>
    <w:rsid w:val="003E22F4"/>
    <w:rsid w:val="00464D9C"/>
    <w:rsid w:val="00467100"/>
    <w:rsid w:val="00467537"/>
    <w:rsid w:val="004941AC"/>
    <w:rsid w:val="004D0C4F"/>
    <w:rsid w:val="004D3AA2"/>
    <w:rsid w:val="004E07C7"/>
    <w:rsid w:val="00557E43"/>
    <w:rsid w:val="00560B81"/>
    <w:rsid w:val="005C53E0"/>
    <w:rsid w:val="005E08B3"/>
    <w:rsid w:val="005E1711"/>
    <w:rsid w:val="00600105"/>
    <w:rsid w:val="006431C8"/>
    <w:rsid w:val="00662B3C"/>
    <w:rsid w:val="00693415"/>
    <w:rsid w:val="00723A7E"/>
    <w:rsid w:val="00750D86"/>
    <w:rsid w:val="007624ED"/>
    <w:rsid w:val="00763D47"/>
    <w:rsid w:val="007938B5"/>
    <w:rsid w:val="007D5769"/>
    <w:rsid w:val="007F30F4"/>
    <w:rsid w:val="00812F94"/>
    <w:rsid w:val="00880A93"/>
    <w:rsid w:val="00881F98"/>
    <w:rsid w:val="008956EE"/>
    <w:rsid w:val="008F095C"/>
    <w:rsid w:val="00955CFC"/>
    <w:rsid w:val="00967D53"/>
    <w:rsid w:val="00A53D6C"/>
    <w:rsid w:val="00A6224C"/>
    <w:rsid w:val="00A73D0B"/>
    <w:rsid w:val="00AD09F4"/>
    <w:rsid w:val="00B02173"/>
    <w:rsid w:val="00B173B5"/>
    <w:rsid w:val="00B2492C"/>
    <w:rsid w:val="00B2711B"/>
    <w:rsid w:val="00B3687D"/>
    <w:rsid w:val="00B55A11"/>
    <w:rsid w:val="00C43249"/>
    <w:rsid w:val="00CC7B13"/>
    <w:rsid w:val="00D35F31"/>
    <w:rsid w:val="00D46F07"/>
    <w:rsid w:val="00D51029"/>
    <w:rsid w:val="00D66DEE"/>
    <w:rsid w:val="00DF0A42"/>
    <w:rsid w:val="00E3330F"/>
    <w:rsid w:val="00E64DCB"/>
    <w:rsid w:val="00EC5E9A"/>
    <w:rsid w:val="00EC6BE1"/>
    <w:rsid w:val="00ED22D4"/>
    <w:rsid w:val="00F1117A"/>
    <w:rsid w:val="00F52C65"/>
    <w:rsid w:val="00F61931"/>
    <w:rsid w:val="00FC75F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0B81"/>
    <w:pPr>
      <w:ind w:left="720"/>
      <w:contextualSpacing/>
    </w:pPr>
  </w:style>
  <w:style w:type="paragraph" w:customStyle="1" w:styleId="Estilo1">
    <w:name w:val="Estilo1"/>
    <w:basedOn w:val="ListParagraph"/>
    <w:link w:val="Estilo1Car"/>
    <w:qFormat/>
    <w:rsid w:val="00F52C65"/>
    <w:pPr>
      <w:numPr>
        <w:numId w:val="1"/>
      </w:numPr>
      <w:spacing w:after="240" w:line="240" w:lineRule="auto"/>
      <w:ind w:left="0" w:firstLine="0"/>
      <w:contextualSpacing w:val="0"/>
      <w:jc w:val="both"/>
    </w:pPr>
    <w:rPr>
      <w:rFonts w:ascii="Times New Roman" w:hAnsi="Times New Roman" w:cs="Times New Roman"/>
      <w:sz w:val="24"/>
      <w:szCs w:val="24"/>
    </w:rPr>
  </w:style>
  <w:style w:type="paragraph" w:customStyle="1" w:styleId="Estilo2">
    <w:name w:val="Estilo2"/>
    <w:basedOn w:val="Estilo1"/>
    <w:link w:val="Estilo2Car"/>
    <w:qFormat/>
    <w:rsid w:val="00955CFC"/>
    <w:pPr>
      <w:numPr>
        <w:numId w:val="0"/>
      </w:numPr>
      <w:spacing w:after="120"/>
      <w:ind w:left="709"/>
      <w:jc w:val="center"/>
    </w:pPr>
    <w:rPr>
      <w:i/>
    </w:rPr>
  </w:style>
  <w:style w:type="character" w:customStyle="1" w:styleId="ListParagraphChar">
    <w:name w:val="List Paragraph Char"/>
    <w:basedOn w:val="DefaultParagraphFont"/>
    <w:link w:val="ListParagraph"/>
    <w:uiPriority w:val="34"/>
    <w:rsid w:val="00080510"/>
  </w:style>
  <w:style w:type="character" w:customStyle="1" w:styleId="Estilo1Car">
    <w:name w:val="Estilo1 Car"/>
    <w:basedOn w:val="ListParagraphChar"/>
    <w:link w:val="Estilo1"/>
    <w:rsid w:val="00F52C65"/>
    <w:rPr>
      <w:rFonts w:ascii="Times New Roman" w:hAnsi="Times New Roman" w:cs="Times New Roman"/>
      <w:sz w:val="24"/>
      <w:szCs w:val="24"/>
    </w:rPr>
  </w:style>
  <w:style w:type="paragraph" w:customStyle="1" w:styleId="Estilo3">
    <w:name w:val="Estilo3"/>
    <w:basedOn w:val="Estilo2"/>
    <w:link w:val="Estilo3Car"/>
    <w:qFormat/>
    <w:rsid w:val="00D66DEE"/>
    <w:pPr>
      <w:jc w:val="both"/>
    </w:pPr>
  </w:style>
  <w:style w:type="character" w:customStyle="1" w:styleId="Estilo2Car">
    <w:name w:val="Estilo2 Car"/>
    <w:basedOn w:val="Estilo1Car"/>
    <w:link w:val="Estilo2"/>
    <w:rsid w:val="00955CFC"/>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D66DEE"/>
    <w:pPr>
      <w:spacing w:after="0" w:line="240" w:lineRule="auto"/>
    </w:pPr>
    <w:rPr>
      <w:sz w:val="20"/>
      <w:szCs w:val="20"/>
    </w:rPr>
  </w:style>
  <w:style w:type="character" w:customStyle="1" w:styleId="Estilo3Car">
    <w:name w:val="Estilo3 Car"/>
    <w:basedOn w:val="Estilo2Car"/>
    <w:link w:val="Estilo3"/>
    <w:rsid w:val="00D66DEE"/>
    <w:rPr>
      <w:rFonts w:ascii="Times New Roman" w:hAnsi="Times New Roman" w:cs="Times New Roman"/>
      <w:i/>
      <w:sz w:val="24"/>
      <w:szCs w:val="24"/>
    </w:rPr>
  </w:style>
  <w:style w:type="character" w:customStyle="1" w:styleId="FootnoteTextChar">
    <w:name w:val="Footnote Text Char"/>
    <w:basedOn w:val="DefaultParagraphFont"/>
    <w:link w:val="FootnoteText"/>
    <w:uiPriority w:val="99"/>
    <w:semiHidden/>
    <w:rsid w:val="00D66DEE"/>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nhideWhenUsed/>
    <w:qFormat/>
    <w:rsid w:val="00D66DEE"/>
    <w:rPr>
      <w:vertAlign w:val="superscript"/>
    </w:rPr>
  </w:style>
  <w:style w:type="character" w:customStyle="1" w:styleId="Estilo4Car">
    <w:name w:val="Estilo4 Car"/>
    <w:basedOn w:val="DefaultParagraphFont"/>
    <w:link w:val="Estilo4"/>
    <w:locked/>
    <w:rsid w:val="007624ED"/>
    <w:rPr>
      <w:rFonts w:ascii="Times New Roman" w:hAnsi="Times New Roman" w:cs="Times New Roman"/>
      <w:sz w:val="24"/>
      <w:szCs w:val="24"/>
    </w:rPr>
  </w:style>
  <w:style w:type="paragraph" w:customStyle="1" w:styleId="Estilo4">
    <w:name w:val="Estilo4"/>
    <w:basedOn w:val="Normal"/>
    <w:link w:val="Estilo4Car"/>
    <w:qFormat/>
    <w:rsid w:val="007624ED"/>
    <w:pPr>
      <w:numPr>
        <w:numId w:val="5"/>
      </w:numPr>
      <w:spacing w:line="256" w:lineRule="auto"/>
      <w:ind w:left="0" w:firstLine="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31"/>
    <w:rPr>
      <w:rFonts w:ascii="Tahoma" w:hAnsi="Tahoma" w:cs="Tahoma"/>
      <w:sz w:val="16"/>
      <w:szCs w:val="16"/>
    </w:rPr>
  </w:style>
  <w:style w:type="character" w:styleId="Strong">
    <w:name w:val="Strong"/>
    <w:basedOn w:val="DefaultParagraphFont"/>
    <w:uiPriority w:val="22"/>
    <w:qFormat/>
    <w:rsid w:val="003A1EBB"/>
    <w:rPr>
      <w:b/>
      <w:bCs/>
    </w:rPr>
  </w:style>
  <w:style w:type="paragraph" w:styleId="Header">
    <w:name w:val="header"/>
    <w:basedOn w:val="Normal"/>
    <w:link w:val="HeaderChar"/>
    <w:uiPriority w:val="99"/>
    <w:unhideWhenUsed/>
    <w:rsid w:val="00D35F31"/>
    <w:pPr>
      <w:tabs>
        <w:tab w:val="center" w:pos="4419"/>
        <w:tab w:val="right" w:pos="8838"/>
      </w:tabs>
      <w:spacing w:after="0" w:line="240" w:lineRule="auto"/>
    </w:pPr>
  </w:style>
  <w:style w:type="character" w:customStyle="1" w:styleId="HeaderChar">
    <w:name w:val="Header Char"/>
    <w:basedOn w:val="DefaultParagraphFont"/>
    <w:link w:val="Header"/>
    <w:uiPriority w:val="99"/>
    <w:rsid w:val="00D35F31"/>
  </w:style>
  <w:style w:type="paragraph" w:styleId="Footer">
    <w:name w:val="footer"/>
    <w:basedOn w:val="Normal"/>
    <w:link w:val="FooterChar"/>
    <w:uiPriority w:val="99"/>
    <w:unhideWhenUsed/>
    <w:rsid w:val="00D35F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35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0B81"/>
    <w:pPr>
      <w:ind w:left="720"/>
      <w:contextualSpacing/>
    </w:pPr>
  </w:style>
  <w:style w:type="paragraph" w:customStyle="1" w:styleId="Estilo1">
    <w:name w:val="Estilo1"/>
    <w:basedOn w:val="ListParagraph"/>
    <w:link w:val="Estilo1Car"/>
    <w:qFormat/>
    <w:rsid w:val="00F52C65"/>
    <w:pPr>
      <w:numPr>
        <w:numId w:val="1"/>
      </w:numPr>
      <w:spacing w:after="240" w:line="240" w:lineRule="auto"/>
      <w:ind w:left="0" w:firstLine="0"/>
      <w:contextualSpacing w:val="0"/>
      <w:jc w:val="both"/>
    </w:pPr>
    <w:rPr>
      <w:rFonts w:ascii="Times New Roman" w:hAnsi="Times New Roman" w:cs="Times New Roman"/>
      <w:sz w:val="24"/>
      <w:szCs w:val="24"/>
    </w:rPr>
  </w:style>
  <w:style w:type="paragraph" w:customStyle="1" w:styleId="Estilo2">
    <w:name w:val="Estilo2"/>
    <w:basedOn w:val="Estilo1"/>
    <w:link w:val="Estilo2Car"/>
    <w:qFormat/>
    <w:rsid w:val="00955CFC"/>
    <w:pPr>
      <w:numPr>
        <w:numId w:val="0"/>
      </w:numPr>
      <w:spacing w:after="120"/>
      <w:ind w:left="709"/>
      <w:jc w:val="center"/>
    </w:pPr>
    <w:rPr>
      <w:i/>
    </w:rPr>
  </w:style>
  <w:style w:type="character" w:customStyle="1" w:styleId="ListParagraphChar">
    <w:name w:val="List Paragraph Char"/>
    <w:basedOn w:val="DefaultParagraphFont"/>
    <w:link w:val="ListParagraph"/>
    <w:uiPriority w:val="34"/>
    <w:rsid w:val="00080510"/>
  </w:style>
  <w:style w:type="character" w:customStyle="1" w:styleId="Estilo1Car">
    <w:name w:val="Estilo1 Car"/>
    <w:basedOn w:val="ListParagraphChar"/>
    <w:link w:val="Estilo1"/>
    <w:rsid w:val="00F52C65"/>
    <w:rPr>
      <w:rFonts w:ascii="Times New Roman" w:hAnsi="Times New Roman" w:cs="Times New Roman"/>
      <w:sz w:val="24"/>
      <w:szCs w:val="24"/>
    </w:rPr>
  </w:style>
  <w:style w:type="paragraph" w:customStyle="1" w:styleId="Estilo3">
    <w:name w:val="Estilo3"/>
    <w:basedOn w:val="Estilo2"/>
    <w:link w:val="Estilo3Car"/>
    <w:qFormat/>
    <w:rsid w:val="00D66DEE"/>
    <w:pPr>
      <w:jc w:val="both"/>
    </w:pPr>
  </w:style>
  <w:style w:type="character" w:customStyle="1" w:styleId="Estilo2Car">
    <w:name w:val="Estilo2 Car"/>
    <w:basedOn w:val="Estilo1Car"/>
    <w:link w:val="Estilo2"/>
    <w:rsid w:val="00955CFC"/>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D66DEE"/>
    <w:pPr>
      <w:spacing w:after="0" w:line="240" w:lineRule="auto"/>
    </w:pPr>
    <w:rPr>
      <w:sz w:val="20"/>
      <w:szCs w:val="20"/>
    </w:rPr>
  </w:style>
  <w:style w:type="character" w:customStyle="1" w:styleId="Estilo3Car">
    <w:name w:val="Estilo3 Car"/>
    <w:basedOn w:val="Estilo2Car"/>
    <w:link w:val="Estilo3"/>
    <w:rsid w:val="00D66DEE"/>
    <w:rPr>
      <w:rFonts w:ascii="Times New Roman" w:hAnsi="Times New Roman" w:cs="Times New Roman"/>
      <w:i/>
      <w:sz w:val="24"/>
      <w:szCs w:val="24"/>
    </w:rPr>
  </w:style>
  <w:style w:type="character" w:customStyle="1" w:styleId="FootnoteTextChar">
    <w:name w:val="Footnote Text Char"/>
    <w:basedOn w:val="DefaultParagraphFont"/>
    <w:link w:val="FootnoteText"/>
    <w:uiPriority w:val="99"/>
    <w:semiHidden/>
    <w:rsid w:val="00D66DEE"/>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nhideWhenUsed/>
    <w:qFormat/>
    <w:rsid w:val="00D66DEE"/>
    <w:rPr>
      <w:vertAlign w:val="superscript"/>
    </w:rPr>
  </w:style>
  <w:style w:type="character" w:customStyle="1" w:styleId="Estilo4Car">
    <w:name w:val="Estilo4 Car"/>
    <w:basedOn w:val="DefaultParagraphFont"/>
    <w:link w:val="Estilo4"/>
    <w:locked/>
    <w:rsid w:val="007624ED"/>
    <w:rPr>
      <w:rFonts w:ascii="Times New Roman" w:hAnsi="Times New Roman" w:cs="Times New Roman"/>
      <w:sz w:val="24"/>
      <w:szCs w:val="24"/>
    </w:rPr>
  </w:style>
  <w:style w:type="paragraph" w:customStyle="1" w:styleId="Estilo4">
    <w:name w:val="Estilo4"/>
    <w:basedOn w:val="Normal"/>
    <w:link w:val="Estilo4Car"/>
    <w:qFormat/>
    <w:rsid w:val="007624ED"/>
    <w:pPr>
      <w:numPr>
        <w:numId w:val="5"/>
      </w:numPr>
      <w:spacing w:line="256" w:lineRule="auto"/>
      <w:ind w:left="0" w:firstLine="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31"/>
    <w:rPr>
      <w:rFonts w:ascii="Tahoma" w:hAnsi="Tahoma" w:cs="Tahoma"/>
      <w:sz w:val="16"/>
      <w:szCs w:val="16"/>
    </w:rPr>
  </w:style>
  <w:style w:type="character" w:styleId="Strong">
    <w:name w:val="Strong"/>
    <w:basedOn w:val="DefaultParagraphFont"/>
    <w:uiPriority w:val="22"/>
    <w:qFormat/>
    <w:rsid w:val="003A1EBB"/>
    <w:rPr>
      <w:b/>
      <w:bCs/>
    </w:rPr>
  </w:style>
  <w:style w:type="paragraph" w:styleId="Header">
    <w:name w:val="header"/>
    <w:basedOn w:val="Normal"/>
    <w:link w:val="HeaderChar"/>
    <w:uiPriority w:val="99"/>
    <w:unhideWhenUsed/>
    <w:rsid w:val="00D35F31"/>
    <w:pPr>
      <w:tabs>
        <w:tab w:val="center" w:pos="4419"/>
        <w:tab w:val="right" w:pos="8838"/>
      </w:tabs>
      <w:spacing w:after="0" w:line="240" w:lineRule="auto"/>
    </w:pPr>
  </w:style>
  <w:style w:type="character" w:customStyle="1" w:styleId="HeaderChar">
    <w:name w:val="Header Char"/>
    <w:basedOn w:val="DefaultParagraphFont"/>
    <w:link w:val="Header"/>
    <w:uiPriority w:val="99"/>
    <w:rsid w:val="00D35F31"/>
  </w:style>
  <w:style w:type="paragraph" w:styleId="Footer">
    <w:name w:val="footer"/>
    <w:basedOn w:val="Normal"/>
    <w:link w:val="FooterChar"/>
    <w:uiPriority w:val="99"/>
    <w:unhideWhenUsed/>
    <w:rsid w:val="00D35F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3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704">
      <w:bodyDiv w:val="1"/>
      <w:marLeft w:val="0"/>
      <w:marRight w:val="0"/>
      <w:marTop w:val="0"/>
      <w:marBottom w:val="0"/>
      <w:divBdr>
        <w:top w:val="none" w:sz="0" w:space="0" w:color="auto"/>
        <w:left w:val="none" w:sz="0" w:space="0" w:color="auto"/>
        <w:bottom w:val="none" w:sz="0" w:space="0" w:color="auto"/>
        <w:right w:val="none" w:sz="0" w:space="0" w:color="auto"/>
      </w:divBdr>
    </w:div>
    <w:div w:id="10237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08E0-9E74-4163-A6BD-06025A6A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6E4EE3-CB39-4C02-9088-6631D8B2137E}">
  <ds:schemaRefs>
    <ds:schemaRef ds:uri="http://schemas.microsoft.com/sharepoint/v3/contenttype/forms"/>
  </ds:schemaRefs>
</ds:datastoreItem>
</file>

<file path=customXml/itemProps3.xml><?xml version="1.0" encoding="utf-8"?>
<ds:datastoreItem xmlns:ds="http://schemas.openxmlformats.org/officeDocument/2006/customXml" ds:itemID="{06822D46-A179-4728-A82D-15CBC240960E}">
  <ds:schemaRefs>
    <ds:schemaRef ds:uri="http://schemas.microsoft.com/office/2006/metadata/properties"/>
  </ds:schemaRefs>
</ds:datastoreItem>
</file>

<file path=customXml/itemProps4.xml><?xml version="1.0" encoding="utf-8"?>
<ds:datastoreItem xmlns:ds="http://schemas.openxmlformats.org/officeDocument/2006/customXml" ds:itemID="{0C8EE051-F729-47A0-AEF7-2A30CE9E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4025</Words>
  <Characters>22138</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2016-01-28T16:20:00Z</cp:lastPrinted>
  <dcterms:created xsi:type="dcterms:W3CDTF">2016-01-28T19:23:00Z</dcterms:created>
  <dcterms:modified xsi:type="dcterms:W3CDTF">2016-01-28T19:23:00Z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